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E70" w:rsidRDefault="00517E70" w:rsidP="00626E81">
      <w:pPr>
        <w:spacing w:line="360" w:lineRule="auto"/>
        <w:rPr>
          <w:iCs/>
          <w:color w:val="000000"/>
        </w:rPr>
      </w:pPr>
      <w:r>
        <w:rPr>
          <w:iCs/>
          <w:color w:val="000000"/>
        </w:rPr>
        <w:t>Diz</w:t>
      </w:r>
      <w:r w:rsidRPr="00BE3A0D">
        <w:rPr>
          <w:iCs/>
          <w:color w:val="000000"/>
        </w:rPr>
        <w:t>ertační práce</w:t>
      </w:r>
      <w:r>
        <w:rPr>
          <w:b/>
          <w:iCs/>
          <w:color w:val="000000"/>
        </w:rPr>
        <w:t xml:space="preserve"> </w:t>
      </w:r>
      <w:r>
        <w:rPr>
          <w:iCs/>
          <w:color w:val="000000"/>
        </w:rPr>
        <w:t xml:space="preserve">byla vypracována na Otolaryngologické klinice Lékařské fakulty Univerzity Palackého v Olomouci </w:t>
      </w:r>
    </w:p>
    <w:p w:rsidR="00517E70" w:rsidRDefault="00517E70" w:rsidP="00626E81">
      <w:pPr>
        <w:spacing w:line="360" w:lineRule="auto"/>
        <w:rPr>
          <w:iCs/>
          <w:color w:val="000000"/>
        </w:rPr>
      </w:pPr>
      <w:r>
        <w:rPr>
          <w:iCs/>
          <w:color w:val="000000"/>
        </w:rPr>
        <w:t xml:space="preserve">přednosta Prof. MUDr. Ivo Stárek, CSc. </w:t>
      </w:r>
    </w:p>
    <w:p w:rsidR="00517E70" w:rsidRDefault="00517E70" w:rsidP="00626E81">
      <w:pPr>
        <w:spacing w:line="360" w:lineRule="auto"/>
        <w:rPr>
          <w:iCs/>
          <w:color w:val="000000"/>
        </w:rPr>
      </w:pPr>
    </w:p>
    <w:p w:rsidR="00517E70" w:rsidRDefault="00517E70" w:rsidP="00626E81">
      <w:pPr>
        <w:spacing w:line="360" w:lineRule="auto"/>
        <w:rPr>
          <w:iCs/>
          <w:color w:val="000000"/>
        </w:rPr>
      </w:pPr>
      <w:r>
        <w:rPr>
          <w:iCs/>
          <w:color w:val="000000"/>
        </w:rPr>
        <w:t>v rámci kombinovaného postgraduálního studia</w:t>
      </w: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Pr="005F1DBA" w:rsidRDefault="00517E70" w:rsidP="00626E81">
      <w:pPr>
        <w:spacing w:line="360" w:lineRule="auto"/>
        <w:rPr>
          <w:b/>
          <w:bCs/>
          <w:color w:val="FF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143B9D">
      <w:pPr>
        <w:spacing w:line="360" w:lineRule="auto"/>
        <w:jc w:val="center"/>
        <w:rPr>
          <w:iCs/>
          <w:color w:val="000000"/>
          <w:sz w:val="40"/>
          <w:szCs w:val="40"/>
        </w:rPr>
      </w:pPr>
    </w:p>
    <w:p w:rsidR="00517E70" w:rsidRPr="00143B9D" w:rsidRDefault="00517E70" w:rsidP="00143B9D">
      <w:pPr>
        <w:spacing w:line="360" w:lineRule="auto"/>
        <w:jc w:val="center"/>
        <w:rPr>
          <w:iCs/>
          <w:color w:val="000000"/>
          <w:sz w:val="40"/>
          <w:szCs w:val="40"/>
        </w:rPr>
      </w:pPr>
    </w:p>
    <w:p w:rsidR="00517E70" w:rsidRPr="00143B9D" w:rsidRDefault="00517E70" w:rsidP="00143B9D">
      <w:pPr>
        <w:jc w:val="center"/>
        <w:rPr>
          <w:b/>
          <w:iCs/>
          <w:color w:val="000000"/>
          <w:sz w:val="40"/>
          <w:szCs w:val="40"/>
        </w:rPr>
      </w:pPr>
      <w:r>
        <w:rPr>
          <w:b/>
          <w:iCs/>
          <w:color w:val="000000"/>
          <w:sz w:val="40"/>
          <w:szCs w:val="40"/>
        </w:rPr>
        <w:t xml:space="preserve">Prognostický význam C-Kit a MYB genu u karcinomů slinných žláz. </w:t>
      </w:r>
    </w:p>
    <w:p w:rsidR="00517E70" w:rsidRPr="00143B9D"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Pr="00BE3A0D" w:rsidRDefault="00517E70" w:rsidP="00626E81">
      <w:pPr>
        <w:spacing w:line="360" w:lineRule="auto"/>
        <w:rPr>
          <w:b/>
          <w:iCs/>
          <w:color w:val="000000"/>
        </w:rPr>
      </w:pPr>
      <w:r w:rsidRPr="00BE3A0D">
        <w:rPr>
          <w:b/>
          <w:iCs/>
          <w:color w:val="000000"/>
        </w:rPr>
        <w:t>Uchazeč:</w:t>
      </w:r>
    </w:p>
    <w:p w:rsidR="00517E70" w:rsidRDefault="00517E70" w:rsidP="00626E81">
      <w:pPr>
        <w:spacing w:line="360" w:lineRule="auto"/>
        <w:rPr>
          <w:iCs/>
          <w:color w:val="000000"/>
        </w:rPr>
      </w:pPr>
      <w:r>
        <w:rPr>
          <w:iCs/>
          <w:color w:val="000000"/>
        </w:rPr>
        <w:t>MUDr. Martin Brož</w:t>
      </w:r>
    </w:p>
    <w:p w:rsidR="00517E70" w:rsidRDefault="00517E70" w:rsidP="00626E81">
      <w:pPr>
        <w:spacing w:line="360" w:lineRule="auto"/>
        <w:rPr>
          <w:iCs/>
          <w:color w:val="000000"/>
        </w:rPr>
      </w:pPr>
      <w:r>
        <w:rPr>
          <w:iCs/>
          <w:color w:val="000000"/>
        </w:rPr>
        <w:t>Otolaryngologická klinika FN Olomouc</w:t>
      </w:r>
    </w:p>
    <w:p w:rsidR="00517E70" w:rsidRPr="00BE3A0D" w:rsidRDefault="00517E70" w:rsidP="00626E81">
      <w:pPr>
        <w:spacing w:line="360" w:lineRule="auto"/>
        <w:rPr>
          <w:b/>
          <w:iCs/>
          <w:color w:val="000000"/>
        </w:rPr>
      </w:pPr>
    </w:p>
    <w:p w:rsidR="00517E70" w:rsidRPr="00BE3A0D" w:rsidRDefault="00517E70" w:rsidP="00626E81">
      <w:pPr>
        <w:spacing w:line="360" w:lineRule="auto"/>
        <w:rPr>
          <w:b/>
          <w:iCs/>
          <w:color w:val="000000"/>
        </w:rPr>
      </w:pPr>
      <w:r w:rsidRPr="00BE3A0D">
        <w:rPr>
          <w:b/>
          <w:iCs/>
          <w:color w:val="000000"/>
        </w:rPr>
        <w:t>Školitel:</w:t>
      </w:r>
    </w:p>
    <w:p w:rsidR="00517E70" w:rsidRDefault="00517E70" w:rsidP="00626E81">
      <w:pPr>
        <w:spacing w:line="360" w:lineRule="auto"/>
        <w:rPr>
          <w:iCs/>
          <w:color w:val="000000"/>
        </w:rPr>
      </w:pPr>
      <w:r>
        <w:rPr>
          <w:iCs/>
          <w:color w:val="000000"/>
        </w:rPr>
        <w:t>Prof. MUDr. Ivo Stárek, CSc</w:t>
      </w:r>
    </w:p>
    <w:p w:rsidR="00517E70" w:rsidRDefault="00517E70" w:rsidP="00626E81">
      <w:pPr>
        <w:spacing w:line="360" w:lineRule="auto"/>
        <w:rPr>
          <w:iCs/>
          <w:color w:val="000000"/>
        </w:rPr>
      </w:pPr>
      <w:r>
        <w:rPr>
          <w:iCs/>
          <w:color w:val="000000"/>
        </w:rPr>
        <w:t>Otolaryngologická klinika  FN Olomouc</w:t>
      </w: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626E81">
      <w:pPr>
        <w:spacing w:line="360" w:lineRule="auto"/>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Pr="00CE1C50" w:rsidRDefault="00517E70" w:rsidP="00203F1C">
      <w:pPr>
        <w:spacing w:line="360" w:lineRule="auto"/>
        <w:jc w:val="both"/>
        <w:rPr>
          <w:b/>
          <w:iCs/>
          <w:color w:val="000000"/>
        </w:rPr>
      </w:pPr>
      <w:r>
        <w:rPr>
          <w:b/>
          <w:iCs/>
          <w:color w:val="000000"/>
        </w:rPr>
        <w:t>Prohlášení</w:t>
      </w: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r>
        <w:rPr>
          <w:iCs/>
          <w:color w:val="000000"/>
        </w:rPr>
        <w:t>Prohlašuji, že přeložená práce je původním autorským dílem, které jsem vypracoval samostatně. Veškerou literaturu a další zdroje, ze kterých jsem čerpal, v práci řádně cituji, a jsou uvedeny v seznamu literatury.</w:t>
      </w: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r>
        <w:rPr>
          <w:iCs/>
          <w:color w:val="000000"/>
        </w:rPr>
        <w:t>Souhlasím s půjčováním disertační práce všem zájemcům o řešenou problematiku.</w:t>
      </w: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r>
        <w:rPr>
          <w:iCs/>
          <w:color w:val="000000"/>
        </w:rPr>
        <w:t xml:space="preserve">V Olomouci dne ……………………  </w:t>
      </w:r>
    </w:p>
    <w:p w:rsidR="00517E70" w:rsidRDefault="00517E70" w:rsidP="00203F1C">
      <w:pPr>
        <w:spacing w:line="360" w:lineRule="auto"/>
        <w:jc w:val="both"/>
        <w:rPr>
          <w:iCs/>
          <w:color w:val="000000"/>
        </w:rPr>
      </w:pPr>
      <w:r>
        <w:rPr>
          <w:iCs/>
          <w:color w:val="000000"/>
        </w:rPr>
        <w:t xml:space="preserve">                                                                         MUDr. Martin Brož </w:t>
      </w: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b/>
          <w:iCs/>
          <w:color w:val="000000"/>
        </w:rPr>
      </w:pPr>
      <w:r w:rsidRPr="006E1488">
        <w:rPr>
          <w:b/>
          <w:iCs/>
          <w:color w:val="000000"/>
        </w:rPr>
        <w:t>OBSAH</w:t>
      </w:r>
    </w:p>
    <w:p w:rsidR="00517E70" w:rsidRDefault="00517E70" w:rsidP="00B114B4">
      <w:pPr>
        <w:spacing w:line="360" w:lineRule="auto"/>
        <w:jc w:val="both"/>
        <w:rPr>
          <w:b/>
          <w:iCs/>
          <w:color w:val="000000"/>
        </w:rPr>
      </w:pPr>
    </w:p>
    <w:p w:rsidR="00517E70" w:rsidRPr="00CE7A17" w:rsidRDefault="00517E70" w:rsidP="00B114B4">
      <w:pPr>
        <w:spacing w:line="360" w:lineRule="auto"/>
        <w:jc w:val="both"/>
        <w:rPr>
          <w:b/>
          <w:bCs/>
          <w:color w:val="000000"/>
        </w:rPr>
      </w:pPr>
      <w:r w:rsidRPr="00CE7A17">
        <w:rPr>
          <w:b/>
          <w:iCs/>
          <w:color w:val="000000"/>
        </w:rPr>
        <w:t xml:space="preserve">1. </w:t>
      </w:r>
      <w:r>
        <w:rPr>
          <w:b/>
          <w:bCs/>
          <w:color w:val="000000"/>
        </w:rPr>
        <w:t>Klinicko-patologické</w:t>
      </w:r>
      <w:r w:rsidRPr="00CE7A17">
        <w:rPr>
          <w:b/>
          <w:bCs/>
          <w:color w:val="000000"/>
        </w:rPr>
        <w:t xml:space="preserve"> charakteristik</w:t>
      </w:r>
      <w:r>
        <w:rPr>
          <w:b/>
          <w:bCs/>
          <w:color w:val="000000"/>
        </w:rPr>
        <w:t xml:space="preserve">y </w:t>
      </w:r>
      <w:r w:rsidRPr="00CE7A17">
        <w:rPr>
          <w:b/>
          <w:bCs/>
          <w:color w:val="000000"/>
        </w:rPr>
        <w:t>karcinomů slinných žláz</w:t>
      </w:r>
      <w:r>
        <w:rPr>
          <w:b/>
          <w:bCs/>
          <w:color w:val="000000"/>
        </w:rPr>
        <w:t xml:space="preserve">                                     </w:t>
      </w:r>
      <w:r w:rsidRPr="00194637">
        <w:rPr>
          <w:color w:val="000000"/>
        </w:rPr>
        <w:t xml:space="preserve"> 5</w:t>
      </w:r>
    </w:p>
    <w:p w:rsidR="00517E70" w:rsidRPr="001B4C66" w:rsidRDefault="00517E70" w:rsidP="00B114B4">
      <w:pPr>
        <w:spacing w:line="360" w:lineRule="auto"/>
        <w:jc w:val="both"/>
        <w:rPr>
          <w:bCs/>
          <w:color w:val="000000"/>
        </w:rPr>
      </w:pPr>
    </w:p>
    <w:p w:rsidR="00517E70" w:rsidRPr="00CE7A17" w:rsidRDefault="00517E70" w:rsidP="00B114B4">
      <w:pPr>
        <w:spacing w:line="360" w:lineRule="auto"/>
        <w:rPr>
          <w:b/>
          <w:bCs/>
          <w:color w:val="C00000"/>
        </w:rPr>
      </w:pPr>
      <w:r>
        <w:rPr>
          <w:b/>
          <w:bCs/>
          <w:color w:val="000000"/>
        </w:rPr>
        <w:t>2.1.</w:t>
      </w:r>
      <w:r w:rsidRPr="00CE7A17">
        <w:rPr>
          <w:b/>
          <w:bCs/>
          <w:color w:val="000000"/>
        </w:rPr>
        <w:t xml:space="preserve"> Možnosti </w:t>
      </w:r>
      <w:r>
        <w:rPr>
          <w:b/>
          <w:bCs/>
          <w:color w:val="000000"/>
        </w:rPr>
        <w:t>prognózování karcinomů slinných</w:t>
      </w:r>
      <w:r w:rsidRPr="00CE7A17">
        <w:rPr>
          <w:b/>
          <w:bCs/>
          <w:color w:val="000000"/>
        </w:rPr>
        <w:t xml:space="preserve"> žláz</w:t>
      </w:r>
      <w:r w:rsidRPr="00CE7A17">
        <w:rPr>
          <w:b/>
          <w:bCs/>
          <w:color w:val="C00000"/>
        </w:rPr>
        <w:t xml:space="preserve"> </w:t>
      </w:r>
      <w:r>
        <w:rPr>
          <w:b/>
          <w:bCs/>
          <w:color w:val="C00000"/>
        </w:rPr>
        <w:t xml:space="preserve">                                                         </w:t>
      </w:r>
      <w:r w:rsidRPr="00194637">
        <w:t xml:space="preserve">7 </w:t>
      </w:r>
    </w:p>
    <w:p w:rsidR="00517E70" w:rsidRPr="001B4C66" w:rsidRDefault="00517E70" w:rsidP="00B114B4">
      <w:pPr>
        <w:spacing w:line="360" w:lineRule="auto"/>
        <w:rPr>
          <w:bCs/>
          <w:color w:val="000000"/>
        </w:rPr>
      </w:pPr>
      <w:r w:rsidRPr="001B4C66">
        <w:rPr>
          <w:bCs/>
          <w:color w:val="000000"/>
        </w:rPr>
        <w:t xml:space="preserve">2.1.1.  </w:t>
      </w:r>
      <w:r>
        <w:rPr>
          <w:bCs/>
          <w:color w:val="000000"/>
        </w:rPr>
        <w:t xml:space="preserve">Význam </w:t>
      </w:r>
      <w:r w:rsidRPr="001B4C66">
        <w:rPr>
          <w:bCs/>
          <w:color w:val="000000"/>
        </w:rPr>
        <w:t xml:space="preserve">histopatologického gradingu </w:t>
      </w:r>
      <w:r>
        <w:rPr>
          <w:bCs/>
          <w:color w:val="000000"/>
        </w:rPr>
        <w:t>pro</w:t>
      </w:r>
      <w:r w:rsidRPr="001B4C66">
        <w:rPr>
          <w:bCs/>
          <w:color w:val="000000"/>
        </w:rPr>
        <w:t xml:space="preserve"> prognózu salivární</w:t>
      </w:r>
      <w:r>
        <w:rPr>
          <w:bCs/>
          <w:color w:val="000000"/>
        </w:rPr>
        <w:t>ch</w:t>
      </w:r>
      <w:r w:rsidRPr="001B4C66">
        <w:rPr>
          <w:bCs/>
          <w:color w:val="000000"/>
        </w:rPr>
        <w:t xml:space="preserve"> karcinom</w:t>
      </w:r>
      <w:r>
        <w:rPr>
          <w:bCs/>
          <w:color w:val="000000"/>
        </w:rPr>
        <w:t>ů                 7</w:t>
      </w:r>
    </w:p>
    <w:p w:rsidR="00517E70" w:rsidRDefault="00517E70" w:rsidP="00B114B4">
      <w:pPr>
        <w:spacing w:line="360" w:lineRule="auto"/>
        <w:rPr>
          <w:bCs/>
          <w:color w:val="000000"/>
        </w:rPr>
      </w:pPr>
      <w:r w:rsidRPr="001B4C66">
        <w:rPr>
          <w:bCs/>
        </w:rPr>
        <w:t>2.1.2</w:t>
      </w:r>
      <w:r>
        <w:rPr>
          <w:bCs/>
        </w:rPr>
        <w:t>.</w:t>
      </w:r>
      <w:r w:rsidRPr="001B4C66">
        <w:rPr>
          <w:bCs/>
          <w:color w:val="C00000"/>
        </w:rPr>
        <w:t xml:space="preserve">  </w:t>
      </w:r>
      <w:r w:rsidRPr="001B4C66">
        <w:rPr>
          <w:bCs/>
          <w:color w:val="000000"/>
        </w:rPr>
        <w:t>V</w:t>
      </w:r>
      <w:r>
        <w:rPr>
          <w:bCs/>
          <w:color w:val="000000"/>
        </w:rPr>
        <w:t xml:space="preserve">ýznam </w:t>
      </w:r>
      <w:r w:rsidRPr="001B4C66">
        <w:rPr>
          <w:bCs/>
          <w:color w:val="000000"/>
        </w:rPr>
        <w:t xml:space="preserve">klinického </w:t>
      </w:r>
      <w:r>
        <w:rPr>
          <w:bCs/>
          <w:color w:val="000000"/>
        </w:rPr>
        <w:t>stagingu pro</w:t>
      </w:r>
      <w:r w:rsidRPr="001B4C66">
        <w:rPr>
          <w:bCs/>
          <w:color w:val="000000"/>
        </w:rPr>
        <w:t xml:space="preserve"> prognózu salivární</w:t>
      </w:r>
      <w:r>
        <w:rPr>
          <w:bCs/>
          <w:color w:val="000000"/>
        </w:rPr>
        <w:t>ch</w:t>
      </w:r>
      <w:r w:rsidRPr="001B4C66">
        <w:rPr>
          <w:bCs/>
          <w:color w:val="000000"/>
        </w:rPr>
        <w:t xml:space="preserve"> karcinom</w:t>
      </w:r>
      <w:r>
        <w:rPr>
          <w:bCs/>
          <w:color w:val="000000"/>
        </w:rPr>
        <w:t>ů                               7</w:t>
      </w:r>
    </w:p>
    <w:p w:rsidR="00517E70" w:rsidRDefault="00517E70" w:rsidP="00B114B4">
      <w:pPr>
        <w:spacing w:line="360" w:lineRule="auto"/>
        <w:rPr>
          <w:bCs/>
          <w:color w:val="000000"/>
        </w:rPr>
      </w:pPr>
      <w:r>
        <w:rPr>
          <w:bCs/>
          <w:color w:val="000000"/>
        </w:rPr>
        <w:t>2.1.3.</w:t>
      </w:r>
      <w:r w:rsidRPr="00690B10">
        <w:rPr>
          <w:bCs/>
          <w:color w:val="000000"/>
        </w:rPr>
        <w:t xml:space="preserve">  Prognostický význam genových abnormalit u salivárních </w:t>
      </w:r>
      <w:r>
        <w:rPr>
          <w:bCs/>
          <w:color w:val="000000"/>
        </w:rPr>
        <w:t>karcinomů                          10</w:t>
      </w:r>
    </w:p>
    <w:p w:rsidR="00517E70" w:rsidRPr="00690B10" w:rsidRDefault="00517E70" w:rsidP="00B114B4">
      <w:pPr>
        <w:spacing w:line="360" w:lineRule="auto"/>
        <w:rPr>
          <w:bCs/>
          <w:color w:val="000000"/>
        </w:rPr>
      </w:pPr>
    </w:p>
    <w:p w:rsidR="00517E70" w:rsidRPr="00CE7A17" w:rsidRDefault="00517E70" w:rsidP="00B114B4">
      <w:pPr>
        <w:spacing w:line="360" w:lineRule="auto"/>
        <w:jc w:val="both"/>
        <w:rPr>
          <w:b/>
        </w:rPr>
      </w:pPr>
      <w:r>
        <w:rPr>
          <w:b/>
        </w:rPr>
        <w:t>2.2. C-K</w:t>
      </w:r>
      <w:r w:rsidRPr="00CE7A17">
        <w:rPr>
          <w:b/>
        </w:rPr>
        <w:t xml:space="preserve">it gen </w:t>
      </w:r>
      <w:r>
        <w:rPr>
          <w:b/>
        </w:rPr>
        <w:t xml:space="preserve">                                                                                                                         </w:t>
      </w:r>
      <w:r w:rsidRPr="00194637">
        <w:rPr>
          <w:bCs/>
        </w:rPr>
        <w:t>12</w:t>
      </w:r>
    </w:p>
    <w:p w:rsidR="00517E70" w:rsidRPr="00CE7A17" w:rsidRDefault="00517E70" w:rsidP="00B114B4">
      <w:pPr>
        <w:spacing w:line="360" w:lineRule="auto"/>
        <w:jc w:val="both"/>
        <w:rPr>
          <w:b/>
        </w:rPr>
      </w:pPr>
    </w:p>
    <w:p w:rsidR="00517E70" w:rsidRPr="00CE7A17" w:rsidRDefault="00517E70" w:rsidP="00B114B4">
      <w:pPr>
        <w:spacing w:line="360" w:lineRule="auto"/>
        <w:jc w:val="both"/>
        <w:rPr>
          <w:b/>
        </w:rPr>
      </w:pPr>
      <w:r>
        <w:rPr>
          <w:b/>
        </w:rPr>
        <w:t xml:space="preserve">2.3. </w:t>
      </w:r>
      <w:r w:rsidRPr="00CE7A17">
        <w:rPr>
          <w:b/>
        </w:rPr>
        <w:t xml:space="preserve">MYB gen </w:t>
      </w:r>
      <w:r>
        <w:rPr>
          <w:b/>
        </w:rPr>
        <w:t xml:space="preserve">                                                                                                                         </w:t>
      </w:r>
      <w:r w:rsidRPr="00194637">
        <w:rPr>
          <w:bCs/>
        </w:rPr>
        <w:t>14</w:t>
      </w:r>
    </w:p>
    <w:p w:rsidR="00517E70" w:rsidRPr="006E1488" w:rsidRDefault="00517E70" w:rsidP="00B114B4">
      <w:pPr>
        <w:spacing w:line="360" w:lineRule="auto"/>
        <w:jc w:val="both"/>
        <w:rPr>
          <w:b/>
          <w:iCs/>
          <w:color w:val="000000"/>
        </w:rPr>
      </w:pPr>
    </w:p>
    <w:p w:rsidR="00517E70" w:rsidRDefault="00517E70" w:rsidP="00B114B4">
      <w:pPr>
        <w:spacing w:line="360" w:lineRule="auto"/>
        <w:jc w:val="both"/>
        <w:rPr>
          <w:b/>
          <w:iCs/>
          <w:color w:val="000000"/>
        </w:rPr>
      </w:pPr>
      <w:r>
        <w:rPr>
          <w:b/>
          <w:iCs/>
          <w:color w:val="000000"/>
        </w:rPr>
        <w:t xml:space="preserve">3. Cíle práce                                                                                                                           </w:t>
      </w:r>
      <w:r w:rsidRPr="00194637">
        <w:rPr>
          <w:bCs/>
          <w:iCs/>
          <w:color w:val="000000"/>
        </w:rPr>
        <w:t xml:space="preserve"> 15</w:t>
      </w:r>
    </w:p>
    <w:p w:rsidR="00517E70" w:rsidRDefault="00517E70" w:rsidP="00203F1C">
      <w:pPr>
        <w:spacing w:after="120" w:line="360" w:lineRule="auto"/>
        <w:jc w:val="both"/>
        <w:rPr>
          <w:iCs/>
        </w:rPr>
      </w:pPr>
    </w:p>
    <w:p w:rsidR="00517E70" w:rsidRDefault="00517E70" w:rsidP="00203F1C">
      <w:pPr>
        <w:spacing w:after="120" w:line="360" w:lineRule="auto"/>
        <w:jc w:val="both"/>
        <w:rPr>
          <w:b/>
          <w:iCs/>
        </w:rPr>
      </w:pPr>
      <w:r>
        <w:rPr>
          <w:b/>
          <w:iCs/>
        </w:rPr>
        <w:t>4.1. C - K</w:t>
      </w:r>
      <w:r w:rsidRPr="009E0D1F">
        <w:rPr>
          <w:b/>
          <w:iCs/>
        </w:rPr>
        <w:t xml:space="preserve">it gen </w:t>
      </w:r>
      <w:r>
        <w:rPr>
          <w:b/>
          <w:iCs/>
        </w:rPr>
        <w:t xml:space="preserve">                                                                                                                        </w:t>
      </w:r>
      <w:r w:rsidRPr="00194637">
        <w:rPr>
          <w:bCs/>
          <w:iCs/>
        </w:rPr>
        <w:t>16</w:t>
      </w:r>
    </w:p>
    <w:p w:rsidR="00517E70" w:rsidRPr="005A3773"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 xml:space="preserve">4.1.1 </w:t>
      </w:r>
      <w:r w:rsidRPr="00690B10">
        <w:rPr>
          <w:rFonts w:ascii="new times roman" w:hAnsi="new times roman" w:cs="NewCenturySchlbkCE-Bold"/>
          <w:bCs/>
        </w:rPr>
        <w:t xml:space="preserve">Soubor pacientů a metody </w:t>
      </w:r>
      <w:r>
        <w:rPr>
          <w:rFonts w:ascii="new times roman" w:hAnsi="new times roman" w:cs="NewCenturySchlbkCE-Bold"/>
          <w:bCs/>
        </w:rPr>
        <w:t xml:space="preserve">                                                                                               16</w:t>
      </w:r>
    </w:p>
    <w:p w:rsidR="00517E70" w:rsidRDefault="00517E70" w:rsidP="00203F1C">
      <w:pPr>
        <w:autoSpaceDE w:val="0"/>
        <w:autoSpaceDN w:val="0"/>
        <w:adjustRightInd w:val="0"/>
        <w:spacing w:line="360" w:lineRule="auto"/>
        <w:jc w:val="both"/>
        <w:rPr>
          <w:bCs/>
        </w:rPr>
      </w:pPr>
      <w:r>
        <w:rPr>
          <w:bCs/>
        </w:rPr>
        <w:t>4.1.2</w:t>
      </w:r>
      <w:r w:rsidRPr="00022DAB">
        <w:rPr>
          <w:bCs/>
        </w:rPr>
        <w:t>. Imunohistochemické vyšetření</w:t>
      </w:r>
      <w:r>
        <w:rPr>
          <w:bCs/>
        </w:rPr>
        <w:t xml:space="preserve">                                                                                       16</w:t>
      </w:r>
    </w:p>
    <w:p w:rsidR="00517E70" w:rsidRPr="005A3773" w:rsidRDefault="00517E70" w:rsidP="00203F1C">
      <w:pPr>
        <w:autoSpaceDE w:val="0"/>
        <w:autoSpaceDN w:val="0"/>
        <w:adjustRightInd w:val="0"/>
        <w:spacing w:line="360" w:lineRule="auto"/>
        <w:jc w:val="both"/>
        <w:rPr>
          <w:bCs/>
        </w:rPr>
      </w:pPr>
      <w:r w:rsidRPr="005A3773">
        <w:rPr>
          <w:bCs/>
        </w:rPr>
        <w:t xml:space="preserve">4.1.3 Statistické metody zhodnocení </w:t>
      </w:r>
      <w:r>
        <w:rPr>
          <w:bCs/>
        </w:rPr>
        <w:t xml:space="preserve">                                                                                       17  </w:t>
      </w:r>
    </w:p>
    <w:p w:rsidR="00517E70" w:rsidRDefault="00517E70" w:rsidP="00203F1C">
      <w:pPr>
        <w:autoSpaceDE w:val="0"/>
        <w:autoSpaceDN w:val="0"/>
        <w:adjustRightInd w:val="0"/>
        <w:spacing w:line="360" w:lineRule="auto"/>
        <w:jc w:val="both"/>
        <w:rPr>
          <w:bCs/>
        </w:rPr>
      </w:pPr>
      <w:r>
        <w:rPr>
          <w:bCs/>
        </w:rPr>
        <w:t>4.1.4</w:t>
      </w:r>
      <w:r w:rsidRPr="00022DAB">
        <w:rPr>
          <w:bCs/>
        </w:rPr>
        <w:t>. Výsledky</w:t>
      </w:r>
      <w:r>
        <w:rPr>
          <w:bCs/>
        </w:rPr>
        <w:t xml:space="preserve">                                                                                                                         18</w:t>
      </w:r>
    </w:p>
    <w:p w:rsidR="00517E70" w:rsidRDefault="00517E70" w:rsidP="00203F1C">
      <w:pPr>
        <w:autoSpaceDE w:val="0"/>
        <w:autoSpaceDN w:val="0"/>
        <w:adjustRightInd w:val="0"/>
        <w:spacing w:line="360" w:lineRule="auto"/>
        <w:jc w:val="both"/>
        <w:rPr>
          <w:bCs/>
        </w:rPr>
      </w:pPr>
      <w:r>
        <w:rPr>
          <w:bCs/>
        </w:rPr>
        <w:t>4.1.5</w:t>
      </w:r>
      <w:r w:rsidRPr="00022DAB">
        <w:rPr>
          <w:bCs/>
        </w:rPr>
        <w:t xml:space="preserve"> Diskuse</w:t>
      </w:r>
      <w:r>
        <w:rPr>
          <w:bCs/>
        </w:rPr>
        <w:t xml:space="preserve">                                                                                                                             20</w:t>
      </w:r>
    </w:p>
    <w:p w:rsidR="00517E70" w:rsidRPr="00022DAB" w:rsidRDefault="00517E70" w:rsidP="00203F1C">
      <w:pPr>
        <w:autoSpaceDE w:val="0"/>
        <w:autoSpaceDN w:val="0"/>
        <w:adjustRightInd w:val="0"/>
        <w:spacing w:line="360" w:lineRule="auto"/>
        <w:jc w:val="both"/>
        <w:rPr>
          <w:bCs/>
        </w:rPr>
      </w:pPr>
      <w:r>
        <w:rPr>
          <w:bCs/>
        </w:rPr>
        <w:t>4.1.6</w:t>
      </w:r>
      <w:r w:rsidRPr="00022DAB">
        <w:rPr>
          <w:bCs/>
        </w:rPr>
        <w:t>. Závěr</w:t>
      </w:r>
      <w:r>
        <w:rPr>
          <w:bCs/>
        </w:rPr>
        <w:t>y - C-Kit gen                                                                                                          23</w:t>
      </w: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Default="00517E70" w:rsidP="00203F1C">
      <w:pPr>
        <w:autoSpaceDE w:val="0"/>
        <w:autoSpaceDN w:val="0"/>
        <w:adjustRightInd w:val="0"/>
        <w:spacing w:line="360" w:lineRule="auto"/>
        <w:jc w:val="both"/>
        <w:rPr>
          <w:bCs/>
        </w:rPr>
      </w:pPr>
    </w:p>
    <w:p w:rsidR="00517E70" w:rsidRPr="00022DAB" w:rsidRDefault="00517E70" w:rsidP="00203F1C">
      <w:pPr>
        <w:autoSpaceDE w:val="0"/>
        <w:autoSpaceDN w:val="0"/>
        <w:adjustRightInd w:val="0"/>
        <w:spacing w:line="360" w:lineRule="auto"/>
        <w:jc w:val="both"/>
        <w:rPr>
          <w:bCs/>
        </w:rPr>
      </w:pPr>
    </w:p>
    <w:p w:rsidR="00517E70" w:rsidRDefault="00517E70" w:rsidP="00203F1C">
      <w:pPr>
        <w:spacing w:line="360" w:lineRule="auto"/>
        <w:jc w:val="both"/>
        <w:rPr>
          <w:b/>
          <w:iCs/>
          <w:color w:val="000000"/>
        </w:rPr>
      </w:pPr>
      <w:r>
        <w:rPr>
          <w:b/>
          <w:iCs/>
          <w:color w:val="000000"/>
        </w:rPr>
        <w:t xml:space="preserve">4.2 MYB  gen                                                                                                                      </w:t>
      </w:r>
      <w:r w:rsidRPr="00194637">
        <w:rPr>
          <w:bCs/>
          <w:iCs/>
          <w:color w:val="000000"/>
        </w:rPr>
        <w:t>24</w:t>
      </w:r>
    </w:p>
    <w:p w:rsidR="00517E70" w:rsidRDefault="00517E70" w:rsidP="00203F1C">
      <w:pPr>
        <w:spacing w:line="360" w:lineRule="auto"/>
        <w:jc w:val="both"/>
        <w:rPr>
          <w:b/>
          <w:iCs/>
          <w:color w:val="000000"/>
        </w:rPr>
      </w:pPr>
    </w:p>
    <w:p w:rsidR="00517E70" w:rsidRPr="00690B10"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4.2</w:t>
      </w:r>
      <w:r w:rsidRPr="00690B10">
        <w:rPr>
          <w:rFonts w:ascii="new times roman" w:hAnsi="new times roman" w:cs="NewCenturySchlbkCE-Bold"/>
          <w:bCs/>
        </w:rPr>
        <w:t xml:space="preserve"> </w:t>
      </w:r>
      <w:r>
        <w:rPr>
          <w:rFonts w:ascii="new times roman" w:hAnsi="new times roman" w:cs="NewCenturySchlbkCE-Bold"/>
          <w:bCs/>
        </w:rPr>
        <w:t xml:space="preserve">1 </w:t>
      </w:r>
      <w:r w:rsidRPr="00690B10">
        <w:rPr>
          <w:rFonts w:ascii="new times roman" w:hAnsi="new times roman" w:cs="NewCenturySchlbkCE-Bold"/>
          <w:bCs/>
        </w:rPr>
        <w:t xml:space="preserve">Soubor pacientů a metody </w:t>
      </w:r>
      <w:r>
        <w:rPr>
          <w:rFonts w:ascii="new times roman" w:hAnsi="new times roman" w:cs="NewCenturySchlbkCE-Bold"/>
          <w:bCs/>
        </w:rPr>
        <w:t xml:space="preserve">                                                                                          24</w:t>
      </w:r>
    </w:p>
    <w:p w:rsidR="00517E70" w:rsidRPr="00690B10" w:rsidRDefault="00517E70" w:rsidP="00203F1C">
      <w:pPr>
        <w:spacing w:after="120" w:line="360" w:lineRule="auto"/>
        <w:jc w:val="both"/>
        <w:rPr>
          <w:iCs/>
        </w:rPr>
      </w:pPr>
      <w:r w:rsidRPr="00690B10">
        <w:rPr>
          <w:iCs/>
        </w:rPr>
        <w:t>4.</w:t>
      </w:r>
      <w:r>
        <w:rPr>
          <w:iCs/>
        </w:rPr>
        <w:t>2.</w:t>
      </w:r>
      <w:r w:rsidRPr="00690B10">
        <w:rPr>
          <w:iCs/>
        </w:rPr>
        <w:t>2</w:t>
      </w:r>
      <w:r>
        <w:rPr>
          <w:iCs/>
        </w:rPr>
        <w:t xml:space="preserve"> </w:t>
      </w:r>
      <w:r w:rsidRPr="00690B10">
        <w:rPr>
          <w:iCs/>
        </w:rPr>
        <w:t>Příprava FFPE vzorků</w:t>
      </w:r>
      <w:r>
        <w:rPr>
          <w:iCs/>
        </w:rPr>
        <w:t xml:space="preserve">                                                                                                 25                                                                              </w:t>
      </w:r>
    </w:p>
    <w:p w:rsidR="00517E70" w:rsidRPr="00690B10" w:rsidRDefault="00517E70" w:rsidP="00203F1C">
      <w:pPr>
        <w:spacing w:after="120" w:line="360" w:lineRule="auto"/>
        <w:jc w:val="both"/>
        <w:rPr>
          <w:iCs/>
        </w:rPr>
      </w:pPr>
      <w:r w:rsidRPr="00690B10">
        <w:rPr>
          <w:iCs/>
        </w:rPr>
        <w:t>4.</w:t>
      </w:r>
      <w:r>
        <w:rPr>
          <w:iCs/>
        </w:rPr>
        <w:t>2.</w:t>
      </w:r>
      <w:r w:rsidRPr="00690B10">
        <w:rPr>
          <w:iCs/>
        </w:rPr>
        <w:t>3 FISH postup</w:t>
      </w:r>
      <w:r>
        <w:rPr>
          <w:iCs/>
        </w:rPr>
        <w:t xml:space="preserve">                                                                                                                26</w:t>
      </w:r>
    </w:p>
    <w:p w:rsidR="00517E70" w:rsidRDefault="00517E70" w:rsidP="00203F1C">
      <w:pPr>
        <w:spacing w:after="120" w:line="360" w:lineRule="auto"/>
        <w:jc w:val="both"/>
        <w:rPr>
          <w:iCs/>
        </w:rPr>
      </w:pPr>
      <w:r w:rsidRPr="00690B10">
        <w:rPr>
          <w:iCs/>
        </w:rPr>
        <w:t>4.</w:t>
      </w:r>
      <w:r>
        <w:rPr>
          <w:iCs/>
        </w:rPr>
        <w:t>2.</w:t>
      </w:r>
      <w:r w:rsidRPr="00690B10">
        <w:rPr>
          <w:iCs/>
        </w:rPr>
        <w:t>4. FISH interpretace</w:t>
      </w:r>
      <w:r>
        <w:rPr>
          <w:iCs/>
        </w:rPr>
        <w:t xml:space="preserve"> a cut –off                                                                                       26</w:t>
      </w:r>
    </w:p>
    <w:p w:rsidR="00517E70" w:rsidRPr="007224A6"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4.2.5</w:t>
      </w:r>
      <w:r w:rsidRPr="007224A6">
        <w:rPr>
          <w:rFonts w:ascii="new times roman" w:hAnsi="new times roman" w:cs="NewCenturySchlbkCE-Bold"/>
          <w:bCs/>
        </w:rPr>
        <w:t xml:space="preserve"> Statistické metody zhodnocení </w:t>
      </w:r>
      <w:r>
        <w:rPr>
          <w:rFonts w:ascii="new times roman" w:hAnsi="new times roman" w:cs="NewCenturySchlbkCE-Bold"/>
          <w:bCs/>
        </w:rPr>
        <w:t xml:space="preserve">                                                                                   26                                                                        </w:t>
      </w:r>
    </w:p>
    <w:p w:rsidR="00517E70" w:rsidRPr="007224A6"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 xml:space="preserve">4.2.6. </w:t>
      </w:r>
      <w:r w:rsidRPr="007224A6">
        <w:rPr>
          <w:rFonts w:ascii="new times roman" w:hAnsi="new times roman" w:cs="NewCenturySchlbkCE-Bold"/>
          <w:bCs/>
        </w:rPr>
        <w:t xml:space="preserve">Výsledky </w:t>
      </w:r>
      <w:r>
        <w:rPr>
          <w:rFonts w:ascii="new times roman" w:hAnsi="new times roman" w:cs="NewCenturySchlbkCE-Bold"/>
          <w:bCs/>
        </w:rPr>
        <w:t xml:space="preserve">                                                                                                                    27</w:t>
      </w:r>
    </w:p>
    <w:p w:rsidR="00517E70"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4.2.7</w:t>
      </w:r>
      <w:r w:rsidRPr="007224A6">
        <w:rPr>
          <w:rFonts w:ascii="new times roman" w:hAnsi="new times roman" w:cs="NewCenturySchlbkCE-Bold"/>
          <w:bCs/>
        </w:rPr>
        <w:t xml:space="preserve"> Diskuse</w:t>
      </w:r>
      <w:r>
        <w:rPr>
          <w:rFonts w:ascii="new times roman" w:hAnsi="new times roman" w:cs="NewCenturySchlbkCE-Bold"/>
          <w:bCs/>
        </w:rPr>
        <w:t xml:space="preserve">                                                                                                                        32</w:t>
      </w:r>
    </w:p>
    <w:p w:rsidR="00517E70" w:rsidRPr="009E0D1F" w:rsidRDefault="00517E70" w:rsidP="00203F1C">
      <w:pPr>
        <w:autoSpaceDE w:val="0"/>
        <w:autoSpaceDN w:val="0"/>
        <w:adjustRightInd w:val="0"/>
        <w:spacing w:line="360" w:lineRule="auto"/>
        <w:jc w:val="both"/>
        <w:rPr>
          <w:rFonts w:ascii="new times roman" w:hAnsi="new times roman" w:cs="NewCenturySchlbkCE-Bold"/>
          <w:bCs/>
        </w:rPr>
      </w:pPr>
      <w:r>
        <w:rPr>
          <w:iCs/>
        </w:rPr>
        <w:t>4.2.8</w:t>
      </w:r>
      <w:r w:rsidRPr="009E0D1F">
        <w:rPr>
          <w:iCs/>
        </w:rPr>
        <w:t xml:space="preserve"> </w:t>
      </w:r>
      <w:r>
        <w:rPr>
          <w:iCs/>
        </w:rPr>
        <w:t xml:space="preserve"> </w:t>
      </w:r>
      <w:r w:rsidRPr="009E0D1F">
        <w:rPr>
          <w:rFonts w:ascii="new times roman" w:hAnsi="new times roman" w:cs="NewCenturySchlbkCE-Bold"/>
          <w:bCs/>
        </w:rPr>
        <w:t xml:space="preserve">Závěry - MYB gen </w:t>
      </w:r>
      <w:r>
        <w:rPr>
          <w:rFonts w:ascii="new times roman" w:hAnsi="new times roman" w:cs="NewCenturySchlbkCE-Bold"/>
          <w:bCs/>
        </w:rPr>
        <w:t xml:space="preserve">                                                                                                     34</w:t>
      </w:r>
    </w:p>
    <w:p w:rsidR="00517E70" w:rsidRDefault="00517E70" w:rsidP="00203F1C">
      <w:pPr>
        <w:spacing w:after="120" w:line="360" w:lineRule="auto"/>
        <w:jc w:val="both"/>
        <w:rPr>
          <w:iCs/>
        </w:rPr>
      </w:pPr>
    </w:p>
    <w:p w:rsidR="00517E70" w:rsidRDefault="00517E70" w:rsidP="00203F1C">
      <w:pPr>
        <w:spacing w:line="360" w:lineRule="auto"/>
        <w:jc w:val="both"/>
        <w:rPr>
          <w:b/>
          <w:iCs/>
          <w:color w:val="000000"/>
        </w:rPr>
      </w:pPr>
    </w:p>
    <w:p w:rsidR="00517E70" w:rsidRDefault="00517E70" w:rsidP="00203F1C">
      <w:pPr>
        <w:spacing w:line="360" w:lineRule="auto"/>
        <w:jc w:val="both"/>
        <w:rPr>
          <w:b/>
          <w:iCs/>
          <w:color w:val="000000"/>
        </w:rPr>
      </w:pPr>
      <w:r>
        <w:rPr>
          <w:b/>
          <w:iCs/>
          <w:color w:val="000000"/>
        </w:rPr>
        <w:t xml:space="preserve">5. LITERATURA                                                                                                                </w:t>
      </w:r>
      <w:r w:rsidRPr="00194637">
        <w:rPr>
          <w:bCs/>
          <w:iCs/>
          <w:color w:val="000000"/>
        </w:rPr>
        <w:t>35</w:t>
      </w:r>
    </w:p>
    <w:p w:rsidR="00517E70" w:rsidRDefault="00517E70" w:rsidP="00203F1C">
      <w:pPr>
        <w:spacing w:line="360" w:lineRule="auto"/>
        <w:jc w:val="both"/>
        <w:rPr>
          <w:b/>
          <w:iCs/>
          <w:color w:val="000000"/>
        </w:rPr>
      </w:pPr>
    </w:p>
    <w:p w:rsidR="00517E70" w:rsidRDefault="00517E70" w:rsidP="00203F1C">
      <w:pPr>
        <w:spacing w:line="360" w:lineRule="auto"/>
        <w:jc w:val="both"/>
        <w:rPr>
          <w:b/>
          <w:iCs/>
          <w:color w:val="000000"/>
        </w:rPr>
      </w:pPr>
      <w:r>
        <w:rPr>
          <w:b/>
          <w:iCs/>
          <w:color w:val="000000"/>
        </w:rPr>
        <w:t xml:space="preserve">6. PŘÍLOHY                                                                                                                         </w:t>
      </w:r>
      <w:r w:rsidRPr="00194637">
        <w:rPr>
          <w:bCs/>
          <w:iCs/>
          <w:color w:val="000000"/>
        </w:rPr>
        <w:t>43</w:t>
      </w:r>
    </w:p>
    <w:p w:rsidR="00517E70" w:rsidRDefault="00517E70" w:rsidP="00203F1C">
      <w:pPr>
        <w:spacing w:line="360" w:lineRule="auto"/>
        <w:jc w:val="both"/>
        <w:rPr>
          <w:b/>
          <w:iCs/>
          <w:color w:val="000000"/>
        </w:rPr>
      </w:pPr>
    </w:p>
    <w:p w:rsidR="00517E70" w:rsidRDefault="00517E70" w:rsidP="00203F1C">
      <w:pPr>
        <w:spacing w:line="360" w:lineRule="auto"/>
        <w:jc w:val="both"/>
        <w:rPr>
          <w:b/>
          <w:iCs/>
          <w:color w:val="000000"/>
        </w:rPr>
      </w:pPr>
      <w:r>
        <w:rPr>
          <w:b/>
          <w:iCs/>
          <w:color w:val="000000"/>
        </w:rPr>
        <w:t xml:space="preserve">7. SOUHRN                                                                                                                         </w:t>
      </w:r>
      <w:r w:rsidRPr="00194637">
        <w:rPr>
          <w:bCs/>
          <w:iCs/>
          <w:color w:val="000000"/>
        </w:rPr>
        <w:t xml:space="preserve"> 48</w:t>
      </w:r>
    </w:p>
    <w:p w:rsidR="00517E70" w:rsidRDefault="00517E70" w:rsidP="00203F1C">
      <w:pPr>
        <w:spacing w:line="360" w:lineRule="auto"/>
        <w:jc w:val="both"/>
        <w:rPr>
          <w:b/>
          <w:iCs/>
          <w:color w:val="000000"/>
        </w:rPr>
      </w:pPr>
    </w:p>
    <w:p w:rsidR="00517E70" w:rsidRDefault="00517E70" w:rsidP="00203F1C">
      <w:pPr>
        <w:spacing w:line="360" w:lineRule="auto"/>
        <w:jc w:val="both"/>
        <w:rPr>
          <w:b/>
          <w:iCs/>
          <w:color w:val="000000"/>
        </w:rPr>
      </w:pPr>
      <w:r>
        <w:rPr>
          <w:b/>
          <w:iCs/>
          <w:color w:val="000000"/>
        </w:rPr>
        <w:t xml:space="preserve">8. ABSTRACT                                                                                                                     </w:t>
      </w:r>
      <w:r w:rsidRPr="00194637">
        <w:rPr>
          <w:bCs/>
          <w:iCs/>
          <w:color w:val="000000"/>
        </w:rPr>
        <w:t>49</w:t>
      </w:r>
    </w:p>
    <w:p w:rsidR="00517E70" w:rsidRDefault="00517E70" w:rsidP="00203F1C">
      <w:pPr>
        <w:spacing w:line="360" w:lineRule="auto"/>
        <w:jc w:val="both"/>
        <w:rPr>
          <w:b/>
          <w:iCs/>
          <w:color w:val="000000"/>
        </w:rPr>
      </w:pPr>
      <w:r>
        <w:rPr>
          <w:b/>
          <w:iCs/>
          <w:color w:val="000000"/>
        </w:rPr>
        <w:t xml:space="preserve">                                                                                                         </w:t>
      </w:r>
    </w:p>
    <w:p w:rsidR="00517E70" w:rsidRPr="008E6987" w:rsidRDefault="00517E70" w:rsidP="00203F1C">
      <w:pPr>
        <w:spacing w:line="360" w:lineRule="auto"/>
        <w:jc w:val="both"/>
        <w:rPr>
          <w:b/>
          <w:iCs/>
          <w:color w:val="000000"/>
        </w:rPr>
      </w:pPr>
      <w:r>
        <w:rPr>
          <w:b/>
          <w:iCs/>
          <w:color w:val="000000"/>
        </w:rPr>
        <w:t xml:space="preserve">8. PODĚKOVÁNÍ                                                                                                               </w:t>
      </w:r>
      <w:r w:rsidRPr="00194637">
        <w:rPr>
          <w:bCs/>
          <w:iCs/>
          <w:color w:val="000000"/>
        </w:rPr>
        <w:t xml:space="preserve"> 51</w:t>
      </w: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iCs/>
          <w:color w:val="000000"/>
        </w:rPr>
      </w:pPr>
    </w:p>
    <w:p w:rsidR="00517E70" w:rsidRDefault="00517E70" w:rsidP="00203F1C">
      <w:pPr>
        <w:spacing w:line="360" w:lineRule="auto"/>
        <w:jc w:val="both"/>
        <w:rPr>
          <w:bCs/>
          <w:color w:val="000000"/>
        </w:rPr>
      </w:pPr>
    </w:p>
    <w:p w:rsidR="00517E70" w:rsidRPr="00466436" w:rsidRDefault="00517E70" w:rsidP="00203F1C">
      <w:pPr>
        <w:spacing w:line="360" w:lineRule="auto"/>
        <w:jc w:val="both"/>
        <w:rPr>
          <w:b/>
          <w:bCs/>
          <w:color w:val="000000"/>
        </w:rPr>
      </w:pPr>
      <w:r>
        <w:rPr>
          <w:b/>
          <w:bCs/>
          <w:color w:val="000000"/>
        </w:rPr>
        <w:t xml:space="preserve">2. </w:t>
      </w:r>
      <w:r w:rsidRPr="00466436">
        <w:rPr>
          <w:b/>
          <w:bCs/>
          <w:color w:val="000000"/>
        </w:rPr>
        <w:t>Klinicko-patologick</w:t>
      </w:r>
      <w:r>
        <w:rPr>
          <w:b/>
          <w:bCs/>
          <w:color w:val="000000"/>
        </w:rPr>
        <w:t>é</w:t>
      </w:r>
      <w:r w:rsidRPr="00466436">
        <w:rPr>
          <w:b/>
          <w:bCs/>
          <w:color w:val="000000"/>
        </w:rPr>
        <w:t xml:space="preserve"> charakteristik</w:t>
      </w:r>
      <w:r>
        <w:rPr>
          <w:b/>
          <w:bCs/>
          <w:color w:val="000000"/>
        </w:rPr>
        <w:t>y</w:t>
      </w:r>
      <w:r w:rsidRPr="00466436">
        <w:rPr>
          <w:b/>
          <w:bCs/>
          <w:color w:val="000000"/>
        </w:rPr>
        <w:t xml:space="preserve"> </w:t>
      </w:r>
      <w:r>
        <w:rPr>
          <w:b/>
          <w:bCs/>
          <w:color w:val="000000"/>
        </w:rPr>
        <w:t xml:space="preserve">karcinomů </w:t>
      </w:r>
      <w:r w:rsidRPr="00466436">
        <w:rPr>
          <w:b/>
          <w:bCs/>
          <w:color w:val="000000"/>
        </w:rPr>
        <w:t>slinných žláz</w:t>
      </w:r>
    </w:p>
    <w:p w:rsidR="00517E70" w:rsidRPr="003A5571" w:rsidRDefault="00517E70" w:rsidP="00203F1C">
      <w:pPr>
        <w:spacing w:line="360" w:lineRule="auto"/>
        <w:jc w:val="both"/>
        <w:rPr>
          <w:b/>
          <w:bCs/>
          <w:color w:val="C00000"/>
        </w:rPr>
      </w:pPr>
    </w:p>
    <w:p w:rsidR="00517E70" w:rsidRDefault="00517E70" w:rsidP="00203F1C">
      <w:pPr>
        <w:spacing w:line="360" w:lineRule="auto"/>
        <w:jc w:val="both"/>
        <w:rPr>
          <w:color w:val="000000"/>
        </w:rPr>
      </w:pPr>
      <w:r>
        <w:rPr>
          <w:color w:val="000000"/>
        </w:rPr>
        <w:t xml:space="preserve">Salivární karcinomy jsou vzácně se vyskytujícími afekcemi, na všech zhoubných humánních nádorech se podílejí asi </w:t>
      </w:r>
      <w:r w:rsidRPr="00004DD3">
        <w:rPr>
          <w:color w:val="000000"/>
        </w:rPr>
        <w:t>0,5</w:t>
      </w:r>
      <w:r>
        <w:rPr>
          <w:color w:val="000000"/>
        </w:rPr>
        <w:t xml:space="preserve"> </w:t>
      </w:r>
      <w:r w:rsidRPr="00004DD3">
        <w:rPr>
          <w:color w:val="000000"/>
        </w:rPr>
        <w:t>%</w:t>
      </w:r>
      <w:r>
        <w:rPr>
          <w:color w:val="000000"/>
        </w:rPr>
        <w:t xml:space="preserve">, v oblasti hlavy a krku pak zastupují  3-5 % </w:t>
      </w:r>
      <w:r w:rsidRPr="000548F6">
        <w:t>malignit (1).</w:t>
      </w:r>
      <w:r w:rsidRPr="00004DD3">
        <w:rPr>
          <w:color w:val="000000"/>
        </w:rPr>
        <w:t xml:space="preserve"> </w:t>
      </w:r>
      <w:r>
        <w:rPr>
          <w:color w:val="000000"/>
        </w:rPr>
        <w:t xml:space="preserve">Mohou vycházet z velkých (gl. parotis, submandibularis, sublingualis) nebo z malých slinných žláz, široce rozesetých v oblasti hlavy a krku (sliznice dutiny ústní, uvula, spodina ústní, kořen jazyka, retromolární oblast, peritonsilární oblast, hltan, hrtan, zevní zvukovod, středouší,  paranázální dutiny) </w:t>
      </w:r>
      <w:r w:rsidRPr="000548F6">
        <w:rPr>
          <w:color w:val="000000"/>
        </w:rPr>
        <w:t>(2).</w:t>
      </w:r>
      <w:r>
        <w:rPr>
          <w:color w:val="000000"/>
        </w:rPr>
        <w:t xml:space="preserve"> </w:t>
      </w:r>
    </w:p>
    <w:p w:rsidR="00517E70" w:rsidRDefault="00517E70" w:rsidP="00203F1C">
      <w:pPr>
        <w:spacing w:line="360" w:lineRule="auto"/>
        <w:jc w:val="both"/>
        <w:rPr>
          <w:color w:val="000000"/>
        </w:rPr>
      </w:pPr>
      <w:r>
        <w:rPr>
          <w:color w:val="000000"/>
        </w:rPr>
        <w:t xml:space="preserve">Přibližně 70 % všech neoplasií  slinných žláz vychází ze žlázy příušní. V této lokalizaci převažují benigní nádory, na karcinomy zde připadá jen 15 – 32 %.  V gl. submandibularis a sublingualis nachází své origo přibližně 20 %, </w:t>
      </w:r>
      <w:r w:rsidRPr="000548F6">
        <w:t>resp. 10 % sialomů, přičemž jejich maligní formy jsou zde zastoupeny 41-45 %, resp.  70-90 % (3).</w:t>
      </w:r>
      <w:r>
        <w:rPr>
          <w:color w:val="000000"/>
        </w:rPr>
        <w:t xml:space="preserve"> </w:t>
      </w:r>
    </w:p>
    <w:p w:rsidR="00517E70" w:rsidRPr="000548F6" w:rsidRDefault="00517E70" w:rsidP="00203F1C">
      <w:pPr>
        <w:spacing w:line="360" w:lineRule="auto"/>
        <w:jc w:val="both"/>
      </w:pPr>
      <w:r>
        <w:rPr>
          <w:color w:val="000000"/>
        </w:rPr>
        <w:t xml:space="preserve">Nádory malých slinných žláz představují v této onkologické skupině asi 5% minoritu, avšak polovinu z nich tvoří </w:t>
      </w:r>
      <w:r>
        <w:t xml:space="preserve">karcinomy </w:t>
      </w:r>
      <w:r w:rsidRPr="000548F6">
        <w:t>(3). Jejich relativní zastoupení je závislé na lokalizaci. Např. na patře činí 40</w:t>
      </w:r>
      <w:r>
        <w:t xml:space="preserve"> %, na kořeni jazyka a na spodině ústní</w:t>
      </w:r>
      <w:r w:rsidRPr="000548F6">
        <w:t xml:space="preserve"> až 90 % (4). Salivární karcinomy se vyskytují ve všech věkových skupinách, nejčastěji nevyšším věku, u dětí a </w:t>
      </w:r>
      <w:r>
        <w:t>mladistvých jsou velmi</w:t>
      </w:r>
      <w:r w:rsidRPr="000548F6">
        <w:t xml:space="preserve"> vzácné (3). </w:t>
      </w:r>
    </w:p>
    <w:p w:rsidR="00517E70" w:rsidRPr="000548F6" w:rsidRDefault="00517E70" w:rsidP="00203F1C">
      <w:pPr>
        <w:spacing w:line="360" w:lineRule="auto"/>
        <w:jc w:val="both"/>
        <w:rPr>
          <w:bCs/>
        </w:rPr>
      </w:pPr>
      <w:r w:rsidRPr="000548F6">
        <w:rPr>
          <w:bCs/>
        </w:rPr>
        <w:t>Sou</w:t>
      </w:r>
      <w:r>
        <w:rPr>
          <w:bCs/>
        </w:rPr>
        <w:t xml:space="preserve">časná WHO klasifikace z r. 2005 </w:t>
      </w:r>
      <w:r w:rsidRPr="000548F6">
        <w:rPr>
          <w:bCs/>
        </w:rPr>
        <w:t>(5) zahrnuje celkem 25 maligních epiteliálních tumorů slinných žláz (tabulka č. 1). Jejich relativní zastoupení je velmi nevyrovnané, většinou se jedná o mukoepidermoidní, adenoidně cystický, acinocelulární a salivární duktální karcinom (6)</w:t>
      </w:r>
      <w:r>
        <w:rPr>
          <w:bCs/>
        </w:rPr>
        <w:t xml:space="preserve">. U malých slinných  žláz je </w:t>
      </w:r>
      <w:r w:rsidRPr="000548F6">
        <w:rPr>
          <w:bCs/>
        </w:rPr>
        <w:t>nejčastější histopatologickou jednotkou polymorfní low grade adenokarcinom (1,4).</w:t>
      </w:r>
    </w:p>
    <w:p w:rsidR="00517E70" w:rsidRDefault="00517E70" w:rsidP="00203F1C">
      <w:pPr>
        <w:spacing w:line="360" w:lineRule="auto"/>
        <w:jc w:val="both"/>
        <w:rPr>
          <w:bCs/>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color w:val="800000"/>
          <w:sz w:val="18"/>
          <w:szCs w:val="18"/>
          <w:highlight w:val="yellow"/>
        </w:rPr>
      </w:pPr>
    </w:p>
    <w:p w:rsidR="00517E70" w:rsidRPr="008C46AB" w:rsidRDefault="00517E70" w:rsidP="00203F1C">
      <w:pPr>
        <w:spacing w:line="360" w:lineRule="auto"/>
        <w:jc w:val="both"/>
        <w:rPr>
          <w:color w:val="800000"/>
          <w:sz w:val="18"/>
          <w:szCs w:val="18"/>
          <w:highlight w:val="yellow"/>
        </w:rPr>
      </w:pPr>
    </w:p>
    <w:p w:rsidR="00517E70" w:rsidRDefault="00517E70" w:rsidP="00203F1C">
      <w:pPr>
        <w:spacing w:line="360" w:lineRule="auto"/>
        <w:jc w:val="both"/>
        <w:rPr>
          <w:b/>
        </w:rPr>
      </w:pPr>
      <w:r>
        <w:rPr>
          <w:b/>
        </w:rPr>
        <w:t xml:space="preserve">Tabulka č. 1 </w:t>
      </w:r>
    </w:p>
    <w:p w:rsidR="00517E70" w:rsidRDefault="00517E70" w:rsidP="00203F1C">
      <w:pPr>
        <w:spacing w:line="360" w:lineRule="auto"/>
        <w:jc w:val="both"/>
        <w:rPr>
          <w:b/>
        </w:rPr>
      </w:pPr>
      <w:r>
        <w:rPr>
          <w:b/>
        </w:rPr>
        <w:t>WHO histologická klasifikace karcinomů nádorů slinných žláz (2005)</w:t>
      </w:r>
    </w:p>
    <w:p w:rsidR="00517E70" w:rsidRDefault="00517E70" w:rsidP="00203F1C">
      <w:pPr>
        <w:spacing w:line="360" w:lineRule="auto"/>
        <w:jc w:val="both"/>
        <w:rPr>
          <w:bCs/>
          <w:color w:val="000000"/>
        </w:rPr>
      </w:pPr>
    </w:p>
    <w:tbl>
      <w:tblPr>
        <w:tblW w:w="6300" w:type="dxa"/>
        <w:tblInd w:w="55" w:type="dxa"/>
        <w:tblCellMar>
          <w:left w:w="70" w:type="dxa"/>
          <w:right w:w="70" w:type="dxa"/>
        </w:tblCellMar>
        <w:tblLook w:val="00A0"/>
      </w:tblPr>
      <w:tblGrid>
        <w:gridCol w:w="6300"/>
      </w:tblGrid>
      <w:tr w:rsidR="00517E70" w:rsidRPr="00575AF0" w:rsidTr="005423DD">
        <w:trPr>
          <w:trHeight w:val="315"/>
        </w:trPr>
        <w:tc>
          <w:tcPr>
            <w:tcW w:w="6300" w:type="dxa"/>
            <w:tcBorders>
              <w:top w:val="single" w:sz="8" w:space="0" w:color="auto"/>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Karcinom z acinárních buněk</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Mukoepidermoidní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sidRPr="00575AF0">
              <w:rPr>
                <w:color w:val="000000"/>
              </w:rPr>
              <w:t>Adenoid</w:t>
            </w:r>
            <w:r>
              <w:rPr>
                <w:color w:val="000000"/>
              </w:rPr>
              <w:t>ně cystický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Polymorfní low grade adenokarcinom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AD67CA" w:rsidRDefault="00517E70" w:rsidP="00203F1C">
            <w:pPr>
              <w:jc w:val="both"/>
            </w:pPr>
            <w:r w:rsidRPr="00AD67CA">
              <w:t>Epitelově-myoepitelový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812476" w:rsidRDefault="00517E70" w:rsidP="00203F1C">
            <w:pPr>
              <w:jc w:val="both"/>
            </w:pPr>
            <w:r w:rsidRPr="00812476">
              <w:t xml:space="preserve">Karcinom z jasných buněk </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E15E26" w:rsidRDefault="00517E70" w:rsidP="00203F1C">
            <w:pPr>
              <w:jc w:val="both"/>
            </w:pPr>
            <w:r w:rsidRPr="00E15E26">
              <w:t xml:space="preserve">Bazocelulární  </w:t>
            </w:r>
            <w:r>
              <w:t>adenokarcinom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sidRPr="00575AF0">
              <w:rPr>
                <w:color w:val="000000"/>
              </w:rPr>
              <w:t>Sebac</w:t>
            </w:r>
            <w:r>
              <w:rPr>
                <w:color w:val="000000"/>
              </w:rPr>
              <w:t>eózní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Sebaceózní lymfadenokarcinom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Cystadenokarcinom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sidRPr="00575AF0">
              <w:rPr>
                <w:color w:val="000000"/>
              </w:rPr>
              <w:t>Low grade</w:t>
            </w:r>
            <w:r>
              <w:rPr>
                <w:color w:val="000000"/>
              </w:rPr>
              <w:t xml:space="preserve">  kr</w:t>
            </w:r>
            <w:r w:rsidRPr="00575AF0">
              <w:rPr>
                <w:color w:val="000000"/>
              </w:rPr>
              <w:t>ibriform</w:t>
            </w:r>
            <w:r>
              <w:rPr>
                <w:color w:val="000000"/>
              </w:rPr>
              <w:t>ní cystadenokarcinom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Mucinózní adenok</w:t>
            </w:r>
            <w:r w:rsidRPr="00575AF0">
              <w:rPr>
                <w:color w:val="000000"/>
              </w:rPr>
              <w:t>arcin</w:t>
            </w:r>
            <w:r>
              <w:rPr>
                <w:color w:val="000000"/>
              </w:rPr>
              <w:t>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Onkocytární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Salivární duktální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Adenokarcinom NOS</w:t>
            </w:r>
            <w:r w:rsidRPr="00575AF0">
              <w:rPr>
                <w:color w:val="000000"/>
              </w:rPr>
              <w:t xml:space="preserve"> </w:t>
            </w:r>
            <w:r>
              <w:rPr>
                <w:color w:val="000000"/>
              </w:rPr>
              <w:t>(</w:t>
            </w:r>
            <w:r w:rsidRPr="00575AF0">
              <w:rPr>
                <w:color w:val="000000"/>
              </w:rPr>
              <w:t>not otherwise specified)</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Myoepitelový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Karcinom z pleomorfního adenomu</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Karcinosarkom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Metastázující pleomorfní adenom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Dlaždicobuněčný k</w:t>
            </w:r>
            <w:r w:rsidRPr="00575AF0">
              <w:rPr>
                <w:color w:val="000000"/>
              </w:rPr>
              <w:t>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Malobuněčný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Velkobuněčný karcinom</w:t>
            </w:r>
          </w:p>
        </w:tc>
      </w:tr>
      <w:tr w:rsidR="00517E70" w:rsidRPr="00575AF0" w:rsidTr="005423DD">
        <w:trPr>
          <w:trHeight w:val="315"/>
        </w:trPr>
        <w:tc>
          <w:tcPr>
            <w:tcW w:w="6300" w:type="dxa"/>
            <w:tcBorders>
              <w:top w:val="nil"/>
              <w:left w:val="single" w:sz="8" w:space="0" w:color="auto"/>
              <w:bottom w:val="nil"/>
              <w:right w:val="single" w:sz="8" w:space="0" w:color="auto"/>
            </w:tcBorders>
            <w:noWrap/>
            <w:vAlign w:val="bottom"/>
          </w:tcPr>
          <w:p w:rsidR="00517E70" w:rsidRPr="00575AF0" w:rsidRDefault="00517E70" w:rsidP="00203F1C">
            <w:pPr>
              <w:jc w:val="both"/>
              <w:rPr>
                <w:color w:val="000000"/>
              </w:rPr>
            </w:pPr>
            <w:r>
              <w:rPr>
                <w:color w:val="000000"/>
              </w:rPr>
              <w:t>Lymfoepiteliální karcinom</w:t>
            </w:r>
          </w:p>
        </w:tc>
      </w:tr>
      <w:tr w:rsidR="00517E70" w:rsidRPr="00575AF0" w:rsidTr="005423DD">
        <w:trPr>
          <w:trHeight w:val="330"/>
        </w:trPr>
        <w:tc>
          <w:tcPr>
            <w:tcW w:w="6300" w:type="dxa"/>
            <w:tcBorders>
              <w:top w:val="nil"/>
              <w:left w:val="single" w:sz="8" w:space="0" w:color="auto"/>
              <w:bottom w:val="single" w:sz="8" w:space="0" w:color="auto"/>
              <w:right w:val="single" w:sz="8" w:space="0" w:color="auto"/>
            </w:tcBorders>
            <w:noWrap/>
            <w:vAlign w:val="bottom"/>
          </w:tcPr>
          <w:p w:rsidR="00517E70" w:rsidRPr="00575AF0" w:rsidRDefault="00517E70" w:rsidP="00203F1C">
            <w:pPr>
              <w:jc w:val="both"/>
              <w:rPr>
                <w:color w:val="000000"/>
              </w:rPr>
            </w:pPr>
            <w:r>
              <w:rPr>
                <w:color w:val="000000"/>
              </w:rPr>
              <w:t>Sialoblastom</w:t>
            </w:r>
          </w:p>
        </w:tc>
      </w:tr>
    </w:tbl>
    <w:p w:rsidR="00517E70" w:rsidRDefault="00517E70" w:rsidP="00203F1C">
      <w:pPr>
        <w:spacing w:line="360" w:lineRule="auto"/>
        <w:jc w:val="both"/>
        <w:rPr>
          <w:bCs/>
          <w:color w:val="000000"/>
        </w:rPr>
      </w:pPr>
    </w:p>
    <w:p w:rsidR="00517E70" w:rsidRPr="00466436" w:rsidRDefault="00517E70" w:rsidP="00203F1C">
      <w:pPr>
        <w:spacing w:line="360" w:lineRule="auto"/>
        <w:jc w:val="both"/>
        <w:rPr>
          <w:bCs/>
          <w:color w:val="000000"/>
        </w:rPr>
      </w:pPr>
      <w:r>
        <w:rPr>
          <w:bCs/>
          <w:color w:val="000000"/>
        </w:rPr>
        <w:t xml:space="preserve">Salivární karcinomy jsou </w:t>
      </w:r>
      <w:r w:rsidRPr="00466436">
        <w:rPr>
          <w:bCs/>
          <w:color w:val="000000"/>
        </w:rPr>
        <w:t>charakterizov</w:t>
      </w:r>
      <w:r>
        <w:rPr>
          <w:bCs/>
          <w:color w:val="000000"/>
        </w:rPr>
        <w:t>ány</w:t>
      </w:r>
      <w:r w:rsidRPr="00466436">
        <w:rPr>
          <w:bCs/>
          <w:color w:val="000000"/>
        </w:rPr>
        <w:t xml:space="preserve"> velkou histomorfologickou pestrostí a variabilitou biologického chování, a to i v rámci jedné a téže jednotky, což je příčinou obtížnosti při stanovení jejich prognózy. </w:t>
      </w:r>
    </w:p>
    <w:p w:rsidR="00517E70" w:rsidRDefault="00517E70" w:rsidP="00203F1C">
      <w:pPr>
        <w:spacing w:line="360" w:lineRule="auto"/>
        <w:jc w:val="both"/>
        <w:rPr>
          <w:bCs/>
          <w:color w:val="000000"/>
        </w:rPr>
      </w:pPr>
      <w:r>
        <w:rPr>
          <w:bCs/>
          <w:color w:val="000000"/>
        </w:rPr>
        <w:t>Dignita některých salivárních karcinomů je a priori dána samotnou histopatologickou diagnózou, implikující jejich grading</w:t>
      </w:r>
      <w:r>
        <w:rPr>
          <w:bCs/>
          <w:color w:val="FF0000"/>
        </w:rPr>
        <w:t xml:space="preserve"> </w:t>
      </w:r>
      <w:r>
        <w:rPr>
          <w:bCs/>
          <w:color w:val="000000"/>
        </w:rPr>
        <w:t xml:space="preserve">(např. vysoce </w:t>
      </w:r>
      <w:r w:rsidRPr="000548F6">
        <w:rPr>
          <w:bCs/>
        </w:rPr>
        <w:t>maligní malobuněčný vs. nízce maligní acinocelulární karcinom)</w:t>
      </w:r>
      <w:r>
        <w:rPr>
          <w:bCs/>
        </w:rPr>
        <w:t xml:space="preserve">. U mukoepidermoidního (7, 8) a </w:t>
      </w:r>
      <w:r w:rsidRPr="000548F6">
        <w:rPr>
          <w:bCs/>
        </w:rPr>
        <w:t>adenoidně cys</w:t>
      </w:r>
      <w:r>
        <w:rPr>
          <w:bCs/>
        </w:rPr>
        <w:t xml:space="preserve">tického karcinomu (9, 10) byla </w:t>
      </w:r>
      <w:r w:rsidRPr="000548F6">
        <w:rPr>
          <w:bCs/>
        </w:rPr>
        <w:t>pro určení stupně jejich diferenciace vypracována speciální kritéria.</w:t>
      </w:r>
      <w:r>
        <w:rPr>
          <w:bCs/>
          <w:color w:val="000000"/>
        </w:rPr>
        <w:t xml:space="preserve"> </w:t>
      </w:r>
    </w:p>
    <w:p w:rsidR="00517E70" w:rsidRPr="00CE7A17" w:rsidRDefault="00517E70" w:rsidP="00203F1C">
      <w:pPr>
        <w:spacing w:line="360" w:lineRule="auto"/>
        <w:jc w:val="both"/>
        <w:rPr>
          <w:bCs/>
          <w:color w:val="000000"/>
        </w:rPr>
      </w:pPr>
      <w:r>
        <w:rPr>
          <w:bCs/>
          <w:color w:val="000000"/>
        </w:rPr>
        <w:t>U raritně se vyskytujících jednotek, u nichž chybí potřebné histopatologicko-klinické korelace, nebyl grading vůbec vytvořen. V individuálních případech však klinický průběh nemoci neodpovídá stanovenému histopatologickému stupni malignity. Proto je v současnosti tendence rozdělovat salivární karcinomy nikoli na léze nízkého a vysokého stupně malignity, ale na tumory s nízkým a vysokým biologickým rizikem (low- a high-risk).</w:t>
      </w:r>
    </w:p>
    <w:p w:rsidR="00517E70" w:rsidRDefault="00517E70" w:rsidP="00203F1C">
      <w:pPr>
        <w:spacing w:line="360" w:lineRule="auto"/>
        <w:jc w:val="both"/>
        <w:rPr>
          <w:b/>
          <w:bCs/>
          <w:color w:val="000000"/>
        </w:rPr>
      </w:pPr>
    </w:p>
    <w:p w:rsidR="00517E70" w:rsidRDefault="00517E70" w:rsidP="00203F1C">
      <w:pPr>
        <w:spacing w:line="360" w:lineRule="auto"/>
        <w:jc w:val="both"/>
        <w:rPr>
          <w:b/>
          <w:bCs/>
          <w:color w:val="C00000"/>
        </w:rPr>
      </w:pPr>
      <w:r>
        <w:rPr>
          <w:b/>
          <w:bCs/>
          <w:color w:val="000000"/>
        </w:rPr>
        <w:t xml:space="preserve">2.1. </w:t>
      </w:r>
      <w:r w:rsidRPr="00466436">
        <w:rPr>
          <w:b/>
          <w:bCs/>
          <w:color w:val="000000"/>
        </w:rPr>
        <w:t>Možnosti p</w:t>
      </w:r>
      <w:r>
        <w:rPr>
          <w:b/>
          <w:bCs/>
          <w:color w:val="000000"/>
        </w:rPr>
        <w:t xml:space="preserve">rognózování karcinomů slinných </w:t>
      </w:r>
      <w:r w:rsidRPr="00466436">
        <w:rPr>
          <w:b/>
          <w:bCs/>
          <w:color w:val="000000"/>
        </w:rPr>
        <w:t>žláz</w:t>
      </w:r>
      <w:r w:rsidRPr="003A5571">
        <w:rPr>
          <w:b/>
          <w:bCs/>
          <w:color w:val="C00000"/>
        </w:rPr>
        <w:t xml:space="preserve"> </w:t>
      </w:r>
    </w:p>
    <w:p w:rsidR="00517E70" w:rsidRDefault="00517E70" w:rsidP="00203F1C">
      <w:pPr>
        <w:spacing w:line="360" w:lineRule="auto"/>
        <w:jc w:val="both"/>
        <w:rPr>
          <w:b/>
          <w:bCs/>
          <w:color w:val="C00000"/>
        </w:rPr>
      </w:pPr>
    </w:p>
    <w:p w:rsidR="00517E70" w:rsidRDefault="00517E70" w:rsidP="00203F1C">
      <w:pPr>
        <w:spacing w:line="360" w:lineRule="auto"/>
        <w:jc w:val="both"/>
        <w:rPr>
          <w:b/>
          <w:bCs/>
          <w:color w:val="000000"/>
        </w:rPr>
      </w:pPr>
      <w:r>
        <w:rPr>
          <w:b/>
          <w:bCs/>
          <w:color w:val="000000"/>
        </w:rPr>
        <w:t>2.1.1.  Význam histopatologického gradingu pro prognózu salivárních karcinomů</w:t>
      </w:r>
    </w:p>
    <w:p w:rsidR="00517E70" w:rsidRDefault="00517E70" w:rsidP="00203F1C">
      <w:pPr>
        <w:spacing w:line="360" w:lineRule="auto"/>
        <w:jc w:val="both"/>
        <w:rPr>
          <w:b/>
          <w:bCs/>
          <w:color w:val="000000"/>
        </w:rPr>
      </w:pPr>
    </w:p>
    <w:p w:rsidR="00517E70" w:rsidRPr="00E15E26" w:rsidRDefault="00517E70" w:rsidP="00203F1C">
      <w:pPr>
        <w:spacing w:line="360" w:lineRule="auto"/>
        <w:jc w:val="both"/>
        <w:rPr>
          <w:bCs/>
          <w:color w:val="000000"/>
        </w:rPr>
      </w:pPr>
      <w:r>
        <w:rPr>
          <w:bCs/>
          <w:color w:val="000000"/>
        </w:rPr>
        <w:t xml:space="preserve">Prognostický význam histopatologického gradingu byl ověřen několika nezávislými studiemi.   Podle Lima (11) činí 5leté přežití u pacientů s karcinomy nízkého a středního stupně malignity  85-90 %, s high grade karcinomy pouze 40-50 %. Podobně Renehan (12) u parotických karcinomů udává 10leté přežití u low grade karcinomů 93 %,  a u intermediate a high grade lézí 40-50 %. </w:t>
      </w:r>
    </w:p>
    <w:p w:rsidR="00517E70" w:rsidRDefault="00517E70" w:rsidP="00203F1C">
      <w:pPr>
        <w:autoSpaceDE w:val="0"/>
        <w:autoSpaceDN w:val="0"/>
        <w:adjustRightInd w:val="0"/>
        <w:jc w:val="both"/>
      </w:pPr>
    </w:p>
    <w:p w:rsidR="00517E70" w:rsidRPr="00BF279E" w:rsidRDefault="00517E70" w:rsidP="00203F1C">
      <w:pPr>
        <w:autoSpaceDE w:val="0"/>
        <w:autoSpaceDN w:val="0"/>
        <w:adjustRightInd w:val="0"/>
        <w:jc w:val="both"/>
      </w:pPr>
    </w:p>
    <w:p w:rsidR="00517E70" w:rsidRPr="00BF279E" w:rsidRDefault="00517E70" w:rsidP="00203F1C">
      <w:pPr>
        <w:spacing w:line="360" w:lineRule="auto"/>
        <w:jc w:val="both"/>
        <w:rPr>
          <w:strike/>
        </w:rPr>
      </w:pPr>
      <w:r w:rsidRPr="00BF279E">
        <w:rPr>
          <w:bCs/>
        </w:rPr>
        <w:t>Prognostický význam gradi</w:t>
      </w:r>
      <w:r>
        <w:rPr>
          <w:bCs/>
        </w:rPr>
        <w:t>ngu byl prokázán Armstrongem (13</w:t>
      </w:r>
      <w:r w:rsidRPr="00BF279E">
        <w:rPr>
          <w:bCs/>
        </w:rPr>
        <w:t>) pouze u tu</w:t>
      </w:r>
      <w:r>
        <w:rPr>
          <w:bCs/>
        </w:rPr>
        <w:t xml:space="preserve">morů vyšších klinických stádií </w:t>
      </w:r>
      <w:r w:rsidRPr="00BF279E">
        <w:rPr>
          <w:bCs/>
        </w:rPr>
        <w:t>(III a IV). Přežití pacientů s low- vs. high-grade karcin</w:t>
      </w:r>
      <w:r>
        <w:rPr>
          <w:bCs/>
        </w:rPr>
        <w:t xml:space="preserve">omy, léčenými ve stádiu I a II </w:t>
      </w:r>
      <w:r w:rsidRPr="00BF279E">
        <w:rPr>
          <w:bCs/>
        </w:rPr>
        <w:t>se signifikantně nelišilo.</w:t>
      </w:r>
      <w:r w:rsidRPr="00BF279E">
        <w:rPr>
          <w:strike/>
        </w:rPr>
        <w:t xml:space="preserve"> </w:t>
      </w:r>
    </w:p>
    <w:p w:rsidR="00517E70" w:rsidRDefault="00517E70" w:rsidP="00203F1C">
      <w:pPr>
        <w:autoSpaceDE w:val="0"/>
        <w:autoSpaceDN w:val="0"/>
        <w:adjustRightInd w:val="0"/>
        <w:jc w:val="both"/>
        <w:rPr>
          <w:bCs/>
          <w:color w:val="00B0F0"/>
        </w:rPr>
      </w:pPr>
    </w:p>
    <w:p w:rsidR="00517E70" w:rsidRPr="00F16F95" w:rsidRDefault="00517E70" w:rsidP="00203F1C">
      <w:pPr>
        <w:spacing w:line="360" w:lineRule="auto"/>
        <w:jc w:val="both"/>
        <w:rPr>
          <w:bCs/>
          <w:color w:val="C00000"/>
        </w:rPr>
      </w:pPr>
    </w:p>
    <w:p w:rsidR="00517E70" w:rsidRPr="00CE7A17" w:rsidRDefault="00517E70" w:rsidP="00203F1C">
      <w:pPr>
        <w:spacing w:line="360" w:lineRule="auto"/>
        <w:jc w:val="both"/>
        <w:rPr>
          <w:color w:val="FFFFFF"/>
          <w:sz w:val="19"/>
          <w:szCs w:val="19"/>
        </w:rPr>
      </w:pPr>
      <w:r>
        <w:rPr>
          <w:color w:val="FFFFFF"/>
          <w:sz w:val="19"/>
          <w:szCs w:val="19"/>
        </w:rPr>
        <w:t>SDC</w:t>
      </w:r>
    </w:p>
    <w:p w:rsidR="00517E70" w:rsidRDefault="00517E70" w:rsidP="00203F1C">
      <w:pPr>
        <w:spacing w:line="360" w:lineRule="auto"/>
        <w:jc w:val="both"/>
        <w:rPr>
          <w:b/>
          <w:bCs/>
          <w:color w:val="000000"/>
        </w:rPr>
      </w:pPr>
      <w:r w:rsidRPr="001B4C66">
        <w:rPr>
          <w:b/>
          <w:bCs/>
        </w:rPr>
        <w:t xml:space="preserve"> 2.1.2</w:t>
      </w:r>
      <w:r>
        <w:rPr>
          <w:b/>
          <w:bCs/>
          <w:color w:val="C00000"/>
        </w:rPr>
        <w:t xml:space="preserve"> </w:t>
      </w:r>
      <w:r>
        <w:rPr>
          <w:b/>
          <w:bCs/>
          <w:color w:val="000000"/>
        </w:rPr>
        <w:t>Vliv klinického stagingu na</w:t>
      </w:r>
      <w:r w:rsidRPr="001F681B">
        <w:rPr>
          <w:b/>
          <w:bCs/>
          <w:color w:val="000000"/>
        </w:rPr>
        <w:t xml:space="preserve"> prognózu</w:t>
      </w:r>
      <w:r>
        <w:rPr>
          <w:b/>
          <w:bCs/>
          <w:color w:val="000000"/>
        </w:rPr>
        <w:t xml:space="preserve"> pacientů se salivárními karcinomy</w:t>
      </w:r>
    </w:p>
    <w:p w:rsidR="00517E70" w:rsidRDefault="00517E70" w:rsidP="00203F1C">
      <w:pPr>
        <w:spacing w:line="360" w:lineRule="auto"/>
        <w:jc w:val="both"/>
        <w:rPr>
          <w:b/>
          <w:bCs/>
          <w:color w:val="C00000"/>
        </w:rPr>
      </w:pPr>
    </w:p>
    <w:p w:rsidR="00517E70" w:rsidRPr="004A2636" w:rsidRDefault="00517E70" w:rsidP="00203F1C">
      <w:pPr>
        <w:spacing w:line="360" w:lineRule="auto"/>
        <w:jc w:val="both"/>
        <w:rPr>
          <w:bCs/>
          <w:color w:val="000000"/>
        </w:rPr>
      </w:pPr>
      <w:r>
        <w:rPr>
          <w:bCs/>
          <w:color w:val="000000"/>
        </w:rPr>
        <w:t xml:space="preserve">Vedle stupně histopatologické diferenciace byly jako prognostické faktory karcinomů slinných žláz zkoumány i jejich klinické charakteristiky. Některé studie prokázaly negativní vliv věku, mužského pohlaví (14, 15) a zejména pak přítomnosti krčních metastáz. </w:t>
      </w:r>
    </w:p>
    <w:p w:rsidR="00517E70" w:rsidRPr="002225BE" w:rsidRDefault="00517E70" w:rsidP="00203F1C">
      <w:pPr>
        <w:shd w:val="clear" w:color="auto" w:fill="FFFFFF"/>
        <w:spacing w:after="300" w:line="360" w:lineRule="auto"/>
        <w:jc w:val="both"/>
        <w:rPr>
          <w:color w:val="222222"/>
        </w:rPr>
      </w:pPr>
      <w:r>
        <w:rPr>
          <w:bCs/>
        </w:rPr>
        <w:t xml:space="preserve">Podobně jako u dlaždicobuněčných karcinomů hlavy a krku, je i u salivárních tumorů prognóza determinována klinickým stádiem (viz tab.č.2). </w:t>
      </w:r>
      <w:r>
        <w:rPr>
          <w:bCs/>
          <w:color w:val="000000"/>
        </w:rPr>
        <w:t xml:space="preserve">Bylo prokázáno, že staging má dokonce větší prognostickou váhu nežli stanovení stupně jejich diferenciace </w:t>
      </w:r>
      <w:r w:rsidRPr="00F30360">
        <w:rPr>
          <w:bCs/>
          <w:color w:val="000000"/>
        </w:rPr>
        <w:t>(</w:t>
      </w:r>
      <w:r>
        <w:rPr>
          <w:bCs/>
          <w:color w:val="000000"/>
        </w:rPr>
        <w:t>1, 10</w:t>
      </w:r>
      <w:r w:rsidRPr="00F30360">
        <w:rPr>
          <w:bCs/>
          <w:color w:val="000000"/>
        </w:rPr>
        <w:t>,</w:t>
      </w:r>
      <w:r>
        <w:rPr>
          <w:bCs/>
          <w:color w:val="000000"/>
        </w:rPr>
        <w:t xml:space="preserve"> 16, 7, 8</w:t>
      </w:r>
      <w:r w:rsidRPr="00F30360">
        <w:rPr>
          <w:color w:val="000000"/>
          <w:sz w:val="18"/>
          <w:szCs w:val="18"/>
        </w:rPr>
        <w:t>).</w:t>
      </w:r>
      <w:r>
        <w:rPr>
          <w:color w:val="000000"/>
          <w:sz w:val="18"/>
          <w:szCs w:val="18"/>
        </w:rPr>
        <w:t xml:space="preserve"> </w:t>
      </w: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r w:rsidRPr="00F368DD">
        <w:rPr>
          <w:b/>
        </w:rPr>
        <w:t xml:space="preserve">Tabulka č. </w:t>
      </w:r>
      <w:r>
        <w:rPr>
          <w:b/>
        </w:rPr>
        <w:t>2</w:t>
      </w:r>
      <w:r w:rsidRPr="00F368DD">
        <w:rPr>
          <w:b/>
        </w:rPr>
        <w:t>:</w:t>
      </w:r>
      <w:r>
        <w:t xml:space="preserve"> 10leté přežití</w:t>
      </w:r>
      <w:r w:rsidRPr="00836B00">
        <w:t xml:space="preserve"> </w:t>
      </w:r>
      <w:r>
        <w:t>pacientů karcinomů slinných žláz v závislosti na klinickém stadiu</w:t>
      </w:r>
    </w:p>
    <w:p w:rsidR="00517E70" w:rsidRPr="00C23897" w:rsidRDefault="00517E70" w:rsidP="00203F1C">
      <w:pPr>
        <w:spacing w:line="360" w:lineRule="auto"/>
        <w:jc w:val="both"/>
        <w:rPr>
          <w:bCs/>
        </w:rPr>
      </w:pPr>
    </w:p>
    <w:tbl>
      <w:tblPr>
        <w:tblW w:w="4410" w:type="dxa"/>
        <w:tblInd w:w="55" w:type="dxa"/>
        <w:tblCellMar>
          <w:left w:w="70" w:type="dxa"/>
          <w:right w:w="70" w:type="dxa"/>
        </w:tblCellMar>
        <w:tblLook w:val="0000"/>
      </w:tblPr>
      <w:tblGrid>
        <w:gridCol w:w="1400"/>
        <w:gridCol w:w="700"/>
        <w:gridCol w:w="720"/>
        <w:gridCol w:w="720"/>
        <w:gridCol w:w="870"/>
      </w:tblGrid>
      <w:tr w:rsidR="00517E70" w:rsidRPr="00C23897" w:rsidTr="00133660">
        <w:trPr>
          <w:trHeight w:val="750"/>
        </w:trPr>
        <w:tc>
          <w:tcPr>
            <w:tcW w:w="1400" w:type="dxa"/>
            <w:tcBorders>
              <w:top w:val="single" w:sz="8" w:space="0" w:color="auto"/>
              <w:left w:val="single" w:sz="8" w:space="0" w:color="auto"/>
              <w:bottom w:val="single" w:sz="4" w:space="0" w:color="auto"/>
              <w:right w:val="single" w:sz="4" w:space="0" w:color="auto"/>
            </w:tcBorders>
            <w:noWrap/>
            <w:vAlign w:val="bottom"/>
          </w:tcPr>
          <w:p w:rsidR="00517E70" w:rsidRPr="00264C69" w:rsidRDefault="00517E70" w:rsidP="00203F1C">
            <w:pPr>
              <w:jc w:val="both"/>
              <w:rPr>
                <w:b/>
                <w:bCs/>
                <w:i/>
              </w:rPr>
            </w:pPr>
            <w:r w:rsidRPr="00264C69">
              <w:rPr>
                <w:b/>
                <w:bCs/>
                <w:i/>
              </w:rPr>
              <w:t> </w:t>
            </w:r>
            <w:r>
              <w:rPr>
                <w:b/>
                <w:bCs/>
                <w:i/>
              </w:rPr>
              <w:t>Autor</w:t>
            </w:r>
          </w:p>
        </w:tc>
        <w:tc>
          <w:tcPr>
            <w:tcW w:w="700" w:type="dxa"/>
            <w:tcBorders>
              <w:top w:val="single" w:sz="8" w:space="0" w:color="auto"/>
              <w:left w:val="nil"/>
              <w:bottom w:val="single" w:sz="4" w:space="0" w:color="auto"/>
              <w:right w:val="single" w:sz="4" w:space="0" w:color="auto"/>
            </w:tcBorders>
            <w:noWrap/>
            <w:vAlign w:val="bottom"/>
          </w:tcPr>
          <w:p w:rsidR="00517E70" w:rsidRPr="00C23897" w:rsidRDefault="00517E70" w:rsidP="00203F1C">
            <w:pPr>
              <w:jc w:val="both"/>
              <w:rPr>
                <w:b/>
                <w:bCs/>
              </w:rPr>
            </w:pPr>
            <w:r>
              <w:rPr>
                <w:b/>
                <w:bCs/>
              </w:rPr>
              <w:t xml:space="preserve">st. </w:t>
            </w:r>
            <w:r w:rsidRPr="00C23897">
              <w:rPr>
                <w:b/>
                <w:bCs/>
              </w:rPr>
              <w:t>I</w:t>
            </w:r>
          </w:p>
        </w:tc>
        <w:tc>
          <w:tcPr>
            <w:tcW w:w="720" w:type="dxa"/>
            <w:tcBorders>
              <w:top w:val="single" w:sz="8" w:space="0" w:color="auto"/>
              <w:left w:val="nil"/>
              <w:bottom w:val="single" w:sz="4" w:space="0" w:color="auto"/>
              <w:right w:val="single" w:sz="4" w:space="0" w:color="auto"/>
            </w:tcBorders>
            <w:noWrap/>
            <w:vAlign w:val="bottom"/>
          </w:tcPr>
          <w:p w:rsidR="00517E70" w:rsidRPr="00C23897" w:rsidRDefault="00517E70" w:rsidP="00203F1C">
            <w:pPr>
              <w:jc w:val="both"/>
              <w:rPr>
                <w:b/>
                <w:bCs/>
              </w:rPr>
            </w:pPr>
            <w:r>
              <w:rPr>
                <w:b/>
                <w:bCs/>
              </w:rPr>
              <w:t xml:space="preserve">st. </w:t>
            </w:r>
            <w:r w:rsidRPr="00C23897">
              <w:rPr>
                <w:b/>
                <w:bCs/>
              </w:rPr>
              <w:t>II</w:t>
            </w:r>
          </w:p>
        </w:tc>
        <w:tc>
          <w:tcPr>
            <w:tcW w:w="720" w:type="dxa"/>
            <w:tcBorders>
              <w:top w:val="single" w:sz="8" w:space="0" w:color="auto"/>
              <w:left w:val="nil"/>
              <w:bottom w:val="single" w:sz="4" w:space="0" w:color="auto"/>
              <w:right w:val="single" w:sz="4" w:space="0" w:color="auto"/>
            </w:tcBorders>
            <w:noWrap/>
            <w:vAlign w:val="bottom"/>
          </w:tcPr>
          <w:p w:rsidR="00517E70" w:rsidRPr="00C23897" w:rsidRDefault="00517E70" w:rsidP="00203F1C">
            <w:pPr>
              <w:jc w:val="both"/>
              <w:rPr>
                <w:b/>
                <w:bCs/>
              </w:rPr>
            </w:pPr>
            <w:r>
              <w:rPr>
                <w:b/>
                <w:bCs/>
              </w:rPr>
              <w:t xml:space="preserve">st. </w:t>
            </w:r>
            <w:r w:rsidRPr="00C23897">
              <w:rPr>
                <w:b/>
                <w:bCs/>
              </w:rPr>
              <w:t>III</w:t>
            </w:r>
          </w:p>
        </w:tc>
        <w:tc>
          <w:tcPr>
            <w:tcW w:w="870" w:type="dxa"/>
            <w:tcBorders>
              <w:top w:val="single" w:sz="8" w:space="0" w:color="auto"/>
              <w:left w:val="nil"/>
              <w:bottom w:val="single" w:sz="4" w:space="0" w:color="auto"/>
              <w:right w:val="single" w:sz="8" w:space="0" w:color="auto"/>
            </w:tcBorders>
            <w:noWrap/>
            <w:vAlign w:val="bottom"/>
          </w:tcPr>
          <w:p w:rsidR="00517E70" w:rsidRPr="00C23897" w:rsidRDefault="00517E70" w:rsidP="00203F1C">
            <w:pPr>
              <w:jc w:val="both"/>
              <w:rPr>
                <w:b/>
                <w:bCs/>
              </w:rPr>
            </w:pPr>
            <w:r>
              <w:rPr>
                <w:b/>
                <w:bCs/>
              </w:rPr>
              <w:t xml:space="preserve">st. </w:t>
            </w:r>
            <w:r w:rsidRPr="00C23897">
              <w:rPr>
                <w:b/>
                <w:bCs/>
              </w:rPr>
              <w:t>IV</w:t>
            </w:r>
          </w:p>
        </w:tc>
      </w:tr>
      <w:tr w:rsidR="00517E70" w:rsidRPr="00C23897" w:rsidTr="00133660">
        <w:trPr>
          <w:trHeight w:val="660"/>
        </w:trPr>
        <w:tc>
          <w:tcPr>
            <w:tcW w:w="1400" w:type="dxa"/>
            <w:tcBorders>
              <w:top w:val="nil"/>
              <w:left w:val="single" w:sz="8" w:space="0" w:color="auto"/>
              <w:bottom w:val="single" w:sz="4" w:space="0" w:color="auto"/>
              <w:right w:val="single" w:sz="4" w:space="0" w:color="auto"/>
            </w:tcBorders>
            <w:noWrap/>
            <w:vAlign w:val="bottom"/>
          </w:tcPr>
          <w:p w:rsidR="00517E70" w:rsidRPr="00C23897" w:rsidRDefault="00517E70" w:rsidP="00203F1C">
            <w:pPr>
              <w:jc w:val="both"/>
              <w:rPr>
                <w:b/>
                <w:bCs/>
              </w:rPr>
            </w:pPr>
            <w:r w:rsidRPr="00C23897">
              <w:rPr>
                <w:b/>
                <w:bCs/>
              </w:rPr>
              <w:t>Lima</w:t>
            </w:r>
            <w:r>
              <w:rPr>
                <w:b/>
                <w:bCs/>
                <w:vertAlign w:val="superscript"/>
              </w:rPr>
              <w:t>11</w:t>
            </w:r>
            <w:r>
              <w:rPr>
                <w:b/>
                <w:bCs/>
              </w:rPr>
              <w:t xml:space="preserve"> </w:t>
            </w:r>
          </w:p>
        </w:tc>
        <w:tc>
          <w:tcPr>
            <w:tcW w:w="700" w:type="dxa"/>
            <w:tcBorders>
              <w:top w:val="nil"/>
              <w:left w:val="nil"/>
              <w:bottom w:val="single" w:sz="4" w:space="0" w:color="auto"/>
              <w:right w:val="single" w:sz="4" w:space="0" w:color="auto"/>
            </w:tcBorders>
            <w:noWrap/>
            <w:vAlign w:val="bottom"/>
          </w:tcPr>
          <w:p w:rsidR="00517E70" w:rsidRPr="00C23897" w:rsidRDefault="00517E70" w:rsidP="00203F1C">
            <w:pPr>
              <w:jc w:val="both"/>
            </w:pPr>
            <w:r w:rsidRPr="00C23897">
              <w:t>97%</w:t>
            </w:r>
          </w:p>
        </w:tc>
        <w:tc>
          <w:tcPr>
            <w:tcW w:w="720" w:type="dxa"/>
            <w:tcBorders>
              <w:top w:val="nil"/>
              <w:left w:val="nil"/>
              <w:bottom w:val="single" w:sz="4" w:space="0" w:color="auto"/>
              <w:right w:val="single" w:sz="4" w:space="0" w:color="auto"/>
            </w:tcBorders>
            <w:noWrap/>
            <w:vAlign w:val="bottom"/>
          </w:tcPr>
          <w:p w:rsidR="00517E70" w:rsidRPr="00C23897" w:rsidRDefault="00517E70" w:rsidP="00203F1C">
            <w:pPr>
              <w:jc w:val="both"/>
            </w:pPr>
            <w:r w:rsidRPr="00C23897">
              <w:t>81%</w:t>
            </w:r>
          </w:p>
        </w:tc>
        <w:tc>
          <w:tcPr>
            <w:tcW w:w="720" w:type="dxa"/>
            <w:tcBorders>
              <w:top w:val="nil"/>
              <w:left w:val="nil"/>
              <w:bottom w:val="single" w:sz="4" w:space="0" w:color="auto"/>
              <w:right w:val="single" w:sz="4" w:space="0" w:color="auto"/>
            </w:tcBorders>
            <w:noWrap/>
            <w:vAlign w:val="bottom"/>
          </w:tcPr>
          <w:p w:rsidR="00517E70" w:rsidRPr="00C23897" w:rsidRDefault="00517E70" w:rsidP="00203F1C">
            <w:pPr>
              <w:jc w:val="both"/>
            </w:pPr>
            <w:r w:rsidRPr="00C23897">
              <w:t>56%</w:t>
            </w:r>
          </w:p>
        </w:tc>
        <w:tc>
          <w:tcPr>
            <w:tcW w:w="870" w:type="dxa"/>
            <w:tcBorders>
              <w:top w:val="nil"/>
              <w:left w:val="nil"/>
              <w:bottom w:val="single" w:sz="4" w:space="0" w:color="auto"/>
              <w:right w:val="single" w:sz="8" w:space="0" w:color="auto"/>
            </w:tcBorders>
            <w:noWrap/>
            <w:vAlign w:val="bottom"/>
          </w:tcPr>
          <w:p w:rsidR="00517E70" w:rsidRPr="00C23897" w:rsidRDefault="00517E70" w:rsidP="00203F1C">
            <w:pPr>
              <w:jc w:val="both"/>
            </w:pPr>
            <w:r w:rsidRPr="00C23897">
              <w:t>20%</w:t>
            </w:r>
          </w:p>
        </w:tc>
      </w:tr>
      <w:tr w:rsidR="00517E70" w:rsidRPr="00C23897" w:rsidTr="00133660">
        <w:trPr>
          <w:trHeight w:val="645"/>
        </w:trPr>
        <w:tc>
          <w:tcPr>
            <w:tcW w:w="1400" w:type="dxa"/>
            <w:tcBorders>
              <w:top w:val="nil"/>
              <w:left w:val="single" w:sz="8" w:space="0" w:color="auto"/>
              <w:bottom w:val="single" w:sz="8" w:space="0" w:color="auto"/>
              <w:right w:val="single" w:sz="4" w:space="0" w:color="auto"/>
            </w:tcBorders>
            <w:noWrap/>
            <w:vAlign w:val="bottom"/>
          </w:tcPr>
          <w:p w:rsidR="00517E70" w:rsidRPr="00C23897" w:rsidRDefault="00517E70" w:rsidP="00203F1C">
            <w:pPr>
              <w:jc w:val="both"/>
              <w:rPr>
                <w:b/>
                <w:bCs/>
              </w:rPr>
            </w:pPr>
            <w:r w:rsidRPr="00C23897">
              <w:rPr>
                <w:b/>
                <w:bCs/>
              </w:rPr>
              <w:t>Renehan</w:t>
            </w:r>
            <w:r>
              <w:rPr>
                <w:b/>
                <w:bCs/>
                <w:vertAlign w:val="superscript"/>
              </w:rPr>
              <w:t>12</w:t>
            </w:r>
            <w:r>
              <w:rPr>
                <w:b/>
                <w:bCs/>
              </w:rPr>
              <w:t xml:space="preserve"> </w:t>
            </w:r>
          </w:p>
        </w:tc>
        <w:tc>
          <w:tcPr>
            <w:tcW w:w="700" w:type="dxa"/>
            <w:tcBorders>
              <w:top w:val="nil"/>
              <w:left w:val="nil"/>
              <w:bottom w:val="single" w:sz="8" w:space="0" w:color="auto"/>
              <w:right w:val="single" w:sz="4" w:space="0" w:color="auto"/>
            </w:tcBorders>
            <w:noWrap/>
            <w:vAlign w:val="bottom"/>
          </w:tcPr>
          <w:p w:rsidR="00517E70" w:rsidRPr="00C23897" w:rsidRDefault="00517E70" w:rsidP="00203F1C">
            <w:pPr>
              <w:jc w:val="both"/>
            </w:pPr>
            <w:r w:rsidRPr="00C23897">
              <w:t>96%</w:t>
            </w:r>
          </w:p>
        </w:tc>
        <w:tc>
          <w:tcPr>
            <w:tcW w:w="720" w:type="dxa"/>
            <w:tcBorders>
              <w:top w:val="nil"/>
              <w:left w:val="nil"/>
              <w:bottom w:val="single" w:sz="8" w:space="0" w:color="auto"/>
              <w:right w:val="single" w:sz="4" w:space="0" w:color="auto"/>
            </w:tcBorders>
            <w:noWrap/>
            <w:vAlign w:val="bottom"/>
          </w:tcPr>
          <w:p w:rsidR="00517E70" w:rsidRPr="00C23897" w:rsidRDefault="00517E70" w:rsidP="00203F1C">
            <w:pPr>
              <w:jc w:val="both"/>
            </w:pPr>
            <w:r w:rsidRPr="00C23897">
              <w:t>70%</w:t>
            </w:r>
          </w:p>
        </w:tc>
        <w:tc>
          <w:tcPr>
            <w:tcW w:w="720" w:type="dxa"/>
            <w:tcBorders>
              <w:top w:val="nil"/>
              <w:left w:val="nil"/>
              <w:bottom w:val="single" w:sz="8" w:space="0" w:color="auto"/>
              <w:right w:val="single" w:sz="4" w:space="0" w:color="auto"/>
            </w:tcBorders>
            <w:noWrap/>
            <w:vAlign w:val="bottom"/>
          </w:tcPr>
          <w:p w:rsidR="00517E70" w:rsidRPr="00C23897" w:rsidRDefault="00517E70" w:rsidP="00203F1C">
            <w:pPr>
              <w:jc w:val="both"/>
            </w:pPr>
            <w:r w:rsidRPr="00C23897">
              <w:t>47%</w:t>
            </w:r>
          </w:p>
        </w:tc>
        <w:tc>
          <w:tcPr>
            <w:tcW w:w="870" w:type="dxa"/>
            <w:tcBorders>
              <w:top w:val="nil"/>
              <w:left w:val="nil"/>
              <w:bottom w:val="single" w:sz="8" w:space="0" w:color="auto"/>
              <w:right w:val="single" w:sz="8" w:space="0" w:color="auto"/>
            </w:tcBorders>
            <w:noWrap/>
            <w:vAlign w:val="bottom"/>
          </w:tcPr>
          <w:p w:rsidR="00517E70" w:rsidRPr="00C23897" w:rsidRDefault="00517E70" w:rsidP="00203F1C">
            <w:pPr>
              <w:jc w:val="both"/>
            </w:pPr>
            <w:r>
              <w:t>17</w:t>
            </w:r>
            <w:r w:rsidRPr="00C23897">
              <w:t>%</w:t>
            </w:r>
          </w:p>
        </w:tc>
      </w:tr>
    </w:tbl>
    <w:p w:rsidR="00517E70" w:rsidRDefault="00517E70" w:rsidP="00203F1C">
      <w:pPr>
        <w:spacing w:line="360" w:lineRule="auto"/>
        <w:jc w:val="both"/>
        <w:rPr>
          <w:bCs/>
          <w:color w:val="000000"/>
        </w:rPr>
      </w:pPr>
    </w:p>
    <w:p w:rsidR="00517E70" w:rsidRDefault="00517E70" w:rsidP="00203F1C">
      <w:pPr>
        <w:spacing w:line="360" w:lineRule="auto"/>
        <w:jc w:val="both"/>
        <w:rPr>
          <w:bCs/>
          <w:color w:val="000000"/>
        </w:rPr>
      </w:pPr>
    </w:p>
    <w:p w:rsidR="00517E70" w:rsidRDefault="00517E70" w:rsidP="00203F1C">
      <w:pPr>
        <w:spacing w:line="360" w:lineRule="auto"/>
        <w:jc w:val="both"/>
        <w:rPr>
          <w:bCs/>
          <w:color w:val="000000"/>
        </w:rPr>
      </w:pPr>
    </w:p>
    <w:p w:rsidR="00517E70" w:rsidRDefault="00517E70" w:rsidP="00203F1C">
      <w:pPr>
        <w:spacing w:line="360" w:lineRule="auto"/>
        <w:jc w:val="both"/>
        <w:rPr>
          <w:bCs/>
        </w:rPr>
      </w:pPr>
      <w:r>
        <w:rPr>
          <w:bCs/>
        </w:rPr>
        <w:t xml:space="preserve">Klinicky důležitým prognostickým faktorem, determinujícím rozsah resekce příušní žlázy, je velikost tumoru, kdy pacienti s karcinomy menšími než </w:t>
      </w:r>
      <w:smartTag w:uri="urn:schemas-microsoft-com:office:smarttags" w:element="metricconverter">
        <w:smartTagPr>
          <w:attr w:name="ProductID" w:val="4 cm"/>
        </w:smartTagPr>
        <w:r>
          <w:rPr>
            <w:bCs/>
          </w:rPr>
          <w:t>4 cm</w:t>
        </w:r>
      </w:smartTag>
      <w:r>
        <w:rPr>
          <w:bCs/>
        </w:rPr>
        <w:t xml:space="preserve"> vykazují bez ohledu na histopatologický grading signifikantně delší přežití (viz tab. č. 3). </w:t>
      </w:r>
    </w:p>
    <w:p w:rsidR="00517E70" w:rsidRDefault="00517E70" w:rsidP="00203F1C">
      <w:pPr>
        <w:spacing w:line="360" w:lineRule="auto"/>
        <w:jc w:val="both"/>
        <w:rPr>
          <w:bCs/>
          <w:color w:val="C00000"/>
        </w:rPr>
      </w:pPr>
    </w:p>
    <w:p w:rsidR="00517E70" w:rsidRPr="00654377" w:rsidRDefault="00517E70" w:rsidP="00203F1C">
      <w:pPr>
        <w:spacing w:line="360" w:lineRule="auto"/>
        <w:jc w:val="both"/>
        <w:rPr>
          <w:bCs/>
        </w:rPr>
      </w:pPr>
      <w:r w:rsidRPr="00F368DD">
        <w:rPr>
          <w:b/>
          <w:bCs/>
          <w:color w:val="C00000"/>
        </w:rPr>
        <w:t xml:space="preserve">  </w:t>
      </w:r>
      <w:r w:rsidRPr="00F368DD">
        <w:rPr>
          <w:b/>
          <w:bCs/>
        </w:rPr>
        <w:t>Tabulka č.</w:t>
      </w:r>
      <w:r>
        <w:rPr>
          <w:b/>
          <w:bCs/>
        </w:rPr>
        <w:t xml:space="preserve"> 3</w:t>
      </w:r>
      <w:r w:rsidRPr="00F368DD">
        <w:rPr>
          <w:b/>
          <w:bCs/>
        </w:rPr>
        <w:t>:</w:t>
      </w:r>
      <w:r>
        <w:rPr>
          <w:bCs/>
        </w:rPr>
        <w:t xml:space="preserve"> D</w:t>
      </w:r>
      <w:r w:rsidRPr="00654377">
        <w:rPr>
          <w:bCs/>
        </w:rPr>
        <w:t xml:space="preserve">élka přežití </w:t>
      </w:r>
      <w:r>
        <w:rPr>
          <w:bCs/>
        </w:rPr>
        <w:t xml:space="preserve">pacientů se salivárními karcinomy </w:t>
      </w:r>
      <w:r w:rsidRPr="00654377">
        <w:rPr>
          <w:bCs/>
        </w:rPr>
        <w:t xml:space="preserve">v závislosti na velikosti tumoru </w:t>
      </w:r>
    </w:p>
    <w:p w:rsidR="00517E70" w:rsidRDefault="00517E70" w:rsidP="00203F1C">
      <w:pPr>
        <w:spacing w:line="360" w:lineRule="auto"/>
        <w:jc w:val="both"/>
        <w:rPr>
          <w:bCs/>
          <w:color w:val="C00000"/>
        </w:rPr>
      </w:pPr>
    </w:p>
    <w:tbl>
      <w:tblPr>
        <w:tblW w:w="5620" w:type="dxa"/>
        <w:tblInd w:w="55" w:type="dxa"/>
        <w:tblCellMar>
          <w:left w:w="70" w:type="dxa"/>
          <w:right w:w="70" w:type="dxa"/>
        </w:tblCellMar>
        <w:tblLook w:val="00A0"/>
      </w:tblPr>
      <w:tblGrid>
        <w:gridCol w:w="1740"/>
        <w:gridCol w:w="960"/>
        <w:gridCol w:w="960"/>
        <w:gridCol w:w="1960"/>
      </w:tblGrid>
      <w:tr w:rsidR="00517E70" w:rsidRPr="0097728F" w:rsidTr="0097728F">
        <w:trPr>
          <w:trHeight w:val="360"/>
        </w:trPr>
        <w:tc>
          <w:tcPr>
            <w:tcW w:w="1740" w:type="dxa"/>
            <w:vMerge w:val="restart"/>
            <w:tcBorders>
              <w:top w:val="single" w:sz="4" w:space="0" w:color="auto"/>
              <w:left w:val="single" w:sz="4" w:space="0" w:color="auto"/>
              <w:bottom w:val="single" w:sz="4" w:space="0" w:color="auto"/>
              <w:right w:val="single" w:sz="4" w:space="0" w:color="auto"/>
            </w:tcBorders>
            <w:vAlign w:val="center"/>
          </w:tcPr>
          <w:p w:rsidR="00517E70" w:rsidRPr="0097728F" w:rsidRDefault="00517E70" w:rsidP="00203F1C">
            <w:pPr>
              <w:jc w:val="both"/>
              <w:rPr>
                <w:color w:val="000000"/>
              </w:rPr>
            </w:pPr>
            <w:r w:rsidRPr="0097728F">
              <w:rPr>
                <w:color w:val="000000"/>
              </w:rPr>
              <w:t> </w:t>
            </w:r>
          </w:p>
        </w:tc>
        <w:tc>
          <w:tcPr>
            <w:tcW w:w="3880" w:type="dxa"/>
            <w:gridSpan w:val="3"/>
            <w:tcBorders>
              <w:top w:val="single" w:sz="4" w:space="0" w:color="auto"/>
              <w:left w:val="nil"/>
              <w:bottom w:val="single" w:sz="4" w:space="0" w:color="auto"/>
              <w:right w:val="single" w:sz="4" w:space="0" w:color="auto"/>
            </w:tcBorders>
            <w:vAlign w:val="center"/>
          </w:tcPr>
          <w:p w:rsidR="00517E70" w:rsidRPr="0097728F" w:rsidRDefault="00517E70" w:rsidP="00203F1C">
            <w:pPr>
              <w:jc w:val="both"/>
              <w:rPr>
                <w:b/>
                <w:bCs/>
                <w:i/>
                <w:iCs/>
                <w:color w:val="000000"/>
              </w:rPr>
            </w:pPr>
            <w:r>
              <w:rPr>
                <w:b/>
                <w:bCs/>
                <w:i/>
                <w:iCs/>
                <w:color w:val="000000"/>
              </w:rPr>
              <w:t>Velikost tumoru</w:t>
            </w:r>
          </w:p>
        </w:tc>
      </w:tr>
      <w:tr w:rsidR="00517E70" w:rsidRPr="0097728F" w:rsidTr="0097728F">
        <w:trPr>
          <w:trHeight w:val="315"/>
        </w:trPr>
        <w:tc>
          <w:tcPr>
            <w:tcW w:w="1740" w:type="dxa"/>
            <w:vMerge/>
            <w:tcBorders>
              <w:top w:val="single" w:sz="4" w:space="0" w:color="auto"/>
              <w:left w:val="single" w:sz="4" w:space="0" w:color="auto"/>
              <w:bottom w:val="single" w:sz="4" w:space="0" w:color="auto"/>
              <w:right w:val="single" w:sz="4" w:space="0" w:color="auto"/>
            </w:tcBorders>
            <w:vAlign w:val="center"/>
          </w:tcPr>
          <w:p w:rsidR="00517E70" w:rsidRPr="0097728F" w:rsidRDefault="00517E70" w:rsidP="00203F1C">
            <w:pPr>
              <w:jc w:val="both"/>
              <w:rPr>
                <w:color w:val="000000"/>
              </w:rPr>
            </w:pPr>
          </w:p>
        </w:tc>
        <w:tc>
          <w:tcPr>
            <w:tcW w:w="960" w:type="dxa"/>
            <w:tcBorders>
              <w:top w:val="nil"/>
              <w:left w:val="nil"/>
              <w:bottom w:val="single" w:sz="4" w:space="0" w:color="auto"/>
              <w:right w:val="single" w:sz="4" w:space="0" w:color="auto"/>
            </w:tcBorders>
            <w:vAlign w:val="center"/>
          </w:tcPr>
          <w:p w:rsidR="00517E70" w:rsidRPr="0097728F" w:rsidRDefault="00517E70" w:rsidP="00203F1C">
            <w:pPr>
              <w:jc w:val="both"/>
              <w:rPr>
                <w:b/>
                <w:bCs/>
                <w:i/>
                <w:iCs/>
                <w:color w:val="000000"/>
              </w:rPr>
            </w:pPr>
            <w:r w:rsidRPr="0097728F">
              <w:rPr>
                <w:b/>
                <w:bCs/>
                <w:i/>
                <w:iCs/>
                <w:color w:val="000000"/>
              </w:rPr>
              <w:t>&lt;</w:t>
            </w:r>
            <w:smartTag w:uri="urn:schemas-microsoft-com:office:smarttags" w:element="metricconverter">
              <w:smartTagPr>
                <w:attr w:name="ProductID" w:val="4 cm"/>
              </w:smartTagPr>
              <w:r w:rsidRPr="0097728F">
                <w:rPr>
                  <w:b/>
                  <w:bCs/>
                  <w:i/>
                  <w:iCs/>
                  <w:color w:val="000000"/>
                </w:rPr>
                <w:t>4 cm</w:t>
              </w:r>
            </w:smartTag>
          </w:p>
        </w:tc>
        <w:tc>
          <w:tcPr>
            <w:tcW w:w="960" w:type="dxa"/>
            <w:tcBorders>
              <w:top w:val="nil"/>
              <w:left w:val="nil"/>
              <w:bottom w:val="single" w:sz="4" w:space="0" w:color="auto"/>
              <w:right w:val="single" w:sz="4" w:space="0" w:color="auto"/>
            </w:tcBorders>
            <w:vAlign w:val="center"/>
          </w:tcPr>
          <w:p w:rsidR="00517E70" w:rsidRPr="0097728F" w:rsidRDefault="00517E70" w:rsidP="00203F1C">
            <w:pPr>
              <w:jc w:val="both"/>
              <w:rPr>
                <w:b/>
                <w:bCs/>
                <w:i/>
                <w:iCs/>
                <w:color w:val="000000"/>
              </w:rPr>
            </w:pPr>
            <w:r w:rsidRPr="0097728F">
              <w:rPr>
                <w:b/>
                <w:bCs/>
                <w:i/>
                <w:iCs/>
                <w:color w:val="000000"/>
              </w:rPr>
              <w:t>&gt;</w:t>
            </w:r>
            <w:smartTag w:uri="urn:schemas-microsoft-com:office:smarttags" w:element="metricconverter">
              <w:smartTagPr>
                <w:attr w:name="ProductID" w:val="4 cm"/>
              </w:smartTagPr>
              <w:r w:rsidRPr="0097728F">
                <w:rPr>
                  <w:b/>
                  <w:bCs/>
                  <w:i/>
                  <w:iCs/>
                  <w:color w:val="000000"/>
                </w:rPr>
                <w:t>4 cm</w:t>
              </w:r>
            </w:smartTag>
          </w:p>
        </w:tc>
        <w:tc>
          <w:tcPr>
            <w:tcW w:w="1960" w:type="dxa"/>
            <w:tcBorders>
              <w:top w:val="nil"/>
              <w:left w:val="nil"/>
              <w:bottom w:val="single" w:sz="4" w:space="0" w:color="auto"/>
              <w:right w:val="single" w:sz="4" w:space="0" w:color="auto"/>
            </w:tcBorders>
            <w:vAlign w:val="center"/>
          </w:tcPr>
          <w:p w:rsidR="00517E70" w:rsidRPr="0097728F" w:rsidRDefault="00517E70" w:rsidP="00203F1C">
            <w:pPr>
              <w:jc w:val="both"/>
              <w:rPr>
                <w:b/>
                <w:bCs/>
                <w:i/>
                <w:iCs/>
                <w:color w:val="000000"/>
              </w:rPr>
            </w:pPr>
            <w:r>
              <w:rPr>
                <w:b/>
                <w:bCs/>
                <w:i/>
                <w:iCs/>
                <w:color w:val="000000"/>
              </w:rPr>
              <w:t xml:space="preserve">       autor</w:t>
            </w:r>
          </w:p>
        </w:tc>
      </w:tr>
      <w:tr w:rsidR="00517E70" w:rsidRPr="0097728F" w:rsidTr="0097728F">
        <w:trPr>
          <w:trHeight w:val="630"/>
        </w:trPr>
        <w:tc>
          <w:tcPr>
            <w:tcW w:w="1740" w:type="dxa"/>
            <w:tcBorders>
              <w:top w:val="nil"/>
              <w:left w:val="single" w:sz="4" w:space="0" w:color="auto"/>
              <w:bottom w:val="single" w:sz="4" w:space="0" w:color="auto"/>
              <w:right w:val="single" w:sz="4" w:space="0" w:color="auto"/>
            </w:tcBorders>
            <w:vAlign w:val="bottom"/>
          </w:tcPr>
          <w:p w:rsidR="00517E70" w:rsidRPr="00D03070" w:rsidRDefault="00517E70" w:rsidP="00203F1C">
            <w:pPr>
              <w:jc w:val="both"/>
              <w:rPr>
                <w:b/>
                <w:bCs/>
                <w:color w:val="000000"/>
              </w:rPr>
            </w:pPr>
            <w:hyperlink r:id="rId7" w:anchor="t5n2" w:tooltip="Link to note" w:history="1">
              <w:r w:rsidRPr="00D03070">
                <w:rPr>
                  <w:b/>
                  <w:bCs/>
                  <w:color w:val="000000"/>
                </w:rPr>
                <w:t xml:space="preserve">5- leté přežití </w:t>
              </w:r>
            </w:hyperlink>
          </w:p>
        </w:tc>
        <w:tc>
          <w:tcPr>
            <w:tcW w:w="960" w:type="dxa"/>
            <w:tcBorders>
              <w:top w:val="nil"/>
              <w:left w:val="nil"/>
              <w:bottom w:val="single" w:sz="4" w:space="0" w:color="auto"/>
              <w:right w:val="single" w:sz="4" w:space="0" w:color="auto"/>
            </w:tcBorders>
            <w:vAlign w:val="bottom"/>
          </w:tcPr>
          <w:p w:rsidR="00517E70" w:rsidRPr="0097728F" w:rsidRDefault="00517E70" w:rsidP="00203F1C">
            <w:pPr>
              <w:jc w:val="both"/>
              <w:rPr>
                <w:color w:val="000000"/>
              </w:rPr>
            </w:pPr>
            <w:r w:rsidRPr="0097728F">
              <w:rPr>
                <w:color w:val="000000"/>
              </w:rPr>
              <w:t>&gt;90%</w:t>
            </w:r>
          </w:p>
        </w:tc>
        <w:tc>
          <w:tcPr>
            <w:tcW w:w="960" w:type="dxa"/>
            <w:tcBorders>
              <w:top w:val="nil"/>
              <w:left w:val="nil"/>
              <w:bottom w:val="single" w:sz="4" w:space="0" w:color="auto"/>
              <w:right w:val="single" w:sz="4" w:space="0" w:color="auto"/>
            </w:tcBorders>
            <w:vAlign w:val="bottom"/>
          </w:tcPr>
          <w:p w:rsidR="00517E70" w:rsidRPr="0097728F" w:rsidRDefault="00517E70" w:rsidP="00203F1C">
            <w:pPr>
              <w:jc w:val="both"/>
              <w:rPr>
                <w:color w:val="000000"/>
              </w:rPr>
            </w:pPr>
            <w:r w:rsidRPr="0097728F">
              <w:rPr>
                <w:color w:val="000000"/>
              </w:rPr>
              <w:t>&lt;40%</w:t>
            </w:r>
          </w:p>
        </w:tc>
        <w:tc>
          <w:tcPr>
            <w:tcW w:w="1960" w:type="dxa"/>
            <w:tcBorders>
              <w:top w:val="nil"/>
              <w:left w:val="nil"/>
              <w:bottom w:val="single" w:sz="4" w:space="0" w:color="auto"/>
              <w:right w:val="single" w:sz="4" w:space="0" w:color="auto"/>
            </w:tcBorders>
            <w:vAlign w:val="bottom"/>
          </w:tcPr>
          <w:p w:rsidR="00517E70" w:rsidRPr="00D03070" w:rsidRDefault="00517E70" w:rsidP="00203F1C">
            <w:pPr>
              <w:jc w:val="both"/>
              <w:rPr>
                <w:color w:val="000000"/>
                <w:vertAlign w:val="superscript"/>
              </w:rPr>
            </w:pPr>
            <w:r>
              <w:rPr>
                <w:color w:val="000000"/>
              </w:rPr>
              <w:t>Reneha</w:t>
            </w:r>
            <w:r w:rsidRPr="00D03070">
              <w:rPr>
                <w:color w:val="000000"/>
              </w:rPr>
              <w:t>n et al.</w:t>
            </w:r>
            <w:r>
              <w:rPr>
                <w:color w:val="000000"/>
                <w:vertAlign w:val="superscript"/>
              </w:rPr>
              <w:t>17</w:t>
            </w:r>
          </w:p>
        </w:tc>
      </w:tr>
      <w:tr w:rsidR="00517E70" w:rsidRPr="0097728F" w:rsidTr="0097728F">
        <w:trPr>
          <w:trHeight w:val="720"/>
        </w:trPr>
        <w:tc>
          <w:tcPr>
            <w:tcW w:w="1740" w:type="dxa"/>
            <w:tcBorders>
              <w:top w:val="nil"/>
              <w:left w:val="single" w:sz="4" w:space="0" w:color="auto"/>
              <w:bottom w:val="single" w:sz="4" w:space="0" w:color="auto"/>
              <w:right w:val="single" w:sz="4" w:space="0" w:color="auto"/>
            </w:tcBorders>
            <w:vAlign w:val="bottom"/>
          </w:tcPr>
          <w:p w:rsidR="00517E70" w:rsidRPr="00D03070" w:rsidRDefault="00517E70" w:rsidP="00203F1C">
            <w:pPr>
              <w:jc w:val="both"/>
              <w:rPr>
                <w:b/>
                <w:bCs/>
                <w:color w:val="000000"/>
              </w:rPr>
            </w:pPr>
            <w:r w:rsidRPr="00D03070">
              <w:rPr>
                <w:b/>
                <w:bCs/>
                <w:color w:val="000000"/>
              </w:rPr>
              <w:t>5-leté přežití</w:t>
            </w:r>
          </w:p>
        </w:tc>
        <w:tc>
          <w:tcPr>
            <w:tcW w:w="960" w:type="dxa"/>
            <w:tcBorders>
              <w:top w:val="nil"/>
              <w:left w:val="nil"/>
              <w:bottom w:val="single" w:sz="4" w:space="0" w:color="auto"/>
              <w:right w:val="single" w:sz="4" w:space="0" w:color="auto"/>
            </w:tcBorders>
            <w:vAlign w:val="bottom"/>
          </w:tcPr>
          <w:p w:rsidR="00517E70" w:rsidRPr="0097728F" w:rsidRDefault="00517E70" w:rsidP="00203F1C">
            <w:pPr>
              <w:jc w:val="both"/>
              <w:rPr>
                <w:color w:val="000000"/>
              </w:rPr>
            </w:pPr>
            <w:r w:rsidRPr="0097728F">
              <w:rPr>
                <w:color w:val="000000"/>
              </w:rPr>
              <w:t>&gt;75%</w:t>
            </w:r>
          </w:p>
        </w:tc>
        <w:tc>
          <w:tcPr>
            <w:tcW w:w="960" w:type="dxa"/>
            <w:tcBorders>
              <w:top w:val="nil"/>
              <w:left w:val="nil"/>
              <w:bottom w:val="single" w:sz="4" w:space="0" w:color="auto"/>
              <w:right w:val="single" w:sz="4" w:space="0" w:color="auto"/>
            </w:tcBorders>
            <w:vAlign w:val="bottom"/>
          </w:tcPr>
          <w:p w:rsidR="00517E70" w:rsidRPr="0097728F" w:rsidRDefault="00517E70" w:rsidP="00203F1C">
            <w:pPr>
              <w:jc w:val="both"/>
              <w:rPr>
                <w:color w:val="000000"/>
              </w:rPr>
            </w:pPr>
            <w:r w:rsidRPr="0097728F">
              <w:rPr>
                <w:color w:val="000000"/>
              </w:rPr>
              <w:t>&lt;40%</w:t>
            </w:r>
          </w:p>
        </w:tc>
        <w:tc>
          <w:tcPr>
            <w:tcW w:w="1960" w:type="dxa"/>
            <w:tcBorders>
              <w:top w:val="nil"/>
              <w:left w:val="nil"/>
              <w:bottom w:val="single" w:sz="4" w:space="0" w:color="auto"/>
              <w:right w:val="single" w:sz="4" w:space="0" w:color="auto"/>
            </w:tcBorders>
            <w:vAlign w:val="bottom"/>
          </w:tcPr>
          <w:p w:rsidR="00517E70" w:rsidRPr="00D03070" w:rsidRDefault="00517E70" w:rsidP="00203F1C">
            <w:pPr>
              <w:jc w:val="both"/>
              <w:rPr>
                <w:color w:val="000000"/>
                <w:vertAlign w:val="superscript"/>
              </w:rPr>
            </w:pPr>
            <w:r w:rsidRPr="00D03070">
              <w:rPr>
                <w:color w:val="000000"/>
              </w:rPr>
              <w:t>Spiro</w:t>
            </w:r>
            <w:r>
              <w:rPr>
                <w:color w:val="000000"/>
                <w:vertAlign w:val="superscript"/>
              </w:rPr>
              <w:t>18</w:t>
            </w:r>
          </w:p>
        </w:tc>
      </w:tr>
    </w:tbl>
    <w:p w:rsidR="00517E70" w:rsidRDefault="00517E70" w:rsidP="00203F1C">
      <w:pPr>
        <w:spacing w:line="360" w:lineRule="auto"/>
        <w:jc w:val="both"/>
        <w:rPr>
          <w:bCs/>
          <w:color w:val="C00000"/>
        </w:rPr>
      </w:pPr>
    </w:p>
    <w:p w:rsidR="00517E70" w:rsidRDefault="00517E70" w:rsidP="00203F1C">
      <w:pPr>
        <w:spacing w:line="360" w:lineRule="auto"/>
        <w:jc w:val="both"/>
        <w:rPr>
          <w:bCs/>
          <w:color w:val="C00000"/>
        </w:rPr>
      </w:pPr>
    </w:p>
    <w:p w:rsidR="00517E70" w:rsidRPr="006F7912" w:rsidRDefault="00517E70" w:rsidP="00203F1C">
      <w:pPr>
        <w:spacing w:line="360" w:lineRule="auto"/>
        <w:jc w:val="both"/>
        <w:rPr>
          <w:bCs/>
          <w:color w:val="C00000"/>
        </w:rPr>
      </w:pPr>
    </w:p>
    <w:p w:rsidR="00517E70" w:rsidRDefault="00517E70" w:rsidP="00203F1C">
      <w:pPr>
        <w:spacing w:line="360" w:lineRule="auto"/>
        <w:jc w:val="both"/>
        <w:rPr>
          <w:bCs/>
          <w:color w:val="000000"/>
        </w:rPr>
      </w:pPr>
      <w:r w:rsidRPr="001F681B">
        <w:rPr>
          <w:bCs/>
          <w:color w:val="000000"/>
        </w:rPr>
        <w:t>Pro predikci vzniku lokoregionálních recidiv toliko parotických ka</w:t>
      </w:r>
      <w:r>
        <w:rPr>
          <w:bCs/>
          <w:color w:val="000000"/>
        </w:rPr>
        <w:t>rcinomů bylo vypracováno schéma</w:t>
      </w:r>
      <w:r w:rsidRPr="001F681B">
        <w:rPr>
          <w:bCs/>
          <w:color w:val="000000"/>
        </w:rPr>
        <w:t>, kter</w:t>
      </w:r>
      <w:r>
        <w:rPr>
          <w:bCs/>
          <w:color w:val="000000"/>
        </w:rPr>
        <w:t>é</w:t>
      </w:r>
      <w:r w:rsidRPr="001F681B">
        <w:rPr>
          <w:bCs/>
          <w:color w:val="000000"/>
        </w:rPr>
        <w:t xml:space="preserve"> operuj</w:t>
      </w:r>
      <w:r>
        <w:rPr>
          <w:bCs/>
          <w:color w:val="000000"/>
        </w:rPr>
        <w:t>e</w:t>
      </w:r>
      <w:r w:rsidRPr="001F681B">
        <w:rPr>
          <w:bCs/>
          <w:color w:val="000000"/>
        </w:rPr>
        <w:t xml:space="preserve"> s klinickými údaji</w:t>
      </w:r>
      <w:r>
        <w:rPr>
          <w:bCs/>
          <w:color w:val="000000"/>
        </w:rPr>
        <w:t>,</w:t>
      </w:r>
      <w:r w:rsidRPr="001F681B">
        <w:rPr>
          <w:bCs/>
          <w:color w:val="000000"/>
        </w:rPr>
        <w:t xml:space="preserve"> a histopatologický typ nádoru neber</w:t>
      </w:r>
      <w:r>
        <w:rPr>
          <w:bCs/>
          <w:color w:val="000000"/>
        </w:rPr>
        <w:t>e v úvahu (1</w:t>
      </w:r>
      <w:r w:rsidRPr="001F681B">
        <w:rPr>
          <w:bCs/>
          <w:color w:val="000000"/>
        </w:rPr>
        <w:t>4). Pro komplikovanost</w:t>
      </w:r>
      <w:r>
        <w:rPr>
          <w:bCs/>
          <w:color w:val="000000"/>
        </w:rPr>
        <w:t xml:space="preserve"> a časovou náročnost však jeho</w:t>
      </w:r>
      <w:r w:rsidRPr="001F681B">
        <w:rPr>
          <w:bCs/>
          <w:color w:val="000000"/>
        </w:rPr>
        <w:t xml:space="preserve"> použití není všeobecně rozšířeno.   </w:t>
      </w:r>
    </w:p>
    <w:p w:rsidR="00517E70" w:rsidRDefault="00517E70" w:rsidP="00203F1C">
      <w:pPr>
        <w:spacing w:line="360" w:lineRule="auto"/>
        <w:jc w:val="both"/>
        <w:rPr>
          <w:bCs/>
          <w:color w:val="000000"/>
        </w:rPr>
      </w:pPr>
    </w:p>
    <w:p w:rsidR="00517E70" w:rsidRDefault="00517E70" w:rsidP="00203F1C">
      <w:pPr>
        <w:spacing w:line="360" w:lineRule="auto"/>
        <w:jc w:val="both"/>
        <w:rPr>
          <w:bCs/>
          <w:color w:val="000000"/>
        </w:rPr>
      </w:pPr>
      <w:r>
        <w:rPr>
          <w:bCs/>
          <w:color w:val="000000"/>
        </w:rPr>
        <w:t xml:space="preserve">Mezi obtížně prognostikovatelné léze patří adenoidně cystický karcinom (ACC), který je druhým až třetím nejčastějším karcinomem velkých slinných žláz (6,10,19). Postihuje pacienty každého věku, ponejvíce však </w:t>
      </w:r>
      <w:smartTag w:uri="urn:schemas-microsoft-com:office:smarttags" w:element="metricconverter">
        <w:smartTagPr>
          <w:attr w:name="ProductID" w:val="5. a"/>
        </w:smartTagPr>
        <w:r>
          <w:rPr>
            <w:bCs/>
            <w:color w:val="000000"/>
          </w:rPr>
          <w:t>5. a</w:t>
        </w:r>
      </w:smartTag>
      <w:r>
        <w:rPr>
          <w:bCs/>
          <w:color w:val="000000"/>
        </w:rPr>
        <w:t xml:space="preserve"> 6. decénia (19). Časté je perineurální šíření, prakticky znemožňující úplné chirurgické odstranění tumoru, který tak vykazuje výraznou tendenci k lokoregionálním  recidivám. Typický je dále vleklý průběh s pozdním výskytem hematogenních metastáz, postihujících zejména plíce, játra a skelet, které jsou schopny zahubit pacienta i za několik desetiletí (1,20). </w:t>
      </w:r>
    </w:p>
    <w:p w:rsidR="00517E70" w:rsidRDefault="00517E70" w:rsidP="00203F1C">
      <w:pPr>
        <w:spacing w:line="360" w:lineRule="auto"/>
        <w:jc w:val="both"/>
        <w:rPr>
          <w:bCs/>
          <w:color w:val="000000"/>
        </w:rPr>
      </w:pPr>
      <w:r w:rsidRPr="0088265C">
        <w:rPr>
          <w:bCs/>
          <w:color w:val="000000"/>
        </w:rPr>
        <w:t xml:space="preserve">Adenoidně cystický karcinom </w:t>
      </w:r>
      <w:r>
        <w:rPr>
          <w:bCs/>
          <w:color w:val="000000"/>
        </w:rPr>
        <w:t>patomorfologicky charakterizuje přítomnost tubulárních, kribriformních a solidních struktur.</w:t>
      </w:r>
    </w:p>
    <w:p w:rsidR="00517E70" w:rsidRDefault="00517E70" w:rsidP="00203F1C">
      <w:pPr>
        <w:spacing w:line="360" w:lineRule="auto"/>
        <w:jc w:val="both"/>
        <w:rPr>
          <w:bCs/>
          <w:color w:val="000000"/>
        </w:rPr>
      </w:pPr>
    </w:p>
    <w:p w:rsidR="00517E70" w:rsidRPr="009850A4" w:rsidRDefault="00517E70" w:rsidP="009850A4">
      <w:pPr>
        <w:spacing w:line="480" w:lineRule="auto"/>
        <w:jc w:val="both"/>
        <w:outlineLvl w:val="0"/>
      </w:pPr>
      <w:r>
        <w:t>Obr.</w:t>
      </w:r>
      <w:r w:rsidRPr="008D3E67">
        <w:t xml:space="preserve"> č. 1</w:t>
      </w:r>
      <w:r>
        <w:t xml:space="preserve"> </w:t>
      </w:r>
      <w:r w:rsidRPr="008D3E67">
        <w:t>Kribriformní struktury adenoidně cystického karcinomu</w:t>
      </w:r>
    </w:p>
    <w:p w:rsidR="00517E70" w:rsidRDefault="00517E70" w:rsidP="00203F1C">
      <w:pPr>
        <w:spacing w:line="360" w:lineRule="auto"/>
        <w:jc w:val="both"/>
        <w:rPr>
          <w:bCs/>
          <w:color w:val="000000"/>
        </w:rPr>
      </w:pPr>
      <w:r w:rsidRPr="002E11AC">
        <w:rPr>
          <w:bC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28pt">
            <v:imagedata r:id="rId8" o:title=""/>
          </v:shape>
        </w:pict>
      </w:r>
    </w:p>
    <w:p w:rsidR="00517E70" w:rsidRDefault="00517E70" w:rsidP="00203F1C">
      <w:pPr>
        <w:spacing w:line="360" w:lineRule="auto"/>
        <w:jc w:val="both"/>
        <w:rPr>
          <w:bCs/>
          <w:color w:val="000000"/>
        </w:rPr>
      </w:pPr>
    </w:p>
    <w:p w:rsidR="00517E70" w:rsidRDefault="00517E70" w:rsidP="00203F1C">
      <w:pPr>
        <w:spacing w:line="360" w:lineRule="auto"/>
        <w:jc w:val="both"/>
        <w:rPr>
          <w:bCs/>
          <w:color w:val="000000"/>
        </w:rPr>
      </w:pPr>
      <w:r>
        <w:rPr>
          <w:bCs/>
          <w:color w:val="000000"/>
        </w:rPr>
        <w:t>Obr. č.2  Solidní struktury adenoidně cystického karcinomu</w:t>
      </w:r>
    </w:p>
    <w:p w:rsidR="00517E70" w:rsidRDefault="00517E70" w:rsidP="00203F1C">
      <w:pPr>
        <w:spacing w:line="360" w:lineRule="auto"/>
        <w:jc w:val="both"/>
        <w:rPr>
          <w:bCs/>
          <w:color w:val="000000"/>
        </w:rPr>
      </w:pPr>
    </w:p>
    <w:p w:rsidR="00517E70" w:rsidRDefault="00517E70" w:rsidP="00203F1C">
      <w:pPr>
        <w:spacing w:line="360" w:lineRule="auto"/>
        <w:jc w:val="both"/>
        <w:rPr>
          <w:bCs/>
          <w:color w:val="000000"/>
        </w:rPr>
      </w:pPr>
      <w:r w:rsidRPr="002E11AC">
        <w:rPr>
          <w:bCs/>
          <w:color w:val="000000"/>
        </w:rPr>
        <w:pict>
          <v:shape id="_x0000_i1026" type="#_x0000_t75" style="width:307.5pt;height:228pt">
            <v:imagedata r:id="rId9" o:title=""/>
          </v:shape>
        </w:pict>
      </w:r>
    </w:p>
    <w:p w:rsidR="00517E70" w:rsidRDefault="00517E70" w:rsidP="00203F1C">
      <w:pPr>
        <w:spacing w:line="360" w:lineRule="auto"/>
        <w:jc w:val="both"/>
        <w:rPr>
          <w:bCs/>
          <w:color w:val="000000"/>
        </w:rPr>
      </w:pPr>
    </w:p>
    <w:p w:rsidR="00517E70" w:rsidRDefault="00517E70" w:rsidP="00203F1C">
      <w:pPr>
        <w:spacing w:line="360" w:lineRule="auto"/>
        <w:jc w:val="both"/>
        <w:rPr>
          <w:bCs/>
          <w:color w:val="000000"/>
        </w:rPr>
      </w:pPr>
    </w:p>
    <w:p w:rsidR="00517E70" w:rsidRPr="00F43045" w:rsidRDefault="00517E70" w:rsidP="00203F1C">
      <w:pPr>
        <w:spacing w:line="360" w:lineRule="auto"/>
        <w:jc w:val="both"/>
        <w:rPr>
          <w:bCs/>
          <w:color w:val="00B0F0"/>
        </w:rPr>
      </w:pPr>
      <w:r>
        <w:rPr>
          <w:bCs/>
          <w:color w:val="000000"/>
        </w:rPr>
        <w:t xml:space="preserve"> Relativní zastoupení posledně uvedené složky se stalo základem později modifikovaného  histopatologického gradingu  (9, 10) </w:t>
      </w:r>
      <w:r w:rsidRPr="00106B80">
        <w:rPr>
          <w:bCs/>
        </w:rPr>
        <w:t>viz tab. č. 4.</w:t>
      </w:r>
      <w:r>
        <w:rPr>
          <w:bCs/>
          <w:color w:val="FF0000"/>
        </w:rPr>
        <w:t xml:space="preserve"> </w:t>
      </w:r>
      <w:r>
        <w:rPr>
          <w:bCs/>
          <w:color w:val="000000"/>
        </w:rPr>
        <w:t xml:space="preserve"> Seethala (21) však poukazuje na to, že jeho prognostický význam nebyl jednoznačně prokázán a rozhodujícím prognostickým činitelem u ACC je (podobně jako u dalších karcinomů slinných žláz) jeho klinické stadium</w:t>
      </w:r>
      <w:r w:rsidRPr="00F30360">
        <w:rPr>
          <w:bCs/>
          <w:color w:val="000000"/>
        </w:rPr>
        <w:t xml:space="preserve">. </w:t>
      </w:r>
    </w:p>
    <w:p w:rsidR="00517E70" w:rsidRDefault="00517E70" w:rsidP="00203F1C">
      <w:pPr>
        <w:spacing w:line="360" w:lineRule="auto"/>
        <w:jc w:val="both"/>
        <w:rPr>
          <w:bCs/>
          <w:color w:val="000000"/>
        </w:rPr>
      </w:pPr>
      <w:r>
        <w:rPr>
          <w:bCs/>
          <w:color w:val="000000"/>
        </w:rPr>
        <w:t xml:space="preserve">Velmi rychlým fatálním průběhem se vyznačují ACC, u nichž došlo k high-grade transformaci. </w:t>
      </w:r>
      <w:r w:rsidRPr="00144F88">
        <w:rPr>
          <w:bCs/>
          <w:color w:val="000000"/>
        </w:rPr>
        <w:t>Pro tuto histopatologickou jednotku, vyčleněnou z ACC Seethalou v r. 2007, je charakteristická  dediferenciace nádorových, duktálních a</w:t>
      </w:r>
      <w:r w:rsidRPr="00AD67CA">
        <w:rPr>
          <w:bCs/>
          <w:color w:val="000000"/>
        </w:rPr>
        <w:t xml:space="preserve"> myoepitelových</w:t>
      </w:r>
      <w:r w:rsidRPr="00144F88">
        <w:rPr>
          <w:bCs/>
          <w:color w:val="000000"/>
        </w:rPr>
        <w:t xml:space="preserve"> buněk, jeji</w:t>
      </w:r>
      <w:r>
        <w:rPr>
          <w:bCs/>
          <w:color w:val="000000"/>
        </w:rPr>
        <w:t>ch vysoká mitotická aktivita a nepravidelnosti</w:t>
      </w:r>
      <w:r w:rsidRPr="00144F88">
        <w:rPr>
          <w:bCs/>
          <w:color w:val="000000"/>
        </w:rPr>
        <w:t xml:space="preserve"> jader</w:t>
      </w:r>
      <w:r>
        <w:rPr>
          <w:bCs/>
          <w:color w:val="000000"/>
        </w:rPr>
        <w:t xml:space="preserve"> (22).</w:t>
      </w:r>
    </w:p>
    <w:p w:rsidR="00517E70" w:rsidRDefault="00517E70" w:rsidP="00203F1C">
      <w:pPr>
        <w:spacing w:line="360" w:lineRule="auto"/>
        <w:jc w:val="both"/>
        <w:rPr>
          <w:bCs/>
        </w:rPr>
      </w:pPr>
    </w:p>
    <w:p w:rsidR="00517E70" w:rsidRPr="00106B80" w:rsidRDefault="00517E70" w:rsidP="00203F1C">
      <w:pPr>
        <w:spacing w:line="360" w:lineRule="auto"/>
        <w:jc w:val="both"/>
        <w:rPr>
          <w:bCs/>
        </w:rPr>
      </w:pPr>
      <w:r w:rsidRPr="00106B80">
        <w:rPr>
          <w:b/>
          <w:bCs/>
        </w:rPr>
        <w:t>Tabulka č.</w:t>
      </w:r>
      <w:r>
        <w:rPr>
          <w:b/>
          <w:bCs/>
        </w:rPr>
        <w:t xml:space="preserve"> </w:t>
      </w:r>
      <w:r w:rsidRPr="00106B80">
        <w:rPr>
          <w:b/>
          <w:bCs/>
        </w:rPr>
        <w:t>4</w:t>
      </w:r>
      <w:r w:rsidRPr="00106B80">
        <w:rPr>
          <w:bCs/>
        </w:rPr>
        <w:t>.   H</w:t>
      </w:r>
      <w:r w:rsidRPr="00106B80">
        <w:t>istopatologický grading  ACC</w:t>
      </w:r>
    </w:p>
    <w:p w:rsidR="00517E70" w:rsidRDefault="00517E70" w:rsidP="00203F1C">
      <w:pPr>
        <w:spacing w:line="360" w:lineRule="auto"/>
        <w:jc w:val="both"/>
        <w:rPr>
          <w:bCs/>
        </w:rPr>
      </w:pPr>
    </w:p>
    <w:tbl>
      <w:tblPr>
        <w:tblW w:w="7380" w:type="dxa"/>
        <w:tblInd w:w="55" w:type="dxa"/>
        <w:tblCellMar>
          <w:left w:w="70" w:type="dxa"/>
          <w:right w:w="70" w:type="dxa"/>
        </w:tblCellMar>
        <w:tblLook w:val="00A0"/>
      </w:tblPr>
      <w:tblGrid>
        <w:gridCol w:w="1900"/>
        <w:gridCol w:w="3040"/>
        <w:gridCol w:w="2440"/>
      </w:tblGrid>
      <w:tr w:rsidR="00517E70" w:rsidRPr="006B6F26" w:rsidTr="000F6D59">
        <w:trPr>
          <w:trHeight w:val="405"/>
        </w:trPr>
        <w:tc>
          <w:tcPr>
            <w:tcW w:w="1900" w:type="dxa"/>
            <w:tcBorders>
              <w:top w:val="single" w:sz="4" w:space="0" w:color="auto"/>
              <w:left w:val="single" w:sz="4" w:space="0" w:color="auto"/>
              <w:bottom w:val="single" w:sz="4" w:space="0" w:color="auto"/>
              <w:right w:val="single" w:sz="4" w:space="0" w:color="auto"/>
            </w:tcBorders>
            <w:noWrap/>
            <w:vAlign w:val="center"/>
          </w:tcPr>
          <w:p w:rsidR="00517E70" w:rsidRPr="00FA6780" w:rsidRDefault="00517E70" w:rsidP="00203F1C">
            <w:pPr>
              <w:rPr>
                <w:b/>
                <w:bCs/>
                <w:color w:val="000000"/>
              </w:rPr>
            </w:pPr>
            <w:r w:rsidRPr="00FA6780">
              <w:rPr>
                <w:b/>
                <w:bCs/>
                <w:color w:val="000000"/>
              </w:rPr>
              <w:t>Grade</w:t>
            </w:r>
          </w:p>
        </w:tc>
        <w:tc>
          <w:tcPr>
            <w:tcW w:w="3040" w:type="dxa"/>
            <w:tcBorders>
              <w:top w:val="single" w:sz="4" w:space="0" w:color="auto"/>
              <w:left w:val="nil"/>
              <w:bottom w:val="single" w:sz="4" w:space="0" w:color="auto"/>
              <w:right w:val="single" w:sz="4" w:space="0" w:color="auto"/>
            </w:tcBorders>
            <w:noWrap/>
            <w:vAlign w:val="center"/>
          </w:tcPr>
          <w:p w:rsidR="00517E70" w:rsidRPr="00FA6780" w:rsidRDefault="00517E70" w:rsidP="00203F1C">
            <w:pPr>
              <w:rPr>
                <w:b/>
                <w:bCs/>
                <w:color w:val="000000"/>
              </w:rPr>
            </w:pPr>
            <w:r w:rsidRPr="00FA6780">
              <w:rPr>
                <w:b/>
                <w:bCs/>
                <w:color w:val="000000"/>
              </w:rPr>
              <w:t>Szanto</w:t>
            </w:r>
            <w:r>
              <w:rPr>
                <w:b/>
                <w:bCs/>
                <w:color w:val="000000"/>
                <w:vertAlign w:val="superscript"/>
              </w:rPr>
              <w:t>9</w:t>
            </w:r>
          </w:p>
        </w:tc>
        <w:tc>
          <w:tcPr>
            <w:tcW w:w="2440" w:type="dxa"/>
            <w:tcBorders>
              <w:top w:val="single" w:sz="4" w:space="0" w:color="auto"/>
              <w:left w:val="nil"/>
              <w:bottom w:val="single" w:sz="4" w:space="0" w:color="auto"/>
              <w:right w:val="single" w:sz="4" w:space="0" w:color="auto"/>
            </w:tcBorders>
            <w:noWrap/>
            <w:vAlign w:val="center"/>
          </w:tcPr>
          <w:p w:rsidR="00517E70" w:rsidRPr="00FA6780" w:rsidRDefault="00517E70" w:rsidP="00203F1C">
            <w:pPr>
              <w:rPr>
                <w:b/>
                <w:bCs/>
                <w:color w:val="000000"/>
              </w:rPr>
            </w:pPr>
            <w:r w:rsidRPr="00FA6780">
              <w:rPr>
                <w:b/>
                <w:bCs/>
                <w:color w:val="000000"/>
              </w:rPr>
              <w:t>Spiro</w:t>
            </w:r>
            <w:r>
              <w:rPr>
                <w:b/>
                <w:bCs/>
                <w:color w:val="000000"/>
                <w:vertAlign w:val="superscript"/>
              </w:rPr>
              <w:t>10</w:t>
            </w:r>
          </w:p>
        </w:tc>
      </w:tr>
      <w:tr w:rsidR="00517E70" w:rsidRPr="006B6F26" w:rsidTr="000F6D59">
        <w:trPr>
          <w:trHeight w:val="945"/>
        </w:trPr>
        <w:tc>
          <w:tcPr>
            <w:tcW w:w="1900" w:type="dxa"/>
            <w:tcBorders>
              <w:top w:val="nil"/>
              <w:left w:val="single" w:sz="4" w:space="0" w:color="auto"/>
              <w:bottom w:val="single" w:sz="4" w:space="0" w:color="auto"/>
              <w:right w:val="single" w:sz="4" w:space="0" w:color="auto"/>
            </w:tcBorders>
            <w:noWrap/>
            <w:vAlign w:val="center"/>
          </w:tcPr>
          <w:p w:rsidR="00517E70" w:rsidRPr="00FA6780" w:rsidRDefault="00517E70" w:rsidP="00203F1C">
            <w:pPr>
              <w:rPr>
                <w:b/>
                <w:bCs/>
                <w:color w:val="000000"/>
              </w:rPr>
            </w:pPr>
            <w:r w:rsidRPr="00FA6780">
              <w:rPr>
                <w:b/>
                <w:bCs/>
                <w:color w:val="000000"/>
              </w:rPr>
              <w:t>1</w:t>
            </w:r>
          </w:p>
        </w:tc>
        <w:tc>
          <w:tcPr>
            <w:tcW w:w="3040" w:type="dxa"/>
            <w:tcBorders>
              <w:top w:val="nil"/>
              <w:left w:val="nil"/>
              <w:bottom w:val="single" w:sz="4" w:space="0" w:color="auto"/>
              <w:right w:val="single" w:sz="4" w:space="0" w:color="auto"/>
            </w:tcBorders>
            <w:vAlign w:val="center"/>
          </w:tcPr>
          <w:p w:rsidR="00517E70" w:rsidRPr="00FA6780" w:rsidRDefault="00517E70" w:rsidP="00203F1C">
            <w:pPr>
              <w:rPr>
                <w:color w:val="000000"/>
              </w:rPr>
            </w:pPr>
            <w:r w:rsidRPr="00FA6780">
              <w:rPr>
                <w:color w:val="000000"/>
              </w:rPr>
              <w:t>Většinou tubulární, žádné solidní struktury</w:t>
            </w:r>
          </w:p>
        </w:tc>
        <w:tc>
          <w:tcPr>
            <w:tcW w:w="2440" w:type="dxa"/>
            <w:tcBorders>
              <w:top w:val="nil"/>
              <w:left w:val="nil"/>
              <w:bottom w:val="single" w:sz="4" w:space="0" w:color="auto"/>
              <w:right w:val="single" w:sz="4" w:space="0" w:color="auto"/>
            </w:tcBorders>
            <w:vAlign w:val="center"/>
          </w:tcPr>
          <w:p w:rsidR="00517E70" w:rsidRPr="00FA6780" w:rsidRDefault="00517E70" w:rsidP="00203F1C">
            <w:pPr>
              <w:rPr>
                <w:color w:val="000000"/>
              </w:rPr>
            </w:pPr>
            <w:r w:rsidRPr="00FA6780">
              <w:rPr>
                <w:color w:val="000000"/>
              </w:rPr>
              <w:t>Většinou tubulární nebo kribriformní komponenty</w:t>
            </w:r>
          </w:p>
        </w:tc>
      </w:tr>
      <w:tr w:rsidR="00517E70" w:rsidRPr="006B6F26" w:rsidTr="000F6D59">
        <w:trPr>
          <w:trHeight w:val="900"/>
        </w:trPr>
        <w:tc>
          <w:tcPr>
            <w:tcW w:w="1900" w:type="dxa"/>
            <w:tcBorders>
              <w:top w:val="nil"/>
              <w:left w:val="single" w:sz="4" w:space="0" w:color="auto"/>
              <w:bottom w:val="single" w:sz="4" w:space="0" w:color="auto"/>
              <w:right w:val="single" w:sz="4" w:space="0" w:color="auto"/>
            </w:tcBorders>
            <w:noWrap/>
            <w:vAlign w:val="center"/>
          </w:tcPr>
          <w:p w:rsidR="00517E70" w:rsidRPr="00FA6780" w:rsidRDefault="00517E70" w:rsidP="00203F1C">
            <w:pPr>
              <w:rPr>
                <w:b/>
                <w:bCs/>
                <w:color w:val="000000"/>
              </w:rPr>
            </w:pPr>
            <w:r w:rsidRPr="00FA6780">
              <w:rPr>
                <w:b/>
                <w:bCs/>
                <w:color w:val="000000"/>
              </w:rPr>
              <w:t>2</w:t>
            </w:r>
          </w:p>
        </w:tc>
        <w:tc>
          <w:tcPr>
            <w:tcW w:w="3040" w:type="dxa"/>
            <w:tcBorders>
              <w:top w:val="nil"/>
              <w:left w:val="nil"/>
              <w:bottom w:val="single" w:sz="4" w:space="0" w:color="auto"/>
              <w:right w:val="single" w:sz="4" w:space="0" w:color="auto"/>
            </w:tcBorders>
            <w:vAlign w:val="center"/>
          </w:tcPr>
          <w:p w:rsidR="00517E70" w:rsidRPr="00FA6780" w:rsidRDefault="00517E70" w:rsidP="00203F1C">
            <w:pPr>
              <w:rPr>
                <w:color w:val="000000"/>
              </w:rPr>
            </w:pPr>
            <w:r w:rsidRPr="00FA6780">
              <w:rPr>
                <w:color w:val="000000"/>
              </w:rPr>
              <w:t>Většinou kribr</w:t>
            </w:r>
            <w:r>
              <w:rPr>
                <w:color w:val="000000"/>
              </w:rPr>
              <w:t xml:space="preserve">iformní struktury, </w:t>
            </w:r>
            <w:r w:rsidRPr="00FA6780">
              <w:rPr>
                <w:color w:val="000000"/>
              </w:rPr>
              <w:t>solidní  komponenty méně než 30%</w:t>
            </w:r>
          </w:p>
        </w:tc>
        <w:tc>
          <w:tcPr>
            <w:tcW w:w="2440" w:type="dxa"/>
            <w:tcBorders>
              <w:top w:val="nil"/>
              <w:left w:val="nil"/>
              <w:bottom w:val="single" w:sz="4" w:space="0" w:color="auto"/>
              <w:right w:val="single" w:sz="4" w:space="0" w:color="auto"/>
            </w:tcBorders>
            <w:vAlign w:val="center"/>
          </w:tcPr>
          <w:p w:rsidR="00517E70" w:rsidRPr="00FA6780" w:rsidRDefault="00517E70" w:rsidP="00203F1C">
            <w:pPr>
              <w:rPr>
                <w:color w:val="000000"/>
              </w:rPr>
            </w:pPr>
            <w:r w:rsidRPr="00FA6780">
              <w:rPr>
                <w:color w:val="000000"/>
              </w:rPr>
              <w:t>Solidní komponenty méně než 50%</w:t>
            </w:r>
          </w:p>
        </w:tc>
      </w:tr>
      <w:tr w:rsidR="00517E70" w:rsidRPr="006B6F26" w:rsidTr="000F6D59">
        <w:trPr>
          <w:trHeight w:val="600"/>
        </w:trPr>
        <w:tc>
          <w:tcPr>
            <w:tcW w:w="1900" w:type="dxa"/>
            <w:tcBorders>
              <w:top w:val="nil"/>
              <w:left w:val="single" w:sz="4" w:space="0" w:color="auto"/>
              <w:bottom w:val="single" w:sz="4" w:space="0" w:color="auto"/>
              <w:right w:val="single" w:sz="4" w:space="0" w:color="auto"/>
            </w:tcBorders>
            <w:noWrap/>
            <w:vAlign w:val="center"/>
          </w:tcPr>
          <w:p w:rsidR="00517E70" w:rsidRPr="00FA6780" w:rsidRDefault="00517E70" w:rsidP="00203F1C">
            <w:pPr>
              <w:rPr>
                <w:b/>
                <w:bCs/>
                <w:color w:val="000000"/>
              </w:rPr>
            </w:pPr>
            <w:r w:rsidRPr="00FA6780">
              <w:rPr>
                <w:b/>
                <w:bCs/>
                <w:color w:val="000000"/>
              </w:rPr>
              <w:t>3</w:t>
            </w:r>
          </w:p>
        </w:tc>
        <w:tc>
          <w:tcPr>
            <w:tcW w:w="3040" w:type="dxa"/>
            <w:tcBorders>
              <w:top w:val="nil"/>
              <w:left w:val="nil"/>
              <w:bottom w:val="single" w:sz="4" w:space="0" w:color="auto"/>
              <w:right w:val="single" w:sz="4" w:space="0" w:color="auto"/>
            </w:tcBorders>
            <w:vAlign w:val="center"/>
          </w:tcPr>
          <w:p w:rsidR="00517E70" w:rsidRPr="00FA6780" w:rsidRDefault="00517E70" w:rsidP="00203F1C">
            <w:pPr>
              <w:rPr>
                <w:color w:val="000000"/>
              </w:rPr>
            </w:pPr>
            <w:r w:rsidRPr="00FA6780">
              <w:rPr>
                <w:color w:val="000000"/>
              </w:rPr>
              <w:t>Solidní komponenty více než 30%</w:t>
            </w:r>
          </w:p>
        </w:tc>
        <w:tc>
          <w:tcPr>
            <w:tcW w:w="2440" w:type="dxa"/>
            <w:tcBorders>
              <w:top w:val="nil"/>
              <w:left w:val="nil"/>
              <w:bottom w:val="single" w:sz="4" w:space="0" w:color="auto"/>
              <w:right w:val="single" w:sz="4" w:space="0" w:color="auto"/>
            </w:tcBorders>
            <w:vAlign w:val="center"/>
          </w:tcPr>
          <w:p w:rsidR="00517E70" w:rsidRPr="00FA6780" w:rsidRDefault="00517E70" w:rsidP="00203F1C">
            <w:pPr>
              <w:rPr>
                <w:color w:val="000000"/>
              </w:rPr>
            </w:pPr>
            <w:r>
              <w:rPr>
                <w:color w:val="000000"/>
              </w:rPr>
              <w:t xml:space="preserve">  Solidní</w:t>
            </w:r>
            <w:r w:rsidRPr="00FA6780">
              <w:rPr>
                <w:color w:val="000000"/>
              </w:rPr>
              <w:t xml:space="preserve"> komponenty více než 50%</w:t>
            </w:r>
          </w:p>
        </w:tc>
      </w:tr>
    </w:tbl>
    <w:p w:rsidR="00517E70" w:rsidRDefault="00517E70" w:rsidP="00203F1C">
      <w:pPr>
        <w:spacing w:line="360" w:lineRule="auto"/>
        <w:jc w:val="both"/>
        <w:rPr>
          <w:bCs/>
        </w:rPr>
      </w:pPr>
    </w:p>
    <w:p w:rsidR="00517E70" w:rsidRDefault="00517E70" w:rsidP="00203F1C">
      <w:pPr>
        <w:jc w:val="both"/>
      </w:pPr>
    </w:p>
    <w:p w:rsidR="00517E70" w:rsidRPr="00E32E0D" w:rsidRDefault="00517E70" w:rsidP="00203F1C">
      <w:pPr>
        <w:jc w:val="both"/>
      </w:pPr>
    </w:p>
    <w:p w:rsidR="00517E70" w:rsidRPr="0008738C" w:rsidRDefault="00517E70" w:rsidP="00203F1C">
      <w:pPr>
        <w:spacing w:line="360" w:lineRule="auto"/>
        <w:jc w:val="both"/>
        <w:rPr>
          <w:b/>
          <w:bCs/>
          <w:color w:val="000000"/>
        </w:rPr>
      </w:pPr>
      <w:r>
        <w:rPr>
          <w:b/>
          <w:bCs/>
          <w:color w:val="000000"/>
        </w:rPr>
        <w:t xml:space="preserve">2.1.3. </w:t>
      </w:r>
      <w:r w:rsidRPr="0008738C">
        <w:rPr>
          <w:b/>
          <w:bCs/>
          <w:color w:val="000000"/>
        </w:rPr>
        <w:t xml:space="preserve">  Prognostický význam genových abnormalit u  salivárních  tumorů</w:t>
      </w:r>
    </w:p>
    <w:p w:rsidR="00517E70" w:rsidRDefault="00517E70" w:rsidP="00203F1C">
      <w:pPr>
        <w:spacing w:line="360" w:lineRule="auto"/>
        <w:jc w:val="both"/>
        <w:rPr>
          <w:bCs/>
          <w:i/>
          <w:color w:val="000000"/>
        </w:rPr>
      </w:pPr>
    </w:p>
    <w:p w:rsidR="00517E70" w:rsidRPr="004978F1" w:rsidRDefault="00517E70" w:rsidP="00203F1C">
      <w:pPr>
        <w:spacing w:line="360" w:lineRule="auto"/>
        <w:jc w:val="both"/>
        <w:rPr>
          <w:bCs/>
          <w:color w:val="000000"/>
        </w:rPr>
      </w:pPr>
      <w:r w:rsidRPr="004978F1">
        <w:rPr>
          <w:bCs/>
          <w:color w:val="000000"/>
        </w:rPr>
        <w:t>Obtíže při předpovědi klinického průběhu salivárních karcinomů vedou k intenzivnímu hledání nových prognostických a prediktivních molekulárních markerů. Jde především o identifikaci genů, resp. jejich produktů, odpovědných za iniciaci, progresi a metastázování</w:t>
      </w:r>
      <w:r w:rsidRPr="004978F1">
        <w:rPr>
          <w:bCs/>
          <w:color w:val="FF0000"/>
        </w:rPr>
        <w:t xml:space="preserve"> </w:t>
      </w:r>
      <w:r w:rsidRPr="004978F1">
        <w:rPr>
          <w:bCs/>
          <w:color w:val="000000"/>
        </w:rPr>
        <w:t>jednotlivých typů nádorů. Kromě toho se přepokládá, že jejich cílenou biologickou blokádou by bylo možno zlepšit křivky přežití u prognosticky závažných, vysoce rizikových salivárních nádorů (</w:t>
      </w:r>
      <w:r>
        <w:rPr>
          <w:bCs/>
          <w:color w:val="000000"/>
        </w:rPr>
        <w:t>23-29</w:t>
      </w:r>
      <w:r w:rsidRPr="004978F1">
        <w:rPr>
          <w:bCs/>
          <w:color w:val="000000"/>
        </w:rPr>
        <w:t>). Blokáda relevantních molekul je obecným principem cílené léčby malignit, která byla již jako standard vedle hematoonkologických afekcí zavedena i u některých solidních nádorů, především nemalobuněčných karcinomů plic, karcinomu kolorekta, mammy, gastrointestinální stromálního tumoru, maligního melanomu, jakož i spinaliomu horních ces</w:t>
      </w:r>
      <w:r>
        <w:rPr>
          <w:bCs/>
          <w:color w:val="000000"/>
        </w:rPr>
        <w:t>t dýchacích a polykacích, aj. (3</w:t>
      </w:r>
      <w:r w:rsidRPr="004978F1">
        <w:rPr>
          <w:bCs/>
          <w:color w:val="000000"/>
        </w:rPr>
        <w:t>0).</w:t>
      </w:r>
    </w:p>
    <w:p w:rsidR="00517E70" w:rsidRDefault="00517E70" w:rsidP="00203F1C">
      <w:pPr>
        <w:spacing w:line="360" w:lineRule="auto"/>
        <w:jc w:val="both"/>
        <w:rPr>
          <w:bCs/>
          <w:i/>
          <w:color w:val="000000"/>
        </w:rPr>
      </w:pPr>
    </w:p>
    <w:p w:rsidR="00517E70" w:rsidRDefault="00517E70" w:rsidP="00203F1C">
      <w:pPr>
        <w:spacing w:line="360" w:lineRule="auto"/>
        <w:jc w:val="both"/>
        <w:rPr>
          <w:bCs/>
          <w:color w:val="000000"/>
        </w:rPr>
      </w:pPr>
      <w:r>
        <w:rPr>
          <w:bCs/>
          <w:color w:val="000000"/>
        </w:rPr>
        <w:t>Onkogenetické alterace jsou způsobeny celou řadou mechanismů. Jedním z nich jsou i fúzní translokace, které vedou ke vzniku nových genů.  Předpokládá se, že posledně uvedené genetické změny jsou odpovědny za vznik až 20 % všech lidských neoplasií (31).  Z celého širokého histopatologického spektra salivárních nádorů byly tyto genové alterace identifikovány zatím jen u 5 jednotek.</w:t>
      </w:r>
      <w:r>
        <w:rPr>
          <w:bCs/>
          <w:strike/>
          <w:color w:val="000000"/>
        </w:rPr>
        <w:t xml:space="preserve"> </w:t>
      </w:r>
    </w:p>
    <w:p w:rsidR="00517E70" w:rsidRDefault="00517E70" w:rsidP="00203F1C">
      <w:pPr>
        <w:spacing w:line="360" w:lineRule="auto"/>
        <w:jc w:val="both"/>
        <w:rPr>
          <w:bCs/>
          <w:i/>
          <w:color w:val="000000"/>
        </w:rPr>
      </w:pPr>
      <w:r>
        <w:rPr>
          <w:bCs/>
          <w:color w:val="000000"/>
        </w:rPr>
        <w:t xml:space="preserve">Pleomorfní adenom je iniciován unikátní, a tedy pro histopatologickou diferenciální diagnostiku významnou fúzní translokací genů PLAG1 a HMGA2 (32). Kancerizace tohoto nádoru je způsobena amplifikací genů MDM2 ,HMGA2 – WIF1 a genu HER2 (33). </w:t>
      </w:r>
    </w:p>
    <w:p w:rsidR="00517E70" w:rsidRDefault="00517E70" w:rsidP="00203F1C">
      <w:pPr>
        <w:spacing w:line="360" w:lineRule="auto"/>
        <w:jc w:val="both"/>
        <w:rPr>
          <w:bCs/>
          <w:color w:val="000000"/>
        </w:rPr>
      </w:pPr>
      <w:r>
        <w:rPr>
          <w:bCs/>
          <w:color w:val="000000"/>
        </w:rPr>
        <w:t xml:space="preserve">Pro mukoepidermoidní karcinom je typická translokace genů CRTC1 a MAML2 (34). Ta má  význam  i prognostický, neboť je  spojena  s  delší délkou přežití, nižším výskytem lokálních recidiv a menší tendencí k metastázování </w:t>
      </w:r>
      <w:r>
        <w:rPr>
          <w:bCs/>
        </w:rPr>
        <w:t>(</w:t>
      </w:r>
      <w:r>
        <w:rPr>
          <w:bCs/>
          <w:color w:val="000000"/>
        </w:rPr>
        <w:t>35).</w:t>
      </w:r>
      <w:r>
        <w:rPr>
          <w:bCs/>
          <w:i/>
          <w:color w:val="FF0000"/>
        </w:rPr>
        <w:t xml:space="preserve"> </w:t>
      </w:r>
      <w:r>
        <w:rPr>
          <w:bCs/>
          <w:color w:val="000000"/>
        </w:rPr>
        <w:t xml:space="preserve"> Detekce fúzních genů ETV6 a NTRK3 (36) umožnila identifikaci </w:t>
      </w:r>
      <w:r>
        <w:rPr>
          <w:rStyle w:val="st1"/>
        </w:rPr>
        <w:t>sekretorického</w:t>
      </w:r>
      <w:r w:rsidRPr="00653ADB">
        <w:rPr>
          <w:rStyle w:val="st1"/>
        </w:rPr>
        <w:t xml:space="preserve"> </w:t>
      </w:r>
      <w:r w:rsidRPr="00653ADB">
        <w:rPr>
          <w:rStyle w:val="st1"/>
          <w:bCs/>
        </w:rPr>
        <w:t>karcinom</w:t>
      </w:r>
      <w:r>
        <w:rPr>
          <w:rStyle w:val="st1"/>
        </w:rPr>
        <w:t>u slinných žlá</w:t>
      </w:r>
      <w:r w:rsidRPr="00653ADB">
        <w:rPr>
          <w:rStyle w:val="st1"/>
        </w:rPr>
        <w:t xml:space="preserve">z </w:t>
      </w:r>
      <w:r>
        <w:rPr>
          <w:bCs/>
          <w:color w:val="000000"/>
        </w:rPr>
        <w:t>(mammary analogue secretory carcinoma), který byl dříve mylně diagnostikován jako biologicky příznivější karcinom z acinárních buněk. Pro hyalinizující karcinom z jasných buněk je charakteristická translokace mezi geny ESWR1 a ATF1 (37).</w:t>
      </w:r>
    </w:p>
    <w:p w:rsidR="00517E70" w:rsidRPr="00AC6BA9" w:rsidRDefault="00517E70" w:rsidP="00203F1C">
      <w:pPr>
        <w:spacing w:line="360" w:lineRule="auto"/>
        <w:jc w:val="both"/>
        <w:rPr>
          <w:color w:val="000000"/>
        </w:rPr>
      </w:pPr>
      <w:r w:rsidRPr="00AC6BA9">
        <w:rPr>
          <w:bCs/>
          <w:color w:val="000000"/>
        </w:rPr>
        <w:t>Jedním ze zkoumaných genů u karcinomů slinných žláz byl i nádorový supresor p53. Luukkaa (39) však nezjistil prognostický význam jeho exprese v šikokém spektru 17 histopatologických jednotek a</w:t>
      </w:r>
      <w:r>
        <w:rPr>
          <w:bCs/>
          <w:color w:val="000000"/>
        </w:rPr>
        <w:t xml:space="preserve"> k podobným </w:t>
      </w:r>
      <w:r w:rsidRPr="00AC6BA9">
        <w:rPr>
          <w:bCs/>
          <w:color w:val="000000"/>
        </w:rPr>
        <w:t xml:space="preserve">závěrům došel i  Felix (38) u salivárního duktálního karcinomu. </w:t>
      </w:r>
    </w:p>
    <w:p w:rsidR="00517E70" w:rsidRPr="00AC6BA9" w:rsidRDefault="00517E70" w:rsidP="00203F1C">
      <w:pPr>
        <w:spacing w:line="360" w:lineRule="auto"/>
        <w:jc w:val="both"/>
        <w:rPr>
          <w:bCs/>
          <w:color w:val="FF0000"/>
        </w:rPr>
      </w:pPr>
      <w:r w:rsidRPr="00AC6BA9">
        <w:rPr>
          <w:bCs/>
          <w:color w:val="000000"/>
        </w:rPr>
        <w:t xml:space="preserve"> Dalším</w:t>
      </w:r>
      <w:r>
        <w:t xml:space="preserve"> ze salivárních nádorů, u něhož byly studovány genové abnormality, je i adenoidně cystický karcinom, u kterého Jian Fen He (40) podobně jako Sasahira (41) zjistili negativní korelaci mezi expresí supresorového genu RUNX3  s jeho prognózou. Tento tumor, podobně jako některé další salivární karcinomy, je asociován se zvýšenou, avšak prognosticky irelevantní expresí onkoproteinu C-Kit, EGFR </w:t>
      </w:r>
      <w:r w:rsidRPr="004A2636">
        <w:rPr>
          <w:color w:val="000000"/>
        </w:rPr>
        <w:t>a VEGF</w:t>
      </w:r>
      <w:r>
        <w:t xml:space="preserve"> (31,42,43, 44,45). </w:t>
      </w:r>
      <w:r>
        <w:rPr>
          <w:iCs/>
          <w:color w:val="000000"/>
        </w:rPr>
        <w:t xml:space="preserve">Oproti tomu u GISTu (gastrointestinální stromální tumor) </w:t>
      </w:r>
      <w:r w:rsidRPr="00482B7C">
        <w:rPr>
          <w:iCs/>
          <w:color w:val="000000"/>
        </w:rPr>
        <w:t xml:space="preserve">byla zjištěna souvislost mezi jeho expresí a délkou přežití </w:t>
      </w:r>
      <w:r w:rsidRPr="00EC2732">
        <w:rPr>
          <w:iCs/>
        </w:rPr>
        <w:t>(46).</w:t>
      </w:r>
    </w:p>
    <w:p w:rsidR="00517E70" w:rsidRPr="00AC6BA9" w:rsidRDefault="00517E70" w:rsidP="00203F1C">
      <w:pPr>
        <w:spacing w:line="360" w:lineRule="auto"/>
        <w:jc w:val="both"/>
      </w:pPr>
      <w:r w:rsidRPr="00AC6BA9">
        <w:t>Dalším zkoumaným</w:t>
      </w:r>
      <w:r>
        <w:t xml:space="preserve"> </w:t>
      </w:r>
      <w:r w:rsidRPr="00AC6BA9">
        <w:t>fak</w:t>
      </w:r>
      <w:r>
        <w:t xml:space="preserve">torem u  salivárních  malignit </w:t>
      </w:r>
      <w:r w:rsidRPr="00AC6BA9">
        <w:t>byla exprese genu pro faktor kinázu sphingosine 1 (SPHK1).  SPHK1 je bioaktivní lipidový</w:t>
      </w:r>
      <w:r>
        <w:t xml:space="preserve"> mediátor, který má důležitou</w:t>
      </w:r>
      <w:r w:rsidRPr="00AC6BA9">
        <w:t xml:space="preserve"> roli ve fyziologických procesech jako buněčná proliferace a angiogeneze. Z</w:t>
      </w:r>
      <w:r>
        <w:t xml:space="preserve">výšená </w:t>
      </w:r>
      <w:r w:rsidRPr="00AC6BA9">
        <w:t>hladina této kinázy byla prokázána</w:t>
      </w:r>
      <w:r>
        <w:t xml:space="preserve"> u</w:t>
      </w:r>
      <w:r w:rsidRPr="00AC6BA9">
        <w:t xml:space="preserve"> širokého spektra malignit </w:t>
      </w:r>
      <w:r>
        <w:t xml:space="preserve">spojených </w:t>
      </w:r>
      <w:r w:rsidRPr="00AC6BA9">
        <w:t xml:space="preserve">se závažnou prognózou (např. u glioblastomu, karcinomu prostaty, karcinomu žaludku) </w:t>
      </w:r>
      <w:r>
        <w:t>a je hodnocena</w:t>
      </w:r>
      <w:r w:rsidRPr="00AC6BA9">
        <w:t xml:space="preserve"> jako negativní prognostický faktor (48). Podobně Liu (47) </w:t>
      </w:r>
      <w:r>
        <w:t>p</w:t>
      </w:r>
      <w:r w:rsidRPr="00AC6BA9">
        <w:t>r</w:t>
      </w:r>
      <w:r>
        <w:t>o</w:t>
      </w:r>
      <w:r w:rsidRPr="00AC6BA9">
        <w:t>kázal že overexprese tohoho faktoru je  sp</w:t>
      </w:r>
      <w:r>
        <w:t xml:space="preserve">ojena </w:t>
      </w:r>
      <w:r w:rsidRPr="00AC6BA9">
        <w:t xml:space="preserve"> s kratší dobou  přezití u  salivárních  karcinomů. </w:t>
      </w:r>
    </w:p>
    <w:p w:rsidR="00517E70" w:rsidRDefault="00517E70" w:rsidP="00203F1C">
      <w:pPr>
        <w:spacing w:line="360" w:lineRule="auto"/>
        <w:jc w:val="both"/>
        <w:rPr>
          <w:b/>
          <w:bCs/>
          <w:color w:val="000000"/>
        </w:rPr>
      </w:pPr>
    </w:p>
    <w:p w:rsidR="00517E70" w:rsidRPr="00A07D52" w:rsidRDefault="00517E70" w:rsidP="00203F1C">
      <w:pPr>
        <w:spacing w:line="360" w:lineRule="auto"/>
        <w:jc w:val="both"/>
        <w:rPr>
          <w:b/>
          <w:bCs/>
          <w:color w:val="000000"/>
        </w:rPr>
      </w:pPr>
      <w:r>
        <w:rPr>
          <w:b/>
          <w:bCs/>
          <w:color w:val="000000"/>
        </w:rPr>
        <w:t xml:space="preserve">2.2  C - Kit gen </w:t>
      </w:r>
    </w:p>
    <w:p w:rsidR="00517E70" w:rsidRPr="0093395E" w:rsidRDefault="00517E70" w:rsidP="00203F1C">
      <w:pPr>
        <w:spacing w:line="360" w:lineRule="auto"/>
        <w:jc w:val="both"/>
        <w:rPr>
          <w:b/>
          <w:bCs/>
          <w:color w:val="000000"/>
        </w:rPr>
      </w:pPr>
    </w:p>
    <w:p w:rsidR="00517E70" w:rsidRPr="009850A4" w:rsidRDefault="00517E70" w:rsidP="009850A4">
      <w:pPr>
        <w:spacing w:line="360" w:lineRule="auto"/>
        <w:jc w:val="both"/>
        <w:rPr>
          <w:color w:val="000000"/>
        </w:rPr>
      </w:pPr>
      <w:r w:rsidRPr="000548F6">
        <w:rPr>
          <w:color w:val="000000"/>
        </w:rPr>
        <w:t xml:space="preserve">Kit (znám také jako </w:t>
      </w:r>
      <w:r>
        <w:rPr>
          <w:color w:val="000000"/>
        </w:rPr>
        <w:t>C-K</w:t>
      </w:r>
      <w:r w:rsidRPr="000548F6">
        <w:rPr>
          <w:color w:val="000000"/>
        </w:rPr>
        <w:t>it)</w:t>
      </w:r>
      <w:r w:rsidRPr="00004DD3">
        <w:rPr>
          <w:color w:val="000000"/>
        </w:rPr>
        <w:t xml:space="preserve"> je protoonkogen lokalizovaný v pozici 4q12. Jeho produkt patří mezi receptorové tyrosinkinázy (RTK), což jsou transmembránové proteiny, převádějící signál po vazbě ligandu růstových faktorů přes buněčnou membránu. Tím spouštějí intracelulární kaskádu, kterou se předává signál do jádra. Zde po aktivaci transkripčních faktorů dojde k expresi genů nutných pro aktivaci mitózy (obr.č.1).</w:t>
      </w:r>
    </w:p>
    <w:p w:rsidR="00517E70" w:rsidRPr="00A07D52" w:rsidRDefault="00517E70" w:rsidP="00203F1C">
      <w:pPr>
        <w:spacing w:line="480" w:lineRule="auto"/>
        <w:jc w:val="both"/>
        <w:rPr>
          <w:b/>
          <w:color w:val="C00000"/>
        </w:rPr>
      </w:pPr>
    </w:p>
    <w:p w:rsidR="00517E70" w:rsidRPr="001B742D" w:rsidRDefault="00517E70" w:rsidP="00203F1C">
      <w:pPr>
        <w:spacing w:line="480" w:lineRule="auto"/>
        <w:jc w:val="both"/>
        <w:rPr>
          <w:color w:val="000000"/>
        </w:rPr>
      </w:pPr>
      <w:r w:rsidRPr="00A07D52">
        <w:rPr>
          <w:bCs/>
          <w:color w:val="000000"/>
        </w:rPr>
        <w:t xml:space="preserve"> </w:t>
      </w:r>
      <w:r>
        <w:rPr>
          <w:bCs/>
          <w:color w:val="000000"/>
        </w:rPr>
        <w:t>Obr. č. 3</w:t>
      </w:r>
      <w:r>
        <w:rPr>
          <w:color w:val="000000"/>
        </w:rPr>
        <w:t>. Schématické znázornění Kit</w:t>
      </w:r>
      <w:r w:rsidRPr="001B742D">
        <w:rPr>
          <w:color w:val="000000"/>
        </w:rPr>
        <w:t xml:space="preserve"> signální dráhy.</w:t>
      </w:r>
    </w:p>
    <w:p w:rsidR="00517E70" w:rsidRPr="00A07D52" w:rsidRDefault="00517E70" w:rsidP="00203F1C">
      <w:pPr>
        <w:spacing w:line="480" w:lineRule="auto"/>
        <w:jc w:val="both"/>
        <w:rPr>
          <w:color w:val="C00000"/>
        </w:rPr>
      </w:pPr>
    </w:p>
    <w:p w:rsidR="00517E70" w:rsidRPr="00A07D52" w:rsidRDefault="00517E70" w:rsidP="00203F1C">
      <w:pPr>
        <w:spacing w:line="480" w:lineRule="auto"/>
        <w:jc w:val="both"/>
        <w:rPr>
          <w:color w:val="C00000"/>
        </w:rPr>
      </w:pPr>
      <w:r w:rsidRPr="002E11AC">
        <w:rPr>
          <w:strike/>
          <w:noProof/>
          <w:color w:val="000000"/>
        </w:rPr>
        <w:pict>
          <v:shape id="obrázek 1" o:spid="_x0000_i1027" type="#_x0000_t75" style="width:399.75pt;height:221.25pt;visibility:visible">
            <v:imagedata r:id="rId10" o:title=""/>
          </v:shape>
        </w:pict>
      </w:r>
    </w:p>
    <w:p w:rsidR="00517E70" w:rsidRDefault="00517E70" w:rsidP="00203F1C">
      <w:pPr>
        <w:spacing w:line="360" w:lineRule="auto"/>
        <w:jc w:val="both"/>
        <w:rPr>
          <w:i/>
          <w:color w:val="C00000"/>
        </w:rPr>
      </w:pPr>
    </w:p>
    <w:p w:rsidR="00517E70" w:rsidRDefault="00517E70" w:rsidP="00203F1C">
      <w:pPr>
        <w:spacing w:line="360" w:lineRule="auto"/>
        <w:jc w:val="both"/>
        <w:rPr>
          <w:i/>
          <w:color w:val="C00000"/>
        </w:rPr>
      </w:pPr>
    </w:p>
    <w:p w:rsidR="00517E70" w:rsidRPr="00004DD3" w:rsidRDefault="00517E70" w:rsidP="00203F1C">
      <w:pPr>
        <w:spacing w:line="360" w:lineRule="auto"/>
        <w:jc w:val="both"/>
        <w:rPr>
          <w:color w:val="000000"/>
        </w:rPr>
      </w:pPr>
      <w:r>
        <w:rPr>
          <w:color w:val="000000"/>
        </w:rPr>
        <w:t>C-</w:t>
      </w:r>
      <w:r w:rsidRPr="000548F6">
        <w:rPr>
          <w:color w:val="000000"/>
        </w:rPr>
        <w:t>Kit</w:t>
      </w:r>
      <w:r>
        <w:rPr>
          <w:color w:val="000000"/>
        </w:rPr>
        <w:t xml:space="preserve"> gen</w:t>
      </w:r>
      <w:r w:rsidRPr="000548F6">
        <w:rPr>
          <w:color w:val="000000"/>
        </w:rPr>
        <w:t xml:space="preserve"> </w:t>
      </w:r>
      <w:r w:rsidRPr="00004DD3">
        <w:rPr>
          <w:color w:val="000000"/>
        </w:rPr>
        <w:t>hraje významnou úlohu ve vývoji mastocytů, melanocytů, kmenových buněk bílé i červené krevní řady, jakož i germinálních a intersticiální buněk Cajalových GITu. Jeho výrazná exprese, byla prokázaná u myeloidní leukémie, melanomu, karcinomu prsu, plic, štítné žlázy, seminomu a zejmén</w:t>
      </w:r>
      <w:r>
        <w:rPr>
          <w:color w:val="000000"/>
        </w:rPr>
        <w:t>a pak u GISTu, ale u karcinomů</w:t>
      </w:r>
      <w:r w:rsidRPr="00004DD3">
        <w:rPr>
          <w:color w:val="000000"/>
        </w:rPr>
        <w:t xml:space="preserve"> slinných žláz je značně variabilní. Výjimku však představuje A</w:t>
      </w:r>
      <w:r>
        <w:rPr>
          <w:color w:val="000000"/>
        </w:rPr>
        <w:t>CC, který vykazuje pozitivní Kit</w:t>
      </w:r>
      <w:r w:rsidRPr="00004DD3">
        <w:rPr>
          <w:color w:val="000000"/>
        </w:rPr>
        <w:t xml:space="preserve"> reakci (o</w:t>
      </w:r>
      <w:r>
        <w:rPr>
          <w:color w:val="000000"/>
        </w:rPr>
        <w:t>br. 2) v 80-100 % případů (24,49</w:t>
      </w:r>
      <w:r w:rsidRPr="00004DD3">
        <w:rPr>
          <w:color w:val="000000"/>
        </w:rPr>
        <w:t>). Její přítomnost může sloužit jako pomocný diferenciálně diagnostický znak k odlišení velmi podobného, avšak prognosticky daleko příznivějšího polymorfního „low-grade“ adenokarcinomu slinných žláz a benigního pleomorfního adenomu s ab</w:t>
      </w:r>
      <w:r>
        <w:rPr>
          <w:color w:val="000000"/>
        </w:rPr>
        <w:t>sencí „stromální“ komponenty (44,50</w:t>
      </w:r>
      <w:r w:rsidRPr="00004DD3">
        <w:rPr>
          <w:color w:val="000000"/>
        </w:rPr>
        <w:t>).</w:t>
      </w:r>
    </w:p>
    <w:p w:rsidR="00517E70" w:rsidRPr="000548F6" w:rsidRDefault="00517E70" w:rsidP="00203F1C">
      <w:pPr>
        <w:spacing w:line="360" w:lineRule="auto"/>
        <w:jc w:val="both"/>
        <w:rPr>
          <w:bCs/>
          <w:color w:val="000000"/>
        </w:rPr>
      </w:pPr>
      <w:r w:rsidRPr="00004DD3">
        <w:rPr>
          <w:bCs/>
          <w:color w:val="000000"/>
        </w:rPr>
        <w:t>Protože naprostá</w:t>
      </w:r>
      <w:r>
        <w:rPr>
          <w:bCs/>
          <w:color w:val="000000"/>
        </w:rPr>
        <w:t xml:space="preserve"> většina ACC vykazuje silnou Kit</w:t>
      </w:r>
      <w:r w:rsidRPr="00004DD3">
        <w:rPr>
          <w:bCs/>
          <w:color w:val="000000"/>
        </w:rPr>
        <w:t xml:space="preserve"> imunoreakci, vkládaly se</w:t>
      </w:r>
      <w:r>
        <w:rPr>
          <w:bCs/>
          <w:color w:val="000000"/>
        </w:rPr>
        <w:t xml:space="preserve"> </w:t>
      </w:r>
      <w:r>
        <w:rPr>
          <w:bCs/>
          <w:iCs/>
          <w:color w:val="000000"/>
        </w:rPr>
        <w:t>do blokády Kit</w:t>
      </w:r>
      <w:r w:rsidRPr="00004DD3">
        <w:rPr>
          <w:bCs/>
          <w:iCs/>
          <w:color w:val="000000"/>
        </w:rPr>
        <w:t xml:space="preserve"> signální cesty tyrozinkinázovými inhibitory (TKI) velké naděje. </w:t>
      </w:r>
    </w:p>
    <w:p w:rsidR="00517E70" w:rsidRDefault="00517E70" w:rsidP="00203F1C">
      <w:pPr>
        <w:spacing w:line="360" w:lineRule="auto"/>
        <w:jc w:val="both"/>
        <w:rPr>
          <w:color w:val="000000"/>
        </w:rPr>
      </w:pPr>
      <w:r w:rsidRPr="00004DD3">
        <w:rPr>
          <w:color w:val="000000"/>
        </w:rPr>
        <w:t xml:space="preserve">Určitý entuziasmus byl vyvolán výsledky prvních aplikací imatinibu (Glivec), protože Alcedo </w:t>
      </w:r>
      <w:r w:rsidRPr="00792BB4">
        <w:t>(23)</w:t>
      </w:r>
      <w:r w:rsidRPr="00004DD3">
        <w:rPr>
          <w:color w:val="000000"/>
        </w:rPr>
        <w:t xml:space="preserve"> v r. 2004 referoval o dvou pacientech s ACC, úspěšně léčených tímto prep</w:t>
      </w:r>
      <w:r>
        <w:rPr>
          <w:color w:val="000000"/>
        </w:rPr>
        <w:t>arátem. V roce 2005 Faivrová (51</w:t>
      </w:r>
      <w:r w:rsidRPr="00004DD3">
        <w:rPr>
          <w:color w:val="000000"/>
        </w:rPr>
        <w:t>) publikovala výsledky u jen málo většího souboru 8 pacientů s ACC. K pozitivní odpovědi na léčbu došlo u jedno</w:t>
      </w:r>
      <w:r>
        <w:rPr>
          <w:color w:val="000000"/>
        </w:rPr>
        <w:t>ho z nich. Podobně ani Hotte (25</w:t>
      </w:r>
      <w:r w:rsidRPr="00004DD3">
        <w:rPr>
          <w:color w:val="000000"/>
        </w:rPr>
        <w:t xml:space="preserve">) nezaznamenal výraznější efekt působení imatinibu  u 16 nemocných s tímto nádorem. </w:t>
      </w:r>
    </w:p>
    <w:p w:rsidR="00517E70" w:rsidRDefault="00517E70" w:rsidP="00203F1C">
      <w:pPr>
        <w:spacing w:line="360" w:lineRule="auto"/>
        <w:jc w:val="both"/>
        <w:rPr>
          <w:color w:val="000000"/>
        </w:rPr>
      </w:pPr>
    </w:p>
    <w:p w:rsidR="00517E70" w:rsidRDefault="00517E70" w:rsidP="00203F1C">
      <w:pPr>
        <w:spacing w:line="360" w:lineRule="auto"/>
        <w:jc w:val="both"/>
        <w:rPr>
          <w:color w:val="000000"/>
        </w:rPr>
      </w:pPr>
      <w:r w:rsidRPr="00004DD3">
        <w:rPr>
          <w:color w:val="000000"/>
        </w:rPr>
        <w:t xml:space="preserve">Kritický pohled potvrdily i další, rozsáhlejší </w:t>
      </w:r>
      <w:r w:rsidRPr="003C0F0E">
        <w:t>studie (81,82).</w:t>
      </w:r>
      <w:r w:rsidRPr="00004DD3">
        <w:rPr>
          <w:color w:val="000000"/>
        </w:rPr>
        <w:t xml:space="preserve"> Linem byl po uvedené terapii dokonce popsá</w:t>
      </w:r>
      <w:r>
        <w:rPr>
          <w:color w:val="000000"/>
        </w:rPr>
        <w:t>n akcelerovaný růst metastáz (52</w:t>
      </w:r>
      <w:r w:rsidRPr="00004DD3">
        <w:rPr>
          <w:color w:val="000000"/>
        </w:rPr>
        <w:t>). Ghosal ve studii publikované v roce 2010 podával imatinib v kombinaci s cisplatinou v léčbě tohoto nádoru s částečným efektem, kdy u</w:t>
      </w:r>
      <w:r>
        <w:rPr>
          <w:color w:val="000000"/>
        </w:rPr>
        <w:t> </w:t>
      </w:r>
      <w:r w:rsidRPr="00004DD3">
        <w:rPr>
          <w:color w:val="000000"/>
        </w:rPr>
        <w:t xml:space="preserve">3 z 28 pacientů došlo k dočasnému zastavení jeho </w:t>
      </w:r>
      <w:r w:rsidRPr="003F2A0E">
        <w:t>progrese (53).</w:t>
      </w:r>
      <w:r w:rsidRPr="00004DD3">
        <w:rPr>
          <w:color w:val="000000"/>
        </w:rPr>
        <w:t xml:space="preserve"> Nověji byly syntetizovány TKI nové</w:t>
      </w:r>
      <w:r w:rsidRPr="00A07D52">
        <w:rPr>
          <w:color w:val="C00000"/>
        </w:rPr>
        <w:t xml:space="preserve"> </w:t>
      </w:r>
      <w:r w:rsidRPr="00004DD3">
        <w:rPr>
          <w:color w:val="000000"/>
        </w:rPr>
        <w:t xml:space="preserve">generace (sunitinib, nilotinib, dasatinib a jiné), které se od </w:t>
      </w:r>
      <w:r>
        <w:rPr>
          <w:color w:val="000000"/>
        </w:rPr>
        <w:t>imatinibu liší tím, že kromě Kit</w:t>
      </w:r>
      <w:r w:rsidRPr="00004DD3">
        <w:rPr>
          <w:color w:val="000000"/>
        </w:rPr>
        <w:t xml:space="preserve"> působí i na další receptory s tyrozinkinázovou aktivitou. V současnosti probíhá intenzívní výzkum léčby  salivárního ACC těmito novými preparáty, dosavadní zpráv</w:t>
      </w:r>
      <w:r>
        <w:rPr>
          <w:color w:val="000000"/>
        </w:rPr>
        <w:t>y však jsou zdrženlivé. Chau (26</w:t>
      </w:r>
      <w:r w:rsidRPr="00004DD3">
        <w:rPr>
          <w:color w:val="000000"/>
        </w:rPr>
        <w:t>) nezaznamenal reakci u 14 nemocných, léčených sunitinibem. Podobně nedošlo k pozitivní odpovědi na léčbu dasatinibem v  kombinaci s cetuximabem (</w:t>
      </w:r>
      <w:r>
        <w:rPr>
          <w:color w:val="000000"/>
        </w:rPr>
        <w:t>5</w:t>
      </w:r>
      <w:r w:rsidRPr="00004DD3">
        <w:rPr>
          <w:color w:val="000000"/>
        </w:rPr>
        <w:t>4). Recentní studie, která má za úkol sledovat odpověď na léčbu Dasat</w:t>
      </w:r>
      <w:r>
        <w:rPr>
          <w:color w:val="000000"/>
        </w:rPr>
        <w:t>inibem dosud nebyla ukončena (55</w:t>
      </w:r>
      <w:r w:rsidRPr="00004DD3">
        <w:rPr>
          <w:color w:val="000000"/>
        </w:rPr>
        <w:t>). Dosavadní negativní zkušeností s uvedenou terapií je ovšem nutno hodnotit ve světle skutečnosti, že do studií byli zahrnuti jen pacienti s</w:t>
      </w:r>
      <w:r>
        <w:rPr>
          <w:color w:val="000000"/>
        </w:rPr>
        <w:t> generalizovanými</w:t>
      </w:r>
      <w:r w:rsidRPr="00004DD3">
        <w:rPr>
          <w:color w:val="000000"/>
        </w:rPr>
        <w:t>, nikoliv s primárními tumory. Dalším možným důvodem neúčinnosti léčby imatinibem je dl</w:t>
      </w:r>
      <w:r>
        <w:rPr>
          <w:color w:val="000000"/>
        </w:rPr>
        <w:t xml:space="preserve">e Bellové </w:t>
      </w:r>
      <w:r w:rsidRPr="00C845D0">
        <w:t>(49)</w:t>
      </w:r>
      <w:r w:rsidRPr="005162B6">
        <w:rPr>
          <w:color w:val="00B050"/>
        </w:rPr>
        <w:t xml:space="preserve"> </w:t>
      </w:r>
      <w:r>
        <w:rPr>
          <w:color w:val="000000"/>
        </w:rPr>
        <w:t>skutečnost, že Kit</w:t>
      </w:r>
      <w:r w:rsidRPr="00004DD3">
        <w:rPr>
          <w:color w:val="000000"/>
        </w:rPr>
        <w:t xml:space="preserve"> je exprimován toliko v nádorových  duktálních, a nikoli  myoepiteliálních buňkách. Posledně uvedené elementy exprimují </w:t>
      </w:r>
      <w:r w:rsidRPr="00F57841">
        <w:rPr>
          <w:color w:val="000000"/>
        </w:rPr>
        <w:t>MYB</w:t>
      </w:r>
      <w:r w:rsidRPr="00004DD3">
        <w:rPr>
          <w:color w:val="000000"/>
        </w:rPr>
        <w:t xml:space="preserve"> gen, který není c</w:t>
      </w:r>
      <w:r>
        <w:rPr>
          <w:color w:val="000000"/>
        </w:rPr>
        <w:t>ílovou molekulou pro léčbu TKI.</w:t>
      </w:r>
    </w:p>
    <w:p w:rsidR="00517E70" w:rsidRPr="00FF109F" w:rsidRDefault="00517E70" w:rsidP="00203F1C">
      <w:pPr>
        <w:spacing w:line="360" w:lineRule="auto"/>
        <w:jc w:val="both"/>
      </w:pPr>
      <w:r>
        <w:rPr>
          <w:color w:val="000000"/>
        </w:rPr>
        <w:t xml:space="preserve">Původně studie předpokládaly </w:t>
      </w:r>
      <w:r w:rsidRPr="004978F1">
        <w:rPr>
          <w:color w:val="000000"/>
        </w:rPr>
        <w:t>účinnost TKI pou</w:t>
      </w:r>
      <w:r>
        <w:rPr>
          <w:color w:val="000000"/>
        </w:rPr>
        <w:t xml:space="preserve">ze u nádorů jevících expresi C-Kit </w:t>
      </w:r>
      <w:r w:rsidRPr="004978F1">
        <w:rPr>
          <w:color w:val="000000"/>
        </w:rPr>
        <w:t>onkoprotei</w:t>
      </w:r>
      <w:r>
        <w:rPr>
          <w:color w:val="000000"/>
        </w:rPr>
        <w:t xml:space="preserve">nu. Tato očekávání však nebyla naplněna, </w:t>
      </w:r>
      <w:r w:rsidRPr="004978F1">
        <w:rPr>
          <w:color w:val="000000"/>
        </w:rPr>
        <w:t xml:space="preserve">proto </w:t>
      </w:r>
      <w:r>
        <w:rPr>
          <w:color w:val="000000"/>
        </w:rPr>
        <w:t>se naskytla otázka zda</w:t>
      </w:r>
      <w:r w:rsidRPr="004978F1">
        <w:rPr>
          <w:color w:val="000000"/>
        </w:rPr>
        <w:t xml:space="preserve"> efe</w:t>
      </w:r>
      <w:r>
        <w:rPr>
          <w:color w:val="000000"/>
        </w:rPr>
        <w:t xml:space="preserve">ktivita této léčby není určena dalšími alteracemi </w:t>
      </w:r>
      <w:r w:rsidRPr="004978F1">
        <w:rPr>
          <w:color w:val="000000"/>
        </w:rPr>
        <w:t>tohoto genu</w:t>
      </w:r>
      <w:r>
        <w:rPr>
          <w:color w:val="000000"/>
        </w:rPr>
        <w:t xml:space="preserve"> </w:t>
      </w:r>
      <w:r w:rsidRPr="004978F1">
        <w:rPr>
          <w:color w:val="000000"/>
        </w:rPr>
        <w:t xml:space="preserve">-  </w:t>
      </w:r>
      <w:r w:rsidRPr="004978F1">
        <w:t>podobně jak tomu je u GIST</w:t>
      </w:r>
      <w:r>
        <w:t>u</w:t>
      </w:r>
      <w:r w:rsidRPr="004978F1">
        <w:t xml:space="preserve"> .</w:t>
      </w:r>
      <w:r w:rsidRPr="00FF109F">
        <w:t xml:space="preserve"> </w:t>
      </w:r>
    </w:p>
    <w:p w:rsidR="00517E70" w:rsidRPr="00FF109F" w:rsidRDefault="00517E70" w:rsidP="00203F1C">
      <w:pPr>
        <w:spacing w:line="360" w:lineRule="auto"/>
        <w:jc w:val="both"/>
      </w:pPr>
      <w:r>
        <w:t>Vila (56</w:t>
      </w:r>
      <w:r w:rsidRPr="00FF109F">
        <w:t>) publikoval soubor 14 pac</w:t>
      </w:r>
      <w:r>
        <w:t xml:space="preserve">ientů s ACC karcinomy slinných </w:t>
      </w:r>
      <w:r w:rsidRPr="00FF109F">
        <w:t>žláz</w:t>
      </w:r>
      <w:r>
        <w:t>,</w:t>
      </w:r>
      <w:r w:rsidRPr="00FF109F">
        <w:t xml:space="preserve"> u kterých zkoumal jednotlivé typy mutací</w:t>
      </w:r>
      <w:r>
        <w:t xml:space="preserve"> C-Kit genu</w:t>
      </w:r>
      <w:r w:rsidRPr="00FF109F">
        <w:t>.</w:t>
      </w:r>
      <w:r>
        <w:t xml:space="preserve"> </w:t>
      </w:r>
      <w:r w:rsidRPr="00FF109F">
        <w:t>U jednoho pacienta b</w:t>
      </w:r>
      <w:r>
        <w:t xml:space="preserve">yly zjištěny různé typy mutací </w:t>
      </w:r>
      <w:r w:rsidRPr="00FF109F">
        <w:t>jak v primárním tumoru</w:t>
      </w:r>
      <w:r>
        <w:t>,</w:t>
      </w:r>
      <w:r w:rsidRPr="00FF109F">
        <w:t xml:space="preserve"> tak i v metastázách. B</w:t>
      </w:r>
      <w:r>
        <w:t xml:space="preserve">yl zde potvrzen předpoklad, že </w:t>
      </w:r>
      <w:r w:rsidRPr="00FF109F">
        <w:t>primární tumor a metastázy moh</w:t>
      </w:r>
      <w:r>
        <w:t>ou obsahovat různé typy mutací C-Kit</w:t>
      </w:r>
      <w:r w:rsidRPr="00FF109F">
        <w:t xml:space="preserve"> genu. Lin  v soubo</w:t>
      </w:r>
      <w:r>
        <w:t>ru 5 pacientů žádné mutace C- Kit</w:t>
      </w:r>
      <w:r w:rsidRPr="00FF109F">
        <w:t xml:space="preserve"> genu nezjistil </w:t>
      </w:r>
      <w:r w:rsidRPr="006A0C8A">
        <w:t>(52)</w:t>
      </w:r>
      <w:r w:rsidRPr="00FF109F">
        <w:t xml:space="preserve"> avšak Tetsu </w:t>
      </w:r>
      <w:r>
        <w:t xml:space="preserve">(57) </w:t>
      </w:r>
      <w:r w:rsidRPr="00FF109F">
        <w:t xml:space="preserve">ve </w:t>
      </w:r>
      <w:r>
        <w:t>své práci zjistil, že u 17 C-Kit</w:t>
      </w:r>
      <w:r w:rsidRPr="00FF109F">
        <w:t xml:space="preserve"> pozitivních pacientů s progredujícím  ACC karcinomem  se u  dvou  se vyskytují  m</w:t>
      </w:r>
      <w:r>
        <w:t xml:space="preserve">utace v exonech  </w:t>
      </w:r>
      <w:smartTag w:uri="urn:schemas-microsoft-com:office:smarttags" w:element="metricconverter">
        <w:smartTagPr>
          <w:attr w:name="ProductID" w:val="13 a"/>
        </w:smartTagPr>
        <w:r>
          <w:t>13 a</w:t>
        </w:r>
      </w:smartTag>
      <w:r>
        <w:t xml:space="preserve"> 17. Tyto </w:t>
      </w:r>
      <w:r w:rsidRPr="00FF109F">
        <w:t>b</w:t>
      </w:r>
      <w:r>
        <w:t>yly zodpovědné za blokádu C-Kit</w:t>
      </w:r>
      <w:r w:rsidRPr="00FF109F">
        <w:t xml:space="preserve"> signální kaskády by mohlo vysvětlovat neúčinnost  imatinibu.  N</w:t>
      </w:r>
      <w:r>
        <w:t xml:space="preserve">avíc u dalších dvou pacientů </w:t>
      </w:r>
      <w:r w:rsidRPr="00FF109F">
        <w:t xml:space="preserve">bez mutací </w:t>
      </w:r>
      <w:r>
        <w:t>C-Kit genu byly zjištěny mutace v genech kódujících</w:t>
      </w:r>
      <w:r w:rsidRPr="00FF109F">
        <w:t xml:space="preserve"> efektory signálních kaskád (KRAS,</w:t>
      </w:r>
      <w:r>
        <w:t xml:space="preserve"> BRAF)</w:t>
      </w:r>
      <w:r w:rsidRPr="00FF109F">
        <w:t>, které rovněž byly zod</w:t>
      </w:r>
      <w:r>
        <w:t>povědné za inaktivitu celé C-Kit</w:t>
      </w:r>
      <w:r w:rsidRPr="00FF109F">
        <w:t xml:space="preserve"> signální kaskády. Na základě těchto nálezů  Tetsu vyvodil závěr, že ACC karc</w:t>
      </w:r>
      <w:r>
        <w:t>inom progreduje i přes blokádu C-Kit</w:t>
      </w:r>
      <w:r w:rsidRPr="00FF109F">
        <w:t xml:space="preserve"> signální cesty </w:t>
      </w:r>
      <w:r>
        <w:t xml:space="preserve">mutacemi a vyjádřil pochybnost </w:t>
      </w:r>
      <w:r w:rsidRPr="00FF109F">
        <w:t>o účinnosti</w:t>
      </w:r>
      <w:r>
        <w:t xml:space="preserve"> léčby blokátory tyzozinkinázy.</w:t>
      </w:r>
    </w:p>
    <w:p w:rsidR="00517E70" w:rsidRDefault="00517E70" w:rsidP="00203F1C">
      <w:pPr>
        <w:spacing w:line="360" w:lineRule="auto"/>
        <w:jc w:val="both"/>
        <w:rPr>
          <w:bCs/>
          <w:strike/>
          <w:color w:val="000000"/>
        </w:rPr>
      </w:pPr>
    </w:p>
    <w:p w:rsidR="00517E70" w:rsidRDefault="00517E70" w:rsidP="00203F1C">
      <w:pPr>
        <w:spacing w:line="360" w:lineRule="auto"/>
        <w:jc w:val="both"/>
        <w:rPr>
          <w:bCs/>
          <w:strike/>
          <w:color w:val="000000"/>
        </w:rPr>
      </w:pPr>
    </w:p>
    <w:p w:rsidR="00517E70" w:rsidRDefault="00517E70" w:rsidP="00203F1C">
      <w:pPr>
        <w:spacing w:line="360" w:lineRule="auto"/>
        <w:jc w:val="both"/>
        <w:rPr>
          <w:bCs/>
          <w:strike/>
          <w:color w:val="000000"/>
        </w:rPr>
      </w:pPr>
    </w:p>
    <w:p w:rsidR="00517E70" w:rsidRPr="00775BED" w:rsidRDefault="00517E70" w:rsidP="00203F1C">
      <w:pPr>
        <w:jc w:val="both"/>
        <w:rPr>
          <w:b/>
        </w:rPr>
      </w:pPr>
      <w:r>
        <w:rPr>
          <w:b/>
        </w:rPr>
        <w:t xml:space="preserve">2.3. </w:t>
      </w:r>
      <w:r w:rsidRPr="00775BED">
        <w:rPr>
          <w:b/>
        </w:rPr>
        <w:t xml:space="preserve">MYB gen </w:t>
      </w:r>
      <w:r>
        <w:rPr>
          <w:b/>
        </w:rPr>
        <w:t xml:space="preserve">– charakteristika </w:t>
      </w:r>
    </w:p>
    <w:p w:rsidR="00517E70" w:rsidRPr="00775BED" w:rsidRDefault="00517E70" w:rsidP="00203F1C">
      <w:pPr>
        <w:jc w:val="both"/>
      </w:pPr>
    </w:p>
    <w:p w:rsidR="00517E70" w:rsidRDefault="00517E70" w:rsidP="00203F1C">
      <w:pPr>
        <w:autoSpaceDE w:val="0"/>
        <w:autoSpaceDN w:val="0"/>
        <w:adjustRightInd w:val="0"/>
        <w:spacing w:line="360" w:lineRule="auto"/>
        <w:jc w:val="both"/>
        <w:rPr>
          <w:color w:val="000000"/>
        </w:rPr>
      </w:pPr>
      <w:r>
        <w:rPr>
          <w:color w:val="000000"/>
        </w:rPr>
        <w:t xml:space="preserve">MYB  gen je lokalizován v oblasti q22-q23 chromozomu 6. </w:t>
      </w:r>
      <w:r>
        <w:t>Jeho proteinový produkt je klíčový transkripční faktor pro fyziologickou regulaci kmenových buněk v kostní dřeni a ve střevních kryptách. Deregulace a aberantní funkce tohoto genu vede ke vzniku několika nádorových onemocnění.</w:t>
      </w:r>
      <w:r>
        <w:rPr>
          <w:color w:val="FF0000"/>
        </w:rPr>
        <w:t xml:space="preserve"> </w:t>
      </w:r>
      <w:r>
        <w:rPr>
          <w:color w:val="000000"/>
        </w:rPr>
        <w:t>U dětské akutní bazofilní a lymfocytární leukémie byla identifikována translokace MYB–GATA1 (</w:t>
      </w:r>
      <w:r w:rsidRPr="00CE018F">
        <w:t>58)</w:t>
      </w:r>
      <w:r>
        <w:rPr>
          <w:color w:val="000000"/>
        </w:rPr>
        <w:t xml:space="preserve"> resp. rekurentní chromozomální translokace a duplikace v MYB lokusu (59).   </w:t>
      </w:r>
    </w:p>
    <w:p w:rsidR="00517E70" w:rsidRDefault="00517E70" w:rsidP="00203F1C">
      <w:pPr>
        <w:autoSpaceDE w:val="0"/>
        <w:autoSpaceDN w:val="0"/>
        <w:adjustRightInd w:val="0"/>
        <w:spacing w:line="360" w:lineRule="auto"/>
        <w:jc w:val="both"/>
        <w:rPr>
          <w:color w:val="000000"/>
        </w:rPr>
      </w:pPr>
      <w:r w:rsidRPr="00B53E46">
        <w:rPr>
          <w:color w:val="000000"/>
        </w:rPr>
        <w:t xml:space="preserve">ACC je jediným ze salivárních tumorů, který vykazuje alterace </w:t>
      </w:r>
      <w:r w:rsidRPr="00F57841">
        <w:rPr>
          <w:color w:val="000000"/>
        </w:rPr>
        <w:t>MYB</w:t>
      </w:r>
      <w:r w:rsidRPr="00B53E46">
        <w:rPr>
          <w:color w:val="000000"/>
        </w:rPr>
        <w:t xml:space="preserve"> genu. Ten může být poškozen více</w:t>
      </w:r>
      <w:r>
        <w:rPr>
          <w:color w:val="000000"/>
        </w:rPr>
        <w:t>ro</w:t>
      </w:r>
      <w:r w:rsidRPr="00B53E46">
        <w:rPr>
          <w:color w:val="000000"/>
        </w:rPr>
        <w:t xml:space="preserve"> dosud ne zcela přesně</w:t>
      </w:r>
      <w:r>
        <w:rPr>
          <w:color w:val="000000"/>
        </w:rPr>
        <w:t xml:space="preserve"> identifikovanými mechanismy </w:t>
      </w:r>
      <w:r w:rsidRPr="002B6D35">
        <w:rPr>
          <w:color w:val="000000"/>
        </w:rPr>
        <w:t>(6</w:t>
      </w:r>
      <w:r>
        <w:rPr>
          <w:color w:val="000000"/>
        </w:rPr>
        <w:t>0</w:t>
      </w:r>
      <w:r w:rsidRPr="002B6D35">
        <w:rPr>
          <w:color w:val="000000"/>
        </w:rPr>
        <w:t>),</w:t>
      </w:r>
      <w:r w:rsidRPr="00B53E46">
        <w:rPr>
          <w:color w:val="000000"/>
        </w:rPr>
        <w:t xml:space="preserve"> mezi něž patří i translokační fúze s genem </w:t>
      </w:r>
      <w:r w:rsidRPr="00F57841">
        <w:rPr>
          <w:color w:val="000000"/>
        </w:rPr>
        <w:t>NFIB</w:t>
      </w:r>
      <w:r>
        <w:rPr>
          <w:color w:val="000000"/>
        </w:rPr>
        <w:t xml:space="preserve">. Vyskytuje se </w:t>
      </w:r>
      <w:r w:rsidRPr="00B53E46">
        <w:rPr>
          <w:color w:val="000000"/>
        </w:rPr>
        <w:t xml:space="preserve">v 28-49 % případů </w:t>
      </w:r>
      <w:r>
        <w:rPr>
          <w:color w:val="000000"/>
        </w:rPr>
        <w:t>(</w:t>
      </w:r>
      <w:r w:rsidRPr="002B6D35">
        <w:rPr>
          <w:color w:val="000000"/>
        </w:rPr>
        <w:t>6</w:t>
      </w:r>
      <w:r>
        <w:rPr>
          <w:color w:val="000000"/>
        </w:rPr>
        <w:t>0,61</w:t>
      </w:r>
      <w:r w:rsidRPr="002B6D35">
        <w:rPr>
          <w:color w:val="000000"/>
        </w:rPr>
        <w:t>)</w:t>
      </w:r>
      <w:r w:rsidRPr="00E31F91">
        <w:t xml:space="preserve"> </w:t>
      </w:r>
      <w:r>
        <w:t>a je pro daný nádor zcela specifická, nenachází se v jiných salivárních tumorech ani v normální slinné žláze (49,60,61,62).</w:t>
      </w:r>
      <w:r w:rsidRPr="00B53E46">
        <w:rPr>
          <w:color w:val="000000"/>
        </w:rPr>
        <w:t xml:space="preserve"> </w:t>
      </w:r>
      <w:r>
        <w:rPr>
          <w:color w:val="000000"/>
        </w:rPr>
        <w:t xml:space="preserve">Její </w:t>
      </w:r>
      <w:r w:rsidRPr="00B53E46">
        <w:rPr>
          <w:color w:val="000000"/>
        </w:rPr>
        <w:t xml:space="preserve">průkaz tak má význam v histopatologické diferenciální diagnostice karcinomů slinných žláz, především v odlišení ACC od nejčastěji se vyskytujícího benigního pleomorfního adenomu </w:t>
      </w:r>
      <w:r>
        <w:rPr>
          <w:color w:val="000000"/>
        </w:rPr>
        <w:t>(63</w:t>
      </w:r>
      <w:r w:rsidRPr="002B6D35">
        <w:rPr>
          <w:color w:val="000000"/>
        </w:rPr>
        <w:t>).</w:t>
      </w:r>
      <w:r w:rsidRPr="00B53E46">
        <w:rPr>
          <w:color w:val="000000"/>
        </w:rPr>
        <w:t xml:space="preserve"> </w:t>
      </w:r>
    </w:p>
    <w:p w:rsidR="00517E70" w:rsidRPr="00004FED" w:rsidRDefault="00517E70" w:rsidP="00203F1C">
      <w:pPr>
        <w:spacing w:line="360" w:lineRule="auto"/>
        <w:jc w:val="both"/>
        <w:rPr>
          <w:color w:val="FF0000"/>
        </w:rPr>
      </w:pPr>
      <w:r>
        <w:t>Názory na prognostický význam tohoto genu resp. jeho exprese jsou však nejednotné. Zatímco West (61) a</w:t>
      </w:r>
      <w:r w:rsidRPr="00C8459C">
        <w:t xml:space="preserve"> </w:t>
      </w:r>
      <w:r>
        <w:t xml:space="preserve">Mitani (62)  zjistili její signifikantní vztah k přežití u ACC a některým klinickým parametrům, jiní autoři tyto souvislosti popírají (49). </w:t>
      </w:r>
    </w:p>
    <w:p w:rsidR="00517E70" w:rsidRPr="00003D7E" w:rsidRDefault="00517E70" w:rsidP="00203F1C">
      <w:pPr>
        <w:spacing w:line="360" w:lineRule="auto"/>
        <w:jc w:val="both"/>
        <w:rPr>
          <w:iCs/>
          <w:color w:val="000000"/>
        </w:rPr>
      </w:pPr>
      <w:r w:rsidRPr="00B53E46">
        <w:rPr>
          <w:bCs/>
          <w:iCs/>
          <w:color w:val="000000"/>
        </w:rPr>
        <w:t xml:space="preserve">Terapeutický potenciál blokády </w:t>
      </w:r>
      <w:r w:rsidRPr="00C8086E">
        <w:rPr>
          <w:bCs/>
          <w:iCs/>
          <w:color w:val="000000"/>
        </w:rPr>
        <w:t>MYB</w:t>
      </w:r>
      <w:r w:rsidRPr="00B53E46">
        <w:rPr>
          <w:bCs/>
          <w:iCs/>
          <w:color w:val="000000"/>
        </w:rPr>
        <w:t xml:space="preserve"> genu u malignit byl zkoumán zatím pouze experimentálně, protože transkripční faktory, mezi něž tento patří, jsou obecně považovány za velmi obtížné terapeutické cíle </w:t>
      </w:r>
      <w:r>
        <w:rPr>
          <w:bCs/>
          <w:iCs/>
          <w:color w:val="000000"/>
        </w:rPr>
        <w:t>(59</w:t>
      </w:r>
      <w:r w:rsidRPr="002B6D35">
        <w:rPr>
          <w:bCs/>
          <w:iCs/>
          <w:color w:val="000000"/>
        </w:rPr>
        <w:t>).</w:t>
      </w:r>
      <w:r w:rsidRPr="00B53E46">
        <w:rPr>
          <w:bCs/>
          <w:iCs/>
          <w:color w:val="000000"/>
        </w:rPr>
        <w:t xml:space="preserve"> N</w:t>
      </w:r>
      <w:r w:rsidRPr="00B53E46">
        <w:rPr>
          <w:iCs/>
          <w:color w:val="000000"/>
        </w:rPr>
        <w:t xml:space="preserve">a zvířatech bylo zjištěno, že </w:t>
      </w:r>
      <w:r w:rsidRPr="00C8086E">
        <w:rPr>
          <w:iCs/>
          <w:color w:val="000000"/>
        </w:rPr>
        <w:t>MYB</w:t>
      </w:r>
      <w:r w:rsidRPr="00B53E46">
        <w:rPr>
          <w:iCs/>
          <w:color w:val="000000"/>
        </w:rPr>
        <w:t xml:space="preserve"> gen lze u hematologických malignit zablokovat buď přímo na transkripční či nižší signální úrovni </w:t>
      </w:r>
      <w:r>
        <w:rPr>
          <w:iCs/>
          <w:color w:val="000000"/>
        </w:rPr>
        <w:t>(64</w:t>
      </w:r>
      <w:r w:rsidRPr="00FC3115">
        <w:rPr>
          <w:iCs/>
          <w:color w:val="000000"/>
        </w:rPr>
        <w:t>).</w:t>
      </w:r>
      <w:r w:rsidRPr="00B53E46">
        <w:rPr>
          <w:iCs/>
          <w:color w:val="000000"/>
        </w:rPr>
        <w:t xml:space="preserve"> Další studie prokázala, že jinak imun</w:t>
      </w:r>
      <w:r>
        <w:rPr>
          <w:iCs/>
          <w:color w:val="000000"/>
        </w:rPr>
        <w:t>itnímu dohledu unikající MYB poz</w:t>
      </w:r>
      <w:r w:rsidRPr="00B53E46">
        <w:rPr>
          <w:iCs/>
          <w:color w:val="000000"/>
        </w:rPr>
        <w:t>itivní buňky murinního kolorektálního karcinomu jsou po navázání MYB protilátky imunokompetentními mechanismy r</w:t>
      </w:r>
      <w:r>
        <w:rPr>
          <w:iCs/>
          <w:color w:val="000000"/>
        </w:rPr>
        <w:t>ozpoznány a následně zničeny (65</w:t>
      </w:r>
      <w:r w:rsidRPr="00FC3115">
        <w:rPr>
          <w:iCs/>
          <w:color w:val="000000"/>
        </w:rPr>
        <w:t>).</w:t>
      </w:r>
      <w:r w:rsidRPr="00B53E46">
        <w:rPr>
          <w:iCs/>
          <w:color w:val="000000"/>
        </w:rPr>
        <w:t xml:space="preserve"> Výsledky uvedených experimentálních studií se jeví terapeutickým příslibem nejen </w:t>
      </w:r>
      <w:r>
        <w:rPr>
          <w:iCs/>
          <w:color w:val="000000"/>
        </w:rPr>
        <w:t>u zmíněných nádorů, ale i u ACC.</w:t>
      </w:r>
    </w:p>
    <w:p w:rsidR="00517E70" w:rsidRDefault="00517E70" w:rsidP="00203F1C">
      <w:pPr>
        <w:spacing w:line="360" w:lineRule="auto"/>
        <w:jc w:val="both"/>
        <w:rPr>
          <w:b/>
          <w:bCs/>
          <w:color w:val="000000"/>
        </w:rPr>
      </w:pPr>
      <w:r>
        <w:rPr>
          <w:b/>
          <w:bCs/>
          <w:color w:val="000000"/>
        </w:rPr>
        <w:t xml:space="preserve">3. CÍLE PRÁCE. </w:t>
      </w:r>
    </w:p>
    <w:p w:rsidR="00517E70" w:rsidRDefault="00517E70" w:rsidP="00203F1C">
      <w:pPr>
        <w:spacing w:line="360" w:lineRule="auto"/>
        <w:jc w:val="both"/>
        <w:rPr>
          <w:b/>
          <w:bCs/>
          <w:color w:val="000000"/>
        </w:rPr>
      </w:pPr>
    </w:p>
    <w:p w:rsidR="00517E70" w:rsidRDefault="00517E70" w:rsidP="00203F1C">
      <w:pPr>
        <w:spacing w:line="360" w:lineRule="auto"/>
        <w:jc w:val="both"/>
        <w:rPr>
          <w:b/>
          <w:bCs/>
          <w:color w:val="000000"/>
        </w:rPr>
      </w:pPr>
    </w:p>
    <w:p w:rsidR="00517E70" w:rsidRPr="00303B25" w:rsidRDefault="00517E70" w:rsidP="00203F1C">
      <w:pPr>
        <w:jc w:val="both"/>
        <w:rPr>
          <w:b/>
        </w:rPr>
      </w:pPr>
      <w:r>
        <w:rPr>
          <w:b/>
        </w:rPr>
        <w:t>C-K</w:t>
      </w:r>
      <w:r w:rsidRPr="00303B25">
        <w:rPr>
          <w:b/>
        </w:rPr>
        <w:t>it gen</w:t>
      </w:r>
    </w:p>
    <w:p w:rsidR="00517E70" w:rsidRPr="00303B25" w:rsidRDefault="00517E70" w:rsidP="00203F1C">
      <w:pPr>
        <w:jc w:val="both"/>
      </w:pPr>
    </w:p>
    <w:p w:rsidR="00517E70" w:rsidRPr="00303B25" w:rsidRDefault="00517E70" w:rsidP="00203F1C">
      <w:pPr>
        <w:numPr>
          <w:ilvl w:val="0"/>
          <w:numId w:val="9"/>
        </w:numPr>
        <w:spacing w:line="360" w:lineRule="auto"/>
        <w:jc w:val="both"/>
        <w:rPr>
          <w:bCs/>
          <w:color w:val="000000"/>
        </w:rPr>
      </w:pPr>
      <w:r w:rsidRPr="00303B25">
        <w:rPr>
          <w:bCs/>
          <w:color w:val="000000"/>
        </w:rPr>
        <w:t>Provést imunohistochemickou</w:t>
      </w:r>
      <w:r w:rsidRPr="00C70064">
        <w:rPr>
          <w:bCs/>
          <w:color w:val="000000"/>
        </w:rPr>
        <w:t xml:space="preserve"> expresi</w:t>
      </w:r>
      <w:r>
        <w:rPr>
          <w:bCs/>
          <w:color w:val="000000"/>
        </w:rPr>
        <w:t xml:space="preserve"> C-Kit genu u </w:t>
      </w:r>
      <w:r w:rsidRPr="00303B25">
        <w:rPr>
          <w:bCs/>
          <w:color w:val="000000"/>
        </w:rPr>
        <w:t>pacientů s</w:t>
      </w:r>
      <w:r>
        <w:rPr>
          <w:bCs/>
          <w:color w:val="000000"/>
        </w:rPr>
        <w:t> </w:t>
      </w:r>
      <w:r w:rsidRPr="00303B25">
        <w:rPr>
          <w:bCs/>
          <w:color w:val="000000"/>
        </w:rPr>
        <w:t>karcino</w:t>
      </w:r>
      <w:r>
        <w:rPr>
          <w:bCs/>
          <w:color w:val="000000"/>
        </w:rPr>
        <w:t xml:space="preserve">mem </w:t>
      </w:r>
      <w:r w:rsidRPr="00303B25">
        <w:rPr>
          <w:bCs/>
          <w:color w:val="000000"/>
        </w:rPr>
        <w:t>slinných  žláz</w:t>
      </w:r>
      <w:r>
        <w:rPr>
          <w:bCs/>
          <w:color w:val="000000"/>
        </w:rPr>
        <w:t>.</w:t>
      </w:r>
    </w:p>
    <w:p w:rsidR="00517E70" w:rsidRPr="00C70064" w:rsidRDefault="00517E70" w:rsidP="00203F1C">
      <w:pPr>
        <w:numPr>
          <w:ilvl w:val="0"/>
          <w:numId w:val="9"/>
        </w:numPr>
        <w:spacing w:line="360" w:lineRule="auto"/>
        <w:jc w:val="both"/>
        <w:rPr>
          <w:bCs/>
          <w:color w:val="000000"/>
        </w:rPr>
      </w:pPr>
      <w:r>
        <w:rPr>
          <w:bCs/>
          <w:color w:val="000000"/>
        </w:rPr>
        <w:t>Vyhodnotit</w:t>
      </w:r>
      <w:r w:rsidRPr="00C70064">
        <w:rPr>
          <w:bCs/>
          <w:color w:val="000000"/>
        </w:rPr>
        <w:t xml:space="preserve"> korelaci této exprese</w:t>
      </w:r>
      <w:r>
        <w:rPr>
          <w:bCs/>
          <w:color w:val="000000"/>
        </w:rPr>
        <w:t xml:space="preserve"> s prognózou </w:t>
      </w:r>
      <w:r w:rsidRPr="00C70064">
        <w:rPr>
          <w:bCs/>
          <w:color w:val="000000"/>
        </w:rPr>
        <w:t xml:space="preserve"> salivárních karcinomů log- rank testem.</w:t>
      </w:r>
    </w:p>
    <w:p w:rsidR="00517E70" w:rsidRDefault="00517E70" w:rsidP="00203F1C">
      <w:pPr>
        <w:spacing w:line="360" w:lineRule="auto"/>
        <w:jc w:val="both"/>
        <w:rPr>
          <w:b/>
          <w:bCs/>
          <w:color w:val="000000"/>
        </w:rPr>
      </w:pPr>
    </w:p>
    <w:p w:rsidR="00517E70" w:rsidRDefault="00517E70" w:rsidP="00203F1C">
      <w:pPr>
        <w:spacing w:line="360" w:lineRule="auto"/>
        <w:jc w:val="both"/>
        <w:rPr>
          <w:b/>
          <w:bCs/>
          <w:color w:val="000000"/>
        </w:rPr>
      </w:pPr>
      <w:r>
        <w:rPr>
          <w:b/>
          <w:bCs/>
          <w:color w:val="000000"/>
        </w:rPr>
        <w:t xml:space="preserve"> MYB gen</w:t>
      </w:r>
    </w:p>
    <w:p w:rsidR="00517E70" w:rsidRDefault="00517E70" w:rsidP="00203F1C">
      <w:pPr>
        <w:spacing w:line="360" w:lineRule="auto"/>
        <w:jc w:val="both"/>
        <w:rPr>
          <w:b/>
          <w:bCs/>
          <w:color w:val="000000"/>
        </w:rPr>
      </w:pPr>
    </w:p>
    <w:p w:rsidR="00517E70" w:rsidRPr="00303B25" w:rsidRDefault="00517E70" w:rsidP="00203F1C">
      <w:pPr>
        <w:numPr>
          <w:ilvl w:val="0"/>
          <w:numId w:val="9"/>
        </w:numPr>
        <w:spacing w:line="360" w:lineRule="auto"/>
        <w:jc w:val="both"/>
        <w:rPr>
          <w:bCs/>
          <w:color w:val="000000"/>
        </w:rPr>
      </w:pPr>
      <w:r w:rsidRPr="00303B25">
        <w:rPr>
          <w:bCs/>
          <w:color w:val="000000"/>
        </w:rPr>
        <w:t>P</w:t>
      </w:r>
      <w:r>
        <w:rPr>
          <w:bCs/>
          <w:color w:val="000000"/>
        </w:rPr>
        <w:t xml:space="preserve">rovést detekci zlomu MYB genu u pacientů s ACC slinných </w:t>
      </w:r>
      <w:r w:rsidRPr="00303B25">
        <w:rPr>
          <w:bCs/>
          <w:color w:val="000000"/>
        </w:rPr>
        <w:t>žláz</w:t>
      </w:r>
    </w:p>
    <w:p w:rsidR="00517E70" w:rsidRPr="00303B25" w:rsidRDefault="00517E70" w:rsidP="00203F1C">
      <w:pPr>
        <w:numPr>
          <w:ilvl w:val="0"/>
          <w:numId w:val="9"/>
        </w:numPr>
        <w:autoSpaceDE w:val="0"/>
        <w:autoSpaceDN w:val="0"/>
        <w:adjustRightInd w:val="0"/>
        <w:spacing w:line="360" w:lineRule="auto"/>
        <w:jc w:val="both"/>
        <w:rPr>
          <w:color w:val="000000"/>
        </w:rPr>
      </w:pPr>
      <w:r>
        <w:rPr>
          <w:color w:val="000000"/>
        </w:rPr>
        <w:t xml:space="preserve">Provést korelaci MYB </w:t>
      </w:r>
      <w:r w:rsidRPr="00303B25">
        <w:rPr>
          <w:color w:val="000000"/>
        </w:rPr>
        <w:t>statutu s</w:t>
      </w:r>
      <w:r>
        <w:rPr>
          <w:color w:val="000000"/>
        </w:rPr>
        <w:t xml:space="preserve"> vybranými </w:t>
      </w:r>
      <w:r w:rsidRPr="00303B25">
        <w:rPr>
          <w:color w:val="000000"/>
        </w:rPr>
        <w:t>klinickými</w:t>
      </w:r>
      <w:r>
        <w:rPr>
          <w:color w:val="000000"/>
        </w:rPr>
        <w:t xml:space="preserve"> faktory</w:t>
      </w:r>
      <w:r w:rsidRPr="00303B25">
        <w:rPr>
          <w:color w:val="000000"/>
        </w:rPr>
        <w:t xml:space="preserve"> (</w:t>
      </w:r>
      <w:r w:rsidRPr="00303B25">
        <w:rPr>
          <w:rFonts w:ascii="new times roman" w:hAnsi="new times roman" w:cs="NewCenturySchlbkCE-Roman"/>
        </w:rPr>
        <w:t xml:space="preserve">věk, pohlaví, perineurální invaze, přítomnost hematogenních a uzlinových metastáz, origo, </w:t>
      </w:r>
      <w:r>
        <w:rPr>
          <w:rFonts w:ascii="new times roman" w:hAnsi="new times roman" w:cs="NewCenturySchlbkCE-Roman"/>
          <w:color w:val="000000"/>
        </w:rPr>
        <w:t>bezpříznakový interval</w:t>
      </w:r>
      <w:r w:rsidRPr="00C70064">
        <w:rPr>
          <w:rFonts w:ascii="new times roman" w:hAnsi="new times roman" w:cs="NewCenturySchlbkCE-Roman"/>
          <w:color w:val="000000"/>
        </w:rPr>
        <w:t xml:space="preserve">) </w:t>
      </w:r>
      <w:r w:rsidRPr="00C70064">
        <w:rPr>
          <w:color w:val="000000"/>
        </w:rPr>
        <w:t xml:space="preserve"> a gradingem</w:t>
      </w:r>
      <w:r>
        <w:rPr>
          <w:color w:val="000000"/>
        </w:rPr>
        <w:t xml:space="preserve"> u </w:t>
      </w:r>
      <w:r w:rsidRPr="00303B25">
        <w:rPr>
          <w:color w:val="000000"/>
        </w:rPr>
        <w:t xml:space="preserve">ACC </w:t>
      </w:r>
    </w:p>
    <w:p w:rsidR="00517E70" w:rsidRDefault="00517E70" w:rsidP="00203F1C">
      <w:pPr>
        <w:spacing w:line="360" w:lineRule="auto"/>
        <w:jc w:val="both"/>
        <w:rPr>
          <w:bCs/>
          <w:strike/>
          <w:color w:val="000000"/>
        </w:rPr>
      </w:pPr>
    </w:p>
    <w:p w:rsidR="00517E70" w:rsidRPr="00303B25" w:rsidRDefault="00517E70" w:rsidP="00203F1C">
      <w:pPr>
        <w:spacing w:line="360" w:lineRule="auto"/>
        <w:jc w:val="both"/>
        <w:rPr>
          <w:b/>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Default="00517E70" w:rsidP="00203F1C">
      <w:pPr>
        <w:spacing w:line="360" w:lineRule="auto"/>
        <w:jc w:val="both"/>
        <w:rPr>
          <w:bCs/>
          <w:strike/>
          <w:color w:val="000000"/>
        </w:rPr>
      </w:pPr>
    </w:p>
    <w:p w:rsidR="00517E70" w:rsidRDefault="00517E70" w:rsidP="00203F1C">
      <w:pPr>
        <w:spacing w:line="360" w:lineRule="auto"/>
        <w:jc w:val="both"/>
        <w:rPr>
          <w:bCs/>
          <w:strike/>
          <w:color w:val="000000"/>
        </w:rPr>
      </w:pPr>
    </w:p>
    <w:p w:rsidR="00517E70"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C70064" w:rsidRDefault="00517E70" w:rsidP="00203F1C">
      <w:pPr>
        <w:spacing w:line="360" w:lineRule="auto"/>
        <w:jc w:val="both"/>
        <w:rPr>
          <w:bCs/>
          <w:strike/>
          <w:color w:val="000000"/>
        </w:rPr>
      </w:pPr>
    </w:p>
    <w:p w:rsidR="00517E70" w:rsidRPr="00D318E6" w:rsidRDefault="00517E70" w:rsidP="00203F1C">
      <w:pPr>
        <w:spacing w:line="360" w:lineRule="auto"/>
        <w:jc w:val="both"/>
        <w:rPr>
          <w:b/>
          <w:bCs/>
          <w:color w:val="000000"/>
        </w:rPr>
      </w:pPr>
      <w:r>
        <w:rPr>
          <w:b/>
          <w:bCs/>
          <w:color w:val="000000"/>
        </w:rPr>
        <w:t>4 .1. C-K</w:t>
      </w:r>
      <w:r w:rsidRPr="00C70064">
        <w:rPr>
          <w:b/>
          <w:bCs/>
          <w:color w:val="000000"/>
        </w:rPr>
        <w:t>it gen</w:t>
      </w:r>
    </w:p>
    <w:p w:rsidR="00517E70" w:rsidRPr="00C70064" w:rsidRDefault="00517E70" w:rsidP="00203F1C">
      <w:pPr>
        <w:autoSpaceDE w:val="0"/>
        <w:autoSpaceDN w:val="0"/>
        <w:adjustRightInd w:val="0"/>
        <w:spacing w:line="360" w:lineRule="auto"/>
        <w:jc w:val="both"/>
        <w:rPr>
          <w:b/>
          <w:bCs/>
          <w:color w:val="000000"/>
        </w:rPr>
      </w:pPr>
      <w:r w:rsidRPr="00C70064">
        <w:rPr>
          <w:b/>
          <w:bCs/>
          <w:color w:val="000000"/>
        </w:rPr>
        <w:t xml:space="preserve">4.1.1 Soubor pacientů </w:t>
      </w:r>
    </w:p>
    <w:p w:rsidR="00517E70" w:rsidRPr="00C70064" w:rsidRDefault="00517E70" w:rsidP="00203F1C">
      <w:pPr>
        <w:autoSpaceDE w:val="0"/>
        <w:autoSpaceDN w:val="0"/>
        <w:adjustRightInd w:val="0"/>
        <w:spacing w:line="360" w:lineRule="auto"/>
        <w:jc w:val="both"/>
        <w:rPr>
          <w:b/>
          <w:bCs/>
          <w:color w:val="000000"/>
        </w:rPr>
      </w:pPr>
    </w:p>
    <w:p w:rsidR="00517E70" w:rsidRPr="00C70064" w:rsidRDefault="00517E70" w:rsidP="00203F1C">
      <w:pPr>
        <w:autoSpaceDE w:val="0"/>
        <w:autoSpaceDN w:val="0"/>
        <w:adjustRightInd w:val="0"/>
        <w:spacing w:line="360" w:lineRule="auto"/>
        <w:jc w:val="both"/>
        <w:rPr>
          <w:color w:val="000000"/>
        </w:rPr>
      </w:pPr>
      <w:r w:rsidRPr="00C70064">
        <w:rPr>
          <w:color w:val="000000"/>
        </w:rPr>
        <w:t>Z registru karcinomů velkých žláz, vedeného na ORL klinice v Olomouci, bylo do retrospektivní studie vybráno 33 nemocných, u nichž byly dostupné archivované parafinové bloky a současně i relevantní klinická data. 17 nemocných bylo ženského, 16 mužského pohlaví. Věk všech nemocných se pohyboval v rozmezí 8 až 86 let, průměr pak činil 52, 45 let. Většina karcinomů vyrůstala z příušní žlázy, v gl. submandibularis byly lokalizovány pouze 2 karcinomy, v žádném případě se nevyskytl tumor ve žláze podjazykové. Šest nemocných bylo ve stadiu T1, 10 ve stadiu T2, 9 ve stadiu T3, a 5 ve stadiu T4, u tří nemocných nebylo možno tento údaj zjistit. U 31 nemocných s parotickými karcinomy byla provedena 8krát superficiální, 8krát totální konzervativní a 15krát totální radikální, event. rozšířená parotidektomie. Tumory gl. submandibularis byly exstirpovány in toto se žlázou. Kurativní nebo elektivní bloková krční disekce byla provedena ve 24 případech. 23 nemocných bylo následně ozářeno.</w:t>
      </w:r>
    </w:p>
    <w:p w:rsidR="00517E70" w:rsidRPr="00C70064" w:rsidRDefault="00517E70" w:rsidP="00203F1C">
      <w:pPr>
        <w:autoSpaceDE w:val="0"/>
        <w:autoSpaceDN w:val="0"/>
        <w:adjustRightInd w:val="0"/>
        <w:spacing w:line="360" w:lineRule="auto"/>
        <w:jc w:val="both"/>
        <w:rPr>
          <w:color w:val="000000"/>
        </w:rPr>
      </w:pPr>
      <w:r w:rsidRPr="00C70064">
        <w:rPr>
          <w:color w:val="000000"/>
        </w:rPr>
        <w:t>Z celkové skupiny 33 pacientů jich 20 žije, z toho 2 se známkami onemocnění, 13 na nádor zemřelo. Rozsah sledovacího intervalu byl 8-270, průměrně 78,97 měsíců (medián 64 měsíců). Z jednotlivých histopatologických forem byl nejčastějším karcinom adenoidně cystický (9 nemocných), následovaný karcinomem mukoepidermoidním (6x), acinocelulárním (5x) a karcinomem z pleomorfního adenomu (4x), dále salivárním duktálním a nediferencovaným karcinomem (3, resp. 2 případy), po jednom případu pak adenokarcinomem jinak nespecifikovaným, kribriformním cystadenokarcinomem,</w:t>
      </w:r>
    </w:p>
    <w:p w:rsidR="00517E70" w:rsidRPr="00C70064" w:rsidRDefault="00517E70" w:rsidP="00203F1C">
      <w:pPr>
        <w:autoSpaceDE w:val="0"/>
        <w:autoSpaceDN w:val="0"/>
        <w:adjustRightInd w:val="0"/>
        <w:spacing w:line="360" w:lineRule="auto"/>
        <w:jc w:val="both"/>
        <w:rPr>
          <w:color w:val="000000"/>
        </w:rPr>
      </w:pPr>
      <w:r w:rsidRPr="00C70064">
        <w:rPr>
          <w:color w:val="000000"/>
        </w:rPr>
        <w:t>adenokarcinomem papilárně-cystickým a sekretorickým karcinomem slinných žláz.</w:t>
      </w:r>
    </w:p>
    <w:p w:rsidR="00517E70" w:rsidRPr="00C70064" w:rsidRDefault="00517E70" w:rsidP="00203F1C">
      <w:pPr>
        <w:autoSpaceDE w:val="0"/>
        <w:autoSpaceDN w:val="0"/>
        <w:adjustRightInd w:val="0"/>
        <w:spacing w:line="360" w:lineRule="auto"/>
        <w:jc w:val="both"/>
        <w:rPr>
          <w:color w:val="000000"/>
        </w:rPr>
      </w:pPr>
      <w:r>
        <w:rPr>
          <w:color w:val="000000"/>
        </w:rPr>
        <w:t>Exprese C-K</w:t>
      </w:r>
      <w:r w:rsidRPr="00C70064">
        <w:rPr>
          <w:color w:val="000000"/>
        </w:rPr>
        <w:t>it onkoproteinu byla hodnocena semikvantitativně kombinací intenzity membranózní a/nebo cytoplazmatické reakce (škála 1+, 2+, 3+) a relativního počtu poziti</w:t>
      </w:r>
      <w:r>
        <w:rPr>
          <w:color w:val="000000"/>
        </w:rPr>
        <w:t>vních buněk metodou dle Wenta (8</w:t>
      </w:r>
      <w:r w:rsidRPr="00C70064">
        <w:rPr>
          <w:color w:val="000000"/>
        </w:rPr>
        <w:t>3). Za negativní jsme považovali pouze tumory bez jakékoliv reakce.</w:t>
      </w:r>
    </w:p>
    <w:p w:rsidR="00517E70" w:rsidRDefault="00517E70" w:rsidP="00203F1C">
      <w:pPr>
        <w:autoSpaceDE w:val="0"/>
        <w:autoSpaceDN w:val="0"/>
        <w:adjustRightInd w:val="0"/>
        <w:jc w:val="both"/>
      </w:pPr>
    </w:p>
    <w:p w:rsidR="00517E70" w:rsidRPr="00AE458D" w:rsidRDefault="00517E70" w:rsidP="00203F1C">
      <w:pPr>
        <w:autoSpaceDE w:val="0"/>
        <w:autoSpaceDN w:val="0"/>
        <w:adjustRightInd w:val="0"/>
        <w:jc w:val="both"/>
      </w:pPr>
    </w:p>
    <w:p w:rsidR="00517E70" w:rsidRDefault="00517E70" w:rsidP="00203F1C">
      <w:pPr>
        <w:autoSpaceDE w:val="0"/>
        <w:autoSpaceDN w:val="0"/>
        <w:adjustRightInd w:val="0"/>
        <w:spacing w:line="360" w:lineRule="auto"/>
        <w:jc w:val="both"/>
        <w:rPr>
          <w:b/>
          <w:bCs/>
        </w:rPr>
      </w:pPr>
      <w:r>
        <w:rPr>
          <w:b/>
          <w:bCs/>
        </w:rPr>
        <w:t xml:space="preserve">4.1.2. </w:t>
      </w:r>
      <w:r w:rsidRPr="00197D6B">
        <w:rPr>
          <w:b/>
          <w:bCs/>
        </w:rPr>
        <w:t>I</w:t>
      </w:r>
      <w:r>
        <w:rPr>
          <w:b/>
          <w:bCs/>
        </w:rPr>
        <w:t>munohistochemické vyšetření</w:t>
      </w:r>
    </w:p>
    <w:p w:rsidR="00517E70" w:rsidRPr="00197D6B" w:rsidRDefault="00517E70" w:rsidP="00203F1C">
      <w:pPr>
        <w:autoSpaceDE w:val="0"/>
        <w:autoSpaceDN w:val="0"/>
        <w:adjustRightInd w:val="0"/>
        <w:spacing w:line="360" w:lineRule="auto"/>
        <w:jc w:val="both"/>
        <w:rPr>
          <w:b/>
          <w:bCs/>
        </w:rPr>
      </w:pPr>
    </w:p>
    <w:p w:rsidR="00517E70" w:rsidRPr="00197D6B" w:rsidRDefault="00517E70" w:rsidP="00203F1C">
      <w:pPr>
        <w:autoSpaceDE w:val="0"/>
        <w:autoSpaceDN w:val="0"/>
        <w:adjustRightInd w:val="0"/>
        <w:spacing w:line="360" w:lineRule="auto"/>
        <w:jc w:val="both"/>
      </w:pPr>
      <w:r>
        <w:t>K detekci exprese C-K</w:t>
      </w:r>
      <w:r w:rsidRPr="00197D6B">
        <w:t>it jsme použili formalinem</w:t>
      </w:r>
      <w:r>
        <w:t xml:space="preserve"> </w:t>
      </w:r>
      <w:r w:rsidRPr="00197D6B">
        <w:t>fixované, do parafinu zalité tkáňové řezy.</w:t>
      </w:r>
    </w:p>
    <w:p w:rsidR="00517E70" w:rsidRDefault="00517E70" w:rsidP="00203F1C">
      <w:pPr>
        <w:autoSpaceDE w:val="0"/>
        <w:autoSpaceDN w:val="0"/>
        <w:adjustRightInd w:val="0"/>
        <w:spacing w:line="360" w:lineRule="auto"/>
        <w:jc w:val="both"/>
      </w:pPr>
      <w:r w:rsidRPr="00197D6B">
        <w:t>Imunohistochemická reakce byla provedena</w:t>
      </w:r>
      <w:r>
        <w:t xml:space="preserve"> </w:t>
      </w:r>
      <w:r w:rsidRPr="00197D6B">
        <w:t>standardním způsobem za použití polyklonální</w:t>
      </w:r>
      <w:r>
        <w:t xml:space="preserve"> </w:t>
      </w:r>
      <w:r w:rsidRPr="00197D6B">
        <w:t>králičí protilátky firmy Dako (Glostrup, Denmark)</w:t>
      </w:r>
      <w:r>
        <w:t xml:space="preserve"> </w:t>
      </w:r>
      <w:r w:rsidRPr="00197D6B">
        <w:t>proti transmembránovému tyrosinkinázovému</w:t>
      </w:r>
      <w:r>
        <w:t xml:space="preserve"> receptoru CD117/C-K</w:t>
      </w:r>
      <w:r w:rsidRPr="00197D6B">
        <w:t>it v ředění 1:100 při</w:t>
      </w:r>
      <w:r>
        <w:t xml:space="preserve"> </w:t>
      </w:r>
      <w:r w:rsidRPr="00197D6B">
        <w:t xml:space="preserve">120 </w:t>
      </w:r>
      <w:smartTag w:uri="urn:schemas-microsoft-com:office:smarttags" w:element="metricconverter">
        <w:smartTagPr>
          <w:attr w:name="ProductID" w:val="0C"/>
        </w:smartTagPr>
        <w:r w:rsidRPr="00197D6B">
          <w:t>0C</w:t>
        </w:r>
      </w:smartTag>
      <w:r w:rsidRPr="00197D6B">
        <w:t xml:space="preserve"> s použitím mikrovlnné trouby k</w:t>
      </w:r>
      <w:r>
        <w:t> </w:t>
      </w:r>
      <w:r w:rsidRPr="00197D6B">
        <w:t>odmaskování</w:t>
      </w:r>
      <w:r>
        <w:t xml:space="preserve"> </w:t>
      </w:r>
      <w:r w:rsidRPr="00197D6B">
        <w:t>epitopu antigenu. K vizualizaci proběhlé reakce</w:t>
      </w:r>
      <w:r>
        <w:t xml:space="preserve"> </w:t>
      </w:r>
      <w:r w:rsidRPr="00197D6B">
        <w:t>byl použit detekční systém Histofine (Nichirei</w:t>
      </w:r>
      <w:r>
        <w:t xml:space="preserve"> </w:t>
      </w:r>
      <w:r w:rsidRPr="00197D6B">
        <w:t>Biosciences INC, Universal immunoperoxidase</w:t>
      </w:r>
      <w:r>
        <w:t xml:space="preserve"> </w:t>
      </w:r>
      <w:r w:rsidRPr="00197D6B">
        <w:t>polymer anti-rabbit) a DAB (diaminobenzidine)</w:t>
      </w:r>
      <w:r>
        <w:t xml:space="preserve"> </w:t>
      </w:r>
      <w:r w:rsidRPr="00197D6B">
        <w:t>jako chromogen</w:t>
      </w:r>
      <w:r w:rsidRPr="00C06380">
        <w:t>.(obr</w:t>
      </w:r>
      <w:r>
        <w:rPr>
          <w:color w:val="000000"/>
        </w:rPr>
        <w:t>.č.2</w:t>
      </w:r>
      <w:r w:rsidRPr="00F303EF">
        <w:rPr>
          <w:color w:val="000000"/>
        </w:rPr>
        <w:t>). Jako</w:t>
      </w:r>
      <w:r w:rsidRPr="00197D6B">
        <w:t xml:space="preserve"> pozitivní kontrola sloužily</w:t>
      </w:r>
      <w:r>
        <w:t xml:space="preserve"> </w:t>
      </w:r>
      <w:r w:rsidRPr="00197D6B">
        <w:t>tkáňové řezy ze stromálního tumoru gastrointestinálního</w:t>
      </w:r>
      <w:r>
        <w:t xml:space="preserve"> </w:t>
      </w:r>
      <w:r w:rsidRPr="00197D6B">
        <w:t>traktu (GIST).</w:t>
      </w:r>
    </w:p>
    <w:p w:rsidR="00517E70" w:rsidRDefault="00517E70" w:rsidP="00203F1C">
      <w:pPr>
        <w:autoSpaceDE w:val="0"/>
        <w:autoSpaceDN w:val="0"/>
        <w:adjustRightInd w:val="0"/>
        <w:spacing w:line="360" w:lineRule="auto"/>
        <w:jc w:val="both"/>
      </w:pPr>
    </w:p>
    <w:p w:rsidR="00517E70" w:rsidRDefault="00517E70" w:rsidP="00203F1C">
      <w:pPr>
        <w:spacing w:line="360" w:lineRule="auto"/>
        <w:jc w:val="both"/>
        <w:rPr>
          <w:bCs/>
          <w:i/>
          <w:color w:val="FF0000"/>
        </w:rPr>
      </w:pPr>
    </w:p>
    <w:p w:rsidR="00517E70" w:rsidRPr="00197D6B" w:rsidRDefault="00517E70" w:rsidP="00203F1C">
      <w:pPr>
        <w:autoSpaceDE w:val="0"/>
        <w:autoSpaceDN w:val="0"/>
        <w:adjustRightInd w:val="0"/>
        <w:jc w:val="both"/>
      </w:pPr>
      <w:r>
        <w:rPr>
          <w:b/>
          <w:bCs/>
        </w:rPr>
        <w:t>Obr</w:t>
      </w:r>
      <w:r w:rsidRPr="00F303EF">
        <w:rPr>
          <w:b/>
          <w:bCs/>
          <w:color w:val="000000"/>
        </w:rPr>
        <w:t>. č.</w:t>
      </w:r>
      <w:r>
        <w:rPr>
          <w:b/>
          <w:bCs/>
          <w:color w:val="000000"/>
        </w:rPr>
        <w:t xml:space="preserve"> 4</w:t>
      </w:r>
      <w:r w:rsidRPr="00197D6B">
        <w:rPr>
          <w:b/>
          <w:bCs/>
        </w:rPr>
        <w:t xml:space="preserve"> </w:t>
      </w:r>
      <w:r>
        <w:t>C-K</w:t>
      </w:r>
      <w:r w:rsidRPr="00197D6B">
        <w:t>it 3+ pozitivní adenoidně cystický karcinom (hematoxylin-</w:t>
      </w:r>
    </w:p>
    <w:p w:rsidR="00517E70" w:rsidRDefault="00517E70" w:rsidP="00203F1C">
      <w:pPr>
        <w:autoSpaceDE w:val="0"/>
        <w:autoSpaceDN w:val="0"/>
        <w:adjustRightInd w:val="0"/>
        <w:jc w:val="both"/>
      </w:pPr>
      <w:r w:rsidRPr="00197D6B">
        <w:t>eosin, zv. 200x).</w:t>
      </w:r>
    </w:p>
    <w:p w:rsidR="00517E70" w:rsidRDefault="00517E70" w:rsidP="00203F1C">
      <w:pPr>
        <w:autoSpaceDE w:val="0"/>
        <w:autoSpaceDN w:val="0"/>
        <w:adjustRightInd w:val="0"/>
        <w:spacing w:line="360" w:lineRule="auto"/>
        <w:jc w:val="both"/>
      </w:pPr>
    </w:p>
    <w:p w:rsidR="00517E70" w:rsidRDefault="00517E70" w:rsidP="00203F1C">
      <w:pPr>
        <w:autoSpaceDE w:val="0"/>
        <w:autoSpaceDN w:val="0"/>
        <w:adjustRightInd w:val="0"/>
        <w:spacing w:line="360" w:lineRule="auto"/>
        <w:jc w:val="both"/>
      </w:pPr>
    </w:p>
    <w:p w:rsidR="00517E70" w:rsidRDefault="00517E70" w:rsidP="00203F1C">
      <w:pPr>
        <w:autoSpaceDE w:val="0"/>
        <w:autoSpaceDN w:val="0"/>
        <w:adjustRightInd w:val="0"/>
        <w:spacing w:line="360" w:lineRule="auto"/>
        <w:jc w:val="both"/>
      </w:pPr>
      <w:r w:rsidRPr="002E11AC">
        <w:rPr>
          <w:i/>
          <w:noProof/>
          <w:color w:val="FF0000"/>
        </w:rPr>
        <w:pict>
          <v:shape id="obrázek 2" o:spid="_x0000_i1028" type="#_x0000_t75" style="width:292.5pt;height:219pt;visibility:visible">
            <v:imagedata r:id="rId11" o:title=""/>
          </v:shape>
        </w:pict>
      </w:r>
    </w:p>
    <w:p w:rsidR="00517E70" w:rsidRDefault="00517E70" w:rsidP="00203F1C">
      <w:pPr>
        <w:autoSpaceDE w:val="0"/>
        <w:autoSpaceDN w:val="0"/>
        <w:adjustRightInd w:val="0"/>
        <w:spacing w:line="360" w:lineRule="auto"/>
        <w:jc w:val="both"/>
      </w:pPr>
    </w:p>
    <w:p w:rsidR="00517E70" w:rsidRPr="00197D6B" w:rsidRDefault="00517E70" w:rsidP="00203F1C">
      <w:pPr>
        <w:autoSpaceDE w:val="0"/>
        <w:autoSpaceDN w:val="0"/>
        <w:adjustRightInd w:val="0"/>
        <w:spacing w:line="360" w:lineRule="auto"/>
        <w:jc w:val="both"/>
      </w:pPr>
    </w:p>
    <w:p w:rsidR="00517E70" w:rsidRDefault="00517E70" w:rsidP="00203F1C">
      <w:pPr>
        <w:spacing w:line="360" w:lineRule="auto"/>
        <w:jc w:val="both"/>
        <w:rPr>
          <w:bCs/>
          <w:strike/>
          <w:color w:val="000000"/>
        </w:rPr>
      </w:pPr>
    </w:p>
    <w:p w:rsidR="00517E70" w:rsidRDefault="00517E70" w:rsidP="00203F1C">
      <w:pPr>
        <w:autoSpaceDE w:val="0"/>
        <w:autoSpaceDN w:val="0"/>
        <w:adjustRightInd w:val="0"/>
        <w:jc w:val="both"/>
        <w:rPr>
          <w:b/>
          <w:bCs/>
        </w:rPr>
      </w:pPr>
      <w:r>
        <w:rPr>
          <w:b/>
          <w:bCs/>
        </w:rPr>
        <w:t xml:space="preserve">4.1.3 </w:t>
      </w:r>
      <w:r w:rsidRPr="00197D6B">
        <w:rPr>
          <w:b/>
          <w:bCs/>
        </w:rPr>
        <w:t>S</w:t>
      </w:r>
      <w:r>
        <w:rPr>
          <w:b/>
          <w:bCs/>
        </w:rPr>
        <w:t xml:space="preserve">tatistické metody zhodnocení </w:t>
      </w:r>
    </w:p>
    <w:p w:rsidR="00517E70" w:rsidRPr="00197D6B" w:rsidRDefault="00517E70" w:rsidP="00203F1C">
      <w:pPr>
        <w:autoSpaceDE w:val="0"/>
        <w:autoSpaceDN w:val="0"/>
        <w:adjustRightInd w:val="0"/>
        <w:jc w:val="both"/>
        <w:rPr>
          <w:b/>
          <w:bCs/>
        </w:rPr>
      </w:pPr>
    </w:p>
    <w:p w:rsidR="00517E70" w:rsidRPr="00F2083B" w:rsidRDefault="00517E70" w:rsidP="00203F1C">
      <w:pPr>
        <w:autoSpaceDE w:val="0"/>
        <w:autoSpaceDN w:val="0"/>
        <w:adjustRightInd w:val="0"/>
        <w:spacing w:line="360" w:lineRule="auto"/>
        <w:jc w:val="both"/>
      </w:pPr>
      <w:r w:rsidRPr="00197D6B">
        <w:t>Prav</w:t>
      </w:r>
      <w:r>
        <w:t>d</w:t>
      </w:r>
      <w:r w:rsidRPr="00197D6B">
        <w:t>ěpodobnost kumulativního přežití</w:t>
      </w:r>
      <w:r>
        <w:t xml:space="preserve"> </w:t>
      </w:r>
      <w:r w:rsidRPr="00197D6B">
        <w:t>(Kaplan-</w:t>
      </w:r>
      <w:r>
        <w:t xml:space="preserve"> </w:t>
      </w:r>
      <w:r w:rsidRPr="00197D6B">
        <w:t>Meier) u pacientů</w:t>
      </w:r>
      <w:r>
        <w:t xml:space="preserve"> s C-K</w:t>
      </w:r>
      <w:r w:rsidRPr="00197D6B">
        <w:t>it pozitivními a negativními karcinomy byla porovnána log-rank testem</w:t>
      </w:r>
      <w:r>
        <w:t>.</w:t>
      </w: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autoSpaceDE w:val="0"/>
        <w:autoSpaceDN w:val="0"/>
        <w:adjustRightInd w:val="0"/>
        <w:spacing w:line="360" w:lineRule="auto"/>
        <w:jc w:val="both"/>
        <w:rPr>
          <w:b/>
          <w:bCs/>
        </w:rPr>
      </w:pPr>
      <w:r>
        <w:rPr>
          <w:b/>
          <w:bCs/>
        </w:rPr>
        <w:t xml:space="preserve">4.1.4. </w:t>
      </w:r>
      <w:r w:rsidRPr="00197D6B">
        <w:rPr>
          <w:b/>
          <w:bCs/>
        </w:rPr>
        <w:t>V</w:t>
      </w:r>
      <w:r>
        <w:rPr>
          <w:b/>
          <w:bCs/>
        </w:rPr>
        <w:t>ýsledky</w:t>
      </w:r>
    </w:p>
    <w:p w:rsidR="00517E70" w:rsidRPr="00197D6B" w:rsidRDefault="00517E70" w:rsidP="00203F1C">
      <w:pPr>
        <w:autoSpaceDE w:val="0"/>
        <w:autoSpaceDN w:val="0"/>
        <w:adjustRightInd w:val="0"/>
        <w:spacing w:line="360" w:lineRule="auto"/>
        <w:jc w:val="both"/>
        <w:rPr>
          <w:b/>
          <w:bCs/>
        </w:rPr>
      </w:pPr>
    </w:p>
    <w:p w:rsidR="00517E70" w:rsidRPr="00197D6B" w:rsidRDefault="00517E70" w:rsidP="00203F1C">
      <w:pPr>
        <w:autoSpaceDE w:val="0"/>
        <w:autoSpaceDN w:val="0"/>
        <w:adjustRightInd w:val="0"/>
        <w:spacing w:line="360" w:lineRule="auto"/>
        <w:jc w:val="both"/>
      </w:pPr>
      <w:r w:rsidRPr="00197D6B">
        <w:t xml:space="preserve">Z celkového počtu </w:t>
      </w:r>
      <w:r>
        <w:t>33 karcinomů bylo 26 (tj.79 %) C-K</w:t>
      </w:r>
      <w:r w:rsidRPr="00197D6B">
        <w:t>it pozitivních. Na 7 negativních výsledcích</w:t>
      </w:r>
      <w:r>
        <w:t xml:space="preserve"> </w:t>
      </w:r>
      <w:r w:rsidRPr="00197D6B">
        <w:t>se podílely 3 karcinomy mukoepidermoidní,</w:t>
      </w:r>
      <w:r>
        <w:t xml:space="preserve"> </w:t>
      </w:r>
      <w:r w:rsidRPr="00197D6B">
        <w:t>2 karcinomy z pleomorfního adenomu, jeden karcinom</w:t>
      </w:r>
      <w:r>
        <w:t xml:space="preserve"> </w:t>
      </w:r>
      <w:r w:rsidRPr="00197D6B">
        <w:t>sekretorický a low-grade</w:t>
      </w:r>
      <w:r>
        <w:t xml:space="preserve"> kribriformní cystadenokarcinom</w:t>
      </w:r>
      <w:r w:rsidRPr="00197D6B">
        <w:t>. Kompletní (až na jeden</w:t>
      </w:r>
      <w:r>
        <w:t xml:space="preserve"> </w:t>
      </w:r>
      <w:r w:rsidRPr="00197D6B">
        <w:t>případ) silnou reakci jsme zjistili u 9 karcinomů</w:t>
      </w:r>
    </w:p>
    <w:p w:rsidR="00517E70" w:rsidRPr="00197D6B" w:rsidRDefault="00517E70" w:rsidP="00203F1C">
      <w:pPr>
        <w:autoSpaceDE w:val="0"/>
        <w:autoSpaceDN w:val="0"/>
        <w:adjustRightInd w:val="0"/>
        <w:spacing w:line="360" w:lineRule="auto"/>
        <w:jc w:val="both"/>
      </w:pPr>
      <w:r>
        <w:t xml:space="preserve">adenoidně cystických </w:t>
      </w:r>
      <w:r w:rsidRPr="00197D6B">
        <w:t>a dále u všech 3 salivárních</w:t>
      </w:r>
      <w:r>
        <w:t xml:space="preserve"> </w:t>
      </w:r>
      <w:r w:rsidRPr="00197D6B">
        <w:t>duktálních karcinomů. U ostatních hodnocených</w:t>
      </w:r>
      <w:r>
        <w:t xml:space="preserve"> histopatologických jednotek se C-K</w:t>
      </w:r>
      <w:r w:rsidRPr="00197D6B">
        <w:t>it pozitivita</w:t>
      </w:r>
      <w:r>
        <w:t xml:space="preserve"> </w:t>
      </w:r>
      <w:r w:rsidRPr="00197D6B">
        <w:t>pohybovala od 50 do 100 % při variabilní,</w:t>
      </w:r>
      <w:r>
        <w:t xml:space="preserve"> </w:t>
      </w:r>
      <w:r w:rsidRPr="00197D6B">
        <w:t>většinou však</w:t>
      </w:r>
      <w:r>
        <w:t xml:space="preserve"> nižší intenzitě barvení (tab. 5</w:t>
      </w:r>
      <w:r w:rsidRPr="00197D6B">
        <w:t>).</w:t>
      </w:r>
      <w:r>
        <w:t xml:space="preserve"> </w:t>
      </w:r>
      <w:r w:rsidRPr="00C532ED">
        <w:rPr>
          <w:color w:val="000000"/>
        </w:rPr>
        <w:t>Pravděpodobnost kumulativního přežit</w:t>
      </w:r>
      <w:r>
        <w:rPr>
          <w:color w:val="000000"/>
        </w:rPr>
        <w:t>í (Kaplan- Meier) u pacientů s C-K</w:t>
      </w:r>
      <w:r w:rsidRPr="00C532ED">
        <w:rPr>
          <w:color w:val="000000"/>
        </w:rPr>
        <w:t>it pozitivními (n = 27) a negativními (n = 6) karcinomy se při statisticky nelišila.</w:t>
      </w:r>
    </w:p>
    <w:p w:rsidR="00517E70" w:rsidRPr="00213DD0" w:rsidRDefault="00517E70" w:rsidP="00203F1C">
      <w:pPr>
        <w:jc w:val="both"/>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p w:rsidR="00517E70" w:rsidRDefault="00517E70" w:rsidP="00203F1C">
      <w:pPr>
        <w:jc w:val="both"/>
      </w:pPr>
      <w:r>
        <w:t>Tab č.5</w:t>
      </w:r>
    </w:p>
    <w:p w:rsidR="00517E70" w:rsidRDefault="00517E70" w:rsidP="00203F1C">
      <w:pPr>
        <w:autoSpaceDE w:val="0"/>
        <w:autoSpaceDN w:val="0"/>
        <w:adjustRightInd w:val="0"/>
        <w:spacing w:line="360" w:lineRule="auto"/>
        <w:jc w:val="both"/>
        <w:rPr>
          <w:bCs/>
          <w:i/>
          <w:color w:val="FF0000"/>
        </w:rPr>
      </w:pPr>
      <w:r>
        <w:t xml:space="preserve"> Exprese C-K</w:t>
      </w:r>
      <w:r w:rsidRPr="00F303EF">
        <w:t>it onkoproteinu v z</w:t>
      </w:r>
      <w:r>
        <w:t>á</w:t>
      </w:r>
      <w:r w:rsidRPr="00F303EF">
        <w:t>vislosti na histopatologick</w:t>
      </w:r>
      <w:r>
        <w:t>é</w:t>
      </w:r>
      <w:r w:rsidRPr="00F303EF">
        <w:t>m typu karcinomu</w:t>
      </w:r>
    </w:p>
    <w:p w:rsidR="00517E70" w:rsidRDefault="00517E70" w:rsidP="00203F1C">
      <w:pPr>
        <w:autoSpaceDE w:val="0"/>
        <w:autoSpaceDN w:val="0"/>
        <w:adjustRightInd w:val="0"/>
        <w:spacing w:line="360" w:lineRule="auto"/>
        <w:jc w:val="both"/>
        <w:rPr>
          <w:bCs/>
          <w:i/>
          <w:color w:val="FF0000"/>
        </w:rPr>
      </w:pPr>
    </w:p>
    <w:p w:rsidR="00517E70" w:rsidRDefault="00517E70" w:rsidP="00203F1C">
      <w:pPr>
        <w:autoSpaceDE w:val="0"/>
        <w:autoSpaceDN w:val="0"/>
        <w:adjustRightInd w:val="0"/>
        <w:spacing w:line="360" w:lineRule="auto"/>
        <w:jc w:val="both"/>
        <w:rPr>
          <w:bCs/>
          <w:i/>
          <w:color w:val="FF0000"/>
        </w:rPr>
      </w:pPr>
    </w:p>
    <w:tbl>
      <w:tblPr>
        <w:tblW w:w="6980" w:type="dxa"/>
        <w:tblInd w:w="55" w:type="dxa"/>
        <w:tblCellMar>
          <w:left w:w="70" w:type="dxa"/>
          <w:right w:w="70" w:type="dxa"/>
        </w:tblCellMar>
        <w:tblLook w:val="00A0"/>
      </w:tblPr>
      <w:tblGrid>
        <w:gridCol w:w="1480"/>
        <w:gridCol w:w="1034"/>
        <w:gridCol w:w="960"/>
        <w:gridCol w:w="960"/>
        <w:gridCol w:w="960"/>
        <w:gridCol w:w="1660"/>
      </w:tblGrid>
      <w:tr w:rsidR="00517E70" w:rsidRPr="00BB480E" w:rsidTr="00F94B41">
        <w:trPr>
          <w:trHeight w:val="315"/>
        </w:trPr>
        <w:tc>
          <w:tcPr>
            <w:tcW w:w="1480" w:type="dxa"/>
            <w:tcBorders>
              <w:top w:val="single" w:sz="4" w:space="0" w:color="auto"/>
              <w:left w:val="single" w:sz="4" w:space="0" w:color="auto"/>
              <w:bottom w:val="single" w:sz="4" w:space="0" w:color="auto"/>
              <w:right w:val="single" w:sz="4" w:space="0" w:color="auto"/>
            </w:tcBorders>
            <w:noWrap/>
            <w:vAlign w:val="bottom"/>
          </w:tcPr>
          <w:p w:rsidR="00517E70" w:rsidRPr="00BB480E" w:rsidRDefault="00517E70" w:rsidP="00203F1C">
            <w:pPr>
              <w:jc w:val="both"/>
              <w:rPr>
                <w:color w:val="000000"/>
              </w:rPr>
            </w:pPr>
          </w:p>
        </w:tc>
        <w:tc>
          <w:tcPr>
            <w:tcW w:w="960" w:type="dxa"/>
            <w:tcBorders>
              <w:top w:val="single" w:sz="4" w:space="0" w:color="auto"/>
              <w:left w:val="single" w:sz="4" w:space="0" w:color="auto"/>
              <w:bottom w:val="single" w:sz="4" w:space="0" w:color="auto"/>
            </w:tcBorders>
            <w:noWrap/>
            <w:vAlign w:val="bottom"/>
          </w:tcPr>
          <w:p w:rsidR="00517E70" w:rsidRPr="00F94B41" w:rsidRDefault="00517E70" w:rsidP="00203F1C">
            <w:pPr>
              <w:jc w:val="both"/>
              <w:rPr>
                <w:b/>
                <w:color w:val="000000"/>
              </w:rPr>
            </w:pPr>
            <w:r>
              <w:rPr>
                <w:b/>
                <w:color w:val="000000"/>
              </w:rPr>
              <w:t>intenzita</w:t>
            </w:r>
          </w:p>
        </w:tc>
        <w:tc>
          <w:tcPr>
            <w:tcW w:w="960" w:type="dxa"/>
            <w:tcBorders>
              <w:top w:val="single" w:sz="4" w:space="0" w:color="auto"/>
              <w:bottom w:val="single" w:sz="4" w:space="0" w:color="auto"/>
            </w:tcBorders>
            <w:noWrap/>
            <w:vAlign w:val="bottom"/>
          </w:tcPr>
          <w:p w:rsidR="00517E70" w:rsidRPr="00F94B41" w:rsidRDefault="00517E70" w:rsidP="00203F1C">
            <w:pPr>
              <w:jc w:val="both"/>
              <w:rPr>
                <w:b/>
                <w:color w:val="000000"/>
              </w:rPr>
            </w:pPr>
            <w:r>
              <w:rPr>
                <w:b/>
                <w:color w:val="000000"/>
              </w:rPr>
              <w:t>reakce</w:t>
            </w:r>
          </w:p>
        </w:tc>
        <w:tc>
          <w:tcPr>
            <w:tcW w:w="960" w:type="dxa"/>
            <w:tcBorders>
              <w:top w:val="single" w:sz="4" w:space="0" w:color="auto"/>
              <w:bottom w:val="single" w:sz="4" w:space="0" w:color="auto"/>
            </w:tcBorders>
            <w:noWrap/>
            <w:vAlign w:val="bottom"/>
          </w:tcPr>
          <w:p w:rsidR="00517E70" w:rsidRPr="00F94B41" w:rsidRDefault="00517E70" w:rsidP="00203F1C">
            <w:pPr>
              <w:jc w:val="both"/>
              <w:rPr>
                <w:b/>
                <w:color w:val="000000"/>
              </w:rPr>
            </w:pPr>
          </w:p>
        </w:tc>
        <w:tc>
          <w:tcPr>
            <w:tcW w:w="960" w:type="dxa"/>
            <w:tcBorders>
              <w:top w:val="single" w:sz="4" w:space="0" w:color="auto"/>
              <w:bottom w:val="single" w:sz="4" w:space="0" w:color="auto"/>
            </w:tcBorders>
            <w:noWrap/>
            <w:vAlign w:val="bottom"/>
          </w:tcPr>
          <w:p w:rsidR="00517E70" w:rsidRPr="00F94B41" w:rsidRDefault="00517E70" w:rsidP="00203F1C">
            <w:pPr>
              <w:jc w:val="both"/>
              <w:rPr>
                <w:b/>
                <w:color w:val="000000"/>
              </w:rPr>
            </w:pPr>
          </w:p>
        </w:tc>
        <w:tc>
          <w:tcPr>
            <w:tcW w:w="1660" w:type="dxa"/>
            <w:tcBorders>
              <w:top w:val="single" w:sz="4" w:space="0" w:color="auto"/>
              <w:left w:val="nil"/>
              <w:bottom w:val="single" w:sz="4" w:space="0" w:color="auto"/>
              <w:right w:val="single" w:sz="4" w:space="0" w:color="auto"/>
            </w:tcBorders>
            <w:noWrap/>
            <w:vAlign w:val="bottom"/>
          </w:tcPr>
          <w:p w:rsidR="00517E70" w:rsidRPr="00BB480E" w:rsidRDefault="00517E70" w:rsidP="00203F1C">
            <w:pPr>
              <w:jc w:val="both"/>
              <w:rPr>
                <w:color w:val="000000"/>
              </w:rPr>
            </w:pPr>
          </w:p>
        </w:tc>
      </w:tr>
      <w:tr w:rsidR="00517E70" w:rsidRPr="00BB480E" w:rsidTr="00F94B41">
        <w:trPr>
          <w:trHeight w:val="315"/>
        </w:trPr>
        <w:tc>
          <w:tcPr>
            <w:tcW w:w="1480" w:type="dxa"/>
            <w:tcBorders>
              <w:top w:val="single" w:sz="4" w:space="0" w:color="auto"/>
              <w:left w:val="single" w:sz="8" w:space="0" w:color="auto"/>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 </w:t>
            </w:r>
          </w:p>
        </w:tc>
        <w:tc>
          <w:tcPr>
            <w:tcW w:w="960" w:type="dxa"/>
            <w:tcBorders>
              <w:top w:val="single" w:sz="4" w:space="0" w:color="auto"/>
              <w:left w:val="nil"/>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 </w:t>
            </w:r>
            <w:r>
              <w:rPr>
                <w:b/>
                <w:color w:val="000000"/>
              </w:rPr>
              <w:t xml:space="preserve">Negat. </w:t>
            </w:r>
          </w:p>
        </w:tc>
        <w:tc>
          <w:tcPr>
            <w:tcW w:w="960" w:type="dxa"/>
            <w:tcBorders>
              <w:top w:val="single" w:sz="4" w:space="0" w:color="auto"/>
              <w:left w:val="nil"/>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1+</w:t>
            </w:r>
          </w:p>
        </w:tc>
        <w:tc>
          <w:tcPr>
            <w:tcW w:w="960" w:type="dxa"/>
            <w:tcBorders>
              <w:top w:val="single" w:sz="4" w:space="0" w:color="auto"/>
              <w:left w:val="nil"/>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2+</w:t>
            </w:r>
          </w:p>
        </w:tc>
        <w:tc>
          <w:tcPr>
            <w:tcW w:w="960" w:type="dxa"/>
            <w:tcBorders>
              <w:top w:val="single" w:sz="4" w:space="0" w:color="auto"/>
              <w:left w:val="nil"/>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3+</w:t>
            </w:r>
          </w:p>
        </w:tc>
        <w:tc>
          <w:tcPr>
            <w:tcW w:w="1660" w:type="dxa"/>
            <w:tcBorders>
              <w:top w:val="single" w:sz="4" w:space="0" w:color="auto"/>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 </w:t>
            </w:r>
            <w:r>
              <w:rPr>
                <w:color w:val="000000"/>
              </w:rPr>
              <w:t>pozit.celkem</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karcinom</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 </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 </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 </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 </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 </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ACC</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8</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9/9 100%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SDC</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3</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3/3 100%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 xml:space="preserve">MEC    </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3</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2</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3/6 50%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CaexPA</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2</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2</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2/4 50%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AciCC</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2</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2</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5/5 100%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LG CCA</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0/1 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nedif. ca</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2</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2/2 100%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adenoca NOS</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1/1 100%</w:t>
            </w:r>
          </w:p>
        </w:tc>
      </w:tr>
      <w:tr w:rsidR="00517E70" w:rsidRPr="00BB480E" w:rsidTr="00BB480E">
        <w:trPr>
          <w:trHeight w:val="315"/>
        </w:trPr>
        <w:tc>
          <w:tcPr>
            <w:tcW w:w="1480" w:type="dxa"/>
            <w:tcBorders>
              <w:top w:val="nil"/>
              <w:left w:val="single" w:sz="8" w:space="0" w:color="auto"/>
              <w:bottom w:val="single" w:sz="4"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LG PCA</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4"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1660" w:type="dxa"/>
            <w:tcBorders>
              <w:top w:val="nil"/>
              <w:left w:val="nil"/>
              <w:bottom w:val="single" w:sz="4" w:space="0" w:color="auto"/>
              <w:right w:val="single" w:sz="8" w:space="0" w:color="auto"/>
            </w:tcBorders>
            <w:noWrap/>
            <w:vAlign w:val="bottom"/>
          </w:tcPr>
          <w:p w:rsidR="00517E70" w:rsidRPr="00BB480E" w:rsidRDefault="00517E70" w:rsidP="00203F1C">
            <w:pPr>
              <w:jc w:val="both"/>
              <w:rPr>
                <w:color w:val="000000"/>
              </w:rPr>
            </w:pPr>
            <w:r w:rsidRPr="00BB480E">
              <w:rPr>
                <w:color w:val="000000"/>
              </w:rPr>
              <w:t>1/1 100%</w:t>
            </w:r>
          </w:p>
        </w:tc>
      </w:tr>
      <w:tr w:rsidR="00517E70" w:rsidRPr="00BB480E" w:rsidTr="00BB480E">
        <w:trPr>
          <w:trHeight w:val="330"/>
        </w:trPr>
        <w:tc>
          <w:tcPr>
            <w:tcW w:w="1480" w:type="dxa"/>
            <w:tcBorders>
              <w:top w:val="nil"/>
              <w:left w:val="single" w:sz="8" w:space="0" w:color="auto"/>
              <w:bottom w:val="single" w:sz="8" w:space="0" w:color="auto"/>
              <w:right w:val="single" w:sz="4" w:space="0" w:color="auto"/>
            </w:tcBorders>
            <w:noWrap/>
            <w:vAlign w:val="bottom"/>
          </w:tcPr>
          <w:p w:rsidR="00517E70" w:rsidRPr="00F94B41" w:rsidRDefault="00517E70" w:rsidP="00203F1C">
            <w:pPr>
              <w:jc w:val="both"/>
              <w:rPr>
                <w:b/>
                <w:color w:val="000000"/>
              </w:rPr>
            </w:pPr>
            <w:r w:rsidRPr="00F94B41">
              <w:rPr>
                <w:b/>
                <w:color w:val="000000"/>
              </w:rPr>
              <w:t>MASC</w:t>
            </w:r>
          </w:p>
        </w:tc>
        <w:tc>
          <w:tcPr>
            <w:tcW w:w="960" w:type="dxa"/>
            <w:tcBorders>
              <w:top w:val="nil"/>
              <w:left w:val="nil"/>
              <w:bottom w:val="single" w:sz="8" w:space="0" w:color="auto"/>
              <w:right w:val="single" w:sz="4" w:space="0" w:color="auto"/>
            </w:tcBorders>
            <w:noWrap/>
            <w:vAlign w:val="bottom"/>
          </w:tcPr>
          <w:p w:rsidR="00517E70" w:rsidRPr="00BB480E" w:rsidRDefault="00517E70" w:rsidP="00203F1C">
            <w:pPr>
              <w:jc w:val="both"/>
              <w:rPr>
                <w:color w:val="000000"/>
              </w:rPr>
            </w:pPr>
            <w:r w:rsidRPr="00BB480E">
              <w:rPr>
                <w:color w:val="000000"/>
              </w:rPr>
              <w:t>1</w:t>
            </w:r>
          </w:p>
        </w:tc>
        <w:tc>
          <w:tcPr>
            <w:tcW w:w="960" w:type="dxa"/>
            <w:tcBorders>
              <w:top w:val="nil"/>
              <w:left w:val="nil"/>
              <w:bottom w:val="single" w:sz="8"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8"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960" w:type="dxa"/>
            <w:tcBorders>
              <w:top w:val="nil"/>
              <w:left w:val="nil"/>
              <w:bottom w:val="single" w:sz="8" w:space="0" w:color="auto"/>
              <w:right w:val="single" w:sz="4" w:space="0" w:color="auto"/>
            </w:tcBorders>
            <w:noWrap/>
            <w:vAlign w:val="bottom"/>
          </w:tcPr>
          <w:p w:rsidR="00517E70" w:rsidRPr="00BB480E" w:rsidRDefault="00517E70" w:rsidP="00203F1C">
            <w:pPr>
              <w:jc w:val="both"/>
              <w:rPr>
                <w:color w:val="000000"/>
              </w:rPr>
            </w:pPr>
            <w:r w:rsidRPr="00BB480E">
              <w:rPr>
                <w:color w:val="000000"/>
              </w:rPr>
              <w:t>0</w:t>
            </w:r>
          </w:p>
        </w:tc>
        <w:tc>
          <w:tcPr>
            <w:tcW w:w="1660" w:type="dxa"/>
            <w:tcBorders>
              <w:top w:val="nil"/>
              <w:left w:val="nil"/>
              <w:bottom w:val="single" w:sz="8" w:space="0" w:color="auto"/>
              <w:right w:val="single" w:sz="8" w:space="0" w:color="auto"/>
            </w:tcBorders>
            <w:noWrap/>
            <w:vAlign w:val="bottom"/>
          </w:tcPr>
          <w:p w:rsidR="00517E70" w:rsidRPr="00BB480E" w:rsidRDefault="00517E70" w:rsidP="00203F1C">
            <w:pPr>
              <w:jc w:val="both"/>
              <w:rPr>
                <w:color w:val="000000"/>
              </w:rPr>
            </w:pPr>
            <w:r w:rsidRPr="00BB480E">
              <w:rPr>
                <w:color w:val="000000"/>
              </w:rPr>
              <w:t>0/1 0%</w:t>
            </w:r>
          </w:p>
        </w:tc>
      </w:tr>
    </w:tbl>
    <w:p w:rsidR="00517E70" w:rsidRDefault="00517E70" w:rsidP="00203F1C">
      <w:pPr>
        <w:autoSpaceDE w:val="0"/>
        <w:autoSpaceDN w:val="0"/>
        <w:adjustRightInd w:val="0"/>
        <w:spacing w:line="360" w:lineRule="auto"/>
        <w:jc w:val="both"/>
        <w:rPr>
          <w:b/>
          <w:bCs/>
        </w:rPr>
      </w:pPr>
    </w:p>
    <w:p w:rsidR="00517E70" w:rsidRDefault="00517E70" w:rsidP="00203F1C">
      <w:pPr>
        <w:autoSpaceDE w:val="0"/>
        <w:autoSpaceDN w:val="0"/>
        <w:adjustRightInd w:val="0"/>
        <w:spacing w:line="360" w:lineRule="auto"/>
        <w:jc w:val="both"/>
        <w:rPr>
          <w:b/>
          <w:bCs/>
        </w:rPr>
      </w:pPr>
    </w:p>
    <w:p w:rsidR="00517E70" w:rsidRDefault="00517E70" w:rsidP="00203F1C">
      <w:pPr>
        <w:autoSpaceDE w:val="0"/>
        <w:autoSpaceDN w:val="0"/>
        <w:adjustRightInd w:val="0"/>
        <w:spacing w:line="360" w:lineRule="auto"/>
        <w:jc w:val="both"/>
        <w:rPr>
          <w:b/>
          <w:bCs/>
        </w:rPr>
      </w:pPr>
    </w:p>
    <w:p w:rsidR="00517E70" w:rsidRDefault="00517E70" w:rsidP="00203F1C">
      <w:pPr>
        <w:autoSpaceDE w:val="0"/>
        <w:autoSpaceDN w:val="0"/>
        <w:adjustRightInd w:val="0"/>
        <w:spacing w:line="360" w:lineRule="auto"/>
        <w:jc w:val="both"/>
        <w:rPr>
          <w:b/>
          <w:bCs/>
        </w:rPr>
      </w:pPr>
      <w:r>
        <w:rPr>
          <w:b/>
          <w:bCs/>
        </w:rPr>
        <w:t xml:space="preserve">Zkratky </w:t>
      </w:r>
    </w:p>
    <w:p w:rsidR="00517E70" w:rsidRDefault="00517E70" w:rsidP="00203F1C">
      <w:pPr>
        <w:autoSpaceDE w:val="0"/>
        <w:autoSpaceDN w:val="0"/>
        <w:adjustRightInd w:val="0"/>
        <w:spacing w:line="360" w:lineRule="auto"/>
        <w:jc w:val="both"/>
        <w:rPr>
          <w:b/>
          <w:bCs/>
        </w:rPr>
      </w:pPr>
      <w:r>
        <w:rPr>
          <w:b/>
          <w:bCs/>
        </w:rPr>
        <w:t xml:space="preserve">ACC- </w:t>
      </w:r>
      <w:r w:rsidRPr="001F0840">
        <w:rPr>
          <w:bCs/>
        </w:rPr>
        <w:t>adenoidně  cystický karcinom</w:t>
      </w:r>
    </w:p>
    <w:p w:rsidR="00517E70" w:rsidRDefault="00517E70" w:rsidP="00203F1C">
      <w:pPr>
        <w:autoSpaceDE w:val="0"/>
        <w:autoSpaceDN w:val="0"/>
        <w:adjustRightInd w:val="0"/>
        <w:spacing w:line="360" w:lineRule="auto"/>
        <w:jc w:val="both"/>
        <w:rPr>
          <w:b/>
          <w:bCs/>
        </w:rPr>
      </w:pPr>
      <w:r>
        <w:rPr>
          <w:b/>
          <w:bCs/>
        </w:rPr>
        <w:t xml:space="preserve">SDC- </w:t>
      </w:r>
      <w:r w:rsidRPr="00924084">
        <w:rPr>
          <w:bCs/>
        </w:rPr>
        <w:t>salivární duktální karcinom</w:t>
      </w:r>
    </w:p>
    <w:p w:rsidR="00517E70" w:rsidRPr="00924084" w:rsidRDefault="00517E70" w:rsidP="00203F1C">
      <w:pPr>
        <w:autoSpaceDE w:val="0"/>
        <w:autoSpaceDN w:val="0"/>
        <w:adjustRightInd w:val="0"/>
        <w:spacing w:line="360" w:lineRule="auto"/>
        <w:jc w:val="both"/>
        <w:rPr>
          <w:bCs/>
        </w:rPr>
      </w:pPr>
      <w:r>
        <w:rPr>
          <w:b/>
          <w:bCs/>
        </w:rPr>
        <w:t xml:space="preserve">MEC- </w:t>
      </w:r>
      <w:r w:rsidRPr="00924084">
        <w:rPr>
          <w:bCs/>
        </w:rPr>
        <w:t>mukoepidermoidní karcinom</w:t>
      </w:r>
    </w:p>
    <w:p w:rsidR="00517E70" w:rsidRPr="00F94B41" w:rsidRDefault="00517E70" w:rsidP="00203F1C">
      <w:pPr>
        <w:autoSpaceDE w:val="0"/>
        <w:autoSpaceDN w:val="0"/>
        <w:adjustRightInd w:val="0"/>
        <w:spacing w:line="360" w:lineRule="auto"/>
        <w:jc w:val="both"/>
        <w:rPr>
          <w:color w:val="000000"/>
        </w:rPr>
      </w:pPr>
      <w:r w:rsidRPr="00924084">
        <w:rPr>
          <w:b/>
          <w:bCs/>
        </w:rPr>
        <w:t>CaexPa</w:t>
      </w:r>
      <w:r w:rsidRPr="00F94B41">
        <w:rPr>
          <w:bCs/>
        </w:rPr>
        <w:t>-</w:t>
      </w:r>
      <w:r>
        <w:rPr>
          <w:bCs/>
        </w:rPr>
        <w:t>k</w:t>
      </w:r>
      <w:r w:rsidRPr="00F94B41">
        <w:rPr>
          <w:color w:val="000000"/>
        </w:rPr>
        <w:t>arcinom z pleomorfního adenomu</w:t>
      </w:r>
    </w:p>
    <w:p w:rsidR="00517E70" w:rsidRDefault="00517E70" w:rsidP="00203F1C">
      <w:pPr>
        <w:autoSpaceDE w:val="0"/>
        <w:autoSpaceDN w:val="0"/>
        <w:adjustRightInd w:val="0"/>
        <w:spacing w:line="360" w:lineRule="auto"/>
        <w:jc w:val="both"/>
        <w:rPr>
          <w:color w:val="000000"/>
        </w:rPr>
      </w:pPr>
      <w:r w:rsidRPr="00924084">
        <w:rPr>
          <w:b/>
          <w:color w:val="000000"/>
        </w:rPr>
        <w:t>AciCC</w:t>
      </w:r>
      <w:r>
        <w:rPr>
          <w:color w:val="000000"/>
        </w:rPr>
        <w:t xml:space="preserve"> - acinocelulární karcinom</w:t>
      </w:r>
    </w:p>
    <w:p w:rsidR="00517E70" w:rsidRDefault="00517E70" w:rsidP="00203F1C">
      <w:pPr>
        <w:autoSpaceDE w:val="0"/>
        <w:autoSpaceDN w:val="0"/>
        <w:adjustRightInd w:val="0"/>
        <w:spacing w:line="360" w:lineRule="auto"/>
        <w:jc w:val="both"/>
        <w:rPr>
          <w:color w:val="000000"/>
        </w:rPr>
      </w:pPr>
      <w:r w:rsidRPr="00924084">
        <w:rPr>
          <w:b/>
          <w:color w:val="000000"/>
        </w:rPr>
        <w:t>LG CCA</w:t>
      </w:r>
      <w:r>
        <w:rPr>
          <w:color w:val="000000"/>
        </w:rPr>
        <w:t xml:space="preserve"> - low grade k</w:t>
      </w:r>
      <w:r w:rsidRPr="00575AF0">
        <w:rPr>
          <w:color w:val="000000"/>
        </w:rPr>
        <w:t>ribriform</w:t>
      </w:r>
      <w:r>
        <w:rPr>
          <w:color w:val="000000"/>
        </w:rPr>
        <w:t>ní cystadenokarcinom</w:t>
      </w:r>
    </w:p>
    <w:p w:rsidR="00517E70" w:rsidRPr="00C70064" w:rsidRDefault="00517E70" w:rsidP="00203F1C">
      <w:pPr>
        <w:autoSpaceDE w:val="0"/>
        <w:autoSpaceDN w:val="0"/>
        <w:adjustRightInd w:val="0"/>
        <w:spacing w:line="360" w:lineRule="auto"/>
        <w:jc w:val="both"/>
      </w:pPr>
      <w:r w:rsidRPr="00C70064">
        <w:rPr>
          <w:b/>
        </w:rPr>
        <w:t>Adenoca NOS</w:t>
      </w:r>
      <w:r>
        <w:rPr>
          <w:b/>
        </w:rPr>
        <w:t xml:space="preserve"> </w:t>
      </w:r>
      <w:r w:rsidRPr="00C70064">
        <w:rPr>
          <w:b/>
        </w:rPr>
        <w:t>-</w:t>
      </w:r>
      <w:r>
        <w:t xml:space="preserve"> adenokarcinom NOS (</w:t>
      </w:r>
      <w:r w:rsidRPr="00C70064">
        <w:t>not otherwise specified)</w:t>
      </w:r>
    </w:p>
    <w:p w:rsidR="00517E70" w:rsidRPr="00402693" w:rsidRDefault="00517E70" w:rsidP="00203F1C">
      <w:pPr>
        <w:autoSpaceDE w:val="0"/>
        <w:autoSpaceDN w:val="0"/>
        <w:adjustRightInd w:val="0"/>
        <w:spacing w:line="360" w:lineRule="auto"/>
        <w:jc w:val="both"/>
        <w:rPr>
          <w:color w:val="000000"/>
        </w:rPr>
      </w:pPr>
      <w:r w:rsidRPr="00402693">
        <w:rPr>
          <w:b/>
          <w:color w:val="000000"/>
        </w:rPr>
        <w:t>LG PCA</w:t>
      </w:r>
      <w:r w:rsidRPr="00402693">
        <w:rPr>
          <w:color w:val="000000"/>
        </w:rPr>
        <w:t xml:space="preserve"> - low grade papilárně cystický adenokarcinom</w:t>
      </w:r>
    </w:p>
    <w:p w:rsidR="00517E70" w:rsidRPr="00C70064" w:rsidRDefault="00517E70" w:rsidP="00203F1C">
      <w:pPr>
        <w:autoSpaceDE w:val="0"/>
        <w:autoSpaceDN w:val="0"/>
        <w:adjustRightInd w:val="0"/>
        <w:spacing w:line="360" w:lineRule="auto"/>
        <w:jc w:val="both"/>
        <w:rPr>
          <w:bCs/>
        </w:rPr>
      </w:pPr>
      <w:r w:rsidRPr="00C70064">
        <w:rPr>
          <w:b/>
        </w:rPr>
        <w:t>MASC</w:t>
      </w:r>
      <w:r>
        <w:t xml:space="preserve"> – ma</w:t>
      </w:r>
      <w:r w:rsidRPr="00C70064">
        <w:t xml:space="preserve">mární analogický </w:t>
      </w:r>
      <w:r w:rsidRPr="00C70064">
        <w:rPr>
          <w:rStyle w:val="st1"/>
        </w:rPr>
        <w:t xml:space="preserve">sekretorický </w:t>
      </w:r>
      <w:r w:rsidRPr="00C70064">
        <w:rPr>
          <w:rStyle w:val="st1"/>
          <w:bCs/>
        </w:rPr>
        <w:t>karcinom</w:t>
      </w:r>
      <w:r>
        <w:rPr>
          <w:rStyle w:val="st1"/>
        </w:rPr>
        <w:t xml:space="preserve"> slinných žlá</w:t>
      </w:r>
      <w:r w:rsidRPr="00C70064">
        <w:rPr>
          <w:rStyle w:val="st1"/>
        </w:rPr>
        <w:t>z</w:t>
      </w:r>
      <w:r w:rsidRPr="00C70064">
        <w:rPr>
          <w:bCs/>
        </w:rPr>
        <w:t xml:space="preserve"> (mammary analogue secretory carcinoma)</w:t>
      </w:r>
    </w:p>
    <w:p w:rsidR="00517E70" w:rsidRPr="00C70064" w:rsidRDefault="00517E70" w:rsidP="00203F1C">
      <w:pPr>
        <w:autoSpaceDE w:val="0"/>
        <w:autoSpaceDN w:val="0"/>
        <w:adjustRightInd w:val="0"/>
        <w:spacing w:line="360" w:lineRule="auto"/>
        <w:jc w:val="both"/>
        <w:rPr>
          <w:bCs/>
        </w:rPr>
      </w:pPr>
      <w:r w:rsidRPr="00C70064">
        <w:rPr>
          <w:b/>
          <w:bCs/>
        </w:rPr>
        <w:t>Nedif.ca</w:t>
      </w:r>
      <w:r>
        <w:rPr>
          <w:b/>
          <w:bCs/>
        </w:rPr>
        <w:t xml:space="preserve"> </w:t>
      </w:r>
      <w:r w:rsidRPr="00C70064">
        <w:rPr>
          <w:bCs/>
        </w:rPr>
        <w:t xml:space="preserve">- nediferencovaný karcinom </w:t>
      </w:r>
    </w:p>
    <w:p w:rsidR="00517E70" w:rsidRPr="00C70064" w:rsidRDefault="00517E70" w:rsidP="00203F1C">
      <w:pPr>
        <w:autoSpaceDE w:val="0"/>
        <w:autoSpaceDN w:val="0"/>
        <w:adjustRightInd w:val="0"/>
        <w:spacing w:line="360" w:lineRule="auto"/>
        <w:jc w:val="both"/>
        <w:rPr>
          <w:b/>
          <w:bCs/>
        </w:rPr>
      </w:pPr>
    </w:p>
    <w:p w:rsidR="00517E70" w:rsidRPr="00C70064" w:rsidRDefault="00517E70" w:rsidP="00203F1C">
      <w:pPr>
        <w:autoSpaceDE w:val="0"/>
        <w:autoSpaceDN w:val="0"/>
        <w:adjustRightInd w:val="0"/>
        <w:spacing w:line="360" w:lineRule="auto"/>
        <w:jc w:val="both"/>
        <w:rPr>
          <w:b/>
          <w:bCs/>
        </w:rPr>
      </w:pPr>
      <w:r w:rsidRPr="00C70064">
        <w:rPr>
          <w:b/>
          <w:bCs/>
        </w:rPr>
        <w:br w:type="page"/>
      </w:r>
      <w:r>
        <w:rPr>
          <w:b/>
          <w:bCs/>
        </w:rPr>
        <w:t xml:space="preserve">4.1.5 </w:t>
      </w:r>
      <w:r w:rsidRPr="00C70064">
        <w:rPr>
          <w:b/>
          <w:bCs/>
        </w:rPr>
        <w:t>Diskuse</w:t>
      </w:r>
    </w:p>
    <w:p w:rsidR="00517E70" w:rsidRPr="00C70064" w:rsidRDefault="00517E70" w:rsidP="00203F1C">
      <w:pPr>
        <w:autoSpaceDE w:val="0"/>
        <w:autoSpaceDN w:val="0"/>
        <w:adjustRightInd w:val="0"/>
        <w:spacing w:line="360" w:lineRule="auto"/>
        <w:jc w:val="both"/>
        <w:rPr>
          <w:b/>
          <w:bCs/>
        </w:rPr>
      </w:pPr>
    </w:p>
    <w:p w:rsidR="00517E70" w:rsidRPr="00C70064" w:rsidRDefault="00517E70" w:rsidP="00203F1C">
      <w:pPr>
        <w:autoSpaceDE w:val="0"/>
        <w:autoSpaceDN w:val="0"/>
        <w:adjustRightInd w:val="0"/>
        <w:spacing w:line="360" w:lineRule="auto"/>
        <w:jc w:val="both"/>
      </w:pPr>
      <w:r>
        <w:t>Imunoexpresi C-K</w:t>
      </w:r>
      <w:r w:rsidRPr="00C70064">
        <w:t>it onkoproteinu u karcinomů slinných žláz se věnovalo několik, ve výsledcích se často rozcházejících studií</w:t>
      </w:r>
      <w:r>
        <w:t>. V Jengově souboru (66</w:t>
      </w:r>
      <w:r w:rsidRPr="00C70064">
        <w:t>) 79 sali</w:t>
      </w:r>
      <w:r>
        <w:t>várních karcinomů vykazovalo C-K</w:t>
      </w:r>
      <w:r w:rsidRPr="00C70064">
        <w:t>it imunopozitivitu jen 20 z 25 adenoidně cystických karcinomů, dále pak všechny karcinomy lymfo- a myoepitelové, zastoupené 6, resp. 2 případy. Ostatních 46 hodnocených tumorů (karcinom myoepitelový, mukoepidermoidní, acinocelulární, polymorfní low-grade adenokarcinom,</w:t>
      </w:r>
      <w:r>
        <w:t xml:space="preserve"> </w:t>
      </w:r>
      <w:r w:rsidRPr="00C70064">
        <w:t>adenokarcinom NOS, karcinom z pleomorfního adenomu, salivární duktální, nediferencovaný a dlaždicobuněčný karcinom) bylo negativ</w:t>
      </w:r>
      <w:r>
        <w:t>ních. Naproti tomu Andreadis (67</w:t>
      </w:r>
      <w:r w:rsidRPr="00C70064">
        <w:t>) v testo</w:t>
      </w:r>
      <w:r>
        <w:t>vané skupině 57 tumorů zjistil C-K</w:t>
      </w:r>
      <w:r w:rsidRPr="00C70064">
        <w:t>it imunoexpresi v 30 případech poněkud širšího histopatologického spektra. Vedle dominantního karcinomu adenoidně cystického (11 pozitivních ze 14 hodnocených), šlo o karcinom a</w:t>
      </w:r>
      <w:r>
        <w:t>cinocelulární (5/6), epitelově-</w:t>
      </w:r>
      <w:r w:rsidRPr="00C70064">
        <w:t>myoepitelový (3/3), lymfoepitelový (1/1), polymorfní</w:t>
      </w:r>
      <w:r>
        <w:t xml:space="preserve"> </w:t>
      </w:r>
      <w:r w:rsidRPr="00C70064">
        <w:t>low-grade adenokarcinom (7/14) a karcinosarkom (1/1). Negativita byla zjištěna u karcinomu mukoepidermoidního (0/3), dlaždicobuněčného (0/5), salivárního duktálního (0/2), myoepitelového (0/2), onkocytárního (0/1) a adenokarcinomu</w:t>
      </w:r>
      <w:r>
        <w:t xml:space="preserve"> </w:t>
      </w:r>
      <w:r w:rsidRPr="00C70064">
        <w:t>NOS (0/1).</w:t>
      </w:r>
    </w:p>
    <w:p w:rsidR="00517E70" w:rsidRPr="00C70064" w:rsidRDefault="00517E70" w:rsidP="00203F1C">
      <w:pPr>
        <w:autoSpaceDE w:val="0"/>
        <w:autoSpaceDN w:val="0"/>
        <w:adjustRightInd w:val="0"/>
        <w:spacing w:line="360" w:lineRule="auto"/>
        <w:jc w:val="both"/>
      </w:pPr>
      <w:r>
        <w:t>V studii Soerensenové (31</w:t>
      </w:r>
      <w:r w:rsidRPr="00C70064">
        <w:t>), zahrnující 73 par</w:t>
      </w:r>
      <w:r>
        <w:t>otických karcinomů, vykazovalo C-K</w:t>
      </w:r>
      <w:r w:rsidRPr="00C70064">
        <w:t>it imunoreakci jen 18 (tj. 25 %) tumorů, mezi nimiž s 92% pozitivitou převládal karcinom adenoidně cystický. U ostatních 9 histopatologických subtypů byla (s výjimkou jediného epiteliově-myoepitelového karcinomu) reakce nulová nebo nízká. Početně dosud nejobsáhlejší je Ettlova sestava 96 případů salivárníc</w:t>
      </w:r>
      <w:r>
        <w:t>h karcinomů, z nichž 55 bylo C-Kit pozitivních (68</w:t>
      </w:r>
      <w:r w:rsidRPr="00C70064">
        <w:t>). V testované histopatologické škále byl zcela negativní toliko karcinom duktální (celkem 11 případů), všechny ostatní jednotky byly ve větším či menším procentu pozitivní. Stejně jako u 3 výš</w:t>
      </w:r>
      <w:r>
        <w:t>e uvedených studií vykazoval C-K</w:t>
      </w:r>
      <w:r w:rsidRPr="00C70064">
        <w:t>it expresi nejčastěji karcinom adenoidně cystický (23</w:t>
      </w:r>
      <w:r>
        <w:rPr>
          <w:color w:val="C00000"/>
        </w:rPr>
        <w:t xml:space="preserve"> </w:t>
      </w:r>
      <w:r w:rsidRPr="00C70064">
        <w:t xml:space="preserve">z 25 hodnocených), následován karcinomem acinocelulárním (8/10), mukoepidermoidním (6/15), karcinomem z pleomorfního adenomu (5/12) a dalšími, vzácněji zastoupenými typy. </w:t>
      </w:r>
      <w:r>
        <w:t>V našem souboru jsme prokázali C-K</w:t>
      </w:r>
      <w:r w:rsidRPr="00C70064">
        <w:t>it expresi u 27 ze 33 (tj. 82 %) hodnocených karcinomů. Imunoreaktivita přitom procházela s různým podílem pozitivních případů napříč téměř celým spektrem 11 zde zahrnutých histopatologických jednote</w:t>
      </w:r>
      <w:r>
        <w:t>k, když jedinou výjimkou byl C-K</w:t>
      </w:r>
      <w:r w:rsidRPr="00C70064">
        <w:t xml:space="preserve">it negativní mamární analogický sekreční karcinom slinných žláz. Při porovnání našich </w:t>
      </w:r>
      <w:r>
        <w:t>a publikovaných výsledků (68, 69, 70, 71</w:t>
      </w:r>
      <w:r w:rsidRPr="00C70064">
        <w:t>) j</w:t>
      </w:r>
      <w:r>
        <w:t>e zřejmé, že shody v udávané C-K</w:t>
      </w:r>
      <w:r w:rsidRPr="00C70064">
        <w:t xml:space="preserve">it expresi je dosahováno toliko u karcinomu adenoidně cystického, u všech ostatních, méně či více často se vyskytujících typů karcinomů jsou výsledky značně odlišné. Osm z 9 námi hodnocených adenoidně cystických karcinomů vykazovalo silnou expresi. Analogické výsledky uvádějí </w:t>
      </w:r>
      <w:r>
        <w:t>i další autoři (68, 69, 70, 71</w:t>
      </w:r>
      <w:r w:rsidRPr="00C70064">
        <w:t>), intenzivní C</w:t>
      </w:r>
      <w:r>
        <w:t>-K</w:t>
      </w:r>
      <w:r w:rsidRPr="00C70064">
        <w:t>it reakce u tohoto tumoru se tudíž nabízí jako potenciální diferenciálně-diagnostický znak mezi tímto tumorem a histologicky podobným, avšak biologicky příznivějším polymorfním low-grade adenokar</w:t>
      </w:r>
      <w:r>
        <w:t>cinomem, jenž podle Beltrana (72</w:t>
      </w:r>
      <w:r w:rsidRPr="00C70064">
        <w:t>) vykazuje význa</w:t>
      </w:r>
      <w:r>
        <w:t>mně slabší imunohistochemickou C-K</w:t>
      </w:r>
      <w:r w:rsidRPr="00C70064">
        <w:t>it expresi. Edwar</w:t>
      </w:r>
      <w:r>
        <w:t>ds (69) naproti tomu zjistil C-K</w:t>
      </w:r>
      <w:r w:rsidRPr="00C70064">
        <w:t>it imunopozitivitu u 16 z jím hodnocených 17 polymorfních low-grade karcinomů, přičemž v 5 případech šlo o silnou expresi, takže z diferenciálně diagnostického hlediska považuje imunohistochemický průkaz tohoto onkoproteinu v obou uvedených biologicky odlišných afekcích za n</w:t>
      </w:r>
      <w:r>
        <w:t xml:space="preserve">epřínosný. V naší sestavě nebyl </w:t>
      </w:r>
      <w:r w:rsidRPr="00C70064">
        <w:t>polymorfní low-grade adenokarcinom zastoupen, v tomto směru je studie nepřínosná. Potenciáln</w:t>
      </w:r>
      <w:r>
        <w:t>í možností využití stanovení C-K</w:t>
      </w:r>
      <w:r w:rsidRPr="00C70064">
        <w:t>it proteinu u adenoidně cystického karcinomu je včasná detekce jeho high-grade transformace, jež tento tumor s typicky dlouhodobým, avšak nelítostným průběhem mění v překotně progredující, lymfogenně se šířící lézi s rychlým letálním koncem. Odhalení tohoto zvratu na základě morfologických změn je velmi obtížné. Jak však proká</w:t>
      </w:r>
      <w:r>
        <w:t>zal Seethala (22), stanovení C-K</w:t>
      </w:r>
      <w:r w:rsidRPr="00C70064">
        <w:t>it overexprese v tomto ohledu nemá význam. Dalším z úskalí histopatologické diagnostiky adenoidně cystického karcinomu může být i jeho odlišení od pleomorfního a mon</w:t>
      </w:r>
      <w:r>
        <w:t>omorfního adenomu. Stanovení C-K</w:t>
      </w:r>
      <w:r w:rsidRPr="00C70064">
        <w:t xml:space="preserve">it se ani v těchto případech nejeví jako přínosné, </w:t>
      </w:r>
      <w:r>
        <w:t>neboť v Andreadisově sestavě (67</w:t>
      </w:r>
      <w:r w:rsidRPr="00C70064">
        <w:t>) všech 20 testovaných ple</w:t>
      </w:r>
      <w:r>
        <w:t>omorfních adenomů vykazovalo C-K</w:t>
      </w:r>
      <w:r w:rsidRPr="00C70064">
        <w:t>it pozitivitu, podobné výsledky u</w:t>
      </w:r>
      <w:r>
        <w:t>dává i Chandan (73). Edwards (69</w:t>
      </w:r>
      <w:r w:rsidRPr="00C70064">
        <w:t>) pak zjistil pozitivní reakci u 16 ze 17 monomorfních adenomů, přičemž v 10 případech šlo o silnou expresi.</w:t>
      </w:r>
    </w:p>
    <w:p w:rsidR="00517E70" w:rsidRPr="00C70064" w:rsidRDefault="00517E70" w:rsidP="00203F1C">
      <w:pPr>
        <w:autoSpaceDE w:val="0"/>
        <w:autoSpaceDN w:val="0"/>
        <w:adjustRightInd w:val="0"/>
        <w:spacing w:line="360" w:lineRule="auto"/>
        <w:jc w:val="both"/>
      </w:pPr>
      <w:r w:rsidRPr="00C70064">
        <w:t>V hodn</w:t>
      </w:r>
      <w:r>
        <w:t>ocení prognostického významu C-Kit overexprese u ACC Ettl (68</w:t>
      </w:r>
      <w:r w:rsidRPr="00C70064">
        <w:t>) nalezl pozitivní korelaci mezi chyběním imunoreakce a starším věkem (</w:t>
      </w:r>
      <w:smartTag w:uri="urn:schemas-microsoft-com:office:smarttags" w:element="metricconverter">
        <w:smartTagPr>
          <w:attr w:name="ProductID" w:val="70 a"/>
        </w:smartTagPr>
        <w:r w:rsidRPr="00C70064">
          <w:t>70 a</w:t>
        </w:r>
      </w:smartTag>
      <w:r w:rsidRPr="00C70064">
        <w:t xml:space="preserve"> více let) nemocných, vysokým histologickým stupněm malignity a výskytem uzlinových metastáz. V univa</w:t>
      </w:r>
      <w:r>
        <w:t>riátní analýze významu exprese C-K</w:t>
      </w:r>
      <w:r w:rsidRPr="00C70064">
        <w:t>it pro přežití byla její negativita vedle některých dalších sledovaných klinických a imunohistochemických parametrů signifikantním faktorem. V multivariátním hodnocení však její vliv nebyl potvrz</w:t>
      </w:r>
      <w:r>
        <w:t xml:space="preserve">en. </w:t>
      </w:r>
      <w:r w:rsidRPr="00C70064">
        <w:t>Vedle hodnocení prognostického významu pro celou skupin</w:t>
      </w:r>
      <w:r>
        <w:t>u salivárních karcinomů byla C-K</w:t>
      </w:r>
      <w:r w:rsidRPr="00C70064">
        <w:t>it exprese analyzována i pro nejčastěji se vyskytující histopatologické jednotky. Negativita vyšetření korelovala nesigifikantně s přežitím u mukoepidermoidního karcinomu a karcinomu v pleomorfním adenomu, u karcinomu acinocelulárního byla korelace dokonce signifikantní. U salivárního duktálního a adenoidně cystického karcinomu nebyla zjištěna žádná závislost mezi</w:t>
      </w:r>
      <w:r>
        <w:t xml:space="preserve"> C-K</w:t>
      </w:r>
      <w:r w:rsidRPr="00C70064">
        <w:t>it expresí a prognózou. Naproti tomu Sorensenová (31) ve skupině 73 karcinomů, pozůstávající z 10 histopatologických subtypů, nepotvrdila žádnou prognostickou hodn</w:t>
      </w:r>
      <w:r>
        <w:t>otu exprese tohoto tyrosin-kináz</w:t>
      </w:r>
      <w:r w:rsidRPr="00C70064">
        <w:t>ového receptoru, nebyla prokázána ani její korelace se stupněm</w:t>
      </w:r>
    </w:p>
    <w:p w:rsidR="00517E70" w:rsidRPr="00C70064" w:rsidRDefault="00517E70" w:rsidP="00203F1C">
      <w:pPr>
        <w:autoSpaceDE w:val="0"/>
        <w:autoSpaceDN w:val="0"/>
        <w:adjustRightInd w:val="0"/>
        <w:spacing w:line="360" w:lineRule="auto"/>
        <w:jc w:val="both"/>
      </w:pPr>
      <w:r w:rsidRPr="00C70064">
        <w:t>malignity, velikostí či klinickým stadiem tumoru a histopatologickým stavem regionálních</w:t>
      </w:r>
    </w:p>
    <w:p w:rsidR="00517E70" w:rsidRPr="00C70064" w:rsidRDefault="00517E70" w:rsidP="00203F1C">
      <w:pPr>
        <w:autoSpaceDE w:val="0"/>
        <w:autoSpaceDN w:val="0"/>
        <w:adjustRightInd w:val="0"/>
        <w:spacing w:line="360" w:lineRule="auto"/>
        <w:jc w:val="both"/>
      </w:pPr>
      <w:r w:rsidRPr="00C70064">
        <w:t xml:space="preserve">uzlin. Takováto zásadní diskrepance výsledků obou zmíněných studií může snad být způsobena odlišnou metodikou určení </w:t>
      </w:r>
      <w:r>
        <w:t>negativity imunoreakce: Ettl (68</w:t>
      </w:r>
      <w:r w:rsidRPr="00C70064">
        <w:t>) hodnotí ja</w:t>
      </w:r>
      <w:r>
        <w:t>ko C-K</w:t>
      </w:r>
      <w:r w:rsidRPr="00C70064">
        <w:t>it negativní tumory s úplnou absencí imunoreakce a všechny ostatní (tj. l+, 2+, 3+) jako pozitivní. Vychá</w:t>
      </w:r>
      <w:r>
        <w:t>zí přitom ze zkušeností Rohra (74), Tsutsui (75) a Honga (76</w:t>
      </w:r>
      <w:r w:rsidRPr="00C70064">
        <w:t>),</w:t>
      </w:r>
      <w:r>
        <w:t xml:space="preserve"> </w:t>
      </w:r>
      <w:r w:rsidRPr="00C70064">
        <w:t>získaných u některých extrasalivárních karcinom</w:t>
      </w:r>
      <w:r>
        <w:t>ů, které ukazují, že při užití C-K</w:t>
      </w:r>
      <w:r w:rsidRPr="00C70064">
        <w:t xml:space="preserve">it jako prognostického markeru i slabá reakce musí být hodnocena jako pozitivní. Naproti tomu Sorensenová (31) řadí mezi negativní i 1+ případy. V naší studii, </w:t>
      </w:r>
      <w:r>
        <w:t>používající Ettlovu metodiku (68</w:t>
      </w:r>
      <w:r w:rsidRPr="00C70064">
        <w:t>), nebyl potvrzen rozdíl v celkovém nádorově specifickém přežívání</w:t>
      </w:r>
    </w:p>
    <w:p w:rsidR="00517E70" w:rsidRPr="00C70064" w:rsidRDefault="00517E70" w:rsidP="00203F1C">
      <w:pPr>
        <w:autoSpaceDE w:val="0"/>
        <w:autoSpaceDN w:val="0"/>
        <w:adjustRightInd w:val="0"/>
        <w:spacing w:line="360" w:lineRule="auto"/>
        <w:jc w:val="both"/>
        <w:rPr>
          <w:i/>
          <w:iCs/>
        </w:rPr>
      </w:pPr>
      <w:r>
        <w:t>(disease specific survival) u C-K</w:t>
      </w:r>
      <w:r w:rsidRPr="00C70064">
        <w:t>it negativních vs. pozitivních kar</w:t>
      </w:r>
      <w:r>
        <w:t>cinomů. Statistické hodnocení C-K</w:t>
      </w:r>
      <w:r w:rsidRPr="00C70064">
        <w:t>it exprese, jakožto prognostického parametru stratifikované pro jednotlivé histopatologické typy, nebylo pro malý počet</w:t>
      </w:r>
      <w:r>
        <w:t xml:space="preserve"> případů v dané skupině v naší </w:t>
      </w:r>
      <w:r w:rsidRPr="00C70064">
        <w:t>studii možné</w:t>
      </w:r>
      <w:r w:rsidRPr="00C70064">
        <w:rPr>
          <w:i/>
          <w:iCs/>
        </w:rPr>
        <w:t>.</w:t>
      </w:r>
    </w:p>
    <w:p w:rsidR="00517E70" w:rsidRPr="005C5F8C" w:rsidRDefault="00517E70" w:rsidP="00203F1C">
      <w:pPr>
        <w:autoSpaceDE w:val="0"/>
        <w:autoSpaceDN w:val="0"/>
        <w:adjustRightInd w:val="0"/>
        <w:spacing w:line="360" w:lineRule="auto"/>
        <w:jc w:val="both"/>
        <w:rPr>
          <w:color w:val="C00000"/>
        </w:rPr>
      </w:pPr>
    </w:p>
    <w:p w:rsidR="00517E70" w:rsidRPr="00197D6B" w:rsidRDefault="00517E70" w:rsidP="00203F1C">
      <w:pPr>
        <w:autoSpaceDE w:val="0"/>
        <w:autoSpaceDN w:val="0"/>
        <w:adjustRightInd w:val="0"/>
        <w:spacing w:line="360" w:lineRule="auto"/>
        <w:jc w:val="both"/>
      </w:pPr>
      <w:r>
        <w:t>C-K</w:t>
      </w:r>
      <w:r w:rsidRPr="00197D6B">
        <w:t>it protonkogen hraje velmi pravděpodobně</w:t>
      </w:r>
      <w:r>
        <w:t xml:space="preserve"> </w:t>
      </w:r>
      <w:r w:rsidRPr="00197D6B">
        <w:t>roli v onkogeneze adenoidně cystického karcinomu,</w:t>
      </w:r>
      <w:r>
        <w:t xml:space="preserve"> </w:t>
      </w:r>
      <w:r w:rsidRPr="00197D6B">
        <w:t>jeho účast na vzniku a růstu dalších maligních,</w:t>
      </w:r>
      <w:r>
        <w:t xml:space="preserve"> </w:t>
      </w:r>
      <w:r w:rsidRPr="00197D6B">
        <w:t>jakož i některých benigních sialomů je vágní.</w:t>
      </w:r>
      <w:r>
        <w:t xml:space="preserve"> </w:t>
      </w:r>
      <w:r w:rsidRPr="00197D6B">
        <w:t>Výsledky dosavadních studií, zkoumajících</w:t>
      </w:r>
      <w:r>
        <w:t xml:space="preserve"> </w:t>
      </w:r>
      <w:r w:rsidRPr="00197D6B">
        <w:t>imunohistochemickou expresi jeho proteinu</w:t>
      </w:r>
      <w:r>
        <w:t xml:space="preserve"> </w:t>
      </w:r>
      <w:r w:rsidRPr="00197D6B">
        <w:t>u ostatních histopatologických typů této onkologické</w:t>
      </w:r>
      <w:r>
        <w:t xml:space="preserve"> </w:t>
      </w:r>
      <w:r w:rsidRPr="00197D6B">
        <w:t>skupiny, jsou někdy až diametrálně rozporné.</w:t>
      </w:r>
      <w:r>
        <w:t xml:space="preserve"> </w:t>
      </w:r>
      <w:r w:rsidRPr="00197D6B">
        <w:t>Příčinu tohoto stavu spatřujeme v</w:t>
      </w:r>
      <w:r>
        <w:t> </w:t>
      </w:r>
      <w:r w:rsidRPr="00197D6B">
        <w:t>nejednotné</w:t>
      </w:r>
      <w:r>
        <w:t xml:space="preserve"> </w:t>
      </w:r>
      <w:r w:rsidRPr="00197D6B">
        <w:t>metodice hodnocení pozitivity reakce, v</w:t>
      </w:r>
      <w:r>
        <w:t> </w:t>
      </w:r>
      <w:r w:rsidRPr="00197D6B">
        <w:t>různých</w:t>
      </w:r>
      <w:r>
        <w:t xml:space="preserve"> </w:t>
      </w:r>
      <w:r w:rsidRPr="00197D6B">
        <w:t>protilátkách a metodologii, jež byly použity</w:t>
      </w:r>
      <w:r>
        <w:t xml:space="preserve"> </w:t>
      </w:r>
      <w:r w:rsidRPr="00197D6B">
        <w:t>k imunodetekci onkoproteinu, jakož i v</w:t>
      </w:r>
      <w:r>
        <w:t> </w:t>
      </w:r>
      <w:r w:rsidRPr="00197D6B">
        <w:t>malém</w:t>
      </w:r>
      <w:r>
        <w:t xml:space="preserve"> </w:t>
      </w:r>
      <w:r w:rsidRPr="00197D6B">
        <w:t>počtu testovaných, zejména vzácněji se vyskytujících</w:t>
      </w:r>
      <w:r>
        <w:t xml:space="preserve"> </w:t>
      </w:r>
      <w:r w:rsidRPr="00197D6B">
        <w:t>histopatologických jednotek. Vedle</w:t>
      </w:r>
      <w:r>
        <w:t xml:space="preserve"> </w:t>
      </w:r>
      <w:r w:rsidRPr="00197D6B">
        <w:t>biologické variability tumorů zde určitou</w:t>
      </w:r>
      <w:r>
        <w:t xml:space="preserve"> </w:t>
      </w:r>
      <w:r w:rsidRPr="00197D6B">
        <w:t>roli může hrát i ztráta imunoreaktivity</w:t>
      </w:r>
      <w:r>
        <w:t xml:space="preserve"> zkoumaného </w:t>
      </w:r>
      <w:r w:rsidRPr="00197D6B">
        <w:t>antigenu</w:t>
      </w:r>
      <w:r>
        <w:t xml:space="preserve"> </w:t>
      </w:r>
      <w:r w:rsidRPr="00197D6B">
        <w:t>ve formalinem fixovaných archivovaných parafinových</w:t>
      </w:r>
      <w:r>
        <w:t xml:space="preserve"> </w:t>
      </w:r>
      <w:r w:rsidRPr="00197D6B">
        <w:t>bločcích, i když vzhledem k</w:t>
      </w:r>
      <w:r>
        <w:t> </w:t>
      </w:r>
      <w:r w:rsidRPr="00197D6B">
        <w:t>prakticky</w:t>
      </w:r>
      <w:r>
        <w:t xml:space="preserve"> </w:t>
      </w:r>
      <w:r w:rsidRPr="00197D6B">
        <w:t>100% expresi adenoidně cystického karcinomu se</w:t>
      </w:r>
      <w:r>
        <w:t xml:space="preserve"> </w:t>
      </w:r>
      <w:r w:rsidRPr="00197D6B">
        <w:t>posledně uvedená příčina jeví jako méně pravděpodobná.</w:t>
      </w:r>
    </w:p>
    <w:p w:rsidR="00517E70" w:rsidRPr="005C5F8C" w:rsidRDefault="00517E70" w:rsidP="00203F1C">
      <w:pPr>
        <w:autoSpaceDE w:val="0"/>
        <w:autoSpaceDN w:val="0"/>
        <w:adjustRightInd w:val="0"/>
        <w:spacing w:line="360" w:lineRule="auto"/>
        <w:jc w:val="both"/>
      </w:pPr>
      <w:r>
        <w:t>Imunohistochemická detekce C-K</w:t>
      </w:r>
      <w:r w:rsidRPr="00197D6B">
        <w:t>it onkoproteinu</w:t>
      </w:r>
      <w:r>
        <w:t xml:space="preserve"> </w:t>
      </w:r>
      <w:r w:rsidRPr="00197D6B">
        <w:t>se pro prog</w:t>
      </w:r>
      <w:r>
        <w:t xml:space="preserve">nózu </w:t>
      </w:r>
      <w:r w:rsidRPr="00197D6B">
        <w:t>ka</w:t>
      </w:r>
      <w:r>
        <w:t>rcinomů slinných žláz</w:t>
      </w:r>
      <w:r w:rsidRPr="00197D6B">
        <w:t xml:space="preserve"> jeví</w:t>
      </w:r>
      <w:r>
        <w:t xml:space="preserve"> jako nepřínosná.</w:t>
      </w:r>
    </w:p>
    <w:p w:rsidR="00517E70" w:rsidRDefault="00517E70" w:rsidP="00203F1C">
      <w:pPr>
        <w:spacing w:line="360" w:lineRule="auto"/>
        <w:jc w:val="both"/>
        <w:rPr>
          <w:bCs/>
          <w:i/>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autoSpaceDE w:val="0"/>
        <w:autoSpaceDN w:val="0"/>
        <w:adjustRightInd w:val="0"/>
        <w:spacing w:line="360" w:lineRule="auto"/>
        <w:ind w:firstLine="1080"/>
        <w:jc w:val="both"/>
        <w:rPr>
          <w:rFonts w:ascii="new times roman" w:hAnsi="new times roman" w:cs="NewCenturySchlbkCE-Bold"/>
          <w:b/>
          <w:bCs/>
        </w:rPr>
      </w:pPr>
      <w:r>
        <w:rPr>
          <w:rFonts w:ascii="new times roman" w:hAnsi="new times roman" w:cs="NewCenturySchlbkCE-Bold"/>
          <w:b/>
          <w:bCs/>
        </w:rPr>
        <w:t>4.1.6  Závěr  práce – C-Kit gen.</w:t>
      </w:r>
    </w:p>
    <w:p w:rsidR="00517E70" w:rsidRDefault="00517E70" w:rsidP="00203F1C">
      <w:pPr>
        <w:autoSpaceDE w:val="0"/>
        <w:autoSpaceDN w:val="0"/>
        <w:adjustRightInd w:val="0"/>
        <w:spacing w:line="360" w:lineRule="auto"/>
        <w:ind w:firstLine="1080"/>
        <w:jc w:val="both"/>
        <w:rPr>
          <w:rFonts w:ascii="new times roman" w:hAnsi="new times roman" w:cs="NewCenturySchlbkCE-Bold"/>
          <w:b/>
          <w:bCs/>
        </w:rPr>
      </w:pPr>
    </w:p>
    <w:p w:rsidR="00517E70" w:rsidRDefault="00517E70" w:rsidP="00203F1C">
      <w:pPr>
        <w:numPr>
          <w:ilvl w:val="0"/>
          <w:numId w:val="31"/>
        </w:numPr>
        <w:autoSpaceDE w:val="0"/>
        <w:autoSpaceDN w:val="0"/>
        <w:adjustRightInd w:val="0"/>
        <w:spacing w:line="360" w:lineRule="auto"/>
        <w:ind w:left="0" w:firstLine="1080"/>
        <w:jc w:val="both"/>
        <w:rPr>
          <w:rFonts w:ascii="new times roman" w:hAnsi="new times roman" w:cs="NewCenturySchlbkCE-Bold"/>
          <w:b/>
          <w:bCs/>
        </w:rPr>
      </w:pPr>
      <w:r>
        <w:rPr>
          <w:rFonts w:ascii="new times roman" w:hAnsi="new times roman" w:cs="NewCenturySchlbkCE-Bold"/>
          <w:bCs/>
        </w:rPr>
        <w:t>Imunohistochemická exprese C-K</w:t>
      </w:r>
      <w:r w:rsidRPr="00D31B96">
        <w:rPr>
          <w:rFonts w:ascii="new times roman" w:hAnsi="new times roman" w:cs="NewCenturySchlbkCE-Bold"/>
          <w:bCs/>
        </w:rPr>
        <w:t>it genu je  ve většině  nádorových jednotek pozitivní</w:t>
      </w:r>
      <w:r>
        <w:rPr>
          <w:rFonts w:ascii="new times roman" w:hAnsi="new times roman" w:cs="NewCenturySchlbkCE-Bold"/>
          <w:bCs/>
        </w:rPr>
        <w:t xml:space="preserve"> (v 79%)</w:t>
      </w:r>
      <w:r w:rsidRPr="00D31B96">
        <w:rPr>
          <w:rFonts w:ascii="new times roman" w:hAnsi="new times roman" w:cs="NewCenturySchlbkCE-Bold"/>
          <w:bCs/>
        </w:rPr>
        <w:t xml:space="preserve">, s největší pravidelností </w:t>
      </w:r>
      <w:r>
        <w:rPr>
          <w:rFonts w:ascii="new times roman" w:hAnsi="new times roman" w:cs="NewCenturySchlbkCE-Bold"/>
          <w:bCs/>
        </w:rPr>
        <w:t>C-K</w:t>
      </w:r>
      <w:r w:rsidRPr="00D31B96">
        <w:rPr>
          <w:rFonts w:ascii="new times roman" w:hAnsi="new times roman" w:cs="NewCenturySchlbkCE-Bold"/>
          <w:bCs/>
        </w:rPr>
        <w:t xml:space="preserve">it gen exprimuje adenoidně cystický  a </w:t>
      </w:r>
      <w:r>
        <w:rPr>
          <w:rFonts w:ascii="new times roman" w:hAnsi="new times roman" w:cs="NewCenturySchlbkCE-Bold"/>
          <w:bCs/>
        </w:rPr>
        <w:t>salivár</w:t>
      </w:r>
      <w:r w:rsidRPr="00D31B96">
        <w:rPr>
          <w:rFonts w:ascii="new times roman" w:hAnsi="new times roman" w:cs="NewCenturySchlbkCE-Bold"/>
          <w:bCs/>
        </w:rPr>
        <w:t>ní duktální karcinom.</w:t>
      </w:r>
      <w:r>
        <w:rPr>
          <w:rFonts w:ascii="new times roman" w:hAnsi="new times roman" w:cs="NewCenturySchlbkCE-Bold"/>
          <w:b/>
          <w:bCs/>
        </w:rPr>
        <w:t xml:space="preserve"> </w:t>
      </w:r>
    </w:p>
    <w:p w:rsidR="00517E70" w:rsidRPr="00D31B96" w:rsidRDefault="00517E70" w:rsidP="00203F1C">
      <w:pPr>
        <w:numPr>
          <w:ilvl w:val="0"/>
          <w:numId w:val="31"/>
        </w:numPr>
        <w:autoSpaceDE w:val="0"/>
        <w:autoSpaceDN w:val="0"/>
        <w:adjustRightInd w:val="0"/>
        <w:spacing w:line="360" w:lineRule="auto"/>
        <w:ind w:left="0" w:firstLine="1080"/>
        <w:jc w:val="both"/>
        <w:rPr>
          <w:rFonts w:ascii="new times roman" w:hAnsi="new times roman" w:cs="NewCenturySchlbkCE-Bold"/>
          <w:bCs/>
        </w:rPr>
      </w:pPr>
      <w:r>
        <w:rPr>
          <w:rFonts w:ascii="new times roman" w:hAnsi="new times roman" w:cs="NewCenturySchlbkCE-Bold"/>
          <w:bCs/>
        </w:rPr>
        <w:t>Exprese C-K</w:t>
      </w:r>
      <w:r w:rsidRPr="00D31B96">
        <w:rPr>
          <w:rFonts w:ascii="new times roman" w:hAnsi="new times roman" w:cs="NewCenturySchlbkCE-Bold"/>
          <w:bCs/>
        </w:rPr>
        <w:t>it genu</w:t>
      </w:r>
      <w:r>
        <w:rPr>
          <w:rFonts w:ascii="new times roman" w:hAnsi="new times roman" w:cs="NewCenturySchlbkCE-Bold"/>
          <w:bCs/>
        </w:rPr>
        <w:t xml:space="preserve"> nekoreluje </w:t>
      </w:r>
      <w:r w:rsidRPr="00D31B96">
        <w:rPr>
          <w:rFonts w:ascii="new times roman" w:hAnsi="new times roman" w:cs="NewCenturySchlbkCE-Bold"/>
          <w:bCs/>
        </w:rPr>
        <w:t>u  salivárních karcinomů</w:t>
      </w:r>
      <w:r>
        <w:rPr>
          <w:rFonts w:ascii="new times roman" w:hAnsi="new times roman" w:cs="NewCenturySchlbkCE-Bold"/>
          <w:bCs/>
        </w:rPr>
        <w:t xml:space="preserve"> s délkou přežití, </w:t>
      </w:r>
      <w:r w:rsidRPr="00D31B96">
        <w:rPr>
          <w:rFonts w:ascii="new times roman" w:hAnsi="new times roman" w:cs="NewCenturySchlbkCE-Bold"/>
          <w:bCs/>
        </w:rPr>
        <w:t>nemá prognostický význam</w:t>
      </w:r>
      <w:r>
        <w:rPr>
          <w:rFonts w:ascii="new times roman" w:hAnsi="new times roman" w:cs="NewCenturySchlbkCE-Bold"/>
          <w:bCs/>
        </w:rPr>
        <w:t>.</w:t>
      </w: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autoSpaceDE w:val="0"/>
        <w:autoSpaceDN w:val="0"/>
        <w:adjustRightInd w:val="0"/>
        <w:spacing w:line="360" w:lineRule="auto"/>
        <w:ind w:left="1080"/>
        <w:jc w:val="both"/>
        <w:rPr>
          <w:rFonts w:ascii="new times roman" w:hAnsi="new times roman" w:cs="NewCenturySchlbkCE-Bold"/>
          <w:b/>
          <w:bCs/>
        </w:rPr>
      </w:pPr>
    </w:p>
    <w:p w:rsidR="00517E70" w:rsidRDefault="00517E70" w:rsidP="00203F1C">
      <w:pPr>
        <w:autoSpaceDE w:val="0"/>
        <w:autoSpaceDN w:val="0"/>
        <w:adjustRightInd w:val="0"/>
        <w:jc w:val="both"/>
        <w:rPr>
          <w:color w:val="FF000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Pr="003B6E4F" w:rsidRDefault="00517E70" w:rsidP="00203F1C">
      <w:pPr>
        <w:autoSpaceDE w:val="0"/>
        <w:autoSpaceDN w:val="0"/>
        <w:adjustRightInd w:val="0"/>
        <w:jc w:val="both"/>
        <w:rPr>
          <w:rFonts w:ascii="NewCenturySchlbkCE-Roman" w:hAnsi="NewCenturySchlbkCE-Roman" w:cs="NewCenturySchlbkCE-Roman"/>
          <w:color w:val="FF0000"/>
          <w:sz w:val="20"/>
          <w:szCs w:val="20"/>
        </w:rPr>
      </w:pPr>
    </w:p>
    <w:p w:rsidR="00517E70" w:rsidRDefault="00517E70" w:rsidP="00203F1C">
      <w:pPr>
        <w:spacing w:line="360" w:lineRule="auto"/>
        <w:jc w:val="both"/>
        <w:rPr>
          <w:bCs/>
          <w:iCs/>
          <w:color w:val="FF0000"/>
        </w:rPr>
      </w:pPr>
    </w:p>
    <w:p w:rsidR="00517E70" w:rsidRDefault="00517E70" w:rsidP="00203F1C">
      <w:pPr>
        <w:spacing w:line="360" w:lineRule="auto"/>
        <w:jc w:val="both"/>
        <w:rPr>
          <w:b/>
          <w:bCs/>
        </w:rPr>
      </w:pPr>
    </w:p>
    <w:p w:rsidR="00517E70" w:rsidRDefault="00517E70" w:rsidP="00203F1C">
      <w:pPr>
        <w:spacing w:line="360" w:lineRule="auto"/>
        <w:jc w:val="both"/>
        <w:rPr>
          <w:b/>
          <w:bCs/>
        </w:rPr>
      </w:pPr>
    </w:p>
    <w:p w:rsidR="00517E70" w:rsidRDefault="00517E70" w:rsidP="00203F1C">
      <w:pPr>
        <w:spacing w:line="360" w:lineRule="auto"/>
        <w:jc w:val="both"/>
        <w:rPr>
          <w:b/>
          <w:bCs/>
        </w:rPr>
      </w:pPr>
      <w:r>
        <w:rPr>
          <w:b/>
          <w:bCs/>
        </w:rPr>
        <w:t xml:space="preserve">4.2.  MYB  gen </w:t>
      </w:r>
    </w:p>
    <w:p w:rsidR="00517E70" w:rsidRDefault="00517E70" w:rsidP="00203F1C">
      <w:pPr>
        <w:spacing w:line="360" w:lineRule="auto"/>
        <w:jc w:val="both"/>
        <w:rPr>
          <w:bCs/>
          <w:i/>
          <w:color w:val="FF0000"/>
        </w:rPr>
      </w:pPr>
    </w:p>
    <w:p w:rsidR="00517E70" w:rsidRDefault="00517E70" w:rsidP="00203F1C">
      <w:pPr>
        <w:autoSpaceDE w:val="0"/>
        <w:autoSpaceDN w:val="0"/>
        <w:adjustRightInd w:val="0"/>
        <w:spacing w:line="360" w:lineRule="auto"/>
        <w:jc w:val="both"/>
        <w:rPr>
          <w:rFonts w:ascii="new times roman" w:hAnsi="new times roman" w:cs="NewCenturySchlbkCE-Bold"/>
          <w:b/>
          <w:bCs/>
        </w:rPr>
      </w:pPr>
      <w:r>
        <w:rPr>
          <w:rFonts w:ascii="new times roman" w:hAnsi="new times roman" w:cs="NewCenturySchlbkCE-Bold"/>
          <w:b/>
          <w:bCs/>
        </w:rPr>
        <w:t xml:space="preserve">4.2.1 Soubor pacientů </w:t>
      </w:r>
    </w:p>
    <w:p w:rsidR="00517E70" w:rsidRDefault="00517E70" w:rsidP="00203F1C">
      <w:pPr>
        <w:autoSpaceDE w:val="0"/>
        <w:autoSpaceDN w:val="0"/>
        <w:adjustRightInd w:val="0"/>
        <w:spacing w:line="360" w:lineRule="auto"/>
        <w:jc w:val="both"/>
        <w:rPr>
          <w:rFonts w:ascii="new times roman" w:hAnsi="new times roman" w:cs="NewCenturySchlbkCE-Bold"/>
          <w:b/>
          <w:bCs/>
          <w:color w:val="000000"/>
        </w:rPr>
      </w:pP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color w:val="000000"/>
        </w:rPr>
        <w:t>Z registru nádorů</w:t>
      </w:r>
      <w:r>
        <w:rPr>
          <w:rFonts w:ascii="new times roman" w:hAnsi="new times roman" w:cs="NewCenturySchlbkCE-Roman"/>
        </w:rPr>
        <w:t xml:space="preserve">  slinných  žláz Šiklova patologického ústavu v Plzni byly vyhledány archivované materiály 31 nemocných léčených pro ACC v letech 1989-2014 u nichž byla dostupná relevantní klinická data. 8 vzorků bylo pro poškození</w:t>
      </w:r>
      <w:r>
        <w:rPr>
          <w:rFonts w:ascii="new times roman" w:hAnsi="new times roman" w:cs="NewCenturySchlbkCE-Roman"/>
          <w:color w:val="000000"/>
        </w:rPr>
        <w:t xml:space="preserve"> DNA</w:t>
      </w:r>
      <w:r>
        <w:rPr>
          <w:rFonts w:ascii="new times roman" w:hAnsi="new times roman" w:cs="NewCenturySchlbkCE-Roman"/>
          <w:color w:val="C00000"/>
        </w:rPr>
        <w:t xml:space="preserve"> </w:t>
      </w:r>
      <w:r>
        <w:rPr>
          <w:rFonts w:ascii="new times roman" w:hAnsi="new times roman" w:cs="NewCenturySchlbkCE-Roman"/>
        </w:rPr>
        <w:t>ze souboru vyřazeno. Celkem tedy bylo analyzováno 23 vzorků (viz tab. č.6).</w:t>
      </w: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rPr>
        <w:t xml:space="preserve">V souboru bylo 9 nemocných mužského a 14 ženského pohlaví. Věk všech nemocných se pohyboval v rozmezí 24 až 84 let (průměr 57) let. V gl. parotis, gl. submandibularis, gl. sublingualis  a v malých slinných žlázách bylo lokalizováno 7, 7, 2 resp. 7 karcinomů. </w:t>
      </w:r>
    </w:p>
    <w:p w:rsidR="00517E70" w:rsidRDefault="00517E70" w:rsidP="00203F1C">
      <w:pPr>
        <w:autoSpaceDE w:val="0"/>
        <w:autoSpaceDN w:val="0"/>
        <w:adjustRightInd w:val="0"/>
        <w:spacing w:line="360" w:lineRule="auto"/>
        <w:jc w:val="both"/>
        <w:rPr>
          <w:rFonts w:ascii="new times roman" w:hAnsi="new times roman" w:cs="NewCenturySchlbkCE-Roman"/>
          <w:color w:val="000000"/>
        </w:rPr>
      </w:pPr>
      <w:r>
        <w:rPr>
          <w:rFonts w:ascii="new times roman" w:hAnsi="new times roman" w:cs="NewCenturySchlbkCE-Roman"/>
        </w:rPr>
        <w:t>Sedm nemocných bylo v době stanovení diagnózy ve stadiu T1, 6 ve stadiu T2, 5 ve stadiu T3 a 5 ve stadiu T4. Metastázy do krčních uzlin v rozs</w:t>
      </w:r>
      <w:r>
        <w:rPr>
          <w:rFonts w:ascii="new times roman" w:hAnsi="new times roman" w:cs="NewCenturySchlbkCE-Roman"/>
          <w:color w:val="000000"/>
        </w:rPr>
        <w:t xml:space="preserve">ahu N1 měli 3 pacienti, v rozsahu </w:t>
      </w:r>
      <w:r>
        <w:rPr>
          <w:rFonts w:ascii="new times roman" w:hAnsi="new times roman" w:cs="NewCenturySchlbkCE-Roman"/>
        </w:rPr>
        <w:t xml:space="preserve">N2b </w:t>
      </w:r>
      <w:r>
        <w:rPr>
          <w:rFonts w:ascii="new times roman" w:hAnsi="new times roman" w:cs="NewCenturySchlbkCE-Roman"/>
          <w:color w:val="000000"/>
        </w:rPr>
        <w:t xml:space="preserve">byly zjištěny u 2 pacientů. </w:t>
      </w:r>
      <w:r>
        <w:rPr>
          <w:rFonts w:ascii="new times roman" w:hAnsi="new times roman" w:cs="NewCenturySchlbkCE-Roman"/>
        </w:rPr>
        <w:t>Vzdálené metastázy měl 1 pacient.</w:t>
      </w:r>
      <w:r>
        <w:rPr>
          <w:rFonts w:ascii="new times roman" w:hAnsi="new times roman" w:cs="NewCenturySchlbkCE-Roman"/>
          <w:color w:val="000000"/>
        </w:rPr>
        <w:t xml:space="preserve"> Ve 2, </w:t>
      </w:r>
      <w:smartTag w:uri="urn:schemas-microsoft-com:office:smarttags" w:element="metricconverter">
        <w:smartTagPr>
          <w:attr w:name="ProductID" w:val="12 a"/>
        </w:smartTagPr>
        <w:r>
          <w:rPr>
            <w:rFonts w:ascii="new times roman" w:hAnsi="new times roman" w:cs="NewCenturySchlbkCE-Roman"/>
            <w:color w:val="000000"/>
          </w:rPr>
          <w:t>12 a</w:t>
        </w:r>
      </w:smartTag>
      <w:r>
        <w:rPr>
          <w:rFonts w:ascii="new times roman" w:hAnsi="new times roman" w:cs="NewCenturySchlbkCE-Roman"/>
          <w:color w:val="000000"/>
        </w:rPr>
        <w:t xml:space="preserve"> 9 případech byl stupeň diferenciace nádoru I, II a III, respektive. </w:t>
      </w:r>
    </w:p>
    <w:p w:rsidR="00517E70" w:rsidRDefault="00517E70" w:rsidP="00203F1C">
      <w:pPr>
        <w:autoSpaceDE w:val="0"/>
        <w:autoSpaceDN w:val="0"/>
        <w:adjustRightInd w:val="0"/>
        <w:spacing w:line="360" w:lineRule="auto"/>
        <w:jc w:val="both"/>
        <w:rPr>
          <w:rFonts w:ascii="new times roman" w:hAnsi="new times roman" w:cs="NewCenturySchlbkCE-Roman"/>
          <w:strike/>
          <w:color w:val="000000"/>
        </w:rPr>
      </w:pPr>
      <w:r>
        <w:rPr>
          <w:rFonts w:ascii="new times roman" w:hAnsi="new times roman" w:cs="NewCenturySchlbkCE-Roman"/>
          <w:color w:val="000000"/>
        </w:rPr>
        <w:t xml:space="preserve">7 submandibulárních a 2 sublinguální nádory byly exstirpovány in toto se žlázou. Šest ze sedmi parotických tumorů bylo odstraněno totální a 1 konzervativní parotidektomií. 11 ze 17 operovaných pacientů dostalo adjuvantní radioterapii a 5  radiochemoterapii. Pouze operací byli léčeni 4 pacienti. Z 5 pacientů, kteří nebyli operováni, byli dva léčeni radiochemoterapií, jeden kurativní radioterapií, jeden paliativní radioterapií a jeden symptomaticky. </w:t>
      </w:r>
    </w:p>
    <w:p w:rsidR="00517E70" w:rsidRDefault="00517E70" w:rsidP="00203F1C">
      <w:pPr>
        <w:autoSpaceDE w:val="0"/>
        <w:autoSpaceDN w:val="0"/>
        <w:adjustRightInd w:val="0"/>
        <w:spacing w:line="360" w:lineRule="auto"/>
        <w:jc w:val="both"/>
        <w:rPr>
          <w:rFonts w:ascii="new times roman" w:hAnsi="new times roman" w:cs="NewCenturySchlbkCE-Roman"/>
          <w:color w:val="99CC00"/>
        </w:rPr>
      </w:pPr>
      <w:r>
        <w:rPr>
          <w:rFonts w:ascii="new times roman" w:hAnsi="new times roman" w:cs="NewCenturySchlbkCE-Roman"/>
        </w:rPr>
        <w:t xml:space="preserve">Z celkové skupiny 23 pacientů jich 17 žije, z toho 1 se známkami onemocnění, 6 pacientů na nádor zemřelo. Rozsah sledovacího intervalu se pohyboval od  9-282 měsíců, (průměr 62,6 měsíců). </w:t>
      </w:r>
    </w:p>
    <w:p w:rsidR="00517E70" w:rsidRPr="005C18B1" w:rsidRDefault="00517E70" w:rsidP="00203F1C">
      <w:pPr>
        <w:autoSpaceDE w:val="0"/>
        <w:autoSpaceDN w:val="0"/>
        <w:adjustRightInd w:val="0"/>
        <w:spacing w:line="360" w:lineRule="auto"/>
        <w:jc w:val="both"/>
        <w:rPr>
          <w:rFonts w:ascii="new times roman" w:hAnsi="new times roman" w:cs="NewCenturySchlbkCE-Roman"/>
          <w:color w:val="000000"/>
        </w:rPr>
      </w:pPr>
      <w:r w:rsidRPr="005C18B1">
        <w:rPr>
          <w:rFonts w:ascii="new times roman" w:hAnsi="new times roman" w:cs="NewCenturySchlbkCE-Roman"/>
          <w:color w:val="000000"/>
        </w:rPr>
        <w:t>Disease free interval (DFI)  v celém souboru činil u MYB pozitivních od  7,0 do 285,8 (průměrně 64,5) měsíců.  od 3,5  do 163,6 (průměrně 63,7) u MYB negativních pacientů . Klinické charakteristiky  souboru jsou uvedeny v tabulce č</w:t>
      </w:r>
      <w:r>
        <w:rPr>
          <w:rFonts w:ascii="new times roman" w:hAnsi="new times roman" w:cs="NewCenturySchlbkCE-Roman"/>
          <w:color w:val="000000"/>
        </w:rPr>
        <w:t>.6</w:t>
      </w:r>
      <w:r w:rsidRPr="005C18B1">
        <w:rPr>
          <w:rFonts w:ascii="new times roman" w:hAnsi="new times roman" w:cs="NewCenturySchlbkCE-Roman"/>
          <w:color w:val="000000"/>
        </w:rPr>
        <w:t>.</w:t>
      </w: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spacing w:line="360" w:lineRule="auto"/>
        <w:jc w:val="both"/>
        <w:rPr>
          <w:bCs/>
        </w:rPr>
      </w:pPr>
    </w:p>
    <w:p w:rsidR="00517E70" w:rsidRDefault="00517E70" w:rsidP="00203F1C">
      <w:pPr>
        <w:spacing w:line="360" w:lineRule="auto"/>
        <w:jc w:val="both"/>
        <w:rPr>
          <w:bCs/>
        </w:rPr>
      </w:pPr>
    </w:p>
    <w:p w:rsidR="00517E70" w:rsidRPr="00A04009" w:rsidRDefault="00517E70" w:rsidP="00203F1C">
      <w:pPr>
        <w:spacing w:after="120" w:line="360" w:lineRule="auto"/>
        <w:jc w:val="both"/>
        <w:rPr>
          <w:b/>
          <w:iCs/>
        </w:rPr>
      </w:pPr>
      <w:r>
        <w:rPr>
          <w:b/>
          <w:iCs/>
        </w:rPr>
        <w:t xml:space="preserve">4.2.2 </w:t>
      </w:r>
      <w:r w:rsidRPr="00A04009">
        <w:rPr>
          <w:b/>
          <w:iCs/>
        </w:rPr>
        <w:t>Příprava FFPE vzorků</w:t>
      </w:r>
    </w:p>
    <w:p w:rsidR="00517E70" w:rsidRDefault="00517E70" w:rsidP="00203F1C">
      <w:pPr>
        <w:spacing w:line="360" w:lineRule="auto"/>
        <w:jc w:val="both"/>
      </w:pPr>
      <w:r>
        <w:t>Vzorky pro vyšetření metodou interfázní FISH byly připraveny z formalinem fixované a v parafinu zalité (FFPE) tkáně. Příprava FFPE vzorků byla zahájena umístěním 4 μm řezu na povrch pozitivně nabitých mikroskopických skel. Oblast s nádorovými buňkami pro FISH analýzu byla určena a vyznačena na sklech s řezem tkáně obarvené v hematoxylinu-eosinu. Deparafinizace proběhla v dvakrát po sobě jdoucím xylenu po dobu 10 min., poté v dvakrát po sobě jdoucím 96 % etanolu po dobu 5 min. následovaný opláchnutím v deionizované vodě.</w:t>
      </w:r>
    </w:p>
    <w:p w:rsidR="00517E70" w:rsidRPr="00A04009" w:rsidRDefault="00517E70" w:rsidP="00203F1C">
      <w:pPr>
        <w:spacing w:line="360" w:lineRule="auto"/>
        <w:jc w:val="both"/>
        <w:rPr>
          <w:iCs/>
        </w:rPr>
      </w:pPr>
    </w:p>
    <w:p w:rsidR="00517E70" w:rsidRPr="00A04009" w:rsidRDefault="00517E70" w:rsidP="00203F1C">
      <w:pPr>
        <w:spacing w:after="120" w:line="360" w:lineRule="auto"/>
        <w:jc w:val="both"/>
        <w:rPr>
          <w:b/>
          <w:iCs/>
        </w:rPr>
      </w:pPr>
      <w:r>
        <w:rPr>
          <w:b/>
          <w:iCs/>
        </w:rPr>
        <w:t xml:space="preserve">4.2.3 </w:t>
      </w:r>
      <w:r w:rsidRPr="00A04009">
        <w:rPr>
          <w:b/>
          <w:iCs/>
        </w:rPr>
        <w:t>FISH postup</w:t>
      </w:r>
    </w:p>
    <w:p w:rsidR="00517E70" w:rsidRDefault="00517E70" w:rsidP="00203F1C">
      <w:pPr>
        <w:spacing w:line="360" w:lineRule="auto"/>
        <w:jc w:val="both"/>
      </w:pPr>
      <w:r>
        <w:t xml:space="preserve">Vzorky byly inkubovány v citrátovém roztoku (1x Target Retrieval Solution Citrate pH 6 (DAKO, Glostrup, Denmark)) při </w:t>
      </w:r>
      <w:smartTag w:uri="urn:schemas-microsoft-com:office:smarttags" w:element="metricconverter">
        <w:smartTagPr>
          <w:attr w:name="ProductID" w:val="95°C"/>
        </w:smartTagPr>
        <w:r>
          <w:t>95°C</w:t>
        </w:r>
      </w:smartTag>
      <w:r>
        <w:t xml:space="preserve">  po dobu 40 min., pak zchlazeny ve stejném roztoku na pokojovou teplotu a poté opláchnuty v deionizované vodě. Následovalo natrávení vzorků v proteolytickém roztoku pepsinu o výsledné koncentraci 0,5 mg/ml (Sigma Aldrich, St. Louis, MO, USA) v 0,01M HCl při </w:t>
      </w:r>
      <w:smartTag w:uri="urn:schemas-microsoft-com:office:smarttags" w:element="metricconverter">
        <w:smartTagPr>
          <w:attr w:name="ProductID" w:val="37°C"/>
        </w:smartTagPr>
        <w:r>
          <w:t>37°C</w:t>
        </w:r>
      </w:smartTag>
      <w:r>
        <w:t xml:space="preserve"> po dobu 30 min. Po natrávení byly preparáty opláchnuty v deionizované vodě, dehydratovány ve vzestupné alkoholové řadě (70%, 85%, 96% vždy po 2 min.) a následně vysušeny do odpaření veškerého etanolu. Pro detekci zlomu v genu MYB byla na předem vyznačenou oblast s  nádorovými buňkami aplikována komerčně dostupná fluorescenčně značené sonda ZytoLight ® SPEC MYB Dual Color Break Apart Probe (6q23.3) (ZytoVision GmbH, Bremerhaven, Germany). Pro detekci zlomu v gemu NFIB byla použita vlastní sonda smíchaná z BAC klonů RP11-408A13 (oranžově značený), RP11-549I12 (zeleně značený)(BlueGnome Ltd, Cambridge, UK), vody a LSI/WCP pufru (Vysis/Abbott Molecular, IL, USA) v poměru 1:1:1:7. Oblast se sondou byla překryta krycím sklem, jehož okraje byly zalepeny elastickým lepidlem (Marabu-Fixogum) proti vysychání. Skla byla vložena do ThermoBrite přístroje (StatSpin/Iris Sample Processing, Westwood, MA, USA), kde proběhla kodenaturace vzorků se sondou při teplotě </w:t>
      </w:r>
      <w:smartTag w:uri="urn:schemas-microsoft-com:office:smarttags" w:element="metricconverter">
        <w:smartTagPr>
          <w:attr w:name="ProductID" w:val="85°C"/>
        </w:smartTagPr>
        <w:r>
          <w:t>85°C</w:t>
        </w:r>
      </w:smartTag>
      <w:r>
        <w:t xml:space="preserve"> po dobu 8 min., následována hybridizací při </w:t>
      </w:r>
      <w:smartTag w:uri="urn:schemas-microsoft-com:office:smarttags" w:element="metricconverter">
        <w:smartTagPr>
          <w:attr w:name="ProductID" w:val="37 °C"/>
        </w:smartTagPr>
        <w:r>
          <w:t>37 °C</w:t>
        </w:r>
      </w:smartTag>
      <w:r>
        <w:t xml:space="preserve"> po dobu 16 hodin.</w:t>
      </w:r>
    </w:p>
    <w:p w:rsidR="00517E70" w:rsidRDefault="00517E70" w:rsidP="00203F1C">
      <w:pPr>
        <w:spacing w:line="360" w:lineRule="auto"/>
        <w:jc w:val="both"/>
      </w:pPr>
      <w:r>
        <w:t xml:space="preserve">Po hybridizaci byla sejmuta krycí skla, nespecificky navázaná sonda byla odstraněna promytím preparátů v posthybridizačním roztoku (2xSSC/0.3% NP-40) při teplotě </w:t>
      </w:r>
      <w:smartTag w:uri="urn:schemas-microsoft-com:office:smarttags" w:element="metricconverter">
        <w:smartTagPr>
          <w:attr w:name="ProductID" w:val="72°C"/>
        </w:smartTagPr>
        <w:r>
          <w:t>72°C</w:t>
        </w:r>
      </w:smartTag>
      <w:r>
        <w:t xml:space="preserve"> po dobu 2 min. a pak vysušena ve tmě. DNA interfázních jader byla vizualizována fluorescenčním barvivem diamidinofenylindolem - DAPI (VYSIS/Abbott, IL, USA). Poté byly mikroskopické preparáty ihned odečítány.</w:t>
      </w:r>
    </w:p>
    <w:p w:rsidR="00517E70" w:rsidRDefault="00517E70" w:rsidP="00203F1C">
      <w:pPr>
        <w:spacing w:line="360" w:lineRule="auto"/>
        <w:jc w:val="both"/>
      </w:pPr>
    </w:p>
    <w:p w:rsidR="00517E70" w:rsidRPr="00A04009" w:rsidRDefault="00517E70" w:rsidP="00203F1C">
      <w:pPr>
        <w:spacing w:after="120" w:line="360" w:lineRule="auto"/>
        <w:jc w:val="both"/>
        <w:rPr>
          <w:b/>
          <w:iCs/>
        </w:rPr>
      </w:pPr>
      <w:r>
        <w:rPr>
          <w:b/>
          <w:iCs/>
        </w:rPr>
        <w:t xml:space="preserve">4.2.4. </w:t>
      </w:r>
      <w:r w:rsidRPr="00A04009">
        <w:rPr>
          <w:b/>
          <w:iCs/>
        </w:rPr>
        <w:t>FISH interpretace</w:t>
      </w:r>
      <w:r>
        <w:rPr>
          <w:b/>
          <w:iCs/>
        </w:rPr>
        <w:t xml:space="preserve"> a cut off</w:t>
      </w:r>
    </w:p>
    <w:p w:rsidR="00517E70" w:rsidRDefault="00517E70" w:rsidP="00203F1C">
      <w:pPr>
        <w:spacing w:line="360" w:lineRule="auto"/>
        <w:jc w:val="both"/>
      </w:pPr>
      <w:r>
        <w:t>Pro odečítání fluorescenčních signálů byl použit epifluorescenční mikroskop Olympus BX51 se 100 násobně zvětšujícím objektivem a sadou fluorescenčních filtrů: Triple Band Pass filtr (DAPI/SpectrumGreen/SpectrumOrange) a Single Band Pass filtry (SpectrumGreen a SpectrumOrange). Vyhodnocení zlomu bylo provedeno analýzou 100 náhodně vybraných a vzájemně se nepřekrývajících nádorových jader (obr.5).</w:t>
      </w:r>
    </w:p>
    <w:p w:rsidR="00517E70" w:rsidRDefault="00517E70" w:rsidP="00203F1C">
      <w:pPr>
        <w:spacing w:line="360" w:lineRule="auto"/>
        <w:jc w:val="both"/>
      </w:pPr>
      <w:r>
        <w:t>Hranice pozitivity pro break-apart sondy byla stanovena na vlastní kontrolní skupině 5 preparátů s normálním histologickým nálezem, u kterých byl vyhodnocen počet jader s pozitivním statusem, jejich průměr a směrodatná odchylka (SD). Cut-off hodnota byla definována jako součet průměru + 3SD, zaokrouhlené na celé desítky % nahoru. Pro obě použité sondy byla hodnota cut-off 10%.</w:t>
      </w: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r>
        <w:t>Obr.č.5. FISH MYB pozitivní reakce u ACC</w:t>
      </w: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spacing w:line="360" w:lineRule="auto"/>
        <w:jc w:val="both"/>
        <w:rPr>
          <w:color w:val="FF0000"/>
        </w:rPr>
      </w:pPr>
      <w:r>
        <w:rPr>
          <w:noProof/>
        </w:rPr>
        <w:pict>
          <v:shape id="_x0000_i1029" type="#_x0000_t75" alt="http://amail.centrum.cz/download.php?msg_id=0000000013ab00018ac801814de1&amp;idx=3&amp;filename=MYB_break_apart_positive.JPG&amp;r=10.626219115271135" style="width:267.75pt;height:226.5pt;visibility:visible">
            <v:imagedata r:id="rId12" o:title=""/>
          </v:shape>
        </w:pict>
      </w:r>
    </w:p>
    <w:p w:rsidR="00517E70" w:rsidRDefault="00517E70" w:rsidP="00203F1C">
      <w:pPr>
        <w:spacing w:line="360" w:lineRule="auto"/>
        <w:jc w:val="both"/>
        <w:rPr>
          <w:color w:val="FF0000"/>
        </w:rPr>
      </w:pPr>
    </w:p>
    <w:p w:rsidR="00517E70" w:rsidRDefault="00517E70" w:rsidP="00203F1C">
      <w:pPr>
        <w:spacing w:line="360" w:lineRule="auto"/>
        <w:jc w:val="both"/>
        <w:rPr>
          <w:color w:val="FF0000"/>
        </w:rPr>
      </w:pPr>
    </w:p>
    <w:p w:rsidR="00517E70" w:rsidRDefault="00517E70" w:rsidP="00203F1C">
      <w:pPr>
        <w:spacing w:line="360" w:lineRule="auto"/>
        <w:jc w:val="both"/>
      </w:pP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Bold"/>
          <w:b/>
          <w:bCs/>
        </w:rPr>
      </w:pPr>
      <w:r>
        <w:rPr>
          <w:rFonts w:ascii="new times roman" w:hAnsi="new times roman" w:cs="NewCenturySchlbkCE-Bold"/>
          <w:b/>
          <w:bCs/>
        </w:rPr>
        <w:t xml:space="preserve">4.2.5 Statistické metody zhodnocení </w:t>
      </w: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rPr>
        <w:t xml:space="preserve">Byla provedena Kaplan-Meierova analýza přežití. Jako cenzorovaní byli označeni pacienti přeživší. Rozdíl v celkovém přežití u pacientů s MYB pozitivními a s MYB negativními nádory byl hodnocen pomocí log-rank testu. Stav tohoto genu byl korelován s věkem a pohlavím pacientů, disease-free intervalem (DFI), přítomností uzlinových a vzdálených metastáz, perineurální invazí a histopatologickým gradingem pomocí Fisherova exaktniho testu. Hranice statistické významnosti byla určena p= 0,05. </w:t>
      </w: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Bold"/>
          <w:b/>
          <w:bCs/>
        </w:rPr>
      </w:pPr>
      <w:r>
        <w:rPr>
          <w:rFonts w:ascii="new times roman" w:hAnsi="new times roman" w:cs="NewCenturySchlbkCE-Bold"/>
          <w:b/>
          <w:bCs/>
        </w:rPr>
        <w:t xml:space="preserve">4.2.6  Výsledky </w:t>
      </w:r>
    </w:p>
    <w:p w:rsidR="00517E70" w:rsidRDefault="00517E70" w:rsidP="00203F1C">
      <w:pPr>
        <w:autoSpaceDE w:val="0"/>
        <w:autoSpaceDN w:val="0"/>
        <w:adjustRightInd w:val="0"/>
        <w:spacing w:line="360" w:lineRule="auto"/>
        <w:jc w:val="both"/>
        <w:rPr>
          <w:rFonts w:ascii="new times roman" w:hAnsi="new times roman" w:cs="NewCenturySchlbkCE-Bold"/>
          <w:b/>
          <w:bCs/>
        </w:rPr>
      </w:pP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rPr>
        <w:t>Z celkového počtu 23 zkoumaných pacientů s ACC byl FISH metodou detekován zlom MYB genu  u 15 ( tj. 65%)  detekován  zlom (break) MYB genu. Z 15 MYB pozitivních zemřelo 6 pacientů, z 8 MYB negativních pacientů zemřel 1 pacient</w:t>
      </w:r>
      <w:r>
        <w:rPr>
          <w:rFonts w:ascii="new times roman" w:hAnsi="new times roman" w:cs="NewCenturySchlbkCE-Roman"/>
          <w:color w:val="000000"/>
        </w:rPr>
        <w:t>. Tedy 10leté kumulativní přežití</w:t>
      </w:r>
      <w:r>
        <w:rPr>
          <w:color w:val="000000"/>
        </w:rPr>
        <w:t xml:space="preserve"> u MYB pozitivních činilo 60% </w:t>
      </w:r>
      <w:r>
        <w:rPr>
          <w:rFonts w:ascii="new times roman" w:hAnsi="new times roman" w:cs="NewCenturySchlbkCE-Roman"/>
          <w:color w:val="000000"/>
        </w:rPr>
        <w:t xml:space="preserve">u MYB negativních </w:t>
      </w:r>
      <w:r>
        <w:rPr>
          <w:color w:val="000000"/>
        </w:rPr>
        <w:t xml:space="preserve">bylo 88,5 %, rozdíl </w:t>
      </w:r>
      <w:r>
        <w:rPr>
          <w:rFonts w:ascii="new times roman" w:hAnsi="new times roman" w:cs="NewCenturySchlbkCE-Roman"/>
          <w:color w:val="000000"/>
        </w:rPr>
        <w:t>nebyl statisticky signifikantní (</w:t>
      </w:r>
      <w:r>
        <w:rPr>
          <w:color w:val="000000"/>
        </w:rPr>
        <w:t xml:space="preserve">log rank test, p=0,23, </w:t>
      </w:r>
      <w:r>
        <w:rPr>
          <w:rFonts w:ascii="new times roman" w:hAnsi="new times roman" w:cs="NewCenturySchlbkCE-Roman"/>
          <w:color w:val="000000"/>
        </w:rPr>
        <w:t>viz graf č. 1)</w:t>
      </w:r>
      <w:r>
        <w:rPr>
          <w:rFonts w:ascii="new times roman" w:hAnsi="new times roman" w:cs="NewCenturySchlbkCE-Roman"/>
        </w:rPr>
        <w:t xml:space="preserve"> </w:t>
      </w: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rPr>
        <w:t>Graf. č. 1</w:t>
      </w: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rPr>
        <w:t>Celkové přežití a MYB status u pacientů s ACC</w:t>
      </w: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r>
        <w:rPr>
          <w:noProof/>
        </w:rPr>
        <w:pict>
          <v:shape id="_x0000_i1030" type="#_x0000_t75" alt="https://amail.centrum.cz/download.php?msg_id=0000000016d900021c6801a94dbe&amp;idx=5&amp;filename=Výstřižek1.JPG&amp;r=38.05047267248" style="width:387pt;height:246pt;visibility:visible">
            <v:imagedata r:id="rId13" o:title=""/>
          </v:shape>
        </w:pict>
      </w:r>
    </w:p>
    <w:p w:rsidR="00517E70" w:rsidRDefault="00517E70" w:rsidP="00203F1C">
      <w:pPr>
        <w:autoSpaceDE w:val="0"/>
        <w:autoSpaceDN w:val="0"/>
        <w:adjustRightInd w:val="0"/>
        <w:spacing w:line="360" w:lineRule="auto"/>
        <w:jc w:val="both"/>
        <w:rPr>
          <w:rFonts w:ascii="new times roman" w:hAnsi="new times roman" w:cs="NewCenturySchlbkCE-Roman"/>
        </w:rPr>
      </w:pPr>
    </w:p>
    <w:p w:rsidR="00517E70" w:rsidRDefault="00517E70" w:rsidP="00203F1C">
      <w:pPr>
        <w:autoSpaceDE w:val="0"/>
        <w:autoSpaceDN w:val="0"/>
        <w:adjustRightInd w:val="0"/>
        <w:spacing w:line="360" w:lineRule="auto"/>
        <w:jc w:val="both"/>
        <w:rPr>
          <w:rFonts w:ascii="new times roman" w:hAnsi="new times roman" w:cs="NewCenturySchlbkCE-Roman"/>
        </w:rPr>
      </w:pPr>
      <w:r>
        <w:rPr>
          <w:rFonts w:ascii="new times roman" w:hAnsi="new times roman" w:cs="NewCenturySchlbkCE-Roman"/>
        </w:rPr>
        <w:t xml:space="preserve">Nezjistili jsme statisticky významný rozdíl ve věku, pohlaví, perineurální invazi, origa, přítomnosti hematogenních ani uzlinových metastáz, DFI a </w:t>
      </w:r>
      <w:r>
        <w:rPr>
          <w:rFonts w:ascii="new times roman" w:hAnsi="new times roman" w:cs="NewCenturySchlbkCE-Roman"/>
          <w:color w:val="000000"/>
        </w:rPr>
        <w:t>ve stupni malignity</w:t>
      </w:r>
      <w:r>
        <w:rPr>
          <w:rFonts w:ascii="new times roman" w:hAnsi="new times roman" w:cs="NewCenturySchlbkCE-Roman"/>
        </w:rPr>
        <w:t xml:space="preserve"> u MYB pozitivních a MYB negativních pacientů (viz tab. č.7, graf.č.2).</w:t>
      </w:r>
    </w:p>
    <w:p w:rsidR="00517E70" w:rsidRDefault="00517E70" w:rsidP="00203F1C">
      <w:pPr>
        <w:autoSpaceDE w:val="0"/>
        <w:autoSpaceDN w:val="0"/>
        <w:adjustRightInd w:val="0"/>
        <w:spacing w:line="360" w:lineRule="auto"/>
        <w:jc w:val="both"/>
        <w:rPr>
          <w:rFonts w:ascii="new times roman" w:hAnsi="new times roman" w:cs="NewCenturySchlbkCE-Roman"/>
          <w:color w:val="000000"/>
        </w:rPr>
      </w:pPr>
    </w:p>
    <w:p w:rsidR="00517E70" w:rsidRDefault="00517E70" w:rsidP="00203F1C">
      <w:pPr>
        <w:autoSpaceDE w:val="0"/>
        <w:autoSpaceDN w:val="0"/>
        <w:adjustRightInd w:val="0"/>
        <w:spacing w:line="360" w:lineRule="auto"/>
        <w:jc w:val="both"/>
        <w:rPr>
          <w:rFonts w:ascii="new times roman" w:hAnsi="new times roman" w:cs="NewCenturySchlbkCE-Roman"/>
          <w:color w:val="000000"/>
        </w:rPr>
      </w:pPr>
    </w:p>
    <w:p w:rsidR="00517E70" w:rsidRDefault="00517E70" w:rsidP="00203F1C">
      <w:pPr>
        <w:autoSpaceDE w:val="0"/>
        <w:autoSpaceDN w:val="0"/>
        <w:adjustRightInd w:val="0"/>
        <w:spacing w:line="360" w:lineRule="auto"/>
        <w:jc w:val="both"/>
        <w:rPr>
          <w:rFonts w:ascii="new times roman" w:hAnsi="new times roman" w:cs="NewCenturySchlbkCE-Roman"/>
          <w:color w:val="000000"/>
        </w:rPr>
      </w:pPr>
    </w:p>
    <w:p w:rsidR="00517E70" w:rsidRDefault="00517E70" w:rsidP="00203F1C">
      <w:pPr>
        <w:spacing w:line="360" w:lineRule="auto"/>
        <w:jc w:val="both"/>
        <w:rPr>
          <w:bCs/>
          <w:color w:val="000000"/>
        </w:rPr>
      </w:pPr>
      <w:r>
        <w:rPr>
          <w:bCs/>
          <w:color w:val="000000"/>
        </w:rPr>
        <w:t>Graf č. 2</w:t>
      </w:r>
    </w:p>
    <w:p w:rsidR="00517E70" w:rsidRDefault="00517E70" w:rsidP="00203F1C">
      <w:pPr>
        <w:spacing w:line="360" w:lineRule="auto"/>
        <w:jc w:val="both"/>
        <w:rPr>
          <w:bCs/>
          <w:color w:val="000000"/>
        </w:rPr>
      </w:pPr>
      <w:r>
        <w:rPr>
          <w:bCs/>
          <w:color w:val="000000"/>
        </w:rPr>
        <w:t>DFI interval a MYB status  u pacientů  s ACC</w:t>
      </w:r>
    </w:p>
    <w:p w:rsidR="00517E70" w:rsidRDefault="00517E70" w:rsidP="00203F1C">
      <w:pPr>
        <w:autoSpaceDE w:val="0"/>
        <w:autoSpaceDN w:val="0"/>
        <w:adjustRightInd w:val="0"/>
        <w:spacing w:line="360" w:lineRule="auto"/>
        <w:jc w:val="both"/>
        <w:rPr>
          <w:color w:val="000000"/>
        </w:rPr>
      </w:pPr>
    </w:p>
    <w:p w:rsidR="00517E70" w:rsidRDefault="00517E70" w:rsidP="00203F1C">
      <w:pPr>
        <w:autoSpaceDE w:val="0"/>
        <w:autoSpaceDN w:val="0"/>
        <w:adjustRightInd w:val="0"/>
        <w:spacing w:line="360" w:lineRule="auto"/>
        <w:jc w:val="both"/>
        <w:rPr>
          <w:color w:val="000000"/>
        </w:rPr>
      </w:pPr>
      <w:r w:rsidRPr="002E11AC">
        <w:rPr>
          <w:noProof/>
          <w:color w:val="000000"/>
        </w:rPr>
        <w:pict>
          <v:shape id="obrázek 3" o:spid="_x0000_i1031" type="#_x0000_t75" style="width:394.5pt;height:258.75pt;visibility:visible">
            <v:imagedata r:id="rId14" o:title=""/>
          </v:shape>
        </w:pict>
      </w:r>
      <w:r>
        <w:rPr>
          <w:color w:val="000000"/>
        </w:rPr>
        <w:br w:type="page"/>
      </w:r>
    </w:p>
    <w:p w:rsidR="00517E70" w:rsidRDefault="00517E70" w:rsidP="00203F1C">
      <w:pPr>
        <w:autoSpaceDE w:val="0"/>
        <w:autoSpaceDN w:val="0"/>
        <w:adjustRightInd w:val="0"/>
        <w:spacing w:line="360" w:lineRule="auto"/>
        <w:jc w:val="both"/>
        <w:rPr>
          <w:color w:val="FF0000"/>
        </w:rPr>
      </w:pPr>
      <w:r>
        <w:rPr>
          <w:color w:val="000000"/>
        </w:rPr>
        <w:t xml:space="preserve">Tabulka č. 6. Klinické charakteristiky souboru pacientů s ACC a MYB status  </w:t>
      </w:r>
    </w:p>
    <w:p w:rsidR="00517E70" w:rsidRDefault="00517E70" w:rsidP="00203F1C">
      <w:pPr>
        <w:autoSpaceDE w:val="0"/>
        <w:autoSpaceDN w:val="0"/>
        <w:adjustRightInd w:val="0"/>
        <w:spacing w:line="360" w:lineRule="auto"/>
        <w:jc w:val="both"/>
        <w:rPr>
          <w:color w:val="000000"/>
        </w:rPr>
      </w:pPr>
    </w:p>
    <w:tbl>
      <w:tblPr>
        <w:tblW w:w="10931" w:type="dxa"/>
        <w:tblInd w:w="-781" w:type="dxa"/>
        <w:tblCellMar>
          <w:left w:w="70" w:type="dxa"/>
          <w:right w:w="70" w:type="dxa"/>
        </w:tblCellMar>
        <w:tblLook w:val="00A0"/>
      </w:tblPr>
      <w:tblGrid>
        <w:gridCol w:w="900"/>
        <w:gridCol w:w="201"/>
        <w:gridCol w:w="556"/>
        <w:gridCol w:w="2357"/>
        <w:gridCol w:w="917"/>
        <w:gridCol w:w="1011"/>
        <w:gridCol w:w="797"/>
        <w:gridCol w:w="682"/>
        <w:gridCol w:w="682"/>
        <w:gridCol w:w="770"/>
        <w:gridCol w:w="1038"/>
        <w:gridCol w:w="1020"/>
      </w:tblGrid>
      <w:tr w:rsidR="00517E70" w:rsidRPr="00C324C1" w:rsidTr="00E14DA2">
        <w:trPr>
          <w:trHeight w:val="590"/>
        </w:trPr>
        <w:tc>
          <w:tcPr>
            <w:tcW w:w="900" w:type="dxa"/>
            <w:tcBorders>
              <w:top w:val="single" w:sz="8" w:space="0" w:color="auto"/>
              <w:left w:val="single" w:sz="8" w:space="0" w:color="auto"/>
              <w:bottom w:val="single" w:sz="8" w:space="0" w:color="auto"/>
              <w:right w:val="nil"/>
            </w:tcBorders>
            <w:shd w:val="clear" w:color="000000" w:fill="C0C0C0"/>
            <w:vAlign w:val="center"/>
          </w:tcPr>
          <w:p w:rsidR="00517E70" w:rsidRPr="00DE57EB" w:rsidRDefault="00517E70" w:rsidP="00203F1C">
            <w:pPr>
              <w:jc w:val="both"/>
              <w:rPr>
                <w:b/>
                <w:bCs/>
                <w:color w:val="000000"/>
              </w:rPr>
            </w:pPr>
            <w:r w:rsidRPr="00DE57EB">
              <w:rPr>
                <w:b/>
                <w:bCs/>
                <w:color w:val="000000"/>
              </w:rPr>
              <w:t>Pacient</w:t>
            </w:r>
          </w:p>
        </w:tc>
        <w:tc>
          <w:tcPr>
            <w:tcW w:w="0" w:type="auto"/>
            <w:tcBorders>
              <w:top w:val="single" w:sz="8" w:space="0" w:color="auto"/>
              <w:left w:val="nil"/>
              <w:bottom w:val="single" w:sz="8" w:space="0" w:color="auto"/>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 </w:t>
            </w:r>
          </w:p>
        </w:tc>
        <w:tc>
          <w:tcPr>
            <w:tcW w:w="0" w:type="auto"/>
            <w:tcBorders>
              <w:top w:val="single" w:sz="8" w:space="0" w:color="auto"/>
              <w:left w:val="nil"/>
              <w:bottom w:val="single" w:sz="8" w:space="0" w:color="auto"/>
              <w:right w:val="nil"/>
            </w:tcBorders>
            <w:shd w:val="clear" w:color="000000" w:fill="C0C0C0"/>
            <w:vAlign w:val="center"/>
          </w:tcPr>
          <w:p w:rsidR="00517E70" w:rsidRPr="00DE57EB" w:rsidRDefault="00517E70" w:rsidP="00203F1C">
            <w:pPr>
              <w:jc w:val="both"/>
              <w:rPr>
                <w:b/>
                <w:bCs/>
                <w:color w:val="000000"/>
              </w:rPr>
            </w:pPr>
            <w:r w:rsidRPr="00DE57EB">
              <w:rPr>
                <w:b/>
                <w:bCs/>
                <w:color w:val="000000"/>
              </w:rPr>
              <w:t>Věk</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tcPr>
          <w:p w:rsidR="00517E70" w:rsidRPr="00DE57EB" w:rsidRDefault="00517E70" w:rsidP="00203F1C">
            <w:pPr>
              <w:jc w:val="both"/>
              <w:rPr>
                <w:rFonts w:ascii="Calibri" w:hAnsi="Calibri"/>
                <w:b/>
                <w:bCs/>
                <w:color w:val="000000"/>
              </w:rPr>
            </w:pPr>
            <w:r w:rsidRPr="00DE57EB">
              <w:rPr>
                <w:rFonts w:ascii="Calibri" w:hAnsi="Calibri"/>
                <w:b/>
                <w:bCs/>
                <w:color w:val="000000"/>
                <w:sz w:val="22"/>
                <w:szCs w:val="22"/>
              </w:rPr>
              <w:t>Lokalizace prim. tumoru</w:t>
            </w:r>
          </w:p>
        </w:tc>
        <w:tc>
          <w:tcPr>
            <w:tcW w:w="0" w:type="auto"/>
            <w:tcBorders>
              <w:top w:val="single" w:sz="8" w:space="0" w:color="auto"/>
              <w:left w:val="nil"/>
              <w:bottom w:val="single" w:sz="8" w:space="0" w:color="auto"/>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Pohlaví</w:t>
            </w:r>
          </w:p>
        </w:tc>
        <w:tc>
          <w:tcPr>
            <w:tcW w:w="0" w:type="auto"/>
            <w:tcBorders>
              <w:top w:val="single" w:sz="8" w:space="0" w:color="auto"/>
              <w:left w:val="nil"/>
              <w:bottom w:val="single" w:sz="8" w:space="0" w:color="auto"/>
              <w:right w:val="single" w:sz="8" w:space="0" w:color="auto"/>
            </w:tcBorders>
            <w:shd w:val="clear" w:color="000000" w:fill="C0C0C0"/>
            <w:noWrap/>
            <w:vAlign w:val="center"/>
          </w:tcPr>
          <w:p w:rsidR="00517E70" w:rsidRPr="00DE57EB" w:rsidRDefault="00517E70" w:rsidP="00203F1C">
            <w:pPr>
              <w:jc w:val="both"/>
              <w:rPr>
                <w:b/>
                <w:bCs/>
                <w:color w:val="000000"/>
              </w:rPr>
            </w:pPr>
            <w:r w:rsidRPr="00DE57EB">
              <w:rPr>
                <w:b/>
                <w:bCs/>
                <w:color w:val="000000"/>
              </w:rPr>
              <w:t>Stadium</w:t>
            </w:r>
          </w:p>
        </w:tc>
        <w:tc>
          <w:tcPr>
            <w:tcW w:w="0" w:type="auto"/>
            <w:tcBorders>
              <w:top w:val="single" w:sz="8" w:space="0" w:color="auto"/>
              <w:left w:val="nil"/>
              <w:bottom w:val="single" w:sz="8" w:space="0" w:color="auto"/>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Grade</w:t>
            </w:r>
          </w:p>
        </w:tc>
        <w:tc>
          <w:tcPr>
            <w:tcW w:w="0" w:type="auto"/>
            <w:tcBorders>
              <w:top w:val="single" w:sz="8" w:space="0" w:color="auto"/>
              <w:left w:val="nil"/>
              <w:bottom w:val="single" w:sz="8" w:space="0" w:color="auto"/>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OAS</w:t>
            </w:r>
          </w:p>
        </w:tc>
        <w:tc>
          <w:tcPr>
            <w:tcW w:w="0" w:type="auto"/>
            <w:tcBorders>
              <w:top w:val="single" w:sz="8" w:space="0" w:color="auto"/>
              <w:left w:val="nil"/>
              <w:bottom w:val="single" w:sz="8" w:space="0" w:color="auto"/>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DFI</w:t>
            </w:r>
          </w:p>
        </w:tc>
        <w:tc>
          <w:tcPr>
            <w:tcW w:w="0" w:type="auto"/>
            <w:tcBorders>
              <w:top w:val="single" w:sz="8" w:space="0" w:color="auto"/>
              <w:left w:val="nil"/>
              <w:bottom w:val="single" w:sz="8" w:space="0" w:color="auto"/>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Úmrtí</w:t>
            </w:r>
          </w:p>
        </w:tc>
        <w:tc>
          <w:tcPr>
            <w:tcW w:w="0" w:type="auto"/>
            <w:tcBorders>
              <w:top w:val="single" w:sz="8" w:space="0" w:color="auto"/>
              <w:left w:val="nil"/>
              <w:bottom w:val="nil"/>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Recidiva</w:t>
            </w:r>
          </w:p>
        </w:tc>
        <w:tc>
          <w:tcPr>
            <w:tcW w:w="1020" w:type="dxa"/>
            <w:tcBorders>
              <w:top w:val="single" w:sz="8" w:space="0" w:color="auto"/>
              <w:left w:val="nil"/>
              <w:bottom w:val="nil"/>
              <w:right w:val="single" w:sz="8" w:space="0" w:color="auto"/>
            </w:tcBorders>
            <w:shd w:val="clear" w:color="000000" w:fill="C0C0C0"/>
            <w:vAlign w:val="center"/>
          </w:tcPr>
          <w:p w:rsidR="00517E70" w:rsidRPr="00DE57EB" w:rsidRDefault="00517E70" w:rsidP="00203F1C">
            <w:pPr>
              <w:jc w:val="both"/>
              <w:rPr>
                <w:b/>
                <w:bCs/>
                <w:color w:val="000000"/>
              </w:rPr>
            </w:pPr>
            <w:r w:rsidRPr="00DE57EB">
              <w:rPr>
                <w:b/>
                <w:bCs/>
                <w:color w:val="000000"/>
              </w:rPr>
              <w:t>MYB (FISH)</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DE57EB" w:rsidRDefault="00517E70" w:rsidP="00203F1C">
            <w:pPr>
              <w:jc w:val="both"/>
              <w:rPr>
                <w:color w:val="000000"/>
              </w:rPr>
            </w:pPr>
            <w:r w:rsidRPr="00DE57EB">
              <w:rPr>
                <w:color w:val="000000"/>
              </w:rPr>
              <w:t>1.</w:t>
            </w:r>
          </w:p>
        </w:tc>
        <w:tc>
          <w:tcPr>
            <w:tcW w:w="0" w:type="auto"/>
            <w:tcBorders>
              <w:top w:val="nil"/>
              <w:left w:val="nil"/>
              <w:bottom w:val="single" w:sz="8" w:space="0" w:color="auto"/>
              <w:right w:val="single" w:sz="8" w:space="0" w:color="auto"/>
            </w:tcBorders>
            <w:noWrap/>
            <w:vAlign w:val="center"/>
          </w:tcPr>
          <w:p w:rsidR="00517E70" w:rsidRPr="00DE57EB" w:rsidRDefault="00517E70" w:rsidP="00203F1C">
            <w:pPr>
              <w:jc w:val="both"/>
              <w:rPr>
                <w:color w:val="000000"/>
              </w:rPr>
            </w:pPr>
            <w:r w:rsidRPr="00DE57EB">
              <w:rPr>
                <w:color w:val="000000"/>
              </w:rPr>
              <w:t> </w:t>
            </w:r>
          </w:p>
        </w:tc>
        <w:tc>
          <w:tcPr>
            <w:tcW w:w="0" w:type="auto"/>
            <w:tcBorders>
              <w:top w:val="nil"/>
              <w:left w:val="nil"/>
              <w:bottom w:val="single" w:sz="8" w:space="0" w:color="auto"/>
              <w:right w:val="single" w:sz="8" w:space="0" w:color="auto"/>
            </w:tcBorders>
            <w:noWrap/>
            <w:vAlign w:val="center"/>
          </w:tcPr>
          <w:p w:rsidR="00517E70" w:rsidRPr="00DE57EB" w:rsidRDefault="00517E70" w:rsidP="00203F1C">
            <w:pPr>
              <w:jc w:val="both"/>
              <w:rPr>
                <w:color w:val="000000"/>
              </w:rPr>
            </w:pPr>
            <w:r w:rsidRPr="00DE57EB">
              <w:rPr>
                <w:color w:val="000000"/>
              </w:rPr>
              <w:t>32</w:t>
            </w:r>
          </w:p>
        </w:tc>
        <w:tc>
          <w:tcPr>
            <w:tcW w:w="0" w:type="auto"/>
            <w:tcBorders>
              <w:top w:val="nil"/>
              <w:left w:val="nil"/>
              <w:bottom w:val="single" w:sz="8" w:space="0" w:color="auto"/>
              <w:right w:val="single" w:sz="8" w:space="0" w:color="auto"/>
            </w:tcBorders>
            <w:shd w:val="clear" w:color="000000" w:fill="FFFFFF"/>
            <w:vAlign w:val="center"/>
          </w:tcPr>
          <w:p w:rsidR="00517E70" w:rsidRPr="0064750A" w:rsidRDefault="00517E70" w:rsidP="00203F1C">
            <w:pPr>
              <w:jc w:val="both"/>
            </w:pPr>
            <w:r w:rsidRPr="0064750A">
              <w:t>submand.</w:t>
            </w:r>
          </w:p>
        </w:tc>
        <w:tc>
          <w:tcPr>
            <w:tcW w:w="0" w:type="auto"/>
            <w:tcBorders>
              <w:top w:val="nil"/>
              <w:left w:val="nil"/>
              <w:bottom w:val="single" w:sz="8" w:space="0" w:color="auto"/>
              <w:right w:val="single" w:sz="8" w:space="0" w:color="auto"/>
            </w:tcBorders>
            <w:noWrap/>
            <w:vAlign w:val="center"/>
          </w:tcPr>
          <w:p w:rsidR="00517E70" w:rsidRPr="00DE57EB" w:rsidRDefault="00517E70" w:rsidP="00203F1C">
            <w:pPr>
              <w:jc w:val="both"/>
              <w:rPr>
                <w:color w:val="000000"/>
              </w:rPr>
            </w:pPr>
            <w:r w:rsidRPr="00DE57EB">
              <w:rPr>
                <w:color w:val="000000"/>
              </w:rPr>
              <w:t>M</w:t>
            </w:r>
          </w:p>
        </w:tc>
        <w:tc>
          <w:tcPr>
            <w:tcW w:w="0" w:type="auto"/>
            <w:tcBorders>
              <w:top w:val="nil"/>
              <w:left w:val="nil"/>
              <w:bottom w:val="single" w:sz="8" w:space="0" w:color="auto"/>
              <w:right w:val="single" w:sz="8" w:space="0" w:color="auto"/>
            </w:tcBorders>
            <w:noWrap/>
            <w:vAlign w:val="center"/>
          </w:tcPr>
          <w:p w:rsidR="00517E70" w:rsidRPr="00DE57EB" w:rsidRDefault="00517E70" w:rsidP="00203F1C">
            <w:pPr>
              <w:jc w:val="both"/>
              <w:rPr>
                <w:color w:val="000000"/>
              </w:rPr>
            </w:pPr>
            <w:r w:rsidRPr="00DE57EB">
              <w:rPr>
                <w:color w:val="000000"/>
              </w:rPr>
              <w:t>1</w:t>
            </w:r>
          </w:p>
        </w:tc>
        <w:tc>
          <w:tcPr>
            <w:tcW w:w="0" w:type="auto"/>
            <w:tcBorders>
              <w:top w:val="nil"/>
              <w:left w:val="nil"/>
              <w:bottom w:val="single" w:sz="8" w:space="0" w:color="auto"/>
              <w:right w:val="single" w:sz="8" w:space="0" w:color="auto"/>
            </w:tcBorders>
            <w:vAlign w:val="center"/>
          </w:tcPr>
          <w:p w:rsidR="00517E70" w:rsidRPr="00DE57EB" w:rsidRDefault="00517E70" w:rsidP="00203F1C">
            <w:pPr>
              <w:jc w:val="both"/>
              <w:rPr>
                <w:color w:val="000000"/>
              </w:rPr>
            </w:pPr>
            <w:r w:rsidRPr="00DE57EB">
              <w:rPr>
                <w:color w:val="000000"/>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DE57EB">
              <w:rPr>
                <w:color w:val="000000"/>
              </w:rPr>
              <w:t>33.</w:t>
            </w:r>
            <w:r w:rsidRPr="00C324C1">
              <w:rPr>
                <w:color w:val="000000"/>
                <w:lang w:val="en-GB"/>
              </w:rPr>
              <w:t>5</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32.2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single" w:sz="8" w:space="0" w:color="auto"/>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single" w:sz="8" w:space="0" w:color="auto"/>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84</w:t>
            </w:r>
          </w:p>
        </w:tc>
        <w:tc>
          <w:tcPr>
            <w:tcW w:w="0" w:type="auto"/>
            <w:tcBorders>
              <w:top w:val="nil"/>
              <w:left w:val="nil"/>
              <w:bottom w:val="single" w:sz="8" w:space="0" w:color="auto"/>
              <w:right w:val="single" w:sz="8" w:space="0" w:color="auto"/>
            </w:tcBorders>
            <w:noWrap/>
            <w:vAlign w:val="center"/>
          </w:tcPr>
          <w:p w:rsidR="00517E70" w:rsidRPr="0064750A" w:rsidRDefault="00517E70" w:rsidP="00203F1C">
            <w:pPr>
              <w:jc w:val="both"/>
              <w:rPr>
                <w:lang w:val="en-GB"/>
              </w:rPr>
            </w:pPr>
            <w:r w:rsidRPr="0064750A">
              <w:rPr>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9.1</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x</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58</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97.4</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95.4</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4.</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60</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59.8</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20.1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5.</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48</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85.2</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80.1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6.</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48</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w:t>
            </w:r>
            <w:r w:rsidRPr="00F9142C">
              <w:rPr>
                <w:color w:val="000000"/>
                <w:lang w:val="en-GB"/>
              </w:rPr>
              <w:t>ubmand</w:t>
            </w:r>
            <w:r>
              <w:rPr>
                <w:color w:val="000000"/>
                <w:lang w:val="en-GB"/>
              </w:rPr>
              <w:t>.</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141.1</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42.6</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7.</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47</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w:t>
            </w:r>
            <w:r w:rsidRPr="00F9142C">
              <w:rPr>
                <w:color w:val="000000"/>
                <w:lang w:val="en-GB"/>
              </w:rPr>
              <w:t>ubmand</w:t>
            </w:r>
            <w:r>
              <w:rPr>
                <w:color w:val="000000"/>
                <w:lang w:val="en-GB"/>
              </w:rPr>
              <w:t>.</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38.6</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31.0</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8.</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65</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sidRPr="00F9142C">
              <w:rPr>
                <w:color w:val="000000"/>
                <w:lang w:val="en-GB"/>
              </w:rPr>
              <w:t>sublingual</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81.2</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79.2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9.</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45</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46.7</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41.6</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10.</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79</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5.1</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x</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77</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22.4</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21.1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49</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w:t>
            </w:r>
            <w:r w:rsidRPr="00F9142C">
              <w:rPr>
                <w:color w:val="000000"/>
                <w:lang w:val="en-GB"/>
              </w:rPr>
              <w:t>ubmand</w:t>
            </w:r>
            <w:r>
              <w:rPr>
                <w:color w:val="000000"/>
                <w:lang w:val="en-GB"/>
              </w:rPr>
              <w:t>.</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164.3</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163.6</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76</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w:t>
            </w:r>
            <w:r w:rsidRPr="00F9142C">
              <w:rPr>
                <w:color w:val="000000"/>
                <w:lang w:val="en-GB"/>
              </w:rPr>
              <w:t>ublingual</w:t>
            </w:r>
            <w:r>
              <w:rPr>
                <w:color w:val="000000"/>
                <w:lang w:val="en-GB"/>
              </w:rPr>
              <w:t>.</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5.0</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3.5</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14.</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51</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87.3</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83.7</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15.</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24</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submand.</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286.1</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285.8</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16.</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65</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73.2</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70.2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17.</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33</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w:t>
            </w:r>
            <w:r w:rsidRPr="00F9142C">
              <w:rPr>
                <w:color w:val="000000"/>
                <w:lang w:val="en-GB"/>
              </w:rPr>
              <w:t>ubmand</w:t>
            </w:r>
            <w:r>
              <w:rPr>
                <w:color w:val="000000"/>
                <w:lang w:val="en-GB"/>
              </w:rPr>
              <w:t>.</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65.3</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65.1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18.</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61</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s</w:t>
            </w:r>
            <w:r w:rsidRPr="00F9142C">
              <w:rPr>
                <w:color w:val="000000"/>
                <w:lang w:val="en-GB"/>
              </w:rPr>
              <w:t>ubmand</w:t>
            </w:r>
            <w:r>
              <w:rPr>
                <w:color w:val="000000"/>
                <w:lang w:val="en-GB"/>
              </w:rPr>
              <w:t>.</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27.4</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26.8</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19.</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57</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malé slinné žlázy</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23.9</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7</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20.</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54</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66.9</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50.1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r w:rsidR="00517E70" w:rsidRPr="00C324C1" w:rsidTr="00E14DA2">
        <w:trPr>
          <w:trHeight w:val="60"/>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21.</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34</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M</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39.6</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36.5</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22.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71</w:t>
            </w:r>
          </w:p>
        </w:tc>
        <w:tc>
          <w:tcPr>
            <w:tcW w:w="0" w:type="auto"/>
            <w:tcBorders>
              <w:top w:val="nil"/>
              <w:left w:val="nil"/>
              <w:bottom w:val="single" w:sz="8" w:space="0" w:color="auto"/>
              <w:right w:val="single" w:sz="8" w:space="0" w:color="auto"/>
            </w:tcBorders>
            <w:noWrap/>
            <w:vAlign w:val="bottom"/>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4</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152</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79.3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1</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r>
      <w:tr w:rsidR="00517E70" w:rsidRPr="00C324C1" w:rsidTr="00E14DA2">
        <w:trPr>
          <w:trHeight w:val="311"/>
        </w:trPr>
        <w:tc>
          <w:tcPr>
            <w:tcW w:w="900" w:type="dxa"/>
            <w:tcBorders>
              <w:top w:val="nil"/>
              <w:left w:val="single" w:sz="8" w:space="0" w:color="auto"/>
              <w:bottom w:val="single" w:sz="8" w:space="0" w:color="auto"/>
              <w:right w:val="nil"/>
            </w:tcBorders>
            <w:noWrap/>
            <w:vAlign w:val="center"/>
          </w:tcPr>
          <w:p w:rsidR="00517E70" w:rsidRPr="00C324C1" w:rsidRDefault="00517E70" w:rsidP="00203F1C">
            <w:pPr>
              <w:jc w:val="both"/>
              <w:rPr>
                <w:color w:val="000000"/>
                <w:lang w:val="en-GB"/>
              </w:rPr>
            </w:pPr>
            <w:r w:rsidRPr="00C324C1">
              <w:rPr>
                <w:color w:val="000000"/>
                <w:lang w:val="en-GB"/>
              </w:rPr>
              <w:t>23.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 </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64</w:t>
            </w:r>
          </w:p>
        </w:tc>
        <w:tc>
          <w:tcPr>
            <w:tcW w:w="0" w:type="auto"/>
            <w:tcBorders>
              <w:top w:val="nil"/>
              <w:left w:val="nil"/>
              <w:bottom w:val="single" w:sz="8" w:space="0" w:color="auto"/>
              <w:right w:val="single" w:sz="8" w:space="0" w:color="auto"/>
            </w:tcBorders>
            <w:noWrap/>
            <w:vAlign w:val="center"/>
          </w:tcPr>
          <w:p w:rsidR="00517E70" w:rsidRPr="00F9142C" w:rsidRDefault="00517E70" w:rsidP="00203F1C">
            <w:pPr>
              <w:jc w:val="both"/>
              <w:rPr>
                <w:color w:val="000000"/>
                <w:lang w:val="en-GB"/>
              </w:rPr>
            </w:pPr>
            <w:r>
              <w:rPr>
                <w:color w:val="000000"/>
                <w:lang w:val="en-GB"/>
              </w:rPr>
              <w:t>parotis</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F</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3</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34.8</w:t>
            </w:r>
          </w:p>
        </w:tc>
        <w:tc>
          <w:tcPr>
            <w:tcW w:w="0" w:type="auto"/>
            <w:tcBorders>
              <w:top w:val="nil"/>
              <w:left w:val="nil"/>
              <w:bottom w:val="single" w:sz="8" w:space="0" w:color="auto"/>
              <w:right w:val="single" w:sz="8" w:space="0" w:color="auto"/>
            </w:tcBorders>
            <w:shd w:val="clear" w:color="000000" w:fill="FFFFFF"/>
            <w:noWrap/>
            <w:vAlign w:val="center"/>
          </w:tcPr>
          <w:p w:rsidR="00517E70" w:rsidRPr="00C324C1" w:rsidRDefault="00517E70" w:rsidP="00203F1C">
            <w:pPr>
              <w:jc w:val="both"/>
              <w:rPr>
                <w:color w:val="000000"/>
                <w:lang w:val="en-GB"/>
              </w:rPr>
            </w:pPr>
            <w:r w:rsidRPr="00C324C1">
              <w:rPr>
                <w:color w:val="000000"/>
                <w:lang w:val="en-GB"/>
              </w:rPr>
              <w:t>32.2</w:t>
            </w:r>
          </w:p>
        </w:tc>
        <w:tc>
          <w:tcPr>
            <w:tcW w:w="0" w:type="auto"/>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1</w:t>
            </w:r>
          </w:p>
        </w:tc>
        <w:tc>
          <w:tcPr>
            <w:tcW w:w="0" w:type="auto"/>
            <w:tcBorders>
              <w:top w:val="nil"/>
              <w:left w:val="nil"/>
              <w:bottom w:val="single" w:sz="8" w:space="0" w:color="auto"/>
              <w:right w:val="single" w:sz="8" w:space="0" w:color="auto"/>
            </w:tcBorders>
            <w:vAlign w:val="center"/>
          </w:tcPr>
          <w:p w:rsidR="00517E70" w:rsidRPr="00C324C1" w:rsidRDefault="00517E70" w:rsidP="00203F1C">
            <w:pPr>
              <w:jc w:val="both"/>
              <w:rPr>
                <w:color w:val="000000"/>
                <w:lang w:val="en-GB"/>
              </w:rPr>
            </w:pPr>
            <w:r w:rsidRPr="00C324C1">
              <w:rPr>
                <w:color w:val="000000"/>
                <w:lang w:val="en-GB"/>
              </w:rPr>
              <w:t>0</w:t>
            </w:r>
          </w:p>
        </w:tc>
        <w:tc>
          <w:tcPr>
            <w:tcW w:w="1020" w:type="dxa"/>
            <w:tcBorders>
              <w:top w:val="nil"/>
              <w:left w:val="nil"/>
              <w:bottom w:val="single" w:sz="8" w:space="0" w:color="auto"/>
              <w:right w:val="single" w:sz="8" w:space="0" w:color="auto"/>
            </w:tcBorders>
            <w:noWrap/>
            <w:vAlign w:val="center"/>
          </w:tcPr>
          <w:p w:rsidR="00517E70" w:rsidRPr="00C324C1" w:rsidRDefault="00517E70" w:rsidP="00203F1C">
            <w:pPr>
              <w:jc w:val="both"/>
              <w:rPr>
                <w:color w:val="000000"/>
                <w:lang w:val="en-GB"/>
              </w:rPr>
            </w:pPr>
            <w:r w:rsidRPr="00C324C1">
              <w:rPr>
                <w:color w:val="000000"/>
                <w:lang w:val="en-GB"/>
              </w:rPr>
              <w:t>0</w:t>
            </w:r>
          </w:p>
        </w:tc>
      </w:tr>
    </w:tbl>
    <w:p w:rsidR="00517E70" w:rsidRDefault="00517E70" w:rsidP="00203F1C">
      <w:pPr>
        <w:autoSpaceDE w:val="0"/>
        <w:autoSpaceDN w:val="0"/>
        <w:adjustRightInd w:val="0"/>
        <w:spacing w:line="360" w:lineRule="auto"/>
        <w:jc w:val="both"/>
        <w:rPr>
          <w:color w:val="000000"/>
        </w:rPr>
      </w:pPr>
    </w:p>
    <w:tbl>
      <w:tblPr>
        <w:tblW w:w="600" w:type="dxa"/>
        <w:tblInd w:w="55" w:type="dxa"/>
        <w:tblCellMar>
          <w:left w:w="70" w:type="dxa"/>
          <w:right w:w="70" w:type="dxa"/>
        </w:tblCellMar>
        <w:tblLook w:val="00A0"/>
      </w:tblPr>
      <w:tblGrid>
        <w:gridCol w:w="600"/>
      </w:tblGrid>
      <w:tr w:rsidR="00517E70" w:rsidTr="004F7BCF">
        <w:trPr>
          <w:trHeight w:val="255"/>
        </w:trPr>
        <w:tc>
          <w:tcPr>
            <w:tcW w:w="600" w:type="dxa"/>
            <w:noWrap/>
            <w:vAlign w:val="bottom"/>
          </w:tcPr>
          <w:p w:rsidR="00517E70" w:rsidRDefault="00517E70" w:rsidP="00203F1C">
            <w:pPr>
              <w:spacing w:line="360" w:lineRule="auto"/>
              <w:jc w:val="both"/>
              <w:rPr>
                <w:rFonts w:ascii="Arial" w:hAnsi="Arial" w:cs="Arial"/>
                <w:color w:val="000000"/>
                <w:sz w:val="20"/>
                <w:szCs w:val="20"/>
              </w:rPr>
            </w:pPr>
          </w:p>
        </w:tc>
      </w:tr>
    </w:tbl>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FF0000"/>
        </w:rPr>
      </w:pPr>
    </w:p>
    <w:p w:rsidR="00517E70" w:rsidRPr="003F13D7" w:rsidRDefault="00517E70" w:rsidP="00203F1C">
      <w:pPr>
        <w:autoSpaceDE w:val="0"/>
        <w:autoSpaceDN w:val="0"/>
        <w:adjustRightInd w:val="0"/>
        <w:spacing w:line="360" w:lineRule="auto"/>
        <w:jc w:val="both"/>
        <w:rPr>
          <w:color w:val="FF0000"/>
        </w:rPr>
      </w:pPr>
      <w:r>
        <w:rPr>
          <w:color w:val="000000"/>
        </w:rPr>
        <w:t>Vysvětlivky</w:t>
      </w:r>
    </w:p>
    <w:p w:rsidR="00517E70" w:rsidRPr="00295479" w:rsidRDefault="00517E70" w:rsidP="00203F1C">
      <w:pPr>
        <w:autoSpaceDE w:val="0"/>
        <w:autoSpaceDN w:val="0"/>
        <w:adjustRightInd w:val="0"/>
        <w:spacing w:line="360" w:lineRule="auto"/>
        <w:jc w:val="both"/>
      </w:pPr>
      <w:r w:rsidRPr="00295479">
        <w:t>x-  úplná remise nedosažena</w:t>
      </w:r>
    </w:p>
    <w:p w:rsidR="00517E70" w:rsidRPr="003F13D7" w:rsidRDefault="00517E70" w:rsidP="00203F1C">
      <w:pPr>
        <w:autoSpaceDE w:val="0"/>
        <w:autoSpaceDN w:val="0"/>
        <w:adjustRightInd w:val="0"/>
        <w:spacing w:line="360" w:lineRule="auto"/>
        <w:jc w:val="both"/>
        <w:rPr>
          <w:color w:val="FF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rPr>
      </w:pPr>
      <w:r>
        <w:rPr>
          <w:color w:val="000000"/>
        </w:rPr>
        <w:t xml:space="preserve">Tabulka č. 7. </w:t>
      </w:r>
    </w:p>
    <w:p w:rsidR="00517E70" w:rsidRDefault="00517E70" w:rsidP="00203F1C">
      <w:pPr>
        <w:autoSpaceDE w:val="0"/>
        <w:autoSpaceDN w:val="0"/>
        <w:adjustRightInd w:val="0"/>
        <w:spacing w:line="360" w:lineRule="auto"/>
        <w:jc w:val="both"/>
        <w:rPr>
          <w:color w:val="000000"/>
        </w:rPr>
      </w:pPr>
      <w:r>
        <w:rPr>
          <w:color w:val="000000"/>
        </w:rPr>
        <w:t xml:space="preserve">Korelace  MYB  statutu s klinickými a histopatologickými parametry ACC </w:t>
      </w:r>
    </w:p>
    <w:p w:rsidR="00517E70" w:rsidRDefault="00517E70" w:rsidP="00203F1C">
      <w:pPr>
        <w:autoSpaceDE w:val="0"/>
        <w:autoSpaceDN w:val="0"/>
        <w:adjustRightInd w:val="0"/>
        <w:spacing w:line="360" w:lineRule="auto"/>
        <w:jc w:val="both"/>
        <w:rPr>
          <w:color w:val="000000"/>
          <w:sz w:val="16"/>
          <w:szCs w:val="16"/>
        </w:rPr>
      </w:pPr>
    </w:p>
    <w:tbl>
      <w:tblPr>
        <w:tblW w:w="4300" w:type="dxa"/>
        <w:tblInd w:w="55" w:type="dxa"/>
        <w:tblCellMar>
          <w:left w:w="70" w:type="dxa"/>
          <w:right w:w="70" w:type="dxa"/>
        </w:tblCellMar>
        <w:tblLook w:val="0000"/>
      </w:tblPr>
      <w:tblGrid>
        <w:gridCol w:w="1420"/>
        <w:gridCol w:w="960"/>
        <w:gridCol w:w="960"/>
        <w:gridCol w:w="960"/>
      </w:tblGrid>
      <w:tr w:rsidR="00517E70" w:rsidRPr="00C324C1" w:rsidTr="00F565B1">
        <w:trPr>
          <w:trHeight w:val="270"/>
        </w:trPr>
        <w:tc>
          <w:tcPr>
            <w:tcW w:w="1420" w:type="dxa"/>
            <w:tcBorders>
              <w:top w:val="single" w:sz="8" w:space="0" w:color="auto"/>
              <w:left w:val="single" w:sz="8" w:space="0" w:color="auto"/>
              <w:bottom w:val="single" w:sz="8" w:space="0" w:color="auto"/>
              <w:right w:val="single" w:sz="8" w:space="0" w:color="auto"/>
            </w:tcBorders>
            <w:noWrap/>
            <w:vAlign w:val="bottom"/>
          </w:tcPr>
          <w:p w:rsidR="00517E70" w:rsidRPr="00C324C1" w:rsidRDefault="00517E70" w:rsidP="00203F1C">
            <w:pPr>
              <w:spacing w:line="360" w:lineRule="auto"/>
              <w:jc w:val="both"/>
              <w:rPr>
                <w:b/>
                <w:bCs/>
                <w:lang w:val="en-GB"/>
              </w:rPr>
            </w:pPr>
            <w:r>
              <w:rPr>
                <w:b/>
                <w:bCs/>
                <w:lang w:val="en-GB"/>
              </w:rPr>
              <w:t>Věk</w:t>
            </w:r>
          </w:p>
        </w:tc>
        <w:tc>
          <w:tcPr>
            <w:tcW w:w="960" w:type="dxa"/>
            <w:tcBorders>
              <w:top w:val="single" w:sz="8"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b/>
                <w:bCs/>
                <w:lang w:val="en-GB"/>
              </w:rPr>
            </w:pPr>
            <w:r w:rsidRPr="00C324C1">
              <w:rPr>
                <w:b/>
                <w:bCs/>
                <w:lang w:val="en-GB"/>
              </w:rPr>
              <w:t>MYB+</w:t>
            </w:r>
          </w:p>
        </w:tc>
        <w:tc>
          <w:tcPr>
            <w:tcW w:w="960" w:type="dxa"/>
            <w:tcBorders>
              <w:top w:val="single" w:sz="8"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b/>
                <w:bCs/>
                <w:lang w:val="en-GB"/>
              </w:rPr>
            </w:pPr>
            <w:r w:rsidRPr="00C324C1">
              <w:rPr>
                <w:b/>
                <w:bCs/>
                <w:lang w:val="en-GB"/>
              </w:rPr>
              <w:t>MYB -</w:t>
            </w:r>
          </w:p>
        </w:tc>
        <w:tc>
          <w:tcPr>
            <w:tcW w:w="960" w:type="dxa"/>
            <w:tcBorders>
              <w:top w:val="single" w:sz="8"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b/>
                <w:bCs/>
                <w:i/>
                <w:lang w:val="en-GB"/>
              </w:rPr>
            </w:pPr>
            <w:r w:rsidRPr="00C324C1">
              <w:rPr>
                <w:b/>
                <w:bCs/>
                <w:i/>
                <w:lang w:val="en-GB"/>
              </w:rPr>
              <w:t>P</w:t>
            </w:r>
          </w:p>
        </w:tc>
      </w:tr>
      <w:tr w:rsidR="00517E70" w:rsidRPr="00C324C1" w:rsidTr="00F565B1">
        <w:trPr>
          <w:trHeight w:val="270"/>
        </w:trPr>
        <w:tc>
          <w:tcPr>
            <w:tcW w:w="1420" w:type="dxa"/>
            <w:tcBorders>
              <w:top w:val="nil"/>
              <w:left w:val="single" w:sz="8" w:space="0" w:color="auto"/>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Pr>
                <w:lang w:val="en-GB"/>
              </w:rPr>
              <w:t>pod</w:t>
            </w:r>
            <w:r w:rsidRPr="00C324C1">
              <w:rPr>
                <w:lang w:val="en-GB"/>
              </w:rPr>
              <w:t xml:space="preserve"> 50</w:t>
            </w:r>
          </w:p>
        </w:tc>
        <w:tc>
          <w:tcPr>
            <w:tcW w:w="960" w:type="dxa"/>
            <w:tcBorders>
              <w:top w:val="nil"/>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9</w:t>
            </w:r>
          </w:p>
        </w:tc>
        <w:tc>
          <w:tcPr>
            <w:tcW w:w="960" w:type="dxa"/>
            <w:tcBorders>
              <w:top w:val="nil"/>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5</w:t>
            </w:r>
          </w:p>
        </w:tc>
        <w:tc>
          <w:tcPr>
            <w:tcW w:w="960" w:type="dxa"/>
            <w:tcBorders>
              <w:top w:val="nil"/>
              <w:left w:val="nil"/>
              <w:bottom w:val="nil"/>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0.63</w:t>
            </w:r>
          </w:p>
        </w:tc>
      </w:tr>
      <w:tr w:rsidR="00517E70" w:rsidRPr="00C324C1" w:rsidTr="00F565B1">
        <w:trPr>
          <w:trHeight w:val="270"/>
        </w:trPr>
        <w:tc>
          <w:tcPr>
            <w:tcW w:w="1420" w:type="dxa"/>
            <w:tcBorders>
              <w:top w:val="nil"/>
              <w:left w:val="single" w:sz="8" w:space="0" w:color="auto"/>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Pr>
                <w:lang w:val="en-GB"/>
              </w:rPr>
              <w:t>nad</w:t>
            </w:r>
            <w:r w:rsidRPr="00C324C1">
              <w:rPr>
                <w:lang w:val="en-GB"/>
              </w:rPr>
              <w:t xml:space="preserve"> 50</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6</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3</w:t>
            </w:r>
          </w:p>
        </w:tc>
        <w:tc>
          <w:tcPr>
            <w:tcW w:w="960" w:type="dxa"/>
            <w:tcBorders>
              <w:top w:val="nil"/>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p>
        </w:tc>
      </w:tr>
      <w:tr w:rsidR="00517E70" w:rsidRPr="00C324C1" w:rsidTr="00F565B1">
        <w:trPr>
          <w:trHeight w:val="270"/>
        </w:trPr>
        <w:tc>
          <w:tcPr>
            <w:tcW w:w="1420" w:type="dxa"/>
            <w:tcBorders>
              <w:top w:val="single" w:sz="4" w:space="0" w:color="auto"/>
              <w:left w:val="single" w:sz="4" w:space="0" w:color="auto"/>
              <w:bottom w:val="single" w:sz="4" w:space="0" w:color="auto"/>
            </w:tcBorders>
            <w:noWrap/>
            <w:vAlign w:val="bottom"/>
          </w:tcPr>
          <w:p w:rsidR="00517E70" w:rsidRPr="00C324C1" w:rsidRDefault="00517E70" w:rsidP="00203F1C">
            <w:pPr>
              <w:spacing w:line="360" w:lineRule="auto"/>
              <w:jc w:val="both"/>
              <w:rPr>
                <w:b/>
                <w:bCs/>
                <w:lang w:val="en-GB"/>
              </w:rPr>
            </w:pPr>
            <w:r>
              <w:rPr>
                <w:b/>
                <w:bCs/>
                <w:lang w:val="en-GB"/>
              </w:rPr>
              <w:t>Pohlaví</w:t>
            </w:r>
          </w:p>
        </w:tc>
        <w:tc>
          <w:tcPr>
            <w:tcW w:w="960" w:type="dxa"/>
            <w:tcBorders>
              <w:top w:val="single" w:sz="4" w:space="0" w:color="auto"/>
              <w:bottom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nil"/>
              <w:left w:val="single" w:sz="4" w:space="0" w:color="auto"/>
              <w:bottom w:val="nil"/>
              <w:right w:val="single" w:sz="8" w:space="0" w:color="auto"/>
            </w:tcBorders>
            <w:noWrap/>
            <w:vAlign w:val="bottom"/>
          </w:tcPr>
          <w:p w:rsidR="00517E70" w:rsidRPr="00C324C1" w:rsidRDefault="00517E70" w:rsidP="00203F1C">
            <w:pPr>
              <w:spacing w:line="360" w:lineRule="auto"/>
              <w:jc w:val="both"/>
              <w:rPr>
                <w:lang w:val="en-GB"/>
              </w:rPr>
            </w:pPr>
          </w:p>
        </w:tc>
      </w:tr>
      <w:tr w:rsidR="00517E70" w:rsidRPr="00C324C1" w:rsidTr="00F565B1">
        <w:trPr>
          <w:trHeight w:val="270"/>
        </w:trPr>
        <w:tc>
          <w:tcPr>
            <w:tcW w:w="1420" w:type="dxa"/>
            <w:tcBorders>
              <w:top w:val="single" w:sz="4" w:space="0" w:color="auto"/>
              <w:left w:val="single" w:sz="8" w:space="0" w:color="auto"/>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Pr>
                <w:lang w:val="en-GB"/>
              </w:rPr>
              <w:t>muži</w:t>
            </w:r>
          </w:p>
        </w:tc>
        <w:tc>
          <w:tcPr>
            <w:tcW w:w="960" w:type="dxa"/>
            <w:tcBorders>
              <w:top w:val="single" w:sz="4"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6</w:t>
            </w:r>
          </w:p>
        </w:tc>
        <w:tc>
          <w:tcPr>
            <w:tcW w:w="960" w:type="dxa"/>
            <w:tcBorders>
              <w:top w:val="single" w:sz="4"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3</w:t>
            </w:r>
          </w:p>
        </w:tc>
        <w:tc>
          <w:tcPr>
            <w:tcW w:w="960" w:type="dxa"/>
            <w:tcBorders>
              <w:top w:val="nil"/>
              <w:left w:val="nil"/>
              <w:bottom w:val="nil"/>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0.63</w:t>
            </w:r>
          </w:p>
        </w:tc>
      </w:tr>
      <w:tr w:rsidR="00517E70" w:rsidRPr="00C324C1" w:rsidTr="00F565B1">
        <w:trPr>
          <w:trHeight w:val="270"/>
        </w:trPr>
        <w:tc>
          <w:tcPr>
            <w:tcW w:w="1420" w:type="dxa"/>
            <w:tcBorders>
              <w:top w:val="nil"/>
              <w:left w:val="single" w:sz="8" w:space="0" w:color="auto"/>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Pr>
                <w:lang w:val="en-GB"/>
              </w:rPr>
              <w:t>ženy</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9</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5</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p>
        </w:tc>
      </w:tr>
      <w:tr w:rsidR="00517E70" w:rsidRPr="00C324C1" w:rsidTr="00F565B1">
        <w:trPr>
          <w:trHeight w:val="270"/>
        </w:trPr>
        <w:tc>
          <w:tcPr>
            <w:tcW w:w="1420" w:type="dxa"/>
            <w:tcBorders>
              <w:top w:val="single" w:sz="4" w:space="0" w:color="auto"/>
              <w:left w:val="single" w:sz="4" w:space="0" w:color="auto"/>
              <w:bottom w:val="single" w:sz="4" w:space="0" w:color="auto"/>
            </w:tcBorders>
            <w:noWrap/>
            <w:vAlign w:val="bottom"/>
          </w:tcPr>
          <w:p w:rsidR="00517E70" w:rsidRPr="00F9142C" w:rsidRDefault="00517E70" w:rsidP="00203F1C">
            <w:pPr>
              <w:spacing w:line="360" w:lineRule="auto"/>
              <w:jc w:val="both"/>
              <w:rPr>
                <w:b/>
                <w:bCs/>
                <w:color w:val="000000"/>
                <w:lang w:val="en-GB"/>
              </w:rPr>
            </w:pPr>
            <w:r w:rsidRPr="00F9142C">
              <w:rPr>
                <w:b/>
                <w:bCs/>
                <w:color w:val="000000"/>
                <w:lang w:val="en-GB"/>
              </w:rPr>
              <w:t>P</w:t>
            </w:r>
            <w:r>
              <w:rPr>
                <w:b/>
                <w:bCs/>
                <w:color w:val="000000"/>
                <w:lang w:val="en-GB"/>
              </w:rPr>
              <w:t>rimární lokalizace</w:t>
            </w:r>
          </w:p>
        </w:tc>
        <w:tc>
          <w:tcPr>
            <w:tcW w:w="960" w:type="dxa"/>
            <w:tcBorders>
              <w:top w:val="single" w:sz="4" w:space="0" w:color="auto"/>
              <w:bottom w:val="single" w:sz="4" w:space="0" w:color="auto"/>
            </w:tcBorders>
            <w:noWrap/>
            <w:vAlign w:val="bottom"/>
          </w:tcPr>
          <w:p w:rsidR="00517E70" w:rsidRPr="00F9142C" w:rsidRDefault="00517E70" w:rsidP="00203F1C">
            <w:pPr>
              <w:spacing w:line="360" w:lineRule="auto"/>
              <w:jc w:val="both"/>
              <w:rPr>
                <w:color w:val="000000"/>
                <w:lang w:val="en-GB"/>
              </w:rPr>
            </w:pPr>
          </w:p>
        </w:tc>
        <w:tc>
          <w:tcPr>
            <w:tcW w:w="960" w:type="dxa"/>
            <w:tcBorders>
              <w:top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color w:val="000000"/>
                <w:lang w:val="en-GB"/>
              </w:rPr>
            </w:pPr>
          </w:p>
        </w:tc>
        <w:tc>
          <w:tcPr>
            <w:tcW w:w="960" w:type="dxa"/>
            <w:tcBorders>
              <w:top w:val="single" w:sz="4" w:space="0" w:color="auto"/>
              <w:left w:val="single" w:sz="4" w:space="0" w:color="auto"/>
              <w:right w:val="single" w:sz="4" w:space="0" w:color="auto"/>
            </w:tcBorders>
            <w:noWrap/>
            <w:vAlign w:val="bottom"/>
          </w:tcPr>
          <w:p w:rsidR="00517E70" w:rsidRPr="00C324C1" w:rsidRDefault="00517E70" w:rsidP="00203F1C">
            <w:pPr>
              <w:spacing w:line="360" w:lineRule="auto"/>
              <w:jc w:val="both"/>
              <w:rPr>
                <w:color w:val="FF0000"/>
                <w:lang w:val="en-GB"/>
              </w:rPr>
            </w:pPr>
          </w:p>
        </w:tc>
      </w:tr>
      <w:tr w:rsidR="00517E70" w:rsidRPr="00C324C1" w:rsidTr="00F565B1">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bCs/>
                <w:color w:val="000000"/>
                <w:lang w:val="en-GB"/>
              </w:rPr>
            </w:pPr>
            <w:r>
              <w:rPr>
                <w:bCs/>
                <w:color w:val="000000"/>
                <w:lang w:val="en-GB"/>
              </w:rPr>
              <w:t>malé slinné žlázy</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color w:val="000000"/>
                <w:lang w:val="en-GB"/>
              </w:rPr>
            </w:pPr>
            <w:r w:rsidRPr="00F9142C">
              <w:rPr>
                <w:color w:val="000000"/>
                <w:lang w:val="en-GB"/>
              </w:rPr>
              <w:t>6</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color w:val="000000"/>
                <w:lang w:val="en-GB"/>
              </w:rPr>
            </w:pPr>
            <w:r w:rsidRPr="00F9142C">
              <w:rPr>
                <w:color w:val="000000"/>
                <w:lang w:val="en-GB"/>
              </w:rPr>
              <w:t>1</w:t>
            </w:r>
          </w:p>
        </w:tc>
        <w:tc>
          <w:tcPr>
            <w:tcW w:w="960" w:type="dxa"/>
            <w:tcBorders>
              <w:left w:val="single" w:sz="4" w:space="0" w:color="auto"/>
              <w:right w:val="single" w:sz="4" w:space="0" w:color="auto"/>
            </w:tcBorders>
            <w:noWrap/>
            <w:vAlign w:val="bottom"/>
          </w:tcPr>
          <w:p w:rsidR="00517E70" w:rsidRPr="00F9142C" w:rsidRDefault="00517E70" w:rsidP="00203F1C">
            <w:pPr>
              <w:spacing w:line="360" w:lineRule="auto"/>
              <w:jc w:val="both"/>
              <w:rPr>
                <w:color w:val="000000"/>
                <w:lang w:val="en-GB"/>
              </w:rPr>
            </w:pPr>
            <w:r w:rsidRPr="00F9142C">
              <w:rPr>
                <w:color w:val="000000"/>
                <w:lang w:val="en-GB"/>
              </w:rPr>
              <w:t>0.18</w:t>
            </w:r>
          </w:p>
        </w:tc>
      </w:tr>
      <w:tr w:rsidR="00517E70" w:rsidRPr="00C324C1" w:rsidTr="00F565B1">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bCs/>
                <w:color w:val="000000"/>
                <w:lang w:val="en-GB"/>
              </w:rPr>
            </w:pPr>
            <w:r>
              <w:rPr>
                <w:bCs/>
                <w:color w:val="000000"/>
                <w:lang w:val="en-GB"/>
              </w:rPr>
              <w:t>velké slinné žlázy</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color w:val="000000"/>
                <w:lang w:val="en-GB"/>
              </w:rPr>
            </w:pPr>
            <w:r w:rsidRPr="00F9142C">
              <w:rPr>
                <w:color w:val="000000"/>
                <w:lang w:val="en-GB"/>
              </w:rPr>
              <w:t>9</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F9142C" w:rsidRDefault="00517E70" w:rsidP="00203F1C">
            <w:pPr>
              <w:spacing w:line="360" w:lineRule="auto"/>
              <w:jc w:val="both"/>
              <w:rPr>
                <w:color w:val="000000"/>
                <w:lang w:val="en-GB"/>
              </w:rPr>
            </w:pPr>
            <w:r w:rsidRPr="00F9142C">
              <w:rPr>
                <w:color w:val="000000"/>
                <w:lang w:val="en-GB"/>
              </w:rPr>
              <w:t>7</w:t>
            </w:r>
          </w:p>
        </w:tc>
        <w:tc>
          <w:tcPr>
            <w:tcW w:w="960" w:type="dxa"/>
            <w:tcBorders>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color w:val="FF0000"/>
                <w:lang w:val="en-GB"/>
              </w:rPr>
            </w:pPr>
          </w:p>
        </w:tc>
      </w:tr>
      <w:tr w:rsidR="00517E70" w:rsidRPr="00C324C1" w:rsidTr="00F565B1">
        <w:trPr>
          <w:trHeight w:val="270"/>
        </w:trPr>
        <w:tc>
          <w:tcPr>
            <w:tcW w:w="1420" w:type="dxa"/>
            <w:tcBorders>
              <w:top w:val="single" w:sz="4" w:space="0" w:color="auto"/>
              <w:left w:val="single" w:sz="4" w:space="0" w:color="auto"/>
              <w:bottom w:val="single" w:sz="4" w:space="0" w:color="auto"/>
            </w:tcBorders>
            <w:noWrap/>
            <w:vAlign w:val="bottom"/>
          </w:tcPr>
          <w:p w:rsidR="00517E70" w:rsidRPr="00C324C1" w:rsidRDefault="00517E70" w:rsidP="00203F1C">
            <w:pPr>
              <w:spacing w:line="360" w:lineRule="auto"/>
              <w:jc w:val="both"/>
              <w:rPr>
                <w:b/>
                <w:bCs/>
                <w:lang w:val="en-GB"/>
              </w:rPr>
            </w:pPr>
            <w:r w:rsidRPr="00C324C1">
              <w:rPr>
                <w:b/>
                <w:bCs/>
                <w:lang w:val="en-GB"/>
              </w:rPr>
              <w:t>St</w:t>
            </w:r>
            <w:r>
              <w:rPr>
                <w:b/>
                <w:bCs/>
                <w:lang w:val="en-GB"/>
              </w:rPr>
              <w:t>adium</w:t>
            </w:r>
          </w:p>
        </w:tc>
        <w:tc>
          <w:tcPr>
            <w:tcW w:w="960" w:type="dxa"/>
            <w:tcBorders>
              <w:top w:val="single" w:sz="4" w:space="0" w:color="auto"/>
              <w:bottom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single" w:sz="4" w:space="0" w:color="auto"/>
              <w:left w:val="single" w:sz="4" w:space="0" w:color="auto"/>
              <w:bottom w:val="nil"/>
              <w:right w:val="single" w:sz="8"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203F1C">
        <w:trPr>
          <w:trHeight w:val="270"/>
        </w:trPr>
        <w:tc>
          <w:tcPr>
            <w:tcW w:w="1420" w:type="dxa"/>
            <w:tcBorders>
              <w:top w:val="single" w:sz="4" w:space="0" w:color="auto"/>
              <w:left w:val="single" w:sz="8" w:space="0" w:color="auto"/>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1+2</w:t>
            </w:r>
          </w:p>
        </w:tc>
        <w:tc>
          <w:tcPr>
            <w:tcW w:w="960" w:type="dxa"/>
            <w:tcBorders>
              <w:top w:val="single" w:sz="4" w:space="0" w:color="auto"/>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2</w:t>
            </w:r>
          </w:p>
        </w:tc>
        <w:tc>
          <w:tcPr>
            <w:tcW w:w="960" w:type="dxa"/>
            <w:tcBorders>
              <w:top w:val="single" w:sz="4" w:space="0" w:color="auto"/>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6</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0.12</w:t>
            </w:r>
          </w:p>
        </w:tc>
      </w:tr>
      <w:tr w:rsidR="00517E70" w:rsidRPr="00C324C1" w:rsidTr="00203F1C">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3+4</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9</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6</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color w:val="FF0000"/>
                <w:lang w:val="en-GB"/>
              </w:rPr>
            </w:pPr>
          </w:p>
        </w:tc>
      </w:tr>
      <w:tr w:rsidR="00517E70" w:rsidRPr="00C324C1" w:rsidTr="00203F1C">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b/>
                <w:bCs/>
                <w:lang w:val="en-GB"/>
              </w:rPr>
            </w:pPr>
            <w:r>
              <w:rPr>
                <w:b/>
                <w:bCs/>
                <w:lang w:val="en-GB"/>
              </w:rPr>
              <w:t xml:space="preserve">Uzlinové meta </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3F13D7" w:rsidRDefault="00517E70" w:rsidP="00203F1C">
            <w:pPr>
              <w:spacing w:line="360" w:lineRule="auto"/>
              <w:jc w:val="both"/>
              <w:rPr>
                <w:color w:val="FF0000"/>
                <w:lang w:val="en-GB"/>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203F1C">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Pr>
                <w:lang w:val="en-GB"/>
              </w:rPr>
              <w:t>ano</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2</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3</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0.28</w:t>
            </w:r>
          </w:p>
        </w:tc>
      </w:tr>
      <w:tr w:rsidR="00517E70" w:rsidRPr="00C324C1" w:rsidTr="00203F1C">
        <w:trPr>
          <w:trHeight w:val="270"/>
        </w:trPr>
        <w:tc>
          <w:tcPr>
            <w:tcW w:w="142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Pr>
                <w:lang w:val="en-GB"/>
              </w:rPr>
              <w:t>ne</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12</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sidRPr="00C324C1">
              <w:rPr>
                <w:lang w:val="en-GB"/>
              </w:rPr>
              <w:t>6</w:t>
            </w:r>
          </w:p>
        </w:tc>
        <w:tc>
          <w:tcPr>
            <w:tcW w:w="960" w:type="dxa"/>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color w:val="FF0000"/>
                <w:lang w:val="en-GB"/>
              </w:rPr>
            </w:pPr>
          </w:p>
        </w:tc>
      </w:tr>
      <w:tr w:rsidR="00517E70" w:rsidRPr="00C324C1" w:rsidTr="00203F1C">
        <w:trPr>
          <w:trHeight w:val="270"/>
        </w:trPr>
        <w:tc>
          <w:tcPr>
            <w:tcW w:w="3340" w:type="dxa"/>
            <w:gridSpan w:val="3"/>
            <w:tcBorders>
              <w:top w:val="single" w:sz="4" w:space="0" w:color="auto"/>
              <w:left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r>
              <w:rPr>
                <w:b/>
                <w:bCs/>
                <w:lang w:val="en-GB"/>
              </w:rPr>
              <w:t>Vzdálené meta</w:t>
            </w:r>
          </w:p>
        </w:tc>
        <w:tc>
          <w:tcPr>
            <w:tcW w:w="960" w:type="dxa"/>
            <w:tcBorders>
              <w:top w:val="single" w:sz="4" w:space="0" w:color="auto"/>
              <w:left w:val="single" w:sz="4" w:space="0" w:color="auto"/>
              <w:bottom w:val="nil"/>
              <w:right w:val="single" w:sz="8"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F565B1">
        <w:trPr>
          <w:trHeight w:val="270"/>
        </w:trPr>
        <w:tc>
          <w:tcPr>
            <w:tcW w:w="1420" w:type="dxa"/>
            <w:tcBorders>
              <w:top w:val="single" w:sz="4" w:space="0" w:color="auto"/>
              <w:left w:val="single" w:sz="8" w:space="0" w:color="auto"/>
              <w:bottom w:val="single" w:sz="8" w:space="0" w:color="auto"/>
              <w:right w:val="single" w:sz="8" w:space="0" w:color="auto"/>
            </w:tcBorders>
            <w:noWrap/>
            <w:vAlign w:val="bottom"/>
          </w:tcPr>
          <w:p w:rsidR="00517E70" w:rsidRPr="00C324C1" w:rsidRDefault="00517E70" w:rsidP="00203F1C">
            <w:pPr>
              <w:spacing w:line="360" w:lineRule="auto"/>
              <w:jc w:val="both"/>
              <w:rPr>
                <w:color w:val="000000"/>
                <w:lang w:val="en-GB"/>
              </w:rPr>
            </w:pPr>
            <w:r>
              <w:rPr>
                <w:color w:val="000000"/>
                <w:lang w:val="en-GB"/>
              </w:rPr>
              <w:t>ano</w:t>
            </w:r>
          </w:p>
        </w:tc>
        <w:tc>
          <w:tcPr>
            <w:tcW w:w="960" w:type="dxa"/>
            <w:tcBorders>
              <w:top w:val="single" w:sz="4"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1</w:t>
            </w:r>
          </w:p>
        </w:tc>
        <w:tc>
          <w:tcPr>
            <w:tcW w:w="960" w:type="dxa"/>
            <w:tcBorders>
              <w:top w:val="single" w:sz="4"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0</w:t>
            </w:r>
          </w:p>
        </w:tc>
        <w:tc>
          <w:tcPr>
            <w:tcW w:w="960" w:type="dxa"/>
            <w:tcBorders>
              <w:top w:val="nil"/>
              <w:left w:val="nil"/>
              <w:bottom w:val="nil"/>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0.65</w:t>
            </w:r>
          </w:p>
        </w:tc>
      </w:tr>
      <w:tr w:rsidR="00517E70" w:rsidRPr="00C324C1" w:rsidTr="00F565B1">
        <w:trPr>
          <w:trHeight w:val="270"/>
        </w:trPr>
        <w:tc>
          <w:tcPr>
            <w:tcW w:w="1420" w:type="dxa"/>
            <w:tcBorders>
              <w:top w:val="nil"/>
              <w:left w:val="single" w:sz="8" w:space="0" w:color="auto"/>
              <w:bottom w:val="single" w:sz="4" w:space="0" w:color="auto"/>
              <w:right w:val="single" w:sz="8" w:space="0" w:color="auto"/>
            </w:tcBorders>
            <w:noWrap/>
            <w:vAlign w:val="bottom"/>
          </w:tcPr>
          <w:p w:rsidR="00517E70" w:rsidRPr="00C324C1" w:rsidRDefault="00517E70" w:rsidP="00203F1C">
            <w:pPr>
              <w:spacing w:line="360" w:lineRule="auto"/>
              <w:jc w:val="both"/>
              <w:rPr>
                <w:color w:val="FF0000"/>
                <w:lang w:val="en-GB"/>
              </w:rPr>
            </w:pPr>
            <w:r w:rsidRPr="00C324C1">
              <w:rPr>
                <w:color w:val="000000"/>
                <w:lang w:val="en-GB"/>
              </w:rPr>
              <w:t>n</w:t>
            </w:r>
            <w:r>
              <w:rPr>
                <w:color w:val="000000"/>
                <w:lang w:val="en-GB"/>
              </w:rPr>
              <w:t>e</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14</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8</w:t>
            </w:r>
          </w:p>
        </w:tc>
        <w:tc>
          <w:tcPr>
            <w:tcW w:w="960" w:type="dxa"/>
            <w:tcBorders>
              <w:top w:val="nil"/>
              <w:left w:val="nil"/>
              <w:bottom w:val="single" w:sz="8" w:space="0" w:color="auto"/>
              <w:right w:val="single" w:sz="8"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F565B1">
        <w:trPr>
          <w:trHeight w:val="270"/>
        </w:trPr>
        <w:tc>
          <w:tcPr>
            <w:tcW w:w="1420" w:type="dxa"/>
            <w:tcBorders>
              <w:top w:val="single" w:sz="4" w:space="0" w:color="auto"/>
              <w:left w:val="single" w:sz="4" w:space="0" w:color="auto"/>
              <w:bottom w:val="single" w:sz="4" w:space="0" w:color="auto"/>
            </w:tcBorders>
            <w:noWrap/>
            <w:vAlign w:val="bottom"/>
          </w:tcPr>
          <w:p w:rsidR="00517E70" w:rsidRPr="00C324C1" w:rsidRDefault="00517E70" w:rsidP="00203F1C">
            <w:pPr>
              <w:spacing w:line="360" w:lineRule="auto"/>
              <w:jc w:val="both"/>
              <w:rPr>
                <w:b/>
                <w:bCs/>
                <w:lang w:val="en-GB"/>
              </w:rPr>
            </w:pPr>
            <w:r w:rsidRPr="00C324C1">
              <w:rPr>
                <w:b/>
                <w:bCs/>
                <w:lang w:val="en-GB"/>
              </w:rPr>
              <w:t>Grade</w:t>
            </w:r>
          </w:p>
        </w:tc>
        <w:tc>
          <w:tcPr>
            <w:tcW w:w="960" w:type="dxa"/>
            <w:tcBorders>
              <w:top w:val="single" w:sz="4" w:space="0" w:color="auto"/>
              <w:bottom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nil"/>
              <w:left w:val="single" w:sz="4" w:space="0" w:color="auto"/>
              <w:bottom w:val="nil"/>
              <w:right w:val="single" w:sz="8"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F565B1">
        <w:trPr>
          <w:trHeight w:val="270"/>
        </w:trPr>
        <w:tc>
          <w:tcPr>
            <w:tcW w:w="1420" w:type="dxa"/>
            <w:tcBorders>
              <w:top w:val="single" w:sz="4" w:space="0" w:color="auto"/>
              <w:left w:val="single" w:sz="8" w:space="0" w:color="auto"/>
              <w:bottom w:val="nil"/>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I+II</w:t>
            </w:r>
          </w:p>
        </w:tc>
        <w:tc>
          <w:tcPr>
            <w:tcW w:w="960" w:type="dxa"/>
            <w:tcBorders>
              <w:top w:val="single" w:sz="4" w:space="0" w:color="auto"/>
              <w:left w:val="nil"/>
              <w:bottom w:val="nil"/>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8</w:t>
            </w:r>
          </w:p>
        </w:tc>
        <w:tc>
          <w:tcPr>
            <w:tcW w:w="960" w:type="dxa"/>
            <w:tcBorders>
              <w:top w:val="single" w:sz="4" w:space="0" w:color="auto"/>
              <w:left w:val="nil"/>
              <w:bottom w:val="nil"/>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6</w:t>
            </w:r>
          </w:p>
        </w:tc>
        <w:tc>
          <w:tcPr>
            <w:tcW w:w="960" w:type="dxa"/>
            <w:tcBorders>
              <w:top w:val="nil"/>
              <w:left w:val="nil"/>
              <w:bottom w:val="nil"/>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0.29</w:t>
            </w:r>
          </w:p>
        </w:tc>
      </w:tr>
      <w:tr w:rsidR="00517E70" w:rsidRPr="00C324C1" w:rsidTr="00F565B1">
        <w:trPr>
          <w:trHeight w:val="270"/>
        </w:trPr>
        <w:tc>
          <w:tcPr>
            <w:tcW w:w="1420" w:type="dxa"/>
            <w:tcBorders>
              <w:top w:val="single" w:sz="8" w:space="0" w:color="auto"/>
              <w:left w:val="single" w:sz="8" w:space="0" w:color="auto"/>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III</w:t>
            </w:r>
          </w:p>
        </w:tc>
        <w:tc>
          <w:tcPr>
            <w:tcW w:w="960" w:type="dxa"/>
            <w:tcBorders>
              <w:top w:val="single" w:sz="8" w:space="0" w:color="auto"/>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7</w:t>
            </w:r>
          </w:p>
        </w:tc>
        <w:tc>
          <w:tcPr>
            <w:tcW w:w="960" w:type="dxa"/>
            <w:tcBorders>
              <w:top w:val="single" w:sz="8" w:space="0" w:color="auto"/>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2</w:t>
            </w:r>
          </w:p>
        </w:tc>
        <w:tc>
          <w:tcPr>
            <w:tcW w:w="960" w:type="dxa"/>
            <w:tcBorders>
              <w:top w:val="nil"/>
              <w:left w:val="nil"/>
              <w:bottom w:val="single" w:sz="8" w:space="0" w:color="auto"/>
              <w:right w:val="single" w:sz="8"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F565B1">
        <w:trPr>
          <w:trHeight w:val="270"/>
        </w:trPr>
        <w:tc>
          <w:tcPr>
            <w:tcW w:w="1420" w:type="dxa"/>
            <w:tcBorders>
              <w:top w:val="single" w:sz="4" w:space="0" w:color="auto"/>
              <w:left w:val="single" w:sz="4" w:space="0" w:color="auto"/>
              <w:bottom w:val="single" w:sz="4" w:space="0" w:color="auto"/>
            </w:tcBorders>
            <w:noWrap/>
            <w:vAlign w:val="bottom"/>
          </w:tcPr>
          <w:p w:rsidR="00517E70" w:rsidRPr="00C324C1" w:rsidRDefault="00517E70" w:rsidP="00203F1C">
            <w:pPr>
              <w:spacing w:line="360" w:lineRule="auto"/>
              <w:jc w:val="both"/>
              <w:rPr>
                <w:b/>
                <w:bCs/>
                <w:lang w:val="en-GB"/>
              </w:rPr>
            </w:pPr>
            <w:r w:rsidRPr="00C324C1">
              <w:rPr>
                <w:b/>
                <w:bCs/>
                <w:lang w:val="en-GB"/>
              </w:rPr>
              <w:t>PNI</w:t>
            </w:r>
          </w:p>
        </w:tc>
        <w:tc>
          <w:tcPr>
            <w:tcW w:w="960" w:type="dxa"/>
            <w:tcBorders>
              <w:top w:val="single" w:sz="4" w:space="0" w:color="auto"/>
              <w:bottom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single" w:sz="4" w:space="0" w:color="auto"/>
              <w:bottom w:val="single" w:sz="4" w:space="0" w:color="auto"/>
              <w:right w:val="single" w:sz="4" w:space="0" w:color="auto"/>
            </w:tcBorders>
            <w:noWrap/>
            <w:vAlign w:val="bottom"/>
          </w:tcPr>
          <w:p w:rsidR="00517E70" w:rsidRPr="00C324C1" w:rsidRDefault="00517E70" w:rsidP="00203F1C">
            <w:pPr>
              <w:spacing w:line="360" w:lineRule="auto"/>
              <w:jc w:val="both"/>
              <w:rPr>
                <w:lang w:val="en-GB"/>
              </w:rPr>
            </w:pPr>
          </w:p>
        </w:tc>
        <w:tc>
          <w:tcPr>
            <w:tcW w:w="960" w:type="dxa"/>
            <w:tcBorders>
              <w:top w:val="nil"/>
              <w:left w:val="single" w:sz="4" w:space="0" w:color="auto"/>
              <w:bottom w:val="nil"/>
              <w:right w:val="single" w:sz="8" w:space="0" w:color="auto"/>
            </w:tcBorders>
            <w:noWrap/>
            <w:vAlign w:val="bottom"/>
          </w:tcPr>
          <w:p w:rsidR="00517E70" w:rsidRPr="00C324C1" w:rsidRDefault="00517E70" w:rsidP="00203F1C">
            <w:pPr>
              <w:spacing w:line="360" w:lineRule="auto"/>
              <w:jc w:val="both"/>
              <w:rPr>
                <w:color w:val="000000"/>
                <w:lang w:val="en-GB"/>
              </w:rPr>
            </w:pPr>
          </w:p>
        </w:tc>
      </w:tr>
      <w:tr w:rsidR="00517E70" w:rsidRPr="00C324C1" w:rsidTr="00F565B1">
        <w:trPr>
          <w:trHeight w:val="270"/>
        </w:trPr>
        <w:tc>
          <w:tcPr>
            <w:tcW w:w="1420" w:type="dxa"/>
            <w:tcBorders>
              <w:top w:val="single" w:sz="4" w:space="0" w:color="auto"/>
              <w:left w:val="single" w:sz="8" w:space="0" w:color="auto"/>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yes</w:t>
            </w:r>
          </w:p>
        </w:tc>
        <w:tc>
          <w:tcPr>
            <w:tcW w:w="960" w:type="dxa"/>
            <w:tcBorders>
              <w:top w:val="single" w:sz="4"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3</w:t>
            </w:r>
          </w:p>
        </w:tc>
        <w:tc>
          <w:tcPr>
            <w:tcW w:w="960" w:type="dxa"/>
            <w:tcBorders>
              <w:top w:val="single" w:sz="4" w:space="0" w:color="auto"/>
              <w:left w:val="nil"/>
              <w:bottom w:val="single" w:sz="8"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1</w:t>
            </w:r>
          </w:p>
        </w:tc>
        <w:tc>
          <w:tcPr>
            <w:tcW w:w="960" w:type="dxa"/>
            <w:tcBorders>
              <w:top w:val="nil"/>
              <w:left w:val="nil"/>
              <w:bottom w:val="nil"/>
              <w:right w:val="single" w:sz="8" w:space="0" w:color="auto"/>
            </w:tcBorders>
            <w:noWrap/>
            <w:vAlign w:val="bottom"/>
          </w:tcPr>
          <w:p w:rsidR="00517E70" w:rsidRPr="00C324C1" w:rsidRDefault="00517E70" w:rsidP="00203F1C">
            <w:pPr>
              <w:spacing w:line="360" w:lineRule="auto"/>
              <w:jc w:val="both"/>
              <w:rPr>
                <w:color w:val="000000"/>
                <w:lang w:val="en-GB"/>
              </w:rPr>
            </w:pPr>
            <w:r w:rsidRPr="00C324C1">
              <w:rPr>
                <w:color w:val="000000"/>
                <w:lang w:val="en-GB"/>
              </w:rPr>
              <w:t>0.60</w:t>
            </w:r>
          </w:p>
        </w:tc>
      </w:tr>
      <w:tr w:rsidR="00517E70" w:rsidRPr="00C324C1" w:rsidTr="00F565B1">
        <w:trPr>
          <w:trHeight w:val="270"/>
        </w:trPr>
        <w:tc>
          <w:tcPr>
            <w:tcW w:w="1420" w:type="dxa"/>
            <w:tcBorders>
              <w:top w:val="nil"/>
              <w:left w:val="single" w:sz="8" w:space="0" w:color="auto"/>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no</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1</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lang w:val="en-GB"/>
              </w:rPr>
            </w:pPr>
            <w:r w:rsidRPr="00C324C1">
              <w:rPr>
                <w:lang w:val="en-GB"/>
              </w:rPr>
              <w:t>1</w:t>
            </w:r>
          </w:p>
        </w:tc>
        <w:tc>
          <w:tcPr>
            <w:tcW w:w="960" w:type="dxa"/>
            <w:tcBorders>
              <w:top w:val="nil"/>
              <w:left w:val="nil"/>
              <w:bottom w:val="single" w:sz="4" w:space="0" w:color="auto"/>
              <w:right w:val="single" w:sz="8" w:space="0" w:color="auto"/>
            </w:tcBorders>
            <w:noWrap/>
            <w:vAlign w:val="bottom"/>
          </w:tcPr>
          <w:p w:rsidR="00517E70" w:rsidRPr="00C324C1" w:rsidRDefault="00517E70" w:rsidP="00203F1C">
            <w:pPr>
              <w:spacing w:line="360" w:lineRule="auto"/>
              <w:jc w:val="both"/>
              <w:rPr>
                <w:color w:val="000000"/>
                <w:lang w:val="en-GB"/>
              </w:rPr>
            </w:pPr>
          </w:p>
        </w:tc>
      </w:tr>
    </w:tbl>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sz w:val="16"/>
          <w:szCs w:val="16"/>
        </w:rPr>
      </w:pPr>
    </w:p>
    <w:p w:rsidR="00517E70" w:rsidRDefault="00517E70" w:rsidP="00203F1C">
      <w:pPr>
        <w:autoSpaceDE w:val="0"/>
        <w:autoSpaceDN w:val="0"/>
        <w:adjustRightInd w:val="0"/>
        <w:spacing w:line="360" w:lineRule="auto"/>
        <w:jc w:val="both"/>
        <w:rPr>
          <w:color w:val="000000"/>
        </w:rPr>
      </w:pPr>
      <w:r>
        <w:rPr>
          <w:color w:val="000000"/>
        </w:rPr>
        <w:t>Vysvětlivky:</w:t>
      </w:r>
    </w:p>
    <w:p w:rsidR="00517E70" w:rsidRDefault="00517E70" w:rsidP="00203F1C">
      <w:pPr>
        <w:autoSpaceDE w:val="0"/>
        <w:autoSpaceDN w:val="0"/>
        <w:adjustRightInd w:val="0"/>
        <w:spacing w:line="360" w:lineRule="auto"/>
        <w:jc w:val="both"/>
        <w:rPr>
          <w:color w:val="000000"/>
        </w:rPr>
      </w:pPr>
      <w:r>
        <w:rPr>
          <w:color w:val="000000"/>
        </w:rPr>
        <w:t xml:space="preserve"> PNI- perineurální invaze  </w:t>
      </w:r>
    </w:p>
    <w:p w:rsidR="00517E70" w:rsidRDefault="00517E70" w:rsidP="00203F1C">
      <w:pPr>
        <w:autoSpaceDE w:val="0"/>
        <w:autoSpaceDN w:val="0"/>
        <w:adjustRightInd w:val="0"/>
        <w:spacing w:line="360" w:lineRule="auto"/>
        <w:jc w:val="both"/>
        <w:rPr>
          <w:color w:val="000000"/>
        </w:rPr>
      </w:pPr>
      <w:r>
        <w:rPr>
          <w:color w:val="000000"/>
        </w:rPr>
        <w:t>A – naživu  s/anebo bez onemocnění</w:t>
      </w:r>
    </w:p>
    <w:p w:rsidR="00517E70" w:rsidRDefault="00517E70" w:rsidP="00203F1C">
      <w:pPr>
        <w:autoSpaceDE w:val="0"/>
        <w:autoSpaceDN w:val="0"/>
        <w:adjustRightInd w:val="0"/>
        <w:spacing w:line="360" w:lineRule="auto"/>
        <w:jc w:val="both"/>
        <w:rPr>
          <w:color w:val="000000"/>
        </w:rPr>
      </w:pPr>
      <w:r>
        <w:rPr>
          <w:color w:val="000000"/>
        </w:rPr>
        <w:t>DOD – pacienti zemřeli na základní.nádorové onemocnění</w:t>
      </w:r>
    </w:p>
    <w:p w:rsidR="00517E70" w:rsidRDefault="00517E70" w:rsidP="00203F1C">
      <w:pPr>
        <w:autoSpaceDE w:val="0"/>
        <w:autoSpaceDN w:val="0"/>
        <w:adjustRightInd w:val="0"/>
        <w:spacing w:line="360" w:lineRule="auto"/>
        <w:jc w:val="both"/>
        <w:rPr>
          <w:color w:val="000000"/>
        </w:rPr>
      </w:pPr>
      <w:r>
        <w:rPr>
          <w:color w:val="000000"/>
        </w:rPr>
        <w:t xml:space="preserve">P - Fisherův exaktní test </w:t>
      </w:r>
    </w:p>
    <w:p w:rsidR="00517E70" w:rsidRDefault="00517E70" w:rsidP="00203F1C">
      <w:pPr>
        <w:autoSpaceDE w:val="0"/>
        <w:autoSpaceDN w:val="0"/>
        <w:adjustRightInd w:val="0"/>
        <w:spacing w:line="360" w:lineRule="auto"/>
        <w:jc w:val="both"/>
        <w:rPr>
          <w:color w:val="000000"/>
          <w:sz w:val="16"/>
          <w:szCs w:val="16"/>
        </w:rPr>
      </w:pPr>
    </w:p>
    <w:p w:rsidR="00517E70" w:rsidRPr="007A39A8" w:rsidRDefault="00517E70" w:rsidP="00203F1C">
      <w:pPr>
        <w:tabs>
          <w:tab w:val="left" w:pos="6600"/>
        </w:tabs>
        <w:autoSpaceDE w:val="0"/>
        <w:autoSpaceDN w:val="0"/>
        <w:adjustRightInd w:val="0"/>
        <w:spacing w:line="360" w:lineRule="auto"/>
        <w:jc w:val="both"/>
        <w:rPr>
          <w:color w:val="000000"/>
          <w:sz w:val="16"/>
          <w:szCs w:val="16"/>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spacing w:line="360" w:lineRule="auto"/>
        <w:jc w:val="both"/>
        <w:rPr>
          <w:bCs/>
          <w:i/>
          <w:color w:val="FF0000"/>
        </w:rPr>
      </w:pPr>
    </w:p>
    <w:p w:rsidR="00517E70" w:rsidRDefault="00517E70" w:rsidP="00203F1C">
      <w:pPr>
        <w:autoSpaceDE w:val="0"/>
        <w:autoSpaceDN w:val="0"/>
        <w:adjustRightInd w:val="0"/>
        <w:spacing w:line="360" w:lineRule="auto"/>
        <w:jc w:val="both"/>
        <w:rPr>
          <w:rFonts w:ascii="new times roman" w:hAnsi="new times roman" w:cs="NewCenturySchlbkCE-Bold"/>
          <w:b/>
          <w:bCs/>
        </w:rPr>
      </w:pPr>
      <w:r>
        <w:rPr>
          <w:rFonts w:ascii="new times roman" w:hAnsi="new times roman" w:cs="NewCenturySchlbkCE-Bold"/>
          <w:b/>
          <w:bCs/>
        </w:rPr>
        <w:t>4.2.7 Diskuse</w:t>
      </w:r>
    </w:p>
    <w:p w:rsidR="00517E70" w:rsidRDefault="00517E70" w:rsidP="00203F1C">
      <w:pPr>
        <w:spacing w:line="360" w:lineRule="auto"/>
        <w:jc w:val="both"/>
        <w:rPr>
          <w:color w:val="000000"/>
        </w:rPr>
      </w:pPr>
    </w:p>
    <w:p w:rsidR="00517E70" w:rsidRDefault="00517E70" w:rsidP="00203F1C">
      <w:pPr>
        <w:spacing w:line="360" w:lineRule="auto"/>
        <w:jc w:val="both"/>
        <w:rPr>
          <w:color w:val="000000"/>
        </w:rPr>
      </w:pPr>
      <w:r>
        <w:rPr>
          <w:color w:val="000000"/>
        </w:rPr>
        <w:t xml:space="preserve">Alteraci  MYB genu u ACC popsala jako první v  r. 2009 Perssonová (77) u 6 pacientů, u nichž tento nádor vycházel z velkých a malých slinných žláz, ze slzné žlázy a z prsu. Ve všech těchto případech šlo o translokaci MYB genu a jeho fúzi s malou částí NFIB genu, který je lokalizován na chromozomu 9 v oblasti </w:t>
      </w:r>
      <w:r>
        <w:t>p23–p24</w:t>
      </w:r>
      <w:r>
        <w:rPr>
          <w:color w:val="000000"/>
        </w:rPr>
        <w:t xml:space="preserve">. Autorka se proto domnívala, že tato fúzní translokace, o níž je známo že zvyšuje MYB transkripční aktivitu nádorových buněk (78), je jediným mechanismem vzniku ACC. </w:t>
      </w:r>
    </w:p>
    <w:p w:rsidR="00517E70" w:rsidRDefault="00517E70" w:rsidP="00203F1C">
      <w:pPr>
        <w:spacing w:line="360" w:lineRule="auto"/>
        <w:jc w:val="both"/>
        <w:rPr>
          <w:color w:val="000000"/>
        </w:rPr>
      </w:pPr>
      <w:r>
        <w:rPr>
          <w:color w:val="000000"/>
        </w:rPr>
        <w:t>Výsledky dalších studií (60,61,79), které studovaly MYB-NFIN fůzi a současně imunohistochemickou expresi tohoto  fůzního  genu prokázaly, že ne vždy je zvýšená imunohistochemická exprese spojená s MYB-NFIB fůzí. Lze tak předpokládat, že MYB gen je aktivován ještě dalšími, dosud ne zcela objasněnými mechanismy (60). West (61) zjistil v 16 % případů svého souboru adenoidně cystických karcinomů pomocí FISH abnormální stav MYB genu. Domníval se, že jde o jeho duplikaci</w:t>
      </w:r>
      <w:r>
        <w:rPr>
          <w:i/>
          <w:color w:val="000000"/>
        </w:rPr>
        <w:t xml:space="preserve">, </w:t>
      </w:r>
      <w:r>
        <w:rPr>
          <w:color w:val="000000"/>
        </w:rPr>
        <w:t>která není spojena s NFIB genem. Podobný nález byl zjištěn u akutní lymfatické leukémie z T buněk (58). Jinou možností alterace MYB genu je námi prokázaný zlom, který se vyskytl v 65 % analyzovaných vzorků. Takováto genová anomálie dosud nebyla popsána.</w:t>
      </w:r>
    </w:p>
    <w:p w:rsidR="00517E70" w:rsidRDefault="00517E70" w:rsidP="00203F1C">
      <w:pPr>
        <w:autoSpaceDE w:val="0"/>
        <w:autoSpaceDN w:val="0"/>
        <w:adjustRightInd w:val="0"/>
        <w:spacing w:line="360" w:lineRule="auto"/>
        <w:jc w:val="both"/>
        <w:rPr>
          <w:bCs/>
          <w:iCs/>
        </w:rPr>
      </w:pPr>
    </w:p>
    <w:p w:rsidR="00517E70" w:rsidRPr="003F1127" w:rsidRDefault="00517E70" w:rsidP="00203F1C">
      <w:pPr>
        <w:spacing w:line="360" w:lineRule="auto"/>
        <w:jc w:val="both"/>
        <w:rPr>
          <w:iCs/>
        </w:rPr>
      </w:pPr>
      <w:r>
        <w:rPr>
          <w:bCs/>
          <w:iCs/>
        </w:rPr>
        <w:t>V naší práci jsme neprokázali prognostickou relevanci zlomu MYB genu, u MYB negativních pacientů však byla naznačena tendence k delšímu přežití. West (3) a</w:t>
      </w:r>
      <w:r>
        <w:rPr>
          <w:rFonts w:ascii="new times roman" w:hAnsi="new times roman" w:cs="NewCenturySchlbkCE-Roman"/>
          <w:i/>
        </w:rPr>
        <w:t xml:space="preserve"> </w:t>
      </w:r>
      <w:r>
        <w:rPr>
          <w:rFonts w:ascii="new times roman" w:hAnsi="new times roman" w:cs="NewCenturySchlbkCE-Roman"/>
        </w:rPr>
        <w:t xml:space="preserve">Mitani (60,62)   zkoumali prognostický význam MYB-NFIB fúzní translokace. V jejich souboru ACC se vyskytla ve 49 %, resp. 28 % vyšetřených vzorků. První z autorů zjistil </w:t>
      </w:r>
      <w:r>
        <w:rPr>
          <w:iCs/>
        </w:rPr>
        <w:t>horší přežití onemocnění u pacientů s touto alterací, výsledek však pro malý počet zkoumaných vzorků nedosáhl statistického významu.  Druhý autor studoval prognostický dopad přítomnosti MYB-NFIB fúzní translokace v ACC ve dvou po sobě následujících studiích. V první z nich, čítajíc</w:t>
      </w:r>
      <w:r>
        <w:rPr>
          <w:iCs/>
          <w:color w:val="000000"/>
        </w:rPr>
        <w:t xml:space="preserve">í 72 </w:t>
      </w:r>
      <w:r>
        <w:rPr>
          <w:iCs/>
        </w:rPr>
        <w:t xml:space="preserve">probandů byl patrný rozdíl mezi pacienty s MYB-NFIB pozitivními a negativními nádory, </w:t>
      </w:r>
      <w:r w:rsidRPr="003F1127">
        <w:rPr>
          <w:iCs/>
        </w:rPr>
        <w:t>tento však nebyl významný (6).</w:t>
      </w:r>
      <w:r w:rsidRPr="00CA4706">
        <w:rPr>
          <w:iCs/>
          <w:color w:val="FF0000"/>
        </w:rPr>
        <w:t xml:space="preserve"> </w:t>
      </w:r>
      <w:r>
        <w:rPr>
          <w:iCs/>
        </w:rPr>
        <w:t xml:space="preserve">Statistické signifikance bylo dosaženo až ve druhé studii (62), zahrnující 103 případů. </w:t>
      </w:r>
      <w:r w:rsidRPr="00850241">
        <w:rPr>
          <w:bCs/>
          <w:color w:val="000000"/>
        </w:rPr>
        <w:t xml:space="preserve">V dosud největší </w:t>
      </w:r>
      <w:r>
        <w:rPr>
          <w:bCs/>
          <w:color w:val="000000"/>
        </w:rPr>
        <w:t>recentní studii Rettigové (80) z r .</w:t>
      </w:r>
      <w:r w:rsidRPr="00850241">
        <w:rPr>
          <w:bCs/>
          <w:color w:val="000000"/>
        </w:rPr>
        <w:t>2015  zahrnující 158 pacientů nebyl zjištěn jednoznačný prognostický význa</w:t>
      </w:r>
      <w:r>
        <w:rPr>
          <w:bCs/>
          <w:color w:val="000000"/>
        </w:rPr>
        <w:t xml:space="preserve">m MYB-NFIB fůze. Avšak autorka </w:t>
      </w:r>
      <w:r w:rsidRPr="00850241">
        <w:rPr>
          <w:bCs/>
          <w:color w:val="000000"/>
        </w:rPr>
        <w:t>hodnotí výsledky z prognostického hlediska jako nejednoznačné. U pacientů MY</w:t>
      </w:r>
      <w:r>
        <w:rPr>
          <w:bCs/>
          <w:color w:val="000000"/>
        </w:rPr>
        <w:t>B-NFIB pozitivních totiž</w:t>
      </w:r>
      <w:r w:rsidRPr="00850241">
        <w:rPr>
          <w:bCs/>
          <w:color w:val="000000"/>
        </w:rPr>
        <w:t xml:space="preserve"> pozoruje pokles délky disease</w:t>
      </w:r>
      <w:r>
        <w:rPr>
          <w:bCs/>
          <w:color w:val="000000"/>
        </w:rPr>
        <w:t>-</w:t>
      </w:r>
      <w:r w:rsidRPr="00850241">
        <w:rPr>
          <w:bCs/>
          <w:color w:val="000000"/>
        </w:rPr>
        <w:t>free i</w:t>
      </w:r>
      <w:r>
        <w:rPr>
          <w:bCs/>
          <w:color w:val="000000"/>
        </w:rPr>
        <w:t xml:space="preserve">ntervalu avšak bez souvislosti </w:t>
      </w:r>
      <w:r w:rsidRPr="00850241">
        <w:rPr>
          <w:bCs/>
          <w:color w:val="000000"/>
        </w:rPr>
        <w:t>s</w:t>
      </w:r>
      <w:r>
        <w:rPr>
          <w:bCs/>
          <w:color w:val="000000"/>
        </w:rPr>
        <w:t xml:space="preserve"> celkovým přežitím. Společně</w:t>
      </w:r>
      <w:r w:rsidRPr="00850241">
        <w:rPr>
          <w:bCs/>
          <w:color w:val="000000"/>
        </w:rPr>
        <w:t xml:space="preserve"> s výsledk</w:t>
      </w:r>
      <w:r>
        <w:rPr>
          <w:bCs/>
          <w:color w:val="000000"/>
        </w:rPr>
        <w:t>y dalších klinických studií (60,61</w:t>
      </w:r>
      <w:r w:rsidRPr="00850241">
        <w:rPr>
          <w:bCs/>
          <w:color w:val="000000"/>
        </w:rPr>
        <w:t>,6</w:t>
      </w:r>
      <w:r>
        <w:rPr>
          <w:bCs/>
          <w:color w:val="000000"/>
        </w:rPr>
        <w:t>2</w:t>
      </w:r>
      <w:r w:rsidRPr="00850241">
        <w:rPr>
          <w:bCs/>
          <w:color w:val="000000"/>
        </w:rPr>
        <w:t>) hodnotí ACC s MYB- NFIB pozitivním statusem jako více agresívní.</w:t>
      </w:r>
      <w:r>
        <w:rPr>
          <w:bCs/>
          <w:color w:val="000000"/>
        </w:rPr>
        <w:t xml:space="preserve"> </w:t>
      </w:r>
    </w:p>
    <w:p w:rsidR="00517E70" w:rsidRDefault="00517E70" w:rsidP="00203F1C">
      <w:pPr>
        <w:spacing w:line="360" w:lineRule="auto"/>
        <w:jc w:val="both"/>
        <w:rPr>
          <w:bCs/>
          <w:i/>
          <w:color w:val="000000"/>
        </w:rPr>
      </w:pPr>
      <w:r>
        <w:rPr>
          <w:bCs/>
          <w:color w:val="000000"/>
        </w:rPr>
        <w:t xml:space="preserve">Vzdálené metastázy jsme prokázali pouze u jednoho z celkového počtu 23 pacientů. U tohoto pacienta jsme prokázali zlom MYB genu. Na druhé straně 14 nemocných s touto alterací zůstávalo prosto známek generalizace nádoru. Ve </w:t>
      </w:r>
      <w:r>
        <w:rPr>
          <w:bCs/>
          <w:iCs/>
          <w:color w:val="000000"/>
        </w:rPr>
        <w:t>Westově souboru (61) došlo k hematogenním metastázám pouze u 2 z celkového počtu 37 pacientů s ACC. U  žádného z prvně uvedených však nebyla prokázána MYB/NFIB fúze, tato však byla přítomna 24 ze 35 nemocných bez  metastáz.</w:t>
      </w:r>
      <w:r>
        <w:rPr>
          <w:bCs/>
          <w:i/>
          <w:color w:val="000000"/>
        </w:rPr>
        <w:t xml:space="preserve"> </w:t>
      </w:r>
    </w:p>
    <w:p w:rsidR="00517E70" w:rsidRDefault="00517E70" w:rsidP="00203F1C">
      <w:pPr>
        <w:spacing w:line="360" w:lineRule="auto"/>
        <w:jc w:val="both"/>
        <w:rPr>
          <w:bCs/>
          <w:i/>
          <w:color w:val="000000"/>
        </w:rPr>
      </w:pPr>
      <w:r>
        <w:rPr>
          <w:bCs/>
          <w:color w:val="000000"/>
        </w:rPr>
        <w:t>Uzlinové metastázy byly zjištěny u 5 našich pacientů, z nichž 2 byli MYB FISH pozitivní. Z celkového počtu 15 pacientů s touto alterací byl karcinom v uzlinách zastižen jen ve 2 případech. Westova  studie (61) zahrnovala 7 nemocných s uzlinovým postižením z nichž 4 byli MYB/NFIB pozitivní a z celkového počtu 18 pacientů s touto anomálií měli 4 uzlinové metastázy.</w:t>
      </w:r>
      <w:r>
        <w:rPr>
          <w:bCs/>
          <w:color w:val="FF0000"/>
        </w:rPr>
        <w:t xml:space="preserve"> </w:t>
      </w:r>
      <w:r>
        <w:rPr>
          <w:bCs/>
          <w:color w:val="000000"/>
        </w:rPr>
        <w:t>V</w:t>
      </w:r>
      <w:r>
        <w:rPr>
          <w:bCs/>
          <w:iCs/>
          <w:color w:val="000000"/>
        </w:rPr>
        <w:t xml:space="preserve">ýsledky obou studií naznačují, že ani jedna z uvedených alterací zkoumaného genu nemá vztah k hematogennímu ani lymfogennímu  šíření nádoru. </w:t>
      </w:r>
      <w:r>
        <w:rPr>
          <w:bCs/>
          <w:i/>
          <w:color w:val="000000"/>
        </w:rPr>
        <w:t xml:space="preserve"> </w:t>
      </w:r>
    </w:p>
    <w:p w:rsidR="00517E70" w:rsidRDefault="00517E70" w:rsidP="00203F1C">
      <w:pPr>
        <w:spacing w:line="360" w:lineRule="auto"/>
        <w:jc w:val="both"/>
        <w:rPr>
          <w:bCs/>
          <w:color w:val="000000"/>
        </w:rPr>
      </w:pPr>
      <w:r>
        <w:rPr>
          <w:bCs/>
          <w:color w:val="000000"/>
        </w:rPr>
        <w:t>V našem souboru 3 ze 4 pacientů s PNI byli MYB FISH pozitivní. Tito 3 pacienti tvoří 20% z celkového počtu 15 pacientů s pozitivním zlomem MYB genu. Oproti tomu West (61) ve svém souboru udává PNI invazi u 15 z 18 (tj. 83%) z FISH MYB pozitivních pacientů. Naše studie tedy na rozdíl od Westovy nenaznačuje trend k perineurální invazi u pacientů s uvedenými změnami tohoto genu.</w:t>
      </w:r>
    </w:p>
    <w:p w:rsidR="00517E70" w:rsidRDefault="00517E70" w:rsidP="00203F1C">
      <w:pPr>
        <w:spacing w:line="360" w:lineRule="auto"/>
        <w:jc w:val="both"/>
        <w:rPr>
          <w:bCs/>
          <w:color w:val="000000"/>
        </w:rPr>
      </w:pPr>
      <w:r w:rsidRPr="00F3424E">
        <w:rPr>
          <w:bCs/>
          <w:color w:val="000000"/>
        </w:rPr>
        <w:t xml:space="preserve">Šest </w:t>
      </w:r>
      <w:r>
        <w:rPr>
          <w:bCs/>
          <w:color w:val="000000"/>
        </w:rPr>
        <w:t>pacientů s origem ACC v malých slinných žlázách</w:t>
      </w:r>
      <w:r w:rsidRPr="00F3424E">
        <w:rPr>
          <w:bCs/>
          <w:color w:val="000000"/>
        </w:rPr>
        <w:t xml:space="preserve"> bylo MYB pozitivních. Těchto 6 pacientů tvoří 84% z celkového počtu 7 pacien</w:t>
      </w:r>
      <w:r>
        <w:rPr>
          <w:bCs/>
          <w:color w:val="000000"/>
        </w:rPr>
        <w:t xml:space="preserve">tů s origem  v malých slinných </w:t>
      </w:r>
      <w:r w:rsidRPr="00F3424E">
        <w:rPr>
          <w:bCs/>
          <w:color w:val="000000"/>
        </w:rPr>
        <w:t>žlá</w:t>
      </w:r>
      <w:r>
        <w:rPr>
          <w:bCs/>
          <w:color w:val="000000"/>
        </w:rPr>
        <w:t xml:space="preserve">zách. Podobně </w:t>
      </w:r>
      <w:r w:rsidRPr="00F3424E">
        <w:rPr>
          <w:bCs/>
          <w:color w:val="000000"/>
        </w:rPr>
        <w:t>West</w:t>
      </w:r>
      <w:r>
        <w:rPr>
          <w:bCs/>
          <w:color w:val="000000"/>
        </w:rPr>
        <w:t xml:space="preserve"> (61)</w:t>
      </w:r>
      <w:r w:rsidRPr="00F3424E">
        <w:rPr>
          <w:bCs/>
          <w:color w:val="000000"/>
          <w:vertAlign w:val="superscript"/>
        </w:rPr>
        <w:t xml:space="preserve"> </w:t>
      </w:r>
      <w:r>
        <w:rPr>
          <w:bCs/>
          <w:color w:val="000000"/>
          <w:vertAlign w:val="superscript"/>
        </w:rPr>
        <w:t xml:space="preserve"> </w:t>
      </w:r>
      <w:r w:rsidRPr="00F3424E">
        <w:rPr>
          <w:bCs/>
          <w:color w:val="000000"/>
        </w:rPr>
        <w:t xml:space="preserve">z celkového počtu 24 pacientů s origem  v malých  slinných  žlázách detekoval MYB-NFIB pozitivitu </w:t>
      </w:r>
      <w:r w:rsidRPr="00F3424E">
        <w:rPr>
          <w:bCs/>
          <w:color w:val="000000"/>
          <w:vertAlign w:val="superscript"/>
        </w:rPr>
        <w:t xml:space="preserve"> </w:t>
      </w:r>
      <w:r w:rsidRPr="00F3424E">
        <w:rPr>
          <w:bCs/>
          <w:color w:val="000000"/>
        </w:rPr>
        <w:t xml:space="preserve">u 17 </w:t>
      </w:r>
      <w:r>
        <w:rPr>
          <w:bCs/>
          <w:color w:val="000000"/>
        </w:rPr>
        <w:t xml:space="preserve">z nich ( tj.70%). </w:t>
      </w:r>
      <w:r w:rsidRPr="00850241">
        <w:rPr>
          <w:bCs/>
          <w:color w:val="000000"/>
        </w:rPr>
        <w:t>Rettigová</w:t>
      </w:r>
      <w:r>
        <w:rPr>
          <w:bCs/>
          <w:color w:val="000000"/>
        </w:rPr>
        <w:t xml:space="preserve"> (80) rovněž  udává  vyšší prevalenci MYB-NFIB fůze u ACC malých  slinných  žláz , a to  v 76%.</w:t>
      </w: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autoSpaceDE w:val="0"/>
        <w:autoSpaceDN w:val="0"/>
        <w:adjustRightInd w:val="0"/>
        <w:spacing w:line="360" w:lineRule="auto"/>
        <w:jc w:val="both"/>
        <w:rPr>
          <w:rFonts w:ascii="new times roman" w:hAnsi="new times roman" w:cs="NewCenturySchlbkCE-Bold"/>
          <w:b/>
          <w:bCs/>
        </w:rPr>
      </w:pPr>
    </w:p>
    <w:p w:rsidR="00517E70" w:rsidRDefault="00517E70" w:rsidP="00203F1C">
      <w:pPr>
        <w:numPr>
          <w:ilvl w:val="2"/>
          <w:numId w:val="9"/>
        </w:numPr>
        <w:autoSpaceDE w:val="0"/>
        <w:autoSpaceDN w:val="0"/>
        <w:adjustRightInd w:val="0"/>
        <w:spacing w:line="360" w:lineRule="auto"/>
        <w:jc w:val="both"/>
        <w:rPr>
          <w:rFonts w:ascii="new times roman" w:hAnsi="new times roman" w:cs="NewCenturySchlbkCE-Bold"/>
          <w:b/>
          <w:bCs/>
        </w:rPr>
      </w:pPr>
      <w:r>
        <w:rPr>
          <w:rFonts w:ascii="new times roman" w:hAnsi="new times roman" w:cs="NewCenturySchlbkCE-Bold"/>
          <w:b/>
          <w:bCs/>
        </w:rPr>
        <w:t>Závěr práce - MYB  gen</w:t>
      </w:r>
    </w:p>
    <w:p w:rsidR="00517E70" w:rsidRDefault="00517E70" w:rsidP="00203F1C">
      <w:pPr>
        <w:autoSpaceDE w:val="0"/>
        <w:autoSpaceDN w:val="0"/>
        <w:adjustRightInd w:val="0"/>
        <w:spacing w:line="360" w:lineRule="auto"/>
        <w:jc w:val="both"/>
        <w:rPr>
          <w:rFonts w:ascii="new times roman" w:hAnsi="new times roman" w:cs="NewCenturySchlbkCE-Bold"/>
          <w:b/>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 xml:space="preserve">1. U </w:t>
      </w:r>
      <w:r w:rsidRPr="00EB4008">
        <w:rPr>
          <w:rFonts w:ascii="new times roman" w:hAnsi="new times roman" w:cs="NewCenturySchlbkCE-Bold"/>
          <w:bCs/>
        </w:rPr>
        <w:t>většiny</w:t>
      </w:r>
      <w:r>
        <w:rPr>
          <w:rFonts w:ascii="new times roman" w:hAnsi="new times roman" w:cs="NewCenturySchlbkCE-Bold"/>
          <w:bCs/>
        </w:rPr>
        <w:t xml:space="preserve"> ( v 65%) </w:t>
      </w:r>
      <w:r w:rsidRPr="00EB4008">
        <w:rPr>
          <w:rFonts w:ascii="new times roman" w:hAnsi="new times roman" w:cs="NewCenturySchlbkCE-Bold"/>
          <w:bCs/>
        </w:rPr>
        <w:t xml:space="preserve"> salivárních adenoidně cystických karcinom</w:t>
      </w:r>
      <w:r>
        <w:rPr>
          <w:rFonts w:ascii="new times roman" w:hAnsi="new times roman" w:cs="NewCenturySchlbkCE-Bold"/>
          <w:bCs/>
        </w:rPr>
        <w:t xml:space="preserve">ů byl detekován  zlom </w:t>
      </w:r>
      <w:r w:rsidRPr="00EB4008">
        <w:rPr>
          <w:rFonts w:ascii="new times roman" w:hAnsi="new times roman" w:cs="NewCenturySchlbkCE-Bold"/>
          <w:bCs/>
        </w:rPr>
        <w:t>MYB genu</w:t>
      </w:r>
      <w:r>
        <w:rPr>
          <w:rFonts w:ascii="new times roman" w:hAnsi="new times roman" w:cs="NewCenturySchlbkCE-Bold"/>
          <w:bCs/>
        </w:rPr>
        <w:t>.</w:t>
      </w:r>
      <w:r w:rsidRPr="00EB4008">
        <w:rPr>
          <w:rFonts w:ascii="new times roman" w:hAnsi="new times roman" w:cs="NewCenturySchlbkCE-Bold"/>
          <w:bCs/>
        </w:rPr>
        <w:t xml:space="preserve">  </w:t>
      </w:r>
    </w:p>
    <w:p w:rsidR="00517E70" w:rsidRDefault="00517E70" w:rsidP="00203F1C">
      <w:pPr>
        <w:autoSpaceDE w:val="0"/>
        <w:autoSpaceDN w:val="0"/>
        <w:adjustRightInd w:val="0"/>
        <w:spacing w:line="360" w:lineRule="auto"/>
        <w:ind w:hanging="1440"/>
        <w:jc w:val="both"/>
        <w:rPr>
          <w:rFonts w:ascii="new times roman" w:hAnsi="new times roman" w:cs="NewCenturySchlbkCE-Bold"/>
          <w:bCs/>
        </w:rPr>
      </w:pPr>
      <w:r>
        <w:rPr>
          <w:rFonts w:ascii="new times roman" w:hAnsi="new times roman" w:cs="NewCenturySchlbkCE-Bold"/>
          <w:bCs/>
        </w:rPr>
        <w:t xml:space="preserve">                         2. Neprokázali jsme významnou korelaci přítomnosti zlomu MYB genu u ACC    s prognózou, ani se žádným  ze  sledovaných klinických parametrů.</w:t>
      </w:r>
    </w:p>
    <w:p w:rsidR="00517E70" w:rsidRDefault="00517E70" w:rsidP="00203F1C">
      <w:pPr>
        <w:autoSpaceDE w:val="0"/>
        <w:autoSpaceDN w:val="0"/>
        <w:adjustRightInd w:val="0"/>
        <w:spacing w:line="360" w:lineRule="auto"/>
        <w:jc w:val="both"/>
        <w:rPr>
          <w:rFonts w:ascii="new times roman" w:hAnsi="new times roman" w:cs="NewCenturySchlbkCE-Bold"/>
          <w:bCs/>
        </w:rPr>
      </w:pPr>
      <w:r>
        <w:rPr>
          <w:rFonts w:ascii="new times roman" w:hAnsi="new times roman" w:cs="NewCenturySchlbkCE-Bold"/>
          <w:bCs/>
        </w:rPr>
        <w:t xml:space="preserve"> Prognostický význam detekce zlomu MYB genu u ACC je sporný a k jeho ověření bude potřeba dalších studií. </w:t>
      </w: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autoSpaceDE w:val="0"/>
        <w:autoSpaceDN w:val="0"/>
        <w:adjustRightInd w:val="0"/>
        <w:spacing w:line="360" w:lineRule="auto"/>
        <w:jc w:val="both"/>
        <w:rPr>
          <w:rFonts w:ascii="new times roman" w:hAnsi="new times roman" w:cs="NewCenturySchlbkCE-Bold"/>
          <w:bCs/>
        </w:rPr>
      </w:pPr>
    </w:p>
    <w:p w:rsidR="00517E70" w:rsidRPr="008668D3" w:rsidRDefault="00517E70" w:rsidP="00203F1C">
      <w:pPr>
        <w:autoSpaceDE w:val="0"/>
        <w:autoSpaceDN w:val="0"/>
        <w:adjustRightInd w:val="0"/>
        <w:spacing w:line="360" w:lineRule="auto"/>
        <w:jc w:val="both"/>
        <w:rPr>
          <w:rFonts w:ascii="new times roman" w:hAnsi="new times roman" w:cs="NewCenturySchlbkCE-Bold"/>
          <w:bCs/>
        </w:rPr>
      </w:pPr>
    </w:p>
    <w:p w:rsidR="00517E70" w:rsidRDefault="00517E70" w:rsidP="00203F1C">
      <w:pPr>
        <w:numPr>
          <w:ilvl w:val="0"/>
          <w:numId w:val="33"/>
        </w:numPr>
        <w:spacing w:line="360" w:lineRule="auto"/>
        <w:jc w:val="both"/>
        <w:rPr>
          <w:b/>
        </w:rPr>
      </w:pPr>
      <w:r>
        <w:rPr>
          <w:b/>
        </w:rPr>
        <w:t>LITERATURA</w:t>
      </w: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Pr="00615DCD" w:rsidRDefault="00517E70" w:rsidP="00203F1C">
      <w:pPr>
        <w:spacing w:line="360" w:lineRule="auto"/>
        <w:jc w:val="both"/>
        <w:rPr>
          <w:color w:val="000000"/>
        </w:rPr>
      </w:pPr>
      <w:r w:rsidRPr="00615DCD">
        <w:rPr>
          <w:color w:val="000000"/>
        </w:rPr>
        <w:t xml:space="preserve">1 </w:t>
      </w:r>
      <w:r>
        <w:rPr>
          <w:color w:val="000000"/>
        </w:rPr>
        <w:t xml:space="preserve"> </w:t>
      </w:r>
      <w:r w:rsidRPr="00615DCD">
        <w:rPr>
          <w:color w:val="000000"/>
        </w:rPr>
        <w:t xml:space="preserve">Speight PM, &amp; Barrett AW. Salivary gland tumours. </w:t>
      </w:r>
      <w:r w:rsidRPr="00615DCD">
        <w:rPr>
          <w:iCs/>
          <w:color w:val="000000"/>
        </w:rPr>
        <w:t>Oral diseases</w:t>
      </w:r>
      <w:r>
        <w:rPr>
          <w:color w:val="000000"/>
        </w:rPr>
        <w:t xml:space="preserve"> 8, 2002,</w:t>
      </w:r>
      <w:r w:rsidRPr="00615DCD">
        <w:rPr>
          <w:color w:val="000000"/>
        </w:rPr>
        <w:t>5,s.:229-240.</w:t>
      </w:r>
    </w:p>
    <w:p w:rsidR="00517E70" w:rsidRPr="00615DCD" w:rsidRDefault="00517E70" w:rsidP="00203F1C">
      <w:pPr>
        <w:spacing w:line="360" w:lineRule="auto"/>
        <w:jc w:val="both"/>
        <w:rPr>
          <w:color w:val="000000"/>
        </w:rPr>
      </w:pPr>
      <w:r w:rsidRPr="00615DCD">
        <w:rPr>
          <w:color w:val="000000"/>
        </w:rPr>
        <w:t xml:space="preserve"> 2.</w:t>
      </w:r>
      <w:r>
        <w:rPr>
          <w:color w:val="000000"/>
        </w:rPr>
        <w:t xml:space="preserve"> </w:t>
      </w:r>
      <w:r w:rsidRPr="00615DCD">
        <w:rPr>
          <w:color w:val="000000"/>
        </w:rPr>
        <w:t xml:space="preserve">Spiro, R. H., Thaler, H. T., Hicks, et al.: The importance of clinical staging of minor salivary gland carcinoma. </w:t>
      </w:r>
      <w:r w:rsidRPr="00615DCD">
        <w:rPr>
          <w:iCs/>
          <w:color w:val="000000"/>
        </w:rPr>
        <w:t>The American journal of surgery</w:t>
      </w:r>
      <w:r w:rsidRPr="00615DCD">
        <w:rPr>
          <w:color w:val="000000"/>
        </w:rPr>
        <w:t xml:space="preserve">, </w:t>
      </w:r>
      <w:r w:rsidRPr="00615DCD">
        <w:rPr>
          <w:iCs/>
          <w:color w:val="000000"/>
        </w:rPr>
        <w:t>162, 1991,</w:t>
      </w:r>
      <w:r w:rsidRPr="00615DCD">
        <w:rPr>
          <w:color w:val="000000"/>
        </w:rPr>
        <w:t>4,s.330-336.</w:t>
      </w:r>
    </w:p>
    <w:p w:rsidR="00517E70" w:rsidRPr="00615DCD" w:rsidRDefault="00517E70" w:rsidP="00203F1C">
      <w:pPr>
        <w:spacing w:line="360" w:lineRule="auto"/>
        <w:jc w:val="both"/>
        <w:rPr>
          <w:color w:val="000000"/>
        </w:rPr>
      </w:pPr>
      <w:r w:rsidRPr="00615DCD">
        <w:rPr>
          <w:color w:val="000000"/>
        </w:rPr>
        <w:t xml:space="preserve">3 </w:t>
      </w:r>
      <w:r>
        <w:rPr>
          <w:color w:val="000000"/>
        </w:rPr>
        <w:t xml:space="preserve"> </w:t>
      </w:r>
      <w:r w:rsidRPr="00615DCD">
        <w:rPr>
          <w:color w:val="000000"/>
        </w:rPr>
        <w:t xml:space="preserve">Guzzo, M., Locati, L. D., Prott, F. J. et al.: Major and minor salivary gland tumors. </w:t>
      </w:r>
      <w:r w:rsidRPr="00615DCD">
        <w:rPr>
          <w:iCs/>
          <w:color w:val="000000"/>
        </w:rPr>
        <w:t>Critical reviews in oncology/hematology</w:t>
      </w:r>
      <w:r w:rsidRPr="00615DCD">
        <w:rPr>
          <w:color w:val="000000"/>
        </w:rPr>
        <w:t xml:space="preserve">, </w:t>
      </w:r>
      <w:r w:rsidRPr="00615DCD">
        <w:rPr>
          <w:iCs/>
          <w:color w:val="000000"/>
        </w:rPr>
        <w:t>74,2010,</w:t>
      </w:r>
      <w:r w:rsidRPr="00615DCD">
        <w:rPr>
          <w:color w:val="000000"/>
        </w:rPr>
        <w:t>2,s.134-148.</w:t>
      </w:r>
    </w:p>
    <w:p w:rsidR="00517E70" w:rsidRPr="00615DCD" w:rsidRDefault="00517E70" w:rsidP="00203F1C">
      <w:pPr>
        <w:spacing w:line="360" w:lineRule="auto"/>
        <w:jc w:val="both"/>
        <w:rPr>
          <w:color w:val="000000"/>
        </w:rPr>
      </w:pPr>
      <w:r w:rsidRPr="00615DCD">
        <w:rPr>
          <w:color w:val="000000"/>
        </w:rPr>
        <w:t>4.</w:t>
      </w:r>
      <w:r>
        <w:rPr>
          <w:color w:val="000000"/>
        </w:rPr>
        <w:t xml:space="preserve"> </w:t>
      </w:r>
      <w:r w:rsidRPr="00615DCD">
        <w:rPr>
          <w:color w:val="000000"/>
        </w:rPr>
        <w:t xml:space="preserve">Waldron, C. A., El-Mofty, S. K., Gnepp, D. R. Tumors of the intraoral minor salivary glands: a demographic and histologic study of 426 cases. </w:t>
      </w:r>
      <w:r w:rsidRPr="00615DCD">
        <w:rPr>
          <w:iCs/>
          <w:color w:val="000000"/>
        </w:rPr>
        <w:t>Oral Surgery, Oral Medicine, Oral Pathology</w:t>
      </w:r>
      <w:r w:rsidRPr="00615DCD">
        <w:rPr>
          <w:color w:val="000000"/>
        </w:rPr>
        <w:t xml:space="preserve">, </w:t>
      </w:r>
      <w:r w:rsidRPr="00615DCD">
        <w:rPr>
          <w:iCs/>
          <w:color w:val="000000"/>
        </w:rPr>
        <w:t>66,1988,</w:t>
      </w:r>
      <w:r w:rsidRPr="00615DCD">
        <w:rPr>
          <w:color w:val="000000"/>
        </w:rPr>
        <w:t>3,s.323-333.</w:t>
      </w:r>
    </w:p>
    <w:p w:rsidR="00517E70" w:rsidRPr="00615DCD" w:rsidRDefault="00517E70" w:rsidP="00203F1C">
      <w:pPr>
        <w:spacing w:line="360" w:lineRule="auto"/>
        <w:jc w:val="both"/>
        <w:rPr>
          <w:color w:val="000000"/>
        </w:rPr>
      </w:pPr>
      <w:r w:rsidRPr="00615DCD">
        <w:rPr>
          <w:color w:val="000000"/>
        </w:rPr>
        <w:t>5. Cardesa, A., Alos, L., Barnes, L., Everson, J. et al.: Pathology and Genetics of Head and Neck Tumours: Tumours of the Salivary Glands. World Health Organization. Pathology and Genetics of Head and Neck Tumours: Tumours of the Salivary Glands. World Health Organization,2005..</w:t>
      </w:r>
    </w:p>
    <w:p w:rsidR="00517E70" w:rsidRPr="00615DCD" w:rsidRDefault="00517E70" w:rsidP="00203F1C">
      <w:pPr>
        <w:spacing w:line="360" w:lineRule="auto"/>
        <w:jc w:val="both"/>
        <w:rPr>
          <w:color w:val="000000"/>
        </w:rPr>
      </w:pPr>
      <w:r w:rsidRPr="00615DCD">
        <w:rPr>
          <w:color w:val="000000"/>
        </w:rPr>
        <w:t xml:space="preserve">6. Milano A, Long ,F, Basile M, Iaffaioli RV, Caponigro, F. Recent advances in the treatment of salivary gland cancers: emphasis on molecular targeted therapy. </w:t>
      </w:r>
      <w:r w:rsidRPr="00615DCD">
        <w:rPr>
          <w:iCs/>
          <w:color w:val="000000"/>
        </w:rPr>
        <w:t>Oral oncology,43,</w:t>
      </w:r>
      <w:r w:rsidRPr="00615DCD">
        <w:rPr>
          <w:color w:val="000000"/>
        </w:rPr>
        <w:t xml:space="preserve"> 2007;8,s.729-734.</w:t>
      </w:r>
    </w:p>
    <w:p w:rsidR="00517E70" w:rsidRPr="00615DCD" w:rsidRDefault="00517E70" w:rsidP="00203F1C">
      <w:pPr>
        <w:spacing w:line="360" w:lineRule="auto"/>
        <w:jc w:val="both"/>
        <w:rPr>
          <w:color w:val="000000"/>
        </w:rPr>
      </w:pPr>
      <w:r>
        <w:rPr>
          <w:color w:val="000000"/>
        </w:rPr>
        <w:t xml:space="preserve">7. </w:t>
      </w:r>
      <w:r w:rsidRPr="00615DCD">
        <w:rPr>
          <w:color w:val="000000"/>
        </w:rPr>
        <w:t xml:space="preserve">Goode, R. K., Auclair, P. L., &amp; Ellis, G. L.: Mucoepidermoid carcinoma of the major salivary glands. </w:t>
      </w:r>
      <w:r w:rsidRPr="00615DCD">
        <w:rPr>
          <w:iCs/>
          <w:color w:val="000000"/>
        </w:rPr>
        <w:t>Cancer</w:t>
      </w:r>
      <w:r w:rsidRPr="00615DCD">
        <w:rPr>
          <w:color w:val="000000"/>
        </w:rPr>
        <w:t xml:space="preserve">, </w:t>
      </w:r>
      <w:r w:rsidRPr="00615DCD">
        <w:rPr>
          <w:iCs/>
          <w:color w:val="000000"/>
        </w:rPr>
        <w:t>82,1998,</w:t>
      </w:r>
      <w:r w:rsidRPr="00615DCD">
        <w:rPr>
          <w:color w:val="000000"/>
        </w:rPr>
        <w:t>7,s. 1217-1224.</w:t>
      </w:r>
    </w:p>
    <w:p w:rsidR="00517E70" w:rsidRPr="00615DCD" w:rsidRDefault="00517E70" w:rsidP="00203F1C">
      <w:pPr>
        <w:autoSpaceDE w:val="0"/>
        <w:autoSpaceDN w:val="0"/>
        <w:adjustRightInd w:val="0"/>
        <w:spacing w:line="360" w:lineRule="auto"/>
        <w:jc w:val="both"/>
        <w:rPr>
          <w:color w:val="000000"/>
        </w:rPr>
      </w:pPr>
      <w:r>
        <w:rPr>
          <w:color w:val="000000"/>
        </w:rPr>
        <w:t xml:space="preserve">8. </w:t>
      </w:r>
      <w:r w:rsidRPr="00615DCD">
        <w:rPr>
          <w:color w:val="000000"/>
        </w:rPr>
        <w:t xml:space="preserve">Brandwein, M. S., Ivanov, K., Wallace, et al.: Mucoepidermoid carcinoma: a clinicopathologic study of 80 patients with special reference to histological grading. </w:t>
      </w:r>
      <w:r w:rsidRPr="00615DCD">
        <w:rPr>
          <w:iCs/>
          <w:color w:val="000000"/>
        </w:rPr>
        <w:t>The American journal of surgical pathology</w:t>
      </w:r>
      <w:r w:rsidRPr="00615DCD">
        <w:rPr>
          <w:color w:val="000000"/>
        </w:rPr>
        <w:t xml:space="preserve">, </w:t>
      </w:r>
      <w:r w:rsidRPr="00615DCD">
        <w:rPr>
          <w:iCs/>
          <w:color w:val="000000"/>
        </w:rPr>
        <w:t>25,2001,</w:t>
      </w:r>
      <w:r w:rsidRPr="00615DCD">
        <w:rPr>
          <w:color w:val="000000"/>
        </w:rPr>
        <w:t>7,s. 835-845.</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 9. Szanto PA, Luna MA, Tortoledo ME, et al. Histologic grading of adenoid cystic carcinoma of the salivary glands. Cancer ,54,1984;6,s. 1062–9.</w:t>
      </w:r>
    </w:p>
    <w:p w:rsidR="00517E70" w:rsidRPr="00615DCD" w:rsidRDefault="00517E70" w:rsidP="00203F1C">
      <w:pPr>
        <w:spacing w:line="360" w:lineRule="auto"/>
        <w:jc w:val="both"/>
        <w:rPr>
          <w:color w:val="000000"/>
        </w:rPr>
      </w:pPr>
      <w:r w:rsidRPr="00615DCD">
        <w:rPr>
          <w:color w:val="000000"/>
        </w:rPr>
        <w:t xml:space="preserve">10. Spiro RH, Huvos AG. Stage means more than grade in adenoid cystic carcinoma. </w:t>
      </w:r>
      <w:r w:rsidRPr="00615DCD">
        <w:rPr>
          <w:iCs/>
          <w:color w:val="000000"/>
        </w:rPr>
        <w:t>The American journal of Sumery,164,</w:t>
      </w:r>
      <w:r w:rsidRPr="00615DCD">
        <w:rPr>
          <w:color w:val="000000"/>
        </w:rPr>
        <w:t xml:space="preserve"> 1992,6,s.623-628.</w:t>
      </w:r>
    </w:p>
    <w:p w:rsidR="00517E70" w:rsidRPr="00615DCD" w:rsidRDefault="00517E70" w:rsidP="00203F1C">
      <w:pPr>
        <w:spacing w:line="360" w:lineRule="auto"/>
        <w:jc w:val="both"/>
        <w:rPr>
          <w:color w:val="000000"/>
        </w:rPr>
      </w:pPr>
      <w:r w:rsidRPr="00615DCD">
        <w:rPr>
          <w:color w:val="000000"/>
        </w:rPr>
        <w:t xml:space="preserve">11. Lima, R. A., Tavares, M. R., Dias, F. L. et al.: Clinical prognostic factors in malignant parotid gland tumors. </w:t>
      </w:r>
      <w:r w:rsidRPr="00615DCD">
        <w:rPr>
          <w:iCs/>
          <w:color w:val="000000"/>
        </w:rPr>
        <w:t>Otolaryngology--Head and Neck Surgery</w:t>
      </w:r>
      <w:r w:rsidRPr="00615DCD">
        <w:rPr>
          <w:color w:val="000000"/>
        </w:rPr>
        <w:t xml:space="preserve">, </w:t>
      </w:r>
      <w:r w:rsidRPr="00615DCD">
        <w:rPr>
          <w:iCs/>
          <w:color w:val="000000"/>
        </w:rPr>
        <w:t>133,2005,</w:t>
      </w:r>
      <w:r w:rsidRPr="00615DCD">
        <w:rPr>
          <w:color w:val="000000"/>
        </w:rPr>
        <w:t>5,s. 702-708.</w:t>
      </w:r>
    </w:p>
    <w:p w:rsidR="00517E70" w:rsidRPr="00615DCD" w:rsidRDefault="00517E70" w:rsidP="00203F1C">
      <w:pPr>
        <w:spacing w:line="360" w:lineRule="auto"/>
        <w:jc w:val="both"/>
        <w:rPr>
          <w:color w:val="000000"/>
        </w:rPr>
      </w:pPr>
      <w:r w:rsidRPr="00615DCD">
        <w:rPr>
          <w:color w:val="000000"/>
        </w:rPr>
        <w:t xml:space="preserve">12. Renehan, A. G., Gleave, E. N., Slevin, N. J. et al.: . Clinico-pathological and treatment-related factors influencing survival in parotid cancer. </w:t>
      </w:r>
      <w:r w:rsidRPr="00615DCD">
        <w:rPr>
          <w:iCs/>
          <w:color w:val="000000"/>
        </w:rPr>
        <w:t>British journal of cancer</w:t>
      </w:r>
      <w:r w:rsidRPr="00615DCD">
        <w:rPr>
          <w:color w:val="000000"/>
        </w:rPr>
        <w:t>, 80, 1999,8, s.1296-1300.</w:t>
      </w:r>
    </w:p>
    <w:p w:rsidR="00517E70" w:rsidRPr="00615DCD" w:rsidRDefault="00517E70" w:rsidP="00203F1C">
      <w:pPr>
        <w:spacing w:line="360" w:lineRule="auto"/>
        <w:jc w:val="both"/>
        <w:rPr>
          <w:rFonts w:ascii="Garamond" w:hAnsi="Garamond" w:cs="Arial"/>
          <w:color w:val="000000"/>
          <w:spacing w:val="4"/>
        </w:rPr>
      </w:pPr>
      <w:r w:rsidRPr="00615DCD">
        <w:rPr>
          <w:color w:val="000000"/>
        </w:rPr>
        <w:t>13.</w:t>
      </w:r>
      <w:r>
        <w:rPr>
          <w:color w:val="000000"/>
        </w:rPr>
        <w:t xml:space="preserve"> </w:t>
      </w:r>
      <w:r w:rsidRPr="00615DCD">
        <w:rPr>
          <w:color w:val="000000"/>
        </w:rPr>
        <w:t xml:space="preserve">Armstrong, J. G., Harrison, L. B., Spiro, R. H., Fass, D. E., Strong, E. W., &amp; Fuks, Z. Y. (1990). Malignant tumors of major salivary gland origin: a matched-pair analysis of the role of combined surgery and postoperative radiotherapy. </w:t>
      </w:r>
      <w:r w:rsidRPr="00615DCD">
        <w:rPr>
          <w:iCs/>
          <w:color w:val="000000"/>
        </w:rPr>
        <w:t>Archives of Otolaryngology–Head &amp; Neck Surgery</w:t>
      </w:r>
      <w:r w:rsidRPr="00615DCD">
        <w:rPr>
          <w:color w:val="000000"/>
        </w:rPr>
        <w:t>, 116,1990,3,s. 290-293.</w:t>
      </w:r>
    </w:p>
    <w:p w:rsidR="00517E70" w:rsidRPr="00615DCD" w:rsidRDefault="00517E70" w:rsidP="00203F1C">
      <w:pPr>
        <w:spacing w:line="360" w:lineRule="auto"/>
        <w:jc w:val="both"/>
        <w:rPr>
          <w:color w:val="000000"/>
        </w:rPr>
      </w:pPr>
      <w:r w:rsidRPr="00615DCD">
        <w:rPr>
          <w:color w:val="000000"/>
        </w:rPr>
        <w:t>14. Vander Poorten VL, Balm AJ, Hilgers FJ, Tan IB, Loftus</w:t>
      </w:r>
      <w:r w:rsidRPr="00615DCD">
        <w:rPr>
          <w:rFonts w:ascii="Arial" w:hAnsi="Arial"/>
          <w:color w:val="000000"/>
        </w:rPr>
        <w:t xml:space="preserve"> </w:t>
      </w:r>
      <w:r w:rsidRPr="00615DCD">
        <w:rPr>
          <w:color w:val="000000"/>
        </w:rPr>
        <w:t xml:space="preserve">Coll BM, Keus RB, Hart AA. The development of a prognostic score for patients with parotid carcinoma. </w:t>
      </w:r>
      <w:r w:rsidRPr="00615DCD">
        <w:rPr>
          <w:iCs/>
          <w:color w:val="000000"/>
        </w:rPr>
        <w:t>Cancer ,85,</w:t>
      </w:r>
      <w:r w:rsidRPr="00615DCD">
        <w:rPr>
          <w:color w:val="000000"/>
        </w:rPr>
        <w:t>1999;9,s.2057-2067.</w:t>
      </w:r>
    </w:p>
    <w:p w:rsidR="00517E70" w:rsidRPr="00615DCD" w:rsidRDefault="00517E70" w:rsidP="00203F1C">
      <w:pPr>
        <w:spacing w:line="360" w:lineRule="auto"/>
        <w:jc w:val="both"/>
        <w:rPr>
          <w:color w:val="000000"/>
        </w:rPr>
      </w:pPr>
      <w:r w:rsidRPr="00615DCD">
        <w:rPr>
          <w:color w:val="000000"/>
        </w:rPr>
        <w:t xml:space="preserve">15. Carrillo, J. F., Vazquez, R., Ramírez O.: Multivariate prediction of the probability of recurrence in patients with carcinoma of the parotid gland. Cancer, 109,2007,10, s.2043-2051. 16. Frankenthaler, R. A., Byers, R. M., Luna, M. A.,et al.: Predicting occult lymph node metastasis in parotid cancer. </w:t>
      </w:r>
      <w:r w:rsidRPr="00615DCD">
        <w:rPr>
          <w:iCs/>
          <w:color w:val="000000"/>
        </w:rPr>
        <w:t>Archives of Otolaryngology–Head &amp; Neck Surgery</w:t>
      </w:r>
      <w:r w:rsidRPr="00615DCD">
        <w:rPr>
          <w:color w:val="000000"/>
        </w:rPr>
        <w:t xml:space="preserve">, </w:t>
      </w:r>
      <w:r w:rsidRPr="00615DCD">
        <w:rPr>
          <w:iCs/>
          <w:color w:val="000000"/>
        </w:rPr>
        <w:t>119,1993,</w:t>
      </w:r>
      <w:r w:rsidRPr="00615DCD">
        <w:rPr>
          <w:color w:val="000000"/>
        </w:rPr>
        <w:t>5, s.517-520.</w:t>
      </w:r>
    </w:p>
    <w:p w:rsidR="00517E70" w:rsidRPr="00615DCD" w:rsidRDefault="00517E70" w:rsidP="00203F1C">
      <w:pPr>
        <w:spacing w:line="360" w:lineRule="auto"/>
        <w:jc w:val="both"/>
        <w:rPr>
          <w:color w:val="000000"/>
        </w:rPr>
      </w:pPr>
      <w:r w:rsidRPr="00615DCD">
        <w:rPr>
          <w:color w:val="000000"/>
        </w:rPr>
        <w:t xml:space="preserve"> 17.</w:t>
      </w:r>
      <w:r>
        <w:rPr>
          <w:color w:val="000000"/>
        </w:rPr>
        <w:t xml:space="preserve"> </w:t>
      </w:r>
      <w:r w:rsidRPr="00615DCD">
        <w:rPr>
          <w:color w:val="000000"/>
        </w:rPr>
        <w:t>Renehan, A., Gleave, E. N., Hancock, B. D.at al.:. Long term follow up of over 1000 patients with salivary gland tumours treated in a single centre. British journal of surgery, 83,1996,12,s. 1750-1754.</w:t>
      </w:r>
    </w:p>
    <w:p w:rsidR="00517E70" w:rsidRPr="00615DCD" w:rsidRDefault="00517E70" w:rsidP="00203F1C">
      <w:pPr>
        <w:spacing w:line="360" w:lineRule="auto"/>
        <w:jc w:val="both"/>
        <w:rPr>
          <w:color w:val="000000"/>
        </w:rPr>
      </w:pPr>
      <w:r w:rsidRPr="00615DCD">
        <w:rPr>
          <w:color w:val="000000"/>
        </w:rPr>
        <w:t>18. Spiro, R. H. : Salivary neoplasms: Overview of a 35 year experience with 2,807 patients. Head &amp; neck surgery, 8, 1986,3,s 177-184.</w:t>
      </w:r>
    </w:p>
    <w:p w:rsidR="00517E70" w:rsidRPr="00615DCD" w:rsidRDefault="00517E70" w:rsidP="00203F1C">
      <w:pPr>
        <w:spacing w:line="360" w:lineRule="auto"/>
        <w:jc w:val="both"/>
        <w:rPr>
          <w:color w:val="000000"/>
        </w:rPr>
      </w:pPr>
      <w:r w:rsidRPr="00615DCD">
        <w:rPr>
          <w:color w:val="000000"/>
        </w:rPr>
        <w:t xml:space="preserve">19. Gondivkar SM, Gadbail AR, Chole R, Parikh RV. Adenoid cystic carcinoma: a rare clinical entity and literature review. </w:t>
      </w:r>
      <w:r w:rsidRPr="00615DCD">
        <w:rPr>
          <w:iCs/>
          <w:color w:val="000000"/>
        </w:rPr>
        <w:t>Oral oncology, 47,</w:t>
      </w:r>
      <w:r w:rsidRPr="00615DCD">
        <w:rPr>
          <w:color w:val="000000"/>
        </w:rPr>
        <w:t xml:space="preserve"> 2011;4,s. 231-236.</w:t>
      </w:r>
    </w:p>
    <w:p w:rsidR="00517E70" w:rsidRPr="00615DCD" w:rsidRDefault="00517E70" w:rsidP="00203F1C">
      <w:pPr>
        <w:spacing w:line="360" w:lineRule="auto"/>
        <w:jc w:val="both"/>
        <w:rPr>
          <w:color w:val="000000"/>
        </w:rPr>
      </w:pPr>
      <w:hyperlink r:id="rId15" w:history="1">
        <w:r w:rsidRPr="00615DCD">
          <w:rPr>
            <w:color w:val="000000"/>
          </w:rPr>
          <w:t>20.</w:t>
        </w:r>
        <w:r w:rsidRPr="00615DCD">
          <w:rPr>
            <w:i/>
            <w:color w:val="000000"/>
          </w:rPr>
          <w:t xml:space="preserve"> </w:t>
        </w:r>
        <w:r w:rsidRPr="00615DCD">
          <w:rPr>
            <w:color w:val="000000"/>
          </w:rPr>
          <w:t>Marchiò</w:t>
        </w:r>
      </w:hyperlink>
      <w:r w:rsidRPr="00615DCD">
        <w:rPr>
          <w:color w:val="000000"/>
        </w:rPr>
        <w:t xml:space="preserve"> C, </w:t>
      </w:r>
      <w:hyperlink r:id="rId16" w:history="1">
        <w:r w:rsidRPr="00615DCD">
          <w:rPr>
            <w:color w:val="000000"/>
          </w:rPr>
          <w:t xml:space="preserve"> Weigelt</w:t>
        </w:r>
      </w:hyperlink>
      <w:r w:rsidRPr="00615DCD">
        <w:rPr>
          <w:color w:val="000000"/>
        </w:rPr>
        <w:t xml:space="preserve"> B, </w:t>
      </w:r>
      <w:hyperlink r:id="rId17" w:history="1">
        <w:r w:rsidRPr="00615DCD">
          <w:rPr>
            <w:color w:val="000000"/>
          </w:rPr>
          <w:t xml:space="preserve"> Reis-Filho</w:t>
        </w:r>
      </w:hyperlink>
      <w:r w:rsidRPr="00615DCD">
        <w:rPr>
          <w:color w:val="000000"/>
        </w:rPr>
        <w:t xml:space="preserve"> J.: </w:t>
      </w:r>
      <w:r w:rsidRPr="00615DCD">
        <w:rPr>
          <w:color w:val="000000"/>
          <w:kern w:val="36"/>
        </w:rPr>
        <w:t>Adenoid cystic carcinomas of the breast and salivary glands (or ‘</w:t>
      </w:r>
      <w:r w:rsidRPr="00615DCD">
        <w:rPr>
          <w:iCs/>
          <w:color w:val="000000"/>
          <w:kern w:val="36"/>
        </w:rPr>
        <w:t>The strange case of Dr Jekyll and Mr Hyde</w:t>
      </w:r>
      <w:r w:rsidRPr="00615DCD">
        <w:rPr>
          <w:color w:val="000000"/>
          <w:kern w:val="36"/>
        </w:rPr>
        <w:t>’ of exocrine gland carcinomas) .</w:t>
      </w:r>
      <w:r w:rsidRPr="00615DCD">
        <w:rPr>
          <w:iCs/>
          <w:color w:val="000000"/>
        </w:rPr>
        <w:t>J.Clin. Pathol.,</w:t>
      </w:r>
      <w:r w:rsidRPr="00615DCD">
        <w:rPr>
          <w:i/>
          <w:iCs/>
          <w:color w:val="000000"/>
        </w:rPr>
        <w:t xml:space="preserve"> </w:t>
      </w:r>
      <w:r w:rsidRPr="00615DCD">
        <w:rPr>
          <w:color w:val="000000"/>
        </w:rPr>
        <w:t xml:space="preserve">2010;63,s.220-228 </w:t>
      </w:r>
    </w:p>
    <w:p w:rsidR="00517E70" w:rsidRPr="00615DCD" w:rsidRDefault="00517E70" w:rsidP="00203F1C">
      <w:pPr>
        <w:tabs>
          <w:tab w:val="left" w:pos="1050"/>
        </w:tabs>
        <w:spacing w:line="360" w:lineRule="auto"/>
        <w:jc w:val="both"/>
        <w:rPr>
          <w:color w:val="000000"/>
        </w:rPr>
      </w:pPr>
      <w:r w:rsidRPr="00615DCD">
        <w:rPr>
          <w:color w:val="000000"/>
        </w:rPr>
        <w:t>21. Seethala R.R. An update on grading of salivary gland carcinomas. Head and Neck Pathology, 3,2009;31,s. 69-77.</w:t>
      </w:r>
    </w:p>
    <w:p w:rsidR="00517E70" w:rsidRPr="00615DCD" w:rsidRDefault="00517E70" w:rsidP="00203F1C">
      <w:pPr>
        <w:spacing w:line="360" w:lineRule="auto"/>
        <w:jc w:val="both"/>
        <w:rPr>
          <w:color w:val="000000"/>
        </w:rPr>
      </w:pPr>
      <w:r w:rsidRPr="00615DCD">
        <w:rPr>
          <w:color w:val="000000"/>
        </w:rPr>
        <w:t xml:space="preserve">22. Seethala RR, Hunt JL, Baloch ZW, LiVolsi VA, Barnes EL. Adenoid cystic carcinoma with high-grade transformation: a report of 11 cases and a review of the literature. </w:t>
      </w:r>
      <w:r w:rsidRPr="00615DCD">
        <w:rPr>
          <w:iCs/>
          <w:color w:val="000000"/>
        </w:rPr>
        <w:t>The American journal of surgical patology,31,</w:t>
      </w:r>
      <w:r w:rsidRPr="00615DCD">
        <w:rPr>
          <w:color w:val="000000"/>
        </w:rPr>
        <w:t xml:space="preserve"> 2007;11,s.1683-1694.</w:t>
      </w:r>
    </w:p>
    <w:p w:rsidR="00517E70" w:rsidRPr="00615DCD" w:rsidRDefault="00517E70" w:rsidP="00203F1C">
      <w:pPr>
        <w:spacing w:line="360" w:lineRule="auto"/>
        <w:jc w:val="both"/>
        <w:rPr>
          <w:color w:val="000000"/>
        </w:rPr>
      </w:pPr>
      <w:r w:rsidRPr="00615DCD">
        <w:rPr>
          <w:color w:val="000000"/>
        </w:rPr>
        <w:t xml:space="preserve"> 23.</w:t>
      </w:r>
      <w:r>
        <w:rPr>
          <w:color w:val="000000"/>
        </w:rPr>
        <w:t xml:space="preserve"> </w:t>
      </w:r>
      <w:r w:rsidRPr="00615DCD">
        <w:rPr>
          <w:color w:val="000000"/>
        </w:rPr>
        <w:t>Alcedo  J.C, Fabrega JM, Arosemena JR, et al.: Imatinib mesylate as treatment for adenoid cystic carcinoma of the salivary glands: report of two successfully treated cases. Head Neck 2004,26, s.829–831</w:t>
      </w:r>
    </w:p>
    <w:p w:rsidR="00517E70" w:rsidRPr="00615DCD" w:rsidRDefault="00517E70" w:rsidP="00203F1C">
      <w:pPr>
        <w:spacing w:line="360" w:lineRule="auto"/>
        <w:jc w:val="both"/>
        <w:rPr>
          <w:bCs/>
          <w:color w:val="000000"/>
          <w:kern w:val="36"/>
        </w:rPr>
      </w:pPr>
      <w:r w:rsidRPr="00615DCD">
        <w:rPr>
          <w:rStyle w:val="name"/>
          <w:bCs/>
          <w:color w:val="000000"/>
        </w:rPr>
        <w:t>24.</w:t>
      </w:r>
      <w:r>
        <w:rPr>
          <w:rStyle w:val="name"/>
          <w:bCs/>
          <w:color w:val="000000"/>
        </w:rPr>
        <w:t xml:space="preserve"> </w:t>
      </w:r>
      <w:hyperlink r:id="rId18" w:history="1">
        <w:r w:rsidRPr="00615DCD">
          <w:rPr>
            <w:rStyle w:val="name"/>
            <w:bCs/>
            <w:color w:val="000000"/>
          </w:rPr>
          <w:t>Heinrich</w:t>
        </w:r>
      </w:hyperlink>
      <w:r w:rsidRPr="00615DCD">
        <w:rPr>
          <w:bCs/>
          <w:color w:val="000000"/>
        </w:rPr>
        <w:t xml:space="preserve"> M, </w:t>
      </w:r>
      <w:hyperlink r:id="rId19" w:history="1">
        <w:r w:rsidRPr="00615DCD">
          <w:rPr>
            <w:rStyle w:val="name"/>
            <w:bCs/>
            <w:color w:val="000000"/>
          </w:rPr>
          <w:t>Joensuu</w:t>
        </w:r>
      </w:hyperlink>
      <w:r w:rsidRPr="00615DCD">
        <w:rPr>
          <w:bCs/>
          <w:color w:val="000000"/>
        </w:rPr>
        <w:t xml:space="preserve"> H, </w:t>
      </w:r>
      <w:hyperlink r:id="rId20" w:history="1">
        <w:r w:rsidRPr="00615DCD">
          <w:rPr>
            <w:rStyle w:val="name"/>
            <w:bCs/>
            <w:color w:val="000000"/>
          </w:rPr>
          <w:t xml:space="preserve"> Demetri</w:t>
        </w:r>
      </w:hyperlink>
      <w:r w:rsidRPr="00615DCD">
        <w:rPr>
          <w:bCs/>
          <w:color w:val="000000"/>
        </w:rPr>
        <w:t xml:space="preserve"> G, et al.: </w:t>
      </w:r>
      <w:r w:rsidRPr="00615DCD">
        <w:rPr>
          <w:bCs/>
          <w:color w:val="000000"/>
          <w:kern w:val="36"/>
        </w:rPr>
        <w:t>Phase II, Open-Label Study Evaluating the Activity of Imatinib in Treating Life-Threatening Malignancies Known to Be Associated with Imatinib-Sensitive Tyrosine Kinases .Clin.Cancer 2008,14, s.2717-2725</w:t>
      </w:r>
    </w:p>
    <w:p w:rsidR="00517E70" w:rsidRPr="00615DCD" w:rsidRDefault="00517E70" w:rsidP="00203F1C">
      <w:pPr>
        <w:autoSpaceDE w:val="0"/>
        <w:autoSpaceDN w:val="0"/>
        <w:adjustRightInd w:val="0"/>
        <w:spacing w:line="360" w:lineRule="auto"/>
        <w:jc w:val="both"/>
        <w:rPr>
          <w:color w:val="000000"/>
        </w:rPr>
      </w:pPr>
      <w:r w:rsidRPr="00615DCD">
        <w:rPr>
          <w:color w:val="000000"/>
        </w:rPr>
        <w:t>25.</w:t>
      </w:r>
      <w:r>
        <w:rPr>
          <w:color w:val="000000"/>
        </w:rPr>
        <w:t xml:space="preserve"> </w:t>
      </w:r>
      <w:r w:rsidRPr="00615DCD">
        <w:rPr>
          <w:color w:val="000000"/>
        </w:rPr>
        <w:t>Hotte SJ, Winquist EW, Lamont E, et al.: Imatinib  mesylate in patients with adenoid cystic cancers of the salivary glands expressing c-kit: a Princess Margaret Hospital phase II consortium study. J Clin. Oncol. 2005;23, s.585–590.</w:t>
      </w:r>
    </w:p>
    <w:p w:rsidR="00517E70" w:rsidRPr="00615DCD" w:rsidRDefault="00517E70" w:rsidP="00203F1C">
      <w:pPr>
        <w:spacing w:line="360" w:lineRule="auto"/>
        <w:jc w:val="both"/>
        <w:rPr>
          <w:color w:val="000000"/>
        </w:rPr>
      </w:pPr>
      <w:r w:rsidRPr="00615DCD">
        <w:rPr>
          <w:rFonts w:eastAsia="Arial Unicode MS"/>
          <w:color w:val="000000"/>
          <w:kern w:val="36"/>
        </w:rPr>
        <w:t xml:space="preserve">26. </w:t>
      </w:r>
      <w:r w:rsidRPr="00615DCD">
        <w:rPr>
          <w:color w:val="000000"/>
        </w:rPr>
        <w:t>Chau, N. G., Hotte, S. J., Chen, E. X. et al</w:t>
      </w:r>
      <w:r w:rsidRPr="00615DCD">
        <w:rPr>
          <w:b/>
          <w:color w:val="000000"/>
        </w:rPr>
        <w:t>.:</w:t>
      </w:r>
      <w:r w:rsidRPr="00615DCD">
        <w:rPr>
          <w:color w:val="000000"/>
        </w:rPr>
        <w:t xml:space="preserve">A phase II study of sunitinib in recurrent and/or metastatic adenoid cystic carcinoma (ACC) of the salivary glands: current progress and challenges in evaluating molecularly targeted agents in ACC. </w:t>
      </w:r>
      <w:r w:rsidRPr="00615DCD">
        <w:rPr>
          <w:iCs/>
          <w:color w:val="000000"/>
        </w:rPr>
        <w:t>Annals of oncology</w:t>
      </w:r>
      <w:r w:rsidRPr="00615DCD">
        <w:rPr>
          <w:color w:val="000000"/>
        </w:rPr>
        <w:t>, 2005,</w:t>
      </w:r>
      <w:r w:rsidRPr="00615DCD">
        <w:rPr>
          <w:iCs/>
          <w:color w:val="000000"/>
        </w:rPr>
        <w:t>23</w:t>
      </w:r>
      <w:r w:rsidRPr="00615DCD">
        <w:rPr>
          <w:color w:val="000000"/>
        </w:rPr>
        <w:t>, 1562-1570.</w:t>
      </w:r>
    </w:p>
    <w:p w:rsidR="00517E70" w:rsidRPr="00615DCD" w:rsidRDefault="00517E70" w:rsidP="00203F1C">
      <w:pPr>
        <w:spacing w:line="360" w:lineRule="auto"/>
        <w:jc w:val="both"/>
        <w:rPr>
          <w:color w:val="000000"/>
        </w:rPr>
      </w:pPr>
      <w:r w:rsidRPr="00615DCD">
        <w:rPr>
          <w:color w:val="000000"/>
        </w:rPr>
        <w:t>27.</w:t>
      </w:r>
      <w:r>
        <w:rPr>
          <w:color w:val="000000"/>
        </w:rPr>
        <w:t xml:space="preserve"> </w:t>
      </w:r>
      <w:r w:rsidRPr="00615DCD">
        <w:rPr>
          <w:color w:val="000000"/>
        </w:rPr>
        <w:t xml:space="preserve">Gewirtz, A. M.:Myb targeted therapeutics for the treatment of human malignancies. </w:t>
      </w:r>
      <w:r w:rsidRPr="00615DCD">
        <w:rPr>
          <w:iCs/>
          <w:color w:val="000000"/>
        </w:rPr>
        <w:t>Oncogene</w:t>
      </w:r>
      <w:r w:rsidRPr="00615DCD">
        <w:rPr>
          <w:color w:val="000000"/>
        </w:rPr>
        <w:t xml:space="preserve">, </w:t>
      </w:r>
      <w:r w:rsidRPr="00615DCD">
        <w:rPr>
          <w:iCs/>
          <w:color w:val="000000"/>
        </w:rPr>
        <w:t>18,1999,</w:t>
      </w:r>
      <w:r w:rsidRPr="00615DCD">
        <w:rPr>
          <w:color w:val="000000"/>
        </w:rPr>
        <w:t>19,s.3056-3063.</w:t>
      </w:r>
    </w:p>
    <w:p w:rsidR="00517E70" w:rsidRPr="00615DCD" w:rsidRDefault="00517E70" w:rsidP="00203F1C">
      <w:pPr>
        <w:spacing w:line="360" w:lineRule="auto"/>
        <w:jc w:val="both"/>
        <w:rPr>
          <w:rFonts w:ascii="Arial" w:hAnsi="Arial" w:cs="Arial"/>
          <w:color w:val="000000"/>
          <w:sz w:val="20"/>
          <w:szCs w:val="20"/>
        </w:rPr>
      </w:pPr>
      <w:r w:rsidRPr="00615DCD">
        <w:rPr>
          <w:color w:val="000000"/>
        </w:rPr>
        <w:t>28.</w:t>
      </w:r>
      <w:r>
        <w:rPr>
          <w:color w:val="000000"/>
        </w:rPr>
        <w:t xml:space="preserve"> </w:t>
      </w:r>
      <w:r w:rsidRPr="00615DCD">
        <w:rPr>
          <w:color w:val="000000"/>
        </w:rPr>
        <w:t xml:space="preserve">Gao, R., Cao, C., Zhang, M.,et al.: A unifying gene signature for adenoid cystic cancer identifies parallel MYB-dependent and MYB-independent therapeutic targets. </w:t>
      </w:r>
      <w:r w:rsidRPr="00615DCD">
        <w:rPr>
          <w:iCs/>
          <w:color w:val="000000"/>
        </w:rPr>
        <w:t>Oncotarget</w:t>
      </w:r>
      <w:r w:rsidRPr="00615DCD">
        <w:rPr>
          <w:color w:val="000000"/>
        </w:rPr>
        <w:t xml:space="preserve">, </w:t>
      </w:r>
      <w:r w:rsidRPr="00615DCD">
        <w:rPr>
          <w:i/>
          <w:iCs/>
          <w:color w:val="000000"/>
        </w:rPr>
        <w:t>5</w:t>
      </w:r>
      <w:r w:rsidRPr="00615DCD">
        <w:rPr>
          <w:color w:val="000000"/>
        </w:rPr>
        <w:t>,2014,24,s. 125-128</w:t>
      </w:r>
      <w:r w:rsidRPr="00615DCD">
        <w:rPr>
          <w:rFonts w:ascii="Arial" w:hAnsi="Arial" w:cs="Arial"/>
          <w:color w:val="000000"/>
          <w:sz w:val="20"/>
          <w:szCs w:val="20"/>
        </w:rPr>
        <w:t>.</w:t>
      </w:r>
    </w:p>
    <w:p w:rsidR="00517E70" w:rsidRPr="00615DCD" w:rsidRDefault="00517E70" w:rsidP="00203F1C">
      <w:pPr>
        <w:spacing w:line="360" w:lineRule="auto"/>
        <w:jc w:val="both"/>
        <w:rPr>
          <w:color w:val="000000"/>
        </w:rPr>
      </w:pPr>
      <w:r w:rsidRPr="00615DCD">
        <w:rPr>
          <w:color w:val="000000"/>
        </w:rPr>
        <w:t>29.</w:t>
      </w:r>
      <w:r>
        <w:rPr>
          <w:color w:val="000000"/>
        </w:rPr>
        <w:t xml:space="preserve"> </w:t>
      </w:r>
      <w:r w:rsidRPr="00615DCD">
        <w:rPr>
          <w:color w:val="000000"/>
        </w:rPr>
        <w:t xml:space="preserve">Lagha, A., Chraiet, N., Ayadi, M.,.et al.: Systemic therapy in the management of metastatic or advanced salivary gland cancers. </w:t>
      </w:r>
      <w:r w:rsidRPr="00615DCD">
        <w:rPr>
          <w:iCs/>
          <w:color w:val="000000"/>
        </w:rPr>
        <w:t>Head &amp; neck oncology</w:t>
      </w:r>
      <w:r w:rsidRPr="00615DCD">
        <w:rPr>
          <w:color w:val="000000"/>
        </w:rPr>
        <w:t xml:space="preserve">, </w:t>
      </w:r>
      <w:r w:rsidRPr="00615DCD">
        <w:rPr>
          <w:iCs/>
          <w:color w:val="000000"/>
        </w:rPr>
        <w:t>4,2012,</w:t>
      </w:r>
      <w:r w:rsidRPr="00615DCD">
        <w:rPr>
          <w:color w:val="000000"/>
        </w:rPr>
        <w:t>1</w:t>
      </w:r>
    </w:p>
    <w:p w:rsidR="00517E70" w:rsidRPr="00615DCD" w:rsidRDefault="00517E70" w:rsidP="00203F1C">
      <w:pPr>
        <w:autoSpaceDE w:val="0"/>
        <w:autoSpaceDN w:val="0"/>
        <w:adjustRightInd w:val="0"/>
        <w:spacing w:line="360" w:lineRule="auto"/>
        <w:jc w:val="both"/>
        <w:rPr>
          <w:iCs/>
          <w:color w:val="000000"/>
        </w:rPr>
      </w:pPr>
      <w:r w:rsidRPr="00615DCD">
        <w:rPr>
          <w:color w:val="000000"/>
        </w:rPr>
        <w:t xml:space="preserve">30. </w:t>
      </w:r>
      <w:r w:rsidRPr="00615DCD">
        <w:rPr>
          <w:iCs/>
          <w:color w:val="000000"/>
        </w:rPr>
        <w:t>Klener P. ,Klener P.jr.: Nová protinádorová léčiva a  léčebné strategie v onkologii .I. Vydání, Praha. Grada Publishing 2010, str.85-92.</w:t>
      </w:r>
    </w:p>
    <w:p w:rsidR="00517E70" w:rsidRPr="00615DCD" w:rsidRDefault="00517E70" w:rsidP="00203F1C">
      <w:pPr>
        <w:spacing w:line="360" w:lineRule="auto"/>
        <w:jc w:val="both"/>
        <w:rPr>
          <w:color w:val="000000"/>
        </w:rPr>
      </w:pPr>
      <w:r w:rsidRPr="00615DCD">
        <w:rPr>
          <w:bCs/>
          <w:iCs/>
          <w:color w:val="000000"/>
        </w:rPr>
        <w:t>31.</w:t>
      </w:r>
      <w:r w:rsidRPr="00615DCD">
        <w:rPr>
          <w:bCs/>
          <w:color w:val="000000"/>
        </w:rPr>
        <w:t xml:space="preserve"> Sørensen</w:t>
      </w:r>
      <w:r w:rsidRPr="00615DCD">
        <w:rPr>
          <w:bCs/>
          <w:color w:val="000000"/>
          <w:vertAlign w:val="superscript"/>
        </w:rPr>
        <w:t xml:space="preserve"> </w:t>
      </w:r>
      <w:r w:rsidRPr="00615DCD">
        <w:rPr>
          <w:bCs/>
          <w:color w:val="000000"/>
        </w:rPr>
        <w:t>K, Godballe</w:t>
      </w:r>
      <w:r w:rsidRPr="00615DCD">
        <w:rPr>
          <w:bCs/>
          <w:color w:val="000000"/>
          <w:vertAlign w:val="superscript"/>
        </w:rPr>
        <w:t xml:space="preserve"> </w:t>
      </w:r>
      <w:r w:rsidRPr="00615DCD">
        <w:rPr>
          <w:bCs/>
          <w:color w:val="000000"/>
        </w:rPr>
        <w:t>Ch, Stricker</w:t>
      </w:r>
      <w:r w:rsidRPr="00615DCD">
        <w:rPr>
          <w:bCs/>
          <w:color w:val="000000"/>
          <w:vertAlign w:val="superscript"/>
        </w:rPr>
        <w:t xml:space="preserve"> </w:t>
      </w:r>
      <w:r w:rsidRPr="00615DCD">
        <w:rPr>
          <w:bCs/>
          <w:color w:val="000000"/>
        </w:rPr>
        <w:t>K,et al.:.:</w:t>
      </w:r>
      <w:r w:rsidRPr="00615DCD">
        <w:rPr>
          <w:rStyle w:val="maintitle"/>
          <w:color w:val="000000"/>
        </w:rPr>
        <w:t xml:space="preserve">Parotid carcinoma: expression of kit protein and epidermal growth factor receptor </w:t>
      </w:r>
      <w:r w:rsidRPr="00615DCD">
        <w:rPr>
          <w:color w:val="000000"/>
        </w:rPr>
        <w:t>Journal of Oral Pathology &amp; Medicine 2006 ,</w:t>
      </w:r>
      <w:hyperlink r:id="rId21" w:history="1">
        <w:r w:rsidRPr="00615DCD">
          <w:rPr>
            <w:rStyle w:val="Hyperlink"/>
            <w:color w:val="000000"/>
          </w:rPr>
          <w:t xml:space="preserve"> 35 </w:t>
        </w:r>
      </w:hyperlink>
      <w:r w:rsidRPr="00615DCD">
        <w:rPr>
          <w:color w:val="000000"/>
        </w:rPr>
        <w:t>,s.286–291.</w:t>
      </w:r>
    </w:p>
    <w:p w:rsidR="00517E70" w:rsidRPr="00615DCD" w:rsidRDefault="00517E70" w:rsidP="00203F1C">
      <w:pPr>
        <w:spacing w:line="360" w:lineRule="auto"/>
        <w:jc w:val="both"/>
        <w:rPr>
          <w:color w:val="000000"/>
        </w:rPr>
      </w:pPr>
      <w:r w:rsidRPr="00615DCD">
        <w:rPr>
          <w:color w:val="000000"/>
        </w:rPr>
        <w:t xml:space="preserve">32. </w:t>
      </w:r>
      <w:hyperlink r:id="rId22" w:history="1">
        <w:r w:rsidRPr="00615DCD">
          <w:rPr>
            <w:rStyle w:val="Hyperlink"/>
            <w:color w:val="000000"/>
          </w:rPr>
          <w:t>Geurts JM</w:t>
        </w:r>
      </w:hyperlink>
      <w:r w:rsidRPr="00615DCD">
        <w:rPr>
          <w:color w:val="000000"/>
        </w:rPr>
        <w:t xml:space="preserve">, </w:t>
      </w:r>
      <w:hyperlink r:id="rId23" w:history="1">
        <w:r w:rsidRPr="00615DCD">
          <w:rPr>
            <w:rStyle w:val="Hyperlink"/>
            <w:color w:val="000000"/>
          </w:rPr>
          <w:t>Schoenmakers EF</w:t>
        </w:r>
      </w:hyperlink>
      <w:r w:rsidRPr="00615DCD">
        <w:rPr>
          <w:color w:val="000000"/>
        </w:rPr>
        <w:t xml:space="preserve">, </w:t>
      </w:r>
      <w:hyperlink r:id="rId24" w:history="1">
        <w:r w:rsidRPr="00615DCD">
          <w:rPr>
            <w:rStyle w:val="Hyperlink"/>
            <w:color w:val="000000"/>
          </w:rPr>
          <w:t>Röijer E</w:t>
        </w:r>
      </w:hyperlink>
      <w:r w:rsidRPr="00615DCD">
        <w:rPr>
          <w:color w:val="000000"/>
        </w:rPr>
        <w:t xml:space="preserve">, </w:t>
      </w:r>
      <w:hyperlink r:id="rId25" w:history="1">
        <w:r w:rsidRPr="00615DCD">
          <w:rPr>
            <w:rStyle w:val="Hyperlink"/>
            <w:color w:val="000000"/>
          </w:rPr>
          <w:t>Aström AK</w:t>
        </w:r>
      </w:hyperlink>
      <w:r w:rsidRPr="00615DCD">
        <w:rPr>
          <w:color w:val="000000"/>
        </w:rPr>
        <w:t xml:space="preserve">, </w:t>
      </w:r>
      <w:hyperlink r:id="rId26" w:history="1">
        <w:r w:rsidRPr="00615DCD">
          <w:rPr>
            <w:rStyle w:val="Hyperlink"/>
            <w:color w:val="000000"/>
          </w:rPr>
          <w:t>Stenman G</w:t>
        </w:r>
      </w:hyperlink>
      <w:r w:rsidRPr="00615DCD">
        <w:rPr>
          <w:color w:val="000000"/>
        </w:rPr>
        <w:t xml:space="preserve">, </w:t>
      </w:r>
      <w:hyperlink r:id="rId27" w:history="1">
        <w:r w:rsidRPr="00615DCD">
          <w:rPr>
            <w:rStyle w:val="Hyperlink"/>
            <w:color w:val="000000"/>
          </w:rPr>
          <w:t>van de Ven WJ</w:t>
        </w:r>
      </w:hyperlink>
      <w:r w:rsidRPr="00615DCD">
        <w:rPr>
          <w:color w:val="000000"/>
        </w:rPr>
        <w:t xml:space="preserve">. </w:t>
      </w:r>
      <w:r w:rsidRPr="00615DCD">
        <w:rPr>
          <w:rStyle w:val="abscitationtitle"/>
          <w:color w:val="000000"/>
        </w:rPr>
        <w:t xml:space="preserve">Identification of NFIB as recurrent translocation partner gene of HMGIC in pleomorphic adenomas. </w:t>
      </w:r>
      <w:hyperlink r:id="rId28" w:history="1">
        <w:r w:rsidRPr="00615DCD">
          <w:rPr>
            <w:rStyle w:val="Hyperlink"/>
            <w:color w:val="000000"/>
          </w:rPr>
          <w:t>Oncogene</w:t>
        </w:r>
      </w:hyperlink>
      <w:r w:rsidRPr="00615DCD">
        <w:rPr>
          <w:color w:val="000000"/>
        </w:rPr>
        <w:t xml:space="preserve"> 16,</w:t>
      </w:r>
      <w:r w:rsidRPr="00615DCD">
        <w:rPr>
          <w:rStyle w:val="absnonlinkmetadata"/>
          <w:color w:val="000000"/>
        </w:rPr>
        <w:t>1998;7,s.865-872</w:t>
      </w:r>
      <w:r w:rsidRPr="00615DCD">
        <w:rPr>
          <w:color w:val="000000"/>
        </w:rPr>
        <w:t xml:space="preserve"> .</w:t>
      </w:r>
    </w:p>
    <w:p w:rsidR="00517E70" w:rsidRPr="00615DCD" w:rsidRDefault="00517E70" w:rsidP="00203F1C">
      <w:pPr>
        <w:spacing w:line="360" w:lineRule="auto"/>
        <w:jc w:val="both"/>
        <w:rPr>
          <w:color w:val="000000"/>
        </w:rPr>
      </w:pPr>
      <w:r w:rsidRPr="00615DCD">
        <w:rPr>
          <w:vanish/>
          <w:color w:val="000000"/>
        </w:rPr>
        <w:t xml:space="preserve">Find all citations in this </w:t>
      </w:r>
      <w:r w:rsidRPr="00615DCD">
        <w:rPr>
          <w:b/>
          <w:bCs/>
          <w:vanish/>
          <w:color w:val="000000"/>
        </w:rPr>
        <w:t>journal</w:t>
      </w:r>
      <w:r w:rsidRPr="00615DCD">
        <w:rPr>
          <w:vanish/>
          <w:color w:val="000000"/>
        </w:rPr>
        <w:t xml:space="preserve"> (default).Or filter your current sear</w:t>
      </w:r>
      <w:r>
        <w:rPr>
          <w:color w:val="000000"/>
        </w:rPr>
        <w:t xml:space="preserve">33. </w:t>
      </w:r>
      <w:r w:rsidRPr="00615DCD">
        <w:rPr>
          <w:bCs/>
          <w:color w:val="000000"/>
        </w:rPr>
        <w:t xml:space="preserve">Weinreb I. </w:t>
      </w:r>
      <w:hyperlink r:id="rId29" w:history="1">
        <w:r w:rsidRPr="00615DCD">
          <w:rPr>
            <w:rStyle w:val="Hyperlink"/>
            <w:color w:val="000000"/>
          </w:rPr>
          <w:t>Translocation</w:t>
        </w:r>
        <w:r w:rsidRPr="00615DCD">
          <w:rPr>
            <w:rStyle w:val="Hyperlink"/>
            <w:bCs/>
            <w:color w:val="000000"/>
          </w:rPr>
          <w:t>-associated salivary gland tumors: a review and update</w:t>
        </w:r>
      </w:hyperlink>
      <w:r w:rsidRPr="00615DCD">
        <w:rPr>
          <w:color w:val="000000"/>
        </w:rPr>
        <w:t xml:space="preserve">. Advances in anatomic pathology,20, </w:t>
      </w:r>
      <w:r w:rsidRPr="00615DCD">
        <w:rPr>
          <w:bCs/>
          <w:color w:val="000000"/>
        </w:rPr>
        <w:t>2013</w:t>
      </w:r>
      <w:r w:rsidRPr="00615DCD">
        <w:rPr>
          <w:color w:val="000000"/>
        </w:rPr>
        <w:t>,6),s. 367-377.</w:t>
      </w:r>
    </w:p>
    <w:p w:rsidR="00517E70" w:rsidRPr="00615DCD" w:rsidRDefault="00517E70" w:rsidP="00203F1C">
      <w:pPr>
        <w:spacing w:line="360" w:lineRule="auto"/>
        <w:jc w:val="both"/>
        <w:rPr>
          <w:color w:val="000000"/>
        </w:rPr>
      </w:pPr>
      <w:r w:rsidRPr="00615DCD">
        <w:rPr>
          <w:color w:val="000000"/>
        </w:rPr>
        <w:t>34. Behboudi A., Enlund</w:t>
      </w:r>
      <w:r w:rsidRPr="00615DCD">
        <w:rPr>
          <w:color w:val="000000"/>
          <w:vertAlign w:val="superscript"/>
        </w:rPr>
        <w:t xml:space="preserve"> </w:t>
      </w:r>
      <w:r w:rsidRPr="00615DCD">
        <w:rPr>
          <w:color w:val="000000"/>
        </w:rPr>
        <w:t>F., Winnes</w:t>
      </w:r>
      <w:r w:rsidRPr="00615DCD">
        <w:rPr>
          <w:color w:val="000000"/>
          <w:vertAlign w:val="superscript"/>
        </w:rPr>
        <w:t xml:space="preserve"> </w:t>
      </w:r>
      <w:r w:rsidRPr="00615DCD">
        <w:rPr>
          <w:color w:val="000000"/>
        </w:rPr>
        <w:t>., Nordkvist</w:t>
      </w:r>
      <w:r w:rsidRPr="00615DCD">
        <w:rPr>
          <w:color w:val="000000"/>
          <w:vertAlign w:val="superscript"/>
        </w:rPr>
        <w:t xml:space="preserve"> </w:t>
      </w:r>
      <w:r w:rsidRPr="00615DCD">
        <w:rPr>
          <w:color w:val="000000"/>
        </w:rPr>
        <w:t xml:space="preserve">A.et al.:. </w:t>
      </w:r>
      <w:r w:rsidRPr="00615DCD">
        <w:rPr>
          <w:rStyle w:val="maintitle"/>
          <w:color w:val="000000"/>
        </w:rPr>
        <w:t xml:space="preserve">Molecular classification of mucoepidermoid carcinomas—Prognostic significance of the </w:t>
      </w:r>
      <w:r w:rsidRPr="00615DCD">
        <w:rPr>
          <w:rStyle w:val="Emphasis"/>
          <w:color w:val="000000"/>
        </w:rPr>
        <w:t>MECT1</w:t>
      </w:r>
      <w:r w:rsidRPr="00615DCD">
        <w:rPr>
          <w:rStyle w:val="maintitle"/>
          <w:color w:val="000000"/>
        </w:rPr>
        <w:t>–</w:t>
      </w:r>
      <w:r w:rsidRPr="00615DCD">
        <w:rPr>
          <w:rStyle w:val="Emphasis"/>
          <w:color w:val="000000"/>
        </w:rPr>
        <w:t>MAML2</w:t>
      </w:r>
      <w:r w:rsidRPr="00615DCD">
        <w:rPr>
          <w:rStyle w:val="maintitle"/>
          <w:color w:val="000000"/>
        </w:rPr>
        <w:t xml:space="preserve"> fusion oncogene. </w:t>
      </w:r>
      <w:r w:rsidRPr="00615DCD">
        <w:rPr>
          <w:color w:val="000000"/>
        </w:rPr>
        <w:t>Genes, chromosomes and cancer, 45,2006,5,s.470–481</w:t>
      </w:r>
    </w:p>
    <w:p w:rsidR="00517E70" w:rsidRPr="00615DCD" w:rsidRDefault="00517E70" w:rsidP="00203F1C">
      <w:pPr>
        <w:tabs>
          <w:tab w:val="left" w:pos="1050"/>
        </w:tabs>
        <w:spacing w:line="360" w:lineRule="auto"/>
        <w:jc w:val="both"/>
        <w:rPr>
          <w:iCs/>
          <w:color w:val="000000"/>
        </w:rPr>
      </w:pPr>
      <w:r w:rsidRPr="00615DCD">
        <w:rPr>
          <w:iCs/>
          <w:color w:val="000000"/>
        </w:rPr>
        <w:t>35. Hellquist H, Skalova A. Histopathology of the  salivary glands. In: miscellaneous. Springer  2014; s.430-431.</w:t>
      </w:r>
    </w:p>
    <w:p w:rsidR="00517E70" w:rsidRPr="00615DCD" w:rsidRDefault="00517E70" w:rsidP="00203F1C">
      <w:pPr>
        <w:tabs>
          <w:tab w:val="left" w:pos="1050"/>
        </w:tabs>
        <w:spacing w:line="360" w:lineRule="auto"/>
        <w:jc w:val="both"/>
        <w:rPr>
          <w:iCs/>
          <w:color w:val="000000"/>
        </w:rPr>
      </w:pPr>
      <w:r w:rsidRPr="00615DCD">
        <w:rPr>
          <w:color w:val="000000"/>
        </w:rPr>
        <w:t xml:space="preserve">36. Skalova A, Vanecek T, Sima R, et al.: Mammary analogue secretory carcinoma of salivary glands, containing the ETV6-NTRK3 fusion gene: a hitherto undescribed salivary gland tumor entity. </w:t>
      </w:r>
      <w:r w:rsidRPr="00615DCD">
        <w:rPr>
          <w:iCs/>
          <w:color w:val="000000"/>
        </w:rPr>
        <w:t>The American journal of surgical patology,34,</w:t>
      </w:r>
      <w:r w:rsidRPr="00615DCD">
        <w:rPr>
          <w:color w:val="000000"/>
        </w:rPr>
        <w:t xml:space="preserve"> 2010;5,s.599-608.</w:t>
      </w:r>
    </w:p>
    <w:p w:rsidR="00517E70" w:rsidRDefault="00517E70" w:rsidP="00203F1C">
      <w:pPr>
        <w:spacing w:line="360" w:lineRule="auto"/>
        <w:jc w:val="both"/>
        <w:rPr>
          <w:color w:val="000000"/>
        </w:rPr>
      </w:pPr>
    </w:p>
    <w:p w:rsidR="00517E70" w:rsidRPr="00615DCD" w:rsidRDefault="00517E70" w:rsidP="00203F1C">
      <w:pPr>
        <w:spacing w:line="360" w:lineRule="auto"/>
        <w:jc w:val="both"/>
        <w:rPr>
          <w:color w:val="000000"/>
        </w:rPr>
      </w:pPr>
      <w:r w:rsidRPr="00615DCD">
        <w:rPr>
          <w:color w:val="000000"/>
        </w:rPr>
        <w:t>37. Antonescu CR, Zhang L, Chang NE, et al.: EWSR1</w:t>
      </w:r>
      <w:r w:rsidRPr="00615DCD">
        <w:rPr>
          <w:rFonts w:ascii="Arial" w:hAnsi="Arial"/>
          <w:color w:val="000000"/>
        </w:rPr>
        <w:t>-</w:t>
      </w:r>
      <w:r w:rsidRPr="00615DCD">
        <w:rPr>
          <w:color w:val="000000"/>
        </w:rPr>
        <w:t>POU5F1 fusion in soft tissue myoepithelial tumors. A molecular analysis of sixty</w:t>
      </w:r>
      <w:r w:rsidRPr="00615DCD">
        <w:rPr>
          <w:rFonts w:ascii="Arial" w:hAnsi="Arial"/>
          <w:color w:val="000000"/>
        </w:rPr>
        <w:t>-</w:t>
      </w:r>
      <w:r w:rsidRPr="00615DCD">
        <w:rPr>
          <w:color w:val="000000"/>
        </w:rPr>
        <w:t xml:space="preserve">six cases, including soft tissue, bone, and visceral lesions, showing common involvement of the EWSR1 gene. </w:t>
      </w:r>
      <w:r w:rsidRPr="00615DCD">
        <w:rPr>
          <w:iCs/>
          <w:color w:val="000000"/>
        </w:rPr>
        <w:t>Genes, Chromosomes and Cancer,49,</w:t>
      </w:r>
      <w:r w:rsidRPr="00615DCD">
        <w:rPr>
          <w:color w:val="000000"/>
        </w:rPr>
        <w:t xml:space="preserve"> 2010;12,s.1114-1124.</w:t>
      </w:r>
    </w:p>
    <w:p w:rsidR="00517E70" w:rsidRPr="00615DCD" w:rsidRDefault="00517E70" w:rsidP="00203F1C">
      <w:pPr>
        <w:spacing w:line="360" w:lineRule="auto"/>
        <w:jc w:val="both"/>
        <w:rPr>
          <w:color w:val="000000"/>
        </w:rPr>
      </w:pPr>
      <w:r w:rsidRPr="00615DCD">
        <w:rPr>
          <w:color w:val="000000"/>
        </w:rPr>
        <w:t xml:space="preserve">38. Felix, A., El-Naggar, A. K., Press, et al.: Prognostic significance of biomarkers (c-erbB-2, p53, proliferating cell nuclear antigen, and DNA content) in salivary duct carcinoma. </w:t>
      </w:r>
      <w:r w:rsidRPr="00615DCD">
        <w:rPr>
          <w:iCs/>
          <w:color w:val="000000"/>
        </w:rPr>
        <w:t>Human pathology</w:t>
      </w:r>
      <w:r w:rsidRPr="00615DCD">
        <w:rPr>
          <w:color w:val="000000"/>
        </w:rPr>
        <w:t xml:space="preserve">, </w:t>
      </w:r>
      <w:r w:rsidRPr="00615DCD">
        <w:rPr>
          <w:iCs/>
          <w:color w:val="000000"/>
        </w:rPr>
        <w:t>27,1996,</w:t>
      </w:r>
      <w:r w:rsidRPr="00615DCD">
        <w:rPr>
          <w:color w:val="000000"/>
        </w:rPr>
        <w:t>,6,s. 561-566.</w:t>
      </w:r>
    </w:p>
    <w:p w:rsidR="00517E70" w:rsidRPr="00615DCD" w:rsidRDefault="00517E70" w:rsidP="00203F1C">
      <w:pPr>
        <w:spacing w:line="360" w:lineRule="auto"/>
        <w:jc w:val="both"/>
        <w:rPr>
          <w:color w:val="000000"/>
        </w:rPr>
      </w:pPr>
      <w:r w:rsidRPr="00615DCD">
        <w:rPr>
          <w:color w:val="000000"/>
        </w:rPr>
        <w:t>39. Luukkaa, H., Klemi, P., Leivo, I., et al.: Prognostic significance of Ki-67 and p53 as tumor markers in salivary gland malignancies in Finland: an evaluation of 212 cases. Acta Oncologica, 45,2006, 6,s. 669-675.</w:t>
      </w:r>
    </w:p>
    <w:p w:rsidR="00517E70" w:rsidRPr="00615DCD" w:rsidRDefault="00517E70" w:rsidP="00203F1C">
      <w:pPr>
        <w:spacing w:line="360" w:lineRule="auto"/>
        <w:jc w:val="both"/>
        <w:rPr>
          <w:color w:val="000000"/>
        </w:rPr>
      </w:pPr>
      <w:r w:rsidRPr="00615DCD">
        <w:rPr>
          <w:color w:val="000000"/>
        </w:rPr>
        <w:t>40. Sasahira T, Kurihara M, Yamamoto K, et al.: Downregulation of runt</w:t>
      </w:r>
      <w:r w:rsidRPr="00615DCD">
        <w:rPr>
          <w:rFonts w:ascii="Arial" w:hAnsi="Arial"/>
          <w:color w:val="000000"/>
        </w:rPr>
        <w:t>-</w:t>
      </w:r>
      <w:r w:rsidRPr="00615DCD">
        <w:rPr>
          <w:color w:val="000000"/>
        </w:rPr>
        <w:t xml:space="preserve">related transcription factor 3 associated with poor prognosis of adenoid cystic and mucoepidermoid carcinomas of the salivary gland. </w:t>
      </w:r>
      <w:r w:rsidRPr="00615DCD">
        <w:rPr>
          <w:iCs/>
          <w:color w:val="000000"/>
        </w:rPr>
        <w:t>Cancer science</w:t>
      </w:r>
      <w:r w:rsidRPr="00615DCD">
        <w:rPr>
          <w:color w:val="000000"/>
        </w:rPr>
        <w:t xml:space="preserve"> 102,2011;2,s. 492-497.</w:t>
      </w:r>
    </w:p>
    <w:p w:rsidR="00517E70" w:rsidRPr="00615DCD" w:rsidRDefault="00517E70" w:rsidP="00203F1C">
      <w:pPr>
        <w:spacing w:line="360" w:lineRule="auto"/>
        <w:jc w:val="both"/>
        <w:rPr>
          <w:color w:val="000000"/>
        </w:rPr>
      </w:pPr>
      <w:r w:rsidRPr="00615DCD">
        <w:rPr>
          <w:color w:val="000000"/>
        </w:rPr>
        <w:t xml:space="preserve">41. He JF, Ge MH., Zhu X., Chen C, Tan, Z, Li YN, Gu ZY. Expression of RUNX3 in salivary adenoid cystic carcinoma: implications for tumor progression and prognosis. </w:t>
      </w:r>
      <w:r w:rsidRPr="00615DCD">
        <w:rPr>
          <w:iCs/>
          <w:color w:val="000000"/>
        </w:rPr>
        <w:t xml:space="preserve">Cancer science,99, </w:t>
      </w:r>
      <w:r w:rsidRPr="00615DCD">
        <w:rPr>
          <w:color w:val="000000"/>
        </w:rPr>
        <w:t>2008;7,s.334-1340.</w:t>
      </w:r>
    </w:p>
    <w:p w:rsidR="00517E70" w:rsidRPr="00615DCD" w:rsidRDefault="00517E70" w:rsidP="00203F1C">
      <w:pPr>
        <w:autoSpaceDE w:val="0"/>
        <w:autoSpaceDN w:val="0"/>
        <w:adjustRightInd w:val="0"/>
        <w:spacing w:line="360" w:lineRule="auto"/>
        <w:jc w:val="both"/>
        <w:rPr>
          <w:color w:val="000000"/>
        </w:rPr>
      </w:pPr>
      <w:r w:rsidRPr="00615DCD">
        <w:rPr>
          <w:color w:val="000000"/>
        </w:rPr>
        <w:t>42.</w:t>
      </w:r>
      <w:r>
        <w:rPr>
          <w:color w:val="000000"/>
        </w:rPr>
        <w:t xml:space="preserve"> </w:t>
      </w:r>
      <w:r w:rsidRPr="00615DCD">
        <w:rPr>
          <w:color w:val="000000"/>
        </w:rPr>
        <w:t>Stárek I, Kučerová L, Skálová A,Brož M</w:t>
      </w:r>
      <w:r w:rsidRPr="00615DCD">
        <w:rPr>
          <w:b/>
          <w:color w:val="000000"/>
        </w:rPr>
        <w:t xml:space="preserve">, </w:t>
      </w:r>
      <w:r w:rsidRPr="00615DCD">
        <w:rPr>
          <w:color w:val="000000"/>
        </w:rPr>
        <w:t>Bakaj T, Langová K. Imunohistochemická exprese C-kit onkoproteinu u karcinomů slinných  žláz  (pilotní  studie) .Otorinolaryngologie a foniatrie 60,2010;3,s.129-135.</w:t>
      </w:r>
    </w:p>
    <w:p w:rsidR="00517E70" w:rsidRPr="00615DCD" w:rsidRDefault="00517E70" w:rsidP="00203F1C">
      <w:pPr>
        <w:autoSpaceDE w:val="0"/>
        <w:autoSpaceDN w:val="0"/>
        <w:adjustRightInd w:val="0"/>
        <w:spacing w:line="360" w:lineRule="auto"/>
        <w:jc w:val="both"/>
        <w:rPr>
          <w:color w:val="000000"/>
        </w:rPr>
      </w:pPr>
      <w:r w:rsidRPr="00615DCD">
        <w:rPr>
          <w:color w:val="000000"/>
        </w:rPr>
        <w:t>43. Stárek I,Kučerová L,Skálová A,Brož M</w:t>
      </w:r>
      <w:r w:rsidRPr="00615DCD">
        <w:rPr>
          <w:b/>
          <w:color w:val="000000"/>
        </w:rPr>
        <w:t xml:space="preserve">, </w:t>
      </w:r>
      <w:r w:rsidRPr="00615DCD">
        <w:rPr>
          <w:color w:val="000000"/>
        </w:rPr>
        <w:t>Bakaj T, et al.: Imunohistochemická exprese onkoproteinu EGFR  a její prognostický význam u karcinomů slinných  žláz .Otorinolaryngologie a foniatrie,60, 2011;2,s.78-84.</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44. Lee SK, Kwon MS, Lee YS, Choi, SH, Kim, SY, Cho KJ, Nam, SY. Prognostic value of expression of molecular markers in adenoid cystic cancer of the salivary glands compared with lymph node metastasis: a retrospective study. </w:t>
      </w:r>
      <w:r w:rsidRPr="00615DCD">
        <w:rPr>
          <w:iCs/>
          <w:color w:val="000000"/>
        </w:rPr>
        <w:t>World J Surg Oncol</w:t>
      </w:r>
      <w:r w:rsidRPr="00615DCD">
        <w:rPr>
          <w:color w:val="000000"/>
        </w:rPr>
        <w:t xml:space="preserve"> 2012;</w:t>
      </w:r>
      <w:r w:rsidRPr="00615DCD">
        <w:rPr>
          <w:iCs/>
          <w:color w:val="000000"/>
        </w:rPr>
        <w:t>10</w:t>
      </w:r>
      <w:r w:rsidRPr="00615DCD">
        <w:rPr>
          <w:color w:val="000000"/>
        </w:rPr>
        <w:t>, 1.</w:t>
      </w:r>
    </w:p>
    <w:p w:rsidR="00517E70" w:rsidRPr="00615DCD" w:rsidRDefault="00517E70" w:rsidP="00203F1C">
      <w:pPr>
        <w:spacing w:line="360" w:lineRule="auto"/>
        <w:jc w:val="both"/>
        <w:rPr>
          <w:color w:val="000000"/>
        </w:rPr>
      </w:pPr>
      <w:r w:rsidRPr="00615DCD">
        <w:rPr>
          <w:color w:val="000000"/>
        </w:rPr>
        <w:t>45. Hoza J., Stárek I., Brož M., Salzman R. Význam vaskulárního endotelového faktoru (vascular endothelial growth factor - VEGF) pro metastázování adenoidně cystického karcinomu slinných žláz.Otorinolaryng. a Foniat. (Prague),63, 2014,3,s.188-192.</w:t>
      </w:r>
    </w:p>
    <w:p w:rsidR="00517E70" w:rsidRPr="00615DCD" w:rsidRDefault="00517E70" w:rsidP="00203F1C">
      <w:pPr>
        <w:spacing w:line="360" w:lineRule="auto"/>
        <w:jc w:val="both"/>
        <w:rPr>
          <w:color w:val="000000"/>
        </w:rPr>
      </w:pPr>
      <w:r w:rsidRPr="00615DCD">
        <w:rPr>
          <w:color w:val="000000"/>
        </w:rPr>
        <w:t>46.</w:t>
      </w:r>
      <w:r w:rsidRPr="00615DCD">
        <w:rPr>
          <w:i/>
          <w:color w:val="000000"/>
        </w:rPr>
        <w:t xml:space="preserve"> </w:t>
      </w:r>
      <w:r w:rsidRPr="00615DCD">
        <w:rPr>
          <w:color w:val="000000"/>
        </w:rPr>
        <w:t xml:space="preserve">Miettinen M, Lasota, J.:  </w:t>
      </w:r>
      <w:hyperlink r:id="rId30" w:history="1">
        <w:r w:rsidRPr="00615DCD">
          <w:rPr>
            <w:color w:val="000000"/>
          </w:rPr>
          <w:t>Gastrointestinal stromal tumors: review on morphology, molecular pathology, prognosis, and differential diagnosis</w:t>
        </w:r>
      </w:hyperlink>
      <w:r w:rsidRPr="00615DCD">
        <w:rPr>
          <w:color w:val="000000"/>
        </w:rPr>
        <w:t>. Archives of Pathology &amp; Laboratory Medicine . 130,2006,10, s.1466-1478.</w:t>
      </w:r>
    </w:p>
    <w:p w:rsidR="00517E70" w:rsidRPr="00615DCD" w:rsidRDefault="00517E70" w:rsidP="00203F1C">
      <w:pPr>
        <w:spacing w:line="360" w:lineRule="auto"/>
        <w:jc w:val="both"/>
        <w:rPr>
          <w:color w:val="000000"/>
        </w:rPr>
      </w:pPr>
      <w:r w:rsidRPr="00615DCD">
        <w:rPr>
          <w:color w:val="000000"/>
        </w:rPr>
        <w:t>47. Liu, G., Zheng, H., Zhang, Z. et al.: Overexpression of sphingosine kinase 1 is associated with salivary gland carcinoma progression and might be a novel predictive marker for adjuvant therapy. BMC cancer, 10,2010,1,s. 495.</w:t>
      </w:r>
    </w:p>
    <w:p w:rsidR="00517E70" w:rsidRPr="00615DCD" w:rsidRDefault="00517E70" w:rsidP="00203F1C">
      <w:pPr>
        <w:spacing w:line="360" w:lineRule="auto"/>
        <w:jc w:val="both"/>
        <w:rPr>
          <w:color w:val="000000"/>
        </w:rPr>
      </w:pPr>
      <w:r w:rsidRPr="00615DCD">
        <w:rPr>
          <w:color w:val="000000"/>
        </w:rPr>
        <w:t>48.</w:t>
      </w:r>
      <w:r>
        <w:rPr>
          <w:color w:val="000000"/>
        </w:rPr>
        <w:t xml:space="preserve"> </w:t>
      </w:r>
      <w:r w:rsidRPr="00615DCD">
        <w:rPr>
          <w:color w:val="000000"/>
        </w:rPr>
        <w:t>Zhang, Y., Wang, Y., Wan, Z., et al.: Sphingosine kinase 1 and cancer: a systematic review and meta-analysis. PLoS One, 9,2014,2, e90362.</w:t>
      </w:r>
    </w:p>
    <w:p w:rsidR="00517E70" w:rsidRPr="00615DCD" w:rsidRDefault="00517E70" w:rsidP="00203F1C">
      <w:pPr>
        <w:spacing w:line="360" w:lineRule="auto"/>
        <w:jc w:val="both"/>
        <w:rPr>
          <w:color w:val="000000"/>
        </w:rPr>
      </w:pPr>
      <w:r>
        <w:rPr>
          <w:color w:val="000000"/>
        </w:rPr>
        <w:t xml:space="preserve">49. </w:t>
      </w:r>
      <w:r w:rsidRPr="00615DCD">
        <w:rPr>
          <w:color w:val="000000"/>
        </w:rPr>
        <w:t xml:space="preserve">Bell D, Roberts D, Karpowicz M, et al.:Clinical significance of Myb protein and downstream target genes in salivary adenoid cystic carcinoma. </w:t>
      </w:r>
      <w:r w:rsidRPr="00615DCD">
        <w:rPr>
          <w:iCs/>
          <w:color w:val="000000"/>
        </w:rPr>
        <w:t>Cancer biology &amp; therapy</w:t>
      </w:r>
      <w:r w:rsidRPr="00615DCD">
        <w:rPr>
          <w:color w:val="000000"/>
        </w:rPr>
        <w:t xml:space="preserve"> ,12,2011,7,s.569-573. </w:t>
      </w:r>
    </w:p>
    <w:p w:rsidR="00517E70" w:rsidRPr="00615DCD" w:rsidRDefault="00517E70" w:rsidP="00203F1C">
      <w:pPr>
        <w:spacing w:line="360" w:lineRule="auto"/>
        <w:jc w:val="both"/>
        <w:rPr>
          <w:color w:val="000000"/>
        </w:rPr>
      </w:pPr>
      <w:r w:rsidRPr="00615DCD">
        <w:rPr>
          <w:color w:val="000000"/>
        </w:rPr>
        <w:t>50. Penner, C. R., Folpe, A. L., &amp; Budnick, S. D. C-kit expression distinguishes salivary gland adenoid cystic carcinoma from polymorphous low-grade adenocarcinoma. Modern pathology, 15,2002,7,s. 687-691.</w:t>
      </w:r>
    </w:p>
    <w:p w:rsidR="00517E70" w:rsidRPr="00615DCD" w:rsidRDefault="00517E70" w:rsidP="00203F1C">
      <w:pPr>
        <w:spacing w:line="360" w:lineRule="auto"/>
        <w:jc w:val="both"/>
        <w:rPr>
          <w:color w:val="000000"/>
        </w:rPr>
      </w:pPr>
      <w:r w:rsidRPr="00615DCD">
        <w:rPr>
          <w:color w:val="000000"/>
        </w:rPr>
        <w:t>51.</w:t>
      </w:r>
      <w:r w:rsidRPr="00615DCD">
        <w:rPr>
          <w:i/>
          <w:color w:val="000000"/>
        </w:rPr>
        <w:t xml:space="preserve"> </w:t>
      </w:r>
      <w:r w:rsidRPr="00615DCD">
        <w:rPr>
          <w:color w:val="000000"/>
        </w:rPr>
        <w:t>Faivre, S., Raymond, E., Casiraghi, et al</w:t>
      </w:r>
      <w:r w:rsidRPr="00615DCD">
        <w:rPr>
          <w:b/>
          <w:color w:val="000000"/>
        </w:rPr>
        <w:t xml:space="preserve"> : </w:t>
      </w:r>
      <w:r w:rsidRPr="00615DCD">
        <w:rPr>
          <w:color w:val="000000"/>
        </w:rPr>
        <w:t xml:space="preserve">Imatinib mesylate can induce objective response in progressing, highly expressing KIT adenoid cystic carcinoma of the salivary glands. </w:t>
      </w:r>
      <w:r w:rsidRPr="00615DCD">
        <w:rPr>
          <w:iCs/>
          <w:color w:val="000000"/>
        </w:rPr>
        <w:t>Journal of clinical oncology</w:t>
      </w:r>
      <w:r w:rsidRPr="00615DCD">
        <w:rPr>
          <w:color w:val="000000"/>
        </w:rPr>
        <w:t>, 2005,</w:t>
      </w:r>
      <w:r w:rsidRPr="00615DCD">
        <w:rPr>
          <w:iCs/>
          <w:color w:val="000000"/>
        </w:rPr>
        <w:t>23</w:t>
      </w:r>
      <w:r w:rsidRPr="00615DCD">
        <w:rPr>
          <w:color w:val="000000"/>
        </w:rPr>
        <w:t>, s.6271-6273.</w:t>
      </w:r>
    </w:p>
    <w:p w:rsidR="00517E70" w:rsidRPr="00615DCD" w:rsidRDefault="00517E70" w:rsidP="00203F1C">
      <w:pPr>
        <w:shd w:val="clear" w:color="auto" w:fill="FFFFFF"/>
        <w:spacing w:before="75" w:line="360" w:lineRule="auto"/>
        <w:jc w:val="both"/>
        <w:outlineLvl w:val="1"/>
        <w:rPr>
          <w:color w:val="000000"/>
        </w:rPr>
      </w:pPr>
      <w:r w:rsidRPr="00615DCD">
        <w:rPr>
          <w:color w:val="000000"/>
        </w:rPr>
        <w:t>52.</w:t>
      </w:r>
      <w:r>
        <w:rPr>
          <w:color w:val="000000"/>
        </w:rPr>
        <w:t xml:space="preserve"> </w:t>
      </w:r>
      <w:r w:rsidRPr="00615DCD">
        <w:rPr>
          <w:color w:val="000000"/>
        </w:rPr>
        <w:t>Lin H, Yen F, et al..</w:t>
      </w:r>
      <w:r w:rsidRPr="00615DCD">
        <w:rPr>
          <w:rStyle w:val="maintitle"/>
          <w:color w:val="000000"/>
        </w:rPr>
        <w:t xml:space="preserve">Unexpected rapid progression of metastatic adenoid cystic carcinoma during treatment with imatinib mesylate. </w:t>
      </w:r>
      <w:r w:rsidRPr="00615DCD">
        <w:rPr>
          <w:color w:val="000000"/>
        </w:rPr>
        <w:t>Head &amp; Neck ,12,2005,s.1022–1027</w:t>
      </w:r>
    </w:p>
    <w:p w:rsidR="00517E70" w:rsidRPr="00615DCD" w:rsidRDefault="00517E70" w:rsidP="00203F1C">
      <w:pPr>
        <w:spacing w:line="360" w:lineRule="auto"/>
        <w:jc w:val="both"/>
        <w:rPr>
          <w:color w:val="000000"/>
        </w:rPr>
      </w:pPr>
      <w:r w:rsidRPr="00615DCD">
        <w:rPr>
          <w:bCs/>
          <w:color w:val="000000"/>
        </w:rPr>
        <w:t>53. Ghosal, N., Mais, K., Shenjere, P</w:t>
      </w:r>
      <w:r w:rsidRPr="00615DCD">
        <w:rPr>
          <w:color w:val="000000"/>
        </w:rPr>
        <w:t>.,et al.:. (2011). Phase II study of cisplatin and imatinib in advanced salivary adenoid cystic carcinoma. British Journal of Oral and Maxillofacial Surgery, 49,2011,7, s.510-515.</w:t>
      </w:r>
    </w:p>
    <w:p w:rsidR="00517E70" w:rsidRPr="00615DCD" w:rsidRDefault="00517E70" w:rsidP="00203F1C">
      <w:pPr>
        <w:spacing w:line="360" w:lineRule="auto"/>
        <w:jc w:val="both"/>
        <w:rPr>
          <w:color w:val="000000"/>
        </w:rPr>
      </w:pPr>
      <w:r w:rsidRPr="00615DCD">
        <w:rPr>
          <w:color w:val="000000"/>
        </w:rPr>
        <w:t>54.</w:t>
      </w:r>
      <w:r>
        <w:rPr>
          <w:color w:val="000000"/>
        </w:rPr>
        <w:t xml:space="preserve"> </w:t>
      </w:r>
      <w:r w:rsidRPr="00615DCD">
        <w:rPr>
          <w:color w:val="000000"/>
        </w:rPr>
        <w:t xml:space="preserve">Argiris, A., Feinstein, T. M., Wang, L.: Phase I and pharmacokinetic study of dasatinib and cetuximab in patients with advanced solid malignancies. </w:t>
      </w:r>
      <w:r w:rsidRPr="00615DCD">
        <w:rPr>
          <w:iCs/>
          <w:color w:val="000000"/>
        </w:rPr>
        <w:t>Investigational new drugs</w:t>
      </w:r>
      <w:r w:rsidRPr="00615DCD">
        <w:rPr>
          <w:color w:val="000000"/>
        </w:rPr>
        <w:t xml:space="preserve">, </w:t>
      </w:r>
      <w:r w:rsidRPr="00615DCD">
        <w:rPr>
          <w:iCs/>
          <w:color w:val="000000"/>
        </w:rPr>
        <w:t>30,2012,</w:t>
      </w:r>
      <w:r w:rsidRPr="00615DCD">
        <w:rPr>
          <w:color w:val="000000"/>
        </w:rPr>
        <w:t>4, s.1575-1584.</w:t>
      </w:r>
    </w:p>
    <w:p w:rsidR="00517E70" w:rsidRPr="00615DCD" w:rsidRDefault="00517E70" w:rsidP="00203F1C">
      <w:pPr>
        <w:spacing w:line="360" w:lineRule="auto"/>
        <w:jc w:val="both"/>
        <w:rPr>
          <w:color w:val="000000"/>
        </w:rPr>
      </w:pPr>
      <w:r w:rsidRPr="00615DCD">
        <w:rPr>
          <w:color w:val="000000"/>
        </w:rPr>
        <w:t xml:space="preserve"> 55. Dasatinib in Treating Patients With Recurrent or Metastatic Malignant Salivary Gland Tumors.</w:t>
      </w:r>
      <w:r w:rsidRPr="00615DCD">
        <w:rPr>
          <w:bCs/>
          <w:color w:val="000000"/>
        </w:rPr>
        <w:t>www.clinicaltrials.gov</w:t>
      </w:r>
    </w:p>
    <w:p w:rsidR="00517E70" w:rsidRPr="00615DCD" w:rsidRDefault="00517E70" w:rsidP="00203F1C">
      <w:pPr>
        <w:autoSpaceDE w:val="0"/>
        <w:autoSpaceDN w:val="0"/>
        <w:adjustRightInd w:val="0"/>
        <w:spacing w:line="360" w:lineRule="auto"/>
        <w:jc w:val="both"/>
        <w:rPr>
          <w:rFonts w:ascii="AdvMelior-R" w:hAnsi="AdvMelior-R" w:cs="AdvMelior-R"/>
          <w:color w:val="000000"/>
        </w:rPr>
      </w:pPr>
      <w:r w:rsidRPr="00615DCD">
        <w:rPr>
          <w:rFonts w:ascii="AdvMelior-R" w:hAnsi="AdvMelior-R" w:cs="AdvMelior-R"/>
          <w:color w:val="000000"/>
        </w:rPr>
        <w:t>56.Vila L,Liu H,Al-Quran S. Identification of c kit gene mutations in primary adenoid cystic carcinoma of the salivary gland. Modern pathology 2009,22,s.1296-1302</w:t>
      </w:r>
    </w:p>
    <w:p w:rsidR="00517E70" w:rsidRPr="00615DCD" w:rsidRDefault="00517E70" w:rsidP="00203F1C">
      <w:pPr>
        <w:spacing w:line="360" w:lineRule="auto"/>
        <w:jc w:val="both"/>
        <w:rPr>
          <w:color w:val="000000"/>
        </w:rPr>
      </w:pPr>
      <w:r w:rsidRPr="00615DCD">
        <w:rPr>
          <w:color w:val="000000"/>
        </w:rPr>
        <w:t xml:space="preserve">57. </w:t>
      </w:r>
      <w:hyperlink r:id="rId31" w:history="1">
        <w:r w:rsidRPr="00615DCD">
          <w:rPr>
            <w:rStyle w:val="Hyperlink"/>
            <w:color w:val="000000"/>
          </w:rPr>
          <w:t>Tetsu</w:t>
        </w:r>
      </w:hyperlink>
      <w:r w:rsidRPr="00615DCD">
        <w:rPr>
          <w:color w:val="000000"/>
        </w:rPr>
        <w:t xml:space="preserve"> O, </w:t>
      </w:r>
      <w:hyperlink r:id="rId32" w:history="1">
        <w:r w:rsidRPr="00615DCD">
          <w:rPr>
            <w:rStyle w:val="Hyperlink"/>
            <w:color w:val="000000"/>
          </w:rPr>
          <w:t xml:space="preserve"> Phuchareon</w:t>
        </w:r>
      </w:hyperlink>
      <w:r w:rsidRPr="00615DCD">
        <w:rPr>
          <w:color w:val="000000"/>
        </w:rPr>
        <w:t xml:space="preserve"> J,</w:t>
      </w:r>
      <w:hyperlink r:id="rId33" w:history="1">
        <w:r w:rsidRPr="00615DCD">
          <w:rPr>
            <w:rStyle w:val="Hyperlink"/>
            <w:color w:val="000000"/>
          </w:rPr>
          <w:t xml:space="preserve"> Chou</w:t>
        </w:r>
      </w:hyperlink>
      <w:r w:rsidRPr="00615DCD">
        <w:rPr>
          <w:color w:val="000000"/>
        </w:rPr>
        <w:t xml:space="preserve"> A,</w:t>
      </w:r>
      <w:r w:rsidRPr="00615DCD">
        <w:rPr>
          <w:color w:val="000000"/>
          <w:vertAlign w:val="superscript"/>
        </w:rPr>
        <w:t xml:space="preserve"> </w:t>
      </w:r>
      <w:r w:rsidRPr="00615DCD">
        <w:rPr>
          <w:color w:val="000000"/>
        </w:rPr>
        <w:t>et al.: Mutations in the c-Kit Gene Disrupt Mitogen-Activated Protein Kinase Signaling during Tumor Development in Adenoid Cystic Carcinoma of the Salivary Glands</w:t>
      </w:r>
      <w:r w:rsidRPr="00615DCD">
        <w:rPr>
          <w:color w:val="000000"/>
          <w:vertAlign w:val="superscript"/>
        </w:rPr>
        <w:t xml:space="preserve"> </w:t>
      </w:r>
      <w:r w:rsidRPr="00615DCD">
        <w:rPr>
          <w:rStyle w:val="citation-abbreviation"/>
          <w:color w:val="000000"/>
        </w:rPr>
        <w:t xml:space="preserve"> . Neoplasia.12, </w:t>
      </w:r>
      <w:r w:rsidRPr="00615DCD">
        <w:rPr>
          <w:rStyle w:val="citation-publication-date"/>
          <w:color w:val="000000"/>
        </w:rPr>
        <w:t>2010,</w:t>
      </w:r>
      <w:r w:rsidRPr="00615DCD">
        <w:rPr>
          <w:rStyle w:val="citation-issue"/>
          <w:color w:val="000000"/>
        </w:rPr>
        <w:t>9,s.</w:t>
      </w:r>
      <w:r w:rsidRPr="00615DCD">
        <w:rPr>
          <w:rStyle w:val="citation-flpages"/>
          <w:color w:val="000000"/>
        </w:rPr>
        <w:t xml:space="preserve">708–717. </w:t>
      </w:r>
    </w:p>
    <w:p w:rsidR="00517E70" w:rsidRPr="00615DCD" w:rsidRDefault="00517E70" w:rsidP="00203F1C">
      <w:pPr>
        <w:spacing w:line="360" w:lineRule="auto"/>
        <w:jc w:val="both"/>
        <w:rPr>
          <w:color w:val="000000"/>
        </w:rPr>
      </w:pPr>
      <w:r w:rsidRPr="00615DCD">
        <w:rPr>
          <w:color w:val="000000"/>
        </w:rPr>
        <w:t xml:space="preserve">58. Clappier E, Cuccuini W, Kalota A, et al.: The C-MYB locus is involved in chromosomal translocation and genomic duplications in human T-cell acute leukemia (T-ALL), the translocation defining a new T-ALL subtype in very young children. </w:t>
      </w:r>
      <w:r w:rsidRPr="00615DCD">
        <w:rPr>
          <w:iCs/>
          <w:color w:val="000000"/>
        </w:rPr>
        <w:t>Blood</w:t>
      </w:r>
      <w:r w:rsidRPr="00615DCD">
        <w:rPr>
          <w:color w:val="000000"/>
        </w:rPr>
        <w:t xml:space="preserve"> ,110,2007,4,s.1251-1261.</w:t>
      </w:r>
    </w:p>
    <w:p w:rsidR="00517E70" w:rsidRPr="00615DCD" w:rsidRDefault="00517E70" w:rsidP="00203F1C">
      <w:pPr>
        <w:spacing w:line="360" w:lineRule="auto"/>
        <w:jc w:val="both"/>
        <w:rPr>
          <w:color w:val="000000"/>
        </w:rPr>
      </w:pPr>
      <w:r w:rsidRPr="00615DCD">
        <w:rPr>
          <w:color w:val="000000"/>
        </w:rPr>
        <w:t>59. Pattabiraman DR,  Gonda, TJ. Role and potential for therapeutic targeting of MYB in leukemia.</w:t>
      </w:r>
      <w:r w:rsidRPr="00615DCD">
        <w:rPr>
          <w:iCs/>
          <w:color w:val="000000"/>
        </w:rPr>
        <w:t>Leukemia</w:t>
      </w:r>
      <w:r w:rsidRPr="00615DCD">
        <w:rPr>
          <w:color w:val="000000"/>
        </w:rPr>
        <w:t>,27,2013;2,s..269-277.</w:t>
      </w:r>
    </w:p>
    <w:p w:rsidR="00517E70" w:rsidRPr="00615DCD" w:rsidRDefault="00517E70" w:rsidP="00203F1C">
      <w:pPr>
        <w:spacing w:line="360" w:lineRule="auto"/>
        <w:jc w:val="both"/>
        <w:rPr>
          <w:color w:val="000000"/>
        </w:rPr>
      </w:pPr>
      <w:r w:rsidRPr="00615DCD">
        <w:rPr>
          <w:color w:val="000000"/>
        </w:rPr>
        <w:t xml:space="preserve">60. MitaniY, Li J, Rao PH, ZhaoYJ, Bell D, Lippman SM, El-Naggar AK. Comprehensive analysis of the MYB-NFIB gene fusion in salivary adenoid cystic carcinoma: Incidence, variability, and clinicopathologic significance. </w:t>
      </w:r>
      <w:r w:rsidRPr="00615DCD">
        <w:rPr>
          <w:iCs/>
          <w:color w:val="000000"/>
        </w:rPr>
        <w:t>Clinical Cancer Research</w:t>
      </w:r>
      <w:r w:rsidRPr="00615DCD">
        <w:rPr>
          <w:color w:val="000000"/>
        </w:rPr>
        <w:t xml:space="preserve"> ,16,2010; 19,s. 4722-4731.</w:t>
      </w:r>
    </w:p>
    <w:p w:rsidR="00517E70" w:rsidRPr="00615DCD" w:rsidRDefault="00517E70" w:rsidP="00203F1C">
      <w:pPr>
        <w:spacing w:line="360" w:lineRule="auto"/>
        <w:jc w:val="both"/>
        <w:rPr>
          <w:color w:val="000000"/>
        </w:rPr>
      </w:pPr>
      <w:r w:rsidRPr="00615DCD">
        <w:rPr>
          <w:color w:val="000000"/>
        </w:rPr>
        <w:t xml:space="preserve">61. West RB, Kong C, Clarke N, Gilks T, Lipsick  J, </w:t>
      </w:r>
      <w:smartTag w:uri="urn:schemas-microsoft-com:office:smarttags" w:element="PersonName">
        <w:smartTagPr>
          <w:attr w:name="ProductID" w:val="Cao H"/>
        </w:smartTagPr>
        <w:r w:rsidRPr="00615DCD">
          <w:rPr>
            <w:color w:val="000000"/>
          </w:rPr>
          <w:t>Cao H</w:t>
        </w:r>
      </w:smartTag>
      <w:r w:rsidRPr="00615DCD">
        <w:rPr>
          <w:color w:val="000000"/>
        </w:rPr>
        <w:t xml:space="preserve">, Le,QT. MYB expression and translocation in adenoid cystic carcinomas and other salivary gland tumors with clinicopathologic correlation. </w:t>
      </w:r>
      <w:r w:rsidRPr="00615DCD">
        <w:rPr>
          <w:iCs/>
          <w:color w:val="000000"/>
        </w:rPr>
        <w:t>The American journal of surgical patology,35,</w:t>
      </w:r>
      <w:r w:rsidRPr="00615DCD">
        <w:rPr>
          <w:i/>
          <w:iCs/>
          <w:color w:val="000000"/>
        </w:rPr>
        <w:t xml:space="preserve"> </w:t>
      </w:r>
      <w:r w:rsidRPr="00615DCD">
        <w:rPr>
          <w:color w:val="000000"/>
        </w:rPr>
        <w:t>2011,1: 92-99.</w:t>
      </w:r>
    </w:p>
    <w:p w:rsidR="00517E70" w:rsidRPr="00615DCD" w:rsidRDefault="00517E70" w:rsidP="00203F1C">
      <w:pPr>
        <w:spacing w:line="360" w:lineRule="auto"/>
        <w:jc w:val="both"/>
        <w:rPr>
          <w:color w:val="000000"/>
        </w:rPr>
      </w:pPr>
      <w:r w:rsidRPr="00615DCD">
        <w:rPr>
          <w:color w:val="000000"/>
        </w:rPr>
        <w:t xml:space="preserve">62. Mitani Y, Rao P.H, Futreal P.A, et al.: Novel chromosomal rearrangements and break points at the t (6; 9) in salivary adenoid cystic carcinoma: association with MYB–NFIB chimeric fusion, MYB expression, and clinical outcome. </w:t>
      </w:r>
      <w:r w:rsidRPr="00615DCD">
        <w:rPr>
          <w:iCs/>
          <w:color w:val="000000"/>
        </w:rPr>
        <w:t>Clinical Cancer Research,17,</w:t>
      </w:r>
      <w:r w:rsidRPr="00615DCD">
        <w:rPr>
          <w:color w:val="000000"/>
        </w:rPr>
        <w:t xml:space="preserve"> 2011,22,s.7003-7014.</w:t>
      </w:r>
    </w:p>
    <w:p w:rsidR="00517E70" w:rsidRPr="00615DCD" w:rsidRDefault="00517E70" w:rsidP="00203F1C">
      <w:pPr>
        <w:spacing w:line="360" w:lineRule="auto"/>
        <w:jc w:val="both"/>
        <w:rPr>
          <w:color w:val="000000"/>
        </w:rPr>
      </w:pPr>
      <w:r w:rsidRPr="00615DCD">
        <w:rPr>
          <w:color w:val="000000"/>
        </w:rPr>
        <w:t xml:space="preserve"> 63.</w:t>
      </w:r>
      <w:r w:rsidRPr="00615DCD">
        <w:rPr>
          <w:bCs/>
          <w:color w:val="000000"/>
        </w:rPr>
        <w:t xml:space="preserve"> Pusztaszeri, M. P., Sadow, P. M., Ushiku, A., et al</w:t>
      </w:r>
      <w:r w:rsidRPr="00615DCD">
        <w:rPr>
          <w:color w:val="000000"/>
        </w:rPr>
        <w:t xml:space="preserve">.: MYB immunostaining is a useful ancillary test for distinguishing adenoid cystic carcinoma from pleomorphic adenoma in </w:t>
      </w:r>
    </w:p>
    <w:p w:rsidR="00517E70" w:rsidRPr="00615DCD" w:rsidRDefault="00517E70" w:rsidP="00203F1C">
      <w:pPr>
        <w:spacing w:line="360" w:lineRule="auto"/>
        <w:jc w:val="both"/>
        <w:rPr>
          <w:color w:val="000000"/>
        </w:rPr>
      </w:pPr>
      <w:r w:rsidRPr="00615DCD">
        <w:rPr>
          <w:color w:val="000000"/>
        </w:rPr>
        <w:t>fine-needle aspiration biopsy specimens. Cancer cytopathology, 122,2014,4,s.257-265</w:t>
      </w:r>
    </w:p>
    <w:p w:rsidR="00517E70" w:rsidRPr="00615DCD" w:rsidRDefault="00517E70" w:rsidP="00203F1C">
      <w:pPr>
        <w:spacing w:line="360" w:lineRule="auto"/>
        <w:jc w:val="both"/>
        <w:rPr>
          <w:color w:val="000000"/>
        </w:rPr>
      </w:pPr>
      <w:r w:rsidRPr="00615DCD">
        <w:rPr>
          <w:bCs/>
          <w:color w:val="000000"/>
        </w:rPr>
        <w:t xml:space="preserve"> 64.</w:t>
      </w:r>
      <w:r>
        <w:rPr>
          <w:bCs/>
          <w:color w:val="000000"/>
        </w:rPr>
        <w:t xml:space="preserve"> </w:t>
      </w:r>
      <w:r w:rsidRPr="00615DCD">
        <w:rPr>
          <w:bCs/>
          <w:color w:val="000000"/>
        </w:rPr>
        <w:t>Ramsay, R. G., Barton, A. L., &amp; Gonda, T. J.</w:t>
      </w:r>
      <w:r w:rsidRPr="00615DCD">
        <w:rPr>
          <w:color w:val="000000"/>
        </w:rPr>
        <w:t>: Targeting c-Myb expression in human disease. Expert opinion on therapeutic targets, 7,2003,2, s.235-248.</w:t>
      </w:r>
    </w:p>
    <w:p w:rsidR="00517E70" w:rsidRPr="00615DCD" w:rsidRDefault="00517E70" w:rsidP="00203F1C">
      <w:pPr>
        <w:spacing w:line="360" w:lineRule="auto"/>
        <w:jc w:val="both"/>
        <w:rPr>
          <w:color w:val="000000"/>
        </w:rPr>
      </w:pPr>
      <w:r w:rsidRPr="00615DCD">
        <w:rPr>
          <w:color w:val="000000"/>
        </w:rPr>
        <w:t>65.</w:t>
      </w:r>
      <w:r>
        <w:rPr>
          <w:color w:val="000000"/>
        </w:rPr>
        <w:t xml:space="preserve"> </w:t>
      </w:r>
      <w:r w:rsidRPr="00615DCD">
        <w:rPr>
          <w:bCs/>
          <w:color w:val="000000"/>
        </w:rPr>
        <w:t>Cross, R. S., Malaterre, J., Davenport, A. J.et al</w:t>
      </w:r>
      <w:r w:rsidRPr="00615DCD">
        <w:rPr>
          <w:color w:val="000000"/>
        </w:rPr>
        <w:t>.: Therapeutic DNA vaccination against colorectal cancer by targeting the MYB oncoprotein. Clinical &amp; translational immunology, 4,2015,1, e30.</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66. </w:t>
      </w:r>
      <w:r w:rsidRPr="00615DCD">
        <w:rPr>
          <w:bCs/>
          <w:color w:val="000000"/>
        </w:rPr>
        <w:t xml:space="preserve">Jeng, Y. M., Lin, Ch. Y., Hsu, H. Ch.: </w:t>
      </w:r>
      <w:r w:rsidRPr="00615DCD">
        <w:rPr>
          <w:color w:val="000000"/>
        </w:rPr>
        <w:t>Expression of the c-kit protein is associated with certain subtypes of solivary gland carcinoma. Cancer Letters, roč. 154, 2000, s. 107-111.</w:t>
      </w:r>
    </w:p>
    <w:p w:rsidR="00517E70" w:rsidRPr="00615DCD" w:rsidRDefault="00517E70" w:rsidP="00203F1C">
      <w:pPr>
        <w:autoSpaceDE w:val="0"/>
        <w:autoSpaceDN w:val="0"/>
        <w:adjustRightInd w:val="0"/>
        <w:spacing w:line="360" w:lineRule="auto"/>
        <w:jc w:val="both"/>
        <w:rPr>
          <w:color w:val="000000"/>
        </w:rPr>
      </w:pPr>
      <w:r>
        <w:rPr>
          <w:color w:val="000000"/>
        </w:rPr>
        <w:t xml:space="preserve">67. </w:t>
      </w:r>
      <w:r w:rsidRPr="00615DCD">
        <w:rPr>
          <w:bCs/>
          <w:color w:val="000000"/>
        </w:rPr>
        <w:t>Andreadis, D., Epivatianos, A., Poulopoulos, A. et al.:</w:t>
      </w:r>
      <w:r w:rsidRPr="00615DCD">
        <w:rPr>
          <w:b/>
          <w:bCs/>
          <w:color w:val="000000"/>
        </w:rPr>
        <w:t xml:space="preserve"> </w:t>
      </w:r>
      <w:r w:rsidRPr="00615DCD">
        <w:rPr>
          <w:color w:val="000000"/>
        </w:rPr>
        <w:t>Detection of C-kit (CD117) molecule in benign and</w:t>
      </w:r>
      <w:r w:rsidRPr="00615DCD">
        <w:rPr>
          <w:b/>
          <w:bCs/>
          <w:color w:val="000000"/>
        </w:rPr>
        <w:t xml:space="preserve"> </w:t>
      </w:r>
      <w:r w:rsidRPr="00615DCD">
        <w:rPr>
          <w:color w:val="000000"/>
        </w:rPr>
        <w:t>malignant salivary gland tumours. Oral. Oncol., roč. 42,</w:t>
      </w:r>
      <w:r w:rsidRPr="00615DCD">
        <w:rPr>
          <w:b/>
          <w:bCs/>
          <w:color w:val="000000"/>
        </w:rPr>
        <w:t xml:space="preserve"> </w:t>
      </w:r>
      <w:r w:rsidRPr="00615DCD">
        <w:rPr>
          <w:color w:val="000000"/>
        </w:rPr>
        <w:t xml:space="preserve">2006, č. 1, s. 57-65. </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68. </w:t>
      </w:r>
      <w:r w:rsidRPr="00615DCD">
        <w:rPr>
          <w:bCs/>
          <w:color w:val="000000"/>
        </w:rPr>
        <w:t xml:space="preserve">Ettl, T., Schwarz, N., Hartmann, A. et al.: </w:t>
      </w:r>
      <w:r w:rsidRPr="00615DCD">
        <w:rPr>
          <w:color w:val="000000"/>
        </w:rPr>
        <w:t>Overexpression of EGFR and absence of C-KIT expression correlate with poor prognosis in salivary gland carcinomas. Histopathol.,</w:t>
      </w:r>
    </w:p>
    <w:p w:rsidR="00517E70" w:rsidRPr="00615DCD" w:rsidRDefault="00517E70" w:rsidP="00203F1C">
      <w:pPr>
        <w:autoSpaceDE w:val="0"/>
        <w:autoSpaceDN w:val="0"/>
        <w:adjustRightInd w:val="0"/>
        <w:spacing w:line="360" w:lineRule="auto"/>
        <w:jc w:val="both"/>
        <w:rPr>
          <w:color w:val="000000"/>
        </w:rPr>
      </w:pPr>
      <w:r w:rsidRPr="00615DCD">
        <w:rPr>
          <w:color w:val="000000"/>
        </w:rPr>
        <w:t>roč. 53, 2008, č. 5, s. 567-577.</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69. </w:t>
      </w:r>
      <w:r w:rsidRPr="00615DCD">
        <w:rPr>
          <w:bCs/>
          <w:color w:val="000000"/>
        </w:rPr>
        <w:t xml:space="preserve">Edwards, P. C., Bhuiya, T., Kepech, R. D.: </w:t>
      </w:r>
      <w:r w:rsidRPr="00615DCD">
        <w:rPr>
          <w:color w:val="000000"/>
        </w:rPr>
        <w:t>C-kit expression in the salivary gland neoplasms adenoid cystic carcinoma, polymorphous low-grade adenocarcinoma, and monomorphic adenoma. Oral Surg. Oral Med. Oral Pathol. Oral Radiol. Endodontics., roč. 95, 2003, č. 5, s. 586-593.</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70. </w:t>
      </w:r>
      <w:r w:rsidRPr="00615DCD">
        <w:rPr>
          <w:bCs/>
          <w:color w:val="000000"/>
        </w:rPr>
        <w:t>Freier, K., Flechtenmacher, C., Walch, A. et al.:</w:t>
      </w:r>
      <w:r w:rsidRPr="00615DCD">
        <w:rPr>
          <w:b/>
          <w:bCs/>
          <w:color w:val="000000"/>
        </w:rPr>
        <w:t xml:space="preserve"> </w:t>
      </w:r>
      <w:r w:rsidRPr="00615DCD">
        <w:rPr>
          <w:color w:val="000000"/>
        </w:rPr>
        <w:t>Differential KIT expression in histological subtypes of sfenoid cystic carcinoma (ACC) of the salivary gland. Oral</w:t>
      </w:r>
    </w:p>
    <w:p w:rsidR="00517E70" w:rsidRPr="00615DCD" w:rsidRDefault="00517E70" w:rsidP="00203F1C">
      <w:pPr>
        <w:autoSpaceDE w:val="0"/>
        <w:autoSpaceDN w:val="0"/>
        <w:adjustRightInd w:val="0"/>
        <w:spacing w:line="360" w:lineRule="auto"/>
        <w:jc w:val="both"/>
        <w:rPr>
          <w:color w:val="000000"/>
        </w:rPr>
      </w:pPr>
      <w:r w:rsidRPr="00615DCD">
        <w:rPr>
          <w:color w:val="000000"/>
        </w:rPr>
        <w:t>Oncol., roč. 41, 2005, č. 9, s. 934-939.</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71. </w:t>
      </w:r>
      <w:r w:rsidRPr="00615DCD">
        <w:rPr>
          <w:bCs/>
          <w:color w:val="000000"/>
        </w:rPr>
        <w:t xml:space="preserve">Holst, V. A., Marshall, C. E., Moskaluk, C. A. et al.: </w:t>
      </w:r>
      <w:r w:rsidRPr="00615DCD">
        <w:rPr>
          <w:color w:val="000000"/>
        </w:rPr>
        <w:t>KIT protein expression and analysis of c-kit gene mutation</w:t>
      </w:r>
      <w:r w:rsidRPr="00615DCD">
        <w:rPr>
          <w:bCs/>
          <w:color w:val="000000"/>
        </w:rPr>
        <w:t xml:space="preserve"> </w:t>
      </w:r>
      <w:r w:rsidRPr="00615DCD">
        <w:rPr>
          <w:color w:val="000000"/>
        </w:rPr>
        <w:t>in adenoid cystic carcinoma. Mod. Pathol., roč. 12,</w:t>
      </w:r>
      <w:r w:rsidRPr="00615DCD">
        <w:rPr>
          <w:bCs/>
          <w:color w:val="000000"/>
        </w:rPr>
        <w:t xml:space="preserve"> </w:t>
      </w:r>
      <w:r w:rsidRPr="00615DCD">
        <w:rPr>
          <w:color w:val="000000"/>
        </w:rPr>
        <w:t>1999, č. 10, s. 956-960.</w:t>
      </w:r>
    </w:p>
    <w:p w:rsidR="00517E70" w:rsidRPr="00615DCD" w:rsidRDefault="00517E70" w:rsidP="00203F1C">
      <w:pPr>
        <w:autoSpaceDE w:val="0"/>
        <w:autoSpaceDN w:val="0"/>
        <w:adjustRightInd w:val="0"/>
        <w:spacing w:line="360" w:lineRule="auto"/>
        <w:jc w:val="both"/>
        <w:rPr>
          <w:color w:val="000000"/>
        </w:rPr>
      </w:pPr>
      <w:r>
        <w:rPr>
          <w:color w:val="000000"/>
        </w:rPr>
        <w:t xml:space="preserve">72. </w:t>
      </w:r>
      <w:r w:rsidRPr="00615DCD">
        <w:rPr>
          <w:bCs/>
          <w:color w:val="000000"/>
        </w:rPr>
        <w:t>Beltran, D., Faquin, W. C., Gallagher, G. et al.:</w:t>
      </w:r>
      <w:r w:rsidRPr="00615DCD">
        <w:rPr>
          <w:b/>
          <w:bCs/>
          <w:color w:val="000000"/>
        </w:rPr>
        <w:t xml:space="preserve"> </w:t>
      </w:r>
      <w:r w:rsidRPr="00615DCD">
        <w:rPr>
          <w:color w:val="000000"/>
        </w:rPr>
        <w:t>Selectiveimmunohistochemical comparison of polymorphous low-grade adenocarcinoma and adenoid cystic carcinoma.</w:t>
      </w:r>
    </w:p>
    <w:p w:rsidR="00517E70" w:rsidRPr="00615DCD" w:rsidRDefault="00517E70" w:rsidP="00203F1C">
      <w:pPr>
        <w:autoSpaceDE w:val="0"/>
        <w:autoSpaceDN w:val="0"/>
        <w:adjustRightInd w:val="0"/>
        <w:spacing w:line="360" w:lineRule="auto"/>
        <w:jc w:val="both"/>
        <w:rPr>
          <w:color w:val="000000"/>
        </w:rPr>
      </w:pPr>
      <w:r w:rsidRPr="00615DCD">
        <w:rPr>
          <w:color w:val="000000"/>
        </w:rPr>
        <w:t>J. Oral Maxillofac. Surg., roč. 64, 2006, č. 3, s. 415-423.</w:t>
      </w:r>
    </w:p>
    <w:p w:rsidR="00517E70" w:rsidRPr="00615DCD" w:rsidRDefault="00517E70" w:rsidP="00203F1C">
      <w:pPr>
        <w:autoSpaceDE w:val="0"/>
        <w:autoSpaceDN w:val="0"/>
        <w:adjustRightInd w:val="0"/>
        <w:spacing w:line="360" w:lineRule="auto"/>
        <w:jc w:val="both"/>
        <w:rPr>
          <w:color w:val="000000"/>
        </w:rPr>
      </w:pPr>
      <w:r w:rsidRPr="00615DCD">
        <w:rPr>
          <w:color w:val="000000"/>
        </w:rPr>
        <w:t>73.</w:t>
      </w:r>
      <w:r>
        <w:rPr>
          <w:color w:val="000000"/>
        </w:rPr>
        <w:t xml:space="preserve"> </w:t>
      </w:r>
      <w:r w:rsidRPr="00615DCD">
        <w:rPr>
          <w:bCs/>
          <w:color w:val="000000"/>
        </w:rPr>
        <w:t>Chandan, V. S., Wilbur, D., Faquin, W. C. et al.:</w:t>
      </w:r>
      <w:r w:rsidRPr="00615DCD">
        <w:rPr>
          <w:b/>
          <w:bCs/>
          <w:color w:val="000000"/>
        </w:rPr>
        <w:t xml:space="preserve"> </w:t>
      </w:r>
      <w:r w:rsidRPr="00615DCD">
        <w:rPr>
          <w:color w:val="000000"/>
        </w:rPr>
        <w:t>Is ckit (CD117) immunolocalization in cell block preparations useful in the differentiation of adenoid cystic carcinoma</w:t>
      </w:r>
    </w:p>
    <w:p w:rsidR="00517E70" w:rsidRPr="00615DCD" w:rsidRDefault="00517E70" w:rsidP="00203F1C">
      <w:pPr>
        <w:autoSpaceDE w:val="0"/>
        <w:autoSpaceDN w:val="0"/>
        <w:adjustRightInd w:val="0"/>
        <w:spacing w:line="360" w:lineRule="auto"/>
        <w:jc w:val="both"/>
        <w:rPr>
          <w:color w:val="000000"/>
        </w:rPr>
      </w:pPr>
      <w:r w:rsidRPr="00615DCD">
        <w:rPr>
          <w:color w:val="000000"/>
        </w:rPr>
        <w:t>from pleomorphic adenoma? Cancer (Cancer Cytopathol), roč. 102, 2004, s. 207-209.</w:t>
      </w:r>
    </w:p>
    <w:p w:rsidR="00517E70" w:rsidRPr="00615DCD" w:rsidRDefault="00517E70" w:rsidP="00203F1C">
      <w:pPr>
        <w:autoSpaceDE w:val="0"/>
        <w:autoSpaceDN w:val="0"/>
        <w:adjustRightInd w:val="0"/>
        <w:spacing w:line="360" w:lineRule="auto"/>
        <w:jc w:val="both"/>
        <w:rPr>
          <w:color w:val="000000"/>
        </w:rPr>
      </w:pPr>
      <w:r w:rsidRPr="00615DCD">
        <w:rPr>
          <w:color w:val="000000"/>
        </w:rPr>
        <w:t>74.</w:t>
      </w:r>
      <w:r>
        <w:rPr>
          <w:color w:val="000000"/>
        </w:rPr>
        <w:t xml:space="preserve"> </w:t>
      </w:r>
      <w:r w:rsidRPr="00615DCD">
        <w:rPr>
          <w:bCs/>
          <w:color w:val="000000"/>
        </w:rPr>
        <w:t>Rohr, U. P., Rehfeld, N., Pflugfelder, L. et al.:</w:t>
      </w:r>
      <w:r w:rsidRPr="00615DCD">
        <w:rPr>
          <w:b/>
          <w:bCs/>
          <w:color w:val="000000"/>
        </w:rPr>
        <w:t xml:space="preserve"> </w:t>
      </w:r>
      <w:r w:rsidRPr="00615DCD">
        <w:rPr>
          <w:color w:val="000000"/>
        </w:rPr>
        <w:t>Expression of the tyrosine kinase c-kit is an independent prognostic factor in patients with small cell lung cancer. Int. J. Cancer, roč. 111, 2004, s. 259-263.</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75. </w:t>
      </w:r>
      <w:r w:rsidRPr="00615DCD">
        <w:rPr>
          <w:bCs/>
          <w:color w:val="000000"/>
        </w:rPr>
        <w:t>Tsutsui, S., Yasuda, K., Suzuji, K. et al.:</w:t>
      </w:r>
      <w:r w:rsidRPr="00615DCD">
        <w:rPr>
          <w:b/>
          <w:bCs/>
          <w:color w:val="000000"/>
        </w:rPr>
        <w:t xml:space="preserve"> </w:t>
      </w:r>
      <w:r w:rsidRPr="00615DCD">
        <w:rPr>
          <w:color w:val="000000"/>
        </w:rPr>
        <w:t>A loss of c-kit expressions is associated with an advanced stage and poor prognosis in breast cancer. Br. J. Cancer, roč. 94, 2006, s. 1874-1878.</w:t>
      </w:r>
    </w:p>
    <w:p w:rsidR="00517E70" w:rsidRPr="00615DCD" w:rsidRDefault="00517E70" w:rsidP="00203F1C">
      <w:pPr>
        <w:autoSpaceDE w:val="0"/>
        <w:autoSpaceDN w:val="0"/>
        <w:adjustRightInd w:val="0"/>
        <w:spacing w:line="360" w:lineRule="auto"/>
        <w:jc w:val="both"/>
        <w:rPr>
          <w:color w:val="000000"/>
        </w:rPr>
      </w:pPr>
      <w:r w:rsidRPr="00615DCD">
        <w:rPr>
          <w:color w:val="000000"/>
        </w:rPr>
        <w:t xml:space="preserve">76. </w:t>
      </w:r>
      <w:r w:rsidRPr="00615DCD">
        <w:rPr>
          <w:bCs/>
          <w:color w:val="000000"/>
        </w:rPr>
        <w:t>Hong, S. M., Hwang, I., Song, D. E. et al.:</w:t>
      </w:r>
      <w:r w:rsidRPr="00615DCD">
        <w:rPr>
          <w:b/>
          <w:bCs/>
          <w:color w:val="000000"/>
        </w:rPr>
        <w:t xml:space="preserve"> </w:t>
      </w:r>
      <w:r w:rsidRPr="00615DCD">
        <w:rPr>
          <w:color w:val="000000"/>
        </w:rPr>
        <w:t>Clinical and prognostic significances of nuclear and cytoplasmic KIT expressions in extrahepatic bile duct carcinomas. Mod.</w:t>
      </w:r>
    </w:p>
    <w:p w:rsidR="00517E70" w:rsidRPr="00615DCD" w:rsidRDefault="00517E70" w:rsidP="00203F1C">
      <w:pPr>
        <w:autoSpaceDE w:val="0"/>
        <w:autoSpaceDN w:val="0"/>
        <w:adjustRightInd w:val="0"/>
        <w:spacing w:line="360" w:lineRule="auto"/>
        <w:jc w:val="both"/>
        <w:rPr>
          <w:bCs/>
          <w:color w:val="000000"/>
        </w:rPr>
      </w:pPr>
      <w:r w:rsidRPr="00615DCD">
        <w:rPr>
          <w:color w:val="000000"/>
        </w:rPr>
        <w:t>Pathol., roč. 20, 2007, s. 562-567</w:t>
      </w:r>
    </w:p>
    <w:p w:rsidR="00517E70" w:rsidRPr="00615DCD" w:rsidRDefault="00517E70" w:rsidP="00203F1C">
      <w:pPr>
        <w:spacing w:line="360" w:lineRule="auto"/>
        <w:jc w:val="both"/>
        <w:rPr>
          <w:color w:val="000000"/>
        </w:rPr>
      </w:pPr>
      <w:r w:rsidRPr="00615DCD">
        <w:rPr>
          <w:color w:val="000000"/>
        </w:rPr>
        <w:t xml:space="preserve">77. Persson M, Andrén Y, Mark J, Horlings,HM, Persson F, Stenman,G. Recurrent fusion of MYB and NFIB transcription factor genes in carcinomas of the breast and head and neck. </w:t>
      </w:r>
      <w:r w:rsidRPr="00615DCD">
        <w:rPr>
          <w:iCs/>
          <w:color w:val="000000"/>
        </w:rPr>
        <w:t>Proceedings of the National Academy of Sciences</w:t>
      </w:r>
      <w:r w:rsidRPr="00615DCD">
        <w:rPr>
          <w:color w:val="000000"/>
        </w:rPr>
        <w:t xml:space="preserve"> 2009;</w:t>
      </w:r>
      <w:r w:rsidRPr="00615DCD">
        <w:rPr>
          <w:iCs/>
          <w:color w:val="000000"/>
        </w:rPr>
        <w:t>106</w:t>
      </w:r>
      <w:r w:rsidRPr="00615DCD">
        <w:rPr>
          <w:color w:val="000000"/>
        </w:rPr>
        <w:t>(44):18740-18744.</w:t>
      </w:r>
    </w:p>
    <w:p w:rsidR="00517E70" w:rsidRPr="00615DCD" w:rsidRDefault="00517E70" w:rsidP="00203F1C">
      <w:pPr>
        <w:spacing w:line="360" w:lineRule="auto"/>
        <w:jc w:val="both"/>
        <w:rPr>
          <w:color w:val="000000"/>
        </w:rPr>
      </w:pPr>
      <w:r w:rsidRPr="00615DCD">
        <w:rPr>
          <w:color w:val="000000"/>
        </w:rPr>
        <w:t xml:space="preserve">78. Moskaluk, C. A Adenoid cystic carcinoma: clinical and molecular features. </w:t>
      </w:r>
      <w:r w:rsidRPr="00615DCD">
        <w:rPr>
          <w:iCs/>
          <w:color w:val="000000"/>
        </w:rPr>
        <w:t>Head and neck patology,7,</w:t>
      </w:r>
      <w:r w:rsidRPr="00615DCD">
        <w:rPr>
          <w:color w:val="000000"/>
        </w:rPr>
        <w:t xml:space="preserve"> 2013;1,s.17-22</w:t>
      </w:r>
    </w:p>
    <w:p w:rsidR="00517E70" w:rsidRPr="00615DCD" w:rsidRDefault="00517E70" w:rsidP="00203F1C">
      <w:pPr>
        <w:spacing w:line="360" w:lineRule="auto"/>
        <w:jc w:val="both"/>
        <w:rPr>
          <w:color w:val="000000"/>
        </w:rPr>
      </w:pPr>
      <w:r w:rsidRPr="00615DCD">
        <w:rPr>
          <w:color w:val="000000"/>
        </w:rPr>
        <w:t xml:space="preserve"> 79.</w:t>
      </w:r>
      <w:r>
        <w:rPr>
          <w:color w:val="000000"/>
        </w:rPr>
        <w:t xml:space="preserve"> </w:t>
      </w:r>
      <w:r w:rsidRPr="00615DCD">
        <w:rPr>
          <w:color w:val="000000"/>
        </w:rPr>
        <w:t xml:space="preserve">Brill LB, Kanner WA, Fehr A, et al.: Analysis of MYB expression and MYB-NFIB gene fusions in adenoid cystic carcinoma and other salivary neoplazma. </w:t>
      </w:r>
      <w:r w:rsidRPr="00615DCD">
        <w:rPr>
          <w:iCs/>
          <w:color w:val="000000"/>
        </w:rPr>
        <w:t>Modern Pathology,24,</w:t>
      </w:r>
      <w:r w:rsidRPr="00615DCD">
        <w:rPr>
          <w:color w:val="000000"/>
        </w:rPr>
        <w:t xml:space="preserve"> 2011,9,s.1169-1176.</w:t>
      </w:r>
    </w:p>
    <w:p w:rsidR="00517E70" w:rsidRDefault="00517E70" w:rsidP="00203F1C">
      <w:pPr>
        <w:spacing w:line="360" w:lineRule="auto"/>
        <w:jc w:val="both"/>
        <w:rPr>
          <w:color w:val="000000"/>
        </w:rPr>
      </w:pPr>
      <w:r w:rsidRPr="00615DCD">
        <w:rPr>
          <w:color w:val="000000"/>
        </w:rPr>
        <w:t xml:space="preserve">80. Rettig, E. M., Tan, M., Ling, S., et al.: MYB rearrangement and clinicopathologic characteristics in head and neck adenoid cystic carcinoma. </w:t>
      </w:r>
      <w:r w:rsidRPr="00615DCD">
        <w:rPr>
          <w:iCs/>
          <w:color w:val="000000"/>
        </w:rPr>
        <w:t>The Laryngoscope</w:t>
      </w:r>
      <w:r w:rsidRPr="00615DCD">
        <w:rPr>
          <w:color w:val="000000"/>
        </w:rPr>
        <w:t xml:space="preserve">, </w:t>
      </w:r>
      <w:r w:rsidRPr="00615DCD">
        <w:rPr>
          <w:i/>
          <w:iCs/>
          <w:color w:val="000000"/>
        </w:rPr>
        <w:t xml:space="preserve">125, </w:t>
      </w:r>
      <w:r w:rsidRPr="00615DCD">
        <w:rPr>
          <w:iCs/>
          <w:color w:val="000000"/>
        </w:rPr>
        <w:t>2015,</w:t>
      </w:r>
      <w:r w:rsidRPr="00615DCD">
        <w:rPr>
          <w:color w:val="000000"/>
        </w:rPr>
        <w:t>9,s. 292-299.</w:t>
      </w:r>
    </w:p>
    <w:p w:rsidR="00517E70" w:rsidRPr="003C0F0E" w:rsidRDefault="00517E70" w:rsidP="00203F1C">
      <w:pPr>
        <w:autoSpaceDE w:val="0"/>
        <w:autoSpaceDN w:val="0"/>
        <w:adjustRightInd w:val="0"/>
        <w:spacing w:line="360" w:lineRule="auto"/>
        <w:jc w:val="both"/>
        <w:rPr>
          <w:color w:val="000000"/>
        </w:rPr>
      </w:pPr>
      <w:r w:rsidRPr="003C0F0E">
        <w:rPr>
          <w:color w:val="000000"/>
        </w:rPr>
        <w:t>81. Pfeffer MR, Talmi Y, Catane R, et al. A phase II study of imatinib for advanced adenoid cystic carcinoma of head and neck salivary glands. Oral Oncol.2007,s.43:33–36.</w:t>
      </w:r>
    </w:p>
    <w:p w:rsidR="00517E70" w:rsidRPr="003C0F0E" w:rsidRDefault="00517E70" w:rsidP="00203F1C">
      <w:pPr>
        <w:shd w:val="clear" w:color="auto" w:fill="FFFFFF"/>
        <w:spacing w:line="360" w:lineRule="auto"/>
        <w:jc w:val="both"/>
        <w:rPr>
          <w:rStyle w:val="name"/>
          <w:bCs/>
          <w:color w:val="000000"/>
        </w:rPr>
      </w:pPr>
      <w:r w:rsidRPr="003C0F0E">
        <w:rPr>
          <w:rStyle w:val="name"/>
          <w:bCs/>
          <w:color w:val="000000"/>
        </w:rPr>
        <w:t xml:space="preserve">82. </w:t>
      </w:r>
      <w:hyperlink r:id="rId34" w:history="1">
        <w:r w:rsidRPr="003C0F0E">
          <w:rPr>
            <w:rStyle w:val="name"/>
            <w:bCs/>
            <w:color w:val="000000"/>
          </w:rPr>
          <w:t>Heinrich</w:t>
        </w:r>
      </w:hyperlink>
      <w:r w:rsidRPr="003C0F0E">
        <w:rPr>
          <w:bCs/>
          <w:color w:val="000000"/>
        </w:rPr>
        <w:t xml:space="preserve"> M, </w:t>
      </w:r>
      <w:hyperlink r:id="rId35" w:history="1">
        <w:r w:rsidRPr="003C0F0E">
          <w:rPr>
            <w:rStyle w:val="name"/>
            <w:bCs/>
            <w:color w:val="000000"/>
          </w:rPr>
          <w:t>Joensuu</w:t>
        </w:r>
      </w:hyperlink>
      <w:r w:rsidRPr="003C0F0E">
        <w:rPr>
          <w:bCs/>
          <w:color w:val="000000"/>
        </w:rPr>
        <w:t xml:space="preserve"> H, </w:t>
      </w:r>
      <w:hyperlink r:id="rId36" w:history="1">
        <w:r w:rsidRPr="003C0F0E">
          <w:rPr>
            <w:rStyle w:val="name"/>
            <w:bCs/>
            <w:color w:val="000000"/>
          </w:rPr>
          <w:t xml:space="preserve"> Demetri</w:t>
        </w:r>
      </w:hyperlink>
      <w:r w:rsidRPr="003C0F0E">
        <w:rPr>
          <w:bCs/>
          <w:color w:val="000000"/>
        </w:rPr>
        <w:t xml:space="preserve"> G, et al.: </w:t>
      </w:r>
      <w:r w:rsidRPr="003C0F0E">
        <w:rPr>
          <w:bCs/>
          <w:color w:val="000000"/>
          <w:kern w:val="36"/>
        </w:rPr>
        <w:t>Phase II, Open-Label Study Evaluating the Activity of Imatinib in Treating Life-Threatening Malignancies Known to Be Associated with Imatinib-Sensitive Tyrosine Kinases .Clin.Cancer 2008,14,s.2717-2725</w:t>
      </w:r>
    </w:p>
    <w:p w:rsidR="00517E70" w:rsidRDefault="00517E70" w:rsidP="00203F1C">
      <w:pPr>
        <w:autoSpaceDE w:val="0"/>
        <w:autoSpaceDN w:val="0"/>
        <w:adjustRightInd w:val="0"/>
        <w:spacing w:line="360" w:lineRule="auto"/>
        <w:jc w:val="both"/>
      </w:pPr>
      <w:r>
        <w:rPr>
          <w:color w:val="000000"/>
        </w:rPr>
        <w:t>83</w:t>
      </w:r>
      <w:r w:rsidRPr="0093154B">
        <w:rPr>
          <w:bCs/>
        </w:rPr>
        <w:t>.</w:t>
      </w:r>
      <w:r>
        <w:rPr>
          <w:bCs/>
        </w:rPr>
        <w:t xml:space="preserve"> </w:t>
      </w:r>
      <w:r w:rsidRPr="0093154B">
        <w:rPr>
          <w:bCs/>
        </w:rPr>
        <w:t>Went, P. T., Dirnhofer, S., Bundi, M. et al.:</w:t>
      </w:r>
      <w:r w:rsidRPr="00035667">
        <w:rPr>
          <w:b/>
          <w:bCs/>
        </w:rPr>
        <w:t xml:space="preserve"> </w:t>
      </w:r>
      <w:r>
        <w:t xml:space="preserve">Prevalence </w:t>
      </w:r>
      <w:r w:rsidRPr="00035667">
        <w:t>of KIT expression in human tumors. J. Clin. Oncol., roč.</w:t>
      </w:r>
      <w:r>
        <w:t xml:space="preserve"> </w:t>
      </w:r>
      <w:r w:rsidRPr="00035667">
        <w:t>22, 2004, s. 4514-4522.</w:t>
      </w: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Default="00517E70" w:rsidP="00203F1C">
      <w:pPr>
        <w:spacing w:line="360" w:lineRule="auto"/>
        <w:jc w:val="both"/>
        <w:rPr>
          <w:bCs/>
          <w:iCs/>
          <w:color w:val="FF0000"/>
        </w:rPr>
      </w:pPr>
    </w:p>
    <w:p w:rsidR="00517E70" w:rsidRPr="000E675F" w:rsidRDefault="00517E70" w:rsidP="00203F1C">
      <w:pPr>
        <w:spacing w:line="360" w:lineRule="auto"/>
        <w:jc w:val="both"/>
        <w:rPr>
          <w:color w:val="C00000"/>
        </w:rPr>
      </w:pPr>
    </w:p>
    <w:p w:rsidR="00517E70" w:rsidRDefault="00517E70" w:rsidP="00203F1C">
      <w:pPr>
        <w:spacing w:line="360" w:lineRule="auto"/>
        <w:jc w:val="both"/>
        <w:rPr>
          <w:b/>
        </w:rPr>
      </w:pPr>
    </w:p>
    <w:p w:rsidR="00517E70" w:rsidRDefault="00517E70" w:rsidP="00203F1C">
      <w:pPr>
        <w:jc w:val="both"/>
        <w:rPr>
          <w:color w:val="222222"/>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Pr="00DF25AF" w:rsidRDefault="00517E70" w:rsidP="00203F1C">
      <w:pPr>
        <w:spacing w:line="360" w:lineRule="auto"/>
        <w:jc w:val="both"/>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Pr="006E62FA" w:rsidRDefault="00517E70" w:rsidP="00203F1C">
      <w:pPr>
        <w:spacing w:line="360" w:lineRule="auto"/>
        <w:jc w:val="both"/>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Pr="00D81F82"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Pr="004F7BCF" w:rsidRDefault="00517E70" w:rsidP="00203F1C">
      <w:pPr>
        <w:spacing w:line="360" w:lineRule="auto"/>
        <w:jc w:val="both"/>
        <w:rPr>
          <w:b/>
        </w:rPr>
      </w:pPr>
    </w:p>
    <w:p w:rsidR="00517E70" w:rsidRPr="00FB0F93" w:rsidRDefault="00517E70" w:rsidP="00203F1C">
      <w:pPr>
        <w:spacing w:line="360" w:lineRule="auto"/>
        <w:jc w:val="both"/>
        <w:rPr>
          <w:b/>
        </w:rPr>
      </w:pPr>
      <w:r>
        <w:rPr>
          <w:b/>
        </w:rPr>
        <w:t xml:space="preserve">6. </w:t>
      </w:r>
      <w:r w:rsidRPr="004F7BCF">
        <w:rPr>
          <w:b/>
        </w:rPr>
        <w:t xml:space="preserve"> PŘÍLOHY</w:t>
      </w:r>
    </w:p>
    <w:p w:rsidR="00517E70" w:rsidRDefault="00517E70" w:rsidP="00203F1C">
      <w:pPr>
        <w:autoSpaceDE w:val="0"/>
        <w:autoSpaceDN w:val="0"/>
        <w:adjustRightInd w:val="0"/>
        <w:spacing w:line="360" w:lineRule="auto"/>
        <w:jc w:val="both"/>
        <w:rPr>
          <w:b/>
          <w:bCs/>
        </w:rPr>
      </w:pPr>
      <w:r>
        <w:rPr>
          <w:b/>
          <w:bCs/>
        </w:rPr>
        <w:t xml:space="preserve">Příloha 1. </w:t>
      </w:r>
    </w:p>
    <w:p w:rsidR="00517E70" w:rsidRDefault="00517E70" w:rsidP="00203F1C">
      <w:pPr>
        <w:autoSpaceDE w:val="0"/>
        <w:autoSpaceDN w:val="0"/>
        <w:adjustRightInd w:val="0"/>
        <w:spacing w:line="360" w:lineRule="auto"/>
        <w:jc w:val="both"/>
        <w:rPr>
          <w:b/>
          <w:bCs/>
        </w:rPr>
      </w:pPr>
      <w:r>
        <w:rPr>
          <w:b/>
          <w:bCs/>
        </w:rPr>
        <w:t>Prognostické skóre PS1 ( prettherapeutic)  a PS2 ( posttherapeutic)</w:t>
      </w:r>
    </w:p>
    <w:p w:rsidR="00517E70" w:rsidRDefault="00517E70" w:rsidP="00203F1C">
      <w:pPr>
        <w:spacing w:line="360" w:lineRule="auto"/>
        <w:jc w:val="both"/>
        <w:rPr>
          <w:b/>
        </w:rPr>
      </w:pPr>
    </w:p>
    <w:p w:rsidR="00517E70" w:rsidRDefault="00517E70" w:rsidP="00203F1C">
      <w:pPr>
        <w:spacing w:line="360" w:lineRule="auto"/>
        <w:jc w:val="both"/>
        <w:rPr>
          <w:b/>
        </w:rPr>
      </w:pPr>
    </w:p>
    <w:tbl>
      <w:tblPr>
        <w:tblW w:w="8920" w:type="dxa"/>
        <w:tblInd w:w="55" w:type="dxa"/>
        <w:tblCellMar>
          <w:left w:w="70" w:type="dxa"/>
          <w:right w:w="70" w:type="dxa"/>
        </w:tblCellMar>
        <w:tblLook w:val="0000"/>
      </w:tblPr>
      <w:tblGrid>
        <w:gridCol w:w="8920"/>
      </w:tblGrid>
      <w:tr w:rsidR="00517E70" w:rsidRPr="00EB2E79" w:rsidTr="00EB2E79">
        <w:trPr>
          <w:trHeight w:val="330"/>
        </w:trPr>
        <w:tc>
          <w:tcPr>
            <w:tcW w:w="8920" w:type="dxa"/>
            <w:tcBorders>
              <w:top w:val="single" w:sz="8" w:space="0" w:color="auto"/>
              <w:left w:val="single" w:sz="8" w:space="0" w:color="auto"/>
              <w:bottom w:val="single" w:sz="8" w:space="0" w:color="auto"/>
              <w:right w:val="single" w:sz="8" w:space="0" w:color="auto"/>
            </w:tcBorders>
            <w:noWrap/>
            <w:vAlign w:val="bottom"/>
          </w:tcPr>
          <w:p w:rsidR="00517E70" w:rsidRPr="00EB2E79" w:rsidRDefault="00517E70" w:rsidP="00203F1C">
            <w:pPr>
              <w:jc w:val="both"/>
              <w:rPr>
                <w:b/>
                <w:bCs/>
                <w:color w:val="000000"/>
              </w:rPr>
            </w:pPr>
            <w:r>
              <w:rPr>
                <w:b/>
                <w:bCs/>
                <w:color w:val="000000"/>
              </w:rPr>
              <w:t>Prognostic Index</w:t>
            </w:r>
            <w:r w:rsidRPr="00EB2E79">
              <w:rPr>
                <w:b/>
                <w:bCs/>
                <w:color w:val="000000"/>
              </w:rPr>
              <w:t xml:space="preserve"> PS1 </w:t>
            </w:r>
          </w:p>
        </w:tc>
      </w:tr>
      <w:tr w:rsidR="00517E70" w:rsidRPr="00EB2E79" w:rsidTr="00EB2E79">
        <w:trPr>
          <w:trHeight w:val="330"/>
        </w:trPr>
        <w:tc>
          <w:tcPr>
            <w:tcW w:w="8920" w:type="dxa"/>
            <w:tcBorders>
              <w:top w:val="nil"/>
              <w:left w:val="single" w:sz="8" w:space="0" w:color="auto"/>
              <w:bottom w:val="single" w:sz="8" w:space="0" w:color="auto"/>
              <w:right w:val="single" w:sz="8" w:space="0" w:color="auto"/>
            </w:tcBorders>
            <w:noWrap/>
            <w:vAlign w:val="bottom"/>
          </w:tcPr>
          <w:p w:rsidR="00517E70" w:rsidRPr="00EB2E79" w:rsidRDefault="00517E70" w:rsidP="00203F1C">
            <w:pPr>
              <w:jc w:val="both"/>
              <w:rPr>
                <w:b/>
                <w:bCs/>
                <w:color w:val="000000"/>
              </w:rPr>
            </w:pPr>
            <w:r w:rsidRPr="00EB2E79">
              <w:rPr>
                <w:b/>
                <w:bCs/>
                <w:color w:val="000000"/>
              </w:rPr>
              <w:t>Pretherapeutic prognostic index:</w:t>
            </w:r>
          </w:p>
        </w:tc>
      </w:tr>
      <w:tr w:rsidR="00517E70" w:rsidRPr="00EB2E79" w:rsidTr="00EB2E79">
        <w:trPr>
          <w:trHeight w:val="330"/>
        </w:trPr>
        <w:tc>
          <w:tcPr>
            <w:tcW w:w="8920" w:type="dxa"/>
            <w:tcBorders>
              <w:top w:val="nil"/>
              <w:left w:val="single" w:sz="8" w:space="0" w:color="auto"/>
              <w:bottom w:val="single" w:sz="8" w:space="0" w:color="auto"/>
              <w:right w:val="single" w:sz="8" w:space="0" w:color="auto"/>
            </w:tcBorders>
            <w:noWrap/>
            <w:vAlign w:val="bottom"/>
          </w:tcPr>
          <w:p w:rsidR="00517E70" w:rsidRPr="00EB2E79" w:rsidRDefault="00517E70" w:rsidP="00203F1C">
            <w:pPr>
              <w:jc w:val="both"/>
              <w:rPr>
                <w:b/>
                <w:bCs/>
                <w:color w:val="000000"/>
              </w:rPr>
            </w:pPr>
            <w:r w:rsidRPr="00EB2E79">
              <w:rPr>
                <w:b/>
                <w:bCs/>
                <w:color w:val="000000"/>
              </w:rPr>
              <w:t xml:space="preserve">PS1 </w:t>
            </w:r>
            <w:r>
              <w:rPr>
                <w:color w:val="000000"/>
              </w:rPr>
              <w:t xml:space="preserve">= </w:t>
            </w:r>
            <w:smartTag w:uri="urn:schemas-microsoft-com:office:smarttags" w:element="metricconverter">
              <w:smartTagPr>
                <w:attr w:name="ProductID" w:val="0.024 A"/>
              </w:smartTagPr>
              <w:r>
                <w:rPr>
                  <w:b/>
                  <w:bCs/>
                  <w:color w:val="000000"/>
                </w:rPr>
                <w:t xml:space="preserve">0.024 </w:t>
              </w:r>
              <w:r w:rsidRPr="00EB2E79">
                <w:rPr>
                  <w:b/>
                  <w:bCs/>
                  <w:color w:val="000000"/>
                </w:rPr>
                <w:t>A</w:t>
              </w:r>
            </w:smartTag>
            <w:r w:rsidRPr="00EB2E79">
              <w:rPr>
                <w:b/>
                <w:bCs/>
                <w:color w:val="000000"/>
              </w:rPr>
              <w:t xml:space="preserve"> </w:t>
            </w:r>
            <w:r>
              <w:rPr>
                <w:color w:val="000000"/>
              </w:rPr>
              <w:t xml:space="preserve">+ </w:t>
            </w:r>
            <w:r>
              <w:rPr>
                <w:b/>
                <w:bCs/>
                <w:color w:val="000000"/>
              </w:rPr>
              <w:t>0.62 P</w:t>
            </w:r>
            <w:r w:rsidRPr="00EB2E79">
              <w:rPr>
                <w:b/>
                <w:bCs/>
                <w:color w:val="000000"/>
              </w:rPr>
              <w:t xml:space="preserve"> </w:t>
            </w:r>
            <w:r>
              <w:rPr>
                <w:color w:val="000000"/>
              </w:rPr>
              <w:t xml:space="preserve">+ </w:t>
            </w:r>
            <w:r>
              <w:rPr>
                <w:b/>
                <w:bCs/>
                <w:color w:val="000000"/>
              </w:rPr>
              <w:t xml:space="preserve">0.44 </w:t>
            </w:r>
            <w:r w:rsidRPr="00EB2E79">
              <w:rPr>
                <w:b/>
                <w:bCs/>
                <w:color w:val="000000"/>
              </w:rPr>
              <w:t xml:space="preserve">T </w:t>
            </w:r>
            <w:r>
              <w:rPr>
                <w:color w:val="000000"/>
              </w:rPr>
              <w:t>+</w:t>
            </w:r>
            <w:r w:rsidRPr="00EB2E79">
              <w:rPr>
                <w:color w:val="000000"/>
              </w:rPr>
              <w:t xml:space="preserve"> </w:t>
            </w:r>
            <w:r>
              <w:rPr>
                <w:b/>
                <w:bCs/>
                <w:color w:val="000000"/>
              </w:rPr>
              <w:t>0.45</w:t>
            </w:r>
            <w:r w:rsidRPr="00EB2E79">
              <w:rPr>
                <w:b/>
                <w:bCs/>
                <w:color w:val="000000"/>
              </w:rPr>
              <w:t xml:space="preserve"> N </w:t>
            </w:r>
            <w:r>
              <w:rPr>
                <w:color w:val="000000"/>
              </w:rPr>
              <w:t>+</w:t>
            </w:r>
            <w:r w:rsidRPr="00EB2E79">
              <w:rPr>
                <w:color w:val="000000"/>
              </w:rPr>
              <w:t xml:space="preserve"> </w:t>
            </w:r>
            <w:r>
              <w:rPr>
                <w:b/>
                <w:bCs/>
                <w:color w:val="000000"/>
              </w:rPr>
              <w:t xml:space="preserve">0.63 </w:t>
            </w:r>
            <w:r w:rsidRPr="00EB2E79">
              <w:rPr>
                <w:b/>
                <w:bCs/>
                <w:color w:val="000000"/>
              </w:rPr>
              <w:t xml:space="preserve"> S </w:t>
            </w:r>
            <w:r>
              <w:rPr>
                <w:color w:val="000000"/>
              </w:rPr>
              <w:t xml:space="preserve">+ </w:t>
            </w:r>
            <w:smartTag w:uri="urn:schemas-microsoft-com:office:smarttags" w:element="metricconverter">
              <w:smartTagPr>
                <w:attr w:name="ProductID" w:val="0.91 F"/>
              </w:smartTagPr>
              <w:r>
                <w:rPr>
                  <w:b/>
                  <w:bCs/>
                  <w:color w:val="000000"/>
                </w:rPr>
                <w:t xml:space="preserve">0.91 </w:t>
              </w:r>
              <w:r w:rsidRPr="00EB2E79">
                <w:rPr>
                  <w:b/>
                  <w:bCs/>
                  <w:color w:val="000000"/>
                </w:rPr>
                <w:t>F</w:t>
              </w:r>
            </w:smartTag>
          </w:p>
        </w:tc>
      </w:tr>
    </w:tbl>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tbl>
      <w:tblPr>
        <w:tblW w:w="8920" w:type="dxa"/>
        <w:tblInd w:w="55" w:type="dxa"/>
        <w:tblCellMar>
          <w:left w:w="70" w:type="dxa"/>
          <w:right w:w="70" w:type="dxa"/>
        </w:tblCellMar>
        <w:tblLook w:val="0000"/>
      </w:tblPr>
      <w:tblGrid>
        <w:gridCol w:w="8920"/>
      </w:tblGrid>
      <w:tr w:rsidR="00517E70" w:rsidRPr="00EB2E79" w:rsidTr="00EB2E79">
        <w:trPr>
          <w:trHeight w:val="330"/>
        </w:trPr>
        <w:tc>
          <w:tcPr>
            <w:tcW w:w="8920" w:type="dxa"/>
            <w:tcBorders>
              <w:top w:val="single" w:sz="8" w:space="0" w:color="auto"/>
              <w:left w:val="single" w:sz="8" w:space="0" w:color="auto"/>
              <w:bottom w:val="single" w:sz="8" w:space="0" w:color="auto"/>
              <w:right w:val="single" w:sz="8" w:space="0" w:color="auto"/>
            </w:tcBorders>
            <w:noWrap/>
            <w:vAlign w:val="bottom"/>
          </w:tcPr>
          <w:p w:rsidR="00517E70" w:rsidRPr="00EB2E79" w:rsidRDefault="00517E70" w:rsidP="00203F1C">
            <w:pPr>
              <w:jc w:val="both"/>
              <w:rPr>
                <w:b/>
                <w:bCs/>
                <w:color w:val="000000"/>
              </w:rPr>
            </w:pPr>
            <w:r>
              <w:rPr>
                <w:b/>
                <w:bCs/>
                <w:color w:val="000000"/>
              </w:rPr>
              <w:t>Prognostic Index</w:t>
            </w:r>
            <w:r w:rsidRPr="00EB2E79">
              <w:rPr>
                <w:b/>
                <w:bCs/>
                <w:color w:val="000000"/>
              </w:rPr>
              <w:t xml:space="preserve"> PS</w:t>
            </w:r>
            <w:r>
              <w:rPr>
                <w:b/>
                <w:bCs/>
                <w:color w:val="000000"/>
              </w:rPr>
              <w:t>2</w:t>
            </w:r>
          </w:p>
        </w:tc>
      </w:tr>
      <w:tr w:rsidR="00517E70" w:rsidRPr="00EB2E79" w:rsidTr="00EB2E79">
        <w:trPr>
          <w:trHeight w:val="330"/>
        </w:trPr>
        <w:tc>
          <w:tcPr>
            <w:tcW w:w="8920" w:type="dxa"/>
            <w:tcBorders>
              <w:top w:val="nil"/>
              <w:left w:val="single" w:sz="8" w:space="0" w:color="auto"/>
              <w:bottom w:val="single" w:sz="8" w:space="0" w:color="auto"/>
              <w:right w:val="single" w:sz="8" w:space="0" w:color="auto"/>
            </w:tcBorders>
            <w:noWrap/>
            <w:vAlign w:val="bottom"/>
          </w:tcPr>
          <w:p w:rsidR="00517E70" w:rsidRPr="00EB2E79" w:rsidRDefault="00517E70" w:rsidP="00203F1C">
            <w:pPr>
              <w:jc w:val="both"/>
              <w:rPr>
                <w:b/>
                <w:bCs/>
                <w:color w:val="000000"/>
              </w:rPr>
            </w:pPr>
            <w:r w:rsidRPr="00EB2E79">
              <w:rPr>
                <w:b/>
                <w:bCs/>
                <w:color w:val="000000"/>
              </w:rPr>
              <w:t>Posttherapeutic prognostic index</w:t>
            </w:r>
            <w:r>
              <w:rPr>
                <w:b/>
                <w:bCs/>
                <w:color w:val="000000"/>
              </w:rPr>
              <w:t xml:space="preserve"> :</w:t>
            </w:r>
          </w:p>
        </w:tc>
      </w:tr>
      <w:tr w:rsidR="00517E70" w:rsidRPr="00EB2E79" w:rsidTr="00EB2E79">
        <w:trPr>
          <w:trHeight w:val="330"/>
        </w:trPr>
        <w:tc>
          <w:tcPr>
            <w:tcW w:w="8920" w:type="dxa"/>
            <w:tcBorders>
              <w:top w:val="nil"/>
              <w:left w:val="single" w:sz="8" w:space="0" w:color="auto"/>
              <w:bottom w:val="single" w:sz="8" w:space="0" w:color="auto"/>
              <w:right w:val="single" w:sz="8" w:space="0" w:color="auto"/>
            </w:tcBorders>
            <w:noWrap/>
            <w:vAlign w:val="bottom"/>
          </w:tcPr>
          <w:p w:rsidR="00517E70" w:rsidRPr="00EB2E79" w:rsidRDefault="00517E70" w:rsidP="00203F1C">
            <w:pPr>
              <w:jc w:val="both"/>
              <w:rPr>
                <w:b/>
                <w:bCs/>
                <w:color w:val="000000"/>
              </w:rPr>
            </w:pPr>
            <w:r w:rsidRPr="00EB2E79">
              <w:rPr>
                <w:b/>
                <w:bCs/>
                <w:color w:val="000000"/>
              </w:rPr>
              <w:t xml:space="preserve">PS2 </w:t>
            </w:r>
            <w:r>
              <w:rPr>
                <w:color w:val="000000"/>
              </w:rPr>
              <w:t xml:space="preserve">= </w:t>
            </w:r>
            <w:smartTag w:uri="urn:schemas-microsoft-com:office:smarttags" w:element="metricconverter">
              <w:smartTagPr>
                <w:attr w:name="ProductID" w:val="0.018 A"/>
              </w:smartTagPr>
              <w:r>
                <w:rPr>
                  <w:b/>
                  <w:bCs/>
                  <w:color w:val="000000"/>
                </w:rPr>
                <w:t>0.018</w:t>
              </w:r>
              <w:r w:rsidRPr="00EB2E79">
                <w:rPr>
                  <w:b/>
                  <w:bCs/>
                  <w:color w:val="000000"/>
                </w:rPr>
                <w:t xml:space="preserve"> A</w:t>
              </w:r>
            </w:smartTag>
            <w:r w:rsidRPr="00EB2E79">
              <w:rPr>
                <w:b/>
                <w:bCs/>
                <w:color w:val="000000"/>
              </w:rPr>
              <w:t xml:space="preserve"> </w:t>
            </w:r>
            <w:r>
              <w:rPr>
                <w:color w:val="000000"/>
              </w:rPr>
              <w:t>+</w:t>
            </w:r>
            <w:r w:rsidRPr="00EB2E79">
              <w:rPr>
                <w:color w:val="000000"/>
              </w:rPr>
              <w:t xml:space="preserve"> </w:t>
            </w:r>
            <w:r>
              <w:rPr>
                <w:b/>
                <w:bCs/>
                <w:color w:val="000000"/>
              </w:rPr>
              <w:t xml:space="preserve">0.39 </w:t>
            </w:r>
            <w:r w:rsidRPr="00EB2E79">
              <w:rPr>
                <w:b/>
                <w:bCs/>
                <w:color w:val="000000"/>
              </w:rPr>
              <w:t xml:space="preserve"> T </w:t>
            </w:r>
            <w:r>
              <w:rPr>
                <w:color w:val="000000"/>
              </w:rPr>
              <w:t xml:space="preserve">+ </w:t>
            </w:r>
            <w:r>
              <w:rPr>
                <w:b/>
                <w:bCs/>
                <w:color w:val="000000"/>
              </w:rPr>
              <w:t xml:space="preserve">0.34 </w:t>
            </w:r>
            <w:r w:rsidRPr="00EB2E79">
              <w:rPr>
                <w:b/>
                <w:bCs/>
                <w:color w:val="000000"/>
              </w:rPr>
              <w:t xml:space="preserve"> N </w:t>
            </w:r>
            <w:r>
              <w:rPr>
                <w:color w:val="000000"/>
              </w:rPr>
              <w:t>+</w:t>
            </w:r>
            <w:r w:rsidRPr="00EB2E79">
              <w:rPr>
                <w:color w:val="000000"/>
              </w:rPr>
              <w:t xml:space="preserve"> </w:t>
            </w:r>
            <w:r>
              <w:rPr>
                <w:b/>
                <w:bCs/>
                <w:color w:val="000000"/>
              </w:rPr>
              <w:t xml:space="preserve">0.70 </w:t>
            </w:r>
            <w:r w:rsidRPr="00EB2E79">
              <w:rPr>
                <w:b/>
                <w:bCs/>
                <w:color w:val="000000"/>
              </w:rPr>
              <w:t xml:space="preserve">S </w:t>
            </w:r>
            <w:r>
              <w:rPr>
                <w:color w:val="000000"/>
              </w:rPr>
              <w:t xml:space="preserve">+ </w:t>
            </w:r>
            <w:r>
              <w:rPr>
                <w:b/>
                <w:bCs/>
                <w:color w:val="000000"/>
              </w:rPr>
              <w:t xml:space="preserve">0.56 </w:t>
            </w:r>
            <w:r w:rsidRPr="00EB2E79">
              <w:rPr>
                <w:b/>
                <w:bCs/>
                <w:color w:val="000000"/>
              </w:rPr>
              <w:t xml:space="preserve"> F </w:t>
            </w:r>
            <w:r>
              <w:rPr>
                <w:color w:val="000000"/>
              </w:rPr>
              <w:t xml:space="preserve">+ </w:t>
            </w:r>
            <w:r>
              <w:rPr>
                <w:b/>
                <w:bCs/>
                <w:color w:val="000000"/>
              </w:rPr>
              <w:t xml:space="preserve">0.78 </w:t>
            </w:r>
            <w:r w:rsidRPr="00EB2E79">
              <w:rPr>
                <w:b/>
                <w:bCs/>
                <w:color w:val="000000"/>
              </w:rPr>
              <w:t xml:space="preserve">PG </w:t>
            </w:r>
            <w:r>
              <w:rPr>
                <w:color w:val="000000"/>
              </w:rPr>
              <w:t>+</w:t>
            </w:r>
            <w:r w:rsidRPr="00EB2E79">
              <w:rPr>
                <w:color w:val="000000"/>
              </w:rPr>
              <w:t xml:space="preserve"> </w:t>
            </w:r>
            <w:r>
              <w:rPr>
                <w:b/>
                <w:bCs/>
                <w:color w:val="000000"/>
              </w:rPr>
              <w:t xml:space="preserve">0.65 </w:t>
            </w:r>
            <w:r w:rsidRPr="00EB2E79">
              <w:rPr>
                <w:b/>
                <w:bCs/>
                <w:color w:val="000000"/>
              </w:rPr>
              <w:t>PM</w:t>
            </w:r>
          </w:p>
        </w:tc>
      </w:tr>
    </w:tbl>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r>
        <w:rPr>
          <w:b/>
        </w:rPr>
        <w:t>Vysvětlivky:</w:t>
      </w:r>
    </w:p>
    <w:p w:rsidR="00517E70" w:rsidRPr="00E42184" w:rsidRDefault="00517E70" w:rsidP="00203F1C">
      <w:pPr>
        <w:autoSpaceDE w:val="0"/>
        <w:autoSpaceDN w:val="0"/>
        <w:adjustRightInd w:val="0"/>
        <w:jc w:val="both"/>
        <w:rPr>
          <w:sz w:val="20"/>
          <w:szCs w:val="20"/>
        </w:rPr>
      </w:pPr>
      <w:r>
        <w:rPr>
          <w:sz w:val="20"/>
          <w:szCs w:val="20"/>
        </w:rPr>
        <w:t xml:space="preserve">A -věk v době diagnózy ( v letech) </w:t>
      </w:r>
    </w:p>
    <w:p w:rsidR="00517E70" w:rsidRPr="00E42184" w:rsidRDefault="00517E70" w:rsidP="00203F1C">
      <w:pPr>
        <w:autoSpaceDE w:val="0"/>
        <w:autoSpaceDN w:val="0"/>
        <w:adjustRightInd w:val="0"/>
        <w:jc w:val="both"/>
        <w:rPr>
          <w:sz w:val="20"/>
          <w:szCs w:val="20"/>
        </w:rPr>
      </w:pPr>
      <w:r>
        <w:rPr>
          <w:sz w:val="20"/>
          <w:szCs w:val="20"/>
        </w:rPr>
        <w:t>P _- bolesti v době diagnózy 1- ne 2-ano</w:t>
      </w:r>
    </w:p>
    <w:p w:rsidR="00517E70" w:rsidRPr="00E42184" w:rsidRDefault="00517E70" w:rsidP="00203F1C">
      <w:pPr>
        <w:autoSpaceDE w:val="0"/>
        <w:autoSpaceDN w:val="0"/>
        <w:adjustRightInd w:val="0"/>
        <w:jc w:val="both"/>
        <w:rPr>
          <w:sz w:val="20"/>
          <w:szCs w:val="20"/>
        </w:rPr>
      </w:pPr>
      <w:r>
        <w:rPr>
          <w:sz w:val="20"/>
          <w:szCs w:val="20"/>
        </w:rPr>
        <w:t xml:space="preserve">T - klinická T klasifikace T1 (  do </w:t>
      </w:r>
      <w:smartTag w:uri="urn:schemas-microsoft-com:office:smarttags" w:element="metricconverter">
        <w:smartTagPr>
          <w:attr w:name="ProductID" w:val="2 cm"/>
        </w:smartTagPr>
        <w:r>
          <w:rPr>
            <w:sz w:val="20"/>
            <w:szCs w:val="20"/>
          </w:rPr>
          <w:t>2 cm</w:t>
        </w:r>
      </w:smartTag>
      <w:r>
        <w:rPr>
          <w:sz w:val="20"/>
          <w:szCs w:val="20"/>
        </w:rPr>
        <w:t>) - 0, T2 (2–4 cm) -</w:t>
      </w:r>
      <w:r w:rsidRPr="00E42184">
        <w:rPr>
          <w:sz w:val="20"/>
          <w:szCs w:val="20"/>
        </w:rPr>
        <w:t>1,</w:t>
      </w:r>
      <w:r>
        <w:rPr>
          <w:sz w:val="20"/>
          <w:szCs w:val="20"/>
        </w:rPr>
        <w:t>T3 (4–6 cm) - 2, T4 (</w:t>
      </w:r>
      <w:smartTag w:uri="urn:schemas-microsoft-com:office:smarttags" w:element="metricconverter">
        <w:smartTagPr>
          <w:attr w:name="ProductID" w:val="6 cm"/>
        </w:smartTagPr>
        <w:r>
          <w:rPr>
            <w:sz w:val="20"/>
            <w:szCs w:val="20"/>
          </w:rPr>
          <w:t>6 cm</w:t>
        </w:r>
      </w:smartTag>
      <w:r>
        <w:rPr>
          <w:sz w:val="20"/>
          <w:szCs w:val="20"/>
        </w:rPr>
        <w:t>) -</w:t>
      </w:r>
      <w:r w:rsidRPr="00E42184">
        <w:rPr>
          <w:sz w:val="20"/>
          <w:szCs w:val="20"/>
        </w:rPr>
        <w:t xml:space="preserve"> 3</w:t>
      </w:r>
    </w:p>
    <w:p w:rsidR="00517E70" w:rsidRPr="00E42184" w:rsidRDefault="00517E70" w:rsidP="00203F1C">
      <w:pPr>
        <w:autoSpaceDE w:val="0"/>
        <w:autoSpaceDN w:val="0"/>
        <w:adjustRightInd w:val="0"/>
        <w:jc w:val="both"/>
        <w:rPr>
          <w:sz w:val="20"/>
          <w:szCs w:val="20"/>
        </w:rPr>
      </w:pPr>
      <w:r>
        <w:rPr>
          <w:sz w:val="20"/>
          <w:szCs w:val="20"/>
        </w:rPr>
        <w:t>N - klinická N klasifikace N0 - 0, N1 - 1, N2a -</w:t>
      </w:r>
      <w:r w:rsidRPr="00E42184">
        <w:rPr>
          <w:sz w:val="20"/>
          <w:szCs w:val="20"/>
        </w:rPr>
        <w:t xml:space="preserve"> 2,</w:t>
      </w:r>
      <w:r>
        <w:rPr>
          <w:sz w:val="20"/>
          <w:szCs w:val="20"/>
        </w:rPr>
        <w:t xml:space="preserve"> N2b -3, N2c -4, N3 -</w:t>
      </w:r>
      <w:r w:rsidRPr="00E42184">
        <w:rPr>
          <w:sz w:val="20"/>
          <w:szCs w:val="20"/>
        </w:rPr>
        <w:t xml:space="preserve"> 5</w:t>
      </w:r>
    </w:p>
    <w:p w:rsidR="00517E70" w:rsidRPr="00E42184" w:rsidRDefault="00517E70" w:rsidP="00203F1C">
      <w:pPr>
        <w:autoSpaceDE w:val="0"/>
        <w:autoSpaceDN w:val="0"/>
        <w:adjustRightInd w:val="0"/>
        <w:jc w:val="both"/>
        <w:rPr>
          <w:sz w:val="20"/>
          <w:szCs w:val="20"/>
        </w:rPr>
      </w:pPr>
      <w:r>
        <w:rPr>
          <w:sz w:val="20"/>
          <w:szCs w:val="20"/>
        </w:rPr>
        <w:t>S -kožní  invaze 1 - žádná invaze</w:t>
      </w:r>
      <w:r w:rsidRPr="00E42184">
        <w:rPr>
          <w:sz w:val="20"/>
          <w:szCs w:val="20"/>
        </w:rPr>
        <w:t>,</w:t>
      </w:r>
      <w:r>
        <w:rPr>
          <w:sz w:val="20"/>
          <w:szCs w:val="20"/>
        </w:rPr>
        <w:t xml:space="preserve"> 2 - invaze</w:t>
      </w:r>
    </w:p>
    <w:p w:rsidR="00517E70" w:rsidRPr="00E42184" w:rsidRDefault="00517E70" w:rsidP="00203F1C">
      <w:pPr>
        <w:autoSpaceDE w:val="0"/>
        <w:autoSpaceDN w:val="0"/>
        <w:adjustRightInd w:val="0"/>
        <w:jc w:val="both"/>
        <w:rPr>
          <w:sz w:val="20"/>
          <w:szCs w:val="20"/>
        </w:rPr>
      </w:pPr>
      <w:r>
        <w:rPr>
          <w:sz w:val="20"/>
          <w:szCs w:val="20"/>
        </w:rPr>
        <w:t>F - dysfunkce lícního nervu 1 – intaktní funkce</w:t>
      </w:r>
      <w:r w:rsidRPr="00E42184">
        <w:rPr>
          <w:sz w:val="20"/>
          <w:szCs w:val="20"/>
        </w:rPr>
        <w:t>,</w:t>
      </w:r>
      <w:r>
        <w:rPr>
          <w:sz w:val="20"/>
          <w:szCs w:val="20"/>
        </w:rPr>
        <w:t xml:space="preserve"> 2 -</w:t>
      </w:r>
      <w:r w:rsidRPr="00E42184">
        <w:rPr>
          <w:sz w:val="20"/>
          <w:szCs w:val="20"/>
        </w:rPr>
        <w:t xml:space="preserve"> paresis-paralysis</w:t>
      </w:r>
    </w:p>
    <w:p w:rsidR="00517E70" w:rsidRPr="00E42184" w:rsidRDefault="00517E70" w:rsidP="00203F1C">
      <w:pPr>
        <w:autoSpaceDE w:val="0"/>
        <w:autoSpaceDN w:val="0"/>
        <w:adjustRightInd w:val="0"/>
        <w:jc w:val="both"/>
        <w:rPr>
          <w:sz w:val="20"/>
          <w:szCs w:val="20"/>
        </w:rPr>
      </w:pPr>
      <w:r>
        <w:rPr>
          <w:sz w:val="20"/>
          <w:szCs w:val="20"/>
        </w:rPr>
        <w:t>PG - perineurální invaze v resekovaném vzorku</w:t>
      </w:r>
      <w:r w:rsidRPr="00E42184">
        <w:rPr>
          <w:sz w:val="20"/>
          <w:szCs w:val="20"/>
        </w:rPr>
        <w:t xml:space="preserve"> </w:t>
      </w:r>
      <w:r>
        <w:rPr>
          <w:sz w:val="20"/>
          <w:szCs w:val="20"/>
        </w:rPr>
        <w:t>1 - ne, 2 -ano</w:t>
      </w:r>
    </w:p>
    <w:p w:rsidR="00517E70" w:rsidRPr="00E42184" w:rsidRDefault="00517E70" w:rsidP="00203F1C">
      <w:pPr>
        <w:autoSpaceDE w:val="0"/>
        <w:autoSpaceDN w:val="0"/>
        <w:adjustRightInd w:val="0"/>
        <w:jc w:val="both"/>
        <w:rPr>
          <w:sz w:val="20"/>
          <w:szCs w:val="20"/>
        </w:rPr>
      </w:pPr>
      <w:r>
        <w:rPr>
          <w:sz w:val="20"/>
          <w:szCs w:val="20"/>
        </w:rPr>
        <w:t>PM -pozitivní resekční okraje  1 - ne, 2 - ano</w:t>
      </w: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p>
    <w:p w:rsidR="00517E70" w:rsidRDefault="00517E70" w:rsidP="00203F1C">
      <w:pPr>
        <w:spacing w:line="360" w:lineRule="auto"/>
        <w:jc w:val="both"/>
        <w:rPr>
          <w:b/>
        </w:rPr>
      </w:pPr>
      <w:r>
        <w:rPr>
          <w:b/>
        </w:rPr>
        <w:t>PRÁCE SOUVISEJÍCÍ S DISERAČNÍ PRACÍ:</w:t>
      </w:r>
    </w:p>
    <w:p w:rsidR="00517E70" w:rsidRDefault="00517E70" w:rsidP="00203F1C">
      <w:pPr>
        <w:spacing w:line="360" w:lineRule="auto"/>
        <w:jc w:val="both"/>
        <w:rPr>
          <w:b/>
        </w:rPr>
      </w:pPr>
    </w:p>
    <w:p w:rsidR="00517E70" w:rsidRDefault="00517E70" w:rsidP="00203F1C">
      <w:pPr>
        <w:pStyle w:val="ListParagraph"/>
        <w:numPr>
          <w:ilvl w:val="0"/>
          <w:numId w:val="1"/>
        </w:numPr>
        <w:spacing w:line="360" w:lineRule="auto"/>
        <w:jc w:val="both"/>
        <w:rPr>
          <w:b/>
        </w:rPr>
      </w:pPr>
      <w:r>
        <w:rPr>
          <w:b/>
        </w:rPr>
        <w:t>původní vědecké práce v časopise s IF</w:t>
      </w:r>
    </w:p>
    <w:p w:rsidR="00517E70" w:rsidRPr="009827DE" w:rsidRDefault="00517E70" w:rsidP="00203F1C">
      <w:pPr>
        <w:spacing w:line="360" w:lineRule="auto"/>
        <w:jc w:val="both"/>
        <w:rPr>
          <w:b/>
          <w:iCs/>
          <w:color w:val="000000"/>
          <w:lang w:val="en-US"/>
        </w:rPr>
      </w:pPr>
    </w:p>
    <w:p w:rsidR="00517E70" w:rsidRPr="00D318E6" w:rsidRDefault="00517E70" w:rsidP="00D318E6">
      <w:pPr>
        <w:spacing w:line="360" w:lineRule="auto"/>
        <w:ind w:left="-180" w:firstLine="180"/>
        <w:jc w:val="both"/>
        <w:rPr>
          <w:bCs/>
          <w:iCs/>
          <w:lang w:val="en-US"/>
        </w:rPr>
      </w:pPr>
      <w:r w:rsidRPr="004568CF">
        <w:rPr>
          <w:b/>
          <w:iCs/>
          <w:color w:val="000000"/>
          <w:lang w:val="en-US"/>
        </w:rPr>
        <w:t>Brož</w:t>
      </w:r>
      <w:r w:rsidRPr="004568CF">
        <w:rPr>
          <w:b/>
          <w:iCs/>
          <w:color w:val="000000"/>
          <w:vertAlign w:val="superscript"/>
          <w:lang w:val="en-US"/>
        </w:rPr>
        <w:t xml:space="preserve">  </w:t>
      </w:r>
      <w:r w:rsidRPr="004568CF">
        <w:rPr>
          <w:b/>
          <w:iCs/>
          <w:color w:val="000000"/>
          <w:lang w:val="en-US"/>
        </w:rPr>
        <w:t>M,</w:t>
      </w:r>
      <w:r w:rsidRPr="005C18B1">
        <w:rPr>
          <w:bCs/>
          <w:iCs/>
          <w:color w:val="000000"/>
          <w:lang w:val="en-US"/>
        </w:rPr>
        <w:t xml:space="preserve"> Steiner P</w:t>
      </w:r>
      <w:r w:rsidRPr="005C18B1">
        <w:rPr>
          <w:bCs/>
          <w:iCs/>
          <w:color w:val="000000"/>
          <w:vertAlign w:val="superscript"/>
          <w:lang w:val="en-US"/>
        </w:rPr>
        <w:t xml:space="preserve"> </w:t>
      </w:r>
      <w:r w:rsidRPr="005C18B1">
        <w:rPr>
          <w:bCs/>
          <w:iCs/>
          <w:color w:val="000000"/>
          <w:lang w:val="en-US"/>
        </w:rPr>
        <w:t xml:space="preserve">, Salzman R, Hauer L,  </w:t>
      </w:r>
      <w:smartTag w:uri="urn:schemas-microsoft-com:office:smarttags" w:element="place">
        <w:smartTag w:uri="urn:schemas:contacts" w:element="Sn">
          <w:r w:rsidRPr="005C18B1">
            <w:rPr>
              <w:bCs/>
              <w:iCs/>
              <w:color w:val="000000"/>
              <w:lang w:val="en-US"/>
            </w:rPr>
            <w:t>Stárek</w:t>
          </w:r>
        </w:smartTag>
        <w:r w:rsidRPr="005C18B1">
          <w:rPr>
            <w:bCs/>
            <w:iCs/>
            <w:color w:val="000000"/>
            <w:lang w:val="en-US"/>
          </w:rPr>
          <w:t xml:space="preserve"> </w:t>
        </w:r>
        <w:smartTag w:uri="urn:schemas:contacts" w:element="Sn">
          <w:r w:rsidRPr="005C18B1">
            <w:rPr>
              <w:bCs/>
              <w:iCs/>
              <w:color w:val="000000"/>
              <w:lang w:val="en-US"/>
            </w:rPr>
            <w:t>I.</w:t>
          </w:r>
        </w:smartTag>
      </w:smartTag>
      <w:r w:rsidRPr="005C18B1">
        <w:rPr>
          <w:bCs/>
          <w:iCs/>
          <w:color w:val="000000"/>
          <w:lang w:val="en-US"/>
        </w:rPr>
        <w:t>: The Incidence of MYB Gene Breaks in Adenoid Cystic Carcinoma of the Salivary Glands and its Prognostic Importance</w:t>
      </w:r>
      <w:r>
        <w:rPr>
          <w:bCs/>
          <w:iCs/>
          <w:color w:val="000000"/>
          <w:lang w:val="en-US"/>
        </w:rPr>
        <w:t xml:space="preserve">. </w:t>
      </w:r>
      <w:r w:rsidRPr="00696ADB">
        <w:rPr>
          <w:bCs/>
          <w:iCs/>
          <w:lang w:val="en-US"/>
        </w:rPr>
        <w:t>Biomedical Papers</w:t>
      </w:r>
      <w:r>
        <w:rPr>
          <w:bCs/>
          <w:iCs/>
          <w:lang w:val="en-US"/>
        </w:rPr>
        <w:t xml:space="preserve">. (v tisku)  </w:t>
      </w:r>
      <w:r w:rsidRPr="00D318E6">
        <w:rPr>
          <w:bCs/>
          <w:i/>
          <w:iCs/>
          <w:lang w:val="en-US"/>
        </w:rPr>
        <w:t>IF 1,2</w:t>
      </w:r>
      <w:r>
        <w:rPr>
          <w:bCs/>
          <w:iCs/>
          <w:lang w:val="en-US"/>
        </w:rPr>
        <w:t xml:space="preserve">   </w:t>
      </w:r>
    </w:p>
    <w:p w:rsidR="00517E70" w:rsidRPr="005C18B1" w:rsidRDefault="00517E70" w:rsidP="00203F1C">
      <w:pPr>
        <w:pStyle w:val="ListParagraph"/>
        <w:spacing w:line="360" w:lineRule="auto"/>
        <w:jc w:val="both"/>
        <w:rPr>
          <w:b/>
          <w:lang w:val="en-US"/>
        </w:rPr>
      </w:pPr>
    </w:p>
    <w:p w:rsidR="00517E70" w:rsidRDefault="00517E70" w:rsidP="00203F1C">
      <w:pPr>
        <w:pStyle w:val="ListParagraph"/>
        <w:spacing w:line="360" w:lineRule="auto"/>
        <w:jc w:val="both"/>
        <w:rPr>
          <w:b/>
        </w:rPr>
      </w:pPr>
    </w:p>
    <w:p w:rsidR="00517E70" w:rsidRDefault="00517E70" w:rsidP="00203F1C">
      <w:pPr>
        <w:pStyle w:val="ListParagraph"/>
        <w:numPr>
          <w:ilvl w:val="0"/>
          <w:numId w:val="1"/>
        </w:numPr>
        <w:spacing w:line="360" w:lineRule="auto"/>
        <w:jc w:val="both"/>
        <w:rPr>
          <w:b/>
        </w:rPr>
      </w:pPr>
      <w:r>
        <w:rPr>
          <w:b/>
        </w:rPr>
        <w:t>původní vědecké práce v ostatních recenzovaných časopisech</w:t>
      </w:r>
    </w:p>
    <w:p w:rsidR="00517E70" w:rsidRPr="001F681B" w:rsidRDefault="00517E70" w:rsidP="00203F1C">
      <w:pPr>
        <w:spacing w:line="360" w:lineRule="auto"/>
        <w:jc w:val="both"/>
        <w:rPr>
          <w:b/>
        </w:rPr>
      </w:pPr>
    </w:p>
    <w:p w:rsidR="00517E70" w:rsidRDefault="00517E70" w:rsidP="00203F1C">
      <w:pPr>
        <w:spacing w:line="360" w:lineRule="auto"/>
        <w:jc w:val="both"/>
      </w:pPr>
    </w:p>
    <w:p w:rsidR="00517E70" w:rsidRDefault="00517E70" w:rsidP="00203F1C">
      <w:pPr>
        <w:autoSpaceDE w:val="0"/>
        <w:autoSpaceDN w:val="0"/>
        <w:adjustRightInd w:val="0"/>
        <w:spacing w:line="360" w:lineRule="auto"/>
        <w:jc w:val="both"/>
        <w:rPr>
          <w:color w:val="000000"/>
        </w:rPr>
      </w:pPr>
      <w:r>
        <w:rPr>
          <w:color w:val="000000"/>
        </w:rPr>
        <w:t xml:space="preserve">1.Stárek I, Kučerová L, Skálová A, </w:t>
      </w:r>
      <w:r w:rsidRPr="0041694F">
        <w:rPr>
          <w:b/>
          <w:color w:val="000000"/>
        </w:rPr>
        <w:t>Brož M</w:t>
      </w:r>
      <w:r>
        <w:rPr>
          <w:b/>
          <w:color w:val="000000"/>
        </w:rPr>
        <w:t xml:space="preserve">, </w:t>
      </w:r>
      <w:r>
        <w:rPr>
          <w:color w:val="000000"/>
        </w:rPr>
        <w:t>Bakaj T, Langová K.: Imunohistochemická exprese C-kit onkoproteinu u karcinomů slinných  žláz  (pilotní  studie) .Otorinolaryngologie a foniatrie 60,2010;3,s.129-135.</w:t>
      </w:r>
    </w:p>
    <w:p w:rsidR="00517E70" w:rsidRPr="00982A0D" w:rsidRDefault="00517E70" w:rsidP="00203F1C">
      <w:pPr>
        <w:autoSpaceDE w:val="0"/>
        <w:autoSpaceDN w:val="0"/>
        <w:adjustRightInd w:val="0"/>
        <w:spacing w:line="360" w:lineRule="auto"/>
        <w:jc w:val="both"/>
        <w:rPr>
          <w:color w:val="000000"/>
        </w:rPr>
      </w:pPr>
      <w:r>
        <w:rPr>
          <w:color w:val="000000"/>
        </w:rPr>
        <w:t xml:space="preserve">2. Stárek I, Kučerová L,Skálová A, </w:t>
      </w:r>
      <w:r w:rsidRPr="0041694F">
        <w:rPr>
          <w:b/>
          <w:color w:val="000000"/>
        </w:rPr>
        <w:t>Brož M</w:t>
      </w:r>
      <w:r>
        <w:rPr>
          <w:b/>
          <w:color w:val="000000"/>
        </w:rPr>
        <w:t xml:space="preserve">, </w:t>
      </w:r>
      <w:r>
        <w:rPr>
          <w:color w:val="000000"/>
        </w:rPr>
        <w:t>Bakaj T, et al.: Imunohistochemická exprese onkoproteinu EGFR  a její prognostický význam u karcinomů slinných  žláz .Otorinolaryngologie a foniatrie,60, 2011;2,s.78-84.</w:t>
      </w:r>
    </w:p>
    <w:p w:rsidR="00517E70" w:rsidRDefault="00517E70" w:rsidP="00203F1C">
      <w:pPr>
        <w:pStyle w:val="ListParagraph"/>
        <w:spacing w:line="360" w:lineRule="auto"/>
        <w:ind w:left="0"/>
        <w:jc w:val="both"/>
        <w:rPr>
          <w:color w:val="000000"/>
        </w:rPr>
      </w:pPr>
      <w:r w:rsidRPr="00982A0D">
        <w:rPr>
          <w:color w:val="000000"/>
        </w:rPr>
        <w:t>3.</w:t>
      </w:r>
      <w:r>
        <w:rPr>
          <w:color w:val="000000"/>
        </w:rPr>
        <w:t>Hoza J</w:t>
      </w:r>
      <w:r w:rsidRPr="00C679F2">
        <w:rPr>
          <w:color w:val="000000"/>
        </w:rPr>
        <w:t xml:space="preserve">, Stárek I., </w:t>
      </w:r>
      <w:r>
        <w:rPr>
          <w:b/>
          <w:color w:val="000000"/>
        </w:rPr>
        <w:t>Brož M</w:t>
      </w:r>
      <w:r w:rsidRPr="001C25B4">
        <w:rPr>
          <w:b/>
          <w:color w:val="000000"/>
        </w:rPr>
        <w:t>,</w:t>
      </w:r>
      <w:r>
        <w:rPr>
          <w:b/>
          <w:color w:val="000000"/>
        </w:rPr>
        <w:t xml:space="preserve"> </w:t>
      </w:r>
      <w:r w:rsidRPr="00C679F2">
        <w:rPr>
          <w:color w:val="000000"/>
        </w:rPr>
        <w:t>Salzman R.</w:t>
      </w:r>
      <w:r>
        <w:rPr>
          <w:color w:val="000000"/>
        </w:rPr>
        <w:t>:</w:t>
      </w:r>
      <w:r w:rsidRPr="00C679F2">
        <w:rPr>
          <w:color w:val="000000"/>
        </w:rPr>
        <w:t xml:space="preserve"> Význam vaskulárního endotelového faktoru (vascular endothelial growth factor - VEGF) pro metastázování adenoidně cystického karcinomu slinných žláz.Otorinolaryng. a Foniat. (Prague),</w:t>
      </w:r>
      <w:r>
        <w:rPr>
          <w:color w:val="000000"/>
        </w:rPr>
        <w:t xml:space="preserve"> </w:t>
      </w:r>
      <w:r w:rsidRPr="00E9470B">
        <w:rPr>
          <w:color w:val="000000"/>
        </w:rPr>
        <w:t>63, 2014,3,s.188-192.</w:t>
      </w: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numPr>
          <w:ilvl w:val="0"/>
          <w:numId w:val="1"/>
        </w:numPr>
        <w:spacing w:line="360" w:lineRule="auto"/>
        <w:jc w:val="both"/>
        <w:rPr>
          <w:b/>
        </w:rPr>
      </w:pPr>
      <w:r>
        <w:rPr>
          <w:b/>
        </w:rPr>
        <w:t>přehledné/souborné práce v časopisech s IF</w:t>
      </w:r>
    </w:p>
    <w:p w:rsidR="00517E70" w:rsidRDefault="00517E70" w:rsidP="00203F1C">
      <w:pPr>
        <w:spacing w:line="360" w:lineRule="auto"/>
        <w:ind w:left="360"/>
        <w:jc w:val="both"/>
        <w:rPr>
          <w:b/>
        </w:rPr>
      </w:pPr>
      <w:r>
        <w:rPr>
          <w:b/>
        </w:rPr>
        <w:t xml:space="preserve">   -</w:t>
      </w:r>
    </w:p>
    <w:p w:rsidR="00517E70" w:rsidRPr="00667833" w:rsidRDefault="00517E70" w:rsidP="00203F1C">
      <w:pPr>
        <w:pStyle w:val="ListParagraph"/>
        <w:spacing w:line="360" w:lineRule="auto"/>
        <w:jc w:val="both"/>
        <w:rPr>
          <w:b/>
        </w:rPr>
      </w:pPr>
    </w:p>
    <w:p w:rsidR="00517E70" w:rsidRDefault="00517E70" w:rsidP="00203F1C">
      <w:pPr>
        <w:pStyle w:val="ListParagraph"/>
        <w:numPr>
          <w:ilvl w:val="0"/>
          <w:numId w:val="1"/>
        </w:numPr>
        <w:spacing w:line="360" w:lineRule="auto"/>
        <w:jc w:val="both"/>
        <w:rPr>
          <w:b/>
        </w:rPr>
      </w:pPr>
      <w:r>
        <w:rPr>
          <w:b/>
        </w:rPr>
        <w:t>přehledné/souborné práce v ostatních recenzovaných časopisech</w:t>
      </w:r>
    </w:p>
    <w:p w:rsidR="00517E70" w:rsidRDefault="00517E70" w:rsidP="00203F1C">
      <w:pPr>
        <w:spacing w:line="360" w:lineRule="auto"/>
        <w:jc w:val="both"/>
        <w:rPr>
          <w:b/>
        </w:rPr>
      </w:pPr>
    </w:p>
    <w:p w:rsidR="00517E70" w:rsidRPr="005C18B1" w:rsidRDefault="00517E70" w:rsidP="00B56690">
      <w:pPr>
        <w:spacing w:line="360" w:lineRule="auto"/>
        <w:jc w:val="both"/>
        <w:rPr>
          <w:b/>
          <w:bCs/>
          <w:color w:val="000000"/>
        </w:rPr>
      </w:pPr>
      <w:r w:rsidRPr="00B53E46">
        <w:rPr>
          <w:b/>
          <w:bCs/>
          <w:color w:val="000000"/>
        </w:rPr>
        <w:t>Brož M</w:t>
      </w:r>
      <w:r w:rsidRPr="005C18B1">
        <w:rPr>
          <w:color w:val="000000"/>
        </w:rPr>
        <w:t>,</w:t>
      </w:r>
      <w:r>
        <w:rPr>
          <w:color w:val="000000"/>
        </w:rPr>
        <w:t xml:space="preserve"> </w:t>
      </w:r>
      <w:r w:rsidRPr="005C18B1">
        <w:rPr>
          <w:color w:val="000000"/>
        </w:rPr>
        <w:t xml:space="preserve">Stárek I., Salzman R.: Význam exprese </w:t>
      </w:r>
      <w:r w:rsidRPr="00CA761C">
        <w:rPr>
          <w:color w:val="000000"/>
        </w:rPr>
        <w:t>KIT a MYB</w:t>
      </w:r>
      <w:r w:rsidRPr="005C18B1">
        <w:rPr>
          <w:color w:val="000000"/>
        </w:rPr>
        <w:t xml:space="preserve"> genu pro diagnostiku, prognózu a léčbu adenoidně cystických karcinomů slinných žláz – současná úroveň výzkumu a jeho aplikace v praxi.</w:t>
      </w:r>
      <w:r>
        <w:rPr>
          <w:color w:val="000000"/>
        </w:rPr>
        <w:t xml:space="preserve"> Otorinolaryngie a foniatrie  65,2016,1,s.53-57.</w:t>
      </w:r>
    </w:p>
    <w:p w:rsidR="00517E70" w:rsidRPr="00B53E46" w:rsidRDefault="00517E70" w:rsidP="00203F1C">
      <w:pPr>
        <w:spacing w:line="480" w:lineRule="auto"/>
        <w:jc w:val="both"/>
        <w:rPr>
          <w:bCs/>
          <w:color w:val="000000"/>
        </w:rPr>
      </w:pPr>
    </w:p>
    <w:p w:rsidR="00517E70" w:rsidRDefault="00517E70" w:rsidP="00203F1C">
      <w:pPr>
        <w:spacing w:line="360" w:lineRule="auto"/>
        <w:jc w:val="both"/>
        <w:rPr>
          <w:b/>
        </w:rPr>
      </w:pPr>
    </w:p>
    <w:p w:rsidR="00517E70" w:rsidRDefault="00517E70" w:rsidP="00203F1C">
      <w:pPr>
        <w:pStyle w:val="ListParagraph"/>
        <w:numPr>
          <w:ilvl w:val="0"/>
          <w:numId w:val="1"/>
        </w:numPr>
        <w:spacing w:line="360" w:lineRule="auto"/>
        <w:jc w:val="both"/>
        <w:rPr>
          <w:b/>
        </w:rPr>
      </w:pPr>
      <w:r>
        <w:rPr>
          <w:b/>
        </w:rPr>
        <w:t>kapitoly v monografiích</w:t>
      </w:r>
    </w:p>
    <w:p w:rsidR="00517E70" w:rsidRDefault="00517E70" w:rsidP="00203F1C">
      <w:pPr>
        <w:spacing w:line="360" w:lineRule="auto"/>
        <w:ind w:left="720"/>
        <w:jc w:val="both"/>
        <w:rPr>
          <w:b/>
        </w:rPr>
      </w:pPr>
      <w:r>
        <w:rPr>
          <w:b/>
        </w:rPr>
        <w:t>-</w:t>
      </w:r>
    </w:p>
    <w:p w:rsidR="00517E70" w:rsidRDefault="00517E70" w:rsidP="00203F1C">
      <w:pPr>
        <w:tabs>
          <w:tab w:val="left" w:pos="142"/>
        </w:tabs>
        <w:spacing w:line="360" w:lineRule="auto"/>
        <w:ind w:left="720" w:hanging="578"/>
        <w:jc w:val="both"/>
        <w:rPr>
          <w:b/>
        </w:rPr>
      </w:pPr>
      <w:r>
        <w:rPr>
          <w:b/>
        </w:rPr>
        <w:t xml:space="preserve">    f)  publikovaná abstrakta</w:t>
      </w:r>
    </w:p>
    <w:p w:rsidR="00517E70" w:rsidRDefault="00517E70" w:rsidP="00203F1C">
      <w:pPr>
        <w:tabs>
          <w:tab w:val="left" w:pos="142"/>
        </w:tabs>
        <w:spacing w:line="360" w:lineRule="auto"/>
        <w:ind w:left="720" w:hanging="578"/>
        <w:jc w:val="both"/>
        <w:rPr>
          <w:b/>
        </w:rPr>
      </w:pPr>
    </w:p>
    <w:p w:rsidR="00517E70" w:rsidRDefault="00517E70" w:rsidP="00203F1C">
      <w:pPr>
        <w:tabs>
          <w:tab w:val="left" w:pos="142"/>
        </w:tabs>
        <w:spacing w:line="360" w:lineRule="auto"/>
        <w:ind w:left="720" w:hanging="578"/>
        <w:jc w:val="both"/>
        <w:rPr>
          <w:b/>
        </w:rPr>
      </w:pPr>
    </w:p>
    <w:p w:rsidR="00517E70" w:rsidRDefault="00517E70" w:rsidP="00BA750E">
      <w:pPr>
        <w:spacing w:line="360" w:lineRule="auto"/>
        <w:ind w:right="-284"/>
        <w:jc w:val="both"/>
      </w:pPr>
      <w:r>
        <w:rPr>
          <w:bCs/>
          <w:iCs/>
          <w:color w:val="000000"/>
        </w:rPr>
        <w:t>1.</w:t>
      </w:r>
      <w:r w:rsidRPr="005053FA">
        <w:rPr>
          <w:b/>
          <w:bCs/>
          <w:iCs/>
          <w:color w:val="000000"/>
        </w:rPr>
        <w:t>Brož</w:t>
      </w:r>
      <w:r>
        <w:rPr>
          <w:iCs/>
          <w:color w:val="000000"/>
        </w:rPr>
        <w:t xml:space="preserve"> M, I. Stárek , </w:t>
      </w:r>
      <w:r w:rsidRPr="005053FA">
        <w:rPr>
          <w:iCs/>
          <w:color w:val="000000"/>
        </w:rPr>
        <w:t xml:space="preserve">A.Skálová </w:t>
      </w:r>
      <w:r>
        <w:rPr>
          <w:iCs/>
          <w:color w:val="000000"/>
        </w:rPr>
        <w:t xml:space="preserve"> </w:t>
      </w:r>
      <w:r w:rsidRPr="00667833">
        <w:rPr>
          <w:bCs/>
          <w:iCs/>
          <w:color w:val="000000"/>
        </w:rPr>
        <w:t xml:space="preserve">Klinicko-patologická korelace exprese MYB  genu  u </w:t>
      </w:r>
      <w:r>
        <w:rPr>
          <w:bCs/>
          <w:iCs/>
          <w:color w:val="000000"/>
        </w:rPr>
        <w:t xml:space="preserve"> </w:t>
      </w:r>
      <w:r w:rsidRPr="00667833">
        <w:rPr>
          <w:bCs/>
          <w:iCs/>
          <w:color w:val="000000"/>
        </w:rPr>
        <w:t xml:space="preserve">adenoidně cystických  karcinomů  slinných  žláz </w:t>
      </w:r>
      <w:r>
        <w:t>.</w:t>
      </w:r>
      <w:r w:rsidRPr="00FD0B5F">
        <w:t xml:space="preserve"> </w:t>
      </w:r>
      <w:r>
        <w:t xml:space="preserve">.kongres České společnosti otorinolaryngologie a chirurgie hlavy a krku 4.6.-6.6.2014 Ostrava. </w:t>
      </w:r>
      <w:r w:rsidRPr="008B0849">
        <w:t>Sborník abstrakt</w:t>
      </w:r>
      <w:r>
        <w:t>.</w:t>
      </w:r>
    </w:p>
    <w:p w:rsidR="00517E70" w:rsidRDefault="00517E70" w:rsidP="00BA750E">
      <w:pPr>
        <w:spacing w:line="360" w:lineRule="auto"/>
        <w:ind w:right="-284"/>
        <w:jc w:val="both"/>
      </w:pPr>
      <w:r>
        <w:t>2.</w:t>
      </w:r>
      <w:r w:rsidRPr="005053FA">
        <w:rPr>
          <w:b/>
        </w:rPr>
        <w:t>Brož M.,</w:t>
      </w:r>
      <w:r w:rsidRPr="009D0E85">
        <w:t>Stárek I., Bakaj T.: Význam detekce mutací c-kit onkogenu u adenoidně cystických karcinomů slinných žláz. 5.česko-slovenský kongres otorinolaryngologie a chirurgie hlavy a krku.23.-25.5.2013 Hradec – Králové</w:t>
      </w:r>
      <w:r>
        <w:t>.</w:t>
      </w:r>
      <w:r w:rsidRPr="00875D80">
        <w:t xml:space="preserve"> </w:t>
      </w:r>
      <w:r>
        <w:t>Otorinolaryngologie a foniatrie ,2013,Abstrakta,str.23</w:t>
      </w:r>
    </w:p>
    <w:p w:rsidR="00517E70" w:rsidRDefault="00517E70" w:rsidP="00BA750E">
      <w:pPr>
        <w:spacing w:line="360" w:lineRule="auto"/>
        <w:ind w:right="-284"/>
        <w:jc w:val="both"/>
      </w:pPr>
      <w:r w:rsidRPr="00696ADB">
        <w:t>3</w:t>
      </w:r>
      <w:r>
        <w:rPr>
          <w:b/>
        </w:rPr>
        <w:t>.</w:t>
      </w:r>
      <w:r w:rsidRPr="005053FA">
        <w:rPr>
          <w:b/>
        </w:rPr>
        <w:t xml:space="preserve">Brož M., </w:t>
      </w:r>
      <w:r w:rsidRPr="005053FA">
        <w:rPr>
          <w:bCs/>
        </w:rPr>
        <w:t>Stárek I., Bakaj T</w:t>
      </w:r>
      <w:r w:rsidRPr="005053FA">
        <w:rPr>
          <w:b/>
        </w:rPr>
        <w:t xml:space="preserve"> .: </w:t>
      </w:r>
      <w:r>
        <w:t>Význam imunohistochemické exprese C.-kit onkoproteinu u karcinomů slinných  žláz pro posouzení prognózy karcinomů slinných  žláz v souboru pacientů ORL kliniky FN Olomouc . XX. Chvojkův den , 31.5.2012 , Olomouc. Sborník abstrakt.</w:t>
      </w:r>
    </w:p>
    <w:p w:rsidR="00517E70" w:rsidRDefault="00517E70" w:rsidP="00203F1C">
      <w:pPr>
        <w:tabs>
          <w:tab w:val="left" w:pos="142"/>
        </w:tabs>
        <w:spacing w:line="360" w:lineRule="auto"/>
        <w:ind w:left="720" w:hanging="578"/>
        <w:jc w:val="both"/>
        <w:rPr>
          <w:b/>
        </w:rPr>
      </w:pPr>
    </w:p>
    <w:p w:rsidR="00517E70" w:rsidRDefault="00517E70" w:rsidP="00203F1C">
      <w:pPr>
        <w:tabs>
          <w:tab w:val="left" w:pos="142"/>
        </w:tabs>
        <w:spacing w:line="360" w:lineRule="auto"/>
        <w:jc w:val="both"/>
        <w:rPr>
          <w:b/>
        </w:rPr>
      </w:pPr>
    </w:p>
    <w:p w:rsidR="00517E70" w:rsidRDefault="00517E70" w:rsidP="00203F1C">
      <w:pPr>
        <w:pStyle w:val="ListParagraph"/>
        <w:numPr>
          <w:ilvl w:val="0"/>
          <w:numId w:val="2"/>
        </w:numPr>
        <w:tabs>
          <w:tab w:val="left" w:pos="142"/>
        </w:tabs>
        <w:spacing w:line="360" w:lineRule="auto"/>
        <w:jc w:val="both"/>
        <w:rPr>
          <w:b/>
        </w:rPr>
      </w:pPr>
      <w:r w:rsidRPr="00DC265B">
        <w:rPr>
          <w:b/>
        </w:rPr>
        <w:t>seznam přednášek</w:t>
      </w:r>
    </w:p>
    <w:p w:rsidR="00517E70" w:rsidRDefault="00517E70" w:rsidP="00203F1C">
      <w:pPr>
        <w:tabs>
          <w:tab w:val="left" w:pos="142"/>
        </w:tabs>
        <w:spacing w:line="360" w:lineRule="auto"/>
        <w:jc w:val="both"/>
        <w:rPr>
          <w:b/>
        </w:rPr>
      </w:pPr>
    </w:p>
    <w:p w:rsidR="00517E70" w:rsidRPr="005053FA" w:rsidRDefault="00517E70" w:rsidP="00203F1C">
      <w:pPr>
        <w:tabs>
          <w:tab w:val="left" w:pos="142"/>
        </w:tabs>
        <w:spacing w:line="360" w:lineRule="auto"/>
        <w:jc w:val="both"/>
        <w:rPr>
          <w:b/>
        </w:rPr>
      </w:pPr>
    </w:p>
    <w:p w:rsidR="00517E70" w:rsidRDefault="00517E70" w:rsidP="00BA750E">
      <w:pPr>
        <w:spacing w:line="360" w:lineRule="auto"/>
        <w:ind w:right="-284"/>
        <w:jc w:val="both"/>
      </w:pPr>
      <w:r w:rsidRPr="00BA750E">
        <w:t>1.</w:t>
      </w:r>
      <w:r>
        <w:t xml:space="preserve"> </w:t>
      </w:r>
      <w:r w:rsidRPr="005053FA">
        <w:rPr>
          <w:b/>
        </w:rPr>
        <w:t xml:space="preserve">Brož M., </w:t>
      </w:r>
      <w:r w:rsidRPr="005053FA">
        <w:rPr>
          <w:bCs/>
        </w:rPr>
        <w:t>Stárek I., Bakaj T</w:t>
      </w:r>
      <w:r w:rsidRPr="005053FA">
        <w:rPr>
          <w:b/>
        </w:rPr>
        <w:t xml:space="preserve"> .: </w:t>
      </w:r>
      <w:r>
        <w:t>Význam imunohistochemické exprese C.-kit onkoproteinu u karcinomů slinných  žláz pro posouzení prognózy karcinomů slinných  žláz v souboru pacientů ORL kliniky FN Olomouc . XX. Chvojkův den , 31.5.2012 , Olomouc</w:t>
      </w:r>
    </w:p>
    <w:p w:rsidR="00517E70" w:rsidRDefault="00517E70" w:rsidP="00BA750E">
      <w:pPr>
        <w:spacing w:line="360" w:lineRule="auto"/>
        <w:ind w:right="-284"/>
        <w:jc w:val="both"/>
      </w:pPr>
      <w:r w:rsidRPr="00BA750E">
        <w:t>2</w:t>
      </w:r>
      <w:r>
        <w:rPr>
          <w:b/>
        </w:rPr>
        <w:t xml:space="preserve">. </w:t>
      </w:r>
      <w:r w:rsidRPr="005053FA">
        <w:rPr>
          <w:b/>
        </w:rPr>
        <w:t>Brož M.,</w:t>
      </w:r>
      <w:r w:rsidRPr="009D0E85">
        <w:t>Stárek I., Bakaj T.: Význam detekce mutací c-kit onkogenu u adenoidně cystických karcinomů slinných žláz. 5.česko-slovenský kongres otorinolaryngologie a chirurgie hlavy a krku.23.-25.5.2013 Hradec – Králové</w:t>
      </w:r>
    </w:p>
    <w:p w:rsidR="00517E70" w:rsidRDefault="00517E70" w:rsidP="00BA750E">
      <w:pPr>
        <w:spacing w:line="360" w:lineRule="auto"/>
        <w:ind w:right="-284"/>
        <w:jc w:val="both"/>
      </w:pPr>
      <w:r w:rsidRPr="00BA750E">
        <w:rPr>
          <w:bCs/>
          <w:iCs/>
          <w:color w:val="000000"/>
        </w:rPr>
        <w:t>3.</w:t>
      </w:r>
      <w:r>
        <w:rPr>
          <w:bCs/>
          <w:iCs/>
          <w:color w:val="000000"/>
        </w:rPr>
        <w:t xml:space="preserve"> </w:t>
      </w:r>
      <w:r w:rsidRPr="005053FA">
        <w:rPr>
          <w:b/>
          <w:bCs/>
          <w:iCs/>
          <w:color w:val="000000"/>
        </w:rPr>
        <w:t>Brož</w:t>
      </w:r>
      <w:r>
        <w:rPr>
          <w:iCs/>
          <w:color w:val="000000"/>
        </w:rPr>
        <w:t xml:space="preserve"> </w:t>
      </w:r>
      <w:r w:rsidRPr="005053FA">
        <w:rPr>
          <w:iCs/>
          <w:color w:val="000000"/>
        </w:rPr>
        <w:t xml:space="preserve">M, I. Stárek , A.Skálová </w:t>
      </w:r>
      <w:r>
        <w:rPr>
          <w:iCs/>
          <w:color w:val="000000"/>
        </w:rPr>
        <w:t xml:space="preserve"> </w:t>
      </w:r>
      <w:r w:rsidRPr="00667833">
        <w:rPr>
          <w:bCs/>
          <w:iCs/>
          <w:color w:val="000000"/>
        </w:rPr>
        <w:t xml:space="preserve">Klinicko-patologická korelace exprese MYB  genu  u </w:t>
      </w:r>
      <w:r>
        <w:rPr>
          <w:bCs/>
          <w:iCs/>
          <w:color w:val="000000"/>
        </w:rPr>
        <w:t xml:space="preserve"> </w:t>
      </w:r>
      <w:r w:rsidRPr="00667833">
        <w:rPr>
          <w:bCs/>
          <w:iCs/>
          <w:color w:val="000000"/>
        </w:rPr>
        <w:t xml:space="preserve">adenoidně cystických  karcinomů  slinných  žláz </w:t>
      </w:r>
      <w:r>
        <w:t>.</w:t>
      </w:r>
      <w:r w:rsidRPr="00FD0B5F">
        <w:t xml:space="preserve"> </w:t>
      </w:r>
      <w:r>
        <w:t>.kongres České společnosti otorinolaryngologie a chirurgie hlavy a krku 4.6.-6.6.2014 Ostrava</w:t>
      </w:r>
    </w:p>
    <w:p w:rsidR="00517E70" w:rsidRDefault="00517E70" w:rsidP="005D1B52">
      <w:pPr>
        <w:spacing w:line="360" w:lineRule="auto"/>
        <w:ind w:right="-284"/>
        <w:jc w:val="both"/>
        <w:rPr>
          <w:b/>
        </w:rPr>
      </w:pPr>
      <w:r>
        <w:rPr>
          <w:iCs/>
          <w:color w:val="000000"/>
        </w:rPr>
        <w:t xml:space="preserve">4. </w:t>
      </w:r>
      <w:r>
        <w:rPr>
          <w:b/>
        </w:rPr>
        <w:t xml:space="preserve">Brož M., </w:t>
      </w:r>
      <w:r w:rsidRPr="001C6D1E">
        <w:rPr>
          <w:bCs/>
        </w:rPr>
        <w:t>Stárek I., Bakaj T</w:t>
      </w:r>
      <w:r>
        <w:rPr>
          <w:b/>
        </w:rPr>
        <w:t xml:space="preserve"> .: </w:t>
      </w:r>
      <w:r w:rsidRPr="00DB69FE">
        <w:t xml:space="preserve">Význam imunohistochemické exprese C.-kit onkoproteinu </w:t>
      </w:r>
      <w:r>
        <w:t xml:space="preserve">   </w:t>
      </w:r>
      <w:r w:rsidRPr="00DB69FE">
        <w:t>u karcinomů slinných  žláz</w:t>
      </w:r>
      <w:r>
        <w:t xml:space="preserve"> pro</w:t>
      </w:r>
      <w:r w:rsidRPr="00DB69FE">
        <w:t xml:space="preserve"> posouzení prognózy karcinomů slinných  žláz v souboru pacientů ORL kliniky FN Olomouc </w:t>
      </w:r>
      <w:r>
        <w:t>. XX. Chvojkův den , 31.5.2012 , Olomouc</w:t>
      </w:r>
    </w:p>
    <w:p w:rsidR="00517E70" w:rsidRPr="00667833" w:rsidRDefault="00517E70" w:rsidP="005D1B52">
      <w:pPr>
        <w:spacing w:line="360" w:lineRule="auto"/>
        <w:ind w:right="-284"/>
        <w:jc w:val="both"/>
        <w:rPr>
          <w:iCs/>
          <w:color w:val="000000"/>
        </w:rPr>
      </w:pPr>
      <w:r w:rsidRPr="005D1B52">
        <w:rPr>
          <w:iCs/>
          <w:color w:val="000000"/>
        </w:rPr>
        <w:t>5.</w:t>
      </w:r>
      <w:r>
        <w:rPr>
          <w:iCs/>
          <w:color w:val="000000"/>
        </w:rPr>
        <w:t xml:space="preserve"> </w:t>
      </w:r>
      <w:r>
        <w:rPr>
          <w:b/>
          <w:iCs/>
          <w:color w:val="000000"/>
        </w:rPr>
        <w:t xml:space="preserve">Brož </w:t>
      </w:r>
      <w:r w:rsidRPr="00667833">
        <w:rPr>
          <w:b/>
          <w:iCs/>
          <w:color w:val="000000"/>
        </w:rPr>
        <w:t>M.:</w:t>
      </w:r>
      <w:r>
        <w:rPr>
          <w:iCs/>
          <w:color w:val="000000"/>
        </w:rPr>
        <w:t xml:space="preserve"> </w:t>
      </w:r>
      <w:r>
        <w:rPr>
          <w:bCs/>
          <w:iCs/>
          <w:color w:val="000000"/>
        </w:rPr>
        <w:t>Prognostický význam detekce MYB genu u adenoidně cystického</w:t>
      </w:r>
      <w:r w:rsidRPr="00BC3577">
        <w:rPr>
          <w:bCs/>
          <w:iCs/>
          <w:color w:val="000000"/>
        </w:rPr>
        <w:t xml:space="preserve">  karcinomů  slinných  žláz</w:t>
      </w:r>
      <w:r>
        <w:rPr>
          <w:bCs/>
          <w:iCs/>
          <w:color w:val="000000"/>
        </w:rPr>
        <w:t xml:space="preserve"> </w:t>
      </w:r>
      <w:r w:rsidRPr="009D0E85">
        <w:t>.</w:t>
      </w:r>
      <w:r>
        <w:t>29.4.2015 seminář Olomoucké otolaryngologické odpoledne.</w:t>
      </w:r>
    </w:p>
    <w:p w:rsidR="00517E70" w:rsidRDefault="00517E70" w:rsidP="00203F1C">
      <w:pPr>
        <w:tabs>
          <w:tab w:val="left" w:pos="142"/>
        </w:tabs>
        <w:spacing w:line="360" w:lineRule="auto"/>
        <w:jc w:val="both"/>
        <w:rPr>
          <w:b/>
        </w:rPr>
      </w:pPr>
    </w:p>
    <w:p w:rsidR="00517E70" w:rsidRPr="00DC265B" w:rsidRDefault="00517E70" w:rsidP="00203F1C">
      <w:pPr>
        <w:tabs>
          <w:tab w:val="left" w:pos="142"/>
        </w:tabs>
        <w:spacing w:line="360" w:lineRule="auto"/>
        <w:jc w:val="both"/>
        <w:rPr>
          <w:b/>
        </w:rPr>
      </w:pPr>
    </w:p>
    <w:p w:rsidR="00517E70" w:rsidRDefault="00517E70" w:rsidP="00B56690">
      <w:pPr>
        <w:spacing w:line="360" w:lineRule="auto"/>
        <w:jc w:val="both"/>
        <w:rPr>
          <w:b/>
        </w:rPr>
      </w:pPr>
      <w:r>
        <w:rPr>
          <w:b/>
        </w:rPr>
        <w:t>OSTATNÍ PRÁCE NESOUVISEJÍCÍ S DISERAČNÍ PRACÍ</w:t>
      </w:r>
      <w:bookmarkStart w:id="0" w:name="_GoBack"/>
      <w:bookmarkEnd w:id="0"/>
    </w:p>
    <w:p w:rsidR="00517E70" w:rsidRDefault="00517E70" w:rsidP="00B56690">
      <w:pPr>
        <w:spacing w:line="360" w:lineRule="auto"/>
        <w:jc w:val="both"/>
        <w:rPr>
          <w:b/>
        </w:rPr>
      </w:pPr>
    </w:p>
    <w:p w:rsidR="00517E70" w:rsidRPr="007F4757" w:rsidRDefault="00517E70" w:rsidP="00B56690">
      <w:pPr>
        <w:pStyle w:val="ListParagraph"/>
        <w:numPr>
          <w:ilvl w:val="0"/>
          <w:numId w:val="3"/>
        </w:numPr>
        <w:spacing w:line="360" w:lineRule="auto"/>
        <w:jc w:val="both"/>
        <w:rPr>
          <w:b/>
        </w:rPr>
      </w:pPr>
      <w:r w:rsidRPr="007F4757">
        <w:rPr>
          <w:b/>
        </w:rPr>
        <w:t>původní vědecké práce v časopise s IF</w:t>
      </w:r>
    </w:p>
    <w:p w:rsidR="00517E70" w:rsidRDefault="00517E70" w:rsidP="00B56690">
      <w:pPr>
        <w:pStyle w:val="ListParagraph"/>
        <w:spacing w:line="360" w:lineRule="auto"/>
        <w:jc w:val="both"/>
        <w:rPr>
          <w:b/>
        </w:rPr>
      </w:pPr>
    </w:p>
    <w:p w:rsidR="00517E70" w:rsidRDefault="00517E70" w:rsidP="00B56690">
      <w:pPr>
        <w:pStyle w:val="ListParagraph"/>
        <w:spacing w:line="360" w:lineRule="auto"/>
        <w:jc w:val="both"/>
        <w:rPr>
          <w:b/>
        </w:rPr>
      </w:pPr>
      <w:r>
        <w:rPr>
          <w:b/>
        </w:rPr>
        <w:t>-</w:t>
      </w:r>
    </w:p>
    <w:p w:rsidR="00517E70" w:rsidRDefault="00517E70" w:rsidP="00B56690">
      <w:pPr>
        <w:pStyle w:val="ListParagraph"/>
        <w:spacing w:line="360" w:lineRule="auto"/>
        <w:jc w:val="both"/>
        <w:rPr>
          <w:b/>
        </w:rPr>
      </w:pPr>
    </w:p>
    <w:p w:rsidR="00517E70" w:rsidRPr="007F4757" w:rsidRDefault="00517E70" w:rsidP="00B56690">
      <w:pPr>
        <w:spacing w:line="360" w:lineRule="auto"/>
        <w:ind w:left="360"/>
        <w:jc w:val="both"/>
        <w:rPr>
          <w:b/>
        </w:rPr>
      </w:pPr>
      <w:r>
        <w:rPr>
          <w:b/>
        </w:rPr>
        <w:t xml:space="preserve">b ) </w:t>
      </w:r>
      <w:r w:rsidRPr="007F4757">
        <w:rPr>
          <w:b/>
        </w:rPr>
        <w:t>původní vědecké práce v ostatních recenzovaných časopisech</w:t>
      </w:r>
    </w:p>
    <w:p w:rsidR="00517E70" w:rsidRDefault="00517E70" w:rsidP="00B56690">
      <w:pPr>
        <w:pStyle w:val="ListParagraph"/>
        <w:spacing w:line="360" w:lineRule="auto"/>
        <w:jc w:val="both"/>
        <w:rPr>
          <w:b/>
        </w:rPr>
      </w:pPr>
    </w:p>
    <w:p w:rsidR="00517E70" w:rsidRDefault="00517E70" w:rsidP="00B56690">
      <w:pPr>
        <w:pStyle w:val="ListParagraph"/>
        <w:spacing w:line="360" w:lineRule="auto"/>
        <w:jc w:val="both"/>
        <w:rPr>
          <w:b/>
        </w:rPr>
      </w:pPr>
    </w:p>
    <w:p w:rsidR="00517E70" w:rsidRDefault="00517E70" w:rsidP="00B56690">
      <w:pPr>
        <w:spacing w:line="360" w:lineRule="auto"/>
        <w:jc w:val="both"/>
      </w:pPr>
      <w:r>
        <w:t xml:space="preserve">1. </w:t>
      </w:r>
      <w:r>
        <w:rPr>
          <w:b/>
        </w:rPr>
        <w:t xml:space="preserve">Brož </w:t>
      </w:r>
      <w:r w:rsidRPr="002A1017">
        <w:rPr>
          <w:b/>
        </w:rPr>
        <w:t>M.</w:t>
      </w:r>
      <w:r>
        <w:t>:Solitární sklerom hrtanu – kazuistika. Choroby hlavy a krku (Head and Neck Diseases), 6, 1997, č.3/4,s.5-6</w:t>
      </w:r>
    </w:p>
    <w:p w:rsidR="00517E70" w:rsidRDefault="00517E70" w:rsidP="00B56690">
      <w:pPr>
        <w:spacing w:line="360" w:lineRule="auto"/>
        <w:jc w:val="both"/>
      </w:pPr>
      <w:r>
        <w:t xml:space="preserve">2. </w:t>
      </w:r>
      <w:r>
        <w:rPr>
          <w:b/>
        </w:rPr>
        <w:t xml:space="preserve">Brož </w:t>
      </w:r>
      <w:r w:rsidRPr="002A1017">
        <w:rPr>
          <w:b/>
        </w:rPr>
        <w:t>M</w:t>
      </w:r>
      <w:r>
        <w:rPr>
          <w:b/>
        </w:rPr>
        <w:t>.</w:t>
      </w:r>
      <w:r>
        <w:t>.:Zkušenosti s Bioparoxem při léčbě infektů horních  cest dýchacích. Bioparox News, č.6., 1998, Praha.</w:t>
      </w:r>
    </w:p>
    <w:p w:rsidR="00517E70" w:rsidRDefault="00517E70" w:rsidP="00203F1C">
      <w:pPr>
        <w:spacing w:line="360" w:lineRule="auto"/>
        <w:jc w:val="both"/>
      </w:pPr>
      <w:r>
        <w:t xml:space="preserve">3. </w:t>
      </w:r>
      <w:r>
        <w:rPr>
          <w:b/>
        </w:rPr>
        <w:t xml:space="preserve">Brož </w:t>
      </w:r>
      <w:r w:rsidRPr="002A1017">
        <w:rPr>
          <w:b/>
        </w:rPr>
        <w:t>M</w:t>
      </w:r>
      <w:r>
        <w:rPr>
          <w:b/>
        </w:rPr>
        <w:t>.</w:t>
      </w:r>
      <w:r>
        <w:t>. :Zpráva z účasti na Kornelově semináři v Salzburgu ve dnech 19-26.10.1997. Choroby hlavy a krku (Head and Neck Diseases),6, 1997,č.3/4 s.61</w:t>
      </w:r>
    </w:p>
    <w:p w:rsidR="00517E70" w:rsidRDefault="00517E70" w:rsidP="00203F1C">
      <w:pPr>
        <w:spacing w:line="360" w:lineRule="auto"/>
        <w:jc w:val="both"/>
      </w:pPr>
      <w:r>
        <w:t>4. Stárek,I.,</w:t>
      </w:r>
      <w:r>
        <w:rPr>
          <w:b/>
        </w:rPr>
        <w:t xml:space="preserve">Brož </w:t>
      </w:r>
      <w:r w:rsidRPr="002A1017">
        <w:rPr>
          <w:b/>
        </w:rPr>
        <w:t>M</w:t>
      </w:r>
      <w:r>
        <w:t>.:Smrtelná kongenitální malformace spodiny ústní. Otorinolaryngol..(Prague),1996,45,2,s.111-113</w:t>
      </w:r>
    </w:p>
    <w:p w:rsidR="00517E70" w:rsidRDefault="00517E70" w:rsidP="00203F1C">
      <w:pPr>
        <w:spacing w:line="360" w:lineRule="auto"/>
        <w:jc w:val="both"/>
      </w:pPr>
      <w:r>
        <w:t>5. Starek,I.,</w:t>
      </w:r>
      <w:r>
        <w:rPr>
          <w:b/>
        </w:rPr>
        <w:t xml:space="preserve">Brož </w:t>
      </w:r>
      <w:r w:rsidRPr="002A1017">
        <w:rPr>
          <w:b/>
        </w:rPr>
        <w:t>M.,</w:t>
      </w:r>
      <w:r>
        <w:t>Hejnar,P.:Stenotrophomonas maltophilia- etiologické agens zánětů středouší a zvukovodů. Choroby hlavy a krku (Head and Neck Diseases),2,1999,č.2,s.13-15</w:t>
      </w:r>
    </w:p>
    <w:p w:rsidR="00517E70" w:rsidRDefault="00517E70" w:rsidP="00203F1C">
      <w:pPr>
        <w:spacing w:line="360" w:lineRule="auto"/>
        <w:jc w:val="both"/>
      </w:pPr>
      <w:r>
        <w:t>6. Hejnar,P.,</w:t>
      </w:r>
      <w:r>
        <w:rPr>
          <w:b/>
        </w:rPr>
        <w:t xml:space="preserve">Brož </w:t>
      </w:r>
      <w:r w:rsidRPr="002A1017">
        <w:rPr>
          <w:b/>
        </w:rPr>
        <w:t>M</w:t>
      </w:r>
      <w:r>
        <w:t>.:Schewanella putrefaciens jako etiologické agens otitis media. Choroby hlavy a krku (Head and Neck Diseases),2,1999,č.2,s.29-30</w:t>
      </w:r>
    </w:p>
    <w:p w:rsidR="00517E70" w:rsidRDefault="00517E70" w:rsidP="00203F1C">
      <w:pPr>
        <w:spacing w:line="360" w:lineRule="auto"/>
        <w:jc w:val="both"/>
      </w:pPr>
      <w:r>
        <w:t>7. Stárek,I.,Holibka,V.,Vomáčka,J.,</w:t>
      </w:r>
      <w:r>
        <w:rPr>
          <w:b/>
        </w:rPr>
        <w:t xml:space="preserve">Brož </w:t>
      </w:r>
      <w:r w:rsidRPr="00EB798A">
        <w:rPr>
          <w:b/>
        </w:rPr>
        <w:t>M</w:t>
      </w:r>
      <w:r>
        <w:t>.,Vidura,R.:Nervus laryngeus non recurrens v chirurgii štítné  žlázy.Otorinolaryng. a Foniatr.,2000,49,4,s.208-211</w:t>
      </w:r>
    </w:p>
    <w:p w:rsidR="00517E70" w:rsidRDefault="00517E70" w:rsidP="00203F1C">
      <w:pPr>
        <w:spacing w:line="360" w:lineRule="auto"/>
        <w:jc w:val="both"/>
      </w:pPr>
      <w:r>
        <w:t>8. Vidura,R.,Hitari,F.,</w:t>
      </w:r>
      <w:r>
        <w:rPr>
          <w:b/>
        </w:rPr>
        <w:t xml:space="preserve">Brož </w:t>
      </w:r>
      <w:r w:rsidRPr="000F2767">
        <w:rPr>
          <w:b/>
        </w:rPr>
        <w:t>M</w:t>
      </w:r>
      <w:r>
        <w:t>.,Kincl,J.,Pokorný,J.,Stárek,I.:Chirurgie štítné  žlázy na  ORL klinice FNO a LF UP v Olomouci – zhodnocení souboru pacientů  a přehled rizikových faktorů operace a pooperačního období.Choroby hlavy a krku,2005,14,1,s.40-44.</w:t>
      </w:r>
    </w:p>
    <w:p w:rsidR="00517E70" w:rsidRDefault="00517E70" w:rsidP="00203F1C">
      <w:pPr>
        <w:pStyle w:val="ListParagraph"/>
        <w:spacing w:line="360" w:lineRule="auto"/>
        <w:jc w:val="both"/>
        <w:rPr>
          <w:b/>
        </w:rPr>
      </w:pPr>
    </w:p>
    <w:p w:rsidR="00517E70" w:rsidRPr="007F4757" w:rsidRDefault="00517E70" w:rsidP="00203F1C">
      <w:pPr>
        <w:pStyle w:val="ListParagraph"/>
        <w:numPr>
          <w:ilvl w:val="0"/>
          <w:numId w:val="4"/>
        </w:numPr>
        <w:spacing w:line="360" w:lineRule="auto"/>
        <w:jc w:val="both"/>
        <w:rPr>
          <w:b/>
        </w:rPr>
      </w:pPr>
      <w:r w:rsidRPr="007F4757">
        <w:rPr>
          <w:b/>
        </w:rPr>
        <w:t>přehledné/souborné práce v časopisech s IF</w:t>
      </w:r>
    </w:p>
    <w:p w:rsidR="00517E70" w:rsidRDefault="00517E70" w:rsidP="005D1B52">
      <w:pPr>
        <w:spacing w:line="360" w:lineRule="auto"/>
        <w:ind w:left="360"/>
        <w:jc w:val="both"/>
        <w:rPr>
          <w:b/>
        </w:rPr>
      </w:pPr>
      <w:r>
        <w:rPr>
          <w:b/>
        </w:rPr>
        <w:t xml:space="preserve">   -</w:t>
      </w:r>
    </w:p>
    <w:p w:rsidR="00517E70" w:rsidRDefault="00517E70" w:rsidP="00203F1C">
      <w:pPr>
        <w:pStyle w:val="ListParagraph"/>
        <w:numPr>
          <w:ilvl w:val="0"/>
          <w:numId w:val="4"/>
        </w:numPr>
        <w:spacing w:line="360" w:lineRule="auto"/>
        <w:jc w:val="both"/>
        <w:rPr>
          <w:b/>
        </w:rPr>
      </w:pPr>
      <w:r>
        <w:rPr>
          <w:b/>
        </w:rPr>
        <w:t>přehledné/souborné práce v ostatních recenzovaných časopisech</w:t>
      </w:r>
    </w:p>
    <w:p w:rsidR="00517E70" w:rsidRPr="005D1B52" w:rsidRDefault="00517E70" w:rsidP="005D1B52">
      <w:pPr>
        <w:pStyle w:val="ListParagraph"/>
        <w:spacing w:line="360" w:lineRule="auto"/>
        <w:jc w:val="both"/>
        <w:rPr>
          <w:b/>
        </w:rPr>
      </w:pPr>
      <w:r>
        <w:t>-</w:t>
      </w:r>
    </w:p>
    <w:p w:rsidR="00517E70" w:rsidRDefault="00517E70" w:rsidP="005D1B52">
      <w:pPr>
        <w:pStyle w:val="ListParagraph"/>
        <w:numPr>
          <w:ilvl w:val="0"/>
          <w:numId w:val="4"/>
        </w:numPr>
        <w:spacing w:line="360" w:lineRule="auto"/>
        <w:jc w:val="both"/>
        <w:rPr>
          <w:b/>
        </w:rPr>
      </w:pPr>
      <w:r>
        <w:rPr>
          <w:b/>
        </w:rPr>
        <w:t>kapitoly v monografiích</w:t>
      </w:r>
    </w:p>
    <w:p w:rsidR="00517E70" w:rsidRDefault="00517E70" w:rsidP="00203F1C">
      <w:pPr>
        <w:spacing w:line="360" w:lineRule="auto"/>
        <w:ind w:left="720"/>
        <w:jc w:val="both"/>
        <w:rPr>
          <w:b/>
        </w:rPr>
      </w:pPr>
      <w:r>
        <w:rPr>
          <w:b/>
        </w:rPr>
        <w:t>-</w:t>
      </w:r>
    </w:p>
    <w:p w:rsidR="00517E70" w:rsidRDefault="00517E70" w:rsidP="00203F1C">
      <w:pPr>
        <w:spacing w:line="360" w:lineRule="auto"/>
        <w:jc w:val="both"/>
        <w:rPr>
          <w:b/>
        </w:rPr>
      </w:pPr>
      <w:r>
        <w:rPr>
          <w:b/>
        </w:rPr>
        <w:t xml:space="preserve">    f)  publikovaná abstrakta</w:t>
      </w:r>
    </w:p>
    <w:p w:rsidR="00517E70" w:rsidRDefault="00517E70" w:rsidP="00203F1C">
      <w:pPr>
        <w:tabs>
          <w:tab w:val="left" w:pos="142"/>
        </w:tabs>
        <w:spacing w:line="360" w:lineRule="auto"/>
        <w:ind w:left="720" w:hanging="578"/>
        <w:jc w:val="both"/>
        <w:rPr>
          <w:b/>
        </w:rPr>
      </w:pPr>
    </w:p>
    <w:p w:rsidR="00517E70" w:rsidRDefault="00517E70" w:rsidP="00203F1C">
      <w:pPr>
        <w:spacing w:line="360" w:lineRule="auto"/>
        <w:jc w:val="both"/>
      </w:pPr>
      <w:r>
        <w:t xml:space="preserve">1. </w:t>
      </w:r>
      <w:r>
        <w:rPr>
          <w:b/>
        </w:rPr>
        <w:t>Brož M.,</w:t>
      </w:r>
      <w:r>
        <w:t xml:space="preserve">Chrapková </w:t>
      </w:r>
      <w:r w:rsidRPr="00F3229A">
        <w:t>P.:</w:t>
      </w:r>
      <w:r>
        <w:rPr>
          <w:b/>
        </w:rPr>
        <w:t xml:space="preserve"> </w:t>
      </w:r>
      <w:r w:rsidRPr="00F3229A">
        <w:t>Zkušenosti s dekanylací na  ORL klinice FN Olomouc</w:t>
      </w:r>
      <w:r>
        <w:t xml:space="preserve">. 4.slovensko-český kongres ORL a chirurgie hlavy a krku, 8-10.9.2011, Horný Smokovec, Slovensko.Abstrakt: Otorinolaryngológia  a chirurgia hlavy a krku ,2011,5 s.31 </w:t>
      </w:r>
    </w:p>
    <w:p w:rsidR="00517E70" w:rsidRDefault="00517E70" w:rsidP="00203F1C">
      <w:pPr>
        <w:spacing w:line="360" w:lineRule="auto"/>
        <w:jc w:val="both"/>
      </w:pPr>
      <w:r>
        <w:t>2. Vidura R.,</w:t>
      </w:r>
      <w:r>
        <w:rPr>
          <w:b/>
        </w:rPr>
        <w:t xml:space="preserve">Brož </w:t>
      </w:r>
      <w:r w:rsidRPr="00EB798A">
        <w:rPr>
          <w:b/>
        </w:rPr>
        <w:t>M</w:t>
      </w:r>
      <w:r>
        <w:t>.,Stárek I..:Úskalí chirurgie štítné  žlázy. Sborník abstrakt a přednášek 46.kongresu Slovenské společnosti pro otorinolaryngologii a chirurgii  hlavy a krku , Stará Lubovňa, Slovensko 1999</w:t>
      </w:r>
    </w:p>
    <w:p w:rsidR="00517E70" w:rsidRDefault="00517E70" w:rsidP="00203F1C">
      <w:pPr>
        <w:spacing w:line="360" w:lineRule="auto"/>
        <w:jc w:val="both"/>
      </w:pPr>
    </w:p>
    <w:p w:rsidR="00517E70" w:rsidRDefault="00517E70" w:rsidP="008B0849">
      <w:pPr>
        <w:spacing w:line="360" w:lineRule="auto"/>
        <w:ind w:right="-284"/>
        <w:jc w:val="both"/>
      </w:pPr>
      <w:r>
        <w:t>.</w:t>
      </w:r>
    </w:p>
    <w:p w:rsidR="00517E70" w:rsidRDefault="00517E70" w:rsidP="00203F1C">
      <w:pPr>
        <w:spacing w:line="360" w:lineRule="auto"/>
        <w:jc w:val="both"/>
      </w:pPr>
    </w:p>
    <w:p w:rsidR="00517E70" w:rsidRDefault="00517E70" w:rsidP="00203F1C">
      <w:pPr>
        <w:spacing w:line="360" w:lineRule="auto"/>
        <w:jc w:val="both"/>
      </w:pPr>
    </w:p>
    <w:p w:rsidR="00517E70" w:rsidRDefault="00517E70" w:rsidP="00203F1C">
      <w:pPr>
        <w:tabs>
          <w:tab w:val="left" w:pos="142"/>
        </w:tabs>
        <w:spacing w:line="360" w:lineRule="auto"/>
        <w:ind w:left="720" w:hanging="578"/>
        <w:jc w:val="both"/>
        <w:rPr>
          <w:b/>
        </w:rPr>
      </w:pPr>
    </w:p>
    <w:p w:rsidR="00517E70" w:rsidRDefault="00517E70" w:rsidP="00203F1C">
      <w:pPr>
        <w:pStyle w:val="ListParagraph"/>
        <w:numPr>
          <w:ilvl w:val="0"/>
          <w:numId w:val="2"/>
        </w:numPr>
        <w:tabs>
          <w:tab w:val="left" w:pos="142"/>
        </w:tabs>
        <w:spacing w:line="360" w:lineRule="auto"/>
        <w:jc w:val="both"/>
        <w:rPr>
          <w:b/>
        </w:rPr>
      </w:pPr>
      <w:r w:rsidRPr="00DC265B">
        <w:rPr>
          <w:b/>
        </w:rPr>
        <w:t>seznam přednášek</w:t>
      </w: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r>
        <w:rPr>
          <w:b/>
        </w:rPr>
        <w:t>1. Brož</w:t>
      </w:r>
      <w:r w:rsidRPr="005053FA">
        <w:rPr>
          <w:b/>
        </w:rPr>
        <w:t xml:space="preserve"> M.,</w:t>
      </w:r>
      <w:r>
        <w:t>Chrapková,</w:t>
      </w:r>
      <w:r w:rsidRPr="00F3229A">
        <w:t>P.:</w:t>
      </w:r>
      <w:r w:rsidRPr="005053FA">
        <w:rPr>
          <w:b/>
        </w:rPr>
        <w:t xml:space="preserve"> </w:t>
      </w:r>
      <w:r w:rsidRPr="00F3229A">
        <w:t>Zkušenosti s dekanylací na  ORL klinice FN Olomouc</w:t>
      </w:r>
      <w:r>
        <w:t>.  4.slovensko-český kongres ORL a chirurgie hlavy a krku, 8-10.9.2011, Horný Smokovec, Slovensko.</w:t>
      </w:r>
      <w:r w:rsidRPr="001F7675">
        <w:rPr>
          <w:b/>
        </w:rPr>
        <w:t xml:space="preserve"> </w:t>
      </w:r>
    </w:p>
    <w:p w:rsidR="00517E70" w:rsidRDefault="00517E70" w:rsidP="00203F1C">
      <w:pPr>
        <w:tabs>
          <w:tab w:val="left" w:pos="142"/>
        </w:tabs>
        <w:spacing w:line="360" w:lineRule="auto"/>
        <w:jc w:val="both"/>
      </w:pPr>
      <w:r>
        <w:rPr>
          <w:b/>
        </w:rPr>
        <w:t>2. Brož M.:</w:t>
      </w:r>
      <w:r>
        <w:t xml:space="preserve">Nádory parafaryngu </w:t>
      </w:r>
      <w:r w:rsidRPr="00DB69FE">
        <w:t>. Olomoucké otolaryngologické odpoledne</w:t>
      </w:r>
      <w:r>
        <w:t>.</w:t>
      </w:r>
      <w:r w:rsidRPr="00DB69FE">
        <w:t xml:space="preserve"> Olomouc 25.4.2012</w:t>
      </w:r>
      <w:r>
        <w:t xml:space="preserve"> </w:t>
      </w:r>
    </w:p>
    <w:p w:rsidR="00517E70" w:rsidRDefault="00517E70" w:rsidP="00203F1C">
      <w:pPr>
        <w:tabs>
          <w:tab w:val="left" w:pos="142"/>
        </w:tabs>
        <w:spacing w:line="360" w:lineRule="auto"/>
        <w:jc w:val="both"/>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p>
    <w:p w:rsidR="00517E70" w:rsidRDefault="00517E70" w:rsidP="00203F1C">
      <w:pPr>
        <w:tabs>
          <w:tab w:val="left" w:pos="142"/>
        </w:tabs>
        <w:spacing w:line="360" w:lineRule="auto"/>
        <w:jc w:val="both"/>
        <w:rPr>
          <w:b/>
        </w:rPr>
      </w:pPr>
      <w:r>
        <w:rPr>
          <w:b/>
        </w:rPr>
        <w:t>7  SOUHRN</w:t>
      </w:r>
    </w:p>
    <w:p w:rsidR="00517E70" w:rsidRPr="00E470E8" w:rsidRDefault="00517E70" w:rsidP="00203F1C">
      <w:pPr>
        <w:autoSpaceDE w:val="0"/>
        <w:autoSpaceDN w:val="0"/>
        <w:adjustRightInd w:val="0"/>
        <w:spacing w:line="360" w:lineRule="auto"/>
        <w:jc w:val="both"/>
        <w:rPr>
          <w:b/>
          <w:bCs/>
        </w:rPr>
      </w:pPr>
    </w:p>
    <w:p w:rsidR="00517E70" w:rsidRPr="00E470E8" w:rsidRDefault="00517E70" w:rsidP="00203F1C">
      <w:pPr>
        <w:autoSpaceDE w:val="0"/>
        <w:autoSpaceDN w:val="0"/>
        <w:adjustRightInd w:val="0"/>
        <w:spacing w:line="360" w:lineRule="auto"/>
        <w:jc w:val="both"/>
      </w:pPr>
      <w:r>
        <w:rPr>
          <w:b/>
          <w:bCs/>
        </w:rPr>
        <w:t>Cíle.</w:t>
      </w:r>
      <w:r w:rsidRPr="00E470E8">
        <w:rPr>
          <w:b/>
          <w:bCs/>
        </w:rPr>
        <w:t xml:space="preserve"> </w:t>
      </w:r>
      <w:r>
        <w:t>Zhodnocení exprese C-Kit</w:t>
      </w:r>
      <w:r w:rsidRPr="00B62FEB">
        <w:t xml:space="preserve"> onkoproteinu u karcinomů slinných žláz a její korelace s</w:t>
      </w:r>
      <w:r>
        <w:t> </w:t>
      </w:r>
      <w:r w:rsidRPr="00B62FEB">
        <w:t>prognózou</w:t>
      </w:r>
      <w:r>
        <w:t xml:space="preserve"> a detekce zlomu MYB genu</w:t>
      </w:r>
      <w:r w:rsidRPr="00E470E8">
        <w:t xml:space="preserve"> u </w:t>
      </w:r>
      <w:r>
        <w:t xml:space="preserve"> adenoidně cystických karcinomů (ACC) slinných žláz a jeho korelace s prognózou.</w:t>
      </w:r>
    </w:p>
    <w:p w:rsidR="00517E70" w:rsidRPr="00E470E8" w:rsidRDefault="00517E70" w:rsidP="00203F1C">
      <w:pPr>
        <w:spacing w:line="360" w:lineRule="auto"/>
        <w:jc w:val="both"/>
      </w:pPr>
      <w:r>
        <w:rPr>
          <w:b/>
          <w:bCs/>
        </w:rPr>
        <w:t xml:space="preserve">Metody. </w:t>
      </w:r>
      <w:r>
        <w:t>Imunohistochemická analýza C-K</w:t>
      </w:r>
      <w:r w:rsidRPr="00B62FEB">
        <w:t>it proteinu byla provedena u 33 karcinomů za užití formalinem fixovaných</w:t>
      </w:r>
      <w:r>
        <w:t xml:space="preserve"> </w:t>
      </w:r>
      <w:r w:rsidRPr="00B62FEB">
        <w:t>parafinových bločků</w:t>
      </w:r>
      <w:r>
        <w:t xml:space="preserve">.  Detekce zlomu MYB genu FISH metodou byla provedena u 23 karcinomů. </w:t>
      </w:r>
      <w:r w:rsidRPr="00E470E8">
        <w:t>Prognostické korelace byly provedeny univariátní analýzou nádorově specifických přežívacích křivek dle Kaplan-Meiera</w:t>
      </w:r>
      <w:r>
        <w:t xml:space="preserve"> </w:t>
      </w:r>
      <w:r w:rsidRPr="00E470E8">
        <w:t>a porov</w:t>
      </w:r>
      <w:r>
        <w:t>n</w:t>
      </w:r>
      <w:r w:rsidRPr="00E470E8">
        <w:t>áním pomocí log-rank testu.</w:t>
      </w:r>
    </w:p>
    <w:p w:rsidR="00517E70" w:rsidRPr="00B62FEB" w:rsidRDefault="00517E70" w:rsidP="00203F1C">
      <w:pPr>
        <w:spacing w:line="360" w:lineRule="auto"/>
        <w:jc w:val="both"/>
      </w:pPr>
      <w:r>
        <w:rPr>
          <w:b/>
          <w:bCs/>
        </w:rPr>
        <w:t>Výsledky.</w:t>
      </w:r>
      <w:r w:rsidRPr="00E470E8">
        <w:rPr>
          <w:b/>
          <w:bCs/>
        </w:rPr>
        <w:t xml:space="preserve"> </w:t>
      </w:r>
      <w:r w:rsidRPr="00B62FEB">
        <w:t xml:space="preserve">Ze 33 </w:t>
      </w:r>
      <w:r>
        <w:t>hodnocených bylo jen 7 nádorů C-K</w:t>
      </w:r>
      <w:r w:rsidRPr="00B62FEB">
        <w:t>it negativních, a to 3 low-grade karcinomy mukoepidermoidní, 2</w:t>
      </w:r>
      <w:r>
        <w:t xml:space="preserve"> </w:t>
      </w:r>
      <w:r w:rsidRPr="00B62FEB">
        <w:t>karcinomy z pleomorfního adenomu, jeden karcinom sekretorický a jeden low-grade kribriformní cystadenokarcinom.</w:t>
      </w:r>
    </w:p>
    <w:p w:rsidR="00517E70" w:rsidRPr="00B62FEB" w:rsidRDefault="00517E70" w:rsidP="00203F1C">
      <w:pPr>
        <w:spacing w:line="360" w:lineRule="auto"/>
        <w:jc w:val="both"/>
      </w:pPr>
      <w:r w:rsidRPr="00B62FEB">
        <w:t>Ve skupině 26 (tj. 79 %) pozitivních tumorů převládalo 9 karcinomů adenoidně cystických (všechny až na jeden silně</w:t>
      </w:r>
      <w:r>
        <w:t xml:space="preserve"> </w:t>
      </w:r>
      <w:r w:rsidRPr="00B62FEB">
        <w:t>imunoreaktivní), následovaných 5 karcinomy acinocelulárními, 3 karcinomy mukoepidermoidními a 3 salivárními</w:t>
      </w:r>
      <w:r>
        <w:t xml:space="preserve"> </w:t>
      </w:r>
      <w:r w:rsidRPr="00B62FEB">
        <w:t>duktálními, 2 karcinomy z pleomorfního adenomu a 4 dalšími karcinomy, u kterých se pozitivita pohybovala od 50 do</w:t>
      </w:r>
      <w:r>
        <w:t xml:space="preserve"> </w:t>
      </w:r>
      <w:r w:rsidRPr="00B62FEB">
        <w:t>100 % při slabé až silné imunoreakci. Chí-kvadrátem nebyl zjištěn rozdíl v ná</w:t>
      </w:r>
      <w:r>
        <w:t>dorově specifickém přežívání u C-K</w:t>
      </w:r>
      <w:r w:rsidRPr="00B62FEB">
        <w:t>it negativních</w:t>
      </w:r>
      <w:r>
        <w:t xml:space="preserve"> </w:t>
      </w:r>
      <w:r w:rsidRPr="00B62FEB">
        <w:t>(n=7) a pozitivních (n=26) karcinomů.</w:t>
      </w:r>
    </w:p>
    <w:p w:rsidR="00517E70" w:rsidRPr="00B73FC0" w:rsidRDefault="00517E70" w:rsidP="00203F1C">
      <w:pPr>
        <w:autoSpaceDE w:val="0"/>
        <w:autoSpaceDN w:val="0"/>
        <w:adjustRightInd w:val="0"/>
        <w:spacing w:line="360" w:lineRule="auto"/>
        <w:jc w:val="both"/>
        <w:rPr>
          <w:rFonts w:ascii="new times roman" w:hAnsi="new times roman" w:cs="NewCenturySchlbkCE-Roman"/>
          <w:color w:val="99CC00"/>
        </w:rPr>
      </w:pPr>
      <w:r w:rsidRPr="009B6033">
        <w:rPr>
          <w:color w:val="000000"/>
        </w:rPr>
        <w:t xml:space="preserve">Z 23 hodnocených bylo 15 nádorů MYB pozitivních a  8 MYB negativních  při FISH analýze. </w:t>
      </w:r>
      <w:r w:rsidRPr="009B6033">
        <w:rPr>
          <w:rFonts w:ascii="new times roman" w:hAnsi="new times roman" w:cs="NewCenturySchlbkCE-Roman"/>
          <w:color w:val="000000"/>
        </w:rPr>
        <w:t>Disease free interval (DFI)  v celém souboru činil u MYB pozitivních od  7,0 do 285,8 (průměrně 64,5) měsíců.  od 3,5  do 163,6 (průměrně 63,7) u MYB negativních pacientů . 10leté kumulativní přežití</w:t>
      </w:r>
      <w:r w:rsidRPr="009B6033">
        <w:rPr>
          <w:color w:val="000000"/>
        </w:rPr>
        <w:t xml:space="preserve"> u MYB pozitivních činilo 60% </w:t>
      </w:r>
      <w:r w:rsidRPr="009B6033">
        <w:rPr>
          <w:rFonts w:ascii="new times roman" w:hAnsi="new times roman" w:cs="NewCenturySchlbkCE-Roman"/>
          <w:color w:val="000000"/>
        </w:rPr>
        <w:t xml:space="preserve">u MYB negativních </w:t>
      </w:r>
      <w:r w:rsidRPr="009B6033">
        <w:rPr>
          <w:color w:val="000000"/>
        </w:rPr>
        <w:t>bylo 88,5 %.</w:t>
      </w:r>
    </w:p>
    <w:p w:rsidR="00517E70" w:rsidRPr="00B62FEB" w:rsidRDefault="00517E70" w:rsidP="00203F1C">
      <w:pPr>
        <w:spacing w:line="360" w:lineRule="auto"/>
        <w:jc w:val="both"/>
      </w:pPr>
      <w:r w:rsidRPr="00CE0524">
        <w:rPr>
          <w:b/>
          <w:bCs/>
          <w:color w:val="000000"/>
        </w:rPr>
        <w:t xml:space="preserve">Závěry. </w:t>
      </w:r>
      <w:r w:rsidRPr="00B62FEB">
        <w:t xml:space="preserve"> Ze všech typů salivárních karcinomů jevil pravidelnou silnou </w:t>
      </w:r>
      <w:r>
        <w:t xml:space="preserve"> C-Kit </w:t>
      </w:r>
      <w:r w:rsidRPr="00B62FEB">
        <w:t>reaktivitu j</w:t>
      </w:r>
      <w:r>
        <w:t xml:space="preserve">en karcinom adenoidně cystický. </w:t>
      </w:r>
      <w:r w:rsidRPr="00B62FEB">
        <w:t>Imunoreaktivita ostatních typů v souladu s publikovanými daty silně kolísala. Stanovení c-kit exprese nemá prognostický</w:t>
      </w:r>
      <w:r>
        <w:t xml:space="preserve"> </w:t>
      </w:r>
      <w:r w:rsidRPr="00B62FEB">
        <w:t>význam.</w:t>
      </w:r>
    </w:p>
    <w:p w:rsidR="00517E70" w:rsidRPr="00CE0524" w:rsidRDefault="00517E70" w:rsidP="00203F1C">
      <w:pPr>
        <w:autoSpaceDE w:val="0"/>
        <w:autoSpaceDN w:val="0"/>
        <w:adjustRightInd w:val="0"/>
        <w:spacing w:line="360" w:lineRule="auto"/>
        <w:jc w:val="both"/>
        <w:rPr>
          <w:rFonts w:ascii="new times roman" w:hAnsi="new times roman" w:cs="NewCenturySchlbkCE-Roman"/>
          <w:color w:val="000000"/>
        </w:rPr>
      </w:pPr>
      <w:r w:rsidRPr="00CE0524">
        <w:rPr>
          <w:bCs/>
          <w:iCs/>
          <w:color w:val="000000"/>
        </w:rPr>
        <w:t>Prokázali jsme ro</w:t>
      </w:r>
      <w:r>
        <w:rPr>
          <w:bCs/>
          <w:iCs/>
          <w:color w:val="000000"/>
        </w:rPr>
        <w:t>zdíl  v přežití u pacientů s ACC</w:t>
      </w:r>
      <w:r w:rsidRPr="00CE0524">
        <w:rPr>
          <w:bCs/>
          <w:iCs/>
          <w:color w:val="000000"/>
        </w:rPr>
        <w:t xml:space="preserve"> v závislosti  na  MYB statutu, tento však nebyl  statisticky významný. Rovněž jsme </w:t>
      </w:r>
      <w:r w:rsidRPr="00CE0524">
        <w:rPr>
          <w:rFonts w:ascii="new times roman" w:hAnsi="new times roman" w:cs="NewCenturySchlbkCE-Roman"/>
          <w:color w:val="000000"/>
        </w:rPr>
        <w:t>nezjistili statisticky významný rozdíl ve věku, pohlaví, perineurální invazi, přítomnosti hematogenních ani uzlinových metastáz, DFI a ve stupni malignity (histopathologic grading) u MYB pozitivních a MYB negativních pacientů .</w:t>
      </w:r>
    </w:p>
    <w:p w:rsidR="00517E70" w:rsidRDefault="00517E70" w:rsidP="00203F1C">
      <w:pPr>
        <w:spacing w:line="360" w:lineRule="auto"/>
        <w:jc w:val="both"/>
        <w:rPr>
          <w:b/>
        </w:rPr>
      </w:pPr>
    </w:p>
    <w:p w:rsidR="00517E70" w:rsidRPr="00DC265B" w:rsidRDefault="00517E70" w:rsidP="00203F1C">
      <w:pPr>
        <w:spacing w:line="360" w:lineRule="auto"/>
        <w:ind w:left="720"/>
        <w:jc w:val="both"/>
        <w:rPr>
          <w:b/>
        </w:rPr>
      </w:pPr>
    </w:p>
    <w:p w:rsidR="00517E70" w:rsidRDefault="00517E70" w:rsidP="00203F1C">
      <w:pPr>
        <w:spacing w:line="360" w:lineRule="auto"/>
        <w:jc w:val="both"/>
        <w:rPr>
          <w:b/>
          <w:bCs/>
        </w:rPr>
      </w:pPr>
    </w:p>
    <w:p w:rsidR="00517E70" w:rsidRPr="002F1434" w:rsidRDefault="00517E70" w:rsidP="00203F1C">
      <w:pPr>
        <w:spacing w:line="360" w:lineRule="auto"/>
        <w:jc w:val="both"/>
        <w:rPr>
          <w:b/>
          <w:bCs/>
        </w:rPr>
      </w:pPr>
    </w:p>
    <w:p w:rsidR="00517E70" w:rsidRPr="009827DE" w:rsidRDefault="00517E70" w:rsidP="00203F1C">
      <w:pPr>
        <w:autoSpaceDE w:val="0"/>
        <w:autoSpaceDN w:val="0"/>
        <w:adjustRightInd w:val="0"/>
        <w:spacing w:line="360" w:lineRule="auto"/>
        <w:jc w:val="both"/>
        <w:rPr>
          <w:b/>
          <w:bCs/>
          <w:lang w:val="en-US"/>
        </w:rPr>
      </w:pPr>
      <w:r>
        <w:rPr>
          <w:b/>
          <w:bCs/>
          <w:lang w:val="en-US"/>
        </w:rPr>
        <w:t>8. ABSTRACT</w:t>
      </w:r>
    </w:p>
    <w:p w:rsidR="00517E70" w:rsidRDefault="00517E70" w:rsidP="00203F1C">
      <w:pPr>
        <w:autoSpaceDE w:val="0"/>
        <w:autoSpaceDN w:val="0"/>
        <w:adjustRightInd w:val="0"/>
        <w:spacing w:line="360" w:lineRule="auto"/>
        <w:jc w:val="both"/>
        <w:rPr>
          <w:lang w:val="en-US"/>
        </w:rPr>
      </w:pPr>
      <w:r>
        <w:rPr>
          <w:b/>
          <w:bCs/>
          <w:lang w:val="en-US"/>
        </w:rPr>
        <w:t>Aims</w:t>
      </w:r>
      <w:r w:rsidRPr="009827DE">
        <w:rPr>
          <w:b/>
          <w:bCs/>
          <w:lang w:val="en-US"/>
        </w:rPr>
        <w:t xml:space="preserve">: </w:t>
      </w:r>
      <w:r w:rsidRPr="00B62FEB">
        <w:t>To investigate the expression of c-kit protein in salivary gland carcinomas and to correlate it to prognosis.</w:t>
      </w:r>
      <w:r w:rsidRPr="009827DE">
        <w:rPr>
          <w:lang w:val="en-US"/>
        </w:rPr>
        <w:t>To detect MYB gene break</w:t>
      </w:r>
      <w:r>
        <w:rPr>
          <w:lang w:val="en-US"/>
        </w:rPr>
        <w:t>s</w:t>
      </w:r>
      <w:r w:rsidRPr="009827DE">
        <w:rPr>
          <w:lang w:val="en-US"/>
        </w:rPr>
        <w:t xml:space="preserve"> in adenoid cystic carcinoma (ACC) of salivary glands and its correlation with prognosis and selected clinical parameters</w:t>
      </w:r>
      <w:r>
        <w:rPr>
          <w:lang w:val="en-US"/>
        </w:rPr>
        <w:t>.</w:t>
      </w:r>
    </w:p>
    <w:p w:rsidR="00517E70" w:rsidRPr="009827DE" w:rsidRDefault="00517E70" w:rsidP="00203F1C">
      <w:pPr>
        <w:autoSpaceDE w:val="0"/>
        <w:autoSpaceDN w:val="0"/>
        <w:adjustRightInd w:val="0"/>
        <w:spacing w:line="360" w:lineRule="auto"/>
        <w:jc w:val="both"/>
        <w:rPr>
          <w:lang w:val="en-US"/>
        </w:rPr>
      </w:pPr>
    </w:p>
    <w:p w:rsidR="00517E70" w:rsidRPr="00253735" w:rsidRDefault="00517E70" w:rsidP="00253735">
      <w:pPr>
        <w:autoSpaceDE w:val="0"/>
        <w:autoSpaceDN w:val="0"/>
        <w:adjustRightInd w:val="0"/>
        <w:spacing w:line="360" w:lineRule="auto"/>
      </w:pPr>
      <w:r w:rsidRPr="009827DE">
        <w:rPr>
          <w:b/>
          <w:bCs/>
          <w:lang w:val="en-US"/>
        </w:rPr>
        <w:t>Methods:</w:t>
      </w:r>
      <w:r w:rsidRPr="00253735">
        <w:rPr>
          <w:rFonts w:ascii="NewCenturySchlbkCE-Bold" w:hAnsi="NewCenturySchlbkCE-Bold" w:cs="NewCenturySchlbkCE-Bold"/>
          <w:b/>
          <w:bCs/>
          <w:sz w:val="16"/>
          <w:szCs w:val="16"/>
        </w:rPr>
        <w:t xml:space="preserve"> </w:t>
      </w:r>
      <w:r>
        <w:t>Immunohistochemistry for C-K</w:t>
      </w:r>
      <w:r w:rsidRPr="00253735">
        <w:t>it protein was performed in 33 carcinomas, using formalin-fixed paraffin-embedded</w:t>
      </w:r>
      <w:r>
        <w:t xml:space="preserve"> </w:t>
      </w:r>
      <w:r w:rsidRPr="00253735">
        <w:t>sections. For the evaluation of reactivity of tumor cells, a combination of the cytoplasmic and/or membranous</w:t>
      </w:r>
      <w:r>
        <w:t xml:space="preserve"> </w:t>
      </w:r>
      <w:r w:rsidRPr="00253735">
        <w:t>staining and the percentage of positive cells were applied. Only cases without any staining pattern were considered</w:t>
      </w:r>
      <w:r>
        <w:t xml:space="preserve"> </w:t>
      </w:r>
      <w:r w:rsidRPr="00253735">
        <w:t>negative. For prognostic correlation, univariate disease-specific survival curves were calculated by the Kaplan-Meier</w:t>
      </w:r>
      <w:r>
        <w:t xml:space="preserve"> </w:t>
      </w:r>
      <w:r w:rsidRPr="00253735">
        <w:t>method and distributions were compared using the log-rank test.</w:t>
      </w:r>
    </w:p>
    <w:p w:rsidR="00517E70" w:rsidRDefault="00517E70" w:rsidP="00203F1C">
      <w:pPr>
        <w:autoSpaceDE w:val="0"/>
        <w:autoSpaceDN w:val="0"/>
        <w:adjustRightInd w:val="0"/>
        <w:spacing w:line="360" w:lineRule="auto"/>
        <w:jc w:val="both"/>
        <w:rPr>
          <w:lang w:val="en-US"/>
        </w:rPr>
      </w:pPr>
      <w:r w:rsidRPr="009827DE">
        <w:rPr>
          <w:lang w:val="en-US"/>
        </w:rPr>
        <w:t xml:space="preserve">MYB gene break was detected by FISH assay in 23 adenoid cystic carcinomas using formalin-fixed paraffin-embedded blocks. </w:t>
      </w:r>
      <w:r w:rsidRPr="009827DE">
        <w:rPr>
          <w:color w:val="000000"/>
          <w:lang w:val="en-US"/>
        </w:rPr>
        <w:t>Prognostic calculations</w:t>
      </w:r>
      <w:r w:rsidRPr="009827DE">
        <w:rPr>
          <w:lang w:val="en-US"/>
        </w:rPr>
        <w:t xml:space="preserve"> were performed by Kaplan-Meier survival analysis.</w:t>
      </w:r>
    </w:p>
    <w:p w:rsidR="00517E70" w:rsidRPr="009827DE" w:rsidRDefault="00517E70" w:rsidP="00203F1C">
      <w:pPr>
        <w:autoSpaceDE w:val="0"/>
        <w:autoSpaceDN w:val="0"/>
        <w:adjustRightInd w:val="0"/>
        <w:spacing w:line="360" w:lineRule="auto"/>
        <w:jc w:val="both"/>
        <w:rPr>
          <w:lang w:val="en-US"/>
        </w:rPr>
      </w:pPr>
    </w:p>
    <w:p w:rsidR="00517E70" w:rsidRPr="00B62FEB" w:rsidRDefault="00517E70" w:rsidP="00203F1C">
      <w:pPr>
        <w:spacing w:line="360" w:lineRule="auto"/>
        <w:jc w:val="both"/>
      </w:pPr>
      <w:r w:rsidRPr="009827DE">
        <w:rPr>
          <w:b/>
          <w:bCs/>
          <w:lang w:val="en-US"/>
        </w:rPr>
        <w:t xml:space="preserve">Results: </w:t>
      </w:r>
      <w:r w:rsidRPr="00B62FEB">
        <w:t>Of all 33 cases, only 7 were c-kit negative, including 3 low-grade mucoepidermoid carcinomas, 2 carcinomas</w:t>
      </w:r>
      <w:r>
        <w:t xml:space="preserve"> </w:t>
      </w:r>
      <w:r w:rsidRPr="00B62FEB">
        <w:t>ex pleomorphic adenoma and 1 secretory carcinoma and 1 low-grade cribriform cystadenocarcinoma. The group of 26</w:t>
      </w:r>
      <w:r>
        <w:t xml:space="preserve"> </w:t>
      </w:r>
      <w:r w:rsidRPr="00B62FEB">
        <w:t>(i.e. 79 %) positive tumors was dominated by 9 adenoid cystic carcinomas (all but one revealing strong reaction), followed</w:t>
      </w:r>
    </w:p>
    <w:p w:rsidR="00517E70" w:rsidRDefault="00517E70" w:rsidP="00203F1C">
      <w:pPr>
        <w:spacing w:line="360" w:lineRule="auto"/>
        <w:jc w:val="both"/>
      </w:pPr>
      <w:r w:rsidRPr="00B62FEB">
        <w:t>by 5 acinic cell, 3 each mucoepidermoid and salivary duct carcinoma, 2 carcinomas ex pleomorphic adenoma and</w:t>
      </w:r>
      <w:r>
        <w:t xml:space="preserve"> </w:t>
      </w:r>
      <w:r w:rsidRPr="00B62FEB">
        <w:t>4 other tumors, in which positive staining ranged from 50-100 %, with the immunoreaction varying from weak to</w:t>
      </w:r>
      <w:r>
        <w:t xml:space="preserve"> </w:t>
      </w:r>
      <w:r w:rsidRPr="00B62FEB">
        <w:t>strong. Disease specific survival in c-kit negative (n=7) carcinomas did not differ from that in positive (n=26) cases.</w:t>
      </w:r>
    </w:p>
    <w:p w:rsidR="00517E70" w:rsidRPr="00B62FEB" w:rsidRDefault="00517E70" w:rsidP="00203F1C">
      <w:pPr>
        <w:spacing w:line="360" w:lineRule="auto"/>
        <w:jc w:val="both"/>
      </w:pPr>
      <w:r>
        <w:t xml:space="preserve"> </w:t>
      </w:r>
      <w:r>
        <w:rPr>
          <w:color w:val="000000"/>
          <w:lang w:val="en-US"/>
        </w:rPr>
        <w:t>Fifteen of 23 evaluated adenoid cystic carcinomas</w:t>
      </w:r>
      <w:r w:rsidRPr="009827DE">
        <w:rPr>
          <w:color w:val="000000"/>
          <w:lang w:val="en-US"/>
        </w:rPr>
        <w:t xml:space="preserve"> were MYB positive and 8 MYB negative.</w:t>
      </w:r>
      <w:r w:rsidRPr="009827DE">
        <w:rPr>
          <w:b/>
          <w:bCs/>
          <w:color w:val="000000"/>
          <w:lang w:val="en-US"/>
        </w:rPr>
        <w:t xml:space="preserve"> </w:t>
      </w:r>
      <w:r w:rsidRPr="009827DE">
        <w:rPr>
          <w:rFonts w:ascii="new times roman" w:hAnsi="new times roman" w:cs="NewCenturySchlbkCE-Roman"/>
          <w:color w:val="000000"/>
          <w:lang w:val="en-US"/>
        </w:rPr>
        <w:t>The 10-year cumulative survival, respectively disease free interval, was 60</w:t>
      </w:r>
      <w:r>
        <w:rPr>
          <w:rFonts w:ascii="new times roman" w:hAnsi="new times roman" w:cs="NewCenturySchlbkCE-Roman"/>
          <w:color w:val="000000"/>
          <w:lang w:val="en-US"/>
        </w:rPr>
        <w:t>.0</w:t>
      </w:r>
      <w:r w:rsidRPr="009827DE">
        <w:rPr>
          <w:rFonts w:ascii="new times roman" w:hAnsi="new times roman" w:cs="NewCenturySchlbkCE-Roman"/>
          <w:color w:val="000000"/>
          <w:lang w:val="en-US"/>
        </w:rPr>
        <w:t>%, respectively 59.3%, in MYB positive patients and 88.5%, respectively 80.0%, in MYB negative patients (long rank test, p=0.23). We also found insignificant differences in age, gender, perineural invasion, presence of hematogenic or nodal metastases, and degree of histopathologic grading between MYB positive and MYB negative patients.</w:t>
      </w:r>
    </w:p>
    <w:p w:rsidR="00517E70" w:rsidRDefault="00517E70" w:rsidP="00203F1C">
      <w:pPr>
        <w:spacing w:line="360" w:lineRule="auto"/>
        <w:jc w:val="both"/>
        <w:rPr>
          <w:b/>
          <w:bCs/>
          <w:color w:val="000000"/>
          <w:lang w:val="en-US"/>
        </w:rPr>
      </w:pPr>
    </w:p>
    <w:p w:rsidR="00517E70" w:rsidRDefault="00517E70" w:rsidP="00203F1C">
      <w:pPr>
        <w:spacing w:line="360" w:lineRule="auto"/>
        <w:jc w:val="both"/>
        <w:rPr>
          <w:b/>
          <w:bCs/>
          <w:color w:val="000000"/>
          <w:lang w:val="en-US"/>
        </w:rPr>
      </w:pPr>
    </w:p>
    <w:p w:rsidR="00517E70" w:rsidRDefault="00517E70" w:rsidP="00203F1C">
      <w:pPr>
        <w:spacing w:line="360" w:lineRule="auto"/>
        <w:jc w:val="both"/>
        <w:rPr>
          <w:b/>
          <w:bCs/>
          <w:color w:val="000000"/>
          <w:lang w:val="en-US"/>
        </w:rPr>
      </w:pPr>
    </w:p>
    <w:p w:rsidR="00517E70" w:rsidRDefault="00517E70" w:rsidP="00203F1C">
      <w:pPr>
        <w:spacing w:line="360" w:lineRule="auto"/>
        <w:jc w:val="both"/>
        <w:rPr>
          <w:b/>
          <w:bCs/>
          <w:color w:val="000000"/>
          <w:lang w:val="en-US"/>
        </w:rPr>
      </w:pPr>
    </w:p>
    <w:p w:rsidR="00517E70" w:rsidRDefault="00517E70" w:rsidP="00203F1C">
      <w:pPr>
        <w:spacing w:line="360" w:lineRule="auto"/>
        <w:jc w:val="both"/>
        <w:rPr>
          <w:b/>
          <w:bCs/>
          <w:color w:val="000000"/>
          <w:lang w:val="en-US"/>
        </w:rPr>
      </w:pPr>
    </w:p>
    <w:p w:rsidR="00517E70" w:rsidRDefault="00517E70" w:rsidP="00203F1C">
      <w:pPr>
        <w:spacing w:line="360" w:lineRule="auto"/>
        <w:jc w:val="both"/>
        <w:rPr>
          <w:b/>
          <w:bCs/>
          <w:color w:val="000000"/>
          <w:lang w:val="en-US"/>
        </w:rPr>
      </w:pPr>
    </w:p>
    <w:p w:rsidR="00517E70" w:rsidRDefault="00517E70" w:rsidP="00203F1C">
      <w:pPr>
        <w:spacing w:line="360" w:lineRule="auto"/>
        <w:jc w:val="both"/>
        <w:rPr>
          <w:b/>
          <w:bCs/>
          <w:color w:val="000000"/>
          <w:lang w:val="en-US"/>
        </w:rPr>
      </w:pPr>
    </w:p>
    <w:p w:rsidR="00517E70" w:rsidRDefault="00517E70" w:rsidP="00203F1C">
      <w:pPr>
        <w:spacing w:line="360" w:lineRule="auto"/>
        <w:jc w:val="both"/>
      </w:pPr>
      <w:r w:rsidRPr="009827DE">
        <w:rPr>
          <w:b/>
          <w:bCs/>
          <w:color w:val="000000"/>
          <w:lang w:val="en-US"/>
        </w:rPr>
        <w:t>Conclusion</w:t>
      </w:r>
      <w:r>
        <w:rPr>
          <w:b/>
          <w:bCs/>
          <w:color w:val="000000"/>
          <w:lang w:val="en-US"/>
        </w:rPr>
        <w:t>s</w:t>
      </w:r>
      <w:r w:rsidRPr="009827DE">
        <w:rPr>
          <w:b/>
          <w:bCs/>
          <w:color w:val="000000"/>
          <w:lang w:val="en-US"/>
        </w:rPr>
        <w:t xml:space="preserve">: </w:t>
      </w:r>
      <w:r w:rsidRPr="00B62FEB">
        <w:t>Of all salivary gland carcinomas, only adenoid cystic carcinoma was reg</w:t>
      </w:r>
      <w:r>
        <w:t>ularly associated with strong C-K</w:t>
      </w:r>
      <w:r w:rsidRPr="00B62FEB">
        <w:t>it</w:t>
      </w:r>
      <w:r>
        <w:t xml:space="preserve"> </w:t>
      </w:r>
      <w:r w:rsidRPr="00B62FEB">
        <w:t>expression. Immunoreactivity in other subtypes, considering our as well as published data, greatly varies. C-kit expression</w:t>
      </w:r>
      <w:r>
        <w:t xml:space="preserve"> </w:t>
      </w:r>
      <w:r w:rsidRPr="00B62FEB">
        <w:t>harbors no significant prognostic information.</w:t>
      </w:r>
      <w:r>
        <w:t xml:space="preserve"> </w:t>
      </w:r>
    </w:p>
    <w:p w:rsidR="00517E70" w:rsidRPr="00CA6C04" w:rsidRDefault="00517E70" w:rsidP="00203F1C">
      <w:pPr>
        <w:spacing w:line="360" w:lineRule="auto"/>
        <w:jc w:val="both"/>
      </w:pPr>
      <w:r w:rsidRPr="009827DE">
        <w:rPr>
          <w:bCs/>
          <w:iCs/>
          <w:color w:val="000000"/>
          <w:lang w:val="en-US"/>
        </w:rPr>
        <w:t>We have demonstrated a tendency towards difference in the survival among patients with ACC, depending on their MYB status. MYB negative patients are predisposed to better prognosis.</w:t>
      </w:r>
    </w:p>
    <w:p w:rsidR="00517E70" w:rsidRPr="009827DE" w:rsidRDefault="00517E70" w:rsidP="00203F1C">
      <w:pPr>
        <w:autoSpaceDE w:val="0"/>
        <w:autoSpaceDN w:val="0"/>
        <w:adjustRightInd w:val="0"/>
        <w:spacing w:line="360" w:lineRule="auto"/>
        <w:jc w:val="both"/>
        <w:rPr>
          <w:bCs/>
          <w:iCs/>
          <w:color w:val="000000"/>
          <w:lang w:val="en-US"/>
        </w:rPr>
      </w:pPr>
    </w:p>
    <w:p w:rsidR="00517E70" w:rsidRPr="0032059F" w:rsidRDefault="00517E70" w:rsidP="00203F1C">
      <w:pPr>
        <w:spacing w:line="360" w:lineRule="auto"/>
        <w:jc w:val="both"/>
        <w:rPr>
          <w:lang w:val="en-US"/>
        </w:rPr>
      </w:pPr>
      <w:r w:rsidRPr="009827DE">
        <w:rPr>
          <w:b/>
          <w:bCs/>
          <w:iCs/>
          <w:lang w:val="en-US"/>
        </w:rPr>
        <w:t xml:space="preserve">Key words: </w:t>
      </w:r>
      <w:r w:rsidRPr="009827DE">
        <w:rPr>
          <w:b/>
          <w:bCs/>
          <w:i/>
          <w:iCs/>
          <w:lang w:val="en-US"/>
        </w:rPr>
        <w:t xml:space="preserve"> </w:t>
      </w:r>
      <w:r w:rsidRPr="009827DE">
        <w:rPr>
          <w:lang w:val="en-US"/>
        </w:rPr>
        <w:t xml:space="preserve">adenoid cystic carcinoma, </w:t>
      </w:r>
      <w:r>
        <w:rPr>
          <w:lang w:val="en-US"/>
        </w:rPr>
        <w:t xml:space="preserve">C kit oncoprotein, </w:t>
      </w:r>
      <w:r w:rsidRPr="009827DE">
        <w:rPr>
          <w:lang w:val="en-US"/>
        </w:rPr>
        <w:t>MYB gene, salivary gland, prognosis</w:t>
      </w: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pStyle w:val="ListParagraph"/>
        <w:spacing w:line="360" w:lineRule="auto"/>
        <w:jc w:val="both"/>
        <w:rPr>
          <w:b/>
        </w:rPr>
      </w:pPr>
    </w:p>
    <w:p w:rsidR="00517E70" w:rsidRDefault="00517E70" w:rsidP="00203F1C">
      <w:pPr>
        <w:spacing w:line="360" w:lineRule="auto"/>
        <w:jc w:val="both"/>
      </w:pPr>
    </w:p>
    <w:p w:rsidR="00517E70" w:rsidRDefault="00517E70" w:rsidP="00203F1C">
      <w:pPr>
        <w:spacing w:line="360" w:lineRule="auto"/>
        <w:ind w:firstLine="284"/>
        <w:jc w:val="both"/>
        <w:rPr>
          <w:b/>
        </w:rPr>
      </w:pPr>
      <w:r>
        <w:rPr>
          <w:b/>
        </w:rPr>
        <w:t xml:space="preserve">9. </w:t>
      </w:r>
      <w:r w:rsidRPr="00C64E82">
        <w:rPr>
          <w:b/>
        </w:rPr>
        <w:t xml:space="preserve"> PODĚKOVÁNÍ</w:t>
      </w:r>
    </w:p>
    <w:p w:rsidR="00517E70" w:rsidRDefault="00517E70" w:rsidP="00203F1C">
      <w:pPr>
        <w:spacing w:line="360" w:lineRule="auto"/>
        <w:ind w:firstLine="284"/>
        <w:jc w:val="both"/>
        <w:rPr>
          <w:b/>
        </w:rPr>
      </w:pPr>
    </w:p>
    <w:p w:rsidR="00517E70" w:rsidRDefault="00517E70" w:rsidP="00203F1C">
      <w:pPr>
        <w:spacing w:line="360" w:lineRule="auto"/>
        <w:ind w:firstLine="284"/>
        <w:jc w:val="both"/>
      </w:pPr>
      <w:r w:rsidRPr="00A45DDA">
        <w:t>Děkuji svému školiteli</w:t>
      </w:r>
      <w:r>
        <w:rPr>
          <w:b/>
        </w:rPr>
        <w:t xml:space="preserve"> </w:t>
      </w:r>
      <w:r>
        <w:t>Prof. MUDr. Ivo Stárkovi, CSc., za cenné rady a připomínky při psaní práce.</w:t>
      </w:r>
    </w:p>
    <w:p w:rsidR="00517E70" w:rsidRDefault="00517E70" w:rsidP="00A45DDA">
      <w:pPr>
        <w:spacing w:line="360" w:lineRule="auto"/>
        <w:jc w:val="both"/>
      </w:pPr>
      <w:r>
        <w:t xml:space="preserve">  Za pomoc při statistickém zpracování dat děkuji MUDr. Richardovi Salzmanovi, PhD .</w:t>
      </w: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Default="00517E70" w:rsidP="00203F1C">
      <w:pPr>
        <w:spacing w:line="360" w:lineRule="auto"/>
        <w:ind w:firstLine="284"/>
        <w:jc w:val="both"/>
      </w:pPr>
    </w:p>
    <w:p w:rsidR="00517E70" w:rsidRPr="00106CDE" w:rsidRDefault="00517E70" w:rsidP="00203F1C">
      <w:pPr>
        <w:spacing w:line="360" w:lineRule="auto"/>
        <w:ind w:firstLine="284"/>
        <w:jc w:val="both"/>
        <w:rPr>
          <w:b/>
          <w:bCs/>
        </w:rPr>
      </w:pPr>
    </w:p>
    <w:sectPr w:rsidR="00517E70" w:rsidRPr="00106CDE" w:rsidSect="00CE7A17">
      <w:headerReference w:type="even" r:id="rId37"/>
      <w:headerReference w:type="default" r:id="rId3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E70" w:rsidRDefault="00517E70">
      <w:r>
        <w:separator/>
      </w:r>
    </w:p>
  </w:endnote>
  <w:endnote w:type="continuationSeparator" w:id="0">
    <w:p w:rsidR="00517E70" w:rsidRDefault="00517E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MS Mincho">
    <w:altName w:val="Arial Unicode MS"/>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 w:name="new times roman">
    <w:altName w:val="Times New Roman"/>
    <w:panose1 w:val="00000000000000000000"/>
    <w:charset w:val="00"/>
    <w:family w:val="roman"/>
    <w:notTrueType/>
    <w:pitch w:val="default"/>
    <w:sig w:usb0="00000003" w:usb1="00000000" w:usb2="00000000" w:usb3="00000000" w:csb0="00000001" w:csb1="00000000"/>
  </w:font>
  <w:font w:name="NewCenturySchlbkCE-Bold">
    <w:panose1 w:val="00000000000000000000"/>
    <w:charset w:val="EE"/>
    <w:family w:val="auto"/>
    <w:notTrueType/>
    <w:pitch w:val="default"/>
    <w:sig w:usb0="00000005" w:usb1="00000000" w:usb2="00000000" w:usb3="00000000" w:csb0="00000002" w:csb1="00000000"/>
  </w:font>
  <w:font w:name="NewCenturySchlbkCE-Roman">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20002A87" w:usb1="8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Melior-R">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E70" w:rsidRDefault="00517E70">
      <w:r>
        <w:separator/>
      </w:r>
    </w:p>
  </w:footnote>
  <w:footnote w:type="continuationSeparator" w:id="0">
    <w:p w:rsidR="00517E70" w:rsidRDefault="00517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70" w:rsidRDefault="00517E70" w:rsidP="00CE7A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7E70" w:rsidRDefault="00517E70" w:rsidP="00055AF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70" w:rsidRDefault="00517E70" w:rsidP="00CE7A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517E70" w:rsidRDefault="00517E70" w:rsidP="00055AF2">
    <w:pPr>
      <w:pStyle w:val="Header"/>
      <w:ind w:right="360"/>
    </w:pPr>
  </w:p>
  <w:p w:rsidR="00517E70" w:rsidRDefault="00517E70" w:rsidP="00055AF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356CB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DABF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E90731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3D2C08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E7C24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B5059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CABB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D6E72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46255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BAC7956"/>
    <w:lvl w:ilvl="0">
      <w:start w:val="1"/>
      <w:numFmt w:val="bullet"/>
      <w:lvlText w:val=""/>
      <w:lvlJc w:val="left"/>
      <w:pPr>
        <w:tabs>
          <w:tab w:val="num" w:pos="360"/>
        </w:tabs>
        <w:ind w:left="360" w:hanging="360"/>
      </w:pPr>
      <w:rPr>
        <w:rFonts w:ascii="Symbol" w:hAnsi="Symbol" w:hint="default"/>
      </w:rPr>
    </w:lvl>
  </w:abstractNum>
  <w:abstractNum w:abstractNumId="10">
    <w:nsid w:val="017D4139"/>
    <w:multiLevelType w:val="multilevel"/>
    <w:tmpl w:val="D384EC24"/>
    <w:lvl w:ilvl="0">
      <w:start w:val="4"/>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9"/>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1">
    <w:nsid w:val="0275041F"/>
    <w:multiLevelType w:val="hybridMultilevel"/>
    <w:tmpl w:val="AFFE54DE"/>
    <w:lvl w:ilvl="0" w:tplc="04050017">
      <w:start w:val="3"/>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03102EF3"/>
    <w:multiLevelType w:val="hybridMultilevel"/>
    <w:tmpl w:val="5E0C6720"/>
    <w:lvl w:ilvl="0" w:tplc="AD6C9A50">
      <w:start w:val="1"/>
      <w:numFmt w:val="decimal"/>
      <w:lvlText w:val="%1."/>
      <w:lvlJc w:val="left"/>
      <w:pPr>
        <w:tabs>
          <w:tab w:val="num" w:pos="1440"/>
        </w:tabs>
        <w:ind w:left="1440" w:hanging="360"/>
      </w:pPr>
      <w:rPr>
        <w:rFonts w:cs="Times New Roman" w:hint="default"/>
        <w:b w:val="0"/>
      </w:rPr>
    </w:lvl>
    <w:lvl w:ilvl="1" w:tplc="04050019" w:tentative="1">
      <w:start w:val="1"/>
      <w:numFmt w:val="lowerLetter"/>
      <w:lvlText w:val="%2."/>
      <w:lvlJc w:val="left"/>
      <w:pPr>
        <w:tabs>
          <w:tab w:val="num" w:pos="2160"/>
        </w:tabs>
        <w:ind w:left="2160" w:hanging="360"/>
      </w:pPr>
      <w:rPr>
        <w:rFonts w:cs="Times New Roman"/>
      </w:rPr>
    </w:lvl>
    <w:lvl w:ilvl="2" w:tplc="0405001B" w:tentative="1">
      <w:start w:val="1"/>
      <w:numFmt w:val="lowerRoman"/>
      <w:lvlText w:val="%3."/>
      <w:lvlJc w:val="right"/>
      <w:pPr>
        <w:tabs>
          <w:tab w:val="num" w:pos="2880"/>
        </w:tabs>
        <w:ind w:left="2880" w:hanging="180"/>
      </w:pPr>
      <w:rPr>
        <w:rFonts w:cs="Times New Roman"/>
      </w:rPr>
    </w:lvl>
    <w:lvl w:ilvl="3" w:tplc="0405000F" w:tentative="1">
      <w:start w:val="1"/>
      <w:numFmt w:val="decimal"/>
      <w:lvlText w:val="%4."/>
      <w:lvlJc w:val="left"/>
      <w:pPr>
        <w:tabs>
          <w:tab w:val="num" w:pos="3600"/>
        </w:tabs>
        <w:ind w:left="3600" w:hanging="360"/>
      </w:pPr>
      <w:rPr>
        <w:rFonts w:cs="Times New Roman"/>
      </w:rPr>
    </w:lvl>
    <w:lvl w:ilvl="4" w:tplc="04050019" w:tentative="1">
      <w:start w:val="1"/>
      <w:numFmt w:val="lowerLetter"/>
      <w:lvlText w:val="%5."/>
      <w:lvlJc w:val="left"/>
      <w:pPr>
        <w:tabs>
          <w:tab w:val="num" w:pos="4320"/>
        </w:tabs>
        <w:ind w:left="4320" w:hanging="360"/>
      </w:pPr>
      <w:rPr>
        <w:rFonts w:cs="Times New Roman"/>
      </w:rPr>
    </w:lvl>
    <w:lvl w:ilvl="5" w:tplc="0405001B" w:tentative="1">
      <w:start w:val="1"/>
      <w:numFmt w:val="lowerRoman"/>
      <w:lvlText w:val="%6."/>
      <w:lvlJc w:val="right"/>
      <w:pPr>
        <w:tabs>
          <w:tab w:val="num" w:pos="5040"/>
        </w:tabs>
        <w:ind w:left="5040" w:hanging="180"/>
      </w:pPr>
      <w:rPr>
        <w:rFonts w:cs="Times New Roman"/>
      </w:rPr>
    </w:lvl>
    <w:lvl w:ilvl="6" w:tplc="0405000F" w:tentative="1">
      <w:start w:val="1"/>
      <w:numFmt w:val="decimal"/>
      <w:lvlText w:val="%7."/>
      <w:lvlJc w:val="left"/>
      <w:pPr>
        <w:tabs>
          <w:tab w:val="num" w:pos="5760"/>
        </w:tabs>
        <w:ind w:left="5760" w:hanging="360"/>
      </w:pPr>
      <w:rPr>
        <w:rFonts w:cs="Times New Roman"/>
      </w:rPr>
    </w:lvl>
    <w:lvl w:ilvl="7" w:tplc="04050019" w:tentative="1">
      <w:start w:val="1"/>
      <w:numFmt w:val="lowerLetter"/>
      <w:lvlText w:val="%8."/>
      <w:lvlJc w:val="left"/>
      <w:pPr>
        <w:tabs>
          <w:tab w:val="num" w:pos="6480"/>
        </w:tabs>
        <w:ind w:left="6480" w:hanging="360"/>
      </w:pPr>
      <w:rPr>
        <w:rFonts w:cs="Times New Roman"/>
      </w:rPr>
    </w:lvl>
    <w:lvl w:ilvl="8" w:tplc="0405001B" w:tentative="1">
      <w:start w:val="1"/>
      <w:numFmt w:val="lowerRoman"/>
      <w:lvlText w:val="%9."/>
      <w:lvlJc w:val="right"/>
      <w:pPr>
        <w:tabs>
          <w:tab w:val="num" w:pos="7200"/>
        </w:tabs>
        <w:ind w:left="7200" w:hanging="180"/>
      </w:pPr>
      <w:rPr>
        <w:rFonts w:cs="Times New Roman"/>
      </w:rPr>
    </w:lvl>
  </w:abstractNum>
  <w:abstractNum w:abstractNumId="13">
    <w:nsid w:val="05D61749"/>
    <w:multiLevelType w:val="hybridMultilevel"/>
    <w:tmpl w:val="239C6F6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nsid w:val="08D92CEC"/>
    <w:multiLevelType w:val="hybridMultilevel"/>
    <w:tmpl w:val="C7B068F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0A8A0670"/>
    <w:multiLevelType w:val="multilevel"/>
    <w:tmpl w:val="CA5A75B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25393B11"/>
    <w:multiLevelType w:val="multilevel"/>
    <w:tmpl w:val="CA5A75B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25601ACA"/>
    <w:multiLevelType w:val="hybridMultilevel"/>
    <w:tmpl w:val="CCA8C58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2978214C"/>
    <w:multiLevelType w:val="hybridMultilevel"/>
    <w:tmpl w:val="4DC02948"/>
    <w:lvl w:ilvl="0" w:tplc="04050017">
      <w:start w:val="7"/>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351B0CF8"/>
    <w:multiLevelType w:val="hybridMultilevel"/>
    <w:tmpl w:val="391C4DF6"/>
    <w:lvl w:ilvl="0" w:tplc="4BC41D4C">
      <w:start w:val="1"/>
      <w:numFmt w:val="decimal"/>
      <w:lvlText w:val="%1."/>
      <w:lvlJc w:val="left"/>
      <w:pPr>
        <w:tabs>
          <w:tab w:val="num" w:pos="1440"/>
        </w:tabs>
        <w:ind w:left="1440" w:hanging="360"/>
      </w:pPr>
      <w:rPr>
        <w:rFonts w:cs="Times New Roman" w:hint="default"/>
      </w:rPr>
    </w:lvl>
    <w:lvl w:ilvl="1" w:tplc="04050019" w:tentative="1">
      <w:start w:val="1"/>
      <w:numFmt w:val="lowerLetter"/>
      <w:lvlText w:val="%2."/>
      <w:lvlJc w:val="left"/>
      <w:pPr>
        <w:tabs>
          <w:tab w:val="num" w:pos="2160"/>
        </w:tabs>
        <w:ind w:left="2160" w:hanging="360"/>
      </w:pPr>
      <w:rPr>
        <w:rFonts w:cs="Times New Roman"/>
      </w:rPr>
    </w:lvl>
    <w:lvl w:ilvl="2" w:tplc="0405001B" w:tentative="1">
      <w:start w:val="1"/>
      <w:numFmt w:val="lowerRoman"/>
      <w:lvlText w:val="%3."/>
      <w:lvlJc w:val="right"/>
      <w:pPr>
        <w:tabs>
          <w:tab w:val="num" w:pos="2880"/>
        </w:tabs>
        <w:ind w:left="2880" w:hanging="180"/>
      </w:pPr>
      <w:rPr>
        <w:rFonts w:cs="Times New Roman"/>
      </w:rPr>
    </w:lvl>
    <w:lvl w:ilvl="3" w:tplc="0405000F" w:tentative="1">
      <w:start w:val="1"/>
      <w:numFmt w:val="decimal"/>
      <w:lvlText w:val="%4."/>
      <w:lvlJc w:val="left"/>
      <w:pPr>
        <w:tabs>
          <w:tab w:val="num" w:pos="3600"/>
        </w:tabs>
        <w:ind w:left="3600" w:hanging="360"/>
      </w:pPr>
      <w:rPr>
        <w:rFonts w:cs="Times New Roman"/>
      </w:rPr>
    </w:lvl>
    <w:lvl w:ilvl="4" w:tplc="04050019" w:tentative="1">
      <w:start w:val="1"/>
      <w:numFmt w:val="lowerLetter"/>
      <w:lvlText w:val="%5."/>
      <w:lvlJc w:val="left"/>
      <w:pPr>
        <w:tabs>
          <w:tab w:val="num" w:pos="4320"/>
        </w:tabs>
        <w:ind w:left="4320" w:hanging="360"/>
      </w:pPr>
      <w:rPr>
        <w:rFonts w:cs="Times New Roman"/>
      </w:rPr>
    </w:lvl>
    <w:lvl w:ilvl="5" w:tplc="0405001B" w:tentative="1">
      <w:start w:val="1"/>
      <w:numFmt w:val="lowerRoman"/>
      <w:lvlText w:val="%6."/>
      <w:lvlJc w:val="right"/>
      <w:pPr>
        <w:tabs>
          <w:tab w:val="num" w:pos="5040"/>
        </w:tabs>
        <w:ind w:left="5040" w:hanging="180"/>
      </w:pPr>
      <w:rPr>
        <w:rFonts w:cs="Times New Roman"/>
      </w:rPr>
    </w:lvl>
    <w:lvl w:ilvl="6" w:tplc="0405000F" w:tentative="1">
      <w:start w:val="1"/>
      <w:numFmt w:val="decimal"/>
      <w:lvlText w:val="%7."/>
      <w:lvlJc w:val="left"/>
      <w:pPr>
        <w:tabs>
          <w:tab w:val="num" w:pos="5760"/>
        </w:tabs>
        <w:ind w:left="5760" w:hanging="360"/>
      </w:pPr>
      <w:rPr>
        <w:rFonts w:cs="Times New Roman"/>
      </w:rPr>
    </w:lvl>
    <w:lvl w:ilvl="7" w:tplc="04050019" w:tentative="1">
      <w:start w:val="1"/>
      <w:numFmt w:val="lowerLetter"/>
      <w:lvlText w:val="%8."/>
      <w:lvlJc w:val="left"/>
      <w:pPr>
        <w:tabs>
          <w:tab w:val="num" w:pos="6480"/>
        </w:tabs>
        <w:ind w:left="6480" w:hanging="360"/>
      </w:pPr>
      <w:rPr>
        <w:rFonts w:cs="Times New Roman"/>
      </w:rPr>
    </w:lvl>
    <w:lvl w:ilvl="8" w:tplc="0405001B" w:tentative="1">
      <w:start w:val="1"/>
      <w:numFmt w:val="lowerRoman"/>
      <w:lvlText w:val="%9."/>
      <w:lvlJc w:val="right"/>
      <w:pPr>
        <w:tabs>
          <w:tab w:val="num" w:pos="7200"/>
        </w:tabs>
        <w:ind w:left="7200" w:hanging="180"/>
      </w:pPr>
      <w:rPr>
        <w:rFonts w:cs="Times New Roman"/>
      </w:rPr>
    </w:lvl>
  </w:abstractNum>
  <w:abstractNum w:abstractNumId="20">
    <w:nsid w:val="378348A2"/>
    <w:multiLevelType w:val="hybridMultilevel"/>
    <w:tmpl w:val="8AD822DE"/>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3B503351"/>
    <w:multiLevelType w:val="hybridMultilevel"/>
    <w:tmpl w:val="1916C814"/>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2">
    <w:nsid w:val="43CE6E6E"/>
    <w:multiLevelType w:val="hybridMultilevel"/>
    <w:tmpl w:val="A482BD0A"/>
    <w:lvl w:ilvl="0" w:tplc="AAB8D3A2">
      <w:start w:val="6"/>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4E9B4A39"/>
    <w:multiLevelType w:val="hybridMultilevel"/>
    <w:tmpl w:val="18FE077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53290A61"/>
    <w:multiLevelType w:val="multilevel"/>
    <w:tmpl w:val="D50E2B3A"/>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ED85F43"/>
    <w:multiLevelType w:val="multilevel"/>
    <w:tmpl w:val="3822F1B6"/>
    <w:lvl w:ilvl="0">
      <w:start w:val="1"/>
      <w:numFmt w:val="decimal"/>
      <w:lvlText w:val="%1."/>
      <w:lvlJc w:val="left"/>
      <w:pPr>
        <w:ind w:left="720" w:hanging="360"/>
      </w:pPr>
      <w:rPr>
        <w:rFonts w:cs="Times New Roman" w:hint="default"/>
      </w:rPr>
    </w:lvl>
    <w:lvl w:ilvl="1">
      <w:start w:val="2"/>
      <w:numFmt w:val="decimal"/>
      <w:isLgl/>
      <w:lvlText w:val="%1.%2"/>
      <w:lvlJc w:val="left"/>
      <w:pPr>
        <w:tabs>
          <w:tab w:val="num" w:pos="1275"/>
        </w:tabs>
        <w:ind w:left="1275" w:hanging="555"/>
      </w:pPr>
      <w:rPr>
        <w:rFonts w:cs="Times New Roman" w:hint="default"/>
      </w:rPr>
    </w:lvl>
    <w:lvl w:ilvl="2">
      <w:start w:val="8"/>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26">
    <w:nsid w:val="5F8F4CD3"/>
    <w:multiLevelType w:val="hybridMultilevel"/>
    <w:tmpl w:val="B4721CC2"/>
    <w:lvl w:ilvl="0" w:tplc="8A5463B6">
      <w:start w:val="1"/>
      <w:numFmt w:val="decimal"/>
      <w:lvlText w:val="%1."/>
      <w:lvlJc w:val="left"/>
      <w:pPr>
        <w:tabs>
          <w:tab w:val="num" w:pos="2640"/>
        </w:tabs>
        <w:ind w:left="2640" w:hanging="360"/>
      </w:pPr>
      <w:rPr>
        <w:rFonts w:cs="Times New Roman" w:hint="default"/>
        <w:b/>
        <w:color w:val="auto"/>
      </w:rPr>
    </w:lvl>
    <w:lvl w:ilvl="1" w:tplc="0405000B">
      <w:start w:val="1"/>
      <w:numFmt w:val="bullet"/>
      <w:lvlText w:val=""/>
      <w:lvlJc w:val="left"/>
      <w:pPr>
        <w:tabs>
          <w:tab w:val="num" w:pos="3000"/>
        </w:tabs>
        <w:ind w:left="3000" w:hanging="360"/>
      </w:pPr>
      <w:rPr>
        <w:rFonts w:ascii="Wingdings" w:hAnsi="Wingdings" w:hint="default"/>
        <w:b/>
        <w:color w:val="auto"/>
      </w:rPr>
    </w:lvl>
    <w:lvl w:ilvl="2" w:tplc="0405001B">
      <w:start w:val="1"/>
      <w:numFmt w:val="lowerRoman"/>
      <w:lvlText w:val="%3."/>
      <w:lvlJc w:val="right"/>
      <w:pPr>
        <w:tabs>
          <w:tab w:val="num" w:pos="3720"/>
        </w:tabs>
        <w:ind w:left="3720" w:hanging="180"/>
      </w:pPr>
      <w:rPr>
        <w:rFonts w:cs="Times New Roman"/>
      </w:rPr>
    </w:lvl>
    <w:lvl w:ilvl="3" w:tplc="0405000F" w:tentative="1">
      <w:start w:val="1"/>
      <w:numFmt w:val="decimal"/>
      <w:lvlText w:val="%4."/>
      <w:lvlJc w:val="left"/>
      <w:pPr>
        <w:tabs>
          <w:tab w:val="num" w:pos="4440"/>
        </w:tabs>
        <w:ind w:left="4440" w:hanging="360"/>
      </w:pPr>
      <w:rPr>
        <w:rFonts w:cs="Times New Roman"/>
      </w:rPr>
    </w:lvl>
    <w:lvl w:ilvl="4" w:tplc="04050019" w:tentative="1">
      <w:start w:val="1"/>
      <w:numFmt w:val="lowerLetter"/>
      <w:lvlText w:val="%5."/>
      <w:lvlJc w:val="left"/>
      <w:pPr>
        <w:tabs>
          <w:tab w:val="num" w:pos="5160"/>
        </w:tabs>
        <w:ind w:left="5160" w:hanging="360"/>
      </w:pPr>
      <w:rPr>
        <w:rFonts w:cs="Times New Roman"/>
      </w:rPr>
    </w:lvl>
    <w:lvl w:ilvl="5" w:tplc="0405001B" w:tentative="1">
      <w:start w:val="1"/>
      <w:numFmt w:val="lowerRoman"/>
      <w:lvlText w:val="%6."/>
      <w:lvlJc w:val="right"/>
      <w:pPr>
        <w:tabs>
          <w:tab w:val="num" w:pos="5880"/>
        </w:tabs>
        <w:ind w:left="5880" w:hanging="180"/>
      </w:pPr>
      <w:rPr>
        <w:rFonts w:cs="Times New Roman"/>
      </w:rPr>
    </w:lvl>
    <w:lvl w:ilvl="6" w:tplc="0405000F" w:tentative="1">
      <w:start w:val="1"/>
      <w:numFmt w:val="decimal"/>
      <w:lvlText w:val="%7."/>
      <w:lvlJc w:val="left"/>
      <w:pPr>
        <w:tabs>
          <w:tab w:val="num" w:pos="6600"/>
        </w:tabs>
        <w:ind w:left="6600" w:hanging="360"/>
      </w:pPr>
      <w:rPr>
        <w:rFonts w:cs="Times New Roman"/>
      </w:rPr>
    </w:lvl>
    <w:lvl w:ilvl="7" w:tplc="04050019" w:tentative="1">
      <w:start w:val="1"/>
      <w:numFmt w:val="lowerLetter"/>
      <w:lvlText w:val="%8."/>
      <w:lvlJc w:val="left"/>
      <w:pPr>
        <w:tabs>
          <w:tab w:val="num" w:pos="7320"/>
        </w:tabs>
        <w:ind w:left="7320" w:hanging="360"/>
      </w:pPr>
      <w:rPr>
        <w:rFonts w:cs="Times New Roman"/>
      </w:rPr>
    </w:lvl>
    <w:lvl w:ilvl="8" w:tplc="0405001B" w:tentative="1">
      <w:start w:val="1"/>
      <w:numFmt w:val="lowerRoman"/>
      <w:lvlText w:val="%9."/>
      <w:lvlJc w:val="right"/>
      <w:pPr>
        <w:tabs>
          <w:tab w:val="num" w:pos="8040"/>
        </w:tabs>
        <w:ind w:left="8040" w:hanging="180"/>
      </w:pPr>
      <w:rPr>
        <w:rFonts w:cs="Times New Roman"/>
      </w:rPr>
    </w:lvl>
  </w:abstractNum>
  <w:abstractNum w:abstractNumId="27">
    <w:nsid w:val="612B09CF"/>
    <w:multiLevelType w:val="multilevel"/>
    <w:tmpl w:val="D50E2B3A"/>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8"/>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61E4468A"/>
    <w:multiLevelType w:val="multilevel"/>
    <w:tmpl w:val="D5DC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A74128"/>
    <w:multiLevelType w:val="multilevel"/>
    <w:tmpl w:val="DB6A116A"/>
    <w:lvl w:ilvl="0">
      <w:start w:val="4"/>
      <w:numFmt w:val="decimal"/>
      <w:lvlText w:val="%1"/>
      <w:lvlJc w:val="left"/>
      <w:pPr>
        <w:ind w:left="480" w:hanging="480"/>
      </w:pPr>
      <w:rPr>
        <w:rFonts w:cs="Times New Roman" w:hint="default"/>
      </w:rPr>
    </w:lvl>
    <w:lvl w:ilvl="1">
      <w:start w:val="2"/>
      <w:numFmt w:val="decimal"/>
      <w:lvlText w:val="%1.%2"/>
      <w:lvlJc w:val="left"/>
      <w:pPr>
        <w:ind w:left="1020" w:hanging="480"/>
      </w:pPr>
      <w:rPr>
        <w:rFonts w:cs="Times New Roman" w:hint="default"/>
      </w:rPr>
    </w:lvl>
    <w:lvl w:ilvl="2">
      <w:start w:val="4"/>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30">
    <w:nsid w:val="64BB346C"/>
    <w:multiLevelType w:val="multilevel"/>
    <w:tmpl w:val="3822F1B6"/>
    <w:lvl w:ilvl="0">
      <w:start w:val="1"/>
      <w:numFmt w:val="decimal"/>
      <w:lvlText w:val="%1."/>
      <w:lvlJc w:val="left"/>
      <w:pPr>
        <w:ind w:left="720" w:hanging="360"/>
      </w:pPr>
      <w:rPr>
        <w:rFonts w:cs="Times New Roman" w:hint="default"/>
      </w:rPr>
    </w:lvl>
    <w:lvl w:ilvl="1">
      <w:start w:val="2"/>
      <w:numFmt w:val="decimal"/>
      <w:isLgl/>
      <w:lvlText w:val="%1.%2"/>
      <w:lvlJc w:val="left"/>
      <w:pPr>
        <w:tabs>
          <w:tab w:val="num" w:pos="1275"/>
        </w:tabs>
        <w:ind w:left="1275" w:hanging="555"/>
      </w:pPr>
      <w:rPr>
        <w:rFonts w:cs="Times New Roman" w:hint="default"/>
      </w:rPr>
    </w:lvl>
    <w:lvl w:ilvl="2">
      <w:start w:val="8"/>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31">
    <w:nsid w:val="6DBA5219"/>
    <w:multiLevelType w:val="multilevel"/>
    <w:tmpl w:val="D384EC24"/>
    <w:lvl w:ilvl="0">
      <w:start w:val="4"/>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9"/>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2">
    <w:nsid w:val="709C6F52"/>
    <w:multiLevelType w:val="multilevel"/>
    <w:tmpl w:val="D384EC24"/>
    <w:lvl w:ilvl="0">
      <w:start w:val="4"/>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9"/>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num w:numId="1">
    <w:abstractNumId w:val="20"/>
  </w:num>
  <w:num w:numId="2">
    <w:abstractNumId w:val="18"/>
  </w:num>
  <w:num w:numId="3">
    <w:abstractNumId w:val="21"/>
  </w:num>
  <w:num w:numId="4">
    <w:abstractNumId w:val="11"/>
  </w:num>
  <w:num w:numId="5">
    <w:abstractNumId w:val="13"/>
  </w:num>
  <w:num w:numId="6">
    <w:abstractNumId w:val="26"/>
  </w:num>
  <w:num w:numId="7">
    <w:abstractNumId w:val="14"/>
  </w:num>
  <w:num w:numId="8">
    <w:abstractNumId w:val="28"/>
  </w:num>
  <w:num w:numId="9">
    <w:abstractNumId w:val="25"/>
  </w:num>
  <w:num w:numId="10">
    <w:abstractNumId w:val="17"/>
  </w:num>
  <w:num w:numId="11">
    <w:abstractNumId w:val="23"/>
  </w:num>
  <w:num w:numId="12">
    <w:abstractNumId w:val="22"/>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10"/>
  </w:num>
  <w:num w:numId="24">
    <w:abstractNumId w:val="24"/>
  </w:num>
  <w:num w:numId="25">
    <w:abstractNumId w:val="29"/>
  </w:num>
  <w:num w:numId="26">
    <w:abstractNumId w:val="15"/>
  </w:num>
  <w:num w:numId="27">
    <w:abstractNumId w:val="16"/>
  </w:num>
  <w:num w:numId="28">
    <w:abstractNumId w:val="32"/>
  </w:num>
  <w:num w:numId="29">
    <w:abstractNumId w:val="31"/>
  </w:num>
  <w:num w:numId="30">
    <w:abstractNumId w:val="27"/>
  </w:num>
  <w:num w:numId="31">
    <w:abstractNumId w:val="12"/>
  </w:num>
  <w:num w:numId="32">
    <w:abstractNumId w:val="19"/>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77A1"/>
    <w:rsid w:val="00000773"/>
    <w:rsid w:val="00000BC7"/>
    <w:rsid w:val="00003D7E"/>
    <w:rsid w:val="00004D1E"/>
    <w:rsid w:val="00004DD3"/>
    <w:rsid w:val="00004FED"/>
    <w:rsid w:val="00010885"/>
    <w:rsid w:val="00010B21"/>
    <w:rsid w:val="00015A2F"/>
    <w:rsid w:val="00016DFC"/>
    <w:rsid w:val="00022DAB"/>
    <w:rsid w:val="0003456F"/>
    <w:rsid w:val="00035667"/>
    <w:rsid w:val="000373A8"/>
    <w:rsid w:val="00037EA1"/>
    <w:rsid w:val="00041E35"/>
    <w:rsid w:val="00042CA2"/>
    <w:rsid w:val="000548F6"/>
    <w:rsid w:val="00055AF2"/>
    <w:rsid w:val="00056308"/>
    <w:rsid w:val="00072843"/>
    <w:rsid w:val="000755A3"/>
    <w:rsid w:val="000757B3"/>
    <w:rsid w:val="0008738C"/>
    <w:rsid w:val="000B0424"/>
    <w:rsid w:val="000B56AC"/>
    <w:rsid w:val="000B737F"/>
    <w:rsid w:val="000D18AC"/>
    <w:rsid w:val="000D5EAF"/>
    <w:rsid w:val="000E675F"/>
    <w:rsid w:val="000E746F"/>
    <w:rsid w:val="000F2767"/>
    <w:rsid w:val="000F57C2"/>
    <w:rsid w:val="000F6D59"/>
    <w:rsid w:val="000F7363"/>
    <w:rsid w:val="00106B80"/>
    <w:rsid w:val="00106CDE"/>
    <w:rsid w:val="00111EC4"/>
    <w:rsid w:val="001125C1"/>
    <w:rsid w:val="00112EDD"/>
    <w:rsid w:val="00113474"/>
    <w:rsid w:val="0011674C"/>
    <w:rsid w:val="001209DD"/>
    <w:rsid w:val="00130BA1"/>
    <w:rsid w:val="00132275"/>
    <w:rsid w:val="00133660"/>
    <w:rsid w:val="001360EF"/>
    <w:rsid w:val="00136F22"/>
    <w:rsid w:val="001411BA"/>
    <w:rsid w:val="00143AFC"/>
    <w:rsid w:val="00143B9D"/>
    <w:rsid w:val="00144F88"/>
    <w:rsid w:val="00152980"/>
    <w:rsid w:val="00173ED6"/>
    <w:rsid w:val="00174DA9"/>
    <w:rsid w:val="001826F0"/>
    <w:rsid w:val="0018575D"/>
    <w:rsid w:val="00186937"/>
    <w:rsid w:val="00187498"/>
    <w:rsid w:val="00187DAC"/>
    <w:rsid w:val="00194637"/>
    <w:rsid w:val="00194817"/>
    <w:rsid w:val="00197080"/>
    <w:rsid w:val="00197D6B"/>
    <w:rsid w:val="001A13AD"/>
    <w:rsid w:val="001B105D"/>
    <w:rsid w:val="001B285A"/>
    <w:rsid w:val="001B4C66"/>
    <w:rsid w:val="001B6BC8"/>
    <w:rsid w:val="001B742D"/>
    <w:rsid w:val="001C157E"/>
    <w:rsid w:val="001C25B4"/>
    <w:rsid w:val="001C50DF"/>
    <w:rsid w:val="001C566C"/>
    <w:rsid w:val="001C658F"/>
    <w:rsid w:val="001C6D1E"/>
    <w:rsid w:val="001E12B4"/>
    <w:rsid w:val="001F0840"/>
    <w:rsid w:val="001F370D"/>
    <w:rsid w:val="001F681B"/>
    <w:rsid w:val="001F7675"/>
    <w:rsid w:val="00200AB8"/>
    <w:rsid w:val="00203F1C"/>
    <w:rsid w:val="00213DD0"/>
    <w:rsid w:val="0021555A"/>
    <w:rsid w:val="002225BE"/>
    <w:rsid w:val="00222BA9"/>
    <w:rsid w:val="00225A25"/>
    <w:rsid w:val="00230D68"/>
    <w:rsid w:val="0023158B"/>
    <w:rsid w:val="00240DC2"/>
    <w:rsid w:val="00243425"/>
    <w:rsid w:val="00250096"/>
    <w:rsid w:val="0025346F"/>
    <w:rsid w:val="00253735"/>
    <w:rsid w:val="00264C69"/>
    <w:rsid w:val="00282F71"/>
    <w:rsid w:val="00284F4E"/>
    <w:rsid w:val="002851ED"/>
    <w:rsid w:val="00292688"/>
    <w:rsid w:val="00295479"/>
    <w:rsid w:val="002A1017"/>
    <w:rsid w:val="002A1FC1"/>
    <w:rsid w:val="002B55F7"/>
    <w:rsid w:val="002B6D35"/>
    <w:rsid w:val="002C331A"/>
    <w:rsid w:val="002C46BB"/>
    <w:rsid w:val="002C55EA"/>
    <w:rsid w:val="002C6B74"/>
    <w:rsid w:val="002D04FF"/>
    <w:rsid w:val="002E11AC"/>
    <w:rsid w:val="002E3C04"/>
    <w:rsid w:val="002E3EF0"/>
    <w:rsid w:val="002E68F9"/>
    <w:rsid w:val="002F1434"/>
    <w:rsid w:val="002F1F91"/>
    <w:rsid w:val="002F55F3"/>
    <w:rsid w:val="002F659B"/>
    <w:rsid w:val="002F6944"/>
    <w:rsid w:val="0030016D"/>
    <w:rsid w:val="003009E0"/>
    <w:rsid w:val="0030368B"/>
    <w:rsid w:val="00303B25"/>
    <w:rsid w:val="00303B67"/>
    <w:rsid w:val="00307D51"/>
    <w:rsid w:val="00313AC5"/>
    <w:rsid w:val="0032059F"/>
    <w:rsid w:val="003317B3"/>
    <w:rsid w:val="00331B8E"/>
    <w:rsid w:val="003338CA"/>
    <w:rsid w:val="00336F40"/>
    <w:rsid w:val="003453BA"/>
    <w:rsid w:val="00357042"/>
    <w:rsid w:val="00373D8D"/>
    <w:rsid w:val="003924FE"/>
    <w:rsid w:val="003A5571"/>
    <w:rsid w:val="003A683C"/>
    <w:rsid w:val="003B6E4F"/>
    <w:rsid w:val="003C0F0E"/>
    <w:rsid w:val="003E0E43"/>
    <w:rsid w:val="003E7335"/>
    <w:rsid w:val="003F1127"/>
    <w:rsid w:val="003F13D7"/>
    <w:rsid w:val="003F2A0E"/>
    <w:rsid w:val="003F41C1"/>
    <w:rsid w:val="003F6AB3"/>
    <w:rsid w:val="00402693"/>
    <w:rsid w:val="004033D8"/>
    <w:rsid w:val="00403B64"/>
    <w:rsid w:val="00406AB7"/>
    <w:rsid w:val="00407350"/>
    <w:rsid w:val="0041694F"/>
    <w:rsid w:val="00425881"/>
    <w:rsid w:val="00436C38"/>
    <w:rsid w:val="004515FB"/>
    <w:rsid w:val="00451D4B"/>
    <w:rsid w:val="004568CF"/>
    <w:rsid w:val="004620E4"/>
    <w:rsid w:val="00466436"/>
    <w:rsid w:val="00482B7C"/>
    <w:rsid w:val="0048473F"/>
    <w:rsid w:val="0048495F"/>
    <w:rsid w:val="00486C80"/>
    <w:rsid w:val="00491072"/>
    <w:rsid w:val="004956BC"/>
    <w:rsid w:val="00497116"/>
    <w:rsid w:val="004978F1"/>
    <w:rsid w:val="004A1ECC"/>
    <w:rsid w:val="004A2636"/>
    <w:rsid w:val="004A3B82"/>
    <w:rsid w:val="004B044B"/>
    <w:rsid w:val="004B2D32"/>
    <w:rsid w:val="004B7E17"/>
    <w:rsid w:val="004D36DA"/>
    <w:rsid w:val="004E269A"/>
    <w:rsid w:val="004E73E9"/>
    <w:rsid w:val="004F5445"/>
    <w:rsid w:val="004F6BD8"/>
    <w:rsid w:val="004F7BCF"/>
    <w:rsid w:val="0050142A"/>
    <w:rsid w:val="005053FA"/>
    <w:rsid w:val="00510938"/>
    <w:rsid w:val="005162B6"/>
    <w:rsid w:val="00517E70"/>
    <w:rsid w:val="005237D4"/>
    <w:rsid w:val="0052508F"/>
    <w:rsid w:val="00532823"/>
    <w:rsid w:val="005423DD"/>
    <w:rsid w:val="005577A1"/>
    <w:rsid w:val="0056277B"/>
    <w:rsid w:val="005650FD"/>
    <w:rsid w:val="00571D38"/>
    <w:rsid w:val="00572818"/>
    <w:rsid w:val="0057457C"/>
    <w:rsid w:val="00574A2B"/>
    <w:rsid w:val="00575AF0"/>
    <w:rsid w:val="00581732"/>
    <w:rsid w:val="00590F61"/>
    <w:rsid w:val="00594848"/>
    <w:rsid w:val="005A014F"/>
    <w:rsid w:val="005A06DD"/>
    <w:rsid w:val="005A157B"/>
    <w:rsid w:val="005A19CA"/>
    <w:rsid w:val="005A3773"/>
    <w:rsid w:val="005A43CE"/>
    <w:rsid w:val="005A7B59"/>
    <w:rsid w:val="005B47F9"/>
    <w:rsid w:val="005C18B1"/>
    <w:rsid w:val="005C39FB"/>
    <w:rsid w:val="005C462B"/>
    <w:rsid w:val="005C5F8C"/>
    <w:rsid w:val="005D1B52"/>
    <w:rsid w:val="005D27A3"/>
    <w:rsid w:val="005D7D16"/>
    <w:rsid w:val="005E4701"/>
    <w:rsid w:val="005F1DBA"/>
    <w:rsid w:val="005F4A9A"/>
    <w:rsid w:val="005F5265"/>
    <w:rsid w:val="00603F9C"/>
    <w:rsid w:val="00606926"/>
    <w:rsid w:val="0061112D"/>
    <w:rsid w:val="006145BF"/>
    <w:rsid w:val="006148D1"/>
    <w:rsid w:val="00615DCD"/>
    <w:rsid w:val="0062134C"/>
    <w:rsid w:val="00625609"/>
    <w:rsid w:val="00626E81"/>
    <w:rsid w:val="006320A3"/>
    <w:rsid w:val="00634C2D"/>
    <w:rsid w:val="006431D6"/>
    <w:rsid w:val="0064750A"/>
    <w:rsid w:val="006507B9"/>
    <w:rsid w:val="00652390"/>
    <w:rsid w:val="00653ADB"/>
    <w:rsid w:val="00654377"/>
    <w:rsid w:val="0065511D"/>
    <w:rsid w:val="00665BF9"/>
    <w:rsid w:val="00667833"/>
    <w:rsid w:val="00670FB1"/>
    <w:rsid w:val="0067401E"/>
    <w:rsid w:val="00674EF7"/>
    <w:rsid w:val="00681CAF"/>
    <w:rsid w:val="00685D83"/>
    <w:rsid w:val="00686628"/>
    <w:rsid w:val="00690B10"/>
    <w:rsid w:val="00693CB7"/>
    <w:rsid w:val="00695000"/>
    <w:rsid w:val="00696ADB"/>
    <w:rsid w:val="006A0C8A"/>
    <w:rsid w:val="006A3F95"/>
    <w:rsid w:val="006A6EBB"/>
    <w:rsid w:val="006B2B7E"/>
    <w:rsid w:val="006B2F89"/>
    <w:rsid w:val="006B6F26"/>
    <w:rsid w:val="006C19ED"/>
    <w:rsid w:val="006C1B88"/>
    <w:rsid w:val="006D00C5"/>
    <w:rsid w:val="006D6A5D"/>
    <w:rsid w:val="006E1488"/>
    <w:rsid w:val="006E62FA"/>
    <w:rsid w:val="006F7912"/>
    <w:rsid w:val="00702E67"/>
    <w:rsid w:val="00710BCD"/>
    <w:rsid w:val="00716B7C"/>
    <w:rsid w:val="00717061"/>
    <w:rsid w:val="00717367"/>
    <w:rsid w:val="007224A6"/>
    <w:rsid w:val="00722A22"/>
    <w:rsid w:val="0073777B"/>
    <w:rsid w:val="0074254E"/>
    <w:rsid w:val="0074550F"/>
    <w:rsid w:val="00761924"/>
    <w:rsid w:val="00774B75"/>
    <w:rsid w:val="00775BED"/>
    <w:rsid w:val="00782858"/>
    <w:rsid w:val="00782D73"/>
    <w:rsid w:val="007925D0"/>
    <w:rsid w:val="00792BB4"/>
    <w:rsid w:val="007945DA"/>
    <w:rsid w:val="007A0FF2"/>
    <w:rsid w:val="007A1646"/>
    <w:rsid w:val="007A2B75"/>
    <w:rsid w:val="007A2CD8"/>
    <w:rsid w:val="007A39A8"/>
    <w:rsid w:val="007B13BD"/>
    <w:rsid w:val="007B3D10"/>
    <w:rsid w:val="007B47F3"/>
    <w:rsid w:val="007B4F18"/>
    <w:rsid w:val="007C0C44"/>
    <w:rsid w:val="007D2028"/>
    <w:rsid w:val="007D3889"/>
    <w:rsid w:val="007D48CC"/>
    <w:rsid w:val="007E21DC"/>
    <w:rsid w:val="007E41C9"/>
    <w:rsid w:val="007E6FB5"/>
    <w:rsid w:val="007F0D25"/>
    <w:rsid w:val="007F4757"/>
    <w:rsid w:val="00805447"/>
    <w:rsid w:val="00806907"/>
    <w:rsid w:val="00812476"/>
    <w:rsid w:val="00823075"/>
    <w:rsid w:val="008302E4"/>
    <w:rsid w:val="00833B56"/>
    <w:rsid w:val="00836582"/>
    <w:rsid w:val="00836B00"/>
    <w:rsid w:val="008477C9"/>
    <w:rsid w:val="00850241"/>
    <w:rsid w:val="00850281"/>
    <w:rsid w:val="00865658"/>
    <w:rsid w:val="008668D3"/>
    <w:rsid w:val="00866C41"/>
    <w:rsid w:val="00871165"/>
    <w:rsid w:val="00874216"/>
    <w:rsid w:val="00875D80"/>
    <w:rsid w:val="00877AF4"/>
    <w:rsid w:val="0088265C"/>
    <w:rsid w:val="0089024E"/>
    <w:rsid w:val="008964AD"/>
    <w:rsid w:val="008B04E5"/>
    <w:rsid w:val="008B0849"/>
    <w:rsid w:val="008B66FC"/>
    <w:rsid w:val="008C438A"/>
    <w:rsid w:val="008C46AB"/>
    <w:rsid w:val="008D0CFB"/>
    <w:rsid w:val="008D3E67"/>
    <w:rsid w:val="008E668B"/>
    <w:rsid w:val="008E6987"/>
    <w:rsid w:val="008F032F"/>
    <w:rsid w:val="008F182C"/>
    <w:rsid w:val="008F350A"/>
    <w:rsid w:val="008F4320"/>
    <w:rsid w:val="008F46DB"/>
    <w:rsid w:val="0090635A"/>
    <w:rsid w:val="00906F9C"/>
    <w:rsid w:val="009108F9"/>
    <w:rsid w:val="009117C1"/>
    <w:rsid w:val="009213CC"/>
    <w:rsid w:val="00924084"/>
    <w:rsid w:val="009253B3"/>
    <w:rsid w:val="00930281"/>
    <w:rsid w:val="0093154B"/>
    <w:rsid w:val="0093395E"/>
    <w:rsid w:val="00933BBC"/>
    <w:rsid w:val="009403B1"/>
    <w:rsid w:val="00951886"/>
    <w:rsid w:val="0095443A"/>
    <w:rsid w:val="0096327D"/>
    <w:rsid w:val="0096345B"/>
    <w:rsid w:val="009726E0"/>
    <w:rsid w:val="00972F96"/>
    <w:rsid w:val="00974C91"/>
    <w:rsid w:val="00975DCA"/>
    <w:rsid w:val="0097728F"/>
    <w:rsid w:val="009827DE"/>
    <w:rsid w:val="00982A0D"/>
    <w:rsid w:val="009850A4"/>
    <w:rsid w:val="009948E8"/>
    <w:rsid w:val="00996280"/>
    <w:rsid w:val="009A0E06"/>
    <w:rsid w:val="009A319D"/>
    <w:rsid w:val="009A3B72"/>
    <w:rsid w:val="009A413C"/>
    <w:rsid w:val="009B042B"/>
    <w:rsid w:val="009B1A93"/>
    <w:rsid w:val="009B1B2F"/>
    <w:rsid w:val="009B6033"/>
    <w:rsid w:val="009C1F5C"/>
    <w:rsid w:val="009D04F7"/>
    <w:rsid w:val="009D0E85"/>
    <w:rsid w:val="009D3EF0"/>
    <w:rsid w:val="009D5824"/>
    <w:rsid w:val="009E0498"/>
    <w:rsid w:val="009E0D1F"/>
    <w:rsid w:val="009E2522"/>
    <w:rsid w:val="009F291D"/>
    <w:rsid w:val="00A008F8"/>
    <w:rsid w:val="00A04009"/>
    <w:rsid w:val="00A04A62"/>
    <w:rsid w:val="00A0683A"/>
    <w:rsid w:val="00A07D52"/>
    <w:rsid w:val="00A07D8B"/>
    <w:rsid w:val="00A133F5"/>
    <w:rsid w:val="00A35A93"/>
    <w:rsid w:val="00A42587"/>
    <w:rsid w:val="00A4330F"/>
    <w:rsid w:val="00A44DDB"/>
    <w:rsid w:val="00A45DDA"/>
    <w:rsid w:val="00A50506"/>
    <w:rsid w:val="00A531B4"/>
    <w:rsid w:val="00A56AC8"/>
    <w:rsid w:val="00A602EE"/>
    <w:rsid w:val="00A63088"/>
    <w:rsid w:val="00A672D9"/>
    <w:rsid w:val="00A747C2"/>
    <w:rsid w:val="00A85934"/>
    <w:rsid w:val="00AB1344"/>
    <w:rsid w:val="00AB30B8"/>
    <w:rsid w:val="00AC1F56"/>
    <w:rsid w:val="00AC2096"/>
    <w:rsid w:val="00AC5D64"/>
    <w:rsid w:val="00AC6BA9"/>
    <w:rsid w:val="00AD67CA"/>
    <w:rsid w:val="00AE3102"/>
    <w:rsid w:val="00AE458D"/>
    <w:rsid w:val="00AE6E3C"/>
    <w:rsid w:val="00AE775C"/>
    <w:rsid w:val="00B114B4"/>
    <w:rsid w:val="00B136DD"/>
    <w:rsid w:val="00B15030"/>
    <w:rsid w:val="00B17ACB"/>
    <w:rsid w:val="00B2708C"/>
    <w:rsid w:val="00B33DEF"/>
    <w:rsid w:val="00B4420F"/>
    <w:rsid w:val="00B53A18"/>
    <w:rsid w:val="00B53E46"/>
    <w:rsid w:val="00B56690"/>
    <w:rsid w:val="00B62ABD"/>
    <w:rsid w:val="00B62FEB"/>
    <w:rsid w:val="00B64600"/>
    <w:rsid w:val="00B7232C"/>
    <w:rsid w:val="00B73306"/>
    <w:rsid w:val="00B73FC0"/>
    <w:rsid w:val="00B745BD"/>
    <w:rsid w:val="00B7744D"/>
    <w:rsid w:val="00B8288F"/>
    <w:rsid w:val="00B82993"/>
    <w:rsid w:val="00B82AAA"/>
    <w:rsid w:val="00B84BAA"/>
    <w:rsid w:val="00B854E6"/>
    <w:rsid w:val="00B868FE"/>
    <w:rsid w:val="00B90B23"/>
    <w:rsid w:val="00BA03AF"/>
    <w:rsid w:val="00BA0908"/>
    <w:rsid w:val="00BA184E"/>
    <w:rsid w:val="00BA750E"/>
    <w:rsid w:val="00BB0C0D"/>
    <w:rsid w:val="00BB480E"/>
    <w:rsid w:val="00BB5C88"/>
    <w:rsid w:val="00BB759D"/>
    <w:rsid w:val="00BC23EB"/>
    <w:rsid w:val="00BC2F5B"/>
    <w:rsid w:val="00BC3577"/>
    <w:rsid w:val="00BC5EAE"/>
    <w:rsid w:val="00BD3691"/>
    <w:rsid w:val="00BE00D0"/>
    <w:rsid w:val="00BE232B"/>
    <w:rsid w:val="00BE33BD"/>
    <w:rsid w:val="00BE3A0D"/>
    <w:rsid w:val="00BF279E"/>
    <w:rsid w:val="00BF7B1E"/>
    <w:rsid w:val="00C021E1"/>
    <w:rsid w:val="00C06380"/>
    <w:rsid w:val="00C10746"/>
    <w:rsid w:val="00C17FD9"/>
    <w:rsid w:val="00C23897"/>
    <w:rsid w:val="00C24026"/>
    <w:rsid w:val="00C26E6C"/>
    <w:rsid w:val="00C27659"/>
    <w:rsid w:val="00C324C1"/>
    <w:rsid w:val="00C36A0F"/>
    <w:rsid w:val="00C40535"/>
    <w:rsid w:val="00C42B57"/>
    <w:rsid w:val="00C473A4"/>
    <w:rsid w:val="00C5006E"/>
    <w:rsid w:val="00C532ED"/>
    <w:rsid w:val="00C64E82"/>
    <w:rsid w:val="00C679F2"/>
    <w:rsid w:val="00C70064"/>
    <w:rsid w:val="00C74327"/>
    <w:rsid w:val="00C8086E"/>
    <w:rsid w:val="00C82363"/>
    <w:rsid w:val="00C82ED5"/>
    <w:rsid w:val="00C82F3A"/>
    <w:rsid w:val="00C8459C"/>
    <w:rsid w:val="00C845D0"/>
    <w:rsid w:val="00C92129"/>
    <w:rsid w:val="00C95CA9"/>
    <w:rsid w:val="00C96B01"/>
    <w:rsid w:val="00CA4706"/>
    <w:rsid w:val="00CA51C2"/>
    <w:rsid w:val="00CA6112"/>
    <w:rsid w:val="00CA6C04"/>
    <w:rsid w:val="00CA761C"/>
    <w:rsid w:val="00CA7F9F"/>
    <w:rsid w:val="00CB7BDF"/>
    <w:rsid w:val="00CC172A"/>
    <w:rsid w:val="00CC50E7"/>
    <w:rsid w:val="00CD017D"/>
    <w:rsid w:val="00CE018F"/>
    <w:rsid w:val="00CE0524"/>
    <w:rsid w:val="00CE1A27"/>
    <w:rsid w:val="00CE1C50"/>
    <w:rsid w:val="00CE3D7D"/>
    <w:rsid w:val="00CE7A17"/>
    <w:rsid w:val="00CF121C"/>
    <w:rsid w:val="00CF5979"/>
    <w:rsid w:val="00D03070"/>
    <w:rsid w:val="00D07DD0"/>
    <w:rsid w:val="00D10049"/>
    <w:rsid w:val="00D14111"/>
    <w:rsid w:val="00D22224"/>
    <w:rsid w:val="00D25E84"/>
    <w:rsid w:val="00D318E6"/>
    <w:rsid w:val="00D31B96"/>
    <w:rsid w:val="00D3255A"/>
    <w:rsid w:val="00D33011"/>
    <w:rsid w:val="00D41220"/>
    <w:rsid w:val="00D6616B"/>
    <w:rsid w:val="00D665A6"/>
    <w:rsid w:val="00D67EF3"/>
    <w:rsid w:val="00D726BB"/>
    <w:rsid w:val="00D7774D"/>
    <w:rsid w:val="00D81F82"/>
    <w:rsid w:val="00DA432E"/>
    <w:rsid w:val="00DB69FE"/>
    <w:rsid w:val="00DB6CAA"/>
    <w:rsid w:val="00DC265B"/>
    <w:rsid w:val="00DC51AB"/>
    <w:rsid w:val="00DE3329"/>
    <w:rsid w:val="00DE57EB"/>
    <w:rsid w:val="00DF0082"/>
    <w:rsid w:val="00DF1CEB"/>
    <w:rsid w:val="00DF25AF"/>
    <w:rsid w:val="00DF6030"/>
    <w:rsid w:val="00E00089"/>
    <w:rsid w:val="00E0457E"/>
    <w:rsid w:val="00E1060B"/>
    <w:rsid w:val="00E14DA2"/>
    <w:rsid w:val="00E15E26"/>
    <w:rsid w:val="00E16C21"/>
    <w:rsid w:val="00E16E0C"/>
    <w:rsid w:val="00E279D6"/>
    <w:rsid w:val="00E309F5"/>
    <w:rsid w:val="00E31F91"/>
    <w:rsid w:val="00E32E0D"/>
    <w:rsid w:val="00E34BB8"/>
    <w:rsid w:val="00E42184"/>
    <w:rsid w:val="00E42A82"/>
    <w:rsid w:val="00E470E8"/>
    <w:rsid w:val="00E60FD9"/>
    <w:rsid w:val="00E64FEA"/>
    <w:rsid w:val="00E66896"/>
    <w:rsid w:val="00E73FF0"/>
    <w:rsid w:val="00E76D31"/>
    <w:rsid w:val="00E8441E"/>
    <w:rsid w:val="00E92EF6"/>
    <w:rsid w:val="00E93682"/>
    <w:rsid w:val="00E93EDA"/>
    <w:rsid w:val="00E9470B"/>
    <w:rsid w:val="00E95CB6"/>
    <w:rsid w:val="00EA23C3"/>
    <w:rsid w:val="00EA57AF"/>
    <w:rsid w:val="00EA7E8A"/>
    <w:rsid w:val="00EB2E79"/>
    <w:rsid w:val="00EB4008"/>
    <w:rsid w:val="00EB74E9"/>
    <w:rsid w:val="00EB798A"/>
    <w:rsid w:val="00EC01B3"/>
    <w:rsid w:val="00EC2732"/>
    <w:rsid w:val="00EC6358"/>
    <w:rsid w:val="00ED028B"/>
    <w:rsid w:val="00ED06EC"/>
    <w:rsid w:val="00ED5BC9"/>
    <w:rsid w:val="00EE1559"/>
    <w:rsid w:val="00EE39D9"/>
    <w:rsid w:val="00EE469C"/>
    <w:rsid w:val="00EF7799"/>
    <w:rsid w:val="00F01A06"/>
    <w:rsid w:val="00F06F23"/>
    <w:rsid w:val="00F1052C"/>
    <w:rsid w:val="00F15016"/>
    <w:rsid w:val="00F16F95"/>
    <w:rsid w:val="00F173FA"/>
    <w:rsid w:val="00F2083B"/>
    <w:rsid w:val="00F2652C"/>
    <w:rsid w:val="00F30360"/>
    <w:rsid w:val="00F303EF"/>
    <w:rsid w:val="00F31974"/>
    <w:rsid w:val="00F3229A"/>
    <w:rsid w:val="00F33320"/>
    <w:rsid w:val="00F3424E"/>
    <w:rsid w:val="00F368DD"/>
    <w:rsid w:val="00F41DBA"/>
    <w:rsid w:val="00F42C09"/>
    <w:rsid w:val="00F43045"/>
    <w:rsid w:val="00F43742"/>
    <w:rsid w:val="00F53405"/>
    <w:rsid w:val="00F547FE"/>
    <w:rsid w:val="00F55146"/>
    <w:rsid w:val="00F565B1"/>
    <w:rsid w:val="00F57841"/>
    <w:rsid w:val="00F67D11"/>
    <w:rsid w:val="00F75C43"/>
    <w:rsid w:val="00F77E66"/>
    <w:rsid w:val="00F81095"/>
    <w:rsid w:val="00F81236"/>
    <w:rsid w:val="00F9044C"/>
    <w:rsid w:val="00F9142C"/>
    <w:rsid w:val="00F94B41"/>
    <w:rsid w:val="00FA6780"/>
    <w:rsid w:val="00FB0F93"/>
    <w:rsid w:val="00FB4A84"/>
    <w:rsid w:val="00FB5864"/>
    <w:rsid w:val="00FC3115"/>
    <w:rsid w:val="00FC729E"/>
    <w:rsid w:val="00FD0B5F"/>
    <w:rsid w:val="00FE2DD6"/>
    <w:rsid w:val="00FE7A8A"/>
    <w:rsid w:val="00FF109F"/>
    <w:rsid w:val="00FF1E27"/>
    <w:rsid w:val="00FF29C1"/>
    <w:rsid w:val="00FF31A9"/>
    <w:rsid w:val="00FF4E5C"/>
    <w:rsid w:val="00FF55B0"/>
    <w:rsid w:val="00FF7AC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contacts" w:name="Sn"/>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00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4F7BCF"/>
    <w:rPr>
      <w:rFonts w:ascii="Times New Roman" w:hAnsi="Times New Roman" w:cs="Times New Roman"/>
      <w:color w:val="316C9D"/>
      <w:u w:val="none"/>
      <w:effect w:val="none"/>
    </w:rPr>
  </w:style>
  <w:style w:type="character" w:styleId="Emphasis">
    <w:name w:val="Emphasis"/>
    <w:basedOn w:val="DefaultParagraphFont"/>
    <w:uiPriority w:val="99"/>
    <w:qFormat/>
    <w:rsid w:val="004F7BCF"/>
    <w:rPr>
      <w:rFonts w:ascii="Times New Roman" w:hAnsi="Times New Roman" w:cs="Times New Roman"/>
      <w:i/>
    </w:rPr>
  </w:style>
  <w:style w:type="paragraph" w:customStyle="1" w:styleId="2">
    <w:name w:val="本文 2"/>
    <w:basedOn w:val="Normal"/>
    <w:uiPriority w:val="99"/>
    <w:rsid w:val="004F7BCF"/>
    <w:pPr>
      <w:suppressAutoHyphens/>
    </w:pPr>
    <w:rPr>
      <w:rFonts w:eastAsia="MS Mincho"/>
      <w:b/>
      <w:bCs/>
      <w:sz w:val="28"/>
      <w:szCs w:val="28"/>
      <w:lang w:val="en-US" w:eastAsia="ar-SA"/>
    </w:rPr>
  </w:style>
  <w:style w:type="character" w:customStyle="1" w:styleId="maintitle">
    <w:name w:val="maintitle"/>
    <w:uiPriority w:val="99"/>
    <w:rsid w:val="004F7BCF"/>
  </w:style>
  <w:style w:type="character" w:customStyle="1" w:styleId="abscitationtitle">
    <w:name w:val="abs_citation_title"/>
    <w:uiPriority w:val="99"/>
    <w:rsid w:val="004F7BCF"/>
  </w:style>
  <w:style w:type="character" w:customStyle="1" w:styleId="absnonlinkmetadata">
    <w:name w:val="abs_nonlink_metadata"/>
    <w:uiPriority w:val="99"/>
    <w:rsid w:val="004F7BCF"/>
  </w:style>
  <w:style w:type="paragraph" w:styleId="BalloonText">
    <w:name w:val="Balloon Text"/>
    <w:basedOn w:val="Normal"/>
    <w:link w:val="BalloonTextChar"/>
    <w:uiPriority w:val="99"/>
    <w:semiHidden/>
    <w:rsid w:val="004F7BCF"/>
    <w:rPr>
      <w:rFonts w:ascii="Tahoma" w:eastAsia="Calibri" w:hAnsi="Tahoma"/>
      <w:sz w:val="16"/>
      <w:szCs w:val="20"/>
    </w:rPr>
  </w:style>
  <w:style w:type="character" w:customStyle="1" w:styleId="BalloonTextChar">
    <w:name w:val="Balloon Text Char"/>
    <w:basedOn w:val="DefaultParagraphFont"/>
    <w:link w:val="BalloonText"/>
    <w:uiPriority w:val="99"/>
    <w:semiHidden/>
    <w:locked/>
    <w:rsid w:val="004F7BCF"/>
    <w:rPr>
      <w:rFonts w:ascii="Tahoma" w:hAnsi="Tahoma" w:cs="Times New Roman"/>
      <w:sz w:val="16"/>
      <w:lang w:eastAsia="cs-CZ"/>
    </w:rPr>
  </w:style>
  <w:style w:type="paragraph" w:styleId="ListParagraph">
    <w:name w:val="List Paragraph"/>
    <w:basedOn w:val="Normal"/>
    <w:uiPriority w:val="99"/>
    <w:qFormat/>
    <w:rsid w:val="00B82993"/>
    <w:pPr>
      <w:ind w:left="720"/>
      <w:contextualSpacing/>
    </w:pPr>
  </w:style>
  <w:style w:type="paragraph" w:styleId="NormalWeb">
    <w:name w:val="Normal (Web)"/>
    <w:basedOn w:val="Normal"/>
    <w:uiPriority w:val="99"/>
    <w:rsid w:val="00982A0D"/>
    <w:pPr>
      <w:spacing w:before="100" w:beforeAutospacing="1" w:after="100" w:afterAutospacing="1"/>
    </w:pPr>
    <w:rPr>
      <w:rFonts w:eastAsia="Calibri"/>
    </w:rPr>
  </w:style>
  <w:style w:type="character" w:styleId="CommentReference">
    <w:name w:val="annotation reference"/>
    <w:basedOn w:val="DefaultParagraphFont"/>
    <w:uiPriority w:val="99"/>
    <w:rsid w:val="00173ED6"/>
    <w:rPr>
      <w:rFonts w:cs="Times New Roman"/>
      <w:sz w:val="16"/>
    </w:rPr>
  </w:style>
  <w:style w:type="paragraph" w:styleId="CommentText">
    <w:name w:val="annotation text"/>
    <w:basedOn w:val="Normal"/>
    <w:link w:val="CommentTextChar1"/>
    <w:uiPriority w:val="99"/>
    <w:rsid w:val="00173ED6"/>
    <w:rPr>
      <w:rFonts w:ascii="Calibri" w:eastAsia="Calibri" w:hAnsi="Calibri"/>
      <w:sz w:val="20"/>
      <w:szCs w:val="20"/>
    </w:rPr>
  </w:style>
  <w:style w:type="character" w:customStyle="1" w:styleId="CommentTextChar">
    <w:name w:val="Comment Text Char"/>
    <w:basedOn w:val="DefaultParagraphFont"/>
    <w:link w:val="CommentText"/>
    <w:uiPriority w:val="99"/>
    <w:semiHidden/>
    <w:locked/>
    <w:rsid w:val="001209DD"/>
    <w:rPr>
      <w:rFonts w:ascii="Times New Roman" w:hAnsi="Times New Roman" w:cs="Times New Roman"/>
      <w:sz w:val="20"/>
    </w:rPr>
  </w:style>
  <w:style w:type="character" w:customStyle="1" w:styleId="CommentTextChar1">
    <w:name w:val="Comment Text Char1"/>
    <w:link w:val="CommentText"/>
    <w:uiPriority w:val="99"/>
    <w:locked/>
    <w:rsid w:val="00173ED6"/>
    <w:rPr>
      <w:lang w:val="cs-CZ" w:eastAsia="cs-CZ"/>
    </w:rPr>
  </w:style>
  <w:style w:type="character" w:customStyle="1" w:styleId="element-citation">
    <w:name w:val="element-citation"/>
    <w:uiPriority w:val="99"/>
    <w:rsid w:val="00173ED6"/>
  </w:style>
  <w:style w:type="character" w:customStyle="1" w:styleId="ref-journal">
    <w:name w:val="ref-journal"/>
    <w:uiPriority w:val="99"/>
    <w:rsid w:val="00173ED6"/>
  </w:style>
  <w:style w:type="character" w:customStyle="1" w:styleId="ref-vol">
    <w:name w:val="ref-vol"/>
    <w:uiPriority w:val="99"/>
    <w:rsid w:val="00173ED6"/>
  </w:style>
  <w:style w:type="character" w:customStyle="1" w:styleId="name">
    <w:name w:val="name"/>
    <w:uiPriority w:val="99"/>
    <w:rsid w:val="00F565B1"/>
  </w:style>
  <w:style w:type="character" w:customStyle="1" w:styleId="hps">
    <w:name w:val="hps"/>
    <w:uiPriority w:val="99"/>
    <w:rsid w:val="005A7B59"/>
  </w:style>
  <w:style w:type="character" w:customStyle="1" w:styleId="titles-title">
    <w:name w:val="titles-title"/>
    <w:uiPriority w:val="99"/>
    <w:rsid w:val="002B6D35"/>
  </w:style>
  <w:style w:type="character" w:customStyle="1" w:styleId="bibrecord-highlight-user">
    <w:name w:val="bibrecord-highlight-user"/>
    <w:uiPriority w:val="99"/>
    <w:rsid w:val="002B6D35"/>
  </w:style>
  <w:style w:type="character" w:customStyle="1" w:styleId="titles-source">
    <w:name w:val="titles-source"/>
    <w:uiPriority w:val="99"/>
    <w:rsid w:val="002B6D35"/>
  </w:style>
  <w:style w:type="paragraph" w:styleId="Header">
    <w:name w:val="header"/>
    <w:basedOn w:val="Normal"/>
    <w:link w:val="HeaderChar"/>
    <w:uiPriority w:val="99"/>
    <w:rsid w:val="00055AF2"/>
    <w:pPr>
      <w:tabs>
        <w:tab w:val="center" w:pos="4536"/>
        <w:tab w:val="right" w:pos="9072"/>
      </w:tabs>
    </w:pPr>
    <w:rPr>
      <w:rFonts w:eastAsia="Calibri"/>
      <w:szCs w:val="20"/>
    </w:rPr>
  </w:style>
  <w:style w:type="character" w:customStyle="1" w:styleId="HeaderChar">
    <w:name w:val="Header Char"/>
    <w:basedOn w:val="DefaultParagraphFont"/>
    <w:link w:val="Header"/>
    <w:uiPriority w:val="99"/>
    <w:semiHidden/>
    <w:locked/>
    <w:rsid w:val="001F370D"/>
    <w:rPr>
      <w:rFonts w:ascii="Times New Roman" w:hAnsi="Times New Roman" w:cs="Times New Roman"/>
      <w:sz w:val="24"/>
    </w:rPr>
  </w:style>
  <w:style w:type="character" w:styleId="PageNumber">
    <w:name w:val="page number"/>
    <w:basedOn w:val="DefaultParagraphFont"/>
    <w:uiPriority w:val="99"/>
    <w:rsid w:val="00055AF2"/>
    <w:rPr>
      <w:rFonts w:cs="Times New Roman"/>
    </w:rPr>
  </w:style>
  <w:style w:type="character" w:customStyle="1" w:styleId="st1">
    <w:name w:val="st1"/>
    <w:uiPriority w:val="99"/>
    <w:rsid w:val="00653ADB"/>
  </w:style>
  <w:style w:type="character" w:customStyle="1" w:styleId="citation-abbreviation">
    <w:name w:val="citation-abbreviation"/>
    <w:uiPriority w:val="99"/>
    <w:rsid w:val="008F182C"/>
  </w:style>
  <w:style w:type="character" w:customStyle="1" w:styleId="citation-publication-date">
    <w:name w:val="citation-publication-date"/>
    <w:uiPriority w:val="99"/>
    <w:rsid w:val="008F182C"/>
  </w:style>
  <w:style w:type="character" w:customStyle="1" w:styleId="citation-volume">
    <w:name w:val="citation-volume"/>
    <w:uiPriority w:val="99"/>
    <w:rsid w:val="008F182C"/>
  </w:style>
  <w:style w:type="character" w:customStyle="1" w:styleId="citation-issue">
    <w:name w:val="citation-issue"/>
    <w:uiPriority w:val="99"/>
    <w:rsid w:val="008F182C"/>
  </w:style>
  <w:style w:type="character" w:customStyle="1" w:styleId="citation-flpages">
    <w:name w:val="citation-flpages"/>
    <w:uiPriority w:val="99"/>
    <w:rsid w:val="008F182C"/>
  </w:style>
  <w:style w:type="character" w:styleId="Strong">
    <w:name w:val="Strong"/>
    <w:basedOn w:val="DefaultParagraphFont"/>
    <w:uiPriority w:val="99"/>
    <w:qFormat/>
    <w:locked/>
    <w:rsid w:val="00E92EF6"/>
    <w:rPr>
      <w:rFonts w:cs="Times New Roman"/>
      <w:b/>
    </w:rPr>
  </w:style>
</w:styles>
</file>

<file path=word/webSettings.xml><?xml version="1.0" encoding="utf-8"?>
<w:webSettings xmlns:r="http://schemas.openxmlformats.org/officeDocument/2006/relationships" xmlns:w="http://schemas.openxmlformats.org/wordprocessingml/2006/main">
  <w:divs>
    <w:div w:id="900361983">
      <w:marLeft w:val="0"/>
      <w:marRight w:val="0"/>
      <w:marTop w:val="0"/>
      <w:marBottom w:val="0"/>
      <w:divBdr>
        <w:top w:val="none" w:sz="0" w:space="0" w:color="auto"/>
        <w:left w:val="none" w:sz="0" w:space="0" w:color="auto"/>
        <w:bottom w:val="none" w:sz="0" w:space="0" w:color="auto"/>
        <w:right w:val="none" w:sz="0" w:space="0" w:color="auto"/>
      </w:divBdr>
      <w:divsChild>
        <w:div w:id="900362214">
          <w:marLeft w:val="0"/>
          <w:marRight w:val="0"/>
          <w:marTop w:val="0"/>
          <w:marBottom w:val="0"/>
          <w:divBdr>
            <w:top w:val="none" w:sz="0" w:space="0" w:color="auto"/>
            <w:left w:val="none" w:sz="0" w:space="0" w:color="auto"/>
            <w:bottom w:val="none" w:sz="0" w:space="0" w:color="auto"/>
            <w:right w:val="none" w:sz="0" w:space="0" w:color="auto"/>
          </w:divBdr>
          <w:divsChild>
            <w:div w:id="900362219">
              <w:marLeft w:val="0"/>
              <w:marRight w:val="0"/>
              <w:marTop w:val="0"/>
              <w:marBottom w:val="0"/>
              <w:divBdr>
                <w:top w:val="none" w:sz="0" w:space="0" w:color="auto"/>
                <w:left w:val="none" w:sz="0" w:space="0" w:color="auto"/>
                <w:bottom w:val="none" w:sz="0" w:space="0" w:color="auto"/>
                <w:right w:val="none" w:sz="0" w:space="0" w:color="auto"/>
              </w:divBdr>
              <w:divsChild>
                <w:div w:id="900362210">
                  <w:marLeft w:val="0"/>
                  <w:marRight w:val="0"/>
                  <w:marTop w:val="0"/>
                  <w:marBottom w:val="0"/>
                  <w:divBdr>
                    <w:top w:val="none" w:sz="0" w:space="0" w:color="auto"/>
                    <w:left w:val="none" w:sz="0" w:space="0" w:color="auto"/>
                    <w:bottom w:val="none" w:sz="0" w:space="0" w:color="auto"/>
                    <w:right w:val="none" w:sz="0" w:space="0" w:color="auto"/>
                  </w:divBdr>
                  <w:divsChild>
                    <w:div w:id="900362220">
                      <w:marLeft w:val="0"/>
                      <w:marRight w:val="0"/>
                      <w:marTop w:val="0"/>
                      <w:marBottom w:val="0"/>
                      <w:divBdr>
                        <w:top w:val="none" w:sz="0" w:space="0" w:color="auto"/>
                        <w:left w:val="none" w:sz="0" w:space="0" w:color="auto"/>
                        <w:bottom w:val="none" w:sz="0" w:space="0" w:color="auto"/>
                        <w:right w:val="none" w:sz="0" w:space="0" w:color="auto"/>
                      </w:divBdr>
                      <w:divsChild>
                        <w:div w:id="9003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1989">
      <w:marLeft w:val="0"/>
      <w:marRight w:val="0"/>
      <w:marTop w:val="0"/>
      <w:marBottom w:val="0"/>
      <w:divBdr>
        <w:top w:val="none" w:sz="0" w:space="0" w:color="auto"/>
        <w:left w:val="none" w:sz="0" w:space="0" w:color="auto"/>
        <w:bottom w:val="none" w:sz="0" w:space="0" w:color="auto"/>
        <w:right w:val="none" w:sz="0" w:space="0" w:color="auto"/>
      </w:divBdr>
      <w:divsChild>
        <w:div w:id="900361986">
          <w:marLeft w:val="0"/>
          <w:marRight w:val="0"/>
          <w:marTop w:val="0"/>
          <w:marBottom w:val="0"/>
          <w:divBdr>
            <w:top w:val="none" w:sz="0" w:space="0" w:color="auto"/>
            <w:left w:val="none" w:sz="0" w:space="0" w:color="auto"/>
            <w:bottom w:val="none" w:sz="0" w:space="0" w:color="auto"/>
            <w:right w:val="none" w:sz="0" w:space="0" w:color="auto"/>
          </w:divBdr>
          <w:divsChild>
            <w:div w:id="900361984">
              <w:marLeft w:val="0"/>
              <w:marRight w:val="0"/>
              <w:marTop w:val="0"/>
              <w:marBottom w:val="0"/>
              <w:divBdr>
                <w:top w:val="none" w:sz="0" w:space="0" w:color="auto"/>
                <w:left w:val="none" w:sz="0" w:space="0" w:color="auto"/>
                <w:bottom w:val="none" w:sz="0" w:space="0" w:color="auto"/>
                <w:right w:val="none" w:sz="0" w:space="0" w:color="auto"/>
              </w:divBdr>
              <w:divsChild>
                <w:div w:id="900361990">
                  <w:marLeft w:val="0"/>
                  <w:marRight w:val="0"/>
                  <w:marTop w:val="0"/>
                  <w:marBottom w:val="0"/>
                  <w:divBdr>
                    <w:top w:val="none" w:sz="0" w:space="0" w:color="auto"/>
                    <w:left w:val="none" w:sz="0" w:space="0" w:color="auto"/>
                    <w:bottom w:val="none" w:sz="0" w:space="0" w:color="auto"/>
                    <w:right w:val="none" w:sz="0" w:space="0" w:color="auto"/>
                  </w:divBdr>
                  <w:divsChild>
                    <w:div w:id="900361987">
                      <w:marLeft w:val="0"/>
                      <w:marRight w:val="0"/>
                      <w:marTop w:val="0"/>
                      <w:marBottom w:val="0"/>
                      <w:divBdr>
                        <w:top w:val="none" w:sz="0" w:space="0" w:color="auto"/>
                        <w:left w:val="none" w:sz="0" w:space="0" w:color="auto"/>
                        <w:bottom w:val="none" w:sz="0" w:space="0" w:color="auto"/>
                        <w:right w:val="none" w:sz="0" w:space="0" w:color="auto"/>
                      </w:divBdr>
                      <w:divsChild>
                        <w:div w:id="900361985">
                          <w:marLeft w:val="0"/>
                          <w:marRight w:val="0"/>
                          <w:marTop w:val="0"/>
                          <w:marBottom w:val="0"/>
                          <w:divBdr>
                            <w:top w:val="none" w:sz="0" w:space="0" w:color="auto"/>
                            <w:left w:val="none" w:sz="0" w:space="0" w:color="auto"/>
                            <w:bottom w:val="none" w:sz="0" w:space="0" w:color="auto"/>
                            <w:right w:val="none" w:sz="0" w:space="0" w:color="auto"/>
                          </w:divBdr>
                          <w:divsChild>
                            <w:div w:id="900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1992">
      <w:marLeft w:val="0"/>
      <w:marRight w:val="0"/>
      <w:marTop w:val="0"/>
      <w:marBottom w:val="0"/>
      <w:divBdr>
        <w:top w:val="none" w:sz="0" w:space="0" w:color="auto"/>
        <w:left w:val="none" w:sz="0" w:space="0" w:color="auto"/>
        <w:bottom w:val="none" w:sz="0" w:space="0" w:color="auto"/>
        <w:right w:val="none" w:sz="0" w:space="0" w:color="auto"/>
      </w:divBdr>
      <w:divsChild>
        <w:div w:id="900361991">
          <w:marLeft w:val="0"/>
          <w:marRight w:val="0"/>
          <w:marTop w:val="0"/>
          <w:marBottom w:val="0"/>
          <w:divBdr>
            <w:top w:val="none" w:sz="0" w:space="0" w:color="auto"/>
            <w:left w:val="none" w:sz="0" w:space="0" w:color="auto"/>
            <w:bottom w:val="none" w:sz="0" w:space="0" w:color="auto"/>
            <w:right w:val="none" w:sz="0" w:space="0" w:color="auto"/>
          </w:divBdr>
          <w:divsChild>
            <w:div w:id="900361996">
              <w:marLeft w:val="0"/>
              <w:marRight w:val="0"/>
              <w:marTop w:val="0"/>
              <w:marBottom w:val="0"/>
              <w:divBdr>
                <w:top w:val="none" w:sz="0" w:space="0" w:color="auto"/>
                <w:left w:val="none" w:sz="0" w:space="0" w:color="auto"/>
                <w:bottom w:val="none" w:sz="0" w:space="0" w:color="auto"/>
                <w:right w:val="none" w:sz="0" w:space="0" w:color="auto"/>
              </w:divBdr>
              <w:divsChild>
                <w:div w:id="900361993">
                  <w:marLeft w:val="0"/>
                  <w:marRight w:val="0"/>
                  <w:marTop w:val="0"/>
                  <w:marBottom w:val="0"/>
                  <w:divBdr>
                    <w:top w:val="none" w:sz="0" w:space="0" w:color="auto"/>
                    <w:left w:val="none" w:sz="0" w:space="0" w:color="auto"/>
                    <w:bottom w:val="none" w:sz="0" w:space="0" w:color="auto"/>
                    <w:right w:val="none" w:sz="0" w:space="0" w:color="auto"/>
                  </w:divBdr>
                  <w:divsChild>
                    <w:div w:id="900361995">
                      <w:marLeft w:val="0"/>
                      <w:marRight w:val="0"/>
                      <w:marTop w:val="0"/>
                      <w:marBottom w:val="0"/>
                      <w:divBdr>
                        <w:top w:val="none" w:sz="0" w:space="0" w:color="auto"/>
                        <w:left w:val="none" w:sz="0" w:space="0" w:color="auto"/>
                        <w:bottom w:val="none" w:sz="0" w:space="0" w:color="auto"/>
                        <w:right w:val="none" w:sz="0" w:space="0" w:color="auto"/>
                      </w:divBdr>
                      <w:divsChild>
                        <w:div w:id="900361988">
                          <w:marLeft w:val="0"/>
                          <w:marRight w:val="0"/>
                          <w:marTop w:val="0"/>
                          <w:marBottom w:val="0"/>
                          <w:divBdr>
                            <w:top w:val="none" w:sz="0" w:space="0" w:color="auto"/>
                            <w:left w:val="none" w:sz="0" w:space="0" w:color="auto"/>
                            <w:bottom w:val="none" w:sz="0" w:space="0" w:color="auto"/>
                            <w:right w:val="none" w:sz="0" w:space="0" w:color="auto"/>
                          </w:divBdr>
                          <w:divsChild>
                            <w:div w:id="9003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03">
      <w:marLeft w:val="0"/>
      <w:marRight w:val="0"/>
      <w:marTop w:val="0"/>
      <w:marBottom w:val="0"/>
      <w:divBdr>
        <w:top w:val="none" w:sz="0" w:space="0" w:color="auto"/>
        <w:left w:val="none" w:sz="0" w:space="0" w:color="auto"/>
        <w:bottom w:val="none" w:sz="0" w:space="0" w:color="auto"/>
        <w:right w:val="none" w:sz="0" w:space="0" w:color="auto"/>
      </w:divBdr>
      <w:divsChild>
        <w:div w:id="900362009">
          <w:marLeft w:val="0"/>
          <w:marRight w:val="0"/>
          <w:marTop w:val="0"/>
          <w:marBottom w:val="0"/>
          <w:divBdr>
            <w:top w:val="none" w:sz="0" w:space="0" w:color="auto"/>
            <w:left w:val="none" w:sz="0" w:space="0" w:color="auto"/>
            <w:bottom w:val="none" w:sz="0" w:space="0" w:color="auto"/>
            <w:right w:val="none" w:sz="0" w:space="0" w:color="auto"/>
          </w:divBdr>
          <w:divsChild>
            <w:div w:id="900362028">
              <w:marLeft w:val="0"/>
              <w:marRight w:val="0"/>
              <w:marTop w:val="0"/>
              <w:marBottom w:val="0"/>
              <w:divBdr>
                <w:top w:val="none" w:sz="0" w:space="0" w:color="auto"/>
                <w:left w:val="none" w:sz="0" w:space="0" w:color="auto"/>
                <w:bottom w:val="none" w:sz="0" w:space="0" w:color="auto"/>
                <w:right w:val="none" w:sz="0" w:space="0" w:color="auto"/>
              </w:divBdr>
              <w:divsChild>
                <w:div w:id="900362148">
                  <w:marLeft w:val="0"/>
                  <w:marRight w:val="0"/>
                  <w:marTop w:val="0"/>
                  <w:marBottom w:val="0"/>
                  <w:divBdr>
                    <w:top w:val="none" w:sz="0" w:space="0" w:color="auto"/>
                    <w:left w:val="none" w:sz="0" w:space="0" w:color="auto"/>
                    <w:bottom w:val="none" w:sz="0" w:space="0" w:color="auto"/>
                    <w:right w:val="none" w:sz="0" w:space="0" w:color="auto"/>
                  </w:divBdr>
                  <w:divsChild>
                    <w:div w:id="900362008">
                      <w:marLeft w:val="0"/>
                      <w:marRight w:val="0"/>
                      <w:marTop w:val="0"/>
                      <w:marBottom w:val="0"/>
                      <w:divBdr>
                        <w:top w:val="none" w:sz="0" w:space="0" w:color="auto"/>
                        <w:left w:val="none" w:sz="0" w:space="0" w:color="auto"/>
                        <w:bottom w:val="none" w:sz="0" w:space="0" w:color="auto"/>
                        <w:right w:val="none" w:sz="0" w:space="0" w:color="auto"/>
                      </w:divBdr>
                      <w:divsChild>
                        <w:div w:id="900362134">
                          <w:marLeft w:val="0"/>
                          <w:marRight w:val="0"/>
                          <w:marTop w:val="0"/>
                          <w:marBottom w:val="0"/>
                          <w:divBdr>
                            <w:top w:val="none" w:sz="0" w:space="0" w:color="auto"/>
                            <w:left w:val="none" w:sz="0" w:space="0" w:color="auto"/>
                            <w:bottom w:val="none" w:sz="0" w:space="0" w:color="auto"/>
                            <w:right w:val="none" w:sz="0" w:space="0" w:color="auto"/>
                          </w:divBdr>
                          <w:divsChild>
                            <w:div w:id="9003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04">
      <w:marLeft w:val="0"/>
      <w:marRight w:val="0"/>
      <w:marTop w:val="0"/>
      <w:marBottom w:val="0"/>
      <w:divBdr>
        <w:top w:val="none" w:sz="0" w:space="0" w:color="auto"/>
        <w:left w:val="none" w:sz="0" w:space="0" w:color="auto"/>
        <w:bottom w:val="none" w:sz="0" w:space="0" w:color="auto"/>
        <w:right w:val="none" w:sz="0" w:space="0" w:color="auto"/>
      </w:divBdr>
      <w:divsChild>
        <w:div w:id="900361999">
          <w:marLeft w:val="0"/>
          <w:marRight w:val="0"/>
          <w:marTop w:val="0"/>
          <w:marBottom w:val="0"/>
          <w:divBdr>
            <w:top w:val="none" w:sz="0" w:space="0" w:color="auto"/>
            <w:left w:val="none" w:sz="0" w:space="0" w:color="auto"/>
            <w:bottom w:val="none" w:sz="0" w:space="0" w:color="auto"/>
            <w:right w:val="none" w:sz="0" w:space="0" w:color="auto"/>
          </w:divBdr>
          <w:divsChild>
            <w:div w:id="900362137">
              <w:marLeft w:val="0"/>
              <w:marRight w:val="0"/>
              <w:marTop w:val="0"/>
              <w:marBottom w:val="0"/>
              <w:divBdr>
                <w:top w:val="none" w:sz="0" w:space="0" w:color="auto"/>
                <w:left w:val="none" w:sz="0" w:space="0" w:color="auto"/>
                <w:bottom w:val="none" w:sz="0" w:space="0" w:color="auto"/>
                <w:right w:val="none" w:sz="0" w:space="0" w:color="auto"/>
              </w:divBdr>
              <w:divsChild>
                <w:div w:id="900362034">
                  <w:marLeft w:val="0"/>
                  <w:marRight w:val="0"/>
                  <w:marTop w:val="0"/>
                  <w:marBottom w:val="0"/>
                  <w:divBdr>
                    <w:top w:val="none" w:sz="0" w:space="0" w:color="auto"/>
                    <w:left w:val="none" w:sz="0" w:space="0" w:color="auto"/>
                    <w:bottom w:val="none" w:sz="0" w:space="0" w:color="auto"/>
                    <w:right w:val="none" w:sz="0" w:space="0" w:color="auto"/>
                  </w:divBdr>
                  <w:divsChild>
                    <w:div w:id="900362164">
                      <w:marLeft w:val="0"/>
                      <w:marRight w:val="0"/>
                      <w:marTop w:val="0"/>
                      <w:marBottom w:val="0"/>
                      <w:divBdr>
                        <w:top w:val="none" w:sz="0" w:space="0" w:color="auto"/>
                        <w:left w:val="none" w:sz="0" w:space="0" w:color="auto"/>
                        <w:bottom w:val="none" w:sz="0" w:space="0" w:color="auto"/>
                        <w:right w:val="none" w:sz="0" w:space="0" w:color="auto"/>
                      </w:divBdr>
                      <w:divsChild>
                        <w:div w:id="900362036">
                          <w:marLeft w:val="0"/>
                          <w:marRight w:val="0"/>
                          <w:marTop w:val="0"/>
                          <w:marBottom w:val="0"/>
                          <w:divBdr>
                            <w:top w:val="none" w:sz="0" w:space="0" w:color="auto"/>
                            <w:left w:val="none" w:sz="0" w:space="0" w:color="auto"/>
                            <w:bottom w:val="none" w:sz="0" w:space="0" w:color="auto"/>
                            <w:right w:val="none" w:sz="0" w:space="0" w:color="auto"/>
                          </w:divBdr>
                          <w:divsChild>
                            <w:div w:id="9003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05">
      <w:marLeft w:val="0"/>
      <w:marRight w:val="0"/>
      <w:marTop w:val="0"/>
      <w:marBottom w:val="0"/>
      <w:divBdr>
        <w:top w:val="none" w:sz="0" w:space="0" w:color="auto"/>
        <w:left w:val="none" w:sz="0" w:space="0" w:color="auto"/>
        <w:bottom w:val="none" w:sz="0" w:space="0" w:color="auto"/>
        <w:right w:val="none" w:sz="0" w:space="0" w:color="auto"/>
      </w:divBdr>
      <w:divsChild>
        <w:div w:id="900362016">
          <w:marLeft w:val="0"/>
          <w:marRight w:val="0"/>
          <w:marTop w:val="0"/>
          <w:marBottom w:val="0"/>
          <w:divBdr>
            <w:top w:val="none" w:sz="0" w:space="0" w:color="auto"/>
            <w:left w:val="none" w:sz="0" w:space="0" w:color="auto"/>
            <w:bottom w:val="none" w:sz="0" w:space="0" w:color="auto"/>
            <w:right w:val="none" w:sz="0" w:space="0" w:color="auto"/>
          </w:divBdr>
          <w:divsChild>
            <w:div w:id="900362031">
              <w:marLeft w:val="0"/>
              <w:marRight w:val="0"/>
              <w:marTop w:val="0"/>
              <w:marBottom w:val="0"/>
              <w:divBdr>
                <w:top w:val="none" w:sz="0" w:space="0" w:color="auto"/>
                <w:left w:val="none" w:sz="0" w:space="0" w:color="auto"/>
                <w:bottom w:val="none" w:sz="0" w:space="0" w:color="auto"/>
                <w:right w:val="none" w:sz="0" w:space="0" w:color="auto"/>
              </w:divBdr>
              <w:divsChild>
                <w:div w:id="900362006">
                  <w:marLeft w:val="0"/>
                  <w:marRight w:val="0"/>
                  <w:marTop w:val="0"/>
                  <w:marBottom w:val="0"/>
                  <w:divBdr>
                    <w:top w:val="none" w:sz="0" w:space="0" w:color="auto"/>
                    <w:left w:val="none" w:sz="0" w:space="0" w:color="auto"/>
                    <w:bottom w:val="none" w:sz="0" w:space="0" w:color="auto"/>
                    <w:right w:val="none" w:sz="0" w:space="0" w:color="auto"/>
                  </w:divBdr>
                  <w:divsChild>
                    <w:div w:id="900362022">
                      <w:marLeft w:val="0"/>
                      <w:marRight w:val="0"/>
                      <w:marTop w:val="0"/>
                      <w:marBottom w:val="0"/>
                      <w:divBdr>
                        <w:top w:val="none" w:sz="0" w:space="0" w:color="auto"/>
                        <w:left w:val="none" w:sz="0" w:space="0" w:color="auto"/>
                        <w:bottom w:val="none" w:sz="0" w:space="0" w:color="auto"/>
                        <w:right w:val="none" w:sz="0" w:space="0" w:color="auto"/>
                      </w:divBdr>
                      <w:divsChild>
                        <w:div w:id="900362042">
                          <w:marLeft w:val="0"/>
                          <w:marRight w:val="0"/>
                          <w:marTop w:val="0"/>
                          <w:marBottom w:val="0"/>
                          <w:divBdr>
                            <w:top w:val="none" w:sz="0" w:space="0" w:color="auto"/>
                            <w:left w:val="none" w:sz="0" w:space="0" w:color="auto"/>
                            <w:bottom w:val="none" w:sz="0" w:space="0" w:color="auto"/>
                            <w:right w:val="none" w:sz="0" w:space="0" w:color="auto"/>
                          </w:divBdr>
                          <w:divsChild>
                            <w:div w:id="90036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15">
      <w:marLeft w:val="0"/>
      <w:marRight w:val="0"/>
      <w:marTop w:val="0"/>
      <w:marBottom w:val="0"/>
      <w:divBdr>
        <w:top w:val="none" w:sz="0" w:space="0" w:color="auto"/>
        <w:left w:val="none" w:sz="0" w:space="0" w:color="auto"/>
        <w:bottom w:val="none" w:sz="0" w:space="0" w:color="auto"/>
        <w:right w:val="none" w:sz="0" w:space="0" w:color="auto"/>
      </w:divBdr>
      <w:divsChild>
        <w:div w:id="900362013">
          <w:marLeft w:val="0"/>
          <w:marRight w:val="0"/>
          <w:marTop w:val="0"/>
          <w:marBottom w:val="0"/>
          <w:divBdr>
            <w:top w:val="none" w:sz="0" w:space="0" w:color="auto"/>
            <w:left w:val="none" w:sz="0" w:space="0" w:color="auto"/>
            <w:bottom w:val="none" w:sz="0" w:space="0" w:color="auto"/>
            <w:right w:val="none" w:sz="0" w:space="0" w:color="auto"/>
          </w:divBdr>
          <w:divsChild>
            <w:div w:id="900362142">
              <w:marLeft w:val="0"/>
              <w:marRight w:val="0"/>
              <w:marTop w:val="0"/>
              <w:marBottom w:val="0"/>
              <w:divBdr>
                <w:top w:val="none" w:sz="0" w:space="0" w:color="auto"/>
                <w:left w:val="none" w:sz="0" w:space="0" w:color="auto"/>
                <w:bottom w:val="none" w:sz="0" w:space="0" w:color="auto"/>
                <w:right w:val="none" w:sz="0" w:space="0" w:color="auto"/>
              </w:divBdr>
              <w:divsChild>
                <w:div w:id="900362160">
                  <w:marLeft w:val="0"/>
                  <w:marRight w:val="0"/>
                  <w:marTop w:val="0"/>
                  <w:marBottom w:val="0"/>
                  <w:divBdr>
                    <w:top w:val="none" w:sz="0" w:space="0" w:color="auto"/>
                    <w:left w:val="none" w:sz="0" w:space="0" w:color="auto"/>
                    <w:bottom w:val="none" w:sz="0" w:space="0" w:color="auto"/>
                    <w:right w:val="none" w:sz="0" w:space="0" w:color="auto"/>
                  </w:divBdr>
                  <w:divsChild>
                    <w:div w:id="900362152">
                      <w:marLeft w:val="0"/>
                      <w:marRight w:val="0"/>
                      <w:marTop w:val="0"/>
                      <w:marBottom w:val="0"/>
                      <w:divBdr>
                        <w:top w:val="none" w:sz="0" w:space="0" w:color="auto"/>
                        <w:left w:val="none" w:sz="0" w:space="0" w:color="auto"/>
                        <w:bottom w:val="none" w:sz="0" w:space="0" w:color="auto"/>
                        <w:right w:val="none" w:sz="0" w:space="0" w:color="auto"/>
                      </w:divBdr>
                      <w:divsChild>
                        <w:div w:id="900362000">
                          <w:marLeft w:val="0"/>
                          <w:marRight w:val="0"/>
                          <w:marTop w:val="0"/>
                          <w:marBottom w:val="0"/>
                          <w:divBdr>
                            <w:top w:val="none" w:sz="0" w:space="0" w:color="auto"/>
                            <w:left w:val="none" w:sz="0" w:space="0" w:color="auto"/>
                            <w:bottom w:val="none" w:sz="0" w:space="0" w:color="auto"/>
                            <w:right w:val="none" w:sz="0" w:space="0" w:color="auto"/>
                          </w:divBdr>
                          <w:divsChild>
                            <w:div w:id="900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21">
      <w:marLeft w:val="0"/>
      <w:marRight w:val="0"/>
      <w:marTop w:val="0"/>
      <w:marBottom w:val="0"/>
      <w:divBdr>
        <w:top w:val="none" w:sz="0" w:space="0" w:color="auto"/>
        <w:left w:val="none" w:sz="0" w:space="0" w:color="auto"/>
        <w:bottom w:val="none" w:sz="0" w:space="0" w:color="auto"/>
        <w:right w:val="none" w:sz="0" w:space="0" w:color="auto"/>
      </w:divBdr>
      <w:divsChild>
        <w:div w:id="900362154">
          <w:marLeft w:val="0"/>
          <w:marRight w:val="0"/>
          <w:marTop w:val="0"/>
          <w:marBottom w:val="0"/>
          <w:divBdr>
            <w:top w:val="none" w:sz="0" w:space="0" w:color="auto"/>
            <w:left w:val="none" w:sz="0" w:space="0" w:color="auto"/>
            <w:bottom w:val="none" w:sz="0" w:space="0" w:color="auto"/>
            <w:right w:val="none" w:sz="0" w:space="0" w:color="auto"/>
          </w:divBdr>
          <w:divsChild>
            <w:div w:id="900362140">
              <w:marLeft w:val="0"/>
              <w:marRight w:val="0"/>
              <w:marTop w:val="0"/>
              <w:marBottom w:val="0"/>
              <w:divBdr>
                <w:top w:val="none" w:sz="0" w:space="0" w:color="auto"/>
                <w:left w:val="none" w:sz="0" w:space="0" w:color="auto"/>
                <w:bottom w:val="none" w:sz="0" w:space="0" w:color="auto"/>
                <w:right w:val="none" w:sz="0" w:space="0" w:color="auto"/>
              </w:divBdr>
              <w:divsChild>
                <w:div w:id="900362019">
                  <w:marLeft w:val="0"/>
                  <w:marRight w:val="0"/>
                  <w:marTop w:val="0"/>
                  <w:marBottom w:val="0"/>
                  <w:divBdr>
                    <w:top w:val="none" w:sz="0" w:space="0" w:color="auto"/>
                    <w:left w:val="none" w:sz="0" w:space="0" w:color="auto"/>
                    <w:bottom w:val="none" w:sz="0" w:space="0" w:color="auto"/>
                    <w:right w:val="none" w:sz="0" w:space="0" w:color="auto"/>
                  </w:divBdr>
                  <w:divsChild>
                    <w:div w:id="900362025">
                      <w:marLeft w:val="0"/>
                      <w:marRight w:val="0"/>
                      <w:marTop w:val="0"/>
                      <w:marBottom w:val="0"/>
                      <w:divBdr>
                        <w:top w:val="none" w:sz="0" w:space="0" w:color="auto"/>
                        <w:left w:val="none" w:sz="0" w:space="0" w:color="auto"/>
                        <w:bottom w:val="none" w:sz="0" w:space="0" w:color="auto"/>
                        <w:right w:val="none" w:sz="0" w:space="0" w:color="auto"/>
                      </w:divBdr>
                      <w:divsChild>
                        <w:div w:id="900362043">
                          <w:marLeft w:val="0"/>
                          <w:marRight w:val="0"/>
                          <w:marTop w:val="0"/>
                          <w:marBottom w:val="0"/>
                          <w:divBdr>
                            <w:top w:val="none" w:sz="0" w:space="0" w:color="auto"/>
                            <w:left w:val="none" w:sz="0" w:space="0" w:color="auto"/>
                            <w:bottom w:val="none" w:sz="0" w:space="0" w:color="auto"/>
                            <w:right w:val="none" w:sz="0" w:space="0" w:color="auto"/>
                          </w:divBdr>
                          <w:divsChild>
                            <w:div w:id="9003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35">
      <w:marLeft w:val="0"/>
      <w:marRight w:val="0"/>
      <w:marTop w:val="0"/>
      <w:marBottom w:val="0"/>
      <w:divBdr>
        <w:top w:val="none" w:sz="0" w:space="0" w:color="auto"/>
        <w:left w:val="none" w:sz="0" w:space="0" w:color="auto"/>
        <w:bottom w:val="none" w:sz="0" w:space="0" w:color="auto"/>
        <w:right w:val="none" w:sz="0" w:space="0" w:color="auto"/>
      </w:divBdr>
      <w:divsChild>
        <w:div w:id="900362012">
          <w:marLeft w:val="0"/>
          <w:marRight w:val="0"/>
          <w:marTop w:val="0"/>
          <w:marBottom w:val="0"/>
          <w:divBdr>
            <w:top w:val="none" w:sz="0" w:space="0" w:color="auto"/>
            <w:left w:val="none" w:sz="0" w:space="0" w:color="auto"/>
            <w:bottom w:val="none" w:sz="0" w:space="0" w:color="auto"/>
            <w:right w:val="none" w:sz="0" w:space="0" w:color="auto"/>
          </w:divBdr>
          <w:divsChild>
            <w:div w:id="900362145">
              <w:marLeft w:val="0"/>
              <w:marRight w:val="0"/>
              <w:marTop w:val="0"/>
              <w:marBottom w:val="0"/>
              <w:divBdr>
                <w:top w:val="none" w:sz="0" w:space="0" w:color="auto"/>
                <w:left w:val="none" w:sz="0" w:space="0" w:color="auto"/>
                <w:bottom w:val="none" w:sz="0" w:space="0" w:color="auto"/>
                <w:right w:val="none" w:sz="0" w:space="0" w:color="auto"/>
              </w:divBdr>
              <w:divsChild>
                <w:div w:id="900362001">
                  <w:marLeft w:val="0"/>
                  <w:marRight w:val="0"/>
                  <w:marTop w:val="0"/>
                  <w:marBottom w:val="0"/>
                  <w:divBdr>
                    <w:top w:val="none" w:sz="0" w:space="0" w:color="auto"/>
                    <w:left w:val="none" w:sz="0" w:space="0" w:color="auto"/>
                    <w:bottom w:val="none" w:sz="0" w:space="0" w:color="auto"/>
                    <w:right w:val="none" w:sz="0" w:space="0" w:color="auto"/>
                  </w:divBdr>
                  <w:divsChild>
                    <w:div w:id="900362141">
                      <w:marLeft w:val="0"/>
                      <w:marRight w:val="0"/>
                      <w:marTop w:val="0"/>
                      <w:marBottom w:val="0"/>
                      <w:divBdr>
                        <w:top w:val="none" w:sz="0" w:space="0" w:color="auto"/>
                        <w:left w:val="none" w:sz="0" w:space="0" w:color="auto"/>
                        <w:bottom w:val="none" w:sz="0" w:space="0" w:color="auto"/>
                        <w:right w:val="none" w:sz="0" w:space="0" w:color="auto"/>
                      </w:divBdr>
                      <w:divsChild>
                        <w:div w:id="900362010">
                          <w:marLeft w:val="0"/>
                          <w:marRight w:val="0"/>
                          <w:marTop w:val="0"/>
                          <w:marBottom w:val="0"/>
                          <w:divBdr>
                            <w:top w:val="none" w:sz="0" w:space="0" w:color="auto"/>
                            <w:left w:val="none" w:sz="0" w:space="0" w:color="auto"/>
                            <w:bottom w:val="none" w:sz="0" w:space="0" w:color="auto"/>
                            <w:right w:val="none" w:sz="0" w:space="0" w:color="auto"/>
                          </w:divBdr>
                          <w:divsChild>
                            <w:div w:id="900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37">
      <w:marLeft w:val="0"/>
      <w:marRight w:val="0"/>
      <w:marTop w:val="0"/>
      <w:marBottom w:val="0"/>
      <w:divBdr>
        <w:top w:val="none" w:sz="0" w:space="0" w:color="auto"/>
        <w:left w:val="none" w:sz="0" w:space="0" w:color="auto"/>
        <w:bottom w:val="none" w:sz="0" w:space="0" w:color="auto"/>
        <w:right w:val="none" w:sz="0" w:space="0" w:color="auto"/>
      </w:divBdr>
      <w:divsChild>
        <w:div w:id="900362136">
          <w:marLeft w:val="0"/>
          <w:marRight w:val="0"/>
          <w:marTop w:val="0"/>
          <w:marBottom w:val="0"/>
          <w:divBdr>
            <w:top w:val="none" w:sz="0" w:space="0" w:color="auto"/>
            <w:left w:val="none" w:sz="0" w:space="0" w:color="auto"/>
            <w:bottom w:val="none" w:sz="0" w:space="0" w:color="auto"/>
            <w:right w:val="none" w:sz="0" w:space="0" w:color="auto"/>
          </w:divBdr>
          <w:divsChild>
            <w:div w:id="900362162">
              <w:marLeft w:val="0"/>
              <w:marRight w:val="0"/>
              <w:marTop w:val="0"/>
              <w:marBottom w:val="0"/>
              <w:divBdr>
                <w:top w:val="none" w:sz="0" w:space="0" w:color="auto"/>
                <w:left w:val="none" w:sz="0" w:space="0" w:color="auto"/>
                <w:bottom w:val="none" w:sz="0" w:space="0" w:color="auto"/>
                <w:right w:val="none" w:sz="0" w:space="0" w:color="auto"/>
              </w:divBdr>
              <w:divsChild>
                <w:div w:id="900362017">
                  <w:marLeft w:val="0"/>
                  <w:marRight w:val="0"/>
                  <w:marTop w:val="0"/>
                  <w:marBottom w:val="0"/>
                  <w:divBdr>
                    <w:top w:val="none" w:sz="0" w:space="0" w:color="auto"/>
                    <w:left w:val="none" w:sz="0" w:space="0" w:color="auto"/>
                    <w:bottom w:val="none" w:sz="0" w:space="0" w:color="auto"/>
                    <w:right w:val="none" w:sz="0" w:space="0" w:color="auto"/>
                  </w:divBdr>
                  <w:divsChild>
                    <w:div w:id="900362029">
                      <w:marLeft w:val="0"/>
                      <w:marRight w:val="0"/>
                      <w:marTop w:val="0"/>
                      <w:marBottom w:val="0"/>
                      <w:divBdr>
                        <w:top w:val="none" w:sz="0" w:space="0" w:color="auto"/>
                        <w:left w:val="none" w:sz="0" w:space="0" w:color="auto"/>
                        <w:bottom w:val="none" w:sz="0" w:space="0" w:color="auto"/>
                        <w:right w:val="none" w:sz="0" w:space="0" w:color="auto"/>
                      </w:divBdr>
                      <w:divsChild>
                        <w:div w:id="900362030">
                          <w:marLeft w:val="0"/>
                          <w:marRight w:val="0"/>
                          <w:marTop w:val="0"/>
                          <w:marBottom w:val="0"/>
                          <w:divBdr>
                            <w:top w:val="none" w:sz="0" w:space="0" w:color="auto"/>
                            <w:left w:val="none" w:sz="0" w:space="0" w:color="auto"/>
                            <w:bottom w:val="none" w:sz="0" w:space="0" w:color="auto"/>
                            <w:right w:val="none" w:sz="0" w:space="0" w:color="auto"/>
                          </w:divBdr>
                          <w:divsChild>
                            <w:div w:id="9003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39">
      <w:marLeft w:val="0"/>
      <w:marRight w:val="0"/>
      <w:marTop w:val="0"/>
      <w:marBottom w:val="0"/>
      <w:divBdr>
        <w:top w:val="none" w:sz="0" w:space="0" w:color="auto"/>
        <w:left w:val="none" w:sz="0" w:space="0" w:color="auto"/>
        <w:bottom w:val="none" w:sz="0" w:space="0" w:color="auto"/>
        <w:right w:val="none" w:sz="0" w:space="0" w:color="auto"/>
      </w:divBdr>
    </w:div>
    <w:div w:id="900362044">
      <w:marLeft w:val="0"/>
      <w:marRight w:val="0"/>
      <w:marTop w:val="0"/>
      <w:marBottom w:val="0"/>
      <w:divBdr>
        <w:top w:val="none" w:sz="0" w:space="0" w:color="auto"/>
        <w:left w:val="none" w:sz="0" w:space="0" w:color="auto"/>
        <w:bottom w:val="none" w:sz="0" w:space="0" w:color="auto"/>
        <w:right w:val="none" w:sz="0" w:space="0" w:color="auto"/>
      </w:divBdr>
    </w:div>
    <w:div w:id="900362047">
      <w:marLeft w:val="0"/>
      <w:marRight w:val="0"/>
      <w:marTop w:val="0"/>
      <w:marBottom w:val="0"/>
      <w:divBdr>
        <w:top w:val="none" w:sz="0" w:space="0" w:color="auto"/>
        <w:left w:val="none" w:sz="0" w:space="0" w:color="auto"/>
        <w:bottom w:val="none" w:sz="0" w:space="0" w:color="auto"/>
        <w:right w:val="none" w:sz="0" w:space="0" w:color="auto"/>
      </w:divBdr>
    </w:div>
    <w:div w:id="900362049">
      <w:marLeft w:val="0"/>
      <w:marRight w:val="0"/>
      <w:marTop w:val="0"/>
      <w:marBottom w:val="0"/>
      <w:divBdr>
        <w:top w:val="none" w:sz="0" w:space="0" w:color="auto"/>
        <w:left w:val="none" w:sz="0" w:space="0" w:color="auto"/>
        <w:bottom w:val="none" w:sz="0" w:space="0" w:color="auto"/>
        <w:right w:val="none" w:sz="0" w:space="0" w:color="auto"/>
      </w:divBdr>
      <w:divsChild>
        <w:div w:id="900362051">
          <w:marLeft w:val="0"/>
          <w:marRight w:val="0"/>
          <w:marTop w:val="0"/>
          <w:marBottom w:val="0"/>
          <w:divBdr>
            <w:top w:val="none" w:sz="0" w:space="0" w:color="auto"/>
            <w:left w:val="none" w:sz="0" w:space="0" w:color="auto"/>
            <w:bottom w:val="none" w:sz="0" w:space="0" w:color="auto"/>
            <w:right w:val="none" w:sz="0" w:space="0" w:color="auto"/>
          </w:divBdr>
          <w:divsChild>
            <w:div w:id="900362048">
              <w:marLeft w:val="0"/>
              <w:marRight w:val="0"/>
              <w:marTop w:val="0"/>
              <w:marBottom w:val="0"/>
              <w:divBdr>
                <w:top w:val="none" w:sz="0" w:space="0" w:color="auto"/>
                <w:left w:val="none" w:sz="0" w:space="0" w:color="auto"/>
                <w:bottom w:val="none" w:sz="0" w:space="0" w:color="auto"/>
                <w:right w:val="none" w:sz="0" w:space="0" w:color="auto"/>
              </w:divBdr>
              <w:divsChild>
                <w:div w:id="900362050">
                  <w:marLeft w:val="0"/>
                  <w:marRight w:val="0"/>
                  <w:marTop w:val="0"/>
                  <w:marBottom w:val="0"/>
                  <w:divBdr>
                    <w:top w:val="none" w:sz="0" w:space="0" w:color="auto"/>
                    <w:left w:val="none" w:sz="0" w:space="0" w:color="auto"/>
                    <w:bottom w:val="none" w:sz="0" w:space="0" w:color="auto"/>
                    <w:right w:val="none" w:sz="0" w:space="0" w:color="auto"/>
                  </w:divBdr>
                  <w:divsChild>
                    <w:div w:id="900362054">
                      <w:marLeft w:val="0"/>
                      <w:marRight w:val="0"/>
                      <w:marTop w:val="0"/>
                      <w:marBottom w:val="0"/>
                      <w:divBdr>
                        <w:top w:val="none" w:sz="0" w:space="0" w:color="auto"/>
                        <w:left w:val="none" w:sz="0" w:space="0" w:color="auto"/>
                        <w:bottom w:val="none" w:sz="0" w:space="0" w:color="auto"/>
                        <w:right w:val="none" w:sz="0" w:space="0" w:color="auto"/>
                      </w:divBdr>
                      <w:divsChild>
                        <w:div w:id="900362052">
                          <w:marLeft w:val="0"/>
                          <w:marRight w:val="0"/>
                          <w:marTop w:val="0"/>
                          <w:marBottom w:val="0"/>
                          <w:divBdr>
                            <w:top w:val="none" w:sz="0" w:space="0" w:color="auto"/>
                            <w:left w:val="none" w:sz="0" w:space="0" w:color="auto"/>
                            <w:bottom w:val="none" w:sz="0" w:space="0" w:color="auto"/>
                            <w:right w:val="none" w:sz="0" w:space="0" w:color="auto"/>
                          </w:divBdr>
                          <w:divsChild>
                            <w:div w:id="9003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53">
      <w:marLeft w:val="0"/>
      <w:marRight w:val="0"/>
      <w:marTop w:val="0"/>
      <w:marBottom w:val="0"/>
      <w:divBdr>
        <w:top w:val="none" w:sz="0" w:space="0" w:color="auto"/>
        <w:left w:val="none" w:sz="0" w:space="0" w:color="auto"/>
        <w:bottom w:val="none" w:sz="0" w:space="0" w:color="auto"/>
        <w:right w:val="none" w:sz="0" w:space="0" w:color="auto"/>
      </w:divBdr>
    </w:div>
    <w:div w:id="900362055">
      <w:marLeft w:val="0"/>
      <w:marRight w:val="0"/>
      <w:marTop w:val="0"/>
      <w:marBottom w:val="0"/>
      <w:divBdr>
        <w:top w:val="none" w:sz="0" w:space="0" w:color="auto"/>
        <w:left w:val="none" w:sz="0" w:space="0" w:color="auto"/>
        <w:bottom w:val="none" w:sz="0" w:space="0" w:color="auto"/>
        <w:right w:val="none" w:sz="0" w:space="0" w:color="auto"/>
      </w:divBdr>
    </w:div>
    <w:div w:id="900362056">
      <w:marLeft w:val="0"/>
      <w:marRight w:val="0"/>
      <w:marTop w:val="0"/>
      <w:marBottom w:val="0"/>
      <w:divBdr>
        <w:top w:val="none" w:sz="0" w:space="0" w:color="auto"/>
        <w:left w:val="none" w:sz="0" w:space="0" w:color="auto"/>
        <w:bottom w:val="none" w:sz="0" w:space="0" w:color="auto"/>
        <w:right w:val="none" w:sz="0" w:space="0" w:color="auto"/>
      </w:divBdr>
    </w:div>
    <w:div w:id="900362057">
      <w:marLeft w:val="0"/>
      <w:marRight w:val="0"/>
      <w:marTop w:val="0"/>
      <w:marBottom w:val="0"/>
      <w:divBdr>
        <w:top w:val="none" w:sz="0" w:space="0" w:color="auto"/>
        <w:left w:val="none" w:sz="0" w:space="0" w:color="auto"/>
        <w:bottom w:val="none" w:sz="0" w:space="0" w:color="auto"/>
        <w:right w:val="none" w:sz="0" w:space="0" w:color="auto"/>
      </w:divBdr>
    </w:div>
    <w:div w:id="900362060">
      <w:marLeft w:val="0"/>
      <w:marRight w:val="0"/>
      <w:marTop w:val="0"/>
      <w:marBottom w:val="0"/>
      <w:divBdr>
        <w:top w:val="none" w:sz="0" w:space="0" w:color="auto"/>
        <w:left w:val="none" w:sz="0" w:space="0" w:color="auto"/>
        <w:bottom w:val="none" w:sz="0" w:space="0" w:color="auto"/>
        <w:right w:val="none" w:sz="0" w:space="0" w:color="auto"/>
      </w:divBdr>
      <w:divsChild>
        <w:div w:id="900362058">
          <w:marLeft w:val="0"/>
          <w:marRight w:val="0"/>
          <w:marTop w:val="0"/>
          <w:marBottom w:val="0"/>
          <w:divBdr>
            <w:top w:val="none" w:sz="0" w:space="0" w:color="auto"/>
            <w:left w:val="none" w:sz="0" w:space="0" w:color="auto"/>
            <w:bottom w:val="none" w:sz="0" w:space="0" w:color="auto"/>
            <w:right w:val="none" w:sz="0" w:space="0" w:color="auto"/>
          </w:divBdr>
          <w:divsChild>
            <w:div w:id="900362066">
              <w:marLeft w:val="0"/>
              <w:marRight w:val="0"/>
              <w:marTop w:val="0"/>
              <w:marBottom w:val="0"/>
              <w:divBdr>
                <w:top w:val="none" w:sz="0" w:space="0" w:color="auto"/>
                <w:left w:val="none" w:sz="0" w:space="0" w:color="auto"/>
                <w:bottom w:val="none" w:sz="0" w:space="0" w:color="auto"/>
                <w:right w:val="none" w:sz="0" w:space="0" w:color="auto"/>
              </w:divBdr>
              <w:divsChild>
                <w:div w:id="900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362062">
      <w:marLeft w:val="0"/>
      <w:marRight w:val="0"/>
      <w:marTop w:val="0"/>
      <w:marBottom w:val="0"/>
      <w:divBdr>
        <w:top w:val="none" w:sz="0" w:space="0" w:color="auto"/>
        <w:left w:val="none" w:sz="0" w:space="0" w:color="auto"/>
        <w:bottom w:val="none" w:sz="0" w:space="0" w:color="auto"/>
        <w:right w:val="none" w:sz="0" w:space="0" w:color="auto"/>
      </w:divBdr>
      <w:divsChild>
        <w:div w:id="900362064">
          <w:marLeft w:val="0"/>
          <w:marRight w:val="0"/>
          <w:marTop w:val="0"/>
          <w:marBottom w:val="0"/>
          <w:divBdr>
            <w:top w:val="none" w:sz="0" w:space="0" w:color="auto"/>
            <w:left w:val="none" w:sz="0" w:space="0" w:color="auto"/>
            <w:bottom w:val="none" w:sz="0" w:space="0" w:color="auto"/>
            <w:right w:val="none" w:sz="0" w:space="0" w:color="auto"/>
          </w:divBdr>
          <w:divsChild>
            <w:div w:id="900362063">
              <w:marLeft w:val="0"/>
              <w:marRight w:val="0"/>
              <w:marTop w:val="0"/>
              <w:marBottom w:val="0"/>
              <w:divBdr>
                <w:top w:val="none" w:sz="0" w:space="0" w:color="auto"/>
                <w:left w:val="none" w:sz="0" w:space="0" w:color="auto"/>
                <w:bottom w:val="none" w:sz="0" w:space="0" w:color="auto"/>
                <w:right w:val="none" w:sz="0" w:space="0" w:color="auto"/>
              </w:divBdr>
              <w:divsChild>
                <w:div w:id="900362061">
                  <w:marLeft w:val="0"/>
                  <w:marRight w:val="0"/>
                  <w:marTop w:val="0"/>
                  <w:marBottom w:val="0"/>
                  <w:divBdr>
                    <w:top w:val="none" w:sz="0" w:space="0" w:color="auto"/>
                    <w:left w:val="none" w:sz="0" w:space="0" w:color="auto"/>
                    <w:bottom w:val="none" w:sz="0" w:space="0" w:color="auto"/>
                    <w:right w:val="none" w:sz="0" w:space="0" w:color="auto"/>
                  </w:divBdr>
                  <w:divsChild>
                    <w:div w:id="900362067">
                      <w:marLeft w:val="0"/>
                      <w:marRight w:val="0"/>
                      <w:marTop w:val="0"/>
                      <w:marBottom w:val="0"/>
                      <w:divBdr>
                        <w:top w:val="none" w:sz="0" w:space="0" w:color="auto"/>
                        <w:left w:val="none" w:sz="0" w:space="0" w:color="auto"/>
                        <w:bottom w:val="none" w:sz="0" w:space="0" w:color="auto"/>
                        <w:right w:val="none" w:sz="0" w:space="0" w:color="auto"/>
                      </w:divBdr>
                      <w:divsChild>
                        <w:div w:id="9003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081">
      <w:marLeft w:val="0"/>
      <w:marRight w:val="0"/>
      <w:marTop w:val="0"/>
      <w:marBottom w:val="0"/>
      <w:divBdr>
        <w:top w:val="none" w:sz="0" w:space="0" w:color="auto"/>
        <w:left w:val="none" w:sz="0" w:space="0" w:color="auto"/>
        <w:bottom w:val="none" w:sz="0" w:space="0" w:color="auto"/>
        <w:right w:val="none" w:sz="0" w:space="0" w:color="auto"/>
      </w:divBdr>
      <w:divsChild>
        <w:div w:id="900362089">
          <w:marLeft w:val="0"/>
          <w:marRight w:val="0"/>
          <w:marTop w:val="0"/>
          <w:marBottom w:val="0"/>
          <w:divBdr>
            <w:top w:val="none" w:sz="0" w:space="0" w:color="auto"/>
            <w:left w:val="none" w:sz="0" w:space="0" w:color="auto"/>
            <w:bottom w:val="none" w:sz="0" w:space="0" w:color="auto"/>
            <w:right w:val="none" w:sz="0" w:space="0" w:color="auto"/>
          </w:divBdr>
          <w:divsChild>
            <w:div w:id="900362093">
              <w:marLeft w:val="0"/>
              <w:marRight w:val="0"/>
              <w:marTop w:val="0"/>
              <w:marBottom w:val="0"/>
              <w:divBdr>
                <w:top w:val="none" w:sz="0" w:space="0" w:color="auto"/>
                <w:left w:val="none" w:sz="0" w:space="0" w:color="auto"/>
                <w:bottom w:val="none" w:sz="0" w:space="0" w:color="auto"/>
                <w:right w:val="none" w:sz="0" w:space="0" w:color="auto"/>
              </w:divBdr>
              <w:divsChild>
                <w:div w:id="900362082">
                  <w:marLeft w:val="0"/>
                  <w:marRight w:val="0"/>
                  <w:marTop w:val="0"/>
                  <w:marBottom w:val="0"/>
                  <w:divBdr>
                    <w:top w:val="none" w:sz="0" w:space="0" w:color="auto"/>
                    <w:left w:val="none" w:sz="0" w:space="0" w:color="auto"/>
                    <w:bottom w:val="none" w:sz="0" w:space="0" w:color="auto"/>
                    <w:right w:val="none" w:sz="0" w:space="0" w:color="auto"/>
                  </w:divBdr>
                  <w:divsChild>
                    <w:div w:id="900362070">
                      <w:marLeft w:val="0"/>
                      <w:marRight w:val="0"/>
                      <w:marTop w:val="0"/>
                      <w:marBottom w:val="0"/>
                      <w:divBdr>
                        <w:top w:val="none" w:sz="0" w:space="0" w:color="auto"/>
                        <w:left w:val="none" w:sz="0" w:space="0" w:color="auto"/>
                        <w:bottom w:val="none" w:sz="0" w:space="0" w:color="auto"/>
                        <w:right w:val="none" w:sz="0" w:space="0" w:color="auto"/>
                      </w:divBdr>
                      <w:divsChild>
                        <w:div w:id="900362096">
                          <w:marLeft w:val="0"/>
                          <w:marRight w:val="0"/>
                          <w:marTop w:val="0"/>
                          <w:marBottom w:val="0"/>
                          <w:divBdr>
                            <w:top w:val="none" w:sz="0" w:space="0" w:color="auto"/>
                            <w:left w:val="none" w:sz="0" w:space="0" w:color="auto"/>
                            <w:bottom w:val="none" w:sz="0" w:space="0" w:color="auto"/>
                            <w:right w:val="none" w:sz="0" w:space="0" w:color="auto"/>
                          </w:divBdr>
                          <w:divsChild>
                            <w:div w:id="9003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84">
      <w:marLeft w:val="0"/>
      <w:marRight w:val="0"/>
      <w:marTop w:val="0"/>
      <w:marBottom w:val="0"/>
      <w:divBdr>
        <w:top w:val="none" w:sz="0" w:space="0" w:color="auto"/>
        <w:left w:val="none" w:sz="0" w:space="0" w:color="auto"/>
        <w:bottom w:val="none" w:sz="0" w:space="0" w:color="auto"/>
        <w:right w:val="none" w:sz="0" w:space="0" w:color="auto"/>
      </w:divBdr>
    </w:div>
    <w:div w:id="900362086">
      <w:marLeft w:val="0"/>
      <w:marRight w:val="0"/>
      <w:marTop w:val="0"/>
      <w:marBottom w:val="0"/>
      <w:divBdr>
        <w:top w:val="none" w:sz="0" w:space="0" w:color="auto"/>
        <w:left w:val="none" w:sz="0" w:space="0" w:color="auto"/>
        <w:bottom w:val="none" w:sz="0" w:space="0" w:color="auto"/>
        <w:right w:val="none" w:sz="0" w:space="0" w:color="auto"/>
      </w:divBdr>
    </w:div>
    <w:div w:id="900362091">
      <w:marLeft w:val="0"/>
      <w:marRight w:val="0"/>
      <w:marTop w:val="0"/>
      <w:marBottom w:val="0"/>
      <w:divBdr>
        <w:top w:val="none" w:sz="0" w:space="0" w:color="auto"/>
        <w:left w:val="none" w:sz="0" w:space="0" w:color="auto"/>
        <w:bottom w:val="none" w:sz="0" w:space="0" w:color="auto"/>
        <w:right w:val="none" w:sz="0" w:space="0" w:color="auto"/>
      </w:divBdr>
      <w:divsChild>
        <w:div w:id="900362080">
          <w:marLeft w:val="0"/>
          <w:marRight w:val="0"/>
          <w:marTop w:val="0"/>
          <w:marBottom w:val="0"/>
          <w:divBdr>
            <w:top w:val="none" w:sz="0" w:space="0" w:color="auto"/>
            <w:left w:val="none" w:sz="0" w:space="0" w:color="auto"/>
            <w:bottom w:val="none" w:sz="0" w:space="0" w:color="auto"/>
            <w:right w:val="none" w:sz="0" w:space="0" w:color="auto"/>
          </w:divBdr>
          <w:divsChild>
            <w:div w:id="900362077">
              <w:marLeft w:val="0"/>
              <w:marRight w:val="0"/>
              <w:marTop w:val="0"/>
              <w:marBottom w:val="0"/>
              <w:divBdr>
                <w:top w:val="none" w:sz="0" w:space="0" w:color="auto"/>
                <w:left w:val="none" w:sz="0" w:space="0" w:color="auto"/>
                <w:bottom w:val="none" w:sz="0" w:space="0" w:color="auto"/>
                <w:right w:val="none" w:sz="0" w:space="0" w:color="auto"/>
              </w:divBdr>
              <w:divsChild>
                <w:div w:id="900362072">
                  <w:marLeft w:val="0"/>
                  <w:marRight w:val="0"/>
                  <w:marTop w:val="0"/>
                  <w:marBottom w:val="0"/>
                  <w:divBdr>
                    <w:top w:val="none" w:sz="0" w:space="0" w:color="auto"/>
                    <w:left w:val="none" w:sz="0" w:space="0" w:color="auto"/>
                    <w:bottom w:val="none" w:sz="0" w:space="0" w:color="auto"/>
                    <w:right w:val="none" w:sz="0" w:space="0" w:color="auto"/>
                  </w:divBdr>
                  <w:divsChild>
                    <w:div w:id="900362073">
                      <w:marLeft w:val="0"/>
                      <w:marRight w:val="0"/>
                      <w:marTop w:val="0"/>
                      <w:marBottom w:val="0"/>
                      <w:divBdr>
                        <w:top w:val="none" w:sz="0" w:space="0" w:color="auto"/>
                        <w:left w:val="none" w:sz="0" w:space="0" w:color="auto"/>
                        <w:bottom w:val="none" w:sz="0" w:space="0" w:color="auto"/>
                        <w:right w:val="none" w:sz="0" w:space="0" w:color="auto"/>
                      </w:divBdr>
                      <w:divsChild>
                        <w:div w:id="900362094">
                          <w:marLeft w:val="0"/>
                          <w:marRight w:val="0"/>
                          <w:marTop w:val="0"/>
                          <w:marBottom w:val="0"/>
                          <w:divBdr>
                            <w:top w:val="none" w:sz="0" w:space="0" w:color="auto"/>
                            <w:left w:val="none" w:sz="0" w:space="0" w:color="auto"/>
                            <w:bottom w:val="none" w:sz="0" w:space="0" w:color="auto"/>
                            <w:right w:val="none" w:sz="0" w:space="0" w:color="auto"/>
                          </w:divBdr>
                          <w:divsChild>
                            <w:div w:id="9003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097">
      <w:marLeft w:val="0"/>
      <w:marRight w:val="0"/>
      <w:marTop w:val="0"/>
      <w:marBottom w:val="0"/>
      <w:divBdr>
        <w:top w:val="none" w:sz="0" w:space="0" w:color="auto"/>
        <w:left w:val="none" w:sz="0" w:space="0" w:color="auto"/>
        <w:bottom w:val="none" w:sz="0" w:space="0" w:color="auto"/>
        <w:right w:val="none" w:sz="0" w:space="0" w:color="auto"/>
      </w:divBdr>
      <w:divsChild>
        <w:div w:id="900362101">
          <w:marLeft w:val="0"/>
          <w:marRight w:val="0"/>
          <w:marTop w:val="0"/>
          <w:marBottom w:val="0"/>
          <w:divBdr>
            <w:top w:val="none" w:sz="0" w:space="0" w:color="auto"/>
            <w:left w:val="none" w:sz="0" w:space="0" w:color="auto"/>
            <w:bottom w:val="none" w:sz="0" w:space="0" w:color="auto"/>
            <w:right w:val="none" w:sz="0" w:space="0" w:color="auto"/>
          </w:divBdr>
          <w:divsChild>
            <w:div w:id="900362098">
              <w:marLeft w:val="0"/>
              <w:marRight w:val="0"/>
              <w:marTop w:val="0"/>
              <w:marBottom w:val="0"/>
              <w:divBdr>
                <w:top w:val="none" w:sz="0" w:space="0" w:color="auto"/>
                <w:left w:val="none" w:sz="0" w:space="0" w:color="auto"/>
                <w:bottom w:val="none" w:sz="0" w:space="0" w:color="auto"/>
                <w:right w:val="none" w:sz="0" w:space="0" w:color="auto"/>
              </w:divBdr>
              <w:divsChild>
                <w:div w:id="900362107">
                  <w:marLeft w:val="0"/>
                  <w:marRight w:val="0"/>
                  <w:marTop w:val="0"/>
                  <w:marBottom w:val="0"/>
                  <w:divBdr>
                    <w:top w:val="none" w:sz="0" w:space="0" w:color="auto"/>
                    <w:left w:val="none" w:sz="0" w:space="0" w:color="auto"/>
                    <w:bottom w:val="none" w:sz="0" w:space="0" w:color="auto"/>
                    <w:right w:val="none" w:sz="0" w:space="0" w:color="auto"/>
                  </w:divBdr>
                  <w:divsChild>
                    <w:div w:id="900362095">
                      <w:marLeft w:val="0"/>
                      <w:marRight w:val="0"/>
                      <w:marTop w:val="0"/>
                      <w:marBottom w:val="0"/>
                      <w:divBdr>
                        <w:top w:val="none" w:sz="0" w:space="0" w:color="auto"/>
                        <w:left w:val="none" w:sz="0" w:space="0" w:color="auto"/>
                        <w:bottom w:val="none" w:sz="0" w:space="0" w:color="auto"/>
                        <w:right w:val="none" w:sz="0" w:space="0" w:color="auto"/>
                      </w:divBdr>
                      <w:divsChild>
                        <w:div w:id="900362108">
                          <w:marLeft w:val="0"/>
                          <w:marRight w:val="0"/>
                          <w:marTop w:val="0"/>
                          <w:marBottom w:val="0"/>
                          <w:divBdr>
                            <w:top w:val="none" w:sz="0" w:space="0" w:color="auto"/>
                            <w:left w:val="none" w:sz="0" w:space="0" w:color="auto"/>
                            <w:bottom w:val="none" w:sz="0" w:space="0" w:color="auto"/>
                            <w:right w:val="none" w:sz="0" w:space="0" w:color="auto"/>
                          </w:divBdr>
                          <w:divsChild>
                            <w:div w:id="9003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00">
      <w:marLeft w:val="0"/>
      <w:marRight w:val="0"/>
      <w:marTop w:val="0"/>
      <w:marBottom w:val="0"/>
      <w:divBdr>
        <w:top w:val="none" w:sz="0" w:space="0" w:color="auto"/>
        <w:left w:val="none" w:sz="0" w:space="0" w:color="auto"/>
        <w:bottom w:val="none" w:sz="0" w:space="0" w:color="auto"/>
        <w:right w:val="none" w:sz="0" w:space="0" w:color="auto"/>
      </w:divBdr>
    </w:div>
    <w:div w:id="900362102">
      <w:marLeft w:val="0"/>
      <w:marRight w:val="0"/>
      <w:marTop w:val="0"/>
      <w:marBottom w:val="0"/>
      <w:divBdr>
        <w:top w:val="none" w:sz="0" w:space="0" w:color="auto"/>
        <w:left w:val="none" w:sz="0" w:space="0" w:color="auto"/>
        <w:bottom w:val="none" w:sz="0" w:space="0" w:color="auto"/>
        <w:right w:val="none" w:sz="0" w:space="0" w:color="auto"/>
      </w:divBdr>
      <w:divsChild>
        <w:div w:id="900362099">
          <w:marLeft w:val="0"/>
          <w:marRight w:val="0"/>
          <w:marTop w:val="0"/>
          <w:marBottom w:val="0"/>
          <w:divBdr>
            <w:top w:val="none" w:sz="0" w:space="0" w:color="auto"/>
            <w:left w:val="none" w:sz="0" w:space="0" w:color="auto"/>
            <w:bottom w:val="none" w:sz="0" w:space="0" w:color="auto"/>
            <w:right w:val="none" w:sz="0" w:space="0" w:color="auto"/>
          </w:divBdr>
          <w:divsChild>
            <w:div w:id="900362075">
              <w:marLeft w:val="0"/>
              <w:marRight w:val="0"/>
              <w:marTop w:val="0"/>
              <w:marBottom w:val="0"/>
              <w:divBdr>
                <w:top w:val="none" w:sz="0" w:space="0" w:color="auto"/>
                <w:left w:val="none" w:sz="0" w:space="0" w:color="auto"/>
                <w:bottom w:val="none" w:sz="0" w:space="0" w:color="auto"/>
                <w:right w:val="none" w:sz="0" w:space="0" w:color="auto"/>
              </w:divBdr>
              <w:divsChild>
                <w:div w:id="900362090">
                  <w:marLeft w:val="0"/>
                  <w:marRight w:val="0"/>
                  <w:marTop w:val="0"/>
                  <w:marBottom w:val="0"/>
                  <w:divBdr>
                    <w:top w:val="none" w:sz="0" w:space="0" w:color="auto"/>
                    <w:left w:val="none" w:sz="0" w:space="0" w:color="auto"/>
                    <w:bottom w:val="none" w:sz="0" w:space="0" w:color="auto"/>
                    <w:right w:val="none" w:sz="0" w:space="0" w:color="auto"/>
                  </w:divBdr>
                  <w:divsChild>
                    <w:div w:id="900362106">
                      <w:marLeft w:val="0"/>
                      <w:marRight w:val="0"/>
                      <w:marTop w:val="0"/>
                      <w:marBottom w:val="0"/>
                      <w:divBdr>
                        <w:top w:val="none" w:sz="0" w:space="0" w:color="auto"/>
                        <w:left w:val="none" w:sz="0" w:space="0" w:color="auto"/>
                        <w:bottom w:val="none" w:sz="0" w:space="0" w:color="auto"/>
                        <w:right w:val="none" w:sz="0" w:space="0" w:color="auto"/>
                      </w:divBdr>
                      <w:divsChild>
                        <w:div w:id="900362109">
                          <w:marLeft w:val="0"/>
                          <w:marRight w:val="0"/>
                          <w:marTop w:val="0"/>
                          <w:marBottom w:val="0"/>
                          <w:divBdr>
                            <w:top w:val="none" w:sz="0" w:space="0" w:color="auto"/>
                            <w:left w:val="none" w:sz="0" w:space="0" w:color="auto"/>
                            <w:bottom w:val="none" w:sz="0" w:space="0" w:color="auto"/>
                            <w:right w:val="none" w:sz="0" w:space="0" w:color="auto"/>
                          </w:divBdr>
                          <w:divsChild>
                            <w:div w:id="900362069">
                              <w:marLeft w:val="0"/>
                              <w:marRight w:val="0"/>
                              <w:marTop w:val="0"/>
                              <w:marBottom w:val="0"/>
                              <w:divBdr>
                                <w:top w:val="none" w:sz="0" w:space="0" w:color="auto"/>
                                <w:left w:val="none" w:sz="0" w:space="0" w:color="auto"/>
                                <w:bottom w:val="none" w:sz="0" w:space="0" w:color="auto"/>
                                <w:right w:val="none" w:sz="0" w:space="0" w:color="auto"/>
                              </w:divBdr>
                              <w:divsChild>
                                <w:div w:id="900362092">
                                  <w:marLeft w:val="0"/>
                                  <w:marRight w:val="0"/>
                                  <w:marTop w:val="0"/>
                                  <w:marBottom w:val="0"/>
                                  <w:divBdr>
                                    <w:top w:val="none" w:sz="0" w:space="0" w:color="auto"/>
                                    <w:left w:val="none" w:sz="0" w:space="0" w:color="auto"/>
                                    <w:bottom w:val="none" w:sz="0" w:space="0" w:color="auto"/>
                                    <w:right w:val="none" w:sz="0" w:space="0" w:color="auto"/>
                                  </w:divBdr>
                                  <w:divsChild>
                                    <w:div w:id="900362068">
                                      <w:marLeft w:val="60"/>
                                      <w:marRight w:val="0"/>
                                      <w:marTop w:val="0"/>
                                      <w:marBottom w:val="0"/>
                                      <w:divBdr>
                                        <w:top w:val="none" w:sz="0" w:space="0" w:color="auto"/>
                                        <w:left w:val="none" w:sz="0" w:space="0" w:color="auto"/>
                                        <w:bottom w:val="none" w:sz="0" w:space="0" w:color="auto"/>
                                        <w:right w:val="none" w:sz="0" w:space="0" w:color="auto"/>
                                      </w:divBdr>
                                      <w:divsChild>
                                        <w:div w:id="900362083">
                                          <w:marLeft w:val="0"/>
                                          <w:marRight w:val="0"/>
                                          <w:marTop w:val="0"/>
                                          <w:marBottom w:val="0"/>
                                          <w:divBdr>
                                            <w:top w:val="none" w:sz="0" w:space="0" w:color="auto"/>
                                            <w:left w:val="none" w:sz="0" w:space="0" w:color="auto"/>
                                            <w:bottom w:val="none" w:sz="0" w:space="0" w:color="auto"/>
                                            <w:right w:val="none" w:sz="0" w:space="0" w:color="auto"/>
                                          </w:divBdr>
                                          <w:divsChild>
                                            <w:div w:id="900362074">
                                              <w:marLeft w:val="0"/>
                                              <w:marRight w:val="0"/>
                                              <w:marTop w:val="0"/>
                                              <w:marBottom w:val="120"/>
                                              <w:divBdr>
                                                <w:top w:val="single" w:sz="6" w:space="0" w:color="F5F5F5"/>
                                                <w:left w:val="single" w:sz="6" w:space="0" w:color="F5F5F5"/>
                                                <w:bottom w:val="single" w:sz="6" w:space="0" w:color="F5F5F5"/>
                                                <w:right w:val="single" w:sz="6" w:space="0" w:color="F5F5F5"/>
                                              </w:divBdr>
                                              <w:divsChild>
                                                <w:div w:id="900362085">
                                                  <w:marLeft w:val="0"/>
                                                  <w:marRight w:val="0"/>
                                                  <w:marTop w:val="0"/>
                                                  <w:marBottom w:val="0"/>
                                                  <w:divBdr>
                                                    <w:top w:val="none" w:sz="0" w:space="0" w:color="auto"/>
                                                    <w:left w:val="none" w:sz="0" w:space="0" w:color="auto"/>
                                                    <w:bottom w:val="none" w:sz="0" w:space="0" w:color="auto"/>
                                                    <w:right w:val="none" w:sz="0" w:space="0" w:color="auto"/>
                                                  </w:divBdr>
                                                  <w:divsChild>
                                                    <w:div w:id="9003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362110">
      <w:marLeft w:val="0"/>
      <w:marRight w:val="0"/>
      <w:marTop w:val="0"/>
      <w:marBottom w:val="0"/>
      <w:divBdr>
        <w:top w:val="none" w:sz="0" w:space="0" w:color="auto"/>
        <w:left w:val="none" w:sz="0" w:space="0" w:color="auto"/>
        <w:bottom w:val="none" w:sz="0" w:space="0" w:color="auto"/>
        <w:right w:val="none" w:sz="0" w:space="0" w:color="auto"/>
      </w:divBdr>
      <w:divsChild>
        <w:div w:id="900362103">
          <w:marLeft w:val="0"/>
          <w:marRight w:val="0"/>
          <w:marTop w:val="0"/>
          <w:marBottom w:val="0"/>
          <w:divBdr>
            <w:top w:val="none" w:sz="0" w:space="0" w:color="auto"/>
            <w:left w:val="none" w:sz="0" w:space="0" w:color="auto"/>
            <w:bottom w:val="none" w:sz="0" w:space="0" w:color="auto"/>
            <w:right w:val="none" w:sz="0" w:space="0" w:color="auto"/>
          </w:divBdr>
          <w:divsChild>
            <w:div w:id="900362111">
              <w:marLeft w:val="0"/>
              <w:marRight w:val="0"/>
              <w:marTop w:val="0"/>
              <w:marBottom w:val="0"/>
              <w:divBdr>
                <w:top w:val="none" w:sz="0" w:space="0" w:color="auto"/>
                <w:left w:val="none" w:sz="0" w:space="0" w:color="auto"/>
                <w:bottom w:val="none" w:sz="0" w:space="0" w:color="auto"/>
                <w:right w:val="none" w:sz="0" w:space="0" w:color="auto"/>
              </w:divBdr>
              <w:divsChild>
                <w:div w:id="900362076">
                  <w:marLeft w:val="0"/>
                  <w:marRight w:val="0"/>
                  <w:marTop w:val="0"/>
                  <w:marBottom w:val="0"/>
                  <w:divBdr>
                    <w:top w:val="none" w:sz="0" w:space="0" w:color="auto"/>
                    <w:left w:val="none" w:sz="0" w:space="0" w:color="auto"/>
                    <w:bottom w:val="none" w:sz="0" w:space="0" w:color="auto"/>
                    <w:right w:val="none" w:sz="0" w:space="0" w:color="auto"/>
                  </w:divBdr>
                  <w:divsChild>
                    <w:div w:id="900362104">
                      <w:marLeft w:val="0"/>
                      <w:marRight w:val="0"/>
                      <w:marTop w:val="0"/>
                      <w:marBottom w:val="0"/>
                      <w:divBdr>
                        <w:top w:val="none" w:sz="0" w:space="0" w:color="auto"/>
                        <w:left w:val="none" w:sz="0" w:space="0" w:color="auto"/>
                        <w:bottom w:val="none" w:sz="0" w:space="0" w:color="auto"/>
                        <w:right w:val="none" w:sz="0" w:space="0" w:color="auto"/>
                      </w:divBdr>
                      <w:divsChild>
                        <w:div w:id="900362078">
                          <w:marLeft w:val="0"/>
                          <w:marRight w:val="0"/>
                          <w:marTop w:val="0"/>
                          <w:marBottom w:val="0"/>
                          <w:divBdr>
                            <w:top w:val="none" w:sz="0" w:space="0" w:color="auto"/>
                            <w:left w:val="none" w:sz="0" w:space="0" w:color="auto"/>
                            <w:bottom w:val="none" w:sz="0" w:space="0" w:color="auto"/>
                            <w:right w:val="none" w:sz="0" w:space="0" w:color="auto"/>
                          </w:divBdr>
                          <w:divsChild>
                            <w:div w:id="90036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15">
      <w:marLeft w:val="0"/>
      <w:marRight w:val="0"/>
      <w:marTop w:val="0"/>
      <w:marBottom w:val="0"/>
      <w:divBdr>
        <w:top w:val="none" w:sz="0" w:space="0" w:color="auto"/>
        <w:left w:val="none" w:sz="0" w:space="0" w:color="auto"/>
        <w:bottom w:val="none" w:sz="0" w:space="0" w:color="auto"/>
        <w:right w:val="none" w:sz="0" w:space="0" w:color="auto"/>
      </w:divBdr>
      <w:divsChild>
        <w:div w:id="900362114">
          <w:marLeft w:val="0"/>
          <w:marRight w:val="0"/>
          <w:marTop w:val="0"/>
          <w:marBottom w:val="0"/>
          <w:divBdr>
            <w:top w:val="none" w:sz="0" w:space="0" w:color="auto"/>
            <w:left w:val="none" w:sz="0" w:space="0" w:color="auto"/>
            <w:bottom w:val="none" w:sz="0" w:space="0" w:color="auto"/>
            <w:right w:val="none" w:sz="0" w:space="0" w:color="auto"/>
          </w:divBdr>
          <w:divsChild>
            <w:div w:id="900362116">
              <w:marLeft w:val="0"/>
              <w:marRight w:val="0"/>
              <w:marTop w:val="0"/>
              <w:marBottom w:val="0"/>
              <w:divBdr>
                <w:top w:val="none" w:sz="0" w:space="0" w:color="auto"/>
                <w:left w:val="none" w:sz="0" w:space="0" w:color="auto"/>
                <w:bottom w:val="none" w:sz="0" w:space="0" w:color="auto"/>
                <w:right w:val="none" w:sz="0" w:space="0" w:color="auto"/>
              </w:divBdr>
              <w:divsChild>
                <w:div w:id="900362118">
                  <w:marLeft w:val="0"/>
                  <w:marRight w:val="0"/>
                  <w:marTop w:val="0"/>
                  <w:marBottom w:val="0"/>
                  <w:divBdr>
                    <w:top w:val="none" w:sz="0" w:space="0" w:color="auto"/>
                    <w:left w:val="none" w:sz="0" w:space="0" w:color="auto"/>
                    <w:bottom w:val="none" w:sz="0" w:space="0" w:color="auto"/>
                    <w:right w:val="none" w:sz="0" w:space="0" w:color="auto"/>
                  </w:divBdr>
                  <w:divsChild>
                    <w:div w:id="900362112">
                      <w:marLeft w:val="0"/>
                      <w:marRight w:val="0"/>
                      <w:marTop w:val="0"/>
                      <w:marBottom w:val="0"/>
                      <w:divBdr>
                        <w:top w:val="none" w:sz="0" w:space="0" w:color="auto"/>
                        <w:left w:val="none" w:sz="0" w:space="0" w:color="auto"/>
                        <w:bottom w:val="none" w:sz="0" w:space="0" w:color="auto"/>
                        <w:right w:val="none" w:sz="0" w:space="0" w:color="auto"/>
                      </w:divBdr>
                      <w:divsChild>
                        <w:div w:id="900362117">
                          <w:marLeft w:val="0"/>
                          <w:marRight w:val="0"/>
                          <w:marTop w:val="0"/>
                          <w:marBottom w:val="0"/>
                          <w:divBdr>
                            <w:top w:val="none" w:sz="0" w:space="0" w:color="auto"/>
                            <w:left w:val="none" w:sz="0" w:space="0" w:color="auto"/>
                            <w:bottom w:val="none" w:sz="0" w:space="0" w:color="auto"/>
                            <w:right w:val="none" w:sz="0" w:space="0" w:color="auto"/>
                          </w:divBdr>
                          <w:divsChild>
                            <w:div w:id="9003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24">
      <w:marLeft w:val="0"/>
      <w:marRight w:val="0"/>
      <w:marTop w:val="0"/>
      <w:marBottom w:val="0"/>
      <w:divBdr>
        <w:top w:val="none" w:sz="0" w:space="0" w:color="auto"/>
        <w:left w:val="none" w:sz="0" w:space="0" w:color="auto"/>
        <w:bottom w:val="none" w:sz="0" w:space="0" w:color="auto"/>
        <w:right w:val="none" w:sz="0" w:space="0" w:color="auto"/>
      </w:divBdr>
      <w:divsChild>
        <w:div w:id="900362125">
          <w:marLeft w:val="0"/>
          <w:marRight w:val="0"/>
          <w:marTop w:val="0"/>
          <w:marBottom w:val="0"/>
          <w:divBdr>
            <w:top w:val="none" w:sz="0" w:space="0" w:color="auto"/>
            <w:left w:val="none" w:sz="0" w:space="0" w:color="auto"/>
            <w:bottom w:val="none" w:sz="0" w:space="0" w:color="auto"/>
            <w:right w:val="none" w:sz="0" w:space="0" w:color="auto"/>
          </w:divBdr>
          <w:divsChild>
            <w:div w:id="900362120">
              <w:marLeft w:val="0"/>
              <w:marRight w:val="0"/>
              <w:marTop w:val="0"/>
              <w:marBottom w:val="0"/>
              <w:divBdr>
                <w:top w:val="none" w:sz="0" w:space="0" w:color="auto"/>
                <w:left w:val="none" w:sz="0" w:space="0" w:color="auto"/>
                <w:bottom w:val="none" w:sz="0" w:space="0" w:color="auto"/>
                <w:right w:val="none" w:sz="0" w:space="0" w:color="auto"/>
              </w:divBdr>
              <w:divsChild>
                <w:div w:id="900362122">
                  <w:marLeft w:val="0"/>
                  <w:marRight w:val="0"/>
                  <w:marTop w:val="0"/>
                  <w:marBottom w:val="0"/>
                  <w:divBdr>
                    <w:top w:val="none" w:sz="0" w:space="0" w:color="auto"/>
                    <w:left w:val="none" w:sz="0" w:space="0" w:color="auto"/>
                    <w:bottom w:val="none" w:sz="0" w:space="0" w:color="auto"/>
                    <w:right w:val="none" w:sz="0" w:space="0" w:color="auto"/>
                  </w:divBdr>
                  <w:divsChild>
                    <w:div w:id="900362121">
                      <w:marLeft w:val="0"/>
                      <w:marRight w:val="0"/>
                      <w:marTop w:val="0"/>
                      <w:marBottom w:val="0"/>
                      <w:divBdr>
                        <w:top w:val="none" w:sz="0" w:space="0" w:color="auto"/>
                        <w:left w:val="none" w:sz="0" w:space="0" w:color="auto"/>
                        <w:bottom w:val="none" w:sz="0" w:space="0" w:color="auto"/>
                        <w:right w:val="none" w:sz="0" w:space="0" w:color="auto"/>
                      </w:divBdr>
                      <w:divsChild>
                        <w:div w:id="900362123">
                          <w:marLeft w:val="0"/>
                          <w:marRight w:val="0"/>
                          <w:marTop w:val="0"/>
                          <w:marBottom w:val="0"/>
                          <w:divBdr>
                            <w:top w:val="none" w:sz="0" w:space="0" w:color="auto"/>
                            <w:left w:val="none" w:sz="0" w:space="0" w:color="auto"/>
                            <w:bottom w:val="none" w:sz="0" w:space="0" w:color="auto"/>
                            <w:right w:val="none" w:sz="0" w:space="0" w:color="auto"/>
                          </w:divBdr>
                          <w:divsChild>
                            <w:div w:id="9003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26">
      <w:marLeft w:val="0"/>
      <w:marRight w:val="0"/>
      <w:marTop w:val="0"/>
      <w:marBottom w:val="0"/>
      <w:divBdr>
        <w:top w:val="none" w:sz="0" w:space="0" w:color="auto"/>
        <w:left w:val="none" w:sz="0" w:space="0" w:color="auto"/>
        <w:bottom w:val="none" w:sz="0" w:space="0" w:color="auto"/>
        <w:right w:val="none" w:sz="0" w:space="0" w:color="auto"/>
      </w:divBdr>
    </w:div>
    <w:div w:id="900362129">
      <w:marLeft w:val="0"/>
      <w:marRight w:val="0"/>
      <w:marTop w:val="0"/>
      <w:marBottom w:val="0"/>
      <w:divBdr>
        <w:top w:val="none" w:sz="0" w:space="0" w:color="auto"/>
        <w:left w:val="none" w:sz="0" w:space="0" w:color="auto"/>
        <w:bottom w:val="none" w:sz="0" w:space="0" w:color="auto"/>
        <w:right w:val="none" w:sz="0" w:space="0" w:color="auto"/>
      </w:divBdr>
      <w:divsChild>
        <w:div w:id="900362133">
          <w:marLeft w:val="0"/>
          <w:marRight w:val="0"/>
          <w:marTop w:val="0"/>
          <w:marBottom w:val="0"/>
          <w:divBdr>
            <w:top w:val="none" w:sz="0" w:space="0" w:color="auto"/>
            <w:left w:val="none" w:sz="0" w:space="0" w:color="auto"/>
            <w:bottom w:val="none" w:sz="0" w:space="0" w:color="auto"/>
            <w:right w:val="none" w:sz="0" w:space="0" w:color="auto"/>
          </w:divBdr>
          <w:divsChild>
            <w:div w:id="900362131">
              <w:marLeft w:val="0"/>
              <w:marRight w:val="0"/>
              <w:marTop w:val="0"/>
              <w:marBottom w:val="0"/>
              <w:divBdr>
                <w:top w:val="none" w:sz="0" w:space="0" w:color="auto"/>
                <w:left w:val="none" w:sz="0" w:space="0" w:color="auto"/>
                <w:bottom w:val="none" w:sz="0" w:space="0" w:color="auto"/>
                <w:right w:val="none" w:sz="0" w:space="0" w:color="auto"/>
              </w:divBdr>
              <w:divsChild>
                <w:div w:id="900362127">
                  <w:marLeft w:val="0"/>
                  <w:marRight w:val="0"/>
                  <w:marTop w:val="0"/>
                  <w:marBottom w:val="0"/>
                  <w:divBdr>
                    <w:top w:val="none" w:sz="0" w:space="0" w:color="auto"/>
                    <w:left w:val="none" w:sz="0" w:space="0" w:color="auto"/>
                    <w:bottom w:val="none" w:sz="0" w:space="0" w:color="auto"/>
                    <w:right w:val="none" w:sz="0" w:space="0" w:color="auto"/>
                  </w:divBdr>
                  <w:divsChild>
                    <w:div w:id="900362132">
                      <w:marLeft w:val="0"/>
                      <w:marRight w:val="0"/>
                      <w:marTop w:val="0"/>
                      <w:marBottom w:val="0"/>
                      <w:divBdr>
                        <w:top w:val="none" w:sz="0" w:space="0" w:color="auto"/>
                        <w:left w:val="none" w:sz="0" w:space="0" w:color="auto"/>
                        <w:bottom w:val="none" w:sz="0" w:space="0" w:color="auto"/>
                        <w:right w:val="none" w:sz="0" w:space="0" w:color="auto"/>
                      </w:divBdr>
                      <w:divsChild>
                        <w:div w:id="900362128">
                          <w:marLeft w:val="0"/>
                          <w:marRight w:val="0"/>
                          <w:marTop w:val="0"/>
                          <w:marBottom w:val="0"/>
                          <w:divBdr>
                            <w:top w:val="none" w:sz="0" w:space="0" w:color="auto"/>
                            <w:left w:val="none" w:sz="0" w:space="0" w:color="auto"/>
                            <w:bottom w:val="none" w:sz="0" w:space="0" w:color="auto"/>
                            <w:right w:val="none" w:sz="0" w:space="0" w:color="auto"/>
                          </w:divBdr>
                          <w:divsChild>
                            <w:div w:id="9003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43">
      <w:marLeft w:val="0"/>
      <w:marRight w:val="0"/>
      <w:marTop w:val="0"/>
      <w:marBottom w:val="0"/>
      <w:divBdr>
        <w:top w:val="none" w:sz="0" w:space="0" w:color="auto"/>
        <w:left w:val="none" w:sz="0" w:space="0" w:color="auto"/>
        <w:bottom w:val="none" w:sz="0" w:space="0" w:color="auto"/>
        <w:right w:val="none" w:sz="0" w:space="0" w:color="auto"/>
      </w:divBdr>
      <w:divsChild>
        <w:div w:id="900362020">
          <w:marLeft w:val="0"/>
          <w:marRight w:val="0"/>
          <w:marTop w:val="0"/>
          <w:marBottom w:val="0"/>
          <w:divBdr>
            <w:top w:val="none" w:sz="0" w:space="0" w:color="auto"/>
            <w:left w:val="none" w:sz="0" w:space="0" w:color="auto"/>
            <w:bottom w:val="none" w:sz="0" w:space="0" w:color="auto"/>
            <w:right w:val="none" w:sz="0" w:space="0" w:color="auto"/>
          </w:divBdr>
          <w:divsChild>
            <w:div w:id="900362138">
              <w:marLeft w:val="0"/>
              <w:marRight w:val="0"/>
              <w:marTop w:val="0"/>
              <w:marBottom w:val="0"/>
              <w:divBdr>
                <w:top w:val="none" w:sz="0" w:space="0" w:color="auto"/>
                <w:left w:val="none" w:sz="0" w:space="0" w:color="auto"/>
                <w:bottom w:val="none" w:sz="0" w:space="0" w:color="auto"/>
                <w:right w:val="none" w:sz="0" w:space="0" w:color="auto"/>
              </w:divBdr>
              <w:divsChild>
                <w:div w:id="900362026">
                  <w:marLeft w:val="0"/>
                  <w:marRight w:val="0"/>
                  <w:marTop w:val="0"/>
                  <w:marBottom w:val="0"/>
                  <w:divBdr>
                    <w:top w:val="none" w:sz="0" w:space="0" w:color="auto"/>
                    <w:left w:val="none" w:sz="0" w:space="0" w:color="auto"/>
                    <w:bottom w:val="none" w:sz="0" w:space="0" w:color="auto"/>
                    <w:right w:val="none" w:sz="0" w:space="0" w:color="auto"/>
                  </w:divBdr>
                  <w:divsChild>
                    <w:div w:id="900362155">
                      <w:marLeft w:val="0"/>
                      <w:marRight w:val="0"/>
                      <w:marTop w:val="0"/>
                      <w:marBottom w:val="0"/>
                      <w:divBdr>
                        <w:top w:val="none" w:sz="0" w:space="0" w:color="auto"/>
                        <w:left w:val="none" w:sz="0" w:space="0" w:color="auto"/>
                        <w:bottom w:val="none" w:sz="0" w:space="0" w:color="auto"/>
                        <w:right w:val="none" w:sz="0" w:space="0" w:color="auto"/>
                      </w:divBdr>
                      <w:divsChild>
                        <w:div w:id="900362027">
                          <w:marLeft w:val="0"/>
                          <w:marRight w:val="0"/>
                          <w:marTop w:val="0"/>
                          <w:marBottom w:val="0"/>
                          <w:divBdr>
                            <w:top w:val="none" w:sz="0" w:space="0" w:color="auto"/>
                            <w:left w:val="none" w:sz="0" w:space="0" w:color="auto"/>
                            <w:bottom w:val="none" w:sz="0" w:space="0" w:color="auto"/>
                            <w:right w:val="none" w:sz="0" w:space="0" w:color="auto"/>
                          </w:divBdr>
                          <w:divsChild>
                            <w:div w:id="9003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44">
      <w:marLeft w:val="0"/>
      <w:marRight w:val="0"/>
      <w:marTop w:val="0"/>
      <w:marBottom w:val="0"/>
      <w:divBdr>
        <w:top w:val="none" w:sz="0" w:space="0" w:color="auto"/>
        <w:left w:val="none" w:sz="0" w:space="0" w:color="auto"/>
        <w:bottom w:val="none" w:sz="0" w:space="0" w:color="auto"/>
        <w:right w:val="none" w:sz="0" w:space="0" w:color="auto"/>
      </w:divBdr>
      <w:divsChild>
        <w:div w:id="900362014">
          <w:marLeft w:val="0"/>
          <w:marRight w:val="0"/>
          <w:marTop w:val="0"/>
          <w:marBottom w:val="0"/>
          <w:divBdr>
            <w:top w:val="none" w:sz="0" w:space="0" w:color="auto"/>
            <w:left w:val="none" w:sz="0" w:space="0" w:color="auto"/>
            <w:bottom w:val="none" w:sz="0" w:space="0" w:color="auto"/>
            <w:right w:val="none" w:sz="0" w:space="0" w:color="auto"/>
          </w:divBdr>
          <w:divsChild>
            <w:div w:id="900361997">
              <w:marLeft w:val="0"/>
              <w:marRight w:val="0"/>
              <w:marTop w:val="0"/>
              <w:marBottom w:val="0"/>
              <w:divBdr>
                <w:top w:val="none" w:sz="0" w:space="0" w:color="auto"/>
                <w:left w:val="none" w:sz="0" w:space="0" w:color="auto"/>
                <w:bottom w:val="none" w:sz="0" w:space="0" w:color="auto"/>
                <w:right w:val="none" w:sz="0" w:space="0" w:color="auto"/>
              </w:divBdr>
              <w:divsChild>
                <w:div w:id="900362135">
                  <w:marLeft w:val="0"/>
                  <w:marRight w:val="0"/>
                  <w:marTop w:val="0"/>
                  <w:marBottom w:val="0"/>
                  <w:divBdr>
                    <w:top w:val="none" w:sz="0" w:space="0" w:color="auto"/>
                    <w:left w:val="none" w:sz="0" w:space="0" w:color="auto"/>
                    <w:bottom w:val="none" w:sz="0" w:space="0" w:color="auto"/>
                    <w:right w:val="none" w:sz="0" w:space="0" w:color="auto"/>
                  </w:divBdr>
                  <w:divsChild>
                    <w:div w:id="900362007">
                      <w:marLeft w:val="0"/>
                      <w:marRight w:val="0"/>
                      <w:marTop w:val="0"/>
                      <w:marBottom w:val="0"/>
                      <w:divBdr>
                        <w:top w:val="none" w:sz="0" w:space="0" w:color="auto"/>
                        <w:left w:val="none" w:sz="0" w:space="0" w:color="auto"/>
                        <w:bottom w:val="none" w:sz="0" w:space="0" w:color="auto"/>
                        <w:right w:val="none" w:sz="0" w:space="0" w:color="auto"/>
                      </w:divBdr>
                      <w:divsChild>
                        <w:div w:id="900362149">
                          <w:marLeft w:val="0"/>
                          <w:marRight w:val="0"/>
                          <w:marTop w:val="0"/>
                          <w:marBottom w:val="0"/>
                          <w:divBdr>
                            <w:top w:val="none" w:sz="0" w:space="0" w:color="auto"/>
                            <w:left w:val="none" w:sz="0" w:space="0" w:color="auto"/>
                            <w:bottom w:val="none" w:sz="0" w:space="0" w:color="auto"/>
                            <w:right w:val="none" w:sz="0" w:space="0" w:color="auto"/>
                          </w:divBdr>
                          <w:divsChild>
                            <w:div w:id="9003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46">
      <w:marLeft w:val="0"/>
      <w:marRight w:val="0"/>
      <w:marTop w:val="0"/>
      <w:marBottom w:val="0"/>
      <w:divBdr>
        <w:top w:val="none" w:sz="0" w:space="0" w:color="auto"/>
        <w:left w:val="none" w:sz="0" w:space="0" w:color="auto"/>
        <w:bottom w:val="none" w:sz="0" w:space="0" w:color="auto"/>
        <w:right w:val="none" w:sz="0" w:space="0" w:color="auto"/>
      </w:divBdr>
      <w:divsChild>
        <w:div w:id="900362018">
          <w:marLeft w:val="0"/>
          <w:marRight w:val="0"/>
          <w:marTop w:val="0"/>
          <w:marBottom w:val="0"/>
          <w:divBdr>
            <w:top w:val="none" w:sz="0" w:space="0" w:color="auto"/>
            <w:left w:val="none" w:sz="0" w:space="0" w:color="auto"/>
            <w:bottom w:val="none" w:sz="0" w:space="0" w:color="auto"/>
            <w:right w:val="none" w:sz="0" w:space="0" w:color="auto"/>
          </w:divBdr>
          <w:divsChild>
            <w:div w:id="900362041">
              <w:marLeft w:val="0"/>
              <w:marRight w:val="0"/>
              <w:marTop w:val="0"/>
              <w:marBottom w:val="0"/>
              <w:divBdr>
                <w:top w:val="none" w:sz="0" w:space="0" w:color="auto"/>
                <w:left w:val="none" w:sz="0" w:space="0" w:color="auto"/>
                <w:bottom w:val="none" w:sz="0" w:space="0" w:color="auto"/>
                <w:right w:val="none" w:sz="0" w:space="0" w:color="auto"/>
              </w:divBdr>
              <w:divsChild>
                <w:div w:id="900362157">
                  <w:marLeft w:val="0"/>
                  <w:marRight w:val="0"/>
                  <w:marTop w:val="0"/>
                  <w:marBottom w:val="0"/>
                  <w:divBdr>
                    <w:top w:val="none" w:sz="0" w:space="0" w:color="auto"/>
                    <w:left w:val="none" w:sz="0" w:space="0" w:color="auto"/>
                    <w:bottom w:val="none" w:sz="0" w:space="0" w:color="auto"/>
                    <w:right w:val="none" w:sz="0" w:space="0" w:color="auto"/>
                  </w:divBdr>
                  <w:divsChild>
                    <w:div w:id="900362150">
                      <w:marLeft w:val="0"/>
                      <w:marRight w:val="0"/>
                      <w:marTop w:val="0"/>
                      <w:marBottom w:val="0"/>
                      <w:divBdr>
                        <w:top w:val="none" w:sz="0" w:space="0" w:color="auto"/>
                        <w:left w:val="none" w:sz="0" w:space="0" w:color="auto"/>
                        <w:bottom w:val="none" w:sz="0" w:space="0" w:color="auto"/>
                        <w:right w:val="none" w:sz="0" w:space="0" w:color="auto"/>
                      </w:divBdr>
                      <w:divsChild>
                        <w:div w:id="900362033">
                          <w:marLeft w:val="0"/>
                          <w:marRight w:val="0"/>
                          <w:marTop w:val="0"/>
                          <w:marBottom w:val="0"/>
                          <w:divBdr>
                            <w:top w:val="none" w:sz="0" w:space="0" w:color="auto"/>
                            <w:left w:val="none" w:sz="0" w:space="0" w:color="auto"/>
                            <w:bottom w:val="none" w:sz="0" w:space="0" w:color="auto"/>
                            <w:right w:val="none" w:sz="0" w:space="0" w:color="auto"/>
                          </w:divBdr>
                          <w:divsChild>
                            <w:div w:id="9003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59">
      <w:marLeft w:val="0"/>
      <w:marRight w:val="0"/>
      <w:marTop w:val="0"/>
      <w:marBottom w:val="0"/>
      <w:divBdr>
        <w:top w:val="none" w:sz="0" w:space="0" w:color="auto"/>
        <w:left w:val="none" w:sz="0" w:space="0" w:color="auto"/>
        <w:bottom w:val="none" w:sz="0" w:space="0" w:color="auto"/>
        <w:right w:val="none" w:sz="0" w:space="0" w:color="auto"/>
      </w:divBdr>
    </w:div>
    <w:div w:id="900362163">
      <w:marLeft w:val="0"/>
      <w:marRight w:val="0"/>
      <w:marTop w:val="0"/>
      <w:marBottom w:val="0"/>
      <w:divBdr>
        <w:top w:val="none" w:sz="0" w:space="0" w:color="auto"/>
        <w:left w:val="none" w:sz="0" w:space="0" w:color="auto"/>
        <w:bottom w:val="none" w:sz="0" w:space="0" w:color="auto"/>
        <w:right w:val="none" w:sz="0" w:space="0" w:color="auto"/>
      </w:divBdr>
      <w:divsChild>
        <w:div w:id="900362139">
          <w:marLeft w:val="0"/>
          <w:marRight w:val="0"/>
          <w:marTop w:val="0"/>
          <w:marBottom w:val="0"/>
          <w:divBdr>
            <w:top w:val="none" w:sz="0" w:space="0" w:color="auto"/>
            <w:left w:val="none" w:sz="0" w:space="0" w:color="auto"/>
            <w:bottom w:val="none" w:sz="0" w:space="0" w:color="auto"/>
            <w:right w:val="none" w:sz="0" w:space="0" w:color="auto"/>
          </w:divBdr>
          <w:divsChild>
            <w:div w:id="900362024">
              <w:marLeft w:val="0"/>
              <w:marRight w:val="0"/>
              <w:marTop w:val="0"/>
              <w:marBottom w:val="0"/>
              <w:divBdr>
                <w:top w:val="none" w:sz="0" w:space="0" w:color="auto"/>
                <w:left w:val="none" w:sz="0" w:space="0" w:color="auto"/>
                <w:bottom w:val="none" w:sz="0" w:space="0" w:color="auto"/>
                <w:right w:val="none" w:sz="0" w:space="0" w:color="auto"/>
              </w:divBdr>
              <w:divsChild>
                <w:div w:id="900362153">
                  <w:marLeft w:val="0"/>
                  <w:marRight w:val="0"/>
                  <w:marTop w:val="0"/>
                  <w:marBottom w:val="0"/>
                  <w:divBdr>
                    <w:top w:val="none" w:sz="0" w:space="0" w:color="auto"/>
                    <w:left w:val="none" w:sz="0" w:space="0" w:color="auto"/>
                    <w:bottom w:val="none" w:sz="0" w:space="0" w:color="auto"/>
                    <w:right w:val="none" w:sz="0" w:space="0" w:color="auto"/>
                  </w:divBdr>
                  <w:divsChild>
                    <w:div w:id="900362156">
                      <w:marLeft w:val="0"/>
                      <w:marRight w:val="0"/>
                      <w:marTop w:val="0"/>
                      <w:marBottom w:val="0"/>
                      <w:divBdr>
                        <w:top w:val="none" w:sz="0" w:space="0" w:color="auto"/>
                        <w:left w:val="none" w:sz="0" w:space="0" w:color="auto"/>
                        <w:bottom w:val="none" w:sz="0" w:space="0" w:color="auto"/>
                        <w:right w:val="none" w:sz="0" w:space="0" w:color="auto"/>
                      </w:divBdr>
                      <w:divsChild>
                        <w:div w:id="900362002">
                          <w:marLeft w:val="0"/>
                          <w:marRight w:val="0"/>
                          <w:marTop w:val="0"/>
                          <w:marBottom w:val="0"/>
                          <w:divBdr>
                            <w:top w:val="none" w:sz="0" w:space="0" w:color="auto"/>
                            <w:left w:val="none" w:sz="0" w:space="0" w:color="auto"/>
                            <w:bottom w:val="none" w:sz="0" w:space="0" w:color="auto"/>
                            <w:right w:val="none" w:sz="0" w:space="0" w:color="auto"/>
                          </w:divBdr>
                          <w:divsChild>
                            <w:div w:id="9003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65">
      <w:marLeft w:val="0"/>
      <w:marRight w:val="0"/>
      <w:marTop w:val="0"/>
      <w:marBottom w:val="0"/>
      <w:divBdr>
        <w:top w:val="none" w:sz="0" w:space="0" w:color="auto"/>
        <w:left w:val="none" w:sz="0" w:space="0" w:color="auto"/>
        <w:bottom w:val="none" w:sz="0" w:space="0" w:color="auto"/>
        <w:right w:val="none" w:sz="0" w:space="0" w:color="auto"/>
      </w:divBdr>
      <w:divsChild>
        <w:div w:id="900362203">
          <w:marLeft w:val="0"/>
          <w:marRight w:val="0"/>
          <w:marTop w:val="0"/>
          <w:marBottom w:val="0"/>
          <w:divBdr>
            <w:top w:val="none" w:sz="0" w:space="0" w:color="auto"/>
            <w:left w:val="none" w:sz="0" w:space="0" w:color="auto"/>
            <w:bottom w:val="none" w:sz="0" w:space="0" w:color="auto"/>
            <w:right w:val="none" w:sz="0" w:space="0" w:color="auto"/>
          </w:divBdr>
          <w:divsChild>
            <w:div w:id="900362197">
              <w:marLeft w:val="0"/>
              <w:marRight w:val="0"/>
              <w:marTop w:val="0"/>
              <w:marBottom w:val="0"/>
              <w:divBdr>
                <w:top w:val="none" w:sz="0" w:space="0" w:color="auto"/>
                <w:left w:val="none" w:sz="0" w:space="0" w:color="auto"/>
                <w:bottom w:val="none" w:sz="0" w:space="0" w:color="auto"/>
                <w:right w:val="none" w:sz="0" w:space="0" w:color="auto"/>
              </w:divBdr>
              <w:divsChild>
                <w:div w:id="900362189">
                  <w:marLeft w:val="0"/>
                  <w:marRight w:val="0"/>
                  <w:marTop w:val="0"/>
                  <w:marBottom w:val="0"/>
                  <w:divBdr>
                    <w:top w:val="none" w:sz="0" w:space="0" w:color="auto"/>
                    <w:left w:val="none" w:sz="0" w:space="0" w:color="auto"/>
                    <w:bottom w:val="none" w:sz="0" w:space="0" w:color="auto"/>
                    <w:right w:val="none" w:sz="0" w:space="0" w:color="auto"/>
                  </w:divBdr>
                  <w:divsChild>
                    <w:div w:id="900362175">
                      <w:marLeft w:val="0"/>
                      <w:marRight w:val="0"/>
                      <w:marTop w:val="0"/>
                      <w:marBottom w:val="0"/>
                      <w:divBdr>
                        <w:top w:val="none" w:sz="0" w:space="0" w:color="auto"/>
                        <w:left w:val="none" w:sz="0" w:space="0" w:color="auto"/>
                        <w:bottom w:val="none" w:sz="0" w:space="0" w:color="auto"/>
                        <w:right w:val="none" w:sz="0" w:space="0" w:color="auto"/>
                      </w:divBdr>
                      <w:divsChild>
                        <w:div w:id="900362173">
                          <w:marLeft w:val="0"/>
                          <w:marRight w:val="0"/>
                          <w:marTop w:val="0"/>
                          <w:marBottom w:val="0"/>
                          <w:divBdr>
                            <w:top w:val="none" w:sz="0" w:space="0" w:color="auto"/>
                            <w:left w:val="none" w:sz="0" w:space="0" w:color="auto"/>
                            <w:bottom w:val="none" w:sz="0" w:space="0" w:color="auto"/>
                            <w:right w:val="none" w:sz="0" w:space="0" w:color="auto"/>
                          </w:divBdr>
                          <w:divsChild>
                            <w:div w:id="9003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68">
      <w:marLeft w:val="0"/>
      <w:marRight w:val="0"/>
      <w:marTop w:val="0"/>
      <w:marBottom w:val="0"/>
      <w:divBdr>
        <w:top w:val="none" w:sz="0" w:space="0" w:color="auto"/>
        <w:left w:val="none" w:sz="0" w:space="0" w:color="auto"/>
        <w:bottom w:val="none" w:sz="0" w:space="0" w:color="auto"/>
        <w:right w:val="none" w:sz="0" w:space="0" w:color="auto"/>
      </w:divBdr>
      <w:divsChild>
        <w:div w:id="900362198">
          <w:marLeft w:val="0"/>
          <w:marRight w:val="0"/>
          <w:marTop w:val="0"/>
          <w:marBottom w:val="0"/>
          <w:divBdr>
            <w:top w:val="none" w:sz="0" w:space="0" w:color="auto"/>
            <w:left w:val="none" w:sz="0" w:space="0" w:color="auto"/>
            <w:bottom w:val="none" w:sz="0" w:space="0" w:color="auto"/>
            <w:right w:val="none" w:sz="0" w:space="0" w:color="auto"/>
          </w:divBdr>
          <w:divsChild>
            <w:div w:id="900362192">
              <w:marLeft w:val="0"/>
              <w:marRight w:val="0"/>
              <w:marTop w:val="0"/>
              <w:marBottom w:val="0"/>
              <w:divBdr>
                <w:top w:val="none" w:sz="0" w:space="0" w:color="auto"/>
                <w:left w:val="none" w:sz="0" w:space="0" w:color="auto"/>
                <w:bottom w:val="none" w:sz="0" w:space="0" w:color="auto"/>
                <w:right w:val="none" w:sz="0" w:space="0" w:color="auto"/>
              </w:divBdr>
              <w:divsChild>
                <w:div w:id="900362180">
                  <w:marLeft w:val="0"/>
                  <w:marRight w:val="0"/>
                  <w:marTop w:val="0"/>
                  <w:marBottom w:val="0"/>
                  <w:divBdr>
                    <w:top w:val="none" w:sz="0" w:space="0" w:color="auto"/>
                    <w:left w:val="none" w:sz="0" w:space="0" w:color="auto"/>
                    <w:bottom w:val="none" w:sz="0" w:space="0" w:color="auto"/>
                    <w:right w:val="none" w:sz="0" w:space="0" w:color="auto"/>
                  </w:divBdr>
                  <w:divsChild>
                    <w:div w:id="900362188">
                      <w:marLeft w:val="0"/>
                      <w:marRight w:val="0"/>
                      <w:marTop w:val="0"/>
                      <w:marBottom w:val="0"/>
                      <w:divBdr>
                        <w:top w:val="none" w:sz="0" w:space="0" w:color="auto"/>
                        <w:left w:val="none" w:sz="0" w:space="0" w:color="auto"/>
                        <w:bottom w:val="none" w:sz="0" w:space="0" w:color="auto"/>
                        <w:right w:val="none" w:sz="0" w:space="0" w:color="auto"/>
                      </w:divBdr>
                      <w:divsChild>
                        <w:div w:id="900362166">
                          <w:marLeft w:val="0"/>
                          <w:marRight w:val="0"/>
                          <w:marTop w:val="0"/>
                          <w:marBottom w:val="0"/>
                          <w:divBdr>
                            <w:top w:val="none" w:sz="0" w:space="0" w:color="auto"/>
                            <w:left w:val="none" w:sz="0" w:space="0" w:color="auto"/>
                            <w:bottom w:val="none" w:sz="0" w:space="0" w:color="auto"/>
                            <w:right w:val="none" w:sz="0" w:space="0" w:color="auto"/>
                          </w:divBdr>
                          <w:divsChild>
                            <w:div w:id="9003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76">
      <w:marLeft w:val="0"/>
      <w:marRight w:val="0"/>
      <w:marTop w:val="0"/>
      <w:marBottom w:val="0"/>
      <w:divBdr>
        <w:top w:val="none" w:sz="0" w:space="0" w:color="auto"/>
        <w:left w:val="none" w:sz="0" w:space="0" w:color="auto"/>
        <w:bottom w:val="none" w:sz="0" w:space="0" w:color="auto"/>
        <w:right w:val="none" w:sz="0" w:space="0" w:color="auto"/>
      </w:divBdr>
      <w:divsChild>
        <w:div w:id="900362201">
          <w:marLeft w:val="0"/>
          <w:marRight w:val="0"/>
          <w:marTop w:val="0"/>
          <w:marBottom w:val="0"/>
          <w:divBdr>
            <w:top w:val="none" w:sz="0" w:space="0" w:color="auto"/>
            <w:left w:val="none" w:sz="0" w:space="0" w:color="auto"/>
            <w:bottom w:val="none" w:sz="0" w:space="0" w:color="auto"/>
            <w:right w:val="none" w:sz="0" w:space="0" w:color="auto"/>
          </w:divBdr>
          <w:divsChild>
            <w:div w:id="900362205">
              <w:marLeft w:val="0"/>
              <w:marRight w:val="0"/>
              <w:marTop w:val="0"/>
              <w:marBottom w:val="0"/>
              <w:divBdr>
                <w:top w:val="none" w:sz="0" w:space="0" w:color="auto"/>
                <w:left w:val="none" w:sz="0" w:space="0" w:color="auto"/>
                <w:bottom w:val="none" w:sz="0" w:space="0" w:color="auto"/>
                <w:right w:val="none" w:sz="0" w:space="0" w:color="auto"/>
              </w:divBdr>
              <w:divsChild>
                <w:div w:id="900362169">
                  <w:marLeft w:val="0"/>
                  <w:marRight w:val="0"/>
                  <w:marTop w:val="0"/>
                  <w:marBottom w:val="0"/>
                  <w:divBdr>
                    <w:top w:val="none" w:sz="0" w:space="0" w:color="auto"/>
                    <w:left w:val="none" w:sz="0" w:space="0" w:color="auto"/>
                    <w:bottom w:val="none" w:sz="0" w:space="0" w:color="auto"/>
                    <w:right w:val="none" w:sz="0" w:space="0" w:color="auto"/>
                  </w:divBdr>
                  <w:divsChild>
                    <w:div w:id="900362171">
                      <w:marLeft w:val="0"/>
                      <w:marRight w:val="0"/>
                      <w:marTop w:val="0"/>
                      <w:marBottom w:val="0"/>
                      <w:divBdr>
                        <w:top w:val="none" w:sz="0" w:space="0" w:color="auto"/>
                        <w:left w:val="none" w:sz="0" w:space="0" w:color="auto"/>
                        <w:bottom w:val="none" w:sz="0" w:space="0" w:color="auto"/>
                        <w:right w:val="none" w:sz="0" w:space="0" w:color="auto"/>
                      </w:divBdr>
                      <w:divsChild>
                        <w:div w:id="900362174">
                          <w:marLeft w:val="0"/>
                          <w:marRight w:val="0"/>
                          <w:marTop w:val="0"/>
                          <w:marBottom w:val="0"/>
                          <w:divBdr>
                            <w:top w:val="none" w:sz="0" w:space="0" w:color="auto"/>
                            <w:left w:val="none" w:sz="0" w:space="0" w:color="auto"/>
                            <w:bottom w:val="none" w:sz="0" w:space="0" w:color="auto"/>
                            <w:right w:val="none" w:sz="0" w:space="0" w:color="auto"/>
                          </w:divBdr>
                          <w:divsChild>
                            <w:div w:id="9003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78">
      <w:marLeft w:val="0"/>
      <w:marRight w:val="0"/>
      <w:marTop w:val="0"/>
      <w:marBottom w:val="0"/>
      <w:divBdr>
        <w:top w:val="none" w:sz="0" w:space="0" w:color="auto"/>
        <w:left w:val="none" w:sz="0" w:space="0" w:color="auto"/>
        <w:bottom w:val="none" w:sz="0" w:space="0" w:color="auto"/>
        <w:right w:val="none" w:sz="0" w:space="0" w:color="auto"/>
      </w:divBdr>
      <w:divsChild>
        <w:div w:id="900362195">
          <w:marLeft w:val="0"/>
          <w:marRight w:val="0"/>
          <w:marTop w:val="0"/>
          <w:marBottom w:val="0"/>
          <w:divBdr>
            <w:top w:val="none" w:sz="0" w:space="0" w:color="auto"/>
            <w:left w:val="none" w:sz="0" w:space="0" w:color="auto"/>
            <w:bottom w:val="none" w:sz="0" w:space="0" w:color="auto"/>
            <w:right w:val="none" w:sz="0" w:space="0" w:color="auto"/>
          </w:divBdr>
          <w:divsChild>
            <w:div w:id="900362202">
              <w:marLeft w:val="0"/>
              <w:marRight w:val="0"/>
              <w:marTop w:val="0"/>
              <w:marBottom w:val="0"/>
              <w:divBdr>
                <w:top w:val="none" w:sz="0" w:space="0" w:color="auto"/>
                <w:left w:val="none" w:sz="0" w:space="0" w:color="auto"/>
                <w:bottom w:val="none" w:sz="0" w:space="0" w:color="auto"/>
                <w:right w:val="none" w:sz="0" w:space="0" w:color="auto"/>
              </w:divBdr>
              <w:divsChild>
                <w:div w:id="900362194">
                  <w:marLeft w:val="0"/>
                  <w:marRight w:val="0"/>
                  <w:marTop w:val="0"/>
                  <w:marBottom w:val="0"/>
                  <w:divBdr>
                    <w:top w:val="none" w:sz="0" w:space="0" w:color="auto"/>
                    <w:left w:val="none" w:sz="0" w:space="0" w:color="auto"/>
                    <w:bottom w:val="none" w:sz="0" w:space="0" w:color="auto"/>
                    <w:right w:val="none" w:sz="0" w:space="0" w:color="auto"/>
                  </w:divBdr>
                  <w:divsChild>
                    <w:div w:id="900362172">
                      <w:marLeft w:val="0"/>
                      <w:marRight w:val="0"/>
                      <w:marTop w:val="0"/>
                      <w:marBottom w:val="0"/>
                      <w:divBdr>
                        <w:top w:val="none" w:sz="0" w:space="0" w:color="auto"/>
                        <w:left w:val="none" w:sz="0" w:space="0" w:color="auto"/>
                        <w:bottom w:val="none" w:sz="0" w:space="0" w:color="auto"/>
                        <w:right w:val="none" w:sz="0" w:space="0" w:color="auto"/>
                      </w:divBdr>
                      <w:divsChild>
                        <w:div w:id="900362182">
                          <w:marLeft w:val="0"/>
                          <w:marRight w:val="0"/>
                          <w:marTop w:val="0"/>
                          <w:marBottom w:val="0"/>
                          <w:divBdr>
                            <w:top w:val="none" w:sz="0" w:space="0" w:color="auto"/>
                            <w:left w:val="none" w:sz="0" w:space="0" w:color="auto"/>
                            <w:bottom w:val="none" w:sz="0" w:space="0" w:color="auto"/>
                            <w:right w:val="none" w:sz="0" w:space="0" w:color="auto"/>
                          </w:divBdr>
                          <w:divsChild>
                            <w:div w:id="90036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85">
      <w:marLeft w:val="0"/>
      <w:marRight w:val="0"/>
      <w:marTop w:val="0"/>
      <w:marBottom w:val="0"/>
      <w:divBdr>
        <w:top w:val="none" w:sz="0" w:space="0" w:color="auto"/>
        <w:left w:val="none" w:sz="0" w:space="0" w:color="auto"/>
        <w:bottom w:val="none" w:sz="0" w:space="0" w:color="auto"/>
        <w:right w:val="none" w:sz="0" w:space="0" w:color="auto"/>
      </w:divBdr>
      <w:divsChild>
        <w:div w:id="900362179">
          <w:marLeft w:val="0"/>
          <w:marRight w:val="0"/>
          <w:marTop w:val="0"/>
          <w:marBottom w:val="0"/>
          <w:divBdr>
            <w:top w:val="none" w:sz="0" w:space="0" w:color="auto"/>
            <w:left w:val="none" w:sz="0" w:space="0" w:color="auto"/>
            <w:bottom w:val="none" w:sz="0" w:space="0" w:color="auto"/>
            <w:right w:val="none" w:sz="0" w:space="0" w:color="auto"/>
          </w:divBdr>
          <w:divsChild>
            <w:div w:id="900362167">
              <w:marLeft w:val="0"/>
              <w:marRight w:val="0"/>
              <w:marTop w:val="0"/>
              <w:marBottom w:val="0"/>
              <w:divBdr>
                <w:top w:val="none" w:sz="0" w:space="0" w:color="auto"/>
                <w:left w:val="none" w:sz="0" w:space="0" w:color="auto"/>
                <w:bottom w:val="none" w:sz="0" w:space="0" w:color="auto"/>
                <w:right w:val="none" w:sz="0" w:space="0" w:color="auto"/>
              </w:divBdr>
              <w:divsChild>
                <w:div w:id="900362187">
                  <w:marLeft w:val="0"/>
                  <w:marRight w:val="0"/>
                  <w:marTop w:val="0"/>
                  <w:marBottom w:val="0"/>
                  <w:divBdr>
                    <w:top w:val="none" w:sz="0" w:space="0" w:color="auto"/>
                    <w:left w:val="none" w:sz="0" w:space="0" w:color="auto"/>
                    <w:bottom w:val="none" w:sz="0" w:space="0" w:color="auto"/>
                    <w:right w:val="none" w:sz="0" w:space="0" w:color="auto"/>
                  </w:divBdr>
                  <w:divsChild>
                    <w:div w:id="900362177">
                      <w:marLeft w:val="0"/>
                      <w:marRight w:val="0"/>
                      <w:marTop w:val="0"/>
                      <w:marBottom w:val="0"/>
                      <w:divBdr>
                        <w:top w:val="none" w:sz="0" w:space="0" w:color="auto"/>
                        <w:left w:val="none" w:sz="0" w:space="0" w:color="auto"/>
                        <w:bottom w:val="none" w:sz="0" w:space="0" w:color="auto"/>
                        <w:right w:val="none" w:sz="0" w:space="0" w:color="auto"/>
                      </w:divBdr>
                      <w:divsChild>
                        <w:div w:id="900362181">
                          <w:marLeft w:val="0"/>
                          <w:marRight w:val="0"/>
                          <w:marTop w:val="0"/>
                          <w:marBottom w:val="0"/>
                          <w:divBdr>
                            <w:top w:val="none" w:sz="0" w:space="0" w:color="auto"/>
                            <w:left w:val="none" w:sz="0" w:space="0" w:color="auto"/>
                            <w:bottom w:val="none" w:sz="0" w:space="0" w:color="auto"/>
                            <w:right w:val="none" w:sz="0" w:space="0" w:color="auto"/>
                          </w:divBdr>
                          <w:divsChild>
                            <w:div w:id="9003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193">
      <w:marLeft w:val="0"/>
      <w:marRight w:val="0"/>
      <w:marTop w:val="0"/>
      <w:marBottom w:val="0"/>
      <w:divBdr>
        <w:top w:val="none" w:sz="0" w:space="0" w:color="auto"/>
        <w:left w:val="none" w:sz="0" w:space="0" w:color="auto"/>
        <w:bottom w:val="none" w:sz="0" w:space="0" w:color="auto"/>
        <w:right w:val="none" w:sz="0" w:space="0" w:color="auto"/>
      </w:divBdr>
      <w:divsChild>
        <w:div w:id="900362206">
          <w:marLeft w:val="0"/>
          <w:marRight w:val="0"/>
          <w:marTop w:val="0"/>
          <w:marBottom w:val="0"/>
          <w:divBdr>
            <w:top w:val="none" w:sz="0" w:space="0" w:color="auto"/>
            <w:left w:val="none" w:sz="0" w:space="0" w:color="auto"/>
            <w:bottom w:val="none" w:sz="0" w:space="0" w:color="auto"/>
            <w:right w:val="none" w:sz="0" w:space="0" w:color="auto"/>
          </w:divBdr>
          <w:divsChild>
            <w:div w:id="900362196">
              <w:marLeft w:val="0"/>
              <w:marRight w:val="0"/>
              <w:marTop w:val="0"/>
              <w:marBottom w:val="0"/>
              <w:divBdr>
                <w:top w:val="none" w:sz="0" w:space="0" w:color="auto"/>
                <w:left w:val="none" w:sz="0" w:space="0" w:color="auto"/>
                <w:bottom w:val="none" w:sz="0" w:space="0" w:color="auto"/>
                <w:right w:val="none" w:sz="0" w:space="0" w:color="auto"/>
              </w:divBdr>
              <w:divsChild>
                <w:div w:id="900362183">
                  <w:marLeft w:val="0"/>
                  <w:marRight w:val="0"/>
                  <w:marTop w:val="0"/>
                  <w:marBottom w:val="0"/>
                  <w:divBdr>
                    <w:top w:val="none" w:sz="0" w:space="0" w:color="auto"/>
                    <w:left w:val="none" w:sz="0" w:space="0" w:color="auto"/>
                    <w:bottom w:val="none" w:sz="0" w:space="0" w:color="auto"/>
                    <w:right w:val="none" w:sz="0" w:space="0" w:color="auto"/>
                  </w:divBdr>
                  <w:divsChild>
                    <w:div w:id="900362186">
                      <w:marLeft w:val="0"/>
                      <w:marRight w:val="0"/>
                      <w:marTop w:val="0"/>
                      <w:marBottom w:val="0"/>
                      <w:divBdr>
                        <w:top w:val="none" w:sz="0" w:space="0" w:color="auto"/>
                        <w:left w:val="none" w:sz="0" w:space="0" w:color="auto"/>
                        <w:bottom w:val="none" w:sz="0" w:space="0" w:color="auto"/>
                        <w:right w:val="none" w:sz="0" w:space="0" w:color="auto"/>
                      </w:divBdr>
                      <w:divsChild>
                        <w:div w:id="900362190">
                          <w:marLeft w:val="0"/>
                          <w:marRight w:val="0"/>
                          <w:marTop w:val="0"/>
                          <w:marBottom w:val="0"/>
                          <w:divBdr>
                            <w:top w:val="none" w:sz="0" w:space="0" w:color="auto"/>
                            <w:left w:val="none" w:sz="0" w:space="0" w:color="auto"/>
                            <w:bottom w:val="none" w:sz="0" w:space="0" w:color="auto"/>
                            <w:right w:val="none" w:sz="0" w:space="0" w:color="auto"/>
                          </w:divBdr>
                          <w:divsChild>
                            <w:div w:id="9003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362208">
      <w:marLeft w:val="0"/>
      <w:marRight w:val="0"/>
      <w:marTop w:val="0"/>
      <w:marBottom w:val="0"/>
      <w:divBdr>
        <w:top w:val="none" w:sz="0" w:space="0" w:color="auto"/>
        <w:left w:val="none" w:sz="0" w:space="0" w:color="auto"/>
        <w:bottom w:val="none" w:sz="0" w:space="0" w:color="auto"/>
        <w:right w:val="none" w:sz="0" w:space="0" w:color="auto"/>
      </w:divBdr>
    </w:div>
    <w:div w:id="900362211">
      <w:marLeft w:val="0"/>
      <w:marRight w:val="0"/>
      <w:marTop w:val="0"/>
      <w:marBottom w:val="0"/>
      <w:divBdr>
        <w:top w:val="none" w:sz="0" w:space="0" w:color="auto"/>
        <w:left w:val="none" w:sz="0" w:space="0" w:color="auto"/>
        <w:bottom w:val="none" w:sz="0" w:space="0" w:color="auto"/>
        <w:right w:val="none" w:sz="0" w:space="0" w:color="auto"/>
      </w:divBdr>
      <w:divsChild>
        <w:div w:id="900362215">
          <w:marLeft w:val="0"/>
          <w:marRight w:val="0"/>
          <w:marTop w:val="0"/>
          <w:marBottom w:val="0"/>
          <w:divBdr>
            <w:top w:val="none" w:sz="0" w:space="0" w:color="auto"/>
            <w:left w:val="none" w:sz="0" w:space="0" w:color="auto"/>
            <w:bottom w:val="none" w:sz="0" w:space="0" w:color="auto"/>
            <w:right w:val="none" w:sz="0" w:space="0" w:color="auto"/>
          </w:divBdr>
          <w:divsChild>
            <w:div w:id="900362222">
              <w:marLeft w:val="0"/>
              <w:marRight w:val="0"/>
              <w:marTop w:val="0"/>
              <w:marBottom w:val="0"/>
              <w:divBdr>
                <w:top w:val="none" w:sz="0" w:space="0" w:color="auto"/>
                <w:left w:val="none" w:sz="0" w:space="0" w:color="auto"/>
                <w:bottom w:val="none" w:sz="0" w:space="0" w:color="auto"/>
                <w:right w:val="none" w:sz="0" w:space="0" w:color="auto"/>
              </w:divBdr>
              <w:divsChild>
                <w:div w:id="900362216">
                  <w:marLeft w:val="0"/>
                  <w:marRight w:val="0"/>
                  <w:marTop w:val="0"/>
                  <w:marBottom w:val="0"/>
                  <w:divBdr>
                    <w:top w:val="none" w:sz="0" w:space="0" w:color="auto"/>
                    <w:left w:val="none" w:sz="0" w:space="0" w:color="auto"/>
                    <w:bottom w:val="none" w:sz="0" w:space="0" w:color="auto"/>
                    <w:right w:val="none" w:sz="0" w:space="0" w:color="auto"/>
                  </w:divBdr>
                  <w:divsChild>
                    <w:div w:id="900362224">
                      <w:marLeft w:val="0"/>
                      <w:marRight w:val="0"/>
                      <w:marTop w:val="0"/>
                      <w:marBottom w:val="0"/>
                      <w:divBdr>
                        <w:top w:val="none" w:sz="0" w:space="0" w:color="auto"/>
                        <w:left w:val="none" w:sz="0" w:space="0" w:color="auto"/>
                        <w:bottom w:val="none" w:sz="0" w:space="0" w:color="auto"/>
                        <w:right w:val="none" w:sz="0" w:space="0" w:color="auto"/>
                      </w:divBdr>
                      <w:divsChild>
                        <w:div w:id="9003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217">
      <w:marLeft w:val="0"/>
      <w:marRight w:val="0"/>
      <w:marTop w:val="0"/>
      <w:marBottom w:val="0"/>
      <w:divBdr>
        <w:top w:val="none" w:sz="0" w:space="0" w:color="auto"/>
        <w:left w:val="none" w:sz="0" w:space="0" w:color="auto"/>
        <w:bottom w:val="none" w:sz="0" w:space="0" w:color="auto"/>
        <w:right w:val="none" w:sz="0" w:space="0" w:color="auto"/>
      </w:divBdr>
      <w:divsChild>
        <w:div w:id="900362209">
          <w:marLeft w:val="0"/>
          <w:marRight w:val="0"/>
          <w:marTop w:val="0"/>
          <w:marBottom w:val="0"/>
          <w:divBdr>
            <w:top w:val="none" w:sz="0" w:space="0" w:color="auto"/>
            <w:left w:val="none" w:sz="0" w:space="0" w:color="auto"/>
            <w:bottom w:val="none" w:sz="0" w:space="0" w:color="auto"/>
            <w:right w:val="none" w:sz="0" w:space="0" w:color="auto"/>
          </w:divBdr>
          <w:divsChild>
            <w:div w:id="900362213">
              <w:marLeft w:val="0"/>
              <w:marRight w:val="0"/>
              <w:marTop w:val="0"/>
              <w:marBottom w:val="0"/>
              <w:divBdr>
                <w:top w:val="none" w:sz="0" w:space="0" w:color="auto"/>
                <w:left w:val="none" w:sz="0" w:space="0" w:color="auto"/>
                <w:bottom w:val="none" w:sz="0" w:space="0" w:color="auto"/>
                <w:right w:val="none" w:sz="0" w:space="0" w:color="auto"/>
              </w:divBdr>
              <w:divsChild>
                <w:div w:id="900361982">
                  <w:marLeft w:val="0"/>
                  <w:marRight w:val="0"/>
                  <w:marTop w:val="0"/>
                  <w:marBottom w:val="0"/>
                  <w:divBdr>
                    <w:top w:val="none" w:sz="0" w:space="0" w:color="auto"/>
                    <w:left w:val="none" w:sz="0" w:space="0" w:color="auto"/>
                    <w:bottom w:val="none" w:sz="0" w:space="0" w:color="auto"/>
                    <w:right w:val="none" w:sz="0" w:space="0" w:color="auto"/>
                  </w:divBdr>
                  <w:divsChild>
                    <w:div w:id="900362225">
                      <w:marLeft w:val="0"/>
                      <w:marRight w:val="0"/>
                      <w:marTop w:val="0"/>
                      <w:marBottom w:val="0"/>
                      <w:divBdr>
                        <w:top w:val="none" w:sz="0" w:space="0" w:color="auto"/>
                        <w:left w:val="none" w:sz="0" w:space="0" w:color="auto"/>
                        <w:bottom w:val="none" w:sz="0" w:space="0" w:color="auto"/>
                        <w:right w:val="none" w:sz="0" w:space="0" w:color="auto"/>
                      </w:divBdr>
                      <w:divsChild>
                        <w:div w:id="9003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22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clincancerres.aacrjournals.org/search?author1=Michael+C.+Heinrich&amp;sortspec=date&amp;submit=Submit" TargetMode="External"/><Relationship Id="rId26" Type="http://schemas.openxmlformats.org/officeDocument/2006/relationships/hyperlink" Target="http://europepmc.org/search?page=1&amp;query=AUTH:%22Stenman+G%22"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onlinelibrary.wiley.com/doi/10.1111/jop.2006.35.issue-5/issuetoc" TargetMode="External"/><Relationship Id="rId34" Type="http://schemas.openxmlformats.org/officeDocument/2006/relationships/hyperlink" Target="http://clincancerres.aacrjournals.org/search?author1=Michael+C.+Heinrich&amp;sortspec=date&amp;submit=Submit" TargetMode="External"/><Relationship Id="rId7" Type="http://schemas.openxmlformats.org/officeDocument/2006/relationships/hyperlink" Target="http://onlinelibrary.wiley.com/doi/10.1034/j.1601-0825.2002.02870.x/full" TargetMode="External"/><Relationship Id="rId12" Type="http://schemas.openxmlformats.org/officeDocument/2006/relationships/image" Target="media/image5.jpeg"/><Relationship Id="rId17" Type="http://schemas.openxmlformats.org/officeDocument/2006/relationships/hyperlink" Target="http://jcp.bmj.com/search?author1=Jorge+S+Reis-Filho&amp;sortspec=date&amp;submit=Submit" TargetMode="External"/><Relationship Id="rId25" Type="http://schemas.openxmlformats.org/officeDocument/2006/relationships/hyperlink" Target="http://europepmc.org/search?page=1&amp;query=AUTH:%22Astr%C3%B6m+AK%22" TargetMode="External"/><Relationship Id="rId33" Type="http://schemas.openxmlformats.org/officeDocument/2006/relationships/hyperlink" Target="http://www.ncbi.nlm.nih.gov/sites/entrez?cmd=search&amp;db=PubMed&amp;term=%20Chou%20A%5Bauth%5D"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jcp.bmj.com/search?author1=Britta+Weigelt&amp;sortspec=date&amp;submit=Submit" TargetMode="External"/><Relationship Id="rId20" Type="http://schemas.openxmlformats.org/officeDocument/2006/relationships/hyperlink" Target="http://clincancerres.aacrjournals.org/search?author1=George+D.+Demetri&amp;sortspec=date&amp;submit=Submit" TargetMode="External"/><Relationship Id="rId29" Type="http://schemas.openxmlformats.org/officeDocument/2006/relationships/hyperlink" Target="http://journals.lww.com/anatomicpathology/Abstract/2013/11000/Translocation_associated_Salivary_Gland_Tumors__A.1.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europepmc.org/search?page=1&amp;query=AUTH:%22R%C3%B6ijer+E%22" TargetMode="External"/><Relationship Id="rId32" Type="http://schemas.openxmlformats.org/officeDocument/2006/relationships/hyperlink" Target="http://www.ncbi.nlm.nih.gov/sites/entrez?cmd=search&amp;db=PubMed&amp;term=%20Phuchareon%20J%5Bauth%5D"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jcp.bmj.com/search?author1=Caterina+Marchi%C3%B2&amp;sortspec=date&amp;submit=Submit" TargetMode="External"/><Relationship Id="rId23" Type="http://schemas.openxmlformats.org/officeDocument/2006/relationships/hyperlink" Target="http://europepmc.org/search?page=1&amp;query=AUTH:%22Schoenmakers+EF%22" TargetMode="External"/><Relationship Id="rId28" Type="http://schemas.openxmlformats.org/officeDocument/2006/relationships/hyperlink" Target="http://europepmc.org/search?page=1&amp;query=JOURNAL:%22Oncogene%22" TargetMode="External"/><Relationship Id="rId36" Type="http://schemas.openxmlformats.org/officeDocument/2006/relationships/hyperlink" Target="http://clincancerres.aacrjournals.org/search?author1=George+D.+Demetri&amp;sortspec=date&amp;submit=Submit" TargetMode="External"/><Relationship Id="rId10" Type="http://schemas.openxmlformats.org/officeDocument/2006/relationships/image" Target="media/image3.png"/><Relationship Id="rId19" Type="http://schemas.openxmlformats.org/officeDocument/2006/relationships/hyperlink" Target="http://clincancerres.aacrjournals.org/search?author1=Heikki+Joensuu&amp;sortspec=date&amp;submit=Submit" TargetMode="External"/><Relationship Id="rId31" Type="http://schemas.openxmlformats.org/officeDocument/2006/relationships/hyperlink" Target="http://www.ncbi.nlm.nih.gov/sites/entrez?cmd=search&amp;db=PubMed&amp;term=%20Tetsu%20O%5Bauth%5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uropepmc.org/search?page=1&amp;query=AUTH:%22Geurts+JM%22" TargetMode="External"/><Relationship Id="rId27" Type="http://schemas.openxmlformats.org/officeDocument/2006/relationships/hyperlink" Target="http://europepmc.org/search?page=1&amp;query=AUTH:%22van+de+Ven+WJ%22" TargetMode="External"/><Relationship Id="rId30" Type="http://schemas.openxmlformats.org/officeDocument/2006/relationships/hyperlink" Target="http://search.proquest.com/openview/ddb82af463b32aa502c58d1e1b92540d/1?pq-origsite=gscholar" TargetMode="External"/><Relationship Id="rId35" Type="http://schemas.openxmlformats.org/officeDocument/2006/relationships/hyperlink" Target="http://clincancerres.aacrjournals.org/search?author1=Heikki+Joensuu&amp;sortspec=date&amp;submit=Sub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1213</TotalTime>
  <Pages>51</Pages>
  <Words>11485</Words>
  <Characters>-32766</Characters>
  <Application>Microsoft Office Outlook</Application>
  <DocSecurity>0</DocSecurity>
  <Lines>0</Lines>
  <Paragraphs>0</Paragraphs>
  <ScaleCrop>false</ScaleCrop>
  <Company>FNOL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orl8</cp:lastModifiedBy>
  <cp:revision>68</cp:revision>
  <cp:lastPrinted>2016-02-21T17:48:00Z</cp:lastPrinted>
  <dcterms:created xsi:type="dcterms:W3CDTF">2016-03-22T12:58:00Z</dcterms:created>
  <dcterms:modified xsi:type="dcterms:W3CDTF">2016-04-28T16:21:00Z</dcterms:modified>
</cp:coreProperties>
</file>