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A6" w:rsidRPr="00EF5064" w:rsidRDefault="00A129A6" w:rsidP="00A129A6">
      <w:pPr>
        <w:jc w:val="center"/>
        <w:rPr>
          <w:sz w:val="28"/>
        </w:rPr>
      </w:pPr>
      <w:r w:rsidRPr="00EF5064">
        <w:rPr>
          <w:sz w:val="28"/>
        </w:rPr>
        <w:t>Univerzita Palackého v Olomouci</w:t>
      </w:r>
    </w:p>
    <w:p w:rsidR="00A129A6" w:rsidRPr="00EF5064" w:rsidRDefault="00A129A6" w:rsidP="00A129A6">
      <w:pPr>
        <w:jc w:val="center"/>
        <w:rPr>
          <w:sz w:val="28"/>
        </w:rPr>
      </w:pPr>
      <w:r w:rsidRPr="00EF5064">
        <w:rPr>
          <w:sz w:val="28"/>
        </w:rPr>
        <w:t>Právnická fakulta</w:t>
      </w:r>
    </w:p>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Pr="00EF5064" w:rsidRDefault="00A129A6" w:rsidP="00A129A6">
      <w:pPr>
        <w:jc w:val="center"/>
        <w:rPr>
          <w:sz w:val="28"/>
        </w:rPr>
      </w:pPr>
      <w:r w:rsidRPr="00EF5064">
        <w:rPr>
          <w:sz w:val="28"/>
        </w:rPr>
        <w:t>Bc. Kateřina Přidalová</w:t>
      </w:r>
    </w:p>
    <w:p w:rsidR="00A129A6" w:rsidRPr="00EF5064" w:rsidRDefault="00C907B5" w:rsidP="00A129A6">
      <w:pPr>
        <w:jc w:val="center"/>
        <w:rPr>
          <w:sz w:val="28"/>
        </w:rPr>
      </w:pPr>
      <w:r>
        <w:rPr>
          <w:sz w:val="28"/>
        </w:rPr>
        <w:t>Žaloba</w:t>
      </w:r>
      <w:r w:rsidR="00A129A6" w:rsidRPr="00EF5064">
        <w:rPr>
          <w:sz w:val="28"/>
        </w:rPr>
        <w:t xml:space="preserve"> </w:t>
      </w:r>
      <w:r>
        <w:rPr>
          <w:sz w:val="28"/>
        </w:rPr>
        <w:t>na</w:t>
      </w:r>
      <w:r w:rsidR="00A129A6" w:rsidRPr="00EF5064">
        <w:rPr>
          <w:sz w:val="28"/>
        </w:rPr>
        <w:t xml:space="preserve"> porušení povinnosti členského státu</w:t>
      </w:r>
    </w:p>
    <w:p w:rsidR="00A129A6" w:rsidRPr="00EF5064" w:rsidRDefault="00A129A6" w:rsidP="00A129A6">
      <w:pPr>
        <w:jc w:val="center"/>
        <w:rPr>
          <w:sz w:val="28"/>
        </w:rPr>
      </w:pPr>
      <w:r w:rsidRPr="00EF5064">
        <w:rPr>
          <w:sz w:val="28"/>
        </w:rPr>
        <w:t>Diplomová práce</w:t>
      </w:r>
    </w:p>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Pr="00EF5064" w:rsidRDefault="00A129A6" w:rsidP="00A129A6">
      <w:pPr>
        <w:jc w:val="center"/>
        <w:rPr>
          <w:sz w:val="28"/>
        </w:rPr>
      </w:pPr>
      <w:r w:rsidRPr="00EF5064">
        <w:rPr>
          <w:sz w:val="28"/>
        </w:rPr>
        <w:t>Olomouc 2014</w:t>
      </w:r>
    </w:p>
    <w:p w:rsidR="00A129A6" w:rsidRDefault="00A129A6" w:rsidP="00A129A6">
      <w:r>
        <w:br w:type="page"/>
      </w:r>
    </w:p>
    <w:p w:rsidR="00A129A6" w:rsidRDefault="00A129A6" w:rsidP="00A129A6">
      <w:pPr>
        <w:pStyle w:val="Nadpisobsahu"/>
        <w:spacing w:before="120" w:after="360"/>
        <w:rPr>
          <w:rFonts w:ascii="Arial" w:eastAsiaTheme="minorHAnsi" w:hAnsi="Arial" w:cstheme="minorBidi"/>
          <w:b w:val="0"/>
          <w:bCs w:val="0"/>
          <w:color w:val="auto"/>
          <w:sz w:val="24"/>
          <w:szCs w:val="22"/>
          <w:lang w:eastAsia="en-US"/>
        </w:rPr>
      </w:pPr>
    </w:p>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Pr>
        <w:jc w:val="center"/>
      </w:pPr>
    </w:p>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Default="00A129A6" w:rsidP="00A129A6"/>
    <w:p w:rsidR="00A129A6" w:rsidRPr="002D6710" w:rsidRDefault="00A129A6" w:rsidP="00A129A6">
      <w:pPr>
        <w:autoSpaceDE w:val="0"/>
        <w:autoSpaceDN w:val="0"/>
        <w:adjustRightInd w:val="0"/>
        <w:spacing w:line="240" w:lineRule="auto"/>
        <w:rPr>
          <w:rFonts w:cs="Arial"/>
          <w:szCs w:val="24"/>
        </w:rPr>
      </w:pPr>
      <w:r w:rsidRPr="002D6710">
        <w:rPr>
          <w:rFonts w:cs="Arial"/>
          <w:szCs w:val="24"/>
        </w:rPr>
        <w:t xml:space="preserve">„Prohlašuji, že jsem </w:t>
      </w:r>
      <w:r>
        <w:rPr>
          <w:rFonts w:cs="Arial"/>
          <w:szCs w:val="24"/>
        </w:rPr>
        <w:t xml:space="preserve">diplomovou </w:t>
      </w:r>
      <w:r w:rsidRPr="002D6710">
        <w:rPr>
          <w:rFonts w:cs="Arial"/>
          <w:szCs w:val="24"/>
        </w:rPr>
        <w:t xml:space="preserve">práci na téma </w:t>
      </w:r>
      <w:r>
        <w:rPr>
          <w:rFonts w:cs="Arial"/>
          <w:szCs w:val="24"/>
        </w:rPr>
        <w:t xml:space="preserve">Řízení o porušení povinnosti členského státu </w:t>
      </w:r>
      <w:r w:rsidRPr="002D6710">
        <w:rPr>
          <w:rFonts w:cs="Arial"/>
          <w:szCs w:val="24"/>
        </w:rPr>
        <w:t>vypracovala samostatně a citovala jsem všechny použité zdroje.</w:t>
      </w:r>
      <w:r>
        <w:rPr>
          <w:rFonts w:cs="Arial"/>
          <w:szCs w:val="24"/>
        </w:rPr>
        <w:t>“</w:t>
      </w:r>
    </w:p>
    <w:p w:rsidR="00A129A6" w:rsidRDefault="00A129A6" w:rsidP="00A129A6">
      <w:pPr>
        <w:rPr>
          <w:rFonts w:cs="Arial"/>
          <w:szCs w:val="24"/>
        </w:rPr>
      </w:pPr>
    </w:p>
    <w:p w:rsidR="00A129A6" w:rsidRDefault="00A129A6" w:rsidP="00A129A6">
      <w:pPr>
        <w:rPr>
          <w:rFonts w:cs="Arial"/>
          <w:szCs w:val="24"/>
        </w:rPr>
      </w:pPr>
    </w:p>
    <w:p w:rsidR="00A129A6" w:rsidRDefault="00A129A6" w:rsidP="00A129A6">
      <w:pPr>
        <w:rPr>
          <w:rFonts w:cs="Arial"/>
          <w:szCs w:val="24"/>
        </w:rPr>
      </w:pPr>
      <w:r w:rsidRPr="002D6710">
        <w:rPr>
          <w:rFonts w:cs="Arial"/>
          <w:szCs w:val="24"/>
        </w:rPr>
        <w:t>V</w:t>
      </w:r>
      <w:r>
        <w:rPr>
          <w:rFonts w:cs="Arial"/>
          <w:szCs w:val="24"/>
        </w:rPr>
        <w:t xml:space="preserve"> Olomouci </w:t>
      </w:r>
      <w:r w:rsidRPr="002D6710">
        <w:rPr>
          <w:rFonts w:cs="Arial"/>
          <w:szCs w:val="24"/>
        </w:rPr>
        <w:t xml:space="preserve">dne </w:t>
      </w:r>
      <w:r>
        <w:rPr>
          <w:rFonts w:cs="Arial"/>
          <w:szCs w:val="24"/>
        </w:rPr>
        <w:t>27. 8. 2014</w:t>
      </w:r>
      <w:r>
        <w:rPr>
          <w:rFonts w:cs="Arial"/>
          <w:szCs w:val="24"/>
        </w:rPr>
        <w:tab/>
      </w:r>
      <w:r>
        <w:rPr>
          <w:rFonts w:cs="Arial"/>
          <w:szCs w:val="24"/>
        </w:rPr>
        <w:tab/>
      </w:r>
      <w:r>
        <w:rPr>
          <w:rFonts w:cs="Arial"/>
          <w:szCs w:val="24"/>
        </w:rPr>
        <w:tab/>
      </w:r>
      <w:r>
        <w:rPr>
          <w:rFonts w:cs="Arial"/>
          <w:szCs w:val="24"/>
        </w:rPr>
        <w:tab/>
        <w:t>……………………</w:t>
      </w:r>
      <w:proofErr w:type="gramStart"/>
      <w:r>
        <w:rPr>
          <w:rFonts w:cs="Arial"/>
          <w:szCs w:val="24"/>
        </w:rPr>
        <w:t>…..</w:t>
      </w:r>
      <w:proofErr w:type="gramEnd"/>
    </w:p>
    <w:p w:rsidR="00A129A6" w:rsidRPr="002D6710" w:rsidRDefault="00A129A6" w:rsidP="00A129A6">
      <w:pPr>
        <w:ind w:left="6381"/>
        <w:rPr>
          <w:rFonts w:cs="Arial"/>
          <w:szCs w:val="24"/>
        </w:rPr>
      </w:pPr>
      <w:r w:rsidRPr="002D6710">
        <w:rPr>
          <w:rFonts w:cs="Arial"/>
          <w:szCs w:val="24"/>
        </w:rPr>
        <w:t>Podpis</w:t>
      </w:r>
    </w:p>
    <w:p w:rsidR="00A129A6" w:rsidRDefault="00A129A6" w:rsidP="00A129A6">
      <w:pPr>
        <w:spacing w:after="200" w:line="276" w:lineRule="auto"/>
        <w:jc w:val="left"/>
      </w:pPr>
      <w:r>
        <w:br w:type="page"/>
      </w:r>
    </w:p>
    <w:sdt>
      <w:sdtPr>
        <w:rPr>
          <w:rFonts w:ascii="Arial" w:eastAsiaTheme="minorHAnsi" w:hAnsi="Arial" w:cstheme="minorBidi"/>
          <w:b w:val="0"/>
          <w:bCs w:val="0"/>
          <w:color w:val="auto"/>
          <w:sz w:val="24"/>
          <w:szCs w:val="22"/>
          <w:lang w:eastAsia="en-US"/>
        </w:rPr>
        <w:id w:val="-148833694"/>
        <w:docPartObj>
          <w:docPartGallery w:val="Table of Contents"/>
          <w:docPartUnique/>
        </w:docPartObj>
      </w:sdtPr>
      <w:sdtContent>
        <w:p w:rsidR="00A129A6" w:rsidRDefault="00A129A6">
          <w:pPr>
            <w:pStyle w:val="Nadpisobsahu"/>
          </w:pPr>
          <w:r>
            <w:t>Obsah</w:t>
          </w:r>
        </w:p>
        <w:p w:rsidR="00DE149B" w:rsidRDefault="00775B98">
          <w:pPr>
            <w:pStyle w:val="Obsah1"/>
            <w:rPr>
              <w:rFonts w:asciiTheme="minorHAnsi" w:eastAsiaTheme="minorEastAsia" w:hAnsiTheme="minorHAnsi"/>
              <w:b w:val="0"/>
              <w:sz w:val="22"/>
              <w:lang w:eastAsia="cs-CZ"/>
            </w:rPr>
          </w:pPr>
          <w:r w:rsidRPr="00775B98">
            <w:fldChar w:fldCharType="begin"/>
          </w:r>
          <w:r w:rsidR="00A129A6">
            <w:instrText xml:space="preserve"> TOC \o "1-3" \h \z \u </w:instrText>
          </w:r>
          <w:r w:rsidRPr="00775B98">
            <w:fldChar w:fldCharType="separate"/>
          </w:r>
          <w:hyperlink w:anchor="_Toc399171071" w:history="1">
            <w:r w:rsidR="00DE149B" w:rsidRPr="002F5620">
              <w:rPr>
                <w:rStyle w:val="Hypertextovodkaz"/>
              </w:rPr>
              <w:t>Úvod</w:t>
            </w:r>
            <w:r w:rsidR="00DE149B">
              <w:rPr>
                <w:webHidden/>
              </w:rPr>
              <w:tab/>
            </w:r>
            <w:r>
              <w:rPr>
                <w:webHidden/>
              </w:rPr>
              <w:fldChar w:fldCharType="begin"/>
            </w:r>
            <w:r w:rsidR="00DE149B">
              <w:rPr>
                <w:webHidden/>
              </w:rPr>
              <w:instrText xml:space="preserve"> PAGEREF _Toc399171071 \h </w:instrText>
            </w:r>
            <w:r>
              <w:rPr>
                <w:webHidden/>
              </w:rPr>
            </w:r>
            <w:r>
              <w:rPr>
                <w:webHidden/>
              </w:rPr>
              <w:fldChar w:fldCharType="separate"/>
            </w:r>
            <w:r w:rsidR="00DE149B">
              <w:rPr>
                <w:webHidden/>
              </w:rPr>
              <w:t>4</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72" w:history="1">
            <w:r w:rsidR="00DE149B" w:rsidRPr="002F5620">
              <w:rPr>
                <w:rStyle w:val="Hypertextovodkaz"/>
              </w:rPr>
              <w:t>1. Základní charakteristika řízení o žalobě na porušení povinnosti členského státu</w:t>
            </w:r>
            <w:r w:rsidR="00DE149B">
              <w:rPr>
                <w:webHidden/>
              </w:rPr>
              <w:tab/>
            </w:r>
            <w:r>
              <w:rPr>
                <w:webHidden/>
              </w:rPr>
              <w:fldChar w:fldCharType="begin"/>
            </w:r>
            <w:r w:rsidR="00DE149B">
              <w:rPr>
                <w:webHidden/>
              </w:rPr>
              <w:instrText xml:space="preserve"> PAGEREF _Toc399171072 \h </w:instrText>
            </w:r>
            <w:r>
              <w:rPr>
                <w:webHidden/>
              </w:rPr>
            </w:r>
            <w:r>
              <w:rPr>
                <w:webHidden/>
              </w:rPr>
              <w:fldChar w:fldCharType="separate"/>
            </w:r>
            <w:r w:rsidR="00DE149B">
              <w:rPr>
                <w:webHidden/>
              </w:rPr>
              <w:t>9</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73" w:history="1">
            <w:r w:rsidR="00DE149B" w:rsidRPr="002F5620">
              <w:rPr>
                <w:rStyle w:val="Hypertextovodkaz"/>
              </w:rPr>
              <w:t>2. Předmět řízení</w:t>
            </w:r>
            <w:r w:rsidR="00DE149B">
              <w:rPr>
                <w:webHidden/>
              </w:rPr>
              <w:tab/>
            </w:r>
            <w:r>
              <w:rPr>
                <w:webHidden/>
              </w:rPr>
              <w:fldChar w:fldCharType="begin"/>
            </w:r>
            <w:r w:rsidR="00DE149B">
              <w:rPr>
                <w:webHidden/>
              </w:rPr>
              <w:instrText xml:space="preserve"> PAGEREF _Toc399171073 \h </w:instrText>
            </w:r>
            <w:r>
              <w:rPr>
                <w:webHidden/>
              </w:rPr>
            </w:r>
            <w:r>
              <w:rPr>
                <w:webHidden/>
              </w:rPr>
              <w:fldChar w:fldCharType="separate"/>
            </w:r>
            <w:r w:rsidR="00DE149B">
              <w:rPr>
                <w:webHidden/>
              </w:rPr>
              <w:t>11</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74" w:history="1">
            <w:r w:rsidR="00DE149B" w:rsidRPr="002F5620">
              <w:rPr>
                <w:rStyle w:val="Hypertextovodkaz"/>
              </w:rPr>
              <w:t>3. Žalobce</w:t>
            </w:r>
            <w:r w:rsidR="00DE149B">
              <w:rPr>
                <w:webHidden/>
              </w:rPr>
              <w:tab/>
            </w:r>
            <w:r>
              <w:rPr>
                <w:webHidden/>
              </w:rPr>
              <w:fldChar w:fldCharType="begin"/>
            </w:r>
            <w:r w:rsidR="00DE149B">
              <w:rPr>
                <w:webHidden/>
              </w:rPr>
              <w:instrText xml:space="preserve"> PAGEREF _Toc399171074 \h </w:instrText>
            </w:r>
            <w:r>
              <w:rPr>
                <w:webHidden/>
              </w:rPr>
            </w:r>
            <w:r>
              <w:rPr>
                <w:webHidden/>
              </w:rPr>
              <w:fldChar w:fldCharType="separate"/>
            </w:r>
            <w:r w:rsidR="00DE149B">
              <w:rPr>
                <w:webHidden/>
              </w:rPr>
              <w:t>15</w:t>
            </w:r>
            <w:r>
              <w:rPr>
                <w:webHidden/>
              </w:rPr>
              <w:fldChar w:fldCharType="end"/>
            </w:r>
          </w:hyperlink>
        </w:p>
        <w:p w:rsidR="00DE149B" w:rsidRDefault="00775B98">
          <w:pPr>
            <w:pStyle w:val="Obsah2"/>
            <w:tabs>
              <w:tab w:val="right" w:leader="dot" w:pos="9061"/>
            </w:tabs>
            <w:rPr>
              <w:rFonts w:asciiTheme="minorHAnsi" w:eastAsiaTheme="minorEastAsia" w:hAnsiTheme="minorHAnsi"/>
              <w:noProof/>
              <w:sz w:val="22"/>
              <w:lang w:eastAsia="cs-CZ"/>
            </w:rPr>
          </w:pPr>
          <w:hyperlink w:anchor="_Toc399171075" w:history="1">
            <w:r w:rsidR="00DE149B" w:rsidRPr="002F5620">
              <w:rPr>
                <w:rStyle w:val="Hypertextovodkaz"/>
                <w:noProof/>
              </w:rPr>
              <w:t>3.1. Komise</w:t>
            </w:r>
            <w:r w:rsidR="00DE149B">
              <w:rPr>
                <w:noProof/>
                <w:webHidden/>
              </w:rPr>
              <w:tab/>
            </w:r>
            <w:r>
              <w:rPr>
                <w:noProof/>
                <w:webHidden/>
              </w:rPr>
              <w:fldChar w:fldCharType="begin"/>
            </w:r>
            <w:r w:rsidR="00DE149B">
              <w:rPr>
                <w:noProof/>
                <w:webHidden/>
              </w:rPr>
              <w:instrText xml:space="preserve"> PAGEREF _Toc399171075 \h </w:instrText>
            </w:r>
            <w:r>
              <w:rPr>
                <w:noProof/>
                <w:webHidden/>
              </w:rPr>
            </w:r>
            <w:r>
              <w:rPr>
                <w:noProof/>
                <w:webHidden/>
              </w:rPr>
              <w:fldChar w:fldCharType="separate"/>
            </w:r>
            <w:r w:rsidR="00DE149B">
              <w:rPr>
                <w:noProof/>
                <w:webHidden/>
              </w:rPr>
              <w:t>15</w:t>
            </w:r>
            <w:r>
              <w:rPr>
                <w:noProof/>
                <w:webHidden/>
              </w:rPr>
              <w:fldChar w:fldCharType="end"/>
            </w:r>
          </w:hyperlink>
        </w:p>
        <w:p w:rsidR="00DE149B" w:rsidRDefault="00775B98">
          <w:pPr>
            <w:pStyle w:val="Obsah2"/>
            <w:tabs>
              <w:tab w:val="right" w:leader="dot" w:pos="9061"/>
            </w:tabs>
            <w:rPr>
              <w:rFonts w:asciiTheme="minorHAnsi" w:eastAsiaTheme="minorEastAsia" w:hAnsiTheme="minorHAnsi"/>
              <w:noProof/>
              <w:sz w:val="22"/>
              <w:lang w:eastAsia="cs-CZ"/>
            </w:rPr>
          </w:pPr>
          <w:hyperlink w:anchor="_Toc399171076" w:history="1">
            <w:r w:rsidR="00DE149B" w:rsidRPr="002F5620">
              <w:rPr>
                <w:rStyle w:val="Hypertextovodkaz"/>
                <w:noProof/>
              </w:rPr>
              <w:t>3.2. Členský stát</w:t>
            </w:r>
            <w:r w:rsidR="00DE149B">
              <w:rPr>
                <w:noProof/>
                <w:webHidden/>
              </w:rPr>
              <w:tab/>
            </w:r>
            <w:r>
              <w:rPr>
                <w:noProof/>
                <w:webHidden/>
              </w:rPr>
              <w:fldChar w:fldCharType="begin"/>
            </w:r>
            <w:r w:rsidR="00DE149B">
              <w:rPr>
                <w:noProof/>
                <w:webHidden/>
              </w:rPr>
              <w:instrText xml:space="preserve"> PAGEREF _Toc399171076 \h </w:instrText>
            </w:r>
            <w:r>
              <w:rPr>
                <w:noProof/>
                <w:webHidden/>
              </w:rPr>
            </w:r>
            <w:r>
              <w:rPr>
                <w:noProof/>
                <w:webHidden/>
              </w:rPr>
              <w:fldChar w:fldCharType="separate"/>
            </w:r>
            <w:r w:rsidR="00DE149B">
              <w:rPr>
                <w:noProof/>
                <w:webHidden/>
              </w:rPr>
              <w:t>18</w:t>
            </w:r>
            <w:r>
              <w:rPr>
                <w:noProof/>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77" w:history="1">
            <w:r w:rsidR="00DE149B" w:rsidRPr="002F5620">
              <w:rPr>
                <w:rStyle w:val="Hypertextovodkaz"/>
              </w:rPr>
              <w:t>4. Průběh řízení</w:t>
            </w:r>
            <w:r w:rsidR="00DE149B">
              <w:rPr>
                <w:webHidden/>
              </w:rPr>
              <w:tab/>
            </w:r>
            <w:r>
              <w:rPr>
                <w:webHidden/>
              </w:rPr>
              <w:fldChar w:fldCharType="begin"/>
            </w:r>
            <w:r w:rsidR="00DE149B">
              <w:rPr>
                <w:webHidden/>
              </w:rPr>
              <w:instrText xml:space="preserve"> PAGEREF _Toc399171077 \h </w:instrText>
            </w:r>
            <w:r>
              <w:rPr>
                <w:webHidden/>
              </w:rPr>
            </w:r>
            <w:r>
              <w:rPr>
                <w:webHidden/>
              </w:rPr>
              <w:fldChar w:fldCharType="separate"/>
            </w:r>
            <w:r w:rsidR="00DE149B">
              <w:rPr>
                <w:webHidden/>
              </w:rPr>
              <w:t>21</w:t>
            </w:r>
            <w:r>
              <w:rPr>
                <w:webHidden/>
              </w:rPr>
              <w:fldChar w:fldCharType="end"/>
            </w:r>
          </w:hyperlink>
        </w:p>
        <w:p w:rsidR="00DE149B" w:rsidRDefault="00775B98">
          <w:pPr>
            <w:pStyle w:val="Obsah2"/>
            <w:tabs>
              <w:tab w:val="right" w:leader="dot" w:pos="9061"/>
            </w:tabs>
            <w:rPr>
              <w:rFonts w:asciiTheme="minorHAnsi" w:eastAsiaTheme="minorEastAsia" w:hAnsiTheme="minorHAnsi"/>
              <w:noProof/>
              <w:sz w:val="22"/>
              <w:lang w:eastAsia="cs-CZ"/>
            </w:rPr>
          </w:pPr>
          <w:hyperlink w:anchor="_Toc399171078" w:history="1">
            <w:r w:rsidR="00DE149B" w:rsidRPr="002F5620">
              <w:rPr>
                <w:rStyle w:val="Hypertextovodkaz"/>
                <w:noProof/>
              </w:rPr>
              <w:t>4.1. Zahájení</w:t>
            </w:r>
            <w:r w:rsidR="00DE149B">
              <w:rPr>
                <w:noProof/>
                <w:webHidden/>
              </w:rPr>
              <w:tab/>
            </w:r>
            <w:r>
              <w:rPr>
                <w:noProof/>
                <w:webHidden/>
              </w:rPr>
              <w:fldChar w:fldCharType="begin"/>
            </w:r>
            <w:r w:rsidR="00DE149B">
              <w:rPr>
                <w:noProof/>
                <w:webHidden/>
              </w:rPr>
              <w:instrText xml:space="preserve"> PAGEREF _Toc399171078 \h </w:instrText>
            </w:r>
            <w:r>
              <w:rPr>
                <w:noProof/>
                <w:webHidden/>
              </w:rPr>
            </w:r>
            <w:r>
              <w:rPr>
                <w:noProof/>
                <w:webHidden/>
              </w:rPr>
              <w:fldChar w:fldCharType="separate"/>
            </w:r>
            <w:r w:rsidR="00DE149B">
              <w:rPr>
                <w:noProof/>
                <w:webHidden/>
              </w:rPr>
              <w:t>21</w:t>
            </w:r>
            <w:r>
              <w:rPr>
                <w:noProof/>
                <w:webHidden/>
              </w:rPr>
              <w:fldChar w:fldCharType="end"/>
            </w:r>
          </w:hyperlink>
        </w:p>
        <w:p w:rsidR="00DE149B" w:rsidRDefault="00775B98">
          <w:pPr>
            <w:pStyle w:val="Obsah2"/>
            <w:tabs>
              <w:tab w:val="right" w:leader="dot" w:pos="9061"/>
            </w:tabs>
            <w:rPr>
              <w:rFonts w:asciiTheme="minorHAnsi" w:eastAsiaTheme="minorEastAsia" w:hAnsiTheme="minorHAnsi"/>
              <w:noProof/>
              <w:sz w:val="22"/>
              <w:lang w:eastAsia="cs-CZ"/>
            </w:rPr>
          </w:pPr>
          <w:hyperlink w:anchor="_Toc399171079" w:history="1">
            <w:r w:rsidR="00DE149B" w:rsidRPr="002F5620">
              <w:rPr>
                <w:rStyle w:val="Hypertextovodkaz"/>
                <w:noProof/>
              </w:rPr>
              <w:t>4.2. Neformální vyjednávání</w:t>
            </w:r>
            <w:r w:rsidR="00DE149B">
              <w:rPr>
                <w:noProof/>
                <w:webHidden/>
              </w:rPr>
              <w:tab/>
            </w:r>
            <w:r>
              <w:rPr>
                <w:noProof/>
                <w:webHidden/>
              </w:rPr>
              <w:fldChar w:fldCharType="begin"/>
            </w:r>
            <w:r w:rsidR="00DE149B">
              <w:rPr>
                <w:noProof/>
                <w:webHidden/>
              </w:rPr>
              <w:instrText xml:space="preserve"> PAGEREF _Toc399171079 \h </w:instrText>
            </w:r>
            <w:r>
              <w:rPr>
                <w:noProof/>
                <w:webHidden/>
              </w:rPr>
            </w:r>
            <w:r>
              <w:rPr>
                <w:noProof/>
                <w:webHidden/>
              </w:rPr>
              <w:fldChar w:fldCharType="separate"/>
            </w:r>
            <w:r w:rsidR="00DE149B">
              <w:rPr>
                <w:noProof/>
                <w:webHidden/>
              </w:rPr>
              <w:t>24</w:t>
            </w:r>
            <w:r>
              <w:rPr>
                <w:noProof/>
                <w:webHidden/>
              </w:rPr>
              <w:fldChar w:fldCharType="end"/>
            </w:r>
          </w:hyperlink>
        </w:p>
        <w:p w:rsidR="00DE149B" w:rsidRDefault="00775B98">
          <w:pPr>
            <w:pStyle w:val="Obsah2"/>
            <w:tabs>
              <w:tab w:val="right" w:leader="dot" w:pos="9061"/>
            </w:tabs>
            <w:rPr>
              <w:rFonts w:asciiTheme="minorHAnsi" w:eastAsiaTheme="minorEastAsia" w:hAnsiTheme="minorHAnsi"/>
              <w:noProof/>
              <w:sz w:val="22"/>
              <w:lang w:eastAsia="cs-CZ"/>
            </w:rPr>
          </w:pPr>
          <w:hyperlink w:anchor="_Toc399171080" w:history="1">
            <w:r w:rsidR="00DE149B" w:rsidRPr="002F5620">
              <w:rPr>
                <w:rStyle w:val="Hypertextovodkaz"/>
                <w:noProof/>
              </w:rPr>
              <w:t>4.3. Administrativní fáze</w:t>
            </w:r>
            <w:r w:rsidR="00DE149B">
              <w:rPr>
                <w:noProof/>
                <w:webHidden/>
              </w:rPr>
              <w:tab/>
            </w:r>
            <w:r>
              <w:rPr>
                <w:noProof/>
                <w:webHidden/>
              </w:rPr>
              <w:fldChar w:fldCharType="begin"/>
            </w:r>
            <w:r w:rsidR="00DE149B">
              <w:rPr>
                <w:noProof/>
                <w:webHidden/>
              </w:rPr>
              <w:instrText xml:space="preserve"> PAGEREF _Toc399171080 \h </w:instrText>
            </w:r>
            <w:r>
              <w:rPr>
                <w:noProof/>
                <w:webHidden/>
              </w:rPr>
            </w:r>
            <w:r>
              <w:rPr>
                <w:noProof/>
                <w:webHidden/>
              </w:rPr>
              <w:fldChar w:fldCharType="separate"/>
            </w:r>
            <w:r w:rsidR="00DE149B">
              <w:rPr>
                <w:noProof/>
                <w:webHidden/>
              </w:rPr>
              <w:t>25</w:t>
            </w:r>
            <w:r>
              <w:rPr>
                <w:noProof/>
                <w:webHidden/>
              </w:rPr>
              <w:fldChar w:fldCharType="end"/>
            </w:r>
          </w:hyperlink>
        </w:p>
        <w:p w:rsidR="00DE149B" w:rsidRDefault="00775B98">
          <w:pPr>
            <w:pStyle w:val="Obsah2"/>
            <w:tabs>
              <w:tab w:val="right" w:leader="dot" w:pos="9061"/>
            </w:tabs>
            <w:rPr>
              <w:rFonts w:asciiTheme="minorHAnsi" w:eastAsiaTheme="minorEastAsia" w:hAnsiTheme="minorHAnsi"/>
              <w:noProof/>
              <w:sz w:val="22"/>
              <w:lang w:eastAsia="cs-CZ"/>
            </w:rPr>
          </w:pPr>
          <w:hyperlink w:anchor="_Toc399171081" w:history="1">
            <w:r w:rsidR="00DE149B" w:rsidRPr="002F5620">
              <w:rPr>
                <w:rStyle w:val="Hypertextovodkaz"/>
                <w:noProof/>
              </w:rPr>
              <w:t>4.4. Soudní fáze</w:t>
            </w:r>
            <w:r w:rsidR="00DE149B">
              <w:rPr>
                <w:noProof/>
                <w:webHidden/>
              </w:rPr>
              <w:tab/>
            </w:r>
            <w:r>
              <w:rPr>
                <w:noProof/>
                <w:webHidden/>
              </w:rPr>
              <w:fldChar w:fldCharType="begin"/>
            </w:r>
            <w:r w:rsidR="00DE149B">
              <w:rPr>
                <w:noProof/>
                <w:webHidden/>
              </w:rPr>
              <w:instrText xml:space="preserve"> PAGEREF _Toc399171081 \h </w:instrText>
            </w:r>
            <w:r>
              <w:rPr>
                <w:noProof/>
                <w:webHidden/>
              </w:rPr>
            </w:r>
            <w:r>
              <w:rPr>
                <w:noProof/>
                <w:webHidden/>
              </w:rPr>
              <w:fldChar w:fldCharType="separate"/>
            </w:r>
            <w:r w:rsidR="00DE149B">
              <w:rPr>
                <w:noProof/>
                <w:webHidden/>
              </w:rPr>
              <w:t>28</w:t>
            </w:r>
            <w:r>
              <w:rPr>
                <w:noProof/>
                <w:webHidden/>
              </w:rPr>
              <w:fldChar w:fldCharType="end"/>
            </w:r>
          </w:hyperlink>
        </w:p>
        <w:p w:rsidR="00DE149B" w:rsidRDefault="00775B98">
          <w:pPr>
            <w:pStyle w:val="Obsah2"/>
            <w:tabs>
              <w:tab w:val="right" w:leader="dot" w:pos="9061"/>
            </w:tabs>
            <w:rPr>
              <w:rFonts w:asciiTheme="minorHAnsi" w:eastAsiaTheme="minorEastAsia" w:hAnsiTheme="minorHAnsi"/>
              <w:noProof/>
              <w:sz w:val="22"/>
              <w:lang w:eastAsia="cs-CZ"/>
            </w:rPr>
          </w:pPr>
          <w:hyperlink w:anchor="_Toc399171082" w:history="1">
            <w:r w:rsidR="00DE149B" w:rsidRPr="002F5620">
              <w:rPr>
                <w:rStyle w:val="Hypertextovodkaz"/>
                <w:noProof/>
              </w:rPr>
              <w:t>4.5. Sankční řízení</w:t>
            </w:r>
            <w:r w:rsidR="00DE149B">
              <w:rPr>
                <w:noProof/>
                <w:webHidden/>
              </w:rPr>
              <w:tab/>
            </w:r>
            <w:r>
              <w:rPr>
                <w:noProof/>
                <w:webHidden/>
              </w:rPr>
              <w:fldChar w:fldCharType="begin"/>
            </w:r>
            <w:r w:rsidR="00DE149B">
              <w:rPr>
                <w:noProof/>
                <w:webHidden/>
              </w:rPr>
              <w:instrText xml:space="preserve"> PAGEREF _Toc399171082 \h </w:instrText>
            </w:r>
            <w:r>
              <w:rPr>
                <w:noProof/>
                <w:webHidden/>
              </w:rPr>
            </w:r>
            <w:r>
              <w:rPr>
                <w:noProof/>
                <w:webHidden/>
              </w:rPr>
              <w:fldChar w:fldCharType="separate"/>
            </w:r>
            <w:r w:rsidR="00DE149B">
              <w:rPr>
                <w:noProof/>
                <w:webHidden/>
              </w:rPr>
              <w:t>32</w:t>
            </w:r>
            <w:r>
              <w:rPr>
                <w:noProof/>
                <w:webHidden/>
              </w:rPr>
              <w:fldChar w:fldCharType="end"/>
            </w:r>
          </w:hyperlink>
        </w:p>
        <w:p w:rsidR="00DE149B" w:rsidRDefault="00775B98">
          <w:pPr>
            <w:pStyle w:val="Obsah3"/>
            <w:tabs>
              <w:tab w:val="right" w:leader="dot" w:pos="9061"/>
            </w:tabs>
            <w:rPr>
              <w:rFonts w:asciiTheme="minorHAnsi" w:eastAsiaTheme="minorEastAsia" w:hAnsiTheme="minorHAnsi"/>
              <w:noProof/>
              <w:sz w:val="22"/>
              <w:lang w:eastAsia="cs-CZ"/>
            </w:rPr>
          </w:pPr>
          <w:hyperlink w:anchor="_Toc399171083" w:history="1">
            <w:r w:rsidR="00DE149B" w:rsidRPr="002F5620">
              <w:rPr>
                <w:rStyle w:val="Hypertextovodkaz"/>
                <w:noProof/>
              </w:rPr>
              <w:t>4.5.1. Účel ukládání sankcí</w:t>
            </w:r>
            <w:r w:rsidR="00DE149B">
              <w:rPr>
                <w:noProof/>
                <w:webHidden/>
              </w:rPr>
              <w:tab/>
            </w:r>
            <w:r>
              <w:rPr>
                <w:noProof/>
                <w:webHidden/>
              </w:rPr>
              <w:fldChar w:fldCharType="begin"/>
            </w:r>
            <w:r w:rsidR="00DE149B">
              <w:rPr>
                <w:noProof/>
                <w:webHidden/>
              </w:rPr>
              <w:instrText xml:space="preserve"> PAGEREF _Toc399171083 \h </w:instrText>
            </w:r>
            <w:r>
              <w:rPr>
                <w:noProof/>
                <w:webHidden/>
              </w:rPr>
            </w:r>
            <w:r>
              <w:rPr>
                <w:noProof/>
                <w:webHidden/>
              </w:rPr>
              <w:fldChar w:fldCharType="separate"/>
            </w:r>
            <w:r w:rsidR="00DE149B">
              <w:rPr>
                <w:noProof/>
                <w:webHidden/>
              </w:rPr>
              <w:t>37</w:t>
            </w:r>
            <w:r>
              <w:rPr>
                <w:noProof/>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84" w:history="1">
            <w:r w:rsidR="00DE149B" w:rsidRPr="002F5620">
              <w:rPr>
                <w:rStyle w:val="Hypertextovodkaz"/>
              </w:rPr>
              <w:t>5. Funkce a význam žaloby</w:t>
            </w:r>
            <w:r w:rsidR="00DE149B">
              <w:rPr>
                <w:webHidden/>
              </w:rPr>
              <w:tab/>
            </w:r>
            <w:r>
              <w:rPr>
                <w:webHidden/>
              </w:rPr>
              <w:fldChar w:fldCharType="begin"/>
            </w:r>
            <w:r w:rsidR="00DE149B">
              <w:rPr>
                <w:webHidden/>
              </w:rPr>
              <w:instrText xml:space="preserve"> PAGEREF _Toc399171084 \h </w:instrText>
            </w:r>
            <w:r>
              <w:rPr>
                <w:webHidden/>
              </w:rPr>
            </w:r>
            <w:r>
              <w:rPr>
                <w:webHidden/>
              </w:rPr>
              <w:fldChar w:fldCharType="separate"/>
            </w:r>
            <w:r w:rsidR="00DE149B">
              <w:rPr>
                <w:webHidden/>
              </w:rPr>
              <w:t>38</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85" w:history="1">
            <w:r w:rsidR="00DE149B" w:rsidRPr="002F5620">
              <w:rPr>
                <w:rStyle w:val="Hypertextovodkaz"/>
              </w:rPr>
              <w:t>6. Statistiky</w:t>
            </w:r>
            <w:r w:rsidR="00DE149B">
              <w:rPr>
                <w:webHidden/>
              </w:rPr>
              <w:tab/>
            </w:r>
            <w:r>
              <w:rPr>
                <w:webHidden/>
              </w:rPr>
              <w:fldChar w:fldCharType="begin"/>
            </w:r>
            <w:r w:rsidR="00DE149B">
              <w:rPr>
                <w:webHidden/>
              </w:rPr>
              <w:instrText xml:space="preserve"> PAGEREF _Toc399171085 \h </w:instrText>
            </w:r>
            <w:r>
              <w:rPr>
                <w:webHidden/>
              </w:rPr>
            </w:r>
            <w:r>
              <w:rPr>
                <w:webHidden/>
              </w:rPr>
              <w:fldChar w:fldCharType="separate"/>
            </w:r>
            <w:r w:rsidR="00DE149B">
              <w:rPr>
                <w:webHidden/>
              </w:rPr>
              <w:t>44</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86" w:history="1">
            <w:r w:rsidR="00DE149B" w:rsidRPr="002F5620">
              <w:rPr>
                <w:rStyle w:val="Hypertextovodkaz"/>
              </w:rPr>
              <w:t>Závěr</w:t>
            </w:r>
            <w:r w:rsidR="00DE149B">
              <w:rPr>
                <w:webHidden/>
              </w:rPr>
              <w:tab/>
            </w:r>
            <w:r>
              <w:rPr>
                <w:webHidden/>
              </w:rPr>
              <w:fldChar w:fldCharType="begin"/>
            </w:r>
            <w:r w:rsidR="00DE149B">
              <w:rPr>
                <w:webHidden/>
              </w:rPr>
              <w:instrText xml:space="preserve"> PAGEREF _Toc399171086 \h </w:instrText>
            </w:r>
            <w:r>
              <w:rPr>
                <w:webHidden/>
              </w:rPr>
            </w:r>
            <w:r>
              <w:rPr>
                <w:webHidden/>
              </w:rPr>
              <w:fldChar w:fldCharType="separate"/>
            </w:r>
            <w:r w:rsidR="00DE149B">
              <w:rPr>
                <w:webHidden/>
              </w:rPr>
              <w:t>46</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87" w:history="1">
            <w:r w:rsidR="00DE149B" w:rsidRPr="002F5620">
              <w:rPr>
                <w:rStyle w:val="Hypertextovodkaz"/>
              </w:rPr>
              <w:t>Přílohy</w:t>
            </w:r>
            <w:r w:rsidR="00DE149B">
              <w:rPr>
                <w:webHidden/>
              </w:rPr>
              <w:tab/>
            </w:r>
            <w:r>
              <w:rPr>
                <w:webHidden/>
              </w:rPr>
              <w:fldChar w:fldCharType="begin"/>
            </w:r>
            <w:r w:rsidR="00DE149B">
              <w:rPr>
                <w:webHidden/>
              </w:rPr>
              <w:instrText xml:space="preserve"> PAGEREF _Toc399171087 \h </w:instrText>
            </w:r>
            <w:r>
              <w:rPr>
                <w:webHidden/>
              </w:rPr>
            </w:r>
            <w:r>
              <w:rPr>
                <w:webHidden/>
              </w:rPr>
              <w:fldChar w:fldCharType="separate"/>
            </w:r>
            <w:r w:rsidR="00DE149B">
              <w:rPr>
                <w:webHidden/>
              </w:rPr>
              <w:t>50</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88" w:history="1">
            <w:r w:rsidR="00DE149B">
              <w:rPr>
                <w:rStyle w:val="Hypertextovodkaz"/>
              </w:rPr>
              <w:t>Příloha č. 1 -</w:t>
            </w:r>
            <w:r w:rsidR="00DE149B" w:rsidRPr="002F5620">
              <w:rPr>
                <w:rStyle w:val="Hypertextovodkaz"/>
              </w:rPr>
              <w:t xml:space="preserve"> Znění článků 258 </w:t>
            </w:r>
            <w:r w:rsidR="00DE149B" w:rsidRPr="002F5620">
              <w:rPr>
                <w:rStyle w:val="Hypertextovodkaz"/>
              </w:rPr>
              <w:noBreakHyphen/>
              <w:t xml:space="preserve"> 260 SFEU</w:t>
            </w:r>
            <w:r w:rsidR="00DE149B">
              <w:rPr>
                <w:webHidden/>
              </w:rPr>
              <w:tab/>
            </w:r>
            <w:r>
              <w:rPr>
                <w:webHidden/>
              </w:rPr>
              <w:fldChar w:fldCharType="begin"/>
            </w:r>
            <w:r w:rsidR="00DE149B">
              <w:rPr>
                <w:webHidden/>
              </w:rPr>
              <w:instrText xml:space="preserve"> PAGEREF _Toc399171088 \h </w:instrText>
            </w:r>
            <w:r>
              <w:rPr>
                <w:webHidden/>
              </w:rPr>
            </w:r>
            <w:r>
              <w:rPr>
                <w:webHidden/>
              </w:rPr>
              <w:fldChar w:fldCharType="separate"/>
            </w:r>
            <w:r w:rsidR="00DE149B">
              <w:rPr>
                <w:webHidden/>
              </w:rPr>
              <w:t>51</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89" w:history="1">
            <w:r w:rsidR="00DE149B" w:rsidRPr="002F5620">
              <w:rPr>
                <w:rStyle w:val="Hypertextovodkaz"/>
              </w:rPr>
              <w:t>Příloha č. 2</w:t>
            </w:r>
            <w:r w:rsidR="00DE149B">
              <w:rPr>
                <w:rStyle w:val="Hypertextovodkaz"/>
              </w:rPr>
              <w:t xml:space="preserve"> - Zvláštní faktor „n“</w:t>
            </w:r>
            <w:r w:rsidR="00DE149B">
              <w:rPr>
                <w:webHidden/>
              </w:rPr>
              <w:tab/>
            </w:r>
            <w:r>
              <w:rPr>
                <w:webHidden/>
              </w:rPr>
              <w:fldChar w:fldCharType="begin"/>
            </w:r>
            <w:r w:rsidR="00DE149B">
              <w:rPr>
                <w:webHidden/>
              </w:rPr>
              <w:instrText xml:space="preserve"> PAGEREF _Toc399171089 \h </w:instrText>
            </w:r>
            <w:r>
              <w:rPr>
                <w:webHidden/>
              </w:rPr>
            </w:r>
            <w:r>
              <w:rPr>
                <w:webHidden/>
              </w:rPr>
              <w:fldChar w:fldCharType="separate"/>
            </w:r>
            <w:r w:rsidR="00DE149B">
              <w:rPr>
                <w:webHidden/>
              </w:rPr>
              <w:t>53</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90" w:history="1">
            <w:r w:rsidR="00DE149B" w:rsidRPr="002F5620">
              <w:rPr>
                <w:rStyle w:val="Hypertextovodkaz"/>
              </w:rPr>
              <w:t>Příloha č. 3 - Česká republika a statistika</w:t>
            </w:r>
            <w:r w:rsidR="00DE149B">
              <w:rPr>
                <w:webHidden/>
              </w:rPr>
              <w:tab/>
            </w:r>
            <w:r>
              <w:rPr>
                <w:webHidden/>
              </w:rPr>
              <w:fldChar w:fldCharType="begin"/>
            </w:r>
            <w:r w:rsidR="00DE149B">
              <w:rPr>
                <w:webHidden/>
              </w:rPr>
              <w:instrText xml:space="preserve"> PAGEREF _Toc399171090 \h </w:instrText>
            </w:r>
            <w:r>
              <w:rPr>
                <w:webHidden/>
              </w:rPr>
            </w:r>
            <w:r>
              <w:rPr>
                <w:webHidden/>
              </w:rPr>
              <w:fldChar w:fldCharType="separate"/>
            </w:r>
            <w:r w:rsidR="00DE149B">
              <w:rPr>
                <w:webHidden/>
              </w:rPr>
              <w:t>54</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91" w:history="1">
            <w:r w:rsidR="00DE149B">
              <w:rPr>
                <w:rStyle w:val="Hypertextovodkaz"/>
              </w:rPr>
              <w:t>Seznam zdrojů</w:t>
            </w:r>
            <w:r w:rsidR="00DE149B">
              <w:rPr>
                <w:webHidden/>
              </w:rPr>
              <w:tab/>
            </w:r>
            <w:r>
              <w:rPr>
                <w:webHidden/>
              </w:rPr>
              <w:fldChar w:fldCharType="begin"/>
            </w:r>
            <w:r w:rsidR="00DE149B">
              <w:rPr>
                <w:webHidden/>
              </w:rPr>
              <w:instrText xml:space="preserve"> PAGEREF _Toc399171091 \h </w:instrText>
            </w:r>
            <w:r>
              <w:rPr>
                <w:webHidden/>
              </w:rPr>
            </w:r>
            <w:r>
              <w:rPr>
                <w:webHidden/>
              </w:rPr>
              <w:fldChar w:fldCharType="separate"/>
            </w:r>
            <w:r w:rsidR="00DE149B">
              <w:rPr>
                <w:webHidden/>
              </w:rPr>
              <w:t>60</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92" w:history="1">
            <w:r w:rsidR="00DE149B" w:rsidRPr="002F5620">
              <w:rPr>
                <w:rStyle w:val="Hypertextovodkaz"/>
              </w:rPr>
              <w:t>Abstract</w:t>
            </w:r>
            <w:r w:rsidR="00DE149B">
              <w:rPr>
                <w:webHidden/>
              </w:rPr>
              <w:tab/>
            </w:r>
            <w:r>
              <w:rPr>
                <w:webHidden/>
              </w:rPr>
              <w:fldChar w:fldCharType="begin"/>
            </w:r>
            <w:r w:rsidR="00DE149B">
              <w:rPr>
                <w:webHidden/>
              </w:rPr>
              <w:instrText xml:space="preserve"> PAGEREF _Toc399171092 \h </w:instrText>
            </w:r>
            <w:r>
              <w:rPr>
                <w:webHidden/>
              </w:rPr>
            </w:r>
            <w:r>
              <w:rPr>
                <w:webHidden/>
              </w:rPr>
              <w:fldChar w:fldCharType="separate"/>
            </w:r>
            <w:r w:rsidR="00DE149B">
              <w:rPr>
                <w:webHidden/>
              </w:rPr>
              <w:t>63</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93" w:history="1">
            <w:r w:rsidR="00DE149B" w:rsidRPr="002F5620">
              <w:rPr>
                <w:rStyle w:val="Hypertextovodkaz"/>
              </w:rPr>
              <w:t>Abstrakt</w:t>
            </w:r>
            <w:r w:rsidR="00DE149B">
              <w:rPr>
                <w:webHidden/>
              </w:rPr>
              <w:tab/>
            </w:r>
            <w:r>
              <w:rPr>
                <w:webHidden/>
              </w:rPr>
              <w:fldChar w:fldCharType="begin"/>
            </w:r>
            <w:r w:rsidR="00DE149B">
              <w:rPr>
                <w:webHidden/>
              </w:rPr>
              <w:instrText xml:space="preserve"> PAGEREF _Toc399171093 \h </w:instrText>
            </w:r>
            <w:r>
              <w:rPr>
                <w:webHidden/>
              </w:rPr>
            </w:r>
            <w:r>
              <w:rPr>
                <w:webHidden/>
              </w:rPr>
              <w:fldChar w:fldCharType="separate"/>
            </w:r>
            <w:r w:rsidR="00DE149B">
              <w:rPr>
                <w:webHidden/>
              </w:rPr>
              <w:t>63</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94" w:history="1">
            <w:r w:rsidR="00DE149B" w:rsidRPr="002F5620">
              <w:rPr>
                <w:rStyle w:val="Hypertextovodkaz"/>
              </w:rPr>
              <w:t>List of keywords</w:t>
            </w:r>
            <w:r w:rsidR="00DE149B">
              <w:rPr>
                <w:webHidden/>
              </w:rPr>
              <w:tab/>
            </w:r>
            <w:r>
              <w:rPr>
                <w:webHidden/>
              </w:rPr>
              <w:fldChar w:fldCharType="begin"/>
            </w:r>
            <w:r w:rsidR="00DE149B">
              <w:rPr>
                <w:webHidden/>
              </w:rPr>
              <w:instrText xml:space="preserve"> PAGEREF _Toc399171094 \h </w:instrText>
            </w:r>
            <w:r>
              <w:rPr>
                <w:webHidden/>
              </w:rPr>
            </w:r>
            <w:r>
              <w:rPr>
                <w:webHidden/>
              </w:rPr>
              <w:fldChar w:fldCharType="separate"/>
            </w:r>
            <w:r w:rsidR="00DE149B">
              <w:rPr>
                <w:webHidden/>
              </w:rPr>
              <w:t>64</w:t>
            </w:r>
            <w:r>
              <w:rPr>
                <w:webHidden/>
              </w:rPr>
              <w:fldChar w:fldCharType="end"/>
            </w:r>
          </w:hyperlink>
        </w:p>
        <w:p w:rsidR="00DE149B" w:rsidRDefault="00775B98">
          <w:pPr>
            <w:pStyle w:val="Obsah1"/>
            <w:rPr>
              <w:rFonts w:asciiTheme="minorHAnsi" w:eastAsiaTheme="minorEastAsia" w:hAnsiTheme="minorHAnsi"/>
              <w:b w:val="0"/>
              <w:sz w:val="22"/>
              <w:lang w:eastAsia="cs-CZ"/>
            </w:rPr>
          </w:pPr>
          <w:hyperlink w:anchor="_Toc399171095" w:history="1">
            <w:r w:rsidR="00DE149B" w:rsidRPr="002F5620">
              <w:rPr>
                <w:rStyle w:val="Hypertextovodkaz"/>
              </w:rPr>
              <w:t>Seznam klíčových slov</w:t>
            </w:r>
            <w:r w:rsidR="00DE149B">
              <w:rPr>
                <w:webHidden/>
              </w:rPr>
              <w:tab/>
            </w:r>
            <w:r>
              <w:rPr>
                <w:webHidden/>
              </w:rPr>
              <w:fldChar w:fldCharType="begin"/>
            </w:r>
            <w:r w:rsidR="00DE149B">
              <w:rPr>
                <w:webHidden/>
              </w:rPr>
              <w:instrText xml:space="preserve"> PAGEREF _Toc399171095 \h </w:instrText>
            </w:r>
            <w:r>
              <w:rPr>
                <w:webHidden/>
              </w:rPr>
            </w:r>
            <w:r>
              <w:rPr>
                <w:webHidden/>
              </w:rPr>
              <w:fldChar w:fldCharType="separate"/>
            </w:r>
            <w:r w:rsidR="00DE149B">
              <w:rPr>
                <w:webHidden/>
              </w:rPr>
              <w:t>64</w:t>
            </w:r>
            <w:r>
              <w:rPr>
                <w:webHidden/>
              </w:rPr>
              <w:fldChar w:fldCharType="end"/>
            </w:r>
          </w:hyperlink>
        </w:p>
        <w:p w:rsidR="00A129A6" w:rsidRDefault="00775B98">
          <w:r>
            <w:rPr>
              <w:b/>
              <w:bCs/>
            </w:rPr>
            <w:fldChar w:fldCharType="end"/>
          </w:r>
        </w:p>
      </w:sdtContent>
    </w:sdt>
    <w:p w:rsidR="00BD022B" w:rsidRPr="00BD022B" w:rsidRDefault="00BD022B" w:rsidP="00E46832">
      <w:pPr>
        <w:pStyle w:val="Nadpis1"/>
      </w:pPr>
      <w:bookmarkStart w:id="0" w:name="_Toc398901321"/>
      <w:bookmarkStart w:id="1" w:name="_Toc399171071"/>
      <w:r w:rsidRPr="00BD022B">
        <w:lastRenderedPageBreak/>
        <w:t>Úvod</w:t>
      </w:r>
      <w:bookmarkEnd w:id="0"/>
      <w:bookmarkEnd w:id="1"/>
    </w:p>
    <w:p w:rsidR="008F26AA" w:rsidRPr="008F26AA" w:rsidRDefault="008F26AA" w:rsidP="008F26AA">
      <w:pPr>
        <w:ind w:firstLine="708"/>
        <w:rPr>
          <w:rFonts w:cs="Arial"/>
        </w:rPr>
      </w:pPr>
      <w:r w:rsidRPr="008F26AA">
        <w:rPr>
          <w:rFonts w:cs="Arial"/>
        </w:rPr>
        <w:t xml:space="preserve">Již při vstupu stávajících členských zemí do Evropských společenství, případně do Evropské unie, každá z nich počítala se vzdáním se části své suverenity a s tím i části svých svrchovaných pravomocí, a to vše ve prospěch </w:t>
      </w:r>
      <w:proofErr w:type="spellStart"/>
      <w:r w:rsidRPr="008F26AA">
        <w:rPr>
          <w:rFonts w:cs="Arial"/>
        </w:rPr>
        <w:t>supranacionálního</w:t>
      </w:r>
      <w:proofErr w:type="spellEnd"/>
      <w:r w:rsidRPr="008F26AA">
        <w:rPr>
          <w:rFonts w:cs="Arial"/>
        </w:rPr>
        <w:t xml:space="preserve"> integračního celku, dnes již s vlastní právní subjektivitou. Ono přistoupení s sebou nese mimo jiné i přijetí „komunitární“ právní úpravy a z toho vyplývající povinnost chování se v souladu s ní, což se může stát velmi obtížným, jak se později v této práci můžeme sami přesvědčit. Když už došlo ze strany Evropské unie k určitému nastavení „pravidel hry“, vyvstala tedy i nutnost, aby je poté její hráči důsledně dodržovali. Pro efektivní fungování právního systému Evropské unie je tedy nutností mít k dispozici mimo jiné i nástroje, které budou dohlížet nad řádným dodržováním tohoto práva ze strany členských států, a bude případně možné jejich prostřednictvím </w:t>
      </w:r>
      <w:r>
        <w:rPr>
          <w:rFonts w:cs="Arial"/>
        </w:rPr>
        <w:t xml:space="preserve">se </w:t>
      </w:r>
      <w:r w:rsidRPr="008F26AA">
        <w:rPr>
          <w:rFonts w:cs="Arial"/>
        </w:rPr>
        <w:t>takového žádoucího chování po členských státech alespoň do</w:t>
      </w:r>
      <w:r>
        <w:rPr>
          <w:rFonts w:cs="Arial"/>
        </w:rPr>
        <w:t> </w:t>
      </w:r>
      <w:r w:rsidRPr="008F26AA">
        <w:rPr>
          <w:rFonts w:cs="Arial"/>
        </w:rPr>
        <w:t xml:space="preserve">určité míry domoci. </w:t>
      </w:r>
    </w:p>
    <w:p w:rsidR="008F26AA" w:rsidRPr="008F26AA" w:rsidRDefault="008F26AA" w:rsidP="008F26AA">
      <w:pPr>
        <w:ind w:firstLine="708"/>
        <w:rPr>
          <w:rFonts w:cs="Arial"/>
        </w:rPr>
      </w:pPr>
      <w:r w:rsidRPr="008F26AA">
        <w:rPr>
          <w:rFonts w:cs="Arial"/>
        </w:rPr>
        <w:t xml:space="preserve">Obecným a nejdůležitějším nástrojem k prosazování unijního práva, kterým Unie dbá nad jeho dodržováním ze strany členských zemí, je </w:t>
      </w:r>
      <w:r w:rsidRPr="00E4220F">
        <w:rPr>
          <w:rFonts w:cs="Arial"/>
        </w:rPr>
        <w:t>žaloba pro porušení povinnosti členského státu upravená v čl. 258 až 260 SFEU</w:t>
      </w:r>
      <w:r w:rsidRPr="008F26AA">
        <w:rPr>
          <w:rFonts w:cs="Arial"/>
        </w:rPr>
        <w:t xml:space="preserve">, na níž se právě v této práci podrobně zaměřím (také „dozorčí žaloba“). </w:t>
      </w:r>
    </w:p>
    <w:p w:rsidR="008F26AA" w:rsidRPr="008F26AA" w:rsidRDefault="008F26AA" w:rsidP="008F26AA">
      <w:pPr>
        <w:ind w:firstLine="708"/>
        <w:rPr>
          <w:rFonts w:cs="Arial"/>
        </w:rPr>
      </w:pPr>
      <w:r w:rsidRPr="008F26AA">
        <w:rPr>
          <w:rFonts w:cs="Arial"/>
        </w:rPr>
        <w:t xml:space="preserve">Vedle tohoto obecného ochranného mechanismu existují také dva specifické nástroje k prosazování práva Evropské unie. Prvním z nich je </w:t>
      </w:r>
      <w:r w:rsidRPr="00E4220F">
        <w:rPr>
          <w:rFonts w:cs="Arial"/>
        </w:rPr>
        <w:t>řízení podle čl. 7 SEU</w:t>
      </w:r>
      <w:r w:rsidRPr="008F26AA">
        <w:rPr>
          <w:rFonts w:cs="Arial"/>
        </w:rPr>
        <w:t>, které zmocňuje Radu EU či Evropskou radu k omezení práv členských států, pro případ, že by z jejich strany došlo k závažnému (a trvajícímu) porušení hodnot Evropské unie.</w:t>
      </w:r>
      <w:r w:rsidR="009D6B1A">
        <w:rPr>
          <w:rStyle w:val="Znakapoznpodarou"/>
          <w:rFonts w:cs="Arial"/>
        </w:rPr>
        <w:footnoteReference w:id="1"/>
      </w:r>
      <w:r w:rsidRPr="008F26AA">
        <w:rPr>
          <w:rFonts w:cs="Arial"/>
        </w:rPr>
        <w:t xml:space="preserve"> </w:t>
      </w:r>
      <w:r w:rsidR="00637755" w:rsidRPr="00637755">
        <w:rPr>
          <w:rFonts w:cs="Arial"/>
        </w:rPr>
        <w:t xml:space="preserve">V porovnání s Žalobou na porušení Smlouvy má tento institut jednoznačně užší rozsah působnosti, jelikož lze postihnout pouze jednání narušující hodnoty EU, jako jsou například podpora hospodářského a sociálního pokroku, vysoká úroveň zaměstnanosti, dosahování vyváženého a udržitelného rozvoje, </w:t>
      </w:r>
      <w:r w:rsidR="00637755" w:rsidRPr="00637755">
        <w:rPr>
          <w:rFonts w:cs="Arial"/>
        </w:rPr>
        <w:lastRenderedPageBreak/>
        <w:t>posilování hospodářské a sociální soudržnosti a jiné</w:t>
      </w:r>
      <w:r w:rsidR="00637755" w:rsidRPr="00637755">
        <w:rPr>
          <w:rFonts w:cs="Arial"/>
          <w:vertAlign w:val="superscript"/>
        </w:rPr>
        <w:footnoteReference w:id="2"/>
      </w:r>
      <w:r w:rsidR="00637755" w:rsidRPr="00637755">
        <w:rPr>
          <w:rFonts w:cs="Arial"/>
        </w:rPr>
        <w:t>. Druhým významným rozdílem je orgán, který o porušení těchto hodnot rozhoduje. Zatímco u porušení Smlouvy dle čl. 258</w:t>
      </w:r>
      <w:r w:rsidR="00637755" w:rsidRPr="00637755">
        <w:rPr>
          <w:rFonts w:cs="Arial"/>
        </w:rPr>
        <w:noBreakHyphen/>
        <w:t xml:space="preserve">260 SFEU rozhoduje nadnárodní nezávislá Komise a případně Soudní dvůr, v případě čl. 7 SEU rozhodují o porušení samy členské státy, a to v mezivládních orgánech – Radě EU, případně Evropské radě, přičemž samotnému rozhodnutí musí předcházet souhlas Evropského parlamentu.        </w:t>
      </w:r>
    </w:p>
    <w:p w:rsidR="008F26AA" w:rsidRDefault="008F26AA" w:rsidP="008F26AA">
      <w:pPr>
        <w:ind w:firstLine="708"/>
        <w:rPr>
          <w:rFonts w:cs="Arial"/>
        </w:rPr>
      </w:pPr>
      <w:r w:rsidRPr="008F26AA">
        <w:rPr>
          <w:rFonts w:cs="Arial"/>
        </w:rPr>
        <w:t xml:space="preserve">Druhý specifický nástroj byl vytvořen za účelem prosazování pravidel fiskální disciplíny. </w:t>
      </w:r>
      <w:r w:rsidRPr="00E4220F">
        <w:rPr>
          <w:rFonts w:cs="Arial"/>
        </w:rPr>
        <w:t>Článek 126 SFEU</w:t>
      </w:r>
      <w:r w:rsidRPr="008F26AA">
        <w:rPr>
          <w:rFonts w:cs="Arial"/>
        </w:rPr>
        <w:t xml:space="preserve"> totiž členským zemím stanoví povinnost, aby se zdržely nadměrných schodků veřejných financí, </w:t>
      </w:r>
      <w:proofErr w:type="gramStart"/>
      <w:r w:rsidRPr="008F26AA">
        <w:rPr>
          <w:rFonts w:cs="Arial"/>
        </w:rPr>
        <w:t>tzn. aby</w:t>
      </w:r>
      <w:proofErr w:type="gramEnd"/>
      <w:r w:rsidRPr="008F26AA">
        <w:rPr>
          <w:rFonts w:cs="Arial"/>
        </w:rPr>
        <w:t xml:space="preserve"> si hlídaly v</w:t>
      </w:r>
      <w:r w:rsidRPr="008F26AA">
        <w:rPr>
          <w:rFonts w:cs="Arial"/>
          <w:bCs/>
        </w:rPr>
        <w:t>ýši hrubého veřejného dluhu a deficit veřejného rozpočtu</w:t>
      </w:r>
      <w:r w:rsidRPr="008F26AA">
        <w:rPr>
          <w:rFonts w:cs="Arial"/>
        </w:rPr>
        <w:t>.</w:t>
      </w:r>
      <w:r w:rsidRPr="008F26AA">
        <w:rPr>
          <w:rFonts w:cs="Arial"/>
          <w:vertAlign w:val="superscript"/>
        </w:rPr>
        <w:footnoteReference w:id="3"/>
      </w:r>
      <w:r w:rsidR="00637755">
        <w:rPr>
          <w:rStyle w:val="Znakapoznpodarou"/>
          <w:rFonts w:cs="Arial"/>
        </w:rPr>
        <w:footnoteReference w:id="4"/>
      </w:r>
    </w:p>
    <w:p w:rsidR="00637755" w:rsidRPr="002E514B" w:rsidRDefault="008B103C" w:rsidP="00637755">
      <w:pPr>
        <w:ind w:firstLine="708"/>
        <w:rPr>
          <w:rFonts w:cs="Arial"/>
        </w:rPr>
      </w:pPr>
      <w:r>
        <w:rPr>
          <w:rFonts w:cs="Arial"/>
        </w:rPr>
        <w:t>Vedle toho členské státy v</w:t>
      </w:r>
      <w:r w:rsidR="00637755" w:rsidRPr="00552BAE">
        <w:rPr>
          <w:rFonts w:cs="Arial"/>
        </w:rPr>
        <w:t> návaznosti na hospodářskou krizi přijaly v roce 2012 Smlouvu o stabilitě, koordinaci a správě v Hospodářské a měnové unii, tzv</w:t>
      </w:r>
      <w:r w:rsidR="00637755" w:rsidRPr="00407C85">
        <w:rPr>
          <w:rFonts w:cs="Arial"/>
        </w:rPr>
        <w:t>.</w:t>
      </w:r>
      <w:r>
        <w:rPr>
          <w:rFonts w:cs="Arial"/>
        </w:rPr>
        <w:t> </w:t>
      </w:r>
      <w:r w:rsidR="00637755" w:rsidRPr="00407C85">
        <w:rPr>
          <w:rFonts w:cs="Arial"/>
        </w:rPr>
        <w:t>fiskální pakt</w:t>
      </w:r>
      <w:r w:rsidR="00637755" w:rsidRPr="00552BAE">
        <w:rPr>
          <w:rFonts w:cs="Arial"/>
        </w:rPr>
        <w:t>. Z důvodů nepřipojení se Velké Británie a České republiky k tomuto paktu, se jedná pouze o mezivládní dohodu</w:t>
      </w:r>
      <w:r w:rsidR="00637755" w:rsidRPr="00552BAE">
        <w:rPr>
          <w:rStyle w:val="Znakapoznpodarou"/>
          <w:rFonts w:cs="Arial"/>
        </w:rPr>
        <w:footnoteReference w:id="5"/>
      </w:r>
      <w:r w:rsidR="00637755" w:rsidRPr="00552BAE">
        <w:rPr>
          <w:rFonts w:cs="Arial"/>
        </w:rPr>
        <w:t>. Tento fiskální pakt je tedy pramenem mezinárodního práva veřejného, nikoli součástí práva unijního.  Na unijní pravidla fiskální disciplíny nicméně navazuje. Ve své části věnované rozpočtům členských států vytváří mechanismus prosazování práva, když umožňuje Soudnímu dvoru sankcionovat pokutami ty smluvní státy, které nezajistí potřebné změny vnitrostátního práva (zejména prostřednictvím ústavních norem), jež by zaručily jejich vyrovnané hospodaření.</w:t>
      </w:r>
      <w:r w:rsidR="00637755" w:rsidRPr="00552BAE">
        <w:rPr>
          <w:rStyle w:val="Znakapoznpodarou"/>
          <w:rFonts w:cs="Arial"/>
        </w:rPr>
        <w:footnoteReference w:id="6"/>
      </w:r>
    </w:p>
    <w:p w:rsidR="008F26AA" w:rsidRPr="008F26AA" w:rsidRDefault="008F26AA" w:rsidP="008F26AA">
      <w:pPr>
        <w:ind w:firstLine="708"/>
        <w:rPr>
          <w:rFonts w:cs="Arial"/>
        </w:rPr>
      </w:pPr>
      <w:r w:rsidRPr="008F26AA">
        <w:rPr>
          <w:rFonts w:cs="Arial"/>
        </w:rPr>
        <w:t xml:space="preserve">Jak už bylo řečeno na začátku, tato práce se bude podrobněji zabývat právě tím nejvýznamnějším kontrolně-sankčním mechanismem, a to žalobou na porušení povinnosti členského státu, kterou je možno podat v tzv. řízení o porušení povinnosti </w:t>
      </w:r>
      <w:r w:rsidRPr="008F26AA">
        <w:rPr>
          <w:rFonts w:cs="Arial"/>
        </w:rPr>
        <w:lastRenderedPageBreak/>
        <w:t>členského státu</w:t>
      </w:r>
      <w:r w:rsidRPr="008F26AA">
        <w:rPr>
          <w:rFonts w:cs="Arial"/>
          <w:vertAlign w:val="superscript"/>
        </w:rPr>
        <w:footnoteReference w:id="7"/>
      </w:r>
      <w:r w:rsidRPr="008F26AA">
        <w:rPr>
          <w:rFonts w:cs="Arial"/>
        </w:rPr>
        <w:t xml:space="preserve">. Celá tato diplomová práce bude vycházet z právní úpravy platné k 30. dubnu 2014. </w:t>
      </w:r>
    </w:p>
    <w:p w:rsidR="008F26AA" w:rsidRPr="008F26AA" w:rsidRDefault="008F26AA" w:rsidP="008F26AA">
      <w:pPr>
        <w:ind w:firstLine="708"/>
        <w:rPr>
          <w:rFonts w:cs="Arial"/>
        </w:rPr>
      </w:pPr>
      <w:r w:rsidRPr="008F26AA">
        <w:rPr>
          <w:rFonts w:cs="Arial"/>
        </w:rPr>
        <w:t>Úkolem této práce bude řízení o porušení povinnosti podrobně vysvětlit, zamyslet se nad jeho významem a účelem, pro který bylo vytvořeno. Následně si</w:t>
      </w:r>
      <w:r w:rsidR="00E43641">
        <w:rPr>
          <w:rFonts w:cs="Arial"/>
        </w:rPr>
        <w:t> </w:t>
      </w:r>
      <w:r w:rsidRPr="008F26AA">
        <w:rPr>
          <w:rFonts w:cs="Arial"/>
        </w:rPr>
        <w:t>také musíme odpovědět na otázku, zda všechna očekávání řízení splňuje. Nezbytné bude věnovat část práce i subjektům, bez kterých by řízení nebylo možné zahájit, a</w:t>
      </w:r>
      <w:r w:rsidR="00E43641">
        <w:rPr>
          <w:rFonts w:cs="Arial"/>
        </w:rPr>
        <w:t> </w:t>
      </w:r>
      <w:r w:rsidRPr="008F26AA">
        <w:rPr>
          <w:rFonts w:cs="Arial"/>
        </w:rPr>
        <w:t>to žalobcům. Hlavní roli zde bude hrát především Komise, ale nesmíme opomenout ani členské státy v řízení dle čl. 259 SFEU a zajisté i důležité postavení jednotlivců, i když oni sami se stát žalobci nemohou. Dále se chci věnovat i zajímavým statistickým údajům, jako například k jakému typu porušení dochází nejvíce, které státy porušují Smlouvy nejčastěji, jak je na tom s plněním svých povinností Česká republika, zda převažuje řízení podle čl. 258 SFEU či podle čl. 259 SFEU a z jakého důvodu atd. Tyto statistické údaje by měly sloužit jako nástin praxe a jistě pomohou celé řízení barvitěji dokreslit. Práce by měla rovněž poukázat na</w:t>
      </w:r>
      <w:r w:rsidR="00E43641">
        <w:rPr>
          <w:rFonts w:cs="Arial"/>
        </w:rPr>
        <w:t> </w:t>
      </w:r>
      <w:r w:rsidRPr="008F26AA">
        <w:rPr>
          <w:rFonts w:cs="Arial"/>
        </w:rPr>
        <w:t>diskutabilní vlastnosti řízení o porušení povinnosti členského státu. Markantní je například vliv Komise, kdy je to právě ona, kdo je „pánem“ celého řízení a bez nadsázky lze tvrdit, že průběh převážné části řízení záleží výhradně na jejím uvážení.</w:t>
      </w:r>
    </w:p>
    <w:p w:rsidR="00190796" w:rsidRPr="00190796" w:rsidRDefault="000A6360" w:rsidP="00190796">
      <w:pPr>
        <w:ind w:firstLine="708"/>
        <w:rPr>
          <w:rFonts w:cs="Arial"/>
        </w:rPr>
      </w:pPr>
      <w:r w:rsidRPr="000A6360">
        <w:rPr>
          <w:rFonts w:cs="Arial"/>
        </w:rPr>
        <w:t>Pokud se podíváme</w:t>
      </w:r>
      <w:r>
        <w:rPr>
          <w:rFonts w:cs="Arial"/>
        </w:rPr>
        <w:t xml:space="preserve"> na dnes dostupný okruh literatury, která se věnuje tématu řízení o porušení povinnosti členského státu, zjistíme, že </w:t>
      </w:r>
      <w:r w:rsidR="00F41341">
        <w:rPr>
          <w:rFonts w:cs="Arial"/>
        </w:rPr>
        <w:t>výběr</w:t>
      </w:r>
      <w:r>
        <w:rPr>
          <w:rFonts w:cs="Arial"/>
        </w:rPr>
        <w:t xml:space="preserve"> odborné literatury a</w:t>
      </w:r>
      <w:r w:rsidR="00190796">
        <w:rPr>
          <w:rFonts w:cs="Arial"/>
        </w:rPr>
        <w:t> </w:t>
      </w:r>
      <w:r>
        <w:rPr>
          <w:rFonts w:cs="Arial"/>
        </w:rPr>
        <w:t xml:space="preserve">odborných článků </w:t>
      </w:r>
      <w:r w:rsidR="00F41341">
        <w:rPr>
          <w:rFonts w:cs="Arial"/>
        </w:rPr>
        <w:t>není nikterak rozsáhlý</w:t>
      </w:r>
      <w:r>
        <w:rPr>
          <w:rFonts w:cs="Arial"/>
        </w:rPr>
        <w:t xml:space="preserve">. </w:t>
      </w:r>
      <w:r w:rsidR="00F41341">
        <w:rPr>
          <w:rFonts w:cs="Arial"/>
        </w:rPr>
        <w:t>Pokud následně porovnáme literaturu českou a zahraniční, musím konstatovat, že zahraniční literatura řízení rozebírá mnohem podrobněji, zatímco česká literatura celé řízení popisuje spíše povrchově a</w:t>
      </w:r>
      <w:r w:rsidR="00190796">
        <w:rPr>
          <w:rFonts w:cs="Arial"/>
        </w:rPr>
        <w:t> </w:t>
      </w:r>
      <w:r w:rsidR="00F41341">
        <w:rPr>
          <w:rFonts w:cs="Arial"/>
        </w:rPr>
        <w:t>dle mého názoru se ve většině případů nesnaží proniknout do této problematiky hlouběji. Jedním z důvodů může být také fakt, že se stalo toto téma v České republice aktuálním teprve po roce 2004, tedy po vstupu ČR do Evropské unie.</w:t>
      </w:r>
      <w:r w:rsidR="00190796">
        <w:rPr>
          <w:rFonts w:cs="Arial"/>
        </w:rPr>
        <w:t xml:space="preserve"> </w:t>
      </w:r>
      <w:r w:rsidR="00D4302D">
        <w:rPr>
          <w:rFonts w:cs="Arial"/>
        </w:rPr>
        <w:t xml:space="preserve">Přehledně zpracovanou odbornou knihou, která se z velké části věnuje i tématu řízení o porušení povinnosti, je dle mého názoru kniha </w:t>
      </w:r>
      <w:r w:rsidR="00190796">
        <w:rPr>
          <w:rFonts w:cs="Arial"/>
        </w:rPr>
        <w:t>s názvem „</w:t>
      </w:r>
      <w:r w:rsidR="00190796" w:rsidRPr="00190796">
        <w:rPr>
          <w:rFonts w:cs="Arial"/>
          <w:i/>
        </w:rPr>
        <w:t xml:space="preserve">EU </w:t>
      </w:r>
      <w:proofErr w:type="spellStart"/>
      <w:r w:rsidR="00190796" w:rsidRPr="00190796">
        <w:rPr>
          <w:rFonts w:cs="Arial"/>
          <w:i/>
        </w:rPr>
        <w:t>law</w:t>
      </w:r>
      <w:proofErr w:type="spellEnd"/>
      <w:r w:rsidR="00190796" w:rsidRPr="00190796">
        <w:rPr>
          <w:rFonts w:cs="Arial"/>
          <w:i/>
        </w:rPr>
        <w:t xml:space="preserve">: Text, </w:t>
      </w:r>
      <w:proofErr w:type="spellStart"/>
      <w:r w:rsidR="00190796" w:rsidRPr="00190796">
        <w:rPr>
          <w:rFonts w:cs="Arial"/>
          <w:i/>
        </w:rPr>
        <w:t>cases</w:t>
      </w:r>
      <w:proofErr w:type="spellEnd"/>
      <w:r w:rsidR="00190796" w:rsidRPr="00190796">
        <w:rPr>
          <w:rFonts w:cs="Arial"/>
          <w:i/>
        </w:rPr>
        <w:t xml:space="preserve"> </w:t>
      </w:r>
      <w:proofErr w:type="spellStart"/>
      <w:r w:rsidR="00190796" w:rsidRPr="00190796">
        <w:rPr>
          <w:rFonts w:cs="Arial"/>
          <w:i/>
        </w:rPr>
        <w:t>and</w:t>
      </w:r>
      <w:proofErr w:type="spellEnd"/>
      <w:r w:rsidR="00190796" w:rsidRPr="00190796">
        <w:rPr>
          <w:rFonts w:cs="Arial"/>
          <w:i/>
        </w:rPr>
        <w:t xml:space="preserve"> </w:t>
      </w:r>
      <w:proofErr w:type="spellStart"/>
      <w:r w:rsidR="00190796" w:rsidRPr="00190796">
        <w:rPr>
          <w:rFonts w:cs="Arial"/>
          <w:i/>
        </w:rPr>
        <w:t>materials</w:t>
      </w:r>
      <w:proofErr w:type="spellEnd"/>
      <w:r w:rsidR="00190796">
        <w:rPr>
          <w:rFonts w:cs="Arial"/>
          <w:i/>
        </w:rPr>
        <w:t xml:space="preserve">“ </w:t>
      </w:r>
      <w:r w:rsidR="00190796">
        <w:rPr>
          <w:rFonts w:cs="Arial"/>
        </w:rPr>
        <w:t xml:space="preserve">od </w:t>
      </w:r>
      <w:r w:rsidR="00961AA9">
        <w:rPr>
          <w:rFonts w:cs="Arial"/>
        </w:rPr>
        <w:t>Paula</w:t>
      </w:r>
      <w:r w:rsidR="00961AA9" w:rsidRPr="00190796">
        <w:rPr>
          <w:rFonts w:cs="Arial"/>
        </w:rPr>
        <w:t xml:space="preserve"> </w:t>
      </w:r>
      <w:proofErr w:type="spellStart"/>
      <w:r w:rsidR="00961AA9" w:rsidRPr="00190796">
        <w:rPr>
          <w:rFonts w:cs="Arial"/>
        </w:rPr>
        <w:t>C</w:t>
      </w:r>
      <w:r w:rsidR="00961AA9">
        <w:rPr>
          <w:rFonts w:cs="Arial"/>
        </w:rPr>
        <w:t>raiga</w:t>
      </w:r>
      <w:proofErr w:type="spellEnd"/>
      <w:r w:rsidR="00961AA9">
        <w:rPr>
          <w:rFonts w:cs="Arial"/>
        </w:rPr>
        <w:t xml:space="preserve">, </w:t>
      </w:r>
      <w:r w:rsidR="00E4220F">
        <w:rPr>
          <w:rFonts w:cs="Arial"/>
        </w:rPr>
        <w:t xml:space="preserve">profesora práva na </w:t>
      </w:r>
      <w:r w:rsidR="00961AA9">
        <w:rPr>
          <w:rFonts w:cs="Arial"/>
        </w:rPr>
        <w:t xml:space="preserve">University </w:t>
      </w:r>
      <w:proofErr w:type="spellStart"/>
      <w:r w:rsidR="00961AA9">
        <w:rPr>
          <w:rFonts w:cs="Arial"/>
        </w:rPr>
        <w:t>of</w:t>
      </w:r>
      <w:proofErr w:type="spellEnd"/>
      <w:r w:rsidR="00961AA9">
        <w:rPr>
          <w:rFonts w:cs="Arial"/>
        </w:rPr>
        <w:t xml:space="preserve"> Oxford</w:t>
      </w:r>
      <w:r w:rsidR="00E4220F">
        <w:rPr>
          <w:rFonts w:cs="Arial"/>
        </w:rPr>
        <w:t xml:space="preserve"> a</w:t>
      </w:r>
      <w:r w:rsidR="00D4302D">
        <w:rPr>
          <w:rFonts w:cs="Arial"/>
        </w:rPr>
        <w:t> </w:t>
      </w:r>
      <w:r w:rsidR="00E4220F">
        <w:rPr>
          <w:rFonts w:cs="Arial"/>
        </w:rPr>
        <w:t>specialisty na právo EU</w:t>
      </w:r>
      <w:r w:rsidR="00961AA9">
        <w:rPr>
          <w:rFonts w:cs="Arial"/>
        </w:rPr>
        <w:t>,</w:t>
      </w:r>
      <w:r w:rsidR="00E4220F">
        <w:rPr>
          <w:rFonts w:cs="Arial"/>
        </w:rPr>
        <w:t xml:space="preserve"> </w:t>
      </w:r>
      <w:r w:rsidR="00190796">
        <w:rPr>
          <w:rFonts w:cs="Arial"/>
        </w:rPr>
        <w:t xml:space="preserve">a </w:t>
      </w:r>
      <w:proofErr w:type="spellStart"/>
      <w:r w:rsidR="00961AA9">
        <w:rPr>
          <w:rFonts w:cs="Arial"/>
        </w:rPr>
        <w:t>Gráinne</w:t>
      </w:r>
      <w:proofErr w:type="spellEnd"/>
      <w:r w:rsidR="00961AA9">
        <w:rPr>
          <w:rFonts w:cs="Arial"/>
        </w:rPr>
        <w:t xml:space="preserve"> de </w:t>
      </w:r>
      <w:proofErr w:type="spellStart"/>
      <w:r w:rsidR="00961AA9">
        <w:rPr>
          <w:rFonts w:cs="Arial"/>
        </w:rPr>
        <w:t>Búrcy</w:t>
      </w:r>
      <w:proofErr w:type="spellEnd"/>
      <w:r w:rsidR="00961AA9">
        <w:rPr>
          <w:rFonts w:cs="Arial"/>
        </w:rPr>
        <w:t xml:space="preserve">, profesorky práva na </w:t>
      </w:r>
      <w:r w:rsidR="00961AA9" w:rsidRPr="00961AA9">
        <w:rPr>
          <w:rFonts w:cs="Arial"/>
        </w:rPr>
        <w:t>N</w:t>
      </w:r>
      <w:r w:rsidR="00961AA9">
        <w:rPr>
          <w:rFonts w:cs="Arial"/>
        </w:rPr>
        <w:t>ew York</w:t>
      </w:r>
      <w:r w:rsidR="00961AA9" w:rsidRPr="00961AA9">
        <w:rPr>
          <w:rFonts w:cs="Arial"/>
        </w:rPr>
        <w:t xml:space="preserve"> </w:t>
      </w:r>
      <w:proofErr w:type="spellStart"/>
      <w:r w:rsidR="00961AA9" w:rsidRPr="00961AA9">
        <w:rPr>
          <w:rFonts w:cs="Arial"/>
        </w:rPr>
        <w:t>Law</w:t>
      </w:r>
      <w:proofErr w:type="spellEnd"/>
      <w:r w:rsidR="00961AA9" w:rsidRPr="00961AA9">
        <w:rPr>
          <w:rFonts w:cs="Arial"/>
        </w:rPr>
        <w:t xml:space="preserve"> </w:t>
      </w:r>
      <w:proofErr w:type="spellStart"/>
      <w:r w:rsidR="00961AA9" w:rsidRPr="00961AA9">
        <w:rPr>
          <w:rFonts w:cs="Arial"/>
        </w:rPr>
        <w:t>School</w:t>
      </w:r>
      <w:proofErr w:type="spellEnd"/>
      <w:r w:rsidR="00961AA9">
        <w:rPr>
          <w:rFonts w:cs="Arial"/>
        </w:rPr>
        <w:t xml:space="preserve"> a rovněž specialistky na právo EU</w:t>
      </w:r>
      <w:r w:rsidR="00190796" w:rsidRPr="00190796">
        <w:rPr>
          <w:rFonts w:cs="Arial"/>
        </w:rPr>
        <w:t>.</w:t>
      </w:r>
      <w:r w:rsidR="00190796">
        <w:rPr>
          <w:rFonts w:cs="Arial"/>
        </w:rPr>
        <w:t xml:space="preserve"> Autoři věnují v knize dozorčí žalobě poměrně velkou pozornost, </w:t>
      </w:r>
      <w:r w:rsidR="00E27E94">
        <w:rPr>
          <w:rFonts w:cs="Arial"/>
        </w:rPr>
        <w:t xml:space="preserve">vypořádávají se v textu i s některými problematickými </w:t>
      </w:r>
      <w:r w:rsidR="00E27E94">
        <w:rPr>
          <w:rFonts w:cs="Arial"/>
        </w:rPr>
        <w:lastRenderedPageBreak/>
        <w:t>aspekty tohoto institutu a nechybí tu ani odkazy na judikaturu Soudního dvora. Co</w:t>
      </w:r>
      <w:r w:rsidR="002A4706">
        <w:rPr>
          <w:rFonts w:cs="Arial"/>
        </w:rPr>
        <w:t> </w:t>
      </w:r>
      <w:r w:rsidR="00E27E94">
        <w:rPr>
          <w:rFonts w:cs="Arial"/>
        </w:rPr>
        <w:t>se</w:t>
      </w:r>
      <w:r w:rsidR="002A4706">
        <w:rPr>
          <w:rFonts w:cs="Arial"/>
        </w:rPr>
        <w:t> </w:t>
      </w:r>
      <w:r w:rsidR="00E27E94">
        <w:rPr>
          <w:rFonts w:cs="Arial"/>
        </w:rPr>
        <w:t>týká literatury použité v této práci, snažila jsem se vycházet jak z literatury domácí, tak rovněž z té zahraniční. Vedle materiálů v knižní podobě jsem z velké části čerpala z judikatury Soudního dvora, která je převážně dostupná na internetové stránce curia.europa.eu. V praktické části práce mi velmi pomohly zprávy o</w:t>
      </w:r>
      <w:r w:rsidR="005C4745">
        <w:rPr>
          <w:rFonts w:cs="Arial"/>
        </w:rPr>
        <w:t> </w:t>
      </w:r>
      <w:r w:rsidR="00E27E94">
        <w:rPr>
          <w:rFonts w:cs="Arial"/>
        </w:rPr>
        <w:t>činnosti vládního zmocněnce</w:t>
      </w:r>
      <w:r w:rsidR="003F7BD9">
        <w:rPr>
          <w:rFonts w:cs="Arial"/>
        </w:rPr>
        <w:t xml:space="preserve"> pro zastupování ČR před Soudním dvorem EU a</w:t>
      </w:r>
      <w:r w:rsidR="005C4745">
        <w:rPr>
          <w:rFonts w:cs="Arial"/>
        </w:rPr>
        <w:t> </w:t>
      </w:r>
      <w:r w:rsidR="003F7BD9">
        <w:rPr>
          <w:rFonts w:cs="Arial"/>
        </w:rPr>
        <w:t xml:space="preserve">výroční zprávy Soudního dvora. Nutná byla samozřejmě i práce s právními předpisy, zejména pak se Smlouvou o EU a Smlouvou o fungování EU.     </w:t>
      </w:r>
      <w:r w:rsidR="00E27E94">
        <w:rPr>
          <w:rFonts w:cs="Arial"/>
        </w:rPr>
        <w:t xml:space="preserve">    </w:t>
      </w:r>
      <w:r w:rsidR="00190796">
        <w:rPr>
          <w:rFonts w:cs="Arial"/>
        </w:rPr>
        <w:t xml:space="preserve">  </w:t>
      </w:r>
    </w:p>
    <w:p w:rsidR="008F26AA" w:rsidRPr="008F26AA" w:rsidRDefault="008F26AA" w:rsidP="008F26AA">
      <w:pPr>
        <w:ind w:firstLine="708"/>
        <w:rPr>
          <w:rFonts w:cs="Arial"/>
        </w:rPr>
      </w:pPr>
      <w:r w:rsidRPr="008F26AA">
        <w:rPr>
          <w:rFonts w:cs="Arial"/>
        </w:rPr>
        <w:t xml:space="preserve">Během práce bych ráda zodpověděla z mého pohledu několik zásadních otázek. Odpověď bychom měli najít například na to, jaký význam zavedení institutu žaloby pro porušení povinnosti členského státu vůbec má. Vedle toho se podíváme také na význam možnosti ukládání pokut v řízení členským státům. Také nás bude zajímat postavení jednotlivce v rámci tohoto řízení a skutečná efektivita řízení o porušení povinnosti. Jedním z předpokladů této práce </w:t>
      </w:r>
      <w:r w:rsidR="00682FD8">
        <w:rPr>
          <w:rFonts w:cs="Arial"/>
        </w:rPr>
        <w:t>je tvrzení,</w:t>
      </w:r>
      <w:r w:rsidRPr="008F26AA">
        <w:rPr>
          <w:rFonts w:cs="Arial"/>
        </w:rPr>
        <w:t xml:space="preserve"> že dochází k četnému podávání tohoto druhu žaloby, avšak už jen málo z nich dojde až</w:t>
      </w:r>
      <w:r w:rsidR="002A4706">
        <w:rPr>
          <w:rFonts w:cs="Arial"/>
        </w:rPr>
        <w:t> </w:t>
      </w:r>
      <w:r w:rsidRPr="008F26AA">
        <w:rPr>
          <w:rFonts w:cs="Arial"/>
        </w:rPr>
        <w:t xml:space="preserve">k samotnému uložení pokuty. Dalším </w:t>
      </w:r>
      <w:r w:rsidR="00682FD8">
        <w:rPr>
          <w:rFonts w:cs="Arial"/>
        </w:rPr>
        <w:t xml:space="preserve">z </w:t>
      </w:r>
      <w:r w:rsidRPr="008F26AA">
        <w:rPr>
          <w:rFonts w:cs="Arial"/>
        </w:rPr>
        <w:t xml:space="preserve">tvrzení, které se budu v práci snažit potvrdit je, že žaloba má význam především jako kontrolní mechanismus, který není omezen pouze na některou oblast práva EU, ale má širší možnost uplatnění. V závěru uvidíme, zda jsou tyto předpoklady správné či dojdeme postupně k závěrům odlišným.  </w:t>
      </w:r>
    </w:p>
    <w:p w:rsidR="008F26AA" w:rsidRPr="008F26AA" w:rsidRDefault="008F26AA" w:rsidP="008F26AA">
      <w:pPr>
        <w:ind w:firstLine="708"/>
        <w:rPr>
          <w:rFonts w:cs="Arial"/>
        </w:rPr>
      </w:pPr>
      <w:r w:rsidRPr="008F26AA">
        <w:rPr>
          <w:rFonts w:cs="Arial"/>
        </w:rPr>
        <w:t xml:space="preserve">Práce je členěná na dvě části, teoretickou a </w:t>
      </w:r>
      <w:r w:rsidR="008B103C">
        <w:rPr>
          <w:rFonts w:cs="Arial"/>
        </w:rPr>
        <w:t xml:space="preserve">statistickou. Teoretická část je dle vhodnosti doplněna příklady z praxe a judikaturou Soudního dvora. </w:t>
      </w:r>
      <w:r w:rsidRPr="008F26AA">
        <w:rPr>
          <w:rFonts w:cs="Arial"/>
        </w:rPr>
        <w:t xml:space="preserve">Práce obsahuje </w:t>
      </w:r>
      <w:r w:rsidR="008B103C">
        <w:rPr>
          <w:rFonts w:cs="Arial"/>
        </w:rPr>
        <w:t>šest</w:t>
      </w:r>
      <w:r w:rsidRPr="008F26AA">
        <w:rPr>
          <w:rFonts w:cs="Arial"/>
        </w:rPr>
        <w:t xml:space="preserve"> kapitol, z nichž první kapitola má za úkol dozorčí žalobu a řízení o ní přiblížit a</w:t>
      </w:r>
      <w:r w:rsidR="00A43917">
        <w:rPr>
          <w:rFonts w:cs="Arial"/>
        </w:rPr>
        <w:t> </w:t>
      </w:r>
      <w:r w:rsidRPr="008F26AA">
        <w:rPr>
          <w:rFonts w:cs="Arial"/>
        </w:rPr>
        <w:t xml:space="preserve">vystihnout její zásadní charakteristické rysy. Poté je zajisté nutné ve druhé kapitole vymezit předmět tohoto řízení, abychom věděli, čeho se žaloba vůbec může týkat. Třetí kapitola je věnována jedné ze stran řízení, a to žalobcům. V této kapitole je pozornost soustředěna zejména na Komisi, jelikož právě ona panuje celému řízení a má pro něj zásadní význam. Členskému státu jako žalobci je v porovnání věnována pozornost podstatně menší hlavně proto, že taková řízení v praxi nejsou příliš častá. Když už známe typické znaky řízení, víme, čeho se může žaloba týkat a kdo je oprávněn ji podávat, považuji za vhodné zařadit čtvrtou kapitolu o průběhu samotného řízení. Jednotlivé fáze budou podrobněji rozebrány a moji snahou bude objasnit všechny nejdůležitější úkony v řízení, včetně odkazů na judikaturu Soudního dvora v případech, kde to budu považovat za vhodné. Pátá kapitola bude spíše </w:t>
      </w:r>
      <w:r w:rsidRPr="008F26AA">
        <w:rPr>
          <w:rFonts w:cs="Arial"/>
        </w:rPr>
        <w:lastRenderedPageBreak/>
        <w:t xml:space="preserve">analytická a hodnotící a bude se věnovat funkcím a významu dozorčí žaloby a řízení o ní. Celou práci následně dokreslí </w:t>
      </w:r>
      <w:r w:rsidR="008B103C">
        <w:rPr>
          <w:rFonts w:cs="Arial"/>
        </w:rPr>
        <w:t xml:space="preserve">šestá </w:t>
      </w:r>
      <w:r w:rsidRPr="008F26AA">
        <w:rPr>
          <w:rFonts w:cs="Arial"/>
        </w:rPr>
        <w:t xml:space="preserve">kapitola </w:t>
      </w:r>
      <w:r w:rsidR="008B103C">
        <w:rPr>
          <w:rFonts w:cs="Arial"/>
        </w:rPr>
        <w:t xml:space="preserve">s obecnými statistickými </w:t>
      </w:r>
      <w:r w:rsidRPr="008F26AA">
        <w:rPr>
          <w:rFonts w:cs="Arial"/>
        </w:rPr>
        <w:t>údaj</w:t>
      </w:r>
      <w:r w:rsidR="008B103C">
        <w:rPr>
          <w:rFonts w:cs="Arial"/>
        </w:rPr>
        <w:t xml:space="preserve">i. Pro zajímavost je tato kapitola doplněna </w:t>
      </w:r>
      <w:r w:rsidR="009821AC">
        <w:rPr>
          <w:rFonts w:cs="Arial"/>
        </w:rPr>
        <w:t>P</w:t>
      </w:r>
      <w:r w:rsidR="008B103C">
        <w:rPr>
          <w:rFonts w:cs="Arial"/>
        </w:rPr>
        <w:t>řílohou č. 3, ve které se blíže zaměřím na statistiky v rámci České republiky</w:t>
      </w:r>
      <w:r w:rsidRPr="008F26AA">
        <w:rPr>
          <w:rFonts w:cs="Arial"/>
        </w:rPr>
        <w:t xml:space="preserve">.  </w:t>
      </w:r>
    </w:p>
    <w:p w:rsidR="008E7033" w:rsidRDefault="008E7033" w:rsidP="00060146">
      <w:pPr>
        <w:ind w:firstLine="708"/>
        <w:rPr>
          <w:rFonts w:cs="Arial"/>
        </w:rPr>
      </w:pPr>
      <w:r>
        <w:rPr>
          <w:rFonts w:cs="Arial"/>
        </w:rPr>
        <w:br w:type="page"/>
      </w:r>
    </w:p>
    <w:p w:rsidR="008E7033" w:rsidRPr="00BD022B" w:rsidRDefault="000E44C3" w:rsidP="00BD022B">
      <w:pPr>
        <w:pStyle w:val="Nadpis1"/>
      </w:pPr>
      <w:bookmarkStart w:id="2" w:name="_Toc398901322"/>
      <w:bookmarkStart w:id="3" w:name="_Toc399171072"/>
      <w:r w:rsidRPr="00BD022B">
        <w:lastRenderedPageBreak/>
        <w:t xml:space="preserve">1. </w:t>
      </w:r>
      <w:r w:rsidR="00BD022B">
        <w:t>Základní c</w:t>
      </w:r>
      <w:r w:rsidR="008E7033" w:rsidRPr="00BD022B">
        <w:t xml:space="preserve">harakteristika </w:t>
      </w:r>
      <w:r w:rsidR="00BD022B">
        <w:t>řízení</w:t>
      </w:r>
      <w:r w:rsidR="00A90081">
        <w:t xml:space="preserve"> o žalobě na porušení povinnosti členského státu</w:t>
      </w:r>
      <w:bookmarkEnd w:id="2"/>
      <w:bookmarkEnd w:id="3"/>
    </w:p>
    <w:p w:rsidR="00423110" w:rsidRDefault="00FD1A95" w:rsidP="00A37166">
      <w:r>
        <w:tab/>
        <w:t>Na základě odlišných právních úprav, jež charakterizují jednotlivé postupy soudů, jsme schopni rozlišit až 14 různých druhů základních řízení. Každé takové řízení pak vyjadřuje specifický druh působnosti nebo věcné příslušnosti</w:t>
      </w:r>
      <w:r w:rsidR="00423110">
        <w:t xml:space="preserve"> evropských soudů.</w:t>
      </w:r>
      <w:r w:rsidR="00674E3E">
        <w:rPr>
          <w:rStyle w:val="Znakapoznpodarou"/>
        </w:rPr>
        <w:footnoteReference w:id="8"/>
      </w:r>
    </w:p>
    <w:p w:rsidR="000E44C3" w:rsidRDefault="00FD1A95" w:rsidP="00423110">
      <w:pPr>
        <w:ind w:firstLine="708"/>
      </w:pPr>
      <w:r>
        <w:t>Obecně vzato můžeme</w:t>
      </w:r>
      <w:r w:rsidR="00423110">
        <w:t xml:space="preserve"> tyto druhy řízení dále dělit podle povahy subjektů, jejich významu a následku. Z tohoto pohledu je rozlišujeme </w:t>
      </w:r>
      <w:r w:rsidR="00674E3E">
        <w:t xml:space="preserve">jednak </w:t>
      </w:r>
      <w:r w:rsidR="00423110">
        <w:t>na řízení o</w:t>
      </w:r>
      <w:r w:rsidR="00C677CE">
        <w:t> </w:t>
      </w:r>
      <w:r w:rsidR="00423110">
        <w:t xml:space="preserve">žalobách přímých, </w:t>
      </w:r>
      <w:r w:rsidR="00423110" w:rsidRPr="00423110">
        <w:t xml:space="preserve">které </w:t>
      </w:r>
      <w:r w:rsidR="00423110">
        <w:t xml:space="preserve">může vznést </w:t>
      </w:r>
      <w:r w:rsidR="00423110" w:rsidRPr="00423110">
        <w:t>před S</w:t>
      </w:r>
      <w:r w:rsidR="00423110">
        <w:t>oudním dvorem</w:t>
      </w:r>
      <w:r w:rsidR="00423110" w:rsidRPr="00423110">
        <w:t xml:space="preserve"> EU za stanovených podmínek buď některá ze tří hlavních institucí EU - Evropská komise, Evropský parlament, Rada EU nebo Účetní dvůr, Evropská centrální banka či Výbor regionů, nebo jakýkoli členský stát EU či jednotlivec, který se cítí být poškozen činností evropských institucí či </w:t>
      </w:r>
      <w:r w:rsidR="00674E3E">
        <w:t>evropským právem</w:t>
      </w:r>
      <w:r w:rsidR="00674E3E">
        <w:rPr>
          <w:rStyle w:val="Znakapoznpodarou"/>
        </w:rPr>
        <w:footnoteReference w:id="9"/>
      </w:r>
      <w:r w:rsidR="00674E3E">
        <w:t>. Vedle toho existují i ž</w:t>
      </w:r>
      <w:r w:rsidR="00423110">
        <w:t>alob</w:t>
      </w:r>
      <w:r w:rsidR="00674E3E">
        <w:t>y</w:t>
      </w:r>
      <w:r w:rsidR="00423110">
        <w:t xml:space="preserve"> nepřím</w:t>
      </w:r>
      <w:r w:rsidR="00674E3E">
        <w:t>é, či</w:t>
      </w:r>
      <w:r w:rsidR="00C677CE">
        <w:t> </w:t>
      </w:r>
      <w:r w:rsidR="00674E3E">
        <w:t>návrhy, které zahajují „vedlejší“ řízení o předběžné otázce a které předpokládají, že již existuje zahájené, probíhající soudní řízení před vnitrostátním soudem členského státu</w:t>
      </w:r>
      <w:r w:rsidR="00423110">
        <w:t>.</w:t>
      </w:r>
      <w:r w:rsidR="00674E3E">
        <w:t xml:space="preserve"> Mezi tento druh řízení se řadí řízení o předběžné otázce, incidenční řízení a řízení o podání posudku.</w:t>
      </w:r>
      <w:r w:rsidR="00674E3E">
        <w:rPr>
          <w:rStyle w:val="Znakapoznpodarou"/>
        </w:rPr>
        <w:footnoteReference w:id="10"/>
      </w:r>
    </w:p>
    <w:p w:rsidR="00C115F0" w:rsidRDefault="00C115F0" w:rsidP="00097607">
      <w:r>
        <w:tab/>
      </w:r>
      <w:r w:rsidR="00392F8C">
        <w:t xml:space="preserve">Nyní se vraťme k řízení </w:t>
      </w:r>
      <w:r>
        <w:t xml:space="preserve">o </w:t>
      </w:r>
      <w:r w:rsidRPr="004F4C87">
        <w:rPr>
          <w:b/>
        </w:rPr>
        <w:t>přímých žalobách</w:t>
      </w:r>
      <w:r w:rsidR="00392F8C">
        <w:t xml:space="preserve">, které </w:t>
      </w:r>
      <w:r>
        <w:t>můžeme ještě dále rozdělit, a to na řízení, která obligatorně předpokládají předběžné smírčí řízení, a</w:t>
      </w:r>
      <w:r w:rsidR="00392F8C">
        <w:t> </w:t>
      </w:r>
      <w:r>
        <w:t xml:space="preserve">řízení, která takový předpoklad nemají. </w:t>
      </w:r>
      <w:r w:rsidR="00674E3E">
        <w:t xml:space="preserve">Mezi první skupinu řízení o přímých žalobách patří i </w:t>
      </w:r>
      <w:r>
        <w:t>řízení o</w:t>
      </w:r>
      <w:r w:rsidR="00C677CE">
        <w:t> </w:t>
      </w:r>
      <w:r>
        <w:t>žalobě</w:t>
      </w:r>
      <w:r w:rsidR="00674E3E">
        <w:t xml:space="preserve"> na porušení povinnosti členského státu.</w:t>
      </w:r>
      <w:r>
        <w:rPr>
          <w:rStyle w:val="Znakapoznpodarou"/>
        </w:rPr>
        <w:footnoteReference w:id="11"/>
      </w:r>
    </w:p>
    <w:p w:rsidR="00F71DEC" w:rsidRDefault="002711F7" w:rsidP="00097607">
      <w:r>
        <w:tab/>
        <w:t>Právní úpravu žaloby na porušení povinnosti členského státu najdeme ve</w:t>
      </w:r>
      <w:r w:rsidR="00A37166">
        <w:t> </w:t>
      </w:r>
      <w:r>
        <w:t>Smlouvě o fungování Evropské unie</w:t>
      </w:r>
      <w:r w:rsidR="0025473D">
        <w:t>,</w:t>
      </w:r>
      <w:r>
        <w:t xml:space="preserve"> nyní ve znění Lisabonské smlouvy, která vstoupila v platnost dne 1. </w:t>
      </w:r>
      <w:r w:rsidR="0025473D">
        <w:t>prosince</w:t>
      </w:r>
      <w:r>
        <w:t xml:space="preserve"> 2009</w:t>
      </w:r>
      <w:r w:rsidR="004A2545">
        <w:t xml:space="preserve"> (dále jen SFEU)</w:t>
      </w:r>
      <w:r w:rsidR="0025473D">
        <w:t>. Konkrétně je tato žaloba upravena v </w:t>
      </w:r>
      <w:r w:rsidR="0025473D" w:rsidRPr="004F4C87">
        <w:rPr>
          <w:b/>
        </w:rPr>
        <w:t>článcích 258, 259 a 260 SFEU</w:t>
      </w:r>
      <w:r w:rsidR="0025473D">
        <w:t xml:space="preserve">. </w:t>
      </w:r>
    </w:p>
    <w:p w:rsidR="00CE1EE3" w:rsidRDefault="009360D5" w:rsidP="00097607">
      <w:r>
        <w:tab/>
      </w:r>
      <w:r w:rsidR="003D504B">
        <w:t>Řízení o porušení povinnosti členského státu je sice upraveno v SFEU, ale to</w:t>
      </w:r>
      <w:r w:rsidR="00BF0B2D">
        <w:t> </w:t>
      </w:r>
      <w:r w:rsidR="003D504B">
        <w:t>jen velmi stručně. Podrobnější právní úp</w:t>
      </w:r>
      <w:r w:rsidR="00CE1EE3">
        <w:t xml:space="preserve">ravu tohoto institutu </w:t>
      </w:r>
      <w:r w:rsidR="004C6B14">
        <w:t xml:space="preserve">tedy </w:t>
      </w:r>
      <w:r w:rsidR="00CE1EE3">
        <w:t>najdeme</w:t>
      </w:r>
      <w:r w:rsidR="003D504B">
        <w:t xml:space="preserve"> v judikatuře Soudního dvora, který mimo jiné judikova</w:t>
      </w:r>
      <w:r w:rsidR="00BF1335">
        <w:t>l i určité základní zásady a</w:t>
      </w:r>
      <w:r w:rsidR="004C6B14">
        <w:t> </w:t>
      </w:r>
      <w:r w:rsidR="00BF1335">
        <w:t>pri</w:t>
      </w:r>
      <w:r w:rsidR="003D504B">
        <w:t xml:space="preserve">ncipy, kterými se řízení o dozorčí žalobě musí řídit. </w:t>
      </w:r>
    </w:p>
    <w:p w:rsidR="00CE1EE3" w:rsidRDefault="003644D5" w:rsidP="00CE1EE3">
      <w:pPr>
        <w:ind w:firstLine="708"/>
      </w:pPr>
      <w:r>
        <w:lastRenderedPageBreak/>
        <w:t xml:space="preserve">Nejprve musí být v řízení dodržena </w:t>
      </w:r>
      <w:r w:rsidRPr="004F4C87">
        <w:rPr>
          <w:b/>
        </w:rPr>
        <w:t>zásada spravedlivého procesu</w:t>
      </w:r>
      <w:r>
        <w:t xml:space="preserve">, s kterou souvisí </w:t>
      </w:r>
      <w:r w:rsidR="004C6B14">
        <w:t xml:space="preserve">také </w:t>
      </w:r>
      <w:r>
        <w:t xml:space="preserve">zásady legitimního očekávání, právní jistoty a práva na obhajobu. </w:t>
      </w:r>
      <w:r w:rsidR="00CE1EE3">
        <w:t>Právo na</w:t>
      </w:r>
      <w:r w:rsidR="00BF0B2D">
        <w:t> </w:t>
      </w:r>
      <w:r w:rsidR="00CE1EE3">
        <w:t xml:space="preserve">obhajobu se v praxi projevuje </w:t>
      </w:r>
      <w:r>
        <w:t>požadavkem na poskytnutí dostatečného času na</w:t>
      </w:r>
      <w:r w:rsidR="00BF0B2D">
        <w:t> </w:t>
      </w:r>
      <w:r>
        <w:t>přípravu obhajoby, požadavkem na jasné vymezení předmětu řízení a žalobních důvodů Komise a jejich zachování po celou dobu řízení.</w:t>
      </w:r>
      <w:r w:rsidR="00BF1335">
        <w:t xml:space="preserve"> </w:t>
      </w:r>
      <w:r w:rsidR="00CE1EE3">
        <w:t>Současně platí, že pokud</w:t>
      </w:r>
      <w:r w:rsidR="00BF1335">
        <w:t xml:space="preserve"> má žalovaný stát určité oprávněné očekávání, vycházející z předchozí zkušenosti, pravidel, předchozího rozhodování typově podobných případů, počítá s tím, že dojde k jeho naplnění. To znamená, </w:t>
      </w:r>
      <w:r>
        <w:t>že není přípustné "měnit pravidla během hry".</w:t>
      </w:r>
      <w:r w:rsidR="00BF1335">
        <w:t xml:space="preserve"> Právní jistotou se rozumí takový stav, kdy je právo stabilní, jednotné, relativně jednoduché a předvídatelné, a je tak naplňováno právě legitimní očekávání členských zemí.</w:t>
      </w:r>
      <w:r w:rsidR="000F00C5">
        <w:rPr>
          <w:rStyle w:val="Znakapoznpodarou"/>
        </w:rPr>
        <w:footnoteReference w:id="12"/>
      </w:r>
    </w:p>
    <w:p w:rsidR="00BF0B2D" w:rsidRDefault="00BF0B2D" w:rsidP="00CE1EE3">
      <w:pPr>
        <w:ind w:firstLine="708"/>
      </w:pPr>
      <w:r>
        <w:t>S</w:t>
      </w:r>
      <w:r w:rsidR="00CE1EE3">
        <w:t> předchozí skupinou zásad souvisí</w:t>
      </w:r>
      <w:r>
        <w:t xml:space="preserve"> úzce</w:t>
      </w:r>
      <w:r w:rsidR="00CE1EE3">
        <w:t xml:space="preserve"> i </w:t>
      </w:r>
      <w:r w:rsidR="00CE1EE3" w:rsidRPr="004F4C87">
        <w:rPr>
          <w:b/>
        </w:rPr>
        <w:t>zásada důvěrnosti řízení</w:t>
      </w:r>
      <w:r w:rsidR="00CE1EE3">
        <w:t>, ze</w:t>
      </w:r>
      <w:r w:rsidR="004F4C87">
        <w:t> </w:t>
      </w:r>
      <w:r w:rsidR="00CE1EE3">
        <w:t>které Komisi vyplývá povinnost odmítnout zpřístupnění dokumentů týkajících se</w:t>
      </w:r>
      <w:r w:rsidR="004F4C87">
        <w:t> </w:t>
      </w:r>
      <w:r w:rsidR="00CE1EE3">
        <w:t>řízení. Jejich zpřístupněním by mohl být narušen řádný průběh řízení, jelikož by</w:t>
      </w:r>
      <w:r w:rsidR="004F4C87">
        <w:t> </w:t>
      </w:r>
      <w:r w:rsidR="00CE1EE3">
        <w:t xml:space="preserve">mohl být ohrožen samotný cíl řízení, kterým je umožnit členskému státu dobrovolného plnění povinnosti, nebo alespoň poskytnutí prostoru pro odůvodnění jeho postoje. </w:t>
      </w:r>
      <w:r>
        <w:t>Požadavek důvěrnosti řízení přetrvává i v řízení před Soudním dvorem, protože není stále vyloučeno, že jednání mezi Komisí a členským státem budou pokračovat i v průběhu této fáze řízení. Na již ukončená řízení se pak zásada důvěrnosti nevztahuje, ať už bylo řízení ukončeno v kterékoliv fázi.</w:t>
      </w:r>
      <w:r w:rsidR="000F00C5">
        <w:rPr>
          <w:rStyle w:val="Znakapoznpodarou"/>
        </w:rPr>
        <w:footnoteReference w:id="13"/>
      </w:r>
      <w:r>
        <w:t xml:space="preserve"> </w:t>
      </w:r>
    </w:p>
    <w:p w:rsidR="00F63E3F" w:rsidRDefault="00BF0B2D" w:rsidP="00CE1EE3">
      <w:pPr>
        <w:ind w:firstLine="708"/>
      </w:pPr>
      <w:r>
        <w:t xml:space="preserve">Následně musí být dodržena i tzv. </w:t>
      </w:r>
      <w:r w:rsidRPr="004F4C87">
        <w:rPr>
          <w:b/>
        </w:rPr>
        <w:t>zásada přičitatelnosti</w:t>
      </w:r>
      <w:r>
        <w:t xml:space="preserve">. Aby mohlo být v řízení konstatováno, že žalovaný členský stát </w:t>
      </w:r>
      <w:r w:rsidR="00634231">
        <w:t>určitou</w:t>
      </w:r>
      <w:r>
        <w:t xml:space="preserve"> povinnost</w:t>
      </w:r>
      <w:r w:rsidR="004C6B14">
        <w:t xml:space="preserve"> porušil</w:t>
      </w:r>
      <w:r>
        <w:t>, musí být takové porušení státu přičitatelné. O porušení se bude jednat zásadně tehdy, pokud bude způsobeno jednáním či opomenutím jeho orgánů.</w:t>
      </w:r>
      <w:r w:rsidR="000F00C5">
        <w:rPr>
          <w:rStyle w:val="Znakapoznpodarou"/>
        </w:rPr>
        <w:footnoteReference w:id="14"/>
      </w:r>
      <w:r>
        <w:t xml:space="preserve"> </w:t>
      </w:r>
    </w:p>
    <w:p w:rsidR="004C6B14" w:rsidRDefault="00F63E3F" w:rsidP="00F63E3F">
      <w:pPr>
        <w:ind w:firstLine="708"/>
      </w:pPr>
      <w:r>
        <w:t xml:space="preserve">Nelze opomenout ani </w:t>
      </w:r>
      <w:r w:rsidRPr="00F63E3F">
        <w:rPr>
          <w:b/>
        </w:rPr>
        <w:t>zásadu dispoziční</w:t>
      </w:r>
      <w:r>
        <w:t>, která představuje pravomoc Komise disponovat s celým řízením. Jednak může řízení kdykoliv zahájit a zahájené řízení poté kdykoliv zastavit, až do doby vydání rozsudku Soudního dvora. Komise může rovněž zúžit předmět řízení, nikoliv však rozšířit nebo zcela změnit.</w:t>
      </w:r>
      <w:r>
        <w:rPr>
          <w:rStyle w:val="Znakapoznpodarou"/>
        </w:rPr>
        <w:footnoteReference w:id="15"/>
      </w:r>
      <w:r>
        <w:t xml:space="preserve">  </w:t>
      </w:r>
    </w:p>
    <w:p w:rsidR="00F63E3F" w:rsidRDefault="004C6B14" w:rsidP="00F63E3F">
      <w:pPr>
        <w:ind w:firstLine="708"/>
      </w:pPr>
      <w:r>
        <w:t>Důležité pro průběh řízení je rovněž to, že má být vedeno ve veřejném zájmu. Což znamená, že by Komise neměla brát během řízení ohled jak na své vlastní zájmy, tak ani na vlastní zájmy některého členského státu či snad jednotlivce.</w:t>
      </w:r>
      <w:r w:rsidR="00F63E3F">
        <w:t xml:space="preserve">  </w:t>
      </w:r>
      <w:r w:rsidR="00BF0B2D">
        <w:t xml:space="preserve">      </w:t>
      </w:r>
      <w:r w:rsidR="00CE1EE3">
        <w:t xml:space="preserve">     </w:t>
      </w:r>
    </w:p>
    <w:p w:rsidR="000E44C3" w:rsidRPr="004F4C87" w:rsidRDefault="000E44C3" w:rsidP="004F4C87">
      <w:pPr>
        <w:ind w:firstLine="708"/>
      </w:pPr>
      <w:r>
        <w:rPr>
          <w:rFonts w:cs="Arial"/>
        </w:rPr>
        <w:br w:type="page"/>
      </w:r>
    </w:p>
    <w:p w:rsidR="008E7033" w:rsidRPr="00BD022B" w:rsidRDefault="000E44C3" w:rsidP="00BD022B">
      <w:pPr>
        <w:pStyle w:val="Nadpis1"/>
      </w:pPr>
      <w:bookmarkStart w:id="4" w:name="_Toc398901323"/>
      <w:bookmarkStart w:id="5" w:name="_Toc399171073"/>
      <w:r w:rsidRPr="00BD022B">
        <w:lastRenderedPageBreak/>
        <w:t>2.</w:t>
      </w:r>
      <w:r w:rsidR="008E7033" w:rsidRPr="00BD022B">
        <w:t xml:space="preserve"> Předmět řízení</w:t>
      </w:r>
      <w:bookmarkEnd w:id="4"/>
      <w:bookmarkEnd w:id="5"/>
    </w:p>
    <w:p w:rsidR="005014DB" w:rsidRDefault="00626E38" w:rsidP="00626E38">
      <w:r>
        <w:tab/>
        <w:t xml:space="preserve">Podle článku 258 SFEU je předmětem řízení o porušení Smluv </w:t>
      </w:r>
      <w:r w:rsidR="00C07F8B">
        <w:t>„</w:t>
      </w:r>
      <w:r>
        <w:t>nesplnění povinnosti členským státem, která pro něj vyplývá ze Sml</w:t>
      </w:r>
      <w:r w:rsidR="00C07F8B">
        <w:t>uv“</w:t>
      </w:r>
      <w:r w:rsidR="00C07F8B">
        <w:rPr>
          <w:rStyle w:val="Znakapoznpodarou"/>
        </w:rPr>
        <w:footnoteReference w:id="16"/>
      </w:r>
      <w:r>
        <w:t xml:space="preserve">. </w:t>
      </w:r>
      <w:r w:rsidR="00C07F8B">
        <w:t xml:space="preserve">Toto ustanovení </w:t>
      </w:r>
      <w:r w:rsidR="005014DB">
        <w:t xml:space="preserve">nezahrnuje </w:t>
      </w:r>
      <w:r w:rsidR="005014DB" w:rsidRPr="003F40A4">
        <w:t>pouze Smlouvy ES a EU v úzkém slova smyslu</w:t>
      </w:r>
      <w:r w:rsidR="005014DB">
        <w:t>, ale má na mysli i obecné zásady právní formulované Soudním dvorem. Článek zahrnuje kromě toho i ochranu lidských práv</w:t>
      </w:r>
      <w:r w:rsidR="00190E04">
        <w:rPr>
          <w:rStyle w:val="Znakapoznpodarou"/>
        </w:rPr>
        <w:footnoteReference w:id="17"/>
      </w:r>
      <w:r w:rsidR="005014DB">
        <w:t>. Dále toto ust</w:t>
      </w:r>
      <w:r w:rsidR="00694D65">
        <w:t>anovení zahrnuje i veškerou komuni</w:t>
      </w:r>
      <w:r w:rsidR="005014DB">
        <w:t xml:space="preserve">tární právní úpravu, ze které plyne členskému státu určitá povinnost. Rovněž </w:t>
      </w:r>
      <w:r w:rsidR="00797615">
        <w:t>tomuto ustanovení podléhají povinnosti plynoucí z mezinárodních smluv, které uzavřelo ES anebo EU.</w:t>
      </w:r>
      <w:r w:rsidR="005014DB">
        <w:rPr>
          <w:rStyle w:val="Znakapoznpodarou"/>
        </w:rPr>
        <w:footnoteReference w:id="18"/>
      </w:r>
    </w:p>
    <w:p w:rsidR="004401EB" w:rsidRDefault="00694D65" w:rsidP="00626E38">
      <w:r>
        <w:tab/>
        <w:t>Pokud se podíváme</w:t>
      </w:r>
      <w:r w:rsidR="004C6B14">
        <w:t xml:space="preserve"> na to, </w:t>
      </w:r>
      <w:r>
        <w:t xml:space="preserve">jaké jednání je vlastně touto žalobou možné postihnout, </w:t>
      </w:r>
      <w:r w:rsidR="004C6B14">
        <w:t xml:space="preserve">tak </w:t>
      </w:r>
      <w:r>
        <w:t xml:space="preserve">zjistíme, že pokrývá obrovský rozsah nejrůznějšího jednání států. Jednak může být předmětem tohoto řízení jednání </w:t>
      </w:r>
      <w:proofErr w:type="spellStart"/>
      <w:r>
        <w:t>komisivní</w:t>
      </w:r>
      <w:proofErr w:type="spellEnd"/>
      <w:r>
        <w:t>, tj. situace kdy stát konal v rozporu s právem, a jednak jde o jednání omisivní, tj. opomenutí konat, pokud stát povinnost konat měl. Rovněž není rozhodný druh ani forma určitého jednání. Není podstatné, zda měl stát učinit jednorázové opatření či se po něm vyžadovala nějaká trvalejší činnost.</w:t>
      </w:r>
      <w:r w:rsidR="004401EB">
        <w:rPr>
          <w:rStyle w:val="Znakapoznpodarou"/>
        </w:rPr>
        <w:footnoteReference w:id="19"/>
      </w:r>
    </w:p>
    <w:p w:rsidR="005F114C" w:rsidRPr="00BA1D87" w:rsidRDefault="00C02160" w:rsidP="00626E38">
      <w:r>
        <w:rPr>
          <w:color w:val="1F497D" w:themeColor="text2"/>
        </w:rPr>
        <w:tab/>
      </w:r>
      <w:r w:rsidRPr="00BA1D87">
        <w:t>Je nutné si také vymezit, jednání jakých všech orgánů členských států lze touto žalobou postihnout. Evropský soudní dvůr judikoval, že je tímto druhem žaloby postiž</w:t>
      </w:r>
      <w:r w:rsidR="00190E04">
        <w:t>itelné jednání moci zákonodárné</w:t>
      </w:r>
      <w:r w:rsidR="00190E04">
        <w:rPr>
          <w:rStyle w:val="Znakapoznpodarou"/>
        </w:rPr>
        <w:footnoteReference w:id="20"/>
      </w:r>
      <w:r w:rsidRPr="00BA1D87">
        <w:t xml:space="preserve"> i výkonné</w:t>
      </w:r>
      <w:r w:rsidR="00190E04">
        <w:rPr>
          <w:rStyle w:val="Znakapoznpodarou"/>
        </w:rPr>
        <w:footnoteReference w:id="21"/>
      </w:r>
      <w:r w:rsidRPr="00BA1D87">
        <w:t xml:space="preserve">. Rovněž </w:t>
      </w:r>
      <w:r w:rsidR="00305120" w:rsidRPr="00BA1D87">
        <w:t>mohou</w:t>
      </w:r>
      <w:r w:rsidRPr="00BA1D87">
        <w:t xml:space="preserve"> být žalobou postižen</w:t>
      </w:r>
      <w:r w:rsidR="00305120" w:rsidRPr="00BA1D87">
        <w:t>y aktivity územních samosprávných celků členského státu, ať</w:t>
      </w:r>
      <w:r w:rsidR="002A4706">
        <w:t> </w:t>
      </w:r>
      <w:r w:rsidR="00305120" w:rsidRPr="00BA1D87">
        <w:t>už</w:t>
      </w:r>
      <w:r w:rsidR="002A4706">
        <w:t> </w:t>
      </w:r>
      <w:r w:rsidR="00305120" w:rsidRPr="00BA1D87">
        <w:t>na</w:t>
      </w:r>
      <w:r w:rsidR="00190E04">
        <w:t> </w:t>
      </w:r>
      <w:r w:rsidR="00305120" w:rsidRPr="00BA1D87">
        <w:t>regionální či obecní úrovni. V kauze „</w:t>
      </w:r>
      <w:proofErr w:type="spellStart"/>
      <w:r w:rsidR="00305120" w:rsidRPr="00BA1D87">
        <w:t>Buy</w:t>
      </w:r>
      <w:proofErr w:type="spellEnd"/>
      <w:r w:rsidR="00305120" w:rsidRPr="00BA1D87">
        <w:t xml:space="preserve"> </w:t>
      </w:r>
      <w:proofErr w:type="spellStart"/>
      <w:r w:rsidR="00305120" w:rsidRPr="00BA1D87">
        <w:t>Irish</w:t>
      </w:r>
      <w:proofErr w:type="spellEnd"/>
      <w:r w:rsidR="00305120" w:rsidRPr="00BA1D87">
        <w:t>“</w:t>
      </w:r>
      <w:r w:rsidR="00190E04">
        <w:rPr>
          <w:rStyle w:val="Znakapoznpodarou"/>
        </w:rPr>
        <w:footnoteReference w:id="22"/>
      </w:r>
      <w:r w:rsidR="00305120" w:rsidRPr="00BA1D87">
        <w:t xml:space="preserve"> Soudní dvůr konstatoval, že lze postihnout i</w:t>
      </w:r>
      <w:r w:rsidR="00C56C61" w:rsidRPr="00BA1D87">
        <w:t> </w:t>
      </w:r>
      <w:r w:rsidR="00305120" w:rsidRPr="00BA1D87">
        <w:t xml:space="preserve">aktivity agentur kontrolovaných státem. </w:t>
      </w:r>
    </w:p>
    <w:p w:rsidR="005F114C" w:rsidRPr="00BA1D87" w:rsidRDefault="00305120" w:rsidP="005F114C">
      <w:pPr>
        <w:ind w:firstLine="708"/>
      </w:pPr>
      <w:r w:rsidRPr="00BA1D87">
        <w:t>Komplikovanější je otázka, jak je tomu u</w:t>
      </w:r>
      <w:r w:rsidR="00C56C61" w:rsidRPr="00BA1D87">
        <w:t> </w:t>
      </w:r>
      <w:r w:rsidRPr="00BA1D87">
        <w:t>jednání vnitrostátních soudů?</w:t>
      </w:r>
      <w:r w:rsidR="00190E04">
        <w:t xml:space="preserve"> V případu </w:t>
      </w:r>
      <w:r w:rsidR="009C18C1" w:rsidRPr="00BA1D87">
        <w:t xml:space="preserve">Regina v. </w:t>
      </w:r>
      <w:proofErr w:type="spellStart"/>
      <w:r w:rsidR="009C18C1" w:rsidRPr="00BA1D87">
        <w:t>Buchereau</w:t>
      </w:r>
      <w:proofErr w:type="spellEnd"/>
      <w:r w:rsidR="00190E04">
        <w:rPr>
          <w:rStyle w:val="Znakapoznpodarou"/>
        </w:rPr>
        <w:footnoteReference w:id="23"/>
      </w:r>
      <w:r w:rsidR="009C18C1" w:rsidRPr="00BA1D87">
        <w:t xml:space="preserve"> generální advokát</w:t>
      </w:r>
      <w:r w:rsidR="00C87F00">
        <w:t xml:space="preserve"> </w:t>
      </w:r>
      <w:proofErr w:type="spellStart"/>
      <w:r w:rsidR="00C87F00">
        <w:t>Warner</w:t>
      </w:r>
      <w:proofErr w:type="spellEnd"/>
      <w:r w:rsidR="00C87F00">
        <w:t xml:space="preserve"> ve svém stanovisku navrhl</w:t>
      </w:r>
      <w:r w:rsidR="009C18C1" w:rsidRPr="00BA1D87">
        <w:t>, aby se</w:t>
      </w:r>
      <w:r w:rsidR="00800B19" w:rsidRPr="00BA1D87">
        <w:t> </w:t>
      </w:r>
      <w:r w:rsidR="009C18C1" w:rsidRPr="00BA1D87">
        <w:t>za</w:t>
      </w:r>
      <w:r w:rsidR="00800B19" w:rsidRPr="00BA1D87">
        <w:t> </w:t>
      </w:r>
      <w:r w:rsidR="009C18C1" w:rsidRPr="00BA1D87">
        <w:t xml:space="preserve">porušení povinností členského státu považovaly </w:t>
      </w:r>
      <w:r w:rsidR="009A4D3C">
        <w:t>pouze</w:t>
      </w:r>
      <w:r w:rsidR="00C36D13" w:rsidRPr="00BA1D87">
        <w:t> </w:t>
      </w:r>
      <w:r w:rsidR="009C18C1" w:rsidRPr="00BA1D87">
        <w:t xml:space="preserve">situace, kdy soud členského státu porušil </w:t>
      </w:r>
      <w:proofErr w:type="spellStart"/>
      <w:r w:rsidR="009C18C1" w:rsidRPr="00BA1D87">
        <w:t>komunitární</w:t>
      </w:r>
      <w:proofErr w:type="spellEnd"/>
      <w:r w:rsidR="009C18C1" w:rsidRPr="00BA1D87">
        <w:t xml:space="preserve"> právo „</w:t>
      </w:r>
      <w:proofErr w:type="spellStart"/>
      <w:r w:rsidR="009C18C1" w:rsidRPr="00BA1D87">
        <w:t>deliberately</w:t>
      </w:r>
      <w:proofErr w:type="spellEnd"/>
      <w:r w:rsidR="009C18C1" w:rsidRPr="00BA1D87">
        <w:t xml:space="preserve">“, tedy úmyslně. </w:t>
      </w:r>
      <w:r w:rsidR="009A4D3C">
        <w:t xml:space="preserve">Důvodem tohoto návrhu byla vůle </w:t>
      </w:r>
      <w:r w:rsidR="009C18C1" w:rsidRPr="00BA1D87">
        <w:t>odliši</w:t>
      </w:r>
      <w:r w:rsidR="009A4D3C">
        <w:t>t</w:t>
      </w:r>
      <w:r w:rsidR="009C18C1" w:rsidRPr="00BA1D87">
        <w:t xml:space="preserve"> </w:t>
      </w:r>
      <w:r w:rsidR="009A4D3C">
        <w:t xml:space="preserve">takové </w:t>
      </w:r>
      <w:r w:rsidR="009C18C1" w:rsidRPr="00BA1D87">
        <w:t xml:space="preserve">situace, kdy dojde k porušení </w:t>
      </w:r>
      <w:r w:rsidR="009A4D3C">
        <w:t xml:space="preserve">povinnosti </w:t>
      </w:r>
      <w:r w:rsidR="009C18C1" w:rsidRPr="00BA1D87">
        <w:t xml:space="preserve">občasnými omyly justice, které </w:t>
      </w:r>
      <w:r w:rsidR="009A4D3C">
        <w:t>jsou neúmyslné a objevují se</w:t>
      </w:r>
      <w:r w:rsidR="009C18C1" w:rsidRPr="00BA1D87">
        <w:t xml:space="preserve"> v každém </w:t>
      </w:r>
      <w:r w:rsidR="009C18C1" w:rsidRPr="00BA1D87">
        <w:lastRenderedPageBreak/>
        <w:t xml:space="preserve">soudním systému. </w:t>
      </w:r>
      <w:r w:rsidR="009A4D3C">
        <w:t>K</w:t>
      </w:r>
      <w:r w:rsidR="009C18C1" w:rsidRPr="00BA1D87">
        <w:t>omise využívala své právo iniciovat dozorčí žalobu pro pochybení soudních orgánů členských států jen velmi opatrn</w:t>
      </w:r>
      <w:r w:rsidR="0089749C">
        <w:t xml:space="preserve">ě. Například u případu </w:t>
      </w:r>
      <w:proofErr w:type="spellStart"/>
      <w:r w:rsidR="0089749C">
        <w:t>Solange</w:t>
      </w:r>
      <w:proofErr w:type="spellEnd"/>
      <w:r w:rsidR="0089749C">
        <w:t xml:space="preserve"> I</w:t>
      </w:r>
      <w:r w:rsidR="00190E04">
        <w:rPr>
          <w:rStyle w:val="Znakapoznpodarou"/>
        </w:rPr>
        <w:footnoteReference w:id="24"/>
      </w:r>
      <w:r w:rsidR="009C18C1" w:rsidRPr="00BA1D87">
        <w:t xml:space="preserve"> Komise vzala zpět svoji žalobu, která reagovala na jednání Ústavního soudu SRN, když nadřadil ochranu lidských práv dle německého ústavního pořádku </w:t>
      </w:r>
      <w:r w:rsidR="00C36D13" w:rsidRPr="00BA1D87">
        <w:t xml:space="preserve">nad </w:t>
      </w:r>
      <w:r w:rsidR="009C18C1" w:rsidRPr="00BA1D87">
        <w:t>vymáhání komunitárního práva na německé</w:t>
      </w:r>
      <w:r w:rsidR="00C36D13" w:rsidRPr="00BA1D87">
        <w:t>m</w:t>
      </w:r>
      <w:r w:rsidR="009C18C1" w:rsidRPr="00BA1D87">
        <w:t xml:space="preserve"> území</w:t>
      </w:r>
      <w:r w:rsidR="00C36D13" w:rsidRPr="00BA1D87">
        <w:t>. Poněkud jiný přístup pak ukazuje rozsudek Soudního dvora v případu Komise v.</w:t>
      </w:r>
      <w:r w:rsidR="00C17698">
        <w:t> </w:t>
      </w:r>
      <w:r w:rsidR="00C36D13" w:rsidRPr="00BA1D87">
        <w:t>Itálie</w:t>
      </w:r>
      <w:r w:rsidR="00C17698">
        <w:rPr>
          <w:rStyle w:val="Znakapoznpodarou"/>
        </w:rPr>
        <w:footnoteReference w:id="25"/>
      </w:r>
      <w:r w:rsidR="00C36D13" w:rsidRPr="00BA1D87">
        <w:t>, kde Komise napadla dlouholetou interpretační praxi italských soudů, týkající se vracení celních poplatků a</w:t>
      </w:r>
      <w:r w:rsidR="009A4D3C">
        <w:t> </w:t>
      </w:r>
      <w:r w:rsidR="00C36D13" w:rsidRPr="00BA1D87">
        <w:t>daní zaplacených soukromými subjekty. Nakonec však Soudní dvůr v kauze označil za viníka moc zákonodárnou, která podle něj nedostatečně přesně formulovala příslušnou italskou legislativu.</w:t>
      </w:r>
      <w:r w:rsidR="009A4D3C">
        <w:rPr>
          <w:rStyle w:val="Znakapoznpodarou"/>
        </w:rPr>
        <w:footnoteReference w:id="26"/>
      </w:r>
    </w:p>
    <w:p w:rsidR="00305120" w:rsidRPr="00800B19" w:rsidRDefault="005F114C" w:rsidP="00626E38">
      <w:pPr>
        <w:rPr>
          <w:color w:val="C0504D" w:themeColor="accent2"/>
        </w:rPr>
      </w:pPr>
      <w:r w:rsidRPr="00BA1D87">
        <w:tab/>
        <w:t xml:space="preserve">V poslední řadě může </w:t>
      </w:r>
      <w:r w:rsidR="00E31ED2" w:rsidRPr="00BA1D87">
        <w:t>porušení povinnosti založit i soukromý subjekt, ať</w:t>
      </w:r>
      <w:r w:rsidR="00487CC4">
        <w:t> </w:t>
      </w:r>
      <w:r w:rsidR="00E31ED2" w:rsidRPr="00BA1D87">
        <w:t>už</w:t>
      </w:r>
      <w:r w:rsidR="00487CC4">
        <w:t> </w:t>
      </w:r>
      <w:r w:rsidR="00E31ED2" w:rsidRPr="00BA1D87">
        <w:t>svoji činností nebo nečinností. Je samozřejmé, že členský stát nemůže zaručit, aby se každý soukromý subjekt v jeho jurisdikci choval v souladu s evropským právem. Nesmí ale svoji pasivitou vytvořit prostor, který by umožňoval systematické porušování evropského práva, ať už pasivitou na úrovni moci zákonodárné, výkonné či soudní. Soudní dvůr se k této otázce mohl bohatě vyjádřit v rámci případu C</w:t>
      </w:r>
      <w:r w:rsidR="00800B19" w:rsidRPr="00BA1D87">
        <w:noBreakHyphen/>
      </w:r>
      <w:r w:rsidR="00E31ED2" w:rsidRPr="00BA1D87">
        <w:t>265/95 Komise v. Francie. Jednalo se o blokádu kamiónů dovážejících do Francie zemědělské výrobky z jiných států EU, kterou organizovali francouzští zemědělci a</w:t>
      </w:r>
      <w:r w:rsidR="00800B19" w:rsidRPr="00BA1D87">
        <w:t> </w:t>
      </w:r>
      <w:r w:rsidR="00E31ED2" w:rsidRPr="00BA1D87">
        <w:t>jejich odborová sdružení. Soudní dvůr nakonec konstatoval, že Francie porušila své povinnosti, jelikož nechala protesty pokračovat po vcelku dlouhou dobu, aniž by</w:t>
      </w:r>
      <w:r w:rsidR="00E77B6F">
        <w:t> </w:t>
      </w:r>
      <w:r w:rsidR="00E31ED2" w:rsidRPr="00BA1D87">
        <w:t>proti nim výrazněji zasáhla. Je však důležité zmínit, že členský stát své povinnosti neporuší vždy, když toleruje omezení pravidel volného trhu na svém území.</w:t>
      </w:r>
      <w:r w:rsidR="00C17698">
        <w:t xml:space="preserve"> Například v případu </w:t>
      </w:r>
      <w:proofErr w:type="spellStart"/>
      <w:r w:rsidR="00E31ED2" w:rsidRPr="00BA1D87">
        <w:t>Schmindberger</w:t>
      </w:r>
      <w:proofErr w:type="spellEnd"/>
      <w:r w:rsidR="00E31ED2" w:rsidRPr="00BA1D87">
        <w:t xml:space="preserve"> v. Rakousko</w:t>
      </w:r>
      <w:r w:rsidR="00C17698">
        <w:rPr>
          <w:rStyle w:val="Znakapoznpodarou"/>
        </w:rPr>
        <w:footnoteReference w:id="27"/>
      </w:r>
      <w:r w:rsidR="00E31ED2" w:rsidRPr="00BA1D87">
        <w:t xml:space="preserve"> Soudní dvůr konstatoval, že</w:t>
      </w:r>
      <w:r w:rsidR="00E77B6F">
        <w:t> </w:t>
      </w:r>
      <w:r w:rsidR="00E31ED2" w:rsidRPr="00BA1D87">
        <w:t xml:space="preserve">Rakousko neporušilo povinnosti tím, že </w:t>
      </w:r>
      <w:r w:rsidR="00A463D6" w:rsidRPr="00BA1D87">
        <w:t xml:space="preserve">nezakázalo pokojnou demonstraci, která na 30 hodin zablokovala provoz na </w:t>
      </w:r>
      <w:proofErr w:type="spellStart"/>
      <w:r w:rsidR="00A463D6" w:rsidRPr="00BA1D87">
        <w:t>brennerské</w:t>
      </w:r>
      <w:proofErr w:type="spellEnd"/>
      <w:r w:rsidR="00A463D6" w:rsidRPr="00BA1D87">
        <w:t xml:space="preserve"> dálnici.</w:t>
      </w:r>
      <w:r w:rsidRPr="00BA1D87">
        <w:rPr>
          <w:rStyle w:val="Znakapoznpodarou"/>
        </w:rPr>
        <w:footnoteReference w:id="28"/>
      </w:r>
    </w:p>
    <w:p w:rsidR="002B2EE2" w:rsidRDefault="004C6B14" w:rsidP="002B2EE2">
      <w:pPr>
        <w:ind w:firstLine="708"/>
      </w:pPr>
      <w:r>
        <w:t xml:space="preserve">Pokud hovoříme o jednotlivých druzích jednání, které lze postihnout, je </w:t>
      </w:r>
      <w:r w:rsidR="002B2EE2">
        <w:t xml:space="preserve">také důležité zmínit princip tzv. objektivní odpovědnosti, který v tomto řízení funguje. </w:t>
      </w:r>
      <w:r w:rsidR="002B2EE2">
        <w:lastRenderedPageBreak/>
        <w:t>To</w:t>
      </w:r>
      <w:r>
        <w:t> </w:t>
      </w:r>
      <w:r w:rsidR="002B2EE2">
        <w:t>znamená, že rozhodující v tomto případě bude fakt, že objektivně k nějakému porušení smluv došlo a nebude podstatné, který konkrétní orgán členského státu se</w:t>
      </w:r>
      <w:r>
        <w:t> </w:t>
      </w:r>
      <w:r w:rsidR="002B2EE2">
        <w:t>jednání dopustil a nevyžaduje se ani prokázání zavinění</w:t>
      </w:r>
      <w:r w:rsidR="002B2EE2">
        <w:rPr>
          <w:rStyle w:val="Znakapoznpodarou"/>
        </w:rPr>
        <w:footnoteReference w:id="29"/>
      </w:r>
      <w:r w:rsidR="002B2EE2">
        <w:t>. V praxi se tento princip projeví neuznáním liberačních důvodů, jako mohou být technické, institucionální nebo politické obtíže. Výše uvedené však neznamená, že soud nezkoumá faktické a</w:t>
      </w:r>
      <w:r>
        <w:t> </w:t>
      </w:r>
      <w:r w:rsidR="002B2EE2">
        <w:t>právní okolnosti porušení povinnosti, což poté může mít význam například pro stanovení sankce či pro vyvození odpovědnosti státu za škodu.</w:t>
      </w:r>
      <w:r w:rsidR="002B2EE2">
        <w:rPr>
          <w:rStyle w:val="Znakapoznpodarou"/>
        </w:rPr>
        <w:footnoteReference w:id="30"/>
      </w:r>
      <w:r w:rsidR="002B2EE2">
        <w:t xml:space="preserve">  </w:t>
      </w:r>
    </w:p>
    <w:p w:rsidR="00EE6A31" w:rsidRDefault="00EE6A31" w:rsidP="00EE6A31">
      <w:r>
        <w:tab/>
        <w:t xml:space="preserve">Nesmíme také zapomenout, že ani použití institutu dozorčí žaloby není neomezené a v některých oblastech politiky Evropské unie je pravomoc unijních soudů explicitně vyloučena, případně byla vyloučena do doby přijetí Lisabonské smlouvy. </w:t>
      </w:r>
    </w:p>
    <w:p w:rsidR="00EE6A31" w:rsidRPr="00C031E1" w:rsidRDefault="00EE6A31" w:rsidP="00EE6A31">
      <w:r>
        <w:tab/>
      </w:r>
      <w:r w:rsidRPr="00C031E1">
        <w:t>Do přijetí LS byly možnosti vynucení splnění povinnosti, které členské státy měly v rámci „nekomunitárních“ pilířů práva Evropské unie, dosti malé. Článek 7 SEU dával ESD pravomoc rozhodovat o sporech mezi členskými státy, o výkladech/u nebo použití právních aktů přijatých v oblastech policejní a justiční spolupráce v</w:t>
      </w:r>
      <w:r w:rsidR="000E3FBC">
        <w:t> </w:t>
      </w:r>
      <w:r w:rsidRPr="00C031E1">
        <w:t>trestních věcech a mezi členskými státy a Komisí, pokud jde o výklad a použití mezinárodních úmluv v oblasti třetího pilíře. LS dává již dnes možnost v některých případech zahajovat proti členským státům řízení o porušení Smlouvy v rámci standardní procedury</w:t>
      </w:r>
      <w:r>
        <w:t xml:space="preserve"> dle článku 258-260 SFEU</w:t>
      </w:r>
      <w:r w:rsidRPr="00C031E1">
        <w:t>.</w:t>
      </w:r>
      <w:r w:rsidRPr="00C031E1">
        <w:rPr>
          <w:rStyle w:val="Znakapoznpodarou"/>
        </w:rPr>
        <w:footnoteReference w:id="31"/>
      </w:r>
      <w:r w:rsidRPr="00C031E1">
        <w:t xml:space="preserve"> </w:t>
      </w:r>
    </w:p>
    <w:p w:rsidR="00797615" w:rsidRDefault="00EE6A31" w:rsidP="00EE6A31">
      <w:pPr>
        <w:ind w:firstLine="709"/>
      </w:pPr>
      <w:r w:rsidRPr="0094602F">
        <w:t xml:space="preserve">Nejprve jde o oblast </w:t>
      </w:r>
      <w:r w:rsidRPr="00EE6A31">
        <w:t>Společné zahraniční a bezpečnostní politiky</w:t>
      </w:r>
      <w:r>
        <w:t xml:space="preserve">, bývalý druhý pilíř EU. Tato oblast zůstala i po přijetí Lisabonské smlouvy nadále mimo záběr dozorčí žaloby. </w:t>
      </w:r>
      <w:r w:rsidRPr="00C031E1">
        <w:t>Na základě L</w:t>
      </w:r>
      <w:r>
        <w:t xml:space="preserve">isabonské smlouvy </w:t>
      </w:r>
      <w:r w:rsidRPr="00C031E1">
        <w:t>pravomoc S</w:t>
      </w:r>
      <w:r>
        <w:t>oudního dvora</w:t>
      </w:r>
      <w:r w:rsidRPr="00C031E1">
        <w:t xml:space="preserve"> rozhodovat o této dozorčí žalobě exp</w:t>
      </w:r>
      <w:r>
        <w:t>andovala do bývalého III. pilíře</w:t>
      </w:r>
      <w:r w:rsidRPr="00C031E1">
        <w:t xml:space="preserve">, což přestavuje </w:t>
      </w:r>
      <w:r w:rsidRPr="00EE6A31">
        <w:t>soudní a policejní spolupráci v trestních věcech</w:t>
      </w:r>
      <w:r>
        <w:t>.</w:t>
      </w:r>
      <w:r w:rsidRPr="00C031E1">
        <w:t xml:space="preserve"> Pro porušení </w:t>
      </w:r>
      <w:proofErr w:type="spellStart"/>
      <w:r w:rsidRPr="00C031E1">
        <w:t>předlisabonského</w:t>
      </w:r>
      <w:proofErr w:type="spellEnd"/>
      <w:r w:rsidRPr="00C031E1">
        <w:t xml:space="preserve"> trestněprávního </w:t>
      </w:r>
      <w:proofErr w:type="spellStart"/>
      <w:r w:rsidRPr="00C031E1">
        <w:t>acquis</w:t>
      </w:r>
      <w:proofErr w:type="spellEnd"/>
      <w:r w:rsidRPr="00C031E1">
        <w:t xml:space="preserve"> (tj. hlavy VI. Smlouvy o EU a sekundárních norem přijatých na jejím základě před vstupem Lisabonské smlouvy v platnost) se navíc nemůže využít dozorčí žaloba v tzv. přechodném období pěti let</w:t>
      </w:r>
      <w:r w:rsidR="006C77DB">
        <w:rPr>
          <w:rStyle w:val="Znakapoznpodarou"/>
        </w:rPr>
        <w:footnoteReference w:id="32"/>
      </w:r>
      <w:r w:rsidRPr="00C031E1">
        <w:t xml:space="preserve"> od vstupu Lisabonské </w:t>
      </w:r>
      <w:r w:rsidRPr="00C031E1">
        <w:lastRenderedPageBreak/>
        <w:t>smlouvy v</w:t>
      </w:r>
      <w:r w:rsidR="006C77DB">
        <w:t> </w:t>
      </w:r>
      <w:r w:rsidRPr="00C031E1">
        <w:t>platnost.</w:t>
      </w:r>
      <w:r w:rsidRPr="00C031E1">
        <w:rPr>
          <w:rStyle w:val="Znakapoznpodarou"/>
        </w:rPr>
        <w:footnoteReference w:id="33"/>
      </w:r>
      <w:r w:rsidRPr="00C031E1">
        <w:t xml:space="preserve"> </w:t>
      </w:r>
      <w:r w:rsidRPr="0094602F">
        <w:t>U</w:t>
      </w:r>
      <w:r>
        <w:t> </w:t>
      </w:r>
      <w:r w:rsidRPr="0094602F">
        <w:t>těchto aktů platí, že pravomoci Soudního dvora zůstávají až do 30. listopadu 2014 stejné, jaké byly před vst</w:t>
      </w:r>
      <w:r>
        <w:t>upem této smlouvy v platnost.</w:t>
      </w:r>
      <w:r>
        <w:rPr>
          <w:rStyle w:val="Znakapoznpodarou"/>
        </w:rPr>
        <w:footnoteReference w:id="34"/>
      </w:r>
      <w:r>
        <w:t xml:space="preserve"> </w:t>
      </w:r>
      <w:r w:rsidRPr="00C031E1">
        <w:t>I</w:t>
      </w:r>
      <w:r>
        <w:t> </w:t>
      </w:r>
      <w:r w:rsidRPr="00C031E1">
        <w:t>nadále je ze soudní kontroly vyňato posuzování přiměřenosti aktivity orgánů členských států při udržování práva a pořádku.</w:t>
      </w:r>
    </w:p>
    <w:p w:rsidR="000E44C3" w:rsidRDefault="005014DB" w:rsidP="00626E38">
      <w:r>
        <w:tab/>
      </w:r>
      <w:r w:rsidR="000E44C3">
        <w:br w:type="page"/>
      </w:r>
    </w:p>
    <w:p w:rsidR="008E7033" w:rsidRPr="00BD022B" w:rsidRDefault="000E44C3" w:rsidP="00302016">
      <w:pPr>
        <w:pStyle w:val="Nadpis1"/>
      </w:pPr>
      <w:bookmarkStart w:id="6" w:name="_Toc398901324"/>
      <w:bookmarkStart w:id="7" w:name="_Toc399171074"/>
      <w:r w:rsidRPr="00BD022B">
        <w:lastRenderedPageBreak/>
        <w:t>3</w:t>
      </w:r>
      <w:r w:rsidR="008E7033" w:rsidRPr="00BD022B">
        <w:t xml:space="preserve">. </w:t>
      </w:r>
      <w:r w:rsidR="00560AC3">
        <w:t>Žalobce</w:t>
      </w:r>
      <w:bookmarkEnd w:id="6"/>
      <w:bookmarkEnd w:id="7"/>
    </w:p>
    <w:p w:rsidR="008E7033" w:rsidRDefault="000E44C3" w:rsidP="00302016">
      <w:pPr>
        <w:pStyle w:val="Nadpis2"/>
      </w:pPr>
      <w:bookmarkStart w:id="8" w:name="_Toc398901325"/>
      <w:bookmarkStart w:id="9" w:name="_Toc399171075"/>
      <w:r w:rsidRPr="00302016">
        <w:t>3</w:t>
      </w:r>
      <w:r w:rsidR="008E7033" w:rsidRPr="00302016">
        <w:t xml:space="preserve">.1. </w:t>
      </w:r>
      <w:r w:rsidR="005F2ED3">
        <w:t>Komise</w:t>
      </w:r>
      <w:bookmarkEnd w:id="8"/>
      <w:bookmarkEnd w:id="9"/>
    </w:p>
    <w:p w:rsidR="005F2ED3" w:rsidRDefault="005F2ED3" w:rsidP="005F2ED3">
      <w:r>
        <w:tab/>
        <w:t>V rámci své kontrolní pravomoci Komise pečlivě sleduje, jak členské státy evropské právo dodržují. K této činnosti využívá hned několik</w:t>
      </w:r>
      <w:r w:rsidR="00FE74E2">
        <w:t>a</w:t>
      </w:r>
      <w:r>
        <w:t xml:space="preserve"> zdrojů</w:t>
      </w:r>
      <w:r w:rsidR="00FE74E2">
        <w:t>. Jsou to</w:t>
      </w:r>
      <w:r w:rsidR="00AD02B1">
        <w:t> </w:t>
      </w:r>
      <w:r w:rsidR="00FE74E2">
        <w:t>n</w:t>
      </w:r>
      <w:r>
        <w:t xml:space="preserve">apříklad povinné notifikace o implementaci směrnic ze strany členských států, </w:t>
      </w:r>
      <w:r w:rsidR="00443CA9">
        <w:t>dále tisk publikovaný v členských státech, sledování národních soudních řízení a</w:t>
      </w:r>
      <w:r w:rsidR="00AD02B1">
        <w:t> </w:t>
      </w:r>
      <w:r w:rsidR="00443CA9">
        <w:t>judikatury a rovněž vyhodnocování řízení o předběžných otázkách. Hlavním zdrojem pro Komisi relevantních informací jsou však jednotlivci, kteří sami nejsou oprávněni řízení zahájit</w:t>
      </w:r>
      <w:r w:rsidR="00FE74E2">
        <w:t xml:space="preserve"> a jimž se budu věnovat níže</w:t>
      </w:r>
      <w:r w:rsidR="00443CA9">
        <w:t>.</w:t>
      </w:r>
      <w:r w:rsidR="00443CA9">
        <w:rPr>
          <w:rStyle w:val="Znakapoznpodarou"/>
        </w:rPr>
        <w:footnoteReference w:id="35"/>
      </w:r>
    </w:p>
    <w:p w:rsidR="00FE74E2" w:rsidRDefault="00FE74E2" w:rsidP="00FE74E2">
      <w:r>
        <w:tab/>
        <w:t xml:space="preserve">Postavení </w:t>
      </w:r>
      <w:r w:rsidR="004C6B14">
        <w:t>K</w:t>
      </w:r>
      <w:r>
        <w:t xml:space="preserve">omise v tomto řízení je velmi diskutabilní a existuje mnoho zajímavých otázek, kterými se v průběhu let zabýval </w:t>
      </w:r>
      <w:r w:rsidR="004C6B14">
        <w:t>S</w:t>
      </w:r>
      <w:r>
        <w:t>oud</w:t>
      </w:r>
      <w:r w:rsidR="004C6B14">
        <w:t>ní dvůr</w:t>
      </w:r>
      <w:r>
        <w:t>. Jelikož Smlouva poskytuje Komisi v řízení velmi rozsáhlou pravomoc, objevují se postupně nejrůznější obavy a kritiky jejího přílišného vlivu, jejího nedostatečného omezení a</w:t>
      </w:r>
      <w:r w:rsidR="00E77B6F">
        <w:t> </w:t>
      </w:r>
      <w:r>
        <w:t>nad</w:t>
      </w:r>
      <w:r w:rsidR="006A706B">
        <w:t xml:space="preserve">bytečného </w:t>
      </w:r>
      <w:r>
        <w:t>prostor</w:t>
      </w:r>
      <w:r w:rsidR="006A706B">
        <w:t>u</w:t>
      </w:r>
      <w:r>
        <w:t xml:space="preserve"> k vlastnímu uvážení. </w:t>
      </w:r>
    </w:p>
    <w:p w:rsidR="00FE74E2" w:rsidRPr="00C77867" w:rsidRDefault="006A706B" w:rsidP="006A706B">
      <w:pPr>
        <w:ind w:firstLine="708"/>
        <w:rPr>
          <w:rFonts w:cs="Arial"/>
        </w:rPr>
      </w:pPr>
      <w:r>
        <w:rPr>
          <w:rFonts w:cs="Arial"/>
        </w:rPr>
        <w:t>Proběhlo a probíhá mnoho diskuzí o tom, jak moc velkou pravomoc získala Komise právě na základě článku 258 SFEU. Na základě něj nyní může hrozit</w:t>
      </w:r>
      <w:r w:rsidR="00FE74E2" w:rsidRPr="00C77867">
        <w:rPr>
          <w:rFonts w:cs="Arial"/>
        </w:rPr>
        <w:t>, že</w:t>
      </w:r>
      <w:r w:rsidR="00AD02B1">
        <w:rPr>
          <w:rFonts w:cs="Arial"/>
        </w:rPr>
        <w:t> </w:t>
      </w:r>
      <w:r w:rsidR="00FE74E2" w:rsidRPr="00C77867">
        <w:rPr>
          <w:rFonts w:cs="Arial"/>
        </w:rPr>
        <w:t xml:space="preserve">bude </w:t>
      </w:r>
      <w:r>
        <w:rPr>
          <w:rFonts w:cs="Arial"/>
        </w:rPr>
        <w:t>K</w:t>
      </w:r>
      <w:r w:rsidR="00FE74E2" w:rsidRPr="00C77867">
        <w:rPr>
          <w:rFonts w:cs="Arial"/>
        </w:rPr>
        <w:t>omise buď příliš shovívavá, či naopak bude svévolně selektovat a dělat rozdíly mezi členskými státy.</w:t>
      </w:r>
      <w:r w:rsidR="00F84E54">
        <w:rPr>
          <w:rFonts w:cs="Arial"/>
        </w:rPr>
        <w:t xml:space="preserve"> </w:t>
      </w:r>
      <w:r w:rsidR="00FE74E2" w:rsidRPr="00C77867">
        <w:rPr>
          <w:rFonts w:cs="Arial"/>
        </w:rPr>
        <w:t xml:space="preserve">Je zde také možnost, že </w:t>
      </w:r>
      <w:r>
        <w:rPr>
          <w:rFonts w:cs="Arial"/>
        </w:rPr>
        <w:t xml:space="preserve">pokud nebude Komise dostatečně omezena, bude řízení </w:t>
      </w:r>
      <w:r w:rsidR="00FE74E2" w:rsidRPr="00C77867">
        <w:rPr>
          <w:rFonts w:cs="Arial"/>
        </w:rPr>
        <w:t>užív</w:t>
      </w:r>
      <w:r>
        <w:rPr>
          <w:rFonts w:cs="Arial"/>
        </w:rPr>
        <w:t>at</w:t>
      </w:r>
      <w:r w:rsidR="00FE74E2" w:rsidRPr="00C77867">
        <w:rPr>
          <w:rFonts w:cs="Arial"/>
        </w:rPr>
        <w:t xml:space="preserve"> nečestně nebo tíživě</w:t>
      </w:r>
      <w:r>
        <w:rPr>
          <w:rFonts w:cs="Arial"/>
        </w:rPr>
        <w:t xml:space="preserve"> pro některé státy</w:t>
      </w:r>
      <w:r w:rsidR="00FE74E2" w:rsidRPr="00C77867">
        <w:rPr>
          <w:rFonts w:cs="Arial"/>
        </w:rPr>
        <w:t xml:space="preserve">, </w:t>
      </w:r>
      <w:r>
        <w:rPr>
          <w:rFonts w:cs="Arial"/>
        </w:rPr>
        <w:t xml:space="preserve">jak </w:t>
      </w:r>
      <w:r w:rsidR="00FE74E2" w:rsidRPr="00C77867">
        <w:rPr>
          <w:rFonts w:cs="Arial"/>
        </w:rPr>
        <w:t xml:space="preserve">z hlediska </w:t>
      </w:r>
      <w:r>
        <w:rPr>
          <w:rFonts w:cs="Arial"/>
        </w:rPr>
        <w:t>časových omezení (lhůt)</w:t>
      </w:r>
      <w:r w:rsidR="00FE74E2" w:rsidRPr="00C77867">
        <w:rPr>
          <w:rFonts w:cs="Arial"/>
        </w:rPr>
        <w:t xml:space="preserve"> a postupu</w:t>
      </w:r>
      <w:r>
        <w:rPr>
          <w:rFonts w:cs="Arial"/>
        </w:rPr>
        <w:t xml:space="preserve"> v řízení</w:t>
      </w:r>
      <w:r w:rsidR="00FE74E2" w:rsidRPr="00C77867">
        <w:rPr>
          <w:rFonts w:cs="Arial"/>
        </w:rPr>
        <w:t xml:space="preserve">. </w:t>
      </w:r>
    </w:p>
    <w:p w:rsidR="00FE74E2" w:rsidRPr="00C77867" w:rsidRDefault="00FE74E2" w:rsidP="006A706B">
      <w:pPr>
        <w:ind w:firstLine="708"/>
        <w:rPr>
          <w:rFonts w:cs="Arial"/>
        </w:rPr>
      </w:pPr>
      <w:r w:rsidRPr="00C77867">
        <w:rPr>
          <w:rFonts w:cs="Arial"/>
        </w:rPr>
        <w:t xml:space="preserve">Pokud vezmeme v úvahu fakt, že podle Smluv Komise plní celou řadu funkcí, je jasné, že se mohou objevit jisté </w:t>
      </w:r>
      <w:r w:rsidRPr="00861D9D">
        <w:rPr>
          <w:rFonts w:cs="Arial"/>
          <w:b/>
        </w:rPr>
        <w:t>politické a jiné důvody</w:t>
      </w:r>
      <w:r w:rsidRPr="00C77867">
        <w:rPr>
          <w:rFonts w:cs="Arial"/>
        </w:rPr>
        <w:t>, jež povedou</w:t>
      </w:r>
      <w:r w:rsidR="006A706B">
        <w:rPr>
          <w:rFonts w:cs="Arial"/>
        </w:rPr>
        <w:t xml:space="preserve"> Komisi</w:t>
      </w:r>
      <w:r w:rsidRPr="00C77867">
        <w:rPr>
          <w:rFonts w:cs="Arial"/>
        </w:rPr>
        <w:t xml:space="preserve"> k využití své pravomoci proti zahájení řízení, </w:t>
      </w:r>
      <w:r w:rsidR="006A706B">
        <w:rPr>
          <w:rFonts w:cs="Arial"/>
        </w:rPr>
        <w:t xml:space="preserve">nebo </w:t>
      </w:r>
      <w:r w:rsidRPr="00C77867">
        <w:rPr>
          <w:rFonts w:cs="Arial"/>
        </w:rPr>
        <w:t>ovlivn</w:t>
      </w:r>
      <w:r w:rsidR="006A706B">
        <w:rPr>
          <w:rFonts w:cs="Arial"/>
        </w:rPr>
        <w:t>í</w:t>
      </w:r>
      <w:r w:rsidRPr="00C77867">
        <w:rPr>
          <w:rFonts w:cs="Arial"/>
        </w:rPr>
        <w:t xml:space="preserve"> postup v řízení, i když bude do očí bijící, že stát svoji povinnost</w:t>
      </w:r>
      <w:r w:rsidR="006A706B">
        <w:rPr>
          <w:rFonts w:cs="Arial"/>
        </w:rPr>
        <w:t xml:space="preserve"> porušil</w:t>
      </w:r>
      <w:r w:rsidRPr="00C77867">
        <w:rPr>
          <w:rFonts w:cs="Arial"/>
        </w:rPr>
        <w:t>. Článek 258 odst</w:t>
      </w:r>
      <w:r w:rsidR="006A706B">
        <w:rPr>
          <w:rFonts w:cs="Arial"/>
        </w:rPr>
        <w:t>avec</w:t>
      </w:r>
      <w:r w:rsidRPr="00C77867">
        <w:rPr>
          <w:rFonts w:cs="Arial"/>
        </w:rPr>
        <w:t xml:space="preserve"> 2 SFEU jasně naznačuje, že pokud Komise vydá </w:t>
      </w:r>
      <w:r w:rsidR="006A706B">
        <w:rPr>
          <w:rFonts w:cs="Arial"/>
        </w:rPr>
        <w:t>„</w:t>
      </w:r>
      <w:r w:rsidRPr="00861D9D">
        <w:rPr>
          <w:rFonts w:cs="Arial"/>
          <w:b/>
        </w:rPr>
        <w:t>odůvodněné stanovisko</w:t>
      </w:r>
      <w:r w:rsidR="006A706B">
        <w:rPr>
          <w:rFonts w:cs="Arial"/>
        </w:rPr>
        <w:t>“</w:t>
      </w:r>
      <w:r w:rsidRPr="00C77867">
        <w:rPr>
          <w:rFonts w:cs="Arial"/>
        </w:rPr>
        <w:t xml:space="preserve"> s uveden</w:t>
      </w:r>
      <w:r w:rsidR="006A706B">
        <w:rPr>
          <w:rFonts w:cs="Arial"/>
        </w:rPr>
        <w:t>ý</w:t>
      </w:r>
      <w:r w:rsidRPr="00C77867">
        <w:rPr>
          <w:rFonts w:cs="Arial"/>
        </w:rPr>
        <w:t>m poru</w:t>
      </w:r>
      <w:r w:rsidR="006A706B">
        <w:rPr>
          <w:rFonts w:cs="Arial"/>
        </w:rPr>
        <w:t>šením povinnosti</w:t>
      </w:r>
      <w:r w:rsidRPr="00C77867">
        <w:rPr>
          <w:rFonts w:cs="Arial"/>
        </w:rPr>
        <w:t xml:space="preserve">, má </w:t>
      </w:r>
      <w:r w:rsidR="006A706B">
        <w:rPr>
          <w:rFonts w:cs="Arial"/>
        </w:rPr>
        <w:t xml:space="preserve">poté </w:t>
      </w:r>
      <w:r w:rsidRPr="00C77867">
        <w:rPr>
          <w:rFonts w:cs="Arial"/>
        </w:rPr>
        <w:t xml:space="preserve">širokou posuzovací pravomoc, zda věc </w:t>
      </w:r>
      <w:r w:rsidR="006A706B">
        <w:rPr>
          <w:rFonts w:cs="Arial"/>
        </w:rPr>
        <w:t xml:space="preserve">dále </w:t>
      </w:r>
      <w:r w:rsidRPr="00C77867">
        <w:rPr>
          <w:rFonts w:cs="Arial"/>
        </w:rPr>
        <w:t>předloží S</w:t>
      </w:r>
      <w:r w:rsidR="006A706B">
        <w:rPr>
          <w:rFonts w:cs="Arial"/>
        </w:rPr>
        <w:t xml:space="preserve">oudnímu dvoru </w:t>
      </w:r>
      <w:r w:rsidRPr="00C77867">
        <w:rPr>
          <w:rFonts w:cs="Arial"/>
        </w:rPr>
        <w:t>či nikoli. A ačkoli tento článek Komisi říká, že by měla brát zřetel na</w:t>
      </w:r>
      <w:r w:rsidR="00A37166">
        <w:rPr>
          <w:rFonts w:cs="Arial"/>
        </w:rPr>
        <w:t> </w:t>
      </w:r>
      <w:r w:rsidRPr="00C77867">
        <w:rPr>
          <w:rFonts w:cs="Arial"/>
        </w:rPr>
        <w:t xml:space="preserve">to, že </w:t>
      </w:r>
      <w:r w:rsidR="004C6B14">
        <w:rPr>
          <w:rFonts w:cs="Arial"/>
        </w:rPr>
        <w:t xml:space="preserve">by </w:t>
      </w:r>
      <w:r w:rsidR="004C6B14" w:rsidRPr="00C77867">
        <w:rPr>
          <w:rFonts w:cs="Arial"/>
        </w:rPr>
        <w:t>měla</w:t>
      </w:r>
      <w:r w:rsidR="004C6B14">
        <w:rPr>
          <w:rFonts w:cs="Arial"/>
        </w:rPr>
        <w:t xml:space="preserve"> </w:t>
      </w:r>
      <w:r w:rsidR="004C6B14" w:rsidRPr="00C77867">
        <w:rPr>
          <w:rFonts w:cs="Arial"/>
        </w:rPr>
        <w:t xml:space="preserve">vydat </w:t>
      </w:r>
      <w:r w:rsidR="004C6B14">
        <w:rPr>
          <w:rFonts w:cs="Arial"/>
        </w:rPr>
        <w:t>„</w:t>
      </w:r>
      <w:r w:rsidR="004C6B14" w:rsidRPr="00C77867">
        <w:rPr>
          <w:rFonts w:cs="Arial"/>
        </w:rPr>
        <w:t>odůvodněné stanovisko</w:t>
      </w:r>
      <w:r w:rsidR="004C6B14">
        <w:rPr>
          <w:rFonts w:cs="Arial"/>
        </w:rPr>
        <w:t xml:space="preserve">“ </w:t>
      </w:r>
      <w:r w:rsidRPr="00C77867">
        <w:rPr>
          <w:rFonts w:cs="Arial"/>
        </w:rPr>
        <w:t xml:space="preserve">v případě pokud </w:t>
      </w:r>
      <w:r w:rsidR="006A706B">
        <w:rPr>
          <w:rFonts w:cs="Arial"/>
        </w:rPr>
        <w:t>uváží</w:t>
      </w:r>
      <w:r>
        <w:rPr>
          <w:rFonts w:cs="Arial"/>
        </w:rPr>
        <w:t xml:space="preserve">, </w:t>
      </w:r>
      <w:r w:rsidRPr="00C77867">
        <w:rPr>
          <w:rFonts w:cs="Arial"/>
        </w:rPr>
        <w:t xml:space="preserve">že stát porušil povinnost ze Smlouvy, </w:t>
      </w:r>
      <w:r w:rsidR="004C6B14">
        <w:rPr>
          <w:rFonts w:cs="Arial"/>
        </w:rPr>
        <w:t xml:space="preserve">stále toto ustanovení ponechává </w:t>
      </w:r>
      <w:r w:rsidR="006A706B">
        <w:rPr>
          <w:rFonts w:cs="Arial"/>
        </w:rPr>
        <w:t xml:space="preserve">zcela </w:t>
      </w:r>
      <w:r w:rsidRPr="00C77867">
        <w:rPr>
          <w:rFonts w:cs="Arial"/>
        </w:rPr>
        <w:t xml:space="preserve">na </w:t>
      </w:r>
      <w:r w:rsidRPr="00C77867">
        <w:rPr>
          <w:rStyle w:val="hps"/>
          <w:rFonts w:cs="Arial"/>
        </w:rPr>
        <w:t>Komisi</w:t>
      </w:r>
      <w:r w:rsidR="00AD02B1">
        <w:rPr>
          <w:rStyle w:val="hps"/>
          <w:rFonts w:cs="Arial"/>
        </w:rPr>
        <w:t xml:space="preserve"> </w:t>
      </w:r>
      <w:r w:rsidRPr="00C77867">
        <w:rPr>
          <w:rStyle w:val="hps"/>
          <w:rFonts w:cs="Arial"/>
        </w:rPr>
        <w:t>uvážení</w:t>
      </w:r>
      <w:r w:rsidRPr="00C77867">
        <w:rPr>
          <w:rFonts w:cs="Arial"/>
        </w:rPr>
        <w:t xml:space="preserve">, zda a kdy </w:t>
      </w:r>
      <w:r w:rsidR="006A706B">
        <w:rPr>
          <w:rStyle w:val="hps"/>
          <w:rFonts w:cs="Arial"/>
        </w:rPr>
        <w:t>„</w:t>
      </w:r>
      <w:r w:rsidRPr="00C77867">
        <w:rPr>
          <w:rStyle w:val="hps"/>
          <w:rFonts w:cs="Arial"/>
        </w:rPr>
        <w:t>odůvodněné stanovisko</w:t>
      </w:r>
      <w:r w:rsidR="006A706B">
        <w:rPr>
          <w:rStyle w:val="hps"/>
          <w:rFonts w:cs="Arial"/>
        </w:rPr>
        <w:t>“ vydá.</w:t>
      </w:r>
      <w:r w:rsidR="00BE6E23">
        <w:rPr>
          <w:rStyle w:val="Znakapoznpodarou"/>
          <w:rFonts w:cs="Arial"/>
        </w:rPr>
        <w:footnoteReference w:id="36"/>
      </w:r>
      <w:r w:rsidR="006A706B">
        <w:rPr>
          <w:rStyle w:val="hps"/>
          <w:rFonts w:cs="Arial"/>
        </w:rPr>
        <w:t xml:space="preserve"> </w:t>
      </w:r>
    </w:p>
    <w:p w:rsidR="00FE74E2" w:rsidRDefault="00FE74E2" w:rsidP="006A706B">
      <w:pPr>
        <w:ind w:firstLine="708"/>
        <w:rPr>
          <w:rFonts w:cs="Arial"/>
        </w:rPr>
      </w:pPr>
      <w:r w:rsidRPr="00C77867">
        <w:rPr>
          <w:rFonts w:cs="Arial"/>
        </w:rPr>
        <w:lastRenderedPageBreak/>
        <w:t xml:space="preserve">Co se týče způsobu, jakým Komise </w:t>
      </w:r>
      <w:r w:rsidR="004C6B14">
        <w:rPr>
          <w:rFonts w:cs="Arial"/>
        </w:rPr>
        <w:t>využívá</w:t>
      </w:r>
      <w:r w:rsidRPr="00C77867">
        <w:rPr>
          <w:rFonts w:cs="Arial"/>
        </w:rPr>
        <w:t xml:space="preserve"> svo</w:t>
      </w:r>
      <w:r w:rsidR="004C6B14">
        <w:rPr>
          <w:rFonts w:cs="Arial"/>
        </w:rPr>
        <w:t>ji</w:t>
      </w:r>
      <w:r w:rsidRPr="00C77867">
        <w:rPr>
          <w:rFonts w:cs="Arial"/>
        </w:rPr>
        <w:t xml:space="preserve"> posuzovací pravomoc při podá</w:t>
      </w:r>
      <w:r>
        <w:rPr>
          <w:rFonts w:cs="Arial"/>
        </w:rPr>
        <w:t>vá</w:t>
      </w:r>
      <w:r w:rsidRPr="00C77867">
        <w:rPr>
          <w:rFonts w:cs="Arial"/>
        </w:rPr>
        <w:t xml:space="preserve">ní </w:t>
      </w:r>
      <w:r>
        <w:rPr>
          <w:rFonts w:cs="Arial"/>
        </w:rPr>
        <w:t>do</w:t>
      </w:r>
      <w:r w:rsidR="00861D9D">
        <w:rPr>
          <w:rFonts w:cs="Arial"/>
        </w:rPr>
        <w:t>zorčí</w:t>
      </w:r>
      <w:r w:rsidR="00F84E54">
        <w:rPr>
          <w:rFonts w:cs="Arial"/>
        </w:rPr>
        <w:t xml:space="preserve"> </w:t>
      </w:r>
      <w:r w:rsidR="004C6B14">
        <w:rPr>
          <w:rFonts w:cs="Arial"/>
        </w:rPr>
        <w:t>žaloby, S</w:t>
      </w:r>
      <w:r w:rsidRPr="00C77867">
        <w:rPr>
          <w:rFonts w:cs="Arial"/>
        </w:rPr>
        <w:t>oud</w:t>
      </w:r>
      <w:r w:rsidR="004C6B14">
        <w:rPr>
          <w:rFonts w:cs="Arial"/>
        </w:rPr>
        <w:t>ní dvůr</w:t>
      </w:r>
      <w:r w:rsidRPr="00C77867">
        <w:rPr>
          <w:rFonts w:cs="Arial"/>
        </w:rPr>
        <w:t xml:space="preserve"> opakovaně </w:t>
      </w:r>
      <w:r>
        <w:rPr>
          <w:rFonts w:cs="Arial"/>
        </w:rPr>
        <w:t>d</w:t>
      </w:r>
      <w:r w:rsidR="004C6B14">
        <w:rPr>
          <w:rFonts w:cs="Arial"/>
        </w:rPr>
        <w:t>al</w:t>
      </w:r>
      <w:r w:rsidRPr="00C77867">
        <w:rPr>
          <w:rFonts w:cs="Arial"/>
        </w:rPr>
        <w:t xml:space="preserve"> najevo, že pokud </w:t>
      </w:r>
      <w:r>
        <w:rPr>
          <w:rFonts w:cs="Arial"/>
        </w:rPr>
        <w:t>mluvíme o</w:t>
      </w:r>
      <w:r w:rsidR="00563389">
        <w:rPr>
          <w:rFonts w:cs="Arial"/>
        </w:rPr>
        <w:t> </w:t>
      </w:r>
      <w:r w:rsidRPr="0004458F">
        <w:rPr>
          <w:rFonts w:cs="Arial"/>
          <w:b/>
        </w:rPr>
        <w:t>věcných důvodech</w:t>
      </w:r>
      <w:r w:rsidRPr="00C77867">
        <w:rPr>
          <w:rFonts w:cs="Arial"/>
        </w:rPr>
        <w:t xml:space="preserve"> pro podání žaloby, </w:t>
      </w:r>
      <w:r w:rsidR="004C6B14">
        <w:rPr>
          <w:rFonts w:cs="Arial"/>
        </w:rPr>
        <w:t xml:space="preserve">je řízení v tomto směru zcela objektivní. </w:t>
      </w:r>
      <w:r w:rsidRPr="003949CB">
        <w:rPr>
          <w:rFonts w:cs="Arial"/>
        </w:rPr>
        <w:t>To</w:t>
      </w:r>
      <w:r w:rsidR="00992F3B">
        <w:rPr>
          <w:rFonts w:cs="Arial"/>
        </w:rPr>
        <w:t> </w:t>
      </w:r>
      <w:r w:rsidRPr="003949CB">
        <w:rPr>
          <w:rFonts w:cs="Arial"/>
        </w:rPr>
        <w:t xml:space="preserve">zřejmě znamená, že </w:t>
      </w:r>
      <w:r w:rsidR="00992F3B">
        <w:rPr>
          <w:rFonts w:cs="Arial"/>
        </w:rPr>
        <w:t>Soudní dvůr</w:t>
      </w:r>
      <w:r w:rsidRPr="003949CB">
        <w:rPr>
          <w:rFonts w:cs="Arial"/>
        </w:rPr>
        <w:t xml:space="preserve"> bude zkoumat pouze to, zda </w:t>
      </w:r>
      <w:r>
        <w:rPr>
          <w:rFonts w:cs="Arial"/>
        </w:rPr>
        <w:t>p</w:t>
      </w:r>
      <w:r w:rsidRPr="003949CB">
        <w:rPr>
          <w:rFonts w:cs="Arial"/>
        </w:rPr>
        <w:t>rotiprávní jednání</w:t>
      </w:r>
      <w:r>
        <w:rPr>
          <w:rFonts w:cs="Arial"/>
        </w:rPr>
        <w:t xml:space="preserve"> vytýkané </w:t>
      </w:r>
      <w:r w:rsidRPr="003949CB">
        <w:rPr>
          <w:rFonts w:cs="Arial"/>
        </w:rPr>
        <w:t>Komis</w:t>
      </w:r>
      <w:r>
        <w:rPr>
          <w:rFonts w:cs="Arial"/>
        </w:rPr>
        <w:t>í</w:t>
      </w:r>
      <w:r w:rsidR="00992F3B">
        <w:rPr>
          <w:rFonts w:cs="Arial"/>
        </w:rPr>
        <w:t xml:space="preserve"> </w:t>
      </w:r>
      <w:r>
        <w:rPr>
          <w:rFonts w:cs="Arial"/>
        </w:rPr>
        <w:t xml:space="preserve">skutečně </w:t>
      </w:r>
      <w:r w:rsidRPr="003949CB">
        <w:rPr>
          <w:rFonts w:cs="Arial"/>
        </w:rPr>
        <w:t xml:space="preserve">existuje, a </w:t>
      </w:r>
      <w:r w:rsidRPr="0004458F">
        <w:rPr>
          <w:rFonts w:cs="Arial"/>
          <w:b/>
        </w:rPr>
        <w:t>nebude přihlížet k motivům</w:t>
      </w:r>
      <w:r>
        <w:rPr>
          <w:rFonts w:cs="Arial"/>
        </w:rPr>
        <w:t>, proč</w:t>
      </w:r>
      <w:r w:rsidRPr="003949CB">
        <w:rPr>
          <w:rFonts w:cs="Arial"/>
        </w:rPr>
        <w:t xml:space="preserve"> Komise </w:t>
      </w:r>
      <w:r>
        <w:rPr>
          <w:rFonts w:cs="Arial"/>
        </w:rPr>
        <w:t>žalobu podala</w:t>
      </w:r>
      <w:r w:rsidRPr="003949CB">
        <w:rPr>
          <w:rFonts w:cs="Arial"/>
        </w:rPr>
        <w:t>.</w:t>
      </w:r>
      <w:r w:rsidR="00C17698">
        <w:rPr>
          <w:rFonts w:cs="Arial"/>
        </w:rPr>
        <w:t xml:space="preserve"> V případu </w:t>
      </w:r>
      <w:r>
        <w:rPr>
          <w:rFonts w:cs="Arial"/>
        </w:rPr>
        <w:t>Kom</w:t>
      </w:r>
      <w:r w:rsidR="00C17698">
        <w:rPr>
          <w:rFonts w:cs="Arial"/>
        </w:rPr>
        <w:t>ise v. UK</w:t>
      </w:r>
      <w:r w:rsidR="00C17698">
        <w:rPr>
          <w:rStyle w:val="Znakapoznpodarou"/>
          <w:rFonts w:cs="Arial"/>
        </w:rPr>
        <w:footnoteReference w:id="37"/>
      </w:r>
      <w:r>
        <w:rPr>
          <w:rFonts w:cs="Arial"/>
        </w:rPr>
        <w:t xml:space="preserve"> argumentovalo Spojené království, že</w:t>
      </w:r>
      <w:r w:rsidR="00E77B6F">
        <w:rPr>
          <w:rFonts w:cs="Arial"/>
        </w:rPr>
        <w:t> </w:t>
      </w:r>
      <w:r>
        <w:rPr>
          <w:rFonts w:cs="Arial"/>
        </w:rPr>
        <w:t>za</w:t>
      </w:r>
      <w:r w:rsidR="00C17698">
        <w:rPr>
          <w:rFonts w:cs="Arial"/>
        </w:rPr>
        <w:t> </w:t>
      </w:r>
      <w:r>
        <w:rPr>
          <w:rFonts w:cs="Arial"/>
        </w:rPr>
        <w:t>jednáním Komise je politický motiv a</w:t>
      </w:r>
      <w:r w:rsidR="00BA1D87">
        <w:rPr>
          <w:rFonts w:cs="Arial"/>
        </w:rPr>
        <w:t> </w:t>
      </w:r>
      <w:r>
        <w:rPr>
          <w:rFonts w:cs="Arial"/>
        </w:rPr>
        <w:t>že</w:t>
      </w:r>
      <w:r w:rsidR="00BA1D87">
        <w:rPr>
          <w:rFonts w:cs="Arial"/>
        </w:rPr>
        <w:t> </w:t>
      </w:r>
      <w:r>
        <w:rPr>
          <w:rFonts w:cs="Arial"/>
        </w:rPr>
        <w:t>je</w:t>
      </w:r>
      <w:r w:rsidR="00BA1D87">
        <w:rPr>
          <w:rFonts w:cs="Arial"/>
        </w:rPr>
        <w:t> </w:t>
      </w:r>
      <w:r>
        <w:rPr>
          <w:rFonts w:cs="Arial"/>
        </w:rPr>
        <w:t>zde určitá snaha obejít postupy stanovené na základě směrnice. Soud</w:t>
      </w:r>
      <w:r w:rsidR="00992F3B">
        <w:rPr>
          <w:rFonts w:cs="Arial"/>
        </w:rPr>
        <w:t>ní dvůr</w:t>
      </w:r>
      <w:r>
        <w:rPr>
          <w:rFonts w:cs="Arial"/>
        </w:rPr>
        <w:t xml:space="preserve"> však řekl, že</w:t>
      </w:r>
      <w:r w:rsidR="00A37166">
        <w:rPr>
          <w:rFonts w:cs="Arial"/>
        </w:rPr>
        <w:t> </w:t>
      </w:r>
      <w:r>
        <w:rPr>
          <w:rFonts w:cs="Arial"/>
        </w:rPr>
        <w:t xml:space="preserve">takový argument nemůže přijmout. Vzhledem k principu institucionální rovnováhy nemůže být Soudní dvůr tím, kdo bude zvažovat, jaké cíle Komise svým jednáním sleduje. </w:t>
      </w:r>
      <w:r w:rsidR="00861D9D">
        <w:rPr>
          <w:rFonts w:cs="Arial"/>
        </w:rPr>
        <w:t xml:space="preserve">Avšak </w:t>
      </w:r>
      <w:r>
        <w:rPr>
          <w:rFonts w:cs="Arial"/>
        </w:rPr>
        <w:t>má za úkol rozhodnout, zda dotyčný členský stát opravdu nesplnil svoji povinnost, jak je</w:t>
      </w:r>
      <w:r w:rsidR="00E77B6F">
        <w:rPr>
          <w:rFonts w:cs="Arial"/>
        </w:rPr>
        <w:t> </w:t>
      </w:r>
      <w:r>
        <w:rPr>
          <w:rFonts w:cs="Arial"/>
        </w:rPr>
        <w:t xml:space="preserve">uvedeno v žalobě. </w:t>
      </w:r>
      <w:r w:rsidRPr="005B430C">
        <w:rPr>
          <w:rFonts w:cs="Arial"/>
        </w:rPr>
        <w:t>Jak Soudní dvůr rozhodl v</w:t>
      </w:r>
      <w:r>
        <w:rPr>
          <w:rFonts w:cs="Arial"/>
        </w:rPr>
        <w:t> </w:t>
      </w:r>
      <w:r w:rsidRPr="005B430C">
        <w:rPr>
          <w:rFonts w:cs="Arial"/>
        </w:rPr>
        <w:t>případě</w:t>
      </w:r>
      <w:r>
        <w:rPr>
          <w:rFonts w:cs="Arial"/>
        </w:rPr>
        <w:t xml:space="preserve"> Komise v. Itálie</w:t>
      </w:r>
      <w:r w:rsidR="00C17698">
        <w:rPr>
          <w:rStyle w:val="Znakapoznpodarou"/>
          <w:rFonts w:cs="Arial"/>
        </w:rPr>
        <w:footnoteReference w:id="38"/>
      </w:r>
      <w:r w:rsidRPr="005B430C">
        <w:rPr>
          <w:rFonts w:cs="Arial"/>
        </w:rPr>
        <w:t>, žaloba proti členskému st</w:t>
      </w:r>
      <w:r>
        <w:rPr>
          <w:rFonts w:cs="Arial"/>
        </w:rPr>
        <w:t xml:space="preserve">átu </w:t>
      </w:r>
      <w:r w:rsidRPr="005B430C">
        <w:rPr>
          <w:rFonts w:cs="Arial"/>
        </w:rPr>
        <w:t xml:space="preserve">pro nesplnění povinnosti, </w:t>
      </w:r>
      <w:r>
        <w:rPr>
          <w:rFonts w:cs="Arial"/>
        </w:rPr>
        <w:t>jejíž podání</w:t>
      </w:r>
      <w:r w:rsidR="00992F3B">
        <w:rPr>
          <w:rFonts w:cs="Arial"/>
        </w:rPr>
        <w:t xml:space="preserve"> d</w:t>
      </w:r>
      <w:r w:rsidR="00992F3B" w:rsidRPr="005B430C">
        <w:rPr>
          <w:rFonts w:cs="Arial"/>
        </w:rPr>
        <w:t>le svého vlastního uvážen</w:t>
      </w:r>
      <w:r w:rsidR="00992F3B">
        <w:rPr>
          <w:rFonts w:cs="Arial"/>
        </w:rPr>
        <w:t>í</w:t>
      </w:r>
      <w:r>
        <w:rPr>
          <w:rFonts w:cs="Arial"/>
        </w:rPr>
        <w:t xml:space="preserve"> </w:t>
      </w:r>
      <w:r w:rsidR="00992F3B">
        <w:rPr>
          <w:rFonts w:cs="Arial"/>
        </w:rPr>
        <w:t xml:space="preserve">je výhradně </w:t>
      </w:r>
      <w:r>
        <w:rPr>
          <w:rFonts w:cs="Arial"/>
        </w:rPr>
        <w:t>zál</w:t>
      </w:r>
      <w:r w:rsidRPr="005B430C">
        <w:rPr>
          <w:rFonts w:cs="Arial"/>
        </w:rPr>
        <w:t>ežitost</w:t>
      </w:r>
      <w:r>
        <w:rPr>
          <w:rFonts w:cs="Arial"/>
        </w:rPr>
        <w:t>í</w:t>
      </w:r>
      <w:r w:rsidRPr="005B430C">
        <w:rPr>
          <w:rFonts w:cs="Arial"/>
        </w:rPr>
        <w:t xml:space="preserve"> Komis</w:t>
      </w:r>
      <w:r>
        <w:rPr>
          <w:rFonts w:cs="Arial"/>
        </w:rPr>
        <w:t>e</w:t>
      </w:r>
      <w:r w:rsidRPr="005B430C">
        <w:rPr>
          <w:rFonts w:cs="Arial"/>
        </w:rPr>
        <w:t>, je</w:t>
      </w:r>
      <w:r w:rsidR="00A37166">
        <w:rPr>
          <w:rFonts w:cs="Arial"/>
        </w:rPr>
        <w:t> </w:t>
      </w:r>
      <w:r w:rsidRPr="00861D9D">
        <w:rPr>
          <w:rFonts w:cs="Arial"/>
          <w:b/>
        </w:rPr>
        <w:t>objektivní povahy</w:t>
      </w:r>
      <w:r>
        <w:rPr>
          <w:rFonts w:cs="Arial"/>
        </w:rPr>
        <w:t>.</w:t>
      </w:r>
      <w:r w:rsidR="00BE6E23">
        <w:rPr>
          <w:rStyle w:val="Znakapoznpodarou"/>
          <w:rFonts w:cs="Arial"/>
        </w:rPr>
        <w:footnoteReference w:id="39"/>
      </w:r>
      <w:r>
        <w:rPr>
          <w:rFonts w:cs="Arial"/>
        </w:rPr>
        <w:t xml:space="preserve"> </w:t>
      </w:r>
    </w:p>
    <w:p w:rsidR="00FE74E2" w:rsidRDefault="00FE74E2" w:rsidP="00861D9D">
      <w:pPr>
        <w:ind w:firstLine="708"/>
        <w:rPr>
          <w:rFonts w:cs="Arial"/>
        </w:rPr>
      </w:pPr>
      <w:r>
        <w:rPr>
          <w:rFonts w:cs="Arial"/>
        </w:rPr>
        <w:t xml:space="preserve">Naopak v případu </w:t>
      </w:r>
      <w:r w:rsidR="001F14BB">
        <w:rPr>
          <w:rFonts w:cs="Arial"/>
        </w:rPr>
        <w:t>Komise v. Německo</w:t>
      </w:r>
      <w:r w:rsidR="00992F3B">
        <w:rPr>
          <w:rStyle w:val="Znakapoznpodarou"/>
          <w:rFonts w:cs="Arial"/>
        </w:rPr>
        <w:footnoteReference w:id="40"/>
      </w:r>
      <w:r w:rsidR="001F14BB">
        <w:rPr>
          <w:rFonts w:cs="Arial"/>
        </w:rPr>
        <w:t xml:space="preserve"> </w:t>
      </w:r>
      <w:r>
        <w:rPr>
          <w:rFonts w:cs="Arial"/>
        </w:rPr>
        <w:t xml:space="preserve">Soudní dvůr konstatoval, že </w:t>
      </w:r>
      <w:r w:rsidRPr="0004458F">
        <w:rPr>
          <w:rFonts w:cs="Arial"/>
          <w:b/>
        </w:rPr>
        <w:t>absence konkrétního motivu či zájmu</w:t>
      </w:r>
      <w:r>
        <w:rPr>
          <w:rFonts w:cs="Arial"/>
        </w:rPr>
        <w:t xml:space="preserve"> ze strany Komise při podání žaloby proti členskému státu, nemá jakýkoli vliv na přípustnost řízení o této žalobě. Dále Soud</w:t>
      </w:r>
      <w:r w:rsidR="00992F3B">
        <w:rPr>
          <w:rFonts w:cs="Arial"/>
        </w:rPr>
        <w:t>ní dvůr</w:t>
      </w:r>
      <w:r>
        <w:rPr>
          <w:rFonts w:cs="Arial"/>
        </w:rPr>
        <w:t xml:space="preserve"> v případu Komise v. Řecko</w:t>
      </w:r>
      <w:r w:rsidR="001F14BB">
        <w:rPr>
          <w:rStyle w:val="Znakapoznpodarou"/>
          <w:rFonts w:cs="Arial"/>
        </w:rPr>
        <w:footnoteReference w:id="41"/>
      </w:r>
      <w:r>
        <w:rPr>
          <w:rFonts w:cs="Arial"/>
        </w:rPr>
        <w:t xml:space="preserve"> </w:t>
      </w:r>
      <w:r w:rsidR="00992F3B">
        <w:rPr>
          <w:rFonts w:cs="Arial"/>
        </w:rPr>
        <w:t>řekl</w:t>
      </w:r>
      <w:r>
        <w:rPr>
          <w:rFonts w:cs="Arial"/>
        </w:rPr>
        <w:t>, že Komise jedná ve veřejném zájmu, a tudíž nemusí mít žádný další zvláštní zájem, protože článek 258 SFEU není určen k tomu, aby chránil vlastní práva institucí.</w:t>
      </w:r>
      <w:r w:rsidR="00BE6E23">
        <w:rPr>
          <w:rStyle w:val="Znakapoznpodarou"/>
          <w:rFonts w:cs="Arial"/>
        </w:rPr>
        <w:footnoteReference w:id="42"/>
      </w:r>
      <w:r>
        <w:rPr>
          <w:rFonts w:cs="Arial"/>
        </w:rPr>
        <w:t xml:space="preserve"> </w:t>
      </w:r>
    </w:p>
    <w:p w:rsidR="00FE74E2" w:rsidRDefault="00FE74E2" w:rsidP="00861D9D">
      <w:pPr>
        <w:ind w:firstLine="708"/>
        <w:rPr>
          <w:rFonts w:cs="Arial"/>
        </w:rPr>
      </w:pPr>
      <w:r>
        <w:rPr>
          <w:rFonts w:cs="Arial"/>
        </w:rPr>
        <w:t xml:space="preserve">Většího úspěchu státy dosahují s argumentací, že </w:t>
      </w:r>
      <w:r w:rsidRPr="00D9634E">
        <w:rPr>
          <w:rFonts w:cs="Arial"/>
        </w:rPr>
        <w:t xml:space="preserve">existují </w:t>
      </w:r>
      <w:r w:rsidRPr="00334409">
        <w:rPr>
          <w:rFonts w:cs="Arial"/>
        </w:rPr>
        <w:t>procesní</w:t>
      </w:r>
      <w:r w:rsidRPr="00D9634E">
        <w:rPr>
          <w:rFonts w:cs="Arial"/>
        </w:rPr>
        <w:t xml:space="preserve"> překážky</w:t>
      </w:r>
      <w:r>
        <w:rPr>
          <w:rFonts w:cs="Arial"/>
        </w:rPr>
        <w:t xml:space="preserve"> v</w:t>
      </w:r>
      <w:r w:rsidR="00563389">
        <w:rPr>
          <w:rFonts w:cs="Arial"/>
        </w:rPr>
        <w:t> </w:t>
      </w:r>
      <w:r>
        <w:rPr>
          <w:rFonts w:cs="Arial"/>
        </w:rPr>
        <w:t>řízení</w:t>
      </w:r>
      <w:r w:rsidRPr="00D9634E">
        <w:rPr>
          <w:rFonts w:cs="Arial"/>
        </w:rPr>
        <w:t xml:space="preserve">, jako jsou </w:t>
      </w:r>
      <w:r w:rsidR="00861D9D" w:rsidRPr="00861D9D">
        <w:rPr>
          <w:rFonts w:cs="Arial"/>
          <w:b/>
        </w:rPr>
        <w:t>ne</w:t>
      </w:r>
      <w:r w:rsidRPr="00861D9D">
        <w:rPr>
          <w:rFonts w:cs="Arial"/>
          <w:b/>
        </w:rPr>
        <w:t>přiměřené lhůty</w:t>
      </w:r>
      <w:r w:rsidRPr="00D9634E">
        <w:rPr>
          <w:rFonts w:cs="Arial"/>
        </w:rPr>
        <w:t xml:space="preserve">, </w:t>
      </w:r>
      <w:r>
        <w:rPr>
          <w:rFonts w:cs="Arial"/>
        </w:rPr>
        <w:t xml:space="preserve">které jsou zcela závislé </w:t>
      </w:r>
      <w:r w:rsidR="00992F3B">
        <w:rPr>
          <w:rFonts w:cs="Arial"/>
        </w:rPr>
        <w:t xml:space="preserve">opět </w:t>
      </w:r>
      <w:r>
        <w:rPr>
          <w:rFonts w:cs="Arial"/>
        </w:rPr>
        <w:t xml:space="preserve">na </w:t>
      </w:r>
      <w:r w:rsidRPr="00D9634E">
        <w:rPr>
          <w:rFonts w:cs="Arial"/>
        </w:rPr>
        <w:t>uvážení Komise. V</w:t>
      </w:r>
      <w:r>
        <w:rPr>
          <w:rFonts w:cs="Arial"/>
        </w:rPr>
        <w:t xml:space="preserve"> jednom z dřívějších </w:t>
      </w:r>
      <w:r w:rsidRPr="00D9634E">
        <w:rPr>
          <w:rFonts w:cs="Arial"/>
        </w:rPr>
        <w:t>případ</w:t>
      </w:r>
      <w:r>
        <w:rPr>
          <w:rFonts w:cs="Arial"/>
        </w:rPr>
        <w:t>ů</w:t>
      </w:r>
      <w:r w:rsidRPr="00D9634E">
        <w:rPr>
          <w:rFonts w:cs="Arial"/>
        </w:rPr>
        <w:t xml:space="preserve"> Soudní dvůr </w:t>
      </w:r>
      <w:r>
        <w:rPr>
          <w:rFonts w:cs="Arial"/>
        </w:rPr>
        <w:t>konstatoval</w:t>
      </w:r>
      <w:r w:rsidRPr="00D9634E">
        <w:rPr>
          <w:rFonts w:cs="Arial"/>
        </w:rPr>
        <w:t>, že volba</w:t>
      </w:r>
      <w:r>
        <w:rPr>
          <w:rFonts w:cs="Arial"/>
        </w:rPr>
        <w:t xml:space="preserve"> okamžiku, kdy </w:t>
      </w:r>
      <w:r w:rsidRPr="00D9634E">
        <w:rPr>
          <w:rFonts w:cs="Arial"/>
        </w:rPr>
        <w:t>Komise řízení</w:t>
      </w:r>
      <w:r>
        <w:rPr>
          <w:rFonts w:cs="Arial"/>
        </w:rPr>
        <w:t xml:space="preserve"> zahájí, </w:t>
      </w:r>
      <w:r w:rsidRPr="00D9634E">
        <w:rPr>
          <w:rFonts w:cs="Arial"/>
        </w:rPr>
        <w:t>nemůže</w:t>
      </w:r>
      <w:r>
        <w:rPr>
          <w:rFonts w:cs="Arial"/>
        </w:rPr>
        <w:t xml:space="preserve"> nijak </w:t>
      </w:r>
      <w:r w:rsidRPr="00D9634E">
        <w:rPr>
          <w:rFonts w:cs="Arial"/>
        </w:rPr>
        <w:t xml:space="preserve">ovlivnit </w:t>
      </w:r>
      <w:r>
        <w:rPr>
          <w:rFonts w:cs="Arial"/>
        </w:rPr>
        <w:t xml:space="preserve">jeho </w:t>
      </w:r>
      <w:r w:rsidRPr="00D9634E">
        <w:rPr>
          <w:rFonts w:cs="Arial"/>
        </w:rPr>
        <w:t>přípustnost.</w:t>
      </w:r>
      <w:r>
        <w:rPr>
          <w:rFonts w:cs="Arial"/>
        </w:rPr>
        <w:t xml:space="preserve"> I přesto však Soudní dvůr následně </w:t>
      </w:r>
      <w:r w:rsidR="00992F3B">
        <w:rPr>
          <w:rFonts w:cs="Arial"/>
        </w:rPr>
        <w:t xml:space="preserve">v jednom z případů </w:t>
      </w:r>
      <w:r>
        <w:rPr>
          <w:rFonts w:cs="Arial"/>
        </w:rPr>
        <w:t xml:space="preserve">rozhodl, že existovala určitá omezení v diskreci Komise, pokud hovoříme o </w:t>
      </w:r>
      <w:r w:rsidRPr="00334409">
        <w:rPr>
          <w:rFonts w:cs="Arial"/>
        </w:rPr>
        <w:t>době</w:t>
      </w:r>
      <w:r>
        <w:rPr>
          <w:rFonts w:cs="Arial"/>
        </w:rPr>
        <w:t>, kterou si Komise vyhradila k zahájení řízení, a</w:t>
      </w:r>
      <w:r w:rsidR="00C17698">
        <w:rPr>
          <w:rFonts w:cs="Arial"/>
        </w:rPr>
        <w:t> </w:t>
      </w:r>
      <w:r w:rsidR="00861D9D">
        <w:rPr>
          <w:rFonts w:cs="Arial"/>
        </w:rPr>
        <w:t>v tomto konkrétním případu byl</w:t>
      </w:r>
      <w:r w:rsidR="00720D13">
        <w:rPr>
          <w:rFonts w:cs="Arial"/>
        </w:rPr>
        <w:t>o jednání Komise hodnoceno jako zaujaté</w:t>
      </w:r>
      <w:r w:rsidR="00861D9D">
        <w:rPr>
          <w:rFonts w:cs="Arial"/>
        </w:rPr>
        <w:t>.</w:t>
      </w:r>
      <w:r w:rsidR="00C17698">
        <w:rPr>
          <w:rFonts w:cs="Arial"/>
        </w:rPr>
        <w:t xml:space="preserve"> </w:t>
      </w:r>
      <w:r w:rsidR="00C17698">
        <w:rPr>
          <w:rFonts w:cs="Arial"/>
        </w:rPr>
        <w:lastRenderedPageBreak/>
        <w:t xml:space="preserve">V případu </w:t>
      </w:r>
      <w:r>
        <w:rPr>
          <w:rFonts w:cs="Arial"/>
        </w:rPr>
        <w:t>Komise v.</w:t>
      </w:r>
      <w:r w:rsidR="00563389">
        <w:rPr>
          <w:rFonts w:cs="Arial"/>
        </w:rPr>
        <w:t> </w:t>
      </w:r>
      <w:r>
        <w:rPr>
          <w:rFonts w:cs="Arial"/>
        </w:rPr>
        <w:t>Nizo</w:t>
      </w:r>
      <w:r w:rsidR="00C17698">
        <w:rPr>
          <w:rFonts w:cs="Arial"/>
        </w:rPr>
        <w:t>zemí</w:t>
      </w:r>
      <w:r w:rsidR="00C17698">
        <w:rPr>
          <w:rStyle w:val="Znakapoznpodarou"/>
          <w:rFonts w:cs="Arial"/>
        </w:rPr>
        <w:footnoteReference w:id="43"/>
      </w:r>
      <w:r w:rsidR="00992F3B">
        <w:rPr>
          <w:rFonts w:cs="Arial"/>
        </w:rPr>
        <w:t>,</w:t>
      </w:r>
      <w:r>
        <w:rPr>
          <w:rFonts w:cs="Arial"/>
        </w:rPr>
        <w:t xml:space="preserve"> Nizozemí argumentovalo, že lhůta pro zahájení řízení delší než 5 let od okamžiku, kdy mu přišel první dopis od Komise, je</w:t>
      </w:r>
      <w:r w:rsidR="00A37166">
        <w:rPr>
          <w:rFonts w:cs="Arial"/>
        </w:rPr>
        <w:t> </w:t>
      </w:r>
      <w:r>
        <w:rPr>
          <w:rFonts w:cs="Arial"/>
        </w:rPr>
        <w:t xml:space="preserve">přehnaná. </w:t>
      </w:r>
      <w:r w:rsidR="00992F3B">
        <w:rPr>
          <w:rFonts w:cs="Arial"/>
        </w:rPr>
        <w:t>S</w:t>
      </w:r>
      <w:r w:rsidRPr="00E35A18">
        <w:rPr>
          <w:rFonts w:cs="Arial"/>
        </w:rPr>
        <w:t xml:space="preserve">oudní dvůr </w:t>
      </w:r>
      <w:r>
        <w:rPr>
          <w:rFonts w:cs="Arial"/>
        </w:rPr>
        <w:t>judikoval</w:t>
      </w:r>
      <w:r w:rsidRPr="00E35A18">
        <w:rPr>
          <w:rFonts w:cs="Arial"/>
        </w:rPr>
        <w:t>, že i když článek 2</w:t>
      </w:r>
      <w:r>
        <w:rPr>
          <w:rFonts w:cs="Arial"/>
        </w:rPr>
        <w:t>58</w:t>
      </w:r>
      <w:r w:rsidRPr="00E35A18">
        <w:rPr>
          <w:rFonts w:cs="Arial"/>
        </w:rPr>
        <w:t xml:space="preserve"> záměrně </w:t>
      </w:r>
      <w:r>
        <w:rPr>
          <w:rFonts w:cs="Arial"/>
        </w:rPr>
        <w:t xml:space="preserve">nestanoví žádnou konkrétní </w:t>
      </w:r>
      <w:r w:rsidRPr="00E35A18">
        <w:rPr>
          <w:rFonts w:cs="Arial"/>
        </w:rPr>
        <w:t>lhůt</w:t>
      </w:r>
      <w:r>
        <w:rPr>
          <w:rFonts w:cs="Arial"/>
        </w:rPr>
        <w:t>u</w:t>
      </w:r>
      <w:r w:rsidRPr="00E35A18">
        <w:rPr>
          <w:rFonts w:cs="Arial"/>
        </w:rPr>
        <w:t xml:space="preserve"> pro podání žaloby, nadměrn</w:t>
      </w:r>
      <w:r>
        <w:rPr>
          <w:rFonts w:cs="Arial"/>
        </w:rPr>
        <w:t>é</w:t>
      </w:r>
      <w:r w:rsidRPr="00E35A18">
        <w:rPr>
          <w:rFonts w:cs="Arial"/>
        </w:rPr>
        <w:t xml:space="preserve"> zpoždění může být na újmu.</w:t>
      </w:r>
      <w:r>
        <w:rPr>
          <w:rFonts w:cs="Arial"/>
        </w:rPr>
        <w:t xml:space="preserve"> Pro státy poté může být mnohem obtížnějším vyvrátit argumenty Komise a</w:t>
      </w:r>
      <w:r w:rsidR="00A37166">
        <w:rPr>
          <w:rFonts w:cs="Arial"/>
        </w:rPr>
        <w:t> </w:t>
      </w:r>
      <w:r>
        <w:rPr>
          <w:rFonts w:cs="Arial"/>
        </w:rPr>
        <w:t>může tím být narušeno jejich právo na obhajobu. Avšak v tomto konkrétním případě se</w:t>
      </w:r>
      <w:r w:rsidR="00992F3B">
        <w:rPr>
          <w:rFonts w:cs="Arial"/>
        </w:rPr>
        <w:t> </w:t>
      </w:r>
      <w:r w:rsidR="00861D9D">
        <w:rPr>
          <w:rFonts w:cs="Arial"/>
        </w:rPr>
        <w:t>Nizozemí</w:t>
      </w:r>
      <w:r>
        <w:rPr>
          <w:rFonts w:cs="Arial"/>
        </w:rPr>
        <w:t xml:space="preserve"> nepodařilo prokázat, že neobvyklá délka postupu Komise měla nějaký vliv na způsob, jakým provedlo svoji obranu</w:t>
      </w:r>
      <w:r w:rsidR="00720D13">
        <w:rPr>
          <w:rFonts w:cs="Arial"/>
        </w:rPr>
        <w:t>.</w:t>
      </w:r>
      <w:r w:rsidR="00720D13" w:rsidRPr="00720D13">
        <w:rPr>
          <w:rStyle w:val="hps"/>
        </w:rPr>
        <w:t xml:space="preserve"> </w:t>
      </w:r>
      <w:r w:rsidR="00720D13">
        <w:rPr>
          <w:rStyle w:val="hps"/>
        </w:rPr>
        <w:t>V</w:t>
      </w:r>
      <w:r w:rsidR="00992F3B">
        <w:rPr>
          <w:rStyle w:val="hps"/>
        </w:rPr>
        <w:t> </w:t>
      </w:r>
      <w:r w:rsidR="00720D13">
        <w:rPr>
          <w:rStyle w:val="hps"/>
        </w:rPr>
        <w:t>případu</w:t>
      </w:r>
      <w:r w:rsidR="00992F3B">
        <w:rPr>
          <w:rStyle w:val="hps"/>
        </w:rPr>
        <w:t xml:space="preserve"> proti UK</w:t>
      </w:r>
      <w:r w:rsidR="00992F3B">
        <w:rPr>
          <w:rStyle w:val="Znakapoznpodarou"/>
        </w:rPr>
        <w:footnoteReference w:id="44"/>
      </w:r>
      <w:r w:rsidR="00720D13">
        <w:rPr>
          <w:rStyle w:val="hps"/>
        </w:rPr>
        <w:t xml:space="preserve"> však Soud</w:t>
      </w:r>
      <w:r w:rsidR="00992F3B">
        <w:rPr>
          <w:rStyle w:val="hps"/>
        </w:rPr>
        <w:t>ní dvůr</w:t>
      </w:r>
      <w:r w:rsidR="00720D13">
        <w:rPr>
          <w:rStyle w:val="hps"/>
        </w:rPr>
        <w:t xml:space="preserve"> odmítl argument UK, že vzhledem</w:t>
      </w:r>
      <w:r w:rsidR="00720D13">
        <w:t xml:space="preserve"> k</w:t>
      </w:r>
      <w:r w:rsidR="00A37166">
        <w:t> </w:t>
      </w:r>
      <w:r w:rsidR="00720D13">
        <w:t>době</w:t>
      </w:r>
      <w:r w:rsidR="00720D13">
        <w:rPr>
          <w:rStyle w:val="hps"/>
        </w:rPr>
        <w:t>,</w:t>
      </w:r>
      <w:r w:rsidR="00720D13">
        <w:t xml:space="preserve"> </w:t>
      </w:r>
      <w:r w:rsidR="00720D13">
        <w:rPr>
          <w:rStyle w:val="hps"/>
        </w:rPr>
        <w:t>která</w:t>
      </w:r>
      <w:r w:rsidR="00720D13">
        <w:t xml:space="preserve"> </w:t>
      </w:r>
      <w:r w:rsidR="00720D13">
        <w:rPr>
          <w:rStyle w:val="hps"/>
        </w:rPr>
        <w:t>uplynula od</w:t>
      </w:r>
      <w:r w:rsidR="00720D13">
        <w:t xml:space="preserve"> </w:t>
      </w:r>
      <w:r w:rsidR="00720D13">
        <w:rPr>
          <w:rStyle w:val="hps"/>
        </w:rPr>
        <w:t>konkrétních</w:t>
      </w:r>
      <w:r w:rsidR="00720D13">
        <w:t xml:space="preserve"> </w:t>
      </w:r>
      <w:r w:rsidR="00720D13">
        <w:rPr>
          <w:rStyle w:val="hps"/>
        </w:rPr>
        <w:t>událostí, které</w:t>
      </w:r>
      <w:r w:rsidR="00720D13">
        <w:t xml:space="preserve"> </w:t>
      </w:r>
      <w:r w:rsidR="00720D13">
        <w:rPr>
          <w:rStyle w:val="hps"/>
        </w:rPr>
        <w:t>byly</w:t>
      </w:r>
      <w:r w:rsidR="00720D13">
        <w:t xml:space="preserve"> </w:t>
      </w:r>
      <w:r w:rsidR="00720D13">
        <w:rPr>
          <w:rStyle w:val="hps"/>
        </w:rPr>
        <w:t>předmětem</w:t>
      </w:r>
      <w:r w:rsidR="00720D13">
        <w:t xml:space="preserve"> </w:t>
      </w:r>
      <w:r w:rsidR="00720D13">
        <w:rPr>
          <w:rStyle w:val="hps"/>
        </w:rPr>
        <w:t>řízení o</w:t>
      </w:r>
      <w:r w:rsidR="00A37166">
        <w:rPr>
          <w:rStyle w:val="hps"/>
        </w:rPr>
        <w:t> </w:t>
      </w:r>
      <w:r w:rsidR="00720D13">
        <w:rPr>
          <w:rStyle w:val="hps"/>
        </w:rPr>
        <w:t>nesplnění povinnosti</w:t>
      </w:r>
      <w:r w:rsidR="00720D13">
        <w:t xml:space="preserve">, by zahájení řízení </w:t>
      </w:r>
      <w:r w:rsidR="00720D13">
        <w:rPr>
          <w:rStyle w:val="hps"/>
        </w:rPr>
        <w:t>Komisí</w:t>
      </w:r>
      <w:r w:rsidR="00720D13">
        <w:t xml:space="preserve"> mohlo porušit princip </w:t>
      </w:r>
      <w:r w:rsidR="00720D13">
        <w:rPr>
          <w:rStyle w:val="hps"/>
        </w:rPr>
        <w:t>právní jistoty</w:t>
      </w:r>
      <w:r w:rsidR="00720D13">
        <w:t xml:space="preserve"> </w:t>
      </w:r>
      <w:r w:rsidR="00720D13">
        <w:rPr>
          <w:rStyle w:val="hps"/>
        </w:rPr>
        <w:t>a také porušit nabytá práva jednotlivců, která byla</w:t>
      </w:r>
      <w:r w:rsidR="00720D13">
        <w:t xml:space="preserve"> </w:t>
      </w:r>
      <w:r w:rsidR="00720D13">
        <w:rPr>
          <w:rStyle w:val="hps"/>
        </w:rPr>
        <w:t>těmito</w:t>
      </w:r>
      <w:r w:rsidR="00720D13">
        <w:t xml:space="preserve"> </w:t>
      </w:r>
      <w:r w:rsidR="00720D13">
        <w:rPr>
          <w:rStyle w:val="hps"/>
        </w:rPr>
        <w:t>dřívějšími událostmi dotčena.</w:t>
      </w:r>
      <w:r w:rsidR="00470D97">
        <w:rPr>
          <w:rStyle w:val="Znakapoznpodarou"/>
          <w:rFonts w:cs="Arial"/>
        </w:rPr>
        <w:footnoteReference w:id="45"/>
      </w:r>
    </w:p>
    <w:p w:rsidR="006E748B" w:rsidRDefault="00E269A0" w:rsidP="00BA199F">
      <w:pPr>
        <w:ind w:firstLine="708"/>
        <w:rPr>
          <w:rFonts w:cs="Arial"/>
        </w:rPr>
      </w:pPr>
      <w:r>
        <w:rPr>
          <w:rFonts w:cs="Arial"/>
        </w:rPr>
        <w:t xml:space="preserve">Problematika uvážení Komise o tom, kdy zahájí řízení o porušení povinnosti, však nebyla </w:t>
      </w:r>
      <w:r w:rsidR="00992F3B">
        <w:rPr>
          <w:rFonts w:cs="Arial"/>
        </w:rPr>
        <w:t>jediná</w:t>
      </w:r>
      <w:r>
        <w:rPr>
          <w:rFonts w:cs="Arial"/>
        </w:rPr>
        <w:t xml:space="preserve">. Větší pozornost se věnovalo uvážení Komise, kdy věc předloží Soudnímu dvoru </w:t>
      </w:r>
      <w:r w:rsidRPr="00E269A0">
        <w:rPr>
          <w:rFonts w:cs="Arial"/>
          <w:u w:val="single"/>
        </w:rPr>
        <w:t>po</w:t>
      </w:r>
      <w:r>
        <w:rPr>
          <w:rFonts w:cs="Arial"/>
        </w:rPr>
        <w:t xml:space="preserve"> vydání odůvodněného stanoviska a v rámci toho byla uložena rovněž určitá omezení. </w:t>
      </w:r>
      <w:r w:rsidR="00426F51">
        <w:rPr>
          <w:rFonts w:cs="Arial"/>
        </w:rPr>
        <w:t xml:space="preserve">Je zřejmé, že vyžadovat po vydání odůvodněného stanoviska </w:t>
      </w:r>
      <w:r w:rsidR="00BA199F">
        <w:rPr>
          <w:rFonts w:cs="Arial"/>
        </w:rPr>
        <w:t>odezvu (dát vše do pořádku)</w:t>
      </w:r>
      <w:r w:rsidR="00426F51">
        <w:rPr>
          <w:rFonts w:cs="Arial"/>
        </w:rPr>
        <w:t xml:space="preserve"> členského státu v příliš krátké době, může mít pravděpodobně vliv na schopnost členského státu vykonávat své právo na</w:t>
      </w:r>
      <w:r w:rsidR="00A37166">
        <w:rPr>
          <w:rFonts w:cs="Arial"/>
        </w:rPr>
        <w:t> </w:t>
      </w:r>
      <w:r w:rsidR="00426F51">
        <w:rPr>
          <w:rFonts w:cs="Arial"/>
        </w:rPr>
        <w:t>obhajobu, stejně jako při nadměrném zpoždění v zahájení řízení. V řízení proti Irsku</w:t>
      </w:r>
      <w:r w:rsidR="00992F3B">
        <w:rPr>
          <w:rStyle w:val="Znakapoznpodarou"/>
          <w:rFonts w:cs="Arial"/>
        </w:rPr>
        <w:footnoteReference w:id="46"/>
      </w:r>
      <w:r w:rsidR="00426F51">
        <w:rPr>
          <w:rFonts w:cs="Arial"/>
        </w:rPr>
        <w:t xml:space="preserve"> Soudní dvůr</w:t>
      </w:r>
      <w:r w:rsidR="00BA199F">
        <w:rPr>
          <w:rFonts w:cs="Arial"/>
        </w:rPr>
        <w:t xml:space="preserve"> připustil, že</w:t>
      </w:r>
      <w:r w:rsidR="00A37166">
        <w:rPr>
          <w:rFonts w:cs="Arial"/>
        </w:rPr>
        <w:t> </w:t>
      </w:r>
      <w:r w:rsidR="00BA199F">
        <w:rPr>
          <w:rFonts w:cs="Arial"/>
        </w:rPr>
        <w:t>Komise povolila členskému státu příliš krátkou lhůtu</w:t>
      </w:r>
      <w:r w:rsidR="006E748B">
        <w:rPr>
          <w:rFonts w:cs="Arial"/>
        </w:rPr>
        <w:t xml:space="preserve"> </w:t>
      </w:r>
      <w:r w:rsidR="00BA199F">
        <w:rPr>
          <w:rFonts w:cs="Arial"/>
        </w:rPr>
        <w:t xml:space="preserve">k jednání v souladu s odůvodněným stanoviskem. </w:t>
      </w:r>
      <w:r w:rsidR="006E748B">
        <w:rPr>
          <w:rFonts w:cs="Arial"/>
        </w:rPr>
        <w:t>Konkrétně Komise stanovila Irsku 5 dní na</w:t>
      </w:r>
      <w:r w:rsidR="00E77B6F">
        <w:rPr>
          <w:rFonts w:cs="Arial"/>
        </w:rPr>
        <w:t> </w:t>
      </w:r>
      <w:r w:rsidR="006E748B">
        <w:rPr>
          <w:rFonts w:cs="Arial"/>
        </w:rPr>
        <w:t xml:space="preserve">to, aby </w:t>
      </w:r>
      <w:r w:rsidR="00334409">
        <w:rPr>
          <w:rFonts w:cs="Arial"/>
        </w:rPr>
        <w:t>změnilo</w:t>
      </w:r>
      <w:r w:rsidR="006E748B">
        <w:rPr>
          <w:rFonts w:cs="Arial"/>
        </w:rPr>
        <w:t xml:space="preserve"> své právní předpisy, jež se v zemi používaly více než 40 let. Soud</w:t>
      </w:r>
      <w:r w:rsidR="001F14BB">
        <w:rPr>
          <w:rFonts w:cs="Arial"/>
        </w:rPr>
        <w:t>ní dvůr</w:t>
      </w:r>
      <w:r w:rsidR="006E748B">
        <w:rPr>
          <w:rFonts w:cs="Arial"/>
        </w:rPr>
        <w:t xml:space="preserve"> poukázal navíc na to, že</w:t>
      </w:r>
      <w:r w:rsidR="006E748B">
        <w:t xml:space="preserve"> v průběhu doby, která uplynula od vstupu Irska do EU, Komise nikdy nevyvíjela jakoukoliv činnost ve spojitosti s touto právní úpravou a je rovněž zřejmé, </w:t>
      </w:r>
      <w:r w:rsidR="006E748B">
        <w:rPr>
          <w:rStyle w:val="hps"/>
        </w:rPr>
        <w:t>že</w:t>
      </w:r>
      <w:r w:rsidR="006E748B">
        <w:t xml:space="preserve"> zde </w:t>
      </w:r>
      <w:r w:rsidR="006E748B">
        <w:rPr>
          <w:rStyle w:val="hps"/>
        </w:rPr>
        <w:t xml:space="preserve">neexistuje žádný zvláště naléhavý zájem. </w:t>
      </w:r>
      <w:r w:rsidR="00BA199F">
        <w:rPr>
          <w:rFonts w:cs="Arial"/>
        </w:rPr>
        <w:t xml:space="preserve">Nicméně </w:t>
      </w:r>
      <w:r w:rsidR="006E748B">
        <w:rPr>
          <w:rFonts w:cs="Arial"/>
        </w:rPr>
        <w:t>Soud</w:t>
      </w:r>
      <w:r w:rsidR="001F14BB">
        <w:rPr>
          <w:rFonts w:cs="Arial"/>
        </w:rPr>
        <w:t>ní dvůr</w:t>
      </w:r>
      <w:r w:rsidR="006E748B">
        <w:rPr>
          <w:rFonts w:cs="Arial"/>
        </w:rPr>
        <w:t xml:space="preserve"> </w:t>
      </w:r>
      <w:r w:rsidR="00BA199F">
        <w:rPr>
          <w:rFonts w:cs="Arial"/>
        </w:rPr>
        <w:t>poté žalobu Komise zvážil jako přípustnou, neboť navzdory této poskytnuté krátké lhůtě ve skutečnosti Komise na odpověď Irska</w:t>
      </w:r>
      <w:r w:rsidR="00BA199F" w:rsidRPr="00BA199F">
        <w:rPr>
          <w:rFonts w:cs="Arial"/>
        </w:rPr>
        <w:t xml:space="preserve"> </w:t>
      </w:r>
      <w:r w:rsidR="00BA199F">
        <w:rPr>
          <w:rFonts w:cs="Arial"/>
        </w:rPr>
        <w:t>čekala, než se</w:t>
      </w:r>
      <w:r w:rsidR="00E77B6F">
        <w:rPr>
          <w:rFonts w:cs="Arial"/>
        </w:rPr>
        <w:t> </w:t>
      </w:r>
      <w:r w:rsidR="00BA199F">
        <w:rPr>
          <w:rFonts w:cs="Arial"/>
        </w:rPr>
        <w:t>na Soud obrátila.</w:t>
      </w:r>
      <w:r w:rsidR="00BE6E23">
        <w:rPr>
          <w:rStyle w:val="Znakapoznpodarou"/>
          <w:rFonts w:cs="Arial"/>
        </w:rPr>
        <w:footnoteReference w:id="47"/>
      </w:r>
      <w:r w:rsidR="00BA199F">
        <w:rPr>
          <w:rFonts w:cs="Arial"/>
        </w:rPr>
        <w:t xml:space="preserve"> </w:t>
      </w:r>
    </w:p>
    <w:p w:rsidR="00426F51" w:rsidRDefault="006362DA" w:rsidP="00426F51">
      <w:pPr>
        <w:rPr>
          <w:rFonts w:cs="Arial"/>
        </w:rPr>
      </w:pPr>
      <w:r>
        <w:rPr>
          <w:rFonts w:cs="Arial"/>
        </w:rPr>
        <w:lastRenderedPageBreak/>
        <w:tab/>
      </w:r>
      <w:r w:rsidR="001F14BB">
        <w:rPr>
          <w:rFonts w:cs="Arial"/>
        </w:rPr>
        <w:t>Soudní dvůr</w:t>
      </w:r>
      <w:r>
        <w:rPr>
          <w:rFonts w:cs="Arial"/>
        </w:rPr>
        <w:t xml:space="preserve"> později </w:t>
      </w:r>
      <w:r w:rsidR="0014105C">
        <w:rPr>
          <w:rFonts w:cs="Arial"/>
        </w:rPr>
        <w:t>v případu Komise v. Belgie</w:t>
      </w:r>
      <w:r w:rsidR="001F14BB">
        <w:rPr>
          <w:rStyle w:val="Znakapoznpodarou"/>
          <w:rFonts w:cs="Arial"/>
        </w:rPr>
        <w:footnoteReference w:id="48"/>
      </w:r>
      <w:r w:rsidR="0014105C">
        <w:rPr>
          <w:rFonts w:cs="Arial"/>
        </w:rPr>
        <w:t xml:space="preserve"> řekl, že řízení zahájené Komisí bylo nepřípustné, a to vzhledem k příliš krátkému času, který Belgii poskytla na reakci („vyjádření“) k „formálnímu upozornění“ a na reakci na</w:t>
      </w:r>
      <w:r w:rsidR="00A37166">
        <w:rPr>
          <w:rFonts w:cs="Arial"/>
        </w:rPr>
        <w:t> </w:t>
      </w:r>
      <w:r w:rsidR="0014105C">
        <w:rPr>
          <w:rFonts w:cs="Arial"/>
        </w:rPr>
        <w:t xml:space="preserve">odůvodněné stanovisko. </w:t>
      </w:r>
      <w:r w:rsidR="000A3ADD">
        <w:rPr>
          <w:rFonts w:cs="Arial"/>
        </w:rPr>
        <w:t xml:space="preserve">V jiném případě </w:t>
      </w:r>
      <w:r w:rsidR="0014105C">
        <w:rPr>
          <w:rFonts w:cs="Arial"/>
        </w:rPr>
        <w:t>Soud judikoval, že Komise musí povolit státu přiměřenou lhůtu, ačkoli připouští, že velmi krátká lhůta by mohla být odůvodněna okolností naléhavého zájmu</w:t>
      </w:r>
      <w:r w:rsidR="000A3ADD">
        <w:rPr>
          <w:rFonts w:cs="Arial"/>
        </w:rPr>
        <w:t xml:space="preserve"> </w:t>
      </w:r>
      <w:r w:rsidR="000A3ADD">
        <w:rPr>
          <w:rStyle w:val="hps"/>
        </w:rPr>
        <w:t>nebo</w:t>
      </w:r>
      <w:r w:rsidR="000A3ADD">
        <w:t xml:space="preserve"> </w:t>
      </w:r>
      <w:r w:rsidR="000A3ADD">
        <w:rPr>
          <w:rStyle w:val="hps"/>
        </w:rPr>
        <w:t>pokud si byl členský</w:t>
      </w:r>
      <w:r w:rsidR="000A3ADD">
        <w:t xml:space="preserve"> </w:t>
      </w:r>
      <w:r w:rsidR="000A3ADD">
        <w:rPr>
          <w:rStyle w:val="hps"/>
        </w:rPr>
        <w:t>stát</w:t>
      </w:r>
      <w:r w:rsidR="000A3ADD">
        <w:t xml:space="preserve"> </w:t>
      </w:r>
      <w:r w:rsidR="000A3ADD">
        <w:rPr>
          <w:rStyle w:val="hps"/>
        </w:rPr>
        <w:t>plně vědom</w:t>
      </w:r>
      <w:r w:rsidR="000A3ADD">
        <w:t xml:space="preserve"> </w:t>
      </w:r>
      <w:r w:rsidR="000A3ADD">
        <w:rPr>
          <w:rStyle w:val="hps"/>
        </w:rPr>
        <w:t>názoru Komise</w:t>
      </w:r>
      <w:r w:rsidR="000A3ADD">
        <w:t xml:space="preserve"> již </w:t>
      </w:r>
      <w:r w:rsidR="000A3ADD">
        <w:rPr>
          <w:rStyle w:val="hps"/>
        </w:rPr>
        <w:t>dlouho předtím, než</w:t>
      </w:r>
      <w:r w:rsidR="000A3ADD">
        <w:t xml:space="preserve"> </w:t>
      </w:r>
      <w:r w:rsidR="000A3ADD">
        <w:rPr>
          <w:rStyle w:val="hps"/>
        </w:rPr>
        <w:t>začal</w:t>
      </w:r>
      <w:r w:rsidR="000A3ADD">
        <w:t xml:space="preserve"> tento </w:t>
      </w:r>
      <w:r w:rsidR="000A3ADD">
        <w:rPr>
          <w:rStyle w:val="hps"/>
        </w:rPr>
        <w:t>postup</w:t>
      </w:r>
      <w:r w:rsidR="000A3ADD">
        <w:t>. Například lhůta 4 měsíců na reakci na</w:t>
      </w:r>
      <w:r w:rsidR="001F14BB">
        <w:t> </w:t>
      </w:r>
      <w:r w:rsidR="000A3ADD">
        <w:t>odůvodněné stanovisko byla dle Soud</w:t>
      </w:r>
      <w:r w:rsidR="001F14BB">
        <w:t>ního dvora</w:t>
      </w:r>
      <w:r w:rsidR="000A3ADD">
        <w:t xml:space="preserve"> adekvátní tam, kde členský stát věděl o názoru Komise již tři roky předem. V případu Komise v. Rakousko</w:t>
      </w:r>
      <w:r w:rsidR="001F14BB">
        <w:rPr>
          <w:rStyle w:val="Znakapoznpodarou"/>
        </w:rPr>
        <w:footnoteReference w:id="49"/>
      </w:r>
      <w:r w:rsidR="000A3ADD">
        <w:t xml:space="preserve"> Soud</w:t>
      </w:r>
      <w:r w:rsidR="001F14BB">
        <w:t>ní dvůr</w:t>
      </w:r>
      <w:r w:rsidR="000A3ADD">
        <w:t xml:space="preserve"> odmítl </w:t>
      </w:r>
      <w:r w:rsidR="00AD02B1">
        <w:t>tvrzení Rakouska</w:t>
      </w:r>
      <w:r w:rsidR="000A3ADD">
        <w:t>, že lhůta 7 dní na odpověď na</w:t>
      </w:r>
      <w:r w:rsidR="00A37166">
        <w:t> </w:t>
      </w:r>
      <w:r w:rsidR="000A3ADD">
        <w:t>formální upozornění a</w:t>
      </w:r>
      <w:r w:rsidR="001F14BB">
        <w:t> </w:t>
      </w:r>
      <w:r w:rsidR="000A3ADD">
        <w:t>14 dní na reakci na odůvodněné stanovisko jsou příliš krátké</w:t>
      </w:r>
      <w:r w:rsidR="00AD02B1">
        <w:t>, a přijal argument Komise, že lhůty jsou takto krátké z důvodů naléhavého zájmu a</w:t>
      </w:r>
      <w:r w:rsidR="00563389">
        <w:t> </w:t>
      </w:r>
      <w:r w:rsidR="00AD02B1">
        <w:t>konkrétních okolností případu.</w:t>
      </w:r>
      <w:r w:rsidR="00BE6E23">
        <w:rPr>
          <w:rStyle w:val="Znakapoznpodarou"/>
        </w:rPr>
        <w:footnoteReference w:id="50"/>
      </w:r>
      <w:r w:rsidR="00AD02B1">
        <w:t xml:space="preserve"> </w:t>
      </w:r>
      <w:r w:rsidR="000A3ADD">
        <w:t xml:space="preserve">  </w:t>
      </w:r>
      <w:r w:rsidR="0014105C">
        <w:rPr>
          <w:rFonts w:cs="Arial"/>
        </w:rPr>
        <w:t xml:space="preserve">      </w:t>
      </w:r>
    </w:p>
    <w:p w:rsidR="00720D13" w:rsidRDefault="00720D13" w:rsidP="00861D9D">
      <w:pPr>
        <w:ind w:firstLine="708"/>
        <w:rPr>
          <w:rFonts w:cs="Arial"/>
        </w:rPr>
      </w:pPr>
    </w:p>
    <w:p w:rsidR="00DE29D4" w:rsidRDefault="00DE29D4" w:rsidP="00DE29D4">
      <w:pPr>
        <w:pStyle w:val="Nadpis2"/>
      </w:pPr>
      <w:bookmarkStart w:id="10" w:name="_Toc398901326"/>
      <w:bookmarkStart w:id="11" w:name="_Toc399171076"/>
      <w:r>
        <w:t xml:space="preserve">3.2. </w:t>
      </w:r>
      <w:r w:rsidR="00560AC3">
        <w:t>Č</w:t>
      </w:r>
      <w:r>
        <w:t>lenský stát</w:t>
      </w:r>
      <w:bookmarkEnd w:id="10"/>
      <w:bookmarkEnd w:id="11"/>
    </w:p>
    <w:p w:rsidR="00B026C0" w:rsidRPr="00BA1D87" w:rsidRDefault="00DD022B" w:rsidP="00DE29D4">
      <w:r>
        <w:tab/>
      </w:r>
      <w:r w:rsidR="00D4302D">
        <w:t>M</w:t>
      </w:r>
      <w:r w:rsidRPr="00BA1D87">
        <w:t xml:space="preserve">ezi aktivní žalobce </w:t>
      </w:r>
      <w:r w:rsidR="008F4448">
        <w:t xml:space="preserve">patří </w:t>
      </w:r>
      <w:r w:rsidRPr="00BA1D87">
        <w:t xml:space="preserve">i členské státy, které mají vedle Komise </w:t>
      </w:r>
      <w:r w:rsidR="00D4302D">
        <w:t>rovněž</w:t>
      </w:r>
      <w:r w:rsidRPr="00BA1D87">
        <w:t xml:space="preserve"> možnost podat žalobu na porušení povinnosti členského státu.</w:t>
      </w:r>
      <w:r w:rsidR="00D4302D">
        <w:t xml:space="preserve"> </w:t>
      </w:r>
      <w:r w:rsidR="0059081F" w:rsidRPr="00BA1D87">
        <w:t>Právní úpravu této tzv.</w:t>
      </w:r>
      <w:r w:rsidR="00A171E4" w:rsidRPr="00BA1D87">
        <w:t> </w:t>
      </w:r>
      <w:r w:rsidR="0059081F" w:rsidRPr="00BA1D87">
        <w:t>horizontální žaloby nalezneme v článku 259 SFEU, který stanoví základní postup v tomto řízení. Pokud má tedy členský stát za to, že jiný členský stát nesplnil povinnost, která pro něj vyplývá ze Smluv, může věc předložit Soudnímu dvoru EU. Dříve než tak učiní, musí žalující stát předložit věc Komisi</w:t>
      </w:r>
      <w:r w:rsidR="004E19EE" w:rsidRPr="00BA1D87">
        <w:t>, která zde plní funkci jakéhosi zprostředkovatele</w:t>
      </w:r>
      <w:r w:rsidR="0059081F" w:rsidRPr="00BA1D87">
        <w:t>. Ta umožní zúčastněným stranám (státům), aby si</w:t>
      </w:r>
      <w:r w:rsidR="00800B19" w:rsidRPr="00BA1D87">
        <w:t> </w:t>
      </w:r>
      <w:r w:rsidR="0059081F" w:rsidRPr="00BA1D87">
        <w:t>navzájem předložily písemná a ústní vyjádření, a poté vydá odůvodněné stanovisko. Pokud Komise takové stanovisko nevydá ve lhůtě tří měsíců ode dne, kdy jí byla věc předložena, může být věc předložena Soudnímu dvoru EU i bez stanoviska Komise. Povinnost žalujícího státu ob</w:t>
      </w:r>
      <w:r w:rsidR="00B026C0" w:rsidRPr="00BA1D87">
        <w:t xml:space="preserve">rátit se na Komisi vyjadřuje </w:t>
      </w:r>
      <w:r w:rsidR="00A930D9" w:rsidRPr="00BA1D87">
        <w:t xml:space="preserve">jednak </w:t>
      </w:r>
      <w:r w:rsidR="00B026C0" w:rsidRPr="00BA1D87">
        <w:t xml:space="preserve">výjimečnost tohoto postupu a </w:t>
      </w:r>
      <w:r w:rsidR="00A930D9" w:rsidRPr="00BA1D87">
        <w:t xml:space="preserve">také </w:t>
      </w:r>
      <w:r w:rsidR="00B026C0" w:rsidRPr="00BA1D87">
        <w:t>má zabránit zneužívání tohoto postupu členskými státy.</w:t>
      </w:r>
      <w:r w:rsidR="007118BF" w:rsidRPr="00BA1D87">
        <w:rPr>
          <w:rStyle w:val="Znakapoznpodarou"/>
        </w:rPr>
        <w:footnoteReference w:id="51"/>
      </w:r>
      <w:r w:rsidR="00B026C0" w:rsidRPr="00BA1D87">
        <w:t xml:space="preserve"> </w:t>
      </w:r>
    </w:p>
    <w:p w:rsidR="00EB0C7D" w:rsidRPr="00BA1D87" w:rsidRDefault="00812375" w:rsidP="00DE29D4">
      <w:r w:rsidRPr="00BA1D87">
        <w:lastRenderedPageBreak/>
        <w:tab/>
        <w:t xml:space="preserve">Článek 259 SFEU je v praxi využíván jen zřídka. </w:t>
      </w:r>
      <w:r w:rsidR="00EB0C7D" w:rsidRPr="00BA1D87">
        <w:t>Děje se tomu zejména proto, že státy preferují řešit své spory politickou dohodou nežli soudní cestou. A článek 259</w:t>
      </w:r>
      <w:r w:rsidR="00A171E4" w:rsidRPr="00BA1D87">
        <w:t xml:space="preserve"> SFEU</w:t>
      </w:r>
      <w:r w:rsidR="00EB0C7D" w:rsidRPr="00BA1D87">
        <w:t xml:space="preserve"> je zde jako záchranný mechanismus, když politická řešení selžou.</w:t>
      </w:r>
      <w:r w:rsidR="00A370BB" w:rsidRPr="00BA1D87">
        <w:t xml:space="preserve"> Při využití žaloby členským státem je tu riziko, že se žalující stát stane adresátem jiné dozorčí žaloby podané zažalovaným státem, jelikož případy neplnění povinností vycházejících z komunitárního práva se vyskytují ve všech členských státech. Rovněž má členský stát vždy možnost k podání žaloby přimět Komisi samotnou a</w:t>
      </w:r>
      <w:r w:rsidR="00C02160" w:rsidRPr="00BA1D87">
        <w:t> </w:t>
      </w:r>
      <w:r w:rsidR="00A370BB" w:rsidRPr="00BA1D87">
        <w:t>své zájmy pak může vyjádřit jako vedlejší účastník řízení, což se z pohledu členského státu může zdát mnohdy jako atraktivnější možnost</w:t>
      </w:r>
      <w:r w:rsidR="00231767" w:rsidRPr="00BA1D87">
        <w:t xml:space="preserve">, kterou v praxi státy </w:t>
      </w:r>
      <w:r w:rsidR="001F14BB">
        <w:t>využívají s</w:t>
      </w:r>
      <w:r w:rsidR="00231767" w:rsidRPr="00BA1D87">
        <w:t>tále častěji</w:t>
      </w:r>
      <w:r w:rsidR="00A370BB" w:rsidRPr="00BA1D87">
        <w:t>.</w:t>
      </w:r>
      <w:r w:rsidR="00C02160" w:rsidRPr="00BA1D87">
        <w:rPr>
          <w:rStyle w:val="Znakapoznpodarou"/>
        </w:rPr>
        <w:footnoteReference w:id="52"/>
      </w:r>
      <w:r w:rsidR="00A370BB" w:rsidRPr="00BA1D87">
        <w:t xml:space="preserve">    </w:t>
      </w:r>
    </w:p>
    <w:p w:rsidR="00AB6AE3" w:rsidRDefault="00EB0C7D" w:rsidP="00DE29D4">
      <w:r w:rsidRPr="00BA1D87">
        <w:tab/>
      </w:r>
      <w:r w:rsidR="00AB6AE3">
        <w:t>P</w:t>
      </w:r>
      <w:r w:rsidR="00AB6AE3" w:rsidRPr="00AB6AE3">
        <w:t>rvním případem, kdy členský stát žaloval jiný členský stát, byl případ Irsko v.</w:t>
      </w:r>
      <w:r w:rsidR="001F14BB">
        <w:t> </w:t>
      </w:r>
      <w:r w:rsidR="00AB6AE3" w:rsidRPr="00AB6AE3">
        <w:t>Francie z roku 1977</w:t>
      </w:r>
      <w:r w:rsidR="001F14BB">
        <w:rPr>
          <w:rStyle w:val="Znakapoznpodarou"/>
        </w:rPr>
        <w:footnoteReference w:id="53"/>
      </w:r>
      <w:r w:rsidR="00AB6AE3" w:rsidRPr="00AB6AE3">
        <w:t>.</w:t>
      </w:r>
      <w:r w:rsidR="00AB6AE3">
        <w:t xml:space="preserve"> V tomto sporu šlo konkrétně o zákaz</w:t>
      </w:r>
      <w:r w:rsidR="00AB6AE3" w:rsidRPr="00AB6AE3">
        <w:t xml:space="preserve"> dovozu irského masa </w:t>
      </w:r>
      <w:r w:rsidR="008F4448">
        <w:t>na francouzský trh.</w:t>
      </w:r>
      <w:r w:rsidR="00AB6AE3" w:rsidRPr="00AB6AE3">
        <w:t xml:space="preserve"> Tato žaloba </w:t>
      </w:r>
      <w:r w:rsidR="00AB6AE3">
        <w:t>však byla nakonec</w:t>
      </w:r>
      <w:r w:rsidR="00AB6AE3" w:rsidRPr="00AB6AE3">
        <w:t xml:space="preserve"> </w:t>
      </w:r>
      <w:r w:rsidR="00AB6AE3">
        <w:t xml:space="preserve">vzata </w:t>
      </w:r>
      <w:r w:rsidR="00AB6AE3" w:rsidRPr="00AB6AE3">
        <w:t xml:space="preserve">zpět. </w:t>
      </w:r>
    </w:p>
    <w:p w:rsidR="00722681" w:rsidRDefault="00AB6AE3" w:rsidP="00AB6AE3">
      <w:pPr>
        <w:ind w:firstLine="708"/>
        <w:rPr>
          <w:szCs w:val="27"/>
        </w:rPr>
      </w:pPr>
      <w:r>
        <w:t xml:space="preserve">Druhým případem, ve kterém již byl vydán i rozsudek byl </w:t>
      </w:r>
      <w:r w:rsidR="00A171E4" w:rsidRPr="00BA1D87">
        <w:t xml:space="preserve">v </w:t>
      </w:r>
      <w:r w:rsidR="00466E38" w:rsidRPr="00BA1D87">
        <w:t xml:space="preserve">roce 1978 </w:t>
      </w:r>
      <w:r>
        <w:t xml:space="preserve">spor </w:t>
      </w:r>
      <w:r w:rsidR="00466E38" w:rsidRPr="00BA1D87">
        <w:t>Francie</w:t>
      </w:r>
      <w:r>
        <w:t xml:space="preserve"> a Spojeného království </w:t>
      </w:r>
      <w:r w:rsidRPr="00BA1D87">
        <w:t>(dále jen „UK“)</w:t>
      </w:r>
      <w:r>
        <w:t xml:space="preserve">. Francie </w:t>
      </w:r>
      <w:r w:rsidR="00466E38" w:rsidRPr="00BA1D87">
        <w:t>úspěšně</w:t>
      </w:r>
      <w:r w:rsidR="00EB0C7D" w:rsidRPr="00BA1D87">
        <w:t xml:space="preserve"> </w:t>
      </w:r>
      <w:r w:rsidR="00466E38" w:rsidRPr="00BA1D87">
        <w:t xml:space="preserve">žalovala </w:t>
      </w:r>
      <w:r>
        <w:t>UK, k</w:t>
      </w:r>
      <w:r w:rsidR="00466E38" w:rsidRPr="00BA1D87">
        <w:t>dy se</w:t>
      </w:r>
      <w:r>
        <w:t> </w:t>
      </w:r>
      <w:r w:rsidR="00466E38" w:rsidRPr="00BA1D87">
        <w:t>domáhala, aby Soudní dvůr určil, že přijetím vyhlášky č. 440 nazvané „</w:t>
      </w:r>
      <w:proofErr w:type="spellStart"/>
      <w:r w:rsidR="00466E38" w:rsidRPr="00BA1D87">
        <w:t>Sea</w:t>
      </w:r>
      <w:proofErr w:type="spellEnd"/>
      <w:r w:rsidR="00466E38" w:rsidRPr="00BA1D87">
        <w:t xml:space="preserve"> </w:t>
      </w:r>
      <w:proofErr w:type="spellStart"/>
      <w:r w:rsidR="00466E38" w:rsidRPr="00BA1D87">
        <w:t>Fisheries</w:t>
      </w:r>
      <w:proofErr w:type="spellEnd"/>
      <w:r w:rsidR="00466E38" w:rsidRPr="00BA1D87">
        <w:t xml:space="preserve">, </w:t>
      </w:r>
      <w:proofErr w:type="spellStart"/>
      <w:r w:rsidR="00466E38" w:rsidRPr="00BA1D87">
        <w:t>Boats</w:t>
      </w:r>
      <w:proofErr w:type="spellEnd"/>
      <w:r w:rsidR="00466E38" w:rsidRPr="00BA1D87">
        <w:t xml:space="preserve"> </w:t>
      </w:r>
      <w:proofErr w:type="spellStart"/>
      <w:r w:rsidR="00466E38" w:rsidRPr="00BA1D87">
        <w:t>and</w:t>
      </w:r>
      <w:proofErr w:type="spellEnd"/>
      <w:r w:rsidR="00466E38" w:rsidRPr="00BA1D87">
        <w:t xml:space="preserve"> </w:t>
      </w:r>
      <w:proofErr w:type="spellStart"/>
      <w:r w:rsidR="00466E38" w:rsidRPr="00BA1D87">
        <w:t>Methods</w:t>
      </w:r>
      <w:proofErr w:type="spellEnd"/>
      <w:r w:rsidR="00466E38" w:rsidRPr="00BA1D87">
        <w:t xml:space="preserve"> </w:t>
      </w:r>
      <w:proofErr w:type="spellStart"/>
      <w:r w:rsidR="00466E38" w:rsidRPr="00BA1D87">
        <w:t>of</w:t>
      </w:r>
      <w:proofErr w:type="spellEnd"/>
      <w:r w:rsidR="00466E38" w:rsidRPr="00BA1D87">
        <w:t xml:space="preserve"> </w:t>
      </w:r>
      <w:proofErr w:type="spellStart"/>
      <w:r w:rsidR="00466E38" w:rsidRPr="00BA1D87">
        <w:t>Fishing</w:t>
      </w:r>
      <w:proofErr w:type="spellEnd"/>
      <w:r w:rsidR="00466E38" w:rsidRPr="00BA1D87">
        <w:t xml:space="preserve">, </w:t>
      </w:r>
      <w:proofErr w:type="spellStart"/>
      <w:r w:rsidR="00466E38" w:rsidRPr="00BA1D87">
        <w:t>the</w:t>
      </w:r>
      <w:proofErr w:type="spellEnd"/>
      <w:r w:rsidR="00466E38" w:rsidRPr="00BA1D87">
        <w:t xml:space="preserve"> </w:t>
      </w:r>
      <w:proofErr w:type="spellStart"/>
      <w:r w:rsidR="00466E38" w:rsidRPr="00BA1D87">
        <w:t>Fishing</w:t>
      </w:r>
      <w:proofErr w:type="spellEnd"/>
      <w:r w:rsidR="00466E38" w:rsidRPr="00BA1D87">
        <w:t xml:space="preserve"> </w:t>
      </w:r>
      <w:proofErr w:type="spellStart"/>
      <w:r w:rsidR="00466E38" w:rsidRPr="00BA1D87">
        <w:t>Nets</w:t>
      </w:r>
      <w:proofErr w:type="spellEnd"/>
      <w:r w:rsidR="00466E38" w:rsidRPr="00BA1D87">
        <w:t xml:space="preserve"> (</w:t>
      </w:r>
      <w:proofErr w:type="spellStart"/>
      <w:r w:rsidR="00466E38" w:rsidRPr="00BA1D87">
        <w:t>North</w:t>
      </w:r>
      <w:proofErr w:type="spellEnd"/>
      <w:r w:rsidR="00466E38" w:rsidRPr="00BA1D87">
        <w:t>-</w:t>
      </w:r>
      <w:proofErr w:type="spellStart"/>
      <w:r w:rsidR="00466E38" w:rsidRPr="00BA1D87">
        <w:t>East</w:t>
      </w:r>
      <w:proofErr w:type="spellEnd"/>
      <w:r w:rsidR="00466E38" w:rsidRPr="00BA1D87">
        <w:t xml:space="preserve"> </w:t>
      </w:r>
      <w:proofErr w:type="spellStart"/>
      <w:r w:rsidR="00466E38" w:rsidRPr="00BA1D87">
        <w:t>Atlantic</w:t>
      </w:r>
      <w:proofErr w:type="spellEnd"/>
      <w:r w:rsidR="00466E38" w:rsidRPr="00BA1D87">
        <w:t xml:space="preserve">) </w:t>
      </w:r>
      <w:proofErr w:type="spellStart"/>
      <w:r w:rsidR="00466E38" w:rsidRPr="00BA1D87">
        <w:t>Order</w:t>
      </w:r>
      <w:proofErr w:type="spellEnd"/>
      <w:r w:rsidR="00466E38" w:rsidRPr="00BA1D87">
        <w:t xml:space="preserve"> 1977“ UK nesplnilo povinnosti v oblasti mořského rybolovu, které pro něj vyplývají ze</w:t>
      </w:r>
      <w:r>
        <w:t> </w:t>
      </w:r>
      <w:r w:rsidR="00466E38" w:rsidRPr="00BA1D87">
        <w:t xml:space="preserve">Smlouvy o EHS. </w:t>
      </w:r>
      <w:r w:rsidR="00466E38" w:rsidRPr="00BA1D87">
        <w:rPr>
          <w:szCs w:val="27"/>
        </w:rPr>
        <w:t xml:space="preserve">Základem žaloby </w:t>
      </w:r>
      <w:r w:rsidR="00560AC3" w:rsidRPr="00BA1D87">
        <w:rPr>
          <w:szCs w:val="27"/>
        </w:rPr>
        <w:t>byl</w:t>
      </w:r>
      <w:r w:rsidR="00466E38" w:rsidRPr="00BA1D87">
        <w:rPr>
          <w:szCs w:val="27"/>
        </w:rPr>
        <w:t xml:space="preserve"> námořní incident, k němuž došlo roku 1977, když byla francouzská rybářská loď „</w:t>
      </w:r>
      <w:proofErr w:type="spellStart"/>
      <w:r w:rsidR="00466E38" w:rsidRPr="00BA1D87">
        <w:rPr>
          <w:szCs w:val="27"/>
        </w:rPr>
        <w:t>Cap</w:t>
      </w:r>
      <w:proofErr w:type="spellEnd"/>
      <w:r w:rsidR="00466E38" w:rsidRPr="00BA1D87">
        <w:rPr>
          <w:szCs w:val="27"/>
        </w:rPr>
        <w:t xml:space="preserve"> </w:t>
      </w:r>
      <w:proofErr w:type="spellStart"/>
      <w:r w:rsidR="00466E38" w:rsidRPr="00BA1D87">
        <w:rPr>
          <w:szCs w:val="27"/>
        </w:rPr>
        <w:t>Caval</w:t>
      </w:r>
      <w:proofErr w:type="spellEnd"/>
      <w:r w:rsidR="00466E38" w:rsidRPr="00BA1D87">
        <w:rPr>
          <w:szCs w:val="27"/>
        </w:rPr>
        <w:t>“, která lovila krevety v</w:t>
      </w:r>
      <w:r w:rsidR="00560AC3" w:rsidRPr="00BA1D87">
        <w:rPr>
          <w:szCs w:val="27"/>
        </w:rPr>
        <w:t> </w:t>
      </w:r>
      <w:r w:rsidR="00466E38" w:rsidRPr="00BA1D87">
        <w:rPr>
          <w:szCs w:val="27"/>
        </w:rPr>
        <w:t xml:space="preserve">rybolovné oblasti </w:t>
      </w:r>
      <w:r w:rsidR="00560AC3" w:rsidRPr="00BA1D87">
        <w:rPr>
          <w:szCs w:val="27"/>
        </w:rPr>
        <w:t>UK</w:t>
      </w:r>
      <w:r w:rsidR="00466E38" w:rsidRPr="00BA1D87">
        <w:rPr>
          <w:szCs w:val="27"/>
        </w:rPr>
        <w:t>, kontrolována britskými zřízenci zajišťujícími kontrolu rybolovu. Velitel francouzské rybářské lodi byl britským soudem uznán vinným, že</w:t>
      </w:r>
      <w:r w:rsidR="00560AC3" w:rsidRPr="00BA1D87">
        <w:rPr>
          <w:szCs w:val="27"/>
        </w:rPr>
        <w:t> </w:t>
      </w:r>
      <w:r w:rsidR="00466E38" w:rsidRPr="00BA1D87">
        <w:rPr>
          <w:szCs w:val="27"/>
        </w:rPr>
        <w:t>porušil spornou vyhlášku, konkrétně že použil síť s menší velikostí ok, než je</w:t>
      </w:r>
      <w:r w:rsidR="00560AC3" w:rsidRPr="00BA1D87">
        <w:rPr>
          <w:szCs w:val="27"/>
        </w:rPr>
        <w:t> </w:t>
      </w:r>
      <w:r w:rsidR="00466E38" w:rsidRPr="00BA1D87">
        <w:rPr>
          <w:szCs w:val="27"/>
        </w:rPr>
        <w:t xml:space="preserve">minimální velikost povolená vyhláškou. V důsledku tohoto incidentu zahájila francouzská vláda postup podle článku 259 (tehdy čl. 170) a předložila věc nejdříve Komisi. Komise vydala odůvodněné stanovisko, kde došla k závěru, že uvedením sporné vyhlášky v platnost porušilo </w:t>
      </w:r>
      <w:r w:rsidR="00560AC3" w:rsidRPr="00BA1D87">
        <w:rPr>
          <w:szCs w:val="27"/>
        </w:rPr>
        <w:t>UK</w:t>
      </w:r>
      <w:r w:rsidR="00466E38" w:rsidRPr="00BA1D87">
        <w:rPr>
          <w:szCs w:val="27"/>
        </w:rPr>
        <w:t xml:space="preserve"> povinnosti, které pro ně vyplývají ze Smlouvy. Jelikož </w:t>
      </w:r>
      <w:r w:rsidR="00560AC3" w:rsidRPr="00BA1D87">
        <w:rPr>
          <w:szCs w:val="27"/>
        </w:rPr>
        <w:t>UK</w:t>
      </w:r>
      <w:r w:rsidR="00466E38" w:rsidRPr="00BA1D87">
        <w:rPr>
          <w:szCs w:val="27"/>
        </w:rPr>
        <w:t xml:space="preserve"> tomuto stanovisku nevyhovělo, předložila francouzská vláda věc Soudnímu dvoru.</w:t>
      </w:r>
      <w:r w:rsidR="00466E38" w:rsidRPr="00BA1D87">
        <w:rPr>
          <w:sz w:val="27"/>
          <w:szCs w:val="27"/>
        </w:rPr>
        <w:t xml:space="preserve"> </w:t>
      </w:r>
      <w:r w:rsidR="00466E38" w:rsidRPr="00BA1D87">
        <w:rPr>
          <w:szCs w:val="27"/>
        </w:rPr>
        <w:t>Francie uplatnila zejména</w:t>
      </w:r>
      <w:r w:rsidR="00560AC3" w:rsidRPr="00BA1D87">
        <w:rPr>
          <w:szCs w:val="27"/>
        </w:rPr>
        <w:t xml:space="preserve"> argument</w:t>
      </w:r>
      <w:r w:rsidR="00466E38" w:rsidRPr="00BA1D87">
        <w:rPr>
          <w:szCs w:val="27"/>
        </w:rPr>
        <w:t>, že sporná vyhláška přijatá v</w:t>
      </w:r>
      <w:r w:rsidR="00560AC3" w:rsidRPr="00BA1D87">
        <w:rPr>
          <w:szCs w:val="27"/>
        </w:rPr>
        <w:t> oblasti,</w:t>
      </w:r>
      <w:r w:rsidR="00466E38" w:rsidRPr="00BA1D87">
        <w:rPr>
          <w:szCs w:val="27"/>
        </w:rPr>
        <w:t xml:space="preserve"> která je ve výhradní pravomoci </w:t>
      </w:r>
      <w:r w:rsidR="00560AC3" w:rsidRPr="00BA1D87">
        <w:rPr>
          <w:szCs w:val="27"/>
        </w:rPr>
        <w:t>ES</w:t>
      </w:r>
      <w:r w:rsidR="00466E38" w:rsidRPr="00BA1D87">
        <w:rPr>
          <w:szCs w:val="27"/>
        </w:rPr>
        <w:t>, byla uvedena v platnost bez ohledu na</w:t>
      </w:r>
      <w:r w:rsidR="00560AC3" w:rsidRPr="00BA1D87">
        <w:rPr>
          <w:szCs w:val="27"/>
        </w:rPr>
        <w:t> </w:t>
      </w:r>
      <w:r w:rsidR="00466E38" w:rsidRPr="00BA1D87">
        <w:rPr>
          <w:szCs w:val="27"/>
        </w:rPr>
        <w:t>požadavky stanovené usnesením Rady z roku 1976, podle n</w:t>
      </w:r>
      <w:r w:rsidR="00560AC3" w:rsidRPr="00BA1D87">
        <w:rPr>
          <w:szCs w:val="27"/>
        </w:rPr>
        <w:t>ěhož</w:t>
      </w:r>
      <w:r w:rsidR="00466E38" w:rsidRPr="00BA1D87">
        <w:rPr>
          <w:szCs w:val="27"/>
        </w:rPr>
        <w:t xml:space="preserve"> mohou členské státy do zavedení </w:t>
      </w:r>
      <w:r w:rsidR="00466E38" w:rsidRPr="00BA1D87">
        <w:rPr>
          <w:szCs w:val="27"/>
        </w:rPr>
        <w:lastRenderedPageBreak/>
        <w:t>příslušných opatření Společenství přijmout prozatímní jednostranná opatření pro zachování rybolovných zdrojů pod podmínkou, že předem konzultovaly s Komisí a</w:t>
      </w:r>
      <w:r w:rsidR="00722681">
        <w:rPr>
          <w:szCs w:val="27"/>
        </w:rPr>
        <w:t> </w:t>
      </w:r>
      <w:r w:rsidR="00466E38" w:rsidRPr="00BA1D87">
        <w:rPr>
          <w:szCs w:val="27"/>
        </w:rPr>
        <w:t xml:space="preserve">požádaly ji o schválení. Vzhledem k tomu, že vláda </w:t>
      </w:r>
      <w:r w:rsidR="00560AC3" w:rsidRPr="00BA1D87">
        <w:rPr>
          <w:szCs w:val="27"/>
        </w:rPr>
        <w:t>UK</w:t>
      </w:r>
      <w:r w:rsidR="00466E38" w:rsidRPr="00BA1D87">
        <w:rPr>
          <w:szCs w:val="27"/>
        </w:rPr>
        <w:t xml:space="preserve"> tyto požadavky nedodržela, je přijaté opatření v rozporu s právem </w:t>
      </w:r>
      <w:r w:rsidR="00560AC3" w:rsidRPr="00BA1D87">
        <w:rPr>
          <w:szCs w:val="27"/>
        </w:rPr>
        <w:t>ES</w:t>
      </w:r>
      <w:r w:rsidR="00466E38" w:rsidRPr="00BA1D87">
        <w:rPr>
          <w:szCs w:val="27"/>
        </w:rPr>
        <w:t>. Francouzská vláda podpůrně také tvrd</w:t>
      </w:r>
      <w:r w:rsidR="00560AC3" w:rsidRPr="00BA1D87">
        <w:rPr>
          <w:szCs w:val="27"/>
        </w:rPr>
        <w:t>ila,</w:t>
      </w:r>
      <w:r w:rsidR="00466E38" w:rsidRPr="00BA1D87">
        <w:rPr>
          <w:szCs w:val="27"/>
        </w:rPr>
        <w:t xml:space="preserve"> že sporná vyhláška je, pokud jde o opatření, která stanoví, nadměrná, a že tedy nepředstavuje přiměřené ochranné opatření.</w:t>
      </w:r>
      <w:r w:rsidR="00560AC3" w:rsidRPr="00BA1D87">
        <w:rPr>
          <w:szCs w:val="27"/>
        </w:rPr>
        <w:t xml:space="preserve"> </w:t>
      </w:r>
      <w:r w:rsidR="00466E38" w:rsidRPr="00BA1D87">
        <w:rPr>
          <w:szCs w:val="27"/>
        </w:rPr>
        <w:t xml:space="preserve">Stanovisko francouzské vlády podpořila Komise, která </w:t>
      </w:r>
      <w:r w:rsidR="00560AC3" w:rsidRPr="00BA1D87">
        <w:rPr>
          <w:szCs w:val="27"/>
        </w:rPr>
        <w:t>byla</w:t>
      </w:r>
      <w:r w:rsidR="00466E38" w:rsidRPr="00BA1D87">
        <w:rPr>
          <w:szCs w:val="27"/>
        </w:rPr>
        <w:t xml:space="preserve"> vedlejším účastníkem sporu.</w:t>
      </w:r>
      <w:r w:rsidR="00560AC3" w:rsidRPr="00BA1D87">
        <w:rPr>
          <w:szCs w:val="27"/>
        </w:rPr>
        <w:t xml:space="preserve"> Soudní dvůr dal v řízení Francii za</w:t>
      </w:r>
      <w:r w:rsidR="00722681">
        <w:rPr>
          <w:szCs w:val="27"/>
        </w:rPr>
        <w:t> </w:t>
      </w:r>
      <w:r w:rsidR="00560AC3" w:rsidRPr="00BA1D87">
        <w:rPr>
          <w:szCs w:val="27"/>
        </w:rPr>
        <w:t>pravdu a rozhodl, že u</w:t>
      </w:r>
      <w:r w:rsidR="00560AC3" w:rsidRPr="00BA1D87">
        <w:rPr>
          <w:bCs/>
          <w:szCs w:val="27"/>
        </w:rPr>
        <w:t>vedením vyhlášky v platnost nesplnilo UK povinnosti, které pro ně vyplývají ze Smlouvy o EHS.</w:t>
      </w:r>
      <w:r w:rsidR="00A171E4" w:rsidRPr="00BA1D87">
        <w:rPr>
          <w:rStyle w:val="Znakapoznpodarou"/>
          <w:bCs/>
          <w:szCs w:val="27"/>
        </w:rPr>
        <w:footnoteReference w:id="54"/>
      </w:r>
      <w:r w:rsidR="00560AC3" w:rsidRPr="00BA1D87">
        <w:rPr>
          <w:szCs w:val="27"/>
        </w:rPr>
        <w:t xml:space="preserve"> </w:t>
      </w:r>
    </w:p>
    <w:p w:rsidR="00722681" w:rsidRDefault="00722681">
      <w:pPr>
        <w:spacing w:after="200" w:line="276" w:lineRule="auto"/>
        <w:jc w:val="left"/>
        <w:rPr>
          <w:szCs w:val="27"/>
        </w:rPr>
      </w:pPr>
      <w:r>
        <w:rPr>
          <w:szCs w:val="27"/>
        </w:rPr>
        <w:br w:type="page"/>
      </w:r>
    </w:p>
    <w:p w:rsidR="008E7033" w:rsidRPr="00BD022B" w:rsidRDefault="00722681" w:rsidP="00800B19">
      <w:pPr>
        <w:pStyle w:val="Nadpis1"/>
      </w:pPr>
      <w:bookmarkStart w:id="12" w:name="_Toc398901327"/>
      <w:bookmarkStart w:id="13" w:name="_Toc399171077"/>
      <w:r>
        <w:lastRenderedPageBreak/>
        <w:t>4</w:t>
      </w:r>
      <w:r w:rsidR="008E7033" w:rsidRPr="00BD022B">
        <w:t>. Průběh řízení</w:t>
      </w:r>
      <w:bookmarkEnd w:id="12"/>
      <w:bookmarkEnd w:id="13"/>
    </w:p>
    <w:p w:rsidR="008E7033" w:rsidRDefault="000E44C3" w:rsidP="00BD022B">
      <w:pPr>
        <w:pStyle w:val="Nadpis2"/>
      </w:pPr>
      <w:bookmarkStart w:id="14" w:name="_Toc398901328"/>
      <w:bookmarkStart w:id="15" w:name="_Toc399171078"/>
      <w:r w:rsidRPr="00BD022B">
        <w:t>4</w:t>
      </w:r>
      <w:r w:rsidR="00302016">
        <w:t>.1. Zahájení</w:t>
      </w:r>
      <w:bookmarkEnd w:id="14"/>
      <w:bookmarkEnd w:id="15"/>
    </w:p>
    <w:p w:rsidR="00DC6FAD" w:rsidRDefault="00DC6FAD" w:rsidP="00DC6FAD">
      <w:r>
        <w:tab/>
        <w:t>Řízení o porušení povinnosti členského státu může být zahájeno</w:t>
      </w:r>
      <w:r w:rsidR="001F14BB">
        <w:t xml:space="preserve">, jak už víme z předchozí kapitoly, </w:t>
      </w:r>
      <w:r>
        <w:t>dvěma způsoby. Prvním způsobem, však spíše ojedinělým, je</w:t>
      </w:r>
      <w:r w:rsidR="00E77B6F">
        <w:t> </w:t>
      </w:r>
      <w:r>
        <w:t xml:space="preserve">zahájení řízení </w:t>
      </w:r>
      <w:r w:rsidRPr="00DC6FAD">
        <w:rPr>
          <w:b/>
        </w:rPr>
        <w:t>jiným členským státem</w:t>
      </w:r>
      <w:r>
        <w:t xml:space="preserve"> Evropské unie, a to na základě článku 259 SFEU. Důvodem proč je zahájení řízení jiným členským státem tak výjimečné je, že by takové jednání mohlo vytvořit následně určité překážky v diplomatických vztazích mezi těmito státy. Jedná se o velmi citlivou otázku, tudíž je tento způsob </w:t>
      </w:r>
      <w:r w:rsidR="0078003E">
        <w:t xml:space="preserve">zahájení řízení </w:t>
      </w:r>
      <w:r>
        <w:t>spíše nevyužívaným. Přesto pokud by k takovému zahájení došlo, členský stát se před podáním žaloby musí obrátit na Komisi. Komise poté zúčastněným státům umožní podat si ústní a písemná vyjádření a následně vydá ve</w:t>
      </w:r>
      <w:r w:rsidR="00E77B6F">
        <w:t> </w:t>
      </w:r>
      <w:r>
        <w:t>lhůtě 3 měsíců tzv.</w:t>
      </w:r>
      <w:r w:rsidR="00A37166">
        <w:t> </w:t>
      </w:r>
      <w:r>
        <w:t>odůvodněné stanovisko. Až po proběhnutí této fáze je členský stát oprávněn obrátit se na Soudní dvůr.</w:t>
      </w:r>
      <w:r w:rsidR="00CC5DB5">
        <w:rPr>
          <w:rStyle w:val="Znakapoznpodarou"/>
        </w:rPr>
        <w:footnoteReference w:id="55"/>
      </w:r>
    </w:p>
    <w:p w:rsidR="00C6496A" w:rsidRDefault="0078003E" w:rsidP="0078003E">
      <w:r>
        <w:tab/>
        <w:t xml:space="preserve">Druhým </w:t>
      </w:r>
      <w:r w:rsidR="00C714E8">
        <w:t xml:space="preserve">výrazně </w:t>
      </w:r>
      <w:r>
        <w:t xml:space="preserve">četnějším způsobem zahájení řízení je </w:t>
      </w:r>
      <w:r w:rsidRPr="00111EF7">
        <w:rPr>
          <w:b/>
        </w:rPr>
        <w:t>zahájení Komisí</w:t>
      </w:r>
      <w:r w:rsidR="008E1086">
        <w:rPr>
          <w:b/>
        </w:rPr>
        <w:t xml:space="preserve"> </w:t>
      </w:r>
      <w:r w:rsidR="00111EF7">
        <w:t xml:space="preserve">výhradně ex offo </w:t>
      </w:r>
      <w:r>
        <w:t>dle článku 258 SFEU, jako supranacionálním orgánem, který by</w:t>
      </w:r>
      <w:r w:rsidR="00A37166">
        <w:t> </w:t>
      </w:r>
      <w:r>
        <w:t>měl být zcela nez</w:t>
      </w:r>
      <w:r w:rsidR="00D24760">
        <w:t>ávislý na členských</w:t>
      </w:r>
      <w:r>
        <w:t xml:space="preserve"> státech. Komise </w:t>
      </w:r>
      <w:r w:rsidR="00D24760">
        <w:t>jako strážkyně smluv má dle článku 17 SEU zajišťovat uplatňování Smluv a opatření přijatých orgány na jejich základě a dále pod kontrolou Soudního dvora EU dohlížet na uplatňování práva Unie.</w:t>
      </w:r>
      <w:r w:rsidR="00D24760">
        <w:rPr>
          <w:rStyle w:val="Znakapoznpodarou"/>
        </w:rPr>
        <w:footnoteReference w:id="56"/>
      </w:r>
      <w:r w:rsidR="008E1086">
        <w:t xml:space="preserve"> </w:t>
      </w:r>
      <w:r w:rsidR="00D24760">
        <w:t>P</w:t>
      </w:r>
      <w:r>
        <w:t>rávě v tomto druhu řízení může tuto svoji roli významně naplňovat.</w:t>
      </w:r>
      <w:r w:rsidR="00C714E8">
        <w:t xml:space="preserve"> Pro začátek je také důležité si připomenout, že Komise požívá významných výsad v tomto řízení. Jednak je ve velké míře na ní, aby se rozhodla, které případy bude prošetřovat. Vedle toho má</w:t>
      </w:r>
      <w:r w:rsidR="00C6496A">
        <w:t xml:space="preserve"> diskreci i v tom, zda následně podá žalobu k </w:t>
      </w:r>
      <w:r w:rsidR="001F14BB">
        <w:t>S</w:t>
      </w:r>
      <w:r w:rsidR="00C6496A">
        <w:t>oudnímu dvoru či nikoliv.</w:t>
      </w:r>
      <w:r w:rsidR="00C6496A">
        <w:rPr>
          <w:rStyle w:val="Znakapoznpodarou"/>
        </w:rPr>
        <w:footnoteReference w:id="57"/>
      </w:r>
    </w:p>
    <w:p w:rsidR="00EE65B0" w:rsidRPr="00B25500" w:rsidRDefault="005F2ED3" w:rsidP="00BE6E23">
      <w:r>
        <w:tab/>
      </w:r>
      <w:r w:rsidR="00EE65B0" w:rsidRPr="00B25500">
        <w:t xml:space="preserve">Vzhledem k tomu, že v rámci tohoto řízení Komise nedisponuje žádnými vyšetřovacími službami, stížnosti na porušení povinnosti určitého členského státu bývají podané na základě informací získaných z různých zdrojů, např. prostřednictvím tisku, z otázek EP (jedná se o otázky položené členy EP adresované ostatním evropským institucím a orgánům) či petic, nebo častěji pomocí moderních </w:t>
      </w:r>
      <w:r w:rsidR="00EE65B0" w:rsidRPr="00B25500">
        <w:lastRenderedPageBreak/>
        <w:t>technologických zdrojů, jako j</w:t>
      </w:r>
      <w:r w:rsidR="006E48DF">
        <w:t>e</w:t>
      </w:r>
      <w:r w:rsidR="00EE65B0" w:rsidRPr="00B25500">
        <w:t xml:space="preserve"> databáze s uvedením, kdy členské státy neozn</w:t>
      </w:r>
      <w:r w:rsidR="00EE65B0">
        <w:t>ámily, že provedly směrnici.</w:t>
      </w:r>
      <w:r w:rsidR="00EE65B0">
        <w:rPr>
          <w:rStyle w:val="Znakapoznpodarou"/>
        </w:rPr>
        <w:footnoteReference w:id="58"/>
      </w:r>
    </w:p>
    <w:p w:rsidR="00EE65B0" w:rsidRDefault="00EE65B0" w:rsidP="00EE65B0">
      <w:pPr>
        <w:ind w:firstLine="708"/>
        <w:rPr>
          <w:rFonts w:cs="Arial"/>
          <w:color w:val="222222"/>
        </w:rPr>
      </w:pPr>
      <w:r>
        <w:rPr>
          <w:rFonts w:cs="Arial"/>
          <w:b/>
          <w:color w:val="222222"/>
        </w:rPr>
        <w:t>Jednotlivec</w:t>
      </w:r>
      <w:r>
        <w:rPr>
          <w:rFonts w:cs="Arial"/>
          <w:color w:val="222222"/>
        </w:rPr>
        <w:t xml:space="preserve">: Již několik let Komise také opakovaně ve svých výročních zprávách konstatuje, že významným zdrojem pro zjištění porušení povinnosti členského státu jsou stížnosti ze strany jednotlivců a že toto řízení přispívá k více </w:t>
      </w:r>
      <w:r w:rsidRPr="00BA1D87">
        <w:rPr>
          <w:rFonts w:cs="Arial"/>
          <w:color w:val="222222"/>
        </w:rPr>
        <w:t>participujícímu</w:t>
      </w:r>
      <w:r>
        <w:rPr>
          <w:rFonts w:cs="Arial"/>
          <w:color w:val="222222"/>
        </w:rPr>
        <w:t xml:space="preserve"> společenství, kde právě jednotlivci mohou hrát důležitou roli při vynucování evropského práva. Vzhledem k tomu, že jednotlivci v tomto řízení získali významnou úlohu, v roce 1999 došlo k navržení standartního formuláře pro podávání stížností. Nicméně Komise rovněž zdůrazňuje, že řízení není zaměřeno primárně tomu, aby poskytovalo ochranu jednotlivcům, ale jedná se především o jakýsi objektivní mechanismus pro zajišťování dodržování právních předpisů EU členskými státy. Komise také pravidelně varuje před nadměrným přeceňováním role jednotlivců a poukazuje na své vlastní uvážení při rozhodování o tom, zda zahájí řízení o</w:t>
      </w:r>
      <w:r w:rsidR="001F14BB">
        <w:rPr>
          <w:rFonts w:cs="Arial"/>
          <w:color w:val="222222"/>
        </w:rPr>
        <w:t> </w:t>
      </w:r>
      <w:r>
        <w:rPr>
          <w:rFonts w:cs="Arial"/>
          <w:color w:val="222222"/>
        </w:rPr>
        <w:t>porušení p</w:t>
      </w:r>
      <w:r w:rsidR="001F14BB">
        <w:rPr>
          <w:rFonts w:cs="Arial"/>
          <w:color w:val="222222"/>
        </w:rPr>
        <w:t>ovinnosti</w:t>
      </w:r>
      <w:r>
        <w:rPr>
          <w:rFonts w:cs="Arial"/>
          <w:color w:val="222222"/>
        </w:rPr>
        <w:t xml:space="preserve">. Upřednostňuje zde bilaterální jednání, spíše než jakousi trojstrannou povahu řízení a vedle toho také vyzdvihuje </w:t>
      </w:r>
      <w:r>
        <w:rPr>
          <w:rStyle w:val="hps"/>
          <w:rFonts w:cs="Arial"/>
          <w:color w:val="222222"/>
        </w:rPr>
        <w:t>primární cíl řízení</w:t>
      </w:r>
      <w:r>
        <w:rPr>
          <w:rFonts w:cs="Arial"/>
          <w:color w:val="222222"/>
        </w:rPr>
        <w:t>, který vede členské státy do souladu s evropským právem, sp</w:t>
      </w:r>
      <w:r>
        <w:rPr>
          <w:rStyle w:val="hps"/>
          <w:rFonts w:cs="Arial"/>
          <w:color w:val="222222"/>
        </w:rPr>
        <w:t>íše</w:t>
      </w:r>
      <w:r w:rsidR="00081765">
        <w:rPr>
          <w:rStyle w:val="hps"/>
          <w:rFonts w:cs="Arial"/>
          <w:color w:val="222222"/>
        </w:rPr>
        <w:t xml:space="preserve"> </w:t>
      </w:r>
      <w:r>
        <w:rPr>
          <w:rStyle w:val="hps"/>
          <w:rFonts w:cs="Arial"/>
          <w:color w:val="222222"/>
        </w:rPr>
        <w:t>než</w:t>
      </w:r>
      <w:r w:rsidR="00081765">
        <w:rPr>
          <w:rStyle w:val="hps"/>
          <w:rFonts w:cs="Arial"/>
          <w:color w:val="222222"/>
        </w:rPr>
        <w:t xml:space="preserve"> </w:t>
      </w:r>
      <w:r>
        <w:rPr>
          <w:rStyle w:val="hps"/>
          <w:rFonts w:cs="Arial"/>
          <w:color w:val="222222"/>
        </w:rPr>
        <w:t>uspokojování</w:t>
      </w:r>
      <w:r w:rsidR="00081765">
        <w:rPr>
          <w:rStyle w:val="hps"/>
          <w:rFonts w:cs="Arial"/>
          <w:color w:val="222222"/>
        </w:rPr>
        <w:t xml:space="preserve"> </w:t>
      </w:r>
      <w:r>
        <w:rPr>
          <w:rStyle w:val="hps"/>
          <w:rFonts w:cs="Arial"/>
          <w:color w:val="222222"/>
        </w:rPr>
        <w:t>zájmů jednotlivců</w:t>
      </w:r>
      <w:r>
        <w:rPr>
          <w:rFonts w:cs="Arial"/>
          <w:color w:val="222222"/>
        </w:rPr>
        <w:t>.</w:t>
      </w:r>
      <w:r>
        <w:rPr>
          <w:rStyle w:val="Znakapoznpodarou"/>
          <w:rFonts w:cs="Arial"/>
          <w:color w:val="222222"/>
        </w:rPr>
        <w:footnoteReference w:id="59"/>
      </w:r>
    </w:p>
    <w:p w:rsidR="00EE65B0" w:rsidRDefault="00EE65B0" w:rsidP="00EE65B0">
      <w:pPr>
        <w:ind w:firstLine="708"/>
        <w:rPr>
          <w:rFonts w:cs="Arial"/>
          <w:color w:val="222222"/>
        </w:rPr>
      </w:pPr>
      <w:r>
        <w:rPr>
          <w:rFonts w:cs="Arial"/>
          <w:color w:val="222222"/>
        </w:rPr>
        <w:t xml:space="preserve">Postavení jednotlivců v rámci tohoto řízení je jak </w:t>
      </w:r>
      <w:r w:rsidR="001F14BB">
        <w:rPr>
          <w:rFonts w:cs="Arial"/>
          <w:color w:val="222222"/>
        </w:rPr>
        <w:t>u</w:t>
      </w:r>
      <w:r>
        <w:rPr>
          <w:rFonts w:cs="Arial"/>
          <w:color w:val="222222"/>
        </w:rPr>
        <w:t>vidíme velmi specifické. Na</w:t>
      </w:r>
      <w:r w:rsidR="00A37166">
        <w:rPr>
          <w:rFonts w:cs="Arial"/>
          <w:color w:val="222222"/>
        </w:rPr>
        <w:t> </w:t>
      </w:r>
      <w:r>
        <w:rPr>
          <w:rFonts w:cs="Arial"/>
          <w:color w:val="222222"/>
        </w:rPr>
        <w:t>jedné straně jednotlivec opravdu nemůže v řízení sám říct a přimět Komisi, aby řízení zahájila, a jde tedy o „pouhý“ podnět, na základě kterého Komise může, ale nemusí řízení o porušení povinnosti zahájit. Je však nutné se podívat i na druhou stranu této mince, která významně postavení jednotlivce v řízení posiluje. Pokud se</w:t>
      </w:r>
      <w:r w:rsidR="00A37166">
        <w:rPr>
          <w:rFonts w:cs="Arial"/>
          <w:color w:val="222222"/>
        </w:rPr>
        <w:t> </w:t>
      </w:r>
      <w:r w:rsidR="001F14BB">
        <w:rPr>
          <w:rFonts w:cs="Arial"/>
          <w:color w:val="222222"/>
        </w:rPr>
        <w:t>K</w:t>
      </w:r>
      <w:r>
        <w:rPr>
          <w:rFonts w:cs="Arial"/>
          <w:color w:val="222222"/>
        </w:rPr>
        <w:t>omise na základě obdržené stížnosti nerozhodne řízení zahájit, existují zde stále zadní vrátka v podobě úřadu Evropského veřejného ochránce práv</w:t>
      </w:r>
      <w:r w:rsidR="001F14BB">
        <w:rPr>
          <w:rFonts w:cs="Arial"/>
          <w:color w:val="222222"/>
        </w:rPr>
        <w:t xml:space="preserve"> (dále jen „Ochránce práv“)</w:t>
      </w:r>
      <w:r>
        <w:rPr>
          <w:rFonts w:cs="Arial"/>
          <w:color w:val="222222"/>
        </w:rPr>
        <w:t>. Jednotlivci sem pravidelně směřují nemalé množství stížností na</w:t>
      </w:r>
      <w:r w:rsidR="001F14BB">
        <w:rPr>
          <w:rFonts w:cs="Arial"/>
          <w:color w:val="222222"/>
        </w:rPr>
        <w:t> </w:t>
      </w:r>
      <w:r>
        <w:rPr>
          <w:rFonts w:cs="Arial"/>
          <w:color w:val="222222"/>
        </w:rPr>
        <w:t>postupy Komise v řízeních o</w:t>
      </w:r>
      <w:r w:rsidR="00A37166">
        <w:rPr>
          <w:rFonts w:cs="Arial"/>
          <w:color w:val="222222"/>
        </w:rPr>
        <w:t> </w:t>
      </w:r>
      <w:r>
        <w:rPr>
          <w:rFonts w:cs="Arial"/>
          <w:color w:val="222222"/>
        </w:rPr>
        <w:t>porušení povinnosti, což vede k vytváření tlaku na</w:t>
      </w:r>
      <w:r w:rsidR="001F14BB">
        <w:rPr>
          <w:rFonts w:cs="Arial"/>
          <w:color w:val="222222"/>
        </w:rPr>
        <w:t> </w:t>
      </w:r>
      <w:r>
        <w:rPr>
          <w:rFonts w:cs="Arial"/>
          <w:color w:val="222222"/>
        </w:rPr>
        <w:t xml:space="preserve">Komisi prostřednictvím </w:t>
      </w:r>
      <w:r w:rsidR="001F14BB">
        <w:rPr>
          <w:rFonts w:cs="Arial"/>
          <w:color w:val="222222"/>
        </w:rPr>
        <w:t>Ochránce práv</w:t>
      </w:r>
      <w:r>
        <w:rPr>
          <w:rFonts w:cs="Arial"/>
          <w:color w:val="222222"/>
        </w:rPr>
        <w:t>, který se snaží přimět Komisi ke změnám a</w:t>
      </w:r>
      <w:r w:rsidR="001F14BB">
        <w:rPr>
          <w:rFonts w:cs="Arial"/>
          <w:color w:val="222222"/>
        </w:rPr>
        <w:t> </w:t>
      </w:r>
      <w:r>
        <w:rPr>
          <w:rFonts w:cs="Arial"/>
          <w:color w:val="222222"/>
        </w:rPr>
        <w:t xml:space="preserve">vylepšením </w:t>
      </w:r>
      <w:r w:rsidR="001F14BB">
        <w:rPr>
          <w:rFonts w:cs="Arial"/>
          <w:color w:val="222222"/>
        </w:rPr>
        <w:t>svých postupů. Poté co O</w:t>
      </w:r>
      <w:r>
        <w:rPr>
          <w:rFonts w:cs="Arial"/>
          <w:color w:val="222222"/>
        </w:rPr>
        <w:t xml:space="preserve">chránce práv z vlastní iniciativy začal prošetřovat postupy Komise v oblasti prosazování evropského práva v roce 1996, Komise následně upustila od předcházející praxe neinformování stěžovatelů, pokud došlo k ukončení případu. Rovněž Komise začala mnohem více využívat tiskové </w:t>
      </w:r>
      <w:r>
        <w:rPr>
          <w:rFonts w:cs="Arial"/>
          <w:color w:val="222222"/>
        </w:rPr>
        <w:lastRenderedPageBreak/>
        <w:t>zprávy a začala na</w:t>
      </w:r>
      <w:r w:rsidR="00A37166">
        <w:rPr>
          <w:rFonts w:cs="Arial"/>
          <w:color w:val="222222"/>
        </w:rPr>
        <w:t> </w:t>
      </w:r>
      <w:r>
        <w:rPr>
          <w:rFonts w:cs="Arial"/>
          <w:color w:val="222222"/>
        </w:rPr>
        <w:t>internetu zveřejňovat více informací o jednotlivých formálních fázích řízení o</w:t>
      </w:r>
      <w:r w:rsidR="00A37166">
        <w:rPr>
          <w:rFonts w:cs="Arial"/>
          <w:color w:val="222222"/>
        </w:rPr>
        <w:t> </w:t>
      </w:r>
      <w:r>
        <w:rPr>
          <w:rFonts w:cs="Arial"/>
          <w:color w:val="222222"/>
        </w:rPr>
        <w:t>porušení povinnosti. V roce 2002 vydala Komise sdělení Evropskému parlamentu o</w:t>
      </w:r>
      <w:r w:rsidR="00A37166">
        <w:rPr>
          <w:rFonts w:cs="Arial"/>
          <w:color w:val="222222"/>
        </w:rPr>
        <w:t> </w:t>
      </w:r>
      <w:r>
        <w:rPr>
          <w:rFonts w:cs="Arial"/>
          <w:color w:val="222222"/>
        </w:rPr>
        <w:t>vztazích s jednotlivými stěžovateli, ve kterém nastínila, jaké změny provedla, včetně zveřejnění úplného znění jejích vnitřních procesních pravidel, jimiž se řídí vztahy se stěžovateli. Komise rovněž uvedla její administrativní závazky vůči stěžovatelům, včetně závazku řešit každý případ vyplývající ze stížnosti, a</w:t>
      </w:r>
      <w:r w:rsidR="00BA1D87">
        <w:rPr>
          <w:rFonts w:cs="Arial"/>
          <w:color w:val="222222"/>
        </w:rPr>
        <w:t> </w:t>
      </w:r>
      <w:r>
        <w:rPr>
          <w:rFonts w:cs="Arial"/>
          <w:color w:val="222222"/>
        </w:rPr>
        <w:t>to</w:t>
      </w:r>
      <w:r w:rsidR="00BA1D87">
        <w:rPr>
          <w:rFonts w:cs="Arial"/>
          <w:color w:val="222222"/>
        </w:rPr>
        <w:t> </w:t>
      </w:r>
      <w:r>
        <w:rPr>
          <w:rFonts w:cs="Arial"/>
          <w:color w:val="222222"/>
        </w:rPr>
        <w:t>do</w:t>
      </w:r>
      <w:r w:rsidR="00A37166">
        <w:rPr>
          <w:rFonts w:cs="Arial"/>
          <w:color w:val="222222"/>
        </w:rPr>
        <w:t> </w:t>
      </w:r>
      <w:r>
        <w:rPr>
          <w:rFonts w:cs="Arial"/>
          <w:color w:val="222222"/>
        </w:rPr>
        <w:t>jednoho roku od jejího přijetí.</w:t>
      </w:r>
      <w:r>
        <w:rPr>
          <w:rStyle w:val="Znakapoznpodarou"/>
          <w:rFonts w:cs="Arial"/>
          <w:color w:val="222222"/>
        </w:rPr>
        <w:footnoteReference w:id="60"/>
      </w:r>
    </w:p>
    <w:p w:rsidR="00EE65B0" w:rsidRDefault="00EE65B0" w:rsidP="00EE65B0">
      <w:pPr>
        <w:ind w:firstLine="708"/>
        <w:rPr>
          <w:rFonts w:cs="Arial"/>
          <w:color w:val="222222"/>
          <w:szCs w:val="24"/>
        </w:rPr>
      </w:pPr>
      <w:r>
        <w:rPr>
          <w:rFonts w:cs="Arial"/>
          <w:color w:val="222222"/>
          <w:szCs w:val="24"/>
        </w:rPr>
        <w:t>Největším kamenem úrazu v postupu jednotlivců jako stěžovatelů při domáhání se práva je obtížnost získat přístup k dokumentům, které souvisí s řízením o porušení povinnosti. I</w:t>
      </w:r>
      <w:r>
        <w:rPr>
          <w:rStyle w:val="hps"/>
          <w:rFonts w:cs="Arial"/>
          <w:color w:val="222222"/>
          <w:szCs w:val="24"/>
        </w:rPr>
        <w:t xml:space="preserve"> pokusy</w:t>
      </w:r>
      <w:r w:rsidR="00081765">
        <w:rPr>
          <w:rStyle w:val="hps"/>
          <w:rFonts w:cs="Arial"/>
          <w:color w:val="222222"/>
          <w:szCs w:val="24"/>
        </w:rPr>
        <w:t xml:space="preserve"> </w:t>
      </w:r>
      <w:r>
        <w:rPr>
          <w:rStyle w:val="hps"/>
          <w:rFonts w:cs="Arial"/>
          <w:color w:val="222222"/>
          <w:szCs w:val="24"/>
        </w:rPr>
        <w:t>získat</w:t>
      </w:r>
      <w:r w:rsidR="00081765">
        <w:rPr>
          <w:rStyle w:val="hps"/>
          <w:rFonts w:cs="Arial"/>
          <w:color w:val="222222"/>
          <w:szCs w:val="24"/>
        </w:rPr>
        <w:t xml:space="preserve"> </w:t>
      </w:r>
      <w:r>
        <w:rPr>
          <w:rStyle w:val="hps"/>
          <w:rFonts w:cs="Arial"/>
          <w:color w:val="222222"/>
          <w:szCs w:val="24"/>
        </w:rPr>
        <w:t>přístup k dokumentům prostřednictvím</w:t>
      </w:r>
      <w:r w:rsidR="00081765">
        <w:rPr>
          <w:rStyle w:val="hps"/>
          <w:rFonts w:cs="Arial"/>
          <w:color w:val="222222"/>
          <w:szCs w:val="24"/>
        </w:rPr>
        <w:t xml:space="preserve"> </w:t>
      </w:r>
      <w:r>
        <w:rPr>
          <w:rStyle w:val="hps"/>
          <w:rFonts w:cs="Arial"/>
          <w:color w:val="222222"/>
          <w:szCs w:val="24"/>
        </w:rPr>
        <w:t>stížností</w:t>
      </w:r>
      <w:r w:rsidR="00081765">
        <w:rPr>
          <w:rStyle w:val="hps"/>
          <w:rFonts w:cs="Arial"/>
          <w:color w:val="222222"/>
          <w:szCs w:val="24"/>
        </w:rPr>
        <w:t xml:space="preserve"> </w:t>
      </w:r>
      <w:r>
        <w:rPr>
          <w:rStyle w:val="hps"/>
          <w:rFonts w:cs="Arial"/>
          <w:color w:val="222222"/>
          <w:szCs w:val="24"/>
        </w:rPr>
        <w:t>k</w:t>
      </w:r>
      <w:r>
        <w:rPr>
          <w:rFonts w:cs="Arial"/>
          <w:color w:val="222222"/>
          <w:szCs w:val="24"/>
        </w:rPr>
        <w:t> </w:t>
      </w:r>
      <w:r w:rsidR="00A72327">
        <w:rPr>
          <w:rFonts w:cs="Arial"/>
          <w:color w:val="222222"/>
          <w:szCs w:val="24"/>
        </w:rPr>
        <w:t>O</w:t>
      </w:r>
      <w:r>
        <w:rPr>
          <w:rStyle w:val="hps"/>
          <w:rFonts w:cs="Arial"/>
          <w:color w:val="222222"/>
          <w:szCs w:val="24"/>
        </w:rPr>
        <w:t>chránci práv</w:t>
      </w:r>
      <w:r w:rsidR="00081765">
        <w:rPr>
          <w:rStyle w:val="hps"/>
          <w:rFonts w:cs="Arial"/>
          <w:color w:val="222222"/>
          <w:szCs w:val="24"/>
        </w:rPr>
        <w:t xml:space="preserve"> </w:t>
      </w:r>
      <w:r>
        <w:rPr>
          <w:rStyle w:val="hps"/>
          <w:rFonts w:cs="Arial"/>
          <w:color w:val="222222"/>
          <w:szCs w:val="24"/>
        </w:rPr>
        <w:t>nebo</w:t>
      </w:r>
      <w:r w:rsidR="00081765">
        <w:rPr>
          <w:rStyle w:val="hps"/>
          <w:rFonts w:cs="Arial"/>
          <w:color w:val="222222"/>
          <w:szCs w:val="24"/>
        </w:rPr>
        <w:t xml:space="preserve"> </w:t>
      </w:r>
      <w:r>
        <w:rPr>
          <w:rStyle w:val="hps"/>
          <w:rFonts w:cs="Arial"/>
          <w:color w:val="222222"/>
          <w:szCs w:val="24"/>
        </w:rPr>
        <w:t>prostřednictvím evropských soudů</w:t>
      </w:r>
      <w:r w:rsidR="00081765">
        <w:rPr>
          <w:rStyle w:val="hps"/>
          <w:rFonts w:cs="Arial"/>
          <w:color w:val="222222"/>
          <w:szCs w:val="24"/>
        </w:rPr>
        <w:t xml:space="preserve"> </w:t>
      </w:r>
      <w:r>
        <w:rPr>
          <w:rStyle w:val="hps"/>
          <w:rFonts w:cs="Arial"/>
          <w:color w:val="222222"/>
          <w:szCs w:val="24"/>
        </w:rPr>
        <w:t>se nesetkaly</w:t>
      </w:r>
      <w:r w:rsidR="00081765">
        <w:rPr>
          <w:rStyle w:val="hps"/>
          <w:rFonts w:cs="Arial"/>
          <w:color w:val="222222"/>
          <w:szCs w:val="24"/>
        </w:rPr>
        <w:t xml:space="preserve"> </w:t>
      </w:r>
      <w:r>
        <w:rPr>
          <w:rStyle w:val="hps"/>
          <w:rFonts w:cs="Arial"/>
          <w:color w:val="222222"/>
          <w:szCs w:val="24"/>
        </w:rPr>
        <w:t>s</w:t>
      </w:r>
      <w:r w:rsidR="00081765">
        <w:rPr>
          <w:rStyle w:val="hps"/>
          <w:rFonts w:cs="Arial"/>
          <w:color w:val="222222"/>
          <w:szCs w:val="24"/>
        </w:rPr>
        <w:t> </w:t>
      </w:r>
      <w:r>
        <w:rPr>
          <w:rStyle w:val="hps"/>
          <w:rFonts w:cs="Arial"/>
          <w:color w:val="222222"/>
          <w:szCs w:val="24"/>
        </w:rPr>
        <w:t>velkým</w:t>
      </w:r>
      <w:r w:rsidR="00081765">
        <w:rPr>
          <w:rStyle w:val="hps"/>
          <w:rFonts w:cs="Arial"/>
          <w:color w:val="222222"/>
          <w:szCs w:val="24"/>
        </w:rPr>
        <w:t xml:space="preserve"> </w:t>
      </w:r>
      <w:r>
        <w:rPr>
          <w:rStyle w:val="hps"/>
          <w:rFonts w:cs="Arial"/>
          <w:color w:val="222222"/>
          <w:szCs w:val="24"/>
        </w:rPr>
        <w:t>úspěchem</w:t>
      </w:r>
      <w:r>
        <w:rPr>
          <w:rFonts w:cs="Arial"/>
          <w:color w:val="222222"/>
          <w:szCs w:val="24"/>
        </w:rPr>
        <w:t>. Komise má totiž stálou výjimku z pravidel transparentnosti, jimiž se řídí kontroly, vyšetřování a audity, což ostatně z</w:t>
      </w:r>
      <w:r>
        <w:rPr>
          <w:rStyle w:val="hps"/>
          <w:rFonts w:cs="Arial"/>
          <w:color w:val="222222"/>
          <w:szCs w:val="24"/>
        </w:rPr>
        <w:t xml:space="preserve"> velké části</w:t>
      </w:r>
      <w:r w:rsidR="00A72327">
        <w:rPr>
          <w:rStyle w:val="hps"/>
          <w:rFonts w:cs="Arial"/>
          <w:color w:val="222222"/>
          <w:szCs w:val="24"/>
        </w:rPr>
        <w:t xml:space="preserve"> </w:t>
      </w:r>
      <w:r>
        <w:rPr>
          <w:rStyle w:val="hps"/>
          <w:rFonts w:cs="Arial"/>
          <w:color w:val="222222"/>
          <w:szCs w:val="24"/>
        </w:rPr>
        <w:t xml:space="preserve">potvrdil i </w:t>
      </w:r>
      <w:r w:rsidR="00A72327">
        <w:rPr>
          <w:rStyle w:val="hps"/>
          <w:rFonts w:cs="Arial"/>
          <w:color w:val="222222"/>
          <w:szCs w:val="24"/>
        </w:rPr>
        <w:t>Ochránce práv</w:t>
      </w:r>
      <w:r>
        <w:rPr>
          <w:rStyle w:val="hps"/>
          <w:rFonts w:cs="Arial"/>
          <w:color w:val="222222"/>
          <w:szCs w:val="24"/>
        </w:rPr>
        <w:t xml:space="preserve"> a evropské soudy. V případu </w:t>
      </w:r>
      <w:proofErr w:type="spellStart"/>
      <w:r>
        <w:rPr>
          <w:rStyle w:val="hps"/>
          <w:rFonts w:cs="Arial"/>
          <w:color w:val="222222"/>
          <w:szCs w:val="24"/>
        </w:rPr>
        <w:t>Petrie</w:t>
      </w:r>
      <w:proofErr w:type="spellEnd"/>
      <w:r>
        <w:rPr>
          <w:rStyle w:val="hps"/>
          <w:rFonts w:cs="Arial"/>
          <w:color w:val="222222"/>
          <w:szCs w:val="24"/>
        </w:rPr>
        <w:t xml:space="preserve"> v.</w:t>
      </w:r>
      <w:r w:rsidR="009C31EC">
        <w:rPr>
          <w:rStyle w:val="hps"/>
          <w:rFonts w:cs="Arial"/>
          <w:color w:val="222222"/>
          <w:szCs w:val="24"/>
        </w:rPr>
        <w:t> </w:t>
      </w:r>
      <w:r w:rsidR="00A72327">
        <w:rPr>
          <w:rStyle w:val="hps"/>
          <w:rFonts w:cs="Arial"/>
          <w:color w:val="222222"/>
          <w:szCs w:val="24"/>
        </w:rPr>
        <w:t>Komise</w:t>
      </w:r>
      <w:r w:rsidR="00A72327">
        <w:rPr>
          <w:rStyle w:val="Znakapoznpodarou"/>
          <w:rFonts w:cs="Arial"/>
          <w:color w:val="222222"/>
          <w:szCs w:val="24"/>
        </w:rPr>
        <w:footnoteReference w:id="61"/>
      </w:r>
      <w:r>
        <w:rPr>
          <w:rStyle w:val="hps"/>
          <w:rFonts w:cs="Arial"/>
          <w:color w:val="222222"/>
          <w:szCs w:val="24"/>
        </w:rPr>
        <w:t xml:space="preserve"> </w:t>
      </w:r>
      <w:r w:rsidR="00A72327">
        <w:rPr>
          <w:rStyle w:val="hps"/>
          <w:rFonts w:cs="Arial"/>
          <w:color w:val="222222"/>
          <w:szCs w:val="24"/>
        </w:rPr>
        <w:t>s</w:t>
      </w:r>
      <w:r>
        <w:rPr>
          <w:rStyle w:val="hps"/>
          <w:rFonts w:cs="Arial"/>
          <w:color w:val="222222"/>
          <w:szCs w:val="24"/>
        </w:rPr>
        <w:t xml:space="preserve">oud první instance zdůraznil bilaterální povahu řízení o porušení povinnosti, jako argument k prosazení odmítavého postoje v přístupu jednotlivců k dokumentům souvisejícím s řízením. </w:t>
      </w:r>
      <w:r>
        <w:rPr>
          <w:rFonts w:cs="Arial"/>
          <w:color w:val="222222"/>
          <w:szCs w:val="24"/>
        </w:rPr>
        <w:t>Nicméně rezervovanost Komise, tak jako to, že nedostatečně komunikuje a</w:t>
      </w:r>
      <w:r w:rsidR="00E77B6F">
        <w:rPr>
          <w:rFonts w:cs="Arial"/>
          <w:color w:val="222222"/>
          <w:szCs w:val="24"/>
        </w:rPr>
        <w:t> </w:t>
      </w:r>
      <w:r>
        <w:rPr>
          <w:rFonts w:cs="Arial"/>
          <w:color w:val="222222"/>
          <w:szCs w:val="24"/>
        </w:rPr>
        <w:t>má</w:t>
      </w:r>
      <w:r w:rsidR="00E77B6F">
        <w:rPr>
          <w:rFonts w:cs="Arial"/>
          <w:color w:val="222222"/>
          <w:szCs w:val="24"/>
        </w:rPr>
        <w:t> </w:t>
      </w:r>
      <w:r>
        <w:rPr>
          <w:rFonts w:cs="Arial"/>
          <w:color w:val="222222"/>
          <w:szCs w:val="24"/>
        </w:rPr>
        <w:t>negativní postoj k jednotlivcům jako stěžovatelům, stejně jako její prakticky neomezená volnost a</w:t>
      </w:r>
      <w:r w:rsidR="009C31EC">
        <w:rPr>
          <w:rFonts w:cs="Arial"/>
          <w:color w:val="222222"/>
          <w:szCs w:val="24"/>
        </w:rPr>
        <w:t> </w:t>
      </w:r>
      <w:r>
        <w:rPr>
          <w:rFonts w:cs="Arial"/>
          <w:color w:val="222222"/>
          <w:szCs w:val="24"/>
        </w:rPr>
        <w:t>tendence ke svévoli, to vše čelí ostré kritice. Dokonce i</w:t>
      </w:r>
      <w:r w:rsidR="00A72327">
        <w:rPr>
          <w:rFonts w:cs="Arial"/>
          <w:color w:val="222222"/>
          <w:szCs w:val="24"/>
        </w:rPr>
        <w:t> </w:t>
      </w:r>
      <w:r w:rsidR="00C00411">
        <w:rPr>
          <w:rFonts w:cs="Arial"/>
          <w:color w:val="222222"/>
          <w:szCs w:val="24"/>
        </w:rPr>
        <w:t>Ochránce práv</w:t>
      </w:r>
      <w:r>
        <w:rPr>
          <w:rFonts w:cs="Arial"/>
          <w:color w:val="222222"/>
          <w:szCs w:val="24"/>
        </w:rPr>
        <w:t xml:space="preserve"> se nevyhnul kritice za to, že plýtvá příležitostí usilovat o působivější administrativní reformy, které by byli příznivější i pro jednotlivce.</w:t>
      </w:r>
      <w:r>
        <w:rPr>
          <w:rStyle w:val="Znakapoznpodarou"/>
          <w:rFonts w:cs="Arial"/>
          <w:color w:val="222222"/>
          <w:szCs w:val="24"/>
        </w:rPr>
        <w:footnoteReference w:id="62"/>
      </w:r>
    </w:p>
    <w:p w:rsidR="00EE65B0" w:rsidRDefault="00EE65B0" w:rsidP="00EE65B0">
      <w:pPr>
        <w:ind w:firstLine="708"/>
        <w:rPr>
          <w:rFonts w:cs="Arial"/>
          <w:color w:val="222222"/>
          <w:szCs w:val="24"/>
        </w:rPr>
      </w:pPr>
      <w:r>
        <w:rPr>
          <w:rFonts w:cs="Arial"/>
          <w:color w:val="222222"/>
          <w:szCs w:val="24"/>
        </w:rPr>
        <w:t xml:space="preserve">Autoři </w:t>
      </w:r>
      <w:proofErr w:type="spellStart"/>
      <w:r w:rsidR="00B916DC">
        <w:rPr>
          <w:rFonts w:cs="Arial"/>
          <w:color w:val="222222"/>
          <w:szCs w:val="24"/>
        </w:rPr>
        <w:t>Carol</w:t>
      </w:r>
      <w:proofErr w:type="spellEnd"/>
      <w:r w:rsidR="00B916DC">
        <w:rPr>
          <w:rFonts w:cs="Arial"/>
          <w:color w:val="222222"/>
          <w:szCs w:val="24"/>
        </w:rPr>
        <w:t xml:space="preserve"> </w:t>
      </w:r>
      <w:proofErr w:type="spellStart"/>
      <w:r>
        <w:rPr>
          <w:rFonts w:cs="Arial"/>
          <w:color w:val="222222"/>
          <w:szCs w:val="24"/>
        </w:rPr>
        <w:t>Harlow</w:t>
      </w:r>
      <w:proofErr w:type="spellEnd"/>
      <w:r>
        <w:rPr>
          <w:rFonts w:cs="Arial"/>
          <w:color w:val="222222"/>
          <w:szCs w:val="24"/>
        </w:rPr>
        <w:t xml:space="preserve"> a </w:t>
      </w:r>
      <w:r w:rsidR="00B916DC">
        <w:rPr>
          <w:rFonts w:cs="Arial"/>
          <w:color w:val="222222"/>
          <w:szCs w:val="24"/>
        </w:rPr>
        <w:t xml:space="preserve">Richard </w:t>
      </w:r>
      <w:proofErr w:type="spellStart"/>
      <w:r>
        <w:rPr>
          <w:rFonts w:cs="Arial"/>
          <w:color w:val="222222"/>
          <w:szCs w:val="24"/>
        </w:rPr>
        <w:t>Rawlings</w:t>
      </w:r>
      <w:proofErr w:type="spellEnd"/>
      <w:r>
        <w:rPr>
          <w:rFonts w:cs="Arial"/>
          <w:color w:val="222222"/>
          <w:szCs w:val="24"/>
        </w:rPr>
        <w:t xml:space="preserve"> upozorňují, že vedle dvoustranných a</w:t>
      </w:r>
      <w:r w:rsidR="00A43917">
        <w:rPr>
          <w:rFonts w:cs="Arial"/>
          <w:color w:val="222222"/>
          <w:szCs w:val="24"/>
        </w:rPr>
        <w:t> </w:t>
      </w:r>
      <w:r>
        <w:rPr>
          <w:rFonts w:cs="Arial"/>
          <w:color w:val="222222"/>
          <w:szCs w:val="24"/>
        </w:rPr>
        <w:t xml:space="preserve">elitních koncepcí řízení o nesplnění povinnosti, které zvýhodňují </w:t>
      </w:r>
      <w:r w:rsidR="00A72327">
        <w:rPr>
          <w:rFonts w:cs="Arial"/>
          <w:color w:val="222222"/>
          <w:szCs w:val="24"/>
        </w:rPr>
        <w:t>Soudní dvůr</w:t>
      </w:r>
      <w:r>
        <w:rPr>
          <w:rFonts w:cs="Arial"/>
          <w:color w:val="222222"/>
          <w:szCs w:val="24"/>
        </w:rPr>
        <w:t xml:space="preserve"> a</w:t>
      </w:r>
      <w:r w:rsidR="00A43917">
        <w:rPr>
          <w:rFonts w:cs="Arial"/>
          <w:color w:val="222222"/>
          <w:szCs w:val="24"/>
        </w:rPr>
        <w:t> </w:t>
      </w:r>
      <w:r>
        <w:rPr>
          <w:rFonts w:cs="Arial"/>
          <w:color w:val="222222"/>
          <w:szCs w:val="24"/>
        </w:rPr>
        <w:t>Komisi, existuje i</w:t>
      </w:r>
      <w:r w:rsidR="009C31EC">
        <w:rPr>
          <w:rFonts w:cs="Arial"/>
          <w:color w:val="222222"/>
          <w:szCs w:val="24"/>
        </w:rPr>
        <w:t> </w:t>
      </w:r>
      <w:r>
        <w:rPr>
          <w:rFonts w:cs="Arial"/>
          <w:color w:val="222222"/>
          <w:szCs w:val="24"/>
        </w:rPr>
        <w:t xml:space="preserve">více participativní pojetí, které je prosazované </w:t>
      </w:r>
      <w:r w:rsidR="00A72327">
        <w:rPr>
          <w:rFonts w:cs="Arial"/>
          <w:color w:val="222222"/>
          <w:szCs w:val="24"/>
        </w:rPr>
        <w:t>Ochráncem práv</w:t>
      </w:r>
      <w:r>
        <w:rPr>
          <w:rFonts w:cs="Arial"/>
          <w:color w:val="222222"/>
          <w:szCs w:val="24"/>
        </w:rPr>
        <w:t xml:space="preserve"> a</w:t>
      </w:r>
      <w:r w:rsidR="00A72327">
        <w:rPr>
          <w:rFonts w:cs="Arial"/>
          <w:color w:val="222222"/>
          <w:szCs w:val="24"/>
        </w:rPr>
        <w:t> </w:t>
      </w:r>
      <w:r>
        <w:rPr>
          <w:rFonts w:cs="Arial"/>
          <w:color w:val="222222"/>
          <w:szCs w:val="24"/>
        </w:rPr>
        <w:t>Evropským parlamentem, stejně jako množstvím občanů.</w:t>
      </w:r>
      <w:r w:rsidR="00AF5FEA">
        <w:rPr>
          <w:rStyle w:val="Znakapoznpodarou"/>
          <w:rFonts w:cs="Arial"/>
          <w:color w:val="222222"/>
          <w:szCs w:val="24"/>
        </w:rPr>
        <w:footnoteReference w:id="63"/>
      </w:r>
      <w:r>
        <w:rPr>
          <w:rFonts w:cs="Arial"/>
          <w:color w:val="222222"/>
          <w:szCs w:val="24"/>
        </w:rPr>
        <w:t xml:space="preserve"> Například první </w:t>
      </w:r>
      <w:r w:rsidR="00A72327">
        <w:rPr>
          <w:rFonts w:cs="Arial"/>
          <w:color w:val="222222"/>
          <w:szCs w:val="24"/>
        </w:rPr>
        <w:t>Ochránce práv</w:t>
      </w:r>
      <w:r>
        <w:rPr>
          <w:rFonts w:cs="Arial"/>
          <w:color w:val="222222"/>
          <w:szCs w:val="24"/>
        </w:rPr>
        <w:t xml:space="preserve"> </w:t>
      </w:r>
      <w:proofErr w:type="spellStart"/>
      <w:r>
        <w:rPr>
          <w:rFonts w:cs="Arial"/>
          <w:color w:val="222222"/>
          <w:szCs w:val="24"/>
        </w:rPr>
        <w:t>Söderman</w:t>
      </w:r>
      <w:proofErr w:type="spellEnd"/>
      <w:r>
        <w:rPr>
          <w:rFonts w:cs="Arial"/>
          <w:color w:val="222222"/>
          <w:szCs w:val="24"/>
        </w:rPr>
        <w:t xml:space="preserve"> považuje jednotlivce jako stěžovatele za jednu ze stran v administrativní fázi řízení</w:t>
      </w:r>
      <w:r w:rsidR="00D4302D">
        <w:rPr>
          <w:rStyle w:val="Znakapoznpodarou"/>
          <w:rFonts w:cs="Arial"/>
          <w:color w:val="222222"/>
          <w:szCs w:val="24"/>
        </w:rPr>
        <w:footnoteReference w:id="64"/>
      </w:r>
      <w:r>
        <w:rPr>
          <w:rFonts w:cs="Arial"/>
          <w:color w:val="222222"/>
          <w:szCs w:val="24"/>
        </w:rPr>
        <w:t>, která by měla být uznána jako taková</w:t>
      </w:r>
      <w:r w:rsidR="00A72327">
        <w:rPr>
          <w:rFonts w:cs="Arial"/>
          <w:color w:val="222222"/>
          <w:szCs w:val="24"/>
        </w:rPr>
        <w:t>,</w:t>
      </w:r>
      <w:r>
        <w:rPr>
          <w:rFonts w:cs="Arial"/>
          <w:color w:val="222222"/>
          <w:szCs w:val="24"/>
        </w:rPr>
        <w:t xml:space="preserve"> a měla by mít všechny procesní záruky, které evropské právo poskytuje, společně s možností </w:t>
      </w:r>
      <w:r>
        <w:rPr>
          <w:rFonts w:cs="Arial"/>
          <w:color w:val="222222"/>
          <w:szCs w:val="24"/>
        </w:rPr>
        <w:lastRenderedPageBreak/>
        <w:t>přístupu ke spisu v souladu s právem na dobrou správu vycházející z</w:t>
      </w:r>
      <w:r w:rsidR="00C00411">
        <w:rPr>
          <w:rFonts w:cs="Arial"/>
          <w:color w:val="222222"/>
          <w:szCs w:val="24"/>
        </w:rPr>
        <w:t> Chart</w:t>
      </w:r>
      <w:r w:rsidR="00EE6A31">
        <w:rPr>
          <w:rFonts w:cs="Arial"/>
          <w:color w:val="222222"/>
          <w:szCs w:val="24"/>
        </w:rPr>
        <w:t>y</w:t>
      </w:r>
      <w:r w:rsidR="00C00411">
        <w:rPr>
          <w:rFonts w:cs="Arial"/>
          <w:color w:val="222222"/>
          <w:szCs w:val="24"/>
        </w:rPr>
        <w:t xml:space="preserve"> základních práv EU</w:t>
      </w:r>
      <w:r>
        <w:rPr>
          <w:rFonts w:cs="Arial"/>
          <w:color w:val="222222"/>
          <w:szCs w:val="24"/>
        </w:rPr>
        <w:t>. Komise je zde prezentována jako arbitr mezi dvěma stranami, což je naprosto v rozporu s teorií zastávanou Soud</w:t>
      </w:r>
      <w:r w:rsidR="00A72327">
        <w:rPr>
          <w:rFonts w:cs="Arial"/>
          <w:color w:val="222222"/>
          <w:szCs w:val="24"/>
        </w:rPr>
        <w:t>ním dvorem a</w:t>
      </w:r>
      <w:r>
        <w:rPr>
          <w:rFonts w:cs="Arial"/>
          <w:color w:val="222222"/>
          <w:szCs w:val="24"/>
        </w:rPr>
        <w:t xml:space="preserve"> Komisí o</w:t>
      </w:r>
      <w:r w:rsidR="00A72327">
        <w:rPr>
          <w:rFonts w:cs="Arial"/>
          <w:color w:val="222222"/>
          <w:szCs w:val="24"/>
        </w:rPr>
        <w:t> </w:t>
      </w:r>
      <w:r>
        <w:rPr>
          <w:rFonts w:cs="Arial"/>
          <w:color w:val="222222"/>
          <w:szCs w:val="24"/>
        </w:rPr>
        <w:t>bilaterální povaze řízení, kde jsou stranami pouze Komise a členský stát. Vzhledem k evidentní potřebě efektivního řízení a také potřebě, aby Komise zachovala účinnou kontrolu rozhodnutí, je nutné se zamyslet nad tím, jak velkou šanci na úspěch tato teorie má. Je nutné si</w:t>
      </w:r>
      <w:r w:rsidR="00A37166">
        <w:rPr>
          <w:rFonts w:cs="Arial"/>
          <w:color w:val="222222"/>
          <w:szCs w:val="24"/>
        </w:rPr>
        <w:t> </w:t>
      </w:r>
      <w:r>
        <w:rPr>
          <w:rFonts w:cs="Arial"/>
          <w:color w:val="222222"/>
          <w:szCs w:val="24"/>
        </w:rPr>
        <w:t>uvědomit, že jednotlivci si sami vyberou pozici stěžovatele a jejich zájem hájit právní stát je obvykle produktem soukromého zájmu, i když v některých případech se</w:t>
      </w:r>
      <w:r w:rsidR="00A37166">
        <w:rPr>
          <w:rFonts w:cs="Arial"/>
          <w:color w:val="222222"/>
          <w:szCs w:val="24"/>
        </w:rPr>
        <w:t> </w:t>
      </w:r>
      <w:r>
        <w:rPr>
          <w:rFonts w:cs="Arial"/>
          <w:color w:val="222222"/>
          <w:szCs w:val="24"/>
        </w:rPr>
        <w:t>může silnou měrou připojit i zájem veřejný.</w:t>
      </w:r>
      <w:r>
        <w:rPr>
          <w:rStyle w:val="Znakapoznpodarou"/>
          <w:rFonts w:cs="Arial"/>
          <w:color w:val="222222"/>
          <w:szCs w:val="24"/>
        </w:rPr>
        <w:footnoteReference w:id="65"/>
      </w:r>
    </w:p>
    <w:p w:rsidR="00EE65B0" w:rsidRDefault="00EE65B0" w:rsidP="00B25500">
      <w:pPr>
        <w:rPr>
          <w:b/>
        </w:rPr>
      </w:pPr>
    </w:p>
    <w:p w:rsidR="005803ED" w:rsidRPr="00027A0C" w:rsidRDefault="005803ED" w:rsidP="00027A0C">
      <w:pPr>
        <w:pStyle w:val="Nadpis2"/>
      </w:pPr>
      <w:bookmarkStart w:id="16" w:name="_Toc398901329"/>
      <w:bookmarkStart w:id="17" w:name="_Toc399171079"/>
      <w:r w:rsidRPr="00027A0C">
        <w:t>4.2. Neformální vyjednávání</w:t>
      </w:r>
      <w:bookmarkEnd w:id="16"/>
      <w:bookmarkEnd w:id="17"/>
    </w:p>
    <w:p w:rsidR="00256734" w:rsidRDefault="00081765" w:rsidP="008E1086">
      <w:r>
        <w:tab/>
      </w:r>
      <w:r w:rsidR="00536EB0">
        <w:t>Pokud se Komise domnívá, že některý z členských států porušil svoji povinnost vyplývající z </w:t>
      </w:r>
      <w:r w:rsidR="00520A0F">
        <w:t>unijního</w:t>
      </w:r>
      <w:r w:rsidR="00536EB0">
        <w:t xml:space="preserve"> </w:t>
      </w:r>
      <w:r w:rsidR="00520A0F">
        <w:t>práva</w:t>
      </w:r>
      <w:r w:rsidR="00536EB0">
        <w:t xml:space="preserve"> a p</w:t>
      </w:r>
      <w:r>
        <w:t xml:space="preserve">ředtím než vůbec začnou jakákoliv formální jednání mezi členským státem a institucemi EU, předchází jim zpravidla fáze neformální. </w:t>
      </w:r>
      <w:r w:rsidR="00F139AF">
        <w:t>Někdy bývá tato část řízení nazývána</w:t>
      </w:r>
      <w:r w:rsidR="00A15F1D">
        <w:t xml:space="preserve"> také</w:t>
      </w:r>
      <w:r w:rsidR="00F139AF">
        <w:t xml:space="preserve"> jako „pre-169“.  </w:t>
      </w:r>
      <w:r>
        <w:t>Tato fáze má podobu určitého diplomatické</w:t>
      </w:r>
      <w:r w:rsidR="00F139AF">
        <w:t>ho</w:t>
      </w:r>
      <w:r>
        <w:t xml:space="preserve"> vyjednání mezi </w:t>
      </w:r>
      <w:r w:rsidR="00F139AF">
        <w:t>K</w:t>
      </w:r>
      <w:r>
        <w:t>omisí a členským státem, která slouží k předběžnému vyjasnění situace a zjištění skutkového stavu.</w:t>
      </w:r>
      <w:r w:rsidR="00256734">
        <w:rPr>
          <w:rStyle w:val="Znakapoznpodarou"/>
        </w:rPr>
        <w:footnoteReference w:id="66"/>
      </w:r>
      <w:r w:rsidR="00F139AF">
        <w:t xml:space="preserve"> </w:t>
      </w:r>
    </w:p>
    <w:p w:rsidR="00A15F1D" w:rsidRDefault="00256734" w:rsidP="008E1086">
      <w:r>
        <w:tab/>
        <w:t xml:space="preserve">Tento zvláštní konzultační mechanismus </w:t>
      </w:r>
      <w:r w:rsidR="00A15F1D">
        <w:t xml:space="preserve">mezi Komisí a členskými státy (také nazývaný „EU pilot“) </w:t>
      </w:r>
      <w:r>
        <w:t>v rámci řízení však nefunguje příliš dlouho. Komise jej zavedla teprve v roce 2008 na</w:t>
      </w:r>
      <w:r w:rsidR="00A15F1D">
        <w:t> </w:t>
      </w:r>
      <w:r>
        <w:t>podnět Evropského parlamentu</w:t>
      </w:r>
      <w:r w:rsidR="00A15F1D">
        <w:t xml:space="preserve"> pro řešení věcných porušení unijního práva. Tento mechanismus je systematicky využíván pro téměř všechny případy namítaného věcného porušení, s výjimkou urgentních případů, kde Komise sleduje zvláštní zájem a rovnou zahájí formální jednání.</w:t>
      </w:r>
      <w:r w:rsidR="00A15F1D">
        <w:rPr>
          <w:rStyle w:val="Znakapoznpodarou"/>
        </w:rPr>
        <w:footnoteReference w:id="67"/>
      </w:r>
    </w:p>
    <w:p w:rsidR="00256734" w:rsidRDefault="00A15F1D" w:rsidP="008E1086">
      <w:r>
        <w:tab/>
        <w:t>Komise s členským státem komunikuje prostřednictvím internetové databáze, kde má každý případ vytvořenou svoji složku s číslem případu. Členský stát dostane od Komise většinou desetitýdenní lhůtu na to, aby se vyjádřil k</w:t>
      </w:r>
      <w:r w:rsidR="006A2627">
        <w:t> upozornění Komise na možné porušení unijního práva v určité oblasti. Za členský stát jedná s Komisí jedno ústřední kontaktní místo („</w:t>
      </w:r>
      <w:proofErr w:type="spellStart"/>
      <w:r w:rsidR="006A2627">
        <w:t>central</w:t>
      </w:r>
      <w:proofErr w:type="spellEnd"/>
      <w:r w:rsidR="006A2627">
        <w:t xml:space="preserve"> </w:t>
      </w:r>
      <w:proofErr w:type="spellStart"/>
      <w:r w:rsidR="006A2627">
        <w:t>contact</w:t>
      </w:r>
      <w:proofErr w:type="spellEnd"/>
      <w:r w:rsidR="006A2627">
        <w:t xml:space="preserve"> point“).</w:t>
      </w:r>
      <w:r w:rsidR="00D821FE">
        <w:rPr>
          <w:rStyle w:val="Znakapoznpodarou"/>
        </w:rPr>
        <w:footnoteReference w:id="68"/>
      </w:r>
      <w:r w:rsidR="006A2627">
        <w:t xml:space="preserve"> Pokud Komise akceptuje návrh řešení problému navržený členským státem, šetření zastaví. Může jít například </w:t>
      </w:r>
      <w:r w:rsidR="006A2627">
        <w:lastRenderedPageBreak/>
        <w:t>o změnu právního předpisu či o změnu chybné praxe. V opačném případě může Komise zahájit formální fázi řízení o porušení. Z praxe víme, že zhruba 80% případů se podaří vyřešit již v této neformální fázi a není tak potřeba k formálnímu řízení vůbec přistupovat.</w:t>
      </w:r>
      <w:r w:rsidR="006A2627">
        <w:rPr>
          <w:rStyle w:val="Znakapoznpodarou"/>
        </w:rPr>
        <w:footnoteReference w:id="69"/>
      </w:r>
      <w:r w:rsidR="006A2627">
        <w:t xml:space="preserve">   </w:t>
      </w:r>
      <w:r>
        <w:t xml:space="preserve">    </w:t>
      </w:r>
      <w:r w:rsidR="00256734">
        <w:t xml:space="preserve"> </w:t>
      </w:r>
    </w:p>
    <w:p w:rsidR="00256734" w:rsidRDefault="00F139AF" w:rsidP="00256734">
      <w:pPr>
        <w:ind w:firstLine="708"/>
      </w:pPr>
      <w:r>
        <w:t xml:space="preserve">Specifické na této části je rovněž to, že nenalezneme její výslovnou právní úpravu nikde ve Smlouvách a Komise tak tuto aktivitu zakládá jen na její obecné povinnosti „být strážkyní Smluv“. Právě díky této neformálnosti má v této </w:t>
      </w:r>
      <w:proofErr w:type="spellStart"/>
      <w:r>
        <w:t>předadministrativní</w:t>
      </w:r>
      <w:proofErr w:type="spellEnd"/>
      <w:r>
        <w:t xml:space="preserve"> fázi Komise značnou míru volnosti v jejím uplatňování. Důkazem toho může být například prohlášení Komise, že pokud dojde k situaci, kdy členský stát nenotifikuje provedení směrnice do svého vnitrostátního právního řádu, Komise neformální fázi přeskočí a</w:t>
      </w:r>
      <w:r w:rsidR="009C31EC">
        <w:t> </w:t>
      </w:r>
      <w:r>
        <w:t>rovnou členskému státu zašle upomínací dopis</w:t>
      </w:r>
      <w:r w:rsidR="00D849EE">
        <w:t>,</w:t>
      </w:r>
      <w:r>
        <w:t xml:space="preserve"> čímž přímo zahájí administrativní fázi řízení.</w:t>
      </w:r>
      <w:r w:rsidR="00E76097">
        <w:rPr>
          <w:rStyle w:val="Znakapoznpodarou"/>
        </w:rPr>
        <w:footnoteReference w:id="70"/>
      </w:r>
    </w:p>
    <w:p w:rsidR="00F139AF" w:rsidRDefault="00833827" w:rsidP="00256734">
      <w:pPr>
        <w:ind w:firstLine="708"/>
      </w:pPr>
      <w:r>
        <w:t>Cílem této někdy i několikaměsíční komunikace je vyjasnění si, kde Komise spatřuje problém. Ve výsledku by se měly eliminovat nejasnosti, což může vést i</w:t>
      </w:r>
      <w:r w:rsidR="007319AA">
        <w:t> </w:t>
      </w:r>
      <w:r>
        <w:t>k závěru, že k žádnému porušení ze strany členského státu nakonec nedošlo nebo že náprava bude zcela jistě sjednána v dohledné době</w:t>
      </w:r>
      <w:r w:rsidR="00520A0F">
        <w:t xml:space="preserve"> (jak řečeno výše)</w:t>
      </w:r>
      <w:r>
        <w:t>. Nyní ještě nemůžeme hovořit o správním řízení ve vlastním smyslu slova, jelikož se prozatím jedná pouze o jeho přípravu.</w:t>
      </w:r>
      <w:r>
        <w:rPr>
          <w:rStyle w:val="Znakapoznpodarou"/>
        </w:rPr>
        <w:footnoteReference w:id="71"/>
      </w:r>
      <w:r>
        <w:t xml:space="preserve"> </w:t>
      </w:r>
      <w:r w:rsidR="00F139AF">
        <w:t xml:space="preserve">    </w:t>
      </w:r>
    </w:p>
    <w:p w:rsidR="008E1086" w:rsidRPr="008E1086" w:rsidRDefault="00F139AF" w:rsidP="008E1086">
      <w:r>
        <w:t xml:space="preserve"> </w:t>
      </w:r>
      <w:r w:rsidR="00081765">
        <w:t xml:space="preserve">  </w:t>
      </w:r>
    </w:p>
    <w:p w:rsidR="008E7033" w:rsidRPr="00027A0C" w:rsidRDefault="000E44C3" w:rsidP="00027A0C">
      <w:pPr>
        <w:pStyle w:val="Nadpis2"/>
      </w:pPr>
      <w:bookmarkStart w:id="18" w:name="_Toc398901330"/>
      <w:bookmarkStart w:id="19" w:name="_Toc399171080"/>
      <w:r w:rsidRPr="00027A0C">
        <w:t>4</w:t>
      </w:r>
      <w:r w:rsidR="008E7033" w:rsidRPr="00027A0C">
        <w:t>.</w:t>
      </w:r>
      <w:r w:rsidR="005803ED" w:rsidRPr="00027A0C">
        <w:t>3</w:t>
      </w:r>
      <w:r w:rsidR="008E7033" w:rsidRPr="00027A0C">
        <w:t>. Administrativní fáze</w:t>
      </w:r>
      <w:bookmarkEnd w:id="18"/>
      <w:bookmarkEnd w:id="19"/>
    </w:p>
    <w:p w:rsidR="00E94D54" w:rsidRDefault="00536EB0" w:rsidP="00536EB0">
      <w:r>
        <w:tab/>
        <w:t>Z neformálního vyjednáv</w:t>
      </w:r>
      <w:r w:rsidR="00520A0F">
        <w:t>ání mezi Komisí</w:t>
      </w:r>
      <w:r>
        <w:t xml:space="preserve"> a členským státem se nyní dostáváme již k formální částí ří</w:t>
      </w:r>
      <w:r w:rsidR="00D14DEB">
        <w:t>zení, tzv. administrativní fázi</w:t>
      </w:r>
      <w:r>
        <w:t xml:space="preserve">, kterou iniciuje Komise na základě článku </w:t>
      </w:r>
      <w:r w:rsidR="00E76097">
        <w:t>258 SFEU. Jak již bylo zmíněno výše, tato fáze je</w:t>
      </w:r>
      <w:r w:rsidR="00A37166">
        <w:t> </w:t>
      </w:r>
      <w:r w:rsidR="00E76097">
        <w:t xml:space="preserve">formálně zahájena okamžikem, kdy Komise zašle členskému státu </w:t>
      </w:r>
      <w:r w:rsidR="00B873A8">
        <w:t>„</w:t>
      </w:r>
      <w:r w:rsidR="00E76097" w:rsidRPr="009C11A3">
        <w:t>upomínací dopis</w:t>
      </w:r>
      <w:r w:rsidR="00B873A8" w:rsidRPr="009C11A3">
        <w:t>“</w:t>
      </w:r>
      <w:r w:rsidR="00E76097">
        <w:t xml:space="preserve">, </w:t>
      </w:r>
      <w:r w:rsidR="00B873A8">
        <w:t>(</w:t>
      </w:r>
      <w:r w:rsidR="001F1B76">
        <w:t xml:space="preserve">„formální upozornění“, </w:t>
      </w:r>
      <w:r w:rsidR="00E76097">
        <w:t>„</w:t>
      </w:r>
      <w:proofErr w:type="spellStart"/>
      <w:r w:rsidR="00E76097">
        <w:t>letter</w:t>
      </w:r>
      <w:proofErr w:type="spellEnd"/>
      <w:r w:rsidR="00E76097">
        <w:t xml:space="preserve"> </w:t>
      </w:r>
      <w:proofErr w:type="spellStart"/>
      <w:r w:rsidR="00E76097">
        <w:t>of</w:t>
      </w:r>
      <w:proofErr w:type="spellEnd"/>
      <w:r w:rsidR="00E76097">
        <w:t xml:space="preserve"> </w:t>
      </w:r>
      <w:proofErr w:type="spellStart"/>
      <w:r w:rsidR="00E76097">
        <w:t>formal</w:t>
      </w:r>
      <w:proofErr w:type="spellEnd"/>
      <w:r w:rsidR="00E76097">
        <w:t xml:space="preserve"> </w:t>
      </w:r>
      <w:proofErr w:type="spellStart"/>
      <w:r w:rsidR="00E76097">
        <w:t>notice</w:t>
      </w:r>
      <w:proofErr w:type="spellEnd"/>
      <w:r w:rsidR="00E76097">
        <w:t>“ či podle starého číslování Smluv „dopis 169“</w:t>
      </w:r>
      <w:r w:rsidR="00B873A8">
        <w:t>)</w:t>
      </w:r>
      <w:r w:rsidR="00E76097">
        <w:t>. V</w:t>
      </w:r>
      <w:r w:rsidR="009C31EC">
        <w:t> </w:t>
      </w:r>
      <w:r w:rsidR="00E76097">
        <w:t xml:space="preserve">tomto dopise </w:t>
      </w:r>
      <w:r w:rsidR="00A93A9C">
        <w:t>je h</w:t>
      </w:r>
      <w:r w:rsidR="002439D8">
        <w:t>lavním úkolem definovat rámec podání vůči členskému státu.</w:t>
      </w:r>
      <w:r w:rsidR="002439D8">
        <w:rPr>
          <w:rStyle w:val="Znakapoznpodarou"/>
        </w:rPr>
        <w:footnoteReference w:id="72"/>
      </w:r>
      <w:r w:rsidR="002439D8">
        <w:t xml:space="preserve"> </w:t>
      </w:r>
      <w:r w:rsidR="00A246C4">
        <w:t xml:space="preserve">Zde má tedy Komise povinnost dát státu prostor k vyjádření </w:t>
      </w:r>
      <w:r w:rsidR="00E94D54">
        <w:t>se. J</w:t>
      </w:r>
      <w:r w:rsidR="00A246C4">
        <w:t>e</w:t>
      </w:r>
      <w:r w:rsidR="00E94D54">
        <w:t xml:space="preserve"> </w:t>
      </w:r>
      <w:r w:rsidR="00A246C4">
        <w:t xml:space="preserve">samozřejmé, že se v průběhu řízení mohou objevit některé další skutečnosti, jež povedou k jinému vyhodnocení skutkového stavu. Je proto nezbytné vycházet z faktu, že </w:t>
      </w:r>
      <w:r w:rsidR="00E94D54">
        <w:t xml:space="preserve">konečný závěr Komise je vysloven až v odůvodněném stanovisku, nikoliv </w:t>
      </w:r>
      <w:r w:rsidR="00E94D54">
        <w:lastRenderedPageBreak/>
        <w:t>dříve. Avšak pokud jde o případ, kde je porušení zcela zjevné nebo vážné, může Komise tuto předběžnou fázi úplně vynechat.</w:t>
      </w:r>
      <w:r w:rsidR="00A246C4">
        <w:rPr>
          <w:rStyle w:val="Znakapoznpodarou"/>
        </w:rPr>
        <w:footnoteReference w:id="73"/>
      </w:r>
    </w:p>
    <w:p w:rsidR="00B873A8" w:rsidRDefault="00E94D54" w:rsidP="00536EB0">
      <w:r>
        <w:tab/>
        <w:t>Členský stát může ve svém vyjádření reagovat mnohými způsoby. Jednak se</w:t>
      </w:r>
      <w:r w:rsidR="007319AA">
        <w:t> </w:t>
      </w:r>
      <w:r>
        <w:t>může buď pokusit úplně přesvědčit Komisi, že se v tomto případě o žádné porušení povinnosti nejedná nebo, že k takovému porušení je stát oprávněn třeba z důvodu ochrany životního prostředí. Také je možné se odkázat na to, že náprava vadného stavu bude neprodleně sjednána, jelikož je např. návrh odpovídajícího zákona již projednáván parlamentem.</w:t>
      </w:r>
      <w:r>
        <w:rPr>
          <w:rStyle w:val="Znakapoznpodarou"/>
        </w:rPr>
        <w:footnoteReference w:id="74"/>
      </w:r>
      <w:r>
        <w:tab/>
      </w:r>
      <w:r w:rsidR="00E76097">
        <w:t xml:space="preserve"> </w:t>
      </w:r>
    </w:p>
    <w:p w:rsidR="00C956BB" w:rsidRDefault="00B873A8" w:rsidP="00536EB0">
      <w:r>
        <w:tab/>
        <w:t>Komise vyčká na to, jak členský stát zareaguje a pokud jeho reakce pro ni</w:t>
      </w:r>
      <w:r w:rsidR="00A37166">
        <w:t> </w:t>
      </w:r>
      <w:r>
        <w:t xml:space="preserve">nebude dostatečně uspokojivá, </w:t>
      </w:r>
      <w:r w:rsidR="00A72327">
        <w:t xml:space="preserve">má </w:t>
      </w:r>
      <w:r>
        <w:t>poté možnost využít institutu „</w:t>
      </w:r>
      <w:r w:rsidRPr="005164C2">
        <w:t>odůvodněné</w:t>
      </w:r>
      <w:r w:rsidR="00A72327" w:rsidRPr="005164C2">
        <w:t>ho</w:t>
      </w:r>
      <w:r w:rsidRPr="005164C2">
        <w:t xml:space="preserve"> stanovisk</w:t>
      </w:r>
      <w:r w:rsidR="00A72327" w:rsidRPr="005164C2">
        <w:t>a</w:t>
      </w:r>
      <w:r>
        <w:t>“ („</w:t>
      </w:r>
      <w:proofErr w:type="spellStart"/>
      <w:r>
        <w:t>concerned</w:t>
      </w:r>
      <w:proofErr w:type="spellEnd"/>
      <w:r>
        <w:t xml:space="preserve"> </w:t>
      </w:r>
      <w:proofErr w:type="spellStart"/>
      <w:r>
        <w:t>opinion</w:t>
      </w:r>
      <w:proofErr w:type="spellEnd"/>
      <w:r>
        <w:t xml:space="preserve">“). </w:t>
      </w:r>
      <w:r w:rsidR="00471A82">
        <w:t>Zde již Komise oficiálně vymezí</w:t>
      </w:r>
      <w:r w:rsidR="00A93A9C">
        <w:t xml:space="preserve"> a popíše jednání, v němž spatřuje ne</w:t>
      </w:r>
      <w:r w:rsidR="005D430D">
        <w:t>soulad s evropským právem</w:t>
      </w:r>
      <w:r w:rsidR="00B32671">
        <w:t>. Musí ho rovněž dostatečně odůvodnit, což znamená použít skutkové</w:t>
      </w:r>
      <w:r w:rsidR="00A72327">
        <w:rPr>
          <w:rStyle w:val="Znakapoznpodarou"/>
        </w:rPr>
        <w:footnoteReference w:id="75"/>
      </w:r>
      <w:r w:rsidR="002439D8">
        <w:t xml:space="preserve"> </w:t>
      </w:r>
      <w:r w:rsidR="00B32671">
        <w:t xml:space="preserve">a právní argumenty ukazující na porušení práva. </w:t>
      </w:r>
      <w:r w:rsidR="005D430D">
        <w:t xml:space="preserve">Dále </w:t>
      </w:r>
      <w:r w:rsidR="00B32671">
        <w:t>uvede</w:t>
      </w:r>
      <w:r w:rsidR="005D430D">
        <w:t xml:space="preserve"> Komise opatření</w:t>
      </w:r>
      <w:r w:rsidR="00B32671">
        <w:t xml:space="preserve"> k nápravě, která považuje za nutné pro ukončení protiprávního stavu</w:t>
      </w:r>
      <w:r w:rsidR="000438FF">
        <w:rPr>
          <w:rStyle w:val="Znakapoznpodarou"/>
        </w:rPr>
        <w:footnoteReference w:id="76"/>
      </w:r>
      <w:r w:rsidR="00B32671">
        <w:t xml:space="preserve">. </w:t>
      </w:r>
      <w:r>
        <w:t xml:space="preserve"> </w:t>
      </w:r>
      <w:r w:rsidR="00B32671">
        <w:t>Na konec</w:t>
      </w:r>
      <w:r w:rsidR="009C31EC">
        <w:t> </w:t>
      </w:r>
      <w:r w:rsidR="005D430D">
        <w:t xml:space="preserve">stanoví </w:t>
      </w:r>
      <w:r>
        <w:t>lhůtu</w:t>
      </w:r>
      <w:r w:rsidR="00B32671">
        <w:t xml:space="preserve"> zpravidla 2 měsíce</w:t>
      </w:r>
      <w:r>
        <w:t>,</w:t>
      </w:r>
      <w:r w:rsidR="00A93A9C">
        <w:t xml:space="preserve"> která musí být přiměřená okolnostem případu a do které musí členský stát</w:t>
      </w:r>
      <w:r>
        <w:t xml:space="preserve"> závadný stav napravit.</w:t>
      </w:r>
      <w:r w:rsidR="00B32671">
        <w:rPr>
          <w:rStyle w:val="Znakapoznpodarou"/>
        </w:rPr>
        <w:footnoteReference w:id="77"/>
      </w:r>
      <w:r w:rsidR="005D430D">
        <w:t xml:space="preserve"> Stav porušení ke dni uplynutí této lhůty je rozhodný pro soudní přezkum.</w:t>
      </w:r>
      <w:r w:rsidR="005D430D">
        <w:rPr>
          <w:rStyle w:val="Znakapoznpodarou"/>
        </w:rPr>
        <w:footnoteReference w:id="78"/>
      </w:r>
      <w:r w:rsidR="005D430D">
        <w:t xml:space="preserve"> </w:t>
      </w:r>
    </w:p>
    <w:p w:rsidR="00844C69" w:rsidRDefault="00C956BB" w:rsidP="00536EB0">
      <w:r>
        <w:tab/>
        <w:t>Tato fáze bývá často kritizována za svoji netransparentnost a nepřiměřeně velké uvážení Komise.</w:t>
      </w:r>
      <w:r w:rsidR="00A72327">
        <w:t xml:space="preserve"> </w:t>
      </w:r>
      <w:r w:rsidR="00091835">
        <w:t>Je důležité si uvědomit, že je zcela v dispozici Komise, zda se</w:t>
      </w:r>
      <w:r w:rsidR="00E77B6F">
        <w:t> </w:t>
      </w:r>
      <w:r w:rsidR="00091835">
        <w:t>rozhodne zahájit administrativní fázi řízení a začne porušení povinnosti členského státu řešit, nebo zda řízení vůbec nezahájí. K této problematice měl již několikrát možnost vyjádřit se i Soudní dvůr, který opakovaně konstatuje, že Komise nemá žádnou povinnost řízení na podněty jednotlivců či států zahájit.</w:t>
      </w:r>
      <w:r w:rsidR="00A00889">
        <w:rPr>
          <w:rStyle w:val="Znakapoznpodarou"/>
        </w:rPr>
        <w:footnoteReference w:id="79"/>
      </w:r>
      <w:r w:rsidR="009C11A3">
        <w:t xml:space="preserve"> Jako příklad takové judikatury si můžeme uvést případ 247/87 Star </w:t>
      </w:r>
      <w:proofErr w:type="spellStart"/>
      <w:r w:rsidR="009C11A3">
        <w:t>Fruit</w:t>
      </w:r>
      <w:proofErr w:type="spellEnd"/>
      <w:r w:rsidR="009C11A3">
        <w:t xml:space="preserve"> v. Komise</w:t>
      </w:r>
      <w:r w:rsidR="005164C2">
        <w:rPr>
          <w:rStyle w:val="Znakapoznpodarou"/>
        </w:rPr>
        <w:footnoteReference w:id="80"/>
      </w:r>
      <w:r w:rsidR="009C11A3">
        <w:t xml:space="preserve"> nebo T-182/97 </w:t>
      </w:r>
      <w:proofErr w:type="spellStart"/>
      <w:r w:rsidR="009C11A3">
        <w:t>Smanor</w:t>
      </w:r>
      <w:proofErr w:type="spellEnd"/>
      <w:r w:rsidR="009C11A3">
        <w:t xml:space="preserve"> v. </w:t>
      </w:r>
      <w:r w:rsidR="005164C2">
        <w:t>Komise</w:t>
      </w:r>
      <w:r w:rsidR="005164C2">
        <w:rPr>
          <w:rStyle w:val="Znakapoznpodarou"/>
        </w:rPr>
        <w:footnoteReference w:id="81"/>
      </w:r>
      <w:r w:rsidR="009C11A3" w:rsidRPr="009C11A3">
        <w:t xml:space="preserve">. </w:t>
      </w:r>
      <w:r w:rsidR="009C11A3">
        <w:t xml:space="preserve"> </w:t>
      </w:r>
      <w:r w:rsidR="00091835">
        <w:t xml:space="preserve"> </w:t>
      </w:r>
    </w:p>
    <w:p w:rsidR="001F1B76" w:rsidRDefault="00B91F4D" w:rsidP="00536EB0">
      <w:r>
        <w:lastRenderedPageBreak/>
        <w:tab/>
        <w:t>Jak už je řečeno výše, specifikum nalezneme u nenotifikačních řízení, která bývají zahajována automaticky až formálním upozorněním, a to jen na základě informací z databáze Komise, přes kterou oznamování transpozičních předpisů probíhá.</w:t>
      </w:r>
      <w:r w:rsidR="00A00889">
        <w:rPr>
          <w:rStyle w:val="Znakapoznpodarou"/>
        </w:rPr>
        <w:footnoteReference w:id="82"/>
      </w:r>
      <w:r>
        <w:t xml:space="preserve"> </w:t>
      </w:r>
    </w:p>
    <w:p w:rsidR="00B91F4D" w:rsidRDefault="001F1B76" w:rsidP="00536EB0">
      <w:r>
        <w:tab/>
        <w:t>O zahájení řízení a o jeho posunu do dalších fází rozhoduje kolegium komisařů na základě podkladů připravených jednotlivými generálními ředitelstvími (</w:t>
      </w:r>
      <w:proofErr w:type="spellStart"/>
      <w:r w:rsidRPr="001F1B76">
        <w:t>Directorates</w:t>
      </w:r>
      <w:proofErr w:type="spellEnd"/>
      <w:r w:rsidRPr="001F1B76">
        <w:t xml:space="preserve"> </w:t>
      </w:r>
      <w:proofErr w:type="spellStart"/>
      <w:r w:rsidRPr="001F1B76">
        <w:t>General</w:t>
      </w:r>
      <w:proofErr w:type="spellEnd"/>
      <w:r w:rsidRPr="001F1B76">
        <w:t>; DG</w:t>
      </w:r>
      <w:r>
        <w:t>´</w:t>
      </w:r>
      <w:r w:rsidRPr="001F1B76">
        <w:t>s)</w:t>
      </w:r>
      <w:r>
        <w:t xml:space="preserve">, přičemž obvykle rozhoduje jedenkrát za měsíc. Výjimkou je nenotifikační řízení, kde o zaslání formálního upozornění rozhodují jednotliví komisaři. I přesto o posunu do dalších fází i v těchto případech rozhoduje již celé kolegium.   </w:t>
      </w:r>
      <w:r w:rsidR="00B91F4D">
        <w:t xml:space="preserve">    </w:t>
      </w:r>
    </w:p>
    <w:p w:rsidR="00D360A1" w:rsidRDefault="00844C69" w:rsidP="00536EB0">
      <w:r>
        <w:tab/>
        <w:t>Proběhnutí administrativní fáze a vydání odůvodněného stanoviska je</w:t>
      </w:r>
      <w:r w:rsidR="004D07CE">
        <w:t> </w:t>
      </w:r>
      <w:r>
        <w:t xml:space="preserve">podmínkou toho, aby mohla </w:t>
      </w:r>
      <w:r w:rsidR="006A2627">
        <w:t>K</w:t>
      </w:r>
      <w:r>
        <w:t>omise podat dozorčí žalobu. Podstatné je také to, že</w:t>
      </w:r>
      <w:r w:rsidR="00A37166">
        <w:t> </w:t>
      </w:r>
      <w:r>
        <w:t>dozorčí žaloba může vymezovat porušení povinností jen těch, které byly již uvedeny v</w:t>
      </w:r>
      <w:r w:rsidR="006A2627">
        <w:t> odůvodněném stanovisku, tudíž K</w:t>
      </w:r>
      <w:r>
        <w:t>omise nemůže později žalobu rozšiřovat o nová porušení. A co víc, odůvodněné stanovisko musí obsahovat pouze ta</w:t>
      </w:r>
      <w:r w:rsidR="00A37166">
        <w:t> </w:t>
      </w:r>
      <w:r>
        <w:t>porušení, která obsahoval již upomínací dopis.</w:t>
      </w:r>
      <w:r w:rsidR="00A93A9C">
        <w:rPr>
          <w:rStyle w:val="Znakapoznpodarou"/>
        </w:rPr>
        <w:footnoteReference w:id="83"/>
      </w:r>
      <w:r>
        <w:t xml:space="preserve"> Je tedy velmi důležité, aby si</w:t>
      </w:r>
      <w:r w:rsidR="00A37166">
        <w:t> </w:t>
      </w:r>
      <w:r w:rsidR="00D8254F">
        <w:t>K</w:t>
      </w:r>
      <w:r>
        <w:t xml:space="preserve">omise již </w:t>
      </w:r>
      <w:r w:rsidR="00D8254F">
        <w:t>n</w:t>
      </w:r>
      <w:r>
        <w:t>a začátku celého řízení velmi dobře rozmyslela, která všechna jednání a</w:t>
      </w:r>
      <w:r w:rsidR="00A37166">
        <w:t> </w:t>
      </w:r>
      <w:r>
        <w:t xml:space="preserve"> protiprávní stavy členskému státu vytkne, jelikož jí dále v řízení nebude umožněno </w:t>
      </w:r>
      <w:r w:rsidR="00A93A9C">
        <w:t>předmět řízení před Soudním dvorem měnit nebo rozšiřovat</w:t>
      </w:r>
      <w:r>
        <w:t>.</w:t>
      </w:r>
      <w:r w:rsidR="00A93A9C">
        <w:rPr>
          <w:rStyle w:val="Znakapoznpodarou"/>
        </w:rPr>
        <w:footnoteReference w:id="84"/>
      </w:r>
    </w:p>
    <w:p w:rsidR="002439D8" w:rsidRDefault="00D360A1" w:rsidP="00536EB0">
      <w:r>
        <w:tab/>
        <w:t>Může nastat však i situace, kdy Komise vydá odůvodněné stanovisko a stát ve</w:t>
      </w:r>
      <w:r w:rsidR="00757663">
        <w:t> </w:t>
      </w:r>
      <w:r>
        <w:t>stanovené lhůtě vadný stav</w:t>
      </w:r>
      <w:r w:rsidRPr="00D360A1">
        <w:t xml:space="preserve"> </w:t>
      </w:r>
      <w:r>
        <w:t xml:space="preserve">nenapraví, ale napraví jej až po uplynutí lhůty. </w:t>
      </w:r>
      <w:proofErr w:type="gramStart"/>
      <w:r>
        <w:t>V těchto</w:t>
      </w:r>
      <w:proofErr w:type="gramEnd"/>
      <w:r>
        <w:t xml:space="preserve"> případech je Komise rovněž oprávněna, přesto</w:t>
      </w:r>
      <w:r w:rsidR="002974E7">
        <w:t xml:space="preserve"> </w:t>
      </w:r>
      <w:r>
        <w:t>že k nápravě</w:t>
      </w:r>
      <w:r w:rsidRPr="00D360A1">
        <w:t xml:space="preserve"> </w:t>
      </w:r>
      <w:r>
        <w:t>došlo, řízení před Soudním dvorem zahájit</w:t>
      </w:r>
      <w:r w:rsidR="002974E7">
        <w:t xml:space="preserve">, což </w:t>
      </w:r>
      <w:r>
        <w:t>může vést</w:t>
      </w:r>
      <w:r w:rsidR="002974E7">
        <w:t xml:space="preserve"> v konečném důsledku</w:t>
      </w:r>
      <w:r>
        <w:t xml:space="preserve"> až v</w:t>
      </w:r>
      <w:r w:rsidR="002974E7">
        <w:t> </w:t>
      </w:r>
      <w:r>
        <w:t>případn</w:t>
      </w:r>
      <w:r w:rsidR="002974E7">
        <w:t xml:space="preserve">ý odsuzující </w:t>
      </w:r>
      <w:proofErr w:type="gramStart"/>
      <w:r w:rsidR="002974E7">
        <w:t>rozsudek</w:t>
      </w:r>
      <w:r>
        <w:t>.</w:t>
      </w:r>
      <w:proofErr w:type="gramEnd"/>
      <w:r>
        <w:t xml:space="preserve"> Kdyby tomu tak nebylo, hrozilo by zde nebezpečí zneužívání takové praxe, kdy by státy plnily své povinnosti, až by jim postih</w:t>
      </w:r>
      <w:r w:rsidRPr="00D360A1">
        <w:t xml:space="preserve"> </w:t>
      </w:r>
      <w:r>
        <w:t>bezprostředně hrozil.</w:t>
      </w:r>
      <w:r w:rsidR="00263735">
        <w:rPr>
          <w:rStyle w:val="Znakapoznpodarou"/>
        </w:rPr>
        <w:footnoteReference w:id="85"/>
      </w:r>
      <w:r>
        <w:t xml:space="preserve">     </w:t>
      </w:r>
      <w:r w:rsidR="00844C69">
        <w:t xml:space="preserve"> </w:t>
      </w:r>
    </w:p>
    <w:p w:rsidR="00E76097" w:rsidRDefault="00844C69" w:rsidP="002439D8">
      <w:pPr>
        <w:ind w:firstLine="708"/>
      </w:pPr>
      <w:r>
        <w:t xml:space="preserve">Také je velmi důležitá </w:t>
      </w:r>
      <w:r w:rsidR="00A72327">
        <w:t>dostatečná</w:t>
      </w:r>
      <w:r>
        <w:t xml:space="preserve"> specifikace pochybení státu a to z toho důvodu, aby mohl stát účinně na</w:t>
      </w:r>
      <w:r w:rsidR="00A37166">
        <w:t> </w:t>
      </w:r>
      <w:r>
        <w:t xml:space="preserve"> tvrzení Komise reagovat. Také musí být </w:t>
      </w:r>
      <w:r w:rsidR="00336297">
        <w:t xml:space="preserve">státům dána možnost vyjádřit se k námitkám Komise a na toto vyjádření jim musí být poskytnuta dostatečná lhůta. Primární právo nám však v tomto případě výslovně </w:t>
      </w:r>
      <w:r w:rsidR="00336297">
        <w:lastRenderedPageBreak/>
        <w:t xml:space="preserve">neříká, jak dlouhá má lhůta být. Upomínací dopis ani odůvodněné stanovisko nejsou závaznými právními akty, tudíž není možné proti nim podat žalobu na neplatnost nebo žalobu na nečinnost, což Soudní dvůr konstatoval v rozhodnutí C-87/89 </w:t>
      </w:r>
      <w:proofErr w:type="spellStart"/>
      <w:r w:rsidR="009A657E">
        <w:t>Sonito</w:t>
      </w:r>
      <w:proofErr w:type="spellEnd"/>
      <w:r w:rsidR="009A657E">
        <w:t xml:space="preserve"> a další v. </w:t>
      </w:r>
      <w:r w:rsidR="00336297">
        <w:t>Komise.</w:t>
      </w:r>
      <w:r w:rsidR="005164C2">
        <w:rPr>
          <w:rStyle w:val="Znakapoznpodarou"/>
        </w:rPr>
        <w:footnoteReference w:id="86"/>
      </w:r>
      <w:r w:rsidR="00336297">
        <w:t xml:space="preserve"> </w:t>
      </w:r>
      <w:r w:rsidR="002439D8">
        <w:t xml:space="preserve">Můžeme zde však polemizovat o faktické závaznosti odůvodněného stanoviska, neboť při jeho nerespektování hrozí členskému státu podání žaloby k Soudnímu dvoru. </w:t>
      </w:r>
      <w:r w:rsidR="00336297">
        <w:t>Komise v této fáze také může, ale v žádném případě nemusí, naznačit či doporučit členskému státu, jaké jeho kroky považuje za</w:t>
      </w:r>
      <w:r w:rsidR="00757663">
        <w:t> </w:t>
      </w:r>
      <w:r w:rsidR="00336297">
        <w:t>nutné či vhodné k provedení nápravy. V 60. letech se o</w:t>
      </w:r>
      <w:r w:rsidR="005164C2">
        <w:t>bjevovaly</w:t>
      </w:r>
      <w:r w:rsidR="00336297">
        <w:t xml:space="preserve"> názory, že</w:t>
      </w:r>
      <w:r w:rsidR="004D07CE">
        <w:t> </w:t>
      </w:r>
      <w:r w:rsidR="00336297">
        <w:t xml:space="preserve">Komise má povinnost aktivně navrhovat řešení problémové situace označené v odůvodněném stanovisku. Soudní dvůr se však k tomuto názoru nepřipojil. Upomínací dopis ani odůvodněné stanovisko nejsou nikde zveřejňovány, avšak v poslední době Komise zavádí praxi, že </w:t>
      </w:r>
      <w:r w:rsidR="008B0705">
        <w:t>o odůvodněných stanoviscích informuje veřejnost alespoň formou tiskových prohlášení.</w:t>
      </w:r>
      <w:r w:rsidR="00CC5DB5">
        <w:rPr>
          <w:rStyle w:val="Znakapoznpodarou"/>
        </w:rPr>
        <w:footnoteReference w:id="87"/>
      </w:r>
      <w:r w:rsidR="00336297">
        <w:t xml:space="preserve">     </w:t>
      </w:r>
      <w:r>
        <w:t xml:space="preserve">   </w:t>
      </w:r>
      <w:r w:rsidR="00091835">
        <w:t xml:space="preserve">   </w:t>
      </w:r>
      <w:r w:rsidR="00B873A8">
        <w:t xml:space="preserve">  </w:t>
      </w:r>
      <w:r w:rsidR="00E76097">
        <w:t xml:space="preserve"> </w:t>
      </w:r>
    </w:p>
    <w:p w:rsidR="00536EB0" w:rsidRPr="00536EB0" w:rsidRDefault="00E76097" w:rsidP="00536EB0">
      <w:r>
        <w:t xml:space="preserve">    </w:t>
      </w:r>
      <w:r w:rsidR="00536EB0">
        <w:t xml:space="preserve"> </w:t>
      </w:r>
    </w:p>
    <w:p w:rsidR="008E7033" w:rsidRPr="00027A0C" w:rsidRDefault="000E44C3" w:rsidP="00027A0C">
      <w:pPr>
        <w:pStyle w:val="Nadpis2"/>
      </w:pPr>
      <w:bookmarkStart w:id="20" w:name="_Toc398901331"/>
      <w:bookmarkStart w:id="21" w:name="_Toc399171081"/>
      <w:r w:rsidRPr="00027A0C">
        <w:t>4</w:t>
      </w:r>
      <w:r w:rsidR="008E7033" w:rsidRPr="00027A0C">
        <w:t>.</w:t>
      </w:r>
      <w:r w:rsidR="005803ED" w:rsidRPr="00027A0C">
        <w:t>4</w:t>
      </w:r>
      <w:r w:rsidR="008E7033" w:rsidRPr="00027A0C">
        <w:t>. Soudní fáze</w:t>
      </w:r>
      <w:bookmarkEnd w:id="20"/>
      <w:bookmarkEnd w:id="21"/>
    </w:p>
    <w:p w:rsidR="00C15398" w:rsidRDefault="001A59B8" w:rsidP="00A45630">
      <w:r>
        <w:tab/>
      </w:r>
      <w:r w:rsidR="005F07D7">
        <w:t xml:space="preserve">Pokud ani po vydání odůvodněného stanoviska nedojde ze strany členského státu k nápravě, může Komise přistoupit k podání žaloby k Soudnímu dvoru. </w:t>
      </w:r>
      <w:r w:rsidR="00046A94">
        <w:t>Mimo jiné z článku 260</w:t>
      </w:r>
      <w:r w:rsidR="00310846">
        <w:t xml:space="preserve"> odst. 1</w:t>
      </w:r>
      <w:r w:rsidR="00046A94">
        <w:t xml:space="preserve"> SFEU </w:t>
      </w:r>
      <w:r w:rsidR="00310846">
        <w:t>vyplývá</w:t>
      </w:r>
      <w:r w:rsidR="00046A94">
        <w:t>, že se jedná o žalobu určovací</w:t>
      </w:r>
      <w:r w:rsidR="00CC5DB5">
        <w:rPr>
          <w:rStyle w:val="Znakapoznpodarou"/>
        </w:rPr>
        <w:footnoteReference w:id="88"/>
      </w:r>
      <w:r w:rsidR="00046A94">
        <w:t xml:space="preserve">. </w:t>
      </w:r>
      <w:r w:rsidR="005F07D7">
        <w:t>Tato žaloba musí nejprve odpovídat obecným požadavkům stanoveným v článcích 37 a</w:t>
      </w:r>
      <w:r w:rsidR="00757663">
        <w:t> </w:t>
      </w:r>
      <w:r w:rsidR="005F07D7">
        <w:t xml:space="preserve">38 jednacího řádu Evropského soudního dvora. </w:t>
      </w:r>
      <w:r w:rsidR="005F07D7" w:rsidRPr="00C456E5">
        <w:rPr>
          <w:b/>
        </w:rPr>
        <w:t>Předmět žaloby musí být identický s předmětem předběžného řízení</w:t>
      </w:r>
      <w:r w:rsidR="005F07D7">
        <w:t>.</w:t>
      </w:r>
      <w:r w:rsidR="00CC5DB5">
        <w:rPr>
          <w:rStyle w:val="Znakapoznpodarou"/>
        </w:rPr>
        <w:footnoteReference w:id="89"/>
      </w:r>
      <w:r w:rsidR="005F07D7">
        <w:t xml:space="preserve"> Pokud žaloba rozšiřuje či mění předmět řízení, tak jak byl vymezen v upomínacím dopise a odůvodněném stanovisku, Soudní dvůr ji</w:t>
      </w:r>
      <w:r w:rsidR="00757663">
        <w:t> </w:t>
      </w:r>
      <w:r w:rsidR="005F07D7">
        <w:t>považuje za nepřípustnou. Jak je již uvedeno výše, musí být tedy žaloba založena na</w:t>
      </w:r>
      <w:r w:rsidR="00757663">
        <w:t> </w:t>
      </w:r>
      <w:r w:rsidR="005F07D7">
        <w:t>žalobních důvodech, které již byly vytýkány členskému státu v</w:t>
      </w:r>
      <w:r w:rsidR="00310846">
        <w:t> d</w:t>
      </w:r>
      <w:r w:rsidR="005F07D7">
        <w:t>okumentech</w:t>
      </w:r>
      <w:r w:rsidR="00310846">
        <w:t xml:space="preserve"> během administrativní fáze řízení</w:t>
      </w:r>
      <w:r w:rsidR="005F07D7">
        <w:t xml:space="preserve">. </w:t>
      </w:r>
      <w:r w:rsidR="00757663">
        <w:t>Na druhou stranu může však K</w:t>
      </w:r>
      <w:r w:rsidR="00E56E5F">
        <w:t>omise předmět řízení zúžit. Může se</w:t>
      </w:r>
      <w:r w:rsidR="00757663">
        <w:t> </w:t>
      </w:r>
      <w:r w:rsidR="00E56E5F">
        <w:t>také od odůvodněného stanoviska odchýlit, pokud reaguje pouze na informace nebo argumenty předložené před soudní fází členským státem a</w:t>
      </w:r>
      <w:r w:rsidR="002974E7">
        <w:t> </w:t>
      </w:r>
      <w:r w:rsidR="00E56E5F">
        <w:t>pokud není předmět sporu rozšířen či změněn. Vedle toho může Komise v řízení pokračovat poté, co</w:t>
      </w:r>
      <w:r w:rsidR="00757663">
        <w:t> </w:t>
      </w:r>
      <w:r w:rsidR="00E56E5F">
        <w:t xml:space="preserve">členský stát nepatrně změní svoji právní úpravu k nápravě </w:t>
      </w:r>
      <w:r w:rsidR="00E56E5F">
        <w:lastRenderedPageBreak/>
        <w:t>vadného stavu, avšak jádro porušení povinnosti zde zůstává, byť v jiném rozsahu než státu bylo vytýkáno. Pokud by k takovému postupu nedocházelo, mohly by státy situaci zneužívat a</w:t>
      </w:r>
      <w:r w:rsidR="00757663">
        <w:t> </w:t>
      </w:r>
      <w:r w:rsidR="00E56E5F">
        <w:t>odvráti</w:t>
      </w:r>
      <w:r w:rsidR="00310846">
        <w:t>t</w:t>
      </w:r>
      <w:r w:rsidR="00E56E5F">
        <w:t xml:space="preserve"> nepříznivé důsledky řízení jen tím, že by v reakci na</w:t>
      </w:r>
      <w:r w:rsidR="002974E7">
        <w:t> </w:t>
      </w:r>
      <w:r w:rsidR="00E56E5F">
        <w:t xml:space="preserve">odůvodněné stanovisko pokaždé pozměnily jejich stávající právní úpravu, přičemž by současně zachovaly jádro kritizované právní úpravy. Přípustnost podané žaloby by měl Soudní dvůr dle dosavadní judikatury zkoumat </w:t>
      </w:r>
      <w:r w:rsidR="00C15398">
        <w:t>i bez návrhu.</w:t>
      </w:r>
      <w:r w:rsidR="00E56E5F">
        <w:rPr>
          <w:rStyle w:val="Znakapoznpodarou"/>
        </w:rPr>
        <w:footnoteReference w:id="90"/>
      </w:r>
    </w:p>
    <w:p w:rsidR="00757663" w:rsidRDefault="00046A94" w:rsidP="00A45630">
      <w:r>
        <w:tab/>
      </w:r>
      <w:r w:rsidRPr="00C456E5">
        <w:rPr>
          <w:b/>
        </w:rPr>
        <w:t>Jestliže byl již protiprávní stav odstraněn</w:t>
      </w:r>
      <w:r>
        <w:t xml:space="preserve">, </w:t>
      </w:r>
      <w:r w:rsidR="00D72927">
        <w:t xml:space="preserve">může </w:t>
      </w:r>
      <w:r w:rsidR="00310846">
        <w:t xml:space="preserve">dále </w:t>
      </w:r>
      <w:r>
        <w:t>existovat právní zájem na vydání rozsudku. Jednak může</w:t>
      </w:r>
      <w:r w:rsidR="00D72927">
        <w:t xml:space="preserve"> existovat</w:t>
      </w:r>
      <w:r>
        <w:t xml:space="preserve"> oprávněná obava, že by mohlo ze</w:t>
      </w:r>
      <w:r w:rsidR="00D72927">
        <w:t> </w:t>
      </w:r>
      <w:r>
        <w:t>strany státu dojít k opakování protiprávního jednání. Za druhé jde o</w:t>
      </w:r>
      <w:r w:rsidR="00481FF4">
        <w:t> </w:t>
      </w:r>
      <w:r>
        <w:t>případy, kdy se jedná o rozhodnutí v otázkách zásad</w:t>
      </w:r>
      <w:r w:rsidR="00D72927">
        <w:t>ního charakteru</w:t>
      </w:r>
      <w:r w:rsidR="000438FF">
        <w:rPr>
          <w:rStyle w:val="Znakapoznpodarou"/>
        </w:rPr>
        <w:footnoteReference w:id="91"/>
      </w:r>
      <w:r>
        <w:t>.</w:t>
      </w:r>
      <w:r>
        <w:rPr>
          <w:rStyle w:val="Znakapoznpodarou"/>
        </w:rPr>
        <w:footnoteReference w:id="92"/>
      </w:r>
      <w:r>
        <w:t xml:space="preserve"> </w:t>
      </w:r>
      <w:r w:rsidR="00FC3993">
        <w:t>Dalším</w:t>
      </w:r>
      <w:r w:rsidR="00FC3993" w:rsidRPr="00FC3993">
        <w:t xml:space="preserve"> důvodem </w:t>
      </w:r>
      <w:r w:rsidR="00FC3993">
        <w:t xml:space="preserve">může být </w:t>
      </w:r>
      <w:r w:rsidR="00FC3993" w:rsidRPr="00FC3993">
        <w:t>zájem na vyjasnění výkladu unijního práva, které může mít dopad i na situaci v</w:t>
      </w:r>
      <w:r w:rsidR="00E77B6F">
        <w:t> </w:t>
      </w:r>
      <w:r w:rsidR="00FC3993" w:rsidRPr="00FC3993">
        <w:t>jiných členských státech</w:t>
      </w:r>
      <w:r w:rsidR="00FC3993">
        <w:t>. T</w:t>
      </w:r>
      <w:r w:rsidR="00FC3993" w:rsidRPr="00FC3993">
        <w:t>o</w:t>
      </w:r>
      <w:r w:rsidR="00FC3993">
        <w:t xml:space="preserve"> poté</w:t>
      </w:r>
      <w:r w:rsidR="00FC3993" w:rsidRPr="00FC3993">
        <w:t xml:space="preserve"> bude podstatné pro Komisi, která disponuje možností vzít žalobu zpět</w:t>
      </w:r>
      <w:r w:rsidR="00FC3993">
        <w:t xml:space="preserve">. Vyjasnění může mít rovněž </w:t>
      </w:r>
      <w:r w:rsidR="00FC3993" w:rsidRPr="00FC3993">
        <w:t>význam</w:t>
      </w:r>
      <w:r w:rsidR="00230356" w:rsidRPr="00FC3993">
        <w:t xml:space="preserve"> pro potencionální spory o</w:t>
      </w:r>
      <w:r w:rsidR="002974E7" w:rsidRPr="00FC3993">
        <w:t> </w:t>
      </w:r>
      <w:r w:rsidR="00230356" w:rsidRPr="00FC3993">
        <w:t>náhradě škody požadované od</w:t>
      </w:r>
      <w:r w:rsidR="00FC3993">
        <w:t> </w:t>
      </w:r>
      <w:r w:rsidR="00230356" w:rsidRPr="00FC3993">
        <w:t>provinilého státu ze strany soukromých subjektů.</w:t>
      </w:r>
      <w:r w:rsidR="00230356">
        <w:rPr>
          <w:rStyle w:val="Znakapoznpodarou"/>
        </w:rPr>
        <w:footnoteReference w:id="93"/>
      </w:r>
      <w:r w:rsidR="00230356">
        <w:t xml:space="preserve"> </w:t>
      </w:r>
    </w:p>
    <w:p w:rsidR="00C456E5" w:rsidRDefault="00046A94" w:rsidP="00A45630">
      <w:r>
        <w:tab/>
      </w:r>
      <w:r w:rsidR="00481FF4">
        <w:t xml:space="preserve">Soudní dvůr musí také dále u žaloby posoudit, zda </w:t>
      </w:r>
      <w:r w:rsidR="00481FF4" w:rsidRPr="00C456E5">
        <w:rPr>
          <w:b/>
        </w:rPr>
        <w:t>předmět sporu a žalobní důvody jsou dostatečně jasné a určité</w:t>
      </w:r>
      <w:r w:rsidR="00481FF4">
        <w:t>, aby umožnily členskému státu připravit si</w:t>
      </w:r>
      <w:r w:rsidR="002974E7">
        <w:t> </w:t>
      </w:r>
      <w:r w:rsidR="00481FF4">
        <w:t>obranu a Soudnímu dvoru vykonávat přezkum. Z tohoto důvodu musí skutkové a</w:t>
      </w:r>
      <w:r w:rsidR="00C456E5">
        <w:t> </w:t>
      </w:r>
      <w:r w:rsidR="00481FF4">
        <w:t xml:space="preserve">právní argumenty, na kterých je žaloba postavena, uceleně a srozumitelně vyplývat již z textu samotné žaloby. </w:t>
      </w:r>
      <w:r w:rsidR="00FC7BF6">
        <w:t xml:space="preserve">Rovněž návrh výroku soudu nesmí být definován nejednoznačně, jelikož by to mohlo vést </w:t>
      </w:r>
      <w:r w:rsidR="008A7072">
        <w:t>k rozhodnutí</w:t>
      </w:r>
      <w:r w:rsidR="00FC7BF6">
        <w:t xml:space="preserve"> Soudní</w:t>
      </w:r>
      <w:r w:rsidR="008A7072">
        <w:t xml:space="preserve">ho dvora, které by bylo </w:t>
      </w:r>
      <w:r w:rsidR="00FC7BF6">
        <w:t xml:space="preserve">nad rámec toho, co Komise žádala, nebo naopak o některém z žalobních důvodů opomene rozhodnout. Za dostatečně jasnou a určitou formulaci není například považováno, pokud Komise vymezí předmět žaloby pomocí výrazu „zejména“, aniž by přesněji specifikovala, jakých ustanovení se porušení týká a na jakých žalobních důvodech je žaloba postavena. </w:t>
      </w:r>
      <w:r w:rsidR="00C456E5">
        <w:t xml:space="preserve">Nelze však posoudit žalobu nepřípustnou jen z toho důvodu, že tvrdí, že vnitrostátní právní úprava je v rozporu se systémem, strukturou nebo duchem směrnice, aniž lze porušení práva z toho vyplývající, vztáhnout </w:t>
      </w:r>
      <w:r w:rsidR="00C456E5">
        <w:lastRenderedPageBreak/>
        <w:t>ke</w:t>
      </w:r>
      <w:r w:rsidR="002974E7">
        <w:t> </w:t>
      </w:r>
      <w:r w:rsidR="00C456E5">
        <w:t>konkrétním ustanovením této směrnice. Členský stát se také nemůže odvolávat na nepřesnost žaloby, pokud ji zapříčinil svým vlastním chováním.</w:t>
      </w:r>
      <w:r w:rsidR="00C456E5">
        <w:rPr>
          <w:rStyle w:val="Znakapoznpodarou"/>
        </w:rPr>
        <w:footnoteReference w:id="94"/>
      </w:r>
      <w:r w:rsidR="00C456E5">
        <w:t xml:space="preserve">   </w:t>
      </w:r>
    </w:p>
    <w:p w:rsidR="00C456E5" w:rsidRDefault="00C456E5" w:rsidP="00A45630">
      <w:r>
        <w:tab/>
      </w:r>
      <w:r w:rsidR="00B02B25" w:rsidRPr="00A24A8C">
        <w:rPr>
          <w:b/>
        </w:rPr>
        <w:t>Právo na podání žaloby</w:t>
      </w:r>
      <w:r w:rsidR="00B02B25">
        <w:t xml:space="preserve"> k Soudnímu dvoru </w:t>
      </w:r>
      <w:r w:rsidR="00B02B25" w:rsidRPr="00A24A8C">
        <w:rPr>
          <w:b/>
        </w:rPr>
        <w:t>není</w:t>
      </w:r>
      <w:r w:rsidR="00B02B25">
        <w:t xml:space="preserve"> nějak </w:t>
      </w:r>
      <w:r w:rsidR="00B02B25" w:rsidRPr="00A24A8C">
        <w:rPr>
          <w:b/>
        </w:rPr>
        <w:t>časově omezeno</w:t>
      </w:r>
      <w:r w:rsidR="00B02B25">
        <w:t>.</w:t>
      </w:r>
      <w:r w:rsidR="00A24A8C">
        <w:t xml:space="preserve"> Jediným časovým omezením pro podání je zde lhůta, kterou Komise sama v odůvodněném stanovisku určila členskému státu</w:t>
      </w:r>
      <w:r w:rsidR="00E10E44">
        <w:t xml:space="preserve"> k nápravě, a před jejímž uplynutím nesmí zahájit soudní řízení.</w:t>
      </w:r>
      <w:r w:rsidR="00E10E44">
        <w:rPr>
          <w:rStyle w:val="Znakapoznpodarou"/>
        </w:rPr>
        <w:footnoteReference w:id="95"/>
      </w:r>
      <w:r w:rsidR="00B02B25">
        <w:t xml:space="preserve"> Existují však případy, kdy může hrát čas důležitou roli. Pokud si Komise dává s podáním žaloby na čas, může například členský stát v dobré víře dojít k závěru, že z jednání Komise nebo jiného členského státu není zřejmý záměr žalobu podat a může tedy počítat s tím, že se řízení o</w:t>
      </w:r>
      <w:r w:rsidR="002974E7">
        <w:t> </w:t>
      </w:r>
      <w:r w:rsidR="00B02B25">
        <w:t>žalobě před Soudním dvorem nebude vůbec konat. Dl</w:t>
      </w:r>
      <w:r w:rsidR="000438FF">
        <w:t>e rozhodnutí Soudního dvora v případu</w:t>
      </w:r>
      <w:r w:rsidR="00B02B25">
        <w:t xml:space="preserve"> Komise vs. Itálie</w:t>
      </w:r>
      <w:r w:rsidR="000438FF">
        <w:rPr>
          <w:rStyle w:val="Znakapoznpodarou"/>
        </w:rPr>
        <w:footnoteReference w:id="96"/>
      </w:r>
      <w:r w:rsidR="00B02B25">
        <w:t xml:space="preserve"> lze pak v těchto případech právo žalobce podat žalobu považovat za zaniklé.</w:t>
      </w:r>
      <w:r w:rsidR="00D0374D">
        <w:rPr>
          <w:rStyle w:val="Znakapoznpodarou"/>
        </w:rPr>
        <w:footnoteReference w:id="97"/>
      </w:r>
      <w:r w:rsidR="00B02B25">
        <w:t xml:space="preserve">        </w:t>
      </w:r>
      <w:r>
        <w:t xml:space="preserve">  </w:t>
      </w:r>
      <w:r w:rsidR="00FC7BF6">
        <w:t xml:space="preserve">   </w:t>
      </w:r>
    </w:p>
    <w:p w:rsidR="00CA525F" w:rsidRDefault="002D2D89" w:rsidP="002D2D89">
      <w:pPr>
        <w:ind w:firstLine="708"/>
      </w:pPr>
      <w:r>
        <w:t xml:space="preserve">Komise může také </w:t>
      </w:r>
      <w:r w:rsidRPr="00A24A8C">
        <w:rPr>
          <w:b/>
        </w:rPr>
        <w:t>vzít žalobu zcela nebo z části zpět</w:t>
      </w:r>
      <w:r>
        <w:t xml:space="preserve">, pokud například členský stát svoji povinnost zcela či z části splnil. </w:t>
      </w:r>
    </w:p>
    <w:p w:rsidR="0014387E" w:rsidRDefault="00CA525F" w:rsidP="0014387E">
      <w:pPr>
        <w:ind w:firstLine="708"/>
      </w:pPr>
      <w:r>
        <w:t>Velmi důležit</w:t>
      </w:r>
      <w:r w:rsidR="007E2FD3">
        <w:t>ým</w:t>
      </w:r>
      <w:r>
        <w:t xml:space="preserve"> </w:t>
      </w:r>
      <w:r w:rsidR="007E2FD3">
        <w:t xml:space="preserve">je rovněž </w:t>
      </w:r>
      <w:r>
        <w:t xml:space="preserve">fakt že </w:t>
      </w:r>
      <w:r w:rsidRPr="007E2FD3">
        <w:rPr>
          <w:b/>
        </w:rPr>
        <w:t>důkazní břemeno tu nese Komise</w:t>
      </w:r>
      <w:r>
        <w:t xml:space="preserve"> a</w:t>
      </w:r>
      <w:r w:rsidR="00BA1D87">
        <w:t> </w:t>
      </w:r>
      <w:r>
        <w:t>je</w:t>
      </w:r>
      <w:r w:rsidR="00BA1D87">
        <w:t> </w:t>
      </w:r>
      <w:r>
        <w:t xml:space="preserve">právě na ní, aby bezpečně prokázala, </w:t>
      </w:r>
      <w:r w:rsidR="007E2FD3">
        <w:t xml:space="preserve">že se členský stát dopustil porušení unijního práva právě tak, jak je napadáno v žalobě. Komise přitom tvrzené nesplnění povinnosti musí prokázat způsobem, že předloží Soudnímu dvoru poznatky nezbytné k přezkoumání existence tohoto nesplnění, aniž by se mohla opírat o jakékoliv domněnky. S tímto však souvisí důležitá </w:t>
      </w:r>
      <w:r w:rsidR="007E2FD3" w:rsidRPr="007E2FD3">
        <w:rPr>
          <w:b/>
        </w:rPr>
        <w:t>povinnost</w:t>
      </w:r>
      <w:r w:rsidR="007E2FD3">
        <w:t xml:space="preserve"> </w:t>
      </w:r>
      <w:r w:rsidR="007E2FD3">
        <w:rPr>
          <w:b/>
        </w:rPr>
        <w:t>č</w:t>
      </w:r>
      <w:r w:rsidR="002D2D89" w:rsidRPr="00A24A8C">
        <w:rPr>
          <w:b/>
        </w:rPr>
        <w:t>lensk</w:t>
      </w:r>
      <w:r w:rsidR="007E2FD3">
        <w:rPr>
          <w:b/>
        </w:rPr>
        <w:t>ého</w:t>
      </w:r>
      <w:r w:rsidR="002D2D89" w:rsidRPr="00A24A8C">
        <w:rPr>
          <w:b/>
        </w:rPr>
        <w:t xml:space="preserve"> stát</w:t>
      </w:r>
      <w:r w:rsidR="007E2FD3">
        <w:rPr>
          <w:b/>
        </w:rPr>
        <w:t>u</w:t>
      </w:r>
      <w:r w:rsidR="002D2D89" w:rsidRPr="00A24A8C">
        <w:rPr>
          <w:b/>
        </w:rPr>
        <w:t xml:space="preserve"> spolupracovat</w:t>
      </w:r>
      <w:r w:rsidR="002D2D89">
        <w:t xml:space="preserve"> v dobré víře</w:t>
      </w:r>
      <w:r w:rsidR="007E2FD3">
        <w:t xml:space="preserve"> s Komisí ve smyslu článku 4 odstavce 3 SEU</w:t>
      </w:r>
      <w:r w:rsidR="002D2D89">
        <w:t xml:space="preserve">, což zahrnuje </w:t>
      </w:r>
      <w:r w:rsidR="007E2FD3">
        <w:t>zejména</w:t>
      </w:r>
      <w:r w:rsidR="002D2D89">
        <w:t xml:space="preserve"> poskytování </w:t>
      </w:r>
      <w:r w:rsidR="007E2FD3">
        <w:t>relevantních informací</w:t>
      </w:r>
      <w:r w:rsidR="002D2D89">
        <w:t>.</w:t>
      </w:r>
      <w:r w:rsidR="002D2D89">
        <w:rPr>
          <w:rStyle w:val="Znakapoznpodarou"/>
        </w:rPr>
        <w:footnoteReference w:id="98"/>
      </w:r>
      <w:r w:rsidR="002D2D89">
        <w:t xml:space="preserve"> </w:t>
      </w:r>
      <w:r w:rsidR="007E2FD3">
        <w:t xml:space="preserve">Tato vyžadovaná spolupráce je v řízení velmi důležitá zejména proto, že Komise je velmi často odkázána právě jen na údaje poskytnuté členskými státy, jelikož zpravidla nedisponuje vlastními vyšetřovacími pravomocemi. Naopak také platí, že pokud Komise předložila Soudnímu dvoru dostatečné důkazy o některých skutečnostech, které nastaly </w:t>
      </w:r>
      <w:r w:rsidR="0014387E">
        <w:t xml:space="preserve">na území členského státu, je poté pouze na něm, aby tyto předložené údaje věcně zpochybnil. Specifickým případem pak může být systematické a dlouhodobé porušování unijního práva v určité oblasti, ke kterému dojde chybnou správní praxí. V těchto případech </w:t>
      </w:r>
      <w:r w:rsidR="0014387E">
        <w:lastRenderedPageBreak/>
        <w:t>dle Soudního dvora postačí, když Komise prokáže nesprávnou právní praxi zobecněním důsledků konkrétních případů porušení unijního práva. Rovněž není vyloučeno, aby Komise svá tvrzení podpořila dalšími konkrétními případy, o kterých se dozvěděla až po vydání odůvodněného stanoviska</w:t>
      </w:r>
      <w:r w:rsidR="000438FF">
        <w:rPr>
          <w:rStyle w:val="Znakapoznpodarou"/>
        </w:rPr>
        <w:footnoteReference w:id="99"/>
      </w:r>
      <w:r w:rsidR="0014387E">
        <w:t>.</w:t>
      </w:r>
      <w:r w:rsidR="0014387E">
        <w:rPr>
          <w:rStyle w:val="Znakapoznpodarou"/>
        </w:rPr>
        <w:footnoteReference w:id="100"/>
      </w:r>
    </w:p>
    <w:p w:rsidR="00A24A8C" w:rsidRDefault="002D2D89" w:rsidP="0014387E">
      <w:pPr>
        <w:ind w:firstLine="708"/>
      </w:pPr>
      <w:r w:rsidRPr="00A24A8C">
        <w:rPr>
          <w:b/>
        </w:rPr>
        <w:t>Členské státy</w:t>
      </w:r>
      <w:r>
        <w:t xml:space="preserve"> se následně proti žalobě </w:t>
      </w:r>
      <w:r w:rsidRPr="00A24A8C">
        <w:rPr>
          <w:b/>
        </w:rPr>
        <w:t>brání neúspěšně</w:t>
      </w:r>
      <w:r>
        <w:t xml:space="preserve"> například tím, že</w:t>
      </w:r>
      <w:r w:rsidR="004D07CE">
        <w:t> </w:t>
      </w:r>
      <w:r>
        <w:t>nelze členskému státu přičítat zavinění ve vztahu k porušení práva. Dalším argument</w:t>
      </w:r>
      <w:r w:rsidR="00A24A8C">
        <w:t>em</w:t>
      </w:r>
      <w:r>
        <w:t xml:space="preserve"> </w:t>
      </w:r>
      <w:r w:rsidR="00A24A8C">
        <w:t xml:space="preserve">často </w:t>
      </w:r>
      <w:r>
        <w:t xml:space="preserve">bývá absence negativních účinků plynoucích z porušení unijního práva, </w:t>
      </w:r>
      <w:r w:rsidR="00A24A8C">
        <w:t xml:space="preserve">to může třeba znamenat, </w:t>
      </w:r>
      <w:r>
        <w:t xml:space="preserve">že směrnice </w:t>
      </w:r>
      <w:r w:rsidR="00A24A8C">
        <w:t xml:space="preserve">sice </w:t>
      </w:r>
      <w:r>
        <w:t>nebyla provedena, ale je přímo účinná</w:t>
      </w:r>
      <w:r w:rsidR="00A24A8C">
        <w:t>,</w:t>
      </w:r>
      <w:r>
        <w:t xml:space="preserve"> nebo</w:t>
      </w:r>
      <w:r w:rsidR="00A24A8C">
        <w:t xml:space="preserve"> že</w:t>
      </w:r>
      <w:r>
        <w:t xml:space="preserve"> národní legislativa je sice v rozporu s unijním právem, ale v praxi bylo aplikováno řádně unijní právo.</w:t>
      </w:r>
      <w:r w:rsidR="00D0574B">
        <w:t xml:space="preserve"> V zásadě však </w:t>
      </w:r>
      <w:r w:rsidR="00D502C5">
        <w:t>liberace</w:t>
      </w:r>
      <w:r w:rsidR="00D0574B">
        <w:t xml:space="preserve"> státu nepřichází v úvahu. </w:t>
      </w:r>
      <w:r w:rsidR="00A24A8C">
        <w:t xml:space="preserve"> </w:t>
      </w:r>
    </w:p>
    <w:p w:rsidR="002D2D89" w:rsidRDefault="00A24A8C" w:rsidP="00A45630">
      <w:r>
        <w:tab/>
      </w:r>
      <w:r w:rsidR="00D502C5" w:rsidRPr="00D502C5">
        <w:t>Existují však výjimečné</w:t>
      </w:r>
      <w:r w:rsidRPr="00D502C5">
        <w:t xml:space="preserve"> </w:t>
      </w:r>
      <w:r w:rsidRPr="00D502C5">
        <w:rPr>
          <w:b/>
        </w:rPr>
        <w:t>důvody</w:t>
      </w:r>
      <w:r w:rsidRPr="00D502C5">
        <w:t xml:space="preserve">, které stát </w:t>
      </w:r>
      <w:r w:rsidRPr="00D502C5">
        <w:rPr>
          <w:b/>
        </w:rPr>
        <w:t xml:space="preserve">pro </w:t>
      </w:r>
      <w:r w:rsidR="00D502C5" w:rsidRPr="00D502C5">
        <w:rPr>
          <w:b/>
        </w:rPr>
        <w:t>liberaci</w:t>
      </w:r>
      <w:r w:rsidR="00CA525F" w:rsidRPr="00D502C5">
        <w:t xml:space="preserve"> </w:t>
      </w:r>
      <w:r w:rsidRPr="00D502C5">
        <w:t xml:space="preserve">může uplatnit. Může se například bránit tím, že sice porušil unijní právo, ale došlo k tomu implementací práva sekundárního, které sloužilo právě k jeho provedení. Dalším důvodem vyvinění může být vis maior, tzv. vyšší síla, která znemožnila </w:t>
      </w:r>
      <w:r w:rsidR="00CA525F" w:rsidRPr="00D502C5">
        <w:t xml:space="preserve">členskému státu </w:t>
      </w:r>
      <w:r w:rsidRPr="00D502C5">
        <w:t>řádnou aplikaci unijního práva.</w:t>
      </w:r>
      <w:r>
        <w:rPr>
          <w:rStyle w:val="Znakapoznpodarou"/>
        </w:rPr>
        <w:footnoteReference w:id="101"/>
      </w:r>
      <w:r>
        <w:t xml:space="preserve">  </w:t>
      </w:r>
      <w:r w:rsidR="002D2D89">
        <w:t xml:space="preserve">     </w:t>
      </w:r>
    </w:p>
    <w:p w:rsidR="00056B20" w:rsidRDefault="00056B20" w:rsidP="00A45630">
      <w:r>
        <w:tab/>
        <w:t>Na konci tohoto řízení před Soudním dvorem může dojít buď k úplnému či</w:t>
      </w:r>
      <w:r w:rsidR="002974E7">
        <w:t> </w:t>
      </w:r>
      <w:r>
        <w:t>částečnému zamítnutí žaloby, nebo naopak může soud vydat odsuzující rozsudek. Tento odsuzující rozsudek má pouze deklaratorní charakter, což znamená, že</w:t>
      </w:r>
      <w:r w:rsidR="002974E7">
        <w:t> </w:t>
      </w:r>
      <w:r>
        <w:t>Soudní dvůr ve výroku rozhodnutí jen konstatuje, že se členský stát dopustil porušení určitého ustanovení unijního práva. Soudní dvůr tímto rozhodnutí jednak nemá pravomoc bezprostředně zasahovat do vnitrostátního právního řádu například tím, že by předmětnou právní úpravu zrušil. Ani nemůže v tomto první</w:t>
      </w:r>
      <w:r w:rsidR="004B34A5">
        <w:t>m</w:t>
      </w:r>
      <w:r>
        <w:t xml:space="preserve"> odsuzujícím rozsudku uložit členskému státu žádnou sankci. Možnost uložit sankci má</w:t>
      </w:r>
      <w:r w:rsidR="00E77B6F">
        <w:t> </w:t>
      </w:r>
      <w:r>
        <w:t>až</w:t>
      </w:r>
      <w:r w:rsidR="004D07CE">
        <w:t> </w:t>
      </w:r>
      <w:r>
        <w:t>ve</w:t>
      </w:r>
      <w:r w:rsidR="002974E7">
        <w:t> </w:t>
      </w:r>
      <w:r>
        <w:t xml:space="preserve">chvíli, kdy členský stát tomuto rozsudku nevyhoví a v přiměřené lhůtě vadný stav nenapraví. Výjimkou jsou tu opět řízení o </w:t>
      </w:r>
      <w:proofErr w:type="spellStart"/>
      <w:r>
        <w:t>nenotifikaci</w:t>
      </w:r>
      <w:proofErr w:type="spellEnd"/>
      <w:r>
        <w:t xml:space="preserve"> implementace směrnic. </w:t>
      </w:r>
      <w:r w:rsidR="004C1EE9">
        <w:t>V těchto případech může totiž Komise po vydání formálního upozornění a</w:t>
      </w:r>
      <w:r w:rsidR="002974E7">
        <w:t> </w:t>
      </w:r>
      <w:r w:rsidR="004C1EE9">
        <w:t xml:space="preserve">odůvodněného stanoviska Soudnímu dvoru předložit žalobu, ve které přímo navrhne uložení zaplacení paušální částky či opakovaného penále, to vše dle článku 260 odst. 3 SFEU. Takový postup lze však aplikovat jen u směrnic přijatých řádným </w:t>
      </w:r>
      <w:r w:rsidR="004C1EE9">
        <w:lastRenderedPageBreak/>
        <w:t xml:space="preserve">legislativním postupem. </w:t>
      </w:r>
      <w:r w:rsidR="004C1EE9" w:rsidRPr="00D502C5">
        <w:t>Navíc na rozdíl od sankčního řízení dle článku 260 odst. 1 a</w:t>
      </w:r>
      <w:r w:rsidR="002974E7" w:rsidRPr="00D502C5">
        <w:t> </w:t>
      </w:r>
      <w:r w:rsidR="004C1EE9" w:rsidRPr="00D502C5">
        <w:t>2 Soudní dvůr nemůže stanovit sankci vyšší</w:t>
      </w:r>
      <w:r w:rsidR="00C1486F" w:rsidRPr="00D502C5">
        <w:t>,</w:t>
      </w:r>
      <w:r w:rsidR="004C1EE9" w:rsidRPr="00D502C5">
        <w:t xml:space="preserve"> než jakou navrhla Komise</w:t>
      </w:r>
      <w:r w:rsidR="00D502C5">
        <w:t>.</w:t>
      </w:r>
      <w:r w:rsidR="004C1EE9">
        <w:rPr>
          <w:rStyle w:val="Znakapoznpodarou"/>
        </w:rPr>
        <w:footnoteReference w:id="102"/>
      </w:r>
      <w:r w:rsidR="004C1EE9">
        <w:t xml:space="preserve">  </w:t>
      </w:r>
    </w:p>
    <w:p w:rsidR="005F07D7" w:rsidRDefault="005F07D7" w:rsidP="00A45630">
      <w:r>
        <w:t xml:space="preserve">      </w:t>
      </w:r>
    </w:p>
    <w:p w:rsidR="008E7033" w:rsidRPr="00724ABC" w:rsidRDefault="000E44C3" w:rsidP="00724ABC">
      <w:pPr>
        <w:pStyle w:val="Nadpis2"/>
      </w:pPr>
      <w:bookmarkStart w:id="22" w:name="_Toc398901332"/>
      <w:bookmarkStart w:id="23" w:name="_Toc399171082"/>
      <w:r w:rsidRPr="00724ABC">
        <w:t>4</w:t>
      </w:r>
      <w:r w:rsidR="008E7033" w:rsidRPr="00724ABC">
        <w:t>.</w:t>
      </w:r>
      <w:r w:rsidR="00724ABC" w:rsidRPr="00724ABC">
        <w:t>5</w:t>
      </w:r>
      <w:r w:rsidR="008E7033" w:rsidRPr="00724ABC">
        <w:t xml:space="preserve">. </w:t>
      </w:r>
      <w:r w:rsidR="00724ABC" w:rsidRPr="00724ABC">
        <w:t>Sankční řízení</w:t>
      </w:r>
      <w:bookmarkEnd w:id="22"/>
      <w:bookmarkEnd w:id="23"/>
    </w:p>
    <w:p w:rsidR="0036462D" w:rsidRDefault="0036462D" w:rsidP="00330248">
      <w:pPr>
        <w:ind w:firstLine="708"/>
        <w:rPr>
          <w:rFonts w:cs="Arial"/>
          <w:color w:val="222222"/>
        </w:rPr>
      </w:pPr>
      <w:r>
        <w:rPr>
          <w:rFonts w:cs="Arial"/>
          <w:color w:val="222222"/>
        </w:rPr>
        <w:t xml:space="preserve">Jak již bylo řečeno výše, nejprve Soudní dvůr vydá pouze odsuzující rozsudek vůči členskému státu, který porušil unijní právo, a na základě něj musí členský stát </w:t>
      </w:r>
      <w:r w:rsidRPr="00E032F9">
        <w:rPr>
          <w:rFonts w:cs="Arial"/>
          <w:b/>
          <w:color w:val="222222"/>
        </w:rPr>
        <w:t>přijmout opatření k</w:t>
      </w:r>
      <w:r w:rsidR="007A7A37" w:rsidRPr="00E032F9">
        <w:rPr>
          <w:rFonts w:cs="Arial"/>
          <w:b/>
          <w:color w:val="222222"/>
        </w:rPr>
        <w:t> </w:t>
      </w:r>
      <w:r w:rsidRPr="00E032F9">
        <w:rPr>
          <w:rFonts w:cs="Arial"/>
          <w:b/>
          <w:color w:val="222222"/>
        </w:rPr>
        <w:t>nápravě</w:t>
      </w:r>
      <w:r w:rsidR="007A7A37">
        <w:rPr>
          <w:rFonts w:cs="Arial"/>
          <w:color w:val="222222"/>
        </w:rPr>
        <w:t>, to vše na základě článku 260 odst. 1 SFEU</w:t>
      </w:r>
      <w:r>
        <w:rPr>
          <w:rFonts w:cs="Arial"/>
          <w:color w:val="222222"/>
        </w:rPr>
        <w:t>.</w:t>
      </w:r>
      <w:r w:rsidR="00850E80">
        <w:rPr>
          <w:rFonts w:cs="Arial"/>
          <w:color w:val="222222"/>
        </w:rPr>
        <w:t xml:space="preserve"> Pokud v rozhodnutí Soud</w:t>
      </w:r>
      <w:r w:rsidR="00EB1F65">
        <w:rPr>
          <w:rFonts w:cs="Arial"/>
          <w:color w:val="222222"/>
        </w:rPr>
        <w:t>ní dvůr</w:t>
      </w:r>
      <w:r w:rsidR="00850E80">
        <w:rPr>
          <w:rFonts w:cs="Arial"/>
          <w:color w:val="222222"/>
        </w:rPr>
        <w:t xml:space="preserve"> nestanoví konkrétní způsob nápravy, je zcela na uvážení členského státu, jak vadný stav napraví. V opačném případě, kdy je již v rozsudku stanoveno, jakým způsobem má členský stát povinnosti splnit, pak se od tohoto způsobu nemůže členský stát odchýlit a prostor pro </w:t>
      </w:r>
      <w:r w:rsidR="00EA519F">
        <w:rPr>
          <w:rFonts w:cs="Arial"/>
          <w:color w:val="222222"/>
        </w:rPr>
        <w:t xml:space="preserve">vlastní </w:t>
      </w:r>
      <w:r w:rsidR="00850E80">
        <w:rPr>
          <w:rFonts w:cs="Arial"/>
          <w:color w:val="222222"/>
        </w:rPr>
        <w:t xml:space="preserve">uvážení zde nemůže hledat. </w:t>
      </w:r>
      <w:r>
        <w:rPr>
          <w:rFonts w:cs="Arial"/>
          <w:color w:val="222222"/>
        </w:rPr>
        <w:t>Primární právo nám nikde nestanoví, v jaké konkrétní lhůtě by mělo k nápravě vadného stavu dojít. Nicméně z ustálené judikatury vyplývá, že zájem na</w:t>
      </w:r>
      <w:r w:rsidR="007319AA">
        <w:rPr>
          <w:rFonts w:cs="Arial"/>
          <w:color w:val="222222"/>
        </w:rPr>
        <w:t> </w:t>
      </w:r>
      <w:r>
        <w:rPr>
          <w:rFonts w:cs="Arial"/>
          <w:color w:val="222222"/>
        </w:rPr>
        <w:t>okamžitém a jednotném uplatňování unijního práva vyžaduje, aby členský stát začal své povinnosti vyplývající z rozsudku plnit okamžitě a vadný stav napravil v</w:t>
      </w:r>
      <w:r w:rsidR="00487CC4">
        <w:rPr>
          <w:rFonts w:cs="Arial"/>
          <w:color w:val="222222"/>
        </w:rPr>
        <w:t> </w:t>
      </w:r>
      <w:r>
        <w:rPr>
          <w:rFonts w:cs="Arial"/>
          <w:color w:val="222222"/>
        </w:rPr>
        <w:t>co</w:t>
      </w:r>
      <w:r w:rsidR="00487CC4">
        <w:rPr>
          <w:rFonts w:cs="Arial"/>
          <w:color w:val="222222"/>
        </w:rPr>
        <w:t> </w:t>
      </w:r>
      <w:r>
        <w:rPr>
          <w:rFonts w:cs="Arial"/>
          <w:color w:val="222222"/>
        </w:rPr>
        <w:t>nejkratší možné době.</w:t>
      </w:r>
      <w:r w:rsidR="00850E80">
        <w:rPr>
          <w:rStyle w:val="Znakapoznpodarou"/>
          <w:rFonts w:cs="Arial"/>
          <w:color w:val="222222"/>
        </w:rPr>
        <w:footnoteReference w:id="103"/>
      </w:r>
      <w:r>
        <w:rPr>
          <w:rFonts w:cs="Arial"/>
          <w:color w:val="222222"/>
        </w:rPr>
        <w:t xml:space="preserve"> </w:t>
      </w:r>
    </w:p>
    <w:p w:rsidR="00BF430C" w:rsidRDefault="0036462D" w:rsidP="00BF430C">
      <w:pPr>
        <w:ind w:firstLine="708"/>
        <w:rPr>
          <w:rFonts w:cs="Arial"/>
          <w:color w:val="222222"/>
        </w:rPr>
      </w:pPr>
      <w:r>
        <w:rPr>
          <w:rFonts w:cs="Arial"/>
          <w:color w:val="222222"/>
        </w:rPr>
        <w:t xml:space="preserve">Pokud si však i po tomto </w:t>
      </w:r>
      <w:r w:rsidR="007A7A37">
        <w:rPr>
          <w:rFonts w:cs="Arial"/>
          <w:color w:val="222222"/>
        </w:rPr>
        <w:t xml:space="preserve">odsuzujícím </w:t>
      </w:r>
      <w:r>
        <w:rPr>
          <w:rFonts w:cs="Arial"/>
          <w:color w:val="222222"/>
        </w:rPr>
        <w:t xml:space="preserve">rozsudku členský stát </w:t>
      </w:r>
      <w:r w:rsidRPr="00E032F9">
        <w:rPr>
          <w:rFonts w:cs="Arial"/>
          <w:b/>
          <w:color w:val="222222"/>
        </w:rPr>
        <w:t>nezačne plnit své povinnosti</w:t>
      </w:r>
      <w:r>
        <w:rPr>
          <w:rFonts w:cs="Arial"/>
          <w:color w:val="222222"/>
        </w:rPr>
        <w:t xml:space="preserve">, </w:t>
      </w:r>
      <w:r w:rsidR="00850E80">
        <w:rPr>
          <w:rFonts w:cs="Arial"/>
          <w:color w:val="222222"/>
        </w:rPr>
        <w:t xml:space="preserve">může se tak </w:t>
      </w:r>
      <w:r w:rsidR="00EA519F">
        <w:rPr>
          <w:rFonts w:cs="Arial"/>
          <w:color w:val="222222"/>
        </w:rPr>
        <w:t xml:space="preserve">řízení </w:t>
      </w:r>
      <w:r w:rsidR="00850E80">
        <w:rPr>
          <w:rFonts w:cs="Arial"/>
          <w:color w:val="222222"/>
        </w:rPr>
        <w:t>dostat</w:t>
      </w:r>
      <w:r>
        <w:rPr>
          <w:rFonts w:cs="Arial"/>
          <w:color w:val="222222"/>
        </w:rPr>
        <w:t xml:space="preserve"> do</w:t>
      </w:r>
      <w:r w:rsidR="00850E80">
        <w:rPr>
          <w:rFonts w:cs="Arial"/>
          <w:color w:val="222222"/>
        </w:rPr>
        <w:t xml:space="preserve"> </w:t>
      </w:r>
      <w:r w:rsidR="00EA519F">
        <w:rPr>
          <w:rFonts w:cs="Arial"/>
          <w:color w:val="222222"/>
        </w:rPr>
        <w:t xml:space="preserve">své </w:t>
      </w:r>
      <w:r w:rsidR="00850E80">
        <w:rPr>
          <w:rFonts w:cs="Arial"/>
          <w:color w:val="222222"/>
        </w:rPr>
        <w:t>poslední</w:t>
      </w:r>
      <w:r w:rsidR="00EA519F">
        <w:rPr>
          <w:rFonts w:cs="Arial"/>
          <w:color w:val="222222"/>
        </w:rPr>
        <w:t xml:space="preserve"> fáze</w:t>
      </w:r>
      <w:r w:rsidR="007A7A37">
        <w:rPr>
          <w:rFonts w:cs="Arial"/>
          <w:color w:val="222222"/>
        </w:rPr>
        <w:t xml:space="preserve">, tj. </w:t>
      </w:r>
      <w:r w:rsidR="007A7A37" w:rsidRPr="00E032F9">
        <w:rPr>
          <w:rFonts w:cs="Arial"/>
          <w:b/>
          <w:color w:val="222222"/>
        </w:rPr>
        <w:t>fáze sankční</w:t>
      </w:r>
      <w:r w:rsidR="007A7A37">
        <w:rPr>
          <w:rFonts w:cs="Arial"/>
          <w:color w:val="222222"/>
        </w:rPr>
        <w:t xml:space="preserve"> neboli vymáhací</w:t>
      </w:r>
      <w:r w:rsidR="00850E80">
        <w:rPr>
          <w:rFonts w:cs="Arial"/>
          <w:color w:val="222222"/>
        </w:rPr>
        <w:t xml:space="preserve">. </w:t>
      </w:r>
      <w:r w:rsidR="007A7A37">
        <w:rPr>
          <w:rFonts w:cs="Arial"/>
          <w:color w:val="222222"/>
        </w:rPr>
        <w:t>Jestliže bude mít K</w:t>
      </w:r>
      <w:r w:rsidR="00850E80">
        <w:rPr>
          <w:rFonts w:cs="Arial"/>
          <w:color w:val="222222"/>
        </w:rPr>
        <w:t xml:space="preserve">omise </w:t>
      </w:r>
      <w:r w:rsidR="007A7A37">
        <w:rPr>
          <w:rFonts w:cs="Arial"/>
          <w:color w:val="222222"/>
        </w:rPr>
        <w:t xml:space="preserve">za to, že stát nepřijal potřebná opatření vyplývající mu z rozsudku Soudního dvora, může dle článku 260 odst. 2. SFEU Soudnímu dvoru předložit věc poté, co poskytla státu </w:t>
      </w:r>
      <w:r w:rsidR="00EA519F">
        <w:rPr>
          <w:rFonts w:cs="Arial"/>
          <w:color w:val="222222"/>
        </w:rPr>
        <w:t xml:space="preserve">opět </w:t>
      </w:r>
      <w:r w:rsidR="007A7A37">
        <w:rPr>
          <w:rFonts w:cs="Arial"/>
          <w:color w:val="222222"/>
        </w:rPr>
        <w:t>možnost se vyjádřit.</w:t>
      </w:r>
      <w:r w:rsidR="007A7A37">
        <w:rPr>
          <w:rStyle w:val="Znakapoznpodarou"/>
          <w:rFonts w:cs="Arial"/>
          <w:color w:val="222222"/>
        </w:rPr>
        <w:footnoteReference w:id="104"/>
      </w:r>
      <w:r w:rsidR="007A7A37">
        <w:rPr>
          <w:rFonts w:cs="Arial"/>
          <w:color w:val="222222"/>
        </w:rPr>
        <w:t xml:space="preserve"> </w:t>
      </w:r>
    </w:p>
    <w:p w:rsidR="001B54DE" w:rsidRDefault="00E032F9" w:rsidP="005233C7">
      <w:pPr>
        <w:ind w:firstLine="708"/>
        <w:rPr>
          <w:rFonts w:cs="Arial"/>
          <w:color w:val="222222"/>
        </w:rPr>
      </w:pPr>
      <w:r>
        <w:rPr>
          <w:rFonts w:cs="Arial"/>
          <w:color w:val="222222"/>
        </w:rPr>
        <w:t>Když se blíže podíváme na průběh sankčního řízení, zjistíme, že stejně jako v řízení dle čl</w:t>
      </w:r>
      <w:r w:rsidR="001B54DE">
        <w:rPr>
          <w:rFonts w:cs="Arial"/>
          <w:color w:val="222222"/>
        </w:rPr>
        <w:t>ánku 258 SFEU, má</w:t>
      </w:r>
      <w:r>
        <w:rPr>
          <w:rFonts w:cs="Arial"/>
          <w:color w:val="222222"/>
        </w:rPr>
        <w:t xml:space="preserve"> dvě fáze: prejudiciální a judiciální</w:t>
      </w:r>
      <w:r w:rsidR="005233C7">
        <w:rPr>
          <w:rFonts w:cs="Arial"/>
          <w:color w:val="222222"/>
        </w:rPr>
        <w:t xml:space="preserve">, </w:t>
      </w:r>
      <w:r w:rsidR="001B54DE">
        <w:rPr>
          <w:rFonts w:cs="Arial"/>
          <w:color w:val="222222"/>
        </w:rPr>
        <w:t>jimž</w:t>
      </w:r>
      <w:r w:rsidR="005233C7">
        <w:rPr>
          <w:rFonts w:cs="Arial"/>
          <w:color w:val="222222"/>
        </w:rPr>
        <w:t xml:space="preserve"> předchází rovněž </w:t>
      </w:r>
      <w:r w:rsidR="001B54DE">
        <w:rPr>
          <w:rFonts w:cs="Arial"/>
          <w:color w:val="222222"/>
        </w:rPr>
        <w:t>určité</w:t>
      </w:r>
      <w:r w:rsidR="005233C7">
        <w:rPr>
          <w:rFonts w:cs="Arial"/>
          <w:color w:val="222222"/>
        </w:rPr>
        <w:t xml:space="preserve"> </w:t>
      </w:r>
      <w:r w:rsidR="005233C7" w:rsidRPr="005233C7">
        <w:rPr>
          <w:rFonts w:cs="Arial"/>
          <w:b/>
          <w:color w:val="222222"/>
        </w:rPr>
        <w:t>neformální jednání</w:t>
      </w:r>
      <w:r w:rsidR="005233C7">
        <w:rPr>
          <w:rFonts w:cs="Arial"/>
          <w:color w:val="222222"/>
        </w:rPr>
        <w:t xml:space="preserve"> Komise s členským státem. Tohle </w:t>
      </w:r>
      <w:r w:rsidR="001B54DE">
        <w:rPr>
          <w:rFonts w:cs="Arial"/>
          <w:color w:val="222222"/>
        </w:rPr>
        <w:t xml:space="preserve">neformální </w:t>
      </w:r>
      <w:r w:rsidR="005233C7">
        <w:rPr>
          <w:rFonts w:cs="Arial"/>
          <w:color w:val="222222"/>
        </w:rPr>
        <w:t xml:space="preserve">jednání následuje většinou velmi rychle po vydání odsuzujícího rozsudku, většinou lze hovořit o době jednoho měsíce od jeho vydání. V tomto případě se však nejedná o diplomatické vyjednávání prostřednictvím EU Pilot, ale jde zde o čistě neformální dotaz příslušného generálního ředitelství na opatření, která členský stát v návaznosti na odsuzující rozsudek přijal. </w:t>
      </w:r>
      <w:r>
        <w:rPr>
          <w:rFonts w:cs="Arial"/>
          <w:color w:val="222222"/>
        </w:rPr>
        <w:t>V </w:t>
      </w:r>
      <w:r w:rsidRPr="00E032F9">
        <w:rPr>
          <w:rFonts w:cs="Arial"/>
          <w:b/>
          <w:color w:val="222222"/>
        </w:rPr>
        <w:t>prejudiciální</w:t>
      </w:r>
      <w:r>
        <w:rPr>
          <w:rFonts w:cs="Arial"/>
          <w:color w:val="222222"/>
        </w:rPr>
        <w:t xml:space="preserve"> části řízení Komise zašle rovnou členskému státu výzvu k vyjádření se</w:t>
      </w:r>
      <w:r w:rsidR="00E87F9C">
        <w:rPr>
          <w:rFonts w:cs="Arial"/>
          <w:color w:val="222222"/>
        </w:rPr>
        <w:t xml:space="preserve">, bez nutnosti vydání odůvodněného </w:t>
      </w:r>
      <w:r w:rsidR="00E87F9C">
        <w:rPr>
          <w:rFonts w:cs="Arial"/>
          <w:color w:val="222222"/>
        </w:rPr>
        <w:lastRenderedPageBreak/>
        <w:t>stanoviska.</w:t>
      </w:r>
      <w:r w:rsidR="00E87F9C">
        <w:rPr>
          <w:rStyle w:val="Znakapoznpodarou"/>
          <w:rFonts w:cs="Arial"/>
          <w:color w:val="222222"/>
        </w:rPr>
        <w:footnoteReference w:id="105"/>
      </w:r>
      <w:r>
        <w:rPr>
          <w:rFonts w:cs="Arial"/>
          <w:color w:val="222222"/>
        </w:rPr>
        <w:t xml:space="preserve"> Ta musí mít náležitosti obdobné jako odůvodněné stanovisko v řízení dle článku 258 SFEU, tedy musí zejména dostatečně a přesně identifikovat v jakém rozsahu nebylo předchozímu rozsudku Soudního dvora vyhověno a jaké důvody Komisi k takovému závěru vedly. Tyto obligatorní náležitosti opět zajistí, aby nebylo dotčeno právo členského státu na obhajobu. Vedle toho rovněž nesmí sankční řízení nijak vybočit z rámce, který je dán již předchozím řízením podle článku 258 SFEU. </w:t>
      </w:r>
      <w:r w:rsidR="005233C7">
        <w:rPr>
          <w:rFonts w:cs="Arial"/>
          <w:color w:val="222222"/>
        </w:rPr>
        <w:t>Na sankční řízení musí být pohlíženo jako na zvláštní prostředek soudního výkonu rozsudku o porušení povinnosti, a proto může být v jeho rámci projednáváno jen to</w:t>
      </w:r>
      <w:r w:rsidR="004D07CE">
        <w:rPr>
          <w:rFonts w:cs="Arial"/>
          <w:color w:val="222222"/>
        </w:rPr>
        <w:t> </w:t>
      </w:r>
      <w:r w:rsidR="005233C7">
        <w:rPr>
          <w:rFonts w:cs="Arial"/>
          <w:color w:val="222222"/>
        </w:rPr>
        <w:t>nesplnění povinnosti, které Soudní dvůr v takovém rozsudku konstatoval.</w:t>
      </w:r>
      <w:r w:rsidR="001B54DE">
        <w:rPr>
          <w:rFonts w:cs="Arial"/>
          <w:color w:val="222222"/>
        </w:rPr>
        <w:t xml:space="preserve"> Následuje fáze </w:t>
      </w:r>
      <w:r w:rsidR="001B54DE" w:rsidRPr="00F53051">
        <w:rPr>
          <w:rFonts w:cs="Arial"/>
          <w:b/>
          <w:color w:val="222222"/>
        </w:rPr>
        <w:t>judiciální</w:t>
      </w:r>
      <w:r w:rsidR="001B54DE">
        <w:rPr>
          <w:rFonts w:cs="Arial"/>
          <w:color w:val="222222"/>
        </w:rPr>
        <w:t>, jež se skládá z písemné a ústní části. Soudní dvůr zde</w:t>
      </w:r>
      <w:r w:rsidR="00A43917">
        <w:rPr>
          <w:rFonts w:cs="Arial"/>
          <w:color w:val="222222"/>
        </w:rPr>
        <w:t> </w:t>
      </w:r>
      <w:r w:rsidR="001B54DE">
        <w:rPr>
          <w:rFonts w:cs="Arial"/>
          <w:color w:val="222222"/>
        </w:rPr>
        <w:t>zkoumá jak přípustnost žaloby, tak její opodstatněnost. Jinak řečeno zjišťuje, zda Komise unesla důkazní břemeno a dále jestli prokázala, že členský stát skutečně plně nevyhověl prvnímu odsuzujícímu rozsudku Soudního dvora. Mimo to se však zabývá i návrhem na finanční sankci, který je součástí žaloby Komise v sankčním řízení.</w:t>
      </w:r>
      <w:r w:rsidR="001B54DE">
        <w:rPr>
          <w:rStyle w:val="Znakapoznpodarou"/>
          <w:rFonts w:cs="Arial"/>
          <w:color w:val="222222"/>
        </w:rPr>
        <w:footnoteReference w:id="106"/>
      </w:r>
    </w:p>
    <w:p w:rsidR="001B54DE" w:rsidRDefault="001B54DE" w:rsidP="005233C7">
      <w:pPr>
        <w:ind w:firstLine="708"/>
        <w:rPr>
          <w:rFonts w:cs="Arial"/>
          <w:color w:val="222222"/>
        </w:rPr>
      </w:pPr>
      <w:r>
        <w:rPr>
          <w:rFonts w:cs="Arial"/>
          <w:color w:val="222222"/>
        </w:rPr>
        <w:t xml:space="preserve">V primárním právu najdeme dva druhy finanční </w:t>
      </w:r>
      <w:r w:rsidRPr="00F53051">
        <w:rPr>
          <w:rFonts w:cs="Arial"/>
          <w:b/>
          <w:color w:val="222222"/>
        </w:rPr>
        <w:t>sankce</w:t>
      </w:r>
      <w:r>
        <w:rPr>
          <w:rFonts w:cs="Arial"/>
          <w:color w:val="222222"/>
        </w:rPr>
        <w:t>, kterou může Soudní dvůr v sankčním řízení členskému státu uložit. Může uložit členskému státu</w:t>
      </w:r>
      <w:r w:rsidR="00A7273F">
        <w:rPr>
          <w:rFonts w:cs="Arial"/>
          <w:color w:val="222222"/>
        </w:rPr>
        <w:t xml:space="preserve"> sankci formou </w:t>
      </w:r>
      <w:r w:rsidRPr="00A7273F">
        <w:rPr>
          <w:rFonts w:cs="Arial"/>
          <w:color w:val="222222"/>
        </w:rPr>
        <w:t>paušální částk</w:t>
      </w:r>
      <w:r w:rsidR="00A7273F">
        <w:rPr>
          <w:rFonts w:cs="Arial"/>
          <w:color w:val="222222"/>
        </w:rPr>
        <w:t>y</w:t>
      </w:r>
      <w:r w:rsidRPr="00A7273F">
        <w:rPr>
          <w:rFonts w:cs="Arial"/>
          <w:color w:val="222222"/>
        </w:rPr>
        <w:t xml:space="preserve"> nebo </w:t>
      </w:r>
      <w:r w:rsidR="00A7273F">
        <w:rPr>
          <w:rFonts w:cs="Arial"/>
          <w:color w:val="222222"/>
        </w:rPr>
        <w:t xml:space="preserve">opakovaného </w:t>
      </w:r>
      <w:r w:rsidRPr="00A7273F">
        <w:rPr>
          <w:rFonts w:cs="Arial"/>
          <w:color w:val="222222"/>
        </w:rPr>
        <w:t>penále</w:t>
      </w:r>
      <w:r>
        <w:rPr>
          <w:rFonts w:cs="Arial"/>
          <w:color w:val="222222"/>
        </w:rPr>
        <w:t xml:space="preserve">. </w:t>
      </w:r>
    </w:p>
    <w:p w:rsidR="005F2812" w:rsidRDefault="005A074B" w:rsidP="005233C7">
      <w:pPr>
        <w:ind w:firstLine="708"/>
        <w:rPr>
          <w:rFonts w:cs="Arial"/>
          <w:color w:val="222222"/>
        </w:rPr>
      </w:pPr>
      <w:r>
        <w:rPr>
          <w:rFonts w:cs="Arial"/>
          <w:color w:val="222222"/>
        </w:rPr>
        <w:t xml:space="preserve">Pokud se podíváme nejprve na </w:t>
      </w:r>
      <w:r w:rsidRPr="00A7273F">
        <w:rPr>
          <w:rFonts w:cs="Arial"/>
          <w:b/>
          <w:color w:val="222222"/>
        </w:rPr>
        <w:t>paušální částku</w:t>
      </w:r>
      <w:r>
        <w:rPr>
          <w:rFonts w:cs="Arial"/>
          <w:color w:val="222222"/>
        </w:rPr>
        <w:t>, jedná se o sankci zaměřenou spíše do minulosti. Její smysl tkví v posouzení dopadů nesplnění povinnosti člensk</w:t>
      </w:r>
      <w:r w:rsidR="005F2812">
        <w:rPr>
          <w:rFonts w:cs="Arial"/>
          <w:color w:val="222222"/>
        </w:rPr>
        <w:t xml:space="preserve">ého </w:t>
      </w:r>
      <w:r>
        <w:rPr>
          <w:rFonts w:cs="Arial"/>
          <w:color w:val="222222"/>
        </w:rPr>
        <w:t>stát</w:t>
      </w:r>
      <w:r w:rsidR="005F2812">
        <w:rPr>
          <w:rFonts w:cs="Arial"/>
          <w:color w:val="222222"/>
        </w:rPr>
        <w:t>u na soukromé a veřejné zájmy. Zejména pak v případech, kdy neplnění povinností podle prvního odsuzujícího trvalo dlouhou dobu od vydání rozsudku. Jedná se o platbu jednorázovou, jejíž konečná výše je určená rozsudkem Soudního dvor</w:t>
      </w:r>
      <w:r w:rsidR="00EA519F">
        <w:rPr>
          <w:rFonts w:cs="Arial"/>
          <w:color w:val="222222"/>
        </w:rPr>
        <w:t xml:space="preserve">a. Například v případu </w:t>
      </w:r>
      <w:r w:rsidR="005F2812">
        <w:rPr>
          <w:rFonts w:cs="Arial"/>
          <w:color w:val="222222"/>
        </w:rPr>
        <w:t>Komise vs. Francie</w:t>
      </w:r>
      <w:r w:rsidR="00EA519F">
        <w:rPr>
          <w:rStyle w:val="Znakapoznpodarou"/>
          <w:rFonts w:cs="Arial"/>
          <w:color w:val="222222"/>
        </w:rPr>
        <w:footnoteReference w:id="107"/>
      </w:r>
      <w:r w:rsidR="005F2812">
        <w:rPr>
          <w:rFonts w:cs="Arial"/>
          <w:color w:val="222222"/>
        </w:rPr>
        <w:t xml:space="preserve"> uložil Soudní dvůr zaplacení paušální částky ve výši 10 mil. eur. Tato sankce, jak lze vidět z praxe, může značně zasáhnout do majetkové sféry členského státu.</w:t>
      </w:r>
      <w:r w:rsidR="00A7273F">
        <w:rPr>
          <w:rStyle w:val="Znakapoznpodarou"/>
          <w:rFonts w:cs="Arial"/>
          <w:color w:val="222222"/>
        </w:rPr>
        <w:footnoteReference w:id="108"/>
      </w:r>
      <w:r w:rsidR="005F2812">
        <w:rPr>
          <w:rFonts w:cs="Arial"/>
          <w:color w:val="222222"/>
        </w:rPr>
        <w:t xml:space="preserve"> </w:t>
      </w:r>
    </w:p>
    <w:p w:rsidR="00E032F9" w:rsidRDefault="00A7273F" w:rsidP="005233C7">
      <w:pPr>
        <w:ind w:firstLine="708"/>
        <w:rPr>
          <w:rFonts w:cs="Arial"/>
          <w:color w:val="222222"/>
        </w:rPr>
      </w:pPr>
      <w:r>
        <w:rPr>
          <w:rFonts w:cs="Arial"/>
          <w:color w:val="222222"/>
        </w:rPr>
        <w:t xml:space="preserve">Vedle toho zde máme sankci ve formě </w:t>
      </w:r>
      <w:r w:rsidRPr="007319AA">
        <w:rPr>
          <w:rFonts w:cs="Arial"/>
          <w:b/>
          <w:color w:val="222222"/>
        </w:rPr>
        <w:t>opakovaného penále</w:t>
      </w:r>
      <w:r>
        <w:rPr>
          <w:rFonts w:cs="Arial"/>
          <w:color w:val="222222"/>
        </w:rPr>
        <w:t xml:space="preserve">. Cílem tohoto postihu je přimět členský stát, aby co nejrychleji ukončil neplnění povinností a zhojil vadný stav. Z tohoto důvodu Soudní dvůr ukládá penále jako částku za určité </w:t>
      </w:r>
      <w:r>
        <w:rPr>
          <w:rFonts w:cs="Arial"/>
          <w:color w:val="222222"/>
        </w:rPr>
        <w:lastRenderedPageBreak/>
        <w:t>období</w:t>
      </w:r>
      <w:r>
        <w:rPr>
          <w:rStyle w:val="Znakapoznpodarou"/>
          <w:rFonts w:cs="Arial"/>
          <w:color w:val="222222"/>
        </w:rPr>
        <w:footnoteReference w:id="109"/>
      </w:r>
      <w:r>
        <w:rPr>
          <w:rFonts w:cs="Arial"/>
          <w:color w:val="222222"/>
        </w:rPr>
        <w:t>,</w:t>
      </w:r>
      <w:r w:rsidR="007319AA">
        <w:rPr>
          <w:rFonts w:cs="Arial"/>
          <w:color w:val="222222"/>
        </w:rPr>
        <w:t xml:space="preserve"> a to od vydání druhého odsuzujícího rozsudku Soudního dvora až do doby úplného splnění povinností vyplývajících z prvního odsuzujícího rozsudku. V porovnání s paušální částkou je tedy rozdíl hlavně v tom, že Soud tentokrát v rozsudku nestanoví konečnou výši sankce a nevíme zde, na jakou výši se penále může vyšplh</w:t>
      </w:r>
      <w:r w:rsidR="00EA519F">
        <w:rPr>
          <w:rFonts w:cs="Arial"/>
          <w:color w:val="222222"/>
        </w:rPr>
        <w:t>at. Například v případu</w:t>
      </w:r>
      <w:r w:rsidR="007319AA">
        <w:rPr>
          <w:rFonts w:cs="Arial"/>
          <w:color w:val="222222"/>
        </w:rPr>
        <w:t xml:space="preserve"> Komise vs. Francie</w:t>
      </w:r>
      <w:r w:rsidR="00EA519F">
        <w:rPr>
          <w:rStyle w:val="Znakapoznpodarou"/>
          <w:rFonts w:cs="Arial"/>
          <w:color w:val="222222"/>
        </w:rPr>
        <w:footnoteReference w:id="110"/>
      </w:r>
      <w:r w:rsidR="007319AA">
        <w:rPr>
          <w:rFonts w:cs="Arial"/>
          <w:color w:val="222222"/>
        </w:rPr>
        <w:t xml:space="preserve"> byl</w:t>
      </w:r>
      <w:r w:rsidR="00EA519F">
        <w:rPr>
          <w:rFonts w:cs="Arial"/>
          <w:color w:val="222222"/>
        </w:rPr>
        <w:t>a</w:t>
      </w:r>
      <w:r w:rsidR="007319AA">
        <w:rPr>
          <w:rFonts w:cs="Arial"/>
          <w:color w:val="222222"/>
        </w:rPr>
        <w:t xml:space="preserve"> Francii uložena povinnost zaplatit penále ve výši 31 650 eur za každý den prodlení, ve kterém trvá nesplnění povinností vyplývajících pro členský stát z prvního odsuzujícího rozsudku.</w:t>
      </w:r>
      <w:r w:rsidR="007319AA">
        <w:rPr>
          <w:rStyle w:val="Znakapoznpodarou"/>
          <w:rFonts w:cs="Arial"/>
          <w:color w:val="222222"/>
        </w:rPr>
        <w:footnoteReference w:id="111"/>
      </w:r>
      <w:r w:rsidR="007319AA">
        <w:rPr>
          <w:rFonts w:cs="Arial"/>
          <w:color w:val="222222"/>
        </w:rPr>
        <w:t xml:space="preserve">     </w:t>
      </w:r>
      <w:r>
        <w:rPr>
          <w:rFonts w:cs="Arial"/>
          <w:color w:val="222222"/>
        </w:rPr>
        <w:t xml:space="preserve"> </w:t>
      </w:r>
      <w:r w:rsidR="005F2812">
        <w:rPr>
          <w:rFonts w:cs="Arial"/>
          <w:color w:val="222222"/>
        </w:rPr>
        <w:t xml:space="preserve">     </w:t>
      </w:r>
      <w:r w:rsidR="005A074B">
        <w:rPr>
          <w:rFonts w:cs="Arial"/>
          <w:color w:val="222222"/>
        </w:rPr>
        <w:t xml:space="preserve">  </w:t>
      </w:r>
      <w:r w:rsidR="001B54DE">
        <w:rPr>
          <w:rFonts w:cs="Arial"/>
          <w:color w:val="222222"/>
        </w:rPr>
        <w:t xml:space="preserve"> </w:t>
      </w:r>
      <w:r w:rsidR="005233C7">
        <w:rPr>
          <w:rFonts w:cs="Arial"/>
          <w:color w:val="222222"/>
        </w:rPr>
        <w:t xml:space="preserve">   </w:t>
      </w:r>
      <w:r w:rsidR="00E032F9">
        <w:rPr>
          <w:rFonts w:cs="Arial"/>
          <w:color w:val="222222"/>
        </w:rPr>
        <w:t xml:space="preserve">      </w:t>
      </w:r>
    </w:p>
    <w:p w:rsidR="00927316" w:rsidRDefault="00D0113E" w:rsidP="0036462D">
      <w:pPr>
        <w:ind w:firstLine="708"/>
        <w:rPr>
          <w:rFonts w:cs="Arial"/>
          <w:color w:val="222222"/>
        </w:rPr>
      </w:pPr>
      <w:r>
        <w:rPr>
          <w:rFonts w:cs="Arial"/>
          <w:color w:val="222222"/>
        </w:rPr>
        <w:t xml:space="preserve">Nyní se zaměříme na </w:t>
      </w:r>
      <w:r w:rsidRPr="00927316">
        <w:rPr>
          <w:rFonts w:cs="Arial"/>
          <w:b/>
          <w:color w:val="222222"/>
        </w:rPr>
        <w:t>pravidla</w:t>
      </w:r>
      <w:r>
        <w:rPr>
          <w:rFonts w:cs="Arial"/>
          <w:color w:val="222222"/>
        </w:rPr>
        <w:t>, která upravují ukládání sankcí a výpočet jejich výše. Právní úprava v primárním právu je v tomto ohledu značně omezená a pouze nám v článku 260 odst. 2 SFEU říká, že návrh sankce předkládá Komise ve výši, kterou považuje za přiměřenou okolnostem.</w:t>
      </w:r>
      <w:r>
        <w:rPr>
          <w:rStyle w:val="Znakapoznpodarou"/>
          <w:rFonts w:cs="Arial"/>
          <w:color w:val="222222"/>
        </w:rPr>
        <w:footnoteReference w:id="112"/>
      </w:r>
      <w:r>
        <w:rPr>
          <w:rFonts w:cs="Arial"/>
          <w:color w:val="222222"/>
        </w:rPr>
        <w:t xml:space="preserve"> Blíže je tato problematika upravena v rámci judikatury Soudního dvora, kde soud stanovil svoji nevázanost návrhem Komise, a to co do výše navrhované sankce. V praxi to znamená, že je zcela v diskreci Soudního dvora, jakou výši sankce zvolí. Může uložit jak sankci vyšší, tak i</w:t>
      </w:r>
      <w:r w:rsidR="00EE27C7">
        <w:rPr>
          <w:rFonts w:cs="Arial"/>
          <w:color w:val="222222"/>
        </w:rPr>
        <w:t> </w:t>
      </w:r>
      <w:r>
        <w:rPr>
          <w:rFonts w:cs="Arial"/>
          <w:color w:val="222222"/>
        </w:rPr>
        <w:t>naopak může navrhovanou výši sankce snížit.</w:t>
      </w:r>
      <w:r w:rsidR="00F4231F">
        <w:rPr>
          <w:rStyle w:val="Znakapoznpodarou"/>
          <w:rFonts w:cs="Arial"/>
          <w:color w:val="222222"/>
        </w:rPr>
        <w:footnoteReference w:id="113"/>
      </w:r>
      <w:r>
        <w:rPr>
          <w:rFonts w:cs="Arial"/>
          <w:color w:val="222222"/>
        </w:rPr>
        <w:t xml:space="preserve"> </w:t>
      </w:r>
    </w:p>
    <w:p w:rsidR="00F4231F" w:rsidRDefault="00D0113E" w:rsidP="0036462D">
      <w:pPr>
        <w:ind w:firstLine="708"/>
        <w:rPr>
          <w:rFonts w:cs="Arial"/>
          <w:color w:val="222222"/>
        </w:rPr>
      </w:pPr>
      <w:r>
        <w:rPr>
          <w:rFonts w:cs="Arial"/>
          <w:color w:val="222222"/>
        </w:rPr>
        <w:t xml:space="preserve">Nejedná se zde však o naprostou svévoli Soudního dvora v posuzování výše sankce, ale pravidelně </w:t>
      </w:r>
      <w:r w:rsidR="00EE27C7">
        <w:rPr>
          <w:rFonts w:cs="Arial"/>
          <w:color w:val="222222"/>
        </w:rPr>
        <w:t xml:space="preserve">při jejím stanovení vychází ze </w:t>
      </w:r>
      <w:r w:rsidR="00EE27C7" w:rsidRPr="00927316">
        <w:rPr>
          <w:rFonts w:cs="Arial"/>
          <w:b/>
          <w:color w:val="222222"/>
        </w:rPr>
        <w:t>sdělení</w:t>
      </w:r>
      <w:r w:rsidR="00EE27C7">
        <w:rPr>
          <w:rFonts w:cs="Arial"/>
          <w:color w:val="222222"/>
        </w:rPr>
        <w:t>, které Komise pro účely výpočtu penále nebo paušální částky přijala.</w:t>
      </w:r>
      <w:r w:rsidR="00F4231F">
        <w:rPr>
          <w:rFonts w:cs="Arial"/>
          <w:color w:val="222222"/>
        </w:rPr>
        <w:t xml:space="preserve"> Je v něm popsána podrobně metoda pro výpočet finanční sankce, která zohledňuje především délku trvání porušení, stupeň závažnosti porušení a platební schopnost členského státu. Vedle toho se</w:t>
      </w:r>
      <w:r w:rsidR="004D07CE">
        <w:rPr>
          <w:rFonts w:cs="Arial"/>
          <w:color w:val="222222"/>
        </w:rPr>
        <w:t> </w:t>
      </w:r>
      <w:r w:rsidR="00F4231F">
        <w:rPr>
          <w:rFonts w:cs="Arial"/>
          <w:color w:val="222222"/>
        </w:rPr>
        <w:t>přihlíží i k důsledkům nesplnění povinností pro soukromé a veřejné zájmy a</w:t>
      </w:r>
      <w:r w:rsidR="004D07CE">
        <w:rPr>
          <w:rFonts w:cs="Arial"/>
          <w:color w:val="222222"/>
        </w:rPr>
        <w:t> </w:t>
      </w:r>
      <w:r w:rsidR="00F4231F">
        <w:rPr>
          <w:rFonts w:cs="Arial"/>
          <w:color w:val="222222"/>
        </w:rPr>
        <w:t xml:space="preserve">k naléhavosti, s níž je třeba přimět stát ke splnění svých povinností. Soudní dvůr mimo to bere v úvahu i další okolnosti konkrétního případu, zejména pak postoj dotčeného členského státu. </w:t>
      </w:r>
      <w:r w:rsidR="009E35D3">
        <w:rPr>
          <w:rFonts w:cs="Arial"/>
          <w:color w:val="222222"/>
        </w:rPr>
        <w:t>Touto další okolností může být například to,</w:t>
      </w:r>
      <w:r w:rsidR="00487CC4">
        <w:rPr>
          <w:rFonts w:cs="Arial"/>
          <w:color w:val="222222"/>
        </w:rPr>
        <w:t> </w:t>
      </w:r>
      <w:r w:rsidR="009E35D3">
        <w:rPr>
          <w:rFonts w:cs="Arial"/>
          <w:color w:val="222222"/>
        </w:rPr>
        <w:t>že</w:t>
      </w:r>
      <w:r w:rsidR="00BA1D87">
        <w:rPr>
          <w:rFonts w:cs="Arial"/>
          <w:color w:val="222222"/>
        </w:rPr>
        <w:t> </w:t>
      </w:r>
      <w:r w:rsidR="009E35D3">
        <w:rPr>
          <w:rFonts w:cs="Arial"/>
          <w:color w:val="222222"/>
        </w:rPr>
        <w:t>se</w:t>
      </w:r>
      <w:r w:rsidR="00BA1D87">
        <w:rPr>
          <w:rFonts w:cs="Arial"/>
          <w:color w:val="222222"/>
        </w:rPr>
        <w:t> </w:t>
      </w:r>
      <w:r w:rsidR="009E35D3">
        <w:rPr>
          <w:rFonts w:cs="Arial"/>
          <w:color w:val="222222"/>
        </w:rPr>
        <w:t>jednalo o opakované porušení, nebo fakt, že byla pro stát náprava vadného stavu obzvláště obtížná.</w:t>
      </w:r>
      <w:r w:rsidR="009E35D3">
        <w:rPr>
          <w:rStyle w:val="Znakapoznpodarou"/>
          <w:rFonts w:cs="Arial"/>
          <w:color w:val="222222"/>
        </w:rPr>
        <w:footnoteReference w:id="114"/>
      </w:r>
      <w:r w:rsidR="009E35D3">
        <w:rPr>
          <w:rFonts w:cs="Arial"/>
          <w:color w:val="222222"/>
        </w:rPr>
        <w:t xml:space="preserve">   </w:t>
      </w:r>
      <w:r w:rsidR="00F4231F">
        <w:rPr>
          <w:rFonts w:cs="Arial"/>
          <w:color w:val="222222"/>
        </w:rPr>
        <w:t xml:space="preserve">   </w:t>
      </w:r>
      <w:r w:rsidR="00EE27C7">
        <w:rPr>
          <w:rFonts w:cs="Arial"/>
          <w:color w:val="222222"/>
        </w:rPr>
        <w:t xml:space="preserve"> </w:t>
      </w:r>
    </w:p>
    <w:p w:rsidR="00BE5E0D" w:rsidRDefault="009E35D3" w:rsidP="0036462D">
      <w:pPr>
        <w:ind w:firstLine="708"/>
        <w:rPr>
          <w:rFonts w:cs="Arial"/>
          <w:color w:val="222222"/>
        </w:rPr>
      </w:pPr>
      <w:r>
        <w:rPr>
          <w:rFonts w:cs="Arial"/>
          <w:color w:val="222222"/>
        </w:rPr>
        <w:lastRenderedPageBreak/>
        <w:t>K</w:t>
      </w:r>
      <w:r w:rsidR="00EE27C7">
        <w:rPr>
          <w:rFonts w:cs="Arial"/>
          <w:color w:val="222222"/>
        </w:rPr>
        <w:t xml:space="preserve">onkrétně </w:t>
      </w:r>
      <w:r>
        <w:rPr>
          <w:rFonts w:cs="Arial"/>
          <w:color w:val="222222"/>
        </w:rPr>
        <w:t xml:space="preserve">se jedná </w:t>
      </w:r>
      <w:r w:rsidR="00EE27C7">
        <w:rPr>
          <w:rFonts w:cs="Arial"/>
          <w:color w:val="222222"/>
        </w:rPr>
        <w:t xml:space="preserve">o sdělení </w:t>
      </w:r>
      <w:r w:rsidR="00EA519F">
        <w:rPr>
          <w:rFonts w:cs="Arial"/>
          <w:color w:val="222222"/>
        </w:rPr>
        <w:t>Komise z roku 2005 ve znění poslední aktualizace z roku 2013</w:t>
      </w:r>
      <w:r w:rsidR="00EA519F">
        <w:rPr>
          <w:rStyle w:val="Znakapoznpodarou"/>
          <w:rFonts w:cs="Arial"/>
          <w:color w:val="222222"/>
        </w:rPr>
        <w:footnoteReference w:id="115"/>
      </w:r>
      <w:r w:rsidR="00EE27C7">
        <w:rPr>
          <w:rFonts w:cs="Arial"/>
          <w:color w:val="222222"/>
        </w:rPr>
        <w:t>, které vytvořilo základ, na němž Komise vypočítává částky finančních sankcí, o jejichž uložení žádá Soudní dvůr.</w:t>
      </w:r>
      <w:r w:rsidR="00F4231F">
        <w:rPr>
          <w:rFonts w:cs="Arial"/>
          <w:color w:val="222222"/>
        </w:rPr>
        <w:t xml:space="preserve"> </w:t>
      </w:r>
      <w:r>
        <w:rPr>
          <w:rFonts w:cs="Arial"/>
          <w:color w:val="222222"/>
        </w:rPr>
        <w:t xml:space="preserve">Pokud se podrobněji podíváme na metodu výpočtu penále dle sdělení, provádí se </w:t>
      </w:r>
      <w:r w:rsidR="00EE27C7">
        <w:rPr>
          <w:rFonts w:cs="Arial"/>
          <w:color w:val="222222"/>
        </w:rPr>
        <w:t xml:space="preserve">s ohledem na makroekonomické údaje, jako je míra inflace </w:t>
      </w:r>
      <w:r w:rsidR="00177FD3">
        <w:rPr>
          <w:rFonts w:cs="Arial"/>
          <w:color w:val="222222"/>
        </w:rPr>
        <w:t xml:space="preserve">a HDP </w:t>
      </w:r>
      <w:r w:rsidR="00EE27C7">
        <w:rPr>
          <w:rFonts w:cs="Arial"/>
          <w:color w:val="222222"/>
        </w:rPr>
        <w:t>v jednotlivých členských zemích</w:t>
      </w:r>
      <w:r w:rsidR="00177FD3">
        <w:rPr>
          <w:rFonts w:cs="Arial"/>
          <w:color w:val="222222"/>
        </w:rPr>
        <w:t xml:space="preserve">. Sdělením z roku 2010 bylo navíc Komisí stanoveno, že tyto údaje musí být každoročně revidovány, aby byla zohledněna míra inflace a změny HDP. Kromě </w:t>
      </w:r>
      <w:r w:rsidR="00927316">
        <w:rPr>
          <w:rFonts w:cs="Arial"/>
          <w:color w:val="222222"/>
        </w:rPr>
        <w:t>toho</w:t>
      </w:r>
      <w:r w:rsidR="00177FD3">
        <w:rPr>
          <w:rFonts w:cs="Arial"/>
          <w:color w:val="222222"/>
        </w:rPr>
        <w:t xml:space="preserve"> se při výpočtu zohled</w:t>
      </w:r>
      <w:r w:rsidR="00927316">
        <w:rPr>
          <w:rFonts w:cs="Arial"/>
          <w:color w:val="222222"/>
        </w:rPr>
        <w:t>ní i počet hlasovacích práv státu v Radě EU. Všechny tyto faktory dohromady dají tzv. zvláštní faktor „n“, který najdeme vypočítaný pro každý stát v tabulce ve sdělení a je stejný pro výpočet paušální částky i penále. Sdělení rovněž v tabulce stanoví minimální výši platby paušální částky, která je pro každý stát odvislá právě od zvláštního faktoru „n</w:t>
      </w:r>
      <w:r w:rsidR="00927316" w:rsidRPr="000D6994">
        <w:rPr>
          <w:rFonts w:cs="Arial"/>
          <w:color w:val="222222"/>
        </w:rPr>
        <w:t>“</w:t>
      </w:r>
      <w:r w:rsidR="00E022CB" w:rsidRPr="000D6994">
        <w:rPr>
          <w:rFonts w:cs="Arial"/>
          <w:color w:val="222222"/>
        </w:rPr>
        <w:t xml:space="preserve"> (viz Příloha č. 1)</w:t>
      </w:r>
      <w:r w:rsidR="00927316" w:rsidRPr="000D6994">
        <w:rPr>
          <w:rFonts w:cs="Arial"/>
          <w:color w:val="222222"/>
        </w:rPr>
        <w:t>.</w:t>
      </w:r>
      <w:r w:rsidR="00927316">
        <w:rPr>
          <w:rFonts w:cs="Arial"/>
          <w:color w:val="222222"/>
        </w:rPr>
        <w:t xml:space="preserve"> V případě, že souhrn denních plateb paušální částky nepřekročí minimální pevně stanovenou paušální částku, pak navrhuje tuto částku Soudní dvůr. Mimo to stanoví </w:t>
      </w:r>
      <w:r w:rsidR="00EA519F">
        <w:rPr>
          <w:rFonts w:cs="Arial"/>
          <w:color w:val="222222"/>
        </w:rPr>
        <w:t xml:space="preserve">sdělení </w:t>
      </w:r>
      <w:r w:rsidR="00927316">
        <w:rPr>
          <w:rFonts w:cs="Arial"/>
          <w:color w:val="222222"/>
        </w:rPr>
        <w:t xml:space="preserve">standartní paušální sazbu pro výpočet penále a paušální částky v eurech </w:t>
      </w:r>
      <w:r w:rsidR="00F4231F">
        <w:rPr>
          <w:rFonts w:cs="Arial"/>
          <w:color w:val="222222"/>
        </w:rPr>
        <w:t>za</w:t>
      </w:r>
      <w:r w:rsidR="004D07CE">
        <w:rPr>
          <w:rFonts w:cs="Arial"/>
          <w:color w:val="222222"/>
        </w:rPr>
        <w:t> </w:t>
      </w:r>
      <w:r w:rsidR="00F4231F">
        <w:rPr>
          <w:rFonts w:cs="Arial"/>
          <w:color w:val="222222"/>
        </w:rPr>
        <w:t>den. Podle poslední aktualizace sdělení z roku 2013 je tato sazba u penále ve</w:t>
      </w:r>
      <w:r w:rsidR="004D07CE">
        <w:rPr>
          <w:rFonts w:cs="Arial"/>
          <w:color w:val="222222"/>
        </w:rPr>
        <w:t> </w:t>
      </w:r>
      <w:r w:rsidR="00F4231F">
        <w:rPr>
          <w:rFonts w:cs="Arial"/>
          <w:color w:val="222222"/>
        </w:rPr>
        <w:t>výši 650 eur za</w:t>
      </w:r>
      <w:r w:rsidR="00A43917">
        <w:rPr>
          <w:rFonts w:cs="Arial"/>
          <w:color w:val="222222"/>
        </w:rPr>
        <w:t> </w:t>
      </w:r>
      <w:r w:rsidR="00F4231F">
        <w:rPr>
          <w:rFonts w:cs="Arial"/>
          <w:color w:val="222222"/>
        </w:rPr>
        <w:t>den a u paušální částky je stanovena na 220 eur za den.</w:t>
      </w:r>
      <w:r w:rsidR="00F4231F">
        <w:rPr>
          <w:rStyle w:val="Znakapoznpodarou"/>
          <w:rFonts w:cs="Arial"/>
          <w:color w:val="222222"/>
        </w:rPr>
        <w:footnoteReference w:id="116"/>
      </w:r>
      <w:r w:rsidR="00F4231F">
        <w:rPr>
          <w:rFonts w:cs="Arial"/>
          <w:color w:val="222222"/>
        </w:rPr>
        <w:t xml:space="preserve"> </w:t>
      </w:r>
    </w:p>
    <w:p w:rsidR="00E032F9" w:rsidRDefault="002070B2" w:rsidP="0036462D">
      <w:pPr>
        <w:ind w:firstLine="708"/>
        <w:rPr>
          <w:rFonts w:cs="Arial"/>
          <w:color w:val="222222"/>
        </w:rPr>
      </w:pPr>
      <w:r>
        <w:rPr>
          <w:rFonts w:cs="Arial"/>
          <w:color w:val="222222"/>
        </w:rPr>
        <w:t xml:space="preserve">Na základě rozsudku </w:t>
      </w:r>
      <w:r w:rsidR="00EA519F">
        <w:rPr>
          <w:rFonts w:cs="Arial"/>
          <w:color w:val="222222"/>
        </w:rPr>
        <w:t xml:space="preserve">Soudního dvora ve věci </w:t>
      </w:r>
      <w:r>
        <w:rPr>
          <w:rFonts w:cs="Arial"/>
          <w:color w:val="222222"/>
        </w:rPr>
        <w:t>Komise vs. Francie</w:t>
      </w:r>
      <w:r w:rsidR="00EA519F">
        <w:rPr>
          <w:rStyle w:val="Znakapoznpodarou"/>
          <w:rFonts w:cs="Arial"/>
          <w:color w:val="222222"/>
        </w:rPr>
        <w:footnoteReference w:id="117"/>
      </w:r>
      <w:r w:rsidR="006561FD">
        <w:rPr>
          <w:rFonts w:cs="Arial"/>
          <w:color w:val="222222"/>
        </w:rPr>
        <w:t xml:space="preserve"> </w:t>
      </w:r>
      <w:r>
        <w:rPr>
          <w:rFonts w:cs="Arial"/>
          <w:color w:val="222222"/>
        </w:rPr>
        <w:t>je</w:t>
      </w:r>
      <w:r w:rsidR="00BA1D87">
        <w:rPr>
          <w:rFonts w:cs="Arial"/>
          <w:color w:val="222222"/>
        </w:rPr>
        <w:t> </w:t>
      </w:r>
      <w:r>
        <w:rPr>
          <w:rFonts w:cs="Arial"/>
          <w:color w:val="222222"/>
        </w:rPr>
        <w:t xml:space="preserve">možné paušální částku a opakované penále </w:t>
      </w:r>
      <w:r w:rsidRPr="00B15A92">
        <w:rPr>
          <w:rFonts w:cs="Arial"/>
          <w:b/>
          <w:color w:val="222222"/>
        </w:rPr>
        <w:t>uložit i kumulativně</w:t>
      </w:r>
      <w:r>
        <w:rPr>
          <w:rFonts w:cs="Arial"/>
          <w:color w:val="222222"/>
        </w:rPr>
        <w:t>.</w:t>
      </w:r>
      <w:r w:rsidR="006561FD">
        <w:rPr>
          <w:rFonts w:cs="Arial"/>
          <w:color w:val="222222"/>
        </w:rPr>
        <w:t xml:space="preserve"> </w:t>
      </w:r>
      <w:r w:rsidR="006561FD" w:rsidRPr="00BA1D87">
        <w:rPr>
          <w:rFonts w:cs="Arial"/>
        </w:rPr>
        <w:t>Jednalo se</w:t>
      </w:r>
      <w:r w:rsidR="002E49AA" w:rsidRPr="00BA1D87">
        <w:rPr>
          <w:rFonts w:cs="Arial"/>
        </w:rPr>
        <w:t> </w:t>
      </w:r>
      <w:r w:rsidR="006561FD" w:rsidRPr="00BA1D87">
        <w:rPr>
          <w:rFonts w:cs="Arial"/>
        </w:rPr>
        <w:t>o</w:t>
      </w:r>
      <w:r w:rsidR="002E49AA" w:rsidRPr="00BA1D87">
        <w:rPr>
          <w:rFonts w:cs="Arial"/>
        </w:rPr>
        <w:t> </w:t>
      </w:r>
      <w:r w:rsidR="006561FD" w:rsidRPr="00BA1D87">
        <w:rPr>
          <w:rFonts w:cs="Arial"/>
        </w:rPr>
        <w:t>řízení, které vedla Komise proti Francii pro porušení rybolovné politiky. Jedním z bodů tohoto sporu bylo, zda může Soudní dvůr uložit Francii kombinaci penále a</w:t>
      </w:r>
      <w:r w:rsidR="002E49AA" w:rsidRPr="00BA1D87">
        <w:rPr>
          <w:rFonts w:cs="Arial"/>
        </w:rPr>
        <w:t> </w:t>
      </w:r>
      <w:r w:rsidR="006561FD" w:rsidRPr="00BA1D87">
        <w:rPr>
          <w:rFonts w:cs="Arial"/>
        </w:rPr>
        <w:t>paušální částky, i přesto že Komise navrhovala v žalobě pouze penále. Jako vedlejší účastník se</w:t>
      </w:r>
      <w:r w:rsidR="00EA519F">
        <w:rPr>
          <w:rFonts w:cs="Arial"/>
        </w:rPr>
        <w:t> </w:t>
      </w:r>
      <w:r w:rsidR="006561FD" w:rsidRPr="00BA1D87">
        <w:rPr>
          <w:rFonts w:cs="Arial"/>
        </w:rPr>
        <w:t>řízení účastnila i Česká republika, která podporovala větší volnost ESD, tj. dle názoru České republiky se mohl Soudní dvůr od návrhu Komise odchýlit a uložit kombinaci penále a paušální pokuty. Stanovisko České republiky se</w:t>
      </w:r>
      <w:r w:rsidR="002E49AA" w:rsidRPr="00BA1D87">
        <w:rPr>
          <w:rFonts w:cs="Arial"/>
        </w:rPr>
        <w:t> </w:t>
      </w:r>
      <w:r w:rsidR="006561FD" w:rsidRPr="00BA1D87">
        <w:rPr>
          <w:rFonts w:cs="Arial"/>
        </w:rPr>
        <w:t>shodovalo s názory zástupců např. Velké Británie, Dánska, Finska a Nizozemska a</w:t>
      </w:r>
      <w:r w:rsidR="002E49AA" w:rsidRPr="00BA1D87">
        <w:rPr>
          <w:rFonts w:cs="Arial"/>
        </w:rPr>
        <w:t> </w:t>
      </w:r>
      <w:r w:rsidR="006561FD" w:rsidRPr="00BA1D87">
        <w:rPr>
          <w:rFonts w:cs="Arial"/>
        </w:rPr>
        <w:t>přiklonil se</w:t>
      </w:r>
      <w:r w:rsidR="00E77B6F">
        <w:rPr>
          <w:rFonts w:cs="Arial"/>
        </w:rPr>
        <w:t> </w:t>
      </w:r>
      <w:r w:rsidR="006561FD" w:rsidRPr="00BA1D87">
        <w:rPr>
          <w:rFonts w:cs="Arial"/>
        </w:rPr>
        <w:t>k němu i konečný rozsudek Evropského soudního dvora.</w:t>
      </w:r>
      <w:r w:rsidR="006561FD" w:rsidRPr="00BA1D87">
        <w:rPr>
          <w:rFonts w:cs="Arial"/>
          <w:vertAlign w:val="superscript"/>
        </w:rPr>
        <w:footnoteReference w:id="118"/>
      </w:r>
      <w:r w:rsidR="006561FD" w:rsidRPr="00BA1D87">
        <w:rPr>
          <w:rFonts w:cs="Arial"/>
        </w:rPr>
        <w:t xml:space="preserve"> </w:t>
      </w:r>
      <w:r w:rsidR="007C2A69" w:rsidRPr="00BA1D87">
        <w:rPr>
          <w:rFonts w:cs="Arial"/>
        </w:rPr>
        <w:t>Dokonce pokud členský stát do doby vydání rozsudku v sankčním řízení vadný stav nap</w:t>
      </w:r>
      <w:r w:rsidR="00EA519F">
        <w:rPr>
          <w:rFonts w:cs="Arial"/>
        </w:rPr>
        <w:t xml:space="preserve">ravil, je dle </w:t>
      </w:r>
      <w:r w:rsidR="00EA519F">
        <w:rPr>
          <w:rFonts w:cs="Arial"/>
        </w:rPr>
        <w:lastRenderedPageBreak/>
        <w:t xml:space="preserve">rozsudku v případu </w:t>
      </w:r>
      <w:r w:rsidR="007C2A69" w:rsidRPr="00BA1D87">
        <w:rPr>
          <w:rFonts w:cs="Arial"/>
        </w:rPr>
        <w:t>Komise vs. Francie</w:t>
      </w:r>
      <w:r w:rsidR="00EA519F">
        <w:rPr>
          <w:rStyle w:val="Znakapoznpodarou"/>
          <w:rFonts w:cs="Arial"/>
        </w:rPr>
        <w:footnoteReference w:id="119"/>
      </w:r>
      <w:r w:rsidR="007C2A69" w:rsidRPr="00BA1D87">
        <w:rPr>
          <w:rFonts w:cs="Arial"/>
        </w:rPr>
        <w:t xml:space="preserve"> přípustné uložit státu paušální částku. Takové konání ze strany EU může na stát působit preventivně, zejména pokud stát porušuje své povinnosti v určité oblasti dlouhodobě a systematicky.</w:t>
      </w:r>
      <w:r w:rsidR="007C2A69" w:rsidRPr="00BA1D87">
        <w:rPr>
          <w:rStyle w:val="Znakapoznpodarou"/>
          <w:rFonts w:cs="Arial"/>
        </w:rPr>
        <w:footnoteReference w:id="120"/>
      </w:r>
      <w:r w:rsidR="007C2A69" w:rsidRPr="00BA1D87">
        <w:rPr>
          <w:rFonts w:cs="Arial"/>
        </w:rPr>
        <w:t xml:space="preserve">    </w:t>
      </w:r>
      <w:r w:rsidRPr="00BA1D87">
        <w:rPr>
          <w:rFonts w:cs="Arial"/>
        </w:rPr>
        <w:t xml:space="preserve">   </w:t>
      </w:r>
      <w:r w:rsidR="00927316" w:rsidRPr="00BA1D87">
        <w:rPr>
          <w:rFonts w:cs="Arial"/>
        </w:rPr>
        <w:t xml:space="preserve">        </w:t>
      </w:r>
      <w:r w:rsidR="00177FD3" w:rsidRPr="00BA1D87">
        <w:rPr>
          <w:rFonts w:cs="Arial"/>
        </w:rPr>
        <w:t xml:space="preserve">    </w:t>
      </w:r>
      <w:r w:rsidR="00EE27C7" w:rsidRPr="00BA1D87">
        <w:rPr>
          <w:rFonts w:cs="Arial"/>
        </w:rPr>
        <w:t xml:space="preserve">     </w:t>
      </w:r>
      <w:r w:rsidR="00EE27C7">
        <w:rPr>
          <w:rFonts w:cs="Arial"/>
          <w:color w:val="222222"/>
        </w:rPr>
        <w:t xml:space="preserve">   </w:t>
      </w:r>
      <w:r w:rsidR="00D0113E">
        <w:rPr>
          <w:rFonts w:cs="Arial"/>
          <w:color w:val="222222"/>
        </w:rPr>
        <w:t xml:space="preserve">      </w:t>
      </w:r>
    </w:p>
    <w:p w:rsidR="007C2A69" w:rsidRDefault="007C2A69" w:rsidP="00B6781D">
      <w:pPr>
        <w:ind w:firstLine="708"/>
        <w:rPr>
          <w:rFonts w:cs="Arial"/>
          <w:color w:val="222222"/>
        </w:rPr>
      </w:pPr>
      <w:r>
        <w:rPr>
          <w:rFonts w:cs="Arial"/>
          <w:color w:val="222222"/>
        </w:rPr>
        <w:t xml:space="preserve">V praxi Komise zahajuje nemalé množství sankčních řízení před Soudním dvorem, avšak jen </w:t>
      </w:r>
      <w:r w:rsidRPr="00B15A92">
        <w:rPr>
          <w:rFonts w:cs="Arial"/>
          <w:b/>
          <w:color w:val="222222"/>
        </w:rPr>
        <w:t>malý zlomek z nich končí až v soudní fázi</w:t>
      </w:r>
      <w:r>
        <w:rPr>
          <w:rFonts w:cs="Arial"/>
          <w:color w:val="222222"/>
        </w:rPr>
        <w:t xml:space="preserve"> tohoto řízení. </w:t>
      </w:r>
      <w:r w:rsidR="00B6781D">
        <w:rPr>
          <w:rFonts w:cs="Arial"/>
          <w:color w:val="222222"/>
        </w:rPr>
        <w:t xml:space="preserve">Hlavním důvodem pro tento trend je zjevně to, že na členské státy začne nejpozději v sankčním řízení působit hrozba finanční sankce, která by mohla mít významný dopad na ekonomiku dotčeného státu. V reakci na tyto obavy se stát následně snaží porušení unijního práva co nejrychleji napravit, aby vše stihl dříve, než Komise podá žalobu k Soudnímu dvoru. Jak je již uvedeno výše, přestože se členskému státu povede v soudní fázi sankčního řízení vše napravit, stále je vystaven hrozbě uložení paušální částky. Dříve Komise běžně akceptovala žádosti států o zpětvzetí žaloby, kterým se v průběhu soudní fáze podařilo </w:t>
      </w:r>
      <w:r w:rsidR="00EA519F">
        <w:rPr>
          <w:rFonts w:cs="Arial"/>
          <w:color w:val="222222"/>
        </w:rPr>
        <w:t>povinnost splnit. Tento postup K</w:t>
      </w:r>
      <w:r w:rsidR="00B6781D">
        <w:rPr>
          <w:rFonts w:cs="Arial"/>
          <w:color w:val="222222"/>
        </w:rPr>
        <w:t xml:space="preserve">omise pak vedl státy k tomu, že se splněním povinnosti čekaly až do </w:t>
      </w:r>
      <w:r w:rsidR="00443DD9">
        <w:rPr>
          <w:rFonts w:cs="Arial"/>
          <w:color w:val="222222"/>
        </w:rPr>
        <w:t>posledního okamžiku soudní fáze sankčního řízení. Změna přístupu Komise v tomto ohledu vedla beze sporu ku prospěchu věci a členské státy změnily svůj přístup.</w:t>
      </w:r>
      <w:r w:rsidR="00443DD9">
        <w:rPr>
          <w:rStyle w:val="Znakapoznpodarou"/>
          <w:rFonts w:cs="Arial"/>
          <w:color w:val="222222"/>
        </w:rPr>
        <w:footnoteReference w:id="121"/>
      </w:r>
    </w:p>
    <w:p w:rsidR="00443DD9" w:rsidRDefault="00443DD9" w:rsidP="00B6781D">
      <w:pPr>
        <w:ind w:firstLine="708"/>
        <w:rPr>
          <w:rFonts w:cs="Arial"/>
          <w:color w:val="222222"/>
        </w:rPr>
      </w:pPr>
      <w:r>
        <w:rPr>
          <w:rFonts w:cs="Arial"/>
          <w:color w:val="222222"/>
        </w:rPr>
        <w:t xml:space="preserve">Dalším stěžejním bodem problematiky výpočtu sankcí je i otázka posouzení </w:t>
      </w:r>
      <w:r w:rsidRPr="00921758">
        <w:rPr>
          <w:rFonts w:cs="Arial"/>
          <w:b/>
          <w:color w:val="222222"/>
        </w:rPr>
        <w:t>okamžiku, kdy členský stát splnil svoji povinnost</w:t>
      </w:r>
      <w:r>
        <w:rPr>
          <w:rFonts w:cs="Arial"/>
          <w:color w:val="222222"/>
        </w:rPr>
        <w:t xml:space="preserve"> vyplývající mu z rozsudku vydaného v sankčním řízení. Tento datum je relevantní zejména pro následný vý</w:t>
      </w:r>
      <w:r w:rsidR="00921758">
        <w:rPr>
          <w:rFonts w:cs="Arial"/>
          <w:color w:val="222222"/>
        </w:rPr>
        <w:t>počet konečné výše sankce, aby s</w:t>
      </w:r>
      <w:r>
        <w:rPr>
          <w:rFonts w:cs="Arial"/>
          <w:color w:val="222222"/>
        </w:rPr>
        <w:t>oud věděl, do jakého dne má sankci počítat. Posouzení, kdy došlo k plnému splnění povinnosti, má na starosti Komise, která tak stanovuje konečnou výši opakovaného penále. Pokud však dojde mezi Komisí a</w:t>
      </w:r>
      <w:r w:rsidR="00921758">
        <w:rPr>
          <w:rFonts w:cs="Arial"/>
          <w:color w:val="222222"/>
        </w:rPr>
        <w:t> </w:t>
      </w:r>
      <w:r>
        <w:rPr>
          <w:rFonts w:cs="Arial"/>
          <w:color w:val="222222"/>
        </w:rPr>
        <w:t>členským státem ke sporu o datu, kdy stát přestal být v porušení povinnosti, konečné rozhodnutí leží na Soudním dvoru.</w:t>
      </w:r>
      <w:r>
        <w:rPr>
          <w:rStyle w:val="Znakapoznpodarou"/>
          <w:rFonts w:cs="Arial"/>
          <w:color w:val="222222"/>
        </w:rPr>
        <w:footnoteReference w:id="122"/>
      </w:r>
      <w:r>
        <w:rPr>
          <w:rFonts w:cs="Arial"/>
          <w:color w:val="222222"/>
        </w:rPr>
        <w:t xml:space="preserve">  </w:t>
      </w:r>
    </w:p>
    <w:p w:rsidR="00046A94" w:rsidRDefault="00B25500" w:rsidP="00443DD9">
      <w:pPr>
        <w:ind w:firstLine="708"/>
        <w:rPr>
          <w:rFonts w:cs="Arial"/>
          <w:color w:val="222222"/>
        </w:rPr>
      </w:pPr>
      <w:r w:rsidRPr="00EA519F">
        <w:rPr>
          <w:rStyle w:val="hps"/>
          <w:rFonts w:cs="Arial"/>
          <w:color w:val="222222"/>
        </w:rPr>
        <w:t>Přestože počet</w:t>
      </w:r>
      <w:r w:rsidR="008E1086" w:rsidRPr="00EA519F">
        <w:rPr>
          <w:rStyle w:val="hps"/>
          <w:rFonts w:cs="Arial"/>
          <w:color w:val="222222"/>
        </w:rPr>
        <w:t xml:space="preserve"> </w:t>
      </w:r>
      <w:r w:rsidRPr="00EA519F">
        <w:rPr>
          <w:rStyle w:val="hps"/>
          <w:rFonts w:cs="Arial"/>
          <w:color w:val="222222"/>
        </w:rPr>
        <w:t>rozsudků</w:t>
      </w:r>
      <w:r w:rsidRPr="00EA519F">
        <w:rPr>
          <w:rFonts w:cs="Arial"/>
          <w:color w:val="222222"/>
        </w:rPr>
        <w:t xml:space="preserve"> </w:t>
      </w:r>
      <w:r w:rsidR="00EA519F" w:rsidRPr="00EA519F">
        <w:rPr>
          <w:rFonts w:cs="Arial"/>
          <w:color w:val="222222"/>
        </w:rPr>
        <w:t xml:space="preserve">Soudního dvora </w:t>
      </w:r>
      <w:r w:rsidRPr="00EA519F">
        <w:rPr>
          <w:rStyle w:val="hps"/>
          <w:rFonts w:cs="Arial"/>
          <w:color w:val="222222"/>
        </w:rPr>
        <w:t>zahrnujících</w:t>
      </w:r>
      <w:r w:rsidR="008E1086" w:rsidRPr="00EA519F">
        <w:rPr>
          <w:rStyle w:val="hps"/>
          <w:rFonts w:cs="Arial"/>
          <w:color w:val="222222"/>
        </w:rPr>
        <w:t xml:space="preserve"> </w:t>
      </w:r>
      <w:r w:rsidRPr="00EA519F">
        <w:rPr>
          <w:rStyle w:val="hps"/>
          <w:rFonts w:cs="Arial"/>
          <w:color w:val="222222"/>
        </w:rPr>
        <w:t>penále</w:t>
      </w:r>
      <w:r w:rsidR="008E1086" w:rsidRPr="00EA519F">
        <w:rPr>
          <w:rStyle w:val="hps"/>
          <w:rFonts w:cs="Arial"/>
          <w:color w:val="222222"/>
        </w:rPr>
        <w:t xml:space="preserve"> </w:t>
      </w:r>
      <w:r w:rsidRPr="00EA519F">
        <w:rPr>
          <w:rStyle w:val="hps"/>
          <w:rFonts w:cs="Arial"/>
          <w:color w:val="222222"/>
        </w:rPr>
        <w:t>zůstává</w:t>
      </w:r>
      <w:r w:rsidRPr="00EA519F">
        <w:rPr>
          <w:rFonts w:cs="Arial"/>
          <w:color w:val="222222"/>
        </w:rPr>
        <w:t xml:space="preserve"> nízký, současná </w:t>
      </w:r>
      <w:r w:rsidRPr="00EA519F">
        <w:rPr>
          <w:rStyle w:val="hps"/>
          <w:rFonts w:cs="Arial"/>
          <w:color w:val="222222"/>
        </w:rPr>
        <w:t>judikatura</w:t>
      </w:r>
      <w:r w:rsidR="008E1086" w:rsidRPr="00EA519F">
        <w:rPr>
          <w:rStyle w:val="hps"/>
          <w:rFonts w:cs="Arial"/>
          <w:color w:val="222222"/>
        </w:rPr>
        <w:t xml:space="preserve"> </w:t>
      </w:r>
      <w:r w:rsidRPr="00EA519F">
        <w:rPr>
          <w:rStyle w:val="hps"/>
          <w:rFonts w:cs="Arial"/>
          <w:color w:val="222222"/>
        </w:rPr>
        <w:t>a</w:t>
      </w:r>
      <w:r w:rsidR="00A37166" w:rsidRPr="00EA519F">
        <w:rPr>
          <w:rStyle w:val="hps"/>
          <w:rFonts w:cs="Arial"/>
          <w:color w:val="222222"/>
        </w:rPr>
        <w:t> </w:t>
      </w:r>
      <w:r w:rsidRPr="00EA519F">
        <w:rPr>
          <w:rStyle w:val="hps"/>
          <w:rFonts w:cs="Arial"/>
          <w:color w:val="222222"/>
        </w:rPr>
        <w:t>postupně se</w:t>
      </w:r>
      <w:r w:rsidR="008E1086" w:rsidRPr="00EA519F">
        <w:rPr>
          <w:rStyle w:val="hps"/>
          <w:rFonts w:cs="Arial"/>
          <w:color w:val="222222"/>
        </w:rPr>
        <w:t xml:space="preserve"> </w:t>
      </w:r>
      <w:r w:rsidRPr="00EA519F">
        <w:rPr>
          <w:rStyle w:val="hps"/>
          <w:rFonts w:cs="Arial"/>
          <w:color w:val="222222"/>
        </w:rPr>
        <w:t>rozšiřující</w:t>
      </w:r>
      <w:r w:rsidR="008E1086" w:rsidRPr="00EA519F">
        <w:rPr>
          <w:rStyle w:val="hps"/>
          <w:rFonts w:cs="Arial"/>
          <w:color w:val="222222"/>
        </w:rPr>
        <w:t xml:space="preserve"> </w:t>
      </w:r>
      <w:r w:rsidRPr="00EA519F">
        <w:rPr>
          <w:rStyle w:val="hps"/>
          <w:rFonts w:cs="Arial"/>
          <w:color w:val="222222"/>
        </w:rPr>
        <w:t>použití</w:t>
      </w:r>
      <w:r w:rsidR="008E1086" w:rsidRPr="00EA519F">
        <w:rPr>
          <w:rStyle w:val="hps"/>
          <w:rFonts w:cs="Arial"/>
          <w:color w:val="222222"/>
        </w:rPr>
        <w:t xml:space="preserve"> </w:t>
      </w:r>
      <w:r w:rsidRPr="00EA519F">
        <w:rPr>
          <w:rStyle w:val="hps"/>
          <w:rFonts w:cs="Arial"/>
          <w:color w:val="222222"/>
        </w:rPr>
        <w:t>článku</w:t>
      </w:r>
      <w:r w:rsidR="00330248" w:rsidRPr="00EA519F">
        <w:rPr>
          <w:rFonts w:cs="Arial"/>
          <w:color w:val="222222"/>
        </w:rPr>
        <w:t xml:space="preserve"> </w:t>
      </w:r>
      <w:r w:rsidRPr="00EA519F">
        <w:rPr>
          <w:rStyle w:val="hps"/>
          <w:rFonts w:cs="Arial"/>
          <w:color w:val="222222"/>
        </w:rPr>
        <w:t>2</w:t>
      </w:r>
      <w:r w:rsidR="008C11F5" w:rsidRPr="00EA519F">
        <w:rPr>
          <w:rStyle w:val="hps"/>
          <w:rFonts w:cs="Arial"/>
          <w:color w:val="222222"/>
        </w:rPr>
        <w:t>60</w:t>
      </w:r>
      <w:r w:rsidR="00330248" w:rsidRPr="00EA519F">
        <w:rPr>
          <w:rStyle w:val="hps"/>
          <w:rFonts w:cs="Arial"/>
          <w:color w:val="222222"/>
        </w:rPr>
        <w:t xml:space="preserve"> SFEU</w:t>
      </w:r>
      <w:r w:rsidRPr="00EA519F">
        <w:rPr>
          <w:rStyle w:val="hps"/>
          <w:rFonts w:cs="Arial"/>
          <w:color w:val="222222"/>
        </w:rPr>
        <w:t xml:space="preserve"> Komisí</w:t>
      </w:r>
      <w:r w:rsidR="008E1086" w:rsidRPr="00EA519F">
        <w:rPr>
          <w:rStyle w:val="hps"/>
          <w:rFonts w:cs="Arial"/>
          <w:color w:val="222222"/>
        </w:rPr>
        <w:t xml:space="preserve"> </w:t>
      </w:r>
      <w:r w:rsidRPr="00EA519F">
        <w:rPr>
          <w:rStyle w:val="hps"/>
          <w:rFonts w:cs="Arial"/>
          <w:color w:val="222222"/>
        </w:rPr>
        <w:t>začaly</w:t>
      </w:r>
      <w:r w:rsidR="008E1086" w:rsidRPr="00EA519F">
        <w:rPr>
          <w:rStyle w:val="hps"/>
          <w:rFonts w:cs="Arial"/>
          <w:color w:val="222222"/>
        </w:rPr>
        <w:t xml:space="preserve"> </w:t>
      </w:r>
      <w:r w:rsidRPr="00EA519F">
        <w:rPr>
          <w:rStyle w:val="hps"/>
          <w:rFonts w:cs="Arial"/>
          <w:color w:val="222222"/>
        </w:rPr>
        <w:t>dávat</w:t>
      </w:r>
      <w:r w:rsidRPr="00EA519F">
        <w:rPr>
          <w:rFonts w:cs="Arial"/>
          <w:color w:val="222222"/>
        </w:rPr>
        <w:t xml:space="preserve"> této proceduře konkrétní podobu.</w:t>
      </w:r>
      <w:r w:rsidR="00330248" w:rsidRPr="00EA519F">
        <w:rPr>
          <w:rStyle w:val="Znakapoznpodarou"/>
          <w:rFonts w:cs="Arial"/>
          <w:color w:val="222222"/>
        </w:rPr>
        <w:footnoteReference w:id="123"/>
      </w:r>
      <w:r w:rsidR="00443DD9">
        <w:rPr>
          <w:rFonts w:cs="Arial"/>
          <w:color w:val="222222"/>
        </w:rPr>
        <w:t xml:space="preserve"> </w:t>
      </w:r>
    </w:p>
    <w:p w:rsidR="00BF430C" w:rsidRDefault="00BF430C" w:rsidP="0036462D">
      <w:pPr>
        <w:ind w:firstLine="708"/>
        <w:rPr>
          <w:rFonts w:cs="Arial"/>
          <w:color w:val="222222"/>
        </w:rPr>
      </w:pPr>
      <w:r>
        <w:rPr>
          <w:rFonts w:cs="Arial"/>
          <w:color w:val="222222"/>
        </w:rPr>
        <w:t>Zaplacené sankce jsou příjmem společného rozpočtu E</w:t>
      </w:r>
      <w:r w:rsidR="008B1AE4">
        <w:rPr>
          <w:rFonts w:cs="Arial"/>
          <w:color w:val="222222"/>
        </w:rPr>
        <w:t>vropské unie</w:t>
      </w:r>
      <w:r>
        <w:rPr>
          <w:rFonts w:cs="Arial"/>
          <w:color w:val="222222"/>
        </w:rPr>
        <w:t xml:space="preserve">. </w:t>
      </w:r>
    </w:p>
    <w:p w:rsidR="00B25500" w:rsidRPr="00B25500" w:rsidRDefault="00330248" w:rsidP="00443DD9">
      <w:pPr>
        <w:ind w:firstLine="708"/>
      </w:pPr>
      <w:r>
        <w:rPr>
          <w:rFonts w:cs="Arial"/>
          <w:color w:val="222222"/>
        </w:rPr>
        <w:t xml:space="preserve"> </w:t>
      </w:r>
    </w:p>
    <w:p w:rsidR="008E7033" w:rsidRDefault="000E44C3" w:rsidP="00E87F9C">
      <w:pPr>
        <w:pStyle w:val="Nadpis3"/>
      </w:pPr>
      <w:bookmarkStart w:id="24" w:name="_Toc398901333"/>
      <w:bookmarkStart w:id="25" w:name="_Toc399171083"/>
      <w:r w:rsidRPr="00E87F9C">
        <w:lastRenderedPageBreak/>
        <w:t>4</w:t>
      </w:r>
      <w:r w:rsidR="008E7033" w:rsidRPr="00E87F9C">
        <w:t>.</w:t>
      </w:r>
      <w:r w:rsidR="00E87F9C">
        <w:t>5</w:t>
      </w:r>
      <w:r w:rsidR="008E7033" w:rsidRPr="00E87F9C">
        <w:t>.</w:t>
      </w:r>
      <w:r w:rsidR="00E87F9C">
        <w:t>1</w:t>
      </w:r>
      <w:r w:rsidR="008E7033" w:rsidRPr="00E87F9C">
        <w:t xml:space="preserve">. </w:t>
      </w:r>
      <w:r w:rsidR="005C6857">
        <w:t>Účel</w:t>
      </w:r>
      <w:r w:rsidR="00E87F9C">
        <w:t xml:space="preserve"> ukládání sankcí</w:t>
      </w:r>
      <w:bookmarkEnd w:id="24"/>
      <w:bookmarkEnd w:id="25"/>
    </w:p>
    <w:p w:rsidR="00E87F9C" w:rsidRDefault="004E31D9" w:rsidP="00BF430C">
      <w:pPr>
        <w:ind w:firstLine="708"/>
        <w:rPr>
          <w:rFonts w:cs="Arial"/>
          <w:color w:val="222222"/>
        </w:rPr>
      </w:pPr>
      <w:r>
        <w:rPr>
          <w:rFonts w:cs="Arial"/>
          <w:color w:val="222222"/>
        </w:rPr>
        <w:t>S</w:t>
      </w:r>
      <w:r w:rsidR="00BF430C" w:rsidRPr="00BF430C">
        <w:rPr>
          <w:rFonts w:cs="Arial"/>
          <w:color w:val="222222"/>
        </w:rPr>
        <w:t>ankční řízení</w:t>
      </w:r>
      <w:r>
        <w:rPr>
          <w:rFonts w:cs="Arial"/>
          <w:color w:val="222222"/>
        </w:rPr>
        <w:t xml:space="preserve"> v rámci řízení o dozorčí žalobě</w:t>
      </w:r>
      <w:r w:rsidR="00BF430C" w:rsidRPr="00BF430C">
        <w:rPr>
          <w:rFonts w:cs="Arial"/>
          <w:color w:val="222222"/>
        </w:rPr>
        <w:t xml:space="preserve"> nebylo v primárním právu upraveno od počátku. Tuto fázi řízení </w:t>
      </w:r>
      <w:r w:rsidR="00BF430C" w:rsidRPr="00C42408">
        <w:rPr>
          <w:rFonts w:cs="Arial"/>
          <w:color w:val="222222"/>
        </w:rPr>
        <w:t>zavedla až Maastrichtská smlouva</w:t>
      </w:r>
      <w:r w:rsidR="00BF430C" w:rsidRPr="00BF430C">
        <w:rPr>
          <w:rFonts w:cs="Arial"/>
          <w:color w:val="222222"/>
        </w:rPr>
        <w:t>, a</w:t>
      </w:r>
      <w:r w:rsidR="00BA1D87">
        <w:rPr>
          <w:rFonts w:cs="Arial"/>
          <w:color w:val="222222"/>
        </w:rPr>
        <w:t> </w:t>
      </w:r>
      <w:r w:rsidR="00BF430C" w:rsidRPr="00BF430C">
        <w:rPr>
          <w:rFonts w:cs="Arial"/>
          <w:color w:val="222222"/>
        </w:rPr>
        <w:t>to</w:t>
      </w:r>
      <w:r w:rsidR="00BA1D87">
        <w:rPr>
          <w:rFonts w:cs="Arial"/>
          <w:color w:val="222222"/>
        </w:rPr>
        <w:t> </w:t>
      </w:r>
      <w:r w:rsidR="00BF430C" w:rsidRPr="00BF430C">
        <w:rPr>
          <w:rFonts w:cs="Arial"/>
          <w:color w:val="222222"/>
        </w:rPr>
        <w:t>z důvodu narůstajícího počtu nerespektování odsuzujících rozsudků v rámci řízení o</w:t>
      </w:r>
      <w:r>
        <w:rPr>
          <w:rFonts w:cs="Arial"/>
          <w:color w:val="222222"/>
        </w:rPr>
        <w:t> </w:t>
      </w:r>
      <w:r w:rsidR="00BF430C" w:rsidRPr="00BF430C">
        <w:rPr>
          <w:rFonts w:cs="Arial"/>
          <w:color w:val="222222"/>
        </w:rPr>
        <w:t xml:space="preserve">porušení povinnosti. Před existencí sankční fáze řízení bylo v případě dobrovolného nesplnění povinnosti členským státem v pravomoci Komise pouze zahájení dalšího řízení o porušení povinnosti. V této době Evropská unie tedy nedisponovala žádným donucovacím prostředkem, který by </w:t>
      </w:r>
      <w:r>
        <w:rPr>
          <w:rFonts w:cs="Arial"/>
          <w:color w:val="222222"/>
        </w:rPr>
        <w:t xml:space="preserve">opravdu </w:t>
      </w:r>
      <w:r w:rsidR="00BF430C" w:rsidRPr="00BF430C">
        <w:rPr>
          <w:rFonts w:cs="Arial"/>
          <w:color w:val="222222"/>
        </w:rPr>
        <w:t>přiměl státy k většímu respektování odsuzujících rozsudků o porušení povinnosti a řízení tak samozřejmě nemohlo mít větší vliv na změnu chování členských států.</w:t>
      </w:r>
      <w:r w:rsidR="00BF430C">
        <w:rPr>
          <w:rStyle w:val="Znakapoznpodarou"/>
          <w:rFonts w:cs="Arial"/>
          <w:color w:val="222222"/>
        </w:rPr>
        <w:footnoteReference w:id="124"/>
      </w:r>
      <w:r w:rsidR="00BF430C">
        <w:rPr>
          <w:rFonts w:cs="Arial"/>
          <w:color w:val="222222"/>
        </w:rPr>
        <w:t xml:space="preserve">    </w:t>
      </w:r>
    </w:p>
    <w:p w:rsidR="00BF430C" w:rsidRDefault="00BF430C" w:rsidP="00BF430C">
      <w:pPr>
        <w:ind w:firstLine="708"/>
        <w:rPr>
          <w:rFonts w:cs="Arial"/>
          <w:color w:val="222222"/>
        </w:rPr>
      </w:pPr>
      <w:r>
        <w:rPr>
          <w:rFonts w:cs="Arial"/>
          <w:color w:val="222222"/>
        </w:rPr>
        <w:t>Ani jednu z </w:t>
      </w:r>
      <w:r w:rsidR="004E31D9">
        <w:rPr>
          <w:rFonts w:cs="Arial"/>
          <w:color w:val="222222"/>
        </w:rPr>
        <w:t>finančních</w:t>
      </w:r>
      <w:r>
        <w:rPr>
          <w:rFonts w:cs="Arial"/>
          <w:color w:val="222222"/>
        </w:rPr>
        <w:t xml:space="preserve"> sankcí</w:t>
      </w:r>
      <w:r w:rsidR="004E31D9">
        <w:rPr>
          <w:rFonts w:cs="Arial"/>
          <w:color w:val="222222"/>
        </w:rPr>
        <w:t xml:space="preserve"> </w:t>
      </w:r>
      <w:r w:rsidR="00C42408">
        <w:rPr>
          <w:rFonts w:cs="Arial"/>
          <w:color w:val="222222"/>
        </w:rPr>
        <w:t>však</w:t>
      </w:r>
      <w:r>
        <w:rPr>
          <w:rFonts w:cs="Arial"/>
          <w:color w:val="222222"/>
        </w:rPr>
        <w:t xml:space="preserve"> nelze zaměňovat s náhradou škody. Rozsudek Soudního dvora o uložení sankc</w:t>
      </w:r>
      <w:r w:rsidR="004E31D9">
        <w:rPr>
          <w:rFonts w:cs="Arial"/>
          <w:color w:val="222222"/>
        </w:rPr>
        <w:t>e</w:t>
      </w:r>
      <w:r>
        <w:rPr>
          <w:rFonts w:cs="Arial"/>
          <w:color w:val="222222"/>
        </w:rPr>
        <w:t xml:space="preserve"> nesměřuje k náhradě určité škody, která by byla způsobena členským státem, ale má sloužit</w:t>
      </w:r>
      <w:r w:rsidR="004E31D9">
        <w:rPr>
          <w:rFonts w:cs="Arial"/>
          <w:color w:val="222222"/>
        </w:rPr>
        <w:t xml:space="preserve"> především</w:t>
      </w:r>
      <w:r>
        <w:rPr>
          <w:rFonts w:cs="Arial"/>
          <w:color w:val="222222"/>
        </w:rPr>
        <w:t xml:space="preserve"> k vyvíjení </w:t>
      </w:r>
      <w:r w:rsidR="004E31D9">
        <w:rPr>
          <w:rFonts w:cs="Arial"/>
          <w:color w:val="222222"/>
        </w:rPr>
        <w:t>ekonomického nátlaku, který</w:t>
      </w:r>
      <w:r>
        <w:rPr>
          <w:rFonts w:cs="Arial"/>
          <w:color w:val="222222"/>
        </w:rPr>
        <w:t xml:space="preserve"> má přimět členský stát, aby upustil od zjištěného neplnění povinností. Prostřednictvím uložení finanční sankce chce tedy Evropská unie </w:t>
      </w:r>
      <w:r w:rsidR="004E31D9">
        <w:rPr>
          <w:rFonts w:cs="Arial"/>
          <w:color w:val="222222"/>
        </w:rPr>
        <w:t xml:space="preserve">zejména </w:t>
      </w:r>
      <w:r>
        <w:rPr>
          <w:rFonts w:cs="Arial"/>
          <w:color w:val="222222"/>
        </w:rPr>
        <w:t>přimět členský stát ke změně svého nežádoucího chování.</w:t>
      </w:r>
      <w:r>
        <w:rPr>
          <w:rStyle w:val="Znakapoznpodarou"/>
          <w:rFonts w:cs="Arial"/>
          <w:color w:val="222222"/>
        </w:rPr>
        <w:footnoteReference w:id="125"/>
      </w:r>
      <w:r>
        <w:rPr>
          <w:rFonts w:cs="Arial"/>
          <w:color w:val="222222"/>
        </w:rPr>
        <w:t xml:space="preserve">  </w:t>
      </w:r>
    </w:p>
    <w:p w:rsidR="004E31D9" w:rsidRDefault="004E31D9" w:rsidP="004E31D9">
      <w:pPr>
        <w:ind w:firstLine="708"/>
        <w:rPr>
          <w:rFonts w:cs="Arial"/>
          <w:color w:val="222222"/>
        </w:rPr>
      </w:pPr>
      <w:r>
        <w:rPr>
          <w:rFonts w:cs="Arial"/>
          <w:color w:val="222222"/>
        </w:rPr>
        <w:t>Krátce shrnuto, ú</w:t>
      </w:r>
      <w:r w:rsidRPr="00BF430C">
        <w:rPr>
          <w:rFonts w:cs="Arial"/>
          <w:color w:val="222222"/>
        </w:rPr>
        <w:t>čelem tohoto</w:t>
      </w:r>
      <w:r>
        <w:rPr>
          <w:rFonts w:cs="Arial"/>
          <w:color w:val="222222"/>
        </w:rPr>
        <w:t xml:space="preserve"> sankčního</w:t>
      </w:r>
      <w:r w:rsidRPr="00BF430C">
        <w:rPr>
          <w:rFonts w:cs="Arial"/>
          <w:color w:val="222222"/>
        </w:rPr>
        <w:t xml:space="preserve"> řízení je</w:t>
      </w:r>
      <w:r>
        <w:rPr>
          <w:rFonts w:cs="Arial"/>
          <w:color w:val="222222"/>
        </w:rPr>
        <w:t xml:space="preserve"> </w:t>
      </w:r>
      <w:r w:rsidRPr="00BF430C">
        <w:rPr>
          <w:rFonts w:cs="Arial"/>
          <w:color w:val="222222"/>
        </w:rPr>
        <w:t>urychleně přimět členský stát k nápravě, kterou po vydání odsuzujícího rozsudku nespln</w:t>
      </w:r>
      <w:r>
        <w:rPr>
          <w:rFonts w:cs="Arial"/>
          <w:color w:val="222222"/>
        </w:rPr>
        <w:t xml:space="preserve">il dobrovolně, a to pod hrozbou vysoké </w:t>
      </w:r>
      <w:r w:rsidRPr="00BF430C">
        <w:rPr>
          <w:rFonts w:cs="Arial"/>
          <w:color w:val="222222"/>
        </w:rPr>
        <w:t>finanční sankce.</w:t>
      </w:r>
      <w:r w:rsidRPr="00BF430C">
        <w:rPr>
          <w:rStyle w:val="Znakapoznpodarou"/>
          <w:rFonts w:cs="Arial"/>
          <w:color w:val="222222"/>
        </w:rPr>
        <w:footnoteReference w:id="126"/>
      </w:r>
      <w:r>
        <w:rPr>
          <w:rFonts w:cs="Arial"/>
          <w:color w:val="222222"/>
        </w:rPr>
        <w:t xml:space="preserve">       </w:t>
      </w:r>
    </w:p>
    <w:p w:rsidR="004E31D9" w:rsidRPr="00E87F9C" w:rsidRDefault="004E31D9" w:rsidP="00BF430C">
      <w:pPr>
        <w:ind w:firstLine="708"/>
      </w:pPr>
    </w:p>
    <w:p w:rsidR="00BD022B" w:rsidRDefault="00BD022B">
      <w:pPr>
        <w:rPr>
          <w:rFonts w:cs="Arial"/>
          <w:sz w:val="20"/>
          <w:szCs w:val="20"/>
        </w:rPr>
      </w:pPr>
      <w:r>
        <w:rPr>
          <w:rFonts w:cs="Arial"/>
          <w:sz w:val="20"/>
          <w:szCs w:val="20"/>
        </w:rPr>
        <w:br w:type="page"/>
      </w:r>
    </w:p>
    <w:p w:rsidR="00B25500" w:rsidRDefault="000E44C3" w:rsidP="008E7033">
      <w:pPr>
        <w:spacing w:after="120"/>
        <w:rPr>
          <w:rFonts w:cs="Arial"/>
          <w:sz w:val="32"/>
          <w:szCs w:val="20"/>
        </w:rPr>
      </w:pPr>
      <w:bookmarkStart w:id="26" w:name="_Toc398901334"/>
      <w:bookmarkStart w:id="27" w:name="_Toc399171084"/>
      <w:r w:rsidRPr="00B25500">
        <w:rPr>
          <w:rStyle w:val="Nadpis1Char"/>
        </w:rPr>
        <w:lastRenderedPageBreak/>
        <w:t>5</w:t>
      </w:r>
      <w:r w:rsidR="008E7033" w:rsidRPr="00B25500">
        <w:rPr>
          <w:rStyle w:val="Nadpis1Char"/>
        </w:rPr>
        <w:t xml:space="preserve">. </w:t>
      </w:r>
      <w:r w:rsidR="00F8229A" w:rsidRPr="00B25500">
        <w:rPr>
          <w:rStyle w:val="Nadpis1Char"/>
        </w:rPr>
        <w:t>Funkce a v</w:t>
      </w:r>
      <w:r w:rsidR="008E7033" w:rsidRPr="00B25500">
        <w:rPr>
          <w:rStyle w:val="Nadpis1Char"/>
        </w:rPr>
        <w:t>ýznam žaloby</w:t>
      </w:r>
      <w:bookmarkEnd w:id="26"/>
      <w:bookmarkEnd w:id="27"/>
    </w:p>
    <w:p w:rsidR="00552BAE" w:rsidRDefault="00105EDC" w:rsidP="00552BAE">
      <w:r>
        <w:tab/>
      </w:r>
      <w:r w:rsidR="00A41AFF">
        <w:t>Jak již bylo napsáno v úvodu, aby se státy mohly stát součástí Evropské unie, musely se v její prospěch vzdát části své suverenity</w:t>
      </w:r>
      <w:r w:rsidR="001F623A">
        <w:t>. N</w:t>
      </w:r>
      <w:r w:rsidR="00A41AFF">
        <w:t xml:space="preserve">a evropské instituce převedly některé ze svých suverénních práv a rovněž se zavázaly k chování v souladu s právem Evropské unie. </w:t>
      </w:r>
      <w:r w:rsidR="001F623A">
        <w:t>Taktéž</w:t>
      </w:r>
      <w:r w:rsidR="00FD3EE6">
        <w:t xml:space="preserve"> řízení o porušení povinnosti je </w:t>
      </w:r>
      <w:r w:rsidR="001F623A">
        <w:t xml:space="preserve">významným </w:t>
      </w:r>
      <w:r w:rsidR="00FD3EE6">
        <w:t xml:space="preserve">projevem omezení svrchovanosti členských států a posílení </w:t>
      </w:r>
      <w:proofErr w:type="spellStart"/>
      <w:r w:rsidR="00FD3EE6">
        <w:t>supranacionálního</w:t>
      </w:r>
      <w:proofErr w:type="spellEnd"/>
      <w:r w:rsidR="00FD3EE6">
        <w:t xml:space="preserve"> integračního celku. Jednak nad celým řízením dohlíží Komise, jako nadnárodní unijní instituce složená z nezávislých komisařů, kteří jako celek prosazují zájmy Evropské unie. Druhou nejdůležitější roli tu hraje Soudní dvůr, který je </w:t>
      </w:r>
      <w:r w:rsidR="001F623A">
        <w:t>opět</w:t>
      </w:r>
      <w:r w:rsidR="00FD3EE6">
        <w:t xml:space="preserve"> jako Komise institucí nadnárodní povahy, která je složena z nezávislých a nestranných soudců. </w:t>
      </w:r>
      <w:r w:rsidR="001F623A">
        <w:t xml:space="preserve">Existují zde tedy dva </w:t>
      </w:r>
      <w:proofErr w:type="spellStart"/>
      <w:r w:rsidR="001F623A">
        <w:t>supranacionální</w:t>
      </w:r>
      <w:proofErr w:type="spellEnd"/>
      <w:r w:rsidR="001F623A">
        <w:t xml:space="preserve"> orgány, které ovládají celé řízení a prosazují v něm zájmy EU, a v neposlední řadě mají možnost dohlížet nad členskými státy a</w:t>
      </w:r>
      <w:r w:rsidR="00A43917">
        <w:t> </w:t>
      </w:r>
      <w:r w:rsidR="001F623A">
        <w:t xml:space="preserve">ukládat jim sankce v případě jejich nežádoucího chování. </w:t>
      </w:r>
      <w:r w:rsidR="008B5B41">
        <w:t>U</w:t>
      </w:r>
      <w:r w:rsidR="001F623A">
        <w:t>nijní instituce</w:t>
      </w:r>
      <w:r w:rsidR="008B5B41">
        <w:t xml:space="preserve"> mezivládní povahy</w:t>
      </w:r>
      <w:r w:rsidR="001F623A">
        <w:t xml:space="preserve"> jako Rada EU a Evropská rada v samotném řízení nehrají žádnou roli. Státní suverenita členských států je zde potlačena a nad zájmy členských států jsou nadřazeny zájmy EU, které jsou tímto řízením chráněny. </w:t>
      </w:r>
      <w:r w:rsidR="008B5B41">
        <w:t xml:space="preserve">Dle mého názoru jde však o přirozený vývoj integrace, kdy Evropská unie určila soubor pravidel, kterými se musí členské státy řídit a nutně musela stanovit i mechanismus, který bude jejich dodržování kontrolovat, případně vynucovat. Existence centrálních kontrolních orgánů napomáhá efektivnosti systému a usnadňuje naplňování účelu řízení. Neponechává tak vše na členských státech samotných, což by myslím pro bezproblémové fungování unie v praxi ani nebylo možné.   </w:t>
      </w:r>
      <w:r w:rsidR="001F623A">
        <w:t xml:space="preserve">      </w:t>
      </w:r>
      <w:r w:rsidR="00FD3EE6">
        <w:t xml:space="preserve">    </w:t>
      </w:r>
    </w:p>
    <w:p w:rsidR="007A782B" w:rsidRDefault="00105EDC" w:rsidP="00552BAE">
      <w:pPr>
        <w:ind w:firstLine="708"/>
      </w:pPr>
      <w:r>
        <w:t xml:space="preserve">Žaloba na porušení povinnosti členského státu plní hned několik funkcí. Beze sporu jejím </w:t>
      </w:r>
      <w:r w:rsidRPr="00024F33">
        <w:rPr>
          <w:b/>
        </w:rPr>
        <w:t>hlavním cílem</w:t>
      </w:r>
      <w:r>
        <w:t xml:space="preserve"> je</w:t>
      </w:r>
      <w:r w:rsidR="005D6808">
        <w:t xml:space="preserve"> přimět </w:t>
      </w:r>
      <w:r w:rsidR="00F55806" w:rsidRPr="005D6808">
        <w:rPr>
          <w:rFonts w:cs="Arial"/>
        </w:rPr>
        <w:t>členské státy</w:t>
      </w:r>
      <w:r w:rsidR="005D6808" w:rsidRPr="005D6808">
        <w:rPr>
          <w:rFonts w:cs="Arial"/>
        </w:rPr>
        <w:t>, aby si</w:t>
      </w:r>
      <w:r w:rsidR="00F55806" w:rsidRPr="005D6808">
        <w:rPr>
          <w:rFonts w:cs="Arial"/>
        </w:rPr>
        <w:t xml:space="preserve"> plnily závazky vyplývající jim </w:t>
      </w:r>
      <w:r>
        <w:t>ze Smluv</w:t>
      </w:r>
      <w:r w:rsidR="00F55806">
        <w:t>,</w:t>
      </w:r>
      <w:r w:rsidR="00307522">
        <w:t xml:space="preserve"> a </w:t>
      </w:r>
      <w:r w:rsidR="005D6808">
        <w:t xml:space="preserve">tak </w:t>
      </w:r>
      <w:r w:rsidR="00307522">
        <w:t>zajistit stav, který bud</w:t>
      </w:r>
      <w:r w:rsidR="00313DAA">
        <w:t>e s těmito Smlouvami v souladu</w:t>
      </w:r>
      <w:r>
        <w:t>.</w:t>
      </w:r>
      <w:r w:rsidR="00313DAA">
        <w:t xml:space="preserve"> Výsledné rozhodnutí </w:t>
      </w:r>
      <w:r w:rsidR="00457E9D">
        <w:t>S</w:t>
      </w:r>
      <w:r w:rsidR="00313DAA">
        <w:t>oudního dvora má tedy pouze deklaratorní charakter, což znamená, že</w:t>
      </w:r>
      <w:r w:rsidR="00A37166">
        <w:t> </w:t>
      </w:r>
      <w:r w:rsidR="00313DAA">
        <w:t>pouze deklaruje, prohlásí, zda došlo ze strany členského státu k porušení jeho povinnosti či nikoliv. Pokud dojde ke zjištění, že k porušení opravdu došlo, pak bude sekundárním cílem snaha o odstranění tohoto závadného stavu a jeho napravení.</w:t>
      </w:r>
      <w:r w:rsidR="00313DAA">
        <w:rPr>
          <w:rStyle w:val="Znakapoznpodarou"/>
        </w:rPr>
        <w:footnoteReference w:id="127"/>
      </w:r>
    </w:p>
    <w:p w:rsidR="007A782B" w:rsidRDefault="00105EDC" w:rsidP="007A782B">
      <w:pPr>
        <w:ind w:firstLine="708"/>
      </w:pPr>
      <w:r>
        <w:t xml:space="preserve">Poté můžeme hovořit o </w:t>
      </w:r>
      <w:r w:rsidRPr="00024F33">
        <w:rPr>
          <w:b/>
        </w:rPr>
        <w:t>funkci pořádkové</w:t>
      </w:r>
      <w:r w:rsidR="007A782B">
        <w:t>. Ve smyslu evropského práva můžeme tuto funkci vyložit jako snahu uchránit žalobce</w:t>
      </w:r>
      <w:r w:rsidR="00F8229A">
        <w:t xml:space="preserve">, v tomto případě Komisi </w:t>
      </w:r>
      <w:r w:rsidR="00F8229A">
        <w:lastRenderedPageBreak/>
        <w:t>či</w:t>
      </w:r>
      <w:r w:rsidR="0091288A">
        <w:t> </w:t>
      </w:r>
      <w:r w:rsidR="00F8229A">
        <w:t>členský stát,</w:t>
      </w:r>
      <w:r w:rsidR="007A782B" w:rsidRPr="007A782B">
        <w:t xml:space="preserve"> před následky plynoucími z ohrožení práva</w:t>
      </w:r>
      <w:r w:rsidR="00457E9D">
        <w:t xml:space="preserve"> Evropské unie</w:t>
      </w:r>
      <w:r w:rsidR="00F8229A">
        <w:t>. Případně také</w:t>
      </w:r>
      <w:r w:rsidR="007A782B" w:rsidRPr="007A782B">
        <w:t xml:space="preserve"> uchránit </w:t>
      </w:r>
      <w:r w:rsidR="00F8229A">
        <w:t>členské státy</w:t>
      </w:r>
      <w:r w:rsidR="007A782B" w:rsidRPr="007A782B">
        <w:t xml:space="preserve"> před povinností, která mu hrozila</w:t>
      </w:r>
      <w:r w:rsidR="008C11F5">
        <w:t xml:space="preserve"> </w:t>
      </w:r>
      <w:r w:rsidR="007A782B" w:rsidRPr="007A782B">
        <w:t xml:space="preserve">vzniknout bez </w:t>
      </w:r>
      <w:r w:rsidR="00F8229A">
        <w:t>právního</w:t>
      </w:r>
      <w:r w:rsidR="007A782B" w:rsidRPr="007A782B">
        <w:t xml:space="preserve"> podkladu</w:t>
      </w:r>
      <w:r w:rsidR="00457E9D">
        <w:t>, což se využije spíše u řízení dle článku 259 SFEU</w:t>
      </w:r>
      <w:r w:rsidR="007A782B">
        <w:t>.</w:t>
      </w:r>
    </w:p>
    <w:p w:rsidR="00F8229A" w:rsidRDefault="00F8229A" w:rsidP="00F8229A">
      <w:pPr>
        <w:ind w:firstLine="708"/>
      </w:pPr>
      <w:r>
        <w:t xml:space="preserve">Následuje plnění </w:t>
      </w:r>
      <w:r w:rsidRPr="00024F33">
        <w:rPr>
          <w:b/>
        </w:rPr>
        <w:t>funkce represivní</w:t>
      </w:r>
      <w:r w:rsidR="00457E9D">
        <w:rPr>
          <w:rStyle w:val="Znakapoznpodarou"/>
        </w:rPr>
        <w:footnoteReference w:id="128"/>
      </w:r>
      <w:r>
        <w:t>.</w:t>
      </w:r>
      <w:r w:rsidR="00403C05">
        <w:t xml:space="preserve"> </w:t>
      </w:r>
      <w:r w:rsidR="007A782B" w:rsidRPr="007A782B">
        <w:t xml:space="preserve">Nedílným směrem působení </w:t>
      </w:r>
      <w:r>
        <w:t>o</w:t>
      </w:r>
      <w:r w:rsidR="007A782B" w:rsidRPr="007A782B">
        <w:t>dpovědnosti</w:t>
      </w:r>
      <w:r>
        <w:t xml:space="preserve"> členských států</w:t>
      </w:r>
      <w:r w:rsidR="007A782B" w:rsidRPr="007A782B">
        <w:t xml:space="preserve"> je i </w:t>
      </w:r>
      <w:r>
        <w:t xml:space="preserve">určitý </w:t>
      </w:r>
      <w:r w:rsidR="007A782B" w:rsidRPr="007A782B">
        <w:t>postih odpovědného subjektu, tedy nepříznivý zásah do jeho majetkové sféry nad rámec kompenzace</w:t>
      </w:r>
      <w:r>
        <w:t>. K naplnění této funkce dojde jen zřídka, a to uložením pokuty členskému státu.</w:t>
      </w:r>
      <w:r w:rsidR="00403C05">
        <w:t xml:space="preserve"> </w:t>
      </w:r>
      <w:r w:rsidR="007A782B" w:rsidRPr="007A782B">
        <w:t xml:space="preserve">Represivní stránka odpovědnosti však není samoúčelná, </w:t>
      </w:r>
      <w:r>
        <w:t xml:space="preserve">a spíše než jako jakási </w:t>
      </w:r>
      <w:r w:rsidR="007A782B" w:rsidRPr="007A782B">
        <w:t>od</w:t>
      </w:r>
      <w:r>
        <w:t>plata Evropské unie vůči členskému státu jako</w:t>
      </w:r>
      <w:r w:rsidR="007A782B" w:rsidRPr="007A782B">
        <w:t xml:space="preserve"> porušiteli práva, </w:t>
      </w:r>
      <w:r>
        <w:t xml:space="preserve">má převážit </w:t>
      </w:r>
      <w:r w:rsidR="007A782B" w:rsidRPr="007A782B">
        <w:t>její výchovný aspekt</w:t>
      </w:r>
      <w:r>
        <w:t>. Členský stát</w:t>
      </w:r>
      <w:r w:rsidR="00403C05">
        <w:t xml:space="preserve"> </w:t>
      </w:r>
      <w:r>
        <w:t xml:space="preserve">jako porušitel právní povinnosti vyplývající mu ze </w:t>
      </w:r>
      <w:r w:rsidR="00782C5E">
        <w:t>S</w:t>
      </w:r>
      <w:r>
        <w:t>mluv, ale vedle něj i ostatní členské státy, mají být všichni vedeni k chování v souladu s evropským právem.</w:t>
      </w:r>
    </w:p>
    <w:p w:rsidR="00307522" w:rsidRDefault="00F8229A" w:rsidP="00307522">
      <w:pPr>
        <w:ind w:firstLine="708"/>
      </w:pPr>
      <w:r>
        <w:t xml:space="preserve">Úzce spojená je s tím i </w:t>
      </w:r>
      <w:r w:rsidRPr="00024F33">
        <w:rPr>
          <w:b/>
        </w:rPr>
        <w:t>funkce preventivní</w:t>
      </w:r>
      <w:r>
        <w:t>. S</w:t>
      </w:r>
      <w:r w:rsidR="007A782B" w:rsidRPr="007A782B">
        <w:t>počívá v tom, že stanovení právní odpovědnosti v sankční složce právní normy působí na vědomí, a tím i</w:t>
      </w:r>
      <w:r w:rsidR="00A43917">
        <w:t> </w:t>
      </w:r>
      <w:r w:rsidR="00307522">
        <w:t>na</w:t>
      </w:r>
      <w:r w:rsidR="00A43917">
        <w:t> </w:t>
      </w:r>
      <w:r w:rsidR="00307522">
        <w:t>jednání členských států</w:t>
      </w:r>
      <w:r w:rsidR="007A782B" w:rsidRPr="007A782B">
        <w:t xml:space="preserve"> tak, že pod tlakem hrozby vzniku nepříznivých právních následků volí takovou variantu chování, která je v souladu s</w:t>
      </w:r>
      <w:r w:rsidR="00307522">
        <w:t xml:space="preserve"> evropským </w:t>
      </w:r>
      <w:r w:rsidR="007A782B" w:rsidRPr="007A782B">
        <w:t>právem. Jde tedy v</w:t>
      </w:r>
      <w:r w:rsidR="0091288A">
        <w:t> </w:t>
      </w:r>
      <w:r w:rsidR="007A782B" w:rsidRPr="007A782B">
        <w:t>podstatě o působení na předcházení porušení práva. Preventivně působí nejen stanovení odpovědnosti v právní normě, ale i důsledná realizace právní odpovědnosti ve všech případech, kdy byly naplněny předpoklady jejího vzniku.</w:t>
      </w:r>
    </w:p>
    <w:p w:rsidR="00543407" w:rsidRDefault="00313DAA" w:rsidP="00307522">
      <w:pPr>
        <w:ind w:firstLine="708"/>
      </w:pPr>
      <w:r>
        <w:t xml:space="preserve">V neposlední řadě také </w:t>
      </w:r>
      <w:r w:rsidR="00885EAA">
        <w:t>S</w:t>
      </w:r>
      <w:r>
        <w:t>oudní dvůr svým rozhodnutím poskytuje</w:t>
      </w:r>
      <w:r w:rsidR="00543407">
        <w:t xml:space="preserve"> </w:t>
      </w:r>
      <w:r w:rsidR="00543407" w:rsidRPr="00024F33">
        <w:rPr>
          <w:b/>
        </w:rPr>
        <w:t>závazn</w:t>
      </w:r>
      <w:r w:rsidRPr="00024F33">
        <w:rPr>
          <w:b/>
        </w:rPr>
        <w:t>ý</w:t>
      </w:r>
      <w:r w:rsidR="00543407" w:rsidRPr="00024F33">
        <w:rPr>
          <w:b/>
        </w:rPr>
        <w:t xml:space="preserve"> výklad</w:t>
      </w:r>
      <w:r w:rsidR="00543407">
        <w:t xml:space="preserve"> unijního práva</w:t>
      </w:r>
      <w:r>
        <w:t xml:space="preserve"> a </w:t>
      </w:r>
      <w:r w:rsidR="00543407">
        <w:t xml:space="preserve">rozsudek </w:t>
      </w:r>
      <w:r>
        <w:t xml:space="preserve">vydaný </w:t>
      </w:r>
      <w:r w:rsidR="00543407">
        <w:t>v t</w:t>
      </w:r>
      <w:r>
        <w:t>akovém</w:t>
      </w:r>
      <w:r w:rsidR="00543407">
        <w:t xml:space="preserve"> řízení má stejnou váhu jako rozsudek vydaný v rámci řízení o předběžné otázce podle článku </w:t>
      </w:r>
      <w:r w:rsidR="009360D5">
        <w:t>267 SFEU.</w:t>
      </w:r>
    </w:p>
    <w:p w:rsidR="00313DAA" w:rsidRDefault="00313DAA" w:rsidP="00307522">
      <w:pPr>
        <w:ind w:firstLine="708"/>
      </w:pPr>
      <w:r>
        <w:t xml:space="preserve">Řízení o žalobě na porušení povinnosti členského státu může rovněž sloužit jako </w:t>
      </w:r>
      <w:r w:rsidR="003C2C19">
        <w:t>nástroj k </w:t>
      </w:r>
      <w:r w:rsidR="003C2C19" w:rsidRPr="00024F33">
        <w:rPr>
          <w:b/>
        </w:rPr>
        <w:t>vymezení rozsahu povinností</w:t>
      </w:r>
      <w:r w:rsidR="003C2C19">
        <w:t>, které členskému státu z evropského práva plynou, p</w:t>
      </w:r>
      <w:r w:rsidR="005D7C8F">
        <w:t xml:space="preserve">okud </w:t>
      </w:r>
      <w:r w:rsidR="00C2021A">
        <w:t>existuje odlišná in</w:t>
      </w:r>
      <w:r w:rsidR="003C2C19">
        <w:t>terpretace</w:t>
      </w:r>
      <w:r w:rsidR="00EF3ECC">
        <w:t xml:space="preserve"> členskými státy</w:t>
      </w:r>
      <w:r w:rsidR="003C2C19">
        <w:t>.</w:t>
      </w:r>
      <w:r w:rsidR="003C2C19">
        <w:rPr>
          <w:rStyle w:val="Znakapoznpodarou"/>
        </w:rPr>
        <w:footnoteReference w:id="129"/>
      </w:r>
    </w:p>
    <w:p w:rsidR="00B25500" w:rsidRPr="00AD2BB9" w:rsidRDefault="00403C05" w:rsidP="00403C05">
      <w:pPr>
        <w:ind w:firstLine="708"/>
        <w:rPr>
          <w:rStyle w:val="hps"/>
          <w:rFonts w:cs="Arial"/>
          <w:color w:val="222222"/>
        </w:rPr>
      </w:pPr>
      <w:r w:rsidRPr="00403C05">
        <w:rPr>
          <w:rStyle w:val="Zvraznn"/>
          <w:rFonts w:cs="Arial"/>
          <w:b w:val="0"/>
          <w:color w:val="222222"/>
        </w:rPr>
        <w:t>Podle</w:t>
      </w:r>
      <w:r w:rsidRPr="00403C05">
        <w:rPr>
          <w:rStyle w:val="st"/>
          <w:rFonts w:cs="Arial"/>
          <w:b/>
          <w:color w:val="222222"/>
        </w:rPr>
        <w:t xml:space="preserve"> </w:t>
      </w:r>
      <w:r w:rsidRPr="00403C05">
        <w:rPr>
          <w:rStyle w:val="st"/>
          <w:rFonts w:cs="Arial"/>
          <w:color w:val="222222"/>
        </w:rPr>
        <w:t>P.</w:t>
      </w:r>
      <w:r w:rsidRPr="00403C05">
        <w:rPr>
          <w:rStyle w:val="st"/>
          <w:rFonts w:cs="Arial"/>
          <w:b/>
          <w:color w:val="222222"/>
        </w:rPr>
        <w:t xml:space="preserve"> </w:t>
      </w:r>
      <w:proofErr w:type="spellStart"/>
      <w:r w:rsidRPr="00403C05">
        <w:rPr>
          <w:rStyle w:val="Zvraznn"/>
          <w:rFonts w:cs="Arial"/>
          <w:b w:val="0"/>
          <w:color w:val="222222"/>
        </w:rPr>
        <w:t>Craiga</w:t>
      </w:r>
      <w:proofErr w:type="spellEnd"/>
      <w:r w:rsidRPr="00403C05">
        <w:rPr>
          <w:rStyle w:val="st"/>
          <w:rFonts w:cs="Arial"/>
          <w:b/>
          <w:color w:val="222222"/>
        </w:rPr>
        <w:t xml:space="preserve"> </w:t>
      </w:r>
      <w:r w:rsidRPr="00403C05">
        <w:rPr>
          <w:rStyle w:val="st"/>
          <w:rFonts w:cs="Arial"/>
          <w:color w:val="222222"/>
        </w:rPr>
        <w:t xml:space="preserve">a G. </w:t>
      </w:r>
      <w:proofErr w:type="gramStart"/>
      <w:r w:rsidRPr="00403C05">
        <w:rPr>
          <w:rStyle w:val="st"/>
          <w:rFonts w:cs="Arial"/>
          <w:color w:val="222222"/>
        </w:rPr>
        <w:t>de</w:t>
      </w:r>
      <w:proofErr w:type="gramEnd"/>
      <w:r w:rsidRPr="00403C05">
        <w:rPr>
          <w:rStyle w:val="st"/>
          <w:rFonts w:cs="Arial"/>
          <w:b/>
          <w:color w:val="222222"/>
        </w:rPr>
        <w:t xml:space="preserve"> </w:t>
      </w:r>
      <w:proofErr w:type="spellStart"/>
      <w:r w:rsidRPr="00403C05">
        <w:rPr>
          <w:rStyle w:val="Zvraznn"/>
          <w:rFonts w:cs="Arial"/>
          <w:b w:val="0"/>
          <w:color w:val="222222"/>
        </w:rPr>
        <w:t>Búrcy</w:t>
      </w:r>
      <w:proofErr w:type="spellEnd"/>
      <w:r w:rsidR="00B25500" w:rsidRPr="00AD2BB9">
        <w:rPr>
          <w:rFonts w:cs="Arial"/>
        </w:rPr>
        <w:t xml:space="preserve"> </w:t>
      </w:r>
      <w:r>
        <w:rPr>
          <w:rFonts w:cs="Arial"/>
        </w:rPr>
        <w:t>dozorčí žaloba z</w:t>
      </w:r>
      <w:r w:rsidR="00B25500" w:rsidRPr="00AD2BB9">
        <w:rPr>
          <w:rFonts w:cs="Arial"/>
        </w:rPr>
        <w:t> části funguje jako elitní prostředek pro řešení sporů přátelskou cestou bez obracení se na soudní řešení sporu, z části funguje jako cesta pro jednotlivce, jak si mohou stěžovat na porušování evropského práva u Komise, a z části jako nástroj Komise pro objektivn</w:t>
      </w:r>
      <w:r>
        <w:rPr>
          <w:rFonts w:cs="Arial"/>
        </w:rPr>
        <w:t xml:space="preserve">í vymáhání práva. </w:t>
      </w:r>
      <w:r w:rsidR="001F5245">
        <w:rPr>
          <w:rFonts w:cs="Arial"/>
        </w:rPr>
        <w:t>A rovněž bývá toto řízení popisováno</w:t>
      </w:r>
      <w:r w:rsidR="00B25500" w:rsidRPr="00AD2BB9">
        <w:rPr>
          <w:rFonts w:cs="Arial"/>
        </w:rPr>
        <w:t xml:space="preserve"> jako</w:t>
      </w:r>
      <w:r w:rsidR="00B25500" w:rsidRPr="00AD2BB9">
        <w:rPr>
          <w:rStyle w:val="hps"/>
          <w:rFonts w:cs="Arial"/>
          <w:color w:val="222222"/>
        </w:rPr>
        <w:t xml:space="preserve"> právní</w:t>
      </w:r>
      <w:r>
        <w:rPr>
          <w:rStyle w:val="hps"/>
          <w:rFonts w:cs="Arial"/>
          <w:color w:val="222222"/>
        </w:rPr>
        <w:t xml:space="preserve"> </w:t>
      </w:r>
      <w:r w:rsidR="00B25500" w:rsidRPr="00AD2BB9">
        <w:rPr>
          <w:rStyle w:val="hps"/>
          <w:rFonts w:cs="Arial"/>
          <w:color w:val="222222"/>
        </w:rPr>
        <w:t>mechanismus pro</w:t>
      </w:r>
      <w:r>
        <w:rPr>
          <w:rStyle w:val="hps"/>
          <w:rFonts w:cs="Arial"/>
          <w:color w:val="222222"/>
        </w:rPr>
        <w:t xml:space="preserve"> </w:t>
      </w:r>
      <w:r w:rsidR="00B25500" w:rsidRPr="00AD2BB9">
        <w:rPr>
          <w:rStyle w:val="hps"/>
          <w:rFonts w:cs="Arial"/>
          <w:color w:val="222222"/>
        </w:rPr>
        <w:t>zvyšování</w:t>
      </w:r>
      <w:r>
        <w:rPr>
          <w:rStyle w:val="hps"/>
          <w:rFonts w:cs="Arial"/>
          <w:color w:val="222222"/>
        </w:rPr>
        <w:t xml:space="preserve"> </w:t>
      </w:r>
      <w:r w:rsidR="00B25500" w:rsidRPr="00AD2BB9">
        <w:rPr>
          <w:rStyle w:val="hps"/>
          <w:rFonts w:cs="Arial"/>
          <w:color w:val="222222"/>
        </w:rPr>
        <w:t>odpovědnosti</w:t>
      </w:r>
      <w:r w:rsidR="00B25500" w:rsidRPr="00AD2BB9">
        <w:rPr>
          <w:rFonts w:cs="Arial"/>
          <w:color w:val="222222"/>
        </w:rPr>
        <w:t xml:space="preserve"> jednotlivých </w:t>
      </w:r>
      <w:r w:rsidR="00B25500" w:rsidRPr="00AD2BB9">
        <w:rPr>
          <w:rStyle w:val="hps"/>
          <w:rFonts w:cs="Arial"/>
          <w:color w:val="222222"/>
        </w:rPr>
        <w:t>aktérů</w:t>
      </w:r>
      <w:r w:rsidR="00B25500" w:rsidRPr="00AD2BB9">
        <w:rPr>
          <w:rFonts w:cs="Arial"/>
          <w:color w:val="222222"/>
        </w:rPr>
        <w:t xml:space="preserve">, zejména </w:t>
      </w:r>
      <w:r w:rsidR="00B25500" w:rsidRPr="00AD2BB9">
        <w:rPr>
          <w:rStyle w:val="hps"/>
          <w:rFonts w:cs="Arial"/>
          <w:color w:val="222222"/>
        </w:rPr>
        <w:t>členských států</w:t>
      </w:r>
      <w:r>
        <w:rPr>
          <w:rStyle w:val="hps"/>
          <w:rFonts w:cs="Arial"/>
          <w:color w:val="222222"/>
        </w:rPr>
        <w:t xml:space="preserve"> </w:t>
      </w:r>
      <w:r w:rsidR="00B25500" w:rsidRPr="00AD2BB9">
        <w:rPr>
          <w:rStyle w:val="hps"/>
          <w:rFonts w:cs="Arial"/>
          <w:color w:val="222222"/>
        </w:rPr>
        <w:t>a</w:t>
      </w:r>
      <w:r>
        <w:rPr>
          <w:rStyle w:val="hps"/>
          <w:rFonts w:cs="Arial"/>
          <w:color w:val="222222"/>
        </w:rPr>
        <w:t xml:space="preserve"> Komise.</w:t>
      </w:r>
      <w:r>
        <w:rPr>
          <w:rStyle w:val="Znakapoznpodarou"/>
          <w:rFonts w:cs="Arial"/>
          <w:color w:val="222222"/>
        </w:rPr>
        <w:footnoteReference w:id="130"/>
      </w:r>
    </w:p>
    <w:p w:rsidR="00A04AFA" w:rsidRDefault="004D3157" w:rsidP="00A04AFA">
      <w:pPr>
        <w:ind w:firstLine="708"/>
      </w:pPr>
      <w:r>
        <w:lastRenderedPageBreak/>
        <w:t>Pokud se na řízení o dozorčí žalobě podíváme v </w:t>
      </w:r>
      <w:r w:rsidRPr="00CB413E">
        <w:t>komparaci</w:t>
      </w:r>
      <w:r>
        <w:t xml:space="preserve"> s odpovědností států a</w:t>
      </w:r>
      <w:r w:rsidR="00F21433">
        <w:t> </w:t>
      </w:r>
      <w:r>
        <w:t xml:space="preserve">dalších subjektů v rámci </w:t>
      </w:r>
      <w:r w:rsidRPr="00024F33">
        <w:rPr>
          <w:b/>
        </w:rPr>
        <w:t>mezinárodního práva veřejného</w:t>
      </w:r>
      <w:r>
        <w:t xml:space="preserve"> (dále jen „MPV“), zjistíme, že mají mnoho společných znaků, avšak jsou zde i podstatné znaky, kterými se</w:t>
      </w:r>
      <w:r w:rsidR="00F21433">
        <w:t> </w:t>
      </w:r>
      <w:r>
        <w:t>od</w:t>
      </w:r>
      <w:r w:rsidR="00F21433">
        <w:t> </w:t>
      </w:r>
      <w:r>
        <w:t xml:space="preserve">sebe významně </w:t>
      </w:r>
      <w:r w:rsidR="005B143A">
        <w:t>odlišují</w:t>
      </w:r>
      <w:r>
        <w:t xml:space="preserve">. V MPV musí dojít </w:t>
      </w:r>
      <w:r w:rsidR="00F21433">
        <w:t xml:space="preserve">nejprve </w:t>
      </w:r>
      <w:r>
        <w:t>k porušení mezinárodního závazku.</w:t>
      </w:r>
      <w:r w:rsidR="003C4871">
        <w:t xml:space="preserve"> Mezinárodní závazek může vycházet jednak z obecného mezinárodního práva (obecná pravidla), nebo z mezinárodních smluv uzavřených mezi subjekty MPV.</w:t>
      </w:r>
      <w:r>
        <w:t xml:space="preserve"> Na</w:t>
      </w:r>
      <w:r w:rsidR="003C4871">
        <w:t> </w:t>
      </w:r>
      <w:r>
        <w:t>základě tohoto protiprávního chování</w:t>
      </w:r>
      <w:r w:rsidR="003C4871">
        <w:t xml:space="preserve">, které může být </w:t>
      </w:r>
      <w:proofErr w:type="spellStart"/>
      <w:r w:rsidR="003C4871">
        <w:t>komisivní</w:t>
      </w:r>
      <w:proofErr w:type="spellEnd"/>
      <w:r w:rsidR="003C4871">
        <w:t xml:space="preserve"> i omi</w:t>
      </w:r>
      <w:r w:rsidR="00CB413E">
        <w:t>sivní</w:t>
      </w:r>
      <w:r w:rsidR="003C4871">
        <w:t xml:space="preserve">, </w:t>
      </w:r>
      <w:r>
        <w:t>vzniká mezinárodněprávní odpovědnost (tzv. nepřímé donucení</w:t>
      </w:r>
      <w:r w:rsidR="005B143A">
        <w:t xml:space="preserve"> - preventivní</w:t>
      </w:r>
      <w:r>
        <w:t>)</w:t>
      </w:r>
      <w:r w:rsidR="003C4871">
        <w:t>.</w:t>
      </w:r>
      <w:r w:rsidR="00CB413E">
        <w:rPr>
          <w:rStyle w:val="Znakapoznpodarou"/>
        </w:rPr>
        <w:footnoteReference w:id="131"/>
      </w:r>
      <w:r w:rsidR="00F21433">
        <w:t xml:space="preserve"> </w:t>
      </w:r>
      <w:r w:rsidR="005B143A" w:rsidRPr="005B143A">
        <w:t>Jestliže porušitel nesplní odpovědnostní povinnost, nastupuje dalš</w:t>
      </w:r>
      <w:r w:rsidR="005B143A">
        <w:t>í</w:t>
      </w:r>
      <w:r w:rsidR="005B143A" w:rsidRPr="005B143A">
        <w:t xml:space="preserve"> právní poměr, v</w:t>
      </w:r>
      <w:r w:rsidR="00CB413E">
        <w:t> </w:t>
      </w:r>
      <w:r w:rsidR="005B143A" w:rsidRPr="005B143A">
        <w:t>němž má poškozený subjektivní právo přistoupit k přímému donucení</w:t>
      </w:r>
      <w:r w:rsidR="005B143A">
        <w:t>, tedy sankce (tzv. přímé donucení)</w:t>
      </w:r>
      <w:r w:rsidR="005B143A" w:rsidRPr="005B143A">
        <w:t>. Tomuto právu odpovídá povinnost porušitele strpět výkon práva</w:t>
      </w:r>
      <w:r w:rsidR="005B143A">
        <w:t>.</w:t>
      </w:r>
      <w:r w:rsidR="00CB413E">
        <w:rPr>
          <w:rStyle w:val="Znakapoznpodarou"/>
        </w:rPr>
        <w:footnoteReference w:id="132"/>
      </w:r>
      <w:r w:rsidR="005B143A">
        <w:t xml:space="preserve"> </w:t>
      </w:r>
      <w:r w:rsidR="00F21433">
        <w:t xml:space="preserve">Mezinárodněprávní </w:t>
      </w:r>
      <w:r w:rsidR="00F21433" w:rsidRPr="00F21433">
        <w:t>odpovědnost se přičítá subjektům MP za akty jejich orgánů, na které stát přenesl určitou pravomoc</w:t>
      </w:r>
      <w:r w:rsidR="00F21433">
        <w:t>. Může se tedy jednat o o</w:t>
      </w:r>
      <w:r w:rsidR="00F21433" w:rsidRPr="00F21433">
        <w:t xml:space="preserve">rgán ústavodárný, zákonodárný, výkonný, soudní, </w:t>
      </w:r>
      <w:r w:rsidR="00F21433">
        <w:t xml:space="preserve">ale také o </w:t>
      </w:r>
      <w:r w:rsidR="00F21433" w:rsidRPr="00F21433">
        <w:t xml:space="preserve">územní samosprávné celky </w:t>
      </w:r>
      <w:r w:rsidR="00A04AFA">
        <w:t>a</w:t>
      </w:r>
      <w:r w:rsidR="00417ECB">
        <w:t> </w:t>
      </w:r>
      <w:r w:rsidR="00F21433" w:rsidRPr="00F21433">
        <w:t xml:space="preserve">akty </w:t>
      </w:r>
      <w:r w:rsidR="00F21433">
        <w:t>fyzických osob</w:t>
      </w:r>
      <w:r w:rsidR="00A04AFA">
        <w:t xml:space="preserve">. </w:t>
      </w:r>
      <w:r w:rsidR="00F21433" w:rsidRPr="00F21433">
        <w:t xml:space="preserve"> </w:t>
      </w:r>
      <w:r w:rsidR="00A04AFA">
        <w:t xml:space="preserve">Stát nese odpovědnost za jednání svých orgánů i v případě, </w:t>
      </w:r>
      <w:r w:rsidR="00F21433" w:rsidRPr="00F21433">
        <w:t xml:space="preserve">když </w:t>
      </w:r>
      <w:r w:rsidR="00A04AFA">
        <w:t xml:space="preserve">sice </w:t>
      </w:r>
      <w:r w:rsidR="00F21433" w:rsidRPr="00F21433">
        <w:t>nepodněcuje</w:t>
      </w:r>
      <w:r w:rsidR="00A04AFA">
        <w:t xml:space="preserve"> orgán</w:t>
      </w:r>
      <w:r w:rsidR="00F21433" w:rsidRPr="00F21433">
        <w:t xml:space="preserve"> k</w:t>
      </w:r>
      <w:r w:rsidR="00A04AFA">
        <w:t> </w:t>
      </w:r>
      <w:r w:rsidR="00F21433" w:rsidRPr="00F21433">
        <w:t>jednání</w:t>
      </w:r>
      <w:r w:rsidR="00A04AFA">
        <w:t>,</w:t>
      </w:r>
      <w:r w:rsidR="00F21433" w:rsidRPr="00F21433">
        <w:t xml:space="preserve"> ale nepřijal </w:t>
      </w:r>
      <w:r w:rsidR="00A04AFA">
        <w:t xml:space="preserve">žádná </w:t>
      </w:r>
      <w:r w:rsidR="00F21433" w:rsidRPr="00F21433">
        <w:t>patřičná opatření k</w:t>
      </w:r>
      <w:r w:rsidR="00A04AFA">
        <w:t> </w:t>
      </w:r>
      <w:r w:rsidR="00F21433" w:rsidRPr="00F21433">
        <w:t>zabránění</w:t>
      </w:r>
      <w:r w:rsidR="00A04AFA">
        <w:t xml:space="preserve"> jeho nežádoucího protiprávního chování.</w:t>
      </w:r>
      <w:r w:rsidR="00CB413E">
        <w:rPr>
          <w:rStyle w:val="Znakapoznpodarou"/>
        </w:rPr>
        <w:footnoteReference w:id="133"/>
      </w:r>
      <w:r w:rsidR="005B143A">
        <w:t xml:space="preserve"> Dosud jsou znaky velmi podobné těm, které známe z řízení o porušení povinnosti.   </w:t>
      </w:r>
      <w:r w:rsidR="00A04AFA">
        <w:t xml:space="preserve"> </w:t>
      </w:r>
    </w:p>
    <w:p w:rsidR="005B143A" w:rsidRDefault="005B143A" w:rsidP="0077433B">
      <w:pPr>
        <w:ind w:firstLine="708"/>
      </w:pPr>
      <w:r>
        <w:t xml:space="preserve">Existuje však mnoho specifik </w:t>
      </w:r>
      <w:r w:rsidR="003B327B">
        <w:t xml:space="preserve">mezinárodněprávní odpovědnosti, díky kterým se od sebe podstatně s řízením o porušení povinnosti liší. Subjekty MPV tu například mají vcelku rozsáhlé spektrum </w:t>
      </w:r>
      <w:r w:rsidR="00A04AFA" w:rsidRPr="00024F33">
        <w:t>okolnost</w:t>
      </w:r>
      <w:r w:rsidR="003B327B" w:rsidRPr="00024F33">
        <w:t>í</w:t>
      </w:r>
      <w:r w:rsidR="00A04AFA" w:rsidRPr="00024F33">
        <w:t xml:space="preserve"> vylučující</w:t>
      </w:r>
      <w:r w:rsidR="003B327B" w:rsidRPr="00024F33">
        <w:t>ch</w:t>
      </w:r>
      <w:r w:rsidR="00A04AFA" w:rsidRPr="00024F33">
        <w:t xml:space="preserve"> protiprávnost</w:t>
      </w:r>
      <w:r w:rsidR="00A04AFA">
        <w:t>, jako jsou</w:t>
      </w:r>
      <w:r w:rsidR="00A04AFA" w:rsidRPr="00A04AFA">
        <w:t xml:space="preserve"> přivolení poškozeného státu, aplikace sankce, vyšší moc</w:t>
      </w:r>
      <w:r w:rsidR="00A04AFA">
        <w:t xml:space="preserve"> či</w:t>
      </w:r>
      <w:r w:rsidR="00A04AFA" w:rsidRPr="00A04AFA">
        <w:t xml:space="preserve"> nahodilost, tíseň, sebeobrana</w:t>
      </w:r>
      <w:r w:rsidR="00A04AFA">
        <w:t xml:space="preserve"> a</w:t>
      </w:r>
      <w:r w:rsidR="00024F33">
        <w:t> </w:t>
      </w:r>
      <w:r w:rsidR="00A04AFA" w:rsidRPr="00A04AFA">
        <w:t>stav nouze</w:t>
      </w:r>
      <w:r w:rsidR="003B327B">
        <w:t>, které lze využít</w:t>
      </w:r>
      <w:r w:rsidR="00A04AFA">
        <w:t>.</w:t>
      </w:r>
      <w:r w:rsidR="00CB413E">
        <w:rPr>
          <w:rStyle w:val="Znakapoznpodarou"/>
        </w:rPr>
        <w:footnoteReference w:id="134"/>
      </w:r>
      <w:r w:rsidR="000E3FBC">
        <w:t xml:space="preserve"> Tyto okolnosti jsou první významnou odlišností od řízení o porušení povinnosti, kde většina z těchto okolností by nebyla Soudním dvorem uznána. </w:t>
      </w:r>
      <w:r w:rsidR="00A04AFA">
        <w:t xml:space="preserve">Významným specifikem je rovněž fakt, že </w:t>
      </w:r>
      <w:r w:rsidR="00A04AFA" w:rsidRPr="00A04AFA">
        <w:t>subjekty MP</w:t>
      </w:r>
      <w:r w:rsidR="00A04AFA">
        <w:t>V</w:t>
      </w:r>
      <w:r w:rsidR="00A04AFA" w:rsidRPr="00A04AFA">
        <w:t xml:space="preserve"> nepodléhají v obecné rovině </w:t>
      </w:r>
      <w:r w:rsidR="00A04AFA" w:rsidRPr="00024F33">
        <w:t>žádnému nadřazenému soudnímu orgánu</w:t>
      </w:r>
      <w:r w:rsidR="00A04AFA" w:rsidRPr="00A04AFA">
        <w:t xml:space="preserve"> s </w:t>
      </w:r>
      <w:r w:rsidR="00CB413E">
        <w:t>obligatorní jurisdikcí</w:t>
      </w:r>
      <w:r w:rsidR="00A04AFA">
        <w:t xml:space="preserve">. Oproti tomu členské státy </w:t>
      </w:r>
      <w:r w:rsidR="004944AD">
        <w:t xml:space="preserve">Evropské unie podléhají jurisdikci Evropského soudního dvora. </w:t>
      </w:r>
      <w:r w:rsidR="00A04AFA" w:rsidRPr="00A04AFA">
        <w:t>Pravidla</w:t>
      </w:r>
      <w:r w:rsidR="00A04AFA">
        <w:t>,</w:t>
      </w:r>
      <w:r w:rsidR="00A04AFA" w:rsidRPr="00A04AFA">
        <w:t xml:space="preserve"> </w:t>
      </w:r>
      <w:r w:rsidR="00A04AFA">
        <w:t>která</w:t>
      </w:r>
      <w:r w:rsidR="00A04AFA" w:rsidRPr="00A04AFA">
        <w:t xml:space="preserve"> upravují odpovědnostní právní následky porušení současného </w:t>
      </w:r>
      <w:r w:rsidR="00A04AFA">
        <w:t>MPV</w:t>
      </w:r>
      <w:r w:rsidR="00A04AFA" w:rsidRPr="00A04AFA">
        <w:t xml:space="preserve">, mají </w:t>
      </w:r>
      <w:r w:rsidR="00A04AFA" w:rsidRPr="00024F33">
        <w:t>automatickou působnost.</w:t>
      </w:r>
      <w:r w:rsidR="00A04AFA" w:rsidRPr="00A04AFA">
        <w:t xml:space="preserve"> Jejich použití nezávisí totiž na konsenzu </w:t>
      </w:r>
      <w:r w:rsidR="00A04AFA" w:rsidRPr="00A04AFA">
        <w:lastRenderedPageBreak/>
        <w:t>zainteresovaných stran. Je-li primární pravidlo MP</w:t>
      </w:r>
      <w:r w:rsidR="000E3FBC">
        <w:t>V</w:t>
      </w:r>
      <w:r w:rsidR="00A04AFA" w:rsidRPr="00A04AFA">
        <w:t xml:space="preserve"> porušeno a protiprávní chování lze přičítat státu, pak již sama tato právní skutečnost uvádí v působnost pravidla o</w:t>
      </w:r>
      <w:r w:rsidR="000E3FBC">
        <w:t> </w:t>
      </w:r>
      <w:r w:rsidR="00A04AFA" w:rsidRPr="00A04AFA">
        <w:t>odpovědnostních právních následcích mezinárodně protiprávního chování. Tím</w:t>
      </w:r>
      <w:r w:rsidR="000E3FBC">
        <w:t>to</w:t>
      </w:r>
      <w:r w:rsidR="00A04AFA" w:rsidRPr="00A04AFA">
        <w:t xml:space="preserve"> ex lege mezi porušitelem a</w:t>
      </w:r>
      <w:r w:rsidR="00024F33">
        <w:t> </w:t>
      </w:r>
      <w:r w:rsidR="00A04AFA" w:rsidRPr="00A04AFA">
        <w:t xml:space="preserve">poškozeným vzniká odpovědnostní právní poměr, jenž ukládá porušiteli další právní povinnost, tzv. </w:t>
      </w:r>
      <w:r w:rsidR="000E3FBC">
        <w:t>o</w:t>
      </w:r>
      <w:r w:rsidR="00A04AFA" w:rsidRPr="00A04AFA">
        <w:t>dpovědnostní povinnost</w:t>
      </w:r>
      <w:r w:rsidR="000E3FBC">
        <w:t>, a p</w:t>
      </w:r>
      <w:r w:rsidR="00A04AFA" w:rsidRPr="00A04AFA">
        <w:t>oškozenému vznik</w:t>
      </w:r>
      <w:r w:rsidR="000E3FBC">
        <w:t>á</w:t>
      </w:r>
      <w:r w:rsidR="00A04AFA" w:rsidRPr="00A04AFA">
        <w:t xml:space="preserve"> nový právní nárok</w:t>
      </w:r>
      <w:r w:rsidR="000E3FBC">
        <w:t xml:space="preserve"> na odčinění újmy porušitelem. </w:t>
      </w:r>
      <w:r w:rsidR="00A04AFA" w:rsidRPr="00A04AFA">
        <w:t xml:space="preserve">Poškozený se </w:t>
      </w:r>
      <w:r w:rsidR="000E3FBC">
        <w:t xml:space="preserve">však </w:t>
      </w:r>
      <w:r w:rsidR="00A04AFA" w:rsidRPr="00A04AFA">
        <w:t>může</w:t>
      </w:r>
      <w:r w:rsidR="000E3FBC">
        <w:t xml:space="preserve"> </w:t>
      </w:r>
      <w:r w:rsidR="00A04AFA" w:rsidRPr="00A04AFA">
        <w:t xml:space="preserve">kdykoliv </w:t>
      </w:r>
      <w:r w:rsidR="000E3FBC">
        <w:t xml:space="preserve">tohoto </w:t>
      </w:r>
      <w:r w:rsidR="00A04AFA" w:rsidRPr="00A04AFA">
        <w:t>svého práva</w:t>
      </w:r>
      <w:r w:rsidR="000E3FBC">
        <w:t xml:space="preserve"> vzdát.</w:t>
      </w:r>
      <w:r w:rsidR="00CB413E">
        <w:rPr>
          <w:rStyle w:val="Znakapoznpodarou"/>
        </w:rPr>
        <w:footnoteReference w:id="135"/>
      </w:r>
      <w:r w:rsidR="000E3FBC">
        <w:t xml:space="preserve"> </w:t>
      </w:r>
      <w:r w:rsidR="0013763B">
        <w:t>Touto automatickou působností právních následků se také výrazně liší odpovědnost podle MPV od řízení o porušení smlouvy, kde automatická působnost neplatí. Jak už víme, tak pokud ze</w:t>
      </w:r>
      <w:r w:rsidR="0077433B">
        <w:t> </w:t>
      </w:r>
      <w:r w:rsidR="0013763B">
        <w:t>strany členského státu EU k nějakému porušení dojde, musí většinou nejprve dojít určitý podnět Komisi, aby se porušením začala zabývat. Následně se</w:t>
      </w:r>
      <w:r w:rsidR="0077433B">
        <w:t> </w:t>
      </w:r>
      <w:r w:rsidR="0013763B">
        <w:t>také Komise musí shodnout na vůli zahájit řízení a toto rozhodnutí je zcela v její kompetenci.</w:t>
      </w:r>
      <w:r w:rsidR="0077433B">
        <w:t xml:space="preserve"> Dalším specifickým znakem odpovědnosti subjektů v MPV je </w:t>
      </w:r>
      <w:r w:rsidR="0077433B" w:rsidRPr="00024F33">
        <w:t>reparační obsah</w:t>
      </w:r>
      <w:r w:rsidR="0077433B">
        <w:t xml:space="preserve"> odpovědnostní povinnosti, tedy obligatorní povinnost restituovat status quo ante, což vyplývá z obecného MPV. Principem MPV je pak to, že porušení povinnosti vede k povinnosti nahradit škodu.</w:t>
      </w:r>
      <w:r w:rsidR="00CB413E">
        <w:rPr>
          <w:rStyle w:val="Znakapoznpodarou"/>
        </w:rPr>
        <w:footnoteReference w:id="136"/>
      </w:r>
      <w:r w:rsidR="0077433B">
        <w:t xml:space="preserve"> Oproti tomu řízení o dozorčí žalobě má </w:t>
      </w:r>
      <w:r w:rsidR="00E57C33">
        <w:t>jednak</w:t>
      </w:r>
      <w:r w:rsidR="0077433B">
        <w:t xml:space="preserve"> vést členské státy, aby </w:t>
      </w:r>
      <w:r w:rsidR="00E57C33">
        <w:t>se začaly chovat v souladu s právem EU a své protiprávní chování napravily, například aby implementovaly směrnici. Primárním účelem řízení tak není způsobit materiální újmu členskému státu (porušiteli) a nahradit případně škodu způsobenou protiprávním jednáním jednotlivci, mnohem větší důraz je zde kladen na</w:t>
      </w:r>
      <w:r w:rsidR="007746D7">
        <w:t> </w:t>
      </w:r>
      <w:r w:rsidR="00E57C33">
        <w:t>nápravu chování členského státu tak, aby neodporovalo právu EU. Na náhradu škody zde samozřejmě není zapomenuto, a</w:t>
      </w:r>
      <w:r w:rsidR="002C5AD3">
        <w:t> </w:t>
      </w:r>
      <w:r w:rsidR="00E57C33">
        <w:t>pokud chováním členského státu byla jednotlivci způsobena škoda (</w:t>
      </w:r>
      <w:r w:rsidR="00C225C1">
        <w:t>pokud byla způsobena újma na jeho subjektivních právech, která mu vyplývají z práva EU</w:t>
      </w:r>
      <w:r w:rsidR="00E57C33">
        <w:t>), může se jí samozřejmě domoci. Neděje se tak však již v rámci řízení o porušení povinnosti</w:t>
      </w:r>
      <w:r w:rsidR="00C225C1">
        <w:t xml:space="preserve">. </w:t>
      </w:r>
      <w:r w:rsidR="00C225C1" w:rsidRPr="00C225C1">
        <w:t>Protože odpovědnost nositelů právních povinností je nutnou součástí právního řádu, musela být její existence, v</w:t>
      </w:r>
      <w:r w:rsidR="007746D7">
        <w:t> </w:t>
      </w:r>
      <w:r w:rsidR="00C225C1" w:rsidRPr="00C225C1">
        <w:t>případě členských států, konstatována a</w:t>
      </w:r>
      <w:r w:rsidR="00D1566B">
        <w:t> </w:t>
      </w:r>
      <w:r w:rsidR="00C225C1" w:rsidRPr="00C225C1">
        <w:t>její obsah vymezen judikaturou Evropského soudního dvora.</w:t>
      </w:r>
      <w:r w:rsidR="00C225C1">
        <w:rPr>
          <w:rStyle w:val="Znakapoznpodarou"/>
        </w:rPr>
        <w:footnoteReference w:id="137"/>
      </w:r>
      <w:r w:rsidR="00650E6F">
        <w:t xml:space="preserve"> V případě, že</w:t>
      </w:r>
      <w:r w:rsidR="00417ECB">
        <w:t> </w:t>
      </w:r>
      <w:r w:rsidR="00650E6F">
        <w:t xml:space="preserve">členský stát špatně inkorporuje komunitární směrnici a jestliže v důsledku toho vznikne jednotlivcům škoda, mají </w:t>
      </w:r>
      <w:r w:rsidR="00650E6F">
        <w:lastRenderedPageBreak/>
        <w:t xml:space="preserve">jednotlivci v návaznosti na rozsudek ve věci </w:t>
      </w:r>
      <w:proofErr w:type="spellStart"/>
      <w:r w:rsidR="00650E6F">
        <w:t>Francovich</w:t>
      </w:r>
      <w:proofErr w:type="spellEnd"/>
      <w:r w:rsidR="00650E6F">
        <w:rPr>
          <w:rStyle w:val="Znakapoznpodarou"/>
        </w:rPr>
        <w:footnoteReference w:id="138"/>
      </w:r>
      <w:r w:rsidR="00650E6F">
        <w:t xml:space="preserve"> možnost domáhat se</w:t>
      </w:r>
      <w:r w:rsidR="007746D7">
        <w:t> </w:t>
      </w:r>
      <w:r w:rsidR="00650E6F">
        <w:t xml:space="preserve">nároku na náhradu škody vůči </w:t>
      </w:r>
      <w:r w:rsidR="00A36089">
        <w:t>členskému státu</w:t>
      </w:r>
      <w:r w:rsidR="00650E6F">
        <w:t>. Stát totiž nesplnil svo</w:t>
      </w:r>
      <w:r w:rsidR="00A36089">
        <w:t>ji</w:t>
      </w:r>
      <w:r w:rsidR="00650E6F">
        <w:t xml:space="preserve"> povinnost</w:t>
      </w:r>
      <w:r w:rsidR="00A36089">
        <w:t xml:space="preserve"> vyplývající mu z práva EU</w:t>
      </w:r>
      <w:r w:rsidR="00650E6F">
        <w:t>. Jednotlivci pak uplatňují tento svůj nárok před vnitrostátními soudy a soudy jsou jim povinny přiznávat nárok na náhradu škody vůči členskému státu.</w:t>
      </w:r>
      <w:r w:rsidR="00A36089">
        <w:rPr>
          <w:rStyle w:val="Znakapoznpodarou"/>
        </w:rPr>
        <w:footnoteReference w:id="139"/>
      </w:r>
      <w:r w:rsidR="00A36089">
        <w:t xml:space="preserve"> </w:t>
      </w:r>
      <w:r w:rsidR="002012D8">
        <w:t xml:space="preserve">Mezinárodněprávní </w:t>
      </w:r>
      <w:r w:rsidR="002012D8" w:rsidRPr="002012D8">
        <w:t>odpovědnost vzniká ex lege v okamžiku porušení</w:t>
      </w:r>
      <w:r w:rsidR="002012D8">
        <w:t xml:space="preserve"> MPV</w:t>
      </w:r>
      <w:r w:rsidR="002012D8" w:rsidRPr="002012D8">
        <w:t xml:space="preserve"> </w:t>
      </w:r>
      <w:r w:rsidR="002012D8">
        <w:t xml:space="preserve">a </w:t>
      </w:r>
      <w:r w:rsidR="002012D8" w:rsidRPr="002012D8">
        <w:t xml:space="preserve">přímé donucení </w:t>
      </w:r>
      <w:r w:rsidR="002012D8">
        <w:t xml:space="preserve">by se teoreticky mělo </w:t>
      </w:r>
      <w:r w:rsidR="002012D8" w:rsidRPr="002012D8">
        <w:t>upl</w:t>
      </w:r>
      <w:r w:rsidR="002012D8">
        <w:t>a</w:t>
      </w:r>
      <w:r w:rsidR="002012D8" w:rsidRPr="002012D8">
        <w:t>tň</w:t>
      </w:r>
      <w:r w:rsidR="002012D8">
        <w:t>ovat</w:t>
      </w:r>
      <w:r w:rsidR="002012D8" w:rsidRPr="002012D8">
        <w:t xml:space="preserve"> až tehdy, když nebyla splněna odpovědnostní povinnost. V praxi však </w:t>
      </w:r>
      <w:r w:rsidR="002012D8">
        <w:t xml:space="preserve">poškozené státy </w:t>
      </w:r>
      <w:r w:rsidR="002012D8" w:rsidRPr="002012D8">
        <w:t>sankce uplatňují přímo jako následek protiprávního chování</w:t>
      </w:r>
      <w:r w:rsidR="002012D8">
        <w:t>.</w:t>
      </w:r>
      <w:r w:rsidR="007746D7">
        <w:rPr>
          <w:rStyle w:val="Znakapoznpodarou"/>
        </w:rPr>
        <w:footnoteReference w:id="140"/>
      </w:r>
      <w:r w:rsidR="002012D8">
        <w:t xml:space="preserve"> Což by se mohlo zdát, je</w:t>
      </w:r>
      <w:r w:rsidR="00024F33">
        <w:t> </w:t>
      </w:r>
      <w:r w:rsidR="002012D8">
        <w:t xml:space="preserve">mnohem rychlejší proces než u řízení o dozorčí žalobě, kde vede k určitému sankcionování velmi dlouhá cesta, a často se na této cestě staví mnohem dříve. V rámci MPV může </w:t>
      </w:r>
      <w:r w:rsidR="002012D8" w:rsidRPr="002012D8">
        <w:t xml:space="preserve">poškozený </w:t>
      </w:r>
      <w:r w:rsidR="002012D8">
        <w:t>stát</w:t>
      </w:r>
      <w:r w:rsidR="002012D8" w:rsidRPr="002012D8">
        <w:t xml:space="preserve"> buď řešit </w:t>
      </w:r>
      <w:r w:rsidR="002012D8">
        <w:t xml:space="preserve">situaci </w:t>
      </w:r>
      <w:r w:rsidR="002012D8" w:rsidRPr="002012D8">
        <w:t>mírovými prostředky</w:t>
      </w:r>
      <w:r w:rsidR="002012D8">
        <w:t>,</w:t>
      </w:r>
      <w:r w:rsidR="002012D8" w:rsidRPr="002012D8">
        <w:t xml:space="preserve"> nebo „upozornit, varovat“ </w:t>
      </w:r>
      <w:r w:rsidR="002012D8">
        <w:t xml:space="preserve">porušitele </w:t>
      </w:r>
      <w:r w:rsidR="002012D8" w:rsidRPr="002012D8">
        <w:t xml:space="preserve">na možnost přímého donucení (př. projev vlády, představitele státu uveřejněný vtisku), ale </w:t>
      </w:r>
      <w:r w:rsidR="002012D8">
        <w:t xml:space="preserve">takové jednání </w:t>
      </w:r>
      <w:r w:rsidR="002012D8" w:rsidRPr="002012D8">
        <w:t xml:space="preserve">nemá </w:t>
      </w:r>
      <w:r w:rsidR="002012D8">
        <w:t>p</w:t>
      </w:r>
      <w:r w:rsidR="002012D8" w:rsidRPr="002012D8">
        <w:t xml:space="preserve">rávní povahu. </w:t>
      </w:r>
      <w:r w:rsidR="002012D8">
        <w:t xml:space="preserve">Následně může poškozený </w:t>
      </w:r>
      <w:r w:rsidR="002012D8" w:rsidRPr="002012D8">
        <w:t xml:space="preserve">využít </w:t>
      </w:r>
      <w:r w:rsidR="002012D8">
        <w:t xml:space="preserve">tzv. </w:t>
      </w:r>
      <w:r w:rsidR="002012D8" w:rsidRPr="002012D8">
        <w:t>retorze</w:t>
      </w:r>
      <w:r w:rsidR="002012D8">
        <w:t xml:space="preserve">, tedy </w:t>
      </w:r>
      <w:r w:rsidR="002012D8" w:rsidRPr="002012D8">
        <w:t>nátlakové opatření faktické povahy, neboť způsobuje faktickou újmu státu</w:t>
      </w:r>
      <w:r w:rsidR="002012D8">
        <w:t>. N</w:t>
      </w:r>
      <w:r w:rsidR="002012D8" w:rsidRPr="002012D8">
        <w:t>edotýká se právní sféry protistrany, ale jen postihuje její zá</w:t>
      </w:r>
      <w:r w:rsidR="002012D8">
        <w:t>j</w:t>
      </w:r>
      <w:r w:rsidR="002012D8" w:rsidRPr="002012D8">
        <w:t>em, který není právně chráněn</w:t>
      </w:r>
      <w:r w:rsidR="002012D8">
        <w:t>. Takovým příkladem může být o</w:t>
      </w:r>
      <w:r w:rsidR="002012D8" w:rsidRPr="002012D8">
        <w:t>dřeknutí plánovaných návštěv představitelů státu, odmítnutí udělit víza občanům donucovaného státu</w:t>
      </w:r>
      <w:r w:rsidR="002012D8">
        <w:t xml:space="preserve"> nebo </w:t>
      </w:r>
      <w:r w:rsidR="002012D8" w:rsidRPr="002012D8">
        <w:t xml:space="preserve">často přerušení diplomatických styků. </w:t>
      </w:r>
      <w:r w:rsidR="002012D8">
        <w:t>Dalším ochranným nástrojem jsou tzv. r</w:t>
      </w:r>
      <w:r w:rsidR="002012D8" w:rsidRPr="002012D8">
        <w:t xml:space="preserve">epresálie jako právní prostředek. </w:t>
      </w:r>
      <w:r w:rsidR="002012D8">
        <w:t>Takovému druhu obrany však musí předcházet nejprve pohrůžka ze strany poškozeného. Poté často dochází k</w:t>
      </w:r>
      <w:r w:rsidR="00696A86">
        <w:t xml:space="preserve"> tomu, že </w:t>
      </w:r>
      <w:r w:rsidR="002012D8" w:rsidRPr="002012D8">
        <w:t xml:space="preserve">porušitel protiprávnost svého jednání popírá a v důsledku toho odmítá oprávněnost reparačního nároku. Tento spor pak </w:t>
      </w:r>
      <w:r w:rsidR="00696A86">
        <w:t>komplikuje a ztěžuje</w:t>
      </w:r>
      <w:r w:rsidR="002012D8" w:rsidRPr="002012D8">
        <w:t xml:space="preserve"> aplikovatelnost přímého donucení. </w:t>
      </w:r>
      <w:r w:rsidR="00696A86">
        <w:t xml:space="preserve">Pokud </w:t>
      </w:r>
      <w:r w:rsidR="002012D8" w:rsidRPr="002012D8">
        <w:t>však porušitel odmítne spor řešit, naplní se</w:t>
      </w:r>
      <w:r w:rsidR="00696A86">
        <w:t> </w:t>
      </w:r>
      <w:r w:rsidR="002012D8" w:rsidRPr="002012D8">
        <w:t xml:space="preserve">podmínky legálního uplatnění represálií. </w:t>
      </w:r>
      <w:r w:rsidR="00696A86">
        <w:t xml:space="preserve">Stejně tak jak je chráněn poškozený v této situaci, MPV poskytuje ochranu i porušiteli a to tím způsobem, že v případě projevení ochoty porušitele zastavit protiprávní jednání a odčinit jeho důsledky, musí poškozený represálie zastavit. </w:t>
      </w:r>
      <w:r w:rsidR="002012D8" w:rsidRPr="002012D8">
        <w:t xml:space="preserve">Dnes </w:t>
      </w:r>
      <w:r w:rsidR="00696A86">
        <w:t xml:space="preserve">je </w:t>
      </w:r>
      <w:r w:rsidR="002012D8" w:rsidRPr="002012D8">
        <w:t>nejčastější povah</w:t>
      </w:r>
      <w:r w:rsidR="00696A86">
        <w:t>ou</w:t>
      </w:r>
      <w:r w:rsidR="002012D8" w:rsidRPr="002012D8">
        <w:t xml:space="preserve"> represálií embargo a</w:t>
      </w:r>
      <w:r w:rsidR="00696A86">
        <w:t> </w:t>
      </w:r>
      <w:r w:rsidR="002012D8" w:rsidRPr="002012D8">
        <w:t>bojkot, tedy</w:t>
      </w:r>
      <w:r w:rsidR="00696A86">
        <w:t xml:space="preserve"> obecně </w:t>
      </w:r>
      <w:r w:rsidR="002012D8" w:rsidRPr="002012D8">
        <w:t>ekonomický nátlak</w:t>
      </w:r>
      <w:r w:rsidR="00696A86">
        <w:t>.</w:t>
      </w:r>
      <w:r w:rsidR="007746D7">
        <w:rPr>
          <w:rStyle w:val="Znakapoznpodarou"/>
        </w:rPr>
        <w:footnoteReference w:id="141"/>
      </w:r>
      <w:r w:rsidR="00696A86">
        <w:t xml:space="preserve"> Zde také můžeme dojít </w:t>
      </w:r>
      <w:r w:rsidR="00696A86">
        <w:lastRenderedPageBreak/>
        <w:t xml:space="preserve">k podstatné odlišnosti a to ve způsobu zásahu do ekonomické sféry porušitele. V mezinárodním právu tedy při projevení ochoty napravit své jednání musí poškozený stát odstoupit od zásahu do majetkové sféry porušitele, zatímco v řízení o dozorčí žalobě má zásah do majetkové sféry členského státu mnohem menší meze. V tomto řízení jak už víme, může dojít k uložení sankce dokonce i v případech, kdy porušitel své jednání již napravil a </w:t>
      </w:r>
      <w:r>
        <w:t xml:space="preserve">nyní koná v souladu s právem EU. </w:t>
      </w:r>
    </w:p>
    <w:p w:rsidR="00552BAE" w:rsidRDefault="005B143A" w:rsidP="005B143A">
      <w:pPr>
        <w:ind w:firstLine="708"/>
      </w:pPr>
      <w:r>
        <w:t>V souhrnu lze spatřovat největší nevýhodu domáhání se následků odpovědnosti subjektů MPV v mezinárodním právu v tom, že tento systém nemá</w:t>
      </w:r>
      <w:r w:rsidRPr="005B143A">
        <w:t xml:space="preserve"> legislativní ani výkonnou centrální moc</w:t>
      </w:r>
      <w:r>
        <w:t xml:space="preserve">, a tudíž </w:t>
      </w:r>
      <w:r w:rsidRPr="005B143A">
        <w:t>musí spoléhat na vůli svých subjektů plnit své závazky dobrovolně</w:t>
      </w:r>
      <w:r>
        <w:t xml:space="preserve"> a je pouze na poškozených členských státech, jak </w:t>
      </w:r>
      <w:r w:rsidR="00552BAE">
        <w:t>se</w:t>
      </w:r>
      <w:r w:rsidR="00417ECB">
        <w:t> </w:t>
      </w:r>
      <w:r w:rsidR="00552BAE">
        <w:t xml:space="preserve">jim podaří </w:t>
      </w:r>
      <w:r>
        <w:t>docíl</w:t>
      </w:r>
      <w:r w:rsidR="00552BAE">
        <w:t>it</w:t>
      </w:r>
      <w:r>
        <w:t xml:space="preserve"> nápravy nežádoucího chování porušitele a zda vůbec.</w:t>
      </w:r>
      <w:r w:rsidR="00024F33">
        <w:t xml:space="preserve"> V tomto ohledu lze mít dle mého názoru obavy o efektivnost tohoto systému, zejména kvůli absenci centrální moci, která by na vše dohlížela a poškozeným by mohla poskytnout při obraně případně pomoc.</w:t>
      </w:r>
      <w:r w:rsidR="00552BAE">
        <w:t xml:space="preserve"> Naopak u řízení o porušení povinnosti podstatnou část řízení vede nadnárodní nezávislá instituce v podobě Komise a následně rozhoduje v soudní fázi Evropský soudní dvůr, rovněž jako nezávislý nadnárodní orgán EU. V tomto případě tedy máme dva centrální </w:t>
      </w:r>
      <w:proofErr w:type="spellStart"/>
      <w:r w:rsidR="00552BAE">
        <w:t>supranacionální</w:t>
      </w:r>
      <w:proofErr w:type="spellEnd"/>
      <w:r w:rsidR="00552BAE">
        <w:t xml:space="preserve"> aktéry, kteří by měli o odpovědnosti členských států nezávisle a spravedlivě rozhodovat a především jsou to právě oni, na nichž závisí náprava chování členských států porušitelů.      </w:t>
      </w:r>
    </w:p>
    <w:p w:rsidR="00024F33" w:rsidRDefault="00024F33" w:rsidP="005B143A">
      <w:pPr>
        <w:ind w:firstLine="708"/>
      </w:pPr>
    </w:p>
    <w:p w:rsidR="005B143A" w:rsidRPr="005B143A" w:rsidRDefault="00024F33" w:rsidP="005B143A">
      <w:pPr>
        <w:ind w:firstLine="708"/>
      </w:pPr>
      <w:r>
        <w:t xml:space="preserve">   </w:t>
      </w:r>
      <w:r w:rsidR="005B143A">
        <w:t xml:space="preserve"> </w:t>
      </w:r>
      <w:r w:rsidR="005B143A" w:rsidRPr="005B143A">
        <w:t xml:space="preserve"> </w:t>
      </w:r>
    </w:p>
    <w:p w:rsidR="0077433B" w:rsidRDefault="005B143A" w:rsidP="0077433B">
      <w:pPr>
        <w:ind w:firstLine="708"/>
      </w:pPr>
      <w:r>
        <w:t xml:space="preserve">  </w:t>
      </w:r>
      <w:r w:rsidR="00696A86">
        <w:t xml:space="preserve">        </w:t>
      </w:r>
      <w:r w:rsidR="002012D8" w:rsidRPr="002012D8">
        <w:t xml:space="preserve">     </w:t>
      </w:r>
      <w:r w:rsidR="002012D8">
        <w:t xml:space="preserve"> </w:t>
      </w:r>
      <w:r w:rsidR="002012D8" w:rsidRPr="002012D8">
        <w:t xml:space="preserve"> </w:t>
      </w:r>
      <w:r w:rsidR="00A36089">
        <w:t xml:space="preserve"> </w:t>
      </w:r>
      <w:r w:rsidR="00C225C1" w:rsidRPr="00C225C1">
        <w:t xml:space="preserve"> </w:t>
      </w:r>
      <w:r w:rsidR="00E57C33">
        <w:t xml:space="preserve">                  </w:t>
      </w:r>
    </w:p>
    <w:p w:rsidR="00BD022B" w:rsidRDefault="00BD022B" w:rsidP="00307522">
      <w:pPr>
        <w:ind w:firstLine="708"/>
      </w:pPr>
      <w:r>
        <w:br w:type="page"/>
      </w:r>
    </w:p>
    <w:p w:rsidR="008E7033" w:rsidRPr="00027A0C" w:rsidRDefault="00082909" w:rsidP="00027A0C">
      <w:pPr>
        <w:pStyle w:val="Nadpis1"/>
      </w:pPr>
      <w:bookmarkStart w:id="28" w:name="_Toc399171085"/>
      <w:bookmarkStart w:id="29" w:name="_Toc398901335"/>
      <w:r>
        <w:lastRenderedPageBreak/>
        <w:t>6</w:t>
      </w:r>
      <w:r w:rsidR="008E7033" w:rsidRPr="00027A0C">
        <w:t>. Statistiky</w:t>
      </w:r>
      <w:bookmarkEnd w:id="28"/>
      <w:r w:rsidR="008E7033" w:rsidRPr="00027A0C">
        <w:t xml:space="preserve"> </w:t>
      </w:r>
      <w:bookmarkEnd w:id="29"/>
    </w:p>
    <w:p w:rsidR="00B25500" w:rsidRDefault="00B16530" w:rsidP="00B16530">
      <w:pPr>
        <w:ind w:firstLine="708"/>
      </w:pPr>
      <w:r>
        <w:t xml:space="preserve">V počátcích své existence, tj. v 50. – 70. letech, nebylo řízení o porušení povinnosti příliš oblíbeným prostředkem ochrany dodržování práva EU a </w:t>
      </w:r>
      <w:r w:rsidR="00ED1B6A">
        <w:t xml:space="preserve">Komise </w:t>
      </w:r>
      <w:r>
        <w:t>k takovému řešení přistupovala jen velmi zřídka. Situace se změnila až</w:t>
      </w:r>
      <w:r w:rsidR="00AA4AF5">
        <w:t> </w:t>
      </w:r>
      <w:r>
        <w:t xml:space="preserve">v době, kdy začal </w:t>
      </w:r>
      <w:r w:rsidR="00ED1B6A">
        <w:t>Komisi</w:t>
      </w:r>
      <w:r>
        <w:t xml:space="preserve"> předsedat </w:t>
      </w:r>
      <w:proofErr w:type="spellStart"/>
      <w:r>
        <w:t>R</w:t>
      </w:r>
      <w:r w:rsidR="00AA4AF5">
        <w:t>oy</w:t>
      </w:r>
      <w:proofErr w:type="spellEnd"/>
      <w:r w:rsidR="008E1086">
        <w:t xml:space="preserve"> </w:t>
      </w:r>
      <w:proofErr w:type="spellStart"/>
      <w:r>
        <w:t>Jenkins</w:t>
      </w:r>
      <w:proofErr w:type="spellEnd"/>
      <w:r>
        <w:t>. Tehdy došlo k rapidnímu nárůstu počtu podaných žalob proti členským státům, což vedlo ke</w:t>
      </w:r>
      <w:r w:rsidR="00AA4AF5">
        <w:t> </w:t>
      </w:r>
      <w:r>
        <w:t>kritice a obavám ze</w:t>
      </w:r>
      <w:r w:rsidR="00AA4AF5">
        <w:t> </w:t>
      </w:r>
      <w:r>
        <w:t>zahlcení Evropského soudního dvora. Nejspíše v důsledku toho došlo k jistému ustálení množství podání tohoto druhu žalob na počet mezi 150</w:t>
      </w:r>
      <w:r w:rsidR="00A37166">
        <w:t> </w:t>
      </w:r>
      <w:r>
        <w:t>až 200</w:t>
      </w:r>
      <w:r w:rsidR="00ED1B6A">
        <w:t xml:space="preserve"> za rok</w:t>
      </w:r>
      <w:r>
        <w:t>.</w:t>
      </w:r>
      <w:r>
        <w:rPr>
          <w:rStyle w:val="Znakapoznpodarou"/>
        </w:rPr>
        <w:footnoteReference w:id="142"/>
      </w:r>
      <w:r>
        <w:t xml:space="preserve"> V roce 2004 se očekávalo, že dojde opět k výraznějšímu nárůstu podávaných žalob. A</w:t>
      </w:r>
      <w:r w:rsidR="00E77B6F">
        <w:t> </w:t>
      </w:r>
      <w:r>
        <w:t>to</w:t>
      </w:r>
      <w:r w:rsidR="00E77B6F">
        <w:t> </w:t>
      </w:r>
      <w:r>
        <w:t>s ohledem na navýšení počtu členských států jako potencionálních žalovaných z</w:t>
      </w:r>
      <w:r w:rsidR="00AA4AF5">
        <w:t> </w:t>
      </w:r>
      <w:r>
        <w:t>15</w:t>
      </w:r>
      <w:r w:rsidR="00AA4AF5">
        <w:t> </w:t>
      </w:r>
      <w:r>
        <w:t xml:space="preserve">na 25 a rovněž tomu nasvědčovaly i projevy tehdejšího komisaře pro rozšíření EU </w:t>
      </w:r>
      <w:proofErr w:type="spellStart"/>
      <w:r>
        <w:t>Güntera</w:t>
      </w:r>
      <w:proofErr w:type="spellEnd"/>
      <w:r w:rsidR="008E1086">
        <w:t xml:space="preserve"> </w:t>
      </w:r>
      <w:proofErr w:type="spellStart"/>
      <w:r>
        <w:t>Verheugena</w:t>
      </w:r>
      <w:proofErr w:type="spellEnd"/>
      <w:r>
        <w:t xml:space="preserve"> o nulové toleranci vůči novým členským státům, co se týká implementace komunitárního práva do</w:t>
      </w:r>
      <w:r w:rsidR="00A37166">
        <w:t> </w:t>
      </w:r>
      <w:r>
        <w:t>vnitrostátních právních řádů členských zemí. Důvodné obavy se nakonec nevyplnily a žádný vysoký nárůst po vstupu nových členských zemí do Evropské unie nebyl zaznamenán.</w:t>
      </w:r>
      <w:r>
        <w:rPr>
          <w:rStyle w:val="Znakapoznpodarou"/>
        </w:rPr>
        <w:footnoteReference w:id="143"/>
      </w:r>
    </w:p>
    <w:p w:rsidR="00097607" w:rsidRDefault="00A45630" w:rsidP="00B16530">
      <w:pPr>
        <w:ind w:firstLine="708"/>
        <w:rPr>
          <w:rFonts w:cs="Arial"/>
          <w:color w:val="222222"/>
        </w:rPr>
      </w:pPr>
      <w:r>
        <w:rPr>
          <w:rStyle w:val="hps"/>
          <w:rFonts w:cs="Arial"/>
          <w:color w:val="222222"/>
        </w:rPr>
        <w:t>Obecně lze však říci, že p</w:t>
      </w:r>
      <w:r w:rsidR="00B25500" w:rsidRPr="00AD2BB9">
        <w:rPr>
          <w:rStyle w:val="hps"/>
          <w:rFonts w:cs="Arial"/>
          <w:color w:val="222222"/>
        </w:rPr>
        <w:t xml:space="preserve">očet případů stále narůstá, jednak </w:t>
      </w:r>
      <w:r w:rsidR="00ED1B6A">
        <w:rPr>
          <w:rStyle w:val="hps"/>
          <w:rFonts w:cs="Arial"/>
          <w:color w:val="222222"/>
        </w:rPr>
        <w:t xml:space="preserve">z části i </w:t>
      </w:r>
      <w:r w:rsidR="00B25500" w:rsidRPr="00AD2BB9">
        <w:rPr>
          <w:rStyle w:val="hps"/>
          <w:rFonts w:cs="Arial"/>
          <w:color w:val="222222"/>
        </w:rPr>
        <w:t>kvůli narůstajícímu počtu členů EU a také kvůli rozšiřování dosahu evropských politik. Proběhla již spousta pokusů o vyřešení problému přetížení ESD a zpoždění vydávání rozsudků v jednotlivých řízeních o žalobě na porušení povinnosti. Komise tak začala zdůrazňovat preventivní mechanismy a alternativní metody řešení, aby upřednostnila</w:t>
      </w:r>
      <w:r w:rsidR="008E1086">
        <w:rPr>
          <w:rStyle w:val="hps"/>
          <w:rFonts w:cs="Arial"/>
          <w:color w:val="222222"/>
        </w:rPr>
        <w:t xml:space="preserve"> </w:t>
      </w:r>
      <w:r w:rsidR="00B25500" w:rsidRPr="00AD2BB9">
        <w:rPr>
          <w:rStyle w:val="hps"/>
          <w:rFonts w:cs="Arial"/>
          <w:color w:val="222222"/>
        </w:rPr>
        <w:t>určité druhy</w:t>
      </w:r>
      <w:r w:rsidR="008E1086">
        <w:rPr>
          <w:rStyle w:val="hps"/>
          <w:rFonts w:cs="Arial"/>
          <w:color w:val="222222"/>
        </w:rPr>
        <w:t xml:space="preserve"> </w:t>
      </w:r>
      <w:r w:rsidR="00B25500" w:rsidRPr="00AD2BB9">
        <w:rPr>
          <w:rStyle w:val="hps"/>
          <w:rFonts w:cs="Arial"/>
          <w:color w:val="222222"/>
        </w:rPr>
        <w:t>porušení</w:t>
      </w:r>
      <w:r w:rsidR="008E1086">
        <w:rPr>
          <w:rStyle w:val="hps"/>
          <w:rFonts w:cs="Arial"/>
          <w:color w:val="222222"/>
        </w:rPr>
        <w:t xml:space="preserve"> </w:t>
      </w:r>
      <w:r w:rsidR="00B25500" w:rsidRPr="00AD2BB9">
        <w:rPr>
          <w:rStyle w:val="hps"/>
          <w:rFonts w:cs="Arial"/>
          <w:color w:val="222222"/>
        </w:rPr>
        <w:t>a</w:t>
      </w:r>
      <w:r w:rsidR="00B25500" w:rsidRPr="00AD2BB9">
        <w:rPr>
          <w:rFonts w:cs="Arial"/>
          <w:color w:val="222222"/>
        </w:rPr>
        <w:t xml:space="preserve"> identifikovala</w:t>
      </w:r>
      <w:r w:rsidR="00B25500" w:rsidRPr="00AD2BB9">
        <w:rPr>
          <w:rStyle w:val="hps"/>
          <w:rFonts w:cs="Arial"/>
          <w:color w:val="222222"/>
        </w:rPr>
        <w:t xml:space="preserve"> případy týkající se</w:t>
      </w:r>
      <w:r w:rsidR="008E1086">
        <w:rPr>
          <w:rStyle w:val="hps"/>
          <w:rFonts w:cs="Arial"/>
          <w:color w:val="222222"/>
        </w:rPr>
        <w:t xml:space="preserve"> </w:t>
      </w:r>
      <w:r w:rsidR="00B25500" w:rsidRPr="00AD2BB9">
        <w:rPr>
          <w:rStyle w:val="hps"/>
          <w:rFonts w:cs="Arial"/>
          <w:color w:val="222222"/>
        </w:rPr>
        <w:t>rozšířených</w:t>
      </w:r>
      <w:r w:rsidR="00B25500" w:rsidRPr="00AD2BB9">
        <w:rPr>
          <w:rFonts w:cs="Arial"/>
          <w:color w:val="222222"/>
        </w:rPr>
        <w:t xml:space="preserve">, </w:t>
      </w:r>
      <w:r w:rsidR="00B25500" w:rsidRPr="00AD2BB9">
        <w:rPr>
          <w:rStyle w:val="hps"/>
          <w:rFonts w:cs="Arial"/>
          <w:color w:val="222222"/>
        </w:rPr>
        <w:t>všeobecných</w:t>
      </w:r>
      <w:r w:rsidR="008E1086">
        <w:rPr>
          <w:rStyle w:val="hps"/>
          <w:rFonts w:cs="Arial"/>
          <w:color w:val="222222"/>
        </w:rPr>
        <w:t xml:space="preserve"> </w:t>
      </w:r>
      <w:r w:rsidR="00B25500" w:rsidRPr="00AD2BB9">
        <w:rPr>
          <w:rStyle w:val="hps"/>
          <w:rFonts w:cs="Arial"/>
          <w:color w:val="222222"/>
        </w:rPr>
        <w:t>nebo</w:t>
      </w:r>
      <w:r w:rsidR="008E1086">
        <w:rPr>
          <w:rStyle w:val="hps"/>
          <w:rFonts w:cs="Arial"/>
          <w:color w:val="222222"/>
        </w:rPr>
        <w:t xml:space="preserve"> </w:t>
      </w:r>
      <w:r w:rsidR="00B25500" w:rsidRPr="00AD2BB9">
        <w:rPr>
          <w:rStyle w:val="hps"/>
          <w:rFonts w:cs="Arial"/>
          <w:color w:val="222222"/>
        </w:rPr>
        <w:t>trvalých</w:t>
      </w:r>
      <w:r w:rsidR="008E1086">
        <w:rPr>
          <w:rStyle w:val="hps"/>
          <w:rFonts w:cs="Arial"/>
          <w:color w:val="222222"/>
        </w:rPr>
        <w:t xml:space="preserve"> </w:t>
      </w:r>
      <w:r w:rsidR="00B25500" w:rsidRPr="00AD2BB9">
        <w:rPr>
          <w:rStyle w:val="hps"/>
          <w:rFonts w:cs="Arial"/>
          <w:color w:val="222222"/>
        </w:rPr>
        <w:t>porušení</w:t>
      </w:r>
      <w:r w:rsidR="00B25500" w:rsidRPr="00AD2BB9">
        <w:rPr>
          <w:rFonts w:cs="Arial"/>
          <w:color w:val="222222"/>
        </w:rPr>
        <w:t xml:space="preserve">. Jako například </w:t>
      </w:r>
      <w:r w:rsidR="008E1086">
        <w:rPr>
          <w:rFonts w:cs="Arial"/>
          <w:color w:val="222222"/>
        </w:rPr>
        <w:t>environmentální</w:t>
      </w:r>
      <w:r w:rsidR="008E1086">
        <w:rPr>
          <w:rStyle w:val="hps"/>
          <w:rFonts w:cs="Arial"/>
          <w:color w:val="222222"/>
        </w:rPr>
        <w:t xml:space="preserve"> </w:t>
      </w:r>
      <w:r w:rsidR="00B25500" w:rsidRPr="00AD2BB9">
        <w:rPr>
          <w:rStyle w:val="hps"/>
          <w:rFonts w:cs="Arial"/>
          <w:color w:val="222222"/>
        </w:rPr>
        <w:t>případy, které i</w:t>
      </w:r>
      <w:r w:rsidR="00A37166">
        <w:rPr>
          <w:rStyle w:val="hps"/>
          <w:rFonts w:cs="Arial"/>
          <w:color w:val="222222"/>
        </w:rPr>
        <w:t> </w:t>
      </w:r>
      <w:r w:rsidR="00B25500" w:rsidRPr="00AD2BB9">
        <w:rPr>
          <w:rStyle w:val="hps"/>
          <w:rFonts w:cs="Arial"/>
          <w:color w:val="222222"/>
        </w:rPr>
        <w:t>nadále</w:t>
      </w:r>
      <w:r w:rsidR="008E1086">
        <w:rPr>
          <w:rStyle w:val="hps"/>
          <w:rFonts w:cs="Arial"/>
          <w:color w:val="222222"/>
        </w:rPr>
        <w:t xml:space="preserve"> </w:t>
      </w:r>
      <w:r w:rsidR="00B25500" w:rsidRPr="00AD2BB9">
        <w:rPr>
          <w:rStyle w:val="hps"/>
          <w:rFonts w:cs="Arial"/>
          <w:color w:val="222222"/>
        </w:rPr>
        <w:t>tvoří téměř</w:t>
      </w:r>
      <w:r w:rsidR="008E1086">
        <w:rPr>
          <w:rStyle w:val="hps"/>
          <w:rFonts w:cs="Arial"/>
          <w:color w:val="222222"/>
        </w:rPr>
        <w:t xml:space="preserve"> </w:t>
      </w:r>
      <w:r w:rsidR="00B25500" w:rsidRPr="00AD2BB9">
        <w:rPr>
          <w:rStyle w:val="hps"/>
          <w:rFonts w:cs="Arial"/>
          <w:color w:val="222222"/>
        </w:rPr>
        <w:t>jednu čtvrtinu</w:t>
      </w:r>
      <w:r w:rsidR="008E1086">
        <w:rPr>
          <w:rStyle w:val="hps"/>
          <w:rFonts w:cs="Arial"/>
          <w:color w:val="222222"/>
        </w:rPr>
        <w:t xml:space="preserve"> </w:t>
      </w:r>
      <w:r w:rsidR="00B25500" w:rsidRPr="00AD2BB9">
        <w:rPr>
          <w:rStyle w:val="hps"/>
          <w:rFonts w:cs="Arial"/>
          <w:color w:val="222222"/>
        </w:rPr>
        <w:t>z celkového počtu</w:t>
      </w:r>
      <w:r w:rsidR="008E1086">
        <w:rPr>
          <w:rStyle w:val="hps"/>
          <w:rFonts w:cs="Arial"/>
          <w:color w:val="222222"/>
        </w:rPr>
        <w:t xml:space="preserve"> </w:t>
      </w:r>
      <w:r w:rsidR="00B25500" w:rsidRPr="00AD2BB9">
        <w:rPr>
          <w:rStyle w:val="hps"/>
          <w:rFonts w:cs="Arial"/>
          <w:color w:val="222222"/>
        </w:rPr>
        <w:t>otevřených případů</w:t>
      </w:r>
      <w:r w:rsidR="00B25500" w:rsidRPr="00AD2BB9">
        <w:rPr>
          <w:rFonts w:cs="Arial"/>
          <w:color w:val="222222"/>
        </w:rPr>
        <w:t>.</w:t>
      </w:r>
      <w:r w:rsidR="00A37166">
        <w:rPr>
          <w:rStyle w:val="Znakapoznpodarou"/>
          <w:rFonts w:cs="Arial"/>
          <w:color w:val="222222"/>
        </w:rPr>
        <w:footnoteReference w:id="144"/>
      </w:r>
      <w:r w:rsidR="00B25500" w:rsidRPr="00AD2BB9">
        <w:rPr>
          <w:rFonts w:cs="Arial"/>
          <w:color w:val="222222"/>
        </w:rPr>
        <w:t xml:space="preserve"> </w:t>
      </w:r>
    </w:p>
    <w:p w:rsidR="00D33BC5" w:rsidRPr="00722D97" w:rsidRDefault="001525DE" w:rsidP="00B16530">
      <w:pPr>
        <w:ind w:firstLine="708"/>
        <w:rPr>
          <w:rFonts w:cs="Arial"/>
        </w:rPr>
      </w:pPr>
      <w:r w:rsidRPr="00722D97">
        <w:rPr>
          <w:rFonts w:cs="Arial"/>
        </w:rPr>
        <w:t xml:space="preserve">Pokud se podíváme na statistiky v číslech, od roku 1952 bylo podáno </w:t>
      </w:r>
      <w:r w:rsidR="00D33BC5" w:rsidRPr="00722D97">
        <w:rPr>
          <w:rFonts w:cs="Arial"/>
        </w:rPr>
        <w:t xml:space="preserve">celkem </w:t>
      </w:r>
      <w:r w:rsidRPr="00722D97">
        <w:rPr>
          <w:rFonts w:cs="Arial"/>
        </w:rPr>
        <w:t xml:space="preserve">3 734 žalob na porušení povinnosti. O podstatnou část z tohoto počtu se postarala Itálie, </w:t>
      </w:r>
      <w:r w:rsidR="006E2E4A" w:rsidRPr="00722D97">
        <w:rPr>
          <w:rFonts w:cs="Arial"/>
        </w:rPr>
        <w:t xml:space="preserve">na kterou bylo </w:t>
      </w:r>
      <w:r w:rsidRPr="00722D97">
        <w:rPr>
          <w:rFonts w:cs="Arial"/>
        </w:rPr>
        <w:t>pod</w:t>
      </w:r>
      <w:r w:rsidR="006E2E4A" w:rsidRPr="00722D97">
        <w:rPr>
          <w:rFonts w:cs="Arial"/>
        </w:rPr>
        <w:t>áno</w:t>
      </w:r>
      <w:r w:rsidRPr="00722D97">
        <w:rPr>
          <w:rFonts w:cs="Arial"/>
        </w:rPr>
        <w:t xml:space="preserve"> za celou dobu 638 </w:t>
      </w:r>
      <w:r w:rsidR="00D33BC5" w:rsidRPr="00722D97">
        <w:rPr>
          <w:rFonts w:cs="Arial"/>
        </w:rPr>
        <w:t xml:space="preserve">těchto </w:t>
      </w:r>
      <w:r w:rsidRPr="00722D97">
        <w:rPr>
          <w:rFonts w:cs="Arial"/>
        </w:rPr>
        <w:t xml:space="preserve">žalob. </w:t>
      </w:r>
      <w:r w:rsidR="006E2E4A" w:rsidRPr="00722D97">
        <w:rPr>
          <w:rFonts w:cs="Arial"/>
        </w:rPr>
        <w:t xml:space="preserve">S výrazným odstupem ji následuje Francie </w:t>
      </w:r>
      <w:r w:rsidR="00D33BC5" w:rsidRPr="00722D97">
        <w:rPr>
          <w:rFonts w:cs="Arial"/>
        </w:rPr>
        <w:t xml:space="preserve">- 412, </w:t>
      </w:r>
      <w:r w:rsidR="006E2E4A" w:rsidRPr="00722D97">
        <w:rPr>
          <w:rFonts w:cs="Arial"/>
        </w:rPr>
        <w:t>Řecko</w:t>
      </w:r>
      <w:r w:rsidR="00D33BC5" w:rsidRPr="00722D97">
        <w:rPr>
          <w:rFonts w:cs="Arial"/>
        </w:rPr>
        <w:t xml:space="preserve"> - 389 a Belgie - 376 a další. Naopak Litva a</w:t>
      </w:r>
      <w:r w:rsidR="00D258C9" w:rsidRPr="00722D97">
        <w:rPr>
          <w:rFonts w:cs="Arial"/>
        </w:rPr>
        <w:t> </w:t>
      </w:r>
      <w:r w:rsidR="00D33BC5" w:rsidRPr="00722D97">
        <w:rPr>
          <w:rFonts w:cs="Arial"/>
        </w:rPr>
        <w:t xml:space="preserve">Rumunsko mají na kontě každý po 3 žalobách a Chorvatsko s Lotyšskem mají prozatím čistý štít. </w:t>
      </w:r>
    </w:p>
    <w:p w:rsidR="007C351A" w:rsidRPr="00722D97" w:rsidRDefault="00D33BC5" w:rsidP="00B16530">
      <w:pPr>
        <w:ind w:firstLine="708"/>
        <w:rPr>
          <w:rFonts w:cs="Arial"/>
        </w:rPr>
      </w:pPr>
      <w:r w:rsidRPr="00722D97">
        <w:rPr>
          <w:rFonts w:cs="Arial"/>
        </w:rPr>
        <w:lastRenderedPageBreak/>
        <w:t xml:space="preserve">Od roku 2009 do roku 2013 bylo podáno </w:t>
      </w:r>
      <w:r w:rsidR="00756F88" w:rsidRPr="00722D97">
        <w:rPr>
          <w:rFonts w:cs="Arial"/>
        </w:rPr>
        <w:t xml:space="preserve">celkem </w:t>
      </w:r>
      <w:r w:rsidRPr="00722D97">
        <w:rPr>
          <w:rFonts w:cs="Arial"/>
        </w:rPr>
        <w:t xml:space="preserve">455 žalob na porušení povinnosti. Nejvíce žalob bylo podáno na Polsko – 47, dále na Itálii – 39, Belgii – 36, Portugalsko – 35 a Řecko – 34. Na ČR bylo v tomto období podáno 11 žalob, čímž se v porovnání s ostatními členskými státy drží ve středu žebříčku. </w:t>
      </w:r>
      <w:r w:rsidR="007C351A" w:rsidRPr="00722D97">
        <w:rPr>
          <w:rFonts w:cs="Arial"/>
        </w:rPr>
        <w:t xml:space="preserve">Vzhledem k počtu žalob podaných celkem za jednotlivé roky tohoto období, si můžeme v grafu níže </w:t>
      </w:r>
      <w:r w:rsidR="00756F88" w:rsidRPr="00722D97">
        <w:rPr>
          <w:rFonts w:cs="Arial"/>
        </w:rPr>
        <w:t>ukázat</w:t>
      </w:r>
      <w:r w:rsidR="007C351A" w:rsidRPr="00722D97">
        <w:rPr>
          <w:rFonts w:cs="Arial"/>
        </w:rPr>
        <w:t xml:space="preserve">, že </w:t>
      </w:r>
      <w:r w:rsidR="00756F88" w:rsidRPr="00722D97">
        <w:rPr>
          <w:rFonts w:cs="Arial"/>
        </w:rPr>
        <w:t xml:space="preserve">ačkoli počet případů zahájení řízení o porušení povinnosti narůstá, </w:t>
      </w:r>
      <w:r w:rsidR="007C351A" w:rsidRPr="00722D97">
        <w:rPr>
          <w:rFonts w:cs="Arial"/>
        </w:rPr>
        <w:t xml:space="preserve">počet podaných žalob </w:t>
      </w:r>
      <w:r w:rsidR="00756F88" w:rsidRPr="00722D97">
        <w:rPr>
          <w:rFonts w:cs="Arial"/>
        </w:rPr>
        <w:t xml:space="preserve">k Soudnímu dvoru </w:t>
      </w:r>
      <w:r w:rsidR="007C351A" w:rsidRPr="00722D97">
        <w:rPr>
          <w:rFonts w:cs="Arial"/>
        </w:rPr>
        <w:t>stále klesá.</w:t>
      </w:r>
    </w:p>
    <w:p w:rsidR="00E716E5" w:rsidRPr="00E716E5" w:rsidRDefault="00E716E5" w:rsidP="00B16530">
      <w:pPr>
        <w:ind w:firstLine="708"/>
        <w:rPr>
          <w:rFonts w:cs="Arial"/>
          <w:color w:val="1F497D" w:themeColor="text2"/>
        </w:rPr>
      </w:pPr>
      <w:r w:rsidRPr="00E716E5">
        <w:rPr>
          <w:noProof/>
          <w:color w:val="1F497D" w:themeColor="text2"/>
          <w:lang w:eastAsia="cs-CZ"/>
        </w:rPr>
        <w:drawing>
          <wp:anchor distT="0" distB="0" distL="114300" distR="114300" simplePos="0" relativeHeight="251658240" behindDoc="1" locked="0" layoutInCell="1" allowOverlap="1">
            <wp:simplePos x="0" y="0"/>
            <wp:positionH relativeFrom="column">
              <wp:posOffset>501015</wp:posOffset>
            </wp:positionH>
            <wp:positionV relativeFrom="paragraph">
              <wp:posOffset>107315</wp:posOffset>
            </wp:positionV>
            <wp:extent cx="4276725" cy="2352675"/>
            <wp:effectExtent l="0" t="0" r="9525" b="9525"/>
            <wp:wrapNone/>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525DE" w:rsidRDefault="007C351A" w:rsidP="00921BC6">
      <w:pPr>
        <w:tabs>
          <w:tab w:val="left" w:pos="3795"/>
          <w:tab w:val="center" w:pos="4889"/>
        </w:tabs>
        <w:ind w:firstLine="708"/>
      </w:pPr>
      <w:r>
        <w:rPr>
          <w:rFonts w:cs="Arial"/>
          <w:color w:val="222222"/>
        </w:rPr>
        <w:t xml:space="preserve"> </w:t>
      </w:r>
      <w:r w:rsidR="00D33BC5">
        <w:rPr>
          <w:rFonts w:cs="Arial"/>
          <w:color w:val="222222"/>
        </w:rPr>
        <w:t xml:space="preserve">   </w:t>
      </w:r>
      <w:r w:rsidR="006E2E4A">
        <w:rPr>
          <w:rFonts w:cs="Arial"/>
          <w:color w:val="222222"/>
        </w:rPr>
        <w:t xml:space="preserve">  </w:t>
      </w:r>
      <w:r w:rsidR="001525DE">
        <w:rPr>
          <w:rFonts w:cs="Arial"/>
          <w:color w:val="222222"/>
        </w:rPr>
        <w:t xml:space="preserve">   </w:t>
      </w:r>
      <w:r w:rsidR="00921BC6">
        <w:rPr>
          <w:rFonts w:cs="Arial"/>
          <w:color w:val="222222"/>
        </w:rPr>
        <w:tab/>
      </w:r>
      <w:r w:rsidR="00921BC6">
        <w:rPr>
          <w:rFonts w:cs="Arial"/>
          <w:color w:val="222222"/>
        </w:rPr>
        <w:tab/>
      </w:r>
    </w:p>
    <w:p w:rsidR="00097607" w:rsidRPr="00097607" w:rsidRDefault="00097607" w:rsidP="00097607">
      <w:r>
        <w:tab/>
      </w:r>
    </w:p>
    <w:p w:rsidR="00E716E5" w:rsidRDefault="00E716E5" w:rsidP="00027A0C">
      <w:pPr>
        <w:pStyle w:val="Nadpis2"/>
      </w:pPr>
    </w:p>
    <w:p w:rsidR="00E716E5" w:rsidRDefault="00E716E5" w:rsidP="00027A0C">
      <w:pPr>
        <w:pStyle w:val="Nadpis2"/>
      </w:pPr>
    </w:p>
    <w:p w:rsidR="00E716E5" w:rsidRDefault="00E716E5" w:rsidP="00027A0C">
      <w:pPr>
        <w:pStyle w:val="Nadpis2"/>
      </w:pPr>
    </w:p>
    <w:p w:rsidR="00E716E5" w:rsidRDefault="00E716E5" w:rsidP="00027A0C">
      <w:pPr>
        <w:pStyle w:val="Nadpis2"/>
      </w:pPr>
    </w:p>
    <w:p w:rsidR="00E716E5" w:rsidRDefault="00E716E5" w:rsidP="00027A0C">
      <w:pPr>
        <w:pStyle w:val="Nadpis2"/>
      </w:pPr>
    </w:p>
    <w:p w:rsidR="00E716E5" w:rsidRDefault="00E716E5" w:rsidP="00027A0C">
      <w:pPr>
        <w:pStyle w:val="Nadpis2"/>
      </w:pPr>
    </w:p>
    <w:p w:rsidR="00BA11C8" w:rsidRPr="00722D97" w:rsidRDefault="00E716E5" w:rsidP="00E716E5">
      <w:r w:rsidRPr="00722D97">
        <w:t xml:space="preserve">Nyní se podíváme na již ukončená řízení, </w:t>
      </w:r>
      <w:r w:rsidR="00921BC6" w:rsidRPr="00722D97">
        <w:t xml:space="preserve">ve kterých </w:t>
      </w:r>
      <w:r w:rsidRPr="00722D97">
        <w:t>byl vynesen rozsudek Soudního dvora.</w:t>
      </w:r>
      <w:r w:rsidR="00921BC6" w:rsidRPr="00722D97">
        <w:t xml:space="preserve"> Obecně lze říci, že počet vydaných rozsudků stále klesá, což samozřejmě souvisí s trendem klesajícího počtu podávaných žalob vůbec. </w:t>
      </w:r>
      <w:r w:rsidR="00606534" w:rsidRPr="00722D97">
        <w:t>Vedle toho j</w:t>
      </w:r>
      <w:r w:rsidR="00BA4461" w:rsidRPr="00722D97">
        <w:t>e</w:t>
      </w:r>
      <w:r w:rsidR="00E77B6F">
        <w:t> </w:t>
      </w:r>
      <w:r w:rsidR="00BA4461" w:rsidRPr="00722D97">
        <w:t xml:space="preserve">zajímavé, že </w:t>
      </w:r>
      <w:r w:rsidR="001174F4" w:rsidRPr="00722D97">
        <w:t>poměr mezi úspěšnými a zamítnutými žalobami</w:t>
      </w:r>
      <w:r w:rsidR="00606534" w:rsidRPr="00722D97">
        <w:t xml:space="preserve"> se v čase téměř nemění. M</w:t>
      </w:r>
      <w:r w:rsidR="00921BC6" w:rsidRPr="00722D97">
        <w:t xml:space="preserve">ůžeme konstatovat, že </w:t>
      </w:r>
      <w:r w:rsidR="00BA4461" w:rsidRPr="00722D97">
        <w:t xml:space="preserve">v posledních letech je </w:t>
      </w:r>
      <w:r w:rsidR="00921BC6" w:rsidRPr="00722D97">
        <w:t xml:space="preserve">většina podaných žalob úspěšná a jen zlomek před </w:t>
      </w:r>
      <w:r w:rsidR="00BA4461" w:rsidRPr="00722D97">
        <w:t>S</w:t>
      </w:r>
      <w:r w:rsidR="00921BC6" w:rsidRPr="00722D97">
        <w:t xml:space="preserve">oudním dvorem neuspěje. </w:t>
      </w:r>
    </w:p>
    <w:p w:rsidR="00E716E5" w:rsidRPr="003C463F" w:rsidRDefault="00921BC6" w:rsidP="003C463F">
      <w:pPr>
        <w:ind w:firstLine="708"/>
      </w:pPr>
      <w:r w:rsidRPr="00722D97">
        <w:t xml:space="preserve">Výjimkou </w:t>
      </w:r>
      <w:r w:rsidR="001174F4" w:rsidRPr="00722D97">
        <w:t xml:space="preserve">z tohoto trendu </w:t>
      </w:r>
      <w:r w:rsidRPr="00722D97">
        <w:t>je však rok 2013, kdy bylo úspěšných žalob 40</w:t>
      </w:r>
      <w:r w:rsidR="00E77B6F">
        <w:t> </w:t>
      </w:r>
      <w:r w:rsidRPr="00722D97">
        <w:t>a</w:t>
      </w:r>
      <w:r w:rsidR="00BA11C8" w:rsidRPr="00722D97">
        <w:t> </w:t>
      </w:r>
      <w:r w:rsidRPr="00722D97">
        <w:t>neúspěšných bylo 23, tedy asi 1/3 všech podaných žalob.</w:t>
      </w:r>
      <w:r w:rsidR="00756F88" w:rsidRPr="00722D97">
        <w:rPr>
          <w:rStyle w:val="Znakapoznpodarou"/>
        </w:rPr>
        <w:footnoteReference w:id="145"/>
      </w:r>
      <w:r w:rsidR="001174F4" w:rsidRPr="00722D97">
        <w:t xml:space="preserve"> </w:t>
      </w:r>
      <w:r w:rsidR="00BA11C8" w:rsidRPr="00722D97">
        <w:t>Co způsobilo takový nárůst počtu zamítnutých žalob? V roce 2013 Soudní dvůr vyřešil dvě právní otázky, kvůli nimž Komise žalovala více členských států včetně České republiky, avšak v obou otázkách neuspěla. Žaloby se týkaly je</w:t>
      </w:r>
      <w:r w:rsidR="00ED1B6A">
        <w:t>dnak DPH pro cestovní kanceláře</w:t>
      </w:r>
      <w:r w:rsidR="00ED1B6A">
        <w:rPr>
          <w:rStyle w:val="Znakapoznpodarou"/>
        </w:rPr>
        <w:footnoteReference w:id="146"/>
      </w:r>
      <w:r w:rsidR="00BA11C8" w:rsidRPr="00722D97">
        <w:t xml:space="preserve"> a jednak skupinové registrace DPH</w:t>
      </w:r>
      <w:r w:rsidR="00ED1B6A">
        <w:rPr>
          <w:rStyle w:val="Znakapoznpodarou"/>
        </w:rPr>
        <w:footnoteReference w:id="147"/>
      </w:r>
      <w:r w:rsidR="00BA11C8" w:rsidRPr="00722D97">
        <w:t>. S větším počtem žalovaných členských států tedy narostl i počet zamítnutých žalob.</w:t>
      </w:r>
      <w:r w:rsidR="001174F4" w:rsidRPr="00722D97">
        <w:t xml:space="preserve"> </w:t>
      </w:r>
      <w:r w:rsidRPr="00722D97">
        <w:t xml:space="preserve">   </w:t>
      </w:r>
      <w:r w:rsidRPr="00722D97">
        <w:rPr>
          <w:rFonts w:eastAsiaTheme="majorEastAsia" w:cstheme="majorBidi"/>
          <w:b/>
          <w:bCs/>
          <w:sz w:val="28"/>
          <w:szCs w:val="26"/>
        </w:rPr>
        <w:t xml:space="preserve"> </w:t>
      </w:r>
      <w:r w:rsidR="00E716E5" w:rsidRPr="00722D97">
        <w:rPr>
          <w:rFonts w:eastAsiaTheme="majorEastAsia" w:cstheme="majorBidi"/>
          <w:b/>
          <w:bCs/>
          <w:sz w:val="28"/>
          <w:szCs w:val="26"/>
        </w:rPr>
        <w:t xml:space="preserve"> </w:t>
      </w:r>
    </w:p>
    <w:p w:rsidR="00D477EB" w:rsidRDefault="00F368FF" w:rsidP="0054106C">
      <w:pPr>
        <w:pStyle w:val="Nadpis1"/>
      </w:pPr>
      <w:r>
        <w:br w:type="page"/>
      </w:r>
      <w:bookmarkStart w:id="30" w:name="_Toc398901336"/>
      <w:bookmarkStart w:id="31" w:name="_Toc399171086"/>
      <w:r w:rsidR="00D477EB">
        <w:lastRenderedPageBreak/>
        <w:t>Závěr</w:t>
      </w:r>
      <w:bookmarkEnd w:id="30"/>
      <w:bookmarkEnd w:id="31"/>
    </w:p>
    <w:p w:rsidR="0045621B" w:rsidRDefault="00A25992" w:rsidP="00506E0B">
      <w:pPr>
        <w:ind w:firstLine="709"/>
      </w:pPr>
      <w:r w:rsidRPr="00A25992">
        <w:t>V této chvíli by</w:t>
      </w:r>
      <w:r>
        <w:t xml:space="preserve"> mělo dojít ke zhodnocení celého tématu, splnění vytyčených cílů a rovněž k vyvození podstatných závěrů, které jsem si tvořila v průběhu celé práce. </w:t>
      </w:r>
    </w:p>
    <w:p w:rsidR="0095131A" w:rsidRDefault="0045621B" w:rsidP="00506E0B">
      <w:pPr>
        <w:ind w:firstLine="709"/>
      </w:pPr>
      <w:r>
        <w:t xml:space="preserve">Nejprve zaměříme-li se na </w:t>
      </w:r>
      <w:r w:rsidRPr="00417ECB">
        <w:t>účel</w:t>
      </w:r>
      <w:r>
        <w:t xml:space="preserve"> řízení o dozorčí žalobě, můžeme s jistotou tvrdit, že řízení plní hned několik důležitých funkcí. Jednak řízení pomáhá vynucovat po členských státech chování v souladu s evropským právem</w:t>
      </w:r>
      <w:r w:rsidR="00E766CF">
        <w:t>. M</w:t>
      </w:r>
      <w:r>
        <w:t xml:space="preserve">ůže také svým způsobem chránit jiné členské státy nebo Komisi před případnými nežádoucími následky plynoucími pro ně z porušování evropského práva </w:t>
      </w:r>
      <w:r w:rsidR="00E766CF">
        <w:t xml:space="preserve">jiným státem </w:t>
      </w:r>
      <w:r>
        <w:t>ve smyslu funkce pořádkové</w:t>
      </w:r>
      <w:r w:rsidR="00E766CF">
        <w:t>. P</w:t>
      </w:r>
      <w:r w:rsidR="0095131A">
        <w:t>okud řízení dojde až do poslední své fáze, tak může působit i represivně zásahem do majetkové sféry porušovatele</w:t>
      </w:r>
      <w:r w:rsidR="00E766CF">
        <w:t>, a to uložením pokuty. Svůj význam má však sankční řízení i v případě, že do této fáze řízení vůbec nedojde. Stále je jakousi výstrahou pro všechny členské země, že pokud poruší svoji povinnost, bude jim hrozit finanční sankce, které se bude určitě každý stát chtít vyhnout. Dále i celé řízení vlastně sl</w:t>
      </w:r>
      <w:r w:rsidR="0095131A">
        <w:t>ouží z části jako varování pro všechny členské státy, aby se vyvarovaly porušování evropského práva. Význam má řízení také ve</w:t>
      </w:r>
      <w:r w:rsidR="00E766CF">
        <w:t> </w:t>
      </w:r>
      <w:r w:rsidR="0095131A">
        <w:t>smyslu podání závazného výkladu evropského práva Soudním dvorem a</w:t>
      </w:r>
      <w:r w:rsidR="00E766CF">
        <w:t> </w:t>
      </w:r>
      <w:r w:rsidR="0095131A">
        <w:t xml:space="preserve">v některých případech může být rovněž řízení jako nástroj k vymezení rozsahu povinností, které státům z evropského práva plynou. </w:t>
      </w:r>
    </w:p>
    <w:p w:rsidR="0095131A" w:rsidRDefault="0095131A" w:rsidP="00506E0B">
      <w:pPr>
        <w:ind w:firstLine="709"/>
      </w:pPr>
      <w:r w:rsidRPr="00417ECB">
        <w:t>Hlavní účel</w:t>
      </w:r>
      <w:r>
        <w:t xml:space="preserve"> celého řízení byl </w:t>
      </w:r>
      <w:r w:rsidR="00E766CF">
        <w:t xml:space="preserve">během </w:t>
      </w:r>
      <w:r>
        <w:t>práci zmíněn již několikrát. Jak už</w:t>
      </w:r>
      <w:r w:rsidR="00E766CF">
        <w:t> </w:t>
      </w:r>
      <w:r>
        <w:t xml:space="preserve">vychází z názvů tohoto řízení a </w:t>
      </w:r>
      <w:r w:rsidR="00E766CF">
        <w:t xml:space="preserve">z názvu </w:t>
      </w:r>
      <w:r>
        <w:t>žaloby, účelem je dozorovat nad členskými státy, aby plnily své povinnosti, které jim plynou z evropského práva a</w:t>
      </w:r>
      <w:r w:rsidR="00E766CF">
        <w:t> </w:t>
      </w:r>
      <w:r>
        <w:t xml:space="preserve">v případě, že tyto povinnosti budou plnit nedostatečně či vůbec, pak je účelem státy k řádnému plnění přimět. </w:t>
      </w:r>
    </w:p>
    <w:p w:rsidR="000F7478" w:rsidRDefault="0095131A" w:rsidP="00506E0B">
      <w:pPr>
        <w:ind w:firstLine="709"/>
      </w:pPr>
      <w:r>
        <w:t xml:space="preserve">Jedním ze záměrů této práce bylo věnovat významnou její část straně žalobce v řízení, zejména pak </w:t>
      </w:r>
      <w:r w:rsidRPr="00417ECB">
        <w:t>Komisi</w:t>
      </w:r>
      <w:r>
        <w:t>. Právě tuto část považuji za velmi zajímavou a</w:t>
      </w:r>
      <w:r w:rsidR="004B49AC">
        <w:t xml:space="preserve"> vhodnou k podrobnému zkoumání, </w:t>
      </w:r>
      <w:r w:rsidR="00F83130">
        <w:t>a to zejména z důvodu množství sporných otázek, které jsou již dlouhá léta diskutovány právě v souvislosti pravomocí Komise v řízení o</w:t>
      </w:r>
      <w:r w:rsidR="00417ECB">
        <w:t> </w:t>
      </w:r>
      <w:r w:rsidR="00F83130">
        <w:t>dozorčí žalobě</w:t>
      </w:r>
      <w:r w:rsidR="004B49AC">
        <w:t xml:space="preserve">. </w:t>
      </w:r>
      <w:r w:rsidR="00A02105">
        <w:t>Podstatnou část jsem věnovala i postavení jednotlivce v řízení, jak jsem si předsevzala na začátku práce. Myslím, že právě možnost jednotlivců zapojit se</w:t>
      </w:r>
      <w:r w:rsidR="00A76432">
        <w:t> </w:t>
      </w:r>
      <w:r w:rsidR="00A02105">
        <w:t>do</w:t>
      </w:r>
      <w:r w:rsidR="00A76432">
        <w:t> </w:t>
      </w:r>
      <w:r w:rsidR="00A02105">
        <w:t>řízení</w:t>
      </w:r>
      <w:r w:rsidR="00A76432">
        <w:t xml:space="preserve">, a to buď formou stížnosti ke Komisi či prostřednictvím Evropského veřejného ochránce práv, dává řízení o porušení povinnosti velké plus. Díky </w:t>
      </w:r>
      <w:r w:rsidR="00A76432">
        <w:lastRenderedPageBreak/>
        <w:t xml:space="preserve">stížnostem na postupy Komise u Evropského veřejného ochránce práv, dokázali jednotlivci vyvinout tlak na Komisi a </w:t>
      </w:r>
      <w:r w:rsidR="00E766CF">
        <w:t>ta</w:t>
      </w:r>
      <w:r w:rsidR="00A76432">
        <w:t xml:space="preserve"> následně začala alespoň z části své chování přizpůsobovat. Mimo jiné má Komise povinnost se všemi stížnostmi jednotlivců zabývat a každé takové podání musí</w:t>
      </w:r>
      <w:r w:rsidR="00343F43">
        <w:t xml:space="preserve"> </w:t>
      </w:r>
      <w:r w:rsidR="00A76432">
        <w:t>vyřídit nejpozději do</w:t>
      </w:r>
      <w:r w:rsidR="00E766CF">
        <w:t> </w:t>
      </w:r>
      <w:r w:rsidR="00A76432">
        <w:t>1</w:t>
      </w:r>
      <w:r w:rsidR="00E766CF">
        <w:t> </w:t>
      </w:r>
      <w:r w:rsidR="00A76432">
        <w:t>roku ode dne, kdy jej obdržela.</w:t>
      </w:r>
      <w:r w:rsidR="00F83130">
        <w:rPr>
          <w:rStyle w:val="Znakapoznpodarou"/>
        </w:rPr>
        <w:footnoteReference w:id="148"/>
      </w:r>
      <w:r w:rsidR="00A76432">
        <w:t xml:space="preserve"> I když v rámci řízení čeká na jednotlivce řada překážek, jako například obtížný přístup k dokumentům, přesto nelze popřít, že svůj význam v řízení </w:t>
      </w:r>
      <w:r w:rsidR="006E153B">
        <w:t xml:space="preserve">jistě </w:t>
      </w:r>
      <w:r w:rsidR="00A76432">
        <w:t xml:space="preserve">mají.      </w:t>
      </w:r>
      <w:r w:rsidR="00A02105">
        <w:t xml:space="preserve">   </w:t>
      </w:r>
      <w:r w:rsidR="000F7478">
        <w:t xml:space="preserve">   </w:t>
      </w:r>
    </w:p>
    <w:p w:rsidR="003C463F" w:rsidRPr="003C463F" w:rsidRDefault="000F7478" w:rsidP="003C463F">
      <w:pPr>
        <w:ind w:firstLine="709"/>
      </w:pPr>
      <w:r>
        <w:t xml:space="preserve">V práci jsem považovala za </w:t>
      </w:r>
      <w:r w:rsidR="003C463F">
        <w:t>vhodné</w:t>
      </w:r>
      <w:r>
        <w:t xml:space="preserve"> mimo jiné vyhradit místo i pro </w:t>
      </w:r>
      <w:r w:rsidR="003C463F">
        <w:t xml:space="preserve">statistickou </w:t>
      </w:r>
      <w:r w:rsidRPr="008A6C4C">
        <w:t>část</w:t>
      </w:r>
      <w:r>
        <w:t xml:space="preserve">, kterou ztělesňuje </w:t>
      </w:r>
      <w:r w:rsidR="002A308D">
        <w:t>n</w:t>
      </w:r>
      <w:r>
        <w:t xml:space="preserve">ěkolik statistických údajů, doplněných o nejrůznější grafy. Úkolem této části bylo zejména dokreslení teoretických poznatků </w:t>
      </w:r>
      <w:r w:rsidR="002A308D">
        <w:t xml:space="preserve">z první části práce </w:t>
      </w:r>
      <w:r>
        <w:t xml:space="preserve">a </w:t>
      </w:r>
      <w:r w:rsidR="002A308D">
        <w:t>ukázka toho, jak reálně řízení funguje</w:t>
      </w:r>
      <w:r>
        <w:t>.</w:t>
      </w:r>
      <w:r w:rsidR="003C463F">
        <w:t xml:space="preserve"> Obecné statistické údaje týkající se celé Evropské unie nalezneme v kapitole č. 6. Jako přílohu č. 3 jsem do práce vložila i</w:t>
      </w:r>
      <w:r w:rsidR="009821AC">
        <w:t> </w:t>
      </w:r>
      <w:r w:rsidR="003C463F">
        <w:t xml:space="preserve">několik zajímavých statistických údajů, které se týkají již samostatné České republiky. Tyto statistické údaje jsem čerpala ze </w:t>
      </w:r>
      <w:r w:rsidR="003C463F" w:rsidRPr="003C463F">
        <w:t>Zprávy o činnosti vládního zmocněnce pro zastupování České republiky před Soudním dvorem Evropské unie za rok 2013.</w:t>
      </w:r>
    </w:p>
    <w:p w:rsidR="00682FD8" w:rsidRDefault="0078688B" w:rsidP="00506E0B">
      <w:pPr>
        <w:ind w:firstLine="709"/>
      </w:pPr>
      <w:r>
        <w:t xml:space="preserve">Potvrdilo se, že </w:t>
      </w:r>
      <w:r w:rsidRPr="008A6C4C">
        <w:t>podávání</w:t>
      </w:r>
      <w:r>
        <w:t xml:space="preserve"> </w:t>
      </w:r>
      <w:r w:rsidR="002A308D">
        <w:t>dozorčích</w:t>
      </w:r>
      <w:r>
        <w:t xml:space="preserve"> žalob je velmi </w:t>
      </w:r>
      <w:r w:rsidRPr="008A6C4C">
        <w:t>časté</w:t>
      </w:r>
      <w:r>
        <w:t>, dokonce se jedná o</w:t>
      </w:r>
      <w:r w:rsidR="002A308D">
        <w:t> </w:t>
      </w:r>
      <w:r>
        <w:t xml:space="preserve">druhý nejčastější typ řízení vedený před Soudním dvorem, po řízení o předběžné otázce. Správný byl i předpoklad, že jen </w:t>
      </w:r>
      <w:r w:rsidRPr="008A6C4C">
        <w:t>málo</w:t>
      </w:r>
      <w:r>
        <w:t xml:space="preserve"> z řízení o dozorčích žalobách dospěje do fáze, kdy je členskému státu uložena povinnost zaplatit </w:t>
      </w:r>
      <w:r w:rsidRPr="008A6C4C">
        <w:t>pokutu</w:t>
      </w:r>
      <w:r>
        <w:t>.</w:t>
      </w:r>
      <w:r w:rsidR="003C718E">
        <w:t xml:space="preserve"> Před uložením pokuty Soudním dvorem totiž většinou členský stát svůj prohřešek napraví a poté k uložení pokuty často ne</w:t>
      </w:r>
      <w:r w:rsidR="006E153B">
        <w:t>dochází</w:t>
      </w:r>
      <w:r w:rsidR="00661AD3">
        <w:t xml:space="preserve">. To však </w:t>
      </w:r>
      <w:r w:rsidR="003C718E">
        <w:t>neznamená</w:t>
      </w:r>
      <w:r w:rsidR="00661AD3">
        <w:t>,</w:t>
      </w:r>
      <w:r w:rsidR="003C718E">
        <w:t xml:space="preserve"> že</w:t>
      </w:r>
      <w:r w:rsidR="00661AD3">
        <w:t xml:space="preserve"> i přes napravení vadného stavu ze strany členského státu není v pravomoci Soudního dvora, aby i poté pokutu porušiteli uložil. </w:t>
      </w:r>
      <w:r>
        <w:t>Také jsme zjistil</w:t>
      </w:r>
      <w:r w:rsidR="002A308D">
        <w:t>i</w:t>
      </w:r>
      <w:r>
        <w:t xml:space="preserve">, že mnohem </w:t>
      </w:r>
      <w:r w:rsidRPr="008A6C4C">
        <w:t>častěji</w:t>
      </w:r>
      <w:r>
        <w:t xml:space="preserve"> je</w:t>
      </w:r>
      <w:r w:rsidR="00F44626">
        <w:t> </w:t>
      </w:r>
      <w:r>
        <w:t xml:space="preserve">řízení </w:t>
      </w:r>
      <w:r w:rsidR="002A308D">
        <w:t xml:space="preserve">vedeno </w:t>
      </w:r>
      <w:r>
        <w:t xml:space="preserve">v režimu článku </w:t>
      </w:r>
      <w:r w:rsidRPr="008A6C4C">
        <w:t>258</w:t>
      </w:r>
      <w:r>
        <w:t xml:space="preserve"> SFEU než v režimu článku 259 SFEU, a</w:t>
      </w:r>
      <w:r w:rsidR="00F44626">
        <w:t> </w:t>
      </w:r>
      <w:r>
        <w:t>to</w:t>
      </w:r>
      <w:r w:rsidR="00F44626">
        <w:t> </w:t>
      </w:r>
      <w:r>
        <w:t>z</w:t>
      </w:r>
      <w:r w:rsidR="002A308D">
        <w:t>ejména z politických důvodů</w:t>
      </w:r>
      <w:r>
        <w:t>.</w:t>
      </w:r>
      <w:r w:rsidR="00682FD8">
        <w:t xml:space="preserve"> Rovněž jsem došla k závěru, že </w:t>
      </w:r>
      <w:r w:rsidR="007A1EFB">
        <w:t>pokud už nějaká žaloba k Soudnímu dvoru přijde, tak téměř vždy je rozhodnuto ve prospěch žalobce</w:t>
      </w:r>
      <w:r w:rsidR="009821AC">
        <w:t>, tedy Komise. J</w:t>
      </w:r>
      <w:r w:rsidR="007A1EFB">
        <w:t xml:space="preserve">en ve výjimečných případech pak nastane situace, kdy </w:t>
      </w:r>
      <w:r w:rsidR="006E153B">
        <w:t>S</w:t>
      </w:r>
      <w:r w:rsidR="007A1EFB">
        <w:t>oudní dvůr žalobu zamítne.</w:t>
      </w:r>
      <w:r w:rsidR="009821AC">
        <w:t xml:space="preserve"> </w:t>
      </w:r>
      <w:r w:rsidR="007A1EFB">
        <w:t xml:space="preserve"> </w:t>
      </w:r>
      <w:r w:rsidR="00F44626">
        <w:t xml:space="preserve"> </w:t>
      </w:r>
      <w:r w:rsidR="00682FD8">
        <w:t xml:space="preserve"> </w:t>
      </w:r>
      <w:r>
        <w:t xml:space="preserve"> </w:t>
      </w:r>
    </w:p>
    <w:p w:rsidR="0095131A" w:rsidRDefault="006649DC" w:rsidP="00506E0B">
      <w:pPr>
        <w:ind w:firstLine="709"/>
      </w:pPr>
      <w:r>
        <w:t xml:space="preserve">Statistiky nám také ukázaly, že stále dochází k nárůstu </w:t>
      </w:r>
      <w:r w:rsidRPr="00722D97">
        <w:rPr>
          <w:rFonts w:cs="Arial"/>
        </w:rPr>
        <w:t>poč</w:t>
      </w:r>
      <w:r>
        <w:rPr>
          <w:rFonts w:cs="Arial"/>
        </w:rPr>
        <w:t>tu</w:t>
      </w:r>
      <w:r w:rsidRPr="00722D97">
        <w:rPr>
          <w:rFonts w:cs="Arial"/>
        </w:rPr>
        <w:t xml:space="preserve"> případů zahájení řízení o porušení povinnosti</w:t>
      </w:r>
      <w:r w:rsidR="008D6C26">
        <w:rPr>
          <w:rFonts w:cs="Arial"/>
        </w:rPr>
        <w:t>.</w:t>
      </w:r>
      <w:r w:rsidR="00F44626">
        <w:rPr>
          <w:rFonts w:cs="Arial"/>
        </w:rPr>
        <w:t xml:space="preserve"> Tento trend se s největší pravděpodobností do budoucna výrazně měnit nebude, jelikož stoupavou tendenci zajistí minimálně </w:t>
      </w:r>
      <w:r w:rsidR="00F44626">
        <w:rPr>
          <w:rFonts w:cs="Arial"/>
        </w:rPr>
        <w:lastRenderedPageBreak/>
        <w:t xml:space="preserve">stále se rozšiřující Evropská unie a tím i rozšiřující se okruh potencionálních porušitelů, ale i žalobců. </w:t>
      </w:r>
      <w:r w:rsidR="008D6C26">
        <w:rPr>
          <w:rFonts w:cs="Arial"/>
        </w:rPr>
        <w:t xml:space="preserve">Oproti tomu však </w:t>
      </w:r>
      <w:r w:rsidRPr="00722D97">
        <w:rPr>
          <w:rFonts w:cs="Arial"/>
        </w:rPr>
        <w:t>počet podaných žalob k Soudnímu dvoru</w:t>
      </w:r>
      <w:r w:rsidR="008D6C26">
        <w:rPr>
          <w:rFonts w:cs="Arial"/>
        </w:rPr>
        <w:t xml:space="preserve"> v rámci tohoto řízení</w:t>
      </w:r>
      <w:r w:rsidRPr="00722D97">
        <w:rPr>
          <w:rFonts w:cs="Arial"/>
        </w:rPr>
        <w:t xml:space="preserve"> stále klesá</w:t>
      </w:r>
      <w:r w:rsidR="008D6C26">
        <w:rPr>
          <w:rFonts w:cs="Arial"/>
        </w:rPr>
        <w:t xml:space="preserve">, s čímž souvisí i stálé ubývání počtu vydaných rozsudků </w:t>
      </w:r>
      <w:r w:rsidR="006E153B">
        <w:rPr>
          <w:rFonts w:cs="Arial"/>
        </w:rPr>
        <w:t>S</w:t>
      </w:r>
      <w:r w:rsidR="008D6C26">
        <w:rPr>
          <w:rFonts w:cs="Arial"/>
        </w:rPr>
        <w:t>oudního dvora v této oblasti. Jako největší porušovatel svých povinností z evropského práva se ukázala Itálie, i když pokud se podíváme na statistiku za</w:t>
      </w:r>
      <w:r w:rsidR="003C718E">
        <w:rPr>
          <w:rFonts w:cs="Arial"/>
        </w:rPr>
        <w:t> </w:t>
      </w:r>
      <w:r w:rsidR="008D6C26">
        <w:rPr>
          <w:rFonts w:cs="Arial"/>
        </w:rPr>
        <w:t>posledních 5 let, bylo nejvíce žalob podáno na Polsko. Česká republika se stále drží kolem středu tohoto pomyslného žebříčku</w:t>
      </w:r>
      <w:r w:rsidR="003C718E">
        <w:rPr>
          <w:rFonts w:cs="Arial"/>
        </w:rPr>
        <w:t xml:space="preserve"> a ve většině případů se žaloby</w:t>
      </w:r>
      <w:r w:rsidR="006E153B">
        <w:rPr>
          <w:rFonts w:cs="Arial"/>
        </w:rPr>
        <w:t xml:space="preserve"> proti ní </w:t>
      </w:r>
      <w:r w:rsidR="003C718E">
        <w:rPr>
          <w:rFonts w:cs="Arial"/>
        </w:rPr>
        <w:t xml:space="preserve">zabývají </w:t>
      </w:r>
      <w:r w:rsidR="003C718E" w:rsidRPr="00722D97">
        <w:t>absenc</w:t>
      </w:r>
      <w:r w:rsidR="003C718E">
        <w:t>í</w:t>
      </w:r>
      <w:r w:rsidR="003C718E" w:rsidRPr="00722D97">
        <w:t xml:space="preserve"> transpozice či notifikace směrnice</w:t>
      </w:r>
      <w:r w:rsidR="003C718E">
        <w:t xml:space="preserve">. </w:t>
      </w:r>
    </w:p>
    <w:p w:rsidR="006E153B" w:rsidRDefault="0095131A" w:rsidP="00506E0B">
      <w:pPr>
        <w:ind w:firstLine="709"/>
      </w:pPr>
      <w:r>
        <w:t xml:space="preserve">     </w:t>
      </w:r>
      <w:r w:rsidR="007A1EFB">
        <w:t xml:space="preserve">Už na začátku práce jsem předložila tvrzení, že výhodou této dozorčí žaloby je její široký záběr. Nejprve má velký rozsah z pohledu oblastí, ve kterých může řízení probíhat. </w:t>
      </w:r>
      <w:r w:rsidR="00162ABE">
        <w:t>Zadruhé</w:t>
      </w:r>
      <w:r w:rsidR="007A1EFB">
        <w:t>, pokud budeme hovořit o všech typech jednání, na</w:t>
      </w:r>
      <w:r w:rsidR="00162ABE">
        <w:t> </w:t>
      </w:r>
      <w:r w:rsidR="007A1EFB">
        <w:t xml:space="preserve">které se žaloba vztahuje, dozvěděli jsme se, že se může jednat jak o jednání </w:t>
      </w:r>
      <w:proofErr w:type="spellStart"/>
      <w:r w:rsidR="007A1EFB">
        <w:t>komisivní</w:t>
      </w:r>
      <w:proofErr w:type="spellEnd"/>
      <w:r w:rsidR="007A1EFB">
        <w:t xml:space="preserve"> tak omisivní.</w:t>
      </w:r>
      <w:r w:rsidR="00162ABE">
        <w:t xml:space="preserve"> A </w:t>
      </w:r>
      <w:proofErr w:type="gramStart"/>
      <w:r w:rsidR="00162ABE">
        <w:t>jednání kterých</w:t>
      </w:r>
      <w:proofErr w:type="gramEnd"/>
      <w:r w:rsidR="00162ABE">
        <w:t xml:space="preserve"> všech subjektů lze považovat jako jednání členského státu? I tento výčet je dle mého názoru poněkud rozsáhlý. O jeho jasné vymezení se postaral až Soudní dvůr ve svojí judikatuře, kdy nakonec jednání státu vztáhl i na orgány moci soudní, což nezůstalo úplně bez povšimnutí, například německým Ústavním soudem</w:t>
      </w:r>
      <w:r w:rsidR="00A02105">
        <w:t>, který s takovým úsudkem příliš nesouhlasil</w:t>
      </w:r>
      <w:r w:rsidR="00162ABE">
        <w:t>.</w:t>
      </w:r>
      <w:r w:rsidR="00A02105">
        <w:t xml:space="preserve"> </w:t>
      </w:r>
      <w:r w:rsidR="00162ABE">
        <w:t xml:space="preserve">   </w:t>
      </w:r>
    </w:p>
    <w:p w:rsidR="0095131A" w:rsidRDefault="006E153B" w:rsidP="00506E0B">
      <w:pPr>
        <w:ind w:firstLine="709"/>
      </w:pPr>
      <w:r>
        <w:t xml:space="preserve">Na začátku celé práce jsem očekávala, že postupem času odhalím v řízení o porušení povinnosti spoustu </w:t>
      </w:r>
      <w:r w:rsidR="009821AC">
        <w:t xml:space="preserve">významných </w:t>
      </w:r>
      <w:r>
        <w:t xml:space="preserve">nedostatků. Na konci však docházím k opačnému závěru. V řízení </w:t>
      </w:r>
      <w:r w:rsidR="009821AC">
        <w:t>jsem nenarazila na žádný tak výrazný problém, který by převyšoval výhody a klady tohoto řízení</w:t>
      </w:r>
      <w:r>
        <w:t>. Prostřednictvím tohoto řízení Evropská unie zkrátka chce, aby všichni její členové dodržovali nastavená pravidla, což považuji za nezbytné pro</w:t>
      </w:r>
      <w:r w:rsidR="00644D98">
        <w:t xml:space="preserve"> to, aby mohla následně Evropská unie plnit bez problémů úkoly, které od ní členské státy očekávají a vyžadují. </w:t>
      </w:r>
      <w:r w:rsidR="00D72D60">
        <w:t>V tomto smyslu se mi řízení o</w:t>
      </w:r>
      <w:r w:rsidR="00417ECB">
        <w:t> </w:t>
      </w:r>
      <w:r w:rsidR="00D72D60">
        <w:t xml:space="preserve">porušení povinnosti jeví jako dostatečně efektivní a potřebné. </w:t>
      </w:r>
      <w:r w:rsidR="00644D98">
        <w:t xml:space="preserve">Existenci určitého sankčního mechanismu v rámci řízení hodnotím také jako žádoucí a mající v řízení velký význam, i když moc často nedochází k jeho faktickému užití. Ve vlivu Komise v řízení také nespatřuji zásadní problém. Stále se tu jedná o nadnárodní orgán, složený z nezávislých komisařů za každý členský stát, který je by měl zastupovat a hájit zájmy Evropské unie.     </w:t>
      </w:r>
      <w:r>
        <w:t xml:space="preserve">     </w:t>
      </w:r>
      <w:r w:rsidR="00162ABE">
        <w:t xml:space="preserve">        </w:t>
      </w:r>
      <w:r w:rsidR="007A1EFB">
        <w:t xml:space="preserve">     </w:t>
      </w:r>
    </w:p>
    <w:p w:rsidR="00D477EB" w:rsidRPr="00F368FF" w:rsidRDefault="00D72D60" w:rsidP="00D72D60">
      <w:pPr>
        <w:ind w:firstLine="709"/>
      </w:pPr>
      <w:r>
        <w:t xml:space="preserve">I přes tento můj kladný pohled na řízení, jsem chtěla znát názor i někoho z druhé strany, někoho kdo s řízením samotným přichází běžně do styku a nezná ho jen z odborné literatury a judikatury Soudního dvora. Proto jsem se obrátila na Ministerstvo zahraničních věcí, aby vyjádřili svůj pohled na věc. </w:t>
      </w:r>
      <w:r w:rsidR="00A71F99">
        <w:t xml:space="preserve">Podle </w:t>
      </w:r>
      <w:r w:rsidR="00BE1140" w:rsidRPr="00F368FF">
        <w:t>Jiří</w:t>
      </w:r>
      <w:r w:rsidR="00A71F99">
        <w:t>ho</w:t>
      </w:r>
      <w:r w:rsidR="00BE1140" w:rsidRPr="00F368FF">
        <w:t xml:space="preserve"> </w:t>
      </w:r>
      <w:r w:rsidR="00BE1140" w:rsidRPr="00F368FF">
        <w:lastRenderedPageBreak/>
        <w:t>Vláčil</w:t>
      </w:r>
      <w:r w:rsidR="00A71F99">
        <w:t>a z</w:t>
      </w:r>
      <w:r w:rsidR="00BE1140" w:rsidRPr="00F368FF">
        <w:t xml:space="preserve"> Odbor</w:t>
      </w:r>
      <w:r w:rsidR="00A71F99">
        <w:t>u</w:t>
      </w:r>
      <w:r w:rsidR="00BE1140" w:rsidRPr="00F368FF">
        <w:t xml:space="preserve"> komunitárního práva</w:t>
      </w:r>
      <w:r w:rsidR="00A71F99">
        <w:t>, Ministerstva zahraničních věcí</w:t>
      </w:r>
      <w:r>
        <w:t>,</w:t>
      </w:r>
      <w:r w:rsidR="00BE1140" w:rsidRPr="00F368FF">
        <w:t xml:space="preserve"> </w:t>
      </w:r>
      <w:r>
        <w:t>se </w:t>
      </w:r>
      <w:r w:rsidR="00D477EB" w:rsidRPr="00F368FF">
        <w:t>v</w:t>
      </w:r>
      <w:r w:rsidR="00A71F99">
        <w:t> </w:t>
      </w:r>
      <w:r w:rsidR="00D477EB" w:rsidRPr="00F368FF">
        <w:t>procesních pravidlech řízení o</w:t>
      </w:r>
      <w:r w:rsidR="009C4518">
        <w:t> </w:t>
      </w:r>
      <w:r w:rsidR="00D477EB" w:rsidRPr="00F368FF">
        <w:t xml:space="preserve">porušení </w:t>
      </w:r>
      <w:r w:rsidR="00A71F99">
        <w:t>povinnosti</w:t>
      </w:r>
      <w:r w:rsidR="00D477EB" w:rsidRPr="00F368FF">
        <w:t xml:space="preserve"> žádné zásadní problematické aspekty ne</w:t>
      </w:r>
      <w:r w:rsidR="00E77B6F">
        <w:t>vyskytují</w:t>
      </w:r>
      <w:r w:rsidR="00A71F99">
        <w:t xml:space="preserve">. Možnost dozorčí žaloby </w:t>
      </w:r>
      <w:r w:rsidR="00E77B6F">
        <w:t>hodnotí</w:t>
      </w:r>
      <w:r w:rsidR="00A71F99">
        <w:t xml:space="preserve"> </w:t>
      </w:r>
      <w:r>
        <w:t xml:space="preserve">také </w:t>
      </w:r>
      <w:r w:rsidR="00A71F99">
        <w:t>jako</w:t>
      </w:r>
      <w:r w:rsidR="00D477EB" w:rsidRPr="00F368FF">
        <w:t xml:space="preserve"> poměrně efektivní způsob, jak členský stát donutit k plnění povinností z</w:t>
      </w:r>
      <w:r w:rsidR="00A71F99">
        <w:t xml:space="preserve"> evropského </w:t>
      </w:r>
      <w:r w:rsidR="00D477EB" w:rsidRPr="00F368FF">
        <w:t>práva, který zároveň dává členským státům potřebná procesní práva pro obhajobu</w:t>
      </w:r>
      <w:r w:rsidR="00BE1140" w:rsidRPr="00F368FF">
        <w:t>.</w:t>
      </w:r>
    </w:p>
    <w:p w:rsidR="00506E0B" w:rsidRDefault="00D72D60" w:rsidP="00D72D60">
      <w:pPr>
        <w:ind w:firstLine="709"/>
      </w:pPr>
      <w:r>
        <w:t xml:space="preserve">Závěrem už jen tolik, že řízení o porušení povinnosti je </w:t>
      </w:r>
      <w:r w:rsidR="001B07D1">
        <w:t xml:space="preserve">z mého pohledu </w:t>
      </w:r>
      <w:r>
        <w:t xml:space="preserve">efektivním způsobem jak chránit právo Evropské unie a rovněž zajímavým předmětem </w:t>
      </w:r>
      <w:r w:rsidR="001B07D1">
        <w:t xml:space="preserve">odborného </w:t>
      </w:r>
      <w:r>
        <w:t>zkoumání a to v </w:t>
      </w:r>
      <w:r w:rsidR="001B07D1">
        <w:t>m</w:t>
      </w:r>
      <w:r>
        <w:t>noha svých aspektech.</w:t>
      </w:r>
    </w:p>
    <w:p w:rsidR="00EE0BD6" w:rsidRDefault="00EE0BD6">
      <w:pPr>
        <w:spacing w:after="200" w:line="276" w:lineRule="auto"/>
        <w:jc w:val="left"/>
      </w:pPr>
      <w:r>
        <w:br w:type="page"/>
      </w:r>
    </w:p>
    <w:p w:rsidR="002060FA" w:rsidRDefault="002060FA">
      <w:pPr>
        <w:spacing w:after="200" w:line="276" w:lineRule="auto"/>
        <w:jc w:val="left"/>
        <w:rPr>
          <w:rStyle w:val="Nadpis1Char"/>
          <w:b w:val="0"/>
          <w:bCs w:val="0"/>
        </w:rPr>
      </w:pPr>
    </w:p>
    <w:p w:rsidR="002060FA" w:rsidRDefault="002060FA">
      <w:pPr>
        <w:spacing w:after="200" w:line="276" w:lineRule="auto"/>
        <w:jc w:val="left"/>
        <w:rPr>
          <w:rStyle w:val="Nadpis1Char"/>
          <w:b w:val="0"/>
          <w:bCs w:val="0"/>
        </w:rPr>
      </w:pPr>
    </w:p>
    <w:p w:rsidR="002060FA" w:rsidRDefault="002060FA">
      <w:pPr>
        <w:spacing w:after="200" w:line="276" w:lineRule="auto"/>
        <w:jc w:val="left"/>
        <w:rPr>
          <w:rStyle w:val="Nadpis1Char"/>
          <w:b w:val="0"/>
          <w:bCs w:val="0"/>
        </w:rPr>
      </w:pPr>
    </w:p>
    <w:p w:rsidR="002060FA" w:rsidRDefault="002060FA">
      <w:pPr>
        <w:spacing w:after="200" w:line="276" w:lineRule="auto"/>
        <w:jc w:val="left"/>
        <w:rPr>
          <w:rStyle w:val="Nadpis1Char"/>
          <w:b w:val="0"/>
          <w:bCs w:val="0"/>
        </w:rPr>
      </w:pPr>
    </w:p>
    <w:p w:rsidR="002060FA" w:rsidRDefault="002060FA">
      <w:pPr>
        <w:spacing w:after="200" w:line="276" w:lineRule="auto"/>
        <w:jc w:val="left"/>
        <w:rPr>
          <w:rStyle w:val="Nadpis1Char"/>
          <w:b w:val="0"/>
          <w:bCs w:val="0"/>
        </w:rPr>
      </w:pPr>
    </w:p>
    <w:p w:rsidR="002060FA" w:rsidRDefault="002060FA">
      <w:pPr>
        <w:spacing w:after="200" w:line="276" w:lineRule="auto"/>
        <w:jc w:val="left"/>
        <w:rPr>
          <w:rStyle w:val="Nadpis1Char"/>
          <w:b w:val="0"/>
          <w:bCs w:val="0"/>
        </w:rPr>
      </w:pPr>
    </w:p>
    <w:p w:rsidR="002060FA" w:rsidRDefault="002060FA">
      <w:pPr>
        <w:spacing w:after="200" w:line="276" w:lineRule="auto"/>
        <w:jc w:val="left"/>
        <w:rPr>
          <w:rStyle w:val="Nadpis1Char"/>
          <w:b w:val="0"/>
          <w:bCs w:val="0"/>
        </w:rPr>
      </w:pPr>
    </w:p>
    <w:p w:rsidR="002060FA" w:rsidRDefault="002060FA">
      <w:pPr>
        <w:spacing w:after="200" w:line="276" w:lineRule="auto"/>
        <w:jc w:val="left"/>
        <w:rPr>
          <w:rStyle w:val="Nadpis1Char"/>
          <w:b w:val="0"/>
          <w:bCs w:val="0"/>
        </w:rPr>
      </w:pPr>
    </w:p>
    <w:p w:rsidR="002060FA" w:rsidRDefault="002060FA">
      <w:pPr>
        <w:spacing w:after="200" w:line="276" w:lineRule="auto"/>
        <w:jc w:val="left"/>
        <w:rPr>
          <w:rStyle w:val="Nadpis1Char"/>
          <w:b w:val="0"/>
          <w:bCs w:val="0"/>
        </w:rPr>
      </w:pPr>
    </w:p>
    <w:p w:rsidR="002060FA" w:rsidRPr="002060FA" w:rsidRDefault="002060FA" w:rsidP="002060FA">
      <w:pPr>
        <w:spacing w:after="200" w:line="276" w:lineRule="auto"/>
        <w:jc w:val="center"/>
        <w:rPr>
          <w:rStyle w:val="Nadpis1Char"/>
          <w:bCs w:val="0"/>
          <w:sz w:val="56"/>
          <w:u w:val="none"/>
        </w:rPr>
      </w:pPr>
      <w:bookmarkStart w:id="32" w:name="_Toc398901337"/>
      <w:bookmarkStart w:id="33" w:name="_Toc399171087"/>
      <w:r w:rsidRPr="002060FA">
        <w:rPr>
          <w:rStyle w:val="Nadpis1Char"/>
          <w:bCs w:val="0"/>
          <w:sz w:val="56"/>
          <w:u w:val="none"/>
        </w:rPr>
        <w:t>Přílohy</w:t>
      </w:r>
      <w:bookmarkEnd w:id="32"/>
      <w:bookmarkEnd w:id="33"/>
    </w:p>
    <w:p w:rsidR="002060FA" w:rsidRDefault="002060FA">
      <w:pPr>
        <w:spacing w:after="200" w:line="276" w:lineRule="auto"/>
        <w:jc w:val="left"/>
        <w:rPr>
          <w:rStyle w:val="Nadpis1Char"/>
          <w:b w:val="0"/>
          <w:bCs w:val="0"/>
        </w:rPr>
      </w:pPr>
      <w:r>
        <w:rPr>
          <w:rStyle w:val="Nadpis1Char"/>
          <w:b w:val="0"/>
          <w:bCs w:val="0"/>
        </w:rPr>
        <w:br w:type="page"/>
      </w:r>
    </w:p>
    <w:p w:rsidR="00F81217" w:rsidRDefault="00F81217" w:rsidP="00F81217">
      <w:pPr>
        <w:pStyle w:val="Nadpis1"/>
        <w:rPr>
          <w:rStyle w:val="Nadpis1Char"/>
          <w:b/>
          <w:bCs/>
        </w:rPr>
      </w:pPr>
      <w:bookmarkStart w:id="34" w:name="_Toc398901338"/>
      <w:bookmarkStart w:id="35" w:name="_Toc399171088"/>
      <w:r w:rsidRPr="00F81217">
        <w:rPr>
          <w:rStyle w:val="Nadpis1Char"/>
          <w:b/>
          <w:bCs/>
        </w:rPr>
        <w:lastRenderedPageBreak/>
        <w:t>Příloha č. 1</w:t>
      </w:r>
      <w:r>
        <w:rPr>
          <w:rStyle w:val="Nadpis1Char"/>
          <w:b/>
          <w:bCs/>
        </w:rPr>
        <w:t xml:space="preserve"> – Znění článků 258 </w:t>
      </w:r>
      <w:r>
        <w:rPr>
          <w:rStyle w:val="Nadpis1Char"/>
          <w:b/>
          <w:bCs/>
        </w:rPr>
        <w:noBreakHyphen/>
        <w:t xml:space="preserve"> 260 SFEU</w:t>
      </w:r>
      <w:bookmarkEnd w:id="34"/>
      <w:bookmarkEnd w:id="35"/>
    </w:p>
    <w:p w:rsidR="00F81217" w:rsidRDefault="00F81217" w:rsidP="00F81217">
      <w:pPr>
        <w:rPr>
          <w:b/>
          <w:bCs/>
        </w:rPr>
      </w:pPr>
    </w:p>
    <w:p w:rsidR="00F81217" w:rsidRPr="00F81217" w:rsidRDefault="00F81217" w:rsidP="00F81217">
      <w:pPr>
        <w:rPr>
          <w:b/>
          <w:bCs/>
        </w:rPr>
      </w:pPr>
      <w:r w:rsidRPr="00F81217">
        <w:rPr>
          <w:b/>
          <w:bCs/>
        </w:rPr>
        <w:t>Článek 258</w:t>
      </w:r>
    </w:p>
    <w:p w:rsidR="00F81217" w:rsidRPr="00F81217" w:rsidRDefault="00F81217" w:rsidP="00F81217">
      <w:r w:rsidRPr="00F81217">
        <w:rPr>
          <w:i/>
          <w:iCs/>
        </w:rPr>
        <w:t>(bývalý článek 226 Smlouvy o ES)</w:t>
      </w:r>
    </w:p>
    <w:p w:rsidR="00F81217" w:rsidRDefault="00F81217" w:rsidP="00F81217"/>
    <w:p w:rsidR="00F81217" w:rsidRPr="00F81217" w:rsidRDefault="00F81217" w:rsidP="00F81217">
      <w:r>
        <w:t>„</w:t>
      </w:r>
      <w:r w:rsidRPr="00F81217">
        <w:t>Má-li Komise za to, že členský stát nesplnil povinnost, která pro něj ze Smluv vyplývá, vydá o tom odůvodněné stanovisko poté, co umožní tomuto státu podat vyjádření.</w:t>
      </w:r>
    </w:p>
    <w:p w:rsidR="00F81217" w:rsidRPr="00F81217" w:rsidRDefault="00F81217" w:rsidP="00F81217">
      <w:r w:rsidRPr="00F81217">
        <w:t>Nevyhoví-li tento stát stanovisku ve lhůtě stanovené Komisí, může Komise předložit věc Soudnímu dvoru Evropské unie.</w:t>
      </w:r>
      <w:r>
        <w:t>“</w:t>
      </w:r>
    </w:p>
    <w:p w:rsidR="00F81217" w:rsidRDefault="00F81217" w:rsidP="00F81217">
      <w:pPr>
        <w:rPr>
          <w:b/>
          <w:bCs/>
        </w:rPr>
      </w:pPr>
    </w:p>
    <w:p w:rsidR="00F81217" w:rsidRPr="00F81217" w:rsidRDefault="00F81217" w:rsidP="00F81217">
      <w:pPr>
        <w:rPr>
          <w:b/>
          <w:bCs/>
        </w:rPr>
      </w:pPr>
      <w:r w:rsidRPr="00F81217">
        <w:rPr>
          <w:b/>
          <w:bCs/>
        </w:rPr>
        <w:t>Článek 259</w:t>
      </w:r>
    </w:p>
    <w:p w:rsidR="00F81217" w:rsidRPr="00F81217" w:rsidRDefault="00F81217" w:rsidP="00F81217">
      <w:r w:rsidRPr="00F81217">
        <w:rPr>
          <w:i/>
          <w:iCs/>
        </w:rPr>
        <w:t>(bývalý článek 227 Smlouvy o ES)</w:t>
      </w:r>
    </w:p>
    <w:p w:rsidR="00F81217" w:rsidRDefault="00F81217" w:rsidP="00F81217"/>
    <w:p w:rsidR="00F81217" w:rsidRPr="00F81217" w:rsidRDefault="00F81217" w:rsidP="00F81217">
      <w:r>
        <w:t>„</w:t>
      </w:r>
      <w:r w:rsidRPr="00F81217">
        <w:t>Má-li členský stát za to, že jiný členský stát nesplnil povinnost, která pro něj vyplývá ze Smluv, může věc předložit Soudnímu dvoru Evropské unie.</w:t>
      </w:r>
    </w:p>
    <w:p w:rsidR="00F81217" w:rsidRPr="00F81217" w:rsidRDefault="00F81217" w:rsidP="00F81217">
      <w:r w:rsidRPr="00F81217">
        <w:t>Dříve než členský stát podá proti jinému členskému státu žalobu pro údajné nesplnění povinnosti, která pro něj vyplývá ze Smluv, předloží věc Komisi.</w:t>
      </w:r>
    </w:p>
    <w:p w:rsidR="00F81217" w:rsidRPr="00F81217" w:rsidRDefault="00F81217" w:rsidP="00F81217">
      <w:r w:rsidRPr="00F81217">
        <w:t>Komise vydá odůvodněné stanovisko poté, co umožní zúčastněným státům, aby si</w:t>
      </w:r>
      <w:r>
        <w:t> </w:t>
      </w:r>
      <w:r w:rsidRPr="00F81217">
        <w:t>navzájem předložily písemná i ústní vyjádření.</w:t>
      </w:r>
    </w:p>
    <w:p w:rsidR="00F81217" w:rsidRPr="00F81217" w:rsidRDefault="00F81217" w:rsidP="00F81217">
      <w:r w:rsidRPr="00F81217">
        <w:t>Nevydá-li Komise takové stanovisko ve lhůtě tří měsíců ode dne, kdy jí věc byla předložena, může být věc předložena Soudnímu dvoru Evropské unie i bez stanoviska Komise.</w:t>
      </w:r>
      <w:r>
        <w:t>“</w:t>
      </w:r>
    </w:p>
    <w:p w:rsidR="00F81217" w:rsidRDefault="00F81217" w:rsidP="00F81217">
      <w:pPr>
        <w:rPr>
          <w:b/>
          <w:bCs/>
        </w:rPr>
      </w:pPr>
    </w:p>
    <w:p w:rsidR="00F81217" w:rsidRPr="00F81217" w:rsidRDefault="00F81217" w:rsidP="00F81217">
      <w:pPr>
        <w:rPr>
          <w:b/>
          <w:bCs/>
        </w:rPr>
      </w:pPr>
      <w:r w:rsidRPr="00F81217">
        <w:rPr>
          <w:b/>
          <w:bCs/>
        </w:rPr>
        <w:t>Článek 260</w:t>
      </w:r>
    </w:p>
    <w:p w:rsidR="00F81217" w:rsidRPr="00F81217" w:rsidRDefault="00F81217" w:rsidP="00F81217">
      <w:r w:rsidRPr="00F81217">
        <w:rPr>
          <w:i/>
          <w:iCs/>
        </w:rPr>
        <w:t>(bývalý článek 228 Smlouvy o ES)</w:t>
      </w:r>
    </w:p>
    <w:p w:rsidR="00F81217" w:rsidRDefault="00F81217" w:rsidP="00F81217"/>
    <w:p w:rsidR="00F81217" w:rsidRPr="00F81217" w:rsidRDefault="00F81217" w:rsidP="00F81217">
      <w:r>
        <w:t>„</w:t>
      </w:r>
      <w:r w:rsidRPr="00F81217">
        <w:t>1. Shledá-li Soudní dvůr Evropské unie, že členský stát nesplnil povinnost, která pro něj vyplývá ze Smluv, je tento stát povinen přijmout opatření, která vyplývají z</w:t>
      </w:r>
      <w:r>
        <w:t> </w:t>
      </w:r>
      <w:r w:rsidRPr="00F81217">
        <w:t>rozsudku Soudního dvora Evropské unie.</w:t>
      </w:r>
    </w:p>
    <w:p w:rsidR="00F81217" w:rsidRDefault="00F81217" w:rsidP="00F81217"/>
    <w:p w:rsidR="00F81217" w:rsidRPr="00F81217" w:rsidRDefault="00F81217" w:rsidP="00F81217">
      <w:r w:rsidRPr="00F81217">
        <w:t>2. Má-li Komise za to, že dotyčný členský stát nepřijal opatření, která vyplývají z</w:t>
      </w:r>
      <w:r>
        <w:t> </w:t>
      </w:r>
      <w:r w:rsidRPr="00F81217">
        <w:t xml:space="preserve">rozsudku Soudního dvora Evropské unie, může předložit věc Soudnímu dvoru </w:t>
      </w:r>
      <w:r w:rsidRPr="00F81217">
        <w:lastRenderedPageBreak/>
        <w:t>Evropské unie poté, co poskytla tomuto státu příležitost se vyjádřit. Navrhne paušální částku nebo penále, jež je dotyčný členský stát povinen zaplatit, ve výši, kterou považuje za přiměřenou okolnostem.</w:t>
      </w:r>
    </w:p>
    <w:p w:rsidR="00F81217" w:rsidRPr="00F81217" w:rsidRDefault="00F81217" w:rsidP="00F81217">
      <w:r w:rsidRPr="00F81217">
        <w:t>Shledá-li Soudní dvůr Evropské unie, že dotyčný členský stát nevyhověl jeho rozsudku, může mu uložit zaplacení paušální částky nebo penále.</w:t>
      </w:r>
    </w:p>
    <w:p w:rsidR="00F81217" w:rsidRPr="00F81217" w:rsidRDefault="00F81217" w:rsidP="00F81217">
      <w:r w:rsidRPr="00F81217">
        <w:t>Článek 259 není tímto postupem dotčen.</w:t>
      </w:r>
    </w:p>
    <w:p w:rsidR="00F81217" w:rsidRDefault="00F81217" w:rsidP="00F81217"/>
    <w:p w:rsidR="00F81217" w:rsidRPr="00F81217" w:rsidRDefault="00F81217" w:rsidP="00F81217">
      <w:r w:rsidRPr="00F81217">
        <w:t>3. Předloží-li Komise Soudnímu dvoru Evropské unie věc podle článku 258 z důvodu, že dotyčný stát nesplnil povinnost sdělit opatření provádějící směrnici přijatou legislativním postupem, může, pokládá-li to za vhodné, navrhnout paušální částku nebo penále, již je dotyčný členský stát povinen zaplatit, ve výši, kterou považuje za</w:t>
      </w:r>
      <w:r>
        <w:t> </w:t>
      </w:r>
      <w:r w:rsidRPr="00F81217">
        <w:t>přiměřenou okolnostem.</w:t>
      </w:r>
    </w:p>
    <w:p w:rsidR="00F81217" w:rsidRPr="00F81217" w:rsidRDefault="00F81217" w:rsidP="00F81217">
      <w:r w:rsidRPr="00F81217">
        <w:t>Shledá-li Soudní dvůr Evropské unie, že došlo k porušení povinnosti, může členskému státu uložit zaplacení paušální částky nebo penále, které nepřekročí výši navrženou Komisí. Platební povinnost nabude účinku ke dni stanovenému Soudním dvorem Evropské unie v jeho rozsudku.</w:t>
      </w:r>
      <w:r>
        <w:t>“</w:t>
      </w:r>
    </w:p>
    <w:p w:rsidR="00F81217" w:rsidRPr="00F81217" w:rsidRDefault="00F81217" w:rsidP="00F81217"/>
    <w:p w:rsidR="00F81217" w:rsidRPr="00F81217" w:rsidRDefault="00F81217" w:rsidP="00F81217"/>
    <w:p w:rsidR="00F81217" w:rsidRDefault="00F81217">
      <w:pPr>
        <w:spacing w:after="200" w:line="276" w:lineRule="auto"/>
        <w:jc w:val="left"/>
        <w:rPr>
          <w:rStyle w:val="Nadpis1Char"/>
        </w:rPr>
      </w:pPr>
      <w:r>
        <w:rPr>
          <w:rStyle w:val="Nadpis1Char"/>
        </w:rPr>
        <w:br w:type="page"/>
      </w:r>
    </w:p>
    <w:p w:rsidR="00F81217" w:rsidRDefault="00E022CB" w:rsidP="00E022CB">
      <w:bookmarkStart w:id="36" w:name="_Toc398901339"/>
      <w:bookmarkStart w:id="37" w:name="_Toc399171089"/>
      <w:r w:rsidRPr="00F81217">
        <w:rPr>
          <w:rStyle w:val="Nadpis1Char"/>
        </w:rPr>
        <w:lastRenderedPageBreak/>
        <w:t>Příloha č.</w:t>
      </w:r>
      <w:r w:rsidR="00F81217" w:rsidRPr="00F81217">
        <w:rPr>
          <w:rStyle w:val="Nadpis1Char"/>
        </w:rPr>
        <w:t xml:space="preserve"> 2</w:t>
      </w:r>
      <w:bookmarkEnd w:id="36"/>
      <w:bookmarkEnd w:id="37"/>
      <w:r w:rsidRPr="00E022CB">
        <w:t xml:space="preserve"> </w:t>
      </w:r>
    </w:p>
    <w:p w:rsidR="00E022CB" w:rsidRPr="00E022CB" w:rsidRDefault="00E022CB" w:rsidP="00E022CB">
      <w:r w:rsidRPr="00E022CB">
        <w:t>Zvláštní faktor „n“ a minimální paušální částka pro 28</w:t>
      </w:r>
      <w:r w:rsidR="004B48D2">
        <w:t> </w:t>
      </w:r>
      <w:r w:rsidRPr="00E022CB">
        <w:t>členských států EU jsou stanoveny takto:</w:t>
      </w:r>
    </w:p>
    <w:p w:rsidR="00E022CB" w:rsidRPr="00E022CB" w:rsidRDefault="00E022CB" w:rsidP="00E022CB"/>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96"/>
        <w:gridCol w:w="1424"/>
        <w:gridCol w:w="2687"/>
      </w:tblGrid>
      <w:tr w:rsidR="008B13AA" w:rsidTr="003811B2">
        <w:trPr>
          <w:trHeight w:val="705"/>
        </w:trPr>
        <w:tc>
          <w:tcPr>
            <w:tcW w:w="2096" w:type="dxa"/>
          </w:tcPr>
          <w:p w:rsidR="008B13AA" w:rsidRDefault="008B13AA" w:rsidP="00FB5008">
            <w:pPr>
              <w:ind w:left="1527" w:firstLine="708"/>
              <w:jc w:val="left"/>
            </w:pPr>
          </w:p>
          <w:p w:rsidR="00FB5008" w:rsidRDefault="00FB5008" w:rsidP="00FB5008">
            <w:pPr>
              <w:ind w:left="111"/>
              <w:jc w:val="left"/>
            </w:pPr>
          </w:p>
          <w:p w:rsidR="008B13AA" w:rsidRDefault="008B13AA" w:rsidP="00FB5008">
            <w:pPr>
              <w:ind w:left="111"/>
              <w:jc w:val="left"/>
            </w:pPr>
            <w:r w:rsidRPr="008B13AA">
              <w:rPr>
                <w:sz w:val="22"/>
              </w:rPr>
              <w:t>Belgie</w:t>
            </w:r>
          </w:p>
          <w:p w:rsidR="008B13AA" w:rsidRDefault="008B13AA" w:rsidP="00FB5008">
            <w:pPr>
              <w:ind w:left="111"/>
              <w:jc w:val="left"/>
            </w:pPr>
            <w:r w:rsidRPr="008B13AA">
              <w:rPr>
                <w:sz w:val="22"/>
              </w:rPr>
              <w:t>Bulharsko</w:t>
            </w:r>
          </w:p>
          <w:p w:rsidR="008B13AA" w:rsidRDefault="008B13AA" w:rsidP="00FB5008">
            <w:pPr>
              <w:ind w:left="111"/>
              <w:jc w:val="left"/>
            </w:pPr>
            <w:r w:rsidRPr="008B13AA">
              <w:rPr>
                <w:sz w:val="22"/>
              </w:rPr>
              <w:t>Česká republika</w:t>
            </w:r>
          </w:p>
          <w:p w:rsidR="008B13AA" w:rsidRDefault="008B13AA" w:rsidP="00FB5008">
            <w:pPr>
              <w:ind w:left="111"/>
              <w:jc w:val="left"/>
            </w:pPr>
            <w:r w:rsidRPr="008B13AA">
              <w:rPr>
                <w:sz w:val="22"/>
              </w:rPr>
              <w:t>Dánsko</w:t>
            </w:r>
          </w:p>
          <w:p w:rsidR="008B13AA" w:rsidRDefault="008B13AA" w:rsidP="00FB5008">
            <w:pPr>
              <w:ind w:left="111"/>
              <w:jc w:val="left"/>
            </w:pPr>
            <w:r w:rsidRPr="008B13AA">
              <w:rPr>
                <w:sz w:val="22"/>
              </w:rPr>
              <w:t>Německo</w:t>
            </w:r>
          </w:p>
          <w:p w:rsidR="008B13AA" w:rsidRDefault="008B13AA" w:rsidP="00FB5008">
            <w:pPr>
              <w:ind w:left="111"/>
              <w:jc w:val="left"/>
            </w:pPr>
            <w:r w:rsidRPr="008B13AA">
              <w:rPr>
                <w:sz w:val="22"/>
              </w:rPr>
              <w:t>Estonsko</w:t>
            </w:r>
          </w:p>
          <w:p w:rsidR="008B13AA" w:rsidRDefault="008B13AA" w:rsidP="00FB5008">
            <w:pPr>
              <w:ind w:left="111"/>
              <w:jc w:val="left"/>
            </w:pPr>
            <w:r w:rsidRPr="008B13AA">
              <w:rPr>
                <w:sz w:val="22"/>
              </w:rPr>
              <w:t>Irsko</w:t>
            </w:r>
          </w:p>
          <w:p w:rsidR="008B13AA" w:rsidRDefault="008B13AA" w:rsidP="00FB5008">
            <w:pPr>
              <w:ind w:left="111"/>
              <w:jc w:val="left"/>
            </w:pPr>
            <w:r w:rsidRPr="008B13AA">
              <w:rPr>
                <w:sz w:val="22"/>
              </w:rPr>
              <w:t>Řecko</w:t>
            </w:r>
          </w:p>
          <w:p w:rsidR="008B13AA" w:rsidRDefault="008B13AA" w:rsidP="00FB5008">
            <w:pPr>
              <w:ind w:left="111"/>
              <w:jc w:val="left"/>
            </w:pPr>
            <w:r w:rsidRPr="008B13AA">
              <w:rPr>
                <w:sz w:val="22"/>
              </w:rPr>
              <w:t>Španělsko</w:t>
            </w:r>
          </w:p>
          <w:p w:rsidR="008B13AA" w:rsidRDefault="008B13AA" w:rsidP="00FB5008">
            <w:pPr>
              <w:ind w:left="111"/>
              <w:jc w:val="left"/>
            </w:pPr>
            <w:r w:rsidRPr="008B13AA">
              <w:rPr>
                <w:sz w:val="22"/>
              </w:rPr>
              <w:t>Francie</w:t>
            </w:r>
          </w:p>
          <w:p w:rsidR="008B13AA" w:rsidRDefault="008B13AA" w:rsidP="00FB5008">
            <w:pPr>
              <w:ind w:left="111"/>
              <w:jc w:val="left"/>
            </w:pPr>
            <w:r w:rsidRPr="008B13AA">
              <w:rPr>
                <w:sz w:val="22"/>
              </w:rPr>
              <w:t>Chorvatsko</w:t>
            </w:r>
          </w:p>
          <w:p w:rsidR="008B13AA" w:rsidRDefault="008B13AA" w:rsidP="00FB5008">
            <w:pPr>
              <w:ind w:left="111"/>
              <w:jc w:val="left"/>
            </w:pPr>
            <w:r w:rsidRPr="008B13AA">
              <w:rPr>
                <w:sz w:val="22"/>
              </w:rPr>
              <w:t>Itálie</w:t>
            </w:r>
          </w:p>
          <w:p w:rsidR="008B13AA" w:rsidRDefault="008B13AA" w:rsidP="00FB5008">
            <w:pPr>
              <w:ind w:left="111"/>
              <w:jc w:val="left"/>
            </w:pPr>
            <w:r w:rsidRPr="008B13AA">
              <w:rPr>
                <w:sz w:val="22"/>
              </w:rPr>
              <w:t>Kypr</w:t>
            </w:r>
          </w:p>
          <w:p w:rsidR="008B13AA" w:rsidRDefault="008B13AA" w:rsidP="00FB5008">
            <w:pPr>
              <w:ind w:left="111"/>
              <w:jc w:val="left"/>
            </w:pPr>
            <w:r w:rsidRPr="008B13AA">
              <w:rPr>
                <w:sz w:val="22"/>
              </w:rPr>
              <w:t>Lotyšsko</w:t>
            </w:r>
          </w:p>
          <w:p w:rsidR="008B13AA" w:rsidRDefault="008B13AA" w:rsidP="00FB5008">
            <w:pPr>
              <w:ind w:left="111"/>
              <w:jc w:val="left"/>
            </w:pPr>
            <w:r w:rsidRPr="008B13AA">
              <w:rPr>
                <w:sz w:val="22"/>
              </w:rPr>
              <w:t>Litva</w:t>
            </w:r>
          </w:p>
          <w:p w:rsidR="008B13AA" w:rsidRDefault="008B13AA" w:rsidP="00FB5008">
            <w:pPr>
              <w:ind w:left="111"/>
              <w:jc w:val="left"/>
            </w:pPr>
            <w:r w:rsidRPr="008B13AA">
              <w:rPr>
                <w:sz w:val="22"/>
              </w:rPr>
              <w:t>Lucembursko</w:t>
            </w:r>
          </w:p>
          <w:p w:rsidR="008B13AA" w:rsidRDefault="008B13AA" w:rsidP="00FB5008">
            <w:pPr>
              <w:ind w:left="111"/>
              <w:jc w:val="left"/>
            </w:pPr>
            <w:r w:rsidRPr="008B13AA">
              <w:rPr>
                <w:sz w:val="22"/>
              </w:rPr>
              <w:t>Maďarsko</w:t>
            </w:r>
          </w:p>
          <w:p w:rsidR="008B13AA" w:rsidRDefault="008B13AA" w:rsidP="00FB5008">
            <w:pPr>
              <w:ind w:left="111"/>
              <w:jc w:val="left"/>
            </w:pPr>
            <w:r w:rsidRPr="008B13AA">
              <w:rPr>
                <w:sz w:val="22"/>
              </w:rPr>
              <w:t>Malta</w:t>
            </w:r>
          </w:p>
          <w:p w:rsidR="008B13AA" w:rsidRDefault="008B13AA" w:rsidP="00FB5008">
            <w:pPr>
              <w:ind w:left="111"/>
              <w:jc w:val="left"/>
            </w:pPr>
            <w:r w:rsidRPr="008B13AA">
              <w:rPr>
                <w:sz w:val="22"/>
              </w:rPr>
              <w:t>Nizozemsko</w:t>
            </w:r>
          </w:p>
          <w:p w:rsidR="008B13AA" w:rsidRDefault="008B13AA" w:rsidP="00FB5008">
            <w:pPr>
              <w:ind w:left="111"/>
              <w:jc w:val="left"/>
            </w:pPr>
            <w:r w:rsidRPr="008B13AA">
              <w:rPr>
                <w:sz w:val="22"/>
              </w:rPr>
              <w:t>Rakousko</w:t>
            </w:r>
          </w:p>
          <w:p w:rsidR="008B13AA" w:rsidRDefault="008B13AA" w:rsidP="00FB5008">
            <w:pPr>
              <w:ind w:left="111"/>
              <w:jc w:val="left"/>
            </w:pPr>
            <w:r w:rsidRPr="008B13AA">
              <w:rPr>
                <w:sz w:val="22"/>
              </w:rPr>
              <w:t>Polsko</w:t>
            </w:r>
          </w:p>
          <w:p w:rsidR="008B13AA" w:rsidRDefault="008B13AA" w:rsidP="00FB5008">
            <w:pPr>
              <w:ind w:left="111"/>
              <w:jc w:val="left"/>
            </w:pPr>
            <w:r w:rsidRPr="008B13AA">
              <w:rPr>
                <w:sz w:val="22"/>
              </w:rPr>
              <w:t>Portugalsko</w:t>
            </w:r>
          </w:p>
          <w:p w:rsidR="008B13AA" w:rsidRDefault="008B13AA" w:rsidP="00FB5008">
            <w:pPr>
              <w:ind w:left="111"/>
              <w:jc w:val="left"/>
            </w:pPr>
            <w:r w:rsidRPr="008B13AA">
              <w:rPr>
                <w:sz w:val="22"/>
              </w:rPr>
              <w:t>Rumunsko</w:t>
            </w:r>
          </w:p>
          <w:p w:rsidR="008B13AA" w:rsidRDefault="008B13AA" w:rsidP="00FB5008">
            <w:pPr>
              <w:ind w:left="111"/>
              <w:jc w:val="left"/>
            </w:pPr>
            <w:r w:rsidRPr="008B13AA">
              <w:rPr>
                <w:sz w:val="22"/>
              </w:rPr>
              <w:t>Slovinsko</w:t>
            </w:r>
          </w:p>
          <w:p w:rsidR="008B13AA" w:rsidRDefault="008B13AA" w:rsidP="00FB5008">
            <w:pPr>
              <w:ind w:left="111"/>
              <w:jc w:val="left"/>
            </w:pPr>
            <w:r w:rsidRPr="008B13AA">
              <w:rPr>
                <w:sz w:val="22"/>
              </w:rPr>
              <w:t>Slovensko</w:t>
            </w:r>
          </w:p>
          <w:p w:rsidR="008B13AA" w:rsidRDefault="008B13AA" w:rsidP="00FB5008">
            <w:pPr>
              <w:ind w:left="111"/>
              <w:jc w:val="left"/>
            </w:pPr>
            <w:r w:rsidRPr="008B13AA">
              <w:rPr>
                <w:sz w:val="22"/>
              </w:rPr>
              <w:t>Finsko</w:t>
            </w:r>
          </w:p>
          <w:p w:rsidR="008B13AA" w:rsidRDefault="008B13AA" w:rsidP="00FB5008">
            <w:pPr>
              <w:ind w:left="111"/>
              <w:jc w:val="left"/>
            </w:pPr>
            <w:r w:rsidRPr="008B13AA">
              <w:rPr>
                <w:sz w:val="22"/>
              </w:rPr>
              <w:t>Švédsko</w:t>
            </w:r>
          </w:p>
          <w:p w:rsidR="008B13AA" w:rsidRDefault="008B13AA" w:rsidP="00FB5008">
            <w:pPr>
              <w:ind w:left="111"/>
              <w:jc w:val="left"/>
            </w:pPr>
            <w:r w:rsidRPr="008B13AA">
              <w:rPr>
                <w:sz w:val="22"/>
              </w:rPr>
              <w:t xml:space="preserve">Spojené </w:t>
            </w:r>
            <w:r w:rsidR="00FB5008">
              <w:rPr>
                <w:sz w:val="22"/>
              </w:rPr>
              <w:t>k</w:t>
            </w:r>
            <w:r w:rsidRPr="008B13AA">
              <w:rPr>
                <w:sz w:val="22"/>
              </w:rPr>
              <w:t>rálovství</w:t>
            </w:r>
          </w:p>
        </w:tc>
        <w:tc>
          <w:tcPr>
            <w:tcW w:w="1424" w:type="dxa"/>
          </w:tcPr>
          <w:p w:rsidR="008B13AA" w:rsidRPr="003811B2" w:rsidRDefault="008B13AA" w:rsidP="00FB5008">
            <w:pPr>
              <w:jc w:val="center"/>
              <w:rPr>
                <w:b/>
              </w:rPr>
            </w:pPr>
            <w:r w:rsidRPr="003811B2">
              <w:rPr>
                <w:b/>
                <w:sz w:val="22"/>
              </w:rPr>
              <w:t>Zvláštní faktor „n“</w:t>
            </w:r>
          </w:p>
          <w:p w:rsidR="008B13AA" w:rsidRDefault="008B13AA" w:rsidP="00FB5008">
            <w:pPr>
              <w:jc w:val="center"/>
            </w:pPr>
            <w:r w:rsidRPr="008B13AA">
              <w:rPr>
                <w:sz w:val="22"/>
              </w:rPr>
              <w:t>5,15</w:t>
            </w:r>
          </w:p>
          <w:p w:rsidR="008B13AA" w:rsidRDefault="008B13AA" w:rsidP="00FB5008">
            <w:pPr>
              <w:jc w:val="center"/>
            </w:pPr>
            <w:r w:rsidRPr="008B13AA">
              <w:rPr>
                <w:sz w:val="22"/>
              </w:rPr>
              <w:t>1,52</w:t>
            </w:r>
          </w:p>
          <w:p w:rsidR="008B13AA" w:rsidRDefault="008B13AA" w:rsidP="00FB5008">
            <w:pPr>
              <w:jc w:val="center"/>
            </w:pPr>
            <w:r w:rsidRPr="008B13AA">
              <w:rPr>
                <w:sz w:val="22"/>
              </w:rPr>
              <w:t>3,34</w:t>
            </w:r>
          </w:p>
          <w:p w:rsidR="008B13AA" w:rsidRDefault="008B13AA" w:rsidP="00FB5008">
            <w:pPr>
              <w:jc w:val="center"/>
            </w:pPr>
            <w:r w:rsidRPr="008B13AA">
              <w:rPr>
                <w:sz w:val="22"/>
              </w:rPr>
              <w:t>3,18</w:t>
            </w:r>
          </w:p>
          <w:p w:rsidR="008B13AA" w:rsidRDefault="008B13AA" w:rsidP="00FB5008">
            <w:pPr>
              <w:jc w:val="center"/>
            </w:pPr>
            <w:r w:rsidRPr="008B13AA">
              <w:rPr>
                <w:sz w:val="22"/>
              </w:rPr>
              <w:t>21,29</w:t>
            </w:r>
          </w:p>
          <w:p w:rsidR="008B13AA" w:rsidRDefault="008B13AA" w:rsidP="00FB5008">
            <w:pPr>
              <w:jc w:val="center"/>
            </w:pPr>
            <w:r w:rsidRPr="008B13AA">
              <w:rPr>
                <w:sz w:val="22"/>
              </w:rPr>
              <w:t>0,62</w:t>
            </w:r>
          </w:p>
          <w:p w:rsidR="00FB5008" w:rsidRDefault="008B13AA" w:rsidP="00FB5008">
            <w:pPr>
              <w:jc w:val="center"/>
            </w:pPr>
            <w:r w:rsidRPr="008B13AA">
              <w:rPr>
                <w:sz w:val="22"/>
              </w:rPr>
              <w:t>2,61</w:t>
            </w:r>
          </w:p>
          <w:p w:rsidR="008B13AA" w:rsidRDefault="008B13AA" w:rsidP="00FB5008">
            <w:pPr>
              <w:jc w:val="center"/>
            </w:pPr>
            <w:r w:rsidRPr="008B13AA">
              <w:rPr>
                <w:sz w:val="22"/>
              </w:rPr>
              <w:t>3,87</w:t>
            </w:r>
          </w:p>
          <w:p w:rsidR="008B13AA" w:rsidRDefault="008B13AA" w:rsidP="00FB5008">
            <w:pPr>
              <w:jc w:val="center"/>
            </w:pPr>
            <w:r w:rsidRPr="008B13AA">
              <w:rPr>
                <w:sz w:val="22"/>
              </w:rPr>
              <w:t>13,01</w:t>
            </w:r>
          </w:p>
          <w:p w:rsidR="008B13AA" w:rsidRDefault="008B13AA" w:rsidP="00FB5008">
            <w:pPr>
              <w:jc w:val="center"/>
            </w:pPr>
            <w:r w:rsidRPr="008B13AA">
              <w:rPr>
                <w:sz w:val="22"/>
              </w:rPr>
              <w:t>18,65</w:t>
            </w:r>
          </w:p>
          <w:p w:rsidR="008B13AA" w:rsidRDefault="008B13AA" w:rsidP="00FB5008">
            <w:pPr>
              <w:jc w:val="center"/>
            </w:pPr>
            <w:r w:rsidRPr="008B13AA">
              <w:rPr>
                <w:sz w:val="22"/>
              </w:rPr>
              <w:t>1,36</w:t>
            </w:r>
          </w:p>
          <w:p w:rsidR="008B13AA" w:rsidRDefault="008B13AA" w:rsidP="00FB5008">
            <w:pPr>
              <w:jc w:val="center"/>
            </w:pPr>
            <w:r w:rsidRPr="008B13AA">
              <w:rPr>
                <w:sz w:val="22"/>
              </w:rPr>
              <w:t>16,57</w:t>
            </w:r>
          </w:p>
          <w:p w:rsidR="008B13AA" w:rsidRDefault="008B13AA" w:rsidP="00FB5008">
            <w:pPr>
              <w:jc w:val="center"/>
            </w:pPr>
            <w:r w:rsidRPr="008B13AA">
              <w:rPr>
                <w:sz w:val="22"/>
              </w:rPr>
              <w:t>0,65</w:t>
            </w:r>
          </w:p>
          <w:p w:rsidR="008B13AA" w:rsidRDefault="008B13AA" w:rsidP="00FB5008">
            <w:pPr>
              <w:jc w:val="center"/>
            </w:pPr>
            <w:r w:rsidRPr="008B13AA">
              <w:rPr>
                <w:sz w:val="22"/>
              </w:rPr>
              <w:t>0,70</w:t>
            </w:r>
          </w:p>
          <w:p w:rsidR="008B13AA" w:rsidRDefault="008B13AA" w:rsidP="00FB5008">
            <w:pPr>
              <w:jc w:val="center"/>
            </w:pPr>
            <w:r w:rsidRPr="008B13AA">
              <w:rPr>
                <w:sz w:val="22"/>
              </w:rPr>
              <w:t>1,14</w:t>
            </w:r>
          </w:p>
          <w:p w:rsidR="008B13AA" w:rsidRDefault="008B13AA" w:rsidP="00FB5008">
            <w:pPr>
              <w:jc w:val="center"/>
            </w:pPr>
            <w:r w:rsidRPr="008B13AA">
              <w:rPr>
                <w:sz w:val="22"/>
              </w:rPr>
              <w:t>1,00</w:t>
            </w:r>
          </w:p>
          <w:p w:rsidR="008B13AA" w:rsidRDefault="008B13AA" w:rsidP="00FB5008">
            <w:pPr>
              <w:jc w:val="center"/>
            </w:pPr>
            <w:r w:rsidRPr="008B13AA">
              <w:rPr>
                <w:sz w:val="22"/>
              </w:rPr>
              <w:t>2,67</w:t>
            </w:r>
          </w:p>
          <w:p w:rsidR="008B13AA" w:rsidRDefault="008B13AA" w:rsidP="00FB5008">
            <w:pPr>
              <w:jc w:val="center"/>
            </w:pPr>
            <w:r w:rsidRPr="008B13AA">
              <w:rPr>
                <w:sz w:val="22"/>
              </w:rPr>
              <w:t>0,35</w:t>
            </w:r>
          </w:p>
          <w:p w:rsidR="008B13AA" w:rsidRDefault="008B13AA" w:rsidP="00FB5008">
            <w:pPr>
              <w:jc w:val="center"/>
            </w:pPr>
            <w:r w:rsidRPr="008B13AA">
              <w:rPr>
                <w:sz w:val="22"/>
              </w:rPr>
              <w:t>6,83</w:t>
            </w:r>
          </w:p>
          <w:p w:rsidR="008B13AA" w:rsidRDefault="008B13AA" w:rsidP="00FB5008">
            <w:pPr>
              <w:jc w:val="center"/>
            </w:pPr>
            <w:r w:rsidRPr="008B13AA">
              <w:rPr>
                <w:sz w:val="22"/>
              </w:rPr>
              <w:t>4,23</w:t>
            </w:r>
          </w:p>
          <w:p w:rsidR="008B13AA" w:rsidRDefault="008B13AA" w:rsidP="00FB5008">
            <w:pPr>
              <w:jc w:val="center"/>
            </w:pPr>
            <w:r w:rsidRPr="008B13AA">
              <w:rPr>
                <w:sz w:val="22"/>
              </w:rPr>
              <w:t>7,75</w:t>
            </w:r>
          </w:p>
          <w:p w:rsidR="008B13AA" w:rsidRDefault="008B13AA" w:rsidP="00FB5008">
            <w:pPr>
              <w:jc w:val="center"/>
            </w:pPr>
            <w:r w:rsidRPr="008B13AA">
              <w:rPr>
                <w:sz w:val="22"/>
              </w:rPr>
              <w:t>3,51</w:t>
            </w:r>
          </w:p>
          <w:p w:rsidR="008B13AA" w:rsidRDefault="008B13AA" w:rsidP="00FB5008">
            <w:pPr>
              <w:jc w:val="center"/>
            </w:pPr>
            <w:r w:rsidRPr="008B13AA">
              <w:rPr>
                <w:sz w:val="22"/>
              </w:rPr>
              <w:t>3,32</w:t>
            </w:r>
          </w:p>
          <w:p w:rsidR="008B13AA" w:rsidRDefault="008B13AA" w:rsidP="00FB5008">
            <w:pPr>
              <w:jc w:val="center"/>
            </w:pPr>
            <w:r w:rsidRPr="008B13AA">
              <w:rPr>
                <w:sz w:val="22"/>
              </w:rPr>
              <w:t>0,93</w:t>
            </w:r>
          </w:p>
          <w:p w:rsidR="008B13AA" w:rsidRDefault="008B13AA" w:rsidP="00FB5008">
            <w:pPr>
              <w:jc w:val="center"/>
            </w:pPr>
            <w:r w:rsidRPr="008B13AA">
              <w:rPr>
                <w:sz w:val="22"/>
              </w:rPr>
              <w:t>1,70</w:t>
            </w:r>
          </w:p>
          <w:p w:rsidR="008B13AA" w:rsidRDefault="008B13AA" w:rsidP="00FB5008">
            <w:pPr>
              <w:jc w:val="center"/>
            </w:pPr>
            <w:r w:rsidRPr="008B13AA">
              <w:rPr>
                <w:sz w:val="22"/>
              </w:rPr>
              <w:t>2,81</w:t>
            </w:r>
          </w:p>
          <w:p w:rsidR="008B13AA" w:rsidRDefault="008B13AA" w:rsidP="00FB5008">
            <w:pPr>
              <w:jc w:val="center"/>
            </w:pPr>
            <w:r w:rsidRPr="008B13AA">
              <w:rPr>
                <w:sz w:val="22"/>
              </w:rPr>
              <w:t>4,81</w:t>
            </w:r>
          </w:p>
          <w:p w:rsidR="008B13AA" w:rsidRDefault="008B13AA" w:rsidP="00FB5008">
            <w:pPr>
              <w:jc w:val="center"/>
            </w:pPr>
            <w:r w:rsidRPr="008B13AA">
              <w:rPr>
                <w:sz w:val="22"/>
              </w:rPr>
              <w:t>17,54</w:t>
            </w:r>
          </w:p>
        </w:tc>
        <w:tc>
          <w:tcPr>
            <w:tcW w:w="2687" w:type="dxa"/>
          </w:tcPr>
          <w:p w:rsidR="00FB5008" w:rsidRPr="00FB5008" w:rsidRDefault="008B13AA" w:rsidP="00FB5008">
            <w:pPr>
              <w:jc w:val="center"/>
              <w:rPr>
                <w:b/>
              </w:rPr>
            </w:pPr>
            <w:r w:rsidRPr="00FB5008">
              <w:rPr>
                <w:b/>
                <w:sz w:val="22"/>
              </w:rPr>
              <w:t>Min. paušální částka</w:t>
            </w:r>
          </w:p>
          <w:p w:rsidR="008B13AA" w:rsidRPr="00FB5008" w:rsidRDefault="008B13AA" w:rsidP="00FB5008">
            <w:pPr>
              <w:jc w:val="center"/>
              <w:rPr>
                <w:b/>
              </w:rPr>
            </w:pPr>
            <w:r w:rsidRPr="00FB5008">
              <w:rPr>
                <w:b/>
                <w:sz w:val="22"/>
              </w:rPr>
              <w:t>(v tisících EUR)</w:t>
            </w:r>
          </w:p>
          <w:p w:rsidR="008B13AA" w:rsidRPr="008B13AA" w:rsidRDefault="008B13AA" w:rsidP="00FB5008">
            <w:pPr>
              <w:jc w:val="center"/>
            </w:pPr>
            <w:r w:rsidRPr="008B13AA">
              <w:rPr>
                <w:sz w:val="22"/>
              </w:rPr>
              <w:t>2 775</w:t>
            </w:r>
          </w:p>
          <w:p w:rsidR="008B13AA" w:rsidRPr="008B13AA" w:rsidRDefault="008B13AA" w:rsidP="00FB5008">
            <w:pPr>
              <w:jc w:val="center"/>
            </w:pPr>
            <w:r w:rsidRPr="008B13AA">
              <w:rPr>
                <w:sz w:val="22"/>
              </w:rPr>
              <w:t>818</w:t>
            </w:r>
          </w:p>
          <w:p w:rsidR="008B13AA" w:rsidRPr="008B13AA" w:rsidRDefault="008B13AA" w:rsidP="00FB5008">
            <w:pPr>
              <w:jc w:val="center"/>
            </w:pPr>
            <w:r w:rsidRPr="008B13AA">
              <w:rPr>
                <w:sz w:val="22"/>
              </w:rPr>
              <w:t>1 800</w:t>
            </w:r>
          </w:p>
          <w:p w:rsidR="008B13AA" w:rsidRPr="008B13AA" w:rsidRDefault="008B13AA" w:rsidP="00FB5008">
            <w:pPr>
              <w:jc w:val="center"/>
            </w:pPr>
            <w:r w:rsidRPr="008B13AA">
              <w:rPr>
                <w:sz w:val="22"/>
              </w:rPr>
              <w:t>1 710</w:t>
            </w:r>
          </w:p>
          <w:p w:rsidR="008B13AA" w:rsidRPr="008B13AA" w:rsidRDefault="008B13AA" w:rsidP="00FB5008">
            <w:pPr>
              <w:jc w:val="center"/>
            </w:pPr>
            <w:r w:rsidRPr="008B13AA">
              <w:rPr>
                <w:sz w:val="22"/>
              </w:rPr>
              <w:t>11 467</w:t>
            </w:r>
          </w:p>
          <w:p w:rsidR="008B13AA" w:rsidRPr="008B13AA" w:rsidRDefault="008B13AA" w:rsidP="00FB5008">
            <w:pPr>
              <w:jc w:val="center"/>
            </w:pPr>
            <w:r w:rsidRPr="008B13AA">
              <w:rPr>
                <w:sz w:val="22"/>
              </w:rPr>
              <w:t>336</w:t>
            </w:r>
          </w:p>
          <w:p w:rsidR="008B13AA" w:rsidRPr="008B13AA" w:rsidRDefault="008B13AA" w:rsidP="00FB5008">
            <w:pPr>
              <w:jc w:val="center"/>
            </w:pPr>
            <w:r w:rsidRPr="008B13AA">
              <w:rPr>
                <w:sz w:val="22"/>
              </w:rPr>
              <w:t>1 406</w:t>
            </w:r>
          </w:p>
          <w:p w:rsidR="008B13AA" w:rsidRPr="008B13AA" w:rsidRDefault="008B13AA" w:rsidP="00FB5008">
            <w:pPr>
              <w:jc w:val="center"/>
            </w:pPr>
            <w:r w:rsidRPr="008B13AA">
              <w:rPr>
                <w:sz w:val="22"/>
              </w:rPr>
              <w:t>2 085</w:t>
            </w:r>
          </w:p>
          <w:p w:rsidR="008B13AA" w:rsidRPr="008B13AA" w:rsidRDefault="008B13AA" w:rsidP="00FB5008">
            <w:pPr>
              <w:jc w:val="center"/>
            </w:pPr>
            <w:r w:rsidRPr="008B13AA">
              <w:rPr>
                <w:sz w:val="22"/>
              </w:rPr>
              <w:t>7 006</w:t>
            </w:r>
          </w:p>
          <w:p w:rsidR="008B13AA" w:rsidRPr="008B13AA" w:rsidRDefault="008B13AA" w:rsidP="00FB5008">
            <w:pPr>
              <w:jc w:val="center"/>
            </w:pPr>
            <w:r w:rsidRPr="008B13AA">
              <w:rPr>
                <w:sz w:val="22"/>
              </w:rPr>
              <w:t>10 042</w:t>
            </w:r>
          </w:p>
          <w:p w:rsidR="008B13AA" w:rsidRPr="008B13AA" w:rsidRDefault="008B13AA" w:rsidP="00FB5008">
            <w:pPr>
              <w:jc w:val="center"/>
            </w:pPr>
            <w:r w:rsidRPr="008B13AA">
              <w:rPr>
                <w:sz w:val="22"/>
              </w:rPr>
              <w:t>735</w:t>
            </w:r>
          </w:p>
          <w:p w:rsidR="008B13AA" w:rsidRPr="008B13AA" w:rsidRDefault="008B13AA" w:rsidP="00FB5008">
            <w:pPr>
              <w:jc w:val="center"/>
            </w:pPr>
            <w:r w:rsidRPr="008B13AA">
              <w:rPr>
                <w:sz w:val="22"/>
              </w:rPr>
              <w:t>8 923</w:t>
            </w:r>
          </w:p>
          <w:p w:rsidR="008B13AA" w:rsidRPr="008B13AA" w:rsidRDefault="008B13AA" w:rsidP="00FB5008">
            <w:pPr>
              <w:jc w:val="center"/>
            </w:pPr>
            <w:r w:rsidRPr="008B13AA">
              <w:rPr>
                <w:sz w:val="22"/>
              </w:rPr>
              <w:t>352</w:t>
            </w:r>
          </w:p>
          <w:p w:rsidR="008B13AA" w:rsidRPr="008B13AA" w:rsidRDefault="008B13AA" w:rsidP="00FB5008">
            <w:pPr>
              <w:jc w:val="center"/>
            </w:pPr>
            <w:r w:rsidRPr="008B13AA">
              <w:rPr>
                <w:sz w:val="22"/>
              </w:rPr>
              <w:t>375</w:t>
            </w:r>
          </w:p>
          <w:p w:rsidR="008B13AA" w:rsidRPr="008B13AA" w:rsidRDefault="008B13AA" w:rsidP="00FB5008">
            <w:pPr>
              <w:jc w:val="center"/>
            </w:pPr>
            <w:r w:rsidRPr="008B13AA">
              <w:rPr>
                <w:sz w:val="22"/>
              </w:rPr>
              <w:t>614</w:t>
            </w:r>
          </w:p>
          <w:p w:rsidR="008B13AA" w:rsidRPr="008B13AA" w:rsidRDefault="008B13AA" w:rsidP="00FB5008">
            <w:pPr>
              <w:jc w:val="center"/>
            </w:pPr>
            <w:r w:rsidRPr="008B13AA">
              <w:rPr>
                <w:sz w:val="22"/>
              </w:rPr>
              <w:t>539</w:t>
            </w:r>
          </w:p>
          <w:p w:rsidR="008B13AA" w:rsidRPr="008B13AA" w:rsidRDefault="008B13AA" w:rsidP="00FB5008">
            <w:pPr>
              <w:jc w:val="center"/>
            </w:pPr>
            <w:r w:rsidRPr="008B13AA">
              <w:rPr>
                <w:sz w:val="22"/>
              </w:rPr>
              <w:t>1 436</w:t>
            </w:r>
          </w:p>
          <w:p w:rsidR="008B13AA" w:rsidRPr="008B13AA" w:rsidRDefault="008B13AA" w:rsidP="00FB5008">
            <w:pPr>
              <w:jc w:val="center"/>
            </w:pPr>
            <w:r w:rsidRPr="008B13AA">
              <w:rPr>
                <w:sz w:val="22"/>
              </w:rPr>
              <w:t>186</w:t>
            </w:r>
          </w:p>
          <w:p w:rsidR="008B13AA" w:rsidRPr="008B13AA" w:rsidRDefault="008B13AA" w:rsidP="00FB5008">
            <w:pPr>
              <w:jc w:val="center"/>
            </w:pPr>
            <w:r w:rsidRPr="008B13AA">
              <w:rPr>
                <w:sz w:val="22"/>
              </w:rPr>
              <w:t>3 678</w:t>
            </w:r>
          </w:p>
          <w:p w:rsidR="008B13AA" w:rsidRPr="008B13AA" w:rsidRDefault="008B13AA" w:rsidP="00FB5008">
            <w:pPr>
              <w:jc w:val="center"/>
            </w:pPr>
            <w:r w:rsidRPr="008B13AA">
              <w:rPr>
                <w:sz w:val="22"/>
              </w:rPr>
              <w:t>2 280</w:t>
            </w:r>
          </w:p>
          <w:p w:rsidR="008B13AA" w:rsidRPr="008B13AA" w:rsidRDefault="008B13AA" w:rsidP="00FB5008">
            <w:pPr>
              <w:jc w:val="center"/>
            </w:pPr>
            <w:r w:rsidRPr="008B13AA">
              <w:rPr>
                <w:sz w:val="22"/>
              </w:rPr>
              <w:t>4 171</w:t>
            </w:r>
          </w:p>
          <w:p w:rsidR="008B13AA" w:rsidRPr="008B13AA" w:rsidRDefault="008B13AA" w:rsidP="00FB5008">
            <w:pPr>
              <w:jc w:val="center"/>
            </w:pPr>
            <w:r w:rsidRPr="008B13AA">
              <w:rPr>
                <w:sz w:val="22"/>
              </w:rPr>
              <w:t>1 889</w:t>
            </w:r>
          </w:p>
          <w:p w:rsidR="008B13AA" w:rsidRPr="008B13AA" w:rsidRDefault="008B13AA" w:rsidP="00FB5008">
            <w:pPr>
              <w:jc w:val="center"/>
            </w:pPr>
            <w:r w:rsidRPr="008B13AA">
              <w:rPr>
                <w:sz w:val="22"/>
              </w:rPr>
              <w:t>1 787</w:t>
            </w:r>
          </w:p>
          <w:p w:rsidR="008B13AA" w:rsidRPr="008B13AA" w:rsidRDefault="008B13AA" w:rsidP="00FB5008">
            <w:pPr>
              <w:jc w:val="center"/>
            </w:pPr>
            <w:r w:rsidRPr="008B13AA">
              <w:rPr>
                <w:sz w:val="22"/>
              </w:rPr>
              <w:t>501</w:t>
            </w:r>
          </w:p>
          <w:p w:rsidR="008B13AA" w:rsidRPr="008B13AA" w:rsidRDefault="008B13AA" w:rsidP="00FB5008">
            <w:pPr>
              <w:jc w:val="center"/>
            </w:pPr>
            <w:r w:rsidRPr="008B13AA">
              <w:rPr>
                <w:sz w:val="22"/>
              </w:rPr>
              <w:t>916</w:t>
            </w:r>
          </w:p>
          <w:p w:rsidR="008B13AA" w:rsidRPr="008B13AA" w:rsidRDefault="008B13AA" w:rsidP="00FB5008">
            <w:pPr>
              <w:jc w:val="center"/>
            </w:pPr>
            <w:r w:rsidRPr="008B13AA">
              <w:rPr>
                <w:sz w:val="22"/>
              </w:rPr>
              <w:t>1 515</w:t>
            </w:r>
          </w:p>
          <w:p w:rsidR="008B13AA" w:rsidRPr="008B13AA" w:rsidRDefault="008B13AA" w:rsidP="00FB5008">
            <w:pPr>
              <w:jc w:val="center"/>
            </w:pPr>
            <w:r w:rsidRPr="008B13AA">
              <w:rPr>
                <w:sz w:val="22"/>
              </w:rPr>
              <w:t>2 588</w:t>
            </w:r>
          </w:p>
          <w:p w:rsidR="008B13AA" w:rsidRDefault="008B13AA" w:rsidP="00FB5008">
            <w:pPr>
              <w:jc w:val="center"/>
            </w:pPr>
            <w:r w:rsidRPr="008B13AA">
              <w:rPr>
                <w:sz w:val="22"/>
              </w:rPr>
              <w:t xml:space="preserve">9 446 </w:t>
            </w:r>
            <w:r>
              <w:br w:type="page"/>
            </w:r>
          </w:p>
        </w:tc>
      </w:tr>
    </w:tbl>
    <w:p w:rsidR="00FB5008" w:rsidRDefault="00FB5008" w:rsidP="00FB5008">
      <w:pPr>
        <w:rPr>
          <w:rFonts w:eastAsiaTheme="majorEastAsia" w:cstheme="majorBidi"/>
          <w:color w:val="000000" w:themeColor="text1"/>
          <w:sz w:val="32"/>
          <w:szCs w:val="28"/>
          <w:u w:val="single"/>
        </w:rPr>
      </w:pPr>
      <w:r>
        <w:br w:type="page"/>
      </w:r>
    </w:p>
    <w:p w:rsidR="008F5E88" w:rsidRPr="002060FA" w:rsidRDefault="002060FA" w:rsidP="002060FA">
      <w:pPr>
        <w:pStyle w:val="Nadpis1"/>
      </w:pPr>
      <w:bookmarkStart w:id="38" w:name="_Toc398901340"/>
      <w:bookmarkStart w:id="39" w:name="_Toc399171090"/>
      <w:r>
        <w:lastRenderedPageBreak/>
        <w:t xml:space="preserve">Příloha č. 3 - </w:t>
      </w:r>
      <w:r w:rsidR="008F5E88" w:rsidRPr="002060FA">
        <w:t>Česká republika</w:t>
      </w:r>
      <w:r>
        <w:t xml:space="preserve"> a statistika</w:t>
      </w:r>
      <w:bookmarkEnd w:id="38"/>
      <w:bookmarkEnd w:id="39"/>
    </w:p>
    <w:p w:rsidR="00621F7A" w:rsidRDefault="008F5E88" w:rsidP="008F5E88">
      <w:r w:rsidRPr="00722D97">
        <w:tab/>
      </w:r>
    </w:p>
    <w:p w:rsidR="008F5E88" w:rsidRPr="00722D97" w:rsidRDefault="008F5E88" w:rsidP="00621F7A">
      <w:pPr>
        <w:ind w:firstLine="709"/>
        <w:rPr>
          <w:rFonts w:eastAsiaTheme="majorEastAsia" w:cstheme="majorBidi"/>
          <w:iCs/>
          <w:szCs w:val="28"/>
        </w:rPr>
      </w:pPr>
      <w:r w:rsidRPr="00E46832">
        <w:t xml:space="preserve">Česká republika si počkala na chvíli, kdy se postaví na stranu žalovaných na základě článku 258 SFEU, do poloviny roku 2005. I přesto se do té doby stala adresátem nemalého počtu upomínacích dopisů od </w:t>
      </w:r>
      <w:r>
        <w:t>K</w:t>
      </w:r>
      <w:r w:rsidRPr="00E46832">
        <w:t>omise, kde jí bylo vytýkáno zejména nesplnění povinnosti notifikace implementovaných směrnic. Za období od</w:t>
      </w:r>
      <w:r>
        <w:t> </w:t>
      </w:r>
      <w:r w:rsidRPr="00E46832">
        <w:t>data přistoupení ČR k EU 1. května 2004 až do 31. prosince 2013 bylo proti ČR celkem zahájeno 602 řízení pro porušení práva EU. Z uvedeného počtu řízení k</w:t>
      </w:r>
      <w:r>
        <w:t>e dni</w:t>
      </w:r>
      <w:r w:rsidRPr="00E46832">
        <w:t xml:space="preserve"> 31. prosinc</w:t>
      </w:r>
      <w:r>
        <w:t>e</w:t>
      </w:r>
      <w:r w:rsidRPr="00E46832">
        <w:t xml:space="preserve"> 2013 běželo 28 řízení pro porušení unijního práva</w:t>
      </w:r>
      <w:r w:rsidRPr="00722D97">
        <w:rPr>
          <w:rFonts w:eastAsiaTheme="majorEastAsia" w:cstheme="majorBidi"/>
          <w:iCs/>
          <w:szCs w:val="28"/>
        </w:rPr>
        <w:t>.</w:t>
      </w:r>
    </w:p>
    <w:p w:rsidR="008F5E88" w:rsidRPr="00004E65" w:rsidRDefault="008F5E88" w:rsidP="008F5E88">
      <w:pPr>
        <w:rPr>
          <w:rFonts w:eastAsiaTheme="majorEastAsia" w:cstheme="majorBidi"/>
          <w:iCs/>
          <w:color w:val="000000" w:themeColor="text1"/>
          <w:szCs w:val="28"/>
        </w:rPr>
      </w:pPr>
    </w:p>
    <w:p w:rsidR="008F5E88" w:rsidRDefault="008F5E88" w:rsidP="008F5E88">
      <w:pPr>
        <w:jc w:val="center"/>
        <w:rPr>
          <w:b/>
        </w:rPr>
      </w:pPr>
      <w:r>
        <w:rPr>
          <w:noProof/>
          <w:lang w:eastAsia="cs-CZ"/>
        </w:rPr>
        <w:drawing>
          <wp:inline distT="0" distB="0" distL="0" distR="0">
            <wp:extent cx="5705475" cy="37433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721677" cy="3753955"/>
                    </a:xfrm>
                    <a:prstGeom prst="rect">
                      <a:avLst/>
                    </a:prstGeom>
                  </pic:spPr>
                </pic:pic>
              </a:graphicData>
            </a:graphic>
          </wp:inline>
        </w:drawing>
      </w:r>
    </w:p>
    <w:p w:rsidR="008F5E88" w:rsidRPr="00683C80" w:rsidRDefault="00683C80" w:rsidP="00683C80">
      <w:pPr>
        <w:rPr>
          <w:iCs/>
          <w:sz w:val="20"/>
        </w:rPr>
      </w:pPr>
      <w:r>
        <w:rPr>
          <w:iCs/>
          <w:sz w:val="20"/>
        </w:rPr>
        <w:t xml:space="preserve">Zdroj: </w:t>
      </w:r>
      <w:r w:rsidRPr="00683C80">
        <w:rPr>
          <w:iCs/>
          <w:sz w:val="20"/>
        </w:rPr>
        <w:t>M</w:t>
      </w:r>
      <w:r>
        <w:rPr>
          <w:iCs/>
          <w:sz w:val="20"/>
        </w:rPr>
        <w:t xml:space="preserve">ZV, </w:t>
      </w:r>
      <w:r w:rsidRPr="00683C80">
        <w:rPr>
          <w:iCs/>
          <w:sz w:val="20"/>
        </w:rPr>
        <w:t xml:space="preserve">odbor komunitárního práva. </w:t>
      </w:r>
      <w:r w:rsidRPr="00683C80">
        <w:rPr>
          <w:i/>
          <w:iCs/>
          <w:sz w:val="20"/>
        </w:rPr>
        <w:t>Zpráva o činnosti vládního zmocněnce pro zastupování České republiky před Soudním dvorem Evropské unie za rok 2013.</w:t>
      </w:r>
      <w:r w:rsidRPr="00683C80">
        <w:rPr>
          <w:iCs/>
          <w:sz w:val="20"/>
        </w:rPr>
        <w:t xml:space="preserve"> Praha 2014.</w:t>
      </w:r>
    </w:p>
    <w:p w:rsidR="00683C80" w:rsidRDefault="00683C80" w:rsidP="008F5E88">
      <w:pPr>
        <w:ind w:firstLine="708"/>
        <w:rPr>
          <w:iCs/>
        </w:rPr>
      </w:pPr>
    </w:p>
    <w:p w:rsidR="00621F7A" w:rsidRDefault="00621F7A" w:rsidP="008F5E88">
      <w:pPr>
        <w:ind w:firstLine="708"/>
      </w:pPr>
    </w:p>
    <w:p w:rsidR="00621F7A" w:rsidRDefault="00621F7A" w:rsidP="008F5E88">
      <w:pPr>
        <w:ind w:firstLine="708"/>
      </w:pPr>
    </w:p>
    <w:p w:rsidR="00621F7A" w:rsidRDefault="00621F7A" w:rsidP="008F5E88">
      <w:pPr>
        <w:ind w:firstLine="708"/>
      </w:pPr>
    </w:p>
    <w:p w:rsidR="00621F7A" w:rsidRDefault="00621F7A" w:rsidP="008F5E88">
      <w:pPr>
        <w:ind w:firstLine="708"/>
      </w:pPr>
    </w:p>
    <w:p w:rsidR="00621F7A" w:rsidRDefault="00621F7A" w:rsidP="008F5E88">
      <w:pPr>
        <w:ind w:firstLine="708"/>
      </w:pPr>
    </w:p>
    <w:p w:rsidR="008F5E88" w:rsidRPr="00722D97" w:rsidRDefault="008F5E88" w:rsidP="008F5E88">
      <w:pPr>
        <w:ind w:firstLine="708"/>
      </w:pPr>
      <w:r w:rsidRPr="00722D97">
        <w:lastRenderedPageBreak/>
        <w:t>Na základě grafu výše si můžeme všimnout, že od roku 2004 má počet zahájených řízení jasně klesající tendenci a v roce 2013 můžeme vidět pokles cca o 84%. Z</w:t>
      </w:r>
      <w:r>
        <w:t> </w:t>
      </w:r>
      <w:r w:rsidRPr="00722D97">
        <w:t xml:space="preserve">celkového počtu všech zahájených řízení vyústilo do 31. prosince 2013 v podání žaloby k Soudnímu dvoru podle čl. 258 SFEU pouze 27 případů, potažmo v jednom případě následně v podání žaloby dle čl. 260 odst. 2 SFEU. Což znamená, že k samotnému podání žaloby se dostanou pouhých cca 4,5% případů. Předmětem většiny těchto soudních žalob (19) byla absence transpozice či notifikace směrnice EU. Ve zbývajících případech bylo ČR vytýkáno porušení práva EU spočívající v nesprávné či neúplné transpozici směrnice či v nesprávné aplikaci unijního práva. </w:t>
      </w:r>
    </w:p>
    <w:p w:rsidR="008F5E88" w:rsidRDefault="008F5E88" w:rsidP="008F5E88">
      <w:r w:rsidRPr="00722D97">
        <w:t>Pokud jde o celkový poměr nenotifikačních řízení vůči věcným, bylo vůči ČR do</w:t>
      </w:r>
      <w:r w:rsidR="00A43917">
        <w:t> </w:t>
      </w:r>
      <w:r w:rsidRPr="00722D97">
        <w:t xml:space="preserve">31. prosince 2013 zahájeno 484 nenotifikačních řízení a 118 věcných řízení, tedy poměr zhruba 4 : 1 ve prospěch nenotifikačních řízení. Jak je však zjevné z grafu níže, ČR zlepšuje svůj transpoziční deficit a poměr nenotifikačních řízení vůči věcným se pozvolna překlápí ve prospěch věcných řízení. </w:t>
      </w:r>
    </w:p>
    <w:p w:rsidR="00621F7A" w:rsidRDefault="00621F7A" w:rsidP="008F5E88"/>
    <w:p w:rsidR="008F5E88" w:rsidRPr="00722D97" w:rsidRDefault="00621F7A" w:rsidP="008F5E88">
      <w:pPr>
        <w:rPr>
          <w:b/>
        </w:rPr>
      </w:pPr>
      <w:r>
        <w:rPr>
          <w:noProof/>
          <w:lang w:eastAsia="cs-CZ"/>
        </w:rPr>
        <w:drawing>
          <wp:anchor distT="0" distB="0" distL="114300" distR="114300" simplePos="0" relativeHeight="251661312" behindDoc="1" locked="0" layoutInCell="1" allowOverlap="1">
            <wp:simplePos x="0" y="0"/>
            <wp:positionH relativeFrom="column">
              <wp:posOffset>-13336</wp:posOffset>
            </wp:positionH>
            <wp:positionV relativeFrom="paragraph">
              <wp:posOffset>59690</wp:posOffset>
            </wp:positionV>
            <wp:extent cx="5762625" cy="3705276"/>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3763" cy="3706008"/>
                    </a:xfrm>
                    <a:prstGeom prst="rect">
                      <a:avLst/>
                    </a:prstGeom>
                    <a:noFill/>
                    <a:ln>
                      <a:noFill/>
                    </a:ln>
                  </pic:spPr>
                </pic:pic>
              </a:graphicData>
            </a:graphic>
          </wp:anchor>
        </w:drawing>
      </w:r>
    </w:p>
    <w:p w:rsidR="008F5E88" w:rsidRDefault="008F5E88" w:rsidP="008F5E88"/>
    <w:p w:rsidR="008F5E88" w:rsidRDefault="008F5E88" w:rsidP="008F5E88">
      <w:pPr>
        <w:rPr>
          <w:rFonts w:cs="Arial"/>
        </w:rPr>
      </w:pPr>
    </w:p>
    <w:p w:rsidR="008F5E88" w:rsidRDefault="008F5E88" w:rsidP="008F5E88">
      <w:pPr>
        <w:ind w:firstLine="708"/>
      </w:pPr>
    </w:p>
    <w:p w:rsidR="008F5E88" w:rsidRDefault="008F5E88" w:rsidP="008F5E88">
      <w:pPr>
        <w:ind w:firstLine="708"/>
      </w:pPr>
    </w:p>
    <w:p w:rsidR="008F5E88" w:rsidRDefault="008F5E88" w:rsidP="008F5E88">
      <w:pPr>
        <w:ind w:firstLine="708"/>
      </w:pPr>
    </w:p>
    <w:p w:rsidR="008F5E88" w:rsidRDefault="008F5E88" w:rsidP="008F5E88">
      <w:pPr>
        <w:ind w:firstLine="708"/>
      </w:pPr>
    </w:p>
    <w:p w:rsidR="008F5E88" w:rsidRDefault="008F5E88" w:rsidP="008F5E88">
      <w:pPr>
        <w:ind w:firstLine="708"/>
      </w:pPr>
    </w:p>
    <w:p w:rsidR="008F5E88" w:rsidRDefault="008F5E88" w:rsidP="008F5E88">
      <w:pPr>
        <w:ind w:firstLine="708"/>
      </w:pPr>
    </w:p>
    <w:p w:rsidR="008F5E88" w:rsidRDefault="008F5E88" w:rsidP="008F5E88">
      <w:pPr>
        <w:ind w:firstLine="708"/>
      </w:pPr>
    </w:p>
    <w:p w:rsidR="008F5E88" w:rsidRDefault="008F5E88" w:rsidP="008F5E88">
      <w:pPr>
        <w:ind w:firstLine="708"/>
      </w:pPr>
    </w:p>
    <w:p w:rsidR="008F5E88" w:rsidRDefault="008F5E88" w:rsidP="008F5E88">
      <w:pPr>
        <w:ind w:firstLine="708"/>
      </w:pPr>
    </w:p>
    <w:p w:rsidR="008F5E88" w:rsidRDefault="008F5E88" w:rsidP="008F5E88">
      <w:pPr>
        <w:ind w:firstLine="708"/>
      </w:pPr>
    </w:p>
    <w:p w:rsidR="00621F7A" w:rsidRDefault="00621F7A" w:rsidP="00621F7A">
      <w:pPr>
        <w:rPr>
          <w:iCs/>
          <w:sz w:val="20"/>
        </w:rPr>
      </w:pPr>
    </w:p>
    <w:p w:rsidR="00621F7A" w:rsidRDefault="00621F7A" w:rsidP="00621F7A">
      <w:pPr>
        <w:rPr>
          <w:iCs/>
          <w:sz w:val="20"/>
        </w:rPr>
      </w:pPr>
    </w:p>
    <w:p w:rsidR="00621F7A" w:rsidRPr="00683C80" w:rsidRDefault="00621F7A" w:rsidP="00621F7A">
      <w:pPr>
        <w:rPr>
          <w:iCs/>
          <w:sz w:val="20"/>
        </w:rPr>
      </w:pPr>
      <w:r>
        <w:rPr>
          <w:iCs/>
          <w:sz w:val="20"/>
        </w:rPr>
        <w:t xml:space="preserve">Zdroj: </w:t>
      </w:r>
      <w:r w:rsidRPr="00683C80">
        <w:rPr>
          <w:iCs/>
          <w:sz w:val="20"/>
        </w:rPr>
        <w:t>M</w:t>
      </w:r>
      <w:r>
        <w:rPr>
          <w:iCs/>
          <w:sz w:val="20"/>
        </w:rPr>
        <w:t xml:space="preserve">ZV, </w:t>
      </w:r>
      <w:r w:rsidRPr="00683C80">
        <w:rPr>
          <w:iCs/>
          <w:sz w:val="20"/>
        </w:rPr>
        <w:t xml:space="preserve">odbor komunitárního práva. </w:t>
      </w:r>
      <w:r w:rsidRPr="00683C80">
        <w:rPr>
          <w:i/>
          <w:iCs/>
          <w:sz w:val="20"/>
        </w:rPr>
        <w:t>Zpráva o činnosti vládního zmocněnce pro zastupování České republiky před Soudním dvorem Evropské unie za rok 2013.</w:t>
      </w:r>
      <w:r w:rsidRPr="00683C80">
        <w:rPr>
          <w:iCs/>
          <w:sz w:val="20"/>
        </w:rPr>
        <w:t xml:space="preserve"> Praha 2014.</w:t>
      </w:r>
    </w:p>
    <w:p w:rsidR="00621F7A" w:rsidRDefault="00621F7A" w:rsidP="008F5E88">
      <w:pPr>
        <w:ind w:firstLine="708"/>
      </w:pPr>
    </w:p>
    <w:p w:rsidR="008F5E88" w:rsidRDefault="008F5E88" w:rsidP="008F5E88">
      <w:pPr>
        <w:ind w:firstLine="708"/>
        <w:rPr>
          <w:b/>
          <w:color w:val="1F497D" w:themeColor="text2"/>
        </w:rPr>
      </w:pPr>
      <w:r w:rsidRPr="00722D97">
        <w:lastRenderedPageBreak/>
        <w:t>Pokud se blíže podíváme na samotný rok 2013, bylo proti ČR zahájeno celkem 40</w:t>
      </w:r>
      <w:r>
        <w:t xml:space="preserve"> </w:t>
      </w:r>
      <w:r w:rsidRPr="00722D97">
        <w:t>případů EU pilot. Z toho 11 bylo zahájeno na základě stížnosti a</w:t>
      </w:r>
      <w:r>
        <w:t> </w:t>
      </w:r>
      <w:r w:rsidRPr="00722D97">
        <w:t>29</w:t>
      </w:r>
      <w:r>
        <w:t> </w:t>
      </w:r>
      <w:r w:rsidRPr="00722D97">
        <w:t>z vlastní iniciativy Evropské komise. Podle hlavního gestora byla řízení vedena nejvíce u Ministerstva dopravy a Ministerstva životního prostředí, jak můžeme vidět v</w:t>
      </w:r>
      <w:r>
        <w:t> </w:t>
      </w:r>
      <w:r w:rsidRPr="00722D97">
        <w:t>následující tabulce.</w:t>
      </w:r>
      <w:r w:rsidRPr="00722D97">
        <w:rPr>
          <w:b/>
        </w:rPr>
        <w:t xml:space="preserve"> </w:t>
      </w:r>
    </w:p>
    <w:p w:rsidR="008F5E88" w:rsidRDefault="008F5E88" w:rsidP="008F5E88"/>
    <w:p w:rsidR="008F5E88" w:rsidRDefault="00621F7A" w:rsidP="008F5E88">
      <w:r w:rsidRPr="00722D97">
        <w:rPr>
          <w:b/>
          <w:noProof/>
          <w:lang w:eastAsia="cs-CZ"/>
        </w:rPr>
        <w:drawing>
          <wp:anchor distT="0" distB="0" distL="114300" distR="114300" simplePos="0" relativeHeight="251660288" behindDoc="1" locked="0" layoutInCell="1" allowOverlap="1">
            <wp:simplePos x="0" y="0"/>
            <wp:positionH relativeFrom="column">
              <wp:posOffset>24764</wp:posOffset>
            </wp:positionH>
            <wp:positionV relativeFrom="paragraph">
              <wp:posOffset>-5080</wp:posOffset>
            </wp:positionV>
            <wp:extent cx="5724525" cy="3711865"/>
            <wp:effectExtent l="0" t="0" r="0" b="317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5028" cy="3718675"/>
                    </a:xfrm>
                    <a:prstGeom prst="rect">
                      <a:avLst/>
                    </a:prstGeom>
                    <a:noFill/>
                    <a:ln>
                      <a:noFill/>
                    </a:ln>
                  </pic:spPr>
                </pic:pic>
              </a:graphicData>
            </a:graphic>
          </wp:anchor>
        </w:drawing>
      </w:r>
    </w:p>
    <w:p w:rsidR="008F5E88" w:rsidRDefault="008F5E88" w:rsidP="008F5E88"/>
    <w:p w:rsidR="008F5E88" w:rsidRDefault="008F5E88" w:rsidP="008F5E88"/>
    <w:p w:rsidR="008F5E88" w:rsidRDefault="008F5E88" w:rsidP="008F5E88">
      <w:pPr>
        <w:ind w:firstLine="708"/>
      </w:pPr>
    </w:p>
    <w:p w:rsidR="008F5E88" w:rsidRDefault="008F5E88" w:rsidP="008F5E88">
      <w:pPr>
        <w:ind w:firstLine="708"/>
      </w:pPr>
    </w:p>
    <w:p w:rsidR="008F5E88" w:rsidRDefault="008F5E88" w:rsidP="008F5E88">
      <w:pPr>
        <w:ind w:firstLine="708"/>
      </w:pPr>
    </w:p>
    <w:p w:rsidR="008F5E88" w:rsidRDefault="008F5E88" w:rsidP="008F5E88">
      <w:pPr>
        <w:ind w:firstLine="708"/>
      </w:pPr>
    </w:p>
    <w:p w:rsidR="00621F7A" w:rsidRDefault="00621F7A" w:rsidP="008F5E88">
      <w:pPr>
        <w:ind w:firstLine="708"/>
      </w:pPr>
    </w:p>
    <w:p w:rsidR="00621F7A" w:rsidRDefault="00621F7A" w:rsidP="008F5E88">
      <w:pPr>
        <w:ind w:firstLine="708"/>
      </w:pPr>
    </w:p>
    <w:p w:rsidR="00621F7A" w:rsidRDefault="00621F7A" w:rsidP="008F5E88">
      <w:pPr>
        <w:ind w:firstLine="708"/>
      </w:pPr>
    </w:p>
    <w:p w:rsidR="00621F7A" w:rsidRDefault="00621F7A" w:rsidP="008F5E88">
      <w:pPr>
        <w:ind w:firstLine="708"/>
      </w:pPr>
    </w:p>
    <w:p w:rsidR="00621F7A" w:rsidRDefault="00621F7A" w:rsidP="008F5E88">
      <w:pPr>
        <w:ind w:firstLine="708"/>
      </w:pPr>
    </w:p>
    <w:p w:rsidR="00621F7A" w:rsidRDefault="00621F7A" w:rsidP="008F5E88">
      <w:pPr>
        <w:ind w:firstLine="708"/>
      </w:pPr>
    </w:p>
    <w:p w:rsidR="00621F7A" w:rsidRDefault="00621F7A" w:rsidP="008F5E88">
      <w:pPr>
        <w:ind w:firstLine="708"/>
      </w:pPr>
    </w:p>
    <w:p w:rsidR="00621F7A" w:rsidRPr="00621F7A" w:rsidRDefault="00621F7A" w:rsidP="00621F7A">
      <w:pPr>
        <w:rPr>
          <w:sz w:val="10"/>
        </w:rPr>
      </w:pPr>
    </w:p>
    <w:p w:rsidR="00621F7A" w:rsidRPr="00683C80" w:rsidRDefault="00621F7A" w:rsidP="00621F7A">
      <w:pPr>
        <w:rPr>
          <w:iCs/>
          <w:sz w:val="20"/>
        </w:rPr>
      </w:pPr>
      <w:r>
        <w:rPr>
          <w:iCs/>
          <w:sz w:val="20"/>
        </w:rPr>
        <w:t xml:space="preserve">Zdroj: </w:t>
      </w:r>
      <w:r w:rsidRPr="00683C80">
        <w:rPr>
          <w:iCs/>
          <w:sz w:val="20"/>
        </w:rPr>
        <w:t>M</w:t>
      </w:r>
      <w:r>
        <w:rPr>
          <w:iCs/>
          <w:sz w:val="20"/>
        </w:rPr>
        <w:t xml:space="preserve">ZV, </w:t>
      </w:r>
      <w:r w:rsidRPr="00683C80">
        <w:rPr>
          <w:iCs/>
          <w:sz w:val="20"/>
        </w:rPr>
        <w:t xml:space="preserve">odbor komunitárního práva. </w:t>
      </w:r>
      <w:r w:rsidRPr="00683C80">
        <w:rPr>
          <w:i/>
          <w:iCs/>
          <w:sz w:val="20"/>
        </w:rPr>
        <w:t>Zpráva o činnosti vládního zmocněnce pro zastupování České republiky před Soudním dvorem Evropské unie za rok 2013.</w:t>
      </w:r>
      <w:r w:rsidRPr="00683C80">
        <w:rPr>
          <w:iCs/>
          <w:sz w:val="20"/>
        </w:rPr>
        <w:t xml:space="preserve"> Praha 2014.</w:t>
      </w:r>
    </w:p>
    <w:p w:rsidR="00621F7A" w:rsidRDefault="00621F7A" w:rsidP="008F5E88">
      <w:pPr>
        <w:ind w:firstLine="708"/>
      </w:pPr>
    </w:p>
    <w:p w:rsidR="008F5E88" w:rsidRDefault="008F5E88" w:rsidP="008F5E88">
      <w:pPr>
        <w:ind w:firstLine="708"/>
      </w:pPr>
      <w:r w:rsidRPr="00722D97">
        <w:t>Následně Komise za rok 2013 zahájila proti ČR 24 nových řízení pro porušení práva Unie, z toho 12 nenotifikačních a 12 věcných. Z 12 zahájených nenotifikačních řízení se 3 týkala směrnic přijatých legislativním postupem, tudíž tato řízení spadají do působnosti čl. 260 odst. 3 SFEU, jenž umožňuje uložení finanční sankce členskému státu již prvním rozsudkem Soudního dvora EU. Všech 12 věcných řízení bylo před zahájením formálního řízení pro porušení povinnosti, v souladu s ustálenou praxí Evropské komise, předmětem řízení EU Pilot.</w:t>
      </w:r>
    </w:p>
    <w:p w:rsidR="008F5E88" w:rsidRPr="00722D97" w:rsidRDefault="008F5E88" w:rsidP="008F5E88">
      <w:pPr>
        <w:ind w:firstLine="708"/>
        <w:rPr>
          <w:b/>
        </w:rPr>
      </w:pPr>
    </w:p>
    <w:p w:rsidR="008F5E88" w:rsidRDefault="008F5E88" w:rsidP="008F5E88">
      <w:pPr>
        <w:jc w:val="center"/>
      </w:pPr>
      <w:r>
        <w:rPr>
          <w:noProof/>
          <w:lang w:eastAsia="cs-CZ"/>
        </w:rPr>
        <w:lastRenderedPageBreak/>
        <w:drawing>
          <wp:inline distT="0" distB="0" distL="0" distR="0">
            <wp:extent cx="5664633" cy="364196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327" cy="3649479"/>
                    </a:xfrm>
                    <a:prstGeom prst="rect">
                      <a:avLst/>
                    </a:prstGeom>
                    <a:noFill/>
                    <a:ln>
                      <a:noFill/>
                    </a:ln>
                  </pic:spPr>
                </pic:pic>
              </a:graphicData>
            </a:graphic>
          </wp:inline>
        </w:drawing>
      </w:r>
    </w:p>
    <w:p w:rsidR="00621F7A" w:rsidRPr="00683C80" w:rsidRDefault="00621F7A" w:rsidP="00621F7A">
      <w:pPr>
        <w:rPr>
          <w:iCs/>
          <w:sz w:val="20"/>
        </w:rPr>
      </w:pPr>
      <w:r>
        <w:rPr>
          <w:iCs/>
          <w:sz w:val="20"/>
        </w:rPr>
        <w:t xml:space="preserve">Zdroj: </w:t>
      </w:r>
      <w:r w:rsidRPr="00683C80">
        <w:rPr>
          <w:iCs/>
          <w:sz w:val="20"/>
        </w:rPr>
        <w:t>M</w:t>
      </w:r>
      <w:r>
        <w:rPr>
          <w:iCs/>
          <w:sz w:val="20"/>
        </w:rPr>
        <w:t xml:space="preserve">ZV, </w:t>
      </w:r>
      <w:r w:rsidRPr="00683C80">
        <w:rPr>
          <w:iCs/>
          <w:sz w:val="20"/>
        </w:rPr>
        <w:t xml:space="preserve">odbor komunitárního práva. </w:t>
      </w:r>
      <w:r w:rsidRPr="00683C80">
        <w:rPr>
          <w:i/>
          <w:iCs/>
          <w:sz w:val="20"/>
        </w:rPr>
        <w:t>Zpráva o činnosti vládního zmocněnce pro zastupování České republiky před Soudním dvorem Evropské unie za rok 2013.</w:t>
      </w:r>
      <w:r w:rsidRPr="00683C80">
        <w:rPr>
          <w:iCs/>
          <w:sz w:val="20"/>
        </w:rPr>
        <w:t xml:space="preserve"> Praha 2014.</w:t>
      </w:r>
    </w:p>
    <w:p w:rsidR="008F5E88" w:rsidRDefault="008F5E88" w:rsidP="008F5E88"/>
    <w:p w:rsidR="008F5E88" w:rsidRPr="00722D97" w:rsidRDefault="008F5E88" w:rsidP="008F5E88">
      <w:pPr>
        <w:ind w:firstLine="708"/>
      </w:pPr>
      <w:r w:rsidRPr="00722D97">
        <w:t xml:space="preserve">Co se týká řízení před Soudním dvorem, byly v průběhu roku 2013 předmětem řízení čtyři žaloby podané proti České republice v předcházejících letech. Tři žaloby byly podány podle čl. 258 SFEU, jedna podle čl. 260 odst. 2 SFEU. V posledně uvedeném řízení byla České republice poprvé od vstupu do Evropské unie uložena pokuta za nesplnění předchozího odsuzujícího rozsudku Soudního dvora EU vyneseného v řízení dle čl. 258 SFEU. Ve dvou věcech byla žaloba Komise zamítnuta. </w:t>
      </w:r>
    </w:p>
    <w:p w:rsidR="008F5E88" w:rsidRDefault="008F5E88" w:rsidP="008F5E88">
      <w:pPr>
        <w:ind w:firstLine="708"/>
      </w:pPr>
      <w:r w:rsidRPr="00722D97">
        <w:t xml:space="preserve">Celkově bylo k prosinci 2013 o všech řízeních Soudním dvorem rozhodnuto s tím, že v 16 případech bylo konstatováno nesplnění povinnosti. V 9 případech bylo řízení ukončeno usnesením předsedy Soudního dvora, což se děje v případech, že dotčený členský stát v průběhu řízení před Soudním dvorem EU dokončí transpozici, resp. notifikaci dotčené směrnice, nebo napraví jiná vytýkaná porušení. Komise v takovém případě zpravidla oznámí Soudnímu dvoru zpětvzetí žaloby a řízení je na základě toho ukončeno bez vydání rozsudku ve věci. A konečně ve 2 případech ČR spor vyhrála - C-109/11 </w:t>
      </w:r>
      <w:r w:rsidRPr="00722D97">
        <w:rPr>
          <w:i/>
          <w:iCs/>
        </w:rPr>
        <w:t xml:space="preserve">Komise v. Česká republika </w:t>
      </w:r>
      <w:r w:rsidRPr="00722D97">
        <w:t xml:space="preserve">[skupinová registrace k DPH] a C-269/11 </w:t>
      </w:r>
      <w:r w:rsidRPr="00722D97">
        <w:rPr>
          <w:i/>
          <w:iCs/>
        </w:rPr>
        <w:t xml:space="preserve">Komise v. Česká republika </w:t>
      </w:r>
      <w:r w:rsidRPr="00722D97">
        <w:t xml:space="preserve">[nesprávná sazba DPH </w:t>
      </w:r>
      <w:r w:rsidRPr="00722D97">
        <w:lastRenderedPageBreak/>
        <w:t>ve vztahu k cestovním kancelářím]. Žaloba v režimu čl. 260 odst. 3 SFEU nebyla proti České republice doposud podána.</w:t>
      </w:r>
    </w:p>
    <w:p w:rsidR="008F5E88" w:rsidRPr="00621F7A" w:rsidRDefault="008F5E88" w:rsidP="008F5E88">
      <w:pPr>
        <w:ind w:firstLine="708"/>
        <w:rPr>
          <w:sz w:val="12"/>
        </w:rPr>
      </w:pPr>
    </w:p>
    <w:p w:rsidR="008F5E88" w:rsidRDefault="008F5E88" w:rsidP="008F5E88">
      <w:pPr>
        <w:jc w:val="center"/>
        <w:rPr>
          <w:b/>
          <w:iCs/>
        </w:rPr>
      </w:pPr>
      <w:r>
        <w:rPr>
          <w:noProof/>
          <w:lang w:eastAsia="cs-CZ"/>
        </w:rPr>
        <w:drawing>
          <wp:inline distT="0" distB="0" distL="0" distR="0">
            <wp:extent cx="5693218" cy="3719947"/>
            <wp:effectExtent l="0" t="0" r="317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6008" cy="3734838"/>
                    </a:xfrm>
                    <a:prstGeom prst="rect">
                      <a:avLst/>
                    </a:prstGeom>
                    <a:noFill/>
                    <a:ln>
                      <a:noFill/>
                    </a:ln>
                  </pic:spPr>
                </pic:pic>
              </a:graphicData>
            </a:graphic>
          </wp:inline>
        </w:drawing>
      </w:r>
    </w:p>
    <w:p w:rsidR="00621F7A" w:rsidRPr="00683C80" w:rsidRDefault="00621F7A" w:rsidP="00621F7A">
      <w:pPr>
        <w:rPr>
          <w:iCs/>
          <w:sz w:val="20"/>
        </w:rPr>
      </w:pPr>
      <w:r>
        <w:rPr>
          <w:iCs/>
          <w:sz w:val="20"/>
        </w:rPr>
        <w:t xml:space="preserve">Zdroj: </w:t>
      </w:r>
      <w:r w:rsidRPr="00683C80">
        <w:rPr>
          <w:iCs/>
          <w:sz w:val="20"/>
        </w:rPr>
        <w:t>M</w:t>
      </w:r>
      <w:r>
        <w:rPr>
          <w:iCs/>
          <w:sz w:val="20"/>
        </w:rPr>
        <w:t xml:space="preserve">ZV, </w:t>
      </w:r>
      <w:r w:rsidRPr="00683C80">
        <w:rPr>
          <w:iCs/>
          <w:sz w:val="20"/>
        </w:rPr>
        <w:t xml:space="preserve">odbor komunitárního práva. </w:t>
      </w:r>
      <w:r w:rsidRPr="00683C80">
        <w:rPr>
          <w:i/>
          <w:iCs/>
          <w:sz w:val="20"/>
        </w:rPr>
        <w:t>Zpráva o činnosti vládního zmocněnce pro zastupování České republiky před Soudním dvorem Evropské unie za rok 2013.</w:t>
      </w:r>
      <w:r w:rsidRPr="00683C80">
        <w:rPr>
          <w:iCs/>
          <w:sz w:val="20"/>
        </w:rPr>
        <w:t xml:space="preserve"> Praha 2014.</w:t>
      </w:r>
    </w:p>
    <w:p w:rsidR="008F5E88" w:rsidRDefault="008F5E88"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621F7A" w:rsidRDefault="00621F7A" w:rsidP="008F5E88">
      <w:pPr>
        <w:rPr>
          <w:b/>
          <w:iCs/>
          <w:color w:val="1F497D" w:themeColor="text2"/>
        </w:rPr>
      </w:pPr>
    </w:p>
    <w:p w:rsidR="008F5E88" w:rsidRDefault="008F5E88" w:rsidP="008F5E88">
      <w:r w:rsidRPr="00722D97">
        <w:lastRenderedPageBreak/>
        <w:t>Ke dni 31. prosince 2013 bylo proti České republice vedeno 31 řízení pro porušení práva Unie, z toho 24 věcných a 7 nenotifikačních.</w:t>
      </w:r>
      <w:r w:rsidRPr="00722D97">
        <w:rPr>
          <w:bCs/>
          <w:vertAlign w:val="superscript"/>
        </w:rPr>
        <w:footnoteReference w:id="149"/>
      </w:r>
    </w:p>
    <w:p w:rsidR="00621F7A" w:rsidRPr="00722D97" w:rsidRDefault="00621F7A" w:rsidP="008F5E88"/>
    <w:p w:rsidR="008F5E88" w:rsidRDefault="008F5E88" w:rsidP="008F5E88">
      <w:pPr>
        <w:jc w:val="center"/>
        <w:rPr>
          <w:b/>
          <w:bCs/>
          <w:i/>
          <w:iCs/>
        </w:rPr>
      </w:pPr>
      <w:r>
        <w:rPr>
          <w:b/>
          <w:bCs/>
          <w:i/>
          <w:iCs/>
          <w:noProof/>
          <w:lang w:eastAsia="cs-CZ"/>
        </w:rPr>
        <w:drawing>
          <wp:inline distT="0" distB="0" distL="0" distR="0">
            <wp:extent cx="5688960" cy="3657600"/>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3732" cy="3679956"/>
                    </a:xfrm>
                    <a:prstGeom prst="rect">
                      <a:avLst/>
                    </a:prstGeom>
                    <a:noFill/>
                    <a:ln>
                      <a:noFill/>
                    </a:ln>
                  </pic:spPr>
                </pic:pic>
              </a:graphicData>
            </a:graphic>
          </wp:inline>
        </w:drawing>
      </w:r>
    </w:p>
    <w:p w:rsidR="00621F7A" w:rsidRPr="00683C80" w:rsidRDefault="00621F7A" w:rsidP="00621F7A">
      <w:pPr>
        <w:rPr>
          <w:iCs/>
          <w:sz w:val="20"/>
        </w:rPr>
      </w:pPr>
      <w:r>
        <w:rPr>
          <w:iCs/>
          <w:sz w:val="20"/>
        </w:rPr>
        <w:t xml:space="preserve">Zdroj: </w:t>
      </w:r>
      <w:r w:rsidRPr="00683C80">
        <w:rPr>
          <w:iCs/>
          <w:sz w:val="20"/>
        </w:rPr>
        <w:t>M</w:t>
      </w:r>
      <w:r>
        <w:rPr>
          <w:iCs/>
          <w:sz w:val="20"/>
        </w:rPr>
        <w:t xml:space="preserve">ZV, </w:t>
      </w:r>
      <w:r w:rsidRPr="00683C80">
        <w:rPr>
          <w:iCs/>
          <w:sz w:val="20"/>
        </w:rPr>
        <w:t xml:space="preserve">odbor komunitárního práva. </w:t>
      </w:r>
      <w:r w:rsidRPr="00683C80">
        <w:rPr>
          <w:i/>
          <w:iCs/>
          <w:sz w:val="20"/>
        </w:rPr>
        <w:t>Zpráva o činnosti vládního zmocněnce pro zastupování České republiky před Soudním dvorem Evropské unie za rok 2013.</w:t>
      </w:r>
      <w:r w:rsidRPr="00683C80">
        <w:rPr>
          <w:iCs/>
          <w:sz w:val="20"/>
        </w:rPr>
        <w:t xml:space="preserve"> Praha 2014.</w:t>
      </w:r>
    </w:p>
    <w:p w:rsidR="008F5E88" w:rsidRDefault="008F5E88" w:rsidP="008F5E88">
      <w:pPr>
        <w:rPr>
          <w:rFonts w:eastAsiaTheme="majorEastAsia" w:cstheme="majorBidi"/>
          <w:color w:val="000000" w:themeColor="text1"/>
          <w:sz w:val="32"/>
          <w:szCs w:val="28"/>
          <w:u w:val="single"/>
        </w:rPr>
      </w:pPr>
      <w:r>
        <w:br w:type="page"/>
      </w:r>
    </w:p>
    <w:p w:rsidR="00A25BFB" w:rsidRPr="00BD022B" w:rsidRDefault="00A25BFB" w:rsidP="00773CC1">
      <w:pPr>
        <w:pStyle w:val="Nadpis1"/>
        <w:rPr>
          <w:sz w:val="36"/>
        </w:rPr>
      </w:pPr>
      <w:bookmarkStart w:id="40" w:name="_Toc398901341"/>
      <w:bookmarkStart w:id="41" w:name="_Toc399171091"/>
      <w:r w:rsidRPr="00BD022B">
        <w:lastRenderedPageBreak/>
        <w:t>Seznam zdrojů:</w:t>
      </w:r>
      <w:bookmarkEnd w:id="40"/>
      <w:bookmarkEnd w:id="41"/>
    </w:p>
    <w:p w:rsidR="00A25BFB" w:rsidRPr="007D0EED" w:rsidRDefault="00A25BFB" w:rsidP="00A25BFB">
      <w:pPr>
        <w:pStyle w:val="Odstavecseseznamem"/>
        <w:spacing w:before="120" w:line="360" w:lineRule="auto"/>
        <w:rPr>
          <w:rFonts w:cs="Arial"/>
          <w:sz w:val="24"/>
          <w:szCs w:val="20"/>
        </w:rPr>
      </w:pPr>
      <w:r w:rsidRPr="007D0EED">
        <w:rPr>
          <w:rFonts w:cs="Arial"/>
          <w:sz w:val="24"/>
          <w:szCs w:val="20"/>
          <w:u w:val="single"/>
        </w:rPr>
        <w:t>Monografie</w:t>
      </w:r>
      <w:r w:rsidRPr="007D0EED">
        <w:rPr>
          <w:rFonts w:cs="Arial"/>
          <w:sz w:val="24"/>
          <w:szCs w:val="20"/>
        </w:rPr>
        <w:t>:</w:t>
      </w:r>
    </w:p>
    <w:p w:rsidR="00A25BFB" w:rsidRPr="009E613A" w:rsidRDefault="00A25BFB" w:rsidP="000F1614">
      <w:pPr>
        <w:spacing w:before="120"/>
        <w:rPr>
          <w:rFonts w:cs="Arial"/>
          <w:sz w:val="20"/>
          <w:szCs w:val="20"/>
        </w:rPr>
      </w:pPr>
      <w:r w:rsidRPr="009E613A">
        <w:rPr>
          <w:rFonts w:cs="Arial"/>
          <w:sz w:val="20"/>
          <w:szCs w:val="20"/>
        </w:rPr>
        <w:t xml:space="preserve">CRAIG, Paul, DE BÚRCA, </w:t>
      </w:r>
      <w:proofErr w:type="spellStart"/>
      <w:r w:rsidRPr="009E613A">
        <w:rPr>
          <w:rFonts w:cs="Arial"/>
          <w:sz w:val="20"/>
          <w:szCs w:val="20"/>
        </w:rPr>
        <w:t>Gráinne</w:t>
      </w:r>
      <w:proofErr w:type="spellEnd"/>
      <w:r w:rsidRPr="009E613A">
        <w:rPr>
          <w:rFonts w:cs="Arial"/>
          <w:sz w:val="20"/>
          <w:szCs w:val="20"/>
        </w:rPr>
        <w:t xml:space="preserve">. </w:t>
      </w:r>
      <w:r w:rsidRPr="009E613A">
        <w:rPr>
          <w:rFonts w:cs="Arial"/>
          <w:i/>
          <w:sz w:val="20"/>
          <w:szCs w:val="20"/>
        </w:rPr>
        <w:t xml:space="preserve">EU </w:t>
      </w:r>
      <w:proofErr w:type="spellStart"/>
      <w:r w:rsidRPr="009E613A">
        <w:rPr>
          <w:rFonts w:cs="Arial"/>
          <w:i/>
          <w:sz w:val="20"/>
          <w:szCs w:val="20"/>
        </w:rPr>
        <w:t>law</w:t>
      </w:r>
      <w:proofErr w:type="spellEnd"/>
      <w:r w:rsidRPr="009E613A">
        <w:rPr>
          <w:rFonts w:cs="Arial"/>
          <w:i/>
          <w:sz w:val="20"/>
          <w:szCs w:val="20"/>
        </w:rPr>
        <w:t xml:space="preserve">: Text, </w:t>
      </w:r>
      <w:proofErr w:type="spellStart"/>
      <w:r w:rsidRPr="009E613A">
        <w:rPr>
          <w:rFonts w:cs="Arial"/>
          <w:i/>
          <w:sz w:val="20"/>
          <w:szCs w:val="20"/>
        </w:rPr>
        <w:t>cases</w:t>
      </w:r>
      <w:proofErr w:type="spellEnd"/>
      <w:r w:rsidRPr="009E613A">
        <w:rPr>
          <w:rFonts w:cs="Arial"/>
          <w:i/>
          <w:sz w:val="20"/>
          <w:szCs w:val="20"/>
        </w:rPr>
        <w:t xml:space="preserve"> </w:t>
      </w:r>
      <w:proofErr w:type="spellStart"/>
      <w:r w:rsidRPr="009E613A">
        <w:rPr>
          <w:rFonts w:cs="Arial"/>
          <w:i/>
          <w:sz w:val="20"/>
          <w:szCs w:val="20"/>
        </w:rPr>
        <w:t>and</w:t>
      </w:r>
      <w:proofErr w:type="spellEnd"/>
      <w:r w:rsidRPr="009E613A">
        <w:rPr>
          <w:rFonts w:cs="Arial"/>
          <w:i/>
          <w:sz w:val="20"/>
          <w:szCs w:val="20"/>
        </w:rPr>
        <w:t xml:space="preserve"> </w:t>
      </w:r>
      <w:proofErr w:type="spellStart"/>
      <w:r w:rsidRPr="009E613A">
        <w:rPr>
          <w:rFonts w:cs="Arial"/>
          <w:i/>
          <w:sz w:val="20"/>
          <w:szCs w:val="20"/>
        </w:rPr>
        <w:t>materials</w:t>
      </w:r>
      <w:proofErr w:type="spellEnd"/>
      <w:r w:rsidRPr="009E613A">
        <w:rPr>
          <w:rFonts w:cs="Arial"/>
          <w:sz w:val="20"/>
          <w:szCs w:val="20"/>
        </w:rPr>
        <w:t xml:space="preserve">. 4. </w:t>
      </w:r>
      <w:r w:rsidR="00845FBB" w:rsidRPr="009E613A">
        <w:rPr>
          <w:rFonts w:cs="Arial"/>
          <w:sz w:val="20"/>
          <w:szCs w:val="20"/>
        </w:rPr>
        <w:t>v</w:t>
      </w:r>
      <w:r w:rsidRPr="009E613A">
        <w:rPr>
          <w:rFonts w:cs="Arial"/>
          <w:sz w:val="20"/>
          <w:szCs w:val="20"/>
        </w:rPr>
        <w:t xml:space="preserve">ydání. New York: Oxford University </w:t>
      </w:r>
      <w:proofErr w:type="spellStart"/>
      <w:r w:rsidRPr="009E613A">
        <w:rPr>
          <w:rFonts w:cs="Arial"/>
          <w:sz w:val="20"/>
          <w:szCs w:val="20"/>
        </w:rPr>
        <w:t>Press</w:t>
      </w:r>
      <w:proofErr w:type="spellEnd"/>
      <w:r w:rsidRPr="009E613A">
        <w:rPr>
          <w:rFonts w:cs="Arial"/>
          <w:sz w:val="20"/>
          <w:szCs w:val="20"/>
        </w:rPr>
        <w:t>, 2008</w:t>
      </w:r>
      <w:r w:rsidR="00BB7C8F" w:rsidRPr="009E613A">
        <w:rPr>
          <w:rFonts w:cs="Arial"/>
          <w:sz w:val="20"/>
          <w:szCs w:val="20"/>
        </w:rPr>
        <w:t>, 1148</w:t>
      </w:r>
      <w:r w:rsidR="009A3543" w:rsidRPr="009E613A">
        <w:rPr>
          <w:rFonts w:cs="Arial"/>
          <w:sz w:val="20"/>
          <w:szCs w:val="20"/>
        </w:rPr>
        <w:t xml:space="preserve"> s</w:t>
      </w:r>
      <w:r w:rsidRPr="009E613A">
        <w:rPr>
          <w:rFonts w:cs="Arial"/>
          <w:sz w:val="20"/>
          <w:szCs w:val="20"/>
        </w:rPr>
        <w:t>.</w:t>
      </w:r>
    </w:p>
    <w:p w:rsidR="00845FBB" w:rsidRPr="009E613A" w:rsidRDefault="00845FBB" w:rsidP="000F1614">
      <w:pPr>
        <w:pStyle w:val="Odstavecseseznamem"/>
        <w:spacing w:before="120" w:line="360" w:lineRule="auto"/>
        <w:rPr>
          <w:rFonts w:cs="Arial"/>
          <w:szCs w:val="20"/>
        </w:rPr>
      </w:pPr>
      <w:r w:rsidRPr="009E613A">
        <w:rPr>
          <w:rFonts w:cs="Arial"/>
          <w:szCs w:val="20"/>
        </w:rPr>
        <w:t xml:space="preserve">DAVID, Vladislav, SLADKÝ, Pavel, ZBOŘIL, František. </w:t>
      </w:r>
      <w:r w:rsidRPr="009E613A">
        <w:rPr>
          <w:rFonts w:cs="Arial"/>
          <w:i/>
          <w:szCs w:val="20"/>
        </w:rPr>
        <w:t>Mezinárodní právo veřejné s </w:t>
      </w:r>
      <w:proofErr w:type="spellStart"/>
      <w:r w:rsidRPr="009E613A">
        <w:rPr>
          <w:rFonts w:cs="Arial"/>
          <w:i/>
          <w:szCs w:val="20"/>
        </w:rPr>
        <w:t>kauzuistikou</w:t>
      </w:r>
      <w:proofErr w:type="spellEnd"/>
      <w:r w:rsidRPr="009E613A">
        <w:rPr>
          <w:rFonts w:cs="Arial"/>
          <w:i/>
          <w:szCs w:val="20"/>
        </w:rPr>
        <w:t xml:space="preserve">. </w:t>
      </w:r>
      <w:r w:rsidRPr="009E613A">
        <w:rPr>
          <w:rFonts w:cs="Arial"/>
          <w:szCs w:val="20"/>
        </w:rPr>
        <w:t xml:space="preserve">1. vydání. Praha: </w:t>
      </w:r>
      <w:proofErr w:type="spellStart"/>
      <w:r w:rsidRPr="009E613A">
        <w:rPr>
          <w:rFonts w:cs="Arial"/>
          <w:szCs w:val="20"/>
        </w:rPr>
        <w:t>Leges</w:t>
      </w:r>
      <w:proofErr w:type="spellEnd"/>
      <w:r w:rsidRPr="009E613A">
        <w:rPr>
          <w:rFonts w:cs="Arial"/>
          <w:szCs w:val="20"/>
        </w:rPr>
        <w:t xml:space="preserve">, 2008, 432 s. </w:t>
      </w:r>
    </w:p>
    <w:p w:rsidR="00EE65B0" w:rsidRPr="009E613A" w:rsidRDefault="00EE65B0" w:rsidP="000F1614">
      <w:pPr>
        <w:pStyle w:val="Odstavecseseznamem"/>
        <w:spacing w:before="120" w:line="360" w:lineRule="auto"/>
        <w:rPr>
          <w:rFonts w:cs="Arial"/>
          <w:szCs w:val="20"/>
        </w:rPr>
      </w:pPr>
      <w:r w:rsidRPr="009E613A">
        <w:rPr>
          <w:rFonts w:cs="Arial"/>
          <w:szCs w:val="20"/>
        </w:rPr>
        <w:t xml:space="preserve">HAMUĹÁK, Ondrej, STEHLÍK, Václav. </w:t>
      </w:r>
      <w:r w:rsidRPr="009E613A">
        <w:rPr>
          <w:rFonts w:cs="Arial"/>
          <w:i/>
          <w:szCs w:val="20"/>
        </w:rPr>
        <w:t>Praktikum práva Evropské unie. Ústavní základy a soudnictví</w:t>
      </w:r>
      <w:r w:rsidRPr="009E613A">
        <w:rPr>
          <w:rFonts w:cs="Arial"/>
          <w:szCs w:val="20"/>
        </w:rPr>
        <w:t xml:space="preserve">. </w:t>
      </w:r>
      <w:r w:rsidR="009A3543" w:rsidRPr="009E613A">
        <w:rPr>
          <w:rFonts w:cs="Arial"/>
          <w:szCs w:val="20"/>
        </w:rPr>
        <w:t xml:space="preserve">Praha: </w:t>
      </w:r>
      <w:proofErr w:type="spellStart"/>
      <w:r w:rsidR="009A3543" w:rsidRPr="009E613A">
        <w:rPr>
          <w:rFonts w:cs="Arial"/>
          <w:szCs w:val="20"/>
        </w:rPr>
        <w:t>Leges</w:t>
      </w:r>
      <w:proofErr w:type="spellEnd"/>
      <w:r w:rsidR="009A3543" w:rsidRPr="009E613A">
        <w:rPr>
          <w:rFonts w:cs="Arial"/>
          <w:szCs w:val="20"/>
        </w:rPr>
        <w:t>, 2011, 176 s.</w:t>
      </w:r>
    </w:p>
    <w:p w:rsidR="006323C1" w:rsidRPr="009E613A" w:rsidRDefault="006323C1" w:rsidP="000F1614">
      <w:pPr>
        <w:spacing w:before="120"/>
        <w:rPr>
          <w:rFonts w:cs="Arial"/>
          <w:sz w:val="20"/>
          <w:szCs w:val="20"/>
        </w:rPr>
      </w:pPr>
      <w:r w:rsidRPr="009E613A">
        <w:rPr>
          <w:rFonts w:cs="Arial"/>
          <w:sz w:val="20"/>
          <w:szCs w:val="20"/>
        </w:rPr>
        <w:t>OUTLÁ, Veronika a kol.</w:t>
      </w:r>
      <w:r w:rsidR="009E613A" w:rsidRPr="009E613A">
        <w:rPr>
          <w:rFonts w:cs="Arial"/>
          <w:sz w:val="20"/>
          <w:szCs w:val="20"/>
        </w:rPr>
        <w:t xml:space="preserve"> </w:t>
      </w:r>
      <w:r w:rsidRPr="009E613A">
        <w:rPr>
          <w:rFonts w:cs="Arial"/>
          <w:i/>
          <w:sz w:val="20"/>
          <w:szCs w:val="20"/>
        </w:rPr>
        <w:t>Právo evropské unie</w:t>
      </w:r>
      <w:r w:rsidRPr="009E613A">
        <w:rPr>
          <w:rFonts w:cs="Arial"/>
          <w:sz w:val="20"/>
          <w:szCs w:val="20"/>
        </w:rPr>
        <w:t>. Plzeň: Vyd. a nakl. Aleš Čeněk, 2006, s. 388.</w:t>
      </w:r>
    </w:p>
    <w:p w:rsidR="00AF5FEA" w:rsidRPr="009E613A" w:rsidRDefault="00AF5FEA" w:rsidP="000F1614">
      <w:pPr>
        <w:pStyle w:val="Odstavecseseznamem"/>
        <w:spacing w:before="120" w:line="360" w:lineRule="auto"/>
        <w:rPr>
          <w:rFonts w:cs="Arial"/>
          <w:szCs w:val="20"/>
        </w:rPr>
      </w:pPr>
      <w:r w:rsidRPr="009E613A">
        <w:t xml:space="preserve">RAWLINGS, Richard, HARLOW, Carol. </w:t>
      </w:r>
      <w:proofErr w:type="spellStart"/>
      <w:r w:rsidRPr="009E613A">
        <w:rPr>
          <w:i/>
        </w:rPr>
        <w:t>Accountability</w:t>
      </w:r>
      <w:proofErr w:type="spellEnd"/>
      <w:r w:rsidRPr="009E613A">
        <w:rPr>
          <w:i/>
        </w:rPr>
        <w:t xml:space="preserve"> </w:t>
      </w:r>
      <w:proofErr w:type="spellStart"/>
      <w:r w:rsidRPr="009E613A">
        <w:rPr>
          <w:i/>
        </w:rPr>
        <w:t>and</w:t>
      </w:r>
      <w:proofErr w:type="spellEnd"/>
      <w:r w:rsidRPr="009E613A">
        <w:rPr>
          <w:i/>
        </w:rPr>
        <w:t xml:space="preserve"> </w:t>
      </w:r>
      <w:proofErr w:type="spellStart"/>
      <w:r w:rsidRPr="009E613A">
        <w:rPr>
          <w:i/>
        </w:rPr>
        <w:t>Law</w:t>
      </w:r>
      <w:proofErr w:type="spellEnd"/>
      <w:r w:rsidRPr="009E613A">
        <w:rPr>
          <w:i/>
        </w:rPr>
        <w:t xml:space="preserve"> </w:t>
      </w:r>
      <w:proofErr w:type="spellStart"/>
      <w:r w:rsidRPr="009E613A">
        <w:rPr>
          <w:i/>
        </w:rPr>
        <w:t>Enforcement</w:t>
      </w:r>
      <w:proofErr w:type="spellEnd"/>
      <w:r w:rsidRPr="009E613A">
        <w:rPr>
          <w:i/>
        </w:rPr>
        <w:t xml:space="preserve">: </w:t>
      </w:r>
      <w:proofErr w:type="spellStart"/>
      <w:r w:rsidRPr="009E613A">
        <w:rPr>
          <w:i/>
        </w:rPr>
        <w:t>The</w:t>
      </w:r>
      <w:proofErr w:type="spellEnd"/>
      <w:r w:rsidRPr="009E613A">
        <w:rPr>
          <w:i/>
        </w:rPr>
        <w:t xml:space="preserve"> </w:t>
      </w:r>
      <w:proofErr w:type="spellStart"/>
      <w:r w:rsidRPr="009E613A">
        <w:rPr>
          <w:i/>
        </w:rPr>
        <w:t>centralised</w:t>
      </w:r>
      <w:proofErr w:type="spellEnd"/>
      <w:r w:rsidRPr="009E613A">
        <w:rPr>
          <w:i/>
        </w:rPr>
        <w:t xml:space="preserve"> EU </w:t>
      </w:r>
      <w:proofErr w:type="spellStart"/>
      <w:r w:rsidRPr="009E613A">
        <w:rPr>
          <w:i/>
        </w:rPr>
        <w:t>enfringement</w:t>
      </w:r>
      <w:proofErr w:type="spellEnd"/>
      <w:r w:rsidRPr="009E613A">
        <w:rPr>
          <w:i/>
        </w:rPr>
        <w:t xml:space="preserve"> procedure. </w:t>
      </w:r>
      <w:proofErr w:type="spellStart"/>
      <w:r w:rsidRPr="009E613A">
        <w:rPr>
          <w:iCs/>
        </w:rPr>
        <w:t>European</w:t>
      </w:r>
      <w:proofErr w:type="spellEnd"/>
      <w:r w:rsidRPr="009E613A">
        <w:rPr>
          <w:iCs/>
        </w:rPr>
        <w:t xml:space="preserve"> </w:t>
      </w:r>
      <w:proofErr w:type="spellStart"/>
      <w:r w:rsidRPr="009E613A">
        <w:rPr>
          <w:iCs/>
        </w:rPr>
        <w:t>Law</w:t>
      </w:r>
      <w:proofErr w:type="spellEnd"/>
      <w:r w:rsidRPr="009E613A">
        <w:rPr>
          <w:iCs/>
        </w:rPr>
        <w:t xml:space="preserve"> </w:t>
      </w:r>
      <w:proofErr w:type="spellStart"/>
      <w:r w:rsidRPr="009E613A">
        <w:rPr>
          <w:iCs/>
        </w:rPr>
        <w:t>Review</w:t>
      </w:r>
      <w:proofErr w:type="spellEnd"/>
      <w:r w:rsidRPr="009E613A">
        <w:rPr>
          <w:iCs/>
        </w:rPr>
        <w:t xml:space="preserve">, </w:t>
      </w:r>
      <w:r w:rsidR="00407C85" w:rsidRPr="009E613A">
        <w:t>2006</w:t>
      </w:r>
      <w:r w:rsidR="00A941AF" w:rsidRPr="009E613A">
        <w:t>, 447</w:t>
      </w:r>
      <w:r w:rsidR="00407C85" w:rsidRPr="009E613A">
        <w:t>.</w:t>
      </w:r>
    </w:p>
    <w:p w:rsidR="005E0E94" w:rsidRPr="009E613A" w:rsidRDefault="005E0E94" w:rsidP="000F1614">
      <w:pPr>
        <w:pStyle w:val="Odstavecseseznamem"/>
        <w:spacing w:before="120" w:line="360" w:lineRule="auto"/>
        <w:rPr>
          <w:rFonts w:cs="Arial"/>
          <w:szCs w:val="20"/>
        </w:rPr>
      </w:pPr>
      <w:r w:rsidRPr="009E613A">
        <w:rPr>
          <w:rFonts w:cs="Arial"/>
          <w:szCs w:val="20"/>
        </w:rPr>
        <w:t xml:space="preserve">SVOBODA, Pavel. </w:t>
      </w:r>
      <w:r w:rsidRPr="009E613A">
        <w:rPr>
          <w:rFonts w:cs="Arial"/>
          <w:i/>
          <w:szCs w:val="20"/>
        </w:rPr>
        <w:t>Úvod do evropského práva.</w:t>
      </w:r>
      <w:r w:rsidRPr="009E613A">
        <w:rPr>
          <w:rFonts w:cs="Arial"/>
          <w:szCs w:val="20"/>
        </w:rPr>
        <w:t xml:space="preserve"> Praha: C. H. Beck, 2013, s. 158. </w:t>
      </w:r>
    </w:p>
    <w:p w:rsidR="00A25BFB" w:rsidRPr="009E613A" w:rsidRDefault="00A25BFB" w:rsidP="000F1614">
      <w:pPr>
        <w:pStyle w:val="Odstavecseseznamem"/>
        <w:spacing w:before="120" w:line="360" w:lineRule="auto"/>
        <w:rPr>
          <w:rFonts w:cs="Arial"/>
          <w:szCs w:val="20"/>
        </w:rPr>
      </w:pPr>
      <w:r w:rsidRPr="009E613A">
        <w:rPr>
          <w:rFonts w:cs="Arial"/>
          <w:szCs w:val="20"/>
        </w:rPr>
        <w:t xml:space="preserve">SYLLOVÁ, Jindřiška, PÍTROVÁ, Lenka, PALDUSOVÁ, Helena a kol. </w:t>
      </w:r>
      <w:r w:rsidRPr="009E613A">
        <w:rPr>
          <w:rFonts w:cs="Arial"/>
          <w:i/>
          <w:szCs w:val="20"/>
        </w:rPr>
        <w:t>Lisabonská smlouva, komentář</w:t>
      </w:r>
      <w:r w:rsidRPr="009E613A">
        <w:rPr>
          <w:rFonts w:cs="Arial"/>
          <w:szCs w:val="20"/>
        </w:rPr>
        <w:t>. Praha: C. H. Beck, 2010</w:t>
      </w:r>
      <w:r w:rsidR="006323C1" w:rsidRPr="009E613A">
        <w:rPr>
          <w:rFonts w:cs="Arial"/>
          <w:szCs w:val="20"/>
        </w:rPr>
        <w:t>, s. 1299</w:t>
      </w:r>
      <w:r w:rsidRPr="009E613A">
        <w:rPr>
          <w:rFonts w:cs="Arial"/>
          <w:szCs w:val="20"/>
        </w:rPr>
        <w:t>.</w:t>
      </w:r>
    </w:p>
    <w:p w:rsidR="00A25BFB" w:rsidRPr="009E613A" w:rsidRDefault="00A25BFB" w:rsidP="000F1614">
      <w:pPr>
        <w:pStyle w:val="Odstavecseseznamem"/>
        <w:spacing w:before="120" w:line="360" w:lineRule="auto"/>
        <w:rPr>
          <w:rFonts w:cs="Arial"/>
          <w:szCs w:val="20"/>
        </w:rPr>
      </w:pPr>
      <w:r w:rsidRPr="009E613A">
        <w:rPr>
          <w:rFonts w:cs="Arial"/>
          <w:szCs w:val="20"/>
        </w:rPr>
        <w:t xml:space="preserve">ŠIŠKOVÁ, Naděžda, STEHLÍK, Václav. </w:t>
      </w:r>
      <w:r w:rsidRPr="009E613A">
        <w:rPr>
          <w:rFonts w:cs="Arial"/>
          <w:i/>
          <w:szCs w:val="20"/>
        </w:rPr>
        <w:t>Evropské právo I – Ústavní základy EU</w:t>
      </w:r>
      <w:r w:rsidRPr="009E613A">
        <w:rPr>
          <w:rFonts w:cs="Arial"/>
          <w:szCs w:val="20"/>
        </w:rPr>
        <w:t>. Praha: Linde, 2007.</w:t>
      </w:r>
    </w:p>
    <w:p w:rsidR="00A25BFB" w:rsidRPr="009E613A" w:rsidRDefault="00A25BFB" w:rsidP="000F1614">
      <w:pPr>
        <w:pStyle w:val="Odstavecseseznamem"/>
        <w:spacing w:before="120" w:line="360" w:lineRule="auto"/>
        <w:rPr>
          <w:rFonts w:cs="Arial"/>
          <w:szCs w:val="20"/>
        </w:rPr>
      </w:pPr>
      <w:r w:rsidRPr="009E613A">
        <w:rPr>
          <w:rFonts w:cs="Arial"/>
          <w:szCs w:val="20"/>
        </w:rPr>
        <w:t xml:space="preserve">ŠLOSARČÍK, Ivo a kol. </w:t>
      </w:r>
      <w:r w:rsidRPr="009E613A">
        <w:rPr>
          <w:rFonts w:cs="Arial"/>
          <w:i/>
          <w:szCs w:val="20"/>
        </w:rPr>
        <w:t>Instituce Evropské unie a Lisabonská smlouva</w:t>
      </w:r>
      <w:r w:rsidRPr="009E613A">
        <w:rPr>
          <w:rFonts w:cs="Arial"/>
          <w:szCs w:val="20"/>
        </w:rPr>
        <w:t xml:space="preserve">. Praha: </w:t>
      </w:r>
      <w:proofErr w:type="spellStart"/>
      <w:r w:rsidRPr="009E613A">
        <w:rPr>
          <w:rFonts w:cs="Arial"/>
          <w:szCs w:val="20"/>
        </w:rPr>
        <w:t>Grada</w:t>
      </w:r>
      <w:proofErr w:type="spellEnd"/>
      <w:r w:rsidR="00E10E44" w:rsidRPr="009E613A">
        <w:rPr>
          <w:rFonts w:cs="Arial"/>
          <w:szCs w:val="20"/>
        </w:rPr>
        <w:t xml:space="preserve"> </w:t>
      </w:r>
      <w:proofErr w:type="spellStart"/>
      <w:r w:rsidRPr="009E613A">
        <w:rPr>
          <w:rFonts w:cs="Arial"/>
          <w:szCs w:val="20"/>
        </w:rPr>
        <w:t>Publishing</w:t>
      </w:r>
      <w:proofErr w:type="spellEnd"/>
      <w:r w:rsidRPr="009E613A">
        <w:rPr>
          <w:rFonts w:cs="Arial"/>
          <w:szCs w:val="20"/>
        </w:rPr>
        <w:t>, a.s., 2013</w:t>
      </w:r>
      <w:r w:rsidR="00A941AF" w:rsidRPr="009E613A">
        <w:rPr>
          <w:rFonts w:cs="Arial"/>
          <w:szCs w:val="20"/>
        </w:rPr>
        <w:t>, s. 248.</w:t>
      </w:r>
    </w:p>
    <w:p w:rsidR="00A25BFB" w:rsidRPr="009E613A" w:rsidRDefault="00A25BFB" w:rsidP="000F1614">
      <w:pPr>
        <w:spacing w:before="120"/>
        <w:rPr>
          <w:rFonts w:cs="Arial"/>
          <w:sz w:val="20"/>
          <w:szCs w:val="20"/>
        </w:rPr>
      </w:pPr>
      <w:r w:rsidRPr="009E613A">
        <w:rPr>
          <w:rFonts w:cs="Arial"/>
          <w:sz w:val="20"/>
          <w:szCs w:val="20"/>
        </w:rPr>
        <w:t xml:space="preserve">ŠLOSARČÍK, Ivo. </w:t>
      </w:r>
      <w:r w:rsidRPr="009E613A">
        <w:rPr>
          <w:rFonts w:cs="Arial"/>
          <w:i/>
          <w:sz w:val="20"/>
          <w:szCs w:val="20"/>
        </w:rPr>
        <w:t>Evropský soudní dvůr a soudy členských států Evropské unie</w:t>
      </w:r>
      <w:r w:rsidRPr="009E613A">
        <w:rPr>
          <w:rFonts w:cs="Arial"/>
          <w:sz w:val="20"/>
          <w:szCs w:val="20"/>
        </w:rPr>
        <w:t>. Praha: Justiční akademie ČR, 2005.</w:t>
      </w:r>
    </w:p>
    <w:p w:rsidR="006323C1" w:rsidRPr="009E613A" w:rsidRDefault="006323C1" w:rsidP="000F1614">
      <w:pPr>
        <w:spacing w:before="120"/>
        <w:rPr>
          <w:rFonts w:cs="Arial"/>
          <w:sz w:val="20"/>
          <w:szCs w:val="20"/>
        </w:rPr>
      </w:pPr>
      <w:r w:rsidRPr="009E613A">
        <w:rPr>
          <w:rFonts w:cs="Arial"/>
          <w:sz w:val="20"/>
          <w:szCs w:val="20"/>
        </w:rPr>
        <w:t xml:space="preserve">TICHÝ, Luboš a kol. </w:t>
      </w:r>
      <w:r w:rsidRPr="009E613A">
        <w:rPr>
          <w:rFonts w:cs="Arial"/>
          <w:i/>
          <w:sz w:val="20"/>
          <w:szCs w:val="20"/>
        </w:rPr>
        <w:t>Evropské právo</w:t>
      </w:r>
      <w:r w:rsidRPr="009E613A">
        <w:rPr>
          <w:rFonts w:cs="Arial"/>
          <w:sz w:val="20"/>
          <w:szCs w:val="20"/>
        </w:rPr>
        <w:t>. 4. vydání. Praha: C. H. Beck, 2011, s. 953.</w:t>
      </w:r>
    </w:p>
    <w:p w:rsidR="007723D6" w:rsidRPr="009E613A" w:rsidRDefault="007723D6" w:rsidP="000F1614">
      <w:pPr>
        <w:spacing w:before="120"/>
        <w:rPr>
          <w:rFonts w:cs="Arial"/>
          <w:sz w:val="20"/>
          <w:szCs w:val="20"/>
        </w:rPr>
      </w:pPr>
      <w:r w:rsidRPr="009E613A">
        <w:rPr>
          <w:rFonts w:cs="Arial"/>
          <w:sz w:val="20"/>
          <w:szCs w:val="20"/>
        </w:rPr>
        <w:t xml:space="preserve">TOMÁŠEK, Michal, TÝČ, Vladimír a kol. </w:t>
      </w:r>
      <w:r w:rsidRPr="009E613A">
        <w:rPr>
          <w:rFonts w:cs="Arial"/>
          <w:i/>
          <w:sz w:val="20"/>
          <w:szCs w:val="20"/>
        </w:rPr>
        <w:t>Právo Evropské unie</w:t>
      </w:r>
      <w:r w:rsidRPr="009E613A">
        <w:rPr>
          <w:rFonts w:cs="Arial"/>
          <w:sz w:val="20"/>
          <w:szCs w:val="20"/>
        </w:rPr>
        <w:t xml:space="preserve">. Praha: </w:t>
      </w:r>
      <w:proofErr w:type="spellStart"/>
      <w:r w:rsidRPr="009E613A">
        <w:rPr>
          <w:rFonts w:cs="Arial"/>
          <w:sz w:val="20"/>
          <w:szCs w:val="20"/>
        </w:rPr>
        <w:t>Leges</w:t>
      </w:r>
      <w:proofErr w:type="spellEnd"/>
      <w:r w:rsidRPr="009E613A">
        <w:rPr>
          <w:rFonts w:cs="Arial"/>
          <w:sz w:val="20"/>
          <w:szCs w:val="20"/>
        </w:rPr>
        <w:t>, 2013, s. 494.</w:t>
      </w:r>
    </w:p>
    <w:p w:rsidR="00A25BFB" w:rsidRPr="009E613A" w:rsidRDefault="00A25BFB" w:rsidP="000F1614">
      <w:pPr>
        <w:spacing w:before="120"/>
        <w:rPr>
          <w:rFonts w:cs="Arial"/>
          <w:sz w:val="20"/>
          <w:szCs w:val="20"/>
        </w:rPr>
      </w:pPr>
      <w:r w:rsidRPr="009E613A">
        <w:rPr>
          <w:rFonts w:cs="Arial"/>
          <w:sz w:val="20"/>
          <w:szCs w:val="20"/>
        </w:rPr>
        <w:t xml:space="preserve">TÝČ, Vladimír. </w:t>
      </w:r>
      <w:r w:rsidRPr="009E613A">
        <w:rPr>
          <w:rFonts w:cs="Arial"/>
          <w:i/>
          <w:sz w:val="20"/>
          <w:szCs w:val="20"/>
        </w:rPr>
        <w:t>Základy práva Evropské unie pro ekonomy</w:t>
      </w:r>
      <w:r w:rsidRPr="009E613A">
        <w:rPr>
          <w:rFonts w:cs="Arial"/>
          <w:sz w:val="20"/>
          <w:szCs w:val="20"/>
        </w:rPr>
        <w:t>. 4. vydání. Praha: Linde, 2004</w:t>
      </w:r>
      <w:r w:rsidR="00A246C4" w:rsidRPr="009E613A">
        <w:rPr>
          <w:rFonts w:cs="Arial"/>
          <w:sz w:val="20"/>
          <w:szCs w:val="20"/>
        </w:rPr>
        <w:t>, s. 304</w:t>
      </w:r>
      <w:r w:rsidRPr="009E613A">
        <w:rPr>
          <w:rFonts w:cs="Arial"/>
          <w:sz w:val="20"/>
          <w:szCs w:val="20"/>
        </w:rPr>
        <w:t>.</w:t>
      </w:r>
    </w:p>
    <w:p w:rsidR="00A25BFB" w:rsidRDefault="00A25BFB" w:rsidP="00A25BFB">
      <w:pPr>
        <w:pStyle w:val="Odstavecseseznamem"/>
        <w:spacing w:before="120" w:line="360" w:lineRule="auto"/>
        <w:rPr>
          <w:rFonts w:cs="Arial"/>
          <w:szCs w:val="20"/>
        </w:rPr>
      </w:pPr>
    </w:p>
    <w:p w:rsidR="00A25BFB" w:rsidRPr="007D0EED" w:rsidRDefault="00A25BFB" w:rsidP="00A25BFB">
      <w:pPr>
        <w:spacing w:before="120"/>
        <w:rPr>
          <w:rFonts w:cs="Arial"/>
          <w:szCs w:val="20"/>
          <w:u w:val="single"/>
        </w:rPr>
      </w:pPr>
      <w:r w:rsidRPr="007D0EED">
        <w:rPr>
          <w:rFonts w:cs="Arial"/>
          <w:szCs w:val="20"/>
          <w:u w:val="single"/>
        </w:rPr>
        <w:t>Odborný článek:</w:t>
      </w:r>
    </w:p>
    <w:p w:rsidR="00F33171" w:rsidRDefault="00F33171" w:rsidP="00A25BFB">
      <w:pPr>
        <w:pStyle w:val="Odstavecseseznamem"/>
        <w:spacing w:before="120" w:line="360" w:lineRule="auto"/>
        <w:rPr>
          <w:rFonts w:cs="Arial"/>
          <w:szCs w:val="20"/>
        </w:rPr>
      </w:pPr>
      <w:r>
        <w:t xml:space="preserve">ASHMORE, Denise, TERRETT, </w:t>
      </w:r>
      <w:proofErr w:type="spellStart"/>
      <w:r>
        <w:t>Steve</w:t>
      </w:r>
      <w:proofErr w:type="spellEnd"/>
      <w:r>
        <w:t xml:space="preserve">. </w:t>
      </w:r>
      <w:r w:rsidRPr="00A36089">
        <w:rPr>
          <w:i/>
        </w:rPr>
        <w:t>Odpovědnost za škodu v Evropském společenství</w:t>
      </w:r>
      <w:r>
        <w:rPr>
          <w:i/>
        </w:rPr>
        <w:t xml:space="preserve"> </w:t>
      </w:r>
      <w:r w:rsidRPr="003606D2">
        <w:rPr>
          <w:rFonts w:cs="Arial"/>
          <w:szCs w:val="20"/>
        </w:rPr>
        <w:t>[online]</w:t>
      </w:r>
      <w:r>
        <w:t xml:space="preserve">. </w:t>
      </w:r>
      <w:proofErr w:type="spellStart"/>
      <w:r>
        <w:t>Epravo</w:t>
      </w:r>
      <w:proofErr w:type="spellEnd"/>
      <w:r>
        <w:t xml:space="preserve">. </w:t>
      </w:r>
      <w:proofErr w:type="spellStart"/>
      <w:r>
        <w:t>cz</w:t>
      </w:r>
      <w:proofErr w:type="spellEnd"/>
      <w:r>
        <w:t xml:space="preserve">, </w:t>
      </w:r>
      <w:r w:rsidRPr="003606D2">
        <w:rPr>
          <w:rFonts w:cs="Arial"/>
          <w:szCs w:val="20"/>
        </w:rPr>
        <w:t xml:space="preserve">[cit. </w:t>
      </w:r>
      <w:r>
        <w:rPr>
          <w:rFonts w:cs="Arial"/>
        </w:rPr>
        <w:t>20</w:t>
      </w:r>
      <w:r w:rsidRPr="003606D2">
        <w:rPr>
          <w:rFonts w:cs="Arial"/>
          <w:szCs w:val="20"/>
        </w:rPr>
        <w:t xml:space="preserve">. </w:t>
      </w:r>
      <w:r>
        <w:rPr>
          <w:rFonts w:cs="Arial"/>
        </w:rPr>
        <w:t>září</w:t>
      </w:r>
      <w:r w:rsidRPr="003606D2">
        <w:rPr>
          <w:rFonts w:cs="Arial"/>
          <w:szCs w:val="20"/>
        </w:rPr>
        <w:t xml:space="preserve"> 2014]</w:t>
      </w:r>
      <w:r>
        <w:rPr>
          <w:rFonts w:cs="Arial"/>
        </w:rPr>
        <w:t xml:space="preserve">. Dostupné na </w:t>
      </w:r>
      <w:r w:rsidRPr="003606D2">
        <w:rPr>
          <w:rFonts w:cs="Arial"/>
          <w:szCs w:val="20"/>
        </w:rPr>
        <w:t>&lt;</w:t>
      </w:r>
      <w:r w:rsidRPr="00A36089">
        <w:rPr>
          <w:rFonts w:cs="Arial"/>
        </w:rPr>
        <w:t>http://www.epravo.cz/top/clanky/odpovednost-za-skodu-v-evropskem-spolecenstvi-45718.html</w:t>
      </w:r>
      <w:r w:rsidRPr="003606D2">
        <w:rPr>
          <w:rFonts w:cs="Arial"/>
          <w:szCs w:val="20"/>
        </w:rPr>
        <w:t>&gt;.</w:t>
      </w:r>
    </w:p>
    <w:p w:rsidR="009E613A" w:rsidRPr="009E613A" w:rsidRDefault="009E613A" w:rsidP="009E613A">
      <w:pPr>
        <w:spacing w:before="120"/>
        <w:rPr>
          <w:rFonts w:cs="Arial"/>
          <w:sz w:val="20"/>
          <w:szCs w:val="20"/>
        </w:rPr>
      </w:pPr>
      <w:r w:rsidRPr="009E613A">
        <w:rPr>
          <w:rFonts w:cs="Arial"/>
          <w:sz w:val="20"/>
          <w:szCs w:val="20"/>
        </w:rPr>
        <w:t xml:space="preserve">BLAHUŠIAK, Igor. </w:t>
      </w:r>
      <w:r w:rsidRPr="009E613A">
        <w:rPr>
          <w:rFonts w:cs="Arial"/>
          <w:i/>
          <w:sz w:val="20"/>
          <w:szCs w:val="20"/>
        </w:rPr>
        <w:t>Evropský soudní dvůr</w:t>
      </w:r>
      <w:r w:rsidRPr="009E613A">
        <w:rPr>
          <w:rFonts w:cs="Arial"/>
          <w:sz w:val="20"/>
          <w:szCs w:val="20"/>
        </w:rPr>
        <w:t xml:space="preserve"> [online]. Euroskop.cz, [cit. 16. května 2014]. Dostupné na &lt;https://www.euroskop.cz/101/sekce/evropsky-soudni-dvur/&gt;.</w:t>
      </w:r>
    </w:p>
    <w:p w:rsidR="00A36089" w:rsidRDefault="00A36089" w:rsidP="00A25BFB">
      <w:pPr>
        <w:pStyle w:val="Odstavecseseznamem"/>
        <w:spacing w:before="120" w:line="360" w:lineRule="auto"/>
        <w:rPr>
          <w:rFonts w:cs="Arial"/>
          <w:szCs w:val="20"/>
        </w:rPr>
      </w:pPr>
      <w:r w:rsidRPr="00A36089">
        <w:rPr>
          <w:rFonts w:cs="Arial"/>
          <w:szCs w:val="20"/>
        </w:rPr>
        <w:t xml:space="preserve">DONNÉ, Michal. </w:t>
      </w:r>
      <w:r w:rsidRPr="00A36089">
        <w:rPr>
          <w:rFonts w:cs="Arial"/>
          <w:bCs/>
          <w:i/>
          <w:szCs w:val="20"/>
        </w:rPr>
        <w:t xml:space="preserve">Odpovědnost členského státu za škodu vzniklou porušením povinnosti uložené komunitárním právem </w:t>
      </w:r>
      <w:r w:rsidRPr="00A36089">
        <w:rPr>
          <w:rFonts w:cs="Arial"/>
          <w:szCs w:val="20"/>
        </w:rPr>
        <w:t>[online]. Danarionline.cz, [cit. 19. září 2014]. Dostupné na &lt;http://www.danarionline.cz/archiv/dokument/doc-d5276v7325-odpovednost-clenskeho-statu-za-skodu-vzniklou-porusenim-povinnosti/&gt;.</w:t>
      </w:r>
    </w:p>
    <w:p w:rsidR="00A25BFB" w:rsidRPr="00A25BFB" w:rsidRDefault="00A25BFB" w:rsidP="00A25BFB">
      <w:pPr>
        <w:pStyle w:val="Odstavecseseznamem"/>
        <w:spacing w:before="120" w:line="360" w:lineRule="auto"/>
        <w:rPr>
          <w:rFonts w:cs="Arial"/>
          <w:szCs w:val="20"/>
        </w:rPr>
      </w:pPr>
      <w:r w:rsidRPr="00A25BFB">
        <w:rPr>
          <w:rFonts w:cs="Arial"/>
          <w:szCs w:val="20"/>
        </w:rPr>
        <w:lastRenderedPageBreak/>
        <w:t xml:space="preserve">KOMÁREK, Jan. Česká republika před Soudním dvorem ES. </w:t>
      </w:r>
      <w:r w:rsidRPr="00A25BFB">
        <w:rPr>
          <w:rFonts w:cs="Arial"/>
          <w:i/>
          <w:szCs w:val="20"/>
        </w:rPr>
        <w:t>Jurisprudence</w:t>
      </w:r>
      <w:r w:rsidRPr="00A25BFB">
        <w:rPr>
          <w:rFonts w:cs="Arial"/>
          <w:szCs w:val="20"/>
        </w:rPr>
        <w:t xml:space="preserve">, 2006, roč. 6, č. 2, </w:t>
      </w:r>
      <w:proofErr w:type="gramStart"/>
      <w:r w:rsidRPr="00A25BFB">
        <w:rPr>
          <w:rFonts w:cs="Arial"/>
          <w:szCs w:val="20"/>
        </w:rPr>
        <w:t>s.27</w:t>
      </w:r>
      <w:proofErr w:type="gramEnd"/>
      <w:r w:rsidR="0020477A">
        <w:rPr>
          <w:rFonts w:cs="Arial"/>
          <w:szCs w:val="20"/>
        </w:rPr>
        <w:noBreakHyphen/>
      </w:r>
      <w:r w:rsidRPr="00A25BFB">
        <w:rPr>
          <w:rFonts w:cs="Arial"/>
          <w:szCs w:val="20"/>
        </w:rPr>
        <w:t>32.</w:t>
      </w:r>
    </w:p>
    <w:p w:rsidR="00A25BFB" w:rsidRPr="00A25BFB" w:rsidRDefault="00A25BFB" w:rsidP="00A25BFB">
      <w:pPr>
        <w:pStyle w:val="Odstavecseseznamem"/>
        <w:spacing w:before="120" w:line="360" w:lineRule="auto"/>
        <w:rPr>
          <w:rFonts w:cs="Arial"/>
          <w:szCs w:val="20"/>
        </w:rPr>
      </w:pPr>
      <w:r w:rsidRPr="00A25BFB">
        <w:rPr>
          <w:rFonts w:cs="Arial"/>
          <w:szCs w:val="20"/>
        </w:rPr>
        <w:t xml:space="preserve">NEUBAUER, Jindřich. Sankce za nerespektování rozsudku ESD o porušení práva ES. </w:t>
      </w:r>
      <w:r w:rsidRPr="00A25BFB">
        <w:rPr>
          <w:rFonts w:cs="Arial"/>
          <w:i/>
          <w:szCs w:val="20"/>
        </w:rPr>
        <w:t>Jurisprudence</w:t>
      </w:r>
      <w:r w:rsidRPr="00A25BFB">
        <w:rPr>
          <w:rFonts w:cs="Arial"/>
          <w:szCs w:val="20"/>
        </w:rPr>
        <w:t>, 2009, roč. 18, č. 2, s. 9-13.</w:t>
      </w:r>
    </w:p>
    <w:p w:rsidR="00A25BFB" w:rsidRPr="00A25BFB" w:rsidRDefault="00A25BFB" w:rsidP="00A25BFB">
      <w:pPr>
        <w:pStyle w:val="Odstavecseseznamem"/>
        <w:spacing w:before="120" w:line="360" w:lineRule="auto"/>
        <w:rPr>
          <w:rFonts w:cs="Arial"/>
          <w:szCs w:val="20"/>
        </w:rPr>
      </w:pPr>
      <w:r w:rsidRPr="00A25BFB">
        <w:rPr>
          <w:rFonts w:cs="Arial"/>
          <w:iCs/>
          <w:szCs w:val="20"/>
        </w:rPr>
        <w:t xml:space="preserve">PETRAŠEVIĆ, </w:t>
      </w:r>
      <w:proofErr w:type="spellStart"/>
      <w:r w:rsidRPr="00A25BFB">
        <w:rPr>
          <w:rFonts w:cs="Arial"/>
          <w:iCs/>
          <w:szCs w:val="20"/>
        </w:rPr>
        <w:t>Tunjica</w:t>
      </w:r>
      <w:proofErr w:type="spellEnd"/>
      <w:r w:rsidRPr="00A25BFB">
        <w:rPr>
          <w:rFonts w:cs="Arial"/>
          <w:iCs/>
          <w:szCs w:val="20"/>
        </w:rPr>
        <w:t>, DADIĆ, Marina</w:t>
      </w:r>
      <w:r w:rsidRPr="00A25BFB">
        <w:rPr>
          <w:rFonts w:cs="Arial"/>
          <w:i/>
          <w:iCs/>
          <w:szCs w:val="20"/>
        </w:rPr>
        <w:t xml:space="preserve">. </w:t>
      </w:r>
      <w:proofErr w:type="spellStart"/>
      <w:r w:rsidRPr="00A25BFB">
        <w:rPr>
          <w:rFonts w:cs="Arial"/>
          <w:i/>
          <w:iCs/>
          <w:szCs w:val="20"/>
        </w:rPr>
        <w:t>Infringement</w:t>
      </w:r>
      <w:proofErr w:type="spellEnd"/>
      <w:r w:rsidR="00E10E44">
        <w:rPr>
          <w:rFonts w:cs="Arial"/>
          <w:i/>
          <w:iCs/>
          <w:szCs w:val="20"/>
        </w:rPr>
        <w:t xml:space="preserve"> </w:t>
      </w:r>
      <w:proofErr w:type="spellStart"/>
      <w:r w:rsidRPr="00A25BFB">
        <w:rPr>
          <w:rFonts w:cs="Arial"/>
          <w:i/>
          <w:iCs/>
          <w:szCs w:val="20"/>
        </w:rPr>
        <w:t>procedures</w:t>
      </w:r>
      <w:proofErr w:type="spellEnd"/>
      <w:r w:rsidR="00E10E44">
        <w:rPr>
          <w:rFonts w:cs="Arial"/>
          <w:i/>
          <w:iCs/>
          <w:szCs w:val="20"/>
        </w:rPr>
        <w:t xml:space="preserve"> </w:t>
      </w:r>
      <w:proofErr w:type="spellStart"/>
      <w:r w:rsidRPr="00A25BFB">
        <w:rPr>
          <w:rFonts w:cs="Arial"/>
          <w:i/>
          <w:iCs/>
          <w:szCs w:val="20"/>
        </w:rPr>
        <w:t>before</w:t>
      </w:r>
      <w:proofErr w:type="spellEnd"/>
      <w:r w:rsidR="00E10E44">
        <w:rPr>
          <w:rFonts w:cs="Arial"/>
          <w:i/>
          <w:iCs/>
          <w:szCs w:val="20"/>
        </w:rPr>
        <w:t xml:space="preserve"> </w:t>
      </w:r>
      <w:proofErr w:type="spellStart"/>
      <w:r w:rsidRPr="00A25BFB">
        <w:rPr>
          <w:rFonts w:cs="Arial"/>
          <w:i/>
          <w:iCs/>
          <w:szCs w:val="20"/>
        </w:rPr>
        <w:t>the</w:t>
      </w:r>
      <w:proofErr w:type="spellEnd"/>
      <w:r w:rsidR="00E10E44">
        <w:rPr>
          <w:rFonts w:cs="Arial"/>
          <w:i/>
          <w:iCs/>
          <w:szCs w:val="20"/>
        </w:rPr>
        <w:t xml:space="preserve"> </w:t>
      </w:r>
      <w:proofErr w:type="spellStart"/>
      <w:r w:rsidRPr="00A25BFB">
        <w:rPr>
          <w:rFonts w:cs="Arial"/>
          <w:i/>
          <w:iCs/>
          <w:szCs w:val="20"/>
        </w:rPr>
        <w:t>Court</w:t>
      </w:r>
      <w:proofErr w:type="spellEnd"/>
      <w:r w:rsidR="00E10E44">
        <w:rPr>
          <w:rFonts w:cs="Arial"/>
          <w:i/>
          <w:iCs/>
          <w:szCs w:val="20"/>
        </w:rPr>
        <w:t xml:space="preserve"> </w:t>
      </w:r>
      <w:proofErr w:type="spellStart"/>
      <w:r w:rsidRPr="00A25BFB">
        <w:rPr>
          <w:rFonts w:cs="Arial"/>
          <w:i/>
          <w:iCs/>
          <w:szCs w:val="20"/>
        </w:rPr>
        <w:t>of</w:t>
      </w:r>
      <w:proofErr w:type="spellEnd"/>
      <w:r w:rsidRPr="00A25BFB">
        <w:rPr>
          <w:rFonts w:cs="Arial"/>
          <w:i/>
          <w:iCs/>
          <w:szCs w:val="20"/>
        </w:rPr>
        <w:t xml:space="preserve"> Justice </w:t>
      </w:r>
      <w:proofErr w:type="spellStart"/>
      <w:r w:rsidRPr="00A25BFB">
        <w:rPr>
          <w:rFonts w:cs="Arial"/>
          <w:i/>
          <w:iCs/>
          <w:szCs w:val="20"/>
        </w:rPr>
        <w:t>of</w:t>
      </w:r>
      <w:proofErr w:type="spellEnd"/>
      <w:r w:rsidR="00E10E44">
        <w:rPr>
          <w:rFonts w:cs="Arial"/>
          <w:i/>
          <w:iCs/>
          <w:szCs w:val="20"/>
        </w:rPr>
        <w:t xml:space="preserve"> </w:t>
      </w:r>
      <w:proofErr w:type="spellStart"/>
      <w:r w:rsidRPr="00A25BFB">
        <w:rPr>
          <w:rFonts w:cs="Arial"/>
          <w:i/>
          <w:iCs/>
          <w:szCs w:val="20"/>
        </w:rPr>
        <w:t>the</w:t>
      </w:r>
      <w:proofErr w:type="spellEnd"/>
      <w:r w:rsidRPr="00A25BFB">
        <w:rPr>
          <w:rFonts w:cs="Arial"/>
          <w:i/>
          <w:iCs/>
          <w:szCs w:val="20"/>
        </w:rPr>
        <w:t xml:space="preserve"> EU.</w:t>
      </w:r>
    </w:p>
    <w:p w:rsidR="00A25BFB" w:rsidRDefault="00A25BFB" w:rsidP="00A25BFB">
      <w:pPr>
        <w:spacing w:before="120"/>
        <w:rPr>
          <w:rFonts w:cs="Arial"/>
          <w:sz w:val="20"/>
          <w:szCs w:val="20"/>
        </w:rPr>
      </w:pPr>
      <w:r w:rsidRPr="00A25BFB">
        <w:rPr>
          <w:rFonts w:cs="Arial"/>
          <w:sz w:val="20"/>
          <w:szCs w:val="20"/>
        </w:rPr>
        <w:t>ŠLOSARČÍK, Ivo. Žaloba na neplnění evropského práva členským státem (dozorčí žaloba) podle čl.</w:t>
      </w:r>
      <w:r w:rsidR="0020477A">
        <w:rPr>
          <w:rFonts w:cs="Arial"/>
          <w:sz w:val="20"/>
          <w:szCs w:val="20"/>
        </w:rPr>
        <w:t> </w:t>
      </w:r>
      <w:r w:rsidRPr="00A25BFB">
        <w:rPr>
          <w:rFonts w:cs="Arial"/>
          <w:sz w:val="20"/>
          <w:szCs w:val="20"/>
        </w:rPr>
        <w:t xml:space="preserve">226-228 SES – současný stav, trendy a změny podle návrhu Ústavy pro Evropu. </w:t>
      </w:r>
      <w:proofErr w:type="spellStart"/>
      <w:r w:rsidRPr="00A25BFB">
        <w:rPr>
          <w:rFonts w:cs="Arial"/>
          <w:i/>
          <w:sz w:val="20"/>
          <w:szCs w:val="20"/>
        </w:rPr>
        <w:t>Europeum</w:t>
      </w:r>
      <w:proofErr w:type="spellEnd"/>
      <w:r w:rsidRPr="00A25BFB">
        <w:rPr>
          <w:rFonts w:cs="Arial"/>
          <w:i/>
          <w:sz w:val="20"/>
          <w:szCs w:val="20"/>
        </w:rPr>
        <w:t>,</w:t>
      </w:r>
      <w:r w:rsidRPr="00A25BFB">
        <w:rPr>
          <w:rFonts w:cs="Arial"/>
          <w:sz w:val="20"/>
          <w:szCs w:val="20"/>
        </w:rPr>
        <w:t xml:space="preserve"> 2004, č. 7-8, s. 21-27.</w:t>
      </w:r>
    </w:p>
    <w:p w:rsidR="00F33171" w:rsidRDefault="00F33171" w:rsidP="000F1614">
      <w:pPr>
        <w:pStyle w:val="Odstavecseseznamem"/>
        <w:spacing w:line="360" w:lineRule="auto"/>
        <w:rPr>
          <w:rFonts w:cs="Arial"/>
          <w:sz w:val="24"/>
          <w:szCs w:val="20"/>
          <w:u w:val="single"/>
        </w:rPr>
      </w:pPr>
    </w:p>
    <w:p w:rsidR="00656DDC" w:rsidRPr="007D0EED" w:rsidRDefault="00656DDC" w:rsidP="000F1614">
      <w:pPr>
        <w:pStyle w:val="Odstavecseseznamem"/>
        <w:spacing w:line="360" w:lineRule="auto"/>
        <w:rPr>
          <w:rFonts w:cs="Arial"/>
          <w:sz w:val="24"/>
          <w:szCs w:val="20"/>
          <w:u w:val="single"/>
        </w:rPr>
      </w:pPr>
      <w:r w:rsidRPr="007D0EED">
        <w:rPr>
          <w:rFonts w:cs="Arial"/>
          <w:sz w:val="24"/>
          <w:szCs w:val="20"/>
          <w:u w:val="single"/>
        </w:rPr>
        <w:t>Judikatura Soudního dvora:</w:t>
      </w:r>
    </w:p>
    <w:p w:rsidR="00656DDC" w:rsidRDefault="00BB17D2" w:rsidP="009421A2">
      <w:pPr>
        <w:pStyle w:val="Odstavecseseznamem"/>
        <w:spacing w:before="120" w:line="360" w:lineRule="auto"/>
      </w:pPr>
      <w:r w:rsidRPr="006B1C11">
        <w:t>Roz</w:t>
      </w:r>
      <w:r w:rsidR="009421A2">
        <w:t>hodnutí</w:t>
      </w:r>
      <w:r w:rsidRPr="006B1C11">
        <w:t xml:space="preserve"> ze dne</w:t>
      </w:r>
      <w:r>
        <w:t xml:space="preserve"> 18. listopadu 1970,</w:t>
      </w:r>
      <w:r w:rsidRPr="006B1C11">
        <w:t xml:space="preserve"> </w:t>
      </w:r>
      <w:r w:rsidRPr="006B1C11">
        <w:rPr>
          <w:i/>
        </w:rPr>
        <w:t xml:space="preserve">Komise v </w:t>
      </w:r>
      <w:proofErr w:type="gramStart"/>
      <w:r w:rsidRPr="006B1C11">
        <w:rPr>
          <w:i/>
        </w:rPr>
        <w:t>Itálie</w:t>
      </w:r>
      <w:proofErr w:type="gramEnd"/>
      <w:r w:rsidRPr="006B1C11">
        <w:t xml:space="preserve">, </w:t>
      </w:r>
      <w:r w:rsidRPr="00BA1D87">
        <w:t>C-</w:t>
      </w:r>
      <w:r>
        <w:t>8/70,</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s. 00961</w:t>
      </w:r>
      <w:r w:rsidR="009421A2">
        <w:t>.</w:t>
      </w:r>
    </w:p>
    <w:p w:rsidR="00BB17D2" w:rsidRDefault="00BB17D2" w:rsidP="009421A2">
      <w:pPr>
        <w:pStyle w:val="Odstavecseseznamem"/>
        <w:spacing w:before="120" w:line="360" w:lineRule="auto"/>
      </w:pPr>
      <w:r w:rsidRPr="006B1C11">
        <w:t>Roz</w:t>
      </w:r>
      <w:r w:rsidR="009421A2">
        <w:t>hodnutí</w:t>
      </w:r>
      <w:r w:rsidRPr="006B1C11">
        <w:t xml:space="preserve"> ze dne</w:t>
      </w:r>
      <w:r>
        <w:t xml:space="preserve"> 21. září 1989,</w:t>
      </w:r>
      <w:r w:rsidRPr="006B1C11">
        <w:t xml:space="preserve"> </w:t>
      </w:r>
      <w:r w:rsidRPr="006B1C11">
        <w:rPr>
          <w:i/>
        </w:rPr>
        <w:t xml:space="preserve">Komise v </w:t>
      </w:r>
      <w:r>
        <w:rPr>
          <w:i/>
        </w:rPr>
        <w:t>Řecko</w:t>
      </w:r>
      <w:r w:rsidRPr="006B1C11">
        <w:t xml:space="preserve">, </w:t>
      </w:r>
      <w:r w:rsidRPr="00BA1D87">
        <w:t>C</w:t>
      </w:r>
      <w:r w:rsidRPr="00BA1D87">
        <w:noBreakHyphen/>
      </w:r>
      <w:r>
        <w:t>68/88,</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t>02965</w:t>
      </w:r>
      <w:r w:rsidR="009421A2">
        <w:t>.</w:t>
      </w:r>
    </w:p>
    <w:p w:rsidR="00BB17D2" w:rsidRDefault="00BB17D2" w:rsidP="009421A2">
      <w:pPr>
        <w:pStyle w:val="Odstavecseseznamem"/>
        <w:spacing w:before="120" w:line="360" w:lineRule="auto"/>
      </w:pPr>
      <w:r w:rsidRPr="006B1C11">
        <w:t>Roz</w:t>
      </w:r>
      <w:r w:rsidR="009421A2">
        <w:t>hodnutí</w:t>
      </w:r>
      <w:r w:rsidRPr="006B1C11">
        <w:t xml:space="preserve"> ze dne</w:t>
      </w:r>
      <w:r>
        <w:t xml:space="preserve"> 24. listopadu 1982,</w:t>
      </w:r>
      <w:r w:rsidRPr="006B1C11">
        <w:t xml:space="preserve"> </w:t>
      </w:r>
      <w:r w:rsidRPr="006B1C11">
        <w:rPr>
          <w:i/>
        </w:rPr>
        <w:t xml:space="preserve">Komise v </w:t>
      </w:r>
      <w:r>
        <w:rPr>
          <w:i/>
        </w:rPr>
        <w:t>Irsko</w:t>
      </w:r>
      <w:r w:rsidRPr="006B1C11">
        <w:t xml:space="preserve">, </w:t>
      </w:r>
      <w:r>
        <w:t>C-249/81,</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t>04005</w:t>
      </w:r>
      <w:r w:rsidR="009421A2">
        <w:t>.</w:t>
      </w:r>
    </w:p>
    <w:p w:rsidR="00BB17D2" w:rsidRDefault="00BB17D2" w:rsidP="009421A2">
      <w:pPr>
        <w:pStyle w:val="Textpoznpodarou"/>
        <w:spacing w:before="120" w:line="360" w:lineRule="auto"/>
      </w:pPr>
      <w:r w:rsidRPr="006B1C11">
        <w:t>Roz</w:t>
      </w:r>
      <w:r w:rsidR="009421A2">
        <w:t>hodnutí</w:t>
      </w:r>
      <w:r w:rsidRPr="006B1C11">
        <w:t xml:space="preserve"> ze dne</w:t>
      </w:r>
      <w:r>
        <w:t xml:space="preserve"> 27. října 1977,</w:t>
      </w:r>
      <w:r w:rsidRPr="006B1C11">
        <w:t xml:space="preserve"> </w:t>
      </w:r>
      <w:r w:rsidRPr="00650F8B">
        <w:rPr>
          <w:i/>
        </w:rPr>
        <w:t xml:space="preserve">Regina v. </w:t>
      </w:r>
      <w:proofErr w:type="spellStart"/>
      <w:r w:rsidRPr="00650F8B">
        <w:rPr>
          <w:i/>
        </w:rPr>
        <w:t>Buchereau</w:t>
      </w:r>
      <w:proofErr w:type="spellEnd"/>
      <w:r w:rsidRPr="006B1C11">
        <w:t xml:space="preserve">, </w:t>
      </w:r>
      <w:r>
        <w:t>C-30/77,</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s.</w:t>
      </w:r>
      <w:r>
        <w:t xml:space="preserve"> 01999</w:t>
      </w:r>
      <w:r w:rsidR="009421A2">
        <w:t>.</w:t>
      </w:r>
    </w:p>
    <w:p w:rsidR="00B4336F" w:rsidRDefault="00B4336F" w:rsidP="009421A2">
      <w:pPr>
        <w:pStyle w:val="Odstavecseseznamem"/>
        <w:spacing w:before="120" w:line="360" w:lineRule="auto"/>
      </w:pPr>
      <w:r w:rsidRPr="006B1C11">
        <w:t>Roz</w:t>
      </w:r>
      <w:r>
        <w:t>hodnutí</w:t>
      </w:r>
      <w:r w:rsidRPr="006B1C11">
        <w:t xml:space="preserve"> ze dne</w:t>
      </w:r>
      <w:r>
        <w:t xml:space="preserve"> 18. května 1989,</w:t>
      </w:r>
      <w:r w:rsidRPr="006B1C11">
        <w:t xml:space="preserve"> </w:t>
      </w:r>
      <w:r w:rsidRPr="006B1C11">
        <w:rPr>
          <w:i/>
        </w:rPr>
        <w:t xml:space="preserve">Komise v </w:t>
      </w:r>
      <w:r>
        <w:rPr>
          <w:i/>
        </w:rPr>
        <w:t>Německo</w:t>
      </w:r>
      <w:r w:rsidRPr="006B1C11">
        <w:t xml:space="preserve">, </w:t>
      </w:r>
      <w:r w:rsidRPr="00BA1D87">
        <w:t>C-</w:t>
      </w:r>
      <w:r>
        <w:t>249/86,</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t>01263.</w:t>
      </w:r>
    </w:p>
    <w:p w:rsidR="00BB17D2" w:rsidRDefault="00451D19" w:rsidP="009421A2">
      <w:pPr>
        <w:pStyle w:val="Odstavecseseznamem"/>
        <w:spacing w:before="120" w:line="360" w:lineRule="auto"/>
      </w:pPr>
      <w:r w:rsidRPr="006B1C11">
        <w:t>Roz</w:t>
      </w:r>
      <w:r w:rsidR="009421A2">
        <w:t>hodnutí</w:t>
      </w:r>
      <w:r w:rsidRPr="006B1C11">
        <w:t xml:space="preserve"> ze dne</w:t>
      </w:r>
      <w:r>
        <w:t xml:space="preserve"> 9. prosince 2003,</w:t>
      </w:r>
      <w:r w:rsidRPr="006B1C11">
        <w:t xml:space="preserve"> </w:t>
      </w:r>
      <w:r w:rsidRPr="006B1C11">
        <w:rPr>
          <w:i/>
        </w:rPr>
        <w:t xml:space="preserve">Komise v </w:t>
      </w:r>
      <w:proofErr w:type="gramStart"/>
      <w:r>
        <w:rPr>
          <w:i/>
        </w:rPr>
        <w:t>Itálie</w:t>
      </w:r>
      <w:proofErr w:type="gramEnd"/>
      <w:r w:rsidRPr="006B1C11">
        <w:t xml:space="preserve">, </w:t>
      </w:r>
      <w:r>
        <w:t>C-129/00,</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rsidRPr="00650F8B">
        <w:t>I-14637</w:t>
      </w:r>
      <w:r w:rsidR="009421A2">
        <w:t>.</w:t>
      </w:r>
    </w:p>
    <w:p w:rsidR="00451D19" w:rsidRDefault="00451D19" w:rsidP="009421A2">
      <w:pPr>
        <w:pStyle w:val="Textpoznpodarou"/>
        <w:spacing w:before="120" w:line="360" w:lineRule="auto"/>
      </w:pPr>
      <w:r w:rsidRPr="006B1C11">
        <w:t>Roz</w:t>
      </w:r>
      <w:r w:rsidR="009421A2">
        <w:t>hodnutí</w:t>
      </w:r>
      <w:r w:rsidRPr="006B1C11">
        <w:t xml:space="preserve"> ze dne</w:t>
      </w:r>
      <w:r>
        <w:t xml:space="preserve"> 12. června 2003,</w:t>
      </w:r>
      <w:r w:rsidRPr="006B1C11">
        <w:t xml:space="preserve"> </w:t>
      </w:r>
      <w:proofErr w:type="spellStart"/>
      <w:r w:rsidRPr="00675811">
        <w:rPr>
          <w:i/>
        </w:rPr>
        <w:t>Schmidberger</w:t>
      </w:r>
      <w:proofErr w:type="spellEnd"/>
      <w:r w:rsidRPr="00675811">
        <w:rPr>
          <w:i/>
        </w:rPr>
        <w:t xml:space="preserve"> v Rakousko</w:t>
      </w:r>
      <w:r w:rsidRPr="006B1C11">
        <w:t xml:space="preserve">, </w:t>
      </w:r>
      <w:r>
        <w:t>C-112/00,</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t>I</w:t>
      </w:r>
      <w:r>
        <w:noBreakHyphen/>
        <w:t>05659</w:t>
      </w:r>
      <w:r w:rsidR="009421A2">
        <w:t>.</w:t>
      </w:r>
    </w:p>
    <w:p w:rsidR="00451D19" w:rsidRDefault="00914D21" w:rsidP="009421A2">
      <w:pPr>
        <w:pStyle w:val="Odstavecseseznamem"/>
        <w:spacing w:before="120" w:line="360" w:lineRule="auto"/>
      </w:pPr>
      <w:r w:rsidRPr="006B1C11">
        <w:rPr>
          <w:szCs w:val="20"/>
        </w:rPr>
        <w:t>Roz</w:t>
      </w:r>
      <w:r w:rsidR="009421A2">
        <w:rPr>
          <w:szCs w:val="20"/>
        </w:rPr>
        <w:t>hodnutí</w:t>
      </w:r>
      <w:r w:rsidRPr="006B1C11">
        <w:rPr>
          <w:szCs w:val="20"/>
        </w:rPr>
        <w:t xml:space="preserve"> ze dne</w:t>
      </w:r>
      <w:r>
        <w:t xml:space="preserve"> 27. dubna 1988,</w:t>
      </w:r>
      <w:r w:rsidRPr="006B1C11">
        <w:rPr>
          <w:szCs w:val="20"/>
        </w:rPr>
        <w:t xml:space="preserve"> </w:t>
      </w:r>
      <w:r w:rsidRPr="006B1C11">
        <w:rPr>
          <w:i/>
          <w:szCs w:val="20"/>
        </w:rPr>
        <w:t>Komise</w:t>
      </w:r>
      <w:r w:rsidRPr="006B1C11">
        <w:rPr>
          <w:i/>
        </w:rPr>
        <w:t xml:space="preserve"> v </w:t>
      </w:r>
      <w:proofErr w:type="gramStart"/>
      <w:r>
        <w:rPr>
          <w:i/>
        </w:rPr>
        <w:t>Itálie</w:t>
      </w:r>
      <w:proofErr w:type="gramEnd"/>
      <w:r w:rsidRPr="006B1C11">
        <w:t xml:space="preserve">, </w:t>
      </w:r>
      <w:r>
        <w:t>C-225/86,</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rsidRPr="00675811">
        <w:t>02271</w:t>
      </w:r>
      <w:r w:rsidR="009421A2">
        <w:t>.</w:t>
      </w:r>
    </w:p>
    <w:p w:rsidR="00914D21" w:rsidRDefault="00914D21" w:rsidP="009421A2">
      <w:pPr>
        <w:pStyle w:val="Odstavecseseznamem"/>
        <w:spacing w:before="120" w:line="360" w:lineRule="auto"/>
      </w:pPr>
      <w:r w:rsidRPr="006B1C11">
        <w:t>Roz</w:t>
      </w:r>
      <w:r w:rsidR="009421A2">
        <w:t>hodnutí</w:t>
      </w:r>
      <w:r w:rsidRPr="006B1C11">
        <w:t xml:space="preserve"> ze dne</w:t>
      </w:r>
      <w:r>
        <w:t xml:space="preserve"> 21. června 1988,</w:t>
      </w:r>
      <w:r w:rsidRPr="006B1C11">
        <w:t xml:space="preserve"> </w:t>
      </w:r>
      <w:r w:rsidRPr="006B1C11">
        <w:rPr>
          <w:i/>
        </w:rPr>
        <w:t>Komise v</w:t>
      </w:r>
      <w:r>
        <w:rPr>
          <w:i/>
        </w:rPr>
        <w:t> Spojené království</w:t>
      </w:r>
      <w:r w:rsidRPr="006B1C11">
        <w:t xml:space="preserve">, </w:t>
      </w:r>
      <w:r>
        <w:t>C-416/85,</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rsidRPr="00697889">
        <w:t>03127</w:t>
      </w:r>
      <w:r w:rsidR="009421A2">
        <w:t>.</w:t>
      </w:r>
    </w:p>
    <w:p w:rsidR="00914D21" w:rsidRDefault="00914D21" w:rsidP="009421A2">
      <w:pPr>
        <w:pStyle w:val="Odstavecseseznamem"/>
        <w:spacing w:before="120" w:line="360" w:lineRule="auto"/>
      </w:pPr>
      <w:r w:rsidRPr="006B1C11">
        <w:t>Roz</w:t>
      </w:r>
      <w:r w:rsidR="009421A2">
        <w:t>hodnutí</w:t>
      </w:r>
      <w:r w:rsidRPr="006B1C11">
        <w:t xml:space="preserve"> ze dne</w:t>
      </w:r>
      <w:r>
        <w:t xml:space="preserve"> 10. prosince 1968,</w:t>
      </w:r>
      <w:r w:rsidRPr="006B1C11">
        <w:t xml:space="preserve"> </w:t>
      </w:r>
      <w:r w:rsidRPr="006B1C11">
        <w:rPr>
          <w:i/>
        </w:rPr>
        <w:t>Komise v</w:t>
      </w:r>
      <w:r>
        <w:rPr>
          <w:i/>
        </w:rPr>
        <w:t> </w:t>
      </w:r>
      <w:proofErr w:type="gramStart"/>
      <w:r>
        <w:rPr>
          <w:i/>
        </w:rPr>
        <w:t>Itálie</w:t>
      </w:r>
      <w:proofErr w:type="gramEnd"/>
      <w:r w:rsidRPr="006B1C11">
        <w:t xml:space="preserve">, </w:t>
      </w:r>
      <w:r>
        <w:t>C-7/68,</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rsidRPr="002A405A">
        <w:t>00617</w:t>
      </w:r>
      <w:r w:rsidR="009421A2">
        <w:t>.</w:t>
      </w:r>
    </w:p>
    <w:p w:rsidR="00914D21" w:rsidRDefault="00914D21" w:rsidP="009421A2">
      <w:pPr>
        <w:pStyle w:val="Odstavecseseznamem"/>
        <w:spacing w:before="120" w:line="360" w:lineRule="auto"/>
      </w:pPr>
      <w:r w:rsidRPr="006B1C11">
        <w:t>Roz</w:t>
      </w:r>
      <w:r w:rsidR="009421A2">
        <w:t>hodnutí</w:t>
      </w:r>
      <w:r w:rsidRPr="006B1C11">
        <w:t xml:space="preserve"> ze dne</w:t>
      </w:r>
      <w:r>
        <w:t xml:space="preserve"> 11. srpna 1995,</w:t>
      </w:r>
      <w:r w:rsidRPr="006B1C11">
        <w:t xml:space="preserve"> </w:t>
      </w:r>
      <w:r w:rsidRPr="006B1C11">
        <w:rPr>
          <w:i/>
        </w:rPr>
        <w:t>Komise v</w:t>
      </w:r>
      <w:r>
        <w:rPr>
          <w:i/>
        </w:rPr>
        <w:t> Německo</w:t>
      </w:r>
      <w:r w:rsidRPr="006B1C11">
        <w:t xml:space="preserve">, </w:t>
      </w:r>
      <w:r>
        <w:t>C-431/92,</w:t>
      </w:r>
      <w:r w:rsidRPr="006B1C11">
        <w:rPr>
          <w:rFonts w:ascii="Garamond" w:hAnsi="Garamond" w:cs="Garamond"/>
          <w:sz w:val="24"/>
          <w:szCs w:val="24"/>
        </w:rPr>
        <w:t xml:space="preserve"> </w:t>
      </w:r>
      <w:r w:rsidRPr="002A405A">
        <w:t xml:space="preserve">Sb. </w:t>
      </w:r>
      <w:proofErr w:type="spellStart"/>
      <w:r w:rsidRPr="002A405A">
        <w:t>rozh</w:t>
      </w:r>
      <w:proofErr w:type="spellEnd"/>
      <w:r w:rsidRPr="002A405A">
        <w:t xml:space="preserve">. s. </w:t>
      </w:r>
      <w:r>
        <w:t>I-02189</w:t>
      </w:r>
      <w:r w:rsidRPr="002A405A">
        <w:t>.</w:t>
      </w:r>
    </w:p>
    <w:p w:rsidR="00914D21" w:rsidRPr="002A405A" w:rsidRDefault="00914D21" w:rsidP="009421A2">
      <w:pPr>
        <w:pStyle w:val="Textpoznpodarou"/>
        <w:spacing w:before="120" w:line="360" w:lineRule="auto"/>
        <w:rPr>
          <w:rFonts w:eastAsia="Calibri"/>
          <w:szCs w:val="22"/>
          <w:lang w:eastAsia="ar-SA"/>
        </w:rPr>
      </w:pPr>
      <w:r w:rsidRPr="006B1C11">
        <w:t>Roz</w:t>
      </w:r>
      <w:r w:rsidR="009421A2">
        <w:t>hodnutí</w:t>
      </w:r>
      <w:r w:rsidRPr="006B1C11">
        <w:t xml:space="preserve"> ze dne</w:t>
      </w:r>
      <w:r>
        <w:t xml:space="preserve"> 2. června 2005,</w:t>
      </w:r>
      <w:r w:rsidRPr="006B1C11">
        <w:t xml:space="preserve"> </w:t>
      </w:r>
      <w:r w:rsidRPr="006B1C11">
        <w:rPr>
          <w:i/>
        </w:rPr>
        <w:t>Komise v</w:t>
      </w:r>
      <w:r>
        <w:rPr>
          <w:i/>
        </w:rPr>
        <w:t> Řecko</w:t>
      </w:r>
      <w:r w:rsidRPr="006B1C11">
        <w:t xml:space="preserve">, </w:t>
      </w:r>
      <w:r>
        <w:t>C-394/02,</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I-04713</w:t>
      </w:r>
      <w:r w:rsidRPr="002A405A">
        <w:rPr>
          <w:rFonts w:eastAsia="Calibri"/>
          <w:szCs w:val="22"/>
          <w:lang w:eastAsia="ar-SA"/>
        </w:rPr>
        <w:t>.</w:t>
      </w:r>
    </w:p>
    <w:p w:rsidR="00914D21" w:rsidRPr="00442ECF" w:rsidRDefault="00914D21" w:rsidP="009421A2">
      <w:pPr>
        <w:pStyle w:val="Textpoznpodarou"/>
        <w:spacing w:before="120" w:line="360" w:lineRule="auto"/>
        <w:rPr>
          <w:rFonts w:eastAsia="Calibri"/>
          <w:szCs w:val="22"/>
          <w:lang w:eastAsia="ar-SA"/>
        </w:rPr>
      </w:pPr>
      <w:r w:rsidRPr="006B1C11">
        <w:t>Roz</w:t>
      </w:r>
      <w:r w:rsidR="009421A2">
        <w:t>hodnutí</w:t>
      </w:r>
      <w:r w:rsidRPr="006B1C11">
        <w:t xml:space="preserve"> ze dne</w:t>
      </w:r>
      <w:r>
        <w:t xml:space="preserve"> 16. května 1991,</w:t>
      </w:r>
      <w:r w:rsidRPr="006B1C11">
        <w:t xml:space="preserve"> </w:t>
      </w:r>
      <w:r w:rsidRPr="006B1C11">
        <w:rPr>
          <w:i/>
        </w:rPr>
        <w:t>Komise v</w:t>
      </w:r>
      <w:r>
        <w:rPr>
          <w:i/>
        </w:rPr>
        <w:t> Nizozemí</w:t>
      </w:r>
      <w:r w:rsidRPr="006B1C11">
        <w:t xml:space="preserve">, </w:t>
      </w:r>
      <w:r>
        <w:t>C-96/89,</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I-2461</w:t>
      </w:r>
      <w:r w:rsidRPr="002A405A">
        <w:rPr>
          <w:rFonts w:eastAsia="Calibri"/>
          <w:szCs w:val="22"/>
          <w:lang w:eastAsia="ar-SA"/>
        </w:rPr>
        <w:t>.</w:t>
      </w:r>
    </w:p>
    <w:p w:rsidR="00914D21" w:rsidRDefault="00914D21" w:rsidP="009421A2">
      <w:pPr>
        <w:pStyle w:val="Odstavecseseznamem"/>
        <w:spacing w:before="120" w:line="360" w:lineRule="auto"/>
      </w:pPr>
      <w:r w:rsidRPr="006B1C11">
        <w:t>Roz</w:t>
      </w:r>
      <w:r w:rsidR="009421A2">
        <w:t>hodnutí</w:t>
      </w:r>
      <w:r w:rsidRPr="006B1C11">
        <w:t xml:space="preserve"> ze dne</w:t>
      </w:r>
      <w:r>
        <w:t xml:space="preserve"> 4. května 2006,</w:t>
      </w:r>
      <w:r w:rsidRPr="006B1C11">
        <w:t xml:space="preserve"> </w:t>
      </w:r>
      <w:r w:rsidRPr="006B1C11">
        <w:rPr>
          <w:i/>
        </w:rPr>
        <w:t>Komise v</w:t>
      </w:r>
      <w:r>
        <w:rPr>
          <w:i/>
        </w:rPr>
        <w:t> Spojené království</w:t>
      </w:r>
      <w:r w:rsidRPr="006B1C11">
        <w:t xml:space="preserve">, </w:t>
      </w:r>
      <w:r>
        <w:t>C-508/03,</w:t>
      </w:r>
      <w:r w:rsidRPr="006B1C11">
        <w:rPr>
          <w:rFonts w:ascii="Garamond" w:hAnsi="Garamond" w:cs="Garamond"/>
          <w:sz w:val="24"/>
          <w:szCs w:val="24"/>
        </w:rPr>
        <w:t xml:space="preserve"> </w:t>
      </w:r>
      <w:r w:rsidRPr="002A405A">
        <w:t xml:space="preserve">Sb. </w:t>
      </w:r>
      <w:proofErr w:type="spellStart"/>
      <w:r w:rsidRPr="002A405A">
        <w:t>rozh</w:t>
      </w:r>
      <w:proofErr w:type="spellEnd"/>
      <w:r w:rsidRPr="002A405A">
        <w:t xml:space="preserve">. s. </w:t>
      </w:r>
      <w:r>
        <w:t>I-3969</w:t>
      </w:r>
      <w:r w:rsidRPr="002A405A">
        <w:t>.</w:t>
      </w:r>
    </w:p>
    <w:p w:rsidR="00914D21" w:rsidRPr="00442ECF" w:rsidRDefault="00914D21" w:rsidP="009421A2">
      <w:pPr>
        <w:pStyle w:val="Textpoznpodarou"/>
        <w:spacing w:before="120" w:line="360" w:lineRule="auto"/>
        <w:rPr>
          <w:rFonts w:eastAsia="Calibri"/>
          <w:szCs w:val="22"/>
          <w:lang w:eastAsia="ar-SA"/>
        </w:rPr>
      </w:pPr>
      <w:r w:rsidRPr="006B1C11">
        <w:t>Roz</w:t>
      </w:r>
      <w:r w:rsidR="009421A2">
        <w:t>hodnutí</w:t>
      </w:r>
      <w:r w:rsidRPr="006B1C11">
        <w:t xml:space="preserve"> ze dne</w:t>
      </w:r>
      <w:r>
        <w:t xml:space="preserve"> 31. ledna 1984,</w:t>
      </w:r>
      <w:r w:rsidRPr="006B1C11">
        <w:t xml:space="preserve"> </w:t>
      </w:r>
      <w:r w:rsidRPr="006B1C11">
        <w:rPr>
          <w:i/>
        </w:rPr>
        <w:t>Komise v</w:t>
      </w:r>
      <w:r>
        <w:rPr>
          <w:i/>
        </w:rPr>
        <w:t> Irsko</w:t>
      </w:r>
      <w:r w:rsidRPr="006B1C11">
        <w:t xml:space="preserve">, </w:t>
      </w:r>
      <w:r>
        <w:t>C-74/82,</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rsidRPr="00442ECF">
        <w:rPr>
          <w:rFonts w:eastAsia="Calibri"/>
          <w:szCs w:val="22"/>
          <w:lang w:eastAsia="ar-SA"/>
        </w:rPr>
        <w:t>00317</w:t>
      </w:r>
      <w:r w:rsidRPr="002A405A">
        <w:rPr>
          <w:rFonts w:eastAsia="Calibri"/>
          <w:szCs w:val="22"/>
          <w:lang w:eastAsia="ar-SA"/>
        </w:rPr>
        <w:t>.</w:t>
      </w:r>
    </w:p>
    <w:p w:rsidR="00914D21" w:rsidRDefault="00914D21" w:rsidP="009421A2">
      <w:pPr>
        <w:pStyle w:val="Odstavecseseznamem"/>
        <w:spacing w:before="120" w:line="360" w:lineRule="auto"/>
      </w:pPr>
      <w:r w:rsidRPr="006B1C11">
        <w:t>Roz</w:t>
      </w:r>
      <w:r w:rsidR="009421A2">
        <w:t>hodnutí</w:t>
      </w:r>
      <w:r w:rsidRPr="006B1C11">
        <w:t xml:space="preserve"> ze dne</w:t>
      </w:r>
      <w:r>
        <w:t xml:space="preserve"> 2. února 1988,</w:t>
      </w:r>
      <w:r w:rsidRPr="006B1C11">
        <w:t xml:space="preserve"> </w:t>
      </w:r>
      <w:r w:rsidRPr="006B1C11">
        <w:rPr>
          <w:i/>
        </w:rPr>
        <w:t>Komise v</w:t>
      </w:r>
      <w:r>
        <w:rPr>
          <w:i/>
        </w:rPr>
        <w:t> </w:t>
      </w:r>
      <w:proofErr w:type="gramStart"/>
      <w:r>
        <w:rPr>
          <w:i/>
        </w:rPr>
        <w:t>Belgie</w:t>
      </w:r>
      <w:proofErr w:type="gramEnd"/>
      <w:r w:rsidRPr="006B1C11">
        <w:t xml:space="preserve">, </w:t>
      </w:r>
      <w:r>
        <w:t>C-293/85,</w:t>
      </w:r>
      <w:r w:rsidRPr="006B1C11">
        <w:rPr>
          <w:rFonts w:ascii="Garamond" w:hAnsi="Garamond" w:cs="Garamond"/>
          <w:sz w:val="24"/>
          <w:szCs w:val="24"/>
        </w:rPr>
        <w:t xml:space="preserve"> </w:t>
      </w:r>
      <w:r w:rsidRPr="002A405A">
        <w:t xml:space="preserve">Sb. </w:t>
      </w:r>
      <w:proofErr w:type="spellStart"/>
      <w:r w:rsidRPr="002A405A">
        <w:t>rozh</w:t>
      </w:r>
      <w:proofErr w:type="spellEnd"/>
      <w:r w:rsidRPr="002A405A">
        <w:t xml:space="preserve">. s. </w:t>
      </w:r>
      <w:r w:rsidRPr="00442ECF">
        <w:t>00305</w:t>
      </w:r>
      <w:r w:rsidRPr="002A405A">
        <w:t>.</w:t>
      </w:r>
    </w:p>
    <w:p w:rsidR="00914D21" w:rsidRDefault="00914D21" w:rsidP="009421A2">
      <w:pPr>
        <w:pStyle w:val="Odstavecseseznamem"/>
        <w:spacing w:before="120" w:line="360" w:lineRule="auto"/>
      </w:pPr>
      <w:r w:rsidRPr="006B1C11">
        <w:t>Roz</w:t>
      </w:r>
      <w:r w:rsidR="009421A2">
        <w:t>hodnutí</w:t>
      </w:r>
      <w:r w:rsidRPr="006B1C11">
        <w:t xml:space="preserve"> ze dne</w:t>
      </w:r>
      <w:r>
        <w:t xml:space="preserve"> 28. října 1999,</w:t>
      </w:r>
      <w:r w:rsidRPr="006B1C11">
        <w:t xml:space="preserve"> </w:t>
      </w:r>
      <w:r w:rsidRPr="006B1C11">
        <w:rPr>
          <w:i/>
        </w:rPr>
        <w:t>Komise v</w:t>
      </w:r>
      <w:r>
        <w:rPr>
          <w:i/>
        </w:rPr>
        <w:t> Rakousko</w:t>
      </w:r>
      <w:r w:rsidRPr="006B1C11">
        <w:t xml:space="preserve">, </w:t>
      </w:r>
      <w:r>
        <w:t>C-328/96,</w:t>
      </w:r>
      <w:r w:rsidRPr="006B1C11">
        <w:rPr>
          <w:rFonts w:ascii="Garamond" w:hAnsi="Garamond" w:cs="Garamond"/>
          <w:sz w:val="24"/>
          <w:szCs w:val="24"/>
        </w:rPr>
        <w:t xml:space="preserve"> </w:t>
      </w:r>
      <w:r w:rsidRPr="002A405A">
        <w:t xml:space="preserve">Sb. </w:t>
      </w:r>
      <w:proofErr w:type="spellStart"/>
      <w:r w:rsidRPr="002A405A">
        <w:t>rozh</w:t>
      </w:r>
      <w:proofErr w:type="spellEnd"/>
      <w:r w:rsidRPr="002A405A">
        <w:t xml:space="preserve">. s. </w:t>
      </w:r>
      <w:r>
        <w:t>I-07479</w:t>
      </w:r>
      <w:r w:rsidRPr="002A405A">
        <w:t>.</w:t>
      </w:r>
    </w:p>
    <w:p w:rsidR="00914D21" w:rsidRDefault="009421A2" w:rsidP="009421A2">
      <w:pPr>
        <w:pStyle w:val="Odstavecseseznamem"/>
        <w:spacing w:before="120" w:line="360" w:lineRule="auto"/>
      </w:pPr>
      <w:r w:rsidRPr="009421A2">
        <w:t>Rozhodnutí</w:t>
      </w:r>
      <w:r>
        <w:rPr>
          <w:i/>
        </w:rPr>
        <w:t xml:space="preserve"> </w:t>
      </w:r>
      <w:r w:rsidR="00914D21">
        <w:rPr>
          <w:i/>
        </w:rPr>
        <w:t>Irsko</w:t>
      </w:r>
      <w:r w:rsidR="00914D21" w:rsidRPr="006B1C11">
        <w:rPr>
          <w:i/>
        </w:rPr>
        <w:t xml:space="preserve"> v</w:t>
      </w:r>
      <w:r w:rsidR="00914D21">
        <w:rPr>
          <w:i/>
        </w:rPr>
        <w:t> </w:t>
      </w:r>
      <w:proofErr w:type="gramStart"/>
      <w:r w:rsidR="00914D21">
        <w:rPr>
          <w:i/>
        </w:rPr>
        <w:t>Francie</w:t>
      </w:r>
      <w:proofErr w:type="gramEnd"/>
      <w:r w:rsidR="00914D21" w:rsidRPr="006B1C11">
        <w:t xml:space="preserve">, </w:t>
      </w:r>
      <w:r w:rsidR="00914D21">
        <w:t>C-58/77</w:t>
      </w:r>
      <w:r w:rsidR="00914D21" w:rsidRPr="002A405A">
        <w:t>.</w:t>
      </w:r>
    </w:p>
    <w:p w:rsidR="00914D21" w:rsidRPr="00265568" w:rsidRDefault="00914D21" w:rsidP="009421A2">
      <w:pPr>
        <w:pStyle w:val="Textpoznpodarou"/>
        <w:spacing w:before="120" w:line="360" w:lineRule="auto"/>
        <w:rPr>
          <w:rFonts w:eastAsia="Calibri"/>
          <w:szCs w:val="22"/>
          <w:lang w:eastAsia="ar-SA"/>
        </w:rPr>
      </w:pPr>
      <w:r w:rsidRPr="006B1C11">
        <w:t>Roz</w:t>
      </w:r>
      <w:r w:rsidR="009421A2">
        <w:t>hodnutí</w:t>
      </w:r>
      <w:r w:rsidRPr="006B1C11">
        <w:t xml:space="preserve"> ze dne</w:t>
      </w:r>
      <w:r>
        <w:t xml:space="preserve"> 4. října 1979,</w:t>
      </w:r>
      <w:r w:rsidRPr="006B1C11">
        <w:t xml:space="preserve"> </w:t>
      </w:r>
      <w:r>
        <w:rPr>
          <w:i/>
        </w:rPr>
        <w:t>Francie</w:t>
      </w:r>
      <w:r w:rsidRPr="006B1C11">
        <w:rPr>
          <w:i/>
        </w:rPr>
        <w:t xml:space="preserve"> v</w:t>
      </w:r>
      <w:r>
        <w:rPr>
          <w:i/>
        </w:rPr>
        <w:t> Spojené království</w:t>
      </w:r>
      <w:r w:rsidRPr="006B1C11">
        <w:t xml:space="preserve">, </w:t>
      </w:r>
      <w:r>
        <w:t>C-141/78,</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02923</w:t>
      </w:r>
      <w:r w:rsidRPr="002A405A">
        <w:rPr>
          <w:rFonts w:eastAsia="Calibri"/>
          <w:szCs w:val="22"/>
          <w:lang w:eastAsia="ar-SA"/>
        </w:rPr>
        <w:t>.</w:t>
      </w:r>
    </w:p>
    <w:p w:rsidR="00914D21" w:rsidRPr="00265568" w:rsidRDefault="00914D21" w:rsidP="009421A2">
      <w:pPr>
        <w:pStyle w:val="Textpoznpodarou"/>
        <w:spacing w:before="120" w:line="360" w:lineRule="auto"/>
        <w:rPr>
          <w:rFonts w:eastAsia="Calibri"/>
          <w:szCs w:val="22"/>
          <w:lang w:eastAsia="ar-SA"/>
        </w:rPr>
      </w:pPr>
      <w:r w:rsidRPr="006B1C11">
        <w:t>Roz</w:t>
      </w:r>
      <w:r w:rsidR="009421A2">
        <w:t>hodnutí</w:t>
      </w:r>
      <w:r w:rsidRPr="006B1C11">
        <w:t xml:space="preserve"> ze dne</w:t>
      </w:r>
      <w:r>
        <w:t xml:space="preserve"> 11. prosince 2001,</w:t>
      </w:r>
      <w:r w:rsidRPr="006B1C11">
        <w:t xml:space="preserve"> </w:t>
      </w:r>
      <w:proofErr w:type="spellStart"/>
      <w:r>
        <w:rPr>
          <w:i/>
        </w:rPr>
        <w:t>Petrie</w:t>
      </w:r>
      <w:proofErr w:type="spellEnd"/>
      <w:r>
        <w:rPr>
          <w:i/>
        </w:rPr>
        <w:t xml:space="preserve"> a další v K</w:t>
      </w:r>
      <w:r w:rsidRPr="006B1C11">
        <w:rPr>
          <w:i/>
        </w:rPr>
        <w:t>omise</w:t>
      </w:r>
      <w:r w:rsidRPr="006B1C11">
        <w:t xml:space="preserve">, </w:t>
      </w:r>
      <w:r>
        <w:t>T-191/99,</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II-3677</w:t>
      </w:r>
      <w:r w:rsidRPr="002A405A">
        <w:rPr>
          <w:rFonts w:eastAsia="Calibri"/>
          <w:szCs w:val="22"/>
          <w:lang w:eastAsia="ar-SA"/>
        </w:rPr>
        <w:t>.</w:t>
      </w:r>
    </w:p>
    <w:p w:rsidR="00914D21" w:rsidRDefault="00914D21" w:rsidP="009421A2">
      <w:pPr>
        <w:pStyle w:val="Odstavecseseznamem"/>
        <w:spacing w:before="120" w:line="360" w:lineRule="auto"/>
        <w:rPr>
          <w:rFonts w:cs="Arial"/>
          <w:szCs w:val="20"/>
          <w:u w:val="single"/>
        </w:rPr>
      </w:pPr>
      <w:r w:rsidRPr="00265568">
        <w:t>Roz</w:t>
      </w:r>
      <w:r w:rsidR="009421A2">
        <w:t>hodnutí</w:t>
      </w:r>
      <w:r w:rsidRPr="00265568">
        <w:t xml:space="preserve"> ze dne </w:t>
      </w:r>
      <w:r>
        <w:t>10</w:t>
      </w:r>
      <w:r w:rsidRPr="00265568">
        <w:t xml:space="preserve">. </w:t>
      </w:r>
      <w:r>
        <w:t>prosince 1968</w:t>
      </w:r>
      <w:r w:rsidRPr="00265568">
        <w:t xml:space="preserve">, </w:t>
      </w:r>
      <w:r w:rsidRPr="00265568">
        <w:rPr>
          <w:i/>
        </w:rPr>
        <w:t xml:space="preserve">Komise v </w:t>
      </w:r>
      <w:proofErr w:type="gramStart"/>
      <w:r>
        <w:rPr>
          <w:i/>
        </w:rPr>
        <w:t>Itálie</w:t>
      </w:r>
      <w:proofErr w:type="gramEnd"/>
      <w:r w:rsidRPr="00265568">
        <w:t>, C-</w:t>
      </w:r>
      <w:r>
        <w:t>7</w:t>
      </w:r>
      <w:r w:rsidRPr="00265568">
        <w:t>/</w:t>
      </w:r>
      <w:r>
        <w:t>68</w:t>
      </w:r>
      <w:r w:rsidRPr="00265568">
        <w:t xml:space="preserve">, Sb. </w:t>
      </w:r>
      <w:proofErr w:type="spellStart"/>
      <w:r w:rsidRPr="00265568">
        <w:t>rozh</w:t>
      </w:r>
      <w:proofErr w:type="spellEnd"/>
      <w:r w:rsidRPr="00265568">
        <w:t xml:space="preserve">. s. </w:t>
      </w:r>
      <w:r>
        <w:t>00617</w:t>
      </w:r>
      <w:r w:rsidRPr="00265568">
        <w:t>.</w:t>
      </w:r>
    </w:p>
    <w:p w:rsidR="00BB17D2" w:rsidRDefault="00914D21" w:rsidP="009421A2">
      <w:pPr>
        <w:pStyle w:val="Odstavecseseznamem"/>
        <w:spacing w:before="120" w:line="360" w:lineRule="auto"/>
      </w:pPr>
      <w:r w:rsidRPr="00265568">
        <w:lastRenderedPageBreak/>
        <w:t>Roz</w:t>
      </w:r>
      <w:r w:rsidR="009421A2">
        <w:t>hodnutí</w:t>
      </w:r>
      <w:r w:rsidRPr="00265568">
        <w:t xml:space="preserve"> ze dne </w:t>
      </w:r>
      <w:r>
        <w:t>26</w:t>
      </w:r>
      <w:r w:rsidRPr="00265568">
        <w:t xml:space="preserve">. </w:t>
      </w:r>
      <w:r>
        <w:t>dubna 2005</w:t>
      </w:r>
      <w:r w:rsidRPr="00265568">
        <w:t xml:space="preserve">, </w:t>
      </w:r>
      <w:r w:rsidRPr="00265568">
        <w:rPr>
          <w:i/>
        </w:rPr>
        <w:t xml:space="preserve">Komise v </w:t>
      </w:r>
      <w:r>
        <w:rPr>
          <w:i/>
        </w:rPr>
        <w:t>Irsko</w:t>
      </w:r>
      <w:r w:rsidRPr="00265568">
        <w:t>, C-</w:t>
      </w:r>
      <w:r>
        <w:t>494</w:t>
      </w:r>
      <w:r w:rsidRPr="00265568">
        <w:t>/</w:t>
      </w:r>
      <w:r>
        <w:t>01</w:t>
      </w:r>
      <w:r w:rsidRPr="00265568">
        <w:t xml:space="preserve">, Sb. </w:t>
      </w:r>
      <w:proofErr w:type="spellStart"/>
      <w:r w:rsidRPr="00265568">
        <w:t>rozh</w:t>
      </w:r>
      <w:proofErr w:type="spellEnd"/>
      <w:r w:rsidRPr="00265568">
        <w:t xml:space="preserve">. s. </w:t>
      </w:r>
      <w:r>
        <w:t>I-03331</w:t>
      </w:r>
      <w:r w:rsidRPr="00265568">
        <w:t>.</w:t>
      </w:r>
    </w:p>
    <w:p w:rsidR="00914D21" w:rsidRDefault="00914D21" w:rsidP="009421A2">
      <w:pPr>
        <w:pStyle w:val="Odstavecseseznamem"/>
        <w:spacing w:before="120" w:line="360" w:lineRule="auto"/>
      </w:pPr>
      <w:r w:rsidRPr="00265568">
        <w:t>Roz</w:t>
      </w:r>
      <w:r w:rsidR="009421A2">
        <w:t>hodnutí</w:t>
      </w:r>
      <w:r w:rsidRPr="00265568">
        <w:t xml:space="preserve"> ze dne </w:t>
      </w:r>
      <w:r>
        <w:t>9</w:t>
      </w:r>
      <w:r w:rsidRPr="00265568">
        <w:t xml:space="preserve">. </w:t>
      </w:r>
      <w:r>
        <w:t>prosince 2008</w:t>
      </w:r>
      <w:r w:rsidRPr="00265568">
        <w:t xml:space="preserve">, </w:t>
      </w:r>
      <w:r w:rsidRPr="00265568">
        <w:rPr>
          <w:i/>
        </w:rPr>
        <w:t xml:space="preserve">Komise v </w:t>
      </w:r>
      <w:proofErr w:type="gramStart"/>
      <w:r>
        <w:rPr>
          <w:i/>
        </w:rPr>
        <w:t>Francie</w:t>
      </w:r>
      <w:proofErr w:type="gramEnd"/>
      <w:r w:rsidRPr="00265568">
        <w:t>, C-</w:t>
      </w:r>
      <w:r>
        <w:t>121</w:t>
      </w:r>
      <w:r w:rsidRPr="00265568">
        <w:t>/</w:t>
      </w:r>
      <w:r>
        <w:t>07</w:t>
      </w:r>
      <w:r w:rsidRPr="00265568">
        <w:t xml:space="preserve">, Sb. </w:t>
      </w:r>
      <w:proofErr w:type="spellStart"/>
      <w:r w:rsidRPr="00265568">
        <w:t>rozh</w:t>
      </w:r>
      <w:proofErr w:type="spellEnd"/>
      <w:r w:rsidRPr="00265568">
        <w:t xml:space="preserve">. s. </w:t>
      </w:r>
      <w:r>
        <w:t>I-09159</w:t>
      </w:r>
      <w:r w:rsidRPr="00265568">
        <w:t>.</w:t>
      </w:r>
    </w:p>
    <w:p w:rsidR="00914D21" w:rsidRDefault="00914D21" w:rsidP="009421A2">
      <w:pPr>
        <w:pStyle w:val="Odstavecseseznamem"/>
        <w:spacing w:before="120" w:line="360" w:lineRule="auto"/>
      </w:pPr>
      <w:r w:rsidRPr="00265568">
        <w:t>Roz</w:t>
      </w:r>
      <w:r w:rsidR="009421A2">
        <w:t>hodnutí</w:t>
      </w:r>
      <w:r w:rsidRPr="00265568">
        <w:t xml:space="preserve"> ze dne </w:t>
      </w:r>
      <w:r>
        <w:t>14</w:t>
      </w:r>
      <w:r w:rsidRPr="00265568">
        <w:t xml:space="preserve">. </w:t>
      </w:r>
      <w:r>
        <w:t>března 2006</w:t>
      </w:r>
      <w:r w:rsidRPr="00265568">
        <w:t xml:space="preserve">, </w:t>
      </w:r>
      <w:r w:rsidRPr="00265568">
        <w:rPr>
          <w:i/>
        </w:rPr>
        <w:t xml:space="preserve">Komise v </w:t>
      </w:r>
      <w:proofErr w:type="gramStart"/>
      <w:r>
        <w:rPr>
          <w:i/>
        </w:rPr>
        <w:t>Francie</w:t>
      </w:r>
      <w:proofErr w:type="gramEnd"/>
      <w:r w:rsidRPr="00265568">
        <w:t>, C-</w:t>
      </w:r>
      <w:r>
        <w:t>0177</w:t>
      </w:r>
      <w:r w:rsidRPr="00265568">
        <w:t>/</w:t>
      </w:r>
      <w:r>
        <w:t>04</w:t>
      </w:r>
      <w:r w:rsidRPr="00265568">
        <w:t xml:space="preserve">, Sb. </w:t>
      </w:r>
      <w:proofErr w:type="spellStart"/>
      <w:r w:rsidRPr="00265568">
        <w:t>rozh</w:t>
      </w:r>
      <w:proofErr w:type="spellEnd"/>
      <w:r w:rsidRPr="00265568">
        <w:t xml:space="preserve">. s. </w:t>
      </w:r>
      <w:r>
        <w:t>I-02461</w:t>
      </w:r>
      <w:r w:rsidRPr="00265568">
        <w:t>.</w:t>
      </w:r>
    </w:p>
    <w:p w:rsidR="00914D21" w:rsidRDefault="00914D21" w:rsidP="009421A2">
      <w:pPr>
        <w:pStyle w:val="Textpoznpodarou"/>
        <w:spacing w:before="120" w:line="360" w:lineRule="auto"/>
      </w:pPr>
      <w:r w:rsidRPr="00265568">
        <w:t>Roz</w:t>
      </w:r>
      <w:r w:rsidR="009421A2">
        <w:t>hodnutí</w:t>
      </w:r>
      <w:r w:rsidRPr="00265568">
        <w:t xml:space="preserve"> ze dne </w:t>
      </w:r>
      <w:r>
        <w:t>12</w:t>
      </w:r>
      <w:r w:rsidRPr="00265568">
        <w:t xml:space="preserve">. </w:t>
      </w:r>
      <w:r>
        <w:t>července 2005</w:t>
      </w:r>
      <w:r w:rsidRPr="00265568">
        <w:t xml:space="preserve">, </w:t>
      </w:r>
      <w:r w:rsidRPr="00265568">
        <w:rPr>
          <w:i/>
        </w:rPr>
        <w:t xml:space="preserve">Komise v </w:t>
      </w:r>
      <w:proofErr w:type="gramStart"/>
      <w:r>
        <w:rPr>
          <w:i/>
        </w:rPr>
        <w:t>Francie</w:t>
      </w:r>
      <w:proofErr w:type="gramEnd"/>
      <w:r w:rsidRPr="00265568">
        <w:t>, C-</w:t>
      </w:r>
      <w:r>
        <w:t>304</w:t>
      </w:r>
      <w:r w:rsidRPr="00265568">
        <w:t>/</w:t>
      </w:r>
      <w:r>
        <w:t>02</w:t>
      </w:r>
      <w:r w:rsidRPr="00265568">
        <w:t xml:space="preserve">, Sb. </w:t>
      </w:r>
      <w:proofErr w:type="spellStart"/>
      <w:r w:rsidRPr="00265568">
        <w:t>rozh</w:t>
      </w:r>
      <w:proofErr w:type="spellEnd"/>
      <w:r w:rsidRPr="00265568">
        <w:t xml:space="preserve">. s. </w:t>
      </w:r>
      <w:r>
        <w:t>I-06263</w:t>
      </w:r>
      <w:r w:rsidRPr="00265568">
        <w:t>.</w:t>
      </w:r>
    </w:p>
    <w:p w:rsidR="00914D21" w:rsidRDefault="00914D21" w:rsidP="009421A2">
      <w:pPr>
        <w:pStyle w:val="Textpoznpodarou"/>
        <w:spacing w:before="120" w:line="360" w:lineRule="auto"/>
      </w:pPr>
      <w:r w:rsidRPr="00265568">
        <w:t>Roz</w:t>
      </w:r>
      <w:r w:rsidR="009421A2">
        <w:t>hodnutí</w:t>
      </w:r>
      <w:r w:rsidRPr="00265568">
        <w:t xml:space="preserve"> ze dne </w:t>
      </w:r>
      <w:r>
        <w:t>9</w:t>
      </w:r>
      <w:r w:rsidRPr="00265568">
        <w:t xml:space="preserve">. </w:t>
      </w:r>
      <w:r>
        <w:t>prosince 2008</w:t>
      </w:r>
      <w:r w:rsidRPr="00265568">
        <w:t xml:space="preserve">, </w:t>
      </w:r>
      <w:r w:rsidRPr="00265568">
        <w:rPr>
          <w:i/>
        </w:rPr>
        <w:t xml:space="preserve">Komise v </w:t>
      </w:r>
      <w:proofErr w:type="gramStart"/>
      <w:r>
        <w:rPr>
          <w:i/>
        </w:rPr>
        <w:t>Francie</w:t>
      </w:r>
      <w:proofErr w:type="gramEnd"/>
      <w:r w:rsidRPr="00265568">
        <w:t>, C-</w:t>
      </w:r>
      <w:r>
        <w:t>121</w:t>
      </w:r>
      <w:r w:rsidRPr="00265568">
        <w:t>/</w:t>
      </w:r>
      <w:r>
        <w:t>07</w:t>
      </w:r>
      <w:r w:rsidRPr="00265568">
        <w:t xml:space="preserve">, Sb. </w:t>
      </w:r>
      <w:proofErr w:type="spellStart"/>
      <w:r w:rsidRPr="00265568">
        <w:t>rozh</w:t>
      </w:r>
      <w:proofErr w:type="spellEnd"/>
      <w:r w:rsidRPr="00265568">
        <w:t xml:space="preserve">. s. </w:t>
      </w:r>
      <w:r>
        <w:t>I-09159</w:t>
      </w:r>
      <w:r w:rsidRPr="00265568">
        <w:t>.</w:t>
      </w:r>
    </w:p>
    <w:p w:rsidR="00914D21" w:rsidRDefault="00914D21" w:rsidP="009421A2">
      <w:pPr>
        <w:pStyle w:val="Odstavecseseznamem"/>
        <w:spacing w:before="120" w:line="360" w:lineRule="auto"/>
      </w:pPr>
      <w:r w:rsidRPr="00265568">
        <w:t>Roz</w:t>
      </w:r>
      <w:r w:rsidR="009421A2">
        <w:t>hodnutí</w:t>
      </w:r>
      <w:r w:rsidRPr="00265568">
        <w:t xml:space="preserve"> ze dne </w:t>
      </w:r>
      <w:r>
        <w:t>26</w:t>
      </w:r>
      <w:r w:rsidRPr="00265568">
        <w:t xml:space="preserve">. </w:t>
      </w:r>
      <w:r>
        <w:t>února 1976</w:t>
      </w:r>
      <w:r w:rsidRPr="00265568">
        <w:t xml:space="preserve">, </w:t>
      </w:r>
      <w:r w:rsidRPr="00265568">
        <w:rPr>
          <w:i/>
        </w:rPr>
        <w:t xml:space="preserve">Komise v </w:t>
      </w:r>
      <w:proofErr w:type="gramStart"/>
      <w:r>
        <w:rPr>
          <w:i/>
        </w:rPr>
        <w:t>Itálie</w:t>
      </w:r>
      <w:proofErr w:type="gramEnd"/>
      <w:r w:rsidRPr="00265568">
        <w:t>, C-</w:t>
      </w:r>
      <w:r>
        <w:t>52</w:t>
      </w:r>
      <w:r w:rsidRPr="00265568">
        <w:t>/</w:t>
      </w:r>
      <w:r>
        <w:t>75</w:t>
      </w:r>
      <w:r w:rsidRPr="00265568">
        <w:t xml:space="preserve">, Sb. </w:t>
      </w:r>
      <w:proofErr w:type="spellStart"/>
      <w:r w:rsidRPr="00265568">
        <w:t>rozh</w:t>
      </w:r>
      <w:proofErr w:type="spellEnd"/>
      <w:r w:rsidRPr="00265568">
        <w:t xml:space="preserve">. s. </w:t>
      </w:r>
      <w:r>
        <w:t>00277</w:t>
      </w:r>
      <w:r w:rsidRPr="00265568">
        <w:t>.</w:t>
      </w:r>
    </w:p>
    <w:p w:rsidR="00914D21" w:rsidRDefault="00914D21" w:rsidP="009421A2">
      <w:pPr>
        <w:pStyle w:val="Textpoznpodarou"/>
        <w:spacing w:before="120" w:line="360" w:lineRule="auto"/>
      </w:pPr>
      <w:r w:rsidRPr="00130182">
        <w:t>Roz</w:t>
      </w:r>
      <w:r w:rsidR="009421A2">
        <w:t>hodnutí</w:t>
      </w:r>
      <w:r w:rsidRPr="00130182">
        <w:t xml:space="preserve"> ze dne </w:t>
      </w:r>
      <w:r>
        <w:t>26</w:t>
      </w:r>
      <w:r w:rsidRPr="00130182">
        <w:t xml:space="preserve">. </w:t>
      </w:r>
      <w:r>
        <w:t>září</w:t>
      </w:r>
      <w:r w:rsidRPr="00130182">
        <w:t xml:space="preserve"> 20</w:t>
      </w:r>
      <w:r>
        <w:t>13</w:t>
      </w:r>
      <w:r w:rsidRPr="00130182">
        <w:t xml:space="preserve">, </w:t>
      </w:r>
      <w:r w:rsidRPr="00130182">
        <w:rPr>
          <w:i/>
        </w:rPr>
        <w:t>Komise v Česká republika</w:t>
      </w:r>
      <w:r w:rsidRPr="00130182">
        <w:t>, C-</w:t>
      </w:r>
      <w:r>
        <w:t>269</w:t>
      </w:r>
      <w:r w:rsidRPr="00130182">
        <w:t>/</w:t>
      </w:r>
      <w:r>
        <w:t>11.</w:t>
      </w:r>
    </w:p>
    <w:p w:rsidR="00914D21" w:rsidRDefault="00914D21" w:rsidP="009421A2">
      <w:pPr>
        <w:pStyle w:val="Odstavecseseznamem"/>
        <w:spacing w:before="120" w:line="360" w:lineRule="auto"/>
      </w:pPr>
      <w:r w:rsidRPr="00130182">
        <w:rPr>
          <w:szCs w:val="20"/>
        </w:rPr>
        <w:t>Roz</w:t>
      </w:r>
      <w:r w:rsidR="009421A2">
        <w:rPr>
          <w:szCs w:val="20"/>
        </w:rPr>
        <w:t>hodnutí</w:t>
      </w:r>
      <w:r w:rsidRPr="00130182">
        <w:rPr>
          <w:szCs w:val="20"/>
        </w:rPr>
        <w:t xml:space="preserve"> ze dne </w:t>
      </w:r>
      <w:r>
        <w:t>25</w:t>
      </w:r>
      <w:r w:rsidRPr="00130182">
        <w:rPr>
          <w:szCs w:val="20"/>
        </w:rPr>
        <w:t xml:space="preserve">. </w:t>
      </w:r>
      <w:r>
        <w:t>dubna</w:t>
      </w:r>
      <w:r w:rsidRPr="00130182">
        <w:rPr>
          <w:szCs w:val="20"/>
        </w:rPr>
        <w:t xml:space="preserve"> 20</w:t>
      </w:r>
      <w:r>
        <w:t>13</w:t>
      </w:r>
      <w:r w:rsidRPr="00130182">
        <w:rPr>
          <w:szCs w:val="20"/>
        </w:rPr>
        <w:t xml:space="preserve">, </w:t>
      </w:r>
      <w:r w:rsidRPr="00130182">
        <w:rPr>
          <w:i/>
          <w:szCs w:val="20"/>
        </w:rPr>
        <w:t>Komise</w:t>
      </w:r>
      <w:r w:rsidRPr="00130182">
        <w:rPr>
          <w:i/>
        </w:rPr>
        <w:t xml:space="preserve"> v Česká republika</w:t>
      </w:r>
      <w:r w:rsidRPr="00130182">
        <w:t>, C-</w:t>
      </w:r>
      <w:r>
        <w:t>109</w:t>
      </w:r>
      <w:r w:rsidRPr="00130182">
        <w:t>/</w:t>
      </w:r>
      <w:r>
        <w:t>11.</w:t>
      </w:r>
    </w:p>
    <w:p w:rsidR="00A36089" w:rsidRDefault="00A36089" w:rsidP="009421A2">
      <w:pPr>
        <w:pStyle w:val="Odstavecseseznamem"/>
        <w:spacing w:before="120" w:line="360" w:lineRule="auto"/>
      </w:pPr>
      <w:r>
        <w:t xml:space="preserve">Rozhodnutí ze dne 19. listopadu 1991, </w:t>
      </w:r>
      <w:proofErr w:type="spellStart"/>
      <w:r w:rsidRPr="00A36089">
        <w:t>Francovich</w:t>
      </w:r>
      <w:proofErr w:type="spellEnd"/>
      <w:r w:rsidRPr="00A36089">
        <w:t xml:space="preserve"> a </w:t>
      </w:r>
      <w:proofErr w:type="spellStart"/>
      <w:r w:rsidRPr="00A36089">
        <w:t>Bonifaci</w:t>
      </w:r>
      <w:proofErr w:type="spellEnd"/>
      <w:r w:rsidRPr="00A36089">
        <w:t xml:space="preserve"> v. Itálie, </w:t>
      </w:r>
      <w:hyperlink r:id="rId15" w:tgtFrame="_blank" w:history="1">
        <w:r w:rsidRPr="00A36089">
          <w:rPr>
            <w:rStyle w:val="Hypertextovodkaz"/>
            <w:color w:val="auto"/>
            <w:u w:val="none"/>
          </w:rPr>
          <w:t>C-6/90</w:t>
        </w:r>
      </w:hyperlink>
      <w:r w:rsidRPr="00A36089">
        <w:t xml:space="preserve"> a C-9/90</w:t>
      </w:r>
      <w:r>
        <w:t xml:space="preserve">, Sb. </w:t>
      </w:r>
      <w:proofErr w:type="spellStart"/>
      <w:r>
        <w:t>rozh</w:t>
      </w:r>
      <w:proofErr w:type="spellEnd"/>
      <w:r>
        <w:t>. s. I-05357.</w:t>
      </w:r>
      <w:r w:rsidRPr="00A36089">
        <w:t xml:space="preserve">  </w:t>
      </w:r>
    </w:p>
    <w:p w:rsidR="00A25BFB" w:rsidRPr="00A25BFB" w:rsidRDefault="00A25BFB" w:rsidP="00A25BFB">
      <w:pPr>
        <w:pStyle w:val="Odstavecseseznamem"/>
        <w:spacing w:before="120" w:line="360" w:lineRule="auto"/>
        <w:rPr>
          <w:rFonts w:cs="Arial"/>
          <w:szCs w:val="20"/>
        </w:rPr>
      </w:pPr>
    </w:p>
    <w:p w:rsidR="00A25BFB" w:rsidRPr="007D0EED" w:rsidRDefault="00A25BFB" w:rsidP="00A25BFB">
      <w:pPr>
        <w:pStyle w:val="Odstavecseseznamem"/>
        <w:spacing w:before="120" w:line="360" w:lineRule="auto"/>
        <w:rPr>
          <w:rFonts w:cs="Arial"/>
          <w:sz w:val="24"/>
          <w:szCs w:val="20"/>
          <w:u w:val="single"/>
        </w:rPr>
      </w:pPr>
      <w:r w:rsidRPr="007D0EED">
        <w:rPr>
          <w:rFonts w:cs="Arial"/>
          <w:sz w:val="24"/>
          <w:szCs w:val="20"/>
          <w:u w:val="single"/>
        </w:rPr>
        <w:t>Ostatní:</w:t>
      </w:r>
    </w:p>
    <w:p w:rsidR="00BE7F54" w:rsidRDefault="00BE7F54" w:rsidP="00BE7F54">
      <w:pPr>
        <w:spacing w:before="120"/>
        <w:rPr>
          <w:rFonts w:cs="Arial"/>
          <w:sz w:val="20"/>
          <w:szCs w:val="20"/>
        </w:rPr>
      </w:pPr>
      <w:r w:rsidRPr="0037558F">
        <w:rPr>
          <w:rFonts w:cs="Arial"/>
          <w:i/>
          <w:iCs/>
          <w:sz w:val="20"/>
          <w:szCs w:val="20"/>
        </w:rPr>
        <w:t>Konsolidovaná znění Smlouvy o Evropské unii</w:t>
      </w:r>
      <w:r w:rsidRPr="0037558F">
        <w:rPr>
          <w:rFonts w:cs="Arial"/>
          <w:sz w:val="20"/>
          <w:szCs w:val="20"/>
        </w:rPr>
        <w:t>. Úřední</w:t>
      </w:r>
      <w:r>
        <w:rPr>
          <w:rFonts w:cs="Arial"/>
          <w:sz w:val="20"/>
          <w:szCs w:val="20"/>
        </w:rPr>
        <w:t xml:space="preserve"> </w:t>
      </w:r>
      <w:r w:rsidRPr="0037558F">
        <w:rPr>
          <w:rFonts w:cs="Arial"/>
          <w:sz w:val="20"/>
          <w:szCs w:val="20"/>
        </w:rPr>
        <w:t xml:space="preserve">věstník C </w:t>
      </w:r>
      <w:r>
        <w:rPr>
          <w:rFonts w:cs="Arial"/>
          <w:sz w:val="20"/>
          <w:szCs w:val="20"/>
        </w:rPr>
        <w:t>83,</w:t>
      </w:r>
      <w:r w:rsidRPr="0037558F">
        <w:rPr>
          <w:rFonts w:cs="Arial"/>
          <w:sz w:val="20"/>
          <w:szCs w:val="20"/>
        </w:rPr>
        <w:t xml:space="preserve"> ze dne </w:t>
      </w:r>
      <w:r>
        <w:rPr>
          <w:rFonts w:cs="Arial"/>
          <w:sz w:val="20"/>
          <w:szCs w:val="20"/>
        </w:rPr>
        <w:t>30</w:t>
      </w:r>
      <w:r w:rsidRPr="0037558F">
        <w:rPr>
          <w:rFonts w:cs="Arial"/>
          <w:sz w:val="20"/>
          <w:szCs w:val="20"/>
        </w:rPr>
        <w:t xml:space="preserve">. </w:t>
      </w:r>
      <w:r>
        <w:rPr>
          <w:rFonts w:cs="Arial"/>
          <w:sz w:val="20"/>
          <w:szCs w:val="20"/>
        </w:rPr>
        <w:t>března</w:t>
      </w:r>
      <w:r w:rsidRPr="0037558F">
        <w:rPr>
          <w:rFonts w:cs="Arial"/>
          <w:sz w:val="20"/>
          <w:szCs w:val="20"/>
        </w:rPr>
        <w:t xml:space="preserve"> </w:t>
      </w:r>
      <w:r>
        <w:rPr>
          <w:rFonts w:cs="Arial"/>
          <w:sz w:val="20"/>
          <w:szCs w:val="20"/>
        </w:rPr>
        <w:t>2010</w:t>
      </w:r>
      <w:r w:rsidRPr="0037558F">
        <w:rPr>
          <w:rFonts w:cs="Arial"/>
          <w:sz w:val="20"/>
          <w:szCs w:val="20"/>
        </w:rPr>
        <w:t xml:space="preserve"> </w:t>
      </w:r>
    </w:p>
    <w:p w:rsidR="00BE7F54" w:rsidRDefault="00BE7F54" w:rsidP="00BE7F54">
      <w:pPr>
        <w:spacing w:before="120"/>
        <w:rPr>
          <w:rFonts w:cs="Arial"/>
          <w:sz w:val="20"/>
          <w:szCs w:val="20"/>
        </w:rPr>
      </w:pPr>
      <w:r w:rsidRPr="0037558F">
        <w:rPr>
          <w:rFonts w:cs="Arial"/>
          <w:i/>
          <w:iCs/>
          <w:sz w:val="20"/>
          <w:szCs w:val="20"/>
        </w:rPr>
        <w:t>Konsolidované znění Smlouvy o fungování Evropské unie</w:t>
      </w:r>
      <w:r>
        <w:rPr>
          <w:rFonts w:cs="Arial"/>
          <w:i/>
          <w:iCs/>
          <w:sz w:val="20"/>
          <w:szCs w:val="20"/>
        </w:rPr>
        <w:t xml:space="preserve"> </w:t>
      </w:r>
      <w:r w:rsidRPr="0037558F">
        <w:rPr>
          <w:rFonts w:cs="Arial"/>
          <w:i/>
          <w:iCs/>
          <w:sz w:val="20"/>
          <w:szCs w:val="20"/>
        </w:rPr>
        <w:t xml:space="preserve">(Lisabonská smlouva) </w:t>
      </w:r>
      <w:r w:rsidRPr="0037558F">
        <w:rPr>
          <w:rFonts w:cs="Arial"/>
          <w:sz w:val="20"/>
          <w:szCs w:val="20"/>
        </w:rPr>
        <w:t>Úřední věstník C</w:t>
      </w:r>
      <w:r>
        <w:rPr>
          <w:rFonts w:cs="Arial"/>
          <w:sz w:val="20"/>
          <w:szCs w:val="20"/>
        </w:rPr>
        <w:t> </w:t>
      </w:r>
      <w:r w:rsidRPr="0037558F">
        <w:rPr>
          <w:rFonts w:cs="Arial"/>
          <w:sz w:val="20"/>
          <w:szCs w:val="20"/>
        </w:rPr>
        <w:t>115</w:t>
      </w:r>
      <w:r>
        <w:rPr>
          <w:rFonts w:cs="Arial"/>
          <w:sz w:val="20"/>
          <w:szCs w:val="20"/>
        </w:rPr>
        <w:t xml:space="preserve">, </w:t>
      </w:r>
      <w:r w:rsidRPr="0037558F">
        <w:rPr>
          <w:rFonts w:cs="Arial"/>
          <w:sz w:val="20"/>
          <w:szCs w:val="20"/>
        </w:rPr>
        <w:t>ze dne 9. května 2008</w:t>
      </w:r>
      <w:r>
        <w:rPr>
          <w:rFonts w:cs="Arial"/>
          <w:sz w:val="20"/>
          <w:szCs w:val="20"/>
        </w:rPr>
        <w:t>.</w:t>
      </w:r>
    </w:p>
    <w:p w:rsidR="00A25BFB" w:rsidRPr="00756F88" w:rsidRDefault="00537BFE" w:rsidP="00BE7F54">
      <w:pPr>
        <w:spacing w:before="120"/>
        <w:rPr>
          <w:rFonts w:cs="Arial"/>
          <w:sz w:val="20"/>
          <w:szCs w:val="20"/>
        </w:rPr>
      </w:pPr>
      <w:r>
        <w:rPr>
          <w:rFonts w:cs="Arial"/>
          <w:sz w:val="20"/>
          <w:szCs w:val="20"/>
        </w:rPr>
        <w:t xml:space="preserve">Evropská komise. </w:t>
      </w:r>
      <w:r w:rsidR="00A25BFB" w:rsidRPr="00537BFE">
        <w:rPr>
          <w:rFonts w:cs="Arial"/>
          <w:i/>
          <w:sz w:val="20"/>
          <w:szCs w:val="20"/>
        </w:rPr>
        <w:t xml:space="preserve">Report </w:t>
      </w:r>
      <w:proofErr w:type="spellStart"/>
      <w:r w:rsidR="00A25BFB" w:rsidRPr="00537BFE">
        <w:rPr>
          <w:rFonts w:cs="Arial"/>
          <w:i/>
          <w:sz w:val="20"/>
          <w:szCs w:val="20"/>
        </w:rPr>
        <w:t>from</w:t>
      </w:r>
      <w:proofErr w:type="spellEnd"/>
      <w:r w:rsidR="000F1614" w:rsidRPr="00537BFE">
        <w:rPr>
          <w:rFonts w:cs="Arial"/>
          <w:i/>
          <w:sz w:val="20"/>
          <w:szCs w:val="20"/>
        </w:rPr>
        <w:t xml:space="preserve"> </w:t>
      </w:r>
      <w:proofErr w:type="spellStart"/>
      <w:r w:rsidR="00A25BFB" w:rsidRPr="00537BFE">
        <w:rPr>
          <w:rFonts w:cs="Arial"/>
          <w:i/>
          <w:sz w:val="20"/>
          <w:szCs w:val="20"/>
        </w:rPr>
        <w:t>the</w:t>
      </w:r>
      <w:proofErr w:type="spellEnd"/>
      <w:r w:rsidR="000F1614" w:rsidRPr="00537BFE">
        <w:rPr>
          <w:rFonts w:cs="Arial"/>
          <w:i/>
          <w:sz w:val="20"/>
          <w:szCs w:val="20"/>
        </w:rPr>
        <w:t xml:space="preserve"> </w:t>
      </w:r>
      <w:proofErr w:type="spellStart"/>
      <w:r w:rsidR="00A25BFB" w:rsidRPr="00537BFE">
        <w:rPr>
          <w:rFonts w:cs="Arial"/>
          <w:i/>
          <w:sz w:val="20"/>
          <w:szCs w:val="20"/>
        </w:rPr>
        <w:t>Commission</w:t>
      </w:r>
      <w:proofErr w:type="spellEnd"/>
      <w:r w:rsidR="00A25BFB" w:rsidRPr="00537BFE">
        <w:rPr>
          <w:rFonts w:cs="Arial"/>
          <w:i/>
          <w:sz w:val="20"/>
          <w:szCs w:val="20"/>
        </w:rPr>
        <w:t xml:space="preserve">, EU Pilot </w:t>
      </w:r>
      <w:proofErr w:type="spellStart"/>
      <w:r w:rsidR="00652A9F" w:rsidRPr="00537BFE">
        <w:rPr>
          <w:rFonts w:cs="Arial"/>
          <w:i/>
          <w:sz w:val="20"/>
          <w:szCs w:val="20"/>
        </w:rPr>
        <w:t>E</w:t>
      </w:r>
      <w:r w:rsidR="00A25BFB" w:rsidRPr="00537BFE">
        <w:rPr>
          <w:rFonts w:cs="Arial"/>
          <w:i/>
          <w:sz w:val="20"/>
          <w:szCs w:val="20"/>
        </w:rPr>
        <w:t>valuation</w:t>
      </w:r>
      <w:proofErr w:type="spellEnd"/>
      <w:r w:rsidR="00A25BFB" w:rsidRPr="00537BFE">
        <w:rPr>
          <w:rFonts w:cs="Arial"/>
          <w:i/>
          <w:sz w:val="20"/>
          <w:szCs w:val="20"/>
        </w:rPr>
        <w:t xml:space="preserve"> </w:t>
      </w:r>
      <w:r w:rsidR="00652A9F" w:rsidRPr="00537BFE">
        <w:rPr>
          <w:rFonts w:cs="Arial"/>
          <w:i/>
          <w:sz w:val="20"/>
          <w:szCs w:val="20"/>
        </w:rPr>
        <w:t>R</w:t>
      </w:r>
      <w:r w:rsidR="00A25BFB" w:rsidRPr="00537BFE">
        <w:rPr>
          <w:rFonts w:cs="Arial"/>
          <w:i/>
          <w:sz w:val="20"/>
          <w:szCs w:val="20"/>
        </w:rPr>
        <w:t>epor</w:t>
      </w:r>
      <w:r>
        <w:rPr>
          <w:rFonts w:cs="Arial"/>
          <w:i/>
          <w:sz w:val="20"/>
          <w:szCs w:val="20"/>
        </w:rPr>
        <w:t>t.</w:t>
      </w:r>
      <w:r w:rsidR="00A25BFB" w:rsidRPr="00756F88">
        <w:rPr>
          <w:rFonts w:cs="Arial"/>
          <w:sz w:val="20"/>
          <w:szCs w:val="20"/>
        </w:rPr>
        <w:t xml:space="preserve"> </w:t>
      </w:r>
      <w:r>
        <w:rPr>
          <w:rFonts w:cs="Arial"/>
          <w:sz w:val="20"/>
          <w:szCs w:val="20"/>
        </w:rPr>
        <w:t xml:space="preserve">Ze dne </w:t>
      </w:r>
      <w:r w:rsidR="00A25BFB" w:rsidRPr="00756F88">
        <w:rPr>
          <w:rFonts w:cs="Arial"/>
          <w:sz w:val="20"/>
          <w:szCs w:val="20"/>
        </w:rPr>
        <w:t>3. 5. 2010.</w:t>
      </w:r>
    </w:p>
    <w:p w:rsidR="00A25BFB" w:rsidRPr="00756F88" w:rsidRDefault="00537BFE" w:rsidP="00BE7F54">
      <w:pPr>
        <w:spacing w:before="120"/>
        <w:rPr>
          <w:rFonts w:cs="Arial"/>
          <w:sz w:val="20"/>
          <w:szCs w:val="20"/>
        </w:rPr>
      </w:pPr>
      <w:r>
        <w:rPr>
          <w:rFonts w:cs="Arial"/>
          <w:sz w:val="20"/>
          <w:szCs w:val="20"/>
        </w:rPr>
        <w:t xml:space="preserve">Evropská komise. </w:t>
      </w:r>
      <w:r w:rsidR="00A25BFB" w:rsidRPr="00537BFE">
        <w:rPr>
          <w:rFonts w:cs="Arial"/>
          <w:i/>
          <w:sz w:val="20"/>
          <w:szCs w:val="20"/>
        </w:rPr>
        <w:t xml:space="preserve">Report </w:t>
      </w:r>
      <w:proofErr w:type="spellStart"/>
      <w:r w:rsidR="00A25BFB" w:rsidRPr="00537BFE">
        <w:rPr>
          <w:rFonts w:cs="Arial"/>
          <w:i/>
          <w:sz w:val="20"/>
          <w:szCs w:val="20"/>
        </w:rPr>
        <w:t>from</w:t>
      </w:r>
      <w:proofErr w:type="spellEnd"/>
      <w:r w:rsidR="000F1614" w:rsidRPr="00537BFE">
        <w:rPr>
          <w:rFonts w:cs="Arial"/>
          <w:i/>
          <w:sz w:val="20"/>
          <w:szCs w:val="20"/>
        </w:rPr>
        <w:t xml:space="preserve"> </w:t>
      </w:r>
      <w:proofErr w:type="spellStart"/>
      <w:r w:rsidR="00A25BFB" w:rsidRPr="00537BFE">
        <w:rPr>
          <w:rFonts w:cs="Arial"/>
          <w:i/>
          <w:sz w:val="20"/>
          <w:szCs w:val="20"/>
        </w:rPr>
        <w:t>the</w:t>
      </w:r>
      <w:proofErr w:type="spellEnd"/>
      <w:r w:rsidR="000F1614" w:rsidRPr="00537BFE">
        <w:rPr>
          <w:rFonts w:cs="Arial"/>
          <w:i/>
          <w:sz w:val="20"/>
          <w:szCs w:val="20"/>
        </w:rPr>
        <w:t xml:space="preserve"> </w:t>
      </w:r>
      <w:proofErr w:type="spellStart"/>
      <w:r w:rsidR="00A25BFB" w:rsidRPr="00537BFE">
        <w:rPr>
          <w:rFonts w:cs="Arial"/>
          <w:i/>
          <w:sz w:val="20"/>
          <w:szCs w:val="20"/>
        </w:rPr>
        <w:t>Commission</w:t>
      </w:r>
      <w:proofErr w:type="spellEnd"/>
      <w:r w:rsidR="00A25BFB" w:rsidRPr="00537BFE">
        <w:rPr>
          <w:rFonts w:cs="Arial"/>
          <w:i/>
          <w:sz w:val="20"/>
          <w:szCs w:val="20"/>
        </w:rPr>
        <w:t xml:space="preserve">, </w:t>
      </w:r>
      <w:proofErr w:type="spellStart"/>
      <w:r w:rsidR="00A25BFB" w:rsidRPr="00537BFE">
        <w:rPr>
          <w:rFonts w:cs="Arial"/>
          <w:i/>
          <w:sz w:val="20"/>
          <w:szCs w:val="20"/>
        </w:rPr>
        <w:t>Second</w:t>
      </w:r>
      <w:proofErr w:type="spellEnd"/>
      <w:r w:rsidR="00A25BFB" w:rsidRPr="00537BFE">
        <w:rPr>
          <w:rFonts w:cs="Arial"/>
          <w:i/>
          <w:sz w:val="20"/>
          <w:szCs w:val="20"/>
        </w:rPr>
        <w:t xml:space="preserve"> </w:t>
      </w:r>
      <w:proofErr w:type="spellStart"/>
      <w:r w:rsidR="00A25BFB" w:rsidRPr="00537BFE">
        <w:rPr>
          <w:rFonts w:cs="Arial"/>
          <w:i/>
          <w:sz w:val="20"/>
          <w:szCs w:val="20"/>
        </w:rPr>
        <w:t>Evaluation</w:t>
      </w:r>
      <w:proofErr w:type="spellEnd"/>
      <w:r w:rsidR="00A25BFB" w:rsidRPr="00537BFE">
        <w:rPr>
          <w:rFonts w:cs="Arial"/>
          <w:i/>
          <w:sz w:val="20"/>
          <w:szCs w:val="20"/>
        </w:rPr>
        <w:t xml:space="preserve"> Report on EU Pilot</w:t>
      </w:r>
      <w:r>
        <w:rPr>
          <w:rFonts w:cs="Arial"/>
          <w:i/>
          <w:sz w:val="20"/>
          <w:szCs w:val="20"/>
        </w:rPr>
        <w:t>.</w:t>
      </w:r>
      <w:r>
        <w:rPr>
          <w:rFonts w:cs="Arial"/>
          <w:sz w:val="20"/>
          <w:szCs w:val="20"/>
        </w:rPr>
        <w:t xml:space="preserve"> Ze dne</w:t>
      </w:r>
      <w:r w:rsidR="00A25BFB" w:rsidRPr="00756F88">
        <w:rPr>
          <w:rFonts w:cs="Arial"/>
          <w:sz w:val="20"/>
          <w:szCs w:val="20"/>
        </w:rPr>
        <w:t xml:space="preserve"> 21. 12. 2011. </w:t>
      </w:r>
    </w:p>
    <w:p w:rsidR="00652A9F" w:rsidRDefault="00E139FB" w:rsidP="00BE7F54">
      <w:pPr>
        <w:pStyle w:val="Textpoznpodarou"/>
        <w:spacing w:before="120" w:line="360" w:lineRule="auto"/>
      </w:pPr>
      <w:r>
        <w:t>Evro</w:t>
      </w:r>
      <w:r w:rsidR="00537BFE">
        <w:t>p</w:t>
      </w:r>
      <w:r>
        <w:t>s</w:t>
      </w:r>
      <w:r w:rsidR="00537BFE">
        <w:t xml:space="preserve">ký ochránce práv. </w:t>
      </w:r>
      <w:proofErr w:type="spellStart"/>
      <w:r w:rsidR="00652A9F" w:rsidRPr="00E139FB">
        <w:rPr>
          <w:i/>
        </w:rPr>
        <w:t>The</w:t>
      </w:r>
      <w:proofErr w:type="spellEnd"/>
      <w:r w:rsidR="00652A9F" w:rsidRPr="00E139FB">
        <w:rPr>
          <w:i/>
        </w:rPr>
        <w:t xml:space="preserve"> </w:t>
      </w:r>
      <w:proofErr w:type="spellStart"/>
      <w:r w:rsidR="00652A9F" w:rsidRPr="00E139FB">
        <w:rPr>
          <w:i/>
        </w:rPr>
        <w:t>European</w:t>
      </w:r>
      <w:proofErr w:type="spellEnd"/>
      <w:r w:rsidR="00652A9F" w:rsidRPr="00E139FB">
        <w:rPr>
          <w:i/>
        </w:rPr>
        <w:t xml:space="preserve"> Ombudsman </w:t>
      </w:r>
      <w:proofErr w:type="spellStart"/>
      <w:r w:rsidR="00652A9F" w:rsidRPr="00E139FB">
        <w:rPr>
          <w:i/>
        </w:rPr>
        <w:t>Annual</w:t>
      </w:r>
      <w:proofErr w:type="spellEnd"/>
      <w:r w:rsidR="00652A9F" w:rsidRPr="00E139FB">
        <w:rPr>
          <w:i/>
        </w:rPr>
        <w:t xml:space="preserve"> Report </w:t>
      </w:r>
      <w:proofErr w:type="spellStart"/>
      <w:r w:rsidR="00652A9F" w:rsidRPr="00E139FB">
        <w:rPr>
          <w:i/>
        </w:rPr>
        <w:t>for</w:t>
      </w:r>
      <w:proofErr w:type="spellEnd"/>
      <w:r w:rsidR="00652A9F" w:rsidRPr="00E139FB">
        <w:rPr>
          <w:i/>
        </w:rPr>
        <w:t xml:space="preserve"> 1999</w:t>
      </w:r>
      <w:r w:rsidR="00652A9F">
        <w:t xml:space="preserve">. </w:t>
      </w:r>
      <w:r>
        <w:t>Štrasburk, duben 2000</w:t>
      </w:r>
      <w:r w:rsidR="00652A9F">
        <w:t>.</w:t>
      </w:r>
    </w:p>
    <w:p w:rsidR="0011393F" w:rsidRPr="00D821FE" w:rsidRDefault="0011393F" w:rsidP="00BE7F54">
      <w:pPr>
        <w:pStyle w:val="Textpoznpodarou"/>
        <w:spacing w:before="120" w:line="360" w:lineRule="auto"/>
        <w:rPr>
          <w:rFonts w:cs="Arial"/>
          <w:color w:val="1F497D" w:themeColor="text2"/>
        </w:rPr>
      </w:pPr>
      <w:r w:rsidRPr="0011393F">
        <w:t xml:space="preserve">Ministerstvo zahraničních věcí, </w:t>
      </w:r>
      <w:r w:rsidR="005A71E7">
        <w:rPr>
          <w:rFonts w:cs="Arial"/>
          <w:szCs w:val="22"/>
        </w:rPr>
        <w:t>odbor komunitárního práva.</w:t>
      </w:r>
      <w:r w:rsidRPr="0011393F">
        <w:rPr>
          <w:rFonts w:cs="Arial"/>
          <w:szCs w:val="22"/>
        </w:rPr>
        <w:t xml:space="preserve"> </w:t>
      </w:r>
      <w:r w:rsidRPr="0011393F">
        <w:rPr>
          <w:rFonts w:cs="Arial"/>
          <w:i/>
          <w:szCs w:val="22"/>
        </w:rPr>
        <w:t>Zpráva o činnosti vládního zmocněnce pro zastupování České republiky před Soudním dvorem Evropské unie za rok 2013</w:t>
      </w:r>
      <w:r w:rsidR="005A71E7">
        <w:rPr>
          <w:rFonts w:cs="Arial"/>
          <w:i/>
          <w:szCs w:val="22"/>
        </w:rPr>
        <w:t>.</w:t>
      </w:r>
      <w:r w:rsidRPr="0011393F">
        <w:rPr>
          <w:rFonts w:cs="Arial"/>
          <w:szCs w:val="22"/>
        </w:rPr>
        <w:t xml:space="preserve"> Praha 2014.</w:t>
      </w:r>
    </w:p>
    <w:p w:rsidR="00BA4461" w:rsidRDefault="00BE7F54" w:rsidP="00BE7F54">
      <w:pPr>
        <w:spacing w:before="120"/>
        <w:rPr>
          <w:rFonts w:cs="Arial"/>
          <w:sz w:val="20"/>
          <w:szCs w:val="20"/>
        </w:rPr>
      </w:pPr>
      <w:r>
        <w:rPr>
          <w:rFonts w:cs="Arial"/>
          <w:sz w:val="20"/>
          <w:szCs w:val="20"/>
        </w:rPr>
        <w:t>Soudní dvůr Evropské unie</w:t>
      </w:r>
      <w:r w:rsidR="005A71E7">
        <w:rPr>
          <w:rFonts w:cs="Arial"/>
          <w:sz w:val="20"/>
          <w:szCs w:val="20"/>
        </w:rPr>
        <w:t>.</w:t>
      </w:r>
      <w:r>
        <w:rPr>
          <w:rFonts w:cs="Arial"/>
          <w:sz w:val="20"/>
          <w:szCs w:val="20"/>
        </w:rPr>
        <w:t xml:space="preserve"> </w:t>
      </w:r>
      <w:r w:rsidR="00756F88" w:rsidRPr="00BE7F54">
        <w:rPr>
          <w:rFonts w:cs="Arial"/>
          <w:i/>
          <w:sz w:val="20"/>
          <w:szCs w:val="20"/>
        </w:rPr>
        <w:t>Výroční zpráva Soudního dvora 2013</w:t>
      </w:r>
      <w:r w:rsidR="005A71E7">
        <w:rPr>
          <w:rFonts w:cs="Arial"/>
          <w:i/>
          <w:sz w:val="20"/>
          <w:szCs w:val="20"/>
        </w:rPr>
        <w:t>,</w:t>
      </w:r>
      <w:r w:rsidRPr="00BE7F54">
        <w:rPr>
          <w:rFonts w:cs="Arial"/>
          <w:i/>
          <w:sz w:val="20"/>
          <w:szCs w:val="20"/>
        </w:rPr>
        <w:t xml:space="preserve"> Přehled činnosti Soudního dvora, Tribunálu a Soudu pro veřejnou službu Evropské unie</w:t>
      </w:r>
      <w:r w:rsidR="005A71E7">
        <w:rPr>
          <w:rFonts w:cs="Arial"/>
          <w:i/>
          <w:sz w:val="20"/>
          <w:szCs w:val="20"/>
        </w:rPr>
        <w:t>.</w:t>
      </w:r>
      <w:r>
        <w:rPr>
          <w:rFonts w:cs="Arial"/>
          <w:sz w:val="20"/>
          <w:szCs w:val="20"/>
        </w:rPr>
        <w:t xml:space="preserve"> Lucemburk 2014.</w:t>
      </w:r>
    </w:p>
    <w:p w:rsidR="005A71E7" w:rsidRDefault="005A71E7" w:rsidP="005A71E7">
      <w:pPr>
        <w:spacing w:before="120"/>
        <w:rPr>
          <w:rFonts w:cs="Arial"/>
          <w:sz w:val="20"/>
          <w:szCs w:val="20"/>
        </w:rPr>
      </w:pPr>
      <w:r>
        <w:rPr>
          <w:rFonts w:cs="Arial"/>
          <w:sz w:val="20"/>
          <w:szCs w:val="20"/>
        </w:rPr>
        <w:t xml:space="preserve">Evropská Komise. </w:t>
      </w:r>
      <w:r w:rsidRPr="005A71E7">
        <w:rPr>
          <w:rFonts w:cs="Arial"/>
          <w:i/>
          <w:sz w:val="20"/>
          <w:szCs w:val="20"/>
        </w:rPr>
        <w:t xml:space="preserve">Sdělení Komise, </w:t>
      </w:r>
      <w:r w:rsidRPr="005A71E7">
        <w:rPr>
          <w:rFonts w:cs="Arial"/>
          <w:bCs/>
          <w:i/>
          <w:sz w:val="20"/>
          <w:szCs w:val="20"/>
        </w:rPr>
        <w:t>Použití článku 228 Smlouvy o ES</w:t>
      </w:r>
      <w:r>
        <w:rPr>
          <w:rFonts w:cs="Arial"/>
          <w:bCs/>
          <w:sz w:val="20"/>
          <w:szCs w:val="20"/>
        </w:rPr>
        <w:t xml:space="preserve">. </w:t>
      </w:r>
      <w:proofErr w:type="spellStart"/>
      <w:r>
        <w:rPr>
          <w:rFonts w:cs="Arial"/>
          <w:bCs/>
          <w:sz w:val="20"/>
          <w:szCs w:val="20"/>
        </w:rPr>
        <w:t>Úřed</w:t>
      </w:r>
      <w:proofErr w:type="spellEnd"/>
      <w:r w:rsidR="00F07269">
        <w:rPr>
          <w:rFonts w:cs="Arial"/>
          <w:bCs/>
          <w:sz w:val="20"/>
          <w:szCs w:val="20"/>
        </w:rPr>
        <w:t>.</w:t>
      </w:r>
      <w:r>
        <w:rPr>
          <w:rFonts w:cs="Arial"/>
          <w:bCs/>
          <w:sz w:val="20"/>
          <w:szCs w:val="20"/>
        </w:rPr>
        <w:t xml:space="preserve"> </w:t>
      </w:r>
      <w:proofErr w:type="spellStart"/>
      <w:r w:rsidR="00F07269">
        <w:rPr>
          <w:rFonts w:cs="Arial"/>
          <w:bCs/>
          <w:sz w:val="20"/>
          <w:szCs w:val="20"/>
        </w:rPr>
        <w:t>v</w:t>
      </w:r>
      <w:r>
        <w:rPr>
          <w:rFonts w:cs="Arial"/>
          <w:bCs/>
          <w:sz w:val="20"/>
          <w:szCs w:val="20"/>
        </w:rPr>
        <w:t>ěst</w:t>
      </w:r>
      <w:proofErr w:type="spellEnd"/>
      <w:r w:rsidR="00F07269">
        <w:rPr>
          <w:rFonts w:cs="Arial"/>
          <w:bCs/>
          <w:sz w:val="20"/>
          <w:szCs w:val="20"/>
        </w:rPr>
        <w:t>.</w:t>
      </w:r>
      <w:r>
        <w:rPr>
          <w:rFonts w:cs="Arial"/>
          <w:bCs/>
          <w:sz w:val="20"/>
          <w:szCs w:val="20"/>
        </w:rPr>
        <w:t xml:space="preserve"> </w:t>
      </w:r>
      <w:r w:rsidR="003606D2" w:rsidRPr="003606D2">
        <w:rPr>
          <w:rFonts w:cs="Arial"/>
          <w:sz w:val="20"/>
          <w:szCs w:val="20"/>
        </w:rPr>
        <w:t>SEK (2005) 1658</w:t>
      </w:r>
      <w:r w:rsidR="00E139FB">
        <w:rPr>
          <w:rFonts w:cs="Arial"/>
          <w:sz w:val="20"/>
          <w:szCs w:val="20"/>
        </w:rPr>
        <w:t>.</w:t>
      </w:r>
    </w:p>
    <w:p w:rsidR="003606D2" w:rsidRDefault="005A71E7" w:rsidP="005A71E7">
      <w:pPr>
        <w:spacing w:before="120"/>
        <w:rPr>
          <w:rFonts w:cs="Arial"/>
          <w:sz w:val="20"/>
          <w:szCs w:val="20"/>
        </w:rPr>
      </w:pPr>
      <w:r>
        <w:rPr>
          <w:rFonts w:cs="Arial"/>
          <w:bCs/>
          <w:sz w:val="20"/>
          <w:szCs w:val="20"/>
        </w:rPr>
        <w:t>Evro</w:t>
      </w:r>
      <w:r w:rsidRPr="005A71E7">
        <w:rPr>
          <w:rFonts w:cs="Arial"/>
          <w:bCs/>
          <w:sz w:val="20"/>
          <w:szCs w:val="20"/>
        </w:rPr>
        <w:t>p</w:t>
      </w:r>
      <w:r>
        <w:rPr>
          <w:rFonts w:cs="Arial"/>
          <w:bCs/>
          <w:sz w:val="20"/>
          <w:szCs w:val="20"/>
        </w:rPr>
        <w:t>s</w:t>
      </w:r>
      <w:r w:rsidRPr="005A71E7">
        <w:rPr>
          <w:rFonts w:cs="Arial"/>
          <w:bCs/>
          <w:sz w:val="20"/>
          <w:szCs w:val="20"/>
        </w:rPr>
        <w:t xml:space="preserve">ká Komise. </w:t>
      </w:r>
      <w:r w:rsidRPr="005A71E7">
        <w:rPr>
          <w:rFonts w:cs="Arial"/>
          <w:bCs/>
          <w:i/>
          <w:sz w:val="20"/>
          <w:szCs w:val="20"/>
        </w:rPr>
        <w:t>Sdělení Komise, Aktualizace údajů pro výpočet paušálních částek a penále, které Komise navrhuje Soudnímu dvoru v rámci řízení o nesplnění povinnosti.</w:t>
      </w:r>
      <w:r>
        <w:rPr>
          <w:rFonts w:cs="Arial"/>
          <w:bCs/>
          <w:sz w:val="20"/>
          <w:szCs w:val="20"/>
        </w:rPr>
        <w:t xml:space="preserve"> </w:t>
      </w:r>
      <w:proofErr w:type="spellStart"/>
      <w:r w:rsidR="00F07269">
        <w:rPr>
          <w:rFonts w:cs="Arial"/>
          <w:bCs/>
          <w:sz w:val="20"/>
          <w:szCs w:val="20"/>
        </w:rPr>
        <w:t>Ú</w:t>
      </w:r>
      <w:r>
        <w:rPr>
          <w:rFonts w:cs="Arial"/>
          <w:bCs/>
          <w:sz w:val="20"/>
          <w:szCs w:val="20"/>
        </w:rPr>
        <w:t>ř</w:t>
      </w:r>
      <w:proofErr w:type="spellEnd"/>
      <w:r w:rsidR="00F07269">
        <w:rPr>
          <w:rFonts w:cs="Arial"/>
          <w:bCs/>
          <w:sz w:val="20"/>
          <w:szCs w:val="20"/>
        </w:rPr>
        <w:t>.</w:t>
      </w:r>
      <w:r>
        <w:rPr>
          <w:rFonts w:cs="Arial"/>
          <w:bCs/>
          <w:sz w:val="20"/>
          <w:szCs w:val="20"/>
        </w:rPr>
        <w:t xml:space="preserve"> </w:t>
      </w:r>
      <w:proofErr w:type="spellStart"/>
      <w:proofErr w:type="gramStart"/>
      <w:r w:rsidR="00F07269">
        <w:rPr>
          <w:rFonts w:cs="Arial"/>
          <w:bCs/>
          <w:sz w:val="20"/>
          <w:szCs w:val="20"/>
        </w:rPr>
        <w:t>v</w:t>
      </w:r>
      <w:r>
        <w:rPr>
          <w:rFonts w:cs="Arial"/>
          <w:bCs/>
          <w:sz w:val="20"/>
          <w:szCs w:val="20"/>
        </w:rPr>
        <w:t>ěst</w:t>
      </w:r>
      <w:proofErr w:type="spellEnd"/>
      <w:proofErr w:type="gramEnd"/>
      <w:r w:rsidR="00F07269">
        <w:rPr>
          <w:rFonts w:cs="Arial"/>
          <w:bCs/>
          <w:sz w:val="20"/>
          <w:szCs w:val="20"/>
        </w:rPr>
        <w:t>.</w:t>
      </w:r>
      <w:r>
        <w:rPr>
          <w:rFonts w:cs="Arial"/>
          <w:bCs/>
          <w:sz w:val="20"/>
          <w:szCs w:val="20"/>
        </w:rPr>
        <w:t xml:space="preserve"> C(2013) 8101 </w:t>
      </w:r>
      <w:proofErr w:type="spellStart"/>
      <w:r>
        <w:rPr>
          <w:rFonts w:cs="Arial"/>
          <w:bCs/>
          <w:sz w:val="20"/>
          <w:szCs w:val="20"/>
        </w:rPr>
        <w:t>final</w:t>
      </w:r>
      <w:proofErr w:type="spellEnd"/>
      <w:r>
        <w:rPr>
          <w:rFonts w:cs="Arial"/>
          <w:bCs/>
          <w:sz w:val="20"/>
          <w:szCs w:val="20"/>
        </w:rPr>
        <w:t xml:space="preserve">, ze dne 21. 11. 2013, Brusel. </w:t>
      </w:r>
    </w:p>
    <w:p w:rsidR="006A4FC0" w:rsidRPr="009E613A" w:rsidRDefault="006351C9" w:rsidP="006A4FC0">
      <w:pPr>
        <w:spacing w:before="120"/>
        <w:rPr>
          <w:rFonts w:cs="Arial"/>
          <w:sz w:val="20"/>
          <w:szCs w:val="20"/>
        </w:rPr>
      </w:pPr>
      <w:r w:rsidRPr="009E613A">
        <w:rPr>
          <w:rFonts w:cs="Arial"/>
          <w:i/>
          <w:iCs/>
          <w:sz w:val="20"/>
          <w:szCs w:val="20"/>
        </w:rPr>
        <w:t xml:space="preserve">Analýza dopadů Lisabonské smlouvy </w:t>
      </w:r>
      <w:r w:rsidRPr="009E613A">
        <w:rPr>
          <w:rFonts w:cs="Arial"/>
          <w:sz w:val="20"/>
          <w:szCs w:val="20"/>
        </w:rPr>
        <w:t xml:space="preserve">[online]. Vláda.cz, leden 2010 [cit. 10. srpna 2014]. Dostupné:  &lt;http://www.vlada.cz/assets/evropskezalezitosti/dokumenty/Analyza-dopadu-Lisabonske- smlouvy.pdf&gt;.  </w:t>
      </w:r>
    </w:p>
    <w:p w:rsidR="006351C9" w:rsidRDefault="006351C9" w:rsidP="006A4FC0">
      <w:pPr>
        <w:spacing w:before="120"/>
        <w:rPr>
          <w:rFonts w:cs="Arial"/>
          <w:sz w:val="20"/>
          <w:szCs w:val="20"/>
        </w:rPr>
      </w:pPr>
    </w:p>
    <w:p w:rsidR="008510BB" w:rsidRDefault="008510BB">
      <w:pPr>
        <w:spacing w:after="200" w:line="276" w:lineRule="auto"/>
        <w:jc w:val="left"/>
        <w:rPr>
          <w:rFonts w:cs="Arial"/>
          <w:sz w:val="20"/>
          <w:szCs w:val="20"/>
        </w:rPr>
      </w:pPr>
      <w:r>
        <w:rPr>
          <w:rFonts w:cs="Arial"/>
          <w:sz w:val="20"/>
          <w:szCs w:val="20"/>
        </w:rPr>
        <w:br w:type="page"/>
      </w:r>
    </w:p>
    <w:p w:rsidR="008510BB" w:rsidRPr="00EF5064" w:rsidRDefault="008510BB" w:rsidP="008510BB">
      <w:pPr>
        <w:pStyle w:val="Nadpis1"/>
      </w:pPr>
      <w:bookmarkStart w:id="42" w:name="_Toc396921295"/>
      <w:bookmarkStart w:id="43" w:name="_Toc399171092"/>
      <w:proofErr w:type="spellStart"/>
      <w:r w:rsidRPr="00EF5064">
        <w:lastRenderedPageBreak/>
        <w:t>Abstract</w:t>
      </w:r>
      <w:bookmarkEnd w:id="42"/>
      <w:bookmarkEnd w:id="43"/>
      <w:proofErr w:type="spellEnd"/>
    </w:p>
    <w:p w:rsidR="00DA0EBE" w:rsidRPr="00DA0EBE" w:rsidRDefault="008510BB" w:rsidP="00DA0EBE">
      <w:pPr>
        <w:rPr>
          <w:rStyle w:val="hps"/>
          <w:rFonts w:cs="Arial"/>
          <w:color w:val="222222"/>
          <w:lang/>
        </w:rPr>
      </w:pPr>
      <w:r>
        <w:rPr>
          <w:rFonts w:ascii="Garamond" w:hAnsi="Garamond" w:cs="Garamond"/>
          <w:szCs w:val="24"/>
        </w:rPr>
        <w:tab/>
      </w:r>
      <w:r w:rsidR="00DA0EBE" w:rsidRPr="00DA0EBE">
        <w:rPr>
          <w:rStyle w:val="hps"/>
          <w:rFonts w:cs="Arial"/>
          <w:color w:val="222222"/>
          <w:lang/>
        </w:rPr>
        <w:t>This thesis deals with the infringement procedure. This procedure can result in</w:t>
      </w:r>
      <w:r w:rsidR="00C62E18">
        <w:rPr>
          <w:rStyle w:val="hps"/>
          <w:rFonts w:cs="Arial"/>
          <w:color w:val="222222"/>
          <w:lang/>
        </w:rPr>
        <w:t> </w:t>
      </w:r>
      <w:r w:rsidR="00DA0EBE" w:rsidRPr="00DA0EBE">
        <w:rPr>
          <w:rStyle w:val="hps"/>
          <w:rFonts w:cs="Arial"/>
          <w:color w:val="222222"/>
          <w:lang/>
        </w:rPr>
        <w:t>proceedings in the Court of Justice initiated by the European Commission or</w:t>
      </w:r>
      <w:r w:rsidR="00C62E18">
        <w:rPr>
          <w:rStyle w:val="hps"/>
          <w:rFonts w:cs="Arial"/>
          <w:color w:val="222222"/>
          <w:lang/>
        </w:rPr>
        <w:t> </w:t>
      </w:r>
      <w:r w:rsidR="00DA0EBE" w:rsidRPr="00DA0EBE">
        <w:rPr>
          <w:rStyle w:val="hps"/>
          <w:rFonts w:cs="Arial"/>
          <w:color w:val="222222"/>
          <w:lang/>
        </w:rPr>
        <w:t>another Member State. Within the framework of this judicial phase of</w:t>
      </w:r>
      <w:r w:rsidR="00C62E18">
        <w:rPr>
          <w:rStyle w:val="hps"/>
          <w:rFonts w:cs="Arial"/>
          <w:color w:val="222222"/>
          <w:lang/>
        </w:rPr>
        <w:t> </w:t>
      </w:r>
      <w:r w:rsidR="00DA0EBE" w:rsidRPr="00DA0EBE">
        <w:rPr>
          <w:rStyle w:val="hps"/>
          <w:rFonts w:cs="Arial"/>
          <w:color w:val="222222"/>
          <w:lang/>
        </w:rPr>
        <w:t>the</w:t>
      </w:r>
      <w:r w:rsidR="00C62E18">
        <w:rPr>
          <w:rStyle w:val="hps"/>
          <w:rFonts w:cs="Arial"/>
          <w:color w:val="222222"/>
          <w:lang/>
        </w:rPr>
        <w:t> </w:t>
      </w:r>
      <w:r w:rsidR="00DA0EBE" w:rsidRPr="00DA0EBE">
        <w:rPr>
          <w:rStyle w:val="hps"/>
          <w:rFonts w:cs="Arial"/>
          <w:color w:val="222222"/>
          <w:lang/>
        </w:rPr>
        <w:t xml:space="preserve">proceedings sanctions can be imposed on the Member State which committed the infringement. The penalty can either be a lump sum or a periodic payment. As the name of procedure implies its main purpose is to supervise the Member States’ fulfilment of the obligations arising under European law and in the event of violation or insufficient fulfilment of these obligations its purpose is to enforce the performance by the Member States. </w:t>
      </w:r>
    </w:p>
    <w:p w:rsidR="00DA0EBE" w:rsidRDefault="00DA0EBE" w:rsidP="008510BB">
      <w:pPr>
        <w:autoSpaceDE w:val="0"/>
        <w:autoSpaceDN w:val="0"/>
        <w:adjustRightInd w:val="0"/>
        <w:spacing w:line="240" w:lineRule="auto"/>
        <w:jc w:val="left"/>
        <w:rPr>
          <w:rFonts w:ascii="Garamond" w:hAnsi="Garamond" w:cs="Garamond"/>
          <w:szCs w:val="24"/>
        </w:rPr>
      </w:pPr>
    </w:p>
    <w:p w:rsidR="008510BB" w:rsidRDefault="008510BB" w:rsidP="008510BB">
      <w:pPr>
        <w:autoSpaceDE w:val="0"/>
        <w:autoSpaceDN w:val="0"/>
        <w:adjustRightInd w:val="0"/>
        <w:spacing w:line="240" w:lineRule="auto"/>
        <w:jc w:val="left"/>
        <w:rPr>
          <w:rFonts w:ascii="Garamond" w:hAnsi="Garamond" w:cs="Garamond"/>
          <w:szCs w:val="24"/>
        </w:rPr>
      </w:pPr>
    </w:p>
    <w:p w:rsidR="008510BB" w:rsidRDefault="008510BB" w:rsidP="008510BB">
      <w:pPr>
        <w:autoSpaceDE w:val="0"/>
        <w:autoSpaceDN w:val="0"/>
        <w:adjustRightInd w:val="0"/>
        <w:spacing w:line="240" w:lineRule="auto"/>
        <w:jc w:val="left"/>
        <w:rPr>
          <w:rFonts w:ascii="Garamond" w:hAnsi="Garamond" w:cs="Garamond"/>
          <w:szCs w:val="24"/>
        </w:rPr>
      </w:pPr>
    </w:p>
    <w:p w:rsidR="008510BB" w:rsidRDefault="008510BB" w:rsidP="008510BB">
      <w:pPr>
        <w:pStyle w:val="Nadpis1"/>
      </w:pPr>
      <w:bookmarkStart w:id="44" w:name="_Toc396921296"/>
      <w:bookmarkStart w:id="45" w:name="_Toc399171093"/>
      <w:r>
        <w:t>Abstrakt</w:t>
      </w:r>
      <w:bookmarkEnd w:id="44"/>
      <w:bookmarkEnd w:id="45"/>
    </w:p>
    <w:p w:rsidR="008510BB" w:rsidRDefault="008510BB" w:rsidP="008510BB">
      <w:r>
        <w:tab/>
        <w:t>Tato diplomová práce se zabývá řízením o porušení povinnosti členského státu, která mu vyplývá z evropského práva. Toto řízení může vyústit až v podání žaloby k Soudnímu dvoru, a to Evropskou komisí nebo jiným členským státem. V rámci této soudní fáz</w:t>
      </w:r>
      <w:r w:rsidR="00910E6C">
        <w:t>e</w:t>
      </w:r>
      <w:r>
        <w:t xml:space="preserve"> řízení hrozí členskému státu, který povinnost porušil, uložení </w:t>
      </w:r>
      <w:r>
        <w:rPr>
          <w:rFonts w:cs="Arial"/>
          <w:color w:val="222222"/>
        </w:rPr>
        <w:t xml:space="preserve">sankce formou </w:t>
      </w:r>
      <w:r w:rsidRPr="00A7273F">
        <w:rPr>
          <w:rFonts w:cs="Arial"/>
          <w:color w:val="222222"/>
        </w:rPr>
        <w:t>paušální částk</w:t>
      </w:r>
      <w:r>
        <w:rPr>
          <w:rFonts w:cs="Arial"/>
          <w:color w:val="222222"/>
        </w:rPr>
        <w:t>y</w:t>
      </w:r>
      <w:r w:rsidRPr="00A7273F">
        <w:rPr>
          <w:rFonts w:cs="Arial"/>
          <w:color w:val="222222"/>
        </w:rPr>
        <w:t xml:space="preserve"> nebo </w:t>
      </w:r>
      <w:r>
        <w:rPr>
          <w:rFonts w:cs="Arial"/>
          <w:color w:val="222222"/>
        </w:rPr>
        <w:t xml:space="preserve">opakovaného </w:t>
      </w:r>
      <w:r w:rsidRPr="00A7273F">
        <w:rPr>
          <w:rFonts w:cs="Arial"/>
          <w:color w:val="222222"/>
        </w:rPr>
        <w:t>penále</w:t>
      </w:r>
      <w:r>
        <w:t xml:space="preserve">. Jak vyplývá z názvu řízení, hlavním jeho účelem je dozorovat nad členskými státy, aby plnily své povinnosti, které jim plynou z evropského práva a v případě, že tyto povinnosti budou plnit nedostatečně či vůbec, pak je účelem </w:t>
      </w:r>
      <w:r w:rsidR="00910E6C">
        <w:t xml:space="preserve">řízení přimět </w:t>
      </w:r>
      <w:r>
        <w:t>státy k</w:t>
      </w:r>
      <w:r w:rsidR="00910E6C">
        <w:t> jejich řádnému plnění</w:t>
      </w:r>
      <w:bookmarkStart w:id="46" w:name="_GoBack"/>
      <w:bookmarkEnd w:id="46"/>
      <w:r>
        <w:t xml:space="preserve">. </w:t>
      </w:r>
    </w:p>
    <w:p w:rsidR="008510BB" w:rsidRDefault="008510BB" w:rsidP="008510BB">
      <w:pPr>
        <w:autoSpaceDE w:val="0"/>
        <w:autoSpaceDN w:val="0"/>
        <w:adjustRightInd w:val="0"/>
        <w:spacing w:line="240" w:lineRule="auto"/>
        <w:jc w:val="left"/>
        <w:rPr>
          <w:rFonts w:ascii="Garamond" w:hAnsi="Garamond" w:cs="Garamond"/>
          <w:szCs w:val="24"/>
        </w:rPr>
      </w:pPr>
    </w:p>
    <w:p w:rsidR="008510BB" w:rsidRDefault="008510BB" w:rsidP="008510BB">
      <w:pPr>
        <w:spacing w:after="200" w:line="276" w:lineRule="auto"/>
        <w:jc w:val="left"/>
        <w:rPr>
          <w:rFonts w:ascii="Garamond" w:hAnsi="Garamond" w:cs="Garamond"/>
          <w:szCs w:val="24"/>
        </w:rPr>
      </w:pPr>
      <w:r>
        <w:rPr>
          <w:rFonts w:ascii="Garamond" w:hAnsi="Garamond" w:cs="Garamond"/>
          <w:szCs w:val="24"/>
        </w:rPr>
        <w:br w:type="page"/>
      </w:r>
    </w:p>
    <w:p w:rsidR="008510BB" w:rsidRDefault="008510BB" w:rsidP="008510BB">
      <w:pPr>
        <w:pStyle w:val="Nadpis1"/>
      </w:pPr>
      <w:bookmarkStart w:id="47" w:name="_Toc396921297"/>
      <w:bookmarkStart w:id="48" w:name="_Toc399171094"/>
      <w:r w:rsidRPr="004C2F32">
        <w:lastRenderedPageBreak/>
        <w:t xml:space="preserve">List </w:t>
      </w:r>
      <w:proofErr w:type="spellStart"/>
      <w:r w:rsidRPr="004C2F32">
        <w:t>of</w:t>
      </w:r>
      <w:proofErr w:type="spellEnd"/>
      <w:r w:rsidRPr="004C2F32">
        <w:t xml:space="preserve"> </w:t>
      </w:r>
      <w:proofErr w:type="spellStart"/>
      <w:r w:rsidRPr="004C2F32">
        <w:t>keywords</w:t>
      </w:r>
      <w:bookmarkEnd w:id="47"/>
      <w:bookmarkEnd w:id="48"/>
      <w:proofErr w:type="spellEnd"/>
    </w:p>
    <w:p w:rsidR="008510BB" w:rsidRPr="004C2F32" w:rsidRDefault="008510BB" w:rsidP="008510BB">
      <w:proofErr w:type="spellStart"/>
      <w:r>
        <w:t>Infringement</w:t>
      </w:r>
      <w:proofErr w:type="spellEnd"/>
      <w:r>
        <w:t xml:space="preserve"> </w:t>
      </w:r>
      <w:proofErr w:type="spellStart"/>
      <w:r>
        <w:t>procedure</w:t>
      </w:r>
      <w:proofErr w:type="spellEnd"/>
      <w:r>
        <w:t xml:space="preserve"> * </w:t>
      </w:r>
      <w:proofErr w:type="spellStart"/>
      <w:r>
        <w:t>European</w:t>
      </w:r>
      <w:proofErr w:type="spellEnd"/>
      <w:r>
        <w:t xml:space="preserve"> </w:t>
      </w:r>
      <w:proofErr w:type="spellStart"/>
      <w:r>
        <w:t>Commission</w:t>
      </w:r>
      <w:proofErr w:type="spellEnd"/>
      <w:r>
        <w:t xml:space="preserve"> * </w:t>
      </w:r>
      <w:proofErr w:type="spellStart"/>
      <w:r>
        <w:t>Member</w:t>
      </w:r>
      <w:proofErr w:type="spellEnd"/>
      <w:r>
        <w:t xml:space="preserve"> </w:t>
      </w:r>
      <w:proofErr w:type="spellStart"/>
      <w:r>
        <w:t>State</w:t>
      </w:r>
      <w:proofErr w:type="spellEnd"/>
      <w:r>
        <w:t xml:space="preserve"> * </w:t>
      </w:r>
      <w:proofErr w:type="spellStart"/>
      <w:r>
        <w:t>European</w:t>
      </w:r>
      <w:proofErr w:type="spellEnd"/>
      <w:r>
        <w:t xml:space="preserve"> </w:t>
      </w:r>
      <w:proofErr w:type="spellStart"/>
      <w:r>
        <w:t>Law</w:t>
      </w:r>
      <w:proofErr w:type="spellEnd"/>
      <w:r>
        <w:t xml:space="preserve"> * </w:t>
      </w:r>
      <w:proofErr w:type="spellStart"/>
      <w:r>
        <w:t>Court</w:t>
      </w:r>
      <w:proofErr w:type="spellEnd"/>
      <w:r>
        <w:t xml:space="preserve"> </w:t>
      </w:r>
      <w:proofErr w:type="spellStart"/>
      <w:r>
        <w:t>of</w:t>
      </w:r>
      <w:proofErr w:type="spellEnd"/>
      <w:r>
        <w:t xml:space="preserve"> Justice * </w:t>
      </w:r>
      <w:proofErr w:type="spellStart"/>
      <w:r>
        <w:t>Penalties</w:t>
      </w:r>
      <w:proofErr w:type="spellEnd"/>
      <w:r>
        <w:t xml:space="preserve"> * </w:t>
      </w:r>
      <w:proofErr w:type="spellStart"/>
      <w:r>
        <w:t>Obligations</w:t>
      </w:r>
      <w:proofErr w:type="spellEnd"/>
      <w:r>
        <w:t xml:space="preserve">  </w:t>
      </w:r>
    </w:p>
    <w:p w:rsidR="008510BB" w:rsidRPr="004C2F32" w:rsidRDefault="008510BB" w:rsidP="008510BB"/>
    <w:p w:rsidR="008510BB" w:rsidRDefault="008510BB" w:rsidP="008510BB">
      <w:pPr>
        <w:pStyle w:val="Nadpis1"/>
      </w:pPr>
    </w:p>
    <w:p w:rsidR="008510BB" w:rsidRPr="004C2F32" w:rsidRDefault="008510BB" w:rsidP="008510BB">
      <w:pPr>
        <w:pStyle w:val="Nadpis1"/>
      </w:pPr>
      <w:bookmarkStart w:id="49" w:name="_Toc396921298"/>
      <w:bookmarkStart w:id="50" w:name="_Toc399171095"/>
      <w:r w:rsidRPr="004C2F32">
        <w:t>Seznam klíčových slov</w:t>
      </w:r>
      <w:bookmarkEnd w:id="49"/>
      <w:bookmarkEnd w:id="50"/>
      <w:r w:rsidRPr="004C2F32">
        <w:t xml:space="preserve"> </w:t>
      </w:r>
    </w:p>
    <w:p w:rsidR="008510BB" w:rsidRDefault="008510BB" w:rsidP="008510BB">
      <w:r>
        <w:t xml:space="preserve">řízení o porušení povinnosti * Evropská komise * členský stát * evropské právo * Soudní dvůr * sankce * povinnosti </w:t>
      </w:r>
    </w:p>
    <w:p w:rsidR="008510BB" w:rsidRPr="00EF5064" w:rsidRDefault="008510BB" w:rsidP="008510BB"/>
    <w:p w:rsidR="006A4FC0" w:rsidRDefault="006A4FC0" w:rsidP="006A4FC0">
      <w:pPr>
        <w:spacing w:before="120"/>
        <w:rPr>
          <w:rFonts w:cs="Arial"/>
          <w:sz w:val="20"/>
          <w:szCs w:val="20"/>
        </w:rPr>
      </w:pPr>
    </w:p>
    <w:sectPr w:rsidR="006A4FC0" w:rsidSect="00A129A6">
      <w:footerReference w:type="default" r:id="rId16"/>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706" w:rsidRDefault="002A4706" w:rsidP="001D7189">
      <w:pPr>
        <w:spacing w:line="240" w:lineRule="auto"/>
      </w:pPr>
      <w:r>
        <w:separator/>
      </w:r>
    </w:p>
  </w:endnote>
  <w:endnote w:type="continuationSeparator" w:id="0">
    <w:p w:rsidR="002A4706" w:rsidRDefault="002A4706" w:rsidP="001D71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EE"/>
    <w:family w:val="auto"/>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973791"/>
      <w:docPartObj>
        <w:docPartGallery w:val="Page Numbers (Bottom of Page)"/>
        <w:docPartUnique/>
      </w:docPartObj>
    </w:sdtPr>
    <w:sdtContent>
      <w:p w:rsidR="002A4706" w:rsidRDefault="00775B98">
        <w:pPr>
          <w:pStyle w:val="Zpat"/>
          <w:jc w:val="center"/>
        </w:pPr>
        <w:r>
          <w:fldChar w:fldCharType="begin"/>
        </w:r>
        <w:r w:rsidR="002A4706">
          <w:instrText>PAGE   \* MERGEFORMAT</w:instrText>
        </w:r>
        <w:r>
          <w:fldChar w:fldCharType="separate"/>
        </w:r>
        <w:r w:rsidR="00C907B5">
          <w:rPr>
            <w:noProof/>
          </w:rPr>
          <w:t>2</w:t>
        </w:r>
        <w:r>
          <w:fldChar w:fldCharType="end"/>
        </w:r>
      </w:p>
    </w:sdtContent>
  </w:sdt>
  <w:p w:rsidR="002A4706" w:rsidRDefault="002A470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706" w:rsidRDefault="002A4706" w:rsidP="001D7189">
      <w:pPr>
        <w:spacing w:line="240" w:lineRule="auto"/>
      </w:pPr>
      <w:r>
        <w:separator/>
      </w:r>
    </w:p>
  </w:footnote>
  <w:footnote w:type="continuationSeparator" w:id="0">
    <w:p w:rsidR="002A4706" w:rsidRDefault="002A4706" w:rsidP="001D7189">
      <w:pPr>
        <w:spacing w:line="240" w:lineRule="auto"/>
      </w:pPr>
      <w:r>
        <w:continuationSeparator/>
      </w:r>
    </w:p>
  </w:footnote>
  <w:footnote w:id="1">
    <w:p w:rsidR="002A4706" w:rsidRDefault="002A4706">
      <w:pPr>
        <w:pStyle w:val="Textpoznpodarou"/>
      </w:pPr>
      <w:r>
        <w:rPr>
          <w:rStyle w:val="Znakapoznpodarou"/>
        </w:rPr>
        <w:footnoteRef/>
      </w:r>
      <w:r>
        <w:t xml:space="preserve"> </w:t>
      </w:r>
      <w:r w:rsidRPr="00637755">
        <w:t>Podle</w:t>
      </w:r>
      <w:r w:rsidRPr="00637755">
        <w:rPr>
          <w:b/>
        </w:rPr>
        <w:t xml:space="preserve"> </w:t>
      </w:r>
      <w:r w:rsidRPr="00637755">
        <w:rPr>
          <w:b/>
          <w:u w:val="single"/>
        </w:rPr>
        <w:t>čl. 7 SEU</w:t>
      </w:r>
      <w:r w:rsidRPr="00637755">
        <w:t xml:space="preserve">, na odůvodněný návrh Evropského parlamentu, Komise nebo jedné třetiny členských států, může Rada </w:t>
      </w:r>
      <w:r>
        <w:t xml:space="preserve">EU </w:t>
      </w:r>
      <w:r w:rsidRPr="00637755">
        <w:t>po obdržení souhlasu EP rozhodnout, že některý členský stát závažně porušil hodnoty EU uvedené v článku 2 SEU. Před vydáním takového rozhodnutí musí nechat členský stát se vyjádřit a také mu může dát určitá doporučení. Radě dále ze SEU vyplývá povinnost pravidelně přezkoumávat, zda důvody takového rozhodnutí i nadále trvají. Oprávnění vydat rozhodnutí dle článku 2 SEU má rovněž Evropská rada, která tak učiní na návrh buď jedné třetiny členských států nebo na návrh Komise a rovněž po obdržení souhlasu EP, pokud došlo k závažnému a trvajícímu porušení hodnot EU. I zde musí nejprve vyzvat členský stát, aby se ve věci vyjádřil. Zatímco Rada potřebuje k rozhodnutí čtyřpětinovou většinu, Evropská rada musí rozhodnout jedn</w:t>
      </w:r>
      <w:r>
        <w:t>omyslně. (</w:t>
      </w:r>
      <w:r w:rsidRPr="00637755">
        <w:t xml:space="preserve">SYLLOVÁ, Jindřiška, PÍTROVÁ, Lenka, PALDUSOVÁ, Helena a kol. </w:t>
      </w:r>
      <w:r w:rsidRPr="00637755">
        <w:rPr>
          <w:i/>
        </w:rPr>
        <w:t>Lisabonská smlouva, komentář</w:t>
      </w:r>
      <w:r w:rsidRPr="00637755">
        <w:t>. Praha: C. H. Beck, 2010, s. 53-57</w:t>
      </w:r>
      <w:r>
        <w:t xml:space="preserve">) </w:t>
      </w:r>
    </w:p>
  </w:footnote>
  <w:footnote w:id="2">
    <w:p w:rsidR="002A4706" w:rsidRDefault="002A4706" w:rsidP="00637755">
      <w:pPr>
        <w:pStyle w:val="Textpoznpodarou"/>
      </w:pPr>
      <w:r>
        <w:rPr>
          <w:rStyle w:val="Znakapoznpodarou"/>
        </w:rPr>
        <w:footnoteRef/>
      </w:r>
      <w:r>
        <w:t xml:space="preserve"> Článek 2 SEU.</w:t>
      </w:r>
    </w:p>
  </w:footnote>
  <w:footnote w:id="3">
    <w:p w:rsidR="002A4706" w:rsidRDefault="002A4706" w:rsidP="008F26AA">
      <w:pPr>
        <w:pStyle w:val="Odstavecseseznamem"/>
      </w:pPr>
      <w:r>
        <w:rPr>
          <w:rStyle w:val="Znakapoznpodarou"/>
          <w:rFonts w:cs="Arial"/>
        </w:rPr>
        <w:footnoteRef/>
      </w:r>
      <w:r>
        <w:t xml:space="preserve"> TOMÁŠEK, Michal, TÝČ, Vladimír a kol. </w:t>
      </w:r>
      <w:r>
        <w:rPr>
          <w:i/>
        </w:rPr>
        <w:t>Právo Evropské unie</w:t>
      </w:r>
      <w:r>
        <w:t xml:space="preserve">. Praha: </w:t>
      </w:r>
      <w:proofErr w:type="spellStart"/>
      <w:r>
        <w:t>Leges</w:t>
      </w:r>
      <w:proofErr w:type="spellEnd"/>
      <w:r>
        <w:t>, 2013, s. 134.</w:t>
      </w:r>
    </w:p>
  </w:footnote>
  <w:footnote w:id="4">
    <w:p w:rsidR="002A4706" w:rsidRDefault="002A4706">
      <w:pPr>
        <w:pStyle w:val="Textpoznpodarou"/>
      </w:pPr>
      <w:r>
        <w:rPr>
          <w:rStyle w:val="Znakapoznpodarou"/>
        </w:rPr>
        <w:footnoteRef/>
      </w:r>
      <w:r>
        <w:t xml:space="preserve"> </w:t>
      </w:r>
      <w:r w:rsidRPr="00922F6C">
        <w:rPr>
          <w:rFonts w:cs="Arial"/>
        </w:rPr>
        <w:t>Tato pravidla jsou dále konkretizována protokolem o postupu při nadměrném schodku. Kontrolu plnění této povinnosti má na starosti Komise, avšak odpovědnostní důsledky vyvozuje Rada EU, která je oprávněna ukládat sankce. Ty mohou mít nejrůznější podobu, například depozitní povinnost u Unie, omezení přístupu k úvěrům poskytovaným Evropskou investiční bankou či dokonce pokuty. Ve výsledku zde ale nelze hovořit o uspokojivé efektivnosti tohoto systému, jelikož jak víme, Rada EU je orgánem nikoliv soudním, ale politickým, a navíc složeným ze zástupců členských zemí. Mimo to je nutné poukázat na zjevnou nevhodnost povahy ukládaných sankcí. Stát, jenž nerespektuje pravidla fiskální disciplíny tak činí proto, že není v jeho silách</w:t>
      </w:r>
      <w:r>
        <w:rPr>
          <w:rFonts w:cs="Arial"/>
        </w:rPr>
        <w:t xml:space="preserve"> </w:t>
      </w:r>
      <w:r w:rsidRPr="00922F6C">
        <w:rPr>
          <w:rFonts w:cs="Arial"/>
        </w:rPr>
        <w:t>zajistit dostatečné příjmy, které by stačily k pokrytí všech jeho výdajů. Následné uložení pokuty za porušení stanovené povinnosti může pak tyto problémy jen zhoršit a dále ztížit přístup sankcionovaného státu na finanční trhy. Rozhodnutí Rady EU o uložené sankci mohou</w:t>
      </w:r>
      <w:r>
        <w:rPr>
          <w:rFonts w:cs="Arial"/>
        </w:rPr>
        <w:t xml:space="preserve"> však</w:t>
      </w:r>
      <w:r w:rsidRPr="00922F6C">
        <w:rPr>
          <w:rFonts w:cs="Arial"/>
        </w:rPr>
        <w:t xml:space="preserve"> být přezkoumána Soudním dvorem</w:t>
      </w:r>
      <w:r w:rsidRPr="00171167">
        <w:rPr>
          <w:rFonts w:cs="Arial"/>
        </w:rPr>
        <w:t xml:space="preserve">. (TOMÁŠEK, Michal, TÝČ, Vladimír a kol. </w:t>
      </w:r>
      <w:r w:rsidRPr="00171167">
        <w:rPr>
          <w:rFonts w:cs="Arial"/>
          <w:i/>
        </w:rPr>
        <w:t>Právo Evropské unie</w:t>
      </w:r>
      <w:r w:rsidRPr="00171167">
        <w:rPr>
          <w:rFonts w:cs="Arial"/>
        </w:rPr>
        <w:t xml:space="preserve">. Praha: </w:t>
      </w:r>
      <w:proofErr w:type="spellStart"/>
      <w:r w:rsidRPr="00171167">
        <w:rPr>
          <w:rFonts w:cs="Arial"/>
        </w:rPr>
        <w:t>Leges</w:t>
      </w:r>
      <w:proofErr w:type="spellEnd"/>
      <w:r w:rsidRPr="00171167">
        <w:rPr>
          <w:rFonts w:cs="Arial"/>
        </w:rPr>
        <w:t>, 2013, s. 134)</w:t>
      </w:r>
    </w:p>
  </w:footnote>
  <w:footnote w:id="5">
    <w:p w:rsidR="002A4706" w:rsidRPr="006E0DF0" w:rsidRDefault="002A4706" w:rsidP="00637755">
      <w:pPr>
        <w:pStyle w:val="Odstavecseseznamem"/>
        <w:rPr>
          <w:color w:val="548DD4" w:themeColor="text2" w:themeTint="99"/>
        </w:rPr>
      </w:pPr>
      <w:r>
        <w:rPr>
          <w:rStyle w:val="Znakapoznpodarou"/>
        </w:rPr>
        <w:footnoteRef/>
      </w:r>
      <w:r w:rsidRPr="00D52D26">
        <w:t>Č</w:t>
      </w:r>
      <w:r>
        <w:t>R</w:t>
      </w:r>
      <w:r w:rsidRPr="00D52D26">
        <w:t xml:space="preserve"> se chystá rovněž přistoup</w:t>
      </w:r>
      <w:r>
        <w:t>it</w:t>
      </w:r>
      <w:r w:rsidRPr="00D52D26">
        <w:t xml:space="preserve"> k tomuto </w:t>
      </w:r>
      <w:r>
        <w:t xml:space="preserve">fiskálnímu </w:t>
      </w:r>
      <w:r w:rsidRPr="00D52D26">
        <w:t>paktu</w:t>
      </w:r>
      <w:r>
        <w:t xml:space="preserve"> Evropské unie. Toto přistoupení schválila V</w:t>
      </w:r>
      <w:r w:rsidRPr="00D52D26">
        <w:rPr>
          <w:color w:val="202020"/>
        </w:rPr>
        <w:t>láda ČR</w:t>
      </w:r>
      <w:r>
        <w:rPr>
          <w:color w:val="202020"/>
        </w:rPr>
        <w:t xml:space="preserve"> v březnu 2014</w:t>
      </w:r>
      <w:r w:rsidRPr="00D52D26">
        <w:rPr>
          <w:color w:val="202020"/>
        </w:rPr>
        <w:t xml:space="preserve">. Smlouvu bude ještě nutné schválit v </w:t>
      </w:r>
      <w:r>
        <w:rPr>
          <w:color w:val="202020"/>
        </w:rPr>
        <w:t>P</w:t>
      </w:r>
      <w:r w:rsidRPr="00D52D26">
        <w:rPr>
          <w:color w:val="202020"/>
        </w:rPr>
        <w:t>arlamentu ústavní většinou.</w:t>
      </w:r>
    </w:p>
  </w:footnote>
  <w:footnote w:id="6">
    <w:p w:rsidR="002A4706" w:rsidRDefault="002A4706" w:rsidP="00637755">
      <w:pPr>
        <w:pStyle w:val="Odstavecseseznamem"/>
      </w:pPr>
      <w:r>
        <w:rPr>
          <w:rStyle w:val="Znakapoznpodarou"/>
        </w:rPr>
        <w:footnoteRef/>
      </w:r>
      <w:r>
        <w:t xml:space="preserve"> </w:t>
      </w:r>
      <w:r w:rsidRPr="000F2190">
        <w:t xml:space="preserve">TOMÁŠEK, Michal, TÝČ, Vladimír a kol. </w:t>
      </w:r>
      <w:r w:rsidRPr="004D6422">
        <w:rPr>
          <w:i/>
        </w:rPr>
        <w:t>Právo Evropské unie</w:t>
      </w:r>
      <w:r>
        <w:t xml:space="preserve">. </w:t>
      </w:r>
      <w:r w:rsidRPr="00A25BFB">
        <w:t xml:space="preserve">Praha: </w:t>
      </w:r>
      <w:proofErr w:type="spellStart"/>
      <w:r w:rsidRPr="00A25BFB">
        <w:t>Leges</w:t>
      </w:r>
      <w:proofErr w:type="spellEnd"/>
      <w:r w:rsidRPr="00A25BFB">
        <w:t>, 201</w:t>
      </w:r>
      <w:r>
        <w:t>3, s</w:t>
      </w:r>
      <w:r w:rsidRPr="000F2190">
        <w:t>. 134</w:t>
      </w:r>
      <w:r>
        <w:t>.</w:t>
      </w:r>
    </w:p>
  </w:footnote>
  <w:footnote w:id="7">
    <w:p w:rsidR="002A4706" w:rsidRDefault="002A4706" w:rsidP="008F26AA">
      <w:pPr>
        <w:pStyle w:val="Odstavecseseznamem"/>
      </w:pPr>
      <w:r>
        <w:rPr>
          <w:rStyle w:val="Znakapoznpodarou"/>
        </w:rPr>
        <w:footnoteRef/>
      </w:r>
      <w:r>
        <w:t xml:space="preserve"> Označované také jako „řízení o porušení Smluv“, „řízení pro porušení unijního práva“ či anglicky „infringement procedure“  </w:t>
      </w:r>
    </w:p>
  </w:footnote>
  <w:footnote w:id="8">
    <w:p w:rsidR="002A4706" w:rsidRDefault="002A4706" w:rsidP="00E10E44">
      <w:pPr>
        <w:pStyle w:val="Odstavecseseznamem"/>
      </w:pPr>
      <w:r>
        <w:rPr>
          <w:rStyle w:val="Znakapoznpodarou"/>
        </w:rPr>
        <w:footnoteRef/>
      </w:r>
      <w:r>
        <w:t xml:space="preserve"> </w:t>
      </w:r>
      <w:r w:rsidRPr="00CC5DB5">
        <w:t xml:space="preserve">TICHÝ, Luboš a kol. </w:t>
      </w:r>
      <w:r w:rsidRPr="00CC5DB5">
        <w:rPr>
          <w:i/>
        </w:rPr>
        <w:t>Evropské právo</w:t>
      </w:r>
      <w:r w:rsidRPr="00CC5DB5">
        <w:t>. 4. vydání. Praha: C. H. Beck, 2011, s. 367</w:t>
      </w:r>
      <w:r>
        <w:t>.</w:t>
      </w:r>
    </w:p>
  </w:footnote>
  <w:footnote w:id="9">
    <w:p w:rsidR="002A4706" w:rsidRDefault="002A4706" w:rsidP="001A3AE2">
      <w:pPr>
        <w:pStyle w:val="Odstavecseseznamem"/>
      </w:pPr>
      <w:r>
        <w:rPr>
          <w:rStyle w:val="Znakapoznpodarou"/>
        </w:rPr>
        <w:footnoteRef/>
      </w:r>
      <w:r>
        <w:t xml:space="preserve"> BLAHUŠIAK</w:t>
      </w:r>
      <w:r w:rsidRPr="001A3AE2">
        <w:t xml:space="preserve">, </w:t>
      </w:r>
      <w:r>
        <w:t>Igor</w:t>
      </w:r>
      <w:r w:rsidRPr="001A3AE2">
        <w:t xml:space="preserve">. </w:t>
      </w:r>
      <w:r>
        <w:t>Evropský soudní dvůr</w:t>
      </w:r>
      <w:r w:rsidRPr="001A3AE2">
        <w:t xml:space="preserve"> [online]. </w:t>
      </w:r>
      <w:r>
        <w:t>Euroskop</w:t>
      </w:r>
      <w:r w:rsidRPr="001A3AE2">
        <w:t>.cz,</w:t>
      </w:r>
      <w:r>
        <w:t xml:space="preserve"> </w:t>
      </w:r>
      <w:r w:rsidRPr="001A3AE2">
        <w:t xml:space="preserve">[cit. </w:t>
      </w:r>
      <w:r>
        <w:t>16</w:t>
      </w:r>
      <w:r w:rsidRPr="001A3AE2">
        <w:t xml:space="preserve">. </w:t>
      </w:r>
      <w:r>
        <w:t>května</w:t>
      </w:r>
      <w:r w:rsidRPr="001A3AE2">
        <w:t xml:space="preserve"> 20</w:t>
      </w:r>
      <w:r>
        <w:t>14</w:t>
      </w:r>
      <w:r w:rsidRPr="001A3AE2">
        <w:t>]. Dostupné na &lt;</w:t>
      </w:r>
      <w:r w:rsidRPr="00674E3E">
        <w:t>https://www.euroskop.cz/101/sekce/evropsky-soudni-dvur/</w:t>
      </w:r>
      <w:r w:rsidRPr="001A3AE2">
        <w:t>&gt;.</w:t>
      </w:r>
    </w:p>
  </w:footnote>
  <w:footnote w:id="10">
    <w:p w:rsidR="002A4706" w:rsidRDefault="002A4706" w:rsidP="00E10E44">
      <w:pPr>
        <w:pStyle w:val="Odstavecseseznamem"/>
      </w:pPr>
      <w:r>
        <w:rPr>
          <w:rStyle w:val="Znakapoznpodarou"/>
        </w:rPr>
        <w:footnoteRef/>
      </w:r>
      <w:r>
        <w:rPr>
          <w:rFonts w:cs="Arial"/>
        </w:rPr>
        <w:t xml:space="preserve"> </w:t>
      </w:r>
      <w:r w:rsidRPr="00A25BFB">
        <w:rPr>
          <w:rFonts w:cs="Arial"/>
        </w:rPr>
        <w:t xml:space="preserve">TICHÝ, Luboš a kol. </w:t>
      </w:r>
      <w:r w:rsidRPr="00A25BFB">
        <w:rPr>
          <w:rFonts w:cs="Arial"/>
          <w:i/>
        </w:rPr>
        <w:t>Evropské právo</w:t>
      </w:r>
      <w:r w:rsidRPr="00A25BFB">
        <w:rPr>
          <w:rFonts w:cs="Arial"/>
        </w:rPr>
        <w:t xml:space="preserve">. </w:t>
      </w:r>
      <w:r>
        <w:rPr>
          <w:rFonts w:cs="Arial"/>
        </w:rPr>
        <w:t>4</w:t>
      </w:r>
      <w:r w:rsidRPr="00A25BFB">
        <w:rPr>
          <w:rFonts w:cs="Arial"/>
        </w:rPr>
        <w:t xml:space="preserve">. vydání. Praha: C. H. Beck, </w:t>
      </w:r>
      <w:r>
        <w:rPr>
          <w:rFonts w:cs="Arial"/>
        </w:rPr>
        <w:t>2011, s. 368.</w:t>
      </w:r>
    </w:p>
  </w:footnote>
  <w:footnote w:id="11">
    <w:p w:rsidR="002A4706" w:rsidRDefault="002A4706" w:rsidP="00E10E44">
      <w:pPr>
        <w:pStyle w:val="Odstavecseseznamem"/>
      </w:pPr>
      <w:r>
        <w:rPr>
          <w:rStyle w:val="Znakapoznpodarou"/>
        </w:rPr>
        <w:footnoteRef/>
      </w:r>
      <w:r>
        <w:rPr>
          <w:rFonts w:cs="Arial"/>
        </w:rPr>
        <w:t xml:space="preserve"> </w:t>
      </w:r>
      <w:r w:rsidRPr="00A25BFB">
        <w:rPr>
          <w:rFonts w:cs="Arial"/>
        </w:rPr>
        <w:t xml:space="preserve">TICHÝ, Luboš a kol. </w:t>
      </w:r>
      <w:r w:rsidRPr="00A25BFB">
        <w:rPr>
          <w:rFonts w:cs="Arial"/>
          <w:i/>
        </w:rPr>
        <w:t>Evropské právo</w:t>
      </w:r>
      <w:r w:rsidRPr="00A25BFB">
        <w:rPr>
          <w:rFonts w:cs="Arial"/>
        </w:rPr>
        <w:t xml:space="preserve">. </w:t>
      </w:r>
      <w:r>
        <w:rPr>
          <w:rFonts w:cs="Arial"/>
        </w:rPr>
        <w:t>4</w:t>
      </w:r>
      <w:r w:rsidRPr="00A25BFB">
        <w:rPr>
          <w:rFonts w:cs="Arial"/>
        </w:rPr>
        <w:t xml:space="preserve">. vydání. Praha: C. H. Beck, </w:t>
      </w:r>
      <w:r>
        <w:rPr>
          <w:rFonts w:cs="Arial"/>
        </w:rPr>
        <w:t>2011, s. 368.</w:t>
      </w:r>
    </w:p>
  </w:footnote>
  <w:footnote w:id="12">
    <w:p w:rsidR="002A4706" w:rsidRDefault="002A4706">
      <w:pPr>
        <w:pStyle w:val="Textpoznpodarou"/>
      </w:pPr>
      <w:r>
        <w:rPr>
          <w:rStyle w:val="Znakapoznpodarou"/>
        </w:rPr>
        <w:footnoteRef/>
      </w:r>
      <w:r>
        <w:t xml:space="preserve"> </w:t>
      </w:r>
      <w:r w:rsidRPr="00F36008">
        <w:rPr>
          <w:rFonts w:cs="Arial"/>
        </w:rPr>
        <w:t xml:space="preserve">TOMÁŠEK, Michal, TÝČ, Vladimír a kol. </w:t>
      </w:r>
      <w:r w:rsidRPr="00F36008">
        <w:rPr>
          <w:rFonts w:cs="Arial"/>
          <w:i/>
        </w:rPr>
        <w:t>Právo Evropské unie</w:t>
      </w:r>
      <w:r w:rsidRPr="00F36008">
        <w:rPr>
          <w:rFonts w:cs="Arial"/>
        </w:rPr>
        <w:t xml:space="preserve">. Praha: </w:t>
      </w:r>
      <w:proofErr w:type="spellStart"/>
      <w:r w:rsidRPr="00F36008">
        <w:rPr>
          <w:rFonts w:cs="Arial"/>
        </w:rPr>
        <w:t>Leges</w:t>
      </w:r>
      <w:proofErr w:type="spellEnd"/>
      <w:r w:rsidRPr="00F36008">
        <w:rPr>
          <w:rFonts w:cs="Arial"/>
        </w:rPr>
        <w:t xml:space="preserve">, 2013, s. </w:t>
      </w:r>
      <w:r>
        <w:rPr>
          <w:rFonts w:cs="Arial"/>
        </w:rPr>
        <w:t>407-408.</w:t>
      </w:r>
    </w:p>
  </w:footnote>
  <w:footnote w:id="13">
    <w:p w:rsidR="002A4706" w:rsidRDefault="002A4706">
      <w:pPr>
        <w:pStyle w:val="Textpoznpodarou"/>
      </w:pPr>
      <w:r>
        <w:rPr>
          <w:rStyle w:val="Znakapoznpodarou"/>
        </w:rPr>
        <w:footnoteRef/>
      </w:r>
      <w:r>
        <w:t xml:space="preserve"> </w:t>
      </w:r>
      <w:r w:rsidRPr="00F36008">
        <w:rPr>
          <w:rFonts w:cs="Arial"/>
        </w:rPr>
        <w:t xml:space="preserve">TOMÁŠEK, Michal, TÝČ, Vladimír a kol. </w:t>
      </w:r>
      <w:r w:rsidRPr="00F36008">
        <w:rPr>
          <w:rFonts w:cs="Arial"/>
          <w:i/>
        </w:rPr>
        <w:t>Právo Evropské unie</w:t>
      </w:r>
      <w:r w:rsidRPr="00F36008">
        <w:rPr>
          <w:rFonts w:cs="Arial"/>
        </w:rPr>
        <w:t xml:space="preserve">. Praha: </w:t>
      </w:r>
      <w:proofErr w:type="spellStart"/>
      <w:r w:rsidRPr="00F36008">
        <w:rPr>
          <w:rFonts w:cs="Arial"/>
        </w:rPr>
        <w:t>Leges</w:t>
      </w:r>
      <w:proofErr w:type="spellEnd"/>
      <w:r w:rsidRPr="00F36008">
        <w:rPr>
          <w:rFonts w:cs="Arial"/>
        </w:rPr>
        <w:t xml:space="preserve">, 2013, s. </w:t>
      </w:r>
      <w:r>
        <w:rPr>
          <w:rFonts w:cs="Arial"/>
        </w:rPr>
        <w:t>408</w:t>
      </w:r>
    </w:p>
  </w:footnote>
  <w:footnote w:id="14">
    <w:p w:rsidR="002A4706" w:rsidRDefault="002A4706">
      <w:pPr>
        <w:pStyle w:val="Textpoznpodarou"/>
      </w:pPr>
      <w:r>
        <w:rPr>
          <w:rStyle w:val="Znakapoznpodarou"/>
        </w:rPr>
        <w:footnoteRef/>
      </w:r>
      <w:r>
        <w:t xml:space="preserve"> </w:t>
      </w:r>
      <w:r w:rsidRPr="00F36008">
        <w:rPr>
          <w:rFonts w:cs="Arial"/>
        </w:rPr>
        <w:t xml:space="preserve">TOMÁŠEK, Michal, TÝČ, Vladimír a kol. </w:t>
      </w:r>
      <w:r w:rsidRPr="00F36008">
        <w:rPr>
          <w:rFonts w:cs="Arial"/>
          <w:i/>
        </w:rPr>
        <w:t>Právo Evropské unie</w:t>
      </w:r>
      <w:r w:rsidRPr="00F36008">
        <w:rPr>
          <w:rFonts w:cs="Arial"/>
        </w:rPr>
        <w:t xml:space="preserve">. Praha: </w:t>
      </w:r>
      <w:proofErr w:type="spellStart"/>
      <w:r w:rsidRPr="00F36008">
        <w:rPr>
          <w:rFonts w:cs="Arial"/>
        </w:rPr>
        <w:t>Leges</w:t>
      </w:r>
      <w:proofErr w:type="spellEnd"/>
      <w:r w:rsidRPr="00F36008">
        <w:rPr>
          <w:rFonts w:cs="Arial"/>
        </w:rPr>
        <w:t xml:space="preserve">, 2013, s. </w:t>
      </w:r>
      <w:r>
        <w:rPr>
          <w:rFonts w:cs="Arial"/>
        </w:rPr>
        <w:t>408</w:t>
      </w:r>
    </w:p>
  </w:footnote>
  <w:footnote w:id="15">
    <w:p w:rsidR="002A4706" w:rsidRDefault="002A4706" w:rsidP="00F63E3F">
      <w:pPr>
        <w:pStyle w:val="Textpoznpodarou"/>
      </w:pPr>
      <w:r>
        <w:rPr>
          <w:rStyle w:val="Znakapoznpodarou"/>
        </w:rPr>
        <w:footnoteRef/>
      </w:r>
      <w:r>
        <w:t xml:space="preserve"> </w:t>
      </w:r>
      <w:r w:rsidRPr="00F36008">
        <w:rPr>
          <w:rFonts w:cs="Arial"/>
        </w:rPr>
        <w:t xml:space="preserve">TOMÁŠEK, Michal, TÝČ, Vladimír a kol. </w:t>
      </w:r>
      <w:r w:rsidRPr="00F36008">
        <w:rPr>
          <w:rFonts w:cs="Arial"/>
          <w:i/>
        </w:rPr>
        <w:t>Právo Evropské unie</w:t>
      </w:r>
      <w:r>
        <w:rPr>
          <w:rFonts w:cs="Arial"/>
        </w:rPr>
        <w:t xml:space="preserve">. Praha: </w:t>
      </w:r>
      <w:proofErr w:type="spellStart"/>
      <w:r>
        <w:rPr>
          <w:rFonts w:cs="Arial"/>
        </w:rPr>
        <w:t>Leges</w:t>
      </w:r>
      <w:proofErr w:type="spellEnd"/>
      <w:r>
        <w:rPr>
          <w:rFonts w:cs="Arial"/>
        </w:rPr>
        <w:t>, 2013, s. 408</w:t>
      </w:r>
      <w:r w:rsidRPr="00F36008">
        <w:rPr>
          <w:rFonts w:cs="Arial"/>
        </w:rPr>
        <w:t>.</w:t>
      </w:r>
    </w:p>
  </w:footnote>
  <w:footnote w:id="16">
    <w:p w:rsidR="002A4706" w:rsidRDefault="002A4706" w:rsidP="00E10E44">
      <w:pPr>
        <w:pStyle w:val="Odstavecseseznamem"/>
      </w:pPr>
      <w:r>
        <w:rPr>
          <w:rStyle w:val="Znakapoznpodarou"/>
        </w:rPr>
        <w:footnoteRef/>
      </w:r>
      <w:r>
        <w:t xml:space="preserve"> </w:t>
      </w:r>
      <w:r w:rsidRPr="006952A6">
        <w:t>Článek 258 SFEU (bývalý článek 226 Smlouvy o ES)</w:t>
      </w:r>
    </w:p>
  </w:footnote>
  <w:footnote w:id="17">
    <w:p w:rsidR="002A4706" w:rsidRDefault="002A4706">
      <w:pPr>
        <w:pStyle w:val="Textpoznpodarou"/>
      </w:pPr>
      <w:r>
        <w:rPr>
          <w:rStyle w:val="Znakapoznpodarou"/>
        </w:rPr>
        <w:footnoteRef/>
      </w:r>
      <w:r>
        <w:t xml:space="preserve"> viz např. Soudní dvůr: </w:t>
      </w:r>
      <w:r w:rsidRPr="006B1C11">
        <w:t>Roz</w:t>
      </w:r>
      <w:r>
        <w:t>.</w:t>
      </w:r>
      <w:r w:rsidRPr="006B1C11">
        <w:t xml:space="preserve"> ze dne</w:t>
      </w:r>
      <w:r>
        <w:t xml:space="preserve"> 18. května 1989,</w:t>
      </w:r>
      <w:r w:rsidRPr="006B1C11">
        <w:t xml:space="preserve"> </w:t>
      </w:r>
      <w:r w:rsidRPr="006B1C11">
        <w:rPr>
          <w:i/>
        </w:rPr>
        <w:t xml:space="preserve">Komise v </w:t>
      </w:r>
      <w:r>
        <w:rPr>
          <w:i/>
        </w:rPr>
        <w:t>Německo</w:t>
      </w:r>
      <w:r w:rsidRPr="006B1C11">
        <w:t xml:space="preserve">, </w:t>
      </w:r>
      <w:r w:rsidRPr="00BA1D87">
        <w:t>C-</w:t>
      </w:r>
      <w:r>
        <w:t>249/86,</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t>01263.</w:t>
      </w:r>
    </w:p>
  </w:footnote>
  <w:footnote w:id="18">
    <w:p w:rsidR="002A4706" w:rsidRPr="005014DB" w:rsidRDefault="002A4706" w:rsidP="00E10E44">
      <w:pPr>
        <w:pStyle w:val="Odstavecseseznamem"/>
        <w:rPr>
          <w:rFonts w:cs="Arial"/>
        </w:rPr>
      </w:pPr>
      <w:r>
        <w:rPr>
          <w:rStyle w:val="Znakapoznpodarou"/>
        </w:rPr>
        <w:footnoteRef/>
      </w:r>
      <w:r>
        <w:rPr>
          <w:rFonts w:cs="Arial"/>
        </w:rPr>
        <w:t xml:space="preserve"> </w:t>
      </w:r>
      <w:r w:rsidRPr="00A25BFB">
        <w:rPr>
          <w:rFonts w:cs="Arial"/>
        </w:rPr>
        <w:t xml:space="preserve">ŠIŠKOVÁ, Naděžda, STEHLÍK, Václav. </w:t>
      </w:r>
      <w:r w:rsidRPr="00A25BFB">
        <w:rPr>
          <w:rFonts w:cs="Arial"/>
          <w:i/>
        </w:rPr>
        <w:t>Evropské právo I – Ústavní základy EU</w:t>
      </w:r>
      <w:r w:rsidRPr="00A25BFB">
        <w:rPr>
          <w:rFonts w:cs="Arial"/>
        </w:rPr>
        <w:t>. Praha: Linde, 2007</w:t>
      </w:r>
      <w:r>
        <w:rPr>
          <w:rFonts w:cs="Arial"/>
        </w:rPr>
        <w:t>, s. 200.</w:t>
      </w:r>
    </w:p>
  </w:footnote>
  <w:footnote w:id="19">
    <w:p w:rsidR="002A4706" w:rsidRDefault="002A4706" w:rsidP="00E10E44">
      <w:pPr>
        <w:pStyle w:val="Odstavecseseznamem"/>
      </w:pPr>
      <w:r>
        <w:rPr>
          <w:rStyle w:val="Znakapoznpodarou"/>
        </w:rPr>
        <w:footnoteRef/>
      </w:r>
      <w:r>
        <w:rPr>
          <w:rFonts w:cs="Arial"/>
        </w:rPr>
        <w:t xml:space="preserve"> </w:t>
      </w:r>
      <w:r w:rsidRPr="00A25BFB">
        <w:rPr>
          <w:rFonts w:cs="Arial"/>
        </w:rPr>
        <w:t xml:space="preserve">TICHÝ, Luboš a kol. </w:t>
      </w:r>
      <w:r w:rsidRPr="00A25BFB">
        <w:rPr>
          <w:rFonts w:cs="Arial"/>
          <w:i/>
        </w:rPr>
        <w:t>Evropské právo</w:t>
      </w:r>
      <w:r w:rsidRPr="00A25BFB">
        <w:rPr>
          <w:rFonts w:cs="Arial"/>
        </w:rPr>
        <w:t xml:space="preserve">. </w:t>
      </w:r>
      <w:r>
        <w:rPr>
          <w:rFonts w:cs="Arial"/>
        </w:rPr>
        <w:t>4</w:t>
      </w:r>
      <w:r w:rsidRPr="00A25BFB">
        <w:rPr>
          <w:rFonts w:cs="Arial"/>
        </w:rPr>
        <w:t xml:space="preserve">. vydání. Praha: C. H. Beck, </w:t>
      </w:r>
      <w:r>
        <w:rPr>
          <w:rFonts w:cs="Arial"/>
        </w:rPr>
        <w:t>2011, s. 368.</w:t>
      </w:r>
    </w:p>
  </w:footnote>
  <w:footnote w:id="20">
    <w:p w:rsidR="002A4706" w:rsidRDefault="002A4706" w:rsidP="006B1C11">
      <w:pPr>
        <w:pStyle w:val="Textpoznpodarou"/>
      </w:pPr>
      <w:r>
        <w:rPr>
          <w:rStyle w:val="Znakapoznpodarou"/>
        </w:rPr>
        <w:footnoteRef/>
      </w:r>
      <w:r>
        <w:t xml:space="preserve"> Soudní dvůr: </w:t>
      </w:r>
      <w:r w:rsidRPr="006B1C11">
        <w:t>Roz</w:t>
      </w:r>
      <w:r>
        <w:t>.</w:t>
      </w:r>
      <w:r w:rsidRPr="006B1C11">
        <w:t xml:space="preserve"> ze dne</w:t>
      </w:r>
      <w:r>
        <w:t xml:space="preserve"> 18. listopadu 1970,</w:t>
      </w:r>
      <w:r w:rsidRPr="006B1C11">
        <w:t xml:space="preserve"> </w:t>
      </w:r>
      <w:r w:rsidRPr="006B1C11">
        <w:rPr>
          <w:i/>
        </w:rPr>
        <w:t xml:space="preserve">Komise v </w:t>
      </w:r>
      <w:proofErr w:type="gramStart"/>
      <w:r w:rsidRPr="006B1C11">
        <w:rPr>
          <w:i/>
        </w:rPr>
        <w:t>Itálie</w:t>
      </w:r>
      <w:proofErr w:type="gramEnd"/>
      <w:r w:rsidRPr="006B1C11">
        <w:t xml:space="preserve">, </w:t>
      </w:r>
      <w:r w:rsidRPr="00BA1D87">
        <w:t>C-</w:t>
      </w:r>
      <w:r>
        <w:t>8/70,</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s. 00961</w:t>
      </w:r>
      <w:r>
        <w:t xml:space="preserve">. </w:t>
      </w:r>
    </w:p>
  </w:footnote>
  <w:footnote w:id="21">
    <w:p w:rsidR="002A4706" w:rsidRDefault="002A4706">
      <w:pPr>
        <w:pStyle w:val="Textpoznpodarou"/>
      </w:pPr>
      <w:r>
        <w:rPr>
          <w:rStyle w:val="Znakapoznpodarou"/>
        </w:rPr>
        <w:footnoteRef/>
      </w:r>
      <w:r>
        <w:t xml:space="preserve"> Soudní dvůr: </w:t>
      </w:r>
      <w:r w:rsidRPr="006B1C11">
        <w:t>Roz</w:t>
      </w:r>
      <w:r>
        <w:t>.</w:t>
      </w:r>
      <w:r w:rsidRPr="006B1C11">
        <w:t xml:space="preserve"> ze dne</w:t>
      </w:r>
      <w:r>
        <w:t xml:space="preserve"> 21. září 1989,</w:t>
      </w:r>
      <w:r w:rsidRPr="006B1C11">
        <w:t xml:space="preserve"> </w:t>
      </w:r>
      <w:r w:rsidRPr="006B1C11">
        <w:rPr>
          <w:i/>
        </w:rPr>
        <w:t xml:space="preserve">Komise v </w:t>
      </w:r>
      <w:r>
        <w:rPr>
          <w:i/>
        </w:rPr>
        <w:t>Řecko</w:t>
      </w:r>
      <w:r w:rsidRPr="006B1C11">
        <w:t xml:space="preserve">, </w:t>
      </w:r>
      <w:r w:rsidRPr="00BA1D87">
        <w:t>C</w:t>
      </w:r>
      <w:r w:rsidRPr="00BA1D87">
        <w:noBreakHyphen/>
      </w:r>
      <w:r>
        <w:t>68/88,</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t>02965.</w:t>
      </w:r>
    </w:p>
  </w:footnote>
  <w:footnote w:id="22">
    <w:p w:rsidR="002A4706" w:rsidRDefault="002A4706">
      <w:pPr>
        <w:pStyle w:val="Textpoznpodarou"/>
      </w:pPr>
      <w:r>
        <w:rPr>
          <w:rStyle w:val="Znakapoznpodarou"/>
        </w:rPr>
        <w:footnoteRef/>
      </w:r>
      <w:r>
        <w:t xml:space="preserve"> Soudní dvůr: </w:t>
      </w:r>
      <w:r w:rsidRPr="006B1C11">
        <w:t>Roz</w:t>
      </w:r>
      <w:r>
        <w:t>.</w:t>
      </w:r>
      <w:r w:rsidRPr="006B1C11">
        <w:t xml:space="preserve"> ze dne</w:t>
      </w:r>
      <w:r>
        <w:t xml:space="preserve"> 24. listopadu 1982,</w:t>
      </w:r>
      <w:r w:rsidRPr="006B1C11">
        <w:t xml:space="preserve"> </w:t>
      </w:r>
      <w:r w:rsidRPr="006B1C11">
        <w:rPr>
          <w:i/>
        </w:rPr>
        <w:t xml:space="preserve">Komise v </w:t>
      </w:r>
      <w:r>
        <w:rPr>
          <w:i/>
        </w:rPr>
        <w:t>Irsko</w:t>
      </w:r>
      <w:r w:rsidRPr="006B1C11">
        <w:t xml:space="preserve">, </w:t>
      </w:r>
      <w:r>
        <w:t>C-249/81,</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t>04005.</w:t>
      </w:r>
    </w:p>
  </w:footnote>
  <w:footnote w:id="23">
    <w:p w:rsidR="002A4706" w:rsidRDefault="002A4706">
      <w:pPr>
        <w:pStyle w:val="Textpoznpodarou"/>
      </w:pPr>
      <w:r>
        <w:rPr>
          <w:rStyle w:val="Znakapoznpodarou"/>
        </w:rPr>
        <w:footnoteRef/>
      </w:r>
      <w:r>
        <w:t xml:space="preserve"> Soudní dvůr: </w:t>
      </w:r>
      <w:r w:rsidRPr="006B1C11">
        <w:t>Roz</w:t>
      </w:r>
      <w:r>
        <w:t>.</w:t>
      </w:r>
      <w:r w:rsidRPr="006B1C11">
        <w:t xml:space="preserve"> ze dne</w:t>
      </w:r>
      <w:r>
        <w:t xml:space="preserve"> 27. října 1977,</w:t>
      </w:r>
      <w:r w:rsidRPr="006B1C11">
        <w:t xml:space="preserve"> </w:t>
      </w:r>
      <w:r w:rsidRPr="00650F8B">
        <w:rPr>
          <w:i/>
        </w:rPr>
        <w:t xml:space="preserve">Regina v. </w:t>
      </w:r>
      <w:proofErr w:type="spellStart"/>
      <w:r w:rsidRPr="00650F8B">
        <w:rPr>
          <w:i/>
        </w:rPr>
        <w:t>Buchereau</w:t>
      </w:r>
      <w:proofErr w:type="spellEnd"/>
      <w:r w:rsidRPr="006B1C11">
        <w:t xml:space="preserve">, </w:t>
      </w:r>
      <w:r>
        <w:t>C-30/77,</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s.</w:t>
      </w:r>
      <w:r>
        <w:t xml:space="preserve"> 01999.</w:t>
      </w:r>
    </w:p>
  </w:footnote>
  <w:footnote w:id="24">
    <w:p w:rsidR="002A4706" w:rsidRPr="0089749C" w:rsidRDefault="002A4706">
      <w:pPr>
        <w:pStyle w:val="Textpoznpodarou"/>
      </w:pPr>
      <w:r>
        <w:rPr>
          <w:rStyle w:val="Znakapoznpodarou"/>
        </w:rPr>
        <w:footnoteRef/>
      </w:r>
      <w:r>
        <w:t xml:space="preserve"> </w:t>
      </w:r>
      <w:r>
        <w:rPr>
          <w:rStyle w:val="st"/>
          <w:rFonts w:cs="Arial"/>
          <w:color w:val="222222"/>
        </w:rPr>
        <w:t xml:space="preserve">V </w:t>
      </w:r>
      <w:r w:rsidRPr="0089749C">
        <w:rPr>
          <w:rStyle w:val="st"/>
          <w:rFonts w:cs="Arial"/>
          <w:color w:val="222222"/>
        </w:rPr>
        <w:t xml:space="preserve">rozhodnutí </w:t>
      </w:r>
      <w:proofErr w:type="spellStart"/>
      <w:r w:rsidRPr="0089749C">
        <w:rPr>
          <w:rStyle w:val="Zvraznn"/>
          <w:rFonts w:cs="Arial"/>
          <w:b w:val="0"/>
          <w:color w:val="222222"/>
        </w:rPr>
        <w:t>Solange</w:t>
      </w:r>
      <w:proofErr w:type="spellEnd"/>
      <w:r w:rsidRPr="0089749C">
        <w:rPr>
          <w:rStyle w:val="st"/>
          <w:rFonts w:cs="Arial"/>
          <w:color w:val="222222"/>
        </w:rPr>
        <w:t xml:space="preserve"> I z roku 1974 S</w:t>
      </w:r>
      <w:r>
        <w:rPr>
          <w:rStyle w:val="st"/>
          <w:rFonts w:cs="Arial"/>
          <w:color w:val="222222"/>
        </w:rPr>
        <w:t>polkový ústavní soud</w:t>
      </w:r>
      <w:r w:rsidRPr="0089749C">
        <w:rPr>
          <w:rStyle w:val="st"/>
          <w:rFonts w:cs="Arial"/>
          <w:color w:val="222222"/>
        </w:rPr>
        <w:t xml:space="preserve"> </w:t>
      </w:r>
      <w:r>
        <w:rPr>
          <w:rStyle w:val="st"/>
          <w:rFonts w:cs="Arial"/>
          <w:color w:val="222222"/>
        </w:rPr>
        <w:t>judikoval</w:t>
      </w:r>
      <w:r>
        <w:t>, že pokud dojde k tomu, že úroveň ochrany základních práv v Německu bude vyšší než v EU, poté se použije německá úprava.</w:t>
      </w:r>
    </w:p>
  </w:footnote>
  <w:footnote w:id="25">
    <w:p w:rsidR="002A4706" w:rsidRDefault="002A4706">
      <w:pPr>
        <w:pStyle w:val="Textpoznpodarou"/>
      </w:pPr>
      <w:r>
        <w:rPr>
          <w:rStyle w:val="Znakapoznpodarou"/>
        </w:rPr>
        <w:footnoteRef/>
      </w:r>
      <w:r>
        <w:t xml:space="preserve"> Soudní dvůr: </w:t>
      </w:r>
      <w:r w:rsidRPr="006B1C11">
        <w:t>Roz</w:t>
      </w:r>
      <w:r>
        <w:t>.</w:t>
      </w:r>
      <w:r w:rsidRPr="006B1C11">
        <w:t xml:space="preserve"> ze dne</w:t>
      </w:r>
      <w:r>
        <w:t xml:space="preserve"> 9. prosince 2003,</w:t>
      </w:r>
      <w:r w:rsidRPr="006B1C11">
        <w:t xml:space="preserve"> </w:t>
      </w:r>
      <w:r w:rsidRPr="006B1C11">
        <w:rPr>
          <w:i/>
        </w:rPr>
        <w:t xml:space="preserve">Komise v </w:t>
      </w:r>
      <w:proofErr w:type="gramStart"/>
      <w:r>
        <w:rPr>
          <w:i/>
        </w:rPr>
        <w:t>Itálie</w:t>
      </w:r>
      <w:proofErr w:type="gramEnd"/>
      <w:r w:rsidRPr="006B1C11">
        <w:t xml:space="preserve">, </w:t>
      </w:r>
      <w:r>
        <w:t>C-129/00,</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rsidRPr="00650F8B">
        <w:t>I-14637</w:t>
      </w:r>
      <w:r>
        <w:t>.</w:t>
      </w:r>
    </w:p>
  </w:footnote>
  <w:footnote w:id="26">
    <w:p w:rsidR="002A4706" w:rsidRDefault="002A4706">
      <w:pPr>
        <w:pStyle w:val="Textpoznpodarou"/>
      </w:pPr>
      <w:r>
        <w:rPr>
          <w:rStyle w:val="Znakapoznpodarou"/>
        </w:rPr>
        <w:footnoteRef/>
      </w:r>
      <w:r>
        <w:t xml:space="preserve"> </w:t>
      </w:r>
      <w:r w:rsidRPr="00A463D6">
        <w:t xml:space="preserve">ŠLOSARČÍK, Ivo. </w:t>
      </w:r>
      <w:r w:rsidRPr="00A463D6">
        <w:rPr>
          <w:i/>
        </w:rPr>
        <w:t>Evropský soudní dvůr a soudy členských států Evropské unie</w:t>
      </w:r>
      <w:r w:rsidRPr="00A463D6">
        <w:t>. Praha: Justiční akademie ČR, 2005</w:t>
      </w:r>
      <w:r>
        <w:t>, s. 37-38</w:t>
      </w:r>
      <w:r w:rsidRPr="00A463D6">
        <w:t>.</w:t>
      </w:r>
    </w:p>
  </w:footnote>
  <w:footnote w:id="27">
    <w:p w:rsidR="002A4706" w:rsidRDefault="002A4706">
      <w:pPr>
        <w:pStyle w:val="Textpoznpodarou"/>
      </w:pPr>
      <w:r>
        <w:rPr>
          <w:rStyle w:val="Znakapoznpodarou"/>
        </w:rPr>
        <w:footnoteRef/>
      </w:r>
      <w:r>
        <w:t xml:space="preserve"> Soudní dvůr: </w:t>
      </w:r>
      <w:r w:rsidRPr="006B1C11">
        <w:t>Roz</w:t>
      </w:r>
      <w:r>
        <w:t>.</w:t>
      </w:r>
      <w:r w:rsidRPr="006B1C11">
        <w:t xml:space="preserve"> ze dne</w:t>
      </w:r>
      <w:r>
        <w:t xml:space="preserve"> 12. června 2003,</w:t>
      </w:r>
      <w:r w:rsidRPr="006B1C11">
        <w:t xml:space="preserve"> </w:t>
      </w:r>
      <w:proofErr w:type="spellStart"/>
      <w:r w:rsidRPr="00675811">
        <w:rPr>
          <w:i/>
        </w:rPr>
        <w:t>Schmidberger</w:t>
      </w:r>
      <w:proofErr w:type="spellEnd"/>
      <w:r w:rsidRPr="00675811">
        <w:rPr>
          <w:i/>
        </w:rPr>
        <w:t xml:space="preserve"> v Rakousko</w:t>
      </w:r>
      <w:r w:rsidRPr="006B1C11">
        <w:t xml:space="preserve">, </w:t>
      </w:r>
      <w:r>
        <w:t>C-112/00,</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t>I</w:t>
      </w:r>
      <w:r>
        <w:noBreakHyphen/>
        <w:t>05659.</w:t>
      </w:r>
    </w:p>
  </w:footnote>
  <w:footnote w:id="28">
    <w:p w:rsidR="002A4706" w:rsidRDefault="002A4706" w:rsidP="005F114C">
      <w:pPr>
        <w:pStyle w:val="Textpoznpodarou"/>
      </w:pPr>
      <w:r>
        <w:rPr>
          <w:rStyle w:val="Znakapoznpodarou"/>
        </w:rPr>
        <w:footnoteRef/>
      </w:r>
      <w:r>
        <w:t xml:space="preserve"> </w:t>
      </w:r>
      <w:r w:rsidRPr="00A463D6">
        <w:t xml:space="preserve">ŠLOSARČÍK, Ivo. </w:t>
      </w:r>
      <w:r w:rsidRPr="00A463D6">
        <w:rPr>
          <w:i/>
        </w:rPr>
        <w:t>Evropský soudní dvůr a soudy členských států Evropské unie</w:t>
      </w:r>
      <w:r w:rsidRPr="00A463D6">
        <w:t>. Praha: Justiční akademie ČR, 2005</w:t>
      </w:r>
      <w:r>
        <w:t>, s. 38-39</w:t>
      </w:r>
      <w:r w:rsidRPr="00A463D6">
        <w:t>.</w:t>
      </w:r>
    </w:p>
  </w:footnote>
  <w:footnote w:id="29">
    <w:p w:rsidR="002A4706" w:rsidRDefault="002A4706" w:rsidP="002B2EE2">
      <w:pPr>
        <w:pStyle w:val="Odstavecseseznamem"/>
      </w:pPr>
      <w:r w:rsidRPr="004C6B14">
        <w:rPr>
          <w:rStyle w:val="Znakapoznpodarou"/>
        </w:rPr>
        <w:footnoteRef/>
      </w:r>
      <w:r w:rsidRPr="004C6B14">
        <w:t xml:space="preserve"> </w:t>
      </w:r>
      <w:r>
        <w:t xml:space="preserve">Soudní dvůr: </w:t>
      </w:r>
      <w:r w:rsidRPr="006B1C11">
        <w:rPr>
          <w:szCs w:val="20"/>
        </w:rPr>
        <w:t>Roz</w:t>
      </w:r>
      <w:r>
        <w:t>.</w:t>
      </w:r>
      <w:r w:rsidRPr="006B1C11">
        <w:rPr>
          <w:szCs w:val="20"/>
        </w:rPr>
        <w:t xml:space="preserve"> ze dne</w:t>
      </w:r>
      <w:r>
        <w:t xml:space="preserve"> 27. dubna 1988,</w:t>
      </w:r>
      <w:r w:rsidRPr="006B1C11">
        <w:rPr>
          <w:szCs w:val="20"/>
        </w:rPr>
        <w:t xml:space="preserve"> </w:t>
      </w:r>
      <w:r w:rsidRPr="006B1C11">
        <w:rPr>
          <w:i/>
          <w:szCs w:val="20"/>
        </w:rPr>
        <w:t>Komise</w:t>
      </w:r>
      <w:r w:rsidRPr="006B1C11">
        <w:rPr>
          <w:i/>
        </w:rPr>
        <w:t xml:space="preserve"> v </w:t>
      </w:r>
      <w:proofErr w:type="gramStart"/>
      <w:r>
        <w:rPr>
          <w:i/>
        </w:rPr>
        <w:t>Itálie</w:t>
      </w:r>
      <w:proofErr w:type="gramEnd"/>
      <w:r w:rsidRPr="006B1C11">
        <w:t xml:space="preserve">, </w:t>
      </w:r>
      <w:r>
        <w:t>C-225/86,</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rsidRPr="00675811">
        <w:t>02271</w:t>
      </w:r>
      <w:r>
        <w:t>.</w:t>
      </w:r>
    </w:p>
  </w:footnote>
  <w:footnote w:id="30">
    <w:p w:rsidR="002A4706" w:rsidRDefault="002A4706" w:rsidP="002B2EE2">
      <w:pPr>
        <w:pStyle w:val="Odstavecseseznamem"/>
      </w:pPr>
      <w:r>
        <w:rPr>
          <w:rStyle w:val="Znakapoznpodarou"/>
        </w:rPr>
        <w:footnoteRef/>
      </w:r>
      <w:r>
        <w:t xml:space="preserve"> </w:t>
      </w:r>
      <w:r w:rsidRPr="002C0D75">
        <w:t xml:space="preserve">SYLLOVÁ, Jindřiška, PÍTROVÁ, Lenka, PALDUSOVÁ, Helena a kol. </w:t>
      </w:r>
      <w:r w:rsidRPr="002C0D75">
        <w:rPr>
          <w:i/>
        </w:rPr>
        <w:t>Lisabonská smlouva, komentář</w:t>
      </w:r>
      <w:r w:rsidRPr="002C0D75">
        <w:t xml:space="preserve">. Praha: C. H. Beck, 2010, s. </w:t>
      </w:r>
      <w:r>
        <w:t>822.</w:t>
      </w:r>
    </w:p>
  </w:footnote>
  <w:footnote w:id="31">
    <w:p w:rsidR="002A4706" w:rsidRPr="00A26EDE" w:rsidRDefault="002A4706" w:rsidP="00EE6A31">
      <w:pPr>
        <w:pStyle w:val="Textpoznpodarou"/>
      </w:pPr>
      <w:r>
        <w:rPr>
          <w:rStyle w:val="Znakapoznpodarou"/>
        </w:rPr>
        <w:footnoteRef/>
      </w:r>
      <w:r>
        <w:t xml:space="preserve"> </w:t>
      </w:r>
      <w:r w:rsidRPr="006351C9">
        <w:rPr>
          <w:i/>
          <w:iCs/>
        </w:rPr>
        <w:t xml:space="preserve">Analýza dopadů Lisabonské smlouvy </w:t>
      </w:r>
      <w:r w:rsidRPr="006351C9">
        <w:t xml:space="preserve">[online]. Vláda.cz, </w:t>
      </w:r>
      <w:r>
        <w:t xml:space="preserve">leden 2010 </w:t>
      </w:r>
      <w:r w:rsidRPr="006351C9">
        <w:t>[cit. 10. srpna 2014]. Dostupné:  &lt;http://www.vlada.cz/assets/evropskezalezitosti/dokumenty/Analyza-dopadu-Lisabonske- smlouvy.pdf&gt;.</w:t>
      </w:r>
    </w:p>
  </w:footnote>
  <w:footnote w:id="32">
    <w:p w:rsidR="002A4706" w:rsidRDefault="002A4706">
      <w:pPr>
        <w:pStyle w:val="Textpoznpodarou"/>
      </w:pPr>
      <w:r>
        <w:rPr>
          <w:rStyle w:val="Znakapoznpodarou"/>
        </w:rPr>
        <w:footnoteRef/>
      </w:r>
      <w:r>
        <w:t xml:space="preserve"> Přechodné období je stanoveno v článku 10 Hlava VII Protokolu o přechodných ustanoveních k Lisabonské smlouvě. </w:t>
      </w:r>
    </w:p>
  </w:footnote>
  <w:footnote w:id="33">
    <w:p w:rsidR="002A4706" w:rsidRPr="00A26EDE" w:rsidRDefault="002A4706" w:rsidP="00EE6A31">
      <w:pPr>
        <w:pStyle w:val="Odstavecseseznamem"/>
        <w:rPr>
          <w:rFonts w:cs="Arial"/>
          <w:szCs w:val="20"/>
        </w:rPr>
      </w:pPr>
      <w:r w:rsidRPr="00A26EDE">
        <w:rPr>
          <w:rStyle w:val="Znakapoznpodarou"/>
          <w:szCs w:val="20"/>
        </w:rPr>
        <w:footnoteRef/>
      </w:r>
      <w:r w:rsidRPr="00A26EDE">
        <w:rPr>
          <w:szCs w:val="20"/>
        </w:rPr>
        <w:t xml:space="preserve"> </w:t>
      </w:r>
      <w:r w:rsidRPr="00A26EDE">
        <w:rPr>
          <w:rFonts w:cs="Arial"/>
          <w:szCs w:val="20"/>
        </w:rPr>
        <w:t xml:space="preserve">ŠLOSARČÍK, Ivo a kol. </w:t>
      </w:r>
      <w:r w:rsidRPr="00A26EDE">
        <w:rPr>
          <w:rFonts w:cs="Arial"/>
          <w:i/>
          <w:szCs w:val="20"/>
        </w:rPr>
        <w:t>Instituce Evropské unie a Lisabonská smlouva</w:t>
      </w:r>
      <w:r w:rsidRPr="00A26EDE">
        <w:rPr>
          <w:rFonts w:cs="Arial"/>
          <w:szCs w:val="20"/>
        </w:rPr>
        <w:t xml:space="preserve">. Praha: </w:t>
      </w:r>
      <w:proofErr w:type="spellStart"/>
      <w:r w:rsidRPr="00A26EDE">
        <w:rPr>
          <w:rFonts w:cs="Arial"/>
          <w:szCs w:val="20"/>
        </w:rPr>
        <w:t>Grada</w:t>
      </w:r>
      <w:proofErr w:type="spellEnd"/>
      <w:r w:rsidRPr="00A26EDE">
        <w:rPr>
          <w:rFonts w:cs="Arial"/>
          <w:szCs w:val="20"/>
        </w:rPr>
        <w:t xml:space="preserve"> </w:t>
      </w:r>
      <w:proofErr w:type="spellStart"/>
      <w:r w:rsidRPr="00A26EDE">
        <w:rPr>
          <w:rFonts w:cs="Arial"/>
          <w:szCs w:val="20"/>
        </w:rPr>
        <w:t>Publishing</w:t>
      </w:r>
      <w:proofErr w:type="spellEnd"/>
      <w:r w:rsidRPr="00A26EDE">
        <w:rPr>
          <w:rFonts w:cs="Arial"/>
          <w:szCs w:val="20"/>
        </w:rPr>
        <w:t>, a.s., 2013, s. 161.</w:t>
      </w:r>
    </w:p>
  </w:footnote>
  <w:footnote w:id="34">
    <w:p w:rsidR="002A4706" w:rsidRPr="00A26EDE" w:rsidRDefault="002A4706" w:rsidP="00EE6A31">
      <w:pPr>
        <w:pStyle w:val="Odstavecseseznamem"/>
        <w:rPr>
          <w:szCs w:val="20"/>
        </w:rPr>
      </w:pPr>
      <w:r w:rsidRPr="00A26EDE">
        <w:rPr>
          <w:rStyle w:val="Znakapoznpodarou"/>
          <w:szCs w:val="20"/>
        </w:rPr>
        <w:footnoteRef/>
      </w:r>
      <w:r>
        <w:rPr>
          <w:szCs w:val="20"/>
        </w:rPr>
        <w:t xml:space="preserve"> </w:t>
      </w:r>
      <w:r w:rsidRPr="00A26EDE">
        <w:rPr>
          <w:szCs w:val="20"/>
        </w:rPr>
        <w:t xml:space="preserve">TOMÁŠEK, Michal, TÝČ, Vladimír a kol. </w:t>
      </w:r>
      <w:r w:rsidRPr="00A26EDE">
        <w:rPr>
          <w:i/>
          <w:szCs w:val="20"/>
        </w:rPr>
        <w:t>Právo Evropské unie</w:t>
      </w:r>
      <w:r w:rsidRPr="00A26EDE">
        <w:rPr>
          <w:szCs w:val="20"/>
        </w:rPr>
        <w:t xml:space="preserve">. Praha: </w:t>
      </w:r>
      <w:proofErr w:type="spellStart"/>
      <w:r w:rsidRPr="00A26EDE">
        <w:rPr>
          <w:szCs w:val="20"/>
        </w:rPr>
        <w:t>Leges</w:t>
      </w:r>
      <w:proofErr w:type="spellEnd"/>
      <w:r w:rsidRPr="00A26EDE">
        <w:rPr>
          <w:szCs w:val="20"/>
        </w:rPr>
        <w:t>, 2013, s. 373-374</w:t>
      </w:r>
    </w:p>
  </w:footnote>
  <w:footnote w:id="35">
    <w:p w:rsidR="002A4706" w:rsidRPr="00443CA9" w:rsidRDefault="002A4706" w:rsidP="00E10E44">
      <w:pPr>
        <w:pStyle w:val="Odstavecseseznamem"/>
      </w:pPr>
      <w:r>
        <w:rPr>
          <w:rStyle w:val="Znakapoznpodarou"/>
        </w:rPr>
        <w:footnoteRef/>
      </w:r>
      <w:r>
        <w:t xml:space="preserve"> </w:t>
      </w:r>
      <w:r w:rsidRPr="00A25BFB">
        <w:t xml:space="preserve">TÝČ, Vladimír. </w:t>
      </w:r>
      <w:r w:rsidRPr="00A25BFB">
        <w:rPr>
          <w:i/>
        </w:rPr>
        <w:t>Základy práva Evropské unie pro ekonomy</w:t>
      </w:r>
      <w:r w:rsidRPr="00A25BFB">
        <w:t>. 4. vydání. Praha: Linde, 2004</w:t>
      </w:r>
      <w:r>
        <w:t>, s. 138</w:t>
      </w:r>
      <w:r w:rsidRPr="00A25BFB">
        <w:t>.</w:t>
      </w:r>
    </w:p>
  </w:footnote>
  <w:footnote w:id="36">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434.</w:t>
      </w:r>
    </w:p>
  </w:footnote>
  <w:footnote w:id="37">
    <w:p w:rsidR="002A4706" w:rsidRDefault="002A4706">
      <w:pPr>
        <w:pStyle w:val="Textpoznpodarou"/>
      </w:pPr>
      <w:r>
        <w:rPr>
          <w:rStyle w:val="Znakapoznpodarou"/>
        </w:rPr>
        <w:footnoteRef/>
      </w:r>
      <w:r>
        <w:t xml:space="preserve"> Soudní dvůr: </w:t>
      </w:r>
      <w:r w:rsidRPr="006B1C11">
        <w:t>Roz</w:t>
      </w:r>
      <w:r>
        <w:t>.</w:t>
      </w:r>
      <w:r w:rsidRPr="006B1C11">
        <w:t xml:space="preserve"> ze dne</w:t>
      </w:r>
      <w:r>
        <w:t xml:space="preserve"> 21. června 1988,</w:t>
      </w:r>
      <w:r w:rsidRPr="006B1C11">
        <w:t xml:space="preserve"> </w:t>
      </w:r>
      <w:r w:rsidRPr="006B1C11">
        <w:rPr>
          <w:i/>
        </w:rPr>
        <w:t>Komise v</w:t>
      </w:r>
      <w:r>
        <w:rPr>
          <w:i/>
        </w:rPr>
        <w:t> Spojené království</w:t>
      </w:r>
      <w:r w:rsidRPr="006B1C11">
        <w:t xml:space="preserve">, </w:t>
      </w:r>
      <w:r>
        <w:t>C-416/85,</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rsidRPr="00697889">
        <w:rPr>
          <w:rFonts w:eastAsia="Calibri"/>
          <w:szCs w:val="22"/>
          <w:lang w:eastAsia="ar-SA"/>
        </w:rPr>
        <w:t>03127</w:t>
      </w:r>
      <w:r>
        <w:rPr>
          <w:rFonts w:eastAsia="Calibri"/>
          <w:szCs w:val="22"/>
          <w:lang w:eastAsia="ar-SA"/>
        </w:rPr>
        <w:t>.</w:t>
      </w:r>
    </w:p>
  </w:footnote>
  <w:footnote w:id="38">
    <w:p w:rsidR="002A4706" w:rsidRDefault="002A4706">
      <w:pPr>
        <w:pStyle w:val="Textpoznpodarou"/>
      </w:pPr>
      <w:r>
        <w:rPr>
          <w:rStyle w:val="Znakapoznpodarou"/>
        </w:rPr>
        <w:footnoteRef/>
      </w:r>
      <w:r>
        <w:t xml:space="preserve"> Soudní dvůr: </w:t>
      </w:r>
      <w:r w:rsidRPr="006B1C11">
        <w:t>Roz</w:t>
      </w:r>
      <w:r>
        <w:t>.</w:t>
      </w:r>
      <w:r w:rsidRPr="006B1C11">
        <w:t xml:space="preserve"> ze dne</w:t>
      </w:r>
      <w:r>
        <w:t xml:space="preserve"> 10. prosince 1968,</w:t>
      </w:r>
      <w:r w:rsidRPr="006B1C11">
        <w:t xml:space="preserve"> </w:t>
      </w:r>
      <w:r w:rsidRPr="006B1C11">
        <w:rPr>
          <w:i/>
        </w:rPr>
        <w:t>Komise v</w:t>
      </w:r>
      <w:r>
        <w:rPr>
          <w:i/>
        </w:rPr>
        <w:t> </w:t>
      </w:r>
      <w:proofErr w:type="gramStart"/>
      <w:r>
        <w:rPr>
          <w:i/>
        </w:rPr>
        <w:t>Itálie</w:t>
      </w:r>
      <w:proofErr w:type="gramEnd"/>
      <w:r w:rsidRPr="006B1C11">
        <w:t xml:space="preserve">, </w:t>
      </w:r>
      <w:r>
        <w:t>C-7/68,</w:t>
      </w:r>
      <w:r w:rsidRPr="006B1C11">
        <w:rPr>
          <w:rFonts w:ascii="Garamond" w:hAnsi="Garamond" w:cs="Garamond"/>
          <w:sz w:val="24"/>
          <w:szCs w:val="24"/>
        </w:rPr>
        <w:t xml:space="preserve"> </w:t>
      </w:r>
      <w:r w:rsidRPr="006B1C11">
        <w:t xml:space="preserve">Sb. </w:t>
      </w:r>
      <w:proofErr w:type="spellStart"/>
      <w:r w:rsidRPr="006B1C11">
        <w:t>rozh</w:t>
      </w:r>
      <w:proofErr w:type="spellEnd"/>
      <w:r w:rsidRPr="006B1C11">
        <w:t xml:space="preserve">. s. </w:t>
      </w:r>
      <w:r w:rsidRPr="002A405A">
        <w:rPr>
          <w:rFonts w:eastAsia="Calibri"/>
          <w:szCs w:val="22"/>
          <w:lang w:eastAsia="ar-SA"/>
        </w:rPr>
        <w:t>00617</w:t>
      </w:r>
      <w:r>
        <w:rPr>
          <w:rFonts w:eastAsia="Calibri"/>
          <w:szCs w:val="22"/>
          <w:lang w:eastAsia="ar-SA"/>
        </w:rPr>
        <w:t>.</w:t>
      </w:r>
    </w:p>
  </w:footnote>
  <w:footnote w:id="39">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434-435.</w:t>
      </w:r>
    </w:p>
  </w:footnote>
  <w:footnote w:id="40">
    <w:p w:rsidR="002A4706" w:rsidRPr="002A405A" w:rsidRDefault="002A4706">
      <w:pPr>
        <w:pStyle w:val="Textpoznpodarou"/>
        <w:rPr>
          <w:rFonts w:eastAsia="Calibri"/>
          <w:szCs w:val="22"/>
          <w:lang w:eastAsia="ar-SA"/>
        </w:rPr>
      </w:pPr>
      <w:r>
        <w:rPr>
          <w:rStyle w:val="Znakapoznpodarou"/>
        </w:rPr>
        <w:footnoteRef/>
      </w:r>
      <w:r>
        <w:t xml:space="preserve"> Soudní dvůr: </w:t>
      </w:r>
      <w:r w:rsidRPr="006B1C11">
        <w:t>Roz</w:t>
      </w:r>
      <w:r>
        <w:t>.</w:t>
      </w:r>
      <w:r w:rsidRPr="006B1C11">
        <w:t xml:space="preserve"> ze dne</w:t>
      </w:r>
      <w:r>
        <w:t xml:space="preserve"> 11. srpna 1995,</w:t>
      </w:r>
      <w:r w:rsidRPr="006B1C11">
        <w:t xml:space="preserve"> </w:t>
      </w:r>
      <w:r w:rsidRPr="006B1C11">
        <w:rPr>
          <w:i/>
        </w:rPr>
        <w:t>Komise v</w:t>
      </w:r>
      <w:r>
        <w:rPr>
          <w:i/>
        </w:rPr>
        <w:t> Německo</w:t>
      </w:r>
      <w:r w:rsidRPr="006B1C11">
        <w:t xml:space="preserve">, </w:t>
      </w:r>
      <w:r>
        <w:t>C-431/92,</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I-02189</w:t>
      </w:r>
      <w:r w:rsidRPr="002A405A">
        <w:rPr>
          <w:rFonts w:eastAsia="Calibri"/>
          <w:szCs w:val="22"/>
          <w:lang w:eastAsia="ar-SA"/>
        </w:rPr>
        <w:t>, bod</w:t>
      </w:r>
      <w:r>
        <w:rPr>
          <w:rFonts w:eastAsia="Calibri"/>
          <w:szCs w:val="22"/>
          <w:lang w:eastAsia="ar-SA"/>
        </w:rPr>
        <w:t xml:space="preserve"> 19-22</w:t>
      </w:r>
      <w:r w:rsidRPr="002A405A">
        <w:rPr>
          <w:rFonts w:eastAsia="Calibri"/>
          <w:szCs w:val="22"/>
          <w:lang w:eastAsia="ar-SA"/>
        </w:rPr>
        <w:t>.</w:t>
      </w:r>
    </w:p>
  </w:footnote>
  <w:footnote w:id="41">
    <w:p w:rsidR="002A4706" w:rsidRPr="002A405A" w:rsidRDefault="002A4706">
      <w:pPr>
        <w:pStyle w:val="Textpoznpodarou"/>
        <w:rPr>
          <w:rFonts w:eastAsia="Calibri"/>
          <w:szCs w:val="22"/>
          <w:lang w:eastAsia="ar-SA"/>
        </w:rPr>
      </w:pPr>
      <w:r>
        <w:rPr>
          <w:rStyle w:val="Znakapoznpodarou"/>
        </w:rPr>
        <w:footnoteRef/>
      </w:r>
      <w:r>
        <w:t xml:space="preserve"> Soudní dvůr: </w:t>
      </w:r>
      <w:r w:rsidRPr="006B1C11">
        <w:t>Roz</w:t>
      </w:r>
      <w:r>
        <w:t>.</w:t>
      </w:r>
      <w:r w:rsidRPr="006B1C11">
        <w:t xml:space="preserve"> ze dne</w:t>
      </w:r>
      <w:r>
        <w:t xml:space="preserve"> 2. června 2005,</w:t>
      </w:r>
      <w:r w:rsidRPr="006B1C11">
        <w:t xml:space="preserve"> </w:t>
      </w:r>
      <w:r w:rsidRPr="006B1C11">
        <w:rPr>
          <w:i/>
        </w:rPr>
        <w:t>Komise v</w:t>
      </w:r>
      <w:r>
        <w:rPr>
          <w:i/>
        </w:rPr>
        <w:t> Řecko</w:t>
      </w:r>
      <w:r w:rsidRPr="006B1C11">
        <w:t xml:space="preserve">, </w:t>
      </w:r>
      <w:r>
        <w:t>C-394/02,</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I-04713</w:t>
      </w:r>
      <w:r w:rsidRPr="002A405A">
        <w:rPr>
          <w:rFonts w:eastAsia="Calibri"/>
          <w:szCs w:val="22"/>
          <w:lang w:eastAsia="ar-SA"/>
        </w:rPr>
        <w:t>, bod</w:t>
      </w:r>
      <w:r>
        <w:rPr>
          <w:rFonts w:eastAsia="Calibri"/>
          <w:szCs w:val="22"/>
          <w:lang w:eastAsia="ar-SA"/>
        </w:rPr>
        <w:t xml:space="preserve"> 15</w:t>
      </w:r>
      <w:r>
        <w:rPr>
          <w:rFonts w:eastAsia="Calibri"/>
          <w:szCs w:val="22"/>
          <w:lang w:eastAsia="ar-SA"/>
        </w:rPr>
        <w:noBreakHyphen/>
        <w:t>16</w:t>
      </w:r>
      <w:r w:rsidRPr="002A405A">
        <w:rPr>
          <w:rFonts w:eastAsia="Calibri"/>
          <w:szCs w:val="22"/>
          <w:lang w:eastAsia="ar-SA"/>
        </w:rPr>
        <w:t>.</w:t>
      </w:r>
    </w:p>
  </w:footnote>
  <w:footnote w:id="42">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435.</w:t>
      </w:r>
    </w:p>
  </w:footnote>
  <w:footnote w:id="43">
    <w:p w:rsidR="002A4706" w:rsidRPr="00442ECF" w:rsidRDefault="002A4706">
      <w:pPr>
        <w:pStyle w:val="Textpoznpodarou"/>
        <w:rPr>
          <w:rFonts w:eastAsia="Calibri"/>
          <w:szCs w:val="22"/>
          <w:lang w:eastAsia="ar-SA"/>
        </w:rPr>
      </w:pPr>
      <w:r>
        <w:rPr>
          <w:rStyle w:val="Znakapoznpodarou"/>
        </w:rPr>
        <w:footnoteRef/>
      </w:r>
      <w:r>
        <w:t xml:space="preserve"> Soudní dvůr: </w:t>
      </w:r>
      <w:r w:rsidRPr="006B1C11">
        <w:t>Roz</w:t>
      </w:r>
      <w:r>
        <w:t>.</w:t>
      </w:r>
      <w:r w:rsidRPr="006B1C11">
        <w:t xml:space="preserve"> ze dne</w:t>
      </w:r>
      <w:r>
        <w:t xml:space="preserve"> 16. května 1991,</w:t>
      </w:r>
      <w:r w:rsidRPr="006B1C11">
        <w:t xml:space="preserve"> </w:t>
      </w:r>
      <w:r w:rsidRPr="006B1C11">
        <w:rPr>
          <w:i/>
        </w:rPr>
        <w:t>Komise v</w:t>
      </w:r>
      <w:r>
        <w:rPr>
          <w:i/>
        </w:rPr>
        <w:t> Nizozemí</w:t>
      </w:r>
      <w:r w:rsidRPr="006B1C11">
        <w:t xml:space="preserve">, </w:t>
      </w:r>
      <w:r>
        <w:t>C-96/89,</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I-2461</w:t>
      </w:r>
      <w:r w:rsidRPr="002A405A">
        <w:rPr>
          <w:rFonts w:eastAsia="Calibri"/>
          <w:szCs w:val="22"/>
          <w:lang w:eastAsia="ar-SA"/>
        </w:rPr>
        <w:t>, bod</w:t>
      </w:r>
      <w:r>
        <w:rPr>
          <w:rFonts w:eastAsia="Calibri"/>
          <w:szCs w:val="22"/>
          <w:lang w:eastAsia="ar-SA"/>
        </w:rPr>
        <w:t> 16</w:t>
      </w:r>
      <w:r w:rsidRPr="002A405A">
        <w:rPr>
          <w:rFonts w:eastAsia="Calibri"/>
          <w:szCs w:val="22"/>
          <w:lang w:eastAsia="ar-SA"/>
        </w:rPr>
        <w:t>.</w:t>
      </w:r>
    </w:p>
  </w:footnote>
  <w:footnote w:id="44">
    <w:p w:rsidR="002A4706" w:rsidRDefault="002A4706">
      <w:pPr>
        <w:pStyle w:val="Textpoznpodarou"/>
      </w:pPr>
      <w:r>
        <w:rPr>
          <w:rStyle w:val="Znakapoznpodarou"/>
        </w:rPr>
        <w:footnoteRef/>
      </w:r>
      <w:r>
        <w:t xml:space="preserve"> Soudní dvůr: </w:t>
      </w:r>
      <w:r w:rsidRPr="006B1C11">
        <w:t>Roz</w:t>
      </w:r>
      <w:r>
        <w:t>.</w:t>
      </w:r>
      <w:r w:rsidRPr="006B1C11">
        <w:t xml:space="preserve"> ze dne</w:t>
      </w:r>
      <w:r>
        <w:t xml:space="preserve"> 4. května 2006,</w:t>
      </w:r>
      <w:r w:rsidRPr="006B1C11">
        <w:t xml:space="preserve"> </w:t>
      </w:r>
      <w:r w:rsidRPr="006B1C11">
        <w:rPr>
          <w:i/>
        </w:rPr>
        <w:t>Komise v</w:t>
      </w:r>
      <w:r>
        <w:rPr>
          <w:i/>
        </w:rPr>
        <w:t> Spojené království</w:t>
      </w:r>
      <w:r w:rsidRPr="006B1C11">
        <w:t xml:space="preserve">, </w:t>
      </w:r>
      <w:r>
        <w:t>C-508/03,</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I-3969</w:t>
      </w:r>
      <w:r w:rsidRPr="002A405A">
        <w:rPr>
          <w:rFonts w:eastAsia="Calibri"/>
          <w:szCs w:val="22"/>
          <w:lang w:eastAsia="ar-SA"/>
        </w:rPr>
        <w:t>, bod</w:t>
      </w:r>
      <w:r>
        <w:rPr>
          <w:rFonts w:eastAsia="Calibri"/>
          <w:szCs w:val="22"/>
          <w:lang w:eastAsia="ar-SA"/>
        </w:rPr>
        <w:t> 71</w:t>
      </w:r>
      <w:r w:rsidRPr="002A405A">
        <w:rPr>
          <w:rFonts w:eastAsia="Calibri"/>
          <w:szCs w:val="22"/>
          <w:lang w:eastAsia="ar-SA"/>
        </w:rPr>
        <w:t>.</w:t>
      </w:r>
    </w:p>
  </w:footnote>
  <w:footnote w:id="45">
    <w:p w:rsidR="002A4706" w:rsidRPr="00470D97"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434-438.</w:t>
      </w:r>
    </w:p>
  </w:footnote>
  <w:footnote w:id="46">
    <w:p w:rsidR="002A4706" w:rsidRPr="00442ECF" w:rsidRDefault="002A4706">
      <w:pPr>
        <w:pStyle w:val="Textpoznpodarou"/>
        <w:rPr>
          <w:rFonts w:eastAsia="Calibri"/>
          <w:szCs w:val="22"/>
          <w:lang w:eastAsia="ar-SA"/>
        </w:rPr>
      </w:pPr>
      <w:r>
        <w:rPr>
          <w:rStyle w:val="Znakapoznpodarou"/>
        </w:rPr>
        <w:footnoteRef/>
      </w:r>
      <w:r>
        <w:t xml:space="preserve"> Soudní dvůr: </w:t>
      </w:r>
      <w:r w:rsidRPr="006B1C11">
        <w:t>Roz</w:t>
      </w:r>
      <w:r>
        <w:t>.</w:t>
      </w:r>
      <w:r w:rsidRPr="006B1C11">
        <w:t xml:space="preserve"> ze dne</w:t>
      </w:r>
      <w:r>
        <w:t xml:space="preserve"> 31. ledna 1984,</w:t>
      </w:r>
      <w:r w:rsidRPr="006B1C11">
        <w:t xml:space="preserve"> </w:t>
      </w:r>
      <w:r w:rsidRPr="006B1C11">
        <w:rPr>
          <w:i/>
        </w:rPr>
        <w:t>Komise v</w:t>
      </w:r>
      <w:r>
        <w:rPr>
          <w:i/>
        </w:rPr>
        <w:t> Irsko</w:t>
      </w:r>
      <w:r w:rsidRPr="006B1C11">
        <w:t xml:space="preserve">, </w:t>
      </w:r>
      <w:r>
        <w:t>C-74/82,</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rsidRPr="00442ECF">
        <w:rPr>
          <w:rFonts w:eastAsia="Calibri"/>
          <w:szCs w:val="22"/>
          <w:lang w:eastAsia="ar-SA"/>
        </w:rPr>
        <w:t>00317</w:t>
      </w:r>
      <w:r w:rsidRPr="002A405A">
        <w:rPr>
          <w:rFonts w:eastAsia="Calibri"/>
          <w:szCs w:val="22"/>
          <w:lang w:eastAsia="ar-SA"/>
        </w:rPr>
        <w:t>, bod</w:t>
      </w:r>
      <w:r>
        <w:rPr>
          <w:rFonts w:eastAsia="Calibri"/>
          <w:szCs w:val="22"/>
          <w:lang w:eastAsia="ar-SA"/>
        </w:rPr>
        <w:t> 12</w:t>
      </w:r>
      <w:r w:rsidRPr="002A405A">
        <w:rPr>
          <w:rFonts w:eastAsia="Calibri"/>
          <w:szCs w:val="22"/>
          <w:lang w:eastAsia="ar-SA"/>
        </w:rPr>
        <w:t>.</w:t>
      </w:r>
    </w:p>
  </w:footnote>
  <w:footnote w:id="47">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xml:space="preserve">, </w:t>
      </w:r>
      <w:r w:rsidRPr="00D50900">
        <w:t>s. 436.</w:t>
      </w:r>
    </w:p>
  </w:footnote>
  <w:footnote w:id="48">
    <w:p w:rsidR="002A4706" w:rsidRPr="00442ECF" w:rsidRDefault="002A4706">
      <w:pPr>
        <w:pStyle w:val="Textpoznpodarou"/>
        <w:rPr>
          <w:rFonts w:eastAsia="Calibri"/>
          <w:szCs w:val="22"/>
          <w:lang w:eastAsia="ar-SA"/>
        </w:rPr>
      </w:pPr>
      <w:r>
        <w:rPr>
          <w:rStyle w:val="Znakapoznpodarou"/>
        </w:rPr>
        <w:footnoteRef/>
      </w:r>
      <w:r>
        <w:t xml:space="preserve"> Soudní dvůr: </w:t>
      </w:r>
      <w:r w:rsidRPr="006B1C11">
        <w:t>Roz</w:t>
      </w:r>
      <w:r>
        <w:t>.</w:t>
      </w:r>
      <w:r w:rsidRPr="006B1C11">
        <w:t xml:space="preserve"> ze dne</w:t>
      </w:r>
      <w:r>
        <w:t xml:space="preserve"> 2. února 1988,</w:t>
      </w:r>
      <w:r w:rsidRPr="006B1C11">
        <w:t xml:space="preserve"> </w:t>
      </w:r>
      <w:r w:rsidRPr="006B1C11">
        <w:rPr>
          <w:i/>
        </w:rPr>
        <w:t>Komise v</w:t>
      </w:r>
      <w:r>
        <w:rPr>
          <w:i/>
        </w:rPr>
        <w:t> </w:t>
      </w:r>
      <w:proofErr w:type="gramStart"/>
      <w:r>
        <w:rPr>
          <w:i/>
        </w:rPr>
        <w:t>Belgie</w:t>
      </w:r>
      <w:proofErr w:type="gramEnd"/>
      <w:r w:rsidRPr="006B1C11">
        <w:t xml:space="preserve">, </w:t>
      </w:r>
      <w:r>
        <w:t>C-293/85,</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rsidRPr="00442ECF">
        <w:rPr>
          <w:rFonts w:eastAsia="Calibri"/>
          <w:szCs w:val="22"/>
          <w:lang w:eastAsia="ar-SA"/>
        </w:rPr>
        <w:t>00305</w:t>
      </w:r>
      <w:r w:rsidRPr="002A405A">
        <w:rPr>
          <w:rFonts w:eastAsia="Calibri"/>
          <w:szCs w:val="22"/>
          <w:lang w:eastAsia="ar-SA"/>
        </w:rPr>
        <w:t>.</w:t>
      </w:r>
    </w:p>
  </w:footnote>
  <w:footnote w:id="49">
    <w:p w:rsidR="002A4706" w:rsidRDefault="002A4706">
      <w:pPr>
        <w:pStyle w:val="Textpoznpodarou"/>
      </w:pPr>
      <w:r>
        <w:rPr>
          <w:rStyle w:val="Znakapoznpodarou"/>
        </w:rPr>
        <w:footnoteRef/>
      </w:r>
      <w:r>
        <w:t xml:space="preserve"> Soudní dvůr: </w:t>
      </w:r>
      <w:r w:rsidRPr="006B1C11">
        <w:t>Roz</w:t>
      </w:r>
      <w:r>
        <w:t>.</w:t>
      </w:r>
      <w:r w:rsidRPr="006B1C11">
        <w:t xml:space="preserve"> ze dne</w:t>
      </w:r>
      <w:r>
        <w:t xml:space="preserve"> 28. října 1999,</w:t>
      </w:r>
      <w:r w:rsidRPr="006B1C11">
        <w:t xml:space="preserve"> </w:t>
      </w:r>
      <w:r w:rsidRPr="006B1C11">
        <w:rPr>
          <w:i/>
        </w:rPr>
        <w:t>Komise v</w:t>
      </w:r>
      <w:r>
        <w:rPr>
          <w:i/>
        </w:rPr>
        <w:t> Rakousko</w:t>
      </w:r>
      <w:r w:rsidRPr="006B1C11">
        <w:t xml:space="preserve">, </w:t>
      </w:r>
      <w:r>
        <w:t>C-328/96,</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I-07479</w:t>
      </w:r>
      <w:r w:rsidRPr="002A405A">
        <w:rPr>
          <w:rFonts w:eastAsia="Calibri"/>
          <w:szCs w:val="22"/>
          <w:lang w:eastAsia="ar-SA"/>
        </w:rPr>
        <w:t>.</w:t>
      </w:r>
    </w:p>
  </w:footnote>
  <w:footnote w:id="50">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436.</w:t>
      </w:r>
    </w:p>
  </w:footnote>
  <w:footnote w:id="51">
    <w:p w:rsidR="002A4706" w:rsidRDefault="002A4706" w:rsidP="007118BF">
      <w:pPr>
        <w:pStyle w:val="Odstavecseseznamem"/>
      </w:pPr>
      <w:r>
        <w:rPr>
          <w:rStyle w:val="Znakapoznpodarou"/>
        </w:rPr>
        <w:footnoteRef/>
      </w:r>
      <w:r>
        <w:t xml:space="preserve"> </w:t>
      </w:r>
      <w:r w:rsidRPr="00A25BFB">
        <w:rPr>
          <w:rFonts w:cs="Arial"/>
          <w:szCs w:val="20"/>
        </w:rPr>
        <w:t xml:space="preserve">SYLLOVÁ, Jindřiška, PÍTROVÁ, Lenka, PALDUSOVÁ, Helena a kol. </w:t>
      </w:r>
      <w:r w:rsidRPr="00A25BFB">
        <w:rPr>
          <w:rFonts w:cs="Arial"/>
          <w:i/>
          <w:szCs w:val="20"/>
        </w:rPr>
        <w:t>Lisabonská smlouva, komentář</w:t>
      </w:r>
      <w:r w:rsidRPr="00A25BFB">
        <w:rPr>
          <w:rFonts w:cs="Arial"/>
          <w:szCs w:val="20"/>
        </w:rPr>
        <w:t>. Praha: C. H. Beck, 2010</w:t>
      </w:r>
      <w:r>
        <w:rPr>
          <w:rFonts w:cs="Arial"/>
          <w:szCs w:val="20"/>
        </w:rPr>
        <w:t>, s. 823-824</w:t>
      </w:r>
    </w:p>
  </w:footnote>
  <w:footnote w:id="52">
    <w:p w:rsidR="002A4706" w:rsidRDefault="002A4706">
      <w:pPr>
        <w:pStyle w:val="Textpoznpodarou"/>
      </w:pPr>
      <w:r>
        <w:rPr>
          <w:rStyle w:val="Znakapoznpodarou"/>
        </w:rPr>
        <w:footnoteRef/>
      </w:r>
      <w:r>
        <w:t xml:space="preserve"> </w:t>
      </w:r>
      <w:r w:rsidRPr="00C02160">
        <w:t xml:space="preserve">ŠLOSARČÍK, Ivo. </w:t>
      </w:r>
      <w:r w:rsidRPr="00C02160">
        <w:rPr>
          <w:i/>
        </w:rPr>
        <w:t>Evropský soudní dvůr a soudy členských států Evropské unie</w:t>
      </w:r>
      <w:r w:rsidRPr="00C02160">
        <w:t>. Praha: Justiční akademie ČR, 2005</w:t>
      </w:r>
      <w:r>
        <w:t>, s. 33-34</w:t>
      </w:r>
      <w:r w:rsidRPr="00C02160">
        <w:t>.</w:t>
      </w:r>
    </w:p>
  </w:footnote>
  <w:footnote w:id="53">
    <w:p w:rsidR="002A4706" w:rsidRPr="00442ECF" w:rsidRDefault="002A4706">
      <w:pPr>
        <w:pStyle w:val="Textpoznpodarou"/>
        <w:rPr>
          <w:rFonts w:eastAsia="Calibri"/>
          <w:szCs w:val="22"/>
          <w:lang w:eastAsia="ar-SA"/>
        </w:rPr>
      </w:pPr>
      <w:r>
        <w:rPr>
          <w:rStyle w:val="Znakapoznpodarou"/>
        </w:rPr>
        <w:footnoteRef/>
      </w:r>
      <w:r>
        <w:t xml:space="preserve"> Soudní dvůr: </w:t>
      </w:r>
      <w:r>
        <w:rPr>
          <w:i/>
        </w:rPr>
        <w:t>Irsko</w:t>
      </w:r>
      <w:r w:rsidRPr="006B1C11">
        <w:rPr>
          <w:i/>
        </w:rPr>
        <w:t xml:space="preserve"> v</w:t>
      </w:r>
      <w:r>
        <w:rPr>
          <w:i/>
        </w:rPr>
        <w:t> </w:t>
      </w:r>
      <w:proofErr w:type="gramStart"/>
      <w:r>
        <w:rPr>
          <w:i/>
        </w:rPr>
        <w:t>Francie</w:t>
      </w:r>
      <w:proofErr w:type="gramEnd"/>
      <w:r w:rsidRPr="006B1C11">
        <w:t xml:space="preserve">, </w:t>
      </w:r>
      <w:r>
        <w:t>C-58/77</w:t>
      </w:r>
      <w:r w:rsidRPr="002A405A">
        <w:rPr>
          <w:rFonts w:eastAsia="Calibri"/>
          <w:szCs w:val="22"/>
          <w:lang w:eastAsia="ar-SA"/>
        </w:rPr>
        <w:t>.</w:t>
      </w:r>
    </w:p>
  </w:footnote>
  <w:footnote w:id="54">
    <w:p w:rsidR="002A4706" w:rsidRPr="00265568" w:rsidRDefault="002A4706">
      <w:pPr>
        <w:pStyle w:val="Textpoznpodarou"/>
        <w:rPr>
          <w:rFonts w:eastAsia="Calibri"/>
          <w:szCs w:val="22"/>
          <w:lang w:eastAsia="ar-SA"/>
        </w:rPr>
      </w:pPr>
      <w:r>
        <w:rPr>
          <w:rStyle w:val="Znakapoznpodarou"/>
        </w:rPr>
        <w:footnoteRef/>
      </w:r>
      <w:r>
        <w:t xml:space="preserve"> Soudní dvůr: </w:t>
      </w:r>
      <w:r w:rsidRPr="006B1C11">
        <w:t>Roz</w:t>
      </w:r>
      <w:r>
        <w:t>.</w:t>
      </w:r>
      <w:r w:rsidRPr="006B1C11">
        <w:t xml:space="preserve"> ze dne</w:t>
      </w:r>
      <w:r>
        <w:t xml:space="preserve"> 4. října 1979,</w:t>
      </w:r>
      <w:r w:rsidRPr="006B1C11">
        <w:t xml:space="preserve"> </w:t>
      </w:r>
      <w:r>
        <w:rPr>
          <w:i/>
        </w:rPr>
        <w:t>Francie</w:t>
      </w:r>
      <w:r w:rsidRPr="006B1C11">
        <w:rPr>
          <w:i/>
        </w:rPr>
        <w:t xml:space="preserve"> v</w:t>
      </w:r>
      <w:r>
        <w:rPr>
          <w:i/>
        </w:rPr>
        <w:t> Spojené království</w:t>
      </w:r>
      <w:r w:rsidRPr="006B1C11">
        <w:t xml:space="preserve">, </w:t>
      </w:r>
      <w:r>
        <w:t>C-141/78,</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02923</w:t>
      </w:r>
      <w:r w:rsidRPr="002A405A">
        <w:rPr>
          <w:rFonts w:eastAsia="Calibri"/>
          <w:szCs w:val="22"/>
          <w:lang w:eastAsia="ar-SA"/>
        </w:rPr>
        <w:t>.</w:t>
      </w:r>
    </w:p>
  </w:footnote>
  <w:footnote w:id="55">
    <w:p w:rsidR="002A4706" w:rsidRDefault="002A4706" w:rsidP="00CC5DB5">
      <w:pPr>
        <w:pStyle w:val="Odstavecseseznamem"/>
      </w:pPr>
      <w:r>
        <w:rPr>
          <w:rStyle w:val="Znakapoznpodarou"/>
        </w:rPr>
        <w:footnoteRef/>
      </w:r>
      <w:r>
        <w:t xml:space="preserve"> </w:t>
      </w:r>
      <w:r w:rsidRPr="0078003E">
        <w:t xml:space="preserve">HAMUĹÁK, Ondrej, STEHLÍK, Václav. </w:t>
      </w:r>
      <w:r w:rsidRPr="00443CA9">
        <w:rPr>
          <w:i/>
        </w:rPr>
        <w:t>Praktikum práva Evropské unie. Ústavní základy a</w:t>
      </w:r>
      <w:r>
        <w:rPr>
          <w:i/>
        </w:rPr>
        <w:t> </w:t>
      </w:r>
      <w:r w:rsidRPr="00443CA9">
        <w:rPr>
          <w:i/>
        </w:rPr>
        <w:t>soudnictví</w:t>
      </w:r>
      <w:r w:rsidRPr="0078003E">
        <w:t xml:space="preserve">. Praha: </w:t>
      </w:r>
      <w:proofErr w:type="spellStart"/>
      <w:r w:rsidRPr="0078003E">
        <w:t>Leges</w:t>
      </w:r>
      <w:proofErr w:type="spellEnd"/>
      <w:r w:rsidRPr="0078003E">
        <w:t>, 2011, s. 135.</w:t>
      </w:r>
    </w:p>
  </w:footnote>
  <w:footnote w:id="56">
    <w:p w:rsidR="002A4706" w:rsidRDefault="002A4706" w:rsidP="00E10E44">
      <w:pPr>
        <w:pStyle w:val="Odstavecseseznamem"/>
      </w:pPr>
      <w:r>
        <w:rPr>
          <w:rStyle w:val="Znakapoznpodarou"/>
        </w:rPr>
        <w:footnoteRef/>
      </w:r>
      <w:r>
        <w:t xml:space="preserve">  </w:t>
      </w:r>
      <w:r w:rsidRPr="00AC5D56">
        <w:t>Článek 17 SEU</w:t>
      </w:r>
      <w:r>
        <w:t>.</w:t>
      </w:r>
    </w:p>
  </w:footnote>
  <w:footnote w:id="57">
    <w:p w:rsidR="002A4706" w:rsidRDefault="002A4706" w:rsidP="00E10E44">
      <w:pPr>
        <w:pStyle w:val="Odstavecseseznamem"/>
      </w:pPr>
      <w:r>
        <w:rPr>
          <w:rStyle w:val="Znakapoznpodarou"/>
        </w:rPr>
        <w:footnoteRef/>
      </w:r>
      <w:r>
        <w:t xml:space="preserve"> </w:t>
      </w:r>
      <w:r w:rsidRPr="0078003E">
        <w:t xml:space="preserve">HAMUĹÁK, Ondrej, STEHLÍK, Václav. </w:t>
      </w:r>
      <w:r w:rsidRPr="00443CA9">
        <w:rPr>
          <w:i/>
        </w:rPr>
        <w:t>Praktikum práva Evropské unie. Ústavní základy a</w:t>
      </w:r>
      <w:r>
        <w:rPr>
          <w:i/>
        </w:rPr>
        <w:t> </w:t>
      </w:r>
      <w:r w:rsidRPr="00443CA9">
        <w:rPr>
          <w:i/>
        </w:rPr>
        <w:t>soudnictví</w:t>
      </w:r>
      <w:r w:rsidRPr="0078003E">
        <w:t xml:space="preserve">. Praha: </w:t>
      </w:r>
      <w:proofErr w:type="spellStart"/>
      <w:r w:rsidRPr="0078003E">
        <w:t>Leges</w:t>
      </w:r>
      <w:proofErr w:type="spellEnd"/>
      <w:r w:rsidRPr="0078003E">
        <w:t>, 2011, s. 135.</w:t>
      </w:r>
    </w:p>
  </w:footnote>
  <w:footnote w:id="58">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429.</w:t>
      </w:r>
    </w:p>
  </w:footnote>
  <w:footnote w:id="59">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429-430</w:t>
      </w:r>
      <w:r w:rsidRPr="00A25BFB">
        <w:t>.</w:t>
      </w:r>
    </w:p>
  </w:footnote>
  <w:footnote w:id="60">
    <w:p w:rsidR="002A4706" w:rsidRPr="000F259B" w:rsidRDefault="002A4706" w:rsidP="00EE65B0">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430.</w:t>
      </w:r>
    </w:p>
  </w:footnote>
  <w:footnote w:id="61">
    <w:p w:rsidR="002A4706" w:rsidRPr="00265568" w:rsidRDefault="002A4706">
      <w:pPr>
        <w:pStyle w:val="Textpoznpodarou"/>
        <w:rPr>
          <w:rFonts w:eastAsia="Calibri"/>
          <w:szCs w:val="22"/>
          <w:lang w:eastAsia="ar-SA"/>
        </w:rPr>
      </w:pPr>
      <w:r>
        <w:rPr>
          <w:rStyle w:val="Znakapoznpodarou"/>
        </w:rPr>
        <w:footnoteRef/>
      </w:r>
      <w:r>
        <w:t xml:space="preserve"> Soudní dvůr: </w:t>
      </w:r>
      <w:r w:rsidRPr="006B1C11">
        <w:t>Roz</w:t>
      </w:r>
      <w:r>
        <w:t>.</w:t>
      </w:r>
      <w:r w:rsidRPr="006B1C11">
        <w:t xml:space="preserve"> ze dne</w:t>
      </w:r>
      <w:r>
        <w:t xml:space="preserve"> 11. prosince 2001,</w:t>
      </w:r>
      <w:r w:rsidRPr="006B1C11">
        <w:t xml:space="preserve"> </w:t>
      </w:r>
      <w:proofErr w:type="spellStart"/>
      <w:r>
        <w:rPr>
          <w:i/>
        </w:rPr>
        <w:t>Petrie</w:t>
      </w:r>
      <w:proofErr w:type="spellEnd"/>
      <w:r>
        <w:rPr>
          <w:i/>
        </w:rPr>
        <w:t xml:space="preserve"> a další v K</w:t>
      </w:r>
      <w:r w:rsidRPr="006B1C11">
        <w:rPr>
          <w:i/>
        </w:rPr>
        <w:t>omise</w:t>
      </w:r>
      <w:r w:rsidRPr="006B1C11">
        <w:t xml:space="preserve">, </w:t>
      </w:r>
      <w:r>
        <w:t>T-191/99,</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t>II-3677</w:t>
      </w:r>
      <w:r w:rsidRPr="002A405A">
        <w:rPr>
          <w:rFonts w:eastAsia="Calibri"/>
          <w:szCs w:val="22"/>
          <w:lang w:eastAsia="ar-SA"/>
        </w:rPr>
        <w:t>, bod</w:t>
      </w:r>
      <w:r>
        <w:rPr>
          <w:rFonts w:eastAsia="Calibri"/>
          <w:szCs w:val="22"/>
          <w:lang w:eastAsia="ar-SA"/>
        </w:rPr>
        <w:t> 70</w:t>
      </w:r>
      <w:r w:rsidRPr="002A405A">
        <w:rPr>
          <w:rFonts w:eastAsia="Calibri"/>
          <w:szCs w:val="22"/>
          <w:lang w:eastAsia="ar-SA"/>
        </w:rPr>
        <w:t>.</w:t>
      </w:r>
    </w:p>
  </w:footnote>
  <w:footnote w:id="62">
    <w:p w:rsidR="002A4706" w:rsidRPr="000F259B" w:rsidRDefault="002A4706" w:rsidP="00EE65B0">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430-431.</w:t>
      </w:r>
    </w:p>
  </w:footnote>
  <w:footnote w:id="63">
    <w:p w:rsidR="002A4706" w:rsidRDefault="002A4706">
      <w:pPr>
        <w:pStyle w:val="Textpoznpodarou"/>
      </w:pPr>
      <w:r>
        <w:rPr>
          <w:rStyle w:val="Znakapoznpodarou"/>
        </w:rPr>
        <w:footnoteRef/>
      </w:r>
      <w:r>
        <w:t xml:space="preserve"> </w:t>
      </w:r>
      <w:r w:rsidRPr="00171167">
        <w:t xml:space="preserve">RAWLINGS, Richard, HARLOW, Carol. </w:t>
      </w:r>
      <w:proofErr w:type="spellStart"/>
      <w:r w:rsidRPr="00171167">
        <w:rPr>
          <w:i/>
        </w:rPr>
        <w:t>Accountability</w:t>
      </w:r>
      <w:proofErr w:type="spellEnd"/>
      <w:r w:rsidRPr="00171167">
        <w:rPr>
          <w:i/>
        </w:rPr>
        <w:t xml:space="preserve"> </w:t>
      </w:r>
      <w:proofErr w:type="spellStart"/>
      <w:r w:rsidRPr="00171167">
        <w:rPr>
          <w:i/>
        </w:rPr>
        <w:t>and</w:t>
      </w:r>
      <w:proofErr w:type="spellEnd"/>
      <w:r w:rsidRPr="00171167">
        <w:rPr>
          <w:i/>
        </w:rPr>
        <w:t xml:space="preserve"> </w:t>
      </w:r>
      <w:proofErr w:type="spellStart"/>
      <w:r w:rsidRPr="00171167">
        <w:rPr>
          <w:i/>
        </w:rPr>
        <w:t>Law</w:t>
      </w:r>
      <w:proofErr w:type="spellEnd"/>
      <w:r w:rsidRPr="00171167">
        <w:rPr>
          <w:i/>
        </w:rPr>
        <w:t xml:space="preserve"> </w:t>
      </w:r>
      <w:proofErr w:type="spellStart"/>
      <w:r w:rsidRPr="00171167">
        <w:rPr>
          <w:i/>
        </w:rPr>
        <w:t>Enforcement</w:t>
      </w:r>
      <w:proofErr w:type="spellEnd"/>
      <w:r w:rsidRPr="00171167">
        <w:rPr>
          <w:i/>
        </w:rPr>
        <w:t xml:space="preserve">: </w:t>
      </w:r>
      <w:proofErr w:type="spellStart"/>
      <w:r w:rsidRPr="00171167">
        <w:rPr>
          <w:i/>
        </w:rPr>
        <w:t>The</w:t>
      </w:r>
      <w:proofErr w:type="spellEnd"/>
      <w:r w:rsidRPr="00171167">
        <w:rPr>
          <w:i/>
        </w:rPr>
        <w:t xml:space="preserve"> </w:t>
      </w:r>
      <w:proofErr w:type="spellStart"/>
      <w:r w:rsidRPr="00171167">
        <w:rPr>
          <w:i/>
        </w:rPr>
        <w:t>centralised</w:t>
      </w:r>
      <w:proofErr w:type="spellEnd"/>
      <w:r w:rsidRPr="00171167">
        <w:rPr>
          <w:i/>
        </w:rPr>
        <w:t xml:space="preserve"> EU </w:t>
      </w:r>
      <w:proofErr w:type="spellStart"/>
      <w:r w:rsidRPr="00171167">
        <w:rPr>
          <w:i/>
        </w:rPr>
        <w:t>enfringement</w:t>
      </w:r>
      <w:proofErr w:type="spellEnd"/>
      <w:r w:rsidRPr="00171167">
        <w:rPr>
          <w:i/>
        </w:rPr>
        <w:t xml:space="preserve"> procedure. </w:t>
      </w:r>
      <w:proofErr w:type="spellStart"/>
      <w:r w:rsidRPr="00171167">
        <w:rPr>
          <w:iCs/>
        </w:rPr>
        <w:t>European</w:t>
      </w:r>
      <w:proofErr w:type="spellEnd"/>
      <w:r w:rsidRPr="00171167">
        <w:rPr>
          <w:iCs/>
        </w:rPr>
        <w:t xml:space="preserve"> </w:t>
      </w:r>
      <w:proofErr w:type="spellStart"/>
      <w:r w:rsidRPr="00171167">
        <w:rPr>
          <w:iCs/>
        </w:rPr>
        <w:t>Law</w:t>
      </w:r>
      <w:proofErr w:type="spellEnd"/>
      <w:r w:rsidRPr="00171167">
        <w:rPr>
          <w:iCs/>
        </w:rPr>
        <w:t xml:space="preserve"> </w:t>
      </w:r>
      <w:proofErr w:type="spellStart"/>
      <w:r w:rsidRPr="00171167">
        <w:rPr>
          <w:iCs/>
        </w:rPr>
        <w:t>Review</w:t>
      </w:r>
      <w:proofErr w:type="spellEnd"/>
      <w:r w:rsidRPr="00171167">
        <w:rPr>
          <w:iCs/>
        </w:rPr>
        <w:t xml:space="preserve">, </w:t>
      </w:r>
      <w:r w:rsidRPr="00171167">
        <w:t>2006, s. 447.</w:t>
      </w:r>
      <w:r>
        <w:rPr>
          <w:i/>
        </w:rPr>
        <w:t xml:space="preserve"> </w:t>
      </w:r>
    </w:p>
  </w:footnote>
  <w:footnote w:id="64">
    <w:p w:rsidR="002A4706" w:rsidRDefault="002A4706">
      <w:pPr>
        <w:pStyle w:val="Textpoznpodarou"/>
      </w:pPr>
      <w:r>
        <w:rPr>
          <w:rStyle w:val="Znakapoznpodarou"/>
        </w:rPr>
        <w:footnoteRef/>
      </w:r>
      <w:r>
        <w:t xml:space="preserve"> </w:t>
      </w:r>
      <w:proofErr w:type="spellStart"/>
      <w:r w:rsidRPr="00D4302D">
        <w:t>The</w:t>
      </w:r>
      <w:proofErr w:type="spellEnd"/>
      <w:r w:rsidRPr="00D4302D">
        <w:t xml:space="preserve"> </w:t>
      </w:r>
      <w:proofErr w:type="spellStart"/>
      <w:r>
        <w:t>E</w:t>
      </w:r>
      <w:r w:rsidRPr="00D4302D">
        <w:t>uropean</w:t>
      </w:r>
      <w:proofErr w:type="spellEnd"/>
      <w:r w:rsidRPr="00D4302D">
        <w:t xml:space="preserve"> </w:t>
      </w:r>
      <w:r>
        <w:t>O</w:t>
      </w:r>
      <w:r w:rsidRPr="00D4302D">
        <w:t>mbu</w:t>
      </w:r>
      <w:r>
        <w:t>d</w:t>
      </w:r>
      <w:r w:rsidRPr="00D4302D">
        <w:t xml:space="preserve">sman </w:t>
      </w:r>
      <w:proofErr w:type="spellStart"/>
      <w:r>
        <w:t>A</w:t>
      </w:r>
      <w:r w:rsidRPr="00D4302D">
        <w:t>nnual</w:t>
      </w:r>
      <w:proofErr w:type="spellEnd"/>
      <w:r>
        <w:t xml:space="preserve"> R</w:t>
      </w:r>
      <w:r w:rsidRPr="00D4302D">
        <w:t xml:space="preserve">eport </w:t>
      </w:r>
      <w:proofErr w:type="spellStart"/>
      <w:r w:rsidRPr="00D4302D">
        <w:t>for</w:t>
      </w:r>
      <w:proofErr w:type="spellEnd"/>
      <w:r w:rsidRPr="00D4302D">
        <w:t xml:space="preserve"> 1999</w:t>
      </w:r>
      <w:r>
        <w:t xml:space="preserve">. Štrasburk, duben 2000, </w:t>
      </w:r>
      <w:r w:rsidRPr="00D4302D">
        <w:t>s. 168</w:t>
      </w:r>
      <w:r>
        <w:t>.</w:t>
      </w:r>
    </w:p>
  </w:footnote>
  <w:footnote w:id="65">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431</w:t>
      </w:r>
      <w:r w:rsidRPr="00A25BFB">
        <w:t>.</w:t>
      </w:r>
    </w:p>
  </w:footnote>
  <w:footnote w:id="66">
    <w:p w:rsidR="002A4706" w:rsidRDefault="002A4706" w:rsidP="00E10E44">
      <w:pPr>
        <w:pStyle w:val="Odstavecseseznamem"/>
      </w:pPr>
      <w:r>
        <w:rPr>
          <w:rStyle w:val="Znakapoznpodarou"/>
        </w:rPr>
        <w:footnoteRef/>
      </w:r>
      <w:r>
        <w:rPr>
          <w:rFonts w:cs="Arial"/>
        </w:rPr>
        <w:t xml:space="preserve"> </w:t>
      </w:r>
      <w:r w:rsidRPr="00A25BFB">
        <w:rPr>
          <w:rFonts w:cs="Arial"/>
        </w:rPr>
        <w:t xml:space="preserve">ŠLOSARČÍK, Ivo. </w:t>
      </w:r>
      <w:r w:rsidRPr="00A25BFB">
        <w:rPr>
          <w:rFonts w:cs="Arial"/>
          <w:i/>
        </w:rPr>
        <w:t>Evropský soudní dvůr a soudy členských států Evropské unie</w:t>
      </w:r>
      <w:r w:rsidRPr="00A25BFB">
        <w:rPr>
          <w:rFonts w:cs="Arial"/>
        </w:rPr>
        <w:t>. Pr</w:t>
      </w:r>
      <w:r>
        <w:rPr>
          <w:rFonts w:cs="Arial"/>
        </w:rPr>
        <w:t>aha: Justiční akademie ČR, 2005, s. 28.</w:t>
      </w:r>
    </w:p>
  </w:footnote>
  <w:footnote w:id="67">
    <w:p w:rsidR="002A4706" w:rsidRPr="00A15F1D" w:rsidRDefault="002A4706" w:rsidP="00E10E44">
      <w:pPr>
        <w:pStyle w:val="Odstavecseseznamem"/>
        <w:rPr>
          <w:rFonts w:cs="Arial"/>
          <w:szCs w:val="20"/>
        </w:rPr>
      </w:pPr>
      <w:r>
        <w:rPr>
          <w:rStyle w:val="Znakapoznpodarou"/>
        </w:rPr>
        <w:footnoteRef/>
      </w:r>
      <w:r>
        <w:rPr>
          <w:rFonts w:cs="Arial"/>
          <w:szCs w:val="20"/>
        </w:rPr>
        <w:t xml:space="preserve"> </w:t>
      </w:r>
      <w:r w:rsidRPr="00F36008">
        <w:rPr>
          <w:rFonts w:cs="Arial"/>
          <w:szCs w:val="20"/>
        </w:rPr>
        <w:t xml:space="preserve">TOMÁŠEK, Michal, TÝČ, Vladimír a kol. </w:t>
      </w:r>
      <w:r w:rsidRPr="00F36008">
        <w:rPr>
          <w:rFonts w:cs="Arial"/>
          <w:i/>
          <w:szCs w:val="20"/>
        </w:rPr>
        <w:t>Právo Evropské unie</w:t>
      </w:r>
      <w:r w:rsidRPr="00F36008">
        <w:rPr>
          <w:rFonts w:cs="Arial"/>
          <w:szCs w:val="20"/>
        </w:rPr>
        <w:t xml:space="preserve">. Praha: </w:t>
      </w:r>
      <w:proofErr w:type="spellStart"/>
      <w:r w:rsidRPr="00F36008">
        <w:rPr>
          <w:rFonts w:cs="Arial"/>
          <w:szCs w:val="20"/>
        </w:rPr>
        <w:t>Leges</w:t>
      </w:r>
      <w:proofErr w:type="spellEnd"/>
      <w:r w:rsidRPr="00F36008">
        <w:rPr>
          <w:rFonts w:cs="Arial"/>
          <w:szCs w:val="20"/>
        </w:rPr>
        <w:t xml:space="preserve">, 2013, s. </w:t>
      </w:r>
      <w:r>
        <w:rPr>
          <w:rFonts w:cs="Arial"/>
          <w:szCs w:val="20"/>
        </w:rPr>
        <w:t>410</w:t>
      </w:r>
      <w:r w:rsidRPr="00F36008">
        <w:rPr>
          <w:rFonts w:cs="Arial"/>
          <w:szCs w:val="20"/>
        </w:rPr>
        <w:t>.</w:t>
      </w:r>
    </w:p>
  </w:footnote>
  <w:footnote w:id="68">
    <w:p w:rsidR="002A4706" w:rsidRPr="00D821FE" w:rsidRDefault="002A4706" w:rsidP="00D821FE">
      <w:pPr>
        <w:pStyle w:val="Textpoznpodarou"/>
        <w:rPr>
          <w:rFonts w:cs="Arial"/>
          <w:color w:val="1F497D" w:themeColor="text2"/>
        </w:rPr>
      </w:pPr>
      <w:r>
        <w:rPr>
          <w:rStyle w:val="Znakapoznpodarou"/>
        </w:rPr>
        <w:footnoteRef/>
      </w:r>
      <w:r>
        <w:t xml:space="preserve"> </w:t>
      </w:r>
      <w:r w:rsidRPr="0011393F">
        <w:t xml:space="preserve">Ministerstvo zahraničních věcí, </w:t>
      </w:r>
      <w:r w:rsidRPr="0011393F">
        <w:rPr>
          <w:rFonts w:cs="Arial"/>
          <w:szCs w:val="22"/>
        </w:rPr>
        <w:t xml:space="preserve">odbor komunitárního práva, </w:t>
      </w:r>
      <w:r w:rsidRPr="0011393F">
        <w:rPr>
          <w:rFonts w:cs="Arial"/>
          <w:i/>
          <w:szCs w:val="22"/>
        </w:rPr>
        <w:t>Zpráva o činnosti vládního zmocněnce pro zastupování České republiky před Soudním dvorem Evropské unie za rok 2013</w:t>
      </w:r>
      <w:r w:rsidRPr="0011393F">
        <w:rPr>
          <w:rFonts w:cs="Arial"/>
          <w:szCs w:val="22"/>
        </w:rPr>
        <w:t>, Praha 2014.</w:t>
      </w:r>
    </w:p>
  </w:footnote>
  <w:footnote w:id="69">
    <w:p w:rsidR="002A4706" w:rsidRDefault="002A4706" w:rsidP="00E10E44">
      <w:pPr>
        <w:pStyle w:val="Odstavecseseznamem"/>
      </w:pPr>
      <w:r>
        <w:rPr>
          <w:rStyle w:val="Znakapoznpodarou"/>
        </w:rPr>
        <w:footnoteRef/>
      </w:r>
      <w:r>
        <w:t xml:space="preserve"> </w:t>
      </w:r>
      <w:r w:rsidRPr="00F36008">
        <w:t xml:space="preserve">TOMÁŠEK, Michal, TÝČ, Vladimír a kol. </w:t>
      </w:r>
      <w:r w:rsidRPr="00F36008">
        <w:rPr>
          <w:i/>
        </w:rPr>
        <w:t>Právo Evropské unie</w:t>
      </w:r>
      <w:r w:rsidRPr="00F36008">
        <w:t xml:space="preserve">. Praha: </w:t>
      </w:r>
      <w:proofErr w:type="spellStart"/>
      <w:r w:rsidRPr="00F36008">
        <w:t>Leges</w:t>
      </w:r>
      <w:proofErr w:type="spellEnd"/>
      <w:r w:rsidRPr="00F36008">
        <w:t xml:space="preserve">, 2013, s. </w:t>
      </w:r>
      <w:r>
        <w:t>410</w:t>
      </w:r>
      <w:r w:rsidRPr="00F36008">
        <w:t>.</w:t>
      </w:r>
    </w:p>
  </w:footnote>
  <w:footnote w:id="70">
    <w:p w:rsidR="002A4706" w:rsidRDefault="002A4706" w:rsidP="00E10E44">
      <w:pPr>
        <w:pStyle w:val="Odstavecseseznamem"/>
      </w:pPr>
      <w:r>
        <w:rPr>
          <w:rStyle w:val="Znakapoznpodarou"/>
        </w:rPr>
        <w:footnoteRef/>
      </w:r>
      <w:r>
        <w:t xml:space="preserve"> </w:t>
      </w:r>
      <w:r w:rsidRPr="00A25BFB">
        <w:t xml:space="preserve">ŠLOSARČÍK, Ivo. </w:t>
      </w:r>
      <w:r w:rsidRPr="00A25BFB">
        <w:rPr>
          <w:i/>
        </w:rPr>
        <w:t>Evropský soudní dvůr a soudy členských států Evropské unie</w:t>
      </w:r>
      <w:r w:rsidRPr="00A25BFB">
        <w:t>. Pr</w:t>
      </w:r>
      <w:r>
        <w:t>aha: Justiční akademie ČR, 2005, s. 28.</w:t>
      </w:r>
    </w:p>
  </w:footnote>
  <w:footnote w:id="71">
    <w:p w:rsidR="002A4706" w:rsidRPr="00A246C4" w:rsidRDefault="002A4706" w:rsidP="00E10E44">
      <w:pPr>
        <w:pStyle w:val="Odstavecseseznamem"/>
        <w:rPr>
          <w:szCs w:val="20"/>
        </w:rPr>
      </w:pPr>
      <w:r>
        <w:rPr>
          <w:rStyle w:val="Znakapoznpodarou"/>
        </w:rPr>
        <w:footnoteRef/>
      </w:r>
      <w:r>
        <w:rPr>
          <w:szCs w:val="20"/>
        </w:rPr>
        <w:t xml:space="preserve"> </w:t>
      </w:r>
      <w:r w:rsidRPr="00A25BFB">
        <w:rPr>
          <w:szCs w:val="20"/>
        </w:rPr>
        <w:t xml:space="preserve">TÝČ, Vladimír. </w:t>
      </w:r>
      <w:r w:rsidRPr="00A25BFB">
        <w:rPr>
          <w:i/>
          <w:szCs w:val="20"/>
        </w:rPr>
        <w:t>Základy práva Evropské unie pro ekonomy</w:t>
      </w:r>
      <w:r w:rsidRPr="00A25BFB">
        <w:rPr>
          <w:szCs w:val="20"/>
        </w:rPr>
        <w:t>. 4. vydání. Praha: Linde, 2004</w:t>
      </w:r>
      <w:r>
        <w:rPr>
          <w:szCs w:val="20"/>
        </w:rPr>
        <w:t>, s. 138</w:t>
      </w:r>
      <w:r w:rsidRPr="00A25BFB">
        <w:rPr>
          <w:szCs w:val="20"/>
        </w:rPr>
        <w:t>.</w:t>
      </w:r>
    </w:p>
  </w:footnote>
  <w:footnote w:id="72">
    <w:p w:rsidR="002A4706" w:rsidRDefault="002A4706" w:rsidP="00E10E44">
      <w:pPr>
        <w:pStyle w:val="Odstavecseseznamem"/>
      </w:pPr>
      <w:r>
        <w:rPr>
          <w:rStyle w:val="Znakapoznpodarou"/>
        </w:rPr>
        <w:footnoteRef/>
      </w:r>
      <w:r>
        <w:t xml:space="preserve"> </w:t>
      </w:r>
      <w:r w:rsidRPr="00A25BFB">
        <w:t>OUTLÁ, Veronika</w:t>
      </w:r>
      <w:r>
        <w:t xml:space="preserve"> a kol. </w:t>
      </w:r>
      <w:r>
        <w:rPr>
          <w:i/>
        </w:rPr>
        <w:t>Právo evropské unie</w:t>
      </w:r>
      <w:r w:rsidRPr="00A25BFB">
        <w:t>. Plzeň: Vyd. a nakl. Aleš Čeněk, 200</w:t>
      </w:r>
      <w:r>
        <w:t>6, s. 156</w:t>
      </w:r>
      <w:r w:rsidRPr="00A25BFB">
        <w:t>.</w:t>
      </w:r>
    </w:p>
  </w:footnote>
  <w:footnote w:id="73">
    <w:p w:rsidR="002A4706" w:rsidRPr="00A246C4" w:rsidRDefault="002A4706" w:rsidP="00E10E44">
      <w:pPr>
        <w:pStyle w:val="Odstavecseseznamem"/>
      </w:pPr>
      <w:r>
        <w:rPr>
          <w:rStyle w:val="Znakapoznpodarou"/>
        </w:rPr>
        <w:footnoteRef/>
      </w:r>
      <w:r>
        <w:t xml:space="preserve"> </w:t>
      </w:r>
      <w:r w:rsidRPr="00A25BFB">
        <w:t xml:space="preserve">TÝČ, Vladimír. </w:t>
      </w:r>
      <w:r w:rsidRPr="00A25BFB">
        <w:rPr>
          <w:i/>
        </w:rPr>
        <w:t>Základy práva Evropské unie pro ekonomy</w:t>
      </w:r>
      <w:r w:rsidRPr="00A25BFB">
        <w:t>. 4. vydání. Praha: Linde, 2004</w:t>
      </w:r>
      <w:r>
        <w:t>, s. 138</w:t>
      </w:r>
      <w:r w:rsidRPr="00A25BFB">
        <w:t>.</w:t>
      </w:r>
    </w:p>
  </w:footnote>
  <w:footnote w:id="74">
    <w:p w:rsidR="002A4706" w:rsidRDefault="002A4706" w:rsidP="00E10E44">
      <w:pPr>
        <w:pStyle w:val="Odstavecseseznamem"/>
      </w:pPr>
      <w:r>
        <w:rPr>
          <w:rStyle w:val="Znakapoznpodarou"/>
        </w:rPr>
        <w:footnoteRef/>
      </w:r>
      <w:r>
        <w:t xml:space="preserve"> </w:t>
      </w:r>
      <w:r w:rsidRPr="00A25BFB">
        <w:t xml:space="preserve">TÝČ, Vladimír. </w:t>
      </w:r>
      <w:r w:rsidRPr="00A25BFB">
        <w:rPr>
          <w:i/>
        </w:rPr>
        <w:t>Základy práva Evropské unie pro ekonomy</w:t>
      </w:r>
      <w:r w:rsidRPr="00A25BFB">
        <w:t>. 4. vydání. Praha: Linde, 2004</w:t>
      </w:r>
      <w:r>
        <w:t>, s. 139</w:t>
      </w:r>
      <w:r w:rsidRPr="00A25BFB">
        <w:t>.</w:t>
      </w:r>
    </w:p>
  </w:footnote>
  <w:footnote w:id="75">
    <w:p w:rsidR="002A4706" w:rsidRDefault="002A4706">
      <w:pPr>
        <w:pStyle w:val="Textpoznpodarou"/>
      </w:pPr>
      <w:r>
        <w:rPr>
          <w:rStyle w:val="Znakapoznpodarou"/>
        </w:rPr>
        <w:footnoteRef/>
      </w:r>
      <w:r>
        <w:t xml:space="preserve"> Jak vyplývá z rozsudku Soudního dvora C</w:t>
      </w:r>
      <w:r>
        <w:noBreakHyphen/>
        <w:t xml:space="preserve"> 325/85 Komise v. SRN, měla by zde Komise také uvést, jaké důvody ji vedly k přesvědčení, že stát nesplnil některou svoji povinnost. – </w:t>
      </w:r>
      <w:proofErr w:type="spellStart"/>
      <w:r>
        <w:t>Šlosarčík</w:t>
      </w:r>
      <w:proofErr w:type="spellEnd"/>
      <w:r>
        <w:t>, 2005, str. 29</w:t>
      </w:r>
    </w:p>
  </w:footnote>
  <w:footnote w:id="76">
    <w:p w:rsidR="002A4706" w:rsidRPr="00265568" w:rsidRDefault="002A4706">
      <w:pPr>
        <w:pStyle w:val="Textpoznpodarou"/>
        <w:rPr>
          <w:rFonts w:eastAsia="Calibri"/>
          <w:szCs w:val="22"/>
          <w:lang w:eastAsia="ar-SA"/>
        </w:rPr>
      </w:pPr>
      <w:r>
        <w:rPr>
          <w:rStyle w:val="Znakapoznpodarou"/>
        </w:rPr>
        <w:footnoteRef/>
      </w:r>
      <w:r>
        <w:t xml:space="preserve"> Soudní dvůr: </w:t>
      </w:r>
      <w:r w:rsidRPr="006B1C11">
        <w:t>Roz</w:t>
      </w:r>
      <w:r>
        <w:t>.</w:t>
      </w:r>
      <w:r w:rsidRPr="006B1C11">
        <w:t xml:space="preserve"> ze dne</w:t>
      </w:r>
      <w:r>
        <w:t xml:space="preserve"> 28. června 2007,</w:t>
      </w:r>
      <w:r w:rsidRPr="006B1C11">
        <w:t xml:space="preserve"> </w:t>
      </w:r>
      <w:r>
        <w:rPr>
          <w:i/>
        </w:rPr>
        <w:t>K</w:t>
      </w:r>
      <w:r w:rsidRPr="006B1C11">
        <w:rPr>
          <w:i/>
        </w:rPr>
        <w:t>omise</w:t>
      </w:r>
      <w:r>
        <w:rPr>
          <w:i/>
        </w:rPr>
        <w:t xml:space="preserve"> v Španělsko</w:t>
      </w:r>
      <w:r w:rsidRPr="006B1C11">
        <w:t xml:space="preserve">, </w:t>
      </w:r>
      <w:r>
        <w:t>C-235/04,</w:t>
      </w:r>
      <w:r w:rsidRPr="006B1C11">
        <w:rPr>
          <w:rFonts w:ascii="Garamond" w:hAnsi="Garamond" w:cs="Garamond"/>
          <w:sz w:val="24"/>
          <w:szCs w:val="24"/>
        </w:rPr>
        <w:t xml:space="preserve"> </w:t>
      </w:r>
      <w:r w:rsidRPr="002A405A">
        <w:rPr>
          <w:rFonts w:eastAsia="Calibri"/>
          <w:szCs w:val="22"/>
          <w:lang w:eastAsia="ar-SA"/>
        </w:rPr>
        <w:t xml:space="preserve">Sb. </w:t>
      </w:r>
      <w:proofErr w:type="spellStart"/>
      <w:r w:rsidRPr="002A405A">
        <w:rPr>
          <w:rFonts w:eastAsia="Calibri"/>
          <w:szCs w:val="22"/>
          <w:lang w:eastAsia="ar-SA"/>
        </w:rPr>
        <w:t>rozh</w:t>
      </w:r>
      <w:proofErr w:type="spellEnd"/>
      <w:r w:rsidRPr="002A405A">
        <w:rPr>
          <w:rFonts w:eastAsia="Calibri"/>
          <w:szCs w:val="22"/>
          <w:lang w:eastAsia="ar-SA"/>
        </w:rPr>
        <w:t xml:space="preserve">. s. </w:t>
      </w:r>
      <w:r w:rsidRPr="00265568">
        <w:rPr>
          <w:rFonts w:eastAsia="Calibri"/>
          <w:szCs w:val="22"/>
          <w:lang w:eastAsia="ar-SA"/>
        </w:rPr>
        <w:t>I-05415</w:t>
      </w:r>
      <w:r w:rsidRPr="002A405A">
        <w:rPr>
          <w:rFonts w:eastAsia="Calibri"/>
          <w:szCs w:val="22"/>
          <w:lang w:eastAsia="ar-SA"/>
        </w:rPr>
        <w:t>, bod</w:t>
      </w:r>
      <w:r>
        <w:rPr>
          <w:rFonts w:eastAsia="Calibri"/>
          <w:szCs w:val="22"/>
          <w:lang w:eastAsia="ar-SA"/>
        </w:rPr>
        <w:t> 48</w:t>
      </w:r>
      <w:r w:rsidRPr="002A405A">
        <w:rPr>
          <w:rFonts w:eastAsia="Calibri"/>
          <w:szCs w:val="22"/>
          <w:lang w:eastAsia="ar-SA"/>
        </w:rPr>
        <w:t>.</w:t>
      </w:r>
    </w:p>
  </w:footnote>
  <w:footnote w:id="77">
    <w:p w:rsidR="002A4706" w:rsidRDefault="002A4706" w:rsidP="00E10E44">
      <w:pPr>
        <w:pStyle w:val="Odstavecseseznamem"/>
      </w:pPr>
      <w:r>
        <w:rPr>
          <w:rStyle w:val="Znakapoznpodarou"/>
        </w:rPr>
        <w:footnoteRef/>
      </w:r>
      <w:r>
        <w:t xml:space="preserve"> </w:t>
      </w:r>
      <w:r w:rsidRPr="00A25BFB">
        <w:t xml:space="preserve">TÝČ, Vladimír. </w:t>
      </w:r>
      <w:r w:rsidRPr="00A25BFB">
        <w:rPr>
          <w:i/>
        </w:rPr>
        <w:t>Základy práva Evropské unie pro ekonomy</w:t>
      </w:r>
      <w:r w:rsidRPr="00A25BFB">
        <w:t>. 4. vydání. Praha: Linde, 2004</w:t>
      </w:r>
      <w:r>
        <w:t>, s. 139.</w:t>
      </w:r>
    </w:p>
  </w:footnote>
  <w:footnote w:id="78">
    <w:p w:rsidR="002A4706" w:rsidRPr="005D430D" w:rsidRDefault="002A4706" w:rsidP="00E10E44">
      <w:pPr>
        <w:pStyle w:val="Odstavecseseznamem"/>
      </w:pPr>
      <w:r>
        <w:rPr>
          <w:rStyle w:val="Znakapoznpodarou"/>
        </w:rPr>
        <w:footnoteRef/>
      </w:r>
      <w:r>
        <w:t xml:space="preserve"> SVOBODA, Pavel. </w:t>
      </w:r>
      <w:r w:rsidRPr="005D430D">
        <w:rPr>
          <w:i/>
        </w:rPr>
        <w:t>Úvod do evropského práva</w:t>
      </w:r>
      <w:r w:rsidRPr="005D430D">
        <w:t>.</w:t>
      </w:r>
      <w:r>
        <w:t xml:space="preserve"> Praha: C. H. Beck, 2013, s. 124.</w:t>
      </w:r>
    </w:p>
  </w:footnote>
  <w:footnote w:id="79">
    <w:p w:rsidR="002A4706" w:rsidRDefault="002A4706" w:rsidP="00E10E44">
      <w:pPr>
        <w:pStyle w:val="Odstavecseseznamem"/>
      </w:pPr>
      <w:r>
        <w:rPr>
          <w:rStyle w:val="Znakapoznpodarou"/>
        </w:rPr>
        <w:footnoteRef/>
      </w:r>
      <w:r>
        <w:t xml:space="preserve"> </w:t>
      </w:r>
      <w:r w:rsidRPr="00A25BFB">
        <w:t xml:space="preserve">ŠLOSARČÍK, Ivo. </w:t>
      </w:r>
      <w:r w:rsidRPr="00A25BFB">
        <w:rPr>
          <w:i/>
        </w:rPr>
        <w:t>Evropský soudní dvůr a soudy členských států Evropské unie</w:t>
      </w:r>
      <w:r w:rsidRPr="00A25BFB">
        <w:t>. Pr</w:t>
      </w:r>
      <w:r>
        <w:t>aha: Justiční akademie ČR, 2005, s. 29.</w:t>
      </w:r>
    </w:p>
  </w:footnote>
  <w:footnote w:id="80">
    <w:p w:rsidR="002A4706" w:rsidRDefault="002A4706">
      <w:pPr>
        <w:pStyle w:val="Textpoznpodarou"/>
      </w:pPr>
      <w:r>
        <w:rPr>
          <w:rStyle w:val="Znakapoznpodarou"/>
        </w:rPr>
        <w:footnoteRef/>
      </w:r>
      <w:r>
        <w:t xml:space="preserve"> </w:t>
      </w:r>
      <w:r w:rsidRPr="00265568">
        <w:t xml:space="preserve">Soudní dvůr: Roz. ze dne </w:t>
      </w:r>
      <w:r>
        <w:t>14</w:t>
      </w:r>
      <w:r w:rsidRPr="00265568">
        <w:t xml:space="preserve">. </w:t>
      </w:r>
      <w:r>
        <w:t>února 1989</w:t>
      </w:r>
      <w:r w:rsidRPr="00265568">
        <w:t xml:space="preserve">, </w:t>
      </w:r>
      <w:r>
        <w:rPr>
          <w:i/>
        </w:rPr>
        <w:t>Komise</w:t>
      </w:r>
      <w:r w:rsidRPr="00A3455A">
        <w:rPr>
          <w:i/>
        </w:rPr>
        <w:t xml:space="preserve"> </w:t>
      </w:r>
      <w:r>
        <w:rPr>
          <w:i/>
        </w:rPr>
        <w:t xml:space="preserve">v Star </w:t>
      </w:r>
      <w:proofErr w:type="spellStart"/>
      <w:r>
        <w:rPr>
          <w:i/>
        </w:rPr>
        <w:t>Fruit</w:t>
      </w:r>
      <w:proofErr w:type="spellEnd"/>
      <w:r w:rsidRPr="00265568">
        <w:t xml:space="preserve">, </w:t>
      </w:r>
      <w:r>
        <w:t>C-247/87</w:t>
      </w:r>
      <w:r w:rsidRPr="00265568">
        <w:t xml:space="preserve">, Sb. </w:t>
      </w:r>
      <w:proofErr w:type="spellStart"/>
      <w:r w:rsidRPr="00265568">
        <w:t>rozh</w:t>
      </w:r>
      <w:proofErr w:type="spellEnd"/>
      <w:r w:rsidRPr="00265568">
        <w:t xml:space="preserve">. s. </w:t>
      </w:r>
      <w:r>
        <w:t>00291</w:t>
      </w:r>
      <w:r w:rsidRPr="00265568">
        <w:t>.</w:t>
      </w:r>
    </w:p>
  </w:footnote>
  <w:footnote w:id="81">
    <w:p w:rsidR="002A4706" w:rsidRDefault="002A4706">
      <w:pPr>
        <w:pStyle w:val="Textpoznpodarou"/>
      </w:pPr>
      <w:r>
        <w:rPr>
          <w:rStyle w:val="Znakapoznpodarou"/>
        </w:rPr>
        <w:footnoteRef/>
      </w:r>
      <w:r>
        <w:t xml:space="preserve"> </w:t>
      </w:r>
      <w:r w:rsidRPr="00265568">
        <w:t xml:space="preserve">Soudní dvůr: Roz. ze dne </w:t>
      </w:r>
      <w:r>
        <w:t>16. února 1998</w:t>
      </w:r>
      <w:r w:rsidRPr="00265568">
        <w:t xml:space="preserve">, </w:t>
      </w:r>
      <w:r w:rsidRPr="00265568">
        <w:rPr>
          <w:i/>
        </w:rPr>
        <w:t xml:space="preserve">Komise v </w:t>
      </w:r>
      <w:proofErr w:type="spellStart"/>
      <w:r>
        <w:rPr>
          <w:i/>
        </w:rPr>
        <w:t>Smanor</w:t>
      </w:r>
      <w:proofErr w:type="spellEnd"/>
      <w:r w:rsidRPr="00265568">
        <w:t xml:space="preserve">, </w:t>
      </w:r>
      <w:r w:rsidRPr="00A3455A">
        <w:t>T-182/97</w:t>
      </w:r>
      <w:r w:rsidRPr="00265568">
        <w:t xml:space="preserve">, Sb. </w:t>
      </w:r>
      <w:proofErr w:type="spellStart"/>
      <w:r w:rsidRPr="00265568">
        <w:t>rozh</w:t>
      </w:r>
      <w:proofErr w:type="spellEnd"/>
      <w:r w:rsidRPr="00265568">
        <w:t xml:space="preserve">. s. </w:t>
      </w:r>
      <w:r w:rsidRPr="00A3455A">
        <w:t>II-00271</w:t>
      </w:r>
      <w:r w:rsidRPr="00265568">
        <w:t>.</w:t>
      </w:r>
    </w:p>
  </w:footnote>
  <w:footnote w:id="82">
    <w:p w:rsidR="002A4706" w:rsidRDefault="002A4706" w:rsidP="00E10E44">
      <w:pPr>
        <w:pStyle w:val="Odstavecseseznamem"/>
      </w:pPr>
      <w:r>
        <w:rPr>
          <w:rStyle w:val="Znakapoznpodarou"/>
        </w:rPr>
        <w:footnoteRef/>
      </w:r>
      <w:r>
        <w:t xml:space="preserve"> </w:t>
      </w:r>
      <w:r w:rsidRPr="00F36008">
        <w:t xml:space="preserve">TOMÁŠEK, Michal, TÝČ, Vladimír a kol. </w:t>
      </w:r>
      <w:r w:rsidRPr="00F36008">
        <w:rPr>
          <w:i/>
        </w:rPr>
        <w:t>Právo Evropské unie</w:t>
      </w:r>
      <w:r w:rsidRPr="00F36008">
        <w:t xml:space="preserve">. Praha: </w:t>
      </w:r>
      <w:proofErr w:type="spellStart"/>
      <w:r w:rsidRPr="00F36008">
        <w:t>Leges</w:t>
      </w:r>
      <w:proofErr w:type="spellEnd"/>
      <w:r w:rsidRPr="00F36008">
        <w:t xml:space="preserve">, 2013, s. </w:t>
      </w:r>
      <w:r>
        <w:t>411</w:t>
      </w:r>
      <w:r w:rsidRPr="00F36008">
        <w:t>.</w:t>
      </w:r>
    </w:p>
  </w:footnote>
  <w:footnote w:id="83">
    <w:p w:rsidR="002A4706" w:rsidRDefault="002A4706" w:rsidP="00E10E44">
      <w:pPr>
        <w:pStyle w:val="Odstavecseseznamem"/>
      </w:pPr>
      <w:r>
        <w:rPr>
          <w:rStyle w:val="Znakapoznpodarou"/>
        </w:rPr>
        <w:footnoteRef/>
      </w:r>
      <w:r>
        <w:t xml:space="preserve"> </w:t>
      </w:r>
      <w:r w:rsidRPr="00F36008">
        <w:t xml:space="preserve">TOMÁŠEK, Michal, TÝČ, Vladimír a kol. </w:t>
      </w:r>
      <w:r w:rsidRPr="00F36008">
        <w:rPr>
          <w:i/>
        </w:rPr>
        <w:t>Právo Evropské unie</w:t>
      </w:r>
      <w:r w:rsidRPr="00F36008">
        <w:t xml:space="preserve">. Praha: </w:t>
      </w:r>
      <w:proofErr w:type="spellStart"/>
      <w:r w:rsidRPr="00F36008">
        <w:t>Leges</w:t>
      </w:r>
      <w:proofErr w:type="spellEnd"/>
      <w:r w:rsidRPr="00F36008">
        <w:t xml:space="preserve">, 2013, s. </w:t>
      </w:r>
      <w:r>
        <w:t>411.</w:t>
      </w:r>
    </w:p>
  </w:footnote>
  <w:footnote w:id="84">
    <w:p w:rsidR="002A4706" w:rsidRDefault="002A4706" w:rsidP="00E10E44">
      <w:pPr>
        <w:pStyle w:val="Odstavecseseznamem"/>
      </w:pPr>
      <w:r>
        <w:rPr>
          <w:rStyle w:val="Znakapoznpodarou"/>
        </w:rPr>
        <w:footnoteRef/>
      </w:r>
      <w:r>
        <w:t xml:space="preserve"> </w:t>
      </w:r>
      <w:r w:rsidRPr="00A25BFB">
        <w:t xml:space="preserve">ŠIŠKOVÁ, Naděžda, STEHLÍK, Václav. </w:t>
      </w:r>
      <w:r w:rsidRPr="00A25BFB">
        <w:rPr>
          <w:i/>
        </w:rPr>
        <w:t>Evropské právo I – Ústavní základy EU</w:t>
      </w:r>
      <w:r w:rsidRPr="00A25BFB">
        <w:t>. Praha: Linde, 2007</w:t>
      </w:r>
      <w:r>
        <w:t>, s. 203</w:t>
      </w:r>
      <w:r w:rsidRPr="00A25BFB">
        <w:t>.</w:t>
      </w:r>
    </w:p>
  </w:footnote>
  <w:footnote w:id="85">
    <w:p w:rsidR="002A4706" w:rsidRDefault="002A4706" w:rsidP="00E10E44">
      <w:pPr>
        <w:pStyle w:val="Odstavecseseznamem"/>
      </w:pPr>
      <w:r>
        <w:rPr>
          <w:rStyle w:val="Znakapoznpodarou"/>
        </w:rPr>
        <w:footnoteRef/>
      </w:r>
      <w:r>
        <w:t xml:space="preserve"> </w:t>
      </w:r>
      <w:r w:rsidRPr="00A25BFB">
        <w:t xml:space="preserve">ŠIŠKOVÁ, Naděžda, STEHLÍK, Václav. </w:t>
      </w:r>
      <w:r w:rsidRPr="00A25BFB">
        <w:rPr>
          <w:i/>
        </w:rPr>
        <w:t>Evropské právo I – Ústavní základy EU</w:t>
      </w:r>
      <w:r w:rsidRPr="00A25BFB">
        <w:t>. Praha: Linde, 2007</w:t>
      </w:r>
      <w:r>
        <w:t>, s. 203</w:t>
      </w:r>
      <w:r w:rsidRPr="00A25BFB">
        <w:t>.</w:t>
      </w:r>
    </w:p>
  </w:footnote>
  <w:footnote w:id="86">
    <w:p w:rsidR="002A4706" w:rsidRDefault="002A4706">
      <w:pPr>
        <w:pStyle w:val="Textpoznpodarou"/>
      </w:pPr>
      <w:r>
        <w:rPr>
          <w:rStyle w:val="Znakapoznpodarou"/>
        </w:rPr>
        <w:footnoteRef/>
      </w:r>
      <w:r>
        <w:t xml:space="preserve"> </w:t>
      </w:r>
      <w:r w:rsidRPr="00FE4B9A">
        <w:t xml:space="preserve">Soudní dvůr: Roz. ze dne </w:t>
      </w:r>
      <w:r>
        <w:t>17. května 1990</w:t>
      </w:r>
      <w:r w:rsidRPr="00FE4B9A">
        <w:t xml:space="preserve">, </w:t>
      </w:r>
      <w:r w:rsidRPr="00FE4B9A">
        <w:rPr>
          <w:i/>
        </w:rPr>
        <w:t>Komise v</w:t>
      </w:r>
      <w:r>
        <w:rPr>
          <w:i/>
        </w:rPr>
        <w:t> </w:t>
      </w:r>
      <w:proofErr w:type="spellStart"/>
      <w:r>
        <w:rPr>
          <w:i/>
        </w:rPr>
        <w:t>Sonito</w:t>
      </w:r>
      <w:proofErr w:type="spellEnd"/>
      <w:r>
        <w:rPr>
          <w:i/>
        </w:rPr>
        <w:t xml:space="preserve"> a další</w:t>
      </w:r>
      <w:r w:rsidRPr="00FE4B9A">
        <w:t xml:space="preserve">, </w:t>
      </w:r>
      <w:r>
        <w:t>C-87/89</w:t>
      </w:r>
      <w:r w:rsidRPr="00FE4B9A">
        <w:t xml:space="preserve">, Sb. </w:t>
      </w:r>
      <w:proofErr w:type="spellStart"/>
      <w:r w:rsidRPr="00FE4B9A">
        <w:t>rozh</w:t>
      </w:r>
      <w:proofErr w:type="spellEnd"/>
      <w:r w:rsidRPr="00FE4B9A">
        <w:t>. s. I-01981</w:t>
      </w:r>
      <w:r w:rsidRPr="00265568">
        <w:t>.</w:t>
      </w:r>
    </w:p>
  </w:footnote>
  <w:footnote w:id="87">
    <w:p w:rsidR="002A4706" w:rsidRDefault="002A4706" w:rsidP="00CC5DB5">
      <w:pPr>
        <w:pStyle w:val="Odstavecseseznamem"/>
      </w:pPr>
      <w:r>
        <w:rPr>
          <w:rStyle w:val="Znakapoznpodarou"/>
        </w:rPr>
        <w:footnoteRef/>
      </w:r>
      <w:r>
        <w:t xml:space="preserve"> </w:t>
      </w:r>
      <w:r w:rsidRPr="00E10E44">
        <w:t xml:space="preserve">ŠLOSARČÍK, Ivo. </w:t>
      </w:r>
      <w:r w:rsidRPr="00CC5DB5">
        <w:rPr>
          <w:i/>
        </w:rPr>
        <w:t>Evropský soudní dvůr a soudy členských států Evropské unie.</w:t>
      </w:r>
      <w:r w:rsidRPr="00E10E44">
        <w:t xml:space="preserve"> Praha: Justiční akademie ČR, 2005, s. 29-30.</w:t>
      </w:r>
    </w:p>
  </w:footnote>
  <w:footnote w:id="88">
    <w:p w:rsidR="002A4706" w:rsidRDefault="002A4706">
      <w:pPr>
        <w:pStyle w:val="Textpoznpodarou"/>
      </w:pPr>
      <w:r>
        <w:rPr>
          <w:rStyle w:val="Znakapoznpodarou"/>
        </w:rPr>
        <w:footnoteRef/>
      </w:r>
      <w:r>
        <w:t xml:space="preserve"> </w:t>
      </w:r>
      <w:r w:rsidRPr="00E10E44">
        <w:t>Žaloba podle čl. 260 odst. 3 SFEU, zavedená Lisabonskou smlouvou, může být i žalobou na plnění. Pokud to Komise považuje za vhodné, může navrhnout, aby byla členskému státu uložena povinnost platit paušální částku či penále.</w:t>
      </w:r>
      <w:r>
        <w:t xml:space="preserve"> - </w:t>
      </w:r>
      <w:r w:rsidRPr="00AC5D56">
        <w:t>Tichý, L. Evropské právo … s. 371</w:t>
      </w:r>
      <w:r>
        <w:t>.</w:t>
      </w:r>
    </w:p>
  </w:footnote>
  <w:footnote w:id="89">
    <w:p w:rsidR="002A4706" w:rsidRDefault="002A4706">
      <w:pPr>
        <w:pStyle w:val="Textpoznpodarou"/>
      </w:pPr>
      <w:r>
        <w:rPr>
          <w:rStyle w:val="Znakapoznpodarou"/>
        </w:rPr>
        <w:footnoteRef/>
      </w:r>
      <w:r>
        <w:t xml:space="preserve"> </w:t>
      </w:r>
      <w:r w:rsidRPr="00E10E44">
        <w:t xml:space="preserve">TICHÝ, Luboš a kol. </w:t>
      </w:r>
      <w:r w:rsidRPr="00CC5DB5">
        <w:rPr>
          <w:i/>
        </w:rPr>
        <w:t>Evropské právo</w:t>
      </w:r>
      <w:r w:rsidRPr="00E10E44">
        <w:t>. 4. vydání. Praha: C. H. Beck, 2011, s. 370.</w:t>
      </w:r>
    </w:p>
  </w:footnote>
  <w:footnote w:id="90">
    <w:p w:rsidR="002A4706" w:rsidRPr="00E10E44" w:rsidRDefault="002A4706" w:rsidP="00E10E44">
      <w:pPr>
        <w:pStyle w:val="Odstavecseseznamem"/>
      </w:pPr>
      <w:r w:rsidRPr="00E10E44">
        <w:rPr>
          <w:rStyle w:val="Znakapoznpodarou"/>
        </w:rPr>
        <w:footnoteRef/>
      </w:r>
      <w:r w:rsidRPr="00E10E44">
        <w:t xml:space="preserve"> TOMÁŠEK, Michal, TÝČ, Vladimír a kol. </w:t>
      </w:r>
      <w:r w:rsidRPr="00E10E44">
        <w:rPr>
          <w:i/>
        </w:rPr>
        <w:t>Právo Evropské unie</w:t>
      </w:r>
      <w:r w:rsidRPr="00E10E44">
        <w:t xml:space="preserve">. Praha: </w:t>
      </w:r>
      <w:proofErr w:type="spellStart"/>
      <w:r w:rsidRPr="00E10E44">
        <w:t>Leges</w:t>
      </w:r>
      <w:proofErr w:type="spellEnd"/>
      <w:r w:rsidRPr="00E10E44">
        <w:t>, 2013, s. 412.</w:t>
      </w:r>
    </w:p>
  </w:footnote>
  <w:footnote w:id="91">
    <w:p w:rsidR="002A4706" w:rsidRDefault="002A4706">
      <w:pPr>
        <w:pStyle w:val="Textpoznpodarou"/>
      </w:pPr>
      <w:r>
        <w:rPr>
          <w:rStyle w:val="Znakapoznpodarou"/>
        </w:rPr>
        <w:footnoteRef/>
      </w:r>
      <w:r>
        <w:t xml:space="preserve"> </w:t>
      </w:r>
      <w:r w:rsidRPr="00265568">
        <w:t xml:space="preserve">Soudní dvůr: Roz. ze dne </w:t>
      </w:r>
      <w:r>
        <w:t>9</w:t>
      </w:r>
      <w:r w:rsidRPr="00265568">
        <w:t>. červ</w:t>
      </w:r>
      <w:r>
        <w:t>ence</w:t>
      </w:r>
      <w:r w:rsidRPr="00265568">
        <w:t xml:space="preserve"> </w:t>
      </w:r>
      <w:r>
        <w:t>1970</w:t>
      </w:r>
      <w:r w:rsidRPr="00265568">
        <w:t xml:space="preserve">, </w:t>
      </w:r>
      <w:r w:rsidRPr="00265568">
        <w:rPr>
          <w:i/>
        </w:rPr>
        <w:t xml:space="preserve">Komise v </w:t>
      </w:r>
      <w:proofErr w:type="gramStart"/>
      <w:r>
        <w:rPr>
          <w:i/>
        </w:rPr>
        <w:t>Francie</w:t>
      </w:r>
      <w:proofErr w:type="gramEnd"/>
      <w:r w:rsidRPr="00265568">
        <w:t>, C-</w:t>
      </w:r>
      <w:r>
        <w:t>26</w:t>
      </w:r>
      <w:r w:rsidRPr="00265568">
        <w:t>/</w:t>
      </w:r>
      <w:r>
        <w:t>69</w:t>
      </w:r>
      <w:r w:rsidRPr="00265568">
        <w:t xml:space="preserve">, Sb. </w:t>
      </w:r>
      <w:proofErr w:type="spellStart"/>
      <w:r w:rsidRPr="00265568">
        <w:t>rozh</w:t>
      </w:r>
      <w:proofErr w:type="spellEnd"/>
      <w:r w:rsidRPr="00265568">
        <w:t xml:space="preserve">. s. </w:t>
      </w:r>
      <w:r>
        <w:t>00565</w:t>
      </w:r>
      <w:r w:rsidRPr="00265568">
        <w:t>.</w:t>
      </w:r>
    </w:p>
  </w:footnote>
  <w:footnote w:id="92">
    <w:p w:rsidR="002A4706" w:rsidRPr="00E10E44" w:rsidRDefault="002A4706" w:rsidP="00E10E44">
      <w:pPr>
        <w:pStyle w:val="Odstavecseseznamem"/>
      </w:pPr>
      <w:r w:rsidRPr="00E10E44">
        <w:rPr>
          <w:rStyle w:val="Znakapoznpodarou"/>
        </w:rPr>
        <w:footnoteRef/>
      </w:r>
      <w:r w:rsidRPr="00E10E44">
        <w:t xml:space="preserve"> TICHÝ, Luboš a kol. </w:t>
      </w:r>
      <w:r w:rsidRPr="00E10E44">
        <w:rPr>
          <w:i/>
        </w:rPr>
        <w:t>Evropské právo</w:t>
      </w:r>
      <w:r w:rsidRPr="00E10E44">
        <w:t>. 4. vydání. Praha: C. H. Beck, 2011, s. 371.</w:t>
      </w:r>
    </w:p>
  </w:footnote>
  <w:footnote w:id="93">
    <w:p w:rsidR="002A4706" w:rsidRDefault="002A4706">
      <w:pPr>
        <w:pStyle w:val="Textpoznpodarou"/>
      </w:pPr>
      <w:r>
        <w:rPr>
          <w:rStyle w:val="Znakapoznpodarou"/>
        </w:rPr>
        <w:footnoteRef/>
      </w:r>
      <w:r>
        <w:t xml:space="preserve"> </w:t>
      </w:r>
      <w:r w:rsidRPr="00E10E44">
        <w:t xml:space="preserve">ŠLOSARČÍK, Ivo. </w:t>
      </w:r>
      <w:r w:rsidRPr="00CC5DB5">
        <w:rPr>
          <w:i/>
        </w:rPr>
        <w:t>Evropský soudní dvůr a soudy členských států Evropské unie</w:t>
      </w:r>
      <w:r w:rsidRPr="00E10E44">
        <w:t>. Praha: Just</w:t>
      </w:r>
      <w:r>
        <w:t>iční akademie ČR, 2005, s. 32</w:t>
      </w:r>
      <w:r w:rsidRPr="00E10E44">
        <w:t>.</w:t>
      </w:r>
    </w:p>
  </w:footnote>
  <w:footnote w:id="94">
    <w:p w:rsidR="002A4706" w:rsidRPr="00E10E44" w:rsidRDefault="002A4706" w:rsidP="00E10E44">
      <w:pPr>
        <w:pStyle w:val="Odstavecseseznamem"/>
      </w:pPr>
      <w:r w:rsidRPr="00E10E44">
        <w:rPr>
          <w:rStyle w:val="Znakapoznpodarou"/>
        </w:rPr>
        <w:footnoteRef/>
      </w:r>
      <w:r w:rsidRPr="00E10E44">
        <w:t xml:space="preserve"> TOMÁŠEK, Michal, TÝČ, Vladimír a kol. </w:t>
      </w:r>
      <w:r w:rsidRPr="00E10E44">
        <w:rPr>
          <w:i/>
        </w:rPr>
        <w:t>Právo Evropské unie</w:t>
      </w:r>
      <w:r w:rsidRPr="00E10E44">
        <w:t xml:space="preserve">. Praha: </w:t>
      </w:r>
      <w:proofErr w:type="spellStart"/>
      <w:r w:rsidRPr="00E10E44">
        <w:t>Leges</w:t>
      </w:r>
      <w:proofErr w:type="spellEnd"/>
      <w:r w:rsidRPr="00E10E44">
        <w:t>, 2013, s. 412.</w:t>
      </w:r>
    </w:p>
  </w:footnote>
  <w:footnote w:id="95">
    <w:p w:rsidR="002A4706" w:rsidRPr="00E10E44" w:rsidRDefault="002A4706" w:rsidP="00E10E44">
      <w:pPr>
        <w:pStyle w:val="Odstavecseseznamem"/>
        <w:rPr>
          <w:szCs w:val="20"/>
        </w:rPr>
      </w:pPr>
      <w:r w:rsidRPr="00E10E44">
        <w:rPr>
          <w:rStyle w:val="Znakapoznpodarou"/>
        </w:rPr>
        <w:footnoteRef/>
      </w:r>
      <w:r w:rsidRPr="00E10E44">
        <w:t xml:space="preserve"> </w:t>
      </w:r>
      <w:r w:rsidRPr="00E10E44">
        <w:rPr>
          <w:szCs w:val="20"/>
        </w:rPr>
        <w:t xml:space="preserve">ŠLOSARČÍK, Ivo. </w:t>
      </w:r>
      <w:r w:rsidRPr="00CC5DB5">
        <w:rPr>
          <w:i/>
          <w:szCs w:val="20"/>
        </w:rPr>
        <w:t>Evropský soudní dvůr a soudy členských států Evropské unie</w:t>
      </w:r>
      <w:r w:rsidRPr="00E10E44">
        <w:rPr>
          <w:szCs w:val="20"/>
        </w:rPr>
        <w:t>. Praha: Justiční akademie ČR, 2005, s. 32.</w:t>
      </w:r>
    </w:p>
  </w:footnote>
  <w:footnote w:id="96">
    <w:p w:rsidR="002A4706" w:rsidRDefault="002A4706">
      <w:pPr>
        <w:pStyle w:val="Textpoznpodarou"/>
      </w:pPr>
      <w:r>
        <w:rPr>
          <w:rStyle w:val="Znakapoznpodarou"/>
        </w:rPr>
        <w:footnoteRef/>
      </w:r>
      <w:r>
        <w:t xml:space="preserve"> </w:t>
      </w:r>
      <w:r w:rsidRPr="00265568">
        <w:t xml:space="preserve">Soudní dvůr: Roz. ze dne </w:t>
      </w:r>
      <w:r>
        <w:t>10</w:t>
      </w:r>
      <w:r w:rsidRPr="00265568">
        <w:t xml:space="preserve">. </w:t>
      </w:r>
      <w:r>
        <w:t>prosince 1968</w:t>
      </w:r>
      <w:r w:rsidRPr="00265568">
        <w:t xml:space="preserve">, </w:t>
      </w:r>
      <w:r w:rsidRPr="00265568">
        <w:rPr>
          <w:i/>
        </w:rPr>
        <w:t xml:space="preserve">Komise v </w:t>
      </w:r>
      <w:proofErr w:type="gramStart"/>
      <w:r>
        <w:rPr>
          <w:i/>
        </w:rPr>
        <w:t>Itálie</w:t>
      </w:r>
      <w:proofErr w:type="gramEnd"/>
      <w:r w:rsidRPr="00265568">
        <w:t>, C-</w:t>
      </w:r>
      <w:r>
        <w:t>7</w:t>
      </w:r>
      <w:r w:rsidRPr="00265568">
        <w:t>/</w:t>
      </w:r>
      <w:r>
        <w:t>68</w:t>
      </w:r>
      <w:r w:rsidRPr="00265568">
        <w:t xml:space="preserve">, Sb. </w:t>
      </w:r>
      <w:proofErr w:type="spellStart"/>
      <w:r w:rsidRPr="00265568">
        <w:t>rozh</w:t>
      </w:r>
      <w:proofErr w:type="spellEnd"/>
      <w:r w:rsidRPr="00265568">
        <w:t xml:space="preserve">. s. </w:t>
      </w:r>
      <w:r>
        <w:t>00617</w:t>
      </w:r>
      <w:r w:rsidRPr="00265568">
        <w:t>.</w:t>
      </w:r>
    </w:p>
  </w:footnote>
  <w:footnote w:id="97">
    <w:p w:rsidR="002A4706" w:rsidRDefault="002A4706" w:rsidP="00E10E44">
      <w:pPr>
        <w:pStyle w:val="Odstavecseseznamem"/>
      </w:pPr>
      <w:r>
        <w:rPr>
          <w:rStyle w:val="Znakapoznpodarou"/>
        </w:rPr>
        <w:footnoteRef/>
      </w:r>
      <w:r>
        <w:t xml:space="preserve"> </w:t>
      </w:r>
      <w:r w:rsidRPr="00A25BFB">
        <w:t xml:space="preserve">TICHÝ, Luboš a kol. </w:t>
      </w:r>
      <w:r w:rsidRPr="00A25BFB">
        <w:rPr>
          <w:i/>
        </w:rPr>
        <w:t>Evropské právo</w:t>
      </w:r>
      <w:r w:rsidRPr="00A25BFB">
        <w:t xml:space="preserve">. </w:t>
      </w:r>
      <w:r>
        <w:t>4</w:t>
      </w:r>
      <w:r w:rsidRPr="00A25BFB">
        <w:t xml:space="preserve">. vydání. Praha: C. H. Beck, </w:t>
      </w:r>
      <w:r>
        <w:t>2011, s. 371</w:t>
      </w:r>
      <w:r w:rsidRPr="00A25BFB">
        <w:t>.</w:t>
      </w:r>
    </w:p>
  </w:footnote>
  <w:footnote w:id="98">
    <w:p w:rsidR="002A4706" w:rsidRDefault="002A4706" w:rsidP="00E10E44">
      <w:pPr>
        <w:pStyle w:val="Odstavecseseznamem"/>
      </w:pPr>
      <w:r>
        <w:rPr>
          <w:rStyle w:val="Znakapoznpodarou"/>
        </w:rPr>
        <w:footnoteRef/>
      </w:r>
      <w:r>
        <w:t xml:space="preserve"> </w:t>
      </w:r>
      <w:r w:rsidRPr="00A25BFB">
        <w:t xml:space="preserve">ŠIŠKOVÁ, Naděžda, STEHLÍK, Václav. </w:t>
      </w:r>
      <w:r w:rsidRPr="00A25BFB">
        <w:rPr>
          <w:i/>
        </w:rPr>
        <w:t>Evropské právo I – Ústavní základy EU</w:t>
      </w:r>
      <w:r w:rsidRPr="00A25BFB">
        <w:t>. Praha: Linde, 2007</w:t>
      </w:r>
      <w:r>
        <w:t>, s. 204</w:t>
      </w:r>
      <w:r w:rsidRPr="00A25BFB">
        <w:t>.</w:t>
      </w:r>
    </w:p>
  </w:footnote>
  <w:footnote w:id="99">
    <w:p w:rsidR="002A4706" w:rsidRDefault="002A4706">
      <w:pPr>
        <w:pStyle w:val="Textpoznpodarou"/>
      </w:pPr>
      <w:r>
        <w:rPr>
          <w:rStyle w:val="Znakapoznpodarou"/>
        </w:rPr>
        <w:footnoteRef/>
      </w:r>
      <w:r>
        <w:t xml:space="preserve"> </w:t>
      </w:r>
      <w:r w:rsidRPr="00265568">
        <w:t xml:space="preserve">Soudní dvůr: Roz. ze dne </w:t>
      </w:r>
      <w:r>
        <w:t>26</w:t>
      </w:r>
      <w:r w:rsidRPr="00265568">
        <w:t xml:space="preserve">. </w:t>
      </w:r>
      <w:r>
        <w:t>dubna 2005</w:t>
      </w:r>
      <w:r w:rsidRPr="00265568">
        <w:t xml:space="preserve">, </w:t>
      </w:r>
      <w:r w:rsidRPr="00265568">
        <w:rPr>
          <w:i/>
        </w:rPr>
        <w:t xml:space="preserve">Komise v </w:t>
      </w:r>
      <w:r>
        <w:rPr>
          <w:i/>
        </w:rPr>
        <w:t>Irsko</w:t>
      </w:r>
      <w:r w:rsidRPr="00265568">
        <w:t>, C-</w:t>
      </w:r>
      <w:r>
        <w:t>494</w:t>
      </w:r>
      <w:r w:rsidRPr="00265568">
        <w:t>/</w:t>
      </w:r>
      <w:r>
        <w:t>01</w:t>
      </w:r>
      <w:r w:rsidRPr="00265568">
        <w:t xml:space="preserve">, Sb. </w:t>
      </w:r>
      <w:proofErr w:type="spellStart"/>
      <w:r w:rsidRPr="00265568">
        <w:t>rozh</w:t>
      </w:r>
      <w:proofErr w:type="spellEnd"/>
      <w:r w:rsidRPr="00265568">
        <w:t xml:space="preserve">. s. </w:t>
      </w:r>
      <w:r>
        <w:t>I-03331</w:t>
      </w:r>
      <w:r w:rsidRPr="00265568">
        <w:t>.</w:t>
      </w:r>
    </w:p>
  </w:footnote>
  <w:footnote w:id="100">
    <w:p w:rsidR="002A4706" w:rsidRDefault="002A4706" w:rsidP="0014387E">
      <w:pPr>
        <w:pStyle w:val="Odstavecseseznamem"/>
      </w:pPr>
      <w:r>
        <w:rPr>
          <w:rStyle w:val="Znakapoznpodarou"/>
        </w:rPr>
        <w:footnoteRef/>
      </w:r>
      <w:r>
        <w:t xml:space="preserve"> </w:t>
      </w:r>
      <w:r w:rsidRPr="00E10E44">
        <w:t xml:space="preserve">TOMÁŠEK, Michal, TÝČ, Vladimír a kol. </w:t>
      </w:r>
      <w:r w:rsidRPr="00E10E44">
        <w:rPr>
          <w:i/>
        </w:rPr>
        <w:t>Právo Evropské unie</w:t>
      </w:r>
      <w:r w:rsidRPr="00E10E44">
        <w:t xml:space="preserve">. Praha: </w:t>
      </w:r>
      <w:proofErr w:type="spellStart"/>
      <w:r w:rsidRPr="00E10E44">
        <w:t>Leges</w:t>
      </w:r>
      <w:proofErr w:type="spellEnd"/>
      <w:r w:rsidRPr="00E10E44">
        <w:t xml:space="preserve">, 2013, s. </w:t>
      </w:r>
      <w:r>
        <w:t>413</w:t>
      </w:r>
      <w:r w:rsidRPr="00E10E44">
        <w:t>.</w:t>
      </w:r>
    </w:p>
  </w:footnote>
  <w:footnote w:id="101">
    <w:p w:rsidR="002A4706" w:rsidRDefault="002A4706" w:rsidP="00E10E44">
      <w:pPr>
        <w:pStyle w:val="Odstavecseseznamem"/>
      </w:pPr>
      <w:r>
        <w:rPr>
          <w:rStyle w:val="Znakapoznpodarou"/>
        </w:rPr>
        <w:footnoteRef/>
      </w:r>
      <w:r>
        <w:t xml:space="preserve"> </w:t>
      </w:r>
      <w:r w:rsidRPr="00A25BFB">
        <w:t xml:space="preserve">ŠIŠKOVÁ, Naděžda, STEHLÍK, Václav. </w:t>
      </w:r>
      <w:r w:rsidRPr="00A25BFB">
        <w:rPr>
          <w:i/>
        </w:rPr>
        <w:t>Evropské právo I – Ústavní základy EU</w:t>
      </w:r>
      <w:r w:rsidRPr="00A25BFB">
        <w:t>. Praha: Linde, 2007</w:t>
      </w:r>
      <w:r>
        <w:t>, s. 204-205</w:t>
      </w:r>
      <w:r w:rsidRPr="00A25BFB">
        <w:t>.</w:t>
      </w:r>
    </w:p>
  </w:footnote>
  <w:footnote w:id="102">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Praha: </w:t>
      </w:r>
      <w:proofErr w:type="spellStart"/>
      <w:r w:rsidRPr="00E10E44">
        <w:t>Leges</w:t>
      </w:r>
      <w:proofErr w:type="spellEnd"/>
      <w:r w:rsidRPr="00E10E44">
        <w:t xml:space="preserve">, 2013, s. </w:t>
      </w:r>
      <w:r>
        <w:t>413-414</w:t>
      </w:r>
      <w:r w:rsidRPr="00E10E44">
        <w:t>.</w:t>
      </w:r>
    </w:p>
  </w:footnote>
  <w:footnote w:id="103">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Praha: </w:t>
      </w:r>
      <w:proofErr w:type="spellStart"/>
      <w:r w:rsidRPr="00E10E44">
        <w:t>Leges</w:t>
      </w:r>
      <w:proofErr w:type="spellEnd"/>
      <w:r w:rsidRPr="00E10E44">
        <w:t xml:space="preserve">, 2013, s. </w:t>
      </w:r>
      <w:r>
        <w:t>414</w:t>
      </w:r>
      <w:r w:rsidRPr="00E10E44">
        <w:t>.</w:t>
      </w:r>
    </w:p>
  </w:footnote>
  <w:footnote w:id="104">
    <w:p w:rsidR="002A4706" w:rsidRDefault="002A4706">
      <w:pPr>
        <w:pStyle w:val="Textpoznpodarou"/>
      </w:pPr>
      <w:r>
        <w:rPr>
          <w:rStyle w:val="Znakapoznpodarou"/>
        </w:rPr>
        <w:footnoteRef/>
      </w:r>
      <w:r>
        <w:t xml:space="preserve"> </w:t>
      </w:r>
      <w:r w:rsidRPr="00AC5D56">
        <w:t>Článek 260 SFEU</w:t>
      </w:r>
      <w:r>
        <w:t>.</w:t>
      </w:r>
    </w:p>
  </w:footnote>
  <w:footnote w:id="105">
    <w:p w:rsidR="002A4706" w:rsidRDefault="002A4706" w:rsidP="00E87F9C">
      <w:pPr>
        <w:pStyle w:val="Odstavecseseznamem"/>
      </w:pPr>
      <w:r>
        <w:rPr>
          <w:rStyle w:val="Znakapoznpodarou"/>
        </w:rPr>
        <w:footnoteRef/>
      </w:r>
      <w:r>
        <w:t xml:space="preserve"> Před v</w:t>
      </w:r>
      <w:r w:rsidRPr="00E87F9C">
        <w:t>stup</w:t>
      </w:r>
      <w:r>
        <w:t>em</w:t>
      </w:r>
      <w:r w:rsidRPr="00E87F9C">
        <w:t xml:space="preserve"> Lisabonské smlouvy v platnost </w:t>
      </w:r>
      <w:r>
        <w:t>bylo nutné k</w:t>
      </w:r>
      <w:r w:rsidRPr="00E87F9C">
        <w:t xml:space="preserve"> podání žaloby vydání odůvodněného stanoviska ze strany Komise</w:t>
      </w:r>
      <w:r>
        <w:t>.</w:t>
      </w:r>
    </w:p>
  </w:footnote>
  <w:footnote w:id="106">
    <w:p w:rsidR="002A4706" w:rsidRDefault="002A4706" w:rsidP="00E87F9C">
      <w:pPr>
        <w:pStyle w:val="Odstavecseseznamem"/>
      </w:pPr>
      <w:r>
        <w:rPr>
          <w:rStyle w:val="Znakapoznpodarou"/>
        </w:rPr>
        <w:footnoteRef/>
      </w:r>
      <w:r>
        <w:t xml:space="preserve"> </w:t>
      </w:r>
      <w:r w:rsidRPr="00E10E44">
        <w:t xml:space="preserve">TOMÁŠEK, Michal, TÝČ, Vladimír a kol. </w:t>
      </w:r>
      <w:r w:rsidRPr="00E10E44">
        <w:rPr>
          <w:i/>
        </w:rPr>
        <w:t>Právo Evropské unie</w:t>
      </w:r>
      <w:r w:rsidRPr="00E10E44">
        <w:t xml:space="preserve">. Praha: </w:t>
      </w:r>
      <w:proofErr w:type="spellStart"/>
      <w:r w:rsidRPr="00E10E44">
        <w:t>Leges</w:t>
      </w:r>
      <w:proofErr w:type="spellEnd"/>
      <w:r w:rsidRPr="00E10E44">
        <w:t xml:space="preserve">, 2013, s. </w:t>
      </w:r>
      <w:r>
        <w:t>414-415</w:t>
      </w:r>
      <w:r w:rsidRPr="00E10E44">
        <w:t>.</w:t>
      </w:r>
    </w:p>
  </w:footnote>
  <w:footnote w:id="107">
    <w:p w:rsidR="002A4706" w:rsidRDefault="002A4706">
      <w:pPr>
        <w:pStyle w:val="Textpoznpodarou"/>
      </w:pPr>
      <w:r>
        <w:rPr>
          <w:rStyle w:val="Znakapoznpodarou"/>
        </w:rPr>
        <w:footnoteRef/>
      </w:r>
      <w:r>
        <w:t xml:space="preserve"> </w:t>
      </w:r>
      <w:r w:rsidRPr="00265568">
        <w:t xml:space="preserve">Soudní dvůr: Roz. ze dne </w:t>
      </w:r>
      <w:r>
        <w:t>9</w:t>
      </w:r>
      <w:r w:rsidRPr="00265568">
        <w:t xml:space="preserve">. </w:t>
      </w:r>
      <w:r>
        <w:t>prosince 2008</w:t>
      </w:r>
      <w:r w:rsidRPr="00265568">
        <w:t xml:space="preserve">, </w:t>
      </w:r>
      <w:r w:rsidRPr="00265568">
        <w:rPr>
          <w:i/>
        </w:rPr>
        <w:t xml:space="preserve">Komise v </w:t>
      </w:r>
      <w:proofErr w:type="gramStart"/>
      <w:r>
        <w:rPr>
          <w:i/>
        </w:rPr>
        <w:t>Francie</w:t>
      </w:r>
      <w:proofErr w:type="gramEnd"/>
      <w:r w:rsidRPr="00265568">
        <w:t>, C-</w:t>
      </w:r>
      <w:r>
        <w:t>121</w:t>
      </w:r>
      <w:r w:rsidRPr="00265568">
        <w:t>/</w:t>
      </w:r>
      <w:r>
        <w:t>07</w:t>
      </w:r>
      <w:r w:rsidRPr="00265568">
        <w:t xml:space="preserve">, Sb. </w:t>
      </w:r>
      <w:proofErr w:type="spellStart"/>
      <w:r w:rsidRPr="00265568">
        <w:t>rozh</w:t>
      </w:r>
      <w:proofErr w:type="spellEnd"/>
      <w:r w:rsidRPr="00265568">
        <w:t xml:space="preserve">. s. </w:t>
      </w:r>
      <w:r>
        <w:t>I-09159</w:t>
      </w:r>
      <w:r w:rsidRPr="00265568">
        <w:t>.</w:t>
      </w:r>
    </w:p>
  </w:footnote>
  <w:footnote w:id="108">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w:t>
      </w:r>
      <w:r>
        <w:t xml:space="preserve">Praha: </w:t>
      </w:r>
      <w:proofErr w:type="spellStart"/>
      <w:r>
        <w:t>Leges</w:t>
      </w:r>
      <w:proofErr w:type="spellEnd"/>
      <w:r>
        <w:t>, 2013, s. 415</w:t>
      </w:r>
      <w:r w:rsidRPr="00E10E44">
        <w:t>.</w:t>
      </w:r>
    </w:p>
  </w:footnote>
  <w:footnote w:id="109">
    <w:p w:rsidR="002A4706" w:rsidRDefault="002A4706">
      <w:pPr>
        <w:pStyle w:val="Textpoznpodarou"/>
      </w:pPr>
      <w:r>
        <w:rPr>
          <w:rStyle w:val="Znakapoznpodarou"/>
        </w:rPr>
        <w:footnoteRef/>
      </w:r>
      <w:r>
        <w:t xml:space="preserve"> N</w:t>
      </w:r>
      <w:r>
        <w:rPr>
          <w:rFonts w:cs="Arial"/>
          <w:color w:val="222222"/>
        </w:rPr>
        <w:t>ejčastěji bývá penále uloženo za každý den prodlení se splněním povinností z prvního odsuzujícího rozsudku.</w:t>
      </w:r>
    </w:p>
  </w:footnote>
  <w:footnote w:id="110">
    <w:p w:rsidR="002A4706" w:rsidRDefault="002A4706">
      <w:pPr>
        <w:pStyle w:val="Textpoznpodarou"/>
      </w:pPr>
      <w:r>
        <w:rPr>
          <w:rStyle w:val="Znakapoznpodarou"/>
        </w:rPr>
        <w:footnoteRef/>
      </w:r>
      <w:r>
        <w:t xml:space="preserve"> </w:t>
      </w:r>
      <w:r w:rsidRPr="00265568">
        <w:t xml:space="preserve">Soudní dvůr: Roz. ze dne </w:t>
      </w:r>
      <w:r>
        <w:t>14</w:t>
      </w:r>
      <w:r w:rsidRPr="00265568">
        <w:t xml:space="preserve">. </w:t>
      </w:r>
      <w:r>
        <w:t>března 2006</w:t>
      </w:r>
      <w:r w:rsidRPr="00265568">
        <w:t xml:space="preserve">, </w:t>
      </w:r>
      <w:r w:rsidRPr="00265568">
        <w:rPr>
          <w:i/>
        </w:rPr>
        <w:t xml:space="preserve">Komise v </w:t>
      </w:r>
      <w:proofErr w:type="gramStart"/>
      <w:r>
        <w:rPr>
          <w:i/>
        </w:rPr>
        <w:t>Francie</w:t>
      </w:r>
      <w:proofErr w:type="gramEnd"/>
      <w:r w:rsidRPr="00265568">
        <w:t>, C-</w:t>
      </w:r>
      <w:r>
        <w:t>0177</w:t>
      </w:r>
      <w:r w:rsidRPr="00265568">
        <w:t>/</w:t>
      </w:r>
      <w:r>
        <w:t>04</w:t>
      </w:r>
      <w:r w:rsidRPr="00265568">
        <w:t xml:space="preserve">, Sb. </w:t>
      </w:r>
      <w:proofErr w:type="spellStart"/>
      <w:r w:rsidRPr="00265568">
        <w:t>rozh</w:t>
      </w:r>
      <w:proofErr w:type="spellEnd"/>
      <w:r w:rsidRPr="00265568">
        <w:t xml:space="preserve">. s. </w:t>
      </w:r>
      <w:r>
        <w:t>I-02461</w:t>
      </w:r>
      <w:r w:rsidRPr="00265568">
        <w:t>.</w:t>
      </w:r>
    </w:p>
  </w:footnote>
  <w:footnote w:id="111">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w:t>
      </w:r>
      <w:r>
        <w:t xml:space="preserve">Praha: </w:t>
      </w:r>
      <w:proofErr w:type="spellStart"/>
      <w:r>
        <w:t>Leges</w:t>
      </w:r>
      <w:proofErr w:type="spellEnd"/>
      <w:r>
        <w:t>, 2013, s. 415</w:t>
      </w:r>
      <w:r w:rsidRPr="00E10E44">
        <w:t>.</w:t>
      </w:r>
    </w:p>
  </w:footnote>
  <w:footnote w:id="112">
    <w:p w:rsidR="002A4706" w:rsidRDefault="002A4706">
      <w:pPr>
        <w:pStyle w:val="Textpoznpodarou"/>
      </w:pPr>
      <w:r>
        <w:rPr>
          <w:rStyle w:val="Znakapoznpodarou"/>
        </w:rPr>
        <w:footnoteRef/>
      </w:r>
      <w:r>
        <w:t xml:space="preserve"> </w:t>
      </w:r>
      <w:r w:rsidRPr="005A71E7">
        <w:t>Článek 260 odst. 2 SFEU.</w:t>
      </w:r>
      <w:r>
        <w:t xml:space="preserve"> </w:t>
      </w:r>
    </w:p>
  </w:footnote>
  <w:footnote w:id="113">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w:t>
      </w:r>
      <w:r>
        <w:t xml:space="preserve">Praha: </w:t>
      </w:r>
      <w:proofErr w:type="spellStart"/>
      <w:r>
        <w:t>Leges</w:t>
      </w:r>
      <w:proofErr w:type="spellEnd"/>
      <w:r>
        <w:t>, 2013, s. 416.</w:t>
      </w:r>
    </w:p>
  </w:footnote>
  <w:footnote w:id="114">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w:t>
      </w:r>
      <w:r>
        <w:t xml:space="preserve">Praha: </w:t>
      </w:r>
      <w:proofErr w:type="spellStart"/>
      <w:r>
        <w:t>Leges</w:t>
      </w:r>
      <w:proofErr w:type="spellEnd"/>
      <w:r>
        <w:t>, 2013, s. 416</w:t>
      </w:r>
      <w:r w:rsidRPr="00E10E44">
        <w:t>.</w:t>
      </w:r>
    </w:p>
  </w:footnote>
  <w:footnote w:id="115">
    <w:p w:rsidR="002A4706" w:rsidRDefault="002A4706">
      <w:pPr>
        <w:pStyle w:val="Textpoznpodarou"/>
      </w:pPr>
      <w:r>
        <w:rPr>
          <w:rStyle w:val="Znakapoznpodarou"/>
        </w:rPr>
        <w:footnoteRef/>
      </w:r>
      <w:r>
        <w:t xml:space="preserve"> </w:t>
      </w:r>
      <w:r w:rsidRPr="00F07269">
        <w:rPr>
          <w:bCs/>
        </w:rPr>
        <w:t xml:space="preserve">Evropská Komise. </w:t>
      </w:r>
      <w:r w:rsidRPr="00F07269">
        <w:rPr>
          <w:bCs/>
          <w:i/>
        </w:rPr>
        <w:t>Sdělení Komise, Aktualizace údajů pro výpočet paušálních částek a penále, které Komise navrhuje Soudnímu dvoru v rámci řízení o nesplnění povinnosti.</w:t>
      </w:r>
      <w:r w:rsidRPr="00F07269">
        <w:rPr>
          <w:bCs/>
        </w:rPr>
        <w:t xml:space="preserve"> </w:t>
      </w:r>
      <w:proofErr w:type="spellStart"/>
      <w:r w:rsidRPr="00F07269">
        <w:rPr>
          <w:bCs/>
        </w:rPr>
        <w:t>Úř</w:t>
      </w:r>
      <w:proofErr w:type="spellEnd"/>
      <w:r w:rsidRPr="00F07269">
        <w:rPr>
          <w:bCs/>
        </w:rPr>
        <w:t xml:space="preserve">. </w:t>
      </w:r>
      <w:proofErr w:type="spellStart"/>
      <w:proofErr w:type="gramStart"/>
      <w:r w:rsidRPr="00F07269">
        <w:rPr>
          <w:bCs/>
        </w:rPr>
        <w:t>věst</w:t>
      </w:r>
      <w:proofErr w:type="spellEnd"/>
      <w:proofErr w:type="gramEnd"/>
      <w:r w:rsidRPr="00F07269">
        <w:rPr>
          <w:bCs/>
        </w:rPr>
        <w:t xml:space="preserve">. C(2013) 8101 </w:t>
      </w:r>
      <w:proofErr w:type="spellStart"/>
      <w:r w:rsidRPr="00F07269">
        <w:rPr>
          <w:bCs/>
        </w:rPr>
        <w:t>final</w:t>
      </w:r>
      <w:proofErr w:type="spellEnd"/>
      <w:r w:rsidRPr="00F07269">
        <w:rPr>
          <w:bCs/>
        </w:rPr>
        <w:t>, ze dne 21. 11. 2013, Brusel.</w:t>
      </w:r>
    </w:p>
  </w:footnote>
  <w:footnote w:id="116">
    <w:p w:rsidR="002A4706" w:rsidRDefault="002A4706">
      <w:pPr>
        <w:pStyle w:val="Textpoznpodarou"/>
      </w:pPr>
      <w:r>
        <w:rPr>
          <w:rStyle w:val="Znakapoznpodarou"/>
        </w:rPr>
        <w:footnoteRef/>
      </w:r>
      <w:r>
        <w:t xml:space="preserve"> </w:t>
      </w:r>
      <w:r>
        <w:rPr>
          <w:rFonts w:cs="Arial"/>
          <w:bCs/>
        </w:rPr>
        <w:t>Evro</w:t>
      </w:r>
      <w:r w:rsidRPr="005A71E7">
        <w:rPr>
          <w:rFonts w:cs="Arial"/>
          <w:bCs/>
        </w:rPr>
        <w:t>p</w:t>
      </w:r>
      <w:r>
        <w:rPr>
          <w:rFonts w:cs="Arial"/>
          <w:bCs/>
        </w:rPr>
        <w:t>s</w:t>
      </w:r>
      <w:r w:rsidRPr="005A71E7">
        <w:rPr>
          <w:rFonts w:cs="Arial"/>
          <w:bCs/>
        </w:rPr>
        <w:t xml:space="preserve">ká Komise. </w:t>
      </w:r>
      <w:r w:rsidRPr="005A71E7">
        <w:rPr>
          <w:rFonts w:cs="Arial"/>
          <w:bCs/>
          <w:i/>
        </w:rPr>
        <w:t>Sdělení Komise, Aktualizace údajů pro výpočet paušálních částek a penále, které Komise navrhuje Soudnímu dvoru v rámci řízení o nesplnění povinnosti.</w:t>
      </w:r>
      <w:r>
        <w:rPr>
          <w:rFonts w:cs="Arial"/>
          <w:bCs/>
        </w:rPr>
        <w:t xml:space="preserve"> </w:t>
      </w:r>
      <w:proofErr w:type="spellStart"/>
      <w:r>
        <w:rPr>
          <w:rFonts w:cs="Arial"/>
          <w:bCs/>
        </w:rPr>
        <w:t>Úř</w:t>
      </w:r>
      <w:proofErr w:type="spellEnd"/>
      <w:r>
        <w:rPr>
          <w:rFonts w:cs="Arial"/>
          <w:bCs/>
        </w:rPr>
        <w:t xml:space="preserve">. </w:t>
      </w:r>
      <w:proofErr w:type="spellStart"/>
      <w:proofErr w:type="gramStart"/>
      <w:r>
        <w:rPr>
          <w:rFonts w:cs="Arial"/>
          <w:bCs/>
        </w:rPr>
        <w:t>věst</w:t>
      </w:r>
      <w:proofErr w:type="spellEnd"/>
      <w:proofErr w:type="gramEnd"/>
      <w:r>
        <w:rPr>
          <w:rFonts w:cs="Arial"/>
          <w:bCs/>
        </w:rPr>
        <w:t xml:space="preserve">. C(2013) 8101 </w:t>
      </w:r>
      <w:proofErr w:type="spellStart"/>
      <w:r>
        <w:rPr>
          <w:rFonts w:cs="Arial"/>
          <w:bCs/>
        </w:rPr>
        <w:t>final</w:t>
      </w:r>
      <w:proofErr w:type="spellEnd"/>
      <w:r>
        <w:rPr>
          <w:rFonts w:cs="Arial"/>
          <w:bCs/>
        </w:rPr>
        <w:t>, ze dne 21. 11. 2013, Brusel.</w:t>
      </w:r>
    </w:p>
  </w:footnote>
  <w:footnote w:id="117">
    <w:p w:rsidR="002A4706" w:rsidRDefault="002A4706">
      <w:pPr>
        <w:pStyle w:val="Textpoznpodarou"/>
      </w:pPr>
      <w:r>
        <w:rPr>
          <w:rStyle w:val="Znakapoznpodarou"/>
        </w:rPr>
        <w:footnoteRef/>
      </w:r>
      <w:r>
        <w:t xml:space="preserve"> </w:t>
      </w:r>
      <w:r w:rsidRPr="00265568">
        <w:t xml:space="preserve">Soudní dvůr: Roz. ze dne </w:t>
      </w:r>
      <w:r>
        <w:t>12</w:t>
      </w:r>
      <w:r w:rsidRPr="00265568">
        <w:t xml:space="preserve">. </w:t>
      </w:r>
      <w:r>
        <w:t>července 2005</w:t>
      </w:r>
      <w:r w:rsidRPr="00265568">
        <w:t xml:space="preserve">, </w:t>
      </w:r>
      <w:r w:rsidRPr="00265568">
        <w:rPr>
          <w:i/>
        </w:rPr>
        <w:t xml:space="preserve">Komise v </w:t>
      </w:r>
      <w:proofErr w:type="gramStart"/>
      <w:r>
        <w:rPr>
          <w:i/>
        </w:rPr>
        <w:t>Francie</w:t>
      </w:r>
      <w:proofErr w:type="gramEnd"/>
      <w:r w:rsidRPr="00265568">
        <w:t>, C-</w:t>
      </w:r>
      <w:r>
        <w:t>304</w:t>
      </w:r>
      <w:r w:rsidRPr="00265568">
        <w:t>/</w:t>
      </w:r>
      <w:r>
        <w:t>02</w:t>
      </w:r>
      <w:r w:rsidRPr="00265568">
        <w:t xml:space="preserve">, Sb. </w:t>
      </w:r>
      <w:proofErr w:type="spellStart"/>
      <w:r w:rsidRPr="00265568">
        <w:t>rozh</w:t>
      </w:r>
      <w:proofErr w:type="spellEnd"/>
      <w:r w:rsidRPr="00265568">
        <w:t xml:space="preserve">. s. </w:t>
      </w:r>
      <w:r>
        <w:t>I-06263</w:t>
      </w:r>
      <w:r w:rsidRPr="00265568">
        <w:t>.</w:t>
      </w:r>
    </w:p>
  </w:footnote>
  <w:footnote w:id="118">
    <w:p w:rsidR="002A4706" w:rsidRDefault="002A4706" w:rsidP="006561FD">
      <w:pPr>
        <w:pStyle w:val="Odstavecseseznamem"/>
      </w:pPr>
      <w:r>
        <w:rPr>
          <w:rStyle w:val="Znakapoznpodarou"/>
        </w:rPr>
        <w:footnoteRef/>
      </w:r>
      <w:r>
        <w:t xml:space="preserve"> </w:t>
      </w:r>
      <w:r w:rsidRPr="00A25BFB">
        <w:t xml:space="preserve">ŠLOSARČÍK, Ivo. </w:t>
      </w:r>
      <w:r w:rsidRPr="00A25BFB">
        <w:rPr>
          <w:i/>
        </w:rPr>
        <w:t>Evropský soudní dvůr a soudy členských států Evropské unie</w:t>
      </w:r>
      <w:r w:rsidRPr="00A25BFB">
        <w:t>. Pr</w:t>
      </w:r>
      <w:r>
        <w:t>aha: Justiční akademie ČR, 2005, s. 42</w:t>
      </w:r>
    </w:p>
  </w:footnote>
  <w:footnote w:id="119">
    <w:p w:rsidR="002A4706" w:rsidRDefault="002A4706">
      <w:pPr>
        <w:pStyle w:val="Textpoznpodarou"/>
      </w:pPr>
      <w:r>
        <w:rPr>
          <w:rStyle w:val="Znakapoznpodarou"/>
        </w:rPr>
        <w:footnoteRef/>
      </w:r>
      <w:r>
        <w:t xml:space="preserve"> </w:t>
      </w:r>
      <w:r w:rsidRPr="00265568">
        <w:t xml:space="preserve">Soudní dvůr: Roz. ze dne </w:t>
      </w:r>
      <w:r>
        <w:t>9</w:t>
      </w:r>
      <w:r w:rsidRPr="00265568">
        <w:t xml:space="preserve">. </w:t>
      </w:r>
      <w:r>
        <w:t>prosince 2008</w:t>
      </w:r>
      <w:r w:rsidRPr="00265568">
        <w:t xml:space="preserve">, </w:t>
      </w:r>
      <w:r w:rsidRPr="00265568">
        <w:rPr>
          <w:i/>
        </w:rPr>
        <w:t xml:space="preserve">Komise v </w:t>
      </w:r>
      <w:proofErr w:type="gramStart"/>
      <w:r>
        <w:rPr>
          <w:i/>
        </w:rPr>
        <w:t>Francie</w:t>
      </w:r>
      <w:proofErr w:type="gramEnd"/>
      <w:r w:rsidRPr="00265568">
        <w:t>, C-</w:t>
      </w:r>
      <w:r>
        <w:t>121</w:t>
      </w:r>
      <w:r w:rsidRPr="00265568">
        <w:t>/</w:t>
      </w:r>
      <w:r>
        <w:t>07</w:t>
      </w:r>
      <w:r w:rsidRPr="00265568">
        <w:t xml:space="preserve">, Sb. </w:t>
      </w:r>
      <w:proofErr w:type="spellStart"/>
      <w:r w:rsidRPr="00265568">
        <w:t>rozh</w:t>
      </w:r>
      <w:proofErr w:type="spellEnd"/>
      <w:r w:rsidRPr="00265568">
        <w:t xml:space="preserve">. s. </w:t>
      </w:r>
      <w:r>
        <w:t>I-09159</w:t>
      </w:r>
      <w:r w:rsidRPr="00265568">
        <w:t>.</w:t>
      </w:r>
    </w:p>
  </w:footnote>
  <w:footnote w:id="120">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w:t>
      </w:r>
      <w:r>
        <w:t xml:space="preserve">Praha: </w:t>
      </w:r>
      <w:proofErr w:type="spellStart"/>
      <w:r>
        <w:t>Leges</w:t>
      </w:r>
      <w:proofErr w:type="spellEnd"/>
      <w:r>
        <w:t>, 2013, s. 416</w:t>
      </w:r>
      <w:r w:rsidRPr="00E10E44">
        <w:t>.</w:t>
      </w:r>
    </w:p>
  </w:footnote>
  <w:footnote w:id="121">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w:t>
      </w:r>
      <w:r>
        <w:t xml:space="preserve">Praha: </w:t>
      </w:r>
      <w:proofErr w:type="spellStart"/>
      <w:r>
        <w:t>Leges</w:t>
      </w:r>
      <w:proofErr w:type="spellEnd"/>
      <w:r>
        <w:t>, 2013, s. 416-417</w:t>
      </w:r>
      <w:r w:rsidRPr="00E10E44">
        <w:t>.</w:t>
      </w:r>
    </w:p>
  </w:footnote>
  <w:footnote w:id="122">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w:t>
      </w:r>
      <w:r>
        <w:t xml:space="preserve">Praha: </w:t>
      </w:r>
      <w:proofErr w:type="spellStart"/>
      <w:r>
        <w:t>Leges</w:t>
      </w:r>
      <w:proofErr w:type="spellEnd"/>
      <w:r>
        <w:t>, 2013, s. 417</w:t>
      </w:r>
      <w:r w:rsidRPr="00E10E44">
        <w:t>.</w:t>
      </w:r>
    </w:p>
  </w:footnote>
  <w:footnote w:id="123">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429.</w:t>
      </w:r>
    </w:p>
  </w:footnote>
  <w:footnote w:id="124">
    <w:p w:rsidR="002A4706" w:rsidRDefault="002A4706" w:rsidP="00BF430C">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Praha: </w:t>
      </w:r>
      <w:proofErr w:type="spellStart"/>
      <w:r w:rsidRPr="00E10E44">
        <w:t>Leges</w:t>
      </w:r>
      <w:proofErr w:type="spellEnd"/>
      <w:r w:rsidRPr="00E10E44">
        <w:t xml:space="preserve">, 2013, s. </w:t>
      </w:r>
      <w:r>
        <w:t>414</w:t>
      </w:r>
      <w:r w:rsidRPr="00E10E44">
        <w:t>.</w:t>
      </w:r>
    </w:p>
  </w:footnote>
  <w:footnote w:id="125">
    <w:p w:rsidR="002A4706" w:rsidRDefault="002A4706">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Praha: </w:t>
      </w:r>
      <w:proofErr w:type="spellStart"/>
      <w:r w:rsidRPr="00E10E44">
        <w:t>Leges</w:t>
      </w:r>
      <w:proofErr w:type="spellEnd"/>
      <w:r w:rsidRPr="00E10E44">
        <w:t xml:space="preserve">, 2013, s. </w:t>
      </w:r>
      <w:r>
        <w:t>416</w:t>
      </w:r>
      <w:r w:rsidRPr="00E10E44">
        <w:t>.</w:t>
      </w:r>
    </w:p>
  </w:footnote>
  <w:footnote w:id="126">
    <w:p w:rsidR="002A4706" w:rsidRDefault="002A4706" w:rsidP="004E31D9">
      <w:pPr>
        <w:pStyle w:val="Textpoznpodarou"/>
      </w:pPr>
      <w:r>
        <w:rPr>
          <w:rStyle w:val="Znakapoznpodarou"/>
        </w:rPr>
        <w:footnoteRef/>
      </w:r>
      <w:r>
        <w:t xml:space="preserve"> </w:t>
      </w:r>
      <w:r w:rsidRPr="00E10E44">
        <w:t xml:space="preserve">TOMÁŠEK, Michal, TÝČ, Vladimír a kol. </w:t>
      </w:r>
      <w:r w:rsidRPr="00E10E44">
        <w:rPr>
          <w:i/>
        </w:rPr>
        <w:t>Právo Evropské unie</w:t>
      </w:r>
      <w:r w:rsidRPr="00E10E44">
        <w:t xml:space="preserve">. Praha: </w:t>
      </w:r>
      <w:proofErr w:type="spellStart"/>
      <w:r w:rsidRPr="00E10E44">
        <w:t>Leges</w:t>
      </w:r>
      <w:proofErr w:type="spellEnd"/>
      <w:r w:rsidRPr="00E10E44">
        <w:t xml:space="preserve">, 2013, s. </w:t>
      </w:r>
      <w:r>
        <w:t>414</w:t>
      </w:r>
      <w:r w:rsidRPr="00E10E44">
        <w:t>.</w:t>
      </w:r>
    </w:p>
  </w:footnote>
  <w:footnote w:id="127">
    <w:p w:rsidR="002A4706" w:rsidRDefault="002A4706" w:rsidP="00E10E44">
      <w:pPr>
        <w:pStyle w:val="Odstavecseseznamem"/>
      </w:pPr>
      <w:r>
        <w:rPr>
          <w:rStyle w:val="Znakapoznpodarou"/>
        </w:rPr>
        <w:footnoteRef/>
      </w:r>
      <w:r w:rsidRPr="00A25BFB">
        <w:t xml:space="preserve">ŠIŠKOVÁ, Naděžda, STEHLÍK, Václav. </w:t>
      </w:r>
      <w:r w:rsidRPr="00A25BFB">
        <w:rPr>
          <w:i/>
        </w:rPr>
        <w:t>Evropské právo I – Ústavní základy EU</w:t>
      </w:r>
      <w:r w:rsidRPr="00A25BFB">
        <w:t>. Praha: Linde, 2007</w:t>
      </w:r>
      <w:r>
        <w:t>, s. 200.</w:t>
      </w:r>
    </w:p>
  </w:footnote>
  <w:footnote w:id="128">
    <w:p w:rsidR="002A4706" w:rsidRDefault="002A4706">
      <w:pPr>
        <w:pStyle w:val="Textpoznpodarou"/>
      </w:pPr>
      <w:r>
        <w:rPr>
          <w:rStyle w:val="Znakapoznpodarou"/>
        </w:rPr>
        <w:footnoteRef/>
      </w:r>
      <w:r>
        <w:t xml:space="preserve"> </w:t>
      </w:r>
      <w:r w:rsidRPr="00265568">
        <w:t xml:space="preserve">Soudní dvůr: Roz. ze dne </w:t>
      </w:r>
      <w:r>
        <w:t>26</w:t>
      </w:r>
      <w:r w:rsidRPr="00265568">
        <w:t xml:space="preserve">. </w:t>
      </w:r>
      <w:r>
        <w:t>února 1976</w:t>
      </w:r>
      <w:r w:rsidRPr="00265568">
        <w:t xml:space="preserve">, </w:t>
      </w:r>
      <w:r w:rsidRPr="00265568">
        <w:rPr>
          <w:i/>
        </w:rPr>
        <w:t xml:space="preserve">Komise v </w:t>
      </w:r>
      <w:proofErr w:type="gramStart"/>
      <w:r>
        <w:rPr>
          <w:i/>
        </w:rPr>
        <w:t>Itálie</w:t>
      </w:r>
      <w:proofErr w:type="gramEnd"/>
      <w:r w:rsidRPr="00265568">
        <w:t>, C-</w:t>
      </w:r>
      <w:r>
        <w:t>52</w:t>
      </w:r>
      <w:r w:rsidRPr="00265568">
        <w:t>/</w:t>
      </w:r>
      <w:r>
        <w:t>75</w:t>
      </w:r>
      <w:r w:rsidRPr="00265568">
        <w:t xml:space="preserve">, Sb. </w:t>
      </w:r>
      <w:proofErr w:type="spellStart"/>
      <w:r w:rsidRPr="00265568">
        <w:t>rozh</w:t>
      </w:r>
      <w:proofErr w:type="spellEnd"/>
      <w:r w:rsidRPr="00265568">
        <w:t xml:space="preserve">. s. </w:t>
      </w:r>
      <w:r>
        <w:t>00277</w:t>
      </w:r>
      <w:r w:rsidRPr="00265568">
        <w:t>.</w:t>
      </w:r>
    </w:p>
  </w:footnote>
  <w:footnote w:id="129">
    <w:p w:rsidR="002A4706" w:rsidRDefault="002A4706" w:rsidP="00E10E44">
      <w:pPr>
        <w:pStyle w:val="Odstavecseseznamem"/>
      </w:pPr>
      <w:r>
        <w:rPr>
          <w:rStyle w:val="Znakapoznpodarou"/>
        </w:rPr>
        <w:footnoteRef/>
      </w:r>
      <w:r>
        <w:rPr>
          <w:rFonts w:cs="Arial"/>
          <w:szCs w:val="20"/>
        </w:rPr>
        <w:t xml:space="preserve"> </w:t>
      </w:r>
      <w:r w:rsidRPr="00A25BFB">
        <w:rPr>
          <w:rFonts w:cs="Arial"/>
          <w:szCs w:val="20"/>
        </w:rPr>
        <w:t xml:space="preserve">SYLLOVÁ, Jindřiška, PÍTROVÁ, Lenka, PALDUSOVÁ, Helena a kol. </w:t>
      </w:r>
      <w:r w:rsidRPr="00A25BFB">
        <w:rPr>
          <w:rFonts w:cs="Arial"/>
          <w:i/>
          <w:szCs w:val="20"/>
        </w:rPr>
        <w:t>Lisabonská smlouva, komentář</w:t>
      </w:r>
      <w:r w:rsidRPr="00A25BFB">
        <w:rPr>
          <w:rFonts w:cs="Arial"/>
          <w:szCs w:val="20"/>
        </w:rPr>
        <w:t>. Praha: C. H. Beck, 2010</w:t>
      </w:r>
      <w:r>
        <w:rPr>
          <w:rFonts w:cs="Arial"/>
          <w:szCs w:val="20"/>
        </w:rPr>
        <w:t>, s. 822</w:t>
      </w:r>
      <w:r w:rsidRPr="00A25BFB">
        <w:rPr>
          <w:rFonts w:cs="Arial"/>
          <w:szCs w:val="20"/>
        </w:rPr>
        <w:t>.</w:t>
      </w:r>
    </w:p>
  </w:footnote>
  <w:footnote w:id="130">
    <w:p w:rsidR="002A4706" w:rsidRDefault="002A4706" w:rsidP="00E10E44">
      <w:pPr>
        <w:pStyle w:val="Odstavecseseznamem"/>
      </w:pPr>
      <w:r>
        <w:rPr>
          <w:rStyle w:val="Znakapoznpodarou"/>
        </w:rPr>
        <w:footnoteRef/>
      </w:r>
      <w:r>
        <w:t xml:space="preserve"> </w:t>
      </w:r>
      <w:r w:rsidRPr="00A25BFB">
        <w:t xml:space="preserve">CRAIG, Paul, DE BÚRCA, </w:t>
      </w:r>
      <w:proofErr w:type="spellStart"/>
      <w:r w:rsidRPr="00A25BFB">
        <w:t>Gráinne</w:t>
      </w:r>
      <w:proofErr w:type="spellEnd"/>
      <w:r w:rsidRPr="00A25BFB">
        <w:t xml:space="preserve">. </w:t>
      </w:r>
      <w:r w:rsidRPr="00A25BFB">
        <w:rPr>
          <w:i/>
        </w:rPr>
        <w:t xml:space="preserve">EU </w:t>
      </w:r>
      <w:proofErr w:type="spellStart"/>
      <w:r w:rsidRPr="00A25BFB">
        <w:rPr>
          <w:i/>
        </w:rPr>
        <w:t>law</w:t>
      </w:r>
      <w:proofErr w:type="spellEnd"/>
      <w:r w:rsidRPr="00A25BFB">
        <w:rPr>
          <w:i/>
        </w:rPr>
        <w:t xml:space="preserve">: Text, </w:t>
      </w:r>
      <w:proofErr w:type="spellStart"/>
      <w:r w:rsidRPr="00A25BFB">
        <w:rPr>
          <w:i/>
        </w:rPr>
        <w:t>cases</w:t>
      </w:r>
      <w:proofErr w:type="spellEnd"/>
      <w:r w:rsidRPr="00A25BFB">
        <w:rPr>
          <w:i/>
        </w:rPr>
        <w:t xml:space="preserve"> </w:t>
      </w:r>
      <w:proofErr w:type="spellStart"/>
      <w:r w:rsidRPr="00A25BFB">
        <w:rPr>
          <w:i/>
        </w:rPr>
        <w:t>and</w:t>
      </w:r>
      <w:proofErr w:type="spellEnd"/>
      <w:r w:rsidRPr="00A25BFB">
        <w:rPr>
          <w:i/>
        </w:rPr>
        <w:t xml:space="preserve"> </w:t>
      </w:r>
      <w:proofErr w:type="spellStart"/>
      <w:r w:rsidRPr="00A25BFB">
        <w:rPr>
          <w:i/>
        </w:rPr>
        <w:t>materials</w:t>
      </w:r>
      <w:proofErr w:type="spellEnd"/>
      <w:r w:rsidRPr="00A25BFB">
        <w:t xml:space="preserve">. 4. Vydání. New York: Oxford University </w:t>
      </w:r>
      <w:proofErr w:type="spellStart"/>
      <w:r w:rsidRPr="00A25BFB">
        <w:t>Press</w:t>
      </w:r>
      <w:proofErr w:type="spellEnd"/>
      <w:r w:rsidRPr="00A25BFB">
        <w:t>, 2008</w:t>
      </w:r>
      <w:r>
        <w:t>, s. 428.</w:t>
      </w:r>
    </w:p>
  </w:footnote>
  <w:footnote w:id="131">
    <w:p w:rsidR="00CB413E" w:rsidRDefault="00CB413E">
      <w:pPr>
        <w:pStyle w:val="Textpoznpodarou"/>
      </w:pPr>
      <w:r>
        <w:rPr>
          <w:rStyle w:val="Znakapoznpodarou"/>
        </w:rPr>
        <w:footnoteRef/>
      </w:r>
      <w:r>
        <w:t xml:space="preserve"> </w:t>
      </w:r>
      <w:r w:rsidRPr="00CB413E">
        <w:t xml:space="preserve">DAVID, Vladislav, SLADKÝ, Pavel, ZBOŘIL, František. </w:t>
      </w:r>
      <w:r w:rsidRPr="00CB413E">
        <w:rPr>
          <w:i/>
        </w:rPr>
        <w:t>Mezinárodní právo veřejné s </w:t>
      </w:r>
      <w:proofErr w:type="spellStart"/>
      <w:r w:rsidRPr="00CB413E">
        <w:rPr>
          <w:i/>
        </w:rPr>
        <w:t>kauzuistikou</w:t>
      </w:r>
      <w:proofErr w:type="spellEnd"/>
      <w:r w:rsidRPr="00CB413E">
        <w:rPr>
          <w:i/>
        </w:rPr>
        <w:t xml:space="preserve">. </w:t>
      </w:r>
      <w:r w:rsidRPr="00CB413E">
        <w:t xml:space="preserve">1. vydání. Praha: </w:t>
      </w:r>
      <w:proofErr w:type="spellStart"/>
      <w:r w:rsidRPr="00CB413E">
        <w:t>Leges</w:t>
      </w:r>
      <w:proofErr w:type="spellEnd"/>
      <w:r w:rsidRPr="00CB413E">
        <w:t>, 2008, s.</w:t>
      </w:r>
      <w:r>
        <w:t xml:space="preserve"> 328-329.</w:t>
      </w:r>
      <w:r w:rsidRPr="00CB413E">
        <w:t xml:space="preserve"> </w:t>
      </w:r>
    </w:p>
  </w:footnote>
  <w:footnote w:id="132">
    <w:p w:rsidR="00CB413E" w:rsidRDefault="00CB413E">
      <w:pPr>
        <w:pStyle w:val="Textpoznpodarou"/>
      </w:pPr>
      <w:r>
        <w:rPr>
          <w:rStyle w:val="Znakapoznpodarou"/>
        </w:rPr>
        <w:footnoteRef/>
      </w:r>
      <w:r>
        <w:t xml:space="preserve"> </w:t>
      </w:r>
      <w:r w:rsidRPr="00CB413E">
        <w:t xml:space="preserve">DAVID, Vladislav, SLADKÝ, Pavel, ZBOŘIL, František. </w:t>
      </w:r>
      <w:r w:rsidRPr="00CB413E">
        <w:rPr>
          <w:i/>
        </w:rPr>
        <w:t>Mezinárodní právo veřejné s </w:t>
      </w:r>
      <w:proofErr w:type="spellStart"/>
      <w:r w:rsidRPr="00CB413E">
        <w:rPr>
          <w:i/>
        </w:rPr>
        <w:t>kauzuistikou</w:t>
      </w:r>
      <w:proofErr w:type="spellEnd"/>
      <w:r w:rsidRPr="00CB413E">
        <w:rPr>
          <w:i/>
        </w:rPr>
        <w:t xml:space="preserve">. </w:t>
      </w:r>
      <w:r w:rsidRPr="00CB413E">
        <w:t xml:space="preserve">1. vydání. Praha: </w:t>
      </w:r>
      <w:proofErr w:type="spellStart"/>
      <w:r w:rsidRPr="00CB413E">
        <w:t>Leges</w:t>
      </w:r>
      <w:proofErr w:type="spellEnd"/>
      <w:r w:rsidRPr="00CB413E">
        <w:t>, 2008, s. 3</w:t>
      </w:r>
      <w:r>
        <w:t>4</w:t>
      </w:r>
      <w:r w:rsidRPr="00CB413E">
        <w:t>9.</w:t>
      </w:r>
    </w:p>
  </w:footnote>
  <w:footnote w:id="133">
    <w:p w:rsidR="00CB413E" w:rsidRDefault="00CB413E">
      <w:pPr>
        <w:pStyle w:val="Textpoznpodarou"/>
      </w:pPr>
      <w:r>
        <w:rPr>
          <w:rStyle w:val="Znakapoznpodarou"/>
        </w:rPr>
        <w:footnoteRef/>
      </w:r>
      <w:r>
        <w:t xml:space="preserve"> </w:t>
      </w:r>
      <w:r w:rsidRPr="00CB413E">
        <w:t xml:space="preserve">DAVID, Vladislav, SLADKÝ, Pavel, ZBOŘIL, František. </w:t>
      </w:r>
      <w:r w:rsidRPr="00CB413E">
        <w:rPr>
          <w:i/>
        </w:rPr>
        <w:t>Mezinárodní právo veřejné s </w:t>
      </w:r>
      <w:proofErr w:type="spellStart"/>
      <w:r w:rsidRPr="00CB413E">
        <w:rPr>
          <w:i/>
        </w:rPr>
        <w:t>kauzuistikou</w:t>
      </w:r>
      <w:proofErr w:type="spellEnd"/>
      <w:r w:rsidRPr="00CB413E">
        <w:rPr>
          <w:i/>
        </w:rPr>
        <w:t xml:space="preserve">. </w:t>
      </w:r>
      <w:r w:rsidRPr="00CB413E">
        <w:t xml:space="preserve">1. vydání. Praha: </w:t>
      </w:r>
      <w:proofErr w:type="spellStart"/>
      <w:r w:rsidRPr="00CB413E">
        <w:t>Leges</w:t>
      </w:r>
      <w:proofErr w:type="spellEnd"/>
      <w:r w:rsidRPr="00CB413E">
        <w:t>, 2008, s.</w:t>
      </w:r>
      <w:r>
        <w:t xml:space="preserve"> 331-333.</w:t>
      </w:r>
    </w:p>
  </w:footnote>
  <w:footnote w:id="134">
    <w:p w:rsidR="00CB413E" w:rsidRDefault="00CB413E">
      <w:pPr>
        <w:pStyle w:val="Textpoznpodarou"/>
      </w:pPr>
      <w:r>
        <w:rPr>
          <w:rStyle w:val="Znakapoznpodarou"/>
        </w:rPr>
        <w:footnoteRef/>
      </w:r>
      <w:r>
        <w:t xml:space="preserve"> </w:t>
      </w:r>
      <w:r w:rsidRPr="00CB413E">
        <w:t xml:space="preserve">DAVID, Vladislav, SLADKÝ, Pavel, ZBOŘIL, František. </w:t>
      </w:r>
      <w:r w:rsidRPr="00CB413E">
        <w:rPr>
          <w:i/>
        </w:rPr>
        <w:t>Mezinárodní právo veřejné s </w:t>
      </w:r>
      <w:proofErr w:type="spellStart"/>
      <w:r w:rsidRPr="00CB413E">
        <w:rPr>
          <w:i/>
        </w:rPr>
        <w:t>kauzuistikou</w:t>
      </w:r>
      <w:proofErr w:type="spellEnd"/>
      <w:r w:rsidRPr="00CB413E">
        <w:rPr>
          <w:i/>
        </w:rPr>
        <w:t xml:space="preserve">. </w:t>
      </w:r>
      <w:r w:rsidRPr="00CB413E">
        <w:t xml:space="preserve">1. vydání. Praha: </w:t>
      </w:r>
      <w:proofErr w:type="spellStart"/>
      <w:r w:rsidRPr="00CB413E">
        <w:t>Leges</w:t>
      </w:r>
      <w:proofErr w:type="spellEnd"/>
      <w:r w:rsidRPr="00CB413E">
        <w:t>, 2008, s.</w:t>
      </w:r>
      <w:r>
        <w:t xml:space="preserve"> 335.</w:t>
      </w:r>
    </w:p>
  </w:footnote>
  <w:footnote w:id="135">
    <w:p w:rsidR="00CB413E" w:rsidRDefault="00CB413E">
      <w:pPr>
        <w:pStyle w:val="Textpoznpodarou"/>
      </w:pPr>
      <w:r>
        <w:rPr>
          <w:rStyle w:val="Znakapoznpodarou"/>
        </w:rPr>
        <w:footnoteRef/>
      </w:r>
      <w:r>
        <w:t xml:space="preserve"> </w:t>
      </w:r>
      <w:r w:rsidRPr="00CB413E">
        <w:t xml:space="preserve">DAVID, Vladislav, SLADKÝ, Pavel, ZBOŘIL, František. </w:t>
      </w:r>
      <w:r w:rsidRPr="00CB413E">
        <w:rPr>
          <w:i/>
        </w:rPr>
        <w:t>Mezinárodní právo veřejné s </w:t>
      </w:r>
      <w:proofErr w:type="spellStart"/>
      <w:r w:rsidRPr="00CB413E">
        <w:rPr>
          <w:i/>
        </w:rPr>
        <w:t>kauzuistikou</w:t>
      </w:r>
      <w:proofErr w:type="spellEnd"/>
      <w:r w:rsidRPr="00CB413E">
        <w:rPr>
          <w:i/>
        </w:rPr>
        <w:t xml:space="preserve">. </w:t>
      </w:r>
      <w:r w:rsidRPr="00CB413E">
        <w:t xml:space="preserve">1. vydání. Praha: </w:t>
      </w:r>
      <w:proofErr w:type="spellStart"/>
      <w:r w:rsidRPr="00CB413E">
        <w:t>Leges</w:t>
      </w:r>
      <w:proofErr w:type="spellEnd"/>
      <w:r w:rsidRPr="00CB413E">
        <w:t>, 2008, s.</w:t>
      </w:r>
      <w:r>
        <w:t xml:space="preserve"> 342.</w:t>
      </w:r>
    </w:p>
  </w:footnote>
  <w:footnote w:id="136">
    <w:p w:rsidR="00CB413E" w:rsidRDefault="00CB413E">
      <w:pPr>
        <w:pStyle w:val="Textpoznpodarou"/>
      </w:pPr>
      <w:r>
        <w:rPr>
          <w:rStyle w:val="Znakapoznpodarou"/>
        </w:rPr>
        <w:footnoteRef/>
      </w:r>
      <w:r>
        <w:t xml:space="preserve"> </w:t>
      </w:r>
      <w:r w:rsidRPr="00CB413E">
        <w:t xml:space="preserve">DAVID, Vladislav, SLADKÝ, Pavel, ZBOŘIL, František. </w:t>
      </w:r>
      <w:r w:rsidRPr="00CB413E">
        <w:rPr>
          <w:i/>
        </w:rPr>
        <w:t>Mezinárodní právo veřejné s </w:t>
      </w:r>
      <w:proofErr w:type="spellStart"/>
      <w:r w:rsidRPr="00CB413E">
        <w:rPr>
          <w:i/>
        </w:rPr>
        <w:t>kauzuistikou</w:t>
      </w:r>
      <w:proofErr w:type="spellEnd"/>
      <w:r w:rsidRPr="00CB413E">
        <w:rPr>
          <w:i/>
        </w:rPr>
        <w:t xml:space="preserve">. </w:t>
      </w:r>
      <w:r w:rsidRPr="00CB413E">
        <w:t xml:space="preserve">1. vydání. Praha: </w:t>
      </w:r>
      <w:proofErr w:type="spellStart"/>
      <w:r w:rsidRPr="00CB413E">
        <w:t>Leges</w:t>
      </w:r>
      <w:proofErr w:type="spellEnd"/>
      <w:r w:rsidRPr="00CB413E">
        <w:t>, 2008, s.</w:t>
      </w:r>
      <w:r>
        <w:t xml:space="preserve"> 343.</w:t>
      </w:r>
    </w:p>
  </w:footnote>
  <w:footnote w:id="137">
    <w:p w:rsidR="002A4706" w:rsidRPr="00C225C1" w:rsidRDefault="002A4706">
      <w:pPr>
        <w:pStyle w:val="Textpoznpodarou"/>
        <w:rPr>
          <w:bCs/>
          <w:i/>
        </w:rPr>
      </w:pPr>
      <w:r>
        <w:rPr>
          <w:rStyle w:val="Znakapoznpodarou"/>
        </w:rPr>
        <w:footnoteRef/>
      </w:r>
      <w:r>
        <w:t xml:space="preserve"> DONNÉ, Michal. </w:t>
      </w:r>
      <w:r w:rsidRPr="00C225C1">
        <w:rPr>
          <w:bCs/>
          <w:i/>
        </w:rPr>
        <w:t xml:space="preserve">Odpovědnost členského státu za škodu vzniklou porušením povinnosti uložené komunitárním právem </w:t>
      </w:r>
      <w:r w:rsidRPr="003606D2">
        <w:rPr>
          <w:rFonts w:cs="Arial"/>
        </w:rPr>
        <w:t>[online].</w:t>
      </w:r>
      <w:r>
        <w:rPr>
          <w:rFonts w:cs="Arial"/>
        </w:rPr>
        <w:t xml:space="preserve"> Danarionline.cz, </w:t>
      </w:r>
      <w:r w:rsidRPr="003606D2">
        <w:rPr>
          <w:rFonts w:cs="Arial"/>
        </w:rPr>
        <w:t>[cit. 1</w:t>
      </w:r>
      <w:r>
        <w:rPr>
          <w:rFonts w:cs="Arial"/>
        </w:rPr>
        <w:t>9</w:t>
      </w:r>
      <w:r w:rsidRPr="003606D2">
        <w:rPr>
          <w:rFonts w:cs="Arial"/>
        </w:rPr>
        <w:t xml:space="preserve">. </w:t>
      </w:r>
      <w:r>
        <w:rPr>
          <w:rFonts w:cs="Arial"/>
        </w:rPr>
        <w:t>září</w:t>
      </w:r>
      <w:r w:rsidRPr="003606D2">
        <w:rPr>
          <w:rFonts w:cs="Arial"/>
        </w:rPr>
        <w:t xml:space="preserve"> 2014]</w:t>
      </w:r>
      <w:r>
        <w:rPr>
          <w:rFonts w:cs="Arial"/>
        </w:rPr>
        <w:t xml:space="preserve">. Dostupné na </w:t>
      </w:r>
      <w:r w:rsidRPr="003606D2">
        <w:rPr>
          <w:rFonts w:cs="Arial"/>
        </w:rPr>
        <w:t>&lt;</w:t>
      </w:r>
      <w:r w:rsidRPr="00ED4C8F">
        <w:rPr>
          <w:rFonts w:cs="Arial"/>
        </w:rPr>
        <w:t>http://www.danarionline.cz/archiv/dokument/doc-d5276v7325-odpovednost-clenskeho-statu-za-skodu-vzniklou-porusenim-povinnosti/</w:t>
      </w:r>
      <w:r w:rsidRPr="003606D2">
        <w:rPr>
          <w:rFonts w:cs="Arial"/>
        </w:rPr>
        <w:t>&gt;.</w:t>
      </w:r>
    </w:p>
  </w:footnote>
  <w:footnote w:id="138">
    <w:p w:rsidR="002A4706" w:rsidRPr="00A36089" w:rsidRDefault="002A4706">
      <w:pPr>
        <w:pStyle w:val="Textpoznpodarou"/>
      </w:pPr>
      <w:r>
        <w:rPr>
          <w:rStyle w:val="Znakapoznpodarou"/>
        </w:rPr>
        <w:footnoteRef/>
      </w:r>
      <w:r>
        <w:t xml:space="preserve"> Evropský soudní dvůr: Rozhodnutí ze dne 19. listopadu 1991, </w:t>
      </w:r>
      <w:proofErr w:type="spellStart"/>
      <w:r w:rsidRPr="00A36089">
        <w:t>Francovich</w:t>
      </w:r>
      <w:proofErr w:type="spellEnd"/>
      <w:r w:rsidRPr="00A36089">
        <w:t xml:space="preserve"> a </w:t>
      </w:r>
      <w:proofErr w:type="spellStart"/>
      <w:r w:rsidRPr="00A36089">
        <w:t>Bonifaci</w:t>
      </w:r>
      <w:proofErr w:type="spellEnd"/>
      <w:r w:rsidRPr="00A36089">
        <w:t xml:space="preserve"> v. Itálie, </w:t>
      </w:r>
      <w:hyperlink r:id="rId1" w:tgtFrame="_blank" w:history="1">
        <w:r w:rsidRPr="00A36089">
          <w:rPr>
            <w:rStyle w:val="Hypertextovodkaz"/>
            <w:color w:val="auto"/>
            <w:u w:val="none"/>
          </w:rPr>
          <w:t>C-6/90</w:t>
        </w:r>
      </w:hyperlink>
      <w:r w:rsidRPr="00A36089">
        <w:t xml:space="preserve"> a C-9/90</w:t>
      </w:r>
      <w:r>
        <w:t xml:space="preserve">, Sb. </w:t>
      </w:r>
      <w:proofErr w:type="spellStart"/>
      <w:r>
        <w:t>rozh</w:t>
      </w:r>
      <w:proofErr w:type="spellEnd"/>
      <w:r>
        <w:t>. s. I-05357.</w:t>
      </w:r>
      <w:r w:rsidRPr="00A36089">
        <w:t xml:space="preserve">  </w:t>
      </w:r>
    </w:p>
  </w:footnote>
  <w:footnote w:id="139">
    <w:p w:rsidR="002A4706" w:rsidRDefault="002A4706">
      <w:pPr>
        <w:pStyle w:val="Textpoznpodarou"/>
      </w:pPr>
      <w:r>
        <w:rPr>
          <w:rStyle w:val="Znakapoznpodarou"/>
        </w:rPr>
        <w:footnoteRef/>
      </w:r>
      <w:r>
        <w:t xml:space="preserve"> ASHMORE, Denise, TERRETT, </w:t>
      </w:r>
      <w:proofErr w:type="spellStart"/>
      <w:r>
        <w:t>Steve</w:t>
      </w:r>
      <w:proofErr w:type="spellEnd"/>
      <w:r>
        <w:t xml:space="preserve">. </w:t>
      </w:r>
      <w:r w:rsidRPr="00A36089">
        <w:rPr>
          <w:i/>
        </w:rPr>
        <w:t>Odpovědnost za škodu v Evropském společenství</w:t>
      </w:r>
      <w:r>
        <w:rPr>
          <w:i/>
        </w:rPr>
        <w:t xml:space="preserve"> </w:t>
      </w:r>
      <w:r w:rsidRPr="003606D2">
        <w:rPr>
          <w:rFonts w:cs="Arial"/>
        </w:rPr>
        <w:t>[online]</w:t>
      </w:r>
      <w:r>
        <w:t xml:space="preserve">. </w:t>
      </w:r>
      <w:proofErr w:type="spellStart"/>
      <w:r>
        <w:t>Epravo</w:t>
      </w:r>
      <w:proofErr w:type="spellEnd"/>
      <w:r>
        <w:t xml:space="preserve">. </w:t>
      </w:r>
      <w:proofErr w:type="spellStart"/>
      <w:r>
        <w:t>cz</w:t>
      </w:r>
      <w:proofErr w:type="spellEnd"/>
      <w:r>
        <w:t xml:space="preserve">, </w:t>
      </w:r>
      <w:r w:rsidRPr="003606D2">
        <w:rPr>
          <w:rFonts w:cs="Arial"/>
        </w:rPr>
        <w:t xml:space="preserve">[cit. </w:t>
      </w:r>
      <w:r>
        <w:rPr>
          <w:rFonts w:cs="Arial"/>
        </w:rPr>
        <w:t>20</w:t>
      </w:r>
      <w:r w:rsidRPr="003606D2">
        <w:rPr>
          <w:rFonts w:cs="Arial"/>
        </w:rPr>
        <w:t xml:space="preserve">. </w:t>
      </w:r>
      <w:r>
        <w:rPr>
          <w:rFonts w:cs="Arial"/>
        </w:rPr>
        <w:t>září</w:t>
      </w:r>
      <w:r w:rsidRPr="003606D2">
        <w:rPr>
          <w:rFonts w:cs="Arial"/>
        </w:rPr>
        <w:t xml:space="preserve"> 2014]</w:t>
      </w:r>
      <w:r>
        <w:rPr>
          <w:rFonts w:cs="Arial"/>
        </w:rPr>
        <w:t xml:space="preserve">. Dostupné na </w:t>
      </w:r>
      <w:r w:rsidRPr="003606D2">
        <w:rPr>
          <w:rFonts w:cs="Arial"/>
        </w:rPr>
        <w:t>&lt;</w:t>
      </w:r>
      <w:r w:rsidRPr="00A36089">
        <w:rPr>
          <w:rFonts w:cs="Arial"/>
        </w:rPr>
        <w:t>http://www.epravo.cz/top/clanky/odpovednost-za-skodu-v-evropskem-spolecenstvi-45718.html</w:t>
      </w:r>
      <w:r w:rsidRPr="003606D2">
        <w:rPr>
          <w:rFonts w:cs="Arial"/>
        </w:rPr>
        <w:t>&gt;.</w:t>
      </w:r>
    </w:p>
  </w:footnote>
  <w:footnote w:id="140">
    <w:p w:rsidR="007746D7" w:rsidRDefault="007746D7">
      <w:pPr>
        <w:pStyle w:val="Textpoznpodarou"/>
      </w:pPr>
      <w:r>
        <w:rPr>
          <w:rStyle w:val="Znakapoznpodarou"/>
        </w:rPr>
        <w:footnoteRef/>
      </w:r>
      <w:r>
        <w:t xml:space="preserve"> </w:t>
      </w:r>
      <w:r w:rsidRPr="00CB413E">
        <w:t xml:space="preserve">DAVID, Vladislav, SLADKÝ, Pavel, ZBOŘIL, František. </w:t>
      </w:r>
      <w:r w:rsidRPr="00CB413E">
        <w:rPr>
          <w:i/>
        </w:rPr>
        <w:t>Mezinárodní právo veřejné s </w:t>
      </w:r>
      <w:proofErr w:type="spellStart"/>
      <w:r w:rsidRPr="00CB413E">
        <w:rPr>
          <w:i/>
        </w:rPr>
        <w:t>kauzuistikou</w:t>
      </w:r>
      <w:proofErr w:type="spellEnd"/>
      <w:r w:rsidRPr="00CB413E">
        <w:rPr>
          <w:i/>
        </w:rPr>
        <w:t xml:space="preserve">. </w:t>
      </w:r>
      <w:r w:rsidRPr="00CB413E">
        <w:t xml:space="preserve">1. vydání. Praha: </w:t>
      </w:r>
      <w:proofErr w:type="spellStart"/>
      <w:r w:rsidRPr="00CB413E">
        <w:t>Leges</w:t>
      </w:r>
      <w:proofErr w:type="spellEnd"/>
      <w:r w:rsidRPr="00CB413E">
        <w:t>, 2008, s.</w:t>
      </w:r>
      <w:r>
        <w:t xml:space="preserve"> 350.</w:t>
      </w:r>
    </w:p>
  </w:footnote>
  <w:footnote w:id="141">
    <w:p w:rsidR="007746D7" w:rsidRDefault="007746D7">
      <w:pPr>
        <w:pStyle w:val="Textpoznpodarou"/>
      </w:pPr>
      <w:r>
        <w:rPr>
          <w:rStyle w:val="Znakapoznpodarou"/>
        </w:rPr>
        <w:footnoteRef/>
      </w:r>
      <w:r>
        <w:t xml:space="preserve"> </w:t>
      </w:r>
      <w:r w:rsidRPr="00CB413E">
        <w:t xml:space="preserve">DAVID, Vladislav, SLADKÝ, Pavel, ZBOŘIL, František. </w:t>
      </w:r>
      <w:r w:rsidRPr="00CB413E">
        <w:rPr>
          <w:i/>
        </w:rPr>
        <w:t>Mezinárodní právo veřejné s </w:t>
      </w:r>
      <w:proofErr w:type="spellStart"/>
      <w:r w:rsidRPr="00CB413E">
        <w:rPr>
          <w:i/>
        </w:rPr>
        <w:t>kauzuistikou</w:t>
      </w:r>
      <w:proofErr w:type="spellEnd"/>
      <w:r w:rsidRPr="00CB413E">
        <w:rPr>
          <w:i/>
        </w:rPr>
        <w:t xml:space="preserve">. </w:t>
      </w:r>
      <w:r w:rsidRPr="00CB413E">
        <w:t xml:space="preserve">1. vydání. Praha: </w:t>
      </w:r>
      <w:proofErr w:type="spellStart"/>
      <w:r w:rsidRPr="00CB413E">
        <w:t>Leges</w:t>
      </w:r>
      <w:proofErr w:type="spellEnd"/>
      <w:r w:rsidRPr="00CB413E">
        <w:t>, 2008, s.</w:t>
      </w:r>
      <w:r>
        <w:t xml:space="preserve"> 350-354.</w:t>
      </w:r>
    </w:p>
  </w:footnote>
  <w:footnote w:id="142">
    <w:p w:rsidR="002A4706" w:rsidRDefault="002A4706" w:rsidP="00E10E44">
      <w:pPr>
        <w:pStyle w:val="Odstavecseseznamem"/>
      </w:pPr>
      <w:r>
        <w:rPr>
          <w:rStyle w:val="Znakapoznpodarou"/>
        </w:rPr>
        <w:footnoteRef/>
      </w:r>
      <w:r>
        <w:t xml:space="preserve"> </w:t>
      </w:r>
      <w:r w:rsidRPr="00C23518">
        <w:t xml:space="preserve">CRAIG, Paul, DE BÚRCA, </w:t>
      </w:r>
      <w:proofErr w:type="spellStart"/>
      <w:r w:rsidRPr="00C23518">
        <w:t>Gráinne</w:t>
      </w:r>
      <w:proofErr w:type="spellEnd"/>
      <w:r w:rsidRPr="00C23518">
        <w:t xml:space="preserve">. </w:t>
      </w:r>
      <w:r w:rsidRPr="00C23518">
        <w:rPr>
          <w:i/>
        </w:rPr>
        <w:t xml:space="preserve">EU </w:t>
      </w:r>
      <w:proofErr w:type="spellStart"/>
      <w:r w:rsidRPr="00C23518">
        <w:rPr>
          <w:i/>
        </w:rPr>
        <w:t>law</w:t>
      </w:r>
      <w:proofErr w:type="spellEnd"/>
      <w:r w:rsidRPr="00C23518">
        <w:rPr>
          <w:i/>
        </w:rPr>
        <w:t xml:space="preserve">: Text, </w:t>
      </w:r>
      <w:proofErr w:type="spellStart"/>
      <w:r w:rsidRPr="00C23518">
        <w:rPr>
          <w:i/>
        </w:rPr>
        <w:t>cases</w:t>
      </w:r>
      <w:proofErr w:type="spellEnd"/>
      <w:r w:rsidRPr="00C23518">
        <w:rPr>
          <w:i/>
        </w:rPr>
        <w:t xml:space="preserve"> </w:t>
      </w:r>
      <w:proofErr w:type="spellStart"/>
      <w:r w:rsidRPr="00C23518">
        <w:rPr>
          <w:i/>
        </w:rPr>
        <w:t>and</w:t>
      </w:r>
      <w:proofErr w:type="spellEnd"/>
      <w:r w:rsidRPr="00C23518">
        <w:rPr>
          <w:i/>
        </w:rPr>
        <w:t xml:space="preserve"> </w:t>
      </w:r>
      <w:proofErr w:type="spellStart"/>
      <w:r w:rsidRPr="00C23518">
        <w:rPr>
          <w:i/>
        </w:rPr>
        <w:t>materials</w:t>
      </w:r>
      <w:proofErr w:type="spellEnd"/>
      <w:r w:rsidRPr="00C23518">
        <w:t>. 4. Vydání. New York</w:t>
      </w:r>
      <w:r>
        <w:t xml:space="preserve">: Oxford University </w:t>
      </w:r>
      <w:proofErr w:type="spellStart"/>
      <w:r>
        <w:t>Press</w:t>
      </w:r>
      <w:proofErr w:type="spellEnd"/>
      <w:r>
        <w:t>, 2008, s. 401</w:t>
      </w:r>
    </w:p>
  </w:footnote>
  <w:footnote w:id="143">
    <w:p w:rsidR="002A4706" w:rsidRPr="00E9590A" w:rsidRDefault="002A4706" w:rsidP="00E10E44">
      <w:pPr>
        <w:pStyle w:val="Odstavecseseznamem"/>
      </w:pPr>
      <w:r>
        <w:rPr>
          <w:rStyle w:val="Znakapoznpodarou"/>
        </w:rPr>
        <w:footnoteRef/>
      </w:r>
      <w:r>
        <w:t xml:space="preserve"> </w:t>
      </w:r>
      <w:r w:rsidRPr="00A25BFB">
        <w:t xml:space="preserve">ŠLOSARČÍK, Ivo. </w:t>
      </w:r>
      <w:r w:rsidRPr="00A25BFB">
        <w:rPr>
          <w:i/>
        </w:rPr>
        <w:t>Evropský soudní dvůr a soudy členských států Evropské unie</w:t>
      </w:r>
      <w:r w:rsidRPr="00A25BFB">
        <w:t>. Pr</w:t>
      </w:r>
      <w:r>
        <w:t>aha: Justiční akademie ČR, 2005, s. 31</w:t>
      </w:r>
    </w:p>
  </w:footnote>
  <w:footnote w:id="144">
    <w:p w:rsidR="002A4706" w:rsidRDefault="002A4706" w:rsidP="00E10E44">
      <w:pPr>
        <w:pStyle w:val="Odstavecseseznamem"/>
      </w:pPr>
      <w:r>
        <w:rPr>
          <w:rStyle w:val="Znakapoznpodarou"/>
        </w:rPr>
        <w:footnoteRef/>
      </w:r>
      <w:r>
        <w:t xml:space="preserve"> </w:t>
      </w:r>
      <w:r w:rsidRPr="00C23518">
        <w:t xml:space="preserve">CRAIG, Paul, DE BÚRCA, </w:t>
      </w:r>
      <w:proofErr w:type="spellStart"/>
      <w:r w:rsidRPr="00C23518">
        <w:t>Gráinne</w:t>
      </w:r>
      <w:proofErr w:type="spellEnd"/>
      <w:r w:rsidRPr="00C23518">
        <w:t xml:space="preserve">. </w:t>
      </w:r>
      <w:r w:rsidRPr="00C23518">
        <w:rPr>
          <w:i/>
        </w:rPr>
        <w:t xml:space="preserve">EU </w:t>
      </w:r>
      <w:proofErr w:type="spellStart"/>
      <w:r w:rsidRPr="00C23518">
        <w:rPr>
          <w:i/>
        </w:rPr>
        <w:t>law</w:t>
      </w:r>
      <w:proofErr w:type="spellEnd"/>
      <w:r w:rsidRPr="00C23518">
        <w:rPr>
          <w:i/>
        </w:rPr>
        <w:t xml:space="preserve">: Text, </w:t>
      </w:r>
      <w:proofErr w:type="spellStart"/>
      <w:r w:rsidRPr="00C23518">
        <w:rPr>
          <w:i/>
        </w:rPr>
        <w:t>cases</w:t>
      </w:r>
      <w:proofErr w:type="spellEnd"/>
      <w:r w:rsidRPr="00C23518">
        <w:rPr>
          <w:i/>
        </w:rPr>
        <w:t xml:space="preserve"> </w:t>
      </w:r>
      <w:proofErr w:type="spellStart"/>
      <w:r w:rsidRPr="00C23518">
        <w:rPr>
          <w:i/>
        </w:rPr>
        <w:t>and</w:t>
      </w:r>
      <w:proofErr w:type="spellEnd"/>
      <w:r w:rsidRPr="00C23518">
        <w:rPr>
          <w:i/>
        </w:rPr>
        <w:t xml:space="preserve"> </w:t>
      </w:r>
      <w:proofErr w:type="spellStart"/>
      <w:r w:rsidRPr="00C23518">
        <w:rPr>
          <w:i/>
        </w:rPr>
        <w:t>materials</w:t>
      </w:r>
      <w:proofErr w:type="spellEnd"/>
      <w:r w:rsidRPr="00C23518">
        <w:t>. 4. Vydání. New York</w:t>
      </w:r>
      <w:r>
        <w:t xml:space="preserve">: Oxford University </w:t>
      </w:r>
      <w:proofErr w:type="spellStart"/>
      <w:r>
        <w:t>Press</w:t>
      </w:r>
      <w:proofErr w:type="spellEnd"/>
      <w:r>
        <w:t>, 2008, s. 428-429.</w:t>
      </w:r>
    </w:p>
  </w:footnote>
  <w:footnote w:id="145">
    <w:p w:rsidR="002A4706" w:rsidRDefault="002A4706">
      <w:pPr>
        <w:pStyle w:val="Textpoznpodarou"/>
      </w:pPr>
      <w:r>
        <w:rPr>
          <w:rStyle w:val="Znakapoznpodarou"/>
        </w:rPr>
        <w:footnoteRef/>
      </w:r>
      <w:r>
        <w:t xml:space="preserve"> </w:t>
      </w:r>
      <w:r w:rsidRPr="006952A6">
        <w:t xml:space="preserve">Soudní dvůr Evropské unie. </w:t>
      </w:r>
      <w:r w:rsidRPr="006952A6">
        <w:rPr>
          <w:i/>
        </w:rPr>
        <w:t>Výroční zpráva Soudního dvora 2013, Přehled činnosti Soudního dvora, Tribunálu a Soudu pro veřejnou službu Evropské unie.</w:t>
      </w:r>
      <w:r w:rsidRPr="006952A6">
        <w:t xml:space="preserve"> Lucemburk 2014.</w:t>
      </w:r>
    </w:p>
  </w:footnote>
  <w:footnote w:id="146">
    <w:p w:rsidR="002A4706" w:rsidRDefault="002A4706" w:rsidP="00130182">
      <w:pPr>
        <w:pStyle w:val="Textpoznpodarou"/>
      </w:pPr>
      <w:r>
        <w:rPr>
          <w:rStyle w:val="Znakapoznpodarou"/>
        </w:rPr>
        <w:footnoteRef/>
      </w:r>
      <w:r>
        <w:t xml:space="preserve"> </w:t>
      </w:r>
      <w:r w:rsidRPr="00130182">
        <w:t>Soudní dvůr: Roz</w:t>
      </w:r>
      <w:r>
        <w:t>.</w:t>
      </w:r>
      <w:r w:rsidRPr="00130182">
        <w:t xml:space="preserve"> ze dne </w:t>
      </w:r>
      <w:r>
        <w:t>26</w:t>
      </w:r>
      <w:r w:rsidRPr="00130182">
        <w:t xml:space="preserve">. </w:t>
      </w:r>
      <w:r>
        <w:t>září</w:t>
      </w:r>
      <w:r w:rsidRPr="00130182">
        <w:t xml:space="preserve"> 20</w:t>
      </w:r>
      <w:r>
        <w:t>13</w:t>
      </w:r>
      <w:r w:rsidRPr="00130182">
        <w:t xml:space="preserve">, </w:t>
      </w:r>
      <w:r w:rsidRPr="00130182">
        <w:rPr>
          <w:i/>
        </w:rPr>
        <w:t>Komise v Česká republika</w:t>
      </w:r>
      <w:r w:rsidRPr="00130182">
        <w:t>, C-</w:t>
      </w:r>
      <w:r>
        <w:t>269</w:t>
      </w:r>
      <w:r w:rsidRPr="00130182">
        <w:t>/</w:t>
      </w:r>
      <w:r>
        <w:t xml:space="preserve">11 </w:t>
      </w:r>
      <w:r w:rsidRPr="00722D97">
        <w:t>– na</w:t>
      </w:r>
      <w:r>
        <w:t>vazující na řízení č. 2006/2555.</w:t>
      </w:r>
    </w:p>
  </w:footnote>
  <w:footnote w:id="147">
    <w:p w:rsidR="002A4706" w:rsidRDefault="002A4706">
      <w:pPr>
        <w:pStyle w:val="Textpoznpodarou"/>
      </w:pPr>
      <w:r>
        <w:rPr>
          <w:rStyle w:val="Znakapoznpodarou"/>
        </w:rPr>
        <w:footnoteRef/>
      </w:r>
      <w:r>
        <w:t xml:space="preserve"> </w:t>
      </w:r>
      <w:r w:rsidRPr="00130182">
        <w:t>Soudní dvůr: Roz</w:t>
      </w:r>
      <w:r>
        <w:t>.</w:t>
      </w:r>
      <w:r w:rsidRPr="00130182">
        <w:t xml:space="preserve"> ze dne </w:t>
      </w:r>
      <w:r>
        <w:t>25</w:t>
      </w:r>
      <w:r w:rsidRPr="00130182">
        <w:t xml:space="preserve">. </w:t>
      </w:r>
      <w:r>
        <w:t>dubna</w:t>
      </w:r>
      <w:r w:rsidRPr="00130182">
        <w:t xml:space="preserve"> 20</w:t>
      </w:r>
      <w:r>
        <w:t>13</w:t>
      </w:r>
      <w:r w:rsidRPr="00130182">
        <w:t xml:space="preserve">, </w:t>
      </w:r>
      <w:r w:rsidRPr="00130182">
        <w:rPr>
          <w:i/>
        </w:rPr>
        <w:t>Komise v Česká republika</w:t>
      </w:r>
      <w:r w:rsidRPr="00130182">
        <w:t>, C-</w:t>
      </w:r>
      <w:r>
        <w:t>109</w:t>
      </w:r>
      <w:r w:rsidRPr="00130182">
        <w:t>/</w:t>
      </w:r>
      <w:r>
        <w:t xml:space="preserve">11 </w:t>
      </w:r>
      <w:r w:rsidRPr="00722D97">
        <w:t>– na</w:t>
      </w:r>
      <w:r>
        <w:t>vazující na řízení č. 2008/2146.</w:t>
      </w:r>
    </w:p>
  </w:footnote>
  <w:footnote w:id="148">
    <w:p w:rsidR="002A4706" w:rsidRPr="00F83130" w:rsidRDefault="002A4706" w:rsidP="00F83130">
      <w:pPr>
        <w:pStyle w:val="Textpoznpodarou"/>
        <w:rPr>
          <w:bCs/>
        </w:rPr>
      </w:pPr>
      <w:r>
        <w:rPr>
          <w:rStyle w:val="Znakapoznpodarou"/>
        </w:rPr>
        <w:footnoteRef/>
      </w:r>
      <w:r>
        <w:t xml:space="preserve"> Ke lhůtě pro vyřízení stížnosti jednotlivce se Komise zavázala ve </w:t>
      </w:r>
      <w:r w:rsidRPr="00F83130">
        <w:t>Sdělení Komise Evropskému parlamentu a Evropskému veřejnému ochránci práv</w:t>
      </w:r>
      <w:r>
        <w:t xml:space="preserve">: </w:t>
      </w:r>
      <w:r w:rsidRPr="00F83130">
        <w:t>Vztahy se stěžovatelem ve věcech porušení práva Společenství</w:t>
      </w:r>
      <w:r>
        <w:t xml:space="preserve"> </w:t>
      </w:r>
      <w:r w:rsidRPr="00F83130">
        <w:t>(KOM (2002) 141 v konečném znění)</w:t>
      </w:r>
      <w:r>
        <w:t>, konkrétně v č</w:t>
      </w:r>
      <w:r w:rsidRPr="00F83130">
        <w:t xml:space="preserve">l. 8 </w:t>
      </w:r>
      <w:r>
        <w:t xml:space="preserve">- </w:t>
      </w:r>
      <w:proofErr w:type="spellStart"/>
      <w:r w:rsidRPr="00F83130">
        <w:t>Time</w:t>
      </w:r>
      <w:proofErr w:type="spellEnd"/>
      <w:r w:rsidRPr="00F83130">
        <w:t xml:space="preserve"> limit </w:t>
      </w:r>
      <w:proofErr w:type="spellStart"/>
      <w:r w:rsidRPr="00F83130">
        <w:t>for</w:t>
      </w:r>
      <w:proofErr w:type="spellEnd"/>
      <w:r w:rsidRPr="00F83130">
        <w:t xml:space="preserve"> </w:t>
      </w:r>
      <w:proofErr w:type="spellStart"/>
      <w:r w:rsidRPr="00F83130">
        <w:t>investigating</w:t>
      </w:r>
      <w:proofErr w:type="spellEnd"/>
      <w:r w:rsidRPr="00F83130">
        <w:t xml:space="preserve"> </w:t>
      </w:r>
      <w:proofErr w:type="spellStart"/>
      <w:r w:rsidRPr="00F83130">
        <w:t>complaints</w:t>
      </w:r>
      <w:proofErr w:type="spellEnd"/>
      <w:r>
        <w:t xml:space="preserve">. V tomto Sdělení se komise </w:t>
      </w:r>
      <w:r w:rsidRPr="00F83130">
        <w:rPr>
          <w:bCs/>
        </w:rPr>
        <w:t xml:space="preserve">zavázala </w:t>
      </w:r>
      <w:r>
        <w:rPr>
          <w:bCs/>
        </w:rPr>
        <w:t>i k mnoha</w:t>
      </w:r>
      <w:r w:rsidRPr="00F83130">
        <w:rPr>
          <w:bCs/>
        </w:rPr>
        <w:t xml:space="preserve"> dalším povinnostem ve</w:t>
      </w:r>
      <w:r>
        <w:rPr>
          <w:bCs/>
        </w:rPr>
        <w:t> </w:t>
      </w:r>
      <w:r w:rsidRPr="00F83130">
        <w:rPr>
          <w:bCs/>
        </w:rPr>
        <w:t>vztahu k</w:t>
      </w:r>
      <w:r>
        <w:rPr>
          <w:bCs/>
        </w:rPr>
        <w:t> </w:t>
      </w:r>
      <w:r w:rsidRPr="00F83130">
        <w:rPr>
          <w:bCs/>
        </w:rPr>
        <w:t>jednotlivci</w:t>
      </w:r>
      <w:r>
        <w:rPr>
          <w:bCs/>
        </w:rPr>
        <w:t xml:space="preserve"> v rámci řízení o porušení povinnosti.</w:t>
      </w:r>
      <w:r w:rsidRPr="00F83130">
        <w:t xml:space="preserve"> </w:t>
      </w:r>
    </w:p>
    <w:p w:rsidR="002A4706" w:rsidRDefault="002A4706">
      <w:pPr>
        <w:pStyle w:val="Textpoznpodarou"/>
      </w:pPr>
    </w:p>
  </w:footnote>
  <w:footnote w:id="149">
    <w:p w:rsidR="002A4706" w:rsidRPr="006952A6" w:rsidRDefault="002A4706" w:rsidP="008F5E88">
      <w:pPr>
        <w:pStyle w:val="Textpoznpodarou"/>
      </w:pPr>
      <w:r>
        <w:rPr>
          <w:rStyle w:val="Znakapoznpodarou"/>
        </w:rPr>
        <w:footnoteRef/>
      </w:r>
      <w:r>
        <w:t xml:space="preserve"> </w:t>
      </w:r>
      <w:r w:rsidRPr="006952A6">
        <w:t xml:space="preserve">Ministerstvo zahraničních věcí, odbor komunitárního práva. </w:t>
      </w:r>
      <w:r w:rsidRPr="006952A6">
        <w:rPr>
          <w:i/>
        </w:rPr>
        <w:t>Zpráva o činnosti vládního zmocněnce pro zastupování České republiky před Soudním dvorem Evropské unie za rok 2013.</w:t>
      </w:r>
      <w:r w:rsidRPr="006952A6">
        <w:t xml:space="preserve"> Praha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16AAEA"/>
    <w:lvl w:ilvl="0">
      <w:numFmt w:val="decimal"/>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rFonts w:ascii="Arial Narrow" w:hAnsi="Arial Narrow" w:cs="Arial Narrow" w:hint="default"/>
        <w:b/>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39773C8F"/>
    <w:multiLevelType w:val="hybridMultilevel"/>
    <w:tmpl w:val="C6449F96"/>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num>
  <w:num w:numId="2">
    <w:abstractNumId w:val="1"/>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rsids>
    <w:rsidRoot w:val="00070B50"/>
    <w:rsid w:val="0000252A"/>
    <w:rsid w:val="00002CC1"/>
    <w:rsid w:val="00004E65"/>
    <w:rsid w:val="00021DD3"/>
    <w:rsid w:val="00022F50"/>
    <w:rsid w:val="00024F33"/>
    <w:rsid w:val="00027A0C"/>
    <w:rsid w:val="000304B7"/>
    <w:rsid w:val="000438FF"/>
    <w:rsid w:val="00046A94"/>
    <w:rsid w:val="0005160E"/>
    <w:rsid w:val="00056758"/>
    <w:rsid w:val="00056B20"/>
    <w:rsid w:val="00060146"/>
    <w:rsid w:val="00070B50"/>
    <w:rsid w:val="0007525D"/>
    <w:rsid w:val="00081765"/>
    <w:rsid w:val="00082909"/>
    <w:rsid w:val="000865EA"/>
    <w:rsid w:val="00087441"/>
    <w:rsid w:val="00091835"/>
    <w:rsid w:val="000923AA"/>
    <w:rsid w:val="00097607"/>
    <w:rsid w:val="0009767D"/>
    <w:rsid w:val="000A15DF"/>
    <w:rsid w:val="000A3ADD"/>
    <w:rsid w:val="000A6360"/>
    <w:rsid w:val="000C227B"/>
    <w:rsid w:val="000D6994"/>
    <w:rsid w:val="000E1A05"/>
    <w:rsid w:val="000E1D78"/>
    <w:rsid w:val="000E3FBC"/>
    <w:rsid w:val="000E44C3"/>
    <w:rsid w:val="000F00C5"/>
    <w:rsid w:val="000F1614"/>
    <w:rsid w:val="000F1A60"/>
    <w:rsid w:val="000F2190"/>
    <w:rsid w:val="000F259B"/>
    <w:rsid w:val="000F7478"/>
    <w:rsid w:val="00100994"/>
    <w:rsid w:val="001047D3"/>
    <w:rsid w:val="00105EDC"/>
    <w:rsid w:val="00111EF7"/>
    <w:rsid w:val="0011393F"/>
    <w:rsid w:val="001174F4"/>
    <w:rsid w:val="00123A8F"/>
    <w:rsid w:val="00130182"/>
    <w:rsid w:val="0013763B"/>
    <w:rsid w:val="0014105C"/>
    <w:rsid w:val="0014387E"/>
    <w:rsid w:val="00151F2E"/>
    <w:rsid w:val="001525DE"/>
    <w:rsid w:val="00156575"/>
    <w:rsid w:val="0015792E"/>
    <w:rsid w:val="00160F5C"/>
    <w:rsid w:val="00162ABE"/>
    <w:rsid w:val="00167F18"/>
    <w:rsid w:val="00167FD9"/>
    <w:rsid w:val="00170F75"/>
    <w:rsid w:val="00171167"/>
    <w:rsid w:val="00176470"/>
    <w:rsid w:val="00177FD3"/>
    <w:rsid w:val="0018143D"/>
    <w:rsid w:val="00190796"/>
    <w:rsid w:val="00190E04"/>
    <w:rsid w:val="001A3AE2"/>
    <w:rsid w:val="001A59B8"/>
    <w:rsid w:val="001B07D1"/>
    <w:rsid w:val="001B54DE"/>
    <w:rsid w:val="001C6406"/>
    <w:rsid w:val="001C7310"/>
    <w:rsid w:val="001C74A8"/>
    <w:rsid w:val="001D16FD"/>
    <w:rsid w:val="001D7189"/>
    <w:rsid w:val="001E167E"/>
    <w:rsid w:val="001F14BB"/>
    <w:rsid w:val="001F1B76"/>
    <w:rsid w:val="001F2418"/>
    <w:rsid w:val="001F442F"/>
    <w:rsid w:val="001F5245"/>
    <w:rsid w:val="001F623A"/>
    <w:rsid w:val="002012D8"/>
    <w:rsid w:val="0020477A"/>
    <w:rsid w:val="002060FA"/>
    <w:rsid w:val="002070B2"/>
    <w:rsid w:val="002255CA"/>
    <w:rsid w:val="00230356"/>
    <w:rsid w:val="00231767"/>
    <w:rsid w:val="0023502D"/>
    <w:rsid w:val="002439D8"/>
    <w:rsid w:val="002455B1"/>
    <w:rsid w:val="0025473D"/>
    <w:rsid w:val="00256734"/>
    <w:rsid w:val="00263735"/>
    <w:rsid w:val="00265568"/>
    <w:rsid w:val="002711F7"/>
    <w:rsid w:val="00273348"/>
    <w:rsid w:val="00276945"/>
    <w:rsid w:val="002771CB"/>
    <w:rsid w:val="0028483C"/>
    <w:rsid w:val="00291381"/>
    <w:rsid w:val="002974E7"/>
    <w:rsid w:val="002A308D"/>
    <w:rsid w:val="002A405A"/>
    <w:rsid w:val="002A4706"/>
    <w:rsid w:val="002A6CBB"/>
    <w:rsid w:val="002A711E"/>
    <w:rsid w:val="002B0DA4"/>
    <w:rsid w:val="002B211C"/>
    <w:rsid w:val="002B2EE2"/>
    <w:rsid w:val="002C0D75"/>
    <w:rsid w:val="002C5AD3"/>
    <w:rsid w:val="002C7D47"/>
    <w:rsid w:val="002D13FA"/>
    <w:rsid w:val="002D1B57"/>
    <w:rsid w:val="002D2D89"/>
    <w:rsid w:val="002E49AA"/>
    <w:rsid w:val="002E514B"/>
    <w:rsid w:val="002F199D"/>
    <w:rsid w:val="002F4EA2"/>
    <w:rsid w:val="002F7BAB"/>
    <w:rsid w:val="00302016"/>
    <w:rsid w:val="00303FE3"/>
    <w:rsid w:val="00304CF1"/>
    <w:rsid w:val="00305120"/>
    <w:rsid w:val="003072CC"/>
    <w:rsid w:val="00307522"/>
    <w:rsid w:val="00310846"/>
    <w:rsid w:val="00313DAA"/>
    <w:rsid w:val="00330248"/>
    <w:rsid w:val="003318A0"/>
    <w:rsid w:val="00334409"/>
    <w:rsid w:val="00336297"/>
    <w:rsid w:val="00340B08"/>
    <w:rsid w:val="00343F43"/>
    <w:rsid w:val="00345F08"/>
    <w:rsid w:val="00356425"/>
    <w:rsid w:val="00357A41"/>
    <w:rsid w:val="003606D2"/>
    <w:rsid w:val="0036378C"/>
    <w:rsid w:val="003644D5"/>
    <w:rsid w:val="0036462D"/>
    <w:rsid w:val="00365DDD"/>
    <w:rsid w:val="003740B1"/>
    <w:rsid w:val="0037558F"/>
    <w:rsid w:val="003811B2"/>
    <w:rsid w:val="00386A4A"/>
    <w:rsid w:val="00387CC4"/>
    <w:rsid w:val="00392F8C"/>
    <w:rsid w:val="0039557C"/>
    <w:rsid w:val="003A4586"/>
    <w:rsid w:val="003A4707"/>
    <w:rsid w:val="003B327B"/>
    <w:rsid w:val="003B6305"/>
    <w:rsid w:val="003B71D0"/>
    <w:rsid w:val="003C2345"/>
    <w:rsid w:val="003C2C19"/>
    <w:rsid w:val="003C463F"/>
    <w:rsid w:val="003C4871"/>
    <w:rsid w:val="003C718E"/>
    <w:rsid w:val="003C7587"/>
    <w:rsid w:val="003C76B0"/>
    <w:rsid w:val="003C7820"/>
    <w:rsid w:val="003D504B"/>
    <w:rsid w:val="003E21F3"/>
    <w:rsid w:val="003F30D5"/>
    <w:rsid w:val="003F40A4"/>
    <w:rsid w:val="003F7BD9"/>
    <w:rsid w:val="00403C05"/>
    <w:rsid w:val="0040400F"/>
    <w:rsid w:val="00407C85"/>
    <w:rsid w:val="0041280C"/>
    <w:rsid w:val="00414940"/>
    <w:rsid w:val="00416E21"/>
    <w:rsid w:val="00417ECB"/>
    <w:rsid w:val="004200B8"/>
    <w:rsid w:val="00421B47"/>
    <w:rsid w:val="00423110"/>
    <w:rsid w:val="00426D36"/>
    <w:rsid w:val="00426F51"/>
    <w:rsid w:val="00427B08"/>
    <w:rsid w:val="00432AAB"/>
    <w:rsid w:val="004401EB"/>
    <w:rsid w:val="00442ECF"/>
    <w:rsid w:val="00443CA9"/>
    <w:rsid w:val="00443DD9"/>
    <w:rsid w:val="004471A1"/>
    <w:rsid w:val="00450C68"/>
    <w:rsid w:val="00451D19"/>
    <w:rsid w:val="00454FAB"/>
    <w:rsid w:val="0045621B"/>
    <w:rsid w:val="00457E9D"/>
    <w:rsid w:val="00460DB1"/>
    <w:rsid w:val="00466E38"/>
    <w:rsid w:val="00470D97"/>
    <w:rsid w:val="00471A82"/>
    <w:rsid w:val="00481FF4"/>
    <w:rsid w:val="00487CC4"/>
    <w:rsid w:val="004928AC"/>
    <w:rsid w:val="004944AD"/>
    <w:rsid w:val="004A2545"/>
    <w:rsid w:val="004B34A5"/>
    <w:rsid w:val="004B48D2"/>
    <w:rsid w:val="004B49AC"/>
    <w:rsid w:val="004C1EE9"/>
    <w:rsid w:val="004C67BF"/>
    <w:rsid w:val="004C6B14"/>
    <w:rsid w:val="004D07CE"/>
    <w:rsid w:val="004D26EB"/>
    <w:rsid w:val="004D3157"/>
    <w:rsid w:val="004D6422"/>
    <w:rsid w:val="004E19EE"/>
    <w:rsid w:val="004E31D9"/>
    <w:rsid w:val="004E5008"/>
    <w:rsid w:val="004F35E9"/>
    <w:rsid w:val="004F4C87"/>
    <w:rsid w:val="005014DB"/>
    <w:rsid w:val="00502F71"/>
    <w:rsid w:val="00506E0B"/>
    <w:rsid w:val="00513069"/>
    <w:rsid w:val="005164C2"/>
    <w:rsid w:val="00520040"/>
    <w:rsid w:val="00520A0F"/>
    <w:rsid w:val="005233C7"/>
    <w:rsid w:val="0052407F"/>
    <w:rsid w:val="00525639"/>
    <w:rsid w:val="0052603C"/>
    <w:rsid w:val="00535E10"/>
    <w:rsid w:val="00536EB0"/>
    <w:rsid w:val="00537BFE"/>
    <w:rsid w:val="0054106C"/>
    <w:rsid w:val="00543407"/>
    <w:rsid w:val="00546104"/>
    <w:rsid w:val="00547DCF"/>
    <w:rsid w:val="00552BAE"/>
    <w:rsid w:val="00560AC3"/>
    <w:rsid w:val="00560DD3"/>
    <w:rsid w:val="00563389"/>
    <w:rsid w:val="00563EFC"/>
    <w:rsid w:val="0056646C"/>
    <w:rsid w:val="00567B73"/>
    <w:rsid w:val="005803ED"/>
    <w:rsid w:val="005860D2"/>
    <w:rsid w:val="00587B8E"/>
    <w:rsid w:val="00590734"/>
    <w:rsid w:val="0059081F"/>
    <w:rsid w:val="005A074B"/>
    <w:rsid w:val="005A3755"/>
    <w:rsid w:val="005A71E7"/>
    <w:rsid w:val="005B143A"/>
    <w:rsid w:val="005B1632"/>
    <w:rsid w:val="005B554F"/>
    <w:rsid w:val="005C1D10"/>
    <w:rsid w:val="005C1DE2"/>
    <w:rsid w:val="005C4745"/>
    <w:rsid w:val="005C6857"/>
    <w:rsid w:val="005D430D"/>
    <w:rsid w:val="005D6808"/>
    <w:rsid w:val="005D7A85"/>
    <w:rsid w:val="005D7C8F"/>
    <w:rsid w:val="005E0E94"/>
    <w:rsid w:val="005E316B"/>
    <w:rsid w:val="005F07D7"/>
    <w:rsid w:val="005F114C"/>
    <w:rsid w:val="005F2812"/>
    <w:rsid w:val="005F2ED3"/>
    <w:rsid w:val="00604DBF"/>
    <w:rsid w:val="00606534"/>
    <w:rsid w:val="006132B8"/>
    <w:rsid w:val="0061411C"/>
    <w:rsid w:val="00621F7A"/>
    <w:rsid w:val="00626E38"/>
    <w:rsid w:val="006323C1"/>
    <w:rsid w:val="00633FB7"/>
    <w:rsid w:val="00634231"/>
    <w:rsid w:val="006351C9"/>
    <w:rsid w:val="006362DA"/>
    <w:rsid w:val="00637755"/>
    <w:rsid w:val="0064361D"/>
    <w:rsid w:val="00644D98"/>
    <w:rsid w:val="00650E6F"/>
    <w:rsid w:val="00650F8B"/>
    <w:rsid w:val="00652A9F"/>
    <w:rsid w:val="006561FD"/>
    <w:rsid w:val="00656DDC"/>
    <w:rsid w:val="00661AD3"/>
    <w:rsid w:val="006649DC"/>
    <w:rsid w:val="00671798"/>
    <w:rsid w:val="00674E3E"/>
    <w:rsid w:val="00675811"/>
    <w:rsid w:val="00677826"/>
    <w:rsid w:val="00682FD8"/>
    <w:rsid w:val="00683C80"/>
    <w:rsid w:val="00694D65"/>
    <w:rsid w:val="006952A6"/>
    <w:rsid w:val="00696A86"/>
    <w:rsid w:val="00697889"/>
    <w:rsid w:val="006A2627"/>
    <w:rsid w:val="006A432A"/>
    <w:rsid w:val="006A4FC0"/>
    <w:rsid w:val="006A706B"/>
    <w:rsid w:val="006B1C11"/>
    <w:rsid w:val="006B73F5"/>
    <w:rsid w:val="006C77DB"/>
    <w:rsid w:val="006D1796"/>
    <w:rsid w:val="006E0DF0"/>
    <w:rsid w:val="006E153B"/>
    <w:rsid w:val="006E2E4A"/>
    <w:rsid w:val="006E48DF"/>
    <w:rsid w:val="006E748B"/>
    <w:rsid w:val="006F5554"/>
    <w:rsid w:val="0070411E"/>
    <w:rsid w:val="007118BF"/>
    <w:rsid w:val="007175C8"/>
    <w:rsid w:val="00720D13"/>
    <w:rsid w:val="00722681"/>
    <w:rsid w:val="00722D97"/>
    <w:rsid w:val="00724ABC"/>
    <w:rsid w:val="007319AA"/>
    <w:rsid w:val="00756F88"/>
    <w:rsid w:val="00757599"/>
    <w:rsid w:val="00757663"/>
    <w:rsid w:val="007643FA"/>
    <w:rsid w:val="0076476D"/>
    <w:rsid w:val="00770620"/>
    <w:rsid w:val="007723D6"/>
    <w:rsid w:val="00773CC1"/>
    <w:rsid w:val="0077433B"/>
    <w:rsid w:val="007746D7"/>
    <w:rsid w:val="0077539F"/>
    <w:rsid w:val="00775B98"/>
    <w:rsid w:val="0078003E"/>
    <w:rsid w:val="00780500"/>
    <w:rsid w:val="00782C5E"/>
    <w:rsid w:val="0078688B"/>
    <w:rsid w:val="00792D60"/>
    <w:rsid w:val="00794494"/>
    <w:rsid w:val="00797615"/>
    <w:rsid w:val="007A1EFB"/>
    <w:rsid w:val="007A782B"/>
    <w:rsid w:val="007A7A37"/>
    <w:rsid w:val="007B0543"/>
    <w:rsid w:val="007C2A69"/>
    <w:rsid w:val="007C351A"/>
    <w:rsid w:val="007D09C6"/>
    <w:rsid w:val="007D0EED"/>
    <w:rsid w:val="007D1277"/>
    <w:rsid w:val="007E27B0"/>
    <w:rsid w:val="007E2FD3"/>
    <w:rsid w:val="00800B19"/>
    <w:rsid w:val="0080275A"/>
    <w:rsid w:val="00802C15"/>
    <w:rsid w:val="0080469C"/>
    <w:rsid w:val="00805743"/>
    <w:rsid w:val="00812375"/>
    <w:rsid w:val="00821410"/>
    <w:rsid w:val="00833827"/>
    <w:rsid w:val="00836E17"/>
    <w:rsid w:val="00844C69"/>
    <w:rsid w:val="00845B96"/>
    <w:rsid w:val="00845FBB"/>
    <w:rsid w:val="00850E80"/>
    <w:rsid w:val="008510BB"/>
    <w:rsid w:val="00854CCE"/>
    <w:rsid w:val="00861D9D"/>
    <w:rsid w:val="00885EAA"/>
    <w:rsid w:val="0089749C"/>
    <w:rsid w:val="008A6C4C"/>
    <w:rsid w:val="008A7072"/>
    <w:rsid w:val="008B0705"/>
    <w:rsid w:val="008B103C"/>
    <w:rsid w:val="008B13AA"/>
    <w:rsid w:val="008B1AE4"/>
    <w:rsid w:val="008B5B41"/>
    <w:rsid w:val="008C11F5"/>
    <w:rsid w:val="008C6D31"/>
    <w:rsid w:val="008D1AA1"/>
    <w:rsid w:val="008D6C26"/>
    <w:rsid w:val="008E1086"/>
    <w:rsid w:val="008E4CB0"/>
    <w:rsid w:val="008E7033"/>
    <w:rsid w:val="008E74EA"/>
    <w:rsid w:val="008F26AA"/>
    <w:rsid w:val="008F340A"/>
    <w:rsid w:val="008F4448"/>
    <w:rsid w:val="008F5E88"/>
    <w:rsid w:val="009030C5"/>
    <w:rsid w:val="00906E50"/>
    <w:rsid w:val="00910E6C"/>
    <w:rsid w:val="0091288A"/>
    <w:rsid w:val="00914D21"/>
    <w:rsid w:val="00921758"/>
    <w:rsid w:val="00921BC6"/>
    <w:rsid w:val="00922F6C"/>
    <w:rsid w:val="0092317B"/>
    <w:rsid w:val="009231E2"/>
    <w:rsid w:val="00923309"/>
    <w:rsid w:val="00927316"/>
    <w:rsid w:val="00934C30"/>
    <w:rsid w:val="009360D5"/>
    <w:rsid w:val="0094114A"/>
    <w:rsid w:val="009421A2"/>
    <w:rsid w:val="009458E7"/>
    <w:rsid w:val="0094602F"/>
    <w:rsid w:val="00950EC7"/>
    <w:rsid w:val="0095131A"/>
    <w:rsid w:val="00961AA9"/>
    <w:rsid w:val="009635FE"/>
    <w:rsid w:val="009821AC"/>
    <w:rsid w:val="00983C91"/>
    <w:rsid w:val="00985DC7"/>
    <w:rsid w:val="00992F3B"/>
    <w:rsid w:val="00997F4B"/>
    <w:rsid w:val="009A05BD"/>
    <w:rsid w:val="009A3543"/>
    <w:rsid w:val="009A4D3C"/>
    <w:rsid w:val="009A5160"/>
    <w:rsid w:val="009A657E"/>
    <w:rsid w:val="009B128A"/>
    <w:rsid w:val="009C11A3"/>
    <w:rsid w:val="009C18C1"/>
    <w:rsid w:val="009C1B52"/>
    <w:rsid w:val="009C31EC"/>
    <w:rsid w:val="009C43E3"/>
    <w:rsid w:val="009C4518"/>
    <w:rsid w:val="009C765D"/>
    <w:rsid w:val="009D0CFC"/>
    <w:rsid w:val="009D6B1A"/>
    <w:rsid w:val="009D7C12"/>
    <w:rsid w:val="009E0431"/>
    <w:rsid w:val="009E1769"/>
    <w:rsid w:val="009E35D3"/>
    <w:rsid w:val="009E3FCA"/>
    <w:rsid w:val="009E613A"/>
    <w:rsid w:val="00A00889"/>
    <w:rsid w:val="00A02105"/>
    <w:rsid w:val="00A04AFA"/>
    <w:rsid w:val="00A129A6"/>
    <w:rsid w:val="00A15F1D"/>
    <w:rsid w:val="00A171E4"/>
    <w:rsid w:val="00A246C4"/>
    <w:rsid w:val="00A24A8C"/>
    <w:rsid w:val="00A25992"/>
    <w:rsid w:val="00A25BFB"/>
    <w:rsid w:val="00A26EDE"/>
    <w:rsid w:val="00A3455A"/>
    <w:rsid w:val="00A35C03"/>
    <w:rsid w:val="00A36089"/>
    <w:rsid w:val="00A370BB"/>
    <w:rsid w:val="00A37166"/>
    <w:rsid w:val="00A37B56"/>
    <w:rsid w:val="00A41AFF"/>
    <w:rsid w:val="00A43917"/>
    <w:rsid w:val="00A45630"/>
    <w:rsid w:val="00A463D6"/>
    <w:rsid w:val="00A479B0"/>
    <w:rsid w:val="00A50EBE"/>
    <w:rsid w:val="00A64ADD"/>
    <w:rsid w:val="00A71BD6"/>
    <w:rsid w:val="00A71F99"/>
    <w:rsid w:val="00A72327"/>
    <w:rsid w:val="00A7273F"/>
    <w:rsid w:val="00A749BE"/>
    <w:rsid w:val="00A76432"/>
    <w:rsid w:val="00A82298"/>
    <w:rsid w:val="00A857F5"/>
    <w:rsid w:val="00A90081"/>
    <w:rsid w:val="00A930D9"/>
    <w:rsid w:val="00A93A9C"/>
    <w:rsid w:val="00A941AF"/>
    <w:rsid w:val="00A97E26"/>
    <w:rsid w:val="00AA4AF5"/>
    <w:rsid w:val="00AB6AE3"/>
    <w:rsid w:val="00AC5D56"/>
    <w:rsid w:val="00AD02B1"/>
    <w:rsid w:val="00AE4CAF"/>
    <w:rsid w:val="00AF1A8F"/>
    <w:rsid w:val="00AF5FEA"/>
    <w:rsid w:val="00B026C0"/>
    <w:rsid w:val="00B02B25"/>
    <w:rsid w:val="00B063BC"/>
    <w:rsid w:val="00B15A92"/>
    <w:rsid w:val="00B16530"/>
    <w:rsid w:val="00B25500"/>
    <w:rsid w:val="00B26B7C"/>
    <w:rsid w:val="00B32671"/>
    <w:rsid w:val="00B427D0"/>
    <w:rsid w:val="00B4336F"/>
    <w:rsid w:val="00B5016B"/>
    <w:rsid w:val="00B644A8"/>
    <w:rsid w:val="00B66135"/>
    <w:rsid w:val="00B6781D"/>
    <w:rsid w:val="00B70774"/>
    <w:rsid w:val="00B71B7B"/>
    <w:rsid w:val="00B727D3"/>
    <w:rsid w:val="00B873A8"/>
    <w:rsid w:val="00B916DC"/>
    <w:rsid w:val="00B91F4D"/>
    <w:rsid w:val="00BA11C8"/>
    <w:rsid w:val="00BA199F"/>
    <w:rsid w:val="00BA1D87"/>
    <w:rsid w:val="00BA37C2"/>
    <w:rsid w:val="00BA4461"/>
    <w:rsid w:val="00BB08A0"/>
    <w:rsid w:val="00BB17D2"/>
    <w:rsid w:val="00BB440F"/>
    <w:rsid w:val="00BB4EBD"/>
    <w:rsid w:val="00BB56D5"/>
    <w:rsid w:val="00BB7C8F"/>
    <w:rsid w:val="00BC7806"/>
    <w:rsid w:val="00BD022B"/>
    <w:rsid w:val="00BD2A24"/>
    <w:rsid w:val="00BE1140"/>
    <w:rsid w:val="00BE2473"/>
    <w:rsid w:val="00BE3D9A"/>
    <w:rsid w:val="00BE5E0D"/>
    <w:rsid w:val="00BE6E23"/>
    <w:rsid w:val="00BE7606"/>
    <w:rsid w:val="00BE7F54"/>
    <w:rsid w:val="00BF0B2D"/>
    <w:rsid w:val="00BF1335"/>
    <w:rsid w:val="00BF19DC"/>
    <w:rsid w:val="00BF430C"/>
    <w:rsid w:val="00BF43D9"/>
    <w:rsid w:val="00C00411"/>
    <w:rsid w:val="00C02160"/>
    <w:rsid w:val="00C031E1"/>
    <w:rsid w:val="00C07F8B"/>
    <w:rsid w:val="00C115F0"/>
    <w:rsid w:val="00C1486F"/>
    <w:rsid w:val="00C15398"/>
    <w:rsid w:val="00C17698"/>
    <w:rsid w:val="00C2021A"/>
    <w:rsid w:val="00C225C1"/>
    <w:rsid w:val="00C23518"/>
    <w:rsid w:val="00C36D13"/>
    <w:rsid w:val="00C42408"/>
    <w:rsid w:val="00C456E5"/>
    <w:rsid w:val="00C5015B"/>
    <w:rsid w:val="00C549B5"/>
    <w:rsid w:val="00C56C61"/>
    <w:rsid w:val="00C62483"/>
    <w:rsid w:val="00C62E18"/>
    <w:rsid w:val="00C6496A"/>
    <w:rsid w:val="00C65FBA"/>
    <w:rsid w:val="00C677CE"/>
    <w:rsid w:val="00C714E8"/>
    <w:rsid w:val="00C87F00"/>
    <w:rsid w:val="00C907B5"/>
    <w:rsid w:val="00C956BB"/>
    <w:rsid w:val="00CA525F"/>
    <w:rsid w:val="00CB0A09"/>
    <w:rsid w:val="00CB413E"/>
    <w:rsid w:val="00CC09F4"/>
    <w:rsid w:val="00CC12C2"/>
    <w:rsid w:val="00CC5DB5"/>
    <w:rsid w:val="00CD4CC4"/>
    <w:rsid w:val="00CE1EE3"/>
    <w:rsid w:val="00CF025B"/>
    <w:rsid w:val="00CF62C2"/>
    <w:rsid w:val="00D0113E"/>
    <w:rsid w:val="00D0374D"/>
    <w:rsid w:val="00D0574B"/>
    <w:rsid w:val="00D1137E"/>
    <w:rsid w:val="00D12EC4"/>
    <w:rsid w:val="00D14DEB"/>
    <w:rsid w:val="00D1566B"/>
    <w:rsid w:val="00D24760"/>
    <w:rsid w:val="00D258C9"/>
    <w:rsid w:val="00D30938"/>
    <w:rsid w:val="00D30FAB"/>
    <w:rsid w:val="00D32560"/>
    <w:rsid w:val="00D32DF5"/>
    <w:rsid w:val="00D33BC5"/>
    <w:rsid w:val="00D360A1"/>
    <w:rsid w:val="00D37961"/>
    <w:rsid w:val="00D37970"/>
    <w:rsid w:val="00D4302D"/>
    <w:rsid w:val="00D441CD"/>
    <w:rsid w:val="00D44B4D"/>
    <w:rsid w:val="00D477EB"/>
    <w:rsid w:val="00D502C5"/>
    <w:rsid w:val="00D50900"/>
    <w:rsid w:val="00D52D26"/>
    <w:rsid w:val="00D66FC6"/>
    <w:rsid w:val="00D67D1F"/>
    <w:rsid w:val="00D72927"/>
    <w:rsid w:val="00D72D60"/>
    <w:rsid w:val="00D73583"/>
    <w:rsid w:val="00D76375"/>
    <w:rsid w:val="00D81879"/>
    <w:rsid w:val="00D821FE"/>
    <w:rsid w:val="00D8254F"/>
    <w:rsid w:val="00D849EE"/>
    <w:rsid w:val="00DA0EBE"/>
    <w:rsid w:val="00DB7DFE"/>
    <w:rsid w:val="00DC6FAD"/>
    <w:rsid w:val="00DD022B"/>
    <w:rsid w:val="00DD39D4"/>
    <w:rsid w:val="00DE149B"/>
    <w:rsid w:val="00DE213C"/>
    <w:rsid w:val="00DE29D4"/>
    <w:rsid w:val="00E022CB"/>
    <w:rsid w:val="00E032F9"/>
    <w:rsid w:val="00E10E44"/>
    <w:rsid w:val="00E139FB"/>
    <w:rsid w:val="00E17849"/>
    <w:rsid w:val="00E21290"/>
    <w:rsid w:val="00E269A0"/>
    <w:rsid w:val="00E26D63"/>
    <w:rsid w:val="00E27E94"/>
    <w:rsid w:val="00E30258"/>
    <w:rsid w:val="00E31ED2"/>
    <w:rsid w:val="00E4220F"/>
    <w:rsid w:val="00E43641"/>
    <w:rsid w:val="00E46832"/>
    <w:rsid w:val="00E55ADB"/>
    <w:rsid w:val="00E56E5F"/>
    <w:rsid w:val="00E57C33"/>
    <w:rsid w:val="00E64D04"/>
    <w:rsid w:val="00E716E5"/>
    <w:rsid w:val="00E76097"/>
    <w:rsid w:val="00E766CF"/>
    <w:rsid w:val="00E77B6F"/>
    <w:rsid w:val="00E810E7"/>
    <w:rsid w:val="00E87F9C"/>
    <w:rsid w:val="00E94D54"/>
    <w:rsid w:val="00E9590A"/>
    <w:rsid w:val="00EA519F"/>
    <w:rsid w:val="00EB0C7D"/>
    <w:rsid w:val="00EB1F65"/>
    <w:rsid w:val="00EB2046"/>
    <w:rsid w:val="00EB459C"/>
    <w:rsid w:val="00EB4B36"/>
    <w:rsid w:val="00EC35D4"/>
    <w:rsid w:val="00EC42F1"/>
    <w:rsid w:val="00EC7F77"/>
    <w:rsid w:val="00ED1B6A"/>
    <w:rsid w:val="00ED4C8F"/>
    <w:rsid w:val="00EE0BD6"/>
    <w:rsid w:val="00EE27C7"/>
    <w:rsid w:val="00EE50A8"/>
    <w:rsid w:val="00EE65B0"/>
    <w:rsid w:val="00EE6A31"/>
    <w:rsid w:val="00EF3ECC"/>
    <w:rsid w:val="00F01C20"/>
    <w:rsid w:val="00F02836"/>
    <w:rsid w:val="00F07269"/>
    <w:rsid w:val="00F13437"/>
    <w:rsid w:val="00F139AF"/>
    <w:rsid w:val="00F143CC"/>
    <w:rsid w:val="00F21433"/>
    <w:rsid w:val="00F23F7E"/>
    <w:rsid w:val="00F2723B"/>
    <w:rsid w:val="00F33171"/>
    <w:rsid w:val="00F35FE0"/>
    <w:rsid w:val="00F36008"/>
    <w:rsid w:val="00F368FF"/>
    <w:rsid w:val="00F41341"/>
    <w:rsid w:val="00F4231F"/>
    <w:rsid w:val="00F4261D"/>
    <w:rsid w:val="00F44626"/>
    <w:rsid w:val="00F53051"/>
    <w:rsid w:val="00F55806"/>
    <w:rsid w:val="00F63E3F"/>
    <w:rsid w:val="00F64AF4"/>
    <w:rsid w:val="00F65352"/>
    <w:rsid w:val="00F71DEC"/>
    <w:rsid w:val="00F7639F"/>
    <w:rsid w:val="00F7722B"/>
    <w:rsid w:val="00F81217"/>
    <w:rsid w:val="00F81EA0"/>
    <w:rsid w:val="00F8229A"/>
    <w:rsid w:val="00F83130"/>
    <w:rsid w:val="00F840C9"/>
    <w:rsid w:val="00F84E54"/>
    <w:rsid w:val="00F85FF6"/>
    <w:rsid w:val="00F9114F"/>
    <w:rsid w:val="00FB423A"/>
    <w:rsid w:val="00FB5008"/>
    <w:rsid w:val="00FB673B"/>
    <w:rsid w:val="00FC3993"/>
    <w:rsid w:val="00FC7BF6"/>
    <w:rsid w:val="00FD1A95"/>
    <w:rsid w:val="00FD1AED"/>
    <w:rsid w:val="00FD26F4"/>
    <w:rsid w:val="00FD2F38"/>
    <w:rsid w:val="00FD3EBC"/>
    <w:rsid w:val="00FD3EE6"/>
    <w:rsid w:val="00FE464F"/>
    <w:rsid w:val="00FE4B9A"/>
    <w:rsid w:val="00FE6CA2"/>
    <w:rsid w:val="00FE74E2"/>
    <w:rsid w:val="00FF4E0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607"/>
    <w:pPr>
      <w:spacing w:after="0" w:line="360" w:lineRule="auto"/>
      <w:jc w:val="both"/>
    </w:pPr>
    <w:rPr>
      <w:rFonts w:ascii="Arial" w:hAnsi="Arial"/>
      <w:sz w:val="24"/>
    </w:rPr>
  </w:style>
  <w:style w:type="paragraph" w:styleId="Nadpis1">
    <w:name w:val="heading 1"/>
    <w:basedOn w:val="Normln"/>
    <w:next w:val="Normln"/>
    <w:link w:val="Nadpis1Char"/>
    <w:uiPriority w:val="9"/>
    <w:qFormat/>
    <w:rsid w:val="00F81217"/>
    <w:pPr>
      <w:keepNext/>
      <w:keepLines/>
      <w:outlineLvl w:val="0"/>
    </w:pPr>
    <w:rPr>
      <w:rFonts w:eastAsiaTheme="majorEastAsia" w:cstheme="majorBidi"/>
      <w:b/>
      <w:bCs/>
      <w:color w:val="000000" w:themeColor="text1"/>
      <w:sz w:val="32"/>
      <w:szCs w:val="28"/>
      <w:u w:val="single"/>
    </w:rPr>
  </w:style>
  <w:style w:type="paragraph" w:styleId="Nadpis2">
    <w:name w:val="heading 2"/>
    <w:basedOn w:val="Normln"/>
    <w:next w:val="Normln"/>
    <w:link w:val="Nadpis2Char"/>
    <w:uiPriority w:val="9"/>
    <w:unhideWhenUsed/>
    <w:qFormat/>
    <w:rsid w:val="00BD022B"/>
    <w:pPr>
      <w:keepNext/>
      <w:keepLines/>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BD022B"/>
    <w:pPr>
      <w:keepNext/>
      <w:keepLines/>
      <w:outlineLvl w:val="2"/>
    </w:pPr>
    <w:rPr>
      <w:rFonts w:eastAsiaTheme="majorEastAsia" w:cstheme="majorBidi"/>
      <w:b/>
      <w:bCs/>
      <w:color w:val="000000" w:themeColor="text1"/>
    </w:rPr>
  </w:style>
  <w:style w:type="paragraph" w:styleId="Nadpis5">
    <w:name w:val="heading 5"/>
    <w:basedOn w:val="Normln"/>
    <w:next w:val="Normln"/>
    <w:link w:val="Nadpis5Char"/>
    <w:uiPriority w:val="9"/>
    <w:semiHidden/>
    <w:unhideWhenUsed/>
    <w:qFormat/>
    <w:rsid w:val="00F8121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1D7189"/>
    <w:pPr>
      <w:spacing w:line="240" w:lineRule="auto"/>
    </w:pPr>
    <w:rPr>
      <w:sz w:val="20"/>
      <w:szCs w:val="20"/>
    </w:rPr>
  </w:style>
  <w:style w:type="character" w:customStyle="1" w:styleId="TextpoznpodarouChar">
    <w:name w:val="Text pozn. pod čarou Char"/>
    <w:basedOn w:val="Standardnpsmoodstavce"/>
    <w:link w:val="Textpoznpodarou"/>
    <w:uiPriority w:val="99"/>
    <w:rsid w:val="001D7189"/>
    <w:rPr>
      <w:sz w:val="20"/>
      <w:szCs w:val="20"/>
    </w:rPr>
  </w:style>
  <w:style w:type="character" w:styleId="Znakapoznpodarou">
    <w:name w:val="footnote reference"/>
    <w:basedOn w:val="Standardnpsmoodstavce"/>
    <w:uiPriority w:val="99"/>
    <w:semiHidden/>
    <w:unhideWhenUsed/>
    <w:rsid w:val="001D7189"/>
    <w:rPr>
      <w:vertAlign w:val="superscript"/>
    </w:rPr>
  </w:style>
  <w:style w:type="character" w:styleId="Hypertextovodkaz">
    <w:name w:val="Hyperlink"/>
    <w:basedOn w:val="Standardnpsmoodstavce"/>
    <w:uiPriority w:val="99"/>
    <w:unhideWhenUsed/>
    <w:rsid w:val="00A749BE"/>
    <w:rPr>
      <w:color w:val="0000FF" w:themeColor="hyperlink"/>
      <w:u w:val="single"/>
    </w:rPr>
  </w:style>
  <w:style w:type="character" w:styleId="Odkaznakoment">
    <w:name w:val="annotation reference"/>
    <w:basedOn w:val="Standardnpsmoodstavce"/>
    <w:uiPriority w:val="99"/>
    <w:semiHidden/>
    <w:unhideWhenUsed/>
    <w:rsid w:val="003E21F3"/>
    <w:rPr>
      <w:sz w:val="16"/>
      <w:szCs w:val="16"/>
    </w:rPr>
  </w:style>
  <w:style w:type="paragraph" w:styleId="Textkomente">
    <w:name w:val="annotation text"/>
    <w:basedOn w:val="Normln"/>
    <w:link w:val="TextkomenteChar"/>
    <w:uiPriority w:val="99"/>
    <w:semiHidden/>
    <w:unhideWhenUsed/>
    <w:rsid w:val="003E21F3"/>
    <w:pPr>
      <w:spacing w:line="240" w:lineRule="auto"/>
    </w:pPr>
    <w:rPr>
      <w:sz w:val="20"/>
      <w:szCs w:val="20"/>
    </w:rPr>
  </w:style>
  <w:style w:type="character" w:customStyle="1" w:styleId="TextkomenteChar">
    <w:name w:val="Text komentáře Char"/>
    <w:basedOn w:val="Standardnpsmoodstavce"/>
    <w:link w:val="Textkomente"/>
    <w:uiPriority w:val="99"/>
    <w:semiHidden/>
    <w:rsid w:val="003E21F3"/>
    <w:rPr>
      <w:sz w:val="20"/>
      <w:szCs w:val="20"/>
    </w:rPr>
  </w:style>
  <w:style w:type="paragraph" w:styleId="Pedmtkomente">
    <w:name w:val="annotation subject"/>
    <w:basedOn w:val="Textkomente"/>
    <w:next w:val="Textkomente"/>
    <w:link w:val="PedmtkomenteChar"/>
    <w:uiPriority w:val="99"/>
    <w:semiHidden/>
    <w:unhideWhenUsed/>
    <w:rsid w:val="003E21F3"/>
    <w:rPr>
      <w:b/>
      <w:bCs/>
    </w:rPr>
  </w:style>
  <w:style w:type="character" w:customStyle="1" w:styleId="PedmtkomenteChar">
    <w:name w:val="Předmět komentáře Char"/>
    <w:basedOn w:val="TextkomenteChar"/>
    <w:link w:val="Pedmtkomente"/>
    <w:uiPriority w:val="99"/>
    <w:semiHidden/>
    <w:rsid w:val="003E21F3"/>
    <w:rPr>
      <w:b/>
      <w:bCs/>
      <w:sz w:val="20"/>
      <w:szCs w:val="20"/>
    </w:rPr>
  </w:style>
  <w:style w:type="paragraph" w:styleId="Textbubliny">
    <w:name w:val="Balloon Text"/>
    <w:basedOn w:val="Normln"/>
    <w:link w:val="TextbublinyChar"/>
    <w:uiPriority w:val="99"/>
    <w:semiHidden/>
    <w:unhideWhenUsed/>
    <w:rsid w:val="003E21F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21F3"/>
    <w:rPr>
      <w:rFonts w:ascii="Tahoma" w:hAnsi="Tahoma" w:cs="Tahoma"/>
      <w:sz w:val="16"/>
      <w:szCs w:val="16"/>
    </w:rPr>
  </w:style>
  <w:style w:type="paragraph" w:styleId="Odstavecseseznamem">
    <w:name w:val="List Paragraph"/>
    <w:aliases w:val="pod čarou"/>
    <w:basedOn w:val="Normln"/>
    <w:qFormat/>
    <w:rsid w:val="00E9590A"/>
    <w:pPr>
      <w:suppressAutoHyphens/>
      <w:spacing w:line="240" w:lineRule="auto"/>
    </w:pPr>
    <w:rPr>
      <w:rFonts w:eastAsia="Calibri" w:cs="Times New Roman"/>
      <w:sz w:val="20"/>
      <w:lang w:eastAsia="ar-SA"/>
    </w:rPr>
  </w:style>
  <w:style w:type="character" w:customStyle="1" w:styleId="Nadpis1Char">
    <w:name w:val="Nadpis 1 Char"/>
    <w:basedOn w:val="Standardnpsmoodstavce"/>
    <w:link w:val="Nadpis1"/>
    <w:uiPriority w:val="9"/>
    <w:rsid w:val="00F81217"/>
    <w:rPr>
      <w:rFonts w:ascii="Arial" w:eastAsiaTheme="majorEastAsia" w:hAnsi="Arial" w:cstheme="majorBidi"/>
      <w:b/>
      <w:bCs/>
      <w:color w:val="000000" w:themeColor="text1"/>
      <w:sz w:val="32"/>
      <w:szCs w:val="28"/>
      <w:u w:val="single"/>
    </w:rPr>
  </w:style>
  <w:style w:type="character" w:customStyle="1" w:styleId="Nadpis2Char">
    <w:name w:val="Nadpis 2 Char"/>
    <w:basedOn w:val="Standardnpsmoodstavce"/>
    <w:link w:val="Nadpis2"/>
    <w:uiPriority w:val="9"/>
    <w:rsid w:val="00BD022B"/>
    <w:rPr>
      <w:rFonts w:ascii="Arial" w:eastAsiaTheme="majorEastAsia" w:hAnsi="Arial" w:cstheme="majorBidi"/>
      <w:b/>
      <w:bCs/>
      <w:sz w:val="28"/>
      <w:szCs w:val="26"/>
    </w:rPr>
  </w:style>
  <w:style w:type="character" w:customStyle="1" w:styleId="Nadpis3Char">
    <w:name w:val="Nadpis 3 Char"/>
    <w:basedOn w:val="Standardnpsmoodstavce"/>
    <w:link w:val="Nadpis3"/>
    <w:uiPriority w:val="9"/>
    <w:rsid w:val="00BD022B"/>
    <w:rPr>
      <w:rFonts w:ascii="Arial" w:eastAsiaTheme="majorEastAsia" w:hAnsi="Arial" w:cstheme="majorBidi"/>
      <w:b/>
      <w:bCs/>
      <w:color w:val="000000" w:themeColor="text1"/>
      <w:sz w:val="24"/>
    </w:rPr>
  </w:style>
  <w:style w:type="paragraph" w:styleId="Zhlav">
    <w:name w:val="header"/>
    <w:basedOn w:val="Normln"/>
    <w:link w:val="ZhlavChar"/>
    <w:uiPriority w:val="99"/>
    <w:unhideWhenUsed/>
    <w:rsid w:val="000E1D78"/>
    <w:pPr>
      <w:tabs>
        <w:tab w:val="center" w:pos="4536"/>
        <w:tab w:val="right" w:pos="9072"/>
      </w:tabs>
      <w:spacing w:line="240" w:lineRule="auto"/>
    </w:pPr>
  </w:style>
  <w:style w:type="character" w:customStyle="1" w:styleId="ZhlavChar">
    <w:name w:val="Záhlaví Char"/>
    <w:basedOn w:val="Standardnpsmoodstavce"/>
    <w:link w:val="Zhlav"/>
    <w:uiPriority w:val="99"/>
    <w:rsid w:val="000E1D78"/>
    <w:rPr>
      <w:rFonts w:ascii="Arial" w:hAnsi="Arial"/>
      <w:sz w:val="24"/>
    </w:rPr>
  </w:style>
  <w:style w:type="paragraph" w:styleId="Zpat">
    <w:name w:val="footer"/>
    <w:basedOn w:val="Normln"/>
    <w:link w:val="ZpatChar"/>
    <w:uiPriority w:val="99"/>
    <w:unhideWhenUsed/>
    <w:rsid w:val="000E1D78"/>
    <w:pPr>
      <w:tabs>
        <w:tab w:val="center" w:pos="4536"/>
        <w:tab w:val="right" w:pos="9072"/>
      </w:tabs>
      <w:spacing w:line="240" w:lineRule="auto"/>
    </w:pPr>
  </w:style>
  <w:style w:type="character" w:customStyle="1" w:styleId="ZpatChar">
    <w:name w:val="Zápatí Char"/>
    <w:basedOn w:val="Standardnpsmoodstavce"/>
    <w:link w:val="Zpat"/>
    <w:uiPriority w:val="99"/>
    <w:rsid w:val="000E1D78"/>
    <w:rPr>
      <w:rFonts w:ascii="Arial" w:hAnsi="Arial"/>
      <w:sz w:val="24"/>
    </w:rPr>
  </w:style>
  <w:style w:type="paragraph" w:styleId="FormtovanvHTML">
    <w:name w:val="HTML Preformatted"/>
    <w:basedOn w:val="Normln"/>
    <w:link w:val="FormtovanvHTMLChar"/>
    <w:uiPriority w:val="99"/>
    <w:semiHidden/>
    <w:unhideWhenUsed/>
    <w:rsid w:val="007A782B"/>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A782B"/>
    <w:rPr>
      <w:rFonts w:ascii="Consolas" w:hAnsi="Consolas"/>
      <w:sz w:val="20"/>
      <w:szCs w:val="20"/>
    </w:rPr>
  </w:style>
  <w:style w:type="character" w:customStyle="1" w:styleId="hps">
    <w:name w:val="hps"/>
    <w:basedOn w:val="Standardnpsmoodstavce"/>
    <w:rsid w:val="00302016"/>
  </w:style>
  <w:style w:type="character" w:styleId="Zvraznn">
    <w:name w:val="Emphasis"/>
    <w:basedOn w:val="Standardnpsmoodstavce"/>
    <w:uiPriority w:val="20"/>
    <w:qFormat/>
    <w:rsid w:val="00403C05"/>
    <w:rPr>
      <w:b/>
      <w:bCs/>
      <w:i w:val="0"/>
      <w:iCs w:val="0"/>
    </w:rPr>
  </w:style>
  <w:style w:type="character" w:customStyle="1" w:styleId="st">
    <w:name w:val="st"/>
    <w:basedOn w:val="Standardnpsmoodstavce"/>
    <w:rsid w:val="00403C05"/>
  </w:style>
  <w:style w:type="paragraph" w:styleId="Nadpisobsahu">
    <w:name w:val="TOC Heading"/>
    <w:basedOn w:val="Nadpis1"/>
    <w:next w:val="Normln"/>
    <w:uiPriority w:val="39"/>
    <w:unhideWhenUsed/>
    <w:qFormat/>
    <w:rsid w:val="00E46832"/>
    <w:pPr>
      <w:spacing w:before="480" w:line="276" w:lineRule="auto"/>
      <w:jc w:val="left"/>
      <w:outlineLvl w:val="9"/>
    </w:pPr>
    <w:rPr>
      <w:rFonts w:asciiTheme="majorHAnsi" w:hAnsiTheme="majorHAnsi"/>
      <w:color w:val="365F91" w:themeColor="accent1" w:themeShade="BF"/>
      <w:sz w:val="28"/>
      <w:u w:val="none"/>
      <w:lang w:eastAsia="cs-CZ"/>
    </w:rPr>
  </w:style>
  <w:style w:type="paragraph" w:styleId="Obsah1">
    <w:name w:val="toc 1"/>
    <w:basedOn w:val="Normln"/>
    <w:next w:val="Normln"/>
    <w:autoRedefine/>
    <w:uiPriority w:val="39"/>
    <w:unhideWhenUsed/>
    <w:rsid w:val="00E46832"/>
    <w:pPr>
      <w:tabs>
        <w:tab w:val="right" w:leader="dot" w:pos="9061"/>
      </w:tabs>
      <w:spacing w:after="100"/>
    </w:pPr>
    <w:rPr>
      <w:b/>
      <w:noProof/>
    </w:rPr>
  </w:style>
  <w:style w:type="paragraph" w:styleId="Obsah2">
    <w:name w:val="toc 2"/>
    <w:basedOn w:val="Normln"/>
    <w:next w:val="Normln"/>
    <w:autoRedefine/>
    <w:uiPriority w:val="39"/>
    <w:unhideWhenUsed/>
    <w:rsid w:val="00E46832"/>
    <w:pPr>
      <w:spacing w:after="100"/>
      <w:ind w:left="240"/>
    </w:pPr>
  </w:style>
  <w:style w:type="paragraph" w:styleId="Obsah3">
    <w:name w:val="toc 3"/>
    <w:basedOn w:val="Normln"/>
    <w:next w:val="Normln"/>
    <w:autoRedefine/>
    <w:uiPriority w:val="39"/>
    <w:unhideWhenUsed/>
    <w:rsid w:val="00E46832"/>
    <w:pPr>
      <w:spacing w:after="100"/>
      <w:ind w:left="480"/>
    </w:pPr>
  </w:style>
  <w:style w:type="paragraph" w:styleId="Normlnweb">
    <w:name w:val="Normal (Web)"/>
    <w:basedOn w:val="Normln"/>
    <w:uiPriority w:val="99"/>
    <w:semiHidden/>
    <w:unhideWhenUsed/>
    <w:rsid w:val="00675811"/>
    <w:rPr>
      <w:rFonts w:ascii="Times New Roman" w:hAnsi="Times New Roman" w:cs="Times New Roman"/>
      <w:szCs w:val="24"/>
    </w:rPr>
  </w:style>
  <w:style w:type="paragraph" w:customStyle="1" w:styleId="Default">
    <w:name w:val="Default"/>
    <w:rsid w:val="00416E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5Char">
    <w:name w:val="Nadpis 5 Char"/>
    <w:basedOn w:val="Standardnpsmoodstavce"/>
    <w:link w:val="Nadpis5"/>
    <w:uiPriority w:val="9"/>
    <w:semiHidden/>
    <w:rsid w:val="00F81217"/>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607"/>
    <w:pPr>
      <w:spacing w:after="0" w:line="360" w:lineRule="auto"/>
      <w:jc w:val="both"/>
    </w:pPr>
    <w:rPr>
      <w:rFonts w:ascii="Arial" w:hAnsi="Arial"/>
      <w:sz w:val="24"/>
    </w:rPr>
  </w:style>
  <w:style w:type="paragraph" w:styleId="Nadpis1">
    <w:name w:val="heading 1"/>
    <w:basedOn w:val="Normln"/>
    <w:next w:val="Normln"/>
    <w:link w:val="Nadpis1Char"/>
    <w:uiPriority w:val="9"/>
    <w:qFormat/>
    <w:rsid w:val="00F81217"/>
    <w:pPr>
      <w:keepNext/>
      <w:keepLines/>
      <w:outlineLvl w:val="0"/>
    </w:pPr>
    <w:rPr>
      <w:rFonts w:eastAsiaTheme="majorEastAsia" w:cstheme="majorBidi"/>
      <w:b/>
      <w:bCs/>
      <w:color w:val="000000" w:themeColor="text1"/>
      <w:sz w:val="32"/>
      <w:szCs w:val="28"/>
      <w:u w:val="single"/>
    </w:rPr>
  </w:style>
  <w:style w:type="paragraph" w:styleId="Nadpis2">
    <w:name w:val="heading 2"/>
    <w:basedOn w:val="Normln"/>
    <w:next w:val="Normln"/>
    <w:link w:val="Nadpis2Char"/>
    <w:uiPriority w:val="9"/>
    <w:unhideWhenUsed/>
    <w:qFormat/>
    <w:rsid w:val="00BD022B"/>
    <w:pPr>
      <w:keepNext/>
      <w:keepLines/>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BD022B"/>
    <w:pPr>
      <w:keepNext/>
      <w:keepLines/>
      <w:outlineLvl w:val="2"/>
    </w:pPr>
    <w:rPr>
      <w:rFonts w:eastAsiaTheme="majorEastAsia" w:cstheme="majorBidi"/>
      <w:b/>
      <w:bCs/>
      <w:color w:val="000000" w:themeColor="text1"/>
    </w:rPr>
  </w:style>
  <w:style w:type="paragraph" w:styleId="Nadpis5">
    <w:name w:val="heading 5"/>
    <w:basedOn w:val="Normln"/>
    <w:next w:val="Normln"/>
    <w:link w:val="Nadpis5Char"/>
    <w:uiPriority w:val="9"/>
    <w:semiHidden/>
    <w:unhideWhenUsed/>
    <w:qFormat/>
    <w:rsid w:val="00F8121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1D7189"/>
    <w:pPr>
      <w:spacing w:line="240" w:lineRule="auto"/>
    </w:pPr>
    <w:rPr>
      <w:sz w:val="20"/>
      <w:szCs w:val="20"/>
    </w:rPr>
  </w:style>
  <w:style w:type="character" w:customStyle="1" w:styleId="TextpoznpodarouChar">
    <w:name w:val="Text pozn. pod čarou Char"/>
    <w:basedOn w:val="Standardnpsmoodstavce"/>
    <w:link w:val="Textpoznpodarou"/>
    <w:uiPriority w:val="99"/>
    <w:rsid w:val="001D7189"/>
    <w:rPr>
      <w:sz w:val="20"/>
      <w:szCs w:val="20"/>
    </w:rPr>
  </w:style>
  <w:style w:type="character" w:styleId="Znakapoznpodarou">
    <w:name w:val="footnote reference"/>
    <w:basedOn w:val="Standardnpsmoodstavce"/>
    <w:uiPriority w:val="99"/>
    <w:semiHidden/>
    <w:unhideWhenUsed/>
    <w:rsid w:val="001D7189"/>
    <w:rPr>
      <w:vertAlign w:val="superscript"/>
    </w:rPr>
  </w:style>
  <w:style w:type="character" w:styleId="Hypertextovodkaz">
    <w:name w:val="Hyperlink"/>
    <w:basedOn w:val="Standardnpsmoodstavce"/>
    <w:uiPriority w:val="99"/>
    <w:unhideWhenUsed/>
    <w:rsid w:val="00A749BE"/>
    <w:rPr>
      <w:color w:val="0000FF" w:themeColor="hyperlink"/>
      <w:u w:val="single"/>
    </w:rPr>
  </w:style>
  <w:style w:type="character" w:styleId="Odkaznakoment">
    <w:name w:val="annotation reference"/>
    <w:basedOn w:val="Standardnpsmoodstavce"/>
    <w:uiPriority w:val="99"/>
    <w:semiHidden/>
    <w:unhideWhenUsed/>
    <w:rsid w:val="003E21F3"/>
    <w:rPr>
      <w:sz w:val="16"/>
      <w:szCs w:val="16"/>
    </w:rPr>
  </w:style>
  <w:style w:type="paragraph" w:styleId="Textkomente">
    <w:name w:val="annotation text"/>
    <w:basedOn w:val="Normln"/>
    <w:link w:val="TextkomenteChar"/>
    <w:uiPriority w:val="99"/>
    <w:semiHidden/>
    <w:unhideWhenUsed/>
    <w:rsid w:val="003E21F3"/>
    <w:pPr>
      <w:spacing w:line="240" w:lineRule="auto"/>
    </w:pPr>
    <w:rPr>
      <w:sz w:val="20"/>
      <w:szCs w:val="20"/>
    </w:rPr>
  </w:style>
  <w:style w:type="character" w:customStyle="1" w:styleId="TextkomenteChar">
    <w:name w:val="Text komentáře Char"/>
    <w:basedOn w:val="Standardnpsmoodstavce"/>
    <w:link w:val="Textkomente"/>
    <w:uiPriority w:val="99"/>
    <w:semiHidden/>
    <w:rsid w:val="003E21F3"/>
    <w:rPr>
      <w:sz w:val="20"/>
      <w:szCs w:val="20"/>
    </w:rPr>
  </w:style>
  <w:style w:type="paragraph" w:styleId="Pedmtkomente">
    <w:name w:val="annotation subject"/>
    <w:basedOn w:val="Textkomente"/>
    <w:next w:val="Textkomente"/>
    <w:link w:val="PedmtkomenteChar"/>
    <w:uiPriority w:val="99"/>
    <w:semiHidden/>
    <w:unhideWhenUsed/>
    <w:rsid w:val="003E21F3"/>
    <w:rPr>
      <w:b/>
      <w:bCs/>
    </w:rPr>
  </w:style>
  <w:style w:type="character" w:customStyle="1" w:styleId="PedmtkomenteChar">
    <w:name w:val="Předmět komentáře Char"/>
    <w:basedOn w:val="TextkomenteChar"/>
    <w:link w:val="Pedmtkomente"/>
    <w:uiPriority w:val="99"/>
    <w:semiHidden/>
    <w:rsid w:val="003E21F3"/>
    <w:rPr>
      <w:b/>
      <w:bCs/>
      <w:sz w:val="20"/>
      <w:szCs w:val="20"/>
    </w:rPr>
  </w:style>
  <w:style w:type="paragraph" w:styleId="Textbubliny">
    <w:name w:val="Balloon Text"/>
    <w:basedOn w:val="Normln"/>
    <w:link w:val="TextbublinyChar"/>
    <w:uiPriority w:val="99"/>
    <w:semiHidden/>
    <w:unhideWhenUsed/>
    <w:rsid w:val="003E21F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21F3"/>
    <w:rPr>
      <w:rFonts w:ascii="Tahoma" w:hAnsi="Tahoma" w:cs="Tahoma"/>
      <w:sz w:val="16"/>
      <w:szCs w:val="16"/>
    </w:rPr>
  </w:style>
  <w:style w:type="paragraph" w:styleId="Odstavecseseznamem">
    <w:name w:val="List Paragraph"/>
    <w:aliases w:val="pod čarou"/>
    <w:basedOn w:val="Normln"/>
    <w:qFormat/>
    <w:rsid w:val="00E9590A"/>
    <w:pPr>
      <w:suppressAutoHyphens/>
      <w:spacing w:line="240" w:lineRule="auto"/>
    </w:pPr>
    <w:rPr>
      <w:rFonts w:eastAsia="Calibri" w:cs="Times New Roman"/>
      <w:sz w:val="20"/>
      <w:lang w:eastAsia="ar-SA"/>
    </w:rPr>
  </w:style>
  <w:style w:type="character" w:customStyle="1" w:styleId="Nadpis1Char">
    <w:name w:val="Nadpis 1 Char"/>
    <w:basedOn w:val="Standardnpsmoodstavce"/>
    <w:link w:val="Nadpis1"/>
    <w:uiPriority w:val="9"/>
    <w:rsid w:val="00F81217"/>
    <w:rPr>
      <w:rFonts w:ascii="Arial" w:eastAsiaTheme="majorEastAsia" w:hAnsi="Arial" w:cstheme="majorBidi"/>
      <w:b/>
      <w:bCs/>
      <w:color w:val="000000" w:themeColor="text1"/>
      <w:sz w:val="32"/>
      <w:szCs w:val="28"/>
      <w:u w:val="single"/>
    </w:rPr>
  </w:style>
  <w:style w:type="character" w:customStyle="1" w:styleId="Nadpis2Char">
    <w:name w:val="Nadpis 2 Char"/>
    <w:basedOn w:val="Standardnpsmoodstavce"/>
    <w:link w:val="Nadpis2"/>
    <w:uiPriority w:val="9"/>
    <w:rsid w:val="00BD022B"/>
    <w:rPr>
      <w:rFonts w:ascii="Arial" w:eastAsiaTheme="majorEastAsia" w:hAnsi="Arial" w:cstheme="majorBidi"/>
      <w:b/>
      <w:bCs/>
      <w:sz w:val="28"/>
      <w:szCs w:val="26"/>
    </w:rPr>
  </w:style>
  <w:style w:type="character" w:customStyle="1" w:styleId="Nadpis3Char">
    <w:name w:val="Nadpis 3 Char"/>
    <w:basedOn w:val="Standardnpsmoodstavce"/>
    <w:link w:val="Nadpis3"/>
    <w:uiPriority w:val="9"/>
    <w:rsid w:val="00BD022B"/>
    <w:rPr>
      <w:rFonts w:ascii="Arial" w:eastAsiaTheme="majorEastAsia" w:hAnsi="Arial" w:cstheme="majorBidi"/>
      <w:b/>
      <w:bCs/>
      <w:color w:val="000000" w:themeColor="text1"/>
      <w:sz w:val="24"/>
    </w:rPr>
  </w:style>
  <w:style w:type="paragraph" w:styleId="Zhlav">
    <w:name w:val="header"/>
    <w:basedOn w:val="Normln"/>
    <w:link w:val="ZhlavChar"/>
    <w:uiPriority w:val="99"/>
    <w:unhideWhenUsed/>
    <w:rsid w:val="000E1D78"/>
    <w:pPr>
      <w:tabs>
        <w:tab w:val="center" w:pos="4536"/>
        <w:tab w:val="right" w:pos="9072"/>
      </w:tabs>
      <w:spacing w:line="240" w:lineRule="auto"/>
    </w:pPr>
  </w:style>
  <w:style w:type="character" w:customStyle="1" w:styleId="ZhlavChar">
    <w:name w:val="Záhlaví Char"/>
    <w:basedOn w:val="Standardnpsmoodstavce"/>
    <w:link w:val="Zhlav"/>
    <w:uiPriority w:val="99"/>
    <w:rsid w:val="000E1D78"/>
    <w:rPr>
      <w:rFonts w:ascii="Arial" w:hAnsi="Arial"/>
      <w:sz w:val="24"/>
    </w:rPr>
  </w:style>
  <w:style w:type="paragraph" w:styleId="Zpat">
    <w:name w:val="footer"/>
    <w:basedOn w:val="Normln"/>
    <w:link w:val="ZpatChar"/>
    <w:uiPriority w:val="99"/>
    <w:unhideWhenUsed/>
    <w:rsid w:val="000E1D78"/>
    <w:pPr>
      <w:tabs>
        <w:tab w:val="center" w:pos="4536"/>
        <w:tab w:val="right" w:pos="9072"/>
      </w:tabs>
      <w:spacing w:line="240" w:lineRule="auto"/>
    </w:pPr>
  </w:style>
  <w:style w:type="character" w:customStyle="1" w:styleId="ZpatChar">
    <w:name w:val="Zápatí Char"/>
    <w:basedOn w:val="Standardnpsmoodstavce"/>
    <w:link w:val="Zpat"/>
    <w:uiPriority w:val="99"/>
    <w:rsid w:val="000E1D78"/>
    <w:rPr>
      <w:rFonts w:ascii="Arial" w:hAnsi="Arial"/>
      <w:sz w:val="24"/>
    </w:rPr>
  </w:style>
  <w:style w:type="paragraph" w:styleId="FormtovanvHTML">
    <w:name w:val="HTML Preformatted"/>
    <w:basedOn w:val="Normln"/>
    <w:link w:val="FormtovanvHTMLChar"/>
    <w:uiPriority w:val="99"/>
    <w:semiHidden/>
    <w:unhideWhenUsed/>
    <w:rsid w:val="007A782B"/>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A782B"/>
    <w:rPr>
      <w:rFonts w:ascii="Consolas" w:hAnsi="Consolas"/>
      <w:sz w:val="20"/>
      <w:szCs w:val="20"/>
    </w:rPr>
  </w:style>
  <w:style w:type="character" w:customStyle="1" w:styleId="hps">
    <w:name w:val="hps"/>
    <w:basedOn w:val="Standardnpsmoodstavce"/>
    <w:rsid w:val="00302016"/>
  </w:style>
  <w:style w:type="character" w:styleId="Zvraznn">
    <w:name w:val="Emphasis"/>
    <w:basedOn w:val="Standardnpsmoodstavce"/>
    <w:uiPriority w:val="20"/>
    <w:qFormat/>
    <w:rsid w:val="00403C05"/>
    <w:rPr>
      <w:b/>
      <w:bCs/>
      <w:i w:val="0"/>
      <w:iCs w:val="0"/>
    </w:rPr>
  </w:style>
  <w:style w:type="character" w:customStyle="1" w:styleId="st">
    <w:name w:val="st"/>
    <w:basedOn w:val="Standardnpsmoodstavce"/>
    <w:rsid w:val="00403C05"/>
  </w:style>
  <w:style w:type="paragraph" w:styleId="Nadpisobsahu">
    <w:name w:val="TOC Heading"/>
    <w:basedOn w:val="Nadpis1"/>
    <w:next w:val="Normln"/>
    <w:uiPriority w:val="39"/>
    <w:unhideWhenUsed/>
    <w:qFormat/>
    <w:rsid w:val="00E46832"/>
    <w:pPr>
      <w:spacing w:before="480" w:line="276" w:lineRule="auto"/>
      <w:jc w:val="left"/>
      <w:outlineLvl w:val="9"/>
    </w:pPr>
    <w:rPr>
      <w:rFonts w:asciiTheme="majorHAnsi" w:hAnsiTheme="majorHAnsi"/>
      <w:color w:val="365F91" w:themeColor="accent1" w:themeShade="BF"/>
      <w:sz w:val="28"/>
      <w:u w:val="none"/>
      <w:lang w:eastAsia="cs-CZ"/>
    </w:rPr>
  </w:style>
  <w:style w:type="paragraph" w:styleId="Obsah1">
    <w:name w:val="toc 1"/>
    <w:basedOn w:val="Normln"/>
    <w:next w:val="Normln"/>
    <w:autoRedefine/>
    <w:uiPriority w:val="39"/>
    <w:unhideWhenUsed/>
    <w:rsid w:val="00E46832"/>
    <w:pPr>
      <w:tabs>
        <w:tab w:val="right" w:leader="dot" w:pos="9061"/>
      </w:tabs>
      <w:spacing w:after="100"/>
    </w:pPr>
    <w:rPr>
      <w:b/>
      <w:noProof/>
    </w:rPr>
  </w:style>
  <w:style w:type="paragraph" w:styleId="Obsah2">
    <w:name w:val="toc 2"/>
    <w:basedOn w:val="Normln"/>
    <w:next w:val="Normln"/>
    <w:autoRedefine/>
    <w:uiPriority w:val="39"/>
    <w:unhideWhenUsed/>
    <w:rsid w:val="00E46832"/>
    <w:pPr>
      <w:spacing w:after="100"/>
      <w:ind w:left="240"/>
    </w:pPr>
  </w:style>
  <w:style w:type="paragraph" w:styleId="Obsah3">
    <w:name w:val="toc 3"/>
    <w:basedOn w:val="Normln"/>
    <w:next w:val="Normln"/>
    <w:autoRedefine/>
    <w:uiPriority w:val="39"/>
    <w:unhideWhenUsed/>
    <w:rsid w:val="00E46832"/>
    <w:pPr>
      <w:spacing w:after="100"/>
      <w:ind w:left="480"/>
    </w:pPr>
  </w:style>
  <w:style w:type="paragraph" w:styleId="Normlnweb">
    <w:name w:val="Normal (Web)"/>
    <w:basedOn w:val="Normln"/>
    <w:uiPriority w:val="99"/>
    <w:semiHidden/>
    <w:unhideWhenUsed/>
    <w:rsid w:val="00675811"/>
    <w:rPr>
      <w:rFonts w:ascii="Times New Roman" w:hAnsi="Times New Roman" w:cs="Times New Roman"/>
      <w:szCs w:val="24"/>
    </w:rPr>
  </w:style>
  <w:style w:type="paragraph" w:customStyle="1" w:styleId="Default">
    <w:name w:val="Default"/>
    <w:rsid w:val="00416E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5Char">
    <w:name w:val="Nadpis 5 Char"/>
    <w:basedOn w:val="Standardnpsmoodstavce"/>
    <w:link w:val="Nadpis5"/>
    <w:uiPriority w:val="9"/>
    <w:semiHidden/>
    <w:rsid w:val="00F81217"/>
    <w:rPr>
      <w:rFonts w:asciiTheme="majorHAnsi" w:eastAsiaTheme="majorEastAsia" w:hAnsiTheme="majorHAnsi" w:cstheme="majorBidi"/>
      <w:color w:val="243F60" w:themeColor="accent1" w:themeShade="7F"/>
      <w:sz w:val="24"/>
    </w:rPr>
  </w:style>
</w:styles>
</file>

<file path=word/webSettings.xml><?xml version="1.0" encoding="utf-8"?>
<w:webSettings xmlns:r="http://schemas.openxmlformats.org/officeDocument/2006/relationships" xmlns:w="http://schemas.openxmlformats.org/wordprocessingml/2006/main">
  <w:divs>
    <w:div w:id="8872020">
      <w:bodyDiv w:val="1"/>
      <w:marLeft w:val="0"/>
      <w:marRight w:val="0"/>
      <w:marTop w:val="0"/>
      <w:marBottom w:val="0"/>
      <w:divBdr>
        <w:top w:val="none" w:sz="0" w:space="0" w:color="auto"/>
        <w:left w:val="none" w:sz="0" w:space="0" w:color="auto"/>
        <w:bottom w:val="none" w:sz="0" w:space="0" w:color="auto"/>
        <w:right w:val="none" w:sz="0" w:space="0" w:color="auto"/>
      </w:divBdr>
      <w:divsChild>
        <w:div w:id="1240559437">
          <w:marLeft w:val="0"/>
          <w:marRight w:val="0"/>
          <w:marTop w:val="0"/>
          <w:marBottom w:val="0"/>
          <w:divBdr>
            <w:top w:val="none" w:sz="0" w:space="0" w:color="auto"/>
            <w:left w:val="none" w:sz="0" w:space="0" w:color="auto"/>
            <w:bottom w:val="none" w:sz="0" w:space="0" w:color="auto"/>
            <w:right w:val="none" w:sz="0" w:space="0" w:color="auto"/>
          </w:divBdr>
          <w:divsChild>
            <w:div w:id="1048063928">
              <w:marLeft w:val="0"/>
              <w:marRight w:val="0"/>
              <w:marTop w:val="0"/>
              <w:marBottom w:val="0"/>
              <w:divBdr>
                <w:top w:val="none" w:sz="0" w:space="0" w:color="auto"/>
                <w:left w:val="none" w:sz="0" w:space="0" w:color="auto"/>
                <w:bottom w:val="none" w:sz="0" w:space="0" w:color="auto"/>
                <w:right w:val="none" w:sz="0" w:space="0" w:color="auto"/>
              </w:divBdr>
              <w:divsChild>
                <w:div w:id="2046825919">
                  <w:marLeft w:val="0"/>
                  <w:marRight w:val="0"/>
                  <w:marTop w:val="0"/>
                  <w:marBottom w:val="0"/>
                  <w:divBdr>
                    <w:top w:val="none" w:sz="0" w:space="0" w:color="auto"/>
                    <w:left w:val="none" w:sz="0" w:space="0" w:color="auto"/>
                    <w:bottom w:val="none" w:sz="0" w:space="0" w:color="auto"/>
                    <w:right w:val="none" w:sz="0" w:space="0" w:color="auto"/>
                  </w:divBdr>
                  <w:divsChild>
                    <w:div w:id="1479569202">
                      <w:marLeft w:val="0"/>
                      <w:marRight w:val="0"/>
                      <w:marTop w:val="0"/>
                      <w:marBottom w:val="0"/>
                      <w:divBdr>
                        <w:top w:val="none" w:sz="0" w:space="0" w:color="auto"/>
                        <w:left w:val="none" w:sz="0" w:space="0" w:color="auto"/>
                        <w:bottom w:val="none" w:sz="0" w:space="0" w:color="auto"/>
                        <w:right w:val="none" w:sz="0" w:space="0" w:color="auto"/>
                      </w:divBdr>
                      <w:divsChild>
                        <w:div w:id="1804999851">
                          <w:marLeft w:val="0"/>
                          <w:marRight w:val="0"/>
                          <w:marTop w:val="0"/>
                          <w:marBottom w:val="0"/>
                          <w:divBdr>
                            <w:top w:val="none" w:sz="0" w:space="0" w:color="auto"/>
                            <w:left w:val="none" w:sz="0" w:space="0" w:color="auto"/>
                            <w:bottom w:val="none" w:sz="0" w:space="0" w:color="auto"/>
                            <w:right w:val="none" w:sz="0" w:space="0" w:color="auto"/>
                          </w:divBdr>
                          <w:divsChild>
                            <w:div w:id="531765099">
                              <w:marLeft w:val="0"/>
                              <w:marRight w:val="0"/>
                              <w:marTop w:val="0"/>
                              <w:marBottom w:val="0"/>
                              <w:divBdr>
                                <w:top w:val="none" w:sz="0" w:space="0" w:color="auto"/>
                                <w:left w:val="none" w:sz="0" w:space="0" w:color="auto"/>
                                <w:bottom w:val="none" w:sz="0" w:space="0" w:color="auto"/>
                                <w:right w:val="none" w:sz="0" w:space="0" w:color="auto"/>
                              </w:divBdr>
                              <w:divsChild>
                                <w:div w:id="1233808382">
                                  <w:marLeft w:val="0"/>
                                  <w:marRight w:val="0"/>
                                  <w:marTop w:val="0"/>
                                  <w:marBottom w:val="0"/>
                                  <w:divBdr>
                                    <w:top w:val="none" w:sz="0" w:space="0" w:color="auto"/>
                                    <w:left w:val="none" w:sz="0" w:space="0" w:color="auto"/>
                                    <w:bottom w:val="none" w:sz="0" w:space="0" w:color="auto"/>
                                    <w:right w:val="none" w:sz="0" w:space="0" w:color="auto"/>
                                  </w:divBdr>
                                  <w:divsChild>
                                    <w:div w:id="1029140273">
                                      <w:marLeft w:val="0"/>
                                      <w:marRight w:val="0"/>
                                      <w:marTop w:val="0"/>
                                      <w:marBottom w:val="0"/>
                                      <w:divBdr>
                                        <w:top w:val="none" w:sz="0" w:space="0" w:color="auto"/>
                                        <w:left w:val="none" w:sz="0" w:space="0" w:color="auto"/>
                                        <w:bottom w:val="none" w:sz="0" w:space="0" w:color="auto"/>
                                        <w:right w:val="none" w:sz="0" w:space="0" w:color="auto"/>
                                      </w:divBdr>
                                      <w:divsChild>
                                        <w:div w:id="1640332645">
                                          <w:marLeft w:val="0"/>
                                          <w:marRight w:val="0"/>
                                          <w:marTop w:val="0"/>
                                          <w:marBottom w:val="0"/>
                                          <w:divBdr>
                                            <w:top w:val="none" w:sz="0" w:space="0" w:color="auto"/>
                                            <w:left w:val="none" w:sz="0" w:space="0" w:color="auto"/>
                                            <w:bottom w:val="none" w:sz="0" w:space="0" w:color="auto"/>
                                            <w:right w:val="none" w:sz="0" w:space="0" w:color="auto"/>
                                          </w:divBdr>
                                          <w:divsChild>
                                            <w:div w:id="10278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24841">
      <w:bodyDiv w:val="1"/>
      <w:marLeft w:val="0"/>
      <w:marRight w:val="0"/>
      <w:marTop w:val="0"/>
      <w:marBottom w:val="0"/>
      <w:divBdr>
        <w:top w:val="none" w:sz="0" w:space="0" w:color="auto"/>
        <w:left w:val="none" w:sz="0" w:space="0" w:color="auto"/>
        <w:bottom w:val="none" w:sz="0" w:space="0" w:color="auto"/>
        <w:right w:val="none" w:sz="0" w:space="0" w:color="auto"/>
      </w:divBdr>
      <w:divsChild>
        <w:div w:id="1869561547">
          <w:marLeft w:val="0"/>
          <w:marRight w:val="0"/>
          <w:marTop w:val="0"/>
          <w:marBottom w:val="0"/>
          <w:divBdr>
            <w:top w:val="none" w:sz="0" w:space="0" w:color="auto"/>
            <w:left w:val="none" w:sz="0" w:space="0" w:color="auto"/>
            <w:bottom w:val="none" w:sz="0" w:space="0" w:color="auto"/>
            <w:right w:val="none" w:sz="0" w:space="0" w:color="auto"/>
          </w:divBdr>
          <w:divsChild>
            <w:div w:id="1263994596">
              <w:marLeft w:val="0"/>
              <w:marRight w:val="0"/>
              <w:marTop w:val="0"/>
              <w:marBottom w:val="0"/>
              <w:divBdr>
                <w:top w:val="none" w:sz="0" w:space="0" w:color="auto"/>
                <w:left w:val="none" w:sz="0" w:space="0" w:color="auto"/>
                <w:bottom w:val="none" w:sz="0" w:space="0" w:color="auto"/>
                <w:right w:val="none" w:sz="0" w:space="0" w:color="auto"/>
              </w:divBdr>
              <w:divsChild>
                <w:div w:id="1674533693">
                  <w:marLeft w:val="0"/>
                  <w:marRight w:val="0"/>
                  <w:marTop w:val="0"/>
                  <w:marBottom w:val="0"/>
                  <w:divBdr>
                    <w:top w:val="none" w:sz="0" w:space="0" w:color="auto"/>
                    <w:left w:val="none" w:sz="0" w:space="0" w:color="auto"/>
                    <w:bottom w:val="none" w:sz="0" w:space="0" w:color="auto"/>
                    <w:right w:val="none" w:sz="0" w:space="0" w:color="auto"/>
                  </w:divBdr>
                  <w:divsChild>
                    <w:div w:id="854418235">
                      <w:marLeft w:val="0"/>
                      <w:marRight w:val="0"/>
                      <w:marTop w:val="0"/>
                      <w:marBottom w:val="0"/>
                      <w:divBdr>
                        <w:top w:val="none" w:sz="0" w:space="0" w:color="auto"/>
                        <w:left w:val="none" w:sz="0" w:space="0" w:color="auto"/>
                        <w:bottom w:val="none" w:sz="0" w:space="0" w:color="auto"/>
                        <w:right w:val="none" w:sz="0" w:space="0" w:color="auto"/>
                      </w:divBdr>
                      <w:divsChild>
                        <w:div w:id="1874028129">
                          <w:marLeft w:val="0"/>
                          <w:marRight w:val="0"/>
                          <w:marTop w:val="0"/>
                          <w:marBottom w:val="0"/>
                          <w:divBdr>
                            <w:top w:val="none" w:sz="0" w:space="0" w:color="auto"/>
                            <w:left w:val="none" w:sz="0" w:space="0" w:color="auto"/>
                            <w:bottom w:val="none" w:sz="0" w:space="0" w:color="auto"/>
                            <w:right w:val="none" w:sz="0" w:space="0" w:color="auto"/>
                          </w:divBdr>
                          <w:divsChild>
                            <w:div w:id="81876847">
                              <w:marLeft w:val="0"/>
                              <w:marRight w:val="0"/>
                              <w:marTop w:val="0"/>
                              <w:marBottom w:val="0"/>
                              <w:divBdr>
                                <w:top w:val="none" w:sz="0" w:space="0" w:color="auto"/>
                                <w:left w:val="none" w:sz="0" w:space="0" w:color="auto"/>
                                <w:bottom w:val="none" w:sz="0" w:space="0" w:color="auto"/>
                                <w:right w:val="none" w:sz="0" w:space="0" w:color="auto"/>
                              </w:divBdr>
                              <w:divsChild>
                                <w:div w:id="2131508915">
                                  <w:marLeft w:val="0"/>
                                  <w:marRight w:val="0"/>
                                  <w:marTop w:val="0"/>
                                  <w:marBottom w:val="0"/>
                                  <w:divBdr>
                                    <w:top w:val="none" w:sz="0" w:space="0" w:color="auto"/>
                                    <w:left w:val="none" w:sz="0" w:space="0" w:color="auto"/>
                                    <w:bottom w:val="none" w:sz="0" w:space="0" w:color="auto"/>
                                    <w:right w:val="none" w:sz="0" w:space="0" w:color="auto"/>
                                  </w:divBdr>
                                  <w:divsChild>
                                    <w:div w:id="308444432">
                                      <w:marLeft w:val="0"/>
                                      <w:marRight w:val="0"/>
                                      <w:marTop w:val="0"/>
                                      <w:marBottom w:val="0"/>
                                      <w:divBdr>
                                        <w:top w:val="none" w:sz="0" w:space="0" w:color="auto"/>
                                        <w:left w:val="none" w:sz="0" w:space="0" w:color="auto"/>
                                        <w:bottom w:val="none" w:sz="0" w:space="0" w:color="auto"/>
                                        <w:right w:val="none" w:sz="0" w:space="0" w:color="auto"/>
                                      </w:divBdr>
                                      <w:divsChild>
                                        <w:div w:id="559557932">
                                          <w:marLeft w:val="0"/>
                                          <w:marRight w:val="0"/>
                                          <w:marTop w:val="0"/>
                                          <w:marBottom w:val="0"/>
                                          <w:divBdr>
                                            <w:top w:val="none" w:sz="0" w:space="0" w:color="auto"/>
                                            <w:left w:val="none" w:sz="0" w:space="0" w:color="auto"/>
                                            <w:bottom w:val="none" w:sz="0" w:space="0" w:color="auto"/>
                                            <w:right w:val="none" w:sz="0" w:space="0" w:color="auto"/>
                                          </w:divBdr>
                                          <w:divsChild>
                                            <w:div w:id="4108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23282">
      <w:bodyDiv w:val="1"/>
      <w:marLeft w:val="0"/>
      <w:marRight w:val="0"/>
      <w:marTop w:val="0"/>
      <w:marBottom w:val="0"/>
      <w:divBdr>
        <w:top w:val="none" w:sz="0" w:space="0" w:color="auto"/>
        <w:left w:val="none" w:sz="0" w:space="0" w:color="auto"/>
        <w:bottom w:val="none" w:sz="0" w:space="0" w:color="auto"/>
        <w:right w:val="none" w:sz="0" w:space="0" w:color="auto"/>
      </w:divBdr>
    </w:div>
    <w:div w:id="159198002">
      <w:bodyDiv w:val="1"/>
      <w:marLeft w:val="0"/>
      <w:marRight w:val="0"/>
      <w:marTop w:val="0"/>
      <w:marBottom w:val="0"/>
      <w:divBdr>
        <w:top w:val="none" w:sz="0" w:space="0" w:color="auto"/>
        <w:left w:val="none" w:sz="0" w:space="0" w:color="auto"/>
        <w:bottom w:val="none" w:sz="0" w:space="0" w:color="auto"/>
        <w:right w:val="none" w:sz="0" w:space="0" w:color="auto"/>
      </w:divBdr>
      <w:divsChild>
        <w:div w:id="1575892576">
          <w:marLeft w:val="0"/>
          <w:marRight w:val="0"/>
          <w:marTop w:val="0"/>
          <w:marBottom w:val="0"/>
          <w:divBdr>
            <w:top w:val="none" w:sz="0" w:space="0" w:color="auto"/>
            <w:left w:val="none" w:sz="0" w:space="0" w:color="auto"/>
            <w:bottom w:val="none" w:sz="0" w:space="0" w:color="auto"/>
            <w:right w:val="none" w:sz="0" w:space="0" w:color="auto"/>
          </w:divBdr>
          <w:divsChild>
            <w:div w:id="2101902530">
              <w:marLeft w:val="0"/>
              <w:marRight w:val="0"/>
              <w:marTop w:val="0"/>
              <w:marBottom w:val="0"/>
              <w:divBdr>
                <w:top w:val="none" w:sz="0" w:space="0" w:color="auto"/>
                <w:left w:val="none" w:sz="0" w:space="0" w:color="auto"/>
                <w:bottom w:val="none" w:sz="0" w:space="0" w:color="auto"/>
                <w:right w:val="none" w:sz="0" w:space="0" w:color="auto"/>
              </w:divBdr>
              <w:divsChild>
                <w:div w:id="1511025918">
                  <w:marLeft w:val="0"/>
                  <w:marRight w:val="0"/>
                  <w:marTop w:val="0"/>
                  <w:marBottom w:val="0"/>
                  <w:divBdr>
                    <w:top w:val="none" w:sz="0" w:space="0" w:color="auto"/>
                    <w:left w:val="none" w:sz="0" w:space="0" w:color="auto"/>
                    <w:bottom w:val="none" w:sz="0" w:space="0" w:color="auto"/>
                    <w:right w:val="none" w:sz="0" w:space="0" w:color="auto"/>
                  </w:divBdr>
                  <w:divsChild>
                    <w:div w:id="1902515297">
                      <w:marLeft w:val="0"/>
                      <w:marRight w:val="0"/>
                      <w:marTop w:val="0"/>
                      <w:marBottom w:val="0"/>
                      <w:divBdr>
                        <w:top w:val="none" w:sz="0" w:space="0" w:color="auto"/>
                        <w:left w:val="none" w:sz="0" w:space="0" w:color="auto"/>
                        <w:bottom w:val="none" w:sz="0" w:space="0" w:color="auto"/>
                        <w:right w:val="none" w:sz="0" w:space="0" w:color="auto"/>
                      </w:divBdr>
                      <w:divsChild>
                        <w:div w:id="1963225916">
                          <w:marLeft w:val="0"/>
                          <w:marRight w:val="0"/>
                          <w:marTop w:val="0"/>
                          <w:marBottom w:val="0"/>
                          <w:divBdr>
                            <w:top w:val="none" w:sz="0" w:space="0" w:color="auto"/>
                            <w:left w:val="none" w:sz="0" w:space="0" w:color="auto"/>
                            <w:bottom w:val="none" w:sz="0" w:space="0" w:color="auto"/>
                            <w:right w:val="none" w:sz="0" w:space="0" w:color="auto"/>
                          </w:divBdr>
                          <w:divsChild>
                            <w:div w:id="1431924073">
                              <w:marLeft w:val="0"/>
                              <w:marRight w:val="0"/>
                              <w:marTop w:val="0"/>
                              <w:marBottom w:val="0"/>
                              <w:divBdr>
                                <w:top w:val="none" w:sz="0" w:space="0" w:color="auto"/>
                                <w:left w:val="none" w:sz="0" w:space="0" w:color="auto"/>
                                <w:bottom w:val="none" w:sz="0" w:space="0" w:color="auto"/>
                                <w:right w:val="none" w:sz="0" w:space="0" w:color="auto"/>
                              </w:divBdr>
                              <w:divsChild>
                                <w:div w:id="1790052481">
                                  <w:marLeft w:val="0"/>
                                  <w:marRight w:val="0"/>
                                  <w:marTop w:val="0"/>
                                  <w:marBottom w:val="0"/>
                                  <w:divBdr>
                                    <w:top w:val="none" w:sz="0" w:space="0" w:color="auto"/>
                                    <w:left w:val="none" w:sz="0" w:space="0" w:color="auto"/>
                                    <w:bottom w:val="none" w:sz="0" w:space="0" w:color="auto"/>
                                    <w:right w:val="none" w:sz="0" w:space="0" w:color="auto"/>
                                  </w:divBdr>
                                  <w:divsChild>
                                    <w:div w:id="1093864949">
                                      <w:marLeft w:val="0"/>
                                      <w:marRight w:val="0"/>
                                      <w:marTop w:val="0"/>
                                      <w:marBottom w:val="0"/>
                                      <w:divBdr>
                                        <w:top w:val="none" w:sz="0" w:space="0" w:color="auto"/>
                                        <w:left w:val="none" w:sz="0" w:space="0" w:color="auto"/>
                                        <w:bottom w:val="none" w:sz="0" w:space="0" w:color="auto"/>
                                        <w:right w:val="none" w:sz="0" w:space="0" w:color="auto"/>
                                      </w:divBdr>
                                      <w:divsChild>
                                        <w:div w:id="424305713">
                                          <w:marLeft w:val="0"/>
                                          <w:marRight w:val="0"/>
                                          <w:marTop w:val="0"/>
                                          <w:marBottom w:val="0"/>
                                          <w:divBdr>
                                            <w:top w:val="none" w:sz="0" w:space="0" w:color="auto"/>
                                            <w:left w:val="none" w:sz="0" w:space="0" w:color="auto"/>
                                            <w:bottom w:val="none" w:sz="0" w:space="0" w:color="auto"/>
                                            <w:right w:val="none" w:sz="0" w:space="0" w:color="auto"/>
                                          </w:divBdr>
                                          <w:divsChild>
                                            <w:div w:id="1187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242572">
      <w:bodyDiv w:val="1"/>
      <w:marLeft w:val="0"/>
      <w:marRight w:val="0"/>
      <w:marTop w:val="0"/>
      <w:marBottom w:val="0"/>
      <w:divBdr>
        <w:top w:val="none" w:sz="0" w:space="0" w:color="auto"/>
        <w:left w:val="none" w:sz="0" w:space="0" w:color="auto"/>
        <w:bottom w:val="none" w:sz="0" w:space="0" w:color="auto"/>
        <w:right w:val="none" w:sz="0" w:space="0" w:color="auto"/>
      </w:divBdr>
    </w:div>
    <w:div w:id="252709580">
      <w:bodyDiv w:val="1"/>
      <w:marLeft w:val="0"/>
      <w:marRight w:val="0"/>
      <w:marTop w:val="0"/>
      <w:marBottom w:val="0"/>
      <w:divBdr>
        <w:top w:val="none" w:sz="0" w:space="0" w:color="auto"/>
        <w:left w:val="none" w:sz="0" w:space="0" w:color="auto"/>
        <w:bottom w:val="none" w:sz="0" w:space="0" w:color="auto"/>
        <w:right w:val="none" w:sz="0" w:space="0" w:color="auto"/>
      </w:divBdr>
      <w:divsChild>
        <w:div w:id="356001802">
          <w:marLeft w:val="0"/>
          <w:marRight w:val="0"/>
          <w:marTop w:val="0"/>
          <w:marBottom w:val="0"/>
          <w:divBdr>
            <w:top w:val="none" w:sz="0" w:space="0" w:color="auto"/>
            <w:left w:val="none" w:sz="0" w:space="0" w:color="auto"/>
            <w:bottom w:val="none" w:sz="0" w:space="0" w:color="auto"/>
            <w:right w:val="none" w:sz="0" w:space="0" w:color="auto"/>
          </w:divBdr>
          <w:divsChild>
            <w:div w:id="33428946">
              <w:marLeft w:val="0"/>
              <w:marRight w:val="0"/>
              <w:marTop w:val="0"/>
              <w:marBottom w:val="0"/>
              <w:divBdr>
                <w:top w:val="none" w:sz="0" w:space="0" w:color="auto"/>
                <w:left w:val="none" w:sz="0" w:space="0" w:color="auto"/>
                <w:bottom w:val="none" w:sz="0" w:space="0" w:color="auto"/>
                <w:right w:val="none" w:sz="0" w:space="0" w:color="auto"/>
              </w:divBdr>
              <w:divsChild>
                <w:div w:id="1470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90901">
      <w:bodyDiv w:val="1"/>
      <w:marLeft w:val="0"/>
      <w:marRight w:val="0"/>
      <w:marTop w:val="0"/>
      <w:marBottom w:val="0"/>
      <w:divBdr>
        <w:top w:val="none" w:sz="0" w:space="0" w:color="auto"/>
        <w:left w:val="none" w:sz="0" w:space="0" w:color="auto"/>
        <w:bottom w:val="none" w:sz="0" w:space="0" w:color="auto"/>
        <w:right w:val="none" w:sz="0" w:space="0" w:color="auto"/>
      </w:divBdr>
      <w:divsChild>
        <w:div w:id="1089615226">
          <w:marLeft w:val="0"/>
          <w:marRight w:val="0"/>
          <w:marTop w:val="0"/>
          <w:marBottom w:val="0"/>
          <w:divBdr>
            <w:top w:val="none" w:sz="0" w:space="0" w:color="auto"/>
            <w:left w:val="none" w:sz="0" w:space="0" w:color="auto"/>
            <w:bottom w:val="none" w:sz="0" w:space="0" w:color="auto"/>
            <w:right w:val="none" w:sz="0" w:space="0" w:color="auto"/>
          </w:divBdr>
          <w:divsChild>
            <w:div w:id="1515995946">
              <w:marLeft w:val="0"/>
              <w:marRight w:val="0"/>
              <w:marTop w:val="0"/>
              <w:marBottom w:val="0"/>
              <w:divBdr>
                <w:top w:val="none" w:sz="0" w:space="0" w:color="auto"/>
                <w:left w:val="none" w:sz="0" w:space="0" w:color="auto"/>
                <w:bottom w:val="none" w:sz="0" w:space="0" w:color="auto"/>
                <w:right w:val="none" w:sz="0" w:space="0" w:color="auto"/>
              </w:divBdr>
              <w:divsChild>
                <w:div w:id="574706930">
                  <w:marLeft w:val="0"/>
                  <w:marRight w:val="0"/>
                  <w:marTop w:val="0"/>
                  <w:marBottom w:val="0"/>
                  <w:divBdr>
                    <w:top w:val="none" w:sz="0" w:space="0" w:color="auto"/>
                    <w:left w:val="none" w:sz="0" w:space="0" w:color="auto"/>
                    <w:bottom w:val="none" w:sz="0" w:space="0" w:color="auto"/>
                    <w:right w:val="none" w:sz="0" w:space="0" w:color="auto"/>
                  </w:divBdr>
                  <w:divsChild>
                    <w:div w:id="1284996185">
                      <w:marLeft w:val="0"/>
                      <w:marRight w:val="0"/>
                      <w:marTop w:val="0"/>
                      <w:marBottom w:val="0"/>
                      <w:divBdr>
                        <w:top w:val="none" w:sz="0" w:space="0" w:color="auto"/>
                        <w:left w:val="none" w:sz="0" w:space="0" w:color="auto"/>
                        <w:bottom w:val="none" w:sz="0" w:space="0" w:color="auto"/>
                        <w:right w:val="none" w:sz="0" w:space="0" w:color="auto"/>
                      </w:divBdr>
                      <w:divsChild>
                        <w:div w:id="15964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507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406">
          <w:marLeft w:val="0"/>
          <w:marRight w:val="0"/>
          <w:marTop w:val="0"/>
          <w:marBottom w:val="0"/>
          <w:divBdr>
            <w:top w:val="none" w:sz="0" w:space="0" w:color="auto"/>
            <w:left w:val="none" w:sz="0" w:space="0" w:color="auto"/>
            <w:bottom w:val="none" w:sz="0" w:space="0" w:color="auto"/>
            <w:right w:val="none" w:sz="0" w:space="0" w:color="auto"/>
          </w:divBdr>
          <w:divsChild>
            <w:div w:id="1290865504">
              <w:marLeft w:val="0"/>
              <w:marRight w:val="0"/>
              <w:marTop w:val="0"/>
              <w:marBottom w:val="0"/>
              <w:divBdr>
                <w:top w:val="none" w:sz="0" w:space="0" w:color="auto"/>
                <w:left w:val="none" w:sz="0" w:space="0" w:color="auto"/>
                <w:bottom w:val="none" w:sz="0" w:space="0" w:color="auto"/>
                <w:right w:val="none" w:sz="0" w:space="0" w:color="auto"/>
              </w:divBdr>
              <w:divsChild>
                <w:div w:id="2053577949">
                  <w:marLeft w:val="0"/>
                  <w:marRight w:val="0"/>
                  <w:marTop w:val="0"/>
                  <w:marBottom w:val="0"/>
                  <w:divBdr>
                    <w:top w:val="none" w:sz="0" w:space="0" w:color="auto"/>
                    <w:left w:val="none" w:sz="0" w:space="0" w:color="auto"/>
                    <w:bottom w:val="none" w:sz="0" w:space="0" w:color="auto"/>
                    <w:right w:val="none" w:sz="0" w:space="0" w:color="auto"/>
                  </w:divBdr>
                  <w:divsChild>
                    <w:div w:id="1003582472">
                      <w:marLeft w:val="0"/>
                      <w:marRight w:val="0"/>
                      <w:marTop w:val="0"/>
                      <w:marBottom w:val="0"/>
                      <w:divBdr>
                        <w:top w:val="none" w:sz="0" w:space="0" w:color="auto"/>
                        <w:left w:val="none" w:sz="0" w:space="0" w:color="auto"/>
                        <w:bottom w:val="none" w:sz="0" w:space="0" w:color="auto"/>
                        <w:right w:val="none" w:sz="0" w:space="0" w:color="auto"/>
                      </w:divBdr>
                      <w:divsChild>
                        <w:div w:id="1846893079">
                          <w:marLeft w:val="0"/>
                          <w:marRight w:val="0"/>
                          <w:marTop w:val="0"/>
                          <w:marBottom w:val="0"/>
                          <w:divBdr>
                            <w:top w:val="none" w:sz="0" w:space="0" w:color="auto"/>
                            <w:left w:val="none" w:sz="0" w:space="0" w:color="auto"/>
                            <w:bottom w:val="none" w:sz="0" w:space="0" w:color="auto"/>
                            <w:right w:val="none" w:sz="0" w:space="0" w:color="auto"/>
                          </w:divBdr>
                          <w:divsChild>
                            <w:div w:id="165941068">
                              <w:marLeft w:val="0"/>
                              <w:marRight w:val="0"/>
                              <w:marTop w:val="0"/>
                              <w:marBottom w:val="0"/>
                              <w:divBdr>
                                <w:top w:val="none" w:sz="0" w:space="0" w:color="auto"/>
                                <w:left w:val="none" w:sz="0" w:space="0" w:color="auto"/>
                                <w:bottom w:val="none" w:sz="0" w:space="0" w:color="auto"/>
                                <w:right w:val="none" w:sz="0" w:space="0" w:color="auto"/>
                              </w:divBdr>
                              <w:divsChild>
                                <w:div w:id="723483874">
                                  <w:marLeft w:val="0"/>
                                  <w:marRight w:val="0"/>
                                  <w:marTop w:val="0"/>
                                  <w:marBottom w:val="0"/>
                                  <w:divBdr>
                                    <w:top w:val="none" w:sz="0" w:space="0" w:color="auto"/>
                                    <w:left w:val="none" w:sz="0" w:space="0" w:color="auto"/>
                                    <w:bottom w:val="none" w:sz="0" w:space="0" w:color="auto"/>
                                    <w:right w:val="none" w:sz="0" w:space="0" w:color="auto"/>
                                  </w:divBdr>
                                  <w:divsChild>
                                    <w:div w:id="1371614799">
                                      <w:marLeft w:val="0"/>
                                      <w:marRight w:val="0"/>
                                      <w:marTop w:val="0"/>
                                      <w:marBottom w:val="0"/>
                                      <w:divBdr>
                                        <w:top w:val="none" w:sz="0" w:space="0" w:color="auto"/>
                                        <w:left w:val="none" w:sz="0" w:space="0" w:color="auto"/>
                                        <w:bottom w:val="none" w:sz="0" w:space="0" w:color="auto"/>
                                        <w:right w:val="none" w:sz="0" w:space="0" w:color="auto"/>
                                      </w:divBdr>
                                      <w:divsChild>
                                        <w:div w:id="436682385">
                                          <w:marLeft w:val="0"/>
                                          <w:marRight w:val="0"/>
                                          <w:marTop w:val="0"/>
                                          <w:marBottom w:val="0"/>
                                          <w:divBdr>
                                            <w:top w:val="none" w:sz="0" w:space="0" w:color="auto"/>
                                            <w:left w:val="none" w:sz="0" w:space="0" w:color="auto"/>
                                            <w:bottom w:val="none" w:sz="0" w:space="0" w:color="auto"/>
                                            <w:right w:val="none" w:sz="0" w:space="0" w:color="auto"/>
                                          </w:divBdr>
                                          <w:divsChild>
                                            <w:div w:id="21339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334220">
      <w:bodyDiv w:val="1"/>
      <w:marLeft w:val="0"/>
      <w:marRight w:val="0"/>
      <w:marTop w:val="0"/>
      <w:marBottom w:val="0"/>
      <w:divBdr>
        <w:top w:val="none" w:sz="0" w:space="0" w:color="auto"/>
        <w:left w:val="none" w:sz="0" w:space="0" w:color="auto"/>
        <w:bottom w:val="none" w:sz="0" w:space="0" w:color="auto"/>
        <w:right w:val="none" w:sz="0" w:space="0" w:color="auto"/>
      </w:divBdr>
      <w:divsChild>
        <w:div w:id="1597590241">
          <w:marLeft w:val="0"/>
          <w:marRight w:val="0"/>
          <w:marTop w:val="0"/>
          <w:marBottom w:val="0"/>
          <w:divBdr>
            <w:top w:val="none" w:sz="0" w:space="0" w:color="auto"/>
            <w:left w:val="none" w:sz="0" w:space="0" w:color="auto"/>
            <w:bottom w:val="none" w:sz="0" w:space="0" w:color="auto"/>
            <w:right w:val="none" w:sz="0" w:space="0" w:color="auto"/>
          </w:divBdr>
          <w:divsChild>
            <w:div w:id="1740904362">
              <w:marLeft w:val="0"/>
              <w:marRight w:val="0"/>
              <w:marTop w:val="0"/>
              <w:marBottom w:val="0"/>
              <w:divBdr>
                <w:top w:val="none" w:sz="0" w:space="0" w:color="auto"/>
                <w:left w:val="none" w:sz="0" w:space="0" w:color="auto"/>
                <w:bottom w:val="none" w:sz="0" w:space="0" w:color="auto"/>
                <w:right w:val="none" w:sz="0" w:space="0" w:color="auto"/>
              </w:divBdr>
              <w:divsChild>
                <w:div w:id="1384255285">
                  <w:marLeft w:val="0"/>
                  <w:marRight w:val="0"/>
                  <w:marTop w:val="0"/>
                  <w:marBottom w:val="0"/>
                  <w:divBdr>
                    <w:top w:val="none" w:sz="0" w:space="0" w:color="auto"/>
                    <w:left w:val="none" w:sz="0" w:space="0" w:color="auto"/>
                    <w:bottom w:val="none" w:sz="0" w:space="0" w:color="auto"/>
                    <w:right w:val="none" w:sz="0" w:space="0" w:color="auto"/>
                  </w:divBdr>
                  <w:divsChild>
                    <w:div w:id="1161114845">
                      <w:marLeft w:val="0"/>
                      <w:marRight w:val="0"/>
                      <w:marTop w:val="0"/>
                      <w:marBottom w:val="0"/>
                      <w:divBdr>
                        <w:top w:val="none" w:sz="0" w:space="0" w:color="auto"/>
                        <w:left w:val="none" w:sz="0" w:space="0" w:color="auto"/>
                        <w:bottom w:val="none" w:sz="0" w:space="0" w:color="auto"/>
                        <w:right w:val="none" w:sz="0" w:space="0" w:color="auto"/>
                      </w:divBdr>
                    </w:div>
                    <w:div w:id="742874734">
                      <w:marLeft w:val="0"/>
                      <w:marRight w:val="0"/>
                      <w:marTop w:val="0"/>
                      <w:marBottom w:val="0"/>
                      <w:divBdr>
                        <w:top w:val="none" w:sz="0" w:space="0" w:color="auto"/>
                        <w:left w:val="none" w:sz="0" w:space="0" w:color="auto"/>
                        <w:bottom w:val="none" w:sz="0" w:space="0" w:color="auto"/>
                        <w:right w:val="none" w:sz="0" w:space="0" w:color="auto"/>
                      </w:divBdr>
                    </w:div>
                    <w:div w:id="11553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4135">
      <w:bodyDiv w:val="1"/>
      <w:marLeft w:val="0"/>
      <w:marRight w:val="0"/>
      <w:marTop w:val="0"/>
      <w:marBottom w:val="0"/>
      <w:divBdr>
        <w:top w:val="none" w:sz="0" w:space="0" w:color="auto"/>
        <w:left w:val="none" w:sz="0" w:space="0" w:color="auto"/>
        <w:bottom w:val="none" w:sz="0" w:space="0" w:color="auto"/>
        <w:right w:val="none" w:sz="0" w:space="0" w:color="auto"/>
      </w:divBdr>
      <w:divsChild>
        <w:div w:id="905652241">
          <w:marLeft w:val="0"/>
          <w:marRight w:val="0"/>
          <w:marTop w:val="0"/>
          <w:marBottom w:val="0"/>
          <w:divBdr>
            <w:top w:val="none" w:sz="0" w:space="0" w:color="auto"/>
            <w:left w:val="none" w:sz="0" w:space="0" w:color="auto"/>
            <w:bottom w:val="none" w:sz="0" w:space="0" w:color="auto"/>
            <w:right w:val="none" w:sz="0" w:space="0" w:color="auto"/>
          </w:divBdr>
          <w:divsChild>
            <w:div w:id="17713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2633">
      <w:bodyDiv w:val="1"/>
      <w:marLeft w:val="0"/>
      <w:marRight w:val="0"/>
      <w:marTop w:val="0"/>
      <w:marBottom w:val="0"/>
      <w:divBdr>
        <w:top w:val="none" w:sz="0" w:space="0" w:color="auto"/>
        <w:left w:val="none" w:sz="0" w:space="0" w:color="auto"/>
        <w:bottom w:val="none" w:sz="0" w:space="0" w:color="auto"/>
        <w:right w:val="none" w:sz="0" w:space="0" w:color="auto"/>
      </w:divBdr>
    </w:div>
    <w:div w:id="795178794">
      <w:bodyDiv w:val="1"/>
      <w:marLeft w:val="0"/>
      <w:marRight w:val="0"/>
      <w:marTop w:val="0"/>
      <w:marBottom w:val="0"/>
      <w:divBdr>
        <w:top w:val="none" w:sz="0" w:space="0" w:color="auto"/>
        <w:left w:val="none" w:sz="0" w:space="0" w:color="auto"/>
        <w:bottom w:val="none" w:sz="0" w:space="0" w:color="auto"/>
        <w:right w:val="none" w:sz="0" w:space="0" w:color="auto"/>
      </w:divBdr>
      <w:divsChild>
        <w:div w:id="225649591">
          <w:marLeft w:val="0"/>
          <w:marRight w:val="0"/>
          <w:marTop w:val="0"/>
          <w:marBottom w:val="0"/>
          <w:divBdr>
            <w:top w:val="none" w:sz="0" w:space="0" w:color="auto"/>
            <w:left w:val="none" w:sz="0" w:space="0" w:color="auto"/>
            <w:bottom w:val="none" w:sz="0" w:space="0" w:color="auto"/>
            <w:right w:val="none" w:sz="0" w:space="0" w:color="auto"/>
          </w:divBdr>
          <w:divsChild>
            <w:div w:id="1559781169">
              <w:marLeft w:val="0"/>
              <w:marRight w:val="0"/>
              <w:marTop w:val="0"/>
              <w:marBottom w:val="0"/>
              <w:divBdr>
                <w:top w:val="none" w:sz="0" w:space="0" w:color="auto"/>
                <w:left w:val="none" w:sz="0" w:space="0" w:color="auto"/>
                <w:bottom w:val="none" w:sz="0" w:space="0" w:color="auto"/>
                <w:right w:val="none" w:sz="0" w:space="0" w:color="auto"/>
              </w:divBdr>
              <w:divsChild>
                <w:div w:id="234779799">
                  <w:marLeft w:val="0"/>
                  <w:marRight w:val="0"/>
                  <w:marTop w:val="0"/>
                  <w:marBottom w:val="0"/>
                  <w:divBdr>
                    <w:top w:val="single" w:sz="6" w:space="6" w:color="E5E5E5"/>
                    <w:left w:val="single" w:sz="6" w:space="8" w:color="E5E5E5"/>
                    <w:bottom w:val="single" w:sz="6" w:space="6" w:color="E5E5E5"/>
                    <w:right w:val="single" w:sz="6" w:space="8" w:color="E5E5E5"/>
                  </w:divBdr>
                  <w:divsChild>
                    <w:div w:id="964962941">
                      <w:marLeft w:val="0"/>
                      <w:marRight w:val="0"/>
                      <w:marTop w:val="0"/>
                      <w:marBottom w:val="0"/>
                      <w:divBdr>
                        <w:top w:val="none" w:sz="0" w:space="0" w:color="auto"/>
                        <w:left w:val="none" w:sz="0" w:space="0" w:color="auto"/>
                        <w:bottom w:val="none" w:sz="0" w:space="0" w:color="auto"/>
                        <w:right w:val="none" w:sz="0" w:space="0" w:color="auto"/>
                      </w:divBdr>
                      <w:divsChild>
                        <w:div w:id="1232348698">
                          <w:marLeft w:val="0"/>
                          <w:marRight w:val="0"/>
                          <w:marTop w:val="0"/>
                          <w:marBottom w:val="0"/>
                          <w:divBdr>
                            <w:top w:val="none" w:sz="0" w:space="0" w:color="auto"/>
                            <w:left w:val="none" w:sz="0" w:space="0" w:color="auto"/>
                            <w:bottom w:val="none" w:sz="0" w:space="0" w:color="auto"/>
                            <w:right w:val="none" w:sz="0" w:space="0" w:color="auto"/>
                          </w:divBdr>
                          <w:divsChild>
                            <w:div w:id="1160652424">
                              <w:marLeft w:val="0"/>
                              <w:marRight w:val="0"/>
                              <w:marTop w:val="0"/>
                              <w:marBottom w:val="0"/>
                              <w:divBdr>
                                <w:top w:val="none" w:sz="0" w:space="0" w:color="auto"/>
                                <w:left w:val="none" w:sz="0" w:space="0" w:color="auto"/>
                                <w:bottom w:val="none" w:sz="0" w:space="0" w:color="auto"/>
                                <w:right w:val="none" w:sz="0" w:space="0" w:color="auto"/>
                              </w:divBdr>
                              <w:divsChild>
                                <w:div w:id="2045209332">
                                  <w:marLeft w:val="0"/>
                                  <w:marRight w:val="0"/>
                                  <w:marTop w:val="0"/>
                                  <w:marBottom w:val="0"/>
                                  <w:divBdr>
                                    <w:top w:val="none" w:sz="0" w:space="0" w:color="auto"/>
                                    <w:left w:val="none" w:sz="0" w:space="0" w:color="auto"/>
                                    <w:bottom w:val="none" w:sz="0" w:space="0" w:color="auto"/>
                                    <w:right w:val="none" w:sz="0" w:space="0" w:color="auto"/>
                                  </w:divBdr>
                                  <w:divsChild>
                                    <w:div w:id="3474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115154">
      <w:bodyDiv w:val="1"/>
      <w:marLeft w:val="0"/>
      <w:marRight w:val="0"/>
      <w:marTop w:val="0"/>
      <w:marBottom w:val="0"/>
      <w:divBdr>
        <w:top w:val="none" w:sz="0" w:space="0" w:color="auto"/>
        <w:left w:val="none" w:sz="0" w:space="0" w:color="auto"/>
        <w:bottom w:val="none" w:sz="0" w:space="0" w:color="auto"/>
        <w:right w:val="none" w:sz="0" w:space="0" w:color="auto"/>
      </w:divBdr>
    </w:div>
    <w:div w:id="1040738383">
      <w:bodyDiv w:val="1"/>
      <w:marLeft w:val="0"/>
      <w:marRight w:val="0"/>
      <w:marTop w:val="0"/>
      <w:marBottom w:val="0"/>
      <w:divBdr>
        <w:top w:val="none" w:sz="0" w:space="0" w:color="auto"/>
        <w:left w:val="none" w:sz="0" w:space="0" w:color="auto"/>
        <w:bottom w:val="none" w:sz="0" w:space="0" w:color="auto"/>
        <w:right w:val="none" w:sz="0" w:space="0" w:color="auto"/>
      </w:divBdr>
      <w:divsChild>
        <w:div w:id="158884299">
          <w:marLeft w:val="0"/>
          <w:marRight w:val="0"/>
          <w:marTop w:val="0"/>
          <w:marBottom w:val="0"/>
          <w:divBdr>
            <w:top w:val="none" w:sz="0" w:space="0" w:color="auto"/>
            <w:left w:val="none" w:sz="0" w:space="0" w:color="auto"/>
            <w:bottom w:val="none" w:sz="0" w:space="0" w:color="auto"/>
            <w:right w:val="none" w:sz="0" w:space="0" w:color="auto"/>
          </w:divBdr>
          <w:divsChild>
            <w:div w:id="788817937">
              <w:marLeft w:val="0"/>
              <w:marRight w:val="0"/>
              <w:marTop w:val="0"/>
              <w:marBottom w:val="0"/>
              <w:divBdr>
                <w:top w:val="none" w:sz="0" w:space="0" w:color="auto"/>
                <w:left w:val="none" w:sz="0" w:space="0" w:color="auto"/>
                <w:bottom w:val="none" w:sz="0" w:space="0" w:color="auto"/>
                <w:right w:val="none" w:sz="0" w:space="0" w:color="auto"/>
              </w:divBdr>
              <w:divsChild>
                <w:div w:id="1588222243">
                  <w:marLeft w:val="0"/>
                  <w:marRight w:val="0"/>
                  <w:marTop w:val="0"/>
                  <w:marBottom w:val="0"/>
                  <w:divBdr>
                    <w:top w:val="none" w:sz="0" w:space="0" w:color="auto"/>
                    <w:left w:val="none" w:sz="0" w:space="0" w:color="auto"/>
                    <w:bottom w:val="none" w:sz="0" w:space="0" w:color="auto"/>
                    <w:right w:val="none" w:sz="0" w:space="0" w:color="auto"/>
                  </w:divBdr>
                  <w:divsChild>
                    <w:div w:id="183520894">
                      <w:marLeft w:val="0"/>
                      <w:marRight w:val="0"/>
                      <w:marTop w:val="0"/>
                      <w:marBottom w:val="0"/>
                      <w:divBdr>
                        <w:top w:val="none" w:sz="0" w:space="0" w:color="auto"/>
                        <w:left w:val="none" w:sz="0" w:space="0" w:color="auto"/>
                        <w:bottom w:val="none" w:sz="0" w:space="0" w:color="auto"/>
                        <w:right w:val="none" w:sz="0" w:space="0" w:color="auto"/>
                      </w:divBdr>
                      <w:divsChild>
                        <w:div w:id="934290121">
                          <w:marLeft w:val="0"/>
                          <w:marRight w:val="0"/>
                          <w:marTop w:val="0"/>
                          <w:marBottom w:val="0"/>
                          <w:divBdr>
                            <w:top w:val="none" w:sz="0" w:space="0" w:color="auto"/>
                            <w:left w:val="none" w:sz="0" w:space="0" w:color="auto"/>
                            <w:bottom w:val="none" w:sz="0" w:space="0" w:color="auto"/>
                            <w:right w:val="none" w:sz="0" w:space="0" w:color="auto"/>
                          </w:divBdr>
                          <w:divsChild>
                            <w:div w:id="1039470154">
                              <w:marLeft w:val="0"/>
                              <w:marRight w:val="0"/>
                              <w:marTop w:val="0"/>
                              <w:marBottom w:val="0"/>
                              <w:divBdr>
                                <w:top w:val="none" w:sz="0" w:space="0" w:color="auto"/>
                                <w:left w:val="none" w:sz="0" w:space="0" w:color="auto"/>
                                <w:bottom w:val="none" w:sz="0" w:space="0" w:color="auto"/>
                                <w:right w:val="none" w:sz="0" w:space="0" w:color="auto"/>
                              </w:divBdr>
                              <w:divsChild>
                                <w:div w:id="1500340759">
                                  <w:marLeft w:val="0"/>
                                  <w:marRight w:val="0"/>
                                  <w:marTop w:val="0"/>
                                  <w:marBottom w:val="0"/>
                                  <w:divBdr>
                                    <w:top w:val="none" w:sz="0" w:space="0" w:color="auto"/>
                                    <w:left w:val="none" w:sz="0" w:space="0" w:color="auto"/>
                                    <w:bottom w:val="none" w:sz="0" w:space="0" w:color="auto"/>
                                    <w:right w:val="none" w:sz="0" w:space="0" w:color="auto"/>
                                  </w:divBdr>
                                  <w:divsChild>
                                    <w:div w:id="1428035578">
                                      <w:marLeft w:val="0"/>
                                      <w:marRight w:val="0"/>
                                      <w:marTop w:val="0"/>
                                      <w:marBottom w:val="0"/>
                                      <w:divBdr>
                                        <w:top w:val="none" w:sz="0" w:space="0" w:color="auto"/>
                                        <w:left w:val="none" w:sz="0" w:space="0" w:color="auto"/>
                                        <w:bottom w:val="none" w:sz="0" w:space="0" w:color="auto"/>
                                        <w:right w:val="none" w:sz="0" w:space="0" w:color="auto"/>
                                      </w:divBdr>
                                      <w:divsChild>
                                        <w:div w:id="1978533173">
                                          <w:marLeft w:val="0"/>
                                          <w:marRight w:val="0"/>
                                          <w:marTop w:val="0"/>
                                          <w:marBottom w:val="0"/>
                                          <w:divBdr>
                                            <w:top w:val="none" w:sz="0" w:space="0" w:color="auto"/>
                                            <w:left w:val="none" w:sz="0" w:space="0" w:color="auto"/>
                                            <w:bottom w:val="none" w:sz="0" w:space="0" w:color="auto"/>
                                            <w:right w:val="none" w:sz="0" w:space="0" w:color="auto"/>
                                          </w:divBdr>
                                          <w:divsChild>
                                            <w:div w:id="14855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541045">
      <w:bodyDiv w:val="1"/>
      <w:marLeft w:val="0"/>
      <w:marRight w:val="0"/>
      <w:marTop w:val="0"/>
      <w:marBottom w:val="0"/>
      <w:divBdr>
        <w:top w:val="none" w:sz="0" w:space="0" w:color="auto"/>
        <w:left w:val="none" w:sz="0" w:space="0" w:color="auto"/>
        <w:bottom w:val="none" w:sz="0" w:space="0" w:color="auto"/>
        <w:right w:val="none" w:sz="0" w:space="0" w:color="auto"/>
      </w:divBdr>
      <w:divsChild>
        <w:div w:id="1078289607">
          <w:marLeft w:val="0"/>
          <w:marRight w:val="0"/>
          <w:marTop w:val="0"/>
          <w:marBottom w:val="0"/>
          <w:divBdr>
            <w:top w:val="none" w:sz="0" w:space="0" w:color="auto"/>
            <w:left w:val="none" w:sz="0" w:space="0" w:color="auto"/>
            <w:bottom w:val="none" w:sz="0" w:space="0" w:color="auto"/>
            <w:right w:val="none" w:sz="0" w:space="0" w:color="auto"/>
          </w:divBdr>
          <w:divsChild>
            <w:div w:id="1557083565">
              <w:marLeft w:val="0"/>
              <w:marRight w:val="0"/>
              <w:marTop w:val="0"/>
              <w:marBottom w:val="0"/>
              <w:divBdr>
                <w:top w:val="none" w:sz="0" w:space="0" w:color="auto"/>
                <w:left w:val="none" w:sz="0" w:space="0" w:color="auto"/>
                <w:bottom w:val="none" w:sz="0" w:space="0" w:color="auto"/>
                <w:right w:val="none" w:sz="0" w:space="0" w:color="auto"/>
              </w:divBdr>
              <w:divsChild>
                <w:div w:id="1615938467">
                  <w:marLeft w:val="0"/>
                  <w:marRight w:val="0"/>
                  <w:marTop w:val="0"/>
                  <w:marBottom w:val="0"/>
                  <w:divBdr>
                    <w:top w:val="none" w:sz="0" w:space="0" w:color="auto"/>
                    <w:left w:val="none" w:sz="0" w:space="0" w:color="auto"/>
                    <w:bottom w:val="none" w:sz="0" w:space="0" w:color="auto"/>
                    <w:right w:val="none" w:sz="0" w:space="0" w:color="auto"/>
                  </w:divBdr>
                  <w:divsChild>
                    <w:div w:id="1299998082">
                      <w:marLeft w:val="0"/>
                      <w:marRight w:val="0"/>
                      <w:marTop w:val="0"/>
                      <w:marBottom w:val="0"/>
                      <w:divBdr>
                        <w:top w:val="none" w:sz="0" w:space="0" w:color="auto"/>
                        <w:left w:val="none" w:sz="0" w:space="0" w:color="auto"/>
                        <w:bottom w:val="none" w:sz="0" w:space="0" w:color="auto"/>
                        <w:right w:val="none" w:sz="0" w:space="0" w:color="auto"/>
                      </w:divBdr>
                      <w:divsChild>
                        <w:div w:id="7057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55159">
      <w:bodyDiv w:val="1"/>
      <w:marLeft w:val="0"/>
      <w:marRight w:val="0"/>
      <w:marTop w:val="0"/>
      <w:marBottom w:val="0"/>
      <w:divBdr>
        <w:top w:val="none" w:sz="0" w:space="0" w:color="auto"/>
        <w:left w:val="none" w:sz="0" w:space="0" w:color="auto"/>
        <w:bottom w:val="none" w:sz="0" w:space="0" w:color="auto"/>
        <w:right w:val="none" w:sz="0" w:space="0" w:color="auto"/>
      </w:divBdr>
      <w:divsChild>
        <w:div w:id="286661452">
          <w:marLeft w:val="0"/>
          <w:marRight w:val="0"/>
          <w:marTop w:val="0"/>
          <w:marBottom w:val="0"/>
          <w:divBdr>
            <w:top w:val="none" w:sz="0" w:space="0" w:color="auto"/>
            <w:left w:val="none" w:sz="0" w:space="0" w:color="auto"/>
            <w:bottom w:val="none" w:sz="0" w:space="0" w:color="auto"/>
            <w:right w:val="none" w:sz="0" w:space="0" w:color="auto"/>
          </w:divBdr>
          <w:divsChild>
            <w:div w:id="856818442">
              <w:marLeft w:val="0"/>
              <w:marRight w:val="0"/>
              <w:marTop w:val="0"/>
              <w:marBottom w:val="0"/>
              <w:divBdr>
                <w:top w:val="none" w:sz="0" w:space="0" w:color="auto"/>
                <w:left w:val="none" w:sz="0" w:space="0" w:color="auto"/>
                <w:bottom w:val="none" w:sz="0" w:space="0" w:color="auto"/>
                <w:right w:val="none" w:sz="0" w:space="0" w:color="auto"/>
              </w:divBdr>
              <w:divsChild>
                <w:div w:id="948437287">
                  <w:marLeft w:val="0"/>
                  <w:marRight w:val="0"/>
                  <w:marTop w:val="0"/>
                  <w:marBottom w:val="0"/>
                  <w:divBdr>
                    <w:top w:val="none" w:sz="0" w:space="0" w:color="auto"/>
                    <w:left w:val="none" w:sz="0" w:space="0" w:color="auto"/>
                    <w:bottom w:val="none" w:sz="0" w:space="0" w:color="auto"/>
                    <w:right w:val="none" w:sz="0" w:space="0" w:color="auto"/>
                  </w:divBdr>
                  <w:divsChild>
                    <w:div w:id="1797797243">
                      <w:marLeft w:val="0"/>
                      <w:marRight w:val="0"/>
                      <w:marTop w:val="0"/>
                      <w:marBottom w:val="0"/>
                      <w:divBdr>
                        <w:top w:val="none" w:sz="0" w:space="0" w:color="auto"/>
                        <w:left w:val="none" w:sz="0" w:space="0" w:color="auto"/>
                        <w:bottom w:val="none" w:sz="0" w:space="0" w:color="auto"/>
                        <w:right w:val="none" w:sz="0" w:space="0" w:color="auto"/>
                      </w:divBdr>
                      <w:divsChild>
                        <w:div w:id="17207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18731">
      <w:bodyDiv w:val="1"/>
      <w:marLeft w:val="0"/>
      <w:marRight w:val="0"/>
      <w:marTop w:val="0"/>
      <w:marBottom w:val="0"/>
      <w:divBdr>
        <w:top w:val="none" w:sz="0" w:space="0" w:color="auto"/>
        <w:left w:val="none" w:sz="0" w:space="0" w:color="auto"/>
        <w:bottom w:val="none" w:sz="0" w:space="0" w:color="auto"/>
        <w:right w:val="none" w:sz="0" w:space="0" w:color="auto"/>
      </w:divBdr>
      <w:divsChild>
        <w:div w:id="1894850321">
          <w:marLeft w:val="0"/>
          <w:marRight w:val="0"/>
          <w:marTop w:val="0"/>
          <w:marBottom w:val="0"/>
          <w:divBdr>
            <w:top w:val="none" w:sz="0" w:space="0" w:color="auto"/>
            <w:left w:val="none" w:sz="0" w:space="0" w:color="auto"/>
            <w:bottom w:val="none" w:sz="0" w:space="0" w:color="auto"/>
            <w:right w:val="none" w:sz="0" w:space="0" w:color="auto"/>
          </w:divBdr>
          <w:divsChild>
            <w:div w:id="294145446">
              <w:marLeft w:val="0"/>
              <w:marRight w:val="0"/>
              <w:marTop w:val="0"/>
              <w:marBottom w:val="0"/>
              <w:divBdr>
                <w:top w:val="none" w:sz="0" w:space="0" w:color="auto"/>
                <w:left w:val="none" w:sz="0" w:space="0" w:color="auto"/>
                <w:bottom w:val="none" w:sz="0" w:space="0" w:color="auto"/>
                <w:right w:val="none" w:sz="0" w:space="0" w:color="auto"/>
              </w:divBdr>
              <w:divsChild>
                <w:div w:id="268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2374">
      <w:bodyDiv w:val="1"/>
      <w:marLeft w:val="0"/>
      <w:marRight w:val="0"/>
      <w:marTop w:val="0"/>
      <w:marBottom w:val="0"/>
      <w:divBdr>
        <w:top w:val="none" w:sz="0" w:space="0" w:color="auto"/>
        <w:left w:val="none" w:sz="0" w:space="0" w:color="auto"/>
        <w:bottom w:val="none" w:sz="0" w:space="0" w:color="auto"/>
        <w:right w:val="none" w:sz="0" w:space="0" w:color="auto"/>
      </w:divBdr>
    </w:div>
    <w:div w:id="1514026342">
      <w:bodyDiv w:val="1"/>
      <w:marLeft w:val="0"/>
      <w:marRight w:val="0"/>
      <w:marTop w:val="0"/>
      <w:marBottom w:val="0"/>
      <w:divBdr>
        <w:top w:val="none" w:sz="0" w:space="0" w:color="auto"/>
        <w:left w:val="none" w:sz="0" w:space="0" w:color="auto"/>
        <w:bottom w:val="none" w:sz="0" w:space="0" w:color="auto"/>
        <w:right w:val="none" w:sz="0" w:space="0" w:color="auto"/>
      </w:divBdr>
      <w:divsChild>
        <w:div w:id="2086993986">
          <w:marLeft w:val="0"/>
          <w:marRight w:val="0"/>
          <w:marTop w:val="0"/>
          <w:marBottom w:val="0"/>
          <w:divBdr>
            <w:top w:val="none" w:sz="0" w:space="0" w:color="auto"/>
            <w:left w:val="none" w:sz="0" w:space="0" w:color="auto"/>
            <w:bottom w:val="none" w:sz="0" w:space="0" w:color="auto"/>
            <w:right w:val="none" w:sz="0" w:space="0" w:color="auto"/>
          </w:divBdr>
          <w:divsChild>
            <w:div w:id="836457821">
              <w:marLeft w:val="0"/>
              <w:marRight w:val="0"/>
              <w:marTop w:val="0"/>
              <w:marBottom w:val="0"/>
              <w:divBdr>
                <w:top w:val="none" w:sz="0" w:space="0" w:color="auto"/>
                <w:left w:val="none" w:sz="0" w:space="0" w:color="auto"/>
                <w:bottom w:val="none" w:sz="0" w:space="0" w:color="auto"/>
                <w:right w:val="none" w:sz="0" w:space="0" w:color="auto"/>
              </w:divBdr>
              <w:divsChild>
                <w:div w:id="1633560263">
                  <w:marLeft w:val="0"/>
                  <w:marRight w:val="0"/>
                  <w:marTop w:val="0"/>
                  <w:marBottom w:val="0"/>
                  <w:divBdr>
                    <w:top w:val="single" w:sz="6" w:space="6" w:color="E5E5E5"/>
                    <w:left w:val="single" w:sz="6" w:space="8" w:color="E5E5E5"/>
                    <w:bottom w:val="single" w:sz="6" w:space="6" w:color="E5E5E5"/>
                    <w:right w:val="single" w:sz="6" w:space="8" w:color="E5E5E5"/>
                  </w:divBdr>
                  <w:divsChild>
                    <w:div w:id="434907962">
                      <w:marLeft w:val="0"/>
                      <w:marRight w:val="0"/>
                      <w:marTop w:val="0"/>
                      <w:marBottom w:val="0"/>
                      <w:divBdr>
                        <w:top w:val="none" w:sz="0" w:space="0" w:color="auto"/>
                        <w:left w:val="none" w:sz="0" w:space="0" w:color="auto"/>
                        <w:bottom w:val="none" w:sz="0" w:space="0" w:color="auto"/>
                        <w:right w:val="none" w:sz="0" w:space="0" w:color="auto"/>
                      </w:divBdr>
                      <w:divsChild>
                        <w:div w:id="1641878620">
                          <w:marLeft w:val="0"/>
                          <w:marRight w:val="0"/>
                          <w:marTop w:val="0"/>
                          <w:marBottom w:val="0"/>
                          <w:divBdr>
                            <w:top w:val="none" w:sz="0" w:space="0" w:color="auto"/>
                            <w:left w:val="none" w:sz="0" w:space="0" w:color="auto"/>
                            <w:bottom w:val="none" w:sz="0" w:space="0" w:color="auto"/>
                            <w:right w:val="none" w:sz="0" w:space="0" w:color="auto"/>
                          </w:divBdr>
                          <w:divsChild>
                            <w:div w:id="1202090445">
                              <w:marLeft w:val="0"/>
                              <w:marRight w:val="0"/>
                              <w:marTop w:val="0"/>
                              <w:marBottom w:val="0"/>
                              <w:divBdr>
                                <w:top w:val="none" w:sz="0" w:space="0" w:color="auto"/>
                                <w:left w:val="none" w:sz="0" w:space="0" w:color="auto"/>
                                <w:bottom w:val="none" w:sz="0" w:space="0" w:color="auto"/>
                                <w:right w:val="none" w:sz="0" w:space="0" w:color="auto"/>
                              </w:divBdr>
                              <w:divsChild>
                                <w:div w:id="924455128">
                                  <w:marLeft w:val="0"/>
                                  <w:marRight w:val="0"/>
                                  <w:marTop w:val="0"/>
                                  <w:marBottom w:val="0"/>
                                  <w:divBdr>
                                    <w:top w:val="none" w:sz="0" w:space="0" w:color="auto"/>
                                    <w:left w:val="none" w:sz="0" w:space="0" w:color="auto"/>
                                    <w:bottom w:val="none" w:sz="0" w:space="0" w:color="auto"/>
                                    <w:right w:val="none" w:sz="0" w:space="0" w:color="auto"/>
                                  </w:divBdr>
                                  <w:divsChild>
                                    <w:div w:id="7225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041327">
      <w:bodyDiv w:val="1"/>
      <w:marLeft w:val="0"/>
      <w:marRight w:val="0"/>
      <w:marTop w:val="0"/>
      <w:marBottom w:val="0"/>
      <w:divBdr>
        <w:top w:val="none" w:sz="0" w:space="0" w:color="auto"/>
        <w:left w:val="none" w:sz="0" w:space="0" w:color="auto"/>
        <w:bottom w:val="none" w:sz="0" w:space="0" w:color="auto"/>
        <w:right w:val="none" w:sz="0" w:space="0" w:color="auto"/>
      </w:divBdr>
      <w:divsChild>
        <w:div w:id="1634754719">
          <w:marLeft w:val="0"/>
          <w:marRight w:val="0"/>
          <w:marTop w:val="0"/>
          <w:marBottom w:val="0"/>
          <w:divBdr>
            <w:top w:val="none" w:sz="0" w:space="0" w:color="auto"/>
            <w:left w:val="none" w:sz="0" w:space="0" w:color="auto"/>
            <w:bottom w:val="none" w:sz="0" w:space="0" w:color="auto"/>
            <w:right w:val="none" w:sz="0" w:space="0" w:color="auto"/>
          </w:divBdr>
          <w:divsChild>
            <w:div w:id="503277361">
              <w:marLeft w:val="0"/>
              <w:marRight w:val="0"/>
              <w:marTop w:val="0"/>
              <w:marBottom w:val="0"/>
              <w:divBdr>
                <w:top w:val="none" w:sz="0" w:space="0" w:color="auto"/>
                <w:left w:val="none" w:sz="0" w:space="0" w:color="auto"/>
                <w:bottom w:val="none" w:sz="0" w:space="0" w:color="auto"/>
                <w:right w:val="none" w:sz="0" w:space="0" w:color="auto"/>
              </w:divBdr>
              <w:divsChild>
                <w:div w:id="693266660">
                  <w:marLeft w:val="0"/>
                  <w:marRight w:val="0"/>
                  <w:marTop w:val="0"/>
                  <w:marBottom w:val="0"/>
                  <w:divBdr>
                    <w:top w:val="none" w:sz="0" w:space="0" w:color="auto"/>
                    <w:left w:val="none" w:sz="0" w:space="0" w:color="auto"/>
                    <w:bottom w:val="none" w:sz="0" w:space="0" w:color="auto"/>
                    <w:right w:val="none" w:sz="0" w:space="0" w:color="auto"/>
                  </w:divBdr>
                  <w:divsChild>
                    <w:div w:id="2092390043">
                      <w:marLeft w:val="0"/>
                      <w:marRight w:val="0"/>
                      <w:marTop w:val="0"/>
                      <w:marBottom w:val="0"/>
                      <w:divBdr>
                        <w:top w:val="none" w:sz="0" w:space="0" w:color="auto"/>
                        <w:left w:val="none" w:sz="0" w:space="0" w:color="auto"/>
                        <w:bottom w:val="none" w:sz="0" w:space="0" w:color="auto"/>
                        <w:right w:val="none" w:sz="0" w:space="0" w:color="auto"/>
                      </w:divBdr>
                      <w:divsChild>
                        <w:div w:id="16635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5130">
      <w:bodyDiv w:val="1"/>
      <w:marLeft w:val="0"/>
      <w:marRight w:val="0"/>
      <w:marTop w:val="0"/>
      <w:marBottom w:val="0"/>
      <w:divBdr>
        <w:top w:val="none" w:sz="0" w:space="0" w:color="auto"/>
        <w:left w:val="none" w:sz="0" w:space="0" w:color="auto"/>
        <w:bottom w:val="none" w:sz="0" w:space="0" w:color="auto"/>
        <w:right w:val="none" w:sz="0" w:space="0" w:color="auto"/>
      </w:divBdr>
      <w:divsChild>
        <w:div w:id="1542740687">
          <w:marLeft w:val="0"/>
          <w:marRight w:val="0"/>
          <w:marTop w:val="0"/>
          <w:marBottom w:val="0"/>
          <w:divBdr>
            <w:top w:val="none" w:sz="0" w:space="0" w:color="auto"/>
            <w:left w:val="none" w:sz="0" w:space="0" w:color="auto"/>
            <w:bottom w:val="none" w:sz="0" w:space="0" w:color="auto"/>
            <w:right w:val="none" w:sz="0" w:space="0" w:color="auto"/>
          </w:divBdr>
          <w:divsChild>
            <w:div w:id="803736662">
              <w:marLeft w:val="0"/>
              <w:marRight w:val="0"/>
              <w:marTop w:val="0"/>
              <w:marBottom w:val="0"/>
              <w:divBdr>
                <w:top w:val="none" w:sz="0" w:space="0" w:color="auto"/>
                <w:left w:val="none" w:sz="0" w:space="0" w:color="auto"/>
                <w:bottom w:val="none" w:sz="0" w:space="0" w:color="auto"/>
                <w:right w:val="none" w:sz="0" w:space="0" w:color="auto"/>
              </w:divBdr>
              <w:divsChild>
                <w:div w:id="797140113">
                  <w:marLeft w:val="0"/>
                  <w:marRight w:val="0"/>
                  <w:marTop w:val="0"/>
                  <w:marBottom w:val="0"/>
                  <w:divBdr>
                    <w:top w:val="none" w:sz="0" w:space="0" w:color="auto"/>
                    <w:left w:val="none" w:sz="0" w:space="0" w:color="auto"/>
                    <w:bottom w:val="none" w:sz="0" w:space="0" w:color="auto"/>
                    <w:right w:val="none" w:sz="0" w:space="0" w:color="auto"/>
                  </w:divBdr>
                  <w:divsChild>
                    <w:div w:id="1263997196">
                      <w:marLeft w:val="0"/>
                      <w:marRight w:val="0"/>
                      <w:marTop w:val="0"/>
                      <w:marBottom w:val="0"/>
                      <w:divBdr>
                        <w:top w:val="none" w:sz="0" w:space="0" w:color="auto"/>
                        <w:left w:val="none" w:sz="0" w:space="0" w:color="auto"/>
                        <w:bottom w:val="none" w:sz="0" w:space="0" w:color="auto"/>
                        <w:right w:val="none" w:sz="0" w:space="0" w:color="auto"/>
                      </w:divBdr>
                    </w:div>
                    <w:div w:id="312374304">
                      <w:marLeft w:val="0"/>
                      <w:marRight w:val="0"/>
                      <w:marTop w:val="0"/>
                      <w:marBottom w:val="0"/>
                      <w:divBdr>
                        <w:top w:val="none" w:sz="0" w:space="0" w:color="auto"/>
                        <w:left w:val="none" w:sz="0" w:space="0" w:color="auto"/>
                        <w:bottom w:val="none" w:sz="0" w:space="0" w:color="auto"/>
                        <w:right w:val="none" w:sz="0" w:space="0" w:color="auto"/>
                      </w:divBdr>
                    </w:div>
                    <w:div w:id="310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18314">
      <w:bodyDiv w:val="1"/>
      <w:marLeft w:val="0"/>
      <w:marRight w:val="0"/>
      <w:marTop w:val="0"/>
      <w:marBottom w:val="0"/>
      <w:divBdr>
        <w:top w:val="none" w:sz="0" w:space="0" w:color="auto"/>
        <w:left w:val="none" w:sz="0" w:space="0" w:color="auto"/>
        <w:bottom w:val="none" w:sz="0" w:space="0" w:color="auto"/>
        <w:right w:val="none" w:sz="0" w:space="0" w:color="auto"/>
      </w:divBdr>
    </w:div>
    <w:div w:id="1923175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3565">
          <w:marLeft w:val="0"/>
          <w:marRight w:val="0"/>
          <w:marTop w:val="0"/>
          <w:marBottom w:val="0"/>
          <w:divBdr>
            <w:top w:val="none" w:sz="0" w:space="0" w:color="auto"/>
            <w:left w:val="none" w:sz="0" w:space="0" w:color="auto"/>
            <w:bottom w:val="none" w:sz="0" w:space="0" w:color="auto"/>
            <w:right w:val="none" w:sz="0" w:space="0" w:color="auto"/>
          </w:divBdr>
          <w:divsChild>
            <w:div w:id="639725095">
              <w:marLeft w:val="0"/>
              <w:marRight w:val="0"/>
              <w:marTop w:val="0"/>
              <w:marBottom w:val="0"/>
              <w:divBdr>
                <w:top w:val="none" w:sz="0" w:space="0" w:color="auto"/>
                <w:left w:val="none" w:sz="0" w:space="0" w:color="auto"/>
                <w:bottom w:val="none" w:sz="0" w:space="0" w:color="auto"/>
                <w:right w:val="none" w:sz="0" w:space="0" w:color="auto"/>
              </w:divBdr>
              <w:divsChild>
                <w:div w:id="1426730495">
                  <w:marLeft w:val="0"/>
                  <w:marRight w:val="0"/>
                  <w:marTop w:val="0"/>
                  <w:marBottom w:val="0"/>
                  <w:divBdr>
                    <w:top w:val="none" w:sz="0" w:space="0" w:color="auto"/>
                    <w:left w:val="none" w:sz="0" w:space="0" w:color="auto"/>
                    <w:bottom w:val="none" w:sz="0" w:space="0" w:color="auto"/>
                    <w:right w:val="none" w:sz="0" w:space="0" w:color="auto"/>
                  </w:divBdr>
                  <w:divsChild>
                    <w:div w:id="555822822">
                      <w:marLeft w:val="0"/>
                      <w:marRight w:val="0"/>
                      <w:marTop w:val="0"/>
                      <w:marBottom w:val="0"/>
                      <w:divBdr>
                        <w:top w:val="none" w:sz="0" w:space="0" w:color="auto"/>
                        <w:left w:val="none" w:sz="0" w:space="0" w:color="auto"/>
                        <w:bottom w:val="none" w:sz="0" w:space="0" w:color="auto"/>
                        <w:right w:val="none" w:sz="0" w:space="0" w:color="auto"/>
                      </w:divBdr>
                      <w:divsChild>
                        <w:div w:id="973172197">
                          <w:marLeft w:val="0"/>
                          <w:marRight w:val="0"/>
                          <w:marTop w:val="0"/>
                          <w:marBottom w:val="0"/>
                          <w:divBdr>
                            <w:top w:val="none" w:sz="0" w:space="0" w:color="auto"/>
                            <w:left w:val="none" w:sz="0" w:space="0" w:color="auto"/>
                            <w:bottom w:val="none" w:sz="0" w:space="0" w:color="auto"/>
                            <w:right w:val="none" w:sz="0" w:space="0" w:color="auto"/>
                          </w:divBdr>
                          <w:divsChild>
                            <w:div w:id="1884950203">
                              <w:marLeft w:val="0"/>
                              <w:marRight w:val="0"/>
                              <w:marTop w:val="0"/>
                              <w:marBottom w:val="0"/>
                              <w:divBdr>
                                <w:top w:val="none" w:sz="0" w:space="0" w:color="auto"/>
                                <w:left w:val="none" w:sz="0" w:space="0" w:color="auto"/>
                                <w:bottom w:val="none" w:sz="0" w:space="0" w:color="auto"/>
                                <w:right w:val="none" w:sz="0" w:space="0" w:color="auto"/>
                              </w:divBdr>
                              <w:divsChild>
                                <w:div w:id="1646816473">
                                  <w:marLeft w:val="0"/>
                                  <w:marRight w:val="0"/>
                                  <w:marTop w:val="0"/>
                                  <w:marBottom w:val="0"/>
                                  <w:divBdr>
                                    <w:top w:val="none" w:sz="0" w:space="0" w:color="auto"/>
                                    <w:left w:val="none" w:sz="0" w:space="0" w:color="auto"/>
                                    <w:bottom w:val="none" w:sz="0" w:space="0" w:color="auto"/>
                                    <w:right w:val="none" w:sz="0" w:space="0" w:color="auto"/>
                                  </w:divBdr>
                                  <w:divsChild>
                                    <w:div w:id="1063524813">
                                      <w:marLeft w:val="0"/>
                                      <w:marRight w:val="0"/>
                                      <w:marTop w:val="0"/>
                                      <w:marBottom w:val="0"/>
                                      <w:divBdr>
                                        <w:top w:val="none" w:sz="0" w:space="0" w:color="auto"/>
                                        <w:left w:val="none" w:sz="0" w:space="0" w:color="auto"/>
                                        <w:bottom w:val="none" w:sz="0" w:space="0" w:color="auto"/>
                                        <w:right w:val="none" w:sz="0" w:space="0" w:color="auto"/>
                                      </w:divBdr>
                                      <w:divsChild>
                                        <w:div w:id="276528418">
                                          <w:marLeft w:val="0"/>
                                          <w:marRight w:val="0"/>
                                          <w:marTop w:val="0"/>
                                          <w:marBottom w:val="0"/>
                                          <w:divBdr>
                                            <w:top w:val="none" w:sz="0" w:space="0" w:color="auto"/>
                                            <w:left w:val="none" w:sz="0" w:space="0" w:color="auto"/>
                                            <w:bottom w:val="none" w:sz="0" w:space="0" w:color="auto"/>
                                            <w:right w:val="none" w:sz="0" w:space="0" w:color="auto"/>
                                          </w:divBdr>
                                          <w:divsChild>
                                            <w:div w:id="9784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969923">
      <w:bodyDiv w:val="1"/>
      <w:marLeft w:val="0"/>
      <w:marRight w:val="0"/>
      <w:marTop w:val="0"/>
      <w:marBottom w:val="0"/>
      <w:divBdr>
        <w:top w:val="none" w:sz="0" w:space="0" w:color="auto"/>
        <w:left w:val="none" w:sz="0" w:space="0" w:color="auto"/>
        <w:bottom w:val="none" w:sz="0" w:space="0" w:color="auto"/>
        <w:right w:val="none" w:sz="0" w:space="0" w:color="auto"/>
      </w:divBdr>
      <w:divsChild>
        <w:div w:id="995650704">
          <w:marLeft w:val="0"/>
          <w:marRight w:val="0"/>
          <w:marTop w:val="0"/>
          <w:marBottom w:val="0"/>
          <w:divBdr>
            <w:top w:val="none" w:sz="0" w:space="0" w:color="auto"/>
            <w:left w:val="none" w:sz="0" w:space="0" w:color="auto"/>
            <w:bottom w:val="none" w:sz="0" w:space="0" w:color="auto"/>
            <w:right w:val="none" w:sz="0" w:space="0" w:color="auto"/>
          </w:divBdr>
          <w:divsChild>
            <w:div w:id="1256940589">
              <w:marLeft w:val="0"/>
              <w:marRight w:val="0"/>
              <w:marTop w:val="0"/>
              <w:marBottom w:val="0"/>
              <w:divBdr>
                <w:top w:val="none" w:sz="0" w:space="0" w:color="auto"/>
                <w:left w:val="none" w:sz="0" w:space="0" w:color="auto"/>
                <w:bottom w:val="none" w:sz="0" w:space="0" w:color="auto"/>
                <w:right w:val="none" w:sz="0" w:space="0" w:color="auto"/>
              </w:divBdr>
              <w:divsChild>
                <w:div w:id="996031147">
                  <w:marLeft w:val="0"/>
                  <w:marRight w:val="0"/>
                  <w:marTop w:val="0"/>
                  <w:marBottom w:val="0"/>
                  <w:divBdr>
                    <w:top w:val="none" w:sz="0" w:space="0" w:color="auto"/>
                    <w:left w:val="none" w:sz="0" w:space="0" w:color="auto"/>
                    <w:bottom w:val="none" w:sz="0" w:space="0" w:color="auto"/>
                    <w:right w:val="none" w:sz="0" w:space="0" w:color="auto"/>
                  </w:divBdr>
                  <w:divsChild>
                    <w:div w:id="1052576954">
                      <w:marLeft w:val="0"/>
                      <w:marRight w:val="0"/>
                      <w:marTop w:val="0"/>
                      <w:marBottom w:val="0"/>
                      <w:divBdr>
                        <w:top w:val="none" w:sz="0" w:space="0" w:color="auto"/>
                        <w:left w:val="none" w:sz="0" w:space="0" w:color="auto"/>
                        <w:bottom w:val="none" w:sz="0" w:space="0" w:color="auto"/>
                        <w:right w:val="none" w:sz="0" w:space="0" w:color="auto"/>
                      </w:divBdr>
                      <w:divsChild>
                        <w:div w:id="726492068">
                          <w:marLeft w:val="0"/>
                          <w:marRight w:val="0"/>
                          <w:marTop w:val="0"/>
                          <w:marBottom w:val="0"/>
                          <w:divBdr>
                            <w:top w:val="none" w:sz="0" w:space="0" w:color="auto"/>
                            <w:left w:val="none" w:sz="0" w:space="0" w:color="auto"/>
                            <w:bottom w:val="none" w:sz="0" w:space="0" w:color="auto"/>
                            <w:right w:val="none" w:sz="0" w:space="0" w:color="auto"/>
                          </w:divBdr>
                          <w:divsChild>
                            <w:div w:id="931817951">
                              <w:marLeft w:val="0"/>
                              <w:marRight w:val="0"/>
                              <w:marTop w:val="0"/>
                              <w:marBottom w:val="0"/>
                              <w:divBdr>
                                <w:top w:val="none" w:sz="0" w:space="0" w:color="auto"/>
                                <w:left w:val="none" w:sz="0" w:space="0" w:color="auto"/>
                                <w:bottom w:val="none" w:sz="0" w:space="0" w:color="auto"/>
                                <w:right w:val="none" w:sz="0" w:space="0" w:color="auto"/>
                              </w:divBdr>
                              <w:divsChild>
                                <w:div w:id="1860699314">
                                  <w:marLeft w:val="0"/>
                                  <w:marRight w:val="0"/>
                                  <w:marTop w:val="0"/>
                                  <w:marBottom w:val="0"/>
                                  <w:divBdr>
                                    <w:top w:val="none" w:sz="0" w:space="0" w:color="auto"/>
                                    <w:left w:val="none" w:sz="0" w:space="0" w:color="auto"/>
                                    <w:bottom w:val="none" w:sz="0" w:space="0" w:color="auto"/>
                                    <w:right w:val="none" w:sz="0" w:space="0" w:color="auto"/>
                                  </w:divBdr>
                                  <w:divsChild>
                                    <w:div w:id="1934780243">
                                      <w:marLeft w:val="0"/>
                                      <w:marRight w:val="0"/>
                                      <w:marTop w:val="0"/>
                                      <w:marBottom w:val="0"/>
                                      <w:divBdr>
                                        <w:top w:val="none" w:sz="0" w:space="0" w:color="auto"/>
                                        <w:left w:val="none" w:sz="0" w:space="0" w:color="auto"/>
                                        <w:bottom w:val="none" w:sz="0" w:space="0" w:color="auto"/>
                                        <w:right w:val="none" w:sz="0" w:space="0" w:color="auto"/>
                                      </w:divBdr>
                                      <w:divsChild>
                                        <w:div w:id="746608782">
                                          <w:marLeft w:val="0"/>
                                          <w:marRight w:val="0"/>
                                          <w:marTop w:val="0"/>
                                          <w:marBottom w:val="0"/>
                                          <w:divBdr>
                                            <w:top w:val="none" w:sz="0" w:space="0" w:color="auto"/>
                                            <w:left w:val="none" w:sz="0" w:space="0" w:color="auto"/>
                                            <w:bottom w:val="none" w:sz="0" w:space="0" w:color="auto"/>
                                            <w:right w:val="none" w:sz="0" w:space="0" w:color="auto"/>
                                          </w:divBdr>
                                          <w:divsChild>
                                            <w:div w:id="15204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5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curia.europa.eu/juris/liste.jsf?num=C-6/90&amp;language=cs" TargetMode="Externa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curia.europa.eu/juris/liste.jsf?num=C-6/90&amp;language=c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cs-CZ"/>
  <c:style val="4"/>
  <c:chart>
    <c:title>
      <c:tx>
        <c:rich>
          <a:bodyPr/>
          <a:lstStyle/>
          <a:p>
            <a:pPr>
              <a:defRPr u="wavy" baseline="0"/>
            </a:pPr>
            <a:r>
              <a:rPr lang="cs-CZ" u="wavy" baseline="0"/>
              <a:t>Podané žaloby 2009-2013</a:t>
            </a:r>
            <a:endParaRPr lang="en-US" u="wavy" baseline="0"/>
          </a:p>
        </c:rich>
      </c:tx>
      <c:spPr>
        <a:scene3d>
          <a:camera prst="orthographicFront"/>
          <a:lightRig rig="threePt" dir="t"/>
        </a:scene3d>
        <a:sp3d>
          <a:bevelT w="165100" prst="coolSlant"/>
        </a:sp3d>
      </c:spPr>
    </c:title>
    <c:plotArea>
      <c:layout>
        <c:manualLayout>
          <c:layoutTarget val="inner"/>
          <c:xMode val="edge"/>
          <c:yMode val="edge"/>
          <c:x val="8.3705631216698786E-2"/>
          <c:y val="0.21040119985001879"/>
          <c:w val="0.6792979847476146"/>
          <c:h val="0.67942336155349015"/>
        </c:manualLayout>
      </c:layout>
      <c:scatterChart>
        <c:scatterStyle val="lineMarker"/>
        <c:ser>
          <c:idx val="0"/>
          <c:order val="0"/>
          <c:tx>
            <c:strRef>
              <c:f>List1!$C$2</c:f>
              <c:strCache>
                <c:ptCount val="1"/>
                <c:pt idx="0">
                  <c:v>Počet žalob</c:v>
                </c:pt>
              </c:strCache>
            </c:strRef>
          </c:tx>
          <c:dLbls>
            <c:txPr>
              <a:bodyPr/>
              <a:lstStyle/>
              <a:p>
                <a:pPr>
                  <a:defRPr b="1" i="0" baseline="0"/>
                </a:pPr>
                <a:endParaRPr lang="cs-CZ"/>
              </a:p>
            </c:txPr>
            <c:dLblPos val="b"/>
            <c:showVal val="1"/>
          </c:dLbls>
          <c:xVal>
            <c:numRef>
              <c:f>List1!$B$3:$B$7</c:f>
              <c:numCache>
                <c:formatCode>General</c:formatCode>
                <c:ptCount val="5"/>
                <c:pt idx="0">
                  <c:v>2009</c:v>
                </c:pt>
                <c:pt idx="1">
                  <c:v>2010</c:v>
                </c:pt>
                <c:pt idx="2">
                  <c:v>2011</c:v>
                </c:pt>
                <c:pt idx="3">
                  <c:v>2012</c:v>
                </c:pt>
                <c:pt idx="4">
                  <c:v>2013</c:v>
                </c:pt>
              </c:numCache>
            </c:numRef>
          </c:xVal>
          <c:yVal>
            <c:numRef>
              <c:f>List1!$C$3:$C$7</c:f>
              <c:numCache>
                <c:formatCode>General</c:formatCode>
                <c:ptCount val="5"/>
                <c:pt idx="0">
                  <c:v>142</c:v>
                </c:pt>
                <c:pt idx="1">
                  <c:v>128</c:v>
                </c:pt>
                <c:pt idx="2">
                  <c:v>73</c:v>
                </c:pt>
                <c:pt idx="3">
                  <c:v>58</c:v>
                </c:pt>
                <c:pt idx="4">
                  <c:v>54</c:v>
                </c:pt>
              </c:numCache>
            </c:numRef>
          </c:yVal>
        </c:ser>
        <c:dLbls>
          <c:showVal val="1"/>
        </c:dLbls>
        <c:axId val="58891264"/>
        <c:axId val="58913536"/>
      </c:scatterChart>
      <c:valAx>
        <c:axId val="58891264"/>
        <c:scaling>
          <c:orientation val="minMax"/>
        </c:scaling>
        <c:axPos val="b"/>
        <c:numFmt formatCode="General" sourceLinked="1"/>
        <c:tickLblPos val="nextTo"/>
        <c:txPr>
          <a:bodyPr/>
          <a:lstStyle/>
          <a:p>
            <a:pPr>
              <a:defRPr sz="900" baseline="0">
                <a:latin typeface="Arial" panose="020B0604020202020204" pitchFamily="34" charset="0"/>
              </a:defRPr>
            </a:pPr>
            <a:endParaRPr lang="cs-CZ"/>
          </a:p>
        </c:txPr>
        <c:crossAx val="58913536"/>
        <c:crosses val="autoZero"/>
        <c:crossBetween val="midCat"/>
      </c:valAx>
      <c:valAx>
        <c:axId val="58913536"/>
        <c:scaling>
          <c:orientation val="minMax"/>
        </c:scaling>
        <c:axPos val="l"/>
        <c:majorGridlines/>
        <c:numFmt formatCode="General" sourceLinked="1"/>
        <c:tickLblPos val="nextTo"/>
        <c:txPr>
          <a:bodyPr/>
          <a:lstStyle/>
          <a:p>
            <a:pPr>
              <a:defRPr sz="900" baseline="0">
                <a:latin typeface="Arial" panose="020B0604020202020204" pitchFamily="34" charset="0"/>
              </a:defRPr>
            </a:pPr>
            <a:endParaRPr lang="cs-CZ"/>
          </a:p>
        </c:txPr>
        <c:crossAx val="58891264"/>
        <c:crosses val="autoZero"/>
        <c:crossBetween val="midCat"/>
      </c:valAx>
    </c:plotArea>
    <c:legend>
      <c:legendPos val="r"/>
      <c:layout>
        <c:manualLayout>
          <c:xMode val="edge"/>
          <c:yMode val="edge"/>
          <c:x val="0.79736699221610163"/>
          <c:y val="0.4571231227675488"/>
          <c:w val="0.17974316515156641"/>
          <c:h val="0.19089179642018433"/>
        </c:manualLayout>
      </c:layout>
    </c:legend>
    <c:plotVisOnly val="1"/>
    <c:dispBlanksAs val="gap"/>
  </c:chart>
  <c:spPr>
    <a:ln w="15875">
      <a:solidFill>
        <a:schemeClr val="tx2"/>
      </a:solidFill>
    </a:ln>
  </c:spPr>
  <c:externalData r:id="rId1"/>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399E-794E-4388-B291-345F4D67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15952</Words>
  <Characters>94123</Characters>
  <Application>Microsoft Office Word</Application>
  <DocSecurity>0</DocSecurity>
  <Lines>784</Lines>
  <Paragraphs>219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Přidalová Kateřina</dc:creator>
  <cp:lastModifiedBy>Obsluha</cp:lastModifiedBy>
  <cp:revision>4</cp:revision>
  <dcterms:created xsi:type="dcterms:W3CDTF">2014-09-22T18:15:00Z</dcterms:created>
  <dcterms:modified xsi:type="dcterms:W3CDTF">2014-10-06T01:49:00Z</dcterms:modified>
</cp:coreProperties>
</file>