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50" w:rsidRPr="009C1EA1" w:rsidRDefault="009F5750" w:rsidP="00A1273E">
      <w:pPr>
        <w:ind w:left="0" w:firstLine="284"/>
        <w:jc w:val="center"/>
        <w:rPr>
          <w:b/>
          <w:sz w:val="36"/>
          <w:szCs w:val="36"/>
        </w:rPr>
      </w:pPr>
      <w:r w:rsidRPr="009C1EA1">
        <w:rPr>
          <w:b/>
          <w:sz w:val="36"/>
          <w:szCs w:val="36"/>
        </w:rPr>
        <w:t>UNIVERZITA PALACKÉHO V OLOMOUCI</w:t>
      </w:r>
    </w:p>
    <w:p w:rsidR="009F5750" w:rsidRPr="009C1EA1" w:rsidRDefault="009F5750" w:rsidP="00A1273E">
      <w:pPr>
        <w:ind w:left="0" w:firstLine="284"/>
        <w:jc w:val="center"/>
        <w:rPr>
          <w:sz w:val="32"/>
          <w:szCs w:val="32"/>
        </w:rPr>
      </w:pPr>
      <w:r w:rsidRPr="009C1EA1">
        <w:rPr>
          <w:sz w:val="32"/>
          <w:szCs w:val="32"/>
        </w:rPr>
        <w:t>Fakulta tělesné kultury</w:t>
      </w:r>
    </w:p>
    <w:p w:rsidR="009F5750" w:rsidRPr="009C1EA1" w:rsidRDefault="009F5750" w:rsidP="00A1273E">
      <w:pPr>
        <w:ind w:left="0" w:firstLine="284"/>
        <w:jc w:val="center"/>
        <w:rPr>
          <w:b/>
          <w:sz w:val="32"/>
          <w:szCs w:val="32"/>
        </w:rPr>
      </w:pPr>
    </w:p>
    <w:p w:rsidR="009F5750" w:rsidRPr="009C1EA1" w:rsidRDefault="009F5750" w:rsidP="00A1273E">
      <w:pPr>
        <w:ind w:left="0" w:firstLine="284"/>
        <w:jc w:val="center"/>
        <w:rPr>
          <w:b/>
          <w:sz w:val="32"/>
          <w:szCs w:val="32"/>
        </w:rPr>
      </w:pPr>
    </w:p>
    <w:p w:rsidR="009F5750" w:rsidRPr="009C1EA1" w:rsidRDefault="009F5750" w:rsidP="00A1273E">
      <w:pPr>
        <w:ind w:left="0" w:firstLine="284"/>
        <w:jc w:val="center"/>
        <w:rPr>
          <w:b/>
          <w:sz w:val="32"/>
          <w:szCs w:val="32"/>
        </w:rPr>
      </w:pPr>
    </w:p>
    <w:p w:rsidR="009F5750" w:rsidRDefault="009F5750" w:rsidP="00A1273E">
      <w:pPr>
        <w:ind w:left="0" w:firstLine="284"/>
        <w:jc w:val="center"/>
      </w:pPr>
    </w:p>
    <w:p w:rsidR="00CD394F" w:rsidRDefault="00CD394F" w:rsidP="00A1273E">
      <w:pPr>
        <w:ind w:left="0" w:firstLine="284"/>
        <w:jc w:val="center"/>
        <w:rPr>
          <w:b/>
          <w:sz w:val="32"/>
          <w:szCs w:val="32"/>
        </w:rPr>
      </w:pPr>
    </w:p>
    <w:p w:rsidR="006135FF" w:rsidRDefault="006135FF" w:rsidP="00A1273E">
      <w:pPr>
        <w:ind w:left="0" w:firstLine="284"/>
        <w:jc w:val="center"/>
        <w:rPr>
          <w:b/>
          <w:sz w:val="32"/>
          <w:szCs w:val="32"/>
        </w:rPr>
      </w:pPr>
    </w:p>
    <w:p w:rsidR="006135FF" w:rsidRPr="009C1EA1" w:rsidRDefault="006135FF" w:rsidP="00A1273E">
      <w:pPr>
        <w:ind w:left="0" w:firstLine="284"/>
        <w:jc w:val="center"/>
        <w:rPr>
          <w:b/>
          <w:sz w:val="32"/>
          <w:szCs w:val="32"/>
        </w:rPr>
      </w:pPr>
    </w:p>
    <w:p w:rsidR="009F5750" w:rsidRPr="009C1EA1" w:rsidRDefault="00CD394F" w:rsidP="00A1273E">
      <w:pPr>
        <w:ind w:left="0" w:firstLine="284"/>
        <w:jc w:val="center"/>
        <w:rPr>
          <w:b/>
          <w:sz w:val="32"/>
          <w:szCs w:val="32"/>
        </w:rPr>
      </w:pPr>
      <w:r>
        <w:rPr>
          <w:b/>
          <w:sz w:val="32"/>
          <w:szCs w:val="32"/>
        </w:rPr>
        <w:t xml:space="preserve">SEGMENTÁLNÍ ANALÝZA TĚLESNÉHO </w:t>
      </w:r>
      <w:r w:rsidR="008F77B2">
        <w:rPr>
          <w:b/>
          <w:sz w:val="32"/>
          <w:szCs w:val="32"/>
        </w:rPr>
        <w:t xml:space="preserve">SLOŽENÍ </w:t>
      </w:r>
      <w:r>
        <w:rPr>
          <w:b/>
          <w:sz w:val="32"/>
          <w:szCs w:val="32"/>
        </w:rPr>
        <w:t>U </w:t>
      </w:r>
      <w:r w:rsidR="009F5750" w:rsidRPr="009C1EA1">
        <w:rPr>
          <w:b/>
          <w:sz w:val="32"/>
          <w:szCs w:val="32"/>
        </w:rPr>
        <w:t>SCHIZOFRENIKŮ</w:t>
      </w:r>
    </w:p>
    <w:p w:rsidR="009F5750" w:rsidRPr="009C1EA1" w:rsidRDefault="009F5750" w:rsidP="00A1273E">
      <w:pPr>
        <w:ind w:left="0" w:firstLine="284"/>
        <w:jc w:val="center"/>
        <w:rPr>
          <w:sz w:val="28"/>
          <w:szCs w:val="28"/>
        </w:rPr>
      </w:pPr>
      <w:r w:rsidRPr="009C1EA1">
        <w:rPr>
          <w:sz w:val="28"/>
          <w:szCs w:val="28"/>
        </w:rPr>
        <w:t>Diplomová práce</w:t>
      </w:r>
    </w:p>
    <w:p w:rsidR="009F5750" w:rsidRPr="009C1EA1" w:rsidRDefault="009F5750" w:rsidP="00A1273E">
      <w:pPr>
        <w:ind w:left="0" w:firstLine="284"/>
        <w:jc w:val="center"/>
        <w:rPr>
          <w:sz w:val="28"/>
          <w:szCs w:val="28"/>
        </w:rPr>
      </w:pPr>
      <w:r w:rsidRPr="009C1EA1">
        <w:rPr>
          <w:sz w:val="28"/>
          <w:szCs w:val="28"/>
        </w:rPr>
        <w:t>(bakalářská)</w:t>
      </w: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Pr="009C1EA1" w:rsidRDefault="009F5750" w:rsidP="00A1273E">
      <w:pPr>
        <w:ind w:left="0" w:firstLine="284"/>
        <w:jc w:val="center"/>
      </w:pPr>
    </w:p>
    <w:p w:rsidR="009F5750" w:rsidRDefault="009F5750" w:rsidP="00A1273E">
      <w:pPr>
        <w:ind w:left="0" w:firstLine="284"/>
        <w:jc w:val="center"/>
      </w:pPr>
    </w:p>
    <w:p w:rsidR="006135FF" w:rsidRDefault="006135FF" w:rsidP="00A1273E">
      <w:pPr>
        <w:ind w:left="0" w:firstLine="284"/>
        <w:jc w:val="center"/>
      </w:pPr>
    </w:p>
    <w:p w:rsidR="006135FF" w:rsidRDefault="006135FF" w:rsidP="00A1273E">
      <w:pPr>
        <w:ind w:left="0" w:firstLine="284"/>
        <w:jc w:val="center"/>
      </w:pPr>
    </w:p>
    <w:p w:rsidR="006135FF" w:rsidRDefault="006135FF" w:rsidP="00A1273E">
      <w:pPr>
        <w:ind w:left="0" w:firstLine="284"/>
        <w:jc w:val="center"/>
      </w:pPr>
    </w:p>
    <w:p w:rsidR="006135FF" w:rsidRPr="009C1EA1" w:rsidRDefault="006135FF" w:rsidP="00A1273E">
      <w:pPr>
        <w:ind w:left="0" w:firstLine="284"/>
        <w:jc w:val="center"/>
      </w:pPr>
    </w:p>
    <w:p w:rsidR="009F5750" w:rsidRPr="009C1EA1" w:rsidRDefault="009F5750" w:rsidP="00A1273E">
      <w:pPr>
        <w:ind w:left="0" w:firstLine="284"/>
        <w:jc w:val="center"/>
        <w:rPr>
          <w:sz w:val="28"/>
          <w:szCs w:val="28"/>
        </w:rPr>
      </w:pPr>
      <w:r w:rsidRPr="009C1EA1">
        <w:rPr>
          <w:sz w:val="28"/>
          <w:szCs w:val="28"/>
        </w:rPr>
        <w:t xml:space="preserve">Autor: Tereza Podzimková, učitelství pro </w:t>
      </w:r>
      <w:r w:rsidR="00BB0E3E">
        <w:rPr>
          <w:sz w:val="28"/>
          <w:szCs w:val="28"/>
        </w:rPr>
        <w:t>2. stupeň základních škol</w:t>
      </w:r>
      <w:r w:rsidRPr="009C1EA1">
        <w:rPr>
          <w:sz w:val="28"/>
          <w:szCs w:val="28"/>
        </w:rPr>
        <w:t xml:space="preserve">, </w:t>
      </w:r>
    </w:p>
    <w:p w:rsidR="009F5750" w:rsidRPr="009C1EA1" w:rsidRDefault="009F5750" w:rsidP="00A1273E">
      <w:pPr>
        <w:ind w:left="0" w:firstLine="284"/>
        <w:jc w:val="center"/>
        <w:rPr>
          <w:sz w:val="28"/>
          <w:szCs w:val="28"/>
        </w:rPr>
      </w:pPr>
      <w:r w:rsidRPr="009C1EA1">
        <w:rPr>
          <w:sz w:val="28"/>
          <w:szCs w:val="28"/>
        </w:rPr>
        <w:t xml:space="preserve">tělesná výchova – </w:t>
      </w:r>
      <w:r w:rsidR="00CD394F">
        <w:rPr>
          <w:sz w:val="28"/>
          <w:szCs w:val="28"/>
        </w:rPr>
        <w:t>český jazyk</w:t>
      </w:r>
    </w:p>
    <w:p w:rsidR="009F5750" w:rsidRPr="009C1EA1" w:rsidRDefault="009F5750" w:rsidP="00A1273E">
      <w:pPr>
        <w:ind w:left="0" w:firstLine="284"/>
        <w:jc w:val="center"/>
        <w:rPr>
          <w:sz w:val="28"/>
          <w:szCs w:val="28"/>
        </w:rPr>
      </w:pPr>
      <w:r w:rsidRPr="009C1EA1">
        <w:rPr>
          <w:sz w:val="28"/>
          <w:szCs w:val="28"/>
        </w:rPr>
        <w:t>Vedoucí práce: Doc. RNDr. Miroslava Přidalová, Ph.D</w:t>
      </w:r>
    </w:p>
    <w:p w:rsidR="009F5750" w:rsidRPr="009C1EA1" w:rsidRDefault="009F5750" w:rsidP="00A1273E">
      <w:pPr>
        <w:ind w:left="0" w:firstLine="284"/>
        <w:jc w:val="center"/>
        <w:rPr>
          <w:sz w:val="28"/>
          <w:szCs w:val="28"/>
        </w:rPr>
      </w:pPr>
      <w:r w:rsidRPr="009C1EA1">
        <w:rPr>
          <w:sz w:val="28"/>
          <w:szCs w:val="28"/>
        </w:rPr>
        <w:t>Olomouc 201</w:t>
      </w:r>
      <w:r w:rsidR="00CD394F">
        <w:rPr>
          <w:sz w:val="28"/>
          <w:szCs w:val="28"/>
        </w:rPr>
        <w:t>2</w:t>
      </w:r>
    </w:p>
    <w:p w:rsidR="009F5750" w:rsidRPr="009C1EA1" w:rsidRDefault="009F5750" w:rsidP="00A1273E">
      <w:pPr>
        <w:ind w:left="0" w:firstLine="284"/>
        <w:rPr>
          <w:rFonts w:eastAsiaTheme="majorEastAsia"/>
          <w:b/>
          <w:bCs/>
          <w:sz w:val="28"/>
          <w:szCs w:val="28"/>
        </w:rPr>
      </w:pPr>
      <w:r w:rsidRPr="009C1EA1">
        <w:br w:type="page"/>
      </w:r>
    </w:p>
    <w:p w:rsidR="009F5750" w:rsidRPr="009C1EA1" w:rsidRDefault="009F5750" w:rsidP="00D85C70">
      <w:pPr>
        <w:ind w:left="0" w:firstLine="0"/>
        <w:jc w:val="both"/>
      </w:pPr>
      <w:r w:rsidRPr="009C1EA1">
        <w:rPr>
          <w:b/>
        </w:rPr>
        <w:lastRenderedPageBreak/>
        <w:t xml:space="preserve">Jméno a příjmení autora: </w:t>
      </w:r>
      <w:r w:rsidRPr="009C1EA1">
        <w:t>Tereza Podzimková</w:t>
      </w:r>
    </w:p>
    <w:p w:rsidR="004A7A7C" w:rsidRDefault="009F5750" w:rsidP="00D85C70">
      <w:pPr>
        <w:ind w:left="0" w:firstLine="0"/>
        <w:jc w:val="both"/>
      </w:pPr>
      <w:r w:rsidRPr="009C1EA1">
        <w:rPr>
          <w:b/>
        </w:rPr>
        <w:t xml:space="preserve">Název bakalářské práce: </w:t>
      </w:r>
      <w:r w:rsidR="00CD394F">
        <w:t>Segmentální analýza tě</w:t>
      </w:r>
      <w:r w:rsidR="004A7A7C">
        <w:t xml:space="preserve">lesného složení u schizofreniků </w:t>
      </w:r>
    </w:p>
    <w:p w:rsidR="009F5750" w:rsidRPr="009C1EA1" w:rsidRDefault="004A7A7C" w:rsidP="00D85C70">
      <w:pPr>
        <w:ind w:left="0" w:firstLine="0"/>
        <w:jc w:val="both"/>
      </w:pPr>
      <w:r w:rsidRPr="004A7A7C">
        <w:rPr>
          <w:b/>
        </w:rPr>
        <w:t>P</w:t>
      </w:r>
      <w:r w:rsidR="009F5750" w:rsidRPr="009C1EA1">
        <w:rPr>
          <w:b/>
        </w:rPr>
        <w:t>racoviště:</w:t>
      </w:r>
      <w:r w:rsidR="009F5750" w:rsidRPr="009C1EA1">
        <w:t xml:space="preserve"> Katedra přírodních věd v kinantropologii </w:t>
      </w:r>
    </w:p>
    <w:p w:rsidR="009F5750" w:rsidRPr="009C1EA1" w:rsidRDefault="009F5750" w:rsidP="00D85C70">
      <w:pPr>
        <w:ind w:left="0" w:firstLine="0"/>
        <w:jc w:val="both"/>
      </w:pPr>
      <w:r w:rsidRPr="009C1EA1">
        <w:rPr>
          <w:b/>
        </w:rPr>
        <w:t xml:space="preserve">Vedoucí bakalářské práce: </w:t>
      </w:r>
      <w:r w:rsidRPr="009C1EA1">
        <w:t>Doc. RNDr. Miroslava Přidalová, Ph.D.</w:t>
      </w:r>
    </w:p>
    <w:p w:rsidR="009F5750" w:rsidRPr="009C1EA1" w:rsidRDefault="009F5750" w:rsidP="00D85C70">
      <w:pPr>
        <w:ind w:left="0" w:firstLine="0"/>
        <w:jc w:val="both"/>
      </w:pPr>
      <w:r w:rsidRPr="009C1EA1">
        <w:rPr>
          <w:b/>
        </w:rPr>
        <w:t xml:space="preserve">Rok obhajoby bakalářské práce: </w:t>
      </w:r>
      <w:r w:rsidRPr="009C1EA1">
        <w:t>201</w:t>
      </w:r>
      <w:r w:rsidR="00CD394F">
        <w:t>2</w:t>
      </w:r>
    </w:p>
    <w:p w:rsidR="009F5750" w:rsidRPr="009C1EA1" w:rsidRDefault="009F5750" w:rsidP="00A1273E">
      <w:pPr>
        <w:ind w:left="0" w:firstLine="284"/>
        <w:jc w:val="both"/>
      </w:pPr>
    </w:p>
    <w:p w:rsidR="00F3008A" w:rsidRPr="00F3008A" w:rsidRDefault="00F3008A" w:rsidP="00D85C70">
      <w:pPr>
        <w:ind w:left="0" w:firstLine="0"/>
        <w:jc w:val="both"/>
      </w:pPr>
      <w:r>
        <w:rPr>
          <w:b/>
        </w:rPr>
        <w:t>Abstrakt:</w:t>
      </w:r>
      <w:r>
        <w:t xml:space="preserve"> </w:t>
      </w:r>
      <w:r w:rsidR="00216AA0">
        <w:t>Cílem b</w:t>
      </w:r>
      <w:r>
        <w:t>akalářsk</w:t>
      </w:r>
      <w:r w:rsidR="00216AA0">
        <w:t>é</w:t>
      </w:r>
      <w:r>
        <w:t xml:space="preserve"> práce </w:t>
      </w:r>
      <w:r w:rsidR="00216AA0">
        <w:t>bylo sledování</w:t>
      </w:r>
      <w:r>
        <w:t xml:space="preserve"> segmentální analýz</w:t>
      </w:r>
      <w:r w:rsidR="00216AA0">
        <w:t>y</w:t>
      </w:r>
      <w:r>
        <w:t xml:space="preserve"> tělesného složení u </w:t>
      </w:r>
      <w:r w:rsidR="00D85C70">
        <w:t>pacientů se s</w:t>
      </w:r>
      <w:r>
        <w:t>chizofreni</w:t>
      </w:r>
      <w:r w:rsidR="00D85C70">
        <w:t>í</w:t>
      </w:r>
      <w:r w:rsidR="00216AA0">
        <w:t>. Měření bylo provedeno</w:t>
      </w:r>
      <w:r>
        <w:t xml:space="preserve"> na monofrekvenčním přístroji Tanita BC 418</w:t>
      </w:r>
      <w:r w:rsidR="00216AA0">
        <w:t xml:space="preserve"> a</w:t>
      </w:r>
      <w:r>
        <w:t xml:space="preserve"> multifrekvenčním přístroj</w:t>
      </w:r>
      <w:r w:rsidR="00216AA0">
        <w:t>i</w:t>
      </w:r>
      <w:r>
        <w:t xml:space="preserve"> InBody 720</w:t>
      </w:r>
      <w:r w:rsidR="00216AA0">
        <w:t>. Sledovali jsme z</w:t>
      </w:r>
      <w:r>
        <w:t xml:space="preserve">dravotní ukazatele rizika </w:t>
      </w:r>
      <w:r w:rsidR="006135FF">
        <w:t>nadváhy a</w:t>
      </w:r>
      <w:r>
        <w:t xml:space="preserve"> obezity</w:t>
      </w:r>
      <w:r w:rsidR="006135FF">
        <w:t>,</w:t>
      </w:r>
      <w:r w:rsidR="00D85C70">
        <w:t xml:space="preserve"> jako je poměr mezi pasem a </w:t>
      </w:r>
      <w:r>
        <w:t xml:space="preserve">boky (WHR), </w:t>
      </w:r>
      <w:r w:rsidR="00E55F36">
        <w:t xml:space="preserve">body mass index (BMI), </w:t>
      </w:r>
      <w:r>
        <w:t xml:space="preserve">množství viscerálního tuku (VFA) a množství tuku v těle. </w:t>
      </w:r>
      <w:r w:rsidR="00216AA0">
        <w:t xml:space="preserve">Oba přístroje vychází při stanovení parametrů tělesného složení z </w:t>
      </w:r>
      <w:r w:rsidR="00D85C70">
        <w:t>celkové tělesné vody (TBW) a </w:t>
      </w:r>
      <w:r w:rsidR="007D4BFF">
        <w:t>její</w:t>
      </w:r>
      <w:r w:rsidR="00216AA0">
        <w:t>ch</w:t>
      </w:r>
      <w:r w:rsidR="007D4BFF">
        <w:t xml:space="preserve"> slož</w:t>
      </w:r>
      <w:r w:rsidR="00216AA0">
        <w:t>e</w:t>
      </w:r>
      <w:r w:rsidR="007D4BFF">
        <w:t>k, extracelulární (ECW</w:t>
      </w:r>
      <w:r w:rsidR="00216AA0">
        <w:t>) a intracelulární (ICW) vody</w:t>
      </w:r>
      <w:r w:rsidR="007D4BFF">
        <w:t xml:space="preserve">. </w:t>
      </w:r>
      <w:r w:rsidR="004049C8">
        <w:t>Tanita i InBody</w:t>
      </w:r>
      <w:r w:rsidR="00E55F36">
        <w:t xml:space="preserve"> využívají k hodnocení tělesného složení bioelektrickou impedanci, proto jsme provedli porovnání </w:t>
      </w:r>
      <w:r>
        <w:t>hodnot tukuprosté hmo</w:t>
      </w:r>
      <w:r w:rsidR="005705BE">
        <w:t xml:space="preserve">ty (FFM), </w:t>
      </w:r>
      <w:r w:rsidR="00E55F36">
        <w:t>tělesného tuku (BFM)</w:t>
      </w:r>
      <w:r w:rsidR="005705BE">
        <w:t xml:space="preserve"> a celkové tělesné vody (TBW)</w:t>
      </w:r>
      <w:r w:rsidR="00E55F36">
        <w:t xml:space="preserve">. </w:t>
      </w:r>
      <w:r w:rsidR="006135FF">
        <w:t xml:space="preserve">Výsledky vybraných parametrů tělesného složení </w:t>
      </w:r>
      <w:r w:rsidR="00E55F36">
        <w:t>se příliš nelišily, Tantita FFM</w:t>
      </w:r>
      <w:r w:rsidR="005705BE">
        <w:t xml:space="preserve"> a TBW mírně přeceňovala a </w:t>
      </w:r>
      <w:r w:rsidR="00E55F36">
        <w:t>FM mírně podceňovala ve srovnání s InBody. Ukazatelé rizika obezity řadili ženy mezi obézní s vysokým rizikem abdominální obezity</w:t>
      </w:r>
      <w:r w:rsidR="00D85C70">
        <w:t>.</w:t>
      </w:r>
      <w:r w:rsidR="00E55F36">
        <w:t xml:space="preserve"> </w:t>
      </w:r>
      <w:r w:rsidR="00D85C70">
        <w:t>S</w:t>
      </w:r>
      <w:r w:rsidR="005705BE">
        <w:t>egmentální analýza vypovídala o </w:t>
      </w:r>
      <w:r w:rsidR="00E55F36">
        <w:t>rozložení tuku především na končetinách. Muži se zařadili do kategorie mírn</w:t>
      </w:r>
      <w:r w:rsidR="00D85C70">
        <w:t xml:space="preserve">é nadváhy, tuk se nacházel </w:t>
      </w:r>
      <w:r w:rsidR="00E55F36">
        <w:t>především v oblasti trupu, což by mohlo vést k</w:t>
      </w:r>
      <w:r w:rsidR="00D85C70">
        <w:t>e vzniku</w:t>
      </w:r>
      <w:r w:rsidR="00E55F36">
        <w:t> abdominální obezit</w:t>
      </w:r>
      <w:r w:rsidR="00D85C70">
        <w:t>y</w:t>
      </w:r>
      <w:r w:rsidR="00E55F36">
        <w:t xml:space="preserve">. </w:t>
      </w:r>
      <w:r w:rsidR="00216AA0">
        <w:t xml:space="preserve">Největší </w:t>
      </w:r>
      <w:r w:rsidR="00F25C1D">
        <w:t>množství svalové složky se u ob</w:t>
      </w:r>
      <w:r w:rsidR="00216AA0">
        <w:t xml:space="preserve">ou pohlaví </w:t>
      </w:r>
      <w:r w:rsidR="00F25C1D">
        <w:t>nacházelo v oblasti trupu.</w:t>
      </w:r>
    </w:p>
    <w:p w:rsidR="00E55F36" w:rsidRDefault="00E55F36" w:rsidP="00A1273E">
      <w:pPr>
        <w:ind w:left="0" w:firstLine="284"/>
        <w:jc w:val="both"/>
      </w:pPr>
    </w:p>
    <w:p w:rsidR="009F5750" w:rsidRPr="009C1EA1" w:rsidRDefault="009F5750" w:rsidP="00D85C70">
      <w:pPr>
        <w:ind w:left="0" w:firstLine="0"/>
        <w:jc w:val="both"/>
      </w:pPr>
      <w:r w:rsidRPr="009C1EA1">
        <w:rPr>
          <w:b/>
        </w:rPr>
        <w:t xml:space="preserve">Klíčová slova: </w:t>
      </w:r>
      <w:r w:rsidR="00CD394F">
        <w:t>bioelektrická impedance, In</w:t>
      </w:r>
      <w:r w:rsidRPr="009C1EA1">
        <w:t xml:space="preserve">Body 720, </w:t>
      </w:r>
      <w:r w:rsidR="00CD394F">
        <w:t>Tanita</w:t>
      </w:r>
      <w:r w:rsidR="004A7A7C">
        <w:t xml:space="preserve"> BC 418</w:t>
      </w:r>
      <w:r w:rsidR="00CD394F">
        <w:t xml:space="preserve">, </w:t>
      </w:r>
      <w:r w:rsidRPr="009C1EA1">
        <w:t xml:space="preserve">obezita, </w:t>
      </w:r>
      <w:r w:rsidR="00CD394F">
        <w:t xml:space="preserve">kouření, </w:t>
      </w:r>
      <w:r w:rsidRPr="009C1EA1">
        <w:t>schizofrenie</w:t>
      </w:r>
    </w:p>
    <w:p w:rsidR="009F5750" w:rsidRPr="009C1EA1" w:rsidRDefault="009F5750" w:rsidP="00A1273E">
      <w:pPr>
        <w:pStyle w:val="P-text"/>
        <w:spacing w:after="0"/>
        <w:ind w:firstLine="284"/>
        <w:rPr>
          <w:rFonts w:ascii="Times New Roman" w:hAnsi="Times New Roman"/>
        </w:rPr>
      </w:pPr>
    </w:p>
    <w:p w:rsidR="009F5750" w:rsidRPr="009C1EA1" w:rsidRDefault="009F5750" w:rsidP="00A1273E">
      <w:pPr>
        <w:pStyle w:val="P-text"/>
        <w:spacing w:after="0"/>
        <w:ind w:firstLine="284"/>
        <w:rPr>
          <w:rFonts w:ascii="Times New Roman" w:hAnsi="Times New Roman"/>
        </w:rPr>
      </w:pPr>
    </w:p>
    <w:p w:rsidR="009F5750" w:rsidRPr="009C1EA1" w:rsidRDefault="009F5750" w:rsidP="00A1273E">
      <w:pPr>
        <w:pStyle w:val="P-text"/>
        <w:spacing w:after="0"/>
        <w:ind w:firstLine="284"/>
        <w:rPr>
          <w:rFonts w:ascii="Times New Roman" w:hAnsi="Times New Roman"/>
        </w:rPr>
      </w:pPr>
    </w:p>
    <w:p w:rsidR="009F5750" w:rsidRPr="009C1EA1" w:rsidRDefault="009F5750" w:rsidP="00D85C70">
      <w:pPr>
        <w:pStyle w:val="P-text"/>
        <w:spacing w:after="0"/>
        <w:ind w:firstLine="0"/>
        <w:rPr>
          <w:rFonts w:ascii="Times New Roman" w:hAnsi="Times New Roman"/>
        </w:rPr>
      </w:pPr>
      <w:r w:rsidRPr="009C1EA1">
        <w:rPr>
          <w:rFonts w:ascii="Times New Roman" w:hAnsi="Times New Roman"/>
        </w:rPr>
        <w:t>Bakalářská práce byla řešena v rámci výzkumného projektu „Pohybová aktivita a inaktivita obyvatel České republiky v kontextu behaviorálních změn“ (IK: 6198959221).</w:t>
      </w:r>
    </w:p>
    <w:p w:rsidR="009F5750" w:rsidRPr="009C1EA1" w:rsidRDefault="009F5750" w:rsidP="00A1273E">
      <w:pPr>
        <w:pStyle w:val="P-text"/>
        <w:spacing w:after="0"/>
        <w:ind w:firstLine="284"/>
        <w:rPr>
          <w:rFonts w:ascii="Times New Roman" w:hAnsi="Times New Roman"/>
        </w:rPr>
      </w:pPr>
    </w:p>
    <w:p w:rsidR="009F5750" w:rsidRPr="009C1EA1" w:rsidRDefault="009F5750" w:rsidP="00D85C70">
      <w:pPr>
        <w:pStyle w:val="P-text"/>
        <w:spacing w:after="0"/>
        <w:ind w:firstLine="0"/>
        <w:rPr>
          <w:rFonts w:ascii="Times New Roman" w:hAnsi="Times New Roman"/>
        </w:rPr>
      </w:pPr>
      <w:r w:rsidRPr="009C1EA1">
        <w:rPr>
          <w:rFonts w:ascii="Times New Roman" w:hAnsi="Times New Roman"/>
        </w:rPr>
        <w:t>Souhlasím s půjčováním bakalářské práce v rámci knihovních služeb.</w:t>
      </w:r>
    </w:p>
    <w:p w:rsidR="009F5750" w:rsidRPr="009C1EA1" w:rsidRDefault="009F5750" w:rsidP="00A1273E">
      <w:pPr>
        <w:ind w:left="0" w:firstLine="284"/>
        <w:rPr>
          <w:rFonts w:eastAsiaTheme="majorEastAsia"/>
          <w:b/>
          <w:bCs/>
          <w:sz w:val="28"/>
          <w:szCs w:val="28"/>
        </w:rPr>
      </w:pPr>
      <w:r w:rsidRPr="009C1EA1">
        <w:br w:type="page"/>
      </w:r>
    </w:p>
    <w:p w:rsidR="009F5750" w:rsidRPr="009C1EA1" w:rsidRDefault="009F5750" w:rsidP="00D85C70">
      <w:pPr>
        <w:ind w:left="0" w:firstLine="0"/>
        <w:jc w:val="both"/>
      </w:pPr>
      <w:r w:rsidRPr="009C1EA1">
        <w:rPr>
          <w:b/>
        </w:rPr>
        <w:lastRenderedPageBreak/>
        <w:t xml:space="preserve">Author´s first name and surname: </w:t>
      </w:r>
      <w:r w:rsidRPr="009C1EA1">
        <w:t>Tereza Podzimková</w:t>
      </w:r>
    </w:p>
    <w:p w:rsidR="009F5750" w:rsidRPr="009C1EA1" w:rsidRDefault="009F5750" w:rsidP="00D85C70">
      <w:pPr>
        <w:ind w:left="0" w:firstLine="0"/>
      </w:pPr>
      <w:r w:rsidRPr="009C1EA1">
        <w:rPr>
          <w:b/>
        </w:rPr>
        <w:t xml:space="preserve">Title of the bachelor thesis: </w:t>
      </w:r>
      <w:r w:rsidR="004A7A7C" w:rsidRPr="004A7A7C">
        <w:rPr>
          <w:rFonts w:eastAsia="Times New Roman"/>
          <w:lang w:eastAsia="cs-CZ"/>
        </w:rPr>
        <w:t xml:space="preserve">Segmental analysis of body composition </w:t>
      </w:r>
      <w:r w:rsidR="004A7A7C" w:rsidRPr="009C1EA1">
        <w:t>at patients with schizophrenia</w:t>
      </w:r>
    </w:p>
    <w:p w:rsidR="00D85C70" w:rsidRDefault="009F5750" w:rsidP="00D85C70">
      <w:pPr>
        <w:ind w:left="0" w:firstLine="0"/>
        <w:jc w:val="both"/>
      </w:pPr>
      <w:r w:rsidRPr="009C1EA1">
        <w:rPr>
          <w:b/>
        </w:rPr>
        <w:t xml:space="preserve">Department: </w:t>
      </w:r>
      <w:r w:rsidRPr="009C1EA1">
        <w:t>Department of Natural Sciences in Kinanthropology</w:t>
      </w:r>
    </w:p>
    <w:p w:rsidR="009F5750" w:rsidRPr="009C1EA1" w:rsidRDefault="009F5750" w:rsidP="00D85C70">
      <w:pPr>
        <w:ind w:left="0" w:firstLine="0"/>
        <w:jc w:val="both"/>
      </w:pPr>
      <w:r w:rsidRPr="009C1EA1">
        <w:rPr>
          <w:b/>
        </w:rPr>
        <w:t xml:space="preserve">Supervisor: </w:t>
      </w:r>
      <w:r w:rsidRPr="009C1EA1">
        <w:t>Doc. RNDr. Miroslava Přidalová, Ph.D.</w:t>
      </w:r>
    </w:p>
    <w:p w:rsidR="009F5750" w:rsidRPr="009C1EA1" w:rsidRDefault="009F5750" w:rsidP="00D85C70">
      <w:pPr>
        <w:ind w:left="0" w:firstLine="0"/>
        <w:jc w:val="both"/>
      </w:pPr>
      <w:r w:rsidRPr="009C1EA1">
        <w:rPr>
          <w:b/>
        </w:rPr>
        <w:t xml:space="preserve">The year of the presentation: </w:t>
      </w:r>
      <w:r w:rsidR="00A1273E">
        <w:t>2012</w:t>
      </w:r>
    </w:p>
    <w:p w:rsidR="009F5750" w:rsidRPr="009C1EA1" w:rsidRDefault="009F5750" w:rsidP="00A1273E">
      <w:pPr>
        <w:ind w:left="0" w:firstLine="284"/>
        <w:jc w:val="both"/>
      </w:pPr>
    </w:p>
    <w:p w:rsidR="009841A2" w:rsidRPr="000C0AC7" w:rsidRDefault="009F5750" w:rsidP="009841A2">
      <w:pPr>
        <w:ind w:left="0" w:firstLine="0"/>
        <w:jc w:val="both"/>
      </w:pPr>
      <w:r w:rsidRPr="009C1EA1">
        <w:rPr>
          <w:b/>
        </w:rPr>
        <w:t xml:space="preserve">Abstract: </w:t>
      </w:r>
      <w:r w:rsidR="00F25C1D">
        <w:rPr>
          <w:rStyle w:val="hps"/>
        </w:rPr>
        <w:t>The aim of</w:t>
      </w:r>
      <w:r w:rsidR="00F25C1D">
        <w:t xml:space="preserve"> </w:t>
      </w:r>
      <w:r w:rsidR="00F25C1D">
        <w:rPr>
          <w:rStyle w:val="hps"/>
        </w:rPr>
        <w:t>the thesis</w:t>
      </w:r>
      <w:r w:rsidR="00F25C1D">
        <w:t xml:space="preserve"> </w:t>
      </w:r>
      <w:r w:rsidR="00F25C1D">
        <w:rPr>
          <w:rStyle w:val="hps"/>
        </w:rPr>
        <w:t>was to study the</w:t>
      </w:r>
      <w:r w:rsidR="00F25C1D">
        <w:t xml:space="preserve"> </w:t>
      </w:r>
      <w:r w:rsidR="00F25C1D">
        <w:rPr>
          <w:rStyle w:val="hps"/>
        </w:rPr>
        <w:t>analysis</w:t>
      </w:r>
      <w:r w:rsidR="00F25C1D">
        <w:t xml:space="preserve"> </w:t>
      </w:r>
      <w:r w:rsidR="00F25C1D">
        <w:rPr>
          <w:rStyle w:val="hps"/>
        </w:rPr>
        <w:t>of segmental</w:t>
      </w:r>
      <w:r w:rsidR="00F25C1D">
        <w:t xml:space="preserve"> </w:t>
      </w:r>
      <w:r w:rsidR="00F25C1D">
        <w:rPr>
          <w:rStyle w:val="hps"/>
        </w:rPr>
        <w:t>body composition</w:t>
      </w:r>
      <w:r w:rsidR="00F25C1D">
        <w:t xml:space="preserve"> </w:t>
      </w:r>
      <w:r w:rsidR="00F25C1D">
        <w:rPr>
          <w:rStyle w:val="hps"/>
        </w:rPr>
        <w:t>in patients</w:t>
      </w:r>
      <w:r w:rsidR="00F25C1D">
        <w:t xml:space="preserve"> </w:t>
      </w:r>
      <w:r w:rsidR="00F25C1D">
        <w:rPr>
          <w:rStyle w:val="hps"/>
        </w:rPr>
        <w:t>with schizophrenia.</w:t>
      </w:r>
      <w:r w:rsidR="00F25C1D">
        <w:t xml:space="preserve"> </w:t>
      </w:r>
      <w:r w:rsidR="00F25C1D">
        <w:rPr>
          <w:rStyle w:val="hps"/>
        </w:rPr>
        <w:t>Measurements were</w:t>
      </w:r>
      <w:r w:rsidR="00F25C1D">
        <w:t xml:space="preserve"> </w:t>
      </w:r>
      <w:r w:rsidR="00F25C1D">
        <w:rPr>
          <w:rStyle w:val="hps"/>
        </w:rPr>
        <w:t>performed on the</w:t>
      </w:r>
      <w:r w:rsidR="00F25C1D">
        <w:t xml:space="preserve"> </w:t>
      </w:r>
      <w:r w:rsidR="00F25C1D" w:rsidRPr="000C0AC7">
        <w:rPr>
          <w:bCs/>
        </w:rPr>
        <w:t xml:space="preserve">mono-frequency device </w:t>
      </w:r>
      <w:r w:rsidR="00F25C1D">
        <w:rPr>
          <w:rStyle w:val="hps"/>
        </w:rPr>
        <w:t>Tanita</w:t>
      </w:r>
      <w:r w:rsidR="00F25C1D">
        <w:t xml:space="preserve"> </w:t>
      </w:r>
      <w:r w:rsidR="00F25C1D">
        <w:rPr>
          <w:rStyle w:val="hps"/>
        </w:rPr>
        <w:t>BC</w:t>
      </w:r>
      <w:r w:rsidR="00F25C1D">
        <w:t xml:space="preserve"> </w:t>
      </w:r>
      <w:r w:rsidR="00F25C1D">
        <w:rPr>
          <w:rStyle w:val="hps"/>
        </w:rPr>
        <w:t>418 and</w:t>
      </w:r>
      <w:r w:rsidR="00F25C1D">
        <w:t xml:space="preserve"> </w:t>
      </w:r>
      <w:r w:rsidR="00F25C1D">
        <w:rPr>
          <w:rStyle w:val="hps"/>
        </w:rPr>
        <w:t>multi-frequency</w:t>
      </w:r>
      <w:r w:rsidR="00F25C1D">
        <w:t xml:space="preserve"> </w:t>
      </w:r>
      <w:r w:rsidR="00F25C1D">
        <w:rPr>
          <w:rStyle w:val="hps"/>
        </w:rPr>
        <w:t>device</w:t>
      </w:r>
      <w:r w:rsidR="00F25C1D">
        <w:t xml:space="preserve"> </w:t>
      </w:r>
      <w:r w:rsidR="00F25C1D">
        <w:rPr>
          <w:rStyle w:val="hps"/>
        </w:rPr>
        <w:t>InBody</w:t>
      </w:r>
      <w:r w:rsidR="00F25C1D">
        <w:t xml:space="preserve"> </w:t>
      </w:r>
      <w:r w:rsidR="00F25C1D">
        <w:rPr>
          <w:rStyle w:val="hps"/>
        </w:rPr>
        <w:t>720.</w:t>
      </w:r>
      <w:r w:rsidR="00F25C1D">
        <w:t xml:space="preserve"> </w:t>
      </w:r>
      <w:r w:rsidR="00F25C1D">
        <w:rPr>
          <w:rStyle w:val="hps"/>
        </w:rPr>
        <w:t>We</w:t>
      </w:r>
      <w:r w:rsidR="00F25C1D">
        <w:t xml:space="preserve"> </w:t>
      </w:r>
      <w:r w:rsidR="00F25C1D">
        <w:rPr>
          <w:rStyle w:val="hps"/>
        </w:rPr>
        <w:t xml:space="preserve">investigated </w:t>
      </w:r>
      <w:r w:rsidR="000C0AC7" w:rsidRPr="000C0AC7">
        <w:rPr>
          <w:bCs/>
        </w:rPr>
        <w:t xml:space="preserve">the health indicators of the overweight and obesity risk such as the waist-hip ratio (WHR), body mass index (BMI), visceral fat amount (VFA) and the all-body fat amount. </w:t>
      </w:r>
      <w:r w:rsidR="00F25C1D">
        <w:rPr>
          <w:rStyle w:val="hps"/>
        </w:rPr>
        <w:t>Both devices</w:t>
      </w:r>
      <w:r w:rsidR="00F25C1D">
        <w:t xml:space="preserve"> </w:t>
      </w:r>
      <w:r w:rsidR="00F25C1D">
        <w:rPr>
          <w:rStyle w:val="hps"/>
        </w:rPr>
        <w:t>based on</w:t>
      </w:r>
      <w:r w:rsidR="00F25C1D">
        <w:t xml:space="preserve"> </w:t>
      </w:r>
      <w:r w:rsidR="00F25C1D">
        <w:rPr>
          <w:rStyle w:val="hps"/>
        </w:rPr>
        <w:t>the</w:t>
      </w:r>
      <w:r w:rsidR="00F25C1D">
        <w:t xml:space="preserve"> </w:t>
      </w:r>
      <w:r w:rsidR="00F25C1D">
        <w:rPr>
          <w:rStyle w:val="hps"/>
        </w:rPr>
        <w:t>determination of parameters</w:t>
      </w:r>
      <w:r w:rsidR="00F25C1D">
        <w:t xml:space="preserve"> </w:t>
      </w:r>
      <w:r w:rsidR="00F25C1D">
        <w:rPr>
          <w:rStyle w:val="hps"/>
        </w:rPr>
        <w:t>of body composition</w:t>
      </w:r>
      <w:r w:rsidR="00F25C1D">
        <w:t xml:space="preserve"> </w:t>
      </w:r>
      <w:r w:rsidR="00F25C1D">
        <w:rPr>
          <w:rStyle w:val="hps"/>
        </w:rPr>
        <w:t>from</w:t>
      </w:r>
      <w:r w:rsidR="00F25C1D">
        <w:t xml:space="preserve"> </w:t>
      </w:r>
      <w:r w:rsidR="00F25C1D">
        <w:rPr>
          <w:rStyle w:val="hps"/>
        </w:rPr>
        <w:t>total body</w:t>
      </w:r>
      <w:r w:rsidR="00F25C1D">
        <w:t xml:space="preserve"> </w:t>
      </w:r>
      <w:r w:rsidR="00F25C1D">
        <w:rPr>
          <w:rStyle w:val="hps"/>
        </w:rPr>
        <w:t>water (</w:t>
      </w:r>
      <w:r w:rsidR="00F25C1D">
        <w:t xml:space="preserve">TBW) </w:t>
      </w:r>
      <w:r w:rsidR="00F25C1D">
        <w:rPr>
          <w:rStyle w:val="hps"/>
        </w:rPr>
        <w:t>and its components</w:t>
      </w:r>
      <w:r w:rsidR="00F25C1D">
        <w:rPr>
          <w:bCs/>
        </w:rPr>
        <w:t xml:space="preserve"> </w:t>
      </w:r>
      <w:r w:rsidR="000C0AC7" w:rsidRPr="000C0AC7">
        <w:rPr>
          <w:bCs/>
        </w:rPr>
        <w:t>– extracellular (ECW) and intracellular (ICW) fluid. We evaluated the basal metabolism. Both devices were used to evaluate the body composition by bioelectrical impedance, and therefore we compared the values of fat-free mass (FFM)</w:t>
      </w:r>
      <w:r w:rsidR="005705BE">
        <w:rPr>
          <w:bCs/>
        </w:rPr>
        <w:t xml:space="preserve">, </w:t>
      </w:r>
      <w:r w:rsidR="000C0AC7" w:rsidRPr="000C0AC7">
        <w:rPr>
          <w:bCs/>
        </w:rPr>
        <w:t>body fat (BFM)</w:t>
      </w:r>
      <w:r w:rsidR="00F25C1D">
        <w:rPr>
          <w:bCs/>
        </w:rPr>
        <w:t xml:space="preserve"> and total body water (TBW).</w:t>
      </w:r>
      <w:r w:rsidR="000C0AC7" w:rsidRPr="000C0AC7">
        <w:rPr>
          <w:bCs/>
        </w:rPr>
        <w:t xml:space="preserve"> The results of selected parameters of body composition did not differ much, Tanita slightly overestimated FFM and</w:t>
      </w:r>
      <w:r w:rsidR="005705BE">
        <w:rPr>
          <w:bCs/>
        </w:rPr>
        <w:t xml:space="preserve"> TBW and</w:t>
      </w:r>
      <w:r w:rsidR="000C0AC7" w:rsidRPr="000C0AC7">
        <w:rPr>
          <w:bCs/>
        </w:rPr>
        <w:t xml:space="preserve"> slightly underestimated BFM in comparison with InBody. Indicators of obesity risk placed women among the obese with high risk of abdominal obesity. Segmental analysis testified of the fat distribution mainly on limbs. The men were ranked as of moderate overweight category; fat was found primarily in the trunk area which could lead to abdominal obesity.</w:t>
      </w:r>
      <w:r w:rsidR="00F25C1D">
        <w:rPr>
          <w:bCs/>
        </w:rPr>
        <w:t xml:space="preserve"> </w:t>
      </w:r>
      <w:r w:rsidR="00F25C1D">
        <w:rPr>
          <w:rStyle w:val="hps"/>
        </w:rPr>
        <w:t>The largest amount of</w:t>
      </w:r>
      <w:r w:rsidR="00F25C1D">
        <w:t xml:space="preserve"> </w:t>
      </w:r>
      <w:r w:rsidR="00F25C1D">
        <w:rPr>
          <w:rStyle w:val="hps"/>
        </w:rPr>
        <w:t>muscle</w:t>
      </w:r>
      <w:r w:rsidR="00F25C1D">
        <w:t xml:space="preserve"> </w:t>
      </w:r>
      <w:r w:rsidR="00F25C1D">
        <w:rPr>
          <w:rStyle w:val="hps"/>
        </w:rPr>
        <w:t>components</w:t>
      </w:r>
      <w:r w:rsidR="00F25C1D">
        <w:t xml:space="preserve"> </w:t>
      </w:r>
      <w:r w:rsidR="00F25C1D">
        <w:rPr>
          <w:rStyle w:val="hps"/>
        </w:rPr>
        <w:t>were in</w:t>
      </w:r>
      <w:r w:rsidR="00F25C1D">
        <w:t xml:space="preserve"> </w:t>
      </w:r>
      <w:r w:rsidR="00F25C1D">
        <w:rPr>
          <w:rStyle w:val="hps"/>
        </w:rPr>
        <w:t>the</w:t>
      </w:r>
      <w:r w:rsidR="00F25C1D">
        <w:t xml:space="preserve"> </w:t>
      </w:r>
      <w:r w:rsidR="00F25C1D">
        <w:rPr>
          <w:rStyle w:val="hps"/>
        </w:rPr>
        <w:t>trunk area.</w:t>
      </w:r>
    </w:p>
    <w:p w:rsidR="00D85C70" w:rsidRDefault="00D85C70" w:rsidP="009841A2">
      <w:pPr>
        <w:ind w:left="0" w:firstLine="0"/>
        <w:jc w:val="both"/>
        <w:rPr>
          <w:b/>
        </w:rPr>
      </w:pPr>
    </w:p>
    <w:p w:rsidR="009F5750" w:rsidRPr="00D85C70" w:rsidRDefault="009F5750" w:rsidP="00D85C70">
      <w:pPr>
        <w:ind w:left="0" w:firstLine="0"/>
        <w:jc w:val="both"/>
        <w:rPr>
          <w:b/>
        </w:rPr>
      </w:pPr>
      <w:r w:rsidRPr="009C1EA1">
        <w:rPr>
          <w:b/>
        </w:rPr>
        <w:t>Keywords</w:t>
      </w:r>
      <w:r w:rsidR="004A7A7C">
        <w:rPr>
          <w:b/>
        </w:rPr>
        <w:t>:</w:t>
      </w:r>
      <w:r w:rsidR="00F25C1D">
        <w:rPr>
          <w:b/>
        </w:rPr>
        <w:t xml:space="preserve"> </w:t>
      </w:r>
      <w:r w:rsidRPr="009C1EA1">
        <w:t>bioel</w:t>
      </w:r>
      <w:r w:rsidR="004A7A7C">
        <w:t>ectrical impedance analysis, In</w:t>
      </w:r>
      <w:r w:rsidRPr="009C1EA1">
        <w:t xml:space="preserve">Body 720, </w:t>
      </w:r>
      <w:r w:rsidR="004A7A7C">
        <w:t xml:space="preserve">Tanita BC 418, </w:t>
      </w:r>
      <w:r w:rsidRPr="009C1EA1">
        <w:t xml:space="preserve">obesity, </w:t>
      </w:r>
      <w:r w:rsidR="004A7A7C">
        <w:t>smoking</w:t>
      </w:r>
      <w:r w:rsidRPr="009C1EA1">
        <w:t>, schizophrenia</w:t>
      </w:r>
    </w:p>
    <w:p w:rsidR="00D85C70" w:rsidRDefault="00D85C70" w:rsidP="00D85C70">
      <w:pPr>
        <w:ind w:left="0" w:firstLine="0"/>
        <w:jc w:val="both"/>
      </w:pPr>
    </w:p>
    <w:p w:rsidR="009841A2" w:rsidRDefault="009841A2" w:rsidP="00D85C70">
      <w:pPr>
        <w:ind w:left="0" w:firstLine="0"/>
        <w:jc w:val="both"/>
      </w:pPr>
    </w:p>
    <w:p w:rsidR="009F5750" w:rsidRPr="009C1EA1" w:rsidRDefault="009841A2" w:rsidP="00D85C70">
      <w:pPr>
        <w:ind w:left="0" w:firstLine="0"/>
        <w:jc w:val="both"/>
      </w:pPr>
      <w:r>
        <w:t>T</w:t>
      </w:r>
      <w:r w:rsidR="009F5750" w:rsidRPr="009C1EA1">
        <w:t>he bachelor thesis was elaborated within the project “Physical Activity and Inactivity of the Inhabitants of the Czech Republic in the Context of Behavioural Changes“ (IC: 6198959221).</w:t>
      </w:r>
    </w:p>
    <w:p w:rsidR="00D85C70" w:rsidRDefault="00D85C70" w:rsidP="00D85C70">
      <w:pPr>
        <w:pStyle w:val="P-text"/>
        <w:spacing w:after="0"/>
        <w:ind w:firstLine="0"/>
        <w:rPr>
          <w:rFonts w:ascii="Times New Roman" w:eastAsiaTheme="minorHAnsi" w:hAnsi="Times New Roman"/>
        </w:rPr>
      </w:pPr>
    </w:p>
    <w:p w:rsidR="009F5750" w:rsidRPr="009C1EA1" w:rsidRDefault="009F5750" w:rsidP="00D85C70">
      <w:pPr>
        <w:pStyle w:val="P-text"/>
        <w:spacing w:after="0"/>
        <w:ind w:firstLine="0"/>
        <w:rPr>
          <w:rFonts w:ascii="Times New Roman" w:hAnsi="Times New Roman"/>
        </w:rPr>
      </w:pPr>
      <w:r w:rsidRPr="009C1EA1">
        <w:rPr>
          <w:rFonts w:ascii="Times New Roman" w:hAnsi="Times New Roman"/>
        </w:rPr>
        <w:t>I agree the thesis paper to be lent within the library service</w:t>
      </w:r>
      <w:r>
        <w:rPr>
          <w:rFonts w:ascii="Times New Roman" w:hAnsi="Times New Roman"/>
        </w:rPr>
        <w:t>.</w:t>
      </w:r>
    </w:p>
    <w:p w:rsidR="009F5750" w:rsidRPr="009C1EA1" w:rsidRDefault="009F5750" w:rsidP="00A1273E">
      <w:pPr>
        <w:pStyle w:val="P-text"/>
        <w:ind w:firstLine="284"/>
        <w:jc w:val="left"/>
        <w:rPr>
          <w:rFonts w:ascii="Times New Roman" w:hAnsi="Times New Roman"/>
          <w:b/>
          <w:sz w:val="28"/>
          <w:szCs w:val="28"/>
        </w:rPr>
      </w:pPr>
      <w:r w:rsidRPr="009C1EA1">
        <w:rPr>
          <w:rFonts w:ascii="Times New Roman" w:hAnsi="Times New Roman"/>
          <w:b/>
          <w:sz w:val="28"/>
          <w:szCs w:val="28"/>
        </w:rPr>
        <w:br w:type="page"/>
      </w: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jc w:val="both"/>
      </w:pPr>
    </w:p>
    <w:p w:rsidR="009F5750" w:rsidRPr="009C1EA1" w:rsidRDefault="009F5750" w:rsidP="00A1273E">
      <w:pPr>
        <w:ind w:left="0" w:firstLine="284"/>
        <w:jc w:val="both"/>
      </w:pPr>
    </w:p>
    <w:p w:rsidR="009F5750" w:rsidRPr="009C1EA1" w:rsidRDefault="009F5750" w:rsidP="00A1273E">
      <w:pPr>
        <w:ind w:left="0" w:firstLine="284"/>
        <w:jc w:val="both"/>
      </w:pPr>
      <w:r w:rsidRPr="009C1EA1">
        <w:t xml:space="preserve">Prohlašuji, že jsem bakalářskou práci zpracovala samostatně s odbornou pomocí doc. RNDr. Miroslavy Přidalové, PhD., uvedla všechny použité literární a odborné zdroje a řídila se zásadami vědecké etiky. </w:t>
      </w:r>
    </w:p>
    <w:p w:rsidR="00E66F29" w:rsidRDefault="00E66F29" w:rsidP="00E66F29">
      <w:pPr>
        <w:ind w:left="0" w:firstLine="0"/>
        <w:jc w:val="both"/>
      </w:pPr>
    </w:p>
    <w:p w:rsidR="009F5750" w:rsidRPr="009C1EA1" w:rsidRDefault="00A1273E" w:rsidP="00E66F29">
      <w:pPr>
        <w:ind w:left="0" w:firstLine="0"/>
        <w:jc w:val="both"/>
      </w:pPr>
      <w:r>
        <w:t>V Olomouci dne 26</w:t>
      </w:r>
      <w:r w:rsidR="009F5750" w:rsidRPr="009C1EA1">
        <w:t>. 4. 201</w:t>
      </w:r>
      <w:r>
        <w:t>2</w:t>
      </w:r>
      <w:r w:rsidR="009F5750" w:rsidRPr="009C1EA1">
        <w:tab/>
      </w:r>
      <w:r w:rsidR="009F5750" w:rsidRPr="009C1EA1">
        <w:tab/>
      </w:r>
      <w:r w:rsidR="009F5750" w:rsidRPr="009C1EA1">
        <w:tab/>
      </w:r>
      <w:r w:rsidR="009F5750" w:rsidRPr="009C1EA1">
        <w:rPr>
          <w:u w:val="dotted"/>
        </w:rPr>
        <w:tab/>
      </w:r>
      <w:r w:rsidR="009F5750" w:rsidRPr="009C1EA1">
        <w:rPr>
          <w:u w:val="dotted"/>
        </w:rPr>
        <w:tab/>
      </w:r>
      <w:r w:rsidR="009F5750" w:rsidRPr="009C1EA1">
        <w:rPr>
          <w:u w:val="dotted"/>
        </w:rPr>
        <w:tab/>
      </w:r>
      <w:r w:rsidR="009F5750" w:rsidRPr="009C1EA1">
        <w:rPr>
          <w:u w:val="dotted"/>
        </w:rPr>
        <w:tab/>
      </w:r>
      <w:r w:rsidR="009F5750" w:rsidRPr="009C1EA1">
        <w:tab/>
      </w:r>
      <w:r w:rsidR="009F5750" w:rsidRPr="009C1EA1">
        <w:tab/>
      </w:r>
    </w:p>
    <w:p w:rsidR="009F5750" w:rsidRPr="009C1EA1" w:rsidRDefault="009F5750" w:rsidP="00A1273E">
      <w:pPr>
        <w:ind w:left="0" w:firstLine="284"/>
        <w:jc w:val="both"/>
        <w:rPr>
          <w:rFonts w:eastAsiaTheme="majorEastAsia"/>
          <w:b/>
          <w:bCs/>
          <w:sz w:val="28"/>
          <w:szCs w:val="28"/>
        </w:rPr>
      </w:pPr>
      <w:r w:rsidRPr="009C1EA1">
        <w:br w:type="page"/>
      </w: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pPr>
    </w:p>
    <w:p w:rsidR="009F5750" w:rsidRPr="009C1EA1" w:rsidRDefault="009F5750" w:rsidP="00A1273E">
      <w:pPr>
        <w:ind w:left="0" w:firstLine="284"/>
        <w:jc w:val="both"/>
      </w:pPr>
    </w:p>
    <w:p w:rsidR="009F5750" w:rsidRPr="009C1EA1" w:rsidRDefault="009F5750" w:rsidP="00A1273E">
      <w:pPr>
        <w:ind w:left="0" w:firstLine="284"/>
        <w:jc w:val="both"/>
      </w:pPr>
      <w:r w:rsidRPr="009C1EA1">
        <w:rPr>
          <w:sz w:val="23"/>
          <w:szCs w:val="23"/>
        </w:rPr>
        <w:t xml:space="preserve">Děkuji doc. RNDr. Miroslavě Přidalové, Ph.D. za pomoc, cenné rady a připomínky při zpracovávání bakalářské práce. </w:t>
      </w:r>
    </w:p>
    <w:p w:rsidR="009F5750" w:rsidRPr="009C1EA1" w:rsidRDefault="009F5750" w:rsidP="00A1273E">
      <w:pPr>
        <w:ind w:left="0" w:firstLine="284"/>
        <w:rPr>
          <w:rFonts w:eastAsiaTheme="majorEastAsia"/>
          <w:b/>
          <w:bCs/>
          <w:sz w:val="28"/>
          <w:szCs w:val="28"/>
        </w:rPr>
      </w:pPr>
      <w:r w:rsidRPr="009C1EA1">
        <w:br w:type="page"/>
      </w:r>
    </w:p>
    <w:sdt>
      <w:sdtPr>
        <w:rPr>
          <w:rFonts w:ascii="Times New Roman" w:eastAsiaTheme="minorHAnsi" w:hAnsi="Times New Roman" w:cs="Times New Roman"/>
          <w:b w:val="0"/>
          <w:bCs w:val="0"/>
          <w:color w:val="auto"/>
          <w:sz w:val="24"/>
          <w:szCs w:val="24"/>
        </w:rPr>
        <w:id w:val="7276674"/>
        <w:docPartObj>
          <w:docPartGallery w:val="Table of Contents"/>
          <w:docPartUnique/>
        </w:docPartObj>
      </w:sdtPr>
      <w:sdtContent>
        <w:p w:rsidR="009F5750" w:rsidRDefault="009F5750" w:rsidP="00A75C68">
          <w:pPr>
            <w:pStyle w:val="Nadpisobsahu"/>
            <w:rPr>
              <w:rFonts w:ascii="Times New Roman" w:hAnsi="Times New Roman" w:cs="Times New Roman"/>
              <w:color w:val="auto"/>
            </w:rPr>
          </w:pPr>
          <w:r w:rsidRPr="009C1EA1">
            <w:rPr>
              <w:rFonts w:ascii="Times New Roman" w:hAnsi="Times New Roman" w:cs="Times New Roman"/>
              <w:color w:val="auto"/>
            </w:rPr>
            <w:t>Obsah</w:t>
          </w:r>
        </w:p>
        <w:p w:rsidR="00935A57" w:rsidRDefault="00935A57">
          <w:pPr>
            <w:pStyle w:val="Obsah1"/>
          </w:pPr>
        </w:p>
        <w:p w:rsidR="00D14478" w:rsidRDefault="005A3029">
          <w:pPr>
            <w:pStyle w:val="Obsah1"/>
            <w:rPr>
              <w:rFonts w:asciiTheme="minorHAnsi" w:eastAsiaTheme="minorEastAsia" w:hAnsiTheme="minorHAnsi" w:cstheme="minorBidi"/>
              <w:noProof/>
              <w:sz w:val="22"/>
              <w:szCs w:val="22"/>
              <w:lang w:eastAsia="cs-CZ"/>
            </w:rPr>
          </w:pPr>
          <w:r w:rsidRPr="009C1EA1">
            <w:fldChar w:fldCharType="begin"/>
          </w:r>
          <w:r w:rsidR="009F5750" w:rsidRPr="009C1EA1">
            <w:instrText xml:space="preserve"> TOC \o "1-3" \h \z \u </w:instrText>
          </w:r>
          <w:r w:rsidRPr="009C1EA1">
            <w:fldChar w:fldCharType="separate"/>
          </w:r>
          <w:hyperlink w:anchor="_Toc324848202" w:history="1">
            <w:r w:rsidR="00D14478" w:rsidRPr="005B4231">
              <w:rPr>
                <w:rStyle w:val="Hypertextovodkaz"/>
                <w:noProof/>
              </w:rPr>
              <w:t>1 ÚVOD</w:t>
            </w:r>
            <w:r w:rsidR="00D14478">
              <w:rPr>
                <w:noProof/>
                <w:webHidden/>
              </w:rPr>
              <w:tab/>
            </w:r>
            <w:r>
              <w:rPr>
                <w:noProof/>
                <w:webHidden/>
              </w:rPr>
              <w:fldChar w:fldCharType="begin"/>
            </w:r>
            <w:r w:rsidR="00D14478">
              <w:rPr>
                <w:noProof/>
                <w:webHidden/>
              </w:rPr>
              <w:instrText xml:space="preserve"> PAGEREF _Toc324848202 \h </w:instrText>
            </w:r>
            <w:r>
              <w:rPr>
                <w:noProof/>
                <w:webHidden/>
              </w:rPr>
            </w:r>
            <w:r>
              <w:rPr>
                <w:noProof/>
                <w:webHidden/>
              </w:rPr>
              <w:fldChar w:fldCharType="separate"/>
            </w:r>
            <w:r w:rsidR="00D14478">
              <w:rPr>
                <w:noProof/>
                <w:webHidden/>
              </w:rPr>
              <w:t>7</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03" w:history="1">
            <w:r w:rsidR="00D14478" w:rsidRPr="005B4231">
              <w:rPr>
                <w:rStyle w:val="Hypertextovodkaz"/>
                <w:noProof/>
              </w:rPr>
              <w:t>2 SYNTÉZA POZNATKŮ</w:t>
            </w:r>
            <w:r w:rsidR="00D14478">
              <w:rPr>
                <w:noProof/>
                <w:webHidden/>
              </w:rPr>
              <w:tab/>
            </w:r>
            <w:r>
              <w:rPr>
                <w:noProof/>
                <w:webHidden/>
              </w:rPr>
              <w:fldChar w:fldCharType="begin"/>
            </w:r>
            <w:r w:rsidR="00D14478">
              <w:rPr>
                <w:noProof/>
                <w:webHidden/>
              </w:rPr>
              <w:instrText xml:space="preserve"> PAGEREF _Toc324848203 \h </w:instrText>
            </w:r>
            <w:r>
              <w:rPr>
                <w:noProof/>
                <w:webHidden/>
              </w:rPr>
            </w:r>
            <w:r>
              <w:rPr>
                <w:noProof/>
                <w:webHidden/>
              </w:rPr>
              <w:fldChar w:fldCharType="separate"/>
            </w:r>
            <w:r w:rsidR="00D14478">
              <w:rPr>
                <w:noProof/>
                <w:webHidden/>
              </w:rPr>
              <w:t>8</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04" w:history="1">
            <w:r w:rsidR="00D14478" w:rsidRPr="005B4231">
              <w:rPr>
                <w:rStyle w:val="Hypertextovodkaz"/>
                <w:noProof/>
              </w:rPr>
              <w:t>2. 1 Tělesné složení</w:t>
            </w:r>
            <w:r w:rsidR="00D14478">
              <w:rPr>
                <w:noProof/>
                <w:webHidden/>
              </w:rPr>
              <w:tab/>
            </w:r>
            <w:r>
              <w:rPr>
                <w:noProof/>
                <w:webHidden/>
              </w:rPr>
              <w:fldChar w:fldCharType="begin"/>
            </w:r>
            <w:r w:rsidR="00D14478">
              <w:rPr>
                <w:noProof/>
                <w:webHidden/>
              </w:rPr>
              <w:instrText xml:space="preserve"> PAGEREF _Toc324848204 \h </w:instrText>
            </w:r>
            <w:r>
              <w:rPr>
                <w:noProof/>
                <w:webHidden/>
              </w:rPr>
            </w:r>
            <w:r>
              <w:rPr>
                <w:noProof/>
                <w:webHidden/>
              </w:rPr>
              <w:fldChar w:fldCharType="separate"/>
            </w:r>
            <w:r w:rsidR="00D14478">
              <w:rPr>
                <w:noProof/>
                <w:webHidden/>
              </w:rPr>
              <w:t>8</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05" w:history="1">
            <w:r w:rsidR="00D14478" w:rsidRPr="005B4231">
              <w:rPr>
                <w:rStyle w:val="Hypertextovodkaz"/>
                <w:noProof/>
              </w:rPr>
              <w:t>2. 1. 1 Tělesný tuk (FM)</w:t>
            </w:r>
            <w:r w:rsidR="00D14478">
              <w:rPr>
                <w:noProof/>
                <w:webHidden/>
              </w:rPr>
              <w:tab/>
            </w:r>
            <w:r>
              <w:rPr>
                <w:noProof/>
                <w:webHidden/>
              </w:rPr>
              <w:fldChar w:fldCharType="begin"/>
            </w:r>
            <w:r w:rsidR="00D14478">
              <w:rPr>
                <w:noProof/>
                <w:webHidden/>
              </w:rPr>
              <w:instrText xml:space="preserve"> PAGEREF _Toc324848205 \h </w:instrText>
            </w:r>
            <w:r>
              <w:rPr>
                <w:noProof/>
                <w:webHidden/>
              </w:rPr>
            </w:r>
            <w:r>
              <w:rPr>
                <w:noProof/>
                <w:webHidden/>
              </w:rPr>
              <w:fldChar w:fldCharType="separate"/>
            </w:r>
            <w:r w:rsidR="00D14478">
              <w:rPr>
                <w:noProof/>
                <w:webHidden/>
              </w:rPr>
              <w:t>9</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06" w:history="1">
            <w:r w:rsidR="00D14478" w:rsidRPr="005B4231">
              <w:rPr>
                <w:rStyle w:val="Hypertextovodkaz"/>
                <w:noProof/>
              </w:rPr>
              <w:t>2. 1. 2 Tukuprostá hmota (FFM)</w:t>
            </w:r>
            <w:r w:rsidR="00D14478">
              <w:rPr>
                <w:noProof/>
                <w:webHidden/>
              </w:rPr>
              <w:tab/>
            </w:r>
            <w:r>
              <w:rPr>
                <w:noProof/>
                <w:webHidden/>
              </w:rPr>
              <w:fldChar w:fldCharType="begin"/>
            </w:r>
            <w:r w:rsidR="00D14478">
              <w:rPr>
                <w:noProof/>
                <w:webHidden/>
              </w:rPr>
              <w:instrText xml:space="preserve"> PAGEREF _Toc324848206 \h </w:instrText>
            </w:r>
            <w:r>
              <w:rPr>
                <w:noProof/>
                <w:webHidden/>
              </w:rPr>
            </w:r>
            <w:r>
              <w:rPr>
                <w:noProof/>
                <w:webHidden/>
              </w:rPr>
              <w:fldChar w:fldCharType="separate"/>
            </w:r>
            <w:r w:rsidR="00D14478">
              <w:rPr>
                <w:noProof/>
                <w:webHidden/>
              </w:rPr>
              <w:t>10</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07" w:history="1">
            <w:r w:rsidR="00D14478" w:rsidRPr="005B4231">
              <w:rPr>
                <w:rStyle w:val="Hypertextovodkaz"/>
                <w:noProof/>
              </w:rPr>
              <w:t>2. 1. 3 Tělesná voda (TBW)</w:t>
            </w:r>
            <w:r w:rsidR="00D14478">
              <w:rPr>
                <w:noProof/>
                <w:webHidden/>
              </w:rPr>
              <w:tab/>
            </w:r>
            <w:r>
              <w:rPr>
                <w:noProof/>
                <w:webHidden/>
              </w:rPr>
              <w:fldChar w:fldCharType="begin"/>
            </w:r>
            <w:r w:rsidR="00D14478">
              <w:rPr>
                <w:noProof/>
                <w:webHidden/>
              </w:rPr>
              <w:instrText xml:space="preserve"> PAGEREF _Toc324848207 \h </w:instrText>
            </w:r>
            <w:r>
              <w:rPr>
                <w:noProof/>
                <w:webHidden/>
              </w:rPr>
            </w:r>
            <w:r>
              <w:rPr>
                <w:noProof/>
                <w:webHidden/>
              </w:rPr>
              <w:fldChar w:fldCharType="separate"/>
            </w:r>
            <w:r w:rsidR="00D14478">
              <w:rPr>
                <w:noProof/>
                <w:webHidden/>
              </w:rPr>
              <w:t>11</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08" w:history="1">
            <w:r w:rsidR="00D14478" w:rsidRPr="005B4231">
              <w:rPr>
                <w:rStyle w:val="Hypertextovodkaz"/>
                <w:noProof/>
              </w:rPr>
              <w:t>2. 2 Metody odhadu tělesného složení</w:t>
            </w:r>
            <w:r w:rsidR="00D14478">
              <w:rPr>
                <w:noProof/>
                <w:webHidden/>
              </w:rPr>
              <w:tab/>
            </w:r>
            <w:r>
              <w:rPr>
                <w:noProof/>
                <w:webHidden/>
              </w:rPr>
              <w:fldChar w:fldCharType="begin"/>
            </w:r>
            <w:r w:rsidR="00D14478">
              <w:rPr>
                <w:noProof/>
                <w:webHidden/>
              </w:rPr>
              <w:instrText xml:space="preserve"> PAGEREF _Toc324848208 \h </w:instrText>
            </w:r>
            <w:r>
              <w:rPr>
                <w:noProof/>
                <w:webHidden/>
              </w:rPr>
            </w:r>
            <w:r>
              <w:rPr>
                <w:noProof/>
                <w:webHidden/>
              </w:rPr>
              <w:fldChar w:fldCharType="separate"/>
            </w:r>
            <w:r w:rsidR="00D14478">
              <w:rPr>
                <w:noProof/>
                <w:webHidden/>
              </w:rPr>
              <w:t>12</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09" w:history="1">
            <w:r w:rsidR="00D14478" w:rsidRPr="005B4231">
              <w:rPr>
                <w:rStyle w:val="Hypertextovodkaz"/>
                <w:noProof/>
              </w:rPr>
              <w:t>2. 2. 1 Denzita těla</w:t>
            </w:r>
            <w:r w:rsidR="00D14478">
              <w:rPr>
                <w:noProof/>
                <w:webHidden/>
              </w:rPr>
              <w:tab/>
            </w:r>
            <w:r>
              <w:rPr>
                <w:noProof/>
                <w:webHidden/>
              </w:rPr>
              <w:fldChar w:fldCharType="begin"/>
            </w:r>
            <w:r w:rsidR="00D14478">
              <w:rPr>
                <w:noProof/>
                <w:webHidden/>
              </w:rPr>
              <w:instrText xml:space="preserve"> PAGEREF _Toc324848209 \h </w:instrText>
            </w:r>
            <w:r>
              <w:rPr>
                <w:noProof/>
                <w:webHidden/>
              </w:rPr>
            </w:r>
            <w:r>
              <w:rPr>
                <w:noProof/>
                <w:webHidden/>
              </w:rPr>
              <w:fldChar w:fldCharType="separate"/>
            </w:r>
            <w:r w:rsidR="00D14478">
              <w:rPr>
                <w:noProof/>
                <w:webHidden/>
              </w:rPr>
              <w:t>12</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0" w:history="1">
            <w:r w:rsidR="00D14478" w:rsidRPr="005B4231">
              <w:rPr>
                <w:rStyle w:val="Hypertextovodkaz"/>
                <w:noProof/>
              </w:rPr>
              <w:t>2. 2. 2 Celkový tělesný draslík (TBK)</w:t>
            </w:r>
            <w:r w:rsidR="00D14478">
              <w:rPr>
                <w:noProof/>
                <w:webHidden/>
              </w:rPr>
              <w:tab/>
            </w:r>
            <w:r>
              <w:rPr>
                <w:noProof/>
                <w:webHidden/>
              </w:rPr>
              <w:fldChar w:fldCharType="begin"/>
            </w:r>
            <w:r w:rsidR="00D14478">
              <w:rPr>
                <w:noProof/>
                <w:webHidden/>
              </w:rPr>
              <w:instrText xml:space="preserve"> PAGEREF _Toc324848210 \h </w:instrText>
            </w:r>
            <w:r>
              <w:rPr>
                <w:noProof/>
                <w:webHidden/>
              </w:rPr>
            </w:r>
            <w:r>
              <w:rPr>
                <w:noProof/>
                <w:webHidden/>
              </w:rPr>
              <w:fldChar w:fldCharType="separate"/>
            </w:r>
            <w:r w:rsidR="00D14478">
              <w:rPr>
                <w:noProof/>
                <w:webHidden/>
              </w:rPr>
              <w:t>13</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1" w:history="1">
            <w:r w:rsidR="00D14478" w:rsidRPr="005B4231">
              <w:rPr>
                <w:rStyle w:val="Hypertextovodkaz"/>
                <w:noProof/>
              </w:rPr>
              <w:t>2. 2. 3 Bioelektrická impedance (BIA)</w:t>
            </w:r>
            <w:r w:rsidR="00D14478">
              <w:rPr>
                <w:noProof/>
                <w:webHidden/>
              </w:rPr>
              <w:tab/>
            </w:r>
            <w:r>
              <w:rPr>
                <w:noProof/>
                <w:webHidden/>
              </w:rPr>
              <w:fldChar w:fldCharType="begin"/>
            </w:r>
            <w:r w:rsidR="00D14478">
              <w:rPr>
                <w:noProof/>
                <w:webHidden/>
              </w:rPr>
              <w:instrText xml:space="preserve"> PAGEREF _Toc324848211 \h </w:instrText>
            </w:r>
            <w:r>
              <w:rPr>
                <w:noProof/>
                <w:webHidden/>
              </w:rPr>
            </w:r>
            <w:r>
              <w:rPr>
                <w:noProof/>
                <w:webHidden/>
              </w:rPr>
              <w:fldChar w:fldCharType="separate"/>
            </w:r>
            <w:r w:rsidR="00D14478">
              <w:rPr>
                <w:noProof/>
                <w:webHidden/>
              </w:rPr>
              <w:t>13</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12" w:history="1">
            <w:r w:rsidR="00D14478" w:rsidRPr="005B4231">
              <w:rPr>
                <w:rStyle w:val="Hypertextovodkaz"/>
                <w:noProof/>
              </w:rPr>
              <w:t>2. 3 Obezita</w:t>
            </w:r>
            <w:r w:rsidR="00D14478">
              <w:rPr>
                <w:noProof/>
                <w:webHidden/>
              </w:rPr>
              <w:tab/>
            </w:r>
            <w:r>
              <w:rPr>
                <w:noProof/>
                <w:webHidden/>
              </w:rPr>
              <w:fldChar w:fldCharType="begin"/>
            </w:r>
            <w:r w:rsidR="00D14478">
              <w:rPr>
                <w:noProof/>
                <w:webHidden/>
              </w:rPr>
              <w:instrText xml:space="preserve"> PAGEREF _Toc324848212 \h </w:instrText>
            </w:r>
            <w:r>
              <w:rPr>
                <w:noProof/>
                <w:webHidden/>
              </w:rPr>
            </w:r>
            <w:r>
              <w:rPr>
                <w:noProof/>
                <w:webHidden/>
              </w:rPr>
              <w:fldChar w:fldCharType="separate"/>
            </w:r>
            <w:r w:rsidR="00D14478">
              <w:rPr>
                <w:noProof/>
                <w:webHidden/>
              </w:rPr>
              <w:t>15</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3" w:history="1">
            <w:r w:rsidR="00D14478" w:rsidRPr="005B4231">
              <w:rPr>
                <w:rStyle w:val="Hypertextovodkaz"/>
                <w:noProof/>
              </w:rPr>
              <w:t>2. 3. 1 Bazální metabolismus (BM)</w:t>
            </w:r>
            <w:r w:rsidR="00D14478">
              <w:rPr>
                <w:noProof/>
                <w:webHidden/>
              </w:rPr>
              <w:tab/>
            </w:r>
            <w:r>
              <w:rPr>
                <w:noProof/>
                <w:webHidden/>
              </w:rPr>
              <w:fldChar w:fldCharType="begin"/>
            </w:r>
            <w:r w:rsidR="00D14478">
              <w:rPr>
                <w:noProof/>
                <w:webHidden/>
              </w:rPr>
              <w:instrText xml:space="preserve"> PAGEREF _Toc324848213 \h </w:instrText>
            </w:r>
            <w:r>
              <w:rPr>
                <w:noProof/>
                <w:webHidden/>
              </w:rPr>
            </w:r>
            <w:r>
              <w:rPr>
                <w:noProof/>
                <w:webHidden/>
              </w:rPr>
              <w:fldChar w:fldCharType="separate"/>
            </w:r>
            <w:r w:rsidR="00D14478">
              <w:rPr>
                <w:noProof/>
                <w:webHidden/>
              </w:rPr>
              <w:t>18</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4" w:history="1">
            <w:r w:rsidR="00D14478" w:rsidRPr="005B4231">
              <w:rPr>
                <w:rStyle w:val="Hypertextovodkaz"/>
                <w:noProof/>
              </w:rPr>
              <w:t>2. 3. 2 Obezita, kouření, deprese</w:t>
            </w:r>
            <w:r w:rsidR="00D14478">
              <w:rPr>
                <w:noProof/>
                <w:webHidden/>
              </w:rPr>
              <w:tab/>
            </w:r>
            <w:r>
              <w:rPr>
                <w:noProof/>
                <w:webHidden/>
              </w:rPr>
              <w:fldChar w:fldCharType="begin"/>
            </w:r>
            <w:r w:rsidR="00D14478">
              <w:rPr>
                <w:noProof/>
                <w:webHidden/>
              </w:rPr>
              <w:instrText xml:space="preserve"> PAGEREF _Toc324848214 \h </w:instrText>
            </w:r>
            <w:r>
              <w:rPr>
                <w:noProof/>
                <w:webHidden/>
              </w:rPr>
            </w:r>
            <w:r>
              <w:rPr>
                <w:noProof/>
                <w:webHidden/>
              </w:rPr>
              <w:fldChar w:fldCharType="separate"/>
            </w:r>
            <w:r w:rsidR="00D14478">
              <w:rPr>
                <w:noProof/>
                <w:webHidden/>
              </w:rPr>
              <w:t>19</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5" w:history="1">
            <w:r w:rsidR="00D14478" w:rsidRPr="005B4231">
              <w:rPr>
                <w:rStyle w:val="Hypertextovodkaz"/>
                <w:noProof/>
              </w:rPr>
              <w:t>2. 3. 3 Obezita a psychofarmaka</w:t>
            </w:r>
            <w:r w:rsidR="00D14478">
              <w:rPr>
                <w:noProof/>
                <w:webHidden/>
              </w:rPr>
              <w:tab/>
            </w:r>
            <w:r>
              <w:rPr>
                <w:noProof/>
                <w:webHidden/>
              </w:rPr>
              <w:fldChar w:fldCharType="begin"/>
            </w:r>
            <w:r w:rsidR="00D14478">
              <w:rPr>
                <w:noProof/>
                <w:webHidden/>
              </w:rPr>
              <w:instrText xml:space="preserve"> PAGEREF _Toc324848215 \h </w:instrText>
            </w:r>
            <w:r>
              <w:rPr>
                <w:noProof/>
                <w:webHidden/>
              </w:rPr>
            </w:r>
            <w:r>
              <w:rPr>
                <w:noProof/>
                <w:webHidden/>
              </w:rPr>
              <w:fldChar w:fldCharType="separate"/>
            </w:r>
            <w:r w:rsidR="00D14478">
              <w:rPr>
                <w:noProof/>
                <w:webHidden/>
              </w:rPr>
              <w:t>20</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16" w:history="1">
            <w:r w:rsidR="00D14478" w:rsidRPr="005B4231">
              <w:rPr>
                <w:rStyle w:val="Hypertextovodkaz"/>
                <w:noProof/>
              </w:rPr>
              <w:t>2. 4 Duševní poruchy</w:t>
            </w:r>
            <w:r w:rsidR="00D14478">
              <w:rPr>
                <w:noProof/>
                <w:webHidden/>
              </w:rPr>
              <w:tab/>
            </w:r>
            <w:r>
              <w:rPr>
                <w:noProof/>
                <w:webHidden/>
              </w:rPr>
              <w:fldChar w:fldCharType="begin"/>
            </w:r>
            <w:r w:rsidR="00D14478">
              <w:rPr>
                <w:noProof/>
                <w:webHidden/>
              </w:rPr>
              <w:instrText xml:space="preserve"> PAGEREF _Toc324848216 \h </w:instrText>
            </w:r>
            <w:r>
              <w:rPr>
                <w:noProof/>
                <w:webHidden/>
              </w:rPr>
            </w:r>
            <w:r>
              <w:rPr>
                <w:noProof/>
                <w:webHidden/>
              </w:rPr>
              <w:fldChar w:fldCharType="separate"/>
            </w:r>
            <w:r w:rsidR="00D14478">
              <w:rPr>
                <w:noProof/>
                <w:webHidden/>
              </w:rPr>
              <w:t>22</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7" w:history="1">
            <w:r w:rsidR="00D14478" w:rsidRPr="005B4231">
              <w:rPr>
                <w:rStyle w:val="Hypertextovodkaz"/>
                <w:noProof/>
              </w:rPr>
              <w:t>2. 4. 1 Deprese</w:t>
            </w:r>
            <w:r w:rsidR="00D14478">
              <w:rPr>
                <w:noProof/>
                <w:webHidden/>
              </w:rPr>
              <w:tab/>
            </w:r>
            <w:r>
              <w:rPr>
                <w:noProof/>
                <w:webHidden/>
              </w:rPr>
              <w:fldChar w:fldCharType="begin"/>
            </w:r>
            <w:r w:rsidR="00D14478">
              <w:rPr>
                <w:noProof/>
                <w:webHidden/>
              </w:rPr>
              <w:instrText xml:space="preserve"> PAGEREF _Toc324848217 \h </w:instrText>
            </w:r>
            <w:r>
              <w:rPr>
                <w:noProof/>
                <w:webHidden/>
              </w:rPr>
            </w:r>
            <w:r>
              <w:rPr>
                <w:noProof/>
                <w:webHidden/>
              </w:rPr>
              <w:fldChar w:fldCharType="separate"/>
            </w:r>
            <w:r w:rsidR="00D14478">
              <w:rPr>
                <w:noProof/>
                <w:webHidden/>
              </w:rPr>
              <w:t>23</w:t>
            </w:r>
            <w:r>
              <w:rPr>
                <w:noProof/>
                <w:webHidden/>
              </w:rPr>
              <w:fldChar w:fldCharType="end"/>
            </w:r>
          </w:hyperlink>
        </w:p>
        <w:p w:rsidR="00D14478" w:rsidRDefault="005A3029">
          <w:pPr>
            <w:pStyle w:val="Obsah3"/>
            <w:rPr>
              <w:rFonts w:asciiTheme="minorHAnsi" w:eastAsiaTheme="minorEastAsia" w:hAnsiTheme="minorHAnsi" w:cstheme="minorBidi"/>
              <w:noProof/>
              <w:sz w:val="22"/>
              <w:szCs w:val="22"/>
              <w:lang w:eastAsia="cs-CZ"/>
            </w:rPr>
          </w:pPr>
          <w:hyperlink w:anchor="_Toc324848218" w:history="1">
            <w:r w:rsidR="00D14478" w:rsidRPr="005B4231">
              <w:rPr>
                <w:rStyle w:val="Hypertextovodkaz"/>
                <w:noProof/>
              </w:rPr>
              <w:t>2. 4.2 Schizofrenie</w:t>
            </w:r>
            <w:r w:rsidR="00D14478">
              <w:rPr>
                <w:noProof/>
                <w:webHidden/>
              </w:rPr>
              <w:tab/>
            </w:r>
            <w:r>
              <w:rPr>
                <w:noProof/>
                <w:webHidden/>
              </w:rPr>
              <w:fldChar w:fldCharType="begin"/>
            </w:r>
            <w:r w:rsidR="00D14478">
              <w:rPr>
                <w:noProof/>
                <w:webHidden/>
              </w:rPr>
              <w:instrText xml:space="preserve"> PAGEREF _Toc324848218 \h </w:instrText>
            </w:r>
            <w:r>
              <w:rPr>
                <w:noProof/>
                <w:webHidden/>
              </w:rPr>
            </w:r>
            <w:r>
              <w:rPr>
                <w:noProof/>
                <w:webHidden/>
              </w:rPr>
              <w:fldChar w:fldCharType="separate"/>
            </w:r>
            <w:r w:rsidR="00D14478">
              <w:rPr>
                <w:noProof/>
                <w:webHidden/>
              </w:rPr>
              <w:t>24</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19" w:history="1">
            <w:r w:rsidR="00D14478" w:rsidRPr="005B4231">
              <w:rPr>
                <w:rStyle w:val="Hypertextovodkaz"/>
                <w:noProof/>
              </w:rPr>
              <w:t>3 CÍLE</w:t>
            </w:r>
            <w:r w:rsidR="00D14478">
              <w:rPr>
                <w:noProof/>
                <w:webHidden/>
              </w:rPr>
              <w:tab/>
            </w:r>
            <w:r>
              <w:rPr>
                <w:noProof/>
                <w:webHidden/>
              </w:rPr>
              <w:fldChar w:fldCharType="begin"/>
            </w:r>
            <w:r w:rsidR="00D14478">
              <w:rPr>
                <w:noProof/>
                <w:webHidden/>
              </w:rPr>
              <w:instrText xml:space="preserve"> PAGEREF _Toc324848219 \h </w:instrText>
            </w:r>
            <w:r>
              <w:rPr>
                <w:noProof/>
                <w:webHidden/>
              </w:rPr>
            </w:r>
            <w:r>
              <w:rPr>
                <w:noProof/>
                <w:webHidden/>
              </w:rPr>
              <w:fldChar w:fldCharType="separate"/>
            </w:r>
            <w:r w:rsidR="00D14478">
              <w:rPr>
                <w:noProof/>
                <w:webHidden/>
              </w:rPr>
              <w:t>31</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20" w:history="1">
            <w:r w:rsidR="00D14478" w:rsidRPr="005B4231">
              <w:rPr>
                <w:rStyle w:val="Hypertextovodkaz"/>
                <w:noProof/>
              </w:rPr>
              <w:t>4 METODIKA</w:t>
            </w:r>
            <w:r w:rsidR="00D14478">
              <w:rPr>
                <w:noProof/>
                <w:webHidden/>
              </w:rPr>
              <w:tab/>
            </w:r>
            <w:r>
              <w:rPr>
                <w:noProof/>
                <w:webHidden/>
              </w:rPr>
              <w:fldChar w:fldCharType="begin"/>
            </w:r>
            <w:r w:rsidR="00D14478">
              <w:rPr>
                <w:noProof/>
                <w:webHidden/>
              </w:rPr>
              <w:instrText xml:space="preserve"> PAGEREF _Toc324848220 \h </w:instrText>
            </w:r>
            <w:r>
              <w:rPr>
                <w:noProof/>
                <w:webHidden/>
              </w:rPr>
            </w:r>
            <w:r>
              <w:rPr>
                <w:noProof/>
                <w:webHidden/>
              </w:rPr>
              <w:fldChar w:fldCharType="separate"/>
            </w:r>
            <w:r w:rsidR="00D14478">
              <w:rPr>
                <w:noProof/>
                <w:webHidden/>
              </w:rPr>
              <w:t>32</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1" w:history="1">
            <w:r w:rsidR="00D14478" w:rsidRPr="005B4231">
              <w:rPr>
                <w:rStyle w:val="Hypertextovodkaz"/>
                <w:noProof/>
              </w:rPr>
              <w:t>4.1 Soubor</w:t>
            </w:r>
            <w:r w:rsidR="00D14478">
              <w:rPr>
                <w:noProof/>
                <w:webHidden/>
              </w:rPr>
              <w:tab/>
            </w:r>
            <w:r>
              <w:rPr>
                <w:noProof/>
                <w:webHidden/>
              </w:rPr>
              <w:fldChar w:fldCharType="begin"/>
            </w:r>
            <w:r w:rsidR="00D14478">
              <w:rPr>
                <w:noProof/>
                <w:webHidden/>
              </w:rPr>
              <w:instrText xml:space="preserve"> PAGEREF _Toc324848221 \h </w:instrText>
            </w:r>
            <w:r>
              <w:rPr>
                <w:noProof/>
                <w:webHidden/>
              </w:rPr>
            </w:r>
            <w:r>
              <w:rPr>
                <w:noProof/>
                <w:webHidden/>
              </w:rPr>
              <w:fldChar w:fldCharType="separate"/>
            </w:r>
            <w:r w:rsidR="00D14478">
              <w:rPr>
                <w:noProof/>
                <w:webHidden/>
              </w:rPr>
              <w:t>32</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2" w:history="1">
            <w:r w:rsidR="00D14478" w:rsidRPr="005B4231">
              <w:rPr>
                <w:rStyle w:val="Hypertextovodkaz"/>
                <w:noProof/>
              </w:rPr>
              <w:t>4. 2 Zásady při měření BIA</w:t>
            </w:r>
            <w:r w:rsidR="00D14478">
              <w:rPr>
                <w:noProof/>
                <w:webHidden/>
              </w:rPr>
              <w:tab/>
            </w:r>
            <w:r>
              <w:rPr>
                <w:noProof/>
                <w:webHidden/>
              </w:rPr>
              <w:fldChar w:fldCharType="begin"/>
            </w:r>
            <w:r w:rsidR="00D14478">
              <w:rPr>
                <w:noProof/>
                <w:webHidden/>
              </w:rPr>
              <w:instrText xml:space="preserve"> PAGEREF _Toc324848222 \h </w:instrText>
            </w:r>
            <w:r>
              <w:rPr>
                <w:noProof/>
                <w:webHidden/>
              </w:rPr>
            </w:r>
            <w:r>
              <w:rPr>
                <w:noProof/>
                <w:webHidden/>
              </w:rPr>
              <w:fldChar w:fldCharType="separate"/>
            </w:r>
            <w:r w:rsidR="00D14478">
              <w:rPr>
                <w:noProof/>
                <w:webHidden/>
              </w:rPr>
              <w:t>32</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3" w:history="1">
            <w:r w:rsidR="00D14478" w:rsidRPr="005B4231">
              <w:rPr>
                <w:rStyle w:val="Hypertextovodkaz"/>
                <w:noProof/>
              </w:rPr>
              <w:t>4.3 Statistické zpracování dat</w:t>
            </w:r>
            <w:r w:rsidR="00D14478">
              <w:rPr>
                <w:noProof/>
                <w:webHidden/>
              </w:rPr>
              <w:tab/>
            </w:r>
            <w:r>
              <w:rPr>
                <w:noProof/>
                <w:webHidden/>
              </w:rPr>
              <w:fldChar w:fldCharType="begin"/>
            </w:r>
            <w:r w:rsidR="00D14478">
              <w:rPr>
                <w:noProof/>
                <w:webHidden/>
              </w:rPr>
              <w:instrText xml:space="preserve"> PAGEREF _Toc324848223 \h </w:instrText>
            </w:r>
            <w:r>
              <w:rPr>
                <w:noProof/>
                <w:webHidden/>
              </w:rPr>
            </w:r>
            <w:r>
              <w:rPr>
                <w:noProof/>
                <w:webHidden/>
              </w:rPr>
              <w:fldChar w:fldCharType="separate"/>
            </w:r>
            <w:r w:rsidR="00D14478">
              <w:rPr>
                <w:noProof/>
                <w:webHidden/>
              </w:rPr>
              <w:t>34</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24" w:history="1">
            <w:r w:rsidR="00D14478" w:rsidRPr="005B4231">
              <w:rPr>
                <w:rStyle w:val="Hypertextovodkaz"/>
                <w:noProof/>
              </w:rPr>
              <w:t>5 VÝSLEDKY A DISKUZE</w:t>
            </w:r>
            <w:r w:rsidR="00D14478">
              <w:rPr>
                <w:noProof/>
                <w:webHidden/>
              </w:rPr>
              <w:tab/>
            </w:r>
            <w:r>
              <w:rPr>
                <w:noProof/>
                <w:webHidden/>
              </w:rPr>
              <w:fldChar w:fldCharType="begin"/>
            </w:r>
            <w:r w:rsidR="00D14478">
              <w:rPr>
                <w:noProof/>
                <w:webHidden/>
              </w:rPr>
              <w:instrText xml:space="preserve"> PAGEREF _Toc324848224 \h </w:instrText>
            </w:r>
            <w:r>
              <w:rPr>
                <w:noProof/>
                <w:webHidden/>
              </w:rPr>
            </w:r>
            <w:r>
              <w:rPr>
                <w:noProof/>
                <w:webHidden/>
              </w:rPr>
              <w:fldChar w:fldCharType="separate"/>
            </w:r>
            <w:r w:rsidR="00D14478">
              <w:rPr>
                <w:noProof/>
                <w:webHidden/>
              </w:rPr>
              <w:t>35</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5" w:history="1">
            <w:r w:rsidR="00D14478" w:rsidRPr="005B4231">
              <w:rPr>
                <w:rStyle w:val="Hypertextovodkaz"/>
                <w:noProof/>
              </w:rPr>
              <w:t>5. 1 Vybrané parametry tělesného složení</w:t>
            </w:r>
            <w:r w:rsidR="00D14478">
              <w:rPr>
                <w:noProof/>
                <w:webHidden/>
              </w:rPr>
              <w:tab/>
            </w:r>
            <w:r>
              <w:rPr>
                <w:noProof/>
                <w:webHidden/>
              </w:rPr>
              <w:fldChar w:fldCharType="begin"/>
            </w:r>
            <w:r w:rsidR="00D14478">
              <w:rPr>
                <w:noProof/>
                <w:webHidden/>
              </w:rPr>
              <w:instrText xml:space="preserve"> PAGEREF _Toc324848225 \h </w:instrText>
            </w:r>
            <w:r>
              <w:rPr>
                <w:noProof/>
                <w:webHidden/>
              </w:rPr>
            </w:r>
            <w:r>
              <w:rPr>
                <w:noProof/>
                <w:webHidden/>
              </w:rPr>
              <w:fldChar w:fldCharType="separate"/>
            </w:r>
            <w:r w:rsidR="00D14478">
              <w:rPr>
                <w:noProof/>
                <w:webHidden/>
              </w:rPr>
              <w:t>35</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6" w:history="1">
            <w:r w:rsidR="00D14478" w:rsidRPr="005B4231">
              <w:rPr>
                <w:rStyle w:val="Hypertextovodkaz"/>
                <w:noProof/>
              </w:rPr>
              <w:t>5. 2 Vybrané parametry rizika obezity</w:t>
            </w:r>
            <w:r w:rsidR="00D14478">
              <w:rPr>
                <w:noProof/>
                <w:webHidden/>
              </w:rPr>
              <w:tab/>
            </w:r>
            <w:r>
              <w:rPr>
                <w:noProof/>
                <w:webHidden/>
              </w:rPr>
              <w:fldChar w:fldCharType="begin"/>
            </w:r>
            <w:r w:rsidR="00D14478">
              <w:rPr>
                <w:noProof/>
                <w:webHidden/>
              </w:rPr>
              <w:instrText xml:space="preserve"> PAGEREF _Toc324848226 \h </w:instrText>
            </w:r>
            <w:r>
              <w:rPr>
                <w:noProof/>
                <w:webHidden/>
              </w:rPr>
            </w:r>
            <w:r>
              <w:rPr>
                <w:noProof/>
                <w:webHidden/>
              </w:rPr>
              <w:fldChar w:fldCharType="separate"/>
            </w:r>
            <w:r w:rsidR="00D14478">
              <w:rPr>
                <w:noProof/>
                <w:webHidden/>
              </w:rPr>
              <w:t>37</w:t>
            </w:r>
            <w:r>
              <w:rPr>
                <w:noProof/>
                <w:webHidden/>
              </w:rPr>
              <w:fldChar w:fldCharType="end"/>
            </w:r>
          </w:hyperlink>
        </w:p>
        <w:p w:rsidR="00D14478" w:rsidRDefault="005A3029">
          <w:pPr>
            <w:pStyle w:val="Obsah2"/>
            <w:rPr>
              <w:rFonts w:asciiTheme="minorHAnsi" w:eastAsiaTheme="minorEastAsia" w:hAnsiTheme="minorHAnsi" w:cstheme="minorBidi"/>
              <w:noProof/>
              <w:sz w:val="22"/>
              <w:szCs w:val="22"/>
              <w:lang w:eastAsia="cs-CZ"/>
            </w:rPr>
          </w:pPr>
          <w:hyperlink w:anchor="_Toc324848227" w:history="1">
            <w:r w:rsidR="00D14478" w:rsidRPr="005B4231">
              <w:rPr>
                <w:rStyle w:val="Hypertextovodkaz"/>
                <w:noProof/>
              </w:rPr>
              <w:t>5. 3 Segmentální analýza</w:t>
            </w:r>
            <w:r w:rsidR="00D14478">
              <w:rPr>
                <w:noProof/>
                <w:webHidden/>
              </w:rPr>
              <w:tab/>
            </w:r>
            <w:r>
              <w:rPr>
                <w:noProof/>
                <w:webHidden/>
              </w:rPr>
              <w:fldChar w:fldCharType="begin"/>
            </w:r>
            <w:r w:rsidR="00D14478">
              <w:rPr>
                <w:noProof/>
                <w:webHidden/>
              </w:rPr>
              <w:instrText xml:space="preserve"> PAGEREF _Toc324848227 \h </w:instrText>
            </w:r>
            <w:r>
              <w:rPr>
                <w:noProof/>
                <w:webHidden/>
              </w:rPr>
            </w:r>
            <w:r>
              <w:rPr>
                <w:noProof/>
                <w:webHidden/>
              </w:rPr>
              <w:fldChar w:fldCharType="separate"/>
            </w:r>
            <w:r w:rsidR="00D14478">
              <w:rPr>
                <w:noProof/>
                <w:webHidden/>
              </w:rPr>
              <w:t>40</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28" w:history="1">
            <w:r w:rsidR="00D14478" w:rsidRPr="005B4231">
              <w:rPr>
                <w:rStyle w:val="Hypertextovodkaz"/>
                <w:noProof/>
              </w:rPr>
              <w:t>6 ZÁVĚRY</w:t>
            </w:r>
            <w:r w:rsidR="00D14478">
              <w:rPr>
                <w:noProof/>
                <w:webHidden/>
              </w:rPr>
              <w:tab/>
            </w:r>
            <w:r>
              <w:rPr>
                <w:noProof/>
                <w:webHidden/>
              </w:rPr>
              <w:fldChar w:fldCharType="begin"/>
            </w:r>
            <w:r w:rsidR="00D14478">
              <w:rPr>
                <w:noProof/>
                <w:webHidden/>
              </w:rPr>
              <w:instrText xml:space="preserve"> PAGEREF _Toc324848228 \h </w:instrText>
            </w:r>
            <w:r>
              <w:rPr>
                <w:noProof/>
                <w:webHidden/>
              </w:rPr>
            </w:r>
            <w:r>
              <w:rPr>
                <w:noProof/>
                <w:webHidden/>
              </w:rPr>
              <w:fldChar w:fldCharType="separate"/>
            </w:r>
            <w:r w:rsidR="00D14478">
              <w:rPr>
                <w:noProof/>
                <w:webHidden/>
              </w:rPr>
              <w:t>43</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29" w:history="1">
            <w:r w:rsidR="00D14478" w:rsidRPr="005B4231">
              <w:rPr>
                <w:rStyle w:val="Hypertextovodkaz"/>
                <w:noProof/>
              </w:rPr>
              <w:t>7 SOUHRN</w:t>
            </w:r>
            <w:r w:rsidR="00D14478">
              <w:rPr>
                <w:noProof/>
                <w:webHidden/>
              </w:rPr>
              <w:tab/>
            </w:r>
            <w:r>
              <w:rPr>
                <w:noProof/>
                <w:webHidden/>
              </w:rPr>
              <w:fldChar w:fldCharType="begin"/>
            </w:r>
            <w:r w:rsidR="00D14478">
              <w:rPr>
                <w:noProof/>
                <w:webHidden/>
              </w:rPr>
              <w:instrText xml:space="preserve"> PAGEREF _Toc324848229 \h </w:instrText>
            </w:r>
            <w:r>
              <w:rPr>
                <w:noProof/>
                <w:webHidden/>
              </w:rPr>
            </w:r>
            <w:r>
              <w:rPr>
                <w:noProof/>
                <w:webHidden/>
              </w:rPr>
              <w:fldChar w:fldCharType="separate"/>
            </w:r>
            <w:r w:rsidR="00D14478">
              <w:rPr>
                <w:noProof/>
                <w:webHidden/>
              </w:rPr>
              <w:t>44</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30" w:history="1">
            <w:r w:rsidR="00D14478" w:rsidRPr="005B4231">
              <w:rPr>
                <w:rStyle w:val="Hypertextovodkaz"/>
                <w:noProof/>
              </w:rPr>
              <w:t>8 SUMMARY</w:t>
            </w:r>
            <w:r w:rsidR="00D14478">
              <w:rPr>
                <w:noProof/>
                <w:webHidden/>
              </w:rPr>
              <w:tab/>
            </w:r>
            <w:r>
              <w:rPr>
                <w:noProof/>
                <w:webHidden/>
              </w:rPr>
              <w:fldChar w:fldCharType="begin"/>
            </w:r>
            <w:r w:rsidR="00D14478">
              <w:rPr>
                <w:noProof/>
                <w:webHidden/>
              </w:rPr>
              <w:instrText xml:space="preserve"> PAGEREF _Toc324848230 \h </w:instrText>
            </w:r>
            <w:r>
              <w:rPr>
                <w:noProof/>
                <w:webHidden/>
              </w:rPr>
            </w:r>
            <w:r>
              <w:rPr>
                <w:noProof/>
                <w:webHidden/>
              </w:rPr>
              <w:fldChar w:fldCharType="separate"/>
            </w:r>
            <w:r w:rsidR="00D14478">
              <w:rPr>
                <w:noProof/>
                <w:webHidden/>
              </w:rPr>
              <w:t>45</w:t>
            </w:r>
            <w:r>
              <w:rPr>
                <w:noProof/>
                <w:webHidden/>
              </w:rPr>
              <w:fldChar w:fldCharType="end"/>
            </w:r>
          </w:hyperlink>
        </w:p>
        <w:p w:rsidR="00D14478" w:rsidRDefault="005A3029">
          <w:pPr>
            <w:pStyle w:val="Obsah1"/>
            <w:rPr>
              <w:rFonts w:asciiTheme="minorHAnsi" w:eastAsiaTheme="minorEastAsia" w:hAnsiTheme="minorHAnsi" w:cstheme="minorBidi"/>
              <w:noProof/>
              <w:sz w:val="22"/>
              <w:szCs w:val="22"/>
              <w:lang w:eastAsia="cs-CZ"/>
            </w:rPr>
          </w:pPr>
          <w:hyperlink w:anchor="_Toc324848231" w:history="1">
            <w:r w:rsidR="00D14478" w:rsidRPr="005B4231">
              <w:rPr>
                <w:rStyle w:val="Hypertextovodkaz"/>
                <w:noProof/>
              </w:rPr>
              <w:t>9 REFERENČNÍ SEZNAM</w:t>
            </w:r>
            <w:r w:rsidR="00D14478">
              <w:rPr>
                <w:noProof/>
                <w:webHidden/>
              </w:rPr>
              <w:tab/>
            </w:r>
            <w:r>
              <w:rPr>
                <w:noProof/>
                <w:webHidden/>
              </w:rPr>
              <w:fldChar w:fldCharType="begin"/>
            </w:r>
            <w:r w:rsidR="00D14478">
              <w:rPr>
                <w:noProof/>
                <w:webHidden/>
              </w:rPr>
              <w:instrText xml:space="preserve"> PAGEREF _Toc324848231 \h </w:instrText>
            </w:r>
            <w:r>
              <w:rPr>
                <w:noProof/>
                <w:webHidden/>
              </w:rPr>
            </w:r>
            <w:r>
              <w:rPr>
                <w:noProof/>
                <w:webHidden/>
              </w:rPr>
              <w:fldChar w:fldCharType="separate"/>
            </w:r>
            <w:r w:rsidR="00D14478">
              <w:rPr>
                <w:noProof/>
                <w:webHidden/>
              </w:rPr>
              <w:t>46</w:t>
            </w:r>
            <w:r>
              <w:rPr>
                <w:noProof/>
                <w:webHidden/>
              </w:rPr>
              <w:fldChar w:fldCharType="end"/>
            </w:r>
          </w:hyperlink>
        </w:p>
        <w:p w:rsidR="009F5750" w:rsidRPr="009C1EA1" w:rsidRDefault="005A3029" w:rsidP="00DF7567">
          <w:pPr>
            <w:pStyle w:val="Obsah1"/>
            <w:ind w:left="0" w:firstLine="0"/>
          </w:pPr>
          <w:r w:rsidRPr="009C1EA1">
            <w:fldChar w:fldCharType="end"/>
          </w:r>
        </w:p>
      </w:sdtContent>
    </w:sdt>
    <w:p w:rsidR="00F7618F" w:rsidRPr="009C1EA1" w:rsidRDefault="00F7618F" w:rsidP="00F7618F">
      <w:pPr>
        <w:sectPr w:rsidR="00F7618F" w:rsidRPr="009C1EA1" w:rsidSect="00F7618F">
          <w:pgSz w:w="11906" w:h="16838"/>
          <w:pgMar w:top="1418" w:right="1418" w:bottom="993" w:left="1985" w:header="709" w:footer="709" w:gutter="0"/>
          <w:pgNumType w:start="1"/>
          <w:cols w:space="708"/>
          <w:docGrid w:linePitch="360"/>
        </w:sectPr>
      </w:pPr>
    </w:p>
    <w:p w:rsidR="009F5750" w:rsidRPr="001A3AE9" w:rsidRDefault="009F5750" w:rsidP="001A3AE9">
      <w:pPr>
        <w:pStyle w:val="Nadpis1"/>
        <w:rPr>
          <w:rFonts w:ascii="Times New Roman" w:hAnsi="Times New Roman" w:cs="Times New Roman"/>
          <w:color w:val="auto"/>
        </w:rPr>
      </w:pPr>
      <w:bookmarkStart w:id="0" w:name="_Toc324848202"/>
      <w:r w:rsidRPr="001A3AE9">
        <w:rPr>
          <w:rFonts w:ascii="Times New Roman" w:hAnsi="Times New Roman" w:cs="Times New Roman"/>
          <w:color w:val="auto"/>
        </w:rPr>
        <w:lastRenderedPageBreak/>
        <w:t>1 ÚVOD</w:t>
      </w:r>
      <w:bookmarkEnd w:id="0"/>
    </w:p>
    <w:p w:rsidR="00C1520B" w:rsidRDefault="00C1520B" w:rsidP="00A6546C">
      <w:pPr>
        <w:ind w:left="0" w:firstLine="284"/>
        <w:jc w:val="both"/>
      </w:pPr>
    </w:p>
    <w:p w:rsidR="00A6546C" w:rsidRDefault="00A6546C" w:rsidP="00A6546C">
      <w:pPr>
        <w:ind w:left="0" w:firstLine="284"/>
        <w:jc w:val="both"/>
      </w:pPr>
      <w:r>
        <w:t>V bakalářské práci jsme se zabývali segmentální analýzou tělesného složení u schizofreniků</w:t>
      </w:r>
      <w:r w:rsidR="00E2185B">
        <w:t xml:space="preserve"> a schizofreniček</w:t>
      </w:r>
      <w:r w:rsidR="00C0627B">
        <w:t xml:space="preserve">, hospitalizovaných v Psychiatrické léčebně ve Šternberku. </w:t>
      </w:r>
      <w:r>
        <w:t>K </w:t>
      </w:r>
      <w:r w:rsidR="009841A2">
        <w:t>odhadu</w:t>
      </w:r>
      <w:r>
        <w:t xml:space="preserve"> tělesného složení jsme využili bioelektrickou impedanční analýzu na přístrojích Tanita BC 418 a InBody 720. </w:t>
      </w:r>
    </w:p>
    <w:p w:rsidR="00A6546C" w:rsidRDefault="00A6546C" w:rsidP="00E2185B">
      <w:pPr>
        <w:ind w:left="0" w:firstLine="284"/>
        <w:jc w:val="both"/>
      </w:pPr>
      <w:r>
        <w:t>Bioelektrická impedance dokáže rozlišit jednotlivé složky tělesného složení, jako je množství tuku, t</w:t>
      </w:r>
      <w:r w:rsidR="007877C7">
        <w:t xml:space="preserve">ukuprosté hmoty </w:t>
      </w:r>
      <w:r w:rsidR="00C0627B">
        <w:t>a</w:t>
      </w:r>
      <w:r w:rsidR="007877C7">
        <w:t xml:space="preserve"> tělesné vody. </w:t>
      </w:r>
      <w:r>
        <w:t xml:space="preserve">Jednotlivé složky </w:t>
      </w:r>
      <w:r w:rsidR="00E2185B">
        <w:t xml:space="preserve">jsou závislé na mnoha faktorech – </w:t>
      </w:r>
      <w:r>
        <w:t xml:space="preserve">na věku, pohlaví, </w:t>
      </w:r>
      <w:r w:rsidR="00E2185B">
        <w:t xml:space="preserve">způsobu života, </w:t>
      </w:r>
      <w:r>
        <w:t>pohybové aktivitě, v n</w:t>
      </w:r>
      <w:r w:rsidR="00E2185B">
        <w:t>ašem případě i na podávání léků</w:t>
      </w:r>
      <w:r>
        <w:t xml:space="preserve"> tlumící</w:t>
      </w:r>
      <w:r w:rsidR="00E2185B">
        <w:t>ch</w:t>
      </w:r>
      <w:r>
        <w:t xml:space="preserve"> příznaky a projevy schizofrenie. </w:t>
      </w:r>
    </w:p>
    <w:p w:rsidR="00A6546C" w:rsidRDefault="00E2185B" w:rsidP="00A6546C">
      <w:pPr>
        <w:ind w:left="0" w:firstLine="284"/>
        <w:jc w:val="both"/>
      </w:pPr>
      <w:r>
        <w:t>A</w:t>
      </w:r>
      <w:r w:rsidR="00A6546C">
        <w:t>bychom mohli předcházet vzniku obezity,</w:t>
      </w:r>
      <w:r>
        <w:t xml:space="preserve"> je nutné znát množství jednotlivých složek. </w:t>
      </w:r>
      <w:r w:rsidR="00A6546C">
        <w:t>Obezita je v dnešní době celosvětovým</w:t>
      </w:r>
      <w:r>
        <w:t xml:space="preserve"> problémem, a právě informace o </w:t>
      </w:r>
      <w:r w:rsidR="00A6546C">
        <w:t>tělesném složení by</w:t>
      </w:r>
      <w:r w:rsidR="00B3595C">
        <w:t xml:space="preserve"> měla přispět k její prevenci i</w:t>
      </w:r>
      <w:r w:rsidR="00A6546C">
        <w:t xml:space="preserve"> k jejímu léčení.</w:t>
      </w:r>
      <w:r>
        <w:t xml:space="preserve"> Navíc obezita </w:t>
      </w:r>
      <w:r w:rsidR="00B3595C">
        <w:t>je spojena</w:t>
      </w:r>
      <w:r>
        <w:t xml:space="preserve"> s</w:t>
      </w:r>
      <w:r w:rsidR="00F03B04">
        <w:t xml:space="preserve"> výskytem dalších onemocnění</w:t>
      </w:r>
      <w:r>
        <w:t>, a to především zvýšeným rizikem kardiovaskulárních chorob.</w:t>
      </w:r>
    </w:p>
    <w:p w:rsidR="00A6546C" w:rsidRDefault="00A6546C" w:rsidP="00A6546C">
      <w:pPr>
        <w:ind w:left="0" w:firstLine="284"/>
        <w:jc w:val="both"/>
      </w:pPr>
      <w:r>
        <w:t>Vyšší riziko obezity nacházíme u osob s duševní poruchou, mezi něž patří i schizofrenie. Podle výzkumu k</w:t>
      </w:r>
      <w:r w:rsidR="00C0627B">
        <w:t>e</w:t>
      </w:r>
      <w:r>
        <w:t xml:space="preserve"> zvýšené tělesné hmotnosti </w:t>
      </w:r>
      <w:r w:rsidR="00780A81">
        <w:t xml:space="preserve">u schizofreniků </w:t>
      </w:r>
      <w:r>
        <w:t xml:space="preserve">přispívá sedavý způsob života, </w:t>
      </w:r>
      <w:r w:rsidR="00780A81">
        <w:t>nesprávná výživa, ale také užívání léků (psychofarmak</w:t>
      </w:r>
      <w:r w:rsidR="00C0627B">
        <w:t>).</w:t>
      </w:r>
      <w:r w:rsidR="00780A81">
        <w:t xml:space="preserve"> Problémy s hmotností u duševně nemocných </w:t>
      </w:r>
      <w:r w:rsidR="00C0627B">
        <w:t>mohou často vést k přerušení léčby</w:t>
      </w:r>
      <w:r w:rsidR="00780A81">
        <w:t xml:space="preserve"> nebo k izolaci nemocného od okolí, čímž je narušen sociální kontakt a léčení pacienta. </w:t>
      </w:r>
    </w:p>
    <w:p w:rsidR="00A6546C" w:rsidRPr="009C1EA1" w:rsidRDefault="00C1520B" w:rsidP="00A6546C">
      <w:pPr>
        <w:ind w:left="0" w:firstLine="284"/>
        <w:jc w:val="both"/>
      </w:pPr>
      <w:r>
        <w:t xml:space="preserve">A právě problematika tělesného složení a </w:t>
      </w:r>
      <w:r w:rsidR="00C0627B">
        <w:t xml:space="preserve">rizikové faktory </w:t>
      </w:r>
      <w:r>
        <w:t>obezity v souvislosti s duševním onemocněním</w:t>
      </w:r>
      <w:r w:rsidR="00E2185B">
        <w:t xml:space="preserve"> </w:t>
      </w:r>
      <w:r>
        <w:t>je téma, které mě zaujalo</w:t>
      </w:r>
      <w:r w:rsidR="00E2185B">
        <w:t xml:space="preserve"> natolik</w:t>
      </w:r>
      <w:r>
        <w:t xml:space="preserve">, </w:t>
      </w:r>
      <w:r w:rsidR="00E2185B">
        <w:t xml:space="preserve">že </w:t>
      </w:r>
      <w:r>
        <w:t xml:space="preserve">jsem se rozhodla věnovat </w:t>
      </w:r>
      <w:r w:rsidR="00E2185B">
        <w:t xml:space="preserve">se mu </w:t>
      </w:r>
      <w:r>
        <w:t xml:space="preserve">ve své bakalářské práci. </w:t>
      </w:r>
    </w:p>
    <w:p w:rsidR="009F5750" w:rsidRPr="009C1EA1" w:rsidRDefault="009F5750" w:rsidP="00A1273E">
      <w:pPr>
        <w:ind w:left="0" w:firstLine="284"/>
      </w:pPr>
      <w:r w:rsidRPr="009C1EA1">
        <w:br w:type="page"/>
      </w:r>
    </w:p>
    <w:p w:rsidR="00A1273E" w:rsidRDefault="00A1273E" w:rsidP="00A1273E">
      <w:pPr>
        <w:pStyle w:val="Nadpis1"/>
        <w:ind w:left="0" w:firstLine="0"/>
        <w:jc w:val="both"/>
        <w:rPr>
          <w:rFonts w:ascii="Times New Roman" w:hAnsi="Times New Roman" w:cs="Times New Roman"/>
          <w:color w:val="auto"/>
        </w:rPr>
      </w:pPr>
      <w:bookmarkStart w:id="1" w:name="_Toc324848203"/>
      <w:r w:rsidRPr="009C1EA1">
        <w:rPr>
          <w:rFonts w:ascii="Times New Roman" w:hAnsi="Times New Roman" w:cs="Times New Roman"/>
          <w:color w:val="auto"/>
        </w:rPr>
        <w:lastRenderedPageBreak/>
        <w:t>2 SYNTÉZA POZNATKŮ</w:t>
      </w:r>
      <w:bookmarkEnd w:id="1"/>
    </w:p>
    <w:p w:rsidR="00A1273E" w:rsidRPr="00A1273E" w:rsidRDefault="00A1273E" w:rsidP="00A1273E"/>
    <w:p w:rsidR="00A1273E" w:rsidRPr="00A1273E" w:rsidRDefault="00A1273E" w:rsidP="00A1273E">
      <w:pPr>
        <w:pStyle w:val="Nadpis2"/>
        <w:rPr>
          <w:rFonts w:ascii="Times New Roman" w:hAnsi="Times New Roman"/>
          <w:i w:val="0"/>
          <w:sz w:val="26"/>
          <w:szCs w:val="26"/>
        </w:rPr>
      </w:pPr>
      <w:bookmarkStart w:id="2" w:name="_Toc324848204"/>
      <w:r w:rsidRPr="00A1273E">
        <w:rPr>
          <w:rFonts w:ascii="Times New Roman" w:hAnsi="Times New Roman"/>
          <w:i w:val="0"/>
          <w:sz w:val="26"/>
          <w:szCs w:val="26"/>
        </w:rPr>
        <w:t xml:space="preserve">2. 1 </w:t>
      </w:r>
      <w:r w:rsidR="000E647C">
        <w:rPr>
          <w:rFonts w:ascii="Times New Roman" w:hAnsi="Times New Roman"/>
          <w:i w:val="0"/>
          <w:sz w:val="26"/>
          <w:szCs w:val="26"/>
        </w:rPr>
        <w:t>Tělesné složení</w:t>
      </w:r>
      <w:bookmarkEnd w:id="2"/>
    </w:p>
    <w:p w:rsidR="00A1273E" w:rsidRDefault="00A1273E" w:rsidP="00A1273E">
      <w:pPr>
        <w:tabs>
          <w:tab w:val="left" w:pos="0"/>
        </w:tabs>
        <w:ind w:left="0" w:firstLine="284"/>
        <w:jc w:val="both"/>
      </w:pPr>
    </w:p>
    <w:p w:rsidR="00131186" w:rsidRDefault="0095445C" w:rsidP="00131186">
      <w:pPr>
        <w:tabs>
          <w:tab w:val="left" w:pos="0"/>
        </w:tabs>
        <w:ind w:left="0" w:firstLine="284"/>
        <w:jc w:val="both"/>
      </w:pPr>
      <w:r>
        <w:t>Tělo je dynamickým systémem. V</w:t>
      </w:r>
      <w:r w:rsidR="007A01CE">
        <w:t xml:space="preserve"> hodnocení složení těla </w:t>
      </w:r>
      <w:r>
        <w:t xml:space="preserve">se </w:t>
      </w:r>
      <w:r w:rsidR="007A01CE">
        <w:t xml:space="preserve">můžeme </w:t>
      </w:r>
      <w:r>
        <w:t>zabývat</w:t>
      </w:r>
      <w:r w:rsidR="007A01CE">
        <w:t xml:space="preserve"> frakcionac</w:t>
      </w:r>
      <w:r>
        <w:t>í</w:t>
      </w:r>
      <w:r w:rsidR="007A01CE">
        <w:t xml:space="preserve"> tělesné hmotnosti ze dvou pohledů. </w:t>
      </w:r>
      <w:r>
        <w:t xml:space="preserve">Prvním pohledem je </w:t>
      </w:r>
      <w:r w:rsidR="007A01CE">
        <w:t>hodnocení podílu jednotlivých tkání na h</w:t>
      </w:r>
      <w:r>
        <w:t>motnosti těla (tělesné složení). Z druhého pohledu hodnotíme</w:t>
      </w:r>
      <w:r w:rsidR="007A01CE">
        <w:t xml:space="preserve"> jednotliv</w:t>
      </w:r>
      <w:r>
        <w:t>é tělesné</w:t>
      </w:r>
      <w:r w:rsidR="007A01CE">
        <w:t xml:space="preserve"> segment</w:t>
      </w:r>
      <w:r>
        <w:t>y</w:t>
      </w:r>
      <w:r w:rsidR="007A01CE">
        <w:t xml:space="preserve"> jako článk</w:t>
      </w:r>
      <w:r>
        <w:t>y</w:t>
      </w:r>
      <w:r w:rsidR="007A01CE">
        <w:t xml:space="preserve"> kinematického řetězce (distribuce hmoty těla). Tkáňové složení poté ovlivňuje hmotnost j</w:t>
      </w:r>
      <w:r>
        <w:t xml:space="preserve">ednotlivých segmentů </w:t>
      </w:r>
      <w:r w:rsidR="00131186">
        <w:t>(Riegerová, Přidalová, &amp; Ulbrichová, 2006).</w:t>
      </w:r>
    </w:p>
    <w:p w:rsidR="004733E9" w:rsidRDefault="00BB43FC" w:rsidP="00131186">
      <w:pPr>
        <w:tabs>
          <w:tab w:val="left" w:pos="0"/>
        </w:tabs>
        <w:ind w:left="0" w:firstLine="284"/>
        <w:jc w:val="both"/>
      </w:pPr>
      <w:r>
        <w:t xml:space="preserve">Většina modelů lidského těla nebere v úvahu interindividuální diferenciace v distribuci hmoty těla a ani věkové zvláštnosti, vznikající jako proporční změny v průběhu ontogeneze. Až 70 % disperze pro odhad hmotnosti segmentů tvoří výška </w:t>
      </w:r>
      <w:r w:rsidR="007E5011">
        <w:t>a hmotnost těla, přesnost se</w:t>
      </w:r>
      <w:r>
        <w:t xml:space="preserve"> zvyšuje s počtem proměnných. Proto se využívá metod pro odhad hmotnosti segmentů, kdy jsou jednotlivé segmenty uvažovány jako geometrická tělesa, což sice vede k nedostatkům při měření, ale zlepšují možnost individuální diferenciace. Tělo se podle metody Atohs rozdělí do 15 segmentů, a to hlava, krk, paže (proximální a distální část), předloktí (proximální a distální část), ruka, stehno (proximální a distální část),</w:t>
      </w:r>
      <w:r w:rsidR="004733E9">
        <w:t xml:space="preserve"> lýtko (proximální a distální část), noha a trup, čímž respektuje rozdílný regionální rozvoj svalstva, rozložení tuku a odlišné proporcionality těla (Riegerová, Přidalová, &amp; Ulbrichová, 2006).</w:t>
      </w:r>
    </w:p>
    <w:p w:rsidR="000E647C" w:rsidRDefault="00884D6F" w:rsidP="00804474">
      <w:pPr>
        <w:tabs>
          <w:tab w:val="left" w:pos="0"/>
        </w:tabs>
        <w:ind w:left="0" w:firstLine="284"/>
        <w:jc w:val="both"/>
      </w:pPr>
      <w:r>
        <w:t>Tělesné složení se během života mění. K</w:t>
      </w:r>
      <w:r w:rsidR="003443AE">
        <w:t xml:space="preserve">romě genetických předpokladů jej </w:t>
      </w:r>
      <w:r>
        <w:t>form</w:t>
      </w:r>
      <w:r w:rsidR="001A3091">
        <w:t>ují také exoge</w:t>
      </w:r>
      <w:r w:rsidR="004B15F9">
        <w:t xml:space="preserve">nními faktory, mezi něž patří </w:t>
      </w:r>
      <w:r w:rsidR="00C0704B">
        <w:t xml:space="preserve">především </w:t>
      </w:r>
      <w:r w:rsidR="001A3091">
        <w:t>p</w:t>
      </w:r>
      <w:r w:rsidR="000E647C">
        <w:t>ohybová aktivita</w:t>
      </w:r>
      <w:r w:rsidR="001A3091">
        <w:t>, která</w:t>
      </w:r>
      <w:r w:rsidR="000E647C">
        <w:t xml:space="preserve"> má</w:t>
      </w:r>
      <w:r w:rsidR="001A3091">
        <w:t xml:space="preserve"> na něj</w:t>
      </w:r>
      <w:r w:rsidR="000E647C">
        <w:t xml:space="preserve"> v</w:t>
      </w:r>
      <w:r w:rsidR="002C25B5">
        <w:t>ýrazný</w:t>
      </w:r>
      <w:r w:rsidR="000E647C">
        <w:t xml:space="preserve"> vliv. Pravděpodobnost vysokého </w:t>
      </w:r>
      <w:r w:rsidR="001A3091">
        <w:t>body mass indexu (B</w:t>
      </w:r>
      <w:r w:rsidR="000E647C">
        <w:t>MI</w:t>
      </w:r>
      <w:r w:rsidR="001A3091">
        <w:t>)</w:t>
      </w:r>
      <w:r w:rsidR="000E647C">
        <w:t xml:space="preserve"> a obvodu pasu klesá s pravidelnou chůzí či během. Vyšší úroveň fyzické aktivity je spojena s nižší tělesnou hmotností, BMI </w:t>
      </w:r>
      <w:r w:rsidR="001A3091">
        <w:t>i</w:t>
      </w:r>
      <w:r w:rsidR="000E647C">
        <w:t xml:space="preserve"> procentem tě</w:t>
      </w:r>
      <w:r w:rsidR="00804474">
        <w:t>lesného tuku (Kyle et al., 2004</w:t>
      </w:r>
      <w:r w:rsidR="000E647C">
        <w:t xml:space="preserve">). </w:t>
      </w:r>
    </w:p>
    <w:p w:rsidR="00CF1146" w:rsidRDefault="00884D6F" w:rsidP="00A1273E">
      <w:pPr>
        <w:tabs>
          <w:tab w:val="left" w:pos="0"/>
        </w:tabs>
        <w:ind w:left="0" w:firstLine="284"/>
        <w:jc w:val="both"/>
      </w:pPr>
      <w:r>
        <w:t xml:space="preserve">S rostoucím věkem dochází ke změně distribuce </w:t>
      </w:r>
      <w:r w:rsidR="001017AC">
        <w:t xml:space="preserve">a zvýšení </w:t>
      </w:r>
      <w:r w:rsidR="00CF1146">
        <w:t xml:space="preserve">množství </w:t>
      </w:r>
      <w:r w:rsidR="003443AE">
        <w:t xml:space="preserve">tělesného tuku, </w:t>
      </w:r>
      <w:r>
        <w:t>k úbytku svalové a kos</w:t>
      </w:r>
      <w:r w:rsidR="001F5F2A">
        <w:t>tní hmoty</w:t>
      </w:r>
      <w:r w:rsidR="001017AC">
        <w:t xml:space="preserve">. Přebytek </w:t>
      </w:r>
      <w:r w:rsidR="008D05E9">
        <w:t>tělesného tuku</w:t>
      </w:r>
      <w:r w:rsidR="00CF1146">
        <w:t xml:space="preserve"> (FM),</w:t>
      </w:r>
      <w:r w:rsidR="008D05E9">
        <w:t xml:space="preserve"> úbytek </w:t>
      </w:r>
      <w:r w:rsidR="00CF1146">
        <w:t>tukuprosté hmoty (</w:t>
      </w:r>
      <w:r w:rsidR="008D05E9">
        <w:t>FFM</w:t>
      </w:r>
      <w:r w:rsidR="00CF1146">
        <w:t>)</w:t>
      </w:r>
      <w:r w:rsidR="00C0704B">
        <w:t xml:space="preserve"> a </w:t>
      </w:r>
      <w:r w:rsidR="001017AC">
        <w:t>sarcopenie (úb</w:t>
      </w:r>
      <w:r w:rsidR="00CF1146">
        <w:t>ytek svalové hmoty) jsou spojeny</w:t>
      </w:r>
      <w:r w:rsidR="001017AC">
        <w:t xml:space="preserve"> s chronickými onemocněními, jako mohou být kardiovaskulární onemocnění či respirační nedostatečnost</w:t>
      </w:r>
      <w:r w:rsidR="001F5F2A">
        <w:t xml:space="preserve"> (Gába, Rieg</w:t>
      </w:r>
      <w:r w:rsidR="00887154">
        <w:t>e</w:t>
      </w:r>
      <w:r w:rsidR="001F5F2A">
        <w:t>rová, &amp; Přidalová, 2009</w:t>
      </w:r>
      <w:r w:rsidR="001017AC">
        <w:t xml:space="preserve">; </w:t>
      </w:r>
      <w:r w:rsidR="001017AC">
        <w:rPr>
          <w:rStyle w:val="longtext"/>
        </w:rPr>
        <w:t>Ursula et al., 2005</w:t>
      </w:r>
      <w:r w:rsidR="001F5F2A">
        <w:t>).</w:t>
      </w:r>
    </w:p>
    <w:p w:rsidR="000E647C" w:rsidRDefault="000E647C" w:rsidP="000E647C">
      <w:pPr>
        <w:tabs>
          <w:tab w:val="left" w:pos="0"/>
        </w:tabs>
        <w:ind w:left="0" w:firstLine="284"/>
        <w:jc w:val="both"/>
      </w:pPr>
      <w:r>
        <w:t>Stárnutí je tedy propojeno se změnami tělesného složení. Sarcopenie snižuje bazální metabolismus a svalovou sílu, což může vést k funkčnímu omezení a k ni</w:t>
      </w:r>
      <w:r w:rsidR="00280F84">
        <w:t xml:space="preserve">žší úrovni </w:t>
      </w:r>
      <w:r w:rsidR="00280F84">
        <w:lastRenderedPageBreak/>
        <w:t>fyzické aktivity. Nižší pohybová aktivita</w:t>
      </w:r>
      <w:r>
        <w:t xml:space="preserve"> vede k snížení energetických nároků starších lidí. Snížení energetického výdeje nemusí být provázeno snížením energetického příjmu, a tím se zvyšuje tělesná hmotnost. V této s</w:t>
      </w:r>
      <w:r w:rsidR="00280F84">
        <w:t>ouvislosti se jedná především o </w:t>
      </w:r>
      <w:r>
        <w:t>abdominální obezitu (S</w:t>
      </w:r>
      <w:r w:rsidRPr="009C1EA1">
        <w:t>chuit</w:t>
      </w:r>
      <w:r>
        <w:t xml:space="preserve">, 2006). </w:t>
      </w:r>
    </w:p>
    <w:p w:rsidR="009526AD" w:rsidRDefault="009526AD" w:rsidP="00A1273E">
      <w:pPr>
        <w:tabs>
          <w:tab w:val="left" w:pos="0"/>
        </w:tabs>
        <w:ind w:left="0" w:firstLine="284"/>
        <w:jc w:val="both"/>
      </w:pPr>
    </w:p>
    <w:p w:rsidR="00F14BC2" w:rsidRDefault="00F14BC2" w:rsidP="00F14BC2">
      <w:pPr>
        <w:pStyle w:val="Nadpis3"/>
        <w:ind w:left="0" w:firstLine="0"/>
        <w:rPr>
          <w:color w:val="auto"/>
        </w:rPr>
      </w:pPr>
      <w:bookmarkStart w:id="3" w:name="_Toc324848205"/>
      <w:r>
        <w:rPr>
          <w:color w:val="auto"/>
        </w:rPr>
        <w:t>2. 1. 1 Tělesný tuk (FM)</w:t>
      </w:r>
      <w:bookmarkEnd w:id="3"/>
    </w:p>
    <w:p w:rsidR="00F14BC2" w:rsidRDefault="00F14BC2" w:rsidP="00F14BC2">
      <w:pPr>
        <w:ind w:left="0" w:firstLine="284"/>
        <w:jc w:val="both"/>
      </w:pPr>
    </w:p>
    <w:p w:rsidR="007E5011" w:rsidRDefault="007E5011" w:rsidP="007E5011">
      <w:pPr>
        <w:ind w:left="0" w:firstLine="284"/>
        <w:jc w:val="both"/>
      </w:pPr>
      <w:r>
        <w:t>Tělesný tuk je zásobárnou nadbytečné energie. Je rozložen a použit jako zdroj energie v okamžiku potřeby. Tuk je součástí fosfolipidů, cholesterolu a mastných kyselin, které jsou důležitými složkami při stavbě buněčné membrány. Tuk je jednou ze základních složek lidského těla (Biospace, 2009a).</w:t>
      </w:r>
    </w:p>
    <w:p w:rsidR="00F14BC2" w:rsidRDefault="00F14BC2" w:rsidP="00F14BC2">
      <w:pPr>
        <w:ind w:left="0" w:firstLine="284"/>
        <w:jc w:val="both"/>
      </w:pPr>
      <w:r>
        <w:t>Tuk je nejvariabilnější komponentou tělesního složení, je snadno ovlivnitelný výživou a pohybovou aktivitou. Sexuální diferenciace v distribuci tuku se objevuje v období středního dětství, zesi</w:t>
      </w:r>
      <w:r w:rsidR="00B84433">
        <w:t>luje v adolescenci a přetrvává</w:t>
      </w:r>
      <w:r>
        <w:t xml:space="preserve"> v dospělosti. S věkem se ukládá více tuku na trupu než na končetinách, u mužů </w:t>
      </w:r>
      <w:r w:rsidR="003D70AA">
        <w:t>hlavně v oblasti zad, hrudníku a </w:t>
      </w:r>
      <w:r>
        <w:t>břicha, u žen v oblasti pasu a paží (</w:t>
      </w:r>
      <w:r w:rsidR="004B15F9">
        <w:t>Riegerová, Přidalová, &amp; Ulbrichová, 2006</w:t>
      </w:r>
      <w:r>
        <w:t>).</w:t>
      </w:r>
    </w:p>
    <w:p w:rsidR="00F14BC2" w:rsidRDefault="00F14BC2" w:rsidP="00B946D8">
      <w:pPr>
        <w:ind w:left="0" w:firstLine="284"/>
        <w:jc w:val="both"/>
      </w:pPr>
      <w:r>
        <w:t>Optimální rozmezí tukov</w:t>
      </w:r>
      <w:r w:rsidR="00320AE0">
        <w:t>é frakce je 10–</w:t>
      </w:r>
      <w:r>
        <w:t>20 % t</w:t>
      </w:r>
      <w:r w:rsidR="003D70AA">
        <w:t>uku, resp. u mužů v rozmezí 10 až 16 %, u žen 25 až</w:t>
      </w:r>
      <w:r>
        <w:t xml:space="preserve"> 35 %. Tuku s věkem přibývá, od 40 let až o 7,67 %. </w:t>
      </w:r>
      <w:r w:rsidR="003D70AA">
        <w:t>Vztah tuku a </w:t>
      </w:r>
      <w:r>
        <w:t>tělesné výšky je dán indexem tělesného tuku (BFMI), kdy se normální roz</w:t>
      </w:r>
      <w:r w:rsidR="00320AE0">
        <w:t>mezí pohybuje v hodnotách 1,8–5,</w:t>
      </w:r>
      <w:r>
        <w:t>1 kg/m</w:t>
      </w:r>
      <w:r>
        <w:rPr>
          <w:vertAlign w:val="superscript"/>
        </w:rPr>
        <w:t>2</w:t>
      </w:r>
      <w:r w:rsidR="00320AE0">
        <w:t xml:space="preserve"> pro muže a 3,9–</w:t>
      </w:r>
      <w:r>
        <w:t>8,1 kg/m</w:t>
      </w:r>
      <w:r>
        <w:rPr>
          <w:vertAlign w:val="superscript"/>
        </w:rPr>
        <w:t>2</w:t>
      </w:r>
      <w:r>
        <w:t xml:space="preserve"> pro ženy </w:t>
      </w:r>
      <w:r w:rsidRPr="009C1EA1">
        <w:t>(Gába, Přidalová, Pelclová, Riegerová, &amp; </w:t>
      </w:r>
      <w:r>
        <w:t xml:space="preserve">Tlučáková, 2010; </w:t>
      </w:r>
      <w:r w:rsidR="004C0DDE">
        <w:t xml:space="preserve">Heyward, &amp; Wagner, 2004; </w:t>
      </w:r>
      <w:r>
        <w:t>Rieg</w:t>
      </w:r>
      <w:r w:rsidR="00887154">
        <w:t>e</w:t>
      </w:r>
      <w:r>
        <w:t xml:space="preserve">rová, </w:t>
      </w:r>
      <w:r w:rsidRPr="008D05E9">
        <w:t>Kapu</w:t>
      </w:r>
      <w:r>
        <w:t>š</w:t>
      </w:r>
      <w:r w:rsidRPr="008D05E9">
        <w:t xml:space="preserve">, Gába, </w:t>
      </w:r>
      <w:r>
        <w:t>&amp; </w:t>
      </w:r>
      <w:r w:rsidRPr="008D05E9">
        <w:t>Š</w:t>
      </w:r>
      <w:r>
        <w:t>č</w:t>
      </w:r>
      <w:r w:rsidRPr="008D05E9">
        <w:t>otka</w:t>
      </w:r>
      <w:r>
        <w:t xml:space="preserve">, 2010). </w:t>
      </w:r>
    </w:p>
    <w:p w:rsidR="00F14BC2" w:rsidRPr="00353361" w:rsidRDefault="00F14BC2" w:rsidP="00F14BC2">
      <w:pPr>
        <w:ind w:left="0" w:firstLine="284"/>
        <w:jc w:val="both"/>
      </w:pPr>
      <w:r>
        <w:t xml:space="preserve">Ačkoli vyšší procento tuku má za výsledek metabolické abnormality, </w:t>
      </w:r>
      <w:r w:rsidR="00804474">
        <w:t xml:space="preserve">může </w:t>
      </w:r>
      <w:r w:rsidR="005C2B7A">
        <w:t>se vyskytnout</w:t>
      </w:r>
      <w:r w:rsidR="00804474">
        <w:t> </w:t>
      </w:r>
      <w:r w:rsidR="005C2B7A">
        <w:t>zvýšené</w:t>
      </w:r>
      <w:r>
        <w:t xml:space="preserve"> procento tuku u osob</w:t>
      </w:r>
      <w:r w:rsidR="005D22D5">
        <w:t>, které mají normální hmotnost</w:t>
      </w:r>
      <w:r>
        <w:t xml:space="preserve">. U sledovaného vzorku </w:t>
      </w:r>
      <w:r w:rsidR="000A7BEE">
        <w:t>porovnávaného na základě BMI (</w:t>
      </w:r>
      <w:r>
        <w:t>K</w:t>
      </w:r>
      <w:r w:rsidR="000A7BEE">
        <w:t xml:space="preserve">yle et al., </w:t>
      </w:r>
      <w:r>
        <w:t xml:space="preserve">2004) bylo dokonce 45 % zdravých mužů a 38 % zdravých žen, kteří </w:t>
      </w:r>
      <w:r w:rsidR="000A7BEE">
        <w:t xml:space="preserve">se pohybovali </w:t>
      </w:r>
      <w:r>
        <w:t>nad doporučenými hodnotami</w:t>
      </w:r>
      <w:r w:rsidR="000A7BEE">
        <w:t xml:space="preserve"> množství tuku</w:t>
      </w:r>
      <w:r>
        <w:t>.</w:t>
      </w:r>
    </w:p>
    <w:p w:rsidR="005D6878" w:rsidRDefault="00F14BC2" w:rsidP="005D6878">
      <w:pPr>
        <w:ind w:left="0" w:firstLine="284"/>
        <w:jc w:val="both"/>
      </w:pPr>
      <w:r>
        <w:t>Viscerální tuk je rychlým zdrojem energie, vyšší množství negativně ovlivňuje fyziologické pochody a vyvolává velkou řadu onemocnění, a to nejen kardiovaskulární nebo metabolické, ale jedná se i o sníženou plodnost, související s kvalitou spermií, n</w:t>
      </w:r>
      <w:r w:rsidR="008A424C">
        <w:t>e</w:t>
      </w:r>
      <w:r>
        <w:t>bo problémy s erekcí. Ukládání je ovlivněno řadou faktorů</w:t>
      </w:r>
      <w:r w:rsidR="008A424C">
        <w:t>,</w:t>
      </w:r>
      <w:r>
        <w:t xml:space="preserve"> jako je věk, nedostatek pohybu, pohlaví, etnická příslušnost, apod. Rizikovou hranici viscerálního tuku je </w:t>
      </w:r>
      <w:r>
        <w:lastRenderedPageBreak/>
        <w:t>100 cm</w:t>
      </w:r>
      <w:r>
        <w:rPr>
          <w:vertAlign w:val="superscript"/>
        </w:rPr>
        <w:t>2</w:t>
      </w:r>
      <w:r>
        <w:t xml:space="preserve"> (</w:t>
      </w:r>
      <w:r w:rsidR="008B49E6" w:rsidRPr="009A66C6">
        <w:t>Miyatake</w:t>
      </w:r>
      <w:r w:rsidR="008B49E6">
        <w:t>,</w:t>
      </w:r>
      <w:r w:rsidR="008B49E6" w:rsidRPr="009A66C6">
        <w:t xml:space="preserve"> Takanami</w:t>
      </w:r>
      <w:r w:rsidR="008B49E6">
        <w:t>,</w:t>
      </w:r>
      <w:r w:rsidR="008B49E6" w:rsidRPr="009A66C6">
        <w:t xml:space="preserve"> Kawasaki</w:t>
      </w:r>
      <w:r w:rsidR="008B49E6">
        <w:t>,</w:t>
      </w:r>
      <w:r w:rsidR="00AA6F2D">
        <w:t xml:space="preserve"> </w:t>
      </w:r>
      <w:r w:rsidR="008B49E6">
        <w:t xml:space="preserve">&amp; </w:t>
      </w:r>
      <w:r w:rsidR="008B49E6" w:rsidRPr="009A66C6">
        <w:t>Fujii</w:t>
      </w:r>
      <w:r w:rsidR="008B49E6">
        <w:t xml:space="preserve">, </w:t>
      </w:r>
      <w:r w:rsidR="008B49E6" w:rsidRPr="009A66C6">
        <w:t>2004</w:t>
      </w:r>
      <w:r w:rsidR="008B49E6">
        <w:t xml:space="preserve">; </w:t>
      </w:r>
      <w:r>
        <w:t>Rieg</w:t>
      </w:r>
      <w:r w:rsidR="00823567">
        <w:t>e</w:t>
      </w:r>
      <w:r>
        <w:t xml:space="preserve">rová, </w:t>
      </w:r>
      <w:r w:rsidRPr="008D05E9">
        <w:t>Kapu</w:t>
      </w:r>
      <w:r>
        <w:t>š</w:t>
      </w:r>
      <w:r w:rsidRPr="008D05E9">
        <w:t xml:space="preserve">, Gába, </w:t>
      </w:r>
      <w:r>
        <w:t>&amp; </w:t>
      </w:r>
      <w:r w:rsidRPr="008D05E9">
        <w:t>Š</w:t>
      </w:r>
      <w:r>
        <w:t>č</w:t>
      </w:r>
      <w:r w:rsidRPr="008D05E9">
        <w:t>otka</w:t>
      </w:r>
      <w:r>
        <w:t>, 2010).</w:t>
      </w:r>
      <w:r w:rsidR="008B49E6" w:rsidRPr="008B49E6">
        <w:t xml:space="preserve"> </w:t>
      </w:r>
    </w:p>
    <w:p w:rsidR="003D7D5A" w:rsidRDefault="005D6878" w:rsidP="005D6878">
      <w:pPr>
        <w:ind w:left="0" w:firstLine="284"/>
        <w:jc w:val="both"/>
      </w:pPr>
      <w:r>
        <w:t>T</w:t>
      </w:r>
      <w:r w:rsidR="003A2AD8">
        <w:t xml:space="preserve">uk je </w:t>
      </w:r>
      <w:r>
        <w:t xml:space="preserve">dále uložen jako tuk podkožní, který se měří </w:t>
      </w:r>
      <w:r w:rsidR="003A2AD8">
        <w:t xml:space="preserve">antropometrickými metodami – </w:t>
      </w:r>
      <w:r>
        <w:t>kaliperací (</w:t>
      </w:r>
      <w:r w:rsidR="003A2AD8">
        <w:t>měření</w:t>
      </w:r>
      <w:r w:rsidR="00F665DB">
        <w:t>m</w:t>
      </w:r>
      <w:r w:rsidR="003A2AD8">
        <w:t xml:space="preserve"> kožních řas</w:t>
      </w:r>
      <w:r>
        <w:t>)</w:t>
      </w:r>
      <w:r w:rsidR="003A2AD8">
        <w:t>. V dnešní době je považováno za rizikové především zmnožení viscerálního tuku, které koreluje s rizikem kardiovaskulárních chorob těsněji n</w:t>
      </w:r>
      <w:r w:rsidR="008E28AA">
        <w:t>ež procento podkožního tuku (Hal</w:t>
      </w:r>
      <w:r w:rsidR="003A2AD8">
        <w:t>u</w:t>
      </w:r>
      <w:r w:rsidR="008E28AA">
        <w:t>z</w:t>
      </w:r>
      <w:r w:rsidR="003A2AD8">
        <w:t>íková et al., 2010).</w:t>
      </w:r>
    </w:p>
    <w:p w:rsidR="000B5ECD" w:rsidRDefault="00F14BC2" w:rsidP="003D7D5A">
      <w:pPr>
        <w:ind w:left="0" w:firstLine="284"/>
        <w:jc w:val="both"/>
      </w:pPr>
      <w:r>
        <w:t xml:space="preserve">Pro vyhodnocení typu obezity se může použít i poměr boků a pasu (WHR), který naznačuje abdominální obezitu. </w:t>
      </w:r>
      <w:r w:rsidR="008B49E6">
        <w:t>Vysoké r</w:t>
      </w:r>
      <w:r>
        <w:t>iziko je u h</w:t>
      </w:r>
      <w:r w:rsidR="00774DC3">
        <w:t>odnot 0,</w:t>
      </w:r>
      <w:r w:rsidR="00C43C38">
        <w:t>85</w:t>
      </w:r>
      <w:r w:rsidR="00774DC3">
        <w:t xml:space="preserve"> u žen a 0,9</w:t>
      </w:r>
      <w:r w:rsidR="00EB6549">
        <w:t>6</w:t>
      </w:r>
      <w:r w:rsidR="00774DC3">
        <w:t xml:space="preserve"> u mužů </w:t>
      </w:r>
      <w:r w:rsidRPr="009C1EA1">
        <w:t>(Gába, Přidalová, Pelclová, Riegerová, &amp; </w:t>
      </w:r>
      <w:r>
        <w:t>Tlučáková, 2010</w:t>
      </w:r>
      <w:r w:rsidR="003D7D5A">
        <w:t>;</w:t>
      </w:r>
      <w:r w:rsidR="00EB6549">
        <w:t xml:space="preserve"> WHO, 2008</w:t>
      </w:r>
      <w:r>
        <w:t>).</w:t>
      </w:r>
      <w:r w:rsidR="009A66C6" w:rsidRPr="009A66C6">
        <w:rPr>
          <w:rFonts w:ascii="TimesNewRomanCE" w:hAnsi="TimesNewRomanCE" w:cs="TimesNewRomanCE"/>
          <w:sz w:val="20"/>
          <w:szCs w:val="20"/>
        </w:rPr>
        <w:t xml:space="preserve"> </w:t>
      </w:r>
    </w:p>
    <w:p w:rsidR="000B5ECD" w:rsidRDefault="000B5ECD" w:rsidP="00B946D8">
      <w:pPr>
        <w:ind w:left="0" w:firstLine="284"/>
        <w:jc w:val="both"/>
      </w:pPr>
    </w:p>
    <w:p w:rsidR="00160CA3" w:rsidRDefault="00160CA3" w:rsidP="00160CA3">
      <w:pPr>
        <w:pStyle w:val="Nadpis3"/>
        <w:ind w:left="0" w:firstLine="0"/>
        <w:rPr>
          <w:color w:val="auto"/>
        </w:rPr>
      </w:pPr>
      <w:bookmarkStart w:id="4" w:name="_Toc324848206"/>
      <w:r>
        <w:rPr>
          <w:color w:val="auto"/>
        </w:rPr>
        <w:t>2. 1. 2 Tukuprostá hmota (FFM)</w:t>
      </w:r>
      <w:bookmarkEnd w:id="4"/>
    </w:p>
    <w:p w:rsidR="00160CA3" w:rsidRDefault="00160CA3" w:rsidP="00160CA3">
      <w:pPr>
        <w:ind w:left="0" w:firstLine="284"/>
        <w:jc w:val="both"/>
      </w:pPr>
    </w:p>
    <w:p w:rsidR="00160CA3" w:rsidRDefault="00160CA3" w:rsidP="00160CA3">
      <w:pPr>
        <w:ind w:left="0" w:firstLine="284"/>
        <w:jc w:val="both"/>
      </w:pPr>
      <w:r>
        <w:t>Pro pojem tukuprostá hmota je rovněž používaným synonymem aktivní tělesná hmota, která je tvořena ze svalstva, opěrné a pojivové tkáně a z hmotnosti vnitřních orgánů. U novorozenců tvoří kosterní svalstvo asi 25 % hmotnosti těla, s věkem se zvyšuje a v dospělosti tvoří kolem 40 %, největší nárůst je mezi 15 a 17 rokem u chlapců, kolem 13 roku u dívek. Do dospělosti je nárůst svalstva relativně stabilní a kolem 40. roku u žen a 60. roku u mužů dochází k jeho poklesu. V rozvoji svalstva můžeme pozorovat zvláštnosti vývoje, při narození je 40 % hmotnosti svalstva soustředěno na trup, v dospělosti je tam pouze 25–30 %, na dolních končetinách je při narození kolem 40 % a zvyšuje se na 55 % v dospělosti, zatímco na horních končetinách je relativně stálý podíl 18–20 % (Rieg</w:t>
      </w:r>
      <w:r w:rsidR="00F665DB">
        <w:t>e</w:t>
      </w:r>
      <w:r>
        <w:t>rová,</w:t>
      </w:r>
      <w:r w:rsidR="00A63649">
        <w:t xml:space="preserve"> Přidalová, &amp; Ulbrichová, 2006</w:t>
      </w:r>
      <w:r>
        <w:t>).</w:t>
      </w:r>
    </w:p>
    <w:p w:rsidR="007E04F2" w:rsidRDefault="007E04F2" w:rsidP="007E04F2">
      <w:pPr>
        <w:ind w:left="0" w:firstLine="284"/>
        <w:jc w:val="both"/>
        <w:rPr>
          <w:rFonts w:ascii="Times-Roman" w:hAnsi="Times-Roman" w:cs="Times-Roman"/>
        </w:rPr>
      </w:pPr>
      <w:r>
        <w:t xml:space="preserve">Tukuprostá hmota vypovídá také o množství bílkovin a minerálů v těle. Bílkoviny jsou hlavní složkou svalu a určují základní metabolický výdej (BMR), minerály jsou pak hlavní složkou kostí (Biospace, 2009a). </w:t>
      </w:r>
    </w:p>
    <w:p w:rsidR="00160CA3" w:rsidRPr="009C1EA1" w:rsidRDefault="00160CA3" w:rsidP="00160CA3">
      <w:pPr>
        <w:ind w:left="0" w:firstLine="284"/>
        <w:jc w:val="both"/>
      </w:pPr>
      <w:r>
        <w:t xml:space="preserve">Nadváha je spojena s nižší hodnotou FFM, která koreluje s vyšším množstvím tukové tkáně. Vztah FFM k tělesné výšce je prezentován indexem tukuprosté hmoty (FFMI), který je používán pro základní vyhodnocení sarcopenie. S věkem klesá FFMI a nižší je i u fyzicky aktivních jedinců </w:t>
      </w:r>
      <w:r w:rsidRPr="009C1EA1">
        <w:t>(Gába, Přidalová, Pelclová, Riegerová, &amp; Tlučáková, 2010</w:t>
      </w:r>
      <w:r>
        <w:t>; Kyle at al., 2004</w:t>
      </w:r>
      <w:r w:rsidRPr="009C1EA1">
        <w:t>).</w:t>
      </w:r>
    </w:p>
    <w:p w:rsidR="000B5ECD" w:rsidRDefault="000B5ECD">
      <w:r>
        <w:rPr>
          <w:b/>
          <w:bCs/>
        </w:rPr>
        <w:br w:type="page"/>
      </w:r>
    </w:p>
    <w:p w:rsidR="001F5F2A" w:rsidRDefault="00F14BC2" w:rsidP="00F14BC2">
      <w:pPr>
        <w:pStyle w:val="Nadpis3"/>
        <w:ind w:left="0" w:firstLine="0"/>
        <w:rPr>
          <w:color w:val="auto"/>
        </w:rPr>
      </w:pPr>
      <w:bookmarkStart w:id="5" w:name="_Toc324848207"/>
      <w:r>
        <w:rPr>
          <w:color w:val="auto"/>
        </w:rPr>
        <w:lastRenderedPageBreak/>
        <w:t>2. 1. 3</w:t>
      </w:r>
      <w:r w:rsidR="00553D50">
        <w:rPr>
          <w:color w:val="auto"/>
        </w:rPr>
        <w:t xml:space="preserve"> Tělesná voda</w:t>
      </w:r>
      <w:r w:rsidR="009616CC">
        <w:rPr>
          <w:color w:val="auto"/>
        </w:rPr>
        <w:t xml:space="preserve"> (TBW)</w:t>
      </w:r>
      <w:bookmarkEnd w:id="5"/>
    </w:p>
    <w:p w:rsidR="00553D50" w:rsidRPr="00553D50" w:rsidRDefault="00553D50" w:rsidP="00553D50"/>
    <w:p w:rsidR="001F5F2A" w:rsidRDefault="001F5F2A" w:rsidP="00A1273E">
      <w:pPr>
        <w:ind w:left="0" w:firstLine="284"/>
        <w:jc w:val="both"/>
      </w:pPr>
      <w:r>
        <w:t>Voda je největší a nej</w:t>
      </w:r>
      <w:r w:rsidR="00252F6B">
        <w:t>variabilnější složkou FFM. Obsah</w:t>
      </w:r>
      <w:r>
        <w:t xml:space="preserve"> vody je závislý na věku, tělesné hmotnosti, pohlaví a množství svalové hmoty </w:t>
      </w:r>
      <w:r w:rsidR="00740342">
        <w:t>(Gibson et al., 2008).</w:t>
      </w:r>
    </w:p>
    <w:p w:rsidR="009432B5" w:rsidRDefault="009432B5" w:rsidP="00A1273E">
      <w:pPr>
        <w:ind w:left="0" w:firstLine="284"/>
        <w:jc w:val="both"/>
      </w:pPr>
      <w:r>
        <w:t xml:space="preserve">Voda, která je součástí krevní plazmy, tvoří důležitý dopravní prostředek pro metabolické procesy – dopravu </w:t>
      </w:r>
      <w:r w:rsidR="00197A41">
        <w:t xml:space="preserve">kyslíku, hormonů, protilátek a </w:t>
      </w:r>
      <w:r>
        <w:t xml:space="preserve">živin k buňkám, odstranění metabolického odpadu. </w:t>
      </w:r>
      <w:r w:rsidR="00197A41">
        <w:t xml:space="preserve"> Voda slouží jako regulátor tělesné teploty, brání přehřátí organismu. Čím je aktivnější metabolismus, tím je více vody v buňce, což vysvětluje, proč má svalová tkáň více vody než tkáň tuková. Voda je nutná k provedení chemických reakcí spojenými s aktivitou </w:t>
      </w:r>
      <w:r w:rsidR="00B946D8">
        <w:t>svalové tkáně (Biospace, 2009a).</w:t>
      </w:r>
    </w:p>
    <w:p w:rsidR="00DF4F8C" w:rsidRDefault="00DF4F8C" w:rsidP="00A1273E">
      <w:pPr>
        <w:ind w:left="0" w:firstLine="284"/>
        <w:jc w:val="both"/>
      </w:pPr>
      <w:r>
        <w:t>Celková tělesná voda (TBW) tvoří asi 60 % hmotnosti těla</w:t>
      </w:r>
      <w:r w:rsidR="008A194C">
        <w:t xml:space="preserve"> (BW)</w:t>
      </w:r>
      <w:r>
        <w:t xml:space="preserve">. </w:t>
      </w:r>
      <w:r w:rsidR="00434599">
        <w:t xml:space="preserve">U muže se množství pohybuje kolem 63 %, u žen 53 %. S věkem TBW </w:t>
      </w:r>
      <w:r w:rsidR="00E16AF5">
        <w:t xml:space="preserve">ubývá, nižší množství je i u obézních jedinců (44 %). </w:t>
      </w:r>
      <w:r w:rsidR="008A194C">
        <w:t xml:space="preserve">TBW lze rozdělit na vodu intracelulární (ICW), tvořící asi 40 % BW, a vodu extracelulární (ECW), která tvoří asi 20 % BW a </w:t>
      </w:r>
      <w:r w:rsidR="00695AD6">
        <w:t xml:space="preserve">která se </w:t>
      </w:r>
      <w:r w:rsidR="008A194C">
        <w:t>dělí dále na tekutinu intersticiální (IW; 14 % BW), krevní (BLW</w:t>
      </w:r>
      <w:r w:rsidR="00477BB7">
        <w:t>; 4 % BW), lymfatickou (LW, 1 % </w:t>
      </w:r>
      <w:r w:rsidR="008A194C">
        <w:t>BW) a</w:t>
      </w:r>
      <w:r w:rsidR="00E16AF5">
        <w:t xml:space="preserve"> transcellulární (TCW, 1 % BW). </w:t>
      </w:r>
      <w:r w:rsidR="007D7F3C">
        <w:t>Transcelulární tekutina je tvořena mozkomíšním mokem, tekutinou nitro</w:t>
      </w:r>
      <w:r w:rsidR="00477BB7">
        <w:t xml:space="preserve">oční, pleurální, peritoneální, </w:t>
      </w:r>
      <w:r w:rsidR="007D7F3C">
        <w:t>perikardiální a</w:t>
      </w:r>
      <w:r w:rsidR="00E16AF5">
        <w:t> </w:t>
      </w:r>
      <w:r w:rsidR="007D7F3C">
        <w:t xml:space="preserve">synoviální, sekrety trávicích žláz (Bedogni, 2003; </w:t>
      </w:r>
      <w:r w:rsidR="007D7F3C" w:rsidRPr="009C1EA1">
        <w:rPr>
          <w:rStyle w:val="Siln"/>
          <w:b w:val="0"/>
        </w:rPr>
        <w:t>Rokyta et al., 2008</w:t>
      </w:r>
      <w:r w:rsidR="007D7F3C">
        <w:t xml:space="preserve">). </w:t>
      </w:r>
    </w:p>
    <w:p w:rsidR="00462510" w:rsidRDefault="008A194C" w:rsidP="00A1273E">
      <w:pPr>
        <w:autoSpaceDE w:val="0"/>
        <w:autoSpaceDN w:val="0"/>
        <w:adjustRightInd w:val="0"/>
        <w:ind w:left="0" w:firstLine="284"/>
        <w:jc w:val="both"/>
      </w:pPr>
      <w:r>
        <w:t>ICW může být regulátorem metabolismu proteinů v buňce a vypovídá o tělesné hmotnosti buňky. ECW nám vypovídá o zdravotním stavu subjektů, může být ukazatelem otoků (IW), lymfatických otoků (LW)</w:t>
      </w:r>
      <w:r w:rsidR="00695AD6">
        <w:t xml:space="preserve"> nebo ascites, která vypovídá o </w:t>
      </w:r>
      <w:r>
        <w:t xml:space="preserve">hromadění tekutiny v dutině břišní </w:t>
      </w:r>
      <w:r w:rsidR="00462510">
        <w:t>(TCW</w:t>
      </w:r>
      <w:r w:rsidR="00163760">
        <w:t>). IW je také rozšířena u nemocí</w:t>
      </w:r>
      <w:r w:rsidR="00462510">
        <w:t xml:space="preserve"> s vážnými zdravotními důsledky, jako je srdeční selhání, onemocnění jater a chronické selhání ledvin</w:t>
      </w:r>
      <w:r w:rsidR="006C676D">
        <w:t xml:space="preserve">. Při jaterní cirhóze </w:t>
      </w:r>
      <w:r w:rsidR="00343FFB">
        <w:t xml:space="preserve">se zvýší IW, ale také ICW, což může být dáno vadnou činností sodnodraselné pumpy </w:t>
      </w:r>
      <w:r w:rsidR="00462510">
        <w:t>(Bedogni, 2003).</w:t>
      </w:r>
    </w:p>
    <w:p w:rsidR="00DF4F8C" w:rsidRDefault="003E3653" w:rsidP="00A1273E">
      <w:pPr>
        <w:ind w:left="0" w:firstLine="284"/>
        <w:jc w:val="both"/>
      </w:pPr>
      <w:r>
        <w:t>Ve srovnání s ženami s normální tělesnou hmotností mají obézní ženy menší mn</w:t>
      </w:r>
      <w:r w:rsidR="008A194C">
        <w:t>ožství TBW, ale vyšší množství ECW</w:t>
      </w:r>
      <w:r>
        <w:t>. Tento po</w:t>
      </w:r>
      <w:r w:rsidR="00695AD6">
        <w:t>měr ECW:TBW trvá i po hubnutí a </w:t>
      </w:r>
      <w:r>
        <w:t xml:space="preserve">může být vnitřním rysem obezity. </w:t>
      </w:r>
      <w:r w:rsidR="00695AD6">
        <w:t>P</w:t>
      </w:r>
      <w:r>
        <w:t xml:space="preserve">oměr je vyšší u žen s obezitou </w:t>
      </w:r>
      <w:r w:rsidR="00FA7AE7">
        <w:t>prvního a </w:t>
      </w:r>
      <w:r w:rsidR="006C676D">
        <w:t>druhého stupně a </w:t>
      </w:r>
      <w:r>
        <w:t>předpokládá se, že bude vyšší i u žen s morbidní obezitou (Satorio et al., 2005).</w:t>
      </w:r>
    </w:p>
    <w:p w:rsidR="00E16AF5" w:rsidRDefault="00E16AF5">
      <w:r>
        <w:br w:type="page"/>
      </w:r>
    </w:p>
    <w:p w:rsidR="00EE00A8" w:rsidRDefault="00AB6816" w:rsidP="00AB6816">
      <w:pPr>
        <w:pStyle w:val="Nadpis2"/>
        <w:rPr>
          <w:i w:val="0"/>
          <w:sz w:val="26"/>
          <w:szCs w:val="26"/>
        </w:rPr>
      </w:pPr>
      <w:bookmarkStart w:id="6" w:name="_Toc324848208"/>
      <w:r>
        <w:rPr>
          <w:rFonts w:ascii="Times New Roman" w:hAnsi="Times New Roman"/>
          <w:i w:val="0"/>
          <w:sz w:val="26"/>
          <w:szCs w:val="26"/>
        </w:rPr>
        <w:lastRenderedPageBreak/>
        <w:t>2. 2</w:t>
      </w:r>
      <w:r w:rsidR="00EE00A8" w:rsidRPr="00AB6816">
        <w:rPr>
          <w:rFonts w:ascii="Times New Roman" w:hAnsi="Times New Roman"/>
          <w:i w:val="0"/>
          <w:sz w:val="26"/>
          <w:szCs w:val="26"/>
        </w:rPr>
        <w:t xml:space="preserve"> </w:t>
      </w:r>
      <w:r w:rsidRPr="00AB6816">
        <w:rPr>
          <w:i w:val="0"/>
          <w:sz w:val="26"/>
          <w:szCs w:val="26"/>
        </w:rPr>
        <w:t>Metody odhadu tělesného složení</w:t>
      </w:r>
      <w:bookmarkEnd w:id="6"/>
    </w:p>
    <w:p w:rsidR="00AB6816" w:rsidRDefault="00AB6816" w:rsidP="00AB6816"/>
    <w:p w:rsidR="009E0549" w:rsidRDefault="009E0549" w:rsidP="009E0549">
      <w:pPr>
        <w:autoSpaceDE w:val="0"/>
        <w:autoSpaceDN w:val="0"/>
        <w:adjustRightInd w:val="0"/>
        <w:ind w:left="0" w:firstLine="284"/>
        <w:jc w:val="both"/>
      </w:pPr>
      <w:r>
        <w:t>Tělesné složení se může hodnotit různými metodami, jako je antropometrické měření, měření obvodů, hydrostatické vážení, Bod Pod, DEXA, nebo bioelektrická impedanční analýza. Hydrostatické vážení poskytuje odhad procenta tělesného tuku z objemu vody, když je subjekt ponořen do nádrže s vodou.  Tato metoda je náročná na materiál, vyžaduje přístup k vodní nádrži  </w:t>
      </w:r>
      <w:r w:rsidR="00BF30E7">
        <w:t xml:space="preserve">a hydrostatickou váhu.  Bod Pod </w:t>
      </w:r>
      <w:r>
        <w:t xml:space="preserve">používá </w:t>
      </w:r>
      <w:r w:rsidR="00BF30E7">
        <w:t xml:space="preserve">podobný princip jako hydrostatické vážení, </w:t>
      </w:r>
      <w:r>
        <w:t>k měření tělesného složení</w:t>
      </w:r>
      <w:r w:rsidR="00BF30E7">
        <w:t xml:space="preserve"> ale místo vody využívá vzduch.</w:t>
      </w:r>
      <w:r>
        <w:t xml:space="preserve"> DEXA  je celotělová duální rentgenová absorpciometrie, která využívá chemickou strukturu a hustotu tkáně, odhaduje procento tělesného tuku pomocí konkrétního tkáňového modelu (tuk, tukuprostá hmota, kosti). DEXA je spolu s podvodním vážením a měření</w:t>
      </w:r>
      <w:r w:rsidR="00C536AD">
        <w:t>m</w:t>
      </w:r>
      <w:r>
        <w:t xml:space="preserve"> tělesné vody pomocí izotopů uhlíku považována za jednu z referenčních metod. Použití je ale poměrně nákladné a v běžn</w:t>
      </w:r>
      <w:r w:rsidR="008E28AA">
        <w:t>é klinické praxi nedostupné (Hal</w:t>
      </w:r>
      <w:r>
        <w:t>u</w:t>
      </w:r>
      <w:r w:rsidR="008E28AA">
        <w:t>z</w:t>
      </w:r>
      <w:r>
        <w:t xml:space="preserve">íková et al., 2010; Ricciardi, &amp; Talbot, </w:t>
      </w:r>
      <w:r w:rsidRPr="00065B9F">
        <w:t>2007)</w:t>
      </w:r>
      <w:r>
        <w:t>.</w:t>
      </w:r>
    </w:p>
    <w:p w:rsidR="00E24329" w:rsidRDefault="00E24329" w:rsidP="00E16AF5">
      <w:pPr>
        <w:ind w:left="0" w:firstLine="0"/>
      </w:pPr>
    </w:p>
    <w:p w:rsidR="00E16AF5" w:rsidRDefault="00E16AF5" w:rsidP="00E16AF5">
      <w:pPr>
        <w:pStyle w:val="Nadpis3"/>
        <w:ind w:left="0" w:firstLine="0"/>
        <w:rPr>
          <w:color w:val="auto"/>
        </w:rPr>
      </w:pPr>
      <w:bookmarkStart w:id="7" w:name="_Toc324848209"/>
      <w:r>
        <w:rPr>
          <w:color w:val="auto"/>
        </w:rPr>
        <w:t>2. 2. 1 Denzita těla</w:t>
      </w:r>
      <w:bookmarkEnd w:id="7"/>
    </w:p>
    <w:p w:rsidR="00E16AF5" w:rsidRDefault="00E16AF5" w:rsidP="00E16AF5"/>
    <w:p w:rsidR="00E16AF5" w:rsidRPr="000B5ECD" w:rsidRDefault="00E16AF5" w:rsidP="00E16AF5">
      <w:pPr>
        <w:ind w:left="0" w:firstLine="284"/>
        <w:jc w:val="both"/>
      </w:pPr>
      <w:r>
        <w:t>Denzita těla se liší jak u pohlaví, tak i s věkem. Obecně platí, že muži mají vyšší denzitu těla než ženy, a to ve všech období ontogeneze, významné sexuální diferenciaci dochází v období adolescence. Denzita klesá s věkem. Vliv pohybové aktivity je nejen na množství podkožního tuku, ale i na koncentraci kostních minerálů, protože 82</w:t>
      </w:r>
      <w:r w:rsidR="00935A57">
        <w:t>–</w:t>
      </w:r>
      <w:r>
        <w:t>85 % minerálů je vázáno v kostech. U jedinců s vyšší pohybovou aktivitou je zastoupení kostních minerálů vyšší. U sportovců nesilových sportovních odvětví, jako je cyklistika, plavání, byly nalezeny hodnoty nižší (Gibson, 2008; Riegerová, Přidalová, &amp; Ulbrichová, 2006).</w:t>
      </w:r>
    </w:p>
    <w:p w:rsidR="00E16AF5" w:rsidRDefault="00E16AF5" w:rsidP="00E16AF5">
      <w:pPr>
        <w:ind w:left="0" w:firstLine="284"/>
        <w:jc w:val="both"/>
      </w:pPr>
      <w:r>
        <w:rPr>
          <w:rStyle w:val="longtext"/>
        </w:rPr>
        <w:t>K hodnocení denzity se využívá denzitometrie</w:t>
      </w:r>
      <w:r w:rsidR="00CA1DB6">
        <w:rPr>
          <w:rStyle w:val="longtext"/>
        </w:rPr>
        <w:t>, na jejím základě pracují také metody hydrometrie a DEXA. Denzitometrie</w:t>
      </w:r>
      <w:r>
        <w:rPr>
          <w:rStyle w:val="longtext"/>
        </w:rPr>
        <w:t xml:space="preserve"> je založena na odlišné denzitně složek těla. Vychází ze separátní denzity obou komponent a jejich konstantnosti u všech jedinců, relativní stálosti hydratace FFM a z konstantního poměru mezi kostními minerály ve vztahu k svalovým proteinům. Vychází ze vztahu, že hmotnost se rovná denzitně krát objem. Hlavní nedostatek spočívá v přepočtu tělesné denzity na podíl tukové tkáně a je nutné využití populačně-specifických rovnic pro přepočet na relativní hodnoty podílu </w:t>
      </w:r>
      <w:r>
        <w:rPr>
          <w:rStyle w:val="longtext"/>
        </w:rPr>
        <w:lastRenderedPageBreak/>
        <w:t>tuku v organismu. Tato metoda je využívána jak k odhadu tělesného složení, tak ke</w:t>
      </w:r>
      <w:r w:rsidR="00CA1DB6">
        <w:rPr>
          <w:rStyle w:val="longtext"/>
        </w:rPr>
        <w:t xml:space="preserve"> stanovení denzity kostní tkáně</w:t>
      </w:r>
      <w:r w:rsidR="00D5706A">
        <w:rPr>
          <w:rStyle w:val="longtext"/>
        </w:rPr>
        <w:t xml:space="preserve">. </w:t>
      </w:r>
      <w:r>
        <w:t>(Riegerová, Přidalová, &amp; Ulbrichová, 2006).</w:t>
      </w:r>
      <w:r w:rsidRPr="00533DB7">
        <w:t xml:space="preserve"> </w:t>
      </w:r>
    </w:p>
    <w:p w:rsidR="00CC702A" w:rsidRDefault="00CC702A" w:rsidP="00E16AF5">
      <w:pPr>
        <w:ind w:left="0" w:firstLine="284"/>
        <w:jc w:val="both"/>
      </w:pPr>
    </w:p>
    <w:p w:rsidR="00E16AF5" w:rsidRDefault="00E16AF5" w:rsidP="00E16AF5">
      <w:pPr>
        <w:pStyle w:val="Nadpis3"/>
        <w:ind w:left="0" w:firstLine="0"/>
        <w:rPr>
          <w:color w:val="auto"/>
        </w:rPr>
      </w:pPr>
      <w:bookmarkStart w:id="8" w:name="_Toc324848210"/>
      <w:r>
        <w:rPr>
          <w:color w:val="auto"/>
        </w:rPr>
        <w:t>2. 2. 2 Celkový tělesný draslík (TBK)</w:t>
      </w:r>
      <w:bookmarkEnd w:id="8"/>
    </w:p>
    <w:p w:rsidR="00E16AF5" w:rsidRDefault="00E16AF5" w:rsidP="00E16AF5"/>
    <w:p w:rsidR="00E16AF5" w:rsidRDefault="00E16AF5" w:rsidP="00E16AF5">
      <w:pPr>
        <w:ind w:left="0" w:firstLine="284"/>
        <w:jc w:val="both"/>
      </w:pPr>
      <w:r>
        <w:t xml:space="preserve">TBK se využívá k hodnocení buněčné tělesné hmotnosti a byl používán k odhadu hmotnosti kosterní svaloviny, která se v průběhu ontogeneze mění. Ke zvyšování hodnot dochází již v raném dětství, velmi brzy se začnou projevovat rozdíly mezi pohlavím, výrazná diferenciace je v adolescenci. Pojivová tkáň obsahuje menší množství draslíku, než tkáň svalová. TBK lze vyčíslit pomocí gama paprsků, které vychází přirozeně z radioizotopu draslíku </w:t>
      </w:r>
      <w:r w:rsidRPr="008957BD">
        <w:rPr>
          <w:vertAlign w:val="superscript"/>
        </w:rPr>
        <w:t>40</w:t>
      </w:r>
      <w:r>
        <w:t>K, který se z 60 % nachází v kosterním svalu, zbylých 40 % je v ostatních tkáních (He et al., 2003; Riegerová, Přidalová, &amp; Ulbrichová, 2006).</w:t>
      </w:r>
      <w:r w:rsidRPr="00533DB7">
        <w:t xml:space="preserve"> </w:t>
      </w:r>
    </w:p>
    <w:p w:rsidR="00E16AF5" w:rsidRDefault="00E16AF5" w:rsidP="00E16AF5">
      <w:r>
        <w:t xml:space="preserve">. </w:t>
      </w:r>
    </w:p>
    <w:p w:rsidR="00AB6816" w:rsidRPr="00DF7567" w:rsidRDefault="00E16AF5" w:rsidP="00DF7567">
      <w:pPr>
        <w:pStyle w:val="Nadpis3"/>
        <w:ind w:left="0" w:firstLine="0"/>
        <w:rPr>
          <w:color w:val="auto"/>
        </w:rPr>
      </w:pPr>
      <w:bookmarkStart w:id="9" w:name="_Toc324848211"/>
      <w:r w:rsidRPr="00DF7567">
        <w:rPr>
          <w:color w:val="auto"/>
        </w:rPr>
        <w:t xml:space="preserve">2. 2. 3 </w:t>
      </w:r>
      <w:r w:rsidR="00AB6816" w:rsidRPr="00DF7567">
        <w:rPr>
          <w:color w:val="auto"/>
        </w:rPr>
        <w:t>Bioelektrická impedan</w:t>
      </w:r>
      <w:r w:rsidR="009E0549" w:rsidRPr="00DF7567">
        <w:rPr>
          <w:color w:val="auto"/>
        </w:rPr>
        <w:t>ce (BIA)</w:t>
      </w:r>
      <w:bookmarkEnd w:id="9"/>
    </w:p>
    <w:p w:rsidR="00BD6874" w:rsidRDefault="00BD6874" w:rsidP="00A1273E">
      <w:pPr>
        <w:ind w:left="0" w:firstLine="284"/>
        <w:jc w:val="both"/>
      </w:pPr>
    </w:p>
    <w:p w:rsidR="003C227D" w:rsidRDefault="00BD6874" w:rsidP="00A1273E">
      <w:pPr>
        <w:tabs>
          <w:tab w:val="left" w:pos="1230"/>
        </w:tabs>
        <w:ind w:left="0" w:firstLine="284"/>
        <w:jc w:val="both"/>
      </w:pPr>
      <w:r>
        <w:t>Hodnocení tělesného složení pomocí bioelektrické impedance je stále populárnější, protože je relativně levn</w:t>
      </w:r>
      <w:r w:rsidR="001F12CF">
        <w:t>ou a rychlou metodou</w:t>
      </w:r>
      <w:r>
        <w:t xml:space="preserve"> a lze testovat velkou řadu subjektů bez</w:t>
      </w:r>
      <w:r w:rsidR="00A162CD">
        <w:t xml:space="preserve"> ohledu na věk, nebo tvar těla</w:t>
      </w:r>
      <w:r w:rsidR="003C227D">
        <w:t>.</w:t>
      </w:r>
      <w:r w:rsidR="00A162CD">
        <w:t xml:space="preserve"> </w:t>
      </w:r>
      <w:r w:rsidR="00A162CD">
        <w:rPr>
          <w:rFonts w:eastAsia="Times New Roman"/>
          <w:lang w:eastAsia="cs-CZ"/>
        </w:rPr>
        <w:t>Kromě běžného posouzení tělesné hmotnosti</w:t>
      </w:r>
      <w:r w:rsidR="003C227D">
        <w:rPr>
          <w:rFonts w:eastAsia="Times New Roman"/>
          <w:lang w:eastAsia="cs-CZ"/>
        </w:rPr>
        <w:t xml:space="preserve"> a rizikovosti obezity, může BIA poskytovat informace o úspěchu či neúspěchu léčby, pomáhá při identifikaci pacientů s největším zdravotním rizikem, ale také ke sledování pacientů, kteří si chtějí zvýšit fyzickou zdatnost zvýšením svalové hmoty, tím že poskytuje informaci o vývoji svalové hmoty a m</w:t>
      </w:r>
      <w:r w:rsidR="00963B6B">
        <w:rPr>
          <w:rFonts w:eastAsia="Times New Roman"/>
          <w:lang w:eastAsia="cs-CZ"/>
        </w:rPr>
        <w:t>nožství tělesného tuku v čase.</w:t>
      </w:r>
      <w:r w:rsidR="009707DD">
        <w:rPr>
          <w:rFonts w:eastAsia="Times New Roman"/>
          <w:lang w:eastAsia="cs-CZ"/>
        </w:rPr>
        <w:t xml:space="preserve"> </w:t>
      </w:r>
      <w:r w:rsidR="00963B6B">
        <w:rPr>
          <w:rFonts w:eastAsia="Times New Roman"/>
          <w:lang w:eastAsia="cs-CZ"/>
        </w:rPr>
        <w:t>N</w:t>
      </w:r>
      <w:r w:rsidR="003C227D">
        <w:rPr>
          <w:rFonts w:eastAsia="Times New Roman"/>
          <w:lang w:eastAsia="cs-CZ"/>
        </w:rPr>
        <w:t xml:space="preserve">evypovídá ale už o krátkodobých změnách ve složení těla v důsledku ztráty vody při cvičení </w:t>
      </w:r>
      <w:r w:rsidR="00004842">
        <w:t>(Ricciardi, &amp; </w:t>
      </w:r>
      <w:r w:rsidR="003C227D">
        <w:t xml:space="preserve">Talbot, </w:t>
      </w:r>
      <w:r w:rsidR="003C227D" w:rsidRPr="00065B9F">
        <w:t>2007</w:t>
      </w:r>
      <w:r w:rsidR="003C227D">
        <w:t xml:space="preserve">; </w:t>
      </w:r>
      <w:r w:rsidR="003C227D" w:rsidRPr="00BD6874">
        <w:t>Völgyi</w:t>
      </w:r>
      <w:r w:rsidR="003C227D">
        <w:t xml:space="preserve"> et al., 2008).</w:t>
      </w:r>
    </w:p>
    <w:p w:rsidR="00FE595F" w:rsidRDefault="00004842" w:rsidP="001E5C1D">
      <w:pPr>
        <w:tabs>
          <w:tab w:val="left" w:pos="1230"/>
        </w:tabs>
        <w:ind w:left="0" w:firstLine="284"/>
        <w:jc w:val="both"/>
      </w:pPr>
      <w:r>
        <w:t xml:space="preserve">Bioelektrická impedance využívá rozdílné vodivosti různých tkání. Vysoce vodivá je svalová tkáň, která má velké množství elektrolytů a vody, naopak tuk a kosti obsahují malé množství tekutin a elektrolytů, a tím fungují jako izolátory.  Při nízké frekvenci </w:t>
      </w:r>
      <w:r w:rsidR="001E5C1D">
        <w:t xml:space="preserve">(nižší než 50 kHz) </w:t>
      </w:r>
      <w:r>
        <w:t>proud nedokáže proniknout do buněk a vypovídá tedy o velikosti ECW. Pokud je frekvence vysoká</w:t>
      </w:r>
      <w:r w:rsidR="001E5C1D">
        <w:t xml:space="preserve"> (vyšším než 200 kHz), proud proniká i do tkání a </w:t>
      </w:r>
      <w:r>
        <w:t xml:space="preserve">hodnotí se jak ECW tak i ICW. </w:t>
      </w:r>
      <w:r w:rsidR="00D727ED">
        <w:t xml:space="preserve">Přístroje, které </w:t>
      </w:r>
      <w:r w:rsidR="00FE595F">
        <w:t xml:space="preserve">využívají pouze jedinou frekvenci, </w:t>
      </w:r>
      <w:r w:rsidR="001E5C1D">
        <w:t>mohou chybovat v odlišení</w:t>
      </w:r>
      <w:r w:rsidR="00FE595F">
        <w:t xml:space="preserve"> množství ICW od ECW, protože nízká frekvence nemusí projít skrz membránu do buňky. </w:t>
      </w:r>
      <w:r w:rsidR="00B807B3">
        <w:t xml:space="preserve">Mezi přístroje s osmibodovými elektrodami patří také </w:t>
      </w:r>
      <w:r w:rsidR="00B807B3">
        <w:lastRenderedPageBreak/>
        <w:t>multi</w:t>
      </w:r>
      <w:r w:rsidR="001E5C1D">
        <w:t>frekvenční přístroj</w:t>
      </w:r>
      <w:r w:rsidR="00B807B3">
        <w:t xml:space="preserve"> InBody 720</w:t>
      </w:r>
      <w:r w:rsidR="001E5C1D">
        <w:t xml:space="preserve">, který vysílá </w:t>
      </w:r>
      <w:r w:rsidR="00FE595F">
        <w:t>proud o frekve</w:t>
      </w:r>
      <w:r w:rsidR="003972F3">
        <w:t>n</w:t>
      </w:r>
      <w:r w:rsidR="001E5C1D">
        <w:t>cích 1, 5, 50, 250, 500 a </w:t>
      </w:r>
      <w:r w:rsidR="003972F3">
        <w:t>1000 kHz</w:t>
      </w:r>
      <w:r w:rsidR="001E5C1D">
        <w:t xml:space="preserve">, a monofrekvenční přístroj Tanita BC 418, který využívá frekvence 50 kHz </w:t>
      </w:r>
      <w:r w:rsidR="00FE595F">
        <w:t>(Biospace, 2009a</w:t>
      </w:r>
      <w:r w:rsidR="00B807B3">
        <w:t xml:space="preserve">; </w:t>
      </w:r>
      <w:r w:rsidR="00B807B3" w:rsidRPr="00BD6874">
        <w:t>Völgyi</w:t>
      </w:r>
      <w:r w:rsidR="00B807B3">
        <w:t xml:space="preserve"> et al., 2008). </w:t>
      </w:r>
    </w:p>
    <w:p w:rsidR="00FE595F" w:rsidRDefault="00FE595F" w:rsidP="00004842">
      <w:pPr>
        <w:autoSpaceDE w:val="0"/>
        <w:autoSpaceDN w:val="0"/>
        <w:adjustRightInd w:val="0"/>
        <w:ind w:left="0" w:firstLine="284"/>
        <w:jc w:val="both"/>
      </w:pPr>
    </w:p>
    <w:p w:rsidR="00FE595F" w:rsidRPr="002F3F35" w:rsidRDefault="00FE595F" w:rsidP="003972F3">
      <w:pPr>
        <w:autoSpaceDE w:val="0"/>
        <w:autoSpaceDN w:val="0"/>
        <w:adjustRightInd w:val="0"/>
        <w:ind w:left="0" w:firstLine="0"/>
        <w:jc w:val="both"/>
        <w:rPr>
          <w:b/>
        </w:rPr>
      </w:pPr>
      <w:r w:rsidRPr="002F3F35">
        <w:rPr>
          <w:b/>
        </w:rPr>
        <w:t>Tanita</w:t>
      </w:r>
      <w:r w:rsidR="003972F3" w:rsidRPr="002F3F35">
        <w:rPr>
          <w:b/>
        </w:rPr>
        <w:t xml:space="preserve"> BC 418</w:t>
      </w:r>
    </w:p>
    <w:p w:rsidR="00004842" w:rsidRDefault="00004842" w:rsidP="00004842">
      <w:pPr>
        <w:autoSpaceDE w:val="0"/>
        <w:autoSpaceDN w:val="0"/>
        <w:adjustRightInd w:val="0"/>
        <w:ind w:left="0" w:firstLine="284"/>
        <w:jc w:val="both"/>
      </w:pPr>
      <w:r>
        <w:t xml:space="preserve">Tanita BC 418 </w:t>
      </w:r>
      <w:r w:rsidR="00226645">
        <w:t>je analyzátorem těle</w:t>
      </w:r>
      <w:r w:rsidR="007506AB">
        <w:t>sné segmentace a patří mezi m</w:t>
      </w:r>
      <w:r w:rsidR="003972F3">
        <w:t>o</w:t>
      </w:r>
      <w:r w:rsidR="007506AB">
        <w:t>n</w:t>
      </w:r>
      <w:r w:rsidR="00226645">
        <w:t>ofrekvenční přístroje měřící pomocí bioelektrické impedance. Dokáže samostatně změřit tělesnou hmotnost pro různé segmenty lidského těla, jako jsou pravá a levá horní končetiny, trup, pravá a levá dolní končetina. P</w:t>
      </w:r>
      <w:r w:rsidR="00366B52">
        <w:t xml:space="preserve">oskytuje informace </w:t>
      </w:r>
      <w:r w:rsidR="005C2B7E">
        <w:t xml:space="preserve">o rozložení tuku </w:t>
      </w:r>
      <w:r>
        <w:t>v rámci tělních segmentů. Segmentov</w:t>
      </w:r>
      <w:r w:rsidR="00C949BC">
        <w:t>é měření využívá rozdělení těla na</w:t>
      </w:r>
      <w:r>
        <w:t xml:space="preserve"> pět válců (tělo a čtyři končetiny), u nichž je impedance měřena samostatně. Analýza je natolik přesná, že měře</w:t>
      </w:r>
      <w:r w:rsidR="007506AB">
        <w:t xml:space="preserve">ná hodnota konkrétní části těla </w:t>
      </w:r>
      <w:r>
        <w:t xml:space="preserve">neovlivňuje ostatní segmenty. </w:t>
      </w:r>
      <w:r w:rsidR="00366B52">
        <w:t xml:space="preserve">Trup představuje </w:t>
      </w:r>
      <w:r w:rsidR="00C949BC">
        <w:t>největší část těla</w:t>
      </w:r>
      <w:r w:rsidR="00366B52">
        <w:t>,</w:t>
      </w:r>
      <w:r w:rsidR="00C949BC">
        <w:t xml:space="preserve"> ale</w:t>
      </w:r>
      <w:r w:rsidR="00366B52">
        <w:t xml:space="preserve"> protože má největší šířku tělesných částí, tak je</w:t>
      </w:r>
      <w:r w:rsidR="00C949BC">
        <w:t xml:space="preserve"> jeho impedance nejnižší</w:t>
      </w:r>
      <w:r w:rsidR="00366B52">
        <w:t>,</w:t>
      </w:r>
      <w:r w:rsidR="005C2B7E">
        <w:t xml:space="preserve"> kolem 20–</w:t>
      </w:r>
      <w:r w:rsidR="00C949BC">
        <w:t xml:space="preserve">25 </w:t>
      </w:r>
      <w:r w:rsidR="00366B52">
        <w:t>ohmů. V případě končetin se hodnota impedance pohybuje kolem 300 ohmů</w:t>
      </w:r>
      <w:r w:rsidR="007E04F2">
        <w:t xml:space="preserve"> (Biospace, 2009a</w:t>
      </w:r>
      <w:r w:rsidR="00226645">
        <w:t xml:space="preserve">; </w:t>
      </w:r>
      <w:r w:rsidR="00226645" w:rsidRPr="00BD6874">
        <w:t>Völgyi</w:t>
      </w:r>
      <w:r w:rsidR="00226645">
        <w:t xml:space="preserve"> et al., 2008</w:t>
      </w:r>
      <w:r w:rsidR="007E04F2">
        <w:t>)</w:t>
      </w:r>
      <w:r w:rsidR="00366B52">
        <w:t>.</w:t>
      </w:r>
    </w:p>
    <w:p w:rsidR="00FE595F" w:rsidRDefault="00CC702A" w:rsidP="00FE595F">
      <w:pPr>
        <w:ind w:left="0" w:firstLine="284"/>
        <w:jc w:val="both"/>
      </w:pPr>
      <w:r>
        <w:t xml:space="preserve">Měření pomocí </w:t>
      </w:r>
      <w:r w:rsidR="00FE595F">
        <w:t>Tanit</w:t>
      </w:r>
      <w:r>
        <w:t>y je platné</w:t>
      </w:r>
      <w:r w:rsidR="00FE595F">
        <w:t xml:space="preserve"> zejména u jedinců s normální hmotností těla, některé studie al</w:t>
      </w:r>
      <w:r>
        <w:t>e pokazují na tendenci přeceni</w:t>
      </w:r>
      <w:r w:rsidR="00FE595F">
        <w:t>t FFM a podcenit procent</w:t>
      </w:r>
      <w:r w:rsidR="006C6AB1">
        <w:t>o</w:t>
      </w:r>
      <w:r w:rsidR="00FE595F">
        <w:t xml:space="preserve"> tělesného tuk</w:t>
      </w:r>
      <w:r>
        <w:t>u u </w:t>
      </w:r>
      <w:r w:rsidR="003972F3">
        <w:t>obézních a </w:t>
      </w:r>
      <w:r>
        <w:t>přecenit</w:t>
      </w:r>
      <w:r w:rsidR="00FE595F">
        <w:t xml:space="preserve"> množství tuku u sportovců. Tanita v</w:t>
      </w:r>
      <w:r w:rsidR="003972F3">
        <w:t xml:space="preserve">yužívá algoritmy pro určování procenta </w:t>
      </w:r>
      <w:r w:rsidR="00FE595F">
        <w:t>tělesného tuku pro sportovní a nesportovní populaci, jelikož existují fyziologické rozdíly mez</w:t>
      </w:r>
      <w:r w:rsidR="007506AB">
        <w:t xml:space="preserve">i těmito skupinami. Liší se </w:t>
      </w:r>
      <w:r w:rsidR="006C6AB1">
        <w:t>množství</w:t>
      </w:r>
      <w:r w:rsidR="00FE595F">
        <w:t xml:space="preserve"> TBW, </w:t>
      </w:r>
      <w:r w:rsidR="007506AB">
        <w:t>rozdílná je i</w:t>
      </w:r>
      <w:r>
        <w:t> </w:t>
      </w:r>
      <w:r w:rsidR="00FE595F">
        <w:t>distribuc</w:t>
      </w:r>
      <w:r w:rsidR="007506AB">
        <w:t>e</w:t>
      </w:r>
      <w:r w:rsidR="00FE595F">
        <w:t xml:space="preserve"> FFM a FM (</w:t>
      </w:r>
      <w:r w:rsidR="00FE595F" w:rsidRPr="00BD6874">
        <w:t>Völgyi</w:t>
      </w:r>
      <w:r w:rsidR="00FE595F">
        <w:t xml:space="preserve"> et al., 2008).</w:t>
      </w:r>
    </w:p>
    <w:p w:rsidR="00FE595F" w:rsidRDefault="00FE595F" w:rsidP="00004842">
      <w:pPr>
        <w:autoSpaceDE w:val="0"/>
        <w:autoSpaceDN w:val="0"/>
        <w:adjustRightInd w:val="0"/>
        <w:ind w:left="0" w:firstLine="284"/>
        <w:jc w:val="both"/>
      </w:pPr>
    </w:p>
    <w:p w:rsidR="00FE595F" w:rsidRPr="003972F3" w:rsidRDefault="00FE595F" w:rsidP="002F3F35">
      <w:pPr>
        <w:ind w:left="0" w:firstLine="0"/>
        <w:jc w:val="both"/>
        <w:rPr>
          <w:b/>
        </w:rPr>
      </w:pPr>
      <w:r w:rsidRPr="003972F3">
        <w:rPr>
          <w:b/>
        </w:rPr>
        <w:t>InBody 720</w:t>
      </w:r>
    </w:p>
    <w:p w:rsidR="003972F3" w:rsidRDefault="00FE595F" w:rsidP="003972F3">
      <w:pPr>
        <w:ind w:left="0" w:firstLine="284"/>
        <w:jc w:val="both"/>
      </w:pPr>
      <w:r>
        <w:t xml:space="preserve">InBody využívá multifrekvenční bioelektrickou impedanci a právě pomocí různě vysoké frekvence elektrického proudu, dokáže odhadnout i celkovou tělesnou vodou (TBW), a její jednotlivé složky – extracelulární a intracelulární tekutinu. </w:t>
      </w:r>
      <w:r w:rsidR="003972F3">
        <w:t>Tanita navíc pracuje s hodnotami jako je věk, výška a pohlaví. InBody využívá poznatků získaných ze zařízení BIA. A právě tento rozdíl se odráží i na rozdílu v % FM určeným jednotlivými přístroji. Pokud se tedy upraví stáří</w:t>
      </w:r>
      <w:r w:rsidR="008674B1">
        <w:t>,</w:t>
      </w:r>
      <w:r w:rsidR="003972F3">
        <w:t xml:space="preserve"> tak rozdíly zmizí. </w:t>
      </w:r>
    </w:p>
    <w:p w:rsidR="00FE595F" w:rsidRDefault="00FE595F" w:rsidP="00DA4325">
      <w:pPr>
        <w:autoSpaceDE w:val="0"/>
        <w:autoSpaceDN w:val="0"/>
        <w:adjustRightInd w:val="0"/>
        <w:ind w:left="0" w:firstLine="284"/>
        <w:jc w:val="both"/>
      </w:pPr>
    </w:p>
    <w:p w:rsidR="00004842" w:rsidRDefault="00DA4325" w:rsidP="00DA4325">
      <w:pPr>
        <w:autoSpaceDE w:val="0"/>
        <w:autoSpaceDN w:val="0"/>
        <w:adjustRightInd w:val="0"/>
        <w:ind w:left="0" w:firstLine="284"/>
        <w:jc w:val="both"/>
      </w:pPr>
      <w:r>
        <w:t>P</w:t>
      </w:r>
      <w:r w:rsidR="00004842">
        <w:t>okud porovnáme jednotlivé přístroje s tzv. zlatým standardem metodou D</w:t>
      </w:r>
      <w:r w:rsidR="005B58B8">
        <w:t>E</w:t>
      </w:r>
      <w:r w:rsidR="00004842">
        <w:t xml:space="preserve">XA, nalezneme pouze drobné odchylky od měření jednotlivých přístrojů. Dle </w:t>
      </w:r>
      <w:r w:rsidR="00004842" w:rsidRPr="00BD6874">
        <w:t>Völgyi</w:t>
      </w:r>
      <w:r w:rsidR="00004842">
        <w:t xml:space="preserve"> et al. (2008) měly všechny tři přístroje podobný odhad procenta tělesného tuku.  U tukuprosté hmoty se však už výsledky lišily mezi InBody 720</w:t>
      </w:r>
      <w:r w:rsidR="005B58B8">
        <w:t xml:space="preserve">, Tanita BC 418 a DEXA. Tanita </w:t>
      </w:r>
      <w:r w:rsidR="005B58B8">
        <w:lastRenderedPageBreak/>
        <w:t>a </w:t>
      </w:r>
      <w:r w:rsidR="00004842">
        <w:t>InBody se u vyššího množství tuku shodoval</w:t>
      </w:r>
      <w:r w:rsidR="005B58B8">
        <w:t>i a řadili</w:t>
      </w:r>
      <w:r w:rsidR="00004842">
        <w:t xml:space="preserve"> ženy již mezi obézní, D</w:t>
      </w:r>
      <w:r w:rsidR="005B58B8">
        <w:t>E</w:t>
      </w:r>
      <w:r w:rsidR="00004842">
        <w:t xml:space="preserve">XA však stejné výsledky hodnotila jako normální tělesnou hmotnost, což by znamenalo podhodnocení tělesného tuku. S čímž souhlasí i </w:t>
      </w:r>
      <w:r w:rsidR="00B8014D" w:rsidRPr="00BD6874">
        <w:t>Völgyi</w:t>
      </w:r>
      <w:r w:rsidR="00B8014D">
        <w:t xml:space="preserve"> et al. (2008)</w:t>
      </w:r>
      <w:r w:rsidR="00004842">
        <w:t xml:space="preserve"> a přidává nadhodno</w:t>
      </w:r>
      <w:r w:rsidR="005B58B8">
        <w:t>cení FFM a podhodnocení FM o 3</w:t>
      </w:r>
      <w:r w:rsidR="00004842">
        <w:t xml:space="preserve"> až 5 % u starších pacientů</w:t>
      </w:r>
      <w:r w:rsidR="00B8014D">
        <w:t xml:space="preserve"> u metody BIA</w:t>
      </w:r>
      <w:r w:rsidR="00004842">
        <w:t xml:space="preserve">. </w:t>
      </w:r>
    </w:p>
    <w:p w:rsidR="00884D6F" w:rsidRDefault="00884D6F" w:rsidP="00A1273E">
      <w:pPr>
        <w:ind w:left="0" w:firstLine="284"/>
        <w:jc w:val="both"/>
      </w:pPr>
    </w:p>
    <w:p w:rsidR="00AB0102" w:rsidRPr="00AB0102" w:rsidRDefault="00AB0102" w:rsidP="00AB0102">
      <w:pPr>
        <w:pStyle w:val="Nadpis2"/>
        <w:rPr>
          <w:i w:val="0"/>
          <w:sz w:val="26"/>
          <w:szCs w:val="26"/>
        </w:rPr>
      </w:pPr>
      <w:bookmarkStart w:id="10" w:name="_Toc324848212"/>
      <w:r w:rsidRPr="00AB0102">
        <w:rPr>
          <w:rFonts w:ascii="Times New Roman" w:hAnsi="Times New Roman"/>
          <w:i w:val="0"/>
          <w:sz w:val="26"/>
          <w:szCs w:val="26"/>
        </w:rPr>
        <w:t xml:space="preserve">2. </w:t>
      </w:r>
      <w:r w:rsidRPr="00AB0102">
        <w:rPr>
          <w:i w:val="0"/>
          <w:sz w:val="26"/>
          <w:szCs w:val="26"/>
        </w:rPr>
        <w:t>3</w:t>
      </w:r>
      <w:r w:rsidRPr="00AB0102">
        <w:rPr>
          <w:rFonts w:ascii="Times New Roman" w:hAnsi="Times New Roman"/>
          <w:i w:val="0"/>
          <w:sz w:val="26"/>
          <w:szCs w:val="26"/>
        </w:rPr>
        <w:t xml:space="preserve"> </w:t>
      </w:r>
      <w:r w:rsidRPr="00AB0102">
        <w:rPr>
          <w:i w:val="0"/>
          <w:sz w:val="26"/>
          <w:szCs w:val="26"/>
        </w:rPr>
        <w:t>Obezita</w:t>
      </w:r>
      <w:bookmarkEnd w:id="10"/>
    </w:p>
    <w:p w:rsidR="00AB0102" w:rsidRDefault="00AB0102" w:rsidP="00A1273E">
      <w:pPr>
        <w:ind w:left="0" w:firstLine="284"/>
        <w:jc w:val="both"/>
      </w:pPr>
    </w:p>
    <w:p w:rsidR="00EA5476" w:rsidRDefault="00EA5476" w:rsidP="00A1273E">
      <w:pPr>
        <w:ind w:left="0" w:firstLine="284"/>
        <w:jc w:val="both"/>
      </w:pPr>
      <w:r>
        <w:t xml:space="preserve">Obezita je jedním nejzávažnějších problémů 21. století. Způsobuje fyzické postižení, psychické problémy, riziko vzniku řady nepřenosných nemocí, jako jsou kardiovaskulární choroby, rakovina, cukrovka. </w:t>
      </w:r>
      <w:r w:rsidR="005557DA">
        <w:t>Obezita tvoří už 2</w:t>
      </w:r>
      <w:r w:rsidR="006C6AB1">
        <w:t>–</w:t>
      </w:r>
      <w:r w:rsidR="005557DA">
        <w:t>8 % nákladů na zdravotní péči a způsobuje 10–13 % úmrtí</w:t>
      </w:r>
      <w:r w:rsidR="009545BB">
        <w:t xml:space="preserve"> v kraji</w:t>
      </w:r>
      <w:r w:rsidR="005557DA">
        <w:t>. Proto je třeba</w:t>
      </w:r>
      <w:r w:rsidR="006F7C0C">
        <w:t>,</w:t>
      </w:r>
      <w:r w:rsidR="005557DA">
        <w:t xml:space="preserve"> aby se zabránilo </w:t>
      </w:r>
      <w:r w:rsidR="006C6AB1">
        <w:t xml:space="preserve">této </w:t>
      </w:r>
      <w:r w:rsidR="005557DA">
        <w:t>epidemii spoluprací vlády i společnosti. Vnitrostátní politika by měla podporovat a</w:t>
      </w:r>
      <w:r w:rsidR="006F7C0C">
        <w:t> </w:t>
      </w:r>
      <w:r w:rsidR="005557DA">
        <w:t xml:space="preserve">dodat příležitosti k dostatečné pohybové aktivitě </w:t>
      </w:r>
      <w:r w:rsidR="006F7C0C">
        <w:t>a</w:t>
      </w:r>
      <w:r w:rsidR="005557DA">
        <w:t xml:space="preserve"> zlepšit dostupnost zdravých potravin. Měla by podpořit zapojení různých vládních sektorů, občanskou společnost, soukromý sektor i další zainteresované strany. WHO pořádala konferenci o potírání obezity v tureckém Istanbulu, kde členské státy přijaly Evropskou chartu boje s obezitou. V září 2011 OSN uspořádala setkání, kde se řešili důsl</w:t>
      </w:r>
      <w:r w:rsidR="004841C8">
        <w:t>edky šíření nepřenosných nemocí (WHO, 2012</w:t>
      </w:r>
      <w:r w:rsidR="00E63E9E">
        <w:t>a</w:t>
      </w:r>
      <w:r w:rsidR="004841C8">
        <w:t>).</w:t>
      </w:r>
    </w:p>
    <w:p w:rsidR="0039362B" w:rsidRDefault="00FC7C4B" w:rsidP="0039362B">
      <w:pPr>
        <w:ind w:left="0" w:firstLine="284"/>
        <w:jc w:val="both"/>
      </w:pPr>
      <w:r>
        <w:t>V ČR stejně jako v ostatních zemích Evropy je zvýšená pre</w:t>
      </w:r>
      <w:r w:rsidR="00E61F29">
        <w:t>valence nadváhy a </w:t>
      </w:r>
      <w:r>
        <w:t>obezity. Dochází hlavně k přesunu z kategorie nadváhy do obezity a zvýšení počtu morbidní obezity. Zvýšení prevalence se týká především mužů. V Evropě je nárůst prevalence obezity za posledních 10</w:t>
      </w:r>
      <w:r w:rsidR="006C6AB1">
        <w:t>–</w:t>
      </w:r>
      <w:r>
        <w:t>15 let o 30 %, v USA až o 50 %.</w:t>
      </w:r>
      <w:r w:rsidR="00F50775">
        <w:t xml:space="preserve"> Přehled zvýšení prevalence</w:t>
      </w:r>
      <w:r w:rsidR="006C6AB1">
        <w:t xml:space="preserve"> obezity pro ČR za 11 let je v t</w:t>
      </w:r>
      <w:r w:rsidR="00F50775">
        <w:t>abulce 1.</w:t>
      </w:r>
    </w:p>
    <w:p w:rsidR="008957BD" w:rsidRDefault="008957BD" w:rsidP="0039362B">
      <w:pPr>
        <w:ind w:left="0" w:firstLine="284"/>
        <w:jc w:val="both"/>
      </w:pPr>
    </w:p>
    <w:p w:rsidR="00FC7C4B" w:rsidRDefault="008957BD" w:rsidP="008957BD">
      <w:pPr>
        <w:ind w:left="0" w:firstLine="0"/>
      </w:pPr>
      <w:r>
        <w:t>T</w:t>
      </w:r>
      <w:r w:rsidR="00FC7C4B">
        <w:t>abulka</w:t>
      </w:r>
      <w:r w:rsidR="00944952">
        <w:t xml:space="preserve"> 1</w:t>
      </w:r>
      <w:r w:rsidR="00FC7C4B">
        <w:t xml:space="preserve">. Prevalence nadváhy a obezity v ČR </w:t>
      </w:r>
      <w:r w:rsidR="00872B45">
        <w:t xml:space="preserve">(převzato z Hainer, </w:t>
      </w:r>
      <w:r w:rsidR="00FC7C4B">
        <w:t>2011</w:t>
      </w:r>
      <w:r w:rsidR="00872B45">
        <w:t>)</w:t>
      </w:r>
    </w:p>
    <w:tbl>
      <w:tblPr>
        <w:tblStyle w:val="Mkatabulky"/>
        <w:tblW w:w="0" w:type="auto"/>
        <w:tblLook w:val="04A0"/>
      </w:tblPr>
      <w:tblGrid>
        <w:gridCol w:w="1316"/>
        <w:gridCol w:w="1219"/>
        <w:gridCol w:w="1996"/>
        <w:gridCol w:w="2149"/>
        <w:gridCol w:w="2040"/>
      </w:tblGrid>
      <w:tr w:rsidR="00FC7C4B" w:rsidTr="00F5798D">
        <w:tc>
          <w:tcPr>
            <w:tcW w:w="2660" w:type="dxa"/>
            <w:gridSpan w:val="2"/>
            <w:vAlign w:val="center"/>
          </w:tcPr>
          <w:p w:rsidR="00FC7C4B" w:rsidRDefault="00FC7C4B" w:rsidP="00F5798D">
            <w:pPr>
              <w:ind w:left="0" w:firstLine="284"/>
              <w:jc w:val="center"/>
            </w:pPr>
            <w:r>
              <w:t>Prevalence</w:t>
            </w:r>
          </w:p>
        </w:tc>
        <w:tc>
          <w:tcPr>
            <w:tcW w:w="2126" w:type="dxa"/>
            <w:vAlign w:val="center"/>
          </w:tcPr>
          <w:p w:rsidR="00FC7C4B" w:rsidRDefault="00FC7C4B" w:rsidP="00F5798D">
            <w:pPr>
              <w:ind w:left="0" w:firstLine="284"/>
              <w:jc w:val="center"/>
            </w:pPr>
            <w:r>
              <w:t>Věk (roky)</w:t>
            </w:r>
          </w:p>
        </w:tc>
        <w:tc>
          <w:tcPr>
            <w:tcW w:w="2268" w:type="dxa"/>
            <w:vAlign w:val="center"/>
          </w:tcPr>
          <w:p w:rsidR="00FC7C4B" w:rsidRDefault="00FC7C4B" w:rsidP="00F5798D">
            <w:pPr>
              <w:ind w:left="0" w:firstLine="284"/>
              <w:jc w:val="center"/>
            </w:pPr>
            <w:r>
              <w:t>Nadváha (BMI &gt; 25</w:t>
            </w:r>
            <w:r w:rsidR="00D86C2B">
              <w:t xml:space="preserve"> kg/m</w:t>
            </w:r>
            <w:r w:rsidR="00D86C2B">
              <w:rPr>
                <w:vertAlign w:val="superscript"/>
              </w:rPr>
              <w:t>2</w:t>
            </w:r>
            <w:r>
              <w:t>)</w:t>
            </w:r>
          </w:p>
        </w:tc>
        <w:tc>
          <w:tcPr>
            <w:tcW w:w="2158" w:type="dxa"/>
            <w:vAlign w:val="center"/>
          </w:tcPr>
          <w:p w:rsidR="00FC7C4B" w:rsidRDefault="00FC7C4B" w:rsidP="00D86C2B">
            <w:pPr>
              <w:ind w:left="0" w:firstLine="284"/>
              <w:jc w:val="center"/>
            </w:pPr>
            <w:r>
              <w:t>Obezita (BMI &gt; 30</w:t>
            </w:r>
            <w:r w:rsidR="00D86C2B">
              <w:t xml:space="preserve"> kg/m</w:t>
            </w:r>
            <w:r w:rsidR="00D86C2B">
              <w:rPr>
                <w:vertAlign w:val="superscript"/>
              </w:rPr>
              <w:t>2</w:t>
            </w:r>
            <w:r w:rsidR="00D86C2B">
              <w:t>)</w:t>
            </w:r>
          </w:p>
        </w:tc>
      </w:tr>
      <w:tr w:rsidR="00FC7C4B" w:rsidTr="009F5750">
        <w:trPr>
          <w:trHeight w:val="137"/>
        </w:trPr>
        <w:tc>
          <w:tcPr>
            <w:tcW w:w="1384" w:type="dxa"/>
            <w:vMerge w:val="restart"/>
            <w:vAlign w:val="center"/>
          </w:tcPr>
          <w:p w:rsidR="00FC7C4B" w:rsidRDefault="00FC7C4B" w:rsidP="00A1273E">
            <w:pPr>
              <w:ind w:left="0" w:firstLine="284"/>
              <w:jc w:val="center"/>
            </w:pPr>
            <w:r>
              <w:t>1988</w:t>
            </w:r>
          </w:p>
        </w:tc>
        <w:tc>
          <w:tcPr>
            <w:tcW w:w="1276" w:type="dxa"/>
          </w:tcPr>
          <w:p w:rsidR="00FC7C4B" w:rsidRDefault="00FC7C4B" w:rsidP="00A1273E">
            <w:pPr>
              <w:ind w:left="0" w:firstLine="284"/>
              <w:jc w:val="center"/>
            </w:pPr>
            <w:r>
              <w:t>muži</w:t>
            </w:r>
          </w:p>
        </w:tc>
        <w:tc>
          <w:tcPr>
            <w:tcW w:w="2126" w:type="dxa"/>
            <w:vMerge w:val="restart"/>
            <w:vAlign w:val="center"/>
          </w:tcPr>
          <w:p w:rsidR="00FC7C4B" w:rsidRDefault="00FC7C4B" w:rsidP="00A1273E">
            <w:pPr>
              <w:ind w:left="0" w:firstLine="284"/>
              <w:jc w:val="center"/>
            </w:pPr>
            <w:r>
              <w:t xml:space="preserve">20–65 </w:t>
            </w:r>
          </w:p>
        </w:tc>
        <w:tc>
          <w:tcPr>
            <w:tcW w:w="2268" w:type="dxa"/>
          </w:tcPr>
          <w:p w:rsidR="00FC7C4B" w:rsidRDefault="00FC7C4B" w:rsidP="00A1273E">
            <w:pPr>
              <w:ind w:left="0" w:firstLine="284"/>
              <w:jc w:val="center"/>
            </w:pPr>
            <w:r>
              <w:t>66,2 %</w:t>
            </w:r>
          </w:p>
        </w:tc>
        <w:tc>
          <w:tcPr>
            <w:tcW w:w="2158" w:type="dxa"/>
          </w:tcPr>
          <w:p w:rsidR="00FC7C4B" w:rsidRDefault="00FC7C4B" w:rsidP="00A1273E">
            <w:pPr>
              <w:ind w:left="0" w:firstLine="284"/>
              <w:jc w:val="center"/>
            </w:pPr>
            <w:r>
              <w:t>16,3 %</w:t>
            </w:r>
          </w:p>
        </w:tc>
      </w:tr>
      <w:tr w:rsidR="00FC7C4B" w:rsidTr="009F5750">
        <w:tc>
          <w:tcPr>
            <w:tcW w:w="1384" w:type="dxa"/>
            <w:vMerge/>
          </w:tcPr>
          <w:p w:rsidR="00FC7C4B" w:rsidRDefault="00FC7C4B" w:rsidP="00A1273E">
            <w:pPr>
              <w:ind w:left="0" w:firstLine="284"/>
              <w:jc w:val="center"/>
            </w:pPr>
          </w:p>
        </w:tc>
        <w:tc>
          <w:tcPr>
            <w:tcW w:w="1276" w:type="dxa"/>
          </w:tcPr>
          <w:p w:rsidR="00FC7C4B" w:rsidRDefault="00FC7C4B" w:rsidP="00A1273E">
            <w:pPr>
              <w:ind w:left="0" w:firstLine="284"/>
              <w:jc w:val="center"/>
            </w:pPr>
            <w:r>
              <w:t>ženy</w:t>
            </w:r>
          </w:p>
        </w:tc>
        <w:tc>
          <w:tcPr>
            <w:tcW w:w="2126" w:type="dxa"/>
            <w:vMerge/>
            <w:vAlign w:val="center"/>
          </w:tcPr>
          <w:p w:rsidR="00FC7C4B" w:rsidRDefault="00FC7C4B" w:rsidP="00A1273E">
            <w:pPr>
              <w:ind w:left="0" w:firstLine="284"/>
              <w:jc w:val="center"/>
            </w:pPr>
          </w:p>
        </w:tc>
        <w:tc>
          <w:tcPr>
            <w:tcW w:w="2268" w:type="dxa"/>
          </w:tcPr>
          <w:p w:rsidR="00FC7C4B" w:rsidRDefault="00FC7C4B" w:rsidP="00A1273E">
            <w:pPr>
              <w:ind w:left="0" w:firstLine="284"/>
              <w:jc w:val="center"/>
            </w:pPr>
            <w:r>
              <w:t>54,3 %</w:t>
            </w:r>
          </w:p>
        </w:tc>
        <w:tc>
          <w:tcPr>
            <w:tcW w:w="2158" w:type="dxa"/>
          </w:tcPr>
          <w:p w:rsidR="00FC7C4B" w:rsidRDefault="00FC7C4B" w:rsidP="00A1273E">
            <w:pPr>
              <w:ind w:left="0" w:firstLine="284"/>
              <w:jc w:val="center"/>
            </w:pPr>
            <w:r>
              <w:t>20,2 %</w:t>
            </w:r>
          </w:p>
        </w:tc>
      </w:tr>
      <w:tr w:rsidR="00FC7C4B" w:rsidTr="009F5750">
        <w:tc>
          <w:tcPr>
            <w:tcW w:w="1384" w:type="dxa"/>
            <w:vMerge w:val="restart"/>
            <w:vAlign w:val="center"/>
          </w:tcPr>
          <w:p w:rsidR="00FC7C4B" w:rsidRDefault="00FC7C4B" w:rsidP="00A1273E">
            <w:pPr>
              <w:ind w:left="0" w:firstLine="284"/>
              <w:jc w:val="center"/>
            </w:pPr>
            <w:r>
              <w:t>2001</w:t>
            </w:r>
          </w:p>
        </w:tc>
        <w:tc>
          <w:tcPr>
            <w:tcW w:w="1276" w:type="dxa"/>
          </w:tcPr>
          <w:p w:rsidR="00FC7C4B" w:rsidRDefault="00FC7C4B" w:rsidP="00A1273E">
            <w:pPr>
              <w:ind w:left="0" w:firstLine="284"/>
              <w:jc w:val="center"/>
            </w:pPr>
            <w:r>
              <w:t>muži</w:t>
            </w:r>
          </w:p>
        </w:tc>
        <w:tc>
          <w:tcPr>
            <w:tcW w:w="2126" w:type="dxa"/>
            <w:vMerge w:val="restart"/>
            <w:vAlign w:val="center"/>
          </w:tcPr>
          <w:p w:rsidR="00FC7C4B" w:rsidRDefault="00FC7C4B" w:rsidP="00A1273E">
            <w:pPr>
              <w:ind w:left="0" w:firstLine="284"/>
              <w:jc w:val="center"/>
            </w:pPr>
            <w:r>
              <w:t>18–75</w:t>
            </w:r>
          </w:p>
        </w:tc>
        <w:tc>
          <w:tcPr>
            <w:tcW w:w="2268" w:type="dxa"/>
          </w:tcPr>
          <w:p w:rsidR="00FC7C4B" w:rsidRDefault="00FC7C4B" w:rsidP="00A1273E">
            <w:pPr>
              <w:ind w:left="0" w:firstLine="284"/>
              <w:jc w:val="center"/>
            </w:pPr>
            <w:r>
              <w:t>56,6 %</w:t>
            </w:r>
          </w:p>
        </w:tc>
        <w:tc>
          <w:tcPr>
            <w:tcW w:w="2158" w:type="dxa"/>
          </w:tcPr>
          <w:p w:rsidR="00FC7C4B" w:rsidRDefault="00FC7C4B" w:rsidP="00A1273E">
            <w:pPr>
              <w:ind w:left="0" w:firstLine="284"/>
              <w:jc w:val="center"/>
            </w:pPr>
            <w:r>
              <w:t>12,4 %</w:t>
            </w:r>
          </w:p>
        </w:tc>
      </w:tr>
      <w:tr w:rsidR="00FC7C4B" w:rsidTr="009F5750">
        <w:tc>
          <w:tcPr>
            <w:tcW w:w="1384" w:type="dxa"/>
            <w:vMerge/>
          </w:tcPr>
          <w:p w:rsidR="00FC7C4B" w:rsidRDefault="00FC7C4B" w:rsidP="00A1273E">
            <w:pPr>
              <w:ind w:left="0" w:firstLine="284"/>
              <w:jc w:val="center"/>
            </w:pPr>
          </w:p>
        </w:tc>
        <w:tc>
          <w:tcPr>
            <w:tcW w:w="1276" w:type="dxa"/>
          </w:tcPr>
          <w:p w:rsidR="00FC7C4B" w:rsidRDefault="00FC7C4B" w:rsidP="00A1273E">
            <w:pPr>
              <w:ind w:left="0" w:firstLine="284"/>
              <w:jc w:val="center"/>
            </w:pPr>
            <w:r>
              <w:t>ženy</w:t>
            </w:r>
          </w:p>
        </w:tc>
        <w:tc>
          <w:tcPr>
            <w:tcW w:w="2126" w:type="dxa"/>
            <w:vMerge/>
            <w:vAlign w:val="center"/>
          </w:tcPr>
          <w:p w:rsidR="00FC7C4B" w:rsidRDefault="00FC7C4B" w:rsidP="00A1273E">
            <w:pPr>
              <w:ind w:left="0" w:firstLine="284"/>
              <w:jc w:val="center"/>
            </w:pPr>
          </w:p>
        </w:tc>
        <w:tc>
          <w:tcPr>
            <w:tcW w:w="2268" w:type="dxa"/>
          </w:tcPr>
          <w:p w:rsidR="00FC7C4B" w:rsidRDefault="00FC7C4B" w:rsidP="00A1273E">
            <w:pPr>
              <w:ind w:left="0" w:firstLine="284"/>
              <w:jc w:val="center"/>
            </w:pPr>
            <w:r>
              <w:t>42,6 %</w:t>
            </w:r>
          </w:p>
        </w:tc>
        <w:tc>
          <w:tcPr>
            <w:tcW w:w="2158" w:type="dxa"/>
          </w:tcPr>
          <w:p w:rsidR="00FC7C4B" w:rsidRDefault="00FC7C4B" w:rsidP="00A1273E">
            <w:pPr>
              <w:ind w:left="0" w:firstLine="284"/>
              <w:jc w:val="center"/>
            </w:pPr>
            <w:r>
              <w:t>15,2 %</w:t>
            </w:r>
          </w:p>
        </w:tc>
      </w:tr>
      <w:tr w:rsidR="00FC7C4B" w:rsidTr="009F5750">
        <w:tc>
          <w:tcPr>
            <w:tcW w:w="1384" w:type="dxa"/>
            <w:vMerge w:val="restart"/>
            <w:vAlign w:val="center"/>
          </w:tcPr>
          <w:p w:rsidR="00FC7C4B" w:rsidRDefault="00FC7C4B" w:rsidP="00A1273E">
            <w:pPr>
              <w:ind w:left="0" w:firstLine="284"/>
              <w:jc w:val="center"/>
            </w:pPr>
            <w:r>
              <w:t>2005</w:t>
            </w:r>
          </w:p>
        </w:tc>
        <w:tc>
          <w:tcPr>
            <w:tcW w:w="1276" w:type="dxa"/>
          </w:tcPr>
          <w:p w:rsidR="00FC7C4B" w:rsidRDefault="00FC7C4B" w:rsidP="00A1273E">
            <w:pPr>
              <w:ind w:left="0" w:firstLine="284"/>
              <w:jc w:val="center"/>
            </w:pPr>
            <w:r>
              <w:t>muži</w:t>
            </w:r>
          </w:p>
        </w:tc>
        <w:tc>
          <w:tcPr>
            <w:tcW w:w="2126" w:type="dxa"/>
            <w:vMerge w:val="restart"/>
            <w:vAlign w:val="center"/>
          </w:tcPr>
          <w:p w:rsidR="00FC7C4B" w:rsidRDefault="00FC7C4B" w:rsidP="00A1273E">
            <w:pPr>
              <w:ind w:left="0" w:firstLine="284"/>
              <w:jc w:val="center"/>
            </w:pPr>
            <w:r>
              <w:t>18–75</w:t>
            </w:r>
          </w:p>
        </w:tc>
        <w:tc>
          <w:tcPr>
            <w:tcW w:w="2268" w:type="dxa"/>
          </w:tcPr>
          <w:p w:rsidR="00FC7C4B" w:rsidRDefault="00FC7C4B" w:rsidP="00A1273E">
            <w:pPr>
              <w:ind w:left="0" w:firstLine="284"/>
              <w:jc w:val="center"/>
            </w:pPr>
            <w:r>
              <w:t>60,3 %</w:t>
            </w:r>
          </w:p>
        </w:tc>
        <w:tc>
          <w:tcPr>
            <w:tcW w:w="2158" w:type="dxa"/>
          </w:tcPr>
          <w:p w:rsidR="00FC7C4B" w:rsidRDefault="00FC7C4B" w:rsidP="00A1273E">
            <w:pPr>
              <w:ind w:left="0" w:firstLine="284"/>
              <w:jc w:val="center"/>
            </w:pPr>
            <w:r>
              <w:t>17,1 %</w:t>
            </w:r>
          </w:p>
        </w:tc>
      </w:tr>
      <w:tr w:rsidR="00FC7C4B" w:rsidTr="009F5750">
        <w:tc>
          <w:tcPr>
            <w:tcW w:w="1384" w:type="dxa"/>
            <w:vMerge/>
          </w:tcPr>
          <w:p w:rsidR="00FC7C4B" w:rsidRDefault="00FC7C4B" w:rsidP="00A1273E">
            <w:pPr>
              <w:ind w:left="0" w:firstLine="284"/>
              <w:jc w:val="center"/>
            </w:pPr>
          </w:p>
        </w:tc>
        <w:tc>
          <w:tcPr>
            <w:tcW w:w="1276" w:type="dxa"/>
          </w:tcPr>
          <w:p w:rsidR="00FC7C4B" w:rsidRDefault="00FC7C4B" w:rsidP="00A1273E">
            <w:pPr>
              <w:ind w:left="0" w:firstLine="284"/>
              <w:jc w:val="center"/>
            </w:pPr>
            <w:r>
              <w:t>ženy</w:t>
            </w:r>
          </w:p>
        </w:tc>
        <w:tc>
          <w:tcPr>
            <w:tcW w:w="2126" w:type="dxa"/>
            <w:vMerge/>
            <w:vAlign w:val="center"/>
          </w:tcPr>
          <w:p w:rsidR="00FC7C4B" w:rsidRDefault="00FC7C4B" w:rsidP="00A1273E">
            <w:pPr>
              <w:ind w:left="0" w:firstLine="284"/>
              <w:jc w:val="center"/>
            </w:pPr>
          </w:p>
        </w:tc>
        <w:tc>
          <w:tcPr>
            <w:tcW w:w="2268" w:type="dxa"/>
          </w:tcPr>
          <w:p w:rsidR="00FC7C4B" w:rsidRDefault="00FC7C4B" w:rsidP="00A1273E">
            <w:pPr>
              <w:ind w:left="0" w:firstLine="284"/>
              <w:jc w:val="center"/>
            </w:pPr>
            <w:r>
              <w:t>46,0 %</w:t>
            </w:r>
          </w:p>
        </w:tc>
        <w:tc>
          <w:tcPr>
            <w:tcW w:w="2158" w:type="dxa"/>
          </w:tcPr>
          <w:p w:rsidR="00FC7C4B" w:rsidRDefault="00FC7C4B" w:rsidP="00A1273E">
            <w:pPr>
              <w:ind w:left="0" w:firstLine="284"/>
              <w:jc w:val="center"/>
            </w:pPr>
            <w:r>
              <w:t>16,7 %</w:t>
            </w:r>
          </w:p>
        </w:tc>
      </w:tr>
      <w:tr w:rsidR="00FC7C4B" w:rsidTr="009F5750">
        <w:tc>
          <w:tcPr>
            <w:tcW w:w="1384" w:type="dxa"/>
            <w:vMerge w:val="restart"/>
            <w:vAlign w:val="center"/>
          </w:tcPr>
          <w:p w:rsidR="00FC7C4B" w:rsidRDefault="00FC7C4B" w:rsidP="00A1273E">
            <w:pPr>
              <w:ind w:left="0" w:firstLine="284"/>
              <w:jc w:val="center"/>
            </w:pPr>
            <w:r>
              <w:t>2009</w:t>
            </w:r>
          </w:p>
        </w:tc>
        <w:tc>
          <w:tcPr>
            <w:tcW w:w="1276" w:type="dxa"/>
          </w:tcPr>
          <w:p w:rsidR="00FC7C4B" w:rsidRDefault="00FC7C4B" w:rsidP="00A1273E">
            <w:pPr>
              <w:ind w:left="0" w:firstLine="284"/>
              <w:jc w:val="center"/>
            </w:pPr>
            <w:r>
              <w:t>muži</w:t>
            </w:r>
          </w:p>
        </w:tc>
        <w:tc>
          <w:tcPr>
            <w:tcW w:w="2126" w:type="dxa"/>
            <w:vMerge w:val="restart"/>
            <w:vAlign w:val="center"/>
          </w:tcPr>
          <w:p w:rsidR="00FC7C4B" w:rsidRDefault="00FC7C4B" w:rsidP="00A1273E">
            <w:pPr>
              <w:ind w:left="0" w:firstLine="284"/>
              <w:jc w:val="center"/>
            </w:pPr>
            <w:r>
              <w:t>18–75</w:t>
            </w:r>
          </w:p>
        </w:tc>
        <w:tc>
          <w:tcPr>
            <w:tcW w:w="2268" w:type="dxa"/>
          </w:tcPr>
          <w:p w:rsidR="00FC7C4B" w:rsidRDefault="00FC7C4B" w:rsidP="00A1273E">
            <w:pPr>
              <w:ind w:left="0" w:firstLine="284"/>
              <w:jc w:val="center"/>
            </w:pPr>
            <w:r>
              <w:t>64,0 %</w:t>
            </w:r>
          </w:p>
        </w:tc>
        <w:tc>
          <w:tcPr>
            <w:tcW w:w="2158" w:type="dxa"/>
          </w:tcPr>
          <w:p w:rsidR="00FC7C4B" w:rsidRDefault="00FC7C4B" w:rsidP="00A1273E">
            <w:pPr>
              <w:ind w:left="0" w:firstLine="284"/>
              <w:jc w:val="center"/>
            </w:pPr>
            <w:r>
              <w:t>23,0 %</w:t>
            </w:r>
          </w:p>
        </w:tc>
      </w:tr>
      <w:tr w:rsidR="00FC7C4B" w:rsidTr="009F5750">
        <w:tc>
          <w:tcPr>
            <w:tcW w:w="1384" w:type="dxa"/>
            <w:vMerge/>
          </w:tcPr>
          <w:p w:rsidR="00FC7C4B" w:rsidRDefault="00FC7C4B" w:rsidP="00A1273E">
            <w:pPr>
              <w:ind w:left="0" w:firstLine="284"/>
              <w:jc w:val="center"/>
            </w:pPr>
          </w:p>
        </w:tc>
        <w:tc>
          <w:tcPr>
            <w:tcW w:w="1276" w:type="dxa"/>
          </w:tcPr>
          <w:p w:rsidR="00FC7C4B" w:rsidRDefault="00FC7C4B" w:rsidP="00A1273E">
            <w:pPr>
              <w:ind w:left="0" w:firstLine="284"/>
              <w:jc w:val="center"/>
            </w:pPr>
            <w:r>
              <w:t>ženy</w:t>
            </w:r>
          </w:p>
        </w:tc>
        <w:tc>
          <w:tcPr>
            <w:tcW w:w="2126" w:type="dxa"/>
            <w:vMerge/>
          </w:tcPr>
          <w:p w:rsidR="00FC7C4B" w:rsidRDefault="00FC7C4B" w:rsidP="00A1273E">
            <w:pPr>
              <w:ind w:left="0" w:firstLine="284"/>
              <w:jc w:val="center"/>
            </w:pPr>
          </w:p>
        </w:tc>
        <w:tc>
          <w:tcPr>
            <w:tcW w:w="2268" w:type="dxa"/>
          </w:tcPr>
          <w:p w:rsidR="00FC7C4B" w:rsidRDefault="00FC7C4B" w:rsidP="00A1273E">
            <w:pPr>
              <w:ind w:left="0" w:firstLine="284"/>
              <w:jc w:val="center"/>
            </w:pPr>
            <w:r>
              <w:t>49,0 %</w:t>
            </w:r>
          </w:p>
        </w:tc>
        <w:tc>
          <w:tcPr>
            <w:tcW w:w="2158" w:type="dxa"/>
          </w:tcPr>
          <w:p w:rsidR="00FC7C4B" w:rsidRDefault="00FC7C4B" w:rsidP="00A1273E">
            <w:pPr>
              <w:ind w:left="0" w:firstLine="284"/>
              <w:jc w:val="center"/>
            </w:pPr>
            <w:r>
              <w:t>21,0 %</w:t>
            </w:r>
          </w:p>
        </w:tc>
      </w:tr>
    </w:tbl>
    <w:p w:rsidR="00FC7C4B" w:rsidRDefault="00FC7C4B" w:rsidP="00A1273E">
      <w:pPr>
        <w:ind w:left="0" w:firstLine="284"/>
        <w:jc w:val="both"/>
      </w:pPr>
    </w:p>
    <w:p w:rsidR="00163760" w:rsidRDefault="00132A35" w:rsidP="00CA3BE3">
      <w:pPr>
        <w:ind w:left="0" w:firstLine="284"/>
        <w:jc w:val="both"/>
      </w:pPr>
      <w:r>
        <w:lastRenderedPageBreak/>
        <w:t>Jako ukazatel rizika obezity s</w:t>
      </w:r>
      <w:r w:rsidR="00F50775">
        <w:t xml:space="preserve">e využívá </w:t>
      </w:r>
      <w:r w:rsidR="00F5798D">
        <w:t>BMI (</w:t>
      </w:r>
      <w:r w:rsidR="00F50775">
        <w:t>Tabulka 2)</w:t>
      </w:r>
      <w:r>
        <w:t xml:space="preserve">, což je podíl mezi hmotností těla </w:t>
      </w:r>
      <w:r w:rsidR="00CA3BE3">
        <w:t xml:space="preserve">a </w:t>
      </w:r>
      <w:r w:rsidR="009B6C24">
        <w:t xml:space="preserve">tělesnou </w:t>
      </w:r>
      <w:r w:rsidR="00CA3BE3">
        <w:t>výškou na druhou. BMI byl</w:t>
      </w:r>
      <w:r>
        <w:t xml:space="preserve"> vyvinut Queletem Adolphe</w:t>
      </w:r>
      <w:r w:rsidR="009B6C24">
        <w:t xml:space="preserve">m během 19. století. Jeho vstupní parametry se </w:t>
      </w:r>
      <w:r>
        <w:t>d</w:t>
      </w:r>
      <w:r w:rsidR="009B6C24">
        <w:t>ají snadno změřit a díky tomu BMI rychle vypočítat, využívá se jako</w:t>
      </w:r>
      <w:r>
        <w:t xml:space="preserve"> nejčastějším nástrojem ke korelaci rizik zdrav</w:t>
      </w:r>
      <w:r w:rsidR="00925AF7">
        <w:t xml:space="preserve">otních problémů. Protože je </w:t>
      </w:r>
      <w:r>
        <w:t>závisl</w:t>
      </w:r>
      <w:r w:rsidR="00925AF7">
        <w:t>ý</w:t>
      </w:r>
      <w:r>
        <w:t xml:space="preserve"> pouze na </w:t>
      </w:r>
      <w:r w:rsidR="009B6C24">
        <w:t xml:space="preserve">hmotnosti a výšce a </w:t>
      </w:r>
      <w:r>
        <w:t>nezohledňuje věk, pohlaví, ne</w:t>
      </w:r>
      <w:r w:rsidR="00925AF7">
        <w:t xml:space="preserve">bo fyzickou aktivitu, </w:t>
      </w:r>
      <w:r>
        <w:t>může docházet k podc</w:t>
      </w:r>
      <w:r w:rsidR="00925AF7">
        <w:t>eňování, nebo přeceňování rizika vzniku obezity</w:t>
      </w:r>
      <w:r>
        <w:t xml:space="preserve"> (WHO, 2012). </w:t>
      </w:r>
    </w:p>
    <w:p w:rsidR="00E16AF5" w:rsidRDefault="00E16AF5" w:rsidP="00E16AF5">
      <w:pPr>
        <w:ind w:left="0" w:firstLine="0"/>
      </w:pPr>
    </w:p>
    <w:p w:rsidR="00F50775" w:rsidRPr="009C1EA1" w:rsidRDefault="00F50775" w:rsidP="00E16AF5">
      <w:pPr>
        <w:ind w:left="0" w:firstLine="0"/>
      </w:pPr>
      <w:r>
        <w:t>Tabulka 2</w:t>
      </w:r>
      <w:r w:rsidRPr="009C1EA1">
        <w:t>. Klasifikace tělesné hmotnosti podle BMI (podle WHO, 2004</w:t>
      </w:r>
      <w:r w:rsidRPr="009C1EA1">
        <w:rPr>
          <w:rStyle w:val="Siln"/>
          <w:b w:val="0"/>
        </w:rPr>
        <w:t>)</w:t>
      </w:r>
    </w:p>
    <w:tbl>
      <w:tblPr>
        <w:tblStyle w:val="Mkatabulky"/>
        <w:tblW w:w="0" w:type="auto"/>
        <w:tblInd w:w="250" w:type="dxa"/>
        <w:tblLook w:val="04A0"/>
      </w:tblPr>
      <w:tblGrid>
        <w:gridCol w:w="3402"/>
        <w:gridCol w:w="2552"/>
      </w:tblGrid>
      <w:tr w:rsidR="00F50775" w:rsidRPr="009C1EA1" w:rsidTr="003F06CC">
        <w:tc>
          <w:tcPr>
            <w:tcW w:w="3402" w:type="dxa"/>
          </w:tcPr>
          <w:p w:rsidR="00F50775" w:rsidRPr="009C1EA1" w:rsidRDefault="00F50775" w:rsidP="00A1273E">
            <w:pPr>
              <w:ind w:left="0" w:firstLine="284"/>
            </w:pPr>
            <w:r w:rsidRPr="009C1EA1">
              <w:t>Klasifikace</w:t>
            </w:r>
          </w:p>
        </w:tc>
        <w:tc>
          <w:tcPr>
            <w:tcW w:w="2552" w:type="dxa"/>
          </w:tcPr>
          <w:p w:rsidR="00F50775" w:rsidRPr="009C1EA1" w:rsidRDefault="00F50775" w:rsidP="00A1273E">
            <w:pPr>
              <w:ind w:left="0" w:firstLine="284"/>
            </w:pPr>
            <w:r w:rsidRPr="009C1EA1">
              <w:t>BMI</w:t>
            </w:r>
          </w:p>
        </w:tc>
      </w:tr>
      <w:tr w:rsidR="00F50775" w:rsidRPr="009C1EA1" w:rsidTr="003F06CC">
        <w:tc>
          <w:tcPr>
            <w:tcW w:w="3402" w:type="dxa"/>
          </w:tcPr>
          <w:p w:rsidR="00F50775" w:rsidRPr="009C1EA1" w:rsidRDefault="00F50775" w:rsidP="00A1273E">
            <w:pPr>
              <w:ind w:left="0" w:firstLine="284"/>
            </w:pPr>
            <w:r w:rsidRPr="009C1EA1">
              <w:t>podváha</w:t>
            </w:r>
          </w:p>
        </w:tc>
        <w:tc>
          <w:tcPr>
            <w:tcW w:w="2552" w:type="dxa"/>
          </w:tcPr>
          <w:p w:rsidR="00F50775" w:rsidRPr="009C1EA1" w:rsidRDefault="00F50775" w:rsidP="00A1273E">
            <w:pPr>
              <w:ind w:left="0" w:firstLine="284"/>
            </w:pPr>
            <w:r w:rsidRPr="009C1EA1">
              <w:t>&lt; 18,50</w:t>
            </w:r>
          </w:p>
        </w:tc>
      </w:tr>
      <w:tr w:rsidR="00F50775" w:rsidRPr="009C1EA1" w:rsidTr="003F06CC">
        <w:tc>
          <w:tcPr>
            <w:tcW w:w="3402" w:type="dxa"/>
          </w:tcPr>
          <w:p w:rsidR="00F50775" w:rsidRPr="009C1EA1" w:rsidRDefault="00F50775" w:rsidP="00A1273E">
            <w:pPr>
              <w:ind w:left="0" w:firstLine="284"/>
            </w:pPr>
            <w:r w:rsidRPr="009C1EA1">
              <w:t>těžká hubenost</w:t>
            </w:r>
          </w:p>
        </w:tc>
        <w:tc>
          <w:tcPr>
            <w:tcW w:w="2552" w:type="dxa"/>
          </w:tcPr>
          <w:p w:rsidR="00F50775" w:rsidRPr="009C1EA1" w:rsidRDefault="00F50775" w:rsidP="00A1273E">
            <w:pPr>
              <w:ind w:left="0" w:firstLine="284"/>
            </w:pPr>
            <w:r w:rsidRPr="009C1EA1">
              <w:t>&lt; 16,00</w:t>
            </w:r>
          </w:p>
        </w:tc>
      </w:tr>
      <w:tr w:rsidR="00F50775" w:rsidRPr="009C1EA1" w:rsidTr="003F06CC">
        <w:tc>
          <w:tcPr>
            <w:tcW w:w="3402" w:type="dxa"/>
          </w:tcPr>
          <w:p w:rsidR="00F50775" w:rsidRPr="009C1EA1" w:rsidRDefault="00F50775" w:rsidP="00A1273E">
            <w:pPr>
              <w:ind w:left="0" w:firstLine="284"/>
            </w:pPr>
            <w:r w:rsidRPr="009C1EA1">
              <w:t>střední hubenost</w:t>
            </w:r>
          </w:p>
        </w:tc>
        <w:tc>
          <w:tcPr>
            <w:tcW w:w="2552" w:type="dxa"/>
          </w:tcPr>
          <w:p w:rsidR="00F50775" w:rsidRPr="009C1EA1" w:rsidRDefault="00F50775" w:rsidP="00A1273E">
            <w:pPr>
              <w:ind w:left="0" w:firstLine="284"/>
            </w:pPr>
            <w:r w:rsidRPr="009C1EA1">
              <w:t>16,00 – 16,99</w:t>
            </w:r>
          </w:p>
        </w:tc>
      </w:tr>
      <w:tr w:rsidR="00F50775" w:rsidRPr="009C1EA1" w:rsidTr="003F06CC">
        <w:tc>
          <w:tcPr>
            <w:tcW w:w="3402" w:type="dxa"/>
          </w:tcPr>
          <w:p w:rsidR="00F50775" w:rsidRPr="009C1EA1" w:rsidRDefault="00F50775" w:rsidP="00A1273E">
            <w:pPr>
              <w:ind w:left="0" w:firstLine="284"/>
            </w:pPr>
            <w:r w:rsidRPr="009C1EA1">
              <w:t>mírná hubenost</w:t>
            </w:r>
          </w:p>
        </w:tc>
        <w:tc>
          <w:tcPr>
            <w:tcW w:w="2552" w:type="dxa"/>
          </w:tcPr>
          <w:p w:rsidR="00F50775" w:rsidRPr="009C1EA1" w:rsidRDefault="00F50775" w:rsidP="00A1273E">
            <w:pPr>
              <w:ind w:left="0" w:firstLine="284"/>
            </w:pPr>
            <w:r w:rsidRPr="009C1EA1">
              <w:t>17,00 – 18,49</w:t>
            </w:r>
          </w:p>
        </w:tc>
      </w:tr>
      <w:tr w:rsidR="00F50775" w:rsidRPr="009C1EA1" w:rsidTr="003F06CC">
        <w:tc>
          <w:tcPr>
            <w:tcW w:w="3402" w:type="dxa"/>
          </w:tcPr>
          <w:p w:rsidR="00F50775" w:rsidRPr="009C1EA1" w:rsidRDefault="00F50775" w:rsidP="00A1273E">
            <w:pPr>
              <w:ind w:left="0" w:firstLine="284"/>
            </w:pPr>
            <w:r w:rsidRPr="009C1EA1">
              <w:t>normální hmotnost</w:t>
            </w:r>
          </w:p>
        </w:tc>
        <w:tc>
          <w:tcPr>
            <w:tcW w:w="2552" w:type="dxa"/>
          </w:tcPr>
          <w:p w:rsidR="00F50775" w:rsidRPr="009C1EA1" w:rsidRDefault="00F50775" w:rsidP="00A1273E">
            <w:pPr>
              <w:ind w:left="0" w:firstLine="284"/>
            </w:pPr>
            <w:r w:rsidRPr="009C1EA1">
              <w:t>18,50 – 24,99</w:t>
            </w:r>
          </w:p>
        </w:tc>
      </w:tr>
      <w:tr w:rsidR="00F50775" w:rsidRPr="009C1EA1" w:rsidTr="003F06CC">
        <w:tc>
          <w:tcPr>
            <w:tcW w:w="3402" w:type="dxa"/>
          </w:tcPr>
          <w:p w:rsidR="00F50775" w:rsidRPr="009C1EA1" w:rsidRDefault="00F50775" w:rsidP="00A1273E">
            <w:pPr>
              <w:ind w:left="0" w:firstLine="284"/>
            </w:pPr>
            <w:r w:rsidRPr="009C1EA1">
              <w:t>nadváha</w:t>
            </w:r>
          </w:p>
        </w:tc>
        <w:tc>
          <w:tcPr>
            <w:tcW w:w="2552" w:type="dxa"/>
          </w:tcPr>
          <w:p w:rsidR="00F50775" w:rsidRPr="009C1EA1" w:rsidRDefault="00F50775" w:rsidP="00A1273E">
            <w:pPr>
              <w:ind w:left="0" w:firstLine="284"/>
            </w:pPr>
            <w:r w:rsidRPr="009C1EA1">
              <w:rPr>
                <w:rStyle w:val="storydeck"/>
                <w:b/>
                <w:bCs/>
              </w:rPr>
              <w:t>≥</w:t>
            </w:r>
            <w:r w:rsidRPr="009C1EA1">
              <w:t xml:space="preserve"> 25,00</w:t>
            </w:r>
          </w:p>
        </w:tc>
      </w:tr>
      <w:tr w:rsidR="00F50775" w:rsidRPr="009C1EA1" w:rsidTr="003F06CC">
        <w:tc>
          <w:tcPr>
            <w:tcW w:w="3402" w:type="dxa"/>
          </w:tcPr>
          <w:p w:rsidR="00F50775" w:rsidRPr="009C1EA1" w:rsidRDefault="00F50775" w:rsidP="00A1273E">
            <w:pPr>
              <w:ind w:left="0" w:firstLine="284"/>
            </w:pPr>
            <w:r w:rsidRPr="009C1EA1">
              <w:t>pre-obézní</w:t>
            </w:r>
          </w:p>
        </w:tc>
        <w:tc>
          <w:tcPr>
            <w:tcW w:w="2552" w:type="dxa"/>
          </w:tcPr>
          <w:p w:rsidR="00F50775" w:rsidRPr="009C1EA1" w:rsidRDefault="00F50775" w:rsidP="00A1273E">
            <w:pPr>
              <w:ind w:left="0" w:firstLine="284"/>
            </w:pPr>
            <w:r w:rsidRPr="009C1EA1">
              <w:t>25,00 –29,99</w:t>
            </w:r>
          </w:p>
        </w:tc>
      </w:tr>
      <w:tr w:rsidR="00F50775" w:rsidRPr="009C1EA1" w:rsidTr="003F06CC">
        <w:tc>
          <w:tcPr>
            <w:tcW w:w="3402" w:type="dxa"/>
          </w:tcPr>
          <w:p w:rsidR="00F50775" w:rsidRPr="009C1EA1" w:rsidRDefault="00F50775" w:rsidP="00A1273E">
            <w:pPr>
              <w:ind w:left="0" w:firstLine="284"/>
            </w:pPr>
            <w:r w:rsidRPr="009C1EA1">
              <w:t>obézní</w:t>
            </w:r>
          </w:p>
        </w:tc>
        <w:tc>
          <w:tcPr>
            <w:tcW w:w="2552" w:type="dxa"/>
          </w:tcPr>
          <w:p w:rsidR="00F50775" w:rsidRPr="009C1EA1" w:rsidRDefault="00F50775" w:rsidP="00A1273E">
            <w:pPr>
              <w:ind w:left="0" w:firstLine="284"/>
            </w:pPr>
            <w:r w:rsidRPr="009C1EA1">
              <w:rPr>
                <w:rStyle w:val="storydeck"/>
                <w:b/>
                <w:bCs/>
              </w:rPr>
              <w:t xml:space="preserve">≥ </w:t>
            </w:r>
            <w:r w:rsidRPr="009C1EA1">
              <w:t>30,00</w:t>
            </w:r>
          </w:p>
        </w:tc>
      </w:tr>
      <w:tr w:rsidR="00F50775" w:rsidRPr="009C1EA1" w:rsidTr="003F06CC">
        <w:tc>
          <w:tcPr>
            <w:tcW w:w="3402" w:type="dxa"/>
          </w:tcPr>
          <w:p w:rsidR="00F50775" w:rsidRPr="009C1EA1" w:rsidRDefault="00F50775" w:rsidP="00A1273E">
            <w:pPr>
              <w:ind w:left="0" w:firstLine="284"/>
            </w:pPr>
            <w:r w:rsidRPr="009C1EA1">
              <w:t>obezita I. stupně (mírná)</w:t>
            </w:r>
          </w:p>
        </w:tc>
        <w:tc>
          <w:tcPr>
            <w:tcW w:w="2552" w:type="dxa"/>
          </w:tcPr>
          <w:p w:rsidR="00F50775" w:rsidRPr="009C1EA1" w:rsidRDefault="00F50775" w:rsidP="00A1273E">
            <w:pPr>
              <w:ind w:left="0" w:firstLine="284"/>
            </w:pPr>
            <w:r w:rsidRPr="009C1EA1">
              <w:t>30,00 – 34,99</w:t>
            </w:r>
          </w:p>
        </w:tc>
      </w:tr>
      <w:tr w:rsidR="00F50775" w:rsidRPr="009C1EA1" w:rsidTr="003F06CC">
        <w:tc>
          <w:tcPr>
            <w:tcW w:w="3402" w:type="dxa"/>
          </w:tcPr>
          <w:p w:rsidR="00F50775" w:rsidRPr="009C1EA1" w:rsidRDefault="00F50775" w:rsidP="00A1273E">
            <w:pPr>
              <w:ind w:left="0" w:firstLine="284"/>
            </w:pPr>
            <w:r w:rsidRPr="009C1EA1">
              <w:t>obezita II. stupně (střední)</w:t>
            </w:r>
          </w:p>
        </w:tc>
        <w:tc>
          <w:tcPr>
            <w:tcW w:w="2552" w:type="dxa"/>
          </w:tcPr>
          <w:p w:rsidR="00F50775" w:rsidRPr="009C1EA1" w:rsidRDefault="00F50775" w:rsidP="00A1273E">
            <w:pPr>
              <w:ind w:left="0" w:firstLine="284"/>
            </w:pPr>
            <w:r w:rsidRPr="009C1EA1">
              <w:t>35,00 – 39,99</w:t>
            </w:r>
          </w:p>
        </w:tc>
      </w:tr>
      <w:tr w:rsidR="00F50775" w:rsidRPr="009C1EA1" w:rsidTr="003F06CC">
        <w:tc>
          <w:tcPr>
            <w:tcW w:w="3402" w:type="dxa"/>
          </w:tcPr>
          <w:p w:rsidR="00F50775" w:rsidRPr="009C1EA1" w:rsidRDefault="00F50775" w:rsidP="00A1273E">
            <w:pPr>
              <w:ind w:left="0" w:firstLine="284"/>
            </w:pPr>
            <w:r w:rsidRPr="009C1EA1">
              <w:t>obezita III. stupně (morbidní)</w:t>
            </w:r>
          </w:p>
        </w:tc>
        <w:tc>
          <w:tcPr>
            <w:tcW w:w="2552" w:type="dxa"/>
          </w:tcPr>
          <w:p w:rsidR="00F50775" w:rsidRPr="009C1EA1" w:rsidRDefault="00F50775" w:rsidP="00A1273E">
            <w:pPr>
              <w:ind w:left="0" w:firstLine="284"/>
            </w:pPr>
            <w:r w:rsidRPr="009C1EA1">
              <w:rPr>
                <w:rStyle w:val="storydeck"/>
                <w:b/>
                <w:bCs/>
              </w:rPr>
              <w:t>≥</w:t>
            </w:r>
            <w:r w:rsidRPr="009C1EA1">
              <w:t xml:space="preserve"> 40</w:t>
            </w:r>
          </w:p>
        </w:tc>
      </w:tr>
    </w:tbl>
    <w:p w:rsidR="00F50775" w:rsidRPr="009C1EA1" w:rsidRDefault="00F50775" w:rsidP="00A1273E">
      <w:pPr>
        <w:ind w:left="0" w:firstLine="284"/>
      </w:pPr>
    </w:p>
    <w:p w:rsidR="00E51853" w:rsidRDefault="00D8270F" w:rsidP="003F06CC">
      <w:pPr>
        <w:ind w:left="0" w:firstLine="284"/>
        <w:jc w:val="both"/>
      </w:pPr>
      <w:r>
        <w:rPr>
          <w:rFonts w:eastAsia="NimbusRomanDOT-Regular"/>
        </w:rPr>
        <w:t xml:space="preserve">Matoulek, Svačina a Lajka (2010) </w:t>
      </w:r>
      <w:r w:rsidR="00390AE2">
        <w:rPr>
          <w:rFonts w:eastAsia="NimbusRomanDOT-Regular"/>
        </w:rPr>
        <w:t xml:space="preserve">pomocí dotazníkové metody, kterou oslovili 2058 osob, </w:t>
      </w:r>
      <w:r w:rsidR="00911356">
        <w:t>odhalil</w:t>
      </w:r>
      <w:r>
        <w:t>i</w:t>
      </w:r>
      <w:r w:rsidR="00911356">
        <w:t xml:space="preserve"> 6 základních parametrů ovlivňující</w:t>
      </w:r>
      <w:r w:rsidR="00287ED1">
        <w:t>ch</w:t>
      </w:r>
      <w:r w:rsidR="00390AE2">
        <w:t xml:space="preserve"> BMI. N</w:t>
      </w:r>
      <w:r w:rsidR="00911356">
        <w:t>ejsilnější</w:t>
      </w:r>
      <w:r w:rsidR="00390AE2">
        <w:t>m</w:t>
      </w:r>
      <w:r w:rsidR="00AC7DC0">
        <w:t xml:space="preserve"> faktor</w:t>
      </w:r>
      <w:r w:rsidR="00390AE2">
        <w:t>em</w:t>
      </w:r>
      <w:r w:rsidR="00911356">
        <w:t xml:space="preserve"> je provozování pohybové ak</w:t>
      </w:r>
      <w:r w:rsidR="00DC3327">
        <w:t>tivity, a to hlavně v dětství a </w:t>
      </w:r>
      <w:r w:rsidR="00911356">
        <w:t xml:space="preserve">adolescenci, jelikož to </w:t>
      </w:r>
      <w:r w:rsidR="00A552AF">
        <w:t xml:space="preserve">ve většině případů </w:t>
      </w:r>
      <w:r w:rsidR="00911356">
        <w:t>znamen</w:t>
      </w:r>
      <w:r w:rsidR="00A552AF">
        <w:t>á, že jedinec zůstane aktivní i </w:t>
      </w:r>
      <w:r w:rsidR="008E4986">
        <w:t xml:space="preserve">v průběhu dalších let. Navíc </w:t>
      </w:r>
      <w:r w:rsidR="00911356">
        <w:t>osvojené pohybové návyky lze lépe vybavit i v pozdějším věku. Dalšími parametry je vlastnictví kola a chalupy. Naopak mezi faktory, které přispívají k vyššímu BMI, patří vlastnictví automobilu,</w:t>
      </w:r>
      <w:r w:rsidR="00A552AF">
        <w:t xml:space="preserve"> návštěvy rychlých občerstvení a </w:t>
      </w:r>
      <w:r w:rsidR="00911356">
        <w:t>konzumace sekundárně zpracovaného masa (uzenin). Důležitým zjištěním bylo také</w:t>
      </w:r>
      <w:r w:rsidR="00DC3327">
        <w:t xml:space="preserve"> to</w:t>
      </w:r>
      <w:r w:rsidR="00911356">
        <w:t xml:space="preserve">, že jedinci, kteří v dětství trpěli nadváhou či </w:t>
      </w:r>
      <w:r w:rsidR="00C90B5E">
        <w:t>obezitou,</w:t>
      </w:r>
      <w:r w:rsidR="00911356">
        <w:t xml:space="preserve"> se s ní </w:t>
      </w:r>
      <w:r w:rsidR="00C90B5E">
        <w:t xml:space="preserve">z 80 % budou potýkat i v dospělosti. </w:t>
      </w:r>
    </w:p>
    <w:p w:rsidR="00C04215" w:rsidRDefault="00E93E82" w:rsidP="00C04215">
      <w:pPr>
        <w:ind w:left="0" w:firstLine="284"/>
        <w:jc w:val="both"/>
      </w:pPr>
      <w:r>
        <w:t>Podle Hainera (2011) se k</w:t>
      </w:r>
      <w:r w:rsidR="00151FD1" w:rsidRPr="00307C2A">
        <w:t> hodnocení důsledků obezity využívají ztracené roky života (years of life lost</w:t>
      </w:r>
      <w:r w:rsidR="00FC7C4B">
        <w:t>,</w:t>
      </w:r>
      <w:r w:rsidR="00151FD1" w:rsidRPr="00307C2A">
        <w:t xml:space="preserve"> YLLs). Jsou dány rozdílem mezi očekávanou délkou života u</w:t>
      </w:r>
      <w:r w:rsidR="00DC3327">
        <w:t> </w:t>
      </w:r>
      <w:r w:rsidR="00151FD1" w:rsidRPr="00307C2A">
        <w:t>osob v různých kategorií BMI. Výsledky Framinghamské studie ří</w:t>
      </w:r>
      <w:r w:rsidR="00985E4C">
        <w:t>kají, že obézní nekuřáci mají o </w:t>
      </w:r>
      <w:r w:rsidR="00151FD1" w:rsidRPr="00307C2A">
        <w:t>5,8 roku kratší život, obézní nekuřačky o 7,1 roku než nekuřáci s normální hmotností.</w:t>
      </w:r>
    </w:p>
    <w:p w:rsidR="00151FD1" w:rsidRPr="00307C2A" w:rsidRDefault="00C04215" w:rsidP="003F06CC">
      <w:pPr>
        <w:ind w:left="0" w:firstLine="284"/>
        <w:jc w:val="both"/>
      </w:pPr>
      <w:r>
        <w:lastRenderedPageBreak/>
        <w:t>Finkelstein, Brown, Wrage, Allaire a Hoerger</w:t>
      </w:r>
      <w:r w:rsidR="00C86D9E">
        <w:t xml:space="preserve"> (2010</w:t>
      </w:r>
      <w:r w:rsidR="00151FD1" w:rsidRPr="00307C2A">
        <w:t xml:space="preserve">) </w:t>
      </w:r>
      <w:r w:rsidR="00985E4C">
        <w:t>prováděl</w:t>
      </w:r>
      <w:r>
        <w:t>i výzkum u kuřáků i </w:t>
      </w:r>
      <w:r w:rsidR="00985E4C">
        <w:t>nekuřáků různé rasové příslušnosti. U</w:t>
      </w:r>
      <w:r w:rsidR="004E50A0">
        <w:t xml:space="preserve">vádí, že </w:t>
      </w:r>
      <w:r w:rsidR="00151FD1" w:rsidRPr="00307C2A">
        <w:t>nejdel</w:t>
      </w:r>
      <w:r w:rsidR="00C86D9E">
        <w:t>ší předpokládaná délka života u </w:t>
      </w:r>
      <w:r w:rsidR="00985E4C">
        <w:t xml:space="preserve">nekuřáků je u žen </w:t>
      </w:r>
      <w:r w:rsidR="00151FD1" w:rsidRPr="00307C2A">
        <w:t>bílé pleti (85</w:t>
      </w:r>
      <w:r w:rsidR="000D2C04">
        <w:t xml:space="preserve"> let</w:t>
      </w:r>
      <w:r w:rsidR="00151FD1" w:rsidRPr="00307C2A">
        <w:t>)</w:t>
      </w:r>
      <w:r w:rsidR="00985E4C">
        <w:t xml:space="preserve">, </w:t>
      </w:r>
      <w:r w:rsidR="00FC7C4B">
        <w:t>nejnižší u </w:t>
      </w:r>
      <w:r w:rsidR="00151FD1" w:rsidRPr="00307C2A">
        <w:t>mužů tmavé pleti (75</w:t>
      </w:r>
      <w:r w:rsidR="000D2C04">
        <w:t xml:space="preserve"> let</w:t>
      </w:r>
      <w:r w:rsidR="00151FD1" w:rsidRPr="00307C2A">
        <w:t>). Nadváha neměla negativní vliv na mortalitu, ovlivňovala délku ž</w:t>
      </w:r>
      <w:r>
        <w:t>ivota spíš příznivě. Obezita 1. </w:t>
      </w:r>
      <w:r w:rsidR="00151FD1" w:rsidRPr="00307C2A">
        <w:t xml:space="preserve">stupně prodlužovala délku života </w:t>
      </w:r>
      <w:r w:rsidR="00DB784F">
        <w:t>o </w:t>
      </w:r>
      <w:r w:rsidR="00FC7C4B">
        <w:t>rok u osob tmavé pleti, u </w:t>
      </w:r>
      <w:r w:rsidR="00151FD1">
        <w:t>osob</w:t>
      </w:r>
      <w:r w:rsidR="00151FD1" w:rsidRPr="00307C2A">
        <w:t xml:space="preserve"> světlé pleti ji o rok zkracovala. Ve srovnání s BMI byl statisticky významný rozdíl jen u bělošek. U vyšších kategorií BMI byl rozdíl výraznější. 18letý n</w:t>
      </w:r>
      <w:r w:rsidR="00985E4C">
        <w:t>ekuřák s obezitou II. stupně má</w:t>
      </w:r>
      <w:r w:rsidR="00151FD1" w:rsidRPr="00307C2A">
        <w:t xml:space="preserve"> nižší očekávanou délku života o rok (ženy černé pleti), až 4 roky (ženy </w:t>
      </w:r>
      <w:r w:rsidR="00985E4C">
        <w:t xml:space="preserve">a muži bílé pleti). Pro obézní </w:t>
      </w:r>
      <w:r w:rsidR="00151FD1" w:rsidRPr="00307C2A">
        <w:t>III. stupně se očekávaná doba</w:t>
      </w:r>
      <w:r w:rsidR="000D2C04">
        <w:t xml:space="preserve"> života zkracuje o 5 let </w:t>
      </w:r>
      <w:r w:rsidR="00FC7C4B">
        <w:t>(ženy č</w:t>
      </w:r>
      <w:r w:rsidR="00151FD1" w:rsidRPr="00307C2A">
        <w:t>erné pleti) až 9 let (ženy a muži bílé pleti).</w:t>
      </w:r>
    </w:p>
    <w:p w:rsidR="00151FD1" w:rsidRDefault="00390AE2" w:rsidP="00A1273E">
      <w:pPr>
        <w:ind w:left="0" w:firstLine="284"/>
        <w:jc w:val="both"/>
      </w:pPr>
      <w:r>
        <w:t>U obézních, kteří kouří nebo kouřili,</w:t>
      </w:r>
      <w:r w:rsidR="00151FD1" w:rsidRPr="00307C2A">
        <w:t xml:space="preserve"> se délka života zkracovala zhruba dvojnásobně. </w:t>
      </w:r>
      <w:r w:rsidR="00FC7C4B">
        <w:t>Kuřák s morbidní obezitou se pravděpodobně dožije o 21 let méně, než kdyby byl nekuřák s </w:t>
      </w:r>
      <w:r w:rsidR="00D03931">
        <w:t>normální hmotností. Počet kuřáků</w:t>
      </w:r>
      <w:r w:rsidR="00FC7C4B">
        <w:t xml:space="preserve"> s nejvyšším stupněm obezity je ale poměrně malý, tvoří méně než 5 % populace</w:t>
      </w:r>
      <w:r w:rsidR="00151FD1" w:rsidRPr="00307C2A">
        <w:t xml:space="preserve">. Nadváha s výjimkou bělošek měla neutrální nebo projektivní vliv, </w:t>
      </w:r>
      <w:r w:rsidR="00631FD7">
        <w:t>podobně vliv obezity 1</w:t>
      </w:r>
      <w:r w:rsidR="00151FD1" w:rsidRPr="00307C2A">
        <w:t xml:space="preserve">. stupně, je téměř bezvýznamný. Teprve vyšší stupeň obezity má výrazný vliv na YLLs. </w:t>
      </w:r>
      <w:r w:rsidR="00FC7C4B">
        <w:t>Vysvětlení pro malý vliv nadváhy a obezity 1. stupně na mortalitu může být různé. Velmi pravděpodobné jsou účinné lékařské a chirurgické zákroky, které umožňují řízení a ovlivňování nem</w:t>
      </w:r>
      <w:r w:rsidR="00BC738B">
        <w:t>ocí, způsobených obezitou. Například</w:t>
      </w:r>
      <w:r w:rsidR="00FC7C4B">
        <w:t xml:space="preserve"> z 25 nejčastěji předepisovaných léků je 10 z nich na vysoký tlak, vy</w:t>
      </w:r>
      <w:r w:rsidR="00234B2E">
        <w:t xml:space="preserve">soký cholesterol nebo cukrovku, což jsou 3 nejčastější komplikace obezity. </w:t>
      </w:r>
    </w:p>
    <w:p w:rsidR="00FD2CA7" w:rsidRPr="00307C2A" w:rsidRDefault="00FD2CA7" w:rsidP="00A1273E">
      <w:pPr>
        <w:ind w:left="0" w:firstLine="284"/>
        <w:jc w:val="both"/>
      </w:pPr>
      <w:r w:rsidRPr="00307C2A">
        <w:t>Rozvoj obezit</w:t>
      </w:r>
      <w:r w:rsidR="00A12BC0">
        <w:t>y souvisí přímo s</w:t>
      </w:r>
      <w:r w:rsidR="00390AE2">
        <w:t xml:space="preserve"> nadměrným rozvojem </w:t>
      </w:r>
      <w:r w:rsidR="00A12BC0">
        <w:t>tukov</w:t>
      </w:r>
      <w:r w:rsidR="00390AE2">
        <w:t>é složky</w:t>
      </w:r>
      <w:r w:rsidR="00A12BC0">
        <w:t xml:space="preserve">. Tuková tkáň je sekreční orgán, </w:t>
      </w:r>
      <w:r w:rsidRPr="00307C2A">
        <w:t xml:space="preserve">vylučující řadu hormonů a působků, které mohou </w:t>
      </w:r>
      <w:r w:rsidR="001119B8">
        <w:t>ovlivňovat</w:t>
      </w:r>
      <w:r w:rsidRPr="00307C2A">
        <w:t xml:space="preserve"> vyjádření metabolického syndromu. </w:t>
      </w:r>
    </w:p>
    <w:p w:rsidR="00FD2CA7" w:rsidRDefault="001119B8" w:rsidP="00A1273E">
      <w:pPr>
        <w:ind w:left="0" w:firstLine="284"/>
        <w:jc w:val="both"/>
      </w:pPr>
      <w:r>
        <w:t>Mezi l</w:t>
      </w:r>
      <w:r w:rsidR="00FD2CA7" w:rsidRPr="00307C2A">
        <w:t>átky</w:t>
      </w:r>
      <w:r>
        <w:t>,</w:t>
      </w:r>
      <w:r w:rsidR="00FD2CA7" w:rsidRPr="00307C2A">
        <w:t xml:space="preserve"> které </w:t>
      </w:r>
      <w:r w:rsidR="00390AE2">
        <w:t>jsou s</w:t>
      </w:r>
      <w:r>
        <w:t>ekretované tukovou tkání, řadíme</w:t>
      </w:r>
      <w:r w:rsidR="00FD2CA7" w:rsidRPr="00307C2A">
        <w:t xml:space="preserve"> </w:t>
      </w:r>
      <w:r>
        <w:t xml:space="preserve">i </w:t>
      </w:r>
      <w:r w:rsidR="00FD2CA7" w:rsidRPr="001119B8">
        <w:t>leptin</w:t>
      </w:r>
      <w:r>
        <w:t xml:space="preserve">. </w:t>
      </w:r>
      <w:r w:rsidR="00FD2CA7">
        <w:t>Leptin je proteohormon, který je produkován především bílou tukovou tkání. Leptin se váže na receptory v hypotalamu, kde ovlivňuje energetickou rovnováhu, a to jak zvýšením energetického výdeje aktivací sympatiku, tak také inhibičním vlivem na příjem potravy. V krvi mají obézní jedinci v</w:t>
      </w:r>
      <w:r w:rsidR="00736EEA">
        <w:t>y</w:t>
      </w:r>
      <w:r w:rsidR="00FD2CA7">
        <w:t>šší koncentraci leptinu než jedinci s normální hmotností.  Na vzniku obezity se může podílet leptinorezistence, která má za následek menší pocit nasycení. Absence leptinu či defekt leptinových receptorů vyvolává obezitu. Sekrece koreluje s tukovo</w:t>
      </w:r>
      <w:r w:rsidR="00E415BD">
        <w:t xml:space="preserve">u tkání a klesá při hladovění. </w:t>
      </w:r>
      <w:r w:rsidR="00FD2CA7">
        <w:t>Centrálními mechanismy přes hypotalamická centra tlumí příjem potravy. Stimulací sympat</w:t>
      </w:r>
      <w:r w:rsidR="00FE7C30">
        <w:t xml:space="preserve">iku zvyšuje metabolický </w:t>
      </w:r>
      <w:r w:rsidR="00FE7C30">
        <w:lastRenderedPageBreak/>
        <w:t>obrat</w:t>
      </w:r>
      <w:r w:rsidR="00C41258">
        <w:t>.</w:t>
      </w:r>
      <w:r w:rsidR="00C41258" w:rsidRPr="00C41258">
        <w:t xml:space="preserve"> </w:t>
      </w:r>
      <w:r w:rsidR="00C41258">
        <w:t>Krátkodobé působení leptinu ovlivňuje příjem potravy (pokles inzulinemie, glykemie, vzestup energetického výdeje</w:t>
      </w:r>
      <w:r w:rsidR="00A12BC0">
        <w:t>)</w:t>
      </w:r>
      <w:r w:rsidR="00FE7C30">
        <w:t xml:space="preserve"> (</w:t>
      </w:r>
      <w:r w:rsidR="00FD2CA7">
        <w:t xml:space="preserve">Hainer, 2011; Svačina 2002). </w:t>
      </w:r>
    </w:p>
    <w:p w:rsidR="009707DD" w:rsidRDefault="00631C22" w:rsidP="00A1273E">
      <w:pPr>
        <w:ind w:left="0" w:firstLine="284"/>
        <w:jc w:val="both"/>
      </w:pPr>
      <w:r>
        <w:t>Přítomn</w:t>
      </w:r>
      <w:r w:rsidR="009707DD">
        <w:t>ost obezity a přetrvávajícího na</w:t>
      </w:r>
      <w:r>
        <w:t>dměrného příjmu vede k vyčerpání kapacity adipocytů, ukládání triglyceridů, ektopické depozici lipidů a metabolitů do svalové, jaterní a pankreatické tkáně. Ektopicky uložené li</w:t>
      </w:r>
      <w:r w:rsidR="009707DD">
        <w:t>p</w:t>
      </w:r>
      <w:r>
        <w:t xml:space="preserve">idy vedou ke vzniku inzulínové rezistence. </w:t>
      </w:r>
      <w:r w:rsidR="009707DD">
        <w:t>Podílí se na vzniku diabetes mellitus 2. typu, rozvoji aterosklerózy a</w:t>
      </w:r>
      <w:r w:rsidR="008B30BB">
        <w:t> </w:t>
      </w:r>
      <w:r w:rsidR="009707DD">
        <w:t>kardiovaskulárních chorob (</w:t>
      </w:r>
      <w:r>
        <w:t>Ha</w:t>
      </w:r>
      <w:r w:rsidR="008E28AA">
        <w:t>l</w:t>
      </w:r>
      <w:r>
        <w:t>u</w:t>
      </w:r>
      <w:r w:rsidR="008E28AA">
        <w:t>z</w:t>
      </w:r>
      <w:r>
        <w:t>íková et al., 2010)</w:t>
      </w:r>
      <w:r w:rsidR="009707DD">
        <w:t xml:space="preserve">. </w:t>
      </w:r>
    </w:p>
    <w:p w:rsidR="00884D6F" w:rsidRDefault="009707DD" w:rsidP="00A1273E">
      <w:pPr>
        <w:ind w:left="0" w:firstLine="284"/>
        <w:jc w:val="both"/>
      </w:pPr>
      <w:r>
        <w:t>O</w:t>
      </w:r>
      <w:r w:rsidR="00884D6F">
        <w:t>bezita má také vztah k věku. Celkový energetický výdej klesá v průměru za dekádu o 165 kcal u mužů a 105 kcal u žen (Elia, 2001).</w:t>
      </w:r>
    </w:p>
    <w:p w:rsidR="00884D6F" w:rsidRDefault="00884D6F" w:rsidP="00A1273E">
      <w:pPr>
        <w:ind w:left="0" w:firstLine="284"/>
        <w:jc w:val="both"/>
      </w:pPr>
    </w:p>
    <w:p w:rsidR="00E16AF5" w:rsidRDefault="00E16AF5" w:rsidP="00E16AF5">
      <w:pPr>
        <w:pStyle w:val="Nadpis3"/>
        <w:ind w:left="0" w:firstLine="0"/>
        <w:rPr>
          <w:color w:val="auto"/>
        </w:rPr>
      </w:pPr>
      <w:bookmarkStart w:id="11" w:name="_Toc324848213"/>
      <w:r>
        <w:rPr>
          <w:color w:val="auto"/>
        </w:rPr>
        <w:t>2. 3. 1 Bazální metabolismus (BM)</w:t>
      </w:r>
      <w:bookmarkEnd w:id="11"/>
    </w:p>
    <w:p w:rsidR="00E16AF5" w:rsidRDefault="00E16AF5" w:rsidP="00E16AF5"/>
    <w:p w:rsidR="00E16AF5" w:rsidRPr="00B915EA" w:rsidRDefault="00E16AF5" w:rsidP="007F4B6A">
      <w:pPr>
        <w:ind w:left="0" w:firstLine="284"/>
        <w:jc w:val="both"/>
      </w:pPr>
      <w:r>
        <w:t>Bazální metabolismus</w:t>
      </w:r>
      <w:r w:rsidR="007F4B6A">
        <w:t xml:space="preserve"> nás</w:t>
      </w:r>
      <w:r>
        <w:t xml:space="preserve"> informuje o energetickém výdeji organismu v klidu, což může být důležitým ukazatelem pro tělesné </w:t>
      </w:r>
      <w:r w:rsidR="007F4B6A">
        <w:t>složení a pro riziko vzniku obezity</w:t>
      </w:r>
      <w:r>
        <w:t>. Bazální metabolismus je nut</w:t>
      </w:r>
      <w:r w:rsidR="007F4B6A">
        <w:t>ný měřit v dokonalém svalovém i </w:t>
      </w:r>
      <w:r>
        <w:t>duševním klidu, na lačno za pokojové teploty. U dospělého člověka se jeh</w:t>
      </w:r>
      <w:r w:rsidR="007F4B6A">
        <w:t>o hodnota pohybuje kolem 5450–</w:t>
      </w:r>
      <w:r>
        <w:t>8</w:t>
      </w:r>
      <w:r w:rsidR="007F4B6A">
        <w:t>350 kJ za den (1300–</w:t>
      </w:r>
      <w:r>
        <w:t>2000 kcal/den). Závisí na mnoha podmínkách, jako je velikost, věk, pohlaví. Čím je člověk vyšší, tím bude mít vyšší hodnotu bazálního metabolismu, nejpřesnějším měřítkem velikosti těla je měření jeho povrchu. V dětství je hodnota BM vyšší, s přibývajícím věkem klesá. U žen je hodnota niž</w:t>
      </w:r>
      <w:r w:rsidR="007F4B6A">
        <w:t>ší než u mužů, a to dokonce o 5 </w:t>
      </w:r>
      <w:r>
        <w:t>až 7 %. Na přeměnu látek a energií působí i řada vnějších vlivů. Přijatá potrava zvyšuje metabolismus dvojí cestou. První je specifický dynamický účinek živin, což zahrnuje práci žláz a hladkých svalů trávicího ústrojí a druhým je zvýšení metabolismus přímo živinami, nejvýrazněj</w:t>
      </w:r>
      <w:r w:rsidR="007F4B6A">
        <w:t>i bílkoviny, které zvyšují za 3–</w:t>
      </w:r>
      <w:r>
        <w:t>4 hodiny p</w:t>
      </w:r>
      <w:r w:rsidR="007F4B6A">
        <w:t>o požití metabolismus až o 20–</w:t>
      </w:r>
      <w:r>
        <w:t>40 </w:t>
      </w:r>
      <w:r>
        <w:softHyphen/>
        <w:t>%, smíšen</w:t>
      </w:r>
      <w:r w:rsidR="007F4B6A">
        <w:t>á strava způsobí zvýšení o 10–</w:t>
      </w:r>
      <w:r>
        <w:t>12 %, nejméně jej zvyšují tuky. Hladovění naopak bazální metabolismus sni</w:t>
      </w:r>
      <w:r w:rsidR="0032268D">
        <w:t>žuje, což se negativně odráží i </w:t>
      </w:r>
      <w:r>
        <w:t>na držení redukčních diet a tzv. jojo efektu, kdy dochází k přibírání v důsledku sníženého bazálního metabolismu po redukční dietě. Čím je vyšší teplota zevního prostředí, tím je nižší metabolismus, což neplatí pro extrémy, kdy při přehřátí přeměna látek stoupá a při podchlazení klesá. Nejvýraznější vliv má svalová činnost, která hodnotu bazálního metabolismu zvyšuje, a to i několik</w:t>
      </w:r>
      <w:r w:rsidR="007F4B6A">
        <w:t>anásobně (Seliger, Vinařický, &amp; </w:t>
      </w:r>
      <w:r>
        <w:t>Trefný, 1983).</w:t>
      </w:r>
    </w:p>
    <w:p w:rsidR="00E16AF5" w:rsidRPr="00307C2A" w:rsidRDefault="00E16AF5" w:rsidP="00A1273E">
      <w:pPr>
        <w:ind w:left="0" w:firstLine="284"/>
        <w:jc w:val="both"/>
      </w:pPr>
    </w:p>
    <w:p w:rsidR="00FD2CA7" w:rsidRPr="00DB784F" w:rsidRDefault="00DB784F" w:rsidP="00DB784F">
      <w:pPr>
        <w:pStyle w:val="Nadpis3"/>
        <w:ind w:left="0" w:firstLine="0"/>
        <w:rPr>
          <w:color w:val="auto"/>
        </w:rPr>
      </w:pPr>
      <w:bookmarkStart w:id="12" w:name="_Toc324848214"/>
      <w:r w:rsidRPr="00DB784F">
        <w:rPr>
          <w:color w:val="auto"/>
        </w:rPr>
        <w:lastRenderedPageBreak/>
        <w:t xml:space="preserve">2. 3. </w:t>
      </w:r>
      <w:r w:rsidR="00E16AF5">
        <w:rPr>
          <w:color w:val="auto"/>
        </w:rPr>
        <w:t>2</w:t>
      </w:r>
      <w:r w:rsidRPr="00DB784F">
        <w:rPr>
          <w:color w:val="auto"/>
        </w:rPr>
        <w:t xml:space="preserve"> Obezita, kouření, deprese</w:t>
      </w:r>
      <w:bookmarkEnd w:id="12"/>
    </w:p>
    <w:p w:rsidR="00DB784F" w:rsidRDefault="00DB784F" w:rsidP="00A1273E">
      <w:pPr>
        <w:autoSpaceDE w:val="0"/>
        <w:autoSpaceDN w:val="0"/>
        <w:adjustRightInd w:val="0"/>
        <w:ind w:left="0" w:firstLine="284"/>
        <w:jc w:val="both"/>
      </w:pPr>
    </w:p>
    <w:p w:rsidR="00F8790D" w:rsidRDefault="00900CD4" w:rsidP="00A1273E">
      <w:pPr>
        <w:autoSpaceDE w:val="0"/>
        <w:autoSpaceDN w:val="0"/>
        <w:adjustRightInd w:val="0"/>
        <w:ind w:left="0" w:firstLine="284"/>
        <w:jc w:val="both"/>
        <w:rPr>
          <w:rFonts w:eastAsia="Times New Roman"/>
          <w:lang w:eastAsia="cs-CZ"/>
        </w:rPr>
      </w:pPr>
      <w:r>
        <w:t>Kouření a obezita jsou v dnešní době jednou z hlavních příčin špatného zdravotního stavu populace, který se zvyšuje po celém světě a spolu patří mezi nejčastější příčiny smrti. Tabák přispívá k miliónům úmrtí ročně a je jedním z nejdůležitějších příčin kardiovaskulárních chorob a respiračních onemocnění</w:t>
      </w:r>
      <w:r w:rsidR="00F8790D">
        <w:t xml:space="preserve">, v Evropě </w:t>
      </w:r>
      <w:r w:rsidR="008B30BB">
        <w:t xml:space="preserve">je </w:t>
      </w:r>
      <w:r w:rsidR="00F8790D">
        <w:t>ta</w:t>
      </w:r>
      <w:r w:rsidR="008B30BB">
        <w:t xml:space="preserve">bákový průmysl přímo odpovědný </w:t>
      </w:r>
      <w:r w:rsidR="00F8790D">
        <w:t xml:space="preserve">za 1,6 miliónů úmrtí ročně. </w:t>
      </w:r>
      <w:r w:rsidR="00F8790D">
        <w:rPr>
          <w:rFonts w:eastAsia="Times New Roman"/>
          <w:lang w:eastAsia="cs-CZ"/>
        </w:rPr>
        <w:t>Ohroženi nejsou pouze kuřáci ale i jejich okolí, může například poškodit plod těhotné ženy.</w:t>
      </w:r>
      <w:r w:rsidR="00324205">
        <w:rPr>
          <w:rFonts w:eastAsia="Times New Roman"/>
          <w:lang w:eastAsia="cs-CZ"/>
        </w:rPr>
        <w:t xml:space="preserve"> </w:t>
      </w:r>
      <w:r w:rsidR="00F8790D">
        <w:rPr>
          <w:rFonts w:eastAsia="Times New Roman"/>
          <w:lang w:eastAsia="cs-CZ"/>
        </w:rPr>
        <w:t>Ekonomické zatížení tabáku je jak pro je</w:t>
      </w:r>
      <w:r w:rsidR="008B30BB">
        <w:rPr>
          <w:rFonts w:eastAsia="Times New Roman"/>
          <w:lang w:eastAsia="cs-CZ"/>
        </w:rPr>
        <w:t>dnotlivce, tak i pro společnost</w:t>
      </w:r>
      <w:r w:rsidR="00034E7C">
        <w:rPr>
          <w:rFonts w:eastAsia="Times New Roman"/>
          <w:lang w:eastAsia="cs-CZ"/>
        </w:rPr>
        <w:t xml:space="preserve"> alarmující.</w:t>
      </w:r>
      <w:r w:rsidR="00F8790D">
        <w:rPr>
          <w:rFonts w:eastAsia="Times New Roman"/>
          <w:lang w:eastAsia="cs-CZ"/>
        </w:rPr>
        <w:t xml:space="preserve"> Pro </w:t>
      </w:r>
      <w:r w:rsidR="008022E1">
        <w:rPr>
          <w:rFonts w:eastAsia="Times New Roman"/>
          <w:lang w:eastAsia="cs-CZ"/>
        </w:rPr>
        <w:t>čtyřicetiletého</w:t>
      </w:r>
      <w:r w:rsidR="00F8790D">
        <w:rPr>
          <w:rFonts w:eastAsia="Times New Roman"/>
          <w:lang w:eastAsia="cs-CZ"/>
        </w:rPr>
        <w:t xml:space="preserve"> kuřáka jsou celoživotní náklady na kouření asi 56 000 Kč (</w:t>
      </w:r>
      <w:r w:rsidR="00F8790D" w:rsidRPr="0041784B">
        <w:rPr>
          <w:rFonts w:eastAsia="Times New Roman"/>
          <w:lang w:eastAsia="cs-CZ"/>
        </w:rPr>
        <w:t>Akbartabartoor</w:t>
      </w:r>
      <w:r w:rsidR="00F8790D">
        <w:rPr>
          <w:rFonts w:eastAsia="Times New Roman"/>
          <w:lang w:eastAsia="cs-CZ"/>
        </w:rPr>
        <w:t xml:space="preserve">i, </w:t>
      </w:r>
      <w:r w:rsidR="00F8790D" w:rsidRPr="0041784B">
        <w:rPr>
          <w:rFonts w:eastAsia="Times New Roman"/>
          <w:lang w:eastAsia="cs-CZ"/>
        </w:rPr>
        <w:t>Lean</w:t>
      </w:r>
      <w:r w:rsidR="00F8790D">
        <w:rPr>
          <w:rFonts w:eastAsia="Times New Roman"/>
          <w:lang w:eastAsia="cs-CZ"/>
        </w:rPr>
        <w:t>, &amp; Hankey, 2005; WHO,</w:t>
      </w:r>
      <w:r w:rsidR="00324205">
        <w:rPr>
          <w:rFonts w:eastAsia="Times New Roman"/>
          <w:lang w:eastAsia="cs-CZ"/>
        </w:rPr>
        <w:t xml:space="preserve"> 2012</w:t>
      </w:r>
      <w:r w:rsidR="00E63E9E">
        <w:rPr>
          <w:rFonts w:eastAsia="Times New Roman"/>
          <w:lang w:eastAsia="cs-CZ"/>
        </w:rPr>
        <w:t>b</w:t>
      </w:r>
      <w:r w:rsidR="00F8790D">
        <w:rPr>
          <w:rFonts w:eastAsia="Times New Roman"/>
          <w:lang w:eastAsia="cs-CZ"/>
        </w:rPr>
        <w:t>).</w:t>
      </w:r>
    </w:p>
    <w:p w:rsidR="006A1B02" w:rsidRDefault="006A1B02" w:rsidP="00A1273E">
      <w:pPr>
        <w:ind w:left="0" w:firstLine="284"/>
        <w:jc w:val="both"/>
      </w:pPr>
      <w:r>
        <w:t>Mnoho lid</w:t>
      </w:r>
      <w:r w:rsidR="00034E7C">
        <w:t>í z dnešní populace si je vědomo</w:t>
      </w:r>
      <w:r>
        <w:t xml:space="preserve"> zdravotního rizika kouření. Kromě návykových vlastností nikotinu, je jedno z množných vysvětlení, proč pokračují v kouření, víra, že jim nikotin pomůže regulovat tělesnou váhu </w:t>
      </w:r>
      <w:r>
        <w:rPr>
          <w:rFonts w:eastAsia="Times New Roman"/>
          <w:lang w:eastAsia="cs-CZ"/>
        </w:rPr>
        <w:t>(</w:t>
      </w:r>
      <w:r w:rsidRPr="0041784B">
        <w:rPr>
          <w:rFonts w:eastAsia="Times New Roman"/>
          <w:lang w:eastAsia="cs-CZ"/>
        </w:rPr>
        <w:t>Akbartabartoor</w:t>
      </w:r>
      <w:r>
        <w:rPr>
          <w:rFonts w:eastAsia="Times New Roman"/>
          <w:lang w:eastAsia="cs-CZ"/>
        </w:rPr>
        <w:t xml:space="preserve">i, </w:t>
      </w:r>
      <w:r w:rsidRPr="0041784B">
        <w:rPr>
          <w:rFonts w:eastAsia="Times New Roman"/>
          <w:lang w:eastAsia="cs-CZ"/>
        </w:rPr>
        <w:t>Lean</w:t>
      </w:r>
      <w:r>
        <w:rPr>
          <w:rFonts w:eastAsia="Times New Roman"/>
          <w:lang w:eastAsia="cs-CZ"/>
        </w:rPr>
        <w:t>, &amp; Hankey, 2005)</w:t>
      </w:r>
      <w:r>
        <w:t xml:space="preserve">. </w:t>
      </w:r>
    </w:p>
    <w:p w:rsidR="006A1B02" w:rsidRDefault="006A1B02" w:rsidP="00A1273E">
      <w:pPr>
        <w:ind w:left="0" w:firstLine="284"/>
        <w:jc w:val="both"/>
      </w:pPr>
      <w:r>
        <w:t>Mnoho studií potvrzuje, že kuřáci jsou obvykle štíhlejší než nekuřáci stejného věku a pohlaví. Vztah mezi kouřením a obezitou je složitý. Studie ukazují, že kuřáci mají vyšší obvod pasu než nekuřáci, ale nižší BMI a snížené množství tělesného tuku. Pokud je zvýšené BMI</w:t>
      </w:r>
      <w:r w:rsidR="005A3E2C">
        <w:t>,</w:t>
      </w:r>
      <w:r>
        <w:t xml:space="preserve"> jsou možnou příčinou negativní faktory životního stylu, včetně zvýšené ko</w:t>
      </w:r>
      <w:r w:rsidR="009B3CED">
        <w:t>nzumace alkoholu a</w:t>
      </w:r>
      <w:r>
        <w:t xml:space="preserve"> nedostatku pohybové aktivity</w:t>
      </w:r>
      <w:r w:rsidR="00CE60A3">
        <w:t>. U starších obyvatel je pak kouření spojeno</w:t>
      </w:r>
      <w:r w:rsidR="005A3E2C">
        <w:t xml:space="preserve"> se zvýšeným rizikem sarcopenie </w:t>
      </w:r>
      <w:r>
        <w:t>(</w:t>
      </w:r>
      <w:r w:rsidRPr="0041784B">
        <w:rPr>
          <w:rFonts w:eastAsia="Times New Roman"/>
          <w:lang w:eastAsia="cs-CZ"/>
        </w:rPr>
        <w:t>Akbartabartoor</w:t>
      </w:r>
      <w:r>
        <w:rPr>
          <w:rFonts w:eastAsia="Times New Roman"/>
          <w:lang w:eastAsia="cs-CZ"/>
        </w:rPr>
        <w:t xml:space="preserve">i, </w:t>
      </w:r>
      <w:r w:rsidRPr="0041784B">
        <w:rPr>
          <w:rFonts w:eastAsia="Times New Roman"/>
          <w:lang w:eastAsia="cs-CZ"/>
        </w:rPr>
        <w:t>Lean</w:t>
      </w:r>
      <w:r w:rsidR="005A3E2C">
        <w:rPr>
          <w:rFonts w:eastAsia="Times New Roman"/>
          <w:lang w:eastAsia="cs-CZ"/>
        </w:rPr>
        <w:t>, &amp; </w:t>
      </w:r>
      <w:r>
        <w:rPr>
          <w:rFonts w:eastAsia="Times New Roman"/>
          <w:lang w:eastAsia="cs-CZ"/>
        </w:rPr>
        <w:t xml:space="preserve">Hankey, 2005; </w:t>
      </w:r>
      <w:r w:rsidRPr="00C10FA3">
        <w:t>Kleppinger et al.</w:t>
      </w:r>
      <w:r>
        <w:t>, 2010).</w:t>
      </w:r>
    </w:p>
    <w:p w:rsidR="00AA2046" w:rsidRDefault="009B3CED" w:rsidP="00A1273E">
      <w:pPr>
        <w:ind w:left="0" w:firstLine="284"/>
        <w:jc w:val="both"/>
      </w:pPr>
      <w:r>
        <w:t xml:space="preserve">Je prokázáno, že obvyklý energetický příjem kuřáků je vyšší než u nekuřáků, ale vyšší je i energetický výdej, u </w:t>
      </w:r>
      <w:r w:rsidRPr="00307C2A">
        <w:t>silných kuřáků stoupá</w:t>
      </w:r>
      <w:r>
        <w:t xml:space="preserve"> díky nikotinu energetický výdej až o 10 % a zvyšuje se i bazální metabolismus. Tento účinek je dán vlivem nikotinu na aktivitu sympatikus nervového systému a zvýšením termogeneze v tukových tkáních. </w:t>
      </w:r>
      <w:r w:rsidR="00AA2046">
        <w:t xml:space="preserve">Kuřáci mají vyšší hladinu leptinu, který reguluje příjem potravy a ukládání tuků, a nižší hladinu neuropeptidu Y, který upravuje chuť k jídlu. </w:t>
      </w:r>
    </w:p>
    <w:p w:rsidR="00CE60A3" w:rsidRDefault="007E383F" w:rsidP="00A1273E">
      <w:pPr>
        <w:ind w:left="0" w:firstLine="284"/>
        <w:jc w:val="both"/>
      </w:pPr>
      <w:r w:rsidRPr="00307C2A">
        <w:t>Při zanechání kouření musí tedy silný kuřák (kuřačka) přizpůsobit svůj jídelníček sníženému energetickému výdeji.</w:t>
      </w:r>
      <w:r>
        <w:t xml:space="preserve"> </w:t>
      </w:r>
      <w:r w:rsidR="00545D17">
        <w:t xml:space="preserve">Zvýšení tělesné hmotnosti po zanechání kouření je kromě zvýšeného </w:t>
      </w:r>
      <w:r w:rsidR="003160F5">
        <w:t>energetickému příjmu</w:t>
      </w:r>
      <w:r w:rsidR="00545D17">
        <w:t xml:space="preserve"> dáno několika změnami</w:t>
      </w:r>
      <w:r w:rsidR="003A5601">
        <w:t>,</w:t>
      </w:r>
      <w:r w:rsidR="00545D17">
        <w:t xml:space="preserve"> jako je zvýšená konzumace alkoholu, snížení rychlosti metabolismu, změny v metabolismu tukových buněk, zvýšení činnosti lipoproteinu lipázy, které </w:t>
      </w:r>
      <w:r w:rsidR="00AA2046">
        <w:t xml:space="preserve">odvádí tuk z tukové tkáně do pracujících svalů. </w:t>
      </w:r>
    </w:p>
    <w:p w:rsidR="00CE60A3" w:rsidRDefault="003160F5" w:rsidP="00A1273E">
      <w:pPr>
        <w:autoSpaceDE w:val="0"/>
        <w:autoSpaceDN w:val="0"/>
        <w:adjustRightInd w:val="0"/>
        <w:ind w:left="0" w:firstLine="284"/>
        <w:jc w:val="both"/>
      </w:pPr>
      <w:r>
        <w:lastRenderedPageBreak/>
        <w:t>Kouření je také rizikovým faktorem pro vznik d</w:t>
      </w:r>
      <w:r w:rsidR="00CE60A3">
        <w:t>iabetes 2. typu. Způsobuje zvýše</w:t>
      </w:r>
      <w:r>
        <w:t>nou hladinu glukózy v krvi, poruchu citlivosti inzulínových receptorů, zvýšení viscerálního tuku, volných radikálů, oxidační stres a také má toxické účinky nikotinu na slinivku břišní</w:t>
      </w:r>
      <w:r w:rsidR="00CE60A3">
        <w:t xml:space="preserve"> (</w:t>
      </w:r>
      <w:r w:rsidR="00CE60A3" w:rsidRPr="0041784B">
        <w:rPr>
          <w:rFonts w:eastAsia="Times New Roman"/>
          <w:lang w:eastAsia="cs-CZ"/>
        </w:rPr>
        <w:t>Akbartabartoor</w:t>
      </w:r>
      <w:r w:rsidR="00CE60A3">
        <w:rPr>
          <w:rFonts w:eastAsia="Times New Roman"/>
          <w:lang w:eastAsia="cs-CZ"/>
        </w:rPr>
        <w:t xml:space="preserve">i, </w:t>
      </w:r>
      <w:r w:rsidR="00CE60A3" w:rsidRPr="0041784B">
        <w:rPr>
          <w:rFonts w:eastAsia="Times New Roman"/>
          <w:lang w:eastAsia="cs-CZ"/>
        </w:rPr>
        <w:t>Lean</w:t>
      </w:r>
      <w:r w:rsidR="00CE60A3">
        <w:rPr>
          <w:rFonts w:eastAsia="Times New Roman"/>
          <w:lang w:eastAsia="cs-CZ"/>
        </w:rPr>
        <w:t xml:space="preserve">, &amp; Hankey, 2005; </w:t>
      </w:r>
      <w:r w:rsidR="00B816B0" w:rsidRPr="009C1F28">
        <w:t>Stavropoulos-Kalinoglou</w:t>
      </w:r>
      <w:r w:rsidR="00B816B0">
        <w:t xml:space="preserve"> et al., 2008; </w:t>
      </w:r>
      <w:r w:rsidR="00CE60A3">
        <w:rPr>
          <w:rFonts w:eastAsia="Times New Roman"/>
          <w:lang w:eastAsia="cs-CZ"/>
        </w:rPr>
        <w:t>Svačina, 2002)</w:t>
      </w:r>
      <w:r w:rsidR="00CE60A3">
        <w:t>.</w:t>
      </w:r>
    </w:p>
    <w:p w:rsidR="00EE6BE2" w:rsidRDefault="00EE6BE2" w:rsidP="00A1273E">
      <w:pPr>
        <w:autoSpaceDE w:val="0"/>
        <w:autoSpaceDN w:val="0"/>
        <w:adjustRightInd w:val="0"/>
        <w:ind w:left="0" w:firstLine="284"/>
        <w:jc w:val="both"/>
      </w:pPr>
      <w:r>
        <w:t xml:space="preserve">S obezitou je spojován častý výskyt deprese. Dle Matoulka, Svačiny a Lajky (2010) byl zvýšený výskyt depresí u jedinců s obezitou, ale také s nižší hmotností. Což poukazuje i na dva základní poznatky, při depresi buď lidé hubnou a velmi omezují energetický příjem, nebo se přejídají. </w:t>
      </w:r>
    </w:p>
    <w:p w:rsidR="006A1B02" w:rsidRDefault="006A1B02" w:rsidP="00A1273E">
      <w:pPr>
        <w:ind w:left="0" w:firstLine="284"/>
        <w:jc w:val="both"/>
      </w:pPr>
      <w:r>
        <w:t xml:space="preserve">Vztah nikotinové závislosti </w:t>
      </w:r>
      <w:r w:rsidRPr="00307C2A">
        <w:t xml:space="preserve">a deprese je dvojí. Nikotin může vyvolat poruchu nálad, a tím je vznik deprese primární. Při závislosti je </w:t>
      </w:r>
      <w:r>
        <w:t xml:space="preserve">pak </w:t>
      </w:r>
      <w:r w:rsidRPr="00307C2A">
        <w:t>deprese projevem abstinence</w:t>
      </w:r>
      <w:r>
        <w:t xml:space="preserve">, </w:t>
      </w:r>
      <w:r w:rsidR="003A5601">
        <w:t xml:space="preserve">což je příklad </w:t>
      </w:r>
      <w:r>
        <w:t>deprese sekundární</w:t>
      </w:r>
      <w:r w:rsidRPr="00307C2A">
        <w:t>. Vliv genetiky na tabakism</w:t>
      </w:r>
      <w:r>
        <w:t>us a depresi je asi kolem 50 % (Svačina, 2002).</w:t>
      </w:r>
      <w:r w:rsidRPr="006A1B02">
        <w:t xml:space="preserve"> </w:t>
      </w:r>
    </w:p>
    <w:p w:rsidR="008022E1" w:rsidRDefault="008022E1" w:rsidP="00A1273E">
      <w:pPr>
        <w:ind w:left="0" w:firstLine="284"/>
        <w:jc w:val="both"/>
      </w:pPr>
    </w:p>
    <w:p w:rsidR="00BC5AF0" w:rsidRPr="00DB784F" w:rsidRDefault="00BC5AF0" w:rsidP="00BC5AF0">
      <w:pPr>
        <w:pStyle w:val="Nadpis3"/>
        <w:ind w:left="0" w:firstLine="0"/>
        <w:rPr>
          <w:color w:val="auto"/>
        </w:rPr>
      </w:pPr>
      <w:bookmarkStart w:id="13" w:name="_Toc324848215"/>
      <w:r>
        <w:rPr>
          <w:color w:val="auto"/>
        </w:rPr>
        <w:t xml:space="preserve">2. 3. </w:t>
      </w:r>
      <w:r w:rsidR="00E16AF5">
        <w:rPr>
          <w:color w:val="auto"/>
        </w:rPr>
        <w:t>3</w:t>
      </w:r>
      <w:r w:rsidRPr="00DB784F">
        <w:rPr>
          <w:color w:val="auto"/>
        </w:rPr>
        <w:t xml:space="preserve"> Obezita</w:t>
      </w:r>
      <w:r>
        <w:rPr>
          <w:color w:val="auto"/>
        </w:rPr>
        <w:t xml:space="preserve"> a psychofarmaka</w:t>
      </w:r>
      <w:bookmarkEnd w:id="13"/>
    </w:p>
    <w:p w:rsidR="00BC5AF0" w:rsidRDefault="00BC5AF0" w:rsidP="00A1273E">
      <w:pPr>
        <w:ind w:left="0" w:firstLine="284"/>
        <w:jc w:val="both"/>
        <w:rPr>
          <w:b/>
        </w:rPr>
      </w:pPr>
    </w:p>
    <w:p w:rsidR="00151FD1" w:rsidRDefault="00D245F4" w:rsidP="00A1273E">
      <w:pPr>
        <w:ind w:left="0" w:firstLine="284"/>
        <w:jc w:val="both"/>
      </w:pPr>
      <w:r w:rsidRPr="00307C2A">
        <w:rPr>
          <w:rStyle w:val="longtext"/>
        </w:rPr>
        <w:t>Lid</w:t>
      </w:r>
      <w:r>
        <w:rPr>
          <w:rStyle w:val="longtext"/>
        </w:rPr>
        <w:t xml:space="preserve">é s těžkým duševním onemocněním, </w:t>
      </w:r>
      <w:r w:rsidRPr="00307C2A">
        <w:rPr>
          <w:rStyle w:val="longtext"/>
        </w:rPr>
        <w:t>jako jsou schizofrenie,</w:t>
      </w:r>
      <w:r>
        <w:rPr>
          <w:rStyle w:val="longtext"/>
        </w:rPr>
        <w:t xml:space="preserve"> deprese nebo bipolární porucha</w:t>
      </w:r>
      <w:r w:rsidRPr="00307C2A">
        <w:rPr>
          <w:rStyle w:val="longtext"/>
        </w:rPr>
        <w:t>, mají horší tělesné zdraví a nižší délku života ve srovnání s běžnou populací. Důkazy ukazují, že mají 2</w:t>
      </w:r>
      <w:r w:rsidR="008022E1">
        <w:t>–</w:t>
      </w:r>
      <w:r w:rsidRPr="00307C2A">
        <w:rPr>
          <w:rStyle w:val="longtext"/>
        </w:rPr>
        <w:t>3 krát vyšší úmrtnost.  Pro schizofrenii je typický nezdravý životní styl, včetně špatné výživy a sedavý způsob života. Toto</w:t>
      </w:r>
      <w:r w:rsidR="00033B26">
        <w:rPr>
          <w:rStyle w:val="longtext"/>
        </w:rPr>
        <w:t xml:space="preserve"> a </w:t>
      </w:r>
      <w:r w:rsidR="003265D4">
        <w:rPr>
          <w:rStyle w:val="longtext"/>
        </w:rPr>
        <w:t xml:space="preserve">antipsychotika přispívají k </w:t>
      </w:r>
      <w:r w:rsidRPr="00307C2A">
        <w:rPr>
          <w:rStyle w:val="longtext"/>
        </w:rPr>
        <w:t xml:space="preserve">přibývání na váze a další metabolickým </w:t>
      </w:r>
      <w:r w:rsidRPr="00D245F4">
        <w:rPr>
          <w:rStyle w:val="longtext"/>
        </w:rPr>
        <w:t>poruchám</w:t>
      </w:r>
      <w:r>
        <w:rPr>
          <w:rStyle w:val="longtext"/>
        </w:rPr>
        <w:t xml:space="preserve">. </w:t>
      </w:r>
      <w:r w:rsidR="00151FD1" w:rsidRPr="00307C2A">
        <w:t xml:space="preserve">S podáváním psychofarmak </w:t>
      </w:r>
      <w:r>
        <w:t xml:space="preserve">tedy </w:t>
      </w:r>
      <w:r w:rsidR="00151FD1" w:rsidRPr="00307C2A">
        <w:t xml:space="preserve">není spojena jen obezita, ale i další složky metabolického syndromu. Psychofarmaka </w:t>
      </w:r>
      <w:r w:rsidR="008022E1">
        <w:t xml:space="preserve">tak </w:t>
      </w:r>
      <w:r w:rsidR="00151FD1" w:rsidRPr="00307C2A">
        <w:t>akcelerují proces, který by v po</w:t>
      </w:r>
      <w:r>
        <w:t xml:space="preserve">zdějším věku stejně nastal </w:t>
      </w:r>
      <w:r w:rsidRPr="00D245F4">
        <w:rPr>
          <w:rStyle w:val="longtext"/>
        </w:rPr>
        <w:t>(</w:t>
      </w:r>
      <w:r w:rsidRPr="00D245F4">
        <w:rPr>
          <w:rFonts w:eastAsia="Calibri"/>
          <w:color w:val="000000"/>
        </w:rPr>
        <w:t>Hert, et al., 2009</w:t>
      </w:r>
      <w:r w:rsidRPr="00D245F4">
        <w:rPr>
          <w:rFonts w:eastAsia="Calibri"/>
        </w:rPr>
        <w:t>)</w:t>
      </w:r>
      <w:r w:rsidRPr="00D245F4">
        <w:rPr>
          <w:rFonts w:eastAsia="Calibri"/>
          <w:color w:val="000000"/>
        </w:rPr>
        <w:t>.</w:t>
      </w:r>
    </w:p>
    <w:p w:rsidR="00151FD1" w:rsidRPr="00307C2A" w:rsidRDefault="00526AB4" w:rsidP="00A1273E">
      <w:pPr>
        <w:ind w:left="0" w:firstLine="284"/>
        <w:jc w:val="both"/>
      </w:pPr>
      <w:r>
        <w:t xml:space="preserve">Svačina (2002) </w:t>
      </w:r>
      <w:r w:rsidR="00A7303A">
        <w:t>se zabývá vlivem psychofarmak na tělesnou hmotnost. P</w:t>
      </w:r>
      <w:r w:rsidR="00151FD1" w:rsidRPr="00307C2A">
        <w:t>očátkem 50.</w:t>
      </w:r>
      <w:r w:rsidR="00033B26">
        <w:t> </w:t>
      </w:r>
      <w:r w:rsidR="00151FD1" w:rsidRPr="00307C2A">
        <w:t>let byl objeven e</w:t>
      </w:r>
      <w:r>
        <w:t>fekt chlorpromazinu a reserpinu</w:t>
      </w:r>
      <w:r w:rsidR="00151FD1" w:rsidRPr="00307C2A">
        <w:t xml:space="preserve"> na psychická o</w:t>
      </w:r>
      <w:r w:rsidR="003879BD">
        <w:t>nemocnění. Léčba byla úspěšná a </w:t>
      </w:r>
      <w:r w:rsidR="00151FD1" w:rsidRPr="00307C2A">
        <w:t xml:space="preserve">snížil se </w:t>
      </w:r>
      <w:r>
        <w:t xml:space="preserve">tak </w:t>
      </w:r>
      <w:r w:rsidR="00151FD1" w:rsidRPr="00307C2A">
        <w:t>počet pacientů.  Zásadní změ</w:t>
      </w:r>
      <w:r w:rsidR="00033B26">
        <w:t>nu v léčbě vyvolal příchod tzv. </w:t>
      </w:r>
      <w:r w:rsidR="00151FD1" w:rsidRPr="00307C2A">
        <w:t>atypických neuroleptik (klozapin, olanzapin, amilsulprid), které začaly o</w:t>
      </w:r>
      <w:r w:rsidR="003879BD">
        <w:t>vlivňovat nejen pozitivní ale i </w:t>
      </w:r>
      <w:r w:rsidR="00151FD1" w:rsidRPr="00307C2A">
        <w:t>negativní příznaky schizofrenie, což vedlo k možnosti aktivního zařazení schizofrenik</w:t>
      </w:r>
      <w:r>
        <w:t>ů zpět do života. Významný vedle</w:t>
      </w:r>
      <w:r w:rsidR="00151FD1" w:rsidRPr="00307C2A">
        <w:t>jším efektem je zvyšování tělesné hmotnosti, vznik diabetu, hyperprolakt</w:t>
      </w:r>
      <w:r w:rsidR="003879BD">
        <w:t>inémie, kardiotoxicita. U nás jsou tato atypická neuroleptika užívána</w:t>
      </w:r>
      <w:r w:rsidR="00151FD1" w:rsidRPr="00307C2A">
        <w:t xml:space="preserve"> asi jen 11 % pacientů. </w:t>
      </w:r>
    </w:p>
    <w:p w:rsidR="00033B26" w:rsidRDefault="00033B26" w:rsidP="00A1273E">
      <w:pPr>
        <w:ind w:left="0" w:firstLine="284"/>
        <w:jc w:val="both"/>
      </w:pPr>
    </w:p>
    <w:p w:rsidR="00151FD1" w:rsidRPr="00307C2A" w:rsidRDefault="00420FA1" w:rsidP="00A1273E">
      <w:pPr>
        <w:ind w:left="0" w:firstLine="284"/>
        <w:jc w:val="both"/>
      </w:pPr>
      <w:r>
        <w:lastRenderedPageBreak/>
        <w:t>Dnes dělíme psychofarmatika na</w:t>
      </w:r>
      <w:r w:rsidR="00151FD1" w:rsidRPr="00307C2A">
        <w:t>:</w:t>
      </w:r>
    </w:p>
    <w:p w:rsidR="00151FD1" w:rsidRPr="00307C2A" w:rsidRDefault="00151FD1" w:rsidP="001865D9">
      <w:pPr>
        <w:pStyle w:val="Odstavecseseznamem"/>
        <w:numPr>
          <w:ilvl w:val="0"/>
          <w:numId w:val="2"/>
        </w:numPr>
        <w:jc w:val="both"/>
      </w:pPr>
      <w:r w:rsidRPr="00307C2A">
        <w:t>neuroleptika – o</w:t>
      </w:r>
      <w:r w:rsidR="00C34763">
        <w:t>v</w:t>
      </w:r>
      <w:r w:rsidRPr="00307C2A">
        <w:t>livnění hlavně schizofrenie (poruchy myšlení a psychické integrace)</w:t>
      </w:r>
      <w:r w:rsidR="00420FA1">
        <w:t>;</w:t>
      </w:r>
    </w:p>
    <w:p w:rsidR="00151FD1" w:rsidRPr="00307C2A" w:rsidRDefault="00151FD1" w:rsidP="001865D9">
      <w:pPr>
        <w:pStyle w:val="Odstavecseseznamem"/>
        <w:numPr>
          <w:ilvl w:val="0"/>
          <w:numId w:val="2"/>
        </w:numPr>
        <w:jc w:val="both"/>
      </w:pPr>
      <w:r w:rsidRPr="00307C2A">
        <w:t>antidepresiva – odstraňují deprese</w:t>
      </w:r>
      <w:r w:rsidR="00420FA1">
        <w:t>;</w:t>
      </w:r>
    </w:p>
    <w:p w:rsidR="00151FD1" w:rsidRPr="00307C2A" w:rsidRDefault="00151FD1" w:rsidP="001865D9">
      <w:pPr>
        <w:pStyle w:val="Odstavecseseznamem"/>
        <w:numPr>
          <w:ilvl w:val="0"/>
          <w:numId w:val="2"/>
        </w:numPr>
        <w:jc w:val="both"/>
      </w:pPr>
      <w:r w:rsidRPr="00307C2A">
        <w:t>antimanika – stabilizátory nálady, tlumí manické chování</w:t>
      </w:r>
      <w:r w:rsidR="00420FA1">
        <w:t>;</w:t>
      </w:r>
    </w:p>
    <w:p w:rsidR="00151FD1" w:rsidRPr="00307C2A" w:rsidRDefault="00151FD1" w:rsidP="001865D9">
      <w:pPr>
        <w:pStyle w:val="Odstavecseseznamem"/>
        <w:numPr>
          <w:ilvl w:val="0"/>
          <w:numId w:val="2"/>
        </w:numPr>
        <w:jc w:val="both"/>
      </w:pPr>
      <w:r w:rsidRPr="00307C2A">
        <w:t>anxiolytika – odstranění úzkosti</w:t>
      </w:r>
      <w:r w:rsidR="00420FA1">
        <w:t>;</w:t>
      </w:r>
    </w:p>
    <w:p w:rsidR="00151FD1" w:rsidRPr="00307C2A" w:rsidRDefault="00151FD1" w:rsidP="001865D9">
      <w:pPr>
        <w:pStyle w:val="Odstavecseseznamem"/>
        <w:numPr>
          <w:ilvl w:val="0"/>
          <w:numId w:val="2"/>
        </w:numPr>
        <w:jc w:val="both"/>
      </w:pPr>
      <w:r w:rsidRPr="00307C2A">
        <w:t>psychostimulacia – zvýšení bdělosti</w:t>
      </w:r>
      <w:r w:rsidR="00420FA1">
        <w:t>;</w:t>
      </w:r>
    </w:p>
    <w:p w:rsidR="00151FD1" w:rsidRPr="00307C2A" w:rsidRDefault="00151FD1" w:rsidP="001865D9">
      <w:pPr>
        <w:pStyle w:val="Odstavecseseznamem"/>
        <w:numPr>
          <w:ilvl w:val="0"/>
          <w:numId w:val="2"/>
        </w:numPr>
        <w:jc w:val="both"/>
      </w:pPr>
      <w:r w:rsidRPr="00307C2A">
        <w:t>kognitiva – zvýšení pozornosti</w:t>
      </w:r>
      <w:r w:rsidR="00420FA1">
        <w:t>;</w:t>
      </w:r>
    </w:p>
    <w:p w:rsidR="00151FD1" w:rsidRPr="00307C2A" w:rsidRDefault="00151FD1" w:rsidP="001865D9">
      <w:pPr>
        <w:pStyle w:val="Odstavecseseznamem"/>
        <w:numPr>
          <w:ilvl w:val="0"/>
          <w:numId w:val="2"/>
        </w:numPr>
        <w:jc w:val="both"/>
      </w:pPr>
      <w:r w:rsidRPr="00307C2A">
        <w:t>nootropní látky – zlepšují metabolismus mozku</w:t>
      </w:r>
      <w:r w:rsidR="00420FA1">
        <w:t>;</w:t>
      </w:r>
    </w:p>
    <w:p w:rsidR="00151FD1" w:rsidRPr="00307C2A" w:rsidRDefault="00151FD1" w:rsidP="001865D9">
      <w:pPr>
        <w:pStyle w:val="Odstavecseseznamem"/>
        <w:numPr>
          <w:ilvl w:val="0"/>
          <w:numId w:val="2"/>
        </w:numPr>
        <w:jc w:val="both"/>
      </w:pPr>
      <w:r w:rsidRPr="00307C2A">
        <w:t>psychodysleptika – indikují psychózy</w:t>
      </w:r>
      <w:r w:rsidR="00420FA1">
        <w:t>;</w:t>
      </w:r>
    </w:p>
    <w:p w:rsidR="00151FD1" w:rsidRPr="00307C2A" w:rsidRDefault="00151FD1" w:rsidP="001865D9">
      <w:pPr>
        <w:pStyle w:val="Odstavecseseznamem"/>
        <w:numPr>
          <w:ilvl w:val="0"/>
          <w:numId w:val="2"/>
        </w:numPr>
        <w:jc w:val="both"/>
      </w:pPr>
      <w:r w:rsidRPr="00307C2A">
        <w:t>příbuzné látky – antiepileptika, anorektika</w:t>
      </w:r>
      <w:r w:rsidR="00420FA1">
        <w:t>.</w:t>
      </w:r>
    </w:p>
    <w:p w:rsidR="00151FD1" w:rsidRPr="00307C2A" w:rsidRDefault="00151FD1" w:rsidP="00A1273E">
      <w:pPr>
        <w:ind w:left="0" w:firstLine="284"/>
        <w:jc w:val="both"/>
      </w:pPr>
    </w:p>
    <w:p w:rsidR="00151FD1" w:rsidRPr="00307C2A" w:rsidRDefault="007F4C80" w:rsidP="00A1273E">
      <w:pPr>
        <w:ind w:left="0" w:firstLine="284"/>
        <w:jc w:val="both"/>
      </w:pPr>
      <w:r>
        <w:t>Dle Svačiny (2002) h</w:t>
      </w:r>
      <w:r w:rsidR="00C34763">
        <w:t xml:space="preserve">motnost a vznik diabetu ovlivňují hlavně </w:t>
      </w:r>
      <w:r w:rsidR="00151FD1" w:rsidRPr="00307C2A">
        <w:t xml:space="preserve">antipsychotika, antidepresiva, antimanika, antiepileeptika. </w:t>
      </w:r>
      <w:r w:rsidR="00C34763">
        <w:t>Mezi atypická neuroleptika pak řadíme s</w:t>
      </w:r>
      <w:r w:rsidR="00151FD1" w:rsidRPr="00307C2A">
        <w:t>elektivní</w:t>
      </w:r>
      <w:r w:rsidR="00B67660">
        <w:t xml:space="preserve"> </w:t>
      </w:r>
      <w:r w:rsidR="00151FD1" w:rsidRPr="00307C2A">
        <w:t>D2/D3 antagoisty</w:t>
      </w:r>
      <w:r w:rsidR="00C34763">
        <w:t xml:space="preserve"> (</w:t>
      </w:r>
      <w:r w:rsidR="00151FD1" w:rsidRPr="00307C2A">
        <w:t>benzamidy, tiaprid, sulfid, amisulprid</w:t>
      </w:r>
      <w:r w:rsidR="00C34763">
        <w:t>), a</w:t>
      </w:r>
      <w:r w:rsidR="001865D9">
        <w:t>ntagonisty</w:t>
      </w:r>
      <w:r w:rsidR="00151FD1" w:rsidRPr="00307C2A">
        <w:t xml:space="preserve"> serotonino</w:t>
      </w:r>
      <w:r w:rsidR="00C34763">
        <w:t>vých a dopaminových receptorů (</w:t>
      </w:r>
      <w:r w:rsidR="00151FD1" w:rsidRPr="00307C2A">
        <w:t>risperidon, ziprasidon</w:t>
      </w:r>
      <w:r w:rsidR="00C34763">
        <w:t>,</w:t>
      </w:r>
      <w:r w:rsidR="00151FD1" w:rsidRPr="00307C2A">
        <w:t xml:space="preserve"> sertindol</w:t>
      </w:r>
      <w:r w:rsidR="00C34763">
        <w:t xml:space="preserve"> </w:t>
      </w:r>
      <w:r w:rsidR="00C34763" w:rsidRPr="00307C2A">
        <w:t xml:space="preserve">– </w:t>
      </w:r>
      <w:r w:rsidR="00151FD1" w:rsidRPr="00307C2A">
        <w:t>může způsobovat srdeční arytmii)</w:t>
      </w:r>
      <w:r w:rsidR="00B67660">
        <w:t xml:space="preserve"> a </w:t>
      </w:r>
      <w:r w:rsidR="00C34763">
        <w:t>multireceptorové a</w:t>
      </w:r>
      <w:r w:rsidR="002C593E">
        <w:t>g</w:t>
      </w:r>
      <w:r w:rsidR="00C34763">
        <w:t>onisty (</w:t>
      </w:r>
      <w:r w:rsidR="00151FD1" w:rsidRPr="00307C2A">
        <w:t>klozapin, olanzapin, quetiapin, zotepin</w:t>
      </w:r>
      <w:r w:rsidR="00C34763">
        <w:t xml:space="preserve">). </w:t>
      </w:r>
    </w:p>
    <w:p w:rsidR="00151FD1" w:rsidRPr="00307C2A" w:rsidRDefault="00151FD1" w:rsidP="00A1273E">
      <w:pPr>
        <w:ind w:left="0" w:firstLine="284"/>
        <w:jc w:val="both"/>
        <w:rPr>
          <w:color w:val="FF0000"/>
        </w:rPr>
      </w:pPr>
      <w:r w:rsidRPr="00307C2A">
        <w:t>Vzestup hmotnosti je při léčbě individuální, i po atypických neuroleptikách se může stát, že pacient hubne (až u 20</w:t>
      </w:r>
      <w:r w:rsidR="006E5CB9" w:rsidRPr="00307C2A">
        <w:t>–</w:t>
      </w:r>
      <w:r w:rsidRPr="00307C2A">
        <w:t xml:space="preserve">25 %). </w:t>
      </w:r>
      <w:r w:rsidR="006E5CB9">
        <w:t>Přírů</w:t>
      </w:r>
      <w:r w:rsidR="002C593E" w:rsidRPr="00307C2A">
        <w:t>stek hmotnosti je dán především ovlivněn</w:t>
      </w:r>
      <w:r w:rsidR="002C593E">
        <w:t>ím histaminových receptorů H1 a </w:t>
      </w:r>
      <w:r w:rsidR="002C593E" w:rsidRPr="00307C2A">
        <w:t>serotoninových receptorů S2c. Hmotnost tedy zvyšují hlavně mult</w:t>
      </w:r>
      <w:r w:rsidR="00D245F4">
        <w:t xml:space="preserve">ireceptorový agonisté. </w:t>
      </w:r>
      <w:r w:rsidRPr="00307C2A">
        <w:t>Většinou je potvrzen váhový vzestup po klozapinu. Větší vzestup hmotnosti je u pacient</w:t>
      </w:r>
      <w:r w:rsidR="00601CE9">
        <w:t>ů původně hubených, primárně obé</w:t>
      </w:r>
      <w:r w:rsidRPr="00307C2A">
        <w:t>zní buď na hmotnosti nepřibírá, nebo jen velmi málo. Typický je taky velký vzestup během prvního týdne, poté</w:t>
      </w:r>
      <w:r w:rsidR="001241D6">
        <w:t xml:space="preserve"> proces zvyšování hmotnosti</w:t>
      </w:r>
      <w:r w:rsidRPr="00307C2A">
        <w:t xml:space="preserve"> probíhá pomaleji. Nej</w:t>
      </w:r>
      <w:r w:rsidR="00601CE9">
        <w:t>častěji</w:t>
      </w:r>
      <w:r w:rsidRPr="00307C2A">
        <w:t xml:space="preserve"> se po lécích</w:t>
      </w:r>
      <w:r w:rsidR="001241D6">
        <w:t xml:space="preserve"> přibírá</w:t>
      </w:r>
      <w:r w:rsidR="00B67660">
        <w:t xml:space="preserve"> 5–</w:t>
      </w:r>
      <w:r w:rsidRPr="00307C2A">
        <w:t xml:space="preserve">10 kg.  </w:t>
      </w:r>
      <w:r w:rsidR="00B67660">
        <w:rPr>
          <w:rStyle w:val="longtext"/>
        </w:rPr>
        <w:t>Klozapin</w:t>
      </w:r>
      <w:r w:rsidR="00646D3F">
        <w:rPr>
          <w:rStyle w:val="longtext"/>
        </w:rPr>
        <w:t xml:space="preserve"> vede</w:t>
      </w:r>
      <w:r w:rsidR="00601CE9">
        <w:rPr>
          <w:rStyle w:val="longtext"/>
        </w:rPr>
        <w:t xml:space="preserve"> k vzestupu </w:t>
      </w:r>
      <w:r w:rsidR="002D4E72">
        <w:rPr>
          <w:rStyle w:val="longtext"/>
        </w:rPr>
        <w:t>průměrné hmotnosti o </w:t>
      </w:r>
      <w:r w:rsidR="00B67660">
        <w:rPr>
          <w:rStyle w:val="longtext"/>
        </w:rPr>
        <w:t>4,45 kg, olanzapin o 4.15 </w:t>
      </w:r>
      <w:r w:rsidRPr="00307C2A">
        <w:rPr>
          <w:rStyle w:val="longtext"/>
        </w:rPr>
        <w:t>kg</w:t>
      </w:r>
      <w:r w:rsidR="00601CE9">
        <w:rPr>
          <w:rStyle w:val="longtext"/>
        </w:rPr>
        <w:t>, zatímco quetiapin a </w:t>
      </w:r>
      <w:r w:rsidRPr="00540C15">
        <w:rPr>
          <w:rStyle w:val="longtext"/>
        </w:rPr>
        <w:t>risperidon</w:t>
      </w:r>
      <w:r w:rsidR="00601CE9">
        <w:rPr>
          <w:rStyle w:val="longtext"/>
        </w:rPr>
        <w:t xml:space="preserve"> o 2,1 kg </w:t>
      </w:r>
      <w:r w:rsidRPr="00540C15">
        <w:rPr>
          <w:rStyle w:val="longtext"/>
        </w:rPr>
        <w:t>a aripiprazol, ziprasidon</w:t>
      </w:r>
      <w:r w:rsidR="00601CE9">
        <w:rPr>
          <w:rStyle w:val="longtext"/>
        </w:rPr>
        <w:t>,</w:t>
      </w:r>
      <w:r w:rsidRPr="00540C15">
        <w:rPr>
          <w:rStyle w:val="longtext"/>
        </w:rPr>
        <w:t xml:space="preserve"> amisulpri</w:t>
      </w:r>
      <w:r w:rsidR="00601CE9">
        <w:rPr>
          <w:rStyle w:val="longtext"/>
        </w:rPr>
        <w:t xml:space="preserve">d mají malý vliv na hmotnost </w:t>
      </w:r>
      <w:r w:rsidRPr="00540C15">
        <w:rPr>
          <w:rStyle w:val="longtext"/>
        </w:rPr>
        <w:t>&lt;1</w:t>
      </w:r>
      <w:r w:rsidR="00601CE9">
        <w:rPr>
          <w:rStyle w:val="longtext"/>
        </w:rPr>
        <w:t xml:space="preserve"> kg (Allison</w:t>
      </w:r>
      <w:r w:rsidR="00D245F4">
        <w:rPr>
          <w:rStyle w:val="longtext"/>
        </w:rPr>
        <w:t>,</w:t>
      </w:r>
      <w:r w:rsidR="00601CE9">
        <w:rPr>
          <w:rStyle w:val="longtext"/>
        </w:rPr>
        <w:t xml:space="preserve"> et al., 1999; Hert</w:t>
      </w:r>
      <w:r w:rsidR="00D245F4">
        <w:rPr>
          <w:rStyle w:val="longtext"/>
        </w:rPr>
        <w:t>,</w:t>
      </w:r>
      <w:r w:rsidR="00601CE9">
        <w:rPr>
          <w:rStyle w:val="longtext"/>
        </w:rPr>
        <w:t xml:space="preserve"> et al., 2009)</w:t>
      </w:r>
      <w:r>
        <w:rPr>
          <w:rStyle w:val="longtext"/>
        </w:rPr>
        <w:t>.</w:t>
      </w:r>
      <w:r w:rsidR="00601CE9">
        <w:rPr>
          <w:rStyle w:val="longtext"/>
        </w:rPr>
        <w:t xml:space="preserve"> </w:t>
      </w:r>
      <w:r>
        <w:rPr>
          <w:rStyle w:val="longtext"/>
        </w:rPr>
        <w:t xml:space="preserve"> </w:t>
      </w:r>
      <w:r w:rsidRPr="00461470">
        <w:rPr>
          <w:color w:val="FF0000"/>
        </w:rPr>
        <w:t xml:space="preserve"> </w:t>
      </w:r>
    </w:p>
    <w:p w:rsidR="00151FD1" w:rsidRPr="00307C2A" w:rsidRDefault="00151FD1" w:rsidP="00A1273E">
      <w:pPr>
        <w:ind w:left="0" w:firstLine="284"/>
        <w:jc w:val="both"/>
      </w:pPr>
      <w:r w:rsidRPr="00D245F4">
        <w:t>Kučerová (2010) uvádí</w:t>
      </w:r>
      <w:r w:rsidRPr="00307C2A">
        <w:t xml:space="preserve">, že psychofarmaka sice léčbě schizofrenie pomáhají, ale nedokážou zcela zastavit schizofrenní proces ani dostatečně ovlivnit negativní příznaky schizofrenie.  </w:t>
      </w:r>
      <w:r w:rsidR="005E124F">
        <w:t>Po delším podávání (</w:t>
      </w:r>
      <w:r w:rsidR="005E124F" w:rsidRPr="00307C2A">
        <w:t>většinou v řádech let) neuroleptik (antipsychotik)</w:t>
      </w:r>
      <w:r w:rsidR="005E124F">
        <w:t xml:space="preserve"> </w:t>
      </w:r>
      <w:r w:rsidRPr="00307C2A">
        <w:t>je možný výskyt ta</w:t>
      </w:r>
      <w:r w:rsidR="005E124F">
        <w:t>rdivních dyskinéz</w:t>
      </w:r>
      <w:r w:rsidRPr="00307C2A">
        <w:t>. Jde o mimovolné opakované pohyby končetin, trupu, obličejových či jiných svalů, které pacienta zatěžují, vyčerpávají a mají</w:t>
      </w:r>
      <w:r w:rsidR="002D4E72">
        <w:t xml:space="preserve"> </w:t>
      </w:r>
      <w:r w:rsidR="002D4E72">
        <w:lastRenderedPageBreak/>
        <w:t>i </w:t>
      </w:r>
      <w:r w:rsidR="00D245F4">
        <w:t xml:space="preserve">negativní komunikační efekt. Patří zde </w:t>
      </w:r>
      <w:r w:rsidRPr="00307C2A">
        <w:t xml:space="preserve">klátivé pohyby trupem, bezúčelné pohyby rukama, kývavé pohyby hlavou, špulení úst, vyplazování jazyka, přivírání víček a jiné šklebivé grimasy v obličeji. Nejen že je </w:t>
      </w:r>
      <w:r w:rsidR="00D245F4">
        <w:t xml:space="preserve">nemocný </w:t>
      </w:r>
      <w:r w:rsidRPr="00307C2A">
        <w:t xml:space="preserve">špatně přijímán okolím, ale i léčba těchto dyskinéz je obtížná. </w:t>
      </w:r>
    </w:p>
    <w:p w:rsidR="00E24329" w:rsidRDefault="00956380" w:rsidP="008957BD">
      <w:pPr>
        <w:ind w:left="0" w:firstLine="284"/>
        <w:jc w:val="both"/>
      </w:pPr>
      <w:r>
        <w:t xml:space="preserve">Podle </w:t>
      </w:r>
      <w:r w:rsidRPr="00956380">
        <w:rPr>
          <w:rFonts w:eastAsia="Times New Roman"/>
          <w:lang w:eastAsia="cs-CZ"/>
        </w:rPr>
        <w:t xml:space="preserve">Wu, Wang, Bai, Huang a Lee </w:t>
      </w:r>
      <w:r w:rsidR="00AA67FE">
        <w:t xml:space="preserve">(2007) </w:t>
      </w:r>
      <w:r w:rsidR="00021B4D">
        <w:t xml:space="preserve">se </w:t>
      </w:r>
      <w:r w:rsidR="00151FD1" w:rsidRPr="00307C2A">
        <w:t xml:space="preserve">dá tělesná hmotnost hlídat a redukovat pomocí pohybové aktivity a hlídáním energetického příjmu. Pohybová aktivita pro pacienty se schizofrenií má být jednoduchá – stačí svižná chůze, která může být prováděna jednak samostatně, jedna za přispění jiné osoby s minimálními instrukcemi. Pro pacienty s těžkou duševní poruchou je často chůze jediná forma fyzické aktivity. </w:t>
      </w:r>
    </w:p>
    <w:p w:rsidR="00E24329" w:rsidRDefault="00E24329" w:rsidP="008957BD">
      <w:pPr>
        <w:ind w:left="0" w:firstLine="284"/>
        <w:jc w:val="both"/>
      </w:pPr>
    </w:p>
    <w:p w:rsidR="0044408F" w:rsidRPr="00AB0102" w:rsidRDefault="0044408F" w:rsidP="0044408F">
      <w:pPr>
        <w:pStyle w:val="Nadpis2"/>
        <w:rPr>
          <w:i w:val="0"/>
          <w:sz w:val="26"/>
          <w:szCs w:val="26"/>
        </w:rPr>
      </w:pPr>
      <w:bookmarkStart w:id="14" w:name="_Toc324848216"/>
      <w:r w:rsidRPr="00AB0102">
        <w:rPr>
          <w:rFonts w:ascii="Times New Roman" w:hAnsi="Times New Roman"/>
          <w:i w:val="0"/>
          <w:sz w:val="26"/>
          <w:szCs w:val="26"/>
        </w:rPr>
        <w:t xml:space="preserve">2. </w:t>
      </w:r>
      <w:r>
        <w:rPr>
          <w:i w:val="0"/>
          <w:sz w:val="26"/>
          <w:szCs w:val="26"/>
        </w:rPr>
        <w:t>4 Duševní poruchy</w:t>
      </w:r>
      <w:bookmarkEnd w:id="14"/>
    </w:p>
    <w:p w:rsidR="0044408F" w:rsidRDefault="0044408F" w:rsidP="00A1273E">
      <w:pPr>
        <w:ind w:left="0" w:firstLine="284"/>
        <w:jc w:val="both"/>
      </w:pPr>
    </w:p>
    <w:p w:rsidR="00E34AA5" w:rsidRDefault="00B35779" w:rsidP="00E34AA5">
      <w:pPr>
        <w:ind w:left="0" w:firstLine="284"/>
        <w:jc w:val="both"/>
      </w:pPr>
      <w:r>
        <w:t>Podle Smolíka (2002) je duševní porucha pojímána jako „</w:t>
      </w:r>
      <w:r w:rsidRPr="00F85EB8">
        <w:t>klinicky signifikantní psychický nebo behaviorální (zejména z oblasti chování</w:t>
      </w:r>
      <w:r w:rsidR="0044408F" w:rsidRPr="00F85EB8">
        <w:t>) syndrom či projev, který se u </w:t>
      </w:r>
      <w:r w:rsidRPr="00F85EB8">
        <w:t>jedince vyskytuje a je typicky spojen buď se subjektivně nepříjemnými příznaky (nepohodou), nebo zhoršením v jedné nebo více důležitých oblastech fungování.</w:t>
      </w:r>
      <w:r>
        <w:t xml:space="preserve">“ Nejde pouze o poruchu vztahů mezi jedincem a okolím, ale dochází k dysfunkci v oblasti behaviorální, psychické a biologické. </w:t>
      </w:r>
    </w:p>
    <w:p w:rsidR="00B35779" w:rsidRDefault="00B35779" w:rsidP="00E34AA5">
      <w:pPr>
        <w:ind w:left="0" w:firstLine="284"/>
        <w:jc w:val="both"/>
      </w:pPr>
      <w:r>
        <w:t xml:space="preserve">Organické duševní poruchy jsou takové, </w:t>
      </w:r>
      <w:r w:rsidR="008D6B59">
        <w:t xml:space="preserve">u kterých </w:t>
      </w:r>
      <w:r>
        <w:t>známe jejich původ</w:t>
      </w:r>
      <w:r w:rsidR="008D6B59">
        <w:t>.</w:t>
      </w:r>
      <w:r>
        <w:t xml:space="preserve"> </w:t>
      </w:r>
      <w:r w:rsidR="008D6B59">
        <w:t>M</w:t>
      </w:r>
      <w:r>
        <w:t>ohou být dány onemocněním, úrazem nebo jiným poškozením mozku, vedou k stálé nebo přechodné mozkové dysfunkci. Tato dysfunkce může být primární, pokud je poškozen přímo mozek, nebo sekundární, což je poškození vyplývající ze systémových poruch, které zasahují mozek jako jeden z mnoha orgánů nebo tělesných systémů. U funkčních poruch nejsou z</w:t>
      </w:r>
      <w:r w:rsidR="00B67660">
        <w:t>námé příčiny a původ onemocnění (Smolík, 2002).</w:t>
      </w:r>
      <w:r>
        <w:t xml:space="preserve">  </w:t>
      </w:r>
    </w:p>
    <w:p w:rsidR="00B35779" w:rsidRDefault="00B35779" w:rsidP="00A1273E">
      <w:pPr>
        <w:ind w:left="0" w:firstLine="284"/>
        <w:jc w:val="both"/>
      </w:pPr>
      <w:r>
        <w:t>Etapy rozvoje dušení nemoci bývají různé intenzity, a proto je nemůžeme vždy přesně postihnout. Období zdraví se vyznačuje charakteristickými strukturami osobnosti jedince, a to jak vrozenými (temperament), tak také získané vlivem prostředí. Ve vztahu k duševní poruše se označuje jako premorbidní osobnost, jejíž znalost je důležitá pro prognózu i léčení. Období premorbidních projevů j</w:t>
      </w:r>
      <w:r w:rsidR="0044408F">
        <w:t>e obdobím výskytu psychických i </w:t>
      </w:r>
      <w:r>
        <w:t xml:space="preserve">somatických obtíží, které mají nespecifický charakter – pocit únavy, narušený spánek. V prodromální stadium se již formují projevy rozvíjející se poruchy, které nabývají už charakteru chorobných příznaků - nespecifických. Toto stadium je ještě reverzibilní, zásahem lékaře se podaří proces zastavit nebo zvrátit. V subakutním stadiu se vyskytují </w:t>
      </w:r>
      <w:r>
        <w:lastRenderedPageBreak/>
        <w:t xml:space="preserve">už i příznaky specifické a je již možné diferencovat mezi základními kategoriemi duševních poruch. Období manifestace poruchy nám umožňuje přesně určit psychickou poruchu. V tomto období se neléčí jen syndromy, ale už i psychická porucha. V období doznívání příznaků, kdy projevy po dosažení vrcholu začínají ustupovat a opět se více projevují nespecifické příznaky, se opět začne projevovat premorbidní osobnost. Období rekonvalescence je charakteristické jednak nespecifickými příznaky, tak také příznaky způsobené biologickými terapiemi (poruchy paměti po elektrošokové léčbě), zlepšuje se sociabilita nemocných, komunikace a péče o vlastní osobu. Poslední fází je období obnoveného zdraví, kdy v optimálním případě dojde k úplnému odeznění specifických i nespecifických projevů, u některých psychických poruch to ale není možné a přetrvávají postprocesuální změny, ke kterým došlo narušením osobnosti postiženého psychickou poruchou (Dušek &amp; Večeřová – Procházková, 2010). </w:t>
      </w:r>
    </w:p>
    <w:p w:rsidR="00B35779" w:rsidRDefault="00B35779" w:rsidP="00A1273E">
      <w:pPr>
        <w:ind w:left="0" w:firstLine="284"/>
        <w:jc w:val="both"/>
      </w:pPr>
    </w:p>
    <w:p w:rsidR="001D44DA" w:rsidRPr="00DB784F" w:rsidRDefault="001D44DA" w:rsidP="001D44DA">
      <w:pPr>
        <w:pStyle w:val="Nadpis3"/>
        <w:ind w:left="0" w:firstLine="0"/>
        <w:rPr>
          <w:color w:val="auto"/>
        </w:rPr>
      </w:pPr>
      <w:bookmarkStart w:id="15" w:name="_Toc324848217"/>
      <w:r>
        <w:rPr>
          <w:color w:val="auto"/>
        </w:rPr>
        <w:t>2. 4</w:t>
      </w:r>
      <w:r w:rsidRPr="00DB784F">
        <w:rPr>
          <w:color w:val="auto"/>
        </w:rPr>
        <w:t xml:space="preserve">. 1 </w:t>
      </w:r>
      <w:r>
        <w:rPr>
          <w:color w:val="auto"/>
        </w:rPr>
        <w:t>Deprese</w:t>
      </w:r>
      <w:bookmarkEnd w:id="15"/>
    </w:p>
    <w:p w:rsidR="00B35779" w:rsidRDefault="00B35779" w:rsidP="00A1273E">
      <w:pPr>
        <w:ind w:left="0" w:firstLine="284"/>
        <w:jc w:val="both"/>
      </w:pPr>
    </w:p>
    <w:p w:rsidR="00B35779" w:rsidRDefault="00B35779" w:rsidP="00A1273E">
      <w:pPr>
        <w:tabs>
          <w:tab w:val="left" w:pos="284"/>
        </w:tabs>
        <w:autoSpaceDE w:val="0"/>
        <w:autoSpaceDN w:val="0"/>
        <w:adjustRightInd w:val="0"/>
        <w:ind w:left="0" w:firstLine="284"/>
        <w:jc w:val="both"/>
      </w:pPr>
      <w:r w:rsidRPr="00D42E1D">
        <w:t>Deprese je dle Kryla</w:t>
      </w:r>
      <w:r w:rsidRPr="00D42E1D">
        <w:rPr>
          <w:color w:val="FF0000"/>
        </w:rPr>
        <w:t xml:space="preserve"> </w:t>
      </w:r>
      <w:r w:rsidRPr="00D42E1D">
        <w:t>(2001) „</w:t>
      </w:r>
      <w:r w:rsidRPr="002372D0">
        <w:t>příkladem choroby, která významně postihuje psychickou, duchovní, tělesnou i sociální existenci člověka</w:t>
      </w:r>
      <w:r w:rsidRPr="00D42E1D">
        <w:t xml:space="preserve">.“ Definuje se jako patologicky skleslá, smutná nálada s neobvyklou délkou trvání, vysokou intenzitou smutku s pocity </w:t>
      </w:r>
      <w:r>
        <w:t>zbytečnosti a </w:t>
      </w:r>
      <w:r w:rsidRPr="00D42E1D">
        <w:t xml:space="preserve">marnosti. Časté jsou výčitky k vlastní osobě, </w:t>
      </w:r>
      <w:r w:rsidR="00E34AA5">
        <w:t>odmítání soc</w:t>
      </w:r>
      <w:r w:rsidR="00E34AA5" w:rsidRPr="00D42E1D">
        <w:t>iálního kontaktu</w:t>
      </w:r>
      <w:r w:rsidR="00E34AA5">
        <w:t>,</w:t>
      </w:r>
      <w:r w:rsidR="00E34AA5" w:rsidRPr="00D42E1D">
        <w:t xml:space="preserve"> </w:t>
      </w:r>
      <w:r w:rsidRPr="00D42E1D">
        <w:t xml:space="preserve">sebevražedné </w:t>
      </w:r>
      <w:r w:rsidR="00E34AA5">
        <w:t>myšlenky a pokusy</w:t>
      </w:r>
      <w:r w:rsidRPr="00D42E1D">
        <w:t xml:space="preserve">.  </w:t>
      </w:r>
    </w:p>
    <w:p w:rsidR="001D44DA" w:rsidRDefault="001D44DA" w:rsidP="00A1273E">
      <w:pPr>
        <w:tabs>
          <w:tab w:val="left" w:pos="284"/>
        </w:tabs>
        <w:autoSpaceDE w:val="0"/>
        <w:autoSpaceDN w:val="0"/>
        <w:adjustRightInd w:val="0"/>
        <w:ind w:left="0" w:firstLine="284"/>
        <w:jc w:val="both"/>
      </w:pPr>
    </w:p>
    <w:p w:rsidR="001D44DA" w:rsidRPr="001D44DA" w:rsidRDefault="001D44DA" w:rsidP="001D44DA">
      <w:pPr>
        <w:tabs>
          <w:tab w:val="left" w:pos="284"/>
        </w:tabs>
        <w:autoSpaceDE w:val="0"/>
        <w:autoSpaceDN w:val="0"/>
        <w:adjustRightInd w:val="0"/>
        <w:ind w:left="0" w:firstLine="0"/>
        <w:jc w:val="both"/>
        <w:rPr>
          <w:b/>
        </w:rPr>
      </w:pPr>
      <w:r w:rsidRPr="001D44DA">
        <w:rPr>
          <w:b/>
        </w:rPr>
        <w:t>Deprese a tělesná hmotnost</w:t>
      </w:r>
    </w:p>
    <w:p w:rsidR="00B35779" w:rsidRDefault="00B35779" w:rsidP="00A1273E">
      <w:pPr>
        <w:ind w:left="0" w:firstLine="284"/>
        <w:jc w:val="both"/>
        <w:rPr>
          <w:b/>
          <w:bCs/>
        </w:rPr>
      </w:pPr>
      <w:r w:rsidRPr="00D42E1D">
        <w:rPr>
          <w:color w:val="2F2E2E"/>
        </w:rPr>
        <w:t xml:space="preserve">Deprese </w:t>
      </w:r>
      <w:r w:rsidRPr="00D42E1D">
        <w:rPr>
          <w:rStyle w:val="longtext"/>
        </w:rPr>
        <w:t xml:space="preserve">je nemoc se sociálními, psychologickými a biologickými následky. </w:t>
      </w:r>
      <w:r>
        <w:rPr>
          <w:rStyle w:val="longtext"/>
        </w:rPr>
        <w:t xml:space="preserve">Často jsou psychické symptomy opomíjeny a projevují se somatizací. Takovými projevy může být pocit pálení kůže, mravenčení, tlaky až bolesti na hrudní stěně, bolesti hlavy, břicha, tíha v nohách, závratě aj. </w:t>
      </w:r>
      <w:r w:rsidRPr="00D42E1D">
        <w:t xml:space="preserve">Deprese nebo depresivní příznaky jsou spojené s nárůstem váhy, </w:t>
      </w:r>
      <w:r>
        <w:t>a tím i </w:t>
      </w:r>
      <w:r w:rsidRPr="00D42E1D">
        <w:t>metabolickým syndromem, pro který se často jako</w:t>
      </w:r>
      <w:r w:rsidRPr="00307C2A">
        <w:t xml:space="preserve"> ukazatel používá obvod pasu</w:t>
      </w:r>
      <w:r>
        <w:t>, který ukazuje rozložení tuku. Důležitější než rozložení tuku je jeho druh</w:t>
      </w:r>
      <w:r w:rsidRPr="00307C2A">
        <w:t>. Viscerální tuk je metabolicky aktivněj</w:t>
      </w:r>
      <w:r>
        <w:t>ší než tuk podkožní, a tím je i </w:t>
      </w:r>
      <w:r w:rsidRPr="00307C2A">
        <w:t xml:space="preserve">lepším ukazatelem rizika kardiovaskulárních chorob. </w:t>
      </w:r>
      <w:r>
        <w:t>Vyšší hodnoty v</w:t>
      </w:r>
      <w:r w:rsidRPr="00307C2A">
        <w:t>iscerální</w:t>
      </w:r>
      <w:r>
        <w:t>ho</w:t>
      </w:r>
      <w:r w:rsidRPr="00307C2A">
        <w:t xml:space="preserve"> tuk</w:t>
      </w:r>
      <w:r>
        <w:t>u</w:t>
      </w:r>
      <w:r w:rsidRPr="00307C2A">
        <w:t xml:space="preserve"> (DPH) j</w:t>
      </w:r>
      <w:r>
        <w:t>sou také spojeny</w:t>
      </w:r>
      <w:r w:rsidRPr="00307C2A">
        <w:t xml:space="preserve"> se snížením citlivosti receptorů na inzulín. </w:t>
      </w:r>
      <w:r>
        <w:t>U d</w:t>
      </w:r>
      <w:r w:rsidRPr="00307C2A">
        <w:t>epresivní</w:t>
      </w:r>
      <w:r w:rsidR="00CF567F">
        <w:t>ch</w:t>
      </w:r>
      <w:r w:rsidRPr="00307C2A">
        <w:t xml:space="preserve"> žen</w:t>
      </w:r>
      <w:r>
        <w:t xml:space="preserve"> byla zjištěna vyšší hodnota viscerálního tuku.</w:t>
      </w:r>
      <w:r w:rsidRPr="00307C2A">
        <w:t xml:space="preserve"> DPH 106 cm</w:t>
      </w:r>
      <w:r w:rsidRPr="00307C2A">
        <w:rPr>
          <w:vertAlign w:val="superscript"/>
        </w:rPr>
        <w:t>2</w:t>
      </w:r>
      <w:r w:rsidR="0013484E">
        <w:t xml:space="preserve"> a vyšší je</w:t>
      </w:r>
      <w:r w:rsidRPr="00307C2A">
        <w:t xml:space="preserve"> </w:t>
      </w:r>
      <w:r w:rsidR="0013484E">
        <w:t>s</w:t>
      </w:r>
      <w:r w:rsidRPr="00307C2A">
        <w:t>pojeno s nepříznivým lipidovým profilem (nízký HDL cholesterol a vysoký LDL),</w:t>
      </w:r>
      <w:r>
        <w:t xml:space="preserve"> poruchou glukózové </w:t>
      </w:r>
      <w:r>
        <w:lastRenderedPageBreak/>
        <w:t xml:space="preserve">tolerance </w:t>
      </w:r>
      <w:r w:rsidRPr="001F1E01">
        <w:t>a</w:t>
      </w:r>
      <w:r>
        <w:t> </w:t>
      </w:r>
      <w:r w:rsidRPr="001F1E01">
        <w:t>hyperinzulinémie</w:t>
      </w:r>
      <w:r w:rsidRPr="00307C2A">
        <w:t xml:space="preserve">. </w:t>
      </w:r>
      <w:r>
        <w:rPr>
          <w:rStyle w:val="longtext"/>
        </w:rPr>
        <w:t>Vztah mezi depresí a diabetem je složitý</w:t>
      </w:r>
      <w:r w:rsidRPr="00D47C6C">
        <w:rPr>
          <w:rStyle w:val="longtext"/>
        </w:rPr>
        <w:t xml:space="preserve"> a</w:t>
      </w:r>
      <w:r w:rsidR="006E6E76">
        <w:rPr>
          <w:rStyle w:val="longtext"/>
        </w:rPr>
        <w:t> </w:t>
      </w:r>
      <w:r w:rsidRPr="00D47C6C">
        <w:rPr>
          <w:rStyle w:val="longtext"/>
        </w:rPr>
        <w:t>existují důkazy o tom, že j</w:t>
      </w:r>
      <w:r>
        <w:rPr>
          <w:rStyle w:val="longtext"/>
        </w:rPr>
        <w:t>d</w:t>
      </w:r>
      <w:r w:rsidRPr="00D47C6C">
        <w:rPr>
          <w:rStyle w:val="longtext"/>
        </w:rPr>
        <w:t xml:space="preserve">e </w:t>
      </w:r>
      <w:r>
        <w:rPr>
          <w:rStyle w:val="longtext"/>
        </w:rPr>
        <w:t xml:space="preserve">o vztah </w:t>
      </w:r>
      <w:r w:rsidRPr="00D47C6C">
        <w:rPr>
          <w:rStyle w:val="longtext"/>
        </w:rPr>
        <w:t>obousměrn</w:t>
      </w:r>
      <w:r>
        <w:rPr>
          <w:rStyle w:val="longtext"/>
        </w:rPr>
        <w:t xml:space="preserve">ý. </w:t>
      </w:r>
      <w:r w:rsidRPr="00D47C6C">
        <w:rPr>
          <w:rStyle w:val="longtext"/>
        </w:rPr>
        <w:t>Lidé s diabetem mají stanoven</w:t>
      </w:r>
      <w:r>
        <w:rPr>
          <w:rStyle w:val="longtext"/>
        </w:rPr>
        <w:t>ý</w:t>
      </w:r>
      <w:r w:rsidR="002B7513">
        <w:rPr>
          <w:rStyle w:val="longtext"/>
        </w:rPr>
        <w:t xml:space="preserve"> vyšší výskyt depresí než v </w:t>
      </w:r>
      <w:r w:rsidRPr="00D47C6C">
        <w:rPr>
          <w:rStyle w:val="longtext"/>
        </w:rPr>
        <w:t xml:space="preserve">běžné populaci, zatímco deprese </w:t>
      </w:r>
      <w:r>
        <w:rPr>
          <w:rStyle w:val="longtext"/>
        </w:rPr>
        <w:t>je</w:t>
      </w:r>
      <w:r w:rsidRPr="00D47C6C">
        <w:rPr>
          <w:rStyle w:val="longtext"/>
        </w:rPr>
        <w:t xml:space="preserve"> rizikový</w:t>
      </w:r>
      <w:r>
        <w:rPr>
          <w:rStyle w:val="longtext"/>
        </w:rPr>
        <w:t>m</w:t>
      </w:r>
      <w:r w:rsidRPr="00D47C6C">
        <w:rPr>
          <w:rStyle w:val="longtext"/>
        </w:rPr>
        <w:t xml:space="preserve"> faktor</w:t>
      </w:r>
      <w:r>
        <w:rPr>
          <w:rStyle w:val="longtext"/>
        </w:rPr>
        <w:t>em</w:t>
      </w:r>
      <w:r w:rsidRPr="00D47C6C">
        <w:rPr>
          <w:rStyle w:val="longtext"/>
        </w:rPr>
        <w:t xml:space="preserve"> pro diabetiky</w:t>
      </w:r>
      <w:r>
        <w:rPr>
          <w:rStyle w:val="longtext"/>
        </w:rPr>
        <w:t>.</w:t>
      </w:r>
    </w:p>
    <w:p w:rsidR="00B35779" w:rsidRDefault="00B35779" w:rsidP="00A1273E">
      <w:pPr>
        <w:ind w:left="0" w:firstLine="284"/>
        <w:jc w:val="both"/>
      </w:pPr>
      <w:r w:rsidRPr="00307C2A">
        <w:t xml:space="preserve">Deprese je spojena s činností hypotalamu, hypofýzy a nadledvin, v tomto systému se změna projeví </w:t>
      </w:r>
      <w:r w:rsidR="00E34AA5">
        <w:t>nadměrnou sekrecí kortizolu. V</w:t>
      </w:r>
      <w:r w:rsidRPr="00307C2A">
        <w:t xml:space="preserve">e viscerálním tuku </w:t>
      </w:r>
      <w:r w:rsidR="00E34AA5">
        <w:t>je</w:t>
      </w:r>
      <w:r w:rsidRPr="00307C2A">
        <w:t xml:space="preserve"> více receptorů pro kortizol, p</w:t>
      </w:r>
      <w:r w:rsidR="00E34AA5">
        <w:t xml:space="preserve">roto se jeho nadměrná sekrece projeví </w:t>
      </w:r>
      <w:r w:rsidRPr="00307C2A">
        <w:t>zvýšením DPH, kter</w:t>
      </w:r>
      <w:r w:rsidR="00E34AA5">
        <w:t>ý</w:t>
      </w:r>
      <w:r w:rsidR="006E6E76">
        <w:t xml:space="preserve"> je až dvojnásobně vyšší než u </w:t>
      </w:r>
      <w:r w:rsidRPr="00307C2A">
        <w:t xml:space="preserve">zdravých žen. Tuková tkáň </w:t>
      </w:r>
      <w:r w:rsidR="00E34AA5">
        <w:t xml:space="preserve">obsahuje řadu zánětlivých markerů </w:t>
      </w:r>
      <w:r w:rsidRPr="00307C2A">
        <w:t>a je spojena se zvýšenou možností tvorby zánětu.</w:t>
      </w:r>
      <w:r w:rsidR="00E34AA5">
        <w:t xml:space="preserve"> </w:t>
      </w:r>
      <w:r>
        <w:t>Deprese je nemoc, která je léčite</w:t>
      </w:r>
      <w:r w:rsidR="00E34AA5">
        <w:t>lná pomocí antidepresiv, často ale její</w:t>
      </w:r>
      <w:r>
        <w:t xml:space="preserve"> léčba bývá opomíjena</w:t>
      </w:r>
      <w:r w:rsidR="00E34AA5">
        <w:t xml:space="preserve"> (Kryl, </w:t>
      </w:r>
      <w:r w:rsidR="00E34AA5" w:rsidRPr="00D42E1D">
        <w:t>2001</w:t>
      </w:r>
      <w:r w:rsidR="00E34AA5">
        <w:t>)</w:t>
      </w:r>
      <w:r>
        <w:t xml:space="preserve">.  </w:t>
      </w:r>
    </w:p>
    <w:p w:rsidR="00E34AA5" w:rsidRDefault="00E34AA5" w:rsidP="00A1273E">
      <w:pPr>
        <w:ind w:left="0" w:firstLine="284"/>
        <w:jc w:val="both"/>
      </w:pPr>
    </w:p>
    <w:p w:rsidR="006E6E76" w:rsidRPr="00285DC1" w:rsidRDefault="006E6E76" w:rsidP="00285DC1">
      <w:pPr>
        <w:pStyle w:val="Nadpis3"/>
        <w:ind w:left="0" w:firstLine="0"/>
        <w:rPr>
          <w:color w:val="auto"/>
        </w:rPr>
      </w:pPr>
      <w:bookmarkStart w:id="16" w:name="_Toc324848218"/>
      <w:r w:rsidRPr="00285DC1">
        <w:rPr>
          <w:rFonts w:ascii="Times New Roman" w:hAnsi="Times New Roman"/>
          <w:color w:val="auto"/>
        </w:rPr>
        <w:t xml:space="preserve">2. </w:t>
      </w:r>
      <w:r w:rsidR="00285DC1">
        <w:rPr>
          <w:color w:val="auto"/>
        </w:rPr>
        <w:t xml:space="preserve">4.2 </w:t>
      </w:r>
      <w:r w:rsidRPr="00285DC1">
        <w:rPr>
          <w:color w:val="auto"/>
        </w:rPr>
        <w:t>Schizofrenie</w:t>
      </w:r>
      <w:bookmarkEnd w:id="16"/>
      <w:r w:rsidRPr="00285DC1">
        <w:rPr>
          <w:color w:val="auto"/>
        </w:rPr>
        <w:t xml:space="preserve"> </w:t>
      </w:r>
    </w:p>
    <w:p w:rsidR="006E6E76" w:rsidRDefault="006E6E76" w:rsidP="006E6E76">
      <w:pPr>
        <w:ind w:left="0" w:firstLine="284"/>
        <w:jc w:val="both"/>
      </w:pPr>
    </w:p>
    <w:p w:rsidR="00B35779" w:rsidRPr="00307C2A" w:rsidRDefault="006E6E76" w:rsidP="00A1273E">
      <w:pPr>
        <w:ind w:left="0" w:firstLine="284"/>
        <w:jc w:val="both"/>
      </w:pPr>
      <w:r w:rsidRPr="00307C2A">
        <w:t xml:space="preserve"> </w:t>
      </w:r>
      <w:r w:rsidR="00B35779" w:rsidRPr="00307C2A">
        <w:t>„</w:t>
      </w:r>
      <w:r w:rsidR="00B35779" w:rsidRPr="002372D0">
        <w:t>Schizofrenie je závažná duševní porucha, která se projevuje chronickým narušením myšlení a vnímání, poruchou emotivity a osobnostní integrity</w:t>
      </w:r>
      <w:r w:rsidR="00B35779" w:rsidRPr="00307C2A">
        <w:t xml:space="preserve">“ </w:t>
      </w:r>
      <w:r w:rsidR="00C13655">
        <w:t>(Vágnerová 2008, s. </w:t>
      </w:r>
      <w:r w:rsidR="00B35779" w:rsidRPr="00DC2377">
        <w:t>333)</w:t>
      </w:r>
      <w:r w:rsidR="00B35779">
        <w:t>.</w:t>
      </w:r>
    </w:p>
    <w:p w:rsidR="00B35779" w:rsidRDefault="00B35779" w:rsidP="00A1273E">
      <w:pPr>
        <w:ind w:left="0" w:firstLine="284"/>
        <w:jc w:val="both"/>
      </w:pPr>
    </w:p>
    <w:p w:rsidR="00B35779" w:rsidRDefault="00B35779" w:rsidP="00A1273E">
      <w:pPr>
        <w:ind w:left="0" w:firstLine="284"/>
        <w:jc w:val="both"/>
      </w:pPr>
      <w:r>
        <w:t>Termín schizofrenie zavedl švýcarský psychiatr Eugen Bleuler v roce 1911, pochází ze slov schidzein a fren, což v překladu znamená r</w:t>
      </w:r>
      <w:r w:rsidR="00524F6A">
        <w:t>ozštěp mysli. (Dušek &amp; Večeřová</w:t>
      </w:r>
      <w:r>
        <w:t xml:space="preserve">–Procházková, 2010). </w:t>
      </w:r>
      <w:r w:rsidRPr="00307C2A">
        <w:t>Kučerová</w:t>
      </w:r>
      <w:r>
        <w:t xml:space="preserve"> (2010)</w:t>
      </w:r>
      <w:r w:rsidRPr="00307C2A">
        <w:t xml:space="preserve"> </w:t>
      </w:r>
      <w:r>
        <w:t xml:space="preserve">ale </w:t>
      </w:r>
      <w:r w:rsidRPr="00307C2A">
        <w:t>hovoří o rozštěpu osobnosti</w:t>
      </w:r>
      <w:r>
        <w:t xml:space="preserve"> a </w:t>
      </w:r>
      <w:r w:rsidRPr="00307C2A">
        <w:t xml:space="preserve">dodává, že osobnost je pojem přesnější, jelikož zahrnuje všechny fyzické i psychické vlastnosti jedince. </w:t>
      </w:r>
      <w:r>
        <w:t>S</w:t>
      </w:r>
      <w:r w:rsidRPr="00307C2A">
        <w:t>chizofrenie je ne</w:t>
      </w:r>
      <w:r>
        <w:t>moc u každého zcela originální. I když je možný podobný průběh a </w:t>
      </w:r>
      <w:r w:rsidRPr="00307C2A">
        <w:t>zákonitosti</w:t>
      </w:r>
      <w:r>
        <w:t xml:space="preserve"> nemoci, díky </w:t>
      </w:r>
      <w:r w:rsidRPr="00307C2A">
        <w:t xml:space="preserve">rozmanitosti osobnosti je postižení schizofrenním procesem typické a neopakovatelné. Je zde vzájemná </w:t>
      </w:r>
      <w:r w:rsidR="00524F6A">
        <w:t>vazba mezi charakterem nemoci a </w:t>
      </w:r>
      <w:r w:rsidRPr="00307C2A">
        <w:t xml:space="preserve">osobností postiženého jedince, </w:t>
      </w:r>
      <w:r>
        <w:t>proto</w:t>
      </w:r>
      <w:r w:rsidRPr="00307C2A">
        <w:t xml:space="preserve"> je choroba rozmanitá a diagnostika i léčba </w:t>
      </w:r>
      <w:r>
        <w:t xml:space="preserve">jsou </w:t>
      </w:r>
      <w:r w:rsidRPr="00307C2A">
        <w:t>velmi obtížn</w:t>
      </w:r>
      <w:r>
        <w:t>é</w:t>
      </w:r>
      <w:r w:rsidRPr="00307C2A">
        <w:t>.</w:t>
      </w:r>
    </w:p>
    <w:p w:rsidR="007511D9" w:rsidRDefault="007511D9" w:rsidP="007511D9">
      <w:pPr>
        <w:ind w:left="0" w:firstLine="284"/>
        <w:jc w:val="both"/>
      </w:pPr>
      <w:r w:rsidRPr="007511D9">
        <w:t xml:space="preserve">Lähteenmäki </w:t>
      </w:r>
      <w:r>
        <w:t xml:space="preserve">et al. </w:t>
      </w:r>
      <w:r w:rsidRPr="007511D9">
        <w:t>(2009)</w:t>
      </w:r>
      <w:r>
        <w:t xml:space="preserve"> se zabývali vztahem mezi schizofrenií a obezitou. Schizofrenie je spojena s vyšším množstvím tělesného tuku, a tím rizikem vzniku obezity. Jedinci se schizofrenií mají tedy nepříznivé složení těla, vyšší procento tuku, malý podíl svalové hmoty a vyšší riziko</w:t>
      </w:r>
      <w:r w:rsidR="00637F49">
        <w:t xml:space="preserve"> abdominální obezity, což vede ke</w:t>
      </w:r>
      <w:r>
        <w:t xml:space="preserve"> zvýšenému riziku abdominálních a kardiovaskulárních chorob.</w:t>
      </w:r>
    </w:p>
    <w:p w:rsidR="00AF2362" w:rsidRDefault="00AF2362" w:rsidP="001F019B">
      <w:pPr>
        <w:autoSpaceDE w:val="0"/>
        <w:autoSpaceDN w:val="0"/>
        <w:adjustRightInd w:val="0"/>
        <w:ind w:left="0" w:firstLine="284"/>
        <w:jc w:val="both"/>
      </w:pPr>
      <w:r>
        <w:t xml:space="preserve">K vzniku obezity u schizofreniků přispívá také životní styl, negativní příznaky nemoci, sociálně-ekonomické podmínky a účinky antipsychotik. Obezita u lidí se schizofrenií je dvakrát vyšší než u zdravých jedinců, je spojena s nižším sebevědomím, </w:t>
      </w:r>
      <w:r>
        <w:lastRenderedPageBreak/>
        <w:t>horší psychosociální adaptací a snížením kvality života (</w:t>
      </w:r>
      <w:r w:rsidR="001F019B">
        <w:t>Sharpe, Byrne, Stedman, &amp; Hills, 2008).</w:t>
      </w:r>
    </w:p>
    <w:p w:rsidR="00B35779" w:rsidRDefault="00B35779" w:rsidP="001F019B">
      <w:pPr>
        <w:ind w:left="0" w:firstLine="284"/>
        <w:jc w:val="both"/>
      </w:pPr>
      <w:r w:rsidRPr="00307C2A">
        <w:t>Schiz</w:t>
      </w:r>
      <w:r>
        <w:t xml:space="preserve">ofrenie je </w:t>
      </w:r>
      <w:r w:rsidRPr="00307C2A">
        <w:t>nemoc</w:t>
      </w:r>
      <w:r>
        <w:t>í</w:t>
      </w:r>
      <w:r w:rsidRPr="00307C2A">
        <w:t xml:space="preserve"> v pohybu, p</w:t>
      </w:r>
      <w:r>
        <w:t xml:space="preserve">ostupující a měnící se v čase. </w:t>
      </w:r>
      <w:r w:rsidRPr="00307C2A">
        <w:t>Jednotlivé příznaky spolu souvisejí, vzájemně se ovlivňují a tvoří celek. Každá jednotlivost se musí posuzovat v kontextu s ostatními příznaky, teprve potom lze najít smyls choroby. (Kučerová, 2010).</w:t>
      </w:r>
    </w:p>
    <w:p w:rsidR="00B35779" w:rsidRDefault="00B35779" w:rsidP="00A1273E">
      <w:pPr>
        <w:ind w:left="0" w:firstLine="284"/>
        <w:jc w:val="both"/>
      </w:pPr>
      <w:r w:rsidRPr="00307C2A">
        <w:t>Příčina vzniku schizofrenie není dána jednozna</w:t>
      </w:r>
      <w:r w:rsidR="00C13655">
        <w:t>čně, lze předpokládat, že jde o </w:t>
      </w:r>
      <w:r w:rsidRPr="00307C2A">
        <w:t>komplex mnoha faktorů a jejich vzájemné interakce. Jedná se o soubor dědičných dispozic, vývojově podmíněných změn, specifických zkuše</w:t>
      </w:r>
      <w:r>
        <w:t>ností a vyvolávajících podnětů (Vagnerová, 2008).</w:t>
      </w:r>
    </w:p>
    <w:p w:rsidR="00524F6A" w:rsidRPr="00307C2A" w:rsidRDefault="00524F6A" w:rsidP="00A1273E">
      <w:pPr>
        <w:ind w:left="0" w:firstLine="284"/>
        <w:jc w:val="both"/>
      </w:pPr>
    </w:p>
    <w:p w:rsidR="00B35779" w:rsidRDefault="00B35779" w:rsidP="00A1273E">
      <w:pPr>
        <w:ind w:left="0" w:firstLine="284"/>
        <w:jc w:val="both"/>
      </w:pPr>
      <w:r>
        <w:t xml:space="preserve">Vágnerová (2008) uvádí několik vlivů způsobující schizofrenii. </w:t>
      </w:r>
    </w:p>
    <w:p w:rsidR="00524F6A" w:rsidRPr="00307C2A" w:rsidRDefault="00524F6A" w:rsidP="00A1273E">
      <w:pPr>
        <w:ind w:left="0" w:firstLine="284"/>
        <w:jc w:val="both"/>
      </w:pPr>
    </w:p>
    <w:p w:rsidR="00B35779" w:rsidRPr="00C13655" w:rsidRDefault="00B35779" w:rsidP="00C13655">
      <w:pPr>
        <w:ind w:left="0" w:firstLine="0"/>
        <w:jc w:val="both"/>
        <w:rPr>
          <w:b/>
        </w:rPr>
      </w:pPr>
      <w:r w:rsidRPr="00C13655">
        <w:rPr>
          <w:b/>
        </w:rPr>
        <w:t>Dědičnost</w:t>
      </w:r>
    </w:p>
    <w:p w:rsidR="00B35779" w:rsidRPr="00307C2A" w:rsidRDefault="00B35779" w:rsidP="00A1273E">
      <w:pPr>
        <w:ind w:left="0" w:firstLine="284"/>
        <w:jc w:val="both"/>
      </w:pPr>
      <w:r w:rsidRPr="00307C2A">
        <w:t xml:space="preserve">Podle výsledků zkoumání schizofrenie se potvrzuje, že ke </w:t>
      </w:r>
      <w:r>
        <w:t>vzniku této nemoci přispívají i </w:t>
      </w:r>
      <w:r w:rsidRPr="00307C2A">
        <w:t xml:space="preserve">genetické faktory, nelze ale říct, o jaký typ dědičnosti se jedná. Dispozici ke vzniku této choroby mohou vytvářet různé geny, </w:t>
      </w:r>
      <w:r>
        <w:t>ale</w:t>
      </w:r>
      <w:r w:rsidRPr="00307C2A">
        <w:t xml:space="preserve"> i větší počet genů. Zatím bylo identifikováno několik genů, jejichž narušením se může zv</w:t>
      </w:r>
      <w:r>
        <w:t>ýšit riziko vzniku schizofrenie. M</w:t>
      </w:r>
      <w:r w:rsidRPr="00307C2A">
        <w:t>íra vlivu</w:t>
      </w:r>
      <w:r>
        <w:t xml:space="preserve"> dosud</w:t>
      </w:r>
      <w:r w:rsidRPr="00307C2A">
        <w:t xml:space="preserve"> není známá, navíc se mohou jednotlivé geny ovlivňovat. </w:t>
      </w:r>
      <w:r>
        <w:t xml:space="preserve">Také Češková (2005) se zmiňuje o vztahu schizofrenie a dědičnosti. Při diagnostice schizofrenie u rodičů je riziko onemocnění pro jejich potomky až desetkrát vyšší. </w:t>
      </w:r>
    </w:p>
    <w:p w:rsidR="00B35779" w:rsidRDefault="00B35779" w:rsidP="00A1273E">
      <w:pPr>
        <w:ind w:left="0" w:firstLine="284"/>
        <w:jc w:val="both"/>
      </w:pPr>
    </w:p>
    <w:p w:rsidR="00B35779" w:rsidRPr="00C13655" w:rsidRDefault="00B35779" w:rsidP="00C13655">
      <w:pPr>
        <w:ind w:left="0" w:firstLine="0"/>
        <w:jc w:val="both"/>
        <w:rPr>
          <w:b/>
        </w:rPr>
      </w:pPr>
      <w:r w:rsidRPr="00C13655">
        <w:rPr>
          <w:b/>
        </w:rPr>
        <w:t>Změny ve struktuře a funkcích mozku</w:t>
      </w:r>
    </w:p>
    <w:p w:rsidR="00B35779" w:rsidRPr="00307C2A" w:rsidRDefault="00B35779" w:rsidP="00A1273E">
      <w:pPr>
        <w:ind w:left="0" w:firstLine="284"/>
        <w:jc w:val="both"/>
      </w:pPr>
      <w:r w:rsidRPr="00307C2A">
        <w:t>Odchylky genetické informace se mohou projevit změnou ve struktuře a funkci mozku, která vede ke vzniku psychických příznaků.  U nemocných byly zjištěny abnormality ve struktuře, mozek měl menší hmotnost, což bylo dáno především poklese</w:t>
      </w:r>
      <w:r>
        <w:t>m objemu kůry. Jde o </w:t>
      </w:r>
      <w:r w:rsidRPr="00307C2A">
        <w:t xml:space="preserve">úbytek především z prefrontální oblasti, která je přirovnávána k činnosti operačního systému. Narušení </w:t>
      </w:r>
      <w:r w:rsidR="00C13655">
        <w:t>tedy vede k poruše koordinace a </w:t>
      </w:r>
      <w:r w:rsidRPr="00307C2A">
        <w:t>integrovanosti různý</w:t>
      </w:r>
      <w:r>
        <w:t xml:space="preserve">ch funkcí. Typickým znakem je </w:t>
      </w:r>
      <w:r w:rsidRPr="00307C2A">
        <w:t>rozšíření mozkových komor. Zjištěné byly také ab</w:t>
      </w:r>
      <w:r>
        <w:t>normality ve frontálním a </w:t>
      </w:r>
      <w:r w:rsidRPr="00307C2A">
        <w:t>temporálním laloku, hipokamu, bazálních gangliích, limbickém systému a thalamu. By</w:t>
      </w:r>
      <w:r w:rsidR="00C13655">
        <w:t>ly zjištěny i biomechanické a </w:t>
      </w:r>
      <w:r w:rsidRPr="00307C2A">
        <w:t>funkční odchylky</w:t>
      </w:r>
      <w:r w:rsidR="00A816E5">
        <w:t>,</w:t>
      </w:r>
      <w:r w:rsidRPr="00307C2A">
        <w:t xml:space="preserve"> dány především odlišným metabolismem mozku, hlavně odchylka dopaminového, glutamátového a serotoninového systému, což má za následek narušení informačního procesu. </w:t>
      </w:r>
    </w:p>
    <w:p w:rsidR="00B35779" w:rsidRPr="00C13655" w:rsidRDefault="00B35779" w:rsidP="00C13655">
      <w:pPr>
        <w:ind w:left="0" w:firstLine="0"/>
        <w:jc w:val="both"/>
        <w:rPr>
          <w:b/>
        </w:rPr>
      </w:pPr>
      <w:r w:rsidRPr="00C13655">
        <w:rPr>
          <w:b/>
        </w:rPr>
        <w:lastRenderedPageBreak/>
        <w:t>Vnější vlivy</w:t>
      </w:r>
    </w:p>
    <w:p w:rsidR="00B35779" w:rsidRDefault="00B35779" w:rsidP="00A1273E">
      <w:pPr>
        <w:ind w:left="0" w:firstLine="284"/>
        <w:jc w:val="both"/>
        <w:rPr>
          <w:color w:val="FF0000"/>
        </w:rPr>
      </w:pPr>
      <w:r w:rsidRPr="00307C2A">
        <w:t>Vnější vlivy mohou zv</w:t>
      </w:r>
      <w:r>
        <w:t>ýšit riziko vzniku schizofrenie.  Rozlišujeme vlivy prenatální a </w:t>
      </w:r>
      <w:r w:rsidRPr="00307C2A">
        <w:t xml:space="preserve">postnatální. Do vlivů prenatálních </w:t>
      </w:r>
      <w:r>
        <w:t>zařadíme</w:t>
      </w:r>
      <w:r w:rsidRPr="00307C2A">
        <w:t xml:space="preserve"> zátěže typu podvýživy, č</w:t>
      </w:r>
      <w:r>
        <w:t>i</w:t>
      </w:r>
      <w:r w:rsidRPr="00307C2A">
        <w:t xml:space="preserve"> hypoxie, které negativně ovlivňují vývoj mozku. Postnatálně působí vlivy psychosociálního charakteru spojené hlavně s rodinou, </w:t>
      </w:r>
      <w:r>
        <w:t>která často bývá</w:t>
      </w:r>
      <w:r w:rsidRPr="00307C2A">
        <w:t xml:space="preserve"> vyvolávajícím po</w:t>
      </w:r>
      <w:r>
        <w:t>dnětem. Jedna z teorií hovoří o </w:t>
      </w:r>
      <w:r w:rsidRPr="00307C2A">
        <w:t xml:space="preserve">konceptu vulnerability, který předpokládá zvýšenou citlivost k podnětům hlavně sociálního charakteru. Jde o poruchu zpracování informací, problém s jejich dekódováním, narušení regulace přísunu podnětů, což má za následek zahlcení neselektovanými podněty. Problém nespočívá v zátěži, ale v jejím zpracování. Často vzniká v přechodu do dospělosti, kdy se člověk má </w:t>
      </w:r>
      <w:r w:rsidRPr="008B24DC">
        <w:t>osamostatnit (Vágnerová, 2008).</w:t>
      </w:r>
      <w:r w:rsidRPr="00461470">
        <w:rPr>
          <w:color w:val="FF0000"/>
        </w:rPr>
        <w:t xml:space="preserve"> </w:t>
      </w:r>
    </w:p>
    <w:p w:rsidR="00B35779" w:rsidRDefault="00B35779" w:rsidP="00A1273E">
      <w:pPr>
        <w:ind w:left="0" w:firstLine="284"/>
        <w:jc w:val="both"/>
        <w:rPr>
          <w:color w:val="FF0000"/>
        </w:rPr>
      </w:pPr>
    </w:p>
    <w:p w:rsidR="009F6791" w:rsidRPr="00285DC1" w:rsidRDefault="009F6791" w:rsidP="00285DC1">
      <w:pPr>
        <w:pStyle w:val="Nadpis4"/>
        <w:ind w:left="0" w:firstLine="0"/>
        <w:rPr>
          <w:i w:val="0"/>
          <w:color w:val="auto"/>
        </w:rPr>
      </w:pPr>
      <w:r w:rsidRPr="00285DC1">
        <w:rPr>
          <w:i w:val="0"/>
          <w:color w:val="auto"/>
        </w:rPr>
        <w:t>Diagnostika schizofrenie</w:t>
      </w:r>
    </w:p>
    <w:p w:rsidR="009F6791" w:rsidRPr="00A77FA2" w:rsidRDefault="009F6791" w:rsidP="00A1273E">
      <w:pPr>
        <w:ind w:left="0" w:firstLine="284"/>
        <w:jc w:val="both"/>
        <w:rPr>
          <w:color w:val="FF0000"/>
        </w:rPr>
      </w:pPr>
    </w:p>
    <w:p w:rsidR="00B35779" w:rsidRDefault="00B35779" w:rsidP="00A1273E">
      <w:pPr>
        <w:ind w:left="0" w:firstLine="284"/>
        <w:jc w:val="both"/>
        <w:rPr>
          <w:color w:val="000000" w:themeColor="text1"/>
        </w:rPr>
      </w:pPr>
      <w:r>
        <w:rPr>
          <w:color w:val="000000" w:themeColor="text1"/>
        </w:rPr>
        <w:t xml:space="preserve">Schizofrenie nemá jednotný klinický obraz, Vágnerová (2008) rozlišuje příznaky pozitivní, které jsou projevem nadměrného vyjádření standardních funkcí, vznikající zvýšenou aktivitou různých oblastí mozku. Mezi tyto příznaky řadíme bludy, halucinace, vkládání do toku myšlenek, dezorganizace řeči, narušená kontrola chování, či katatonií symptomy. Negativní příznaky vznikají jako důsledek útlumu mozkové činnosti a jsou to např. apatie, ochuzení řeči, zpomalenost myšlení, útlum emočních reakcí, neschopnost cílevědomého jednání, nebo sociální stažení. </w:t>
      </w:r>
    </w:p>
    <w:p w:rsidR="00A816E5" w:rsidRDefault="00B35779" w:rsidP="00A1273E">
      <w:pPr>
        <w:ind w:left="0" w:firstLine="284"/>
        <w:jc w:val="both"/>
        <w:rPr>
          <w:color w:val="000000" w:themeColor="text1"/>
        </w:rPr>
      </w:pPr>
      <w:r>
        <w:rPr>
          <w:color w:val="000000" w:themeColor="text1"/>
        </w:rPr>
        <w:t>Dle Duška a Večeřové – Procházkové (</w:t>
      </w:r>
      <w:r w:rsidRPr="00FD2CA7">
        <w:rPr>
          <w:color w:val="000000" w:themeColor="text1"/>
        </w:rPr>
        <w:t xml:space="preserve">2010) </w:t>
      </w:r>
      <w:r>
        <w:rPr>
          <w:color w:val="000000" w:themeColor="text1"/>
        </w:rPr>
        <w:t xml:space="preserve">je pro diagnostiku schizofrenie </w:t>
      </w:r>
      <w:r w:rsidRPr="00FD2CA7">
        <w:rPr>
          <w:color w:val="000000" w:themeColor="text1"/>
        </w:rPr>
        <w:t xml:space="preserve">nutná přítomnost alespoň jednoho příznaku z obecných kritérií první skupiny, nebo dva příznaky z druhé skupiny. </w:t>
      </w:r>
    </w:p>
    <w:p w:rsidR="00A816E5" w:rsidRDefault="00A816E5">
      <w:pPr>
        <w:rPr>
          <w:color w:val="000000" w:themeColor="text1"/>
        </w:rPr>
      </w:pPr>
    </w:p>
    <w:p w:rsidR="00B35779" w:rsidRDefault="00B35779" w:rsidP="00A1273E">
      <w:pPr>
        <w:ind w:left="0" w:firstLine="284"/>
        <w:jc w:val="both"/>
        <w:rPr>
          <w:color w:val="000000" w:themeColor="text1"/>
        </w:rPr>
      </w:pPr>
      <w:r>
        <w:rPr>
          <w:color w:val="000000" w:themeColor="text1"/>
        </w:rPr>
        <w:t>Do první skupiny se řadí:</w:t>
      </w:r>
      <w:r>
        <w:rPr>
          <w:color w:val="000000" w:themeColor="text1"/>
        </w:rPr>
        <w:tab/>
      </w:r>
    </w:p>
    <w:p w:rsidR="00B35779" w:rsidRPr="00FD2CA7" w:rsidRDefault="00B35779" w:rsidP="00A1273E">
      <w:pPr>
        <w:ind w:left="0" w:firstLine="284"/>
        <w:jc w:val="both"/>
        <w:rPr>
          <w:color w:val="000000" w:themeColor="text1"/>
        </w:rPr>
      </w:pPr>
      <w:r w:rsidRPr="00FD2CA7">
        <w:rPr>
          <w:color w:val="000000" w:themeColor="text1"/>
        </w:rPr>
        <w:t>1. ozvučování myšlenek, imputace (vkládání) nebo amputace (odmítání) myšlenek, či vysílání myšlenek</w:t>
      </w:r>
      <w:r w:rsidR="009F549B">
        <w:rPr>
          <w:color w:val="000000" w:themeColor="text1"/>
        </w:rPr>
        <w:t>;</w:t>
      </w:r>
    </w:p>
    <w:p w:rsidR="00B35779" w:rsidRPr="00FD2CA7" w:rsidRDefault="00A816E5" w:rsidP="00A1273E">
      <w:pPr>
        <w:ind w:left="0" w:firstLine="284"/>
        <w:jc w:val="both"/>
        <w:rPr>
          <w:color w:val="000000" w:themeColor="text1"/>
        </w:rPr>
      </w:pPr>
      <w:r>
        <w:rPr>
          <w:color w:val="000000" w:themeColor="text1"/>
        </w:rPr>
        <w:t xml:space="preserve">2. </w:t>
      </w:r>
      <w:r w:rsidR="00B35779" w:rsidRPr="00FD2CA7">
        <w:rPr>
          <w:color w:val="000000" w:themeColor="text1"/>
        </w:rPr>
        <w:t>bludy ovlivňování, kontrolování</w:t>
      </w:r>
      <w:r w:rsidR="009F549B">
        <w:rPr>
          <w:color w:val="000000" w:themeColor="text1"/>
        </w:rPr>
        <w:t>, ovládání, nebo bludné vnímání;</w:t>
      </w:r>
    </w:p>
    <w:p w:rsidR="00B35779" w:rsidRPr="00FD2CA7" w:rsidRDefault="00A816E5" w:rsidP="00A1273E">
      <w:pPr>
        <w:ind w:left="0" w:firstLine="284"/>
        <w:jc w:val="both"/>
        <w:rPr>
          <w:color w:val="000000" w:themeColor="text1"/>
        </w:rPr>
      </w:pPr>
      <w:r>
        <w:rPr>
          <w:color w:val="000000" w:themeColor="text1"/>
        </w:rPr>
        <w:t xml:space="preserve">3. </w:t>
      </w:r>
      <w:r w:rsidR="00B35779" w:rsidRPr="00FD2CA7">
        <w:rPr>
          <w:color w:val="000000" w:themeColor="text1"/>
        </w:rPr>
        <w:t>sluchové halucinace, komentující chování postiženého, nebo které mezi sebou hovoří, či přichází z jiných částí těla</w:t>
      </w:r>
      <w:r w:rsidR="009F549B">
        <w:rPr>
          <w:color w:val="000000" w:themeColor="text1"/>
        </w:rPr>
        <w:t>;</w:t>
      </w:r>
    </w:p>
    <w:p w:rsidR="00B35779" w:rsidRPr="00FD2CA7" w:rsidRDefault="00B35779" w:rsidP="00A1273E">
      <w:pPr>
        <w:ind w:left="0" w:firstLine="284"/>
        <w:jc w:val="both"/>
        <w:rPr>
          <w:color w:val="000000" w:themeColor="text1"/>
        </w:rPr>
      </w:pPr>
      <w:r w:rsidRPr="00FD2CA7">
        <w:rPr>
          <w:color w:val="000000" w:themeColor="text1"/>
        </w:rPr>
        <w:t>4. přetrvávající bludy jiného druhu, které jsou nepatřičné a nepřijatelné v dané kultuře</w:t>
      </w:r>
      <w:r>
        <w:rPr>
          <w:color w:val="000000" w:themeColor="text1"/>
        </w:rPr>
        <w:t>.</w:t>
      </w:r>
    </w:p>
    <w:p w:rsidR="009F549B" w:rsidRDefault="009F549B" w:rsidP="00A1273E">
      <w:pPr>
        <w:ind w:left="0" w:firstLine="284"/>
        <w:jc w:val="both"/>
        <w:rPr>
          <w:color w:val="000000" w:themeColor="text1"/>
        </w:rPr>
      </w:pPr>
    </w:p>
    <w:p w:rsidR="00B35779" w:rsidRDefault="00B35779" w:rsidP="00A1273E">
      <w:pPr>
        <w:ind w:left="0" w:firstLine="284"/>
        <w:jc w:val="both"/>
        <w:rPr>
          <w:color w:val="000000" w:themeColor="text1"/>
        </w:rPr>
      </w:pPr>
      <w:r>
        <w:rPr>
          <w:color w:val="000000" w:themeColor="text1"/>
        </w:rPr>
        <w:lastRenderedPageBreak/>
        <w:t>Do druhé skupiny patří:</w:t>
      </w:r>
    </w:p>
    <w:p w:rsidR="00B35779" w:rsidRPr="00FD2CA7" w:rsidRDefault="00B35779" w:rsidP="00A1273E">
      <w:pPr>
        <w:ind w:left="0" w:firstLine="284"/>
        <w:jc w:val="both"/>
        <w:rPr>
          <w:color w:val="000000" w:themeColor="text1"/>
        </w:rPr>
      </w:pPr>
      <w:r w:rsidRPr="00FD2CA7">
        <w:rPr>
          <w:color w:val="000000" w:themeColor="text1"/>
        </w:rPr>
        <w:t xml:space="preserve">1. přetrvávající halucinace </w:t>
      </w:r>
      <w:r w:rsidR="00A816E5">
        <w:rPr>
          <w:color w:val="000000" w:themeColor="text1"/>
        </w:rPr>
        <w:t>jak</w:t>
      </w:r>
      <w:r w:rsidRPr="00FD2CA7">
        <w:rPr>
          <w:color w:val="000000" w:themeColor="text1"/>
        </w:rPr>
        <w:t>ýchkoli smyslů, pokud se vyskytují každý den po dobu minimálně jednoho měsíce, provázené prchavými nebo pevnými bludy</w:t>
      </w:r>
      <w:r w:rsidR="00A17B86">
        <w:rPr>
          <w:color w:val="000000" w:themeColor="text1"/>
        </w:rPr>
        <w:t>;</w:t>
      </w:r>
    </w:p>
    <w:p w:rsidR="00B35779" w:rsidRPr="00FD2CA7" w:rsidRDefault="00B35779" w:rsidP="00A1273E">
      <w:pPr>
        <w:ind w:left="0" w:firstLine="284"/>
        <w:jc w:val="both"/>
        <w:rPr>
          <w:color w:val="000000" w:themeColor="text1"/>
        </w:rPr>
      </w:pPr>
      <w:r w:rsidRPr="00FD2CA7">
        <w:rPr>
          <w:color w:val="000000" w:themeColor="text1"/>
        </w:rPr>
        <w:t>2. neologismy, zárazy, nebo vkládání jiných myšlenek do myšlenkového proudu, výsledkem je inkoherence (roztříštěnost, nesouvislost)</w:t>
      </w:r>
      <w:r w:rsidR="00A17B86">
        <w:rPr>
          <w:color w:val="000000" w:themeColor="text1"/>
        </w:rPr>
        <w:t>;</w:t>
      </w:r>
    </w:p>
    <w:p w:rsidR="00B35779" w:rsidRPr="00FD2CA7" w:rsidRDefault="00A17B86" w:rsidP="00A1273E">
      <w:pPr>
        <w:ind w:left="0" w:firstLine="284"/>
        <w:jc w:val="both"/>
        <w:rPr>
          <w:color w:val="000000" w:themeColor="text1"/>
        </w:rPr>
      </w:pPr>
      <w:r>
        <w:rPr>
          <w:color w:val="000000" w:themeColor="text1"/>
        </w:rPr>
        <w:t>3. katatonní projevy;</w:t>
      </w:r>
    </w:p>
    <w:p w:rsidR="00B35779" w:rsidRPr="00FD2CA7" w:rsidRDefault="00B35779" w:rsidP="00A1273E">
      <w:pPr>
        <w:ind w:left="0" w:firstLine="284"/>
        <w:jc w:val="both"/>
        <w:rPr>
          <w:color w:val="000000" w:themeColor="text1"/>
        </w:rPr>
      </w:pPr>
      <w:r w:rsidRPr="00FD2CA7">
        <w:rPr>
          <w:color w:val="000000" w:themeColor="text1"/>
        </w:rPr>
        <w:t>4. negativní symptomy</w:t>
      </w:r>
      <w:r w:rsidR="00A17B86">
        <w:rPr>
          <w:color w:val="000000" w:themeColor="text1"/>
        </w:rPr>
        <w:t>.</w:t>
      </w:r>
      <w:r w:rsidRPr="00FD2CA7">
        <w:rPr>
          <w:color w:val="000000" w:themeColor="text1"/>
        </w:rPr>
        <w:t xml:space="preserve"> </w:t>
      </w:r>
    </w:p>
    <w:p w:rsidR="00B35779" w:rsidRDefault="00B35779" w:rsidP="00A1273E">
      <w:pPr>
        <w:ind w:left="0" w:firstLine="284"/>
        <w:jc w:val="both"/>
        <w:rPr>
          <w:color w:val="FF0000"/>
        </w:rPr>
      </w:pPr>
    </w:p>
    <w:p w:rsidR="00B35779" w:rsidRPr="00187DC2" w:rsidRDefault="00B35779" w:rsidP="00A1273E">
      <w:pPr>
        <w:ind w:left="0" w:firstLine="284"/>
        <w:jc w:val="both"/>
        <w:rPr>
          <w:color w:val="000000" w:themeColor="text1"/>
        </w:rPr>
      </w:pPr>
      <w:r w:rsidRPr="00187DC2">
        <w:rPr>
          <w:color w:val="000000" w:themeColor="text1"/>
        </w:rPr>
        <w:t>Pro ujasnění pojmů dodává</w:t>
      </w:r>
      <w:r>
        <w:rPr>
          <w:color w:val="000000" w:themeColor="text1"/>
        </w:rPr>
        <w:t>m</w:t>
      </w:r>
      <w:r w:rsidRPr="00187DC2">
        <w:rPr>
          <w:color w:val="000000" w:themeColor="text1"/>
        </w:rPr>
        <w:t xml:space="preserve"> rozdíl mezi</w:t>
      </w:r>
      <w:r>
        <w:rPr>
          <w:color w:val="000000" w:themeColor="text1"/>
        </w:rPr>
        <w:t xml:space="preserve"> bludy a halucinacemi dle</w:t>
      </w:r>
      <w:r w:rsidRPr="00187DC2">
        <w:rPr>
          <w:color w:val="000000" w:themeColor="text1"/>
        </w:rPr>
        <w:t> Kučerové (2010)</w:t>
      </w:r>
      <w:r>
        <w:rPr>
          <w:color w:val="000000" w:themeColor="text1"/>
        </w:rPr>
        <w:t xml:space="preserve"> a </w:t>
      </w:r>
      <w:r w:rsidRPr="00187DC2">
        <w:rPr>
          <w:color w:val="000000" w:themeColor="text1"/>
        </w:rPr>
        <w:t>V</w:t>
      </w:r>
      <w:r>
        <w:rPr>
          <w:color w:val="000000" w:themeColor="text1"/>
        </w:rPr>
        <w:t>á</w:t>
      </w:r>
      <w:r w:rsidRPr="00187DC2">
        <w:rPr>
          <w:color w:val="000000" w:themeColor="text1"/>
        </w:rPr>
        <w:t>gnerové (2008)</w:t>
      </w:r>
      <w:r>
        <w:rPr>
          <w:color w:val="000000" w:themeColor="text1"/>
        </w:rPr>
        <w:t xml:space="preserve">. </w:t>
      </w:r>
    </w:p>
    <w:p w:rsidR="00B35779" w:rsidRDefault="00B35779" w:rsidP="00A1273E">
      <w:pPr>
        <w:ind w:left="0" w:firstLine="284"/>
        <w:jc w:val="both"/>
        <w:rPr>
          <w:color w:val="000000" w:themeColor="text1"/>
        </w:rPr>
      </w:pPr>
      <w:r>
        <w:rPr>
          <w:color w:val="000000" w:themeColor="text1"/>
        </w:rPr>
        <w:t xml:space="preserve">Blud je patogenní porucha myšlení. Nemocný je přesvědčen o skutečnosti, která není pravdivá, tímto patologickým myšlením je zcela ovládán a často tak i jedná. Jsou pro něj typické 3 znaky, a to subjektivní jistota, nekorigovatelnost a nesmyslnost obsahu. Nejčastější bludy jsou paranoidní – vztahovačné (bludy pronásledovací, žárlivecké,…) nebo bludy hypochondrické. </w:t>
      </w:r>
    </w:p>
    <w:p w:rsidR="00B35779" w:rsidRDefault="00B35779" w:rsidP="00A1273E">
      <w:pPr>
        <w:ind w:left="0" w:firstLine="284"/>
        <w:jc w:val="both"/>
        <w:rPr>
          <w:color w:val="000000" w:themeColor="text1"/>
        </w:rPr>
      </w:pPr>
      <w:r>
        <w:rPr>
          <w:color w:val="000000" w:themeColor="text1"/>
        </w:rPr>
        <w:t xml:space="preserve">Halucinace souvisí s poruchou vnímání. Znamená, že nemocný slyší, vidí, cítí něco, co z pohledu zdravých lidí neexistuje. Existují také halucinace tělové, kdy nemocný po těle, či uvnitř těla cítí něco nepříjemného (bolest, pálení, štípání, apod.). Sluchové halucinace bývají nejčastěji spojené s paranoidní schizofrenií. Specifickým typem jsou halucinace intrapsychické, kdy se nemocnému jeví obsahy jeho vědomí jako cizí a je přesvědčen, že mu byly někým imputovány. </w:t>
      </w:r>
    </w:p>
    <w:p w:rsidR="00B35779" w:rsidRDefault="00B35779" w:rsidP="00A1273E">
      <w:pPr>
        <w:ind w:left="0" w:firstLine="284"/>
        <w:jc w:val="both"/>
        <w:rPr>
          <w:color w:val="000000" w:themeColor="text1"/>
        </w:rPr>
      </w:pPr>
    </w:p>
    <w:p w:rsidR="00B35779" w:rsidRDefault="00B35779" w:rsidP="00A1273E">
      <w:pPr>
        <w:ind w:left="0" w:firstLine="284"/>
        <w:jc w:val="both"/>
        <w:rPr>
          <w:color w:val="000000" w:themeColor="text1"/>
        </w:rPr>
      </w:pPr>
      <w:r>
        <w:rPr>
          <w:color w:val="000000" w:themeColor="text1"/>
        </w:rPr>
        <w:t>Ke klasifikaci schizofrenie využijeme dnes platnou desátou revizi Mezinárodní klasifikace n</w:t>
      </w:r>
      <w:r w:rsidR="003B04E0">
        <w:rPr>
          <w:color w:val="000000" w:themeColor="text1"/>
        </w:rPr>
        <w:t>emocí</w:t>
      </w:r>
      <w:r>
        <w:rPr>
          <w:color w:val="000000" w:themeColor="text1"/>
        </w:rPr>
        <w:t xml:space="preserve"> (MKN-10).</w:t>
      </w:r>
    </w:p>
    <w:p w:rsidR="00B35779" w:rsidRDefault="00B35779" w:rsidP="00A1273E">
      <w:pPr>
        <w:ind w:left="0" w:firstLine="284"/>
        <w:jc w:val="both"/>
        <w:rPr>
          <w:color w:val="000000" w:themeColor="text1"/>
        </w:rPr>
      </w:pPr>
      <w:r>
        <w:rPr>
          <w:color w:val="000000" w:themeColor="text1"/>
        </w:rPr>
        <w:t>F20.0 Paranoidní schizofrenie je formou nejčastější. Je charakterizována relativně trvalými bludy, čast</w:t>
      </w:r>
      <w:r w:rsidR="00E3631D">
        <w:rPr>
          <w:color w:val="000000" w:themeColor="text1"/>
        </w:rPr>
        <w:t>ými</w:t>
      </w:r>
      <w:r>
        <w:rPr>
          <w:color w:val="000000" w:themeColor="text1"/>
        </w:rPr>
        <w:t xml:space="preserve"> sluchovými halucinacemi a poruchami vnímání.</w:t>
      </w:r>
    </w:p>
    <w:p w:rsidR="00B35779" w:rsidRDefault="00B35779" w:rsidP="00A1273E">
      <w:pPr>
        <w:ind w:left="0" w:firstLine="284"/>
        <w:jc w:val="both"/>
        <w:rPr>
          <w:color w:val="000000" w:themeColor="text1"/>
        </w:rPr>
      </w:pPr>
      <w:r>
        <w:rPr>
          <w:color w:val="000000" w:themeColor="text1"/>
        </w:rPr>
        <w:t>F20.1 Hebefrenní schizofrenie je typická afektivním chováním, manýrismem</w:t>
      </w:r>
      <w:r w:rsidR="003B04E0">
        <w:rPr>
          <w:color w:val="000000" w:themeColor="text1"/>
        </w:rPr>
        <w:t>,</w:t>
      </w:r>
      <w:r>
        <w:rPr>
          <w:color w:val="000000" w:themeColor="text1"/>
        </w:rPr>
        <w:t xml:space="preserve"> dezorganizovaným myšlením a nesmyslnou řečí. </w:t>
      </w:r>
    </w:p>
    <w:p w:rsidR="00B35779" w:rsidRDefault="00B35779" w:rsidP="00A1273E">
      <w:pPr>
        <w:ind w:left="0" w:firstLine="284"/>
        <w:jc w:val="both"/>
        <w:rPr>
          <w:color w:val="000000" w:themeColor="text1"/>
        </w:rPr>
      </w:pPr>
      <w:r>
        <w:rPr>
          <w:color w:val="000000" w:themeColor="text1"/>
        </w:rPr>
        <w:t xml:space="preserve">F20.2 Katatonní schizofrenie se představuje výraznými psychomotorickými poruchami. Jedná se o strnulé postoje po dlouhou dobu, </w:t>
      </w:r>
      <w:r w:rsidR="00E3631D">
        <w:rPr>
          <w:color w:val="000000" w:themeColor="text1"/>
        </w:rPr>
        <w:t>které se střídají</w:t>
      </w:r>
      <w:r>
        <w:rPr>
          <w:color w:val="000000" w:themeColor="text1"/>
        </w:rPr>
        <w:t xml:space="preserve"> s epizody náhlého vzrušení.</w:t>
      </w:r>
    </w:p>
    <w:p w:rsidR="00B35779" w:rsidRDefault="00B35779" w:rsidP="00A1273E">
      <w:pPr>
        <w:ind w:left="0" w:firstLine="284"/>
        <w:jc w:val="both"/>
        <w:rPr>
          <w:color w:val="000000" w:themeColor="text1"/>
        </w:rPr>
      </w:pPr>
      <w:r>
        <w:rPr>
          <w:color w:val="000000" w:themeColor="text1"/>
        </w:rPr>
        <w:t xml:space="preserve">F20.3 Nediferenciovaná schizofrenie zahrnuje psychotické stavy, které splňují diagnostická kritéria pro schizofrenii, ale nelze je zařadit do podtypů. </w:t>
      </w:r>
    </w:p>
    <w:p w:rsidR="00B35779" w:rsidRDefault="00B35779" w:rsidP="00A1273E">
      <w:pPr>
        <w:ind w:left="0" w:firstLine="284"/>
        <w:jc w:val="both"/>
        <w:rPr>
          <w:color w:val="000000" w:themeColor="text1"/>
        </w:rPr>
      </w:pPr>
      <w:r>
        <w:rPr>
          <w:color w:val="000000" w:themeColor="text1"/>
        </w:rPr>
        <w:lastRenderedPageBreak/>
        <w:t>F20.4 Postschizofrenní deprese je stav, který může přetrvávat po schizofrenní nemoci. Některé příznaky mohou být stále aktuální, ale nejsou v popředí klinického obrazu. U tohoto typu je zvýšené riziko sebevraždy.</w:t>
      </w:r>
    </w:p>
    <w:p w:rsidR="00B35779" w:rsidRDefault="00B35779" w:rsidP="00A1273E">
      <w:pPr>
        <w:ind w:left="0" w:firstLine="284"/>
        <w:jc w:val="both"/>
        <w:rPr>
          <w:color w:val="000000" w:themeColor="text1"/>
        </w:rPr>
      </w:pPr>
      <w:r>
        <w:rPr>
          <w:color w:val="000000" w:themeColor="text1"/>
        </w:rPr>
        <w:t>F20.5 Reziduální schizofrenie je chronickým stádiem s dlouhodobými symptomy a poruchami, jako je psychomotorické zpomalení, snížená aktivita, pasivita, chudá řeč, špatná nonverbální komunikace, defektní sociální projevy.</w:t>
      </w:r>
    </w:p>
    <w:p w:rsidR="00B35779" w:rsidRDefault="00B35779" w:rsidP="00A1273E">
      <w:pPr>
        <w:ind w:left="0" w:firstLine="284"/>
        <w:jc w:val="both"/>
        <w:rPr>
          <w:color w:val="000000" w:themeColor="text1"/>
        </w:rPr>
      </w:pPr>
      <w:r>
        <w:rPr>
          <w:color w:val="000000" w:themeColor="text1"/>
        </w:rPr>
        <w:t xml:space="preserve">F20.6 Schizophrenia simplex je poruchou s pozvolným, ale progresivním vývojem podivností v chování, úpadkem celého projevu i neschopnosti vyhovět společenským požadavkům. </w:t>
      </w:r>
    </w:p>
    <w:p w:rsidR="00B35779" w:rsidRPr="00307C2A" w:rsidRDefault="00B35779" w:rsidP="00A1273E">
      <w:pPr>
        <w:ind w:left="0" w:firstLine="284"/>
        <w:jc w:val="both"/>
      </w:pPr>
      <w:r>
        <w:rPr>
          <w:color w:val="000000" w:themeColor="text1"/>
        </w:rPr>
        <w:t xml:space="preserve">Poslední dvě skupiny zahrnují F20.7 jinou schizofrenii a F20.8 schizofrenie NS. </w:t>
      </w:r>
    </w:p>
    <w:p w:rsidR="00980E0B" w:rsidRDefault="00980E0B"/>
    <w:p w:rsidR="00B35779" w:rsidRPr="00285DC1" w:rsidRDefault="00B35779" w:rsidP="00285DC1">
      <w:pPr>
        <w:pStyle w:val="Nadpis4"/>
        <w:ind w:left="0" w:firstLine="0"/>
        <w:rPr>
          <w:i w:val="0"/>
          <w:color w:val="auto"/>
        </w:rPr>
      </w:pPr>
      <w:r w:rsidRPr="00285DC1">
        <w:rPr>
          <w:i w:val="0"/>
          <w:color w:val="auto"/>
        </w:rPr>
        <w:t>Průběh onemocnění</w:t>
      </w:r>
    </w:p>
    <w:p w:rsidR="003B04E0" w:rsidRPr="00285DC1" w:rsidRDefault="003B04E0" w:rsidP="00285DC1">
      <w:pPr>
        <w:pStyle w:val="Nadpis4"/>
        <w:rPr>
          <w:i w:val="0"/>
          <w:color w:val="auto"/>
        </w:rPr>
      </w:pPr>
    </w:p>
    <w:p w:rsidR="00B35779" w:rsidRDefault="00B35779" w:rsidP="00A1273E">
      <w:pPr>
        <w:ind w:left="0" w:firstLine="284"/>
        <w:jc w:val="both"/>
      </w:pPr>
      <w:r>
        <w:t xml:space="preserve">Průběh onemocnění je různý a u každého zcela originální, přesto se Vágnerová (2008) pokusila o rozčlenění z hlediska počtu akutních atak a vzniku přetrvávajícího psychického postižení. </w:t>
      </w:r>
    </w:p>
    <w:p w:rsidR="00B35779" w:rsidRDefault="00B35779" w:rsidP="00A1273E">
      <w:pPr>
        <w:ind w:left="0" w:firstLine="284"/>
        <w:jc w:val="both"/>
      </w:pPr>
      <w:r>
        <w:t>Při epizodickém průběhu se nemoc projeví jen jednou chorobnou atakou a postupně dojde k úpravě zdravotního stavu.</w:t>
      </w:r>
    </w:p>
    <w:p w:rsidR="00B35779" w:rsidRDefault="00B35779" w:rsidP="00A1273E">
      <w:pPr>
        <w:ind w:left="0" w:firstLine="284"/>
        <w:jc w:val="both"/>
      </w:pPr>
      <w:r>
        <w:t xml:space="preserve">Opakovaný průběh je charakteristický střídáním období chorobných atak a remisí v pravidelných, či nepravidelných intervalech. Recidiva je až u 60 % nemocných. </w:t>
      </w:r>
    </w:p>
    <w:p w:rsidR="00B35779" w:rsidRDefault="00B35779" w:rsidP="00A1273E">
      <w:pPr>
        <w:ind w:left="0" w:firstLine="284"/>
        <w:jc w:val="both"/>
      </w:pPr>
      <w:r>
        <w:t xml:space="preserve">Maligní průběh je s náhlým začátkem onemocněná a rychlým vznikem osobnostního defektu. </w:t>
      </w:r>
    </w:p>
    <w:p w:rsidR="00B35779" w:rsidRDefault="00B35779" w:rsidP="00A1273E">
      <w:pPr>
        <w:ind w:left="0" w:firstLine="284"/>
        <w:jc w:val="both"/>
      </w:pPr>
      <w:r>
        <w:t>Chronický průběh bývá spojený s opakováním chorobných atak, a s tím související nepříznivé změny jako je úbytek adaptačních schopností. Často dochází k postupnému úpadku osobnosti nemocného. Tento průběh je asi u 30 % nemocných.</w:t>
      </w:r>
    </w:p>
    <w:p w:rsidR="00B35779" w:rsidRDefault="00B35779" w:rsidP="00A1273E">
      <w:pPr>
        <w:ind w:left="0" w:firstLine="284"/>
        <w:jc w:val="both"/>
      </w:pPr>
      <w:r>
        <w:t xml:space="preserve">Reziduální typ je typický přetrváváním hlavně negativních symptomů. Stav bývá označován jako syndrom zlomené pružiny, kdy nemocní nejsou schopni zvládnout ani základní a běžné zátěže. </w:t>
      </w:r>
    </w:p>
    <w:p w:rsidR="00B35779" w:rsidRPr="00307C2A" w:rsidRDefault="00B35779" w:rsidP="00A1273E">
      <w:pPr>
        <w:ind w:left="0" w:firstLine="284"/>
        <w:jc w:val="both"/>
      </w:pPr>
      <w:r>
        <w:t>Vznik postprocesuální změny osobnosti se může projevit negativní změnou osobnostních vlastností a projevů. V krajních případech nejsou nemocní schopni samostatného života a jsou závislí na péči jiné osoby.</w:t>
      </w:r>
    </w:p>
    <w:p w:rsidR="00B35779" w:rsidRDefault="00B35779" w:rsidP="00A1273E">
      <w:pPr>
        <w:ind w:left="0" w:firstLine="284"/>
        <w:jc w:val="both"/>
      </w:pPr>
    </w:p>
    <w:p w:rsidR="00A071DB" w:rsidRPr="00285DC1" w:rsidRDefault="00A071DB" w:rsidP="00285DC1">
      <w:pPr>
        <w:pStyle w:val="Nadpis4"/>
        <w:ind w:left="0" w:firstLine="0"/>
        <w:rPr>
          <w:i w:val="0"/>
          <w:color w:val="auto"/>
        </w:rPr>
      </w:pPr>
      <w:r w:rsidRPr="00285DC1">
        <w:rPr>
          <w:i w:val="0"/>
          <w:color w:val="auto"/>
        </w:rPr>
        <w:lastRenderedPageBreak/>
        <w:t>Léčba</w:t>
      </w:r>
    </w:p>
    <w:p w:rsidR="00B35779" w:rsidRDefault="00B35779" w:rsidP="00A1273E">
      <w:pPr>
        <w:ind w:left="0" w:firstLine="284"/>
        <w:jc w:val="both"/>
      </w:pPr>
    </w:p>
    <w:p w:rsidR="00345695" w:rsidRDefault="00B35779" w:rsidP="00345695">
      <w:pPr>
        <w:ind w:left="0" w:firstLine="284"/>
        <w:jc w:val="both"/>
      </w:pPr>
      <w:r w:rsidRPr="00307C2A">
        <w:t>Schizofrenie je nemoc léčitelná, ale ne zcela vyléčitelná. Léčba může trvat velmi dlouho, může docháze</w:t>
      </w:r>
      <w:r>
        <w:t>t ke</w:t>
      </w:r>
      <w:r w:rsidRPr="00307C2A">
        <w:t xml:space="preserve"> střídání fází ataků a remisí, k proměně symptomů</w:t>
      </w:r>
      <w:r w:rsidR="00345695">
        <w:t xml:space="preserve">. Schizofrenie </w:t>
      </w:r>
      <w:r w:rsidR="00345695" w:rsidRPr="00307C2A">
        <w:t xml:space="preserve">může být skrytá v jiných diagnózách, jako jsou </w:t>
      </w:r>
      <w:r w:rsidR="00345695">
        <w:t xml:space="preserve">jiné psychiatrické i somatické diagnózy. </w:t>
      </w:r>
      <w:r w:rsidR="00345695" w:rsidRPr="00307C2A">
        <w:t xml:space="preserve">Často psychiatr v počátku nemoci volí mírnější diagnózu – </w:t>
      </w:r>
      <w:r w:rsidR="00345695">
        <w:t>například neurózy, deprese, a to především pokud se jedná o schizofrenii</w:t>
      </w:r>
      <w:r w:rsidR="00345695" w:rsidRPr="00307C2A">
        <w:t xml:space="preserve"> bez pozitivní</w:t>
      </w:r>
      <w:r w:rsidR="004170B4">
        <w:t>ch příznaků (</w:t>
      </w:r>
      <w:r w:rsidR="00345695" w:rsidRPr="00C71F10">
        <w:t>Kučerová, 2010).</w:t>
      </w:r>
    </w:p>
    <w:p w:rsidR="00345695" w:rsidRDefault="00345695" w:rsidP="00345695">
      <w:pPr>
        <w:ind w:left="0" w:firstLine="284"/>
        <w:jc w:val="both"/>
      </w:pPr>
      <w:r w:rsidRPr="00307C2A">
        <w:t>Léčen</w:t>
      </w:r>
      <w:r>
        <w:t>í</w:t>
      </w:r>
      <w:r w:rsidRPr="00307C2A">
        <w:t xml:space="preserve"> probíhá kombinací psychoterapie</w:t>
      </w:r>
      <w:r>
        <w:t>,</w:t>
      </w:r>
      <w:r w:rsidRPr="00307C2A">
        <w:t xml:space="preserve"> socioterapie</w:t>
      </w:r>
      <w:r>
        <w:t xml:space="preserve"> a </w:t>
      </w:r>
      <w:r w:rsidRPr="00307C2A">
        <w:t xml:space="preserve">léčby psychofarmakologické. </w:t>
      </w:r>
      <w:r>
        <w:t xml:space="preserve">V léčbě je důležitá edukace pacienta a jeho rodiny, komplexní terapeutický přístup, který zahrnuje pomoc v sociálním fungování, zvládání stresových situací a přejímání odpovědnosti za vlastní život (Kučerová, 2010; </w:t>
      </w:r>
      <w:r w:rsidR="002A72FA">
        <w:rPr>
          <w:color w:val="000000"/>
        </w:rPr>
        <w:t>Látalová, &amp; </w:t>
      </w:r>
      <w:r>
        <w:rPr>
          <w:color w:val="000000"/>
        </w:rPr>
        <w:t>Pidrman, 2006</w:t>
      </w:r>
      <w:r>
        <w:t>).</w:t>
      </w:r>
    </w:p>
    <w:p w:rsidR="00B35779" w:rsidRDefault="00B35779" w:rsidP="00A1273E">
      <w:pPr>
        <w:autoSpaceDE w:val="0"/>
        <w:autoSpaceDN w:val="0"/>
        <w:adjustRightInd w:val="0"/>
        <w:ind w:left="0" w:firstLine="284"/>
        <w:jc w:val="both"/>
        <w:rPr>
          <w:rFonts w:ascii="NimbusSanLEE-ReguCond" w:hAnsi="NimbusSanLEE-ReguCond" w:cs="NimbusSanLEE-ReguCond"/>
          <w:sz w:val="18"/>
          <w:szCs w:val="18"/>
        </w:rPr>
      </w:pPr>
      <w:r w:rsidRPr="00307C2A">
        <w:t xml:space="preserve">Psychoterapie </w:t>
      </w:r>
      <w:r>
        <w:t>vede</w:t>
      </w:r>
      <w:r w:rsidRPr="00307C2A">
        <w:t xml:space="preserve"> k podpoře nemocného při zvládání nemoci, k porozumění sobě samému, zlepšení sociálních dovedností.</w:t>
      </w:r>
      <w:r>
        <w:t xml:space="preserve"> V léčbě psychoterapií se často setkáváme s limity jako je nedostatečný náhled na nemoc, malá nebo žádná motivace k léčení, nedostatečná podpora rodiny, nebo problémy s užíváním psychofarmak, které pacienti buď vůbec neužívají, nebo je přestanou užívat kvůli vedlejším účinkům. Cílem psychoterapie je podpora pacienta ve vědomí, že není pasivní obětí nemoci, ale že se jí může bránit a zvítězit (</w:t>
      </w:r>
      <w:r>
        <w:rPr>
          <w:color w:val="000000"/>
        </w:rPr>
        <w:t xml:space="preserve">Látalová, &amp; Pidrman, 2006). </w:t>
      </w:r>
    </w:p>
    <w:p w:rsidR="00B35779" w:rsidRPr="00307C2A" w:rsidRDefault="00B35779" w:rsidP="00A1273E">
      <w:pPr>
        <w:ind w:left="0" w:firstLine="284"/>
        <w:jc w:val="both"/>
      </w:pPr>
      <w:r w:rsidRPr="00307C2A">
        <w:t>Socioterapie se snaží o dosažení přijatelné sociální adaptace a sociální integrace. Důležitá je rodinná</w:t>
      </w:r>
      <w:r>
        <w:t xml:space="preserve"> terapie</w:t>
      </w:r>
      <w:r w:rsidRPr="00307C2A">
        <w:t>, cílem je zlepšení atmosféry a zmírnění napětí v rodině. Následně je nutná aktivizace nemocných, zorganizování denního režimu a přiměřený program, který pacienta stimuluje, zprostředkovává mu pocit užitečnosti a smyslu. Terapii zajišťují denní sanatoria, chrán</w:t>
      </w:r>
      <w:r>
        <w:t xml:space="preserve">ěné dílny, či chráněné bydlení (Kučerová, 2010). </w:t>
      </w:r>
    </w:p>
    <w:p w:rsidR="00B35779" w:rsidRDefault="00B35779" w:rsidP="00A1273E">
      <w:pPr>
        <w:ind w:left="0" w:firstLine="284"/>
        <w:jc w:val="both"/>
      </w:pPr>
      <w:r w:rsidRPr="00307C2A">
        <w:t xml:space="preserve">Psychofarmakologická léčba slouží hlavně k uklidnění, zvýšení odolnosti a regulaci psychických projevů. Vlivem léků se zmírňují hlavně akutní a pozitivní příznaky choroby. </w:t>
      </w:r>
    </w:p>
    <w:p w:rsidR="00B35779" w:rsidRDefault="00345695" w:rsidP="00A1273E">
      <w:pPr>
        <w:ind w:left="0" w:firstLine="284"/>
        <w:jc w:val="both"/>
      </w:pPr>
      <w:r>
        <w:t>Psychoterapie a socioterapie jsou významné pro zlepšení aktuálního stavu, sociálních dovedností a kvality života. Dosud žádný psychoterapeutický program nebyl dlouhodobě účinný (více než 1 rok po skončení) v tom, aby se zabránilo návratu choroby. Pokud byla dlouhodobě podávána anti</w:t>
      </w:r>
      <w:r w:rsidR="00DD0D46">
        <w:t>psychotika, zůstalo v remisi (v </w:t>
      </w:r>
      <w:r>
        <w:t>bezpříznakovém období) až 88 % pacientů. Počet je závislý na míře komplikací, subjektivně vnímaných nežádoucích účinků</w:t>
      </w:r>
      <w:r w:rsidR="0063050D">
        <w:t>, délce t</w:t>
      </w:r>
      <w:r w:rsidR="00DD0D46">
        <w:t xml:space="preserve">rvání nemoci, stabilitě stavu </w:t>
      </w:r>
      <w:r w:rsidR="00DD0D46">
        <w:lastRenderedPageBreak/>
        <w:t>i </w:t>
      </w:r>
      <w:r w:rsidR="0063050D">
        <w:t>dalších faktorech. Proto se odporučuje podávat an</w:t>
      </w:r>
      <w:r w:rsidR="00DD0D46">
        <w:t>tipsychotickou léčbu nejméně 12 </w:t>
      </w:r>
      <w:r w:rsidR="0063050D">
        <w:t>měsíců po odeznění symptomů první ataky, nejméně 36 měsíců po další atace. Po třech a více atakách je pravděpodobnost tak vysoká, že se doporučuje podávat léky dlouhodobě (min</w:t>
      </w:r>
      <w:r w:rsidR="003C41DC">
        <w:t>imálně</w:t>
      </w:r>
      <w:r w:rsidR="0063050D">
        <w:t xml:space="preserve"> 5 let) nebo celoživotně. V tomto případě je velmi důležité vybrat správné antipsychotikum, které bude mít co nejméně vedlejších účinků, a přesto bude působit efektivně. Nejcitlivějším nástrojem výběru vhodného antipsychotika je teoretická a klinická zkušenost psychiatra, </w:t>
      </w:r>
      <w:r w:rsidR="00DD0D46">
        <w:t xml:space="preserve">který je zodpovědný za </w:t>
      </w:r>
      <w:r w:rsidR="0063050D">
        <w:t>výběr dávky léku na základě detailního pohovoru s pacientem (Janů, &amp; Racková; 2006).</w:t>
      </w:r>
    </w:p>
    <w:p w:rsidR="00942ECF" w:rsidRDefault="00942ECF" w:rsidP="00500783">
      <w:pPr>
        <w:ind w:left="0" w:firstLine="284"/>
        <w:jc w:val="both"/>
      </w:pPr>
      <w:r>
        <w:t xml:space="preserve">U nás zaštiťuje oblast péče o duševní zdraví Centrum pro rozvoj péče o duševní zdraví, které spolupracuje i s WHO. Úkolem centra je poskytovat informace pro pojmenování a řešení problémů v oblasti péče o duševní zdraví. Obrací se přímo na poskytovatele péče a uživatele služeb, pracovníky správy na všech úrovních (ministerské, krajské a místní) a na zdravotní pojišťovny. </w:t>
      </w:r>
      <w:r w:rsidR="00F85EB8">
        <w:t>Centrum mimo jiné nabízí i </w:t>
      </w:r>
      <w:r w:rsidR="00500783">
        <w:t>socioterapii, zprostředkování kontaktu se společenským prostředím (styk s úřady, zdravotnickými službami, chráněným/podporovaným bydlením, denním stacionářem, agentury podporovaného zaměstnání, právním prostředím, krizovými centry apod.), nabízí pomoc při uplatňování práv, při obstarávání osobních záležitostí a základní sociální poradenství</w:t>
      </w:r>
      <w:r w:rsidR="00B30A98">
        <w:t xml:space="preserve"> (Centrum pro rozvoj péče o duševní zdraví).</w:t>
      </w:r>
    </w:p>
    <w:p w:rsidR="00345695" w:rsidRDefault="00345695" w:rsidP="00345695">
      <w:pPr>
        <w:autoSpaceDE w:val="0"/>
        <w:autoSpaceDN w:val="0"/>
        <w:adjustRightInd w:val="0"/>
        <w:ind w:left="0" w:firstLine="284"/>
        <w:jc w:val="both"/>
        <w:rPr>
          <w:rFonts w:ascii="NimbusSanLEE-ReguCond" w:hAnsi="NimbusSanLEE-ReguCond" w:cs="NimbusSanLEE-ReguCond"/>
          <w:sz w:val="18"/>
          <w:szCs w:val="18"/>
        </w:rPr>
      </w:pPr>
      <w:r>
        <w:t>Dobře vedená léčba umožňuje pacientovi žít kvali</w:t>
      </w:r>
      <w:r w:rsidR="00606289">
        <w:t>tní život, mnohdy produktivní a </w:t>
      </w:r>
      <w:r>
        <w:t>cenný pro ostatní, špatně vedená léčba poté onemocnění prodlužuje a prohlubuje (</w:t>
      </w:r>
      <w:r>
        <w:rPr>
          <w:color w:val="000000"/>
        </w:rPr>
        <w:t xml:space="preserve">Látalová, &amp; Pidrman, 2006). </w:t>
      </w:r>
    </w:p>
    <w:p w:rsidR="00A75C68" w:rsidRPr="009C1EA1" w:rsidRDefault="00FC4A64" w:rsidP="00A75C68">
      <w:pPr>
        <w:pStyle w:val="Nadpis1"/>
        <w:ind w:left="0" w:firstLine="0"/>
        <w:rPr>
          <w:rFonts w:ascii="Times New Roman" w:hAnsi="Times New Roman" w:cs="Times New Roman"/>
          <w:color w:val="auto"/>
        </w:rPr>
      </w:pPr>
      <w:r>
        <w:br w:type="page"/>
      </w:r>
      <w:bookmarkStart w:id="17" w:name="_Toc291609108"/>
      <w:bookmarkStart w:id="18" w:name="_Toc324848219"/>
      <w:r w:rsidR="00A75C68" w:rsidRPr="009C1EA1">
        <w:rPr>
          <w:rFonts w:ascii="Times New Roman" w:hAnsi="Times New Roman" w:cs="Times New Roman"/>
          <w:color w:val="auto"/>
        </w:rPr>
        <w:lastRenderedPageBreak/>
        <w:t>3 CÍLE</w:t>
      </w:r>
      <w:bookmarkEnd w:id="17"/>
      <w:bookmarkEnd w:id="18"/>
    </w:p>
    <w:p w:rsidR="00A75C68" w:rsidRPr="009C1EA1" w:rsidRDefault="00A75C68" w:rsidP="00A75C68"/>
    <w:p w:rsidR="00A75C68" w:rsidRPr="009C1EA1" w:rsidRDefault="00A75C68" w:rsidP="00AB41D8">
      <w:pPr>
        <w:ind w:left="0" w:firstLine="284"/>
        <w:jc w:val="both"/>
      </w:pPr>
      <w:r w:rsidRPr="009C1EA1">
        <w:t xml:space="preserve">Cílem této bakalářské práce je </w:t>
      </w:r>
      <w:r w:rsidR="00AB41D8">
        <w:t xml:space="preserve">determinace tělesného složení na základě </w:t>
      </w:r>
      <w:r w:rsidRPr="009C1EA1">
        <w:t>bioelektrické impedance</w:t>
      </w:r>
      <w:r w:rsidR="00EF0F73">
        <w:t xml:space="preserve"> </w:t>
      </w:r>
      <w:r w:rsidR="00AB41D8">
        <w:t>prostřednictvím přístrojů</w:t>
      </w:r>
      <w:r w:rsidR="00247721">
        <w:t xml:space="preserve"> Tanita</w:t>
      </w:r>
      <w:r w:rsidR="00AB41D8">
        <w:t xml:space="preserve"> BC </w:t>
      </w:r>
      <w:r w:rsidR="00247721">
        <w:t>418 a InBody 720</w:t>
      </w:r>
      <w:r w:rsidR="00AB41D8">
        <w:t>, včetně segmentální analýzy</w:t>
      </w:r>
      <w:r w:rsidR="00D809C7">
        <w:t>,</w:t>
      </w:r>
      <w:r w:rsidR="00AB41D8">
        <w:t xml:space="preserve"> </w:t>
      </w:r>
      <w:r w:rsidRPr="009C1EA1">
        <w:t>u</w:t>
      </w:r>
      <w:r w:rsidR="00EF0F73">
        <w:t xml:space="preserve"> pacientů</w:t>
      </w:r>
      <w:r w:rsidRPr="009C1EA1">
        <w:t xml:space="preserve"> </w:t>
      </w:r>
      <w:r w:rsidR="00EF0F73">
        <w:t xml:space="preserve">trpících </w:t>
      </w:r>
      <w:r w:rsidRPr="009C1EA1">
        <w:t>schizofreni</w:t>
      </w:r>
      <w:r w:rsidR="00EF0F73">
        <w:t>í</w:t>
      </w:r>
      <w:r w:rsidR="00FE3CC5">
        <w:t>.</w:t>
      </w:r>
    </w:p>
    <w:p w:rsidR="00A75C68" w:rsidRPr="009C1EA1" w:rsidRDefault="00A75C68" w:rsidP="00A75C68">
      <w:pPr>
        <w:tabs>
          <w:tab w:val="left" w:pos="2370"/>
        </w:tabs>
      </w:pPr>
      <w:r>
        <w:tab/>
      </w:r>
      <w:r>
        <w:tab/>
      </w:r>
    </w:p>
    <w:p w:rsidR="00A75C68" w:rsidRDefault="00A75C68" w:rsidP="00A75C68">
      <w:pPr>
        <w:ind w:left="0" w:firstLine="0"/>
        <w:rPr>
          <w:b/>
        </w:rPr>
      </w:pPr>
      <w:r w:rsidRPr="009C1EA1">
        <w:rPr>
          <w:b/>
        </w:rPr>
        <w:t xml:space="preserve">Dílčí cíle: </w:t>
      </w:r>
    </w:p>
    <w:p w:rsidR="00AB41D8" w:rsidRDefault="00AB41D8" w:rsidP="00AB41D8">
      <w:pPr>
        <w:pStyle w:val="Odstavecseseznamem"/>
        <w:numPr>
          <w:ilvl w:val="0"/>
          <w:numId w:val="3"/>
        </w:numPr>
        <w:ind w:left="0" w:firstLine="0"/>
        <w:jc w:val="both"/>
      </w:pPr>
      <w:r>
        <w:t>Determinovat vybrané parametry tělesného složení prostřednictvím přístrojů Tanita BC 418 a InBody 720.</w:t>
      </w:r>
    </w:p>
    <w:p w:rsidR="00A75C68" w:rsidRDefault="00247721" w:rsidP="00AB41D8">
      <w:pPr>
        <w:pStyle w:val="Odstavecseseznamem"/>
        <w:numPr>
          <w:ilvl w:val="0"/>
          <w:numId w:val="3"/>
        </w:numPr>
        <w:ind w:left="0" w:firstLine="0"/>
        <w:jc w:val="both"/>
      </w:pPr>
      <w:r>
        <w:t xml:space="preserve">Determinovat parametry tělesného složení ve smyslu segmentální analýzy tuku prostřednictvím přístroje Tanita BC 418. </w:t>
      </w:r>
    </w:p>
    <w:p w:rsidR="00AB41D8" w:rsidRDefault="00AB41D8" w:rsidP="00AB41D8">
      <w:pPr>
        <w:pStyle w:val="Odstavecseseznamem"/>
        <w:numPr>
          <w:ilvl w:val="0"/>
          <w:numId w:val="3"/>
        </w:numPr>
        <w:ind w:left="0" w:firstLine="0"/>
        <w:jc w:val="both"/>
      </w:pPr>
      <w:r>
        <w:t xml:space="preserve">Segmentální analýza svalové frakce prostřednictvím prostřednictvím přístroje InBody 720. </w:t>
      </w:r>
    </w:p>
    <w:p w:rsidR="00AB41D8" w:rsidRDefault="00AB41D8" w:rsidP="00AB41D8">
      <w:pPr>
        <w:pStyle w:val="Odstavecseseznamem"/>
        <w:numPr>
          <w:ilvl w:val="0"/>
          <w:numId w:val="3"/>
        </w:numPr>
        <w:ind w:left="0" w:firstLine="0"/>
        <w:jc w:val="both"/>
      </w:pPr>
      <w:r>
        <w:t xml:space="preserve">Vyhodnotit vybrané parametry tělesného složení indikující riziko nadváhy a obezity. </w:t>
      </w:r>
    </w:p>
    <w:p w:rsidR="00AB41D8" w:rsidRDefault="00AB41D8">
      <w:pPr>
        <w:rPr>
          <w:rFonts w:eastAsiaTheme="majorEastAsia"/>
          <w:b/>
          <w:bCs/>
          <w:sz w:val="28"/>
          <w:szCs w:val="28"/>
        </w:rPr>
      </w:pPr>
      <w:r>
        <w:rPr>
          <w:rFonts w:eastAsiaTheme="majorEastAsia"/>
          <w:b/>
          <w:bCs/>
          <w:sz w:val="28"/>
          <w:szCs w:val="28"/>
        </w:rPr>
        <w:br w:type="page"/>
      </w:r>
    </w:p>
    <w:p w:rsidR="00A75C68" w:rsidRPr="009C1EA1" w:rsidRDefault="00A75C68" w:rsidP="00A75C68">
      <w:pPr>
        <w:pStyle w:val="Nadpis1"/>
        <w:ind w:left="0" w:firstLine="0"/>
        <w:jc w:val="both"/>
        <w:rPr>
          <w:rFonts w:ascii="Times New Roman" w:hAnsi="Times New Roman" w:cs="Times New Roman"/>
          <w:color w:val="auto"/>
        </w:rPr>
      </w:pPr>
      <w:bookmarkStart w:id="19" w:name="_Toc291609109"/>
      <w:bookmarkStart w:id="20" w:name="_Toc324848220"/>
      <w:r w:rsidRPr="009C1EA1">
        <w:rPr>
          <w:rFonts w:ascii="Times New Roman" w:hAnsi="Times New Roman" w:cs="Times New Roman"/>
          <w:color w:val="auto"/>
        </w:rPr>
        <w:lastRenderedPageBreak/>
        <w:t>4 METODIKA</w:t>
      </w:r>
      <w:bookmarkEnd w:id="19"/>
      <w:bookmarkEnd w:id="20"/>
    </w:p>
    <w:p w:rsidR="00A75C68" w:rsidRPr="007062ED" w:rsidRDefault="00A75C68" w:rsidP="007062ED">
      <w:pPr>
        <w:pStyle w:val="Nadpis2"/>
        <w:rPr>
          <w:rFonts w:ascii="Times New Roman" w:hAnsi="Times New Roman"/>
          <w:i w:val="0"/>
          <w:sz w:val="26"/>
          <w:szCs w:val="26"/>
        </w:rPr>
      </w:pPr>
      <w:bookmarkStart w:id="21" w:name="_Toc291609110"/>
      <w:bookmarkStart w:id="22" w:name="_Toc324848221"/>
      <w:r w:rsidRPr="007062ED">
        <w:rPr>
          <w:rFonts w:ascii="Times New Roman" w:hAnsi="Times New Roman"/>
          <w:i w:val="0"/>
          <w:sz w:val="26"/>
          <w:szCs w:val="26"/>
        </w:rPr>
        <w:t>4.1 Soubor</w:t>
      </w:r>
      <w:bookmarkEnd w:id="21"/>
      <w:bookmarkEnd w:id="22"/>
    </w:p>
    <w:p w:rsidR="00A75C68" w:rsidRPr="009C1EA1" w:rsidRDefault="00A75C68" w:rsidP="00A75C68"/>
    <w:p w:rsidR="00A75C68" w:rsidRPr="009C1EA1" w:rsidRDefault="00A75C68" w:rsidP="00A75C68">
      <w:pPr>
        <w:ind w:left="0" w:firstLine="284"/>
        <w:jc w:val="both"/>
      </w:pPr>
      <w:r w:rsidRPr="009C1EA1">
        <w:t>Výzkumný soubor tvořilo 47 jedinců (n = 47), z toho 27 mužů a 20 žen</w:t>
      </w:r>
      <w:r w:rsidR="007062ED">
        <w:t xml:space="preserve">. Sjednocující podmínkou pro analýzu tělesného složení byla lékařem diagnostikovaná schizofrenie. Všichni klienti pobírali antipsychotika, všichni muži byli kuřáci. Věk se pohyboval v rozmezí </w:t>
      </w:r>
      <w:r w:rsidRPr="009C1EA1">
        <w:t>19 až 70 let. Data byla získána v březnu 2010 v Psychiatrické léčebně ve Šternberku. Základní cha</w:t>
      </w:r>
      <w:r w:rsidR="00F42F95">
        <w:t>rakteristiku souboru uvádíme v t</w:t>
      </w:r>
      <w:r w:rsidR="007062ED">
        <w:t>abulce 3</w:t>
      </w:r>
      <w:r w:rsidR="0003241C">
        <w:t xml:space="preserve"> a 4</w:t>
      </w:r>
      <w:r w:rsidRPr="009C1EA1">
        <w:t>. Hodnoty byly nam</w:t>
      </w:r>
      <w:r w:rsidR="007062ED">
        <w:t xml:space="preserve">ěřeny na přístroji In Body 720 a Tanita BC 418. </w:t>
      </w:r>
    </w:p>
    <w:p w:rsidR="0070108D" w:rsidRPr="0070108D" w:rsidRDefault="0070108D" w:rsidP="0070108D">
      <w:pPr>
        <w:tabs>
          <w:tab w:val="left" w:pos="1276"/>
          <w:tab w:val="left" w:pos="4536"/>
        </w:tabs>
        <w:ind w:left="0" w:firstLine="284"/>
        <w:jc w:val="both"/>
      </w:pPr>
      <w:r>
        <w:t xml:space="preserve">Při provedení četnostní analýzy souboru zjistíme, že muži jsou </w:t>
      </w:r>
      <w:r w:rsidR="00BD1C95">
        <w:t xml:space="preserve">výrazně </w:t>
      </w:r>
      <w:r>
        <w:t>mladší než ženy. Porovnání věkových</w:t>
      </w:r>
      <w:r w:rsidR="00F42F95">
        <w:t xml:space="preserve"> skupin u mužů a žen zobrazuje o</w:t>
      </w:r>
      <w:r>
        <w:t xml:space="preserve">brázek 1. </w:t>
      </w:r>
    </w:p>
    <w:p w:rsidR="0070108D" w:rsidRDefault="0070108D" w:rsidP="00A75C68">
      <w:pPr>
        <w:tabs>
          <w:tab w:val="left" w:pos="1276"/>
          <w:tab w:val="left" w:pos="4536"/>
        </w:tabs>
        <w:jc w:val="both"/>
      </w:pPr>
    </w:p>
    <w:p w:rsidR="0070108D" w:rsidRDefault="00EF2BB5" w:rsidP="0070108D">
      <w:pPr>
        <w:tabs>
          <w:tab w:val="left" w:pos="1276"/>
          <w:tab w:val="left" w:pos="4536"/>
        </w:tabs>
        <w:jc w:val="both"/>
      </w:pPr>
      <w:r w:rsidRPr="00EF2BB5">
        <w:rPr>
          <w:noProof/>
          <w:lang w:eastAsia="cs-CZ"/>
        </w:rPr>
        <w:drawing>
          <wp:inline distT="0" distB="0" distL="0" distR="0">
            <wp:extent cx="4514850" cy="2524125"/>
            <wp:effectExtent l="19050" t="0" r="19050" b="0"/>
            <wp:docPr id="1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0108D">
        <w:t xml:space="preserve"> </w:t>
      </w:r>
      <w:bookmarkStart w:id="23" w:name="_Toc291609111"/>
    </w:p>
    <w:p w:rsidR="0070108D" w:rsidRDefault="0070108D" w:rsidP="0070108D">
      <w:pPr>
        <w:tabs>
          <w:tab w:val="left" w:pos="1276"/>
          <w:tab w:val="left" w:pos="4536"/>
        </w:tabs>
        <w:jc w:val="both"/>
      </w:pPr>
      <w:r>
        <w:t>Obrázek 1. Četnostní analýza věkových skupin u zkoumaného vzorku</w:t>
      </w:r>
    </w:p>
    <w:p w:rsidR="0003241C" w:rsidRDefault="0003241C" w:rsidP="0070108D">
      <w:pPr>
        <w:tabs>
          <w:tab w:val="left" w:pos="1276"/>
          <w:tab w:val="left" w:pos="4536"/>
        </w:tabs>
        <w:jc w:val="both"/>
      </w:pPr>
    </w:p>
    <w:p w:rsidR="00A75C68" w:rsidRPr="00F92E4F" w:rsidRDefault="00A75C68" w:rsidP="00F92E4F">
      <w:pPr>
        <w:pStyle w:val="Nadpis2"/>
        <w:rPr>
          <w:rFonts w:ascii="Times New Roman" w:hAnsi="Times New Roman"/>
          <w:i w:val="0"/>
          <w:sz w:val="26"/>
          <w:szCs w:val="26"/>
        </w:rPr>
      </w:pPr>
      <w:bookmarkStart w:id="24" w:name="_Toc324848222"/>
      <w:r w:rsidRPr="00F92E4F">
        <w:rPr>
          <w:rFonts w:ascii="Times New Roman" w:hAnsi="Times New Roman"/>
          <w:i w:val="0"/>
          <w:sz w:val="26"/>
          <w:szCs w:val="26"/>
        </w:rPr>
        <w:t xml:space="preserve">4. 2 </w:t>
      </w:r>
      <w:bookmarkEnd w:id="23"/>
      <w:r w:rsidR="00F92E4F">
        <w:rPr>
          <w:rFonts w:ascii="Times New Roman" w:hAnsi="Times New Roman"/>
          <w:i w:val="0"/>
          <w:sz w:val="26"/>
          <w:szCs w:val="26"/>
        </w:rPr>
        <w:t>Zásady při měření BIA</w:t>
      </w:r>
      <w:bookmarkEnd w:id="24"/>
    </w:p>
    <w:p w:rsidR="00A75C68" w:rsidRPr="009C1EA1" w:rsidRDefault="00A75C68" w:rsidP="00A75C68">
      <w:pPr>
        <w:ind w:left="0" w:firstLine="0"/>
      </w:pPr>
    </w:p>
    <w:p w:rsidR="00F92E4F" w:rsidRDefault="00F92E4F" w:rsidP="00A75C68">
      <w:pPr>
        <w:ind w:left="0" w:firstLine="284"/>
        <w:jc w:val="both"/>
      </w:pPr>
      <w:r>
        <w:t xml:space="preserve">Při měření bioelektrickou impedancí by se neměly měřit pacientky v raných stádiích těhotenství, pacienti s pace makery, ženy a dívky v době menstruace a premenstruace, pacienti užívající léky ovlivňující vodní režim v organismu a pacienti s implantáty. </w:t>
      </w:r>
    </w:p>
    <w:p w:rsidR="00F92E4F" w:rsidRDefault="00F92E4F" w:rsidP="00A75C68">
      <w:pPr>
        <w:ind w:left="0" w:firstLine="284"/>
        <w:jc w:val="both"/>
      </w:pPr>
      <w:r>
        <w:t>Nutné je dodržo</w:t>
      </w:r>
      <w:r w:rsidR="00C413C6">
        <w:t>vání standartních podmínek, kam řadíme (</w:t>
      </w:r>
      <w:r w:rsidR="00F830A4">
        <w:t xml:space="preserve">Riegerová, Přidalová, </w:t>
      </w:r>
      <w:r w:rsidR="00C413C6" w:rsidRPr="009C1EA1">
        <w:t>&amp;</w:t>
      </w:r>
      <w:r w:rsidR="00F830A4">
        <w:t> Ulbrichová, 2006)</w:t>
      </w:r>
      <w:r w:rsidR="00C413C6">
        <w:t>:</w:t>
      </w:r>
    </w:p>
    <w:p w:rsidR="00C413C6" w:rsidRDefault="00C413C6" w:rsidP="00F830A4">
      <w:pPr>
        <w:pStyle w:val="Odstavecseseznamem"/>
        <w:numPr>
          <w:ilvl w:val="0"/>
          <w:numId w:val="5"/>
        </w:numPr>
        <w:jc w:val="both"/>
      </w:pPr>
      <w:r>
        <w:t>nejíst a nepít po dobu 4 až 5 hodin před testem</w:t>
      </w:r>
      <w:r w:rsidR="0003241C">
        <w:t>;</w:t>
      </w:r>
    </w:p>
    <w:p w:rsidR="00C413C6" w:rsidRDefault="00C413C6" w:rsidP="00F830A4">
      <w:pPr>
        <w:pStyle w:val="Odstavecseseznamem"/>
        <w:numPr>
          <w:ilvl w:val="0"/>
          <w:numId w:val="5"/>
        </w:numPr>
        <w:jc w:val="both"/>
      </w:pPr>
      <w:r>
        <w:lastRenderedPageBreak/>
        <w:t>necvičit po dobu 12 hodin před testem</w:t>
      </w:r>
      <w:r w:rsidR="0003241C">
        <w:t>;</w:t>
      </w:r>
    </w:p>
    <w:p w:rsidR="00C413C6" w:rsidRDefault="00C413C6" w:rsidP="00F830A4">
      <w:pPr>
        <w:pStyle w:val="Odstavecseseznamem"/>
        <w:numPr>
          <w:ilvl w:val="0"/>
          <w:numId w:val="5"/>
        </w:numPr>
        <w:jc w:val="both"/>
      </w:pPr>
      <w:r>
        <w:t>nepožívat alkohol po dobu 24 hodin před testem</w:t>
      </w:r>
      <w:r w:rsidR="0003241C">
        <w:t>;</w:t>
      </w:r>
    </w:p>
    <w:p w:rsidR="00C413C6" w:rsidRDefault="00C413C6" w:rsidP="00F830A4">
      <w:pPr>
        <w:pStyle w:val="Odstavecseseznamem"/>
        <w:numPr>
          <w:ilvl w:val="0"/>
          <w:numId w:val="5"/>
        </w:numPr>
        <w:jc w:val="both"/>
      </w:pPr>
      <w:r>
        <w:t>nutné je vyprázdnit močový měchýř před testem a organismus znovu zavodnit neslazenou tekutinou</w:t>
      </w:r>
      <w:r w:rsidR="0003241C">
        <w:t>;</w:t>
      </w:r>
    </w:p>
    <w:p w:rsidR="00C413C6" w:rsidRDefault="00C413C6" w:rsidP="00F830A4">
      <w:pPr>
        <w:pStyle w:val="Odstavecseseznamem"/>
        <w:numPr>
          <w:ilvl w:val="0"/>
          <w:numId w:val="5"/>
        </w:numPr>
        <w:jc w:val="both"/>
      </w:pPr>
      <w:r>
        <w:t>běžná teplota v</w:t>
      </w:r>
      <w:r w:rsidR="0003241C">
        <w:t> </w:t>
      </w:r>
      <w:r>
        <w:t>místnosti</w:t>
      </w:r>
      <w:r w:rsidR="0003241C">
        <w:t>.</w:t>
      </w:r>
    </w:p>
    <w:p w:rsidR="0019441D" w:rsidRDefault="0019441D"/>
    <w:p w:rsidR="00C413C6" w:rsidRDefault="00C413C6" w:rsidP="00A75C68">
      <w:pPr>
        <w:ind w:left="0" w:firstLine="284"/>
        <w:jc w:val="both"/>
      </w:pPr>
      <w:r>
        <w:t xml:space="preserve">Biospace (2009b) </w:t>
      </w:r>
      <w:r w:rsidR="00664815">
        <w:t>ještě dodává podmínky:</w:t>
      </w:r>
    </w:p>
    <w:p w:rsidR="00664815" w:rsidRDefault="00664815" w:rsidP="00F830A4">
      <w:pPr>
        <w:pStyle w:val="Odstavecseseznamem"/>
        <w:numPr>
          <w:ilvl w:val="0"/>
          <w:numId w:val="6"/>
        </w:numPr>
        <w:jc w:val="both"/>
      </w:pPr>
      <w:r>
        <w:t xml:space="preserve">zůstat stát alespoň 5 minut před testem, brání se tím </w:t>
      </w:r>
      <w:r w:rsidR="0003241C">
        <w:t>nerovnoměrnému</w:t>
      </w:r>
      <w:r>
        <w:t xml:space="preserve"> rozložení tělesné vody</w:t>
      </w:r>
      <w:r w:rsidR="0003241C">
        <w:t>;</w:t>
      </w:r>
    </w:p>
    <w:p w:rsidR="00664815" w:rsidRDefault="00664815" w:rsidP="00F830A4">
      <w:pPr>
        <w:pStyle w:val="Odstavecseseznamem"/>
        <w:numPr>
          <w:ilvl w:val="0"/>
          <w:numId w:val="6"/>
        </w:numPr>
        <w:jc w:val="both"/>
      </w:pPr>
      <w:r>
        <w:t>neprovádět test těsně po sprchování nebo saunování</w:t>
      </w:r>
      <w:r w:rsidR="0003241C">
        <w:t>;</w:t>
      </w:r>
      <w:r>
        <w:t xml:space="preserve"> </w:t>
      </w:r>
    </w:p>
    <w:p w:rsidR="00664815" w:rsidRDefault="00664815" w:rsidP="00F830A4">
      <w:pPr>
        <w:pStyle w:val="Odstavecseseznamem"/>
        <w:numPr>
          <w:ilvl w:val="0"/>
          <w:numId w:val="6"/>
        </w:numPr>
        <w:jc w:val="both"/>
      </w:pPr>
      <w:r>
        <w:t>pokud se provádí opakovaný test, musí být při shodných podmínkách</w:t>
      </w:r>
      <w:r w:rsidR="0003241C">
        <w:t>.</w:t>
      </w:r>
    </w:p>
    <w:p w:rsidR="00F92E4F" w:rsidRDefault="00C413C6" w:rsidP="00A75C68">
      <w:pPr>
        <w:ind w:left="0" w:firstLine="284"/>
        <w:jc w:val="both"/>
      </w:pPr>
      <w:r>
        <w:t>Měření pomocí InBody 720 i Tanity BC 418 se provádí osmi bodovými dotykovými elektrodami</w:t>
      </w:r>
      <w:r w:rsidR="00253A75">
        <w:t xml:space="preserve"> (Obrázek 2</w:t>
      </w:r>
      <w:r w:rsidR="0019441D">
        <w:t>)</w:t>
      </w:r>
      <w:r>
        <w:t xml:space="preserve">. </w:t>
      </w:r>
    </w:p>
    <w:p w:rsidR="0003241C" w:rsidRDefault="0003241C" w:rsidP="00A75C68">
      <w:pPr>
        <w:ind w:left="0" w:firstLine="284"/>
        <w:jc w:val="both"/>
      </w:pPr>
    </w:p>
    <w:p w:rsidR="0019441D" w:rsidRDefault="00253A75" w:rsidP="00A75C68">
      <w:pPr>
        <w:ind w:left="0" w:firstLine="284"/>
        <w:jc w:val="both"/>
      </w:pPr>
      <w:r>
        <w:rPr>
          <w:noProof/>
          <w:lang w:eastAsia="cs-CZ"/>
        </w:rPr>
        <w:drawing>
          <wp:anchor distT="0" distB="0" distL="114300" distR="114300" simplePos="0" relativeHeight="251658240" behindDoc="1" locked="0" layoutInCell="1" allowOverlap="1">
            <wp:simplePos x="0" y="0"/>
            <wp:positionH relativeFrom="column">
              <wp:posOffset>-88900</wp:posOffset>
            </wp:positionH>
            <wp:positionV relativeFrom="paragraph">
              <wp:posOffset>105410</wp:posOffset>
            </wp:positionV>
            <wp:extent cx="2657475" cy="2657475"/>
            <wp:effectExtent l="19050" t="0" r="9525" b="0"/>
            <wp:wrapTight wrapText="bothSides">
              <wp:wrapPolygon edited="0">
                <wp:start x="-155" y="0"/>
                <wp:lineTo x="-155" y="21523"/>
                <wp:lineTo x="21677" y="21523"/>
                <wp:lineTo x="21677" y="0"/>
                <wp:lineTo x="-155"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7475" cy="2657475"/>
                    </a:xfrm>
                    <a:prstGeom prst="rect">
                      <a:avLst/>
                    </a:prstGeom>
                    <a:noFill/>
                    <a:ln w="9525">
                      <a:noFill/>
                      <a:miter lim="800000"/>
                      <a:headEnd/>
                      <a:tailEnd/>
                    </a:ln>
                  </pic:spPr>
                </pic:pic>
              </a:graphicData>
            </a:graphic>
          </wp:anchor>
        </w:drawing>
      </w:r>
    </w:p>
    <w:p w:rsidR="0019441D" w:rsidRDefault="00253A75" w:rsidP="00A75C68">
      <w:pPr>
        <w:ind w:left="0" w:firstLine="284"/>
        <w:jc w:val="both"/>
      </w:pPr>
      <w:r w:rsidRPr="00253A75">
        <w:rPr>
          <w:noProof/>
          <w:lang w:eastAsia="cs-CZ"/>
        </w:rPr>
        <w:drawing>
          <wp:inline distT="0" distB="0" distL="0" distR="0">
            <wp:extent cx="2480784" cy="2657475"/>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91675" cy="2669142"/>
                    </a:xfrm>
                    <a:prstGeom prst="rect">
                      <a:avLst/>
                    </a:prstGeom>
                    <a:noFill/>
                    <a:ln w="9525">
                      <a:noFill/>
                      <a:miter lim="800000"/>
                      <a:headEnd/>
                      <a:tailEnd/>
                    </a:ln>
                  </pic:spPr>
                </pic:pic>
              </a:graphicData>
            </a:graphic>
          </wp:inline>
        </w:drawing>
      </w:r>
    </w:p>
    <w:p w:rsidR="00944CCA" w:rsidRDefault="00253A75" w:rsidP="00944CCA">
      <w:pPr>
        <w:ind w:left="0" w:firstLine="0"/>
        <w:jc w:val="both"/>
      </w:pPr>
      <w:r>
        <w:t>Obrázek 2</w:t>
      </w:r>
      <w:r w:rsidR="0019441D" w:rsidRPr="009C1EA1">
        <w:t xml:space="preserve">. </w:t>
      </w:r>
      <w:r w:rsidR="0019441D">
        <w:t xml:space="preserve">Tanita BC 418 a </w:t>
      </w:r>
      <w:r w:rsidR="0019441D" w:rsidRPr="009C1EA1">
        <w:t xml:space="preserve">In Body 720 (dle </w:t>
      </w:r>
      <w:hyperlink r:id="rId11" w:history="1">
        <w:r w:rsidR="0019441D" w:rsidRPr="0019441D">
          <w:rPr>
            <w:rStyle w:val="Hypertextovodkaz"/>
            <w:color w:val="auto"/>
            <w:u w:val="none"/>
          </w:rPr>
          <w:t>Biospace,</w:t>
        </w:r>
      </w:hyperlink>
      <w:r w:rsidR="0019441D" w:rsidRPr="0019441D">
        <w:t xml:space="preserve"> </w:t>
      </w:r>
      <w:r w:rsidR="0019441D" w:rsidRPr="009C1EA1">
        <w:t>2009b</w:t>
      </w:r>
      <w:r w:rsidR="0019441D">
        <w:t>; Tanita, 2011</w:t>
      </w:r>
      <w:r w:rsidR="0019441D" w:rsidRPr="009C1EA1">
        <w:t>)</w:t>
      </w:r>
    </w:p>
    <w:p w:rsidR="0003241C" w:rsidRDefault="0003241C" w:rsidP="00944CCA">
      <w:pPr>
        <w:ind w:left="0" w:firstLine="0"/>
        <w:jc w:val="both"/>
      </w:pPr>
    </w:p>
    <w:p w:rsidR="00A75C68" w:rsidRPr="009C1EA1" w:rsidRDefault="00944CCA" w:rsidP="00944CCA">
      <w:pPr>
        <w:ind w:left="0" w:firstLine="284"/>
        <w:jc w:val="both"/>
      </w:pPr>
      <w:r>
        <w:t>E</w:t>
      </w:r>
      <w:r w:rsidR="00A75C68" w:rsidRPr="009C1EA1">
        <w:t>lektrody jsou umístěny na horní části přístroje</w:t>
      </w:r>
      <w:r>
        <w:t xml:space="preserve"> – palcová a dlaňová elektroda a</w:t>
      </w:r>
      <w:r w:rsidR="00A75C68" w:rsidRPr="009C1EA1">
        <w:t xml:space="preserve"> na spodní části, kde se nachází elektrody pro přední a zadní části chodidla. Důležitý je správný úc</w:t>
      </w:r>
      <w:r w:rsidR="00453CD0">
        <w:t>hop a postavení nohou (Obrázek 3</w:t>
      </w:r>
      <w:r w:rsidR="00A75C68" w:rsidRPr="009C1EA1">
        <w:t xml:space="preserve"> a </w:t>
      </w:r>
      <w:r w:rsidR="00453CD0">
        <w:t>4</w:t>
      </w:r>
      <w:r w:rsidR="00A75C68" w:rsidRPr="009C1EA1">
        <w:t xml:space="preserve">). </w:t>
      </w:r>
    </w:p>
    <w:p w:rsidR="00A75C68" w:rsidRPr="009C1EA1" w:rsidRDefault="00A75C68" w:rsidP="00A75C68">
      <w:pPr>
        <w:ind w:left="0" w:firstLine="0"/>
      </w:pPr>
    </w:p>
    <w:p w:rsidR="00A75C68" w:rsidRPr="009C1EA1" w:rsidRDefault="00A75C68" w:rsidP="00A75C68">
      <w:pPr>
        <w:ind w:left="0" w:firstLine="0"/>
      </w:pPr>
    </w:p>
    <w:p w:rsidR="00A75C68" w:rsidRPr="009C1EA1" w:rsidRDefault="00A75C68" w:rsidP="00A75C68">
      <w:pPr>
        <w:ind w:left="0" w:firstLine="0"/>
      </w:pPr>
    </w:p>
    <w:p w:rsidR="00A75C68" w:rsidRPr="009C1EA1" w:rsidRDefault="00A75C68" w:rsidP="00A75C68">
      <w:pPr>
        <w:ind w:left="0" w:firstLine="0"/>
        <w:jc w:val="both"/>
      </w:pPr>
      <w:r w:rsidRPr="009C1EA1">
        <w:rPr>
          <w:noProof/>
          <w:lang w:eastAsia="cs-CZ"/>
        </w:rPr>
        <w:lastRenderedPageBreak/>
        <w:drawing>
          <wp:inline distT="0" distB="0" distL="0" distR="0">
            <wp:extent cx="2892829" cy="2001328"/>
            <wp:effectExtent l="19050" t="0" r="2771"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03787" cy="2008909"/>
                    </a:xfrm>
                    <a:prstGeom prst="rect">
                      <a:avLst/>
                    </a:prstGeom>
                    <a:noFill/>
                    <a:ln w="9525">
                      <a:noFill/>
                      <a:miter lim="800000"/>
                      <a:headEnd/>
                      <a:tailEnd/>
                    </a:ln>
                  </pic:spPr>
                </pic:pic>
              </a:graphicData>
            </a:graphic>
          </wp:inline>
        </w:drawing>
      </w:r>
      <w:r w:rsidRPr="009C1EA1">
        <w:t xml:space="preserve"> </w:t>
      </w:r>
    </w:p>
    <w:p w:rsidR="00A75C68" w:rsidRPr="009C1EA1" w:rsidRDefault="00453CD0" w:rsidP="00A75C68">
      <w:pPr>
        <w:ind w:left="0" w:firstLine="0"/>
        <w:jc w:val="both"/>
      </w:pPr>
      <w:r>
        <w:t>Obrázek 3</w:t>
      </w:r>
      <w:r w:rsidR="00A75C68" w:rsidRPr="009C1EA1">
        <w:t xml:space="preserve">. Správný úchop palcové a dlaňové elektrody (dle </w:t>
      </w:r>
      <w:hyperlink r:id="rId13" w:history="1">
        <w:r w:rsidR="00A75C68" w:rsidRPr="006B7539">
          <w:rPr>
            <w:rStyle w:val="Hypertextovodkaz"/>
            <w:color w:val="auto"/>
            <w:u w:val="none"/>
          </w:rPr>
          <w:t>Biospace</w:t>
        </w:r>
      </w:hyperlink>
      <w:r w:rsidR="00944CCA" w:rsidRPr="006B7539">
        <w:t>, 2009b</w:t>
      </w:r>
      <w:r w:rsidR="00A75C68" w:rsidRPr="009C1EA1">
        <w:t>)</w:t>
      </w:r>
    </w:p>
    <w:p w:rsidR="00A75C68" w:rsidRPr="009C1EA1" w:rsidRDefault="00A75C68" w:rsidP="00A75C68">
      <w:pPr>
        <w:ind w:left="0" w:firstLine="0"/>
        <w:jc w:val="both"/>
      </w:pPr>
    </w:p>
    <w:p w:rsidR="00A75C68" w:rsidRPr="009C1EA1" w:rsidRDefault="00A75C68" w:rsidP="00A75C68">
      <w:pPr>
        <w:ind w:left="0" w:firstLine="0"/>
        <w:jc w:val="both"/>
      </w:pPr>
      <w:r w:rsidRPr="009C1EA1">
        <w:rPr>
          <w:noProof/>
          <w:lang w:eastAsia="cs-CZ"/>
        </w:rPr>
        <w:drawing>
          <wp:inline distT="0" distB="0" distL="0" distR="0">
            <wp:extent cx="2805544" cy="2362357"/>
            <wp:effectExtent l="1905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09251" cy="2365478"/>
                    </a:xfrm>
                    <a:prstGeom prst="rect">
                      <a:avLst/>
                    </a:prstGeom>
                    <a:noFill/>
                    <a:ln w="9525">
                      <a:noFill/>
                      <a:miter lim="800000"/>
                      <a:headEnd/>
                      <a:tailEnd/>
                    </a:ln>
                  </pic:spPr>
                </pic:pic>
              </a:graphicData>
            </a:graphic>
          </wp:inline>
        </w:drawing>
      </w:r>
    </w:p>
    <w:p w:rsidR="00A75C68" w:rsidRPr="009C1EA1" w:rsidRDefault="00944CCA" w:rsidP="00A75C68">
      <w:pPr>
        <w:ind w:left="0" w:firstLine="0"/>
        <w:jc w:val="both"/>
      </w:pPr>
      <w:r>
        <w:t xml:space="preserve">Obrázek </w:t>
      </w:r>
      <w:r w:rsidR="00453CD0">
        <w:t>4</w:t>
      </w:r>
      <w:r w:rsidR="00A75C68" w:rsidRPr="009C1EA1">
        <w:t>. Správné postavení nohou na elektrodách (</w:t>
      </w:r>
      <w:r w:rsidR="00A75C68" w:rsidRPr="006B7539">
        <w:t xml:space="preserve">dle </w:t>
      </w:r>
      <w:hyperlink r:id="rId15" w:history="1">
        <w:r w:rsidR="00A75C68" w:rsidRPr="006B7539">
          <w:rPr>
            <w:rStyle w:val="Hypertextovodkaz"/>
            <w:color w:val="auto"/>
            <w:u w:val="none"/>
          </w:rPr>
          <w:t>Biospace</w:t>
        </w:r>
      </w:hyperlink>
      <w:r w:rsidRPr="006B7539">
        <w:t>,</w:t>
      </w:r>
      <w:r>
        <w:t xml:space="preserve"> 2009b</w:t>
      </w:r>
      <w:r w:rsidR="00A75C68" w:rsidRPr="009C1EA1">
        <w:t>)</w:t>
      </w:r>
    </w:p>
    <w:p w:rsidR="00A75C68" w:rsidRPr="009C1EA1" w:rsidRDefault="00A75C68" w:rsidP="00A75C68">
      <w:pPr>
        <w:ind w:left="0" w:firstLine="0"/>
        <w:jc w:val="both"/>
      </w:pPr>
    </w:p>
    <w:p w:rsidR="0003241C" w:rsidRDefault="0003241C" w:rsidP="0003241C">
      <w:pPr>
        <w:pStyle w:val="Nadpis2"/>
        <w:rPr>
          <w:rFonts w:ascii="Times New Roman" w:hAnsi="Times New Roman"/>
          <w:i w:val="0"/>
          <w:sz w:val="26"/>
          <w:szCs w:val="26"/>
        </w:rPr>
      </w:pPr>
      <w:bookmarkStart w:id="25" w:name="_Toc324848223"/>
      <w:r>
        <w:rPr>
          <w:rFonts w:ascii="Times New Roman" w:hAnsi="Times New Roman"/>
          <w:i w:val="0"/>
          <w:sz w:val="26"/>
          <w:szCs w:val="26"/>
        </w:rPr>
        <w:t xml:space="preserve">4.3 </w:t>
      </w:r>
      <w:r w:rsidR="003A71AF">
        <w:rPr>
          <w:rFonts w:ascii="Times New Roman" w:hAnsi="Times New Roman"/>
          <w:i w:val="0"/>
          <w:sz w:val="26"/>
          <w:szCs w:val="26"/>
        </w:rPr>
        <w:t>Statistické z</w:t>
      </w:r>
      <w:r>
        <w:rPr>
          <w:rFonts w:ascii="Times New Roman" w:hAnsi="Times New Roman"/>
          <w:i w:val="0"/>
          <w:sz w:val="26"/>
          <w:szCs w:val="26"/>
        </w:rPr>
        <w:t>pracování dat</w:t>
      </w:r>
      <w:bookmarkEnd w:id="25"/>
    </w:p>
    <w:p w:rsidR="003A71AF" w:rsidRDefault="003A71AF" w:rsidP="003A71AF"/>
    <w:p w:rsidR="0003241C" w:rsidRDefault="003A71AF" w:rsidP="003A71AF">
      <w:pPr>
        <w:ind w:left="0" w:firstLine="284"/>
        <w:jc w:val="both"/>
      </w:pPr>
      <w:r>
        <w:t xml:space="preserve">Zpracování dat týkající se tělesného složení se uskutečnilo prostřednictvím softwarů </w:t>
      </w:r>
      <w:r w:rsidRPr="003A71AF">
        <w:t>Lookin' Body 3.0 a Tanita GMON.</w:t>
      </w:r>
      <w:r w:rsidRPr="0090030B">
        <w:rPr>
          <w:sz w:val="18"/>
          <w:szCs w:val="18"/>
        </w:rPr>
        <w:t xml:space="preserve">  </w:t>
      </w:r>
      <w:r w:rsidR="003E1257">
        <w:t>Pro statistické zpracování dat byl po</w:t>
      </w:r>
      <w:r w:rsidR="00935A57">
        <w:t>užit program STATISTICA 9. Data</w:t>
      </w:r>
      <w:r w:rsidR="003E1257">
        <w:t xml:space="preserve"> byla převedena do programu Microsoft Office Ex</w:t>
      </w:r>
      <w:r w:rsidR="00765D15">
        <w:t>c</w:t>
      </w:r>
      <w:r w:rsidR="003E1257">
        <w:t xml:space="preserve">el 2007.  </w:t>
      </w:r>
    </w:p>
    <w:p w:rsidR="00DC4F23" w:rsidRDefault="00DC4F23">
      <w:r>
        <w:br w:type="page"/>
      </w:r>
    </w:p>
    <w:p w:rsidR="00A75C68" w:rsidRDefault="00A75C68" w:rsidP="00A75C68">
      <w:pPr>
        <w:pStyle w:val="Nadpis1"/>
        <w:ind w:left="0" w:firstLine="0"/>
        <w:rPr>
          <w:rFonts w:ascii="Times New Roman" w:hAnsi="Times New Roman" w:cs="Times New Roman"/>
          <w:color w:val="auto"/>
        </w:rPr>
      </w:pPr>
      <w:bookmarkStart w:id="26" w:name="_Toc291609113"/>
      <w:bookmarkStart w:id="27" w:name="_Toc324848224"/>
      <w:r w:rsidRPr="009C1EA1">
        <w:rPr>
          <w:rFonts w:ascii="Times New Roman" w:hAnsi="Times New Roman" w:cs="Times New Roman"/>
          <w:color w:val="auto"/>
        </w:rPr>
        <w:lastRenderedPageBreak/>
        <w:t>5 VÝSLEDKY</w:t>
      </w:r>
      <w:bookmarkEnd w:id="26"/>
      <w:r>
        <w:rPr>
          <w:rFonts w:ascii="Times New Roman" w:hAnsi="Times New Roman" w:cs="Times New Roman"/>
          <w:color w:val="auto"/>
        </w:rPr>
        <w:t xml:space="preserve"> A DISKUZE</w:t>
      </w:r>
      <w:bookmarkEnd w:id="27"/>
      <w:r w:rsidRPr="009C1EA1">
        <w:rPr>
          <w:rFonts w:ascii="Times New Roman" w:hAnsi="Times New Roman" w:cs="Times New Roman"/>
          <w:color w:val="auto"/>
        </w:rPr>
        <w:t xml:space="preserve"> </w:t>
      </w:r>
    </w:p>
    <w:p w:rsidR="00935A57" w:rsidRDefault="00935A57" w:rsidP="00935A57"/>
    <w:p w:rsidR="00935A57" w:rsidRPr="00935A57" w:rsidRDefault="00935A57" w:rsidP="00935A57">
      <w:pPr>
        <w:pStyle w:val="Nadpis2"/>
        <w:rPr>
          <w:i w:val="0"/>
          <w:sz w:val="26"/>
          <w:szCs w:val="26"/>
        </w:rPr>
      </w:pPr>
      <w:bookmarkStart w:id="28" w:name="_Toc324848225"/>
      <w:r w:rsidRPr="00935A57">
        <w:rPr>
          <w:i w:val="0"/>
          <w:sz w:val="26"/>
          <w:szCs w:val="26"/>
        </w:rPr>
        <w:t>5. 1 Vybrané parametry tělesného složení</w:t>
      </w:r>
      <w:bookmarkEnd w:id="28"/>
    </w:p>
    <w:p w:rsidR="00A75C68" w:rsidRPr="009C1EA1" w:rsidRDefault="00A75C68" w:rsidP="00A75C68">
      <w:pPr>
        <w:jc w:val="both"/>
      </w:pPr>
    </w:p>
    <w:p w:rsidR="00935A57" w:rsidRDefault="00935A57" w:rsidP="00935A57">
      <w:pPr>
        <w:ind w:left="0" w:firstLine="284"/>
        <w:jc w:val="both"/>
      </w:pPr>
      <w:r>
        <w:t>Výzkumný s</w:t>
      </w:r>
      <w:r w:rsidR="00A75C68" w:rsidRPr="009C1EA1">
        <w:t>oubor jsme rozdělili podle pohlaví. Průměrný věk u mužů byl 41,0 let</w:t>
      </w:r>
      <w:r w:rsidR="00487348">
        <w:t>, nejvíce m</w:t>
      </w:r>
      <w:r w:rsidR="001F2665">
        <w:t>užů spadalo do rozmezí 30–</w:t>
      </w:r>
      <w:r w:rsidR="00487348">
        <w:t>39 let. U</w:t>
      </w:r>
      <w:r w:rsidR="00A75C68" w:rsidRPr="009C1EA1">
        <w:t xml:space="preserve"> žen </w:t>
      </w:r>
      <w:r w:rsidR="00487348">
        <w:t>byl průměrný věk</w:t>
      </w:r>
      <w:r w:rsidR="00637D62">
        <w:t xml:space="preserve"> 50,8 let, většina</w:t>
      </w:r>
      <w:r w:rsidR="00487348">
        <w:t xml:space="preserve"> žen b</w:t>
      </w:r>
      <w:r w:rsidR="00637D62">
        <w:t>yla</w:t>
      </w:r>
      <w:r w:rsidR="00487348">
        <w:t xml:space="preserve"> v rozmezí </w:t>
      </w:r>
      <w:r w:rsidR="00637D62">
        <w:t>50 let a více, což v</w:t>
      </w:r>
      <w:r w:rsidR="00487348">
        <w:t xml:space="preserve">ypovídá o starším vzorku žen se schizofrenií. </w:t>
      </w:r>
      <w:r w:rsidR="00A75C68" w:rsidRPr="009C1EA1">
        <w:t xml:space="preserve">U mužů byla průměrná výška 176 cm, u žen 159 cm. Tělesná hmotnost byla </w:t>
      </w:r>
      <w:r>
        <w:t>vyšší, než by měla být cílová hmotnost</w:t>
      </w:r>
      <w:r w:rsidR="00A75C68" w:rsidRPr="009C1EA1">
        <w:t>, u mužů v průměru o 5,1 kg, u žen dokonce o 17,9 kg.</w:t>
      </w:r>
      <w:r>
        <w:t xml:space="preserve"> Bazální metabolismus nám ukazuje výdej energie v klidu. Jeho hodnoty by se </w:t>
      </w:r>
      <w:r w:rsidR="001F2665">
        <w:t>měly pohybovat v rozmezí 1300–</w:t>
      </w:r>
      <w:r>
        <w:t>2000 kcal/den (Seliger, Vinařický, &amp; Trefný, 1983), což jak u mužů, tak u žen bylo dodrženo. Rozdíl v hodnotách koresponduje s rozdílem mezi pohlavím (ženy mají menší BM než muži), u žen se na jeho snižování mohl podílet jak vyšší věk, tak i malé množství pohybové aktivity a vyšší hmotnost, u mužů mohlo k zvýšení přispět i kouření, které BM zvyšuje (</w:t>
      </w:r>
      <w:r w:rsidRPr="0041784B">
        <w:rPr>
          <w:rFonts w:eastAsia="Times New Roman"/>
          <w:lang w:eastAsia="cs-CZ"/>
        </w:rPr>
        <w:t>Akbartabartoor</w:t>
      </w:r>
      <w:r>
        <w:rPr>
          <w:rFonts w:eastAsia="Times New Roman"/>
          <w:lang w:eastAsia="cs-CZ"/>
        </w:rPr>
        <w:t xml:space="preserve">i, </w:t>
      </w:r>
      <w:r w:rsidRPr="0041784B">
        <w:rPr>
          <w:rFonts w:eastAsia="Times New Roman"/>
          <w:lang w:eastAsia="cs-CZ"/>
        </w:rPr>
        <w:t>Lean</w:t>
      </w:r>
      <w:r>
        <w:rPr>
          <w:rFonts w:eastAsia="Times New Roman"/>
          <w:lang w:eastAsia="cs-CZ"/>
        </w:rPr>
        <w:t xml:space="preserve">, &amp; Hankey, 2005; </w:t>
      </w:r>
      <w:r w:rsidRPr="00C10FA3">
        <w:t>Kleppinger et al.</w:t>
      </w:r>
      <w:r>
        <w:t xml:space="preserve">, 2010). </w:t>
      </w:r>
    </w:p>
    <w:p w:rsidR="00935A57" w:rsidRPr="009C1EA1" w:rsidRDefault="00935A57" w:rsidP="00935A57">
      <w:pPr>
        <w:tabs>
          <w:tab w:val="left" w:pos="1875"/>
        </w:tabs>
        <w:ind w:left="0" w:firstLine="284"/>
        <w:jc w:val="both"/>
      </w:pPr>
    </w:p>
    <w:p w:rsidR="00F42F95" w:rsidRPr="009C1EA1" w:rsidRDefault="00F42F95" w:rsidP="00F42F95">
      <w:pPr>
        <w:ind w:left="0" w:firstLine="0"/>
        <w:jc w:val="both"/>
      </w:pPr>
      <w:r w:rsidRPr="009C1EA1">
        <w:t>Tabulka</w:t>
      </w:r>
      <w:r>
        <w:t xml:space="preserve"> 3</w:t>
      </w:r>
      <w:r w:rsidRPr="009C1EA1">
        <w:t xml:space="preserve">. Základní </w:t>
      </w:r>
      <w:r w:rsidR="00DF3B9E">
        <w:t xml:space="preserve">statistické </w:t>
      </w:r>
      <w:r w:rsidRPr="009C1EA1">
        <w:t>charakteristik</w:t>
      </w:r>
      <w:r w:rsidR="00DF3B9E">
        <w:t>y</w:t>
      </w:r>
      <w:r w:rsidRPr="009C1EA1">
        <w:t xml:space="preserve"> vybraných parametrů</w:t>
      </w:r>
      <w:r w:rsidR="00DF3B9E">
        <w:t xml:space="preserve"> u mužů</w:t>
      </w:r>
    </w:p>
    <w:tbl>
      <w:tblPr>
        <w:tblStyle w:val="Mkatabulky"/>
        <w:tblW w:w="8505" w:type="dxa"/>
        <w:tblInd w:w="108" w:type="dxa"/>
        <w:tblLayout w:type="fixed"/>
        <w:tblLook w:val="04A0"/>
      </w:tblPr>
      <w:tblGrid>
        <w:gridCol w:w="2977"/>
        <w:gridCol w:w="1276"/>
        <w:gridCol w:w="1276"/>
        <w:gridCol w:w="1559"/>
        <w:gridCol w:w="1417"/>
      </w:tblGrid>
      <w:tr w:rsidR="00F42F95" w:rsidRPr="009C1EA1" w:rsidTr="00935A57">
        <w:trPr>
          <w:trHeight w:val="284"/>
        </w:trPr>
        <w:tc>
          <w:tcPr>
            <w:tcW w:w="2977" w:type="dxa"/>
            <w:vMerge w:val="restart"/>
            <w:vAlign w:val="center"/>
          </w:tcPr>
          <w:p w:rsidR="00F42F95" w:rsidRPr="009C1EA1" w:rsidRDefault="00F42F95" w:rsidP="003F28CD">
            <w:pPr>
              <w:ind w:left="0" w:firstLine="0"/>
              <w:jc w:val="center"/>
            </w:pPr>
            <w:r w:rsidRPr="009C1EA1">
              <w:t>parametry</w:t>
            </w:r>
          </w:p>
        </w:tc>
        <w:tc>
          <w:tcPr>
            <w:tcW w:w="5528" w:type="dxa"/>
            <w:gridSpan w:val="4"/>
          </w:tcPr>
          <w:p w:rsidR="00F42F95" w:rsidRPr="009C1EA1" w:rsidRDefault="00F42F95" w:rsidP="003F28CD">
            <w:pPr>
              <w:ind w:left="0" w:firstLine="0"/>
              <w:jc w:val="center"/>
            </w:pPr>
            <w:r w:rsidRPr="009C1EA1">
              <w:t>muži (n = 27)</w:t>
            </w:r>
          </w:p>
        </w:tc>
      </w:tr>
      <w:tr w:rsidR="00F42F95" w:rsidRPr="009C1EA1" w:rsidTr="00935A57">
        <w:trPr>
          <w:trHeight w:val="152"/>
        </w:trPr>
        <w:tc>
          <w:tcPr>
            <w:tcW w:w="2977" w:type="dxa"/>
            <w:vMerge/>
          </w:tcPr>
          <w:p w:rsidR="00F42F95" w:rsidRPr="009C1EA1" w:rsidRDefault="00F42F95" w:rsidP="003F28CD">
            <w:pPr>
              <w:ind w:left="0" w:firstLine="0"/>
              <w:jc w:val="center"/>
            </w:pPr>
          </w:p>
        </w:tc>
        <w:tc>
          <w:tcPr>
            <w:tcW w:w="1276" w:type="dxa"/>
          </w:tcPr>
          <w:p w:rsidR="00F42F95" w:rsidRPr="009C1EA1" w:rsidRDefault="00F42F95" w:rsidP="003F28CD">
            <w:pPr>
              <w:ind w:left="0" w:firstLine="0"/>
              <w:jc w:val="center"/>
            </w:pPr>
            <w:r w:rsidRPr="009C1EA1">
              <w:t>M.</w:t>
            </w:r>
          </w:p>
        </w:tc>
        <w:tc>
          <w:tcPr>
            <w:tcW w:w="1276" w:type="dxa"/>
          </w:tcPr>
          <w:p w:rsidR="00F42F95" w:rsidRPr="009C1EA1" w:rsidRDefault="00F42F95" w:rsidP="003F28CD">
            <w:pPr>
              <w:ind w:left="0" w:firstLine="0"/>
              <w:jc w:val="center"/>
            </w:pPr>
            <w:r w:rsidRPr="009C1EA1">
              <w:t>SD</w:t>
            </w:r>
          </w:p>
        </w:tc>
        <w:tc>
          <w:tcPr>
            <w:tcW w:w="1559" w:type="dxa"/>
          </w:tcPr>
          <w:p w:rsidR="00F42F95" w:rsidRPr="009C1EA1" w:rsidRDefault="00F42F95" w:rsidP="003F28CD">
            <w:pPr>
              <w:ind w:left="0" w:firstLine="0"/>
              <w:jc w:val="center"/>
            </w:pPr>
            <w:r w:rsidRPr="009C1EA1">
              <w:t>Min.</w:t>
            </w:r>
          </w:p>
        </w:tc>
        <w:tc>
          <w:tcPr>
            <w:tcW w:w="1417" w:type="dxa"/>
          </w:tcPr>
          <w:p w:rsidR="00F42F95" w:rsidRPr="009C1EA1" w:rsidRDefault="00F42F95" w:rsidP="003F28CD">
            <w:pPr>
              <w:ind w:left="0" w:firstLine="0"/>
              <w:jc w:val="center"/>
            </w:pPr>
            <w:r w:rsidRPr="009C1EA1">
              <w:t>Max.</w:t>
            </w:r>
          </w:p>
        </w:tc>
      </w:tr>
      <w:tr w:rsidR="00F42F95" w:rsidRPr="009C1EA1" w:rsidTr="00935A57">
        <w:trPr>
          <w:trHeight w:val="284"/>
        </w:trPr>
        <w:tc>
          <w:tcPr>
            <w:tcW w:w="2977" w:type="dxa"/>
          </w:tcPr>
          <w:p w:rsidR="00F42F95" w:rsidRPr="009C1EA1" w:rsidRDefault="00F42F95" w:rsidP="003F28CD">
            <w:pPr>
              <w:ind w:left="0" w:firstLine="0"/>
            </w:pPr>
            <w:r w:rsidRPr="009C1EA1">
              <w:t>Věk</w:t>
            </w:r>
          </w:p>
        </w:tc>
        <w:tc>
          <w:tcPr>
            <w:tcW w:w="1276" w:type="dxa"/>
          </w:tcPr>
          <w:p w:rsidR="00F42F95" w:rsidRPr="009C1EA1" w:rsidRDefault="00F42F95" w:rsidP="003F28CD">
            <w:pPr>
              <w:ind w:left="0" w:firstLine="0"/>
              <w:jc w:val="right"/>
            </w:pPr>
            <w:r w:rsidRPr="009C1EA1">
              <w:t>41,0</w:t>
            </w:r>
          </w:p>
        </w:tc>
        <w:tc>
          <w:tcPr>
            <w:tcW w:w="1276" w:type="dxa"/>
          </w:tcPr>
          <w:p w:rsidR="00F42F95" w:rsidRPr="009C1EA1" w:rsidRDefault="00F42F95" w:rsidP="003F28CD">
            <w:pPr>
              <w:ind w:left="0" w:firstLine="0"/>
              <w:jc w:val="right"/>
            </w:pPr>
            <w:r w:rsidRPr="009C1EA1">
              <w:t>12,5</w:t>
            </w:r>
          </w:p>
        </w:tc>
        <w:tc>
          <w:tcPr>
            <w:tcW w:w="1559" w:type="dxa"/>
            <w:tcBorders>
              <w:bottom w:val="single" w:sz="4" w:space="0" w:color="000000" w:themeColor="text1"/>
            </w:tcBorders>
          </w:tcPr>
          <w:p w:rsidR="00F42F95" w:rsidRPr="009C1EA1" w:rsidRDefault="00F42F95" w:rsidP="003F28CD">
            <w:pPr>
              <w:ind w:left="0" w:firstLine="0"/>
              <w:jc w:val="right"/>
            </w:pPr>
            <w:r w:rsidRPr="009C1EA1">
              <w:t>24,0</w:t>
            </w:r>
          </w:p>
        </w:tc>
        <w:tc>
          <w:tcPr>
            <w:tcW w:w="1417" w:type="dxa"/>
          </w:tcPr>
          <w:p w:rsidR="00F42F95" w:rsidRPr="009C1EA1" w:rsidRDefault="00F42F95" w:rsidP="003F28CD">
            <w:pPr>
              <w:ind w:left="0" w:firstLine="0"/>
              <w:jc w:val="right"/>
            </w:pPr>
            <w:r w:rsidRPr="009C1EA1">
              <w:t>64,0</w:t>
            </w:r>
          </w:p>
        </w:tc>
      </w:tr>
      <w:tr w:rsidR="00F42F95" w:rsidRPr="009C1EA1" w:rsidTr="00935A57">
        <w:trPr>
          <w:trHeight w:val="298"/>
        </w:trPr>
        <w:tc>
          <w:tcPr>
            <w:tcW w:w="2977" w:type="dxa"/>
          </w:tcPr>
          <w:p w:rsidR="00F42F95" w:rsidRPr="009C1EA1" w:rsidRDefault="00F42F95" w:rsidP="003F28CD">
            <w:pPr>
              <w:ind w:left="0" w:firstLine="0"/>
            </w:pPr>
            <w:r w:rsidRPr="009C1EA1">
              <w:t>Tělesná výška</w:t>
            </w:r>
          </w:p>
        </w:tc>
        <w:tc>
          <w:tcPr>
            <w:tcW w:w="1276" w:type="dxa"/>
          </w:tcPr>
          <w:p w:rsidR="00F42F95" w:rsidRPr="009C1EA1" w:rsidRDefault="00F42F95" w:rsidP="003F28CD">
            <w:pPr>
              <w:ind w:left="0" w:firstLine="0"/>
              <w:jc w:val="right"/>
            </w:pPr>
            <w:r w:rsidRPr="009C1EA1">
              <w:t>176,0</w:t>
            </w:r>
          </w:p>
        </w:tc>
        <w:tc>
          <w:tcPr>
            <w:tcW w:w="1276" w:type="dxa"/>
          </w:tcPr>
          <w:p w:rsidR="00F42F95" w:rsidRPr="009C1EA1" w:rsidRDefault="00F42F95" w:rsidP="003F28CD">
            <w:pPr>
              <w:ind w:left="0" w:firstLine="0"/>
              <w:jc w:val="right"/>
            </w:pPr>
            <w:r w:rsidRPr="009C1EA1">
              <w:t>10,0</w:t>
            </w:r>
          </w:p>
        </w:tc>
        <w:tc>
          <w:tcPr>
            <w:tcW w:w="1559" w:type="dxa"/>
            <w:tcBorders>
              <w:bottom w:val="single" w:sz="4" w:space="0" w:color="auto"/>
            </w:tcBorders>
          </w:tcPr>
          <w:p w:rsidR="00F42F95" w:rsidRPr="009C1EA1" w:rsidRDefault="00F42F95" w:rsidP="003F28CD">
            <w:pPr>
              <w:ind w:left="0" w:firstLine="0"/>
              <w:jc w:val="right"/>
            </w:pPr>
            <w:r w:rsidRPr="009C1EA1">
              <w:t>156,5</w:t>
            </w:r>
          </w:p>
        </w:tc>
        <w:tc>
          <w:tcPr>
            <w:tcW w:w="1417" w:type="dxa"/>
          </w:tcPr>
          <w:p w:rsidR="00F42F95" w:rsidRPr="009C1EA1" w:rsidRDefault="00F42F95" w:rsidP="003F28CD">
            <w:pPr>
              <w:ind w:left="0" w:firstLine="0"/>
              <w:jc w:val="right"/>
            </w:pPr>
            <w:r w:rsidRPr="009C1EA1">
              <w:t>197,0</w:t>
            </w:r>
          </w:p>
        </w:tc>
      </w:tr>
      <w:tr w:rsidR="00F42F95" w:rsidRPr="009C1EA1" w:rsidTr="00935A57">
        <w:trPr>
          <w:trHeight w:val="284"/>
        </w:trPr>
        <w:tc>
          <w:tcPr>
            <w:tcW w:w="2977" w:type="dxa"/>
          </w:tcPr>
          <w:p w:rsidR="00F42F95" w:rsidRPr="009C1EA1" w:rsidRDefault="00F42F95" w:rsidP="003F28CD">
            <w:pPr>
              <w:ind w:left="0" w:firstLine="0"/>
            </w:pPr>
            <w:r w:rsidRPr="009C1EA1">
              <w:t>Hmotnost</w:t>
            </w:r>
          </w:p>
        </w:tc>
        <w:tc>
          <w:tcPr>
            <w:tcW w:w="1276" w:type="dxa"/>
          </w:tcPr>
          <w:p w:rsidR="00F42F95" w:rsidRPr="009C1EA1" w:rsidRDefault="00F42F95" w:rsidP="003F28CD">
            <w:pPr>
              <w:ind w:left="0" w:firstLine="0"/>
              <w:jc w:val="right"/>
            </w:pPr>
            <w:r w:rsidRPr="009C1EA1">
              <w:t>77,5</w:t>
            </w:r>
          </w:p>
        </w:tc>
        <w:tc>
          <w:tcPr>
            <w:tcW w:w="1276" w:type="dxa"/>
          </w:tcPr>
          <w:p w:rsidR="00F42F95" w:rsidRPr="009C1EA1" w:rsidRDefault="00F42F95" w:rsidP="003F28CD">
            <w:pPr>
              <w:ind w:left="0" w:firstLine="0"/>
              <w:jc w:val="right"/>
            </w:pPr>
            <w:r w:rsidRPr="009C1EA1">
              <w:t>17,1</w:t>
            </w:r>
          </w:p>
        </w:tc>
        <w:tc>
          <w:tcPr>
            <w:tcW w:w="1559" w:type="dxa"/>
            <w:tcBorders>
              <w:top w:val="single" w:sz="4" w:space="0" w:color="auto"/>
            </w:tcBorders>
          </w:tcPr>
          <w:p w:rsidR="00F42F95" w:rsidRPr="009C1EA1" w:rsidRDefault="00F42F95" w:rsidP="003F28CD">
            <w:pPr>
              <w:ind w:left="0" w:firstLine="0"/>
              <w:jc w:val="right"/>
            </w:pPr>
            <w:r w:rsidRPr="009C1EA1">
              <w:t>52,5</w:t>
            </w:r>
          </w:p>
        </w:tc>
        <w:tc>
          <w:tcPr>
            <w:tcW w:w="1417" w:type="dxa"/>
          </w:tcPr>
          <w:p w:rsidR="00F42F95" w:rsidRPr="009C1EA1" w:rsidRDefault="00F42F95" w:rsidP="003F28CD">
            <w:pPr>
              <w:ind w:left="0" w:firstLine="0"/>
              <w:jc w:val="right"/>
            </w:pPr>
            <w:r w:rsidRPr="009C1EA1">
              <w:t>118,3</w:t>
            </w:r>
          </w:p>
        </w:tc>
      </w:tr>
      <w:tr w:rsidR="00F42F95" w:rsidRPr="009C1EA1" w:rsidTr="00935A57">
        <w:trPr>
          <w:trHeight w:val="254"/>
        </w:trPr>
        <w:tc>
          <w:tcPr>
            <w:tcW w:w="2977" w:type="dxa"/>
          </w:tcPr>
          <w:p w:rsidR="00F42F95" w:rsidRPr="00D37322" w:rsidRDefault="00F42F95" w:rsidP="00F42F95">
            <w:pPr>
              <w:ind w:left="0" w:firstLine="0"/>
            </w:pPr>
            <w:r>
              <w:t>Bazální metabolismus (kcal)</w:t>
            </w:r>
          </w:p>
        </w:tc>
        <w:tc>
          <w:tcPr>
            <w:tcW w:w="1276" w:type="dxa"/>
          </w:tcPr>
          <w:p w:rsidR="00F42F95" w:rsidRDefault="00F42F95" w:rsidP="003F28CD">
            <w:pPr>
              <w:jc w:val="right"/>
              <w:rPr>
                <w:color w:val="000000"/>
              </w:rPr>
            </w:pPr>
            <w:r>
              <w:rPr>
                <w:color w:val="000000"/>
              </w:rPr>
              <w:t>1656,6</w:t>
            </w:r>
          </w:p>
        </w:tc>
        <w:tc>
          <w:tcPr>
            <w:tcW w:w="1276" w:type="dxa"/>
          </w:tcPr>
          <w:p w:rsidR="00F42F95" w:rsidRDefault="00F42F95" w:rsidP="003F28CD">
            <w:pPr>
              <w:jc w:val="right"/>
              <w:rPr>
                <w:color w:val="000000"/>
              </w:rPr>
            </w:pPr>
            <w:r>
              <w:rPr>
                <w:color w:val="000000"/>
              </w:rPr>
              <w:t>200,1</w:t>
            </w:r>
          </w:p>
        </w:tc>
        <w:tc>
          <w:tcPr>
            <w:tcW w:w="1559" w:type="dxa"/>
          </w:tcPr>
          <w:p w:rsidR="00F42F95" w:rsidRDefault="00F42F95" w:rsidP="003F28CD">
            <w:pPr>
              <w:jc w:val="right"/>
              <w:rPr>
                <w:color w:val="000000"/>
              </w:rPr>
            </w:pPr>
            <w:r>
              <w:rPr>
                <w:color w:val="000000"/>
              </w:rPr>
              <w:t>1300,2</w:t>
            </w:r>
          </w:p>
        </w:tc>
        <w:tc>
          <w:tcPr>
            <w:tcW w:w="1417" w:type="dxa"/>
          </w:tcPr>
          <w:p w:rsidR="00F42F95" w:rsidRDefault="00F42F95" w:rsidP="003F28CD">
            <w:pPr>
              <w:jc w:val="right"/>
              <w:rPr>
                <w:color w:val="000000"/>
              </w:rPr>
            </w:pPr>
            <w:r>
              <w:rPr>
                <w:color w:val="000000"/>
              </w:rPr>
              <w:t>2125,4</w:t>
            </w:r>
          </w:p>
        </w:tc>
      </w:tr>
    </w:tbl>
    <w:p w:rsidR="0003241C" w:rsidRDefault="00F42F95" w:rsidP="00C24376">
      <w:pPr>
        <w:ind w:left="0" w:firstLine="0"/>
        <w:jc w:val="both"/>
      </w:pPr>
      <w:r w:rsidRPr="009C1EA1">
        <w:rPr>
          <w:i/>
        </w:rPr>
        <w:t>Vysvět</w:t>
      </w:r>
      <w:r w:rsidR="00935A57">
        <w:rPr>
          <w:i/>
        </w:rPr>
        <w:t xml:space="preserve">livky: </w:t>
      </w:r>
      <w:r>
        <w:rPr>
          <w:i/>
        </w:rPr>
        <w:t xml:space="preserve">M. – aritmetický průměr, </w:t>
      </w:r>
      <w:r w:rsidRPr="009C1EA1">
        <w:rPr>
          <w:i/>
        </w:rPr>
        <w:t>SD – směrodatná odchylka</w:t>
      </w:r>
      <w:r>
        <w:rPr>
          <w:i/>
        </w:rPr>
        <w:t xml:space="preserve">, </w:t>
      </w:r>
      <w:r w:rsidRPr="009C1EA1">
        <w:rPr>
          <w:i/>
        </w:rPr>
        <w:t>Min. – minimum</w:t>
      </w:r>
      <w:r>
        <w:rPr>
          <w:i/>
        </w:rPr>
        <w:t>, Max. – maximu</w:t>
      </w:r>
      <w:r w:rsidR="00935A57">
        <w:rPr>
          <w:i/>
        </w:rPr>
        <w:t>m</w:t>
      </w:r>
    </w:p>
    <w:p w:rsidR="00935A57" w:rsidRDefault="00935A57" w:rsidP="0003241C">
      <w:pPr>
        <w:ind w:left="0" w:firstLine="0"/>
        <w:jc w:val="both"/>
      </w:pPr>
    </w:p>
    <w:p w:rsidR="0003241C" w:rsidRPr="009C1EA1" w:rsidRDefault="0003241C" w:rsidP="0003241C">
      <w:pPr>
        <w:ind w:left="0" w:firstLine="0"/>
        <w:jc w:val="both"/>
      </w:pPr>
      <w:r>
        <w:t>T</w:t>
      </w:r>
      <w:r w:rsidRPr="009C1EA1">
        <w:t>abulka</w:t>
      </w:r>
      <w:r>
        <w:t xml:space="preserve"> 4</w:t>
      </w:r>
      <w:r w:rsidRPr="009C1EA1">
        <w:t xml:space="preserve">. </w:t>
      </w:r>
      <w:r w:rsidR="00DF3B9E" w:rsidRPr="009C1EA1">
        <w:t xml:space="preserve">Základní </w:t>
      </w:r>
      <w:r w:rsidR="00DF3B9E">
        <w:t xml:space="preserve">statistické </w:t>
      </w:r>
      <w:r w:rsidR="00DF3B9E" w:rsidRPr="009C1EA1">
        <w:t>charakteristik</w:t>
      </w:r>
      <w:r w:rsidR="00DF3B9E">
        <w:t>y</w:t>
      </w:r>
      <w:r w:rsidR="00DF3B9E" w:rsidRPr="009C1EA1">
        <w:t xml:space="preserve"> vybraných parametrů</w:t>
      </w:r>
      <w:r w:rsidR="00DF3B9E">
        <w:t xml:space="preserve"> u žen</w:t>
      </w:r>
    </w:p>
    <w:tbl>
      <w:tblPr>
        <w:tblStyle w:val="Mkatabulky"/>
        <w:tblW w:w="0" w:type="auto"/>
        <w:tblInd w:w="108" w:type="dxa"/>
        <w:tblLook w:val="04A0"/>
      </w:tblPr>
      <w:tblGrid>
        <w:gridCol w:w="2977"/>
        <w:gridCol w:w="1276"/>
        <w:gridCol w:w="1276"/>
        <w:gridCol w:w="1559"/>
        <w:gridCol w:w="1448"/>
      </w:tblGrid>
      <w:tr w:rsidR="00F42F95" w:rsidTr="00935A57">
        <w:tc>
          <w:tcPr>
            <w:tcW w:w="2977" w:type="dxa"/>
            <w:vMerge w:val="restart"/>
            <w:vAlign w:val="center"/>
          </w:tcPr>
          <w:p w:rsidR="00F42F95" w:rsidRPr="009C1EA1" w:rsidRDefault="00F42F95" w:rsidP="003F28CD">
            <w:pPr>
              <w:ind w:left="0" w:firstLine="0"/>
              <w:jc w:val="center"/>
            </w:pPr>
            <w:r w:rsidRPr="009C1EA1">
              <w:t>parametry</w:t>
            </w:r>
          </w:p>
        </w:tc>
        <w:tc>
          <w:tcPr>
            <w:tcW w:w="5559" w:type="dxa"/>
            <w:gridSpan w:val="4"/>
          </w:tcPr>
          <w:p w:rsidR="00F42F95" w:rsidRDefault="00F42F95" w:rsidP="00F42F95">
            <w:pPr>
              <w:ind w:left="0" w:firstLine="0"/>
              <w:jc w:val="center"/>
            </w:pPr>
            <w:r w:rsidRPr="009C1EA1">
              <w:t>ženy (n = 20)</w:t>
            </w:r>
          </w:p>
        </w:tc>
      </w:tr>
      <w:tr w:rsidR="00F42F95" w:rsidTr="00935A57">
        <w:tc>
          <w:tcPr>
            <w:tcW w:w="2977" w:type="dxa"/>
            <w:vMerge/>
          </w:tcPr>
          <w:p w:rsidR="00F42F95" w:rsidRDefault="00F42F95" w:rsidP="00A75C68">
            <w:pPr>
              <w:ind w:left="0" w:firstLine="0"/>
              <w:jc w:val="both"/>
            </w:pPr>
          </w:p>
        </w:tc>
        <w:tc>
          <w:tcPr>
            <w:tcW w:w="1276" w:type="dxa"/>
          </w:tcPr>
          <w:p w:rsidR="00F42F95" w:rsidRPr="009C1EA1" w:rsidRDefault="00F42F95" w:rsidP="003F28CD">
            <w:pPr>
              <w:ind w:left="0" w:firstLine="0"/>
              <w:jc w:val="center"/>
            </w:pPr>
            <w:r w:rsidRPr="009C1EA1">
              <w:t>M.</w:t>
            </w:r>
          </w:p>
        </w:tc>
        <w:tc>
          <w:tcPr>
            <w:tcW w:w="1276" w:type="dxa"/>
          </w:tcPr>
          <w:p w:rsidR="00F42F95" w:rsidRPr="009C1EA1" w:rsidRDefault="00F42F95" w:rsidP="003F28CD">
            <w:pPr>
              <w:ind w:left="0" w:firstLine="0"/>
              <w:jc w:val="center"/>
            </w:pPr>
            <w:r w:rsidRPr="009C1EA1">
              <w:t>SD</w:t>
            </w:r>
          </w:p>
        </w:tc>
        <w:tc>
          <w:tcPr>
            <w:tcW w:w="1559" w:type="dxa"/>
          </w:tcPr>
          <w:p w:rsidR="00F42F95" w:rsidRPr="009C1EA1" w:rsidRDefault="00F42F95" w:rsidP="003F28CD">
            <w:pPr>
              <w:ind w:left="0" w:firstLine="0"/>
              <w:jc w:val="center"/>
            </w:pPr>
            <w:r w:rsidRPr="009C1EA1">
              <w:t>Min.</w:t>
            </w:r>
          </w:p>
        </w:tc>
        <w:tc>
          <w:tcPr>
            <w:tcW w:w="1448" w:type="dxa"/>
          </w:tcPr>
          <w:p w:rsidR="00F42F95" w:rsidRPr="009C1EA1" w:rsidRDefault="00F42F95" w:rsidP="003F28CD">
            <w:pPr>
              <w:ind w:left="0" w:firstLine="0"/>
              <w:jc w:val="center"/>
            </w:pPr>
            <w:r w:rsidRPr="009C1EA1">
              <w:t>Max.</w:t>
            </w:r>
          </w:p>
        </w:tc>
      </w:tr>
      <w:tr w:rsidR="00F42F95" w:rsidTr="00935A57">
        <w:trPr>
          <w:trHeight w:val="70"/>
        </w:trPr>
        <w:tc>
          <w:tcPr>
            <w:tcW w:w="2977" w:type="dxa"/>
          </w:tcPr>
          <w:p w:rsidR="00F42F95" w:rsidRPr="009C1EA1" w:rsidRDefault="00F42F95" w:rsidP="003F28CD">
            <w:pPr>
              <w:ind w:left="0" w:firstLine="0"/>
            </w:pPr>
            <w:r w:rsidRPr="009C1EA1">
              <w:t>Věk</w:t>
            </w:r>
          </w:p>
        </w:tc>
        <w:tc>
          <w:tcPr>
            <w:tcW w:w="1276" w:type="dxa"/>
          </w:tcPr>
          <w:p w:rsidR="00F42F95" w:rsidRPr="009C1EA1" w:rsidRDefault="00F42F95" w:rsidP="00F42F95">
            <w:pPr>
              <w:ind w:left="0" w:firstLine="0"/>
              <w:jc w:val="right"/>
            </w:pPr>
            <w:r w:rsidRPr="009C1EA1">
              <w:t>50,8</w:t>
            </w:r>
          </w:p>
        </w:tc>
        <w:tc>
          <w:tcPr>
            <w:tcW w:w="1276" w:type="dxa"/>
          </w:tcPr>
          <w:p w:rsidR="00F42F95" w:rsidRPr="009C1EA1" w:rsidRDefault="00F42F95" w:rsidP="00F42F95">
            <w:pPr>
              <w:ind w:left="0" w:firstLine="0"/>
              <w:jc w:val="right"/>
            </w:pPr>
            <w:r w:rsidRPr="009C1EA1">
              <w:t>13,2</w:t>
            </w:r>
          </w:p>
        </w:tc>
        <w:tc>
          <w:tcPr>
            <w:tcW w:w="1559" w:type="dxa"/>
          </w:tcPr>
          <w:p w:rsidR="00F42F95" w:rsidRPr="009C1EA1" w:rsidRDefault="00F42F95" w:rsidP="00F42F95">
            <w:pPr>
              <w:ind w:left="0" w:firstLine="0"/>
              <w:jc w:val="right"/>
            </w:pPr>
            <w:r w:rsidRPr="009C1EA1">
              <w:t>19,0</w:t>
            </w:r>
          </w:p>
        </w:tc>
        <w:tc>
          <w:tcPr>
            <w:tcW w:w="1448" w:type="dxa"/>
          </w:tcPr>
          <w:p w:rsidR="00F42F95" w:rsidRPr="009C1EA1" w:rsidRDefault="00F42F95" w:rsidP="00F42F95">
            <w:pPr>
              <w:ind w:left="0" w:firstLine="0"/>
              <w:jc w:val="right"/>
            </w:pPr>
            <w:r w:rsidRPr="009C1EA1">
              <w:t>70,0</w:t>
            </w:r>
          </w:p>
        </w:tc>
      </w:tr>
      <w:tr w:rsidR="00F42F95" w:rsidTr="00935A57">
        <w:tc>
          <w:tcPr>
            <w:tcW w:w="2977" w:type="dxa"/>
          </w:tcPr>
          <w:p w:rsidR="00F42F95" w:rsidRPr="009C1EA1" w:rsidRDefault="00F42F95" w:rsidP="003F28CD">
            <w:pPr>
              <w:ind w:left="0" w:firstLine="0"/>
            </w:pPr>
            <w:r w:rsidRPr="009C1EA1">
              <w:t>Tělesná výška</w:t>
            </w:r>
          </w:p>
        </w:tc>
        <w:tc>
          <w:tcPr>
            <w:tcW w:w="1276" w:type="dxa"/>
          </w:tcPr>
          <w:p w:rsidR="00F42F95" w:rsidRPr="009C1EA1" w:rsidRDefault="00F42F95" w:rsidP="00F42F95">
            <w:pPr>
              <w:ind w:left="0" w:firstLine="0"/>
              <w:jc w:val="right"/>
            </w:pPr>
            <w:r w:rsidRPr="009C1EA1">
              <w:t>159,0</w:t>
            </w:r>
          </w:p>
        </w:tc>
        <w:tc>
          <w:tcPr>
            <w:tcW w:w="1276" w:type="dxa"/>
          </w:tcPr>
          <w:p w:rsidR="00F42F95" w:rsidRPr="009C1EA1" w:rsidRDefault="00F42F95" w:rsidP="00F42F95">
            <w:pPr>
              <w:ind w:left="0" w:firstLine="0"/>
              <w:jc w:val="right"/>
            </w:pPr>
            <w:r w:rsidRPr="009C1EA1">
              <w:t>8,0</w:t>
            </w:r>
          </w:p>
        </w:tc>
        <w:tc>
          <w:tcPr>
            <w:tcW w:w="1559" w:type="dxa"/>
          </w:tcPr>
          <w:p w:rsidR="00F42F95" w:rsidRPr="009C1EA1" w:rsidRDefault="00F42F95" w:rsidP="00F42F95">
            <w:pPr>
              <w:ind w:left="0" w:firstLine="0"/>
              <w:jc w:val="right"/>
            </w:pPr>
            <w:r w:rsidRPr="009C1EA1">
              <w:t>141,0</w:t>
            </w:r>
          </w:p>
        </w:tc>
        <w:tc>
          <w:tcPr>
            <w:tcW w:w="1448" w:type="dxa"/>
          </w:tcPr>
          <w:p w:rsidR="00F42F95" w:rsidRPr="009C1EA1" w:rsidRDefault="00F42F95" w:rsidP="00F42F95">
            <w:pPr>
              <w:ind w:left="0" w:firstLine="0"/>
              <w:jc w:val="right"/>
            </w:pPr>
            <w:r w:rsidRPr="009C1EA1">
              <w:t>175,0</w:t>
            </w:r>
          </w:p>
        </w:tc>
      </w:tr>
      <w:tr w:rsidR="00F42F95" w:rsidTr="00935A57">
        <w:tc>
          <w:tcPr>
            <w:tcW w:w="2977" w:type="dxa"/>
          </w:tcPr>
          <w:p w:rsidR="00F42F95" w:rsidRPr="009C1EA1" w:rsidRDefault="00F42F95" w:rsidP="003F28CD">
            <w:pPr>
              <w:ind w:left="0" w:firstLine="0"/>
            </w:pPr>
            <w:r w:rsidRPr="009C1EA1">
              <w:t>Hmotnost</w:t>
            </w:r>
          </w:p>
        </w:tc>
        <w:tc>
          <w:tcPr>
            <w:tcW w:w="1276" w:type="dxa"/>
          </w:tcPr>
          <w:p w:rsidR="00F42F95" w:rsidRPr="009C1EA1" w:rsidRDefault="00F42F95" w:rsidP="00F42F95">
            <w:pPr>
              <w:ind w:left="0" w:firstLine="0"/>
              <w:jc w:val="right"/>
            </w:pPr>
            <w:r w:rsidRPr="009C1EA1">
              <w:t>78,6</w:t>
            </w:r>
          </w:p>
        </w:tc>
        <w:tc>
          <w:tcPr>
            <w:tcW w:w="1276" w:type="dxa"/>
          </w:tcPr>
          <w:p w:rsidR="00F42F95" w:rsidRPr="009C1EA1" w:rsidRDefault="00F42F95" w:rsidP="00F42F95">
            <w:pPr>
              <w:ind w:left="0" w:firstLine="0"/>
              <w:jc w:val="right"/>
            </w:pPr>
            <w:r w:rsidRPr="009C1EA1">
              <w:t>22,7</w:t>
            </w:r>
          </w:p>
        </w:tc>
        <w:tc>
          <w:tcPr>
            <w:tcW w:w="1559" w:type="dxa"/>
          </w:tcPr>
          <w:p w:rsidR="00F42F95" w:rsidRPr="009C1EA1" w:rsidRDefault="00F42F95" w:rsidP="00F42F95">
            <w:pPr>
              <w:ind w:left="0" w:firstLine="0"/>
              <w:jc w:val="right"/>
            </w:pPr>
            <w:r w:rsidRPr="009C1EA1">
              <w:t>46,1</w:t>
            </w:r>
          </w:p>
        </w:tc>
        <w:tc>
          <w:tcPr>
            <w:tcW w:w="1448" w:type="dxa"/>
          </w:tcPr>
          <w:p w:rsidR="00F42F95" w:rsidRPr="009C1EA1" w:rsidRDefault="00F42F95" w:rsidP="00F42F95">
            <w:pPr>
              <w:ind w:left="0" w:firstLine="0"/>
              <w:jc w:val="right"/>
            </w:pPr>
            <w:r w:rsidRPr="009C1EA1">
              <w:t>124,1</w:t>
            </w:r>
          </w:p>
        </w:tc>
      </w:tr>
      <w:tr w:rsidR="00F42F95" w:rsidTr="00935A57">
        <w:tc>
          <w:tcPr>
            <w:tcW w:w="2977" w:type="dxa"/>
          </w:tcPr>
          <w:p w:rsidR="00F42F95" w:rsidRPr="00D37322" w:rsidRDefault="00F42F95" w:rsidP="00935A57">
            <w:pPr>
              <w:ind w:left="0" w:firstLine="0"/>
            </w:pPr>
            <w:r>
              <w:t>B</w:t>
            </w:r>
            <w:r w:rsidR="0003241C">
              <w:t>azální metabolismus</w:t>
            </w:r>
            <w:r w:rsidR="00935A57">
              <w:t xml:space="preserve"> (</w:t>
            </w:r>
            <w:r>
              <w:t>kcal)</w:t>
            </w:r>
          </w:p>
        </w:tc>
        <w:tc>
          <w:tcPr>
            <w:tcW w:w="1276" w:type="dxa"/>
          </w:tcPr>
          <w:p w:rsidR="00F42F95" w:rsidRDefault="00F42F95" w:rsidP="00F42F95">
            <w:pPr>
              <w:ind w:left="181" w:firstLine="0"/>
              <w:jc w:val="right"/>
              <w:rPr>
                <w:color w:val="000000"/>
              </w:rPr>
            </w:pPr>
            <w:r>
              <w:rPr>
                <w:color w:val="000000"/>
              </w:rPr>
              <w:t>1359,2</w:t>
            </w:r>
          </w:p>
        </w:tc>
        <w:tc>
          <w:tcPr>
            <w:tcW w:w="1276" w:type="dxa"/>
          </w:tcPr>
          <w:p w:rsidR="00F42F95" w:rsidRDefault="00F42F95" w:rsidP="00F42F95">
            <w:pPr>
              <w:jc w:val="right"/>
              <w:rPr>
                <w:color w:val="000000"/>
              </w:rPr>
            </w:pPr>
            <w:r>
              <w:rPr>
                <w:color w:val="000000"/>
              </w:rPr>
              <w:t>173,0</w:t>
            </w:r>
          </w:p>
        </w:tc>
        <w:tc>
          <w:tcPr>
            <w:tcW w:w="1559" w:type="dxa"/>
          </w:tcPr>
          <w:p w:rsidR="00F42F95" w:rsidRDefault="00F42F95" w:rsidP="00F42F95">
            <w:pPr>
              <w:jc w:val="right"/>
              <w:rPr>
                <w:color w:val="000000"/>
              </w:rPr>
            </w:pPr>
            <w:r>
              <w:rPr>
                <w:color w:val="000000"/>
              </w:rPr>
              <w:t>1179,6</w:t>
            </w:r>
          </w:p>
        </w:tc>
        <w:tc>
          <w:tcPr>
            <w:tcW w:w="1448" w:type="dxa"/>
          </w:tcPr>
          <w:p w:rsidR="00F42F95" w:rsidRDefault="00F42F95" w:rsidP="00F42F95">
            <w:pPr>
              <w:jc w:val="right"/>
              <w:rPr>
                <w:color w:val="000000"/>
              </w:rPr>
            </w:pPr>
            <w:r>
              <w:rPr>
                <w:color w:val="000000"/>
              </w:rPr>
              <w:t>1700,4</w:t>
            </w:r>
          </w:p>
        </w:tc>
      </w:tr>
    </w:tbl>
    <w:p w:rsidR="00F42F95" w:rsidRDefault="00F42F95" w:rsidP="00A75C68">
      <w:pPr>
        <w:ind w:left="0" w:firstLine="284"/>
        <w:jc w:val="both"/>
      </w:pPr>
    </w:p>
    <w:p w:rsidR="000E016B" w:rsidRDefault="000E016B" w:rsidP="000E016B">
      <w:pPr>
        <w:ind w:left="0" w:firstLine="284"/>
        <w:jc w:val="both"/>
      </w:pPr>
      <w:r>
        <w:lastRenderedPageBreak/>
        <w:t>Tělesná voda je nejvýznamnější složkou tělesné hmotnosti. TBW by měla tvořit průměrně 60 % tělesné hmotnosti, 63 % u muže a 53 % u ženy (</w:t>
      </w:r>
      <w:r w:rsidR="001F2665">
        <w:t>Rokyta et al., 2008). U </w:t>
      </w:r>
      <w:r>
        <w:t>mužů bylo TBW 42,7 l, což znamená 56,5 %, u žen 30,8 l, což odpovídá 42,9 %. Oproti běžné populaci je tedy hodnota TBW nižší a může vypovídat o riziku obezity. Extracelulární tekutina u mužů byla v průměrných hodnotách 16,8 l (21,7 % tělesné hmotnosti), intracelulární poté 27 l (34,8 %). Ženy měly ECW v průměru 13,2 l (16,8 %) a ICW 20,5 l (26,1 %). Hodnoty by se měly pohybovat kolem 40 % u ICW a 20 % u ECW. Nižší hodnoty jak u žen, tak i u mužů tedy vypovídají jak o zvýšené hmotnosti, tak i mohou být přisuzovány ztrátám vody v procesu stárnutí (Bedogni, 2003; Satorio et al., 2005).</w:t>
      </w:r>
    </w:p>
    <w:p w:rsidR="000E016B" w:rsidRDefault="000E016B" w:rsidP="000E016B">
      <w:pPr>
        <w:tabs>
          <w:tab w:val="left" w:pos="3540"/>
        </w:tabs>
        <w:ind w:left="0" w:firstLine="284"/>
        <w:jc w:val="both"/>
      </w:pPr>
      <w:r>
        <w:tab/>
      </w:r>
    </w:p>
    <w:p w:rsidR="000E016B" w:rsidRPr="009C1EA1" w:rsidRDefault="000E016B" w:rsidP="000E016B">
      <w:pPr>
        <w:ind w:left="0" w:firstLine="0"/>
        <w:jc w:val="both"/>
      </w:pPr>
      <w:r>
        <w:t>Tabulka 5. Celková tělesná vod</w:t>
      </w:r>
      <w:r w:rsidR="00A83346">
        <w:t>a (TBW) a její složky ECW a ICW</w:t>
      </w:r>
    </w:p>
    <w:tbl>
      <w:tblPr>
        <w:tblW w:w="8800" w:type="dxa"/>
        <w:tblInd w:w="55" w:type="dxa"/>
        <w:tblCellMar>
          <w:left w:w="70" w:type="dxa"/>
          <w:right w:w="70" w:type="dxa"/>
        </w:tblCellMar>
        <w:tblLook w:val="04A0"/>
      </w:tblPr>
      <w:tblGrid>
        <w:gridCol w:w="1120"/>
        <w:gridCol w:w="960"/>
        <w:gridCol w:w="960"/>
        <w:gridCol w:w="960"/>
        <w:gridCol w:w="960"/>
        <w:gridCol w:w="960"/>
        <w:gridCol w:w="960"/>
        <w:gridCol w:w="960"/>
        <w:gridCol w:w="960"/>
      </w:tblGrid>
      <w:tr w:rsidR="000E016B" w:rsidRPr="007D4BFF" w:rsidTr="00DD11A1">
        <w:trPr>
          <w:trHeight w:val="330"/>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parametry</w:t>
            </w:r>
          </w:p>
        </w:tc>
        <w:tc>
          <w:tcPr>
            <w:tcW w:w="3840" w:type="dxa"/>
            <w:gridSpan w:val="4"/>
            <w:tcBorders>
              <w:top w:val="single" w:sz="8" w:space="0" w:color="000000"/>
              <w:left w:val="nil"/>
              <w:bottom w:val="single" w:sz="8" w:space="0" w:color="000000"/>
              <w:right w:val="single" w:sz="8" w:space="0" w:color="000000"/>
            </w:tcBorders>
            <w:shd w:val="clear" w:color="auto" w:fill="auto"/>
            <w:hideMark/>
          </w:tcPr>
          <w:p w:rsidR="000E016B" w:rsidRPr="007D4BFF" w:rsidRDefault="00DD11A1" w:rsidP="00DD11A1">
            <w:pPr>
              <w:spacing w:line="240" w:lineRule="auto"/>
              <w:ind w:left="0" w:firstLine="0"/>
              <w:jc w:val="center"/>
              <w:rPr>
                <w:rFonts w:eastAsia="Times New Roman"/>
                <w:color w:val="000000"/>
                <w:lang w:eastAsia="cs-CZ"/>
              </w:rPr>
            </w:pPr>
            <w:r w:rsidRPr="009C1EA1">
              <w:t>muži (n = 27)</w:t>
            </w:r>
          </w:p>
        </w:tc>
        <w:tc>
          <w:tcPr>
            <w:tcW w:w="3840" w:type="dxa"/>
            <w:gridSpan w:val="4"/>
            <w:tcBorders>
              <w:top w:val="single" w:sz="8" w:space="0" w:color="000000"/>
              <w:left w:val="nil"/>
              <w:bottom w:val="single" w:sz="8" w:space="0" w:color="000000"/>
              <w:right w:val="single" w:sz="8" w:space="0" w:color="000000"/>
            </w:tcBorders>
            <w:shd w:val="clear" w:color="auto" w:fill="auto"/>
            <w:hideMark/>
          </w:tcPr>
          <w:p w:rsidR="000E016B" w:rsidRPr="007D4BFF" w:rsidRDefault="00DD11A1" w:rsidP="00DD11A1">
            <w:pPr>
              <w:spacing w:line="240" w:lineRule="auto"/>
              <w:ind w:left="0" w:firstLine="0"/>
              <w:jc w:val="center"/>
              <w:rPr>
                <w:rFonts w:eastAsia="Times New Roman"/>
                <w:color w:val="000000"/>
                <w:lang w:eastAsia="cs-CZ"/>
              </w:rPr>
            </w:pPr>
            <w:r w:rsidRPr="009C1EA1">
              <w:t>ženy (n = 20)</w:t>
            </w:r>
          </w:p>
        </w:tc>
      </w:tr>
      <w:tr w:rsidR="000E016B" w:rsidRPr="007D4BFF" w:rsidTr="00DD11A1">
        <w:trPr>
          <w:trHeight w:val="330"/>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E016B" w:rsidRPr="007D4BFF" w:rsidRDefault="000E016B" w:rsidP="00DD11A1">
            <w:pPr>
              <w:spacing w:line="240" w:lineRule="auto"/>
              <w:ind w:left="0" w:firstLine="0"/>
              <w:rPr>
                <w:rFonts w:eastAsia="Times New Roman"/>
                <w:color w:val="000000"/>
                <w:lang w:eastAsia="cs-CZ"/>
              </w:rPr>
            </w:pP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SD</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Min.</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Max.</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SD</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Min.</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center"/>
              <w:rPr>
                <w:rFonts w:eastAsia="Times New Roman"/>
                <w:color w:val="000000"/>
                <w:lang w:eastAsia="cs-CZ"/>
              </w:rPr>
            </w:pPr>
            <w:r w:rsidRPr="007D4BFF">
              <w:rPr>
                <w:rFonts w:eastAsia="Times New Roman"/>
                <w:color w:val="000000"/>
                <w:lang w:eastAsia="cs-CZ"/>
              </w:rPr>
              <w:t>Max.</w:t>
            </w:r>
          </w:p>
        </w:tc>
      </w:tr>
      <w:tr w:rsidR="000E016B" w:rsidRPr="007D4BFF" w:rsidTr="00DD11A1">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rPr>
                <w:rFonts w:eastAsia="Times New Roman"/>
                <w:color w:val="000000"/>
                <w:lang w:eastAsia="cs-CZ"/>
              </w:rPr>
            </w:pPr>
            <w:r w:rsidRPr="007D4BFF">
              <w:rPr>
                <w:rFonts w:eastAsia="Times New Roman"/>
                <w:color w:val="000000"/>
                <w:lang w:eastAsia="cs-CZ"/>
              </w:rPr>
              <w:t>TBW</w:t>
            </w:r>
            <w:r>
              <w:rPr>
                <w:rFonts w:eastAsia="Times New Roman"/>
                <w:color w:val="000000"/>
                <w:lang w:eastAsia="cs-CZ"/>
              </w:rPr>
              <w:t xml:space="preserve"> (l)</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42,7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4,8</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33,7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53,3</w:t>
            </w:r>
          </w:p>
        </w:tc>
        <w:tc>
          <w:tcPr>
            <w:tcW w:w="960" w:type="dxa"/>
            <w:tcBorders>
              <w:top w:val="nil"/>
              <w:left w:val="nil"/>
              <w:bottom w:val="single" w:sz="8" w:space="0" w:color="000000"/>
              <w:right w:val="single" w:sz="8" w:space="0" w:color="000000"/>
            </w:tcBorders>
            <w:shd w:val="clear" w:color="auto" w:fill="auto"/>
            <w:noWrap/>
            <w:vAlign w:val="bottom"/>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30,8</w:t>
            </w:r>
          </w:p>
        </w:tc>
        <w:tc>
          <w:tcPr>
            <w:tcW w:w="960" w:type="dxa"/>
            <w:tcBorders>
              <w:top w:val="nil"/>
              <w:left w:val="nil"/>
              <w:bottom w:val="single" w:sz="8" w:space="0" w:color="000000"/>
              <w:right w:val="single" w:sz="8" w:space="0" w:color="000000"/>
            </w:tcBorders>
            <w:shd w:val="clear" w:color="auto" w:fill="auto"/>
            <w:noWrap/>
            <w:vAlign w:val="bottom"/>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3,1</w:t>
            </w:r>
          </w:p>
        </w:tc>
        <w:tc>
          <w:tcPr>
            <w:tcW w:w="960" w:type="dxa"/>
            <w:tcBorders>
              <w:top w:val="nil"/>
              <w:left w:val="nil"/>
              <w:bottom w:val="single" w:sz="8" w:space="0" w:color="000000"/>
              <w:right w:val="single" w:sz="8" w:space="0" w:color="000000"/>
            </w:tcBorders>
            <w:shd w:val="clear" w:color="auto" w:fill="auto"/>
            <w:noWrap/>
            <w:vAlign w:val="bottom"/>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24,2</w:t>
            </w:r>
          </w:p>
        </w:tc>
        <w:tc>
          <w:tcPr>
            <w:tcW w:w="960" w:type="dxa"/>
            <w:tcBorders>
              <w:top w:val="nil"/>
              <w:left w:val="nil"/>
              <w:bottom w:val="single" w:sz="8" w:space="0" w:color="000000"/>
              <w:right w:val="single" w:sz="8" w:space="0" w:color="000000"/>
            </w:tcBorders>
            <w:shd w:val="clear" w:color="auto" w:fill="auto"/>
            <w:noWrap/>
            <w:vAlign w:val="bottom"/>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37,3</w:t>
            </w:r>
          </w:p>
        </w:tc>
      </w:tr>
      <w:tr w:rsidR="000E016B" w:rsidRPr="007D4BFF" w:rsidTr="00DD11A1">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rPr>
                <w:rFonts w:eastAsia="Times New Roman"/>
                <w:color w:val="000000"/>
                <w:lang w:eastAsia="cs-CZ"/>
              </w:rPr>
            </w:pPr>
            <w:r w:rsidRPr="007D4BFF">
              <w:rPr>
                <w:rFonts w:eastAsia="Times New Roman"/>
                <w:color w:val="000000"/>
                <w:lang w:eastAsia="cs-CZ"/>
              </w:rPr>
              <w:t>ECW</w:t>
            </w:r>
            <w:r>
              <w:rPr>
                <w:rFonts w:eastAsia="Times New Roman"/>
                <w:color w:val="000000"/>
                <w:lang w:eastAsia="cs-CZ"/>
              </w:rPr>
              <w:t xml:space="preserve"> (l)</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16,8</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2,6</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12,5</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22,7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13,2</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2,2</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10,7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17,4</w:t>
            </w:r>
          </w:p>
        </w:tc>
      </w:tr>
      <w:tr w:rsidR="000E016B" w:rsidRPr="007D4BFF" w:rsidTr="00DD11A1">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rPr>
                <w:rFonts w:eastAsia="Times New Roman"/>
                <w:color w:val="000000"/>
                <w:lang w:eastAsia="cs-CZ"/>
              </w:rPr>
            </w:pPr>
            <w:r w:rsidRPr="007D4BFF">
              <w:rPr>
                <w:rFonts w:eastAsia="Times New Roman"/>
                <w:color w:val="000000"/>
                <w:lang w:eastAsia="cs-CZ"/>
              </w:rPr>
              <w:t>ICW</w:t>
            </w:r>
            <w:r>
              <w:rPr>
                <w:rFonts w:eastAsia="Times New Roman"/>
                <w:color w:val="000000"/>
                <w:lang w:eastAsia="cs-CZ"/>
              </w:rPr>
              <w:t xml:space="preserve"> (l)</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27,0</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4,2</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19,3</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36,7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20,5</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3,7</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16,6</w:t>
            </w:r>
          </w:p>
        </w:tc>
        <w:tc>
          <w:tcPr>
            <w:tcW w:w="960" w:type="dxa"/>
            <w:tcBorders>
              <w:top w:val="nil"/>
              <w:left w:val="nil"/>
              <w:bottom w:val="single" w:sz="8" w:space="0" w:color="000000"/>
              <w:right w:val="single" w:sz="8" w:space="0" w:color="000000"/>
            </w:tcBorders>
            <w:shd w:val="clear" w:color="auto" w:fill="auto"/>
            <w:hideMark/>
          </w:tcPr>
          <w:p w:rsidR="000E016B" w:rsidRPr="007D4BFF" w:rsidRDefault="000E016B" w:rsidP="00DD11A1">
            <w:pPr>
              <w:spacing w:line="240" w:lineRule="auto"/>
              <w:ind w:left="0" w:firstLine="0"/>
              <w:jc w:val="right"/>
              <w:rPr>
                <w:rFonts w:eastAsia="Times New Roman"/>
                <w:color w:val="000000"/>
                <w:lang w:eastAsia="cs-CZ"/>
              </w:rPr>
            </w:pPr>
            <w:r w:rsidRPr="007D4BFF">
              <w:rPr>
                <w:rFonts w:eastAsia="Times New Roman"/>
                <w:color w:val="000000"/>
                <w:lang w:eastAsia="cs-CZ"/>
              </w:rPr>
              <w:t>27,9</w:t>
            </w:r>
          </w:p>
        </w:tc>
      </w:tr>
    </w:tbl>
    <w:p w:rsidR="000E016B" w:rsidRDefault="000E016B" w:rsidP="000E016B">
      <w:pPr>
        <w:ind w:left="0" w:firstLine="0"/>
        <w:jc w:val="both"/>
      </w:pPr>
    </w:p>
    <w:p w:rsidR="00B26065" w:rsidRDefault="00B26065" w:rsidP="00C24376">
      <w:pPr>
        <w:ind w:left="0" w:firstLine="284"/>
        <w:jc w:val="both"/>
      </w:pPr>
      <w:r>
        <w:t>Základními složkami tělesného složení kromě celkové tělesné vody je množství tukuprosté hmoty a množství tuku. Tyto hodnoty jsme naměřili na ob</w:t>
      </w:r>
      <w:r w:rsidR="002C2458">
        <w:t>o</w:t>
      </w:r>
      <w:r>
        <w:t>u přístrojích (Tanita BC 418</w:t>
      </w:r>
      <w:r w:rsidR="002C2458">
        <w:t xml:space="preserve">, </w:t>
      </w:r>
      <w:r>
        <w:t>InBody 720), abychom je mohli mezi sebou porovnat</w:t>
      </w:r>
      <w:r w:rsidR="00DD11A1">
        <w:t xml:space="preserve"> (Tabulka 6)</w:t>
      </w:r>
      <w:r>
        <w:t xml:space="preserve">. </w:t>
      </w:r>
    </w:p>
    <w:p w:rsidR="00245842" w:rsidRDefault="002C2458" w:rsidP="00C24376">
      <w:pPr>
        <w:ind w:left="0" w:firstLine="284"/>
        <w:jc w:val="both"/>
      </w:pPr>
      <w:r>
        <w:t xml:space="preserve">U mužů byla průměrná hodnota tělesného tuku naměřená na přístroji Tanita BC 418 16,2 kg (19,9 %), na přístroji InBody 17,9 kg (21,9 % tuku). </w:t>
      </w:r>
      <w:r w:rsidRPr="009C1EA1">
        <w:t xml:space="preserve">Hodnota tukuprosté hmoty u mužů byla v průměru </w:t>
      </w:r>
      <w:r>
        <w:t>u Tanity 61,2 kg, u InBody</w:t>
      </w:r>
      <w:r w:rsidRPr="009C1EA1">
        <w:t xml:space="preserve"> 59,6 kg</w:t>
      </w:r>
      <w:r>
        <w:t xml:space="preserve">. </w:t>
      </w:r>
      <w:r w:rsidR="00245842">
        <w:t xml:space="preserve">Průměrné množství TBW z Tanity bylo 44,8 l, z InBody 42,7 l. </w:t>
      </w:r>
    </w:p>
    <w:p w:rsidR="00245842" w:rsidRDefault="00245842" w:rsidP="00245842">
      <w:pPr>
        <w:ind w:left="0" w:firstLine="284"/>
        <w:jc w:val="both"/>
      </w:pPr>
      <w:r>
        <w:t>U žen byla průměrná hodnota tělesného tuku 31,1 kg (37,5 %) u Tanity, 32,8 kg (</w:t>
      </w:r>
      <w:r w:rsidRPr="00DE5301">
        <w:rPr>
          <w:rFonts w:eastAsia="Times New Roman"/>
          <w:color w:val="000000"/>
          <w:lang w:eastAsia="cs-CZ"/>
        </w:rPr>
        <w:t>39,4</w:t>
      </w:r>
      <w:r>
        <w:rPr>
          <w:rFonts w:eastAsia="Times New Roman"/>
          <w:color w:val="000000"/>
          <w:lang w:eastAsia="cs-CZ"/>
        </w:rPr>
        <w:t xml:space="preserve"> </w:t>
      </w:r>
      <w:r>
        <w:t>%) u InBody. Průměrná hodnota FFM žen</w:t>
      </w:r>
      <w:r w:rsidRPr="009C1EA1">
        <w:t xml:space="preserve"> byla </w:t>
      </w:r>
      <w:r>
        <w:t>u Tanity 47,2 kg, u InBody</w:t>
      </w:r>
      <w:r w:rsidRPr="009C1EA1">
        <w:t xml:space="preserve"> </w:t>
      </w:r>
      <w:r w:rsidRPr="00DE5301">
        <w:rPr>
          <w:rFonts w:eastAsia="Times New Roman"/>
          <w:color w:val="000000"/>
          <w:lang w:eastAsia="cs-CZ"/>
        </w:rPr>
        <w:t>45,8</w:t>
      </w:r>
      <w:r>
        <w:rPr>
          <w:rFonts w:eastAsia="Times New Roman"/>
          <w:color w:val="000000"/>
          <w:lang w:eastAsia="cs-CZ"/>
        </w:rPr>
        <w:t> </w:t>
      </w:r>
      <w:r w:rsidRPr="009C1EA1">
        <w:t>kg</w:t>
      </w:r>
      <w:r>
        <w:t xml:space="preserve">. Průměrné množství TBW z Tanity bylo </w:t>
      </w:r>
      <w:r w:rsidR="00FB71EF">
        <w:t>34,6</w:t>
      </w:r>
      <w:r>
        <w:t xml:space="preserve"> l, z InBody </w:t>
      </w:r>
      <w:r w:rsidR="00FB71EF">
        <w:t>30,8</w:t>
      </w:r>
      <w:r>
        <w:t xml:space="preserve"> l. </w:t>
      </w:r>
    </w:p>
    <w:p w:rsidR="00663AB6" w:rsidRDefault="00DD11A1" w:rsidP="00663AB6">
      <w:pPr>
        <w:ind w:left="0" w:firstLine="284"/>
        <w:jc w:val="both"/>
      </w:pPr>
      <w:r>
        <w:t xml:space="preserve">Při porovnání hodnot naměřených na přístrojích Tanita BC 418 a InBody 720 zjistíme, že množství FM je vyšší u InBody, FFM a TBW naopak vyšší u Tanity, a to jak u mužů, tak i u žen. </w:t>
      </w:r>
      <w:r w:rsidR="00663AB6">
        <w:t>Tanita odhaduje hodnotu F</w:t>
      </w:r>
      <w:r w:rsidR="00A36FB7">
        <w:t xml:space="preserve">FM mírně vyšší než InBody, </w:t>
      </w:r>
      <w:r w:rsidR="00663AB6">
        <w:t xml:space="preserve">hodnotu tuku nižší. K podobným závěrům dospěl i </w:t>
      </w:r>
      <w:r w:rsidR="00663AB6" w:rsidRPr="00BD6874">
        <w:t>Völgyi</w:t>
      </w:r>
      <w:r w:rsidR="00663AB6">
        <w:t xml:space="preserve"> et al. (2008), který u Tanity poukazuje na přeceňování FFM a podceňování BFM u jedinců s vyšší tělesnou hmotností. </w:t>
      </w:r>
    </w:p>
    <w:p w:rsidR="00245842" w:rsidRDefault="00605182" w:rsidP="00C24376">
      <w:pPr>
        <w:ind w:left="0" w:firstLine="284"/>
        <w:jc w:val="both"/>
      </w:pPr>
      <w:r>
        <w:lastRenderedPageBreak/>
        <w:t>Hodnota tuku je výrazně vyšší u žen, což souvisí i</w:t>
      </w:r>
      <w:r w:rsidR="00C70124">
        <w:t xml:space="preserve"> s menším množstvím FFM a </w:t>
      </w:r>
      <w:r w:rsidR="000D1E56">
        <w:t>TBW, a také se zvýšeným rizikem vzniku obezity (Kyle, et al., 2004; Satorio et al., 2005).</w:t>
      </w:r>
      <w:r w:rsidR="00663AB6">
        <w:t xml:space="preserve"> </w:t>
      </w:r>
    </w:p>
    <w:p w:rsidR="000E016B" w:rsidRDefault="000E016B" w:rsidP="000E016B">
      <w:pPr>
        <w:ind w:left="0" w:firstLine="0"/>
        <w:jc w:val="both"/>
      </w:pPr>
    </w:p>
    <w:p w:rsidR="00C24376" w:rsidRPr="009C1EA1" w:rsidRDefault="00C24376" w:rsidP="00C24376">
      <w:pPr>
        <w:ind w:left="0" w:firstLine="0"/>
        <w:jc w:val="both"/>
      </w:pPr>
      <w:r>
        <w:t>Tabulka 6. Hodnocení vybraných parametrů tělesného složení prostřednictvím InBody 720 (I) a Tanity BC 418 (T)</w:t>
      </w:r>
    </w:p>
    <w:tbl>
      <w:tblPr>
        <w:tblW w:w="8857" w:type="dxa"/>
        <w:tblInd w:w="55" w:type="dxa"/>
        <w:tblCellMar>
          <w:left w:w="70" w:type="dxa"/>
          <w:right w:w="70" w:type="dxa"/>
        </w:tblCellMar>
        <w:tblLook w:val="04A0"/>
      </w:tblPr>
      <w:tblGrid>
        <w:gridCol w:w="1291"/>
        <w:gridCol w:w="846"/>
        <w:gridCol w:w="960"/>
        <w:gridCol w:w="960"/>
        <w:gridCol w:w="960"/>
        <w:gridCol w:w="960"/>
        <w:gridCol w:w="960"/>
        <w:gridCol w:w="960"/>
        <w:gridCol w:w="960"/>
      </w:tblGrid>
      <w:tr w:rsidR="00DE5301" w:rsidRPr="00DE5301" w:rsidTr="00DE5301">
        <w:trPr>
          <w:trHeight w:val="31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parametry</w:t>
            </w:r>
          </w:p>
        </w:tc>
        <w:tc>
          <w:tcPr>
            <w:tcW w:w="3726" w:type="dxa"/>
            <w:gridSpan w:val="4"/>
            <w:tcBorders>
              <w:top w:val="single" w:sz="4" w:space="0" w:color="auto"/>
              <w:left w:val="nil"/>
              <w:bottom w:val="single" w:sz="4" w:space="0" w:color="auto"/>
              <w:right w:val="single" w:sz="4" w:space="0" w:color="auto"/>
            </w:tcBorders>
            <w:shd w:val="clear" w:color="auto" w:fill="auto"/>
            <w:noWrap/>
            <w:vAlign w:val="bottom"/>
            <w:hideMark/>
          </w:tcPr>
          <w:p w:rsidR="00DE5301" w:rsidRPr="00DE5301" w:rsidRDefault="00DD11A1" w:rsidP="00DE5301">
            <w:pPr>
              <w:spacing w:line="240" w:lineRule="auto"/>
              <w:ind w:left="0" w:firstLine="0"/>
              <w:jc w:val="center"/>
              <w:rPr>
                <w:rFonts w:eastAsia="Times New Roman"/>
                <w:color w:val="000000"/>
                <w:lang w:eastAsia="cs-CZ"/>
              </w:rPr>
            </w:pPr>
            <w:r w:rsidRPr="009C1EA1">
              <w:t>muži (n = 27)</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DE5301" w:rsidRPr="00DE5301" w:rsidRDefault="00DD11A1" w:rsidP="00DE5301">
            <w:pPr>
              <w:spacing w:line="240" w:lineRule="auto"/>
              <w:ind w:left="0" w:firstLine="0"/>
              <w:jc w:val="center"/>
              <w:rPr>
                <w:rFonts w:eastAsia="Times New Roman"/>
                <w:color w:val="000000"/>
                <w:lang w:eastAsia="cs-CZ"/>
              </w:rPr>
            </w:pPr>
            <w:r w:rsidRPr="009C1EA1">
              <w:t>ženy (n = 20)</w:t>
            </w:r>
          </w:p>
        </w:tc>
      </w:tr>
      <w:tr w:rsidR="00DE5301" w:rsidRPr="00DE5301" w:rsidTr="00DE5301">
        <w:trPr>
          <w:trHeight w:val="3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DE5301" w:rsidRPr="00DE5301" w:rsidRDefault="00DE5301" w:rsidP="00DE5301">
            <w:pPr>
              <w:spacing w:line="240" w:lineRule="auto"/>
              <w:ind w:left="0" w:firstLine="0"/>
              <w:rPr>
                <w:rFonts w:eastAsia="Times New Roman"/>
                <w:color w:val="000000"/>
                <w:lang w:eastAsia="cs-CZ"/>
              </w:rPr>
            </w:pPr>
          </w:p>
        </w:tc>
        <w:tc>
          <w:tcPr>
            <w:tcW w:w="846"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SD</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Min.</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Max.</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SD</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Min.</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center"/>
              <w:rPr>
                <w:rFonts w:eastAsia="Times New Roman"/>
                <w:color w:val="000000"/>
                <w:lang w:eastAsia="cs-CZ"/>
              </w:rPr>
            </w:pPr>
            <w:r w:rsidRPr="00DE5301">
              <w:rPr>
                <w:rFonts w:eastAsia="Times New Roman"/>
                <w:color w:val="000000"/>
                <w:lang w:eastAsia="cs-CZ"/>
              </w:rPr>
              <w:t>Max.</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DE5301" w:rsidP="00B26065">
            <w:pPr>
              <w:spacing w:line="240" w:lineRule="auto"/>
              <w:ind w:left="0" w:firstLine="0"/>
              <w:rPr>
                <w:rFonts w:eastAsia="Times New Roman"/>
                <w:color w:val="000000"/>
                <w:lang w:eastAsia="cs-CZ"/>
              </w:rPr>
            </w:pPr>
            <w:r w:rsidRPr="00DE5301">
              <w:rPr>
                <w:rFonts w:eastAsia="Times New Roman"/>
                <w:color w:val="000000"/>
                <w:lang w:eastAsia="cs-CZ"/>
              </w:rPr>
              <w:t>F</w:t>
            </w:r>
            <w:r w:rsidR="00B26065">
              <w:rPr>
                <w:rFonts w:eastAsia="Times New Roman"/>
                <w:color w:val="000000"/>
                <w:lang w:eastAsia="cs-CZ"/>
              </w:rPr>
              <w:t>M</w:t>
            </w:r>
            <w:r w:rsidRPr="00DE5301">
              <w:rPr>
                <w:rFonts w:eastAsia="Times New Roman"/>
                <w:color w:val="000000"/>
                <w:lang w:eastAsia="cs-CZ"/>
              </w:rPr>
              <w:t xml:space="preserve"> (%) T</w:t>
            </w:r>
          </w:p>
        </w:tc>
        <w:tc>
          <w:tcPr>
            <w:tcW w:w="846"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19,9</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6,7</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6,8</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30,2</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37,5</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9,7</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15,8</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53,3</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DE5301" w:rsidP="00B26065">
            <w:pPr>
              <w:spacing w:line="240" w:lineRule="auto"/>
              <w:ind w:left="0" w:firstLine="0"/>
              <w:rPr>
                <w:rFonts w:eastAsia="Times New Roman"/>
                <w:color w:val="000000"/>
                <w:lang w:eastAsia="cs-CZ"/>
              </w:rPr>
            </w:pPr>
            <w:r w:rsidRPr="00DE5301">
              <w:rPr>
                <w:rFonts w:eastAsia="Times New Roman"/>
                <w:color w:val="000000"/>
                <w:lang w:eastAsia="cs-CZ"/>
              </w:rPr>
              <w:t>F</w:t>
            </w:r>
            <w:r w:rsidR="00B26065">
              <w:rPr>
                <w:rFonts w:eastAsia="Times New Roman"/>
                <w:color w:val="000000"/>
                <w:lang w:eastAsia="cs-CZ"/>
              </w:rPr>
              <w:t>M</w:t>
            </w:r>
            <w:r w:rsidRPr="00DE5301">
              <w:rPr>
                <w:rFonts w:eastAsia="Times New Roman"/>
                <w:color w:val="000000"/>
                <w:lang w:eastAsia="cs-CZ"/>
              </w:rPr>
              <w:t xml:space="preserve"> (%) I</w:t>
            </w:r>
          </w:p>
        </w:tc>
        <w:tc>
          <w:tcPr>
            <w:tcW w:w="846"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21,9</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3,3</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35</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8,9</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39,4</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10,8</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13,6</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52,7</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B26065" w:rsidP="00DE5301">
            <w:pPr>
              <w:spacing w:line="240" w:lineRule="auto"/>
              <w:ind w:left="0" w:firstLine="0"/>
              <w:rPr>
                <w:rFonts w:eastAsia="Times New Roman"/>
                <w:color w:val="000000"/>
                <w:lang w:eastAsia="cs-CZ"/>
              </w:rPr>
            </w:pPr>
            <w:r>
              <w:rPr>
                <w:rFonts w:eastAsia="Times New Roman"/>
                <w:color w:val="000000"/>
                <w:lang w:eastAsia="cs-CZ"/>
              </w:rPr>
              <w:t>FM</w:t>
            </w:r>
            <w:r w:rsidR="00DE5301" w:rsidRPr="00DE5301">
              <w:rPr>
                <w:rFonts w:eastAsia="Times New Roman"/>
                <w:color w:val="000000"/>
                <w:lang w:eastAsia="cs-CZ"/>
              </w:rPr>
              <w:t xml:space="preserve"> (kg) T</w:t>
            </w:r>
          </w:p>
        </w:tc>
        <w:tc>
          <w:tcPr>
            <w:tcW w:w="846"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16,2</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8,3</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4,2</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33,3</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31,1</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15,4</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66,1</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B26065" w:rsidP="00DE5301">
            <w:pPr>
              <w:spacing w:line="240" w:lineRule="auto"/>
              <w:ind w:left="0" w:firstLine="0"/>
              <w:rPr>
                <w:rFonts w:eastAsia="Times New Roman"/>
                <w:color w:val="000000"/>
                <w:lang w:eastAsia="cs-CZ"/>
              </w:rPr>
            </w:pPr>
            <w:r>
              <w:rPr>
                <w:rFonts w:eastAsia="Times New Roman"/>
                <w:color w:val="000000"/>
                <w:lang w:eastAsia="cs-CZ"/>
              </w:rPr>
              <w:t>FM</w:t>
            </w:r>
            <w:r w:rsidR="00DE5301" w:rsidRPr="00DE5301">
              <w:rPr>
                <w:rFonts w:eastAsia="Times New Roman"/>
                <w:color w:val="000000"/>
                <w:lang w:eastAsia="cs-CZ"/>
              </w:rPr>
              <w:t xml:space="preserve"> (kg) I</w:t>
            </w:r>
          </w:p>
        </w:tc>
        <w:tc>
          <w:tcPr>
            <w:tcW w:w="846"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17,9</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10,1</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2,1</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39,6</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32,8</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16,2</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6,3</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65,0</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rPr>
                <w:rFonts w:eastAsia="Times New Roman"/>
                <w:color w:val="000000"/>
                <w:lang w:eastAsia="cs-CZ"/>
              </w:rPr>
            </w:pPr>
            <w:r w:rsidRPr="00DE5301">
              <w:rPr>
                <w:rFonts w:eastAsia="Times New Roman"/>
                <w:color w:val="000000"/>
                <w:lang w:eastAsia="cs-CZ"/>
              </w:rPr>
              <w:t>FFM (kg) T</w:t>
            </w:r>
          </w:p>
        </w:tc>
        <w:tc>
          <w:tcPr>
            <w:tcW w:w="846"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61,2</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10,1</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44,0</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85,8</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47,2</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7,2</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37,4</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62,7</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rPr>
                <w:rFonts w:eastAsia="Times New Roman"/>
                <w:color w:val="000000"/>
                <w:lang w:eastAsia="cs-CZ"/>
              </w:rPr>
            </w:pPr>
            <w:r w:rsidRPr="00DE5301">
              <w:rPr>
                <w:rFonts w:eastAsia="Times New Roman"/>
                <w:color w:val="000000"/>
                <w:lang w:eastAsia="cs-CZ"/>
              </w:rPr>
              <w:t>FFM (kg) I</w:t>
            </w:r>
          </w:p>
        </w:tc>
        <w:tc>
          <w:tcPr>
            <w:tcW w:w="846"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59,6</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9,3</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43,1</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81,3</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45,8</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8,0</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37,5</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61,6</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6056C" w:rsidRPr="00DE5301" w:rsidRDefault="00DE5301" w:rsidP="0096056C">
            <w:pPr>
              <w:spacing w:line="240" w:lineRule="auto"/>
              <w:ind w:left="0" w:firstLine="0"/>
              <w:rPr>
                <w:rFonts w:eastAsia="Times New Roman"/>
                <w:color w:val="000000"/>
                <w:lang w:eastAsia="cs-CZ"/>
              </w:rPr>
            </w:pPr>
            <w:r w:rsidRPr="00DE5301">
              <w:rPr>
                <w:rFonts w:eastAsia="Times New Roman"/>
                <w:color w:val="000000"/>
                <w:lang w:eastAsia="cs-CZ"/>
              </w:rPr>
              <w:t xml:space="preserve">TBW </w:t>
            </w:r>
            <w:r w:rsidR="00C24376">
              <w:rPr>
                <w:rFonts w:eastAsia="Times New Roman"/>
                <w:color w:val="000000"/>
                <w:lang w:eastAsia="cs-CZ"/>
              </w:rPr>
              <w:t>(l)</w:t>
            </w:r>
            <w:r w:rsidR="0096056C">
              <w:rPr>
                <w:rFonts w:eastAsia="Times New Roman"/>
                <w:color w:val="000000"/>
                <w:lang w:eastAsia="cs-CZ"/>
              </w:rPr>
              <w:t xml:space="preserve"> T</w:t>
            </w:r>
          </w:p>
        </w:tc>
        <w:tc>
          <w:tcPr>
            <w:tcW w:w="846"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sz w:val="22"/>
                <w:szCs w:val="22"/>
                <w:lang w:eastAsia="cs-CZ"/>
              </w:rPr>
            </w:pPr>
            <w:r w:rsidRPr="00DE5301">
              <w:rPr>
                <w:rFonts w:eastAsia="Times New Roman"/>
                <w:color w:val="000000"/>
                <w:sz w:val="22"/>
                <w:szCs w:val="22"/>
                <w:lang w:eastAsia="cs-CZ"/>
              </w:rPr>
              <w:t>44,8</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7,4</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32,2</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62,8</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34,6</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5,3</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27,4</w:t>
            </w:r>
          </w:p>
        </w:tc>
        <w:tc>
          <w:tcPr>
            <w:tcW w:w="960" w:type="dxa"/>
            <w:tcBorders>
              <w:top w:val="nil"/>
              <w:left w:val="nil"/>
              <w:bottom w:val="single" w:sz="4" w:space="0" w:color="auto"/>
              <w:right w:val="single" w:sz="4" w:space="0" w:color="auto"/>
            </w:tcBorders>
            <w:shd w:val="clear" w:color="auto" w:fill="auto"/>
            <w:noWrap/>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45,9</w:t>
            </w:r>
          </w:p>
        </w:tc>
      </w:tr>
      <w:tr w:rsidR="00DE5301" w:rsidRPr="00DE5301" w:rsidTr="00DE5301">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5301" w:rsidRPr="00DE5301" w:rsidRDefault="0096056C" w:rsidP="0096056C">
            <w:pPr>
              <w:spacing w:line="240" w:lineRule="auto"/>
              <w:ind w:left="0" w:firstLine="0"/>
              <w:rPr>
                <w:rFonts w:eastAsia="Times New Roman"/>
                <w:color w:val="000000"/>
                <w:lang w:eastAsia="cs-CZ"/>
              </w:rPr>
            </w:pPr>
            <w:r>
              <w:rPr>
                <w:rFonts w:eastAsia="Times New Roman"/>
                <w:color w:val="000000"/>
                <w:lang w:eastAsia="cs-CZ"/>
              </w:rPr>
              <w:t>TBW (</w:t>
            </w:r>
            <w:r w:rsidR="00C24376">
              <w:rPr>
                <w:rFonts w:eastAsia="Times New Roman"/>
                <w:color w:val="000000"/>
                <w:lang w:eastAsia="cs-CZ"/>
              </w:rPr>
              <w:t>l)</w:t>
            </w:r>
            <w:r>
              <w:rPr>
                <w:rFonts w:eastAsia="Times New Roman"/>
                <w:color w:val="000000"/>
                <w:lang w:eastAsia="cs-CZ"/>
              </w:rPr>
              <w:t xml:space="preserve"> I</w:t>
            </w:r>
          </w:p>
        </w:tc>
        <w:tc>
          <w:tcPr>
            <w:tcW w:w="846"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42,7</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4,8</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33,7</w:t>
            </w:r>
          </w:p>
        </w:tc>
        <w:tc>
          <w:tcPr>
            <w:tcW w:w="960" w:type="dxa"/>
            <w:tcBorders>
              <w:top w:val="nil"/>
              <w:left w:val="nil"/>
              <w:bottom w:val="single" w:sz="4" w:space="0" w:color="auto"/>
              <w:right w:val="single" w:sz="4" w:space="0" w:color="auto"/>
            </w:tcBorders>
            <w:shd w:val="clear" w:color="auto" w:fill="auto"/>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53,3</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30,8</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3,1</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24,2</w:t>
            </w:r>
          </w:p>
        </w:tc>
        <w:tc>
          <w:tcPr>
            <w:tcW w:w="960" w:type="dxa"/>
            <w:tcBorders>
              <w:top w:val="nil"/>
              <w:left w:val="nil"/>
              <w:bottom w:val="single" w:sz="4" w:space="0" w:color="auto"/>
              <w:right w:val="single" w:sz="4" w:space="0" w:color="auto"/>
            </w:tcBorders>
            <w:shd w:val="clear" w:color="auto" w:fill="auto"/>
            <w:noWrap/>
            <w:vAlign w:val="bottom"/>
            <w:hideMark/>
          </w:tcPr>
          <w:p w:rsidR="00DE5301" w:rsidRPr="00DE5301" w:rsidRDefault="00DE5301" w:rsidP="00DE5301">
            <w:pPr>
              <w:spacing w:line="240" w:lineRule="auto"/>
              <w:ind w:left="0" w:firstLine="0"/>
              <w:jc w:val="right"/>
              <w:rPr>
                <w:rFonts w:eastAsia="Times New Roman"/>
                <w:color w:val="000000"/>
                <w:lang w:eastAsia="cs-CZ"/>
              </w:rPr>
            </w:pPr>
            <w:r w:rsidRPr="00DE5301">
              <w:rPr>
                <w:rFonts w:eastAsia="Times New Roman"/>
                <w:color w:val="000000"/>
                <w:lang w:eastAsia="cs-CZ"/>
              </w:rPr>
              <w:t>37,3</w:t>
            </w:r>
          </w:p>
        </w:tc>
      </w:tr>
    </w:tbl>
    <w:p w:rsidR="0025016C" w:rsidRDefault="0025016C" w:rsidP="00C24376">
      <w:pPr>
        <w:ind w:left="0" w:firstLine="0"/>
        <w:jc w:val="both"/>
      </w:pPr>
    </w:p>
    <w:p w:rsidR="00935A57" w:rsidRPr="00935A57" w:rsidRDefault="00935A57" w:rsidP="00935A57">
      <w:pPr>
        <w:pStyle w:val="Nadpis2"/>
        <w:rPr>
          <w:i w:val="0"/>
          <w:sz w:val="26"/>
          <w:szCs w:val="26"/>
        </w:rPr>
      </w:pPr>
      <w:bookmarkStart w:id="29" w:name="_Toc324848226"/>
      <w:r w:rsidRPr="00935A57">
        <w:rPr>
          <w:i w:val="0"/>
          <w:sz w:val="26"/>
          <w:szCs w:val="26"/>
        </w:rPr>
        <w:t xml:space="preserve">5. </w:t>
      </w:r>
      <w:r>
        <w:rPr>
          <w:i w:val="0"/>
          <w:sz w:val="26"/>
          <w:szCs w:val="26"/>
        </w:rPr>
        <w:t>2</w:t>
      </w:r>
      <w:r w:rsidRPr="00935A57">
        <w:rPr>
          <w:i w:val="0"/>
          <w:sz w:val="26"/>
          <w:szCs w:val="26"/>
        </w:rPr>
        <w:t xml:space="preserve"> Vybrané parametry</w:t>
      </w:r>
      <w:r>
        <w:rPr>
          <w:i w:val="0"/>
          <w:sz w:val="26"/>
          <w:szCs w:val="26"/>
        </w:rPr>
        <w:t xml:space="preserve"> rizika obezity</w:t>
      </w:r>
      <w:bookmarkEnd w:id="29"/>
      <w:r w:rsidRPr="00935A57">
        <w:rPr>
          <w:i w:val="0"/>
          <w:sz w:val="26"/>
          <w:szCs w:val="26"/>
        </w:rPr>
        <w:t xml:space="preserve"> </w:t>
      </w:r>
    </w:p>
    <w:p w:rsidR="00935A57" w:rsidRDefault="00935A57" w:rsidP="00F6468F">
      <w:pPr>
        <w:ind w:left="0" w:firstLine="284"/>
        <w:jc w:val="both"/>
      </w:pPr>
    </w:p>
    <w:p w:rsidR="00935A57" w:rsidRPr="00935A57" w:rsidRDefault="0025016C" w:rsidP="00935A57">
      <w:pPr>
        <w:ind w:left="0" w:firstLine="284"/>
        <w:jc w:val="both"/>
      </w:pPr>
      <w:r>
        <w:t xml:space="preserve">BMI využíváme ke klasifikaci tělesné hmotnosti. </w:t>
      </w:r>
      <w:r w:rsidR="00935A57" w:rsidRPr="009C1EA1">
        <w:t>Průměrná hodnota BMI u mužů byla 25,1 kg/m</w:t>
      </w:r>
      <w:r w:rsidR="00935A57" w:rsidRPr="009C1EA1">
        <w:rPr>
          <w:vertAlign w:val="superscript"/>
        </w:rPr>
        <w:t>2</w:t>
      </w:r>
      <w:r w:rsidR="00935A57" w:rsidRPr="009C1EA1">
        <w:t xml:space="preserve">, což ve srovnání s hodnotami WHO (2004) </w:t>
      </w:r>
      <w:r w:rsidR="00935A57">
        <w:t xml:space="preserve">už vypovídá o mírné nadváze, u žen byla průměrná </w:t>
      </w:r>
      <w:r w:rsidR="00935A57" w:rsidRPr="00935A57">
        <w:t>hodnota 31,1 kg/m</w:t>
      </w:r>
      <w:r w:rsidR="00935A57" w:rsidRPr="00935A57">
        <w:rPr>
          <w:vertAlign w:val="superscript"/>
        </w:rPr>
        <w:t>2</w:t>
      </w:r>
      <w:r w:rsidR="00935A57">
        <w:t xml:space="preserve"> a</w:t>
      </w:r>
      <w:r w:rsidR="00935A57" w:rsidRPr="00935A57">
        <w:t xml:space="preserve"> zasahovala podle klasifikace WHO (2004) do oblasti obezity</w:t>
      </w:r>
      <w:r w:rsidR="00935A57">
        <w:t xml:space="preserve">. Minimální hodnota BMI (16,7 </w:t>
      </w:r>
      <w:r w:rsidR="00935A57" w:rsidRPr="009C1EA1">
        <w:t>kg/m</w:t>
      </w:r>
      <w:r w:rsidR="00935A57" w:rsidRPr="009C1EA1">
        <w:rPr>
          <w:vertAlign w:val="superscript"/>
        </w:rPr>
        <w:t>2</w:t>
      </w:r>
      <w:r w:rsidR="00935A57">
        <w:t>) muže zařadila do kategorie podváhy, maximální hodnota BMI 37,3</w:t>
      </w:r>
      <w:r w:rsidR="00935A57" w:rsidRPr="00935A57">
        <w:t xml:space="preserve"> </w:t>
      </w:r>
      <w:r w:rsidR="00935A57" w:rsidRPr="009C1EA1">
        <w:t>kg/m</w:t>
      </w:r>
      <w:r w:rsidR="00935A57" w:rsidRPr="009C1EA1">
        <w:rPr>
          <w:vertAlign w:val="superscript"/>
        </w:rPr>
        <w:t>2</w:t>
      </w:r>
      <w:r w:rsidR="00935A57">
        <w:rPr>
          <w:vertAlign w:val="superscript"/>
        </w:rPr>
        <w:t xml:space="preserve"> </w:t>
      </w:r>
      <w:r w:rsidR="00935A57">
        <w:t>pak do obezity 2. stupně. U žen se minimální hodnota (16,9</w:t>
      </w:r>
      <w:r w:rsidR="00935A57" w:rsidRPr="00935A57">
        <w:t xml:space="preserve"> </w:t>
      </w:r>
      <w:r w:rsidR="00935A57" w:rsidRPr="009C1EA1">
        <w:t>kg/m</w:t>
      </w:r>
      <w:r w:rsidR="00935A57" w:rsidRPr="009C1EA1">
        <w:rPr>
          <w:vertAlign w:val="superscript"/>
        </w:rPr>
        <w:t>2</w:t>
      </w:r>
      <w:r w:rsidR="00935A57">
        <w:t>) také zařadila do kategorie podváhy, kdežto maximální hodnota</w:t>
      </w:r>
      <w:r w:rsidR="00935A57" w:rsidRPr="009C1EA1">
        <w:t xml:space="preserve"> </w:t>
      </w:r>
      <w:r w:rsidR="00935A57">
        <w:t>47,6</w:t>
      </w:r>
      <w:r w:rsidR="00935A57" w:rsidRPr="00935A57">
        <w:t xml:space="preserve"> </w:t>
      </w:r>
      <w:r w:rsidR="00935A57" w:rsidRPr="009C1EA1">
        <w:t>kg/m</w:t>
      </w:r>
      <w:r w:rsidR="00935A57" w:rsidRPr="009C1EA1">
        <w:rPr>
          <w:vertAlign w:val="superscript"/>
        </w:rPr>
        <w:t>2</w:t>
      </w:r>
      <w:r w:rsidR="00935A57">
        <w:t xml:space="preserve"> značí nejvyšší stupeň obezity – morbidní obezitu. </w:t>
      </w:r>
    </w:p>
    <w:p w:rsidR="00F6468F" w:rsidRDefault="0025016C" w:rsidP="00F6468F">
      <w:pPr>
        <w:ind w:left="0" w:firstLine="284"/>
        <w:jc w:val="both"/>
      </w:pPr>
      <w:r>
        <w:t>Četnostní analýzou</w:t>
      </w:r>
      <w:r w:rsidR="00F6468F">
        <w:t xml:space="preserve"> BMI</w:t>
      </w:r>
      <w:r w:rsidR="00181983">
        <w:t xml:space="preserve"> (Obrázek 5)</w:t>
      </w:r>
      <w:r w:rsidR="00F6468F">
        <w:t>, naměřeného přístrojem InBody 720,</w:t>
      </w:r>
      <w:r>
        <w:t xml:space="preserve"> jsme zjistili, že</w:t>
      </w:r>
      <w:r w:rsidR="00F6468F">
        <w:t xml:space="preserve"> do kategorie podváhy spadali 3 </w:t>
      </w:r>
      <w:r>
        <w:t>muži a 1 žena. Normální tělesnou hmotnost mělo 10 mužů a pouze 4 ženy, nadváhu pak 9 mužů a 4 ženy. Do kat</w:t>
      </w:r>
      <w:r w:rsidR="004766F8">
        <w:t>egorie obezity spadalo 5 mužů a </w:t>
      </w:r>
      <w:r>
        <w:t>11</w:t>
      </w:r>
      <w:r w:rsidR="00F6468F">
        <w:t xml:space="preserve"> žen, z nichž 4 trpěli morbidní obezitou. Pokud tedy obě pohlaví porovnáme, tak podle BMI (WHO, 2004), muži spadali buď do normální hmotnosti, nebo do mírné nadváhy, kdežto schizofrenní ženy byly ve většině případů obézní.  </w:t>
      </w:r>
    </w:p>
    <w:p w:rsidR="00F6468F" w:rsidRDefault="00F6468F" w:rsidP="00F6468F">
      <w:pPr>
        <w:ind w:left="0" w:firstLine="284"/>
        <w:jc w:val="both"/>
      </w:pPr>
    </w:p>
    <w:p w:rsidR="0025016C" w:rsidRDefault="0025016C" w:rsidP="00F6468F">
      <w:pPr>
        <w:ind w:left="0" w:firstLine="0"/>
        <w:jc w:val="both"/>
      </w:pPr>
      <w:r w:rsidRPr="0025016C">
        <w:rPr>
          <w:noProof/>
          <w:lang w:eastAsia="cs-CZ"/>
        </w:rPr>
        <w:drawing>
          <wp:inline distT="0" distB="0" distL="0" distR="0">
            <wp:extent cx="4572000" cy="2743200"/>
            <wp:effectExtent l="19050" t="0" r="19050" b="0"/>
            <wp:docPr id="1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468F" w:rsidRDefault="00F6468F" w:rsidP="00F6468F">
      <w:pPr>
        <w:ind w:left="0" w:firstLine="0"/>
        <w:jc w:val="both"/>
      </w:pPr>
      <w:r>
        <w:t>Obrázek 5. Četnostní analýza podle BMI (WHO, 2004)</w:t>
      </w:r>
    </w:p>
    <w:p w:rsidR="001F7513" w:rsidRDefault="001F7513" w:rsidP="008F09E5">
      <w:pPr>
        <w:ind w:left="0" w:firstLine="0"/>
        <w:jc w:val="both"/>
      </w:pPr>
    </w:p>
    <w:p w:rsidR="00060A80" w:rsidRDefault="00060A80" w:rsidP="00060A80">
      <w:pPr>
        <w:ind w:left="0" w:firstLine="284"/>
        <w:jc w:val="both"/>
      </w:pPr>
      <w:r>
        <w:t xml:space="preserve">Hodnocení optimálního tělesného složení můžeme </w:t>
      </w:r>
      <w:r w:rsidR="00926C71">
        <w:t xml:space="preserve">provést </w:t>
      </w:r>
      <w:r>
        <w:t>na základě vztahu tuku a tukuprosté hmoty. K hodnocení FFM využíváme fat free mass index</w:t>
      </w:r>
      <w:r w:rsidRPr="009C1EA1">
        <w:t xml:space="preserve"> </w:t>
      </w:r>
      <w:r>
        <w:t>(</w:t>
      </w:r>
      <w:r w:rsidRPr="009C1EA1">
        <w:t>FFMI</w:t>
      </w:r>
      <w:r w:rsidR="00C71BFB">
        <w:t xml:space="preserve">), který představuje poměr FFM k </w:t>
      </w:r>
      <w:r>
        <w:t xml:space="preserve">tělesné výšce. Hodnoty tohoto indexu by se měly pohybovat v rozmezí </w:t>
      </w:r>
      <w:r w:rsidR="00C70124">
        <w:t>16,7–</w:t>
      </w:r>
      <w:r w:rsidRPr="009C1EA1">
        <w:t>19,7 kg/m</w:t>
      </w:r>
      <w:r w:rsidRPr="009C1EA1">
        <w:rPr>
          <w:vertAlign w:val="superscript"/>
        </w:rPr>
        <w:t>2</w:t>
      </w:r>
      <w:r w:rsidRPr="009C1EA1">
        <w:t xml:space="preserve"> u mužů</w:t>
      </w:r>
      <w:r w:rsidR="00C70124">
        <w:t xml:space="preserve"> a 14,6–</w:t>
      </w:r>
      <w:r w:rsidRPr="009C1EA1">
        <w:t>16,7 kg/m</w:t>
      </w:r>
      <w:r w:rsidRPr="009C1EA1">
        <w:rPr>
          <w:vertAlign w:val="superscript"/>
        </w:rPr>
        <w:t>2</w:t>
      </w:r>
      <w:r w:rsidRPr="009C1EA1">
        <w:t xml:space="preserve"> u žen </w:t>
      </w:r>
      <w:r w:rsidR="0049326C">
        <w:t xml:space="preserve">(Kyle et al., 2004). </w:t>
      </w:r>
      <w:r>
        <w:t>Nadváha je spojená s nižší hodnotou FFMI. U mužů s</w:t>
      </w:r>
      <w:r w:rsidR="00ED2329">
        <w:t>e hodnoty pohybovaly v normě, u </w:t>
      </w:r>
      <w:r>
        <w:t>žen byly trochu zvýšené.</w:t>
      </w:r>
    </w:p>
    <w:p w:rsidR="00DC09B0" w:rsidRDefault="00060A80" w:rsidP="00060A80">
      <w:pPr>
        <w:ind w:left="0" w:firstLine="284"/>
        <w:jc w:val="both"/>
      </w:pPr>
      <w:r>
        <w:t>K hodnocení tělesného tuku se může použít body fat mass index (BMFI), který zaznamenává vztah tuku k tělesné výšce. Rozmezí ideálního množství tělesného tuku by mělo být p</w:t>
      </w:r>
      <w:r w:rsidRPr="009C1EA1">
        <w:t>r</w:t>
      </w:r>
      <w:r w:rsidR="004C0DDE">
        <w:t>o muže 1,8–</w:t>
      </w:r>
      <w:r w:rsidRPr="009C1EA1">
        <w:t>5,1 kg/m</w:t>
      </w:r>
      <w:r w:rsidRPr="009C1EA1">
        <w:rPr>
          <w:vertAlign w:val="superscript"/>
        </w:rPr>
        <w:t>2</w:t>
      </w:r>
      <w:r w:rsidR="004C0DDE">
        <w:t>, pro ženy 3,9–</w:t>
      </w:r>
      <w:r w:rsidRPr="009C1EA1">
        <w:t>8,1 kg/m</w:t>
      </w:r>
      <w:r w:rsidRPr="009C1EA1">
        <w:rPr>
          <w:vertAlign w:val="superscript"/>
        </w:rPr>
        <w:t>2</w:t>
      </w:r>
      <w:r w:rsidR="0049326C">
        <w:rPr>
          <w:vertAlign w:val="superscript"/>
        </w:rPr>
        <w:t xml:space="preserve"> </w:t>
      </w:r>
      <w:r w:rsidR="0049326C">
        <w:t>(Kyle et al., 2004</w:t>
      </w:r>
      <w:r w:rsidR="0049326C" w:rsidRPr="009C1EA1">
        <w:t>).</w:t>
      </w:r>
      <w:r>
        <w:t xml:space="preserve"> </w:t>
      </w:r>
      <w:r w:rsidR="0049326C">
        <w:t xml:space="preserve">Pokud srovnáme toto rozmezí s průměrnými hodnotami </w:t>
      </w:r>
      <w:r w:rsidR="00C71BFB">
        <w:t xml:space="preserve">našeho </w:t>
      </w:r>
      <w:r w:rsidR="00926C71">
        <w:t>souboru</w:t>
      </w:r>
      <w:r w:rsidR="00C71BFB">
        <w:t xml:space="preserve"> </w:t>
      </w:r>
      <w:r w:rsidR="004766F8">
        <w:t>(Obrázek 6</w:t>
      </w:r>
      <w:r w:rsidR="0049326C">
        <w:t xml:space="preserve">), zjistíme, že k překročení došlo jak u mužů, tak i u žen, kde bylo výraznější. Tento index nám tedy vypovídá o zvýšené hmotnosti schizofreniků. </w:t>
      </w:r>
    </w:p>
    <w:p w:rsidR="00DC09B0" w:rsidRDefault="00DC09B0">
      <w:r>
        <w:br w:type="page"/>
      </w:r>
    </w:p>
    <w:p w:rsidR="0049326C" w:rsidRPr="009C1EA1" w:rsidRDefault="0049326C" w:rsidP="000D4100">
      <w:pPr>
        <w:ind w:left="0" w:firstLine="0"/>
        <w:jc w:val="both"/>
      </w:pPr>
      <w:r w:rsidRPr="0049326C">
        <w:rPr>
          <w:noProof/>
          <w:lang w:eastAsia="cs-CZ"/>
        </w:rPr>
        <w:drawing>
          <wp:inline distT="0" distB="0" distL="0" distR="0">
            <wp:extent cx="4381500" cy="2466975"/>
            <wp:effectExtent l="19050" t="0" r="19050" b="0"/>
            <wp:docPr id="20"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5C68" w:rsidRDefault="004766F8" w:rsidP="0049326C">
      <w:pPr>
        <w:ind w:left="0" w:firstLine="0"/>
        <w:jc w:val="both"/>
      </w:pPr>
      <w:r>
        <w:t>Obrázek 6</w:t>
      </w:r>
      <w:r w:rsidR="00C71BFB">
        <w:t>.</w:t>
      </w:r>
      <w:r w:rsidR="0049326C">
        <w:t xml:space="preserve"> Srovnání FFMI a BFMI u obou přístrojů a pohlaví</w:t>
      </w:r>
    </w:p>
    <w:p w:rsidR="0049326C" w:rsidRDefault="0049326C" w:rsidP="0049326C">
      <w:pPr>
        <w:ind w:left="0" w:firstLine="0"/>
        <w:jc w:val="both"/>
      </w:pPr>
    </w:p>
    <w:p w:rsidR="00AF3A89" w:rsidRDefault="0076467F" w:rsidP="00F20408">
      <w:pPr>
        <w:ind w:left="0" w:firstLine="284"/>
        <w:jc w:val="both"/>
      </w:pPr>
      <w:r>
        <w:t>InBody nám prostřednictvím ukazatelů zdravotního rizika</w:t>
      </w:r>
      <w:r w:rsidR="00DC09B0">
        <w:t xml:space="preserve"> (Tabulka 7</w:t>
      </w:r>
      <w:r w:rsidR="00F20408">
        <w:t>)</w:t>
      </w:r>
      <w:r>
        <w:t xml:space="preserve"> </w:t>
      </w:r>
      <w:r w:rsidR="00F20408">
        <w:t xml:space="preserve">udává riziko vzniku obezity. WHR </w:t>
      </w:r>
      <w:r w:rsidR="00AF3A89">
        <w:t>a VFA vypovídají</w:t>
      </w:r>
      <w:r w:rsidR="00F20408">
        <w:t xml:space="preserve"> především o riziku abdominální obezity. </w:t>
      </w:r>
      <w:r w:rsidR="004C0DDE">
        <w:t xml:space="preserve">Riziko je u hodnot WHR </w:t>
      </w:r>
      <w:r w:rsidRPr="009C1EA1">
        <w:t>8</w:t>
      </w:r>
      <w:r w:rsidR="00C43C38">
        <w:t>5</w:t>
      </w:r>
      <w:r w:rsidR="004C0DDE">
        <w:t xml:space="preserve"> u žen a </w:t>
      </w:r>
      <w:r w:rsidRPr="009C1EA1">
        <w:t>9</w:t>
      </w:r>
      <w:r w:rsidR="004C0DDE">
        <w:t>6</w:t>
      </w:r>
      <w:r w:rsidRPr="009C1EA1">
        <w:t xml:space="preserve"> u mužů </w:t>
      </w:r>
      <w:r w:rsidR="004C0DDE">
        <w:t>(WHO, 2008</w:t>
      </w:r>
      <w:r w:rsidRPr="009C1EA1">
        <w:t xml:space="preserve">). </w:t>
      </w:r>
      <w:r w:rsidR="00F20408">
        <w:t xml:space="preserve">Ženy dosáhly v průměru </w:t>
      </w:r>
      <w:r w:rsidR="00AF3A89">
        <w:t>hodno</w:t>
      </w:r>
      <w:r w:rsidR="00C43C38">
        <w:t xml:space="preserve">ty </w:t>
      </w:r>
      <w:r w:rsidR="00F20408">
        <w:t>98,</w:t>
      </w:r>
      <w:r w:rsidR="00C43C38">
        <w:t>2, což vypovídá</w:t>
      </w:r>
      <w:r w:rsidR="00F20408">
        <w:t xml:space="preserve"> o </w:t>
      </w:r>
      <w:r w:rsidR="00C43C38">
        <w:t>vysokém riziku abdominální obezity</w:t>
      </w:r>
      <w:r w:rsidR="00F20408">
        <w:t xml:space="preserve">. </w:t>
      </w:r>
      <w:r w:rsidR="00C43C38">
        <w:t xml:space="preserve">U mužů rovněž zaznamenáváme vyšší průměrnou hodnotu 88,7, než uvádí referenční hodnoty. </w:t>
      </w:r>
      <w:r w:rsidR="00AF3A89">
        <w:t>Hodnota VFA by neměla</w:t>
      </w:r>
      <w:r w:rsidR="00C71BFB">
        <w:t xml:space="preserve"> </w:t>
      </w:r>
      <w:r w:rsidR="00AF3A89">
        <w:t>přesáhnou</w:t>
      </w:r>
      <w:r w:rsidR="00C71BFB">
        <w:t>t</w:t>
      </w:r>
      <w:r w:rsidR="00AF3A89">
        <w:t xml:space="preserve"> </w:t>
      </w:r>
      <w:r w:rsidR="00AF3A89" w:rsidRPr="009C1EA1">
        <w:t>100 cm</w:t>
      </w:r>
      <w:r w:rsidR="00AF3A89" w:rsidRPr="009C1EA1">
        <w:rPr>
          <w:vertAlign w:val="superscript"/>
        </w:rPr>
        <w:t>2</w:t>
      </w:r>
      <w:r w:rsidR="001C0A30">
        <w:rPr>
          <w:vertAlign w:val="superscript"/>
        </w:rPr>
        <w:t xml:space="preserve"> </w:t>
      </w:r>
      <w:r w:rsidR="001C0A30">
        <w:t>(</w:t>
      </w:r>
      <w:r w:rsidR="004C0DDE" w:rsidRPr="009A66C6">
        <w:t>Miyatake</w:t>
      </w:r>
      <w:r w:rsidR="004C0DDE">
        <w:t>,</w:t>
      </w:r>
      <w:r w:rsidR="004C0DDE" w:rsidRPr="009A66C6">
        <w:t xml:space="preserve"> Takanami</w:t>
      </w:r>
      <w:r w:rsidR="004C0DDE">
        <w:t>,</w:t>
      </w:r>
      <w:r w:rsidR="004C0DDE" w:rsidRPr="009A66C6">
        <w:t xml:space="preserve"> Kawasaki</w:t>
      </w:r>
      <w:r w:rsidR="004C0DDE">
        <w:t xml:space="preserve">, &amp; </w:t>
      </w:r>
      <w:r w:rsidR="004C0DDE" w:rsidRPr="009A66C6">
        <w:t>Fujii</w:t>
      </w:r>
      <w:r w:rsidR="004C0DDE">
        <w:t xml:space="preserve">, </w:t>
      </w:r>
      <w:r w:rsidR="004C0DDE" w:rsidRPr="009A66C6">
        <w:t>2004</w:t>
      </w:r>
      <w:r w:rsidR="001C0A30">
        <w:t>)</w:t>
      </w:r>
      <w:r w:rsidR="009B68D7">
        <w:t>, což u </w:t>
      </w:r>
      <w:r w:rsidR="00AF3A89">
        <w:t xml:space="preserve">mužů nenastalo, u žen byla překročena výrazně. </w:t>
      </w:r>
    </w:p>
    <w:p w:rsidR="00F20408" w:rsidRDefault="00F20408" w:rsidP="00733888">
      <w:pPr>
        <w:ind w:left="0" w:firstLine="284"/>
        <w:jc w:val="both"/>
      </w:pPr>
      <w:r>
        <w:t>Procento tělesného tuku by se mělo pohybova</w:t>
      </w:r>
      <w:r w:rsidR="00AF3A89">
        <w:t>t</w:t>
      </w:r>
      <w:r>
        <w:t xml:space="preserve"> v rozmezí 10 až 16 %</w:t>
      </w:r>
      <w:r w:rsidR="00AF3A89">
        <w:t xml:space="preserve"> u mužů a </w:t>
      </w:r>
      <w:r>
        <w:t>25 až</w:t>
      </w:r>
      <w:r w:rsidR="00AF3A89">
        <w:t xml:space="preserve"> 35 % u žen. Schizofrenní muži přesáhli hranici je mírně</w:t>
      </w:r>
      <w:r w:rsidR="00C71BFB">
        <w:t xml:space="preserve">. </w:t>
      </w:r>
      <w:r w:rsidR="00AF3A89">
        <w:t>Schizofrenní ženy mají výrazně vyšší procento tělesného tuku</w:t>
      </w:r>
      <w:r w:rsidR="00733888">
        <w:t xml:space="preserve"> </w:t>
      </w:r>
      <w:r w:rsidR="0046248D">
        <w:t>(</w:t>
      </w:r>
      <w:r w:rsidRPr="009C1EA1">
        <w:t>Gába, Přidalová, Pelclová, Riegerová, &amp; </w:t>
      </w:r>
      <w:r>
        <w:t xml:space="preserve">Tlučáková, 2010; </w:t>
      </w:r>
      <w:r w:rsidR="00DE5301">
        <w:t xml:space="preserve">Heyward, &amp; Wagner, 2004; </w:t>
      </w:r>
      <w:r>
        <w:t xml:space="preserve">Riegerová, </w:t>
      </w:r>
      <w:r w:rsidRPr="008D05E9">
        <w:t>Kapu</w:t>
      </w:r>
      <w:r>
        <w:t>š</w:t>
      </w:r>
      <w:r w:rsidRPr="008D05E9">
        <w:t xml:space="preserve">, Gába, </w:t>
      </w:r>
      <w:r>
        <w:t>&amp; </w:t>
      </w:r>
      <w:r w:rsidRPr="008D05E9">
        <w:t>Š</w:t>
      </w:r>
      <w:r>
        <w:t>č</w:t>
      </w:r>
      <w:r w:rsidRPr="008D05E9">
        <w:t>otka</w:t>
      </w:r>
      <w:r>
        <w:t xml:space="preserve">, 2010). </w:t>
      </w:r>
    </w:p>
    <w:p w:rsidR="009B68D7" w:rsidRDefault="009B68D7" w:rsidP="00733888">
      <w:pPr>
        <w:ind w:left="0" w:firstLine="284"/>
        <w:jc w:val="both"/>
      </w:pPr>
    </w:p>
    <w:p w:rsidR="009B68D7" w:rsidRPr="009C1EA1" w:rsidRDefault="009B68D7" w:rsidP="009B68D7">
      <w:pPr>
        <w:ind w:left="0" w:firstLine="0"/>
        <w:jc w:val="both"/>
      </w:pPr>
      <w:r>
        <w:t>T</w:t>
      </w:r>
      <w:r w:rsidRPr="009C1EA1">
        <w:t xml:space="preserve">abulka </w:t>
      </w:r>
      <w:r>
        <w:t>7</w:t>
      </w:r>
      <w:r w:rsidRPr="009C1EA1">
        <w:t>. Popisné charakteristiky parametrů rizika pro obezitu</w:t>
      </w:r>
    </w:p>
    <w:tbl>
      <w:tblPr>
        <w:tblW w:w="8793" w:type="dxa"/>
        <w:tblInd w:w="55" w:type="dxa"/>
        <w:tblCellMar>
          <w:left w:w="70" w:type="dxa"/>
          <w:right w:w="70" w:type="dxa"/>
        </w:tblCellMar>
        <w:tblLook w:val="04A0"/>
      </w:tblPr>
      <w:tblGrid>
        <w:gridCol w:w="1433"/>
        <w:gridCol w:w="850"/>
        <w:gridCol w:w="709"/>
        <w:gridCol w:w="992"/>
        <w:gridCol w:w="969"/>
        <w:gridCol w:w="1052"/>
        <w:gridCol w:w="830"/>
        <w:gridCol w:w="906"/>
        <w:gridCol w:w="1052"/>
      </w:tblGrid>
      <w:tr w:rsidR="009B68D7" w:rsidRPr="009B68D7" w:rsidTr="009B68D7">
        <w:trPr>
          <w:trHeight w:val="330"/>
        </w:trPr>
        <w:tc>
          <w:tcPr>
            <w:tcW w:w="1433"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parametry</w:t>
            </w:r>
          </w:p>
        </w:tc>
        <w:tc>
          <w:tcPr>
            <w:tcW w:w="3520" w:type="dxa"/>
            <w:gridSpan w:val="4"/>
            <w:tcBorders>
              <w:top w:val="single" w:sz="8" w:space="0" w:color="000000"/>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muži (n = 27)</w:t>
            </w:r>
          </w:p>
        </w:tc>
        <w:tc>
          <w:tcPr>
            <w:tcW w:w="3840" w:type="dxa"/>
            <w:gridSpan w:val="4"/>
            <w:tcBorders>
              <w:top w:val="single" w:sz="8" w:space="0" w:color="000000"/>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ženy (n = 20)</w:t>
            </w:r>
          </w:p>
        </w:tc>
      </w:tr>
      <w:tr w:rsidR="009B68D7" w:rsidRPr="009B68D7" w:rsidTr="009B68D7">
        <w:trPr>
          <w:trHeight w:val="330"/>
        </w:trPr>
        <w:tc>
          <w:tcPr>
            <w:tcW w:w="1433" w:type="dxa"/>
            <w:vMerge/>
            <w:tcBorders>
              <w:top w:val="single" w:sz="8" w:space="0" w:color="000000"/>
              <w:left w:val="single" w:sz="8" w:space="0" w:color="000000"/>
              <w:bottom w:val="single" w:sz="8" w:space="0" w:color="000000"/>
              <w:right w:val="single" w:sz="8" w:space="0" w:color="000000"/>
            </w:tcBorders>
            <w:vAlign w:val="center"/>
            <w:hideMark/>
          </w:tcPr>
          <w:p w:rsidR="009B68D7" w:rsidRPr="009B68D7" w:rsidRDefault="009B68D7" w:rsidP="009B68D7">
            <w:pPr>
              <w:spacing w:line="240" w:lineRule="auto"/>
              <w:ind w:left="0" w:firstLine="0"/>
              <w:rPr>
                <w:rFonts w:eastAsia="Times New Roman"/>
                <w:color w:val="000000"/>
                <w:lang w:eastAsia="cs-CZ"/>
              </w:rPr>
            </w:pPr>
          </w:p>
        </w:tc>
        <w:tc>
          <w:tcPr>
            <w:tcW w:w="85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w:t>
            </w:r>
          </w:p>
        </w:tc>
        <w:tc>
          <w:tcPr>
            <w:tcW w:w="70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SD</w:t>
            </w:r>
          </w:p>
        </w:tc>
        <w:tc>
          <w:tcPr>
            <w:tcW w:w="99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Min.</w:t>
            </w:r>
          </w:p>
        </w:tc>
        <w:tc>
          <w:tcPr>
            <w:tcW w:w="96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Max.</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w:t>
            </w:r>
          </w:p>
        </w:tc>
        <w:tc>
          <w:tcPr>
            <w:tcW w:w="83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SD</w:t>
            </w:r>
          </w:p>
        </w:tc>
        <w:tc>
          <w:tcPr>
            <w:tcW w:w="906"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Min.</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center"/>
              <w:rPr>
                <w:rFonts w:eastAsia="Times New Roman"/>
                <w:color w:val="000000"/>
                <w:lang w:eastAsia="cs-CZ"/>
              </w:rPr>
            </w:pPr>
            <w:r w:rsidRPr="009B68D7">
              <w:rPr>
                <w:rFonts w:eastAsia="Times New Roman"/>
                <w:color w:val="000000"/>
                <w:lang w:eastAsia="cs-CZ"/>
              </w:rPr>
              <w:t>Max.</w:t>
            </w:r>
          </w:p>
        </w:tc>
      </w:tr>
      <w:tr w:rsidR="009B68D7" w:rsidRPr="009B68D7" w:rsidTr="009B68D7">
        <w:trPr>
          <w:trHeight w:val="390"/>
        </w:trPr>
        <w:tc>
          <w:tcPr>
            <w:tcW w:w="1433" w:type="dxa"/>
            <w:tcBorders>
              <w:top w:val="nil"/>
              <w:left w:val="single" w:sz="8" w:space="0" w:color="000000"/>
              <w:bottom w:val="single" w:sz="8" w:space="0" w:color="000000"/>
              <w:right w:val="single" w:sz="8" w:space="0" w:color="000000"/>
            </w:tcBorders>
            <w:shd w:val="clear" w:color="auto" w:fill="auto"/>
            <w:noWrap/>
            <w:hideMark/>
          </w:tcPr>
          <w:p w:rsidR="009B68D7" w:rsidRPr="009B68D7" w:rsidRDefault="00C43C38" w:rsidP="00C43C38">
            <w:pPr>
              <w:spacing w:line="240" w:lineRule="auto"/>
              <w:ind w:left="0" w:firstLine="0"/>
              <w:rPr>
                <w:rFonts w:eastAsia="Times New Roman"/>
                <w:color w:val="000000"/>
                <w:lang w:eastAsia="cs-CZ"/>
              </w:rPr>
            </w:pPr>
            <w:r>
              <w:rPr>
                <w:rFonts w:eastAsia="Times New Roman"/>
                <w:color w:val="000000"/>
                <w:lang w:eastAsia="cs-CZ"/>
              </w:rPr>
              <w:t>WHR</w:t>
            </w:r>
          </w:p>
        </w:tc>
        <w:tc>
          <w:tcPr>
            <w:tcW w:w="85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88,7</w:t>
            </w:r>
          </w:p>
        </w:tc>
        <w:tc>
          <w:tcPr>
            <w:tcW w:w="70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5,9</w:t>
            </w:r>
          </w:p>
        </w:tc>
        <w:tc>
          <w:tcPr>
            <w:tcW w:w="99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76</w:t>
            </w:r>
            <w:r>
              <w:rPr>
                <w:rFonts w:eastAsia="Times New Roman"/>
                <w:color w:val="000000"/>
                <w:lang w:eastAsia="cs-CZ"/>
              </w:rPr>
              <w:t>,0</w:t>
            </w:r>
          </w:p>
        </w:tc>
        <w:tc>
          <w:tcPr>
            <w:tcW w:w="96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100</w:t>
            </w:r>
            <w:r>
              <w:rPr>
                <w:rFonts w:eastAsia="Times New Roman"/>
                <w:color w:val="000000"/>
                <w:lang w:eastAsia="cs-CZ"/>
              </w:rPr>
              <w:t>,0</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98,2</w:t>
            </w:r>
          </w:p>
        </w:tc>
        <w:tc>
          <w:tcPr>
            <w:tcW w:w="83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8,3</w:t>
            </w:r>
          </w:p>
        </w:tc>
        <w:tc>
          <w:tcPr>
            <w:tcW w:w="906"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85</w:t>
            </w:r>
            <w:r>
              <w:rPr>
                <w:rFonts w:eastAsia="Times New Roman"/>
                <w:color w:val="000000"/>
                <w:lang w:eastAsia="cs-CZ"/>
              </w:rPr>
              <w:t>,0</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116</w:t>
            </w:r>
            <w:r>
              <w:rPr>
                <w:rFonts w:eastAsia="Times New Roman"/>
                <w:color w:val="000000"/>
                <w:lang w:eastAsia="cs-CZ"/>
              </w:rPr>
              <w:t>,0</w:t>
            </w:r>
          </w:p>
        </w:tc>
      </w:tr>
      <w:tr w:rsidR="009B68D7" w:rsidRPr="009B68D7" w:rsidTr="009B68D7">
        <w:trPr>
          <w:trHeight w:val="330"/>
        </w:trPr>
        <w:tc>
          <w:tcPr>
            <w:tcW w:w="1433" w:type="dxa"/>
            <w:tcBorders>
              <w:top w:val="nil"/>
              <w:left w:val="single" w:sz="8" w:space="0" w:color="000000"/>
              <w:bottom w:val="single" w:sz="8" w:space="0" w:color="000000"/>
              <w:right w:val="single" w:sz="8" w:space="0" w:color="000000"/>
            </w:tcBorders>
            <w:shd w:val="clear" w:color="auto" w:fill="auto"/>
            <w:noWrap/>
            <w:hideMark/>
          </w:tcPr>
          <w:p w:rsidR="009B68D7" w:rsidRPr="009B68D7" w:rsidRDefault="009B68D7" w:rsidP="00C43C38">
            <w:pPr>
              <w:spacing w:line="240" w:lineRule="auto"/>
              <w:ind w:left="0" w:firstLine="0"/>
              <w:rPr>
                <w:rFonts w:eastAsia="Times New Roman"/>
                <w:color w:val="000000"/>
                <w:lang w:eastAsia="cs-CZ"/>
              </w:rPr>
            </w:pPr>
            <w:r w:rsidRPr="009B68D7">
              <w:rPr>
                <w:rFonts w:eastAsia="Times New Roman"/>
                <w:color w:val="000000"/>
                <w:lang w:eastAsia="cs-CZ"/>
              </w:rPr>
              <w:t>PBF (%)</w:t>
            </w:r>
          </w:p>
        </w:tc>
        <w:tc>
          <w:tcPr>
            <w:tcW w:w="85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21,9</w:t>
            </w:r>
          </w:p>
        </w:tc>
        <w:tc>
          <w:tcPr>
            <w:tcW w:w="70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8,9</w:t>
            </w:r>
          </w:p>
        </w:tc>
        <w:tc>
          <w:tcPr>
            <w:tcW w:w="99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3,3</w:t>
            </w:r>
          </w:p>
        </w:tc>
        <w:tc>
          <w:tcPr>
            <w:tcW w:w="96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35</w:t>
            </w:r>
            <w:r>
              <w:rPr>
                <w:rFonts w:eastAsia="Times New Roman"/>
                <w:color w:val="000000"/>
                <w:lang w:eastAsia="cs-CZ"/>
              </w:rPr>
              <w:t>,0</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39,4</w:t>
            </w:r>
          </w:p>
        </w:tc>
        <w:tc>
          <w:tcPr>
            <w:tcW w:w="83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10,8</w:t>
            </w:r>
          </w:p>
        </w:tc>
        <w:tc>
          <w:tcPr>
            <w:tcW w:w="906"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13,6</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52,7</w:t>
            </w:r>
          </w:p>
        </w:tc>
      </w:tr>
      <w:tr w:rsidR="009B68D7" w:rsidRPr="009B68D7" w:rsidTr="009B68D7">
        <w:trPr>
          <w:trHeight w:val="390"/>
        </w:trPr>
        <w:tc>
          <w:tcPr>
            <w:tcW w:w="1433" w:type="dxa"/>
            <w:tcBorders>
              <w:top w:val="nil"/>
              <w:left w:val="single" w:sz="8" w:space="0" w:color="000000"/>
              <w:bottom w:val="single" w:sz="8" w:space="0" w:color="000000"/>
              <w:right w:val="single" w:sz="8" w:space="0" w:color="000000"/>
            </w:tcBorders>
            <w:shd w:val="clear" w:color="auto" w:fill="auto"/>
            <w:noWrap/>
            <w:hideMark/>
          </w:tcPr>
          <w:p w:rsidR="009B68D7" w:rsidRPr="009B68D7" w:rsidRDefault="009B68D7" w:rsidP="00C43C38">
            <w:pPr>
              <w:spacing w:line="240" w:lineRule="auto"/>
              <w:ind w:left="0" w:firstLine="0"/>
              <w:rPr>
                <w:rFonts w:eastAsia="Times New Roman"/>
                <w:color w:val="000000"/>
                <w:lang w:eastAsia="cs-CZ"/>
              </w:rPr>
            </w:pPr>
            <w:r w:rsidRPr="009B68D7">
              <w:rPr>
                <w:rFonts w:eastAsia="Times New Roman"/>
                <w:color w:val="000000"/>
                <w:lang w:eastAsia="cs-CZ"/>
              </w:rPr>
              <w:t>VFA (cm</w:t>
            </w:r>
            <w:r w:rsidRPr="009B68D7">
              <w:rPr>
                <w:rFonts w:eastAsia="Times New Roman"/>
                <w:color w:val="000000"/>
                <w:vertAlign w:val="superscript"/>
                <w:lang w:eastAsia="cs-CZ"/>
              </w:rPr>
              <w:t>2</w:t>
            </w:r>
            <w:r w:rsidRPr="009B68D7">
              <w:rPr>
                <w:rFonts w:eastAsia="Times New Roman"/>
                <w:color w:val="000000"/>
                <w:lang w:eastAsia="cs-CZ"/>
              </w:rPr>
              <w:t>)</w:t>
            </w:r>
          </w:p>
        </w:tc>
        <w:tc>
          <w:tcPr>
            <w:tcW w:w="85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96,1</w:t>
            </w:r>
          </w:p>
        </w:tc>
        <w:tc>
          <w:tcPr>
            <w:tcW w:w="70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41,8</w:t>
            </w:r>
          </w:p>
        </w:tc>
        <w:tc>
          <w:tcPr>
            <w:tcW w:w="99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7</w:t>
            </w:r>
            <w:r>
              <w:rPr>
                <w:rFonts w:eastAsia="Times New Roman"/>
                <w:color w:val="000000"/>
                <w:lang w:eastAsia="cs-CZ"/>
              </w:rPr>
              <w:t>,0</w:t>
            </w:r>
          </w:p>
        </w:tc>
        <w:tc>
          <w:tcPr>
            <w:tcW w:w="969"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173,9</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141,5</w:t>
            </w:r>
          </w:p>
        </w:tc>
        <w:tc>
          <w:tcPr>
            <w:tcW w:w="830"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54,9</w:t>
            </w:r>
          </w:p>
        </w:tc>
        <w:tc>
          <w:tcPr>
            <w:tcW w:w="906"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46,8</w:t>
            </w:r>
          </w:p>
        </w:tc>
        <w:tc>
          <w:tcPr>
            <w:tcW w:w="1052" w:type="dxa"/>
            <w:tcBorders>
              <w:top w:val="nil"/>
              <w:left w:val="nil"/>
              <w:bottom w:val="single" w:sz="8" w:space="0" w:color="000000"/>
              <w:right w:val="single" w:sz="8" w:space="0" w:color="000000"/>
            </w:tcBorders>
            <w:shd w:val="clear" w:color="auto" w:fill="auto"/>
            <w:noWrap/>
            <w:hideMark/>
          </w:tcPr>
          <w:p w:rsidR="009B68D7" w:rsidRPr="009B68D7" w:rsidRDefault="009B68D7" w:rsidP="009B68D7">
            <w:pPr>
              <w:spacing w:line="240" w:lineRule="auto"/>
              <w:ind w:left="0" w:firstLine="0"/>
              <w:jc w:val="right"/>
              <w:rPr>
                <w:rFonts w:eastAsia="Times New Roman"/>
                <w:color w:val="000000"/>
                <w:lang w:eastAsia="cs-CZ"/>
              </w:rPr>
            </w:pPr>
            <w:r w:rsidRPr="009B68D7">
              <w:rPr>
                <w:rFonts w:eastAsia="Times New Roman"/>
                <w:color w:val="000000"/>
                <w:lang w:eastAsia="cs-CZ"/>
              </w:rPr>
              <w:t>428,8</w:t>
            </w:r>
          </w:p>
        </w:tc>
      </w:tr>
    </w:tbl>
    <w:p w:rsidR="009B68D7" w:rsidRPr="00A70F4A" w:rsidRDefault="009B68D7" w:rsidP="009B68D7">
      <w:pPr>
        <w:tabs>
          <w:tab w:val="left" w:pos="1276"/>
          <w:tab w:val="left" w:pos="4536"/>
        </w:tabs>
        <w:ind w:left="0" w:firstLine="0"/>
        <w:jc w:val="both"/>
        <w:rPr>
          <w:i/>
          <w:sz w:val="20"/>
          <w:szCs w:val="20"/>
        </w:rPr>
      </w:pPr>
      <w:r w:rsidRPr="00A70F4A">
        <w:rPr>
          <w:i/>
          <w:sz w:val="20"/>
          <w:szCs w:val="20"/>
        </w:rPr>
        <w:t xml:space="preserve">Vysvětlivky: </w:t>
      </w:r>
      <w:r w:rsidRPr="00A70F4A">
        <w:rPr>
          <w:i/>
          <w:sz w:val="20"/>
          <w:szCs w:val="20"/>
        </w:rPr>
        <w:tab/>
        <w:t>WHR – poměr pasu a boků,  PBF – procento tuku,  VFA – viscerální tuk</w:t>
      </w:r>
    </w:p>
    <w:p w:rsidR="009B68D7" w:rsidRDefault="009B68D7">
      <w:r>
        <w:br w:type="page"/>
      </w:r>
    </w:p>
    <w:p w:rsidR="00935A57" w:rsidRDefault="00935A57" w:rsidP="00935A57">
      <w:pPr>
        <w:pStyle w:val="Nadpis2"/>
        <w:rPr>
          <w:i w:val="0"/>
          <w:sz w:val="26"/>
          <w:szCs w:val="26"/>
        </w:rPr>
      </w:pPr>
      <w:bookmarkStart w:id="30" w:name="_Toc324848227"/>
      <w:r w:rsidRPr="00935A57">
        <w:rPr>
          <w:i w:val="0"/>
          <w:sz w:val="26"/>
          <w:szCs w:val="26"/>
        </w:rPr>
        <w:t xml:space="preserve">5. </w:t>
      </w:r>
      <w:r>
        <w:rPr>
          <w:i w:val="0"/>
          <w:sz w:val="26"/>
          <w:szCs w:val="26"/>
        </w:rPr>
        <w:t>3</w:t>
      </w:r>
      <w:r w:rsidRPr="00935A57">
        <w:rPr>
          <w:i w:val="0"/>
          <w:sz w:val="26"/>
          <w:szCs w:val="26"/>
        </w:rPr>
        <w:t xml:space="preserve"> </w:t>
      </w:r>
      <w:r>
        <w:rPr>
          <w:i w:val="0"/>
          <w:sz w:val="26"/>
          <w:szCs w:val="26"/>
        </w:rPr>
        <w:t>Segmentální analýza</w:t>
      </w:r>
      <w:bookmarkEnd w:id="30"/>
      <w:r>
        <w:rPr>
          <w:i w:val="0"/>
          <w:sz w:val="26"/>
          <w:szCs w:val="26"/>
        </w:rPr>
        <w:t xml:space="preserve"> </w:t>
      </w:r>
    </w:p>
    <w:p w:rsidR="00B5178D" w:rsidRDefault="00B5178D" w:rsidP="00B5178D"/>
    <w:p w:rsidR="008B682E" w:rsidRDefault="008B682E" w:rsidP="008B682E">
      <w:pPr>
        <w:ind w:left="0" w:firstLine="284"/>
        <w:jc w:val="both"/>
      </w:pPr>
      <w:r>
        <w:t>Segmentální analýzu svalové frakce jsme změřili prostřednictvím přístroje InBody</w:t>
      </w:r>
      <w:r w:rsidR="00FD5EFC">
        <w:t> </w:t>
      </w:r>
      <w:r>
        <w:t>720, přehled výsledků je v tabulce 8.</w:t>
      </w:r>
    </w:p>
    <w:p w:rsidR="008B682E" w:rsidRDefault="008B682E" w:rsidP="008B682E">
      <w:pPr>
        <w:ind w:left="0" w:firstLine="284"/>
        <w:jc w:val="both"/>
      </w:pPr>
    </w:p>
    <w:p w:rsidR="008B682E" w:rsidRPr="009C1EA1" w:rsidRDefault="008B682E" w:rsidP="008B682E">
      <w:pPr>
        <w:tabs>
          <w:tab w:val="left" w:pos="1766"/>
        </w:tabs>
        <w:ind w:left="0" w:firstLine="0"/>
        <w:jc w:val="both"/>
      </w:pPr>
      <w:r>
        <w:t>Tabulka 8. Segmentální analýza svalové frakce pomocí InBody 720</w:t>
      </w:r>
    </w:p>
    <w:tbl>
      <w:tblPr>
        <w:tblW w:w="8900" w:type="dxa"/>
        <w:tblCellMar>
          <w:left w:w="0" w:type="dxa"/>
          <w:right w:w="0" w:type="dxa"/>
        </w:tblCellMar>
        <w:tblLook w:val="04A0"/>
      </w:tblPr>
      <w:tblGrid>
        <w:gridCol w:w="1298"/>
        <w:gridCol w:w="952"/>
        <w:gridCol w:w="948"/>
        <w:gridCol w:w="949"/>
        <w:gridCol w:w="952"/>
        <w:gridCol w:w="952"/>
        <w:gridCol w:w="948"/>
        <w:gridCol w:w="949"/>
        <w:gridCol w:w="952"/>
      </w:tblGrid>
      <w:tr w:rsidR="008B682E" w:rsidTr="008B682E">
        <w:trPr>
          <w:trHeight w:val="330"/>
        </w:trPr>
        <w:tc>
          <w:tcPr>
            <w:tcW w:w="12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B682E" w:rsidRDefault="008B682E">
            <w:pPr>
              <w:jc w:val="center"/>
              <w:rPr>
                <w:color w:val="000000"/>
              </w:rPr>
            </w:pPr>
            <w:r>
              <w:rPr>
                <w:color w:val="000000"/>
              </w:rPr>
              <w:t>parametry</w:t>
            </w:r>
          </w:p>
        </w:tc>
        <w:tc>
          <w:tcPr>
            <w:tcW w:w="3801" w:type="dxa"/>
            <w:gridSpan w:val="4"/>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ženy (n = 20)</w:t>
            </w:r>
          </w:p>
        </w:tc>
        <w:tc>
          <w:tcPr>
            <w:tcW w:w="3801" w:type="dxa"/>
            <w:gridSpan w:val="4"/>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muži (n = 27)</w:t>
            </w:r>
          </w:p>
        </w:tc>
      </w:tr>
      <w:tr w:rsidR="008B682E" w:rsidTr="008B682E">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682E" w:rsidRDefault="008B682E">
            <w:pPr>
              <w:rPr>
                <w:color w:val="000000"/>
              </w:rPr>
            </w:pPr>
          </w:p>
        </w:tc>
        <w:tc>
          <w:tcPr>
            <w:tcW w:w="9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w:t>
            </w:r>
          </w:p>
        </w:tc>
        <w:tc>
          <w:tcPr>
            <w:tcW w:w="94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SD</w:t>
            </w:r>
          </w:p>
        </w:tc>
        <w:tc>
          <w:tcPr>
            <w:tcW w:w="94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Min.</w:t>
            </w:r>
          </w:p>
        </w:tc>
        <w:tc>
          <w:tcPr>
            <w:tcW w:w="9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Max.</w:t>
            </w:r>
          </w:p>
        </w:tc>
        <w:tc>
          <w:tcPr>
            <w:tcW w:w="9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w:t>
            </w:r>
          </w:p>
        </w:tc>
        <w:tc>
          <w:tcPr>
            <w:tcW w:w="94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SD</w:t>
            </w:r>
          </w:p>
        </w:tc>
        <w:tc>
          <w:tcPr>
            <w:tcW w:w="949"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Min.</w:t>
            </w:r>
          </w:p>
        </w:tc>
        <w:tc>
          <w:tcPr>
            <w:tcW w:w="9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8B682E" w:rsidRDefault="008B682E">
            <w:pPr>
              <w:jc w:val="center"/>
              <w:rPr>
                <w:color w:val="000000"/>
              </w:rPr>
            </w:pPr>
            <w:r>
              <w:rPr>
                <w:color w:val="000000"/>
              </w:rPr>
              <w:t>Max.</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rsidP="00191D76">
            <w:pPr>
              <w:rPr>
                <w:color w:val="000000"/>
              </w:rPr>
            </w:pPr>
            <w:r>
              <w:rPr>
                <w:color w:val="000000"/>
              </w:rPr>
              <w:t>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43,1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35,0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58,2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56,2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40,6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76,2</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RL LeanP</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104,2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16,6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75,9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133,9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11,7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81,1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130,9</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RL 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6,8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6,2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12,9</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LL LeanP</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104,1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17,4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76,3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136,7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98,0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11,5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79,7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127,5</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LL 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6,7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6,2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12,8</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RA LeanP</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146,2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35,7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99,1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208,7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110,1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16,4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70,7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147,7</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RA 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0,6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0,6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4,7</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LA LeanP</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144,7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34,5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95,3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207,4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109,5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60,6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149,8</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LA 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0,6</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0,7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4,7</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TR LeanP</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109,9</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18,8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81,8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144,2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103,2</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12,3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73,3</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129,6</w:t>
            </w:r>
          </w:p>
        </w:tc>
      </w:tr>
      <w:tr w:rsidR="008B682E" w:rsidTr="008B682E">
        <w:trPr>
          <w:trHeight w:val="330"/>
        </w:trPr>
        <w:tc>
          <w:tcPr>
            <w:tcW w:w="0" w:type="auto"/>
            <w:tcBorders>
              <w:top w:val="nil"/>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rPr>
                <w:color w:val="000000"/>
              </w:rPr>
            </w:pPr>
            <w:r>
              <w:rPr>
                <w:color w:val="000000"/>
              </w:rPr>
              <w:t>TR LeanM</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20,8</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4,1</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15,5</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26,4</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4,0</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18,7</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8B682E" w:rsidRDefault="008B682E">
            <w:pPr>
              <w:jc w:val="right"/>
              <w:rPr>
                <w:color w:val="000000"/>
              </w:rPr>
            </w:pPr>
            <w:r>
              <w:rPr>
                <w:color w:val="000000"/>
              </w:rPr>
              <w:t>34,7</w:t>
            </w:r>
          </w:p>
        </w:tc>
      </w:tr>
    </w:tbl>
    <w:p w:rsidR="008B682E" w:rsidRPr="00A70F4A" w:rsidRDefault="008B682E" w:rsidP="00A70F4A">
      <w:pPr>
        <w:tabs>
          <w:tab w:val="left" w:pos="1276"/>
          <w:tab w:val="left" w:pos="4536"/>
          <w:tab w:val="left" w:pos="7560"/>
        </w:tabs>
        <w:spacing w:line="240" w:lineRule="auto"/>
        <w:ind w:left="0" w:firstLine="0"/>
        <w:jc w:val="both"/>
        <w:rPr>
          <w:i/>
          <w:sz w:val="20"/>
          <w:szCs w:val="20"/>
        </w:rPr>
      </w:pPr>
      <w:r w:rsidRPr="00A70F4A">
        <w:rPr>
          <w:i/>
          <w:sz w:val="20"/>
          <w:szCs w:val="20"/>
        </w:rPr>
        <w:t xml:space="preserve">Vysvětlivky: </w:t>
      </w:r>
      <w:r w:rsidRPr="00A70F4A">
        <w:rPr>
          <w:i/>
          <w:sz w:val="20"/>
          <w:szCs w:val="20"/>
        </w:rPr>
        <w:tab/>
        <w:t>Lea</w:t>
      </w:r>
      <w:r w:rsidR="00191D76" w:rsidRPr="00A70F4A">
        <w:rPr>
          <w:i/>
          <w:sz w:val="20"/>
          <w:szCs w:val="20"/>
        </w:rPr>
        <w:t>n</w:t>
      </w:r>
      <w:r w:rsidRPr="00A70F4A">
        <w:rPr>
          <w:i/>
          <w:sz w:val="20"/>
          <w:szCs w:val="20"/>
        </w:rPr>
        <w:t xml:space="preserve">M </w:t>
      </w:r>
      <w:r w:rsidR="00191D76" w:rsidRPr="00A70F4A">
        <w:rPr>
          <w:i/>
          <w:sz w:val="20"/>
          <w:szCs w:val="20"/>
        </w:rPr>
        <w:t xml:space="preserve"> – s</w:t>
      </w:r>
      <w:r w:rsidRPr="00A70F4A">
        <w:rPr>
          <w:i/>
          <w:sz w:val="20"/>
          <w:szCs w:val="20"/>
        </w:rPr>
        <w:t xml:space="preserve">valová frakce v kg, </w:t>
      </w:r>
      <w:r w:rsidR="00191D76" w:rsidRPr="00A70F4A">
        <w:rPr>
          <w:i/>
          <w:sz w:val="20"/>
          <w:szCs w:val="20"/>
        </w:rPr>
        <w:t xml:space="preserve">LeanP – svalová frakce v %, </w:t>
      </w:r>
      <w:r w:rsidRPr="00A70F4A">
        <w:rPr>
          <w:i/>
          <w:sz w:val="20"/>
          <w:szCs w:val="20"/>
        </w:rPr>
        <w:t xml:space="preserve">RL – right leg, pravá dolní končetina, LL – left leg, levá dolní končetina, RA – right arm, pravá horní končetina, LA – left arm, levá horní končetina, TR – trunk, trup </w:t>
      </w:r>
    </w:p>
    <w:p w:rsidR="008B682E" w:rsidRDefault="008B682E" w:rsidP="008B682E">
      <w:pPr>
        <w:ind w:left="0" w:firstLine="0"/>
        <w:jc w:val="both"/>
      </w:pPr>
    </w:p>
    <w:p w:rsidR="00A70F4A" w:rsidRDefault="002B612B" w:rsidP="00A70F4A">
      <w:pPr>
        <w:ind w:left="0" w:firstLine="284"/>
        <w:jc w:val="both"/>
      </w:pPr>
      <w:r>
        <w:t xml:space="preserve">Segmentální analýza svalové frakce nám vypovídá o rozložení svalové složky mezi jednotlivé segmenty těla. </w:t>
      </w:r>
      <w:r w:rsidR="00FD5EFC">
        <w:t xml:space="preserve">Největší množství svalové složky bylo v oblasti trupu u žen i u mužů. Rozdíly mezi levou a pravou částí těla jsou jen velmi nepatrné u obou skupin. Muži mají oproti ženám výrazně vyšší svalovou složku v oblastech dolních končetin. </w:t>
      </w:r>
      <w:r w:rsidR="00A70F4A">
        <w:t xml:space="preserve">Referenční hodnoty by se měly pohybovat v rozmezí 80–120 u horních končetin,       90–110 u trupu a dolních končetin (Biospace, 2009b). Ženy mají výrazně vyšší svalovou složku na horních končetinách v porovnání s referenční hodnotou. </w:t>
      </w:r>
    </w:p>
    <w:p w:rsidR="00FD5EFC" w:rsidRDefault="00FD5EFC" w:rsidP="00935A57">
      <w:pPr>
        <w:ind w:left="0" w:firstLine="284"/>
        <w:jc w:val="both"/>
      </w:pPr>
    </w:p>
    <w:p w:rsidR="00FD5EFC" w:rsidRDefault="00FD5EFC">
      <w:r>
        <w:br w:type="page"/>
      </w:r>
    </w:p>
    <w:p w:rsidR="00935A57" w:rsidRDefault="00935A57" w:rsidP="00935A57">
      <w:pPr>
        <w:ind w:left="0" w:firstLine="284"/>
        <w:jc w:val="both"/>
      </w:pPr>
      <w:r>
        <w:t>Informace o rozložení tuků v jednotlivých částech těla zajišťuje segmentální analýza měřená na přístroji Tanita</w:t>
      </w:r>
      <w:r w:rsidR="00B5178D">
        <w:t xml:space="preserve"> BC 418.</w:t>
      </w:r>
      <w:r w:rsidR="008B682E">
        <w:t xml:space="preserve"> Přehled výsledků je v tabulce 9</w:t>
      </w:r>
      <w:r>
        <w:t xml:space="preserve">. </w:t>
      </w:r>
    </w:p>
    <w:p w:rsidR="00935A57" w:rsidRPr="009C1EA1" w:rsidRDefault="00935A57" w:rsidP="00935A57">
      <w:pPr>
        <w:ind w:left="0" w:firstLine="284"/>
        <w:jc w:val="both"/>
      </w:pPr>
    </w:p>
    <w:p w:rsidR="00935A57" w:rsidRPr="009C1EA1" w:rsidRDefault="008B682E" w:rsidP="00935A57">
      <w:pPr>
        <w:tabs>
          <w:tab w:val="left" w:pos="1766"/>
        </w:tabs>
        <w:ind w:left="0" w:firstLine="0"/>
        <w:jc w:val="both"/>
      </w:pPr>
      <w:r>
        <w:t>Tabulka 9</w:t>
      </w:r>
      <w:r w:rsidR="00935A57">
        <w:t>. Segmentální analýza pomocí Tanity BC 418</w:t>
      </w:r>
    </w:p>
    <w:tbl>
      <w:tblPr>
        <w:tblW w:w="9080" w:type="dxa"/>
        <w:tblInd w:w="60" w:type="dxa"/>
        <w:tblCellMar>
          <w:left w:w="70" w:type="dxa"/>
          <w:right w:w="70" w:type="dxa"/>
        </w:tblCellMar>
        <w:tblLook w:val="04A0"/>
      </w:tblPr>
      <w:tblGrid>
        <w:gridCol w:w="1180"/>
        <w:gridCol w:w="960"/>
        <w:gridCol w:w="960"/>
        <w:gridCol w:w="960"/>
        <w:gridCol w:w="960"/>
        <w:gridCol w:w="960"/>
        <w:gridCol w:w="960"/>
        <w:gridCol w:w="1180"/>
        <w:gridCol w:w="960"/>
      </w:tblGrid>
      <w:tr w:rsidR="00935A57" w:rsidRPr="000E6BD1" w:rsidTr="00DD11A1">
        <w:trPr>
          <w:trHeight w:val="330"/>
        </w:trPr>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parametry</w:t>
            </w:r>
          </w:p>
        </w:tc>
        <w:tc>
          <w:tcPr>
            <w:tcW w:w="3840" w:type="dxa"/>
            <w:gridSpan w:val="4"/>
            <w:tcBorders>
              <w:top w:val="single" w:sz="8" w:space="0" w:color="000000"/>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ženy (n = 20)</w:t>
            </w:r>
          </w:p>
        </w:tc>
        <w:tc>
          <w:tcPr>
            <w:tcW w:w="4060" w:type="dxa"/>
            <w:gridSpan w:val="4"/>
            <w:tcBorders>
              <w:top w:val="single" w:sz="8" w:space="0" w:color="000000"/>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muži (n = 27)</w:t>
            </w:r>
          </w:p>
        </w:tc>
      </w:tr>
      <w:tr w:rsidR="00935A57" w:rsidRPr="000E6BD1" w:rsidTr="00DD11A1">
        <w:trPr>
          <w:trHeight w:val="330"/>
        </w:trPr>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935A57" w:rsidRPr="000E6BD1" w:rsidRDefault="00935A57" w:rsidP="00DD11A1">
            <w:pPr>
              <w:spacing w:line="240" w:lineRule="auto"/>
              <w:ind w:left="0" w:firstLine="0"/>
              <w:rPr>
                <w:rFonts w:eastAsia="Times New Roman"/>
                <w:color w:val="000000"/>
                <w:lang w:eastAsia="cs-CZ"/>
              </w:rPr>
            </w:pP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SD</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Min.</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Max.</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SD</w:t>
            </w:r>
          </w:p>
        </w:tc>
        <w:tc>
          <w:tcPr>
            <w:tcW w:w="118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Min.</w:t>
            </w:r>
          </w:p>
        </w:tc>
        <w:tc>
          <w:tcPr>
            <w:tcW w:w="960" w:type="dxa"/>
            <w:tcBorders>
              <w:top w:val="nil"/>
              <w:left w:val="nil"/>
              <w:bottom w:val="single" w:sz="8" w:space="0" w:color="000000"/>
              <w:right w:val="single" w:sz="8" w:space="0" w:color="000000"/>
            </w:tcBorders>
            <w:shd w:val="clear" w:color="auto" w:fill="auto"/>
            <w:hideMark/>
          </w:tcPr>
          <w:p w:rsidR="00935A57" w:rsidRPr="000E6BD1" w:rsidRDefault="00935A57" w:rsidP="00DD11A1">
            <w:pPr>
              <w:spacing w:line="240" w:lineRule="auto"/>
              <w:ind w:left="0" w:firstLine="0"/>
              <w:jc w:val="center"/>
              <w:rPr>
                <w:rFonts w:eastAsia="Times New Roman"/>
                <w:color w:val="000000"/>
                <w:lang w:eastAsia="cs-CZ"/>
              </w:rPr>
            </w:pPr>
            <w:r w:rsidRPr="000E6BD1">
              <w:rPr>
                <w:rFonts w:eastAsia="Times New Roman"/>
                <w:color w:val="000000"/>
                <w:lang w:eastAsia="cs-CZ"/>
              </w:rPr>
              <w:t>Max.</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Fat%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37,5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9,7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15,8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53,3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19,9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6,7</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30,2</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31,1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15,4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66,1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16,2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8,3</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33,3</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RL Fat</w:t>
            </w:r>
            <w:r>
              <w:rPr>
                <w:rFonts w:eastAsia="Times New Roman"/>
                <w:color w:val="000000"/>
                <w:lang w:eastAsia="cs-CZ"/>
              </w:rPr>
              <w: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41,5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22,4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52,7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16,0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6,0</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24,4</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RL 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12,0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1,1</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4,2</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RL FFM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1,8</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15,9</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LL Fat</w:t>
            </w:r>
            <w:r>
              <w:rPr>
                <w:rFonts w:eastAsia="Times New Roman"/>
                <w:color w:val="000000"/>
                <w:lang w:eastAsia="cs-CZ"/>
              </w:rPr>
              <w: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41,6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24,2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52,7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16,2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5,6</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24,8</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LL 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11,8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1,1</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4,3</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LL FFM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1,8</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15,4</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RA Fat</w:t>
            </w:r>
            <w:r>
              <w:rPr>
                <w:rFonts w:eastAsia="Times New Roman"/>
                <w:color w:val="000000"/>
                <w:lang w:eastAsia="cs-CZ"/>
              </w:rPr>
              <w: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40,5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13,5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60,4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20,0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7,8</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41,6</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RA 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0,6</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2,3</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RA FFM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0,6</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5,1</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LA Fat</w:t>
            </w:r>
            <w:r>
              <w:rPr>
                <w:rFonts w:eastAsia="Times New Roman"/>
                <w:color w:val="000000"/>
                <w:lang w:eastAsia="cs-CZ"/>
              </w:rPr>
              <w: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41,4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12,8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12,8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61,3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20,2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6,2</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8,6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29,0</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LA 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0,9</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0,5</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2,1</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LA FFM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1,7</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0,7</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5,2</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TR Fat</w:t>
            </w:r>
            <w:r>
              <w:rPr>
                <w:rFonts w:eastAsia="Times New Roman"/>
                <w:color w:val="000000"/>
                <w:lang w:eastAsia="cs-CZ"/>
              </w:rPr>
              <w:t>%</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33,8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10,2</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11,6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54,3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22,1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7,6</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7,1</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33,8</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TR FatM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14,8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7,8</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36,6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10,0</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5,6</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21,4</w:t>
            </w:r>
          </w:p>
        </w:tc>
      </w:tr>
      <w:tr w:rsidR="00935A57" w:rsidRPr="000E6BD1" w:rsidTr="00DD11A1">
        <w:trPr>
          <w:trHeight w:val="330"/>
        </w:trPr>
        <w:tc>
          <w:tcPr>
            <w:tcW w:w="1180" w:type="dxa"/>
            <w:tcBorders>
              <w:top w:val="nil"/>
              <w:left w:val="single" w:sz="8" w:space="0" w:color="000000"/>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rPr>
                <w:rFonts w:eastAsia="Times New Roman"/>
                <w:color w:val="000000"/>
                <w:lang w:eastAsia="cs-CZ"/>
              </w:rPr>
            </w:pPr>
            <w:r w:rsidRPr="000E6BD1">
              <w:rPr>
                <w:rFonts w:eastAsia="Times New Roman"/>
                <w:color w:val="000000"/>
                <w:lang w:eastAsia="cs-CZ"/>
              </w:rPr>
              <w:t>TR FFM</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26,3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3,6</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21,5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34,5</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33,3</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5,3</w:t>
            </w:r>
          </w:p>
        </w:tc>
        <w:tc>
          <w:tcPr>
            <w:tcW w:w="118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23,4</w:t>
            </w:r>
          </w:p>
        </w:tc>
        <w:tc>
          <w:tcPr>
            <w:tcW w:w="960" w:type="dxa"/>
            <w:tcBorders>
              <w:top w:val="nil"/>
              <w:left w:val="nil"/>
              <w:bottom w:val="single" w:sz="8" w:space="0" w:color="000000"/>
              <w:right w:val="single" w:sz="8" w:space="0" w:color="000000"/>
            </w:tcBorders>
            <w:shd w:val="clear" w:color="auto" w:fill="auto"/>
            <w:noWrap/>
            <w:vAlign w:val="bottom"/>
            <w:hideMark/>
          </w:tcPr>
          <w:p w:rsidR="00935A57" w:rsidRPr="000E6BD1" w:rsidRDefault="00935A57" w:rsidP="00DD11A1">
            <w:pPr>
              <w:spacing w:line="240" w:lineRule="auto"/>
              <w:ind w:left="0" w:firstLine="0"/>
              <w:jc w:val="right"/>
              <w:rPr>
                <w:rFonts w:eastAsia="Times New Roman"/>
                <w:color w:val="000000"/>
                <w:lang w:eastAsia="cs-CZ"/>
              </w:rPr>
            </w:pPr>
            <w:r w:rsidRPr="000E6BD1">
              <w:rPr>
                <w:rFonts w:eastAsia="Times New Roman"/>
                <w:color w:val="000000"/>
                <w:lang w:eastAsia="cs-CZ"/>
              </w:rPr>
              <w:t>44,3</w:t>
            </w:r>
          </w:p>
        </w:tc>
      </w:tr>
    </w:tbl>
    <w:p w:rsidR="00935A57" w:rsidRPr="00782D0F" w:rsidRDefault="00935A57" w:rsidP="00782D0F">
      <w:pPr>
        <w:tabs>
          <w:tab w:val="left" w:pos="1276"/>
          <w:tab w:val="left" w:pos="4536"/>
          <w:tab w:val="left" w:pos="7560"/>
        </w:tabs>
        <w:spacing w:line="240" w:lineRule="auto"/>
        <w:ind w:left="0" w:firstLine="0"/>
        <w:jc w:val="both"/>
        <w:rPr>
          <w:i/>
          <w:sz w:val="20"/>
          <w:szCs w:val="20"/>
        </w:rPr>
      </w:pPr>
      <w:r w:rsidRPr="00782D0F">
        <w:rPr>
          <w:i/>
          <w:sz w:val="20"/>
          <w:szCs w:val="20"/>
        </w:rPr>
        <w:t xml:space="preserve">Vysvětlivky: </w:t>
      </w:r>
      <w:r w:rsidRPr="00782D0F">
        <w:rPr>
          <w:i/>
          <w:sz w:val="20"/>
          <w:szCs w:val="20"/>
        </w:rPr>
        <w:tab/>
        <w:t xml:space="preserve">Fat % – tuk v procentech, FatM – tuk v kg, FFM – tukuprostá hmota, </w:t>
      </w:r>
    </w:p>
    <w:p w:rsidR="00935A57" w:rsidRPr="00782D0F" w:rsidRDefault="00935A57" w:rsidP="00782D0F">
      <w:pPr>
        <w:tabs>
          <w:tab w:val="left" w:pos="1276"/>
          <w:tab w:val="left" w:pos="4536"/>
          <w:tab w:val="left" w:pos="7560"/>
        </w:tabs>
        <w:spacing w:line="240" w:lineRule="auto"/>
        <w:ind w:left="0" w:firstLine="0"/>
        <w:jc w:val="both"/>
        <w:rPr>
          <w:i/>
          <w:sz w:val="20"/>
          <w:szCs w:val="20"/>
        </w:rPr>
      </w:pPr>
      <w:r w:rsidRPr="00782D0F">
        <w:rPr>
          <w:i/>
          <w:sz w:val="20"/>
          <w:szCs w:val="20"/>
        </w:rPr>
        <w:t xml:space="preserve">RL – right leg, pravá dolní končetina, LL – left leg, levá dolní končetina, RA – right arm, pravá horní končetina, LA – left arm, levá horní končetina, TR – trunk, trup </w:t>
      </w:r>
    </w:p>
    <w:p w:rsidR="00935A57" w:rsidRDefault="00935A57" w:rsidP="00935A57">
      <w:pPr>
        <w:ind w:left="0" w:firstLine="284"/>
        <w:jc w:val="both"/>
        <w:rPr>
          <w:i/>
        </w:rPr>
      </w:pPr>
    </w:p>
    <w:p w:rsidR="00935A57" w:rsidRPr="009C1EA1" w:rsidRDefault="00935A57" w:rsidP="00935A57">
      <w:pPr>
        <w:ind w:left="0" w:firstLine="284"/>
        <w:jc w:val="both"/>
      </w:pPr>
      <w:r>
        <w:t>Segmentální analýza</w:t>
      </w:r>
      <w:r w:rsidR="002B612B">
        <w:t xml:space="preserve"> tuku</w:t>
      </w:r>
      <w:r>
        <w:t xml:space="preserve"> </w:t>
      </w:r>
      <w:r w:rsidR="002B612B">
        <w:t>ilustruje</w:t>
      </w:r>
      <w:r>
        <w:t xml:space="preserve"> rozložení tukové složky </w:t>
      </w:r>
      <w:r w:rsidR="002B612B">
        <w:t>v </w:t>
      </w:r>
      <w:r>
        <w:t>těl</w:t>
      </w:r>
      <w:r w:rsidR="002B612B">
        <w:t>ních segmentech</w:t>
      </w:r>
      <w:r>
        <w:t xml:space="preserve">. Ženy mají největší procento tuku na dolních končetinách, </w:t>
      </w:r>
      <w:r w:rsidR="00782D0F">
        <w:t>následuje vysoké zastoupení tuku</w:t>
      </w:r>
      <w:r>
        <w:t xml:space="preserve"> na končetinách horních. Nejmenší množství tuku je na trupu, pohybuje se v průměru 33,8 %. Nejvyšší hodnota však dosahuje až 54, 3 % tuku v oblasti trupu. </w:t>
      </w:r>
    </w:p>
    <w:p w:rsidR="00935A57" w:rsidRDefault="00935A57" w:rsidP="00935A57">
      <w:pPr>
        <w:ind w:left="0" w:firstLine="284"/>
        <w:jc w:val="both"/>
      </w:pPr>
      <w:r>
        <w:t xml:space="preserve">Muži měli největší procento tuku na trupu, pak teprve na horních a dolních končetinách. Procento tuku se oproti ženám pohybuje v hodnotách dvojnásobně nižších. Pokud zhodnotím maximální naměřené procento tuku na trupu u mužů, dostaneme se na hodnotu průměru u žen, jedná se o 33, 8 %. Přehlednější srovnání nám nabízí </w:t>
      </w:r>
      <w:r w:rsidR="0006361F">
        <w:t>o</w:t>
      </w:r>
      <w:r>
        <w:t>brázek </w:t>
      </w:r>
      <w:r w:rsidR="004766F8">
        <w:t>7</w:t>
      </w:r>
      <w:r>
        <w:t xml:space="preserve">. </w:t>
      </w:r>
    </w:p>
    <w:p w:rsidR="00935A57" w:rsidRPr="009C1EA1" w:rsidRDefault="00935A57" w:rsidP="00935A57">
      <w:pPr>
        <w:ind w:left="0" w:firstLine="284"/>
        <w:jc w:val="both"/>
      </w:pPr>
    </w:p>
    <w:p w:rsidR="00935A57" w:rsidRDefault="00935A57" w:rsidP="00935A57">
      <w:pPr>
        <w:ind w:left="0" w:firstLine="0"/>
        <w:jc w:val="both"/>
      </w:pPr>
      <w:r w:rsidRPr="008F09E5">
        <w:rPr>
          <w:noProof/>
          <w:lang w:eastAsia="cs-CZ"/>
        </w:rPr>
        <w:drawing>
          <wp:inline distT="0" distB="0" distL="0" distR="0">
            <wp:extent cx="4572000" cy="2743200"/>
            <wp:effectExtent l="19050" t="0" r="19050" b="0"/>
            <wp:docPr id="2"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5A57" w:rsidRDefault="004766F8" w:rsidP="00935A57">
      <w:pPr>
        <w:ind w:left="0" w:firstLine="0"/>
        <w:jc w:val="both"/>
      </w:pPr>
      <w:r>
        <w:t>Obrázek 7</w:t>
      </w:r>
      <w:r w:rsidR="00935A57">
        <w:t>. Rozložení tuku v těle dle segmentální analýzy pomocí Tanity BC 418</w:t>
      </w:r>
    </w:p>
    <w:p w:rsidR="004766F8" w:rsidRDefault="004766F8" w:rsidP="004766F8">
      <w:pPr>
        <w:ind w:left="0" w:firstLine="284"/>
        <w:jc w:val="both"/>
      </w:pPr>
    </w:p>
    <w:p w:rsidR="004766F8" w:rsidRDefault="004766F8" w:rsidP="004766F8">
      <w:pPr>
        <w:ind w:left="0" w:firstLine="284"/>
        <w:jc w:val="both"/>
      </w:pPr>
      <w:r>
        <w:t>Hodnoty naměřené přístroji InBody a Tanita vypovídají o zvýšeném riziku obezit</w:t>
      </w:r>
      <w:r w:rsidR="00B257DF">
        <w:t>y</w:t>
      </w:r>
      <w:r>
        <w:t xml:space="preserve"> u žen trpící</w:t>
      </w:r>
      <w:r w:rsidR="00B257DF">
        <w:t>ch</w:t>
      </w:r>
      <w:r>
        <w:t xml:space="preserve"> schizofrenií a o zvýšené tělesné hmotnosti schizofrenních mužů. Hodnoty </w:t>
      </w:r>
      <w:r w:rsidR="00B257DF">
        <w:t>naměřené na</w:t>
      </w:r>
      <w:r>
        <w:t> InBody vypovíd</w:t>
      </w:r>
      <w:r w:rsidR="00B257DF">
        <w:t>ají o abdominální obezitě u žen.</w:t>
      </w:r>
      <w:r>
        <w:t xml:space="preserve"> Tanita v segmentální analýze poukázala, že tuk je u žen rozložen hlavně </w:t>
      </w:r>
      <w:r w:rsidR="00B257DF">
        <w:t>na končetinách</w:t>
      </w:r>
      <w:r>
        <w:t xml:space="preserve"> a</w:t>
      </w:r>
      <w:r w:rsidR="0006361F">
        <w:t xml:space="preserve"> pak </w:t>
      </w:r>
      <w:r w:rsidR="00B257DF">
        <w:t xml:space="preserve">na </w:t>
      </w:r>
      <w:r w:rsidR="0006361F">
        <w:t>trup</w:t>
      </w:r>
      <w:r w:rsidR="00B257DF">
        <w:t>u. U </w:t>
      </w:r>
      <w:r w:rsidR="0006361F">
        <w:t xml:space="preserve">mužů se </w:t>
      </w:r>
      <w:r>
        <w:t>tuk vyskytuje především v oblasti trupu</w:t>
      </w:r>
      <w:r w:rsidR="00B257DF">
        <w:t>,</w:t>
      </w:r>
      <w:r>
        <w:t xml:space="preserve"> a</w:t>
      </w:r>
      <w:r w:rsidR="00B257DF">
        <w:t>le</w:t>
      </w:r>
      <w:r>
        <w:t xml:space="preserve"> jeho hodnoty jsou výrazně nižší než u žen. Rozdíl mezi pohlavími může být dán jednak vyšším věkem žen, protože od 40 let se může procento tuku zvýšit až o 7,67 %, jednak vyšším energetickým výdejem u mužů, který je způsobený kouřením u všech mužů z našeho výzkumného vzorku. U schizofreniků je riziko zvýšené hmotnosti vyšší než u běžné populace, což je dáno jak nezdravým způsobem života, tak i požíváním psychofarmak, které mohou způsobit nárůst o 5 až 10 kg </w:t>
      </w:r>
      <w:r w:rsidRPr="009C1EA1">
        <w:t>(</w:t>
      </w:r>
      <w:r w:rsidRPr="00733888">
        <w:t>Akbartabartoori, Lean, &amp; Hankey, 2005</w:t>
      </w:r>
      <w:r>
        <w:t xml:space="preserve">; </w:t>
      </w:r>
      <w:r w:rsidRPr="00D245F4">
        <w:rPr>
          <w:rFonts w:eastAsia="Calibri"/>
          <w:color w:val="000000"/>
        </w:rPr>
        <w:t>Hert, et al., 2009</w:t>
      </w:r>
      <w:r>
        <w:t xml:space="preserve">; Riegerová, </w:t>
      </w:r>
      <w:r w:rsidRPr="008D05E9">
        <w:t>Kapu</w:t>
      </w:r>
      <w:r>
        <w:t>š</w:t>
      </w:r>
      <w:r w:rsidRPr="008D05E9">
        <w:t xml:space="preserve">, Gába, </w:t>
      </w:r>
      <w:r>
        <w:t>&amp; </w:t>
      </w:r>
      <w:r w:rsidRPr="008D05E9">
        <w:t>Š</w:t>
      </w:r>
      <w:r>
        <w:t>č</w:t>
      </w:r>
      <w:r w:rsidRPr="008D05E9">
        <w:t>otka</w:t>
      </w:r>
      <w:r>
        <w:t xml:space="preserve">, 2010). </w:t>
      </w:r>
    </w:p>
    <w:p w:rsidR="004766F8" w:rsidRDefault="004766F8">
      <w:r>
        <w:br w:type="page"/>
      </w:r>
    </w:p>
    <w:p w:rsidR="00A75C68" w:rsidRPr="009C1EA1" w:rsidRDefault="00A75C68" w:rsidP="00A75C68">
      <w:pPr>
        <w:pStyle w:val="Nadpis1"/>
        <w:ind w:left="0" w:firstLine="0"/>
        <w:rPr>
          <w:rFonts w:ascii="Times New Roman" w:hAnsi="Times New Roman" w:cs="Times New Roman"/>
          <w:color w:val="auto"/>
        </w:rPr>
      </w:pPr>
      <w:bookmarkStart w:id="31" w:name="_Toc291609120"/>
      <w:bookmarkStart w:id="32" w:name="_Toc324848228"/>
      <w:r>
        <w:rPr>
          <w:rFonts w:ascii="Times New Roman" w:hAnsi="Times New Roman" w:cs="Times New Roman"/>
          <w:color w:val="auto"/>
        </w:rPr>
        <w:t>6</w:t>
      </w:r>
      <w:r w:rsidRPr="009C1EA1">
        <w:rPr>
          <w:rFonts w:ascii="Times New Roman" w:hAnsi="Times New Roman" w:cs="Times New Roman"/>
          <w:color w:val="auto"/>
        </w:rPr>
        <w:t xml:space="preserve"> ZÁVĚRY</w:t>
      </w:r>
      <w:bookmarkEnd w:id="31"/>
      <w:bookmarkEnd w:id="32"/>
    </w:p>
    <w:p w:rsidR="00A75C68" w:rsidRPr="009C1EA1" w:rsidRDefault="00A75C68" w:rsidP="00A75C68">
      <w:pPr>
        <w:ind w:left="0" w:firstLine="284"/>
        <w:jc w:val="both"/>
        <w:rPr>
          <w:i/>
        </w:rPr>
      </w:pPr>
    </w:p>
    <w:p w:rsidR="00060467" w:rsidRDefault="003A537F" w:rsidP="00A75C68">
      <w:pPr>
        <w:ind w:left="0" w:firstLine="284"/>
        <w:jc w:val="both"/>
      </w:pPr>
      <w:r>
        <w:t>Pomocí bioelektrické impedance jsme stanovili tělesné složení schizofreniků, a to včetně segmentální analýzy</w:t>
      </w:r>
      <w:r w:rsidR="00B86133">
        <w:t xml:space="preserve"> tuku</w:t>
      </w:r>
      <w:r w:rsidR="00606BE0">
        <w:t xml:space="preserve"> a svalové frakce</w:t>
      </w:r>
      <w:r w:rsidR="00B86133">
        <w:t xml:space="preserve">. </w:t>
      </w:r>
      <w:r w:rsidR="006C65FC">
        <w:t xml:space="preserve">K </w:t>
      </w:r>
      <w:r w:rsidR="00B86133">
        <w:t xml:space="preserve">měření jsme využili přístroje InBody 720 a Tanita BC 418. </w:t>
      </w:r>
    </w:p>
    <w:p w:rsidR="00055D2C" w:rsidRDefault="00B86133" w:rsidP="00B86133">
      <w:pPr>
        <w:ind w:left="0" w:firstLine="284"/>
        <w:jc w:val="both"/>
      </w:pPr>
      <w:r>
        <w:t>Z InBody jsme z</w:t>
      </w:r>
      <w:r w:rsidR="00055D2C">
        <w:t>jistili množství TBW, ECW a ICW. U obou sledovaných souborů byly hodnoty TBW nižší, rozdílné bylo i zastoupení vodních kompartment, poměr mezi ECW a TBW</w:t>
      </w:r>
      <w:r>
        <w:t xml:space="preserve"> </w:t>
      </w:r>
      <w:r w:rsidR="00055D2C">
        <w:t>se nejevil jako optimální</w:t>
      </w:r>
      <w:r>
        <w:t xml:space="preserve">. </w:t>
      </w:r>
    </w:p>
    <w:p w:rsidR="00B86133" w:rsidRDefault="00B86133" w:rsidP="00B86133">
      <w:pPr>
        <w:ind w:left="0" w:firstLine="284"/>
        <w:jc w:val="both"/>
      </w:pPr>
      <w:r>
        <w:t>Pro porovnání obou přístrojů jsme použili FM, FFM a TBW. Hodnoty se lišily jen mírně, Tanita hodnotu FFM a TBW mírně přeceňovala, hodnotu BFM mírně podceňovala, což koresponduje s výsledky z</w:t>
      </w:r>
      <w:r w:rsidR="003773F6">
        <w:t xml:space="preserve"> předchozích výzkumů. </w:t>
      </w:r>
    </w:p>
    <w:p w:rsidR="00055D2C" w:rsidRDefault="006570F7" w:rsidP="00ED2329">
      <w:pPr>
        <w:ind w:left="0" w:firstLine="284"/>
        <w:jc w:val="both"/>
      </w:pPr>
      <w:r>
        <w:t xml:space="preserve">Zdravotní ukazatelé rizika obezity jsme získali z přístroje InBody, který na rozdíl od Tanity využívá mnohofrekvenční bioelektrickou impedanci. </w:t>
      </w:r>
      <w:r w:rsidR="00055D2C">
        <w:t xml:space="preserve">Sledované parametry u mužů schizofreniků vypovídaly o nadváze (BMI, % FM, BFMI) s mírným sklonem k abdominální obezitě (WHR, VFA). Ženy schizofreničky měly výrazně vyšší indikátor ohrožení zdraví (WHR, VFA) a byly charakterizovány jako obézní (BMI, </w:t>
      </w:r>
      <w:r w:rsidR="00AA2CFA">
        <w:t xml:space="preserve">% FM, BFMI). </w:t>
      </w:r>
    </w:p>
    <w:p w:rsidR="00A75C68" w:rsidRPr="009C1EA1" w:rsidRDefault="00606BE0" w:rsidP="00A75C68">
      <w:pPr>
        <w:ind w:left="0" w:firstLine="284"/>
        <w:jc w:val="both"/>
      </w:pPr>
      <w:r>
        <w:t xml:space="preserve">Segmentální analýzu svalové složky lze provést prostřednictvím InBody 720. U obou pohlaví byl největší podíl svalové hmoty v oblasti trupu, muži měli výrazně vyšší množství svalové frakce na dolních končetinách. </w:t>
      </w:r>
      <w:r w:rsidR="00B86133">
        <w:t xml:space="preserve">Tanita BC 418 využívá bioelektrickou impedanci k stanovení </w:t>
      </w:r>
      <w:r>
        <w:t>množství tuku u </w:t>
      </w:r>
      <w:r w:rsidR="00B86133">
        <w:t>jednotlivých tělních segmentů</w:t>
      </w:r>
      <w:r w:rsidR="00AA2CFA">
        <w:t xml:space="preserve">. </w:t>
      </w:r>
      <w:r w:rsidR="00B86133">
        <w:t xml:space="preserve">U žen bylo rozložení tuku především </w:t>
      </w:r>
      <w:r w:rsidR="00AA2CFA">
        <w:t>na dolních</w:t>
      </w:r>
      <w:r w:rsidR="00B86133">
        <w:t xml:space="preserve"> konče</w:t>
      </w:r>
      <w:r w:rsidR="00AA2CFA">
        <w:t>tinách</w:t>
      </w:r>
      <w:r w:rsidR="00B86133">
        <w:t xml:space="preserve">, u mužů se nejvíce tuku nacházelo v oblasti trupu. </w:t>
      </w:r>
    </w:p>
    <w:p w:rsidR="00A75C68" w:rsidRPr="009C1EA1" w:rsidRDefault="00A75C68" w:rsidP="00A75C68">
      <w:pPr>
        <w:ind w:left="0" w:firstLine="284"/>
        <w:jc w:val="both"/>
      </w:pPr>
    </w:p>
    <w:p w:rsidR="00A75C68" w:rsidRPr="009C1EA1" w:rsidRDefault="00A75C68" w:rsidP="00A75C68">
      <w:r w:rsidRPr="009C1EA1">
        <w:br w:type="page"/>
      </w:r>
    </w:p>
    <w:p w:rsidR="00A75C68" w:rsidRPr="009C1EA1" w:rsidRDefault="00A75C68" w:rsidP="00A75C68">
      <w:pPr>
        <w:pStyle w:val="Nadpis1"/>
        <w:ind w:left="0" w:firstLine="0"/>
        <w:rPr>
          <w:rFonts w:ascii="Times New Roman" w:hAnsi="Times New Roman" w:cs="Times New Roman"/>
          <w:color w:val="auto"/>
        </w:rPr>
      </w:pPr>
      <w:bookmarkStart w:id="33" w:name="_Toc291609121"/>
      <w:bookmarkStart w:id="34" w:name="_Toc324848229"/>
      <w:r>
        <w:rPr>
          <w:rFonts w:ascii="Times New Roman" w:hAnsi="Times New Roman" w:cs="Times New Roman"/>
          <w:color w:val="auto"/>
        </w:rPr>
        <w:t>7</w:t>
      </w:r>
      <w:r w:rsidRPr="009C1EA1">
        <w:rPr>
          <w:rFonts w:ascii="Times New Roman" w:hAnsi="Times New Roman" w:cs="Times New Roman"/>
          <w:color w:val="auto"/>
        </w:rPr>
        <w:t xml:space="preserve"> SOUHRN</w:t>
      </w:r>
      <w:bookmarkEnd w:id="33"/>
      <w:bookmarkEnd w:id="34"/>
    </w:p>
    <w:p w:rsidR="00A75C68" w:rsidRDefault="00A75C68" w:rsidP="00A75C68">
      <w:pPr>
        <w:ind w:left="0" w:firstLine="284"/>
        <w:jc w:val="both"/>
      </w:pPr>
    </w:p>
    <w:p w:rsidR="00916D75" w:rsidRDefault="00916D75" w:rsidP="00A75C68">
      <w:pPr>
        <w:ind w:left="0" w:firstLine="284"/>
        <w:jc w:val="both"/>
      </w:pPr>
      <w:r>
        <w:t>Cílem bakalářské práce bylo provést segmentální analýzu tělesného složení u schizofreniků</w:t>
      </w:r>
      <w:r w:rsidR="00EA0DA6">
        <w:t xml:space="preserve"> a schozifreniček</w:t>
      </w:r>
      <w:r>
        <w:t xml:space="preserve">. K analýze tělesného složení jsme využili metodu bioelektrické impedance měřené na přístrojích Tanita BC 418 a InBody 720. </w:t>
      </w:r>
      <w:r w:rsidR="00EA0DA6">
        <w:t>Na přístroji Tanita BC-418 byla provedena segmentální analýza tukové složky, na přístroji InBody 720 jsme stanovili segmentální analýzu kosterního svalstva.</w:t>
      </w:r>
    </w:p>
    <w:p w:rsidR="00765D15" w:rsidRDefault="00765D15" w:rsidP="00A75C68">
      <w:pPr>
        <w:ind w:left="0" w:firstLine="284"/>
        <w:jc w:val="both"/>
      </w:pPr>
      <w:r w:rsidRPr="009C1EA1">
        <w:t>Výzkumný soubor</w:t>
      </w:r>
      <w:r>
        <w:t xml:space="preserve"> tvořilo 47 jedinců, </w:t>
      </w:r>
      <w:r w:rsidRPr="009C1EA1">
        <w:t>z toho 27 mužů a 20 žen</w:t>
      </w:r>
      <w:r>
        <w:t xml:space="preserve">, věk se pohyboval od 19 do 70 let. Sjednocující podmínkou pro analýzu tělesného složení byla lékařem diagnostikovaná schizofrenie. </w:t>
      </w:r>
      <w:r w:rsidRPr="009C1EA1">
        <w:t>Data byla získána v březnu 2010 v Psychiatrické léčebně ve Šternberku.</w:t>
      </w:r>
    </w:p>
    <w:p w:rsidR="00916D75" w:rsidRPr="009C1EA1" w:rsidRDefault="00916D75" w:rsidP="00A75C68">
      <w:pPr>
        <w:ind w:left="0" w:firstLine="284"/>
        <w:jc w:val="both"/>
      </w:pPr>
      <w:r>
        <w:t xml:space="preserve">Teoretická část </w:t>
      </w:r>
      <w:r w:rsidR="009D6ED6">
        <w:t xml:space="preserve">byla založena na sledování vztahu rizikových faktorů tělesného složení ve spojení s psychickým onemocněním, jako je schizofrenie. Rizika obezity se u klientů s výskytem duševních chorob vyskytují relativně často, neboť jsou podmíněná užíváním medikamentů. </w:t>
      </w:r>
    </w:p>
    <w:p w:rsidR="00FA6BE8" w:rsidRDefault="00916D75" w:rsidP="003751CB">
      <w:pPr>
        <w:ind w:left="0" w:firstLine="284"/>
        <w:jc w:val="both"/>
      </w:pPr>
      <w:r w:rsidRPr="009C1EA1">
        <w:t>Metodická část obsahuje popis souboru</w:t>
      </w:r>
      <w:r w:rsidR="00E857B3">
        <w:t xml:space="preserve">, </w:t>
      </w:r>
      <w:r w:rsidR="003E79FB">
        <w:t xml:space="preserve">včetně jeho věkového rozložení, a </w:t>
      </w:r>
      <w:r w:rsidR="00E857B3">
        <w:t>zásady, které je nutné dodržovat při měření pomocí BIA</w:t>
      </w:r>
      <w:r w:rsidR="003E79FB">
        <w:t>.</w:t>
      </w:r>
      <w:r w:rsidR="00525FE4">
        <w:t xml:space="preserve"> </w:t>
      </w:r>
      <w:r w:rsidR="00FA6BE8">
        <w:t xml:space="preserve">Pro statistické zpracování dat byl použit program STATISTICA 9, data byla poté převedena do programu Microsoft Office Excel 2007.  </w:t>
      </w:r>
    </w:p>
    <w:p w:rsidR="003751CB" w:rsidRDefault="003751CB" w:rsidP="005A4002">
      <w:pPr>
        <w:pStyle w:val="Normlnweb"/>
        <w:shd w:val="clear" w:color="auto" w:fill="FFFFFF"/>
        <w:spacing w:before="0" w:after="0" w:line="360" w:lineRule="auto"/>
        <w:ind w:firstLine="284"/>
        <w:jc w:val="both"/>
      </w:pPr>
      <w:r>
        <w:t xml:space="preserve">Riziko vzniku obezity je u schizofreniků a schizofreniček vyšší než u zdravé populace. Dokazují to nižší hodnoty </w:t>
      </w:r>
      <w:r w:rsidR="005A4002">
        <w:t>celkové tělesné vody a jejích složek,</w:t>
      </w:r>
      <w:r>
        <w:t xml:space="preserve"> ale i zdravotní ukazatele rizika obezity. Muži trpící schizofrenií měli dle BMI a BFMI nadváhu, ženy se schizofren</w:t>
      </w:r>
      <w:r w:rsidR="005A4002">
        <w:t>i</w:t>
      </w:r>
      <w:r>
        <w:t>í</w:t>
      </w:r>
      <w:r w:rsidR="00547D7B">
        <w:t xml:space="preserve"> </w:t>
      </w:r>
      <w:r>
        <w:t xml:space="preserve">trpěly obezitou. U obou skupin byla zvýšené riziko vzniku abdominální obezity. Segmentální analýza vypovídala o rozložení </w:t>
      </w:r>
      <w:r w:rsidR="00415264">
        <w:t xml:space="preserve">svalové a tukové frakce. U </w:t>
      </w:r>
      <w:r>
        <w:t>žen</w:t>
      </w:r>
      <w:r w:rsidR="005A4002">
        <w:t xml:space="preserve"> byl tuk lokalizován především na dolních končetinách</w:t>
      </w:r>
      <w:r w:rsidR="00415264">
        <w:t xml:space="preserve"> a svalstvo v oblasti trupu</w:t>
      </w:r>
      <w:r>
        <w:t>, u mužů se nej</w:t>
      </w:r>
      <w:r w:rsidR="00415264">
        <w:t>větší množství</w:t>
      </w:r>
      <w:r w:rsidR="005A4002">
        <w:t xml:space="preserve"> tuk</w:t>
      </w:r>
      <w:r w:rsidR="00415264">
        <w:t>ové i svalové frakce</w:t>
      </w:r>
      <w:r w:rsidR="005A4002">
        <w:t xml:space="preserve"> nacházelo</w:t>
      </w:r>
      <w:r>
        <w:t xml:space="preserve"> v oblasti trupu. </w:t>
      </w:r>
    </w:p>
    <w:p w:rsidR="00E857B3" w:rsidRDefault="003751CB" w:rsidP="005A4002">
      <w:pPr>
        <w:pStyle w:val="Normlnweb"/>
        <w:shd w:val="clear" w:color="auto" w:fill="FFFFFF"/>
        <w:spacing w:before="0" w:after="0" w:line="360" w:lineRule="auto"/>
        <w:ind w:firstLine="284"/>
        <w:jc w:val="both"/>
      </w:pPr>
      <w:r>
        <w:t>K měření byly využity přístroje Tanita BC 418 a InB</w:t>
      </w:r>
      <w:r w:rsidR="005A4002">
        <w:t>o</w:t>
      </w:r>
      <w:r>
        <w:t xml:space="preserve">dy 720. K </w:t>
      </w:r>
      <w:r w:rsidR="003E79FB">
        <w:t xml:space="preserve">porovnání obou přístrojů jsme využili hodnot tuku, tukuprosté hmoty a celkové tělesné vody. Tanita ve srovnání s InBody množství FFM a TBW mírně přeceňovala, množství FM mírně </w:t>
      </w:r>
      <w:r>
        <w:t>podceňovala.</w:t>
      </w:r>
      <w:r w:rsidR="00E857B3">
        <w:br w:type="page"/>
      </w:r>
    </w:p>
    <w:p w:rsidR="00F7618F" w:rsidRDefault="00F7618F" w:rsidP="00A75C68">
      <w:pPr>
        <w:pStyle w:val="Nadpis1"/>
        <w:ind w:left="0" w:firstLine="0"/>
        <w:rPr>
          <w:rFonts w:ascii="Times New Roman" w:hAnsi="Times New Roman" w:cs="Times New Roman"/>
          <w:color w:val="auto"/>
        </w:rPr>
        <w:sectPr w:rsidR="00F7618F" w:rsidSect="00F7618F">
          <w:footerReference w:type="default" r:id="rId19"/>
          <w:pgSz w:w="11906" w:h="16838"/>
          <w:pgMar w:top="1417" w:right="1417" w:bottom="1417" w:left="1985" w:header="708" w:footer="708" w:gutter="0"/>
          <w:pgNumType w:start="7"/>
          <w:cols w:space="708"/>
          <w:docGrid w:linePitch="360"/>
        </w:sectPr>
      </w:pPr>
      <w:bookmarkStart w:id="35" w:name="_Toc291609122"/>
    </w:p>
    <w:p w:rsidR="00A75C68" w:rsidRPr="009C1EA1" w:rsidRDefault="00A75C68" w:rsidP="00A75C68">
      <w:pPr>
        <w:pStyle w:val="Nadpis1"/>
        <w:ind w:left="0" w:firstLine="0"/>
        <w:rPr>
          <w:rFonts w:ascii="Times New Roman" w:hAnsi="Times New Roman" w:cs="Times New Roman"/>
          <w:color w:val="auto"/>
        </w:rPr>
      </w:pPr>
      <w:bookmarkStart w:id="36" w:name="_Toc324848230"/>
      <w:r>
        <w:rPr>
          <w:rFonts w:ascii="Times New Roman" w:hAnsi="Times New Roman" w:cs="Times New Roman"/>
          <w:color w:val="auto"/>
        </w:rPr>
        <w:t>8</w:t>
      </w:r>
      <w:r w:rsidRPr="009C1EA1">
        <w:rPr>
          <w:rFonts w:ascii="Times New Roman" w:hAnsi="Times New Roman" w:cs="Times New Roman"/>
          <w:color w:val="auto"/>
        </w:rPr>
        <w:t xml:space="preserve"> SUMMARY</w:t>
      </w:r>
      <w:bookmarkEnd w:id="35"/>
      <w:bookmarkEnd w:id="36"/>
    </w:p>
    <w:p w:rsidR="00A75C68" w:rsidRPr="009C1EA1" w:rsidRDefault="00A75C68" w:rsidP="00A75C68">
      <w:pPr>
        <w:ind w:left="0" w:firstLine="284"/>
        <w:jc w:val="both"/>
      </w:pPr>
    </w:p>
    <w:p w:rsidR="00CB5FDE" w:rsidRDefault="00CB5FDE" w:rsidP="008650B0">
      <w:pPr>
        <w:ind w:left="0" w:firstLine="284"/>
        <w:jc w:val="both"/>
      </w:pPr>
      <w:r w:rsidRPr="00CB5FDE">
        <w:t xml:space="preserve">The aim of this thesis was to make a segmental analysis of body composition in schizophrenic patients. For the analysis of body composition we used the method of bioelectrical impedance measured by Tanita BC 418 and InBody 720 devices. </w:t>
      </w:r>
      <w:r w:rsidR="00EA0DA6">
        <w:t xml:space="preserve">By </w:t>
      </w:r>
      <w:r w:rsidR="00EA0DA6">
        <w:rPr>
          <w:rStyle w:val="hps"/>
        </w:rPr>
        <w:t>Tanita</w:t>
      </w:r>
      <w:r w:rsidR="00EA0DA6">
        <w:t xml:space="preserve"> </w:t>
      </w:r>
      <w:r w:rsidR="00EA0DA6">
        <w:rPr>
          <w:rStyle w:val="hps"/>
        </w:rPr>
        <w:t>BC</w:t>
      </w:r>
      <w:r w:rsidR="00EA0DA6">
        <w:t xml:space="preserve">-418 </w:t>
      </w:r>
      <w:r w:rsidR="00EA0DA6">
        <w:rPr>
          <w:rStyle w:val="hps"/>
        </w:rPr>
        <w:t>was</w:t>
      </w:r>
      <w:r w:rsidR="00EA0DA6">
        <w:t xml:space="preserve"> determined </w:t>
      </w:r>
      <w:r w:rsidR="00EA0DA6">
        <w:rPr>
          <w:rStyle w:val="hps"/>
        </w:rPr>
        <w:t>segmental</w:t>
      </w:r>
      <w:r w:rsidR="00EA0DA6">
        <w:t xml:space="preserve"> </w:t>
      </w:r>
      <w:r w:rsidR="00EA0DA6">
        <w:rPr>
          <w:rStyle w:val="hps"/>
        </w:rPr>
        <w:t>analysis</w:t>
      </w:r>
      <w:r w:rsidR="00EA0DA6">
        <w:t xml:space="preserve"> of </w:t>
      </w:r>
      <w:r w:rsidR="00EA0DA6">
        <w:rPr>
          <w:rStyle w:val="hps"/>
        </w:rPr>
        <w:t>fat component</w:t>
      </w:r>
      <w:r w:rsidR="00EA0DA6">
        <w:t xml:space="preserve">, </w:t>
      </w:r>
      <w:r w:rsidR="00EA0DA6">
        <w:rPr>
          <w:rStyle w:val="hps"/>
        </w:rPr>
        <w:t>by</w:t>
      </w:r>
      <w:r w:rsidR="00EA0DA6">
        <w:t xml:space="preserve"> </w:t>
      </w:r>
      <w:r w:rsidR="00EA0DA6">
        <w:rPr>
          <w:rStyle w:val="hps"/>
        </w:rPr>
        <w:t>InBody 720</w:t>
      </w:r>
      <w:r w:rsidR="00EA0DA6">
        <w:t xml:space="preserve"> </w:t>
      </w:r>
      <w:r w:rsidR="00EA0DA6">
        <w:rPr>
          <w:rStyle w:val="hps"/>
        </w:rPr>
        <w:t>we determined</w:t>
      </w:r>
      <w:r w:rsidR="00EA0DA6">
        <w:t xml:space="preserve"> </w:t>
      </w:r>
      <w:r w:rsidR="00EA0DA6">
        <w:rPr>
          <w:rStyle w:val="hps"/>
        </w:rPr>
        <w:t>segmental</w:t>
      </w:r>
      <w:r w:rsidR="00EA0DA6">
        <w:t xml:space="preserve"> </w:t>
      </w:r>
      <w:r w:rsidR="00EA0DA6">
        <w:rPr>
          <w:rStyle w:val="hps"/>
        </w:rPr>
        <w:t>analysis of</w:t>
      </w:r>
      <w:r w:rsidR="00EA0DA6">
        <w:t xml:space="preserve"> </w:t>
      </w:r>
      <w:r w:rsidR="00EA0DA6">
        <w:rPr>
          <w:rStyle w:val="hps"/>
        </w:rPr>
        <w:t>skeletal</w:t>
      </w:r>
      <w:r w:rsidR="00EA0DA6">
        <w:t xml:space="preserve"> </w:t>
      </w:r>
      <w:r w:rsidR="00EA0DA6">
        <w:rPr>
          <w:rStyle w:val="hps"/>
        </w:rPr>
        <w:t>muscle.</w:t>
      </w:r>
    </w:p>
    <w:p w:rsidR="008650B0" w:rsidRPr="008650B0" w:rsidRDefault="008650B0" w:rsidP="008650B0">
      <w:pPr>
        <w:ind w:left="0" w:firstLine="284"/>
        <w:jc w:val="both"/>
        <w:rPr>
          <w:rFonts w:eastAsia="Times New Roman"/>
          <w:lang w:eastAsia="cs-CZ"/>
        </w:rPr>
      </w:pPr>
      <w:r w:rsidRPr="008650B0">
        <w:rPr>
          <w:rFonts w:eastAsia="Times New Roman"/>
          <w:lang w:eastAsia="cs-CZ"/>
        </w:rPr>
        <w:t xml:space="preserve">The research group consisted of 47 </w:t>
      </w:r>
      <w:r>
        <w:rPr>
          <w:rFonts w:eastAsia="Times New Roman"/>
          <w:lang w:eastAsia="cs-CZ"/>
        </w:rPr>
        <w:t>subjects</w:t>
      </w:r>
      <w:r w:rsidR="00663299">
        <w:rPr>
          <w:rFonts w:eastAsia="Times New Roman"/>
          <w:lang w:eastAsia="cs-CZ"/>
        </w:rPr>
        <w:t xml:space="preserve"> (</w:t>
      </w:r>
      <w:r w:rsidRPr="008650B0">
        <w:rPr>
          <w:rFonts w:eastAsia="Times New Roman"/>
          <w:lang w:eastAsia="cs-CZ"/>
        </w:rPr>
        <w:t>27 men and 20 women</w:t>
      </w:r>
      <w:r w:rsidR="00663299">
        <w:rPr>
          <w:rFonts w:eastAsia="Times New Roman"/>
          <w:lang w:eastAsia="cs-CZ"/>
        </w:rPr>
        <w:t>)</w:t>
      </w:r>
      <w:r w:rsidRPr="008650B0">
        <w:rPr>
          <w:rFonts w:eastAsia="Times New Roman"/>
          <w:lang w:eastAsia="cs-CZ"/>
        </w:rPr>
        <w:t xml:space="preserve">, age ranged from 19 to 70 years. </w:t>
      </w:r>
      <w:r w:rsidR="00663299">
        <w:rPr>
          <w:rFonts w:eastAsia="Times New Roman"/>
          <w:lang w:eastAsia="cs-CZ"/>
        </w:rPr>
        <w:t>C</w:t>
      </w:r>
      <w:r w:rsidRPr="008650B0">
        <w:rPr>
          <w:rFonts w:eastAsia="Times New Roman"/>
          <w:lang w:eastAsia="cs-CZ"/>
        </w:rPr>
        <w:t>ondition for the analysis of body composition was diagnosed schizophrenia. Data were obtained in March 2010 in the Psychiatric Hospital in Šternberk.</w:t>
      </w:r>
    </w:p>
    <w:p w:rsidR="009D6ED6" w:rsidRDefault="009D6ED6" w:rsidP="00A75C68">
      <w:pPr>
        <w:ind w:left="0" w:firstLine="284"/>
        <w:jc w:val="both"/>
      </w:pPr>
      <w:r>
        <w:rPr>
          <w:rStyle w:val="hps"/>
        </w:rPr>
        <w:t>The theoretical</w:t>
      </w:r>
      <w:r>
        <w:t xml:space="preserve"> </w:t>
      </w:r>
      <w:r>
        <w:rPr>
          <w:rStyle w:val="hps"/>
        </w:rPr>
        <w:t>part was</w:t>
      </w:r>
      <w:r>
        <w:t xml:space="preserve"> </w:t>
      </w:r>
      <w:r>
        <w:rPr>
          <w:rStyle w:val="hps"/>
        </w:rPr>
        <w:t>based on observations of</w:t>
      </w:r>
      <w:r>
        <w:t xml:space="preserve"> </w:t>
      </w:r>
      <w:r>
        <w:rPr>
          <w:rStyle w:val="hps"/>
        </w:rPr>
        <w:t>the relationship</w:t>
      </w:r>
      <w:r>
        <w:t xml:space="preserve"> </w:t>
      </w:r>
      <w:r>
        <w:rPr>
          <w:rStyle w:val="hps"/>
        </w:rPr>
        <w:t>of risk factors</w:t>
      </w:r>
      <w:r>
        <w:t xml:space="preserve"> </w:t>
      </w:r>
      <w:r>
        <w:rPr>
          <w:rStyle w:val="hps"/>
        </w:rPr>
        <w:t>of body composition</w:t>
      </w:r>
      <w:r>
        <w:t xml:space="preserve"> </w:t>
      </w:r>
      <w:r>
        <w:rPr>
          <w:rStyle w:val="hps"/>
        </w:rPr>
        <w:t>in conjunction</w:t>
      </w:r>
      <w:r>
        <w:t xml:space="preserve"> </w:t>
      </w:r>
      <w:r>
        <w:rPr>
          <w:rStyle w:val="hps"/>
        </w:rPr>
        <w:t>with a mental illness</w:t>
      </w:r>
      <w:r>
        <w:t xml:space="preserve"> </w:t>
      </w:r>
      <w:r>
        <w:rPr>
          <w:rStyle w:val="hps"/>
        </w:rPr>
        <w:t>such as</w:t>
      </w:r>
      <w:r>
        <w:t xml:space="preserve"> </w:t>
      </w:r>
      <w:r>
        <w:rPr>
          <w:rStyle w:val="hps"/>
        </w:rPr>
        <w:t>schizophrenia.</w:t>
      </w:r>
      <w:r>
        <w:t xml:space="preserve"> </w:t>
      </w:r>
      <w:r>
        <w:rPr>
          <w:rStyle w:val="hps"/>
        </w:rPr>
        <w:t>Risks of</w:t>
      </w:r>
      <w:r>
        <w:t xml:space="preserve"> </w:t>
      </w:r>
      <w:r>
        <w:rPr>
          <w:rStyle w:val="hps"/>
        </w:rPr>
        <w:t>obesity</w:t>
      </w:r>
      <w:r>
        <w:t xml:space="preserve"> </w:t>
      </w:r>
      <w:r>
        <w:rPr>
          <w:rStyle w:val="hps"/>
        </w:rPr>
        <w:t>in the</w:t>
      </w:r>
      <w:r>
        <w:t xml:space="preserve"> </w:t>
      </w:r>
      <w:r>
        <w:rPr>
          <w:rStyle w:val="hps"/>
        </w:rPr>
        <w:t>incidence of</w:t>
      </w:r>
      <w:r>
        <w:t xml:space="preserve"> </w:t>
      </w:r>
      <w:r>
        <w:rPr>
          <w:rStyle w:val="hps"/>
        </w:rPr>
        <w:t>clients with</w:t>
      </w:r>
      <w:r>
        <w:t xml:space="preserve"> </w:t>
      </w:r>
      <w:r>
        <w:rPr>
          <w:rStyle w:val="hps"/>
        </w:rPr>
        <w:t>mental illnesses</w:t>
      </w:r>
      <w:r>
        <w:t xml:space="preserve"> </w:t>
      </w:r>
      <w:r>
        <w:rPr>
          <w:rStyle w:val="hps"/>
        </w:rPr>
        <w:t>occur</w:t>
      </w:r>
      <w:r>
        <w:t xml:space="preserve"> </w:t>
      </w:r>
      <w:r>
        <w:rPr>
          <w:rStyle w:val="hps"/>
        </w:rPr>
        <w:t>relatively frequently</w:t>
      </w:r>
      <w:r>
        <w:t xml:space="preserve">, they are </w:t>
      </w:r>
      <w:r>
        <w:rPr>
          <w:rStyle w:val="hps"/>
        </w:rPr>
        <w:t>contingent on</w:t>
      </w:r>
      <w:r>
        <w:t xml:space="preserve"> </w:t>
      </w:r>
      <w:r>
        <w:rPr>
          <w:rStyle w:val="hps"/>
        </w:rPr>
        <w:t>the use of</w:t>
      </w:r>
      <w:r>
        <w:t xml:space="preserve"> </w:t>
      </w:r>
      <w:r>
        <w:rPr>
          <w:rStyle w:val="hps"/>
        </w:rPr>
        <w:t>drugs</w:t>
      </w:r>
      <w:r>
        <w:t>.</w:t>
      </w:r>
    </w:p>
    <w:p w:rsidR="00525FE4" w:rsidRDefault="00CB5FDE" w:rsidP="00A75C68">
      <w:pPr>
        <w:ind w:left="0" w:firstLine="284"/>
        <w:jc w:val="both"/>
        <w:rPr>
          <w:rStyle w:val="hps"/>
        </w:rPr>
      </w:pPr>
      <w:r w:rsidRPr="00CB5FDE">
        <w:t>The methodical part contains a d</w:t>
      </w:r>
      <w:r w:rsidR="00525FE4">
        <w:t xml:space="preserve">escription of the analysed file, </w:t>
      </w:r>
      <w:r w:rsidRPr="00CB5FDE">
        <w:t xml:space="preserve">including age distribution and principles to be observed by measuring using BIA. </w:t>
      </w:r>
      <w:r w:rsidR="008650B0">
        <w:rPr>
          <w:rStyle w:val="hps"/>
        </w:rPr>
        <w:t>For statistical</w:t>
      </w:r>
      <w:r w:rsidR="008650B0">
        <w:t xml:space="preserve"> </w:t>
      </w:r>
      <w:r w:rsidR="008650B0">
        <w:rPr>
          <w:rStyle w:val="hps"/>
        </w:rPr>
        <w:t>data processing</w:t>
      </w:r>
      <w:r w:rsidR="008650B0">
        <w:t xml:space="preserve"> </w:t>
      </w:r>
      <w:r w:rsidR="008650B0">
        <w:rPr>
          <w:rStyle w:val="hps"/>
        </w:rPr>
        <w:t>was used</w:t>
      </w:r>
      <w:r w:rsidR="008650B0">
        <w:t xml:space="preserve"> </w:t>
      </w:r>
      <w:r w:rsidR="008650B0">
        <w:rPr>
          <w:rStyle w:val="hps"/>
        </w:rPr>
        <w:t>program STATISTICA</w:t>
      </w:r>
      <w:r w:rsidR="008650B0">
        <w:t xml:space="preserve"> </w:t>
      </w:r>
      <w:r w:rsidR="008650B0">
        <w:rPr>
          <w:rStyle w:val="hps"/>
        </w:rPr>
        <w:t>9,</w:t>
      </w:r>
      <w:r w:rsidR="008650B0">
        <w:t xml:space="preserve"> </w:t>
      </w:r>
      <w:r w:rsidR="008650B0">
        <w:rPr>
          <w:rStyle w:val="hps"/>
        </w:rPr>
        <w:t>data were</w:t>
      </w:r>
      <w:r w:rsidR="008650B0">
        <w:t xml:space="preserve"> </w:t>
      </w:r>
      <w:r w:rsidR="008650B0">
        <w:rPr>
          <w:rStyle w:val="hps"/>
        </w:rPr>
        <w:t>then transferred</w:t>
      </w:r>
      <w:r w:rsidR="008650B0">
        <w:t xml:space="preserve"> </w:t>
      </w:r>
      <w:r w:rsidR="008650B0">
        <w:rPr>
          <w:rStyle w:val="hps"/>
        </w:rPr>
        <w:t>into Microsoft</w:t>
      </w:r>
      <w:r w:rsidR="008650B0">
        <w:t xml:space="preserve"> </w:t>
      </w:r>
      <w:r w:rsidR="008650B0">
        <w:rPr>
          <w:rStyle w:val="hps"/>
        </w:rPr>
        <w:t>Office</w:t>
      </w:r>
      <w:r w:rsidR="008650B0">
        <w:t xml:space="preserve"> </w:t>
      </w:r>
      <w:r w:rsidR="008650B0">
        <w:rPr>
          <w:rStyle w:val="hps"/>
        </w:rPr>
        <w:t>Excel 2007.</w:t>
      </w:r>
    </w:p>
    <w:p w:rsidR="009D6ED6" w:rsidRDefault="00591EE2" w:rsidP="00591EE2">
      <w:pPr>
        <w:ind w:left="0" w:firstLine="284"/>
        <w:jc w:val="both"/>
      </w:pPr>
      <w:r>
        <w:rPr>
          <w:rStyle w:val="hps"/>
        </w:rPr>
        <w:t>The risk of</w:t>
      </w:r>
      <w:r>
        <w:t xml:space="preserve"> </w:t>
      </w:r>
      <w:r>
        <w:rPr>
          <w:rStyle w:val="hps"/>
        </w:rPr>
        <w:t>obesity</w:t>
      </w:r>
      <w:r>
        <w:t xml:space="preserve"> </w:t>
      </w:r>
      <w:r>
        <w:rPr>
          <w:rStyle w:val="hps"/>
        </w:rPr>
        <w:t>in schizophrenic patients</w:t>
      </w:r>
      <w:r>
        <w:t xml:space="preserve"> </w:t>
      </w:r>
      <w:r>
        <w:rPr>
          <w:rStyle w:val="hps"/>
        </w:rPr>
        <w:t>is higher</w:t>
      </w:r>
      <w:r>
        <w:t xml:space="preserve"> </w:t>
      </w:r>
      <w:r>
        <w:rPr>
          <w:rStyle w:val="hps"/>
        </w:rPr>
        <w:t>than</w:t>
      </w:r>
      <w:r>
        <w:t xml:space="preserve"> </w:t>
      </w:r>
      <w:r>
        <w:rPr>
          <w:rStyle w:val="hps"/>
        </w:rPr>
        <w:t>in the healthy</w:t>
      </w:r>
      <w:r>
        <w:t xml:space="preserve"> </w:t>
      </w:r>
      <w:r>
        <w:rPr>
          <w:rStyle w:val="hps"/>
        </w:rPr>
        <w:t>population.</w:t>
      </w:r>
      <w:r>
        <w:t xml:space="preserve"> </w:t>
      </w:r>
      <w:r>
        <w:rPr>
          <w:rStyle w:val="hps"/>
        </w:rPr>
        <w:t>They show</w:t>
      </w:r>
      <w:r>
        <w:t xml:space="preserve"> </w:t>
      </w:r>
      <w:r>
        <w:rPr>
          <w:rStyle w:val="hps"/>
        </w:rPr>
        <w:t>that the lower</w:t>
      </w:r>
      <w:r>
        <w:t xml:space="preserve"> </w:t>
      </w:r>
      <w:r>
        <w:rPr>
          <w:rStyle w:val="hps"/>
        </w:rPr>
        <w:t xml:space="preserve">values </w:t>
      </w:r>
      <w:r>
        <w:rPr>
          <w:rStyle w:val="hps"/>
          <w:rFonts w:ascii="Cambria Math" w:hAnsi="Cambria Math" w:cs="Cambria Math"/>
        </w:rPr>
        <w:t>​​</w:t>
      </w:r>
      <w:r>
        <w:rPr>
          <w:rStyle w:val="hps"/>
        </w:rPr>
        <w:t>of total</w:t>
      </w:r>
      <w:r>
        <w:t xml:space="preserve"> </w:t>
      </w:r>
      <w:r>
        <w:rPr>
          <w:rStyle w:val="hps"/>
        </w:rPr>
        <w:t>body water</w:t>
      </w:r>
      <w:r>
        <w:t xml:space="preserve"> </w:t>
      </w:r>
      <w:r>
        <w:rPr>
          <w:rStyle w:val="hps"/>
        </w:rPr>
        <w:t>and</w:t>
      </w:r>
      <w:r>
        <w:t xml:space="preserve"> </w:t>
      </w:r>
      <w:r>
        <w:rPr>
          <w:rStyle w:val="hps"/>
        </w:rPr>
        <w:t>its components</w:t>
      </w:r>
      <w:r>
        <w:t xml:space="preserve">, as well as </w:t>
      </w:r>
      <w:r>
        <w:rPr>
          <w:rStyle w:val="hps"/>
        </w:rPr>
        <w:t>indicators of</w:t>
      </w:r>
      <w:r>
        <w:t xml:space="preserve"> </w:t>
      </w:r>
      <w:r>
        <w:rPr>
          <w:rStyle w:val="hps"/>
        </w:rPr>
        <w:t>health</w:t>
      </w:r>
      <w:r>
        <w:t xml:space="preserve"> </w:t>
      </w:r>
      <w:r>
        <w:rPr>
          <w:rStyle w:val="hps"/>
        </w:rPr>
        <w:t>risks</w:t>
      </w:r>
      <w:r>
        <w:t xml:space="preserve"> </w:t>
      </w:r>
      <w:r>
        <w:rPr>
          <w:rStyle w:val="hps"/>
        </w:rPr>
        <w:t>of obesity.</w:t>
      </w:r>
      <w:r>
        <w:t xml:space="preserve"> </w:t>
      </w:r>
      <w:r>
        <w:rPr>
          <w:rStyle w:val="hps"/>
        </w:rPr>
        <w:t>Men</w:t>
      </w:r>
      <w:r>
        <w:t xml:space="preserve"> </w:t>
      </w:r>
      <w:r>
        <w:rPr>
          <w:rStyle w:val="hps"/>
        </w:rPr>
        <w:t>with</w:t>
      </w:r>
      <w:r>
        <w:t xml:space="preserve"> </w:t>
      </w:r>
      <w:r>
        <w:rPr>
          <w:rStyle w:val="hps"/>
        </w:rPr>
        <w:t>schizophrenia</w:t>
      </w:r>
      <w:r>
        <w:t xml:space="preserve"> </w:t>
      </w:r>
      <w:r>
        <w:rPr>
          <w:rStyle w:val="hps"/>
        </w:rPr>
        <w:t>had (BMI</w:t>
      </w:r>
      <w:r>
        <w:t xml:space="preserve">, </w:t>
      </w:r>
      <w:r>
        <w:rPr>
          <w:rStyle w:val="hps"/>
        </w:rPr>
        <w:t>BFMI)</w:t>
      </w:r>
      <w:r>
        <w:t xml:space="preserve"> </w:t>
      </w:r>
      <w:r>
        <w:rPr>
          <w:rStyle w:val="hps"/>
        </w:rPr>
        <w:t>overweight,</w:t>
      </w:r>
      <w:r>
        <w:t xml:space="preserve"> </w:t>
      </w:r>
      <w:r>
        <w:rPr>
          <w:rStyle w:val="hps"/>
        </w:rPr>
        <w:t>women</w:t>
      </w:r>
      <w:r>
        <w:t xml:space="preserve"> </w:t>
      </w:r>
      <w:r>
        <w:rPr>
          <w:rStyle w:val="hps"/>
        </w:rPr>
        <w:t>with schizophrenia</w:t>
      </w:r>
      <w:r>
        <w:t xml:space="preserve"> </w:t>
      </w:r>
      <w:r>
        <w:rPr>
          <w:rStyle w:val="hps"/>
        </w:rPr>
        <w:t>were</w:t>
      </w:r>
      <w:r>
        <w:t xml:space="preserve"> </w:t>
      </w:r>
      <w:r>
        <w:rPr>
          <w:rStyle w:val="hps"/>
        </w:rPr>
        <w:t>obese.</w:t>
      </w:r>
      <w:r>
        <w:t xml:space="preserve"> </w:t>
      </w:r>
      <w:r>
        <w:rPr>
          <w:rStyle w:val="hps"/>
        </w:rPr>
        <w:t>For both</w:t>
      </w:r>
      <w:r>
        <w:t xml:space="preserve"> </w:t>
      </w:r>
      <w:r>
        <w:rPr>
          <w:rStyle w:val="hps"/>
        </w:rPr>
        <w:t>groups was</w:t>
      </w:r>
      <w:r>
        <w:t xml:space="preserve"> </w:t>
      </w:r>
      <w:r>
        <w:rPr>
          <w:rStyle w:val="hps"/>
        </w:rPr>
        <w:t>an increased risk of</w:t>
      </w:r>
      <w:r>
        <w:t xml:space="preserve"> </w:t>
      </w:r>
      <w:r>
        <w:rPr>
          <w:rStyle w:val="hps"/>
        </w:rPr>
        <w:t>abdominal</w:t>
      </w:r>
      <w:r>
        <w:t xml:space="preserve"> </w:t>
      </w:r>
      <w:r>
        <w:rPr>
          <w:rStyle w:val="hps"/>
        </w:rPr>
        <w:t>obesity.</w:t>
      </w:r>
      <w:r>
        <w:t xml:space="preserve"> </w:t>
      </w:r>
      <w:r w:rsidRPr="00CB5FDE">
        <w:t xml:space="preserve">Segmental analysis testified on the distribution of fat in men and women, which differed both locally and in the amount, women </w:t>
      </w:r>
      <w:r>
        <w:rPr>
          <w:rStyle w:val="hps"/>
        </w:rPr>
        <w:t>were</w:t>
      </w:r>
      <w:r>
        <w:t xml:space="preserve"> </w:t>
      </w:r>
      <w:r>
        <w:rPr>
          <w:rStyle w:val="hps"/>
        </w:rPr>
        <w:t>located</w:t>
      </w:r>
      <w:r>
        <w:t xml:space="preserve"> </w:t>
      </w:r>
      <w:r>
        <w:rPr>
          <w:rStyle w:val="hps"/>
        </w:rPr>
        <w:t>mainly on</w:t>
      </w:r>
      <w:r>
        <w:t xml:space="preserve"> </w:t>
      </w:r>
      <w:r>
        <w:rPr>
          <w:rStyle w:val="hps"/>
        </w:rPr>
        <w:t>the legs</w:t>
      </w:r>
      <w:r>
        <w:t xml:space="preserve"> </w:t>
      </w:r>
      <w:r w:rsidRPr="00CB5FDE">
        <w:t>had values of fat up to twice as high</w:t>
      </w:r>
      <w:r>
        <w:t xml:space="preserve">, </w:t>
      </w:r>
      <w:r>
        <w:rPr>
          <w:rStyle w:val="hps"/>
        </w:rPr>
        <w:t>men</w:t>
      </w:r>
      <w:r>
        <w:t xml:space="preserve"> </w:t>
      </w:r>
      <w:r>
        <w:rPr>
          <w:rStyle w:val="hps"/>
        </w:rPr>
        <w:t>had most</w:t>
      </w:r>
      <w:r>
        <w:t xml:space="preserve"> </w:t>
      </w:r>
      <w:r>
        <w:rPr>
          <w:rStyle w:val="hps"/>
        </w:rPr>
        <w:t>fat</w:t>
      </w:r>
      <w:r>
        <w:t xml:space="preserve"> </w:t>
      </w:r>
      <w:r>
        <w:rPr>
          <w:rStyle w:val="hps"/>
        </w:rPr>
        <w:t>in</w:t>
      </w:r>
      <w:r>
        <w:t xml:space="preserve"> </w:t>
      </w:r>
      <w:r>
        <w:rPr>
          <w:rStyle w:val="hps"/>
        </w:rPr>
        <w:t>the</w:t>
      </w:r>
      <w:r>
        <w:t xml:space="preserve"> </w:t>
      </w:r>
      <w:r>
        <w:rPr>
          <w:rStyle w:val="hps"/>
        </w:rPr>
        <w:t>trunk.</w:t>
      </w:r>
      <w:r>
        <w:br/>
      </w:r>
      <w:r>
        <w:rPr>
          <w:rStyle w:val="hps"/>
        </w:rPr>
        <w:t>The measurement</w:t>
      </w:r>
      <w:r>
        <w:t xml:space="preserve"> </w:t>
      </w:r>
      <w:r>
        <w:rPr>
          <w:rStyle w:val="hps"/>
        </w:rPr>
        <w:t>devices</w:t>
      </w:r>
      <w:r>
        <w:t xml:space="preserve"> </w:t>
      </w:r>
      <w:r>
        <w:rPr>
          <w:rStyle w:val="hps"/>
        </w:rPr>
        <w:t>were used</w:t>
      </w:r>
      <w:r>
        <w:t xml:space="preserve"> </w:t>
      </w:r>
      <w:r>
        <w:rPr>
          <w:rStyle w:val="hps"/>
        </w:rPr>
        <w:t>Tanita</w:t>
      </w:r>
      <w:r>
        <w:t xml:space="preserve"> </w:t>
      </w:r>
      <w:r>
        <w:rPr>
          <w:rStyle w:val="hps"/>
        </w:rPr>
        <w:t>BC</w:t>
      </w:r>
      <w:r>
        <w:t xml:space="preserve"> </w:t>
      </w:r>
      <w:r>
        <w:rPr>
          <w:rStyle w:val="hps"/>
        </w:rPr>
        <w:t>418 and</w:t>
      </w:r>
      <w:r>
        <w:t xml:space="preserve"> </w:t>
      </w:r>
      <w:r>
        <w:rPr>
          <w:rStyle w:val="hps"/>
        </w:rPr>
        <w:t xml:space="preserve">InBody 720. </w:t>
      </w:r>
      <w:r w:rsidR="00CB5FDE" w:rsidRPr="00CB5FDE">
        <w:t xml:space="preserve">In comparison with InBody, Tanita slightly overestimated FFM and TBW and slightly underestimated FM. </w:t>
      </w:r>
    </w:p>
    <w:p w:rsidR="009D6ED6" w:rsidRDefault="009D6ED6">
      <w:r>
        <w:br w:type="page"/>
      </w:r>
    </w:p>
    <w:p w:rsidR="00A75C68" w:rsidRPr="009C1EA1" w:rsidRDefault="00A75C68" w:rsidP="00A75C68">
      <w:pPr>
        <w:pStyle w:val="Nadpis1"/>
        <w:ind w:left="0" w:firstLine="0"/>
        <w:rPr>
          <w:rFonts w:ascii="Times New Roman" w:hAnsi="Times New Roman" w:cs="Times New Roman"/>
          <w:color w:val="auto"/>
        </w:rPr>
      </w:pPr>
      <w:bookmarkStart w:id="37" w:name="_Toc291609123"/>
      <w:bookmarkStart w:id="38" w:name="_Toc324848231"/>
      <w:r>
        <w:rPr>
          <w:rFonts w:ascii="Times New Roman" w:hAnsi="Times New Roman" w:cs="Times New Roman"/>
          <w:color w:val="auto"/>
        </w:rPr>
        <w:t>9</w:t>
      </w:r>
      <w:r w:rsidRPr="009C1EA1">
        <w:rPr>
          <w:rFonts w:ascii="Times New Roman" w:hAnsi="Times New Roman" w:cs="Times New Roman"/>
          <w:color w:val="auto"/>
        </w:rPr>
        <w:t xml:space="preserve"> REFERENČNÍ SEZNAM</w:t>
      </w:r>
      <w:bookmarkEnd w:id="37"/>
      <w:bookmarkEnd w:id="38"/>
    </w:p>
    <w:p w:rsidR="00FC4A64" w:rsidRDefault="00FC4A64"/>
    <w:p w:rsidR="002C2053" w:rsidRDefault="00D65B92" w:rsidP="002C2053">
      <w:pPr>
        <w:ind w:left="284" w:hanging="284"/>
        <w:jc w:val="both"/>
      </w:pPr>
      <w:r w:rsidRPr="00344F28">
        <w:rPr>
          <w:i/>
        </w:rPr>
        <w:t xml:space="preserve">Mezinárodní statistická klasifikace nemocí a přidružených zdravotních problémů. </w:t>
      </w:r>
      <w:r w:rsidR="00A52031">
        <w:t xml:space="preserve">(2008). </w:t>
      </w:r>
      <w:r w:rsidRPr="00344F28">
        <w:t xml:space="preserve">Praha: Bomton agency s. r. o. </w:t>
      </w:r>
    </w:p>
    <w:p w:rsidR="002C2053" w:rsidRPr="002C2053" w:rsidRDefault="002C2053" w:rsidP="002C2053">
      <w:pPr>
        <w:ind w:left="284" w:hanging="284"/>
        <w:jc w:val="both"/>
      </w:pPr>
      <w:r w:rsidRPr="00344F28">
        <w:rPr>
          <w:rFonts w:eastAsia="Times New Roman"/>
          <w:lang w:eastAsia="cs-CZ"/>
        </w:rPr>
        <w:t>Akbartabartoori</w:t>
      </w:r>
      <w:r>
        <w:rPr>
          <w:rFonts w:eastAsia="Times New Roman"/>
          <w:lang w:eastAsia="cs-CZ"/>
        </w:rPr>
        <w:t>, M.</w:t>
      </w:r>
      <w:r w:rsidRPr="00344F28">
        <w:rPr>
          <w:rFonts w:eastAsia="Times New Roman"/>
          <w:lang w:eastAsia="cs-CZ"/>
        </w:rPr>
        <w:t>, Lean</w:t>
      </w:r>
      <w:r>
        <w:rPr>
          <w:rFonts w:eastAsia="Times New Roman"/>
          <w:lang w:eastAsia="cs-CZ"/>
        </w:rPr>
        <w:t xml:space="preserve">, </w:t>
      </w:r>
      <w:r w:rsidRPr="00344F28">
        <w:rPr>
          <w:rFonts w:eastAsia="Times New Roman"/>
          <w:lang w:eastAsia="cs-CZ"/>
        </w:rPr>
        <w:t>M</w:t>
      </w:r>
      <w:r>
        <w:rPr>
          <w:rFonts w:eastAsia="Times New Roman"/>
          <w:lang w:eastAsia="cs-CZ"/>
        </w:rPr>
        <w:t>.</w:t>
      </w:r>
      <w:r w:rsidRPr="00344F28">
        <w:rPr>
          <w:rFonts w:eastAsia="Times New Roman"/>
          <w:lang w:eastAsia="cs-CZ"/>
        </w:rPr>
        <w:t xml:space="preserve"> E</w:t>
      </w:r>
      <w:r>
        <w:rPr>
          <w:rFonts w:eastAsia="Times New Roman"/>
          <w:lang w:eastAsia="cs-CZ"/>
        </w:rPr>
        <w:t>.</w:t>
      </w:r>
      <w:r w:rsidRPr="00344F28">
        <w:rPr>
          <w:rFonts w:eastAsia="Times New Roman"/>
          <w:lang w:eastAsia="cs-CZ"/>
        </w:rPr>
        <w:t xml:space="preserve"> J</w:t>
      </w:r>
      <w:r>
        <w:rPr>
          <w:rFonts w:eastAsia="Times New Roman"/>
          <w:lang w:eastAsia="cs-CZ"/>
        </w:rPr>
        <w:t>., &amp;</w:t>
      </w:r>
      <w:r w:rsidRPr="00344F28">
        <w:rPr>
          <w:rFonts w:eastAsia="Times New Roman"/>
          <w:lang w:eastAsia="cs-CZ"/>
        </w:rPr>
        <w:t> Hankey</w:t>
      </w:r>
      <w:r>
        <w:rPr>
          <w:rFonts w:eastAsia="Times New Roman"/>
          <w:lang w:eastAsia="cs-CZ"/>
        </w:rPr>
        <w:t xml:space="preserve"> C.R.</w:t>
      </w:r>
      <w:r w:rsidRPr="00344F28">
        <w:t xml:space="preserve"> </w:t>
      </w:r>
      <w:r w:rsidRPr="00344F28">
        <w:rPr>
          <w:rFonts w:eastAsia="Times New Roman"/>
          <w:lang w:eastAsia="cs-CZ"/>
        </w:rPr>
        <w:t>(2005)</w:t>
      </w:r>
      <w:r>
        <w:rPr>
          <w:rFonts w:eastAsia="Times New Roman"/>
          <w:lang w:eastAsia="cs-CZ"/>
        </w:rPr>
        <w:t>.</w:t>
      </w:r>
      <w:r w:rsidRPr="00344F28">
        <w:rPr>
          <w:rFonts w:eastAsia="Times New Roman"/>
          <w:lang w:eastAsia="cs-CZ"/>
        </w:rPr>
        <w:t xml:space="preserve"> </w:t>
      </w:r>
      <w:r w:rsidRPr="002C2053">
        <w:rPr>
          <w:rFonts w:eastAsia="Times New Roman"/>
          <w:bCs/>
          <w:lang w:eastAsia="cs-CZ"/>
        </w:rPr>
        <w:t>Relationships between cigarette sm</w:t>
      </w:r>
      <w:r>
        <w:rPr>
          <w:rFonts w:eastAsia="Times New Roman"/>
          <w:bCs/>
          <w:lang w:eastAsia="cs-CZ"/>
        </w:rPr>
        <w:t xml:space="preserve">oking, body size and body shape. </w:t>
      </w:r>
      <w:r w:rsidRPr="00344F28">
        <w:rPr>
          <w:rFonts w:eastAsia="Times New Roman"/>
          <w:i/>
          <w:iCs/>
          <w:lang w:eastAsia="cs-CZ"/>
        </w:rPr>
        <w:t>International Journal of Obesity</w:t>
      </w:r>
      <w:r w:rsidR="005705F7">
        <w:rPr>
          <w:rFonts w:eastAsia="Times New Roman"/>
          <w:i/>
          <w:iCs/>
          <w:lang w:eastAsia="cs-CZ"/>
        </w:rPr>
        <w:t>,</w:t>
      </w:r>
      <w:r w:rsidRPr="00344F28">
        <w:rPr>
          <w:rFonts w:eastAsia="Times New Roman"/>
          <w:lang w:eastAsia="cs-CZ"/>
        </w:rPr>
        <w:t xml:space="preserve"> </w:t>
      </w:r>
      <w:r w:rsidRPr="005705F7">
        <w:rPr>
          <w:rFonts w:eastAsia="Times New Roman"/>
          <w:bCs/>
          <w:i/>
          <w:lang w:eastAsia="cs-CZ"/>
        </w:rPr>
        <w:t>29</w:t>
      </w:r>
      <w:r w:rsidRPr="00344F28">
        <w:rPr>
          <w:rFonts w:eastAsia="Times New Roman"/>
          <w:lang w:eastAsia="cs-CZ"/>
        </w:rPr>
        <w:t xml:space="preserve">, 236–243. </w:t>
      </w:r>
    </w:p>
    <w:p w:rsidR="00000F57" w:rsidRPr="00084C11" w:rsidRDefault="00000F57" w:rsidP="00956380">
      <w:pPr>
        <w:ind w:left="284" w:hanging="284"/>
        <w:jc w:val="both"/>
      </w:pPr>
      <w:r w:rsidRPr="00344F28">
        <w:t>Allison</w:t>
      </w:r>
      <w:r>
        <w:t xml:space="preserve">, </w:t>
      </w:r>
      <w:r w:rsidRPr="00344F28">
        <w:t>D</w:t>
      </w:r>
      <w:r>
        <w:t xml:space="preserve">. </w:t>
      </w:r>
      <w:r w:rsidRPr="00344F28">
        <w:t>B</w:t>
      </w:r>
      <w:r>
        <w:t>.</w:t>
      </w:r>
      <w:r w:rsidRPr="00344F28">
        <w:t xml:space="preserve">, </w:t>
      </w:r>
      <w:r w:rsidR="00084C11" w:rsidRPr="00084C11">
        <w:rPr>
          <w:rStyle w:val="authornames"/>
          <w:bCs/>
        </w:rPr>
        <w:t>Mentore,</w:t>
      </w:r>
      <w:r w:rsidR="00084C11">
        <w:rPr>
          <w:rStyle w:val="authornames"/>
          <w:bCs/>
        </w:rPr>
        <w:t xml:space="preserve"> J. L., </w:t>
      </w:r>
      <w:r w:rsidR="00084C11" w:rsidRPr="00084C11">
        <w:rPr>
          <w:rStyle w:val="authornames"/>
          <w:bCs/>
        </w:rPr>
        <w:t xml:space="preserve">Heo, </w:t>
      </w:r>
      <w:r w:rsidR="00084C11">
        <w:rPr>
          <w:rStyle w:val="authornames"/>
          <w:bCs/>
        </w:rPr>
        <w:t xml:space="preserve">M., </w:t>
      </w:r>
      <w:r w:rsidR="00084C11" w:rsidRPr="00084C11">
        <w:rPr>
          <w:rStyle w:val="authornames"/>
          <w:bCs/>
        </w:rPr>
        <w:t>Chandler</w:t>
      </w:r>
      <w:r w:rsidR="00084C11">
        <w:rPr>
          <w:rStyle w:val="authornames"/>
          <w:bCs/>
        </w:rPr>
        <w:t>, L. P.</w:t>
      </w:r>
      <w:r w:rsidR="00084C11" w:rsidRPr="00084C11">
        <w:rPr>
          <w:rStyle w:val="authornames"/>
          <w:bCs/>
        </w:rPr>
        <w:t>, Cappelleri,</w:t>
      </w:r>
      <w:r w:rsidR="00084C11">
        <w:rPr>
          <w:rStyle w:val="authornames"/>
          <w:bCs/>
        </w:rPr>
        <w:t xml:space="preserve"> J. C., </w:t>
      </w:r>
      <w:r w:rsidR="00084C11" w:rsidRPr="00084C11">
        <w:rPr>
          <w:rStyle w:val="authornames"/>
          <w:bCs/>
        </w:rPr>
        <w:t>Infante, M.</w:t>
      </w:r>
      <w:r w:rsidR="00084C11">
        <w:rPr>
          <w:rStyle w:val="authornames"/>
          <w:bCs/>
        </w:rPr>
        <w:t xml:space="preserve"> C., </w:t>
      </w:r>
      <w:r w:rsidR="00576FBB">
        <w:rPr>
          <w:rStyle w:val="authornames"/>
          <w:bCs/>
        </w:rPr>
        <w:t xml:space="preserve">&amp; </w:t>
      </w:r>
      <w:r w:rsidR="00084C11" w:rsidRPr="00084C11">
        <w:rPr>
          <w:rStyle w:val="authornames"/>
          <w:bCs/>
        </w:rPr>
        <w:t xml:space="preserve">Weiden, </w:t>
      </w:r>
      <w:r w:rsidR="00084C11">
        <w:rPr>
          <w:rStyle w:val="authornames"/>
          <w:bCs/>
        </w:rPr>
        <w:t xml:space="preserve">P. J. </w:t>
      </w:r>
      <w:r w:rsidRPr="00084C11">
        <w:t xml:space="preserve">(1999). Antipsychotic-induced weight gain: a comprehensive research synthesis. </w:t>
      </w:r>
      <w:r w:rsidRPr="00084C11">
        <w:rPr>
          <w:i/>
        </w:rPr>
        <w:t>American Journal of Psychiatry</w:t>
      </w:r>
      <w:r w:rsidR="005705F7" w:rsidRPr="00084C11">
        <w:t xml:space="preserve">, </w:t>
      </w:r>
      <w:r w:rsidR="005705F7" w:rsidRPr="00084C11">
        <w:rPr>
          <w:i/>
        </w:rPr>
        <w:t>156</w:t>
      </w:r>
      <w:r w:rsidR="005705F7" w:rsidRPr="00084C11">
        <w:t xml:space="preserve">, </w:t>
      </w:r>
      <w:r w:rsidRPr="00084C11">
        <w:t>1686–1696.</w:t>
      </w:r>
    </w:p>
    <w:p w:rsidR="00B92FC4" w:rsidRPr="009C1EA1" w:rsidRDefault="00B92FC4" w:rsidP="00B92FC4">
      <w:pPr>
        <w:ind w:left="284" w:hanging="284"/>
        <w:jc w:val="both"/>
        <w:rPr>
          <w:rStyle w:val="Siln"/>
          <w:b w:val="0"/>
        </w:rPr>
      </w:pPr>
      <w:r w:rsidRPr="009C1EA1">
        <w:t xml:space="preserve">Biospace. (2009). </w:t>
      </w:r>
      <w:r w:rsidRPr="009C1EA1">
        <w:rPr>
          <w:i/>
        </w:rPr>
        <w:t xml:space="preserve">Co dokáže InBody. </w:t>
      </w:r>
      <w:r w:rsidRPr="009C1EA1">
        <w:t xml:space="preserve"> </w:t>
      </w:r>
      <w:r>
        <w:rPr>
          <w:rStyle w:val="Siln"/>
          <w:b w:val="0"/>
        </w:rPr>
        <w:t>Retrieved 16</w:t>
      </w:r>
      <w:r w:rsidRPr="009C1EA1">
        <w:rPr>
          <w:rStyle w:val="Siln"/>
          <w:b w:val="0"/>
        </w:rPr>
        <w:t xml:space="preserve">. </w:t>
      </w:r>
      <w:r>
        <w:rPr>
          <w:rStyle w:val="Siln"/>
          <w:b w:val="0"/>
        </w:rPr>
        <w:t>4</w:t>
      </w:r>
      <w:r w:rsidRPr="009C1EA1">
        <w:rPr>
          <w:rStyle w:val="Siln"/>
          <w:b w:val="0"/>
        </w:rPr>
        <w:t>. 201</w:t>
      </w:r>
      <w:r>
        <w:rPr>
          <w:rStyle w:val="Siln"/>
          <w:b w:val="0"/>
        </w:rPr>
        <w:t>2</w:t>
      </w:r>
      <w:r w:rsidRPr="009C1EA1">
        <w:rPr>
          <w:rStyle w:val="Siln"/>
          <w:b w:val="0"/>
        </w:rPr>
        <w:t xml:space="preserve"> from World Wide Web: http://www.biospace.cz/co-dokaze-inbody.php</w:t>
      </w:r>
    </w:p>
    <w:p w:rsidR="00B92FC4" w:rsidRDefault="00B92FC4" w:rsidP="00B92FC4">
      <w:pPr>
        <w:ind w:left="284" w:hanging="284"/>
        <w:jc w:val="both"/>
        <w:rPr>
          <w:rStyle w:val="Siln"/>
          <w:b w:val="0"/>
        </w:rPr>
      </w:pPr>
      <w:r w:rsidRPr="009C1EA1">
        <w:t xml:space="preserve">Biospace. (2009a). </w:t>
      </w:r>
      <w:r w:rsidRPr="009C1EA1">
        <w:rPr>
          <w:i/>
        </w:rPr>
        <w:t>Co je analýza složení těla</w:t>
      </w:r>
      <w:r w:rsidRPr="009C1EA1">
        <w:t xml:space="preserve">. </w:t>
      </w:r>
      <w:r>
        <w:rPr>
          <w:rStyle w:val="Siln"/>
          <w:b w:val="0"/>
        </w:rPr>
        <w:t>Retrieved 16. 4</w:t>
      </w:r>
      <w:r w:rsidRPr="009C1EA1">
        <w:rPr>
          <w:rStyle w:val="Siln"/>
          <w:b w:val="0"/>
        </w:rPr>
        <w:t>. 201</w:t>
      </w:r>
      <w:r>
        <w:rPr>
          <w:rStyle w:val="Siln"/>
          <w:b w:val="0"/>
        </w:rPr>
        <w:t>2</w:t>
      </w:r>
      <w:r w:rsidRPr="009C1EA1">
        <w:rPr>
          <w:rStyle w:val="Siln"/>
          <w:b w:val="0"/>
        </w:rPr>
        <w:t xml:space="preserve"> from World Wide Web: http://www.biospace.cz/soubory/pdf/co-je-analyza-slozeni-tela.pdf </w:t>
      </w:r>
    </w:p>
    <w:p w:rsidR="000A38BA" w:rsidRPr="009C1EA1" w:rsidRDefault="000A38BA" w:rsidP="000A38BA">
      <w:pPr>
        <w:ind w:left="284" w:hanging="284"/>
        <w:jc w:val="both"/>
        <w:rPr>
          <w:rStyle w:val="Siln"/>
          <w:b w:val="0"/>
        </w:rPr>
      </w:pPr>
      <w:r w:rsidRPr="009C1EA1">
        <w:t>Bios</w:t>
      </w:r>
      <w:r>
        <w:t>pace. (2009b</w:t>
      </w:r>
      <w:r w:rsidRPr="009C1EA1">
        <w:t xml:space="preserve">). </w:t>
      </w:r>
      <w:r w:rsidRPr="009C1EA1">
        <w:rPr>
          <w:i/>
        </w:rPr>
        <w:t>Výklad výsledků a aplikace InBody 720</w:t>
      </w:r>
      <w:r w:rsidRPr="009C1EA1">
        <w:t xml:space="preserve">. </w:t>
      </w:r>
      <w:r>
        <w:rPr>
          <w:rStyle w:val="Siln"/>
          <w:b w:val="0"/>
        </w:rPr>
        <w:t>Retrieved 13. 4</w:t>
      </w:r>
      <w:r w:rsidRPr="009C1EA1">
        <w:rPr>
          <w:rStyle w:val="Siln"/>
          <w:b w:val="0"/>
        </w:rPr>
        <w:t>. 201</w:t>
      </w:r>
      <w:r>
        <w:rPr>
          <w:rStyle w:val="Siln"/>
          <w:b w:val="0"/>
        </w:rPr>
        <w:t>2</w:t>
      </w:r>
      <w:r w:rsidRPr="009C1EA1">
        <w:rPr>
          <w:rStyle w:val="Siln"/>
          <w:b w:val="0"/>
        </w:rPr>
        <w:t xml:space="preserve"> from World Wide Web: http://www.biospace.cz/soubory/pdf/vyklad-vysledku-a-aplikace-inbody720.pdf</w:t>
      </w:r>
    </w:p>
    <w:p w:rsidR="00B92FC4" w:rsidRPr="00606289" w:rsidRDefault="00B92FC4" w:rsidP="00B92FC4">
      <w:pPr>
        <w:ind w:left="284" w:hanging="284"/>
        <w:jc w:val="both"/>
      </w:pPr>
      <w:r>
        <w:t xml:space="preserve">Centrum pro rozvoj péče o duševní zdraví (2012). </w:t>
      </w:r>
      <w:r>
        <w:rPr>
          <w:rStyle w:val="Siln"/>
          <w:b w:val="0"/>
        </w:rPr>
        <w:t>Retrieved 24</w:t>
      </w:r>
      <w:r w:rsidRPr="009C1EA1">
        <w:rPr>
          <w:rStyle w:val="Siln"/>
          <w:b w:val="0"/>
        </w:rPr>
        <w:t xml:space="preserve">. </w:t>
      </w:r>
      <w:r>
        <w:rPr>
          <w:rStyle w:val="Siln"/>
          <w:b w:val="0"/>
        </w:rPr>
        <w:t>4</w:t>
      </w:r>
      <w:r w:rsidRPr="009C1EA1">
        <w:rPr>
          <w:rStyle w:val="Siln"/>
          <w:b w:val="0"/>
        </w:rPr>
        <w:t>. 201</w:t>
      </w:r>
      <w:r>
        <w:rPr>
          <w:rStyle w:val="Siln"/>
          <w:b w:val="0"/>
        </w:rPr>
        <w:t>2</w:t>
      </w:r>
      <w:r w:rsidRPr="009C1EA1">
        <w:rPr>
          <w:rStyle w:val="Siln"/>
          <w:b w:val="0"/>
        </w:rPr>
        <w:t xml:space="preserve"> from World Wide Web: </w:t>
      </w:r>
      <w:r w:rsidRPr="00B30A98">
        <w:t>ttp://www.cmhcd.cz/</w:t>
      </w:r>
    </w:p>
    <w:p w:rsidR="009535E1" w:rsidRPr="009C1EA1" w:rsidRDefault="009535E1" w:rsidP="009535E1">
      <w:pPr>
        <w:ind w:left="284" w:hanging="284"/>
        <w:jc w:val="both"/>
      </w:pPr>
      <w:r>
        <w:t>Češková, E. (2005).</w:t>
      </w:r>
      <w:r w:rsidRPr="009C1EA1">
        <w:t xml:space="preserve"> </w:t>
      </w:r>
      <w:r w:rsidRPr="009C1EA1">
        <w:rPr>
          <w:i/>
          <w:iCs/>
        </w:rPr>
        <w:t xml:space="preserve">Schizofrenie a její léčba: průvodce ošetřujícího lékaře. </w:t>
      </w:r>
      <w:r w:rsidRPr="009C1EA1">
        <w:t>Praha: Maxdorf.</w:t>
      </w:r>
    </w:p>
    <w:p w:rsidR="00D65B92" w:rsidRDefault="009535E1" w:rsidP="00D65B92">
      <w:pPr>
        <w:ind w:left="284" w:hanging="284"/>
        <w:jc w:val="both"/>
      </w:pPr>
      <w:r w:rsidRPr="009C1EA1">
        <w:t>Dušek</w:t>
      </w:r>
      <w:r>
        <w:t>,</w:t>
      </w:r>
      <w:r w:rsidRPr="009C1EA1">
        <w:t xml:space="preserve"> K., &amp; Večeřová-Procházková A. (2010). </w:t>
      </w:r>
      <w:r w:rsidRPr="009C1EA1">
        <w:rPr>
          <w:i/>
        </w:rPr>
        <w:t>Diagnostika a terapie duševních poruch.</w:t>
      </w:r>
      <w:r w:rsidRPr="009C1EA1">
        <w:t xml:space="preserve"> Praha: Grada Publishing, a.s.</w:t>
      </w:r>
    </w:p>
    <w:p w:rsidR="003F02A7" w:rsidRDefault="006D3D31" w:rsidP="003F02A7">
      <w:pPr>
        <w:ind w:left="284" w:hanging="284"/>
        <w:jc w:val="both"/>
        <w:rPr>
          <w:bCs/>
        </w:rPr>
      </w:pPr>
      <w:r>
        <w:rPr>
          <w:iCs/>
        </w:rPr>
        <w:t>Elia</w:t>
      </w:r>
      <w:r w:rsidRPr="00F85EB8">
        <w:t xml:space="preserve">, M. </w:t>
      </w:r>
      <w:r>
        <w:t xml:space="preserve">(2001). </w:t>
      </w:r>
      <w:r w:rsidRPr="00F85EB8">
        <w:t xml:space="preserve">Obesity in the Elderly. </w:t>
      </w:r>
      <w:r w:rsidRPr="00F85EB8">
        <w:rPr>
          <w:i/>
        </w:rPr>
        <w:t>Obesity Research</w:t>
      </w:r>
      <w:r w:rsidR="005705F7">
        <w:t>,</w:t>
      </w:r>
      <w:r>
        <w:t xml:space="preserve"> </w:t>
      </w:r>
      <w:r w:rsidR="0068658E" w:rsidRPr="005705F7">
        <w:rPr>
          <w:i/>
        </w:rPr>
        <w:t>9 (</w:t>
      </w:r>
      <w:r w:rsidRPr="005705F7">
        <w:rPr>
          <w:i/>
        </w:rPr>
        <w:t>4</w:t>
      </w:r>
      <w:r w:rsidR="0068658E" w:rsidRPr="005705F7">
        <w:rPr>
          <w:i/>
        </w:rPr>
        <w:t>)</w:t>
      </w:r>
      <w:r w:rsidR="0068658E">
        <w:t>,</w:t>
      </w:r>
      <w:r w:rsidRPr="00F85EB8">
        <w:t xml:space="preserve"> 244</w:t>
      </w:r>
      <w:r w:rsidR="005705F7" w:rsidRPr="00344F28">
        <w:t>–</w:t>
      </w:r>
      <w:r w:rsidRPr="00F85EB8">
        <w:t>248</w:t>
      </w:r>
      <w:r>
        <w:rPr>
          <w:rFonts w:ascii="MSTT31c7c4" w:hAnsi="MSTT31c7c4" w:cs="MSTT31c7c4"/>
          <w:sz w:val="18"/>
          <w:szCs w:val="18"/>
        </w:rPr>
        <w:t>.</w:t>
      </w:r>
    </w:p>
    <w:p w:rsidR="003F02A7" w:rsidRDefault="00184D98" w:rsidP="003F02A7">
      <w:pPr>
        <w:ind w:left="284" w:hanging="284"/>
        <w:jc w:val="both"/>
        <w:rPr>
          <w:bCs/>
        </w:rPr>
      </w:pPr>
      <w:r>
        <w:t xml:space="preserve">Finkelstein, E. A., Brown, D. S., Wrage, L. A., Allaire, B. T., &amp; Hoerger, T. J. (2010). </w:t>
      </w:r>
      <w:r w:rsidRPr="00344F28">
        <w:t>Individual and eggregate years-of-life-lost associated with overweight and obesity.</w:t>
      </w:r>
      <w:r>
        <w:t xml:space="preserve"> </w:t>
      </w:r>
      <w:r w:rsidRPr="00184D98">
        <w:rPr>
          <w:i/>
        </w:rPr>
        <w:t>Obesity</w:t>
      </w:r>
      <w:r w:rsidR="005705F7">
        <w:rPr>
          <w:i/>
        </w:rPr>
        <w:t>,</w:t>
      </w:r>
      <w:r w:rsidRPr="00184D98">
        <w:t xml:space="preserve"> </w:t>
      </w:r>
      <w:r w:rsidRPr="005705F7">
        <w:rPr>
          <w:bCs/>
          <w:i/>
        </w:rPr>
        <w:t>18</w:t>
      </w:r>
      <w:r w:rsidRPr="00184D98">
        <w:rPr>
          <w:bCs/>
        </w:rPr>
        <w:t xml:space="preserve">, </w:t>
      </w:r>
      <w:r w:rsidRPr="00184D98">
        <w:t>333–339</w:t>
      </w:r>
      <w:r>
        <w:t>.</w:t>
      </w:r>
      <w:r w:rsidR="003F02A7" w:rsidRPr="003F02A7">
        <w:t xml:space="preserve"> </w:t>
      </w:r>
    </w:p>
    <w:p w:rsidR="003F02A7" w:rsidRPr="003F02A7" w:rsidRDefault="003F02A7" w:rsidP="003F02A7">
      <w:pPr>
        <w:ind w:left="284" w:hanging="284"/>
        <w:jc w:val="both"/>
        <w:rPr>
          <w:bCs/>
        </w:rPr>
      </w:pPr>
      <w:r w:rsidRPr="009C1EA1">
        <w:t>Gába</w:t>
      </w:r>
      <w:r>
        <w:t>,</w:t>
      </w:r>
      <w:r w:rsidRPr="009C1EA1">
        <w:t xml:space="preserve"> A., Pelclová</w:t>
      </w:r>
      <w:r>
        <w:t>,</w:t>
      </w:r>
      <w:r w:rsidRPr="009C1EA1">
        <w:t xml:space="preserve"> J., Přidalová</w:t>
      </w:r>
      <w:r>
        <w:t>,</w:t>
      </w:r>
      <w:r w:rsidRPr="009C1EA1">
        <w:t xml:space="preserve"> M., Riegerová</w:t>
      </w:r>
      <w:r>
        <w:t>,</w:t>
      </w:r>
      <w:r w:rsidRPr="009C1EA1">
        <w:t xml:space="preserve"> J., Dostálová</w:t>
      </w:r>
      <w:r>
        <w:t>,</w:t>
      </w:r>
      <w:r w:rsidRPr="009C1EA1">
        <w:t xml:space="preserve"> I.,</w:t>
      </w:r>
      <w:r>
        <w:t xml:space="preserve"> </w:t>
      </w:r>
      <w:r w:rsidRPr="009C1EA1">
        <w:t>&amp; Engelová</w:t>
      </w:r>
      <w:r>
        <w:t>,</w:t>
      </w:r>
      <w:r w:rsidRPr="009C1EA1">
        <w:t xml:space="preserve"> L. (2009). The evaluation of body composition in relation to physical activity in 56–73 y. old women: A Pilot study. </w:t>
      </w:r>
      <w:r w:rsidRPr="009C1EA1">
        <w:rPr>
          <w:i/>
        </w:rPr>
        <w:t>Acta Universitatis Palackianae Olomucensis gymnica</w:t>
      </w:r>
      <w:r w:rsidR="005705F7">
        <w:t xml:space="preserve">, </w:t>
      </w:r>
      <w:r w:rsidR="005705F7" w:rsidRPr="005705F7">
        <w:rPr>
          <w:i/>
        </w:rPr>
        <w:t>39(3),</w:t>
      </w:r>
      <w:r w:rsidR="005705F7">
        <w:t xml:space="preserve"> </w:t>
      </w:r>
      <w:r w:rsidRPr="009C1EA1">
        <w:t>21–30.</w:t>
      </w:r>
    </w:p>
    <w:p w:rsidR="00F16110" w:rsidRDefault="00184D98" w:rsidP="00F16110">
      <w:pPr>
        <w:ind w:left="284" w:hanging="284"/>
        <w:jc w:val="both"/>
      </w:pPr>
      <w:r>
        <w:t xml:space="preserve"> </w:t>
      </w:r>
      <w:r w:rsidR="00F16110">
        <w:t xml:space="preserve">Gába, A., Riegerová, J., &amp; Přidalová, M. (2009). Hodnocení tělesného složení u seniorek, studentek U3V pomocí InBody 720. </w:t>
      </w:r>
      <w:r w:rsidR="00F16110">
        <w:rPr>
          <w:i/>
        </w:rPr>
        <w:t>Česká antropologie</w:t>
      </w:r>
      <w:r w:rsidR="005705F7">
        <w:rPr>
          <w:i/>
        </w:rPr>
        <w:t xml:space="preserve">, </w:t>
      </w:r>
      <w:r w:rsidR="00F16110" w:rsidRPr="005705F7">
        <w:rPr>
          <w:i/>
        </w:rPr>
        <w:t>59</w:t>
      </w:r>
      <w:r w:rsidR="005705F7" w:rsidRPr="005705F7">
        <w:rPr>
          <w:i/>
        </w:rPr>
        <w:t>,</w:t>
      </w:r>
      <w:r w:rsidR="005705F7">
        <w:t xml:space="preserve"> </w:t>
      </w:r>
      <w:r w:rsidR="00F16110">
        <w:t>1</w:t>
      </w:r>
      <w:r w:rsidR="00DE1E00" w:rsidRPr="009C1EA1">
        <w:t>–</w:t>
      </w:r>
      <w:r w:rsidR="00F16110">
        <w:t>2.</w:t>
      </w:r>
    </w:p>
    <w:p w:rsidR="001412A7" w:rsidRDefault="008A2DE9" w:rsidP="001412A7">
      <w:pPr>
        <w:ind w:left="284" w:hanging="284"/>
        <w:jc w:val="both"/>
      </w:pPr>
      <w:r>
        <w:t xml:space="preserve">Gibson, A. L., </w:t>
      </w:r>
      <w:r w:rsidR="00576FBB" w:rsidRPr="00576FBB">
        <w:rPr>
          <w:iCs/>
        </w:rPr>
        <w:t xml:space="preserve">Holmes, </w:t>
      </w:r>
      <w:r w:rsidR="00576FBB">
        <w:rPr>
          <w:iCs/>
        </w:rPr>
        <w:t xml:space="preserve">J. C., </w:t>
      </w:r>
      <w:r w:rsidR="00576FBB" w:rsidRPr="00576FBB">
        <w:rPr>
          <w:iCs/>
        </w:rPr>
        <w:t>Desautels,</w:t>
      </w:r>
      <w:r w:rsidR="00576FBB">
        <w:rPr>
          <w:iCs/>
        </w:rPr>
        <w:t xml:space="preserve"> R. L., </w:t>
      </w:r>
      <w:r w:rsidR="00576FBB" w:rsidRPr="00576FBB">
        <w:rPr>
          <w:iCs/>
        </w:rPr>
        <w:t>Edmonds,</w:t>
      </w:r>
      <w:r w:rsidR="00576FBB">
        <w:rPr>
          <w:iCs/>
        </w:rPr>
        <w:t xml:space="preserve"> L. B., &amp; </w:t>
      </w:r>
      <w:r w:rsidR="00576FBB" w:rsidRPr="00576FBB">
        <w:rPr>
          <w:iCs/>
        </w:rPr>
        <w:t>Nuudi</w:t>
      </w:r>
      <w:r w:rsidR="00576FBB">
        <w:rPr>
          <w:iCs/>
        </w:rPr>
        <w:t>, L.</w:t>
      </w:r>
      <w:r w:rsidR="00576FBB" w:rsidRPr="00576FBB">
        <w:t xml:space="preserve"> </w:t>
      </w:r>
      <w:r w:rsidRPr="00576FBB">
        <w:t>(2008). Abi</w:t>
      </w:r>
      <w:r w:rsidRPr="001F5F2A">
        <w:t>lity of new octapolar bioimpedance spectroscopy analyzers to predict 4-component–model percentage body fat in Hispanic, black, and white adults</w:t>
      </w:r>
      <w:r w:rsidR="00DE1E00">
        <w:t xml:space="preserve"> </w:t>
      </w:r>
      <w:r w:rsidRPr="001F5F2A">
        <w:t>1–3</w:t>
      </w:r>
      <w:r>
        <w:t xml:space="preserve">. </w:t>
      </w:r>
      <w:r w:rsidRPr="001F5F2A">
        <w:rPr>
          <w:i/>
          <w:iCs/>
        </w:rPr>
        <w:t>Am</w:t>
      </w:r>
      <w:r w:rsidR="00390CC7">
        <w:rPr>
          <w:i/>
          <w:iCs/>
        </w:rPr>
        <w:t>erican</w:t>
      </w:r>
      <w:r w:rsidRPr="001F5F2A">
        <w:rPr>
          <w:i/>
          <w:iCs/>
        </w:rPr>
        <w:t xml:space="preserve"> J</w:t>
      </w:r>
      <w:r w:rsidR="00390CC7">
        <w:rPr>
          <w:i/>
          <w:iCs/>
        </w:rPr>
        <w:t>ournal</w:t>
      </w:r>
      <w:r w:rsidRPr="001F5F2A">
        <w:rPr>
          <w:i/>
          <w:iCs/>
        </w:rPr>
        <w:t xml:space="preserve"> </w:t>
      </w:r>
      <w:r w:rsidR="00390CC7">
        <w:rPr>
          <w:i/>
          <w:iCs/>
        </w:rPr>
        <w:t xml:space="preserve">of </w:t>
      </w:r>
      <w:r w:rsidRPr="001F5F2A">
        <w:rPr>
          <w:i/>
          <w:iCs/>
        </w:rPr>
        <w:t>Clin</w:t>
      </w:r>
      <w:r w:rsidR="00390CC7">
        <w:rPr>
          <w:i/>
          <w:iCs/>
        </w:rPr>
        <w:t>ical</w:t>
      </w:r>
      <w:r w:rsidRPr="001F5F2A">
        <w:rPr>
          <w:i/>
          <w:iCs/>
        </w:rPr>
        <w:t xml:space="preserve"> Nutr</w:t>
      </w:r>
      <w:r w:rsidR="00390CC7">
        <w:rPr>
          <w:i/>
          <w:iCs/>
        </w:rPr>
        <w:t>ition</w:t>
      </w:r>
      <w:r w:rsidRPr="00DE1E00">
        <w:rPr>
          <w:i/>
          <w:iCs/>
        </w:rPr>
        <w:t xml:space="preserve">. </w:t>
      </w:r>
      <w:r w:rsidRPr="00DE1E00">
        <w:rPr>
          <w:i/>
        </w:rPr>
        <w:t>87</w:t>
      </w:r>
      <w:r w:rsidR="00DE1E00">
        <w:t xml:space="preserve">, </w:t>
      </w:r>
      <w:r w:rsidRPr="001F5F2A">
        <w:t xml:space="preserve">332– </w:t>
      </w:r>
      <w:r w:rsidR="00DE1E00">
        <w:t>33</w:t>
      </w:r>
      <w:r w:rsidRPr="001F5F2A">
        <w:t>8</w:t>
      </w:r>
      <w:r>
        <w:t>.</w:t>
      </w:r>
    </w:p>
    <w:p w:rsidR="001412A7" w:rsidRDefault="009535E1" w:rsidP="001412A7">
      <w:pPr>
        <w:ind w:left="284" w:hanging="284"/>
        <w:jc w:val="both"/>
      </w:pPr>
      <w:r>
        <w:t xml:space="preserve">Hainer, </w:t>
      </w:r>
      <w:r w:rsidR="00184D98">
        <w:t xml:space="preserve">V., a kol. (2011). Základy klinické obezitologie. </w:t>
      </w:r>
      <w:r w:rsidR="00184D98" w:rsidRPr="009C1EA1">
        <w:t>Praha: Grada Publishing, a.s.</w:t>
      </w:r>
      <w:r w:rsidR="001412A7">
        <w:t xml:space="preserve"> </w:t>
      </w:r>
    </w:p>
    <w:p w:rsidR="001412A7" w:rsidRPr="007D3D04" w:rsidRDefault="001412A7" w:rsidP="001412A7">
      <w:pPr>
        <w:ind w:left="284" w:hanging="284"/>
        <w:jc w:val="both"/>
      </w:pPr>
      <w:r>
        <w:t>Haluz</w:t>
      </w:r>
      <w:r w:rsidRPr="00631C22">
        <w:t>íková</w:t>
      </w:r>
      <w:r>
        <w:t xml:space="preserve">, D., </w:t>
      </w:r>
      <w:r w:rsidR="00576FBB">
        <w:t>Kaválková, P., Větrovská, R., Boudová, L., Vilikus, Z., Papežová, H., Matoulek, M., Zikán, V., &amp; Haluzík M.</w:t>
      </w:r>
      <w:r w:rsidR="00576FBB" w:rsidRPr="00631C22">
        <w:t xml:space="preserve"> </w:t>
      </w:r>
      <w:r w:rsidRPr="00631C22">
        <w:t>(2010)</w:t>
      </w:r>
      <w:r>
        <w:t xml:space="preserve">. </w:t>
      </w:r>
      <w:r w:rsidRPr="0035788F">
        <w:t xml:space="preserve">Srovnání stanovení obsahu tuku v organizmu pomocí tetrapolárního bioimpedančního analyzátoru a celotělové duální rentgenové absorpciometrie u pacientek s obezitou, mentální anorexií a normální </w:t>
      </w:r>
      <w:r w:rsidRPr="007D3D04">
        <w:t>tělesnou hmotností.</w:t>
      </w:r>
      <w:r w:rsidRPr="007D3D04">
        <w:rPr>
          <w:i/>
        </w:rPr>
        <w:t xml:space="preserve"> </w:t>
      </w:r>
      <w:r w:rsidRPr="007D3D04">
        <w:t xml:space="preserve"> </w:t>
      </w:r>
      <w:r w:rsidRPr="007D3D04">
        <w:rPr>
          <w:i/>
        </w:rPr>
        <w:t>Medicina Sportiva Bohemica et Slovaca</w:t>
      </w:r>
      <w:r w:rsidR="00DE1E00" w:rsidRPr="007D3D04">
        <w:t xml:space="preserve">, </w:t>
      </w:r>
      <w:r w:rsidRPr="007D3D04">
        <w:rPr>
          <w:i/>
        </w:rPr>
        <w:t>18(2).</w:t>
      </w:r>
    </w:p>
    <w:p w:rsidR="00655401" w:rsidRDefault="00655401" w:rsidP="001412A7">
      <w:pPr>
        <w:ind w:left="284" w:hanging="284"/>
        <w:jc w:val="both"/>
      </w:pPr>
      <w:r w:rsidRPr="007D3D04">
        <w:t xml:space="preserve">He, Q., </w:t>
      </w:r>
      <w:hyperlink r:id="rId20" w:history="1">
        <w:r w:rsidR="007D3D04" w:rsidRPr="007D3D04">
          <w:rPr>
            <w:rStyle w:val="Hypertextovodkaz"/>
            <w:color w:val="auto"/>
            <w:u w:val="none"/>
          </w:rPr>
          <w:t>Heo</w:t>
        </w:r>
        <w:r w:rsidR="007D3D04">
          <w:rPr>
            <w:rStyle w:val="Hypertextovodkaz"/>
            <w:color w:val="auto"/>
            <w:u w:val="none"/>
          </w:rPr>
          <w:t>,</w:t>
        </w:r>
        <w:r w:rsidR="007D3D04" w:rsidRPr="007D3D04">
          <w:rPr>
            <w:rStyle w:val="Hypertextovodkaz"/>
            <w:color w:val="auto"/>
            <w:u w:val="none"/>
          </w:rPr>
          <w:t xml:space="preserve"> M</w:t>
        </w:r>
      </w:hyperlink>
      <w:r w:rsidR="007D3D04">
        <w:t>.</w:t>
      </w:r>
      <w:r w:rsidR="007D3D04" w:rsidRPr="007D3D04">
        <w:t xml:space="preserve">, </w:t>
      </w:r>
      <w:hyperlink r:id="rId21" w:history="1">
        <w:r w:rsidR="007D3D04" w:rsidRPr="007D3D04">
          <w:rPr>
            <w:rStyle w:val="Hypertextovodkaz"/>
            <w:color w:val="auto"/>
            <w:u w:val="none"/>
          </w:rPr>
          <w:t>Heshka</w:t>
        </w:r>
        <w:r w:rsidR="007D3D04">
          <w:rPr>
            <w:rStyle w:val="Hypertextovodkaz"/>
            <w:color w:val="auto"/>
            <w:u w:val="none"/>
          </w:rPr>
          <w:t>,</w:t>
        </w:r>
        <w:r w:rsidR="007D3D04" w:rsidRPr="007D3D04">
          <w:rPr>
            <w:rStyle w:val="Hypertextovodkaz"/>
            <w:color w:val="auto"/>
            <w:u w:val="none"/>
          </w:rPr>
          <w:t xml:space="preserve"> S</w:t>
        </w:r>
      </w:hyperlink>
      <w:r w:rsidR="007D3D04">
        <w:t>.</w:t>
      </w:r>
      <w:r w:rsidR="007D3D04" w:rsidRPr="007D3D04">
        <w:t xml:space="preserve">, </w:t>
      </w:r>
      <w:hyperlink r:id="rId22" w:history="1">
        <w:r w:rsidR="007D3D04" w:rsidRPr="007D3D04">
          <w:rPr>
            <w:rStyle w:val="Hypertextovodkaz"/>
            <w:color w:val="auto"/>
            <w:u w:val="none"/>
          </w:rPr>
          <w:t>Wang</w:t>
        </w:r>
        <w:r w:rsidR="007D3D04">
          <w:rPr>
            <w:rStyle w:val="Hypertextovodkaz"/>
            <w:color w:val="auto"/>
            <w:u w:val="none"/>
          </w:rPr>
          <w:t>,</w:t>
        </w:r>
        <w:r w:rsidR="007D3D04" w:rsidRPr="007D3D04">
          <w:rPr>
            <w:rStyle w:val="Hypertextovodkaz"/>
            <w:color w:val="auto"/>
            <w:u w:val="none"/>
          </w:rPr>
          <w:t xml:space="preserve"> J</w:t>
        </w:r>
      </w:hyperlink>
      <w:r w:rsidR="007D3D04">
        <w:t>.</w:t>
      </w:r>
      <w:r w:rsidR="007D3D04" w:rsidRPr="007D3D04">
        <w:t xml:space="preserve">, </w:t>
      </w:r>
      <w:hyperlink r:id="rId23" w:history="1">
        <w:r w:rsidR="007D3D04" w:rsidRPr="007D3D04">
          <w:rPr>
            <w:rStyle w:val="Hypertextovodkaz"/>
            <w:color w:val="auto"/>
            <w:u w:val="none"/>
          </w:rPr>
          <w:t>Pierson</w:t>
        </w:r>
        <w:r w:rsidR="007D3D04">
          <w:rPr>
            <w:rStyle w:val="Hypertextovodkaz"/>
            <w:color w:val="auto"/>
            <w:u w:val="none"/>
          </w:rPr>
          <w:t>,</w:t>
        </w:r>
        <w:r w:rsidR="007D3D04" w:rsidRPr="007D3D04">
          <w:rPr>
            <w:rStyle w:val="Hypertextovodkaz"/>
            <w:color w:val="auto"/>
            <w:u w:val="none"/>
          </w:rPr>
          <w:t xml:space="preserve"> R</w:t>
        </w:r>
        <w:r w:rsidR="007D3D04">
          <w:rPr>
            <w:rStyle w:val="Hypertextovodkaz"/>
            <w:color w:val="auto"/>
            <w:u w:val="none"/>
          </w:rPr>
          <w:t xml:space="preserve">. </w:t>
        </w:r>
        <w:r w:rsidR="007D3D04" w:rsidRPr="007D3D04">
          <w:rPr>
            <w:rStyle w:val="Hypertextovodkaz"/>
            <w:color w:val="auto"/>
            <w:u w:val="none"/>
          </w:rPr>
          <w:t>N</w:t>
        </w:r>
        <w:r w:rsidR="007D3D04">
          <w:rPr>
            <w:rStyle w:val="Hypertextovodkaz"/>
            <w:color w:val="auto"/>
            <w:u w:val="none"/>
          </w:rPr>
          <w:t>.,</w:t>
        </w:r>
      </w:hyperlink>
      <w:r w:rsidR="007D3D04" w:rsidRPr="007D3D04">
        <w:t xml:space="preserve"> </w:t>
      </w:r>
      <w:hyperlink r:id="rId24" w:history="1">
        <w:r w:rsidR="007D3D04" w:rsidRPr="007D3D04">
          <w:rPr>
            <w:rStyle w:val="Hypertextovodkaz"/>
            <w:color w:val="auto"/>
            <w:u w:val="none"/>
          </w:rPr>
          <w:t>Albu</w:t>
        </w:r>
        <w:r w:rsidR="007D3D04">
          <w:rPr>
            <w:rStyle w:val="Hypertextovodkaz"/>
            <w:color w:val="auto"/>
            <w:u w:val="none"/>
          </w:rPr>
          <w:t>,</w:t>
        </w:r>
        <w:r w:rsidR="007D3D04" w:rsidRPr="007D3D04">
          <w:rPr>
            <w:rStyle w:val="Hypertextovodkaz"/>
            <w:color w:val="auto"/>
            <w:u w:val="none"/>
          </w:rPr>
          <w:t xml:space="preserve"> J</w:t>
        </w:r>
      </w:hyperlink>
      <w:r w:rsidR="007D3D04">
        <w:t>.</w:t>
      </w:r>
      <w:r w:rsidR="007D3D04" w:rsidRPr="007D3D04">
        <w:t xml:space="preserve">, </w:t>
      </w:r>
      <w:hyperlink r:id="rId25" w:history="1">
        <w:r w:rsidR="007D3D04" w:rsidRPr="007D3D04">
          <w:rPr>
            <w:rStyle w:val="Hypertextovodkaz"/>
            <w:color w:val="auto"/>
            <w:u w:val="none"/>
          </w:rPr>
          <w:t>Wang</w:t>
        </w:r>
        <w:r w:rsidR="007D3D04">
          <w:rPr>
            <w:rStyle w:val="Hypertextovodkaz"/>
            <w:color w:val="auto"/>
            <w:u w:val="none"/>
          </w:rPr>
          <w:t>,</w:t>
        </w:r>
        <w:r w:rsidR="007D3D04" w:rsidRPr="007D3D04">
          <w:rPr>
            <w:rStyle w:val="Hypertextovodkaz"/>
            <w:color w:val="auto"/>
            <w:u w:val="none"/>
          </w:rPr>
          <w:t xml:space="preserve"> Z</w:t>
        </w:r>
      </w:hyperlink>
      <w:r w:rsidR="007D3D04">
        <w:t>.</w:t>
      </w:r>
      <w:r w:rsidR="007D3D04" w:rsidRPr="007D3D04">
        <w:t xml:space="preserve">, </w:t>
      </w:r>
      <w:hyperlink r:id="rId26" w:history="1">
        <w:r w:rsidR="007D3D04" w:rsidRPr="007D3D04">
          <w:rPr>
            <w:rStyle w:val="Hypertextovodkaz"/>
            <w:color w:val="auto"/>
            <w:u w:val="none"/>
          </w:rPr>
          <w:t>Heymsfield</w:t>
        </w:r>
        <w:r w:rsidR="007D3D04">
          <w:rPr>
            <w:rStyle w:val="Hypertextovodkaz"/>
            <w:color w:val="auto"/>
            <w:u w:val="none"/>
          </w:rPr>
          <w:t>,</w:t>
        </w:r>
        <w:r w:rsidR="007D3D04" w:rsidRPr="007D3D04">
          <w:rPr>
            <w:rStyle w:val="Hypertextovodkaz"/>
            <w:color w:val="auto"/>
            <w:u w:val="none"/>
          </w:rPr>
          <w:t xml:space="preserve"> S</w:t>
        </w:r>
        <w:r w:rsidR="007D3D04">
          <w:rPr>
            <w:rStyle w:val="Hypertextovodkaz"/>
            <w:color w:val="auto"/>
            <w:u w:val="none"/>
          </w:rPr>
          <w:t xml:space="preserve">. </w:t>
        </w:r>
        <w:r w:rsidR="007D3D04" w:rsidRPr="007D3D04">
          <w:rPr>
            <w:rStyle w:val="Hypertextovodkaz"/>
            <w:color w:val="auto"/>
            <w:u w:val="none"/>
          </w:rPr>
          <w:t>B</w:t>
        </w:r>
      </w:hyperlink>
      <w:r w:rsidR="007D3D04">
        <w:t>.</w:t>
      </w:r>
      <w:r w:rsidR="007D3D04" w:rsidRPr="007D3D04">
        <w:t xml:space="preserve">, </w:t>
      </w:r>
      <w:r w:rsidR="007D3D04">
        <w:t xml:space="preserve">&amp; </w:t>
      </w:r>
      <w:hyperlink r:id="rId27" w:history="1">
        <w:r w:rsidR="007D3D04" w:rsidRPr="007D3D04">
          <w:rPr>
            <w:rStyle w:val="Hypertextovodkaz"/>
            <w:color w:val="auto"/>
            <w:u w:val="none"/>
          </w:rPr>
          <w:t>Gallagher</w:t>
        </w:r>
        <w:r w:rsidR="007D3D04">
          <w:rPr>
            <w:rStyle w:val="Hypertextovodkaz"/>
            <w:color w:val="auto"/>
            <w:u w:val="none"/>
          </w:rPr>
          <w:t>,</w:t>
        </w:r>
        <w:r w:rsidR="007D3D04" w:rsidRPr="007D3D04">
          <w:rPr>
            <w:rStyle w:val="Hypertextovodkaz"/>
            <w:color w:val="auto"/>
            <w:u w:val="none"/>
          </w:rPr>
          <w:t xml:space="preserve"> D</w:t>
        </w:r>
      </w:hyperlink>
      <w:r w:rsidR="007D3D04" w:rsidRPr="007D3D04">
        <w:t>.</w:t>
      </w:r>
      <w:r w:rsidR="007D3D04">
        <w:t xml:space="preserve"> </w:t>
      </w:r>
      <w:r>
        <w:t xml:space="preserve">(2003). Total body potassium differs by sex and race across the adult age span. </w:t>
      </w:r>
      <w:r w:rsidRPr="003A212D">
        <w:rPr>
          <w:i/>
        </w:rPr>
        <w:t>Clinical Nutrition</w:t>
      </w:r>
      <w:r w:rsidR="00DE1E00">
        <w:t xml:space="preserve">, </w:t>
      </w:r>
      <w:r w:rsidR="003A212D" w:rsidRPr="00DE1E00">
        <w:rPr>
          <w:i/>
        </w:rPr>
        <w:t>78</w:t>
      </w:r>
      <w:r w:rsidR="00DE1E00">
        <w:t xml:space="preserve">, </w:t>
      </w:r>
      <w:r w:rsidR="003A212D">
        <w:t>72-77.</w:t>
      </w:r>
    </w:p>
    <w:p w:rsidR="00B92FC4" w:rsidRDefault="00000F57" w:rsidP="008B49E6">
      <w:pPr>
        <w:ind w:left="284" w:hanging="284"/>
        <w:jc w:val="both"/>
        <w:rPr>
          <w:lang w:eastAsia="cs-CZ"/>
        </w:rPr>
      </w:pPr>
      <w:r>
        <w:t xml:space="preserve">Hert, </w:t>
      </w:r>
      <w:r w:rsidR="00FD5832">
        <w:t>M.</w:t>
      </w:r>
      <w:r w:rsidR="00FD5832" w:rsidRPr="00FD5832">
        <w:t xml:space="preserve">, </w:t>
      </w:r>
      <w:hyperlink r:id="rId28" w:history="1">
        <w:r w:rsidR="00FD5832" w:rsidRPr="00FD5832">
          <w:rPr>
            <w:rStyle w:val="Hypertextovodkaz"/>
            <w:color w:val="auto"/>
            <w:u w:val="none"/>
          </w:rPr>
          <w:t>Dekker</w:t>
        </w:r>
        <w:r w:rsidR="00FD5832">
          <w:rPr>
            <w:rStyle w:val="Hypertextovodkaz"/>
            <w:color w:val="auto"/>
            <w:u w:val="none"/>
          </w:rPr>
          <w:t>,</w:t>
        </w:r>
        <w:r w:rsidR="00FD5832" w:rsidRPr="00FD5832">
          <w:rPr>
            <w:rStyle w:val="Hypertextovodkaz"/>
            <w:color w:val="auto"/>
            <w:u w:val="none"/>
          </w:rPr>
          <w:t xml:space="preserve"> J</w:t>
        </w:r>
        <w:r w:rsidR="00FD5832">
          <w:rPr>
            <w:rStyle w:val="Hypertextovodkaz"/>
            <w:color w:val="auto"/>
            <w:u w:val="none"/>
          </w:rPr>
          <w:t xml:space="preserve">. </w:t>
        </w:r>
        <w:r w:rsidR="00FD5832" w:rsidRPr="00FD5832">
          <w:rPr>
            <w:rStyle w:val="Hypertextovodkaz"/>
            <w:color w:val="auto"/>
            <w:u w:val="none"/>
          </w:rPr>
          <w:t>M</w:t>
        </w:r>
      </w:hyperlink>
      <w:r w:rsidR="00FD5832">
        <w:t>.</w:t>
      </w:r>
      <w:r w:rsidR="00FD5832" w:rsidRPr="00FD5832">
        <w:t xml:space="preserve">, </w:t>
      </w:r>
      <w:hyperlink r:id="rId29" w:history="1">
        <w:r w:rsidR="00FD5832" w:rsidRPr="00FD5832">
          <w:rPr>
            <w:rStyle w:val="Hypertextovodkaz"/>
            <w:color w:val="auto"/>
            <w:u w:val="none"/>
          </w:rPr>
          <w:t>Wood</w:t>
        </w:r>
        <w:r w:rsidR="00FD5832">
          <w:rPr>
            <w:rStyle w:val="Hypertextovodkaz"/>
            <w:color w:val="auto"/>
            <w:u w:val="none"/>
          </w:rPr>
          <w:t>,</w:t>
        </w:r>
        <w:r w:rsidR="00FD5832" w:rsidRPr="00FD5832">
          <w:rPr>
            <w:rStyle w:val="Hypertextovodkaz"/>
            <w:color w:val="auto"/>
            <w:u w:val="none"/>
          </w:rPr>
          <w:t xml:space="preserve"> D</w:t>
        </w:r>
      </w:hyperlink>
      <w:r w:rsidR="00FD5832">
        <w:t>.</w:t>
      </w:r>
      <w:r w:rsidR="00FD5832" w:rsidRPr="00FD5832">
        <w:t xml:space="preserve">, </w:t>
      </w:r>
      <w:hyperlink r:id="rId30" w:history="1">
        <w:r w:rsidR="00FD5832" w:rsidRPr="00FD5832">
          <w:rPr>
            <w:rStyle w:val="Hypertextovodkaz"/>
            <w:color w:val="auto"/>
            <w:u w:val="none"/>
          </w:rPr>
          <w:t>Kahl</w:t>
        </w:r>
        <w:r w:rsidR="00FD5832">
          <w:rPr>
            <w:rStyle w:val="Hypertextovodkaz"/>
            <w:color w:val="auto"/>
            <w:u w:val="none"/>
          </w:rPr>
          <w:t xml:space="preserve">, </w:t>
        </w:r>
        <w:r w:rsidR="00FD5832" w:rsidRPr="00FD5832">
          <w:rPr>
            <w:rStyle w:val="Hypertextovodkaz"/>
            <w:color w:val="auto"/>
            <w:u w:val="none"/>
          </w:rPr>
          <w:t>K</w:t>
        </w:r>
        <w:r w:rsidR="00FD5832">
          <w:rPr>
            <w:rStyle w:val="Hypertextovodkaz"/>
            <w:color w:val="auto"/>
            <w:u w:val="none"/>
          </w:rPr>
          <w:t xml:space="preserve">. </w:t>
        </w:r>
        <w:r w:rsidR="00FD5832" w:rsidRPr="00FD5832">
          <w:rPr>
            <w:rStyle w:val="Hypertextovodkaz"/>
            <w:color w:val="auto"/>
            <w:u w:val="none"/>
          </w:rPr>
          <w:t>G</w:t>
        </w:r>
      </w:hyperlink>
      <w:r w:rsidR="00FD5832">
        <w:t>.</w:t>
      </w:r>
      <w:r w:rsidR="00FD5832" w:rsidRPr="00FD5832">
        <w:t xml:space="preserve">, </w:t>
      </w:r>
      <w:hyperlink r:id="rId31" w:history="1">
        <w:r w:rsidR="00FD5832" w:rsidRPr="00FD5832">
          <w:rPr>
            <w:rStyle w:val="Hypertextovodkaz"/>
            <w:color w:val="auto"/>
            <w:u w:val="none"/>
          </w:rPr>
          <w:t>Holt</w:t>
        </w:r>
        <w:r w:rsidR="00FD5832">
          <w:rPr>
            <w:rStyle w:val="Hypertextovodkaz"/>
            <w:color w:val="auto"/>
            <w:u w:val="none"/>
          </w:rPr>
          <w:t>,</w:t>
        </w:r>
        <w:r w:rsidR="00FD5832" w:rsidRPr="00FD5832">
          <w:rPr>
            <w:rStyle w:val="Hypertextovodkaz"/>
            <w:color w:val="auto"/>
            <w:u w:val="none"/>
          </w:rPr>
          <w:t xml:space="preserve"> R</w:t>
        </w:r>
        <w:r w:rsidR="00FD5832">
          <w:rPr>
            <w:rStyle w:val="Hypertextovodkaz"/>
            <w:color w:val="auto"/>
            <w:u w:val="none"/>
          </w:rPr>
          <w:t xml:space="preserve">. </w:t>
        </w:r>
        <w:r w:rsidR="00FD5832" w:rsidRPr="00FD5832">
          <w:rPr>
            <w:rStyle w:val="Hypertextovodkaz"/>
            <w:color w:val="auto"/>
            <w:u w:val="none"/>
          </w:rPr>
          <w:t>I</w:t>
        </w:r>
      </w:hyperlink>
      <w:r w:rsidR="00FD5832">
        <w:t>.</w:t>
      </w:r>
      <w:r w:rsidR="00FD5832" w:rsidRPr="00FD5832">
        <w:t xml:space="preserve">, </w:t>
      </w:r>
      <w:r w:rsidR="00FD5832">
        <w:t xml:space="preserve">&amp; </w:t>
      </w:r>
      <w:hyperlink r:id="rId32" w:history="1">
        <w:r w:rsidR="00FD5832" w:rsidRPr="00FD5832">
          <w:rPr>
            <w:rStyle w:val="Hypertextovodkaz"/>
            <w:color w:val="auto"/>
            <w:u w:val="none"/>
          </w:rPr>
          <w:t>Möller</w:t>
        </w:r>
        <w:r w:rsidR="00FD5832">
          <w:rPr>
            <w:rStyle w:val="Hypertextovodkaz"/>
            <w:color w:val="auto"/>
            <w:u w:val="none"/>
          </w:rPr>
          <w:t>,</w:t>
        </w:r>
        <w:r w:rsidR="00FD5832" w:rsidRPr="00FD5832">
          <w:rPr>
            <w:rStyle w:val="Hypertextovodkaz"/>
            <w:color w:val="auto"/>
            <w:u w:val="none"/>
          </w:rPr>
          <w:t xml:space="preserve"> H</w:t>
        </w:r>
        <w:r w:rsidR="00FD5832">
          <w:rPr>
            <w:rStyle w:val="Hypertextovodkaz"/>
            <w:color w:val="auto"/>
            <w:u w:val="none"/>
          </w:rPr>
          <w:t xml:space="preserve">. </w:t>
        </w:r>
        <w:r w:rsidR="00FD5832" w:rsidRPr="00FD5832">
          <w:rPr>
            <w:rStyle w:val="Hypertextovodkaz"/>
            <w:color w:val="auto"/>
            <w:u w:val="none"/>
          </w:rPr>
          <w:t>J</w:t>
        </w:r>
      </w:hyperlink>
      <w:r w:rsidR="00FD5832" w:rsidRPr="00FD5832">
        <w:t xml:space="preserve">. </w:t>
      </w:r>
      <w:r w:rsidRPr="00FD5832">
        <w:t>(</w:t>
      </w:r>
      <w:r>
        <w:t>2009</w:t>
      </w:r>
      <w:r w:rsidRPr="00000F57">
        <w:t xml:space="preserve">). </w:t>
      </w:r>
      <w:r w:rsidRPr="00000F57">
        <w:rPr>
          <w:lang w:eastAsia="cs-CZ"/>
        </w:rPr>
        <w:t xml:space="preserve">Cardiovascular disease and diabetes in people with severe mental illness position statement from the European Psychiatric Association (EPA), supported by the European Association for the Study of Diabetes (EASD) and the European Society of Cardiology (ESC). </w:t>
      </w:r>
      <w:r w:rsidRPr="00000F57">
        <w:rPr>
          <w:i/>
          <w:lang w:eastAsia="cs-CZ"/>
        </w:rPr>
        <w:t>EURPSY</w:t>
      </w:r>
      <w:r w:rsidR="00DE1E00">
        <w:rPr>
          <w:i/>
          <w:lang w:eastAsia="cs-CZ"/>
        </w:rPr>
        <w:t>,</w:t>
      </w:r>
      <w:r>
        <w:rPr>
          <w:i/>
          <w:lang w:eastAsia="cs-CZ"/>
        </w:rPr>
        <w:t xml:space="preserve"> </w:t>
      </w:r>
      <w:r w:rsidRPr="00000F57">
        <w:rPr>
          <w:i/>
          <w:lang w:eastAsia="cs-CZ"/>
        </w:rPr>
        <w:t xml:space="preserve"> </w:t>
      </w:r>
      <w:r w:rsidRPr="00DE1E00">
        <w:rPr>
          <w:i/>
          <w:lang w:eastAsia="cs-CZ"/>
        </w:rPr>
        <w:t>2673</w:t>
      </w:r>
      <w:r w:rsidRPr="00000F57">
        <w:rPr>
          <w:lang w:eastAsia="cs-CZ"/>
        </w:rPr>
        <w:t>,</w:t>
      </w:r>
      <w:r w:rsidR="0068658E">
        <w:rPr>
          <w:lang w:eastAsia="cs-CZ"/>
        </w:rPr>
        <w:t xml:space="preserve"> </w:t>
      </w:r>
      <w:r w:rsidRPr="00000F57">
        <w:rPr>
          <w:lang w:eastAsia="cs-CZ"/>
        </w:rPr>
        <w:t>1</w:t>
      </w:r>
      <w:r w:rsidR="00BF51E2" w:rsidRPr="009C1EA1">
        <w:t>–</w:t>
      </w:r>
      <w:r w:rsidRPr="00000F57">
        <w:rPr>
          <w:lang w:eastAsia="cs-CZ"/>
        </w:rPr>
        <w:t>13.</w:t>
      </w:r>
    </w:p>
    <w:p w:rsidR="009A66C6" w:rsidRPr="009A66C6" w:rsidRDefault="009A66C6" w:rsidP="008B49E6">
      <w:pPr>
        <w:autoSpaceDE w:val="0"/>
        <w:autoSpaceDN w:val="0"/>
        <w:adjustRightInd w:val="0"/>
        <w:ind w:left="284" w:hanging="284"/>
      </w:pPr>
      <w:r w:rsidRPr="009A66C6">
        <w:t>Heyward</w:t>
      </w:r>
      <w:r w:rsidR="00FD5832">
        <w:t>,</w:t>
      </w:r>
      <w:r w:rsidRPr="009A66C6">
        <w:t xml:space="preserve"> V</w:t>
      </w:r>
      <w:r w:rsidR="00FD5832">
        <w:t>.</w:t>
      </w:r>
      <w:r w:rsidRPr="009A66C6">
        <w:t xml:space="preserve">, </w:t>
      </w:r>
      <w:r w:rsidR="00FD5832">
        <w:t xml:space="preserve">&amp; </w:t>
      </w:r>
      <w:r w:rsidRPr="009A66C6">
        <w:t>Wagner</w:t>
      </w:r>
      <w:r w:rsidR="00FD5832">
        <w:t>,</w:t>
      </w:r>
      <w:r w:rsidRPr="009A66C6">
        <w:t xml:space="preserve"> D. </w:t>
      </w:r>
      <w:r w:rsidR="008B49E6">
        <w:t xml:space="preserve">(2004). </w:t>
      </w:r>
      <w:r w:rsidRPr="008B49E6">
        <w:rPr>
          <w:i/>
        </w:rPr>
        <w:t>Applied body composition assessment. Champaign</w:t>
      </w:r>
      <w:r w:rsidR="008B49E6">
        <w:t>, IL: Human Kinetics</w:t>
      </w:r>
      <w:r w:rsidRPr="009A66C6">
        <w:t>.</w:t>
      </w:r>
    </w:p>
    <w:p w:rsidR="00B92FC4" w:rsidRPr="00B92FC4" w:rsidRDefault="00B92FC4" w:rsidP="008B49E6">
      <w:pPr>
        <w:ind w:left="284" w:hanging="284"/>
        <w:jc w:val="both"/>
      </w:pPr>
      <w:r w:rsidRPr="00B92FC4">
        <w:t>Janů,</w:t>
      </w:r>
      <w:r>
        <w:t xml:space="preserve"> </w:t>
      </w:r>
      <w:r w:rsidRPr="00B92FC4">
        <w:t xml:space="preserve">L., </w:t>
      </w:r>
      <w:r>
        <w:t>&amp;</w:t>
      </w:r>
      <w:r w:rsidRPr="00B92FC4">
        <w:t xml:space="preserve"> Racková, S. (2006). Význam dlouhodobé léčby schizofrenie. </w:t>
      </w:r>
      <w:r w:rsidRPr="00B92FC4">
        <w:rPr>
          <w:rFonts w:eastAsia="HelveticaNeueCE-Italic"/>
          <w:i/>
          <w:iCs/>
          <w:color w:val="231F20"/>
        </w:rPr>
        <w:t>Remedia</w:t>
      </w:r>
      <w:r w:rsidR="00DE1E00">
        <w:rPr>
          <w:rFonts w:eastAsia="HelveticaNeueCE-Italic"/>
          <w:i/>
          <w:iCs/>
          <w:color w:val="231F20"/>
        </w:rPr>
        <w:t>,</w:t>
      </w:r>
      <w:r w:rsidRPr="00B92FC4">
        <w:rPr>
          <w:rFonts w:eastAsia="HelveticaNeueCE-Italic"/>
          <w:i/>
          <w:iCs/>
          <w:color w:val="231F20"/>
        </w:rPr>
        <w:t xml:space="preserve"> </w:t>
      </w:r>
      <w:r w:rsidR="00DE1E00" w:rsidRPr="00DE1E00">
        <w:rPr>
          <w:rFonts w:eastAsia="HelveticaNeueCE-Italic"/>
          <w:i/>
          <w:iCs/>
          <w:color w:val="231F20"/>
        </w:rPr>
        <w:t>16</w:t>
      </w:r>
      <w:r w:rsidR="00DE1E00">
        <w:rPr>
          <w:rFonts w:eastAsia="HelveticaNeueCE-Italic"/>
          <w:iCs/>
          <w:color w:val="231F20"/>
        </w:rPr>
        <w:t xml:space="preserve">, </w:t>
      </w:r>
      <w:r w:rsidRPr="00B92FC4">
        <w:rPr>
          <w:rFonts w:eastAsia="HelveticaNeueCE-Italic"/>
          <w:iCs/>
          <w:color w:val="231F20"/>
        </w:rPr>
        <w:t xml:space="preserve"> 96–99.</w:t>
      </w:r>
    </w:p>
    <w:p w:rsidR="00956380" w:rsidRPr="00000F57" w:rsidRDefault="00956380" w:rsidP="00000F57">
      <w:pPr>
        <w:ind w:left="284" w:hanging="284"/>
        <w:jc w:val="both"/>
      </w:pPr>
      <w:r>
        <w:rPr>
          <w:lang w:eastAsia="cs-CZ"/>
        </w:rPr>
        <w:t xml:space="preserve">Kleppinger, A., </w:t>
      </w:r>
      <w:r w:rsidR="00FD5832">
        <w:t>Litt, M. D., Kenny, A. M., &amp; Oncken Ch. A.</w:t>
      </w:r>
      <w:r w:rsidR="00FD5832">
        <w:rPr>
          <w:lang w:eastAsia="cs-CZ"/>
        </w:rPr>
        <w:t xml:space="preserve"> </w:t>
      </w:r>
      <w:r>
        <w:rPr>
          <w:lang w:eastAsia="cs-CZ"/>
        </w:rPr>
        <w:t>(2010). E</w:t>
      </w:r>
      <w:r w:rsidRPr="00344F28">
        <w:t>fects of Smoking Cessation on Body Composition in Postmenopausal Women</w:t>
      </w:r>
      <w:r>
        <w:t xml:space="preserve">. </w:t>
      </w:r>
      <w:r w:rsidR="00DE1E00">
        <w:rPr>
          <w:i/>
        </w:rPr>
        <w:t>Journal of women’s health.</w:t>
      </w:r>
      <w:r w:rsidRPr="00956380">
        <w:rPr>
          <w:i/>
        </w:rPr>
        <w:t xml:space="preserve"> </w:t>
      </w:r>
      <w:r w:rsidRPr="00DE1E00">
        <w:rPr>
          <w:i/>
        </w:rPr>
        <w:t>19(9</w:t>
      </w:r>
      <w:r w:rsidR="0068658E" w:rsidRPr="00DE1E00">
        <w:rPr>
          <w:i/>
        </w:rPr>
        <w:t>),</w:t>
      </w:r>
      <w:r w:rsidR="0068658E">
        <w:t xml:space="preserve"> 1651</w:t>
      </w:r>
      <w:r w:rsidR="00DE1E00" w:rsidRPr="009C1EA1">
        <w:t>–</w:t>
      </w:r>
      <w:r w:rsidR="0068658E">
        <w:t>1657.</w:t>
      </w:r>
    </w:p>
    <w:p w:rsidR="00D65B92" w:rsidRDefault="00957E8C" w:rsidP="00D65B92">
      <w:pPr>
        <w:ind w:left="284" w:hanging="284"/>
        <w:jc w:val="both"/>
        <w:rPr>
          <w:bCs/>
        </w:rPr>
      </w:pPr>
      <w:r w:rsidRPr="009535E1">
        <w:rPr>
          <w:bCs/>
        </w:rPr>
        <w:t>Kryl</w:t>
      </w:r>
      <w:r w:rsidR="009535E1">
        <w:rPr>
          <w:bCs/>
        </w:rPr>
        <w:t xml:space="preserve">, M. (2001). </w:t>
      </w:r>
      <w:r w:rsidR="00151FD1" w:rsidRPr="009535E1">
        <w:rPr>
          <w:bCs/>
        </w:rPr>
        <w:t>Deprese v somatické medicíně</w:t>
      </w:r>
      <w:r w:rsidR="009535E1">
        <w:rPr>
          <w:bCs/>
        </w:rPr>
        <w:t xml:space="preserve">. </w:t>
      </w:r>
      <w:r w:rsidR="009535E1" w:rsidRPr="009535E1">
        <w:rPr>
          <w:bCs/>
          <w:i/>
        </w:rPr>
        <w:t>I</w:t>
      </w:r>
      <w:r w:rsidR="00111209" w:rsidRPr="009535E1">
        <w:rPr>
          <w:bCs/>
          <w:i/>
        </w:rPr>
        <w:t>nterní medic</w:t>
      </w:r>
      <w:r w:rsidR="009535E1" w:rsidRPr="009535E1">
        <w:rPr>
          <w:bCs/>
          <w:i/>
        </w:rPr>
        <w:t>í</w:t>
      </w:r>
      <w:r w:rsidR="00111209" w:rsidRPr="009535E1">
        <w:rPr>
          <w:bCs/>
          <w:i/>
        </w:rPr>
        <w:t>na</w:t>
      </w:r>
      <w:r w:rsidR="009535E1">
        <w:rPr>
          <w:bCs/>
        </w:rPr>
        <w:t>.</w:t>
      </w:r>
      <w:r w:rsidR="0068658E">
        <w:rPr>
          <w:bCs/>
        </w:rPr>
        <w:t xml:space="preserve"> 4</w:t>
      </w:r>
      <w:r w:rsidR="00390CC7" w:rsidRPr="009C1EA1">
        <w:t>–</w:t>
      </w:r>
      <w:r w:rsidR="0068658E">
        <w:rPr>
          <w:bCs/>
        </w:rPr>
        <w:t xml:space="preserve">8. </w:t>
      </w:r>
    </w:p>
    <w:p w:rsidR="00D65B92" w:rsidRDefault="00D2085A" w:rsidP="00D65B92">
      <w:pPr>
        <w:ind w:left="284" w:hanging="284"/>
        <w:jc w:val="both"/>
      </w:pPr>
      <w:r w:rsidRPr="00344F28">
        <w:t>Kučerová, H. (2010</w:t>
      </w:r>
      <w:r w:rsidRPr="009535E1">
        <w:t>)</w:t>
      </w:r>
      <w:r w:rsidRPr="009535E1">
        <w:rPr>
          <w:i/>
        </w:rPr>
        <w:t>. Schizofrenie v kazuistikách</w:t>
      </w:r>
      <w:r w:rsidRPr="00344F28">
        <w:t xml:space="preserve">. </w:t>
      </w:r>
      <w:r w:rsidR="009535E1">
        <w:t xml:space="preserve">Praha: </w:t>
      </w:r>
      <w:r w:rsidRPr="00344F28">
        <w:t>Grada</w:t>
      </w:r>
      <w:r w:rsidR="009535E1" w:rsidRPr="009535E1">
        <w:t xml:space="preserve"> </w:t>
      </w:r>
      <w:r w:rsidR="009535E1" w:rsidRPr="009C1EA1">
        <w:t>Publishing, a.s.</w:t>
      </w:r>
    </w:p>
    <w:p w:rsidR="003F02A7" w:rsidRDefault="0068658E" w:rsidP="003F02A7">
      <w:pPr>
        <w:ind w:left="284" w:hanging="284"/>
        <w:jc w:val="both"/>
        <w:rPr>
          <w:iCs/>
          <w:color w:val="231F20"/>
        </w:rPr>
      </w:pPr>
      <w:r>
        <w:t xml:space="preserve">Kyle, U. G., </w:t>
      </w:r>
      <w:r w:rsidR="00192907">
        <w:t xml:space="preserve">Genton, L., Lukaski, H. C., Dupertuis, Y. M., Slosman, D. O., Didier, H., &amp; Pichard C. </w:t>
      </w:r>
      <w:r>
        <w:t xml:space="preserve">(2005). </w:t>
      </w:r>
      <w:r w:rsidRPr="007E0AFE">
        <w:rPr>
          <w:color w:val="231F20"/>
        </w:rPr>
        <w:t>Comparison of fat-free mass and body fat in Swiss and</w:t>
      </w:r>
      <w:r>
        <w:rPr>
          <w:color w:val="231F20"/>
        </w:rPr>
        <w:t xml:space="preserve"> </w:t>
      </w:r>
      <w:r w:rsidRPr="007E0AFE">
        <w:rPr>
          <w:color w:val="231F20"/>
        </w:rPr>
        <w:t>American adults</w:t>
      </w:r>
      <w:r>
        <w:rPr>
          <w:color w:val="231F20"/>
        </w:rPr>
        <w:t xml:space="preserve"> .</w:t>
      </w:r>
      <w:r w:rsidRPr="007E0AFE">
        <w:rPr>
          <w:color w:val="231F20"/>
        </w:rPr>
        <w:t xml:space="preserve"> </w:t>
      </w:r>
      <w:r w:rsidRPr="007E0AFE">
        <w:rPr>
          <w:i/>
          <w:iCs/>
          <w:color w:val="231F20"/>
        </w:rPr>
        <w:t>Department of Clinical Nutrition</w:t>
      </w:r>
      <w:r w:rsidR="00390CC7">
        <w:rPr>
          <w:i/>
          <w:iCs/>
          <w:color w:val="231F20"/>
        </w:rPr>
        <w:t>,</w:t>
      </w:r>
      <w:r w:rsidR="0017637A">
        <w:rPr>
          <w:i/>
          <w:iCs/>
          <w:color w:val="231F20"/>
        </w:rPr>
        <w:t xml:space="preserve"> </w:t>
      </w:r>
      <w:r w:rsidR="0017637A" w:rsidRPr="00390CC7">
        <w:rPr>
          <w:i/>
          <w:iCs/>
          <w:color w:val="231F20"/>
        </w:rPr>
        <w:t>21</w:t>
      </w:r>
      <w:r w:rsidR="0017637A">
        <w:rPr>
          <w:iCs/>
          <w:color w:val="231F20"/>
        </w:rPr>
        <w:t>, 161</w:t>
      </w:r>
      <w:r w:rsidR="00BF51E2" w:rsidRPr="009C1EA1">
        <w:t>–</w:t>
      </w:r>
      <w:r w:rsidR="0017637A">
        <w:rPr>
          <w:iCs/>
          <w:color w:val="231F20"/>
        </w:rPr>
        <w:t>169.</w:t>
      </w:r>
    </w:p>
    <w:p w:rsidR="003F02A7" w:rsidRPr="003F02A7" w:rsidRDefault="003F02A7" w:rsidP="003F02A7">
      <w:pPr>
        <w:ind w:left="284" w:hanging="284"/>
        <w:jc w:val="both"/>
        <w:rPr>
          <w:iCs/>
          <w:color w:val="231F20"/>
        </w:rPr>
      </w:pPr>
      <w:r w:rsidRPr="009C1EA1">
        <w:t xml:space="preserve">Kyle, U. G., Morabia, A., Schulz, Z., Pichard, C. (2004a). Sedentarism affects body fat mass index and fat-free mass index in adults aged 18 to 98 years. </w:t>
      </w:r>
      <w:r w:rsidRPr="009C1EA1">
        <w:rPr>
          <w:i/>
        </w:rPr>
        <w:t>Clinical Nutrition</w:t>
      </w:r>
      <w:r w:rsidR="00390CC7">
        <w:t xml:space="preserve">, </w:t>
      </w:r>
      <w:r w:rsidRPr="00390CC7">
        <w:rPr>
          <w:i/>
        </w:rPr>
        <w:t>20,</w:t>
      </w:r>
      <w:r w:rsidRPr="009C1EA1">
        <w:t xml:space="preserve"> 255–260.</w:t>
      </w:r>
    </w:p>
    <w:p w:rsidR="00B92FC4" w:rsidRDefault="000514C2" w:rsidP="00B92FC4">
      <w:pPr>
        <w:ind w:left="284" w:hanging="284"/>
        <w:jc w:val="both"/>
        <w:rPr>
          <w:rFonts w:eastAsia="Times New Roman"/>
          <w:lang w:val="en-US" w:eastAsia="cs-CZ"/>
        </w:rPr>
      </w:pPr>
      <w:r>
        <w:rPr>
          <w:rFonts w:eastAsia="Times New Roman"/>
          <w:lang w:val="en-US" w:eastAsia="cs-CZ"/>
        </w:rPr>
        <w:t xml:space="preserve">Latáková, K., &amp; Pidrman, </w:t>
      </w:r>
      <w:r w:rsidR="00956380">
        <w:rPr>
          <w:rFonts w:eastAsia="Times New Roman"/>
          <w:lang w:val="en-US" w:eastAsia="cs-CZ"/>
        </w:rPr>
        <w:t xml:space="preserve">V. (2006). Dlouhodobá terapie schizofrenie. </w:t>
      </w:r>
      <w:r w:rsidR="00956380">
        <w:rPr>
          <w:rFonts w:eastAsia="Times New Roman"/>
          <w:i/>
          <w:lang w:val="en-US" w:eastAsia="cs-CZ"/>
        </w:rPr>
        <w:t>Psychiatri</w:t>
      </w:r>
      <w:r w:rsidR="00390CC7">
        <w:rPr>
          <w:rFonts w:eastAsia="Times New Roman"/>
          <w:i/>
          <w:lang w:val="en-US" w:eastAsia="cs-CZ"/>
        </w:rPr>
        <w:t>e pro praxi</w:t>
      </w:r>
      <w:r w:rsidR="00390CC7" w:rsidRPr="00390CC7">
        <w:rPr>
          <w:rFonts w:eastAsia="Times New Roman"/>
          <w:i/>
          <w:lang w:val="en-US" w:eastAsia="cs-CZ"/>
        </w:rPr>
        <w:t>,</w:t>
      </w:r>
      <w:r w:rsidR="00956380" w:rsidRPr="00390CC7">
        <w:rPr>
          <w:rFonts w:eastAsia="Times New Roman"/>
          <w:i/>
          <w:lang w:val="en-US" w:eastAsia="cs-CZ"/>
        </w:rPr>
        <w:t xml:space="preserve"> </w:t>
      </w:r>
      <w:r w:rsidR="00390CC7" w:rsidRPr="00390CC7">
        <w:rPr>
          <w:rFonts w:eastAsia="Times New Roman"/>
          <w:i/>
          <w:lang w:val="en-US" w:eastAsia="cs-CZ"/>
        </w:rPr>
        <w:t>4,</w:t>
      </w:r>
      <w:r w:rsidR="00390CC7">
        <w:rPr>
          <w:rFonts w:eastAsia="Times New Roman"/>
          <w:lang w:val="en-US" w:eastAsia="cs-CZ"/>
        </w:rPr>
        <w:t xml:space="preserve"> 158–</w:t>
      </w:r>
      <w:r w:rsidR="00956380">
        <w:rPr>
          <w:rFonts w:eastAsia="Times New Roman"/>
          <w:lang w:val="en-US" w:eastAsia="cs-CZ"/>
        </w:rPr>
        <w:t>160.</w:t>
      </w:r>
    </w:p>
    <w:p w:rsidR="00B92FC4" w:rsidRPr="00B92FC4" w:rsidRDefault="00B92FC4" w:rsidP="00B92FC4">
      <w:pPr>
        <w:ind w:left="284" w:hanging="284"/>
        <w:jc w:val="both"/>
        <w:rPr>
          <w:rFonts w:eastAsia="Times New Roman"/>
          <w:lang w:val="en-US" w:eastAsia="cs-CZ"/>
        </w:rPr>
      </w:pPr>
      <w:r w:rsidRPr="007511D9">
        <w:t>Lähteenmäki</w:t>
      </w:r>
      <w:r w:rsidR="00973332">
        <w:t>, S., Aalto-Setälä, T., Suokas, J. T., Saarni, S. E., Perälä, J., Saarni,</w:t>
      </w:r>
      <w:r w:rsidR="00973332">
        <w:rPr>
          <w:vertAlign w:val="superscript"/>
        </w:rPr>
        <w:t xml:space="preserve"> </w:t>
      </w:r>
      <w:r w:rsidR="00973332">
        <w:t xml:space="preserve">S. I., Aro, H., Lönnqvist, J., &amp; Suvisaari, J. M. </w:t>
      </w:r>
      <w:r>
        <w:t xml:space="preserve">(2009). </w:t>
      </w:r>
      <w:r w:rsidRPr="007511D9">
        <w:rPr>
          <w:bCs/>
        </w:rPr>
        <w:t>Validation of t</w:t>
      </w:r>
      <w:r>
        <w:rPr>
          <w:bCs/>
        </w:rPr>
        <w:t xml:space="preserve">he Finnish version of the SCOFF </w:t>
      </w:r>
      <w:r w:rsidRPr="007511D9">
        <w:rPr>
          <w:bCs/>
        </w:rPr>
        <w:t>questionnaire</w:t>
      </w:r>
      <w:r>
        <w:rPr>
          <w:bCs/>
        </w:rPr>
        <w:t xml:space="preserve"> </w:t>
      </w:r>
      <w:r w:rsidRPr="007511D9">
        <w:rPr>
          <w:bCs/>
        </w:rPr>
        <w:t xml:space="preserve">among young adults aged 20 to 35 years. </w:t>
      </w:r>
      <w:r w:rsidRPr="007511D9">
        <w:rPr>
          <w:i/>
          <w:iCs/>
        </w:rPr>
        <w:t>BMC Psychiatry</w:t>
      </w:r>
      <w:r w:rsidRPr="00390CC7">
        <w:rPr>
          <w:i/>
        </w:rPr>
        <w:t xml:space="preserve">, </w:t>
      </w:r>
      <w:r w:rsidRPr="00390CC7">
        <w:rPr>
          <w:bCs/>
          <w:i/>
        </w:rPr>
        <w:t>9</w:t>
      </w:r>
      <w:r w:rsidR="00390CC7">
        <w:t xml:space="preserve">, </w:t>
      </w:r>
      <w:r w:rsidRPr="007511D9">
        <w:t>5</w:t>
      </w:r>
      <w:r w:rsidR="00390CC7">
        <w:t>.</w:t>
      </w:r>
    </w:p>
    <w:p w:rsidR="00B92FC4" w:rsidRPr="00F03B04" w:rsidRDefault="00B92FC4" w:rsidP="00B92FC4">
      <w:pPr>
        <w:ind w:left="284" w:hanging="284"/>
        <w:jc w:val="both"/>
        <w:rPr>
          <w:rFonts w:eastAsia="Times New Roman"/>
          <w:lang w:eastAsia="cs-CZ"/>
        </w:rPr>
      </w:pPr>
      <w:r>
        <w:rPr>
          <w:rFonts w:eastAsia="NimbusRomanDOT-Regular"/>
        </w:rPr>
        <w:t xml:space="preserve">Matoulek, M., Svačina, Š., &amp; Lajka, J. (2010). Výskyt obezity a jejích komplikací v České republice. </w:t>
      </w:r>
      <w:r w:rsidRPr="00B92FC4">
        <w:rPr>
          <w:rFonts w:eastAsia="NimbusRomanDOT-Regular"/>
          <w:i/>
        </w:rPr>
        <w:t>Vnitřní lékařství</w:t>
      </w:r>
      <w:r w:rsidR="00390CC7">
        <w:rPr>
          <w:rFonts w:eastAsia="NimbusRomanDOT-Regular"/>
          <w:i/>
        </w:rPr>
        <w:t>,</w:t>
      </w:r>
      <w:r w:rsidR="00390CC7">
        <w:rPr>
          <w:rFonts w:eastAsia="NimbusRomanDOT-Regular"/>
        </w:rPr>
        <w:t xml:space="preserve"> </w:t>
      </w:r>
      <w:r w:rsidR="00390CC7" w:rsidRPr="00390CC7">
        <w:rPr>
          <w:rFonts w:eastAsia="NimbusRomanDOT-Regular"/>
          <w:i/>
        </w:rPr>
        <w:t>56 (10),</w:t>
      </w:r>
      <w:r w:rsidR="00390CC7">
        <w:rPr>
          <w:rFonts w:eastAsia="NimbusRomanDOT-Regular"/>
        </w:rPr>
        <w:t xml:space="preserve"> 1019–</w:t>
      </w:r>
      <w:r>
        <w:rPr>
          <w:rFonts w:eastAsia="NimbusRomanDOT-Regular"/>
        </w:rPr>
        <w:t>1027.</w:t>
      </w:r>
    </w:p>
    <w:p w:rsidR="008B49E6" w:rsidRPr="009A66C6" w:rsidRDefault="008B49E6" w:rsidP="008B49E6">
      <w:pPr>
        <w:autoSpaceDE w:val="0"/>
        <w:autoSpaceDN w:val="0"/>
        <w:adjustRightInd w:val="0"/>
        <w:ind w:left="284" w:hanging="284"/>
        <w:jc w:val="both"/>
      </w:pPr>
      <w:r w:rsidRPr="009A66C6">
        <w:t>Miyatake</w:t>
      </w:r>
      <w:r>
        <w:t>,</w:t>
      </w:r>
      <w:r w:rsidRPr="009A66C6">
        <w:t xml:space="preserve"> N</w:t>
      </w:r>
      <w:r>
        <w:t>.</w:t>
      </w:r>
      <w:r w:rsidRPr="009A66C6">
        <w:t>, Takanami</w:t>
      </w:r>
      <w:r>
        <w:t>,</w:t>
      </w:r>
      <w:r w:rsidRPr="009A66C6">
        <w:t xml:space="preserve"> S</w:t>
      </w:r>
      <w:r>
        <w:t>.</w:t>
      </w:r>
      <w:r w:rsidRPr="009A66C6">
        <w:t>, Kawasaki</w:t>
      </w:r>
      <w:r>
        <w:t>,</w:t>
      </w:r>
      <w:r w:rsidRPr="009A66C6">
        <w:t xml:space="preserve"> Y</w:t>
      </w:r>
      <w:r>
        <w:t>.</w:t>
      </w:r>
      <w:r w:rsidRPr="009A66C6">
        <w:t xml:space="preserve">, </w:t>
      </w:r>
      <w:r>
        <w:t xml:space="preserve">&amp; </w:t>
      </w:r>
      <w:r w:rsidRPr="009A66C6">
        <w:t>Fujii</w:t>
      </w:r>
      <w:r>
        <w:t>,</w:t>
      </w:r>
      <w:r w:rsidRPr="009A66C6">
        <w:t xml:space="preserve"> M. </w:t>
      </w:r>
      <w:r>
        <w:t>(</w:t>
      </w:r>
      <w:r w:rsidRPr="009A66C6">
        <w:t>2004</w:t>
      </w:r>
      <w:r>
        <w:t xml:space="preserve">). </w:t>
      </w:r>
      <w:r w:rsidRPr="009A66C6">
        <w:t>Relationship between visceral fat accumulation and</w:t>
      </w:r>
      <w:r>
        <w:t xml:space="preserve"> </w:t>
      </w:r>
      <w:r w:rsidRPr="009A66C6">
        <w:t xml:space="preserve">physical fitness in Japanese women. </w:t>
      </w:r>
      <w:r w:rsidRPr="008B49E6">
        <w:rPr>
          <w:i/>
        </w:rPr>
        <w:t>Diabetes Res Clin Pract</w:t>
      </w:r>
      <w:r w:rsidRPr="009A66C6">
        <w:t>.</w:t>
      </w:r>
      <w:r w:rsidR="00390CC7">
        <w:t>,</w:t>
      </w:r>
      <w:r>
        <w:t xml:space="preserve"> </w:t>
      </w:r>
      <w:r w:rsidR="00390CC7" w:rsidRPr="00390CC7">
        <w:rPr>
          <w:i/>
        </w:rPr>
        <w:t>64(3),</w:t>
      </w:r>
      <w:r w:rsidRPr="009A66C6">
        <w:t xml:space="preserve"> 173–179.</w:t>
      </w:r>
    </w:p>
    <w:p w:rsidR="001412A7" w:rsidRDefault="003F02A7" w:rsidP="001412A7">
      <w:pPr>
        <w:ind w:left="284" w:hanging="284"/>
        <w:jc w:val="both"/>
      </w:pPr>
      <w:r w:rsidRPr="00065B9F">
        <w:t>Ricciardi,</w:t>
      </w:r>
      <w:r>
        <w:t xml:space="preserve"> R., &amp; </w:t>
      </w:r>
      <w:r w:rsidRPr="00065B9F">
        <w:t>Talbot</w:t>
      </w:r>
      <w:r>
        <w:t>, L. A. (2007</w:t>
      </w:r>
      <w:r w:rsidRPr="00065B9F">
        <w:t>)</w:t>
      </w:r>
      <w:r>
        <w:t>.</w:t>
      </w:r>
      <w:r w:rsidRPr="00065B9F">
        <w:t xml:space="preserve"> Use of bioelectrical impedance analysis in the evaluation,treatment, and prevention of overweight and obesity</w:t>
      </w:r>
      <w:r>
        <w:t xml:space="preserve">. </w:t>
      </w:r>
      <w:r w:rsidRPr="0068658E">
        <w:rPr>
          <w:i/>
        </w:rPr>
        <w:t>Journal of the American Academy of Nurse Practitioners</w:t>
      </w:r>
      <w:r w:rsidR="00390CC7">
        <w:rPr>
          <w:i/>
        </w:rPr>
        <w:t>,</w:t>
      </w:r>
      <w:r w:rsidRPr="00065B9F">
        <w:t xml:space="preserve"> </w:t>
      </w:r>
      <w:r w:rsidRPr="00390CC7">
        <w:rPr>
          <w:i/>
        </w:rPr>
        <w:t>19,</w:t>
      </w:r>
      <w:r>
        <w:t xml:space="preserve"> 236</w:t>
      </w:r>
      <w:r w:rsidR="00390CC7" w:rsidRPr="009C1EA1">
        <w:t>–</w:t>
      </w:r>
      <w:r>
        <w:t>241.</w:t>
      </w:r>
    </w:p>
    <w:p w:rsidR="001412A7" w:rsidRPr="001412A7" w:rsidRDefault="001412A7" w:rsidP="001412A7">
      <w:pPr>
        <w:ind w:left="284" w:hanging="284"/>
        <w:jc w:val="both"/>
      </w:pPr>
      <w:r>
        <w:t xml:space="preserve">Riegerová, J., Kapuš, O., Gába, A., &amp; Ščotka, D. (2010). Rozbor tělesného složení českých mužů ve věku 20 až 80 let (hodnocení tělesné výšky, hmotnosti, BMI, svalové a tukové frakce. </w:t>
      </w:r>
      <w:r>
        <w:rPr>
          <w:i/>
        </w:rPr>
        <w:t>Česká antropologie</w:t>
      </w:r>
      <w:r w:rsidR="00390CC7">
        <w:rPr>
          <w:i/>
        </w:rPr>
        <w:t>,</w:t>
      </w:r>
      <w:r>
        <w:rPr>
          <w:i/>
        </w:rPr>
        <w:t xml:space="preserve"> </w:t>
      </w:r>
      <w:r w:rsidRPr="00390CC7">
        <w:rPr>
          <w:i/>
        </w:rPr>
        <w:t>60/1</w:t>
      </w:r>
      <w:r w:rsidR="00390CC7">
        <w:t>, 20</w:t>
      </w:r>
      <w:r w:rsidR="00390CC7" w:rsidRPr="009C1EA1">
        <w:t>–</w:t>
      </w:r>
      <w:r>
        <w:t>23.</w:t>
      </w:r>
    </w:p>
    <w:p w:rsidR="003F02A7" w:rsidRDefault="003F02A7" w:rsidP="003F02A7">
      <w:pPr>
        <w:ind w:left="284" w:hanging="284"/>
        <w:jc w:val="both"/>
      </w:pPr>
      <w:r w:rsidRPr="009C1EA1">
        <w:t xml:space="preserve">Riegerová, J., Přidalová, M., &amp; Ulbrichová, M. (2006). </w:t>
      </w:r>
      <w:r w:rsidRPr="009C1EA1">
        <w:rPr>
          <w:i/>
        </w:rPr>
        <w:t>Aplikace fyzické antropologie v TV a sportu (příručka funkční antropologie)</w:t>
      </w:r>
      <w:r w:rsidRPr="009C1EA1">
        <w:t>. Olomouc: Hanex.</w:t>
      </w:r>
    </w:p>
    <w:p w:rsidR="007D7F3C" w:rsidRPr="009C1EA1" w:rsidRDefault="007D7F3C" w:rsidP="007D7F3C">
      <w:pPr>
        <w:ind w:left="284" w:hanging="284"/>
        <w:jc w:val="both"/>
      </w:pPr>
      <w:r w:rsidRPr="009C1EA1">
        <w:rPr>
          <w:rStyle w:val="Siln"/>
          <w:b w:val="0"/>
        </w:rPr>
        <w:t xml:space="preserve">Rokyta, R., et al. (2008). </w:t>
      </w:r>
      <w:r w:rsidRPr="009C1EA1">
        <w:rPr>
          <w:rStyle w:val="Siln"/>
          <w:b w:val="0"/>
          <w:i/>
        </w:rPr>
        <w:t>Fyziologie pro bakalářská studia v medicíně, ošetřovatelství, přírodovědných, pedagogických a tělovýchovných oborech</w:t>
      </w:r>
      <w:r w:rsidRPr="009C1EA1">
        <w:rPr>
          <w:rStyle w:val="Siln"/>
          <w:b w:val="0"/>
        </w:rPr>
        <w:t>. Praha: ISV.</w:t>
      </w:r>
    </w:p>
    <w:p w:rsidR="003F02A7" w:rsidRDefault="0068658E" w:rsidP="003F02A7">
      <w:pPr>
        <w:ind w:left="284" w:hanging="284"/>
        <w:jc w:val="both"/>
      </w:pPr>
      <w:r>
        <w:rPr>
          <w:color w:val="231F20"/>
        </w:rPr>
        <w:t xml:space="preserve">Sartorio, A., </w:t>
      </w:r>
      <w:hyperlink r:id="rId33" w:history="1">
        <w:r w:rsidR="000514C2" w:rsidRPr="000514C2">
          <w:rPr>
            <w:rStyle w:val="Hypertextovodkaz"/>
            <w:color w:val="auto"/>
            <w:u w:val="none"/>
          </w:rPr>
          <w:t>Malavolti</w:t>
        </w:r>
        <w:r w:rsidR="000514C2">
          <w:rPr>
            <w:rStyle w:val="Hypertextovodkaz"/>
            <w:color w:val="auto"/>
            <w:u w:val="none"/>
          </w:rPr>
          <w:t>,</w:t>
        </w:r>
        <w:r w:rsidR="000514C2" w:rsidRPr="000514C2">
          <w:rPr>
            <w:rStyle w:val="Hypertextovodkaz"/>
            <w:color w:val="auto"/>
            <w:u w:val="none"/>
          </w:rPr>
          <w:t xml:space="preserve"> M</w:t>
        </w:r>
      </w:hyperlink>
      <w:r w:rsidR="000514C2">
        <w:t>.</w:t>
      </w:r>
      <w:r w:rsidR="000514C2" w:rsidRPr="000514C2">
        <w:t xml:space="preserve">, </w:t>
      </w:r>
      <w:hyperlink r:id="rId34" w:history="1">
        <w:r w:rsidR="000514C2" w:rsidRPr="000514C2">
          <w:rPr>
            <w:rStyle w:val="Hypertextovodkaz"/>
            <w:color w:val="auto"/>
            <w:u w:val="none"/>
          </w:rPr>
          <w:t>Agosti</w:t>
        </w:r>
        <w:r w:rsidR="000514C2">
          <w:rPr>
            <w:rStyle w:val="Hypertextovodkaz"/>
            <w:color w:val="auto"/>
            <w:u w:val="none"/>
          </w:rPr>
          <w:t>,</w:t>
        </w:r>
        <w:r w:rsidR="000514C2" w:rsidRPr="000514C2">
          <w:rPr>
            <w:rStyle w:val="Hypertextovodkaz"/>
            <w:color w:val="auto"/>
            <w:u w:val="none"/>
          </w:rPr>
          <w:t xml:space="preserve"> F</w:t>
        </w:r>
      </w:hyperlink>
      <w:r w:rsidR="000514C2">
        <w:t>.</w:t>
      </w:r>
      <w:r w:rsidR="000514C2" w:rsidRPr="000514C2">
        <w:t xml:space="preserve">, </w:t>
      </w:r>
      <w:hyperlink r:id="rId35" w:history="1">
        <w:r w:rsidR="000514C2" w:rsidRPr="000514C2">
          <w:rPr>
            <w:rStyle w:val="Hypertextovodkaz"/>
            <w:color w:val="auto"/>
            <w:u w:val="none"/>
          </w:rPr>
          <w:t>Marinone</w:t>
        </w:r>
        <w:r w:rsidR="000514C2">
          <w:rPr>
            <w:rStyle w:val="Hypertextovodkaz"/>
            <w:color w:val="auto"/>
            <w:u w:val="none"/>
          </w:rPr>
          <w:t>,</w:t>
        </w:r>
        <w:r w:rsidR="000514C2" w:rsidRPr="000514C2">
          <w:rPr>
            <w:rStyle w:val="Hypertextovodkaz"/>
            <w:color w:val="auto"/>
            <w:u w:val="none"/>
          </w:rPr>
          <w:t xml:space="preserve"> P</w:t>
        </w:r>
        <w:r w:rsidR="000514C2">
          <w:rPr>
            <w:rStyle w:val="Hypertextovodkaz"/>
            <w:color w:val="auto"/>
            <w:u w:val="none"/>
          </w:rPr>
          <w:t xml:space="preserve">. </w:t>
        </w:r>
        <w:r w:rsidR="000514C2" w:rsidRPr="000514C2">
          <w:rPr>
            <w:rStyle w:val="Hypertextovodkaz"/>
            <w:color w:val="auto"/>
            <w:u w:val="none"/>
          </w:rPr>
          <w:t>G</w:t>
        </w:r>
      </w:hyperlink>
      <w:r w:rsidR="000514C2">
        <w:t>.</w:t>
      </w:r>
      <w:r w:rsidR="000514C2" w:rsidRPr="000514C2">
        <w:t xml:space="preserve">, </w:t>
      </w:r>
      <w:hyperlink r:id="rId36" w:history="1">
        <w:r w:rsidR="000514C2" w:rsidRPr="000514C2">
          <w:rPr>
            <w:rStyle w:val="Hypertextovodkaz"/>
            <w:color w:val="auto"/>
            <w:u w:val="none"/>
          </w:rPr>
          <w:t>Caiti</w:t>
        </w:r>
        <w:r w:rsidR="000514C2">
          <w:rPr>
            <w:rStyle w:val="Hypertextovodkaz"/>
            <w:color w:val="auto"/>
            <w:u w:val="none"/>
          </w:rPr>
          <w:t>,</w:t>
        </w:r>
        <w:r w:rsidR="000514C2" w:rsidRPr="000514C2">
          <w:rPr>
            <w:rStyle w:val="Hypertextovodkaz"/>
            <w:color w:val="auto"/>
            <w:u w:val="none"/>
          </w:rPr>
          <w:t xml:space="preserve"> O</w:t>
        </w:r>
      </w:hyperlink>
      <w:r w:rsidR="000514C2">
        <w:t>.</w:t>
      </w:r>
      <w:r w:rsidR="000514C2" w:rsidRPr="000514C2">
        <w:t xml:space="preserve">, </w:t>
      </w:r>
      <w:hyperlink r:id="rId37" w:history="1">
        <w:r w:rsidR="000514C2" w:rsidRPr="000514C2">
          <w:rPr>
            <w:rStyle w:val="Hypertextovodkaz"/>
            <w:color w:val="auto"/>
            <w:u w:val="none"/>
          </w:rPr>
          <w:t>Battistini</w:t>
        </w:r>
        <w:r w:rsidR="000514C2">
          <w:rPr>
            <w:rStyle w:val="Hypertextovodkaz"/>
            <w:color w:val="auto"/>
            <w:u w:val="none"/>
          </w:rPr>
          <w:t>,</w:t>
        </w:r>
        <w:r w:rsidR="000514C2" w:rsidRPr="000514C2">
          <w:rPr>
            <w:rStyle w:val="Hypertextovodkaz"/>
            <w:color w:val="auto"/>
            <w:u w:val="none"/>
          </w:rPr>
          <w:t xml:space="preserve"> N</w:t>
        </w:r>
      </w:hyperlink>
      <w:r w:rsidR="000514C2">
        <w:t>.</w:t>
      </w:r>
      <w:r w:rsidR="000514C2" w:rsidRPr="000514C2">
        <w:t xml:space="preserve">, </w:t>
      </w:r>
      <w:r w:rsidR="000514C2">
        <w:t>&amp; </w:t>
      </w:r>
      <w:hyperlink r:id="rId38" w:history="1">
        <w:r w:rsidR="000514C2" w:rsidRPr="000514C2">
          <w:rPr>
            <w:rStyle w:val="Hypertextovodkaz"/>
            <w:color w:val="auto"/>
            <w:u w:val="none"/>
          </w:rPr>
          <w:t>Bedogni</w:t>
        </w:r>
        <w:r w:rsidR="000514C2">
          <w:rPr>
            <w:rStyle w:val="Hypertextovodkaz"/>
            <w:color w:val="auto"/>
            <w:u w:val="none"/>
          </w:rPr>
          <w:t>,</w:t>
        </w:r>
        <w:r w:rsidR="000514C2" w:rsidRPr="000514C2">
          <w:rPr>
            <w:rStyle w:val="Hypertextovodkaz"/>
            <w:color w:val="auto"/>
            <w:u w:val="none"/>
          </w:rPr>
          <w:t xml:space="preserve"> G</w:t>
        </w:r>
      </w:hyperlink>
      <w:r w:rsidR="000514C2" w:rsidRPr="000514C2">
        <w:t>.</w:t>
      </w:r>
      <w:r>
        <w:rPr>
          <w:color w:val="231F20"/>
        </w:rPr>
        <w:t xml:space="preserve"> (2005).</w:t>
      </w:r>
      <w:r w:rsidRPr="0068658E">
        <w:t xml:space="preserve"> </w:t>
      </w:r>
      <w:r w:rsidRPr="00252F6B">
        <w:t>Body water distribution in severe obesity and its assessment from eight-polar bioelectrical impedance analysis</w:t>
      </w:r>
      <w:r>
        <w:t>.</w:t>
      </w:r>
      <w:r w:rsidRPr="00252F6B">
        <w:t xml:space="preserve"> </w:t>
      </w:r>
      <w:r w:rsidRPr="0068658E">
        <w:rPr>
          <w:i/>
        </w:rPr>
        <w:t>European Journal of Clinical Nutrition</w:t>
      </w:r>
      <w:r w:rsidR="00390CC7">
        <w:rPr>
          <w:i/>
        </w:rPr>
        <w:t>,</w:t>
      </w:r>
      <w:r w:rsidRPr="00252F6B">
        <w:t xml:space="preserve"> </w:t>
      </w:r>
      <w:r w:rsidRPr="00390CC7">
        <w:rPr>
          <w:i/>
        </w:rPr>
        <w:t>59</w:t>
      </w:r>
      <w:r w:rsidR="003F02A7">
        <w:t>, 155</w:t>
      </w:r>
      <w:r w:rsidR="00390CC7" w:rsidRPr="009C1EA1">
        <w:t>–</w:t>
      </w:r>
      <w:r w:rsidR="003F02A7">
        <w:t>160.</w:t>
      </w:r>
    </w:p>
    <w:p w:rsidR="00C14541" w:rsidRPr="00C14541" w:rsidRDefault="00C14541" w:rsidP="003F02A7">
      <w:pPr>
        <w:ind w:left="284" w:hanging="284"/>
        <w:jc w:val="both"/>
      </w:pPr>
      <w:r>
        <w:rPr>
          <w:color w:val="231F20"/>
        </w:rPr>
        <w:t xml:space="preserve">Seliger, V., Vinařický, R., &amp; Trefný, Z. (1983). </w:t>
      </w:r>
      <w:r>
        <w:rPr>
          <w:i/>
          <w:color w:val="231F20"/>
        </w:rPr>
        <w:t xml:space="preserve">Fyziologie člověka pro fakulty tělesné výchovy a sportu. </w:t>
      </w:r>
      <w:r>
        <w:rPr>
          <w:color w:val="231F20"/>
        </w:rPr>
        <w:t xml:space="preserve">Praha: Státní pedagogické nakladatelství. </w:t>
      </w:r>
    </w:p>
    <w:p w:rsidR="00B92FC4" w:rsidRDefault="003F02A7" w:rsidP="00B92FC4">
      <w:pPr>
        <w:ind w:left="284" w:hanging="284"/>
        <w:jc w:val="both"/>
      </w:pPr>
      <w:r w:rsidRPr="009C1EA1">
        <w:t>Schuit</w:t>
      </w:r>
      <w:r>
        <w:t>,</w:t>
      </w:r>
      <w:r w:rsidRPr="009C1EA1">
        <w:t xml:space="preserve"> A. J. (2006). Physical activity, body composition and healthy ageing. </w:t>
      </w:r>
      <w:r w:rsidRPr="009C1EA1">
        <w:rPr>
          <w:i/>
        </w:rPr>
        <w:t>Science Sports</w:t>
      </w:r>
      <w:r w:rsidR="00390CC7" w:rsidRPr="00390CC7">
        <w:rPr>
          <w:i/>
        </w:rPr>
        <w:t>, 21(4),</w:t>
      </w:r>
      <w:r w:rsidRPr="00390CC7">
        <w:rPr>
          <w:i/>
        </w:rPr>
        <w:t xml:space="preserve"> </w:t>
      </w:r>
      <w:r w:rsidRPr="009C1EA1">
        <w:t>209–213.</w:t>
      </w:r>
    </w:p>
    <w:p w:rsidR="00B92FC4" w:rsidRDefault="00B92FC4" w:rsidP="00B92FC4">
      <w:pPr>
        <w:ind w:left="284" w:hanging="284"/>
        <w:jc w:val="both"/>
      </w:pPr>
      <w:r>
        <w:t xml:space="preserve">Sharpe, J. K., Byrne, N. M., Stedman, T. J., </w:t>
      </w:r>
      <w:r w:rsidR="00C14541">
        <w:t xml:space="preserve">&amp; </w:t>
      </w:r>
      <w:r>
        <w:t xml:space="preserve">Hills, A. P. (2008). </w:t>
      </w:r>
      <w:r w:rsidRPr="00AF2362">
        <w:t>Bioelectric impedance is a better indicator of obesity in men with</w:t>
      </w:r>
      <w:r>
        <w:t xml:space="preserve"> </w:t>
      </w:r>
      <w:r w:rsidRPr="00AF2362">
        <w:t>sc</w:t>
      </w:r>
      <w:r>
        <w:t xml:space="preserve">hizophrenia than body mass index. </w:t>
      </w:r>
      <w:r w:rsidRPr="00B92FC4">
        <w:rPr>
          <w:i/>
        </w:rPr>
        <w:t>Psychiatry Research</w:t>
      </w:r>
      <w:r w:rsidR="00390CC7">
        <w:t>,</w:t>
      </w:r>
      <w:r>
        <w:t xml:space="preserve"> </w:t>
      </w:r>
      <w:r w:rsidRPr="00390CC7">
        <w:rPr>
          <w:i/>
        </w:rPr>
        <w:t>159</w:t>
      </w:r>
      <w:r>
        <w:t xml:space="preserve">, </w:t>
      </w:r>
      <w:r w:rsidRPr="00AF2362">
        <w:t>121–126</w:t>
      </w:r>
      <w:r>
        <w:t>.</w:t>
      </w:r>
    </w:p>
    <w:p w:rsidR="00D65B92" w:rsidRDefault="009535E1" w:rsidP="00D65B92">
      <w:pPr>
        <w:ind w:left="284" w:hanging="284"/>
        <w:jc w:val="both"/>
        <w:rPr>
          <w:rStyle w:val="Zvraznn"/>
          <w:i w:val="0"/>
        </w:rPr>
      </w:pPr>
      <w:r w:rsidRPr="009535E1">
        <w:rPr>
          <w:rStyle w:val="Zvraznn"/>
          <w:i w:val="0"/>
        </w:rPr>
        <w:t>Smolík, P. (2002).</w:t>
      </w:r>
      <w:r>
        <w:rPr>
          <w:rStyle w:val="Zvraznn"/>
        </w:rPr>
        <w:t xml:space="preserve"> Duševní a behaviorální poruchy. </w:t>
      </w:r>
      <w:r>
        <w:rPr>
          <w:rStyle w:val="Zvraznn"/>
          <w:i w:val="0"/>
        </w:rPr>
        <w:t>Praha: Maxdorf.</w:t>
      </w:r>
    </w:p>
    <w:p w:rsidR="00F248F0" w:rsidRDefault="006D3D31" w:rsidP="00F248F0">
      <w:pPr>
        <w:ind w:left="284" w:hanging="284"/>
        <w:jc w:val="both"/>
        <w:rPr>
          <w:iCs/>
        </w:rPr>
      </w:pPr>
      <w:r w:rsidRPr="00F85EB8">
        <w:rPr>
          <w:bCs/>
        </w:rPr>
        <w:t>Stavropoulos-Kalinoglou</w:t>
      </w:r>
      <w:r>
        <w:rPr>
          <w:bCs/>
        </w:rPr>
        <w:t xml:space="preserve">, A., </w:t>
      </w:r>
      <w:r w:rsidR="00EF2E8F" w:rsidRPr="00EF2E8F">
        <w:rPr>
          <w:rStyle w:val="Siln"/>
          <w:b w:val="0"/>
        </w:rPr>
        <w:t>Metsios</w:t>
      </w:r>
      <w:r w:rsidR="00EF2E8F" w:rsidRPr="00EF2E8F">
        <w:t>, G. S.,</w:t>
      </w:r>
      <w:r w:rsidR="00EF2E8F">
        <w:rPr>
          <w:b/>
        </w:rPr>
        <w:t xml:space="preserve"> </w:t>
      </w:r>
      <w:r w:rsidR="00EF2E8F" w:rsidRPr="00EF2E8F">
        <w:rPr>
          <w:rStyle w:val="Siln"/>
          <w:b w:val="0"/>
        </w:rPr>
        <w:t>Panoulas</w:t>
      </w:r>
      <w:r w:rsidR="00EF2E8F">
        <w:rPr>
          <w:rStyle w:val="Siln"/>
          <w:b w:val="0"/>
        </w:rPr>
        <w:t xml:space="preserve">, V. F., </w:t>
      </w:r>
      <w:r w:rsidR="00EF2E8F" w:rsidRPr="00EF2E8F">
        <w:rPr>
          <w:rStyle w:val="Siln"/>
          <w:b w:val="0"/>
        </w:rPr>
        <w:t>Douglas</w:t>
      </w:r>
      <w:r w:rsidR="00EF2E8F">
        <w:rPr>
          <w:rStyle w:val="Siln"/>
          <w:b w:val="0"/>
        </w:rPr>
        <w:t xml:space="preserve"> K. M. J.,</w:t>
      </w:r>
      <w:r w:rsidR="00EF2E8F" w:rsidRPr="00EF2E8F">
        <w:rPr>
          <w:b/>
        </w:rPr>
        <w:t xml:space="preserve"> </w:t>
      </w:r>
      <w:r w:rsidR="00EF2E8F" w:rsidRPr="00EF2E8F">
        <w:rPr>
          <w:rStyle w:val="Siln"/>
          <w:b w:val="0"/>
        </w:rPr>
        <w:t>Nevill</w:t>
      </w:r>
      <w:r w:rsidR="00EF2E8F">
        <w:rPr>
          <w:b/>
          <w:vertAlign w:val="superscript"/>
        </w:rPr>
        <w:t xml:space="preserve"> </w:t>
      </w:r>
      <w:r w:rsidR="00EF2E8F">
        <w:rPr>
          <w:rStyle w:val="Siln"/>
          <w:b w:val="0"/>
        </w:rPr>
        <w:t xml:space="preserve">A. M., </w:t>
      </w:r>
      <w:r w:rsidR="00EF2E8F" w:rsidRPr="00EF2E8F">
        <w:rPr>
          <w:rStyle w:val="Siln"/>
          <w:b w:val="0"/>
        </w:rPr>
        <w:t>Jamurtas</w:t>
      </w:r>
      <w:r w:rsidR="00EF2E8F">
        <w:rPr>
          <w:rStyle w:val="Siln"/>
          <w:b w:val="0"/>
        </w:rPr>
        <w:t xml:space="preserve">, A. Z., </w:t>
      </w:r>
      <w:r w:rsidR="00EF2E8F" w:rsidRPr="00EF2E8F">
        <w:rPr>
          <w:rStyle w:val="Siln"/>
          <w:b w:val="0"/>
        </w:rPr>
        <w:t>Kita</w:t>
      </w:r>
      <w:r w:rsidR="00EF2E8F">
        <w:rPr>
          <w:rStyle w:val="Siln"/>
          <w:b w:val="0"/>
        </w:rPr>
        <w:t xml:space="preserve">, M., </w:t>
      </w:r>
      <w:r w:rsidR="00EF2E8F" w:rsidRPr="00EF2E8F">
        <w:rPr>
          <w:rStyle w:val="Siln"/>
          <w:b w:val="0"/>
        </w:rPr>
        <w:t>Koutedakis</w:t>
      </w:r>
      <w:r w:rsidR="00EF2E8F">
        <w:rPr>
          <w:rStyle w:val="Siln"/>
          <w:b w:val="0"/>
        </w:rPr>
        <w:t>, Y., &amp;</w:t>
      </w:r>
      <w:r w:rsidR="00EF2E8F" w:rsidRPr="00EF2E8F">
        <w:rPr>
          <w:b/>
        </w:rPr>
        <w:t xml:space="preserve"> </w:t>
      </w:r>
      <w:r w:rsidR="00EF2E8F" w:rsidRPr="00EF2E8F">
        <w:rPr>
          <w:rStyle w:val="Siln"/>
          <w:b w:val="0"/>
        </w:rPr>
        <w:t>Kitas</w:t>
      </w:r>
      <w:r w:rsidR="00EF2E8F">
        <w:rPr>
          <w:rStyle w:val="Siln"/>
          <w:b w:val="0"/>
        </w:rPr>
        <w:t>, G. D.</w:t>
      </w:r>
      <w:r>
        <w:rPr>
          <w:bCs/>
        </w:rPr>
        <w:t xml:space="preserve"> (2008). </w:t>
      </w:r>
      <w:r w:rsidRPr="00F85EB8">
        <w:rPr>
          <w:bCs/>
        </w:rPr>
        <w:t>Cigarette smoking associates with body weight and muscle mass of patients with rheumatoid arthritis: a cross- sectional, observational study</w:t>
      </w:r>
      <w:r>
        <w:rPr>
          <w:bCs/>
        </w:rPr>
        <w:t xml:space="preserve">. </w:t>
      </w:r>
      <w:r w:rsidRPr="00344F28">
        <w:rPr>
          <w:i/>
          <w:iCs/>
        </w:rPr>
        <w:t>Arthritis Research &amp; Therapy</w:t>
      </w:r>
      <w:r w:rsidR="00390CC7">
        <w:rPr>
          <w:i/>
          <w:iCs/>
        </w:rPr>
        <w:t>,</w:t>
      </w:r>
      <w:r>
        <w:rPr>
          <w:i/>
          <w:iCs/>
        </w:rPr>
        <w:t xml:space="preserve"> </w:t>
      </w:r>
      <w:r w:rsidR="003F02A7" w:rsidRPr="00390CC7">
        <w:rPr>
          <w:i/>
          <w:iCs/>
        </w:rPr>
        <w:t>10/3</w:t>
      </w:r>
      <w:r w:rsidR="003F02A7">
        <w:rPr>
          <w:iCs/>
        </w:rPr>
        <w:t>, 1</w:t>
      </w:r>
      <w:r w:rsidR="00390CC7" w:rsidRPr="009C1EA1">
        <w:t>–</w:t>
      </w:r>
      <w:r w:rsidR="003F02A7">
        <w:rPr>
          <w:iCs/>
        </w:rPr>
        <w:t>7.</w:t>
      </w:r>
    </w:p>
    <w:p w:rsidR="001C0A30" w:rsidRPr="009C1EA1" w:rsidRDefault="001C0A30" w:rsidP="001C0A30">
      <w:pPr>
        <w:ind w:left="284" w:hanging="284"/>
        <w:jc w:val="both"/>
      </w:pPr>
      <w:r w:rsidRPr="009C1EA1">
        <w:t>Svačina</w:t>
      </w:r>
      <w:r>
        <w:t>,</w:t>
      </w:r>
      <w:r w:rsidRPr="009C1EA1">
        <w:t xml:space="preserve"> J. (2002). </w:t>
      </w:r>
      <w:r w:rsidRPr="009C1EA1">
        <w:rPr>
          <w:i/>
        </w:rPr>
        <w:t xml:space="preserve">Obezita a psychofarmaka. </w:t>
      </w:r>
      <w:r w:rsidRPr="009C1EA1">
        <w:t xml:space="preserve">Praha: Triton. </w:t>
      </w:r>
    </w:p>
    <w:p w:rsidR="00E440F5" w:rsidRPr="009C1EA1" w:rsidRDefault="00E440F5" w:rsidP="00E440F5">
      <w:pPr>
        <w:ind w:left="284" w:hanging="284"/>
        <w:jc w:val="both"/>
        <w:rPr>
          <w:rStyle w:val="Siln"/>
          <w:b w:val="0"/>
        </w:rPr>
      </w:pPr>
      <w:r>
        <w:t>Tanita. (2011</w:t>
      </w:r>
      <w:r w:rsidRPr="009C1EA1">
        <w:t xml:space="preserve">). </w:t>
      </w:r>
      <w:r w:rsidR="00F248F0" w:rsidRPr="00F248F0">
        <w:rPr>
          <w:i/>
        </w:rPr>
        <w:t>BC-418 Segmental Body Composition Analyzer</w:t>
      </w:r>
      <w:r w:rsidR="00F248F0">
        <w:rPr>
          <w:i/>
        </w:rPr>
        <w:t xml:space="preserve">. </w:t>
      </w:r>
      <w:r w:rsidR="00F248F0">
        <w:rPr>
          <w:rStyle w:val="Siln"/>
          <w:b w:val="0"/>
        </w:rPr>
        <w:t>Retrieved 24</w:t>
      </w:r>
      <w:r w:rsidRPr="009C1EA1">
        <w:rPr>
          <w:rStyle w:val="Siln"/>
          <w:b w:val="0"/>
        </w:rPr>
        <w:t xml:space="preserve">. </w:t>
      </w:r>
      <w:r w:rsidR="00F248F0">
        <w:rPr>
          <w:rStyle w:val="Siln"/>
          <w:b w:val="0"/>
        </w:rPr>
        <w:t>4. 2012</w:t>
      </w:r>
      <w:r w:rsidRPr="009C1EA1">
        <w:rPr>
          <w:rStyle w:val="Siln"/>
          <w:b w:val="0"/>
        </w:rPr>
        <w:t xml:space="preserve"> from World Wide Web: </w:t>
      </w:r>
      <w:r w:rsidR="00F248F0" w:rsidRPr="00F248F0">
        <w:rPr>
          <w:rStyle w:val="Siln"/>
          <w:b w:val="0"/>
        </w:rPr>
        <w:t>http://www.tanita.com/en/bc-418/</w:t>
      </w:r>
    </w:p>
    <w:p w:rsidR="00956380" w:rsidRDefault="009535E1" w:rsidP="00956380">
      <w:pPr>
        <w:ind w:left="284" w:hanging="284"/>
        <w:jc w:val="both"/>
      </w:pPr>
      <w:r>
        <w:t xml:space="preserve">Vagnerová, M. (2008). </w:t>
      </w:r>
      <w:r w:rsidR="00DD268B" w:rsidRPr="009535E1">
        <w:rPr>
          <w:i/>
        </w:rPr>
        <w:t>Psychopatologie pro pomáhající profese</w:t>
      </w:r>
      <w:r>
        <w:t>. Praha: Portál.</w:t>
      </w:r>
    </w:p>
    <w:p w:rsidR="00E63E9E" w:rsidRPr="00EB6549" w:rsidRDefault="00A318A1" w:rsidP="00E63E9E">
      <w:pPr>
        <w:ind w:left="284" w:hanging="284"/>
        <w:jc w:val="both"/>
        <w:rPr>
          <w:rFonts w:ascii="HelveticaNeue-Bold" w:hAnsi="HelveticaNeue-Bold" w:cs="HelveticaNeue-Bold"/>
          <w:b/>
          <w:bCs/>
          <w:sz w:val="14"/>
          <w:szCs w:val="14"/>
        </w:rPr>
      </w:pPr>
      <w:r w:rsidRPr="00BD6874">
        <w:t>Völgy</w:t>
      </w:r>
      <w:r>
        <w:t xml:space="preserve">i, E., et al. (2008). </w:t>
      </w:r>
      <w:r w:rsidRPr="00BD6874">
        <w:t>Assessing Body Composition With DXA and Bioimpedance: Effects of Obesity,</w:t>
      </w:r>
      <w:r>
        <w:t xml:space="preserve"> </w:t>
      </w:r>
      <w:r w:rsidRPr="00BD6874">
        <w:t>Ph</w:t>
      </w:r>
      <w:r w:rsidRPr="00EB6549">
        <w:t xml:space="preserve">ysical Activity, and Age. </w:t>
      </w:r>
      <w:r w:rsidRPr="00EB6549">
        <w:rPr>
          <w:i/>
          <w:iCs/>
        </w:rPr>
        <w:t>Obesity</w:t>
      </w:r>
      <w:r w:rsidR="00390CC7">
        <w:rPr>
          <w:i/>
          <w:iCs/>
        </w:rPr>
        <w:t>,</w:t>
      </w:r>
      <w:r w:rsidRPr="00EB6549">
        <w:rPr>
          <w:i/>
          <w:iCs/>
        </w:rPr>
        <w:t xml:space="preserve"> </w:t>
      </w:r>
      <w:r w:rsidR="003F02A7" w:rsidRPr="00390CC7">
        <w:rPr>
          <w:i/>
          <w:iCs/>
        </w:rPr>
        <w:t>16,</w:t>
      </w:r>
      <w:r w:rsidR="00390CC7">
        <w:rPr>
          <w:iCs/>
        </w:rPr>
        <w:t xml:space="preserve"> 700–</w:t>
      </w:r>
      <w:r w:rsidRPr="00EB6549">
        <w:rPr>
          <w:iCs/>
        </w:rPr>
        <w:t>705.</w:t>
      </w:r>
      <w:r w:rsidRPr="00EB6549">
        <w:rPr>
          <w:rFonts w:ascii="HelveticaNeue-Bold" w:hAnsi="HelveticaNeue-Bold" w:cs="HelveticaNeue-Bold"/>
          <w:b/>
          <w:bCs/>
          <w:sz w:val="14"/>
          <w:szCs w:val="14"/>
        </w:rPr>
        <w:t xml:space="preserve"> </w:t>
      </w:r>
    </w:p>
    <w:p w:rsidR="00E63E9E" w:rsidRPr="00D11172" w:rsidRDefault="00E63E9E" w:rsidP="00E63E9E">
      <w:pPr>
        <w:ind w:left="284" w:hanging="284"/>
        <w:jc w:val="both"/>
      </w:pPr>
      <w:r w:rsidRPr="00EB6549">
        <w:rPr>
          <w:rFonts w:eastAsia="NimbusRomanDOT-Regular"/>
        </w:rPr>
        <w:t xml:space="preserve">World Health Organization. (2004). </w:t>
      </w:r>
      <w:r w:rsidRPr="00EB6549">
        <w:rPr>
          <w:rFonts w:eastAsia="NimbusRomanDOT-Regular"/>
          <w:i/>
        </w:rPr>
        <w:t>BMI classification.</w:t>
      </w:r>
      <w:r w:rsidRPr="00EB6549">
        <w:rPr>
          <w:rFonts w:eastAsia="NimbusRomanDOT-Regular"/>
        </w:rPr>
        <w:t xml:space="preserve"> </w:t>
      </w:r>
      <w:r w:rsidRPr="00EB6549">
        <w:t xml:space="preserve">Retrieved 24. 4. 2012 from World Wide </w:t>
      </w:r>
      <w:r w:rsidRPr="00D11172">
        <w:t xml:space="preserve">Web: </w:t>
      </w:r>
      <w:hyperlink r:id="rId39" w:history="1">
        <w:r w:rsidR="00EF2E8F" w:rsidRPr="00D11172">
          <w:rPr>
            <w:rStyle w:val="Hypertextovodkaz"/>
            <w:color w:val="auto"/>
            <w:u w:val="none"/>
          </w:rPr>
          <w:t>http://apps.who.int/bmi/index.jsp?introPage=intro_3.html</w:t>
        </w:r>
      </w:hyperlink>
    </w:p>
    <w:p w:rsidR="00EB6549" w:rsidRPr="00D11172" w:rsidRDefault="00EB6549" w:rsidP="00EB6549">
      <w:pPr>
        <w:ind w:left="284" w:hanging="284"/>
        <w:jc w:val="both"/>
      </w:pPr>
      <w:r w:rsidRPr="00D11172">
        <w:rPr>
          <w:rFonts w:eastAsia="NimbusRomanDOT-Regular"/>
        </w:rPr>
        <w:t xml:space="preserve">World Health Organization. (2008). </w:t>
      </w:r>
      <w:r w:rsidRPr="00D11172">
        <w:rPr>
          <w:bCs/>
          <w:i/>
        </w:rPr>
        <w:t>Waist Circumference and Waist–Hip Ratio</w:t>
      </w:r>
      <w:r w:rsidRPr="00D11172">
        <w:rPr>
          <w:rFonts w:eastAsia="NimbusRomanDOT-Regular"/>
          <w:i/>
        </w:rPr>
        <w:t>.</w:t>
      </w:r>
      <w:r w:rsidRPr="00D11172">
        <w:rPr>
          <w:rFonts w:eastAsia="NimbusRomanDOT-Regular"/>
        </w:rPr>
        <w:t xml:space="preserve"> R</w:t>
      </w:r>
      <w:r w:rsidRPr="00D11172">
        <w:t xml:space="preserve">etrieved 24. 4. 2012 from World Wide Web: </w:t>
      </w:r>
      <w:hyperlink r:id="rId40" w:history="1">
        <w:r w:rsidRPr="00D11172">
          <w:rPr>
            <w:rStyle w:val="Hypertextovodkaz"/>
            <w:color w:val="auto"/>
            <w:u w:val="none"/>
          </w:rPr>
          <w:t>http://whqlibdoc.who.int/publications/2011/9789241501491_eng.pdf</w:t>
        </w:r>
      </w:hyperlink>
    </w:p>
    <w:p w:rsidR="00E63E9E" w:rsidRPr="00E63E9E" w:rsidRDefault="00E63E9E" w:rsidP="00E63E9E">
      <w:pPr>
        <w:ind w:left="284" w:hanging="284"/>
        <w:jc w:val="both"/>
        <w:rPr>
          <w:rFonts w:ascii="HelveticaNeue-Bold" w:hAnsi="HelveticaNeue-Bold" w:cs="HelveticaNeue-Bold"/>
          <w:b/>
          <w:bCs/>
          <w:sz w:val="14"/>
          <w:szCs w:val="14"/>
        </w:rPr>
      </w:pPr>
      <w:r w:rsidRPr="00EF228A">
        <w:rPr>
          <w:rFonts w:eastAsia="NimbusRomanDOT-Regular"/>
        </w:rPr>
        <w:t>World Health Organization. (2012</w:t>
      </w:r>
      <w:r>
        <w:rPr>
          <w:rFonts w:eastAsia="NimbusRomanDOT-Regular"/>
        </w:rPr>
        <w:t xml:space="preserve">). </w:t>
      </w:r>
      <w:r>
        <w:rPr>
          <w:i/>
        </w:rPr>
        <w:t>Body mass index - BMI</w:t>
      </w:r>
      <w:r w:rsidRPr="00EF228A">
        <w:rPr>
          <w:i/>
        </w:rPr>
        <w:t xml:space="preserve">. </w:t>
      </w:r>
      <w:r w:rsidRPr="00EF228A">
        <w:rPr>
          <w:rFonts w:eastAsia="NimbusRomanDOT-Regular"/>
        </w:rPr>
        <w:t xml:space="preserve"> </w:t>
      </w:r>
      <w:r w:rsidRPr="00EF228A">
        <w:t>Retrieved 25. 4. 2012 from World Wide Web</w:t>
      </w:r>
      <w:r>
        <w:t xml:space="preserve">: </w:t>
      </w:r>
      <w:hyperlink r:id="rId41" w:history="1">
        <w:r w:rsidRPr="00E63E9E">
          <w:rPr>
            <w:rStyle w:val="Hypertextovodkaz"/>
            <w:color w:val="auto"/>
            <w:u w:val="none"/>
          </w:rPr>
          <w:t>http://www.euro.who.int/en/what-we-do/health-topics/disease-prevention/nutrition/a-healthy-lifestyle/body-mass-index-bmi</w:t>
        </w:r>
      </w:hyperlink>
    </w:p>
    <w:p w:rsidR="006C7BEA" w:rsidRDefault="006C7BEA" w:rsidP="006C7BEA">
      <w:pPr>
        <w:ind w:left="284" w:hanging="284"/>
        <w:jc w:val="both"/>
      </w:pPr>
      <w:r w:rsidRPr="00EF228A">
        <w:rPr>
          <w:rFonts w:eastAsia="NimbusRomanDOT-Regular"/>
        </w:rPr>
        <w:t>World H</w:t>
      </w:r>
      <w:r w:rsidRPr="00320FB0">
        <w:rPr>
          <w:rFonts w:eastAsia="NimbusRomanDOT-Regular"/>
        </w:rPr>
        <w:t>ealth Organization. (2012</w:t>
      </w:r>
      <w:r w:rsidR="00E63E9E" w:rsidRPr="00320FB0">
        <w:rPr>
          <w:rFonts w:eastAsia="NimbusRomanDOT-Regular"/>
        </w:rPr>
        <w:t>a</w:t>
      </w:r>
      <w:r w:rsidRPr="00320FB0">
        <w:rPr>
          <w:rFonts w:eastAsia="NimbusRomanDOT-Regular"/>
        </w:rPr>
        <w:t xml:space="preserve">). </w:t>
      </w:r>
      <w:r w:rsidRPr="00320FB0">
        <w:rPr>
          <w:i/>
        </w:rPr>
        <w:t xml:space="preserve">Obesity. </w:t>
      </w:r>
      <w:r w:rsidRPr="00320FB0">
        <w:rPr>
          <w:rFonts w:eastAsia="NimbusRomanDOT-Regular"/>
        </w:rPr>
        <w:t xml:space="preserve"> </w:t>
      </w:r>
      <w:r w:rsidRPr="00320FB0">
        <w:t xml:space="preserve">Retrieved 25. 4. 2012 from World Wide Web: </w:t>
      </w:r>
      <w:hyperlink r:id="rId42" w:history="1">
        <w:r w:rsidRPr="00320FB0">
          <w:rPr>
            <w:rStyle w:val="Hypertextovodkaz"/>
            <w:color w:val="auto"/>
            <w:u w:val="none"/>
          </w:rPr>
          <w:t>http://www.euro.who.int/en/what-we-do/health-topics/noncommunicable-diseases/obesity</w:t>
        </w:r>
      </w:hyperlink>
    </w:p>
    <w:p w:rsidR="006C7BEA" w:rsidRPr="006C7BEA" w:rsidRDefault="006C7BEA" w:rsidP="006C7BEA">
      <w:pPr>
        <w:ind w:left="284" w:hanging="284"/>
        <w:jc w:val="both"/>
        <w:rPr>
          <w:rFonts w:ascii="HelveticaNeue-Bold" w:hAnsi="HelveticaNeue-Bold" w:cs="HelveticaNeue-Bold"/>
          <w:bCs/>
          <w:sz w:val="14"/>
          <w:szCs w:val="14"/>
        </w:rPr>
      </w:pPr>
      <w:r w:rsidRPr="006C7BEA">
        <w:rPr>
          <w:rFonts w:eastAsia="NimbusRomanDOT-Regular"/>
        </w:rPr>
        <w:t>World Health Organization. (2012</w:t>
      </w:r>
      <w:r w:rsidR="00E63E9E">
        <w:rPr>
          <w:rFonts w:eastAsia="NimbusRomanDOT-Regular"/>
        </w:rPr>
        <w:t>b</w:t>
      </w:r>
      <w:r w:rsidRPr="006C7BEA">
        <w:rPr>
          <w:rFonts w:eastAsia="NimbusRomanDOT-Regular"/>
        </w:rPr>
        <w:t xml:space="preserve">). </w:t>
      </w:r>
      <w:r w:rsidRPr="006C7BEA">
        <w:rPr>
          <w:i/>
        </w:rPr>
        <w:t xml:space="preserve">Tobacco harms smokers, non-smokers and the society. </w:t>
      </w:r>
      <w:r w:rsidRPr="006C7BEA">
        <w:rPr>
          <w:rFonts w:eastAsia="NimbusRomanDOT-Regular"/>
        </w:rPr>
        <w:t xml:space="preserve"> </w:t>
      </w:r>
      <w:r w:rsidRPr="006C7BEA">
        <w:t>Retrieved 25. 4. 2012 from World Wide Web: http://www.euro.who.int/en/what-we-do/health-topics/disease-prevention/tobacco</w:t>
      </w:r>
    </w:p>
    <w:p w:rsidR="00AA67FE" w:rsidRPr="00A318A1" w:rsidRDefault="00AA67FE" w:rsidP="00A318A1">
      <w:pPr>
        <w:ind w:left="284" w:hanging="284"/>
        <w:jc w:val="both"/>
      </w:pPr>
      <w:r w:rsidRPr="00956380">
        <w:rPr>
          <w:rFonts w:eastAsia="Times New Roman"/>
          <w:lang w:val="en-US" w:eastAsia="cs-CZ"/>
        </w:rPr>
        <w:t xml:space="preserve">Wu, M., Wang, C., Bai, Y., Huang, C., &amp; Lee, S. (2007). Outcomes of obese, clozapine-treated inpatients with schizophrenia placed on a six-month diet and physical activity program. </w:t>
      </w:r>
      <w:r w:rsidRPr="00956380">
        <w:rPr>
          <w:rFonts w:eastAsia="Times New Roman"/>
          <w:i/>
          <w:iCs/>
          <w:lang w:val="en-US" w:eastAsia="cs-CZ"/>
        </w:rPr>
        <w:t>Psychiatric Services</w:t>
      </w:r>
      <w:r w:rsidRPr="00956380">
        <w:rPr>
          <w:rFonts w:eastAsia="Times New Roman"/>
          <w:lang w:val="en-US" w:eastAsia="cs-CZ"/>
        </w:rPr>
        <w:t xml:space="preserve">, </w:t>
      </w:r>
      <w:r w:rsidRPr="00CA3007">
        <w:rPr>
          <w:rFonts w:eastAsia="Times New Roman"/>
          <w:i/>
          <w:iCs/>
          <w:lang w:val="en-US" w:eastAsia="cs-CZ"/>
        </w:rPr>
        <w:t>58</w:t>
      </w:r>
      <w:r w:rsidRPr="003F02A7">
        <w:rPr>
          <w:rFonts w:eastAsia="Times New Roman"/>
          <w:lang w:val="en-US" w:eastAsia="cs-CZ"/>
        </w:rPr>
        <w:t>,</w:t>
      </w:r>
      <w:r w:rsidRPr="00956380">
        <w:rPr>
          <w:rFonts w:eastAsia="Times New Roman"/>
          <w:lang w:val="en-US" w:eastAsia="cs-CZ"/>
        </w:rPr>
        <w:t xml:space="preserve"> 544</w:t>
      </w:r>
      <w:r w:rsidR="00CA3007" w:rsidRPr="009C1EA1">
        <w:t>–</w:t>
      </w:r>
      <w:r w:rsidRPr="00956380">
        <w:rPr>
          <w:rFonts w:eastAsia="Times New Roman"/>
          <w:lang w:val="en-US" w:eastAsia="cs-CZ"/>
        </w:rPr>
        <w:t>550.</w:t>
      </w:r>
    </w:p>
    <w:p w:rsidR="006D3D31" w:rsidRDefault="006D3D31" w:rsidP="00A1273E">
      <w:pPr>
        <w:autoSpaceDE w:val="0"/>
        <w:autoSpaceDN w:val="0"/>
        <w:adjustRightInd w:val="0"/>
        <w:spacing w:line="240" w:lineRule="auto"/>
        <w:ind w:left="0" w:firstLine="284"/>
        <w:rPr>
          <w:rFonts w:eastAsia="Times New Roman"/>
          <w:i/>
          <w:iCs/>
          <w:lang w:eastAsia="cs-CZ"/>
        </w:rPr>
      </w:pPr>
    </w:p>
    <w:p w:rsidR="00C71D9C" w:rsidRPr="009C1EA1" w:rsidRDefault="00C71D9C" w:rsidP="001412A7">
      <w:pPr>
        <w:ind w:left="0" w:firstLine="284"/>
        <w:jc w:val="both"/>
      </w:pPr>
    </w:p>
    <w:p w:rsidR="007A01CE" w:rsidRDefault="007A01CE" w:rsidP="001412A7">
      <w:pPr>
        <w:autoSpaceDE w:val="0"/>
        <w:autoSpaceDN w:val="0"/>
        <w:adjustRightInd w:val="0"/>
        <w:ind w:left="0" w:firstLine="284"/>
        <w:jc w:val="both"/>
      </w:pPr>
    </w:p>
    <w:p w:rsidR="00EE6BE2" w:rsidRDefault="00EE6BE2" w:rsidP="00A1273E">
      <w:pPr>
        <w:ind w:left="0" w:firstLine="284"/>
      </w:pPr>
    </w:p>
    <w:p w:rsidR="007E04F2" w:rsidRPr="009C1EA1" w:rsidRDefault="00C71D9C" w:rsidP="00B92FC4">
      <w:pPr>
        <w:ind w:left="284" w:hanging="284"/>
        <w:jc w:val="both"/>
        <w:rPr>
          <w:rStyle w:val="Siln"/>
          <w:b w:val="0"/>
        </w:rPr>
      </w:pPr>
      <w:r>
        <w:tab/>
      </w:r>
      <w:r>
        <w:tab/>
      </w:r>
      <w:r w:rsidR="007E04F2" w:rsidRPr="009C1EA1">
        <w:rPr>
          <w:rStyle w:val="Siln"/>
          <w:b w:val="0"/>
        </w:rPr>
        <w:t xml:space="preserve"> </w:t>
      </w:r>
    </w:p>
    <w:sectPr w:rsidR="007E04F2" w:rsidRPr="009C1EA1" w:rsidSect="00A1273E">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27" w:rsidRDefault="003F2927" w:rsidP="00545D17">
      <w:pPr>
        <w:spacing w:line="240" w:lineRule="auto"/>
      </w:pPr>
      <w:r>
        <w:separator/>
      </w:r>
    </w:p>
  </w:endnote>
  <w:endnote w:type="continuationSeparator" w:id="1">
    <w:p w:rsidR="003F2927" w:rsidRDefault="003F2927" w:rsidP="00545D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CE">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NimbusSanLEE-ReguCon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MSTT31c7c4">
    <w:altName w:val="Times New Roman"/>
    <w:panose1 w:val="00000000000000000000"/>
    <w:charset w:val="00"/>
    <w:family w:val="auto"/>
    <w:notTrueType/>
    <w:pitch w:val="default"/>
    <w:sig w:usb0="00000003" w:usb1="00000000" w:usb2="00000000" w:usb3="00000000" w:csb0="00000001" w:csb1="00000000"/>
  </w:font>
  <w:font w:name="HelveticaNeueCE-Italic">
    <w:altName w:val="MS Mincho"/>
    <w:panose1 w:val="00000000000000000000"/>
    <w:charset w:val="80"/>
    <w:family w:val="auto"/>
    <w:notTrueType/>
    <w:pitch w:val="default"/>
    <w:sig w:usb0="00000000" w:usb1="08070000" w:usb2="00000010" w:usb3="00000000" w:csb0="00020000"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31"/>
      <w:docPartObj>
        <w:docPartGallery w:val="Page Numbers (Bottom of Page)"/>
        <w:docPartUnique/>
      </w:docPartObj>
    </w:sdtPr>
    <w:sdtContent>
      <w:p w:rsidR="00216AA0" w:rsidRDefault="005A3029">
        <w:pPr>
          <w:pStyle w:val="Zpat"/>
          <w:jc w:val="center"/>
        </w:pPr>
        <w:fldSimple w:instr=" PAGE   \* MERGEFORMAT ">
          <w:r w:rsidR="00162DA3">
            <w:rPr>
              <w:noProof/>
            </w:rPr>
            <w:t>36</w:t>
          </w:r>
        </w:fldSimple>
      </w:p>
    </w:sdtContent>
  </w:sdt>
  <w:p w:rsidR="00216AA0" w:rsidRDefault="00216A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27" w:rsidRDefault="003F2927" w:rsidP="00545D17">
      <w:pPr>
        <w:spacing w:line="240" w:lineRule="auto"/>
      </w:pPr>
      <w:r>
        <w:separator/>
      </w:r>
    </w:p>
  </w:footnote>
  <w:footnote w:type="continuationSeparator" w:id="1">
    <w:p w:rsidR="003F2927" w:rsidRDefault="003F2927" w:rsidP="00545D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A9D"/>
    <w:multiLevelType w:val="hybridMultilevel"/>
    <w:tmpl w:val="4EBE3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383036"/>
    <w:multiLevelType w:val="hybridMultilevel"/>
    <w:tmpl w:val="9F8A0AE0"/>
    <w:lvl w:ilvl="0" w:tplc="7EEA3FD8">
      <w:start w:val="1"/>
      <w:numFmt w:val="bullet"/>
      <w:lvlText w:val=""/>
      <w:lvlJc w:val="left"/>
      <w:pPr>
        <w:tabs>
          <w:tab w:val="num" w:pos="502"/>
        </w:tabs>
        <w:ind w:left="502" w:hanging="360"/>
      </w:pPr>
      <w:rPr>
        <w:rFonts w:ascii="Wingdings" w:hAnsi="Wingdings" w:hint="default"/>
      </w:rPr>
    </w:lvl>
    <w:lvl w:ilvl="1" w:tplc="91AE45DC" w:tentative="1">
      <w:start w:val="1"/>
      <w:numFmt w:val="bullet"/>
      <w:lvlText w:val=""/>
      <w:lvlJc w:val="left"/>
      <w:pPr>
        <w:tabs>
          <w:tab w:val="num" w:pos="1222"/>
        </w:tabs>
        <w:ind w:left="1222" w:hanging="360"/>
      </w:pPr>
      <w:rPr>
        <w:rFonts w:ascii="Wingdings" w:hAnsi="Wingdings" w:hint="default"/>
      </w:rPr>
    </w:lvl>
    <w:lvl w:ilvl="2" w:tplc="55D060A6" w:tentative="1">
      <w:start w:val="1"/>
      <w:numFmt w:val="bullet"/>
      <w:lvlText w:val=""/>
      <w:lvlJc w:val="left"/>
      <w:pPr>
        <w:tabs>
          <w:tab w:val="num" w:pos="1942"/>
        </w:tabs>
        <w:ind w:left="1942" w:hanging="360"/>
      </w:pPr>
      <w:rPr>
        <w:rFonts w:ascii="Wingdings" w:hAnsi="Wingdings" w:hint="default"/>
      </w:rPr>
    </w:lvl>
    <w:lvl w:ilvl="3" w:tplc="2CDECE68" w:tentative="1">
      <w:start w:val="1"/>
      <w:numFmt w:val="bullet"/>
      <w:lvlText w:val=""/>
      <w:lvlJc w:val="left"/>
      <w:pPr>
        <w:tabs>
          <w:tab w:val="num" w:pos="2662"/>
        </w:tabs>
        <w:ind w:left="2662" w:hanging="360"/>
      </w:pPr>
      <w:rPr>
        <w:rFonts w:ascii="Wingdings" w:hAnsi="Wingdings" w:hint="default"/>
      </w:rPr>
    </w:lvl>
    <w:lvl w:ilvl="4" w:tplc="ECE0DA6A" w:tentative="1">
      <w:start w:val="1"/>
      <w:numFmt w:val="bullet"/>
      <w:lvlText w:val=""/>
      <w:lvlJc w:val="left"/>
      <w:pPr>
        <w:tabs>
          <w:tab w:val="num" w:pos="3382"/>
        </w:tabs>
        <w:ind w:left="3382" w:hanging="360"/>
      </w:pPr>
      <w:rPr>
        <w:rFonts w:ascii="Wingdings" w:hAnsi="Wingdings" w:hint="default"/>
      </w:rPr>
    </w:lvl>
    <w:lvl w:ilvl="5" w:tplc="D6D8AF3A" w:tentative="1">
      <w:start w:val="1"/>
      <w:numFmt w:val="bullet"/>
      <w:lvlText w:val=""/>
      <w:lvlJc w:val="left"/>
      <w:pPr>
        <w:tabs>
          <w:tab w:val="num" w:pos="4102"/>
        </w:tabs>
        <w:ind w:left="4102" w:hanging="360"/>
      </w:pPr>
      <w:rPr>
        <w:rFonts w:ascii="Wingdings" w:hAnsi="Wingdings" w:hint="default"/>
      </w:rPr>
    </w:lvl>
    <w:lvl w:ilvl="6" w:tplc="E68C4E78" w:tentative="1">
      <w:start w:val="1"/>
      <w:numFmt w:val="bullet"/>
      <w:lvlText w:val=""/>
      <w:lvlJc w:val="left"/>
      <w:pPr>
        <w:tabs>
          <w:tab w:val="num" w:pos="4822"/>
        </w:tabs>
        <w:ind w:left="4822" w:hanging="360"/>
      </w:pPr>
      <w:rPr>
        <w:rFonts w:ascii="Wingdings" w:hAnsi="Wingdings" w:hint="default"/>
      </w:rPr>
    </w:lvl>
    <w:lvl w:ilvl="7" w:tplc="CB02AE78" w:tentative="1">
      <w:start w:val="1"/>
      <w:numFmt w:val="bullet"/>
      <w:lvlText w:val=""/>
      <w:lvlJc w:val="left"/>
      <w:pPr>
        <w:tabs>
          <w:tab w:val="num" w:pos="5542"/>
        </w:tabs>
        <w:ind w:left="5542" w:hanging="360"/>
      </w:pPr>
      <w:rPr>
        <w:rFonts w:ascii="Wingdings" w:hAnsi="Wingdings" w:hint="default"/>
      </w:rPr>
    </w:lvl>
    <w:lvl w:ilvl="8" w:tplc="B3E4A7D2" w:tentative="1">
      <w:start w:val="1"/>
      <w:numFmt w:val="bullet"/>
      <w:lvlText w:val=""/>
      <w:lvlJc w:val="left"/>
      <w:pPr>
        <w:tabs>
          <w:tab w:val="num" w:pos="6262"/>
        </w:tabs>
        <w:ind w:left="6262" w:hanging="360"/>
      </w:pPr>
      <w:rPr>
        <w:rFonts w:ascii="Wingdings" w:hAnsi="Wingdings" w:hint="default"/>
      </w:rPr>
    </w:lvl>
  </w:abstractNum>
  <w:abstractNum w:abstractNumId="2">
    <w:nsid w:val="242C60D7"/>
    <w:multiLevelType w:val="hybridMultilevel"/>
    <w:tmpl w:val="DFB272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6B64AC1"/>
    <w:multiLevelType w:val="multilevel"/>
    <w:tmpl w:val="0BA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34ED2"/>
    <w:multiLevelType w:val="hybridMultilevel"/>
    <w:tmpl w:val="F364D82E"/>
    <w:lvl w:ilvl="0" w:tplc="A6C20CAE">
      <w:start w:val="3"/>
      <w:numFmt w:val="bullet"/>
      <w:lvlText w:val="-"/>
      <w:lvlJc w:val="left"/>
      <w:pPr>
        <w:ind w:left="541" w:hanging="360"/>
      </w:pPr>
      <w:rPr>
        <w:rFonts w:ascii="Times New Roman" w:eastAsiaTheme="minorHAnsi" w:hAnsi="Times New Roman" w:cs="Times New Roman" w:hint="default"/>
      </w:rPr>
    </w:lvl>
    <w:lvl w:ilvl="1" w:tplc="04050003" w:tentative="1">
      <w:start w:val="1"/>
      <w:numFmt w:val="bullet"/>
      <w:lvlText w:val="o"/>
      <w:lvlJc w:val="left"/>
      <w:pPr>
        <w:ind w:left="1261" w:hanging="360"/>
      </w:pPr>
      <w:rPr>
        <w:rFonts w:ascii="Courier New" w:hAnsi="Courier New" w:cs="Courier New" w:hint="default"/>
      </w:rPr>
    </w:lvl>
    <w:lvl w:ilvl="2" w:tplc="04050005" w:tentative="1">
      <w:start w:val="1"/>
      <w:numFmt w:val="bullet"/>
      <w:lvlText w:val=""/>
      <w:lvlJc w:val="left"/>
      <w:pPr>
        <w:ind w:left="1981" w:hanging="360"/>
      </w:pPr>
      <w:rPr>
        <w:rFonts w:ascii="Wingdings" w:hAnsi="Wingdings" w:hint="default"/>
      </w:rPr>
    </w:lvl>
    <w:lvl w:ilvl="3" w:tplc="04050001" w:tentative="1">
      <w:start w:val="1"/>
      <w:numFmt w:val="bullet"/>
      <w:lvlText w:val=""/>
      <w:lvlJc w:val="left"/>
      <w:pPr>
        <w:ind w:left="2701" w:hanging="360"/>
      </w:pPr>
      <w:rPr>
        <w:rFonts w:ascii="Symbol" w:hAnsi="Symbol" w:hint="default"/>
      </w:rPr>
    </w:lvl>
    <w:lvl w:ilvl="4" w:tplc="04050003" w:tentative="1">
      <w:start w:val="1"/>
      <w:numFmt w:val="bullet"/>
      <w:lvlText w:val="o"/>
      <w:lvlJc w:val="left"/>
      <w:pPr>
        <w:ind w:left="3421" w:hanging="360"/>
      </w:pPr>
      <w:rPr>
        <w:rFonts w:ascii="Courier New" w:hAnsi="Courier New" w:cs="Courier New" w:hint="default"/>
      </w:rPr>
    </w:lvl>
    <w:lvl w:ilvl="5" w:tplc="04050005" w:tentative="1">
      <w:start w:val="1"/>
      <w:numFmt w:val="bullet"/>
      <w:lvlText w:val=""/>
      <w:lvlJc w:val="left"/>
      <w:pPr>
        <w:ind w:left="4141" w:hanging="360"/>
      </w:pPr>
      <w:rPr>
        <w:rFonts w:ascii="Wingdings" w:hAnsi="Wingdings" w:hint="default"/>
      </w:rPr>
    </w:lvl>
    <w:lvl w:ilvl="6" w:tplc="04050001" w:tentative="1">
      <w:start w:val="1"/>
      <w:numFmt w:val="bullet"/>
      <w:lvlText w:val=""/>
      <w:lvlJc w:val="left"/>
      <w:pPr>
        <w:ind w:left="4861" w:hanging="360"/>
      </w:pPr>
      <w:rPr>
        <w:rFonts w:ascii="Symbol" w:hAnsi="Symbol" w:hint="default"/>
      </w:rPr>
    </w:lvl>
    <w:lvl w:ilvl="7" w:tplc="04050003" w:tentative="1">
      <w:start w:val="1"/>
      <w:numFmt w:val="bullet"/>
      <w:lvlText w:val="o"/>
      <w:lvlJc w:val="left"/>
      <w:pPr>
        <w:ind w:left="5581" w:hanging="360"/>
      </w:pPr>
      <w:rPr>
        <w:rFonts w:ascii="Courier New" w:hAnsi="Courier New" w:cs="Courier New" w:hint="default"/>
      </w:rPr>
    </w:lvl>
    <w:lvl w:ilvl="8" w:tplc="04050005" w:tentative="1">
      <w:start w:val="1"/>
      <w:numFmt w:val="bullet"/>
      <w:lvlText w:val=""/>
      <w:lvlJc w:val="left"/>
      <w:pPr>
        <w:ind w:left="6301" w:hanging="360"/>
      </w:pPr>
      <w:rPr>
        <w:rFonts w:ascii="Wingdings" w:hAnsi="Wingdings" w:hint="default"/>
      </w:rPr>
    </w:lvl>
  </w:abstractNum>
  <w:abstractNum w:abstractNumId="5">
    <w:nsid w:val="503372DB"/>
    <w:multiLevelType w:val="hybridMultilevel"/>
    <w:tmpl w:val="183E67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2395"/>
    <w:rsid w:val="0000081C"/>
    <w:rsid w:val="00000F57"/>
    <w:rsid w:val="000036A6"/>
    <w:rsid w:val="00004842"/>
    <w:rsid w:val="0001507B"/>
    <w:rsid w:val="00021B4D"/>
    <w:rsid w:val="00022C9B"/>
    <w:rsid w:val="00026121"/>
    <w:rsid w:val="0003241C"/>
    <w:rsid w:val="00033B26"/>
    <w:rsid w:val="00034E7C"/>
    <w:rsid w:val="00036126"/>
    <w:rsid w:val="0004054B"/>
    <w:rsid w:val="000514C2"/>
    <w:rsid w:val="00055D2C"/>
    <w:rsid w:val="00057A38"/>
    <w:rsid w:val="00060467"/>
    <w:rsid w:val="00060A80"/>
    <w:rsid w:val="0006361F"/>
    <w:rsid w:val="00065B9F"/>
    <w:rsid w:val="00065E6B"/>
    <w:rsid w:val="00073941"/>
    <w:rsid w:val="00073EA6"/>
    <w:rsid w:val="00074173"/>
    <w:rsid w:val="00084C11"/>
    <w:rsid w:val="00085EE3"/>
    <w:rsid w:val="0009031F"/>
    <w:rsid w:val="000A38BA"/>
    <w:rsid w:val="000A3E69"/>
    <w:rsid w:val="000A7BEE"/>
    <w:rsid w:val="000B5ECD"/>
    <w:rsid w:val="000C0AC7"/>
    <w:rsid w:val="000D1E56"/>
    <w:rsid w:val="000D2C04"/>
    <w:rsid w:val="000D4100"/>
    <w:rsid w:val="000E016B"/>
    <w:rsid w:val="000E53F3"/>
    <w:rsid w:val="000E647C"/>
    <w:rsid w:val="000E6BD1"/>
    <w:rsid w:val="000F3EA5"/>
    <w:rsid w:val="001017AC"/>
    <w:rsid w:val="00111209"/>
    <w:rsid w:val="001119B8"/>
    <w:rsid w:val="001241D6"/>
    <w:rsid w:val="00131186"/>
    <w:rsid w:val="00132A35"/>
    <w:rsid w:val="0013484E"/>
    <w:rsid w:val="001412A7"/>
    <w:rsid w:val="00143BA6"/>
    <w:rsid w:val="00151FD1"/>
    <w:rsid w:val="00153FB4"/>
    <w:rsid w:val="00160CA3"/>
    <w:rsid w:val="00162DA3"/>
    <w:rsid w:val="00163760"/>
    <w:rsid w:val="00167CFF"/>
    <w:rsid w:val="00170D37"/>
    <w:rsid w:val="00172F2D"/>
    <w:rsid w:val="001731A1"/>
    <w:rsid w:val="00174007"/>
    <w:rsid w:val="0017637A"/>
    <w:rsid w:val="00181983"/>
    <w:rsid w:val="00184D98"/>
    <w:rsid w:val="001865D9"/>
    <w:rsid w:val="00186E2C"/>
    <w:rsid w:val="00187DC2"/>
    <w:rsid w:val="00191D76"/>
    <w:rsid w:val="00192907"/>
    <w:rsid w:val="0019441D"/>
    <w:rsid w:val="00195250"/>
    <w:rsid w:val="00197A41"/>
    <w:rsid w:val="001A0918"/>
    <w:rsid w:val="001A3091"/>
    <w:rsid w:val="001A3AE9"/>
    <w:rsid w:val="001B2E9A"/>
    <w:rsid w:val="001C0A30"/>
    <w:rsid w:val="001C5A33"/>
    <w:rsid w:val="001D44DA"/>
    <w:rsid w:val="001E5C1D"/>
    <w:rsid w:val="001E79FD"/>
    <w:rsid w:val="001F019B"/>
    <w:rsid w:val="001F12CF"/>
    <w:rsid w:val="001F15F8"/>
    <w:rsid w:val="001F1E01"/>
    <w:rsid w:val="001F2665"/>
    <w:rsid w:val="001F2E75"/>
    <w:rsid w:val="001F4384"/>
    <w:rsid w:val="001F5F2A"/>
    <w:rsid w:val="001F7513"/>
    <w:rsid w:val="00216AA0"/>
    <w:rsid w:val="00223900"/>
    <w:rsid w:val="00226645"/>
    <w:rsid w:val="00234B2E"/>
    <w:rsid w:val="002372D0"/>
    <w:rsid w:val="00240B98"/>
    <w:rsid w:val="00245842"/>
    <w:rsid w:val="00247721"/>
    <w:rsid w:val="0025016C"/>
    <w:rsid w:val="00252F6B"/>
    <w:rsid w:val="00253A75"/>
    <w:rsid w:val="0025679C"/>
    <w:rsid w:val="0027548E"/>
    <w:rsid w:val="00275DED"/>
    <w:rsid w:val="00280F84"/>
    <w:rsid w:val="00284840"/>
    <w:rsid w:val="00285DC1"/>
    <w:rsid w:val="00287ED1"/>
    <w:rsid w:val="00295A21"/>
    <w:rsid w:val="002A507C"/>
    <w:rsid w:val="002A72FA"/>
    <w:rsid w:val="002B612B"/>
    <w:rsid w:val="002B7513"/>
    <w:rsid w:val="002C2053"/>
    <w:rsid w:val="002C2458"/>
    <w:rsid w:val="002C25B5"/>
    <w:rsid w:val="002C419D"/>
    <w:rsid w:val="002C593E"/>
    <w:rsid w:val="002D4E72"/>
    <w:rsid w:val="002F0E2A"/>
    <w:rsid w:val="002F3F35"/>
    <w:rsid w:val="002F4556"/>
    <w:rsid w:val="002F6E36"/>
    <w:rsid w:val="00307579"/>
    <w:rsid w:val="00311F2A"/>
    <w:rsid w:val="003160F5"/>
    <w:rsid w:val="00320AE0"/>
    <w:rsid w:val="00320FB0"/>
    <w:rsid w:val="0032268D"/>
    <w:rsid w:val="00324205"/>
    <w:rsid w:val="003265D4"/>
    <w:rsid w:val="00337E60"/>
    <w:rsid w:val="00343FFB"/>
    <w:rsid w:val="003443AE"/>
    <w:rsid w:val="00344F28"/>
    <w:rsid w:val="00345695"/>
    <w:rsid w:val="00353361"/>
    <w:rsid w:val="00354D78"/>
    <w:rsid w:val="0035788F"/>
    <w:rsid w:val="00361581"/>
    <w:rsid w:val="00366B52"/>
    <w:rsid w:val="003751CB"/>
    <w:rsid w:val="003773F6"/>
    <w:rsid w:val="003810D9"/>
    <w:rsid w:val="00382824"/>
    <w:rsid w:val="003879BD"/>
    <w:rsid w:val="00390AE2"/>
    <w:rsid w:val="00390CC7"/>
    <w:rsid w:val="0039362B"/>
    <w:rsid w:val="003970A6"/>
    <w:rsid w:val="00397201"/>
    <w:rsid w:val="003972F3"/>
    <w:rsid w:val="003A16AB"/>
    <w:rsid w:val="003A212D"/>
    <w:rsid w:val="003A2AD8"/>
    <w:rsid w:val="003A473D"/>
    <w:rsid w:val="003A537F"/>
    <w:rsid w:val="003A5601"/>
    <w:rsid w:val="003A663A"/>
    <w:rsid w:val="003A71AF"/>
    <w:rsid w:val="003A7614"/>
    <w:rsid w:val="003B04E0"/>
    <w:rsid w:val="003B076A"/>
    <w:rsid w:val="003C0368"/>
    <w:rsid w:val="003C227D"/>
    <w:rsid w:val="003C41DC"/>
    <w:rsid w:val="003D53C1"/>
    <w:rsid w:val="003D70AA"/>
    <w:rsid w:val="003D7D5A"/>
    <w:rsid w:val="003E1257"/>
    <w:rsid w:val="003E249F"/>
    <w:rsid w:val="003E3653"/>
    <w:rsid w:val="003E79FB"/>
    <w:rsid w:val="003F02A7"/>
    <w:rsid w:val="003F06CC"/>
    <w:rsid w:val="003F07B9"/>
    <w:rsid w:val="003F28CD"/>
    <w:rsid w:val="003F2927"/>
    <w:rsid w:val="003F2C08"/>
    <w:rsid w:val="00401DD9"/>
    <w:rsid w:val="0040265C"/>
    <w:rsid w:val="004049C8"/>
    <w:rsid w:val="00410630"/>
    <w:rsid w:val="00415264"/>
    <w:rsid w:val="00416C0B"/>
    <w:rsid w:val="004170B4"/>
    <w:rsid w:val="0041784B"/>
    <w:rsid w:val="00420FA1"/>
    <w:rsid w:val="00434599"/>
    <w:rsid w:val="0044408F"/>
    <w:rsid w:val="00444F6A"/>
    <w:rsid w:val="004503CE"/>
    <w:rsid w:val="00453CD0"/>
    <w:rsid w:val="0046248D"/>
    <w:rsid w:val="00462510"/>
    <w:rsid w:val="00462855"/>
    <w:rsid w:val="004733E9"/>
    <w:rsid w:val="004766F8"/>
    <w:rsid w:val="00477BB7"/>
    <w:rsid w:val="004841C8"/>
    <w:rsid w:val="0048702A"/>
    <w:rsid w:val="00487348"/>
    <w:rsid w:val="0049326C"/>
    <w:rsid w:val="004A7A7C"/>
    <w:rsid w:val="004B15F9"/>
    <w:rsid w:val="004C0DDE"/>
    <w:rsid w:val="004D62B4"/>
    <w:rsid w:val="004D7FE7"/>
    <w:rsid w:val="004E50A0"/>
    <w:rsid w:val="004F3B03"/>
    <w:rsid w:val="004F6CB4"/>
    <w:rsid w:val="00500783"/>
    <w:rsid w:val="005054B0"/>
    <w:rsid w:val="00516A27"/>
    <w:rsid w:val="00520C42"/>
    <w:rsid w:val="00524F6A"/>
    <w:rsid w:val="00525FE4"/>
    <w:rsid w:val="00526AB4"/>
    <w:rsid w:val="005335B5"/>
    <w:rsid w:val="00533DB7"/>
    <w:rsid w:val="0054468F"/>
    <w:rsid w:val="00545D17"/>
    <w:rsid w:val="00547D7B"/>
    <w:rsid w:val="00553D50"/>
    <w:rsid w:val="00553E07"/>
    <w:rsid w:val="005557DA"/>
    <w:rsid w:val="00564E82"/>
    <w:rsid w:val="005705BE"/>
    <w:rsid w:val="005705F7"/>
    <w:rsid w:val="00571FFE"/>
    <w:rsid w:val="00572648"/>
    <w:rsid w:val="00576FBB"/>
    <w:rsid w:val="00586990"/>
    <w:rsid w:val="00587CC2"/>
    <w:rsid w:val="00591EE2"/>
    <w:rsid w:val="005A3029"/>
    <w:rsid w:val="005A3E2C"/>
    <w:rsid w:val="005A4002"/>
    <w:rsid w:val="005B2BBA"/>
    <w:rsid w:val="005B58B8"/>
    <w:rsid w:val="005C2B7A"/>
    <w:rsid w:val="005C2B7E"/>
    <w:rsid w:val="005D2115"/>
    <w:rsid w:val="005D22D5"/>
    <w:rsid w:val="005D6878"/>
    <w:rsid w:val="005E124F"/>
    <w:rsid w:val="005E380A"/>
    <w:rsid w:val="005F5B6D"/>
    <w:rsid w:val="00601CE9"/>
    <w:rsid w:val="00605182"/>
    <w:rsid w:val="00606289"/>
    <w:rsid w:val="00606BE0"/>
    <w:rsid w:val="006135FF"/>
    <w:rsid w:val="0063050D"/>
    <w:rsid w:val="00631C22"/>
    <w:rsid w:val="00631FD7"/>
    <w:rsid w:val="00637D62"/>
    <w:rsid w:val="00637F49"/>
    <w:rsid w:val="00646D3F"/>
    <w:rsid w:val="00652C00"/>
    <w:rsid w:val="00655401"/>
    <w:rsid w:val="006570F7"/>
    <w:rsid w:val="0066201B"/>
    <w:rsid w:val="00663299"/>
    <w:rsid w:val="00663AB6"/>
    <w:rsid w:val="00663DDC"/>
    <w:rsid w:val="00664815"/>
    <w:rsid w:val="006801B7"/>
    <w:rsid w:val="0068658E"/>
    <w:rsid w:val="00695AD6"/>
    <w:rsid w:val="006A1B02"/>
    <w:rsid w:val="006A45A8"/>
    <w:rsid w:val="006B7539"/>
    <w:rsid w:val="006C65FC"/>
    <w:rsid w:val="006C676D"/>
    <w:rsid w:val="006C6AB1"/>
    <w:rsid w:val="006C7BEA"/>
    <w:rsid w:val="006D170D"/>
    <w:rsid w:val="006D3D31"/>
    <w:rsid w:val="006E5CB9"/>
    <w:rsid w:val="006E6E76"/>
    <w:rsid w:val="006F7C0C"/>
    <w:rsid w:val="0070108D"/>
    <w:rsid w:val="007062ED"/>
    <w:rsid w:val="00733888"/>
    <w:rsid w:val="00736EEA"/>
    <w:rsid w:val="00740342"/>
    <w:rsid w:val="00746D3C"/>
    <w:rsid w:val="007506AB"/>
    <w:rsid w:val="007511D9"/>
    <w:rsid w:val="00755A31"/>
    <w:rsid w:val="0076467F"/>
    <w:rsid w:val="00765D15"/>
    <w:rsid w:val="00774DC3"/>
    <w:rsid w:val="00780A81"/>
    <w:rsid w:val="00782D0F"/>
    <w:rsid w:val="007877C7"/>
    <w:rsid w:val="007965E7"/>
    <w:rsid w:val="007A01CE"/>
    <w:rsid w:val="007A495F"/>
    <w:rsid w:val="007C7408"/>
    <w:rsid w:val="007D3D04"/>
    <w:rsid w:val="007D40FE"/>
    <w:rsid w:val="007D4BFF"/>
    <w:rsid w:val="007D657C"/>
    <w:rsid w:val="007D7F3C"/>
    <w:rsid w:val="007E04F2"/>
    <w:rsid w:val="007E0AFE"/>
    <w:rsid w:val="007E383F"/>
    <w:rsid w:val="007E5011"/>
    <w:rsid w:val="007E7A61"/>
    <w:rsid w:val="007F4B6A"/>
    <w:rsid w:val="007F4C80"/>
    <w:rsid w:val="007F6ECB"/>
    <w:rsid w:val="0080050C"/>
    <w:rsid w:val="008018BA"/>
    <w:rsid w:val="008022E1"/>
    <w:rsid w:val="00804474"/>
    <w:rsid w:val="0080730F"/>
    <w:rsid w:val="00811A74"/>
    <w:rsid w:val="00823567"/>
    <w:rsid w:val="00826808"/>
    <w:rsid w:val="008437D3"/>
    <w:rsid w:val="0085265E"/>
    <w:rsid w:val="00856BDF"/>
    <w:rsid w:val="008650B0"/>
    <w:rsid w:val="008674B1"/>
    <w:rsid w:val="0087285D"/>
    <w:rsid w:val="00872B45"/>
    <w:rsid w:val="00884D6F"/>
    <w:rsid w:val="00887154"/>
    <w:rsid w:val="008957BD"/>
    <w:rsid w:val="00896F72"/>
    <w:rsid w:val="008A194C"/>
    <w:rsid w:val="008A2DE9"/>
    <w:rsid w:val="008A424C"/>
    <w:rsid w:val="008B24DC"/>
    <w:rsid w:val="008B30BB"/>
    <w:rsid w:val="008B49E6"/>
    <w:rsid w:val="008B565C"/>
    <w:rsid w:val="008B682E"/>
    <w:rsid w:val="008C08D1"/>
    <w:rsid w:val="008C3B0F"/>
    <w:rsid w:val="008D05E9"/>
    <w:rsid w:val="008D6B59"/>
    <w:rsid w:val="008E07F7"/>
    <w:rsid w:val="008E28AA"/>
    <w:rsid w:val="008E4986"/>
    <w:rsid w:val="008E7479"/>
    <w:rsid w:val="008F09E5"/>
    <w:rsid w:val="008F77B2"/>
    <w:rsid w:val="00900CD4"/>
    <w:rsid w:val="009055F8"/>
    <w:rsid w:val="00907581"/>
    <w:rsid w:val="00911356"/>
    <w:rsid w:val="00913A65"/>
    <w:rsid w:val="00916D75"/>
    <w:rsid w:val="00917FDB"/>
    <w:rsid w:val="0092414F"/>
    <w:rsid w:val="00925AF7"/>
    <w:rsid w:val="00926C71"/>
    <w:rsid w:val="00935A57"/>
    <w:rsid w:val="00942ECF"/>
    <w:rsid w:val="009432B5"/>
    <w:rsid w:val="00944135"/>
    <w:rsid w:val="00944952"/>
    <w:rsid w:val="00944CCA"/>
    <w:rsid w:val="009506FB"/>
    <w:rsid w:val="009526AD"/>
    <w:rsid w:val="009535E1"/>
    <w:rsid w:val="0095445C"/>
    <w:rsid w:val="009545BB"/>
    <w:rsid w:val="00956380"/>
    <w:rsid w:val="00957B4B"/>
    <w:rsid w:val="00957E8C"/>
    <w:rsid w:val="0096056C"/>
    <w:rsid w:val="009607C9"/>
    <w:rsid w:val="009616CC"/>
    <w:rsid w:val="00963B6B"/>
    <w:rsid w:val="00964528"/>
    <w:rsid w:val="00964761"/>
    <w:rsid w:val="009707DD"/>
    <w:rsid w:val="00973332"/>
    <w:rsid w:val="00980E0B"/>
    <w:rsid w:val="009841A2"/>
    <w:rsid w:val="00985E4C"/>
    <w:rsid w:val="00992DA1"/>
    <w:rsid w:val="00993331"/>
    <w:rsid w:val="00995FAB"/>
    <w:rsid w:val="009A66C6"/>
    <w:rsid w:val="009B24FA"/>
    <w:rsid w:val="009B3CED"/>
    <w:rsid w:val="009B68D7"/>
    <w:rsid w:val="009B6C24"/>
    <w:rsid w:val="009C0D74"/>
    <w:rsid w:val="009C1F28"/>
    <w:rsid w:val="009D6ED6"/>
    <w:rsid w:val="009E0549"/>
    <w:rsid w:val="009E3949"/>
    <w:rsid w:val="009F549B"/>
    <w:rsid w:val="009F5750"/>
    <w:rsid w:val="009F6791"/>
    <w:rsid w:val="00A00D05"/>
    <w:rsid w:val="00A032D6"/>
    <w:rsid w:val="00A071DB"/>
    <w:rsid w:val="00A07F44"/>
    <w:rsid w:val="00A1273E"/>
    <w:rsid w:val="00A12BC0"/>
    <w:rsid w:val="00A151A6"/>
    <w:rsid w:val="00A162CD"/>
    <w:rsid w:val="00A17B86"/>
    <w:rsid w:val="00A201C6"/>
    <w:rsid w:val="00A318A1"/>
    <w:rsid w:val="00A337AF"/>
    <w:rsid w:val="00A36FB7"/>
    <w:rsid w:val="00A52031"/>
    <w:rsid w:val="00A54A5C"/>
    <w:rsid w:val="00A552AF"/>
    <w:rsid w:val="00A63649"/>
    <w:rsid w:val="00A6546C"/>
    <w:rsid w:val="00A70F4A"/>
    <w:rsid w:val="00A7303A"/>
    <w:rsid w:val="00A7347F"/>
    <w:rsid w:val="00A75C68"/>
    <w:rsid w:val="00A77FA2"/>
    <w:rsid w:val="00A816E5"/>
    <w:rsid w:val="00A83346"/>
    <w:rsid w:val="00A91D74"/>
    <w:rsid w:val="00AA0A13"/>
    <w:rsid w:val="00AA2046"/>
    <w:rsid w:val="00AA2CFA"/>
    <w:rsid w:val="00AA5820"/>
    <w:rsid w:val="00AA67FE"/>
    <w:rsid w:val="00AA6F2D"/>
    <w:rsid w:val="00AB0102"/>
    <w:rsid w:val="00AB387C"/>
    <w:rsid w:val="00AB41D8"/>
    <w:rsid w:val="00AB6816"/>
    <w:rsid w:val="00AC1013"/>
    <w:rsid w:val="00AC2E14"/>
    <w:rsid w:val="00AC7DC0"/>
    <w:rsid w:val="00AF2362"/>
    <w:rsid w:val="00AF3A89"/>
    <w:rsid w:val="00AF4BBA"/>
    <w:rsid w:val="00B0134E"/>
    <w:rsid w:val="00B22ABC"/>
    <w:rsid w:val="00B22B2B"/>
    <w:rsid w:val="00B2311E"/>
    <w:rsid w:val="00B257DF"/>
    <w:rsid w:val="00B26065"/>
    <w:rsid w:val="00B30A98"/>
    <w:rsid w:val="00B35779"/>
    <w:rsid w:val="00B3595C"/>
    <w:rsid w:val="00B5178D"/>
    <w:rsid w:val="00B51F19"/>
    <w:rsid w:val="00B55C86"/>
    <w:rsid w:val="00B62B2D"/>
    <w:rsid w:val="00B6366B"/>
    <w:rsid w:val="00B67660"/>
    <w:rsid w:val="00B73B46"/>
    <w:rsid w:val="00B7411E"/>
    <w:rsid w:val="00B77F86"/>
    <w:rsid w:val="00B8014D"/>
    <w:rsid w:val="00B807B3"/>
    <w:rsid w:val="00B8140D"/>
    <w:rsid w:val="00B816B0"/>
    <w:rsid w:val="00B84433"/>
    <w:rsid w:val="00B86133"/>
    <w:rsid w:val="00B867AA"/>
    <w:rsid w:val="00B915EA"/>
    <w:rsid w:val="00B92FC4"/>
    <w:rsid w:val="00B946D8"/>
    <w:rsid w:val="00BA6467"/>
    <w:rsid w:val="00BB0E3E"/>
    <w:rsid w:val="00BB43FC"/>
    <w:rsid w:val="00BC5AF0"/>
    <w:rsid w:val="00BC5B3A"/>
    <w:rsid w:val="00BC738B"/>
    <w:rsid w:val="00BD1C95"/>
    <w:rsid w:val="00BD29E7"/>
    <w:rsid w:val="00BD6874"/>
    <w:rsid w:val="00BE61FE"/>
    <w:rsid w:val="00BF0D1E"/>
    <w:rsid w:val="00BF2704"/>
    <w:rsid w:val="00BF30E7"/>
    <w:rsid w:val="00BF51E2"/>
    <w:rsid w:val="00BF5834"/>
    <w:rsid w:val="00C02674"/>
    <w:rsid w:val="00C04215"/>
    <w:rsid w:val="00C0627B"/>
    <w:rsid w:val="00C0704B"/>
    <w:rsid w:val="00C10FA3"/>
    <w:rsid w:val="00C12F4E"/>
    <w:rsid w:val="00C13655"/>
    <w:rsid w:val="00C14541"/>
    <w:rsid w:val="00C1520B"/>
    <w:rsid w:val="00C24376"/>
    <w:rsid w:val="00C34763"/>
    <w:rsid w:val="00C41258"/>
    <w:rsid w:val="00C413C6"/>
    <w:rsid w:val="00C42B6C"/>
    <w:rsid w:val="00C43C38"/>
    <w:rsid w:val="00C44A28"/>
    <w:rsid w:val="00C51046"/>
    <w:rsid w:val="00C536AD"/>
    <w:rsid w:val="00C536D3"/>
    <w:rsid w:val="00C574FD"/>
    <w:rsid w:val="00C70124"/>
    <w:rsid w:val="00C71BFB"/>
    <w:rsid w:val="00C71D9C"/>
    <w:rsid w:val="00C71F10"/>
    <w:rsid w:val="00C75644"/>
    <w:rsid w:val="00C75AC6"/>
    <w:rsid w:val="00C86D9E"/>
    <w:rsid w:val="00C86DBC"/>
    <w:rsid w:val="00C90B5E"/>
    <w:rsid w:val="00C949BC"/>
    <w:rsid w:val="00C94DB3"/>
    <w:rsid w:val="00CA1DB6"/>
    <w:rsid w:val="00CA3007"/>
    <w:rsid w:val="00CA3BE3"/>
    <w:rsid w:val="00CA4AED"/>
    <w:rsid w:val="00CB31B2"/>
    <w:rsid w:val="00CB5FDE"/>
    <w:rsid w:val="00CB7564"/>
    <w:rsid w:val="00CC702A"/>
    <w:rsid w:val="00CD394F"/>
    <w:rsid w:val="00CD499D"/>
    <w:rsid w:val="00CD5253"/>
    <w:rsid w:val="00CD6DC9"/>
    <w:rsid w:val="00CE60A3"/>
    <w:rsid w:val="00CF1146"/>
    <w:rsid w:val="00CF2540"/>
    <w:rsid w:val="00CF567F"/>
    <w:rsid w:val="00D03931"/>
    <w:rsid w:val="00D11172"/>
    <w:rsid w:val="00D14478"/>
    <w:rsid w:val="00D2085A"/>
    <w:rsid w:val="00D245F4"/>
    <w:rsid w:val="00D3622B"/>
    <w:rsid w:val="00D37322"/>
    <w:rsid w:val="00D42E1D"/>
    <w:rsid w:val="00D42FAC"/>
    <w:rsid w:val="00D52CFC"/>
    <w:rsid w:val="00D54FD4"/>
    <w:rsid w:val="00D5706A"/>
    <w:rsid w:val="00D57830"/>
    <w:rsid w:val="00D65B92"/>
    <w:rsid w:val="00D727ED"/>
    <w:rsid w:val="00D73310"/>
    <w:rsid w:val="00D75B08"/>
    <w:rsid w:val="00D809C7"/>
    <w:rsid w:val="00D8270F"/>
    <w:rsid w:val="00D853C4"/>
    <w:rsid w:val="00D85C70"/>
    <w:rsid w:val="00D86C2B"/>
    <w:rsid w:val="00DA4325"/>
    <w:rsid w:val="00DB3B9C"/>
    <w:rsid w:val="00DB784F"/>
    <w:rsid w:val="00DC08EF"/>
    <w:rsid w:val="00DC09B0"/>
    <w:rsid w:val="00DC2377"/>
    <w:rsid w:val="00DC3327"/>
    <w:rsid w:val="00DC4F23"/>
    <w:rsid w:val="00DD0D46"/>
    <w:rsid w:val="00DD11A1"/>
    <w:rsid w:val="00DD268B"/>
    <w:rsid w:val="00DE1E00"/>
    <w:rsid w:val="00DE5150"/>
    <w:rsid w:val="00DE5301"/>
    <w:rsid w:val="00DE6C0F"/>
    <w:rsid w:val="00DF398D"/>
    <w:rsid w:val="00DF3B9E"/>
    <w:rsid w:val="00DF4F8C"/>
    <w:rsid w:val="00DF7567"/>
    <w:rsid w:val="00E14029"/>
    <w:rsid w:val="00E16AF5"/>
    <w:rsid w:val="00E2185B"/>
    <w:rsid w:val="00E24329"/>
    <w:rsid w:val="00E24726"/>
    <w:rsid w:val="00E34909"/>
    <w:rsid w:val="00E34AA5"/>
    <w:rsid w:val="00E3631D"/>
    <w:rsid w:val="00E415BD"/>
    <w:rsid w:val="00E4329C"/>
    <w:rsid w:val="00E440F5"/>
    <w:rsid w:val="00E51853"/>
    <w:rsid w:val="00E54515"/>
    <w:rsid w:val="00E55F36"/>
    <w:rsid w:val="00E617E5"/>
    <w:rsid w:val="00E61F29"/>
    <w:rsid w:val="00E63E9E"/>
    <w:rsid w:val="00E66F29"/>
    <w:rsid w:val="00E66FF0"/>
    <w:rsid w:val="00E73BDE"/>
    <w:rsid w:val="00E74979"/>
    <w:rsid w:val="00E83461"/>
    <w:rsid w:val="00E857B3"/>
    <w:rsid w:val="00E86266"/>
    <w:rsid w:val="00E8749F"/>
    <w:rsid w:val="00E91F3C"/>
    <w:rsid w:val="00E93E82"/>
    <w:rsid w:val="00E96FC6"/>
    <w:rsid w:val="00EA0DA6"/>
    <w:rsid w:val="00EA306B"/>
    <w:rsid w:val="00EA5476"/>
    <w:rsid w:val="00EB2395"/>
    <w:rsid w:val="00EB35D3"/>
    <w:rsid w:val="00EB6549"/>
    <w:rsid w:val="00EC3442"/>
    <w:rsid w:val="00ED2329"/>
    <w:rsid w:val="00EE00A8"/>
    <w:rsid w:val="00EE216B"/>
    <w:rsid w:val="00EE2673"/>
    <w:rsid w:val="00EE6BE2"/>
    <w:rsid w:val="00EF0BBA"/>
    <w:rsid w:val="00EF0F73"/>
    <w:rsid w:val="00EF228A"/>
    <w:rsid w:val="00EF2BB5"/>
    <w:rsid w:val="00EF2E8F"/>
    <w:rsid w:val="00F01ECA"/>
    <w:rsid w:val="00F03B04"/>
    <w:rsid w:val="00F14BC2"/>
    <w:rsid w:val="00F16110"/>
    <w:rsid w:val="00F20408"/>
    <w:rsid w:val="00F204D2"/>
    <w:rsid w:val="00F248F0"/>
    <w:rsid w:val="00F25C1D"/>
    <w:rsid w:val="00F3008A"/>
    <w:rsid w:val="00F32860"/>
    <w:rsid w:val="00F33263"/>
    <w:rsid w:val="00F40EE4"/>
    <w:rsid w:val="00F42F95"/>
    <w:rsid w:val="00F430AD"/>
    <w:rsid w:val="00F50775"/>
    <w:rsid w:val="00F517CB"/>
    <w:rsid w:val="00F5798D"/>
    <w:rsid w:val="00F6468F"/>
    <w:rsid w:val="00F665DB"/>
    <w:rsid w:val="00F73E50"/>
    <w:rsid w:val="00F7618F"/>
    <w:rsid w:val="00F830A4"/>
    <w:rsid w:val="00F84F8D"/>
    <w:rsid w:val="00F85EB8"/>
    <w:rsid w:val="00F8790D"/>
    <w:rsid w:val="00F92E4F"/>
    <w:rsid w:val="00FA647C"/>
    <w:rsid w:val="00FA6BE8"/>
    <w:rsid w:val="00FA7AE7"/>
    <w:rsid w:val="00FB71EF"/>
    <w:rsid w:val="00FB7A7F"/>
    <w:rsid w:val="00FC2B5E"/>
    <w:rsid w:val="00FC4A64"/>
    <w:rsid w:val="00FC6AF3"/>
    <w:rsid w:val="00FC7C4B"/>
    <w:rsid w:val="00FD2CA7"/>
    <w:rsid w:val="00FD475C"/>
    <w:rsid w:val="00FD5832"/>
    <w:rsid w:val="00FD5EFC"/>
    <w:rsid w:val="00FE1008"/>
    <w:rsid w:val="00FE33CA"/>
    <w:rsid w:val="00FE3CC5"/>
    <w:rsid w:val="00FE595F"/>
    <w:rsid w:val="00FE7C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line="360" w:lineRule="auto"/>
        <w:ind w:left="53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840"/>
  </w:style>
  <w:style w:type="paragraph" w:styleId="Nadpis1">
    <w:name w:val="heading 1"/>
    <w:basedOn w:val="Normln"/>
    <w:next w:val="Normln"/>
    <w:link w:val="Nadpis1Char"/>
    <w:uiPriority w:val="9"/>
    <w:qFormat/>
    <w:rsid w:val="009F5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35D3"/>
    <w:pPr>
      <w:keepNext/>
      <w:spacing w:before="240" w:after="60" w:line="276" w:lineRule="auto"/>
      <w:ind w:left="0" w:firstLine="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E96FC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75C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ongtext">
    <w:name w:val="long_text"/>
    <w:basedOn w:val="Standardnpsmoodstavce"/>
    <w:rsid w:val="00151FD1"/>
  </w:style>
  <w:style w:type="character" w:styleId="Zvraznn">
    <w:name w:val="Emphasis"/>
    <w:basedOn w:val="Standardnpsmoodstavce"/>
    <w:uiPriority w:val="20"/>
    <w:qFormat/>
    <w:rsid w:val="00DD268B"/>
    <w:rPr>
      <w:i/>
      <w:iCs/>
    </w:rPr>
  </w:style>
  <w:style w:type="table" w:styleId="Mkatabulky">
    <w:name w:val="Table Grid"/>
    <w:basedOn w:val="Normlntabulka"/>
    <w:uiPriority w:val="59"/>
    <w:rsid w:val="00A91D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545D1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45D17"/>
  </w:style>
  <w:style w:type="paragraph" w:styleId="Zpat">
    <w:name w:val="footer"/>
    <w:basedOn w:val="Normln"/>
    <w:link w:val="ZpatChar"/>
    <w:uiPriority w:val="99"/>
    <w:unhideWhenUsed/>
    <w:rsid w:val="00545D17"/>
    <w:pPr>
      <w:tabs>
        <w:tab w:val="center" w:pos="4536"/>
        <w:tab w:val="right" w:pos="9072"/>
      </w:tabs>
      <w:spacing w:line="240" w:lineRule="auto"/>
    </w:pPr>
  </w:style>
  <w:style w:type="character" w:customStyle="1" w:styleId="ZpatChar">
    <w:name w:val="Zápatí Char"/>
    <w:basedOn w:val="Standardnpsmoodstavce"/>
    <w:link w:val="Zpat"/>
    <w:uiPriority w:val="99"/>
    <w:rsid w:val="00545D17"/>
  </w:style>
  <w:style w:type="paragraph" w:styleId="Normlnweb">
    <w:name w:val="Normal (Web)"/>
    <w:basedOn w:val="Normln"/>
    <w:uiPriority w:val="99"/>
    <w:unhideWhenUsed/>
    <w:rsid w:val="004D62B4"/>
    <w:pPr>
      <w:spacing w:before="240" w:after="240" w:line="240" w:lineRule="auto"/>
      <w:ind w:left="0" w:firstLine="0"/>
    </w:pPr>
    <w:rPr>
      <w:rFonts w:eastAsia="Times New Roman"/>
      <w:lang w:eastAsia="cs-CZ"/>
    </w:rPr>
  </w:style>
  <w:style w:type="character" w:customStyle="1" w:styleId="Nadpis2Char">
    <w:name w:val="Nadpis 2 Char"/>
    <w:basedOn w:val="Standardnpsmoodstavce"/>
    <w:link w:val="Nadpis2"/>
    <w:uiPriority w:val="9"/>
    <w:rsid w:val="00EB35D3"/>
    <w:rPr>
      <w:rFonts w:ascii="Cambria" w:eastAsia="Times New Roman" w:hAnsi="Cambria"/>
      <w:b/>
      <w:bCs/>
      <w:i/>
      <w:iCs/>
      <w:sz w:val="28"/>
      <w:szCs w:val="28"/>
    </w:rPr>
  </w:style>
  <w:style w:type="character" w:customStyle="1" w:styleId="hps">
    <w:name w:val="hps"/>
    <w:basedOn w:val="Standardnpsmoodstavce"/>
    <w:rsid w:val="00F8790D"/>
  </w:style>
  <w:style w:type="character" w:styleId="Hypertextovodkaz">
    <w:name w:val="Hyperlink"/>
    <w:basedOn w:val="Standardnpsmoodstavce"/>
    <w:uiPriority w:val="99"/>
    <w:unhideWhenUsed/>
    <w:rsid w:val="00E96FC6"/>
    <w:rPr>
      <w:color w:val="0000FF"/>
      <w:u w:val="single"/>
    </w:rPr>
  </w:style>
  <w:style w:type="character" w:styleId="Siln">
    <w:name w:val="Strong"/>
    <w:basedOn w:val="Standardnpsmoodstavce"/>
    <w:uiPriority w:val="22"/>
    <w:qFormat/>
    <w:rsid w:val="00E96FC6"/>
    <w:rPr>
      <w:b/>
      <w:bCs/>
    </w:rPr>
  </w:style>
  <w:style w:type="character" w:customStyle="1" w:styleId="Nadpis3Char">
    <w:name w:val="Nadpis 3 Char"/>
    <w:basedOn w:val="Standardnpsmoodstavce"/>
    <w:link w:val="Nadpis3"/>
    <w:uiPriority w:val="9"/>
    <w:rsid w:val="00E96FC6"/>
    <w:rPr>
      <w:rFonts w:asciiTheme="majorHAnsi" w:eastAsiaTheme="majorEastAsia" w:hAnsiTheme="majorHAnsi" w:cstheme="majorBidi"/>
      <w:b/>
      <w:bCs/>
      <w:color w:val="4F81BD" w:themeColor="accent1"/>
    </w:rPr>
  </w:style>
  <w:style w:type="character" w:customStyle="1" w:styleId="storydeck">
    <w:name w:val="storydeck"/>
    <w:basedOn w:val="Standardnpsmoodstavce"/>
    <w:rsid w:val="00F50775"/>
  </w:style>
  <w:style w:type="character" w:customStyle="1" w:styleId="Nadpis1Char">
    <w:name w:val="Nadpis 1 Char"/>
    <w:basedOn w:val="Standardnpsmoodstavce"/>
    <w:link w:val="Nadpis1"/>
    <w:uiPriority w:val="9"/>
    <w:rsid w:val="009F5750"/>
    <w:rPr>
      <w:rFonts w:asciiTheme="majorHAnsi" w:eastAsiaTheme="majorEastAsia" w:hAnsiTheme="majorHAnsi" w:cstheme="majorBidi"/>
      <w:b/>
      <w:bCs/>
      <w:color w:val="365F91" w:themeColor="accent1" w:themeShade="BF"/>
      <w:sz w:val="28"/>
      <w:szCs w:val="28"/>
    </w:rPr>
  </w:style>
  <w:style w:type="paragraph" w:customStyle="1" w:styleId="P-text">
    <w:name w:val="P-text"/>
    <w:basedOn w:val="Normln"/>
    <w:rsid w:val="009F5750"/>
    <w:pPr>
      <w:spacing w:after="200"/>
      <w:ind w:left="0" w:firstLine="708"/>
      <w:jc w:val="both"/>
    </w:pPr>
    <w:rPr>
      <w:rFonts w:ascii="Bookman Old Style" w:eastAsia="Calibri" w:hAnsi="Bookman Old Style"/>
    </w:rPr>
  </w:style>
  <w:style w:type="paragraph" w:styleId="Nadpisobsahu">
    <w:name w:val="TOC Heading"/>
    <w:basedOn w:val="Nadpis1"/>
    <w:next w:val="Normln"/>
    <w:uiPriority w:val="39"/>
    <w:semiHidden/>
    <w:unhideWhenUsed/>
    <w:qFormat/>
    <w:rsid w:val="009F5750"/>
    <w:pPr>
      <w:spacing w:line="276" w:lineRule="auto"/>
      <w:ind w:left="0" w:firstLine="0"/>
      <w:outlineLvl w:val="9"/>
    </w:pPr>
  </w:style>
  <w:style w:type="paragraph" w:styleId="Obsah1">
    <w:name w:val="toc 1"/>
    <w:basedOn w:val="Normln"/>
    <w:next w:val="Normln"/>
    <w:autoRedefine/>
    <w:uiPriority w:val="39"/>
    <w:unhideWhenUsed/>
    <w:rsid w:val="009F5750"/>
    <w:pPr>
      <w:tabs>
        <w:tab w:val="right" w:leader="dot" w:pos="8493"/>
      </w:tabs>
      <w:spacing w:after="100"/>
      <w:ind w:left="142" w:hanging="142"/>
    </w:pPr>
  </w:style>
  <w:style w:type="paragraph" w:styleId="Obsah3">
    <w:name w:val="toc 3"/>
    <w:basedOn w:val="Normln"/>
    <w:next w:val="Normln"/>
    <w:autoRedefine/>
    <w:uiPriority w:val="39"/>
    <w:unhideWhenUsed/>
    <w:rsid w:val="009F5750"/>
    <w:pPr>
      <w:tabs>
        <w:tab w:val="right" w:leader="dot" w:pos="8493"/>
      </w:tabs>
      <w:spacing w:after="100"/>
      <w:ind w:left="0" w:firstLine="567"/>
    </w:pPr>
  </w:style>
  <w:style w:type="paragraph" w:styleId="Obsah2">
    <w:name w:val="toc 2"/>
    <w:basedOn w:val="Normln"/>
    <w:next w:val="Normln"/>
    <w:autoRedefine/>
    <w:uiPriority w:val="39"/>
    <w:unhideWhenUsed/>
    <w:rsid w:val="009F5750"/>
    <w:pPr>
      <w:tabs>
        <w:tab w:val="right" w:leader="dot" w:pos="8493"/>
      </w:tabs>
      <w:spacing w:after="100"/>
      <w:ind w:left="0" w:firstLine="284"/>
    </w:pPr>
  </w:style>
  <w:style w:type="paragraph" w:styleId="Textbubliny">
    <w:name w:val="Balloon Text"/>
    <w:basedOn w:val="Normln"/>
    <w:link w:val="TextbublinyChar"/>
    <w:uiPriority w:val="99"/>
    <w:semiHidden/>
    <w:unhideWhenUsed/>
    <w:rsid w:val="009F57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750"/>
    <w:rPr>
      <w:rFonts w:ascii="Tahoma" w:hAnsi="Tahoma" w:cs="Tahoma"/>
      <w:sz w:val="16"/>
      <w:szCs w:val="16"/>
    </w:rPr>
  </w:style>
  <w:style w:type="character" w:customStyle="1" w:styleId="atn">
    <w:name w:val="atn"/>
    <w:basedOn w:val="Standardnpsmoodstavce"/>
    <w:rsid w:val="007511D9"/>
  </w:style>
  <w:style w:type="paragraph" w:styleId="Odstavecseseznamem">
    <w:name w:val="List Paragraph"/>
    <w:basedOn w:val="Normln"/>
    <w:uiPriority w:val="34"/>
    <w:qFormat/>
    <w:rsid w:val="00AF2362"/>
    <w:pPr>
      <w:ind w:left="720"/>
      <w:contextualSpacing/>
    </w:pPr>
  </w:style>
  <w:style w:type="character" w:customStyle="1" w:styleId="text231">
    <w:name w:val="text231"/>
    <w:basedOn w:val="Standardnpsmoodstavce"/>
    <w:rsid w:val="00DB3B9C"/>
  </w:style>
  <w:style w:type="paragraph" w:customStyle="1" w:styleId="nadpis">
    <w:name w:val="nadpis"/>
    <w:basedOn w:val="Normln"/>
    <w:rsid w:val="00942ECF"/>
    <w:pPr>
      <w:spacing w:before="100" w:beforeAutospacing="1" w:after="100" w:afterAutospacing="1" w:line="240" w:lineRule="auto"/>
      <w:ind w:left="0" w:firstLine="0"/>
    </w:pPr>
    <w:rPr>
      <w:rFonts w:eastAsia="Times New Roman"/>
      <w:lang w:eastAsia="cs-CZ"/>
    </w:rPr>
  </w:style>
  <w:style w:type="character" w:customStyle="1" w:styleId="nadpis10">
    <w:name w:val="nadpis1"/>
    <w:basedOn w:val="Standardnpsmoodstavce"/>
    <w:rsid w:val="00942ECF"/>
  </w:style>
  <w:style w:type="character" w:styleId="Sledovanodkaz">
    <w:name w:val="FollowedHyperlink"/>
    <w:basedOn w:val="Standardnpsmoodstavce"/>
    <w:uiPriority w:val="99"/>
    <w:semiHidden/>
    <w:unhideWhenUsed/>
    <w:rsid w:val="006C7BEA"/>
    <w:rPr>
      <w:color w:val="800080" w:themeColor="followedHyperlink"/>
      <w:u w:val="single"/>
    </w:rPr>
  </w:style>
  <w:style w:type="character" w:customStyle="1" w:styleId="Nadpis4Char">
    <w:name w:val="Nadpis 4 Char"/>
    <w:basedOn w:val="Standardnpsmoodstavce"/>
    <w:link w:val="Nadpis4"/>
    <w:uiPriority w:val="9"/>
    <w:rsid w:val="00A75C68"/>
    <w:rPr>
      <w:rFonts w:asciiTheme="majorHAnsi" w:eastAsiaTheme="majorEastAsia" w:hAnsiTheme="majorHAnsi" w:cstheme="majorBidi"/>
      <w:b/>
      <w:bCs/>
      <w:i/>
      <w:iCs/>
      <w:color w:val="4F81BD" w:themeColor="accent1"/>
    </w:rPr>
  </w:style>
  <w:style w:type="paragraph" w:styleId="Podtitul">
    <w:name w:val="Subtitle"/>
    <w:basedOn w:val="Normln"/>
    <w:next w:val="Normln"/>
    <w:link w:val="PodtitulChar"/>
    <w:uiPriority w:val="11"/>
    <w:qFormat/>
    <w:rsid w:val="00A75C68"/>
    <w:pPr>
      <w:numPr>
        <w:ilvl w:val="1"/>
      </w:numPr>
      <w:ind w:left="538" w:hanging="357"/>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A75C68"/>
    <w:rPr>
      <w:rFonts w:asciiTheme="majorHAnsi" w:eastAsiaTheme="majorEastAsia" w:hAnsiTheme="majorHAnsi" w:cstheme="majorBidi"/>
      <w:i/>
      <w:iCs/>
      <w:color w:val="4F81BD" w:themeColor="accent1"/>
      <w:spacing w:val="15"/>
    </w:rPr>
  </w:style>
  <w:style w:type="paragraph" w:customStyle="1" w:styleId="Default">
    <w:name w:val="Default"/>
    <w:rsid w:val="00A75C68"/>
    <w:pPr>
      <w:autoSpaceDE w:val="0"/>
      <w:autoSpaceDN w:val="0"/>
      <w:adjustRightInd w:val="0"/>
      <w:spacing w:line="240" w:lineRule="auto"/>
      <w:ind w:left="0" w:firstLine="0"/>
    </w:pPr>
    <w:rPr>
      <w:color w:val="000000"/>
    </w:rPr>
  </w:style>
  <w:style w:type="character" w:styleId="Zdraznnintenzivn">
    <w:name w:val="Intense Emphasis"/>
    <w:basedOn w:val="Standardnpsmoodstavce"/>
    <w:uiPriority w:val="21"/>
    <w:qFormat/>
    <w:rsid w:val="00A75C68"/>
    <w:rPr>
      <w:b/>
      <w:bCs/>
      <w:i/>
      <w:iCs/>
      <w:color w:val="4F81BD" w:themeColor="accent1"/>
    </w:rPr>
  </w:style>
  <w:style w:type="character" w:styleId="Zdraznnjemn">
    <w:name w:val="Subtle Emphasis"/>
    <w:basedOn w:val="Standardnpsmoodstavce"/>
    <w:uiPriority w:val="19"/>
    <w:qFormat/>
    <w:rsid w:val="00A75C68"/>
    <w:rPr>
      <w:i/>
      <w:iCs/>
      <w:color w:val="808080" w:themeColor="text1" w:themeTint="7F"/>
    </w:rPr>
  </w:style>
  <w:style w:type="paragraph" w:styleId="Nzev">
    <w:name w:val="Title"/>
    <w:basedOn w:val="Normln"/>
    <w:next w:val="Normln"/>
    <w:link w:val="NzevChar"/>
    <w:uiPriority w:val="10"/>
    <w:qFormat/>
    <w:rsid w:val="00A75C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75C68"/>
    <w:rPr>
      <w:rFonts w:asciiTheme="majorHAnsi" w:eastAsiaTheme="majorEastAsia" w:hAnsiTheme="majorHAnsi" w:cstheme="majorBidi"/>
      <w:color w:val="17365D" w:themeColor="text2" w:themeShade="BF"/>
      <w:spacing w:val="5"/>
      <w:kern w:val="28"/>
      <w:sz w:val="52"/>
      <w:szCs w:val="52"/>
    </w:rPr>
  </w:style>
  <w:style w:type="character" w:customStyle="1" w:styleId="google-src-text">
    <w:name w:val="google-src-text"/>
    <w:basedOn w:val="Standardnpsmoodstavce"/>
    <w:rsid w:val="00A75C68"/>
  </w:style>
  <w:style w:type="character" w:customStyle="1" w:styleId="textvetsibold">
    <w:name w:val="textvetsibold"/>
    <w:basedOn w:val="Standardnpsmoodstavce"/>
    <w:rsid w:val="00A75C68"/>
  </w:style>
  <w:style w:type="paragraph" w:styleId="Bezmezer">
    <w:name w:val="No Spacing"/>
    <w:uiPriority w:val="1"/>
    <w:qFormat/>
    <w:rsid w:val="001A3AE9"/>
    <w:pPr>
      <w:spacing w:line="240" w:lineRule="auto"/>
    </w:pPr>
  </w:style>
  <w:style w:type="character" w:customStyle="1" w:styleId="authornames">
    <w:name w:val="authornames"/>
    <w:basedOn w:val="Standardnpsmoodstavce"/>
    <w:rsid w:val="00084C11"/>
  </w:style>
</w:styles>
</file>

<file path=word/webSettings.xml><?xml version="1.0" encoding="utf-8"?>
<w:webSettings xmlns:r="http://schemas.openxmlformats.org/officeDocument/2006/relationships" xmlns:w="http://schemas.openxmlformats.org/wordprocessingml/2006/main">
  <w:divs>
    <w:div w:id="142624096">
      <w:bodyDiv w:val="1"/>
      <w:marLeft w:val="0"/>
      <w:marRight w:val="0"/>
      <w:marTop w:val="0"/>
      <w:marBottom w:val="0"/>
      <w:divBdr>
        <w:top w:val="none" w:sz="0" w:space="0" w:color="auto"/>
        <w:left w:val="none" w:sz="0" w:space="0" w:color="auto"/>
        <w:bottom w:val="none" w:sz="0" w:space="0" w:color="auto"/>
        <w:right w:val="none" w:sz="0" w:space="0" w:color="auto"/>
      </w:divBdr>
    </w:div>
    <w:div w:id="220361143">
      <w:bodyDiv w:val="1"/>
      <w:marLeft w:val="0"/>
      <w:marRight w:val="0"/>
      <w:marTop w:val="0"/>
      <w:marBottom w:val="0"/>
      <w:divBdr>
        <w:top w:val="none" w:sz="0" w:space="0" w:color="auto"/>
        <w:left w:val="none" w:sz="0" w:space="0" w:color="auto"/>
        <w:bottom w:val="none" w:sz="0" w:space="0" w:color="auto"/>
        <w:right w:val="none" w:sz="0" w:space="0" w:color="auto"/>
      </w:divBdr>
    </w:div>
    <w:div w:id="376249035">
      <w:bodyDiv w:val="1"/>
      <w:marLeft w:val="0"/>
      <w:marRight w:val="0"/>
      <w:marTop w:val="0"/>
      <w:marBottom w:val="0"/>
      <w:divBdr>
        <w:top w:val="none" w:sz="0" w:space="0" w:color="auto"/>
        <w:left w:val="none" w:sz="0" w:space="0" w:color="auto"/>
        <w:bottom w:val="none" w:sz="0" w:space="0" w:color="auto"/>
        <w:right w:val="none" w:sz="0" w:space="0" w:color="auto"/>
      </w:divBdr>
      <w:divsChild>
        <w:div w:id="215746991">
          <w:marLeft w:val="0"/>
          <w:marRight w:val="0"/>
          <w:marTop w:val="0"/>
          <w:marBottom w:val="0"/>
          <w:divBdr>
            <w:top w:val="none" w:sz="0" w:space="0" w:color="auto"/>
            <w:left w:val="none" w:sz="0" w:space="0" w:color="auto"/>
            <w:bottom w:val="none" w:sz="0" w:space="0" w:color="auto"/>
            <w:right w:val="none" w:sz="0" w:space="0" w:color="auto"/>
          </w:divBdr>
          <w:divsChild>
            <w:div w:id="706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2064">
      <w:bodyDiv w:val="1"/>
      <w:marLeft w:val="0"/>
      <w:marRight w:val="0"/>
      <w:marTop w:val="0"/>
      <w:marBottom w:val="0"/>
      <w:divBdr>
        <w:top w:val="none" w:sz="0" w:space="0" w:color="auto"/>
        <w:left w:val="none" w:sz="0" w:space="0" w:color="auto"/>
        <w:bottom w:val="none" w:sz="0" w:space="0" w:color="auto"/>
        <w:right w:val="none" w:sz="0" w:space="0" w:color="auto"/>
      </w:divBdr>
    </w:div>
    <w:div w:id="450561026">
      <w:bodyDiv w:val="1"/>
      <w:marLeft w:val="0"/>
      <w:marRight w:val="0"/>
      <w:marTop w:val="0"/>
      <w:marBottom w:val="0"/>
      <w:divBdr>
        <w:top w:val="none" w:sz="0" w:space="0" w:color="auto"/>
        <w:left w:val="none" w:sz="0" w:space="0" w:color="auto"/>
        <w:bottom w:val="none" w:sz="0" w:space="0" w:color="auto"/>
        <w:right w:val="none" w:sz="0" w:space="0" w:color="auto"/>
      </w:divBdr>
    </w:div>
    <w:div w:id="514926931">
      <w:bodyDiv w:val="1"/>
      <w:marLeft w:val="0"/>
      <w:marRight w:val="0"/>
      <w:marTop w:val="0"/>
      <w:marBottom w:val="0"/>
      <w:divBdr>
        <w:top w:val="none" w:sz="0" w:space="0" w:color="auto"/>
        <w:left w:val="none" w:sz="0" w:space="0" w:color="auto"/>
        <w:bottom w:val="none" w:sz="0" w:space="0" w:color="auto"/>
        <w:right w:val="none" w:sz="0" w:space="0" w:color="auto"/>
      </w:divBdr>
    </w:div>
    <w:div w:id="578515028">
      <w:bodyDiv w:val="1"/>
      <w:marLeft w:val="0"/>
      <w:marRight w:val="0"/>
      <w:marTop w:val="0"/>
      <w:marBottom w:val="0"/>
      <w:divBdr>
        <w:top w:val="none" w:sz="0" w:space="0" w:color="auto"/>
        <w:left w:val="none" w:sz="0" w:space="0" w:color="auto"/>
        <w:bottom w:val="none" w:sz="0" w:space="0" w:color="auto"/>
        <w:right w:val="none" w:sz="0" w:space="0" w:color="auto"/>
      </w:divBdr>
    </w:div>
    <w:div w:id="813255773">
      <w:bodyDiv w:val="1"/>
      <w:marLeft w:val="0"/>
      <w:marRight w:val="0"/>
      <w:marTop w:val="0"/>
      <w:marBottom w:val="0"/>
      <w:divBdr>
        <w:top w:val="none" w:sz="0" w:space="0" w:color="auto"/>
        <w:left w:val="none" w:sz="0" w:space="0" w:color="auto"/>
        <w:bottom w:val="none" w:sz="0" w:space="0" w:color="auto"/>
        <w:right w:val="none" w:sz="0" w:space="0" w:color="auto"/>
      </w:divBdr>
    </w:div>
    <w:div w:id="908656830">
      <w:bodyDiv w:val="1"/>
      <w:marLeft w:val="0"/>
      <w:marRight w:val="0"/>
      <w:marTop w:val="0"/>
      <w:marBottom w:val="0"/>
      <w:divBdr>
        <w:top w:val="none" w:sz="0" w:space="0" w:color="auto"/>
        <w:left w:val="none" w:sz="0" w:space="0" w:color="auto"/>
        <w:bottom w:val="none" w:sz="0" w:space="0" w:color="auto"/>
        <w:right w:val="none" w:sz="0" w:space="0" w:color="auto"/>
      </w:divBdr>
      <w:divsChild>
        <w:div w:id="858587538">
          <w:marLeft w:val="0"/>
          <w:marRight w:val="0"/>
          <w:marTop w:val="0"/>
          <w:marBottom w:val="0"/>
          <w:divBdr>
            <w:top w:val="none" w:sz="0" w:space="0" w:color="auto"/>
            <w:left w:val="none" w:sz="0" w:space="0" w:color="auto"/>
            <w:bottom w:val="none" w:sz="0" w:space="0" w:color="auto"/>
            <w:right w:val="none" w:sz="0" w:space="0" w:color="auto"/>
          </w:divBdr>
          <w:divsChild>
            <w:div w:id="1811625972">
              <w:marLeft w:val="0"/>
              <w:marRight w:val="0"/>
              <w:marTop w:val="0"/>
              <w:marBottom w:val="0"/>
              <w:divBdr>
                <w:top w:val="none" w:sz="0" w:space="0" w:color="auto"/>
                <w:left w:val="none" w:sz="0" w:space="0" w:color="auto"/>
                <w:bottom w:val="none" w:sz="0" w:space="0" w:color="auto"/>
                <w:right w:val="none" w:sz="0" w:space="0" w:color="auto"/>
              </w:divBdr>
              <w:divsChild>
                <w:div w:id="1436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8033">
      <w:bodyDiv w:val="1"/>
      <w:marLeft w:val="0"/>
      <w:marRight w:val="0"/>
      <w:marTop w:val="0"/>
      <w:marBottom w:val="0"/>
      <w:divBdr>
        <w:top w:val="none" w:sz="0" w:space="0" w:color="auto"/>
        <w:left w:val="none" w:sz="0" w:space="0" w:color="auto"/>
        <w:bottom w:val="none" w:sz="0" w:space="0" w:color="auto"/>
        <w:right w:val="none" w:sz="0" w:space="0" w:color="auto"/>
      </w:divBdr>
    </w:div>
    <w:div w:id="1136682515">
      <w:bodyDiv w:val="1"/>
      <w:marLeft w:val="0"/>
      <w:marRight w:val="0"/>
      <w:marTop w:val="0"/>
      <w:marBottom w:val="0"/>
      <w:divBdr>
        <w:top w:val="none" w:sz="0" w:space="0" w:color="auto"/>
        <w:left w:val="none" w:sz="0" w:space="0" w:color="auto"/>
        <w:bottom w:val="none" w:sz="0" w:space="0" w:color="auto"/>
        <w:right w:val="none" w:sz="0" w:space="0" w:color="auto"/>
      </w:divBdr>
    </w:div>
    <w:div w:id="1376462014">
      <w:bodyDiv w:val="1"/>
      <w:marLeft w:val="0"/>
      <w:marRight w:val="0"/>
      <w:marTop w:val="0"/>
      <w:marBottom w:val="0"/>
      <w:divBdr>
        <w:top w:val="none" w:sz="0" w:space="0" w:color="auto"/>
        <w:left w:val="none" w:sz="0" w:space="0" w:color="auto"/>
        <w:bottom w:val="none" w:sz="0" w:space="0" w:color="auto"/>
        <w:right w:val="none" w:sz="0" w:space="0" w:color="auto"/>
      </w:divBdr>
    </w:div>
    <w:div w:id="1391926539">
      <w:bodyDiv w:val="1"/>
      <w:marLeft w:val="0"/>
      <w:marRight w:val="0"/>
      <w:marTop w:val="0"/>
      <w:marBottom w:val="0"/>
      <w:divBdr>
        <w:top w:val="none" w:sz="0" w:space="0" w:color="auto"/>
        <w:left w:val="none" w:sz="0" w:space="0" w:color="auto"/>
        <w:bottom w:val="none" w:sz="0" w:space="0" w:color="auto"/>
        <w:right w:val="none" w:sz="0" w:space="0" w:color="auto"/>
      </w:divBdr>
    </w:div>
    <w:div w:id="1484004087">
      <w:bodyDiv w:val="1"/>
      <w:marLeft w:val="0"/>
      <w:marRight w:val="0"/>
      <w:marTop w:val="0"/>
      <w:marBottom w:val="0"/>
      <w:divBdr>
        <w:top w:val="none" w:sz="0" w:space="0" w:color="auto"/>
        <w:left w:val="none" w:sz="0" w:space="0" w:color="auto"/>
        <w:bottom w:val="none" w:sz="0" w:space="0" w:color="auto"/>
        <w:right w:val="none" w:sz="0" w:space="0" w:color="auto"/>
      </w:divBdr>
    </w:div>
    <w:div w:id="1768848455">
      <w:bodyDiv w:val="1"/>
      <w:marLeft w:val="0"/>
      <w:marRight w:val="0"/>
      <w:marTop w:val="0"/>
      <w:marBottom w:val="0"/>
      <w:divBdr>
        <w:top w:val="none" w:sz="0" w:space="0" w:color="auto"/>
        <w:left w:val="none" w:sz="0" w:space="0" w:color="auto"/>
        <w:bottom w:val="none" w:sz="0" w:space="0" w:color="auto"/>
        <w:right w:val="none" w:sz="0" w:space="0" w:color="auto"/>
      </w:divBdr>
    </w:div>
    <w:div w:id="20147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iospace.cz/soubory/katalogy-cz/inbody720-cz-katalog.pdf" TargetMode="External"/><Relationship Id="rId18" Type="http://schemas.openxmlformats.org/officeDocument/2006/relationships/chart" Target="charts/chart4.xml"/><Relationship Id="rId26" Type="http://schemas.openxmlformats.org/officeDocument/2006/relationships/hyperlink" Target="http://www.ncbi.nlm.nih.gov/pubmed?term=Heymsfield%20SB%5BAuthor%5D&amp;cauthor=true&amp;cauthor_uid=12816773" TargetMode="External"/><Relationship Id="rId39" Type="http://schemas.openxmlformats.org/officeDocument/2006/relationships/hyperlink" Target="http://apps.who.int/bmi/index.jsp?introPage=intro_3.html" TargetMode="External"/><Relationship Id="rId3" Type="http://schemas.openxmlformats.org/officeDocument/2006/relationships/styles" Target="styles.xml"/><Relationship Id="rId21" Type="http://schemas.openxmlformats.org/officeDocument/2006/relationships/hyperlink" Target="http://www.ncbi.nlm.nih.gov/pubmed?term=Heshka%20S%5BAuthor%5D&amp;cauthor=true&amp;cauthor_uid=12816773" TargetMode="External"/><Relationship Id="rId34" Type="http://schemas.openxmlformats.org/officeDocument/2006/relationships/hyperlink" Target="http://www.ncbi.nlm.nih.gov/pubmed?term=Agosti%20F%5BAuthor%5D&amp;cauthor=true&amp;cauthor_uid=15340370" TargetMode="External"/><Relationship Id="rId42" Type="http://schemas.openxmlformats.org/officeDocument/2006/relationships/hyperlink" Target="http://www.euro.who.int/en/what-we-do/health-topics/noncommunicable-diseases/obesity"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hyperlink" Target="http://www.ncbi.nlm.nih.gov/pubmed?term=Wang%20Z%5BAuthor%5D&amp;cauthor=true&amp;cauthor_uid=12816773" TargetMode="External"/><Relationship Id="rId33" Type="http://schemas.openxmlformats.org/officeDocument/2006/relationships/hyperlink" Target="http://www.ncbi.nlm.nih.gov/pubmed?term=Malavolti%20M%5BAuthor%5D&amp;cauthor=true&amp;cauthor_uid=15340370" TargetMode="External"/><Relationship Id="rId38" Type="http://schemas.openxmlformats.org/officeDocument/2006/relationships/hyperlink" Target="http://www.ncbi.nlm.nih.gov/pubmed?term=Bedogni%20G%5BAuthor%5D&amp;cauthor=true&amp;cauthor_uid=15340370"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ncbi.nlm.nih.gov/pubmed?term=Heo%20M%5BAuthor%5D&amp;cauthor=true&amp;cauthor_uid=12816773" TargetMode="External"/><Relationship Id="rId29" Type="http://schemas.openxmlformats.org/officeDocument/2006/relationships/hyperlink" Target="http://www.ncbi.nlm.nih.gov/pubmed?term=Wood%20D%5BAuthor%5D&amp;cauthor=true&amp;cauthor_uid=19682863" TargetMode="External"/><Relationship Id="rId41" Type="http://schemas.openxmlformats.org/officeDocument/2006/relationships/hyperlink" Target="http://www.euro.who.int/en/what-we-do/health-topics/disease-prevention/nutrition/a-healthy-lifestyle/body-mass-index-b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space.cz/inbody-720-pb4.php" TargetMode="External"/><Relationship Id="rId24" Type="http://schemas.openxmlformats.org/officeDocument/2006/relationships/hyperlink" Target="http://www.ncbi.nlm.nih.gov/pubmed?term=Albu%20J%5BAuthor%5D&amp;cauthor=true&amp;cauthor_uid=12816773" TargetMode="External"/><Relationship Id="rId32" Type="http://schemas.openxmlformats.org/officeDocument/2006/relationships/hyperlink" Target="http://www.ncbi.nlm.nih.gov/pubmed?term=M%C3%B6ller%20HJ%5BAuthor%5D&amp;cauthor=true&amp;cauthor_uid=19682863" TargetMode="External"/><Relationship Id="rId37" Type="http://schemas.openxmlformats.org/officeDocument/2006/relationships/hyperlink" Target="http://www.ncbi.nlm.nih.gov/pubmed?term=Battistini%20N%5BAuthor%5D&amp;cauthor=true&amp;cauthor_uid=15340370" TargetMode="External"/><Relationship Id="rId40" Type="http://schemas.openxmlformats.org/officeDocument/2006/relationships/hyperlink" Target="http://whqlibdoc.who.int/publications/2011/9789241501491_eng.pdf" TargetMode="External"/><Relationship Id="rId5" Type="http://schemas.openxmlformats.org/officeDocument/2006/relationships/webSettings" Target="webSettings.xml"/><Relationship Id="rId15" Type="http://schemas.openxmlformats.org/officeDocument/2006/relationships/hyperlink" Target="http://www.biospace.cz/soubory/katalogy-cz/inbody720-cz-katalog.pdf" TargetMode="External"/><Relationship Id="rId23" Type="http://schemas.openxmlformats.org/officeDocument/2006/relationships/hyperlink" Target="http://www.ncbi.nlm.nih.gov/pubmed?term=Pierson%20RN%20Jr%5BAuthor%5D&amp;cauthor=true&amp;cauthor_uid=12816773" TargetMode="External"/><Relationship Id="rId28" Type="http://schemas.openxmlformats.org/officeDocument/2006/relationships/hyperlink" Target="http://www.ncbi.nlm.nih.gov/pubmed?term=Dekker%20JM%5BAuthor%5D&amp;cauthor=true&amp;cauthor_uid=19682863" TargetMode="External"/><Relationship Id="rId36" Type="http://schemas.openxmlformats.org/officeDocument/2006/relationships/hyperlink" Target="http://www.ncbi.nlm.nih.gov/pubmed?term=Caiti%20O%5BAuthor%5D&amp;cauthor=true&amp;cauthor_uid=15340370"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ncbi.nlm.nih.gov/pubmed?term=Holt%20RI%5BAuthor%5D&amp;cauthor=true&amp;cauthor_uid=1968286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www.ncbi.nlm.nih.gov/pubmed?term=Wang%20J%5BAuthor%5D&amp;cauthor=true&amp;cauthor_uid=12816773" TargetMode="External"/><Relationship Id="rId27" Type="http://schemas.openxmlformats.org/officeDocument/2006/relationships/hyperlink" Target="http://www.ncbi.nlm.nih.gov/pubmed?term=Gallagher%20D%5BAuthor%5D&amp;cauthor=true&amp;cauthor_uid=12816773" TargetMode="External"/><Relationship Id="rId30" Type="http://schemas.openxmlformats.org/officeDocument/2006/relationships/hyperlink" Target="http://www.ncbi.nlm.nih.gov/pubmed?term=Kahl%20KG%5BAuthor%5D&amp;cauthor=true&amp;cauthor_uid=19682863" TargetMode="External"/><Relationship Id="rId35" Type="http://schemas.openxmlformats.org/officeDocument/2006/relationships/hyperlink" Target="http://www.ncbi.nlm.nih.gov/pubmed?term=Marinone%20PG%5BAuthor%5D&amp;cauthor=true&amp;cauthor_uid=15340370"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ola\vyska\tv\bakalarka%202\tabulky%20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ola\vyska\tv\bakalarka%202\tabulky%20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ola\vyska\tv\bakalarka%202\tabulky%20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ola\vyska\tv\bakalarka%202\tabulky%20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Věkové rozčlenění</a:t>
            </a:r>
          </a:p>
        </c:rich>
      </c:tx>
    </c:title>
    <c:plotArea>
      <c:layout/>
      <c:barChart>
        <c:barDir val="col"/>
        <c:grouping val="clustered"/>
        <c:ser>
          <c:idx val="0"/>
          <c:order val="0"/>
          <c:tx>
            <c:strRef>
              <c:f>List1!$D$10</c:f>
              <c:strCache>
                <c:ptCount val="1"/>
                <c:pt idx="0">
                  <c:v>Muži    (n = 27)</c:v>
                </c:pt>
              </c:strCache>
            </c:strRef>
          </c:tx>
          <c:cat>
            <c:strRef>
              <c:f>List1!$C$11:$C$15</c:f>
              <c:strCache>
                <c:ptCount val="5"/>
                <c:pt idx="0">
                  <c:v>19 - 29</c:v>
                </c:pt>
                <c:pt idx="1">
                  <c:v>30 - 39</c:v>
                </c:pt>
                <c:pt idx="2">
                  <c:v>40 - 49</c:v>
                </c:pt>
                <c:pt idx="3">
                  <c:v>50 - 59</c:v>
                </c:pt>
                <c:pt idx="4">
                  <c:v>nad 60</c:v>
                </c:pt>
              </c:strCache>
            </c:strRef>
          </c:cat>
          <c:val>
            <c:numRef>
              <c:f>List1!$D$11:$D$15</c:f>
              <c:numCache>
                <c:formatCode>General</c:formatCode>
                <c:ptCount val="5"/>
                <c:pt idx="0">
                  <c:v>5</c:v>
                </c:pt>
                <c:pt idx="1">
                  <c:v>9</c:v>
                </c:pt>
                <c:pt idx="2">
                  <c:v>5</c:v>
                </c:pt>
                <c:pt idx="3">
                  <c:v>5</c:v>
                </c:pt>
                <c:pt idx="4">
                  <c:v>3</c:v>
                </c:pt>
              </c:numCache>
            </c:numRef>
          </c:val>
        </c:ser>
        <c:ser>
          <c:idx val="1"/>
          <c:order val="1"/>
          <c:tx>
            <c:strRef>
              <c:f>List1!$E$10</c:f>
              <c:strCache>
                <c:ptCount val="1"/>
                <c:pt idx="0">
                  <c:v>Ženy      (n = 20)</c:v>
                </c:pt>
              </c:strCache>
            </c:strRef>
          </c:tx>
          <c:cat>
            <c:strRef>
              <c:f>List1!$C$11:$C$15</c:f>
              <c:strCache>
                <c:ptCount val="5"/>
                <c:pt idx="0">
                  <c:v>19 - 29</c:v>
                </c:pt>
                <c:pt idx="1">
                  <c:v>30 - 39</c:v>
                </c:pt>
                <c:pt idx="2">
                  <c:v>40 - 49</c:v>
                </c:pt>
                <c:pt idx="3">
                  <c:v>50 - 59</c:v>
                </c:pt>
                <c:pt idx="4">
                  <c:v>nad 60</c:v>
                </c:pt>
              </c:strCache>
            </c:strRef>
          </c:cat>
          <c:val>
            <c:numRef>
              <c:f>List1!$E$11:$E$15</c:f>
              <c:numCache>
                <c:formatCode>General</c:formatCode>
                <c:ptCount val="5"/>
                <c:pt idx="0">
                  <c:v>1</c:v>
                </c:pt>
                <c:pt idx="1">
                  <c:v>3</c:v>
                </c:pt>
                <c:pt idx="2">
                  <c:v>4</c:v>
                </c:pt>
                <c:pt idx="3">
                  <c:v>6</c:v>
                </c:pt>
                <c:pt idx="4">
                  <c:v>6</c:v>
                </c:pt>
              </c:numCache>
            </c:numRef>
          </c:val>
        </c:ser>
        <c:axId val="84859904"/>
        <c:axId val="84919808"/>
      </c:barChart>
      <c:catAx>
        <c:axId val="84859904"/>
        <c:scaling>
          <c:orientation val="minMax"/>
        </c:scaling>
        <c:axPos val="b"/>
        <c:title>
          <c:tx>
            <c:rich>
              <a:bodyPr/>
              <a:lstStyle/>
              <a:p>
                <a:pPr>
                  <a:defRPr/>
                </a:pPr>
                <a:r>
                  <a:rPr lang="cs-CZ"/>
                  <a:t>Věk</a:t>
                </a:r>
              </a:p>
            </c:rich>
          </c:tx>
        </c:title>
        <c:tickLblPos val="nextTo"/>
        <c:crossAx val="84919808"/>
        <c:crosses val="autoZero"/>
        <c:auto val="1"/>
        <c:lblAlgn val="ctr"/>
        <c:lblOffset val="100"/>
      </c:catAx>
      <c:valAx>
        <c:axId val="84919808"/>
        <c:scaling>
          <c:orientation val="minMax"/>
        </c:scaling>
        <c:axPos val="l"/>
        <c:majorGridlines/>
        <c:title>
          <c:tx>
            <c:rich>
              <a:bodyPr rot="-5400000" vert="horz"/>
              <a:lstStyle/>
              <a:p>
                <a:pPr>
                  <a:defRPr/>
                </a:pPr>
                <a:r>
                  <a:rPr lang="cs-CZ"/>
                  <a:t>Četnost</a:t>
                </a:r>
              </a:p>
            </c:rich>
          </c:tx>
        </c:title>
        <c:numFmt formatCode="General" sourceLinked="1"/>
        <c:tickLblPos val="nextTo"/>
        <c:crossAx val="848599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Klasifikace</a:t>
            </a:r>
            <a:r>
              <a:rPr lang="cs-CZ" baseline="0"/>
              <a:t> podle BMI</a:t>
            </a:r>
            <a:endParaRPr lang="cs-CZ"/>
          </a:p>
        </c:rich>
      </c:tx>
    </c:title>
    <c:plotArea>
      <c:layout/>
      <c:barChart>
        <c:barDir val="col"/>
        <c:grouping val="clustered"/>
        <c:ser>
          <c:idx val="0"/>
          <c:order val="0"/>
          <c:tx>
            <c:strRef>
              <c:f>List1!$O$32</c:f>
              <c:strCache>
                <c:ptCount val="1"/>
                <c:pt idx="0">
                  <c:v>Muži    (n = 27)</c:v>
                </c:pt>
              </c:strCache>
            </c:strRef>
          </c:tx>
          <c:cat>
            <c:strRef>
              <c:f>List1!$N$33:$N$38</c:f>
              <c:strCache>
                <c:ptCount val="6"/>
                <c:pt idx="0">
                  <c:v>podváha</c:v>
                </c:pt>
                <c:pt idx="1">
                  <c:v>normální hmotnost</c:v>
                </c:pt>
                <c:pt idx="2">
                  <c:v>nadváha</c:v>
                </c:pt>
                <c:pt idx="3">
                  <c:v>obezita I. stupně</c:v>
                </c:pt>
                <c:pt idx="4">
                  <c:v>obezita II. stupně </c:v>
                </c:pt>
                <c:pt idx="5">
                  <c:v>obezita III. stupně</c:v>
                </c:pt>
              </c:strCache>
            </c:strRef>
          </c:cat>
          <c:val>
            <c:numRef>
              <c:f>List1!$O$33:$O$38</c:f>
              <c:numCache>
                <c:formatCode>General</c:formatCode>
                <c:ptCount val="6"/>
                <c:pt idx="0">
                  <c:v>3</c:v>
                </c:pt>
                <c:pt idx="1">
                  <c:v>10</c:v>
                </c:pt>
                <c:pt idx="2">
                  <c:v>9</c:v>
                </c:pt>
                <c:pt idx="3">
                  <c:v>4</c:v>
                </c:pt>
                <c:pt idx="4">
                  <c:v>1</c:v>
                </c:pt>
                <c:pt idx="5">
                  <c:v>0</c:v>
                </c:pt>
              </c:numCache>
            </c:numRef>
          </c:val>
        </c:ser>
        <c:ser>
          <c:idx val="1"/>
          <c:order val="1"/>
          <c:tx>
            <c:strRef>
              <c:f>List1!$P$32</c:f>
              <c:strCache>
                <c:ptCount val="1"/>
                <c:pt idx="0">
                  <c:v>Ženy      (n = 20)</c:v>
                </c:pt>
              </c:strCache>
            </c:strRef>
          </c:tx>
          <c:cat>
            <c:strRef>
              <c:f>List1!$N$33:$N$38</c:f>
              <c:strCache>
                <c:ptCount val="6"/>
                <c:pt idx="0">
                  <c:v>podváha</c:v>
                </c:pt>
                <c:pt idx="1">
                  <c:v>normální hmotnost</c:v>
                </c:pt>
                <c:pt idx="2">
                  <c:v>nadváha</c:v>
                </c:pt>
                <c:pt idx="3">
                  <c:v>obezita I. stupně</c:v>
                </c:pt>
                <c:pt idx="4">
                  <c:v>obezita II. stupně </c:v>
                </c:pt>
                <c:pt idx="5">
                  <c:v>obezita III. stupně</c:v>
                </c:pt>
              </c:strCache>
            </c:strRef>
          </c:cat>
          <c:val>
            <c:numRef>
              <c:f>List1!$P$33:$P$38</c:f>
              <c:numCache>
                <c:formatCode>General</c:formatCode>
                <c:ptCount val="6"/>
                <c:pt idx="0">
                  <c:v>1</c:v>
                </c:pt>
                <c:pt idx="1">
                  <c:v>4</c:v>
                </c:pt>
                <c:pt idx="2">
                  <c:v>4</c:v>
                </c:pt>
                <c:pt idx="3">
                  <c:v>5</c:v>
                </c:pt>
                <c:pt idx="4">
                  <c:v>2</c:v>
                </c:pt>
                <c:pt idx="5">
                  <c:v>4</c:v>
                </c:pt>
              </c:numCache>
            </c:numRef>
          </c:val>
        </c:ser>
        <c:axId val="85474304"/>
        <c:axId val="85480192"/>
      </c:barChart>
      <c:catAx>
        <c:axId val="85474304"/>
        <c:scaling>
          <c:orientation val="minMax"/>
        </c:scaling>
        <c:axPos val="b"/>
        <c:tickLblPos val="nextTo"/>
        <c:crossAx val="85480192"/>
        <c:crosses val="autoZero"/>
        <c:auto val="1"/>
        <c:lblAlgn val="ctr"/>
        <c:lblOffset val="100"/>
      </c:catAx>
      <c:valAx>
        <c:axId val="85480192"/>
        <c:scaling>
          <c:orientation val="minMax"/>
        </c:scaling>
        <c:axPos val="l"/>
        <c:majorGridlines/>
        <c:title>
          <c:tx>
            <c:rich>
              <a:bodyPr rot="-5400000" vert="horz"/>
              <a:lstStyle/>
              <a:p>
                <a:pPr>
                  <a:defRPr/>
                </a:pPr>
                <a:r>
                  <a:rPr lang="en-US"/>
                  <a:t>Č</a:t>
                </a:r>
                <a:r>
                  <a:rPr lang="cs-CZ"/>
                  <a:t>etnost</a:t>
                </a:r>
                <a:endParaRPr lang="en-US"/>
              </a:p>
            </c:rich>
          </c:tx>
        </c:title>
        <c:numFmt formatCode="General" sourceLinked="1"/>
        <c:tickLblPos val="nextTo"/>
        <c:crossAx val="854743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List2!$F$21</c:f>
              <c:strCache>
                <c:ptCount val="1"/>
                <c:pt idx="0">
                  <c:v>FFMI (kg/m2)</c:v>
                </c:pt>
              </c:strCache>
            </c:strRef>
          </c:tx>
          <c:cat>
            <c:multiLvlStrRef>
              <c:f>List2!$G$19:$J$20</c:f>
              <c:multiLvlStrCache>
                <c:ptCount val="4"/>
                <c:lvl>
                  <c:pt idx="0">
                    <c:v>InBody</c:v>
                  </c:pt>
                  <c:pt idx="1">
                    <c:v>Tanita</c:v>
                  </c:pt>
                  <c:pt idx="2">
                    <c:v>Inbody</c:v>
                  </c:pt>
                  <c:pt idx="3">
                    <c:v>Tanita</c:v>
                  </c:pt>
                </c:lvl>
                <c:lvl>
                  <c:pt idx="0">
                    <c:v>muži</c:v>
                  </c:pt>
                  <c:pt idx="2">
                    <c:v>ženy</c:v>
                  </c:pt>
                </c:lvl>
              </c:multiLvlStrCache>
            </c:multiLvlStrRef>
          </c:cat>
          <c:val>
            <c:numRef>
              <c:f>List2!$G$21:$J$21</c:f>
              <c:numCache>
                <c:formatCode>General</c:formatCode>
                <c:ptCount val="4"/>
                <c:pt idx="0">
                  <c:v>19.2</c:v>
                </c:pt>
                <c:pt idx="1">
                  <c:v>20</c:v>
                </c:pt>
                <c:pt idx="2">
                  <c:v>18.100000000000001</c:v>
                </c:pt>
                <c:pt idx="3">
                  <c:v>18.600000000000001</c:v>
                </c:pt>
              </c:numCache>
            </c:numRef>
          </c:val>
        </c:ser>
        <c:ser>
          <c:idx val="1"/>
          <c:order val="1"/>
          <c:tx>
            <c:strRef>
              <c:f>List2!$F$22</c:f>
              <c:strCache>
                <c:ptCount val="1"/>
                <c:pt idx="0">
                  <c:v>BFMI (kg/m2)</c:v>
                </c:pt>
              </c:strCache>
            </c:strRef>
          </c:tx>
          <c:cat>
            <c:multiLvlStrRef>
              <c:f>List2!$G$19:$J$20</c:f>
              <c:multiLvlStrCache>
                <c:ptCount val="4"/>
                <c:lvl>
                  <c:pt idx="0">
                    <c:v>InBody</c:v>
                  </c:pt>
                  <c:pt idx="1">
                    <c:v>Tanita</c:v>
                  </c:pt>
                  <c:pt idx="2">
                    <c:v>Inbody</c:v>
                  </c:pt>
                  <c:pt idx="3">
                    <c:v>Tanita</c:v>
                  </c:pt>
                </c:lvl>
                <c:lvl>
                  <c:pt idx="0">
                    <c:v>muži</c:v>
                  </c:pt>
                  <c:pt idx="2">
                    <c:v>ženy</c:v>
                  </c:pt>
                </c:lvl>
              </c:multiLvlStrCache>
            </c:multiLvlStrRef>
          </c:cat>
          <c:val>
            <c:numRef>
              <c:f>List2!$G$22:$J$22</c:f>
              <c:numCache>
                <c:formatCode>General</c:formatCode>
                <c:ptCount val="4"/>
                <c:pt idx="0">
                  <c:v>5.8</c:v>
                </c:pt>
                <c:pt idx="1">
                  <c:v>5.25</c:v>
                </c:pt>
                <c:pt idx="2">
                  <c:v>13</c:v>
                </c:pt>
                <c:pt idx="3">
                  <c:v>12.3</c:v>
                </c:pt>
              </c:numCache>
            </c:numRef>
          </c:val>
        </c:ser>
        <c:axId val="85501440"/>
        <c:axId val="85502976"/>
      </c:barChart>
      <c:catAx>
        <c:axId val="85501440"/>
        <c:scaling>
          <c:orientation val="minMax"/>
        </c:scaling>
        <c:axPos val="b"/>
        <c:tickLblPos val="nextTo"/>
        <c:crossAx val="85502976"/>
        <c:crosses val="autoZero"/>
        <c:auto val="1"/>
        <c:lblAlgn val="ctr"/>
        <c:lblOffset val="100"/>
      </c:catAx>
      <c:valAx>
        <c:axId val="85502976"/>
        <c:scaling>
          <c:orientation val="minMax"/>
        </c:scaling>
        <c:axPos val="l"/>
        <c:majorGridlines/>
        <c:numFmt formatCode="General" sourceLinked="1"/>
        <c:tickLblPos val="nextTo"/>
        <c:crossAx val="855014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Rozložení</a:t>
            </a:r>
            <a:r>
              <a:rPr lang="cs-CZ" baseline="0"/>
              <a:t> tuku v tělě</a:t>
            </a:r>
            <a:endParaRPr lang="cs-CZ"/>
          </a:p>
        </c:rich>
      </c:tx>
    </c:title>
    <c:plotArea>
      <c:layout/>
      <c:barChart>
        <c:barDir val="col"/>
        <c:grouping val="clustered"/>
        <c:ser>
          <c:idx val="0"/>
          <c:order val="0"/>
          <c:tx>
            <c:strRef>
              <c:f>List1!$O$40</c:f>
              <c:strCache>
                <c:ptCount val="1"/>
                <c:pt idx="0">
                  <c:v>ženy</c:v>
                </c:pt>
              </c:strCache>
            </c:strRef>
          </c:tx>
          <c:dLbls>
            <c:dLblPos val="inEnd"/>
            <c:showVal val="1"/>
          </c:dLbls>
          <c:cat>
            <c:strRef>
              <c:f>List1!$N$41:$N$45</c:f>
              <c:strCache>
                <c:ptCount val="5"/>
                <c:pt idx="0">
                  <c:v>RL FatP</c:v>
                </c:pt>
                <c:pt idx="1">
                  <c:v>LL FatP</c:v>
                </c:pt>
                <c:pt idx="2">
                  <c:v>RA Fatp</c:v>
                </c:pt>
                <c:pt idx="3">
                  <c:v>LA FatP</c:v>
                </c:pt>
                <c:pt idx="4">
                  <c:v>TR FatP</c:v>
                </c:pt>
              </c:strCache>
            </c:strRef>
          </c:cat>
          <c:val>
            <c:numRef>
              <c:f>List1!$O$41:$O$45</c:f>
              <c:numCache>
                <c:formatCode>0.0</c:formatCode>
                <c:ptCount val="5"/>
                <c:pt idx="0">
                  <c:v>41.5</c:v>
                </c:pt>
                <c:pt idx="1">
                  <c:v>41.6</c:v>
                </c:pt>
                <c:pt idx="2">
                  <c:v>40.5</c:v>
                </c:pt>
                <c:pt idx="3">
                  <c:v>41.4</c:v>
                </c:pt>
                <c:pt idx="4">
                  <c:v>33.800000000000004</c:v>
                </c:pt>
              </c:numCache>
            </c:numRef>
          </c:val>
        </c:ser>
        <c:ser>
          <c:idx val="1"/>
          <c:order val="1"/>
          <c:tx>
            <c:strRef>
              <c:f>List1!$P$40</c:f>
              <c:strCache>
                <c:ptCount val="1"/>
                <c:pt idx="0">
                  <c:v>muži</c:v>
                </c:pt>
              </c:strCache>
            </c:strRef>
          </c:tx>
          <c:dLbls>
            <c:dLblPos val="inEnd"/>
            <c:showVal val="1"/>
          </c:dLbls>
          <c:cat>
            <c:strRef>
              <c:f>List1!$N$41:$N$45</c:f>
              <c:strCache>
                <c:ptCount val="5"/>
                <c:pt idx="0">
                  <c:v>RL FatP</c:v>
                </c:pt>
                <c:pt idx="1">
                  <c:v>LL FatP</c:v>
                </c:pt>
                <c:pt idx="2">
                  <c:v>RA Fatp</c:v>
                </c:pt>
                <c:pt idx="3">
                  <c:v>LA FatP</c:v>
                </c:pt>
                <c:pt idx="4">
                  <c:v>TR FatP</c:v>
                </c:pt>
              </c:strCache>
            </c:strRef>
          </c:cat>
          <c:val>
            <c:numRef>
              <c:f>List1!$P$41:$P$45</c:f>
              <c:numCache>
                <c:formatCode>0.0</c:formatCode>
                <c:ptCount val="5"/>
                <c:pt idx="0">
                  <c:v>16</c:v>
                </c:pt>
                <c:pt idx="1">
                  <c:v>16.2</c:v>
                </c:pt>
                <c:pt idx="2">
                  <c:v>20</c:v>
                </c:pt>
                <c:pt idx="3">
                  <c:v>20.2</c:v>
                </c:pt>
                <c:pt idx="4">
                  <c:v>22.1</c:v>
                </c:pt>
              </c:numCache>
            </c:numRef>
          </c:val>
        </c:ser>
        <c:dLbls>
          <c:showVal val="1"/>
        </c:dLbls>
        <c:axId val="85815296"/>
        <c:axId val="85817216"/>
      </c:barChart>
      <c:catAx>
        <c:axId val="85815296"/>
        <c:scaling>
          <c:orientation val="minMax"/>
        </c:scaling>
        <c:axPos val="b"/>
        <c:title>
          <c:tx>
            <c:rich>
              <a:bodyPr/>
              <a:lstStyle/>
              <a:p>
                <a:pPr>
                  <a:defRPr/>
                </a:pPr>
                <a:r>
                  <a:rPr lang="cs-CZ"/>
                  <a:t>Segment těla</a:t>
                </a:r>
              </a:p>
            </c:rich>
          </c:tx>
        </c:title>
        <c:tickLblPos val="nextTo"/>
        <c:crossAx val="85817216"/>
        <c:crosses val="autoZero"/>
        <c:auto val="1"/>
        <c:lblAlgn val="ctr"/>
        <c:lblOffset val="100"/>
      </c:catAx>
      <c:valAx>
        <c:axId val="85817216"/>
        <c:scaling>
          <c:orientation val="minMax"/>
        </c:scaling>
        <c:axPos val="l"/>
        <c:majorGridlines/>
        <c:title>
          <c:tx>
            <c:rich>
              <a:bodyPr rot="-5400000" vert="horz"/>
              <a:lstStyle/>
              <a:p>
                <a:pPr>
                  <a:defRPr/>
                </a:pPr>
                <a:r>
                  <a:rPr lang="cs-CZ"/>
                  <a:t>% tuku</a:t>
                </a:r>
              </a:p>
            </c:rich>
          </c:tx>
        </c:title>
        <c:numFmt formatCode="0.0" sourceLinked="1"/>
        <c:tickLblPos val="nextTo"/>
        <c:crossAx val="85815296"/>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3A2B-BBB7-4F0A-813B-E305F86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13156</Words>
  <Characters>77624</Characters>
  <Application>Microsoft Office Word</Application>
  <DocSecurity>0</DocSecurity>
  <Lines>646</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Tereza</cp:lastModifiedBy>
  <cp:revision>3</cp:revision>
  <cp:lastPrinted>2012-05-15T10:26:00Z</cp:lastPrinted>
  <dcterms:created xsi:type="dcterms:W3CDTF">2012-05-18T12:03:00Z</dcterms:created>
  <dcterms:modified xsi:type="dcterms:W3CDTF">2012-05-18T12:03:00Z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