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AAEF" w14:textId="5C5F398D" w:rsidR="00011D40" w:rsidRPr="00EB5C2A" w:rsidRDefault="00011D40" w:rsidP="00EB5C2A">
      <w:pPr>
        <w:jc w:val="center"/>
        <w:rPr>
          <w:rFonts w:cs="Times New Roman"/>
          <w:b/>
          <w:bCs/>
          <w:sz w:val="28"/>
          <w:szCs w:val="28"/>
        </w:rPr>
      </w:pPr>
      <w:r w:rsidRPr="00EB5C2A">
        <w:rPr>
          <w:rFonts w:cs="Times New Roman"/>
          <w:b/>
          <w:bCs/>
          <w:sz w:val="28"/>
          <w:szCs w:val="28"/>
        </w:rPr>
        <w:t>Univerzita Palackého v Olomouci</w:t>
      </w:r>
    </w:p>
    <w:p w14:paraId="5DAA3A2A" w14:textId="6E089CFA" w:rsidR="00011D40" w:rsidRPr="00EB5C2A" w:rsidRDefault="00011D40" w:rsidP="00EB5C2A">
      <w:pPr>
        <w:jc w:val="center"/>
        <w:rPr>
          <w:rFonts w:cs="Times New Roman"/>
          <w:b/>
          <w:bCs/>
          <w:sz w:val="32"/>
          <w:szCs w:val="32"/>
        </w:rPr>
      </w:pPr>
      <w:r w:rsidRPr="00EB5C2A">
        <w:rPr>
          <w:rFonts w:cs="Times New Roman"/>
          <w:b/>
          <w:bCs/>
          <w:sz w:val="28"/>
          <w:szCs w:val="28"/>
        </w:rPr>
        <w:t>Právnická fakulta</w:t>
      </w:r>
    </w:p>
    <w:p w14:paraId="1F7A8109" w14:textId="39B4ED58" w:rsidR="00011D40" w:rsidRPr="00EB5C2A" w:rsidRDefault="00011D40" w:rsidP="00EB5C2A">
      <w:pPr>
        <w:jc w:val="center"/>
        <w:rPr>
          <w:rFonts w:cs="Times New Roman"/>
          <w:b/>
          <w:bCs/>
          <w:sz w:val="32"/>
          <w:szCs w:val="32"/>
        </w:rPr>
      </w:pPr>
    </w:p>
    <w:p w14:paraId="6D020FD9" w14:textId="0326F198" w:rsidR="00011D40" w:rsidRPr="00EB5C2A" w:rsidRDefault="00011D40" w:rsidP="00EB5C2A">
      <w:pPr>
        <w:jc w:val="center"/>
        <w:rPr>
          <w:rFonts w:cs="Times New Roman"/>
          <w:b/>
          <w:bCs/>
          <w:sz w:val="32"/>
          <w:szCs w:val="32"/>
        </w:rPr>
      </w:pPr>
    </w:p>
    <w:p w14:paraId="080F0E24" w14:textId="24F6609B" w:rsidR="00011D40" w:rsidRDefault="00011D40" w:rsidP="00EB5C2A">
      <w:pPr>
        <w:jc w:val="center"/>
        <w:rPr>
          <w:rFonts w:cs="Times New Roman"/>
          <w:b/>
          <w:bCs/>
          <w:sz w:val="32"/>
          <w:szCs w:val="32"/>
        </w:rPr>
      </w:pPr>
    </w:p>
    <w:p w14:paraId="1AE4DD99" w14:textId="5915EE67" w:rsidR="002E6A43" w:rsidRDefault="002E6A43" w:rsidP="00EB5C2A">
      <w:pPr>
        <w:jc w:val="center"/>
        <w:rPr>
          <w:rFonts w:cs="Times New Roman"/>
          <w:b/>
          <w:bCs/>
          <w:sz w:val="32"/>
          <w:szCs w:val="32"/>
        </w:rPr>
      </w:pPr>
    </w:p>
    <w:p w14:paraId="3967CB9F" w14:textId="5DFB634F" w:rsidR="002E6A43" w:rsidRDefault="002E6A43" w:rsidP="00EB5C2A">
      <w:pPr>
        <w:jc w:val="center"/>
        <w:rPr>
          <w:rFonts w:cs="Times New Roman"/>
          <w:b/>
          <w:bCs/>
          <w:sz w:val="32"/>
          <w:szCs w:val="32"/>
        </w:rPr>
      </w:pPr>
    </w:p>
    <w:p w14:paraId="101DB1A8" w14:textId="77777777" w:rsidR="002E6A43" w:rsidRPr="00EB5C2A" w:rsidRDefault="002E6A43" w:rsidP="00EB5C2A">
      <w:pPr>
        <w:jc w:val="center"/>
        <w:rPr>
          <w:rFonts w:cs="Times New Roman"/>
          <w:b/>
          <w:bCs/>
          <w:sz w:val="32"/>
          <w:szCs w:val="32"/>
        </w:rPr>
      </w:pPr>
    </w:p>
    <w:p w14:paraId="05C5AB3A" w14:textId="77777777" w:rsidR="00011D40" w:rsidRPr="00EB5C2A" w:rsidRDefault="00011D40" w:rsidP="00EB5C2A">
      <w:pPr>
        <w:jc w:val="center"/>
        <w:rPr>
          <w:rFonts w:cs="Times New Roman"/>
          <w:b/>
          <w:bCs/>
          <w:sz w:val="32"/>
          <w:szCs w:val="32"/>
        </w:rPr>
      </w:pPr>
    </w:p>
    <w:p w14:paraId="458C70CC" w14:textId="15DBD77D" w:rsidR="00011D40" w:rsidRPr="00EB5C2A" w:rsidRDefault="00EB5C2A" w:rsidP="00EB5C2A">
      <w:pPr>
        <w:jc w:val="center"/>
        <w:rPr>
          <w:rFonts w:cs="Times New Roman"/>
          <w:b/>
          <w:bCs/>
          <w:sz w:val="32"/>
          <w:szCs w:val="32"/>
        </w:rPr>
      </w:pPr>
      <w:r>
        <w:rPr>
          <w:rFonts w:cs="Times New Roman"/>
          <w:b/>
          <w:bCs/>
          <w:sz w:val="32"/>
          <w:szCs w:val="32"/>
        </w:rPr>
        <w:t>Tomáš Havlík</w:t>
      </w:r>
    </w:p>
    <w:p w14:paraId="46D29F2E" w14:textId="3EC9A26C" w:rsidR="00011D40" w:rsidRPr="00EB5C2A" w:rsidRDefault="00EB5C2A" w:rsidP="00EB5C2A">
      <w:pPr>
        <w:jc w:val="center"/>
        <w:rPr>
          <w:rFonts w:cs="Times New Roman"/>
          <w:b/>
          <w:bCs/>
          <w:sz w:val="32"/>
          <w:szCs w:val="32"/>
        </w:rPr>
      </w:pPr>
      <w:r>
        <w:rPr>
          <w:rFonts w:cs="Times New Roman"/>
          <w:b/>
          <w:bCs/>
          <w:sz w:val="32"/>
          <w:szCs w:val="32"/>
        </w:rPr>
        <w:t>Odraz praxe zástavního práva v justiniánské úpravě</w:t>
      </w:r>
    </w:p>
    <w:p w14:paraId="2AA1AA00" w14:textId="17038344" w:rsidR="00011D40" w:rsidRPr="00EB5C2A" w:rsidRDefault="00011D40" w:rsidP="00EB5C2A">
      <w:pPr>
        <w:jc w:val="center"/>
        <w:rPr>
          <w:rFonts w:cs="Times New Roman"/>
          <w:b/>
          <w:bCs/>
          <w:sz w:val="32"/>
          <w:szCs w:val="32"/>
        </w:rPr>
      </w:pPr>
    </w:p>
    <w:p w14:paraId="7CCF8331" w14:textId="77777777" w:rsidR="00011D40" w:rsidRPr="00EB5C2A" w:rsidRDefault="00011D40" w:rsidP="00EB5C2A">
      <w:pPr>
        <w:jc w:val="center"/>
        <w:rPr>
          <w:rFonts w:cs="Times New Roman"/>
          <w:b/>
          <w:bCs/>
          <w:sz w:val="32"/>
          <w:szCs w:val="32"/>
        </w:rPr>
      </w:pPr>
    </w:p>
    <w:p w14:paraId="1C7D21CD" w14:textId="3CBBE495" w:rsidR="00011D40" w:rsidRPr="00EB5C2A" w:rsidRDefault="00EB5C2A" w:rsidP="00EB5C2A">
      <w:pPr>
        <w:jc w:val="center"/>
        <w:rPr>
          <w:rFonts w:cs="Times New Roman"/>
          <w:b/>
          <w:bCs/>
          <w:sz w:val="28"/>
          <w:szCs w:val="28"/>
        </w:rPr>
      </w:pPr>
      <w:r w:rsidRPr="00EB5C2A">
        <w:rPr>
          <w:rFonts w:cs="Times New Roman"/>
          <w:b/>
          <w:bCs/>
          <w:sz w:val="28"/>
          <w:szCs w:val="28"/>
        </w:rPr>
        <w:t>Diplomová práce</w:t>
      </w:r>
    </w:p>
    <w:p w14:paraId="676D7C5D" w14:textId="6E48F910" w:rsidR="00011D40" w:rsidRPr="00EB5C2A" w:rsidRDefault="00011D40" w:rsidP="00EB5C2A">
      <w:pPr>
        <w:jc w:val="center"/>
        <w:rPr>
          <w:rFonts w:cs="Times New Roman"/>
          <w:b/>
          <w:bCs/>
          <w:sz w:val="32"/>
          <w:szCs w:val="32"/>
        </w:rPr>
      </w:pPr>
    </w:p>
    <w:p w14:paraId="0087CFA1" w14:textId="75350DDB" w:rsidR="00011D40" w:rsidRPr="00EB5C2A" w:rsidRDefault="00011D40" w:rsidP="00EB5C2A">
      <w:pPr>
        <w:jc w:val="center"/>
        <w:rPr>
          <w:rFonts w:cs="Times New Roman"/>
          <w:b/>
          <w:bCs/>
          <w:sz w:val="32"/>
          <w:szCs w:val="32"/>
        </w:rPr>
      </w:pPr>
    </w:p>
    <w:p w14:paraId="0F617782" w14:textId="2932794A" w:rsidR="00011D40" w:rsidRPr="00EB5C2A" w:rsidRDefault="00011D40" w:rsidP="00EB5C2A">
      <w:pPr>
        <w:jc w:val="center"/>
        <w:rPr>
          <w:rFonts w:cs="Times New Roman"/>
          <w:b/>
          <w:bCs/>
          <w:sz w:val="32"/>
          <w:szCs w:val="32"/>
        </w:rPr>
      </w:pPr>
    </w:p>
    <w:p w14:paraId="66165D2F" w14:textId="0301BAF4" w:rsidR="00011D40" w:rsidRPr="00EB5C2A" w:rsidRDefault="00011D40" w:rsidP="00EB5C2A">
      <w:pPr>
        <w:jc w:val="center"/>
        <w:rPr>
          <w:rFonts w:cs="Times New Roman"/>
          <w:b/>
          <w:bCs/>
          <w:sz w:val="32"/>
          <w:szCs w:val="32"/>
        </w:rPr>
      </w:pPr>
    </w:p>
    <w:p w14:paraId="746DE52D" w14:textId="36FDD494" w:rsidR="00011D40" w:rsidRPr="00EB5C2A" w:rsidRDefault="00011D40" w:rsidP="00EB5C2A">
      <w:pPr>
        <w:jc w:val="center"/>
        <w:rPr>
          <w:rFonts w:cs="Times New Roman"/>
          <w:b/>
          <w:bCs/>
          <w:sz w:val="32"/>
          <w:szCs w:val="32"/>
        </w:rPr>
      </w:pPr>
    </w:p>
    <w:p w14:paraId="2B887D52" w14:textId="292D086E" w:rsidR="004D0196" w:rsidRDefault="004D0196" w:rsidP="00EB5C2A">
      <w:pPr>
        <w:rPr>
          <w:rFonts w:cs="Times New Roman"/>
          <w:b/>
          <w:bCs/>
          <w:sz w:val="32"/>
          <w:szCs w:val="32"/>
        </w:rPr>
      </w:pPr>
    </w:p>
    <w:p w14:paraId="3FA92AEB" w14:textId="57E053BC" w:rsidR="002E6A43" w:rsidRDefault="002E6A43" w:rsidP="00EB5C2A">
      <w:pPr>
        <w:rPr>
          <w:rFonts w:cs="Times New Roman"/>
          <w:b/>
          <w:bCs/>
          <w:sz w:val="32"/>
          <w:szCs w:val="32"/>
        </w:rPr>
      </w:pPr>
    </w:p>
    <w:p w14:paraId="53F92F62" w14:textId="199BA582" w:rsidR="002E6A43" w:rsidRDefault="002E6A43" w:rsidP="00EB5C2A">
      <w:pPr>
        <w:rPr>
          <w:rFonts w:cs="Times New Roman"/>
          <w:b/>
          <w:bCs/>
          <w:sz w:val="32"/>
          <w:szCs w:val="32"/>
        </w:rPr>
      </w:pPr>
    </w:p>
    <w:p w14:paraId="03293D14" w14:textId="6018DB5D" w:rsidR="002E6A43" w:rsidRDefault="002E6A43" w:rsidP="00EB5C2A">
      <w:pPr>
        <w:rPr>
          <w:rFonts w:cs="Times New Roman"/>
          <w:b/>
          <w:bCs/>
          <w:sz w:val="32"/>
          <w:szCs w:val="32"/>
        </w:rPr>
      </w:pPr>
    </w:p>
    <w:p w14:paraId="34A47A58" w14:textId="77777777" w:rsidR="002E6A43" w:rsidRPr="00EB5C2A" w:rsidRDefault="002E6A43" w:rsidP="00EB5C2A">
      <w:pPr>
        <w:rPr>
          <w:rFonts w:cs="Times New Roman"/>
          <w:b/>
          <w:bCs/>
          <w:sz w:val="32"/>
          <w:szCs w:val="32"/>
        </w:rPr>
      </w:pPr>
    </w:p>
    <w:p w14:paraId="0FE47EB6" w14:textId="7FAA8A41" w:rsidR="007405A8" w:rsidRDefault="00011D40" w:rsidP="00EB5C2A">
      <w:pPr>
        <w:jc w:val="center"/>
        <w:rPr>
          <w:rFonts w:cs="Times New Roman"/>
          <w:b/>
          <w:bCs/>
          <w:sz w:val="28"/>
          <w:szCs w:val="28"/>
        </w:rPr>
      </w:pPr>
      <w:r w:rsidRPr="00EB5C2A">
        <w:rPr>
          <w:rFonts w:cs="Times New Roman"/>
          <w:b/>
          <w:bCs/>
          <w:sz w:val="28"/>
          <w:szCs w:val="28"/>
        </w:rPr>
        <w:t>Olomouc 202</w:t>
      </w:r>
      <w:r w:rsidR="00363691">
        <w:rPr>
          <w:rFonts w:cs="Times New Roman"/>
          <w:b/>
          <w:bCs/>
          <w:sz w:val="28"/>
          <w:szCs w:val="28"/>
        </w:rPr>
        <w:t>2</w:t>
      </w:r>
    </w:p>
    <w:p w14:paraId="4EE1DC04" w14:textId="77777777" w:rsidR="004D0196" w:rsidRPr="004D0196" w:rsidRDefault="004D0196" w:rsidP="004D0196">
      <w:pPr>
        <w:tabs>
          <w:tab w:val="left" w:pos="1269"/>
        </w:tabs>
        <w:rPr>
          <w:rFonts w:cs="Times New Roman"/>
          <w:szCs w:val="24"/>
        </w:rPr>
      </w:pPr>
    </w:p>
    <w:p w14:paraId="420DA390" w14:textId="77777777" w:rsidR="004D0196" w:rsidRPr="004D0196" w:rsidRDefault="004D0196" w:rsidP="004D0196">
      <w:pPr>
        <w:tabs>
          <w:tab w:val="left" w:pos="1269"/>
        </w:tabs>
        <w:rPr>
          <w:rFonts w:cs="Times New Roman"/>
          <w:szCs w:val="24"/>
        </w:rPr>
      </w:pPr>
    </w:p>
    <w:p w14:paraId="1E537693" w14:textId="77777777" w:rsidR="004D0196" w:rsidRPr="004D0196" w:rsidRDefault="004D0196" w:rsidP="004D0196">
      <w:pPr>
        <w:tabs>
          <w:tab w:val="left" w:pos="1269"/>
        </w:tabs>
        <w:rPr>
          <w:rFonts w:cs="Times New Roman"/>
          <w:szCs w:val="24"/>
        </w:rPr>
      </w:pPr>
    </w:p>
    <w:p w14:paraId="189A440E" w14:textId="77777777" w:rsidR="004D0196" w:rsidRPr="004D0196" w:rsidRDefault="004D0196" w:rsidP="004D0196">
      <w:pPr>
        <w:tabs>
          <w:tab w:val="left" w:pos="1269"/>
        </w:tabs>
        <w:rPr>
          <w:rFonts w:cs="Times New Roman"/>
          <w:szCs w:val="24"/>
        </w:rPr>
      </w:pPr>
    </w:p>
    <w:p w14:paraId="16963507" w14:textId="77777777" w:rsidR="004D0196" w:rsidRPr="004D0196" w:rsidRDefault="004D0196" w:rsidP="004D0196">
      <w:pPr>
        <w:tabs>
          <w:tab w:val="left" w:pos="1269"/>
        </w:tabs>
        <w:rPr>
          <w:rFonts w:cs="Times New Roman"/>
          <w:szCs w:val="24"/>
        </w:rPr>
      </w:pPr>
    </w:p>
    <w:p w14:paraId="28D8C93E" w14:textId="77777777" w:rsidR="004D0196" w:rsidRPr="004D0196" w:rsidRDefault="004D0196" w:rsidP="004D0196">
      <w:pPr>
        <w:tabs>
          <w:tab w:val="left" w:pos="1269"/>
        </w:tabs>
        <w:rPr>
          <w:rFonts w:cs="Times New Roman"/>
          <w:szCs w:val="24"/>
        </w:rPr>
      </w:pPr>
    </w:p>
    <w:p w14:paraId="51636318" w14:textId="77777777" w:rsidR="004D0196" w:rsidRPr="004D0196" w:rsidRDefault="004D0196" w:rsidP="004D0196">
      <w:pPr>
        <w:tabs>
          <w:tab w:val="left" w:pos="1269"/>
        </w:tabs>
        <w:rPr>
          <w:rFonts w:cs="Times New Roman"/>
          <w:szCs w:val="24"/>
        </w:rPr>
      </w:pPr>
    </w:p>
    <w:p w14:paraId="0646D7B1" w14:textId="77777777" w:rsidR="004D0196" w:rsidRPr="004D0196" w:rsidRDefault="004D0196" w:rsidP="004D0196">
      <w:pPr>
        <w:tabs>
          <w:tab w:val="left" w:pos="1269"/>
        </w:tabs>
        <w:rPr>
          <w:rFonts w:cs="Times New Roman"/>
          <w:szCs w:val="24"/>
        </w:rPr>
      </w:pPr>
    </w:p>
    <w:p w14:paraId="6FAA1769" w14:textId="77777777" w:rsidR="004D0196" w:rsidRPr="004D0196" w:rsidRDefault="004D0196" w:rsidP="004D0196">
      <w:pPr>
        <w:tabs>
          <w:tab w:val="left" w:pos="1269"/>
        </w:tabs>
        <w:rPr>
          <w:rFonts w:cs="Times New Roman"/>
          <w:szCs w:val="24"/>
        </w:rPr>
      </w:pPr>
    </w:p>
    <w:p w14:paraId="1C987585" w14:textId="77777777" w:rsidR="004D0196" w:rsidRPr="004D0196" w:rsidRDefault="004D0196" w:rsidP="004D0196">
      <w:pPr>
        <w:tabs>
          <w:tab w:val="left" w:pos="1269"/>
        </w:tabs>
        <w:rPr>
          <w:rFonts w:cs="Times New Roman"/>
          <w:szCs w:val="24"/>
        </w:rPr>
      </w:pPr>
    </w:p>
    <w:p w14:paraId="1B625306" w14:textId="77777777" w:rsidR="004D0196" w:rsidRPr="004D0196" w:rsidRDefault="004D0196" w:rsidP="004D0196">
      <w:pPr>
        <w:tabs>
          <w:tab w:val="left" w:pos="1269"/>
        </w:tabs>
        <w:rPr>
          <w:rFonts w:cs="Times New Roman"/>
          <w:szCs w:val="24"/>
        </w:rPr>
      </w:pPr>
    </w:p>
    <w:p w14:paraId="7A352875" w14:textId="77777777" w:rsidR="004D0196" w:rsidRPr="004D0196" w:rsidRDefault="004D0196" w:rsidP="004D0196">
      <w:pPr>
        <w:tabs>
          <w:tab w:val="left" w:pos="1269"/>
        </w:tabs>
        <w:rPr>
          <w:rFonts w:cs="Times New Roman"/>
          <w:szCs w:val="24"/>
        </w:rPr>
      </w:pPr>
    </w:p>
    <w:p w14:paraId="04E521D6" w14:textId="77777777" w:rsidR="004D0196" w:rsidRPr="004D0196" w:rsidRDefault="004D0196" w:rsidP="004D0196">
      <w:pPr>
        <w:tabs>
          <w:tab w:val="left" w:pos="1269"/>
        </w:tabs>
        <w:rPr>
          <w:rFonts w:cs="Times New Roman"/>
          <w:szCs w:val="24"/>
        </w:rPr>
      </w:pPr>
    </w:p>
    <w:p w14:paraId="40000E56" w14:textId="77777777" w:rsidR="004D0196" w:rsidRPr="004D0196" w:rsidRDefault="004D0196" w:rsidP="004D0196">
      <w:pPr>
        <w:tabs>
          <w:tab w:val="left" w:pos="1269"/>
        </w:tabs>
        <w:rPr>
          <w:rFonts w:cs="Times New Roman"/>
          <w:szCs w:val="24"/>
        </w:rPr>
      </w:pPr>
    </w:p>
    <w:p w14:paraId="7F7FD954" w14:textId="77777777" w:rsidR="004D0196" w:rsidRPr="004D0196" w:rsidRDefault="004D0196" w:rsidP="004D0196">
      <w:pPr>
        <w:tabs>
          <w:tab w:val="left" w:pos="1269"/>
        </w:tabs>
        <w:rPr>
          <w:rFonts w:cs="Times New Roman"/>
          <w:szCs w:val="24"/>
        </w:rPr>
      </w:pPr>
    </w:p>
    <w:p w14:paraId="221548A2" w14:textId="77777777" w:rsidR="004D0196" w:rsidRPr="004D0196" w:rsidRDefault="004D0196" w:rsidP="004D0196">
      <w:pPr>
        <w:tabs>
          <w:tab w:val="left" w:pos="1269"/>
        </w:tabs>
        <w:rPr>
          <w:rFonts w:cs="Times New Roman"/>
          <w:szCs w:val="24"/>
        </w:rPr>
      </w:pPr>
    </w:p>
    <w:p w14:paraId="2A362C00" w14:textId="4D91B342" w:rsidR="004D0196" w:rsidRDefault="004D0196" w:rsidP="004D0196">
      <w:pPr>
        <w:tabs>
          <w:tab w:val="left" w:pos="1269"/>
        </w:tabs>
        <w:rPr>
          <w:rFonts w:cs="Times New Roman"/>
          <w:szCs w:val="24"/>
        </w:rPr>
      </w:pPr>
    </w:p>
    <w:p w14:paraId="6996CEB4" w14:textId="5984C686" w:rsidR="002E6A43" w:rsidRDefault="002E6A43" w:rsidP="004D0196">
      <w:pPr>
        <w:tabs>
          <w:tab w:val="left" w:pos="1269"/>
        </w:tabs>
        <w:rPr>
          <w:rFonts w:cs="Times New Roman"/>
          <w:szCs w:val="24"/>
        </w:rPr>
      </w:pPr>
    </w:p>
    <w:p w14:paraId="55C0FB8A" w14:textId="677EB672" w:rsidR="002E6A43" w:rsidRDefault="002E6A43" w:rsidP="004D0196">
      <w:pPr>
        <w:tabs>
          <w:tab w:val="left" w:pos="1269"/>
        </w:tabs>
        <w:rPr>
          <w:rFonts w:cs="Times New Roman"/>
          <w:szCs w:val="24"/>
        </w:rPr>
      </w:pPr>
    </w:p>
    <w:p w14:paraId="032A210A" w14:textId="02422626" w:rsidR="002E6A43" w:rsidRDefault="002E6A43" w:rsidP="004D0196">
      <w:pPr>
        <w:tabs>
          <w:tab w:val="left" w:pos="1269"/>
        </w:tabs>
        <w:rPr>
          <w:rFonts w:cs="Times New Roman"/>
          <w:szCs w:val="24"/>
        </w:rPr>
      </w:pPr>
    </w:p>
    <w:p w14:paraId="3EBE250C" w14:textId="1FA01267" w:rsidR="002E6A43" w:rsidRDefault="002E6A43" w:rsidP="004D0196">
      <w:pPr>
        <w:tabs>
          <w:tab w:val="left" w:pos="1269"/>
        </w:tabs>
        <w:rPr>
          <w:rFonts w:cs="Times New Roman"/>
          <w:szCs w:val="24"/>
        </w:rPr>
      </w:pPr>
    </w:p>
    <w:p w14:paraId="5AEEAB78" w14:textId="11350153" w:rsidR="002E6A43" w:rsidRDefault="002E6A43" w:rsidP="004D0196">
      <w:pPr>
        <w:tabs>
          <w:tab w:val="left" w:pos="1269"/>
        </w:tabs>
        <w:rPr>
          <w:rFonts w:cs="Times New Roman"/>
          <w:szCs w:val="24"/>
        </w:rPr>
      </w:pPr>
    </w:p>
    <w:p w14:paraId="398081C1" w14:textId="11FE9039" w:rsidR="002E6A43" w:rsidRDefault="002E6A43" w:rsidP="004D0196">
      <w:pPr>
        <w:tabs>
          <w:tab w:val="left" w:pos="1269"/>
        </w:tabs>
        <w:rPr>
          <w:rFonts w:cs="Times New Roman"/>
          <w:szCs w:val="24"/>
        </w:rPr>
      </w:pPr>
    </w:p>
    <w:p w14:paraId="6DEF9CA4" w14:textId="1C5939CA" w:rsidR="002E6A43" w:rsidRDefault="002E6A43" w:rsidP="004D0196">
      <w:pPr>
        <w:tabs>
          <w:tab w:val="left" w:pos="1269"/>
        </w:tabs>
        <w:rPr>
          <w:rFonts w:cs="Times New Roman"/>
          <w:szCs w:val="24"/>
        </w:rPr>
      </w:pPr>
    </w:p>
    <w:p w14:paraId="260AB7C0" w14:textId="77777777" w:rsidR="002E6A43" w:rsidRPr="004D0196" w:rsidRDefault="002E6A43" w:rsidP="004D0196">
      <w:pPr>
        <w:tabs>
          <w:tab w:val="left" w:pos="1269"/>
        </w:tabs>
        <w:rPr>
          <w:rFonts w:cs="Times New Roman"/>
          <w:szCs w:val="24"/>
        </w:rPr>
      </w:pPr>
    </w:p>
    <w:p w14:paraId="4DF2CC33" w14:textId="77777777" w:rsidR="004D0196" w:rsidRPr="004D0196" w:rsidRDefault="004D0196" w:rsidP="004D0196">
      <w:pPr>
        <w:tabs>
          <w:tab w:val="left" w:pos="1269"/>
        </w:tabs>
        <w:rPr>
          <w:rFonts w:cs="Times New Roman"/>
          <w:szCs w:val="24"/>
        </w:rPr>
      </w:pPr>
    </w:p>
    <w:p w14:paraId="257BCE71" w14:textId="77777777" w:rsidR="004D0196" w:rsidRPr="004D0196" w:rsidRDefault="004D0196" w:rsidP="004D0196">
      <w:pPr>
        <w:tabs>
          <w:tab w:val="left" w:pos="1269"/>
        </w:tabs>
        <w:rPr>
          <w:rFonts w:cs="Times New Roman"/>
          <w:szCs w:val="24"/>
        </w:rPr>
      </w:pPr>
    </w:p>
    <w:p w14:paraId="3F017DCA" w14:textId="1223D60F" w:rsidR="002E6A43" w:rsidRDefault="002E6A43" w:rsidP="00C17ADA">
      <w:pPr>
        <w:tabs>
          <w:tab w:val="left" w:pos="1269"/>
        </w:tabs>
        <w:rPr>
          <w:rFonts w:cs="Times New Roman"/>
          <w:szCs w:val="24"/>
        </w:rPr>
      </w:pPr>
    </w:p>
    <w:p w14:paraId="32F93976" w14:textId="77777777" w:rsidR="002E6A43" w:rsidRDefault="002E6A43" w:rsidP="00C17ADA">
      <w:pPr>
        <w:tabs>
          <w:tab w:val="left" w:pos="1269"/>
        </w:tabs>
        <w:rPr>
          <w:rFonts w:cs="Times New Roman"/>
          <w:szCs w:val="24"/>
        </w:rPr>
      </w:pPr>
    </w:p>
    <w:p w14:paraId="10ABD010" w14:textId="37437C02" w:rsidR="004D0196" w:rsidRPr="004D0196" w:rsidRDefault="004D0196" w:rsidP="00C17ADA">
      <w:pPr>
        <w:tabs>
          <w:tab w:val="left" w:pos="1269"/>
        </w:tabs>
        <w:rPr>
          <w:rFonts w:cs="Times New Roman"/>
          <w:szCs w:val="24"/>
        </w:rPr>
      </w:pPr>
      <w:r w:rsidRPr="004D0196">
        <w:rPr>
          <w:rFonts w:cs="Times New Roman"/>
          <w:szCs w:val="24"/>
        </w:rPr>
        <w:t>Prohlašuji, že jsem diplomovou práci na téma „</w:t>
      </w:r>
      <w:r w:rsidRPr="004D0196">
        <w:rPr>
          <w:rFonts w:cs="Times New Roman"/>
          <w:color w:val="000000"/>
          <w:szCs w:val="24"/>
          <w:shd w:val="clear" w:color="auto" w:fill="FFFFFF"/>
        </w:rPr>
        <w:t>Odraz praxe zástavního práva v justiniánské úpravě</w:t>
      </w:r>
      <w:r w:rsidRPr="004D0196">
        <w:rPr>
          <w:rFonts w:cs="Times New Roman"/>
          <w:szCs w:val="24"/>
        </w:rPr>
        <w:t>“ vypracoval samostatně a citoval jsem všechny použité zdroje.</w:t>
      </w:r>
    </w:p>
    <w:p w14:paraId="349837C2" w14:textId="4F16F68C" w:rsidR="004D0196" w:rsidRDefault="004D0196" w:rsidP="00C17ADA">
      <w:pPr>
        <w:tabs>
          <w:tab w:val="left" w:pos="1269"/>
        </w:tabs>
        <w:rPr>
          <w:rFonts w:cs="Times New Roman"/>
          <w:szCs w:val="24"/>
        </w:rPr>
      </w:pPr>
    </w:p>
    <w:p w14:paraId="03B6CCB2" w14:textId="77777777" w:rsidR="002E6A43" w:rsidRDefault="002E6A43" w:rsidP="002E6A43">
      <w:pPr>
        <w:tabs>
          <w:tab w:val="left" w:pos="1269"/>
        </w:tabs>
        <w:rPr>
          <w:rFonts w:cs="Times New Roman"/>
          <w:szCs w:val="24"/>
        </w:rPr>
      </w:pPr>
    </w:p>
    <w:p w14:paraId="61E23858" w14:textId="2F58B8D2" w:rsidR="002E6A43" w:rsidRDefault="004D0196" w:rsidP="002E6A43">
      <w:pPr>
        <w:tabs>
          <w:tab w:val="left" w:pos="1269"/>
        </w:tabs>
        <w:rPr>
          <w:rFonts w:cs="Times New Roman"/>
          <w:szCs w:val="24"/>
        </w:rPr>
      </w:pPr>
      <w:r w:rsidRPr="004D0196">
        <w:rPr>
          <w:rFonts w:cs="Times New Roman"/>
          <w:szCs w:val="24"/>
        </w:rPr>
        <w:t xml:space="preserve">V Olomouci dne </w:t>
      </w:r>
      <w:r w:rsidR="00363691">
        <w:rPr>
          <w:rFonts w:cs="Times New Roman"/>
          <w:szCs w:val="24"/>
        </w:rPr>
        <w:t>9</w:t>
      </w:r>
      <w:r w:rsidRPr="004D0196">
        <w:rPr>
          <w:rFonts w:cs="Times New Roman"/>
          <w:szCs w:val="24"/>
        </w:rPr>
        <w:t xml:space="preserve">. </w:t>
      </w:r>
      <w:r w:rsidR="00363691">
        <w:rPr>
          <w:rFonts w:cs="Times New Roman"/>
          <w:szCs w:val="24"/>
        </w:rPr>
        <w:t>dubna</w:t>
      </w:r>
      <w:r w:rsidRPr="004D0196">
        <w:rPr>
          <w:rFonts w:cs="Times New Roman"/>
          <w:szCs w:val="24"/>
        </w:rPr>
        <w:t xml:space="preserve"> 202</w:t>
      </w:r>
      <w:r w:rsidR="00363691">
        <w:rPr>
          <w:rFonts w:cs="Times New Roman"/>
          <w:szCs w:val="24"/>
        </w:rPr>
        <w:t>2</w:t>
      </w:r>
      <w:r w:rsidR="002E6A43">
        <w:rPr>
          <w:rFonts w:cs="Times New Roman"/>
          <w:szCs w:val="24"/>
        </w:rPr>
        <w:tab/>
      </w:r>
      <w:r w:rsidR="002E6A43">
        <w:rPr>
          <w:rFonts w:cs="Times New Roman"/>
          <w:szCs w:val="24"/>
        </w:rPr>
        <w:tab/>
      </w:r>
      <w:r w:rsidR="002E6A43">
        <w:rPr>
          <w:rFonts w:cs="Times New Roman"/>
          <w:szCs w:val="24"/>
        </w:rPr>
        <w:tab/>
      </w:r>
      <w:r w:rsidR="002E6A43">
        <w:rPr>
          <w:rFonts w:cs="Times New Roman"/>
          <w:szCs w:val="24"/>
        </w:rPr>
        <w:tab/>
        <w:t>______________________</w:t>
      </w:r>
    </w:p>
    <w:p w14:paraId="146563A1" w14:textId="665636A0" w:rsidR="004D0196" w:rsidRPr="002E6A43" w:rsidRDefault="002E6A43" w:rsidP="002E6A43">
      <w:pPr>
        <w:tabs>
          <w:tab w:val="left" w:pos="1269"/>
        </w:tabs>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4D0196" w:rsidRPr="004D0196">
        <w:rPr>
          <w:rFonts w:cs="Times New Roman"/>
          <w:szCs w:val="24"/>
        </w:rPr>
        <w:t xml:space="preserve">Tomáš Havlík </w:t>
      </w:r>
    </w:p>
    <w:p w14:paraId="091503B2" w14:textId="7758219B" w:rsidR="004D0196" w:rsidRDefault="004D0196" w:rsidP="00C17ADA">
      <w:pPr>
        <w:tabs>
          <w:tab w:val="left" w:pos="6259"/>
        </w:tabs>
        <w:rPr>
          <w:rFonts w:cs="Times New Roman"/>
          <w:szCs w:val="24"/>
        </w:rPr>
      </w:pPr>
    </w:p>
    <w:p w14:paraId="0B0E2ADA" w14:textId="398EA445" w:rsidR="00C17ADA" w:rsidRDefault="00C17ADA" w:rsidP="00C17ADA">
      <w:pPr>
        <w:tabs>
          <w:tab w:val="left" w:pos="6259"/>
        </w:tabs>
        <w:rPr>
          <w:rFonts w:cs="Times New Roman"/>
          <w:szCs w:val="24"/>
        </w:rPr>
      </w:pPr>
    </w:p>
    <w:p w14:paraId="3040B1F3" w14:textId="3CF78AAC" w:rsidR="00C17ADA" w:rsidRDefault="00C17ADA" w:rsidP="00C17ADA">
      <w:pPr>
        <w:tabs>
          <w:tab w:val="left" w:pos="6259"/>
        </w:tabs>
        <w:rPr>
          <w:rFonts w:cs="Times New Roman"/>
          <w:szCs w:val="24"/>
        </w:rPr>
      </w:pPr>
    </w:p>
    <w:p w14:paraId="7F8FC8B0" w14:textId="4A1310D5" w:rsidR="00C17ADA" w:rsidRDefault="00C17ADA" w:rsidP="00C17ADA">
      <w:pPr>
        <w:tabs>
          <w:tab w:val="left" w:pos="6259"/>
        </w:tabs>
        <w:rPr>
          <w:rFonts w:cs="Times New Roman"/>
          <w:szCs w:val="24"/>
        </w:rPr>
      </w:pPr>
    </w:p>
    <w:p w14:paraId="58798FD2" w14:textId="4A8F6054" w:rsidR="00C17ADA" w:rsidRDefault="00C17ADA" w:rsidP="00C17ADA">
      <w:pPr>
        <w:tabs>
          <w:tab w:val="left" w:pos="6259"/>
        </w:tabs>
        <w:rPr>
          <w:rFonts w:cs="Times New Roman"/>
          <w:szCs w:val="24"/>
        </w:rPr>
      </w:pPr>
    </w:p>
    <w:p w14:paraId="796F45B6" w14:textId="3CD25718" w:rsidR="00C17ADA" w:rsidRDefault="00C17ADA" w:rsidP="00C17ADA">
      <w:pPr>
        <w:tabs>
          <w:tab w:val="left" w:pos="6259"/>
        </w:tabs>
        <w:rPr>
          <w:rFonts w:cs="Times New Roman"/>
          <w:szCs w:val="24"/>
        </w:rPr>
      </w:pPr>
    </w:p>
    <w:p w14:paraId="6C6416D9" w14:textId="56CD6895" w:rsidR="00C17ADA" w:rsidRDefault="00C17ADA" w:rsidP="00C17ADA">
      <w:pPr>
        <w:tabs>
          <w:tab w:val="left" w:pos="6259"/>
        </w:tabs>
        <w:rPr>
          <w:rFonts w:cs="Times New Roman"/>
          <w:szCs w:val="24"/>
        </w:rPr>
      </w:pPr>
    </w:p>
    <w:p w14:paraId="21320FBF" w14:textId="1892D048" w:rsidR="00C17ADA" w:rsidRDefault="00C17ADA" w:rsidP="00C17ADA">
      <w:pPr>
        <w:tabs>
          <w:tab w:val="left" w:pos="6259"/>
        </w:tabs>
        <w:rPr>
          <w:rFonts w:cs="Times New Roman"/>
          <w:szCs w:val="24"/>
        </w:rPr>
      </w:pPr>
    </w:p>
    <w:p w14:paraId="534D0EFB" w14:textId="418E977B" w:rsidR="00C17ADA" w:rsidRDefault="00C17ADA" w:rsidP="00C17ADA">
      <w:pPr>
        <w:tabs>
          <w:tab w:val="left" w:pos="6259"/>
        </w:tabs>
        <w:rPr>
          <w:rFonts w:cs="Times New Roman"/>
          <w:szCs w:val="24"/>
        </w:rPr>
      </w:pPr>
    </w:p>
    <w:p w14:paraId="16562B9F" w14:textId="02D42664" w:rsidR="00C17ADA" w:rsidRDefault="00C17ADA" w:rsidP="00C17ADA">
      <w:pPr>
        <w:tabs>
          <w:tab w:val="left" w:pos="6259"/>
        </w:tabs>
        <w:rPr>
          <w:rFonts w:cs="Times New Roman"/>
          <w:szCs w:val="24"/>
        </w:rPr>
      </w:pPr>
    </w:p>
    <w:p w14:paraId="1FD18393" w14:textId="43B16F8D" w:rsidR="00C17ADA" w:rsidRDefault="00C17ADA" w:rsidP="00C17ADA">
      <w:pPr>
        <w:tabs>
          <w:tab w:val="left" w:pos="6259"/>
        </w:tabs>
        <w:rPr>
          <w:rFonts w:cs="Times New Roman"/>
          <w:szCs w:val="24"/>
        </w:rPr>
      </w:pPr>
    </w:p>
    <w:p w14:paraId="09115A34" w14:textId="79BE3888" w:rsidR="00C17ADA" w:rsidRDefault="00C17ADA" w:rsidP="00C17ADA">
      <w:pPr>
        <w:tabs>
          <w:tab w:val="left" w:pos="6259"/>
        </w:tabs>
        <w:rPr>
          <w:rFonts w:cs="Times New Roman"/>
          <w:szCs w:val="24"/>
        </w:rPr>
      </w:pPr>
    </w:p>
    <w:p w14:paraId="118BA9BA" w14:textId="35FB02D6" w:rsidR="00C17ADA" w:rsidRDefault="00C17ADA" w:rsidP="00C17ADA">
      <w:pPr>
        <w:tabs>
          <w:tab w:val="left" w:pos="6259"/>
        </w:tabs>
        <w:rPr>
          <w:rFonts w:cs="Times New Roman"/>
          <w:szCs w:val="24"/>
        </w:rPr>
      </w:pPr>
    </w:p>
    <w:p w14:paraId="79A8A368" w14:textId="5591BA8D" w:rsidR="00C17ADA" w:rsidRDefault="00C17ADA" w:rsidP="00C17ADA">
      <w:pPr>
        <w:tabs>
          <w:tab w:val="left" w:pos="6259"/>
        </w:tabs>
        <w:rPr>
          <w:rFonts w:cs="Times New Roman"/>
          <w:szCs w:val="24"/>
        </w:rPr>
      </w:pPr>
    </w:p>
    <w:p w14:paraId="52AE911B" w14:textId="0E01A981" w:rsidR="00C17ADA" w:rsidRDefault="00C17ADA" w:rsidP="00C17ADA">
      <w:pPr>
        <w:tabs>
          <w:tab w:val="left" w:pos="6259"/>
        </w:tabs>
        <w:rPr>
          <w:rFonts w:cs="Times New Roman"/>
          <w:szCs w:val="24"/>
        </w:rPr>
      </w:pPr>
    </w:p>
    <w:p w14:paraId="70D07488" w14:textId="081367DE" w:rsidR="00C17ADA" w:rsidRDefault="00C17ADA" w:rsidP="00C17ADA">
      <w:pPr>
        <w:tabs>
          <w:tab w:val="left" w:pos="6259"/>
        </w:tabs>
        <w:rPr>
          <w:rFonts w:cs="Times New Roman"/>
          <w:szCs w:val="24"/>
        </w:rPr>
      </w:pPr>
    </w:p>
    <w:p w14:paraId="6B8456D5" w14:textId="4F042981" w:rsidR="00C17ADA" w:rsidRDefault="00C17ADA" w:rsidP="00C17ADA">
      <w:pPr>
        <w:tabs>
          <w:tab w:val="left" w:pos="6259"/>
        </w:tabs>
        <w:rPr>
          <w:rFonts w:cs="Times New Roman"/>
          <w:szCs w:val="24"/>
        </w:rPr>
      </w:pPr>
    </w:p>
    <w:p w14:paraId="6DB92B14" w14:textId="73B689B6" w:rsidR="00C17ADA" w:rsidRDefault="00C17ADA" w:rsidP="00C17ADA">
      <w:pPr>
        <w:tabs>
          <w:tab w:val="left" w:pos="6259"/>
        </w:tabs>
        <w:rPr>
          <w:rFonts w:cs="Times New Roman"/>
          <w:szCs w:val="24"/>
        </w:rPr>
      </w:pPr>
    </w:p>
    <w:p w14:paraId="3CCDF73D" w14:textId="4492BD32" w:rsidR="00C17ADA" w:rsidRDefault="00C17ADA" w:rsidP="00C17ADA">
      <w:pPr>
        <w:tabs>
          <w:tab w:val="left" w:pos="6259"/>
        </w:tabs>
        <w:rPr>
          <w:rFonts w:cs="Times New Roman"/>
          <w:szCs w:val="24"/>
        </w:rPr>
      </w:pPr>
    </w:p>
    <w:p w14:paraId="4C70FF6E" w14:textId="2603F7C1" w:rsidR="00C17ADA" w:rsidRDefault="00C17ADA" w:rsidP="00C17ADA">
      <w:pPr>
        <w:tabs>
          <w:tab w:val="left" w:pos="6259"/>
        </w:tabs>
        <w:rPr>
          <w:rFonts w:cs="Times New Roman"/>
          <w:szCs w:val="24"/>
        </w:rPr>
      </w:pPr>
    </w:p>
    <w:p w14:paraId="014463F6" w14:textId="37BB745D" w:rsidR="00C17ADA" w:rsidRDefault="00C17ADA" w:rsidP="00C17ADA">
      <w:pPr>
        <w:tabs>
          <w:tab w:val="left" w:pos="6259"/>
        </w:tabs>
        <w:rPr>
          <w:rFonts w:cs="Times New Roman"/>
          <w:szCs w:val="24"/>
        </w:rPr>
      </w:pPr>
    </w:p>
    <w:p w14:paraId="417D1484" w14:textId="1E1E2A74" w:rsidR="00C17ADA" w:rsidRDefault="00C17ADA" w:rsidP="00C17ADA">
      <w:pPr>
        <w:tabs>
          <w:tab w:val="left" w:pos="6259"/>
        </w:tabs>
        <w:rPr>
          <w:rFonts w:cs="Times New Roman"/>
          <w:szCs w:val="24"/>
        </w:rPr>
      </w:pPr>
    </w:p>
    <w:p w14:paraId="064F5BAB" w14:textId="2D7C5317" w:rsidR="002E6A43" w:rsidRDefault="002E6A43" w:rsidP="00C17ADA">
      <w:pPr>
        <w:tabs>
          <w:tab w:val="left" w:pos="6259"/>
        </w:tabs>
        <w:rPr>
          <w:rFonts w:cs="Times New Roman"/>
          <w:szCs w:val="24"/>
        </w:rPr>
      </w:pPr>
    </w:p>
    <w:p w14:paraId="158C5407" w14:textId="43804CA3" w:rsidR="002E6A43" w:rsidRDefault="002E6A43" w:rsidP="00C17ADA">
      <w:pPr>
        <w:tabs>
          <w:tab w:val="left" w:pos="6259"/>
        </w:tabs>
        <w:rPr>
          <w:rFonts w:cs="Times New Roman"/>
          <w:szCs w:val="24"/>
        </w:rPr>
      </w:pPr>
    </w:p>
    <w:p w14:paraId="2C08D69E" w14:textId="6A1E3739" w:rsidR="002E6A43" w:rsidRDefault="002E6A43" w:rsidP="00C17ADA">
      <w:pPr>
        <w:tabs>
          <w:tab w:val="left" w:pos="6259"/>
        </w:tabs>
        <w:rPr>
          <w:rFonts w:cs="Times New Roman"/>
          <w:szCs w:val="24"/>
        </w:rPr>
      </w:pPr>
    </w:p>
    <w:p w14:paraId="24397F05" w14:textId="4CCA9937" w:rsidR="002E6A43" w:rsidRDefault="002E6A43" w:rsidP="00C17ADA">
      <w:pPr>
        <w:tabs>
          <w:tab w:val="left" w:pos="6259"/>
        </w:tabs>
        <w:rPr>
          <w:rFonts w:cs="Times New Roman"/>
          <w:szCs w:val="24"/>
        </w:rPr>
      </w:pPr>
    </w:p>
    <w:p w14:paraId="1364A7E1" w14:textId="17890E80" w:rsidR="002E6A43" w:rsidRDefault="002E6A43" w:rsidP="00C17ADA">
      <w:pPr>
        <w:tabs>
          <w:tab w:val="left" w:pos="6259"/>
        </w:tabs>
        <w:rPr>
          <w:rFonts w:cs="Times New Roman"/>
          <w:szCs w:val="24"/>
        </w:rPr>
      </w:pPr>
    </w:p>
    <w:p w14:paraId="7FFDFAF8" w14:textId="4D91FE52" w:rsidR="002E6A43" w:rsidRDefault="002E6A43" w:rsidP="00C17ADA">
      <w:pPr>
        <w:tabs>
          <w:tab w:val="left" w:pos="6259"/>
        </w:tabs>
        <w:rPr>
          <w:rFonts w:cs="Times New Roman"/>
          <w:szCs w:val="24"/>
        </w:rPr>
      </w:pPr>
    </w:p>
    <w:p w14:paraId="74D65DF0" w14:textId="5EDEAB55" w:rsidR="002E6A43" w:rsidRDefault="002E6A43" w:rsidP="00C17ADA">
      <w:pPr>
        <w:tabs>
          <w:tab w:val="left" w:pos="6259"/>
        </w:tabs>
        <w:rPr>
          <w:rFonts w:cs="Times New Roman"/>
          <w:szCs w:val="24"/>
        </w:rPr>
      </w:pPr>
    </w:p>
    <w:p w14:paraId="1F5FD27E" w14:textId="3A1AF3DB" w:rsidR="002E6A43" w:rsidRDefault="002E6A43" w:rsidP="00C17ADA">
      <w:pPr>
        <w:tabs>
          <w:tab w:val="left" w:pos="6259"/>
        </w:tabs>
        <w:rPr>
          <w:rFonts w:cs="Times New Roman"/>
          <w:szCs w:val="24"/>
        </w:rPr>
      </w:pPr>
    </w:p>
    <w:p w14:paraId="3709E85C" w14:textId="77777777" w:rsidR="002E6A43" w:rsidRDefault="002E6A43" w:rsidP="00C17ADA">
      <w:pPr>
        <w:tabs>
          <w:tab w:val="left" w:pos="6259"/>
        </w:tabs>
        <w:rPr>
          <w:rFonts w:cs="Times New Roman"/>
          <w:szCs w:val="24"/>
        </w:rPr>
      </w:pPr>
    </w:p>
    <w:p w14:paraId="0E63BAA9" w14:textId="77777777" w:rsidR="00405F68" w:rsidRDefault="00405F68" w:rsidP="00C17ADA">
      <w:pPr>
        <w:tabs>
          <w:tab w:val="left" w:pos="6259"/>
        </w:tabs>
        <w:rPr>
          <w:rFonts w:cs="Times New Roman"/>
          <w:szCs w:val="24"/>
        </w:rPr>
      </w:pPr>
    </w:p>
    <w:p w14:paraId="7A983D0A" w14:textId="43A5D34A" w:rsidR="00834B5E" w:rsidRDefault="00C17ADA" w:rsidP="00405F68">
      <w:pPr>
        <w:tabs>
          <w:tab w:val="left" w:pos="6259"/>
        </w:tabs>
        <w:rPr>
          <w:rFonts w:cs="Times New Roman"/>
          <w:szCs w:val="24"/>
        </w:rPr>
        <w:sectPr w:rsidR="00834B5E" w:rsidSect="005D75C5">
          <w:headerReference w:type="default" r:id="rId11"/>
          <w:footerReference w:type="default" r:id="rId12"/>
          <w:pgSz w:w="11906" w:h="16838" w:code="9"/>
          <w:pgMar w:top="1418" w:right="1134" w:bottom="1418" w:left="1701" w:header="709" w:footer="709" w:gutter="0"/>
          <w:cols w:space="708"/>
          <w:docGrid w:linePitch="360"/>
        </w:sectPr>
      </w:pPr>
      <w:r w:rsidRPr="00C17ADA">
        <w:rPr>
          <w:rFonts w:cs="Times New Roman"/>
          <w:szCs w:val="24"/>
        </w:rPr>
        <w:t xml:space="preserve">Děkuji tímto vedoucí mé diplomové práce JUDr. </w:t>
      </w:r>
      <w:r>
        <w:rPr>
          <w:rFonts w:cs="Times New Roman"/>
          <w:szCs w:val="24"/>
        </w:rPr>
        <w:t>Kamile</w:t>
      </w:r>
      <w:r w:rsidRPr="00C17ADA">
        <w:rPr>
          <w:rFonts w:cs="Times New Roman"/>
          <w:szCs w:val="24"/>
        </w:rPr>
        <w:t xml:space="preserve"> </w:t>
      </w:r>
      <w:r>
        <w:rPr>
          <w:rFonts w:cs="Times New Roman"/>
          <w:szCs w:val="24"/>
        </w:rPr>
        <w:t>Bubelové</w:t>
      </w:r>
      <w:r w:rsidRPr="00C17ADA">
        <w:rPr>
          <w:rFonts w:cs="Times New Roman"/>
          <w:szCs w:val="24"/>
        </w:rPr>
        <w:t>, Ph.D. za odborné vedení, cenné rady a připomínky, kterými mi pomohla k vypracování této práce.</w:t>
      </w:r>
    </w:p>
    <w:p w14:paraId="5519D75B" w14:textId="02107718" w:rsidR="002E6A43" w:rsidRPr="004C559D" w:rsidRDefault="002E6A43" w:rsidP="004C559D">
      <w:pPr>
        <w:spacing w:after="160" w:line="259" w:lineRule="auto"/>
        <w:ind w:firstLine="0"/>
        <w:jc w:val="left"/>
        <w:rPr>
          <w:rFonts w:cs="Times New Roman"/>
          <w:szCs w:val="24"/>
        </w:rPr>
      </w:pPr>
    </w:p>
    <w:sdt>
      <w:sdtPr>
        <w:rPr>
          <w:rFonts w:eastAsiaTheme="minorHAnsi" w:cstheme="minorBidi"/>
          <w:b w:val="0"/>
          <w:sz w:val="24"/>
          <w:szCs w:val="22"/>
          <w:lang w:eastAsia="en-US"/>
        </w:rPr>
        <w:id w:val="-988475174"/>
        <w:docPartObj>
          <w:docPartGallery w:val="Table of Contents"/>
          <w:docPartUnique/>
        </w:docPartObj>
      </w:sdtPr>
      <w:sdtEndPr>
        <w:rPr>
          <w:bCs/>
        </w:rPr>
      </w:sdtEndPr>
      <w:sdtContent>
        <w:p w14:paraId="56AEAE47" w14:textId="07C31861" w:rsidR="00C74A5E" w:rsidRDefault="00C74A5E">
          <w:pPr>
            <w:pStyle w:val="Nadpisobsahu"/>
          </w:pPr>
          <w:r>
            <w:t>Obsah</w:t>
          </w:r>
        </w:p>
        <w:p w14:paraId="25254B7D" w14:textId="033200C0" w:rsidR="00363691" w:rsidRDefault="00C74A5E">
          <w:pPr>
            <w:pStyle w:val="Obsah1"/>
            <w:rPr>
              <w:rFonts w:asciiTheme="minorHAnsi" w:hAnsiTheme="minorHAnsi" w:cstheme="minorBidi"/>
              <w:noProof/>
              <w:sz w:val="22"/>
            </w:rPr>
          </w:pPr>
          <w:r>
            <w:fldChar w:fldCharType="begin"/>
          </w:r>
          <w:r>
            <w:instrText xml:space="preserve"> TOC \o "1-3" \h \z \u </w:instrText>
          </w:r>
          <w:r>
            <w:fldChar w:fldCharType="separate"/>
          </w:r>
          <w:hyperlink w:anchor="_Toc100354920" w:history="1">
            <w:r w:rsidR="00363691" w:rsidRPr="00EB7AD1">
              <w:rPr>
                <w:rStyle w:val="Hypertextovodkaz"/>
                <w:noProof/>
              </w:rPr>
              <w:t>Seznam použitých zkratek</w:t>
            </w:r>
            <w:r w:rsidR="00363691">
              <w:rPr>
                <w:noProof/>
                <w:webHidden/>
              </w:rPr>
              <w:tab/>
            </w:r>
            <w:r w:rsidR="00363691">
              <w:rPr>
                <w:noProof/>
                <w:webHidden/>
              </w:rPr>
              <w:fldChar w:fldCharType="begin"/>
            </w:r>
            <w:r w:rsidR="00363691">
              <w:rPr>
                <w:noProof/>
                <w:webHidden/>
              </w:rPr>
              <w:instrText xml:space="preserve"> PAGEREF _Toc100354920 \h </w:instrText>
            </w:r>
            <w:r w:rsidR="00363691">
              <w:rPr>
                <w:noProof/>
                <w:webHidden/>
              </w:rPr>
            </w:r>
            <w:r w:rsidR="00363691">
              <w:rPr>
                <w:noProof/>
                <w:webHidden/>
              </w:rPr>
              <w:fldChar w:fldCharType="separate"/>
            </w:r>
            <w:r w:rsidR="00363691">
              <w:rPr>
                <w:noProof/>
                <w:webHidden/>
              </w:rPr>
              <w:t>6</w:t>
            </w:r>
            <w:r w:rsidR="00363691">
              <w:rPr>
                <w:noProof/>
                <w:webHidden/>
              </w:rPr>
              <w:fldChar w:fldCharType="end"/>
            </w:r>
          </w:hyperlink>
        </w:p>
        <w:p w14:paraId="22CDB8D4" w14:textId="16D38807" w:rsidR="00363691" w:rsidRDefault="00F16016">
          <w:pPr>
            <w:pStyle w:val="Obsah1"/>
            <w:rPr>
              <w:rFonts w:asciiTheme="minorHAnsi" w:hAnsiTheme="minorHAnsi" w:cstheme="minorBidi"/>
              <w:noProof/>
              <w:sz w:val="22"/>
            </w:rPr>
          </w:pPr>
          <w:hyperlink w:anchor="_Toc100354921" w:history="1">
            <w:r w:rsidR="00363691" w:rsidRPr="00EB7AD1">
              <w:rPr>
                <w:rStyle w:val="Hypertextovodkaz"/>
                <w:noProof/>
              </w:rPr>
              <w:t>Úvod</w:t>
            </w:r>
            <w:r w:rsidR="00363691">
              <w:rPr>
                <w:noProof/>
                <w:webHidden/>
              </w:rPr>
              <w:tab/>
            </w:r>
            <w:r w:rsidR="00363691">
              <w:rPr>
                <w:noProof/>
                <w:webHidden/>
              </w:rPr>
              <w:fldChar w:fldCharType="begin"/>
            </w:r>
            <w:r w:rsidR="00363691">
              <w:rPr>
                <w:noProof/>
                <w:webHidden/>
              </w:rPr>
              <w:instrText xml:space="preserve"> PAGEREF _Toc100354921 \h </w:instrText>
            </w:r>
            <w:r w:rsidR="00363691">
              <w:rPr>
                <w:noProof/>
                <w:webHidden/>
              </w:rPr>
            </w:r>
            <w:r w:rsidR="00363691">
              <w:rPr>
                <w:noProof/>
                <w:webHidden/>
              </w:rPr>
              <w:fldChar w:fldCharType="separate"/>
            </w:r>
            <w:r w:rsidR="00363691">
              <w:rPr>
                <w:noProof/>
                <w:webHidden/>
              </w:rPr>
              <w:t>7</w:t>
            </w:r>
            <w:r w:rsidR="00363691">
              <w:rPr>
                <w:noProof/>
                <w:webHidden/>
              </w:rPr>
              <w:fldChar w:fldCharType="end"/>
            </w:r>
          </w:hyperlink>
        </w:p>
        <w:p w14:paraId="49385C41" w14:textId="0E998EFF" w:rsidR="00363691" w:rsidRDefault="00F16016">
          <w:pPr>
            <w:pStyle w:val="Obsah1"/>
            <w:rPr>
              <w:rFonts w:asciiTheme="minorHAnsi" w:hAnsiTheme="minorHAnsi" w:cstheme="minorBidi"/>
              <w:noProof/>
              <w:sz w:val="22"/>
            </w:rPr>
          </w:pPr>
          <w:hyperlink w:anchor="_Toc100354922" w:history="1">
            <w:r w:rsidR="00363691" w:rsidRPr="00EB7AD1">
              <w:rPr>
                <w:rStyle w:val="Hypertextovodkaz"/>
                <w:noProof/>
              </w:rPr>
              <w:t>1 K zástavnímu právu obecně</w:t>
            </w:r>
            <w:r w:rsidR="00363691">
              <w:rPr>
                <w:noProof/>
                <w:webHidden/>
              </w:rPr>
              <w:tab/>
            </w:r>
            <w:r w:rsidR="00363691">
              <w:rPr>
                <w:noProof/>
                <w:webHidden/>
              </w:rPr>
              <w:fldChar w:fldCharType="begin"/>
            </w:r>
            <w:r w:rsidR="00363691">
              <w:rPr>
                <w:noProof/>
                <w:webHidden/>
              </w:rPr>
              <w:instrText xml:space="preserve"> PAGEREF _Toc100354922 \h </w:instrText>
            </w:r>
            <w:r w:rsidR="00363691">
              <w:rPr>
                <w:noProof/>
                <w:webHidden/>
              </w:rPr>
            </w:r>
            <w:r w:rsidR="00363691">
              <w:rPr>
                <w:noProof/>
                <w:webHidden/>
              </w:rPr>
              <w:fldChar w:fldCharType="separate"/>
            </w:r>
            <w:r w:rsidR="00363691">
              <w:rPr>
                <w:noProof/>
                <w:webHidden/>
              </w:rPr>
              <w:t>8</w:t>
            </w:r>
            <w:r w:rsidR="00363691">
              <w:rPr>
                <w:noProof/>
                <w:webHidden/>
              </w:rPr>
              <w:fldChar w:fldCharType="end"/>
            </w:r>
          </w:hyperlink>
        </w:p>
        <w:p w14:paraId="12380F25" w14:textId="472C8DA2" w:rsidR="00363691" w:rsidRDefault="00F16016">
          <w:pPr>
            <w:pStyle w:val="Obsah2"/>
            <w:tabs>
              <w:tab w:val="right" w:leader="dot" w:pos="9061"/>
            </w:tabs>
            <w:rPr>
              <w:rFonts w:asciiTheme="minorHAnsi" w:hAnsiTheme="minorHAnsi" w:cstheme="minorBidi"/>
              <w:noProof/>
              <w:sz w:val="22"/>
            </w:rPr>
          </w:pPr>
          <w:hyperlink w:anchor="_Toc100354923" w:history="1">
            <w:r w:rsidR="00363691" w:rsidRPr="00EB7AD1">
              <w:rPr>
                <w:rStyle w:val="Hypertextovodkaz"/>
                <w:noProof/>
              </w:rPr>
              <w:t>1.1 Vymezení základních pojmů</w:t>
            </w:r>
            <w:r w:rsidR="00363691">
              <w:rPr>
                <w:noProof/>
                <w:webHidden/>
              </w:rPr>
              <w:tab/>
            </w:r>
            <w:r w:rsidR="00363691">
              <w:rPr>
                <w:noProof/>
                <w:webHidden/>
              </w:rPr>
              <w:fldChar w:fldCharType="begin"/>
            </w:r>
            <w:r w:rsidR="00363691">
              <w:rPr>
                <w:noProof/>
                <w:webHidden/>
              </w:rPr>
              <w:instrText xml:space="preserve"> PAGEREF _Toc100354923 \h </w:instrText>
            </w:r>
            <w:r w:rsidR="00363691">
              <w:rPr>
                <w:noProof/>
                <w:webHidden/>
              </w:rPr>
            </w:r>
            <w:r w:rsidR="00363691">
              <w:rPr>
                <w:noProof/>
                <w:webHidden/>
              </w:rPr>
              <w:fldChar w:fldCharType="separate"/>
            </w:r>
            <w:r w:rsidR="00363691">
              <w:rPr>
                <w:noProof/>
                <w:webHidden/>
              </w:rPr>
              <w:t>8</w:t>
            </w:r>
            <w:r w:rsidR="00363691">
              <w:rPr>
                <w:noProof/>
                <w:webHidden/>
              </w:rPr>
              <w:fldChar w:fldCharType="end"/>
            </w:r>
          </w:hyperlink>
        </w:p>
        <w:p w14:paraId="0BA9B6A4" w14:textId="5CCB510F" w:rsidR="00363691" w:rsidRDefault="00F16016">
          <w:pPr>
            <w:pStyle w:val="Obsah2"/>
            <w:tabs>
              <w:tab w:val="right" w:leader="dot" w:pos="9061"/>
            </w:tabs>
            <w:rPr>
              <w:rFonts w:asciiTheme="minorHAnsi" w:hAnsiTheme="minorHAnsi" w:cstheme="minorBidi"/>
              <w:noProof/>
              <w:sz w:val="22"/>
            </w:rPr>
          </w:pPr>
          <w:hyperlink w:anchor="_Toc100354924" w:history="1">
            <w:r w:rsidR="00363691" w:rsidRPr="00EB7AD1">
              <w:rPr>
                <w:rStyle w:val="Hypertextovodkaz"/>
                <w:noProof/>
              </w:rPr>
              <w:t>1.2 Funkce zástavního práva</w:t>
            </w:r>
            <w:r w:rsidR="00363691">
              <w:rPr>
                <w:noProof/>
                <w:webHidden/>
              </w:rPr>
              <w:tab/>
            </w:r>
            <w:r w:rsidR="00363691">
              <w:rPr>
                <w:noProof/>
                <w:webHidden/>
              </w:rPr>
              <w:fldChar w:fldCharType="begin"/>
            </w:r>
            <w:r w:rsidR="00363691">
              <w:rPr>
                <w:noProof/>
                <w:webHidden/>
              </w:rPr>
              <w:instrText xml:space="preserve"> PAGEREF _Toc100354924 \h </w:instrText>
            </w:r>
            <w:r w:rsidR="00363691">
              <w:rPr>
                <w:noProof/>
                <w:webHidden/>
              </w:rPr>
            </w:r>
            <w:r w:rsidR="00363691">
              <w:rPr>
                <w:noProof/>
                <w:webHidden/>
              </w:rPr>
              <w:fldChar w:fldCharType="separate"/>
            </w:r>
            <w:r w:rsidR="00363691">
              <w:rPr>
                <w:noProof/>
                <w:webHidden/>
              </w:rPr>
              <w:t>9</w:t>
            </w:r>
            <w:r w:rsidR="00363691">
              <w:rPr>
                <w:noProof/>
                <w:webHidden/>
              </w:rPr>
              <w:fldChar w:fldCharType="end"/>
            </w:r>
          </w:hyperlink>
        </w:p>
        <w:p w14:paraId="08D06DE6" w14:textId="23566E53" w:rsidR="00363691" w:rsidRDefault="00F16016">
          <w:pPr>
            <w:pStyle w:val="Obsah3"/>
            <w:tabs>
              <w:tab w:val="right" w:leader="dot" w:pos="9061"/>
            </w:tabs>
            <w:rPr>
              <w:rFonts w:asciiTheme="minorHAnsi" w:hAnsiTheme="minorHAnsi" w:cstheme="minorBidi"/>
              <w:noProof/>
              <w:sz w:val="22"/>
            </w:rPr>
          </w:pPr>
          <w:hyperlink w:anchor="_Toc100354925" w:history="1">
            <w:r w:rsidR="00363691" w:rsidRPr="00EB7AD1">
              <w:rPr>
                <w:rStyle w:val="Hypertextovodkaz"/>
                <w:noProof/>
              </w:rPr>
              <w:t>1.2.1 Zajišťovací funkce</w:t>
            </w:r>
            <w:r w:rsidR="00363691">
              <w:rPr>
                <w:noProof/>
                <w:webHidden/>
              </w:rPr>
              <w:tab/>
            </w:r>
            <w:r w:rsidR="00363691">
              <w:rPr>
                <w:noProof/>
                <w:webHidden/>
              </w:rPr>
              <w:fldChar w:fldCharType="begin"/>
            </w:r>
            <w:r w:rsidR="00363691">
              <w:rPr>
                <w:noProof/>
                <w:webHidden/>
              </w:rPr>
              <w:instrText xml:space="preserve"> PAGEREF _Toc100354925 \h </w:instrText>
            </w:r>
            <w:r w:rsidR="00363691">
              <w:rPr>
                <w:noProof/>
                <w:webHidden/>
              </w:rPr>
            </w:r>
            <w:r w:rsidR="00363691">
              <w:rPr>
                <w:noProof/>
                <w:webHidden/>
              </w:rPr>
              <w:fldChar w:fldCharType="separate"/>
            </w:r>
            <w:r w:rsidR="00363691">
              <w:rPr>
                <w:noProof/>
                <w:webHidden/>
              </w:rPr>
              <w:t>9</w:t>
            </w:r>
            <w:r w:rsidR="00363691">
              <w:rPr>
                <w:noProof/>
                <w:webHidden/>
              </w:rPr>
              <w:fldChar w:fldCharType="end"/>
            </w:r>
          </w:hyperlink>
        </w:p>
        <w:p w14:paraId="3F14CC7F" w14:textId="23BCB999" w:rsidR="00363691" w:rsidRDefault="00F16016">
          <w:pPr>
            <w:pStyle w:val="Obsah3"/>
            <w:tabs>
              <w:tab w:val="left" w:pos="1760"/>
              <w:tab w:val="right" w:leader="dot" w:pos="9061"/>
            </w:tabs>
            <w:rPr>
              <w:rFonts w:asciiTheme="minorHAnsi" w:hAnsiTheme="minorHAnsi" w:cstheme="minorBidi"/>
              <w:noProof/>
              <w:sz w:val="22"/>
            </w:rPr>
          </w:pPr>
          <w:hyperlink w:anchor="_Toc100354926" w:history="1">
            <w:r w:rsidR="00363691" w:rsidRPr="00EB7AD1">
              <w:rPr>
                <w:rStyle w:val="Hypertextovodkaz"/>
                <w:noProof/>
              </w:rPr>
              <w:t>1.2.2</w:t>
            </w:r>
            <w:r w:rsidR="00363691">
              <w:rPr>
                <w:rFonts w:asciiTheme="minorHAnsi" w:hAnsiTheme="minorHAnsi" w:cstheme="minorBidi"/>
                <w:noProof/>
                <w:sz w:val="22"/>
              </w:rPr>
              <w:tab/>
            </w:r>
            <w:r w:rsidR="00363691" w:rsidRPr="00EB7AD1">
              <w:rPr>
                <w:rStyle w:val="Hypertextovodkaz"/>
                <w:noProof/>
              </w:rPr>
              <w:t>Uhrazovací funkce</w:t>
            </w:r>
            <w:r w:rsidR="00363691">
              <w:rPr>
                <w:noProof/>
                <w:webHidden/>
              </w:rPr>
              <w:tab/>
            </w:r>
            <w:r w:rsidR="00363691">
              <w:rPr>
                <w:noProof/>
                <w:webHidden/>
              </w:rPr>
              <w:fldChar w:fldCharType="begin"/>
            </w:r>
            <w:r w:rsidR="00363691">
              <w:rPr>
                <w:noProof/>
                <w:webHidden/>
              </w:rPr>
              <w:instrText xml:space="preserve"> PAGEREF _Toc100354926 \h </w:instrText>
            </w:r>
            <w:r w:rsidR="00363691">
              <w:rPr>
                <w:noProof/>
                <w:webHidden/>
              </w:rPr>
            </w:r>
            <w:r w:rsidR="00363691">
              <w:rPr>
                <w:noProof/>
                <w:webHidden/>
              </w:rPr>
              <w:fldChar w:fldCharType="separate"/>
            </w:r>
            <w:r w:rsidR="00363691">
              <w:rPr>
                <w:noProof/>
                <w:webHidden/>
              </w:rPr>
              <w:t>10</w:t>
            </w:r>
            <w:r w:rsidR="00363691">
              <w:rPr>
                <w:noProof/>
                <w:webHidden/>
              </w:rPr>
              <w:fldChar w:fldCharType="end"/>
            </w:r>
          </w:hyperlink>
        </w:p>
        <w:p w14:paraId="1BF609F7" w14:textId="3771A507" w:rsidR="00363691" w:rsidRDefault="00F16016">
          <w:pPr>
            <w:pStyle w:val="Obsah1"/>
            <w:rPr>
              <w:rFonts w:asciiTheme="minorHAnsi" w:hAnsiTheme="minorHAnsi" w:cstheme="minorBidi"/>
              <w:noProof/>
              <w:sz w:val="22"/>
            </w:rPr>
          </w:pPr>
          <w:hyperlink w:anchor="_Toc100354927" w:history="1">
            <w:r w:rsidR="00363691" w:rsidRPr="00EB7AD1">
              <w:rPr>
                <w:rStyle w:val="Hypertextovodkaz"/>
                <w:noProof/>
              </w:rPr>
              <w:t>2 Zástavní právo v římském právu</w:t>
            </w:r>
            <w:r w:rsidR="00363691">
              <w:rPr>
                <w:noProof/>
                <w:webHidden/>
              </w:rPr>
              <w:tab/>
            </w:r>
            <w:r w:rsidR="00363691">
              <w:rPr>
                <w:noProof/>
                <w:webHidden/>
              </w:rPr>
              <w:fldChar w:fldCharType="begin"/>
            </w:r>
            <w:r w:rsidR="00363691">
              <w:rPr>
                <w:noProof/>
                <w:webHidden/>
              </w:rPr>
              <w:instrText xml:space="preserve"> PAGEREF _Toc100354927 \h </w:instrText>
            </w:r>
            <w:r w:rsidR="00363691">
              <w:rPr>
                <w:noProof/>
                <w:webHidden/>
              </w:rPr>
            </w:r>
            <w:r w:rsidR="00363691">
              <w:rPr>
                <w:noProof/>
                <w:webHidden/>
              </w:rPr>
              <w:fldChar w:fldCharType="separate"/>
            </w:r>
            <w:r w:rsidR="00363691">
              <w:rPr>
                <w:noProof/>
                <w:webHidden/>
              </w:rPr>
              <w:t>11</w:t>
            </w:r>
            <w:r w:rsidR="00363691">
              <w:rPr>
                <w:noProof/>
                <w:webHidden/>
              </w:rPr>
              <w:fldChar w:fldCharType="end"/>
            </w:r>
          </w:hyperlink>
        </w:p>
        <w:p w14:paraId="48E91CCD" w14:textId="5D4E1990" w:rsidR="00363691" w:rsidRDefault="00F16016">
          <w:pPr>
            <w:pStyle w:val="Obsah2"/>
            <w:tabs>
              <w:tab w:val="right" w:leader="dot" w:pos="9061"/>
            </w:tabs>
            <w:rPr>
              <w:rFonts w:asciiTheme="minorHAnsi" w:hAnsiTheme="minorHAnsi" w:cstheme="minorBidi"/>
              <w:noProof/>
              <w:sz w:val="22"/>
            </w:rPr>
          </w:pPr>
          <w:hyperlink w:anchor="_Toc100354928" w:history="1">
            <w:r w:rsidR="00363691" w:rsidRPr="00EB7AD1">
              <w:rPr>
                <w:rStyle w:val="Hypertextovodkaz"/>
                <w:noProof/>
              </w:rPr>
              <w:t>2.1 Druhy a formy zástavy</w:t>
            </w:r>
            <w:r w:rsidR="00363691">
              <w:rPr>
                <w:noProof/>
                <w:webHidden/>
              </w:rPr>
              <w:tab/>
            </w:r>
            <w:r w:rsidR="00363691">
              <w:rPr>
                <w:noProof/>
                <w:webHidden/>
              </w:rPr>
              <w:fldChar w:fldCharType="begin"/>
            </w:r>
            <w:r w:rsidR="00363691">
              <w:rPr>
                <w:noProof/>
                <w:webHidden/>
              </w:rPr>
              <w:instrText xml:space="preserve"> PAGEREF _Toc100354928 \h </w:instrText>
            </w:r>
            <w:r w:rsidR="00363691">
              <w:rPr>
                <w:noProof/>
                <w:webHidden/>
              </w:rPr>
            </w:r>
            <w:r w:rsidR="00363691">
              <w:rPr>
                <w:noProof/>
                <w:webHidden/>
              </w:rPr>
              <w:fldChar w:fldCharType="separate"/>
            </w:r>
            <w:r w:rsidR="00363691">
              <w:rPr>
                <w:noProof/>
                <w:webHidden/>
              </w:rPr>
              <w:t>11</w:t>
            </w:r>
            <w:r w:rsidR="00363691">
              <w:rPr>
                <w:noProof/>
                <w:webHidden/>
              </w:rPr>
              <w:fldChar w:fldCharType="end"/>
            </w:r>
          </w:hyperlink>
        </w:p>
        <w:p w14:paraId="3202B6AC" w14:textId="541FC300" w:rsidR="00363691" w:rsidRDefault="00F16016">
          <w:pPr>
            <w:pStyle w:val="Obsah3"/>
            <w:tabs>
              <w:tab w:val="right" w:leader="dot" w:pos="9061"/>
            </w:tabs>
            <w:rPr>
              <w:rFonts w:asciiTheme="minorHAnsi" w:hAnsiTheme="minorHAnsi" w:cstheme="minorBidi"/>
              <w:noProof/>
              <w:sz w:val="22"/>
            </w:rPr>
          </w:pPr>
          <w:hyperlink w:anchor="_Toc100354929" w:history="1">
            <w:r w:rsidR="00363691" w:rsidRPr="00EB7AD1">
              <w:rPr>
                <w:rStyle w:val="Hypertextovodkaz"/>
                <w:noProof/>
              </w:rPr>
              <w:t>2.1.1 Praediatura</w:t>
            </w:r>
            <w:r w:rsidR="00363691">
              <w:rPr>
                <w:noProof/>
                <w:webHidden/>
              </w:rPr>
              <w:tab/>
            </w:r>
            <w:r w:rsidR="00363691">
              <w:rPr>
                <w:noProof/>
                <w:webHidden/>
              </w:rPr>
              <w:fldChar w:fldCharType="begin"/>
            </w:r>
            <w:r w:rsidR="00363691">
              <w:rPr>
                <w:noProof/>
                <w:webHidden/>
              </w:rPr>
              <w:instrText xml:space="preserve"> PAGEREF _Toc100354929 \h </w:instrText>
            </w:r>
            <w:r w:rsidR="00363691">
              <w:rPr>
                <w:noProof/>
                <w:webHidden/>
              </w:rPr>
            </w:r>
            <w:r w:rsidR="00363691">
              <w:rPr>
                <w:noProof/>
                <w:webHidden/>
              </w:rPr>
              <w:fldChar w:fldCharType="separate"/>
            </w:r>
            <w:r w:rsidR="00363691">
              <w:rPr>
                <w:noProof/>
                <w:webHidden/>
              </w:rPr>
              <w:t>11</w:t>
            </w:r>
            <w:r w:rsidR="00363691">
              <w:rPr>
                <w:noProof/>
                <w:webHidden/>
              </w:rPr>
              <w:fldChar w:fldCharType="end"/>
            </w:r>
          </w:hyperlink>
        </w:p>
        <w:p w14:paraId="2D26A1ED" w14:textId="33605D54" w:rsidR="00363691" w:rsidRDefault="00F16016">
          <w:pPr>
            <w:pStyle w:val="Obsah3"/>
            <w:tabs>
              <w:tab w:val="right" w:leader="dot" w:pos="9061"/>
            </w:tabs>
            <w:rPr>
              <w:rFonts w:asciiTheme="minorHAnsi" w:hAnsiTheme="minorHAnsi" w:cstheme="minorBidi"/>
              <w:noProof/>
              <w:sz w:val="22"/>
            </w:rPr>
          </w:pPr>
          <w:hyperlink w:anchor="_Toc100354930" w:history="1">
            <w:r w:rsidR="00363691" w:rsidRPr="00EB7AD1">
              <w:rPr>
                <w:rStyle w:val="Hypertextovodkaz"/>
                <w:noProof/>
              </w:rPr>
              <w:t>2.1.2 Fiducia</w:t>
            </w:r>
            <w:r w:rsidR="00363691">
              <w:rPr>
                <w:noProof/>
                <w:webHidden/>
              </w:rPr>
              <w:tab/>
            </w:r>
            <w:r w:rsidR="00363691">
              <w:rPr>
                <w:noProof/>
                <w:webHidden/>
              </w:rPr>
              <w:fldChar w:fldCharType="begin"/>
            </w:r>
            <w:r w:rsidR="00363691">
              <w:rPr>
                <w:noProof/>
                <w:webHidden/>
              </w:rPr>
              <w:instrText xml:space="preserve"> PAGEREF _Toc100354930 \h </w:instrText>
            </w:r>
            <w:r w:rsidR="00363691">
              <w:rPr>
                <w:noProof/>
                <w:webHidden/>
              </w:rPr>
            </w:r>
            <w:r w:rsidR="00363691">
              <w:rPr>
                <w:noProof/>
                <w:webHidden/>
              </w:rPr>
              <w:fldChar w:fldCharType="separate"/>
            </w:r>
            <w:r w:rsidR="00363691">
              <w:rPr>
                <w:noProof/>
                <w:webHidden/>
              </w:rPr>
              <w:t>12</w:t>
            </w:r>
            <w:r w:rsidR="00363691">
              <w:rPr>
                <w:noProof/>
                <w:webHidden/>
              </w:rPr>
              <w:fldChar w:fldCharType="end"/>
            </w:r>
          </w:hyperlink>
        </w:p>
        <w:p w14:paraId="3E1ED8D7" w14:textId="3C5A1F39" w:rsidR="00363691" w:rsidRDefault="00F16016">
          <w:pPr>
            <w:pStyle w:val="Obsah3"/>
            <w:tabs>
              <w:tab w:val="right" w:leader="dot" w:pos="9061"/>
            </w:tabs>
            <w:rPr>
              <w:rFonts w:asciiTheme="minorHAnsi" w:hAnsiTheme="minorHAnsi" w:cstheme="minorBidi"/>
              <w:noProof/>
              <w:sz w:val="22"/>
            </w:rPr>
          </w:pPr>
          <w:hyperlink w:anchor="_Toc100354931" w:history="1">
            <w:r w:rsidR="00363691" w:rsidRPr="00EB7AD1">
              <w:rPr>
                <w:rStyle w:val="Hypertextovodkaz"/>
                <w:noProof/>
              </w:rPr>
              <w:t>2.1.3 Pignus</w:t>
            </w:r>
            <w:r w:rsidR="00363691">
              <w:rPr>
                <w:noProof/>
                <w:webHidden/>
              </w:rPr>
              <w:tab/>
            </w:r>
            <w:r w:rsidR="00363691">
              <w:rPr>
                <w:noProof/>
                <w:webHidden/>
              </w:rPr>
              <w:fldChar w:fldCharType="begin"/>
            </w:r>
            <w:r w:rsidR="00363691">
              <w:rPr>
                <w:noProof/>
                <w:webHidden/>
              </w:rPr>
              <w:instrText xml:space="preserve"> PAGEREF _Toc100354931 \h </w:instrText>
            </w:r>
            <w:r w:rsidR="00363691">
              <w:rPr>
                <w:noProof/>
                <w:webHidden/>
              </w:rPr>
            </w:r>
            <w:r w:rsidR="00363691">
              <w:rPr>
                <w:noProof/>
                <w:webHidden/>
              </w:rPr>
              <w:fldChar w:fldCharType="separate"/>
            </w:r>
            <w:r w:rsidR="00363691">
              <w:rPr>
                <w:noProof/>
                <w:webHidden/>
              </w:rPr>
              <w:t>13</w:t>
            </w:r>
            <w:r w:rsidR="00363691">
              <w:rPr>
                <w:noProof/>
                <w:webHidden/>
              </w:rPr>
              <w:fldChar w:fldCharType="end"/>
            </w:r>
          </w:hyperlink>
        </w:p>
        <w:p w14:paraId="40717E7B" w14:textId="68E0C939" w:rsidR="00363691" w:rsidRDefault="00F16016">
          <w:pPr>
            <w:pStyle w:val="Obsah3"/>
            <w:tabs>
              <w:tab w:val="right" w:leader="dot" w:pos="9061"/>
            </w:tabs>
            <w:rPr>
              <w:rFonts w:asciiTheme="minorHAnsi" w:hAnsiTheme="minorHAnsi" w:cstheme="minorBidi"/>
              <w:noProof/>
              <w:sz w:val="22"/>
            </w:rPr>
          </w:pPr>
          <w:hyperlink w:anchor="_Toc100354932" w:history="1">
            <w:r w:rsidR="00363691" w:rsidRPr="00EB7AD1">
              <w:rPr>
                <w:rStyle w:val="Hypertextovodkaz"/>
                <w:noProof/>
              </w:rPr>
              <w:t>2.1.4 Zástava pachtovní</w:t>
            </w:r>
            <w:r w:rsidR="00363691">
              <w:rPr>
                <w:noProof/>
                <w:webHidden/>
              </w:rPr>
              <w:tab/>
            </w:r>
            <w:r w:rsidR="00363691">
              <w:rPr>
                <w:noProof/>
                <w:webHidden/>
              </w:rPr>
              <w:fldChar w:fldCharType="begin"/>
            </w:r>
            <w:r w:rsidR="00363691">
              <w:rPr>
                <w:noProof/>
                <w:webHidden/>
              </w:rPr>
              <w:instrText xml:space="preserve"> PAGEREF _Toc100354932 \h </w:instrText>
            </w:r>
            <w:r w:rsidR="00363691">
              <w:rPr>
                <w:noProof/>
                <w:webHidden/>
              </w:rPr>
            </w:r>
            <w:r w:rsidR="00363691">
              <w:rPr>
                <w:noProof/>
                <w:webHidden/>
              </w:rPr>
              <w:fldChar w:fldCharType="separate"/>
            </w:r>
            <w:r w:rsidR="00363691">
              <w:rPr>
                <w:noProof/>
                <w:webHidden/>
              </w:rPr>
              <w:t>14</w:t>
            </w:r>
            <w:r w:rsidR="00363691">
              <w:rPr>
                <w:noProof/>
                <w:webHidden/>
              </w:rPr>
              <w:fldChar w:fldCharType="end"/>
            </w:r>
          </w:hyperlink>
        </w:p>
        <w:p w14:paraId="5D0E0E5F" w14:textId="730323FC" w:rsidR="00363691" w:rsidRDefault="00F16016">
          <w:pPr>
            <w:pStyle w:val="Obsah3"/>
            <w:tabs>
              <w:tab w:val="right" w:leader="dot" w:pos="9061"/>
            </w:tabs>
            <w:rPr>
              <w:rFonts w:asciiTheme="minorHAnsi" w:hAnsiTheme="minorHAnsi" w:cstheme="minorBidi"/>
              <w:noProof/>
              <w:sz w:val="22"/>
            </w:rPr>
          </w:pPr>
          <w:hyperlink w:anchor="_Toc100354933" w:history="1">
            <w:r w:rsidR="00363691" w:rsidRPr="00EB7AD1">
              <w:rPr>
                <w:rStyle w:val="Hypertextovodkaz"/>
                <w:noProof/>
              </w:rPr>
              <w:t>2.1.5 Hypotéka</w:t>
            </w:r>
            <w:r w:rsidR="00363691">
              <w:rPr>
                <w:noProof/>
                <w:webHidden/>
              </w:rPr>
              <w:tab/>
            </w:r>
            <w:r w:rsidR="00363691">
              <w:rPr>
                <w:noProof/>
                <w:webHidden/>
              </w:rPr>
              <w:fldChar w:fldCharType="begin"/>
            </w:r>
            <w:r w:rsidR="00363691">
              <w:rPr>
                <w:noProof/>
                <w:webHidden/>
              </w:rPr>
              <w:instrText xml:space="preserve"> PAGEREF _Toc100354933 \h </w:instrText>
            </w:r>
            <w:r w:rsidR="00363691">
              <w:rPr>
                <w:noProof/>
                <w:webHidden/>
              </w:rPr>
            </w:r>
            <w:r w:rsidR="00363691">
              <w:rPr>
                <w:noProof/>
                <w:webHidden/>
              </w:rPr>
              <w:fldChar w:fldCharType="separate"/>
            </w:r>
            <w:r w:rsidR="00363691">
              <w:rPr>
                <w:noProof/>
                <w:webHidden/>
              </w:rPr>
              <w:t>14</w:t>
            </w:r>
            <w:r w:rsidR="00363691">
              <w:rPr>
                <w:noProof/>
                <w:webHidden/>
              </w:rPr>
              <w:fldChar w:fldCharType="end"/>
            </w:r>
          </w:hyperlink>
        </w:p>
        <w:p w14:paraId="7F4A3C9B" w14:textId="4C1BCE4F" w:rsidR="00363691" w:rsidRDefault="00F16016">
          <w:pPr>
            <w:pStyle w:val="Obsah2"/>
            <w:tabs>
              <w:tab w:val="right" w:leader="dot" w:pos="9061"/>
            </w:tabs>
            <w:rPr>
              <w:rFonts w:asciiTheme="minorHAnsi" w:hAnsiTheme="minorHAnsi" w:cstheme="minorBidi"/>
              <w:noProof/>
              <w:sz w:val="22"/>
            </w:rPr>
          </w:pPr>
          <w:hyperlink w:anchor="_Toc100354934" w:history="1">
            <w:r w:rsidR="00363691" w:rsidRPr="00EB7AD1">
              <w:rPr>
                <w:rStyle w:val="Hypertextovodkaz"/>
                <w:noProof/>
              </w:rPr>
              <w:t>2.3 Předmět a obsah zástavního práva</w:t>
            </w:r>
            <w:r w:rsidR="00363691">
              <w:rPr>
                <w:noProof/>
                <w:webHidden/>
              </w:rPr>
              <w:tab/>
            </w:r>
            <w:r w:rsidR="00363691">
              <w:rPr>
                <w:noProof/>
                <w:webHidden/>
              </w:rPr>
              <w:fldChar w:fldCharType="begin"/>
            </w:r>
            <w:r w:rsidR="00363691">
              <w:rPr>
                <w:noProof/>
                <w:webHidden/>
              </w:rPr>
              <w:instrText xml:space="preserve"> PAGEREF _Toc100354934 \h </w:instrText>
            </w:r>
            <w:r w:rsidR="00363691">
              <w:rPr>
                <w:noProof/>
                <w:webHidden/>
              </w:rPr>
            </w:r>
            <w:r w:rsidR="00363691">
              <w:rPr>
                <w:noProof/>
                <w:webHidden/>
              </w:rPr>
              <w:fldChar w:fldCharType="separate"/>
            </w:r>
            <w:r w:rsidR="00363691">
              <w:rPr>
                <w:noProof/>
                <w:webHidden/>
              </w:rPr>
              <w:t>16</w:t>
            </w:r>
            <w:r w:rsidR="00363691">
              <w:rPr>
                <w:noProof/>
                <w:webHidden/>
              </w:rPr>
              <w:fldChar w:fldCharType="end"/>
            </w:r>
          </w:hyperlink>
        </w:p>
        <w:p w14:paraId="5E040E4D" w14:textId="79BF7305" w:rsidR="00363691" w:rsidRDefault="00F16016">
          <w:pPr>
            <w:pStyle w:val="Obsah3"/>
            <w:tabs>
              <w:tab w:val="right" w:leader="dot" w:pos="9061"/>
            </w:tabs>
            <w:rPr>
              <w:rFonts w:asciiTheme="minorHAnsi" w:hAnsiTheme="minorHAnsi" w:cstheme="minorBidi"/>
              <w:noProof/>
              <w:sz w:val="22"/>
            </w:rPr>
          </w:pPr>
          <w:hyperlink w:anchor="_Toc100354935" w:history="1">
            <w:r w:rsidR="00363691" w:rsidRPr="00EB7AD1">
              <w:rPr>
                <w:rStyle w:val="Hypertextovodkaz"/>
                <w:noProof/>
              </w:rPr>
              <w:t>2.3.1 Předmět zástavního práva</w:t>
            </w:r>
            <w:r w:rsidR="00363691">
              <w:rPr>
                <w:noProof/>
                <w:webHidden/>
              </w:rPr>
              <w:tab/>
            </w:r>
            <w:r w:rsidR="00363691">
              <w:rPr>
                <w:noProof/>
                <w:webHidden/>
              </w:rPr>
              <w:fldChar w:fldCharType="begin"/>
            </w:r>
            <w:r w:rsidR="00363691">
              <w:rPr>
                <w:noProof/>
                <w:webHidden/>
              </w:rPr>
              <w:instrText xml:space="preserve"> PAGEREF _Toc100354935 \h </w:instrText>
            </w:r>
            <w:r w:rsidR="00363691">
              <w:rPr>
                <w:noProof/>
                <w:webHidden/>
              </w:rPr>
            </w:r>
            <w:r w:rsidR="00363691">
              <w:rPr>
                <w:noProof/>
                <w:webHidden/>
              </w:rPr>
              <w:fldChar w:fldCharType="separate"/>
            </w:r>
            <w:r w:rsidR="00363691">
              <w:rPr>
                <w:noProof/>
                <w:webHidden/>
              </w:rPr>
              <w:t>16</w:t>
            </w:r>
            <w:r w:rsidR="00363691">
              <w:rPr>
                <w:noProof/>
                <w:webHidden/>
              </w:rPr>
              <w:fldChar w:fldCharType="end"/>
            </w:r>
          </w:hyperlink>
        </w:p>
        <w:p w14:paraId="5CA593E3" w14:textId="4D7A07D7" w:rsidR="00363691" w:rsidRDefault="00F16016">
          <w:pPr>
            <w:pStyle w:val="Obsah3"/>
            <w:tabs>
              <w:tab w:val="right" w:leader="dot" w:pos="9061"/>
            </w:tabs>
            <w:rPr>
              <w:rFonts w:asciiTheme="minorHAnsi" w:hAnsiTheme="minorHAnsi" w:cstheme="minorBidi"/>
              <w:noProof/>
              <w:sz w:val="22"/>
            </w:rPr>
          </w:pPr>
          <w:hyperlink w:anchor="_Toc100354936" w:history="1">
            <w:r w:rsidR="00363691" w:rsidRPr="00EB7AD1">
              <w:rPr>
                <w:rStyle w:val="Hypertextovodkaz"/>
                <w:noProof/>
              </w:rPr>
              <w:t>2.3.2 Obsah zástavního práva</w:t>
            </w:r>
            <w:r w:rsidR="00363691">
              <w:rPr>
                <w:noProof/>
                <w:webHidden/>
              </w:rPr>
              <w:tab/>
            </w:r>
            <w:r w:rsidR="00363691">
              <w:rPr>
                <w:noProof/>
                <w:webHidden/>
              </w:rPr>
              <w:fldChar w:fldCharType="begin"/>
            </w:r>
            <w:r w:rsidR="00363691">
              <w:rPr>
                <w:noProof/>
                <w:webHidden/>
              </w:rPr>
              <w:instrText xml:space="preserve"> PAGEREF _Toc100354936 \h </w:instrText>
            </w:r>
            <w:r w:rsidR="00363691">
              <w:rPr>
                <w:noProof/>
                <w:webHidden/>
              </w:rPr>
            </w:r>
            <w:r w:rsidR="00363691">
              <w:rPr>
                <w:noProof/>
                <w:webHidden/>
              </w:rPr>
              <w:fldChar w:fldCharType="separate"/>
            </w:r>
            <w:r w:rsidR="00363691">
              <w:rPr>
                <w:noProof/>
                <w:webHidden/>
              </w:rPr>
              <w:t>19</w:t>
            </w:r>
            <w:r w:rsidR="00363691">
              <w:rPr>
                <w:noProof/>
                <w:webHidden/>
              </w:rPr>
              <w:fldChar w:fldCharType="end"/>
            </w:r>
          </w:hyperlink>
        </w:p>
        <w:p w14:paraId="5727453A" w14:textId="1CADD37E" w:rsidR="00363691" w:rsidRDefault="00F16016">
          <w:pPr>
            <w:pStyle w:val="Obsah2"/>
            <w:tabs>
              <w:tab w:val="right" w:leader="dot" w:pos="9061"/>
            </w:tabs>
            <w:rPr>
              <w:rFonts w:asciiTheme="minorHAnsi" w:hAnsiTheme="minorHAnsi" w:cstheme="minorBidi"/>
              <w:noProof/>
              <w:sz w:val="22"/>
            </w:rPr>
          </w:pPr>
          <w:hyperlink w:anchor="_Toc100354937" w:history="1">
            <w:r w:rsidR="00363691" w:rsidRPr="00EB7AD1">
              <w:rPr>
                <w:rStyle w:val="Hypertextovodkaz"/>
                <w:noProof/>
              </w:rPr>
              <w:t>2.4 Zástavní právo k pohledávce</w:t>
            </w:r>
            <w:r w:rsidR="00363691">
              <w:rPr>
                <w:noProof/>
                <w:webHidden/>
              </w:rPr>
              <w:tab/>
            </w:r>
            <w:r w:rsidR="00363691">
              <w:rPr>
                <w:noProof/>
                <w:webHidden/>
              </w:rPr>
              <w:fldChar w:fldCharType="begin"/>
            </w:r>
            <w:r w:rsidR="00363691">
              <w:rPr>
                <w:noProof/>
                <w:webHidden/>
              </w:rPr>
              <w:instrText xml:space="preserve"> PAGEREF _Toc100354937 \h </w:instrText>
            </w:r>
            <w:r w:rsidR="00363691">
              <w:rPr>
                <w:noProof/>
                <w:webHidden/>
              </w:rPr>
            </w:r>
            <w:r w:rsidR="00363691">
              <w:rPr>
                <w:noProof/>
                <w:webHidden/>
              </w:rPr>
              <w:fldChar w:fldCharType="separate"/>
            </w:r>
            <w:r w:rsidR="00363691">
              <w:rPr>
                <w:noProof/>
                <w:webHidden/>
              </w:rPr>
              <w:t>22</w:t>
            </w:r>
            <w:r w:rsidR="00363691">
              <w:rPr>
                <w:noProof/>
                <w:webHidden/>
              </w:rPr>
              <w:fldChar w:fldCharType="end"/>
            </w:r>
          </w:hyperlink>
        </w:p>
        <w:p w14:paraId="1897B324" w14:textId="0C841391" w:rsidR="00363691" w:rsidRDefault="00F16016">
          <w:pPr>
            <w:pStyle w:val="Obsah2"/>
            <w:tabs>
              <w:tab w:val="right" w:leader="dot" w:pos="9061"/>
            </w:tabs>
            <w:rPr>
              <w:rFonts w:asciiTheme="minorHAnsi" w:hAnsiTheme="minorHAnsi" w:cstheme="minorBidi"/>
              <w:noProof/>
              <w:sz w:val="22"/>
            </w:rPr>
          </w:pPr>
          <w:hyperlink w:anchor="_Toc100354938" w:history="1">
            <w:r w:rsidR="00363691" w:rsidRPr="00EB7AD1">
              <w:rPr>
                <w:rStyle w:val="Hypertextovodkaz"/>
                <w:noProof/>
              </w:rPr>
              <w:t>2.5 Podzástavní právo</w:t>
            </w:r>
            <w:r w:rsidR="00363691">
              <w:rPr>
                <w:noProof/>
                <w:webHidden/>
              </w:rPr>
              <w:tab/>
            </w:r>
            <w:r w:rsidR="00363691">
              <w:rPr>
                <w:noProof/>
                <w:webHidden/>
              </w:rPr>
              <w:fldChar w:fldCharType="begin"/>
            </w:r>
            <w:r w:rsidR="00363691">
              <w:rPr>
                <w:noProof/>
                <w:webHidden/>
              </w:rPr>
              <w:instrText xml:space="preserve"> PAGEREF _Toc100354938 \h </w:instrText>
            </w:r>
            <w:r w:rsidR="00363691">
              <w:rPr>
                <w:noProof/>
                <w:webHidden/>
              </w:rPr>
            </w:r>
            <w:r w:rsidR="00363691">
              <w:rPr>
                <w:noProof/>
                <w:webHidden/>
              </w:rPr>
              <w:fldChar w:fldCharType="separate"/>
            </w:r>
            <w:r w:rsidR="00363691">
              <w:rPr>
                <w:noProof/>
                <w:webHidden/>
              </w:rPr>
              <w:t>22</w:t>
            </w:r>
            <w:r w:rsidR="00363691">
              <w:rPr>
                <w:noProof/>
                <w:webHidden/>
              </w:rPr>
              <w:fldChar w:fldCharType="end"/>
            </w:r>
          </w:hyperlink>
        </w:p>
        <w:p w14:paraId="0EC0233B" w14:textId="3E1D5357" w:rsidR="00363691" w:rsidRDefault="00F16016">
          <w:pPr>
            <w:pStyle w:val="Obsah2"/>
            <w:tabs>
              <w:tab w:val="right" w:leader="dot" w:pos="9061"/>
            </w:tabs>
            <w:rPr>
              <w:rFonts w:asciiTheme="minorHAnsi" w:hAnsiTheme="minorHAnsi" w:cstheme="minorBidi"/>
              <w:noProof/>
              <w:sz w:val="22"/>
            </w:rPr>
          </w:pPr>
          <w:hyperlink w:anchor="_Toc100354939" w:history="1">
            <w:r w:rsidR="00363691" w:rsidRPr="00EB7AD1">
              <w:rPr>
                <w:rStyle w:val="Hypertextovodkaz"/>
                <w:noProof/>
              </w:rPr>
              <w:t>2.6 Konkurence více zástavních práv</w:t>
            </w:r>
            <w:r w:rsidR="00363691">
              <w:rPr>
                <w:noProof/>
                <w:webHidden/>
              </w:rPr>
              <w:tab/>
            </w:r>
            <w:r w:rsidR="00363691">
              <w:rPr>
                <w:noProof/>
                <w:webHidden/>
              </w:rPr>
              <w:fldChar w:fldCharType="begin"/>
            </w:r>
            <w:r w:rsidR="00363691">
              <w:rPr>
                <w:noProof/>
                <w:webHidden/>
              </w:rPr>
              <w:instrText xml:space="preserve"> PAGEREF _Toc100354939 \h </w:instrText>
            </w:r>
            <w:r w:rsidR="00363691">
              <w:rPr>
                <w:noProof/>
                <w:webHidden/>
              </w:rPr>
            </w:r>
            <w:r w:rsidR="00363691">
              <w:rPr>
                <w:noProof/>
                <w:webHidden/>
              </w:rPr>
              <w:fldChar w:fldCharType="separate"/>
            </w:r>
            <w:r w:rsidR="00363691">
              <w:rPr>
                <w:noProof/>
                <w:webHidden/>
              </w:rPr>
              <w:t>23</w:t>
            </w:r>
            <w:r w:rsidR="00363691">
              <w:rPr>
                <w:noProof/>
                <w:webHidden/>
              </w:rPr>
              <w:fldChar w:fldCharType="end"/>
            </w:r>
          </w:hyperlink>
        </w:p>
        <w:p w14:paraId="7C1435EB" w14:textId="3D79C74C" w:rsidR="00363691" w:rsidRDefault="00F16016">
          <w:pPr>
            <w:pStyle w:val="Obsah3"/>
            <w:tabs>
              <w:tab w:val="right" w:leader="dot" w:pos="9061"/>
            </w:tabs>
            <w:rPr>
              <w:rFonts w:asciiTheme="minorHAnsi" w:hAnsiTheme="minorHAnsi" w:cstheme="minorBidi"/>
              <w:noProof/>
              <w:sz w:val="22"/>
            </w:rPr>
          </w:pPr>
          <w:hyperlink w:anchor="_Toc100354940" w:history="1">
            <w:r w:rsidR="00363691" w:rsidRPr="00EB7AD1">
              <w:rPr>
                <w:rStyle w:val="Hypertextovodkaz"/>
                <w:noProof/>
              </w:rPr>
              <w:t>2.6.1 Hypotekární sukcese</w:t>
            </w:r>
            <w:r w:rsidR="00363691">
              <w:rPr>
                <w:noProof/>
                <w:webHidden/>
              </w:rPr>
              <w:tab/>
            </w:r>
            <w:r w:rsidR="00363691">
              <w:rPr>
                <w:noProof/>
                <w:webHidden/>
              </w:rPr>
              <w:fldChar w:fldCharType="begin"/>
            </w:r>
            <w:r w:rsidR="00363691">
              <w:rPr>
                <w:noProof/>
                <w:webHidden/>
              </w:rPr>
              <w:instrText xml:space="preserve"> PAGEREF _Toc100354940 \h </w:instrText>
            </w:r>
            <w:r w:rsidR="00363691">
              <w:rPr>
                <w:noProof/>
                <w:webHidden/>
              </w:rPr>
            </w:r>
            <w:r w:rsidR="00363691">
              <w:rPr>
                <w:noProof/>
                <w:webHidden/>
              </w:rPr>
              <w:fldChar w:fldCharType="separate"/>
            </w:r>
            <w:r w:rsidR="00363691">
              <w:rPr>
                <w:noProof/>
                <w:webHidden/>
              </w:rPr>
              <w:t>27</w:t>
            </w:r>
            <w:r w:rsidR="00363691">
              <w:rPr>
                <w:noProof/>
                <w:webHidden/>
              </w:rPr>
              <w:fldChar w:fldCharType="end"/>
            </w:r>
          </w:hyperlink>
        </w:p>
        <w:p w14:paraId="2E656E03" w14:textId="784BB38C" w:rsidR="00363691" w:rsidRDefault="00F16016">
          <w:pPr>
            <w:pStyle w:val="Obsah2"/>
            <w:tabs>
              <w:tab w:val="right" w:leader="dot" w:pos="9061"/>
            </w:tabs>
            <w:rPr>
              <w:rFonts w:asciiTheme="minorHAnsi" w:hAnsiTheme="minorHAnsi" w:cstheme="minorBidi"/>
              <w:noProof/>
              <w:sz w:val="22"/>
            </w:rPr>
          </w:pPr>
          <w:hyperlink w:anchor="_Toc100354941" w:history="1">
            <w:r w:rsidR="00363691" w:rsidRPr="00EB7AD1">
              <w:rPr>
                <w:rStyle w:val="Hypertextovodkaz"/>
                <w:noProof/>
              </w:rPr>
              <w:t>2.7 Vznik a zánik zástavního práva</w:t>
            </w:r>
            <w:r w:rsidR="00363691">
              <w:rPr>
                <w:noProof/>
                <w:webHidden/>
              </w:rPr>
              <w:tab/>
            </w:r>
            <w:r w:rsidR="00363691">
              <w:rPr>
                <w:noProof/>
                <w:webHidden/>
              </w:rPr>
              <w:fldChar w:fldCharType="begin"/>
            </w:r>
            <w:r w:rsidR="00363691">
              <w:rPr>
                <w:noProof/>
                <w:webHidden/>
              </w:rPr>
              <w:instrText xml:space="preserve"> PAGEREF _Toc100354941 \h </w:instrText>
            </w:r>
            <w:r w:rsidR="00363691">
              <w:rPr>
                <w:noProof/>
                <w:webHidden/>
              </w:rPr>
            </w:r>
            <w:r w:rsidR="00363691">
              <w:rPr>
                <w:noProof/>
                <w:webHidden/>
              </w:rPr>
              <w:fldChar w:fldCharType="separate"/>
            </w:r>
            <w:r w:rsidR="00363691">
              <w:rPr>
                <w:noProof/>
                <w:webHidden/>
              </w:rPr>
              <w:t>27</w:t>
            </w:r>
            <w:r w:rsidR="00363691">
              <w:rPr>
                <w:noProof/>
                <w:webHidden/>
              </w:rPr>
              <w:fldChar w:fldCharType="end"/>
            </w:r>
          </w:hyperlink>
        </w:p>
        <w:p w14:paraId="043A2377" w14:textId="7292F93B" w:rsidR="00363691" w:rsidRDefault="00F16016">
          <w:pPr>
            <w:pStyle w:val="Obsah3"/>
            <w:tabs>
              <w:tab w:val="right" w:leader="dot" w:pos="9061"/>
            </w:tabs>
            <w:rPr>
              <w:rFonts w:asciiTheme="minorHAnsi" w:hAnsiTheme="minorHAnsi" w:cstheme="minorBidi"/>
              <w:noProof/>
              <w:sz w:val="22"/>
            </w:rPr>
          </w:pPr>
          <w:hyperlink w:anchor="_Toc100354942" w:history="1">
            <w:r w:rsidR="00363691" w:rsidRPr="00EB7AD1">
              <w:rPr>
                <w:rStyle w:val="Hypertextovodkaz"/>
                <w:noProof/>
              </w:rPr>
              <w:t>2.7.1 Vznik zástavního práva</w:t>
            </w:r>
            <w:r w:rsidR="00363691">
              <w:rPr>
                <w:noProof/>
                <w:webHidden/>
              </w:rPr>
              <w:tab/>
            </w:r>
            <w:r w:rsidR="00363691">
              <w:rPr>
                <w:noProof/>
                <w:webHidden/>
              </w:rPr>
              <w:fldChar w:fldCharType="begin"/>
            </w:r>
            <w:r w:rsidR="00363691">
              <w:rPr>
                <w:noProof/>
                <w:webHidden/>
              </w:rPr>
              <w:instrText xml:space="preserve"> PAGEREF _Toc100354942 \h </w:instrText>
            </w:r>
            <w:r w:rsidR="00363691">
              <w:rPr>
                <w:noProof/>
                <w:webHidden/>
              </w:rPr>
            </w:r>
            <w:r w:rsidR="00363691">
              <w:rPr>
                <w:noProof/>
                <w:webHidden/>
              </w:rPr>
              <w:fldChar w:fldCharType="separate"/>
            </w:r>
            <w:r w:rsidR="00363691">
              <w:rPr>
                <w:noProof/>
                <w:webHidden/>
              </w:rPr>
              <w:t>27</w:t>
            </w:r>
            <w:r w:rsidR="00363691">
              <w:rPr>
                <w:noProof/>
                <w:webHidden/>
              </w:rPr>
              <w:fldChar w:fldCharType="end"/>
            </w:r>
          </w:hyperlink>
        </w:p>
        <w:p w14:paraId="456F2C73" w14:textId="70AC4B63" w:rsidR="00363691" w:rsidRDefault="00F16016">
          <w:pPr>
            <w:pStyle w:val="Obsah3"/>
            <w:tabs>
              <w:tab w:val="right" w:leader="dot" w:pos="9061"/>
            </w:tabs>
            <w:rPr>
              <w:rFonts w:asciiTheme="minorHAnsi" w:hAnsiTheme="minorHAnsi" w:cstheme="minorBidi"/>
              <w:noProof/>
              <w:sz w:val="22"/>
            </w:rPr>
          </w:pPr>
          <w:hyperlink w:anchor="_Toc100354943" w:history="1">
            <w:r w:rsidR="00363691" w:rsidRPr="00EB7AD1">
              <w:rPr>
                <w:rStyle w:val="Hypertextovodkaz"/>
                <w:noProof/>
              </w:rPr>
              <w:t>2.7.2 Zánik zástavního práva</w:t>
            </w:r>
            <w:r w:rsidR="00363691">
              <w:rPr>
                <w:noProof/>
                <w:webHidden/>
              </w:rPr>
              <w:tab/>
            </w:r>
            <w:r w:rsidR="00363691">
              <w:rPr>
                <w:noProof/>
                <w:webHidden/>
              </w:rPr>
              <w:fldChar w:fldCharType="begin"/>
            </w:r>
            <w:r w:rsidR="00363691">
              <w:rPr>
                <w:noProof/>
                <w:webHidden/>
              </w:rPr>
              <w:instrText xml:space="preserve"> PAGEREF _Toc100354943 \h </w:instrText>
            </w:r>
            <w:r w:rsidR="00363691">
              <w:rPr>
                <w:noProof/>
                <w:webHidden/>
              </w:rPr>
            </w:r>
            <w:r w:rsidR="00363691">
              <w:rPr>
                <w:noProof/>
                <w:webHidden/>
              </w:rPr>
              <w:fldChar w:fldCharType="separate"/>
            </w:r>
            <w:r w:rsidR="00363691">
              <w:rPr>
                <w:noProof/>
                <w:webHidden/>
              </w:rPr>
              <w:t>28</w:t>
            </w:r>
            <w:r w:rsidR="00363691">
              <w:rPr>
                <w:noProof/>
                <w:webHidden/>
              </w:rPr>
              <w:fldChar w:fldCharType="end"/>
            </w:r>
          </w:hyperlink>
        </w:p>
        <w:p w14:paraId="550915A9" w14:textId="635EC954" w:rsidR="00363691" w:rsidRDefault="00F16016">
          <w:pPr>
            <w:pStyle w:val="Obsah1"/>
            <w:rPr>
              <w:rFonts w:asciiTheme="minorHAnsi" w:hAnsiTheme="minorHAnsi" w:cstheme="minorBidi"/>
              <w:noProof/>
              <w:sz w:val="22"/>
            </w:rPr>
          </w:pPr>
          <w:hyperlink w:anchor="_Toc100354944" w:history="1">
            <w:r w:rsidR="00363691" w:rsidRPr="00EB7AD1">
              <w:rPr>
                <w:rStyle w:val="Hypertextovodkaz"/>
                <w:noProof/>
              </w:rPr>
              <w:t>3 Odraz justiniánské právní nauky v nauce současné</w:t>
            </w:r>
            <w:r w:rsidR="00363691">
              <w:rPr>
                <w:noProof/>
                <w:webHidden/>
              </w:rPr>
              <w:tab/>
            </w:r>
            <w:r w:rsidR="00363691">
              <w:rPr>
                <w:noProof/>
                <w:webHidden/>
              </w:rPr>
              <w:fldChar w:fldCharType="begin"/>
            </w:r>
            <w:r w:rsidR="00363691">
              <w:rPr>
                <w:noProof/>
                <w:webHidden/>
              </w:rPr>
              <w:instrText xml:space="preserve"> PAGEREF _Toc100354944 \h </w:instrText>
            </w:r>
            <w:r w:rsidR="00363691">
              <w:rPr>
                <w:noProof/>
                <w:webHidden/>
              </w:rPr>
            </w:r>
            <w:r w:rsidR="00363691">
              <w:rPr>
                <w:noProof/>
                <w:webHidden/>
              </w:rPr>
              <w:fldChar w:fldCharType="separate"/>
            </w:r>
            <w:r w:rsidR="00363691">
              <w:rPr>
                <w:noProof/>
                <w:webHidden/>
              </w:rPr>
              <w:t>29</w:t>
            </w:r>
            <w:r w:rsidR="00363691">
              <w:rPr>
                <w:noProof/>
                <w:webHidden/>
              </w:rPr>
              <w:fldChar w:fldCharType="end"/>
            </w:r>
          </w:hyperlink>
        </w:p>
        <w:p w14:paraId="5890E516" w14:textId="083DD3EA" w:rsidR="00363691" w:rsidRDefault="00F16016">
          <w:pPr>
            <w:pStyle w:val="Obsah2"/>
            <w:tabs>
              <w:tab w:val="right" w:leader="dot" w:pos="9061"/>
            </w:tabs>
            <w:rPr>
              <w:rFonts w:asciiTheme="minorHAnsi" w:hAnsiTheme="minorHAnsi" w:cstheme="minorBidi"/>
              <w:noProof/>
              <w:sz w:val="22"/>
            </w:rPr>
          </w:pPr>
          <w:hyperlink w:anchor="_Toc100354945" w:history="1">
            <w:r w:rsidR="00363691" w:rsidRPr="00EB7AD1">
              <w:rPr>
                <w:rStyle w:val="Hypertextovodkaz"/>
                <w:noProof/>
              </w:rPr>
              <w:t>3.1 Rozbor jednotlivých fragmentů</w:t>
            </w:r>
            <w:r w:rsidR="00363691">
              <w:rPr>
                <w:noProof/>
                <w:webHidden/>
              </w:rPr>
              <w:tab/>
            </w:r>
            <w:r w:rsidR="00363691">
              <w:rPr>
                <w:noProof/>
                <w:webHidden/>
              </w:rPr>
              <w:fldChar w:fldCharType="begin"/>
            </w:r>
            <w:r w:rsidR="00363691">
              <w:rPr>
                <w:noProof/>
                <w:webHidden/>
              </w:rPr>
              <w:instrText xml:space="preserve"> PAGEREF _Toc100354945 \h </w:instrText>
            </w:r>
            <w:r w:rsidR="00363691">
              <w:rPr>
                <w:noProof/>
                <w:webHidden/>
              </w:rPr>
            </w:r>
            <w:r w:rsidR="00363691">
              <w:rPr>
                <w:noProof/>
                <w:webHidden/>
              </w:rPr>
              <w:fldChar w:fldCharType="separate"/>
            </w:r>
            <w:r w:rsidR="00363691">
              <w:rPr>
                <w:noProof/>
                <w:webHidden/>
              </w:rPr>
              <w:t>29</w:t>
            </w:r>
            <w:r w:rsidR="00363691">
              <w:rPr>
                <w:noProof/>
                <w:webHidden/>
              </w:rPr>
              <w:fldChar w:fldCharType="end"/>
            </w:r>
          </w:hyperlink>
        </w:p>
        <w:p w14:paraId="49B15E06" w14:textId="4690E3CA" w:rsidR="00363691" w:rsidRDefault="00F16016">
          <w:pPr>
            <w:pStyle w:val="Obsah3"/>
            <w:tabs>
              <w:tab w:val="right" w:leader="dot" w:pos="9061"/>
            </w:tabs>
            <w:rPr>
              <w:rFonts w:asciiTheme="minorHAnsi" w:hAnsiTheme="minorHAnsi" w:cstheme="minorBidi"/>
              <w:noProof/>
              <w:sz w:val="22"/>
            </w:rPr>
          </w:pPr>
          <w:hyperlink w:anchor="_Toc100354946" w:history="1">
            <w:r w:rsidR="00363691" w:rsidRPr="00EB7AD1">
              <w:rPr>
                <w:rStyle w:val="Hypertextovodkaz"/>
                <w:noProof/>
              </w:rPr>
              <w:t>3.1.1 Zastavení hromadné věci a zboží</w:t>
            </w:r>
            <w:r w:rsidR="00363691">
              <w:rPr>
                <w:noProof/>
                <w:webHidden/>
              </w:rPr>
              <w:tab/>
            </w:r>
            <w:r w:rsidR="00363691">
              <w:rPr>
                <w:noProof/>
                <w:webHidden/>
              </w:rPr>
              <w:fldChar w:fldCharType="begin"/>
            </w:r>
            <w:r w:rsidR="00363691">
              <w:rPr>
                <w:noProof/>
                <w:webHidden/>
              </w:rPr>
              <w:instrText xml:space="preserve"> PAGEREF _Toc100354946 \h </w:instrText>
            </w:r>
            <w:r w:rsidR="00363691">
              <w:rPr>
                <w:noProof/>
                <w:webHidden/>
              </w:rPr>
            </w:r>
            <w:r w:rsidR="00363691">
              <w:rPr>
                <w:noProof/>
                <w:webHidden/>
              </w:rPr>
              <w:fldChar w:fldCharType="separate"/>
            </w:r>
            <w:r w:rsidR="00363691">
              <w:rPr>
                <w:noProof/>
                <w:webHidden/>
              </w:rPr>
              <w:t>29</w:t>
            </w:r>
            <w:r w:rsidR="00363691">
              <w:rPr>
                <w:noProof/>
                <w:webHidden/>
              </w:rPr>
              <w:fldChar w:fldCharType="end"/>
            </w:r>
          </w:hyperlink>
        </w:p>
        <w:p w14:paraId="3470EEA3" w14:textId="7B005D1C" w:rsidR="00363691" w:rsidRDefault="00F16016">
          <w:pPr>
            <w:pStyle w:val="Obsah3"/>
            <w:tabs>
              <w:tab w:val="right" w:leader="dot" w:pos="9061"/>
            </w:tabs>
            <w:rPr>
              <w:rFonts w:asciiTheme="minorHAnsi" w:hAnsiTheme="minorHAnsi" w:cstheme="minorBidi"/>
              <w:noProof/>
              <w:sz w:val="22"/>
            </w:rPr>
          </w:pPr>
          <w:hyperlink w:anchor="_Toc100354947" w:history="1">
            <w:r w:rsidR="00363691" w:rsidRPr="00EB7AD1">
              <w:rPr>
                <w:rStyle w:val="Hypertextovodkaz"/>
                <w:noProof/>
              </w:rPr>
              <w:t>3.1.2 Zřízení ruční zástavy</w:t>
            </w:r>
            <w:r w:rsidR="00363691">
              <w:rPr>
                <w:noProof/>
                <w:webHidden/>
              </w:rPr>
              <w:tab/>
            </w:r>
            <w:r w:rsidR="00363691">
              <w:rPr>
                <w:noProof/>
                <w:webHidden/>
              </w:rPr>
              <w:fldChar w:fldCharType="begin"/>
            </w:r>
            <w:r w:rsidR="00363691">
              <w:rPr>
                <w:noProof/>
                <w:webHidden/>
              </w:rPr>
              <w:instrText xml:space="preserve"> PAGEREF _Toc100354947 \h </w:instrText>
            </w:r>
            <w:r w:rsidR="00363691">
              <w:rPr>
                <w:noProof/>
                <w:webHidden/>
              </w:rPr>
            </w:r>
            <w:r w:rsidR="00363691">
              <w:rPr>
                <w:noProof/>
                <w:webHidden/>
              </w:rPr>
              <w:fldChar w:fldCharType="separate"/>
            </w:r>
            <w:r w:rsidR="00363691">
              <w:rPr>
                <w:noProof/>
                <w:webHidden/>
              </w:rPr>
              <w:t>30</w:t>
            </w:r>
            <w:r w:rsidR="00363691">
              <w:rPr>
                <w:noProof/>
                <w:webHidden/>
              </w:rPr>
              <w:fldChar w:fldCharType="end"/>
            </w:r>
          </w:hyperlink>
        </w:p>
        <w:p w14:paraId="6B7FB09D" w14:textId="24E5B917" w:rsidR="00363691" w:rsidRDefault="00F16016">
          <w:pPr>
            <w:pStyle w:val="Obsah3"/>
            <w:tabs>
              <w:tab w:val="right" w:leader="dot" w:pos="9061"/>
            </w:tabs>
            <w:rPr>
              <w:rFonts w:asciiTheme="minorHAnsi" w:hAnsiTheme="minorHAnsi" w:cstheme="minorBidi"/>
              <w:noProof/>
              <w:sz w:val="22"/>
            </w:rPr>
          </w:pPr>
          <w:hyperlink w:anchor="_Toc100354948" w:history="1">
            <w:r w:rsidR="00363691" w:rsidRPr="00EB7AD1">
              <w:rPr>
                <w:rStyle w:val="Hypertextovodkaz"/>
                <w:noProof/>
              </w:rPr>
              <w:t>3.1.3 Zřízení hypotéky</w:t>
            </w:r>
            <w:r w:rsidR="00363691">
              <w:rPr>
                <w:noProof/>
                <w:webHidden/>
              </w:rPr>
              <w:tab/>
            </w:r>
            <w:r w:rsidR="00363691">
              <w:rPr>
                <w:noProof/>
                <w:webHidden/>
              </w:rPr>
              <w:fldChar w:fldCharType="begin"/>
            </w:r>
            <w:r w:rsidR="00363691">
              <w:rPr>
                <w:noProof/>
                <w:webHidden/>
              </w:rPr>
              <w:instrText xml:space="preserve"> PAGEREF _Toc100354948 \h </w:instrText>
            </w:r>
            <w:r w:rsidR="00363691">
              <w:rPr>
                <w:noProof/>
                <w:webHidden/>
              </w:rPr>
            </w:r>
            <w:r w:rsidR="00363691">
              <w:rPr>
                <w:noProof/>
                <w:webHidden/>
              </w:rPr>
              <w:fldChar w:fldCharType="separate"/>
            </w:r>
            <w:r w:rsidR="00363691">
              <w:rPr>
                <w:noProof/>
                <w:webHidden/>
              </w:rPr>
              <w:t>32</w:t>
            </w:r>
            <w:r w:rsidR="00363691">
              <w:rPr>
                <w:noProof/>
                <w:webHidden/>
              </w:rPr>
              <w:fldChar w:fldCharType="end"/>
            </w:r>
          </w:hyperlink>
        </w:p>
        <w:p w14:paraId="1CA7693A" w14:textId="40B44F80" w:rsidR="00363691" w:rsidRDefault="00F16016">
          <w:pPr>
            <w:pStyle w:val="Obsah3"/>
            <w:tabs>
              <w:tab w:val="right" w:leader="dot" w:pos="9061"/>
            </w:tabs>
            <w:rPr>
              <w:rFonts w:asciiTheme="minorHAnsi" w:hAnsiTheme="minorHAnsi" w:cstheme="minorBidi"/>
              <w:noProof/>
              <w:sz w:val="22"/>
            </w:rPr>
          </w:pPr>
          <w:hyperlink w:anchor="_Toc100354949" w:history="1">
            <w:r w:rsidR="00363691" w:rsidRPr="00EB7AD1">
              <w:rPr>
                <w:rStyle w:val="Hypertextovodkaz"/>
                <w:noProof/>
              </w:rPr>
              <w:t>3.1.4 Dohoda o prodeji zástavy a podmínka upozornění</w:t>
            </w:r>
            <w:r w:rsidR="00363691">
              <w:rPr>
                <w:noProof/>
                <w:webHidden/>
              </w:rPr>
              <w:tab/>
            </w:r>
            <w:r w:rsidR="00363691">
              <w:rPr>
                <w:noProof/>
                <w:webHidden/>
              </w:rPr>
              <w:fldChar w:fldCharType="begin"/>
            </w:r>
            <w:r w:rsidR="00363691">
              <w:rPr>
                <w:noProof/>
                <w:webHidden/>
              </w:rPr>
              <w:instrText xml:space="preserve"> PAGEREF _Toc100354949 \h </w:instrText>
            </w:r>
            <w:r w:rsidR="00363691">
              <w:rPr>
                <w:noProof/>
                <w:webHidden/>
              </w:rPr>
            </w:r>
            <w:r w:rsidR="00363691">
              <w:rPr>
                <w:noProof/>
                <w:webHidden/>
              </w:rPr>
              <w:fldChar w:fldCharType="separate"/>
            </w:r>
            <w:r w:rsidR="00363691">
              <w:rPr>
                <w:noProof/>
                <w:webHidden/>
              </w:rPr>
              <w:t>34</w:t>
            </w:r>
            <w:r w:rsidR="00363691">
              <w:rPr>
                <w:noProof/>
                <w:webHidden/>
              </w:rPr>
              <w:fldChar w:fldCharType="end"/>
            </w:r>
          </w:hyperlink>
        </w:p>
        <w:p w14:paraId="5D7CA904" w14:textId="19C5CAD7" w:rsidR="00363691" w:rsidRDefault="00F16016">
          <w:pPr>
            <w:pStyle w:val="Obsah3"/>
            <w:tabs>
              <w:tab w:val="right" w:leader="dot" w:pos="9061"/>
            </w:tabs>
            <w:rPr>
              <w:rFonts w:asciiTheme="minorHAnsi" w:hAnsiTheme="minorHAnsi" w:cstheme="minorBidi"/>
              <w:noProof/>
              <w:sz w:val="22"/>
            </w:rPr>
          </w:pPr>
          <w:hyperlink w:anchor="_Toc100354950" w:history="1">
            <w:r w:rsidR="00363691" w:rsidRPr="00EB7AD1">
              <w:rPr>
                <w:rStyle w:val="Hypertextovodkaz"/>
                <w:noProof/>
              </w:rPr>
              <w:t>3.1.5 Zastavení pohledávky</w:t>
            </w:r>
            <w:r w:rsidR="00363691">
              <w:rPr>
                <w:noProof/>
                <w:webHidden/>
              </w:rPr>
              <w:tab/>
            </w:r>
            <w:r w:rsidR="00363691">
              <w:rPr>
                <w:noProof/>
                <w:webHidden/>
              </w:rPr>
              <w:fldChar w:fldCharType="begin"/>
            </w:r>
            <w:r w:rsidR="00363691">
              <w:rPr>
                <w:noProof/>
                <w:webHidden/>
              </w:rPr>
              <w:instrText xml:space="preserve"> PAGEREF _Toc100354950 \h </w:instrText>
            </w:r>
            <w:r w:rsidR="00363691">
              <w:rPr>
                <w:noProof/>
                <w:webHidden/>
              </w:rPr>
            </w:r>
            <w:r w:rsidR="00363691">
              <w:rPr>
                <w:noProof/>
                <w:webHidden/>
              </w:rPr>
              <w:fldChar w:fldCharType="separate"/>
            </w:r>
            <w:r w:rsidR="00363691">
              <w:rPr>
                <w:noProof/>
                <w:webHidden/>
              </w:rPr>
              <w:t>37</w:t>
            </w:r>
            <w:r w:rsidR="00363691">
              <w:rPr>
                <w:noProof/>
                <w:webHidden/>
              </w:rPr>
              <w:fldChar w:fldCharType="end"/>
            </w:r>
          </w:hyperlink>
        </w:p>
        <w:p w14:paraId="126CDB38" w14:textId="2D1EBED5" w:rsidR="00363691" w:rsidRDefault="00F16016">
          <w:pPr>
            <w:pStyle w:val="Obsah1"/>
            <w:rPr>
              <w:rFonts w:asciiTheme="minorHAnsi" w:hAnsiTheme="minorHAnsi" w:cstheme="minorBidi"/>
              <w:noProof/>
              <w:sz w:val="22"/>
            </w:rPr>
          </w:pPr>
          <w:hyperlink w:anchor="_Toc100354951" w:history="1">
            <w:r w:rsidR="00363691" w:rsidRPr="00EB7AD1">
              <w:rPr>
                <w:rStyle w:val="Hypertextovodkaz"/>
                <w:noProof/>
              </w:rPr>
              <w:t>Závěr</w:t>
            </w:r>
            <w:r w:rsidR="00363691">
              <w:rPr>
                <w:noProof/>
                <w:webHidden/>
              </w:rPr>
              <w:tab/>
            </w:r>
            <w:r w:rsidR="00363691">
              <w:rPr>
                <w:noProof/>
                <w:webHidden/>
              </w:rPr>
              <w:fldChar w:fldCharType="begin"/>
            </w:r>
            <w:r w:rsidR="00363691">
              <w:rPr>
                <w:noProof/>
                <w:webHidden/>
              </w:rPr>
              <w:instrText xml:space="preserve"> PAGEREF _Toc100354951 \h </w:instrText>
            </w:r>
            <w:r w:rsidR="00363691">
              <w:rPr>
                <w:noProof/>
                <w:webHidden/>
              </w:rPr>
            </w:r>
            <w:r w:rsidR="00363691">
              <w:rPr>
                <w:noProof/>
                <w:webHidden/>
              </w:rPr>
              <w:fldChar w:fldCharType="separate"/>
            </w:r>
            <w:r w:rsidR="00363691">
              <w:rPr>
                <w:noProof/>
                <w:webHidden/>
              </w:rPr>
              <w:t>40</w:t>
            </w:r>
            <w:r w:rsidR="00363691">
              <w:rPr>
                <w:noProof/>
                <w:webHidden/>
              </w:rPr>
              <w:fldChar w:fldCharType="end"/>
            </w:r>
          </w:hyperlink>
        </w:p>
        <w:p w14:paraId="7522A1DF" w14:textId="2BE48A12" w:rsidR="00363691" w:rsidRDefault="00F16016">
          <w:pPr>
            <w:pStyle w:val="Obsah1"/>
            <w:rPr>
              <w:rFonts w:asciiTheme="minorHAnsi" w:hAnsiTheme="minorHAnsi" w:cstheme="minorBidi"/>
              <w:noProof/>
              <w:sz w:val="22"/>
            </w:rPr>
          </w:pPr>
          <w:hyperlink w:anchor="_Toc100354952" w:history="1">
            <w:r w:rsidR="00363691" w:rsidRPr="00EB7AD1">
              <w:rPr>
                <w:rStyle w:val="Hypertextovodkaz"/>
                <w:noProof/>
              </w:rPr>
              <w:t>Seznam použitých zdrojů</w:t>
            </w:r>
            <w:r w:rsidR="00363691">
              <w:rPr>
                <w:noProof/>
                <w:webHidden/>
              </w:rPr>
              <w:tab/>
            </w:r>
            <w:r w:rsidR="00363691">
              <w:rPr>
                <w:noProof/>
                <w:webHidden/>
              </w:rPr>
              <w:fldChar w:fldCharType="begin"/>
            </w:r>
            <w:r w:rsidR="00363691">
              <w:rPr>
                <w:noProof/>
                <w:webHidden/>
              </w:rPr>
              <w:instrText xml:space="preserve"> PAGEREF _Toc100354952 \h </w:instrText>
            </w:r>
            <w:r w:rsidR="00363691">
              <w:rPr>
                <w:noProof/>
                <w:webHidden/>
              </w:rPr>
            </w:r>
            <w:r w:rsidR="00363691">
              <w:rPr>
                <w:noProof/>
                <w:webHidden/>
              </w:rPr>
              <w:fldChar w:fldCharType="separate"/>
            </w:r>
            <w:r w:rsidR="00363691">
              <w:rPr>
                <w:noProof/>
                <w:webHidden/>
              </w:rPr>
              <w:t>42</w:t>
            </w:r>
            <w:r w:rsidR="00363691">
              <w:rPr>
                <w:noProof/>
                <w:webHidden/>
              </w:rPr>
              <w:fldChar w:fldCharType="end"/>
            </w:r>
          </w:hyperlink>
        </w:p>
        <w:p w14:paraId="4CA8E07F" w14:textId="4DC22835" w:rsidR="00363691" w:rsidRDefault="00F16016">
          <w:pPr>
            <w:pStyle w:val="Obsah1"/>
            <w:rPr>
              <w:rFonts w:asciiTheme="minorHAnsi" w:hAnsiTheme="minorHAnsi" w:cstheme="minorBidi"/>
              <w:noProof/>
              <w:sz w:val="22"/>
            </w:rPr>
          </w:pPr>
          <w:hyperlink w:anchor="_Toc100354953" w:history="1">
            <w:r w:rsidR="00363691" w:rsidRPr="00EB7AD1">
              <w:rPr>
                <w:rStyle w:val="Hypertextovodkaz"/>
                <w:noProof/>
              </w:rPr>
              <w:t>Shrnutí</w:t>
            </w:r>
            <w:r w:rsidR="00363691">
              <w:rPr>
                <w:noProof/>
                <w:webHidden/>
              </w:rPr>
              <w:tab/>
            </w:r>
            <w:r w:rsidR="00363691">
              <w:rPr>
                <w:noProof/>
                <w:webHidden/>
              </w:rPr>
              <w:fldChar w:fldCharType="begin"/>
            </w:r>
            <w:r w:rsidR="00363691">
              <w:rPr>
                <w:noProof/>
                <w:webHidden/>
              </w:rPr>
              <w:instrText xml:space="preserve"> PAGEREF _Toc100354953 \h </w:instrText>
            </w:r>
            <w:r w:rsidR="00363691">
              <w:rPr>
                <w:noProof/>
                <w:webHidden/>
              </w:rPr>
            </w:r>
            <w:r w:rsidR="00363691">
              <w:rPr>
                <w:noProof/>
                <w:webHidden/>
              </w:rPr>
              <w:fldChar w:fldCharType="separate"/>
            </w:r>
            <w:r w:rsidR="00363691">
              <w:rPr>
                <w:noProof/>
                <w:webHidden/>
              </w:rPr>
              <w:t>45</w:t>
            </w:r>
            <w:r w:rsidR="00363691">
              <w:rPr>
                <w:noProof/>
                <w:webHidden/>
              </w:rPr>
              <w:fldChar w:fldCharType="end"/>
            </w:r>
          </w:hyperlink>
        </w:p>
        <w:p w14:paraId="05B944FA" w14:textId="2AA8C9B3" w:rsidR="00363691" w:rsidRDefault="00F16016">
          <w:pPr>
            <w:pStyle w:val="Obsah1"/>
            <w:rPr>
              <w:rFonts w:asciiTheme="minorHAnsi" w:hAnsiTheme="minorHAnsi" w:cstheme="minorBidi"/>
              <w:noProof/>
              <w:sz w:val="22"/>
            </w:rPr>
          </w:pPr>
          <w:hyperlink w:anchor="_Toc100354954" w:history="1">
            <w:r w:rsidR="00363691" w:rsidRPr="00EB7AD1">
              <w:rPr>
                <w:rStyle w:val="Hypertextovodkaz"/>
                <w:noProof/>
              </w:rPr>
              <w:t>Klíčový slova</w:t>
            </w:r>
            <w:r w:rsidR="00363691">
              <w:rPr>
                <w:noProof/>
                <w:webHidden/>
              </w:rPr>
              <w:tab/>
            </w:r>
            <w:r w:rsidR="00363691">
              <w:rPr>
                <w:noProof/>
                <w:webHidden/>
              </w:rPr>
              <w:fldChar w:fldCharType="begin"/>
            </w:r>
            <w:r w:rsidR="00363691">
              <w:rPr>
                <w:noProof/>
                <w:webHidden/>
              </w:rPr>
              <w:instrText xml:space="preserve"> PAGEREF _Toc100354954 \h </w:instrText>
            </w:r>
            <w:r w:rsidR="00363691">
              <w:rPr>
                <w:noProof/>
                <w:webHidden/>
              </w:rPr>
            </w:r>
            <w:r w:rsidR="00363691">
              <w:rPr>
                <w:noProof/>
                <w:webHidden/>
              </w:rPr>
              <w:fldChar w:fldCharType="separate"/>
            </w:r>
            <w:r w:rsidR="00363691">
              <w:rPr>
                <w:noProof/>
                <w:webHidden/>
              </w:rPr>
              <w:t>46</w:t>
            </w:r>
            <w:r w:rsidR="00363691">
              <w:rPr>
                <w:noProof/>
                <w:webHidden/>
              </w:rPr>
              <w:fldChar w:fldCharType="end"/>
            </w:r>
          </w:hyperlink>
        </w:p>
        <w:p w14:paraId="2F97E052" w14:textId="21B22C31" w:rsidR="00363691" w:rsidRDefault="00F16016">
          <w:pPr>
            <w:pStyle w:val="Obsah1"/>
            <w:rPr>
              <w:rFonts w:asciiTheme="minorHAnsi" w:hAnsiTheme="minorHAnsi" w:cstheme="minorBidi"/>
              <w:noProof/>
              <w:sz w:val="22"/>
            </w:rPr>
          </w:pPr>
          <w:hyperlink w:anchor="_Toc100354955" w:history="1">
            <w:r w:rsidR="00363691" w:rsidRPr="00EB7AD1">
              <w:rPr>
                <w:rStyle w:val="Hypertextovodkaz"/>
                <w:noProof/>
              </w:rPr>
              <w:t>Summary</w:t>
            </w:r>
            <w:r w:rsidR="00363691">
              <w:rPr>
                <w:noProof/>
                <w:webHidden/>
              </w:rPr>
              <w:tab/>
            </w:r>
            <w:r w:rsidR="00363691">
              <w:rPr>
                <w:noProof/>
                <w:webHidden/>
              </w:rPr>
              <w:fldChar w:fldCharType="begin"/>
            </w:r>
            <w:r w:rsidR="00363691">
              <w:rPr>
                <w:noProof/>
                <w:webHidden/>
              </w:rPr>
              <w:instrText xml:space="preserve"> PAGEREF _Toc100354955 \h </w:instrText>
            </w:r>
            <w:r w:rsidR="00363691">
              <w:rPr>
                <w:noProof/>
                <w:webHidden/>
              </w:rPr>
            </w:r>
            <w:r w:rsidR="00363691">
              <w:rPr>
                <w:noProof/>
                <w:webHidden/>
              </w:rPr>
              <w:fldChar w:fldCharType="separate"/>
            </w:r>
            <w:r w:rsidR="00363691">
              <w:rPr>
                <w:noProof/>
                <w:webHidden/>
              </w:rPr>
              <w:t>47</w:t>
            </w:r>
            <w:r w:rsidR="00363691">
              <w:rPr>
                <w:noProof/>
                <w:webHidden/>
              </w:rPr>
              <w:fldChar w:fldCharType="end"/>
            </w:r>
          </w:hyperlink>
        </w:p>
        <w:p w14:paraId="708577C9" w14:textId="1E293818" w:rsidR="00363691" w:rsidRDefault="00F16016">
          <w:pPr>
            <w:pStyle w:val="Obsah1"/>
            <w:rPr>
              <w:rFonts w:asciiTheme="minorHAnsi" w:hAnsiTheme="minorHAnsi" w:cstheme="minorBidi"/>
              <w:noProof/>
              <w:sz w:val="22"/>
            </w:rPr>
          </w:pPr>
          <w:hyperlink w:anchor="_Toc100354956" w:history="1">
            <w:r w:rsidR="00363691" w:rsidRPr="00EB7AD1">
              <w:rPr>
                <w:rStyle w:val="Hypertextovodkaz"/>
                <w:noProof/>
              </w:rPr>
              <w:t>Key words</w:t>
            </w:r>
            <w:r w:rsidR="00363691">
              <w:rPr>
                <w:noProof/>
                <w:webHidden/>
              </w:rPr>
              <w:tab/>
            </w:r>
            <w:r w:rsidR="00363691">
              <w:rPr>
                <w:noProof/>
                <w:webHidden/>
              </w:rPr>
              <w:fldChar w:fldCharType="begin"/>
            </w:r>
            <w:r w:rsidR="00363691">
              <w:rPr>
                <w:noProof/>
                <w:webHidden/>
              </w:rPr>
              <w:instrText xml:space="preserve"> PAGEREF _Toc100354956 \h </w:instrText>
            </w:r>
            <w:r w:rsidR="00363691">
              <w:rPr>
                <w:noProof/>
                <w:webHidden/>
              </w:rPr>
            </w:r>
            <w:r w:rsidR="00363691">
              <w:rPr>
                <w:noProof/>
                <w:webHidden/>
              </w:rPr>
              <w:fldChar w:fldCharType="separate"/>
            </w:r>
            <w:r w:rsidR="00363691">
              <w:rPr>
                <w:noProof/>
                <w:webHidden/>
              </w:rPr>
              <w:t>48</w:t>
            </w:r>
            <w:r w:rsidR="00363691">
              <w:rPr>
                <w:noProof/>
                <w:webHidden/>
              </w:rPr>
              <w:fldChar w:fldCharType="end"/>
            </w:r>
          </w:hyperlink>
        </w:p>
        <w:p w14:paraId="0660BF06" w14:textId="4B515D98" w:rsidR="00C74A5E" w:rsidRDefault="00C74A5E">
          <w:r>
            <w:rPr>
              <w:b/>
              <w:bCs/>
            </w:rPr>
            <w:fldChar w:fldCharType="end"/>
          </w:r>
        </w:p>
      </w:sdtContent>
    </w:sdt>
    <w:p w14:paraId="113047A7" w14:textId="5ECCF699" w:rsidR="00E17BF0" w:rsidRDefault="00E17BF0">
      <w:pPr>
        <w:spacing w:after="160" w:line="259" w:lineRule="auto"/>
        <w:ind w:firstLine="0"/>
        <w:jc w:val="left"/>
        <w:rPr>
          <w:rFonts w:eastAsiaTheme="majorEastAsia" w:cstheme="majorBidi"/>
          <w:b/>
          <w:sz w:val="32"/>
          <w:szCs w:val="32"/>
        </w:rPr>
      </w:pPr>
      <w:r>
        <w:br w:type="page"/>
      </w:r>
    </w:p>
    <w:p w14:paraId="7169288F" w14:textId="77777777" w:rsidR="008D07C6" w:rsidRDefault="008D07C6" w:rsidP="008D07C6">
      <w:pPr>
        <w:pStyle w:val="Nadpis1"/>
      </w:pPr>
      <w:bookmarkStart w:id="0" w:name="_Toc100354920"/>
      <w:r>
        <w:lastRenderedPageBreak/>
        <w:t>Seznam použitých zkratek</w:t>
      </w:r>
      <w:bookmarkEnd w:id="0"/>
    </w:p>
    <w:p w14:paraId="094F5CCD" w14:textId="77777777" w:rsidR="00516859" w:rsidRDefault="00516859" w:rsidP="008D07C6"/>
    <w:p w14:paraId="21216783" w14:textId="22F56DF2" w:rsidR="008D07C6" w:rsidRDefault="008D07C6" w:rsidP="008D07C6">
      <w:pPr>
        <w:ind w:firstLine="0"/>
      </w:pPr>
      <w:r>
        <w:t>OZ</w:t>
      </w:r>
      <w:r w:rsidR="00EA7A60">
        <w:tab/>
      </w:r>
      <w:r w:rsidR="00EA7A60">
        <w:tab/>
      </w:r>
      <w:r w:rsidR="00EA7A60">
        <w:tab/>
      </w:r>
      <w:r w:rsidR="00EA7A60">
        <w:tab/>
      </w:r>
      <w:r>
        <w:t>nový občanský zákoník</w:t>
      </w:r>
    </w:p>
    <w:p w14:paraId="198CC3AA" w14:textId="77777777" w:rsidR="008D07C6" w:rsidRDefault="008D07C6" w:rsidP="008D07C6">
      <w:pPr>
        <w:ind w:firstLine="0"/>
      </w:pPr>
    </w:p>
    <w:p w14:paraId="483B17A4" w14:textId="7752A16D" w:rsidR="008D07C6" w:rsidRDefault="008D07C6" w:rsidP="008D07C6">
      <w:pPr>
        <w:ind w:firstLine="0"/>
      </w:pPr>
      <w:r>
        <w:t>ZZŘS</w:t>
      </w:r>
      <w:r w:rsidR="00EA7A60">
        <w:tab/>
      </w:r>
      <w:r w:rsidR="00EA7A60">
        <w:tab/>
      </w:r>
      <w:r w:rsidR="00EA7A60">
        <w:tab/>
      </w:r>
      <w:r w:rsidR="00EA7A60">
        <w:tab/>
      </w:r>
      <w:r>
        <w:t>zákon o zvláštních řízeních soudních</w:t>
      </w:r>
    </w:p>
    <w:p w14:paraId="1E06C1FA" w14:textId="77777777" w:rsidR="008D07C6" w:rsidRDefault="008D07C6" w:rsidP="008D07C6">
      <w:pPr>
        <w:ind w:firstLine="0"/>
      </w:pPr>
    </w:p>
    <w:p w14:paraId="044C4DAB" w14:textId="0AD8A57E" w:rsidR="008D07C6" w:rsidRDefault="008D07C6" w:rsidP="008D07C6">
      <w:pPr>
        <w:ind w:firstLine="0"/>
      </w:pPr>
      <w:r>
        <w:t>OSŘ</w:t>
      </w:r>
      <w:r w:rsidR="00EA7A60">
        <w:tab/>
      </w:r>
      <w:r w:rsidR="00EA7A60">
        <w:tab/>
      </w:r>
      <w:r w:rsidR="00EA7A60">
        <w:tab/>
      </w:r>
      <w:r w:rsidR="00EA7A60">
        <w:tab/>
      </w:r>
      <w:r>
        <w:t>občanský soudní řád</w:t>
      </w:r>
    </w:p>
    <w:p w14:paraId="7E4C5549" w14:textId="77777777" w:rsidR="008D07C6" w:rsidRDefault="008D07C6" w:rsidP="008D07C6">
      <w:pPr>
        <w:ind w:firstLine="0"/>
      </w:pPr>
    </w:p>
    <w:p w14:paraId="5170CC40" w14:textId="48C77306" w:rsidR="008D07C6" w:rsidRDefault="008D07C6" w:rsidP="008D07C6">
      <w:pPr>
        <w:ind w:firstLine="0"/>
      </w:pPr>
      <w:r>
        <w:t>ZPr</w:t>
      </w:r>
      <w:r w:rsidR="00EA7A60">
        <w:tab/>
      </w:r>
      <w:r w:rsidR="00EA7A60">
        <w:tab/>
      </w:r>
      <w:r w:rsidR="00EA7A60">
        <w:tab/>
      </w:r>
      <w:r w:rsidR="00EA7A60">
        <w:tab/>
      </w:r>
      <w:r>
        <w:t>zákoník práce</w:t>
      </w:r>
    </w:p>
    <w:p w14:paraId="6F58A178" w14:textId="77777777" w:rsidR="008D07C6" w:rsidRDefault="008D07C6" w:rsidP="008D07C6">
      <w:pPr>
        <w:ind w:firstLine="0"/>
      </w:pPr>
    </w:p>
    <w:p w14:paraId="363759DA" w14:textId="64EA08D7" w:rsidR="008D07C6" w:rsidRDefault="008D07C6" w:rsidP="008D07C6">
      <w:pPr>
        <w:ind w:firstLine="0"/>
      </w:pPr>
      <w:r>
        <w:t>MajČR</w:t>
      </w:r>
      <w:r w:rsidR="00EA7A60">
        <w:tab/>
      </w:r>
      <w:r w:rsidR="00EA7A60">
        <w:tab/>
      </w:r>
      <w:r w:rsidR="00EA7A60">
        <w:tab/>
      </w:r>
      <w:r w:rsidR="00EA7A60">
        <w:tab/>
      </w:r>
      <w:r>
        <w:t>zákon o majetku ČR a jejím vystupování v právních vztazích</w:t>
      </w:r>
    </w:p>
    <w:p w14:paraId="047ED159" w14:textId="77777777" w:rsidR="008D07C6" w:rsidRDefault="008D07C6" w:rsidP="008D07C6">
      <w:pPr>
        <w:ind w:firstLine="0"/>
      </w:pPr>
    </w:p>
    <w:p w14:paraId="1031EBF2" w14:textId="5265BA24" w:rsidR="008D07C6" w:rsidRDefault="008D07C6" w:rsidP="008D07C6">
      <w:pPr>
        <w:ind w:firstLine="0"/>
      </w:pPr>
      <w:r>
        <w:t>EŘ</w:t>
      </w:r>
      <w:r w:rsidR="00EA7A60">
        <w:tab/>
      </w:r>
      <w:r w:rsidR="00EA7A60">
        <w:tab/>
      </w:r>
      <w:r w:rsidR="00EA7A60">
        <w:tab/>
      </w:r>
      <w:r w:rsidR="00EA7A60">
        <w:tab/>
      </w:r>
      <w:r>
        <w:t>exekuční řád</w:t>
      </w:r>
    </w:p>
    <w:p w14:paraId="6635679F" w14:textId="77777777" w:rsidR="008D07C6" w:rsidRDefault="008D07C6" w:rsidP="008D07C6">
      <w:pPr>
        <w:ind w:firstLine="0"/>
      </w:pPr>
    </w:p>
    <w:p w14:paraId="29D52E42" w14:textId="266AEDF8" w:rsidR="008D07C6" w:rsidRDefault="008D07C6" w:rsidP="008D07C6">
      <w:pPr>
        <w:ind w:firstLine="0"/>
      </w:pPr>
      <w:r>
        <w:t>Dig</w:t>
      </w:r>
      <w:r w:rsidR="00EA7A60">
        <w:t>.</w:t>
      </w:r>
      <w:r w:rsidR="00EA7A60">
        <w:tab/>
      </w:r>
      <w:r w:rsidR="00EA7A60">
        <w:tab/>
      </w:r>
      <w:r w:rsidR="00EA7A60">
        <w:tab/>
      </w:r>
      <w:r w:rsidR="00EA7A60">
        <w:tab/>
      </w:r>
      <w:r>
        <w:t>Digesta</w:t>
      </w:r>
    </w:p>
    <w:p w14:paraId="725C583D" w14:textId="77777777" w:rsidR="008D07C6" w:rsidRDefault="008D07C6" w:rsidP="008D07C6">
      <w:pPr>
        <w:ind w:firstLine="0"/>
      </w:pPr>
    </w:p>
    <w:p w14:paraId="5BB21A30" w14:textId="43CD2B17" w:rsidR="008D07C6" w:rsidRDefault="008D07C6" w:rsidP="008D07C6">
      <w:pPr>
        <w:ind w:firstLine="0"/>
      </w:pPr>
      <w:r>
        <w:t>Gai. Inst.</w:t>
      </w:r>
      <w:r w:rsidR="00EA7A60">
        <w:tab/>
      </w:r>
      <w:r w:rsidR="00EA7A60">
        <w:tab/>
      </w:r>
      <w:r w:rsidR="00EA7A60">
        <w:tab/>
      </w:r>
      <w:r>
        <w:t>Gaiovy Instituce</w:t>
      </w:r>
    </w:p>
    <w:p w14:paraId="5E3B1AA4" w14:textId="1C79EF87" w:rsidR="00093D51" w:rsidRDefault="00093D51" w:rsidP="008D07C6">
      <w:pPr>
        <w:ind w:firstLine="0"/>
      </w:pPr>
    </w:p>
    <w:p w14:paraId="622F7B23" w14:textId="6C082B72" w:rsidR="004D2593" w:rsidRDefault="00093D51" w:rsidP="008D07C6">
      <w:pPr>
        <w:ind w:firstLine="0"/>
      </w:pPr>
      <w:r>
        <w:t>LDT</w:t>
      </w:r>
      <w:r w:rsidR="00EA7A60">
        <w:tab/>
      </w:r>
      <w:r w:rsidR="00EA7A60">
        <w:tab/>
      </w:r>
      <w:r w:rsidR="0078393C">
        <w:tab/>
      </w:r>
      <w:r w:rsidR="0078393C">
        <w:tab/>
      </w:r>
      <w:r w:rsidR="00914697">
        <w:t>Zákon dvanácti desek</w:t>
      </w:r>
    </w:p>
    <w:p w14:paraId="005F2F52" w14:textId="77777777" w:rsidR="008D07C6" w:rsidRDefault="008D07C6" w:rsidP="008D07C6"/>
    <w:p w14:paraId="5EA71C54" w14:textId="77777777" w:rsidR="008D07C6" w:rsidRPr="00FB5C8E" w:rsidRDefault="008D07C6" w:rsidP="008D07C6">
      <w:pPr>
        <w:sectPr w:rsidR="008D07C6" w:rsidRPr="00FB5C8E" w:rsidSect="005D75C5">
          <w:pgSz w:w="11906" w:h="16838" w:code="9"/>
          <w:pgMar w:top="1418" w:right="1134" w:bottom="1418" w:left="1701" w:header="709" w:footer="709" w:gutter="0"/>
          <w:cols w:space="708"/>
          <w:docGrid w:linePitch="360"/>
        </w:sectPr>
      </w:pPr>
    </w:p>
    <w:p w14:paraId="32E6C514" w14:textId="26FDCB4B" w:rsidR="00867D0B" w:rsidRDefault="00E27906" w:rsidP="00867D0B">
      <w:pPr>
        <w:pStyle w:val="Nadpis1"/>
      </w:pPr>
      <w:bookmarkStart w:id="1" w:name="_Toc100354921"/>
      <w:r>
        <w:lastRenderedPageBreak/>
        <w:t>Úvod</w:t>
      </w:r>
      <w:bookmarkEnd w:id="1"/>
    </w:p>
    <w:p w14:paraId="32DB1248" w14:textId="77777777" w:rsidR="0050793F" w:rsidRDefault="004D0196" w:rsidP="0050793F">
      <w:pPr>
        <w:tabs>
          <w:tab w:val="right" w:leader="hyphen" w:pos="8820"/>
        </w:tabs>
        <w:ind w:firstLine="709"/>
        <w:rPr>
          <w:rFonts w:cs="Times New Roman"/>
          <w:bCs/>
          <w:color w:val="000000" w:themeColor="text1"/>
          <w:szCs w:val="24"/>
        </w:rPr>
      </w:pPr>
      <w:r w:rsidRPr="0050793F">
        <w:rPr>
          <w:rFonts w:cs="Times New Roman"/>
          <w:szCs w:val="24"/>
        </w:rPr>
        <w:t xml:space="preserve">Institut zástavního práva je historicky nejstarší zajišťovací institut sloužící k zajištění pohledávky. </w:t>
      </w:r>
      <w:r w:rsidR="00070C9F" w:rsidRPr="0050793F">
        <w:rPr>
          <w:rFonts w:cs="Times New Roman"/>
          <w:szCs w:val="24"/>
        </w:rPr>
        <w:t>Počátek v</w:t>
      </w:r>
      <w:r w:rsidRPr="004D0196">
        <w:rPr>
          <w:rFonts w:cs="Times New Roman"/>
          <w:szCs w:val="24"/>
        </w:rPr>
        <w:t>ývoj</w:t>
      </w:r>
      <w:r w:rsidR="00070C9F">
        <w:rPr>
          <w:rFonts w:cs="Times New Roman"/>
          <w:szCs w:val="24"/>
        </w:rPr>
        <w:t>e</w:t>
      </w:r>
      <w:r w:rsidRPr="004D0196">
        <w:rPr>
          <w:rFonts w:cs="Times New Roman"/>
          <w:szCs w:val="24"/>
        </w:rPr>
        <w:t xml:space="preserve"> zástavního práva, který je součástí práv věcných, </w:t>
      </w:r>
      <w:r w:rsidR="00070C9F">
        <w:rPr>
          <w:rFonts w:cs="Times New Roman"/>
          <w:szCs w:val="24"/>
        </w:rPr>
        <w:t xml:space="preserve">nelze sice přesně určit, nicméně </w:t>
      </w:r>
      <w:r w:rsidR="0050793F">
        <w:rPr>
          <w:rFonts w:cs="Times New Roman"/>
          <w:szCs w:val="24"/>
        </w:rPr>
        <w:t>zmínka o něm se objevila</w:t>
      </w:r>
      <w:r w:rsidR="00070C9F" w:rsidRPr="0050793F">
        <w:rPr>
          <w:rFonts w:cs="Times New Roman"/>
          <w:szCs w:val="24"/>
        </w:rPr>
        <w:t xml:space="preserve"> už v prvním písemném kodexu římského práva</w:t>
      </w:r>
      <w:r w:rsidR="0050793F">
        <w:rPr>
          <w:rFonts w:cs="Times New Roman"/>
          <w:szCs w:val="24"/>
        </w:rPr>
        <w:t xml:space="preserve"> </w:t>
      </w:r>
      <w:r w:rsidRPr="004D0196">
        <w:rPr>
          <w:rFonts w:cs="Times New Roman"/>
          <w:szCs w:val="24"/>
        </w:rPr>
        <w:t>a dokončen byl</w:t>
      </w:r>
      <w:r w:rsidR="00CC6F7A">
        <w:rPr>
          <w:rFonts w:cs="Times New Roman"/>
          <w:szCs w:val="24"/>
        </w:rPr>
        <w:t xml:space="preserve"> </w:t>
      </w:r>
      <w:r w:rsidRPr="004D0196">
        <w:rPr>
          <w:rFonts w:cs="Times New Roman"/>
          <w:szCs w:val="24"/>
        </w:rPr>
        <w:t>závěrem klasického období, ačkoliv v některých oblastech byl vývoj završen až justiniánskou úpravou</w:t>
      </w:r>
      <w:r w:rsidR="00CC6F7A">
        <w:rPr>
          <w:rFonts w:cs="Times New Roman"/>
          <w:bCs/>
          <w:color w:val="000000" w:themeColor="text1"/>
          <w:szCs w:val="24"/>
        </w:rPr>
        <w:t>.</w:t>
      </w:r>
      <w:r w:rsidRPr="004D0196">
        <w:rPr>
          <w:rFonts w:cs="Times New Roman"/>
          <w:bCs/>
          <w:color w:val="000000" w:themeColor="text1"/>
          <w:szCs w:val="24"/>
        </w:rPr>
        <w:t xml:space="preserve"> </w:t>
      </w:r>
    </w:p>
    <w:p w14:paraId="3B9BE6E1" w14:textId="4CDC19EA" w:rsidR="004D0196" w:rsidRPr="0050793F" w:rsidRDefault="004D0196" w:rsidP="0050793F">
      <w:pPr>
        <w:tabs>
          <w:tab w:val="right" w:leader="hyphen" w:pos="8820"/>
        </w:tabs>
        <w:ind w:firstLine="709"/>
        <w:rPr>
          <w:rFonts w:cs="Times New Roman"/>
          <w:szCs w:val="24"/>
        </w:rPr>
      </w:pPr>
      <w:r w:rsidRPr="004D0196">
        <w:rPr>
          <w:rFonts w:cs="Times New Roman"/>
          <w:bCs/>
          <w:color w:val="000000" w:themeColor="text1"/>
          <w:szCs w:val="24"/>
        </w:rPr>
        <w:t xml:space="preserve">Jelikož si myslím, že justiniánská úprava zástavního práva měla zásadní vliv </w:t>
      </w:r>
      <w:r w:rsidR="00CC6F7A">
        <w:rPr>
          <w:rFonts w:cs="Times New Roman"/>
          <w:bCs/>
          <w:color w:val="000000" w:themeColor="text1"/>
          <w:szCs w:val="24"/>
        </w:rPr>
        <w:t xml:space="preserve">na tu současnou </w:t>
      </w:r>
      <w:r w:rsidRPr="004D0196">
        <w:rPr>
          <w:rFonts w:cs="Times New Roman"/>
          <w:bCs/>
          <w:color w:val="000000" w:themeColor="text1"/>
          <w:szCs w:val="24"/>
        </w:rPr>
        <w:t xml:space="preserve">a v mnoha ohledech </w:t>
      </w:r>
      <w:r w:rsidR="00CC6F7A">
        <w:rPr>
          <w:rFonts w:cs="Times New Roman"/>
          <w:bCs/>
          <w:color w:val="000000" w:themeColor="text1"/>
          <w:szCs w:val="24"/>
        </w:rPr>
        <w:t xml:space="preserve">také </w:t>
      </w:r>
      <w:r w:rsidRPr="004D0196">
        <w:rPr>
          <w:rFonts w:cs="Times New Roman"/>
          <w:bCs/>
          <w:color w:val="000000" w:themeColor="text1"/>
          <w:szCs w:val="24"/>
        </w:rPr>
        <w:t>zůstala zachována</w:t>
      </w:r>
      <w:r w:rsidR="00CC6F7A">
        <w:rPr>
          <w:rFonts w:cs="Times New Roman"/>
          <w:bCs/>
          <w:color w:val="000000" w:themeColor="text1"/>
          <w:szCs w:val="24"/>
        </w:rPr>
        <w:t>, budu se jí ve své práci zabývat podrobněji a pokusím se ji čtenáři přiblížit tak, aby to bylo zjevné i jemu</w:t>
      </w:r>
      <w:r w:rsidRPr="004D0196">
        <w:rPr>
          <w:rFonts w:cs="Times New Roman"/>
          <w:bCs/>
          <w:color w:val="000000" w:themeColor="text1"/>
          <w:szCs w:val="24"/>
        </w:rPr>
        <w:t>.</w:t>
      </w:r>
    </w:p>
    <w:p w14:paraId="15F0B543" w14:textId="072C460A" w:rsidR="002E6A43" w:rsidRDefault="004D0196" w:rsidP="002E6A43">
      <w:pPr>
        <w:tabs>
          <w:tab w:val="right" w:leader="hyphen" w:pos="8820"/>
        </w:tabs>
        <w:ind w:firstLine="709"/>
        <w:rPr>
          <w:rFonts w:cs="Times New Roman"/>
          <w:bCs/>
          <w:color w:val="000000" w:themeColor="text1"/>
          <w:szCs w:val="24"/>
        </w:rPr>
      </w:pPr>
      <w:r w:rsidRPr="004D0196">
        <w:rPr>
          <w:rFonts w:cs="Times New Roman"/>
          <w:bCs/>
          <w:color w:val="000000" w:themeColor="text1"/>
          <w:szCs w:val="24"/>
        </w:rPr>
        <w:t xml:space="preserve">Součástí mého výzkumu bude jak zasvěcení do problematiky zástavního práva z dob říše římské, </w:t>
      </w:r>
      <w:r w:rsidR="00E52D5D">
        <w:rPr>
          <w:rFonts w:cs="Times New Roman"/>
          <w:bCs/>
          <w:color w:val="000000" w:themeColor="text1"/>
          <w:szCs w:val="24"/>
        </w:rPr>
        <w:t>kde se setkáváme s odlišným pojetím zástavního práva, které mělo základ v osobním ručení dlužníka a různých druhů zástavních práv,</w:t>
      </w:r>
      <w:r w:rsidR="00CC6F7A">
        <w:rPr>
          <w:rFonts w:cs="Times New Roman"/>
          <w:bCs/>
          <w:color w:val="000000" w:themeColor="text1"/>
          <w:szCs w:val="24"/>
        </w:rPr>
        <w:t xml:space="preserve"> </w:t>
      </w:r>
      <w:r w:rsidRPr="004D0196">
        <w:rPr>
          <w:rFonts w:cs="Times New Roman"/>
          <w:bCs/>
          <w:color w:val="000000" w:themeColor="text1"/>
          <w:szCs w:val="24"/>
        </w:rPr>
        <w:t>tak moderní právní úpravy tohoto institutu.</w:t>
      </w:r>
    </w:p>
    <w:p w14:paraId="4D27B125" w14:textId="6EAB5899" w:rsidR="002E6A43" w:rsidRDefault="004D0196" w:rsidP="002E6A43">
      <w:pPr>
        <w:tabs>
          <w:tab w:val="right" w:leader="hyphen" w:pos="8820"/>
        </w:tabs>
        <w:ind w:firstLine="709"/>
        <w:rPr>
          <w:rFonts w:cs="Times New Roman"/>
          <w:bCs/>
          <w:color w:val="000000" w:themeColor="text1"/>
          <w:szCs w:val="24"/>
        </w:rPr>
      </w:pPr>
      <w:r w:rsidRPr="004D0196">
        <w:rPr>
          <w:rFonts w:cs="Times New Roman"/>
          <w:bCs/>
          <w:color w:val="000000" w:themeColor="text1"/>
          <w:szCs w:val="24"/>
        </w:rPr>
        <w:t xml:space="preserve">Ve své práci se budu </w:t>
      </w:r>
      <w:r w:rsidR="00CC6F7A">
        <w:rPr>
          <w:rFonts w:cs="Times New Roman"/>
          <w:bCs/>
          <w:color w:val="000000" w:themeColor="text1"/>
          <w:szCs w:val="24"/>
        </w:rPr>
        <w:t xml:space="preserve">dále </w:t>
      </w:r>
      <w:r w:rsidRPr="004D0196">
        <w:rPr>
          <w:rFonts w:cs="Times New Roman"/>
          <w:bCs/>
          <w:color w:val="000000" w:themeColor="text1"/>
          <w:szCs w:val="24"/>
        </w:rPr>
        <w:t>věnovat</w:t>
      </w:r>
      <w:r w:rsidR="00CC6F7A">
        <w:rPr>
          <w:rFonts w:cs="Times New Roman"/>
          <w:bCs/>
          <w:color w:val="000000" w:themeColor="text1"/>
          <w:szCs w:val="24"/>
        </w:rPr>
        <w:t xml:space="preserve"> </w:t>
      </w:r>
      <w:r w:rsidRPr="004D0196">
        <w:rPr>
          <w:rFonts w:cs="Times New Roman"/>
          <w:bCs/>
          <w:color w:val="000000" w:themeColor="text1"/>
          <w:szCs w:val="24"/>
        </w:rPr>
        <w:t xml:space="preserve">komparaci </w:t>
      </w:r>
      <w:r w:rsidR="000E3B54">
        <w:rPr>
          <w:rFonts w:cs="Times New Roman"/>
          <w:bCs/>
          <w:color w:val="000000" w:themeColor="text1"/>
          <w:szCs w:val="24"/>
        </w:rPr>
        <w:t xml:space="preserve">a rozboru </w:t>
      </w:r>
      <w:r w:rsidRPr="004D0196">
        <w:rPr>
          <w:rFonts w:cs="Times New Roman"/>
          <w:bCs/>
          <w:color w:val="000000" w:themeColor="text1"/>
          <w:szCs w:val="24"/>
        </w:rPr>
        <w:t>fragmentů</w:t>
      </w:r>
      <w:r w:rsidR="000C23B1">
        <w:rPr>
          <w:rFonts w:cs="Times New Roman"/>
          <w:bCs/>
          <w:color w:val="000000" w:themeColor="text1"/>
          <w:szCs w:val="24"/>
        </w:rPr>
        <w:t xml:space="preserve"> uvedených v pramenech. </w:t>
      </w:r>
      <w:r w:rsidR="00BA17DE">
        <w:rPr>
          <w:rFonts w:cs="Times New Roman"/>
          <w:bCs/>
          <w:color w:val="000000" w:themeColor="text1"/>
          <w:szCs w:val="24"/>
        </w:rPr>
        <w:t>Především</w:t>
      </w:r>
      <w:r w:rsidR="000C23B1">
        <w:rPr>
          <w:rFonts w:cs="Times New Roman"/>
          <w:bCs/>
          <w:color w:val="000000" w:themeColor="text1"/>
          <w:szCs w:val="24"/>
        </w:rPr>
        <w:t xml:space="preserve"> se zaměřím na</w:t>
      </w:r>
      <w:r w:rsidR="00EC124C">
        <w:rPr>
          <w:rFonts w:cs="Times New Roman"/>
          <w:bCs/>
          <w:color w:val="000000" w:themeColor="text1"/>
          <w:szCs w:val="24"/>
        </w:rPr>
        <w:t xml:space="preserve"> Corpus Iuris Civilis, což byla kodifikace římského práva vydaná císařem Justiniánem I.</w:t>
      </w:r>
      <w:r w:rsidR="00BA17DE">
        <w:rPr>
          <w:rFonts w:cs="Times New Roman"/>
          <w:bCs/>
          <w:color w:val="000000" w:themeColor="text1"/>
          <w:szCs w:val="24"/>
        </w:rPr>
        <w:t xml:space="preserve">, přičemž budu vycházet zejména z </w:t>
      </w:r>
      <w:r w:rsidR="000C23B1">
        <w:rPr>
          <w:rFonts w:cs="Times New Roman"/>
          <w:bCs/>
          <w:color w:val="000000" w:themeColor="text1"/>
          <w:szCs w:val="24"/>
        </w:rPr>
        <w:t>D</w:t>
      </w:r>
      <w:r w:rsidRPr="004D0196">
        <w:rPr>
          <w:rFonts w:cs="Times New Roman"/>
          <w:bCs/>
          <w:color w:val="000000" w:themeColor="text1"/>
          <w:szCs w:val="24"/>
        </w:rPr>
        <w:t>igest</w:t>
      </w:r>
      <w:r w:rsidR="00070C9F">
        <w:rPr>
          <w:rFonts w:cs="Times New Roman"/>
          <w:bCs/>
          <w:color w:val="000000" w:themeColor="text1"/>
          <w:szCs w:val="24"/>
        </w:rPr>
        <w:t>, což je jedno z nejrozsáhlejších zákonodárných děl</w:t>
      </w:r>
      <w:r w:rsidR="000C23B1">
        <w:rPr>
          <w:rFonts w:cs="Times New Roman"/>
          <w:bCs/>
          <w:color w:val="000000" w:themeColor="text1"/>
          <w:szCs w:val="24"/>
        </w:rPr>
        <w:t xml:space="preserve"> a dále</w:t>
      </w:r>
      <w:r w:rsidRPr="004D0196">
        <w:rPr>
          <w:rFonts w:cs="Times New Roman"/>
          <w:bCs/>
          <w:color w:val="000000" w:themeColor="text1"/>
          <w:szCs w:val="24"/>
        </w:rPr>
        <w:t xml:space="preserve"> justiniánsk</w:t>
      </w:r>
      <w:r w:rsidR="00BA17DE">
        <w:rPr>
          <w:rFonts w:cs="Times New Roman"/>
          <w:bCs/>
          <w:color w:val="000000" w:themeColor="text1"/>
          <w:szCs w:val="24"/>
        </w:rPr>
        <w:t>ých</w:t>
      </w:r>
      <w:r w:rsidRPr="004D0196">
        <w:rPr>
          <w:rFonts w:cs="Times New Roman"/>
          <w:bCs/>
          <w:color w:val="000000" w:themeColor="text1"/>
          <w:szCs w:val="24"/>
        </w:rPr>
        <w:t xml:space="preserve"> </w:t>
      </w:r>
      <w:r w:rsidR="00C67262" w:rsidRPr="00C67262">
        <w:rPr>
          <w:rFonts w:cs="Times New Roman"/>
          <w:bCs/>
          <w:szCs w:val="24"/>
        </w:rPr>
        <w:t>Instituc</w:t>
      </w:r>
      <w:r w:rsidR="00BA17DE">
        <w:rPr>
          <w:rFonts w:cs="Times New Roman"/>
          <w:bCs/>
          <w:szCs w:val="24"/>
        </w:rPr>
        <w:t>í</w:t>
      </w:r>
      <w:r w:rsidR="00070C9F">
        <w:rPr>
          <w:rFonts w:cs="Times New Roman"/>
          <w:bCs/>
          <w:szCs w:val="24"/>
        </w:rPr>
        <w:t>, kter</w:t>
      </w:r>
      <w:r w:rsidR="00BA17DE">
        <w:rPr>
          <w:rFonts w:cs="Times New Roman"/>
          <w:bCs/>
          <w:szCs w:val="24"/>
        </w:rPr>
        <w:t>á</w:t>
      </w:r>
      <w:r w:rsidR="00070C9F">
        <w:rPr>
          <w:rFonts w:cs="Times New Roman"/>
          <w:bCs/>
          <w:szCs w:val="24"/>
        </w:rPr>
        <w:t xml:space="preserve"> jsou platnou učebnicí římského práva</w:t>
      </w:r>
      <w:r w:rsidR="009455F5">
        <w:rPr>
          <w:rFonts w:cs="Times New Roman"/>
          <w:bCs/>
          <w:szCs w:val="24"/>
        </w:rPr>
        <w:t>. Tyto jednotlivé fragmenty pak budu srovnávat</w:t>
      </w:r>
      <w:r w:rsidR="00BA17DE">
        <w:rPr>
          <w:rFonts w:cs="Times New Roman"/>
          <w:bCs/>
          <w:szCs w:val="24"/>
        </w:rPr>
        <w:t xml:space="preserve"> </w:t>
      </w:r>
      <w:r w:rsidRPr="004D0196">
        <w:rPr>
          <w:rFonts w:cs="Times New Roman"/>
          <w:bCs/>
          <w:color w:val="000000" w:themeColor="text1"/>
          <w:szCs w:val="24"/>
        </w:rPr>
        <w:t xml:space="preserve">se současnou právní úpravou, abychom dostali jasný kontrast toho, jak se institut zástavního práva v průběhu let </w:t>
      </w:r>
      <w:r w:rsidR="009455F5" w:rsidRPr="004D0196">
        <w:rPr>
          <w:rFonts w:cs="Times New Roman"/>
          <w:bCs/>
          <w:color w:val="000000" w:themeColor="text1"/>
          <w:szCs w:val="24"/>
        </w:rPr>
        <w:t>vyvinul</w:t>
      </w:r>
      <w:r w:rsidR="009455F5">
        <w:rPr>
          <w:rFonts w:cs="Times New Roman"/>
          <w:bCs/>
          <w:color w:val="000000" w:themeColor="text1"/>
          <w:szCs w:val="24"/>
        </w:rPr>
        <w:t>.</w:t>
      </w:r>
    </w:p>
    <w:p w14:paraId="3C9F9052" w14:textId="212FB48F" w:rsidR="00023167" w:rsidRDefault="004D0196" w:rsidP="000C23B1">
      <w:pPr>
        <w:tabs>
          <w:tab w:val="right" w:leader="hyphen" w:pos="8820"/>
        </w:tabs>
        <w:ind w:firstLine="709"/>
        <w:rPr>
          <w:rFonts w:cs="Times New Roman"/>
          <w:bCs/>
          <w:color w:val="000000" w:themeColor="text1"/>
          <w:szCs w:val="24"/>
        </w:rPr>
      </w:pPr>
      <w:r w:rsidRPr="004D0196">
        <w:rPr>
          <w:rFonts w:cs="Times New Roman"/>
          <w:bCs/>
          <w:color w:val="000000" w:themeColor="text1"/>
          <w:szCs w:val="24"/>
        </w:rPr>
        <w:t xml:space="preserve">Stěžejním bodem mého výzkumu pak bude zejména zjistit, </w:t>
      </w:r>
      <w:r w:rsidR="00EB068C">
        <w:rPr>
          <w:rFonts w:cs="Times New Roman"/>
          <w:bCs/>
          <w:color w:val="000000" w:themeColor="text1"/>
          <w:szCs w:val="24"/>
        </w:rPr>
        <w:t xml:space="preserve">zda a </w:t>
      </w:r>
      <w:r w:rsidRPr="004D0196">
        <w:rPr>
          <w:rFonts w:cs="Times New Roman"/>
          <w:bCs/>
          <w:color w:val="000000" w:themeColor="text1"/>
          <w:szCs w:val="24"/>
        </w:rPr>
        <w:t>v čem se úprava zástavního práva z justiniánské doby liší od té současné a přijít na otázku, proč tomu tak je.</w:t>
      </w:r>
    </w:p>
    <w:p w14:paraId="7A1861DE" w14:textId="1D423EBC" w:rsidR="004D0196" w:rsidRDefault="00023167" w:rsidP="00023167">
      <w:pPr>
        <w:spacing w:after="160" w:line="259" w:lineRule="auto"/>
        <w:ind w:firstLine="0"/>
        <w:jc w:val="left"/>
        <w:rPr>
          <w:rFonts w:cs="Times New Roman"/>
          <w:bCs/>
          <w:color w:val="000000" w:themeColor="text1"/>
          <w:szCs w:val="24"/>
        </w:rPr>
      </w:pPr>
      <w:r>
        <w:rPr>
          <w:rFonts w:cs="Times New Roman"/>
          <w:bCs/>
          <w:color w:val="000000" w:themeColor="text1"/>
          <w:szCs w:val="24"/>
        </w:rPr>
        <w:br w:type="page"/>
      </w:r>
    </w:p>
    <w:p w14:paraId="03224F69" w14:textId="472FD408" w:rsidR="004D0196" w:rsidRDefault="00C74A5E" w:rsidP="00C74A5E">
      <w:pPr>
        <w:pStyle w:val="Nadpis1"/>
      </w:pPr>
      <w:bookmarkStart w:id="2" w:name="_Toc100354922"/>
      <w:r>
        <w:lastRenderedPageBreak/>
        <w:t xml:space="preserve">1 </w:t>
      </w:r>
      <w:r w:rsidR="003039E0" w:rsidRPr="0093312D">
        <w:t>K zástavnímu právu obecně</w:t>
      </w:r>
      <w:bookmarkEnd w:id="2"/>
    </w:p>
    <w:p w14:paraId="4FDD8DB1" w14:textId="7589EC01" w:rsidR="0093312D" w:rsidRPr="00C74A5E" w:rsidRDefault="00C74A5E" w:rsidP="00C74A5E">
      <w:pPr>
        <w:pStyle w:val="Nadpis2"/>
      </w:pPr>
      <w:bookmarkStart w:id="3" w:name="_Toc100354923"/>
      <w:r w:rsidRPr="00C74A5E">
        <w:t xml:space="preserve">1.1 </w:t>
      </w:r>
      <w:r w:rsidR="0093312D" w:rsidRPr="00C74A5E">
        <w:t>Vymezení základních pojmů</w:t>
      </w:r>
      <w:bookmarkEnd w:id="3"/>
    </w:p>
    <w:p w14:paraId="6A8F86DD" w14:textId="1301AE6D" w:rsidR="0093312D" w:rsidRPr="00022D7F" w:rsidRDefault="0050793F" w:rsidP="00001A70">
      <w:pPr>
        <w:ind w:firstLine="708"/>
        <w:rPr>
          <w:rFonts w:cs="Times New Roman"/>
          <w:color w:val="000000" w:themeColor="text1"/>
          <w:szCs w:val="24"/>
        </w:rPr>
      </w:pPr>
      <w:r>
        <w:rPr>
          <w:rFonts w:cs="Times New Roman"/>
          <w:szCs w:val="24"/>
        </w:rPr>
        <w:t>Pokud budeme hovořit o zástavním právu jako takovém, jedná se o věcné právo k věci cizí, přičemž toto věcné právo zvyšuje věřitelovu jistotu</w:t>
      </w:r>
      <w:r w:rsidR="00BC4A74">
        <w:rPr>
          <w:rFonts w:cs="Times New Roman"/>
          <w:szCs w:val="24"/>
        </w:rPr>
        <w:t xml:space="preserve"> k uspokojení jeho pohledávky.</w:t>
      </w:r>
      <w:r w:rsidR="00001A70">
        <w:rPr>
          <w:rFonts w:cs="Times New Roman"/>
          <w:szCs w:val="24"/>
        </w:rPr>
        <w:t xml:space="preserve"> </w:t>
      </w:r>
      <w:r w:rsidR="003B34B6">
        <w:rPr>
          <w:rFonts w:cs="Times New Roman"/>
          <w:szCs w:val="24"/>
        </w:rPr>
        <w:t>Zástavní právo</w:t>
      </w:r>
      <w:r w:rsidR="00A20018">
        <w:rPr>
          <w:rFonts w:cs="Times New Roman"/>
          <w:szCs w:val="24"/>
        </w:rPr>
        <w:t xml:space="preserve"> podle prof. Kincla </w:t>
      </w:r>
      <w:r w:rsidR="00A20018" w:rsidRPr="003F5973">
        <w:rPr>
          <w:rFonts w:cs="Times New Roman"/>
          <w:i/>
          <w:iCs/>
          <w:szCs w:val="24"/>
        </w:rPr>
        <w:t>„</w:t>
      </w:r>
      <w:r w:rsidR="003B34B6" w:rsidRPr="003F5973">
        <w:rPr>
          <w:rFonts w:cs="Times New Roman"/>
          <w:i/>
          <w:iCs/>
          <w:szCs w:val="24"/>
        </w:rPr>
        <w:t xml:space="preserve">poskytuje věřiteli té dané pohledávky, který je zde věřitelem zástavním, </w:t>
      </w:r>
      <w:r w:rsidR="00001A70" w:rsidRPr="003F5973">
        <w:rPr>
          <w:rFonts w:cs="Times New Roman"/>
          <w:i/>
          <w:iCs/>
          <w:szCs w:val="24"/>
        </w:rPr>
        <w:t>další záruku, která je spojena s určitou věcí</w:t>
      </w:r>
      <w:r w:rsidR="006B499B" w:rsidRPr="003F5973">
        <w:rPr>
          <w:rFonts w:cs="Times New Roman"/>
          <w:i/>
          <w:iCs/>
          <w:szCs w:val="24"/>
        </w:rPr>
        <w:t xml:space="preserve"> a jedná se tak o věc</w:t>
      </w:r>
      <w:r w:rsidR="00001A70" w:rsidRPr="003F5973">
        <w:rPr>
          <w:rFonts w:cs="Times New Roman"/>
          <w:i/>
          <w:iCs/>
          <w:szCs w:val="24"/>
        </w:rPr>
        <w:t xml:space="preserve"> zastavenou nebo</w:t>
      </w:r>
      <w:r w:rsidR="006B499B" w:rsidRPr="003F5973">
        <w:rPr>
          <w:rFonts w:cs="Times New Roman"/>
          <w:i/>
          <w:iCs/>
          <w:szCs w:val="24"/>
        </w:rPr>
        <w:t xml:space="preserve"> také</w:t>
      </w:r>
      <w:r w:rsidR="00001A70" w:rsidRPr="003F5973">
        <w:rPr>
          <w:rFonts w:cs="Times New Roman"/>
          <w:i/>
          <w:iCs/>
          <w:szCs w:val="24"/>
        </w:rPr>
        <w:t xml:space="preserve"> zástavu, k níž </w:t>
      </w:r>
      <w:r w:rsidR="006B499B" w:rsidRPr="003F5973">
        <w:rPr>
          <w:rFonts w:cs="Times New Roman"/>
          <w:i/>
          <w:iCs/>
          <w:szCs w:val="24"/>
        </w:rPr>
        <w:t xml:space="preserve">toto věcné </w:t>
      </w:r>
      <w:r w:rsidR="00001A70" w:rsidRPr="003F5973">
        <w:rPr>
          <w:rFonts w:cs="Times New Roman"/>
          <w:i/>
          <w:iCs/>
          <w:szCs w:val="24"/>
        </w:rPr>
        <w:t xml:space="preserve">právo </w:t>
      </w:r>
      <w:r w:rsidR="006B499B" w:rsidRPr="003F5973">
        <w:rPr>
          <w:rFonts w:cs="Times New Roman"/>
          <w:i/>
          <w:iCs/>
          <w:szCs w:val="24"/>
        </w:rPr>
        <w:t>cílí</w:t>
      </w:r>
      <w:r w:rsidR="00A20018" w:rsidRPr="003F5973">
        <w:rPr>
          <w:rFonts w:cs="Times New Roman"/>
          <w:i/>
          <w:iCs/>
          <w:szCs w:val="24"/>
        </w:rPr>
        <w:t>“</w:t>
      </w:r>
      <w:r w:rsidR="00001A70">
        <w:rPr>
          <w:rFonts w:cs="Times New Roman"/>
          <w:szCs w:val="24"/>
        </w:rPr>
        <w:t>.</w:t>
      </w:r>
      <w:r w:rsidR="003A1AF7">
        <w:rPr>
          <w:rStyle w:val="Znakapoznpodarou"/>
          <w:rFonts w:cs="Times New Roman"/>
          <w:szCs w:val="24"/>
        </w:rPr>
        <w:footnoteReference w:id="2"/>
      </w:r>
      <w:r w:rsidR="00D7726F">
        <w:rPr>
          <w:rFonts w:cs="Times New Roman"/>
          <w:szCs w:val="24"/>
        </w:rPr>
        <w:t xml:space="preserve"> </w:t>
      </w:r>
    </w:p>
    <w:p w14:paraId="5D509CB1" w14:textId="0B550047" w:rsidR="00F70429" w:rsidRPr="00022D7F" w:rsidRDefault="006B499B" w:rsidP="00001A70">
      <w:pPr>
        <w:ind w:firstLine="708"/>
        <w:rPr>
          <w:rFonts w:cs="Times New Roman"/>
          <w:color w:val="000000" w:themeColor="text1"/>
          <w:szCs w:val="24"/>
        </w:rPr>
      </w:pPr>
      <w:r>
        <w:rPr>
          <w:rFonts w:cs="Times New Roman"/>
          <w:szCs w:val="24"/>
        </w:rPr>
        <w:t xml:space="preserve">Zástavní právo </w:t>
      </w:r>
      <w:r w:rsidR="004B6622">
        <w:rPr>
          <w:rFonts w:cs="Times New Roman"/>
          <w:szCs w:val="24"/>
        </w:rPr>
        <w:t xml:space="preserve">poskytuje věřiteli zajištění jeho pohledávky tím, </w:t>
      </w:r>
      <w:r>
        <w:rPr>
          <w:rFonts w:cs="Times New Roman"/>
          <w:szCs w:val="24"/>
        </w:rPr>
        <w:t xml:space="preserve">že mu </w:t>
      </w:r>
      <w:r w:rsidR="004B6622">
        <w:rPr>
          <w:rFonts w:cs="Times New Roman"/>
          <w:szCs w:val="24"/>
        </w:rPr>
        <w:t>dává</w:t>
      </w:r>
      <w:r>
        <w:rPr>
          <w:rFonts w:cs="Times New Roman"/>
          <w:szCs w:val="24"/>
        </w:rPr>
        <w:t xml:space="preserve"> právní možnost</w:t>
      </w:r>
      <w:r w:rsidR="004B6622">
        <w:rPr>
          <w:rFonts w:cs="Times New Roman"/>
          <w:szCs w:val="24"/>
        </w:rPr>
        <w:t xml:space="preserve"> pro případ</w:t>
      </w:r>
      <w:r>
        <w:rPr>
          <w:rFonts w:cs="Times New Roman"/>
          <w:szCs w:val="24"/>
        </w:rPr>
        <w:t>,</w:t>
      </w:r>
      <w:r w:rsidR="004B6622">
        <w:rPr>
          <w:rFonts w:cs="Times New Roman"/>
          <w:szCs w:val="24"/>
        </w:rPr>
        <w:t xml:space="preserve"> že</w:t>
      </w:r>
      <w:r>
        <w:rPr>
          <w:rFonts w:cs="Times New Roman"/>
          <w:szCs w:val="24"/>
        </w:rPr>
        <w:t xml:space="preserve"> nebude </w:t>
      </w:r>
      <w:r w:rsidR="004B6622">
        <w:rPr>
          <w:rFonts w:cs="Times New Roman"/>
          <w:szCs w:val="24"/>
        </w:rPr>
        <w:t xml:space="preserve">jeho </w:t>
      </w:r>
      <w:r>
        <w:rPr>
          <w:rFonts w:cs="Times New Roman"/>
          <w:szCs w:val="24"/>
        </w:rPr>
        <w:t>pohledávka splněna, aby se pro ni uspokojil z cizího majetku</w:t>
      </w:r>
      <w:r w:rsidR="001615E6">
        <w:rPr>
          <w:rFonts w:cs="Times New Roman"/>
          <w:szCs w:val="24"/>
        </w:rPr>
        <w:t>.</w:t>
      </w:r>
      <w:r w:rsidR="001615E6">
        <w:rPr>
          <w:rStyle w:val="Znakapoznpodarou"/>
          <w:rFonts w:cs="Times New Roman"/>
          <w:szCs w:val="24"/>
        </w:rPr>
        <w:footnoteReference w:id="3"/>
      </w:r>
    </w:p>
    <w:p w14:paraId="32683F98" w14:textId="0D1C52DA" w:rsidR="00DA7D38" w:rsidRPr="00022D7F" w:rsidRDefault="00620460" w:rsidP="00001A70">
      <w:pPr>
        <w:ind w:firstLine="708"/>
        <w:rPr>
          <w:rFonts w:cs="Times New Roman"/>
          <w:color w:val="000000" w:themeColor="text1"/>
          <w:szCs w:val="24"/>
        </w:rPr>
      </w:pPr>
      <w:r>
        <w:rPr>
          <w:rFonts w:cs="Times New Roman"/>
          <w:szCs w:val="24"/>
        </w:rPr>
        <w:t xml:space="preserve">K právu zástavnímu, jakožto věcnému právu k věci cizí, neboli </w:t>
      </w:r>
      <w:r>
        <w:rPr>
          <w:rFonts w:cs="Times New Roman"/>
          <w:i/>
          <w:iCs/>
          <w:szCs w:val="24"/>
        </w:rPr>
        <w:t xml:space="preserve">ius in re </w:t>
      </w:r>
      <w:r w:rsidRPr="00F03A0A">
        <w:rPr>
          <w:rFonts w:cs="Times New Roman"/>
          <w:i/>
          <w:szCs w:val="24"/>
        </w:rPr>
        <w:t>aliena</w:t>
      </w:r>
      <w:r>
        <w:rPr>
          <w:rFonts w:cs="Times New Roman"/>
          <w:szCs w:val="24"/>
        </w:rPr>
        <w:t>, které poskyt</w:t>
      </w:r>
      <w:r w:rsidR="00F03A0A">
        <w:rPr>
          <w:rFonts w:cs="Times New Roman"/>
          <w:szCs w:val="24"/>
        </w:rPr>
        <w:t xml:space="preserve">uje věřiteli zásadní oprávnění </w:t>
      </w:r>
      <w:r>
        <w:rPr>
          <w:rFonts w:cs="Times New Roman"/>
          <w:szCs w:val="24"/>
        </w:rPr>
        <w:t>uspokojit se prodejem věci, dospěli</w:t>
      </w:r>
      <w:r w:rsidR="00861F4E">
        <w:rPr>
          <w:rFonts w:cs="Times New Roman"/>
          <w:szCs w:val="24"/>
        </w:rPr>
        <w:t xml:space="preserve"> </w:t>
      </w:r>
      <w:r>
        <w:rPr>
          <w:rFonts w:cs="Times New Roman"/>
          <w:szCs w:val="24"/>
        </w:rPr>
        <w:t xml:space="preserve">Římané </w:t>
      </w:r>
      <w:r w:rsidR="00861F4E">
        <w:rPr>
          <w:rFonts w:cs="Times New Roman"/>
          <w:szCs w:val="24"/>
        </w:rPr>
        <w:t xml:space="preserve">dle prof. Heyrovského </w:t>
      </w:r>
      <w:r>
        <w:rPr>
          <w:rFonts w:cs="Times New Roman"/>
          <w:szCs w:val="24"/>
        </w:rPr>
        <w:t>po delším vývoji, který se nachýlil ke konci až ve 2</w:t>
      </w:r>
      <w:r w:rsidR="00F14D18">
        <w:rPr>
          <w:rFonts w:cs="Times New Roman"/>
          <w:szCs w:val="24"/>
        </w:rPr>
        <w:t>.</w:t>
      </w:r>
      <w:r>
        <w:rPr>
          <w:rFonts w:cs="Times New Roman"/>
          <w:szCs w:val="24"/>
        </w:rPr>
        <w:t xml:space="preserve"> století po </w:t>
      </w:r>
      <w:r w:rsidR="00DA7D38" w:rsidRPr="00620460">
        <w:rPr>
          <w:rFonts w:cs="Times New Roman"/>
          <w:szCs w:val="24"/>
        </w:rPr>
        <w:t>K</w:t>
      </w:r>
      <w:r>
        <w:rPr>
          <w:rFonts w:cs="Times New Roman"/>
          <w:szCs w:val="24"/>
        </w:rPr>
        <w:t>r.</w:t>
      </w:r>
      <w:r w:rsidR="00861F4E">
        <w:rPr>
          <w:rFonts w:cs="Times New Roman"/>
          <w:szCs w:val="24"/>
        </w:rPr>
        <w:t>,</w:t>
      </w:r>
      <w:r w:rsidR="00DA7D38">
        <w:rPr>
          <w:rFonts w:cs="Times New Roman"/>
          <w:szCs w:val="24"/>
        </w:rPr>
        <w:t xml:space="preserve"> ba </w:t>
      </w:r>
      <w:r>
        <w:rPr>
          <w:rFonts w:cs="Times New Roman"/>
          <w:szCs w:val="24"/>
        </w:rPr>
        <w:t>dokonce až</w:t>
      </w:r>
      <w:r w:rsidR="00DA7D38">
        <w:rPr>
          <w:rFonts w:cs="Times New Roman"/>
          <w:szCs w:val="24"/>
        </w:rPr>
        <w:t xml:space="preserve"> za </w:t>
      </w:r>
      <w:r w:rsidR="000D36D4">
        <w:rPr>
          <w:rFonts w:cs="Times New Roman"/>
          <w:szCs w:val="24"/>
        </w:rPr>
        <w:t xml:space="preserve">císaře </w:t>
      </w:r>
      <w:r w:rsidR="00DA7D38">
        <w:rPr>
          <w:rFonts w:cs="Times New Roman"/>
          <w:szCs w:val="24"/>
        </w:rPr>
        <w:t>Justiniana</w:t>
      </w:r>
      <w:r w:rsidR="004B6622">
        <w:rPr>
          <w:rFonts w:cs="Times New Roman"/>
          <w:szCs w:val="24"/>
        </w:rPr>
        <w:t>,</w:t>
      </w:r>
      <w:r w:rsidR="00DA7D38">
        <w:rPr>
          <w:rStyle w:val="Znakapoznpodarou"/>
          <w:rFonts w:cs="Times New Roman"/>
          <w:szCs w:val="24"/>
        </w:rPr>
        <w:footnoteReference w:id="4"/>
      </w:r>
      <w:r w:rsidR="000D36D4">
        <w:rPr>
          <w:rFonts w:cs="Times New Roman"/>
          <w:szCs w:val="24"/>
        </w:rPr>
        <w:t xml:space="preserve"> a to konkrétně </w:t>
      </w:r>
      <w:r w:rsidR="006D6AC6">
        <w:rPr>
          <w:rFonts w:cs="Times New Roman"/>
          <w:szCs w:val="24"/>
        </w:rPr>
        <w:t>zákoníkem Digesta seu Pandectae</w:t>
      </w:r>
      <w:r w:rsidR="000D36D4">
        <w:rPr>
          <w:rFonts w:cs="Times New Roman"/>
          <w:szCs w:val="24"/>
        </w:rPr>
        <w:t>, který byl vydán</w:t>
      </w:r>
      <w:r w:rsidR="006D6AC6">
        <w:rPr>
          <w:rFonts w:cs="Times New Roman"/>
          <w:szCs w:val="24"/>
        </w:rPr>
        <w:t xml:space="preserve"> roku 533 našeho letopočtu.</w:t>
      </w:r>
      <w:r w:rsidR="006D6AC6">
        <w:rPr>
          <w:rStyle w:val="Znakapoznpodarou"/>
          <w:rFonts w:cs="Times New Roman"/>
          <w:szCs w:val="24"/>
        </w:rPr>
        <w:footnoteReference w:id="5"/>
      </w:r>
      <w:r w:rsidR="00D7726F">
        <w:rPr>
          <w:rFonts w:cs="Times New Roman"/>
          <w:szCs w:val="24"/>
        </w:rPr>
        <w:t xml:space="preserve"> </w:t>
      </w:r>
    </w:p>
    <w:p w14:paraId="293F1F91" w14:textId="57B55DBE" w:rsidR="00001A70" w:rsidRDefault="001B3B60" w:rsidP="00001A70">
      <w:pPr>
        <w:ind w:firstLine="708"/>
        <w:rPr>
          <w:rFonts w:cs="Times New Roman"/>
          <w:szCs w:val="24"/>
        </w:rPr>
      </w:pPr>
      <w:r>
        <w:rPr>
          <w:rFonts w:cs="Times New Roman"/>
          <w:szCs w:val="24"/>
        </w:rPr>
        <w:t xml:space="preserve">Podle prof. Kincla lze rozlišit osobní ručení (rukojemství) a věcné ručení (zástavní práva). </w:t>
      </w:r>
      <w:r w:rsidR="00A230A1">
        <w:rPr>
          <w:rFonts w:cs="Times New Roman"/>
          <w:szCs w:val="24"/>
        </w:rPr>
        <w:t>Svojí podstatou se zástavní právo týká nejen vztahů, které plynou z práv věcných, nýbrž i práv obligačních</w:t>
      </w:r>
      <w:r w:rsidR="00001A70">
        <w:rPr>
          <w:rFonts w:cs="Times New Roman"/>
          <w:szCs w:val="24"/>
        </w:rPr>
        <w:t>.</w:t>
      </w:r>
      <w:r w:rsidR="00A230A1">
        <w:rPr>
          <w:rFonts w:cs="Times New Roman"/>
          <w:szCs w:val="24"/>
        </w:rPr>
        <w:t xml:space="preserve"> To je také jeden z důvodů, proč jej literatura týkající se římského práva systematicky zařazuje ve dvou různých souvislost</w:t>
      </w:r>
      <w:r w:rsidR="000C6196">
        <w:rPr>
          <w:rFonts w:cs="Times New Roman"/>
          <w:szCs w:val="24"/>
        </w:rPr>
        <w:t>ech</w:t>
      </w:r>
      <w:r w:rsidR="00A230A1">
        <w:rPr>
          <w:rFonts w:cs="Times New Roman"/>
          <w:szCs w:val="24"/>
        </w:rPr>
        <w:t>.</w:t>
      </w:r>
      <w:r w:rsidR="00001A70">
        <w:rPr>
          <w:rFonts w:cs="Times New Roman"/>
          <w:szCs w:val="24"/>
        </w:rPr>
        <w:t xml:space="preserve"> </w:t>
      </w:r>
      <w:r w:rsidR="00A230A1">
        <w:rPr>
          <w:rFonts w:cs="Times New Roman"/>
          <w:szCs w:val="24"/>
        </w:rPr>
        <w:t>Pokud má být vyzdvihnut jeho význam</w:t>
      </w:r>
      <w:r w:rsidR="00A65313">
        <w:rPr>
          <w:rFonts w:cs="Times New Roman"/>
          <w:szCs w:val="24"/>
        </w:rPr>
        <w:t xml:space="preserve"> z hlediska vztahů obligačních, je o něm pojednáváno v obecné části závazkového práva jako o jednom z prostředků, které posilují zajištění obligace.</w:t>
      </w:r>
      <w:r w:rsidR="00001A70">
        <w:rPr>
          <w:rFonts w:cs="Times New Roman"/>
          <w:szCs w:val="24"/>
        </w:rPr>
        <w:t xml:space="preserve"> </w:t>
      </w:r>
      <w:r w:rsidR="00A65313">
        <w:rPr>
          <w:rFonts w:cs="Times New Roman"/>
          <w:szCs w:val="24"/>
        </w:rPr>
        <w:t>Zástavní právo by se pak mohlo ocitnout v těsné blízkosti s rukojemstvím, nicméně od tohoto jej odlišuje jeho charakter, který je věcného rázu. Díky tomuto pak lze odlišit rukojemství, které je osobní zárukou a zástavní právo, které je naopak zárukou věcnou, v rámci obligačního vztahu.</w:t>
      </w:r>
      <w:r w:rsidR="004C5388">
        <w:rPr>
          <w:rStyle w:val="Znakapoznpodarou"/>
          <w:rFonts w:cs="Times New Roman"/>
          <w:szCs w:val="24"/>
        </w:rPr>
        <w:footnoteReference w:id="6"/>
      </w:r>
      <w:r>
        <w:rPr>
          <w:rFonts w:cs="Times New Roman"/>
          <w:szCs w:val="24"/>
        </w:rPr>
        <w:t xml:space="preserve"> Podle zákona dvanácti desek byl dlužník, který nesplnil rozsudek, přiřčen do osobní moci věřitele</w:t>
      </w:r>
      <w:r w:rsidR="00595B53">
        <w:rPr>
          <w:rFonts w:cs="Times New Roman"/>
          <w:szCs w:val="24"/>
        </w:rPr>
        <w:t>,</w:t>
      </w:r>
      <w:r>
        <w:rPr>
          <w:rStyle w:val="Znakapoznpodarou"/>
          <w:rFonts w:cs="Times New Roman"/>
          <w:szCs w:val="24"/>
        </w:rPr>
        <w:footnoteReference w:id="7"/>
      </w:r>
      <w:r w:rsidR="00595B53">
        <w:rPr>
          <w:rFonts w:cs="Times New Roman"/>
          <w:szCs w:val="24"/>
        </w:rPr>
        <w:t xml:space="preserve"> na čemž lze krásně vypozorovat charakter osobního ručení.</w:t>
      </w:r>
    </w:p>
    <w:p w14:paraId="189DB690" w14:textId="79E936E8" w:rsidR="00BA4810" w:rsidRPr="005E1E93" w:rsidRDefault="00742336" w:rsidP="00CF711E">
      <w:pPr>
        <w:ind w:firstLine="708"/>
        <w:rPr>
          <w:rFonts w:cs="Times New Roman"/>
          <w:szCs w:val="24"/>
        </w:rPr>
      </w:pPr>
      <w:r>
        <w:rPr>
          <w:rFonts w:cs="Times New Roman"/>
          <w:szCs w:val="24"/>
        </w:rPr>
        <w:lastRenderedPageBreak/>
        <w:t>Ve prospěch toho, že lze zástavní právo přiřadit k právům věcným, hovoří i skutečnost, že zástavní právo poskytuje zástavnímu věřiteli oprávnění, které je srovnatelné s jinými věcnými právy.</w:t>
      </w:r>
      <w:r w:rsidR="00CF711E">
        <w:rPr>
          <w:rFonts w:cs="Times New Roman"/>
          <w:szCs w:val="24"/>
        </w:rPr>
        <w:t xml:space="preserve"> Avšak nutno</w:t>
      </w:r>
      <w:r w:rsidR="008B5195">
        <w:rPr>
          <w:rFonts w:cs="Times New Roman"/>
          <w:szCs w:val="24"/>
        </w:rPr>
        <w:t xml:space="preserve"> podotknout, že d</w:t>
      </w:r>
      <w:r w:rsidR="00921CA8">
        <w:rPr>
          <w:rFonts w:cs="Times New Roman"/>
          <w:szCs w:val="24"/>
        </w:rPr>
        <w:t>le slov prof. Kincla</w:t>
      </w:r>
      <w:r w:rsidR="00CF711E">
        <w:rPr>
          <w:rFonts w:cs="Times New Roman"/>
          <w:szCs w:val="24"/>
        </w:rPr>
        <w:t>:</w:t>
      </w:r>
      <w:r w:rsidR="00BA4810" w:rsidRPr="00921CA8">
        <w:rPr>
          <w:rFonts w:cs="Times New Roman"/>
          <w:i/>
          <w:iCs/>
          <w:szCs w:val="24"/>
        </w:rPr>
        <w:t xml:space="preserve"> </w:t>
      </w:r>
      <w:r w:rsidR="009B7044" w:rsidRPr="005E1E93">
        <w:rPr>
          <w:rFonts w:cs="Times New Roman"/>
          <w:i/>
          <w:iCs/>
          <w:szCs w:val="24"/>
        </w:rPr>
        <w:t>„C</w:t>
      </w:r>
      <w:r w:rsidR="00BA4810" w:rsidRPr="005E1E93">
        <w:rPr>
          <w:rFonts w:cs="Times New Roman"/>
          <w:i/>
          <w:iCs/>
          <w:szCs w:val="24"/>
        </w:rPr>
        <w:t>o do systematiky, není zástavní právo institutem, který by byl jednoznačný, avšak jeho věcněprávní ráz je natolik výrazný, že je potřeba o něm hovořit především jako o věcném právu k věci cizí</w:t>
      </w:r>
      <w:r w:rsidR="00F70429" w:rsidRPr="005E1E93">
        <w:rPr>
          <w:rFonts w:cs="Times New Roman"/>
          <w:i/>
          <w:iCs/>
          <w:szCs w:val="24"/>
        </w:rPr>
        <w:t>.</w:t>
      </w:r>
      <w:r w:rsidR="007770A6" w:rsidRPr="005E1E93">
        <w:rPr>
          <w:rFonts w:cs="Times New Roman"/>
          <w:i/>
          <w:iCs/>
          <w:szCs w:val="24"/>
        </w:rPr>
        <w:t>“</w:t>
      </w:r>
      <w:r w:rsidR="00DA7D38">
        <w:rPr>
          <w:rStyle w:val="Znakapoznpodarou"/>
          <w:rFonts w:cs="Times New Roman"/>
          <w:szCs w:val="24"/>
        </w:rPr>
        <w:footnoteReference w:id="8"/>
      </w:r>
      <w:r w:rsidR="00D7726F">
        <w:rPr>
          <w:rFonts w:cs="Times New Roman"/>
          <w:szCs w:val="24"/>
        </w:rPr>
        <w:t xml:space="preserve"> </w:t>
      </w:r>
    </w:p>
    <w:p w14:paraId="37AA2ECC" w14:textId="4E3F82CE" w:rsidR="00F70429" w:rsidRDefault="00A20176" w:rsidP="00F70429">
      <w:pPr>
        <w:pStyle w:val="Nadpis2"/>
      </w:pPr>
      <w:bookmarkStart w:id="4" w:name="_Toc100354924"/>
      <w:r>
        <w:t>1</w:t>
      </w:r>
      <w:r w:rsidR="00F70429">
        <w:t>.2 Funkce zástavního práva</w:t>
      </w:r>
      <w:bookmarkEnd w:id="4"/>
    </w:p>
    <w:p w14:paraId="3DD63D82" w14:textId="369EA359" w:rsidR="0091678B" w:rsidRPr="002A15FC" w:rsidRDefault="00156965" w:rsidP="0091678B">
      <w:r>
        <w:t xml:space="preserve">Dle slov prof. Blaha: </w:t>
      </w:r>
      <w:r w:rsidRPr="005E1E93">
        <w:rPr>
          <w:i/>
          <w:iCs/>
        </w:rPr>
        <w:t>„</w:t>
      </w:r>
      <w:r w:rsidR="0091678B" w:rsidRPr="005E1E93">
        <w:rPr>
          <w:i/>
          <w:iCs/>
        </w:rPr>
        <w:t>Zástavní právo</w:t>
      </w:r>
      <w:r w:rsidR="00B9780F" w:rsidRPr="005E1E93">
        <w:rPr>
          <w:i/>
          <w:iCs/>
        </w:rPr>
        <w:t xml:space="preserve"> představovalo skutečné a reálné zajištění věřitelov</w:t>
      </w:r>
      <w:r w:rsidR="00DD1577">
        <w:rPr>
          <w:i/>
          <w:iCs/>
        </w:rPr>
        <w:t>y</w:t>
      </w:r>
      <w:r w:rsidR="00B9780F" w:rsidRPr="005E1E93">
        <w:rPr>
          <w:i/>
          <w:iCs/>
        </w:rPr>
        <w:t xml:space="preserve"> pohledávky, protože nebylo závislé na budoucích majetkových poměrech zástavního dlužníka, jak tomu bylo například u rukojemství.</w:t>
      </w:r>
      <w:r w:rsidRPr="005E1E93">
        <w:rPr>
          <w:i/>
          <w:iCs/>
        </w:rPr>
        <w:t>“</w:t>
      </w:r>
      <w:r w:rsidR="00B9780F">
        <w:t xml:space="preserve"> </w:t>
      </w:r>
      <w:r w:rsidR="002A15FC">
        <w:t xml:space="preserve">Avšak </w:t>
      </w:r>
      <w:r>
        <w:t>i přesto, že se jednalo o reálné</w:t>
      </w:r>
      <w:r w:rsidR="00B9780F">
        <w:t xml:space="preserve"> zajištění </w:t>
      </w:r>
      <w:r w:rsidR="002A15FC">
        <w:t xml:space="preserve">plnilo římské zástavní právo </w:t>
      </w:r>
      <w:r w:rsidR="00A7352B">
        <w:t>dvě</w:t>
      </w:r>
      <w:r w:rsidR="002A15FC">
        <w:t xml:space="preserve"> funkce</w:t>
      </w:r>
      <w:r w:rsidR="00C14D8B">
        <w:t>, a to</w:t>
      </w:r>
      <w:r w:rsidR="0091678B">
        <w:t xml:space="preserve"> </w:t>
      </w:r>
      <w:r w:rsidR="0091678B" w:rsidRPr="009B7044">
        <w:rPr>
          <w:b/>
          <w:bCs/>
        </w:rPr>
        <w:t>uhrazovací</w:t>
      </w:r>
      <w:r w:rsidR="0091678B">
        <w:t xml:space="preserve"> nebo také realizační funkci</w:t>
      </w:r>
      <w:r w:rsidR="002A15FC">
        <w:t xml:space="preserve">, </w:t>
      </w:r>
      <w:r w:rsidR="00A7352B">
        <w:t xml:space="preserve">a </w:t>
      </w:r>
      <w:r w:rsidR="00C14D8B">
        <w:t xml:space="preserve">dále funkci </w:t>
      </w:r>
      <w:r w:rsidR="00C14D8B" w:rsidRPr="009B7044">
        <w:rPr>
          <w:b/>
          <w:bCs/>
        </w:rPr>
        <w:t>zajišťovací</w:t>
      </w:r>
      <w:r w:rsidR="002A15FC">
        <w:t>.</w:t>
      </w:r>
      <w:r w:rsidR="002A15FC">
        <w:rPr>
          <w:rStyle w:val="Znakapoznpodarou"/>
        </w:rPr>
        <w:footnoteReference w:id="9"/>
      </w:r>
    </w:p>
    <w:p w14:paraId="29BFE5E2" w14:textId="6B394112" w:rsidR="0091678B" w:rsidRDefault="0091678B" w:rsidP="0091678B">
      <w:pPr>
        <w:pStyle w:val="Nadpis3"/>
      </w:pPr>
      <w:bookmarkStart w:id="5" w:name="_Toc100354925"/>
      <w:r>
        <w:t>1.2.1</w:t>
      </w:r>
      <w:r w:rsidR="00C172F2">
        <w:t xml:space="preserve"> Zajišťovací funkce</w:t>
      </w:r>
      <w:bookmarkEnd w:id="5"/>
    </w:p>
    <w:p w14:paraId="0E8251D8" w14:textId="4741E177" w:rsidR="00C172F2" w:rsidRDefault="00BF1A7E" w:rsidP="00C172F2">
      <w:r>
        <w:t>Zajišťovací funkce zástavního práva se projevovala především v době, než pohledávka nabyla splatnosti. Přičemž fakt, že je zástavní právo věcným právem k věci cizí, poskytuje věřitelovi zajištění jeho pohledávky. Podle toho, z jakého důvodu zástavní právo vzniklo</w:t>
      </w:r>
      <w:r w:rsidR="00AD3F6F">
        <w:t>,</w:t>
      </w:r>
      <w:r w:rsidR="009B7044">
        <w:t xml:space="preserve"> </w:t>
      </w:r>
      <w:r w:rsidR="00BF3279">
        <w:t xml:space="preserve">rozlišil vývoj římského práva </w:t>
      </w:r>
      <w:r w:rsidR="00757F4A">
        <w:t>čtyři</w:t>
      </w:r>
      <w:r w:rsidR="00BF3279">
        <w:t xml:space="preserve"> základní formy</w:t>
      </w:r>
      <w:r w:rsidR="007C21E3">
        <w:t>.</w:t>
      </w:r>
      <w:r w:rsidR="00BF3279">
        <w:t xml:space="preserve"> </w:t>
      </w:r>
      <w:r w:rsidR="00551D1A">
        <w:t>O</w:t>
      </w:r>
      <w:r w:rsidR="00BF3279">
        <w:t xml:space="preserve">dlišnost </w:t>
      </w:r>
      <w:r w:rsidR="00551D1A">
        <w:t xml:space="preserve">těchto forem </w:t>
      </w:r>
      <w:r w:rsidR="00464035">
        <w:t xml:space="preserve">byla </w:t>
      </w:r>
      <w:r w:rsidR="00551D1A">
        <w:t>rozlišována</w:t>
      </w:r>
      <w:r w:rsidR="00464035">
        <w:t xml:space="preserve"> zejména v rámci </w:t>
      </w:r>
      <w:r w:rsidR="007C21E3">
        <w:t>časového období</w:t>
      </w:r>
      <w:r w:rsidR="00464035">
        <w:t xml:space="preserve">, </w:t>
      </w:r>
      <w:r w:rsidR="007C21E3">
        <w:t>ve kterém</w:t>
      </w:r>
      <w:r w:rsidR="00464035">
        <w:t xml:space="preserve"> převláda</w:t>
      </w:r>
      <w:r>
        <w:t>la zajišťovací</w:t>
      </w:r>
      <w:r w:rsidR="00464035">
        <w:t xml:space="preserve"> funkce zástavního práva</w:t>
      </w:r>
      <w:r w:rsidR="007C21E3">
        <w:t>.</w:t>
      </w:r>
      <w:r w:rsidR="00804945">
        <w:rPr>
          <w:rStyle w:val="Znakapoznpodarou"/>
        </w:rPr>
        <w:footnoteReference w:id="10"/>
      </w:r>
      <w:r w:rsidR="00464035">
        <w:t xml:space="preserve"> </w:t>
      </w:r>
    </w:p>
    <w:p w14:paraId="0A3EC8AF" w14:textId="54BFFD2A" w:rsidR="0073516B" w:rsidRDefault="004860C0" w:rsidP="00C172F2">
      <w:r>
        <w:t>Začneme tedy nejstarší formou, kterou byla</w:t>
      </w:r>
      <w:r w:rsidR="004E0E89">
        <w:t xml:space="preserve"> </w:t>
      </w:r>
      <w:r w:rsidR="004E0E89" w:rsidRPr="002B0426">
        <w:rPr>
          <w:b/>
          <w:bCs/>
          <w:i/>
          <w:iCs/>
        </w:rPr>
        <w:t>praediatur</w:t>
      </w:r>
      <w:r w:rsidR="00FC6015" w:rsidRPr="002B0426">
        <w:rPr>
          <w:b/>
          <w:bCs/>
          <w:i/>
          <w:iCs/>
        </w:rPr>
        <w:t>a</w:t>
      </w:r>
      <w:r w:rsidR="004E0E89">
        <w:t xml:space="preserve">. Tato forma se vyvinula na základě státního majetkového práva a sloužila k zajištění pohledávek </w:t>
      </w:r>
      <w:r w:rsidR="0073516B">
        <w:t xml:space="preserve">státu </w:t>
      </w:r>
      <w:r w:rsidR="004E0E89">
        <w:t>a městských obcí.</w:t>
      </w:r>
      <w:r w:rsidR="004E0951">
        <w:t xml:space="preserve"> Jednalo se t</w:t>
      </w:r>
      <w:r w:rsidR="0073516B">
        <w:t>edy</w:t>
      </w:r>
      <w:r w:rsidR="004E0951">
        <w:t xml:space="preserve"> o zajištění </w:t>
      </w:r>
      <w:r w:rsidR="0073516B">
        <w:t xml:space="preserve">pohledávek </w:t>
      </w:r>
      <w:r w:rsidR="004E0951">
        <w:t>veřejných.</w:t>
      </w:r>
      <w:r w:rsidR="0073516B">
        <w:rPr>
          <w:rStyle w:val="Znakapoznpodarou"/>
        </w:rPr>
        <w:footnoteReference w:id="11"/>
      </w:r>
    </w:p>
    <w:p w14:paraId="60E1AC4D" w14:textId="74CC02FE" w:rsidR="007C21E3" w:rsidRPr="004E0E89" w:rsidRDefault="00A33937" w:rsidP="00C172F2">
      <w:pPr>
        <w:rPr>
          <w:i/>
          <w:iCs/>
        </w:rPr>
      </w:pPr>
      <w:r>
        <w:t>Pokud bychom</w:t>
      </w:r>
      <w:r w:rsidR="004E0951">
        <w:t xml:space="preserve"> se však chtěli bavit </w:t>
      </w:r>
      <w:r w:rsidR="00332F6B">
        <w:t>o zajištění</w:t>
      </w:r>
      <w:r w:rsidR="004E0951">
        <w:t xml:space="preserve"> pohledávek</w:t>
      </w:r>
      <w:r w:rsidR="0073516B" w:rsidRPr="0073516B">
        <w:t xml:space="preserve"> </w:t>
      </w:r>
      <w:r w:rsidR="00332F6B">
        <w:t xml:space="preserve">soukromoprávní </w:t>
      </w:r>
      <w:r w:rsidR="0073516B">
        <w:t>povahy</w:t>
      </w:r>
      <w:r w:rsidR="004E0951">
        <w:t xml:space="preserve">, nabízí se nám </w:t>
      </w:r>
      <w:r w:rsidR="00C01E9C" w:rsidRPr="002B0426">
        <w:rPr>
          <w:b/>
          <w:bCs/>
          <w:i/>
          <w:iCs/>
        </w:rPr>
        <w:t>fiducia</w:t>
      </w:r>
      <w:r w:rsidR="00C01E9C">
        <w:t>, neboli</w:t>
      </w:r>
      <w:r w:rsidR="00C01E9C" w:rsidRPr="00C01E9C">
        <w:t xml:space="preserve"> </w:t>
      </w:r>
      <w:r w:rsidR="00C01E9C">
        <w:t>věrná ruka</w:t>
      </w:r>
      <w:r w:rsidR="0073516B">
        <w:t>.</w:t>
      </w:r>
      <w:r w:rsidR="0073516B">
        <w:rPr>
          <w:rStyle w:val="Znakapoznpodarou"/>
        </w:rPr>
        <w:footnoteReference w:id="12"/>
      </w:r>
      <w:r w:rsidR="0073516B">
        <w:t xml:space="preserve"> </w:t>
      </w:r>
      <w:r w:rsidR="0073516B" w:rsidRPr="0073516B">
        <w:rPr>
          <w:rStyle w:val="Znakapoznpodarou"/>
        </w:rPr>
        <w:t xml:space="preserve"> </w:t>
      </w:r>
      <w:r>
        <w:t>V podstatě se j</w:t>
      </w:r>
      <w:r w:rsidR="00C01E9C">
        <w:t>ednalo se o postoupení právní moci nad věcí, přičemž věřitel prohlašoval, že k této věci nabývá vlastnictví.</w:t>
      </w:r>
      <w:r w:rsidR="00D50816">
        <w:t xml:space="preserve"> Součástí tohoto prohlášení však bylo </w:t>
      </w:r>
      <w:r w:rsidR="008070C8">
        <w:t xml:space="preserve">také </w:t>
      </w:r>
      <w:r w:rsidR="00D50816">
        <w:t>vedlejší ujednání, že pokud bude jeho pohledávka splněna, převede věc zpět do vlastnictví dlužníka.</w:t>
      </w:r>
      <w:r w:rsidR="00D50816">
        <w:rPr>
          <w:rStyle w:val="Znakapoznpodarou"/>
        </w:rPr>
        <w:footnoteReference w:id="13"/>
      </w:r>
    </w:p>
    <w:p w14:paraId="53557A71" w14:textId="1EBC3397" w:rsidR="00C44AEB" w:rsidRPr="00022D7F" w:rsidRDefault="00C44AEB" w:rsidP="00C172F2">
      <w:pPr>
        <w:rPr>
          <w:color w:val="000000" w:themeColor="text1"/>
        </w:rPr>
      </w:pPr>
    </w:p>
    <w:p w14:paraId="0B1623E7" w14:textId="778D05A4" w:rsidR="003A0BE5" w:rsidRPr="00327587" w:rsidRDefault="00CC3C75" w:rsidP="00C172F2">
      <w:pPr>
        <w:rPr>
          <w:color w:val="000000" w:themeColor="text1"/>
        </w:rPr>
      </w:pPr>
      <w:r>
        <w:t>Jako další způsob reálného zajiš</w:t>
      </w:r>
      <w:r w:rsidR="00F31E5B">
        <w:t>t</w:t>
      </w:r>
      <w:r>
        <w:t>ění</w:t>
      </w:r>
      <w:r w:rsidR="00F31E5B">
        <w:t xml:space="preserve"> věřitele</w:t>
      </w:r>
      <w:r w:rsidR="00A53907">
        <w:t>, který následoval po fiducii</w:t>
      </w:r>
      <w:r w:rsidR="006B3383">
        <w:t xml:space="preserve"> a</w:t>
      </w:r>
      <w:r w:rsidR="00FC2BCB">
        <w:t xml:space="preserve"> </w:t>
      </w:r>
      <w:r w:rsidR="00327587">
        <w:t xml:space="preserve">v podstatě </w:t>
      </w:r>
      <w:r w:rsidR="006B3383">
        <w:t xml:space="preserve">ji </w:t>
      </w:r>
      <w:r w:rsidR="00327587">
        <w:t>nahradil</w:t>
      </w:r>
      <w:r w:rsidR="003F314A">
        <w:t>,</w:t>
      </w:r>
      <w:r w:rsidR="00F31E5B">
        <w:t xml:space="preserve"> se vyvinula zástava ruční, neboli </w:t>
      </w:r>
      <w:r w:rsidR="00F31E5B" w:rsidRPr="002B0426">
        <w:rPr>
          <w:b/>
          <w:bCs/>
          <w:i/>
          <w:iCs/>
        </w:rPr>
        <w:t>pignus</w:t>
      </w:r>
      <w:r w:rsidR="00F31E5B">
        <w:t xml:space="preserve">. </w:t>
      </w:r>
      <w:r w:rsidR="00FC2BCB">
        <w:t>Avšak</w:t>
      </w:r>
      <w:r w:rsidR="00A53907">
        <w:t xml:space="preserve"> na rozdíl od fiducie se nepřevádělo vlastnické právo, a</w:t>
      </w:r>
      <w:r w:rsidR="00AD3F6F">
        <w:t xml:space="preserve">le pouze faktická moc nad věcí, </w:t>
      </w:r>
      <w:r w:rsidR="00A53907">
        <w:t>neboli detence</w:t>
      </w:r>
      <w:r w:rsidR="00327587" w:rsidRPr="00327587">
        <w:t>.</w:t>
      </w:r>
      <w:r w:rsidR="00327587" w:rsidRPr="00327587">
        <w:rPr>
          <w:rStyle w:val="Znakapoznpodarou"/>
        </w:rPr>
        <w:footnoteReference w:id="14"/>
      </w:r>
    </w:p>
    <w:p w14:paraId="5086CEEA" w14:textId="2411377C" w:rsidR="00A7352B" w:rsidRDefault="00332F6B" w:rsidP="00C172F2">
      <w:r>
        <w:t>Odlišně</w:t>
      </w:r>
      <w:r w:rsidR="00AE2BAF">
        <w:t xml:space="preserve"> od ruční zástavy, kde bylo předpokladem vzniku </w:t>
      </w:r>
      <w:r w:rsidR="00C15A90">
        <w:t>také</w:t>
      </w:r>
      <w:r w:rsidR="00AE2BAF">
        <w:t xml:space="preserve"> odevzdání věci do detence, </w:t>
      </w:r>
      <w:r w:rsidR="00FD75AB">
        <w:t xml:space="preserve">existovala ještě </w:t>
      </w:r>
      <w:r w:rsidR="00FD75AB" w:rsidRPr="00FD75AB">
        <w:rPr>
          <w:b/>
          <w:bCs/>
          <w:i/>
          <w:iCs/>
        </w:rPr>
        <w:t>hypotheca</w:t>
      </w:r>
      <w:r w:rsidR="00FD75AB" w:rsidRPr="00FD75AB">
        <w:t>, kde</w:t>
      </w:r>
      <w:r w:rsidR="00AE2BAF">
        <w:t xml:space="preserve"> tomu tak nebylo a ke vzniku zástavního práva</w:t>
      </w:r>
      <w:r w:rsidR="001938EC">
        <w:t xml:space="preserve"> postačila pouhá smlouva</w:t>
      </w:r>
      <w:r w:rsidR="00AE2BAF">
        <w:t xml:space="preserve"> </w:t>
      </w:r>
      <w:r w:rsidR="001938EC">
        <w:t>mezi</w:t>
      </w:r>
      <w:r w:rsidR="00AE2BAF">
        <w:t xml:space="preserve"> </w:t>
      </w:r>
      <w:r w:rsidR="001938EC">
        <w:t>zástavním věřitelem a dlužníkem. Zajištění u této formy zástavy tkvělo v tom, že až v případě, kdy byl dlužník v prodlení s plněním svého dluhu, mohl věřitel požadovat vydání věci, která byla zatížena zástavním právem.</w:t>
      </w:r>
      <w:r w:rsidR="00932E9E">
        <w:rPr>
          <w:rStyle w:val="Znakapoznpodarou"/>
        </w:rPr>
        <w:footnoteReference w:id="15"/>
      </w:r>
      <w:r w:rsidR="0017782A">
        <w:t xml:space="preserve"> </w:t>
      </w:r>
    </w:p>
    <w:p w14:paraId="12C43A1D" w14:textId="5E63E9E5" w:rsidR="00C172F2" w:rsidRDefault="00932E9E" w:rsidP="00C172F2">
      <w:r>
        <w:t xml:space="preserve">Z toho tedy plyne, že </w:t>
      </w:r>
      <w:r w:rsidR="0017782A">
        <w:t xml:space="preserve">hypotekární </w:t>
      </w:r>
      <w:r>
        <w:t>zástavní právo</w:t>
      </w:r>
      <w:r w:rsidR="0017782A">
        <w:t xml:space="preserve"> má</w:t>
      </w:r>
      <w:r>
        <w:t xml:space="preserve"> jasně obligační charakter, jelikož se věc během existence dluhu nepředává do detence věřitele. </w:t>
      </w:r>
      <w:r w:rsidRPr="00932E9E">
        <w:t>Existuje tedy obligační nárok, který může případně zástavní věřitel po nesplacení uplatnit u soudu</w:t>
      </w:r>
      <w:r>
        <w:t>.</w:t>
      </w:r>
      <w:r w:rsidR="00A7352B">
        <w:t xml:space="preserve"> </w:t>
      </w:r>
    </w:p>
    <w:p w14:paraId="3A10EEC0" w14:textId="27FCC2A3" w:rsidR="00A7352B" w:rsidRPr="00022D7F" w:rsidRDefault="00A7352B" w:rsidP="00C172F2">
      <w:pPr>
        <w:rPr>
          <w:color w:val="000000" w:themeColor="text1"/>
        </w:rPr>
      </w:pPr>
    </w:p>
    <w:p w14:paraId="2C53FECC" w14:textId="1F5C462D" w:rsidR="003A0BE5" w:rsidRDefault="003A0BE5" w:rsidP="00176872">
      <w:pPr>
        <w:pStyle w:val="Nadpis3"/>
        <w:numPr>
          <w:ilvl w:val="2"/>
          <w:numId w:val="6"/>
        </w:numPr>
      </w:pPr>
      <w:bookmarkStart w:id="6" w:name="_Toc100354926"/>
      <w:r>
        <w:t>Uhrazovací funkce</w:t>
      </w:r>
      <w:bookmarkEnd w:id="6"/>
    </w:p>
    <w:p w14:paraId="45F4A7F9" w14:textId="3E2D3F83" w:rsidR="00176872" w:rsidRPr="00176872" w:rsidRDefault="007C165E" w:rsidP="00176872">
      <w:r>
        <w:t>Dle prof. Blaha</w:t>
      </w:r>
      <w:r w:rsidR="009B530B">
        <w:t xml:space="preserve"> v</w:t>
      </w:r>
      <w:r w:rsidR="00531F33">
        <w:t xml:space="preserve"> případě, že dluh </w:t>
      </w:r>
      <w:r w:rsidR="007E3CE6">
        <w:t>ze strany dlužníka nebyl splněn a zároveň ani nezanikl jiným způsobem, měl věřitel opráv</w:t>
      </w:r>
      <w:r w:rsidR="003D3C55">
        <w:t xml:space="preserve">nění poté, co se </w:t>
      </w:r>
      <w:r w:rsidR="00A40EFA">
        <w:t xml:space="preserve">jeho </w:t>
      </w:r>
      <w:r w:rsidR="003D3C55">
        <w:t>pohledávka stala splatnou</w:t>
      </w:r>
      <w:r w:rsidR="00A40EFA">
        <w:t xml:space="preserve">, uspokojit se </w:t>
      </w:r>
      <w:r w:rsidR="002E5B9F">
        <w:t>zpeněžením předmětu zástavy</w:t>
      </w:r>
      <w:r w:rsidR="003A0BE5">
        <w:t>.</w:t>
      </w:r>
      <w:r w:rsidR="002463C4">
        <w:rPr>
          <w:rStyle w:val="Znakapoznpodarou"/>
        </w:rPr>
        <w:footnoteReference w:id="16"/>
      </w:r>
      <w:r w:rsidR="004A7B41">
        <w:t xml:space="preserve"> </w:t>
      </w:r>
      <w:r w:rsidR="009C45D4">
        <w:t>Primárně byl z</w:t>
      </w:r>
      <w:r w:rsidR="003A0BE5">
        <w:t>působ tohoto uspokojení</w:t>
      </w:r>
      <w:r w:rsidR="009C45D4">
        <w:t xml:space="preserve"> </w:t>
      </w:r>
      <w:r w:rsidR="003A0BE5">
        <w:t>v římském právu</w:t>
      </w:r>
      <w:r w:rsidR="004A7B41">
        <w:t xml:space="preserve"> dle prof. Kincla</w:t>
      </w:r>
      <w:r w:rsidR="003A0BE5">
        <w:t xml:space="preserve"> závislý na </w:t>
      </w:r>
      <w:r w:rsidR="009C45D4">
        <w:t>tom, jak se strany dohodly</w:t>
      </w:r>
      <w:r w:rsidR="003A0BE5">
        <w:t xml:space="preserve">. </w:t>
      </w:r>
      <w:r w:rsidR="009C45D4">
        <w:t xml:space="preserve">Zástavní právo tak mohlo být realizováno </w:t>
      </w:r>
      <w:r w:rsidR="009C45D4" w:rsidRPr="009C45D4">
        <w:rPr>
          <w:b/>
          <w:bCs/>
        </w:rPr>
        <w:t>dvojím způsobem</w:t>
      </w:r>
      <w:r w:rsidR="009C45D4">
        <w:t>:</w:t>
      </w:r>
      <w:r w:rsidR="003A0BE5">
        <w:t xml:space="preserve"> buď</w:t>
      </w:r>
      <w:r w:rsidR="009C45D4">
        <w:t xml:space="preserve"> došlo k tomu, že</w:t>
      </w:r>
      <w:r w:rsidR="003A0BE5">
        <w:t xml:space="preserve"> si</w:t>
      </w:r>
      <w:r w:rsidR="009C45D4">
        <w:t xml:space="preserve"> zástavu</w:t>
      </w:r>
      <w:r w:rsidR="003A0BE5">
        <w:t xml:space="preserve"> věřitel </w:t>
      </w:r>
      <w:r w:rsidR="009C45D4">
        <w:t>ponechal</w:t>
      </w:r>
      <w:r w:rsidR="003A0BE5">
        <w:t xml:space="preserve">, </w:t>
      </w:r>
      <w:r w:rsidR="009C45D4">
        <w:t>tedy se jednalo o</w:t>
      </w:r>
      <w:r w:rsidR="003A0BE5">
        <w:t xml:space="preserve"> tzv. </w:t>
      </w:r>
      <w:r w:rsidR="009C45D4">
        <w:t>propadnou zástavu, přičemž</w:t>
      </w:r>
      <w:r w:rsidR="003A0BE5">
        <w:t xml:space="preserve"> úmluva o tom</w:t>
      </w:r>
      <w:r w:rsidR="009C45D4">
        <w:t>to</w:t>
      </w:r>
      <w:r w:rsidR="003A0BE5">
        <w:t xml:space="preserve"> se nazývala </w:t>
      </w:r>
      <w:r w:rsidR="003A0BE5" w:rsidRPr="002B0426">
        <w:rPr>
          <w:b/>
          <w:bCs/>
          <w:i/>
          <w:iCs/>
        </w:rPr>
        <w:t>lex commissoria</w:t>
      </w:r>
      <w:r w:rsidR="00E9097D">
        <w:t>,</w:t>
      </w:r>
      <w:r w:rsidR="00E9097D" w:rsidRPr="00E9097D">
        <w:rPr>
          <w:rStyle w:val="Znakapoznpodarou"/>
        </w:rPr>
        <w:footnoteReference w:id="17"/>
      </w:r>
      <w:r w:rsidR="003A0BE5">
        <w:t xml:space="preserve"> </w:t>
      </w:r>
      <w:r w:rsidR="009C45D4">
        <w:t>a</w:t>
      </w:r>
      <w:r w:rsidR="003A0BE5">
        <w:t>nebo bylo dohodnuto, že zástavu</w:t>
      </w:r>
      <w:r w:rsidR="009C45D4">
        <w:t xml:space="preserve"> věřitel</w:t>
      </w:r>
      <w:r w:rsidR="003A0BE5">
        <w:t xml:space="preserve"> prodá</w:t>
      </w:r>
      <w:r w:rsidR="00350438">
        <w:t xml:space="preserve">, přičemž se </w:t>
      </w:r>
      <w:r w:rsidR="005D581D">
        <w:t xml:space="preserve">tato </w:t>
      </w:r>
      <w:r w:rsidR="003A0BE5">
        <w:t xml:space="preserve">úmluva označovala jako </w:t>
      </w:r>
      <w:r w:rsidR="003A0BE5" w:rsidRPr="000919E8">
        <w:rPr>
          <w:i/>
          <w:iCs/>
        </w:rPr>
        <w:t>pactum de distrahendo</w:t>
      </w:r>
      <w:r w:rsidR="00190D70">
        <w:t>.</w:t>
      </w:r>
      <w:r w:rsidR="007F01D1">
        <w:rPr>
          <w:rStyle w:val="Znakapoznpodarou"/>
        </w:rPr>
        <w:footnoteReference w:id="18"/>
      </w:r>
      <w:r w:rsidR="003A0BE5">
        <w:t xml:space="preserve"> </w:t>
      </w:r>
      <w:r w:rsidR="00512E81">
        <w:t>Pokud věřitel věc, která byla předmětem zástavy prodal a realizoval tak uhrazovací funkci zástavního práva</w:t>
      </w:r>
      <w:r w:rsidR="000D38D5">
        <w:t>, nabyl k penězům takto utrženým vlastnict</w:t>
      </w:r>
      <w:r w:rsidR="00EC01F1">
        <w:t>v</w:t>
      </w:r>
      <w:r w:rsidR="000D38D5">
        <w:t>í</w:t>
      </w:r>
      <w:r w:rsidR="00EC01F1">
        <w:t xml:space="preserve">. Je však nutné zmínit, že pokud </w:t>
      </w:r>
      <w:r w:rsidR="00EF126E">
        <w:t>věřitel utržil zástavním prodejem částku vyšší, než kolik činila hodnota zástavy</w:t>
      </w:r>
      <w:r w:rsidR="006767C3">
        <w:t xml:space="preserve">, byl nucen přebytek, neboli </w:t>
      </w:r>
      <w:r w:rsidR="006767C3" w:rsidRPr="00D62327">
        <w:rPr>
          <w:i/>
          <w:iCs/>
        </w:rPr>
        <w:t>hyperochu</w:t>
      </w:r>
      <w:r w:rsidR="006767C3">
        <w:t xml:space="preserve">, vyplatit </w:t>
      </w:r>
      <w:r w:rsidR="00F226F0">
        <w:t>nazpět</w:t>
      </w:r>
      <w:r w:rsidR="006767C3">
        <w:t xml:space="preserve"> zástavci</w:t>
      </w:r>
      <w:r w:rsidR="00515684">
        <w:t>.</w:t>
      </w:r>
      <w:r w:rsidR="00210527">
        <w:rPr>
          <w:rStyle w:val="Znakapoznpodarou"/>
        </w:rPr>
        <w:footnoteReference w:id="19"/>
      </w:r>
      <w:r w:rsidR="00FC61BF">
        <w:t xml:space="preserve"> </w:t>
      </w:r>
    </w:p>
    <w:p w14:paraId="1924423E" w14:textId="4B04F9E9" w:rsidR="003A0BE5" w:rsidRDefault="00521F32" w:rsidP="00521F32">
      <w:pPr>
        <w:spacing w:after="160" w:line="259" w:lineRule="auto"/>
        <w:ind w:firstLine="0"/>
        <w:jc w:val="left"/>
      </w:pPr>
      <w:r>
        <w:br w:type="page"/>
      </w:r>
    </w:p>
    <w:p w14:paraId="53EAC787" w14:textId="10B6C20F" w:rsidR="00AC16B2" w:rsidRDefault="002D2632" w:rsidP="002D2632">
      <w:pPr>
        <w:pStyle w:val="Nadpis1"/>
      </w:pPr>
      <w:bookmarkStart w:id="7" w:name="_Toc100354927"/>
      <w:r>
        <w:lastRenderedPageBreak/>
        <w:t>2 Zástavní právo v římském právu</w:t>
      </w:r>
      <w:bookmarkEnd w:id="7"/>
    </w:p>
    <w:p w14:paraId="22E3D2D7" w14:textId="12D41F49" w:rsidR="002D2632" w:rsidRPr="00022D7F" w:rsidRDefault="003D6BAA" w:rsidP="002D2632">
      <w:pPr>
        <w:rPr>
          <w:color w:val="000000" w:themeColor="text1"/>
        </w:rPr>
      </w:pPr>
      <w:r>
        <w:t xml:space="preserve">Za dob římského práva </w:t>
      </w:r>
      <w:r w:rsidR="00272399">
        <w:t xml:space="preserve">existovala zástava ve čtyřech formách. </w:t>
      </w:r>
      <w:r w:rsidR="00A7352B">
        <w:t>A jak jsme si již výše řekli,</w:t>
      </w:r>
      <w:r w:rsidR="005E0F33">
        <w:t xml:space="preserve"> byla to praediatura, fiducia, pignus a hypotéka. </w:t>
      </w:r>
      <w:r w:rsidR="002D2632">
        <w:t xml:space="preserve">První </w:t>
      </w:r>
      <w:r w:rsidR="00272399">
        <w:t>z nich, která byla</w:t>
      </w:r>
      <w:r w:rsidR="002D2632">
        <w:t xml:space="preserve"> zároveň</w:t>
      </w:r>
      <w:r w:rsidR="00272399">
        <w:t xml:space="preserve"> i</w:t>
      </w:r>
      <w:r w:rsidR="002D2632">
        <w:t xml:space="preserve"> nejstarší formou</w:t>
      </w:r>
      <w:r>
        <w:t>,</w:t>
      </w:r>
      <w:r w:rsidR="002D2632">
        <w:t xml:space="preserve"> byla </w:t>
      </w:r>
      <w:r w:rsidR="002D2632" w:rsidRPr="002B0426">
        <w:rPr>
          <w:b/>
          <w:bCs/>
          <w:i/>
          <w:iCs/>
        </w:rPr>
        <w:t>praediatura</w:t>
      </w:r>
      <w:r w:rsidR="00272399">
        <w:t xml:space="preserve">, </w:t>
      </w:r>
      <w:r w:rsidR="00684FF2">
        <w:t xml:space="preserve">kterou se rozumí zástavní právo </w:t>
      </w:r>
      <w:r w:rsidR="007C4A1F">
        <w:t>obce</w:t>
      </w:r>
      <w:r w:rsidR="00684FF2">
        <w:t xml:space="preserve"> </w:t>
      </w:r>
      <w:r w:rsidR="007C4A1F">
        <w:t>či</w:t>
      </w:r>
      <w:r w:rsidR="00684FF2">
        <w:t xml:space="preserve"> </w:t>
      </w:r>
      <w:r w:rsidR="007C4A1F">
        <w:t>státu</w:t>
      </w:r>
      <w:r w:rsidR="00684FF2">
        <w:t xml:space="preserve">, zejména proti pachtýřům daní a s tím související prodej, resp. nabytí takto zastaveného </w:t>
      </w:r>
      <w:r w:rsidR="00684FF2">
        <w:rPr>
          <w:rFonts w:cs="Times New Roman"/>
        </w:rPr>
        <w:t>[zabaveného a vydraženého] pozemku.</w:t>
      </w:r>
      <w:r w:rsidR="00684FF2">
        <w:rPr>
          <w:rStyle w:val="Znakapoznpodarou"/>
          <w:rFonts w:cs="Times New Roman"/>
        </w:rPr>
        <w:footnoteReference w:id="20"/>
      </w:r>
      <w:r w:rsidR="00684FF2">
        <w:rPr>
          <w:rFonts w:cs="Times New Roman"/>
        </w:rPr>
        <w:t xml:space="preserve"> </w:t>
      </w:r>
      <w:r w:rsidR="002D2632">
        <w:t xml:space="preserve">Druhou formou byla </w:t>
      </w:r>
      <w:r w:rsidR="002D2632" w:rsidRPr="002B0426">
        <w:rPr>
          <w:b/>
          <w:bCs/>
          <w:i/>
          <w:iCs/>
        </w:rPr>
        <w:t>fiducia</w:t>
      </w:r>
      <w:r w:rsidR="002D2632">
        <w:t>, která</w:t>
      </w:r>
      <w:r w:rsidR="00CA341D">
        <w:t xml:space="preserve"> byla zejména co do způsobu realizace vývojovým předchůdcem pozdějšího zástavního práva a fakticky byla převodem vlastnického práva.</w:t>
      </w:r>
      <w:r w:rsidR="00CA341D">
        <w:rPr>
          <w:rStyle w:val="Znakapoznpodarou"/>
        </w:rPr>
        <w:footnoteReference w:id="21"/>
      </w:r>
      <w:r w:rsidR="002D2632">
        <w:t xml:space="preserve"> Třetí formou zástavy byl </w:t>
      </w:r>
      <w:r w:rsidR="002D2632" w:rsidRPr="002B0426">
        <w:rPr>
          <w:b/>
          <w:bCs/>
          <w:i/>
          <w:iCs/>
        </w:rPr>
        <w:t>pignus</w:t>
      </w:r>
      <w:r w:rsidR="002D2632">
        <w:t>,</w:t>
      </w:r>
      <w:r w:rsidR="007C4A1F">
        <w:t xml:space="preserve"> </w:t>
      </w:r>
      <w:r w:rsidR="00FF4021">
        <w:t>neboli smlouva o zástavě</w:t>
      </w:r>
      <w:r w:rsidR="00FF4021" w:rsidRPr="00FF4021">
        <w:t xml:space="preserve"> </w:t>
      </w:r>
      <w:r w:rsidR="00FF4021">
        <w:t>ruční</w:t>
      </w:r>
      <w:r w:rsidR="007C4A1F">
        <w:t>,</w:t>
      </w:r>
      <w:r w:rsidR="00FF4021">
        <w:t xml:space="preserve"> jíž dlužník věřiteli (</w:t>
      </w:r>
      <w:r w:rsidR="00FF4021" w:rsidRPr="006D3F38">
        <w:rPr>
          <w:i/>
          <w:iCs/>
        </w:rPr>
        <w:t>creditor pigneraticia</w:t>
      </w:r>
      <w:r w:rsidR="00FF4021">
        <w:t>) odevzdává hmotnou věc do detence k zajištění pohledávky.</w:t>
      </w:r>
      <w:r w:rsidR="000E1E99">
        <w:rPr>
          <w:rStyle w:val="Znakapoznpodarou"/>
        </w:rPr>
        <w:footnoteReference w:id="22"/>
      </w:r>
      <w:r w:rsidR="00FF4021">
        <w:t xml:space="preserve"> </w:t>
      </w:r>
      <w:r w:rsidR="002D2632">
        <w:t>Zástavní věřitel tedy neměl možnost zastavenou věc prodat</w:t>
      </w:r>
      <w:r w:rsidR="00CA341D">
        <w:t>, či ji jinak užívat a požívat</w:t>
      </w:r>
      <w:r w:rsidR="002D2632">
        <w:t xml:space="preserve">, mohl ji </w:t>
      </w:r>
      <w:r w:rsidR="007C4A1F">
        <w:t>pouze mít u sebe.</w:t>
      </w:r>
      <w:r w:rsidR="002D2632">
        <w:t xml:space="preserve"> Čtvrtou formou zástavy byla pak </w:t>
      </w:r>
      <w:r w:rsidR="002D2632" w:rsidRPr="002B0426">
        <w:rPr>
          <w:b/>
          <w:bCs/>
          <w:i/>
          <w:iCs/>
        </w:rPr>
        <w:t>hypotheca</w:t>
      </w:r>
      <w:r w:rsidR="002D2632">
        <w:t>,</w:t>
      </w:r>
      <w:r w:rsidR="005C4283">
        <w:t xml:space="preserve"> která byla pouhou smlouvou o zástavě, přičemž zástava zůstala ve vlastnictví i </w:t>
      </w:r>
      <w:r w:rsidR="009C1E61">
        <w:t>detenci</w:t>
      </w:r>
      <w:r w:rsidR="005C4283">
        <w:t xml:space="preserve"> dlužníka</w:t>
      </w:r>
      <w:r w:rsidR="00DE0DD7">
        <w:t>,</w:t>
      </w:r>
      <w:r w:rsidR="009C1E61">
        <w:rPr>
          <w:rStyle w:val="Znakapoznpodarou"/>
        </w:rPr>
        <w:footnoteReference w:id="23"/>
      </w:r>
      <w:r w:rsidR="008C60F7">
        <w:t xml:space="preserve"> </w:t>
      </w:r>
      <w:r w:rsidR="006C0F5F">
        <w:t>jestliže však došlo k tomu, že dlužník nesplnil splatnou pohledávku, kterou za ním měl věřitel, mohl tuto věc prodat, i když ji neměl ve své faktické moci</w:t>
      </w:r>
      <w:r w:rsidR="001C6781">
        <w:t>.</w:t>
      </w:r>
      <w:r w:rsidR="00694BC3">
        <w:rPr>
          <w:rStyle w:val="Znakapoznpodarou"/>
        </w:rPr>
        <w:footnoteReference w:id="24"/>
      </w:r>
    </w:p>
    <w:p w14:paraId="158FAD30" w14:textId="4B1C1DF9" w:rsidR="00694BC3" w:rsidRDefault="00694BC3" w:rsidP="00694BC3">
      <w:pPr>
        <w:pStyle w:val="Nadpis2"/>
      </w:pPr>
      <w:bookmarkStart w:id="8" w:name="_Toc100354928"/>
      <w:r>
        <w:t>2.1 Druhy a formy zástavy</w:t>
      </w:r>
      <w:bookmarkEnd w:id="8"/>
    </w:p>
    <w:p w14:paraId="1C572BFB" w14:textId="43B54A40" w:rsidR="00694BC3" w:rsidRDefault="00694BC3" w:rsidP="00694BC3">
      <w:pPr>
        <w:pStyle w:val="Nadpis3"/>
      </w:pPr>
      <w:bookmarkStart w:id="9" w:name="_Toc100354929"/>
      <w:r>
        <w:t xml:space="preserve">2.1.1 </w:t>
      </w:r>
      <w:r w:rsidR="006D6AC6">
        <w:t>P</w:t>
      </w:r>
      <w:r>
        <w:t>raediatura</w:t>
      </w:r>
      <w:bookmarkEnd w:id="9"/>
    </w:p>
    <w:p w14:paraId="7870506E" w14:textId="281F5A63" w:rsidR="004F5C6A" w:rsidRPr="00742857" w:rsidRDefault="003D6E90" w:rsidP="00021C71">
      <w:pPr>
        <w:rPr>
          <w:rFonts w:cs="Times New Roman"/>
        </w:rPr>
      </w:pPr>
      <w:r>
        <w:t>Prof. Heyrovský uvádí, že</w:t>
      </w:r>
      <w:r w:rsidR="00DE0DD7">
        <w:t xml:space="preserve"> </w:t>
      </w:r>
      <w:r w:rsidR="0079322A" w:rsidRPr="0079322A">
        <w:rPr>
          <w:color w:val="000000" w:themeColor="text1"/>
        </w:rPr>
        <w:t xml:space="preserve">v </w:t>
      </w:r>
      <w:r w:rsidR="002E7B05" w:rsidRPr="0079322A">
        <w:rPr>
          <w:color w:val="000000" w:themeColor="text1"/>
        </w:rPr>
        <w:t xml:space="preserve">oblasti </w:t>
      </w:r>
      <w:r w:rsidR="002E7B05">
        <w:t xml:space="preserve">státního práva majetkového došlo k vytvoření zvláštního </w:t>
      </w:r>
      <w:r w:rsidR="00860566">
        <w:t>zajištění</w:t>
      </w:r>
      <w:r w:rsidR="002E7B05">
        <w:t xml:space="preserve"> státních pohledávek, které se nazývaly </w:t>
      </w:r>
      <w:r w:rsidR="002E7B05" w:rsidRPr="005F0FB9">
        <w:rPr>
          <w:i/>
          <w:iCs/>
        </w:rPr>
        <w:t>praedibus praediisque cavere</w:t>
      </w:r>
      <w:r w:rsidR="002E7B05">
        <w:t>.</w:t>
      </w:r>
      <w:r w:rsidR="002E7B05">
        <w:rPr>
          <w:i/>
          <w:iCs/>
        </w:rPr>
        <w:t xml:space="preserve"> </w:t>
      </w:r>
      <w:r w:rsidR="00B17212">
        <w:t>Šlo o zajištění pohledávek státu či městských obcí, přičemž dlužníci dávali „do zástavy“ rukojmí (</w:t>
      </w:r>
      <w:r w:rsidR="00B17212" w:rsidRPr="005F0FB9">
        <w:rPr>
          <w:i/>
          <w:iCs/>
        </w:rPr>
        <w:t>praedes</w:t>
      </w:r>
      <w:r w:rsidR="00B17212">
        <w:t>), kteří ručili celým svým majetkem a dále pozemky (</w:t>
      </w:r>
      <w:r w:rsidR="00B17212" w:rsidRPr="005F0FB9">
        <w:rPr>
          <w:i/>
          <w:iCs/>
        </w:rPr>
        <w:t>praedia</w:t>
      </w:r>
      <w:r w:rsidR="00B17212">
        <w:t>)</w:t>
      </w:r>
      <w:r w:rsidR="00FA0EFC">
        <w:t>. Pokud nebyla pohledávka splněna</w:t>
      </w:r>
      <w:r w:rsidR="00E462F4" w:rsidRPr="00E462F4">
        <w:t xml:space="preserve"> </w:t>
      </w:r>
      <w:r w:rsidR="00E462F4">
        <w:t>včas</w:t>
      </w:r>
      <w:r w:rsidR="00FA0EFC">
        <w:t xml:space="preserve">, byl příslušný magistrát oprávněn </w:t>
      </w:r>
      <w:r w:rsidR="00FA0EFC" w:rsidRPr="005F0FB9">
        <w:rPr>
          <w:i/>
          <w:iCs/>
        </w:rPr>
        <w:t>praedes praediaque vendere</w:t>
      </w:r>
      <w:r w:rsidR="00FA0EFC">
        <w:t xml:space="preserve">, neboli měl oprávnění </w:t>
      </w:r>
      <w:r w:rsidR="00E462F4">
        <w:t xml:space="preserve">za úplatu </w:t>
      </w:r>
      <w:r w:rsidR="00FA0EFC">
        <w:t>postoupit pohledávku soukromému podnikateli (</w:t>
      </w:r>
      <w:r w:rsidR="00FA0EFC" w:rsidRPr="0053167C">
        <w:t>praediator</w:t>
      </w:r>
      <w:r w:rsidR="00FA0EFC">
        <w:t>)</w:t>
      </w:r>
      <w:r w:rsidR="00684FF2">
        <w:t xml:space="preserve">, </w:t>
      </w:r>
      <w:r w:rsidR="00E462F4">
        <w:t>jejíž součástí byl majetek ručitelů a dále mu bylo propůjčeno vlastnictví zastavených pozemků</w:t>
      </w:r>
      <w:r w:rsidR="00684FF2">
        <w:t xml:space="preserve">. </w:t>
      </w:r>
      <w:r w:rsidR="00081701">
        <w:t>Pokud však došlo k uspokojení postoupené pohledávky, byl praediator povinen převést vlastnictví pozemků na předchozího vlastníka. Původní vlastník pak mohl</w:t>
      </w:r>
      <w:r w:rsidR="00684FF2">
        <w:t xml:space="preserve"> </w:t>
      </w:r>
      <w:r w:rsidR="00081701">
        <w:t>vydržet vlastnictví pozemku zpět, a to ve dvouleté vydržecí době.</w:t>
      </w:r>
      <w:r w:rsidR="00254B5B">
        <w:rPr>
          <w:rStyle w:val="Znakapoznpodarou"/>
        </w:rPr>
        <w:footnoteReference w:id="25"/>
      </w:r>
      <w:r w:rsidR="00081701">
        <w:t xml:space="preserve"> </w:t>
      </w:r>
    </w:p>
    <w:p w14:paraId="6226880D" w14:textId="7954D7A3" w:rsidR="006D6AC6" w:rsidRDefault="006D6AC6" w:rsidP="006D6AC6">
      <w:pPr>
        <w:pStyle w:val="Nadpis3"/>
      </w:pPr>
      <w:bookmarkStart w:id="10" w:name="_Toc100354930"/>
      <w:r>
        <w:lastRenderedPageBreak/>
        <w:t>2.1.2 Fiducia</w:t>
      </w:r>
      <w:bookmarkEnd w:id="10"/>
    </w:p>
    <w:p w14:paraId="609950EF" w14:textId="0052895D" w:rsidR="00AC16B2" w:rsidRPr="00022D7F" w:rsidRDefault="00FD5787" w:rsidP="00390255">
      <w:pPr>
        <w:rPr>
          <w:color w:val="000000" w:themeColor="text1"/>
        </w:rPr>
      </w:pPr>
      <w:r>
        <w:t>Jelikož původní římské právo zá</w:t>
      </w:r>
      <w:r w:rsidR="00AD3F6F">
        <w:t>stavní právo jako takové</w:t>
      </w:r>
      <w:r>
        <w:t xml:space="preserve"> ještě neznalo</w:t>
      </w:r>
      <w:r w:rsidR="00AD21D7">
        <w:t>, byla jeho funkce plněna institutem fiducie, neboli fiduciárním</w:t>
      </w:r>
      <w:r w:rsidR="003D6E90">
        <w:rPr>
          <w:rStyle w:val="Znakapoznpodarou"/>
        </w:rPr>
        <w:footnoteReference w:id="26"/>
      </w:r>
      <w:r w:rsidR="00AD21D7">
        <w:t xml:space="preserve"> převodem vlastnického práva</w:t>
      </w:r>
      <w:r w:rsidR="00B801E5">
        <w:t>. Jednalo se o dohodu</w:t>
      </w:r>
      <w:r w:rsidR="006226D2">
        <w:t xml:space="preserve"> </w:t>
      </w:r>
      <w:r w:rsidR="006226D2" w:rsidRPr="00AD21D7">
        <w:rPr>
          <w:b/>
          <w:bCs/>
        </w:rPr>
        <w:t>věřitele</w:t>
      </w:r>
      <w:r w:rsidR="00AD21D7">
        <w:t xml:space="preserve"> (</w:t>
      </w:r>
      <w:r w:rsidR="006226D2" w:rsidRPr="00AD21D7">
        <w:t>fiduciáře</w:t>
      </w:r>
      <w:r w:rsidR="00AD21D7">
        <w:t>)</w:t>
      </w:r>
      <w:r w:rsidR="006226D2">
        <w:t xml:space="preserve"> a </w:t>
      </w:r>
      <w:r w:rsidR="006226D2" w:rsidRPr="00AD21D7">
        <w:rPr>
          <w:b/>
          <w:bCs/>
        </w:rPr>
        <w:t>dlužníka</w:t>
      </w:r>
      <w:r w:rsidR="006226D2">
        <w:t xml:space="preserve"> </w:t>
      </w:r>
      <w:r w:rsidR="00AD21D7">
        <w:t>(</w:t>
      </w:r>
      <w:r w:rsidR="006226D2" w:rsidRPr="00AD21D7">
        <w:t>fiducianta</w:t>
      </w:r>
      <w:r w:rsidR="00AD21D7">
        <w:t>),</w:t>
      </w:r>
      <w:r w:rsidR="006226D2">
        <w:t xml:space="preserve"> že bude ve</w:t>
      </w:r>
      <w:r w:rsidR="00B801E5">
        <w:t xml:space="preserve"> věřitelův</w:t>
      </w:r>
      <w:r w:rsidR="006226D2">
        <w:t xml:space="preserve"> prospěch převedeno vlastnické právo k věci dlužníka</w:t>
      </w:r>
      <w:r w:rsidR="00AD21D7">
        <w:t>, či někoho jiného</w:t>
      </w:r>
      <w:r w:rsidR="006226D2">
        <w:t>.</w:t>
      </w:r>
      <w:r w:rsidR="00476073">
        <w:rPr>
          <w:rStyle w:val="Znakapoznpodarou"/>
        </w:rPr>
        <w:footnoteReference w:id="27"/>
      </w:r>
      <w:r w:rsidR="00476073">
        <w:t xml:space="preserve"> Formou převodu mohla být </w:t>
      </w:r>
      <w:r w:rsidR="000A4619">
        <w:t xml:space="preserve">buď </w:t>
      </w:r>
      <w:r w:rsidR="000A4619" w:rsidRPr="005F0FB9">
        <w:rPr>
          <w:i/>
          <w:iCs/>
        </w:rPr>
        <w:t>injurecesse</w:t>
      </w:r>
      <w:r w:rsidR="004D64E0">
        <w:rPr>
          <w:rStyle w:val="Znakapoznpodarou"/>
        </w:rPr>
        <w:footnoteReference w:id="28"/>
      </w:r>
      <w:r w:rsidR="000A4619">
        <w:t xml:space="preserve"> nebo </w:t>
      </w:r>
      <w:r w:rsidR="00476073" w:rsidRPr="005F0FB9">
        <w:rPr>
          <w:i/>
          <w:iCs/>
        </w:rPr>
        <w:t>mancipace</w:t>
      </w:r>
      <w:r w:rsidR="00476073">
        <w:t>.</w:t>
      </w:r>
      <w:r w:rsidR="005902ED">
        <w:rPr>
          <w:rStyle w:val="Znakapoznpodarou"/>
        </w:rPr>
        <w:footnoteReference w:id="29"/>
      </w:r>
      <w:r w:rsidR="00476073">
        <w:t xml:space="preserve"> </w:t>
      </w:r>
      <w:r w:rsidR="000A4619">
        <w:t>Fiducia poskytovala věřiteli záruku v té nejvyšší míře, jelikož nabýval vlastnictví k věci, která byla zajištěním splnění pohledávky.</w:t>
      </w:r>
      <w:r w:rsidR="00476073">
        <w:rPr>
          <w:rStyle w:val="Znakapoznpodarou"/>
        </w:rPr>
        <w:footnoteReference w:id="30"/>
      </w:r>
      <w:r w:rsidR="006226D2">
        <w:t xml:space="preserve"> </w:t>
      </w:r>
      <w:r w:rsidR="000A4619">
        <w:t xml:space="preserve">Nejednalo se však o trvalý či konečný převod vlastnického práva. V podstatě se jednalo o jakési důvěrnictví věřitele vůči tomu, kdo zřizoval zástavu. </w:t>
      </w:r>
      <w:r w:rsidR="004374E4">
        <w:t>Při fiduciárním převodu vlastnického práva byl</w:t>
      </w:r>
      <w:r w:rsidR="00D70CE8">
        <w:t xml:space="preserve"> dohodou (</w:t>
      </w:r>
      <w:r w:rsidR="00D70CE8" w:rsidRPr="0031239F">
        <w:rPr>
          <w:i/>
          <w:iCs/>
        </w:rPr>
        <w:t>pactum fiduciae</w:t>
      </w:r>
      <w:r w:rsidR="00D70CE8">
        <w:t>)</w:t>
      </w:r>
      <w:r w:rsidR="004374E4">
        <w:t xml:space="preserve"> sjednáván závazek fiduciáře, že bude-li splněna pohledávka, která je předmětem fiducie, převede věc zpět na fiducianta. Z počátku se jednalo spíše o morální závazek</w:t>
      </w:r>
      <w:r w:rsidR="008F66EA">
        <w:t>, nicméně později se tento závazek stal i právně vynutitelným. Předmětem závazku</w:t>
      </w:r>
      <w:r w:rsidR="003D6E90">
        <w:t xml:space="preserve"> </w:t>
      </w:r>
      <w:r w:rsidR="008F66EA">
        <w:t>při fiduciá</w:t>
      </w:r>
      <w:r w:rsidR="003D6E90">
        <w:t>rním převodu vlastnického práva</w:t>
      </w:r>
      <w:r w:rsidR="008F66EA">
        <w:t xml:space="preserve"> byl</w:t>
      </w:r>
      <w:r w:rsidR="00764470">
        <w:t>a</w:t>
      </w:r>
      <w:r w:rsidR="008F66EA">
        <w:t xml:space="preserve"> i </w:t>
      </w:r>
      <w:r w:rsidR="00866F62">
        <w:t>dohoda</w:t>
      </w:r>
      <w:r w:rsidR="008F66EA">
        <w:t>, jak</w:t>
      </w:r>
      <w:r w:rsidR="00346366">
        <w:t>ým způsobem</w:t>
      </w:r>
      <w:r w:rsidR="008F66EA">
        <w:t xml:space="preserve"> fiduciář naloží s věcí, která byla předmětem převodu pro případ, že nebude pohledávka řádně a včas splněna.</w:t>
      </w:r>
      <w:r w:rsidR="00346366" w:rsidRPr="00346366">
        <w:rPr>
          <w:rStyle w:val="Znakapoznpodarou"/>
        </w:rPr>
        <w:t xml:space="preserve"> </w:t>
      </w:r>
      <w:r w:rsidR="00346366">
        <w:rPr>
          <w:rStyle w:val="Znakapoznpodarou"/>
        </w:rPr>
        <w:footnoteReference w:id="31"/>
      </w:r>
      <w:r w:rsidR="00764470">
        <w:t xml:space="preserve"> Strany se mohly dohodnout, že pokud nebude pohledávka řádně a včas splněna, stane se převod trvalým (</w:t>
      </w:r>
      <w:r w:rsidR="00764470" w:rsidRPr="0042363D">
        <w:rPr>
          <w:i/>
          <w:iCs/>
        </w:rPr>
        <w:t>lex commissoria</w:t>
      </w:r>
      <w:r w:rsidR="00764470">
        <w:t>)</w:t>
      </w:r>
      <w:r w:rsidR="00346366">
        <w:t>, či uzavíraly dohodu o prodeji zástavy (</w:t>
      </w:r>
      <w:r w:rsidR="00346366" w:rsidRPr="0042363D">
        <w:rPr>
          <w:i/>
          <w:iCs/>
        </w:rPr>
        <w:t>pactum de vendento</w:t>
      </w:r>
      <w:r w:rsidR="00346366">
        <w:t>) s tím, že se fiduciář uspokojí z výtěžku prodeje.</w:t>
      </w:r>
      <w:r w:rsidR="00346366">
        <w:rPr>
          <w:rStyle w:val="Znakapoznpodarou"/>
        </w:rPr>
        <w:footnoteReference w:id="32"/>
      </w:r>
      <w:r w:rsidR="008F66EA">
        <w:t xml:space="preserve"> </w:t>
      </w:r>
      <w:r w:rsidR="003E54A5">
        <w:t xml:space="preserve">Přebytek z utržených peněž, neboli </w:t>
      </w:r>
      <w:r w:rsidR="003E54A5" w:rsidRPr="00205748">
        <w:rPr>
          <w:i/>
          <w:iCs/>
        </w:rPr>
        <w:t>hyperocha</w:t>
      </w:r>
      <w:r w:rsidR="003E54A5">
        <w:t>, však byla vyplacena fiduciantovi.</w:t>
      </w:r>
      <w:r w:rsidR="003E54A5">
        <w:rPr>
          <w:rStyle w:val="Znakapoznpodarou"/>
        </w:rPr>
        <w:footnoteReference w:id="33"/>
      </w:r>
      <w:r w:rsidR="008C60F7">
        <w:t xml:space="preserve"> </w:t>
      </w:r>
    </w:p>
    <w:p w14:paraId="448EA5A7" w14:textId="20905D2C" w:rsidR="00C172F2" w:rsidRDefault="00390255" w:rsidP="00390255">
      <w:pPr>
        <w:pStyle w:val="Nadpis3"/>
      </w:pPr>
      <w:bookmarkStart w:id="11" w:name="_Toc100354931"/>
      <w:r>
        <w:lastRenderedPageBreak/>
        <w:t>2.1.3 Pignus</w:t>
      </w:r>
      <w:bookmarkEnd w:id="11"/>
    </w:p>
    <w:p w14:paraId="46367537" w14:textId="0A0A6825" w:rsidR="00390255" w:rsidRPr="00CD1C8E" w:rsidRDefault="00FD0B3F" w:rsidP="00390255">
      <w:r>
        <w:t>Vedle fiduciárního převodu</w:t>
      </w:r>
      <w:r w:rsidR="00157D89">
        <w:t xml:space="preserve"> se za dob republiky (5. – 1. stol. př. n. l.) vyvinul jako druhý způsob reálného zajištění</w:t>
      </w:r>
      <w:r w:rsidR="00390255">
        <w:t xml:space="preserve">, </w:t>
      </w:r>
      <w:r w:rsidR="006814D6">
        <w:t>kterým byl</w:t>
      </w:r>
      <w:r w:rsidR="00390255">
        <w:t xml:space="preserve"> </w:t>
      </w:r>
      <w:r w:rsidR="00390255" w:rsidRPr="00B14AAF">
        <w:rPr>
          <w:b/>
          <w:bCs/>
          <w:i/>
          <w:iCs/>
        </w:rPr>
        <w:t>pignus</w:t>
      </w:r>
      <w:r w:rsidR="006D4EC8">
        <w:rPr>
          <w:b/>
          <w:bCs/>
        </w:rPr>
        <w:t>,</w:t>
      </w:r>
      <w:r w:rsidR="008721E8">
        <w:rPr>
          <w:rStyle w:val="Znakapoznpodarou"/>
        </w:rPr>
        <w:footnoteReference w:id="34"/>
      </w:r>
      <w:r w:rsidR="006D4EC8">
        <w:t>neboli zástava ruční</w:t>
      </w:r>
      <w:r w:rsidR="0003296B" w:rsidRPr="0003296B">
        <w:t>.</w:t>
      </w:r>
      <w:r w:rsidR="00401393">
        <w:rPr>
          <w:rStyle w:val="Znakapoznpodarou"/>
        </w:rPr>
        <w:footnoteReference w:id="35"/>
      </w:r>
      <w:r w:rsidR="001E1874">
        <w:t xml:space="preserve"> </w:t>
      </w:r>
      <w:r w:rsidR="00DE248B">
        <w:t>Prof. Tureček o pignu tvrdí, že</w:t>
      </w:r>
      <w:r w:rsidR="00DE248B" w:rsidRPr="00796957">
        <w:t xml:space="preserve">: </w:t>
      </w:r>
      <w:r w:rsidR="00DE248B" w:rsidRPr="00742857">
        <w:rPr>
          <w:i/>
          <w:iCs/>
        </w:rPr>
        <w:t>„</w:t>
      </w:r>
      <w:r w:rsidR="00BF2314" w:rsidRPr="00742857">
        <w:rPr>
          <w:i/>
          <w:iCs/>
        </w:rPr>
        <w:t>dlužník prostě odevzdal věřiteli věc k zajištěn</w:t>
      </w:r>
      <w:r w:rsidR="00D1096C" w:rsidRPr="00742857">
        <w:rPr>
          <w:i/>
          <w:iCs/>
        </w:rPr>
        <w:t>í</w:t>
      </w:r>
      <w:r w:rsidR="00BF2314" w:rsidRPr="00742857">
        <w:rPr>
          <w:i/>
          <w:iCs/>
        </w:rPr>
        <w:t xml:space="preserve"> pohledávky s neformální úmluvou</w:t>
      </w:r>
      <w:r w:rsidR="001C0836" w:rsidRPr="00742857">
        <w:rPr>
          <w:i/>
          <w:iCs/>
        </w:rPr>
        <w:t>, že mu věc po splnění bude vrácena</w:t>
      </w:r>
      <w:r w:rsidR="00A81E78" w:rsidRPr="00742857">
        <w:rPr>
          <w:i/>
          <w:iCs/>
        </w:rPr>
        <w:t>.</w:t>
      </w:r>
      <w:r w:rsidR="00413174" w:rsidRPr="00742857">
        <w:rPr>
          <w:i/>
          <w:iCs/>
        </w:rPr>
        <w:t>“</w:t>
      </w:r>
      <w:r w:rsidR="00A81E78">
        <w:rPr>
          <w:rStyle w:val="Znakapoznpodarou"/>
        </w:rPr>
        <w:footnoteReference w:id="36"/>
      </w:r>
      <w:r w:rsidR="00DE248B">
        <w:t xml:space="preserve"> </w:t>
      </w:r>
      <w:r w:rsidR="00F578CF">
        <w:t>To dle slov prof. Blaha p</w:t>
      </w:r>
      <w:r w:rsidR="00401393">
        <w:t>ojmově znamenalo</w:t>
      </w:r>
      <w:r w:rsidR="0026148B">
        <w:t>, že ruční zástava</w:t>
      </w:r>
      <w:r w:rsidR="00F578CF">
        <w:t xml:space="preserve"> (jako věcněprávní vztah)</w:t>
      </w:r>
      <w:r w:rsidR="00901079">
        <w:t xml:space="preserve"> bylo garanční, neboli zajišťovac</w:t>
      </w:r>
      <w:r w:rsidR="001C11BD">
        <w:t>í věcné právo k věci cizí</w:t>
      </w:r>
      <w:r w:rsidR="004666A5">
        <w:t>.</w:t>
      </w:r>
      <w:r w:rsidR="001C11BD">
        <w:t xml:space="preserve"> </w:t>
      </w:r>
      <w:r w:rsidR="004666A5">
        <w:t>Toto právo</w:t>
      </w:r>
      <w:r w:rsidR="001C11BD">
        <w:t xml:space="preserve"> umožňovalo zajištění věřitelov</w:t>
      </w:r>
      <w:r w:rsidR="008B139B">
        <w:t>y</w:t>
      </w:r>
      <w:r w:rsidR="001C11BD">
        <w:t xml:space="preserve"> pohledávky</w:t>
      </w:r>
      <w:r w:rsidR="004666A5">
        <w:t xml:space="preserve"> tím, že byla </w:t>
      </w:r>
      <w:r w:rsidR="006C2DE8">
        <w:t xml:space="preserve">z dlužníka na věřitele </w:t>
      </w:r>
      <w:r w:rsidR="004666A5">
        <w:t xml:space="preserve">převedena </w:t>
      </w:r>
      <w:r w:rsidR="0003296B">
        <w:t>faktická moc</w:t>
      </w:r>
      <w:r w:rsidR="00CD3C7B">
        <w:t xml:space="preserve"> (detence) nad </w:t>
      </w:r>
      <w:r w:rsidR="006C2DE8">
        <w:t> předmět</w:t>
      </w:r>
      <w:r w:rsidR="00CD3C7B">
        <w:t>em</w:t>
      </w:r>
      <w:r w:rsidR="006C2DE8">
        <w:t xml:space="preserve"> zástavního práva</w:t>
      </w:r>
      <w:r w:rsidR="00983045">
        <w:t xml:space="preserve"> s</w:t>
      </w:r>
      <w:r w:rsidR="00773009">
        <w:t> </w:t>
      </w:r>
      <w:r w:rsidR="00983045">
        <w:t>cílem</w:t>
      </w:r>
      <w:r w:rsidR="00773009">
        <w:t xml:space="preserve">, aby byla uspokojena </w:t>
      </w:r>
      <w:r w:rsidR="00346E36">
        <w:t>pohledávka zástavního věřitele.</w:t>
      </w:r>
      <w:r w:rsidR="006108A4">
        <w:rPr>
          <w:rStyle w:val="Znakapoznpodarou"/>
        </w:rPr>
        <w:footnoteReference w:id="37"/>
      </w:r>
      <w:r w:rsidR="00773009">
        <w:t xml:space="preserve"> </w:t>
      </w:r>
      <w:r w:rsidR="006108A4">
        <w:t>Zástavnímu věřiteli tak byla ponechána pouhá odvozená držba zastavené věci.</w:t>
      </w:r>
      <w:r w:rsidR="004870E8">
        <w:rPr>
          <w:rStyle w:val="Znakapoznpodarou"/>
        </w:rPr>
        <w:footnoteReference w:id="38"/>
      </w:r>
      <w:r w:rsidR="00FD6DE7">
        <w:t xml:space="preserve"> </w:t>
      </w:r>
      <w:r w:rsidR="00D35F53">
        <w:t>U ruční zástavy</w:t>
      </w:r>
      <w:r w:rsidR="004870E8">
        <w:t xml:space="preserve"> </w:t>
      </w:r>
      <w:r w:rsidR="00D35F53">
        <w:t>na rozdíl od fiducie nedocházelo k převodu vlastnického práva</w:t>
      </w:r>
      <w:r w:rsidR="00725ED7">
        <w:t xml:space="preserve"> a </w:t>
      </w:r>
      <w:r w:rsidR="00BD0416">
        <w:t xml:space="preserve">zástavní dlužník tak byl </w:t>
      </w:r>
      <w:r w:rsidR="00F15799">
        <w:t xml:space="preserve">také </w:t>
      </w:r>
      <w:r w:rsidR="00BD0416">
        <w:t xml:space="preserve">chráněn </w:t>
      </w:r>
      <w:r w:rsidR="00691F34">
        <w:t>v případě, kdy svůj závazek vůči věřiteli splnil</w:t>
      </w:r>
      <w:r w:rsidR="007B4E6C">
        <w:t>.</w:t>
      </w:r>
      <w:r w:rsidR="00090352">
        <w:t xml:space="preserve"> </w:t>
      </w:r>
      <w:r w:rsidR="000C0C1C">
        <w:t xml:space="preserve">Ochrana byla poskytována </w:t>
      </w:r>
      <w:r w:rsidR="00305072">
        <w:t xml:space="preserve">konkrétně </w:t>
      </w:r>
      <w:r w:rsidR="00090352">
        <w:t>na zá</w:t>
      </w:r>
      <w:r w:rsidR="00FB06C9">
        <w:t xml:space="preserve">kladě </w:t>
      </w:r>
      <w:r w:rsidR="00C87CD4">
        <w:t xml:space="preserve">žaloby </w:t>
      </w:r>
      <w:r w:rsidR="004870E8" w:rsidRPr="00B14AAF">
        <w:rPr>
          <w:i/>
          <w:iCs/>
        </w:rPr>
        <w:t>a</w:t>
      </w:r>
      <w:r w:rsidR="00FB06C9" w:rsidRPr="00B14AAF">
        <w:rPr>
          <w:i/>
          <w:iCs/>
        </w:rPr>
        <w:t>ctio pigneraticia in personam directa</w:t>
      </w:r>
      <w:r w:rsidR="00F637A9">
        <w:t xml:space="preserve">, přičemž zájmy věřitele </w:t>
      </w:r>
      <w:r w:rsidR="008E0DA4">
        <w:t xml:space="preserve">naopak </w:t>
      </w:r>
      <w:r w:rsidR="00F637A9">
        <w:t xml:space="preserve">chránila </w:t>
      </w:r>
      <w:r w:rsidR="00FD34C3" w:rsidRPr="00B14AAF">
        <w:rPr>
          <w:i/>
          <w:iCs/>
        </w:rPr>
        <w:t>actio pigneraticia contrari</w:t>
      </w:r>
      <w:r w:rsidR="006E2D6E" w:rsidRPr="00B14AAF">
        <w:rPr>
          <w:i/>
          <w:iCs/>
        </w:rPr>
        <w:t>a</w:t>
      </w:r>
      <w:r w:rsidR="00FD34C3">
        <w:t>.</w:t>
      </w:r>
      <w:r w:rsidR="00C87CD4">
        <w:rPr>
          <w:rStyle w:val="Znakapoznpodarou"/>
        </w:rPr>
        <w:footnoteReference w:id="39"/>
      </w:r>
      <w:r w:rsidR="006108A4">
        <w:t xml:space="preserve"> </w:t>
      </w:r>
      <w:r w:rsidR="00A82D39">
        <w:t xml:space="preserve">Praetor </w:t>
      </w:r>
      <w:r w:rsidR="00C87CD4">
        <w:t xml:space="preserve">dále </w:t>
      </w:r>
      <w:r w:rsidR="00CB086E">
        <w:t>poskytoval</w:t>
      </w:r>
      <w:r w:rsidR="002F0A73">
        <w:t xml:space="preserve"> ochr</w:t>
      </w:r>
      <w:r w:rsidR="00477F84">
        <w:t>a</w:t>
      </w:r>
      <w:r w:rsidR="002F0A73">
        <w:t>nu takovéto</w:t>
      </w:r>
      <w:r w:rsidR="00CB086E">
        <w:t xml:space="preserve"> </w:t>
      </w:r>
      <w:r w:rsidR="00477F84">
        <w:t>detence drženími interdikty</w:t>
      </w:r>
      <w:r w:rsidR="00975F0C">
        <w:t xml:space="preserve"> (rozkazy)</w:t>
      </w:r>
      <w:r w:rsidR="00050C45">
        <w:t>, jinak zvané jako</w:t>
      </w:r>
      <w:r w:rsidR="00477F84">
        <w:t xml:space="preserve"> </w:t>
      </w:r>
      <w:r w:rsidR="001E1874" w:rsidRPr="00423522">
        <w:rPr>
          <w:b/>
          <w:bCs/>
        </w:rPr>
        <w:t>praetorsk</w:t>
      </w:r>
      <w:r w:rsidR="00050C45">
        <w:rPr>
          <w:b/>
          <w:bCs/>
        </w:rPr>
        <w:t>é</w:t>
      </w:r>
      <w:r w:rsidR="001E1874" w:rsidRPr="00423522">
        <w:rPr>
          <w:b/>
          <w:bCs/>
        </w:rPr>
        <w:t xml:space="preserve"> držební interdiky</w:t>
      </w:r>
      <w:r w:rsidR="00C45C06">
        <w:t>.</w:t>
      </w:r>
      <w:r w:rsidR="001E1874">
        <w:t xml:space="preserve"> </w:t>
      </w:r>
      <w:r w:rsidR="00870465">
        <w:t xml:space="preserve">Prof. Tureček o interdiktech píše, že: </w:t>
      </w:r>
      <w:r w:rsidR="00BB717B" w:rsidRPr="00742857">
        <w:rPr>
          <w:i/>
          <w:iCs/>
        </w:rPr>
        <w:t>„</w:t>
      </w:r>
      <w:r w:rsidR="00FA7031" w:rsidRPr="00742857">
        <w:rPr>
          <w:i/>
          <w:iCs/>
        </w:rPr>
        <w:t>Rozkazy</w:t>
      </w:r>
      <w:r w:rsidR="00257247" w:rsidRPr="00742857">
        <w:rPr>
          <w:i/>
          <w:iCs/>
        </w:rPr>
        <w:t xml:space="preserve"> </w:t>
      </w:r>
      <w:r w:rsidR="005563E5" w:rsidRPr="00742857">
        <w:rPr>
          <w:i/>
          <w:iCs/>
        </w:rPr>
        <w:t>byly prozatímní – nerozhodovaly</w:t>
      </w:r>
      <w:r w:rsidR="00E81EDE" w:rsidRPr="00742857">
        <w:rPr>
          <w:i/>
          <w:iCs/>
        </w:rPr>
        <w:t xml:space="preserve"> spory o práva (spory petitorní)</w:t>
      </w:r>
      <w:r w:rsidR="00AA34C1" w:rsidRPr="00742857">
        <w:rPr>
          <w:i/>
          <w:iCs/>
        </w:rPr>
        <w:t>, připouštěly jenom námitky z držby samé (námitky držební posesorní).</w:t>
      </w:r>
      <w:r w:rsidR="00BB717B" w:rsidRPr="00742857">
        <w:rPr>
          <w:i/>
          <w:iCs/>
        </w:rPr>
        <w:t xml:space="preserve"> </w:t>
      </w:r>
      <w:r w:rsidR="00AA34C1" w:rsidRPr="00742857">
        <w:rPr>
          <w:i/>
          <w:iCs/>
        </w:rPr>
        <w:t>Jako mocenské konkrétní akty byly p</w:t>
      </w:r>
      <w:r w:rsidR="00B66F8F" w:rsidRPr="00742857">
        <w:rPr>
          <w:i/>
          <w:iCs/>
        </w:rPr>
        <w:t>r</w:t>
      </w:r>
      <w:r w:rsidR="00AA34C1" w:rsidRPr="00742857">
        <w:rPr>
          <w:i/>
          <w:iCs/>
        </w:rPr>
        <w:t>étorovy</w:t>
      </w:r>
      <w:r w:rsidR="00B66F8F" w:rsidRPr="00742857">
        <w:rPr>
          <w:i/>
          <w:iCs/>
        </w:rPr>
        <w:t xml:space="preserve"> rozkazy a zákazy</w:t>
      </w:r>
      <w:r w:rsidR="00BB62E1" w:rsidRPr="00742857">
        <w:rPr>
          <w:i/>
          <w:iCs/>
        </w:rPr>
        <w:t xml:space="preserve"> v praxi velmi účinné. </w:t>
      </w:r>
      <w:r w:rsidR="00A20BFA" w:rsidRPr="00742857">
        <w:rPr>
          <w:i/>
          <w:iCs/>
        </w:rPr>
        <w:t>V řízení o těchto rozkazech měly obě strany zásadně a současně postavení jak žalobce, tak žalovaného</w:t>
      </w:r>
      <w:r w:rsidR="00B66F8F" w:rsidRPr="00742857">
        <w:rPr>
          <w:i/>
          <w:iCs/>
        </w:rPr>
        <w:t xml:space="preserve"> </w:t>
      </w:r>
      <w:r w:rsidR="00063677" w:rsidRPr="00742857">
        <w:rPr>
          <w:i/>
          <w:iCs/>
        </w:rPr>
        <w:t>(podvojné oboustranné rozkazy</w:t>
      </w:r>
      <w:r w:rsidR="00975F0C" w:rsidRPr="00742857">
        <w:rPr>
          <w:i/>
          <w:iCs/>
        </w:rPr>
        <w:t>, neboli interdicta duplicia</w:t>
      </w:r>
      <w:r w:rsidR="00796957" w:rsidRPr="00742857">
        <w:rPr>
          <w:i/>
          <w:iCs/>
        </w:rPr>
        <w:t>)</w:t>
      </w:r>
      <w:r w:rsidR="00F20F96" w:rsidRPr="00742857">
        <w:rPr>
          <w:i/>
          <w:iCs/>
        </w:rPr>
        <w:t>.“</w:t>
      </w:r>
      <w:r w:rsidR="00F20F96">
        <w:t xml:space="preserve"> Účelem těchto interdiktů bylo, aby buď pomohly</w:t>
      </w:r>
      <w:r w:rsidR="00FF2FE3">
        <w:t xml:space="preserve"> tomu, kdo byl z držby vypuzen, k</w:t>
      </w:r>
      <w:r w:rsidR="00BA60E9">
        <w:t xml:space="preserve"> jejímu </w:t>
      </w:r>
      <w:r w:rsidR="00FF2FE3">
        <w:t>o</w:t>
      </w:r>
      <w:r w:rsidR="009F6640">
        <w:t>p</w:t>
      </w:r>
      <w:r w:rsidR="00FF2FE3">
        <w:t>ětovnému nabytí</w:t>
      </w:r>
      <w:r w:rsidR="00BA60E9">
        <w:t xml:space="preserve"> nebo tomu držiteli, který byl v držbě rušen, </w:t>
      </w:r>
      <w:r w:rsidR="00A13BB7">
        <w:t>aby si ji udržel.</w:t>
      </w:r>
      <w:r w:rsidR="00A13BB7">
        <w:rPr>
          <w:rStyle w:val="Znakapoznpodarou"/>
        </w:rPr>
        <w:footnoteReference w:id="40"/>
      </w:r>
      <w:r w:rsidR="00FA3D9C">
        <w:t xml:space="preserve"> </w:t>
      </w:r>
      <w:r w:rsidR="00ED662F">
        <w:t xml:space="preserve">Dle slov prof. </w:t>
      </w:r>
      <w:r w:rsidR="00E10F20">
        <w:t>Kincla</w:t>
      </w:r>
      <w:r w:rsidR="00884415">
        <w:t xml:space="preserve">: </w:t>
      </w:r>
      <w:r w:rsidR="00630305" w:rsidRPr="00742857">
        <w:rPr>
          <w:i/>
          <w:iCs/>
        </w:rPr>
        <w:t>„</w:t>
      </w:r>
      <w:r w:rsidR="00197BE3" w:rsidRPr="00742857">
        <w:rPr>
          <w:i/>
          <w:iCs/>
        </w:rPr>
        <w:t>Tím, že věřitel, kterému byla věc jako zástava odevzdána, dosáhl praetorské drž</w:t>
      </w:r>
      <w:r w:rsidR="000A61C4" w:rsidRPr="00742857">
        <w:rPr>
          <w:i/>
          <w:iCs/>
        </w:rPr>
        <w:t>ební ochrany, vytvořily se všechny předpoklady pro to, aby uvedený vztah mohl být chápán jako samostatn</w:t>
      </w:r>
      <w:r w:rsidR="001C51D9" w:rsidRPr="00742857">
        <w:rPr>
          <w:i/>
          <w:iCs/>
        </w:rPr>
        <w:t>á</w:t>
      </w:r>
      <w:r w:rsidR="000A61C4" w:rsidRPr="00742857">
        <w:rPr>
          <w:i/>
          <w:iCs/>
        </w:rPr>
        <w:t xml:space="preserve"> forma věcné záruky obligace</w:t>
      </w:r>
      <w:r w:rsidR="00F75D27" w:rsidRPr="00742857">
        <w:rPr>
          <w:i/>
          <w:iCs/>
        </w:rPr>
        <w:t xml:space="preserve">, jako skutečné zástavní právo, v tomto případě jako ruční zástavní právo </w:t>
      </w:r>
      <w:r w:rsidR="00F1615E">
        <w:rPr>
          <w:i/>
          <w:iCs/>
        </w:rPr>
        <w:t>čili</w:t>
      </w:r>
      <w:r w:rsidR="00F75D27" w:rsidRPr="00742857">
        <w:rPr>
          <w:i/>
          <w:iCs/>
        </w:rPr>
        <w:t xml:space="preserve"> pignus</w:t>
      </w:r>
      <w:r w:rsidR="00630305" w:rsidRPr="00742857">
        <w:rPr>
          <w:i/>
          <w:iCs/>
        </w:rPr>
        <w:t>.“</w:t>
      </w:r>
      <w:r w:rsidR="00D53756">
        <w:rPr>
          <w:rStyle w:val="Znakapoznpodarou"/>
        </w:rPr>
        <w:footnoteReference w:id="41"/>
      </w:r>
      <w:r w:rsidR="00565C04">
        <w:t xml:space="preserve"> </w:t>
      </w:r>
    </w:p>
    <w:p w14:paraId="38CC571C" w14:textId="2B099CBC" w:rsidR="00643797" w:rsidRDefault="00643797" w:rsidP="00643797">
      <w:pPr>
        <w:pStyle w:val="Nadpis3"/>
      </w:pPr>
      <w:bookmarkStart w:id="12" w:name="_Toc100354932"/>
      <w:r>
        <w:lastRenderedPageBreak/>
        <w:t>2.1</w:t>
      </w:r>
      <w:r w:rsidR="00776B33">
        <w:t>.4 Zástava pachtovní</w:t>
      </w:r>
      <w:bookmarkEnd w:id="12"/>
    </w:p>
    <w:p w14:paraId="2ACEB2E3" w14:textId="796C699B" w:rsidR="003563E9" w:rsidRPr="00022D7F" w:rsidRDefault="00DF4115" w:rsidP="00565C04">
      <w:pPr>
        <w:rPr>
          <w:color w:val="000000" w:themeColor="text1"/>
        </w:rPr>
      </w:pPr>
      <w:r>
        <w:t>Jak tvrdí prof. Tureček,</w:t>
      </w:r>
      <w:r w:rsidR="00595167">
        <w:t xml:space="preserve"> </w:t>
      </w:r>
      <w:r w:rsidR="00186C22">
        <w:t xml:space="preserve">byl </w:t>
      </w:r>
      <w:r w:rsidR="00962CB0">
        <w:t>za dob republiky</w:t>
      </w:r>
      <w:r w:rsidR="00F54F73">
        <w:t xml:space="preserve"> důležitý </w:t>
      </w:r>
      <w:r w:rsidR="00155F38">
        <w:t xml:space="preserve">také </w:t>
      </w:r>
      <w:r w:rsidR="00F54F73">
        <w:t xml:space="preserve">vývoj </w:t>
      </w:r>
      <w:r w:rsidR="001A124E">
        <w:t>zástavního práva, kter</w:t>
      </w:r>
      <w:r w:rsidR="00155F38">
        <w:t>ý souvisel s právem k půdě, zejména pak zemědělské.</w:t>
      </w:r>
      <w:r w:rsidR="00941A76">
        <w:t xml:space="preserve"> </w:t>
      </w:r>
      <w:r w:rsidR="00BE05D9">
        <w:t xml:space="preserve">Zástava pachtovní </w:t>
      </w:r>
      <w:r w:rsidR="008C7CC8">
        <w:t xml:space="preserve">tak </w:t>
      </w:r>
      <w:r w:rsidR="00BE05D9">
        <w:t xml:space="preserve">vedla </w:t>
      </w:r>
      <w:r w:rsidR="00993AB0">
        <w:t xml:space="preserve">k upevnění postavení </w:t>
      </w:r>
      <w:r w:rsidR="00010C50">
        <w:t>propachtovatelů</w:t>
      </w:r>
      <w:r w:rsidR="00993AB0">
        <w:t xml:space="preserve"> při zajišťování </w:t>
      </w:r>
      <w:r w:rsidR="00BA255E">
        <w:t>jejich pohledávek.</w:t>
      </w:r>
      <w:r w:rsidR="006E181F">
        <w:rPr>
          <w:rStyle w:val="Znakapoznpodarou"/>
        </w:rPr>
        <w:footnoteReference w:id="42"/>
      </w:r>
      <w:r w:rsidR="006E181F">
        <w:t xml:space="preserve"> </w:t>
      </w:r>
      <w:r w:rsidR="00FA6E6D">
        <w:t>J</w:t>
      </w:r>
      <w:r w:rsidR="006E3297">
        <w:t xml:space="preserve">iž </w:t>
      </w:r>
      <w:r w:rsidR="00FA6E6D">
        <w:t>za dob Cato Censoria</w:t>
      </w:r>
      <w:r w:rsidR="006E3297">
        <w:t> </w:t>
      </w:r>
      <w:r w:rsidR="00FA6E6D">
        <w:t>(</w:t>
      </w:r>
      <w:r w:rsidR="00110C41">
        <w:t>zemř. 149</w:t>
      </w:r>
      <w:r w:rsidR="006E3297">
        <w:t xml:space="preserve"> př. Kr.</w:t>
      </w:r>
      <w:r w:rsidR="00FA6E6D">
        <w:t>)</w:t>
      </w:r>
      <w:r w:rsidR="006E3297">
        <w:t xml:space="preserve"> </w:t>
      </w:r>
      <w:r w:rsidR="006E181F">
        <w:t>se zajišťovalo řádné placení pachtovného tím způsobem, že pachtýř dal do zástavy prostou úmluvou propachtovateli věci, které sloužily k hospodaření na propachtovaném pozemku</w:t>
      </w:r>
      <w:r w:rsidR="00855E5A">
        <w:t xml:space="preserve"> (nářadí, zvířata, otroci), </w:t>
      </w:r>
      <w:r w:rsidR="001942C9">
        <w:t>přičemž je zároveň</w:t>
      </w:r>
      <w:r w:rsidR="002773DE">
        <w:t xml:space="preserve"> na propachtovaný pozemek přivedl</w:t>
      </w:r>
      <w:r w:rsidR="00626A2E">
        <w:t xml:space="preserve"> nebo dopravil (</w:t>
      </w:r>
      <w:r w:rsidR="00626A2E" w:rsidRPr="00E17629">
        <w:rPr>
          <w:i/>
          <w:iCs/>
        </w:rPr>
        <w:t>tzv.</w:t>
      </w:r>
      <w:r w:rsidR="00626A2E">
        <w:t xml:space="preserve"> </w:t>
      </w:r>
      <w:r w:rsidR="00626A2E" w:rsidRPr="00E17629">
        <w:rPr>
          <w:i/>
          <w:iCs/>
        </w:rPr>
        <w:t>invecta et illata</w:t>
      </w:r>
      <w:r w:rsidR="00626A2E">
        <w:t>).</w:t>
      </w:r>
      <w:r w:rsidR="00836210">
        <w:rPr>
          <w:rStyle w:val="Znakapoznpodarou"/>
        </w:rPr>
        <w:footnoteReference w:id="43"/>
      </w:r>
      <w:r w:rsidR="00413EE9">
        <w:t xml:space="preserve"> Věci sice byly předmětem zástavy, nicméně propachtovatel je neměl ve své faktické moci, takže nic nebránilo pachtýři, aby je používal k</w:t>
      </w:r>
      <w:r w:rsidR="00F32CEC">
        <w:t> </w:t>
      </w:r>
      <w:r w:rsidR="00413EE9">
        <w:t>hospodaření</w:t>
      </w:r>
      <w:r w:rsidR="00F32CEC">
        <w:t>.</w:t>
      </w:r>
      <w:r w:rsidR="00191D45">
        <w:t xml:space="preserve"> </w:t>
      </w:r>
      <w:r w:rsidR="00413EE9">
        <w:t xml:space="preserve">Až když pachtýř neplnil řádně pachtovné, mohl se propachtovatel </w:t>
      </w:r>
      <w:r w:rsidR="00F32CEC">
        <w:t>svépomocí zmocnit věcí spadající do hospodářského inventáře a držet je jako zástavu.</w:t>
      </w:r>
      <w:r w:rsidR="00F32CEC">
        <w:rPr>
          <w:rStyle w:val="Znakapoznpodarou"/>
        </w:rPr>
        <w:footnoteReference w:id="44"/>
      </w:r>
      <w:r w:rsidR="00F32CEC">
        <w:t xml:space="preserve"> </w:t>
      </w:r>
      <w:r w:rsidR="00EB0EFE">
        <w:t>Pokud bychom se podívali do pramenů, zjistili bychom, že k tomuto Labeo v 5. knize Z posmrtně vydaných knih z Iav</w:t>
      </w:r>
      <w:r w:rsidR="00710E56">
        <w:t>o</w:t>
      </w:r>
      <w:r w:rsidR="00EB0EFE">
        <w:t>lenových Výtahů píše:</w:t>
      </w:r>
      <w:r w:rsidR="00710E56">
        <w:t xml:space="preserve"> </w:t>
      </w:r>
      <w:r w:rsidR="00710E56" w:rsidRPr="00710E56">
        <w:rPr>
          <w:i/>
          <w:iCs/>
        </w:rPr>
        <w:t>„Uzavřel si dohodu se svým pachtýřem, že přivezené a vnesené věci budou zastaveny v případě, že ti neuhradí nájemné nebo nebudeš uspokojen jinak, později jsi přijal na nájemné ručitele. Mám za to, že jsi byl takto uspokojen, a proto přestaly být přivezené věci v zástavě.“</w:t>
      </w:r>
      <w:r w:rsidR="00710E56">
        <w:rPr>
          <w:rStyle w:val="Znakapoznpodarou"/>
          <w:i/>
          <w:iCs/>
        </w:rPr>
        <w:footnoteReference w:id="45"/>
      </w:r>
      <w:r w:rsidR="00EB0EFE">
        <w:t xml:space="preserve"> </w:t>
      </w:r>
      <w:r w:rsidR="00A36DB5">
        <w:t>– plyne z toho tedy, že pokud se někdo</w:t>
      </w:r>
      <w:r w:rsidR="00B548A7">
        <w:t xml:space="preserve"> později</w:t>
      </w:r>
      <w:r w:rsidR="00A36DB5">
        <w:t xml:space="preserve"> osobně zaručí, dává všanc celý svůj majetek a je to tak dostatečné zajištění </w:t>
      </w:r>
      <w:r w:rsidR="00FA6DF5">
        <w:t>pro</w:t>
      </w:r>
      <w:r w:rsidR="00A36DB5">
        <w:t xml:space="preserve"> to, aby nemuselo lpět zástavní právo na hospodářském inventáři. </w:t>
      </w:r>
      <w:r w:rsidR="00C55335">
        <w:t xml:space="preserve">Zástava pachtovní není v odborných kruzích označována jako samostatná forma zástavy, ale jedná </w:t>
      </w:r>
      <w:r w:rsidR="00C55335" w:rsidRPr="00D526A2">
        <w:t xml:space="preserve">se </w:t>
      </w:r>
      <w:r w:rsidR="00DF7AC8" w:rsidRPr="00D526A2">
        <w:t xml:space="preserve">dle prof. Kincla </w:t>
      </w:r>
      <w:r w:rsidR="00C55335">
        <w:t>spíše o jakýsi vývojový předstupeň pro zástavní právo hypotekární, pro nějž je typické, že možnost získání držby nastala až v případě, kdy pohledávka dospěla a i přesto nebylo plněno.</w:t>
      </w:r>
      <w:r w:rsidR="000F69BC">
        <w:rPr>
          <w:rStyle w:val="Znakapoznpodarou"/>
        </w:rPr>
        <w:footnoteReference w:id="46"/>
      </w:r>
      <w:r w:rsidR="00565C04">
        <w:t xml:space="preserve"> </w:t>
      </w:r>
    </w:p>
    <w:p w14:paraId="7465A612" w14:textId="6B9DD3ED" w:rsidR="00F55FB5" w:rsidRDefault="00F55FB5" w:rsidP="00F55FB5">
      <w:pPr>
        <w:pStyle w:val="Nadpis3"/>
      </w:pPr>
      <w:bookmarkStart w:id="13" w:name="_Toc100354933"/>
      <w:r>
        <w:t>2.1.5 Hypotéka</w:t>
      </w:r>
      <w:bookmarkEnd w:id="13"/>
    </w:p>
    <w:p w14:paraId="185C767C" w14:textId="54408A47" w:rsidR="00240A44" w:rsidRDefault="00A17FE6" w:rsidP="00992D00">
      <w:r>
        <w:t>Jak již bylo zmíněno výše, předchůdce této formy zástavního práva byla zástava pachtovní, která pro budoucí vývoj hypotéky vytyčila mantinely</w:t>
      </w:r>
      <w:r w:rsidR="00AD3F6F">
        <w:t xml:space="preserve">. Smluvní zástava </w:t>
      </w:r>
      <w:r w:rsidR="00DE12E0">
        <w:t>neboli hypotéka</w:t>
      </w:r>
      <w:r w:rsidR="009C6FB5">
        <w:t xml:space="preserve"> </w:t>
      </w:r>
      <w:r w:rsidR="00212CF0">
        <w:t>je poslední druh zástavního práva, k</w:t>
      </w:r>
      <w:r w:rsidR="00997D87">
        <w:t>terý vzniká pouze na základě dohody</w:t>
      </w:r>
      <w:r w:rsidR="009D3BF1">
        <w:t xml:space="preserve">. </w:t>
      </w:r>
      <w:r w:rsidR="00294B27">
        <w:t>U</w:t>
      </w:r>
      <w:r w:rsidR="009D3BF1">
        <w:t xml:space="preserve"> tohoto druhu zástavního práva </w:t>
      </w:r>
      <w:r w:rsidR="00294B27">
        <w:t>se</w:t>
      </w:r>
      <w:r w:rsidR="00A21D70">
        <w:t xml:space="preserve"> pro zajištění věřitelovi pohledávky</w:t>
      </w:r>
      <w:r w:rsidR="00294B27">
        <w:t xml:space="preserve"> nepřevád</w:t>
      </w:r>
      <w:r w:rsidR="00A21D70">
        <w:t>ělo</w:t>
      </w:r>
      <w:r w:rsidR="00294B27">
        <w:t xml:space="preserve"> ani vlastnické právo (</w:t>
      </w:r>
      <w:r w:rsidR="00294B27" w:rsidRPr="007A3101">
        <w:rPr>
          <w:i/>
          <w:iCs/>
        </w:rPr>
        <w:t>viz.</w:t>
      </w:r>
      <w:r w:rsidR="00294B27">
        <w:t xml:space="preserve"> </w:t>
      </w:r>
      <w:r w:rsidR="00294B27" w:rsidRPr="007A3101">
        <w:rPr>
          <w:i/>
          <w:iCs/>
        </w:rPr>
        <w:t>fiducia</w:t>
      </w:r>
      <w:r w:rsidR="00294B27">
        <w:t xml:space="preserve">), ani </w:t>
      </w:r>
      <w:r w:rsidR="004362D3">
        <w:t>faktická moc nad věcí (</w:t>
      </w:r>
      <w:r w:rsidR="004362D3" w:rsidRPr="007A3101">
        <w:rPr>
          <w:i/>
          <w:iCs/>
        </w:rPr>
        <w:t>pignus</w:t>
      </w:r>
      <w:r w:rsidR="004362D3">
        <w:t xml:space="preserve">). </w:t>
      </w:r>
      <w:r w:rsidR="00AA2926">
        <w:t xml:space="preserve">Pro zástavního dlužníka bylo u </w:t>
      </w:r>
      <w:r w:rsidR="003378F5">
        <w:t xml:space="preserve">hypotekárního zástavního práva </w:t>
      </w:r>
      <w:r w:rsidR="00AA2926">
        <w:t xml:space="preserve">výhodou </w:t>
      </w:r>
      <w:r w:rsidR="003378F5">
        <w:t xml:space="preserve">to, že </w:t>
      </w:r>
      <w:r w:rsidR="002B5E74">
        <w:t xml:space="preserve">i </w:t>
      </w:r>
      <w:r w:rsidR="00B061B5">
        <w:t>po zastavení věci</w:t>
      </w:r>
      <w:r w:rsidR="006D4C12">
        <w:t xml:space="preserve"> byl</w:t>
      </w:r>
      <w:r w:rsidR="00B061B5">
        <w:t xml:space="preserve"> stále jejím vlastníke</w:t>
      </w:r>
      <w:r w:rsidR="002B5E74">
        <w:t>m</w:t>
      </w:r>
      <w:r w:rsidR="00F624F7">
        <w:t>,</w:t>
      </w:r>
      <w:r w:rsidR="002B5E74">
        <w:t xml:space="preserve"> </w:t>
      </w:r>
      <w:r w:rsidR="00F624F7">
        <w:t>b</w:t>
      </w:r>
      <w:r w:rsidR="00936C8C">
        <w:t>a dokonce</w:t>
      </w:r>
      <w:r w:rsidR="002B5E74">
        <w:t xml:space="preserve"> i </w:t>
      </w:r>
      <w:r w:rsidR="002B5E74">
        <w:lastRenderedPageBreak/>
        <w:t>detentorem</w:t>
      </w:r>
      <w:r w:rsidR="00936C8C">
        <w:t>, což mu umož</w:t>
      </w:r>
      <w:r w:rsidR="00D21CF8">
        <w:t>ňovalo brát z věci plody</w:t>
      </w:r>
      <w:r w:rsidR="007E358A">
        <w:t>, či ji dále dávat do zástavy.</w:t>
      </w:r>
      <w:r w:rsidR="0013483D">
        <w:rPr>
          <w:rStyle w:val="Znakapoznpodarou"/>
        </w:rPr>
        <w:footnoteReference w:id="47"/>
      </w:r>
      <w:r w:rsidR="00936C8C">
        <w:t xml:space="preserve"> </w:t>
      </w:r>
      <w:r w:rsidR="001D0BDE">
        <w:t xml:space="preserve">Pokud pachtýř </w:t>
      </w:r>
      <w:r w:rsidR="0064660A">
        <w:t xml:space="preserve">platil </w:t>
      </w:r>
      <w:r w:rsidR="001D0BDE">
        <w:t xml:space="preserve">řádně pachtovné, </w:t>
      </w:r>
      <w:r w:rsidR="0064660A">
        <w:t>byly mu věci tvořící předmět zástavy ponechány.</w:t>
      </w:r>
      <w:r w:rsidR="001A76F7">
        <w:t xml:space="preserve"> Až v případě, kdy pachtovné </w:t>
      </w:r>
      <w:r w:rsidR="002804E2">
        <w:t xml:space="preserve">zaplaceno nebylo, </w:t>
      </w:r>
      <w:r w:rsidR="00566B99">
        <w:t xml:space="preserve">se </w:t>
      </w:r>
      <w:r w:rsidR="002804E2">
        <w:t>mohl</w:t>
      </w:r>
      <w:r w:rsidR="00E35A3E">
        <w:t xml:space="preserve"> </w:t>
      </w:r>
      <w:r w:rsidR="002804E2">
        <w:t>propachtovatel</w:t>
      </w:r>
      <w:r w:rsidR="00E35A3E">
        <w:t xml:space="preserve"> zmocnit </w:t>
      </w:r>
      <w:r w:rsidR="00E018B6">
        <w:t>věcí, které byly součástí hospodářského inventáře a držet je jako zástavu.</w:t>
      </w:r>
      <w:r w:rsidR="00376A11">
        <w:rPr>
          <w:rStyle w:val="Znakapoznpodarou"/>
        </w:rPr>
        <w:footnoteReference w:id="48"/>
      </w:r>
      <w:r w:rsidR="004F208E">
        <w:t xml:space="preserve"> </w:t>
      </w:r>
    </w:p>
    <w:p w14:paraId="08D3499F" w14:textId="2883B77A" w:rsidR="00240A44" w:rsidRDefault="00E84A98" w:rsidP="00992D00">
      <w:r>
        <w:t>Gaius píše, že</w:t>
      </w:r>
      <w:r w:rsidR="00A05F52">
        <w:t>:</w:t>
      </w:r>
      <w:r>
        <w:t xml:space="preserve"> p</w:t>
      </w:r>
      <w:r w:rsidR="008378F8">
        <w:t xml:space="preserve">ro případ, že by </w:t>
      </w:r>
      <w:r w:rsidR="00735BBC">
        <w:t xml:space="preserve">pachtýř </w:t>
      </w:r>
      <w:r w:rsidR="002D60F3">
        <w:t xml:space="preserve">bránil </w:t>
      </w:r>
      <w:r w:rsidR="00735BBC">
        <w:t xml:space="preserve">propachtovateli </w:t>
      </w:r>
      <w:r w:rsidR="002D60F3">
        <w:t>v tom, aby se ujal držby zástavy</w:t>
      </w:r>
      <w:r w:rsidR="00BC3882">
        <w:t xml:space="preserve"> z důvodu</w:t>
      </w:r>
      <w:r w:rsidR="00403119">
        <w:t xml:space="preserve"> nezaplacené</w:t>
      </w:r>
      <w:r w:rsidR="00BC3882">
        <w:t>ho</w:t>
      </w:r>
      <w:r w:rsidR="00403119">
        <w:t xml:space="preserve"> pachtovné</w:t>
      </w:r>
      <w:r w:rsidR="00BC3882">
        <w:t>ho</w:t>
      </w:r>
      <w:r w:rsidR="00403119">
        <w:t>,</w:t>
      </w:r>
      <w:r w:rsidR="00B83E8C">
        <w:t xml:space="preserve"> byl </w:t>
      </w:r>
      <w:r w:rsidR="005366E9">
        <w:t xml:space="preserve">prvotně </w:t>
      </w:r>
      <w:r w:rsidR="00D04F75">
        <w:t xml:space="preserve">pro posílení </w:t>
      </w:r>
      <w:r w:rsidR="00E77F50">
        <w:t>právní ochrany</w:t>
      </w:r>
      <w:r w:rsidR="00362DDA">
        <w:t xml:space="preserve"> propachtovatele vytvořen </w:t>
      </w:r>
      <w:r w:rsidR="00B83E8C">
        <w:t>preatorem Salvianem</w:t>
      </w:r>
      <w:r w:rsidR="008F5595">
        <w:t xml:space="preserve"> </w:t>
      </w:r>
      <w:r w:rsidR="00D04F75">
        <w:t>interdikt</w:t>
      </w:r>
      <w:r w:rsidR="0019113B">
        <w:t>, zvaný také jako salviánský interdikt</w:t>
      </w:r>
      <w:r w:rsidR="00E77F50">
        <w:t>.</w:t>
      </w:r>
      <w:r w:rsidR="003B7236">
        <w:rPr>
          <w:rStyle w:val="Znakapoznpodarou"/>
        </w:rPr>
        <w:footnoteReference w:id="49"/>
      </w:r>
      <w:r w:rsidR="00031836">
        <w:t xml:space="preserve"> </w:t>
      </w:r>
      <w:r w:rsidR="00E07F8D">
        <w:t xml:space="preserve">Podle prof. Skřejpka bylo tímto </w:t>
      </w:r>
      <w:r w:rsidR="000E1764">
        <w:t>ze strany praetora umožněno, aby mohl propachtovatel získat držbu věcí vnesených</w:t>
      </w:r>
      <w:r w:rsidR="00AD3240">
        <w:t xml:space="preserve"> na propachtovaném pozemku, čímž v podstatě byla nahrazena původní svépomoc.</w:t>
      </w:r>
      <w:r w:rsidR="00E07F8D">
        <w:rPr>
          <w:rStyle w:val="Znakapoznpodarou"/>
        </w:rPr>
        <w:footnoteReference w:id="50"/>
      </w:r>
    </w:p>
    <w:p w14:paraId="6BB0718E" w14:textId="14B08292" w:rsidR="00776B33" w:rsidRDefault="00664B4F" w:rsidP="00903067">
      <w:r>
        <w:t>Dle prof. Heyrovského byla n</w:t>
      </w:r>
      <w:r w:rsidR="00CA06E5" w:rsidRPr="00E43977">
        <w:t>ásl</w:t>
      </w:r>
      <w:r w:rsidR="00CA06E5">
        <w:t>edujícím stupněm ochrany, který měl také vyšší kvalitu, věcná žaloba, která u zástavy pachtovní chránila propachtovatele proti třetím osobám pro případ, že by mu zastavené věci, které byly součástí hospodářského inventáře zadržovaly.</w:t>
      </w:r>
      <w:r w:rsidR="00A72B3D">
        <w:rPr>
          <w:rStyle w:val="Znakapoznpodarou"/>
        </w:rPr>
        <w:footnoteReference w:id="51"/>
      </w:r>
      <w:r w:rsidR="00CA06E5">
        <w:t xml:space="preserve"> </w:t>
      </w:r>
      <w:r w:rsidR="007B2AFF">
        <w:t>Dle Ulpiána, pokud je na pozemek patřící dvěma spoluvlastníkům vnesena věc, která má být předmětem zástavy, bude upřednostněn ten z nich, který má držbu nad věcí a druhá strana</w:t>
      </w:r>
      <w:r w:rsidR="00E43977">
        <w:t xml:space="preserve"> (propachtovatel)</w:t>
      </w:r>
      <w:r w:rsidR="007B2AFF">
        <w:t xml:space="preserve"> se bude muset domáhat vydání takovéto věci Serviánskou žalobou.</w:t>
      </w:r>
      <w:r w:rsidR="00E43977">
        <w:rPr>
          <w:rStyle w:val="Znakapoznpodarou"/>
        </w:rPr>
        <w:footnoteReference w:id="52"/>
      </w:r>
      <w:r w:rsidR="005267CE">
        <w:t xml:space="preserve"> </w:t>
      </w:r>
      <w:r w:rsidR="008E3299">
        <w:t>S</w:t>
      </w:r>
      <w:r w:rsidR="00296085">
        <w:t>erviánsk</w:t>
      </w:r>
      <w:r w:rsidR="008E3299">
        <w:t>á</w:t>
      </w:r>
      <w:r w:rsidR="00296085">
        <w:t xml:space="preserve"> žalob</w:t>
      </w:r>
      <w:r w:rsidR="008E3299">
        <w:t>a</w:t>
      </w:r>
      <w:r w:rsidR="00296085">
        <w:t xml:space="preserve">, neboli </w:t>
      </w:r>
      <w:r w:rsidR="00296085" w:rsidRPr="0024435F">
        <w:rPr>
          <w:i/>
          <w:iCs/>
        </w:rPr>
        <w:t>actio Serviana</w:t>
      </w:r>
      <w:r w:rsidR="00296085">
        <w:t xml:space="preserve">, </w:t>
      </w:r>
      <w:r w:rsidR="008E3299">
        <w:t xml:space="preserve">byla pojmenována </w:t>
      </w:r>
      <w:r w:rsidR="00296085">
        <w:t xml:space="preserve">podle praetora, který ji poprvé vyhlásil. </w:t>
      </w:r>
      <w:r w:rsidR="00A54AA2">
        <w:t>Používání této žaloby bylo později rozšířeno</w:t>
      </w:r>
      <w:r w:rsidR="006C399B">
        <w:t>,</w:t>
      </w:r>
      <w:r w:rsidR="002B0369">
        <w:t xml:space="preserve"> kromě </w:t>
      </w:r>
      <w:r w:rsidR="007B24B6">
        <w:t>zástavy pachtovní,</w:t>
      </w:r>
      <w:r w:rsidR="00A54AA2">
        <w:t xml:space="preserve"> i </w:t>
      </w:r>
      <w:r w:rsidR="00A206E8">
        <w:t xml:space="preserve">na </w:t>
      </w:r>
      <w:r w:rsidR="001214CF">
        <w:t>všechn</w:t>
      </w:r>
      <w:r w:rsidR="006C399B">
        <w:t>y</w:t>
      </w:r>
      <w:r w:rsidR="001214CF">
        <w:t xml:space="preserve"> </w:t>
      </w:r>
      <w:r w:rsidR="00A206E8">
        <w:t xml:space="preserve">ostatní </w:t>
      </w:r>
      <w:r w:rsidR="003F52D5">
        <w:t>vztahy, kdy došlo k zastavení věci pouze na základě dohody bez odevzdání věci do detence</w:t>
      </w:r>
      <w:r w:rsidR="008E0121">
        <w:t xml:space="preserve"> věřitele. </w:t>
      </w:r>
      <w:r w:rsidR="00910275">
        <w:t xml:space="preserve">Díky tomuto rozšíření vzniklo nové označení, a to kvasi-serviánská žaloba, neboli </w:t>
      </w:r>
      <w:r w:rsidR="00910275" w:rsidRPr="0024435F">
        <w:rPr>
          <w:i/>
          <w:iCs/>
        </w:rPr>
        <w:t>actio quasi Serviana</w:t>
      </w:r>
      <w:r w:rsidR="00910275">
        <w:t>.</w:t>
      </w:r>
      <w:r w:rsidR="00A10D37">
        <w:rPr>
          <w:rStyle w:val="Znakapoznpodarou"/>
        </w:rPr>
        <w:footnoteReference w:id="53"/>
      </w:r>
      <w:r w:rsidR="00910275">
        <w:t xml:space="preserve"> Svojí univerzalitou se tedy</w:t>
      </w:r>
      <w:r w:rsidR="00EE2964">
        <w:t xml:space="preserve"> kvasi-serviánská žaloba</w:t>
      </w:r>
      <w:r w:rsidR="00910275">
        <w:t xml:space="preserve"> odloučila od pachtovních poměrů</w:t>
      </w:r>
      <w:r w:rsidR="00EE2964">
        <w:t>, se kterými byla doposud ve spojení</w:t>
      </w:r>
      <w:r w:rsidR="006B40EB">
        <w:t xml:space="preserve">. S příchodem </w:t>
      </w:r>
      <w:r w:rsidR="00EE2964">
        <w:t xml:space="preserve"> </w:t>
      </w:r>
      <w:r w:rsidR="006B40EB" w:rsidRPr="00C37319">
        <w:t>actio quasi Serviana</w:t>
      </w:r>
      <w:r w:rsidR="006B40EB">
        <w:t xml:space="preserve"> došlo ke vzniku nového praetorského věcného práv</w:t>
      </w:r>
      <w:r w:rsidR="0038194B">
        <w:t>a</w:t>
      </w:r>
      <w:r w:rsidR="006B40EB">
        <w:t xml:space="preserve">, kterým bylo možno zajistit všechny možné druhy závazků. </w:t>
      </w:r>
      <w:r w:rsidR="0038194B">
        <w:t xml:space="preserve"> </w:t>
      </w:r>
      <w:r w:rsidR="00E53D6D">
        <w:t xml:space="preserve">Po tomto bouřlivém vývoji nové formy zástavního práva se pro ni nakonec vžil </w:t>
      </w:r>
      <w:r w:rsidR="00D14BF5">
        <w:t xml:space="preserve">řecký název </w:t>
      </w:r>
      <w:r w:rsidR="00D14BF5" w:rsidRPr="0024435F">
        <w:rPr>
          <w:i/>
          <w:iCs/>
        </w:rPr>
        <w:t>hypotheca</w:t>
      </w:r>
      <w:r w:rsidR="00D14BF5">
        <w:t xml:space="preserve">, neboli též </w:t>
      </w:r>
      <w:r w:rsidR="00D14BF5" w:rsidRPr="0024435F">
        <w:rPr>
          <w:i/>
          <w:iCs/>
        </w:rPr>
        <w:t>actio hypothecaria</w:t>
      </w:r>
      <w:r w:rsidR="00D14BF5">
        <w:t>.</w:t>
      </w:r>
      <w:r w:rsidR="00206A02">
        <w:rPr>
          <w:rStyle w:val="Znakapoznpodarou"/>
        </w:rPr>
        <w:footnoteReference w:id="54"/>
      </w:r>
      <w:r w:rsidR="00D14BF5">
        <w:t xml:space="preserve">  </w:t>
      </w:r>
    </w:p>
    <w:p w14:paraId="5CCD924A" w14:textId="0C579A45" w:rsidR="00EB068C" w:rsidRDefault="00EB068C" w:rsidP="00EB068C">
      <w:pPr>
        <w:pStyle w:val="Nadpis2"/>
      </w:pPr>
      <w:bookmarkStart w:id="14" w:name="_Toc100354934"/>
      <w:r>
        <w:lastRenderedPageBreak/>
        <w:t xml:space="preserve">2.3 </w:t>
      </w:r>
      <w:r w:rsidR="00051EBF">
        <w:t>Předmět a obsah zástavního práva</w:t>
      </w:r>
      <w:bookmarkEnd w:id="14"/>
    </w:p>
    <w:p w14:paraId="17C5F61A" w14:textId="0B15C18C" w:rsidR="00051EBF" w:rsidRDefault="00051EBF" w:rsidP="00051EBF">
      <w:pPr>
        <w:pStyle w:val="Nadpis3"/>
      </w:pPr>
      <w:bookmarkStart w:id="15" w:name="_Toc100354935"/>
      <w:r>
        <w:t>2.3.1 Předmět zástavního práva</w:t>
      </w:r>
      <w:bookmarkEnd w:id="15"/>
    </w:p>
    <w:p w14:paraId="1CCDC805" w14:textId="3C99FC02" w:rsidR="00022D7F" w:rsidRDefault="00051EBF" w:rsidP="00565C04">
      <w:r>
        <w:t xml:space="preserve">Předmětem zástavního </w:t>
      </w:r>
      <w:r w:rsidR="00AC7EE2">
        <w:t xml:space="preserve">práva </w:t>
      </w:r>
      <w:r w:rsidR="001C2B1B">
        <w:t>mohly</w:t>
      </w:r>
      <w:r>
        <w:t xml:space="preserve"> být všechny věci, </w:t>
      </w:r>
      <w:r w:rsidR="00AC7EE2">
        <w:t xml:space="preserve">u kterých byla možnost, aby byly směněny za peníze. Těmito byly všechny věci </w:t>
      </w:r>
      <w:r w:rsidR="00AC7EE2" w:rsidRPr="00FB68E9">
        <w:rPr>
          <w:i/>
          <w:iCs/>
        </w:rPr>
        <w:t>in commercio</w:t>
      </w:r>
      <w:r w:rsidR="00AC7EE2">
        <w:t>, neboli věci obchodovatelné</w:t>
      </w:r>
      <w:r w:rsidR="00785150">
        <w:t>, mezi které patřily</w:t>
      </w:r>
      <w:r w:rsidR="00AC7EE2">
        <w:t xml:space="preserve"> </w:t>
      </w:r>
      <w:r w:rsidR="00235EB5">
        <w:t xml:space="preserve">věci </w:t>
      </w:r>
      <w:r>
        <w:t>movité</w:t>
      </w:r>
      <w:r w:rsidR="00235EB5">
        <w:t xml:space="preserve"> i </w:t>
      </w:r>
      <w:r>
        <w:t xml:space="preserve">nemovité, </w:t>
      </w:r>
      <w:r w:rsidR="00235EB5">
        <w:t>hmotné i nehmotné, stejně tak i věci</w:t>
      </w:r>
      <w:r>
        <w:t xml:space="preserve"> zuživatelné</w:t>
      </w:r>
      <w:r w:rsidR="00785150">
        <w:t xml:space="preserve"> nebo například určitý obnos peněz</w:t>
      </w:r>
      <w:r w:rsidR="002132CB">
        <w:t>.</w:t>
      </w:r>
      <w:r w:rsidR="002132CB">
        <w:rPr>
          <w:rStyle w:val="Znakapoznpodarou"/>
        </w:rPr>
        <w:footnoteReference w:id="55"/>
      </w:r>
      <w:r w:rsidR="00785150">
        <w:t xml:space="preserve"> </w:t>
      </w:r>
      <w:r w:rsidR="009005EA">
        <w:t xml:space="preserve">Naopak věci </w:t>
      </w:r>
      <w:r w:rsidR="00E74C04">
        <w:t>extrakomer</w:t>
      </w:r>
      <w:r w:rsidR="00AD3F6F">
        <w:t>c</w:t>
      </w:r>
      <w:r w:rsidR="00E74C04">
        <w:t xml:space="preserve">iální, </w:t>
      </w:r>
      <w:r w:rsidR="0042615D">
        <w:t>neboli</w:t>
      </w:r>
      <w:r w:rsidR="00E74C04">
        <w:t xml:space="preserve"> věci, které byly z obchodu vyloučeny</w:t>
      </w:r>
      <w:r w:rsidR="0042615D">
        <w:t>,</w:t>
      </w:r>
      <w:r w:rsidR="008B6C9A">
        <w:t xml:space="preserve"> být předmětem zástavního práva nemohly</w:t>
      </w:r>
      <w:r w:rsidR="009B3380">
        <w:t>.</w:t>
      </w:r>
      <w:r w:rsidR="0042615D">
        <w:t xml:space="preserve"> Prof. Sommer mezi věci </w:t>
      </w:r>
      <w:r w:rsidR="0042615D" w:rsidRPr="004E0D8D">
        <w:rPr>
          <w:b/>
          <w:bCs/>
          <w:i/>
          <w:iCs/>
        </w:rPr>
        <w:t>res extra commercium</w:t>
      </w:r>
      <w:r w:rsidR="0042615D" w:rsidRPr="006E1F4E">
        <w:rPr>
          <w:b/>
          <w:bCs/>
        </w:rPr>
        <w:t xml:space="preserve"> </w:t>
      </w:r>
      <w:r w:rsidR="0042615D" w:rsidRPr="00425C5F">
        <w:t>uvádí</w:t>
      </w:r>
      <w:r w:rsidR="00F56037">
        <w:t xml:space="preserve">: </w:t>
      </w:r>
      <w:r w:rsidR="0042615D" w:rsidRPr="004E0D8D">
        <w:rPr>
          <w:b/>
          <w:bCs/>
        </w:rPr>
        <w:t xml:space="preserve">1) </w:t>
      </w:r>
      <w:r w:rsidR="0042615D" w:rsidRPr="004E0D8D">
        <w:rPr>
          <w:b/>
          <w:bCs/>
          <w:i/>
          <w:iCs/>
        </w:rPr>
        <w:t>res publicae</w:t>
      </w:r>
      <w:r w:rsidR="0042615D">
        <w:t xml:space="preserve">, neboli věci státu a obcí určené k obecnému užívání (veřejné cesty, ulice, náměstí, divadla, lázně, přístavy, stále tekoucí řeky a potoky, moře a mořský břeh, avšak pouze za předpokladu, že se nacházejí na území římského impéria). </w:t>
      </w:r>
      <w:r w:rsidR="00F56037" w:rsidRPr="004E0D8D">
        <w:rPr>
          <w:b/>
          <w:bCs/>
        </w:rPr>
        <w:t>2)</w:t>
      </w:r>
      <w:r w:rsidR="0042615D" w:rsidRPr="004E0D8D">
        <w:rPr>
          <w:b/>
          <w:bCs/>
        </w:rPr>
        <w:t xml:space="preserve"> </w:t>
      </w:r>
      <w:r w:rsidR="0042615D" w:rsidRPr="004E0D8D">
        <w:rPr>
          <w:b/>
          <w:bCs/>
          <w:i/>
          <w:iCs/>
        </w:rPr>
        <w:t>res diviny iuris</w:t>
      </w:r>
      <w:r w:rsidR="0042615D">
        <w:t xml:space="preserve">, neboli věci božského práva (chrámy, oltáře, kultovní předměty, hroby občanů i otroků, hradby a brány a původně i meze pozemků). </w:t>
      </w:r>
      <w:r w:rsidR="00F56037" w:rsidRPr="004E0D8D">
        <w:rPr>
          <w:b/>
          <w:bCs/>
        </w:rPr>
        <w:t xml:space="preserve">3) </w:t>
      </w:r>
      <w:r w:rsidR="0042615D" w:rsidRPr="004E0D8D">
        <w:rPr>
          <w:b/>
          <w:bCs/>
          <w:i/>
          <w:iCs/>
        </w:rPr>
        <w:t>res nullius</w:t>
      </w:r>
      <w:r w:rsidR="0042615D">
        <w:t xml:space="preserve"> (divoká zvířata na svobodě žijící, moře a mořský břeh mimo území římského impéria</w:t>
      </w:r>
      <w:r w:rsidR="009C4A4E">
        <w:t>)</w:t>
      </w:r>
      <w:r w:rsidR="00F56037">
        <w:t>.</w:t>
      </w:r>
      <w:r w:rsidR="002B37FF">
        <w:rPr>
          <w:rStyle w:val="Znakapoznpodarou"/>
        </w:rPr>
        <w:footnoteReference w:id="56"/>
      </w:r>
      <w:r w:rsidR="0042615D">
        <w:t xml:space="preserve"> </w:t>
      </w:r>
      <w:r w:rsidR="00F56037">
        <w:t>D</w:t>
      </w:r>
      <w:r w:rsidR="0042615D">
        <w:t xml:space="preserve">ále se mezi </w:t>
      </w:r>
      <w:r w:rsidR="0042615D" w:rsidRPr="0024435F">
        <w:rPr>
          <w:i/>
          <w:iCs/>
        </w:rPr>
        <w:t>res nullius</w:t>
      </w:r>
      <w:r w:rsidR="0042615D">
        <w:t xml:space="preserve"> dle Justiniánových institucí řadily</w:t>
      </w:r>
      <w:r w:rsidR="00B80EDC">
        <w:t xml:space="preserve"> </w:t>
      </w:r>
      <w:r w:rsidR="00AB4108">
        <w:t>také</w:t>
      </w:r>
      <w:r w:rsidR="0042615D">
        <w:t xml:space="preserve"> vzduch a tekoucí voda.</w:t>
      </w:r>
      <w:r w:rsidR="00775029">
        <w:rPr>
          <w:rStyle w:val="Znakapoznpodarou"/>
        </w:rPr>
        <w:footnoteReference w:id="57"/>
      </w:r>
    </w:p>
    <w:p w14:paraId="087E19D3" w14:textId="1CB4CB2A" w:rsidR="00022D7F" w:rsidRDefault="00D70CE9" w:rsidP="00565C04">
      <w:r>
        <w:t>Pokud se však jedná o v</w:t>
      </w:r>
      <w:r w:rsidR="00051EBF">
        <w:t xml:space="preserve">ěc </w:t>
      </w:r>
      <w:r w:rsidR="00675265">
        <w:t>hromadnou</w:t>
      </w:r>
      <w:r w:rsidR="00051EBF">
        <w:t>, např. stádo</w:t>
      </w:r>
      <w:r w:rsidR="00675265">
        <w:t xml:space="preserve"> krav</w:t>
      </w:r>
      <w:r w:rsidR="00051EBF">
        <w:t xml:space="preserve"> nebo sklad zboží</w:t>
      </w:r>
      <w:r>
        <w:t xml:space="preserve">, jsou předmětem zástavy nejen ty věci, ze kterých se původně skládala </w:t>
      </w:r>
      <w:r w:rsidR="00675265">
        <w:t>hromadná</w:t>
      </w:r>
      <w:r>
        <w:t xml:space="preserve"> věc v době, kdy byla dána do zástavy,</w:t>
      </w:r>
      <w:r w:rsidR="00565C04">
        <w:t xml:space="preserve"> </w:t>
      </w:r>
      <w:r>
        <w:t xml:space="preserve">ale i ty, které k ní teprve později </w:t>
      </w:r>
      <w:proofErr w:type="gramStart"/>
      <w:r w:rsidR="004D2593">
        <w:t>přibydou</w:t>
      </w:r>
      <w:proofErr w:type="gramEnd"/>
      <w:r>
        <w:t xml:space="preserve">. </w:t>
      </w:r>
      <w:r w:rsidR="002F0335">
        <w:t>A naopak, lze řádně zcizit předměty, které byly součástí věci hromadné</w:t>
      </w:r>
      <w:r w:rsidR="00574818">
        <w:rPr>
          <w:rStyle w:val="Znakapoznpodarou"/>
        </w:rPr>
        <w:footnoteReference w:id="58"/>
      </w:r>
      <w:r w:rsidR="00051EBF">
        <w:t>.</w:t>
      </w:r>
      <w:r w:rsidR="00051EBF">
        <w:rPr>
          <w:rStyle w:val="Znakapoznpodarou"/>
        </w:rPr>
        <w:footnoteReference w:id="59"/>
      </w:r>
      <w:r w:rsidR="003C63BE">
        <w:t xml:space="preserve"> </w:t>
      </w:r>
      <w:r w:rsidR="00E23626">
        <w:t xml:space="preserve">Za </w:t>
      </w:r>
      <w:r w:rsidR="001413C8">
        <w:t>s</w:t>
      </w:r>
      <w:r w:rsidR="00E23626">
        <w:t>oučást hospodářského inventáře se tedy považuje vše, čím byl ke dni smrti dlužníka tvořen. Toto pravidlo můžeme analogicky použít také na okamžik, kdy se dlužník dostane do prodlení. Tedy se za zástavu bude považovat vše, co tvoří hospodářský inventář, ke dni prodlení dlužníka.</w:t>
      </w:r>
      <w:r w:rsidR="00C214D7">
        <w:t xml:space="preserve"> </w:t>
      </w:r>
      <w:r w:rsidR="008038D7">
        <w:t>Dle prof. Heyrovského</w:t>
      </w:r>
      <w:r w:rsidR="00344463">
        <w:t xml:space="preserve"> </w:t>
      </w:r>
      <w:r w:rsidR="00022D7F">
        <w:t>na rozdíl od věci</w:t>
      </w:r>
      <w:r w:rsidR="00B213D1">
        <w:t xml:space="preserve"> </w:t>
      </w:r>
      <w:r w:rsidR="00710ABC">
        <w:t>hromadné</w:t>
      </w:r>
      <w:r w:rsidR="00022D7F">
        <w:t>, u kt</w:t>
      </w:r>
      <w:r w:rsidR="004D2593">
        <w:t xml:space="preserve">eré rozhodoval její stav v době, </w:t>
      </w:r>
      <w:r w:rsidR="00022D7F">
        <w:t xml:space="preserve">kdy byla zástava realizována, </w:t>
      </w:r>
      <w:r w:rsidR="00690997">
        <w:t>pokud byl</w:t>
      </w:r>
      <w:r w:rsidR="00344463">
        <w:t>a</w:t>
      </w:r>
      <w:r w:rsidR="00690997">
        <w:t xml:space="preserve"> zastaven</w:t>
      </w:r>
      <w:r w:rsidR="009A7E54">
        <w:t>a věc souborná, či</w:t>
      </w:r>
      <w:r w:rsidR="00690997">
        <w:t xml:space="preserve"> veškeré jmění,</w:t>
      </w:r>
      <w:r w:rsidR="001678BB">
        <w:t xml:space="preserve"> </w:t>
      </w:r>
      <w:r w:rsidR="00EC7E27">
        <w:t>za předpokladu, že tak bylo</w:t>
      </w:r>
      <w:r w:rsidR="001678BB">
        <w:t xml:space="preserve"> sjednáno,</w:t>
      </w:r>
      <w:r w:rsidR="00690997">
        <w:t xml:space="preserve"> byl rozhodující stav k době, kdy došlo ke zřízení zástavy</w:t>
      </w:r>
      <w:r w:rsidR="00D57168">
        <w:t xml:space="preserve"> (tedy zpětně)</w:t>
      </w:r>
      <w:r w:rsidR="00C7471B">
        <w:t>.</w:t>
      </w:r>
      <w:r w:rsidR="00022D7F">
        <w:rPr>
          <w:rStyle w:val="Znakapoznpodarou"/>
        </w:rPr>
        <w:footnoteReference w:id="60"/>
      </w:r>
      <w:r w:rsidR="000716DD">
        <w:t xml:space="preserve"> </w:t>
      </w:r>
      <w:r w:rsidR="009C4E4B">
        <w:t>Podle prof. Blaha</w:t>
      </w:r>
      <w:r w:rsidR="00181081">
        <w:t xml:space="preserve"> bylo j</w:t>
      </w:r>
      <w:r w:rsidR="000716DD">
        <w:t>ednou z</w:t>
      </w:r>
      <w:r w:rsidR="00FD26A0">
        <w:t> </w:t>
      </w:r>
      <w:r w:rsidR="000716DD">
        <w:t>povinnost</w:t>
      </w:r>
      <w:r w:rsidR="00FD26A0">
        <w:t>í zástavního věřitele</w:t>
      </w:r>
      <w:r w:rsidR="00181081">
        <w:t xml:space="preserve"> to</w:t>
      </w:r>
      <w:r w:rsidR="00FD26A0">
        <w:t>, aby předmět zástavního práva pečlivě opatroval</w:t>
      </w:r>
      <w:r w:rsidR="00181081">
        <w:t xml:space="preserve"> a chránil, </w:t>
      </w:r>
      <w:r w:rsidR="00181081">
        <w:lastRenderedPageBreak/>
        <w:t>jako věc vlastní</w:t>
      </w:r>
      <w:r w:rsidR="00FD26A0">
        <w:t>.</w:t>
      </w:r>
      <w:r w:rsidR="00022D7F">
        <w:t xml:space="preserve"> </w:t>
      </w:r>
      <w:r w:rsidR="00D912A1">
        <w:t>Předmět zástavního práva</w:t>
      </w:r>
      <w:r w:rsidR="00EB05C4">
        <w:t xml:space="preserve"> mohl zástavní věřitel užívat či požívat</w:t>
      </w:r>
      <w:r w:rsidR="00215641">
        <w:t>, avšak</w:t>
      </w:r>
      <w:r w:rsidR="00EB05C4">
        <w:t xml:space="preserve"> pouze ze souhlasem zástavního dlužníka</w:t>
      </w:r>
      <w:r w:rsidR="00ED328C">
        <w:t>.</w:t>
      </w:r>
      <w:r w:rsidR="00E85954">
        <w:t xml:space="preserve"> Pokud došlo k tomu, že zástavní věřitel věc užíval, či požíval bez </w:t>
      </w:r>
      <w:r w:rsidR="00593467">
        <w:t>vědomí a svolení zástavce, bylo to chápáno jako civilní delikt krádeže</w:t>
      </w:r>
      <w:r w:rsidR="002D396E">
        <w:t xml:space="preserve">, </w:t>
      </w:r>
      <w:r w:rsidR="005E1F79">
        <w:t>konkrétně pak</w:t>
      </w:r>
      <w:r w:rsidR="002D396E">
        <w:t xml:space="preserve"> </w:t>
      </w:r>
      <w:r w:rsidR="002D396E" w:rsidRPr="009A58E4">
        <w:rPr>
          <w:i/>
          <w:iCs/>
        </w:rPr>
        <w:t>furtum</w:t>
      </w:r>
      <w:r w:rsidR="005E1F79" w:rsidRPr="009A58E4">
        <w:rPr>
          <w:i/>
          <w:iCs/>
        </w:rPr>
        <w:t xml:space="preserve"> usus</w:t>
      </w:r>
      <w:r w:rsidR="002D396E">
        <w:rPr>
          <w:i/>
          <w:iCs/>
        </w:rPr>
        <w:t>.</w:t>
      </w:r>
      <w:r w:rsidR="00560F05">
        <w:rPr>
          <w:rStyle w:val="Znakapoznpodarou"/>
          <w:i/>
          <w:iCs/>
        </w:rPr>
        <w:footnoteReference w:id="61"/>
      </w:r>
      <w:r w:rsidR="00F36B64">
        <w:t xml:space="preserve"> </w:t>
      </w:r>
      <w:r w:rsidR="004D00E8">
        <w:t>Pokud byla předmětem zástavního práva věc plodonosná,</w:t>
      </w:r>
      <w:r w:rsidR="0075588A">
        <w:t xml:space="preserve"> </w:t>
      </w:r>
      <w:r w:rsidR="0055378E">
        <w:t>sběr plodů byl zástavnímu věřiteli povolen mlčky</w:t>
      </w:r>
      <w:r w:rsidR="002466BB">
        <w:t xml:space="preserve"> (avšak pouze za předpokladu, že se jednalo o bezúročnou pohledávku). </w:t>
      </w:r>
      <w:r w:rsidR="00CB605E">
        <w:t>Takovéto užívací zástavní právo</w:t>
      </w:r>
      <w:r w:rsidR="00815C21">
        <w:t xml:space="preserve">, neboli </w:t>
      </w:r>
      <w:r w:rsidR="00815C21" w:rsidRPr="00C602F9">
        <w:rPr>
          <w:i/>
          <w:iCs/>
        </w:rPr>
        <w:t>antichresis</w:t>
      </w:r>
      <w:r w:rsidR="004509BE">
        <w:t>,</w:t>
      </w:r>
      <w:r w:rsidR="004509BE">
        <w:rPr>
          <w:rStyle w:val="Znakapoznpodarou"/>
        </w:rPr>
        <w:footnoteReference w:id="62"/>
      </w:r>
      <w:r w:rsidR="00CB605E">
        <w:t xml:space="preserve"> bylo známé zejména ve východních provinciích </w:t>
      </w:r>
      <w:r w:rsidR="00815C21">
        <w:t>římského státu.</w:t>
      </w:r>
      <w:r w:rsidR="00D11DD8">
        <w:rPr>
          <w:rStyle w:val="Znakapoznpodarou"/>
        </w:rPr>
        <w:footnoteReference w:id="63"/>
      </w:r>
      <w:r w:rsidR="006808F8">
        <w:t xml:space="preserve"> </w:t>
      </w:r>
    </w:p>
    <w:p w14:paraId="2BE45520" w14:textId="77B1291A" w:rsidR="00051EBF" w:rsidRDefault="00EB5262" w:rsidP="00C3554C">
      <w:r>
        <w:t>Zástavní právo se dále vztahuje na veškeré příslušenství</w:t>
      </w:r>
      <w:r w:rsidR="007F5CB9">
        <w:t xml:space="preserve"> věci, či jakémukoliv dalšímu přírůstku</w:t>
      </w:r>
      <w:r>
        <w:t xml:space="preserve">, </w:t>
      </w:r>
      <w:r w:rsidR="007F5CB9">
        <w:t xml:space="preserve">a to i když vznikne později. Jedná se </w:t>
      </w:r>
      <w:r w:rsidR="0066132A">
        <w:t>tedy</w:t>
      </w:r>
      <w:r w:rsidR="00387AB5">
        <w:t xml:space="preserve"> například</w:t>
      </w:r>
      <w:r w:rsidR="0066132A">
        <w:t xml:space="preserve"> </w:t>
      </w:r>
      <w:r w:rsidR="007F5CB9">
        <w:t xml:space="preserve">o </w:t>
      </w:r>
      <w:r w:rsidR="0066132A">
        <w:t>stavb</w:t>
      </w:r>
      <w:r w:rsidR="007F5CB9">
        <w:t>y</w:t>
      </w:r>
      <w:r w:rsidR="0066132A">
        <w:t xml:space="preserve">, </w:t>
      </w:r>
      <w:r w:rsidR="007F5CB9">
        <w:t>které byly zřízeny</w:t>
      </w:r>
      <w:r w:rsidR="00387AB5">
        <w:t xml:space="preserve"> </w:t>
      </w:r>
      <w:r w:rsidR="0066132A">
        <w:t>na zástavním pozemku</w:t>
      </w:r>
      <w:r w:rsidR="00387AB5" w:rsidRPr="00387AB5">
        <w:t xml:space="preserve"> </w:t>
      </w:r>
      <w:r w:rsidR="00387AB5">
        <w:t>až později</w:t>
      </w:r>
      <w:r w:rsidR="0066132A">
        <w:t xml:space="preserve">, </w:t>
      </w:r>
      <w:r w:rsidR="00387AB5">
        <w:t>nebo také o</w:t>
      </w:r>
      <w:r w:rsidR="0066132A">
        <w:t xml:space="preserve"> náplavu apod. </w:t>
      </w:r>
      <w:r w:rsidR="00387AB5" w:rsidRPr="001F52BC">
        <w:t>Dále</w:t>
      </w:r>
      <w:r w:rsidR="00387AB5">
        <w:t xml:space="preserve"> se za </w:t>
      </w:r>
      <w:r w:rsidR="003F6BBF">
        <w:t xml:space="preserve">součást </w:t>
      </w:r>
      <w:r w:rsidR="00387AB5">
        <w:t>zástav</w:t>
      </w:r>
      <w:r w:rsidR="003F6BBF">
        <w:t>y</w:t>
      </w:r>
      <w:r w:rsidR="00387AB5">
        <w:t xml:space="preserve"> považ</w:t>
      </w:r>
      <w:r w:rsidR="003F6BBF">
        <w:t>oval</w:t>
      </w:r>
      <w:r w:rsidR="006E45FB">
        <w:t>y</w:t>
      </w:r>
      <w:r w:rsidR="00387AB5">
        <w:t xml:space="preserve"> jakékoliv </w:t>
      </w:r>
      <w:r w:rsidR="003F6BBF">
        <w:t xml:space="preserve">další </w:t>
      </w:r>
      <w:r w:rsidR="00387AB5">
        <w:t>budoucí plody</w:t>
      </w:r>
      <w:r w:rsidR="003F6BBF">
        <w:t xml:space="preserve"> zastavené věci,</w:t>
      </w:r>
      <w:r w:rsidR="00EF2699">
        <w:rPr>
          <w:rStyle w:val="Znakapoznpodarou"/>
        </w:rPr>
        <w:footnoteReference w:id="64"/>
      </w:r>
      <w:r w:rsidR="003F6BBF">
        <w:t xml:space="preserve"> a to jak umělé (úroky), tak přirozené </w:t>
      </w:r>
      <w:r w:rsidR="00865AD6">
        <w:t>(například děti otrokyně),</w:t>
      </w:r>
      <w:r w:rsidR="006F1839">
        <w:rPr>
          <w:rStyle w:val="Znakapoznpodarou"/>
        </w:rPr>
        <w:footnoteReference w:id="65"/>
      </w:r>
      <w:r w:rsidR="00865AD6">
        <w:t xml:space="preserve"> avšak pouze za předpokladu, že oddělením připadnou do vlastnictví zástavce nebo jeho dědiců.</w:t>
      </w:r>
      <w:r w:rsidR="00AF6B84">
        <w:t xml:space="preserve"> </w:t>
      </w:r>
      <w:r w:rsidR="00865AD6">
        <w:t xml:space="preserve">Předmětem zástavy mohou být také budoucí plody věci plodonosné, poskytnuté vlastníkem nebo </w:t>
      </w:r>
      <w:r w:rsidR="00B03423">
        <w:t>poživatelem (usufruktářem)</w:t>
      </w:r>
      <w:r w:rsidR="00865AD6">
        <w:t>,</w:t>
      </w:r>
      <w:r w:rsidR="00F839D8">
        <w:rPr>
          <w:rStyle w:val="Znakapoznpodarou"/>
        </w:rPr>
        <w:footnoteReference w:id="66"/>
      </w:r>
      <w:r w:rsidR="00865AD6">
        <w:t xml:space="preserve"> a to samy o sobě. </w:t>
      </w:r>
      <w:r w:rsidR="001F52BC">
        <w:t>Pokud však po jejich narození</w:t>
      </w:r>
      <w:r w:rsidR="001F52BC" w:rsidRPr="001F52BC">
        <w:t xml:space="preserve"> </w:t>
      </w:r>
      <w:r w:rsidR="001F52BC">
        <w:t xml:space="preserve">či separaci </w:t>
      </w:r>
      <w:r w:rsidR="003D3A42">
        <w:t>nabude</w:t>
      </w:r>
      <w:r w:rsidR="001F52BC">
        <w:t xml:space="preserve"> jejich vlastnictví někdo jiný než původní zastávce </w:t>
      </w:r>
      <w:r w:rsidR="0005370C">
        <w:t>anebo</w:t>
      </w:r>
      <w:r w:rsidR="001F52BC">
        <w:t xml:space="preserve"> dědic, ke vzniku zástavního práva zde nedojde.</w:t>
      </w:r>
      <w:r w:rsidR="00802050">
        <w:rPr>
          <w:rStyle w:val="Znakapoznpodarou"/>
        </w:rPr>
        <w:footnoteReference w:id="67"/>
      </w:r>
    </w:p>
    <w:p w14:paraId="69AE3AE5" w14:textId="7BC7ED1A" w:rsidR="00802050" w:rsidRDefault="006D3A1B" w:rsidP="00051EBF">
      <w:r>
        <w:t>Předmětem zástavního práva může být dále věc, která je ve spoluvlastnictví více osob, přičemž ji do zástavy může dát pouze jeden ze spoluvlastníků. Věc ve spoluvlastnictví však lze dát do zástavy pouze v tom rozsahu, v jakém náležel zástavci jeho podíl na věci. Pokud není určeno</w:t>
      </w:r>
      <w:r w:rsidR="00387CAA">
        <w:t xml:space="preserve"> jinak</w:t>
      </w:r>
      <w:r>
        <w:t>, jedná se o podíl ideální. Je-li dána do zástavy věc, která již</w:t>
      </w:r>
      <w:r w:rsidRPr="00A66819">
        <w:t xml:space="preserve"> </w:t>
      </w:r>
      <w:r>
        <w:t xml:space="preserve">je zatížena jinými věcnými právy, pak je i zástavní věřitel podroben stejnému omezení, jako zástavce. Znamená </w:t>
      </w:r>
      <w:r>
        <w:lastRenderedPageBreak/>
        <w:t xml:space="preserve">to tedy, že při výkonu zástavního práva, případně při jeho realizaci, zůstávají tato </w:t>
      </w:r>
      <w:r w:rsidRPr="00144E22">
        <w:rPr>
          <w:i/>
          <w:iCs/>
        </w:rPr>
        <w:t>iura in re aliena</w:t>
      </w:r>
      <w:r>
        <w:t xml:space="preserve"> nedotčena. Odpadne-li však od zastavené věci předchozí věcněprávní zatížení, například právo požívací a bude tak moci být vykonáváno vlastnické právo k věci v plném rozsahu, zvýší se tak stejnou měrou i působnost práva zástavního.</w:t>
      </w:r>
      <w:r w:rsidR="00802050">
        <w:rPr>
          <w:rStyle w:val="Znakapoznpodarou"/>
        </w:rPr>
        <w:footnoteReference w:id="68"/>
      </w:r>
    </w:p>
    <w:p w14:paraId="6BA30779" w14:textId="064D9778" w:rsidR="009906C2" w:rsidRDefault="00880325" w:rsidP="00942701">
      <w:r>
        <w:t xml:space="preserve">Vlastník věci může dát též do zástavy oprávnění, </w:t>
      </w:r>
      <w:r w:rsidR="009C7B81">
        <w:t xml:space="preserve">že </w:t>
      </w:r>
      <w:r w:rsidR="00085FF1">
        <w:t>pokud nebude</w:t>
      </w:r>
      <w:r w:rsidR="00C414F7">
        <w:t xml:space="preserve"> obligace z jeho strany plněn</w:t>
      </w:r>
      <w:r w:rsidR="0022730C">
        <w:t>a a dostane se tak do prodlení</w:t>
      </w:r>
      <w:r w:rsidR="00FC50A9">
        <w:t xml:space="preserve">, </w:t>
      </w:r>
      <w:r w:rsidR="00D075B4">
        <w:t>může zástavní věřitel</w:t>
      </w:r>
      <w:r w:rsidR="00C6482B">
        <w:t xml:space="preserve"> </w:t>
      </w:r>
      <w:r w:rsidR="00117402">
        <w:t>na věci zastavené zřídit za úplatu</w:t>
      </w:r>
      <w:r w:rsidR="00FF4EC7">
        <w:t>, ve prospěch třetí osoby</w:t>
      </w:r>
      <w:r w:rsidR="00B125B1">
        <w:t xml:space="preserve"> </w:t>
      </w:r>
      <w:r w:rsidR="00B125B1" w:rsidRPr="00144E22">
        <w:rPr>
          <w:i/>
          <w:iCs/>
        </w:rPr>
        <w:t>superficii</w:t>
      </w:r>
      <w:r w:rsidR="00BB0366">
        <w:rPr>
          <w:rStyle w:val="Znakapoznpodarou"/>
        </w:rPr>
        <w:footnoteReference w:id="69"/>
      </w:r>
      <w:r w:rsidR="00B125B1">
        <w:t xml:space="preserve">, </w:t>
      </w:r>
      <w:r w:rsidR="00B125B1" w:rsidRPr="00144E22">
        <w:rPr>
          <w:i/>
          <w:iCs/>
        </w:rPr>
        <w:t>emf</w:t>
      </w:r>
      <w:r w:rsidR="000A1431" w:rsidRPr="00144E22">
        <w:rPr>
          <w:i/>
          <w:iCs/>
        </w:rPr>
        <w:t>yteusi</w:t>
      </w:r>
      <w:r w:rsidR="00753603">
        <w:rPr>
          <w:rStyle w:val="Znakapoznpodarou"/>
        </w:rPr>
        <w:footnoteReference w:id="70"/>
      </w:r>
      <w:r w:rsidR="000A1431">
        <w:t xml:space="preserve"> anebo služebnost</w:t>
      </w:r>
      <w:r w:rsidR="00A8008A">
        <w:rPr>
          <w:rStyle w:val="Znakapoznpodarou"/>
        </w:rPr>
        <w:footnoteReference w:id="71"/>
      </w:r>
      <w:r w:rsidR="00D76F9A">
        <w:t xml:space="preserve"> (osobní nebo věcnou)</w:t>
      </w:r>
      <w:r w:rsidR="00D97EB5">
        <w:t>.</w:t>
      </w:r>
      <w:r w:rsidR="00EA34A7">
        <w:rPr>
          <w:rStyle w:val="Znakapoznpodarou"/>
        </w:rPr>
        <w:footnoteReference w:id="72"/>
      </w:r>
      <w:r w:rsidR="00942701">
        <w:t xml:space="preserve"> </w:t>
      </w:r>
    </w:p>
    <w:p w14:paraId="6EB35F53" w14:textId="3B4DCA34" w:rsidR="0005074E" w:rsidRDefault="00D5301C" w:rsidP="00942701">
      <w:r>
        <w:t>Předmětem zástavy mohou být dále pohledávky</w:t>
      </w:r>
      <w:r w:rsidR="009123B8">
        <w:t xml:space="preserve">, neboli </w:t>
      </w:r>
      <w:r w:rsidR="000D1759">
        <w:rPr>
          <w:i/>
          <w:iCs/>
        </w:rPr>
        <w:t>pignus nominis</w:t>
      </w:r>
      <w:r w:rsidR="009123B8">
        <w:t>, avšak pouze takové, kterou jsou postupite</w:t>
      </w:r>
      <w:r w:rsidR="009C695A">
        <w:t>lné cessí.</w:t>
      </w:r>
      <w:r w:rsidR="009123B8">
        <w:rPr>
          <w:i/>
          <w:iCs/>
        </w:rPr>
        <w:t xml:space="preserve"> </w:t>
      </w:r>
      <w:r w:rsidR="00B3701B">
        <w:t>Také</w:t>
      </w:r>
      <w:r w:rsidR="00942701">
        <w:t xml:space="preserve"> celé jmění zástavce</w:t>
      </w:r>
      <w:r w:rsidR="00B3701B">
        <w:t xml:space="preserve"> mohlo být </w:t>
      </w:r>
      <w:r w:rsidR="00474B6B">
        <w:t>předmětem zástavy</w:t>
      </w:r>
      <w:r w:rsidR="00CF37CE">
        <w:t xml:space="preserve">, nicméně </w:t>
      </w:r>
      <w:r w:rsidR="005D54E6">
        <w:t xml:space="preserve">kromě toho, co </w:t>
      </w:r>
      <w:r w:rsidR="004B6C9E">
        <w:t>bylo součástí zástavcova majetku v době, kdy byl dán do zástavy</w:t>
      </w:r>
      <w:r w:rsidR="00942701">
        <w:t>,</w:t>
      </w:r>
      <w:r w:rsidR="00EF2699">
        <w:t xml:space="preserve"> </w:t>
      </w:r>
      <w:r w:rsidR="00470D6F">
        <w:t xml:space="preserve">byly </w:t>
      </w:r>
      <w:r w:rsidR="00EF2699" w:rsidRPr="009454AF">
        <w:t xml:space="preserve">podle Ulpiána </w:t>
      </w:r>
      <w:r w:rsidR="00470D6F">
        <w:t>předmětem zástavy</w:t>
      </w:r>
      <w:r w:rsidR="00CF38B4">
        <w:t xml:space="preserve"> i ty věci a pohledávky, které nabyl teprve v</w:t>
      </w:r>
      <w:r w:rsidR="003B4201">
        <w:t> </w:t>
      </w:r>
      <w:r w:rsidR="00CF38B4">
        <w:t>budoucnu</w:t>
      </w:r>
      <w:r w:rsidR="003B4201">
        <w:t xml:space="preserve"> (</w:t>
      </w:r>
      <w:r w:rsidR="003B4201" w:rsidRPr="00963DC2">
        <w:rPr>
          <w:i/>
          <w:iCs/>
        </w:rPr>
        <w:t>hypotheca generalis</w:t>
      </w:r>
      <w:r w:rsidR="003B4201">
        <w:t>)</w:t>
      </w:r>
      <w:r w:rsidR="00167E97">
        <w:t>,</w:t>
      </w:r>
      <w:r w:rsidR="00EF2699" w:rsidRPr="009454AF">
        <w:rPr>
          <w:rStyle w:val="Znakapoznpodarou"/>
        </w:rPr>
        <w:footnoteReference w:id="73"/>
      </w:r>
      <w:r w:rsidR="00167E97" w:rsidRPr="009454AF">
        <w:t xml:space="preserve"> </w:t>
      </w:r>
      <w:r w:rsidR="00167E97">
        <w:t xml:space="preserve">tedy </w:t>
      </w:r>
      <w:r w:rsidR="0080446D">
        <w:t>od okamžiku zřízení zástavního práva, do jeho případné realizace.</w:t>
      </w:r>
      <w:r w:rsidR="00EA005B">
        <w:rPr>
          <w:rStyle w:val="Znakapoznpodarou"/>
        </w:rPr>
        <w:footnoteReference w:id="74"/>
      </w:r>
    </w:p>
    <w:p w14:paraId="2839606C" w14:textId="3163FFF6" w:rsidR="00B06F8C" w:rsidRDefault="0005074E" w:rsidP="0005074E">
      <w:pPr>
        <w:pStyle w:val="Nadpis3"/>
      </w:pPr>
      <w:r>
        <w:br w:type="page"/>
      </w:r>
      <w:bookmarkStart w:id="16" w:name="_Toc100354936"/>
      <w:r>
        <w:lastRenderedPageBreak/>
        <w:t>2.3.2 Obsah zástavního práva</w:t>
      </w:r>
      <w:bookmarkEnd w:id="16"/>
    </w:p>
    <w:p w14:paraId="3FB4B319" w14:textId="4DBD0DCB" w:rsidR="002C74F8" w:rsidRDefault="008A5B38" w:rsidP="002E67F1">
      <w:r>
        <w:t>Co se obsahu zástavního práva týče</w:t>
      </w:r>
      <w:r w:rsidR="00C071BE">
        <w:t xml:space="preserve">, tak by se </w:t>
      </w:r>
      <w:r w:rsidR="001F0C53">
        <w:t xml:space="preserve">dle slov </w:t>
      </w:r>
      <w:r w:rsidR="004B1B9F">
        <w:t>prof. Kincla</w:t>
      </w:r>
      <w:r w:rsidR="001F0C53">
        <w:t xml:space="preserve"> </w:t>
      </w:r>
      <w:r w:rsidR="00C071BE">
        <w:t xml:space="preserve">dalo říct, že byl u obou „konečných“ forem </w:t>
      </w:r>
      <w:r w:rsidR="00672654">
        <w:t>(pignu a hypotéky) stejný</w:t>
      </w:r>
      <w:r w:rsidR="00EF040B">
        <w:t>, avšak rozdíl by se dal spatřovat v</w:t>
      </w:r>
      <w:r w:rsidR="00F01C64">
        <w:t> </w:t>
      </w:r>
      <w:r w:rsidR="00EF040B">
        <w:t>tom</w:t>
      </w:r>
      <w:r w:rsidR="00F01C64">
        <w:t>, jak byla ona oprávněn</w:t>
      </w:r>
      <w:r w:rsidR="00B8369B">
        <w:t>í</w:t>
      </w:r>
      <w:r w:rsidR="00F01C64">
        <w:t xml:space="preserve"> vyplývající z obsahu zástavního práva roz</w:t>
      </w:r>
      <w:r w:rsidR="00A7701C">
        <w:t>ložena během doby, kdy zástavní právo trvalo.</w:t>
      </w:r>
      <w:r w:rsidR="003321A5">
        <w:rPr>
          <w:rStyle w:val="Znakapoznpodarou"/>
        </w:rPr>
        <w:footnoteReference w:id="75"/>
      </w:r>
      <w:r w:rsidR="003A610B">
        <w:t xml:space="preserve"> </w:t>
      </w:r>
    </w:p>
    <w:p w14:paraId="0B9B8FD2" w14:textId="7ED0DC0B" w:rsidR="002E67F1" w:rsidRDefault="00FD1F9A" w:rsidP="002E67F1">
      <w:r w:rsidRPr="00FF01FA">
        <w:rPr>
          <w:b/>
          <w:bCs/>
        </w:rPr>
        <w:t>Prvním</w:t>
      </w:r>
      <w:r>
        <w:t xml:space="preserve"> z</w:t>
      </w:r>
      <w:r w:rsidR="00930EEA">
        <w:t> těchto oprávnění</w:t>
      </w:r>
      <w:r w:rsidR="003E550B">
        <w:t>, které příslušelo zástavnímu věřiteli,</w:t>
      </w:r>
      <w:r w:rsidR="00930EEA">
        <w:t xml:space="preserve"> bylo </w:t>
      </w:r>
      <w:r w:rsidR="00930EEA" w:rsidRPr="009A3207">
        <w:rPr>
          <w:i/>
          <w:iCs/>
        </w:rPr>
        <w:t>ius possidendi</w:t>
      </w:r>
      <w:r w:rsidR="00930EEA">
        <w:t xml:space="preserve">, neboli právo </w:t>
      </w:r>
      <w:r w:rsidR="00930EEA" w:rsidRPr="002B41EF">
        <w:rPr>
          <w:u w:val="single"/>
        </w:rPr>
        <w:t>držet</w:t>
      </w:r>
      <w:r w:rsidR="00930EEA">
        <w:t xml:space="preserve"> věc</w:t>
      </w:r>
      <w:r w:rsidR="003E550B">
        <w:t>,</w:t>
      </w:r>
      <w:r w:rsidR="00930EEA">
        <w:t xml:space="preserve"> která byla předmětem zástavy.</w:t>
      </w:r>
      <w:r w:rsidR="0008112D">
        <w:t xml:space="preserve"> </w:t>
      </w:r>
      <w:r w:rsidR="003321A5">
        <w:t>Pokud šlo o</w:t>
      </w:r>
      <w:r w:rsidR="008B5B54">
        <w:t xml:space="preserve"> </w:t>
      </w:r>
      <w:r w:rsidR="00CA6A51">
        <w:t>ruční zástavu (</w:t>
      </w:r>
      <w:r w:rsidR="00CA6A51" w:rsidRPr="006E0D64">
        <w:t>pignus</w:t>
      </w:r>
      <w:r w:rsidR="00CA6A51">
        <w:t>), toto oprávnění zástavnímu věřiteli náleželo od okamžiku, kdy</w:t>
      </w:r>
      <w:r w:rsidR="00CF3AFC">
        <w:t xml:space="preserve"> bylo zřízeno. Jinak tomu však bylo v případě zástavy smluvní</w:t>
      </w:r>
      <w:r w:rsidR="007A6455">
        <w:t xml:space="preserve"> (hypotéky), jelikož toto oprávnění zástavní věřitel nabyl až v okamžiku, kdy se pohledávka stala splatnou</w:t>
      </w:r>
      <w:r w:rsidR="00821F27">
        <w:t xml:space="preserve"> a zároveň nebyla </w:t>
      </w:r>
      <w:r w:rsidR="00401F7C">
        <w:t>uspokojena</w:t>
      </w:r>
      <w:r w:rsidR="00821F27">
        <w:t>.</w:t>
      </w:r>
      <w:r w:rsidR="00C90F89">
        <w:t xml:space="preserve"> </w:t>
      </w:r>
      <w:r w:rsidR="00731E7E">
        <w:t xml:space="preserve">Nutno však dodat, že </w:t>
      </w:r>
      <w:r w:rsidR="001A26FF">
        <w:t xml:space="preserve">je toto oprávnění potřebné odlišit od vlastnické držby, jelikož zástavní věřitel je v tomto případě </w:t>
      </w:r>
      <w:r w:rsidR="002858C7">
        <w:t xml:space="preserve">pouze </w:t>
      </w:r>
      <w:r w:rsidR="00ED7DC4">
        <w:t>naturálním držitelem (detentorem), bez vůle držet věc jako vlastní.</w:t>
      </w:r>
      <w:r w:rsidR="002F2763">
        <w:rPr>
          <w:rStyle w:val="Znakapoznpodarou"/>
        </w:rPr>
        <w:footnoteReference w:id="76"/>
      </w:r>
      <w:r w:rsidR="002858C7">
        <w:t xml:space="preserve"> </w:t>
      </w:r>
      <w:r w:rsidR="00AA28E8">
        <w:t xml:space="preserve">Dle prof. Sommera </w:t>
      </w:r>
      <w:r w:rsidR="001B7C38" w:rsidRPr="000A0524">
        <w:rPr>
          <w:i/>
          <w:iCs/>
        </w:rPr>
        <w:t>„</w:t>
      </w:r>
      <w:r w:rsidR="00BB7796" w:rsidRPr="000A0524">
        <w:rPr>
          <w:i/>
          <w:iCs/>
        </w:rPr>
        <w:t>byla d</w:t>
      </w:r>
      <w:r w:rsidR="00AA28E8" w:rsidRPr="000A0524">
        <w:rPr>
          <w:i/>
          <w:iCs/>
        </w:rPr>
        <w:t>ržba zástavního věřitele</w:t>
      </w:r>
      <w:r w:rsidR="003149B7" w:rsidRPr="000A0524">
        <w:rPr>
          <w:i/>
          <w:iCs/>
        </w:rPr>
        <w:t xml:space="preserve"> </w:t>
      </w:r>
      <w:r w:rsidR="00BB7796" w:rsidRPr="000A0524">
        <w:rPr>
          <w:i/>
          <w:iCs/>
        </w:rPr>
        <w:t xml:space="preserve">preatorem </w:t>
      </w:r>
      <w:r w:rsidR="00AA28E8" w:rsidRPr="000A0524">
        <w:rPr>
          <w:i/>
          <w:iCs/>
        </w:rPr>
        <w:t>chráněna držebními interdiky</w:t>
      </w:r>
      <w:r w:rsidR="0075373F" w:rsidRPr="000A0524">
        <w:rPr>
          <w:i/>
          <w:iCs/>
        </w:rPr>
        <w:t xml:space="preserve"> proti rušení a odnětí (interdicta retinendae a recupe</w:t>
      </w:r>
      <w:r w:rsidR="00BB115D" w:rsidRPr="000A0524">
        <w:rPr>
          <w:i/>
          <w:iCs/>
        </w:rPr>
        <w:t>randae possessionis)</w:t>
      </w:r>
      <w:r w:rsidR="00B27F08" w:rsidRPr="000A0524">
        <w:rPr>
          <w:i/>
          <w:iCs/>
        </w:rPr>
        <w:t>.</w:t>
      </w:r>
      <w:r w:rsidR="00CD1415" w:rsidRPr="000A0524">
        <w:rPr>
          <w:i/>
          <w:iCs/>
        </w:rPr>
        <w:t>“</w:t>
      </w:r>
      <w:r w:rsidR="007437F9">
        <w:t xml:space="preserve"> </w:t>
      </w:r>
      <w:r w:rsidR="00B0349B">
        <w:t>Dále, pokud se chtěl zástavní věřitel ujmout detence</w:t>
      </w:r>
      <w:r w:rsidR="00CB3358">
        <w:t xml:space="preserve"> věci</w:t>
      </w:r>
      <w:r w:rsidR="00CC2C2C">
        <w:t>, k</w:t>
      </w:r>
      <w:r w:rsidR="00CB3358">
        <w:t>terá byla předmětem zástavy,</w:t>
      </w:r>
      <w:r w:rsidR="00310B92">
        <w:t xml:space="preserve"> </w:t>
      </w:r>
      <w:r w:rsidR="00CC2C2C">
        <w:t xml:space="preserve">poskytoval </w:t>
      </w:r>
      <w:r w:rsidR="00CC5AAC">
        <w:t xml:space="preserve">mu </w:t>
      </w:r>
      <w:r w:rsidR="00CC2C2C">
        <w:t>praetor</w:t>
      </w:r>
      <w:r w:rsidR="00CC5AAC">
        <w:t xml:space="preserve"> </w:t>
      </w:r>
      <w:r w:rsidR="00FB4FD1">
        <w:t>za tímto účelem proti zástavci</w:t>
      </w:r>
      <w:r w:rsidR="008247B7">
        <w:t xml:space="preserve"> </w:t>
      </w:r>
      <w:r w:rsidR="00206D4E">
        <w:t>Salviánský interdikt</w:t>
      </w:r>
      <w:r w:rsidR="00355DED">
        <w:t xml:space="preserve">, </w:t>
      </w:r>
      <w:r w:rsidR="006F1201">
        <w:t xml:space="preserve">který jsme si již </w:t>
      </w:r>
      <w:r w:rsidR="008F7159">
        <w:t>popsali výše</w:t>
      </w:r>
      <w:r w:rsidR="00244C68">
        <w:t>. P</w:t>
      </w:r>
      <w:r w:rsidR="00355DED">
        <w:t xml:space="preserve">okud </w:t>
      </w:r>
      <w:r w:rsidR="00661765">
        <w:t xml:space="preserve">však </w:t>
      </w:r>
      <w:r w:rsidR="00355DED">
        <w:t>věc zadržoval někdo jin</w:t>
      </w:r>
      <w:r w:rsidR="007151D7">
        <w:t>ý</w:t>
      </w:r>
      <w:r w:rsidR="0023104F">
        <w:t xml:space="preserve">, byla </w:t>
      </w:r>
      <w:r w:rsidR="001D548A">
        <w:t xml:space="preserve">věřiteli poskytována žaloba </w:t>
      </w:r>
      <w:r w:rsidR="001D548A" w:rsidRPr="00DF3711">
        <w:rPr>
          <w:i/>
          <w:iCs/>
        </w:rPr>
        <w:t>vindicatio pignoris</w:t>
      </w:r>
      <w:r w:rsidR="001D548A">
        <w:t xml:space="preserve">, neboli </w:t>
      </w:r>
      <w:r w:rsidR="001D548A" w:rsidRPr="00DF3711">
        <w:rPr>
          <w:i/>
          <w:iCs/>
        </w:rPr>
        <w:t>actio pigenretacia in rem</w:t>
      </w:r>
      <w:r w:rsidR="00132DC3">
        <w:t xml:space="preserve">. </w:t>
      </w:r>
      <w:r w:rsidR="008266F9">
        <w:t>Byl-li předmětem zástavy pachtýřův inventář</w:t>
      </w:r>
      <w:r w:rsidR="003142E4">
        <w:t xml:space="preserve">, mohl zástavní věřitel použít </w:t>
      </w:r>
      <w:r w:rsidR="007C5A74" w:rsidRPr="00DF3711">
        <w:rPr>
          <w:i/>
          <w:iCs/>
        </w:rPr>
        <w:t>actio Serviana</w:t>
      </w:r>
      <w:r w:rsidR="007C5A74">
        <w:t xml:space="preserve"> (</w:t>
      </w:r>
      <w:r w:rsidR="00327806">
        <w:t>serviánskou žalobu)</w:t>
      </w:r>
      <w:r w:rsidR="00161A80">
        <w:t xml:space="preserve"> a pokud se jednalo </w:t>
      </w:r>
      <w:r w:rsidR="00C64E22">
        <w:t xml:space="preserve">o </w:t>
      </w:r>
      <w:r w:rsidR="005316D1">
        <w:t>smluvní zástavu</w:t>
      </w:r>
      <w:r w:rsidR="000C4AD6">
        <w:t xml:space="preserve">, byla předmětem ochrany </w:t>
      </w:r>
      <w:r w:rsidR="007C5A74" w:rsidRPr="00DF3711">
        <w:rPr>
          <w:i/>
          <w:iCs/>
        </w:rPr>
        <w:t>actio quasi Serviana</w:t>
      </w:r>
      <w:r w:rsidR="00327806">
        <w:t xml:space="preserve"> (kvaziserviánská žaloba)</w:t>
      </w:r>
      <w:r w:rsidR="005316D1">
        <w:t>, či</w:t>
      </w:r>
      <w:r w:rsidR="002E67F1">
        <w:t xml:space="preserve"> </w:t>
      </w:r>
      <w:r w:rsidR="002E67F1" w:rsidRPr="00DF3711">
        <w:rPr>
          <w:i/>
          <w:iCs/>
        </w:rPr>
        <w:t>actio hypothecaria</w:t>
      </w:r>
      <w:r w:rsidR="002E67F1">
        <w:t>.</w:t>
      </w:r>
      <w:r w:rsidR="00A61336">
        <w:rPr>
          <w:rStyle w:val="Znakapoznpodarou"/>
        </w:rPr>
        <w:footnoteReference w:id="77"/>
      </w:r>
      <w:r w:rsidR="002E67F1">
        <w:t xml:space="preserve"> </w:t>
      </w:r>
      <w:r w:rsidR="005316D1">
        <w:t xml:space="preserve"> </w:t>
      </w:r>
    </w:p>
    <w:p w14:paraId="605917B5" w14:textId="2142AE08" w:rsidR="002C74F8" w:rsidRDefault="00B92C28" w:rsidP="0029022A">
      <w:r>
        <w:t>Avšak dle prof. Kincla, p</w:t>
      </w:r>
      <w:r w:rsidR="00264586">
        <w:t>okud</w:t>
      </w:r>
      <w:r w:rsidR="0049241F">
        <w:t xml:space="preserve"> </w:t>
      </w:r>
      <w:r w:rsidR="00264586">
        <w:t xml:space="preserve">došlo ke splnění pohledávky ze strany </w:t>
      </w:r>
      <w:r w:rsidR="00DD3757">
        <w:t>dlužník</w:t>
      </w:r>
      <w:r w:rsidR="0049241F">
        <w:t>a</w:t>
      </w:r>
      <w:r w:rsidR="00DD3757">
        <w:t>,</w:t>
      </w:r>
      <w:r w:rsidR="00D61C52">
        <w:t xml:space="preserve"> </w:t>
      </w:r>
      <w:r w:rsidR="00DD3757">
        <w:t xml:space="preserve">nastala zástavnímu věřiteli povinnost, </w:t>
      </w:r>
      <w:r w:rsidR="0049241F">
        <w:t xml:space="preserve">aby </w:t>
      </w:r>
      <w:r w:rsidR="00DD3757">
        <w:t>zástavu vráti</w:t>
      </w:r>
      <w:r w:rsidR="0049241F">
        <w:t>l</w:t>
      </w:r>
      <w:r w:rsidR="00DD3757">
        <w:t xml:space="preserve">. </w:t>
      </w:r>
      <w:r w:rsidR="00126CA1">
        <w:t>Nebyla</w:t>
      </w:r>
      <w:r w:rsidR="008A0BA1">
        <w:t>-</w:t>
      </w:r>
      <w:r w:rsidR="00126CA1">
        <w:t xml:space="preserve">li tato povinnost plněna dobrovolně, mohl ji </w:t>
      </w:r>
      <w:r w:rsidR="00224BDD">
        <w:t>zástavce</w:t>
      </w:r>
      <w:r w:rsidR="00311A79">
        <w:t xml:space="preserve"> vymáhat zvláštní osobní žalobou, která se nazývala </w:t>
      </w:r>
      <w:r w:rsidR="00311A79" w:rsidRPr="00DF3711">
        <w:rPr>
          <w:i/>
          <w:iCs/>
        </w:rPr>
        <w:t>actio pigne</w:t>
      </w:r>
      <w:r w:rsidR="00584A3B" w:rsidRPr="00DF3711">
        <w:rPr>
          <w:i/>
          <w:iCs/>
        </w:rPr>
        <w:t>raticia directa</w:t>
      </w:r>
      <w:r w:rsidR="008A0BA1">
        <w:t>.</w:t>
      </w:r>
      <w:r w:rsidR="003961A3">
        <w:rPr>
          <w:rStyle w:val="Znakapoznpodarou"/>
        </w:rPr>
        <w:footnoteReference w:id="78"/>
      </w:r>
      <w:r w:rsidR="00550F3C">
        <w:t xml:space="preserve"> </w:t>
      </w:r>
      <w:r w:rsidR="00EF3383">
        <w:t>Pozděj</w:t>
      </w:r>
      <w:r w:rsidR="00CC0EA7">
        <w:t xml:space="preserve">ším vývojem </w:t>
      </w:r>
      <w:r w:rsidR="001B346B">
        <w:t xml:space="preserve">tohoto práva došlo ke značnému zvýhodnění zástavního věřitele </w:t>
      </w:r>
      <w:r w:rsidR="001B4F60">
        <w:t>tím způsobem</w:t>
      </w:r>
      <w:r w:rsidR="00ED165E">
        <w:t xml:space="preserve">, že měl </w:t>
      </w:r>
      <w:r w:rsidR="000F2C14">
        <w:t xml:space="preserve">za jistých okolností </w:t>
      </w:r>
      <w:r w:rsidR="00ED165E">
        <w:t>oprávnění</w:t>
      </w:r>
      <w:r w:rsidR="002C756B">
        <w:t xml:space="preserve"> </w:t>
      </w:r>
      <w:r w:rsidR="009E0E42">
        <w:t>zadržovat</w:t>
      </w:r>
      <w:r w:rsidR="002C756B">
        <w:t xml:space="preserve"> zastavenou věc u sebe</w:t>
      </w:r>
      <w:r w:rsidR="00D0550E">
        <w:t xml:space="preserve"> (</w:t>
      </w:r>
      <w:r w:rsidR="007C5E7F">
        <w:t>Gordiánské</w:t>
      </w:r>
      <w:r w:rsidR="00E11C3E">
        <w:t xml:space="preserve"> </w:t>
      </w:r>
      <w:r w:rsidR="00D0550E">
        <w:t>retenční právo</w:t>
      </w:r>
      <w:r w:rsidR="00E11C3E">
        <w:t>)</w:t>
      </w:r>
      <w:r w:rsidR="00086DA6">
        <w:t>,</w:t>
      </w:r>
      <w:r w:rsidR="00B23A91">
        <w:rPr>
          <w:rStyle w:val="Znakapoznpodarou"/>
        </w:rPr>
        <w:footnoteReference w:id="79"/>
      </w:r>
      <w:r w:rsidR="00086DA6">
        <w:t xml:space="preserve"> i když došlo k úplnému zaplacení dluhu, pro který byla věc dána do zástavy</w:t>
      </w:r>
      <w:r w:rsidR="000F2C14">
        <w:t>.</w:t>
      </w:r>
      <w:r w:rsidR="00754166">
        <w:t xml:space="preserve"> </w:t>
      </w:r>
      <w:r w:rsidR="000F2C14">
        <w:t xml:space="preserve">Takovou okolností byla situace, kdy </w:t>
      </w:r>
      <w:r w:rsidR="00754166">
        <w:t xml:space="preserve">měl </w:t>
      </w:r>
      <w:r w:rsidR="000F2C14">
        <w:t xml:space="preserve">zástavní věřitel </w:t>
      </w:r>
      <w:r w:rsidR="00C37F14">
        <w:t xml:space="preserve">vůči dlužníkovi i jiné pohledávky, které však </w:t>
      </w:r>
      <w:r w:rsidR="00351A22">
        <w:t>zástavním právem zajištěny nebyly</w:t>
      </w:r>
      <w:r w:rsidR="00E06054">
        <w:t>.</w:t>
      </w:r>
      <w:r w:rsidR="00C7764E">
        <w:rPr>
          <w:rStyle w:val="Znakapoznpodarou"/>
        </w:rPr>
        <w:footnoteReference w:id="80"/>
      </w:r>
      <w:r w:rsidR="00C7764E">
        <w:t xml:space="preserve"> </w:t>
      </w:r>
      <w:r w:rsidR="00DE0159">
        <w:t>Nutno však do</w:t>
      </w:r>
      <w:r w:rsidR="00B27555">
        <w:t xml:space="preserve">dat, že zástavní </w:t>
      </w:r>
      <w:r w:rsidR="00B27555">
        <w:lastRenderedPageBreak/>
        <w:t xml:space="preserve">věřitel, i přes </w:t>
      </w:r>
      <w:r w:rsidR="00A62B9B">
        <w:t xml:space="preserve">existenci </w:t>
      </w:r>
      <w:r w:rsidR="00A147D8">
        <w:t xml:space="preserve">tohoto </w:t>
      </w:r>
      <w:r w:rsidR="00B27555">
        <w:t>retenční</w:t>
      </w:r>
      <w:r w:rsidR="00A62B9B">
        <w:t>ho</w:t>
      </w:r>
      <w:r w:rsidR="00B27555">
        <w:t xml:space="preserve"> práv</w:t>
      </w:r>
      <w:r w:rsidR="00A62B9B">
        <w:t>a</w:t>
      </w:r>
      <w:r w:rsidR="00B27555">
        <w:t xml:space="preserve">, nesměl </w:t>
      </w:r>
      <w:r w:rsidR="000D180D">
        <w:t xml:space="preserve">zástavu užívat, </w:t>
      </w:r>
      <w:r w:rsidR="00550F3C">
        <w:t xml:space="preserve">jinak by se </w:t>
      </w:r>
      <w:r w:rsidR="00026C32">
        <w:t>dopouštěl</w:t>
      </w:r>
      <w:r w:rsidR="00550F3C">
        <w:t xml:space="preserve"> </w:t>
      </w:r>
      <w:r w:rsidR="00550F3C" w:rsidRPr="005F45B3">
        <w:rPr>
          <w:i/>
          <w:iCs/>
        </w:rPr>
        <w:t>furta</w:t>
      </w:r>
      <w:r w:rsidR="00550F3C">
        <w:rPr>
          <w:i/>
          <w:iCs/>
        </w:rPr>
        <w:t>.</w:t>
      </w:r>
      <w:r w:rsidR="00F40410">
        <w:rPr>
          <w:rStyle w:val="Znakapoznpodarou"/>
          <w:i/>
          <w:iCs/>
        </w:rPr>
        <w:footnoteReference w:id="81"/>
      </w:r>
      <w:r w:rsidR="0029022A">
        <w:t xml:space="preserve"> </w:t>
      </w:r>
    </w:p>
    <w:p w14:paraId="5012776A" w14:textId="7C3434F5" w:rsidR="00FC45E0" w:rsidRDefault="00FF01FA" w:rsidP="0029022A">
      <w:r w:rsidRPr="00FF01FA">
        <w:rPr>
          <w:b/>
          <w:bCs/>
        </w:rPr>
        <w:t>Druhým</w:t>
      </w:r>
      <w:r w:rsidR="004767D6">
        <w:t xml:space="preserve"> </w:t>
      </w:r>
      <w:r w:rsidR="00A72CE2">
        <w:t xml:space="preserve">důležitým </w:t>
      </w:r>
      <w:r w:rsidR="004767D6">
        <w:t xml:space="preserve">oprávněním zástavního věřitele bylo zástavu </w:t>
      </w:r>
      <w:r w:rsidR="004767D6" w:rsidRPr="00AC1AF7">
        <w:t>prodat</w:t>
      </w:r>
      <w:r w:rsidR="00AC1AF7">
        <w:t xml:space="preserve"> (</w:t>
      </w:r>
      <w:r w:rsidR="00666006" w:rsidRPr="005F45B3">
        <w:rPr>
          <w:i/>
          <w:iCs/>
        </w:rPr>
        <w:t xml:space="preserve">ius </w:t>
      </w:r>
      <w:r w:rsidR="006F2DFC" w:rsidRPr="005F45B3">
        <w:rPr>
          <w:i/>
          <w:iCs/>
        </w:rPr>
        <w:t xml:space="preserve">vendendi, </w:t>
      </w:r>
      <w:r w:rsidR="00666006" w:rsidRPr="005F45B3">
        <w:rPr>
          <w:i/>
          <w:iCs/>
        </w:rPr>
        <w:t>distrahendi</w:t>
      </w:r>
      <w:r w:rsidR="00AC1AF7">
        <w:t>)</w:t>
      </w:r>
      <w:r w:rsidR="00151F15">
        <w:t xml:space="preserve"> a</w:t>
      </w:r>
      <w:r w:rsidR="00FE453E">
        <w:t xml:space="preserve"> </w:t>
      </w:r>
      <w:r w:rsidR="00151F15">
        <w:t>z takto prodané věci pak vyrovnat svoji pohledávk</w:t>
      </w:r>
      <w:r w:rsidR="008D79D9">
        <w:t>u. Toto oprávnění bylo projevem uhrazovací funkce</w:t>
      </w:r>
      <w:r w:rsidR="00E273EC">
        <w:t xml:space="preserve"> zástavního práva, jak jsme si již řekli výše.</w:t>
      </w:r>
      <w:r w:rsidR="00B72032">
        <w:t xml:space="preserve"> </w:t>
      </w:r>
      <w:r w:rsidR="00E07FF6">
        <w:t xml:space="preserve">Dle prof. Blaha, byla historickým předchůdcem zástavního prodeje </w:t>
      </w:r>
      <w:r w:rsidR="00363FFA" w:rsidRPr="005F45B3">
        <w:rPr>
          <w:i/>
          <w:iCs/>
        </w:rPr>
        <w:t>lex commissoria</w:t>
      </w:r>
      <w:r w:rsidR="00363FFA">
        <w:t>, neboli propadná zástava</w:t>
      </w:r>
      <w:r w:rsidR="009F1027">
        <w:t xml:space="preserve"> (o té viz.</w:t>
      </w:r>
      <w:r w:rsidR="00736E34">
        <w:t xml:space="preserve"> pozn.</w:t>
      </w:r>
      <w:r w:rsidR="00E9097D">
        <w:rPr>
          <w:vertAlign w:val="superscript"/>
        </w:rPr>
        <w:t>16</w:t>
      </w:r>
      <w:r w:rsidR="00736E34">
        <w:t>)</w:t>
      </w:r>
      <w:r w:rsidR="008E6879">
        <w:t>. Později se zástavní prodej uskutečňoval</w:t>
      </w:r>
      <w:r w:rsidR="008978B5">
        <w:t xml:space="preserve"> </w:t>
      </w:r>
      <w:r w:rsidR="008E6879">
        <w:t>na základě vedlejší</w:t>
      </w:r>
      <w:r w:rsidR="00CA02A0">
        <w:t xml:space="preserve"> dohody o prodeji zástavy</w:t>
      </w:r>
      <w:r w:rsidR="00244E17">
        <w:t xml:space="preserve"> (</w:t>
      </w:r>
      <w:r w:rsidR="00244E17" w:rsidRPr="005F45B3">
        <w:rPr>
          <w:i/>
          <w:iCs/>
        </w:rPr>
        <w:t>pactum de vendento, pactum de distrahendi</w:t>
      </w:r>
      <w:r w:rsidR="00244E17">
        <w:t>)</w:t>
      </w:r>
      <w:r w:rsidR="000E5123">
        <w:t xml:space="preserve">, </w:t>
      </w:r>
      <w:r w:rsidR="00AB4EF8">
        <w:t>dík</w:t>
      </w:r>
      <w:r w:rsidR="00E85CE2">
        <w:t>y</w:t>
      </w:r>
      <w:r w:rsidR="000E5123">
        <w:t xml:space="preserve"> které měl věřitel oprávnění věc prodat za předpokladu, že</w:t>
      </w:r>
      <w:r w:rsidR="00AB4EF8">
        <w:t xml:space="preserve"> </w:t>
      </w:r>
      <w:r w:rsidR="005F6645">
        <w:t>dlužník zaviněně nesplnil jeho pohledávku</w:t>
      </w:r>
      <w:r w:rsidR="00E85CE2">
        <w:t>.</w:t>
      </w:r>
      <w:r w:rsidR="005015F8">
        <w:rPr>
          <w:rStyle w:val="Znakapoznpodarou"/>
        </w:rPr>
        <w:footnoteReference w:id="82"/>
      </w:r>
      <w:r w:rsidR="00543567">
        <w:t xml:space="preserve"> </w:t>
      </w:r>
      <w:r w:rsidR="002F3DC6">
        <w:t>Tato dohoda se stala tak běžnou, že pokud n</w:t>
      </w:r>
      <w:r w:rsidR="000921D2">
        <w:t>ebylo sjednáno jinak, předpokládala se</w:t>
      </w:r>
      <w:r w:rsidR="009D1487">
        <w:t xml:space="preserve"> dle Ulpi</w:t>
      </w:r>
      <w:r w:rsidR="005E2AA8">
        <w:t>ána</w:t>
      </w:r>
      <w:r w:rsidR="00BE3118">
        <w:t xml:space="preserve"> automaticky</w:t>
      </w:r>
      <w:r w:rsidR="00B4581E">
        <w:t>.</w:t>
      </w:r>
      <w:r w:rsidR="00B4581E">
        <w:rPr>
          <w:rStyle w:val="Znakapoznpodarou"/>
        </w:rPr>
        <w:footnoteReference w:id="83"/>
      </w:r>
      <w:r w:rsidR="00B4581E">
        <w:t xml:space="preserve"> </w:t>
      </w:r>
      <w:r w:rsidR="00413C64">
        <w:t>Navíc</w:t>
      </w:r>
      <w:r w:rsidR="009D7DE9">
        <w:t xml:space="preserve"> Gaius tvrdil</w:t>
      </w:r>
      <w:r w:rsidR="001959C3">
        <w:t xml:space="preserve">, že: </w:t>
      </w:r>
      <w:r w:rsidR="001959C3" w:rsidRPr="006B62D4">
        <w:rPr>
          <w:i/>
          <w:iCs/>
        </w:rPr>
        <w:t xml:space="preserve">„také věřitel může na základě </w:t>
      </w:r>
      <w:r w:rsidR="00443398" w:rsidRPr="006B62D4">
        <w:rPr>
          <w:i/>
          <w:iCs/>
        </w:rPr>
        <w:t>úmluvy (zcizit) zástavu</w:t>
      </w:r>
      <w:r w:rsidR="00AC3037" w:rsidRPr="006B62D4">
        <w:rPr>
          <w:i/>
          <w:iCs/>
        </w:rPr>
        <w:t>, ačkoli ta věc není jeho. Toto však, jak se zdá</w:t>
      </w:r>
      <w:r w:rsidR="009475C9" w:rsidRPr="006B62D4">
        <w:rPr>
          <w:i/>
          <w:iCs/>
        </w:rPr>
        <w:t>, je možné zřejmě proto, že zcizení zástavy se chápe (jako zcizení</w:t>
      </w:r>
      <w:r w:rsidR="00E57270" w:rsidRPr="006B62D4">
        <w:rPr>
          <w:i/>
          <w:iCs/>
        </w:rPr>
        <w:t>)</w:t>
      </w:r>
      <w:r w:rsidR="009475C9" w:rsidRPr="006B62D4">
        <w:rPr>
          <w:i/>
          <w:iCs/>
        </w:rPr>
        <w:t xml:space="preserve"> z vůle dlužníka</w:t>
      </w:r>
      <w:r w:rsidR="00E57270" w:rsidRPr="006B62D4">
        <w:rPr>
          <w:i/>
          <w:iCs/>
        </w:rPr>
        <w:t>, který si kdysi ujednal, a</w:t>
      </w:r>
      <w:r w:rsidR="001D19F4" w:rsidRPr="006B62D4">
        <w:rPr>
          <w:i/>
          <w:iCs/>
        </w:rPr>
        <w:t>by věřiteli bylo dovoleno zástavu prodat (v případě), že peníze nebudou zaplaceny.“</w:t>
      </w:r>
      <w:r w:rsidR="00413C64">
        <w:rPr>
          <w:rStyle w:val="Znakapoznpodarou"/>
        </w:rPr>
        <w:footnoteReference w:id="84"/>
      </w:r>
      <w:r w:rsidR="00E57270">
        <w:t xml:space="preserve"> </w:t>
      </w:r>
      <w:r w:rsidR="002633E7">
        <w:t>K tomu, aby</w:t>
      </w:r>
      <w:r w:rsidR="00D5504F">
        <w:t xml:space="preserve"> zástavní věřitel nabyl oprávnění </w:t>
      </w:r>
      <w:r w:rsidR="00E507AB">
        <w:t>k prodeji zástavy</w:t>
      </w:r>
      <w:r w:rsidR="00EC5FD5">
        <w:t xml:space="preserve">, </w:t>
      </w:r>
      <w:r w:rsidR="008C1352">
        <w:t>nebylo</w:t>
      </w:r>
      <w:r w:rsidR="006F348A">
        <w:t xml:space="preserve"> dle prof. Sommera</w:t>
      </w:r>
      <w:r w:rsidR="008C1352">
        <w:t xml:space="preserve"> nutné</w:t>
      </w:r>
      <w:r w:rsidR="006F348A">
        <w:t>,</w:t>
      </w:r>
      <w:r w:rsidR="008C1352">
        <w:t xml:space="preserve"> aby zástavní věřitel žaloval na neuspokojenou pohledávku</w:t>
      </w:r>
      <w:r w:rsidR="00CB15F9">
        <w:t xml:space="preserve"> a vymohl si tak odsuzující rozsudek vůči dlužníkovi. </w:t>
      </w:r>
      <w:r w:rsidR="00454B11">
        <w:t>Pro to, aby mohl být uskutečněn zástavní prodej, bylo zapotřebí, aby</w:t>
      </w:r>
      <w:r w:rsidR="0042115D">
        <w:t xml:space="preserve"> </w:t>
      </w:r>
      <w:r w:rsidR="00AE2057">
        <w:rPr>
          <w:vertAlign w:val="superscript"/>
        </w:rPr>
        <w:t>1)</w:t>
      </w:r>
      <w:r w:rsidR="007B3BED">
        <w:rPr>
          <w:vertAlign w:val="superscript"/>
        </w:rPr>
        <w:t xml:space="preserve"> </w:t>
      </w:r>
      <w:r w:rsidR="004877A5">
        <w:t xml:space="preserve">pohledávka dospěla </w:t>
      </w:r>
      <w:r w:rsidR="00773CCE">
        <w:t>(</w:t>
      </w:r>
      <w:r w:rsidR="004877A5">
        <w:t>stala</w:t>
      </w:r>
      <w:r w:rsidR="00773CCE">
        <w:t xml:space="preserve"> se</w:t>
      </w:r>
      <w:r w:rsidR="004877A5">
        <w:t xml:space="preserve"> splatnou</w:t>
      </w:r>
      <w:r w:rsidR="00773CCE">
        <w:t>)</w:t>
      </w:r>
      <w:r w:rsidR="004877A5">
        <w:t>,</w:t>
      </w:r>
      <w:r w:rsidR="000562AD">
        <w:t xml:space="preserve"> </w:t>
      </w:r>
      <w:r w:rsidR="00AE2057" w:rsidRPr="00AE2057">
        <w:rPr>
          <w:vertAlign w:val="superscript"/>
        </w:rPr>
        <w:t>2)</w:t>
      </w:r>
      <w:r w:rsidR="007B3BED">
        <w:rPr>
          <w:vertAlign w:val="superscript"/>
        </w:rPr>
        <w:t xml:space="preserve"> </w:t>
      </w:r>
      <w:r w:rsidR="000562AD">
        <w:t>d</w:t>
      </w:r>
      <w:r w:rsidR="00F60591">
        <w:t>lužník byl v</w:t>
      </w:r>
      <w:r w:rsidR="002D61B2">
        <w:t> </w:t>
      </w:r>
      <w:r w:rsidR="00F60591">
        <w:t>prodlení</w:t>
      </w:r>
      <w:r w:rsidR="002D61B2">
        <w:t xml:space="preserve"> s plněním svého dluhu</w:t>
      </w:r>
      <w:r w:rsidR="00F60591">
        <w:t xml:space="preserve"> a nakonec </w:t>
      </w:r>
      <w:r w:rsidR="007B3BED">
        <w:rPr>
          <w:vertAlign w:val="superscript"/>
        </w:rPr>
        <w:t xml:space="preserve">3) </w:t>
      </w:r>
      <w:r w:rsidR="00F60591">
        <w:t>byl dlužníkovi zamýšlený prodej oznámen</w:t>
      </w:r>
      <w:r w:rsidR="004A468E">
        <w:t>.</w:t>
      </w:r>
      <w:r w:rsidR="00696E2C">
        <w:rPr>
          <w:rStyle w:val="Znakapoznpodarou"/>
        </w:rPr>
        <w:footnoteReference w:id="85"/>
      </w:r>
      <w:r w:rsidR="00454B11">
        <w:t xml:space="preserve"> </w:t>
      </w:r>
      <w:r w:rsidR="00541916">
        <w:t xml:space="preserve">Nutno však dodat, že </w:t>
      </w:r>
      <w:r w:rsidR="003949EB">
        <w:t>za dob justiniánského práva nestači</w:t>
      </w:r>
      <w:r w:rsidR="004569E5">
        <w:t>l</w:t>
      </w:r>
      <w:r w:rsidR="009908B1">
        <w:t>o pouhé oznámení, resp. výhružka o prodeji zástavy</w:t>
      </w:r>
      <w:r w:rsidR="00240BD7">
        <w:t>.</w:t>
      </w:r>
      <w:r w:rsidR="009908B1">
        <w:t xml:space="preserve"> </w:t>
      </w:r>
      <w:r w:rsidR="00240BD7">
        <w:t>B</w:t>
      </w:r>
      <w:r w:rsidR="00DD10E1">
        <w:t>ylo navíc zapotřebí, aby od takového oznámení uplynuly alespoň dva r</w:t>
      </w:r>
      <w:r w:rsidR="0070311F">
        <w:t>oky</w:t>
      </w:r>
      <w:r w:rsidR="00240BD7">
        <w:t>. Tedy až pak mohl zástavní věřitel realizovat zástavní prodej.</w:t>
      </w:r>
      <w:r>
        <w:rPr>
          <w:rStyle w:val="Znakapoznpodarou"/>
        </w:rPr>
        <w:footnoteReference w:id="86"/>
      </w:r>
      <w:r>
        <w:t xml:space="preserve"> </w:t>
      </w:r>
    </w:p>
    <w:p w14:paraId="7CE94A02" w14:textId="633615C4" w:rsidR="0073411B" w:rsidRDefault="008D19B3" w:rsidP="008D19B3">
      <w:r>
        <w:t>Prof. Heyrovský dále píše, že v</w:t>
      </w:r>
      <w:r w:rsidR="00272F02">
        <w:t> </w:t>
      </w:r>
      <w:r w:rsidR="006E4483">
        <w:t>době</w:t>
      </w:r>
      <w:r w:rsidR="00272F02">
        <w:t xml:space="preserve"> </w:t>
      </w:r>
      <w:r w:rsidR="00FC45E0" w:rsidRPr="005D0C0F">
        <w:rPr>
          <w:b/>
          <w:bCs/>
        </w:rPr>
        <w:t>předjustiniánského</w:t>
      </w:r>
      <w:r w:rsidR="009148FF">
        <w:t xml:space="preserve"> </w:t>
      </w:r>
      <w:r w:rsidR="00A176E7">
        <w:t xml:space="preserve">práva </w:t>
      </w:r>
      <w:r w:rsidR="00F73F50">
        <w:t>bylo povinností zástavního věřitele</w:t>
      </w:r>
      <w:r>
        <w:t>,</w:t>
      </w:r>
      <w:r w:rsidR="00A176E7">
        <w:t xml:space="preserve"> </w:t>
      </w:r>
      <w:r w:rsidR="0074254F">
        <w:t xml:space="preserve">učinit </w:t>
      </w:r>
      <w:r w:rsidR="009A7C72">
        <w:t>vůči zástavci oznámení o prodeji zástavy</w:t>
      </w:r>
      <w:r w:rsidR="00CC195E">
        <w:t xml:space="preserve">, </w:t>
      </w:r>
      <w:r w:rsidR="00156615">
        <w:t>přičemž tak musel učinit třikrát</w:t>
      </w:r>
      <w:r w:rsidR="00CC40CD">
        <w:t xml:space="preserve"> předtím</w:t>
      </w:r>
      <w:r w:rsidR="00156615">
        <w:t>, než se uchýlil</w:t>
      </w:r>
      <w:r w:rsidR="00C54C4E" w:rsidRPr="00C54C4E">
        <w:t xml:space="preserve"> </w:t>
      </w:r>
      <w:r w:rsidR="00C54C4E">
        <w:t>k  prodeji</w:t>
      </w:r>
      <w:r w:rsidR="00156615">
        <w:t xml:space="preserve">. </w:t>
      </w:r>
      <w:r w:rsidR="00DA2F57">
        <w:t xml:space="preserve">Pokud však byl </w:t>
      </w:r>
      <w:r w:rsidR="00041580">
        <w:t xml:space="preserve">onen prodej domluven </w:t>
      </w:r>
      <w:r w:rsidR="004337FB">
        <w:t xml:space="preserve">zvláště, tato </w:t>
      </w:r>
      <w:r w:rsidR="00041580">
        <w:t xml:space="preserve">oznamovací </w:t>
      </w:r>
      <w:r w:rsidR="004337FB">
        <w:t>povinnost neplatila</w:t>
      </w:r>
      <w:r w:rsidR="00823097">
        <w:t xml:space="preserve">. </w:t>
      </w:r>
      <w:r w:rsidR="005D0C0F">
        <w:t xml:space="preserve">Podle </w:t>
      </w:r>
      <w:r w:rsidR="005D0C0F" w:rsidRPr="00D36318">
        <w:rPr>
          <w:b/>
          <w:bCs/>
        </w:rPr>
        <w:t>justiniánské</w:t>
      </w:r>
      <w:r w:rsidR="005D0C0F">
        <w:t xml:space="preserve"> úpravy však</w:t>
      </w:r>
      <w:r w:rsidR="00A46D64">
        <w:t xml:space="preserve"> byla tato povinnost trojího oznámení nutná </w:t>
      </w:r>
      <w:r w:rsidR="00D36318">
        <w:t xml:space="preserve">pouze </w:t>
      </w:r>
      <w:r w:rsidR="00A46D64">
        <w:t>v</w:t>
      </w:r>
      <w:r w:rsidR="00D36318">
        <w:t> </w:t>
      </w:r>
      <w:r w:rsidR="00A46D64">
        <w:t>případě</w:t>
      </w:r>
      <w:r w:rsidR="00D36318">
        <w:t>, že byla stranami ujednána nemožnost prodeje zástavy.</w:t>
      </w:r>
      <w:r w:rsidR="00DE171B">
        <w:t xml:space="preserve"> </w:t>
      </w:r>
      <w:r w:rsidR="0003483D">
        <w:t>Čímž</w:t>
      </w:r>
      <w:r w:rsidR="00F8410B">
        <w:t xml:space="preserve"> </w:t>
      </w:r>
      <w:r w:rsidR="00F8410B">
        <w:lastRenderedPageBreak/>
        <w:t>se vlastně</w:t>
      </w:r>
      <w:r w:rsidR="00DE171B">
        <w:t xml:space="preserve"> </w:t>
      </w:r>
      <w:r w:rsidR="00C76447">
        <w:t>takovéto</w:t>
      </w:r>
      <w:r w:rsidR="00DE171B">
        <w:t xml:space="preserve"> ujednání</w:t>
      </w:r>
      <w:r w:rsidR="00F8410B">
        <w:t xml:space="preserve"> o nemožnosti prodeje</w:t>
      </w:r>
      <w:r w:rsidR="00C76447">
        <w:t xml:space="preserve"> zástavy</w:t>
      </w:r>
      <w:r w:rsidR="00DE171B">
        <w:t xml:space="preserve"> dalo překonat</w:t>
      </w:r>
      <w:r w:rsidR="00F8410B">
        <w:t>.</w:t>
      </w:r>
      <w:r w:rsidR="00A46D64">
        <w:t xml:space="preserve"> </w:t>
      </w:r>
      <w:r w:rsidR="00295E98">
        <w:t xml:space="preserve">Jiná situace však nastala, </w:t>
      </w:r>
      <w:r w:rsidR="008C305F">
        <w:t xml:space="preserve">pokud byl dlužník odsouzen. </w:t>
      </w:r>
      <w:r w:rsidR="001F3D35">
        <w:t xml:space="preserve">V takovémto případě nebylo oznámení o prodeji </w:t>
      </w:r>
      <w:r w:rsidR="009E7BC7">
        <w:t xml:space="preserve">zástavy </w:t>
      </w:r>
      <w:r w:rsidR="001F3D35">
        <w:t xml:space="preserve">zapotřebí </w:t>
      </w:r>
      <w:r w:rsidR="009E7BC7">
        <w:t>vůbec a zástavní věřitel k</w:t>
      </w:r>
      <w:r w:rsidR="00743C0C">
        <w:t> </w:t>
      </w:r>
      <w:r w:rsidR="009E7BC7">
        <w:t>n</w:t>
      </w:r>
      <w:r w:rsidR="00743C0C">
        <w:t xml:space="preserve">ěmu mohl </w:t>
      </w:r>
      <w:r w:rsidR="00DF77A0">
        <w:t xml:space="preserve">přistoupit </w:t>
      </w:r>
      <w:r w:rsidR="00743C0C">
        <w:t xml:space="preserve">rovnou. </w:t>
      </w:r>
      <w:r w:rsidR="009D0948">
        <w:t xml:space="preserve">Nelze však opomenout </w:t>
      </w:r>
      <w:r w:rsidR="00574141">
        <w:t xml:space="preserve">další </w:t>
      </w:r>
      <w:r w:rsidR="009311A2">
        <w:t>podmínku</w:t>
      </w:r>
      <w:r w:rsidR="008400F1">
        <w:t>,</w:t>
      </w:r>
      <w:r w:rsidR="009311A2">
        <w:t xml:space="preserve"> stanovenou císařem </w:t>
      </w:r>
      <w:r w:rsidR="00574141">
        <w:t>Justiniánem</w:t>
      </w:r>
      <w:r w:rsidR="009D0948">
        <w:t xml:space="preserve">, </w:t>
      </w:r>
      <w:r w:rsidR="008400F1">
        <w:t>dle které</w:t>
      </w:r>
      <w:r w:rsidR="00565758">
        <w:t xml:space="preserve"> bylo</w:t>
      </w:r>
      <w:r w:rsidR="00703A2E">
        <w:t xml:space="preserve"> </w:t>
      </w:r>
      <w:r w:rsidR="009D0948">
        <w:t xml:space="preserve">nutné, aby </w:t>
      </w:r>
      <w:r w:rsidR="00324054">
        <w:t>od posledního oznámení, či odsouzení, uplynul</w:t>
      </w:r>
      <w:r w:rsidR="008400F1">
        <w:t>y</w:t>
      </w:r>
      <w:r w:rsidR="00C010CC">
        <w:t xml:space="preserve"> </w:t>
      </w:r>
      <w:r w:rsidR="008400F1">
        <w:t xml:space="preserve">alespoň </w:t>
      </w:r>
      <w:r w:rsidR="00C010CC">
        <w:t>dva roky.</w:t>
      </w:r>
      <w:r w:rsidR="00565758">
        <w:t xml:space="preserve"> </w:t>
      </w:r>
      <w:r w:rsidR="00F13F04">
        <w:t>Byla zde však možnost ujednat</w:t>
      </w:r>
      <w:r w:rsidR="00432447">
        <w:t xml:space="preserve"> i</w:t>
      </w:r>
      <w:r w:rsidR="00F13F04">
        <w:t xml:space="preserve"> jinak, tedy </w:t>
      </w:r>
      <w:r w:rsidR="00C26587">
        <w:t>tato podmínka</w:t>
      </w:r>
      <w:r w:rsidR="001702F8" w:rsidRPr="001702F8">
        <w:t xml:space="preserve"> </w:t>
      </w:r>
      <w:r w:rsidR="001702F8">
        <w:t>nebyla</w:t>
      </w:r>
      <w:r w:rsidR="00C26587">
        <w:t xml:space="preserve"> </w:t>
      </w:r>
      <w:r w:rsidR="004A76A2">
        <w:t>vždy</w:t>
      </w:r>
      <w:r w:rsidR="001702F8">
        <w:t xml:space="preserve"> </w:t>
      </w:r>
      <w:r w:rsidR="00C26587">
        <w:t>nezbytným předpokladem.</w:t>
      </w:r>
      <w:r w:rsidR="001C7C57">
        <w:rPr>
          <w:rStyle w:val="Znakapoznpodarou"/>
        </w:rPr>
        <w:footnoteReference w:id="87"/>
      </w:r>
      <w:r w:rsidR="003961A3">
        <w:t xml:space="preserve"> </w:t>
      </w:r>
      <w:r w:rsidR="00627C8B">
        <w:t>Zástavu mohl zástavní věřitel prodat dvěma způsoby, a to ve veřejné dražbě</w:t>
      </w:r>
      <w:r w:rsidR="004C6C05">
        <w:t xml:space="preserve"> (v té se obligatorně prodával</w:t>
      </w:r>
      <w:r w:rsidR="002955E9">
        <w:t>a</w:t>
      </w:r>
      <w:r w:rsidR="004C6C05">
        <w:t xml:space="preserve"> </w:t>
      </w:r>
      <w:r w:rsidR="006149D0">
        <w:t>pouze exekuční zástav</w:t>
      </w:r>
      <w:r w:rsidR="002955E9">
        <w:t xml:space="preserve">a, neboli </w:t>
      </w:r>
      <w:r w:rsidR="00197584" w:rsidRPr="005F69E4">
        <w:rPr>
          <w:i/>
          <w:iCs/>
        </w:rPr>
        <w:t>pignus in causa iudicati captum</w:t>
      </w:r>
      <w:r w:rsidR="006149D0">
        <w:t>)</w:t>
      </w:r>
      <w:r w:rsidR="00627C8B">
        <w:t xml:space="preserve"> nebo z volné ruky,</w:t>
      </w:r>
      <w:r w:rsidR="006214C2">
        <w:t xml:space="preserve"> a to podle toho, jak sám uznal za vhodné.</w:t>
      </w:r>
      <w:r w:rsidR="00751405">
        <w:t xml:space="preserve"> </w:t>
      </w:r>
      <w:r w:rsidR="00BF0B31">
        <w:t xml:space="preserve">Zástavní věřitel však měl </w:t>
      </w:r>
      <w:r w:rsidR="00175413">
        <w:t xml:space="preserve">povinnost, aby </w:t>
      </w:r>
      <w:r w:rsidR="003031D8">
        <w:t xml:space="preserve">se snažil </w:t>
      </w:r>
      <w:r w:rsidR="00175413">
        <w:t xml:space="preserve">zástavu </w:t>
      </w:r>
      <w:r w:rsidR="003031D8">
        <w:t xml:space="preserve">prodal </w:t>
      </w:r>
      <w:r w:rsidR="00175413">
        <w:t>za co nejvyšší možnou cenu</w:t>
      </w:r>
      <w:r w:rsidR="005A288F">
        <w:t>.</w:t>
      </w:r>
      <w:r w:rsidR="00407C67">
        <w:rPr>
          <w:rStyle w:val="Znakapoznpodarou"/>
        </w:rPr>
        <w:footnoteReference w:id="88"/>
      </w:r>
      <w:r w:rsidR="005A288F">
        <w:t xml:space="preserve"> K tomu se také vyjádřil </w:t>
      </w:r>
      <w:r w:rsidR="00C43D41">
        <w:t xml:space="preserve">Julián ve 13. knize svých Digest takto: </w:t>
      </w:r>
      <w:r w:rsidR="002C512A" w:rsidRPr="006B62D4">
        <w:rPr>
          <w:i/>
          <w:iCs/>
        </w:rPr>
        <w:t>„</w:t>
      </w:r>
      <w:r w:rsidR="00C43D41" w:rsidRPr="006B62D4">
        <w:rPr>
          <w:i/>
          <w:iCs/>
        </w:rPr>
        <w:t>Ve věci (předložené právníkovi k posouzení), kdy zástavní věřitel prodal zástavu</w:t>
      </w:r>
      <w:r w:rsidR="00355419" w:rsidRPr="006B62D4">
        <w:rPr>
          <w:i/>
          <w:iCs/>
        </w:rPr>
        <w:t xml:space="preserve"> s výhradou lepšího kupce, nelze mít z to, že jednal v dobré víře, nepřijal-li nejvyšší nabídku</w:t>
      </w:r>
      <w:r w:rsidR="00CC61AE" w:rsidRPr="006B62D4">
        <w:rPr>
          <w:i/>
          <w:iCs/>
        </w:rPr>
        <w:t>. Co však, zasáhl-li nemajetný kupec jen proto, aby překazil prodej (zástavy)? (Pak) může věřitel bez nebezpečí prodat</w:t>
      </w:r>
      <w:r w:rsidR="002C512A" w:rsidRPr="006B62D4">
        <w:rPr>
          <w:i/>
          <w:iCs/>
        </w:rPr>
        <w:t xml:space="preserve"> (zástavu) dřívějšímu kupci.“</w:t>
      </w:r>
      <w:r w:rsidR="001F3A4A" w:rsidRPr="00AA159E">
        <w:rPr>
          <w:rStyle w:val="Znakapoznpodarou"/>
        </w:rPr>
        <w:footnoteReference w:id="89"/>
      </w:r>
      <w:r w:rsidR="00511037" w:rsidRPr="00AA159E">
        <w:t xml:space="preserve"> </w:t>
      </w:r>
      <w:r w:rsidR="002A136B">
        <w:t xml:space="preserve">Prof. </w:t>
      </w:r>
      <w:r w:rsidR="00F1498D">
        <w:t>Vančura</w:t>
      </w:r>
      <w:r w:rsidR="002A136B">
        <w:t xml:space="preserve"> k tomuto dále píše, že p</w:t>
      </w:r>
      <w:r w:rsidR="00340B93">
        <w:t>okud zástavní věřitel neprod</w:t>
      </w:r>
      <w:r w:rsidR="00204BF5">
        <w:t>al</w:t>
      </w:r>
      <w:r w:rsidR="00340B93">
        <w:t xml:space="preserve"> </w:t>
      </w:r>
      <w:r w:rsidR="00497377">
        <w:t>zástavu za co nejvyšší</w:t>
      </w:r>
      <w:r w:rsidR="00204BF5">
        <w:t xml:space="preserve"> </w:t>
      </w:r>
      <w:r w:rsidR="00820779">
        <w:t>cenu</w:t>
      </w:r>
      <w:r w:rsidR="00497377">
        <w:t xml:space="preserve">, </w:t>
      </w:r>
      <w:r w:rsidR="00E67B90">
        <w:t>pakliže</w:t>
      </w:r>
      <w:r w:rsidR="008B7305">
        <w:t xml:space="preserve"> jednal zaviněně, </w:t>
      </w:r>
      <w:r w:rsidR="00820779">
        <w:t>musel</w:t>
      </w:r>
      <w:r w:rsidR="00497377">
        <w:t xml:space="preserve"> zástavci nahradit škodu</w:t>
      </w:r>
      <w:r w:rsidR="0082446D">
        <w:t xml:space="preserve">, která mu takovýmto </w:t>
      </w:r>
      <w:r w:rsidR="00820779">
        <w:t xml:space="preserve">nevýhodným </w:t>
      </w:r>
      <w:r w:rsidR="0082446D">
        <w:t>prodejem vznikla.</w:t>
      </w:r>
      <w:r w:rsidR="00D96574">
        <w:t xml:space="preserve"> </w:t>
      </w:r>
      <w:r w:rsidR="00D5667D">
        <w:t xml:space="preserve">Pokud byl však nepoctivý věřitel </w:t>
      </w:r>
      <w:r w:rsidR="002A136B">
        <w:t>nemajetný</w:t>
      </w:r>
      <w:r w:rsidR="00D5667D">
        <w:t xml:space="preserve">, mohl </w:t>
      </w:r>
      <w:r w:rsidR="00A55939">
        <w:t xml:space="preserve">zástavce </w:t>
      </w:r>
      <w:r w:rsidR="00D5667D">
        <w:t>žádat</w:t>
      </w:r>
      <w:r w:rsidR="00A55939">
        <w:t xml:space="preserve"> náhradu škody i po kupci zástavy</w:t>
      </w:r>
      <w:r w:rsidR="002A136B">
        <w:t>, pokud byl takového nepoctivého jednání účasten</w:t>
      </w:r>
      <w:r w:rsidR="00A55939">
        <w:t>.</w:t>
      </w:r>
      <w:r w:rsidR="00C76370">
        <w:rPr>
          <w:rStyle w:val="Znakapoznpodarou"/>
        </w:rPr>
        <w:footnoteReference w:id="90"/>
      </w:r>
      <w:r w:rsidR="00A83AE1">
        <w:t xml:space="preserve"> </w:t>
      </w:r>
      <w:r w:rsidR="004D17BD">
        <w:t>Na základě zástavního prodeje je zástavní věřitel povinen vydat kupci zástavu, avšak nemá-li</w:t>
      </w:r>
      <w:r w:rsidR="001F3A4A">
        <w:t xml:space="preserve"> sám věřitel věc ve své faktické moci</w:t>
      </w:r>
      <w:r w:rsidR="004D17BD">
        <w:t xml:space="preserve"> (</w:t>
      </w:r>
      <w:r w:rsidR="001F3A4A">
        <w:t xml:space="preserve">u </w:t>
      </w:r>
      <w:r w:rsidR="00AD54E2">
        <w:t>hypot</w:t>
      </w:r>
      <w:r w:rsidR="003220AE">
        <w:t>é</w:t>
      </w:r>
      <w:r w:rsidR="00AD54E2">
        <w:t>ky</w:t>
      </w:r>
      <w:r w:rsidR="004D17BD">
        <w:t>),</w:t>
      </w:r>
      <w:r w:rsidR="001F3A4A">
        <w:t xml:space="preserve"> je předmětem prodeje nárok na vydání </w:t>
      </w:r>
      <w:r w:rsidR="007A1CD7">
        <w:t xml:space="preserve">takto </w:t>
      </w:r>
      <w:r w:rsidR="004D17BD">
        <w:t>zastavené věci.</w:t>
      </w:r>
      <w:r w:rsidR="001F3A4A">
        <w:t xml:space="preserve"> </w:t>
      </w:r>
      <w:r w:rsidR="007A1CD7">
        <w:t>Zástavce</w:t>
      </w:r>
      <w:r w:rsidR="00AF71B2">
        <w:t>,</w:t>
      </w:r>
      <w:r w:rsidR="007A1CD7">
        <w:t xml:space="preserve"> </w:t>
      </w:r>
      <w:r w:rsidR="00AF71B2">
        <w:t>či</w:t>
      </w:r>
      <w:r w:rsidR="007A1CD7">
        <w:t xml:space="preserve"> zástavní věřitel však nemohli být kupci</w:t>
      </w:r>
      <w:r w:rsidR="00E872BC">
        <w:t xml:space="preserve"> zástavy</w:t>
      </w:r>
      <w:r w:rsidR="007A1CD7">
        <w:t>, a to ani skrze osobu nastrčenou, pod sankcí neplatnosti takovéto koupě. Jestliže se však nenašel vhodný kupec</w:t>
      </w:r>
      <w:r w:rsidR="009E103D">
        <w:t>, mohl zástavní věřitel požádat císaře, aby mu zástavu přiřkl za odhadní cenu.</w:t>
      </w:r>
      <w:r w:rsidR="009E103D">
        <w:rPr>
          <w:rStyle w:val="Znakapoznpodarou"/>
        </w:rPr>
        <w:footnoteReference w:id="91"/>
      </w:r>
      <w:r w:rsidR="007A1CD7">
        <w:t xml:space="preserve"> </w:t>
      </w:r>
      <w:r w:rsidR="007C724B">
        <w:t xml:space="preserve">Jak jsme si již výše řekli, předmětem zástavy mohl být i peněžitý obnos </w:t>
      </w:r>
      <w:r w:rsidR="00FC0D76">
        <w:t>nebo také jiná</w:t>
      </w:r>
      <w:r w:rsidR="007C724B">
        <w:t xml:space="preserve"> věc určená genericky. V takovém případě </w:t>
      </w:r>
      <w:r w:rsidR="00A840A2">
        <w:t xml:space="preserve">však </w:t>
      </w:r>
      <w:r w:rsidR="007C724B">
        <w:t xml:space="preserve">docházelo při realizaci zástavního práva ke zvláštnosti, a to, že si zástavní věřitel pouze odečetl svoji pohledávku. Pokud </w:t>
      </w:r>
      <w:r w:rsidR="00261EDA">
        <w:t xml:space="preserve">peněžitý obnos nebyl dostatečný pro uhrazení pohledávky, ve zbytku </w:t>
      </w:r>
      <w:r w:rsidR="0000529D">
        <w:t xml:space="preserve">trvala i </w:t>
      </w:r>
      <w:r w:rsidR="00261EDA">
        <w:t>nadále.</w:t>
      </w:r>
      <w:r w:rsidR="0071593B">
        <w:rPr>
          <w:rStyle w:val="Znakapoznpodarou"/>
        </w:rPr>
        <w:footnoteReference w:id="92"/>
      </w:r>
    </w:p>
    <w:p w14:paraId="3F35094E" w14:textId="7DDD044E" w:rsidR="009132A2" w:rsidRDefault="009132A2" w:rsidP="00AB3FA6">
      <w:pPr>
        <w:pStyle w:val="Nadpis2"/>
      </w:pPr>
      <w:bookmarkStart w:id="17" w:name="_Toc100354937"/>
      <w:r>
        <w:lastRenderedPageBreak/>
        <w:t>2.</w:t>
      </w:r>
      <w:r w:rsidR="00AB3FA6">
        <w:t>4</w:t>
      </w:r>
      <w:r>
        <w:t xml:space="preserve"> </w:t>
      </w:r>
      <w:r w:rsidR="0073411B">
        <w:t>Zástavní právo k pohledávce</w:t>
      </w:r>
      <w:bookmarkEnd w:id="17"/>
    </w:p>
    <w:p w14:paraId="5BB984D1" w14:textId="411C0106" w:rsidR="0073411B" w:rsidRDefault="009E48FC" w:rsidP="00ED4CA5">
      <w:r>
        <w:t>Předmětem zástavy mohla být dále i pohledávka</w:t>
      </w:r>
      <w:r w:rsidR="003D13C3">
        <w:t xml:space="preserve"> zástavce </w:t>
      </w:r>
      <w:r w:rsidR="00480878">
        <w:t>za třetí osobou</w:t>
      </w:r>
      <w:r w:rsidR="006455C6">
        <w:t xml:space="preserve">, </w:t>
      </w:r>
      <w:r w:rsidR="00FB626C">
        <w:t>přičemž</w:t>
      </w:r>
      <w:r w:rsidR="006455C6">
        <w:t xml:space="preserve"> dlužní úpis</w:t>
      </w:r>
      <w:r w:rsidR="00315D80">
        <w:t xml:space="preserve"> (</w:t>
      </w:r>
      <w:r w:rsidR="00315D80" w:rsidRPr="00974961">
        <w:rPr>
          <w:i/>
          <w:iCs/>
        </w:rPr>
        <w:t>cautio</w:t>
      </w:r>
      <w:r w:rsidR="00315D80">
        <w:t>)</w:t>
      </w:r>
      <w:r w:rsidR="006455C6">
        <w:t xml:space="preserve"> o této pohledávce</w:t>
      </w:r>
      <w:r w:rsidR="00FB626C">
        <w:t xml:space="preserve"> měl</w:t>
      </w:r>
      <w:r w:rsidR="006455C6">
        <w:t xml:space="preserve"> charakter zástavy ruční</w:t>
      </w:r>
      <w:r w:rsidR="00480878">
        <w:t>.</w:t>
      </w:r>
      <w:r w:rsidR="00F87E83">
        <w:t xml:space="preserve"> </w:t>
      </w:r>
      <w:r w:rsidR="00620740">
        <w:t xml:space="preserve">Tím, že </w:t>
      </w:r>
      <w:r w:rsidR="0049386D">
        <w:t xml:space="preserve">věřitel zadržoval dlužní úpis mu byla </w:t>
      </w:r>
      <w:r w:rsidR="00ED4B64">
        <w:t xml:space="preserve">zpočátku </w:t>
      </w:r>
      <w:r w:rsidR="0049386D">
        <w:t xml:space="preserve">dána </w:t>
      </w:r>
      <w:r w:rsidR="000722E4">
        <w:t>pouze faktická možnost, aby vyv</w:t>
      </w:r>
      <w:r w:rsidR="00E643D4">
        <w:t>íjel nátlak na svého dlužníka</w:t>
      </w:r>
      <w:r w:rsidR="00220205">
        <w:t xml:space="preserve">, avšak později </w:t>
      </w:r>
      <w:r w:rsidR="00ED4CA5">
        <w:t>došlo k posílení jeho postavení a</w:t>
      </w:r>
      <w:r w:rsidR="00ED4B64">
        <w:t xml:space="preserve"> </w:t>
      </w:r>
      <w:r w:rsidR="00D43F9D">
        <w:t>byla vytvořena žaloba</w:t>
      </w:r>
      <w:r w:rsidR="00972F79">
        <w:t xml:space="preserve"> proti dlužníku zástavce</w:t>
      </w:r>
      <w:r w:rsidR="00D43F9D">
        <w:t xml:space="preserve">, která se nazývala </w:t>
      </w:r>
      <w:r w:rsidR="00D43F9D" w:rsidRPr="005069A6">
        <w:rPr>
          <w:i/>
          <w:iCs/>
        </w:rPr>
        <w:t>actio utilis</w:t>
      </w:r>
      <w:r w:rsidR="00972F79">
        <w:t>.</w:t>
      </w:r>
      <w:r w:rsidR="00025070">
        <w:t xml:space="preserve"> </w:t>
      </w:r>
      <w:r w:rsidR="002E471E">
        <w:t xml:space="preserve">Takovéto věřitelovo oprávnění se </w:t>
      </w:r>
      <w:r w:rsidR="005C64C8">
        <w:t>tedy nazývalo</w:t>
      </w:r>
      <w:r w:rsidR="004A01D2">
        <w:t>,</w:t>
      </w:r>
      <w:r w:rsidR="005C64C8">
        <w:t xml:space="preserve"> zástavní právo k pohledávce, neboli </w:t>
      </w:r>
      <w:r w:rsidR="005C64C8" w:rsidRPr="005069A6">
        <w:rPr>
          <w:i/>
          <w:iCs/>
        </w:rPr>
        <w:t>pignus nominis</w:t>
      </w:r>
      <w:r w:rsidR="005C64C8">
        <w:t>.</w:t>
      </w:r>
      <w:r w:rsidR="004A01D2">
        <w:t xml:space="preserve"> </w:t>
      </w:r>
      <w:r w:rsidR="009B32A8">
        <w:t>Pokud byla</w:t>
      </w:r>
      <w:r w:rsidR="00701C48">
        <w:t xml:space="preserve"> zástavnímu věřiteli zastavena pohledávka, </w:t>
      </w:r>
      <w:r w:rsidR="00DD3FA7">
        <w:t xml:space="preserve">měl možnost oznámit </w:t>
      </w:r>
      <w:r w:rsidR="00E54BEE">
        <w:t xml:space="preserve">zástavcova </w:t>
      </w:r>
      <w:r w:rsidR="00DD3FA7">
        <w:t>dlužník</w:t>
      </w:r>
      <w:r w:rsidR="006E767F">
        <w:t>u</w:t>
      </w:r>
      <w:r w:rsidR="00E266CE">
        <w:t xml:space="preserve">, neboli </w:t>
      </w:r>
      <w:r w:rsidR="00E22384">
        <w:t xml:space="preserve">poddlužníkovi, že </w:t>
      </w:r>
      <w:r w:rsidR="00701C48">
        <w:t>má</w:t>
      </w:r>
      <w:r w:rsidR="00F41A16">
        <w:t xml:space="preserve"> zástavní právo k</w:t>
      </w:r>
      <w:r w:rsidR="0081474D">
        <w:t> této konkrétní pohledávce</w:t>
      </w:r>
      <w:r w:rsidR="00BD6736">
        <w:t>.</w:t>
      </w:r>
      <w:r w:rsidR="0081474D">
        <w:t xml:space="preserve"> </w:t>
      </w:r>
      <w:r w:rsidR="00BD6736">
        <w:t>M</w:t>
      </w:r>
      <w:r w:rsidR="0081474D">
        <w:t>ohl</w:t>
      </w:r>
      <w:r w:rsidR="00BD6736">
        <w:t xml:space="preserve"> tak</w:t>
      </w:r>
      <w:r w:rsidR="0081474D">
        <w:t xml:space="preserve"> předcházet tomu, aby </w:t>
      </w:r>
      <w:r w:rsidR="000105F1">
        <w:t>poddlužník plni</w:t>
      </w:r>
      <w:r w:rsidR="005A4D6D">
        <w:t>l</w:t>
      </w:r>
      <w:r w:rsidR="000105F1">
        <w:t xml:space="preserve"> svém</w:t>
      </w:r>
      <w:r w:rsidR="00E266CE">
        <w:t>u zásta</w:t>
      </w:r>
      <w:r w:rsidR="00D66ACF">
        <w:t>vnímu věřiteli, resp. našemu zástavci.</w:t>
      </w:r>
      <w:r w:rsidR="00CA7E91">
        <w:t xml:space="preserve"> </w:t>
      </w:r>
      <w:r w:rsidR="00B77899">
        <w:t xml:space="preserve">V momentě, kdy se pohledávka stane splatnou </w:t>
      </w:r>
      <w:r w:rsidR="00672BE8">
        <w:t>a tím pádem dospěje, nemusí</w:t>
      </w:r>
      <w:r w:rsidR="00434883">
        <w:t xml:space="preserve"> ji zástavní věřitel vymáhat přes zástavce, ale může </w:t>
      </w:r>
      <w:r w:rsidR="003F6B5D">
        <w:t>jít rovnou po poddlužníkovi</w:t>
      </w:r>
      <w:r w:rsidR="004A01D2">
        <w:t>, přičemž takovéto oprávnění se nazývalo</w:t>
      </w:r>
      <w:r w:rsidR="008206B0">
        <w:t xml:space="preserve"> </w:t>
      </w:r>
      <w:r w:rsidR="00B101A0" w:rsidRPr="005069A6">
        <w:rPr>
          <w:i/>
          <w:iCs/>
        </w:rPr>
        <w:t>ius exigendi</w:t>
      </w:r>
      <w:r w:rsidR="00B101A0">
        <w:t>.</w:t>
      </w:r>
      <w:r w:rsidR="00AF1794">
        <w:rPr>
          <w:rStyle w:val="Znakapoznpodarou"/>
        </w:rPr>
        <w:footnoteReference w:id="93"/>
      </w:r>
      <w:r w:rsidR="00B101A0">
        <w:t xml:space="preserve"> </w:t>
      </w:r>
      <w:r w:rsidR="00D2166C">
        <w:t>Pokud j</w:t>
      </w:r>
      <w:r w:rsidR="00251148">
        <w:t>sou</w:t>
      </w:r>
      <w:r w:rsidR="00D2166C">
        <w:t xml:space="preserve"> předmětem z</w:t>
      </w:r>
      <w:r w:rsidR="00E96F7F">
        <w:t>a</w:t>
      </w:r>
      <w:r w:rsidR="00D2166C">
        <w:t xml:space="preserve">stavené pohledávky </w:t>
      </w:r>
      <w:r w:rsidR="00251148">
        <w:t>peníze</w:t>
      </w:r>
      <w:r w:rsidR="00D2166C">
        <w:t>, může s</w:t>
      </w:r>
      <w:r w:rsidR="00572BC8">
        <w:t xml:space="preserve">i zástavní věřitel na tuto částku započíst pouze </w:t>
      </w:r>
      <w:r w:rsidR="00071B51">
        <w:t xml:space="preserve">tolik, kolik činí zajištěná pohledávka, přičemž k penězům takto </w:t>
      </w:r>
      <w:r w:rsidR="00E96F7F">
        <w:t>získaným nab</w:t>
      </w:r>
      <w:r w:rsidR="003C017F">
        <w:t>u</w:t>
      </w:r>
      <w:r w:rsidR="00E96F7F">
        <w:t xml:space="preserve">de vlastnické právo. </w:t>
      </w:r>
      <w:r w:rsidR="005325DA">
        <w:t xml:space="preserve">Jestliže však je zastavená pohledávka určena k plnění jiné věci, než </w:t>
      </w:r>
      <w:r w:rsidR="00FC2D70">
        <w:t>jsou peníze</w:t>
      </w:r>
      <w:r w:rsidR="005E5403">
        <w:t xml:space="preserve">, má zástavní věřitel oprávnění </w:t>
      </w:r>
      <w:r w:rsidR="00414206">
        <w:t>požadovat vydání celé věci</w:t>
      </w:r>
      <w:r w:rsidR="00B71BE4">
        <w:t xml:space="preserve"> a jakmile mu bude odevzdána</w:t>
      </w:r>
      <w:r w:rsidR="00D6133B">
        <w:t>,</w:t>
      </w:r>
      <w:r w:rsidR="00B71BE4">
        <w:t xml:space="preserve"> nabude k ní zástavní právo.</w:t>
      </w:r>
      <w:r w:rsidR="00837825">
        <w:rPr>
          <w:rStyle w:val="Znakapoznpodarou"/>
        </w:rPr>
        <w:footnoteReference w:id="94"/>
      </w:r>
      <w:r w:rsidR="00A54D03">
        <w:t xml:space="preserve"> K tomuto </w:t>
      </w:r>
      <w:r w:rsidR="009F7F1F">
        <w:t>píše také Paulus</w:t>
      </w:r>
      <w:r w:rsidR="00517D7E">
        <w:t xml:space="preserve"> ve </w:t>
      </w:r>
      <w:r w:rsidR="00773EEA">
        <w:t xml:space="preserve">29. knize K ediktu: </w:t>
      </w:r>
      <w:r w:rsidR="00773EEA" w:rsidRPr="006B62D4">
        <w:rPr>
          <w:i/>
          <w:iCs/>
        </w:rPr>
        <w:t>„Pokud je dohodnuto, že ti dám do zástavy</w:t>
      </w:r>
      <w:r w:rsidR="0053246E" w:rsidRPr="006B62D4">
        <w:rPr>
          <w:i/>
          <w:iCs/>
        </w:rPr>
        <w:t xml:space="preserve"> pohledávku mého dlužníka, je nezbytné, aby tako</w:t>
      </w:r>
      <w:r w:rsidR="00B05B46" w:rsidRPr="006B62D4">
        <w:rPr>
          <w:i/>
          <w:iCs/>
        </w:rPr>
        <w:t>vouto úmluvu chránil praetor</w:t>
      </w:r>
      <w:r w:rsidR="00A230C2" w:rsidRPr="006B62D4">
        <w:rPr>
          <w:i/>
          <w:iCs/>
        </w:rPr>
        <w:t>, aby chránil také vymáhání peněz, stejně jako dlužníka proti mně, kdybych ho žaloval.</w:t>
      </w:r>
      <w:r w:rsidR="00C75B5D" w:rsidRPr="006B62D4">
        <w:rPr>
          <w:i/>
          <w:iCs/>
        </w:rPr>
        <w:t xml:space="preserve"> Pokud tedy byla takováto pohledávka peněžní, započítáš požadovanou sumu, jestliže</w:t>
      </w:r>
      <w:r w:rsidR="00931374" w:rsidRPr="006B62D4">
        <w:rPr>
          <w:i/>
          <w:iCs/>
        </w:rPr>
        <w:t xml:space="preserve"> se vša</w:t>
      </w:r>
      <w:r w:rsidR="000D1CDD" w:rsidRPr="006B62D4">
        <w:rPr>
          <w:i/>
          <w:iCs/>
        </w:rPr>
        <w:t>k</w:t>
      </w:r>
      <w:r w:rsidR="00931374" w:rsidRPr="006B62D4">
        <w:rPr>
          <w:i/>
          <w:iCs/>
        </w:rPr>
        <w:t xml:space="preserve"> týkala nějaké hmotné věci, pak to, co obdržíš</w:t>
      </w:r>
      <w:r w:rsidR="000D1CDD" w:rsidRPr="006B62D4">
        <w:rPr>
          <w:i/>
          <w:iCs/>
        </w:rPr>
        <w:t>, budeš mít místo ruční zástavy</w:t>
      </w:r>
      <w:r w:rsidR="00D71403" w:rsidRPr="006B62D4">
        <w:rPr>
          <w:i/>
          <w:iCs/>
        </w:rPr>
        <w:t>.“</w:t>
      </w:r>
      <w:r w:rsidR="00D71403">
        <w:rPr>
          <w:rStyle w:val="Znakapoznpodarou"/>
        </w:rPr>
        <w:footnoteReference w:id="95"/>
      </w:r>
    </w:p>
    <w:p w14:paraId="0CF8761E" w14:textId="44649A89" w:rsidR="00B101A0" w:rsidRDefault="00B101A0" w:rsidP="00AB3FA6">
      <w:pPr>
        <w:pStyle w:val="Nadpis2"/>
      </w:pPr>
      <w:bookmarkStart w:id="18" w:name="_Toc100354938"/>
      <w:r>
        <w:t>2.</w:t>
      </w:r>
      <w:r w:rsidR="00AB3FA6">
        <w:t>5</w:t>
      </w:r>
      <w:r>
        <w:t xml:space="preserve"> Podzástavní právo</w:t>
      </w:r>
      <w:bookmarkEnd w:id="18"/>
    </w:p>
    <w:p w14:paraId="23497F98" w14:textId="080B7D37" w:rsidR="006A0840" w:rsidRDefault="006615A8" w:rsidP="006A0840">
      <w:r>
        <w:t>Právo podzástavní</w:t>
      </w:r>
      <w:r w:rsidR="004026A8">
        <w:t>,</w:t>
      </w:r>
      <w:r w:rsidR="00E7223D">
        <w:t xml:space="preserve"> neb</w:t>
      </w:r>
      <w:r w:rsidR="004026A8">
        <w:t>oli</w:t>
      </w:r>
      <w:r w:rsidR="00E7223D">
        <w:t xml:space="preserve"> </w:t>
      </w:r>
      <w:r w:rsidR="00E7223D" w:rsidRPr="00BD570C">
        <w:rPr>
          <w:i/>
          <w:iCs/>
        </w:rPr>
        <w:t>subpignus</w:t>
      </w:r>
      <w:r w:rsidR="00E7223D">
        <w:t xml:space="preserve"> </w:t>
      </w:r>
      <w:r w:rsidR="004026A8">
        <w:t>nastává</w:t>
      </w:r>
      <w:r w:rsidR="00B504FD">
        <w:t xml:space="preserve"> tehd</w:t>
      </w:r>
      <w:r w:rsidR="00202109">
        <w:t xml:space="preserve">y, je-li zástavním věřitelem </w:t>
      </w:r>
      <w:r w:rsidR="00FD36F3">
        <w:t>dále zastavena věc, která mu již sloužila jako zástava k</w:t>
      </w:r>
      <w:r w:rsidR="00AF0292">
        <w:t> </w:t>
      </w:r>
      <w:r w:rsidR="00FD36F3">
        <w:t>zajištění</w:t>
      </w:r>
      <w:r w:rsidR="00AF0292">
        <w:t xml:space="preserve"> jeho</w:t>
      </w:r>
      <w:r w:rsidR="00FD36F3">
        <w:t xml:space="preserve"> pohledávky.</w:t>
      </w:r>
      <w:r w:rsidR="009707CF">
        <w:t xml:space="preserve"> </w:t>
      </w:r>
      <w:r w:rsidR="00D0348C">
        <w:t>Ten, kdo získal do zástavy již takto zastavenou věc, nebol</w:t>
      </w:r>
      <w:r w:rsidR="00FE5338">
        <w:t xml:space="preserve">i podzástavní věřitel, měl však </w:t>
      </w:r>
      <w:r w:rsidR="00606510">
        <w:t xml:space="preserve">možnost výkonu </w:t>
      </w:r>
      <w:r w:rsidR="004674BF">
        <w:t>podzástavního práva pouze</w:t>
      </w:r>
      <w:r w:rsidR="00B66FD8">
        <w:t xml:space="preserve"> v</w:t>
      </w:r>
      <w:r w:rsidR="004674BF">
        <w:t xml:space="preserve"> </w:t>
      </w:r>
      <w:r w:rsidR="00900871">
        <w:t xml:space="preserve">tom rozsahu a obsahu, jaký náležel </w:t>
      </w:r>
      <w:r w:rsidR="00140941">
        <w:t>jeho zástavci, který byl zároveň</w:t>
      </w:r>
      <w:r w:rsidR="00864E20">
        <w:t xml:space="preserve"> zástavní věřitel původního zástavním právem zajištěného vztahu</w:t>
      </w:r>
      <w:r w:rsidR="005F5F79">
        <w:t xml:space="preserve">, který </w:t>
      </w:r>
      <w:r w:rsidR="001E7DBA">
        <w:t xml:space="preserve">je </w:t>
      </w:r>
      <w:r w:rsidR="005F5F79">
        <w:t xml:space="preserve">v tomto novém vztahu </w:t>
      </w:r>
      <w:r w:rsidR="001E7DBA">
        <w:t xml:space="preserve">označen jako podzástavce. </w:t>
      </w:r>
      <w:r w:rsidR="003B75A4">
        <w:t>Pokud však dojde k uspokojení podzástavcov</w:t>
      </w:r>
      <w:r w:rsidR="001E433D">
        <w:t>y</w:t>
      </w:r>
      <w:r w:rsidR="00F31CEC">
        <w:t xml:space="preserve"> pohledávky, tedy v rámci prvního obligačního vztahu, kde vystupuje zároveň jako zástavní </w:t>
      </w:r>
      <w:r w:rsidR="00F31CEC">
        <w:lastRenderedPageBreak/>
        <w:t>věřitel</w:t>
      </w:r>
      <w:r w:rsidR="00320C58">
        <w:t>,</w:t>
      </w:r>
      <w:r w:rsidR="006B58E9">
        <w:t xml:space="preserve"> </w:t>
      </w:r>
      <w:r w:rsidR="00073194">
        <w:t>dojde tím k zániku nejen tohoto zástavníh</w:t>
      </w:r>
      <w:r w:rsidR="00163F37">
        <w:t xml:space="preserve">o práva, ale zanikne </w:t>
      </w:r>
      <w:r w:rsidR="001D536A">
        <w:t>též</w:t>
      </w:r>
      <w:r w:rsidR="002A010F">
        <w:t xml:space="preserve"> </w:t>
      </w:r>
      <w:r w:rsidR="00163F37">
        <w:t>podzástavní právo, které je od tohoto</w:t>
      </w:r>
      <w:r w:rsidR="002A010F">
        <w:t xml:space="preserve"> </w:t>
      </w:r>
      <w:r w:rsidR="008810AE">
        <w:t>odvozeno</w:t>
      </w:r>
      <w:r w:rsidR="002A010F">
        <w:t>.</w:t>
      </w:r>
      <w:r w:rsidR="0061401C">
        <w:rPr>
          <w:rStyle w:val="Znakapoznpodarou"/>
        </w:rPr>
        <w:footnoteReference w:id="96"/>
      </w:r>
      <w:r w:rsidR="00163F37">
        <w:t xml:space="preserve"> </w:t>
      </w:r>
      <w:r w:rsidR="00CE5F8F">
        <w:t>Šlo by zde tedy spatřovat jistou podobnost se zástavním prá</w:t>
      </w:r>
      <w:r w:rsidR="00D57473">
        <w:t>vem k pohledávce, nicméně d</w:t>
      </w:r>
      <w:r w:rsidR="00C87D87">
        <w:t>le prof. Sommera</w:t>
      </w:r>
      <w:r w:rsidR="00FF0352">
        <w:t xml:space="preserve"> však lze </w:t>
      </w:r>
      <w:r w:rsidR="003A25ED">
        <w:t>vidět</w:t>
      </w:r>
      <w:r w:rsidR="00C705EE">
        <w:t xml:space="preserve"> rozdíl mezi zástavním právem k pohledávce a </w:t>
      </w:r>
      <w:r w:rsidR="00616797">
        <w:t>podzástavou v tom, že</w:t>
      </w:r>
      <w:r w:rsidR="000A2A7B">
        <w:t>:</w:t>
      </w:r>
      <w:r w:rsidR="00616797">
        <w:t xml:space="preserve"> </w:t>
      </w:r>
      <w:r w:rsidR="000A2A7B" w:rsidRPr="006B62D4">
        <w:rPr>
          <w:i/>
          <w:iCs/>
        </w:rPr>
        <w:t>„</w:t>
      </w:r>
      <w:r w:rsidR="00616797" w:rsidRPr="006B62D4">
        <w:rPr>
          <w:i/>
          <w:iCs/>
        </w:rPr>
        <w:t xml:space="preserve">předmětem </w:t>
      </w:r>
      <w:r w:rsidR="004A1BA5" w:rsidRPr="006B62D4">
        <w:rPr>
          <w:i/>
          <w:iCs/>
        </w:rPr>
        <w:t>práva</w:t>
      </w:r>
      <w:r w:rsidR="00CD308F" w:rsidRPr="006B62D4">
        <w:rPr>
          <w:i/>
          <w:iCs/>
        </w:rPr>
        <w:t xml:space="preserve"> podzástavního jest jen zastaven</w:t>
      </w:r>
      <w:r w:rsidR="00C71A0C" w:rsidRPr="006B62D4">
        <w:rPr>
          <w:i/>
          <w:iCs/>
        </w:rPr>
        <w:t>é právo zástavní, čili podzástava v mezích výše uvedených, nikoliv i pohledávka, pro níž je zřízeno, takže podzástavní věřitel</w:t>
      </w:r>
      <w:r w:rsidR="00EA5CF1" w:rsidRPr="006B62D4">
        <w:rPr>
          <w:i/>
          <w:iCs/>
        </w:rPr>
        <w:t xml:space="preserve"> </w:t>
      </w:r>
      <w:r w:rsidR="00C71A0C" w:rsidRPr="006B62D4">
        <w:rPr>
          <w:i/>
          <w:iCs/>
        </w:rPr>
        <w:t>na rozdíl od věřitele, jemuž byla</w:t>
      </w:r>
      <w:r w:rsidR="00EA5CF1" w:rsidRPr="006B62D4">
        <w:rPr>
          <w:i/>
          <w:iCs/>
        </w:rPr>
        <w:t xml:space="preserve"> zastavena pohledávka</w:t>
      </w:r>
      <w:r w:rsidR="00443F68" w:rsidRPr="006B62D4">
        <w:rPr>
          <w:i/>
          <w:iCs/>
        </w:rPr>
        <w:t>, nemá ius exigendi</w:t>
      </w:r>
      <w:r w:rsidR="008A5C04" w:rsidRPr="006B62D4">
        <w:rPr>
          <w:i/>
          <w:iCs/>
        </w:rPr>
        <w:t xml:space="preserve">, </w:t>
      </w:r>
      <w:r w:rsidR="00D3074D" w:rsidRPr="006B62D4">
        <w:rPr>
          <w:i/>
          <w:iCs/>
        </w:rPr>
        <w:t xml:space="preserve">tedy </w:t>
      </w:r>
      <w:r w:rsidR="008A5C04" w:rsidRPr="006B62D4">
        <w:rPr>
          <w:i/>
          <w:iCs/>
        </w:rPr>
        <w:t>právo vymáhati pohledávku žalobou.</w:t>
      </w:r>
      <w:r w:rsidR="0089714E" w:rsidRPr="006B62D4">
        <w:rPr>
          <w:i/>
          <w:iCs/>
        </w:rPr>
        <w:t>“</w:t>
      </w:r>
      <w:r w:rsidR="006A0840">
        <w:rPr>
          <w:rStyle w:val="Znakapoznpodarou"/>
        </w:rPr>
        <w:footnoteReference w:id="97"/>
      </w:r>
      <w:r w:rsidR="006B0C15">
        <w:t xml:space="preserve"> </w:t>
      </w:r>
      <w:r w:rsidR="005C7CF4">
        <w:t xml:space="preserve">Pro srovnání </w:t>
      </w:r>
      <w:r w:rsidR="006B0C15">
        <w:t xml:space="preserve">Marcianus </w:t>
      </w:r>
      <w:r w:rsidR="00F2324C">
        <w:t xml:space="preserve">píše: </w:t>
      </w:r>
      <w:r w:rsidR="00F2324C" w:rsidRPr="006B62D4">
        <w:rPr>
          <w:i/>
          <w:iCs/>
        </w:rPr>
        <w:t>„Protože bylo uznáno, že je možné přijmout do zástavy zastavenou věc, tak pokud jsou v obou případec</w:t>
      </w:r>
      <w:r w:rsidR="00C94C63" w:rsidRPr="006B62D4">
        <w:rPr>
          <w:i/>
          <w:iCs/>
        </w:rPr>
        <w:t>h dluženy peníze, přísluší zástavní právo druhému věřiteli a jemu</w:t>
      </w:r>
      <w:r w:rsidR="00330533" w:rsidRPr="006B62D4">
        <w:rPr>
          <w:i/>
          <w:iCs/>
        </w:rPr>
        <w:t xml:space="preserve"> je nutné také poskytnout jak námitku, tak obdobnou žalobu</w:t>
      </w:r>
      <w:r w:rsidR="0010635A" w:rsidRPr="006B62D4">
        <w:rPr>
          <w:i/>
          <w:iCs/>
        </w:rPr>
        <w:t>, jako u zástavního práva k</w:t>
      </w:r>
      <w:r w:rsidR="00E86B20" w:rsidRPr="006B62D4">
        <w:rPr>
          <w:i/>
          <w:iCs/>
        </w:rPr>
        <w:t> </w:t>
      </w:r>
      <w:r w:rsidR="0010635A" w:rsidRPr="006B62D4">
        <w:rPr>
          <w:i/>
          <w:iCs/>
        </w:rPr>
        <w:t>pohledávce</w:t>
      </w:r>
      <w:r w:rsidR="00E86B20" w:rsidRPr="006B62D4">
        <w:rPr>
          <w:i/>
          <w:iCs/>
        </w:rPr>
        <w:t>.</w:t>
      </w:r>
      <w:r w:rsidR="0010635A" w:rsidRPr="006B62D4">
        <w:rPr>
          <w:i/>
          <w:iCs/>
        </w:rPr>
        <w:t>“</w:t>
      </w:r>
      <w:r w:rsidR="00044E64">
        <w:rPr>
          <w:rStyle w:val="Znakapoznpodarou"/>
        </w:rPr>
        <w:footnoteReference w:id="98"/>
      </w:r>
      <w:r w:rsidR="00C94C63">
        <w:t xml:space="preserve"> </w:t>
      </w:r>
      <w:r w:rsidR="009F17F9">
        <w:t xml:space="preserve">Pokud </w:t>
      </w:r>
      <w:r w:rsidR="00175159">
        <w:t xml:space="preserve">by </w:t>
      </w:r>
      <w:r w:rsidR="00807907">
        <w:t xml:space="preserve">tedy </w:t>
      </w:r>
      <w:r w:rsidR="009F17F9">
        <w:t xml:space="preserve">došlo k nahodilé zkáze věci, která byla </w:t>
      </w:r>
      <w:r w:rsidR="00B93A88">
        <w:t>předmětem</w:t>
      </w:r>
      <w:r w:rsidR="009F17F9">
        <w:t xml:space="preserve"> podzástavy, </w:t>
      </w:r>
      <w:r w:rsidR="00AD785F">
        <w:t xml:space="preserve">neměl podzástavní věřitel </w:t>
      </w:r>
      <w:r w:rsidR="00DA4763">
        <w:t>oprávnění vymáhat její hodnotu po dlužníku pohledávky</w:t>
      </w:r>
      <w:r w:rsidR="00F5360C">
        <w:t>, jejímž věřitelem mu byla podzástava zřízena.</w:t>
      </w:r>
      <w:r w:rsidR="004B360C">
        <w:rPr>
          <w:rStyle w:val="Znakapoznpodarou"/>
        </w:rPr>
        <w:footnoteReference w:id="99"/>
      </w:r>
      <w:r w:rsidR="00EA7BE3">
        <w:t xml:space="preserve"> </w:t>
      </w:r>
    </w:p>
    <w:p w14:paraId="75FA00DF" w14:textId="6BA06AC2" w:rsidR="00AB3FA6" w:rsidRDefault="00AB3FA6" w:rsidP="00AB3FA6">
      <w:pPr>
        <w:pStyle w:val="Nadpis2"/>
      </w:pPr>
      <w:bookmarkStart w:id="19" w:name="_Toc100354939"/>
      <w:r>
        <w:t>2.6 Konkurence více zástavních práv</w:t>
      </w:r>
      <w:bookmarkEnd w:id="19"/>
    </w:p>
    <w:p w14:paraId="6A10A5D5" w14:textId="3DE631E8" w:rsidR="00112F57" w:rsidRDefault="000A7F87" w:rsidP="004D2A7F">
      <w:r>
        <w:t xml:space="preserve">Dle prof. Blaha římské právo </w:t>
      </w:r>
      <w:r w:rsidR="009A3D5F">
        <w:t xml:space="preserve">soukromé </w:t>
      </w:r>
      <w:r>
        <w:t xml:space="preserve">zpočátku </w:t>
      </w:r>
      <w:r w:rsidR="009A3D5F">
        <w:t xml:space="preserve">nepovažovalo za možné, aby byla </w:t>
      </w:r>
      <w:r w:rsidR="00043E33">
        <w:t>věc předmětem více zástavních práv</w:t>
      </w:r>
      <w:r w:rsidR="00B03C0B">
        <w:t>.</w:t>
      </w:r>
      <w:r w:rsidR="00A501D6">
        <w:t xml:space="preserve"> </w:t>
      </w:r>
      <w:r w:rsidR="00213D02">
        <w:t>Mezi instituty, které takovémuto vícenásobnému zastavení věci bránily, byly fiducia a propadná zástava</w:t>
      </w:r>
      <w:r w:rsidR="00582246">
        <w:t xml:space="preserve">. Jak jsme si již výše řekli, fiducia znamenala převod vlastnického práva </w:t>
      </w:r>
      <w:r w:rsidR="00305F00">
        <w:t>na fiduciáře, neboli zástavního věřitele, a tak fiduciant, neboli zástavní dlužník, nemohl</w:t>
      </w:r>
      <w:r w:rsidR="001B1B3E">
        <w:t xml:space="preserve"> převést vlastnické právo</w:t>
      </w:r>
      <w:r w:rsidR="00E47D41">
        <w:t xml:space="preserve"> k věci</w:t>
      </w:r>
      <w:r w:rsidR="001B1B3E">
        <w:t xml:space="preserve"> na někoho dalšího, protože jej již neměl.</w:t>
      </w:r>
      <w:r w:rsidR="00B44D8C">
        <w:t xml:space="preserve"> Co se propadné zástavy </w:t>
      </w:r>
      <w:r w:rsidR="002B5EC7">
        <w:t>týče</w:t>
      </w:r>
      <w:r w:rsidR="00B44D8C">
        <w:t xml:space="preserve">, </w:t>
      </w:r>
      <w:r w:rsidR="00FE6C20">
        <w:t>existovala v římském právu praxe</w:t>
      </w:r>
      <w:r w:rsidR="00CD2634">
        <w:t xml:space="preserve">, že si zástavní věřitel se zástavním dlužníkem ujednali </w:t>
      </w:r>
      <w:r w:rsidR="00584BB1">
        <w:t>tzv. propadnou klauzuli</w:t>
      </w:r>
      <w:r w:rsidR="005638E7">
        <w:t>.</w:t>
      </w:r>
      <w:r w:rsidR="00584BB1">
        <w:t xml:space="preserve"> </w:t>
      </w:r>
      <w:r w:rsidR="005638E7">
        <w:t xml:space="preserve">Tato klauzule měla ten význam, že pokud </w:t>
      </w:r>
      <w:r w:rsidR="00D50EF1">
        <w:t>zástavní dlužník nesplnil svůj dluh vůči věřiteli</w:t>
      </w:r>
      <w:r w:rsidR="006375CC">
        <w:t>, propadla věc, která byla předmětem zástavního práva, do věřitelova vlastni</w:t>
      </w:r>
      <w:r w:rsidR="00D2320F">
        <w:t xml:space="preserve">ctví. </w:t>
      </w:r>
      <w:r w:rsidR="00EF7DB7">
        <w:t>Od okamžiku uzavření této klauzule tedy zástavní věřitel nabyl suspenzivní vlastnické právo</w:t>
      </w:r>
      <w:r w:rsidR="00C57F36">
        <w:t xml:space="preserve"> s podmínkou nesplnění </w:t>
      </w:r>
      <w:r w:rsidR="00BC34FE">
        <w:t>dluhu</w:t>
      </w:r>
      <w:r w:rsidR="00EF7DB7">
        <w:t>, což mělo za následek</w:t>
      </w:r>
      <w:r w:rsidR="00BC34FE">
        <w:t xml:space="preserve">, že předmět zástavy </w:t>
      </w:r>
      <w:r w:rsidR="0062249D">
        <w:t>prakticky nebylo možné</w:t>
      </w:r>
      <w:r w:rsidR="00BC34FE">
        <w:t xml:space="preserve"> dále </w:t>
      </w:r>
      <w:r w:rsidR="003F5295">
        <w:t>zastavit.</w:t>
      </w:r>
      <w:r w:rsidR="007250C0">
        <w:rPr>
          <w:rStyle w:val="Znakapoznpodarou"/>
        </w:rPr>
        <w:footnoteReference w:id="100"/>
      </w:r>
      <w:r w:rsidR="00BC34FE">
        <w:t xml:space="preserve"> </w:t>
      </w:r>
      <w:r w:rsidR="008D4C57">
        <w:t>Prof. Kincl</w:t>
      </w:r>
      <w:r w:rsidR="00163209">
        <w:t xml:space="preserve"> píše, že a</w:t>
      </w:r>
      <w:r w:rsidR="00A57D46">
        <w:t>ž s příchodem hypotekárního zástavního práva</w:t>
      </w:r>
      <w:r w:rsidR="00214F9F">
        <w:t xml:space="preserve"> </w:t>
      </w:r>
      <w:r w:rsidR="007E2449">
        <w:t>byl možný souběh více zástavních práv</w:t>
      </w:r>
      <w:r w:rsidR="00BC07D4">
        <w:t xml:space="preserve"> na jedné věci</w:t>
      </w:r>
      <w:r w:rsidR="00DC324A">
        <w:t>, čímž bylo umožněno, aby jedna věc zajišťovala více pohledávek</w:t>
      </w:r>
      <w:r w:rsidR="00322F62">
        <w:t xml:space="preserve"> různých věřitelů</w:t>
      </w:r>
      <w:r w:rsidR="007E3A72">
        <w:t xml:space="preserve"> zároveň. </w:t>
      </w:r>
      <w:r w:rsidR="007E2449">
        <w:t xml:space="preserve"> </w:t>
      </w:r>
      <w:r w:rsidR="00952441">
        <w:t>Problém však mohl nastat ve chvíli, kdy došlo</w:t>
      </w:r>
      <w:r w:rsidR="002411E7">
        <w:t xml:space="preserve"> k realizaci zástavního práva a t</w:t>
      </w:r>
      <w:r w:rsidR="00C3355D">
        <w:t xml:space="preserve">ato souběžná zástavní práva </w:t>
      </w:r>
      <w:r w:rsidR="00C3355D">
        <w:lastRenderedPageBreak/>
        <w:t xml:space="preserve">si </w:t>
      </w:r>
      <w:r w:rsidR="002D7A8B">
        <w:t xml:space="preserve">navzájem </w:t>
      </w:r>
      <w:r w:rsidR="00C3355D">
        <w:t>konkurovala.</w:t>
      </w:r>
      <w:r w:rsidR="00425B90">
        <w:t xml:space="preserve"> Na základě tohoto problému tak bylo </w:t>
      </w:r>
      <w:r w:rsidR="00A253EE">
        <w:t>zapotře</w:t>
      </w:r>
      <w:r w:rsidR="005B6330">
        <w:t>bí</w:t>
      </w:r>
      <w:r w:rsidR="00425B90">
        <w:t xml:space="preserve"> vyjasnit, jaký je mezi </w:t>
      </w:r>
      <w:r w:rsidR="00E2735B">
        <w:t>těmito zástavními právy poměr.</w:t>
      </w:r>
      <w:r w:rsidR="0087274E">
        <w:rPr>
          <w:rStyle w:val="Znakapoznpodarou"/>
        </w:rPr>
        <w:footnoteReference w:id="101"/>
      </w:r>
      <w:r w:rsidR="0087274E">
        <w:t xml:space="preserve"> </w:t>
      </w:r>
    </w:p>
    <w:p w14:paraId="475D4EBA" w14:textId="06366DC5" w:rsidR="00AB3FA6" w:rsidRDefault="00AD0362" w:rsidP="004D2A7F">
      <w:r>
        <w:t>Dle prof. Vančury</w:t>
      </w:r>
      <w:r w:rsidR="00BD6ABC">
        <w:t xml:space="preserve"> z</w:t>
      </w:r>
      <w:r w:rsidR="002906AF">
        <w:t xml:space="preserve">a situace, kdy se zástavní práva </w:t>
      </w:r>
      <w:r w:rsidR="004D5C7A">
        <w:t xml:space="preserve">různých věřitelů vztahovala pouze k ideálním </w:t>
      </w:r>
      <w:r w:rsidR="00AB1C5D">
        <w:t xml:space="preserve">podílům </w:t>
      </w:r>
      <w:r w:rsidR="003E6645">
        <w:t xml:space="preserve">na </w:t>
      </w:r>
      <w:r w:rsidR="00C82E54">
        <w:t>téže věci, která byla předmětem zástavního práva</w:t>
      </w:r>
      <w:r w:rsidR="009A791E">
        <w:t>, ke konkurenci práv zástavních nedocházelo</w:t>
      </w:r>
      <w:r w:rsidR="00DF7DC2">
        <w:t>, jelikož</w:t>
      </w:r>
      <w:r w:rsidR="00423091">
        <w:t xml:space="preserve"> předmětem</w:t>
      </w:r>
      <w:r w:rsidR="00DF7DC2">
        <w:t xml:space="preserve"> každé</w:t>
      </w:r>
      <w:r w:rsidR="00423091">
        <w:t>ho</w:t>
      </w:r>
      <w:r w:rsidR="00DF7DC2">
        <w:t xml:space="preserve"> </w:t>
      </w:r>
      <w:r w:rsidR="00A90F96">
        <w:t xml:space="preserve">jednotlivého </w:t>
      </w:r>
      <w:r w:rsidR="00DF7DC2">
        <w:t>zástavní</w:t>
      </w:r>
      <w:r w:rsidR="00A90F96">
        <w:t>ho</w:t>
      </w:r>
      <w:r w:rsidR="00DF7DC2">
        <w:t xml:space="preserve"> práv</w:t>
      </w:r>
      <w:r w:rsidR="00A90F96">
        <w:t>a</w:t>
      </w:r>
      <w:r w:rsidR="00DF7DC2">
        <w:t xml:space="preserve"> </w:t>
      </w:r>
      <w:r w:rsidR="00A90F96">
        <w:t>bylo vlastně něco jiného</w:t>
      </w:r>
      <w:r w:rsidR="00DF7DC2">
        <w:t>.</w:t>
      </w:r>
      <w:r w:rsidR="004D5C7A">
        <w:t xml:space="preserve"> </w:t>
      </w:r>
      <w:r w:rsidR="002E0A20">
        <w:t xml:space="preserve">Dalším z příkladů konkurence zástavních práv </w:t>
      </w:r>
      <w:r w:rsidR="000205DE">
        <w:t xml:space="preserve">byla situace, kdy </w:t>
      </w:r>
      <w:r w:rsidR="00F05772">
        <w:t xml:space="preserve">byla zřízena zástavní práva k téže věci, avšak </w:t>
      </w:r>
      <w:r w:rsidR="00543585">
        <w:t xml:space="preserve">odlišnými osobami. Těmito mohl být </w:t>
      </w:r>
      <w:r w:rsidR="002C7545">
        <w:t>například vlastní</w:t>
      </w:r>
      <w:r w:rsidR="002D6133">
        <w:t>k</w:t>
      </w:r>
      <w:r w:rsidR="002C7545">
        <w:t xml:space="preserve"> </w:t>
      </w:r>
      <w:r w:rsidR="002D6133">
        <w:t xml:space="preserve">bonitární, </w:t>
      </w:r>
      <w:r w:rsidR="00684D9E">
        <w:t xml:space="preserve">quiritský, či </w:t>
      </w:r>
      <w:r w:rsidR="00C64B03">
        <w:t>p</w:t>
      </w:r>
      <w:r w:rsidR="00684D9E">
        <w:t xml:space="preserve">ubliciánský držitel. </w:t>
      </w:r>
      <w:r w:rsidR="00602DFA">
        <w:t>Za takovéto situace se</w:t>
      </w:r>
      <w:r w:rsidR="004C1E11">
        <w:t xml:space="preserve"> při uspokojování zástavního práva</w:t>
      </w:r>
      <w:r w:rsidR="00602DFA">
        <w:t xml:space="preserve"> upřednostnil ten</w:t>
      </w:r>
      <w:r w:rsidR="004C1E11">
        <w:t xml:space="preserve"> </w:t>
      </w:r>
      <w:r w:rsidR="00EB4E40">
        <w:t xml:space="preserve">ze </w:t>
      </w:r>
      <w:r w:rsidR="004C1E11">
        <w:t>zástavní</w:t>
      </w:r>
      <w:r w:rsidR="00EB4E40">
        <w:t>ch</w:t>
      </w:r>
      <w:r w:rsidR="004C1E11">
        <w:t xml:space="preserve"> věřitel</w:t>
      </w:r>
      <w:r w:rsidR="00EB4E40">
        <w:t>ů</w:t>
      </w:r>
      <w:r w:rsidR="004C1E11">
        <w:t>, který</w:t>
      </w:r>
      <w:r w:rsidR="00EB4E40">
        <w:t xml:space="preserve"> </w:t>
      </w:r>
      <w:r w:rsidR="005B4273">
        <w:t>měl své zástavní právo odvozeno od zásta</w:t>
      </w:r>
      <w:r w:rsidR="00D30EB5">
        <w:t>vce se silnějším právem k zastavené věci</w:t>
      </w:r>
      <w:r w:rsidR="001D2F06">
        <w:t xml:space="preserve"> (z výše uvedených to byl vlastník bonitární)</w:t>
      </w:r>
      <w:r w:rsidR="00C83396">
        <w:t xml:space="preserve">. </w:t>
      </w:r>
      <w:r w:rsidR="00BB6518">
        <w:t>Avšak</w:t>
      </w:r>
      <w:r w:rsidR="00B8715E">
        <w:t>,</w:t>
      </w:r>
      <w:r w:rsidR="00BB6518">
        <w:t xml:space="preserve"> úplně jiná situace nastala</w:t>
      </w:r>
      <w:r w:rsidR="003259BF">
        <w:t xml:space="preserve"> v případě</w:t>
      </w:r>
      <w:r w:rsidR="00FC7BAE">
        <w:t xml:space="preserve">, </w:t>
      </w:r>
      <w:r w:rsidR="003259BF">
        <w:t>kdy</w:t>
      </w:r>
      <w:r w:rsidR="00FC7BAE">
        <w:t xml:space="preserve"> byla každému ze zástavních věřitelů dána do zástavy věc celá</w:t>
      </w:r>
      <w:r w:rsidR="00B52AE3">
        <w:t xml:space="preserve">. </w:t>
      </w:r>
      <w:r w:rsidR="007A6AE3" w:rsidRPr="00462C63">
        <w:t>Zde</w:t>
      </w:r>
      <w:r w:rsidR="007A6AE3">
        <w:t xml:space="preserve"> již bylo zapotřebí řešit vzájemný poměr zástavních práv</w:t>
      </w:r>
      <w:r w:rsidR="00590EE3">
        <w:t>,</w:t>
      </w:r>
      <w:r w:rsidR="007A6AE3">
        <w:t xml:space="preserve"> která si konkurovala. Pokud vznik</w:t>
      </w:r>
      <w:r w:rsidR="00796257">
        <w:t>la</w:t>
      </w:r>
      <w:r w:rsidR="007A6AE3">
        <w:t xml:space="preserve"> zástavní práva současně, nebo pokud se nedá časové pořadí zjistit</w:t>
      </w:r>
      <w:r w:rsidR="00AD3F6F">
        <w:t>,</w:t>
      </w:r>
      <w:r w:rsidR="007A6AE3">
        <w:t xml:space="preserve"> znamená to, že všechna </w:t>
      </w:r>
      <w:r w:rsidR="00796257">
        <w:t xml:space="preserve">zástavní práva jsou si rovna. Každý z věřitelů takto nabytého zástavního práva jej může plně vykonat a pro realizaci bylo obvykle rozhodující, který z věřitelů </w:t>
      </w:r>
      <w:r w:rsidR="00796257" w:rsidRPr="00735CE7">
        <w:t>získal držbu zastavené věci první</w:t>
      </w:r>
      <w:r w:rsidR="00796257" w:rsidRPr="008D65A9">
        <w:t>.</w:t>
      </w:r>
      <w:r w:rsidR="00735CE7">
        <w:t xml:space="preserve"> </w:t>
      </w:r>
      <w:r w:rsidR="00236506">
        <w:t xml:space="preserve">K tomuto se </w:t>
      </w:r>
      <w:r w:rsidR="00621D7C">
        <w:t xml:space="preserve">vyjádřil i Ulpianus v 73. knize K ediktu: </w:t>
      </w:r>
      <w:r w:rsidR="00621D7C" w:rsidRPr="00735CE7">
        <w:rPr>
          <w:i/>
          <w:iCs/>
        </w:rPr>
        <w:t>„Jestliže dlužník zastavil své věci současně dvěma vě</w:t>
      </w:r>
      <w:r w:rsidR="000B3405" w:rsidRPr="00735CE7">
        <w:rPr>
          <w:i/>
          <w:iCs/>
        </w:rPr>
        <w:t>ř</w:t>
      </w:r>
      <w:r w:rsidR="00621D7C" w:rsidRPr="00735CE7">
        <w:rPr>
          <w:i/>
          <w:iCs/>
        </w:rPr>
        <w:t>itelům tak</w:t>
      </w:r>
      <w:r w:rsidR="000B3405" w:rsidRPr="00735CE7">
        <w:rPr>
          <w:i/>
          <w:iCs/>
        </w:rPr>
        <w:t>, že zastavené věci ručí za celek, může každý z nich proti jiným použít Serviánskou žalobu</w:t>
      </w:r>
      <w:r w:rsidR="005F3B9B" w:rsidRPr="00735CE7">
        <w:rPr>
          <w:i/>
          <w:iCs/>
        </w:rPr>
        <w:t xml:space="preserve"> na celek. Jestliže však podají žaloby na sebe navzájem</w:t>
      </w:r>
      <w:r w:rsidR="00D41BC3" w:rsidRPr="00735CE7">
        <w:rPr>
          <w:i/>
          <w:iCs/>
        </w:rPr>
        <w:t>, Iulianus říká, že je lepší postavení držitele.</w:t>
      </w:r>
      <w:r w:rsidR="00BC53D4" w:rsidRPr="00735CE7">
        <w:rPr>
          <w:i/>
          <w:iCs/>
        </w:rPr>
        <w:t xml:space="preserve"> </w:t>
      </w:r>
      <w:r w:rsidR="00FE375E" w:rsidRPr="00735CE7">
        <w:rPr>
          <w:i/>
          <w:iCs/>
        </w:rPr>
        <w:t>Držiteli se totiž poskytuje následující námitka: Jestliže nebylo dohodnuto, že mi bude zastaven</w:t>
      </w:r>
      <w:r w:rsidR="00772CC2" w:rsidRPr="00735CE7">
        <w:rPr>
          <w:i/>
          <w:iCs/>
        </w:rPr>
        <w:t xml:space="preserve"> tatáž věc. Pokud to však bylo míněno tak, že budou zastaveny napůl oběma, přísluší jim obdobná </w:t>
      </w:r>
      <w:r w:rsidR="00C9505C" w:rsidRPr="00735CE7">
        <w:rPr>
          <w:i/>
          <w:iCs/>
        </w:rPr>
        <w:t>žaloba navzájem i k třetím osobám, kte</w:t>
      </w:r>
      <w:r w:rsidR="00EE2EC8" w:rsidRPr="00735CE7">
        <w:rPr>
          <w:i/>
          <w:iCs/>
        </w:rPr>
        <w:t xml:space="preserve">rou </w:t>
      </w:r>
      <w:r w:rsidR="00735CE7" w:rsidRPr="00735CE7">
        <w:rPr>
          <w:i/>
          <w:iCs/>
        </w:rPr>
        <w:t xml:space="preserve">každý </w:t>
      </w:r>
      <w:r w:rsidR="00EE2EC8" w:rsidRPr="00735CE7">
        <w:rPr>
          <w:i/>
          <w:iCs/>
        </w:rPr>
        <w:t>z nich může získat</w:t>
      </w:r>
      <w:r w:rsidR="00735CE7" w:rsidRPr="00735CE7">
        <w:rPr>
          <w:i/>
          <w:iCs/>
        </w:rPr>
        <w:t xml:space="preserve"> držbu k polovině.“</w:t>
      </w:r>
      <w:r w:rsidR="00735CE7" w:rsidRPr="00735CE7">
        <w:rPr>
          <w:rStyle w:val="Znakapoznpodarou"/>
        </w:rPr>
        <w:footnoteReference w:id="102"/>
      </w:r>
      <w:r w:rsidR="00735CE7">
        <w:t xml:space="preserve"> </w:t>
      </w:r>
      <w:r w:rsidR="00BC53D4">
        <w:t>V určitých případech</w:t>
      </w:r>
      <w:r w:rsidR="00FC23E2">
        <w:t xml:space="preserve">, </w:t>
      </w:r>
      <w:r w:rsidR="00BC53D4">
        <w:t xml:space="preserve">např. pro společenský poměr mezi spoludědici, se však musel </w:t>
      </w:r>
      <w:r w:rsidR="00FC23E2">
        <w:t>ten</w:t>
      </w:r>
      <w:r w:rsidR="00BC53D4">
        <w:t xml:space="preserve"> ze zástavních věřitelů, k</w:t>
      </w:r>
      <w:r w:rsidR="00FC23E2">
        <w:t>terý vykonal zástavní prodej, s ostatními poměrně rozdělit a vypořádat.</w:t>
      </w:r>
      <w:r w:rsidR="00FC23E2">
        <w:rPr>
          <w:rStyle w:val="Znakapoznpodarou"/>
        </w:rPr>
        <w:footnoteReference w:id="103"/>
      </w:r>
    </w:p>
    <w:p w14:paraId="4DA789C1" w14:textId="19F5BAD6" w:rsidR="001D70B2" w:rsidRPr="0066291D" w:rsidRDefault="006B52C6" w:rsidP="0066291D">
      <w:r>
        <w:t>Dle prof. Blaha nebylo překážkou</w:t>
      </w:r>
      <w:r w:rsidR="005A6370">
        <w:t>, pokud byla jedna věc zastavena více věřitelům, a to nezávisle na sobě.</w:t>
      </w:r>
      <w:r w:rsidR="001B051E">
        <w:t xml:space="preserve"> Zejména pak </w:t>
      </w:r>
      <w:r w:rsidR="00E038F0">
        <w:t>v případě</w:t>
      </w:r>
      <w:r w:rsidR="001B051E">
        <w:t xml:space="preserve">, </w:t>
      </w:r>
      <w:r w:rsidR="0082705C">
        <w:t>kdy</w:t>
      </w:r>
      <w:r w:rsidR="001B051E">
        <w:t xml:space="preserve"> </w:t>
      </w:r>
      <w:r w:rsidR="003C3BED">
        <w:t xml:space="preserve">zřízením </w:t>
      </w:r>
      <w:r w:rsidR="001B051E">
        <w:t>první</w:t>
      </w:r>
      <w:r w:rsidR="003C3BED">
        <w:t>ho</w:t>
      </w:r>
      <w:r w:rsidR="001B051E">
        <w:t xml:space="preserve"> zástavní</w:t>
      </w:r>
      <w:r w:rsidR="003C3BED">
        <w:t>ho</w:t>
      </w:r>
      <w:r w:rsidR="001B051E">
        <w:t xml:space="preserve"> práva</w:t>
      </w:r>
      <w:r w:rsidR="003C3BED">
        <w:t xml:space="preserve">, </w:t>
      </w:r>
      <w:r w:rsidR="0082705C">
        <w:t>nedošlo k</w:t>
      </w:r>
      <w:r w:rsidR="003C3BED">
        <w:t xml:space="preserve"> vyčerpán</w:t>
      </w:r>
      <w:r w:rsidR="0082705C">
        <w:t>í</w:t>
      </w:r>
      <w:r w:rsidR="003C3BED">
        <w:t xml:space="preserve"> cel</w:t>
      </w:r>
      <w:r w:rsidR="0082705C">
        <w:t>é</w:t>
      </w:r>
      <w:r w:rsidR="003C3BED">
        <w:t xml:space="preserve"> hodnot</w:t>
      </w:r>
      <w:r w:rsidR="0082705C">
        <w:t>y</w:t>
      </w:r>
      <w:r w:rsidR="003C3BED">
        <w:t xml:space="preserve"> zástavy</w:t>
      </w:r>
      <w:r w:rsidR="00F56C1E">
        <w:t xml:space="preserve"> a zároveň tak nedošlo ke zhoršení postavení prvního zástavního věřitele</w:t>
      </w:r>
      <w:r w:rsidR="008D08DA">
        <w:t>.</w:t>
      </w:r>
      <w:r w:rsidR="001702BE">
        <w:rPr>
          <w:rStyle w:val="Znakapoznpodarou"/>
        </w:rPr>
        <w:footnoteReference w:id="104"/>
      </w:r>
      <w:r w:rsidR="00AB2CDD">
        <w:t xml:space="preserve"> Za situace, kdy si zástavní práva rovna nebyla</w:t>
      </w:r>
      <w:r w:rsidR="0035002F">
        <w:t>,</w:t>
      </w:r>
      <w:r w:rsidR="00AB2CDD">
        <w:t xml:space="preserve"> </w:t>
      </w:r>
      <w:r w:rsidR="002B0824">
        <w:t>docházelo při realizaci zástavního práva ke střetům mezi věřiteli</w:t>
      </w:r>
      <w:r w:rsidR="0035002F">
        <w:t xml:space="preserve">. </w:t>
      </w:r>
      <w:r w:rsidR="00792F94">
        <w:t>Prof. Kincl tvrdí, že v</w:t>
      </w:r>
      <w:r w:rsidR="00DA1345">
        <w:t>ěřitelé</w:t>
      </w:r>
      <w:r w:rsidR="00544EED">
        <w:t xml:space="preserve">, kterým náleželo zástavní právo </w:t>
      </w:r>
      <w:r w:rsidR="007A47C1">
        <w:t>s lepším pořadím oproti ostatním zástavním věřitelům</w:t>
      </w:r>
      <w:r w:rsidR="00A835D9">
        <w:t xml:space="preserve">, byly značně zvýhodněni, protože pokud </w:t>
      </w:r>
      <w:r w:rsidR="00A835D9">
        <w:lastRenderedPageBreak/>
        <w:t>se rozhodli realizovat svoje zástavní právo</w:t>
      </w:r>
      <w:r w:rsidR="001A19FB">
        <w:t xml:space="preserve"> a vyčerpali tak celý předmět zástavního práva</w:t>
      </w:r>
      <w:r w:rsidR="006A3612">
        <w:t>, došlo tím k zániku zástavních práv</w:t>
      </w:r>
      <w:r w:rsidR="007B476B">
        <w:t xml:space="preserve"> ostatních </w:t>
      </w:r>
      <w:r w:rsidR="000C3EBE">
        <w:t xml:space="preserve">věřitelů s horším </w:t>
      </w:r>
      <w:r w:rsidR="000C3EBE" w:rsidRPr="00D775AA">
        <w:t>pořadím</w:t>
      </w:r>
      <w:r w:rsidR="00001E29" w:rsidRPr="00D775AA">
        <w:t>.</w:t>
      </w:r>
      <w:r w:rsidR="00001E29">
        <w:t xml:space="preserve"> Pokud však celá zástava vyčerpána nebyla</w:t>
      </w:r>
      <w:r w:rsidR="004621AD">
        <w:t xml:space="preserve">, měli ostatní věřitelé nárok na to, co ze </w:t>
      </w:r>
      <w:r w:rsidR="00577343">
        <w:t>zástavy zbylo.</w:t>
      </w:r>
      <w:r w:rsidR="00F95E4B">
        <w:rPr>
          <w:rStyle w:val="Znakapoznpodarou"/>
        </w:rPr>
        <w:footnoteReference w:id="105"/>
      </w:r>
      <w:r w:rsidR="00001E29">
        <w:t xml:space="preserve"> </w:t>
      </w:r>
      <w:r w:rsidR="00A647CD">
        <w:t xml:space="preserve">Pro určení pořadí mezi jednotlivými zástavními právy </w:t>
      </w:r>
      <w:r w:rsidR="001F0D41">
        <w:t>byla rozhodující doba, kdy</w:t>
      </w:r>
      <w:r w:rsidR="000B4E8C">
        <w:t xml:space="preserve"> došlo ke vzniku jednotlivého zástavního práva</w:t>
      </w:r>
      <w:r w:rsidR="00E0483F">
        <w:t xml:space="preserve">, a to na základě </w:t>
      </w:r>
      <w:r w:rsidR="00A07387">
        <w:t>principu</w:t>
      </w:r>
      <w:r w:rsidR="00E0483F">
        <w:t xml:space="preserve"> pořadí</w:t>
      </w:r>
      <w:r w:rsidR="00F95E4B">
        <w:t>, neboli</w:t>
      </w:r>
      <w:r w:rsidR="00E04D26">
        <w:t xml:space="preserve"> </w:t>
      </w:r>
      <w:r w:rsidR="00681A77" w:rsidRPr="00A34372">
        <w:rPr>
          <w:i/>
          <w:iCs/>
        </w:rPr>
        <w:t>prior tempore potior iure</w:t>
      </w:r>
      <w:r w:rsidR="0042060A">
        <w:rPr>
          <w:rStyle w:val="Znakapoznpodarou"/>
        </w:rPr>
        <w:footnoteReference w:id="106"/>
      </w:r>
      <w:r w:rsidR="003B49B7" w:rsidRPr="003B49B7">
        <w:t>.</w:t>
      </w:r>
      <w:r w:rsidR="003B49B7" w:rsidRPr="003B49B7">
        <w:rPr>
          <w:rStyle w:val="Znakapoznpodarou"/>
        </w:rPr>
        <w:footnoteReference w:id="107"/>
      </w:r>
      <w:r w:rsidR="00315A05">
        <w:t xml:space="preserve"> </w:t>
      </w:r>
      <w:r w:rsidR="00581A28">
        <w:t xml:space="preserve">Dle prof. Blaha toto znamenalo, že </w:t>
      </w:r>
      <w:r w:rsidR="005A37D4">
        <w:t xml:space="preserve">se pořadí zástavních věřitelů určovalo podle </w:t>
      </w:r>
      <w:r w:rsidR="00543F1B">
        <w:t xml:space="preserve">doby, ve které vzniklo to jednotlivé zástavní právo. Každému zástavnímu věřiteli pak </w:t>
      </w:r>
      <w:r w:rsidR="001C5C7A">
        <w:t xml:space="preserve">náležela </w:t>
      </w:r>
      <w:r w:rsidR="001C5C7A" w:rsidRPr="00F226F8">
        <w:rPr>
          <w:i/>
          <w:iCs/>
        </w:rPr>
        <w:t>actio pigneraticia in rem</w:t>
      </w:r>
      <w:r w:rsidR="005A37D4">
        <w:t xml:space="preserve"> </w:t>
      </w:r>
      <w:r w:rsidR="00FC41AE">
        <w:t>vůči třetím osobám</w:t>
      </w:r>
      <w:r w:rsidR="00E17062">
        <w:t xml:space="preserve"> a ostatním zástavním věřitelům</w:t>
      </w:r>
      <w:r w:rsidR="00E36D2D">
        <w:t xml:space="preserve"> (s horším pořadím</w:t>
      </w:r>
      <w:r w:rsidR="00B17DDE">
        <w:t>)</w:t>
      </w:r>
      <w:r w:rsidR="00E17062">
        <w:t xml:space="preserve">. </w:t>
      </w:r>
      <w:r w:rsidR="00F226F8">
        <w:t>Dlužno t</w:t>
      </w:r>
      <w:r w:rsidR="00B17DDE">
        <w:t>edy doplnit</w:t>
      </w:r>
      <w:r w:rsidR="00E17062">
        <w:t>, že proti věřitelům s lepším postavením</w:t>
      </w:r>
      <w:r w:rsidR="003577A4">
        <w:t>,</w:t>
      </w:r>
      <w:r w:rsidR="00E17062">
        <w:t xml:space="preserve"> </w:t>
      </w:r>
      <w:r w:rsidR="003577A4">
        <w:t>takovouto žalobu</w:t>
      </w:r>
      <w:r w:rsidR="00EB2F54">
        <w:t xml:space="preserve"> </w:t>
      </w:r>
      <w:r w:rsidR="00E13C7F">
        <w:t xml:space="preserve">možné </w:t>
      </w:r>
      <w:r w:rsidR="00EB2F54">
        <w:t>podat</w:t>
      </w:r>
      <w:r w:rsidR="003577A4">
        <w:t xml:space="preserve"> nebylo.</w:t>
      </w:r>
      <w:r w:rsidR="00215446">
        <w:rPr>
          <w:rStyle w:val="Znakapoznpodarou"/>
        </w:rPr>
        <w:footnoteReference w:id="108"/>
      </w:r>
      <w:r w:rsidR="003577A4">
        <w:t xml:space="preserve"> </w:t>
      </w:r>
      <w:r w:rsidR="005F27FE">
        <w:t>Jak ale tvrdí prof. Kincl, t</w:t>
      </w:r>
      <w:r w:rsidR="00BC6E07">
        <w:t xml:space="preserve">oto pravidlo </w:t>
      </w:r>
      <w:r w:rsidR="003C3A70">
        <w:t>nebylo jediné, při určování pořadí jednotlivých zástavních</w:t>
      </w:r>
      <w:r w:rsidR="00D95A29">
        <w:t xml:space="preserve"> </w:t>
      </w:r>
      <w:r w:rsidR="003C3A70">
        <w:t>práv.</w:t>
      </w:r>
      <w:r w:rsidR="00D95A29">
        <w:t xml:space="preserve"> </w:t>
      </w:r>
      <w:r w:rsidR="000626F7">
        <w:t xml:space="preserve">Přednost před </w:t>
      </w:r>
      <w:r w:rsidR="00050D8B">
        <w:t>pohledávkami určenými podle pořadí měly pohledávky privilegované</w:t>
      </w:r>
      <w:r w:rsidR="008A5FEF">
        <w:t>, kter</w:t>
      </w:r>
      <w:r w:rsidR="00325AEE">
        <w:t>é byly zpravidla zajištěny zástavním právem přímo ze zákona.</w:t>
      </w:r>
      <w:r w:rsidR="007E0965">
        <w:t xml:space="preserve">, a to i když </w:t>
      </w:r>
      <w:r w:rsidR="009717A5">
        <w:t>vznikly později než ostatní pohledávky</w:t>
      </w:r>
      <w:r w:rsidR="00325AEE">
        <w:t>.</w:t>
      </w:r>
      <w:r w:rsidR="007467BF">
        <w:rPr>
          <w:rStyle w:val="Znakapoznpodarou"/>
        </w:rPr>
        <w:footnoteReference w:id="109"/>
      </w:r>
      <w:r w:rsidR="007467BF">
        <w:t xml:space="preserve"> </w:t>
      </w:r>
      <w:r w:rsidR="00615552">
        <w:t>Prof. Heyrovský uvádí, že j</w:t>
      </w:r>
      <w:r w:rsidR="00950ADA">
        <w:t>edním z</w:t>
      </w:r>
      <w:r w:rsidR="007E5C3D">
        <w:t> </w:t>
      </w:r>
      <w:r w:rsidR="00950ADA">
        <w:t>nich</w:t>
      </w:r>
      <w:r w:rsidR="007E5C3D">
        <w:t xml:space="preserve"> bylo například</w:t>
      </w:r>
      <w:r w:rsidR="007467BF">
        <w:t xml:space="preserve"> </w:t>
      </w:r>
      <w:r w:rsidR="00FC1ECC">
        <w:t>zástavní právo fisku</w:t>
      </w:r>
      <w:r w:rsidR="00DC5E42">
        <w:t xml:space="preserve">, které poskytovalo zajištění </w:t>
      </w:r>
      <w:r w:rsidR="00152275">
        <w:t>pohledávek z</w:t>
      </w:r>
      <w:r w:rsidR="001239FF">
        <w:t> </w:t>
      </w:r>
      <w:r w:rsidR="00152275">
        <w:t>daní</w:t>
      </w:r>
      <w:r w:rsidR="001239FF">
        <w:t>. Dalším z </w:t>
      </w:r>
      <w:r w:rsidR="00C02E09">
        <w:t>takovýchto</w:t>
      </w:r>
      <w:r w:rsidR="001239FF">
        <w:t xml:space="preserve"> privilegovaných pohledávek</w:t>
      </w:r>
      <w:r w:rsidR="00C02E09">
        <w:t>, bylo</w:t>
      </w:r>
      <w:r w:rsidR="00116B10">
        <w:t xml:space="preserve"> z</w:t>
      </w:r>
      <w:r w:rsidR="00045769">
        <w:t> </w:t>
      </w:r>
      <w:r w:rsidR="00116B10">
        <w:t>dob</w:t>
      </w:r>
      <w:r w:rsidR="00045769">
        <w:t xml:space="preserve"> </w:t>
      </w:r>
      <w:r w:rsidR="007467BF">
        <w:t>Justinianského práva zástavní právo manželky</w:t>
      </w:r>
      <w:r w:rsidR="00C02E09">
        <w:t>, a to</w:t>
      </w:r>
      <w:r w:rsidR="007467BF">
        <w:t xml:space="preserve"> pro pohledávku o navrácení</w:t>
      </w:r>
      <w:r w:rsidR="00225B0D" w:rsidRPr="00225B0D">
        <w:t xml:space="preserve"> </w:t>
      </w:r>
      <w:r w:rsidR="00225B0D">
        <w:t>věna</w:t>
      </w:r>
      <w:r w:rsidR="007467BF">
        <w:t xml:space="preserve">, neboli </w:t>
      </w:r>
      <w:r w:rsidR="00225B0D" w:rsidRPr="009869E5">
        <w:rPr>
          <w:i/>
          <w:iCs/>
        </w:rPr>
        <w:t>dotis</w:t>
      </w:r>
      <w:r w:rsidR="007467BF">
        <w:t>.</w:t>
      </w:r>
      <w:r w:rsidR="007467BF">
        <w:rPr>
          <w:rStyle w:val="Znakapoznpodarou"/>
        </w:rPr>
        <w:footnoteReference w:id="110"/>
      </w:r>
      <w:r w:rsidR="0020730B">
        <w:t xml:space="preserve"> </w:t>
      </w:r>
      <w:r w:rsidR="008C1514">
        <w:t>Prof. Vančura píše, že m</w:t>
      </w:r>
      <w:r w:rsidR="008800CD">
        <w:t>ezi další p</w:t>
      </w:r>
      <w:r w:rsidR="0020730B">
        <w:t xml:space="preserve">rivilegovaná zástavní práva, která </w:t>
      </w:r>
      <w:r w:rsidR="008800CD">
        <w:t xml:space="preserve">však </w:t>
      </w:r>
      <w:r w:rsidR="0020730B">
        <w:t>nevznikala</w:t>
      </w:r>
      <w:r w:rsidR="0045175F">
        <w:t xml:space="preserve"> automaticky</w:t>
      </w:r>
      <w:r w:rsidR="0020730B">
        <w:t xml:space="preserve"> </w:t>
      </w:r>
      <w:r w:rsidR="00260799">
        <w:t>ze zákona</w:t>
      </w:r>
      <w:r w:rsidR="0020730B">
        <w:t>,</w:t>
      </w:r>
      <w:r w:rsidR="008800CD">
        <w:t xml:space="preserve"> </w:t>
      </w:r>
      <w:r w:rsidR="0045175F">
        <w:t>náležela</w:t>
      </w:r>
      <w:r w:rsidR="0020730B">
        <w:t xml:space="preserve"> dle </w:t>
      </w:r>
      <w:r w:rsidR="00A03844">
        <w:t>zákona císaře</w:t>
      </w:r>
      <w:r w:rsidR="0020730B">
        <w:t xml:space="preserve"> Leon</w:t>
      </w:r>
      <w:r w:rsidR="00A03844">
        <w:t>a I.</w:t>
      </w:r>
      <w:r w:rsidR="000E453D">
        <w:t>,</w:t>
      </w:r>
      <w:r w:rsidR="0020730B">
        <w:t xml:space="preserve"> tzv. </w:t>
      </w:r>
      <w:r w:rsidR="0020730B" w:rsidRPr="008F5C4F">
        <w:rPr>
          <w:i/>
          <w:iCs/>
        </w:rPr>
        <w:t>pignus publicum</w:t>
      </w:r>
      <w:r w:rsidR="0020730B" w:rsidRPr="00260799">
        <w:t xml:space="preserve"> a </w:t>
      </w:r>
      <w:r w:rsidR="0020730B" w:rsidRPr="008F5C4F">
        <w:rPr>
          <w:i/>
          <w:iCs/>
        </w:rPr>
        <w:t>quasi publicum</w:t>
      </w:r>
      <w:r w:rsidR="0020730B">
        <w:t xml:space="preserve">. </w:t>
      </w:r>
      <w:r w:rsidR="0084467D">
        <w:t>I tato zástav</w:t>
      </w:r>
      <w:r w:rsidR="00DA5D5C">
        <w:t>ní práva měla přednost před ostatními, bez ohledu na to, kdy vznikla</w:t>
      </w:r>
      <w:r w:rsidR="00196274">
        <w:t>, avšak</w:t>
      </w:r>
      <w:r w:rsidR="00E85947">
        <w:t xml:space="preserve"> n</w:t>
      </w:r>
      <w:r w:rsidR="009D6354">
        <w:t>utným předpokladem bylo, aby o těchto zástavních právech byla sepsána buď veřejná listina</w:t>
      </w:r>
      <w:r w:rsidR="000E453D">
        <w:t>,</w:t>
      </w:r>
      <w:r w:rsidR="00A25757">
        <w:t xml:space="preserve"> čímž došlo ke vzniku </w:t>
      </w:r>
      <w:r w:rsidR="00A25757" w:rsidRPr="008F5C4F">
        <w:rPr>
          <w:i/>
          <w:iCs/>
        </w:rPr>
        <w:t>pignus publicum</w:t>
      </w:r>
      <w:r w:rsidR="00A25757">
        <w:t>,</w:t>
      </w:r>
      <w:r w:rsidR="00970E78">
        <w:t xml:space="preserve"> </w:t>
      </w:r>
      <w:r w:rsidR="000E453D">
        <w:t>a</w:t>
      </w:r>
      <w:r w:rsidR="0020730B">
        <w:t xml:space="preserve">nebo </w:t>
      </w:r>
      <w:r w:rsidR="00970E78">
        <w:t>listina</w:t>
      </w:r>
      <w:r w:rsidR="0020730B">
        <w:t xml:space="preserve"> soukromá,</w:t>
      </w:r>
      <w:r w:rsidR="00883D97">
        <w:t xml:space="preserve"> který byla podepsána třemi svědky</w:t>
      </w:r>
      <w:r w:rsidR="0045518B">
        <w:t xml:space="preserve">, také jinak jako </w:t>
      </w:r>
      <w:r w:rsidR="0045518B" w:rsidRPr="008F5C4F">
        <w:rPr>
          <w:i/>
          <w:iCs/>
        </w:rPr>
        <w:t xml:space="preserve">pignus </w:t>
      </w:r>
      <w:r w:rsidR="000E453D" w:rsidRPr="008F5C4F">
        <w:rPr>
          <w:i/>
          <w:iCs/>
        </w:rPr>
        <w:t>quasi publicum</w:t>
      </w:r>
      <w:r w:rsidR="0045518B">
        <w:t>.</w:t>
      </w:r>
      <w:r w:rsidR="00883D97">
        <w:t xml:space="preserve"> </w:t>
      </w:r>
      <w:r w:rsidR="00E11A30">
        <w:t>Tito svědci však museli být</w:t>
      </w:r>
      <w:r w:rsidR="00883D97">
        <w:t xml:space="preserve"> </w:t>
      </w:r>
      <w:r w:rsidR="000E453D">
        <w:t xml:space="preserve">navíc </w:t>
      </w:r>
      <w:r w:rsidR="007F3630">
        <w:t xml:space="preserve">i </w:t>
      </w:r>
      <w:r w:rsidR="00883D97">
        <w:t>věrohodní</w:t>
      </w:r>
      <w:r w:rsidR="00D40A2B">
        <w:t xml:space="preserve">, </w:t>
      </w:r>
      <w:r w:rsidR="007F3630">
        <w:t>aby byl naplněn předpoklad pro získání ochrany veřejné listiny.</w:t>
      </w:r>
      <w:r w:rsidR="0020730B">
        <w:rPr>
          <w:rStyle w:val="Znakapoznpodarou"/>
        </w:rPr>
        <w:footnoteReference w:id="111"/>
      </w:r>
      <w:r w:rsidR="0020730B">
        <w:t xml:space="preserve"> </w:t>
      </w:r>
      <w:r w:rsidR="001D70B2">
        <w:t xml:space="preserve">Co se </w:t>
      </w:r>
      <w:r w:rsidR="007B5582">
        <w:t>týče pořadí privilegovaných pohledávek</w:t>
      </w:r>
      <w:r w:rsidR="00787DD8">
        <w:t xml:space="preserve">, </w:t>
      </w:r>
      <w:r w:rsidR="003F17AF">
        <w:t>tak prof. Heyrov</w:t>
      </w:r>
      <w:r w:rsidR="003237B8">
        <w:t>s</w:t>
      </w:r>
      <w:r w:rsidR="003F17AF">
        <w:t>ký k tomuto píše</w:t>
      </w:r>
      <w:r w:rsidR="00425DAE">
        <w:t xml:space="preserve">, že </w:t>
      </w:r>
      <w:r w:rsidR="00787DD8">
        <w:t>na prvním místě j</w:t>
      </w:r>
      <w:r w:rsidR="006D5455">
        <w:t xml:space="preserve">e zástavní právo fisku pro pohledávky z daní, </w:t>
      </w:r>
      <w:r w:rsidR="00852940">
        <w:t>po něm následuje</w:t>
      </w:r>
      <w:r w:rsidR="00E15DAB">
        <w:t xml:space="preserve"> zástavní právo manželky pro</w:t>
      </w:r>
      <w:r w:rsidR="00852940">
        <w:t xml:space="preserve"> pohledávk</w:t>
      </w:r>
      <w:r w:rsidR="00E15DAB">
        <w:t>u</w:t>
      </w:r>
      <w:r w:rsidR="00852940">
        <w:t xml:space="preserve"> o navrácení</w:t>
      </w:r>
      <w:r w:rsidR="00E15DAB">
        <w:t xml:space="preserve"> věna</w:t>
      </w:r>
      <w:r w:rsidR="004D2963">
        <w:t>, neboli hypotéka dotální a poslední</w:t>
      </w:r>
      <w:r w:rsidR="00C70168">
        <w:t xml:space="preserve"> místo sdílí </w:t>
      </w:r>
      <w:r w:rsidR="00B36D38">
        <w:t>fiskální zástavní právo pro pohledávky ze smluv</w:t>
      </w:r>
      <w:r w:rsidR="006B6053">
        <w:t>, se</w:t>
      </w:r>
      <w:r w:rsidR="00333A44">
        <w:t xml:space="preserve"> zástavní</w:t>
      </w:r>
      <w:r w:rsidR="006B6053">
        <w:t>m</w:t>
      </w:r>
      <w:r w:rsidR="00333A44">
        <w:t xml:space="preserve"> </w:t>
      </w:r>
      <w:r w:rsidR="00333A44">
        <w:lastRenderedPageBreak/>
        <w:t>p</w:t>
      </w:r>
      <w:r w:rsidR="00924835">
        <w:t>ráv</w:t>
      </w:r>
      <w:r w:rsidR="00425DAE">
        <w:t>em</w:t>
      </w:r>
      <w:r w:rsidR="00924835">
        <w:t xml:space="preserve"> </w:t>
      </w:r>
      <w:r w:rsidR="00924835" w:rsidRPr="00D213F9">
        <w:rPr>
          <w:i/>
          <w:iCs/>
        </w:rPr>
        <w:t>versio in rem</w:t>
      </w:r>
      <w:r w:rsidR="00924835">
        <w:rPr>
          <w:rStyle w:val="Znakapoznpodarou"/>
        </w:rPr>
        <w:footnoteReference w:id="112"/>
      </w:r>
      <w:r w:rsidR="000936CB" w:rsidRPr="000936CB">
        <w:t>.</w:t>
      </w:r>
      <w:r w:rsidR="000936CB" w:rsidRPr="000936CB">
        <w:rPr>
          <w:rStyle w:val="Znakapoznpodarou"/>
        </w:rPr>
        <w:t xml:space="preserve"> </w:t>
      </w:r>
      <w:r w:rsidR="000936CB">
        <w:rPr>
          <w:rStyle w:val="Znakapoznpodarou"/>
        </w:rPr>
        <w:footnoteReference w:id="113"/>
      </w:r>
      <w:r w:rsidR="000936CB">
        <w:t xml:space="preserve"> </w:t>
      </w:r>
      <w:r w:rsidR="00FC4AAE">
        <w:t xml:space="preserve">Dle prof. Vančury pak </w:t>
      </w:r>
      <w:r w:rsidR="00E33C7C">
        <w:t xml:space="preserve">u </w:t>
      </w:r>
      <w:r w:rsidR="00FC4AAE">
        <w:t>t</w:t>
      </w:r>
      <w:r w:rsidR="00F76972">
        <w:t>ěchto d</w:t>
      </w:r>
      <w:r w:rsidR="000729F0">
        <w:t>vou zástavních práv</w:t>
      </w:r>
      <w:r w:rsidR="00D2776A">
        <w:t xml:space="preserve"> sdílejících</w:t>
      </w:r>
      <w:r w:rsidR="000729F0">
        <w:t xml:space="preserve"> v pořadí poslední místo</w:t>
      </w:r>
      <w:r w:rsidR="00EA7289">
        <w:t>, rozhodovala obecná pravidla</w:t>
      </w:r>
      <w:r w:rsidR="00CD357B">
        <w:t xml:space="preserve"> (doba vzniku, veřejnost práva)</w:t>
      </w:r>
      <w:r w:rsidR="00EA7289">
        <w:t xml:space="preserve">, jak </w:t>
      </w:r>
      <w:r w:rsidR="000C51DB">
        <w:t>jsme</w:t>
      </w:r>
      <w:r w:rsidR="00EA7289">
        <w:t xml:space="preserve"> si již výše vysvětlili.</w:t>
      </w:r>
      <w:r w:rsidR="00B35C9F">
        <w:rPr>
          <w:rStyle w:val="Znakapoznpodarou"/>
        </w:rPr>
        <w:footnoteReference w:id="114"/>
      </w:r>
      <w:r w:rsidR="00F651EF">
        <w:t xml:space="preserve"> </w:t>
      </w:r>
      <w:r w:rsidR="009C0D7F">
        <w:t>Ulpián</w:t>
      </w:r>
      <w:r w:rsidR="00AA2FC0">
        <w:t xml:space="preserve"> však</w:t>
      </w:r>
      <w:r w:rsidR="00797DB8">
        <w:t xml:space="preserve"> ve 3. knize Rozprav</w:t>
      </w:r>
      <w:r w:rsidR="00AA2FC0">
        <w:t xml:space="preserve"> k tomuto píše, že</w:t>
      </w:r>
      <w:r w:rsidR="008616EA">
        <w:t xml:space="preserve">: </w:t>
      </w:r>
      <w:r w:rsidR="008616EA" w:rsidRPr="006D19B7">
        <w:rPr>
          <w:i/>
          <w:iCs/>
        </w:rPr>
        <w:t>„</w:t>
      </w:r>
      <w:r w:rsidR="00796CAD" w:rsidRPr="006D19B7">
        <w:rPr>
          <w:i/>
          <w:iCs/>
        </w:rPr>
        <w:t>Někdy je věřitel v lepším postavení než dřívější, například když na údržbu samotné věci bylo vynaloženo to, co pozdější zapůjčil</w:t>
      </w:r>
      <w:r w:rsidR="00183A4E" w:rsidRPr="006D19B7">
        <w:rPr>
          <w:i/>
          <w:iCs/>
        </w:rPr>
        <w:t>. Například když byla zastavena loď a já zapůjčím na její vystrojení anebo opravu</w:t>
      </w:r>
      <w:r w:rsidR="002D16B9" w:rsidRPr="006D19B7">
        <w:rPr>
          <w:i/>
          <w:iCs/>
        </w:rPr>
        <w:t>.“</w:t>
      </w:r>
      <w:r w:rsidR="001D445D">
        <w:rPr>
          <w:rStyle w:val="Znakapoznpodarou"/>
        </w:rPr>
        <w:footnoteReference w:id="115"/>
      </w:r>
      <w:r w:rsidR="002D16B9">
        <w:t xml:space="preserve"> Takovéto pravidlo </w:t>
      </w:r>
      <w:r w:rsidR="002415A7">
        <w:t>pak</w:t>
      </w:r>
      <w:r w:rsidR="002D16B9">
        <w:t xml:space="preserve"> mělo za následek, že </w:t>
      </w:r>
      <w:r w:rsidR="002415A7">
        <w:t>i zástavní práva, která vznikla později</w:t>
      </w:r>
      <w:r w:rsidR="001D445D">
        <w:t>, měla přednost před staršími zástavními právy, v rozporu s principem priority.</w:t>
      </w:r>
    </w:p>
    <w:p w14:paraId="229A663B" w14:textId="4A9FAE31" w:rsidR="00862026" w:rsidRDefault="00BE511A" w:rsidP="00685062">
      <w:r>
        <w:t>P</w:t>
      </w:r>
      <w:r w:rsidR="007467BF">
        <w:t xml:space="preserve">ři souběhu </w:t>
      </w:r>
      <w:r w:rsidR="00747C36">
        <w:t xml:space="preserve">více </w:t>
      </w:r>
      <w:r w:rsidR="007467BF">
        <w:t>zástavních práv s horším pořadím, byly</w:t>
      </w:r>
      <w:r w:rsidR="003B6F59">
        <w:t xml:space="preserve"> jejich nevýhody</w:t>
      </w:r>
      <w:r w:rsidR="007467BF">
        <w:t xml:space="preserve"> podtrženy akcesorickou povahou zástavního práva, která</w:t>
      </w:r>
      <w:r w:rsidR="00211026">
        <w:t xml:space="preserve"> měla za následek to, že jej nešlo převést,</w:t>
      </w:r>
      <w:r w:rsidR="007467BF">
        <w:t xml:space="preserve"> takže </w:t>
      </w:r>
      <w:r w:rsidR="00952A3B">
        <w:t>byl</w:t>
      </w:r>
      <w:r w:rsidR="00275A8E">
        <w:t>o</w:t>
      </w:r>
      <w:r w:rsidR="00952A3B">
        <w:t xml:space="preserve"> </w:t>
      </w:r>
      <w:r w:rsidR="007467BF">
        <w:t xml:space="preserve">zástavní právo trvale </w:t>
      </w:r>
      <w:r w:rsidR="00952A3B">
        <w:t>spjato s</w:t>
      </w:r>
      <w:r w:rsidR="007467BF">
        <w:t xml:space="preserve"> pořadím, do kterého se při souběhu dostalo.</w:t>
      </w:r>
      <w:r w:rsidR="008E33DE">
        <w:rPr>
          <w:rStyle w:val="Znakapoznpodarou"/>
        </w:rPr>
        <w:footnoteReference w:id="116"/>
      </w:r>
      <w:r w:rsidR="007467BF">
        <w:t xml:space="preserve"> </w:t>
      </w:r>
      <w:r w:rsidR="00A007F7">
        <w:t>Z</w:t>
      </w:r>
      <w:r w:rsidR="008E33DE">
        <w:t>ástavní věřitel,</w:t>
      </w:r>
      <w:r w:rsidR="00A007F7">
        <w:t xml:space="preserve"> kterému byl</w:t>
      </w:r>
      <w:r w:rsidR="00A40EED">
        <w:t>o</w:t>
      </w:r>
      <w:r w:rsidR="00A007F7">
        <w:t xml:space="preserve"> zřízeno zástavní právo na věci jako prvnímu,</w:t>
      </w:r>
      <w:r w:rsidR="008E33DE">
        <w:t xml:space="preserve"> tedy </w:t>
      </w:r>
      <w:r w:rsidR="00A007F7">
        <w:t xml:space="preserve">zároveň </w:t>
      </w:r>
      <w:r w:rsidR="008E33DE">
        <w:t>věřitel</w:t>
      </w:r>
      <w:r w:rsidR="000D1FB3">
        <w:t xml:space="preserve">, který měl </w:t>
      </w:r>
      <w:r w:rsidR="008E33DE">
        <w:t>lepší pořadí</w:t>
      </w:r>
      <w:r w:rsidR="008E514D">
        <w:t xml:space="preserve"> </w:t>
      </w:r>
      <w:r w:rsidR="007D1DF8">
        <w:t>na základě principu priority</w:t>
      </w:r>
      <w:r w:rsidR="008E33DE">
        <w:t xml:space="preserve">, mohl </w:t>
      </w:r>
      <w:r w:rsidR="007367A6">
        <w:t xml:space="preserve">žalovat na vydání </w:t>
      </w:r>
      <w:r w:rsidR="000C04CD">
        <w:t>věci kohokoliv, kdo měl zástavu u sebe</w:t>
      </w:r>
      <w:r w:rsidR="005365EE">
        <w:t xml:space="preserve">, a to včetně </w:t>
      </w:r>
      <w:r w:rsidR="0057579E">
        <w:t xml:space="preserve">ostatních </w:t>
      </w:r>
      <w:r w:rsidR="005365EE">
        <w:t>zástavních věřitelů</w:t>
      </w:r>
      <w:r w:rsidR="004B01DA">
        <w:t xml:space="preserve"> s horším postavením </w:t>
      </w:r>
      <w:r w:rsidR="005970DB">
        <w:t xml:space="preserve">a měl také oprávnění zpeněžit </w:t>
      </w:r>
      <w:r w:rsidR="00411592">
        <w:t>celou zástavu pro uspokojení své pohledávky</w:t>
      </w:r>
      <w:r w:rsidR="00EB27AE">
        <w:t xml:space="preserve">, čímž </w:t>
      </w:r>
      <w:r w:rsidR="007E5976">
        <w:t xml:space="preserve">vlastně </w:t>
      </w:r>
      <w:r w:rsidR="00EB27AE">
        <w:t>došlo k zániku všech ostatních zástavních práv.</w:t>
      </w:r>
      <w:r w:rsidR="008E33DE">
        <w:rPr>
          <w:rStyle w:val="Znakapoznpodarou"/>
        </w:rPr>
        <w:footnoteReference w:id="117"/>
      </w:r>
      <w:r w:rsidR="006657E7">
        <w:t xml:space="preserve"> </w:t>
      </w:r>
      <w:r w:rsidR="00D32753">
        <w:t>Avšak věřitelé, kteří měli horší postavení</w:t>
      </w:r>
      <w:r w:rsidR="009D1566">
        <w:t xml:space="preserve">, mohli </w:t>
      </w:r>
      <w:r w:rsidR="00C15FD9">
        <w:t>tento neduh</w:t>
      </w:r>
      <w:r w:rsidR="009D1566">
        <w:t xml:space="preserve"> zvrátit </w:t>
      </w:r>
      <w:r w:rsidR="00C15FD9">
        <w:t xml:space="preserve">ve svůj prospěch tím, že </w:t>
      </w:r>
      <w:r w:rsidR="00501097">
        <w:t xml:space="preserve">odkoupili od zástavního věřitele s lepším pořadím jeho pohledávku </w:t>
      </w:r>
      <w:r w:rsidR="00B14A41">
        <w:t xml:space="preserve">a dostali se tak v pořadí na jeho místo. </w:t>
      </w:r>
      <w:r w:rsidR="00053CFB">
        <w:t xml:space="preserve">Pokud </w:t>
      </w:r>
      <w:r w:rsidR="00966FBA">
        <w:t>se však zástavní věřitel s lepším postavením zdráhal přijmout takov</w:t>
      </w:r>
      <w:r w:rsidR="00153937">
        <w:t>ou</w:t>
      </w:r>
      <w:r w:rsidR="00966FBA">
        <w:t xml:space="preserve">to </w:t>
      </w:r>
      <w:r w:rsidR="00153937">
        <w:t xml:space="preserve">nabídku </w:t>
      </w:r>
      <w:r w:rsidR="00A05D3A">
        <w:t xml:space="preserve">na </w:t>
      </w:r>
      <w:r w:rsidR="00966FBA">
        <w:t>odkup</w:t>
      </w:r>
      <w:r w:rsidR="00153937">
        <w:t xml:space="preserve"> (tzv. </w:t>
      </w:r>
      <w:r w:rsidR="00153937" w:rsidRPr="00BC2F50">
        <w:rPr>
          <w:i/>
          <w:iCs/>
        </w:rPr>
        <w:t>ius offerendi et succedendi</w:t>
      </w:r>
      <w:r w:rsidR="00153937">
        <w:t>)</w:t>
      </w:r>
      <w:r w:rsidR="00966FBA">
        <w:t xml:space="preserve">, dalo se dosáhnout stejného účinku tím, že </w:t>
      </w:r>
      <w:r w:rsidR="000C1F58">
        <w:t>zástavní věřitel s horším post</w:t>
      </w:r>
      <w:r w:rsidR="00EE4E4B">
        <w:t>a</w:t>
      </w:r>
      <w:r w:rsidR="000C1F58">
        <w:t>vením složil na určitém místě hodnotu pohledávky věřitele s lepším po</w:t>
      </w:r>
      <w:r w:rsidR="00EE4E4B">
        <w:t>stavením</w:t>
      </w:r>
      <w:r w:rsidR="00784C19">
        <w:t xml:space="preserve"> (</w:t>
      </w:r>
      <w:r w:rsidR="00784C19" w:rsidRPr="00C17E4C">
        <w:rPr>
          <w:i/>
          <w:iCs/>
        </w:rPr>
        <w:t xml:space="preserve">in locum prioris </w:t>
      </w:r>
      <w:r w:rsidR="008D5811" w:rsidRPr="00C17E4C">
        <w:rPr>
          <w:i/>
          <w:iCs/>
        </w:rPr>
        <w:t>creditoris succedere</w:t>
      </w:r>
      <w:r w:rsidR="008D5811">
        <w:t>)</w:t>
      </w:r>
      <w:r w:rsidR="00E8356B">
        <w:t>.</w:t>
      </w:r>
      <w:r w:rsidR="001E0240">
        <w:rPr>
          <w:rStyle w:val="Znakapoznpodarou"/>
        </w:rPr>
        <w:footnoteReference w:id="118"/>
      </w:r>
      <w:r w:rsidR="00E8356B">
        <w:t xml:space="preserve"> </w:t>
      </w:r>
      <w:r w:rsidR="00A05D3A">
        <w:t xml:space="preserve">Pouze díky tomuto </w:t>
      </w:r>
      <w:r w:rsidR="000A783E">
        <w:t>způsobu</w:t>
      </w:r>
      <w:r w:rsidR="0097259C">
        <w:t>,</w:t>
      </w:r>
      <w:r w:rsidR="000A783E">
        <w:t xml:space="preserve"> </w:t>
      </w:r>
      <w:r w:rsidR="00EF4333">
        <w:t>m</w:t>
      </w:r>
      <w:r w:rsidR="00AD3D0D">
        <w:t>ohl po realizaci prvního zástavního práva</w:t>
      </w:r>
      <w:r w:rsidR="001F0CCC">
        <w:t>, zrealizovat i jeho vlastní zástavní právo</w:t>
      </w:r>
      <w:r w:rsidR="0066673F">
        <w:t xml:space="preserve"> a uplatnit</w:t>
      </w:r>
      <w:r w:rsidR="00AF4228">
        <w:t xml:space="preserve"> tak</w:t>
      </w:r>
      <w:r w:rsidR="0066673F">
        <w:t xml:space="preserve"> pohledávku, která byla tímto zajištěna. </w:t>
      </w:r>
      <w:r w:rsidR="00B330AE">
        <w:t>Docházelo tak ke vznik</w:t>
      </w:r>
      <w:r w:rsidR="00387DE3">
        <w:t>u velice komplikovaných vztahů</w:t>
      </w:r>
      <w:r w:rsidR="00CF4B1B">
        <w:t xml:space="preserve">, které </w:t>
      </w:r>
      <w:r w:rsidR="0097259C">
        <w:t>byly prameny označeny jako hypotekární sukcese.</w:t>
      </w:r>
      <w:r w:rsidR="00AF16CB">
        <w:rPr>
          <w:rStyle w:val="Znakapoznpodarou"/>
        </w:rPr>
        <w:footnoteReference w:id="119"/>
      </w:r>
      <w:r w:rsidR="00685062">
        <w:br w:type="page"/>
      </w:r>
    </w:p>
    <w:p w14:paraId="25CFD07E" w14:textId="77777777" w:rsidR="00AF16CB" w:rsidRDefault="006B31E6" w:rsidP="0020730B">
      <w:bookmarkStart w:id="20" w:name="_Toc100354940"/>
      <w:r w:rsidRPr="005B3582">
        <w:rPr>
          <w:rStyle w:val="Nadpis3Char"/>
        </w:rPr>
        <w:lastRenderedPageBreak/>
        <w:t xml:space="preserve">2.6.1 </w:t>
      </w:r>
      <w:r w:rsidR="00862026" w:rsidRPr="005B3582">
        <w:rPr>
          <w:rStyle w:val="Nadpis3Char"/>
        </w:rPr>
        <w:t>Hypotekární sukcese</w:t>
      </w:r>
      <w:bookmarkEnd w:id="20"/>
    </w:p>
    <w:p w14:paraId="3CF488B4" w14:textId="676CAD9C" w:rsidR="00FC23E2" w:rsidRDefault="00066C0E" w:rsidP="00686849">
      <w:r>
        <w:t>Kromě výše zmíněné</w:t>
      </w:r>
      <w:r w:rsidR="00BA0766">
        <w:t>ho</w:t>
      </w:r>
      <w:r w:rsidR="0015666E">
        <w:t xml:space="preserve"> existoval</w:t>
      </w:r>
      <w:r w:rsidR="00EA5A4E">
        <w:t>y</w:t>
      </w:r>
      <w:r w:rsidR="00B26EF6">
        <w:t xml:space="preserve"> v</w:t>
      </w:r>
      <w:r w:rsidR="00207116">
        <w:t xml:space="preserve"> době římského práva </w:t>
      </w:r>
      <w:r w:rsidR="002C0838">
        <w:t xml:space="preserve">i jiné </w:t>
      </w:r>
      <w:r w:rsidR="00EA5A4E">
        <w:t>případy</w:t>
      </w:r>
      <w:r w:rsidR="002C0838">
        <w:t xml:space="preserve">, u kterých jsme se mohli setkat s hypotekární sukcesí. </w:t>
      </w:r>
      <w:r w:rsidR="00C04E0F" w:rsidRPr="00686849">
        <w:rPr>
          <w:b/>
          <w:bCs/>
        </w:rPr>
        <w:t>První</w:t>
      </w:r>
      <w:r w:rsidR="00EA5A4E">
        <w:rPr>
          <w:b/>
          <w:bCs/>
        </w:rPr>
        <w:t>m</w:t>
      </w:r>
      <w:r w:rsidR="00C04E0F">
        <w:t xml:space="preserve"> z nich byla situace</w:t>
      </w:r>
      <w:r w:rsidR="00753B18">
        <w:t>, kdy se při novaci</w:t>
      </w:r>
      <w:r w:rsidR="00D10AD9">
        <w:rPr>
          <w:rStyle w:val="Znakapoznpodarou"/>
        </w:rPr>
        <w:footnoteReference w:id="120"/>
      </w:r>
      <w:r w:rsidR="00753B18">
        <w:t xml:space="preserve"> </w:t>
      </w:r>
      <w:r w:rsidR="00593DC2">
        <w:t>mezi stranami obligace dohodlo</w:t>
      </w:r>
      <w:r w:rsidR="0076744D">
        <w:t>,</w:t>
      </w:r>
      <w:r w:rsidR="00753B18">
        <w:t xml:space="preserve"> že zástava, </w:t>
      </w:r>
      <w:r w:rsidR="00266559">
        <w:t>která zajišťovala zaniklou obligaci</w:t>
      </w:r>
      <w:r w:rsidR="00F70773">
        <w:t xml:space="preserve">, bude </w:t>
      </w:r>
      <w:r w:rsidR="006A3381">
        <w:t>sloužit jako</w:t>
      </w:r>
      <w:r w:rsidR="00D41F6D">
        <w:t xml:space="preserve"> věcné</w:t>
      </w:r>
      <w:r w:rsidR="006A3381">
        <w:t xml:space="preserve"> zajištění pro</w:t>
      </w:r>
      <w:r w:rsidR="00F70773">
        <w:t xml:space="preserve"> obligaci novou.</w:t>
      </w:r>
      <w:r w:rsidR="00CD6D3A">
        <w:t xml:space="preserve"> </w:t>
      </w:r>
      <w:r w:rsidR="00EE429D">
        <w:t xml:space="preserve">Díky tomu pak mohla </w:t>
      </w:r>
      <w:r w:rsidR="003C140E">
        <w:t xml:space="preserve">tatáž </w:t>
      </w:r>
      <w:r w:rsidR="00EE429D">
        <w:t>zástava</w:t>
      </w:r>
      <w:r w:rsidR="00C056E1">
        <w:t>,</w:t>
      </w:r>
      <w:r w:rsidR="00EE429D">
        <w:t xml:space="preserve"> </w:t>
      </w:r>
      <w:r w:rsidR="003C140E">
        <w:t xml:space="preserve">zajistit obligaci novou a vstoupit tak </w:t>
      </w:r>
      <w:r w:rsidR="00C76968">
        <w:t>do pořadí namísto obligace zaniklé.</w:t>
      </w:r>
      <w:r w:rsidR="00430C30">
        <w:t xml:space="preserve"> </w:t>
      </w:r>
      <w:r w:rsidR="00C056E1">
        <w:t xml:space="preserve">Avšak za situace, kdy </w:t>
      </w:r>
      <w:r w:rsidR="00E82FF8">
        <w:t>obligační dlužník nebyl také zároveň zástavcem</w:t>
      </w:r>
      <w:r w:rsidR="00925585">
        <w:t xml:space="preserve"> (ten, kdo dal </w:t>
      </w:r>
      <w:r w:rsidR="005E25B2">
        <w:t>věc do zástavy)</w:t>
      </w:r>
      <w:r w:rsidR="0035170F">
        <w:t xml:space="preserve">, či šlo o </w:t>
      </w:r>
      <w:r w:rsidR="00B6315A">
        <w:t xml:space="preserve">delegaci pasivní, </w:t>
      </w:r>
      <w:r w:rsidR="0035170F">
        <w:t xml:space="preserve">byl zde </w:t>
      </w:r>
      <w:r w:rsidR="00E728A7">
        <w:t>navíc</w:t>
      </w:r>
      <w:r w:rsidR="00D72A25">
        <w:t xml:space="preserve"> nutný souhlas vlastníka zástavy s takovouto dohodou.</w:t>
      </w:r>
      <w:r w:rsidR="0035170F">
        <w:t xml:space="preserve"> </w:t>
      </w:r>
      <w:r w:rsidR="00E82FF8">
        <w:t xml:space="preserve"> </w:t>
      </w:r>
      <w:r w:rsidR="00455A87" w:rsidRPr="00686849">
        <w:rPr>
          <w:b/>
          <w:bCs/>
        </w:rPr>
        <w:t>Dalším</w:t>
      </w:r>
      <w:r w:rsidR="00455A87">
        <w:t xml:space="preserve"> z příkladů hypotekární sukcese byla situace</w:t>
      </w:r>
      <w:r w:rsidR="006D5E30">
        <w:t>, kdy někd</w:t>
      </w:r>
      <w:r w:rsidR="00734C29">
        <w:t xml:space="preserve">o </w:t>
      </w:r>
      <w:r w:rsidR="006D5E30">
        <w:t>poskytl dlužníkovi peníze</w:t>
      </w:r>
      <w:r w:rsidR="00B868CD">
        <w:t xml:space="preserve"> na to, aby vyplatil svého věřitele</w:t>
      </w:r>
      <w:r w:rsidR="00BB4D7D">
        <w:t>.</w:t>
      </w:r>
      <w:r w:rsidR="00C843C2">
        <w:t xml:space="preserve"> </w:t>
      </w:r>
      <w:r w:rsidR="00896D9F">
        <w:t>D</w:t>
      </w:r>
      <w:r w:rsidR="00A862DC">
        <w:t xml:space="preserve">ošlo </w:t>
      </w:r>
      <w:r w:rsidR="00BB4D7D">
        <w:t xml:space="preserve">tak </w:t>
      </w:r>
      <w:r w:rsidR="00A862DC">
        <w:t>k zániku</w:t>
      </w:r>
      <w:r w:rsidR="00B95D99">
        <w:t xml:space="preserve"> původní</w:t>
      </w:r>
      <w:r w:rsidR="00A862DC">
        <w:t>ho</w:t>
      </w:r>
      <w:r w:rsidR="00B95D99">
        <w:t xml:space="preserve"> zástavní</w:t>
      </w:r>
      <w:r w:rsidR="00A862DC">
        <w:t>ho</w:t>
      </w:r>
      <w:r w:rsidR="00B95D99">
        <w:t xml:space="preserve"> práv</w:t>
      </w:r>
      <w:r w:rsidR="00A862DC">
        <w:t>a</w:t>
      </w:r>
      <w:r w:rsidR="00BB4D7D">
        <w:t>,</w:t>
      </w:r>
      <w:r w:rsidR="007473C9">
        <w:t xml:space="preserve"> </w:t>
      </w:r>
      <w:r w:rsidR="00BB4D7D">
        <w:t>a</w:t>
      </w:r>
      <w:r w:rsidR="007473C9">
        <w:t>však</w:t>
      </w:r>
      <w:r w:rsidR="00C843C2">
        <w:t xml:space="preserve"> </w:t>
      </w:r>
      <w:r w:rsidR="00212485">
        <w:t xml:space="preserve">namísto </w:t>
      </w:r>
      <w:r w:rsidR="006A6451">
        <w:t xml:space="preserve">tohoto </w:t>
      </w:r>
      <w:r w:rsidR="00850942">
        <w:t>zaniknuvšího zástavního práva</w:t>
      </w:r>
      <w:r w:rsidR="00316BD6">
        <w:t>,</w:t>
      </w:r>
      <w:r w:rsidR="00850942">
        <w:t xml:space="preserve"> </w:t>
      </w:r>
      <w:r w:rsidR="006A6451">
        <w:t>vstoupilo zástavní právo</w:t>
      </w:r>
      <w:r w:rsidR="00316BD6" w:rsidRPr="00316BD6">
        <w:t xml:space="preserve"> </w:t>
      </w:r>
      <w:r w:rsidR="00316BD6">
        <w:t>nové</w:t>
      </w:r>
      <w:r w:rsidR="006A6451">
        <w:t xml:space="preserve">, které </w:t>
      </w:r>
      <w:r w:rsidR="00316BD6">
        <w:t xml:space="preserve">bylo zřízeno </w:t>
      </w:r>
      <w:r w:rsidR="00E924F4">
        <w:t>pro toho, kd</w:t>
      </w:r>
      <w:r w:rsidR="00A57F5F">
        <w:t>o</w:t>
      </w:r>
      <w:r w:rsidR="00E924F4">
        <w:t xml:space="preserve"> dlužní</w:t>
      </w:r>
      <w:r w:rsidR="00A57F5F">
        <w:t>kovi poskytl úvěr</w:t>
      </w:r>
      <w:r w:rsidR="001F12AB">
        <w:t>. Jednalo se o takzvanou konverzi dluhu</w:t>
      </w:r>
      <w:r w:rsidR="009D7FB9">
        <w:t>.</w:t>
      </w:r>
      <w:r w:rsidR="00686849">
        <w:t xml:space="preserve"> </w:t>
      </w:r>
      <w:r w:rsidR="00976997" w:rsidRPr="00686849">
        <w:rPr>
          <w:b/>
          <w:bCs/>
        </w:rPr>
        <w:t>Nakonec</w:t>
      </w:r>
      <w:r w:rsidR="00976997">
        <w:t xml:space="preserve"> </w:t>
      </w:r>
      <w:r w:rsidR="006B5FF7">
        <w:t xml:space="preserve">se </w:t>
      </w:r>
      <w:r w:rsidR="00F934C9">
        <w:t xml:space="preserve">mezi případy hypotekární sukcese </w:t>
      </w:r>
      <w:r w:rsidR="006B5FF7">
        <w:t xml:space="preserve">řadí </w:t>
      </w:r>
      <w:r w:rsidR="00BF38A0">
        <w:t>situace</w:t>
      </w:r>
      <w:r w:rsidR="004F6E6F">
        <w:t xml:space="preserve">, kdy třetí osoba </w:t>
      </w:r>
      <w:r w:rsidR="005518EE">
        <w:t>koupila zástavu</w:t>
      </w:r>
      <w:r w:rsidR="00BF38A0">
        <w:t xml:space="preserve"> </w:t>
      </w:r>
      <w:r w:rsidR="002A7ACC">
        <w:t xml:space="preserve">z toho důvodu, aby mohl zástavce </w:t>
      </w:r>
      <w:r w:rsidR="002A780C">
        <w:t xml:space="preserve">z takto získaných peněž uspokojit pohledávku </w:t>
      </w:r>
      <w:r w:rsidR="00BD1CC4">
        <w:t>zástavního věřitele</w:t>
      </w:r>
      <w:r w:rsidR="00E07F1F">
        <w:t xml:space="preserve">, přičemž ten, kdo zástavu koupil, </w:t>
      </w:r>
      <w:r w:rsidR="00C05173">
        <w:t xml:space="preserve">nastoupil na jeho místo. </w:t>
      </w:r>
      <w:r w:rsidR="00560779">
        <w:t>Věřitelům s horším pořadím pak mohl odmítnout vydání zástavy do té dob</w:t>
      </w:r>
      <w:r w:rsidR="00235B68">
        <w:t>y</w:t>
      </w:r>
      <w:r w:rsidR="00560779">
        <w:t xml:space="preserve">, než mu zaplatili </w:t>
      </w:r>
      <w:r w:rsidR="00235B68">
        <w:t>částku, kterou za ni vynaložil.</w:t>
      </w:r>
      <w:r w:rsidR="00321A49">
        <w:rPr>
          <w:rStyle w:val="Znakapoznpodarou"/>
        </w:rPr>
        <w:footnoteReference w:id="121"/>
      </w:r>
    </w:p>
    <w:p w14:paraId="056E97CC" w14:textId="037C95E0" w:rsidR="003C3951" w:rsidRDefault="003C3951" w:rsidP="003C3951">
      <w:pPr>
        <w:pStyle w:val="Nadpis2"/>
      </w:pPr>
      <w:bookmarkStart w:id="21" w:name="_Toc100354941"/>
      <w:r>
        <w:t>2.7 Vznik a zánik zástavního práva</w:t>
      </w:r>
      <w:bookmarkEnd w:id="21"/>
    </w:p>
    <w:p w14:paraId="77B5148C" w14:textId="4DB2FBB3" w:rsidR="009A4D39" w:rsidRDefault="00B54F55" w:rsidP="00B54F55">
      <w:pPr>
        <w:pStyle w:val="Nadpis3"/>
      </w:pPr>
      <w:bookmarkStart w:id="22" w:name="_Toc100354942"/>
      <w:r>
        <w:t xml:space="preserve">2.7.1 </w:t>
      </w:r>
      <w:r w:rsidR="009A4D39">
        <w:t>Vznik zástavního práva</w:t>
      </w:r>
      <w:bookmarkEnd w:id="22"/>
    </w:p>
    <w:p w14:paraId="116AD8B4" w14:textId="456FC5B2" w:rsidR="00CC6F7A" w:rsidRDefault="00546E6F" w:rsidP="00546E6F">
      <w:r>
        <w:t xml:space="preserve">Pro vznik zástavního práva existovaly v římském právu různé právní důvody. </w:t>
      </w:r>
      <w:r w:rsidR="00E55F3A">
        <w:t xml:space="preserve">Dle prof. Kincla </w:t>
      </w:r>
      <w:r>
        <w:t xml:space="preserve">k němu </w:t>
      </w:r>
      <w:r w:rsidR="00E55F3A">
        <w:t xml:space="preserve">primárně </w:t>
      </w:r>
      <w:r w:rsidR="005D3B61">
        <w:t xml:space="preserve">docházelo </w:t>
      </w:r>
      <w:r w:rsidR="00C57E82" w:rsidRPr="00DE567C">
        <w:rPr>
          <w:b/>
          <w:bCs/>
        </w:rPr>
        <w:t>právním jednáním</w:t>
      </w:r>
      <w:r w:rsidR="00DE567C">
        <w:rPr>
          <w:b/>
          <w:bCs/>
        </w:rPr>
        <w:t xml:space="preserve"> </w:t>
      </w:r>
      <w:r w:rsidR="00DE567C">
        <w:t>(ze smlouvy</w:t>
      </w:r>
      <w:r w:rsidR="005926A6">
        <w:t>)</w:t>
      </w:r>
      <w:r w:rsidR="00BE2541">
        <w:t>, které mělo vždy charakter dohody mezi zástavním věřitelem a zástavcem</w:t>
      </w:r>
      <w:r w:rsidR="00AD3D2A">
        <w:t>. Pokud se jednalo</w:t>
      </w:r>
      <w:r w:rsidR="003C3951">
        <w:t xml:space="preserve"> </w:t>
      </w:r>
      <w:r w:rsidR="007E73E9">
        <w:t>o</w:t>
      </w:r>
      <w:r w:rsidR="003C3951">
        <w:t xml:space="preserve"> </w:t>
      </w:r>
      <w:r w:rsidR="00421CBE">
        <w:t>ruční zástavu</w:t>
      </w:r>
      <w:r w:rsidR="007E73E9">
        <w:t xml:space="preserve">, </w:t>
      </w:r>
      <w:r w:rsidR="00EC303F">
        <w:t xml:space="preserve">měla takováto </w:t>
      </w:r>
      <w:r w:rsidR="00017E93">
        <w:t>dohoda povahu</w:t>
      </w:r>
      <w:r w:rsidR="007E73E9">
        <w:t xml:space="preserve"> reáln</w:t>
      </w:r>
      <w:r w:rsidR="00017E93">
        <w:t>ého</w:t>
      </w:r>
      <w:r w:rsidR="007E73E9">
        <w:t xml:space="preserve"> </w:t>
      </w:r>
      <w:r w:rsidR="00B83146">
        <w:t>kontrakt</w:t>
      </w:r>
      <w:r w:rsidR="00017E93">
        <w:t>u</w:t>
      </w:r>
      <w:r w:rsidR="009415AF">
        <w:t xml:space="preserve"> u něhož </w:t>
      </w:r>
      <w:r w:rsidR="00B72095">
        <w:t>je podmínkou, aby byla zástava předána do detence zástavního věřitele</w:t>
      </w:r>
      <w:r w:rsidR="003C3951">
        <w:t xml:space="preserve">. </w:t>
      </w:r>
      <w:r w:rsidR="007068B6">
        <w:t xml:space="preserve">Zpočátku </w:t>
      </w:r>
      <w:r w:rsidR="000C2315">
        <w:t xml:space="preserve">zde nebyly žádné formální požadavky pro vznik </w:t>
      </w:r>
      <w:r w:rsidR="00F7296F">
        <w:t xml:space="preserve">římského zástavního práva. Až teprve </w:t>
      </w:r>
      <w:r w:rsidR="00332458">
        <w:t xml:space="preserve">po pozdějším vývoji </w:t>
      </w:r>
      <w:r w:rsidR="004714F5">
        <w:t>praxe přiznávala zástavnímu právu, které bylo zřízeno určitou formou</w:t>
      </w:r>
      <w:r w:rsidR="00B4778C">
        <w:t xml:space="preserve"> (veřejná listina podepsaná svědky)</w:t>
      </w:r>
      <w:r w:rsidR="009B0C7A">
        <w:t xml:space="preserve">, </w:t>
      </w:r>
      <w:r w:rsidR="005D1903">
        <w:t>jisté</w:t>
      </w:r>
      <w:r w:rsidR="009B0C7A">
        <w:t xml:space="preserve"> výhody</w:t>
      </w:r>
      <w:r w:rsidR="00276B01">
        <w:t>, díky kterým při souběhu více zástavních práv, získala lepší pořadí</w:t>
      </w:r>
      <w:r w:rsidR="00574074">
        <w:t xml:space="preserve"> před ostatními zástavními právy. </w:t>
      </w:r>
      <w:r w:rsidR="003C3951">
        <w:t>Tedy</w:t>
      </w:r>
      <w:r w:rsidR="0059122E">
        <w:t>,</w:t>
      </w:r>
      <w:r w:rsidR="003C3951">
        <w:t xml:space="preserve"> jak jsem již výše zmínil, jednalo se o privilegované zástavní právo – </w:t>
      </w:r>
      <w:r w:rsidR="003C3951" w:rsidRPr="00B72095">
        <w:rPr>
          <w:i/>
          <w:iCs/>
        </w:rPr>
        <w:t>quasi publicium</w:t>
      </w:r>
      <w:r w:rsidR="003C3951">
        <w:t xml:space="preserve">. </w:t>
      </w:r>
      <w:r w:rsidR="001D76C9">
        <w:t>Vznik zástavního práva byl možný i na základě úředního rozhodnutí</w:t>
      </w:r>
      <w:r w:rsidR="000441C3">
        <w:t xml:space="preserve">, </w:t>
      </w:r>
      <w:r w:rsidR="000441C3" w:rsidRPr="005926A6">
        <w:rPr>
          <w:b/>
          <w:bCs/>
        </w:rPr>
        <w:t>magistrátským nařízením</w:t>
      </w:r>
      <w:r w:rsidR="000441C3">
        <w:t xml:space="preserve">, </w:t>
      </w:r>
      <w:r w:rsidR="00F85A62">
        <w:t>což mělo svůj smysl za situace, kdy praetor vydával příkaz k zajištění držby</w:t>
      </w:r>
      <w:r w:rsidR="00493407">
        <w:t xml:space="preserve">, </w:t>
      </w:r>
      <w:r w:rsidR="00493407">
        <w:lastRenderedPageBreak/>
        <w:t xml:space="preserve">například </w:t>
      </w:r>
      <w:r w:rsidR="00062AED">
        <w:t>během exekučního řízení proti odsouzenému dlužníkovi.</w:t>
      </w:r>
      <w:r w:rsidR="004E2567">
        <w:t xml:space="preserve"> </w:t>
      </w:r>
      <w:r w:rsidR="000D414A">
        <w:t xml:space="preserve">Poslední způsob vzniku zástavního práva, který stojí za zmínku, je </w:t>
      </w:r>
      <w:r w:rsidR="0066446B">
        <w:t>tzv. zákonná hypotéka</w:t>
      </w:r>
      <w:r w:rsidR="00FF50F8">
        <w:t xml:space="preserve">, neboli </w:t>
      </w:r>
      <w:r w:rsidR="00FF50F8" w:rsidRPr="00B72095">
        <w:rPr>
          <w:i/>
          <w:iCs/>
        </w:rPr>
        <w:t>pignus tacitum</w:t>
      </w:r>
      <w:r w:rsidR="0066446B">
        <w:t xml:space="preserve">, přičemž se jedná o zástavní právo, které vzniká přímo </w:t>
      </w:r>
      <w:r w:rsidR="0066446B" w:rsidRPr="003E6EAC">
        <w:rPr>
          <w:b/>
          <w:bCs/>
        </w:rPr>
        <w:t>ze zákona</w:t>
      </w:r>
      <w:r w:rsidR="0066446B">
        <w:t xml:space="preserve">. </w:t>
      </w:r>
      <w:r w:rsidR="0085039A">
        <w:t>V justiniánském právu se jedn</w:t>
      </w:r>
      <w:r w:rsidR="004D1D79">
        <w:t xml:space="preserve">alo například o zástavní právo manželky k manželovu majetku pro pohledávku na navrácení věna, </w:t>
      </w:r>
      <w:r w:rsidR="002752DF">
        <w:t>o kterém jsme již mluvili</w:t>
      </w:r>
      <w:r w:rsidR="00377B04">
        <w:t xml:space="preserve"> </w:t>
      </w:r>
      <w:r w:rsidR="00F70265">
        <w:t xml:space="preserve">výše, či </w:t>
      </w:r>
      <w:r w:rsidR="00506C60">
        <w:t xml:space="preserve">pro všechny pohledávky </w:t>
      </w:r>
      <w:r w:rsidR="004B7DE1">
        <w:t>fiskální.</w:t>
      </w:r>
      <w:r w:rsidR="00F70265">
        <w:t xml:space="preserve"> </w:t>
      </w:r>
      <w:r w:rsidR="00DF24D9">
        <w:t>Takovéto zástavní právo se vztahovalo k celému jmění dlužníka</w:t>
      </w:r>
      <w:r w:rsidR="005B1B3D">
        <w:t>, nikoliv pouze k dílčí věci a jedn</w:t>
      </w:r>
      <w:r w:rsidR="00B77830">
        <w:t>a</w:t>
      </w:r>
      <w:r w:rsidR="005B1B3D">
        <w:t xml:space="preserve">lo se tak o </w:t>
      </w:r>
      <w:r w:rsidR="00B77830">
        <w:t>zástavní právo všeobecné, generální.</w:t>
      </w:r>
      <w:r w:rsidR="00F014DB">
        <w:t xml:space="preserve"> V určitých případech se však mohlo týkat pouze jednotlivé věci.</w:t>
      </w:r>
      <w:r w:rsidR="00207999">
        <w:rPr>
          <w:rStyle w:val="Znakapoznpodarou"/>
        </w:rPr>
        <w:footnoteReference w:id="122"/>
      </w:r>
      <w:r w:rsidR="00207999">
        <w:t xml:space="preserve"> </w:t>
      </w:r>
    </w:p>
    <w:p w14:paraId="0480000F" w14:textId="77777777" w:rsidR="00720B0D" w:rsidRDefault="00B54F55" w:rsidP="00720B0D">
      <w:pPr>
        <w:pStyle w:val="Nadpis3"/>
      </w:pPr>
      <w:bookmarkStart w:id="23" w:name="_Toc100354943"/>
      <w:r>
        <w:t>2.7.2 Zánik zástavního práva</w:t>
      </w:r>
      <w:bookmarkEnd w:id="23"/>
    </w:p>
    <w:p w14:paraId="011A2F3A" w14:textId="5CEA38C4" w:rsidR="00C86CB1" w:rsidRDefault="00DA3070" w:rsidP="00C86CB1">
      <w:pPr>
        <w:sectPr w:rsidR="00C86CB1" w:rsidSect="005D75C5">
          <w:headerReference w:type="default" r:id="rId13"/>
          <w:footerReference w:type="default" r:id="rId14"/>
          <w:pgSz w:w="11906" w:h="16838" w:code="9"/>
          <w:pgMar w:top="1418" w:right="1134" w:bottom="1418" w:left="1701" w:header="709" w:footer="709" w:gutter="0"/>
          <w:cols w:space="708"/>
          <w:docGrid w:linePitch="360"/>
        </w:sectPr>
      </w:pPr>
      <w:r>
        <w:t xml:space="preserve">Zástavní právo </w:t>
      </w:r>
      <w:r w:rsidR="00A250A2">
        <w:t xml:space="preserve">primárně </w:t>
      </w:r>
      <w:r>
        <w:t xml:space="preserve">zanikalo </w:t>
      </w:r>
      <w:r w:rsidR="00812BB8">
        <w:t>se</w:t>
      </w:r>
      <w:r>
        <w:t xml:space="preserve"> </w:t>
      </w:r>
      <w:r w:rsidRPr="00606E1F">
        <w:t>zánikem pohledávky</w:t>
      </w:r>
      <w:r>
        <w:t>,</w:t>
      </w:r>
      <w:r w:rsidR="005A24CA">
        <w:t xml:space="preserve"> a to díky jeho akcesorické povaze. </w:t>
      </w:r>
      <w:r w:rsidR="00AE7881">
        <w:t>Pokud však došlo pouze k částečnému splnění, zásta</w:t>
      </w:r>
      <w:r w:rsidR="00D67545">
        <w:t xml:space="preserve">vní právo </w:t>
      </w:r>
      <w:r w:rsidR="00960C3C">
        <w:t xml:space="preserve">nadále </w:t>
      </w:r>
      <w:r w:rsidR="00D67545">
        <w:t>přetrvávalo v</w:t>
      </w:r>
      <w:r w:rsidR="00960C3C">
        <w:t> </w:t>
      </w:r>
      <w:r w:rsidR="00D67545">
        <w:t>celém</w:t>
      </w:r>
      <w:r w:rsidR="00960C3C">
        <w:t xml:space="preserve"> rozsahu.</w:t>
      </w:r>
      <w:r w:rsidR="00817EE5">
        <w:rPr>
          <w:rStyle w:val="Znakapoznpodarou"/>
        </w:rPr>
        <w:footnoteReference w:id="123"/>
      </w:r>
      <w:r w:rsidR="00D67545">
        <w:t xml:space="preserve"> </w:t>
      </w:r>
      <w:r w:rsidR="00C259D2">
        <w:t>Dle prof. Heyrovského byly d</w:t>
      </w:r>
      <w:r w:rsidR="005A24CA">
        <w:t>alším</w:t>
      </w:r>
      <w:r w:rsidR="0053631F">
        <w:t>i způsoby zániku zástavního práva</w:t>
      </w:r>
      <w:r w:rsidR="00B06083">
        <w:t>,</w:t>
      </w:r>
      <w:r w:rsidR="0053631F">
        <w:t xml:space="preserve"> </w:t>
      </w:r>
      <w:r w:rsidR="00B93BD3">
        <w:t>zánik věci</w:t>
      </w:r>
      <w:r w:rsidR="0068576A">
        <w:t xml:space="preserve">, která byla předmětem zástavního práva, vyloučením věci </w:t>
      </w:r>
      <w:r w:rsidR="00251D5B">
        <w:t>z právního obchodu a také upadnutí do moci nepřátel</w:t>
      </w:r>
      <w:r>
        <w:t>.</w:t>
      </w:r>
      <w:r w:rsidR="00906616">
        <w:rPr>
          <w:rStyle w:val="Znakapoznpodarou"/>
        </w:rPr>
        <w:footnoteReference w:id="124"/>
      </w:r>
      <w:r>
        <w:t xml:space="preserve"> </w:t>
      </w:r>
      <w:r w:rsidR="003E5778">
        <w:t>K zániku zástavního práva docházelo</w:t>
      </w:r>
      <w:r w:rsidR="00E46813">
        <w:t xml:space="preserve"> </w:t>
      </w:r>
      <w:r w:rsidR="00D818A0">
        <w:t>dále</w:t>
      </w:r>
      <w:r w:rsidR="00E46813">
        <w:t xml:space="preserve"> při zástavním prodeji věci</w:t>
      </w:r>
      <w:r w:rsidR="008C47F0">
        <w:t xml:space="preserve">, </w:t>
      </w:r>
      <w:r w:rsidR="006149FA">
        <w:t>jestliže</w:t>
      </w:r>
      <w:r w:rsidR="00F7426A">
        <w:t xml:space="preserve"> </w:t>
      </w:r>
      <w:r w:rsidR="009A4FAF">
        <w:t xml:space="preserve">nebyla obligace dobrovolně splněna a </w:t>
      </w:r>
      <w:r w:rsidR="00F7426A">
        <w:t>nastala</w:t>
      </w:r>
      <w:r w:rsidR="009A4FAF">
        <w:t xml:space="preserve"> tak</w:t>
      </w:r>
      <w:r w:rsidR="00F7426A">
        <w:t xml:space="preserve"> </w:t>
      </w:r>
      <w:r w:rsidR="008C47F0">
        <w:t>realiza</w:t>
      </w:r>
      <w:r w:rsidR="00F7426A">
        <w:t>ční</w:t>
      </w:r>
      <w:r w:rsidR="008C47F0">
        <w:t xml:space="preserve"> </w:t>
      </w:r>
      <w:r w:rsidR="00F7426A">
        <w:t xml:space="preserve">funkce </w:t>
      </w:r>
      <w:r w:rsidR="008C47F0">
        <w:t xml:space="preserve">zástavního práva. </w:t>
      </w:r>
      <w:r w:rsidR="00C13C55">
        <w:t xml:space="preserve">Pokud </w:t>
      </w:r>
      <w:r w:rsidR="001F34A6">
        <w:t>došlo k</w:t>
      </w:r>
      <w:r w:rsidR="00C13C55">
        <w:t xml:space="preserve"> souběh</w:t>
      </w:r>
      <w:r w:rsidR="001F34A6">
        <w:t>u</w:t>
      </w:r>
      <w:r w:rsidR="00C13C55">
        <w:t xml:space="preserve"> více</w:t>
      </w:r>
      <w:r w:rsidR="007E02DC">
        <w:t>ro</w:t>
      </w:r>
      <w:r w:rsidR="00C13C55">
        <w:t xml:space="preserve"> zástavních práv</w:t>
      </w:r>
      <w:r>
        <w:t xml:space="preserve">, zanikla </w:t>
      </w:r>
      <w:r w:rsidR="007E02DC">
        <w:t xml:space="preserve">zároveň ta </w:t>
      </w:r>
      <w:r>
        <w:t xml:space="preserve">zástavní práva, která měla horší </w:t>
      </w:r>
      <w:r w:rsidR="006149FA">
        <w:t>postavení</w:t>
      </w:r>
      <w:r>
        <w:t xml:space="preserve">, </w:t>
      </w:r>
      <w:r w:rsidR="00F60BC4">
        <w:t xml:space="preserve">jestliže </w:t>
      </w:r>
      <w:r w:rsidR="009D55AE">
        <w:t>došlo k vyčerpání celé zástavy</w:t>
      </w:r>
      <w:r w:rsidR="00606E1F">
        <w:t xml:space="preserve"> beze zbytku. </w:t>
      </w:r>
      <w:r w:rsidR="00A05C90">
        <w:t>Zástavní věřitel se mohl svého zástavního práva i zříci,</w:t>
      </w:r>
      <w:r w:rsidR="00C27246">
        <w:t xml:space="preserve"> přičemž se tak mohlo stát i </w:t>
      </w:r>
      <w:r w:rsidR="00C9740B">
        <w:t>konkludentně</w:t>
      </w:r>
      <w:r w:rsidR="00C27246">
        <w:t xml:space="preserve">, </w:t>
      </w:r>
      <w:r w:rsidR="002C533D">
        <w:t xml:space="preserve">s </w:t>
      </w:r>
      <w:r w:rsidR="00C9740B">
        <w:t>odevzdáním předmětu zástavy</w:t>
      </w:r>
      <w:r w:rsidR="00640F6D">
        <w:t xml:space="preserve"> zástavci</w:t>
      </w:r>
      <w:r w:rsidR="00173F46">
        <w:t xml:space="preserve">. </w:t>
      </w:r>
      <w:r w:rsidR="002C533D">
        <w:t>Navíc, d</w:t>
      </w:r>
      <w:r w:rsidR="009509FA">
        <w:t xml:space="preserve">ošlo-li ke splynutí </w:t>
      </w:r>
      <w:r w:rsidR="000B5364">
        <w:t>zástavního a vlastnického práva v jednom subjektu, zaniklo i zástavní právo,</w:t>
      </w:r>
      <w:r w:rsidR="00A47473">
        <w:t xml:space="preserve"> </w:t>
      </w:r>
      <w:r w:rsidR="000B5364">
        <w:t>jelikož se jedn</w:t>
      </w:r>
      <w:r w:rsidR="00A47473">
        <w:t>á o věcné právo k věci cizí.</w:t>
      </w:r>
      <w:r w:rsidR="001B7144">
        <w:rPr>
          <w:rStyle w:val="Znakapoznpodarou"/>
        </w:rPr>
        <w:footnoteReference w:id="125"/>
      </w:r>
      <w:r w:rsidR="00A47473">
        <w:t xml:space="preserve"> </w:t>
      </w:r>
      <w:r w:rsidR="009306E4">
        <w:t>Nakonec</w:t>
      </w:r>
      <w:r w:rsidR="00F50062">
        <w:t xml:space="preserve"> dle prof. Blaha</w:t>
      </w:r>
      <w:r w:rsidR="009306E4">
        <w:t xml:space="preserve"> mohlo dojít k zániku zástavního práva</w:t>
      </w:r>
      <w:r w:rsidR="000B2417">
        <w:t xml:space="preserve">, </w:t>
      </w:r>
      <w:r w:rsidR="000B2417" w:rsidRPr="00973FC5">
        <w:t>vydržením</w:t>
      </w:r>
      <w:r w:rsidR="000B2417">
        <w:t xml:space="preserve"> práva vlastnického. </w:t>
      </w:r>
      <w:r w:rsidR="00AF1D70">
        <w:t xml:space="preserve">K tomu bylo zapotřebí, aby </w:t>
      </w:r>
      <w:r w:rsidR="000B2417">
        <w:t>byla třetí osoba v dobré víře</w:t>
      </w:r>
      <w:r w:rsidR="004C2D24">
        <w:t xml:space="preserve">, že určitá věc není zástavou a fakticky ji </w:t>
      </w:r>
      <w:r w:rsidR="004E0408">
        <w:t>měla ve své moci</w:t>
      </w:r>
      <w:r w:rsidR="004C2D24">
        <w:t xml:space="preserve"> </w:t>
      </w:r>
      <w:r w:rsidR="00A610B9">
        <w:t xml:space="preserve">po dobu </w:t>
      </w:r>
      <w:r w:rsidR="00325728">
        <w:t>deseti let</w:t>
      </w:r>
      <w:r w:rsidR="00A610B9">
        <w:t xml:space="preserve"> mezi přítomnými </w:t>
      </w:r>
      <w:r w:rsidR="00325728">
        <w:t>(</w:t>
      </w:r>
      <w:r w:rsidR="00325728" w:rsidRPr="003B4773">
        <w:rPr>
          <w:i/>
          <w:iCs/>
        </w:rPr>
        <w:t>inter praesentes</w:t>
      </w:r>
      <w:r w:rsidR="00325728">
        <w:t>)</w:t>
      </w:r>
      <w:r w:rsidR="004E0408">
        <w:t>,</w:t>
      </w:r>
      <w:r w:rsidR="00325728">
        <w:t xml:space="preserve"> </w:t>
      </w:r>
      <w:r w:rsidR="00A610B9">
        <w:t>anebo</w:t>
      </w:r>
      <w:r w:rsidR="00325728">
        <w:t xml:space="preserve"> dvaceti let mezi nepřítomnými</w:t>
      </w:r>
      <w:r w:rsidR="00AF1D70">
        <w:t xml:space="preserve"> (</w:t>
      </w:r>
      <w:r w:rsidR="00AF1D70" w:rsidRPr="003B4773">
        <w:rPr>
          <w:i/>
          <w:iCs/>
        </w:rPr>
        <w:t>inter absentes</w:t>
      </w:r>
      <w:r w:rsidR="00AF1D70">
        <w:t>)</w:t>
      </w:r>
      <w:r w:rsidR="000D5EB8">
        <w:t>.</w:t>
      </w:r>
      <w:r w:rsidR="000D5EB8">
        <w:rPr>
          <w:rStyle w:val="Znakapoznpodarou"/>
        </w:rPr>
        <w:footnoteReference w:id="126"/>
      </w:r>
      <w:r w:rsidR="00A610B9">
        <w:t xml:space="preserve"> </w:t>
      </w:r>
      <w:r w:rsidR="00207999">
        <w:t>Takto však nemohl vydržet dlužník, zástavce, ani jejich dědicové.</w:t>
      </w:r>
      <w:r w:rsidR="000E2984">
        <w:rPr>
          <w:rStyle w:val="Znakapoznpodarou"/>
        </w:rPr>
        <w:footnoteReference w:id="127"/>
      </w:r>
    </w:p>
    <w:p w14:paraId="1165CD1C" w14:textId="1A0AA201" w:rsidR="005D63FA" w:rsidRDefault="00A362E0" w:rsidP="00A362E0">
      <w:pPr>
        <w:pStyle w:val="Nadpis1"/>
      </w:pPr>
      <w:bookmarkStart w:id="24" w:name="_Toc100354944"/>
      <w:r>
        <w:lastRenderedPageBreak/>
        <w:t xml:space="preserve">3 </w:t>
      </w:r>
      <w:r w:rsidR="000E60A4">
        <w:t>Odraz justiniánské právní nauky</w:t>
      </w:r>
      <w:r>
        <w:t xml:space="preserve"> </w:t>
      </w:r>
      <w:r w:rsidR="006B14D3">
        <w:t>v</w:t>
      </w:r>
      <w:r>
        <w:t> </w:t>
      </w:r>
      <w:r w:rsidR="006B14D3">
        <w:t>nauce</w:t>
      </w:r>
      <w:r>
        <w:t xml:space="preserve"> </w:t>
      </w:r>
      <w:r w:rsidR="006B14D3">
        <w:t>současné</w:t>
      </w:r>
      <w:bookmarkEnd w:id="24"/>
    </w:p>
    <w:p w14:paraId="5DE638A7" w14:textId="0A4FE4C7" w:rsidR="006B14D3" w:rsidRDefault="007C1614" w:rsidP="003D4168">
      <w:r>
        <w:t>Po vymezení teor</w:t>
      </w:r>
      <w:r w:rsidR="005C177C">
        <w:t>etického základu se v další</w:t>
      </w:r>
      <w:r w:rsidR="006B14D3">
        <w:t xml:space="preserve"> části mé práce budeme zabývat</w:t>
      </w:r>
      <w:r w:rsidR="003244B6">
        <w:t xml:space="preserve"> jednotlivými fragmenty z pramenů, které si následně podrobně rozebereme a </w:t>
      </w:r>
      <w:r w:rsidR="00C66251">
        <w:t xml:space="preserve">ukážeme si na nich, jak se v nich projevovaly různé </w:t>
      </w:r>
      <w:r w:rsidR="00F94AF0">
        <w:t>aspekty</w:t>
      </w:r>
      <w:r w:rsidR="00342F93">
        <w:t xml:space="preserve"> zástavního práva</w:t>
      </w:r>
      <w:r w:rsidR="002062D8">
        <w:t>,</w:t>
      </w:r>
      <w:r w:rsidR="00342F93">
        <w:t xml:space="preserve"> </w:t>
      </w:r>
      <w:r w:rsidR="002062D8">
        <w:t>a to včetně srovnání s</w:t>
      </w:r>
      <w:r w:rsidR="00D27DA7">
        <w:t>e</w:t>
      </w:r>
      <w:r w:rsidR="005C177C">
        <w:t> současnou právní</w:t>
      </w:r>
      <w:r w:rsidR="002062D8">
        <w:t xml:space="preserve"> úpravou tohoto institutu</w:t>
      </w:r>
      <w:r>
        <w:t xml:space="preserve">. Díky tomuto </w:t>
      </w:r>
      <w:r w:rsidR="00BC1091">
        <w:t xml:space="preserve">si </w:t>
      </w:r>
      <w:r>
        <w:t>tak budeme schopni odpovědět na většinu</w:t>
      </w:r>
      <w:r w:rsidR="005C177C">
        <w:t xml:space="preserve"> výzkumných</w:t>
      </w:r>
      <w:r>
        <w:t xml:space="preserve"> otázek</w:t>
      </w:r>
      <w:r w:rsidR="00274020">
        <w:t>.</w:t>
      </w:r>
      <w:r w:rsidR="00CD0FC0">
        <w:t xml:space="preserve"> </w:t>
      </w:r>
      <w:r w:rsidR="00F94AF0">
        <w:t>Jelikož to</w:t>
      </w:r>
      <w:r w:rsidR="005C6658">
        <w:t xml:space="preserve"> však</w:t>
      </w:r>
      <w:r w:rsidR="00F94AF0">
        <w:t xml:space="preserve"> stanovený rozsah práce neumožňuje</w:t>
      </w:r>
      <w:r w:rsidR="00ED4562">
        <w:t>, není tedy ani možné</w:t>
      </w:r>
      <w:r w:rsidR="00934BAA">
        <w:t xml:space="preserve"> </w:t>
      </w:r>
      <w:r w:rsidR="00ED4562">
        <w:t>rozebrat úplně všechny fragmenty, které se vztahují k zástavnímu právu</w:t>
      </w:r>
      <w:r w:rsidR="00962E7B">
        <w:t>.</w:t>
      </w:r>
      <w:r w:rsidR="00ED4562">
        <w:t xml:space="preserve"> </w:t>
      </w:r>
      <w:r w:rsidR="00962E7B">
        <w:t>V</w:t>
      </w:r>
      <w:r w:rsidR="00ED4562">
        <w:t>yb</w:t>
      </w:r>
      <w:r w:rsidR="009A0F13">
        <w:t>eru</w:t>
      </w:r>
      <w:r w:rsidR="00962E7B">
        <w:t xml:space="preserve"> tedy</w:t>
      </w:r>
      <w:r w:rsidR="00ED4562">
        <w:t xml:space="preserve"> ty, které považuji za zajímavé</w:t>
      </w:r>
      <w:r w:rsidR="003D4168">
        <w:t xml:space="preserve"> a tyto</w:t>
      </w:r>
      <w:r w:rsidR="00962E7B">
        <w:t xml:space="preserve"> se</w:t>
      </w:r>
      <w:r w:rsidR="003D4168">
        <w:t xml:space="preserve"> také </w:t>
      </w:r>
      <w:r w:rsidR="009A0F13">
        <w:t xml:space="preserve">pokusím </w:t>
      </w:r>
      <w:r w:rsidR="003D4168">
        <w:t xml:space="preserve">podrobněji </w:t>
      </w:r>
      <w:r w:rsidR="009A0F13">
        <w:t>rozebrat</w:t>
      </w:r>
      <w:r w:rsidR="00932B8B">
        <w:t>.</w:t>
      </w:r>
    </w:p>
    <w:p w14:paraId="0E2AE4E1" w14:textId="2716FE50" w:rsidR="005C6658" w:rsidRDefault="005C6658" w:rsidP="005C6658">
      <w:pPr>
        <w:pStyle w:val="Nadpis2"/>
      </w:pPr>
      <w:bookmarkStart w:id="25" w:name="_Toc100354945"/>
      <w:r>
        <w:t>3.1 Rozbor jednotlivých fragmentů</w:t>
      </w:r>
      <w:bookmarkEnd w:id="25"/>
    </w:p>
    <w:p w14:paraId="41089FA1" w14:textId="1A9F0FD8" w:rsidR="008411B8" w:rsidRPr="00801978" w:rsidRDefault="00C056D6" w:rsidP="00137575">
      <w:pPr>
        <w:pStyle w:val="Nadpis3"/>
      </w:pPr>
      <w:bookmarkStart w:id="26" w:name="_Toc100354946"/>
      <w:r>
        <w:t xml:space="preserve">3.1.1 </w:t>
      </w:r>
      <w:r w:rsidR="00801978" w:rsidRPr="00801978">
        <w:t>Zastavení hromadné věci a zboží</w:t>
      </w:r>
      <w:bookmarkEnd w:id="26"/>
    </w:p>
    <w:p w14:paraId="6E1B1387" w14:textId="77777777" w:rsidR="009D36C6" w:rsidRDefault="009D36C6" w:rsidP="009D36C6">
      <w:pPr>
        <w:rPr>
          <w:rFonts w:cs="Times New Roman"/>
          <w:szCs w:val="24"/>
        </w:rPr>
      </w:pPr>
      <w:r w:rsidRPr="00BA068D">
        <w:rPr>
          <w:rFonts w:cs="Times New Roman"/>
          <w:szCs w:val="24"/>
        </w:rPr>
        <w:t xml:space="preserve">Marcianus v jedné knize o žalobě z hypotéky: </w:t>
      </w:r>
      <w:r w:rsidRPr="00BB5C4F">
        <w:rPr>
          <w:rFonts w:cs="Times New Roman"/>
          <w:i/>
          <w:iCs/>
          <w:szCs w:val="24"/>
        </w:rPr>
        <w:t>„Jestliže bylo zastaveno stádo dobytka, jsou zastavena také ta zvířata, která se narodila poté; i kdyby ale všechna původní zvířata uhynula a stádo se zcela obnovilo, zastaveno bude.“</w:t>
      </w:r>
      <w:r>
        <w:rPr>
          <w:rStyle w:val="Znakapoznpodarou"/>
          <w:rFonts w:cs="Times New Roman"/>
          <w:szCs w:val="24"/>
        </w:rPr>
        <w:footnoteReference w:id="128"/>
      </w:r>
      <w:r>
        <w:rPr>
          <w:rFonts w:cs="Times New Roman"/>
          <w:szCs w:val="24"/>
        </w:rPr>
        <w:t xml:space="preserve"> </w:t>
      </w:r>
    </w:p>
    <w:p w14:paraId="2BE5FDCF" w14:textId="19273D5E" w:rsidR="00FE51E5" w:rsidRDefault="009D36C6" w:rsidP="004B5E84">
      <w:pPr>
        <w:rPr>
          <w:rFonts w:cs="Times New Roman"/>
          <w:szCs w:val="24"/>
        </w:rPr>
      </w:pPr>
      <w:r>
        <w:rPr>
          <w:rFonts w:cs="Times New Roman"/>
          <w:szCs w:val="24"/>
        </w:rPr>
        <w:t>Z tohoto fragmentu jasně plyne, že pro věci hromadné, jako je například výše zmíněné stádo dobytka je rozhodné, v jakém stavu se nacház</w:t>
      </w:r>
      <w:r w:rsidR="0066736E">
        <w:rPr>
          <w:rFonts w:cs="Times New Roman"/>
          <w:szCs w:val="24"/>
        </w:rPr>
        <w:t>í</w:t>
      </w:r>
      <w:r>
        <w:rPr>
          <w:rFonts w:cs="Times New Roman"/>
          <w:szCs w:val="24"/>
        </w:rPr>
        <w:t xml:space="preserve"> v době realizace zástavního práva. Pokud by se jej zástavní věřitel rozhodl realizovat v momentě, kdy všechna zvířata uhynula a doposud nepočala jejich obnova, nezískal by nic. Stejně tak, pokud bychom se podívali do občanského zákoníku, tak ten nám</w:t>
      </w:r>
      <w:r w:rsidR="00CD3921">
        <w:rPr>
          <w:rFonts w:cs="Times New Roman"/>
          <w:szCs w:val="24"/>
        </w:rPr>
        <w:t xml:space="preserve"> v </w:t>
      </w:r>
      <w:r w:rsidR="00396E04">
        <w:rPr>
          <w:rFonts w:cs="Times New Roman"/>
          <w:szCs w:val="24"/>
        </w:rPr>
        <w:t>§1347 věta druhá</w:t>
      </w:r>
      <w:r>
        <w:rPr>
          <w:rFonts w:cs="Times New Roman"/>
          <w:szCs w:val="24"/>
        </w:rPr>
        <w:t xml:space="preserve"> říká, že: </w:t>
      </w:r>
      <w:r w:rsidRPr="00BB5C4F">
        <w:rPr>
          <w:rFonts w:cs="Times New Roman"/>
          <w:i/>
          <w:iCs/>
          <w:szCs w:val="24"/>
        </w:rPr>
        <w:t>„Zástavní právo se vztahuje na každou jednotlivou věc, která k hromadné věci přibude, a zanikne ke každé jednotlivé věci, která se od hromadné věci odloučí</w:t>
      </w:r>
      <w:r w:rsidR="00C627A7" w:rsidRPr="00BB5C4F">
        <w:rPr>
          <w:rFonts w:cs="Times New Roman"/>
          <w:i/>
          <w:iCs/>
          <w:szCs w:val="24"/>
        </w:rPr>
        <w:t>.</w:t>
      </w:r>
      <w:r w:rsidRPr="00BB5C4F">
        <w:rPr>
          <w:rFonts w:cs="Times New Roman"/>
          <w:i/>
          <w:iCs/>
          <w:szCs w:val="24"/>
        </w:rPr>
        <w:t>“</w:t>
      </w:r>
      <w:r w:rsidR="00396E04">
        <w:rPr>
          <w:rStyle w:val="Znakapoznpodarou"/>
          <w:rFonts w:cs="Times New Roman"/>
          <w:szCs w:val="24"/>
        </w:rPr>
        <w:footnoteReference w:id="129"/>
      </w:r>
      <w:r w:rsidR="00700AC3">
        <w:rPr>
          <w:rFonts w:cs="Times New Roman"/>
          <w:szCs w:val="24"/>
        </w:rPr>
        <w:t xml:space="preserve"> </w:t>
      </w:r>
      <w:r w:rsidR="00D41092">
        <w:rPr>
          <w:rFonts w:cs="Times New Roman"/>
          <w:szCs w:val="24"/>
        </w:rPr>
        <w:t>JUDr.</w:t>
      </w:r>
      <w:r w:rsidR="007E7F1B">
        <w:rPr>
          <w:rFonts w:cs="Times New Roman"/>
          <w:szCs w:val="24"/>
        </w:rPr>
        <w:t xml:space="preserve"> Bezoušk</w:t>
      </w:r>
      <w:r w:rsidR="000C56B3">
        <w:rPr>
          <w:rFonts w:cs="Times New Roman"/>
          <w:szCs w:val="24"/>
        </w:rPr>
        <w:t xml:space="preserve">a k tomuto dále v komentáři </w:t>
      </w:r>
      <w:r w:rsidR="00700AC3">
        <w:rPr>
          <w:rFonts w:cs="Times New Roman"/>
          <w:szCs w:val="24"/>
        </w:rPr>
        <w:t>uvádí, že</w:t>
      </w:r>
      <w:r w:rsidR="00DC2F1F">
        <w:rPr>
          <w:rFonts w:cs="Times New Roman"/>
          <w:szCs w:val="24"/>
        </w:rPr>
        <w:t xml:space="preserve">: </w:t>
      </w:r>
      <w:r w:rsidR="00DC2F1F" w:rsidRPr="00BB5C4F">
        <w:rPr>
          <w:rFonts w:cs="Times New Roman"/>
          <w:i/>
          <w:iCs/>
          <w:szCs w:val="24"/>
        </w:rPr>
        <w:t>„Pravidlo ve druhé větě § 1347 se opírá o myšlenku, že hromadná věc má v čase proměnlivý obsah a že nemusí ztratit svoji identitu, dojde-li k odloučení, výměně nebo přibytí jednotlivé věci.</w:t>
      </w:r>
      <w:r w:rsidR="007E7F1B" w:rsidRPr="00BB5C4F">
        <w:rPr>
          <w:rFonts w:cs="Times New Roman"/>
          <w:i/>
          <w:iCs/>
          <w:szCs w:val="24"/>
        </w:rPr>
        <w:t>“</w:t>
      </w:r>
      <w:r w:rsidR="006414D9">
        <w:rPr>
          <w:rStyle w:val="Znakapoznpodarou"/>
          <w:rFonts w:cs="Times New Roman"/>
          <w:szCs w:val="24"/>
        </w:rPr>
        <w:footnoteReference w:id="130"/>
      </w:r>
      <w:r w:rsidR="006414D9">
        <w:rPr>
          <w:rFonts w:cs="Times New Roman"/>
          <w:szCs w:val="24"/>
        </w:rPr>
        <w:t xml:space="preserve"> Avšak vyvstává nám otázka, </w:t>
      </w:r>
      <w:r w:rsidR="00962245">
        <w:rPr>
          <w:rFonts w:cs="Times New Roman"/>
          <w:szCs w:val="24"/>
        </w:rPr>
        <w:t xml:space="preserve">zda nemůže dlužník, který disponuje zastavenou věcí hromadnou, </w:t>
      </w:r>
      <w:r w:rsidR="00BD7ED6">
        <w:rPr>
          <w:rFonts w:cs="Times New Roman"/>
          <w:szCs w:val="24"/>
        </w:rPr>
        <w:t>svévolně</w:t>
      </w:r>
      <w:r w:rsidR="00962245">
        <w:rPr>
          <w:rFonts w:cs="Times New Roman"/>
          <w:szCs w:val="24"/>
        </w:rPr>
        <w:t xml:space="preserve"> </w:t>
      </w:r>
      <w:r w:rsidR="00136F06">
        <w:rPr>
          <w:rFonts w:cs="Times New Roman"/>
          <w:szCs w:val="24"/>
        </w:rPr>
        <w:t>snížit její hodnotu</w:t>
      </w:r>
      <w:r w:rsidR="00950059">
        <w:rPr>
          <w:rFonts w:cs="Times New Roman"/>
          <w:szCs w:val="24"/>
        </w:rPr>
        <w:t xml:space="preserve">, například tím, že </w:t>
      </w:r>
      <w:r w:rsidR="00BF0B32">
        <w:rPr>
          <w:rFonts w:cs="Times New Roman"/>
          <w:szCs w:val="24"/>
        </w:rPr>
        <w:t xml:space="preserve">všechny </w:t>
      </w:r>
      <w:r w:rsidR="00950059">
        <w:rPr>
          <w:rFonts w:cs="Times New Roman"/>
          <w:szCs w:val="24"/>
        </w:rPr>
        <w:t>jednotlivé věci, které jsou její součástí, zcizí.</w:t>
      </w:r>
      <w:r w:rsidR="0065382C">
        <w:rPr>
          <w:rFonts w:cs="Times New Roman"/>
          <w:szCs w:val="24"/>
        </w:rPr>
        <w:t xml:space="preserve"> Na toto nám dává odpověď §</w:t>
      </w:r>
      <w:r w:rsidR="00FC7349">
        <w:rPr>
          <w:rFonts w:cs="Times New Roman"/>
          <w:szCs w:val="24"/>
        </w:rPr>
        <w:t xml:space="preserve"> </w:t>
      </w:r>
      <w:r w:rsidR="0065382C">
        <w:rPr>
          <w:rFonts w:cs="Times New Roman"/>
          <w:szCs w:val="24"/>
        </w:rPr>
        <w:t xml:space="preserve">1353 </w:t>
      </w:r>
      <w:r w:rsidR="00FC7349">
        <w:rPr>
          <w:rFonts w:cs="Times New Roman"/>
          <w:szCs w:val="24"/>
        </w:rPr>
        <w:t>OZ</w:t>
      </w:r>
      <w:r w:rsidR="0065382C">
        <w:rPr>
          <w:rFonts w:cs="Times New Roman"/>
          <w:szCs w:val="24"/>
        </w:rPr>
        <w:t>, který říká:</w:t>
      </w:r>
      <w:r w:rsidR="00AB364E">
        <w:rPr>
          <w:rFonts w:cs="Times New Roman"/>
          <w:szCs w:val="24"/>
        </w:rPr>
        <w:t xml:space="preserve"> </w:t>
      </w:r>
      <w:r w:rsidR="00AB364E" w:rsidRPr="00BB5C4F">
        <w:rPr>
          <w:rFonts w:cs="Times New Roman"/>
          <w:i/>
          <w:iCs/>
          <w:szCs w:val="24"/>
        </w:rPr>
        <w:t>„</w:t>
      </w:r>
      <w:r w:rsidR="00FC02FC" w:rsidRPr="00BB5C4F">
        <w:rPr>
          <w:rFonts w:cs="Times New Roman"/>
          <w:i/>
          <w:iCs/>
          <w:szCs w:val="24"/>
        </w:rPr>
        <w:t xml:space="preserve">Zástavní dlužník se zdrží všeho, čím se zástava zhoršuje na úkor zástavního věřitele. Stane-li se činem zástavního dlužníka dostatečná jistota zástavního věřitele nedostatečnou nebo sníží-li se nedostatečná jistota, </w:t>
      </w:r>
      <w:r w:rsidR="00FC02FC" w:rsidRPr="00BB5C4F">
        <w:rPr>
          <w:rFonts w:cs="Times New Roman"/>
          <w:i/>
          <w:iCs/>
          <w:szCs w:val="24"/>
        </w:rPr>
        <w:lastRenderedPageBreak/>
        <w:t>zástavní dlužník ji přiměřeně doplní.“</w:t>
      </w:r>
      <w:r w:rsidR="001A4442">
        <w:rPr>
          <w:rStyle w:val="Znakapoznpodarou"/>
          <w:rFonts w:cs="Times New Roman"/>
          <w:szCs w:val="24"/>
        </w:rPr>
        <w:footnoteReference w:id="131"/>
      </w:r>
      <w:r w:rsidR="002726A5">
        <w:rPr>
          <w:rFonts w:cs="Times New Roman"/>
          <w:szCs w:val="24"/>
        </w:rPr>
        <w:t xml:space="preserve"> Tedy pokud by se dlužník dopustil svévolného znehodnocení </w:t>
      </w:r>
      <w:r w:rsidR="00486267">
        <w:rPr>
          <w:rFonts w:cs="Times New Roman"/>
          <w:szCs w:val="24"/>
        </w:rPr>
        <w:t>věci hromadné, má povinnost ji přiměřeně doplnit.</w:t>
      </w:r>
      <w:r w:rsidR="00427132">
        <w:rPr>
          <w:rFonts w:cs="Times New Roman"/>
          <w:szCs w:val="24"/>
        </w:rPr>
        <w:t xml:space="preserve"> </w:t>
      </w:r>
    </w:p>
    <w:p w14:paraId="4AD7EAC9" w14:textId="77777777" w:rsidR="00F146BF" w:rsidRDefault="00DA47F4" w:rsidP="004B5E84">
      <w:pPr>
        <w:rPr>
          <w:rFonts w:cs="Times New Roman"/>
          <w:szCs w:val="24"/>
        </w:rPr>
      </w:pPr>
      <w:r>
        <w:rPr>
          <w:rFonts w:cs="Times New Roman"/>
          <w:szCs w:val="24"/>
        </w:rPr>
        <w:t xml:space="preserve">Dále Scaevola </w:t>
      </w:r>
      <w:r w:rsidR="002B4B8F">
        <w:rPr>
          <w:rFonts w:cs="Times New Roman"/>
          <w:szCs w:val="24"/>
        </w:rPr>
        <w:t>k rozsahu zastavení věci hromadné píše:</w:t>
      </w:r>
      <w:r w:rsidR="00115E2E">
        <w:rPr>
          <w:rFonts w:cs="Times New Roman"/>
          <w:szCs w:val="24"/>
        </w:rPr>
        <w:t xml:space="preserve"> </w:t>
      </w:r>
      <w:r w:rsidR="00115E2E" w:rsidRPr="00BB5C4F">
        <w:rPr>
          <w:rFonts w:cs="Times New Roman"/>
          <w:i/>
          <w:iCs/>
          <w:szCs w:val="24"/>
        </w:rPr>
        <w:t>„</w:t>
      </w:r>
      <w:r w:rsidR="00C6070E" w:rsidRPr="00BB5C4F">
        <w:rPr>
          <w:rFonts w:cs="Times New Roman"/>
          <w:i/>
          <w:iCs/>
          <w:szCs w:val="24"/>
        </w:rPr>
        <w:t>Když dá dlužník v</w:t>
      </w:r>
      <w:r w:rsidR="00C455F3" w:rsidRPr="00BB5C4F">
        <w:rPr>
          <w:rFonts w:cs="Times New Roman"/>
          <w:i/>
          <w:iCs/>
          <w:szCs w:val="24"/>
        </w:rPr>
        <w:t>ě</w:t>
      </w:r>
      <w:r w:rsidR="00C6070E" w:rsidRPr="00BB5C4F">
        <w:rPr>
          <w:rFonts w:cs="Times New Roman"/>
          <w:i/>
          <w:iCs/>
          <w:szCs w:val="24"/>
        </w:rPr>
        <w:t>řiteli krčmu do zástavy, lze se ptát</w:t>
      </w:r>
      <w:r w:rsidR="00E16F13" w:rsidRPr="00BB5C4F">
        <w:rPr>
          <w:rFonts w:cs="Times New Roman"/>
          <w:i/>
          <w:iCs/>
          <w:szCs w:val="24"/>
        </w:rPr>
        <w:t>, zda se tím nestalo nic, nebo zda spol</w:t>
      </w:r>
      <w:r w:rsidR="00C455F3" w:rsidRPr="00BB5C4F">
        <w:rPr>
          <w:rFonts w:cs="Times New Roman"/>
          <w:i/>
          <w:iCs/>
          <w:szCs w:val="24"/>
        </w:rPr>
        <w:t>u</w:t>
      </w:r>
      <w:r w:rsidR="00E16F13" w:rsidRPr="00BB5C4F">
        <w:rPr>
          <w:rFonts w:cs="Times New Roman"/>
          <w:i/>
          <w:iCs/>
          <w:szCs w:val="24"/>
        </w:rPr>
        <w:t xml:space="preserve"> s kr</w:t>
      </w:r>
      <w:r w:rsidR="00C455F3" w:rsidRPr="00BB5C4F">
        <w:rPr>
          <w:rFonts w:cs="Times New Roman"/>
          <w:i/>
          <w:iCs/>
          <w:szCs w:val="24"/>
        </w:rPr>
        <w:t>č</w:t>
      </w:r>
      <w:r w:rsidR="00E16F13" w:rsidRPr="00BB5C4F">
        <w:rPr>
          <w:rFonts w:cs="Times New Roman"/>
          <w:i/>
          <w:iCs/>
          <w:szCs w:val="24"/>
        </w:rPr>
        <w:t>mou bude předmětem závazku i zboží</w:t>
      </w:r>
      <w:r w:rsidR="000825C7" w:rsidRPr="00BB5C4F">
        <w:rPr>
          <w:rFonts w:cs="Times New Roman"/>
          <w:i/>
          <w:iCs/>
          <w:szCs w:val="24"/>
        </w:rPr>
        <w:t>, které se tam nachází. Jestliže to zboží časem rozprodal, jiné nakoupil a do krčmy přivezl a zemřel</w:t>
      </w:r>
      <w:r w:rsidR="004E25CB" w:rsidRPr="00BB5C4F">
        <w:rPr>
          <w:rFonts w:cs="Times New Roman"/>
          <w:i/>
          <w:iCs/>
          <w:szCs w:val="24"/>
        </w:rPr>
        <w:t>, všechno to, co se tam nachází, může si věřitel žádat hypotekární žalobou, když d</w:t>
      </w:r>
      <w:r w:rsidR="00E35751" w:rsidRPr="00BB5C4F">
        <w:rPr>
          <w:rFonts w:cs="Times New Roman"/>
          <w:i/>
          <w:iCs/>
          <w:szCs w:val="24"/>
        </w:rPr>
        <w:t>ruhy zboží byly změněny a jiné věci dovezeny? Odpověděl, že to, co bylo v</w:t>
      </w:r>
      <w:r w:rsidR="00AA7F12" w:rsidRPr="00BB5C4F">
        <w:rPr>
          <w:rFonts w:cs="Times New Roman"/>
          <w:i/>
          <w:iCs/>
          <w:szCs w:val="24"/>
        </w:rPr>
        <w:t> </w:t>
      </w:r>
      <w:r w:rsidR="00E35751" w:rsidRPr="00BB5C4F">
        <w:rPr>
          <w:rFonts w:cs="Times New Roman"/>
          <w:i/>
          <w:iCs/>
          <w:szCs w:val="24"/>
        </w:rPr>
        <w:t>okamžiku</w:t>
      </w:r>
      <w:r w:rsidR="00AA7F12" w:rsidRPr="00BB5C4F">
        <w:rPr>
          <w:rFonts w:cs="Times New Roman"/>
          <w:i/>
          <w:iCs/>
          <w:szCs w:val="24"/>
        </w:rPr>
        <w:t xml:space="preserve"> smrti dlužníka přivezeno do krčmy, jeví se být zatížené zástavním právem.“</w:t>
      </w:r>
      <w:r w:rsidR="00B31C42">
        <w:rPr>
          <w:rStyle w:val="Znakapoznpodarou"/>
          <w:rFonts w:cs="Times New Roman"/>
          <w:szCs w:val="24"/>
        </w:rPr>
        <w:footnoteReference w:id="132"/>
      </w:r>
      <w:r w:rsidR="00F374AC">
        <w:rPr>
          <w:rFonts w:cs="Times New Roman"/>
          <w:szCs w:val="24"/>
        </w:rPr>
        <w:t xml:space="preserve"> </w:t>
      </w:r>
      <w:r w:rsidR="00CC3876">
        <w:rPr>
          <w:rFonts w:cs="Times New Roman"/>
          <w:szCs w:val="24"/>
        </w:rPr>
        <w:t>Tedy i</w:t>
      </w:r>
      <w:r w:rsidR="00F374AC">
        <w:rPr>
          <w:rFonts w:cs="Times New Roman"/>
          <w:szCs w:val="24"/>
        </w:rPr>
        <w:t xml:space="preserve"> z tohoto fragmentu je patrn</w:t>
      </w:r>
      <w:r w:rsidR="003F596E">
        <w:rPr>
          <w:rFonts w:cs="Times New Roman"/>
          <w:szCs w:val="24"/>
        </w:rPr>
        <w:t>é</w:t>
      </w:r>
      <w:r w:rsidR="00CC3876">
        <w:rPr>
          <w:rFonts w:cs="Times New Roman"/>
          <w:szCs w:val="24"/>
        </w:rPr>
        <w:t>,</w:t>
      </w:r>
      <w:r w:rsidR="00F374AC">
        <w:rPr>
          <w:rFonts w:cs="Times New Roman"/>
          <w:szCs w:val="24"/>
        </w:rPr>
        <w:t xml:space="preserve"> </w:t>
      </w:r>
      <w:r w:rsidR="003F596E">
        <w:rPr>
          <w:rFonts w:cs="Times New Roman"/>
          <w:szCs w:val="24"/>
        </w:rPr>
        <w:t>že zástavní právo k hromadné věci</w:t>
      </w:r>
      <w:r w:rsidR="0093548C">
        <w:rPr>
          <w:rFonts w:cs="Times New Roman"/>
          <w:szCs w:val="24"/>
        </w:rPr>
        <w:t xml:space="preserve"> m</w:t>
      </w:r>
      <w:r w:rsidR="00CC3876">
        <w:rPr>
          <w:rFonts w:cs="Times New Roman"/>
          <w:szCs w:val="24"/>
        </w:rPr>
        <w:t>á</w:t>
      </w:r>
      <w:r w:rsidR="0093548C">
        <w:rPr>
          <w:rFonts w:cs="Times New Roman"/>
          <w:szCs w:val="24"/>
        </w:rPr>
        <w:t xml:space="preserve"> v čase</w:t>
      </w:r>
      <w:r w:rsidR="003F596E">
        <w:rPr>
          <w:rFonts w:cs="Times New Roman"/>
          <w:szCs w:val="24"/>
        </w:rPr>
        <w:t xml:space="preserve"> </w:t>
      </w:r>
      <w:r w:rsidR="0093548C">
        <w:rPr>
          <w:rFonts w:cs="Times New Roman"/>
          <w:szCs w:val="24"/>
        </w:rPr>
        <w:t xml:space="preserve">proměnlivý </w:t>
      </w:r>
      <w:r w:rsidR="00F374AC">
        <w:rPr>
          <w:rFonts w:cs="Times New Roman"/>
          <w:szCs w:val="24"/>
        </w:rPr>
        <w:t>obsa</w:t>
      </w:r>
      <w:r w:rsidR="00622DF5">
        <w:rPr>
          <w:rFonts w:cs="Times New Roman"/>
          <w:szCs w:val="24"/>
        </w:rPr>
        <w:t>h.</w:t>
      </w:r>
      <w:r w:rsidR="00D060E3">
        <w:rPr>
          <w:rFonts w:cs="Times New Roman"/>
          <w:szCs w:val="24"/>
        </w:rPr>
        <w:t xml:space="preserve"> </w:t>
      </w:r>
    </w:p>
    <w:p w14:paraId="6EF62620" w14:textId="557455B5" w:rsidR="00B0266E" w:rsidRDefault="001F446F" w:rsidP="00766402">
      <w:pPr>
        <w:rPr>
          <w:rFonts w:cs="Times New Roman"/>
          <w:szCs w:val="24"/>
        </w:rPr>
      </w:pPr>
      <w:r>
        <w:rPr>
          <w:rFonts w:cs="Times New Roman"/>
          <w:szCs w:val="24"/>
        </w:rPr>
        <w:t>Nad rámec toho, co jsme si již k věci hromadn</w:t>
      </w:r>
      <w:r w:rsidR="00CF5C27">
        <w:rPr>
          <w:rFonts w:cs="Times New Roman"/>
          <w:szCs w:val="24"/>
        </w:rPr>
        <w:t>é řekli u prvního fragmentu</w:t>
      </w:r>
      <w:r w:rsidR="00B210F7">
        <w:rPr>
          <w:rFonts w:cs="Times New Roman"/>
          <w:szCs w:val="24"/>
        </w:rPr>
        <w:t xml:space="preserve">, lze doplnit článkem k současné právní úpravě od </w:t>
      </w:r>
      <w:r w:rsidR="003C182A">
        <w:rPr>
          <w:rFonts w:cs="Times New Roman"/>
          <w:szCs w:val="24"/>
        </w:rPr>
        <w:t xml:space="preserve">JUDr. </w:t>
      </w:r>
      <w:r w:rsidR="003C182A" w:rsidRPr="003C182A">
        <w:rPr>
          <w:rFonts w:cs="Times New Roman"/>
          <w:szCs w:val="24"/>
        </w:rPr>
        <w:t>Nitschneiderov</w:t>
      </w:r>
      <w:r w:rsidR="00B210F7">
        <w:rPr>
          <w:rFonts w:cs="Times New Roman"/>
          <w:szCs w:val="24"/>
        </w:rPr>
        <w:t>é</w:t>
      </w:r>
      <w:r w:rsidR="004151B7">
        <w:rPr>
          <w:rFonts w:cs="Times New Roman"/>
          <w:szCs w:val="24"/>
        </w:rPr>
        <w:t xml:space="preserve">, ve kterém lze spatřovat </w:t>
      </w:r>
      <w:r w:rsidR="00DD62EF">
        <w:rPr>
          <w:rFonts w:cs="Times New Roman"/>
          <w:szCs w:val="24"/>
        </w:rPr>
        <w:t>jistou podobnost s fragmentem druhým</w:t>
      </w:r>
      <w:r w:rsidR="00461A4B">
        <w:rPr>
          <w:rFonts w:cs="Times New Roman"/>
          <w:szCs w:val="24"/>
        </w:rPr>
        <w:t xml:space="preserve">, </w:t>
      </w:r>
      <w:r w:rsidR="004C38DD">
        <w:rPr>
          <w:rFonts w:cs="Times New Roman"/>
          <w:szCs w:val="24"/>
        </w:rPr>
        <w:t>a to</w:t>
      </w:r>
      <w:r w:rsidR="00461A4B">
        <w:rPr>
          <w:rFonts w:cs="Times New Roman"/>
          <w:szCs w:val="24"/>
        </w:rPr>
        <w:t xml:space="preserve">: </w:t>
      </w:r>
      <w:r w:rsidR="00E204D9" w:rsidRPr="00BB5C4F">
        <w:rPr>
          <w:rFonts w:cs="Times New Roman"/>
          <w:i/>
          <w:iCs/>
          <w:szCs w:val="24"/>
        </w:rPr>
        <w:t>„Věcí </w:t>
      </w:r>
      <w:bookmarkStart w:id="27" w:name="highlightHit_45"/>
      <w:bookmarkEnd w:id="27"/>
      <w:r w:rsidR="00E204D9" w:rsidRPr="00BB5C4F">
        <w:rPr>
          <w:rFonts w:cs="Times New Roman"/>
          <w:i/>
          <w:iCs/>
          <w:szCs w:val="24"/>
        </w:rPr>
        <w:t>hromadnou není jenom závod (podnik), ale také skladové zásoby podnikatele, které jsou produktem nebo předmětem jeho podnikatelské činnosti. V takovém případě jde o druhově definovanou zástavu.</w:t>
      </w:r>
      <w:r w:rsidR="00F46270" w:rsidRPr="00BB5C4F">
        <w:rPr>
          <w:rFonts w:cs="Times New Roman"/>
          <w:i/>
          <w:iCs/>
          <w:szCs w:val="24"/>
        </w:rPr>
        <w:t xml:space="preserve"> Vztahuje se v takovém případě ke všem druhově stejným </w:t>
      </w:r>
      <w:bookmarkStart w:id="28" w:name="highlightHit_48"/>
      <w:bookmarkEnd w:id="28"/>
      <w:r w:rsidR="00F46270" w:rsidRPr="00BB5C4F">
        <w:rPr>
          <w:rFonts w:cs="Times New Roman"/>
          <w:i/>
          <w:iCs/>
          <w:szCs w:val="24"/>
        </w:rPr>
        <w:t>věcem, které se za trvání </w:t>
      </w:r>
      <w:bookmarkStart w:id="29" w:name="highlightHit_49"/>
      <w:bookmarkEnd w:id="29"/>
      <w:r w:rsidR="00F46270" w:rsidRPr="00BB5C4F">
        <w:rPr>
          <w:rFonts w:cs="Times New Roman"/>
          <w:i/>
          <w:iCs/>
          <w:szCs w:val="24"/>
        </w:rPr>
        <w:t>zástavního </w:t>
      </w:r>
      <w:bookmarkStart w:id="30" w:name="highlightHit_50"/>
      <w:bookmarkEnd w:id="30"/>
      <w:r w:rsidR="00F46270" w:rsidRPr="00BB5C4F">
        <w:rPr>
          <w:rFonts w:cs="Times New Roman"/>
          <w:i/>
          <w:iCs/>
          <w:szCs w:val="24"/>
        </w:rPr>
        <w:t>práva stanou</w:t>
      </w:r>
      <w:r w:rsidR="007F210F">
        <w:rPr>
          <w:rFonts w:cs="Times New Roman"/>
          <w:i/>
          <w:iCs/>
          <w:szCs w:val="24"/>
        </w:rPr>
        <w:t xml:space="preserve"> </w:t>
      </w:r>
      <w:r w:rsidR="00F46270" w:rsidRPr="00BB5C4F">
        <w:rPr>
          <w:rFonts w:cs="Times New Roman"/>
          <w:i/>
          <w:iCs/>
          <w:szCs w:val="24"/>
        </w:rPr>
        <w:t>majetkem podnikatele jako skladové zásoby.</w:t>
      </w:r>
      <w:r w:rsidR="00AA7025" w:rsidRPr="00BB5C4F">
        <w:rPr>
          <w:rFonts w:cs="Times New Roman"/>
          <w:i/>
          <w:iCs/>
          <w:szCs w:val="24"/>
        </w:rPr>
        <w:t>“</w:t>
      </w:r>
      <w:r w:rsidR="00A253D4">
        <w:rPr>
          <w:rStyle w:val="Znakapoznpodarou"/>
          <w:rFonts w:cs="Times New Roman"/>
          <w:szCs w:val="24"/>
        </w:rPr>
        <w:footnoteReference w:id="133"/>
      </w:r>
      <w:r w:rsidR="00AA7025">
        <w:rPr>
          <w:rFonts w:cs="Times New Roman"/>
          <w:szCs w:val="24"/>
        </w:rPr>
        <w:t xml:space="preserve"> </w:t>
      </w:r>
      <w:r w:rsidR="00994ACC">
        <w:rPr>
          <w:rFonts w:cs="Times New Roman"/>
          <w:szCs w:val="24"/>
        </w:rPr>
        <w:t xml:space="preserve">Nakonec však nutno dodat, že </w:t>
      </w:r>
      <w:r w:rsidR="00F470B3">
        <w:rPr>
          <w:rFonts w:cs="Times New Roman"/>
          <w:szCs w:val="24"/>
        </w:rPr>
        <w:t>v současné právní úpravě</w:t>
      </w:r>
      <w:r w:rsidR="004C38DD">
        <w:rPr>
          <w:rFonts w:cs="Times New Roman"/>
          <w:szCs w:val="24"/>
        </w:rPr>
        <w:t>, na rozdíl od té za dob císaře Justiniána,</w:t>
      </w:r>
      <w:r w:rsidR="00F470B3">
        <w:rPr>
          <w:rFonts w:cs="Times New Roman"/>
          <w:szCs w:val="24"/>
        </w:rPr>
        <w:t xml:space="preserve"> je </w:t>
      </w:r>
      <w:r w:rsidR="003475A7">
        <w:rPr>
          <w:rFonts w:cs="Times New Roman"/>
          <w:szCs w:val="24"/>
        </w:rPr>
        <w:t>při</w:t>
      </w:r>
      <w:r w:rsidR="00F470B3">
        <w:rPr>
          <w:rFonts w:cs="Times New Roman"/>
          <w:szCs w:val="24"/>
        </w:rPr>
        <w:t xml:space="preserve"> zastavení hromadné věci</w:t>
      </w:r>
      <w:r w:rsidR="00AA7025">
        <w:rPr>
          <w:rFonts w:cs="Times New Roman"/>
          <w:szCs w:val="24"/>
        </w:rPr>
        <w:t xml:space="preserve"> </w:t>
      </w:r>
      <w:r w:rsidR="003475A7">
        <w:rPr>
          <w:rFonts w:cs="Times New Roman"/>
          <w:szCs w:val="24"/>
        </w:rPr>
        <w:t>obligatorně stanove</w:t>
      </w:r>
      <w:r w:rsidR="00310D0E">
        <w:rPr>
          <w:rFonts w:cs="Times New Roman"/>
          <w:szCs w:val="24"/>
        </w:rPr>
        <w:t xml:space="preserve">na </w:t>
      </w:r>
      <w:r w:rsidR="00AD050F">
        <w:rPr>
          <w:rFonts w:cs="Times New Roman"/>
          <w:szCs w:val="24"/>
        </w:rPr>
        <w:t>forma veřejné listiny</w:t>
      </w:r>
      <w:r w:rsidR="000A70B9">
        <w:rPr>
          <w:rStyle w:val="Znakapoznpodarou"/>
          <w:rFonts w:cs="Times New Roman"/>
          <w:szCs w:val="24"/>
        </w:rPr>
        <w:footnoteReference w:id="134"/>
      </w:r>
      <w:r w:rsidR="00310D0E">
        <w:rPr>
          <w:rFonts w:cs="Times New Roman"/>
          <w:szCs w:val="24"/>
        </w:rPr>
        <w:t xml:space="preserve">, </w:t>
      </w:r>
      <w:r w:rsidR="00A95E69">
        <w:rPr>
          <w:rFonts w:cs="Times New Roman"/>
          <w:szCs w:val="24"/>
        </w:rPr>
        <w:t>a to</w:t>
      </w:r>
      <w:r w:rsidR="00310D0E">
        <w:rPr>
          <w:rFonts w:cs="Times New Roman"/>
          <w:szCs w:val="24"/>
        </w:rPr>
        <w:t xml:space="preserve"> na základě §</w:t>
      </w:r>
      <w:r w:rsidR="00127008">
        <w:rPr>
          <w:rFonts w:cs="Times New Roman"/>
          <w:szCs w:val="24"/>
        </w:rPr>
        <w:t xml:space="preserve"> 1314 odst. 2 písm. a)</w:t>
      </w:r>
      <w:r w:rsidR="006441A2">
        <w:rPr>
          <w:rFonts w:cs="Times New Roman"/>
          <w:szCs w:val="24"/>
        </w:rPr>
        <w:t>.</w:t>
      </w:r>
      <w:r w:rsidR="00127008">
        <w:rPr>
          <w:rStyle w:val="Znakapoznpodarou"/>
          <w:rFonts w:cs="Times New Roman"/>
          <w:szCs w:val="24"/>
        </w:rPr>
        <w:footnoteReference w:id="135"/>
      </w:r>
    </w:p>
    <w:p w14:paraId="0C610D9F" w14:textId="77777777" w:rsidR="00766402" w:rsidRDefault="00766402" w:rsidP="00766402">
      <w:pPr>
        <w:rPr>
          <w:rFonts w:cs="Times New Roman"/>
          <w:szCs w:val="24"/>
        </w:rPr>
      </w:pPr>
    </w:p>
    <w:p w14:paraId="7E53177F" w14:textId="3ED935A3" w:rsidR="00766402" w:rsidRPr="00766402" w:rsidRDefault="0082289B" w:rsidP="00D053FB">
      <w:pPr>
        <w:pStyle w:val="Nadpis3"/>
      </w:pPr>
      <w:bookmarkStart w:id="31" w:name="_Toc100354947"/>
      <w:r>
        <w:t xml:space="preserve">3.1.2 </w:t>
      </w:r>
      <w:r w:rsidR="00766402" w:rsidRPr="00766402">
        <w:t>Zřízení ruční zástavy</w:t>
      </w:r>
      <w:bookmarkEnd w:id="31"/>
    </w:p>
    <w:p w14:paraId="15D37598" w14:textId="43FF6307" w:rsidR="009B659E" w:rsidRDefault="00A20EA8" w:rsidP="00E5762B">
      <w:pPr>
        <w:rPr>
          <w:rFonts w:cs="Times New Roman"/>
          <w:szCs w:val="24"/>
        </w:rPr>
      </w:pPr>
      <w:r>
        <w:rPr>
          <w:rFonts w:cs="Times New Roman"/>
          <w:szCs w:val="24"/>
        </w:rPr>
        <w:t xml:space="preserve">Ulpianus ve 40. knize k Sabinovi píše: </w:t>
      </w:r>
      <w:r w:rsidRPr="00BB5C4F">
        <w:rPr>
          <w:rFonts w:cs="Times New Roman"/>
          <w:i/>
          <w:iCs/>
          <w:szCs w:val="24"/>
        </w:rPr>
        <w:t>„Ruční zástava se zřizuje nejen předáním, ale také pouhou dohodou, přestože předána nebyla.</w:t>
      </w:r>
      <w:r w:rsidR="006D7D64" w:rsidRPr="00BB5C4F">
        <w:rPr>
          <w:rFonts w:cs="Times New Roman"/>
          <w:i/>
          <w:iCs/>
          <w:szCs w:val="24"/>
        </w:rPr>
        <w:t>“</w:t>
      </w:r>
      <w:r w:rsidR="006D7D64">
        <w:rPr>
          <w:rStyle w:val="Znakapoznpodarou"/>
          <w:rFonts w:cs="Times New Roman"/>
          <w:szCs w:val="24"/>
        </w:rPr>
        <w:footnoteReference w:id="136"/>
      </w:r>
      <w:r>
        <w:rPr>
          <w:rFonts w:cs="Times New Roman"/>
          <w:szCs w:val="24"/>
        </w:rPr>
        <w:t xml:space="preserve"> </w:t>
      </w:r>
      <w:r w:rsidR="00D756DD">
        <w:rPr>
          <w:rFonts w:cs="Times New Roman"/>
          <w:szCs w:val="24"/>
        </w:rPr>
        <w:t xml:space="preserve">Z tohoto fragmentu tedy lze usoudit, že ke vzniku </w:t>
      </w:r>
      <w:r w:rsidR="00743D20">
        <w:rPr>
          <w:rFonts w:cs="Times New Roman"/>
          <w:szCs w:val="24"/>
        </w:rPr>
        <w:t xml:space="preserve">ručního </w:t>
      </w:r>
      <w:r w:rsidR="00D756DD">
        <w:rPr>
          <w:rFonts w:cs="Times New Roman"/>
          <w:szCs w:val="24"/>
        </w:rPr>
        <w:t>zástavního práva</w:t>
      </w:r>
      <w:r w:rsidR="00743D20">
        <w:rPr>
          <w:rFonts w:cs="Times New Roman"/>
          <w:szCs w:val="24"/>
        </w:rPr>
        <w:t xml:space="preserve"> (pignu) postačí, pokud se na tom zástavní věřitel se zástavcem pouze domluví</w:t>
      </w:r>
      <w:r w:rsidR="00BB735C">
        <w:rPr>
          <w:rFonts w:cs="Times New Roman"/>
          <w:szCs w:val="24"/>
        </w:rPr>
        <w:t xml:space="preserve">, tedy na základě </w:t>
      </w:r>
      <w:r w:rsidR="000F2670">
        <w:rPr>
          <w:rFonts w:cs="Times New Roman"/>
          <w:szCs w:val="24"/>
        </w:rPr>
        <w:t>prosté</w:t>
      </w:r>
      <w:r w:rsidR="00BB735C">
        <w:rPr>
          <w:rFonts w:cs="Times New Roman"/>
          <w:szCs w:val="24"/>
        </w:rPr>
        <w:t xml:space="preserve"> úmluvy</w:t>
      </w:r>
      <w:r w:rsidR="00743D20">
        <w:rPr>
          <w:rFonts w:cs="Times New Roman"/>
          <w:szCs w:val="24"/>
        </w:rPr>
        <w:t xml:space="preserve">. Avšak jak jsme si již v teorii o pignu </w:t>
      </w:r>
      <w:r w:rsidR="00646B0A">
        <w:rPr>
          <w:rFonts w:cs="Times New Roman"/>
          <w:szCs w:val="24"/>
        </w:rPr>
        <w:t>řekli</w:t>
      </w:r>
      <w:r w:rsidR="00743D20">
        <w:rPr>
          <w:rFonts w:cs="Times New Roman"/>
          <w:szCs w:val="24"/>
        </w:rPr>
        <w:t xml:space="preserve">, jeho </w:t>
      </w:r>
      <w:r w:rsidR="00BB735C">
        <w:rPr>
          <w:rFonts w:cs="Times New Roman"/>
          <w:szCs w:val="24"/>
        </w:rPr>
        <w:t>základním</w:t>
      </w:r>
      <w:r w:rsidR="00743D20">
        <w:rPr>
          <w:rFonts w:cs="Times New Roman"/>
          <w:szCs w:val="24"/>
        </w:rPr>
        <w:t xml:space="preserve"> znakem je, že věc, která je předmětem zástavního práva, je odevzdána do detence </w:t>
      </w:r>
      <w:r w:rsidR="00BB735C">
        <w:rPr>
          <w:rFonts w:cs="Times New Roman"/>
          <w:szCs w:val="24"/>
        </w:rPr>
        <w:lastRenderedPageBreak/>
        <w:t xml:space="preserve">zástavnímu věřiteli </w:t>
      </w:r>
      <w:r w:rsidR="00743D20">
        <w:rPr>
          <w:rFonts w:cs="Times New Roman"/>
          <w:szCs w:val="24"/>
        </w:rPr>
        <w:t>jako zástava</w:t>
      </w:r>
      <w:r w:rsidR="00BB735C">
        <w:rPr>
          <w:rFonts w:cs="Times New Roman"/>
          <w:szCs w:val="24"/>
        </w:rPr>
        <w:t xml:space="preserve">. </w:t>
      </w:r>
      <w:r w:rsidR="00FF51E3">
        <w:rPr>
          <w:rFonts w:cs="Times New Roman"/>
          <w:szCs w:val="24"/>
        </w:rPr>
        <w:t>Ten</w:t>
      </w:r>
      <w:r w:rsidR="00BB735C">
        <w:rPr>
          <w:rFonts w:cs="Times New Roman"/>
          <w:szCs w:val="24"/>
        </w:rPr>
        <w:t xml:space="preserve"> má</w:t>
      </w:r>
      <w:r w:rsidR="00FF51E3">
        <w:rPr>
          <w:rFonts w:cs="Times New Roman"/>
          <w:szCs w:val="24"/>
        </w:rPr>
        <w:t xml:space="preserve"> věc</w:t>
      </w:r>
      <w:r w:rsidR="00BB735C">
        <w:rPr>
          <w:rFonts w:cs="Times New Roman"/>
          <w:szCs w:val="24"/>
        </w:rPr>
        <w:t xml:space="preserve"> ve své faktické moci po </w:t>
      </w:r>
      <w:r w:rsidR="000F2670">
        <w:rPr>
          <w:rFonts w:cs="Times New Roman"/>
          <w:szCs w:val="24"/>
        </w:rPr>
        <w:t xml:space="preserve">celou </w:t>
      </w:r>
      <w:r w:rsidR="00BB735C">
        <w:rPr>
          <w:rFonts w:cs="Times New Roman"/>
          <w:szCs w:val="24"/>
        </w:rPr>
        <w:t xml:space="preserve">dobu trvání </w:t>
      </w:r>
      <w:r w:rsidR="00FF51E3">
        <w:rPr>
          <w:rFonts w:cs="Times New Roman"/>
          <w:szCs w:val="24"/>
        </w:rPr>
        <w:t xml:space="preserve">jeho </w:t>
      </w:r>
      <w:r w:rsidR="00BB735C">
        <w:rPr>
          <w:rFonts w:cs="Times New Roman"/>
          <w:szCs w:val="24"/>
        </w:rPr>
        <w:t>pohledávky</w:t>
      </w:r>
      <w:r w:rsidR="00FF51E3">
        <w:rPr>
          <w:rFonts w:cs="Times New Roman"/>
          <w:szCs w:val="24"/>
        </w:rPr>
        <w:t xml:space="preserve"> za dlužníkem</w:t>
      </w:r>
      <w:r w:rsidR="00BB735C">
        <w:rPr>
          <w:rFonts w:cs="Times New Roman"/>
          <w:szCs w:val="24"/>
        </w:rPr>
        <w:t xml:space="preserve">, přičemž </w:t>
      </w:r>
      <w:r w:rsidR="00FF51E3">
        <w:rPr>
          <w:rFonts w:cs="Times New Roman"/>
          <w:szCs w:val="24"/>
        </w:rPr>
        <w:t>nedojde-li ke splnění této pohledávky, může se</w:t>
      </w:r>
      <w:r w:rsidR="000F2670">
        <w:rPr>
          <w:rFonts w:cs="Times New Roman"/>
          <w:szCs w:val="24"/>
        </w:rPr>
        <w:t xml:space="preserve"> pro ni</w:t>
      </w:r>
      <w:r w:rsidR="00FF51E3">
        <w:rPr>
          <w:rFonts w:cs="Times New Roman"/>
          <w:szCs w:val="24"/>
        </w:rPr>
        <w:t xml:space="preserve"> z takovéto </w:t>
      </w:r>
      <w:r w:rsidR="00646B0A">
        <w:rPr>
          <w:rFonts w:cs="Times New Roman"/>
          <w:szCs w:val="24"/>
        </w:rPr>
        <w:t>věci</w:t>
      </w:r>
      <w:r w:rsidR="00FF51E3">
        <w:rPr>
          <w:rFonts w:cs="Times New Roman"/>
          <w:szCs w:val="24"/>
        </w:rPr>
        <w:t xml:space="preserve"> uspokojit.</w:t>
      </w:r>
      <w:r w:rsidR="003B4151">
        <w:rPr>
          <w:rFonts w:cs="Times New Roman"/>
          <w:szCs w:val="24"/>
        </w:rPr>
        <w:t xml:space="preserve"> </w:t>
      </w:r>
      <w:r w:rsidR="00743D20">
        <w:rPr>
          <w:rFonts w:cs="Times New Roman"/>
          <w:szCs w:val="24"/>
        </w:rPr>
        <w:t>Nacházíme tedy jasnou kolizi mezi tím, jak o ruční zástavě pojednával Ulpianus</w:t>
      </w:r>
      <w:r w:rsidR="00FF51E3">
        <w:rPr>
          <w:rFonts w:cs="Times New Roman"/>
          <w:szCs w:val="24"/>
        </w:rPr>
        <w:t xml:space="preserve"> ve fragmentu o zřízení ruční zástavy</w:t>
      </w:r>
      <w:r w:rsidR="00743D20">
        <w:rPr>
          <w:rFonts w:cs="Times New Roman"/>
          <w:szCs w:val="24"/>
        </w:rPr>
        <w:t xml:space="preserve"> a jak o ní pojednávají řím</w:t>
      </w:r>
      <w:r w:rsidR="00BB735C">
        <w:rPr>
          <w:rFonts w:cs="Times New Roman"/>
          <w:szCs w:val="24"/>
        </w:rPr>
        <w:t>skoprávní teoretici.</w:t>
      </w:r>
      <w:r w:rsidR="00646B0A">
        <w:rPr>
          <w:rFonts w:cs="Times New Roman"/>
          <w:szCs w:val="24"/>
        </w:rPr>
        <w:t xml:space="preserve"> </w:t>
      </w:r>
      <w:r w:rsidR="004B7364">
        <w:rPr>
          <w:rFonts w:cs="Times New Roman"/>
          <w:szCs w:val="24"/>
        </w:rPr>
        <w:t xml:space="preserve">Mimo to se k tomuto vyjádřil ve svém článku JUDr. Elek, </w:t>
      </w:r>
      <w:r w:rsidR="000F2670">
        <w:rPr>
          <w:rFonts w:cs="Times New Roman"/>
          <w:szCs w:val="24"/>
        </w:rPr>
        <w:t>s tím</w:t>
      </w:r>
      <w:r w:rsidR="004B7364">
        <w:rPr>
          <w:rFonts w:cs="Times New Roman"/>
          <w:szCs w:val="24"/>
        </w:rPr>
        <w:t xml:space="preserve"> že: </w:t>
      </w:r>
      <w:r w:rsidR="004B7364" w:rsidRPr="00FA1380">
        <w:rPr>
          <w:rFonts w:cs="Times New Roman"/>
          <w:i/>
          <w:iCs/>
          <w:szCs w:val="24"/>
        </w:rPr>
        <w:t>„Pojmovým znakem </w:t>
      </w:r>
      <w:bookmarkStart w:id="32" w:name="highlightHit_6"/>
      <w:bookmarkEnd w:id="32"/>
      <w:r w:rsidR="004B7364" w:rsidRPr="00FA1380">
        <w:rPr>
          <w:rFonts w:cs="Times New Roman"/>
          <w:i/>
          <w:iCs/>
          <w:szCs w:val="24"/>
        </w:rPr>
        <w:t>ruční </w:t>
      </w:r>
      <w:bookmarkStart w:id="33" w:name="highlightHit_7"/>
      <w:bookmarkEnd w:id="33"/>
      <w:r w:rsidR="004B7364" w:rsidRPr="00FA1380">
        <w:rPr>
          <w:rFonts w:cs="Times New Roman"/>
          <w:i/>
          <w:iCs/>
          <w:szCs w:val="24"/>
        </w:rPr>
        <w:t>zástavy ovšem není to, že </w:t>
      </w:r>
      <w:bookmarkStart w:id="34" w:name="highlightHit_8"/>
      <w:bookmarkEnd w:id="34"/>
      <w:r w:rsidR="004B7364" w:rsidRPr="00FA1380">
        <w:rPr>
          <w:rFonts w:cs="Times New Roman"/>
          <w:i/>
          <w:iCs/>
          <w:szCs w:val="24"/>
        </w:rPr>
        <w:t>zástavou je movitá věc, ale to, že zástavní věřitel má právo na to, aby </w:t>
      </w:r>
      <w:bookmarkStart w:id="35" w:name="highlightHit_9"/>
      <w:bookmarkEnd w:id="35"/>
      <w:r w:rsidR="004B7364" w:rsidRPr="00FA1380">
        <w:rPr>
          <w:rFonts w:cs="Times New Roman"/>
          <w:i/>
          <w:iCs/>
          <w:szCs w:val="24"/>
        </w:rPr>
        <w:t>zástavu měl u sebe,</w:t>
      </w:r>
      <w:r w:rsidR="00ED4091">
        <w:rPr>
          <w:rFonts w:cs="Times New Roman"/>
          <w:i/>
          <w:iCs/>
          <w:szCs w:val="24"/>
        </w:rPr>
        <w:t xml:space="preserve"> </w:t>
      </w:r>
      <w:r w:rsidR="004B7364" w:rsidRPr="00FA1380">
        <w:rPr>
          <w:rFonts w:cs="Times New Roman"/>
          <w:i/>
          <w:iCs/>
          <w:szCs w:val="24"/>
        </w:rPr>
        <w:t>a že ke vzniku zástavního práva je nutné předání </w:t>
      </w:r>
      <w:bookmarkStart w:id="36" w:name="highlightHit_10"/>
      <w:bookmarkEnd w:id="36"/>
      <w:r w:rsidR="004B7364" w:rsidRPr="00FA1380">
        <w:rPr>
          <w:rFonts w:cs="Times New Roman"/>
          <w:i/>
          <w:iCs/>
          <w:szCs w:val="24"/>
        </w:rPr>
        <w:t>zástavy zástavnímu věřiteli.“</w:t>
      </w:r>
      <w:r w:rsidR="00D329E7">
        <w:rPr>
          <w:rStyle w:val="Znakapoznpodarou"/>
          <w:rFonts w:cs="Times New Roman"/>
          <w:szCs w:val="24"/>
        </w:rPr>
        <w:footnoteReference w:id="137"/>
      </w:r>
      <w:r w:rsidR="00E5762B">
        <w:rPr>
          <w:rFonts w:cs="Times New Roman"/>
          <w:szCs w:val="24"/>
        </w:rPr>
        <w:t xml:space="preserve"> Nelze však opomenout</w:t>
      </w:r>
      <w:r w:rsidR="007D48BB">
        <w:rPr>
          <w:rFonts w:cs="Times New Roman"/>
          <w:szCs w:val="24"/>
        </w:rPr>
        <w:t xml:space="preserve"> definici ruční zástavy</w:t>
      </w:r>
      <w:r w:rsidR="00E5762B">
        <w:rPr>
          <w:rFonts w:cs="Times New Roman"/>
          <w:szCs w:val="24"/>
        </w:rPr>
        <w:t xml:space="preserve"> </w:t>
      </w:r>
      <w:r w:rsidR="007D48BB">
        <w:rPr>
          <w:rFonts w:cs="Times New Roman"/>
          <w:szCs w:val="24"/>
        </w:rPr>
        <w:t xml:space="preserve">ve </w:t>
      </w:r>
      <w:r w:rsidR="00E5762B">
        <w:rPr>
          <w:rFonts w:cs="Times New Roman"/>
          <w:szCs w:val="24"/>
        </w:rPr>
        <w:t>28. kni</w:t>
      </w:r>
      <w:r w:rsidR="00AC7628">
        <w:rPr>
          <w:rFonts w:cs="Times New Roman"/>
          <w:szCs w:val="24"/>
        </w:rPr>
        <w:t>ze</w:t>
      </w:r>
      <w:r w:rsidR="00E5762B">
        <w:rPr>
          <w:rFonts w:cs="Times New Roman"/>
          <w:szCs w:val="24"/>
        </w:rPr>
        <w:t xml:space="preserve"> k ediktu, kde </w:t>
      </w:r>
      <w:r w:rsidR="00F8469D">
        <w:rPr>
          <w:rFonts w:cs="Times New Roman"/>
          <w:szCs w:val="24"/>
        </w:rPr>
        <w:t xml:space="preserve">také </w:t>
      </w:r>
      <w:r w:rsidR="00E5762B">
        <w:rPr>
          <w:rFonts w:cs="Times New Roman"/>
          <w:szCs w:val="24"/>
        </w:rPr>
        <w:t xml:space="preserve">Ulpianus píše, že: </w:t>
      </w:r>
      <w:r w:rsidR="00E5762B" w:rsidRPr="00FA1380">
        <w:rPr>
          <w:rFonts w:cs="Times New Roman"/>
          <w:i/>
          <w:iCs/>
          <w:szCs w:val="24"/>
        </w:rPr>
        <w:t>„O ruční zástavě ve vlastním smyslu slova hovoříme tehdy, jestliže je něco předáno věřiteli.“</w:t>
      </w:r>
      <w:r w:rsidR="00E5762B">
        <w:rPr>
          <w:rStyle w:val="Znakapoznpodarou"/>
          <w:rFonts w:cs="Times New Roman"/>
          <w:szCs w:val="24"/>
        </w:rPr>
        <w:footnoteReference w:id="138"/>
      </w:r>
      <w:r w:rsidR="00E5762B">
        <w:rPr>
          <w:rFonts w:cs="Times New Roman"/>
          <w:szCs w:val="24"/>
        </w:rPr>
        <w:t xml:space="preserve"> Čímž si tak v podstatě protiřečí a dává za pravdu římskoprávní teorii.</w:t>
      </w:r>
    </w:p>
    <w:p w14:paraId="720E7A91" w14:textId="52608AF6" w:rsidR="004B5E84" w:rsidRDefault="009B659E" w:rsidP="004B5E84">
      <w:pPr>
        <w:rPr>
          <w:rFonts w:cs="Times New Roman"/>
          <w:szCs w:val="24"/>
        </w:rPr>
      </w:pPr>
      <w:r>
        <w:rPr>
          <w:rFonts w:cs="Times New Roman"/>
          <w:szCs w:val="24"/>
        </w:rPr>
        <w:t xml:space="preserve">Současná právní </w:t>
      </w:r>
      <w:r w:rsidR="00DC3FB4">
        <w:rPr>
          <w:rFonts w:cs="Times New Roman"/>
          <w:szCs w:val="24"/>
        </w:rPr>
        <w:t xml:space="preserve">úprava stanovuje vznik </w:t>
      </w:r>
      <w:r w:rsidR="004366B4">
        <w:rPr>
          <w:rFonts w:cs="Times New Roman"/>
          <w:szCs w:val="24"/>
        </w:rPr>
        <w:t xml:space="preserve">ručního </w:t>
      </w:r>
      <w:r w:rsidR="00DC3FB4">
        <w:rPr>
          <w:rFonts w:cs="Times New Roman"/>
          <w:szCs w:val="24"/>
        </w:rPr>
        <w:t>zástavního práva v § 1317 OZ, kde stojí, že</w:t>
      </w:r>
      <w:r>
        <w:rPr>
          <w:rFonts w:cs="Times New Roman"/>
          <w:szCs w:val="24"/>
        </w:rPr>
        <w:t xml:space="preserve">: </w:t>
      </w:r>
      <w:r w:rsidRPr="00FD6E2D">
        <w:rPr>
          <w:rFonts w:cs="Times New Roman"/>
          <w:i/>
          <w:iCs/>
          <w:szCs w:val="24"/>
        </w:rPr>
        <w:t>„Zástavní právo k movité věci vznikne odevzdáním zástavnímu věřiteli</w:t>
      </w:r>
      <w:r w:rsidR="00DC3FB4" w:rsidRPr="00FD6E2D">
        <w:rPr>
          <w:rFonts w:cs="Times New Roman"/>
          <w:i/>
          <w:iCs/>
          <w:szCs w:val="24"/>
        </w:rPr>
        <w:t>.</w:t>
      </w:r>
      <w:r w:rsidR="00282655" w:rsidRPr="00FD6E2D">
        <w:rPr>
          <w:rFonts w:cs="Times New Roman"/>
          <w:i/>
          <w:iCs/>
          <w:szCs w:val="24"/>
        </w:rPr>
        <w:t xml:space="preserve"> </w:t>
      </w:r>
      <w:r w:rsidR="00DC3FB4" w:rsidRPr="00FD6E2D">
        <w:rPr>
          <w:rFonts w:cs="Times New Roman"/>
          <w:i/>
          <w:iCs/>
          <w:szCs w:val="24"/>
        </w:rPr>
        <w:t>Požádá-li o to zástavce, vydá mu věřitel zástavní list, v němž zástavu popíše tak, aby byla od jiných věcí dostatečně odlišena.“</w:t>
      </w:r>
      <w:r w:rsidR="00DC3FB4">
        <w:rPr>
          <w:rStyle w:val="Znakapoznpodarou"/>
          <w:rFonts w:cs="Times New Roman"/>
          <w:szCs w:val="24"/>
        </w:rPr>
        <w:footnoteReference w:id="139"/>
      </w:r>
      <w:r w:rsidR="00282655">
        <w:rPr>
          <w:rFonts w:cs="Times New Roman"/>
          <w:szCs w:val="24"/>
        </w:rPr>
        <w:t xml:space="preserve"> Z nynější právní úpravy tedy taktéž plyne, že </w:t>
      </w:r>
      <w:r w:rsidR="005B1CEE">
        <w:rPr>
          <w:rFonts w:cs="Times New Roman"/>
          <w:szCs w:val="24"/>
        </w:rPr>
        <w:t>je ke vzniku ruční zástavy zapotřebí, aby došlo k jejímu předání zástavnímu věřiteli. Navíc druhá věta tohoto paragrafu nám v</w:t>
      </w:r>
      <w:r w:rsidR="00AC7628">
        <w:rPr>
          <w:rFonts w:cs="Times New Roman"/>
          <w:szCs w:val="24"/>
        </w:rPr>
        <w:t> </w:t>
      </w:r>
      <w:r w:rsidR="005B1CEE">
        <w:rPr>
          <w:rFonts w:cs="Times New Roman"/>
          <w:szCs w:val="24"/>
        </w:rPr>
        <w:t>porovnání</w:t>
      </w:r>
      <w:r w:rsidR="00AC7628">
        <w:rPr>
          <w:rFonts w:cs="Times New Roman"/>
          <w:szCs w:val="24"/>
        </w:rPr>
        <w:t xml:space="preserve"> s</w:t>
      </w:r>
      <w:r w:rsidR="005B1CEE">
        <w:rPr>
          <w:rFonts w:cs="Times New Roman"/>
          <w:szCs w:val="24"/>
        </w:rPr>
        <w:t xml:space="preserve"> římskoprávní úpravou zlepšuje důkazní postavení zástavce. Lze tedy říci, že i současná právní úprava vzniku ručního zástavního práva</w:t>
      </w:r>
      <w:r w:rsidR="00B914D2">
        <w:rPr>
          <w:rFonts w:cs="Times New Roman"/>
          <w:szCs w:val="24"/>
        </w:rPr>
        <w:t xml:space="preserve"> je koncipována odlišně, než jak stanovil Ulpianus.</w:t>
      </w:r>
      <w:r w:rsidR="005B1CEE">
        <w:rPr>
          <w:rFonts w:cs="Times New Roman"/>
          <w:szCs w:val="24"/>
        </w:rPr>
        <w:t xml:space="preserve"> </w:t>
      </w:r>
      <w:r w:rsidR="0015724A">
        <w:rPr>
          <w:rFonts w:cs="Times New Roman"/>
          <w:szCs w:val="24"/>
        </w:rPr>
        <w:t xml:space="preserve">Podpůrně nám ke vzniku zástavního práva </w:t>
      </w:r>
      <w:r w:rsidR="004366B4">
        <w:rPr>
          <w:rFonts w:cs="Times New Roman"/>
          <w:szCs w:val="24"/>
        </w:rPr>
        <w:t>k</w:t>
      </w:r>
      <w:r w:rsidR="0015724A">
        <w:rPr>
          <w:rFonts w:cs="Times New Roman"/>
          <w:szCs w:val="24"/>
        </w:rPr>
        <w:t xml:space="preserve"> movité věci § 1318 OZ stanoví, že: </w:t>
      </w:r>
      <w:r w:rsidR="0015724A" w:rsidRPr="0099302D">
        <w:rPr>
          <w:rFonts w:cs="Times New Roman"/>
          <w:i/>
          <w:iCs/>
          <w:szCs w:val="24"/>
        </w:rPr>
        <w:t>„Určí-li tak zástavní smlouva, vznikne zástavní právo k movité věci tím, že zástavce nebo zástavní věřitel odevzdá věc třetí osobě, aby ji opatrovala pro zástavního věřitele a zástavního dlužníka</w:t>
      </w:r>
      <w:r w:rsidR="00B914CB" w:rsidRPr="0099302D">
        <w:rPr>
          <w:rFonts w:cs="Times New Roman"/>
          <w:i/>
          <w:iCs/>
          <w:szCs w:val="24"/>
        </w:rPr>
        <w:t>. Není-li ujednáno jinak, hradí zástavce náklady s tím spojené.“</w:t>
      </w:r>
      <w:r w:rsidR="00B914CB">
        <w:rPr>
          <w:rStyle w:val="Znakapoznpodarou"/>
          <w:rFonts w:cs="Times New Roman"/>
          <w:szCs w:val="24"/>
        </w:rPr>
        <w:footnoteReference w:id="140"/>
      </w:r>
      <w:r w:rsidR="00B914D2">
        <w:rPr>
          <w:rFonts w:cs="Times New Roman"/>
          <w:szCs w:val="24"/>
        </w:rPr>
        <w:t xml:space="preserve"> Což nám dále v porovnání s římskoprávní úpravou rozšiřuje možnosti, které jsou dány pro vznik </w:t>
      </w:r>
      <w:r w:rsidR="00442D87">
        <w:rPr>
          <w:rFonts w:cs="Times New Roman"/>
          <w:szCs w:val="24"/>
        </w:rPr>
        <w:t>ruční zástavy</w:t>
      </w:r>
      <w:r w:rsidR="00B914D2">
        <w:rPr>
          <w:rFonts w:cs="Times New Roman"/>
          <w:szCs w:val="24"/>
        </w:rPr>
        <w:t xml:space="preserve">. </w:t>
      </w:r>
      <w:r w:rsidR="00442D87">
        <w:rPr>
          <w:rFonts w:cs="Times New Roman"/>
          <w:szCs w:val="24"/>
        </w:rPr>
        <w:t>Nicméně v</w:t>
      </w:r>
      <w:r w:rsidR="00B914D2">
        <w:rPr>
          <w:rFonts w:cs="Times New Roman"/>
          <w:szCs w:val="24"/>
        </w:rPr>
        <w:t xml:space="preserve"> § 1317 odst. 2</w:t>
      </w:r>
      <w:r w:rsidR="00D059F0">
        <w:rPr>
          <w:rFonts w:cs="Times New Roman"/>
          <w:szCs w:val="24"/>
        </w:rPr>
        <w:t xml:space="preserve"> OZ</w:t>
      </w:r>
      <w:r w:rsidR="004366B4">
        <w:rPr>
          <w:rFonts w:cs="Times New Roman"/>
          <w:szCs w:val="24"/>
        </w:rPr>
        <w:t>,</w:t>
      </w:r>
      <w:r w:rsidR="00E37969">
        <w:rPr>
          <w:rFonts w:cs="Times New Roman"/>
          <w:szCs w:val="24"/>
        </w:rPr>
        <w:t xml:space="preserve"> se nám</w:t>
      </w:r>
      <w:r w:rsidR="002E0431">
        <w:rPr>
          <w:rFonts w:cs="Times New Roman"/>
          <w:szCs w:val="24"/>
        </w:rPr>
        <w:t xml:space="preserve"> </w:t>
      </w:r>
      <w:r w:rsidR="00442D87">
        <w:rPr>
          <w:rFonts w:cs="Times New Roman"/>
          <w:szCs w:val="24"/>
        </w:rPr>
        <w:t xml:space="preserve">navíc </w:t>
      </w:r>
      <w:r w:rsidR="002E0431">
        <w:rPr>
          <w:rFonts w:cs="Times New Roman"/>
          <w:szCs w:val="24"/>
        </w:rPr>
        <w:t>objevuje možnost nahradit odevzdání movité věci u ruční zástavy</w:t>
      </w:r>
      <w:r w:rsidR="004366B4">
        <w:rPr>
          <w:rFonts w:cs="Times New Roman"/>
          <w:szCs w:val="24"/>
        </w:rPr>
        <w:t xml:space="preserve"> </w:t>
      </w:r>
      <w:r w:rsidR="002E0431">
        <w:rPr>
          <w:rFonts w:cs="Times New Roman"/>
          <w:szCs w:val="24"/>
        </w:rPr>
        <w:t xml:space="preserve">znamením, kterým se věc označí jako zastavená. </w:t>
      </w:r>
      <w:r w:rsidR="00442D87">
        <w:rPr>
          <w:rFonts w:cs="Times New Roman"/>
          <w:szCs w:val="24"/>
        </w:rPr>
        <w:t xml:space="preserve">Kdybychom dali tento odstavec do </w:t>
      </w:r>
      <w:r w:rsidR="00D059F0">
        <w:rPr>
          <w:rFonts w:cs="Times New Roman"/>
          <w:szCs w:val="24"/>
        </w:rPr>
        <w:t>kontextu</w:t>
      </w:r>
      <w:r w:rsidR="00442D87">
        <w:rPr>
          <w:rFonts w:cs="Times New Roman"/>
          <w:szCs w:val="24"/>
        </w:rPr>
        <w:t xml:space="preserve"> s tím, co psal Ulpianus</w:t>
      </w:r>
      <w:r w:rsidR="00D059F0">
        <w:rPr>
          <w:rFonts w:cs="Times New Roman"/>
          <w:szCs w:val="24"/>
        </w:rPr>
        <w:t>, vyšla by nám jistá podobnost</w:t>
      </w:r>
      <w:r w:rsidR="00B47993">
        <w:rPr>
          <w:rFonts w:cs="Times New Roman"/>
          <w:szCs w:val="24"/>
        </w:rPr>
        <w:t>.</w:t>
      </w:r>
      <w:r w:rsidR="00D059F0">
        <w:rPr>
          <w:rFonts w:cs="Times New Roman"/>
          <w:szCs w:val="24"/>
        </w:rPr>
        <w:t xml:space="preserve"> </w:t>
      </w:r>
      <w:r w:rsidR="00B47993">
        <w:rPr>
          <w:rFonts w:cs="Times New Roman"/>
          <w:szCs w:val="24"/>
        </w:rPr>
        <w:t>Tedy</w:t>
      </w:r>
      <w:r w:rsidR="00D059F0">
        <w:rPr>
          <w:rFonts w:cs="Times New Roman"/>
          <w:szCs w:val="24"/>
        </w:rPr>
        <w:t xml:space="preserve"> striktní podmínka, kterou jsme si pro vznik ruční zástavy popsali výše, by byla pokořena. Vyplývá </w:t>
      </w:r>
      <w:r w:rsidR="004D2593">
        <w:rPr>
          <w:rFonts w:cs="Times New Roman"/>
          <w:szCs w:val="24"/>
        </w:rPr>
        <w:t>nám z toho</w:t>
      </w:r>
      <w:r w:rsidR="00D059F0">
        <w:rPr>
          <w:rFonts w:cs="Times New Roman"/>
          <w:szCs w:val="24"/>
        </w:rPr>
        <w:t xml:space="preserve"> tedy to, že i tak jednoduše formulovaná věta o vzniku ruční zástavy, ktero</w:t>
      </w:r>
      <w:r w:rsidR="004D2593">
        <w:rPr>
          <w:rFonts w:cs="Times New Roman"/>
          <w:szCs w:val="24"/>
        </w:rPr>
        <w:t>u popsal</w:t>
      </w:r>
      <w:r w:rsidR="00D059F0">
        <w:rPr>
          <w:rFonts w:cs="Times New Roman"/>
          <w:szCs w:val="24"/>
        </w:rPr>
        <w:t xml:space="preserve"> Ulpianus, měla přesah až do právní úpravy současnosti a ve výsledku koresponduje.</w:t>
      </w:r>
      <w:r w:rsidR="004D2593">
        <w:rPr>
          <w:rFonts w:cs="Times New Roman"/>
          <w:szCs w:val="24"/>
        </w:rPr>
        <w:t xml:space="preserve"> Nutno však</w:t>
      </w:r>
      <w:r w:rsidR="005B1F7B">
        <w:rPr>
          <w:rFonts w:cs="Times New Roman"/>
          <w:szCs w:val="24"/>
        </w:rPr>
        <w:t xml:space="preserve"> ještě doplnit, že dalším obecným způsobem vzniku zástavního práva k movité věci, je zápisem </w:t>
      </w:r>
      <w:r w:rsidR="005B1F7B">
        <w:rPr>
          <w:rFonts w:cs="Times New Roman"/>
          <w:szCs w:val="24"/>
        </w:rPr>
        <w:lastRenderedPageBreak/>
        <w:t>do rejstříku zástav, který nám občanský zákoník upravuje v § 1319.</w:t>
      </w:r>
      <w:r w:rsidR="005B1F7B">
        <w:rPr>
          <w:rStyle w:val="Znakapoznpodarou"/>
          <w:rFonts w:cs="Times New Roman"/>
          <w:szCs w:val="24"/>
        </w:rPr>
        <w:footnoteReference w:id="141"/>
      </w:r>
      <w:r w:rsidR="00B47993">
        <w:rPr>
          <w:rFonts w:cs="Times New Roman"/>
          <w:szCs w:val="24"/>
        </w:rPr>
        <w:t xml:space="preserve"> </w:t>
      </w:r>
      <w:r w:rsidR="004D2593">
        <w:rPr>
          <w:rFonts w:cs="Times New Roman"/>
          <w:szCs w:val="24"/>
        </w:rPr>
        <w:t xml:space="preserve">Existují zde ještě zvláštní </w:t>
      </w:r>
      <w:r w:rsidR="005B1F7B">
        <w:rPr>
          <w:rFonts w:cs="Times New Roman"/>
          <w:szCs w:val="24"/>
        </w:rPr>
        <w:t>způsoby vzniku zástavního práva ke specifickým</w:t>
      </w:r>
      <w:r w:rsidR="00EB34FB">
        <w:rPr>
          <w:rFonts w:cs="Times New Roman"/>
          <w:szCs w:val="24"/>
        </w:rPr>
        <w:t xml:space="preserve"> </w:t>
      </w:r>
      <w:r w:rsidR="005B1F7B">
        <w:rPr>
          <w:rFonts w:cs="Times New Roman"/>
          <w:szCs w:val="24"/>
        </w:rPr>
        <w:t>movitým věcem</w:t>
      </w:r>
      <w:r w:rsidR="00EB34FB">
        <w:rPr>
          <w:rFonts w:cs="Times New Roman"/>
          <w:szCs w:val="24"/>
        </w:rPr>
        <w:t>,</w:t>
      </w:r>
      <w:r w:rsidR="005B1F7B">
        <w:rPr>
          <w:rFonts w:cs="Times New Roman"/>
          <w:szCs w:val="24"/>
        </w:rPr>
        <w:t xml:space="preserve"> jako například: podíl v korporaci, cenný papír,</w:t>
      </w:r>
      <w:r w:rsidR="00EB34FB">
        <w:rPr>
          <w:rFonts w:cs="Times New Roman"/>
          <w:szCs w:val="24"/>
        </w:rPr>
        <w:t xml:space="preserve"> zaknihovaný cenný papír, pohledávka</w:t>
      </w:r>
      <w:r w:rsidR="005B1F7B">
        <w:rPr>
          <w:rFonts w:cs="Times New Roman"/>
          <w:szCs w:val="24"/>
        </w:rPr>
        <w:t xml:space="preserve"> či podíl na sběrném dluhopisu,</w:t>
      </w:r>
      <w:r w:rsidR="00AD2AC9">
        <w:rPr>
          <w:rStyle w:val="Znakapoznpodarou"/>
          <w:rFonts w:cs="Times New Roman"/>
          <w:szCs w:val="24"/>
        </w:rPr>
        <w:footnoteReference w:id="142"/>
      </w:r>
      <w:r w:rsidR="005B1F7B">
        <w:rPr>
          <w:rFonts w:cs="Times New Roman"/>
          <w:szCs w:val="24"/>
        </w:rPr>
        <w:t xml:space="preserve"> </w:t>
      </w:r>
      <w:r w:rsidR="00EB34FB">
        <w:rPr>
          <w:rFonts w:cs="Times New Roman"/>
          <w:szCs w:val="24"/>
        </w:rPr>
        <w:t>nicméně to pro účel mé práce není až tak podstatné, tedy to podrobněji rozebírat nebudu.</w:t>
      </w:r>
    </w:p>
    <w:p w14:paraId="10E18F0C" w14:textId="77777777" w:rsidR="00F8469D" w:rsidRPr="004B5E84" w:rsidRDefault="00F8469D" w:rsidP="004B5E84">
      <w:pPr>
        <w:rPr>
          <w:rFonts w:cs="Times New Roman"/>
          <w:szCs w:val="24"/>
        </w:rPr>
      </w:pPr>
    </w:p>
    <w:p w14:paraId="2E960FE4" w14:textId="15F929E4" w:rsidR="006434B5" w:rsidRPr="006434B5" w:rsidRDefault="0082289B" w:rsidP="00872B9A">
      <w:pPr>
        <w:pStyle w:val="Nadpis3"/>
      </w:pPr>
      <w:bookmarkStart w:id="37" w:name="_Toc100354948"/>
      <w:r>
        <w:t xml:space="preserve">3.1.3 </w:t>
      </w:r>
      <w:r w:rsidR="006434B5" w:rsidRPr="006434B5">
        <w:t>Zřízení hypotéky</w:t>
      </w:r>
      <w:bookmarkEnd w:id="37"/>
    </w:p>
    <w:p w14:paraId="7FDDC451" w14:textId="77777777" w:rsidR="00262928" w:rsidRDefault="00B1423B" w:rsidP="007E02DC">
      <w:r>
        <w:t>Gaius v jedné knize o žalobě z</w:t>
      </w:r>
      <w:r w:rsidR="004649FD">
        <w:t> </w:t>
      </w:r>
      <w:r>
        <w:t>hypotéky</w:t>
      </w:r>
      <w:r w:rsidR="004649FD">
        <w:t xml:space="preserve">. </w:t>
      </w:r>
      <w:r w:rsidR="004649FD" w:rsidRPr="0099302D">
        <w:rPr>
          <w:i/>
          <w:iCs/>
        </w:rPr>
        <w:t>„Hypotéka se zřizuje dohodou, když se někdo dohodne, že svou věc, z důvodu zajištění nějakého dluhu</w:t>
      </w:r>
      <w:r w:rsidR="007E371A" w:rsidRPr="0099302D">
        <w:rPr>
          <w:i/>
          <w:iCs/>
        </w:rPr>
        <w:t>, zastaví jako hypotéku. Stejně jako je tomu také u ostatních závazků, které se uzavírají</w:t>
      </w:r>
      <w:r w:rsidR="00071853" w:rsidRPr="0099302D">
        <w:rPr>
          <w:i/>
          <w:iCs/>
        </w:rPr>
        <w:t xml:space="preserve"> pomocí sjednocení vůle stran, nezáleží na tom, jakými slovy to bude provedeno. A proto</w:t>
      </w:r>
      <w:r w:rsidR="00E853BC" w:rsidRPr="0099302D">
        <w:rPr>
          <w:i/>
          <w:iCs/>
        </w:rPr>
        <w:t xml:space="preserve"> jestliže se někdo dohodl, aniž by byla pořízena listina o zřízení hypotéky</w:t>
      </w:r>
      <w:r w:rsidR="00AB3C46" w:rsidRPr="0099302D">
        <w:rPr>
          <w:i/>
          <w:iCs/>
        </w:rPr>
        <w:t>, a je schopen to prokázat, věc, o jejímž zastavení se dohodli, je zastavená. Listiny o zástavách</w:t>
      </w:r>
      <w:r w:rsidR="005F1710" w:rsidRPr="0099302D">
        <w:rPr>
          <w:i/>
          <w:iCs/>
        </w:rPr>
        <w:t xml:space="preserve"> se totiž vyhotovují, aby bylo možné snadněji prokázat to</w:t>
      </w:r>
      <w:r w:rsidR="00E151C6" w:rsidRPr="0099302D">
        <w:rPr>
          <w:i/>
          <w:iCs/>
        </w:rPr>
        <w:t>, co bylo dohodnuto. I bez nich je však dohodnuté platné, pokud to je možné prokázat. Stejně tak je platné manželství, přestože nebylo nic zapsáno.“</w:t>
      </w:r>
      <w:r w:rsidR="005254E5">
        <w:rPr>
          <w:rStyle w:val="Znakapoznpodarou"/>
        </w:rPr>
        <w:footnoteReference w:id="143"/>
      </w:r>
      <w:r w:rsidR="001449EA">
        <w:t xml:space="preserve"> </w:t>
      </w:r>
    </w:p>
    <w:p w14:paraId="1A63A4EE" w14:textId="602D8687" w:rsidR="00FB4381" w:rsidRDefault="007B7F72" w:rsidP="005A5285">
      <w:pPr>
        <w:rPr>
          <w:i/>
          <w:iCs/>
        </w:rPr>
      </w:pPr>
      <w:r>
        <w:t xml:space="preserve">Jak </w:t>
      </w:r>
      <w:r w:rsidR="000D4673">
        <w:t>plyne z tohoto fragmentu</w:t>
      </w:r>
      <w:r w:rsidR="00D66031">
        <w:t>,</w:t>
      </w:r>
      <w:r w:rsidR="000D4673">
        <w:t xml:space="preserve"> a </w:t>
      </w:r>
      <w:r w:rsidR="004C3FDF">
        <w:t xml:space="preserve">jak </w:t>
      </w:r>
      <w:r>
        <w:t>jsme si již vymezili v teoretické části</w:t>
      </w:r>
      <w:r w:rsidR="004C3FDF">
        <w:t xml:space="preserve"> mé práce</w:t>
      </w:r>
      <w:r>
        <w:t xml:space="preserve">, </w:t>
      </w:r>
      <w:r w:rsidR="000D4673">
        <w:t>hypotéka na rozdíl od pignu není reálným kontraktem</w:t>
      </w:r>
      <w:r w:rsidR="009F6A10">
        <w:t xml:space="preserve"> a k jejímu vzniku postačí pouhá dohoda mezi </w:t>
      </w:r>
      <w:r w:rsidR="00293E86">
        <w:t>zástavním věřitelem a dlužníkem</w:t>
      </w:r>
      <w:r w:rsidR="004715F0">
        <w:t xml:space="preserve">. </w:t>
      </w:r>
      <w:r w:rsidR="00147003">
        <w:t xml:space="preserve">Z druhé věty tohoto fragmentu jasně plyne, že v dobách římského práva nebyla </w:t>
      </w:r>
      <w:r w:rsidR="00661ED4">
        <w:t xml:space="preserve">předepsána </w:t>
      </w:r>
      <w:r w:rsidR="000C5346">
        <w:t>žádná</w:t>
      </w:r>
      <w:r w:rsidR="00661ED4">
        <w:t xml:space="preserve"> specifická forma pro zřízení zástavního práva</w:t>
      </w:r>
      <w:r w:rsidR="005A02BE">
        <w:t>, a to ani v</w:t>
      </w:r>
      <w:r w:rsidR="00022480">
        <w:t> případě, kdy bylo zřízeno zástavní právo k nemovité věci</w:t>
      </w:r>
      <w:r w:rsidR="005B0364">
        <w:t>.</w:t>
      </w:r>
      <w:r w:rsidR="00B05207">
        <w:t xml:space="preserve"> </w:t>
      </w:r>
      <w:r w:rsidR="005B0364">
        <w:t>P</w:t>
      </w:r>
      <w:r w:rsidR="00B05207">
        <w:t xml:space="preserve">ostačovalo tedy, pokud </w:t>
      </w:r>
      <w:r w:rsidR="002D2556">
        <w:t>si</w:t>
      </w:r>
      <w:r w:rsidR="00B05207">
        <w:t xml:space="preserve"> strany </w:t>
      </w:r>
      <w:r w:rsidR="002D2556">
        <w:t>domluvil</w:t>
      </w:r>
      <w:r w:rsidR="005B0364">
        <w:t>y</w:t>
      </w:r>
      <w:r w:rsidR="002D2556">
        <w:t>, o jaký dluh se jedná a pak předmět zástavy, který jej bude zajišťovat.</w:t>
      </w:r>
      <w:r w:rsidR="00E216F9">
        <w:t xml:space="preserve"> </w:t>
      </w:r>
      <w:r w:rsidR="005B6169">
        <w:t>Dle současné právní úpravy t</w:t>
      </w:r>
      <w:r w:rsidR="00505F4A">
        <w:t xml:space="preserve">oto tvrzení o minimálních požadavcích </w:t>
      </w:r>
      <w:r w:rsidR="00FB12F5">
        <w:t xml:space="preserve">na zástavní smlouvu </w:t>
      </w:r>
      <w:r w:rsidR="00334752">
        <w:t>navíc</w:t>
      </w:r>
      <w:r w:rsidR="005B6169">
        <w:t xml:space="preserve"> </w:t>
      </w:r>
      <w:r w:rsidR="009A4B79">
        <w:t>podporuje</w:t>
      </w:r>
      <w:r w:rsidR="00422204">
        <w:t xml:space="preserve"> </w:t>
      </w:r>
      <w:r w:rsidR="00FB12F5">
        <w:t>rozhodnutí nejvyššího soudu</w:t>
      </w:r>
      <w:r w:rsidR="0052049B">
        <w:t>, které nám</w:t>
      </w:r>
      <w:r w:rsidR="009A4B79">
        <w:t xml:space="preserve"> ve svém rozsudku</w:t>
      </w:r>
      <w:r w:rsidR="0052049B">
        <w:t xml:space="preserve"> říká: </w:t>
      </w:r>
      <w:r w:rsidR="00FE57CA" w:rsidRPr="0099302D">
        <w:rPr>
          <w:i/>
          <w:iCs/>
        </w:rPr>
        <w:t>„</w:t>
      </w:r>
      <w:r w:rsidR="0052049B" w:rsidRPr="0099302D">
        <w:rPr>
          <w:i/>
          <w:iCs/>
        </w:rPr>
        <w:t>Požadavek identifikace zajištěné pohledávky ve smyslu </w:t>
      </w:r>
      <w:hyperlink r:id="rId15" w:history="1">
        <w:r w:rsidR="0052049B" w:rsidRPr="0099302D">
          <w:rPr>
            <w:i/>
            <w:iCs/>
          </w:rPr>
          <w:t>§ 151b</w:t>
        </w:r>
      </w:hyperlink>
      <w:r w:rsidR="0052049B" w:rsidRPr="0099302D">
        <w:rPr>
          <w:i/>
          <w:iCs/>
        </w:rPr>
        <w:t> odst. 4 obč. zák.</w:t>
      </w:r>
      <w:r w:rsidR="00FE57CA" w:rsidRPr="0099302D">
        <w:rPr>
          <w:i/>
          <w:iCs/>
        </w:rPr>
        <w:t xml:space="preserve"> (již zrušený)</w:t>
      </w:r>
      <w:r w:rsidR="0052049B" w:rsidRPr="0099302D">
        <w:rPr>
          <w:i/>
          <w:iCs/>
        </w:rPr>
        <w:t xml:space="preserve"> lze pak mít za splněný, je-li v zástavní smlouvě charakterizována zejména vymezením předmětu plnění, osoby věřitele a osobního dlužníka, případně právního důvodu, a to natolik nepochybně, aby bylo zjistitelné, jaká pohledávka je předmětem zajištění, a aby ji nebylo možno zaměnit s pohledávkou jinou.</w:t>
      </w:r>
      <w:r w:rsidR="00FE57CA" w:rsidRPr="0099302D">
        <w:rPr>
          <w:i/>
          <w:iCs/>
        </w:rPr>
        <w:t>“</w:t>
      </w:r>
      <w:r w:rsidR="001A16D8">
        <w:rPr>
          <w:rStyle w:val="Znakapoznpodarou"/>
        </w:rPr>
        <w:footnoteReference w:id="144"/>
      </w:r>
      <w:r w:rsidR="0052049B">
        <w:t xml:space="preserve"> </w:t>
      </w:r>
      <w:r w:rsidR="00D1624B">
        <w:t>Lze tedy spatřovat jistou paralelu</w:t>
      </w:r>
      <w:r w:rsidR="005A5285">
        <w:t xml:space="preserve"> úpravy římskoprávní s tou současnou</w:t>
      </w:r>
      <w:r w:rsidR="00D1624B">
        <w:t xml:space="preserve">.  </w:t>
      </w:r>
      <w:r w:rsidR="0091738B">
        <w:t xml:space="preserve">Pokud bychom </w:t>
      </w:r>
      <w:r w:rsidR="008F51A2">
        <w:t xml:space="preserve">dále v současné právní úpravě </w:t>
      </w:r>
      <w:r w:rsidR="0091738B">
        <w:t xml:space="preserve">hledali ustanovení, </w:t>
      </w:r>
      <w:r w:rsidR="00CA7994">
        <w:t xml:space="preserve">u kterého </w:t>
      </w:r>
      <w:r w:rsidR="006249D4">
        <w:t>lze</w:t>
      </w:r>
      <w:r w:rsidR="00CA7994">
        <w:t xml:space="preserve"> </w:t>
      </w:r>
      <w:r w:rsidR="00CA7994">
        <w:lastRenderedPageBreak/>
        <w:t>spatřovat jistou podobnost</w:t>
      </w:r>
      <w:r w:rsidR="002A108C">
        <w:t xml:space="preserve">, našli bychom </w:t>
      </w:r>
      <w:r w:rsidR="00F10B94">
        <w:t xml:space="preserve">§ </w:t>
      </w:r>
      <w:r w:rsidR="00084CB3">
        <w:t>1312 OZ, který nám</w:t>
      </w:r>
      <w:r w:rsidR="00240000">
        <w:t xml:space="preserve"> v</w:t>
      </w:r>
      <w:r w:rsidR="0099302D">
        <w:t>e</w:t>
      </w:r>
      <w:r w:rsidR="00240000">
        <w:t> </w:t>
      </w:r>
      <w:r w:rsidR="0099302D">
        <w:t xml:space="preserve">větě </w:t>
      </w:r>
      <w:r w:rsidR="00240000">
        <w:t xml:space="preserve">první </w:t>
      </w:r>
      <w:r w:rsidR="00084CB3">
        <w:t xml:space="preserve">říká, že: </w:t>
      </w:r>
      <w:r w:rsidR="00084CB3" w:rsidRPr="0099302D">
        <w:rPr>
          <w:i/>
          <w:iCs/>
        </w:rPr>
        <w:t>„</w:t>
      </w:r>
      <w:r w:rsidR="00DC064E" w:rsidRPr="0099302D">
        <w:rPr>
          <w:i/>
          <w:iCs/>
        </w:rPr>
        <w:t>Zástavní právo se zřizuje zástavní smlouvou. V ní strany ujednají, co je zástavou a pro jaký dluh je zástavní právo zřízeno</w:t>
      </w:r>
      <w:r w:rsidR="001804BC" w:rsidRPr="0099302D">
        <w:rPr>
          <w:i/>
          <w:iCs/>
        </w:rPr>
        <w:t>.</w:t>
      </w:r>
      <w:r w:rsidR="00DC064E" w:rsidRPr="0099302D">
        <w:rPr>
          <w:i/>
          <w:iCs/>
        </w:rPr>
        <w:t>“</w:t>
      </w:r>
      <w:r w:rsidR="001C3C4E">
        <w:rPr>
          <w:rStyle w:val="Znakapoznpodarou"/>
        </w:rPr>
        <w:footnoteReference w:id="145"/>
      </w:r>
      <w:r w:rsidR="001804BC">
        <w:t xml:space="preserve"> </w:t>
      </w:r>
      <w:r w:rsidR="006B27C1">
        <w:t xml:space="preserve">Lze tedy jasně vidět, že </w:t>
      </w:r>
      <w:r w:rsidR="0039394D">
        <w:t xml:space="preserve">srovnáme-li úpravu z dob </w:t>
      </w:r>
      <w:r w:rsidR="001C3C4E">
        <w:t>Justiniána a tu současnou, jsou v podstatě totožné.</w:t>
      </w:r>
      <w:r w:rsidR="00FD6C50">
        <w:t xml:space="preserve"> </w:t>
      </w:r>
      <w:r w:rsidR="00534D5C">
        <w:t>Stejně tak</w:t>
      </w:r>
      <w:r w:rsidR="00264C49">
        <w:t xml:space="preserve">, podíváme-li se do důvodové zprávy k občanskému zákoníku, zjistíme, že: </w:t>
      </w:r>
      <w:r w:rsidR="00CA20ED" w:rsidRPr="0099302D">
        <w:rPr>
          <w:i/>
          <w:iCs/>
        </w:rPr>
        <w:t>„</w:t>
      </w:r>
      <w:r w:rsidR="00140E10" w:rsidRPr="0099302D">
        <w:rPr>
          <w:i/>
          <w:iCs/>
        </w:rPr>
        <w:t>Z</w:t>
      </w:r>
      <w:r w:rsidR="00CA20ED" w:rsidRPr="0099302D">
        <w:rPr>
          <w:i/>
          <w:iCs/>
        </w:rPr>
        <w:t>řízení zástavního práva se děje zpravidla smlouvou. Písemná forma smlouvy není obecně vyžadována, protože v určitých případech postačí forma ústní, v jiných se naopak vyžaduje forma veřejné listiny.</w:t>
      </w:r>
      <w:r w:rsidR="008A51C4" w:rsidRPr="0099302D">
        <w:rPr>
          <w:i/>
          <w:iCs/>
        </w:rPr>
        <w:t>“</w:t>
      </w:r>
      <w:r w:rsidR="00FB2F26">
        <w:rPr>
          <w:rStyle w:val="Znakapoznpodarou"/>
          <w:i/>
          <w:iCs/>
        </w:rPr>
        <w:footnoteReference w:id="146"/>
      </w:r>
      <w:r w:rsidR="008A51C4">
        <w:t xml:space="preserve"> </w:t>
      </w:r>
      <w:r w:rsidR="00DD5902">
        <w:t xml:space="preserve">Co však </w:t>
      </w:r>
      <w:r w:rsidR="00AC7628">
        <w:t xml:space="preserve">v </w:t>
      </w:r>
      <w:r w:rsidR="00DD5902">
        <w:t>římskoprávní úpravě nenalezneme, je věta druhá § 1312</w:t>
      </w:r>
      <w:r w:rsidR="003F1B16">
        <w:t xml:space="preserve"> odst. 2</w:t>
      </w:r>
      <w:r w:rsidR="00DD5902">
        <w:t>, která nám říká</w:t>
      </w:r>
      <w:r w:rsidR="00107E15">
        <w:t xml:space="preserve">, že: </w:t>
      </w:r>
      <w:r w:rsidR="006622A6">
        <w:t>„</w:t>
      </w:r>
      <w:r w:rsidR="006622A6" w:rsidRPr="006622A6">
        <w:rPr>
          <w:i/>
          <w:iCs/>
        </w:rPr>
        <w:t>zajišťuje-li se dluh ještě nedospělý nebo více dluhů, postačí ujednat, do jaké nejvyšší výše jistiny se zajištění poskytuje.</w:t>
      </w:r>
      <w:r w:rsidR="006622A6">
        <w:rPr>
          <w:i/>
          <w:iCs/>
        </w:rPr>
        <w:t>“</w:t>
      </w:r>
      <w:r w:rsidR="00E702C3">
        <w:rPr>
          <w:rStyle w:val="Znakapoznpodarou"/>
          <w:i/>
          <w:iCs/>
        </w:rPr>
        <w:footnoteReference w:id="147"/>
      </w:r>
      <w:r w:rsidR="00873091">
        <w:t xml:space="preserve"> </w:t>
      </w:r>
      <w:r w:rsidR="007B5DFC">
        <w:t>Neexistoval tedy v římském právu požadavek na stanovení maximální výše jistiny</w:t>
      </w:r>
      <w:r w:rsidR="003F1B16">
        <w:t xml:space="preserve">. </w:t>
      </w:r>
      <w:r w:rsidR="001E1AB6">
        <w:t>Přečteme-li si</w:t>
      </w:r>
      <w:r w:rsidR="005E3669">
        <w:t xml:space="preserve"> však</w:t>
      </w:r>
      <w:r w:rsidR="001E1AB6">
        <w:t xml:space="preserve"> tuto druhou vět</w:t>
      </w:r>
      <w:r w:rsidR="00497193">
        <w:t>u ustanovení</w:t>
      </w:r>
      <w:r w:rsidR="003F1B16">
        <w:t xml:space="preserve"> 1312 odst. 2</w:t>
      </w:r>
      <w:r w:rsidR="00497193">
        <w:t>, není úplně na první pohled zřejmé, co tím chtěl zákonodárce říc</w:t>
      </w:r>
      <w:r w:rsidR="00EA4398">
        <w:t>i</w:t>
      </w:r>
      <w:r w:rsidR="00497193">
        <w:t xml:space="preserve">, </w:t>
      </w:r>
      <w:r w:rsidR="00EC1BEC">
        <w:t xml:space="preserve">přičemž v důvodové zprávě k OZ bližší výklad nenajdeme. </w:t>
      </w:r>
      <w:r w:rsidR="007E011B">
        <w:t xml:space="preserve">JUDr. Bezouška nám k tomuto </w:t>
      </w:r>
      <w:r w:rsidR="004C78F5">
        <w:t>v komentáři píše, že: „</w:t>
      </w:r>
      <w:r w:rsidR="004C78F5" w:rsidRPr="004C78F5">
        <w:rPr>
          <w:i/>
          <w:iCs/>
        </w:rPr>
        <w:t xml:space="preserve">Vezmeme-li jeho jazykové vyjádření od konce, kde se normuje o nejvyšší výši jistiny, do níž se zajištění poskytuje, lze soudit, že se tu reguluje tzv. maximální zástavní právo (německy Höchstbetragpfandrecht). Ze slov „postačí ujednat“ lze zase dovodit, že tímto způsobem zákonodárce zmírňuje požadavky na obsah zástavní smlouvy. Problematické však je, že to činí </w:t>
      </w:r>
      <w:r w:rsidR="009B7AA3">
        <w:rPr>
          <w:i/>
          <w:iCs/>
        </w:rPr>
        <w:t xml:space="preserve">(pouze) </w:t>
      </w:r>
      <w:r w:rsidR="004C78F5" w:rsidRPr="004C78F5">
        <w:rPr>
          <w:i/>
          <w:iCs/>
        </w:rPr>
        <w:t>pro případy a) nedospělé pohledávky, a b) více pohledávek; problematičnost tkví v tom, že to samo o sobě neodůvodňuje použití maximálního zástavního práva.</w:t>
      </w:r>
      <w:r w:rsidR="00D047CC">
        <w:t>“</w:t>
      </w:r>
      <w:r w:rsidR="00DE249A">
        <w:rPr>
          <w:rStyle w:val="Znakapoznpodarou"/>
          <w:i/>
          <w:iCs/>
        </w:rPr>
        <w:footnoteReference w:id="148"/>
      </w:r>
      <w:r w:rsidR="00AB1234">
        <w:t xml:space="preserve"> </w:t>
      </w:r>
      <w:r w:rsidR="00805844">
        <w:t xml:space="preserve">V souvislosti s tímto problémem nám </w:t>
      </w:r>
      <w:r w:rsidR="002E4C37">
        <w:t xml:space="preserve">tedy </w:t>
      </w:r>
      <w:r w:rsidR="00A26FC5">
        <w:t>vyvst</w:t>
      </w:r>
      <w:r w:rsidR="002E4C37">
        <w:t>ává otázka</w:t>
      </w:r>
      <w:r w:rsidR="008C5897">
        <w:t xml:space="preserve">, </w:t>
      </w:r>
      <w:r w:rsidR="002E4C37" w:rsidRPr="002E4C37">
        <w:t>jaké ujednání má být nahrazeno ujednáním nejvyšší výše jistiny, do níž se poskytuje zajištění.</w:t>
      </w:r>
      <w:r w:rsidR="008C5897">
        <w:t xml:space="preserve"> Přičemž nám na ni dává </w:t>
      </w:r>
      <w:r w:rsidR="00C83E9C">
        <w:t xml:space="preserve">opět </w:t>
      </w:r>
      <w:r w:rsidR="008C5897">
        <w:t xml:space="preserve">odpověď </w:t>
      </w:r>
      <w:r w:rsidR="00C83E9C">
        <w:t>JUDr. Bezouška, který tvrdí</w:t>
      </w:r>
      <w:r w:rsidR="00015CA4">
        <w:t>, že</w:t>
      </w:r>
      <w:r w:rsidR="00C83E9C">
        <w:t xml:space="preserve">: </w:t>
      </w:r>
      <w:r w:rsidR="009871B1" w:rsidRPr="00015CA4">
        <w:rPr>
          <w:i/>
          <w:iCs/>
        </w:rPr>
        <w:t>Odpověď je zřejmá – je jím ujednání o výši zajištěné pohledávky. Musím však připomenout, že takové ujednání není nezbytnou náležitostí všech zástavních smluv, ale je třeba pouze tam, kde je vyžaduje zvláštní právní předpis – například katastrální regulace nebo právní úprava rejstříku zástav</w:t>
      </w:r>
      <w:r w:rsidR="00015CA4" w:rsidRPr="00015CA4">
        <w:rPr>
          <w:i/>
          <w:iCs/>
        </w:rPr>
        <w:t>. Tudíž pouze v těchto případech je možné v zástavní smlouvě nahradit údaj o výši pohledávky údajem o rámcové zástavní odpovědnosti.</w:t>
      </w:r>
      <w:r w:rsidR="00135D40">
        <w:rPr>
          <w:rStyle w:val="Znakapoznpodarou"/>
          <w:i/>
          <w:iCs/>
        </w:rPr>
        <w:footnoteReference w:id="149"/>
      </w:r>
      <w:r w:rsidR="00015CA4" w:rsidRPr="00015CA4">
        <w:rPr>
          <w:i/>
          <w:iCs/>
        </w:rPr>
        <w:t xml:space="preserve"> </w:t>
      </w:r>
    </w:p>
    <w:p w14:paraId="20D7002B" w14:textId="6D76DAE9" w:rsidR="00DC064E" w:rsidRDefault="00B17635" w:rsidP="00B306A5">
      <w:r>
        <w:t xml:space="preserve">Nakonec z výše citovaného fragmentu plyne, že </w:t>
      </w:r>
      <w:r w:rsidR="002E40F0">
        <w:t xml:space="preserve">fakt, že není předepsána žádná forma pro zřízení hypotéky, nebrání tomu, </w:t>
      </w:r>
      <w:r w:rsidR="002F537A">
        <w:t xml:space="preserve">aby o tomto </w:t>
      </w:r>
      <w:r w:rsidR="0049694E">
        <w:t xml:space="preserve">byla </w:t>
      </w:r>
      <w:r w:rsidR="002F537A">
        <w:t>vyhotovena listina</w:t>
      </w:r>
      <w:r w:rsidR="000F302D">
        <w:t xml:space="preserve"> pro zajištění lepší důkazní pozice pro případ sporu.</w:t>
      </w:r>
      <w:r w:rsidR="00242EA8">
        <w:t xml:space="preserve"> </w:t>
      </w:r>
      <w:r w:rsidR="002E4099">
        <w:t xml:space="preserve">Neznamená to však, </w:t>
      </w:r>
      <w:r w:rsidR="00664BC1">
        <w:t xml:space="preserve">že </w:t>
      </w:r>
      <w:r w:rsidR="002E4099">
        <w:t xml:space="preserve">pokud není o zřízení hypotéky </w:t>
      </w:r>
      <w:r w:rsidR="00664BC1">
        <w:t xml:space="preserve">pořízená listina, </w:t>
      </w:r>
      <w:r w:rsidR="00664BC1">
        <w:lastRenderedPageBreak/>
        <w:t>nelze ji prokázat.</w:t>
      </w:r>
      <w:r w:rsidR="008416D2">
        <w:t xml:space="preserve"> Naopak lze, avšak </w:t>
      </w:r>
      <w:r w:rsidR="00295DC9">
        <w:t>nemusí to být vždy snadné.</w:t>
      </w:r>
      <w:r w:rsidR="0028445A">
        <w:t xml:space="preserve"> </w:t>
      </w:r>
      <w:r w:rsidR="002E3A77">
        <w:t xml:space="preserve">Dle současné právní úpravy je </w:t>
      </w:r>
      <w:r w:rsidR="00C510F3">
        <w:t xml:space="preserve">obligatorně </w:t>
      </w:r>
      <w:r w:rsidR="002E3A77">
        <w:t>stanovena písemná forma</w:t>
      </w:r>
      <w:r w:rsidR="00784B36">
        <w:t xml:space="preserve"> dle § 1314 OZ</w:t>
      </w:r>
      <w:r w:rsidR="00784B36">
        <w:rPr>
          <w:rStyle w:val="Znakapoznpodarou"/>
        </w:rPr>
        <w:footnoteReference w:id="150"/>
      </w:r>
      <w:r w:rsidR="002E3A77">
        <w:t xml:space="preserve"> pouze v</w:t>
      </w:r>
      <w:r w:rsidR="004F36F4">
        <w:t> </w:t>
      </w:r>
      <w:r w:rsidR="002E3A77">
        <w:t>případě</w:t>
      </w:r>
      <w:r w:rsidR="004F36F4">
        <w:t xml:space="preserve">, že </w:t>
      </w:r>
      <w:r w:rsidR="003F1AFB">
        <w:t xml:space="preserve">není </w:t>
      </w:r>
      <w:r w:rsidR="004F36F4">
        <w:t xml:space="preserve">věc jako zástava odevzdána zástavnímu věřiteli, či osobě </w:t>
      </w:r>
      <w:r w:rsidR="008F186A">
        <w:t>třetí</w:t>
      </w:r>
      <w:r w:rsidR="003F1AFB">
        <w:t>, která by věc pro zástavního věřitele opatrovala.</w:t>
      </w:r>
      <w:r w:rsidR="00784B36">
        <w:t xml:space="preserve"> </w:t>
      </w:r>
      <w:r w:rsidR="006F3694">
        <w:t xml:space="preserve">JUDr. Bezouška k tomuto dále píše, že: </w:t>
      </w:r>
      <w:r w:rsidR="006F3694" w:rsidRPr="006F3694">
        <w:rPr>
          <w:i/>
          <w:iCs/>
        </w:rPr>
        <w:t>„P</w:t>
      </w:r>
      <w:r w:rsidR="00690843" w:rsidRPr="006F3694">
        <w:rPr>
          <w:i/>
          <w:iCs/>
        </w:rPr>
        <w:t>ro zástavního věřitele má takové řešení též výhodu, neboť písemná forma plní důkazní funkci – má důkaz o uzavření zástavní smlouvy, a může tak lépe vymoci na zástavci splnění jeho povinnosti odevzdat věc, vzniká-li zástavní právo právě tímto způsobem.</w:t>
      </w:r>
      <w:r w:rsidR="006F3694">
        <w:rPr>
          <w:i/>
          <w:iCs/>
        </w:rPr>
        <w:t>“</w:t>
      </w:r>
      <w:r w:rsidR="00CB11EE">
        <w:rPr>
          <w:rStyle w:val="Znakapoznpodarou"/>
          <w:i/>
          <w:iCs/>
        </w:rPr>
        <w:footnoteReference w:id="151"/>
      </w:r>
      <w:r w:rsidR="00CC59FC">
        <w:t xml:space="preserve"> Speciální forma notářského zápisu</w:t>
      </w:r>
      <w:r w:rsidR="00DE7A1F">
        <w:t>, který jsme si definovali výše,</w:t>
      </w:r>
      <w:r w:rsidR="00CC59FC">
        <w:t xml:space="preserve"> je pak stanovena</w:t>
      </w:r>
      <w:r w:rsidR="006E3283">
        <w:t xml:space="preserve"> </w:t>
      </w:r>
      <w:r w:rsidR="00695668">
        <w:t>dle</w:t>
      </w:r>
      <w:r w:rsidR="00ED3245">
        <w:t xml:space="preserve"> § 1314 OZ</w:t>
      </w:r>
      <w:r w:rsidR="00CC59FC">
        <w:t xml:space="preserve"> </w:t>
      </w:r>
      <w:r w:rsidR="00695668">
        <w:t>ve třech případech, a to:</w:t>
      </w:r>
      <w:r w:rsidR="00863A4B">
        <w:t xml:space="preserve"> </w:t>
      </w:r>
      <w:r w:rsidR="00863A4B" w:rsidRPr="0062391A">
        <w:rPr>
          <w:i/>
          <w:iCs/>
        </w:rPr>
        <w:t>„</w:t>
      </w:r>
      <w:r w:rsidR="00863A4B" w:rsidRPr="0062391A">
        <w:rPr>
          <w:b/>
          <w:bCs/>
          <w:i/>
          <w:iCs/>
        </w:rPr>
        <w:t>a)</w:t>
      </w:r>
      <w:r w:rsidR="006E3283" w:rsidRPr="0062391A">
        <w:rPr>
          <w:i/>
          <w:iCs/>
        </w:rPr>
        <w:t xml:space="preserve"> je-li </w:t>
      </w:r>
      <w:r w:rsidR="00814660" w:rsidRPr="0062391A">
        <w:rPr>
          <w:i/>
          <w:iCs/>
        </w:rPr>
        <w:t>zástavou závod,</w:t>
      </w:r>
      <w:r w:rsidR="00863A4B" w:rsidRPr="0062391A">
        <w:rPr>
          <w:i/>
          <w:iCs/>
        </w:rPr>
        <w:t xml:space="preserve"> či jiná věc </w:t>
      </w:r>
      <w:r w:rsidR="00814660" w:rsidRPr="0062391A">
        <w:rPr>
          <w:i/>
          <w:iCs/>
        </w:rPr>
        <w:t>hromadná,</w:t>
      </w:r>
      <w:r w:rsidR="006306FB" w:rsidRPr="0062391A">
        <w:rPr>
          <w:i/>
          <w:iCs/>
        </w:rPr>
        <w:t xml:space="preserve"> </w:t>
      </w:r>
      <w:r w:rsidR="006306FB" w:rsidRPr="0062391A">
        <w:rPr>
          <w:b/>
          <w:bCs/>
          <w:i/>
          <w:iCs/>
        </w:rPr>
        <w:t>b)</w:t>
      </w:r>
      <w:r w:rsidR="006306FB" w:rsidRPr="0062391A">
        <w:rPr>
          <w:i/>
          <w:iCs/>
        </w:rPr>
        <w:t xml:space="preserve"> je-li zástavou nemovitá věc, která nepodléhá zápisu do veřejného seznamu</w:t>
      </w:r>
      <w:r w:rsidR="00E85527" w:rsidRPr="0062391A">
        <w:rPr>
          <w:i/>
          <w:iCs/>
        </w:rPr>
        <w:t>, nebo</w:t>
      </w:r>
      <w:r w:rsidR="00FA0ED0" w:rsidRPr="0062391A">
        <w:rPr>
          <w:i/>
          <w:iCs/>
        </w:rPr>
        <w:t xml:space="preserve"> </w:t>
      </w:r>
      <w:r w:rsidR="00FA0ED0" w:rsidRPr="0062391A">
        <w:rPr>
          <w:b/>
          <w:bCs/>
          <w:i/>
          <w:iCs/>
        </w:rPr>
        <w:t>c)</w:t>
      </w:r>
      <w:r w:rsidR="00FA0ED0" w:rsidRPr="0062391A">
        <w:rPr>
          <w:i/>
          <w:iCs/>
        </w:rPr>
        <w:t xml:space="preserve"> má-li zástavní právo k movité věci vzniknout </w:t>
      </w:r>
      <w:r w:rsidR="007C6F0F" w:rsidRPr="0062391A">
        <w:rPr>
          <w:i/>
          <w:iCs/>
        </w:rPr>
        <w:t>zápisem do rejstříku zástav.“</w:t>
      </w:r>
      <w:r w:rsidR="007C6F0F">
        <w:rPr>
          <w:rStyle w:val="Znakapoznpodarou"/>
        </w:rPr>
        <w:footnoteReference w:id="152"/>
      </w:r>
      <w:r w:rsidR="004D2593">
        <w:t xml:space="preserve"> Toto</w:t>
      </w:r>
      <w:r w:rsidR="007C6F0F">
        <w:t xml:space="preserve"> ustanovení je </w:t>
      </w:r>
      <w:r w:rsidR="004D2593">
        <w:t xml:space="preserve">však </w:t>
      </w:r>
      <w:r w:rsidR="007C6F0F">
        <w:t>nutno dát do souvislosti s</w:t>
      </w:r>
      <w:r w:rsidR="00B017D7">
        <w:t xml:space="preserve"> ustanovením</w:t>
      </w:r>
      <w:r w:rsidR="007C6F0F">
        <w:t xml:space="preserve"> §</w:t>
      </w:r>
      <w:r w:rsidR="00B017D7">
        <w:t xml:space="preserve"> 1319 odst. 2 OZ, kter</w:t>
      </w:r>
      <w:r w:rsidR="0062391A">
        <w:t>é</w:t>
      </w:r>
      <w:r w:rsidR="005C423E">
        <w:t xml:space="preserve"> stanoví, že</w:t>
      </w:r>
      <w:r w:rsidR="00EA5B59">
        <w:t>:</w:t>
      </w:r>
      <w:r w:rsidR="004D2593">
        <w:t xml:space="preserve"> </w:t>
      </w:r>
      <w:r w:rsidR="001D56B2" w:rsidRPr="0062391A">
        <w:rPr>
          <w:i/>
          <w:iCs/>
        </w:rPr>
        <w:t>„Zástavní právo k nemovité věci nezapisované do veřejného seznam</w:t>
      </w:r>
      <w:r w:rsidR="00AC7628" w:rsidRPr="0062391A">
        <w:rPr>
          <w:i/>
          <w:iCs/>
        </w:rPr>
        <w:t>u</w:t>
      </w:r>
      <w:r w:rsidR="001D56B2" w:rsidRPr="0062391A">
        <w:rPr>
          <w:i/>
          <w:iCs/>
        </w:rPr>
        <w:t>, k závodu a movité věci hromadné vznikne zápisem do rejstříku zástav</w:t>
      </w:r>
      <w:r w:rsidR="00CE0AAA" w:rsidRPr="0062391A">
        <w:rPr>
          <w:i/>
          <w:iCs/>
        </w:rPr>
        <w:t>.</w:t>
      </w:r>
      <w:r w:rsidR="00F46A6C" w:rsidRPr="0062391A">
        <w:rPr>
          <w:i/>
          <w:iCs/>
        </w:rPr>
        <w:t>“</w:t>
      </w:r>
      <w:r w:rsidR="00CE0AAA">
        <w:rPr>
          <w:rStyle w:val="Znakapoznpodarou"/>
        </w:rPr>
        <w:footnoteReference w:id="153"/>
      </w:r>
      <w:r w:rsidR="00EC117B">
        <w:t xml:space="preserve"> </w:t>
      </w:r>
      <w:r w:rsidR="0001048E">
        <w:t xml:space="preserve">Ten je vedený notářskou komorou ČR a </w:t>
      </w:r>
      <w:r w:rsidR="009A4CED">
        <w:t>pomineme-li výše zmíněné obligatorní zápisy</w:t>
      </w:r>
      <w:r w:rsidR="00891D11">
        <w:t>, které jsou dle mého úsudku dány veřejným zájmem</w:t>
      </w:r>
      <w:r w:rsidR="00E6250F">
        <w:t xml:space="preserve">, lze si díky zápisu do rejstříku zástav zajistit lepší </w:t>
      </w:r>
      <w:r w:rsidR="00F56E57">
        <w:t>důkazní pozici pro případ, že nastane mezi stranami obligace spor.</w:t>
      </w:r>
      <w:r w:rsidR="00F4572A">
        <w:t xml:space="preserve"> </w:t>
      </w:r>
      <w:r w:rsidR="00280712">
        <w:t xml:space="preserve">Pokud bych </w:t>
      </w:r>
      <w:r w:rsidR="007F7760">
        <w:t xml:space="preserve">měl </w:t>
      </w:r>
      <w:r w:rsidR="00280712">
        <w:t>z výše uvedeného vyvodit závěr, lze jasně vidět</w:t>
      </w:r>
      <w:r w:rsidR="002F0DFF">
        <w:t xml:space="preserve">, že se </w:t>
      </w:r>
      <w:r w:rsidR="007F7760">
        <w:t xml:space="preserve">úprava formy pro vznik </w:t>
      </w:r>
      <w:r w:rsidR="002F0DFF">
        <w:t>zástavní</w:t>
      </w:r>
      <w:r w:rsidR="007F7760">
        <w:t>ho</w:t>
      </w:r>
      <w:r w:rsidR="002F0DFF">
        <w:t xml:space="preserve"> práv</w:t>
      </w:r>
      <w:r w:rsidR="002749E0">
        <w:t>a</w:t>
      </w:r>
      <w:r w:rsidR="00280712">
        <w:t xml:space="preserve"> </w:t>
      </w:r>
      <w:r w:rsidR="007F7760">
        <w:t>značně po</w:t>
      </w:r>
      <w:r w:rsidR="00990FB1">
        <w:t>sunula dopředu</w:t>
      </w:r>
      <w:r w:rsidR="00124C40">
        <w:t>.</w:t>
      </w:r>
      <w:r w:rsidR="00990FB1">
        <w:t xml:space="preserve"> </w:t>
      </w:r>
      <w:r w:rsidR="00124C40">
        <w:t>Z</w:t>
      </w:r>
      <w:r w:rsidR="00990FB1">
        <w:t xml:space="preserve">ejména </w:t>
      </w:r>
      <w:r w:rsidR="00124C40">
        <w:t xml:space="preserve">pak </w:t>
      </w:r>
      <w:r w:rsidR="00990FB1">
        <w:t xml:space="preserve">ve smyslu </w:t>
      </w:r>
      <w:r w:rsidR="00DE625C">
        <w:t xml:space="preserve">zajištění lepší </w:t>
      </w:r>
      <w:r w:rsidR="00990FB1">
        <w:t xml:space="preserve">důkazní </w:t>
      </w:r>
      <w:r w:rsidR="00DE625C">
        <w:t xml:space="preserve">pozice zástavního věřitele </w:t>
      </w:r>
      <w:r w:rsidR="00B45351">
        <w:t>pro případ</w:t>
      </w:r>
      <w:r w:rsidR="009E09A0">
        <w:t>, že by se dlužník dostal do prodlení s plněním dluhu a nebyl s</w:t>
      </w:r>
      <w:r w:rsidR="003E52D5">
        <w:t xml:space="preserve"> </w:t>
      </w:r>
      <w:r w:rsidR="009E09A0">
        <w:t xml:space="preserve">to </w:t>
      </w:r>
      <w:r w:rsidR="00A952DC">
        <w:t>zástavu vydat k realizac</w:t>
      </w:r>
      <w:r w:rsidR="00F700A7">
        <w:t>i</w:t>
      </w:r>
      <w:r w:rsidR="00A952DC">
        <w:t xml:space="preserve"> zástavního práva</w:t>
      </w:r>
      <w:r w:rsidR="00F700A7">
        <w:t>.</w:t>
      </w:r>
    </w:p>
    <w:p w14:paraId="3CEF2720" w14:textId="77777777" w:rsidR="00761DB9" w:rsidRDefault="00761DB9" w:rsidP="00761DB9">
      <w:pPr>
        <w:ind w:firstLine="0"/>
      </w:pPr>
    </w:p>
    <w:p w14:paraId="591993ED" w14:textId="32CD94A5" w:rsidR="0000049B" w:rsidRDefault="0082289B" w:rsidP="00621B1B">
      <w:pPr>
        <w:pStyle w:val="Nadpis3"/>
      </w:pPr>
      <w:bookmarkStart w:id="38" w:name="_Toc100354949"/>
      <w:r>
        <w:t xml:space="preserve">3.1.4 </w:t>
      </w:r>
      <w:r w:rsidR="0000049B" w:rsidRPr="00761DB9">
        <w:t>Dohoda o prodeji zástavy a podmínka upozornění</w:t>
      </w:r>
      <w:bookmarkEnd w:id="38"/>
    </w:p>
    <w:p w14:paraId="18CEA694" w14:textId="77777777" w:rsidR="00F46F88" w:rsidRDefault="00EB46F6" w:rsidP="005A5285">
      <w:r>
        <w:t>ULPIANUS ve 41. knize K</w:t>
      </w:r>
      <w:r w:rsidR="001B1A68">
        <w:t> </w:t>
      </w:r>
      <w:r>
        <w:t>Sabinovi</w:t>
      </w:r>
      <w:r w:rsidR="001B1A68">
        <w:t xml:space="preserve"> píše: </w:t>
      </w:r>
      <w:r w:rsidR="001B1A68" w:rsidRPr="006615ED">
        <w:rPr>
          <w:i/>
          <w:iCs/>
        </w:rPr>
        <w:t>„Jestliže byla uzavřena</w:t>
      </w:r>
      <w:r w:rsidR="00910957" w:rsidRPr="006615ED">
        <w:rPr>
          <w:i/>
          <w:iCs/>
        </w:rPr>
        <w:t xml:space="preserve"> dohoda</w:t>
      </w:r>
      <w:r w:rsidR="00F87026" w:rsidRPr="006615ED">
        <w:rPr>
          <w:i/>
          <w:iCs/>
        </w:rPr>
        <w:t xml:space="preserve"> o prodeji zástavy</w:t>
      </w:r>
      <w:r w:rsidR="0023153A" w:rsidRPr="006615ED">
        <w:rPr>
          <w:i/>
          <w:iCs/>
        </w:rPr>
        <w:t>, a to buď na začátku, neb</w:t>
      </w:r>
      <w:r w:rsidR="00FA0020">
        <w:rPr>
          <w:i/>
          <w:iCs/>
        </w:rPr>
        <w:t>o</w:t>
      </w:r>
      <w:r w:rsidR="0023153A" w:rsidRPr="006615ED">
        <w:rPr>
          <w:i/>
          <w:iCs/>
        </w:rPr>
        <w:t xml:space="preserve"> posléze, pak je prodej nejen platný, ale kupec se dokonce stane vlastníkem věci. Přestože dohoda o prodeji ruční zástavy uzavřena neby</w:t>
      </w:r>
      <w:r w:rsidR="00376202" w:rsidRPr="006615ED">
        <w:rPr>
          <w:i/>
          <w:iCs/>
        </w:rPr>
        <w:t>la</w:t>
      </w:r>
      <w:r w:rsidR="00FA4F91" w:rsidRPr="006615ED">
        <w:rPr>
          <w:i/>
          <w:iCs/>
        </w:rPr>
        <w:t>, i tehdy</w:t>
      </w:r>
      <w:r w:rsidR="00FE097C" w:rsidRPr="006615ED">
        <w:rPr>
          <w:i/>
          <w:iCs/>
        </w:rPr>
        <w:t xml:space="preserve"> užíváme pravidlo</w:t>
      </w:r>
      <w:r w:rsidR="006E7078" w:rsidRPr="006615ED">
        <w:rPr>
          <w:i/>
          <w:iCs/>
        </w:rPr>
        <w:t>, že je možné prodat</w:t>
      </w:r>
      <w:r w:rsidR="00890AAF" w:rsidRPr="006615ED">
        <w:rPr>
          <w:i/>
          <w:iCs/>
        </w:rPr>
        <w:t xml:space="preserve">, jestliže </w:t>
      </w:r>
      <w:r w:rsidR="007C5749" w:rsidRPr="006615ED">
        <w:rPr>
          <w:i/>
          <w:iCs/>
        </w:rPr>
        <w:t xml:space="preserve">nebylo dohodnuto, že se </w:t>
      </w:r>
      <w:r w:rsidR="00A468A2" w:rsidRPr="006615ED">
        <w:rPr>
          <w:i/>
          <w:iCs/>
        </w:rPr>
        <w:t>nesmí</w:t>
      </w:r>
      <w:r w:rsidR="001C53AA" w:rsidRPr="006615ED">
        <w:rPr>
          <w:i/>
          <w:iCs/>
        </w:rPr>
        <w:t>. Pokud bylo skutečně dohodn</w:t>
      </w:r>
      <w:r w:rsidR="006615ED" w:rsidRPr="006615ED">
        <w:rPr>
          <w:i/>
          <w:iCs/>
        </w:rPr>
        <w:t>u</w:t>
      </w:r>
      <w:r w:rsidR="001C53AA" w:rsidRPr="006615ED">
        <w:rPr>
          <w:i/>
          <w:iCs/>
        </w:rPr>
        <w:t>to, že nesmí být prodána</w:t>
      </w:r>
      <w:r w:rsidR="00E91EF9" w:rsidRPr="006615ED">
        <w:rPr>
          <w:i/>
          <w:iCs/>
        </w:rPr>
        <w:t>, tehdy je věřitel, jestliže prodal, odpovědný z</w:t>
      </w:r>
      <w:r w:rsidR="000F5868" w:rsidRPr="006615ED">
        <w:rPr>
          <w:i/>
          <w:iCs/>
        </w:rPr>
        <w:t> </w:t>
      </w:r>
      <w:r w:rsidR="00E91EF9" w:rsidRPr="006615ED">
        <w:rPr>
          <w:i/>
          <w:iCs/>
        </w:rPr>
        <w:t>krádeže</w:t>
      </w:r>
      <w:r w:rsidR="000F5868" w:rsidRPr="006615ED">
        <w:rPr>
          <w:i/>
          <w:iCs/>
        </w:rPr>
        <w:t>, ledaže by třikrát dlužníka vyzva</w:t>
      </w:r>
      <w:r w:rsidR="0062436E" w:rsidRPr="006615ED">
        <w:rPr>
          <w:i/>
          <w:iCs/>
        </w:rPr>
        <w:t>l</w:t>
      </w:r>
      <w:r w:rsidR="004F28F7" w:rsidRPr="006615ED">
        <w:rPr>
          <w:i/>
          <w:iCs/>
        </w:rPr>
        <w:t>, aby splnil, a ten tak neučinil:“</w:t>
      </w:r>
      <w:r w:rsidR="004D6686">
        <w:rPr>
          <w:rStyle w:val="Znakapoznpodarou"/>
          <w:i/>
          <w:iCs/>
        </w:rPr>
        <w:footnoteReference w:id="154"/>
      </w:r>
      <w:r w:rsidR="00B1725B">
        <w:t xml:space="preserve"> Jak jsme si již vymezili v teoretické části výše, </w:t>
      </w:r>
      <w:r w:rsidR="00ED2B00">
        <w:t xml:space="preserve">původně bylo zapotřebí, </w:t>
      </w:r>
      <w:r w:rsidR="008E2CEE">
        <w:t xml:space="preserve">aby byla vedle </w:t>
      </w:r>
      <w:r w:rsidR="008D01B5">
        <w:t xml:space="preserve">zástavní smlouvy </w:t>
      </w:r>
      <w:r w:rsidR="008D01B5">
        <w:lastRenderedPageBreak/>
        <w:t xml:space="preserve">zřízena navíc ještě dohoda o </w:t>
      </w:r>
      <w:r w:rsidR="00267176">
        <w:t xml:space="preserve">případném </w:t>
      </w:r>
      <w:r w:rsidR="008D01B5">
        <w:t>prodeji</w:t>
      </w:r>
      <w:r w:rsidR="00267176">
        <w:t xml:space="preserve"> </w:t>
      </w:r>
      <w:r w:rsidR="00ED02A9">
        <w:t>věc</w:t>
      </w:r>
      <w:r w:rsidR="00F660CA">
        <w:t xml:space="preserve">i, která byla předmětem </w:t>
      </w:r>
      <w:r w:rsidR="00AD39F7">
        <w:t>zástavního práva.</w:t>
      </w:r>
      <w:r w:rsidR="00F660CA">
        <w:t xml:space="preserve"> </w:t>
      </w:r>
      <w:r w:rsidR="00A75505">
        <w:t xml:space="preserve">Tato dohoda se </w:t>
      </w:r>
      <w:r w:rsidR="00B800D3">
        <w:t xml:space="preserve">pak </w:t>
      </w:r>
      <w:r w:rsidR="00FB62AD">
        <w:t>díky četnosti</w:t>
      </w:r>
      <w:r w:rsidR="00A907FA">
        <w:t xml:space="preserve"> jejího</w:t>
      </w:r>
      <w:r w:rsidR="00FB62AD">
        <w:t xml:space="preserve"> užívání </w:t>
      </w:r>
      <w:r w:rsidR="00A75505">
        <w:t xml:space="preserve">stala </w:t>
      </w:r>
      <w:r w:rsidR="0074680F">
        <w:t>tak praktickou</w:t>
      </w:r>
      <w:r w:rsidR="00B800D3">
        <w:t xml:space="preserve">, že </w:t>
      </w:r>
      <w:r w:rsidR="00C47198">
        <w:t xml:space="preserve">se již mlčky předpokládala a nebylo </w:t>
      </w:r>
      <w:r w:rsidR="0079675C">
        <w:t xml:space="preserve">tak </w:t>
      </w:r>
      <w:r w:rsidR="00C47198">
        <w:t xml:space="preserve">nutné </w:t>
      </w:r>
      <w:r w:rsidR="0079675C">
        <w:t>ji zvláštně ujednávat</w:t>
      </w:r>
      <w:r w:rsidR="00E828DC">
        <w:t xml:space="preserve"> (viz. pozn.</w:t>
      </w:r>
      <w:r w:rsidR="00E828DC">
        <w:rPr>
          <w:vertAlign w:val="superscript"/>
        </w:rPr>
        <w:t>80</w:t>
      </w:r>
      <w:r w:rsidR="00A74150">
        <w:t>)</w:t>
      </w:r>
      <w:r w:rsidR="00A907FA">
        <w:t>.</w:t>
      </w:r>
      <w:r w:rsidR="00E85434">
        <w:t xml:space="preserve"> </w:t>
      </w:r>
      <w:r w:rsidR="00D05AD4">
        <w:t>Dále z</w:t>
      </w:r>
      <w:r w:rsidR="004F7D39">
        <w:t xml:space="preserve"> výše zmíněného fragmentu plyne, že </w:t>
      </w:r>
      <w:r w:rsidR="00C507B6">
        <w:t>věřitel smí prodat</w:t>
      </w:r>
      <w:r w:rsidR="004540D5">
        <w:t xml:space="preserve"> zástavu</w:t>
      </w:r>
      <w:r w:rsidR="000F680C">
        <w:t>,</w:t>
      </w:r>
      <w:r w:rsidR="004540D5">
        <w:t xml:space="preserve"> </w:t>
      </w:r>
      <w:r w:rsidR="00D12B02">
        <w:t xml:space="preserve">pokud není ujednáno, že tak </w:t>
      </w:r>
      <w:r w:rsidR="000728B4">
        <w:t xml:space="preserve">při dlužníkově prodlení </w:t>
      </w:r>
      <w:r w:rsidR="00E534F3">
        <w:t xml:space="preserve">učinit </w:t>
      </w:r>
      <w:r w:rsidR="000728B4">
        <w:t>nesmí</w:t>
      </w:r>
      <w:r w:rsidR="000F680C">
        <w:t xml:space="preserve">. Avšak i tehdy </w:t>
      </w:r>
      <w:r w:rsidR="00722B61">
        <w:t xml:space="preserve">ji </w:t>
      </w:r>
      <w:r w:rsidR="00737F54">
        <w:t xml:space="preserve">bylo možné prodat, nicméně pouze za předpokladu, že došlo </w:t>
      </w:r>
      <w:r w:rsidR="000B1F53">
        <w:t xml:space="preserve">k </w:t>
      </w:r>
      <w:r w:rsidR="00D42E7C">
        <w:t>trojí</w:t>
      </w:r>
      <w:r w:rsidR="00737F54">
        <w:t xml:space="preserve"> </w:t>
      </w:r>
      <w:r w:rsidR="00D42E7C">
        <w:t xml:space="preserve">pohrůžce </w:t>
      </w:r>
      <w:r w:rsidR="002D2B11">
        <w:t>takovýmto prodejem.</w:t>
      </w:r>
      <w:r w:rsidR="001D0DCD">
        <w:t xml:space="preserve"> Nutno však dodat, že od oznámení o prodeji, či poslední (maximálně třetí)</w:t>
      </w:r>
      <w:r w:rsidR="007E0D3D">
        <w:t xml:space="preserve"> po</w:t>
      </w:r>
      <w:r w:rsidR="00D63286">
        <w:t>hrůžce musely uplynout alespoň</w:t>
      </w:r>
      <w:r w:rsidR="00995C61">
        <w:t xml:space="preserve"> </w:t>
      </w:r>
      <w:r w:rsidR="00D63286">
        <w:t>dva roky</w:t>
      </w:r>
      <w:r w:rsidR="00450365">
        <w:t xml:space="preserve">, aby </w:t>
      </w:r>
      <w:r w:rsidR="00FE0BCD">
        <w:t>zástavní věřitel mohl zástavu s konečnou platností prodat</w:t>
      </w:r>
      <w:r w:rsidR="007A5A29">
        <w:t>.</w:t>
      </w:r>
      <w:r w:rsidR="00E534F3">
        <w:t xml:space="preserve"> </w:t>
      </w:r>
    </w:p>
    <w:p w14:paraId="18C12961" w14:textId="77777777" w:rsidR="002D35B7" w:rsidRDefault="00466638" w:rsidP="00783DAA">
      <w:r>
        <w:t xml:space="preserve">Současná právní úprava </w:t>
      </w:r>
      <w:r w:rsidR="007F0CBB">
        <w:t xml:space="preserve">nám požadavek na uzavření dohody o </w:t>
      </w:r>
      <w:r w:rsidR="00B532C7">
        <w:t xml:space="preserve">zástavním prodeji obligatorně nestanovuje, tedy následná praxe </w:t>
      </w:r>
      <w:r w:rsidR="00CE6373">
        <w:t>z justiniánské doby přetrvala dodnes</w:t>
      </w:r>
      <w:r w:rsidR="00A3528E">
        <w:t xml:space="preserve"> a takováto úmluva se </w:t>
      </w:r>
      <w:r w:rsidR="00D83F1D">
        <w:t>bere za samozřejmou, tedy konkludentně uzavřenou.</w:t>
      </w:r>
      <w:r w:rsidR="00FD05E3">
        <w:t xml:space="preserve"> </w:t>
      </w:r>
      <w:r w:rsidR="003D6406">
        <w:t>Dle důvodové zprávy k</w:t>
      </w:r>
      <w:r w:rsidR="00442F96">
        <w:t> </w:t>
      </w:r>
      <w:r w:rsidR="003D6406">
        <w:t xml:space="preserve">OZ </w:t>
      </w:r>
      <w:r w:rsidR="00AC179C">
        <w:t xml:space="preserve">má </w:t>
      </w:r>
      <w:r w:rsidR="00167EF0">
        <w:t>p</w:t>
      </w:r>
      <w:r w:rsidR="00507133">
        <w:t>ro způsob zpeněžení zástavy rozhodující význam zástavní smlouva; mlčí-li smlouva o způsobu zpeněžení zástavy, preferuje se její prodej ve veřejné dražbě.</w:t>
      </w:r>
      <w:r w:rsidR="00B47305">
        <w:rPr>
          <w:rStyle w:val="Znakapoznpodarou"/>
        </w:rPr>
        <w:footnoteReference w:id="155"/>
      </w:r>
      <w:r w:rsidR="00AE3DBC">
        <w:t xml:space="preserve"> </w:t>
      </w:r>
      <w:r w:rsidR="00C03678">
        <w:t xml:space="preserve">Navíc </w:t>
      </w:r>
      <w:r w:rsidR="00FE6638">
        <w:t>lze zmínit</w:t>
      </w:r>
      <w:r w:rsidR="00E155D5">
        <w:t xml:space="preserve"> soudní prodej zástavy</w:t>
      </w:r>
      <w:r w:rsidR="00EB50F7">
        <w:t>,</w:t>
      </w:r>
      <w:r w:rsidR="00FE6638">
        <w:t xml:space="preserve"> jako další ze způsobů </w:t>
      </w:r>
      <w:r w:rsidR="00A60710">
        <w:t>výkonu zástavního práva,</w:t>
      </w:r>
      <w:r w:rsidR="00880328">
        <w:t xml:space="preserve"> který je upraven v</w:t>
      </w:r>
      <w:r w:rsidR="00B31D62">
        <w:t xml:space="preserve"> § </w:t>
      </w:r>
      <w:r w:rsidR="00B835BD">
        <w:t>35</w:t>
      </w:r>
      <w:r w:rsidR="008C07C4">
        <w:t>3a an</w:t>
      </w:r>
      <w:r w:rsidR="00B50B5C">
        <w:t>. ZZ</w:t>
      </w:r>
      <w:r w:rsidR="00601DDD">
        <w:t>ŘS</w:t>
      </w:r>
      <w:r w:rsidR="00032528">
        <w:rPr>
          <w:rStyle w:val="Znakapoznpodarou"/>
        </w:rPr>
        <w:footnoteReference w:id="156"/>
      </w:r>
      <w:r w:rsidR="00C06BD7">
        <w:t xml:space="preserve"> a </w:t>
      </w:r>
      <w:r w:rsidR="00771CC8">
        <w:t>§ 338a OSŘ</w:t>
      </w:r>
      <w:r w:rsidR="00837EA9">
        <w:t>.</w:t>
      </w:r>
      <w:r w:rsidR="00771CC8">
        <w:rPr>
          <w:rStyle w:val="Znakapoznpodarou"/>
        </w:rPr>
        <w:footnoteReference w:id="157"/>
      </w:r>
      <w:r w:rsidR="00306205">
        <w:t xml:space="preserve"> </w:t>
      </w:r>
    </w:p>
    <w:p w14:paraId="5538BC1B" w14:textId="4326926F" w:rsidR="00783DAA" w:rsidRDefault="00306205" w:rsidP="00783DAA">
      <w:r>
        <w:t xml:space="preserve">Co se podmínky upozornění týče, tak </w:t>
      </w:r>
      <w:r w:rsidR="00F13202">
        <w:t xml:space="preserve">současná právní úprava nám </w:t>
      </w:r>
      <w:r w:rsidR="00BB46B6">
        <w:t>v § 1361</w:t>
      </w:r>
      <w:r w:rsidR="00E92683">
        <w:t xml:space="preserve"> OZ</w:t>
      </w:r>
      <w:r w:rsidR="00BB46B6">
        <w:t xml:space="preserve"> </w:t>
      </w:r>
      <w:r w:rsidR="00F13202">
        <w:t>říká</w:t>
      </w:r>
      <w:r w:rsidR="00BB46B6">
        <w:t>, že:</w:t>
      </w:r>
      <w:r w:rsidR="003B1578">
        <w:t xml:space="preserve"> </w:t>
      </w:r>
      <w:r w:rsidR="003B1578" w:rsidRPr="00DD5DE0">
        <w:rPr>
          <w:i/>
          <w:iCs/>
        </w:rPr>
        <w:t>„</w:t>
      </w:r>
      <w:r w:rsidR="002B6482" w:rsidRPr="00DD5DE0">
        <w:rPr>
          <w:i/>
          <w:iCs/>
        </w:rPr>
        <w:t>Je-li proti dlužníku zapotřebí zvláštních úkonů, aby pohledávka dospěla, musí být tyto úkony při rozdílnosti v osobě osobního a zástavního dlužníka namířeny i proti zástavnímu dlužníku, aby se zástavní věřitel mohl ze zástavy uspokojit.“</w:t>
      </w:r>
      <w:r w:rsidR="00DD5DE0">
        <w:rPr>
          <w:rStyle w:val="Znakapoznpodarou"/>
          <w:i/>
          <w:iCs/>
        </w:rPr>
        <w:footnoteReference w:id="158"/>
      </w:r>
      <w:r w:rsidR="00D5756D">
        <w:t xml:space="preserve"> JUDr. Bezouška k tomuto ustanovení píše</w:t>
      </w:r>
      <w:r w:rsidR="00DD5577">
        <w:t xml:space="preserve">, že: </w:t>
      </w:r>
      <w:r w:rsidR="004871BA">
        <w:t>„</w:t>
      </w:r>
      <w:r w:rsidR="004871BA" w:rsidRPr="004871BA">
        <w:rPr>
          <w:i/>
          <w:iCs/>
        </w:rPr>
        <w:t>Jeho účelem je zajistit, aby zástavní dlužník,</w:t>
      </w:r>
      <w:r w:rsidR="004871BA">
        <w:rPr>
          <w:rStyle w:val="Znakapoznpodarou"/>
        </w:rPr>
        <w:footnoteReference w:id="159"/>
      </w:r>
      <w:r w:rsidR="004871BA" w:rsidRPr="004871BA">
        <w:rPr>
          <w:i/>
          <w:iCs/>
        </w:rPr>
        <w:t xml:space="preserve"> který je odlišný od osobního dlužníka, věděl, že se zajištěná pohledávka stává splatnou a že zástavní věřitel může zahájit kroky vedoucí k jeho uspokojení</w:t>
      </w:r>
      <w:r w:rsidR="004871BA">
        <w:rPr>
          <w:i/>
          <w:iCs/>
        </w:rPr>
        <w:t>.“</w:t>
      </w:r>
      <w:r w:rsidR="0069324D">
        <w:rPr>
          <w:rStyle w:val="Znakapoznpodarou"/>
          <w:i/>
          <w:iCs/>
        </w:rPr>
        <w:footnoteReference w:id="160"/>
      </w:r>
      <w:r w:rsidR="001C43C0">
        <w:rPr>
          <w:i/>
          <w:iCs/>
        </w:rPr>
        <w:t xml:space="preserve"> </w:t>
      </w:r>
      <w:r w:rsidR="001C43C0" w:rsidRPr="001C43C0">
        <w:t>Předmětné</w:t>
      </w:r>
      <w:r w:rsidR="001C43C0">
        <w:rPr>
          <w:i/>
          <w:iCs/>
        </w:rPr>
        <w:t xml:space="preserve"> </w:t>
      </w:r>
      <w:r w:rsidR="001C43C0">
        <w:t xml:space="preserve">ustanovení </w:t>
      </w:r>
      <w:r w:rsidR="00913644">
        <w:t xml:space="preserve">tedy především chrání </w:t>
      </w:r>
      <w:r w:rsidR="00F60C9F">
        <w:t>vlastníka zástavy.</w:t>
      </w:r>
      <w:r w:rsidR="008A1B3B">
        <w:t xml:space="preserve"> </w:t>
      </w:r>
      <w:r w:rsidR="00E92683">
        <w:t>Navazující § 1362</w:t>
      </w:r>
      <w:r w:rsidR="009C7774">
        <w:t xml:space="preserve"> odst. 1</w:t>
      </w:r>
      <w:r w:rsidR="00E92683">
        <w:t xml:space="preserve"> OZ nám stanoví, že</w:t>
      </w:r>
      <w:r w:rsidR="009C7774">
        <w:t>: „</w:t>
      </w:r>
      <w:r w:rsidR="009C7774" w:rsidRPr="009C7774">
        <w:rPr>
          <w:i/>
          <w:iCs/>
        </w:rPr>
        <w:t>Započetí výkonu zástavního práva oznámí zástavní věřitel v písemné formě zástavnímu dlužníkovi; v oznámení uvede, jak se ze zástavy uspokojí</w:t>
      </w:r>
      <w:r w:rsidR="009C7774" w:rsidRPr="00F52DAD">
        <w:t>.</w:t>
      </w:r>
      <w:r w:rsidR="009C7774" w:rsidRPr="00F52DAD">
        <w:rPr>
          <w:i/>
          <w:iCs/>
        </w:rPr>
        <w:t>“</w:t>
      </w:r>
      <w:r w:rsidR="002F361F">
        <w:rPr>
          <w:rStyle w:val="Znakapoznpodarou"/>
          <w:i/>
          <w:iCs/>
        </w:rPr>
        <w:footnoteReference w:id="161"/>
      </w:r>
      <w:r w:rsidR="00C21539" w:rsidRPr="00F52DAD">
        <w:t xml:space="preserve"> </w:t>
      </w:r>
      <w:r w:rsidR="000408E1" w:rsidRPr="00F52DAD">
        <w:t xml:space="preserve">Přičemž </w:t>
      </w:r>
      <w:r w:rsidR="00B70DFF" w:rsidRPr="00F52DAD">
        <w:t>nám</w:t>
      </w:r>
      <w:r w:rsidR="002B2D3C" w:rsidRPr="00F52DAD">
        <w:t xml:space="preserve"> JUDr. Bezouška</w:t>
      </w:r>
      <w:r w:rsidR="005B3475" w:rsidRPr="00F52DAD">
        <w:t xml:space="preserve"> </w:t>
      </w:r>
      <w:r w:rsidR="00DF42B6" w:rsidRPr="00F52DAD">
        <w:t>opět v komentářové literatuře vymezuje účel tohoto ustanovení</w:t>
      </w:r>
      <w:r w:rsidR="00B70DFF" w:rsidRPr="00F52DAD">
        <w:t>, kterým je:</w:t>
      </w:r>
      <w:r w:rsidR="0069324D">
        <w:t xml:space="preserve"> </w:t>
      </w:r>
      <w:r w:rsidR="00F52DAD">
        <w:t>„</w:t>
      </w:r>
      <w:r w:rsidR="00F52DAD" w:rsidRPr="00F52DAD">
        <w:rPr>
          <w:i/>
          <w:iCs/>
        </w:rPr>
        <w:t xml:space="preserve">zajistit, aby zástavce/zástavní dlužník nebyl výkonem zástavního práva zaskočen (překvapen), aby v důsledku rychlého výkonu nebyl zbaven možnosti vznést své námitky, </w:t>
      </w:r>
      <w:r w:rsidR="00F52DAD" w:rsidRPr="00F52DAD">
        <w:rPr>
          <w:i/>
          <w:iCs/>
        </w:rPr>
        <w:lastRenderedPageBreak/>
        <w:t>případně zástavu vyplatit či se jiným způsobem bránit zpeněžení – například podat žalobu na zdržení se výkonu zástavního práva, navrhnout předběžné opatření zakazující prodej věci apod.</w:t>
      </w:r>
      <w:r w:rsidR="00F52DAD">
        <w:rPr>
          <w:i/>
          <w:iCs/>
        </w:rPr>
        <w:t>“</w:t>
      </w:r>
      <w:r w:rsidR="00521114">
        <w:rPr>
          <w:rStyle w:val="Znakapoznpodarou"/>
          <w:i/>
          <w:iCs/>
        </w:rPr>
        <w:footnoteReference w:id="162"/>
      </w:r>
      <w:r w:rsidR="00BB39C7">
        <w:t xml:space="preserve"> Takovéto oznámení pak</w:t>
      </w:r>
      <w:r w:rsidR="00A21CF9">
        <w:t xml:space="preserve"> dle § 1362 OZ zabraňuje</w:t>
      </w:r>
      <w:r w:rsidR="00A2280F">
        <w:t xml:space="preserve"> </w:t>
      </w:r>
      <w:r w:rsidR="001D2A38">
        <w:t>zástavnímu dlužníku, aby zástavu bez svolení</w:t>
      </w:r>
      <w:r w:rsidR="00E324B6">
        <w:t xml:space="preserve"> zástavního věřitele</w:t>
      </w:r>
      <w:r w:rsidR="001D2A38">
        <w:t xml:space="preserve"> zcizil</w:t>
      </w:r>
      <w:r w:rsidR="006574DA">
        <w:t xml:space="preserve">. </w:t>
      </w:r>
      <w:r w:rsidR="00AB1576">
        <w:t xml:space="preserve">Z tohoto pravidla však existuje výjimka, </w:t>
      </w:r>
      <w:r w:rsidR="00E341C6">
        <w:t>která nám říká, že</w:t>
      </w:r>
      <w:r w:rsidR="006574DA">
        <w:t xml:space="preserve"> zcizí-li </w:t>
      </w:r>
      <w:r w:rsidR="009C6791">
        <w:t xml:space="preserve">dlužník </w:t>
      </w:r>
      <w:r w:rsidR="006574DA">
        <w:t>i přes tento zákaz</w:t>
      </w:r>
      <w:r w:rsidR="009C6791">
        <w:t>, v rámci běžného obchodního styku</w:t>
      </w:r>
      <w:r w:rsidR="007048DF">
        <w:t xml:space="preserve"> při svém </w:t>
      </w:r>
      <w:r w:rsidR="00D66C3D">
        <w:t>podnikání</w:t>
      </w:r>
      <w:r w:rsidR="006574DA">
        <w:t xml:space="preserve"> a nabyvatelem</w:t>
      </w:r>
      <w:r w:rsidR="00EC4F8F">
        <w:t xml:space="preserve"> (kupující</w:t>
      </w:r>
      <w:r w:rsidR="003E0D52">
        <w:t>m</w:t>
      </w:r>
      <w:r w:rsidR="00EC4F8F">
        <w:t>)</w:t>
      </w:r>
      <w:r w:rsidR="00B02896">
        <w:t xml:space="preserve"> je osoba v dobré víře</w:t>
      </w:r>
      <w:r w:rsidR="007C1123">
        <w:t xml:space="preserve">, </w:t>
      </w:r>
      <w:r w:rsidR="00F9635B">
        <w:t>bude takovéto zcizení platné a nabyvatel se stane vlastníkem zástavy</w:t>
      </w:r>
      <w:r w:rsidR="00446133">
        <w:t>.</w:t>
      </w:r>
      <w:r w:rsidR="00340338">
        <w:t>“</w:t>
      </w:r>
      <w:r w:rsidR="00BE1C75">
        <w:rPr>
          <w:rStyle w:val="Znakapoznpodarou"/>
        </w:rPr>
        <w:footnoteReference w:id="163"/>
      </w:r>
      <w:r w:rsidR="004F3DFD">
        <w:t xml:space="preserve"> </w:t>
      </w:r>
      <w:r w:rsidR="002D78D1">
        <w:t xml:space="preserve">Lze tedy </w:t>
      </w:r>
      <w:r w:rsidR="00625E64">
        <w:t>jasně vidět</w:t>
      </w:r>
      <w:r w:rsidR="002D78D1">
        <w:t xml:space="preserve">, že oznamovací povinnost </w:t>
      </w:r>
      <w:r w:rsidR="001F4CDB">
        <w:t>o prodeji zástavy</w:t>
      </w:r>
      <w:r w:rsidR="00583036">
        <w:t>,</w:t>
      </w:r>
      <w:r w:rsidR="00F52669">
        <w:t xml:space="preserve"> až na pár odchylek, kte</w:t>
      </w:r>
      <w:r w:rsidR="00E647D7">
        <w:t xml:space="preserve">ré vyvinula </w:t>
      </w:r>
      <w:r w:rsidR="00DD4CF2">
        <w:t>novodobá praxe,</w:t>
      </w:r>
      <w:r w:rsidR="001F4CDB">
        <w:t xml:space="preserve"> přetrvala </w:t>
      </w:r>
      <w:r w:rsidR="00B714E2">
        <w:t xml:space="preserve">do </w:t>
      </w:r>
      <w:r w:rsidR="00144C49">
        <w:t>současnosti</w:t>
      </w:r>
      <w:r w:rsidR="00282558">
        <w:t>.</w:t>
      </w:r>
      <w:r w:rsidR="00393400">
        <w:t xml:space="preserve"> </w:t>
      </w:r>
    </w:p>
    <w:p w14:paraId="36301064" w14:textId="107792AD" w:rsidR="00DD04BC" w:rsidRDefault="00393400" w:rsidP="00783DAA">
      <w:r>
        <w:t>Odlišn</w:t>
      </w:r>
      <w:r w:rsidR="003E0D52">
        <w:t>ou</w:t>
      </w:r>
      <w:r>
        <w:t xml:space="preserve"> </w:t>
      </w:r>
      <w:r w:rsidR="005667E6">
        <w:t xml:space="preserve">je </w:t>
      </w:r>
      <w:r>
        <w:t xml:space="preserve">však </w:t>
      </w:r>
      <w:r w:rsidR="00625E64" w:rsidRPr="002B5149">
        <w:rPr>
          <w:b/>
          <w:bCs/>
        </w:rPr>
        <w:t>čekací lhůta</w:t>
      </w:r>
      <w:r w:rsidR="003E0D52">
        <w:t>, která nastává</w:t>
      </w:r>
      <w:r w:rsidR="006603DA">
        <w:t xml:space="preserve"> po oznámení zástavy</w:t>
      </w:r>
      <w:r w:rsidR="00B01A04">
        <w:t>.</w:t>
      </w:r>
      <w:r w:rsidR="00557824">
        <w:t xml:space="preserve"> </w:t>
      </w:r>
      <w:r w:rsidR="00B01A04">
        <w:t>J</w:t>
      </w:r>
      <w:r w:rsidR="00557824">
        <w:t>ak jsme si již v teoretické části vymezili, tato lhůta činila z</w:t>
      </w:r>
      <w:r w:rsidR="00DB103B">
        <w:t xml:space="preserve">a dob </w:t>
      </w:r>
      <w:r w:rsidR="00557824">
        <w:t xml:space="preserve">císaře </w:t>
      </w:r>
      <w:r w:rsidR="00A820D2">
        <w:t>Justiniána</w:t>
      </w:r>
      <w:r w:rsidR="00DB103B">
        <w:t xml:space="preserve"> </w:t>
      </w:r>
      <w:r w:rsidR="00A820D2">
        <w:t>dva roky</w:t>
      </w:r>
      <w:r w:rsidR="006207C2">
        <w:t xml:space="preserve"> (viz</w:t>
      </w:r>
      <w:r w:rsidR="00086357">
        <w:t>.</w:t>
      </w:r>
      <w:r w:rsidR="006207C2">
        <w:t xml:space="preserve"> po</w:t>
      </w:r>
      <w:r w:rsidR="00086357">
        <w:t>zn.</w:t>
      </w:r>
      <w:r w:rsidR="00086357">
        <w:rPr>
          <w:vertAlign w:val="superscript"/>
        </w:rPr>
        <w:t>84</w:t>
      </w:r>
      <w:r w:rsidR="00086357">
        <w:t>)</w:t>
      </w:r>
      <w:r w:rsidR="00A820D2">
        <w:t>.</w:t>
      </w:r>
      <w:r w:rsidR="005A5CA7">
        <w:t xml:space="preserve"> V současné právní úpravě je tato lhůta o poznání kratší</w:t>
      </w:r>
      <w:r w:rsidR="00C26F67">
        <w:t>.</w:t>
      </w:r>
      <w:r w:rsidR="002A2F02">
        <w:t xml:space="preserve"> </w:t>
      </w:r>
      <w:r w:rsidR="00C26F67">
        <w:t>Nahlédneme-li do ustanovení § 1364 OZ</w:t>
      </w:r>
      <w:r w:rsidR="005C423E">
        <w:t>,</w:t>
      </w:r>
      <w:r w:rsidR="00387494">
        <w:rPr>
          <w:rStyle w:val="Znakapoznpodarou"/>
        </w:rPr>
        <w:footnoteReference w:id="164"/>
      </w:r>
      <w:r w:rsidR="00BA6DC6">
        <w:t xml:space="preserve"> zjistíme, že minimální délka této čekací lhůty činí třicet dnů</w:t>
      </w:r>
      <w:r w:rsidR="00743185">
        <w:t xml:space="preserve">, přičemž </w:t>
      </w:r>
      <w:r w:rsidR="00997F96">
        <w:t>v rámci zástavní smlouvy</w:t>
      </w:r>
      <w:r w:rsidR="00B12269">
        <w:t xml:space="preserve"> </w:t>
      </w:r>
      <w:r w:rsidR="00743185">
        <w:t>lze ujednat i lhůtu delší</w:t>
      </w:r>
      <w:r w:rsidR="00B85A39">
        <w:t>.</w:t>
      </w:r>
      <w:r w:rsidR="00003A00">
        <w:t xml:space="preserve"> Po uplynutí této lhůty tak může zástavní věřitel</w:t>
      </w:r>
      <w:r w:rsidR="00AD79E0">
        <w:t xml:space="preserve"> zástavu zpeněžit a uspokojit se z ní.</w:t>
      </w:r>
    </w:p>
    <w:p w14:paraId="387A280E" w14:textId="785925A9" w:rsidR="006C2CD5" w:rsidRDefault="00495872" w:rsidP="00783DAA">
      <w:r>
        <w:t>Ulpianus nakonec ve svém fragmentu pojednává o tom</w:t>
      </w:r>
      <w:r w:rsidR="00464CB0">
        <w:t xml:space="preserve">, že i přes výslovný zákaz </w:t>
      </w:r>
      <w:r w:rsidR="00CC72E3">
        <w:t>prodeje zástavy</w:t>
      </w:r>
      <w:r w:rsidR="003F2B9B">
        <w:t>,</w:t>
      </w:r>
      <w:r w:rsidR="00CC72E3">
        <w:t xml:space="preserve"> ji </w:t>
      </w:r>
      <w:r w:rsidR="00C01EF6">
        <w:t xml:space="preserve">prodat </w:t>
      </w:r>
      <w:r w:rsidR="00CC72E3">
        <w:t xml:space="preserve">lze </w:t>
      </w:r>
      <w:r w:rsidR="00136854">
        <w:t>za předpokladu</w:t>
      </w:r>
      <w:r w:rsidR="00CC72E3">
        <w:t xml:space="preserve">, že </w:t>
      </w:r>
      <w:r w:rsidR="004D2E6C">
        <w:t xml:space="preserve">zástavní věřitel </w:t>
      </w:r>
      <w:r w:rsidR="000E6874">
        <w:t>na</w:t>
      </w:r>
      <w:r w:rsidR="00FB10D4">
        <w:t xml:space="preserve"> třikrát </w:t>
      </w:r>
      <w:r w:rsidR="004D2E6C">
        <w:t>vyzve dlužníka k tomu, aby plnil</w:t>
      </w:r>
      <w:r w:rsidR="008B5CB9">
        <w:t xml:space="preserve">, avšak </w:t>
      </w:r>
      <w:r w:rsidR="000E6874">
        <w:t>bez</w:t>
      </w:r>
      <w:r w:rsidR="008B5CB9">
        <w:t xml:space="preserve">úspěšně. </w:t>
      </w:r>
      <w:r w:rsidR="007C0CB6">
        <w:t>Podíváme-li se do současné právní úpravy</w:t>
      </w:r>
      <w:r w:rsidR="00710438">
        <w:t xml:space="preserve">, tak </w:t>
      </w:r>
      <w:r w:rsidR="0078427B">
        <w:t xml:space="preserve">mezi zakázanými ujednáními </w:t>
      </w:r>
      <w:r w:rsidR="00796840">
        <w:t xml:space="preserve">nalezneme </w:t>
      </w:r>
      <w:r w:rsidR="00612D05">
        <w:t>v</w:t>
      </w:r>
      <w:r w:rsidR="00710438">
        <w:t xml:space="preserve"> § 1315</w:t>
      </w:r>
      <w:r w:rsidR="0078427B">
        <w:t xml:space="preserve"> odst. 2, písm. a)</w:t>
      </w:r>
      <w:r w:rsidR="001C3A0B">
        <w:t xml:space="preserve"> OZ</w:t>
      </w:r>
      <w:r w:rsidR="00566E98">
        <w:t xml:space="preserve"> ustanovení, kter</w:t>
      </w:r>
      <w:r w:rsidR="00AC7628">
        <w:t>é</w:t>
      </w:r>
      <w:r w:rsidR="00566E98">
        <w:t xml:space="preserve"> nám říká, že: </w:t>
      </w:r>
      <w:r w:rsidR="00566E98" w:rsidRPr="00235D85">
        <w:rPr>
          <w:i/>
          <w:iCs/>
        </w:rPr>
        <w:t>„Dokud zajištěný dluh nedospěje, zakazuje se ujedna</w:t>
      </w:r>
      <w:r w:rsidR="001D3236" w:rsidRPr="00235D85">
        <w:rPr>
          <w:i/>
          <w:iCs/>
        </w:rPr>
        <w:t>t, že se zástavní věřitel nebude domáhat uspokojení ze zástavy.“</w:t>
      </w:r>
      <w:r w:rsidR="003F2B9B">
        <w:rPr>
          <w:rStyle w:val="Znakapoznpodarou"/>
        </w:rPr>
        <w:footnoteReference w:id="165"/>
      </w:r>
      <w:r w:rsidR="00861DB3">
        <w:t xml:space="preserve"> Toto ustanovení </w:t>
      </w:r>
      <w:r w:rsidR="000F63D8">
        <w:t xml:space="preserve">pak slouží především k ochraně zástavního věřitele, přičemž takováto ochrana trvá až do </w:t>
      </w:r>
      <w:r w:rsidR="000327CF">
        <w:t>chvíle, kdy se pohledávka stane splatnou. Je to z toho důvodu, že do</w:t>
      </w:r>
      <w:r w:rsidR="002A443C">
        <w:t xml:space="preserve"> doby</w:t>
      </w:r>
      <w:r w:rsidR="000327CF">
        <w:t xml:space="preserve"> nastání splatnosti se zástavní věřitel v tomto smyslu ocitá v postavení slabší smluvní strany</w:t>
      </w:r>
      <w:r w:rsidR="009A7A80">
        <w:t>.</w:t>
      </w:r>
      <w:r w:rsidR="00193A7C">
        <w:t xml:space="preserve"> JUDr. Bezouška k tomuto dále v komentáři píše, že:</w:t>
      </w:r>
      <w:r w:rsidR="009A7A80">
        <w:t xml:space="preserve"> </w:t>
      </w:r>
      <w:r w:rsidR="00193A7C" w:rsidRPr="00235D85">
        <w:rPr>
          <w:i/>
          <w:iCs/>
        </w:rPr>
        <w:t>„O</w:t>
      </w:r>
      <w:r w:rsidR="009F5D30" w:rsidRPr="00235D85">
        <w:rPr>
          <w:i/>
          <w:iCs/>
        </w:rPr>
        <w:t>dejme-li se totiž zástavnímu věřiteli právo domáhat se uspokojení ze zástavy, ztrácí se tím jedna z hlavních funkcí zástavního práva a již vůbec nelze o zástavním právu hovořit. Nepřípustné je úplné vyloučení práva uspokojit se ze zástavy, je však možné ujednání, kterým se zástavní věřitel omezí ve způsobu zpeněžení zástavy</w:t>
      </w:r>
      <w:r w:rsidR="00235D85" w:rsidRPr="00235D85">
        <w:rPr>
          <w:i/>
          <w:iCs/>
        </w:rPr>
        <w:t>.“</w:t>
      </w:r>
      <w:r w:rsidR="006B0CD0">
        <w:rPr>
          <w:rStyle w:val="Znakapoznpodarou"/>
          <w:i/>
          <w:iCs/>
        </w:rPr>
        <w:footnoteReference w:id="166"/>
      </w:r>
      <w:r w:rsidR="00297C15">
        <w:t xml:space="preserve"> </w:t>
      </w:r>
      <w:r w:rsidR="000F66F9">
        <w:t>Avšak v</w:t>
      </w:r>
      <w:r w:rsidR="00297C15">
        <w:t xml:space="preserve"> okamžiku, kdy nastane splatnost pohledávky, se postavení stran obligace otáčí</w:t>
      </w:r>
      <w:r w:rsidR="006709A8">
        <w:t xml:space="preserve"> a je již možné, aby</w:t>
      </w:r>
      <w:r w:rsidR="00FC05B7">
        <w:t xml:space="preserve"> si takovýto zákaz uspokojení ze zástavy dohodly.</w:t>
      </w:r>
      <w:r w:rsidR="00DE3CED">
        <w:t xml:space="preserve"> </w:t>
      </w:r>
      <w:r w:rsidR="00A234E2">
        <w:t>Porovnáme-li tedy obě úpravy</w:t>
      </w:r>
      <w:r w:rsidR="00233F58">
        <w:t>,</w:t>
      </w:r>
      <w:r w:rsidR="00A234E2">
        <w:t xml:space="preserve"> zjistíme, že </w:t>
      </w:r>
      <w:r w:rsidR="00085625">
        <w:t xml:space="preserve">ta </w:t>
      </w:r>
      <w:r w:rsidR="00A234E2">
        <w:t xml:space="preserve">současná je o </w:t>
      </w:r>
      <w:r w:rsidR="00085625">
        <w:t>něco</w:t>
      </w:r>
      <w:r w:rsidR="00A234E2">
        <w:t xml:space="preserve"> </w:t>
      </w:r>
      <w:r w:rsidR="00085625">
        <w:t>přísnější</w:t>
      </w:r>
      <w:r w:rsidR="002A0D9F">
        <w:t xml:space="preserve">, jelikož nelze </w:t>
      </w:r>
      <w:r w:rsidR="00087BBA">
        <w:t>po</w:t>
      </w:r>
      <w:r w:rsidR="002A0D9F">
        <w:t xml:space="preserve"> nastání splatnosti </w:t>
      </w:r>
      <w:r w:rsidR="002A0D9F">
        <w:lastRenderedPageBreak/>
        <w:t xml:space="preserve">obcházet ustanovení o </w:t>
      </w:r>
      <w:r w:rsidR="00725CEF">
        <w:t>zákazu prodeje zástavy</w:t>
      </w:r>
      <w:r w:rsidR="00087BBA">
        <w:t>.</w:t>
      </w:r>
      <w:r w:rsidR="00725CEF">
        <w:t xml:space="preserve"> </w:t>
      </w:r>
      <w:r w:rsidR="00087BBA">
        <w:t>N</w:t>
      </w:r>
      <w:r w:rsidR="00725CEF">
        <w:t>a druhou stranu</w:t>
      </w:r>
      <w:r w:rsidR="00087BBA">
        <w:t xml:space="preserve"> </w:t>
      </w:r>
      <w:r w:rsidR="004C29EE">
        <w:t xml:space="preserve">se </w:t>
      </w:r>
      <w:r w:rsidR="00087BBA">
        <w:t xml:space="preserve">však </w:t>
      </w:r>
      <w:r w:rsidR="004C29EE">
        <w:t>značně zkrátily</w:t>
      </w:r>
      <w:r w:rsidR="00FE5225" w:rsidRPr="00FE5225">
        <w:t xml:space="preserve"> </w:t>
      </w:r>
      <w:r w:rsidR="00FE5225">
        <w:t>čekací lhůty</w:t>
      </w:r>
      <w:r w:rsidR="006B0CD0">
        <w:t>, tedy je to ve výsledku vyrovnané.</w:t>
      </w:r>
    </w:p>
    <w:p w14:paraId="0F06B7B6" w14:textId="77777777" w:rsidR="00D80D9A" w:rsidRPr="00297C15" w:rsidRDefault="00D80D9A" w:rsidP="00783DAA"/>
    <w:p w14:paraId="0788106E" w14:textId="623EBC98" w:rsidR="00540558" w:rsidRPr="00540558" w:rsidRDefault="0082289B" w:rsidP="00D80D9A">
      <w:pPr>
        <w:pStyle w:val="Nadpis3"/>
      </w:pPr>
      <w:bookmarkStart w:id="39" w:name="_Toc100354950"/>
      <w:r>
        <w:t xml:space="preserve">3.1.5 </w:t>
      </w:r>
      <w:r w:rsidR="00540558" w:rsidRPr="00540558">
        <w:t>Zastavení pohledávky</w:t>
      </w:r>
      <w:bookmarkEnd w:id="39"/>
    </w:p>
    <w:p w14:paraId="69C100B5" w14:textId="77777777" w:rsidR="00FF09D6" w:rsidRDefault="00646B94" w:rsidP="005A5285">
      <w:r>
        <w:t xml:space="preserve">PAULUS ve 29. knize K ediktu: </w:t>
      </w:r>
      <w:r w:rsidR="00E916B2" w:rsidRPr="00E916B2">
        <w:rPr>
          <w:i/>
          <w:iCs/>
        </w:rPr>
        <w:t>„</w:t>
      </w:r>
      <w:r w:rsidRPr="00E916B2">
        <w:rPr>
          <w:i/>
          <w:iCs/>
        </w:rPr>
        <w:t>Pokud je dohodnuto, že ti dám do z</w:t>
      </w:r>
      <w:r w:rsidR="00DF543C" w:rsidRPr="00E916B2">
        <w:rPr>
          <w:i/>
          <w:iCs/>
        </w:rPr>
        <w:t>á</w:t>
      </w:r>
      <w:r w:rsidRPr="00E916B2">
        <w:rPr>
          <w:i/>
          <w:iCs/>
        </w:rPr>
        <w:t>stavy pohledávku mého dlužníka</w:t>
      </w:r>
      <w:r w:rsidR="00DF543C" w:rsidRPr="00E916B2">
        <w:rPr>
          <w:i/>
          <w:iCs/>
        </w:rPr>
        <w:t>, je nezbytné, aby takovouto úmluvu chránil praetor</w:t>
      </w:r>
      <w:r w:rsidR="007F7407" w:rsidRPr="00E916B2">
        <w:rPr>
          <w:i/>
          <w:iCs/>
        </w:rPr>
        <w:t>, aby chránil také tebe</w:t>
      </w:r>
      <w:r w:rsidR="0077339F" w:rsidRPr="00E916B2">
        <w:rPr>
          <w:i/>
          <w:iCs/>
        </w:rPr>
        <w:t xml:space="preserve"> v případě vymáhání peněz, stejně jako dlužníka proti mně, kdybych ho žaloval. Pokud tedy byla takováto pohledávka peněžní, započítáš požadovanou</w:t>
      </w:r>
      <w:r w:rsidR="00D46D1D" w:rsidRPr="00E916B2">
        <w:rPr>
          <w:i/>
          <w:iCs/>
        </w:rPr>
        <w:t xml:space="preserve"> sumu, jestliže se však týkala nějaké hmotné věci, pak</w:t>
      </w:r>
      <w:r w:rsidR="00324482" w:rsidRPr="00E916B2">
        <w:rPr>
          <w:i/>
          <w:iCs/>
        </w:rPr>
        <w:t xml:space="preserve"> to, co obdržíš</w:t>
      </w:r>
      <w:r w:rsidR="00E916B2" w:rsidRPr="00E916B2">
        <w:rPr>
          <w:i/>
          <w:iCs/>
        </w:rPr>
        <w:t>, budeš mít místo ruční zástavy.“</w:t>
      </w:r>
      <w:r w:rsidR="00E916B2">
        <w:rPr>
          <w:rStyle w:val="Znakapoznpodarou"/>
          <w:i/>
          <w:iCs/>
        </w:rPr>
        <w:footnoteReference w:id="167"/>
      </w:r>
      <w:r w:rsidR="00A012B6">
        <w:t xml:space="preserve"> </w:t>
      </w:r>
    </w:p>
    <w:p w14:paraId="7BA95CA2" w14:textId="59786233" w:rsidR="00761DB9" w:rsidRDefault="00A012B6" w:rsidP="005A5285">
      <w:r>
        <w:t xml:space="preserve">Jak jsme si již vymezili v teoretické části, </w:t>
      </w:r>
      <w:r w:rsidR="00792EC8">
        <w:t>no</w:t>
      </w:r>
      <w:r w:rsidR="005B4A1C">
        <w:t>sičem zástavního práva k pohledávce byl dlužní úpis</w:t>
      </w:r>
      <w:r w:rsidR="00B6157F">
        <w:t xml:space="preserve"> (</w:t>
      </w:r>
      <w:r w:rsidR="00B6157F" w:rsidRPr="00413E55">
        <w:rPr>
          <w:i/>
          <w:iCs/>
        </w:rPr>
        <w:t>cautio</w:t>
      </w:r>
      <w:r w:rsidR="00B6157F">
        <w:t>)</w:t>
      </w:r>
      <w:r w:rsidR="0004317B">
        <w:t xml:space="preserve">, který předal </w:t>
      </w:r>
      <w:r w:rsidR="00141AB2">
        <w:t xml:space="preserve">zástavní dlužník </w:t>
      </w:r>
      <w:r w:rsidR="005223B1">
        <w:t xml:space="preserve">zástavnímu </w:t>
      </w:r>
      <w:r w:rsidR="00A46B6A">
        <w:t>věřiteli</w:t>
      </w:r>
      <w:r w:rsidR="005E3AD5">
        <w:t xml:space="preserve"> k zajištění jeho pohledávky.</w:t>
      </w:r>
      <w:r w:rsidR="00093FE5">
        <w:t xml:space="preserve"> </w:t>
      </w:r>
      <w:r w:rsidR="00F87D35">
        <w:t>Původně neměl zástavní věřitel možnost přím</w:t>
      </w:r>
      <w:r w:rsidR="003F0C3C">
        <w:t>o vymáhat zastavenou pohledávku po</w:t>
      </w:r>
      <w:r w:rsidR="005C423E">
        <w:t xml:space="preserve"> dlužníku takovéto pohledávky</w:t>
      </w:r>
      <w:r w:rsidR="001304C4">
        <w:t xml:space="preserve"> neboli poddlužníku. Až postupem času </w:t>
      </w:r>
      <w:r w:rsidR="009C50B6">
        <w:t>byl posílen význam takovéhoto dlužního úpisu a zástavní věřitel tak mohl</w:t>
      </w:r>
      <w:r w:rsidR="009B1361">
        <w:t xml:space="preserve"> </w:t>
      </w:r>
      <w:r w:rsidR="005A5DFB">
        <w:t>nastoupit přímo na poddlužníka</w:t>
      </w:r>
      <w:r w:rsidR="009B1361">
        <w:t>.</w:t>
      </w:r>
      <w:r w:rsidR="00445F32">
        <w:t xml:space="preserve"> </w:t>
      </w:r>
      <w:r w:rsidR="00BD4477">
        <w:t>Od 2. stol. n. l.</w:t>
      </w:r>
      <w:r w:rsidR="004E2390">
        <w:t xml:space="preserve"> mohl zástavní věřitel nastoupit na poddlužníka i bez takovéhoto úpisu, čímž </w:t>
      </w:r>
      <w:r w:rsidR="008309FB">
        <w:t xml:space="preserve">získalo zastavení pohledávky charakter </w:t>
      </w:r>
      <w:r w:rsidR="00E566AD">
        <w:t>konsenzuálního kontraktu</w:t>
      </w:r>
      <w:r w:rsidR="00596BFE">
        <w:t>.</w:t>
      </w:r>
      <w:r w:rsidR="00C925C7">
        <w:t xml:space="preserve"> V římském právu platilo, že </w:t>
      </w:r>
      <w:r w:rsidR="00634138">
        <w:t>zástavní věřitel m</w:t>
      </w:r>
      <w:r w:rsidR="00CD4503">
        <w:t>ohl</w:t>
      </w:r>
      <w:r w:rsidR="005A1BD1">
        <w:t xml:space="preserve"> </w:t>
      </w:r>
      <w:r w:rsidR="00394C02">
        <w:t>poddlužníka</w:t>
      </w:r>
      <w:r w:rsidR="002B7F6A">
        <w:t xml:space="preserve"> ze zastavené pohledávky </w:t>
      </w:r>
      <w:r w:rsidR="00FB6A1E">
        <w:t>o této skutečnosti zpravit</w:t>
      </w:r>
      <w:r w:rsidR="0030052A">
        <w:t xml:space="preserve">, </w:t>
      </w:r>
      <w:r w:rsidR="00F81F96">
        <w:t xml:space="preserve">což mělo za následek, že pokud </w:t>
      </w:r>
      <w:r w:rsidR="005C24A1">
        <w:t xml:space="preserve">jeho pohledávka za dlužníkem (zástavním věřitelem </w:t>
      </w:r>
      <w:r w:rsidR="00DF3D9D">
        <w:t>poddlužníka) dospěla,</w:t>
      </w:r>
      <w:r w:rsidR="00E3456A">
        <w:t xml:space="preserve"> mohl ji vymáhat přímo po poddlužníku</w:t>
      </w:r>
      <w:r w:rsidR="007E57F5">
        <w:t>. Jednalo-li se o peněžité plnění</w:t>
      </w:r>
      <w:r w:rsidR="00F84ED8">
        <w:t>, mohl zástavní věřitel po poddlužníku žádat pouze tolik, kolik činila jeho pohledávka za zástavním dlužníkem</w:t>
      </w:r>
      <w:r w:rsidR="00AB52B5">
        <w:t xml:space="preserve">. Rozdílně tomu bylo v případě, že </w:t>
      </w:r>
      <w:r w:rsidR="00F63032">
        <w:t>se pohledávka týkala nějaké věci</w:t>
      </w:r>
      <w:r w:rsidR="00AA3F87">
        <w:t xml:space="preserve">, jelikož </w:t>
      </w:r>
      <w:r w:rsidR="00165965">
        <w:t xml:space="preserve">pak </w:t>
      </w:r>
      <w:r w:rsidR="00857040">
        <w:t xml:space="preserve">mohl vymáhat vydání takovéto věci a posléze </w:t>
      </w:r>
      <w:r w:rsidR="0047178D">
        <w:t>k</w:t>
      </w:r>
      <w:r w:rsidR="0055238D">
        <w:t xml:space="preserve"> ní </w:t>
      </w:r>
      <w:r w:rsidR="00165965">
        <w:t>získa</w:t>
      </w:r>
      <w:r w:rsidR="000B5931">
        <w:t>t</w:t>
      </w:r>
      <w:r w:rsidR="00165965">
        <w:t xml:space="preserve"> zástavní právo </w:t>
      </w:r>
      <w:r w:rsidR="0047178D">
        <w:t>jako k celku.</w:t>
      </w:r>
      <w:r w:rsidR="00DF2AE2">
        <w:rPr>
          <w:rStyle w:val="Znakapoznpodarou"/>
        </w:rPr>
        <w:footnoteReference w:id="168"/>
      </w:r>
    </w:p>
    <w:p w14:paraId="5FE98F4E" w14:textId="3A75DBF1" w:rsidR="00DA542B" w:rsidRDefault="002E01B5" w:rsidP="005A5285">
      <w:r>
        <w:t xml:space="preserve">Podíváme-li se do současné právní úpravy, </w:t>
      </w:r>
      <w:r w:rsidR="00155B0E">
        <w:t xml:space="preserve">tak </w:t>
      </w:r>
      <w:r w:rsidR="00C72F9D">
        <w:t>problematiku</w:t>
      </w:r>
      <w:r w:rsidR="00155B0E">
        <w:t xml:space="preserve"> zástavního práva k pohledávce nalezneme v</w:t>
      </w:r>
      <w:r w:rsidR="00516B64">
        <w:t xml:space="preserve"> ustanovení </w:t>
      </w:r>
      <w:r w:rsidR="00155B0E">
        <w:t>§ 1335 an.</w:t>
      </w:r>
      <w:r w:rsidR="00516B64">
        <w:t xml:space="preserve"> OZ</w:t>
      </w:r>
      <w:r w:rsidR="00BE5A68">
        <w:t>,</w:t>
      </w:r>
      <w:r w:rsidR="008035BE">
        <w:t xml:space="preserve"> který nám</w:t>
      </w:r>
      <w:r w:rsidR="00654D46">
        <w:t xml:space="preserve"> v odstavci prvém</w:t>
      </w:r>
      <w:r w:rsidR="008035BE">
        <w:t xml:space="preserve"> říká, že: </w:t>
      </w:r>
      <w:r w:rsidR="008035BE" w:rsidRPr="00184DDD">
        <w:rPr>
          <w:i/>
          <w:iCs/>
        </w:rPr>
        <w:t>„</w:t>
      </w:r>
      <w:r w:rsidR="00184DDD" w:rsidRPr="00184DDD">
        <w:rPr>
          <w:i/>
          <w:iCs/>
        </w:rPr>
        <w:t>Zastavit lze pohledávku, kterou lze postoupit jinému. Je-li zástavou pohledávka zástavního dlužníka za zástavním věřitelem, pohledávka a dluh nezanikají splynutím osoby věřitele a dlužníka.“</w:t>
      </w:r>
      <w:r w:rsidR="008765BA">
        <w:rPr>
          <w:rStyle w:val="Znakapoznpodarou"/>
          <w:i/>
          <w:iCs/>
        </w:rPr>
        <w:footnoteReference w:id="169"/>
      </w:r>
      <w:r w:rsidR="00D0777B">
        <w:t xml:space="preserve"> Základní podmínkou</w:t>
      </w:r>
      <w:r w:rsidR="007864B9">
        <w:t>, která je vyjádřena v § 1310 odst.</w:t>
      </w:r>
      <w:r w:rsidR="003F16B1">
        <w:t xml:space="preserve"> 1 OZ </w:t>
      </w:r>
      <w:r w:rsidR="00D0777B">
        <w:t>pro to</w:t>
      </w:r>
      <w:r w:rsidR="006E584A">
        <w:t>, aby mohla být věc zástavou</w:t>
      </w:r>
      <w:r w:rsidR="005C423E">
        <w:t>,</w:t>
      </w:r>
      <w:r w:rsidR="006E584A">
        <w:t xml:space="preserve"> je to, aby </w:t>
      </w:r>
      <w:r w:rsidR="004F0BAD">
        <w:t>s ní bylo možné obchodovat.</w:t>
      </w:r>
      <w:r w:rsidR="0022696B">
        <w:t xml:space="preserve"> </w:t>
      </w:r>
      <w:r w:rsidR="0061753B">
        <w:t>V</w:t>
      </w:r>
      <w:r w:rsidR="0022696B">
        <w:t>ýše citované ustanovení § 1335</w:t>
      </w:r>
      <w:r w:rsidR="00654D46">
        <w:t xml:space="preserve"> OZ nám </w:t>
      </w:r>
      <w:r w:rsidR="00A35556">
        <w:t xml:space="preserve">však </w:t>
      </w:r>
      <w:r w:rsidR="0061753B">
        <w:t>stanoví</w:t>
      </w:r>
      <w:r w:rsidR="00A35556" w:rsidRPr="00A35556">
        <w:t xml:space="preserve"> </w:t>
      </w:r>
      <w:r w:rsidR="00A35556">
        <w:t>navíc další podmínku, kterou je postupitelnost takovéto věci.</w:t>
      </w:r>
      <w:r w:rsidR="00B82A68">
        <w:rPr>
          <w:rStyle w:val="Znakapoznpodarou"/>
        </w:rPr>
        <w:footnoteReference w:id="170"/>
      </w:r>
      <w:r w:rsidR="001E0FB3">
        <w:t xml:space="preserve"> </w:t>
      </w:r>
      <w:r w:rsidR="00E6021A">
        <w:lastRenderedPageBreak/>
        <w:t>Nepostupitelnost pohledávky nastává ve třech případech, a to</w:t>
      </w:r>
      <w:r w:rsidR="00993E30">
        <w:t>:</w:t>
      </w:r>
      <w:r w:rsidR="00E6021A">
        <w:t xml:space="preserve"> </w:t>
      </w:r>
      <w:r w:rsidR="00942D3C" w:rsidRPr="00F76F36">
        <w:rPr>
          <w:b/>
          <w:bCs/>
        </w:rPr>
        <w:t>1)</w:t>
      </w:r>
      <w:r w:rsidR="00942D3C">
        <w:t xml:space="preserve"> </w:t>
      </w:r>
      <w:r w:rsidR="00942D3C" w:rsidRPr="004972D7">
        <w:rPr>
          <w:b/>
          <w:bCs/>
        </w:rPr>
        <w:t>na základě smlouvy</w:t>
      </w:r>
      <w:r w:rsidR="00942D3C">
        <w:t>,</w:t>
      </w:r>
      <w:r w:rsidR="002D62E8">
        <w:t xml:space="preserve"> přičemž </w:t>
      </w:r>
      <w:r w:rsidR="00D5433B">
        <w:t xml:space="preserve">takovýto zákaz nastane pouze </w:t>
      </w:r>
      <w:r w:rsidR="000A1FFE">
        <w:t>díky tomu</w:t>
      </w:r>
      <w:r w:rsidR="00D5433B">
        <w:t>, že si strany obligace</w:t>
      </w:r>
      <w:r w:rsidR="00363E23">
        <w:t xml:space="preserve"> postupitelnost</w:t>
      </w:r>
      <w:r w:rsidR="00D5433B">
        <w:t xml:space="preserve"> smluvně vyloučí</w:t>
      </w:r>
      <w:r w:rsidR="0082575A">
        <w:t>, dle § 1881 odst. 1 OZ</w:t>
      </w:r>
      <w:r w:rsidR="0089190D">
        <w:t>,</w:t>
      </w:r>
      <w:r w:rsidR="00942D3C">
        <w:t xml:space="preserve"> </w:t>
      </w:r>
      <w:r w:rsidR="00942D3C" w:rsidRPr="00F76F36">
        <w:rPr>
          <w:b/>
          <w:bCs/>
        </w:rPr>
        <w:t>2)</w:t>
      </w:r>
      <w:r w:rsidR="00942D3C">
        <w:t xml:space="preserve"> </w:t>
      </w:r>
      <w:r w:rsidR="00942D3C" w:rsidRPr="004972D7">
        <w:rPr>
          <w:b/>
          <w:bCs/>
        </w:rPr>
        <w:t>na základě zákona</w:t>
      </w:r>
      <w:r w:rsidR="000E3A1E">
        <w:t xml:space="preserve">, </w:t>
      </w:r>
      <w:r w:rsidR="0040010F">
        <w:t xml:space="preserve">který nám takovýto zákaz </w:t>
      </w:r>
      <w:r w:rsidR="00F41364">
        <w:t xml:space="preserve">výslovně </w:t>
      </w:r>
      <w:r w:rsidR="0040010F">
        <w:t>stanoví v §</w:t>
      </w:r>
      <w:r w:rsidR="00584772">
        <w:t xml:space="preserve"> 1881 odst. 2 OZ</w:t>
      </w:r>
      <w:r w:rsidR="00F41364">
        <w:t xml:space="preserve">: </w:t>
      </w:r>
      <w:r w:rsidR="00F41364" w:rsidRPr="00F41364">
        <w:rPr>
          <w:i/>
          <w:iCs/>
        </w:rPr>
        <w:t>„Nelze postoupit pohledávku, která zaniká smrtí nebo jejíž obsah by se změnou věřitele k tíži dlužníka změnil.“</w:t>
      </w:r>
      <w:r w:rsidR="00AA08B4">
        <w:rPr>
          <w:rStyle w:val="Znakapoznpodarou"/>
          <w:i/>
          <w:iCs/>
        </w:rPr>
        <w:footnoteReference w:id="171"/>
      </w:r>
      <w:r w:rsidR="00F76F36">
        <w:t xml:space="preserve"> </w:t>
      </w:r>
      <w:r w:rsidR="0089190D">
        <w:t xml:space="preserve">Navíc můžeme nalézt </w:t>
      </w:r>
      <w:r w:rsidR="00172FCB">
        <w:t>zákonný zákaz</w:t>
      </w:r>
      <w:r w:rsidR="00727065">
        <w:t xml:space="preserve"> postoupení pohledávky</w:t>
      </w:r>
      <w:r w:rsidR="00172FCB">
        <w:t xml:space="preserve"> i v jiných právních předpisech</w:t>
      </w:r>
      <w:r w:rsidR="00727065">
        <w:t>,</w:t>
      </w:r>
      <w:r w:rsidR="0089190D">
        <w:t xml:space="preserve"> kterými jsou</w:t>
      </w:r>
      <w:r w:rsidR="00727065">
        <w:t xml:space="preserve"> např.</w:t>
      </w:r>
      <w:r w:rsidR="00072A39">
        <w:t xml:space="preserve"> 144a odst. 1 </w:t>
      </w:r>
      <w:r w:rsidR="00040F9E">
        <w:t>ZPr</w:t>
      </w:r>
      <w:r w:rsidR="00D76150">
        <w:t>,</w:t>
      </w:r>
      <w:r w:rsidR="00ED480A">
        <w:rPr>
          <w:rStyle w:val="Znakapoznpodarou"/>
        </w:rPr>
        <w:footnoteReference w:id="172"/>
      </w:r>
      <w:r w:rsidR="00D76150">
        <w:t xml:space="preserve"> či</w:t>
      </w:r>
      <w:r w:rsidR="00040F9E">
        <w:t xml:space="preserve"> § 37 odst. 3</w:t>
      </w:r>
      <w:r w:rsidR="00B443EF">
        <w:t xml:space="preserve"> MajČR.</w:t>
      </w:r>
      <w:r w:rsidR="00ED480A">
        <w:rPr>
          <w:rStyle w:val="Znakapoznpodarou"/>
        </w:rPr>
        <w:footnoteReference w:id="173"/>
      </w:r>
      <w:r w:rsidR="00B443EF">
        <w:t xml:space="preserve"> </w:t>
      </w:r>
      <w:r w:rsidR="00993E30">
        <w:t>anebo</w:t>
      </w:r>
      <w:r w:rsidR="00942D3C">
        <w:t xml:space="preserve"> </w:t>
      </w:r>
      <w:r w:rsidR="00942D3C" w:rsidRPr="00F76F36">
        <w:rPr>
          <w:b/>
          <w:bCs/>
        </w:rPr>
        <w:t>3)</w:t>
      </w:r>
      <w:r w:rsidR="00942D3C">
        <w:t xml:space="preserve"> </w:t>
      </w:r>
      <w:r w:rsidR="00942D3C" w:rsidRPr="004972D7">
        <w:rPr>
          <w:b/>
          <w:bCs/>
        </w:rPr>
        <w:t>na základě rozhodnutí orgánu veřejné</w:t>
      </w:r>
      <w:r w:rsidR="00A51392" w:rsidRPr="004972D7">
        <w:rPr>
          <w:b/>
          <w:bCs/>
        </w:rPr>
        <w:t xml:space="preserve"> moci</w:t>
      </w:r>
      <w:r w:rsidR="0054641B">
        <w:t xml:space="preserve">, přičemž </w:t>
      </w:r>
      <w:r w:rsidR="002E28AE">
        <w:t>sem</w:t>
      </w:r>
      <w:r w:rsidR="0054641B">
        <w:t xml:space="preserve"> bychom mohli zařadit</w:t>
      </w:r>
      <w:r w:rsidR="002E28AE">
        <w:t xml:space="preserve"> zejména </w:t>
      </w:r>
      <w:r w:rsidR="00183B83">
        <w:t xml:space="preserve">procesní </w:t>
      </w:r>
      <w:r w:rsidR="00716696">
        <w:t xml:space="preserve">rozhodnutí, kterým bylo nařízeno </w:t>
      </w:r>
      <w:r w:rsidR="00183B83">
        <w:t>omezení nakládání s</w:t>
      </w:r>
      <w:r w:rsidR="00716696">
        <w:t> </w:t>
      </w:r>
      <w:r w:rsidR="00183B83">
        <w:t>majetkem</w:t>
      </w:r>
      <w:r w:rsidR="00716696">
        <w:t xml:space="preserve">, </w:t>
      </w:r>
      <w:r w:rsidR="00F05F43">
        <w:t xml:space="preserve">ke kterému pohledávka </w:t>
      </w:r>
      <w:r w:rsidR="00701DDF">
        <w:t>náleží</w:t>
      </w:r>
      <w:r w:rsidR="00FA323C">
        <w:t>, např. dle § 44a EŘ</w:t>
      </w:r>
      <w:r w:rsidR="00701DDF">
        <w:rPr>
          <w:rStyle w:val="Znakapoznpodarou"/>
        </w:rPr>
        <w:footnoteReference w:id="174"/>
      </w:r>
      <w:r w:rsidR="006A06AE">
        <w:t>.</w:t>
      </w:r>
      <w:r w:rsidR="006A06AE">
        <w:rPr>
          <w:rStyle w:val="Znakapoznpodarou"/>
        </w:rPr>
        <w:footnoteReference w:id="175"/>
      </w:r>
      <w:r w:rsidR="00C8282F">
        <w:t xml:space="preserve"> </w:t>
      </w:r>
    </w:p>
    <w:p w14:paraId="281B8666" w14:textId="77777777" w:rsidR="00376E91" w:rsidRDefault="00C8282F" w:rsidP="00376E91">
      <w:pPr>
        <w:rPr>
          <w:i/>
          <w:iCs/>
        </w:rPr>
      </w:pPr>
      <w:r>
        <w:t xml:space="preserve">Druhá věta </w:t>
      </w:r>
      <w:r w:rsidR="0020467F">
        <w:t xml:space="preserve">§ </w:t>
      </w:r>
      <w:r w:rsidR="00F64144">
        <w:t>1335 OZ</w:t>
      </w:r>
      <w:r w:rsidR="0020467F">
        <w:t xml:space="preserve"> se nám může </w:t>
      </w:r>
      <w:r w:rsidR="00C02C7A">
        <w:t xml:space="preserve">na první pohled </w:t>
      </w:r>
      <w:r w:rsidR="0020467F">
        <w:t xml:space="preserve">jevit </w:t>
      </w:r>
      <w:r w:rsidR="001D27D7">
        <w:t xml:space="preserve">jako </w:t>
      </w:r>
      <w:r w:rsidR="0020467F">
        <w:t>nej</w:t>
      </w:r>
      <w:r w:rsidR="00F64144">
        <w:t>asná</w:t>
      </w:r>
      <w:r w:rsidR="009F46FF">
        <w:t>, či zvláštní</w:t>
      </w:r>
      <w:r w:rsidR="00F64144">
        <w:t>,</w:t>
      </w:r>
      <w:r w:rsidR="00A33581">
        <w:t xml:space="preserve"> protože</w:t>
      </w:r>
      <w:r w:rsidR="00416B98">
        <w:t xml:space="preserve"> jak píše JUDr. Bezouška, </w:t>
      </w:r>
      <w:r w:rsidR="00512D7E" w:rsidRPr="00C42A60">
        <w:rPr>
          <w:i/>
          <w:iCs/>
        </w:rPr>
        <w:t>„</w:t>
      </w:r>
      <w:r w:rsidR="00A33581" w:rsidRPr="00C42A60">
        <w:rPr>
          <w:i/>
          <w:iCs/>
        </w:rPr>
        <w:t>jaký smysl by mělo použít protipohledávku jen jako zajišťovací prostředek vlastní pohledávky, když lze stejného efektu dosáhnout pohodlněji a jistěji započtením?</w:t>
      </w:r>
      <w:r w:rsidR="00EC67CA" w:rsidRPr="00C42A60">
        <w:rPr>
          <w:i/>
          <w:iCs/>
        </w:rPr>
        <w:t>“</w:t>
      </w:r>
      <w:r w:rsidR="00A33581" w:rsidRPr="0053145C">
        <w:t xml:space="preserve"> </w:t>
      </w:r>
      <w:r w:rsidR="00022470">
        <w:t>A</w:t>
      </w:r>
      <w:r w:rsidR="00F64144">
        <w:t>však</w:t>
      </w:r>
      <w:r w:rsidR="00C02C7A">
        <w:t xml:space="preserve"> podíváme-li se </w:t>
      </w:r>
      <w:r w:rsidR="00512D7E">
        <w:t xml:space="preserve">dále </w:t>
      </w:r>
      <w:r w:rsidR="00C02C7A">
        <w:t xml:space="preserve">do komentářové literatury, </w:t>
      </w:r>
      <w:r w:rsidR="00166443">
        <w:t>jasně pochopíme její smysl</w:t>
      </w:r>
      <w:r w:rsidR="009E27BF">
        <w:t>, ke kterému rovněž</w:t>
      </w:r>
      <w:r w:rsidR="00166443">
        <w:t xml:space="preserve"> JUDr. Bezouška </w:t>
      </w:r>
      <w:r w:rsidR="009E27BF">
        <w:t>doplňuje</w:t>
      </w:r>
      <w:r w:rsidR="0008407A">
        <w:t xml:space="preserve">: </w:t>
      </w:r>
      <w:r w:rsidR="00416B98" w:rsidRPr="00C42A60">
        <w:rPr>
          <w:i/>
          <w:iCs/>
        </w:rPr>
        <w:t>„</w:t>
      </w:r>
      <w:r w:rsidR="0053145C" w:rsidRPr="00C42A60">
        <w:rPr>
          <w:i/>
          <w:iCs/>
        </w:rPr>
        <w:t>Nesmíme však zapomenout, že započtení není vždy možné – například se nemusí jednat o pohledávky stejného druhu, může chybět znak vzájemnosti (zástavní dlužník může zajišťovat pohledávku jiné osoby), započtení může být vyloučeno z důvodu nedostatku likvidity (§ 1987 odst. 2</w:t>
      </w:r>
      <w:r w:rsidR="00C42A60" w:rsidRPr="00C42A60">
        <w:rPr>
          <w:i/>
          <w:iCs/>
        </w:rPr>
        <w:t xml:space="preserve"> OZ</w:t>
      </w:r>
      <w:r w:rsidR="0053145C" w:rsidRPr="00C42A60">
        <w:rPr>
          <w:i/>
          <w:iCs/>
        </w:rPr>
        <w:t>), nebo s ohledem na promlčení pohledávky (§ 1989 odst. 1</w:t>
      </w:r>
      <w:r w:rsidR="00C42A60" w:rsidRPr="00C42A60">
        <w:rPr>
          <w:i/>
          <w:iCs/>
        </w:rPr>
        <w:t xml:space="preserve"> OZ</w:t>
      </w:r>
      <w:r w:rsidR="0053145C" w:rsidRPr="00C42A60">
        <w:rPr>
          <w:i/>
          <w:iCs/>
        </w:rPr>
        <w:t>).</w:t>
      </w:r>
      <w:r w:rsidR="00C42A60" w:rsidRPr="00C42A60">
        <w:rPr>
          <w:i/>
          <w:iCs/>
        </w:rPr>
        <w:t>“</w:t>
      </w:r>
      <w:r w:rsidR="00AA0E5A">
        <w:rPr>
          <w:rStyle w:val="Znakapoznpodarou"/>
        </w:rPr>
        <w:footnoteReference w:id="176"/>
      </w:r>
    </w:p>
    <w:p w14:paraId="6441B080" w14:textId="265166BF" w:rsidR="00316209" w:rsidRDefault="005309F3" w:rsidP="00376E91">
      <w:pPr>
        <w:rPr>
          <w:i/>
          <w:iCs/>
        </w:rPr>
      </w:pPr>
      <w:r>
        <w:t xml:space="preserve">Další </w:t>
      </w:r>
      <w:r w:rsidR="0091531D">
        <w:t>ustanovení ze současné právní úpravy</w:t>
      </w:r>
      <w:r w:rsidR="00C40E51">
        <w:t xml:space="preserve"> o zástavním právu k pohledávce</w:t>
      </w:r>
      <w:r w:rsidR="0091531D">
        <w:t>, které stojí za zmínku je § 1335 odst. 2 OZ</w:t>
      </w:r>
      <w:r w:rsidR="0074308D">
        <w:t xml:space="preserve">, </w:t>
      </w:r>
      <w:r w:rsidR="00090597">
        <w:t>o vzniku a účincíc</w:t>
      </w:r>
      <w:r w:rsidR="000C4B89">
        <w:t xml:space="preserve">h zástavního práva k pohledávce, </w:t>
      </w:r>
      <w:r w:rsidR="00AE30D1">
        <w:t>které shrnuje JUDr. Petra Myšákov</w:t>
      </w:r>
      <w:r w:rsidR="00092E3D">
        <w:t>á</w:t>
      </w:r>
      <w:r w:rsidR="00AE30D1">
        <w:t xml:space="preserve"> v komentářové literatuře takto: </w:t>
      </w:r>
      <w:r w:rsidR="00092E3D" w:rsidRPr="00092E3D">
        <w:rPr>
          <w:i/>
          <w:iCs/>
        </w:rPr>
        <w:t>„Zástavní právo k pohledávce vzniká již účinností zástavní smlouvy (ať již k okamžiku jejího podpisu, či okamžiku pozdějšího určeného ve smlouvě jejími smluvními stranami), a to s výjimkou případů, kdy má být modem</w:t>
      </w:r>
      <w:r w:rsidR="00244EC8">
        <w:rPr>
          <w:i/>
          <w:iCs/>
        </w:rPr>
        <w:t xml:space="preserve"> (způsobem)</w:t>
      </w:r>
      <w:r w:rsidR="00092E3D" w:rsidRPr="00092E3D">
        <w:rPr>
          <w:i/>
          <w:iCs/>
        </w:rPr>
        <w:t xml:space="preserve"> vzniku zástavního práva k pohledávce právě zápis do rejstříku zástav.“</w:t>
      </w:r>
      <w:r w:rsidR="00DA6763">
        <w:rPr>
          <w:rStyle w:val="Znakapoznpodarou"/>
          <w:i/>
          <w:iCs/>
        </w:rPr>
        <w:footnoteReference w:id="177"/>
      </w:r>
      <w:r w:rsidR="00006125">
        <w:t xml:space="preserve"> </w:t>
      </w:r>
      <w:r w:rsidR="0057495C">
        <w:t>Druhou větu § 1335 odst. 2 shrnul</w:t>
      </w:r>
      <w:r w:rsidR="00B94971">
        <w:t xml:space="preserve"> </w:t>
      </w:r>
      <w:r w:rsidR="00217FCB">
        <w:t xml:space="preserve">ve své publikaci </w:t>
      </w:r>
      <w:r w:rsidR="00B94971">
        <w:t>doc. Kindl</w:t>
      </w:r>
      <w:r w:rsidR="00DB4ADE">
        <w:t xml:space="preserve"> tak, že: </w:t>
      </w:r>
      <w:r w:rsidR="00E44C4D" w:rsidRPr="00E44C4D">
        <w:rPr>
          <w:i/>
          <w:iCs/>
        </w:rPr>
        <w:t>„</w:t>
      </w:r>
      <w:r w:rsidR="007C58F7" w:rsidRPr="00E44C4D">
        <w:rPr>
          <w:i/>
          <w:iCs/>
        </w:rPr>
        <w:t>Právních účinků vůči dlužníkovi totiž zástavní právo k pohledávce nabývá</w:t>
      </w:r>
      <w:r w:rsidR="00F511C0" w:rsidRPr="00E44C4D">
        <w:rPr>
          <w:i/>
          <w:iCs/>
        </w:rPr>
        <w:t>, teprve když mu zástavní dlužník zástavní právo oznámí, případně až když mu zástavní věřitel zástavní právo prokáže</w:t>
      </w:r>
      <w:r w:rsidR="00E44C4D" w:rsidRPr="00E44C4D">
        <w:rPr>
          <w:i/>
          <w:iCs/>
        </w:rPr>
        <w:t xml:space="preserve">. </w:t>
      </w:r>
      <w:r w:rsidR="009F0310" w:rsidRPr="00E44C4D">
        <w:rPr>
          <w:i/>
          <w:iCs/>
        </w:rPr>
        <w:t xml:space="preserve">To však kupodivu neplatí </w:t>
      </w:r>
      <w:r w:rsidR="009F0310" w:rsidRPr="00E44C4D">
        <w:rPr>
          <w:i/>
          <w:iCs/>
        </w:rPr>
        <w:lastRenderedPageBreak/>
        <w:t>právě tehdy, pokud si strany ujednaly zápis </w:t>
      </w:r>
      <w:bookmarkStart w:id="40" w:name="highlightHit_105"/>
      <w:bookmarkEnd w:id="40"/>
      <w:r w:rsidR="009F0310" w:rsidRPr="00E44C4D">
        <w:rPr>
          <w:i/>
          <w:iCs/>
        </w:rPr>
        <w:t>zástavního </w:t>
      </w:r>
      <w:bookmarkStart w:id="41" w:name="highlightHit_106"/>
      <w:bookmarkEnd w:id="41"/>
      <w:r w:rsidR="009F0310" w:rsidRPr="00E44C4D">
        <w:rPr>
          <w:i/>
          <w:iCs/>
        </w:rPr>
        <w:t>práva do rejstříku zástav (</w:t>
      </w:r>
      <w:hyperlink r:id="rId16" w:history="1">
        <w:r w:rsidR="009F0310" w:rsidRPr="00E44C4D">
          <w:rPr>
            <w:i/>
            <w:iCs/>
          </w:rPr>
          <w:t>§ 1335</w:t>
        </w:r>
      </w:hyperlink>
      <w:r w:rsidR="009F0310" w:rsidRPr="00E44C4D">
        <w:rPr>
          <w:i/>
          <w:iCs/>
        </w:rPr>
        <w:t> odst. 2 věta druhá ObčZ). Tato nenápadná, leč velmi zásadní konstrukce vytváří pro řadu ekonomicky činných subjektů opravdu nemalé riziko, spočívající v tom, že dlužník zastavené </w:t>
      </w:r>
      <w:bookmarkStart w:id="42" w:name="highlightHit_108"/>
      <w:bookmarkEnd w:id="42"/>
      <w:r w:rsidR="009F0310" w:rsidRPr="00E44C4D">
        <w:rPr>
          <w:i/>
          <w:iCs/>
        </w:rPr>
        <w:t>pohledávky se včas nedozví, že </w:t>
      </w:r>
      <w:bookmarkStart w:id="43" w:name="highlightHit_109"/>
      <w:bookmarkEnd w:id="43"/>
      <w:r w:rsidR="009F0310" w:rsidRPr="00E44C4D">
        <w:rPr>
          <w:i/>
          <w:iCs/>
        </w:rPr>
        <w:t>zástavní </w:t>
      </w:r>
      <w:bookmarkStart w:id="44" w:name="highlightHit_110"/>
      <w:bookmarkEnd w:id="44"/>
      <w:r w:rsidR="009F0310" w:rsidRPr="00E44C4D">
        <w:rPr>
          <w:i/>
          <w:iCs/>
        </w:rPr>
        <w:t>právo už vzniklo (že </w:t>
      </w:r>
      <w:bookmarkStart w:id="45" w:name="highlightHit_111"/>
      <w:bookmarkEnd w:id="45"/>
      <w:r w:rsidR="009F0310" w:rsidRPr="00E44C4D">
        <w:rPr>
          <w:i/>
          <w:iCs/>
        </w:rPr>
        <w:t>k zápisu do rejstříku zástav už došlo).</w:t>
      </w:r>
      <w:r w:rsidR="00E44C4D" w:rsidRPr="00E44C4D">
        <w:rPr>
          <w:i/>
          <w:iCs/>
        </w:rPr>
        <w:t>“</w:t>
      </w:r>
      <w:r w:rsidR="00E22CF5">
        <w:rPr>
          <w:rStyle w:val="Znakapoznpodarou"/>
        </w:rPr>
        <w:footnoteReference w:id="178"/>
      </w:r>
      <w:r w:rsidR="00E03F01">
        <w:t xml:space="preserve"> </w:t>
      </w:r>
      <w:r w:rsidR="00FD2730">
        <w:t xml:space="preserve">Znamenalo by to tedy, že </w:t>
      </w:r>
      <w:r w:rsidR="00EB4D7B">
        <w:t>by se</w:t>
      </w:r>
      <w:r w:rsidR="00C40128">
        <w:t xml:space="preserve"> každý </w:t>
      </w:r>
      <w:r w:rsidR="005E59A8">
        <w:t>poddlužník</w:t>
      </w:r>
      <w:r w:rsidR="00C40128">
        <w:t>, který má v úmyslu plnit svému věřiteli</w:t>
      </w:r>
      <w:r w:rsidR="00A622F9">
        <w:t xml:space="preserve">, musel předtím podívat do </w:t>
      </w:r>
      <w:r w:rsidR="009A0201">
        <w:t xml:space="preserve">rejstříku zástav a případně na základě toho plnit rovnou </w:t>
      </w:r>
      <w:r w:rsidR="005E59A8">
        <w:t xml:space="preserve">zástavnímu věřiteli, </w:t>
      </w:r>
      <w:r w:rsidR="002E1828">
        <w:t>jehož zástavou je právě dluh tohoto poddlužníka.</w:t>
      </w:r>
      <w:r w:rsidR="00EB4D7B">
        <w:t xml:space="preserve"> </w:t>
      </w:r>
      <w:r w:rsidR="00D87973">
        <w:t>Na</w:t>
      </w:r>
      <w:r w:rsidR="00113317">
        <w:t xml:space="preserve"> což navazuje JUDr. Bezouška se závěrem</w:t>
      </w:r>
      <w:r w:rsidR="00316209">
        <w:t xml:space="preserve">, že: </w:t>
      </w:r>
      <w:r w:rsidR="00316209" w:rsidRPr="00632FB8">
        <w:rPr>
          <w:i/>
          <w:iCs/>
        </w:rPr>
        <w:t>„</w:t>
      </w:r>
      <w:r w:rsidR="00316209" w:rsidRPr="00632FB8">
        <w:rPr>
          <w:rFonts w:cs="Times New Roman"/>
          <w:i/>
          <w:iCs/>
          <w:szCs w:val="24"/>
        </w:rPr>
        <w:t>Na každého dlužníka nelze klást povinnost, aby před plněním dluhu nahlížel do rejstříku zástav. Rozumný výklad § 1335 odst. 2 je proto následující: poslední věta se vztahuje pouze k prvnímu z následků uvedených v první větě. Pouze se stanoví, že je-li vznik zástavního práva spojen s registrací v rejstříku zástav, zástavní právo k pohledávce nevznikne účinností zástavní smlouvy, ale právě až zápisem do rejstříku zástav. Druhý následek – nastoupení účinků vůči poddlužníkovi – však nastane pouze tehdy, oznámí-li mu zástavní dlužník, že došlo k zastavení, anebo když mu zástavní věřitel prokáže vznik zástavního práva (shodně Myšáková in Beck2 s. 1406).</w:t>
      </w:r>
      <w:r w:rsidR="00316209" w:rsidRPr="00632FB8">
        <w:rPr>
          <w:i/>
          <w:iCs/>
        </w:rPr>
        <w:t>“</w:t>
      </w:r>
      <w:r w:rsidR="00BB4093">
        <w:rPr>
          <w:rStyle w:val="Znakapoznpodarou"/>
          <w:i/>
          <w:iCs/>
        </w:rPr>
        <w:footnoteReference w:id="179"/>
      </w:r>
    </w:p>
    <w:p w14:paraId="1BDF6775" w14:textId="64EB4282" w:rsidR="00FB4AE5" w:rsidRDefault="007D536C" w:rsidP="00376E91">
      <w:r>
        <w:t>A n</w:t>
      </w:r>
      <w:r w:rsidR="005C423E">
        <w:t xml:space="preserve">akonec, </w:t>
      </w:r>
      <w:r w:rsidR="00792B66">
        <w:t>podíváme-li se na druhou větu</w:t>
      </w:r>
      <w:r w:rsidR="00570B8F">
        <w:t> předmětného frag</w:t>
      </w:r>
      <w:r w:rsidR="00F80550">
        <w:t>m</w:t>
      </w:r>
      <w:r w:rsidR="00570B8F">
        <w:t>entu</w:t>
      </w:r>
      <w:r w:rsidR="005C423E">
        <w:t>,</w:t>
      </w:r>
      <w:r w:rsidR="00F80550">
        <w:t xml:space="preserve"> </w:t>
      </w:r>
      <w:r w:rsidR="00DD2C69">
        <w:t xml:space="preserve">zjistíme, že </w:t>
      </w:r>
      <w:r w:rsidR="00933901">
        <w:t>ustanovení § 1337 OZ</w:t>
      </w:r>
      <w:r w:rsidR="007F6AB5">
        <w:t>, které nám říká</w:t>
      </w:r>
      <w:r w:rsidR="00937041">
        <w:t>, že</w:t>
      </w:r>
      <w:r w:rsidR="00113CA0">
        <w:t xml:space="preserve"> </w:t>
      </w:r>
      <w:r w:rsidR="00BA7D98" w:rsidRPr="00B55AE2">
        <w:rPr>
          <w:i/>
          <w:iCs/>
        </w:rPr>
        <w:t>„</w:t>
      </w:r>
      <w:r w:rsidR="00113CA0" w:rsidRPr="00B55AE2">
        <w:rPr>
          <w:i/>
          <w:iCs/>
        </w:rPr>
        <w:t>p</w:t>
      </w:r>
      <w:r w:rsidR="00937041" w:rsidRPr="00B55AE2">
        <w:rPr>
          <w:i/>
          <w:iCs/>
        </w:rPr>
        <w:t>lní-li se ze zastavené pohledávky peněžní prostředky, vydá zástavní věřitel zástavnímu dlužníkovi vše, co převyšuje zajištěnou pohledávku včetně příslušenství a nákladů, na jejichž náhradu má zástavní věřitel právo. Plní-li se jiná věc, přechází zástavní právo na tuto věc</w:t>
      </w:r>
      <w:r w:rsidR="00113CA0" w:rsidRPr="00B55AE2">
        <w:rPr>
          <w:i/>
          <w:iCs/>
        </w:rPr>
        <w:t>,</w:t>
      </w:r>
      <w:r w:rsidR="00AA7DD2" w:rsidRPr="00B55AE2">
        <w:rPr>
          <w:i/>
          <w:iCs/>
        </w:rPr>
        <w:t>“</w:t>
      </w:r>
      <w:r w:rsidR="00F86B5E">
        <w:rPr>
          <w:rStyle w:val="Znakapoznpodarou"/>
        </w:rPr>
        <w:footnoteReference w:id="180"/>
      </w:r>
      <w:r w:rsidR="00933901">
        <w:t xml:space="preserve"> je v podstatě totožné</w:t>
      </w:r>
      <w:r w:rsidR="00C53824">
        <w:t xml:space="preserve">, </w:t>
      </w:r>
      <w:r w:rsidR="00E802B0">
        <w:t xml:space="preserve">přičemž je pouze doplněno o povinnost vrátit </w:t>
      </w:r>
      <w:r w:rsidR="004C0A19">
        <w:t xml:space="preserve">případný </w:t>
      </w:r>
      <w:r w:rsidR="00E802B0">
        <w:t>přeplatek</w:t>
      </w:r>
      <w:r w:rsidR="00F77752">
        <w:t xml:space="preserve"> (hyperoch</w:t>
      </w:r>
      <w:r w:rsidR="00EE3799">
        <w:t>u)</w:t>
      </w:r>
      <w:r w:rsidR="004C0A19">
        <w:t>, kter</w:t>
      </w:r>
      <w:r w:rsidR="00EE3799">
        <w:t>ý</w:t>
      </w:r>
      <w:r w:rsidR="004C0A19">
        <w:t xml:space="preserve"> </w:t>
      </w:r>
      <w:r w:rsidR="001D31B4">
        <w:t xml:space="preserve">by </w:t>
      </w:r>
      <w:r w:rsidR="004C0A19">
        <w:t xml:space="preserve">zástavní věřitel </w:t>
      </w:r>
      <w:r w:rsidR="00EE3799">
        <w:t>obdržel</w:t>
      </w:r>
      <w:r w:rsidR="004C0A19">
        <w:t xml:space="preserve"> při realizaci zástavního práva</w:t>
      </w:r>
      <w:r w:rsidR="00D249C1">
        <w:t xml:space="preserve"> k</w:t>
      </w:r>
      <w:r w:rsidR="00957DFE">
        <w:t> </w:t>
      </w:r>
      <w:r w:rsidR="00D249C1">
        <w:t>pohledávce</w:t>
      </w:r>
      <w:r w:rsidR="00957DFE">
        <w:t>. Tato povinnost je však obecn</w:t>
      </w:r>
      <w:r w:rsidR="00A819E8">
        <w:t xml:space="preserve">é pravidlo, které souvisí s uhrazovací </w:t>
      </w:r>
      <w:r w:rsidR="003862E2">
        <w:t>funkcí</w:t>
      </w:r>
      <w:r w:rsidR="00A819E8">
        <w:t xml:space="preserve"> zástav</w:t>
      </w:r>
      <w:r w:rsidR="003862E2">
        <w:t>ního práva</w:t>
      </w:r>
      <w:r w:rsidR="002D48CA">
        <w:t xml:space="preserve">, takže </w:t>
      </w:r>
      <w:r w:rsidR="00A12D0A">
        <w:t xml:space="preserve">ji </w:t>
      </w:r>
      <w:r w:rsidR="00066179">
        <w:t>lze</w:t>
      </w:r>
      <w:r w:rsidR="00A12D0A">
        <w:t xml:space="preserve"> analogicky dovodit</w:t>
      </w:r>
      <w:r w:rsidR="00E45BF8">
        <w:t xml:space="preserve"> i </w:t>
      </w:r>
      <w:r w:rsidR="001D1F9B">
        <w:t>u tohoto fragmentu.</w:t>
      </w:r>
    </w:p>
    <w:p w14:paraId="5C09BD61" w14:textId="77777777" w:rsidR="00C86CB1" w:rsidRDefault="001D1F9B" w:rsidP="00376E91">
      <w:r>
        <w:t xml:space="preserve">Z výše uvedeného nám tedy plyne, že zástavní právo k pohledávce </w:t>
      </w:r>
      <w:r w:rsidR="00D17AFE">
        <w:t xml:space="preserve">nedoznalo zásadních změn, avšak praxe </w:t>
      </w:r>
      <w:r w:rsidR="00784395">
        <w:t>vytříbila různé způsoby vzniku</w:t>
      </w:r>
      <w:r w:rsidR="005D1644">
        <w:t>, účinků a například forem</w:t>
      </w:r>
      <w:r w:rsidR="00887D2F">
        <w:t xml:space="preserve">, které se pak promítly </w:t>
      </w:r>
      <w:r w:rsidR="00DD5D8E">
        <w:t>do současné právní úpravy</w:t>
      </w:r>
      <w:r w:rsidR="00C86CB1">
        <w:t>.</w:t>
      </w:r>
    </w:p>
    <w:p w14:paraId="39882E1F" w14:textId="77777777" w:rsidR="000F0126" w:rsidRDefault="000F0126" w:rsidP="00AF08B4">
      <w:pPr>
        <w:pStyle w:val="Nadpis1"/>
        <w:sectPr w:rsidR="000F0126" w:rsidSect="005D75C5">
          <w:pgSz w:w="11906" w:h="16838" w:code="9"/>
          <w:pgMar w:top="1418" w:right="1134" w:bottom="1418" w:left="1701" w:header="709" w:footer="709" w:gutter="0"/>
          <w:cols w:space="708"/>
          <w:docGrid w:linePitch="360"/>
        </w:sectPr>
      </w:pPr>
    </w:p>
    <w:p w14:paraId="4E5F2123" w14:textId="335C4F87" w:rsidR="00AF08B4" w:rsidRDefault="00AF08B4" w:rsidP="00AF08B4">
      <w:pPr>
        <w:pStyle w:val="Nadpis1"/>
      </w:pPr>
      <w:bookmarkStart w:id="49" w:name="_Toc100354951"/>
      <w:r>
        <w:lastRenderedPageBreak/>
        <w:t>Závěr</w:t>
      </w:r>
      <w:bookmarkEnd w:id="49"/>
    </w:p>
    <w:p w14:paraId="24DD4D4C" w14:textId="771D82A7" w:rsidR="005503B4" w:rsidRDefault="00232DFD" w:rsidP="00B11CDD">
      <w:r>
        <w:t>V </w:t>
      </w:r>
      <w:r w:rsidR="001D2624">
        <w:t>této</w:t>
      </w:r>
      <w:r>
        <w:t xml:space="preserve"> práci jsem</w:t>
      </w:r>
      <w:r w:rsidR="00362730">
        <w:t xml:space="preserve"> </w:t>
      </w:r>
      <w:r w:rsidR="00F8363D">
        <w:t>se zabýval</w:t>
      </w:r>
      <w:r>
        <w:t xml:space="preserve"> </w:t>
      </w:r>
      <w:r w:rsidR="00847BFF">
        <w:t>institut</w:t>
      </w:r>
      <w:r w:rsidR="00F8363D">
        <w:t>em</w:t>
      </w:r>
      <w:r w:rsidR="00847BFF">
        <w:t xml:space="preserve"> </w:t>
      </w:r>
      <w:r w:rsidR="00045136">
        <w:t>zástavního</w:t>
      </w:r>
      <w:r w:rsidR="00362730">
        <w:t xml:space="preserve"> práva</w:t>
      </w:r>
      <w:r w:rsidR="00635B44">
        <w:t xml:space="preserve">, které </w:t>
      </w:r>
      <w:r w:rsidR="0088556D">
        <w:t>je</w:t>
      </w:r>
      <w:r w:rsidR="001D2624">
        <w:t xml:space="preserve"> považováno </w:t>
      </w:r>
      <w:r w:rsidR="007040F9">
        <w:t>za</w:t>
      </w:r>
      <w:r w:rsidR="001D2624">
        <w:t xml:space="preserve"> </w:t>
      </w:r>
      <w:r w:rsidR="0088556D">
        <w:t>jedn</w:t>
      </w:r>
      <w:r w:rsidR="001D2624">
        <w:t>o</w:t>
      </w:r>
      <w:r w:rsidR="0088556D">
        <w:t xml:space="preserve"> z věcných práv k</w:t>
      </w:r>
      <w:r w:rsidR="00CE25BF">
        <w:t> </w:t>
      </w:r>
      <w:r w:rsidR="0088556D">
        <w:t>věci</w:t>
      </w:r>
      <w:r w:rsidR="00CE25BF">
        <w:t xml:space="preserve"> cizí</w:t>
      </w:r>
      <w:r w:rsidR="0012662E">
        <w:t xml:space="preserve">, přičemž </w:t>
      </w:r>
      <w:r w:rsidR="006D031F">
        <w:t>se jedná o zajišťovací institut</w:t>
      </w:r>
      <w:r w:rsidR="00CB081E">
        <w:t>, který</w:t>
      </w:r>
      <w:r w:rsidR="006D031F">
        <w:t xml:space="preserve"> </w:t>
      </w:r>
      <w:r w:rsidR="009E6514">
        <w:t>slouží k</w:t>
      </w:r>
      <w:r w:rsidR="006D031F">
        <w:t> zajištění pohledávky</w:t>
      </w:r>
      <w:r w:rsidR="009E6514">
        <w:t>.</w:t>
      </w:r>
      <w:r w:rsidR="006C261B">
        <w:t xml:space="preserve"> </w:t>
      </w:r>
      <w:r w:rsidR="000E5960">
        <w:t xml:space="preserve">Práce je koncipována </w:t>
      </w:r>
      <w:r w:rsidR="005E7347">
        <w:t>tak</w:t>
      </w:r>
      <w:r w:rsidR="000E5960">
        <w:t xml:space="preserve">, že </w:t>
      </w:r>
      <w:r w:rsidR="00451A4E">
        <w:t>se v první části snažím čtenáře uvést do problematiky</w:t>
      </w:r>
      <w:r w:rsidR="00D137D0">
        <w:t xml:space="preserve"> zástavního práva</w:t>
      </w:r>
      <w:r w:rsidR="00041FCC">
        <w:t>. D</w:t>
      </w:r>
      <w:r w:rsidR="00613A66">
        <w:t xml:space="preserve">alší část práce se věnuje zejména zástavnímu právu v době </w:t>
      </w:r>
      <w:r w:rsidR="00D137D0">
        <w:t xml:space="preserve">práva </w:t>
      </w:r>
      <w:r w:rsidR="00613A66">
        <w:t>římského</w:t>
      </w:r>
      <w:r w:rsidR="00D73B84">
        <w:t>,</w:t>
      </w:r>
      <w:r w:rsidR="00972024">
        <w:t xml:space="preserve"> aby měl čtenář jasnou představu o tom, jakou mělo zástavní právo v</w:t>
      </w:r>
      <w:r w:rsidR="00DF2A08">
        <w:t> tomto období podobu</w:t>
      </w:r>
      <w:r w:rsidR="002752D5">
        <w:t xml:space="preserve">. </w:t>
      </w:r>
      <w:r w:rsidR="000A0491">
        <w:t>Primárně</w:t>
      </w:r>
      <w:r w:rsidR="002752D5">
        <w:t xml:space="preserve"> </w:t>
      </w:r>
      <w:r w:rsidR="006D3D14">
        <w:t xml:space="preserve">jsem se pak snažil </w:t>
      </w:r>
      <w:r w:rsidR="003C420D">
        <w:t>vyzdvihnout konec období vývoje</w:t>
      </w:r>
      <w:r w:rsidR="00BF67CB">
        <w:t xml:space="preserve"> zástavního práva</w:t>
      </w:r>
      <w:r w:rsidR="003C420D">
        <w:t>,</w:t>
      </w:r>
      <w:r w:rsidR="00D73B84">
        <w:t xml:space="preserve"> </w:t>
      </w:r>
      <w:r w:rsidR="003C420D">
        <w:t xml:space="preserve">které bylo </w:t>
      </w:r>
      <w:r w:rsidR="00D73B84">
        <w:t xml:space="preserve">završeno </w:t>
      </w:r>
      <w:r w:rsidR="0065726E">
        <w:t xml:space="preserve">jeho </w:t>
      </w:r>
      <w:r w:rsidR="009B2C95">
        <w:t>kodifikací</w:t>
      </w:r>
      <w:r w:rsidR="00F22EB1">
        <w:t xml:space="preserve"> </w:t>
      </w:r>
      <w:r w:rsidR="00492F31">
        <w:t>císaře</w:t>
      </w:r>
      <w:r w:rsidR="005503B4">
        <w:t>m</w:t>
      </w:r>
      <w:r w:rsidR="00492F31">
        <w:t xml:space="preserve"> Justinián</w:t>
      </w:r>
      <w:r w:rsidR="005503B4">
        <w:t>em</w:t>
      </w:r>
      <w:r w:rsidR="00492F31">
        <w:t xml:space="preserve"> I. </w:t>
      </w:r>
      <w:r w:rsidR="001C5D43">
        <w:t>V</w:t>
      </w:r>
      <w:r w:rsidR="005A3E3B">
        <w:t xml:space="preserve"> závěrečné části mé práce jsem se podrobněji </w:t>
      </w:r>
      <w:r w:rsidR="00AF6CEC">
        <w:t>zam</w:t>
      </w:r>
      <w:r w:rsidR="00E20817">
        <w:t>ěřil</w:t>
      </w:r>
      <w:r w:rsidR="005A3E3B">
        <w:t xml:space="preserve"> </w:t>
      </w:r>
      <w:r w:rsidR="00D03865">
        <w:t xml:space="preserve">na fragmenty z pramenů, </w:t>
      </w:r>
      <w:r w:rsidR="00CD67D9">
        <w:t>zejména pak</w:t>
      </w:r>
      <w:r w:rsidR="003E33E0">
        <w:t xml:space="preserve"> z</w:t>
      </w:r>
      <w:r w:rsidR="00E20817">
        <w:t xml:space="preserve"> Digest</w:t>
      </w:r>
      <w:r w:rsidR="00B11CDD">
        <w:t>, abych nalezl odpovědi na výzkumné otázky, které jsem si stanovil v úvodu.</w:t>
      </w:r>
    </w:p>
    <w:p w14:paraId="2F1EF0D6" w14:textId="78E894C5" w:rsidR="008B7520" w:rsidRDefault="003E53D3" w:rsidP="00AF08B4">
      <w:r>
        <w:t>Jako první výzkumná otázka, kterou jsem si</w:t>
      </w:r>
      <w:r w:rsidR="00E91505">
        <w:t xml:space="preserve"> na začátku</w:t>
      </w:r>
      <w:r>
        <w:t xml:space="preserve"> </w:t>
      </w:r>
      <w:r w:rsidR="00F72D90">
        <w:t xml:space="preserve">mé práce </w:t>
      </w:r>
      <w:r>
        <w:t xml:space="preserve">položil, bylo </w:t>
      </w:r>
      <w:r w:rsidR="00A25044">
        <w:t>zjistit, do jaké míry byla zachována úprava zástavního práva z </w:t>
      </w:r>
      <w:r w:rsidR="009A5292">
        <w:t>j</w:t>
      </w:r>
      <w:r w:rsidR="00A25044">
        <w:t>ustiniánské doby</w:t>
      </w:r>
      <w:r w:rsidR="001854AD">
        <w:t>,</w:t>
      </w:r>
      <w:r w:rsidR="00B50F20">
        <w:t xml:space="preserve"> v současné právní úpravě</w:t>
      </w:r>
      <w:r w:rsidR="00E91505">
        <w:t>.</w:t>
      </w:r>
      <w:r w:rsidR="006F0AC0">
        <w:t xml:space="preserve"> Na tuto otázku není úplně jednoznačná odpověď, jelikož právo jako </w:t>
      </w:r>
      <w:r w:rsidR="001078F1">
        <w:t>takové je dynamická entita</w:t>
      </w:r>
      <w:r w:rsidR="001A3319">
        <w:t>, nicméně jak nám vyplynulo</w:t>
      </w:r>
      <w:r w:rsidR="00D70619">
        <w:t xml:space="preserve"> zejména</w:t>
      </w:r>
      <w:r w:rsidR="001A3319">
        <w:t xml:space="preserve"> z poslední části mé práce</w:t>
      </w:r>
      <w:r w:rsidR="00D70619">
        <w:t>, lze spatřovat</w:t>
      </w:r>
      <w:r w:rsidR="006D7AA1">
        <w:t>,</w:t>
      </w:r>
      <w:r w:rsidR="00361C1F">
        <w:t xml:space="preserve"> že </w:t>
      </w:r>
      <w:r w:rsidR="00F55330">
        <w:t xml:space="preserve">římští právníci ve svých fragmentech </w:t>
      </w:r>
      <w:r w:rsidR="00111718">
        <w:t xml:space="preserve">položili základy práva </w:t>
      </w:r>
      <w:r w:rsidR="00FA65CB">
        <w:t xml:space="preserve">pro </w:t>
      </w:r>
      <w:r w:rsidR="003A5B8D">
        <w:t>soudo</w:t>
      </w:r>
      <w:r w:rsidR="003F7F56">
        <w:t>b</w:t>
      </w:r>
      <w:r w:rsidR="00FA65CB">
        <w:t>ou</w:t>
      </w:r>
      <w:r w:rsidR="00111718">
        <w:t xml:space="preserve"> společnost velice dobře</w:t>
      </w:r>
      <w:r w:rsidR="00190217">
        <w:t xml:space="preserve"> a mnohdy zůstala úprava </w:t>
      </w:r>
      <w:r w:rsidR="00F370AA">
        <w:t xml:space="preserve">zástavního práva </w:t>
      </w:r>
      <w:r w:rsidR="000C2C1F">
        <w:t xml:space="preserve">v určitých </w:t>
      </w:r>
      <w:r w:rsidR="003F7F56">
        <w:t>aspektech</w:t>
      </w:r>
      <w:r w:rsidR="000C2C1F">
        <w:t xml:space="preserve"> neporušena</w:t>
      </w:r>
      <w:r w:rsidR="00E06CC9">
        <w:t xml:space="preserve">. </w:t>
      </w:r>
    </w:p>
    <w:p w14:paraId="2AE28BE9" w14:textId="7044F880" w:rsidR="003E53D3" w:rsidRDefault="00E06CC9" w:rsidP="00AF08B4">
      <w:r>
        <w:t>Další výzkumnou otázku, kterou jsem si stanovil</w:t>
      </w:r>
      <w:r w:rsidR="00F370AA">
        <w:t>,</w:t>
      </w:r>
      <w:r>
        <w:t xml:space="preserve"> bylo</w:t>
      </w:r>
      <w:r w:rsidR="00EC3B56">
        <w:t xml:space="preserve"> zjistit, jak římské právo ovlivnilo soukromé moderní právo z pohledu práva zástavního</w:t>
      </w:r>
      <w:r w:rsidR="00C246CD">
        <w:t>.</w:t>
      </w:r>
      <w:r w:rsidR="00873FE9">
        <w:t xml:space="preserve"> Dle mého úsudku se </w:t>
      </w:r>
      <w:r w:rsidR="004B41CD">
        <w:t xml:space="preserve">nedá </w:t>
      </w:r>
      <w:r w:rsidR="0041138B">
        <w:t xml:space="preserve">úplně </w:t>
      </w:r>
      <w:r w:rsidR="004B41CD">
        <w:t>říci, že by jej ovlivnilo přímo, jelikož mezi obdobím římskéh</w:t>
      </w:r>
      <w:r w:rsidR="00964B57">
        <w:t>o práva završeného justiniánskou úpravou</w:t>
      </w:r>
      <w:r w:rsidR="00DB72CD">
        <w:t xml:space="preserve"> a érou moderního </w:t>
      </w:r>
      <w:r w:rsidR="004679DE">
        <w:t>práva v dnešní podobě</w:t>
      </w:r>
      <w:r w:rsidR="008A6CB7">
        <w:t>,</w:t>
      </w:r>
      <w:r w:rsidR="009D70A1">
        <w:t xml:space="preserve"> </w:t>
      </w:r>
      <w:r w:rsidR="006F238A">
        <w:t>stojí pěkná řádka let</w:t>
      </w:r>
      <w:r w:rsidR="00D06E6F">
        <w:t xml:space="preserve">. Nicméně fakt, že se </w:t>
      </w:r>
      <w:r w:rsidR="00474AE1">
        <w:t>až do dnešní doby zachovaly základy, které byly položeny</w:t>
      </w:r>
      <w:r w:rsidR="00EC4A71">
        <w:t xml:space="preserve"> před téměř </w:t>
      </w:r>
      <w:r w:rsidR="00D2645E">
        <w:t>patnácti</w:t>
      </w:r>
      <w:r w:rsidR="00F969C1">
        <w:t xml:space="preserve"> </w:t>
      </w:r>
      <w:r w:rsidR="00D2645E">
        <w:t>sty lety</w:t>
      </w:r>
      <w:r w:rsidR="00F969C1">
        <w:t>, svědčí o tom,</w:t>
      </w:r>
      <w:r w:rsidR="002C1399">
        <w:t xml:space="preserve"> na jak špičkové úrovni </w:t>
      </w:r>
      <w:r w:rsidR="00E11786">
        <w:t>byli právníci, kteří se</w:t>
      </w:r>
      <w:r w:rsidR="00860006">
        <w:t xml:space="preserve"> podíleli na tvorbě tehdejšího </w:t>
      </w:r>
      <w:r w:rsidR="007D2514">
        <w:t xml:space="preserve">zástavního </w:t>
      </w:r>
      <w:r w:rsidR="00860006">
        <w:t>práva</w:t>
      </w:r>
      <w:r w:rsidR="00EA5B53">
        <w:t>, potažmo práva obecně.</w:t>
      </w:r>
    </w:p>
    <w:p w14:paraId="68D91CA0" w14:textId="57D972CF" w:rsidR="00D32B9D" w:rsidRDefault="00C56F88" w:rsidP="00FA203F">
      <w:pPr>
        <w:rPr>
          <w:rFonts w:cs="Times New Roman"/>
          <w:bCs/>
          <w:color w:val="000000" w:themeColor="text1"/>
          <w:szCs w:val="24"/>
        </w:rPr>
      </w:pPr>
      <w:r>
        <w:rPr>
          <w:rFonts w:cs="Times New Roman"/>
          <w:bCs/>
          <w:color w:val="000000" w:themeColor="text1"/>
          <w:szCs w:val="24"/>
        </w:rPr>
        <w:t>Dalším předmětem mého výzkumu bylo zjistit</w:t>
      </w:r>
      <w:r w:rsidR="009A5292">
        <w:rPr>
          <w:rFonts w:cs="Times New Roman"/>
          <w:bCs/>
          <w:color w:val="000000" w:themeColor="text1"/>
          <w:szCs w:val="24"/>
        </w:rPr>
        <w:t>,</w:t>
      </w:r>
      <w:r>
        <w:rPr>
          <w:rFonts w:cs="Times New Roman"/>
          <w:bCs/>
          <w:color w:val="000000" w:themeColor="text1"/>
          <w:szCs w:val="24"/>
        </w:rPr>
        <w:t xml:space="preserve"> </w:t>
      </w:r>
      <w:r w:rsidR="00EC1737">
        <w:rPr>
          <w:rFonts w:cs="Times New Roman"/>
          <w:bCs/>
          <w:color w:val="000000" w:themeColor="text1"/>
          <w:szCs w:val="24"/>
        </w:rPr>
        <w:t xml:space="preserve">zda a </w:t>
      </w:r>
      <w:r w:rsidR="00EC1737" w:rsidRPr="004D0196">
        <w:rPr>
          <w:rFonts w:cs="Times New Roman"/>
          <w:bCs/>
          <w:color w:val="000000" w:themeColor="text1"/>
          <w:szCs w:val="24"/>
        </w:rPr>
        <w:t>v čem se úprava zástavního práva z justiniánské doby liší od té současné a přijít na otázku, proč tomu tak je.</w:t>
      </w:r>
      <w:r w:rsidR="006B2F9D">
        <w:rPr>
          <w:rFonts w:cs="Times New Roman"/>
          <w:bCs/>
          <w:color w:val="000000" w:themeColor="text1"/>
          <w:szCs w:val="24"/>
        </w:rPr>
        <w:t xml:space="preserve"> </w:t>
      </w:r>
      <w:r w:rsidR="009051DA">
        <w:rPr>
          <w:rFonts w:cs="Times New Roman"/>
          <w:bCs/>
          <w:color w:val="000000" w:themeColor="text1"/>
          <w:szCs w:val="24"/>
        </w:rPr>
        <w:t>Právní ú</w:t>
      </w:r>
      <w:r w:rsidR="00DF53ED">
        <w:rPr>
          <w:rFonts w:cs="Times New Roman"/>
          <w:bCs/>
          <w:color w:val="000000" w:themeColor="text1"/>
          <w:szCs w:val="24"/>
        </w:rPr>
        <w:t xml:space="preserve">prava tohoto institutu </w:t>
      </w:r>
      <w:r w:rsidR="009051DA">
        <w:rPr>
          <w:rFonts w:cs="Times New Roman"/>
          <w:bCs/>
          <w:color w:val="000000" w:themeColor="text1"/>
          <w:szCs w:val="24"/>
        </w:rPr>
        <w:t xml:space="preserve">se </w:t>
      </w:r>
      <w:r w:rsidR="00DF53ED">
        <w:rPr>
          <w:rFonts w:cs="Times New Roman"/>
          <w:bCs/>
          <w:color w:val="000000" w:themeColor="text1"/>
          <w:szCs w:val="24"/>
        </w:rPr>
        <w:t>dědila z generace na generaci, resp</w:t>
      </w:r>
      <w:r w:rsidR="009051DA">
        <w:rPr>
          <w:rFonts w:cs="Times New Roman"/>
          <w:bCs/>
          <w:color w:val="000000" w:themeColor="text1"/>
          <w:szCs w:val="24"/>
        </w:rPr>
        <w:t>.</w:t>
      </w:r>
      <w:r w:rsidR="00DF53ED">
        <w:rPr>
          <w:rFonts w:cs="Times New Roman"/>
          <w:bCs/>
          <w:color w:val="000000" w:themeColor="text1"/>
          <w:szCs w:val="24"/>
        </w:rPr>
        <w:t xml:space="preserve"> </w:t>
      </w:r>
      <w:r w:rsidR="00367C09">
        <w:rPr>
          <w:rFonts w:cs="Times New Roman"/>
          <w:bCs/>
          <w:color w:val="000000" w:themeColor="text1"/>
          <w:szCs w:val="24"/>
        </w:rPr>
        <w:t>od</w:t>
      </w:r>
      <w:r w:rsidR="00DF53ED">
        <w:rPr>
          <w:rFonts w:cs="Times New Roman"/>
          <w:bCs/>
          <w:color w:val="000000" w:themeColor="text1"/>
          <w:szCs w:val="24"/>
        </w:rPr>
        <w:t xml:space="preserve"> zákoníku </w:t>
      </w:r>
      <w:r w:rsidR="00367C09">
        <w:rPr>
          <w:rFonts w:cs="Times New Roman"/>
          <w:bCs/>
          <w:color w:val="000000" w:themeColor="text1"/>
          <w:szCs w:val="24"/>
        </w:rPr>
        <w:t>k</w:t>
      </w:r>
      <w:r w:rsidR="00DF53ED">
        <w:rPr>
          <w:rFonts w:cs="Times New Roman"/>
          <w:bCs/>
          <w:color w:val="000000" w:themeColor="text1"/>
          <w:szCs w:val="24"/>
        </w:rPr>
        <w:t xml:space="preserve"> zákoníku</w:t>
      </w:r>
      <w:r w:rsidR="00B35FD1">
        <w:rPr>
          <w:rFonts w:cs="Times New Roman"/>
          <w:bCs/>
          <w:color w:val="000000" w:themeColor="text1"/>
          <w:szCs w:val="24"/>
        </w:rPr>
        <w:t>, a to nejen u nás, ale i v</w:t>
      </w:r>
      <w:r w:rsidR="00BA109E">
        <w:rPr>
          <w:rFonts w:cs="Times New Roman"/>
          <w:bCs/>
          <w:color w:val="000000" w:themeColor="text1"/>
          <w:szCs w:val="24"/>
        </w:rPr>
        <w:t> </w:t>
      </w:r>
      <w:r w:rsidR="00B35FD1">
        <w:rPr>
          <w:rFonts w:cs="Times New Roman"/>
          <w:bCs/>
          <w:color w:val="000000" w:themeColor="text1"/>
          <w:szCs w:val="24"/>
        </w:rPr>
        <w:t>zahraničí</w:t>
      </w:r>
      <w:r w:rsidR="00BA109E">
        <w:rPr>
          <w:rFonts w:cs="Times New Roman"/>
          <w:bCs/>
          <w:color w:val="000000" w:themeColor="text1"/>
          <w:szCs w:val="24"/>
        </w:rPr>
        <w:t>.</w:t>
      </w:r>
      <w:r w:rsidR="001D48C5">
        <w:rPr>
          <w:rFonts w:cs="Times New Roman"/>
          <w:bCs/>
          <w:color w:val="000000" w:themeColor="text1"/>
          <w:szCs w:val="24"/>
        </w:rPr>
        <w:t xml:space="preserve"> </w:t>
      </w:r>
      <w:r w:rsidR="00BA109E">
        <w:rPr>
          <w:rFonts w:cs="Times New Roman"/>
          <w:bCs/>
          <w:color w:val="000000" w:themeColor="text1"/>
          <w:szCs w:val="24"/>
        </w:rPr>
        <w:t xml:space="preserve">Nabízela </w:t>
      </w:r>
      <w:r w:rsidR="001D48C5">
        <w:rPr>
          <w:rFonts w:cs="Times New Roman"/>
          <w:bCs/>
          <w:color w:val="000000" w:themeColor="text1"/>
          <w:szCs w:val="24"/>
        </w:rPr>
        <w:t xml:space="preserve">by se </w:t>
      </w:r>
      <w:r w:rsidR="00BA109E">
        <w:rPr>
          <w:rFonts w:cs="Times New Roman"/>
          <w:bCs/>
          <w:color w:val="000000" w:themeColor="text1"/>
          <w:szCs w:val="24"/>
        </w:rPr>
        <w:t xml:space="preserve">tedy </w:t>
      </w:r>
      <w:r w:rsidR="001D48C5">
        <w:rPr>
          <w:rFonts w:cs="Times New Roman"/>
          <w:bCs/>
          <w:color w:val="000000" w:themeColor="text1"/>
          <w:szCs w:val="24"/>
        </w:rPr>
        <w:t>odpověď</w:t>
      </w:r>
      <w:r w:rsidR="00BA109E">
        <w:rPr>
          <w:rFonts w:cs="Times New Roman"/>
          <w:bCs/>
          <w:color w:val="000000" w:themeColor="text1"/>
          <w:szCs w:val="24"/>
        </w:rPr>
        <w:t>,</w:t>
      </w:r>
      <w:r w:rsidR="00574BD2">
        <w:rPr>
          <w:rFonts w:cs="Times New Roman"/>
          <w:bCs/>
          <w:color w:val="000000" w:themeColor="text1"/>
          <w:szCs w:val="24"/>
        </w:rPr>
        <w:t xml:space="preserve"> že</w:t>
      </w:r>
      <w:r w:rsidR="00302A13">
        <w:rPr>
          <w:rFonts w:cs="Times New Roman"/>
          <w:bCs/>
          <w:color w:val="000000" w:themeColor="text1"/>
          <w:szCs w:val="24"/>
        </w:rPr>
        <w:t xml:space="preserve"> </w:t>
      </w:r>
      <w:r w:rsidR="00574BD2">
        <w:rPr>
          <w:rFonts w:cs="Times New Roman"/>
          <w:bCs/>
          <w:color w:val="000000" w:themeColor="text1"/>
          <w:szCs w:val="24"/>
        </w:rPr>
        <w:t xml:space="preserve">díky svým prvotřídním základům </w:t>
      </w:r>
      <w:r w:rsidR="00302A13">
        <w:rPr>
          <w:rFonts w:cs="Times New Roman"/>
          <w:bCs/>
          <w:color w:val="000000" w:themeColor="text1"/>
          <w:szCs w:val="24"/>
        </w:rPr>
        <w:t xml:space="preserve">by </w:t>
      </w:r>
      <w:r w:rsidR="00574BD2">
        <w:rPr>
          <w:rFonts w:cs="Times New Roman"/>
          <w:bCs/>
          <w:color w:val="000000" w:themeColor="text1"/>
          <w:szCs w:val="24"/>
        </w:rPr>
        <w:t>mohla být zachována a nijak zvlášť se nelišit</w:t>
      </w:r>
      <w:r w:rsidR="00FA6764">
        <w:rPr>
          <w:rFonts w:cs="Times New Roman"/>
          <w:bCs/>
          <w:color w:val="000000" w:themeColor="text1"/>
          <w:szCs w:val="24"/>
        </w:rPr>
        <w:t xml:space="preserve">. </w:t>
      </w:r>
      <w:r w:rsidR="00BA109E">
        <w:rPr>
          <w:rFonts w:cs="Times New Roman"/>
          <w:bCs/>
          <w:color w:val="000000" w:themeColor="text1"/>
          <w:szCs w:val="24"/>
        </w:rPr>
        <w:t xml:space="preserve">Avšak vezmeme-li v potaz </w:t>
      </w:r>
      <w:r w:rsidR="00E65C78">
        <w:rPr>
          <w:rFonts w:cs="Times New Roman"/>
          <w:bCs/>
          <w:color w:val="000000" w:themeColor="text1"/>
          <w:szCs w:val="24"/>
        </w:rPr>
        <w:t xml:space="preserve">dynamiku práva, </w:t>
      </w:r>
      <w:r w:rsidR="0000051E">
        <w:rPr>
          <w:rFonts w:cs="Times New Roman"/>
          <w:bCs/>
          <w:color w:val="000000" w:themeColor="text1"/>
          <w:szCs w:val="24"/>
        </w:rPr>
        <w:t xml:space="preserve">jehož nedílnou součástí je povinnost reagovat na společenský vývoj </w:t>
      </w:r>
      <w:r w:rsidR="00381717">
        <w:rPr>
          <w:rFonts w:cs="Times New Roman"/>
          <w:bCs/>
          <w:color w:val="000000" w:themeColor="text1"/>
          <w:szCs w:val="24"/>
        </w:rPr>
        <w:t>a přispívat k jeho formování</w:t>
      </w:r>
      <w:r w:rsidR="008F0CFD">
        <w:rPr>
          <w:rFonts w:cs="Times New Roman"/>
          <w:bCs/>
          <w:color w:val="000000" w:themeColor="text1"/>
          <w:szCs w:val="24"/>
        </w:rPr>
        <w:t>, není ani možné</w:t>
      </w:r>
      <w:r w:rsidR="005C423E">
        <w:rPr>
          <w:rFonts w:cs="Times New Roman"/>
          <w:bCs/>
          <w:color w:val="000000" w:themeColor="text1"/>
          <w:szCs w:val="24"/>
        </w:rPr>
        <w:t>,</w:t>
      </w:r>
      <w:r w:rsidR="00E1033C">
        <w:rPr>
          <w:rFonts w:cs="Times New Roman"/>
          <w:bCs/>
          <w:color w:val="000000" w:themeColor="text1"/>
          <w:szCs w:val="24"/>
        </w:rPr>
        <w:t xml:space="preserve"> aby zůstalo zástavní právo jako celek zachováno v jeho původní</w:t>
      </w:r>
      <w:r w:rsidR="001315FD">
        <w:rPr>
          <w:rFonts w:cs="Times New Roman"/>
          <w:bCs/>
          <w:color w:val="000000" w:themeColor="text1"/>
          <w:szCs w:val="24"/>
        </w:rPr>
        <w:t>, nezměněné</w:t>
      </w:r>
      <w:r w:rsidR="00E1033C">
        <w:rPr>
          <w:rFonts w:cs="Times New Roman"/>
          <w:bCs/>
          <w:color w:val="000000" w:themeColor="text1"/>
          <w:szCs w:val="24"/>
        </w:rPr>
        <w:t xml:space="preserve"> podobě.</w:t>
      </w:r>
      <w:r w:rsidR="00064733">
        <w:rPr>
          <w:rFonts w:cs="Times New Roman"/>
          <w:bCs/>
          <w:color w:val="000000" w:themeColor="text1"/>
          <w:szCs w:val="24"/>
        </w:rPr>
        <w:t xml:space="preserve"> Pokud by tomu tak bylo, postupem času by se stalo neefektivním a tedy </w:t>
      </w:r>
      <w:r w:rsidR="005C423E">
        <w:rPr>
          <w:rFonts w:cs="Times New Roman"/>
          <w:bCs/>
          <w:color w:val="000000" w:themeColor="text1"/>
          <w:szCs w:val="24"/>
        </w:rPr>
        <w:t>obsoletním</w:t>
      </w:r>
      <w:r w:rsidR="00064733">
        <w:rPr>
          <w:rFonts w:cs="Times New Roman"/>
          <w:bCs/>
          <w:color w:val="000000" w:themeColor="text1"/>
          <w:szCs w:val="24"/>
        </w:rPr>
        <w:t>.</w:t>
      </w:r>
    </w:p>
    <w:p w14:paraId="77BEEDBB" w14:textId="0F3179BF" w:rsidR="00B846DC" w:rsidRDefault="00FA203F" w:rsidP="00EB0B6A">
      <w:pPr>
        <w:rPr>
          <w:rFonts w:cs="Times New Roman"/>
          <w:bCs/>
          <w:color w:val="000000" w:themeColor="text1"/>
          <w:szCs w:val="24"/>
        </w:rPr>
      </w:pPr>
      <w:r w:rsidRPr="00FA203F">
        <w:rPr>
          <w:rFonts w:cs="Times New Roman"/>
          <w:bCs/>
          <w:color w:val="000000" w:themeColor="text1"/>
          <w:szCs w:val="24"/>
        </w:rPr>
        <w:t>Jako poslední výzkumnou otázku, kterou zbývá odpovědět je</w:t>
      </w:r>
      <w:r w:rsidRPr="00FA203F">
        <w:rPr>
          <w:rFonts w:cs="Times New Roman"/>
          <w:bCs/>
          <w:color w:val="000000" w:themeColor="text1"/>
        </w:rPr>
        <w:t>,</w:t>
      </w:r>
      <w:r w:rsidRPr="00FA203F">
        <w:rPr>
          <w:rFonts w:cs="Times New Roman"/>
          <w:bCs/>
          <w:color w:val="000000" w:themeColor="text1"/>
          <w:szCs w:val="24"/>
        </w:rPr>
        <w:t xml:space="preserve"> </w:t>
      </w:r>
      <w:r w:rsidRPr="00FA203F">
        <w:rPr>
          <w:rFonts w:cs="Times New Roman"/>
          <w:bCs/>
          <w:color w:val="000000" w:themeColor="text1"/>
        </w:rPr>
        <w:t>j</w:t>
      </w:r>
      <w:r w:rsidRPr="00FA203F">
        <w:rPr>
          <w:rFonts w:cs="Times New Roman"/>
        </w:rPr>
        <w:t>aký spatřujeme největší kontrast v oblasti zástavního práva, mezi moderním</w:t>
      </w:r>
      <w:r w:rsidR="00F104A2">
        <w:rPr>
          <w:rFonts w:cs="Times New Roman"/>
        </w:rPr>
        <w:t xml:space="preserve"> právem současnosti</w:t>
      </w:r>
      <w:r w:rsidRPr="00FA203F">
        <w:rPr>
          <w:rFonts w:cs="Times New Roman"/>
        </w:rPr>
        <w:t xml:space="preserve"> a právem římským?</w:t>
      </w:r>
      <w:r w:rsidR="00EB0B6A">
        <w:rPr>
          <w:rFonts w:cs="Times New Roman"/>
          <w:bCs/>
          <w:color w:val="000000" w:themeColor="text1"/>
          <w:szCs w:val="24"/>
        </w:rPr>
        <w:t xml:space="preserve"> </w:t>
      </w:r>
      <w:r w:rsidR="00B410C9">
        <w:rPr>
          <w:rFonts w:cs="Times New Roman"/>
          <w:bCs/>
          <w:color w:val="000000" w:themeColor="text1"/>
          <w:szCs w:val="24"/>
        </w:rPr>
        <w:lastRenderedPageBreak/>
        <w:t xml:space="preserve">Pomineme-li </w:t>
      </w:r>
      <w:r w:rsidR="00D66363">
        <w:rPr>
          <w:rFonts w:cs="Times New Roman"/>
          <w:bCs/>
          <w:color w:val="000000" w:themeColor="text1"/>
          <w:szCs w:val="24"/>
        </w:rPr>
        <w:t>již výše popsanou dynamiku práva,</w:t>
      </w:r>
      <w:r w:rsidR="00DA118A">
        <w:rPr>
          <w:rFonts w:cs="Times New Roman"/>
          <w:bCs/>
          <w:color w:val="000000" w:themeColor="text1"/>
          <w:szCs w:val="24"/>
        </w:rPr>
        <w:t xml:space="preserve"> která dala vzniknout například </w:t>
      </w:r>
      <w:r w:rsidR="00567D67">
        <w:rPr>
          <w:rFonts w:cs="Times New Roman"/>
          <w:bCs/>
          <w:color w:val="000000" w:themeColor="text1"/>
          <w:szCs w:val="24"/>
        </w:rPr>
        <w:t>zastavení podílu v korporaci, či zastavení cenného</w:t>
      </w:r>
      <w:r w:rsidR="009C3535">
        <w:rPr>
          <w:rFonts w:cs="Times New Roman"/>
          <w:bCs/>
          <w:color w:val="000000" w:themeColor="text1"/>
          <w:szCs w:val="24"/>
        </w:rPr>
        <w:t xml:space="preserve"> papíru nebo zaknihovaného papíru, což jsou specifické </w:t>
      </w:r>
      <w:r w:rsidR="008943D0">
        <w:rPr>
          <w:rFonts w:cs="Times New Roman"/>
          <w:bCs/>
          <w:color w:val="000000" w:themeColor="text1"/>
          <w:szCs w:val="24"/>
        </w:rPr>
        <w:t>předmět</w:t>
      </w:r>
      <w:r w:rsidR="00383102">
        <w:rPr>
          <w:rFonts w:cs="Times New Roman"/>
          <w:bCs/>
          <w:color w:val="000000" w:themeColor="text1"/>
          <w:szCs w:val="24"/>
        </w:rPr>
        <w:t>y</w:t>
      </w:r>
      <w:r w:rsidR="00A81BC4">
        <w:rPr>
          <w:rFonts w:cs="Times New Roman"/>
          <w:bCs/>
          <w:color w:val="000000" w:themeColor="text1"/>
          <w:szCs w:val="24"/>
        </w:rPr>
        <w:t xml:space="preserve"> zástavního práva</w:t>
      </w:r>
      <w:r w:rsidR="009621DF">
        <w:rPr>
          <w:rFonts w:cs="Times New Roman"/>
          <w:bCs/>
          <w:color w:val="000000" w:themeColor="text1"/>
          <w:szCs w:val="24"/>
        </w:rPr>
        <w:t xml:space="preserve"> v současné právní úpravě</w:t>
      </w:r>
      <w:r w:rsidR="00DB7300">
        <w:rPr>
          <w:rFonts w:cs="Times New Roman"/>
          <w:bCs/>
          <w:color w:val="000000" w:themeColor="text1"/>
          <w:szCs w:val="24"/>
        </w:rPr>
        <w:t>,</w:t>
      </w:r>
      <w:r w:rsidR="00660FBB">
        <w:rPr>
          <w:rFonts w:cs="Times New Roman"/>
          <w:bCs/>
          <w:color w:val="000000" w:themeColor="text1"/>
          <w:szCs w:val="24"/>
        </w:rPr>
        <w:t xml:space="preserve"> </w:t>
      </w:r>
      <w:r w:rsidR="00FC2574">
        <w:rPr>
          <w:rFonts w:cs="Times New Roman"/>
          <w:bCs/>
          <w:color w:val="000000" w:themeColor="text1"/>
          <w:szCs w:val="24"/>
        </w:rPr>
        <w:t>určitý</w:t>
      </w:r>
      <w:r w:rsidR="00660FBB">
        <w:rPr>
          <w:rFonts w:cs="Times New Roman"/>
          <w:bCs/>
          <w:color w:val="000000" w:themeColor="text1"/>
          <w:szCs w:val="24"/>
        </w:rPr>
        <w:t xml:space="preserve"> kontrast bych pravděpodobně spatřoval ve formě</w:t>
      </w:r>
      <w:r w:rsidR="00972DC3">
        <w:rPr>
          <w:rFonts w:cs="Times New Roman"/>
          <w:bCs/>
          <w:color w:val="000000" w:themeColor="text1"/>
          <w:szCs w:val="24"/>
        </w:rPr>
        <w:t xml:space="preserve"> pro zřízení zástavního práva</w:t>
      </w:r>
      <w:r w:rsidR="0098699F">
        <w:rPr>
          <w:rFonts w:cs="Times New Roman"/>
          <w:bCs/>
          <w:color w:val="000000" w:themeColor="text1"/>
          <w:szCs w:val="24"/>
        </w:rPr>
        <w:t>, která je</w:t>
      </w:r>
      <w:r w:rsidR="00535872">
        <w:rPr>
          <w:rFonts w:cs="Times New Roman"/>
          <w:bCs/>
          <w:color w:val="000000" w:themeColor="text1"/>
          <w:szCs w:val="24"/>
        </w:rPr>
        <w:t xml:space="preserve"> </w:t>
      </w:r>
      <w:r w:rsidR="00182639">
        <w:rPr>
          <w:rFonts w:cs="Times New Roman"/>
          <w:bCs/>
          <w:color w:val="000000" w:themeColor="text1"/>
          <w:szCs w:val="24"/>
        </w:rPr>
        <w:t>za</w:t>
      </w:r>
      <w:r w:rsidR="00535872">
        <w:rPr>
          <w:rFonts w:cs="Times New Roman"/>
          <w:bCs/>
          <w:color w:val="000000" w:themeColor="text1"/>
          <w:szCs w:val="24"/>
        </w:rPr>
        <w:t xml:space="preserve"> určitých </w:t>
      </w:r>
      <w:r w:rsidR="00182639">
        <w:rPr>
          <w:rFonts w:cs="Times New Roman"/>
          <w:bCs/>
          <w:color w:val="000000" w:themeColor="text1"/>
          <w:szCs w:val="24"/>
        </w:rPr>
        <w:t>okolností</w:t>
      </w:r>
      <w:r w:rsidR="0098699F">
        <w:rPr>
          <w:rFonts w:cs="Times New Roman"/>
          <w:bCs/>
          <w:color w:val="000000" w:themeColor="text1"/>
          <w:szCs w:val="24"/>
        </w:rPr>
        <w:t xml:space="preserve"> stanovena</w:t>
      </w:r>
      <w:r w:rsidR="00535872">
        <w:rPr>
          <w:rFonts w:cs="Times New Roman"/>
          <w:bCs/>
          <w:color w:val="000000" w:themeColor="text1"/>
          <w:szCs w:val="24"/>
        </w:rPr>
        <w:t xml:space="preserve"> v písemné podobě, ba </w:t>
      </w:r>
      <w:r w:rsidR="00182639">
        <w:rPr>
          <w:rFonts w:cs="Times New Roman"/>
          <w:bCs/>
          <w:color w:val="000000" w:themeColor="text1"/>
          <w:szCs w:val="24"/>
        </w:rPr>
        <w:t xml:space="preserve">dokonce </w:t>
      </w:r>
      <w:r w:rsidR="00C3303F">
        <w:rPr>
          <w:rFonts w:cs="Times New Roman"/>
          <w:bCs/>
          <w:color w:val="000000" w:themeColor="text1"/>
          <w:szCs w:val="24"/>
        </w:rPr>
        <w:t>v podobě veřejné listiny</w:t>
      </w:r>
      <w:r w:rsidR="00D60965">
        <w:rPr>
          <w:rFonts w:cs="Times New Roman"/>
          <w:bCs/>
          <w:color w:val="000000" w:themeColor="text1"/>
          <w:szCs w:val="24"/>
        </w:rPr>
        <w:t xml:space="preserve">, </w:t>
      </w:r>
      <w:r w:rsidR="00927CE8">
        <w:rPr>
          <w:rFonts w:cs="Times New Roman"/>
          <w:bCs/>
          <w:color w:val="000000" w:themeColor="text1"/>
          <w:szCs w:val="24"/>
        </w:rPr>
        <w:t>je-li</w:t>
      </w:r>
      <w:r w:rsidR="00D60965">
        <w:rPr>
          <w:rFonts w:cs="Times New Roman"/>
          <w:bCs/>
          <w:color w:val="000000" w:themeColor="text1"/>
          <w:szCs w:val="24"/>
        </w:rPr>
        <w:t xml:space="preserve"> </w:t>
      </w:r>
      <w:r w:rsidR="00BF1D1E">
        <w:rPr>
          <w:rFonts w:cs="Times New Roman"/>
          <w:bCs/>
          <w:color w:val="000000" w:themeColor="text1"/>
          <w:szCs w:val="24"/>
        </w:rPr>
        <w:t>dán</w:t>
      </w:r>
      <w:r w:rsidR="00927CE8">
        <w:rPr>
          <w:rFonts w:cs="Times New Roman"/>
          <w:bCs/>
          <w:color w:val="000000" w:themeColor="text1"/>
          <w:szCs w:val="24"/>
        </w:rPr>
        <w:t xml:space="preserve"> zvýšený</w:t>
      </w:r>
      <w:r w:rsidR="00BF1D1E">
        <w:rPr>
          <w:rFonts w:cs="Times New Roman"/>
          <w:bCs/>
          <w:color w:val="000000" w:themeColor="text1"/>
          <w:szCs w:val="24"/>
        </w:rPr>
        <w:t xml:space="preserve"> veřejný zájem</w:t>
      </w:r>
      <w:r w:rsidR="007A646A">
        <w:rPr>
          <w:rFonts w:cs="Times New Roman"/>
          <w:bCs/>
          <w:color w:val="000000" w:themeColor="text1"/>
          <w:szCs w:val="24"/>
        </w:rPr>
        <w:t>.</w:t>
      </w:r>
    </w:p>
    <w:p w14:paraId="6F772DE0" w14:textId="4347977E" w:rsidR="00700497" w:rsidRDefault="007A646A" w:rsidP="00700497">
      <w:pPr>
        <w:rPr>
          <w:rFonts w:cs="Times New Roman"/>
          <w:bCs/>
          <w:color w:val="000000" w:themeColor="text1"/>
          <w:szCs w:val="24"/>
        </w:rPr>
      </w:pPr>
      <w:r>
        <w:rPr>
          <w:rFonts w:cs="Times New Roman"/>
          <w:bCs/>
          <w:color w:val="000000" w:themeColor="text1"/>
          <w:szCs w:val="24"/>
        </w:rPr>
        <w:t xml:space="preserve">Dalším prvkem, který se mi jeví </w:t>
      </w:r>
      <w:r w:rsidR="00B846DC">
        <w:rPr>
          <w:rFonts w:cs="Times New Roman"/>
          <w:bCs/>
          <w:color w:val="000000" w:themeColor="text1"/>
          <w:szCs w:val="24"/>
        </w:rPr>
        <w:t>rozdílný</w:t>
      </w:r>
      <w:r>
        <w:rPr>
          <w:rFonts w:cs="Times New Roman"/>
          <w:bCs/>
          <w:color w:val="000000" w:themeColor="text1"/>
          <w:szCs w:val="24"/>
        </w:rPr>
        <w:t>, je obecnost současné právní úpravy</w:t>
      </w:r>
      <w:r w:rsidR="00D06AA3">
        <w:rPr>
          <w:rFonts w:cs="Times New Roman"/>
          <w:bCs/>
          <w:color w:val="000000" w:themeColor="text1"/>
          <w:szCs w:val="24"/>
        </w:rPr>
        <w:t>, ze které později vycházíme v různých skutkových situací</w:t>
      </w:r>
      <w:r w:rsidR="00736EAA">
        <w:rPr>
          <w:rFonts w:cs="Times New Roman"/>
          <w:bCs/>
          <w:color w:val="000000" w:themeColor="text1"/>
          <w:szCs w:val="24"/>
        </w:rPr>
        <w:t>ch</w:t>
      </w:r>
      <w:r w:rsidR="00453023">
        <w:rPr>
          <w:rFonts w:cs="Times New Roman"/>
          <w:bCs/>
          <w:color w:val="000000" w:themeColor="text1"/>
          <w:szCs w:val="24"/>
        </w:rPr>
        <w:t xml:space="preserve">. </w:t>
      </w:r>
      <w:r w:rsidR="001C7A0D">
        <w:rPr>
          <w:rFonts w:cs="Times New Roman"/>
          <w:bCs/>
          <w:color w:val="000000" w:themeColor="text1"/>
          <w:szCs w:val="24"/>
        </w:rPr>
        <w:t>Římskoprávní úprava naopak vycházela z</w:t>
      </w:r>
      <w:r w:rsidR="00F7726C">
        <w:rPr>
          <w:rFonts w:cs="Times New Roman"/>
          <w:bCs/>
          <w:color w:val="000000" w:themeColor="text1"/>
          <w:szCs w:val="24"/>
        </w:rPr>
        <w:t> konkrétních modelových situací, popsaných římskými právníky</w:t>
      </w:r>
      <w:r w:rsidR="00412017">
        <w:rPr>
          <w:rFonts w:cs="Times New Roman"/>
          <w:bCs/>
          <w:color w:val="000000" w:themeColor="text1"/>
          <w:szCs w:val="24"/>
        </w:rPr>
        <w:t>.</w:t>
      </w:r>
      <w:r w:rsidR="005B4FFA">
        <w:rPr>
          <w:rFonts w:cs="Times New Roman"/>
          <w:bCs/>
          <w:color w:val="000000" w:themeColor="text1"/>
          <w:szCs w:val="24"/>
        </w:rPr>
        <w:t xml:space="preserve"> Dle mého poznatku </w:t>
      </w:r>
      <w:r w:rsidR="00E2576E">
        <w:rPr>
          <w:rFonts w:cs="Times New Roman"/>
          <w:bCs/>
          <w:color w:val="000000" w:themeColor="text1"/>
          <w:szCs w:val="24"/>
        </w:rPr>
        <w:t>si však dovolím tvrdit, že ony modelové situace</w:t>
      </w:r>
      <w:r w:rsidR="003B694D">
        <w:rPr>
          <w:rFonts w:cs="Times New Roman"/>
          <w:bCs/>
          <w:color w:val="000000" w:themeColor="text1"/>
          <w:szCs w:val="24"/>
        </w:rPr>
        <w:t>,</w:t>
      </w:r>
      <w:r w:rsidR="00E2576E">
        <w:rPr>
          <w:rFonts w:cs="Times New Roman"/>
          <w:bCs/>
          <w:color w:val="000000" w:themeColor="text1"/>
          <w:szCs w:val="24"/>
        </w:rPr>
        <w:t xml:space="preserve"> byly </w:t>
      </w:r>
      <w:r w:rsidR="00946BC0">
        <w:rPr>
          <w:rFonts w:cs="Times New Roman"/>
          <w:bCs/>
          <w:color w:val="000000" w:themeColor="text1"/>
          <w:szCs w:val="24"/>
        </w:rPr>
        <w:t>mnohdy</w:t>
      </w:r>
      <w:r w:rsidR="00E2576E">
        <w:rPr>
          <w:rFonts w:cs="Times New Roman"/>
          <w:bCs/>
          <w:color w:val="000000" w:themeColor="text1"/>
          <w:szCs w:val="24"/>
        </w:rPr>
        <w:t xml:space="preserve"> tak skvěle zpracovány a sepsány, že </w:t>
      </w:r>
      <w:r w:rsidR="00946BC0">
        <w:rPr>
          <w:rFonts w:cs="Times New Roman"/>
          <w:bCs/>
          <w:color w:val="000000" w:themeColor="text1"/>
          <w:szCs w:val="24"/>
        </w:rPr>
        <w:t xml:space="preserve">z nich bylo možné </w:t>
      </w:r>
      <w:r w:rsidR="00E2576E">
        <w:rPr>
          <w:rFonts w:cs="Times New Roman"/>
          <w:bCs/>
          <w:color w:val="000000" w:themeColor="text1"/>
          <w:szCs w:val="24"/>
        </w:rPr>
        <w:t>vyvodit obecný závěr</w:t>
      </w:r>
      <w:r w:rsidR="00343BF9">
        <w:rPr>
          <w:rFonts w:cs="Times New Roman"/>
          <w:bCs/>
          <w:color w:val="000000" w:themeColor="text1"/>
          <w:szCs w:val="24"/>
        </w:rPr>
        <w:t xml:space="preserve"> a </w:t>
      </w:r>
      <w:r w:rsidR="00C31ED1">
        <w:rPr>
          <w:rFonts w:cs="Times New Roman"/>
          <w:bCs/>
          <w:color w:val="000000" w:themeColor="text1"/>
          <w:szCs w:val="24"/>
        </w:rPr>
        <w:t xml:space="preserve">posléze jej </w:t>
      </w:r>
      <w:r w:rsidR="00343BF9">
        <w:rPr>
          <w:rFonts w:cs="Times New Roman"/>
          <w:bCs/>
          <w:color w:val="000000" w:themeColor="text1"/>
          <w:szCs w:val="24"/>
        </w:rPr>
        <w:t>aplikovat</w:t>
      </w:r>
      <w:r w:rsidR="00C31ED1">
        <w:rPr>
          <w:rFonts w:cs="Times New Roman"/>
          <w:bCs/>
          <w:color w:val="000000" w:themeColor="text1"/>
          <w:szCs w:val="24"/>
        </w:rPr>
        <w:t xml:space="preserve"> </w:t>
      </w:r>
      <w:r w:rsidR="00704EFC">
        <w:rPr>
          <w:rFonts w:cs="Times New Roman"/>
          <w:bCs/>
          <w:color w:val="000000" w:themeColor="text1"/>
          <w:szCs w:val="24"/>
        </w:rPr>
        <w:t>i na jiné</w:t>
      </w:r>
      <w:r w:rsidR="00636CCC">
        <w:rPr>
          <w:rFonts w:cs="Times New Roman"/>
          <w:bCs/>
          <w:color w:val="000000" w:themeColor="text1"/>
          <w:szCs w:val="24"/>
        </w:rPr>
        <w:t xml:space="preserve">, skutkově odlišné situace. </w:t>
      </w:r>
      <w:r w:rsidR="002D500E">
        <w:rPr>
          <w:rFonts w:cs="Times New Roman"/>
          <w:bCs/>
          <w:color w:val="000000" w:themeColor="text1"/>
          <w:szCs w:val="24"/>
        </w:rPr>
        <w:t xml:space="preserve"> </w:t>
      </w:r>
      <w:r w:rsidR="00BD499D">
        <w:rPr>
          <w:rFonts w:cs="Times New Roman"/>
          <w:bCs/>
          <w:color w:val="000000" w:themeColor="text1"/>
          <w:szCs w:val="24"/>
        </w:rPr>
        <w:t xml:space="preserve">Nakonec lze spatřit znamenitý kontrast </w:t>
      </w:r>
      <w:r w:rsidR="007877B8">
        <w:rPr>
          <w:rFonts w:cs="Times New Roman"/>
          <w:bCs/>
          <w:color w:val="000000" w:themeColor="text1"/>
          <w:szCs w:val="24"/>
        </w:rPr>
        <w:t>u čekacích lhůt</w:t>
      </w:r>
      <w:r w:rsidR="006637FA">
        <w:rPr>
          <w:rFonts w:cs="Times New Roman"/>
          <w:bCs/>
          <w:color w:val="000000" w:themeColor="text1"/>
          <w:szCs w:val="24"/>
        </w:rPr>
        <w:t>, které nastávají</w:t>
      </w:r>
      <w:r w:rsidR="007877B8">
        <w:rPr>
          <w:rFonts w:cs="Times New Roman"/>
          <w:bCs/>
          <w:color w:val="000000" w:themeColor="text1"/>
          <w:szCs w:val="24"/>
        </w:rPr>
        <w:t xml:space="preserve"> po oznámení realizace zástavního práva, </w:t>
      </w:r>
      <w:r w:rsidR="006637FA">
        <w:rPr>
          <w:rFonts w:cs="Times New Roman"/>
          <w:bCs/>
          <w:color w:val="000000" w:themeColor="text1"/>
          <w:szCs w:val="24"/>
        </w:rPr>
        <w:t>přičemž se zkrátily z</w:t>
      </w:r>
      <w:r w:rsidR="006001DB">
        <w:rPr>
          <w:rFonts w:cs="Times New Roman"/>
          <w:bCs/>
          <w:color w:val="000000" w:themeColor="text1"/>
          <w:szCs w:val="24"/>
        </w:rPr>
        <w:t>e</w:t>
      </w:r>
      <w:r w:rsidR="006637FA">
        <w:rPr>
          <w:rFonts w:cs="Times New Roman"/>
          <w:bCs/>
          <w:color w:val="000000" w:themeColor="text1"/>
          <w:szCs w:val="24"/>
        </w:rPr>
        <w:t> dvou let</w:t>
      </w:r>
      <w:r w:rsidR="00393D6E">
        <w:rPr>
          <w:rFonts w:cs="Times New Roman"/>
          <w:bCs/>
          <w:color w:val="000000" w:themeColor="text1"/>
          <w:szCs w:val="24"/>
        </w:rPr>
        <w:t xml:space="preserve"> na minimálních třicet dnů.</w:t>
      </w:r>
      <w:r w:rsidR="0006790C">
        <w:rPr>
          <w:rFonts w:cs="Times New Roman"/>
          <w:bCs/>
          <w:color w:val="000000" w:themeColor="text1"/>
          <w:szCs w:val="24"/>
        </w:rPr>
        <w:t xml:space="preserve">  </w:t>
      </w:r>
      <w:r w:rsidR="008C2729">
        <w:rPr>
          <w:rFonts w:cs="Times New Roman"/>
          <w:bCs/>
          <w:color w:val="000000" w:themeColor="text1"/>
          <w:szCs w:val="24"/>
        </w:rPr>
        <w:t xml:space="preserve"> </w:t>
      </w:r>
    </w:p>
    <w:p w14:paraId="5E0A60F7" w14:textId="314AA248" w:rsidR="00991930" w:rsidRPr="002E3B01" w:rsidRDefault="004B6CD7" w:rsidP="002E3B01">
      <w:pPr>
        <w:rPr>
          <w:rFonts w:cs="Times New Roman"/>
          <w:bCs/>
          <w:color w:val="000000" w:themeColor="text1"/>
          <w:szCs w:val="24"/>
        </w:rPr>
      </w:pPr>
      <w:r>
        <w:rPr>
          <w:rFonts w:cs="Times New Roman"/>
          <w:bCs/>
          <w:color w:val="000000" w:themeColor="text1"/>
          <w:szCs w:val="24"/>
        </w:rPr>
        <w:t>Na závěr p</w:t>
      </w:r>
      <w:r w:rsidR="00720217">
        <w:rPr>
          <w:rFonts w:cs="Times New Roman"/>
          <w:bCs/>
          <w:color w:val="000000" w:themeColor="text1"/>
          <w:szCs w:val="24"/>
        </w:rPr>
        <w:t xml:space="preserve">ovažuji za nutné zmínit, že fragmenty, ze kterých jsem ve své práci vycházel, jakožto justiniánská římskoprávní úprava tohoto institutu, nám umožňují nahlédnout </w:t>
      </w:r>
      <w:r w:rsidR="0014625E">
        <w:rPr>
          <w:rFonts w:cs="Times New Roman"/>
          <w:bCs/>
          <w:color w:val="000000" w:themeColor="text1"/>
          <w:szCs w:val="24"/>
        </w:rPr>
        <w:t>„</w:t>
      </w:r>
      <w:r w:rsidR="00720217">
        <w:rPr>
          <w:rFonts w:cs="Times New Roman"/>
          <w:bCs/>
          <w:color w:val="000000" w:themeColor="text1"/>
          <w:szCs w:val="24"/>
        </w:rPr>
        <w:t>pod pokličku</w:t>
      </w:r>
      <w:r w:rsidR="0014625E">
        <w:rPr>
          <w:rFonts w:cs="Times New Roman"/>
          <w:bCs/>
          <w:color w:val="000000" w:themeColor="text1"/>
          <w:szCs w:val="24"/>
        </w:rPr>
        <w:t>“</w:t>
      </w:r>
      <w:r w:rsidR="00720217">
        <w:rPr>
          <w:rFonts w:cs="Times New Roman"/>
          <w:bCs/>
          <w:color w:val="000000" w:themeColor="text1"/>
          <w:szCs w:val="24"/>
        </w:rPr>
        <w:t xml:space="preserve"> a </w:t>
      </w:r>
      <w:r w:rsidR="0014625E">
        <w:rPr>
          <w:rFonts w:cs="Times New Roman"/>
          <w:bCs/>
          <w:color w:val="000000" w:themeColor="text1"/>
          <w:szCs w:val="24"/>
        </w:rPr>
        <w:t>poskytnou</w:t>
      </w:r>
      <w:r w:rsidR="00AC3DA2">
        <w:rPr>
          <w:rFonts w:cs="Times New Roman"/>
          <w:bCs/>
          <w:color w:val="000000" w:themeColor="text1"/>
          <w:szCs w:val="24"/>
        </w:rPr>
        <w:t>t</w:t>
      </w:r>
      <w:r w:rsidR="00720217">
        <w:rPr>
          <w:rFonts w:cs="Times New Roman"/>
          <w:bCs/>
          <w:color w:val="000000" w:themeColor="text1"/>
          <w:szCs w:val="24"/>
        </w:rPr>
        <w:t xml:space="preserve"> tak představu</w:t>
      </w:r>
      <w:r w:rsidR="00AC3DA2">
        <w:rPr>
          <w:rFonts w:cs="Times New Roman"/>
          <w:bCs/>
          <w:color w:val="000000" w:themeColor="text1"/>
          <w:szCs w:val="24"/>
        </w:rPr>
        <w:t xml:space="preserve"> o tom</w:t>
      </w:r>
      <w:r w:rsidR="00720217">
        <w:rPr>
          <w:rFonts w:cs="Times New Roman"/>
          <w:bCs/>
          <w:color w:val="000000" w:themeColor="text1"/>
          <w:szCs w:val="24"/>
        </w:rPr>
        <w:t xml:space="preserve">, jak to v tehdejší době </w:t>
      </w:r>
      <w:r w:rsidR="002A2B07">
        <w:rPr>
          <w:rFonts w:cs="Times New Roman"/>
          <w:bCs/>
          <w:color w:val="000000" w:themeColor="text1"/>
          <w:szCs w:val="24"/>
        </w:rPr>
        <w:t xml:space="preserve">asi </w:t>
      </w:r>
      <w:r w:rsidR="00720217">
        <w:rPr>
          <w:rFonts w:cs="Times New Roman"/>
          <w:bCs/>
          <w:color w:val="000000" w:themeColor="text1"/>
          <w:szCs w:val="24"/>
        </w:rPr>
        <w:t>vypadalo. Na mnoha místech je však úprava kusá a neznáme všechny okolnosti pro to, abychom si mohli vytvořit ucelený obraz se vším všudy, bez potřeby jej dovozovat jinými způsoby.</w:t>
      </w:r>
      <w:r w:rsidR="00C0120E">
        <w:rPr>
          <w:rFonts w:cs="Times New Roman"/>
          <w:bCs/>
          <w:color w:val="000000" w:themeColor="text1"/>
          <w:szCs w:val="24"/>
        </w:rPr>
        <w:t xml:space="preserve"> </w:t>
      </w:r>
      <w:r w:rsidR="008D46C0">
        <w:rPr>
          <w:rFonts w:cs="Times New Roman"/>
          <w:bCs/>
          <w:color w:val="000000" w:themeColor="text1"/>
          <w:szCs w:val="24"/>
        </w:rPr>
        <w:t xml:space="preserve">Nelze však v souhrnu popřít </w:t>
      </w:r>
      <w:r w:rsidR="00EF2FB8">
        <w:rPr>
          <w:rFonts w:cs="Times New Roman"/>
          <w:bCs/>
          <w:color w:val="000000" w:themeColor="text1"/>
          <w:szCs w:val="24"/>
        </w:rPr>
        <w:t xml:space="preserve">fakt, že </w:t>
      </w:r>
      <w:r w:rsidR="00E80A3D">
        <w:rPr>
          <w:rFonts w:cs="Times New Roman"/>
          <w:bCs/>
          <w:color w:val="000000" w:themeColor="text1"/>
          <w:szCs w:val="24"/>
        </w:rPr>
        <w:t xml:space="preserve">římské právo ovlivnilo </w:t>
      </w:r>
      <w:r w:rsidR="00EF2FB8">
        <w:rPr>
          <w:rFonts w:cs="Times New Roman"/>
          <w:bCs/>
          <w:color w:val="000000" w:themeColor="text1"/>
          <w:szCs w:val="24"/>
        </w:rPr>
        <w:t>současn</w:t>
      </w:r>
      <w:r w:rsidR="00E80A3D">
        <w:rPr>
          <w:rFonts w:cs="Times New Roman"/>
          <w:bCs/>
          <w:color w:val="000000" w:themeColor="text1"/>
          <w:szCs w:val="24"/>
        </w:rPr>
        <w:t>ou</w:t>
      </w:r>
      <w:r w:rsidR="00EF2FB8">
        <w:rPr>
          <w:rFonts w:cs="Times New Roman"/>
          <w:bCs/>
          <w:color w:val="000000" w:themeColor="text1"/>
          <w:szCs w:val="24"/>
        </w:rPr>
        <w:t xml:space="preserve"> právní úprav</w:t>
      </w:r>
      <w:r w:rsidR="00E80A3D">
        <w:rPr>
          <w:rFonts w:cs="Times New Roman"/>
          <w:bCs/>
          <w:color w:val="000000" w:themeColor="text1"/>
          <w:szCs w:val="24"/>
        </w:rPr>
        <w:t>u</w:t>
      </w:r>
      <w:r w:rsidR="00EF2FB8">
        <w:rPr>
          <w:rFonts w:cs="Times New Roman"/>
          <w:bCs/>
          <w:color w:val="000000" w:themeColor="text1"/>
          <w:szCs w:val="24"/>
        </w:rPr>
        <w:t xml:space="preserve"> </w:t>
      </w:r>
      <w:r w:rsidR="00544428">
        <w:rPr>
          <w:rFonts w:cs="Times New Roman"/>
          <w:bCs/>
          <w:color w:val="000000" w:themeColor="text1"/>
          <w:szCs w:val="24"/>
        </w:rPr>
        <w:t>zástavního práva</w:t>
      </w:r>
      <w:r w:rsidR="00B24A36">
        <w:rPr>
          <w:rFonts w:cs="Times New Roman"/>
          <w:bCs/>
          <w:color w:val="000000" w:themeColor="text1"/>
          <w:szCs w:val="24"/>
        </w:rPr>
        <w:t xml:space="preserve"> a vytyčilo </w:t>
      </w:r>
      <w:r w:rsidR="00FF6561">
        <w:rPr>
          <w:rFonts w:cs="Times New Roman"/>
          <w:bCs/>
          <w:color w:val="000000" w:themeColor="text1"/>
          <w:szCs w:val="24"/>
        </w:rPr>
        <w:t xml:space="preserve">pro ni stěžejní </w:t>
      </w:r>
      <w:r w:rsidR="00B24A36">
        <w:rPr>
          <w:rFonts w:cs="Times New Roman"/>
          <w:bCs/>
          <w:color w:val="000000" w:themeColor="text1"/>
          <w:szCs w:val="24"/>
        </w:rPr>
        <w:t>mantinely.</w:t>
      </w:r>
    </w:p>
    <w:p w14:paraId="03F3661E" w14:textId="77777777" w:rsidR="00991930" w:rsidRDefault="00991930" w:rsidP="00AF08B4"/>
    <w:p w14:paraId="3F186FB2" w14:textId="77777777" w:rsidR="00902633" w:rsidRDefault="00902633" w:rsidP="00902633">
      <w:pPr>
        <w:ind w:firstLine="0"/>
        <w:sectPr w:rsidR="00902633" w:rsidSect="005D75C5">
          <w:pgSz w:w="11906" w:h="16838" w:code="9"/>
          <w:pgMar w:top="1418" w:right="1134" w:bottom="1418" w:left="1701" w:header="709" w:footer="709" w:gutter="0"/>
          <w:cols w:space="708"/>
          <w:docGrid w:linePitch="360"/>
        </w:sectPr>
      </w:pPr>
    </w:p>
    <w:p w14:paraId="46981482" w14:textId="77777777" w:rsidR="0064234B" w:rsidRDefault="000D0125" w:rsidP="0064234B">
      <w:pPr>
        <w:pStyle w:val="Nadpis1"/>
      </w:pPr>
      <w:bookmarkStart w:id="50" w:name="_Toc100354952"/>
      <w:r>
        <w:lastRenderedPageBreak/>
        <w:t>Seznam použitých zdroj</w:t>
      </w:r>
      <w:r w:rsidR="00B2319E">
        <w:t>ů</w:t>
      </w:r>
      <w:bookmarkEnd w:id="50"/>
    </w:p>
    <w:p w14:paraId="09536656" w14:textId="77777777" w:rsidR="00F57C63" w:rsidRDefault="00F57C63" w:rsidP="00F57C63">
      <w:pPr>
        <w:spacing w:after="160" w:line="259" w:lineRule="auto"/>
        <w:ind w:firstLine="0"/>
        <w:rPr>
          <w:rFonts w:cs="Times New Roman"/>
          <w:b/>
          <w:bCs/>
          <w:szCs w:val="24"/>
        </w:rPr>
      </w:pPr>
    </w:p>
    <w:p w14:paraId="74BD382D" w14:textId="157374C5" w:rsidR="0064234B" w:rsidRPr="00F57C63" w:rsidRDefault="0064234B" w:rsidP="00F57C63">
      <w:pPr>
        <w:spacing w:after="160" w:line="259" w:lineRule="auto"/>
        <w:ind w:firstLine="0"/>
        <w:rPr>
          <w:rFonts w:cs="Times New Roman"/>
          <w:b/>
          <w:bCs/>
          <w:szCs w:val="24"/>
        </w:rPr>
      </w:pPr>
      <w:r w:rsidRPr="00F57C63">
        <w:rPr>
          <w:rFonts w:cs="Times New Roman"/>
          <w:b/>
          <w:bCs/>
          <w:szCs w:val="24"/>
        </w:rPr>
        <w:t>Prameny:</w:t>
      </w:r>
    </w:p>
    <w:p w14:paraId="1A20F9C8" w14:textId="77777777" w:rsidR="0064234B" w:rsidRPr="005F378C" w:rsidRDefault="0064234B" w:rsidP="0064234B">
      <w:pPr>
        <w:spacing w:after="160" w:line="259" w:lineRule="auto"/>
        <w:ind w:firstLine="0"/>
        <w:rPr>
          <w:rFonts w:cs="Times New Roman"/>
          <w:szCs w:val="24"/>
        </w:rPr>
      </w:pPr>
      <w:r w:rsidRPr="008A6EE1">
        <w:rPr>
          <w:rFonts w:cs="Times New Roman"/>
          <w:szCs w:val="24"/>
        </w:rPr>
        <w:t>Digesta, neboli, Pandekty: svazek I, kniha I-XV, vybrané části = Digesta, seu, Pandectae: tomus I, liber I-XV, fragmenta selecta. Přeložili: BLAHO, Peter, VAŇKOVÁ, Jarmila, SKŘEJPEK, Michal, ŽYTEK, Jakub. Praha: Univerzita Karlova v Praze, 2015. 701 s.</w:t>
      </w:r>
    </w:p>
    <w:p w14:paraId="7E1B22A1" w14:textId="77777777" w:rsidR="0064234B" w:rsidRPr="005F378C" w:rsidRDefault="0064234B" w:rsidP="0064234B">
      <w:pPr>
        <w:spacing w:after="160" w:line="259" w:lineRule="auto"/>
        <w:ind w:firstLine="0"/>
        <w:rPr>
          <w:rFonts w:cs="Times New Roman"/>
          <w:szCs w:val="24"/>
        </w:rPr>
      </w:pPr>
      <w:r w:rsidRPr="008A6EE1">
        <w:rPr>
          <w:rFonts w:cs="Times New Roman"/>
          <w:szCs w:val="24"/>
        </w:rPr>
        <w:t>Digesta, neboli, Pandekty: svazek II, kniha XVI-XXXV, vybrané části = Digesta, seu, Pandectae: tomus II, liber XVI-XXXV, fragmenta selecta. Přeložili: BLAHO, Peter, ČERNOCH, Radek, ŽYTKOVÁ Klára. V Praze: Univerzita Karlova v Praze, nakladatelství Karolinum, 2019, 746 s.</w:t>
      </w:r>
    </w:p>
    <w:p w14:paraId="41D1DC5C" w14:textId="77777777" w:rsidR="0064234B" w:rsidRDefault="0064234B" w:rsidP="0064234B">
      <w:pPr>
        <w:spacing w:after="160" w:line="259" w:lineRule="auto"/>
        <w:ind w:firstLine="0"/>
        <w:rPr>
          <w:rFonts w:cs="Times New Roman"/>
          <w:szCs w:val="24"/>
        </w:rPr>
      </w:pPr>
      <w:r w:rsidRPr="008A6EE1">
        <w:rPr>
          <w:rFonts w:cs="Times New Roman"/>
          <w:szCs w:val="24"/>
        </w:rPr>
        <w:t>GAIUS: Učebnice práva ve čtyřech knihách. Přeložil: KINCL, Jaromír. Přetisk 1. vyd. z r. 1981. Brno: Masarykova univerzita, 1999. 274 s.</w:t>
      </w:r>
    </w:p>
    <w:p w14:paraId="097F7216" w14:textId="77777777" w:rsidR="00D23BEC" w:rsidRDefault="0064234B" w:rsidP="00D23BEC">
      <w:pPr>
        <w:spacing w:after="160" w:line="259" w:lineRule="auto"/>
        <w:ind w:firstLine="0"/>
        <w:rPr>
          <w:rFonts w:cs="Times New Roman"/>
          <w:szCs w:val="24"/>
        </w:rPr>
      </w:pPr>
      <w:r w:rsidRPr="008A6EE1">
        <w:rPr>
          <w:rFonts w:cs="Times New Roman"/>
          <w:szCs w:val="24"/>
        </w:rPr>
        <w:t>Iustiniani institutiones: Justiniánské instituce. Přeložili: BLAHO, Peter, SKŘEJPEK, Michal. Praha: Karolinum, 2010. 411 s.</w:t>
      </w:r>
    </w:p>
    <w:p w14:paraId="15EC784C" w14:textId="77777777" w:rsidR="00D23BEC" w:rsidRDefault="0064234B" w:rsidP="00D23BEC">
      <w:pPr>
        <w:spacing w:after="160" w:line="259" w:lineRule="auto"/>
        <w:ind w:firstLine="0"/>
        <w:rPr>
          <w:rFonts w:cs="Times New Roman"/>
          <w:szCs w:val="24"/>
        </w:rPr>
      </w:pPr>
      <w:r w:rsidRPr="008A6EE1">
        <w:rPr>
          <w:rFonts w:cs="Times New Roman"/>
          <w:szCs w:val="24"/>
        </w:rPr>
        <w:t>SKŘEJPEK, Michal. Prameny římského práva: Fontes iuris romani. 2. vydání. Praha: Vydavatelství LexisNexis CZ, 2004. 375 s.</w:t>
      </w:r>
    </w:p>
    <w:p w14:paraId="3C298A0C" w14:textId="77777777" w:rsidR="00586227" w:rsidRDefault="0064234B" w:rsidP="00586227">
      <w:pPr>
        <w:spacing w:after="160" w:line="259" w:lineRule="auto"/>
        <w:ind w:firstLine="0"/>
        <w:rPr>
          <w:rFonts w:cs="Times New Roman"/>
          <w:szCs w:val="24"/>
        </w:rPr>
      </w:pPr>
      <w:r w:rsidRPr="008A6EE1">
        <w:rPr>
          <w:rFonts w:cs="Times New Roman"/>
          <w:szCs w:val="24"/>
        </w:rPr>
        <w:t>JUSTINIÁN I, KRÜGER, Paul, ed. Corpus iuris civilis vol. II., Codex Iustinianus. Editio stereotypa nona. Berolini: Apud Weidmannos, 1915. 516 s.</w:t>
      </w:r>
    </w:p>
    <w:p w14:paraId="77A1742E" w14:textId="77777777" w:rsidR="00586227" w:rsidRDefault="00586227" w:rsidP="00586227">
      <w:pPr>
        <w:spacing w:after="160" w:line="259" w:lineRule="auto"/>
        <w:ind w:firstLine="0"/>
        <w:rPr>
          <w:rFonts w:cs="Times New Roman"/>
          <w:szCs w:val="24"/>
        </w:rPr>
      </w:pPr>
    </w:p>
    <w:p w14:paraId="3441E8A3" w14:textId="5D092079" w:rsidR="00586227" w:rsidRPr="005F378C" w:rsidRDefault="00586227" w:rsidP="00586227">
      <w:pPr>
        <w:spacing w:after="160" w:line="259" w:lineRule="auto"/>
        <w:ind w:firstLine="0"/>
        <w:rPr>
          <w:rFonts w:cs="Times New Roman"/>
          <w:szCs w:val="24"/>
        </w:rPr>
      </w:pPr>
      <w:r w:rsidRPr="005F378C">
        <w:rPr>
          <w:rFonts w:cs="Times New Roman"/>
          <w:b/>
          <w:bCs/>
          <w:szCs w:val="24"/>
        </w:rPr>
        <w:t>Monografie</w:t>
      </w:r>
      <w:r>
        <w:rPr>
          <w:rFonts w:cs="Times New Roman"/>
          <w:b/>
          <w:bCs/>
          <w:szCs w:val="24"/>
        </w:rPr>
        <w:t>:</w:t>
      </w:r>
    </w:p>
    <w:p w14:paraId="5F86780D" w14:textId="77777777" w:rsidR="00586227" w:rsidRPr="008A6EE1" w:rsidRDefault="00586227" w:rsidP="00586227">
      <w:pPr>
        <w:ind w:firstLine="0"/>
        <w:rPr>
          <w:rFonts w:cs="Times New Roman"/>
          <w:szCs w:val="24"/>
        </w:rPr>
      </w:pPr>
      <w:r w:rsidRPr="008A6EE1">
        <w:rPr>
          <w:rFonts w:cs="Times New Roman"/>
          <w:szCs w:val="24"/>
        </w:rPr>
        <w:t xml:space="preserve">KINCL, Jaromír, URFUS Valentin a SKŘEJPEK Michal. Římské právo. Praha: C.H. Beck,1995, 386 s. </w:t>
      </w:r>
    </w:p>
    <w:p w14:paraId="44B86576" w14:textId="77777777" w:rsidR="00586227" w:rsidRPr="008A6EE1" w:rsidRDefault="00586227" w:rsidP="00586227">
      <w:pPr>
        <w:ind w:firstLine="0"/>
        <w:rPr>
          <w:rFonts w:cs="Times New Roman"/>
          <w:szCs w:val="24"/>
        </w:rPr>
      </w:pPr>
      <w:r w:rsidRPr="008A6EE1">
        <w:rPr>
          <w:rFonts w:cs="Times New Roman"/>
          <w:szCs w:val="24"/>
        </w:rPr>
        <w:t>HEYROVSKÝ, Leopold. Dějiny a systém soukromého práva římského. V Bratislavě: Nákladem Právnické fakulty University Komenského, 1927, 656 s.</w:t>
      </w:r>
    </w:p>
    <w:p w14:paraId="7119386E" w14:textId="77777777" w:rsidR="00586227" w:rsidRPr="008A6EE1" w:rsidRDefault="00586227" w:rsidP="00586227">
      <w:pPr>
        <w:ind w:firstLine="0"/>
        <w:rPr>
          <w:rFonts w:cs="Times New Roman"/>
          <w:szCs w:val="24"/>
        </w:rPr>
      </w:pPr>
      <w:r w:rsidRPr="008A6EE1">
        <w:rPr>
          <w:rFonts w:cs="Times New Roman"/>
          <w:szCs w:val="24"/>
        </w:rPr>
        <w:t>HEYROVSKÝ, L. Dějiny a systém soukromého práva římského. 4. vydání. Praha: J. Otto, 1910, 1243 s.</w:t>
      </w:r>
    </w:p>
    <w:p w14:paraId="6F96C89F" w14:textId="77777777" w:rsidR="00586227" w:rsidRPr="008A6EE1" w:rsidRDefault="00586227" w:rsidP="00586227">
      <w:pPr>
        <w:ind w:firstLine="0"/>
        <w:rPr>
          <w:rFonts w:cs="Times New Roman"/>
          <w:szCs w:val="24"/>
        </w:rPr>
      </w:pPr>
      <w:r w:rsidRPr="008A6EE1">
        <w:rPr>
          <w:rFonts w:cs="Times New Roman"/>
          <w:szCs w:val="24"/>
        </w:rPr>
        <w:t>SOMMER, Otakar. Učebnice soukromého práva římského, Díl 2: Právo majetkové. V Praze: vl. nákl., 1935, 356 s.</w:t>
      </w:r>
    </w:p>
    <w:p w14:paraId="069B74ED" w14:textId="77777777" w:rsidR="00586227" w:rsidRPr="008A6EE1" w:rsidRDefault="00586227" w:rsidP="00586227">
      <w:pPr>
        <w:ind w:firstLine="0"/>
        <w:rPr>
          <w:rFonts w:cs="Times New Roman"/>
          <w:szCs w:val="24"/>
        </w:rPr>
      </w:pPr>
      <w:r w:rsidRPr="008A6EE1">
        <w:rPr>
          <w:rFonts w:cs="Times New Roman"/>
          <w:szCs w:val="24"/>
        </w:rPr>
        <w:t>VANČURA, Josef. Úvod do studia soukromého práva římského: Díl I. 1923. Praha: Knihtiskárna Typus, 1923, 569 s.</w:t>
      </w:r>
    </w:p>
    <w:p w14:paraId="14E150A3" w14:textId="77777777" w:rsidR="00586227" w:rsidRPr="008A6EE1" w:rsidRDefault="00586227" w:rsidP="00586227">
      <w:pPr>
        <w:ind w:firstLine="0"/>
        <w:rPr>
          <w:rFonts w:cs="Times New Roman"/>
          <w:szCs w:val="24"/>
        </w:rPr>
      </w:pPr>
      <w:r w:rsidRPr="008A6EE1">
        <w:rPr>
          <w:rFonts w:cs="Times New Roman"/>
          <w:szCs w:val="24"/>
        </w:rPr>
        <w:t>REBRO, Karol a BLAHO, Peter. Rímské právo. 4. vydání: MANZ Bratislava, 2010. 522 s.</w:t>
      </w:r>
    </w:p>
    <w:p w14:paraId="22DF3AF5" w14:textId="77777777" w:rsidR="00586227" w:rsidRPr="008A6EE1" w:rsidRDefault="00586227" w:rsidP="00586227">
      <w:pPr>
        <w:ind w:firstLine="0"/>
        <w:rPr>
          <w:rFonts w:cs="Times New Roman"/>
          <w:szCs w:val="24"/>
        </w:rPr>
      </w:pPr>
      <w:r w:rsidRPr="008A6EE1">
        <w:rPr>
          <w:rFonts w:cs="Times New Roman"/>
          <w:szCs w:val="24"/>
        </w:rPr>
        <w:t xml:space="preserve">TUREČEK, Josef. Světové dějiny státu a práva ve starověku. Praha: Orbis, 1963. Právnické edice. 637 s. </w:t>
      </w:r>
    </w:p>
    <w:p w14:paraId="68E59641" w14:textId="77777777" w:rsidR="00586227" w:rsidRPr="008A6EE1" w:rsidRDefault="00586227" w:rsidP="00586227">
      <w:pPr>
        <w:ind w:firstLine="0"/>
        <w:rPr>
          <w:rFonts w:cs="Times New Roman"/>
          <w:szCs w:val="24"/>
        </w:rPr>
      </w:pPr>
      <w:r w:rsidRPr="008A6EE1">
        <w:rPr>
          <w:rFonts w:cs="Times New Roman"/>
          <w:szCs w:val="24"/>
        </w:rPr>
        <w:t>KINDL, M. Zajištění a utvrzení dluhů. 1. vydání. Praha: C. H. Beck, 2016, 528 s.</w:t>
      </w:r>
    </w:p>
    <w:p w14:paraId="24ECC93F" w14:textId="77777777" w:rsidR="005C5B4F" w:rsidRDefault="00586227" w:rsidP="005C5B4F">
      <w:pPr>
        <w:ind w:firstLine="0"/>
        <w:rPr>
          <w:rFonts w:cs="Times New Roman"/>
          <w:szCs w:val="24"/>
        </w:rPr>
      </w:pPr>
      <w:r w:rsidRPr="008A6EE1">
        <w:rPr>
          <w:rFonts w:cs="Times New Roman"/>
          <w:szCs w:val="24"/>
        </w:rPr>
        <w:lastRenderedPageBreak/>
        <w:t>BARTOŠEK, Milan, Encyklopedie římského práva. Praha: Academia, 1994, 471 s.</w:t>
      </w:r>
    </w:p>
    <w:p w14:paraId="51AED72F" w14:textId="2598F20F" w:rsidR="00D00DAE" w:rsidRDefault="00586227" w:rsidP="00D00DAE">
      <w:pPr>
        <w:ind w:firstLine="0"/>
        <w:rPr>
          <w:rFonts w:cs="Times New Roman"/>
          <w:szCs w:val="24"/>
        </w:rPr>
      </w:pPr>
      <w:r w:rsidRPr="008A6EE1">
        <w:rPr>
          <w:rFonts w:cs="Times New Roman"/>
          <w:szCs w:val="24"/>
        </w:rPr>
        <w:t>ROZEHNAL, Aleš. Úvěry zajištěné zástavním právem. Praha: G plus G, 1997, 123 s.</w:t>
      </w:r>
    </w:p>
    <w:p w14:paraId="778AE670" w14:textId="77777777" w:rsidR="00D00DAE" w:rsidRDefault="00D00DAE" w:rsidP="00D00DAE">
      <w:pPr>
        <w:ind w:firstLine="0"/>
        <w:rPr>
          <w:rFonts w:cs="Times New Roman"/>
          <w:szCs w:val="24"/>
        </w:rPr>
      </w:pPr>
    </w:p>
    <w:p w14:paraId="474609CF" w14:textId="77777777" w:rsidR="00D00DAE" w:rsidRDefault="009A72EB" w:rsidP="00D00DAE">
      <w:pPr>
        <w:ind w:firstLine="0"/>
        <w:rPr>
          <w:rFonts w:cs="Times New Roman"/>
          <w:szCs w:val="24"/>
        </w:rPr>
      </w:pPr>
      <w:r w:rsidRPr="00DF5C87">
        <w:rPr>
          <w:rFonts w:cs="Times New Roman"/>
          <w:b/>
          <w:bCs/>
          <w:szCs w:val="24"/>
        </w:rPr>
        <w:t>Slovníky</w:t>
      </w:r>
      <w:r>
        <w:rPr>
          <w:rFonts w:cs="Times New Roman"/>
          <w:b/>
          <w:bCs/>
          <w:szCs w:val="24"/>
        </w:rPr>
        <w:t>:</w:t>
      </w:r>
    </w:p>
    <w:p w14:paraId="1F412F88" w14:textId="77777777" w:rsidR="00D00DAE" w:rsidRDefault="009A72EB" w:rsidP="00D00DAE">
      <w:pPr>
        <w:ind w:firstLine="0"/>
        <w:rPr>
          <w:rFonts w:cs="Times New Roman"/>
          <w:szCs w:val="24"/>
        </w:rPr>
      </w:pPr>
      <w:r w:rsidRPr="005F378C">
        <w:rPr>
          <w:rFonts w:cs="Times New Roman"/>
          <w:szCs w:val="24"/>
        </w:rPr>
        <w:t xml:space="preserve">SKŘEJPEK, Michal. Latinsko-český slovníček římského práva: (vybrané pojmy a termíny). Praha: Orac, 2000, </w:t>
      </w:r>
      <w:r>
        <w:rPr>
          <w:rFonts w:cs="Times New Roman"/>
          <w:szCs w:val="24"/>
        </w:rPr>
        <w:t>59</w:t>
      </w:r>
      <w:r w:rsidRPr="005F378C">
        <w:rPr>
          <w:rFonts w:cs="Times New Roman"/>
          <w:szCs w:val="24"/>
        </w:rPr>
        <w:t xml:space="preserve"> s.</w:t>
      </w:r>
    </w:p>
    <w:p w14:paraId="2DCDF516" w14:textId="77777777" w:rsidR="00D00DAE" w:rsidRDefault="009A72EB" w:rsidP="00D00DAE">
      <w:pPr>
        <w:ind w:firstLine="0"/>
        <w:rPr>
          <w:rFonts w:cs="Times New Roman"/>
          <w:szCs w:val="24"/>
        </w:rPr>
      </w:pPr>
      <w:r w:rsidRPr="005F378C">
        <w:rPr>
          <w:rFonts w:cs="Times New Roman"/>
          <w:szCs w:val="24"/>
        </w:rPr>
        <w:t xml:space="preserve">BLACK, Henry Campbell et al. Blackův právnický slovník. Praha: Victoria Publishing, 1993. sv. 1, </w:t>
      </w:r>
      <w:r>
        <w:rPr>
          <w:rFonts w:cs="Times New Roman"/>
          <w:szCs w:val="24"/>
        </w:rPr>
        <w:t>767 s</w:t>
      </w:r>
      <w:r w:rsidRPr="005F378C">
        <w:rPr>
          <w:rFonts w:cs="Times New Roman"/>
          <w:szCs w:val="24"/>
        </w:rPr>
        <w:t>.</w:t>
      </w:r>
    </w:p>
    <w:p w14:paraId="42175ADF" w14:textId="77777777" w:rsidR="00D00DAE" w:rsidRDefault="009A72EB" w:rsidP="00D00DAE">
      <w:pPr>
        <w:ind w:firstLine="0"/>
        <w:rPr>
          <w:rFonts w:cs="Times New Roman"/>
          <w:szCs w:val="24"/>
        </w:rPr>
      </w:pPr>
      <w:r w:rsidRPr="005F378C">
        <w:rPr>
          <w:rFonts w:cs="Times New Roman"/>
          <w:szCs w:val="24"/>
        </w:rPr>
        <w:t xml:space="preserve">Ottův slovník naučný: illustrovaná encyklopaedie obecných vědomostí. V Praze: J. Otto, 1894. sv. 8, </w:t>
      </w:r>
      <w:r>
        <w:rPr>
          <w:rFonts w:cs="Times New Roman"/>
          <w:szCs w:val="24"/>
        </w:rPr>
        <w:t>1039 s.</w:t>
      </w:r>
    </w:p>
    <w:p w14:paraId="5132C9FE" w14:textId="77777777" w:rsidR="00D00DAE" w:rsidRDefault="009A72EB" w:rsidP="00D00DAE">
      <w:pPr>
        <w:ind w:firstLine="0"/>
        <w:rPr>
          <w:rFonts w:cs="Times New Roman"/>
          <w:szCs w:val="24"/>
        </w:rPr>
      </w:pPr>
      <w:r w:rsidRPr="005F378C">
        <w:rPr>
          <w:rFonts w:cs="Times New Roman"/>
          <w:szCs w:val="24"/>
        </w:rPr>
        <w:t xml:space="preserve">Ottův slovník naučný: illustrovaná encyklopaedie obecných vědomostí. V Praze: J. Otto, 1895. sv. 9, </w:t>
      </w:r>
      <w:r>
        <w:rPr>
          <w:rFonts w:cs="Times New Roman"/>
          <w:szCs w:val="24"/>
        </w:rPr>
        <w:t>1037 s.</w:t>
      </w:r>
    </w:p>
    <w:p w14:paraId="4ECDA5D7" w14:textId="77777777" w:rsidR="00777396" w:rsidRDefault="009A72EB" w:rsidP="00777396">
      <w:pPr>
        <w:ind w:firstLine="0"/>
        <w:rPr>
          <w:rFonts w:cs="Times New Roman"/>
          <w:szCs w:val="24"/>
        </w:rPr>
      </w:pPr>
      <w:r w:rsidRPr="005F378C">
        <w:rPr>
          <w:rFonts w:cs="Times New Roman"/>
          <w:szCs w:val="24"/>
        </w:rPr>
        <w:t xml:space="preserve">Ottův slovník naučný: illustrovaná encyklopaedie obecných vědomostí. V Praze: J. Otto, 1900. sv. 16, </w:t>
      </w:r>
      <w:r>
        <w:rPr>
          <w:rFonts w:cs="Times New Roman"/>
          <w:szCs w:val="24"/>
        </w:rPr>
        <w:t>1058 s.</w:t>
      </w:r>
      <w:r w:rsidRPr="005F378C">
        <w:rPr>
          <w:rFonts w:cs="Times New Roman"/>
          <w:szCs w:val="24"/>
        </w:rPr>
        <w:t xml:space="preserve"> </w:t>
      </w:r>
    </w:p>
    <w:p w14:paraId="0A8AAADC" w14:textId="77777777" w:rsidR="00777396" w:rsidRDefault="009A72EB" w:rsidP="00777396">
      <w:pPr>
        <w:ind w:firstLine="0"/>
        <w:rPr>
          <w:rFonts w:cs="Times New Roman"/>
          <w:szCs w:val="24"/>
        </w:rPr>
      </w:pPr>
      <w:r w:rsidRPr="005F378C">
        <w:rPr>
          <w:rFonts w:cs="Times New Roman"/>
          <w:szCs w:val="24"/>
        </w:rPr>
        <w:t xml:space="preserve">Ottův slovník naučný: illustrovaná encyklopaedie obecných vědomostí. V Praze: J. Otto,  1903. sv. 20, </w:t>
      </w:r>
      <w:r>
        <w:rPr>
          <w:rFonts w:cs="Times New Roman"/>
          <w:szCs w:val="24"/>
        </w:rPr>
        <w:t>1087 s.</w:t>
      </w:r>
    </w:p>
    <w:p w14:paraId="40D173E1" w14:textId="77777777" w:rsidR="00777396" w:rsidRDefault="009A72EB" w:rsidP="00777396">
      <w:pPr>
        <w:ind w:firstLine="0"/>
        <w:rPr>
          <w:rFonts w:cs="Times New Roman"/>
          <w:szCs w:val="24"/>
        </w:rPr>
      </w:pPr>
      <w:r w:rsidRPr="005F378C">
        <w:rPr>
          <w:rFonts w:cs="Times New Roman"/>
          <w:szCs w:val="24"/>
        </w:rPr>
        <w:t xml:space="preserve">Ottův slovník naučný: illustrovaná encyklopaedie obecných vědomostí. V Praze: J. Otto, 1906. sv. 24, </w:t>
      </w:r>
      <w:r>
        <w:rPr>
          <w:rFonts w:cs="Times New Roman"/>
          <w:szCs w:val="24"/>
        </w:rPr>
        <w:t>901 s.</w:t>
      </w:r>
    </w:p>
    <w:p w14:paraId="18FC63FC" w14:textId="77777777" w:rsidR="00777396" w:rsidRDefault="009A72EB" w:rsidP="00777396">
      <w:pPr>
        <w:ind w:firstLine="0"/>
        <w:rPr>
          <w:rFonts w:cs="Times New Roman"/>
          <w:szCs w:val="24"/>
        </w:rPr>
      </w:pPr>
      <w:r w:rsidRPr="005F378C">
        <w:rPr>
          <w:rFonts w:cs="Times New Roman"/>
          <w:szCs w:val="24"/>
        </w:rPr>
        <w:t xml:space="preserve">Ottův slovník naučný: illustrovaná encyklopaedie obecných vědomostí. V Praze: J. Otto, 1907. sv. 26, </w:t>
      </w:r>
      <w:r>
        <w:rPr>
          <w:rFonts w:cs="Times New Roman"/>
          <w:szCs w:val="24"/>
        </w:rPr>
        <w:t>1077 s.</w:t>
      </w:r>
    </w:p>
    <w:p w14:paraId="4B8F9F5E" w14:textId="77777777" w:rsidR="00777396" w:rsidRDefault="00777396" w:rsidP="00777396">
      <w:pPr>
        <w:ind w:firstLine="0"/>
        <w:rPr>
          <w:rFonts w:cs="Times New Roman"/>
          <w:szCs w:val="24"/>
        </w:rPr>
      </w:pPr>
    </w:p>
    <w:p w14:paraId="3AEB9801" w14:textId="77777777" w:rsidR="00777396" w:rsidRDefault="009A72EB" w:rsidP="00777396">
      <w:pPr>
        <w:ind w:firstLine="0"/>
        <w:rPr>
          <w:rFonts w:cs="Times New Roman"/>
          <w:szCs w:val="24"/>
        </w:rPr>
      </w:pPr>
      <w:r w:rsidRPr="005F378C">
        <w:rPr>
          <w:rFonts w:cs="Times New Roman"/>
          <w:b/>
          <w:bCs/>
          <w:szCs w:val="24"/>
        </w:rPr>
        <w:t>Komentářová literatura</w:t>
      </w:r>
      <w:r>
        <w:rPr>
          <w:rFonts w:cs="Times New Roman"/>
          <w:b/>
          <w:bCs/>
          <w:szCs w:val="24"/>
        </w:rPr>
        <w:t>:</w:t>
      </w:r>
    </w:p>
    <w:p w14:paraId="2B6BFFDB" w14:textId="77777777" w:rsidR="00777396" w:rsidRDefault="009A72EB" w:rsidP="009A72EB">
      <w:pPr>
        <w:ind w:firstLine="0"/>
        <w:rPr>
          <w:rFonts w:cs="Times New Roman"/>
          <w:szCs w:val="24"/>
        </w:rPr>
      </w:pPr>
      <w:r w:rsidRPr="008A6EE1">
        <w:rPr>
          <w:rFonts w:cs="Times New Roman"/>
          <w:szCs w:val="24"/>
        </w:rPr>
        <w:t xml:space="preserve">SKŘEJPEK, Michal. Římské právo v občanském zákoníku: komentář a prameny. Praha: Auditorium, 2017. </w:t>
      </w:r>
      <w:r>
        <w:rPr>
          <w:rFonts w:cs="Times New Roman"/>
          <w:szCs w:val="24"/>
        </w:rPr>
        <w:t>304 s.</w:t>
      </w:r>
    </w:p>
    <w:p w14:paraId="52D6B8BD" w14:textId="376150F8" w:rsidR="009A72EB" w:rsidRPr="008A6EE1" w:rsidRDefault="009A72EB" w:rsidP="009A72EB">
      <w:pPr>
        <w:ind w:firstLine="0"/>
        <w:rPr>
          <w:rFonts w:cs="Times New Roman"/>
          <w:szCs w:val="24"/>
        </w:rPr>
      </w:pPr>
      <w:r w:rsidRPr="008A6EE1">
        <w:rPr>
          <w:rFonts w:cs="Times New Roman"/>
          <w:szCs w:val="24"/>
        </w:rPr>
        <w:t>SPÁČIL, J. a kol.: Občanský zákoník III. Věcná práva (§ 976–1474). Komentář. 2. vydání. Praha: C. H. Beck, 2021</w:t>
      </w:r>
      <w:r>
        <w:rPr>
          <w:rFonts w:cs="Times New Roman"/>
          <w:szCs w:val="24"/>
        </w:rPr>
        <w:t>, 1688 s.</w:t>
      </w:r>
    </w:p>
    <w:p w14:paraId="6E11495C" w14:textId="77777777" w:rsidR="00777396" w:rsidRDefault="009A72EB" w:rsidP="00777396">
      <w:pPr>
        <w:ind w:firstLine="0"/>
        <w:rPr>
          <w:rFonts w:cs="Times New Roman"/>
          <w:szCs w:val="24"/>
        </w:rPr>
      </w:pPr>
      <w:r w:rsidRPr="008A6EE1">
        <w:rPr>
          <w:rFonts w:cs="Times New Roman"/>
          <w:szCs w:val="24"/>
        </w:rPr>
        <w:t>PETROV, J., VÝTISK, M., BERAN, V. a kol. Občanský zákoník. Komentář. 2. vydání (1. aktualizace). Praha: C. H. Beck, 2022.</w:t>
      </w:r>
    </w:p>
    <w:p w14:paraId="0FBD8973" w14:textId="77777777" w:rsidR="00777396" w:rsidRDefault="00777396" w:rsidP="00777396">
      <w:pPr>
        <w:ind w:firstLine="0"/>
        <w:rPr>
          <w:rFonts w:cs="Times New Roman"/>
          <w:szCs w:val="24"/>
        </w:rPr>
      </w:pPr>
    </w:p>
    <w:p w14:paraId="45D302AB" w14:textId="283837B3" w:rsidR="009A72EB" w:rsidRPr="00777396" w:rsidRDefault="009A72EB" w:rsidP="00777396">
      <w:pPr>
        <w:ind w:firstLine="0"/>
        <w:rPr>
          <w:rFonts w:cs="Times New Roman"/>
          <w:szCs w:val="24"/>
        </w:rPr>
      </w:pPr>
      <w:r w:rsidRPr="005F378C">
        <w:rPr>
          <w:rFonts w:cs="Times New Roman"/>
          <w:b/>
          <w:bCs/>
          <w:szCs w:val="24"/>
        </w:rPr>
        <w:t>Právní předpisy</w:t>
      </w:r>
      <w:r>
        <w:rPr>
          <w:rFonts w:cs="Times New Roman"/>
          <w:b/>
          <w:bCs/>
          <w:szCs w:val="24"/>
        </w:rPr>
        <w:t>:</w:t>
      </w:r>
    </w:p>
    <w:p w14:paraId="4B1A39F4" w14:textId="66DCE4DF" w:rsidR="009A72EB" w:rsidRPr="00FA0609" w:rsidRDefault="009A72EB" w:rsidP="009A72EB">
      <w:pPr>
        <w:ind w:firstLine="0"/>
        <w:rPr>
          <w:rFonts w:cs="Times New Roman"/>
          <w:szCs w:val="24"/>
        </w:rPr>
      </w:pPr>
      <w:r w:rsidRPr="00FA0609">
        <w:rPr>
          <w:rFonts w:cs="Times New Roman"/>
          <w:szCs w:val="24"/>
        </w:rPr>
        <w:t xml:space="preserve">aktuální znění: </w:t>
      </w:r>
      <w:r w:rsidR="004D6291">
        <w:rPr>
          <w:rFonts w:cs="Times New Roman"/>
          <w:szCs w:val="24"/>
        </w:rPr>
        <w:t>Z</w:t>
      </w:r>
      <w:r w:rsidRPr="00FA0609">
        <w:rPr>
          <w:rFonts w:cs="Times New Roman"/>
          <w:szCs w:val="24"/>
        </w:rPr>
        <w:t>ákon č. 89/2012 Sb., Občanský zákoník, ve znění pozdějších předpisů.</w:t>
      </w:r>
    </w:p>
    <w:p w14:paraId="482E2BB1" w14:textId="77777777" w:rsidR="009A72EB" w:rsidRPr="00FA0609" w:rsidRDefault="009A72EB" w:rsidP="009A72EB">
      <w:pPr>
        <w:ind w:firstLine="0"/>
        <w:rPr>
          <w:rFonts w:cs="Times New Roman"/>
          <w:szCs w:val="24"/>
        </w:rPr>
      </w:pPr>
      <w:r w:rsidRPr="00FA0609">
        <w:rPr>
          <w:rFonts w:cs="Times New Roman"/>
          <w:szCs w:val="24"/>
        </w:rPr>
        <w:t>aktuální znění: Zákon č. 292/2013 Sb., Zákon a zvláštních řízeních soudních, ve znění pozdějších předpisů.</w:t>
      </w:r>
    </w:p>
    <w:p w14:paraId="2E4F0E47" w14:textId="77777777" w:rsidR="009A72EB" w:rsidRPr="00FA0609" w:rsidRDefault="009A72EB" w:rsidP="009A72EB">
      <w:pPr>
        <w:ind w:firstLine="0"/>
        <w:rPr>
          <w:rFonts w:cs="Times New Roman"/>
          <w:szCs w:val="24"/>
        </w:rPr>
      </w:pPr>
      <w:r w:rsidRPr="00FA0609">
        <w:rPr>
          <w:rFonts w:cs="Times New Roman"/>
          <w:szCs w:val="24"/>
        </w:rPr>
        <w:t>aktuální znění: Zákon č. 240/1993 Sb., Občanský soudní řád, ve znění pozdějších předpisů.</w:t>
      </w:r>
    </w:p>
    <w:p w14:paraId="29E37FA1" w14:textId="77777777" w:rsidR="009A72EB" w:rsidRPr="00FA0609" w:rsidRDefault="009A72EB" w:rsidP="009A72EB">
      <w:pPr>
        <w:ind w:firstLine="0"/>
        <w:rPr>
          <w:rFonts w:cs="Times New Roman"/>
          <w:szCs w:val="24"/>
        </w:rPr>
      </w:pPr>
      <w:r w:rsidRPr="00FA0609">
        <w:rPr>
          <w:rFonts w:cs="Times New Roman"/>
          <w:szCs w:val="24"/>
        </w:rPr>
        <w:lastRenderedPageBreak/>
        <w:t>aktuální znění: Zákon č. 262/2006 Sb., Zákoník práce, ve znění pozdějších předpisů.</w:t>
      </w:r>
    </w:p>
    <w:p w14:paraId="17A4020E" w14:textId="77777777" w:rsidR="009A72EB" w:rsidRPr="00FA0609" w:rsidRDefault="009A72EB" w:rsidP="009A72EB">
      <w:pPr>
        <w:ind w:firstLine="0"/>
        <w:rPr>
          <w:rFonts w:cs="Times New Roman"/>
          <w:szCs w:val="24"/>
        </w:rPr>
      </w:pPr>
      <w:r w:rsidRPr="00FA0609">
        <w:rPr>
          <w:rFonts w:cs="Times New Roman"/>
          <w:szCs w:val="24"/>
        </w:rPr>
        <w:t>aktuální znění: Zákon č. 219/2000 Sb., Zákon o majetku ČR a jejím vystupování v právních vztazích, ve znění pozdějších předpisů.</w:t>
      </w:r>
    </w:p>
    <w:p w14:paraId="5BE29ECD" w14:textId="77777777" w:rsidR="004D6291" w:rsidRDefault="009A72EB" w:rsidP="004D6291">
      <w:pPr>
        <w:ind w:firstLine="0"/>
        <w:rPr>
          <w:rFonts w:cs="Times New Roman"/>
          <w:szCs w:val="24"/>
        </w:rPr>
      </w:pPr>
      <w:r w:rsidRPr="00FA0609">
        <w:rPr>
          <w:rFonts w:cs="Times New Roman"/>
          <w:szCs w:val="24"/>
        </w:rPr>
        <w:t>aktuální znění: Zákon č. 120/2001 Sb., Zákon o soudních exekutorech a exekuční činnosti (exekuční řád) a o změně dalších zákonů, ve znění pozdějších předpisů.</w:t>
      </w:r>
    </w:p>
    <w:p w14:paraId="49073165" w14:textId="77777777" w:rsidR="004D6291" w:rsidRDefault="004D6291" w:rsidP="004D6291">
      <w:pPr>
        <w:ind w:firstLine="0"/>
        <w:rPr>
          <w:rFonts w:cs="Times New Roman"/>
          <w:szCs w:val="24"/>
        </w:rPr>
      </w:pPr>
    </w:p>
    <w:p w14:paraId="4A3E219E" w14:textId="77777777" w:rsidR="004D6291" w:rsidRDefault="009A72EB" w:rsidP="004D6291">
      <w:pPr>
        <w:ind w:firstLine="0"/>
        <w:rPr>
          <w:rFonts w:cs="Times New Roman"/>
          <w:szCs w:val="24"/>
        </w:rPr>
      </w:pPr>
      <w:r w:rsidRPr="005F378C">
        <w:rPr>
          <w:rFonts w:cs="Times New Roman"/>
          <w:b/>
          <w:bCs/>
          <w:szCs w:val="24"/>
        </w:rPr>
        <w:t>Články z odborných časopisů</w:t>
      </w:r>
      <w:r>
        <w:rPr>
          <w:rFonts w:cs="Times New Roman"/>
          <w:b/>
          <w:bCs/>
          <w:szCs w:val="24"/>
        </w:rPr>
        <w:t>:</w:t>
      </w:r>
    </w:p>
    <w:p w14:paraId="2156932C" w14:textId="77777777" w:rsidR="004D6291" w:rsidRDefault="009A72EB" w:rsidP="004D6291">
      <w:pPr>
        <w:ind w:firstLine="0"/>
        <w:rPr>
          <w:rFonts w:cs="Times New Roman"/>
          <w:szCs w:val="24"/>
        </w:rPr>
      </w:pPr>
      <w:r w:rsidRPr="005F378C">
        <w:rPr>
          <w:rFonts w:cs="Times New Roman"/>
          <w:szCs w:val="24"/>
        </w:rPr>
        <w:t xml:space="preserve">NITSCHNEIDEROVÁ, Zuzana. Zástavní právo podle nového občanského zákoníku. </w:t>
      </w:r>
      <w:r w:rsidRPr="005F378C">
        <w:rPr>
          <w:rFonts w:cs="Times New Roman"/>
          <w:color w:val="000000"/>
          <w:szCs w:val="24"/>
          <w:shd w:val="clear" w:color="auto" w:fill="FFFFFF"/>
        </w:rPr>
        <w:t>AN 6/2013, s. 3.</w:t>
      </w:r>
    </w:p>
    <w:p w14:paraId="3E767FA2" w14:textId="77777777" w:rsidR="004D6291" w:rsidRDefault="009A72EB" w:rsidP="004D6291">
      <w:pPr>
        <w:ind w:firstLine="0"/>
        <w:rPr>
          <w:rFonts w:cs="Times New Roman"/>
          <w:szCs w:val="24"/>
        </w:rPr>
      </w:pPr>
      <w:r w:rsidRPr="005F378C">
        <w:rPr>
          <w:rFonts w:cs="Times New Roman"/>
          <w:szCs w:val="24"/>
        </w:rPr>
        <w:t>ELEK, Štefan. Vznik smluvního zástavního práva k movitým věcem. Právní rozhledy 1/1999, s. 1.</w:t>
      </w:r>
    </w:p>
    <w:p w14:paraId="3FA70C33" w14:textId="77777777" w:rsidR="004D6291" w:rsidRDefault="004D6291" w:rsidP="004D6291">
      <w:pPr>
        <w:ind w:firstLine="0"/>
        <w:rPr>
          <w:rFonts w:cs="Times New Roman"/>
          <w:szCs w:val="24"/>
        </w:rPr>
      </w:pPr>
    </w:p>
    <w:p w14:paraId="0D8FD1A0" w14:textId="77777777" w:rsidR="004D6291" w:rsidRDefault="009A72EB" w:rsidP="004D6291">
      <w:pPr>
        <w:ind w:firstLine="0"/>
        <w:rPr>
          <w:rFonts w:cs="Times New Roman"/>
          <w:szCs w:val="24"/>
        </w:rPr>
      </w:pPr>
      <w:r w:rsidRPr="005F378C">
        <w:rPr>
          <w:rFonts w:cs="Times New Roman"/>
          <w:b/>
          <w:bCs/>
          <w:szCs w:val="24"/>
        </w:rPr>
        <w:t>Judikatura</w:t>
      </w:r>
      <w:r>
        <w:rPr>
          <w:rFonts w:cs="Times New Roman"/>
          <w:b/>
          <w:bCs/>
          <w:szCs w:val="24"/>
        </w:rPr>
        <w:t>:</w:t>
      </w:r>
    </w:p>
    <w:p w14:paraId="3451B016" w14:textId="77777777" w:rsidR="004D6291" w:rsidRDefault="009A72EB" w:rsidP="004D6291">
      <w:pPr>
        <w:ind w:firstLine="0"/>
        <w:rPr>
          <w:rFonts w:cs="Times New Roman"/>
          <w:szCs w:val="24"/>
        </w:rPr>
      </w:pPr>
      <w:r w:rsidRPr="005F378C">
        <w:rPr>
          <w:rFonts w:cs="Times New Roman"/>
          <w:szCs w:val="24"/>
        </w:rPr>
        <w:t>Rozsudek nejvyššího soudu ze dne 21. 12. 2005, sp. zn. 29 Odo 851/2003.</w:t>
      </w:r>
    </w:p>
    <w:p w14:paraId="0764EC06" w14:textId="77777777" w:rsidR="004D6291" w:rsidRDefault="004D6291" w:rsidP="004D6291">
      <w:pPr>
        <w:ind w:firstLine="0"/>
        <w:rPr>
          <w:rFonts w:cs="Times New Roman"/>
          <w:szCs w:val="24"/>
        </w:rPr>
      </w:pPr>
    </w:p>
    <w:p w14:paraId="660F295D" w14:textId="77777777" w:rsidR="004D6291" w:rsidRDefault="009A72EB" w:rsidP="004D6291">
      <w:pPr>
        <w:ind w:firstLine="0"/>
        <w:rPr>
          <w:rFonts w:cs="Times New Roman"/>
          <w:szCs w:val="24"/>
        </w:rPr>
      </w:pPr>
      <w:r w:rsidRPr="00024293">
        <w:rPr>
          <w:rFonts w:cs="Times New Roman"/>
          <w:b/>
          <w:bCs/>
          <w:szCs w:val="24"/>
        </w:rPr>
        <w:t>Důvodové zprávy</w:t>
      </w:r>
      <w:r>
        <w:rPr>
          <w:rFonts w:cs="Times New Roman"/>
          <w:b/>
          <w:bCs/>
          <w:szCs w:val="24"/>
        </w:rPr>
        <w:t>:</w:t>
      </w:r>
    </w:p>
    <w:p w14:paraId="02F394AF" w14:textId="77777777" w:rsidR="00D51C1E" w:rsidRDefault="009A72EB" w:rsidP="00D51C1E">
      <w:pPr>
        <w:ind w:firstLine="0"/>
        <w:rPr>
          <w:rFonts w:cs="Times New Roman"/>
          <w:szCs w:val="24"/>
        </w:rPr>
      </w:pPr>
      <w:r w:rsidRPr="005F378C">
        <w:rPr>
          <w:rFonts w:cs="Times New Roman"/>
          <w:szCs w:val="24"/>
        </w:rPr>
        <w:t>Důvodová zpráva k zákonu č. 89/2012 Sb</w:t>
      </w:r>
      <w:r w:rsidR="00D51C1E">
        <w:rPr>
          <w:rFonts w:cs="Times New Roman"/>
          <w:szCs w:val="24"/>
        </w:rPr>
        <w:t>.</w:t>
      </w:r>
    </w:p>
    <w:p w14:paraId="4DD074D5" w14:textId="77777777" w:rsidR="00D51C1E" w:rsidRDefault="00D51C1E" w:rsidP="00D51C1E">
      <w:pPr>
        <w:ind w:firstLine="0"/>
        <w:rPr>
          <w:rFonts w:cs="Times New Roman"/>
          <w:szCs w:val="24"/>
        </w:rPr>
      </w:pPr>
    </w:p>
    <w:p w14:paraId="164F7E7A" w14:textId="77777777" w:rsidR="00D51C1E" w:rsidRDefault="009A72EB" w:rsidP="00D51C1E">
      <w:pPr>
        <w:ind w:firstLine="0"/>
        <w:rPr>
          <w:rFonts w:cs="Times New Roman"/>
          <w:szCs w:val="24"/>
        </w:rPr>
      </w:pPr>
      <w:r w:rsidRPr="00024293">
        <w:rPr>
          <w:rFonts w:cs="Times New Roman"/>
          <w:b/>
          <w:bCs/>
          <w:szCs w:val="24"/>
        </w:rPr>
        <w:t>Ostatní</w:t>
      </w:r>
      <w:r>
        <w:rPr>
          <w:rFonts w:cs="Times New Roman"/>
          <w:b/>
          <w:bCs/>
          <w:szCs w:val="24"/>
        </w:rPr>
        <w:t xml:space="preserve"> zdroje:</w:t>
      </w:r>
    </w:p>
    <w:p w14:paraId="19FBB68C" w14:textId="77777777" w:rsidR="00D51C1E" w:rsidRDefault="009A72EB" w:rsidP="009A72EB">
      <w:pPr>
        <w:ind w:firstLine="0"/>
        <w:rPr>
          <w:rFonts w:cs="Times New Roman"/>
          <w:szCs w:val="24"/>
        </w:rPr>
      </w:pPr>
      <w:r w:rsidRPr="005F378C">
        <w:rPr>
          <w:rFonts w:cs="Times New Roman"/>
          <w:szCs w:val="24"/>
        </w:rPr>
        <w:t xml:space="preserve">Bubelová, K., Dostalík, P., Razim, J.: Praktikum z římského práva. 3. vydání, Praha: Leges, 2019, </w:t>
      </w:r>
      <w:r>
        <w:rPr>
          <w:rFonts w:cs="Times New Roman"/>
          <w:szCs w:val="24"/>
        </w:rPr>
        <w:t xml:space="preserve">256 </w:t>
      </w:r>
      <w:r w:rsidRPr="005F378C">
        <w:rPr>
          <w:rFonts w:cs="Times New Roman"/>
          <w:szCs w:val="24"/>
        </w:rPr>
        <w:t>s.</w:t>
      </w:r>
    </w:p>
    <w:p w14:paraId="26AFA61A" w14:textId="6FB8A76B" w:rsidR="005C5B4F" w:rsidRDefault="009A72EB" w:rsidP="009A72EB">
      <w:pPr>
        <w:ind w:firstLine="0"/>
        <w:rPr>
          <w:rFonts w:cs="Times New Roman"/>
          <w:szCs w:val="24"/>
        </w:rPr>
      </w:pPr>
      <w:r w:rsidRPr="005F378C">
        <w:rPr>
          <w:rFonts w:cs="Times New Roman"/>
          <w:szCs w:val="24"/>
        </w:rPr>
        <w:t xml:space="preserve">HRDINA, Ignác Antonín a Petr DOSTALÍK. Přehled římského práva soukromého ke státní souborné zkoušce. Plzeň: Vydavatelství a nakladatelství Aleš Čeněk, 2010, </w:t>
      </w:r>
      <w:r>
        <w:rPr>
          <w:rFonts w:cs="Times New Roman"/>
          <w:szCs w:val="24"/>
        </w:rPr>
        <w:t xml:space="preserve">140 </w:t>
      </w:r>
      <w:r w:rsidRPr="005F378C">
        <w:rPr>
          <w:rFonts w:cs="Times New Roman"/>
          <w:szCs w:val="24"/>
        </w:rPr>
        <w:t>s.</w:t>
      </w:r>
    </w:p>
    <w:p w14:paraId="536EC1A8" w14:textId="77777777" w:rsidR="005C5B4F" w:rsidRDefault="005C5B4F" w:rsidP="005C5B4F">
      <w:pPr>
        <w:ind w:firstLine="0"/>
        <w:rPr>
          <w:rFonts w:cs="Times New Roman"/>
          <w:szCs w:val="24"/>
        </w:rPr>
      </w:pPr>
    </w:p>
    <w:p w14:paraId="0FFBAD51" w14:textId="3B84098A" w:rsidR="005C5B4F" w:rsidRPr="005C5B4F" w:rsidRDefault="005C5B4F" w:rsidP="005C5B4F">
      <w:pPr>
        <w:ind w:firstLine="0"/>
        <w:rPr>
          <w:rFonts w:cs="Times New Roman"/>
          <w:szCs w:val="24"/>
        </w:rPr>
        <w:sectPr w:rsidR="005C5B4F" w:rsidRPr="005C5B4F" w:rsidSect="005D75C5">
          <w:pgSz w:w="11906" w:h="16838" w:code="9"/>
          <w:pgMar w:top="1418" w:right="1134" w:bottom="1418" w:left="1701" w:header="709" w:footer="709" w:gutter="0"/>
          <w:cols w:space="708"/>
          <w:docGrid w:linePitch="360"/>
        </w:sectPr>
      </w:pPr>
    </w:p>
    <w:p w14:paraId="715E2150" w14:textId="4BE69612" w:rsidR="00F54329" w:rsidRDefault="000F13EF" w:rsidP="000D2AE7">
      <w:pPr>
        <w:pStyle w:val="Nadpis1"/>
      </w:pPr>
      <w:bookmarkStart w:id="51" w:name="_Toc100354953"/>
      <w:r>
        <w:lastRenderedPageBreak/>
        <w:t>Shrnutí</w:t>
      </w:r>
      <w:bookmarkEnd w:id="51"/>
    </w:p>
    <w:p w14:paraId="19302D11" w14:textId="77777777" w:rsidR="00AF41F7" w:rsidRDefault="00450892" w:rsidP="00450892">
      <w:pPr>
        <w:ind w:firstLine="0"/>
      </w:pPr>
      <w:r>
        <w:tab/>
      </w:r>
      <w:r w:rsidR="00F54329">
        <w:t xml:space="preserve">Tato diplomová práce se zabývá </w:t>
      </w:r>
      <w:r w:rsidR="004F496B">
        <w:t>institutem zástavního práva v </w:t>
      </w:r>
      <w:r w:rsidR="008730CA">
        <w:t>období</w:t>
      </w:r>
      <w:r w:rsidR="004F496B">
        <w:t xml:space="preserve"> </w:t>
      </w:r>
      <w:r w:rsidR="00E1222B">
        <w:t xml:space="preserve">práva </w:t>
      </w:r>
      <w:r w:rsidR="004F496B">
        <w:t>římského</w:t>
      </w:r>
      <w:r w:rsidR="00377E0C">
        <w:t xml:space="preserve">, přičemž byl zejména kladen </w:t>
      </w:r>
      <w:r w:rsidR="00F84F24">
        <w:t>důraz</w:t>
      </w:r>
      <w:r w:rsidR="00377E0C">
        <w:t xml:space="preserve"> na právní úpravu tohoto institutu dle kodifikace císaře Justiniána I.</w:t>
      </w:r>
      <w:r w:rsidR="006E0A0C">
        <w:t xml:space="preserve"> Cílem </w:t>
      </w:r>
      <w:r w:rsidR="004E144F">
        <w:t>práce</w:t>
      </w:r>
      <w:r w:rsidR="00100526">
        <w:t xml:space="preserve"> </w:t>
      </w:r>
      <w:r w:rsidR="00346F99">
        <w:t>je zjistit, jakým způsobem se praxe zástavního práva promítla do</w:t>
      </w:r>
      <w:r w:rsidR="00100526">
        <w:t xml:space="preserve"> </w:t>
      </w:r>
      <w:r w:rsidR="00237E8E">
        <w:t>úpravy justiniánské a</w:t>
      </w:r>
      <w:r w:rsidR="009726B7">
        <w:t xml:space="preserve"> </w:t>
      </w:r>
      <w:r w:rsidR="007534B4">
        <w:t>posléze té současné.</w:t>
      </w:r>
      <w:r w:rsidR="00D10F31">
        <w:t xml:space="preserve"> Na</w:t>
      </w:r>
      <w:r w:rsidR="004403A8">
        <w:t xml:space="preserve"> základě </w:t>
      </w:r>
      <w:r w:rsidR="007F7903">
        <w:t>tohoto pak</w:t>
      </w:r>
      <w:r w:rsidR="004403A8">
        <w:t xml:space="preserve"> budeme schopni vypozorovat </w:t>
      </w:r>
      <w:r w:rsidR="0011055E">
        <w:t>případné odlišnosti a zjistit, proč tomu tak vlastně je.</w:t>
      </w:r>
      <w:r w:rsidR="00E66D0E">
        <w:t xml:space="preserve"> </w:t>
      </w:r>
    </w:p>
    <w:p w14:paraId="00EA789A" w14:textId="4AE5C80F" w:rsidR="00F54329" w:rsidRPr="00F54329" w:rsidRDefault="00AF41F7" w:rsidP="00450892">
      <w:pPr>
        <w:ind w:firstLine="0"/>
        <w:sectPr w:rsidR="00F54329" w:rsidRPr="00F54329" w:rsidSect="005D75C5">
          <w:pgSz w:w="11906" w:h="16838" w:code="9"/>
          <w:pgMar w:top="1418" w:right="1134" w:bottom="1418" w:left="1701" w:header="709" w:footer="709" w:gutter="0"/>
          <w:cols w:space="708"/>
          <w:docGrid w:linePitch="360"/>
        </w:sectPr>
      </w:pPr>
      <w:r>
        <w:tab/>
      </w:r>
      <w:r w:rsidR="00895563">
        <w:t>Práce je rozděle</w:t>
      </w:r>
      <w:r w:rsidR="00841365">
        <w:t>na do několika kapitol, přičemž</w:t>
      </w:r>
      <w:r w:rsidR="0083444C">
        <w:t xml:space="preserve"> úvodní</w:t>
      </w:r>
      <w:r w:rsidR="00876E52">
        <w:t xml:space="preserve"> kapitola slouží</w:t>
      </w:r>
      <w:r w:rsidR="0083444C">
        <w:t xml:space="preserve"> pro zasvěcení do problematiky</w:t>
      </w:r>
      <w:r w:rsidR="00ED28DD">
        <w:t>.</w:t>
      </w:r>
      <w:r w:rsidR="0083444C">
        <w:t xml:space="preserve"> </w:t>
      </w:r>
      <w:r w:rsidR="00ED28DD">
        <w:t>D</w:t>
      </w:r>
      <w:r w:rsidR="0083444C">
        <w:t xml:space="preserve">alší kapitola se podrobněji věnuje zástavnímu právu </w:t>
      </w:r>
      <w:r w:rsidR="00EE57AB">
        <w:t>v době římského</w:t>
      </w:r>
      <w:r w:rsidR="00C859E5">
        <w:t xml:space="preserve"> </w:t>
      </w:r>
      <w:r w:rsidR="00EE57AB">
        <w:t>práva</w:t>
      </w:r>
      <w:r w:rsidR="002012C3">
        <w:t>,</w:t>
      </w:r>
      <w:r w:rsidR="00EE57AB">
        <w:t xml:space="preserve"> a nakonec</w:t>
      </w:r>
      <w:r>
        <w:t xml:space="preserve"> </w:t>
      </w:r>
      <w:r w:rsidR="00765397">
        <w:t>je v poslední kapitol</w:t>
      </w:r>
      <w:r w:rsidR="00C859E5">
        <w:t>e</w:t>
      </w:r>
      <w:r w:rsidR="00765397">
        <w:t xml:space="preserve"> přistoupeno k samotné komparaci</w:t>
      </w:r>
      <w:r w:rsidR="0079475E">
        <w:t xml:space="preserve"> římskoprávní</w:t>
      </w:r>
      <w:r w:rsidR="00765397">
        <w:t xml:space="preserve"> </w:t>
      </w:r>
      <w:r w:rsidR="0079475E">
        <w:t>úpravy zástavního práva,</w:t>
      </w:r>
      <w:r w:rsidR="007B36E7">
        <w:t xml:space="preserve"> s tou současnou</w:t>
      </w:r>
      <w:r w:rsidR="00DA475C">
        <w:t>.</w:t>
      </w:r>
    </w:p>
    <w:p w14:paraId="2CE2849A" w14:textId="77777777" w:rsidR="00FA557C" w:rsidRDefault="00C466B0" w:rsidP="004F6AB8">
      <w:pPr>
        <w:pStyle w:val="Nadpis1"/>
      </w:pPr>
      <w:bookmarkStart w:id="52" w:name="_Toc100354954"/>
      <w:r>
        <w:lastRenderedPageBreak/>
        <w:t>Klíčový</w:t>
      </w:r>
      <w:r w:rsidR="004F6AB8">
        <w:t xml:space="preserve"> slova</w:t>
      </w:r>
      <w:bookmarkEnd w:id="52"/>
    </w:p>
    <w:p w14:paraId="5DAE5590" w14:textId="61C38104" w:rsidR="00C16B5D" w:rsidRDefault="00CF41D4" w:rsidP="00C16B5D">
      <w:r>
        <w:t>Z</w:t>
      </w:r>
      <w:r w:rsidR="001F3E8D">
        <w:t>ásta</w:t>
      </w:r>
      <w:r>
        <w:t>vní právo</w:t>
      </w:r>
      <w:r w:rsidR="007F4D46">
        <w:t xml:space="preserve">, justiniánská úprava, Digesta, </w:t>
      </w:r>
      <w:r w:rsidR="009F72A8">
        <w:t>komparace, římské právo</w:t>
      </w:r>
      <w:r w:rsidR="00F34401">
        <w:t>, fragmenty</w:t>
      </w:r>
    </w:p>
    <w:p w14:paraId="3B742866" w14:textId="03AEA2F5" w:rsidR="00C16B5D" w:rsidRPr="00C16B5D" w:rsidRDefault="00C16B5D" w:rsidP="00C16B5D">
      <w:pPr>
        <w:sectPr w:rsidR="00C16B5D" w:rsidRPr="00C16B5D" w:rsidSect="005D75C5">
          <w:pgSz w:w="11906" w:h="16838" w:code="9"/>
          <w:pgMar w:top="1418" w:right="1134" w:bottom="1418" w:left="1701" w:header="709" w:footer="709" w:gutter="0"/>
          <w:cols w:space="708"/>
          <w:docGrid w:linePitch="360"/>
        </w:sectPr>
      </w:pPr>
    </w:p>
    <w:p w14:paraId="27619E34" w14:textId="26791184" w:rsidR="00E31341" w:rsidRDefault="005A6A71" w:rsidP="000D2AE7">
      <w:pPr>
        <w:pStyle w:val="Nadpis1"/>
      </w:pPr>
      <w:bookmarkStart w:id="53" w:name="_Toc100354955"/>
      <w:r>
        <w:lastRenderedPageBreak/>
        <w:t>Summary</w:t>
      </w:r>
      <w:bookmarkEnd w:id="53"/>
    </w:p>
    <w:p w14:paraId="79F752C4" w14:textId="3C94CD75" w:rsidR="00E31341" w:rsidRPr="00450892" w:rsidRDefault="000D2AE7" w:rsidP="00E31341">
      <w:pPr>
        <w:rPr>
          <w:lang w:val="en-US"/>
        </w:rPr>
        <w:sectPr w:rsidR="00E31341" w:rsidRPr="00450892" w:rsidSect="005D75C5">
          <w:pgSz w:w="11906" w:h="16838" w:code="9"/>
          <w:pgMar w:top="1418" w:right="1134" w:bottom="1418" w:left="1701" w:header="709" w:footer="709" w:gutter="0"/>
          <w:cols w:space="708"/>
          <w:docGrid w:linePitch="360"/>
        </w:sectPr>
      </w:pPr>
      <w:r w:rsidRPr="00450892">
        <w:rPr>
          <w:lang w:val="en-US"/>
        </w:rPr>
        <w:t xml:space="preserve">This diploma thesis deals with the institute of lien in the period of Roman law, with particular emphasis on the legal regulation of this institute according to the codification of Emperor Justinian I. The aim is to find out how the practice of lien was reflected in Justinian </w:t>
      </w:r>
      <w:r w:rsidR="00FC150D">
        <w:rPr>
          <w:lang w:val="en-US"/>
        </w:rPr>
        <w:t xml:space="preserve">law </w:t>
      </w:r>
      <w:r w:rsidRPr="00450892">
        <w:rPr>
          <w:lang w:val="en-US"/>
        </w:rPr>
        <w:t xml:space="preserve">and later </w:t>
      </w:r>
      <w:r w:rsidR="00FC150D">
        <w:rPr>
          <w:lang w:val="en-US"/>
        </w:rPr>
        <w:t xml:space="preserve">in </w:t>
      </w:r>
      <w:r w:rsidRPr="00450892">
        <w:rPr>
          <w:lang w:val="en-US"/>
        </w:rPr>
        <w:t>the current</w:t>
      </w:r>
      <w:r w:rsidR="00B90134">
        <w:rPr>
          <w:lang w:val="en-US"/>
        </w:rPr>
        <w:t xml:space="preserve"> law</w:t>
      </w:r>
      <w:r w:rsidRPr="00450892">
        <w:rPr>
          <w:lang w:val="en-US"/>
        </w:rPr>
        <w:t>. Based on this, we will be able to observe any differences and find out why this is the case. The work is divided into several chapters, while the introductory chapter serves for initiation into the issue. The next chapter deals in more detail with the right of the lien in the time of Roman law, and finally, in the last chapter, the comparison of the Roman law regulation of the lien with the current one is approached.</w:t>
      </w:r>
    </w:p>
    <w:p w14:paraId="5E5E9A3F" w14:textId="513A097E" w:rsidR="005309F3" w:rsidRPr="00E03F01" w:rsidRDefault="005A6A71" w:rsidP="00FA557C">
      <w:pPr>
        <w:pStyle w:val="Nadpis1"/>
      </w:pPr>
      <w:bookmarkStart w:id="54" w:name="_Toc100354956"/>
      <w:r>
        <w:lastRenderedPageBreak/>
        <w:t>Key</w:t>
      </w:r>
      <w:r w:rsidR="00B66173">
        <w:t xml:space="preserve"> words</w:t>
      </w:r>
      <w:bookmarkEnd w:id="54"/>
    </w:p>
    <w:p w14:paraId="60E55F9B" w14:textId="04FE5060" w:rsidR="003875DC" w:rsidRPr="00847C8C" w:rsidRDefault="00847C8C" w:rsidP="005A5285">
      <w:pPr>
        <w:rPr>
          <w:lang w:val="en-US"/>
        </w:rPr>
      </w:pPr>
      <w:r w:rsidRPr="00847C8C">
        <w:rPr>
          <w:lang w:val="en-US"/>
        </w:rPr>
        <w:t>Lien</w:t>
      </w:r>
      <w:r w:rsidR="008F5664" w:rsidRPr="00847C8C">
        <w:rPr>
          <w:lang w:val="en-US"/>
        </w:rPr>
        <w:t>, Justinian regulation, Digesta, comparison, Roman law, fragments</w:t>
      </w:r>
    </w:p>
    <w:sectPr w:rsidR="003875DC" w:rsidRPr="00847C8C" w:rsidSect="005D75C5">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57D0" w14:textId="77777777" w:rsidR="00F16016" w:rsidRDefault="00F16016" w:rsidP="00011D40">
      <w:pPr>
        <w:spacing w:line="240" w:lineRule="auto"/>
      </w:pPr>
      <w:r>
        <w:separator/>
      </w:r>
    </w:p>
  </w:endnote>
  <w:endnote w:type="continuationSeparator" w:id="0">
    <w:p w14:paraId="1192CABC" w14:textId="77777777" w:rsidR="00F16016" w:rsidRDefault="00F16016" w:rsidP="00011D40">
      <w:pPr>
        <w:spacing w:line="240" w:lineRule="auto"/>
      </w:pPr>
      <w:r>
        <w:continuationSeparator/>
      </w:r>
    </w:p>
  </w:endnote>
  <w:endnote w:type="continuationNotice" w:id="1">
    <w:p w14:paraId="6ED2F452" w14:textId="77777777" w:rsidR="00F16016" w:rsidRDefault="00F160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3DF1" w14:textId="6239AB19" w:rsidR="00AD3F6F" w:rsidRDefault="00AD3F6F" w:rsidP="00834B5E">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023823"/>
      <w:docPartObj>
        <w:docPartGallery w:val="Page Numbers (Bottom of Page)"/>
        <w:docPartUnique/>
      </w:docPartObj>
    </w:sdtPr>
    <w:sdtEndPr/>
    <w:sdtContent>
      <w:p w14:paraId="3203BB96" w14:textId="02A97512" w:rsidR="00AD3F6F" w:rsidRDefault="00AD3F6F">
        <w:pPr>
          <w:pStyle w:val="Zpat"/>
          <w:jc w:val="center"/>
        </w:pPr>
        <w:r>
          <w:fldChar w:fldCharType="begin"/>
        </w:r>
        <w:r>
          <w:instrText>PAGE   \* MERGEFORMAT</w:instrText>
        </w:r>
        <w:r>
          <w:fldChar w:fldCharType="separate"/>
        </w:r>
        <w:r w:rsidR="005C423E">
          <w:rPr>
            <w:noProof/>
          </w:rPr>
          <w:t>50</w:t>
        </w:r>
        <w:r>
          <w:fldChar w:fldCharType="end"/>
        </w:r>
      </w:p>
    </w:sdtContent>
  </w:sdt>
  <w:p w14:paraId="54403013" w14:textId="77777777" w:rsidR="00AD3F6F" w:rsidRDefault="00AD3F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D1DBD" w14:textId="77777777" w:rsidR="00F16016" w:rsidRDefault="00F16016" w:rsidP="00011D40">
      <w:pPr>
        <w:spacing w:line="240" w:lineRule="auto"/>
      </w:pPr>
      <w:r>
        <w:separator/>
      </w:r>
    </w:p>
  </w:footnote>
  <w:footnote w:type="continuationSeparator" w:id="0">
    <w:p w14:paraId="45561814" w14:textId="77777777" w:rsidR="00F16016" w:rsidRDefault="00F16016" w:rsidP="00011D40">
      <w:pPr>
        <w:spacing w:line="240" w:lineRule="auto"/>
      </w:pPr>
      <w:r>
        <w:continuationSeparator/>
      </w:r>
    </w:p>
  </w:footnote>
  <w:footnote w:type="continuationNotice" w:id="1">
    <w:p w14:paraId="335C55D8" w14:textId="77777777" w:rsidR="00F16016" w:rsidRDefault="00F16016">
      <w:pPr>
        <w:spacing w:line="240" w:lineRule="auto"/>
      </w:pPr>
    </w:p>
  </w:footnote>
  <w:footnote w:id="2">
    <w:p w14:paraId="6A17EE60" w14:textId="5DEF7AAB" w:rsidR="00AD3F6F" w:rsidRPr="00DA7D38" w:rsidRDefault="00AD3F6F" w:rsidP="0058787C">
      <w:pPr>
        <w:pStyle w:val="Textpoznpodarou"/>
        <w:rPr>
          <w:rFonts w:cs="Times New Roman"/>
        </w:rPr>
      </w:pPr>
      <w:r w:rsidRPr="00DA7D38">
        <w:rPr>
          <w:vertAlign w:val="superscript"/>
        </w:rPr>
        <w:footnoteRef/>
      </w:r>
      <w:r w:rsidRPr="00DA7D38">
        <w:rPr>
          <w:rFonts w:cs="Times New Roman"/>
          <w:vertAlign w:val="superscript"/>
        </w:rPr>
        <w:t xml:space="preserve"> </w:t>
      </w:r>
      <w:r w:rsidRPr="0058787C">
        <w:t xml:space="preserve">KINCL, Jaromír, URFUS Valentin a SKŘEJPEK </w:t>
      </w:r>
      <w:r>
        <w:t>Michal. Římské právo. Praha: C.</w:t>
      </w:r>
      <w:r w:rsidRPr="0058787C">
        <w:t>H. Beck,1995, s. 20</w:t>
      </w:r>
      <w:r>
        <w:t>2. (dále jen Kincl).</w:t>
      </w:r>
    </w:p>
  </w:footnote>
  <w:footnote w:id="3">
    <w:p w14:paraId="788BA319" w14:textId="509810AC" w:rsidR="00AD3F6F" w:rsidRDefault="00AD3F6F">
      <w:pPr>
        <w:pStyle w:val="Textpoznpodarou"/>
      </w:pPr>
      <w:r>
        <w:rPr>
          <w:rStyle w:val="Znakapoznpodarou"/>
        </w:rPr>
        <w:footnoteRef/>
      </w:r>
      <w:r>
        <w:t xml:space="preserve"> </w:t>
      </w:r>
      <w:r w:rsidRPr="00DA7D38">
        <w:rPr>
          <w:rFonts w:cs="Times New Roman"/>
        </w:rPr>
        <w:t xml:space="preserve">HEYROVSKÝ, Leopold. Dějiny a systém soukromého práva římského. V Bratislavě: Nákladem Právnické fakulty University </w:t>
      </w:r>
      <w:r>
        <w:rPr>
          <w:rFonts w:cs="Times New Roman"/>
        </w:rPr>
        <w:t>Komenského, 1927, s. 280 (dále jen Heyrovský 1927).</w:t>
      </w:r>
    </w:p>
  </w:footnote>
  <w:footnote w:id="4">
    <w:p w14:paraId="4A81740D" w14:textId="26709FFF" w:rsidR="00AD3F6F" w:rsidRPr="00DA7D38" w:rsidRDefault="00AD3F6F" w:rsidP="0058787C">
      <w:pPr>
        <w:pStyle w:val="Textpoznpodarou"/>
        <w:rPr>
          <w:rFonts w:cs="Times New Roman"/>
        </w:rPr>
      </w:pPr>
      <w:r>
        <w:rPr>
          <w:rStyle w:val="Znakapoznpodarou"/>
        </w:rPr>
        <w:footnoteRef/>
      </w:r>
      <w:r>
        <w:t xml:space="preserve"> </w:t>
      </w:r>
      <w:r>
        <w:rPr>
          <w:rFonts w:cs="Times New Roman"/>
        </w:rPr>
        <w:t>Tamtéž.</w:t>
      </w:r>
    </w:p>
  </w:footnote>
  <w:footnote w:id="5">
    <w:p w14:paraId="54E2BCE3" w14:textId="711DE539" w:rsidR="00AD3F6F" w:rsidRPr="000C320A" w:rsidRDefault="00AD3F6F">
      <w:pPr>
        <w:pStyle w:val="Textpoznpodarou"/>
        <w:rPr>
          <w:rFonts w:cs="Times New Roman"/>
        </w:rPr>
      </w:pPr>
      <w:r>
        <w:rPr>
          <w:rStyle w:val="Znakapoznpodarou"/>
        </w:rPr>
        <w:footnoteRef/>
      </w:r>
      <w:r>
        <w:rPr>
          <w:rFonts w:cs="Times New Roman"/>
        </w:rPr>
        <w:t xml:space="preserve"> </w:t>
      </w:r>
      <w:r>
        <w:t xml:space="preserve">BLAHO, P., </w:t>
      </w:r>
      <w:r w:rsidRPr="0058787C">
        <w:t>SKŘEJPEK</w:t>
      </w:r>
      <w:r>
        <w:t>, M.: Justiniánské instituce. Praha, Univerzita Karlova v Praze, nakladatelství Karolinum, 2010, s. 8 s. – psal Blaho. (dále jen Instituce).</w:t>
      </w:r>
    </w:p>
  </w:footnote>
  <w:footnote w:id="6">
    <w:p w14:paraId="604ED4D1" w14:textId="7F026CB9" w:rsidR="00AD3F6F" w:rsidRDefault="00AD3F6F">
      <w:pPr>
        <w:pStyle w:val="Textpoznpodarou"/>
      </w:pPr>
      <w:r>
        <w:rPr>
          <w:rStyle w:val="Znakapoznpodarou"/>
        </w:rPr>
        <w:footnoteRef/>
      </w:r>
      <w:r>
        <w:t xml:space="preserve"> Kincl</w:t>
      </w:r>
      <w:r w:rsidRPr="0058787C">
        <w:t xml:space="preserve">, </w:t>
      </w:r>
      <w:r>
        <w:t>s. 202.</w:t>
      </w:r>
    </w:p>
  </w:footnote>
  <w:footnote w:id="7">
    <w:p w14:paraId="544CB152" w14:textId="23E462FE" w:rsidR="00AD3F6F" w:rsidRDefault="00AD3F6F">
      <w:pPr>
        <w:pStyle w:val="Textpoznpodarou"/>
      </w:pPr>
      <w:r>
        <w:rPr>
          <w:rStyle w:val="Znakapoznpodarou"/>
        </w:rPr>
        <w:footnoteRef/>
      </w:r>
      <w:r>
        <w:t xml:space="preserve"> LDT III. 3. - </w:t>
      </w:r>
      <w:r w:rsidRPr="000C320A">
        <w:t xml:space="preserve">SKŘEJPEK, Michal. Prameny římského práva: Fontes iuris romani. Vydání 2. Praha: LexisNexis CZ, 2004, </w:t>
      </w:r>
      <w:r>
        <w:t>s. 33.</w:t>
      </w:r>
    </w:p>
  </w:footnote>
  <w:footnote w:id="8">
    <w:p w14:paraId="217B0A62" w14:textId="3CF8928E" w:rsidR="00AD3F6F" w:rsidRPr="00C44AEB" w:rsidRDefault="00AD3F6F" w:rsidP="00932E9E">
      <w:pPr>
        <w:pStyle w:val="Textpoznpodarou"/>
        <w:rPr>
          <w:rFonts w:cs="Times New Roman"/>
          <w:strike/>
        </w:rPr>
      </w:pPr>
      <w:r>
        <w:rPr>
          <w:rStyle w:val="Znakapoznpodarou"/>
        </w:rPr>
        <w:footnoteRef/>
      </w:r>
      <w:r>
        <w:t xml:space="preserve"> Kincl, s. 202-203.</w:t>
      </w:r>
    </w:p>
  </w:footnote>
  <w:footnote w:id="9">
    <w:p w14:paraId="62570831" w14:textId="366CD6F8" w:rsidR="00AD3F6F" w:rsidRDefault="00AD3F6F">
      <w:pPr>
        <w:pStyle w:val="Textpoznpodarou"/>
      </w:pPr>
      <w:r>
        <w:rPr>
          <w:rStyle w:val="Znakapoznpodarou"/>
        </w:rPr>
        <w:footnoteRef/>
      </w:r>
      <w:r>
        <w:t xml:space="preserve"> REBRO, Karol a BLAHO, Peter. Rímské právo. 4. vydání: MANZ Bratislava, 2010. s. 316. (dále jen Blaho) – (překlad ze slovenštiny Tomáš Havlík) </w:t>
      </w:r>
    </w:p>
  </w:footnote>
  <w:footnote w:id="10">
    <w:p w14:paraId="557ED786" w14:textId="71D33034" w:rsidR="00AD3F6F" w:rsidRPr="004860C0" w:rsidRDefault="00AD3F6F" w:rsidP="004860C0">
      <w:pPr>
        <w:pStyle w:val="Textpoznpodarou"/>
        <w:rPr>
          <w:rFonts w:cs="Times New Roman"/>
          <w:strike/>
        </w:rPr>
      </w:pPr>
      <w:r>
        <w:rPr>
          <w:rStyle w:val="Znakapoznpodarou"/>
        </w:rPr>
        <w:footnoteRef/>
      </w:r>
      <w:r>
        <w:t xml:space="preserve"> Kincl, s. 203.</w:t>
      </w:r>
    </w:p>
  </w:footnote>
  <w:footnote w:id="11">
    <w:p w14:paraId="77D65472" w14:textId="4767FA0F" w:rsidR="00AD3F6F" w:rsidRDefault="00AD3F6F" w:rsidP="0073516B">
      <w:pPr>
        <w:pStyle w:val="Textpoznpodarou"/>
      </w:pPr>
      <w:r>
        <w:rPr>
          <w:rStyle w:val="Znakapoznpodarou"/>
        </w:rPr>
        <w:footnoteRef/>
      </w:r>
      <w:r>
        <w:t xml:space="preserve"> </w:t>
      </w:r>
      <w:r w:rsidRPr="004E0E89">
        <w:t>TUREČEK, Josef. Světové dějiny státu a práva ve starověku. Praha: Orbis, 1963. Právnické edice.</w:t>
      </w:r>
      <w:r>
        <w:t xml:space="preserve"> s. 358. (dále jen Tureček).</w:t>
      </w:r>
    </w:p>
  </w:footnote>
  <w:footnote w:id="12">
    <w:p w14:paraId="3C971400" w14:textId="799E15A9" w:rsidR="00AD3F6F" w:rsidRDefault="00AD3F6F" w:rsidP="004860C0">
      <w:pPr>
        <w:pStyle w:val="Textpoznpodarou"/>
      </w:pPr>
      <w:r>
        <w:rPr>
          <w:rStyle w:val="Znakapoznpodarou"/>
        </w:rPr>
        <w:footnoteRef/>
      </w:r>
      <w:r>
        <w:t xml:space="preserve"> „</w:t>
      </w:r>
      <w:r w:rsidRPr="00390255">
        <w:rPr>
          <w:b/>
          <w:bCs/>
        </w:rPr>
        <w:t>Věrná ruka</w:t>
      </w:r>
      <w:r>
        <w:t xml:space="preserve"> jest závazek převzatý na víru, že určité povinnosti bude dosti učiněno. Provedení svěřeno bylo tedy v moc poctivého člověka a podle toho obrazu označováno i splnění jako otevření ruky věrné.“ - </w:t>
      </w:r>
      <w:r w:rsidRPr="00390255">
        <w:t>Ottův slovník naučný: illustrovaná encyklopaedie obecných vědomostí. V Praze: J. Otto, 1907. sv. 26, s. 582.</w:t>
      </w:r>
    </w:p>
  </w:footnote>
  <w:footnote w:id="13">
    <w:p w14:paraId="01B988FF" w14:textId="1E854E17" w:rsidR="00AD3F6F" w:rsidRDefault="00AD3F6F">
      <w:pPr>
        <w:pStyle w:val="Textpoznpodarou"/>
      </w:pPr>
      <w:r>
        <w:rPr>
          <w:rStyle w:val="Znakapoznpodarou"/>
        </w:rPr>
        <w:footnoteRef/>
      </w:r>
      <w:r>
        <w:t xml:space="preserve"> HEYROVSKÝ, L. Dějiny a systém soukromého práva římského. 4. vydání. Praha: J. Otto, 1910, s. 479. (dále jen Heyrovský 1910).</w:t>
      </w:r>
    </w:p>
  </w:footnote>
  <w:footnote w:id="14">
    <w:p w14:paraId="38D8B940" w14:textId="0005D62D" w:rsidR="00AD3F6F" w:rsidRDefault="00AD3F6F">
      <w:pPr>
        <w:pStyle w:val="Textpoznpodarou"/>
      </w:pPr>
      <w:r>
        <w:rPr>
          <w:rStyle w:val="Znakapoznpodarou"/>
        </w:rPr>
        <w:footnoteRef/>
      </w:r>
      <w:r>
        <w:t xml:space="preserve"> Blaho, s. 318.</w:t>
      </w:r>
      <w:r w:rsidRPr="00711D7B">
        <w:t xml:space="preserve"> </w:t>
      </w:r>
      <w:r>
        <w:t>– (překlad ze slovenštiny Tomáš Havlík).</w:t>
      </w:r>
    </w:p>
  </w:footnote>
  <w:footnote w:id="15">
    <w:p w14:paraId="06F58717" w14:textId="096DB150" w:rsidR="00AD3F6F" w:rsidRPr="0017782A" w:rsidRDefault="00AD3F6F">
      <w:pPr>
        <w:pStyle w:val="Textpoznpodarou"/>
      </w:pPr>
      <w:r w:rsidRPr="0017782A">
        <w:rPr>
          <w:rStyle w:val="Znakapoznpodarou"/>
        </w:rPr>
        <w:footnoteRef/>
      </w:r>
      <w:r w:rsidRPr="0017782A">
        <w:t xml:space="preserve"> </w:t>
      </w:r>
      <w:r>
        <w:t>Tureček, s. 360.</w:t>
      </w:r>
    </w:p>
  </w:footnote>
  <w:footnote w:id="16">
    <w:p w14:paraId="731ADA90" w14:textId="3A1984BB" w:rsidR="00AD3F6F" w:rsidRDefault="00AD3F6F">
      <w:pPr>
        <w:pStyle w:val="Textpoznpodarou"/>
      </w:pPr>
      <w:r>
        <w:rPr>
          <w:rStyle w:val="Znakapoznpodarou"/>
        </w:rPr>
        <w:footnoteRef/>
      </w:r>
      <w:r>
        <w:t xml:space="preserve"> Blaho, s. 316.</w:t>
      </w:r>
      <w:r w:rsidRPr="00711D7B">
        <w:t xml:space="preserve"> </w:t>
      </w:r>
      <w:r>
        <w:t>– (překlad ze slovenštiny Tomáš Havlík).</w:t>
      </w:r>
    </w:p>
  </w:footnote>
  <w:footnote w:id="17">
    <w:p w14:paraId="1C72D892" w14:textId="232413D5" w:rsidR="00AD3F6F" w:rsidRPr="00742857" w:rsidRDefault="00AD3F6F" w:rsidP="00E9097D">
      <w:pPr>
        <w:pStyle w:val="Textpoznpodarou"/>
      </w:pPr>
      <w:r>
        <w:rPr>
          <w:rStyle w:val="Znakapoznpodarou"/>
        </w:rPr>
        <w:footnoteRef/>
      </w:r>
      <w:r>
        <w:t xml:space="preserve"> M. Bartošek píše: „</w:t>
      </w:r>
      <w:r w:rsidRPr="00DB3693">
        <w:rPr>
          <w:b/>
          <w:bCs/>
          <w:i/>
          <w:iCs/>
        </w:rPr>
        <w:t>lex commissoria</w:t>
      </w:r>
      <w:r>
        <w:rPr>
          <w:b/>
          <w:bCs/>
        </w:rPr>
        <w:t xml:space="preserve"> – </w:t>
      </w:r>
      <w:r>
        <w:t xml:space="preserve">vedlejší úmluva, jíž si vyhrazuje zástavní věřitel právo ponechat si zástavu, nevyrovná-li dlužník včas pohledávku </w:t>
      </w:r>
      <w:r>
        <w:rPr>
          <w:rFonts w:cs="Times New Roman"/>
        </w:rPr>
        <w:t xml:space="preserve">[zakázáno 326 Konstantinem I. pro časté </w:t>
      </w:r>
      <w:r w:rsidRPr="00142F15">
        <w:t>lichvářské</w:t>
      </w:r>
      <w:r>
        <w:rPr>
          <w:rFonts w:cs="Times New Roman"/>
        </w:rPr>
        <w:t xml:space="preserve"> zneužívání].“ - </w:t>
      </w:r>
      <w:r w:rsidRPr="00051D71">
        <w:t>BARTOŠEK, Milan, Encyklopedie římského práva. Praha: Academia, 1994, s. 219.</w:t>
      </w:r>
      <w:r>
        <w:t xml:space="preserve"> (dále jen Bartošek).</w:t>
      </w:r>
    </w:p>
  </w:footnote>
  <w:footnote w:id="18">
    <w:p w14:paraId="41454AFE" w14:textId="7955E076" w:rsidR="00AD3F6F" w:rsidRDefault="00AD3F6F">
      <w:pPr>
        <w:pStyle w:val="Textpoznpodarou"/>
      </w:pPr>
      <w:r>
        <w:rPr>
          <w:rStyle w:val="Znakapoznpodarou"/>
        </w:rPr>
        <w:footnoteRef/>
      </w:r>
      <w:r>
        <w:t xml:space="preserve"> Kincl, s. 203.</w:t>
      </w:r>
    </w:p>
  </w:footnote>
  <w:footnote w:id="19">
    <w:p w14:paraId="0D569FCA" w14:textId="330D5FE1" w:rsidR="00AD3F6F" w:rsidRPr="00742857" w:rsidRDefault="00AD3F6F">
      <w:pPr>
        <w:pStyle w:val="Textpoznpodarou"/>
      </w:pPr>
      <w:r w:rsidRPr="0058787C">
        <w:rPr>
          <w:vertAlign w:val="superscript"/>
        </w:rPr>
        <w:footnoteRef/>
      </w:r>
      <w:r>
        <w:t xml:space="preserve"> </w:t>
      </w:r>
      <w:r w:rsidRPr="002F73F1">
        <w:t>Blaho, s. 321.</w:t>
      </w:r>
      <w:r w:rsidRPr="00711D7B">
        <w:t xml:space="preserve"> </w:t>
      </w:r>
      <w:r>
        <w:t>– (překlad ze slovenštiny Tomáš Havlík).</w:t>
      </w:r>
    </w:p>
  </w:footnote>
  <w:footnote w:id="20">
    <w:p w14:paraId="2C39B5C6" w14:textId="65E3DA83" w:rsidR="00AD3F6F" w:rsidRDefault="00AD3F6F">
      <w:pPr>
        <w:pStyle w:val="Textpoznpodarou"/>
      </w:pPr>
      <w:r>
        <w:rPr>
          <w:rStyle w:val="Znakapoznpodarou"/>
        </w:rPr>
        <w:footnoteRef/>
      </w:r>
      <w:r>
        <w:t xml:space="preserve"> Bartošek,</w:t>
      </w:r>
      <w:r w:rsidRPr="00051D71">
        <w:t xml:space="preserve"> </w:t>
      </w:r>
      <w:r>
        <w:t xml:space="preserve">s. </w:t>
      </w:r>
      <w:r w:rsidRPr="00051D71">
        <w:t>21</w:t>
      </w:r>
      <w:r>
        <w:t>9</w:t>
      </w:r>
      <w:r w:rsidRPr="00051D71">
        <w:t>.</w:t>
      </w:r>
    </w:p>
  </w:footnote>
  <w:footnote w:id="21">
    <w:p w14:paraId="181D35E1" w14:textId="39AC9CDE" w:rsidR="00AD3F6F" w:rsidRDefault="00AD3F6F">
      <w:pPr>
        <w:pStyle w:val="Textpoznpodarou"/>
      </w:pPr>
      <w:r>
        <w:rPr>
          <w:rStyle w:val="Znakapoznpodarou"/>
        </w:rPr>
        <w:footnoteRef/>
      </w:r>
      <w:r>
        <w:t xml:space="preserve"> Kincl</w:t>
      </w:r>
      <w:r w:rsidRPr="00476073">
        <w:t>, s. 204.</w:t>
      </w:r>
    </w:p>
  </w:footnote>
  <w:footnote w:id="22">
    <w:p w14:paraId="2EF43893" w14:textId="2A78AB5F" w:rsidR="00AD3F6F" w:rsidRDefault="00AD3F6F">
      <w:pPr>
        <w:pStyle w:val="Textpoznpodarou"/>
      </w:pPr>
      <w:r>
        <w:rPr>
          <w:rStyle w:val="Znakapoznpodarou"/>
        </w:rPr>
        <w:footnoteRef/>
      </w:r>
      <w:r>
        <w:t xml:space="preserve"> Bartošek,</w:t>
      </w:r>
      <w:r w:rsidRPr="00051D71">
        <w:t xml:space="preserve"> </w:t>
      </w:r>
      <w:r>
        <w:t xml:space="preserve">s. </w:t>
      </w:r>
      <w:r w:rsidRPr="00051D71">
        <w:t>21</w:t>
      </w:r>
      <w:r>
        <w:t>0</w:t>
      </w:r>
      <w:r w:rsidRPr="00051D71">
        <w:t>.</w:t>
      </w:r>
    </w:p>
  </w:footnote>
  <w:footnote w:id="23">
    <w:p w14:paraId="0439FC70" w14:textId="0DB85E52" w:rsidR="00AD3F6F" w:rsidRDefault="00AD3F6F">
      <w:pPr>
        <w:pStyle w:val="Textpoznpodarou"/>
      </w:pPr>
      <w:r>
        <w:rPr>
          <w:rStyle w:val="Znakapoznpodarou"/>
        </w:rPr>
        <w:footnoteRef/>
      </w:r>
      <w:r>
        <w:t xml:space="preserve"> Bartošek,</w:t>
      </w:r>
      <w:r w:rsidRPr="00051D71">
        <w:t xml:space="preserve"> s. </w:t>
      </w:r>
      <w:r>
        <w:t>125</w:t>
      </w:r>
      <w:r w:rsidRPr="00051D71">
        <w:t>.</w:t>
      </w:r>
    </w:p>
  </w:footnote>
  <w:footnote w:id="24">
    <w:p w14:paraId="0EAC92D7" w14:textId="6F0F250D" w:rsidR="00AD3F6F" w:rsidRDefault="00AD3F6F">
      <w:pPr>
        <w:pStyle w:val="Textpoznpodarou"/>
      </w:pPr>
      <w:r>
        <w:rPr>
          <w:rStyle w:val="Znakapoznpodarou"/>
        </w:rPr>
        <w:footnoteRef/>
      </w:r>
      <w:r>
        <w:t xml:space="preserve"> Blaho, s. 321.</w:t>
      </w:r>
      <w:r w:rsidRPr="00BE5AFD">
        <w:t xml:space="preserve"> </w:t>
      </w:r>
      <w:r>
        <w:t>– (překlad ze slovenštiny Tomáš Havlík).</w:t>
      </w:r>
    </w:p>
  </w:footnote>
  <w:footnote w:id="25">
    <w:p w14:paraId="65C45876" w14:textId="6C367508" w:rsidR="00AD3F6F" w:rsidRDefault="00AD3F6F">
      <w:pPr>
        <w:pStyle w:val="Textpoznpodarou"/>
      </w:pPr>
      <w:r>
        <w:rPr>
          <w:rStyle w:val="Znakapoznpodarou"/>
        </w:rPr>
        <w:footnoteRef/>
      </w:r>
      <w:r>
        <w:t xml:space="preserve"> Heyrovský 1910, s. 479.</w:t>
      </w:r>
    </w:p>
  </w:footnote>
  <w:footnote w:id="26">
    <w:p w14:paraId="2B6D024C" w14:textId="08652F96" w:rsidR="00AD3F6F" w:rsidRPr="003D6E90" w:rsidRDefault="00AD3F6F">
      <w:pPr>
        <w:pStyle w:val="Textpoznpodarou"/>
        <w:rPr>
          <w:color w:val="FF0000"/>
        </w:rPr>
      </w:pPr>
      <w:r>
        <w:rPr>
          <w:rStyle w:val="Znakapoznpodarou"/>
        </w:rPr>
        <w:footnoteRef/>
      </w:r>
      <w:r>
        <w:t xml:space="preserve"> L. Heyrovský říká: „</w:t>
      </w:r>
      <w:r w:rsidRPr="003E1D94">
        <w:rPr>
          <w:b/>
          <w:bCs/>
        </w:rPr>
        <w:t>Fiduciární</w:t>
      </w:r>
      <w:r w:rsidRPr="00537508">
        <w:t xml:space="preserve"> jednání právní činí, kdo převádí na druhého (fiduciáře) právo věda, </w:t>
      </w:r>
      <w:r>
        <w:t>ž</w:t>
      </w:r>
      <w:r w:rsidRPr="00537508">
        <w:t>e jemu tím svěřuje větší právní moc, nežli vyžaduje účel, ke kterému se nese úmysl stran, ale s vyslovenou důvěrou, že nabyvatel užije právní moci pouze k onomu účelu.</w:t>
      </w:r>
      <w:r>
        <w:t>“</w:t>
      </w:r>
      <w:r w:rsidRPr="00537508">
        <w:t xml:space="preserve"> </w:t>
      </w:r>
      <w:r>
        <w:t xml:space="preserve">- </w:t>
      </w:r>
      <w:r w:rsidRPr="00390255">
        <w:t xml:space="preserve">Ottův slovník naučný: illustrovaná encyklopaedie obecných vědomostí. V Praze: J. Otto, </w:t>
      </w:r>
      <w:r>
        <w:t>1895</w:t>
      </w:r>
      <w:r w:rsidRPr="00390255">
        <w:t xml:space="preserve">. sv. </w:t>
      </w:r>
      <w:r>
        <w:t>9</w:t>
      </w:r>
      <w:r w:rsidRPr="00390255">
        <w:t xml:space="preserve">, s. </w:t>
      </w:r>
      <w:r>
        <w:t>176</w:t>
      </w:r>
      <w:r w:rsidRPr="00390255">
        <w:t>.</w:t>
      </w:r>
    </w:p>
  </w:footnote>
  <w:footnote w:id="27">
    <w:p w14:paraId="3455E0D0" w14:textId="6334A0CE" w:rsidR="00AD3F6F" w:rsidRDefault="00AD3F6F">
      <w:pPr>
        <w:pStyle w:val="Textpoznpodarou"/>
      </w:pPr>
      <w:r>
        <w:rPr>
          <w:rStyle w:val="Znakapoznpodarou"/>
        </w:rPr>
        <w:footnoteRef/>
      </w:r>
      <w:r>
        <w:t xml:space="preserve"> </w:t>
      </w:r>
      <w:r w:rsidRPr="00390255">
        <w:t>ROZEHNAL, Aleš. Úvěry zajištěné zástavním právem. Praha: G plus G, 1997, s. 27.</w:t>
      </w:r>
    </w:p>
  </w:footnote>
  <w:footnote w:id="28">
    <w:p w14:paraId="2BC57DCF" w14:textId="38DB1135" w:rsidR="00AD3F6F" w:rsidRDefault="00AD3F6F">
      <w:pPr>
        <w:pStyle w:val="Textpoznpodarou"/>
      </w:pPr>
      <w:r>
        <w:rPr>
          <w:rStyle w:val="Znakapoznpodarou"/>
        </w:rPr>
        <w:footnoteRef/>
      </w:r>
      <w:r>
        <w:t xml:space="preserve"> M. Bartošek k tomuto uvádí: „</w:t>
      </w:r>
      <w:r w:rsidRPr="0042363D">
        <w:rPr>
          <w:b/>
          <w:bCs/>
          <w:i/>
          <w:iCs/>
        </w:rPr>
        <w:t>in iure cessio</w:t>
      </w:r>
      <w:r>
        <w:t xml:space="preserve"> </w:t>
      </w:r>
      <w:r>
        <w:rPr>
          <w:rFonts w:cs="Times New Roman"/>
        </w:rPr>
        <w:t>[odstoupení před soudem], formální a abstraktní způsob nabytí, převodu a ztráty všech kviritských práv,“ avšak na rozdíl od mancipace se injurecesse vztahovala i na všechny ostatní věci, které mancipací nebylo možné převést, tedy i na věci nemancipační.  – Bartošek. s. 128.</w:t>
      </w:r>
    </w:p>
  </w:footnote>
  <w:footnote w:id="29">
    <w:p w14:paraId="7E3A0068" w14:textId="1C897739" w:rsidR="00AD3F6F" w:rsidRDefault="00AD3F6F">
      <w:pPr>
        <w:pStyle w:val="Textpoznpodarou"/>
      </w:pPr>
      <w:r>
        <w:rPr>
          <w:rStyle w:val="Znakapoznpodarou"/>
        </w:rPr>
        <w:footnoteRef/>
      </w:r>
      <w:r>
        <w:t xml:space="preserve"> K mancipaci prof. Heyrovský uvádí: „</w:t>
      </w:r>
      <w:r w:rsidRPr="005902ED">
        <w:rPr>
          <w:b/>
          <w:bCs/>
        </w:rPr>
        <w:t>Mancipace</w:t>
      </w:r>
      <w:r w:rsidRPr="005902ED">
        <w:t xml:space="preserve"> (lat. </w:t>
      </w:r>
      <w:r w:rsidRPr="0042363D">
        <w:rPr>
          <w:i/>
          <w:iCs/>
        </w:rPr>
        <w:t>mancipatio</w:t>
      </w:r>
      <w:r w:rsidRPr="005902ED">
        <w:t>) jest právní jednání, kterým podle starého práva římského občan převáděl svoje vlastnictví na jiného. Činěna byla před svědky ve formě obrazného trhu (</w:t>
      </w:r>
      <w:r w:rsidRPr="00D47FAA">
        <w:t>venditio imaginaria</w:t>
      </w:r>
      <w:r w:rsidRPr="005902ED">
        <w:t>). Před 5 dospělými mužskými občany římskými a občanem držícím váhy (</w:t>
      </w:r>
      <w:r w:rsidRPr="00D47FAA">
        <w:t>libripens</w:t>
      </w:r>
      <w:r w:rsidRPr="005902ED">
        <w:t>), k nimž býval přibírán často ještě sedmý svědek (antestatus), uchopil se nabyvatel věci slovy: </w:t>
      </w:r>
      <w:r w:rsidRPr="005902ED">
        <w:rPr>
          <w:i/>
          <w:iCs/>
        </w:rPr>
        <w:t>hanc ego rem ex iure Quiritium meam esse aio, eaque mihi empta esto hoc aere aeneaque libra</w:t>
      </w:r>
      <w:r w:rsidRPr="005902ED">
        <w:t>, udeřil kouskem mědi o váhy a dal jej převodcovi jaksi jako trhovou cenu. M. bylo lze užiti nejen, když vlastnictví mělo býti převedeno z trhu, nýbrž i k uskutečnění jiného právního a hospodářského účelu, jako darování, zřízení věna apod., ba i poručení k věrné ruce (v. </w:t>
      </w:r>
      <w:hyperlink r:id="rId1" w:tooltip="Ottův slovník naučný/Fiducia" w:history="1">
        <w:r w:rsidRPr="005902ED">
          <w:t>Fiducia</w:t>
        </w:r>
      </w:hyperlink>
      <w:r w:rsidRPr="005902ED">
        <w:t>). Předmětem m. mohly z věcí býti jen pozemky italské, otroci a domácí zvířata tažná. Věci tyto sluly proto res mancipii. Dále mohly býti m-cí zřízeny služebnosti polní, které se proto čítají též mezi res mancipii. Konečně mohl majetník moci otcovské nebo manželské osobu jemu poddanou m-cí podrobiti moci jiného (viz </w:t>
      </w:r>
      <w:hyperlink r:id="rId2" w:tooltip="Ottův slovník naučný/Mancipium" w:history="1">
        <w:r w:rsidRPr="005902ED">
          <w:t>Mancipium</w:t>
        </w:r>
      </w:hyperlink>
      <w:r w:rsidRPr="005902ED">
        <w:t xml:space="preserve">). M. jest vzpomenuto ještě v zákonodárství IV. stol. po Kr., </w:t>
      </w:r>
      <w:r w:rsidRPr="009B14CB">
        <w:rPr>
          <w:u w:val="single"/>
        </w:rPr>
        <w:t>do práva Justiniánova však nepřešla</w:t>
      </w:r>
      <w:r w:rsidRPr="005902ED">
        <w:t>.</w:t>
      </w:r>
      <w:r>
        <w:t xml:space="preserve">“ - </w:t>
      </w:r>
      <w:r w:rsidRPr="00390255">
        <w:t xml:space="preserve">Ottův slovník naučný: illustrovaná encyklopaedie obecných vědomostí. V Praze: J. Otto, </w:t>
      </w:r>
      <w:r>
        <w:t>1900</w:t>
      </w:r>
      <w:r w:rsidRPr="00390255">
        <w:t xml:space="preserve">. sv. </w:t>
      </w:r>
      <w:r>
        <w:t>16</w:t>
      </w:r>
      <w:r w:rsidRPr="00390255">
        <w:t xml:space="preserve">, s. </w:t>
      </w:r>
      <w:r>
        <w:t>745</w:t>
      </w:r>
      <w:r w:rsidRPr="00390255">
        <w:t>.</w:t>
      </w:r>
    </w:p>
  </w:footnote>
  <w:footnote w:id="30">
    <w:p w14:paraId="5D4E229F" w14:textId="5387D4D7" w:rsidR="00AD3F6F" w:rsidRDefault="00AD3F6F">
      <w:pPr>
        <w:pStyle w:val="Textpoznpodarou"/>
      </w:pPr>
      <w:r>
        <w:rPr>
          <w:rStyle w:val="Znakapoznpodarou"/>
        </w:rPr>
        <w:footnoteRef/>
      </w:r>
      <w:r>
        <w:t xml:space="preserve"> Blaho, s. 317.</w:t>
      </w:r>
      <w:r w:rsidRPr="00BE5AFD">
        <w:t xml:space="preserve"> </w:t>
      </w:r>
      <w:r>
        <w:t>– (překlad ze slovenštiny Tomáš Havlík).</w:t>
      </w:r>
    </w:p>
  </w:footnote>
  <w:footnote w:id="31">
    <w:p w14:paraId="46AA0ABC" w14:textId="77777777" w:rsidR="00AD3F6F" w:rsidRDefault="00AD3F6F" w:rsidP="00346366">
      <w:pPr>
        <w:pStyle w:val="Textpoznpodarou"/>
      </w:pPr>
      <w:r>
        <w:rPr>
          <w:rStyle w:val="Znakapoznpodarou"/>
        </w:rPr>
        <w:footnoteRef/>
      </w:r>
      <w:r>
        <w:t xml:space="preserve"> </w:t>
      </w:r>
      <w:r w:rsidRPr="00390255">
        <w:t>ROZEHNAL, Aleš. Úvěry zajištěné zástavním právem. Praha: G plus G, 1997, s. 27.</w:t>
      </w:r>
    </w:p>
  </w:footnote>
  <w:footnote w:id="32">
    <w:p w14:paraId="12F71D14" w14:textId="589E7F55" w:rsidR="00AD3F6F" w:rsidRDefault="00AD3F6F">
      <w:pPr>
        <w:pStyle w:val="Textpoznpodarou"/>
      </w:pPr>
      <w:r>
        <w:rPr>
          <w:rStyle w:val="Znakapoznpodarou"/>
        </w:rPr>
        <w:footnoteRef/>
      </w:r>
      <w:r>
        <w:t xml:space="preserve"> Blaho, s. 317.</w:t>
      </w:r>
      <w:r w:rsidRPr="00BE5AFD">
        <w:t xml:space="preserve"> </w:t>
      </w:r>
      <w:r>
        <w:t>– (překlad ze slovenštiny Tomáš Havlík).</w:t>
      </w:r>
    </w:p>
  </w:footnote>
  <w:footnote w:id="33">
    <w:p w14:paraId="5A1A17FC" w14:textId="65CCF0DE" w:rsidR="00AD3F6F" w:rsidRDefault="00AD3F6F">
      <w:pPr>
        <w:pStyle w:val="Textpoznpodarou"/>
      </w:pPr>
      <w:r>
        <w:rPr>
          <w:rStyle w:val="Znakapoznpodarou"/>
        </w:rPr>
        <w:footnoteRef/>
      </w:r>
      <w:r>
        <w:t xml:space="preserve"> Heyrovský 1910, s 477.</w:t>
      </w:r>
    </w:p>
  </w:footnote>
  <w:footnote w:id="34">
    <w:p w14:paraId="36558F25" w14:textId="04793486" w:rsidR="00AD3F6F" w:rsidRDefault="00AD3F6F">
      <w:pPr>
        <w:pStyle w:val="Textpoznpodarou"/>
      </w:pPr>
      <w:r>
        <w:rPr>
          <w:rStyle w:val="Znakapoznpodarou"/>
        </w:rPr>
        <w:footnoteRef/>
      </w:r>
      <w:r>
        <w:t xml:space="preserve"> </w:t>
      </w:r>
      <w:r w:rsidRPr="00AA2D7F">
        <w:rPr>
          <w:b/>
          <w:bCs/>
          <w:i/>
          <w:iCs/>
        </w:rPr>
        <w:t>pignus</w:t>
      </w:r>
      <w:r>
        <w:rPr>
          <w:b/>
          <w:bCs/>
        </w:rPr>
        <w:t xml:space="preserve"> – „</w:t>
      </w:r>
      <w:r>
        <w:t xml:space="preserve">smlouva o ruční zástavě (jeden z reálných kontraktů).“ - </w:t>
      </w:r>
      <w:r w:rsidRPr="008721E8">
        <w:t xml:space="preserve">SKŘEJPEK, Michal. Latinsko-český slovníček římského práva: (vybrané pojmy a termíny). Praha: Orac, 2000, </w:t>
      </w:r>
      <w:r>
        <w:t>44</w:t>
      </w:r>
      <w:r w:rsidRPr="008721E8">
        <w:t xml:space="preserve"> s.</w:t>
      </w:r>
    </w:p>
  </w:footnote>
  <w:footnote w:id="35">
    <w:p w14:paraId="5F81E9BC" w14:textId="19807BB1" w:rsidR="00AD3F6F" w:rsidRDefault="00AD3F6F" w:rsidP="00E35E68">
      <w:pPr>
        <w:pStyle w:val="Textpoznpodarou"/>
      </w:pPr>
      <w:r>
        <w:rPr>
          <w:rStyle w:val="Znakapoznpodarou"/>
        </w:rPr>
        <w:footnoteRef/>
      </w:r>
      <w:r w:rsidRPr="00E35E68">
        <w:t xml:space="preserve"> </w:t>
      </w:r>
      <w:r>
        <w:t>Blaho, s. 318.</w:t>
      </w:r>
      <w:r w:rsidRPr="00BE5AFD">
        <w:t xml:space="preserve"> </w:t>
      </w:r>
      <w:r>
        <w:t>– (překlad ze slovenštiny Tomáš Havlík).</w:t>
      </w:r>
    </w:p>
  </w:footnote>
  <w:footnote w:id="36">
    <w:p w14:paraId="0056A2B1" w14:textId="06424261" w:rsidR="00AD3F6F" w:rsidRDefault="00AD3F6F">
      <w:pPr>
        <w:pStyle w:val="Textpoznpodarou"/>
      </w:pPr>
      <w:r>
        <w:rPr>
          <w:rStyle w:val="Znakapoznpodarou"/>
        </w:rPr>
        <w:footnoteRef/>
      </w:r>
      <w:r>
        <w:t xml:space="preserve"> Tureček, s. 359.</w:t>
      </w:r>
    </w:p>
  </w:footnote>
  <w:footnote w:id="37">
    <w:p w14:paraId="4160E0C8" w14:textId="7115FC7B" w:rsidR="00AD3F6F" w:rsidRDefault="00AD3F6F" w:rsidP="006108A4">
      <w:pPr>
        <w:pStyle w:val="Textpoznpodarou"/>
      </w:pPr>
      <w:r>
        <w:rPr>
          <w:rStyle w:val="Znakapoznpodarou"/>
        </w:rPr>
        <w:footnoteRef/>
      </w:r>
      <w:r>
        <w:t xml:space="preserve"> Blaho, s. 318.</w:t>
      </w:r>
      <w:r w:rsidRPr="00BE5AFD">
        <w:t xml:space="preserve"> </w:t>
      </w:r>
      <w:r>
        <w:t>– (překlad ze slovenštiny Tomáš Havlík).</w:t>
      </w:r>
    </w:p>
  </w:footnote>
  <w:footnote w:id="38">
    <w:p w14:paraId="38D029AA" w14:textId="77777777" w:rsidR="00AD3F6F" w:rsidRDefault="00AD3F6F" w:rsidP="004870E8">
      <w:pPr>
        <w:pStyle w:val="Textpoznpodarou"/>
      </w:pPr>
      <w:r>
        <w:rPr>
          <w:rStyle w:val="Znakapoznpodarou"/>
        </w:rPr>
        <w:footnoteRef/>
      </w:r>
      <w:r>
        <w:t xml:space="preserve"> </w:t>
      </w:r>
      <w:r w:rsidRPr="00A73AB0">
        <w:t>HRDINA, Ignác Antonín a Petr DOSTALÍK. Přehled římského práva soukromého ke státní souborné zkoušce. Plzeň: Vydavatelství a nakladatelství Aleš Čeněk, 2010, s.</w:t>
      </w:r>
      <w:r>
        <w:t xml:space="preserve"> 70.</w:t>
      </w:r>
    </w:p>
  </w:footnote>
  <w:footnote w:id="39">
    <w:p w14:paraId="0CEF2539" w14:textId="7383E9F3" w:rsidR="00AD3F6F" w:rsidRDefault="00AD3F6F">
      <w:pPr>
        <w:pStyle w:val="Textpoznpodarou"/>
      </w:pPr>
      <w:r>
        <w:rPr>
          <w:rStyle w:val="Znakapoznpodarou"/>
        </w:rPr>
        <w:footnoteRef/>
      </w:r>
      <w:r>
        <w:t xml:space="preserve"> Blaho, s. 318.</w:t>
      </w:r>
      <w:r w:rsidRPr="00BE5AFD">
        <w:t xml:space="preserve"> </w:t>
      </w:r>
      <w:r>
        <w:t>– (překlad ze slovenštiny Tomáš Havlík).</w:t>
      </w:r>
    </w:p>
  </w:footnote>
  <w:footnote w:id="40">
    <w:p w14:paraId="62A1AFBE" w14:textId="0A018A91" w:rsidR="00AD3F6F" w:rsidRDefault="00AD3F6F">
      <w:pPr>
        <w:pStyle w:val="Textpoznpodarou"/>
      </w:pPr>
      <w:r>
        <w:rPr>
          <w:rStyle w:val="Znakapoznpodarou"/>
        </w:rPr>
        <w:footnoteRef/>
      </w:r>
      <w:r>
        <w:t xml:space="preserve"> Tureček, s. 329.</w:t>
      </w:r>
    </w:p>
  </w:footnote>
  <w:footnote w:id="41">
    <w:p w14:paraId="71C18FEA" w14:textId="737D0DFF" w:rsidR="00AD3F6F" w:rsidRDefault="00AD3F6F">
      <w:pPr>
        <w:pStyle w:val="Textpoznpodarou"/>
      </w:pPr>
      <w:r>
        <w:rPr>
          <w:rStyle w:val="Znakapoznpodarou"/>
        </w:rPr>
        <w:footnoteRef/>
      </w:r>
      <w:r>
        <w:t xml:space="preserve"> Kincl</w:t>
      </w:r>
      <w:r w:rsidRPr="0058787C">
        <w:t>, s. 20</w:t>
      </w:r>
      <w:r>
        <w:t>4-205</w:t>
      </w:r>
      <w:r w:rsidRPr="0058787C">
        <w:t>.</w:t>
      </w:r>
    </w:p>
  </w:footnote>
  <w:footnote w:id="42">
    <w:p w14:paraId="482938AA" w14:textId="4319F411" w:rsidR="00AD3F6F" w:rsidRDefault="00AD3F6F">
      <w:pPr>
        <w:pStyle w:val="Textpoznpodarou"/>
      </w:pPr>
      <w:r>
        <w:rPr>
          <w:rStyle w:val="Znakapoznpodarou"/>
        </w:rPr>
        <w:footnoteRef/>
      </w:r>
      <w:r>
        <w:t xml:space="preserve"> Tureček, s. 359.</w:t>
      </w:r>
    </w:p>
  </w:footnote>
  <w:footnote w:id="43">
    <w:p w14:paraId="7453B4B2" w14:textId="77777777" w:rsidR="00AD3F6F" w:rsidRDefault="00AD3F6F" w:rsidP="00836210">
      <w:pPr>
        <w:pStyle w:val="Textpoznpodarou"/>
      </w:pPr>
      <w:r>
        <w:rPr>
          <w:rStyle w:val="Znakapoznpodarou"/>
        </w:rPr>
        <w:footnoteRef/>
      </w:r>
      <w:r>
        <w:t xml:space="preserve"> </w:t>
      </w:r>
      <w:r w:rsidRPr="00F32CEC">
        <w:rPr>
          <w:b/>
          <w:bCs/>
        </w:rPr>
        <w:t>hospodářský inventář</w:t>
      </w:r>
      <w:r>
        <w:rPr>
          <w:b/>
          <w:bCs/>
        </w:rPr>
        <w:t xml:space="preserve"> -</w:t>
      </w:r>
      <w:r w:rsidRPr="003F3E2E">
        <w:t xml:space="preserve"> </w:t>
      </w:r>
      <w:r>
        <w:t>Bartošek,</w:t>
      </w:r>
      <w:r w:rsidRPr="00051D71">
        <w:t xml:space="preserve"> s. </w:t>
      </w:r>
      <w:r>
        <w:t>139</w:t>
      </w:r>
      <w:r w:rsidRPr="00051D71">
        <w:t>.</w:t>
      </w:r>
      <w:r>
        <w:t xml:space="preserve"> </w:t>
      </w:r>
    </w:p>
  </w:footnote>
  <w:footnote w:id="44">
    <w:p w14:paraId="62DDB7D2" w14:textId="392BCC20" w:rsidR="00AD3F6F" w:rsidRDefault="00AD3F6F">
      <w:pPr>
        <w:pStyle w:val="Textpoznpodarou"/>
      </w:pPr>
      <w:r>
        <w:rPr>
          <w:rStyle w:val="Znakapoznpodarou"/>
        </w:rPr>
        <w:footnoteRef/>
      </w:r>
      <w:r>
        <w:t xml:space="preserve"> Heyrovský 1910, s 479.</w:t>
      </w:r>
    </w:p>
  </w:footnote>
  <w:footnote w:id="45">
    <w:p w14:paraId="52E52CCA" w14:textId="3C631019" w:rsidR="00AD3F6F" w:rsidRDefault="00AD3F6F">
      <w:pPr>
        <w:pStyle w:val="Textpoznpodarou"/>
      </w:pPr>
      <w:r>
        <w:rPr>
          <w:rStyle w:val="Znakapoznpodarou"/>
        </w:rPr>
        <w:footnoteRef/>
      </w:r>
      <w:r>
        <w:t xml:space="preserve"> Dig. 20, 6, 14 (Překlad Blaho s. 269).</w:t>
      </w:r>
    </w:p>
  </w:footnote>
  <w:footnote w:id="46">
    <w:p w14:paraId="5D8EB11F" w14:textId="7C173E1B" w:rsidR="00AD3F6F" w:rsidRDefault="00AD3F6F">
      <w:pPr>
        <w:pStyle w:val="Textpoznpodarou"/>
      </w:pPr>
      <w:r>
        <w:rPr>
          <w:rStyle w:val="Znakapoznpodarou"/>
        </w:rPr>
        <w:footnoteRef/>
      </w:r>
      <w:r>
        <w:t xml:space="preserve"> Kincl</w:t>
      </w:r>
      <w:r w:rsidRPr="000F69BC">
        <w:t>, s. 205.</w:t>
      </w:r>
    </w:p>
  </w:footnote>
  <w:footnote w:id="47">
    <w:p w14:paraId="3AFC00CE" w14:textId="3FBC0ED2" w:rsidR="00AD3F6F" w:rsidRDefault="00AD3F6F">
      <w:pPr>
        <w:pStyle w:val="Textpoznpodarou"/>
      </w:pPr>
      <w:r>
        <w:rPr>
          <w:rStyle w:val="Znakapoznpodarou"/>
        </w:rPr>
        <w:footnoteRef/>
      </w:r>
      <w:r>
        <w:t xml:space="preserve"> Blaho, s. 319.</w:t>
      </w:r>
      <w:r w:rsidRPr="00BE5AFD">
        <w:t xml:space="preserve"> </w:t>
      </w:r>
      <w:r>
        <w:t>– (překlad ze slovenštiny Tomáš Havlík).</w:t>
      </w:r>
    </w:p>
  </w:footnote>
  <w:footnote w:id="48">
    <w:p w14:paraId="08DCFD80" w14:textId="53630F18" w:rsidR="00AD3F6F" w:rsidRDefault="00AD3F6F">
      <w:pPr>
        <w:pStyle w:val="Textpoznpodarou"/>
      </w:pPr>
      <w:r>
        <w:rPr>
          <w:rStyle w:val="Znakapoznpodarou"/>
        </w:rPr>
        <w:footnoteRef/>
      </w:r>
      <w:r>
        <w:t xml:space="preserve"> Heyrovský, 1910. s. 479.</w:t>
      </w:r>
    </w:p>
  </w:footnote>
  <w:footnote w:id="49">
    <w:p w14:paraId="209837EE" w14:textId="65573B3A" w:rsidR="00AD3F6F" w:rsidRDefault="00AD3F6F">
      <w:pPr>
        <w:pStyle w:val="Textpoznpodarou"/>
      </w:pPr>
      <w:r>
        <w:rPr>
          <w:rStyle w:val="Znakapoznpodarou"/>
        </w:rPr>
        <w:footnoteRef/>
      </w:r>
      <w:r>
        <w:t xml:space="preserve"> Gai. Inst. 4. 147. – KINCL. Jaromír. Gaius: Učebnice práva ve čtyřech knihách. Plzeň: Aleš Čeněk, 2007. s. 301.</w:t>
      </w:r>
    </w:p>
  </w:footnote>
  <w:footnote w:id="50">
    <w:p w14:paraId="5415D383" w14:textId="5DBADDA5" w:rsidR="00AD3F6F" w:rsidRDefault="00AD3F6F">
      <w:pPr>
        <w:pStyle w:val="Textpoznpodarou"/>
      </w:pPr>
      <w:r>
        <w:rPr>
          <w:rStyle w:val="Znakapoznpodarou"/>
        </w:rPr>
        <w:footnoteRef/>
      </w:r>
      <w:r>
        <w:t xml:space="preserve"> Kincl, s. 205.</w:t>
      </w:r>
    </w:p>
  </w:footnote>
  <w:footnote w:id="51">
    <w:p w14:paraId="4F41656B" w14:textId="4CA576A3" w:rsidR="00AD3F6F" w:rsidRDefault="00AD3F6F">
      <w:pPr>
        <w:pStyle w:val="Textpoznpodarou"/>
      </w:pPr>
      <w:r>
        <w:rPr>
          <w:rStyle w:val="Znakapoznpodarou"/>
        </w:rPr>
        <w:footnoteRef/>
      </w:r>
      <w:r>
        <w:t xml:space="preserve"> Heyrovský 1910, s. 480.</w:t>
      </w:r>
    </w:p>
  </w:footnote>
  <w:footnote w:id="52">
    <w:p w14:paraId="2EAE17C4" w14:textId="23CE6316" w:rsidR="00AD3F6F" w:rsidRDefault="00AD3F6F" w:rsidP="00E43977">
      <w:pPr>
        <w:pStyle w:val="Textpoznpodarou"/>
      </w:pPr>
      <w:r>
        <w:rPr>
          <w:rStyle w:val="Znakapoznpodarou"/>
        </w:rPr>
        <w:footnoteRef/>
      </w:r>
      <w:r>
        <w:t xml:space="preserve"> Dig. 43, 33, 2 – (překlad z angličtiny Tomáš Havlík).</w:t>
      </w:r>
    </w:p>
  </w:footnote>
  <w:footnote w:id="53">
    <w:p w14:paraId="02373F01" w14:textId="4B4B537B" w:rsidR="00AD3F6F" w:rsidRDefault="00AD3F6F">
      <w:pPr>
        <w:pStyle w:val="Textpoznpodarou"/>
      </w:pPr>
      <w:r>
        <w:rPr>
          <w:rStyle w:val="Znakapoznpodarou"/>
        </w:rPr>
        <w:footnoteRef/>
      </w:r>
      <w:r>
        <w:t xml:space="preserve"> Blaho, s. 327-328.</w:t>
      </w:r>
      <w:r w:rsidRPr="00BE5AFD">
        <w:t xml:space="preserve"> </w:t>
      </w:r>
      <w:r>
        <w:t>– (překlad ze slovenštiny Tomáš Havlík).</w:t>
      </w:r>
    </w:p>
  </w:footnote>
  <w:footnote w:id="54">
    <w:p w14:paraId="781CFD84" w14:textId="66EF8F10" w:rsidR="00AD3F6F" w:rsidRDefault="00AD3F6F">
      <w:pPr>
        <w:pStyle w:val="Textpoznpodarou"/>
      </w:pPr>
      <w:r>
        <w:rPr>
          <w:rStyle w:val="Znakapoznpodarou"/>
        </w:rPr>
        <w:footnoteRef/>
      </w:r>
      <w:r>
        <w:t xml:space="preserve"> Heyrovský 1910, s. 480.</w:t>
      </w:r>
    </w:p>
  </w:footnote>
  <w:footnote w:id="55">
    <w:p w14:paraId="7EA40C8B" w14:textId="118FA343" w:rsidR="00AD3F6F" w:rsidRPr="006477A3" w:rsidRDefault="00AD3F6F" w:rsidP="002132CB">
      <w:pPr>
        <w:pStyle w:val="Textpoznpodarou"/>
      </w:pPr>
      <w:r>
        <w:rPr>
          <w:rStyle w:val="Znakapoznpodarou"/>
        </w:rPr>
        <w:footnoteRef/>
      </w:r>
      <w:r>
        <w:t xml:space="preserve"> Heyrovský </w:t>
      </w:r>
      <w:r w:rsidRPr="00051EBF">
        <w:t>1927, s. 285.</w:t>
      </w:r>
      <w:r>
        <w:t xml:space="preserve"> </w:t>
      </w:r>
    </w:p>
  </w:footnote>
  <w:footnote w:id="56">
    <w:p w14:paraId="70047C78" w14:textId="5EE2BBDC" w:rsidR="00AD3F6F" w:rsidRDefault="00AD3F6F">
      <w:pPr>
        <w:pStyle w:val="Textpoznpodarou"/>
      </w:pPr>
      <w:r>
        <w:rPr>
          <w:rStyle w:val="Znakapoznpodarou"/>
        </w:rPr>
        <w:footnoteRef/>
      </w:r>
      <w:r>
        <w:t xml:space="preserve"> </w:t>
      </w:r>
      <w:r w:rsidRPr="002B37FF">
        <w:t>SOMMER, Otakar. Učebnice soukromého práva římského, Díl 2: Právo majetkové. V Praze: vl.</w:t>
      </w:r>
      <w:r>
        <w:t xml:space="preserve"> </w:t>
      </w:r>
      <w:r w:rsidRPr="002B37FF">
        <w:t xml:space="preserve">nákl., 1935, </w:t>
      </w:r>
      <w:r>
        <w:t>s.</w:t>
      </w:r>
      <w:r w:rsidR="004D2593">
        <w:t xml:space="preserve"> </w:t>
      </w:r>
      <w:r>
        <w:t>182-</w:t>
      </w:r>
      <w:r w:rsidRPr="002B37FF">
        <w:t>184.</w:t>
      </w:r>
    </w:p>
  </w:footnote>
  <w:footnote w:id="57">
    <w:p w14:paraId="4802B393" w14:textId="624009EF" w:rsidR="00AD3F6F" w:rsidRDefault="00AD3F6F">
      <w:pPr>
        <w:pStyle w:val="Textpoznpodarou"/>
      </w:pPr>
      <w:r>
        <w:rPr>
          <w:rStyle w:val="Znakapoznpodarou"/>
        </w:rPr>
        <w:footnoteRef/>
      </w:r>
      <w:r>
        <w:t xml:space="preserve"> Gaius píše: „Podle přirozeného práva jsou všem lidem společné tyto věci: vzduch, tekoucí voda, moře, a proto také mořské břehy.“ - Instituce – 2, 1, 1 (překlad Skřejpek s. 93).</w:t>
      </w:r>
    </w:p>
  </w:footnote>
  <w:footnote w:id="58">
    <w:p w14:paraId="0E8724C4" w14:textId="0E987719" w:rsidR="00AD3F6F" w:rsidRDefault="00AD3F6F" w:rsidP="00574818">
      <w:pPr>
        <w:pStyle w:val="Textpoznpodarou"/>
      </w:pPr>
      <w:r>
        <w:rPr>
          <w:rStyle w:val="Znakapoznpodarou"/>
        </w:rPr>
        <w:footnoteRef/>
      </w:r>
      <w:r>
        <w:t xml:space="preserve"> K tomuto pro upřesnění Scaevola uvádí: „Bylo sporné, když dlužník zastavil věřiteli svůj sklad, zda tím nic nezavinil nebo zda pod názvem sklad je patrné, že bylo zastaveno zboží, které se zde nacházelo. A pokud to zboží časem dlužník zcizil, obstaral jiné, které do tohoto skladu přinesl a poté zemřel, bylo sporné, zda může věřitel vymáhat žalobou ze zástavy vše, co se tam nachází, když se změnil jak druh zboží, tak byly také přineseny jiné věci. Odpověď, že je zřejmé, že to, co se nacházelo ve skladu v době smrti dlužníka, se považuje za zastavené.“ – Dig. 20, 1, 34 – (překlad Blaho s. 229).</w:t>
      </w:r>
    </w:p>
  </w:footnote>
  <w:footnote w:id="59">
    <w:p w14:paraId="68EF6814" w14:textId="52B97F11" w:rsidR="00AD3F6F" w:rsidRDefault="00AD3F6F">
      <w:pPr>
        <w:pStyle w:val="Textpoznpodarou"/>
      </w:pPr>
      <w:r>
        <w:rPr>
          <w:rStyle w:val="Znakapoznpodarou"/>
        </w:rPr>
        <w:footnoteRef/>
      </w:r>
      <w:r>
        <w:t xml:space="preserve"> Heyrovský </w:t>
      </w:r>
      <w:r w:rsidRPr="00051EBF">
        <w:t>1927, s. 285.</w:t>
      </w:r>
    </w:p>
  </w:footnote>
  <w:footnote w:id="60">
    <w:p w14:paraId="622C658D" w14:textId="70E743C2" w:rsidR="00AD3F6F" w:rsidRPr="00FF68F3" w:rsidRDefault="00AD3F6F" w:rsidP="00022D7F">
      <w:pPr>
        <w:pStyle w:val="Textpoznpodarou"/>
      </w:pPr>
      <w:r>
        <w:rPr>
          <w:rStyle w:val="Znakapoznpodarou"/>
        </w:rPr>
        <w:footnoteRef/>
      </w:r>
      <w:r>
        <w:t xml:space="preserve"> </w:t>
      </w:r>
      <w:r w:rsidRPr="00FF68F3">
        <w:t>Heyrovský 1910, s. 484.</w:t>
      </w:r>
    </w:p>
  </w:footnote>
  <w:footnote w:id="61">
    <w:p w14:paraId="3F6F5C72" w14:textId="3847E0BD" w:rsidR="00AD3F6F" w:rsidRPr="0056557C" w:rsidRDefault="00AD3F6F">
      <w:pPr>
        <w:pStyle w:val="Textpoznpodarou"/>
      </w:pPr>
      <w:r>
        <w:rPr>
          <w:rStyle w:val="Znakapoznpodarou"/>
        </w:rPr>
        <w:footnoteRef/>
      </w:r>
      <w:r>
        <w:t xml:space="preserve"> M. Bartošek k furtu říká: „</w:t>
      </w:r>
      <w:r w:rsidRPr="00DF4498">
        <w:rPr>
          <w:b/>
          <w:bCs/>
          <w:i/>
          <w:iCs/>
        </w:rPr>
        <w:t>furtum</w:t>
      </w:r>
      <w:r>
        <w:rPr>
          <w:b/>
          <w:bCs/>
        </w:rPr>
        <w:t xml:space="preserve"> </w:t>
      </w:r>
      <w:r w:rsidRPr="00136B68">
        <w:rPr>
          <w:rFonts w:cs="Times New Roman"/>
        </w:rPr>
        <w:t>[</w:t>
      </w:r>
      <w:r w:rsidRPr="00794FCE">
        <w:rPr>
          <w:rFonts w:cs="Times New Roman"/>
          <w:i/>
          <w:iCs/>
        </w:rPr>
        <w:t>ferre</w:t>
      </w:r>
      <w:r>
        <w:rPr>
          <w:rFonts w:cs="Times New Roman"/>
        </w:rPr>
        <w:t>, nést, odnášet si</w:t>
      </w:r>
      <w:r w:rsidRPr="00136B68">
        <w:rPr>
          <w:rFonts w:cs="Times New Roman"/>
        </w:rPr>
        <w:t>]</w:t>
      </w:r>
      <w:r>
        <w:rPr>
          <w:rFonts w:cs="Times New Roman"/>
        </w:rPr>
        <w:t xml:space="preserve">, vědomě bezprávné, zištné a </w:t>
      </w:r>
      <w:r w:rsidRPr="00136B68">
        <w:rPr>
          <w:rFonts w:cs="Times New Roman"/>
        </w:rPr>
        <w:t>[</w:t>
      </w:r>
      <w:r>
        <w:rPr>
          <w:rFonts w:cs="Times New Roman"/>
        </w:rPr>
        <w:t>zpravidla</w:t>
      </w:r>
      <w:r w:rsidRPr="00136B68">
        <w:rPr>
          <w:rFonts w:cs="Times New Roman"/>
        </w:rPr>
        <w:t>]</w:t>
      </w:r>
      <w:r>
        <w:rPr>
          <w:rFonts w:cs="Times New Roman"/>
        </w:rPr>
        <w:t xml:space="preserve"> tajné nakládání s cizí movitou věcí. Tento delikt zahrnuje krádež, loupež, zpronevěru a zčásti i podvod. Po stránce objektivní musí jít o věc movitou v něčím majetku </w:t>
      </w:r>
      <w:r w:rsidRPr="00136B68">
        <w:rPr>
          <w:rFonts w:cs="Times New Roman"/>
        </w:rPr>
        <w:t>[</w:t>
      </w:r>
      <w:r>
        <w:rPr>
          <w:rFonts w:cs="Times New Roman"/>
        </w:rPr>
        <w:t>ne tedy res nullius nebo res divini iuris</w:t>
      </w:r>
      <w:r w:rsidRPr="00136B68">
        <w:rPr>
          <w:rFonts w:cs="Times New Roman"/>
        </w:rPr>
        <w:t>]</w:t>
      </w:r>
      <w:r>
        <w:rPr>
          <w:rFonts w:cs="Times New Roman"/>
        </w:rPr>
        <w:t xml:space="preserve">, s níž pachatel </w:t>
      </w:r>
      <w:r w:rsidRPr="00136B68">
        <w:rPr>
          <w:rFonts w:cs="Times New Roman"/>
        </w:rPr>
        <w:t>[</w:t>
      </w:r>
      <w:r w:rsidRPr="00DF4498">
        <w:rPr>
          <w:rFonts w:cs="Times New Roman"/>
          <w:i/>
          <w:iCs/>
        </w:rPr>
        <w:t>fur</w:t>
      </w:r>
      <w:r w:rsidRPr="00136B68">
        <w:rPr>
          <w:rFonts w:cs="Times New Roman"/>
        </w:rPr>
        <w:t>]</w:t>
      </w:r>
      <w:r>
        <w:rPr>
          <w:rFonts w:cs="Times New Roman"/>
        </w:rPr>
        <w:t xml:space="preserve"> musí hmotně zacházet </w:t>
      </w:r>
      <w:r w:rsidRPr="00136B68">
        <w:rPr>
          <w:rFonts w:cs="Times New Roman"/>
        </w:rPr>
        <w:t>[</w:t>
      </w:r>
      <w:r w:rsidRPr="00DF4498">
        <w:rPr>
          <w:rFonts w:cs="Times New Roman"/>
          <w:i/>
          <w:iCs/>
        </w:rPr>
        <w:t>contrectatio rei</w:t>
      </w:r>
      <w:r w:rsidRPr="00136B68">
        <w:rPr>
          <w:rFonts w:cs="Times New Roman"/>
        </w:rPr>
        <w:t>]</w:t>
      </w:r>
      <w:r>
        <w:rPr>
          <w:rFonts w:cs="Times New Roman"/>
        </w:rPr>
        <w:t xml:space="preserve">: buď fyzicky odnese </w:t>
      </w:r>
      <w:r w:rsidRPr="00136B68">
        <w:rPr>
          <w:rFonts w:cs="Times New Roman"/>
        </w:rPr>
        <w:t>[</w:t>
      </w:r>
      <w:r w:rsidRPr="00DF4498">
        <w:rPr>
          <w:rFonts w:cs="Times New Roman"/>
          <w:i/>
          <w:iCs/>
        </w:rPr>
        <w:t>f. rei</w:t>
      </w:r>
      <w:r w:rsidRPr="00136B68">
        <w:rPr>
          <w:rFonts w:cs="Times New Roman"/>
        </w:rPr>
        <w:t>]</w:t>
      </w:r>
      <w:r>
        <w:rPr>
          <w:rFonts w:cs="Times New Roman"/>
        </w:rPr>
        <w:t xml:space="preserve"> nebo ji, - třeba jako schovatel, resp. detentor – protiprávně užívá </w:t>
      </w:r>
      <w:r w:rsidRPr="00136B68">
        <w:rPr>
          <w:rFonts w:cs="Times New Roman"/>
        </w:rPr>
        <w:t>[</w:t>
      </w:r>
      <w:r w:rsidRPr="00DF4498">
        <w:rPr>
          <w:rFonts w:cs="Times New Roman"/>
          <w:b/>
          <w:bCs/>
          <w:i/>
          <w:iCs/>
        </w:rPr>
        <w:t>f. usus</w:t>
      </w:r>
      <w:r w:rsidRPr="00136B68">
        <w:rPr>
          <w:rFonts w:cs="Times New Roman"/>
        </w:rPr>
        <w:t>]</w:t>
      </w:r>
      <w:r>
        <w:rPr>
          <w:rFonts w:cs="Times New Roman"/>
        </w:rPr>
        <w:t xml:space="preserve">. </w:t>
      </w:r>
      <w:r>
        <w:rPr>
          <w:rFonts w:cs="Times New Roman"/>
          <w:b/>
          <w:bCs/>
        </w:rPr>
        <w:t xml:space="preserve">– </w:t>
      </w:r>
      <w:r w:rsidRPr="0056557C">
        <w:rPr>
          <w:rFonts w:cs="Times New Roman"/>
        </w:rPr>
        <w:t>Bartošek</w:t>
      </w:r>
      <w:r>
        <w:rPr>
          <w:rFonts w:cs="Times New Roman"/>
        </w:rPr>
        <w:t>,</w:t>
      </w:r>
      <w:r w:rsidRPr="0056557C">
        <w:rPr>
          <w:rFonts w:cs="Times New Roman"/>
        </w:rPr>
        <w:t xml:space="preserve"> </w:t>
      </w:r>
      <w:r>
        <w:rPr>
          <w:rFonts w:cs="Times New Roman"/>
        </w:rPr>
        <w:t>s. 118.</w:t>
      </w:r>
    </w:p>
  </w:footnote>
  <w:footnote w:id="62">
    <w:p w14:paraId="47341320" w14:textId="3E166D65" w:rsidR="00AD3F6F" w:rsidRPr="00007E95" w:rsidRDefault="00AD3F6F">
      <w:pPr>
        <w:pStyle w:val="Textpoznpodarou"/>
      </w:pPr>
      <w:r>
        <w:rPr>
          <w:rStyle w:val="Znakapoznpodarou"/>
        </w:rPr>
        <w:footnoteRef/>
      </w:r>
      <w:r>
        <w:t xml:space="preserve"> M. Bartošek píše: „</w:t>
      </w:r>
      <w:r w:rsidRPr="00DF4498">
        <w:rPr>
          <w:b/>
          <w:bCs/>
          <w:i/>
          <w:iCs/>
        </w:rPr>
        <w:t>antichresis</w:t>
      </w:r>
      <w:r>
        <w:t xml:space="preserve"> – byla úmluva mezi zástavním věřitelem a dlužníkem, podle níž věřitel smí brát plody zastavené věci a buď je započítávat nebo nezapočítávat </w:t>
      </w:r>
      <w:r>
        <w:rPr>
          <w:rFonts w:cs="Times New Roman"/>
        </w:rPr>
        <w:t xml:space="preserve">[do úroků nebo do kapitálu]; </w:t>
      </w:r>
      <w:r w:rsidRPr="00794FCE">
        <w:rPr>
          <w:rFonts w:cs="Times New Roman"/>
          <w:i/>
          <w:iCs/>
        </w:rPr>
        <w:t>a. tacita</w:t>
      </w:r>
      <w:r>
        <w:rPr>
          <w:rFonts w:cs="Times New Roman"/>
        </w:rPr>
        <w:t xml:space="preserve"> znamenala a. učiněná mlčky při zástavě věci plodonosné pro bezúročnou pohledávku. – Bartošek, s. 42.</w:t>
      </w:r>
    </w:p>
  </w:footnote>
  <w:footnote w:id="63">
    <w:p w14:paraId="1347C6E7" w14:textId="35B4E738" w:rsidR="00AD3F6F" w:rsidRDefault="00AD3F6F">
      <w:pPr>
        <w:pStyle w:val="Textpoznpodarou"/>
      </w:pPr>
      <w:r>
        <w:rPr>
          <w:rStyle w:val="Znakapoznpodarou"/>
        </w:rPr>
        <w:footnoteRef/>
      </w:r>
      <w:r>
        <w:t xml:space="preserve"> Blaho, s. 319.</w:t>
      </w:r>
      <w:r w:rsidRPr="00ED3A22">
        <w:t xml:space="preserve"> </w:t>
      </w:r>
      <w:r>
        <w:t>– (překlad ze slovenštiny Tomáš Havlík).</w:t>
      </w:r>
    </w:p>
  </w:footnote>
  <w:footnote w:id="64">
    <w:p w14:paraId="7DE79103" w14:textId="28B5FBC0" w:rsidR="00AD3F6F" w:rsidRDefault="00AD3F6F">
      <w:pPr>
        <w:pStyle w:val="Textpoznpodarou"/>
      </w:pPr>
      <w:r>
        <w:rPr>
          <w:rStyle w:val="Znakapoznpodarou"/>
        </w:rPr>
        <w:footnoteRef/>
      </w:r>
      <w:r>
        <w:t xml:space="preserve"> Viz např. Dig. 20, 1, 15: „Gaius ve zvláštní knize o hypotekární formuli píše: I ty věci, které zatím ještě neexistují, ale budou existovat, je možno dát do zástavy: například (visící) očekávané plody, dítě těhotné otrokyně, mláďata dobytka</w:t>
      </w:r>
      <w:r>
        <w:rPr>
          <w:rFonts w:cs="Times New Roman"/>
        </w:rPr>
        <w:t>;</w:t>
      </w:r>
      <w:r>
        <w:t xml:space="preserve"> a až vzniknou, budou zastaveny. A toto je třeba dodržovat, ať se o požívacím právu nebo o těch věcech, které vzniknou, dohodl vlastník pozemku nebo ten, kdo má požívací právo, jak píše Julián.“ - Překlad viz: Bubelová, K., Dostalík, P., Razim, J.: Praktikum z římského práva. 3. vydání, Praha: Leges, 2019, s. 104.</w:t>
      </w:r>
    </w:p>
  </w:footnote>
  <w:footnote w:id="65">
    <w:p w14:paraId="4B694F60" w14:textId="78171EFD" w:rsidR="00AD3F6F" w:rsidRDefault="00AD3F6F">
      <w:pPr>
        <w:pStyle w:val="Textpoznpodarou"/>
      </w:pPr>
      <w:r>
        <w:rPr>
          <w:rStyle w:val="Znakapoznpodarou"/>
        </w:rPr>
        <w:footnoteRef/>
      </w:r>
      <w:r>
        <w:t xml:space="preserve"> Dle Juliana, pokud pachtýř přivede na farmu otrokyni, která má sloužit jako předmět zástavy a poté ji prodá, měl by mu (propachtovateli) být udělen (salviánský) interdikt za účelem zajištění držby jejího dítěte, které z ní vzešlo až v době, kdy už byla v rukou kupce.</w:t>
      </w:r>
      <w:r>
        <w:rPr>
          <w:rStyle w:val="Znakapoznpodarou"/>
        </w:rPr>
        <w:footnoteRef/>
      </w:r>
      <w:r>
        <w:t xml:space="preserve"> Z tohoto fragmentu tedy plyne, že součástí zástavy jsou i její budoucí plody. – Dig. 43, 33, 1 – (překlad z angličtiny Tomáš Havlík).</w:t>
      </w:r>
    </w:p>
  </w:footnote>
  <w:footnote w:id="66">
    <w:p w14:paraId="7B1F8B57" w14:textId="2C813B61" w:rsidR="00AD3F6F" w:rsidRDefault="00AD3F6F" w:rsidP="00F839D8">
      <w:pPr>
        <w:pStyle w:val="Textpoznpodarou"/>
      </w:pPr>
      <w:r>
        <w:rPr>
          <w:rStyle w:val="Znakapoznpodarou"/>
        </w:rPr>
        <w:footnoteRef/>
      </w:r>
      <w:r>
        <w:t xml:space="preserve"> „</w:t>
      </w:r>
      <w:r>
        <w:rPr>
          <w:b/>
          <w:bCs/>
        </w:rPr>
        <w:t>usufruktář</w:t>
      </w:r>
      <w:r>
        <w:t xml:space="preserve"> – ten, kdo užíval plody, zisky, například z půdy nebo zvířat!“ - </w:t>
      </w:r>
      <w:r w:rsidRPr="001F52BC">
        <w:t>BLACK, Henry Campbell et al. Blackův právnický slovník. Praha: Victoria Publishing, 1993. sv. 1, s. 621.</w:t>
      </w:r>
    </w:p>
  </w:footnote>
  <w:footnote w:id="67">
    <w:p w14:paraId="42501E78" w14:textId="10C47DB0" w:rsidR="00AD3F6F" w:rsidRPr="006477A3" w:rsidRDefault="00AD3F6F">
      <w:pPr>
        <w:pStyle w:val="Textpoznpodarou"/>
      </w:pPr>
      <w:r>
        <w:rPr>
          <w:rStyle w:val="Znakapoznpodarou"/>
        </w:rPr>
        <w:footnoteRef/>
      </w:r>
      <w:r>
        <w:t xml:space="preserve"> Heyrovský</w:t>
      </w:r>
      <w:r w:rsidRPr="00051EBF">
        <w:t xml:space="preserve"> 1927, s. 285.</w:t>
      </w:r>
      <w:r>
        <w:t xml:space="preserve"> </w:t>
      </w:r>
    </w:p>
  </w:footnote>
  <w:footnote w:id="68">
    <w:p w14:paraId="0040380E" w14:textId="74DB582D" w:rsidR="00AD3F6F" w:rsidRDefault="00AD3F6F" w:rsidP="00EA005B">
      <w:pPr>
        <w:pStyle w:val="Textpoznpodarou"/>
      </w:pPr>
      <w:r>
        <w:rPr>
          <w:rStyle w:val="Znakapoznpodarou"/>
        </w:rPr>
        <w:footnoteRef/>
      </w:r>
      <w:r>
        <w:t xml:space="preserve"> Heyrovský</w:t>
      </w:r>
      <w:r w:rsidRPr="00051EBF">
        <w:t xml:space="preserve"> 1927, s. 28</w:t>
      </w:r>
      <w:r>
        <w:t>6</w:t>
      </w:r>
      <w:r w:rsidRPr="00051EBF">
        <w:t>.</w:t>
      </w:r>
    </w:p>
  </w:footnote>
  <w:footnote w:id="69">
    <w:p w14:paraId="65DAC0B4" w14:textId="53186055" w:rsidR="00AD3F6F" w:rsidRPr="004E09FA" w:rsidRDefault="00AD3F6F" w:rsidP="004E09FA">
      <w:pPr>
        <w:pStyle w:val="Normlnweb"/>
        <w:shd w:val="clear" w:color="auto" w:fill="FFFFFF"/>
        <w:spacing w:before="0" w:beforeAutospacing="0" w:after="0" w:afterAutospacing="0"/>
        <w:ind w:firstLine="600"/>
        <w:jc w:val="both"/>
        <w:rPr>
          <w:rFonts w:eastAsiaTheme="minorHAnsi" w:cstheme="minorBidi"/>
          <w:sz w:val="20"/>
          <w:szCs w:val="20"/>
          <w:lang w:eastAsia="en-US"/>
        </w:rPr>
      </w:pPr>
      <w:r w:rsidRPr="00595E88">
        <w:rPr>
          <w:rFonts w:eastAsiaTheme="minorHAnsi" w:cstheme="minorBidi"/>
          <w:sz w:val="20"/>
          <w:szCs w:val="20"/>
          <w:vertAlign w:val="superscript"/>
          <w:lang w:eastAsia="en-US"/>
        </w:rPr>
        <w:footnoteRef/>
      </w:r>
      <w:r>
        <w:rPr>
          <w:rFonts w:eastAsiaTheme="minorHAnsi" w:cstheme="minorBidi"/>
          <w:sz w:val="20"/>
          <w:szCs w:val="20"/>
          <w:lang w:eastAsia="en-US"/>
        </w:rPr>
        <w:t xml:space="preserve"> </w:t>
      </w:r>
      <w:r w:rsidRPr="004E09FA">
        <w:rPr>
          <w:rFonts w:eastAsiaTheme="minorHAnsi" w:cstheme="minorBidi"/>
          <w:sz w:val="20"/>
          <w:szCs w:val="20"/>
          <w:lang w:eastAsia="en-US"/>
        </w:rPr>
        <w:t xml:space="preserve">J. Vančura k tomuto uvádí: </w:t>
      </w:r>
      <w:r>
        <w:rPr>
          <w:rFonts w:eastAsiaTheme="minorHAnsi" w:cstheme="minorBidi"/>
          <w:sz w:val="20"/>
          <w:szCs w:val="20"/>
          <w:lang w:eastAsia="en-US"/>
        </w:rPr>
        <w:t>„</w:t>
      </w:r>
      <w:r w:rsidRPr="00D77913">
        <w:rPr>
          <w:rFonts w:eastAsiaTheme="minorHAnsi" w:cstheme="minorBidi"/>
          <w:b/>
          <w:bCs/>
          <w:i/>
          <w:iCs/>
          <w:sz w:val="20"/>
          <w:szCs w:val="20"/>
          <w:lang w:eastAsia="en-US"/>
        </w:rPr>
        <w:t>Superficies</w:t>
      </w:r>
      <w:r w:rsidRPr="004E09FA">
        <w:rPr>
          <w:rFonts w:eastAsiaTheme="minorHAnsi" w:cstheme="minorBidi"/>
          <w:sz w:val="20"/>
          <w:szCs w:val="20"/>
          <w:lang w:eastAsia="en-US"/>
        </w:rPr>
        <w:t>, </w:t>
      </w:r>
      <w:r>
        <w:rPr>
          <w:rFonts w:eastAsiaTheme="minorHAnsi" w:cstheme="minorBidi"/>
          <w:sz w:val="20"/>
          <w:szCs w:val="20"/>
          <w:lang w:eastAsia="en-US"/>
        </w:rPr>
        <w:t>(</w:t>
      </w:r>
      <w:r w:rsidRPr="004E09FA">
        <w:rPr>
          <w:rFonts w:eastAsiaTheme="minorHAnsi" w:cstheme="minorBidi"/>
          <w:sz w:val="20"/>
          <w:szCs w:val="20"/>
          <w:lang w:eastAsia="en-US"/>
        </w:rPr>
        <w:t>lat., povrch</w:t>
      </w:r>
      <w:r>
        <w:rPr>
          <w:rFonts w:eastAsiaTheme="minorHAnsi" w:cstheme="minorBidi"/>
          <w:sz w:val="20"/>
          <w:szCs w:val="20"/>
          <w:lang w:eastAsia="en-US"/>
        </w:rPr>
        <w:t>) j</w:t>
      </w:r>
      <w:r w:rsidRPr="004E09FA">
        <w:rPr>
          <w:rFonts w:eastAsiaTheme="minorHAnsi" w:cstheme="minorBidi"/>
          <w:sz w:val="20"/>
          <w:szCs w:val="20"/>
          <w:lang w:eastAsia="en-US"/>
        </w:rPr>
        <w:t>est věcné právo k cizímu pozemku</w:t>
      </w:r>
      <w:r>
        <w:rPr>
          <w:rFonts w:eastAsiaTheme="minorHAnsi" w:cstheme="minorBidi"/>
          <w:sz w:val="20"/>
          <w:szCs w:val="20"/>
          <w:lang w:eastAsia="en-US"/>
        </w:rPr>
        <w:t xml:space="preserve"> (právo stavby)</w:t>
      </w:r>
      <w:r w:rsidRPr="004E09FA">
        <w:rPr>
          <w:rFonts w:eastAsiaTheme="minorHAnsi" w:cstheme="minorBidi"/>
          <w:sz w:val="20"/>
          <w:szCs w:val="20"/>
          <w:lang w:eastAsia="en-US"/>
        </w:rPr>
        <w:t xml:space="preserve"> záležející v tom, že superficiář může budovy a jiných zařízení na pozemku jsoucích (stromů, plodin) trvale užívati, začež povinen jest vlastníkovi pozemku odváděti plat pozemkový, solarium. S. vznikla ve právě římském pronajímáním státních pozemků v (ager </w:t>
      </w:r>
      <w:proofErr w:type="spellStart"/>
      <w:r w:rsidRPr="004E09FA">
        <w:rPr>
          <w:rFonts w:eastAsiaTheme="minorHAnsi" w:cstheme="minorBidi"/>
          <w:sz w:val="20"/>
          <w:szCs w:val="20"/>
          <w:lang w:eastAsia="en-US"/>
        </w:rPr>
        <w:t>publicus</w:t>
      </w:r>
      <w:proofErr w:type="spellEnd"/>
      <w:r w:rsidRPr="004E09FA">
        <w:rPr>
          <w:rFonts w:eastAsiaTheme="minorHAnsi" w:cstheme="minorBidi"/>
          <w:sz w:val="20"/>
          <w:szCs w:val="20"/>
          <w:lang w:eastAsia="en-US"/>
        </w:rPr>
        <w:t xml:space="preserve">) navždy nebo na dlouhou dobu za tím účelem, aby nájemce na pozemku vystavěl dům a užíval ho. Časem dostalo se mu zvláštní soudní ochrany </w:t>
      </w:r>
      <w:proofErr w:type="spellStart"/>
      <w:r w:rsidRPr="004E09FA">
        <w:rPr>
          <w:rFonts w:eastAsiaTheme="minorHAnsi" w:cstheme="minorBidi"/>
          <w:sz w:val="20"/>
          <w:szCs w:val="20"/>
          <w:lang w:eastAsia="en-US"/>
        </w:rPr>
        <w:t>praetorským</w:t>
      </w:r>
      <w:proofErr w:type="spellEnd"/>
      <w:r w:rsidRPr="004E09FA">
        <w:rPr>
          <w:rFonts w:eastAsiaTheme="minorHAnsi" w:cstheme="minorBidi"/>
          <w:sz w:val="20"/>
          <w:szCs w:val="20"/>
          <w:lang w:eastAsia="en-US"/>
        </w:rPr>
        <w:t xml:space="preserve"> interdiktem de s-</w:t>
      </w:r>
      <w:proofErr w:type="spellStart"/>
      <w:r w:rsidRPr="004E09FA">
        <w:rPr>
          <w:rFonts w:eastAsiaTheme="minorHAnsi" w:cstheme="minorBidi"/>
          <w:sz w:val="20"/>
          <w:szCs w:val="20"/>
          <w:lang w:eastAsia="en-US"/>
        </w:rPr>
        <w:t>ebus</w:t>
      </w:r>
      <w:proofErr w:type="spellEnd"/>
      <w:r w:rsidRPr="004E09FA">
        <w:rPr>
          <w:rFonts w:eastAsiaTheme="minorHAnsi" w:cstheme="minorBidi"/>
          <w:sz w:val="20"/>
          <w:szCs w:val="20"/>
          <w:lang w:eastAsia="en-US"/>
        </w:rPr>
        <w:t xml:space="preserve"> a posléze i věcných žalob podle obdoby žalob vlastnických (</w:t>
      </w:r>
      <w:proofErr w:type="spellStart"/>
      <w:r w:rsidRPr="004E09FA">
        <w:rPr>
          <w:rFonts w:eastAsiaTheme="minorHAnsi" w:cstheme="minorBidi"/>
          <w:sz w:val="20"/>
          <w:szCs w:val="20"/>
          <w:lang w:eastAsia="en-US"/>
        </w:rPr>
        <w:t>reivindicatio</w:t>
      </w:r>
      <w:proofErr w:type="spellEnd"/>
      <w:r w:rsidRPr="004E09FA">
        <w:rPr>
          <w:rFonts w:eastAsiaTheme="minorHAnsi" w:cstheme="minorBidi"/>
          <w:sz w:val="20"/>
          <w:szCs w:val="20"/>
          <w:lang w:eastAsia="en-US"/>
        </w:rPr>
        <w:t xml:space="preserve"> utilis, actio </w:t>
      </w:r>
      <w:proofErr w:type="spellStart"/>
      <w:r w:rsidRPr="004E09FA">
        <w:rPr>
          <w:rFonts w:eastAsiaTheme="minorHAnsi" w:cstheme="minorBidi"/>
          <w:sz w:val="20"/>
          <w:szCs w:val="20"/>
          <w:lang w:eastAsia="en-US"/>
        </w:rPr>
        <w:t>negatoria</w:t>
      </w:r>
      <w:proofErr w:type="spellEnd"/>
      <w:r w:rsidRPr="004E09FA">
        <w:rPr>
          <w:rFonts w:eastAsiaTheme="minorHAnsi" w:cstheme="minorBidi"/>
          <w:sz w:val="20"/>
          <w:szCs w:val="20"/>
          <w:lang w:eastAsia="en-US"/>
        </w:rPr>
        <w:t xml:space="preserve">, a. </w:t>
      </w:r>
      <w:proofErr w:type="spellStart"/>
      <w:r w:rsidRPr="004E09FA">
        <w:rPr>
          <w:rFonts w:eastAsiaTheme="minorHAnsi" w:cstheme="minorBidi"/>
          <w:sz w:val="20"/>
          <w:szCs w:val="20"/>
          <w:lang w:eastAsia="en-US"/>
        </w:rPr>
        <w:t>confesoria</w:t>
      </w:r>
      <w:proofErr w:type="spellEnd"/>
      <w:r w:rsidRPr="004E09FA">
        <w:rPr>
          <w:rFonts w:eastAsiaTheme="minorHAnsi" w:cstheme="minorBidi"/>
          <w:sz w:val="20"/>
          <w:szCs w:val="20"/>
          <w:lang w:eastAsia="en-US"/>
        </w:rPr>
        <w:t xml:space="preserve">). Právo </w:t>
      </w:r>
      <w:proofErr w:type="spellStart"/>
      <w:r w:rsidRPr="004E09FA">
        <w:rPr>
          <w:rFonts w:eastAsiaTheme="minorHAnsi" w:cstheme="minorBidi"/>
          <w:sz w:val="20"/>
          <w:szCs w:val="20"/>
          <w:lang w:eastAsia="en-US"/>
        </w:rPr>
        <w:t>superficiární</w:t>
      </w:r>
      <w:proofErr w:type="spellEnd"/>
      <w:r w:rsidRPr="004E09FA">
        <w:rPr>
          <w:rFonts w:eastAsiaTheme="minorHAnsi" w:cstheme="minorBidi"/>
          <w:sz w:val="20"/>
          <w:szCs w:val="20"/>
          <w:lang w:eastAsia="en-US"/>
        </w:rPr>
        <w:t xml:space="preserve"> liší se od služebnosti, najmě osobních, jednak tím, že poskytuje obsáhlejší oprávnění k pozemku, jednak že není vázáno na osobu oprávněného, nýbrž může býti zcizeno a přechází též na dědice</w:t>
      </w:r>
      <w:r>
        <w:rPr>
          <w:rFonts w:eastAsiaTheme="minorHAnsi" w:cstheme="minorBidi"/>
          <w:sz w:val="20"/>
          <w:szCs w:val="20"/>
          <w:lang w:eastAsia="en-US"/>
        </w:rPr>
        <w:t xml:space="preserve">. - </w:t>
      </w:r>
      <w:r w:rsidRPr="003732ED">
        <w:rPr>
          <w:rFonts w:eastAsiaTheme="minorHAnsi" w:cstheme="minorBidi"/>
          <w:sz w:val="20"/>
          <w:szCs w:val="20"/>
          <w:lang w:eastAsia="en-US"/>
        </w:rPr>
        <w:t>Ottův slovník naučný: illustrovaná encyklopaedie obecných vědomostí. V Praze: J. Otto, 1906. sv. 24, s. 385-386.</w:t>
      </w:r>
    </w:p>
  </w:footnote>
  <w:footnote w:id="70">
    <w:p w14:paraId="7DB7F8C8" w14:textId="2CE31E85" w:rsidR="00AD3F6F" w:rsidRPr="00D73D8C" w:rsidRDefault="00AD3F6F" w:rsidP="00D73D8C">
      <w:pPr>
        <w:pStyle w:val="Normlnweb"/>
        <w:shd w:val="clear" w:color="auto" w:fill="FFFFFF"/>
        <w:spacing w:before="0" w:beforeAutospacing="0" w:after="0" w:afterAutospacing="0"/>
        <w:ind w:firstLine="600"/>
        <w:jc w:val="both"/>
        <w:rPr>
          <w:rFonts w:eastAsiaTheme="minorHAnsi" w:cstheme="minorBidi"/>
          <w:sz w:val="20"/>
          <w:szCs w:val="20"/>
          <w:lang w:eastAsia="en-US"/>
        </w:rPr>
      </w:pPr>
      <w:r w:rsidRPr="00595E88">
        <w:rPr>
          <w:rFonts w:cstheme="minorBidi"/>
          <w:sz w:val="20"/>
          <w:szCs w:val="20"/>
          <w:vertAlign w:val="superscript"/>
        </w:rPr>
        <w:footnoteRef/>
      </w:r>
      <w:r w:rsidRPr="00595E88">
        <w:rPr>
          <w:rFonts w:cstheme="minorBidi"/>
          <w:sz w:val="20"/>
          <w:szCs w:val="20"/>
        </w:rPr>
        <w:t xml:space="preserve"> L. Heyrovský k ní píše: „</w:t>
      </w:r>
      <w:r w:rsidRPr="00595E88">
        <w:rPr>
          <w:rFonts w:cstheme="minorBidi"/>
          <w:b/>
          <w:bCs/>
          <w:sz w:val="20"/>
          <w:szCs w:val="20"/>
        </w:rPr>
        <w:t>Emfyteuse</w:t>
      </w:r>
      <w:r w:rsidRPr="004F51BB">
        <w:rPr>
          <w:rFonts w:cstheme="minorBidi"/>
          <w:sz w:val="20"/>
          <w:szCs w:val="20"/>
        </w:rPr>
        <w:t> (lat. </w:t>
      </w:r>
      <w:r w:rsidRPr="00D77913">
        <w:rPr>
          <w:rFonts w:cstheme="minorBidi"/>
          <w:i/>
          <w:iCs/>
          <w:sz w:val="20"/>
          <w:szCs w:val="20"/>
        </w:rPr>
        <w:t>emphyteusis</w:t>
      </w:r>
      <w:r w:rsidRPr="004F51BB">
        <w:rPr>
          <w:rFonts w:cstheme="minorBidi"/>
          <w:sz w:val="20"/>
          <w:szCs w:val="20"/>
        </w:rPr>
        <w:t xml:space="preserve">) </w:t>
      </w:r>
      <w:r w:rsidRPr="00595E88">
        <w:rPr>
          <w:sz w:val="20"/>
          <w:szCs w:val="20"/>
        </w:rPr>
        <w:t>se</w:t>
      </w:r>
      <w:r w:rsidRPr="004F51BB">
        <w:rPr>
          <w:rFonts w:cstheme="minorBidi"/>
          <w:sz w:val="20"/>
          <w:szCs w:val="20"/>
        </w:rPr>
        <w:t xml:space="preserve"> v římském právu</w:t>
      </w:r>
      <w:r w:rsidRPr="00595E88">
        <w:rPr>
          <w:rFonts w:cstheme="minorBidi"/>
          <w:sz w:val="20"/>
          <w:szCs w:val="20"/>
        </w:rPr>
        <w:t xml:space="preserve"> nazývá</w:t>
      </w:r>
      <w:r w:rsidRPr="004F51BB">
        <w:rPr>
          <w:rFonts w:cstheme="minorBidi"/>
          <w:sz w:val="20"/>
          <w:szCs w:val="20"/>
        </w:rPr>
        <w:t xml:space="preserve"> dědičný pacht, při kterém pachtýři přísluší věcné právo plného užívání pozemku pachtovního.</w:t>
      </w:r>
      <w:r w:rsidRPr="00595E88">
        <w:rPr>
          <w:rFonts w:cstheme="minorBidi"/>
          <w:sz w:val="20"/>
          <w:szCs w:val="20"/>
        </w:rPr>
        <w:t>“ - Ottův slovník naučný</w:t>
      </w:r>
      <w:r w:rsidRPr="003732ED">
        <w:rPr>
          <w:rFonts w:eastAsiaTheme="minorHAnsi" w:cstheme="minorBidi"/>
          <w:sz w:val="20"/>
          <w:szCs w:val="20"/>
          <w:lang w:eastAsia="en-US"/>
        </w:rPr>
        <w:t xml:space="preserve">: illustrovaná encyklopaedie obecných vědomostí. V Praze: J. Otto, </w:t>
      </w:r>
      <w:r>
        <w:rPr>
          <w:rFonts w:eastAsiaTheme="minorHAnsi" w:cstheme="minorBidi"/>
          <w:sz w:val="20"/>
          <w:szCs w:val="20"/>
          <w:lang w:eastAsia="en-US"/>
        </w:rPr>
        <w:t>1894</w:t>
      </w:r>
      <w:r w:rsidRPr="003732ED">
        <w:rPr>
          <w:rFonts w:eastAsiaTheme="minorHAnsi" w:cstheme="minorBidi"/>
          <w:sz w:val="20"/>
          <w:szCs w:val="20"/>
          <w:lang w:eastAsia="en-US"/>
        </w:rPr>
        <w:t xml:space="preserve">. sv. </w:t>
      </w:r>
      <w:r>
        <w:rPr>
          <w:rFonts w:eastAsiaTheme="minorHAnsi" w:cstheme="minorBidi"/>
          <w:sz w:val="20"/>
          <w:szCs w:val="20"/>
          <w:lang w:eastAsia="en-US"/>
        </w:rPr>
        <w:t>8</w:t>
      </w:r>
      <w:r w:rsidRPr="003732ED">
        <w:rPr>
          <w:rFonts w:eastAsiaTheme="minorHAnsi" w:cstheme="minorBidi"/>
          <w:sz w:val="20"/>
          <w:szCs w:val="20"/>
          <w:lang w:eastAsia="en-US"/>
        </w:rPr>
        <w:t xml:space="preserve">, s. </w:t>
      </w:r>
      <w:r>
        <w:rPr>
          <w:rFonts w:eastAsiaTheme="minorHAnsi" w:cstheme="minorBidi"/>
          <w:sz w:val="20"/>
          <w:szCs w:val="20"/>
          <w:lang w:eastAsia="en-US"/>
        </w:rPr>
        <w:t>573</w:t>
      </w:r>
      <w:r w:rsidRPr="003732ED">
        <w:rPr>
          <w:rFonts w:eastAsiaTheme="minorHAnsi" w:cstheme="minorBidi"/>
          <w:sz w:val="20"/>
          <w:szCs w:val="20"/>
          <w:lang w:eastAsia="en-US"/>
        </w:rPr>
        <w:t>-</w:t>
      </w:r>
      <w:r>
        <w:rPr>
          <w:rFonts w:eastAsiaTheme="minorHAnsi" w:cstheme="minorBidi"/>
          <w:sz w:val="20"/>
          <w:szCs w:val="20"/>
          <w:lang w:eastAsia="en-US"/>
        </w:rPr>
        <w:t>574</w:t>
      </w:r>
      <w:r w:rsidRPr="003732ED">
        <w:rPr>
          <w:rFonts w:eastAsiaTheme="minorHAnsi" w:cstheme="minorBidi"/>
          <w:sz w:val="20"/>
          <w:szCs w:val="20"/>
          <w:lang w:eastAsia="en-US"/>
        </w:rPr>
        <w:t>.</w:t>
      </w:r>
    </w:p>
  </w:footnote>
  <w:footnote w:id="71">
    <w:p w14:paraId="69B89ADA" w14:textId="0AF49DB5" w:rsidR="00AD3F6F" w:rsidRDefault="00AD3F6F">
      <w:pPr>
        <w:pStyle w:val="Textpoznpodarou"/>
      </w:pPr>
      <w:r>
        <w:rPr>
          <w:rStyle w:val="Znakapoznpodarou"/>
        </w:rPr>
        <w:footnoteRef/>
      </w:r>
      <w:r>
        <w:t xml:space="preserve"> M. Bartošek k ní uvádí, že: „</w:t>
      </w:r>
      <w:r w:rsidRPr="007A56E9">
        <w:rPr>
          <w:b/>
          <w:bCs/>
        </w:rPr>
        <w:t>Služebnost</w:t>
      </w:r>
      <w:r>
        <w:t xml:space="preserve"> (lat. servitutes), jsou věcná práva k věci cizí, zaručující její plné nebo částečné užívání a nerozlučně spjatá s určitým pozemkem či s určitou osobou.“ – Bartošek s. 252.</w:t>
      </w:r>
    </w:p>
  </w:footnote>
  <w:footnote w:id="72">
    <w:p w14:paraId="656E2400" w14:textId="215ABFC6" w:rsidR="00AD3F6F" w:rsidRDefault="00AD3F6F">
      <w:pPr>
        <w:pStyle w:val="Textpoznpodarou"/>
      </w:pPr>
      <w:r>
        <w:rPr>
          <w:rStyle w:val="Znakapoznpodarou"/>
        </w:rPr>
        <w:footnoteRef/>
      </w:r>
      <w:r>
        <w:t xml:space="preserve"> Heyrovský 1910, s. 486.</w:t>
      </w:r>
    </w:p>
  </w:footnote>
  <w:footnote w:id="73">
    <w:p w14:paraId="55D00CA1" w14:textId="202E9DA4" w:rsidR="00AD3F6F" w:rsidRPr="00652205" w:rsidRDefault="00AD3F6F">
      <w:pPr>
        <w:pStyle w:val="Textpoznpodarou"/>
      </w:pPr>
      <w:r>
        <w:rPr>
          <w:rStyle w:val="Znakapoznpodarou"/>
        </w:rPr>
        <w:footnoteRef/>
      </w:r>
      <w:r>
        <w:t xml:space="preserve"> </w:t>
      </w:r>
      <w:r w:rsidRPr="00652205">
        <w:t>Viz D</w:t>
      </w:r>
      <w:r>
        <w:t>ig.</w:t>
      </w:r>
      <w:r w:rsidR="004D2593">
        <w:t xml:space="preserve"> </w:t>
      </w:r>
      <w:r w:rsidRPr="00652205">
        <w:t>20</w:t>
      </w:r>
      <w:r w:rsidR="004D2593">
        <w:t xml:space="preserve">, </w:t>
      </w:r>
      <w:r w:rsidRPr="00652205">
        <w:t>1</w:t>
      </w:r>
      <w:r>
        <w:t xml:space="preserve">, </w:t>
      </w:r>
      <w:r w:rsidR="004D2593">
        <w:t>6.</w:t>
      </w:r>
      <w:r w:rsidRPr="00652205">
        <w:t>-7</w:t>
      </w:r>
      <w:r w:rsidR="004D2593">
        <w:t>.:</w:t>
      </w:r>
      <w:r w:rsidRPr="00652205">
        <w:t xml:space="preserve"> </w:t>
      </w:r>
      <w:r>
        <w:t>„Ulpián v 73. knize komentářů k ediktu: V generálním (všeobecném) zastavení věci, které někdo má nebo bude mít, nejsou obsaženy ty věci, které by pravděpodobně nikdo sám nezastavil, například zařízení domácnosti</w:t>
      </w:r>
      <w:r>
        <w:rPr>
          <w:rFonts w:cs="Times New Roman"/>
        </w:rPr>
        <w:t>;</w:t>
      </w:r>
      <w:r>
        <w:t xml:space="preserve"> stejně je třeba nechat dlužníkovi oděv, a z otroků ty, které používá pro svou potřebu, takže by je určitě nezastavil. Proto ze služebníků, které nevyhnutelně potřebuje nebo ke kterým má blízký vztah či jejichž služby dennodenně využívá, nenáleží serviánská žaloba.“ -</w:t>
      </w:r>
      <w:r w:rsidRPr="009277DE">
        <w:t xml:space="preserve"> </w:t>
      </w:r>
      <w:r>
        <w:t>Překlad viz: Bubelová, K., Dostalík, P., Razim, J.: Praktikum z římského práva. 3. vydání, Praha: Leges, 2019, s. 103.</w:t>
      </w:r>
    </w:p>
  </w:footnote>
  <w:footnote w:id="74">
    <w:p w14:paraId="7F15673E" w14:textId="2E9B59C4" w:rsidR="00AD3F6F" w:rsidRDefault="00AD3F6F">
      <w:pPr>
        <w:pStyle w:val="Textpoznpodarou"/>
      </w:pPr>
      <w:r>
        <w:rPr>
          <w:rStyle w:val="Znakapoznpodarou"/>
        </w:rPr>
        <w:footnoteRef/>
      </w:r>
      <w:r>
        <w:t xml:space="preserve"> Heyrovský 1910, s. 487.</w:t>
      </w:r>
    </w:p>
  </w:footnote>
  <w:footnote w:id="75">
    <w:p w14:paraId="4F412CE5" w14:textId="3B5450E3" w:rsidR="00AD3F6F" w:rsidRDefault="00AD3F6F">
      <w:pPr>
        <w:pStyle w:val="Textpoznpodarou"/>
      </w:pPr>
      <w:r>
        <w:rPr>
          <w:rStyle w:val="Znakapoznpodarou"/>
        </w:rPr>
        <w:footnoteRef/>
      </w:r>
      <w:r>
        <w:t xml:space="preserve"> Kincl, s. 207.</w:t>
      </w:r>
    </w:p>
  </w:footnote>
  <w:footnote w:id="76">
    <w:p w14:paraId="2B8CEC88" w14:textId="161B1DE2" w:rsidR="00AD3F6F" w:rsidRDefault="00AD3F6F">
      <w:pPr>
        <w:pStyle w:val="Textpoznpodarou"/>
      </w:pPr>
      <w:r>
        <w:rPr>
          <w:rStyle w:val="Znakapoznpodarou"/>
        </w:rPr>
        <w:footnoteRef/>
      </w:r>
      <w:r>
        <w:t xml:space="preserve"> Blaho, s. 320.</w:t>
      </w:r>
      <w:r w:rsidRPr="00230074">
        <w:t xml:space="preserve"> </w:t>
      </w:r>
      <w:r>
        <w:t>– (překlad ze slovenštiny Tomáš Havlík).</w:t>
      </w:r>
    </w:p>
  </w:footnote>
  <w:footnote w:id="77">
    <w:p w14:paraId="6FB25D14" w14:textId="4E60D265" w:rsidR="00AD3F6F" w:rsidRDefault="00AD3F6F">
      <w:pPr>
        <w:pStyle w:val="Textpoznpodarou"/>
      </w:pPr>
      <w:r>
        <w:rPr>
          <w:rStyle w:val="Znakapoznpodarou"/>
        </w:rPr>
        <w:footnoteRef/>
      </w:r>
      <w:r>
        <w:t xml:space="preserve"> </w:t>
      </w:r>
      <w:r w:rsidRPr="002B37FF">
        <w:t>SOMMER, Otakar. Učebnice soukromého práva římského, Díl 2: Právo majetkové. V Praze: vl.</w:t>
      </w:r>
      <w:r>
        <w:t xml:space="preserve"> </w:t>
      </w:r>
      <w:r w:rsidRPr="002B37FF">
        <w:t xml:space="preserve">nákl., 1935, </w:t>
      </w:r>
      <w:r>
        <w:t>s. 156</w:t>
      </w:r>
      <w:r w:rsidRPr="002B37FF">
        <w:t>.</w:t>
      </w:r>
    </w:p>
  </w:footnote>
  <w:footnote w:id="78">
    <w:p w14:paraId="0EA54529" w14:textId="71506EF8" w:rsidR="00AD3F6F" w:rsidRDefault="00AD3F6F">
      <w:pPr>
        <w:pStyle w:val="Textpoznpodarou"/>
      </w:pPr>
      <w:r>
        <w:rPr>
          <w:rStyle w:val="Znakapoznpodarou"/>
        </w:rPr>
        <w:footnoteRef/>
      </w:r>
      <w:r>
        <w:t xml:space="preserve"> Kincl,</w:t>
      </w:r>
      <w:r w:rsidRPr="003961A3">
        <w:t xml:space="preserve"> s. 207.</w:t>
      </w:r>
    </w:p>
  </w:footnote>
  <w:footnote w:id="79">
    <w:p w14:paraId="6CE05694" w14:textId="3E33D78D" w:rsidR="00AD3F6F" w:rsidRDefault="00AD3F6F">
      <w:pPr>
        <w:pStyle w:val="Textpoznpodarou"/>
      </w:pPr>
      <w:r>
        <w:rPr>
          <w:rStyle w:val="Znakapoznpodarou"/>
        </w:rPr>
        <w:footnoteRef/>
      </w:r>
      <w:r>
        <w:t xml:space="preserve"> C. 8, 26, 1, 2 - </w:t>
      </w:r>
      <w:r w:rsidRPr="009B1AAD">
        <w:t>JUSTINIÁN I, KRÜGER, Paul, ed. Corpus iuris civilis</w:t>
      </w:r>
      <w:r>
        <w:t xml:space="preserve"> vol. II.,</w:t>
      </w:r>
      <w:r w:rsidRPr="00773A82">
        <w:t xml:space="preserve"> </w:t>
      </w:r>
      <w:r>
        <w:t>Codex Iustinianus.</w:t>
      </w:r>
      <w:r w:rsidRPr="009B1AAD">
        <w:t xml:space="preserve"> Editio stereotypa nona. Berolini: Apud Weidmannos, 1915.</w:t>
      </w:r>
    </w:p>
  </w:footnote>
  <w:footnote w:id="80">
    <w:p w14:paraId="18468C1E" w14:textId="2A4DF453" w:rsidR="00AD3F6F" w:rsidRDefault="00AD3F6F">
      <w:pPr>
        <w:pStyle w:val="Textpoznpodarou"/>
      </w:pPr>
      <w:r>
        <w:rPr>
          <w:rStyle w:val="Znakapoznpodarou"/>
        </w:rPr>
        <w:footnoteRef/>
      </w:r>
      <w:r>
        <w:t xml:space="preserve"> Heyrovský 1910, s 491.</w:t>
      </w:r>
    </w:p>
  </w:footnote>
  <w:footnote w:id="81">
    <w:p w14:paraId="251945AC" w14:textId="24C9D677" w:rsidR="00AD3F6F" w:rsidRDefault="00AD3F6F">
      <w:pPr>
        <w:pStyle w:val="Textpoznpodarou"/>
      </w:pPr>
      <w:r>
        <w:rPr>
          <w:rStyle w:val="Znakapoznpodarou"/>
        </w:rPr>
        <w:footnoteRef/>
      </w:r>
      <w:r>
        <w:t xml:space="preserve"> Tamtéž. </w:t>
      </w:r>
    </w:p>
  </w:footnote>
  <w:footnote w:id="82">
    <w:p w14:paraId="04123DEE" w14:textId="0041F6C0" w:rsidR="00AD3F6F" w:rsidRDefault="00AD3F6F">
      <w:pPr>
        <w:pStyle w:val="Textpoznpodarou"/>
      </w:pPr>
      <w:r>
        <w:rPr>
          <w:rStyle w:val="Znakapoznpodarou"/>
        </w:rPr>
        <w:footnoteRef/>
      </w:r>
      <w:r>
        <w:t xml:space="preserve"> Blaho, s. 320.</w:t>
      </w:r>
      <w:r w:rsidRPr="005B1621">
        <w:t xml:space="preserve"> </w:t>
      </w:r>
      <w:r>
        <w:t>– (překlad ze slovenštiny Tomáš Havlík).</w:t>
      </w:r>
    </w:p>
  </w:footnote>
  <w:footnote w:id="83">
    <w:p w14:paraId="6099B169" w14:textId="5905BDE3" w:rsidR="00AD3F6F" w:rsidRDefault="00AD3F6F">
      <w:pPr>
        <w:pStyle w:val="Textpoznpodarou"/>
      </w:pPr>
      <w:r>
        <w:rPr>
          <w:rStyle w:val="Znakapoznpodarou"/>
        </w:rPr>
        <w:footnoteRef/>
      </w:r>
      <w:r>
        <w:t xml:space="preserve"> Dig. 13, 7, 4 – „Jestliže byla uzavřena dohoda o prodeji zástavy, a to buď na začátku nebo posléze, pak je prodej nejen platný, ale kupec se dokonce stane vlastníkem věci. Přestože dohoda o prodeji ruční zástavy uzavřena nebyla, i tehdy užíváme pravidlo, že je možné prodat, jestliže nebylo dohodnuto, že se nesmí. Pokud bylo skutečně dohodnuto, že nesmí být prodána, tehdy je věřitel, jestliže prodal, odpovědný z krádeže, ledaže třikrát dlužníka vyznal, aby splnil, a ten tak neučinil.“ - (překlad Blaho s. 603).</w:t>
      </w:r>
    </w:p>
  </w:footnote>
  <w:footnote w:id="84">
    <w:p w14:paraId="53482071" w14:textId="2B81DCC5" w:rsidR="00AD3F6F" w:rsidRDefault="00AD3F6F">
      <w:pPr>
        <w:pStyle w:val="Textpoznpodarou"/>
      </w:pPr>
      <w:r>
        <w:rPr>
          <w:rStyle w:val="Znakapoznpodarou"/>
        </w:rPr>
        <w:footnoteRef/>
      </w:r>
      <w:r>
        <w:t xml:space="preserve"> Gai. Inst. 2. 64. – KINCL, Jaromír. Gaius: Učebnice práva ve čtyřech knihách. Plzeň: Aleš Čeněk, 2007, s. 111.</w:t>
      </w:r>
    </w:p>
  </w:footnote>
  <w:footnote w:id="85">
    <w:p w14:paraId="2CD857AE" w14:textId="4EA3BC73" w:rsidR="00AD3F6F" w:rsidRDefault="00AD3F6F">
      <w:pPr>
        <w:pStyle w:val="Textpoznpodarou"/>
      </w:pPr>
      <w:r>
        <w:rPr>
          <w:rStyle w:val="Znakapoznpodarou"/>
        </w:rPr>
        <w:footnoteRef/>
      </w:r>
      <w:r>
        <w:t xml:space="preserve"> </w:t>
      </w:r>
      <w:r w:rsidRPr="002B37FF">
        <w:t>SOMMER, Otakar. Učebnice soukromého práva římského, Díl 2: Právo majetkové. V Praze: vl.</w:t>
      </w:r>
      <w:r>
        <w:t xml:space="preserve"> </w:t>
      </w:r>
      <w:r w:rsidRPr="002B37FF">
        <w:t xml:space="preserve">nákl., 1935, </w:t>
      </w:r>
      <w:r>
        <w:t>s. 158</w:t>
      </w:r>
      <w:r w:rsidRPr="002B37FF">
        <w:t>.</w:t>
      </w:r>
    </w:p>
  </w:footnote>
  <w:footnote w:id="86">
    <w:p w14:paraId="29017D7F" w14:textId="7DA3E2E9" w:rsidR="00AD3F6F" w:rsidRDefault="00AD3F6F">
      <w:pPr>
        <w:pStyle w:val="Textpoznpodarou"/>
      </w:pPr>
      <w:r>
        <w:rPr>
          <w:rStyle w:val="Znakapoznpodarou"/>
        </w:rPr>
        <w:footnoteRef/>
      </w:r>
      <w:r>
        <w:t xml:space="preserve"> Blaho</w:t>
      </w:r>
      <w:r w:rsidRPr="003961A3">
        <w:t xml:space="preserve">, s. </w:t>
      </w:r>
      <w:r>
        <w:t>321</w:t>
      </w:r>
      <w:r w:rsidRPr="003961A3">
        <w:t>.</w:t>
      </w:r>
      <w:r w:rsidRPr="005B1621">
        <w:t xml:space="preserve"> </w:t>
      </w:r>
      <w:r>
        <w:t>– (překlad ze slovenštiny Tomáš Havlík).</w:t>
      </w:r>
    </w:p>
  </w:footnote>
  <w:footnote w:id="87">
    <w:p w14:paraId="188D2EC8" w14:textId="40183695" w:rsidR="00AD3F6F" w:rsidRDefault="00AD3F6F">
      <w:pPr>
        <w:pStyle w:val="Textpoznpodarou"/>
      </w:pPr>
      <w:r>
        <w:rPr>
          <w:rStyle w:val="Znakapoznpodarou"/>
        </w:rPr>
        <w:footnoteRef/>
      </w:r>
      <w:r>
        <w:t xml:space="preserve"> Heyrovský 1910, s 488.</w:t>
      </w:r>
    </w:p>
  </w:footnote>
  <w:footnote w:id="88">
    <w:p w14:paraId="538D82AB" w14:textId="473C994B" w:rsidR="00AD3F6F" w:rsidRDefault="00AD3F6F">
      <w:pPr>
        <w:pStyle w:val="Textpoznpodarou"/>
      </w:pPr>
      <w:r>
        <w:rPr>
          <w:rStyle w:val="Znakapoznpodarou"/>
        </w:rPr>
        <w:footnoteRef/>
      </w:r>
      <w:r>
        <w:t xml:space="preserve"> </w:t>
      </w:r>
      <w:r w:rsidRPr="002B37FF">
        <w:t xml:space="preserve">SOMMER, Otakar. Učebnice soukromého práva římského, Díl 2: Právo majetkové. V Praze: nákl. vl., 1935, </w:t>
      </w:r>
      <w:r>
        <w:t>s.158</w:t>
      </w:r>
      <w:r w:rsidRPr="002B37FF">
        <w:t>.</w:t>
      </w:r>
    </w:p>
  </w:footnote>
  <w:footnote w:id="89">
    <w:p w14:paraId="1374E008" w14:textId="19560DB6" w:rsidR="00AD3F6F" w:rsidRPr="006477A3" w:rsidRDefault="00AD3F6F">
      <w:pPr>
        <w:pStyle w:val="Textpoznpodarou"/>
      </w:pPr>
      <w:r>
        <w:rPr>
          <w:rStyle w:val="Znakapoznpodarou"/>
        </w:rPr>
        <w:footnoteRef/>
      </w:r>
      <w:r>
        <w:t xml:space="preserve"> Dig. 18, 2, 10 - Překlad viz: Bubelová, K., Dostalík, P., Razim, J.: Praktikum z římského práva. 3. vydání, Praha: Leges, 2019, s. 159-160. </w:t>
      </w:r>
    </w:p>
  </w:footnote>
  <w:footnote w:id="90">
    <w:p w14:paraId="3928562D" w14:textId="73D36622" w:rsidR="00AD3F6F" w:rsidRDefault="00AD3F6F">
      <w:pPr>
        <w:pStyle w:val="Textpoznpodarou"/>
      </w:pPr>
      <w:r>
        <w:rPr>
          <w:rStyle w:val="Znakapoznpodarou"/>
        </w:rPr>
        <w:footnoteRef/>
      </w:r>
      <w:r>
        <w:t xml:space="preserve"> VANČURA, Josef. Úvod do studia soukromého práva římského: Díl I. 1923. Praha: Knihtiskárna Typus, 1923, s. 240.</w:t>
      </w:r>
    </w:p>
  </w:footnote>
  <w:footnote w:id="91">
    <w:p w14:paraId="614345E6" w14:textId="3D227131" w:rsidR="00AD3F6F" w:rsidRDefault="00AD3F6F">
      <w:pPr>
        <w:pStyle w:val="Textpoznpodarou"/>
      </w:pPr>
      <w:r>
        <w:rPr>
          <w:rStyle w:val="Znakapoznpodarou"/>
        </w:rPr>
        <w:footnoteRef/>
      </w:r>
      <w:r>
        <w:t xml:space="preserve"> Heyrovský 1910, s. 490.</w:t>
      </w:r>
    </w:p>
  </w:footnote>
  <w:footnote w:id="92">
    <w:p w14:paraId="15525F91" w14:textId="682F251F" w:rsidR="00AD3F6F" w:rsidRDefault="00AD3F6F">
      <w:pPr>
        <w:pStyle w:val="Textpoznpodarou"/>
      </w:pPr>
      <w:r>
        <w:rPr>
          <w:rStyle w:val="Znakapoznpodarou"/>
        </w:rPr>
        <w:footnoteRef/>
      </w:r>
      <w:r>
        <w:t xml:space="preserve"> Kincl</w:t>
      </w:r>
      <w:r w:rsidRPr="003961A3">
        <w:t>, s. 207</w:t>
      </w:r>
      <w:r>
        <w:t>-208</w:t>
      </w:r>
    </w:p>
  </w:footnote>
  <w:footnote w:id="93">
    <w:p w14:paraId="215A1A1C" w14:textId="293B7E66" w:rsidR="00AD3F6F" w:rsidRDefault="00AD3F6F" w:rsidP="00AF1794">
      <w:pPr>
        <w:pStyle w:val="Textpoznpodarou"/>
      </w:pPr>
      <w:r>
        <w:rPr>
          <w:rStyle w:val="Znakapoznpodarou"/>
        </w:rPr>
        <w:footnoteRef/>
      </w:r>
      <w:r>
        <w:t xml:space="preserve"> Dle M. Skřejpka, znamenalo „</w:t>
      </w:r>
      <w:r w:rsidRPr="00BD570C">
        <w:rPr>
          <w:b/>
          <w:bCs/>
          <w:i/>
          <w:iCs/>
        </w:rPr>
        <w:t>ius exigendi</w:t>
      </w:r>
      <w:r>
        <w:t xml:space="preserve"> – právo vymáhat zvláštní nárok (viz také privilegium exigendi).“ - </w:t>
      </w:r>
      <w:r w:rsidRPr="002323F3">
        <w:t>SKŘEJPEK, Michal. Latinsko-český slovníček římského práva: (vybrané pojmy a termíny). Praha: Orac, 2000, s.</w:t>
      </w:r>
      <w:r>
        <w:t xml:space="preserve"> 33.</w:t>
      </w:r>
    </w:p>
  </w:footnote>
  <w:footnote w:id="94">
    <w:p w14:paraId="6E8727DE" w14:textId="4C380129" w:rsidR="00AD3F6F" w:rsidRDefault="00AD3F6F">
      <w:pPr>
        <w:pStyle w:val="Textpoznpodarou"/>
      </w:pPr>
      <w:r>
        <w:rPr>
          <w:rStyle w:val="Znakapoznpodarou"/>
        </w:rPr>
        <w:footnoteRef/>
      </w:r>
      <w:r>
        <w:t xml:space="preserve"> Heyrovský</w:t>
      </w:r>
      <w:r w:rsidRPr="00837825">
        <w:t xml:space="preserve"> 1927, s. 290.</w:t>
      </w:r>
    </w:p>
  </w:footnote>
  <w:footnote w:id="95">
    <w:p w14:paraId="313A2943" w14:textId="0C4A38D6" w:rsidR="00AD3F6F" w:rsidRDefault="00AD3F6F">
      <w:pPr>
        <w:pStyle w:val="Textpoznpodarou"/>
      </w:pPr>
      <w:r>
        <w:rPr>
          <w:rStyle w:val="Znakapoznpodarou"/>
        </w:rPr>
        <w:footnoteRef/>
      </w:r>
      <w:r>
        <w:t xml:space="preserve"> Dig. 13, 7, 18 – (překlad Blaho s. 611).</w:t>
      </w:r>
    </w:p>
  </w:footnote>
  <w:footnote w:id="96">
    <w:p w14:paraId="1CC0D56C" w14:textId="502BD10F" w:rsidR="00AD3F6F" w:rsidRDefault="00AD3F6F">
      <w:pPr>
        <w:pStyle w:val="Textpoznpodarou"/>
      </w:pPr>
      <w:r>
        <w:rPr>
          <w:rStyle w:val="Znakapoznpodarou"/>
        </w:rPr>
        <w:footnoteRef/>
      </w:r>
      <w:r>
        <w:t xml:space="preserve"> Heyrovský 1910, s. 494.</w:t>
      </w:r>
    </w:p>
  </w:footnote>
  <w:footnote w:id="97">
    <w:p w14:paraId="24E5AD2F" w14:textId="3402906E" w:rsidR="00AD3F6F" w:rsidRDefault="00AD3F6F" w:rsidP="0087274E">
      <w:pPr>
        <w:pStyle w:val="Textpoznpodarou"/>
      </w:pPr>
      <w:r>
        <w:rPr>
          <w:rStyle w:val="Znakapoznpodarou"/>
        </w:rPr>
        <w:footnoteRef/>
      </w:r>
      <w:r>
        <w:t xml:space="preserve"> </w:t>
      </w:r>
      <w:r w:rsidRPr="002B37FF">
        <w:t xml:space="preserve">SOMMER, Otakar. Učebnice soukromého práva římského, Díl 2: Právo majetkové. V Praze: nákl. vl., 1935, </w:t>
      </w:r>
      <w:r>
        <w:t>s.160</w:t>
      </w:r>
      <w:r w:rsidRPr="002B37FF">
        <w:t>.</w:t>
      </w:r>
    </w:p>
  </w:footnote>
  <w:footnote w:id="98">
    <w:p w14:paraId="2F823D19" w14:textId="3E9598FD" w:rsidR="00AD3F6F" w:rsidRDefault="00AD3F6F">
      <w:pPr>
        <w:pStyle w:val="Textpoznpodarou"/>
      </w:pPr>
      <w:r>
        <w:rPr>
          <w:rStyle w:val="Znakapoznpodarou"/>
        </w:rPr>
        <w:footnoteRef/>
      </w:r>
      <w:r>
        <w:t xml:space="preserve"> Dig. 20, 1, 13, 2 – (překlad Blaho s. 621).</w:t>
      </w:r>
    </w:p>
  </w:footnote>
  <w:footnote w:id="99">
    <w:p w14:paraId="68343F72" w14:textId="2B9EC8BC" w:rsidR="00AD3F6F" w:rsidRDefault="00AD3F6F">
      <w:pPr>
        <w:pStyle w:val="Textpoznpodarou"/>
      </w:pPr>
      <w:r>
        <w:rPr>
          <w:rStyle w:val="Znakapoznpodarou"/>
        </w:rPr>
        <w:footnoteRef/>
      </w:r>
      <w:r>
        <w:t xml:space="preserve"> VANČURA, Josef. Úvod do studia soukromého práva římského: Díl I. 1923. Praha: Knihtiskárna Typus, 1923, s. 240.</w:t>
      </w:r>
    </w:p>
  </w:footnote>
  <w:footnote w:id="100">
    <w:p w14:paraId="6A169520" w14:textId="5987A606" w:rsidR="00AD3F6F" w:rsidRDefault="00AD3F6F">
      <w:pPr>
        <w:pStyle w:val="Textpoznpodarou"/>
      </w:pPr>
      <w:r>
        <w:rPr>
          <w:rStyle w:val="Znakapoznpodarou"/>
        </w:rPr>
        <w:footnoteRef/>
      </w:r>
      <w:r>
        <w:t xml:space="preserve"> Blaho, s. 322-323.</w:t>
      </w:r>
      <w:r w:rsidRPr="000E28CB">
        <w:t xml:space="preserve"> </w:t>
      </w:r>
      <w:r>
        <w:t>– (překlad ze slovenštiny Tomáš Havlík).</w:t>
      </w:r>
    </w:p>
  </w:footnote>
  <w:footnote w:id="101">
    <w:p w14:paraId="32EB02F0" w14:textId="4073D3D0" w:rsidR="00AD3F6F" w:rsidRDefault="00AD3F6F">
      <w:pPr>
        <w:pStyle w:val="Textpoznpodarou"/>
      </w:pPr>
      <w:r>
        <w:rPr>
          <w:rStyle w:val="Znakapoznpodarou"/>
        </w:rPr>
        <w:footnoteRef/>
      </w:r>
      <w:r>
        <w:t xml:space="preserve"> Kincl</w:t>
      </w:r>
      <w:r w:rsidRPr="003961A3">
        <w:t>, s</w:t>
      </w:r>
      <w:r>
        <w:t>. 208</w:t>
      </w:r>
      <w:r w:rsidRPr="003961A3">
        <w:t>.</w:t>
      </w:r>
    </w:p>
  </w:footnote>
  <w:footnote w:id="102">
    <w:p w14:paraId="7891BED6" w14:textId="77777777" w:rsidR="00AD3F6F" w:rsidRPr="006477A3" w:rsidRDefault="00AD3F6F" w:rsidP="00735CE7">
      <w:pPr>
        <w:pStyle w:val="Textpoznpodarou"/>
      </w:pPr>
      <w:r>
        <w:rPr>
          <w:rStyle w:val="Znakapoznpodarou"/>
        </w:rPr>
        <w:footnoteRef/>
      </w:r>
      <w:r>
        <w:t xml:space="preserve"> </w:t>
      </w:r>
      <w:r w:rsidRPr="00735CE7">
        <w:t>Dig. 20, 1, 10 – (překlad Blaho s. 215).</w:t>
      </w:r>
    </w:p>
  </w:footnote>
  <w:footnote w:id="103">
    <w:p w14:paraId="549DBD1A" w14:textId="205B83FE" w:rsidR="00AD3F6F" w:rsidRDefault="00AD3F6F">
      <w:pPr>
        <w:pStyle w:val="Textpoznpodarou"/>
      </w:pPr>
      <w:r>
        <w:rPr>
          <w:rStyle w:val="Znakapoznpodarou"/>
        </w:rPr>
        <w:footnoteRef/>
      </w:r>
      <w:r>
        <w:t xml:space="preserve"> VANČURA, Josef. Úvod do studia soukromého práva římského: Díl I. 1923. Praha: Knihtiskárna Typus, 1923, s. 248.</w:t>
      </w:r>
    </w:p>
  </w:footnote>
  <w:footnote w:id="104">
    <w:p w14:paraId="67684855" w14:textId="0FD04AAC" w:rsidR="00AD3F6F" w:rsidRDefault="00AD3F6F">
      <w:pPr>
        <w:pStyle w:val="Textpoznpodarou"/>
      </w:pPr>
      <w:r>
        <w:rPr>
          <w:rStyle w:val="Znakapoznpodarou"/>
        </w:rPr>
        <w:footnoteRef/>
      </w:r>
      <w:r>
        <w:t xml:space="preserve"> Blaho, s. 322.</w:t>
      </w:r>
      <w:r w:rsidRPr="000E28CB">
        <w:t xml:space="preserve"> </w:t>
      </w:r>
      <w:r>
        <w:t>– (překlad ze slovenštiny Tomáš Havlík).</w:t>
      </w:r>
    </w:p>
  </w:footnote>
  <w:footnote w:id="105">
    <w:p w14:paraId="01CEEC4B" w14:textId="2FF1656C" w:rsidR="00AD3F6F" w:rsidRDefault="00AD3F6F">
      <w:pPr>
        <w:pStyle w:val="Textpoznpodarou"/>
      </w:pPr>
      <w:r>
        <w:rPr>
          <w:rStyle w:val="Znakapoznpodarou"/>
        </w:rPr>
        <w:footnoteRef/>
      </w:r>
      <w:r>
        <w:t xml:space="preserve"> Kincl, s. 208</w:t>
      </w:r>
    </w:p>
  </w:footnote>
  <w:footnote w:id="106">
    <w:p w14:paraId="64F444C7" w14:textId="5DC60FF8" w:rsidR="00AD3F6F" w:rsidRDefault="00AD3F6F">
      <w:pPr>
        <w:pStyle w:val="Textpoznpodarou"/>
      </w:pPr>
      <w:r>
        <w:rPr>
          <w:rStyle w:val="Znakapoznpodarou"/>
        </w:rPr>
        <w:footnoteRef/>
      </w:r>
      <w:r>
        <w:t xml:space="preserve"> „</w:t>
      </w:r>
      <w:r w:rsidRPr="003968FB">
        <w:rPr>
          <w:b/>
          <w:bCs/>
          <w:i/>
          <w:iCs/>
        </w:rPr>
        <w:t>priore tempore potior iure</w:t>
      </w:r>
      <w:r>
        <w:t xml:space="preserve"> – Při konkurenci několika zástavních práv, mývá z pravidla přednost to z nich, které je starší.“ - </w:t>
      </w:r>
      <w:r w:rsidRPr="000D621F">
        <w:t>Ottův slovník naučný: illustrovaná encyklopaedie obecných vědomostí. V Praze: J. Otto</w:t>
      </w:r>
      <w:r>
        <w:t xml:space="preserve">, </w:t>
      </w:r>
      <w:r w:rsidRPr="00C21D27">
        <w:t>1903. sv. 20,</w:t>
      </w:r>
      <w:r w:rsidRPr="000D621F">
        <w:t xml:space="preserve"> s. 698.</w:t>
      </w:r>
    </w:p>
  </w:footnote>
  <w:footnote w:id="107">
    <w:p w14:paraId="02D38A7E" w14:textId="3D79CAE1" w:rsidR="00AD3F6F" w:rsidRDefault="00AD3F6F">
      <w:pPr>
        <w:pStyle w:val="Textpoznpodarou"/>
      </w:pPr>
      <w:r>
        <w:rPr>
          <w:rStyle w:val="Znakapoznpodarou"/>
        </w:rPr>
        <w:footnoteRef/>
      </w:r>
      <w:r>
        <w:t xml:space="preserve"> Tureček, s. 361.</w:t>
      </w:r>
    </w:p>
  </w:footnote>
  <w:footnote w:id="108">
    <w:p w14:paraId="645C6B44" w14:textId="28FC0108" w:rsidR="00AD3F6F" w:rsidRDefault="00AD3F6F">
      <w:pPr>
        <w:pStyle w:val="Textpoznpodarou"/>
      </w:pPr>
      <w:r>
        <w:rPr>
          <w:rStyle w:val="Znakapoznpodarou"/>
        </w:rPr>
        <w:footnoteRef/>
      </w:r>
      <w:r>
        <w:t xml:space="preserve"> Blaho, s. 323.</w:t>
      </w:r>
      <w:r w:rsidRPr="000E28CB">
        <w:t xml:space="preserve"> </w:t>
      </w:r>
      <w:r>
        <w:t>– (překlad ze slovenštiny Tomáš Havlík).</w:t>
      </w:r>
    </w:p>
  </w:footnote>
  <w:footnote w:id="109">
    <w:p w14:paraId="05805F99" w14:textId="77EFE166" w:rsidR="00AD3F6F" w:rsidRDefault="00AD3F6F">
      <w:pPr>
        <w:pStyle w:val="Textpoznpodarou"/>
      </w:pPr>
      <w:r>
        <w:rPr>
          <w:rStyle w:val="Znakapoznpodarou"/>
        </w:rPr>
        <w:footnoteRef/>
      </w:r>
      <w:r>
        <w:t xml:space="preserve"> Kincl</w:t>
      </w:r>
      <w:r w:rsidRPr="003961A3">
        <w:t>, s</w:t>
      </w:r>
      <w:r>
        <w:t>. 208</w:t>
      </w:r>
      <w:r w:rsidRPr="003961A3">
        <w:t>.</w:t>
      </w:r>
    </w:p>
  </w:footnote>
  <w:footnote w:id="110">
    <w:p w14:paraId="123A992D" w14:textId="5C7DAB7F" w:rsidR="00AD3F6F" w:rsidRDefault="00AD3F6F">
      <w:pPr>
        <w:pStyle w:val="Textpoznpodarou"/>
      </w:pPr>
      <w:r>
        <w:rPr>
          <w:rStyle w:val="Znakapoznpodarou"/>
        </w:rPr>
        <w:footnoteRef/>
      </w:r>
      <w:r>
        <w:t xml:space="preserve"> Heyrovský </w:t>
      </w:r>
      <w:r w:rsidRPr="007467BF">
        <w:t>1927, s. 297.</w:t>
      </w:r>
    </w:p>
  </w:footnote>
  <w:footnote w:id="111">
    <w:p w14:paraId="3189F0F1" w14:textId="6492A53C" w:rsidR="00AD3F6F" w:rsidRDefault="00AD3F6F">
      <w:pPr>
        <w:pStyle w:val="Textpoznpodarou"/>
      </w:pPr>
      <w:r>
        <w:rPr>
          <w:rStyle w:val="Znakapoznpodarou"/>
        </w:rPr>
        <w:footnoteRef/>
      </w:r>
      <w:r>
        <w:t xml:space="preserve"> VANČURA, Josef. Úvod do studia soukromého práva římského: Díl I. 1923. Praha: Knihtiskárna Typus, 1923, s. 251.</w:t>
      </w:r>
    </w:p>
  </w:footnote>
  <w:footnote w:id="112">
    <w:p w14:paraId="6E2EF1FB" w14:textId="48F4C19D" w:rsidR="00AD3F6F" w:rsidRPr="004B77F4" w:rsidRDefault="00AD3F6F">
      <w:pPr>
        <w:pStyle w:val="Textpoznpodarou"/>
      </w:pPr>
      <w:r>
        <w:rPr>
          <w:rStyle w:val="Znakapoznpodarou"/>
        </w:rPr>
        <w:footnoteRef/>
      </w:r>
      <w:r>
        <w:t xml:space="preserve"> „</w:t>
      </w:r>
      <w:r w:rsidRPr="00C17E4C">
        <w:rPr>
          <w:b/>
          <w:bCs/>
          <w:i/>
          <w:iCs/>
        </w:rPr>
        <w:t>versio in rem</w:t>
      </w:r>
      <w:r>
        <w:t xml:space="preserve"> – </w:t>
      </w:r>
      <w:r w:rsidRPr="00DE4E0A">
        <w:t>zakládala privilegované právo zástavní pro pohledávku vzniklou tím, že bylo něco vynaloženo na zachování, znovuzřízení, opravení a opatření věci.</w:t>
      </w:r>
      <w:r>
        <w:t>“</w:t>
      </w:r>
      <w:r w:rsidRPr="00BE79C2">
        <w:t xml:space="preserve"> </w:t>
      </w:r>
      <w:r>
        <w:t xml:space="preserve">– </w:t>
      </w:r>
      <w:r w:rsidRPr="00924835">
        <w:t>Ottův slovník naučný: illustrovaná encyklopaedie obecných vědomostí. V Praze: J. Otto, 1907. sv. 26, p. 593.</w:t>
      </w:r>
    </w:p>
  </w:footnote>
  <w:footnote w:id="113">
    <w:p w14:paraId="2EDF4F80" w14:textId="77777777" w:rsidR="00AD3F6F" w:rsidRDefault="00AD3F6F" w:rsidP="000936CB">
      <w:pPr>
        <w:pStyle w:val="Textpoznpodarou"/>
      </w:pPr>
      <w:r>
        <w:rPr>
          <w:rStyle w:val="Znakapoznpodarou"/>
        </w:rPr>
        <w:footnoteRef/>
      </w:r>
      <w:r>
        <w:t xml:space="preserve"> Heyrovský 1910, s. 513.</w:t>
      </w:r>
    </w:p>
  </w:footnote>
  <w:footnote w:id="114">
    <w:p w14:paraId="418C050E" w14:textId="2B003240" w:rsidR="00AD3F6F" w:rsidRDefault="00AD3F6F">
      <w:pPr>
        <w:pStyle w:val="Textpoznpodarou"/>
      </w:pPr>
      <w:r>
        <w:rPr>
          <w:rStyle w:val="Znakapoznpodarou"/>
        </w:rPr>
        <w:footnoteRef/>
      </w:r>
      <w:r>
        <w:t xml:space="preserve"> VANČURA, Josef. Úvod do studia soukromého práva římského: Díl I. 1923. Praha: Knihtiskárna Typus, 1923, s. 251.</w:t>
      </w:r>
    </w:p>
  </w:footnote>
  <w:footnote w:id="115">
    <w:p w14:paraId="3028FEF8" w14:textId="33498EBB" w:rsidR="00AD3F6F" w:rsidRPr="00E51867" w:rsidRDefault="00AD3F6F">
      <w:pPr>
        <w:pStyle w:val="Textpoznpodarou"/>
      </w:pPr>
      <w:r>
        <w:rPr>
          <w:rStyle w:val="Znakapoznpodarou"/>
        </w:rPr>
        <w:footnoteRef/>
      </w:r>
      <w:r>
        <w:t xml:space="preserve"> Dig. 20, 4, 5 – (překlad Blaho s. 239).</w:t>
      </w:r>
    </w:p>
  </w:footnote>
  <w:footnote w:id="116">
    <w:p w14:paraId="57C7B25B" w14:textId="4F4A54AD" w:rsidR="00AD3F6F" w:rsidRDefault="00AD3F6F">
      <w:pPr>
        <w:pStyle w:val="Textpoznpodarou"/>
      </w:pPr>
      <w:r>
        <w:rPr>
          <w:rStyle w:val="Znakapoznpodarou"/>
        </w:rPr>
        <w:footnoteRef/>
      </w:r>
      <w:r>
        <w:t xml:space="preserve"> Kincl</w:t>
      </w:r>
      <w:r w:rsidRPr="003961A3">
        <w:t>, s</w:t>
      </w:r>
      <w:r>
        <w:t>. 209</w:t>
      </w:r>
      <w:r w:rsidRPr="003961A3">
        <w:t>.</w:t>
      </w:r>
    </w:p>
  </w:footnote>
  <w:footnote w:id="117">
    <w:p w14:paraId="574CC495" w14:textId="60537D56" w:rsidR="00AD3F6F" w:rsidRDefault="00AD3F6F">
      <w:pPr>
        <w:pStyle w:val="Textpoznpodarou"/>
      </w:pPr>
      <w:r>
        <w:rPr>
          <w:rStyle w:val="Znakapoznpodarou"/>
        </w:rPr>
        <w:footnoteRef/>
      </w:r>
      <w:r>
        <w:t xml:space="preserve"> VANČURA, Josef. Úvod do studia soukromého práva římského: Díl I. 1923. Praha: Knihtiskárna Typus, 1923, s. 249.</w:t>
      </w:r>
    </w:p>
  </w:footnote>
  <w:footnote w:id="118">
    <w:p w14:paraId="601A903E" w14:textId="1149979E" w:rsidR="00AD3F6F" w:rsidRDefault="00AD3F6F">
      <w:pPr>
        <w:pStyle w:val="Textpoznpodarou"/>
      </w:pPr>
      <w:r>
        <w:rPr>
          <w:rStyle w:val="Znakapoznpodarou"/>
        </w:rPr>
        <w:footnoteRef/>
      </w:r>
      <w:r>
        <w:t xml:space="preserve"> Heyrovský 1910, s. 509.</w:t>
      </w:r>
    </w:p>
  </w:footnote>
  <w:footnote w:id="119">
    <w:p w14:paraId="1F976AA8" w14:textId="77777777" w:rsidR="00AD3F6F" w:rsidRDefault="00AD3F6F" w:rsidP="00AF16CB">
      <w:pPr>
        <w:pStyle w:val="Textpoznpodarou"/>
      </w:pPr>
      <w:r>
        <w:rPr>
          <w:rStyle w:val="Znakapoznpodarou"/>
        </w:rPr>
        <w:footnoteRef/>
      </w:r>
      <w:r>
        <w:t xml:space="preserve"> Kincl</w:t>
      </w:r>
      <w:r w:rsidRPr="003961A3">
        <w:t>, s</w:t>
      </w:r>
      <w:r>
        <w:t>. 209</w:t>
      </w:r>
      <w:r w:rsidRPr="003961A3">
        <w:t>.</w:t>
      </w:r>
    </w:p>
  </w:footnote>
  <w:footnote w:id="120">
    <w:p w14:paraId="047DA110" w14:textId="1CF6C7B4" w:rsidR="00AD3F6F" w:rsidRDefault="00AD3F6F">
      <w:pPr>
        <w:pStyle w:val="Textpoznpodarou"/>
      </w:pPr>
      <w:r>
        <w:rPr>
          <w:rStyle w:val="Znakapoznpodarou"/>
        </w:rPr>
        <w:footnoteRef/>
      </w:r>
      <w:r>
        <w:t xml:space="preserve"> „</w:t>
      </w:r>
      <w:r w:rsidRPr="00010A6C">
        <w:rPr>
          <w:b/>
          <w:bCs/>
        </w:rPr>
        <w:t>novace</w:t>
      </w:r>
      <w:r>
        <w:t xml:space="preserve">, lat. </w:t>
      </w:r>
      <w:r w:rsidRPr="00C01C3D">
        <w:rPr>
          <w:i/>
          <w:iCs/>
        </w:rPr>
        <w:t>novatio</w:t>
      </w:r>
      <w:r>
        <w:t xml:space="preserve"> </w:t>
      </w:r>
      <w:r>
        <w:rPr>
          <w:rFonts w:cs="Times New Roman"/>
        </w:rPr>
        <w:t>[</w:t>
      </w:r>
      <w:r w:rsidRPr="00C01C3D">
        <w:rPr>
          <w:rFonts w:cs="Times New Roman"/>
          <w:i/>
          <w:iCs/>
        </w:rPr>
        <w:t>novare</w:t>
      </w:r>
      <w:r>
        <w:rPr>
          <w:rFonts w:cs="Times New Roman"/>
        </w:rPr>
        <w:t xml:space="preserve">, obnovovat, měnit], změna stávajícího závazku v nový stejného obsahu. Ten musí [být platný aspoň jako </w:t>
      </w:r>
      <w:r w:rsidRPr="00C01C3D">
        <w:rPr>
          <w:rFonts w:cs="Times New Roman"/>
          <w:i/>
          <w:iCs/>
        </w:rPr>
        <w:t>obligatio naturalis</w:t>
      </w:r>
      <w:r>
        <w:rPr>
          <w:rFonts w:cs="Times New Roman"/>
        </w:rPr>
        <w:t xml:space="preserve"> </w:t>
      </w:r>
      <w:r w:rsidRPr="00682CE2">
        <w:rPr>
          <w:rFonts w:cs="Times New Roman"/>
          <w:i/>
          <w:iCs/>
        </w:rPr>
        <w:t>a</w:t>
      </w:r>
      <w:r>
        <w:rPr>
          <w:rFonts w:cs="Times New Roman"/>
        </w:rPr>
        <w:t>] obsahovat – oproti starému – něco nového: mezi týmiž osobami jiné místo nebo dobu plnění, připojení či zrušení podmínky nebo lhůty.“ – Bartošek, s. 194.</w:t>
      </w:r>
    </w:p>
  </w:footnote>
  <w:footnote w:id="121">
    <w:p w14:paraId="482A3756" w14:textId="11B338F0" w:rsidR="00AD3F6F" w:rsidRPr="00D44EA5" w:rsidRDefault="00AD3F6F">
      <w:pPr>
        <w:pStyle w:val="Textpoznpodarou"/>
        <w:rPr>
          <w:rFonts w:cs="Times New Roman"/>
        </w:rPr>
      </w:pPr>
      <w:r>
        <w:rPr>
          <w:rStyle w:val="Znakapoznpodarou"/>
        </w:rPr>
        <w:footnoteRef/>
      </w:r>
      <w:r>
        <w:t xml:space="preserve"> </w:t>
      </w:r>
      <w:r w:rsidRPr="00D44EA5">
        <w:rPr>
          <w:rFonts w:cs="Times New Roman"/>
        </w:rPr>
        <w:t>SOMMER, Otakar. Učebnice soukromého práva římského, Díl 2: Právo majetkové. V Praze: vl. nákl., 1935, s. 161.</w:t>
      </w:r>
    </w:p>
  </w:footnote>
  <w:footnote w:id="122">
    <w:p w14:paraId="04CF197A" w14:textId="2D211AD9" w:rsidR="00AD3F6F" w:rsidRDefault="00AD3F6F">
      <w:pPr>
        <w:pStyle w:val="Textpoznpodarou"/>
      </w:pPr>
      <w:r>
        <w:rPr>
          <w:rStyle w:val="Znakapoznpodarou"/>
        </w:rPr>
        <w:footnoteRef/>
      </w:r>
      <w:r>
        <w:t xml:space="preserve"> Kincl, s. 206-207.</w:t>
      </w:r>
    </w:p>
  </w:footnote>
  <w:footnote w:id="123">
    <w:p w14:paraId="2A6C003A" w14:textId="091D261A" w:rsidR="00AD3F6F" w:rsidRDefault="00AD3F6F">
      <w:pPr>
        <w:pStyle w:val="Textpoznpodarou"/>
      </w:pPr>
      <w:r>
        <w:rPr>
          <w:rStyle w:val="Znakapoznpodarou"/>
        </w:rPr>
        <w:footnoteRef/>
      </w:r>
      <w:r>
        <w:t xml:space="preserve"> Blaho, s. 325.</w:t>
      </w:r>
      <w:r w:rsidRPr="00F468C2">
        <w:t xml:space="preserve"> </w:t>
      </w:r>
      <w:r>
        <w:t>– (překlad ze slovenštiny Tomáš Havlík).</w:t>
      </w:r>
    </w:p>
  </w:footnote>
  <w:footnote w:id="124">
    <w:p w14:paraId="43249E69" w14:textId="415671A9" w:rsidR="00AD3F6F" w:rsidRDefault="00AD3F6F">
      <w:pPr>
        <w:pStyle w:val="Textpoznpodarou"/>
      </w:pPr>
      <w:r>
        <w:rPr>
          <w:rStyle w:val="Znakapoznpodarou"/>
        </w:rPr>
        <w:footnoteRef/>
      </w:r>
      <w:r>
        <w:t xml:space="preserve"> Heyrovský, 1910, s. 501.</w:t>
      </w:r>
    </w:p>
  </w:footnote>
  <w:footnote w:id="125">
    <w:p w14:paraId="2A2C5E18" w14:textId="0EDE7BB8" w:rsidR="00AD3F6F" w:rsidRDefault="00AD3F6F" w:rsidP="001B7144">
      <w:pPr>
        <w:pStyle w:val="Textpoznpodarou"/>
      </w:pPr>
      <w:r>
        <w:rPr>
          <w:rStyle w:val="Znakapoznpodarou"/>
        </w:rPr>
        <w:footnoteRef/>
      </w:r>
      <w:r>
        <w:t xml:space="preserve"> Kincl, s. 209.</w:t>
      </w:r>
    </w:p>
  </w:footnote>
  <w:footnote w:id="126">
    <w:p w14:paraId="246782C9" w14:textId="3E4B5FF4" w:rsidR="00AD3F6F" w:rsidRDefault="00AD3F6F">
      <w:pPr>
        <w:pStyle w:val="Textpoznpodarou"/>
      </w:pPr>
      <w:r>
        <w:rPr>
          <w:rStyle w:val="Znakapoznpodarou"/>
        </w:rPr>
        <w:footnoteRef/>
      </w:r>
      <w:r>
        <w:t xml:space="preserve"> Blaho, s. 326.</w:t>
      </w:r>
      <w:r w:rsidRPr="00F468C2">
        <w:t xml:space="preserve"> </w:t>
      </w:r>
      <w:r>
        <w:t>– (překlad ze slovenštiny Tomáš Havlík).</w:t>
      </w:r>
    </w:p>
  </w:footnote>
  <w:footnote w:id="127">
    <w:p w14:paraId="0FC20B79" w14:textId="1433169D" w:rsidR="00AD3F6F" w:rsidRDefault="00AD3F6F">
      <w:pPr>
        <w:pStyle w:val="Textpoznpodarou"/>
      </w:pPr>
      <w:r>
        <w:rPr>
          <w:rStyle w:val="Znakapoznpodarou"/>
        </w:rPr>
        <w:footnoteRef/>
      </w:r>
      <w:r>
        <w:t xml:space="preserve"> </w:t>
      </w:r>
      <w:r w:rsidRPr="006D6AC6">
        <w:rPr>
          <w:rFonts w:cs="Times New Roman"/>
        </w:rPr>
        <w:t xml:space="preserve">ROZEHNAL, Aleš. Úvěry zajištěné zástavním právem. Praha: G plus G, 1997, s. </w:t>
      </w:r>
      <w:r>
        <w:rPr>
          <w:rFonts w:cs="Times New Roman"/>
        </w:rPr>
        <w:t>30</w:t>
      </w:r>
      <w:r w:rsidRPr="006D6AC6">
        <w:rPr>
          <w:rFonts w:cs="Times New Roman"/>
        </w:rPr>
        <w:t>.</w:t>
      </w:r>
    </w:p>
  </w:footnote>
  <w:footnote w:id="128">
    <w:p w14:paraId="002E33EB" w14:textId="4FDB070C" w:rsidR="00AD3F6F" w:rsidRDefault="00AD3F6F" w:rsidP="009D36C6">
      <w:pPr>
        <w:pStyle w:val="Textpoznpodarou"/>
      </w:pPr>
      <w:r>
        <w:rPr>
          <w:rStyle w:val="Znakapoznpodarou"/>
        </w:rPr>
        <w:footnoteRef/>
      </w:r>
      <w:r>
        <w:t xml:space="preserve"> Dig. 20, 1, 13 – (překlad Blaho s. 217).</w:t>
      </w:r>
    </w:p>
  </w:footnote>
  <w:footnote w:id="129">
    <w:p w14:paraId="6F1AA255" w14:textId="12F8E711" w:rsidR="00AD3F6F" w:rsidRDefault="00AD3F6F">
      <w:pPr>
        <w:pStyle w:val="Textpoznpodarou"/>
      </w:pPr>
      <w:r>
        <w:rPr>
          <w:rStyle w:val="Znakapoznpodarou"/>
        </w:rPr>
        <w:footnoteRef/>
      </w:r>
      <w:r>
        <w:t xml:space="preserve"> </w:t>
      </w:r>
      <w:r>
        <w:rPr>
          <w:rFonts w:cs="Times New Roman"/>
        </w:rPr>
        <w:t>a</w:t>
      </w:r>
      <w:r w:rsidRPr="0039302E">
        <w:rPr>
          <w:rFonts w:cs="Times New Roman"/>
        </w:rPr>
        <w:t>ktuální znění: zákon č. 89/2012 Sb., Občanský zákoník, ve znění pozdějších předpisů</w:t>
      </w:r>
      <w:r>
        <w:rPr>
          <w:rFonts w:cs="Times New Roman"/>
        </w:rPr>
        <w:t>.</w:t>
      </w:r>
    </w:p>
  </w:footnote>
  <w:footnote w:id="130">
    <w:p w14:paraId="26CA3760" w14:textId="146EEA59" w:rsidR="00AD3F6F" w:rsidRDefault="00AD3F6F">
      <w:pPr>
        <w:pStyle w:val="Textpoznpodarou"/>
      </w:pPr>
      <w:r>
        <w:rPr>
          <w:rStyle w:val="Znakapoznpodarou"/>
        </w:rPr>
        <w:footnoteRef/>
      </w:r>
      <w:r>
        <w:t xml:space="preserve"> SPÁČIL</w:t>
      </w:r>
      <w:r w:rsidRPr="000B0352">
        <w:t xml:space="preserve">, J. a kol.: Občanský zákoník III. Věcná práva (§ 976–1474). Komentář. 2. vydání. Praha: C. H. Beck, 2021, </w:t>
      </w:r>
      <w:r w:rsidRPr="00AD2AC9">
        <w:rPr>
          <w:rFonts w:cs="Times New Roman"/>
        </w:rPr>
        <w:t>s. 1</w:t>
      </w:r>
      <w:r>
        <w:rPr>
          <w:rFonts w:cs="Times New Roman"/>
        </w:rPr>
        <w:t>365</w:t>
      </w:r>
      <w:r w:rsidRPr="00AD2AC9">
        <w:rPr>
          <w:rFonts w:cs="Times New Roman"/>
        </w:rPr>
        <w:t xml:space="preserve"> </w:t>
      </w:r>
      <w:r>
        <w:rPr>
          <w:rFonts w:cs="Times New Roman"/>
        </w:rPr>
        <w:t>–</w:t>
      </w:r>
      <w:r w:rsidRPr="00AD2AC9">
        <w:rPr>
          <w:rFonts w:cs="Times New Roman"/>
        </w:rPr>
        <w:t xml:space="preserve"> </w:t>
      </w:r>
      <w:r>
        <w:rPr>
          <w:rFonts w:cs="Times New Roman"/>
        </w:rPr>
        <w:t>1367.</w:t>
      </w:r>
      <w:r w:rsidRPr="00AD2AC9">
        <w:rPr>
          <w:rFonts w:cs="Times New Roman"/>
        </w:rPr>
        <w:t xml:space="preserve"> </w:t>
      </w:r>
      <w:r>
        <w:rPr>
          <w:rFonts w:cs="Times New Roman"/>
        </w:rPr>
        <w:t xml:space="preserve">(psal </w:t>
      </w:r>
      <w:r w:rsidRPr="00AD2AC9">
        <w:rPr>
          <w:rFonts w:cs="Times New Roman"/>
        </w:rPr>
        <w:t>P. Bezouška</w:t>
      </w:r>
      <w:r>
        <w:rPr>
          <w:rFonts w:cs="Times New Roman"/>
        </w:rPr>
        <w:t>).</w:t>
      </w:r>
    </w:p>
  </w:footnote>
  <w:footnote w:id="131">
    <w:p w14:paraId="4E18BB72" w14:textId="4CA3991C" w:rsidR="00AD3F6F" w:rsidRDefault="00AD3F6F">
      <w:pPr>
        <w:pStyle w:val="Textpoznpodarou"/>
      </w:pPr>
      <w:r>
        <w:rPr>
          <w:rStyle w:val="Znakapoznpodarou"/>
        </w:rPr>
        <w:footnoteRef/>
      </w:r>
      <w:r>
        <w:t xml:space="preserve"> </w:t>
      </w:r>
      <w:r>
        <w:rPr>
          <w:rFonts w:cs="Times New Roman"/>
        </w:rPr>
        <w:t>a</w:t>
      </w:r>
      <w:r w:rsidRPr="0039302E">
        <w:rPr>
          <w:rFonts w:cs="Times New Roman"/>
        </w:rPr>
        <w:t>ktuální znění: zákon č. 89/2012 Sb., Občanský zákoník, ve znění pozdějších předpisů</w:t>
      </w:r>
      <w:r>
        <w:rPr>
          <w:rFonts w:cs="Times New Roman"/>
        </w:rPr>
        <w:t>.</w:t>
      </w:r>
    </w:p>
  </w:footnote>
  <w:footnote w:id="132">
    <w:p w14:paraId="29A677B6" w14:textId="7BCFD08F" w:rsidR="00AD3F6F" w:rsidRPr="00414382" w:rsidRDefault="00AD3F6F">
      <w:pPr>
        <w:pStyle w:val="Textpoznpodarou"/>
        <w:rPr>
          <w:rFonts w:cs="Times New Roman"/>
        </w:rPr>
      </w:pPr>
      <w:r>
        <w:rPr>
          <w:rStyle w:val="Znakapoznpodarou"/>
        </w:rPr>
        <w:footnoteRef/>
      </w:r>
      <w:r>
        <w:t xml:space="preserve"> Dig. 20, 1, 34</w:t>
      </w:r>
      <w:r w:rsidR="004D2593">
        <w:t>.</w:t>
      </w:r>
      <w:r>
        <w:t xml:space="preserve"> – </w:t>
      </w:r>
      <w:r w:rsidRPr="00414382">
        <w:rPr>
          <w:rFonts w:cs="Times New Roman"/>
        </w:rPr>
        <w:t>SKŘEJPEK, Michal. Římské právo v občanském zákoníku: komentář a prameny. Praha: Auditorium, 2017.</w:t>
      </w:r>
      <w:r>
        <w:rPr>
          <w:rFonts w:cs="Times New Roman"/>
        </w:rPr>
        <w:t xml:space="preserve"> s. 282. (psal Šejdl).</w:t>
      </w:r>
    </w:p>
  </w:footnote>
  <w:footnote w:id="133">
    <w:p w14:paraId="75EFF898" w14:textId="25F52D20" w:rsidR="00AD3F6F" w:rsidRDefault="00AD3F6F">
      <w:pPr>
        <w:pStyle w:val="Textpoznpodarou"/>
      </w:pPr>
      <w:r>
        <w:rPr>
          <w:rStyle w:val="Znakapoznpodarou"/>
        </w:rPr>
        <w:footnoteRef/>
      </w:r>
      <w:r>
        <w:t xml:space="preserve"> NITSCHNEIDEROVÁ, Zuzana. Zástavní právo podle nového občanského zákoníku. </w:t>
      </w:r>
      <w:r>
        <w:rPr>
          <w:rFonts w:ascii="Arial" w:hAnsi="Arial" w:cs="Arial"/>
          <w:color w:val="000000"/>
          <w:sz w:val="18"/>
          <w:szCs w:val="18"/>
          <w:shd w:val="clear" w:color="auto" w:fill="FFFFFF"/>
        </w:rPr>
        <w:t>AN 6/2013, s. 3.</w:t>
      </w:r>
    </w:p>
  </w:footnote>
  <w:footnote w:id="134">
    <w:p w14:paraId="14E2B834" w14:textId="192ECBE2" w:rsidR="00AD3F6F" w:rsidRDefault="00AD3F6F">
      <w:pPr>
        <w:pStyle w:val="Textpoznpodarou"/>
      </w:pPr>
      <w:r>
        <w:rPr>
          <w:rStyle w:val="Znakapoznpodarou"/>
        </w:rPr>
        <w:footnoteRef/>
      </w:r>
      <w:r>
        <w:t xml:space="preserve"> Dle § 567 OZ, se za veřejnou listinu považuje: </w:t>
      </w:r>
      <w:r w:rsidRPr="00FA1380">
        <w:rPr>
          <w:i/>
          <w:iCs/>
        </w:rPr>
        <w:t>„listina vydaná orgánem veřejné moci v mezích jeho pravomoci nebo listina, kterou za veřejnou listinu prohlásí zákon.“</w:t>
      </w:r>
      <w:r>
        <w:t xml:space="preserve"> Pro upřesnění je však toto ustanovení nutné doplnit § 3026 odst. 2 OZ ze závěrečných ustanovení, který nám říká, že: </w:t>
      </w:r>
      <w:r w:rsidRPr="00FA1380">
        <w:rPr>
          <w:i/>
          <w:iCs/>
        </w:rPr>
        <w:t>„Vyžaduje-li právní jednání formu veřejné listiny, rozumí se jí notářský zápis; nahrazen může být rozhodnutím, kterým orgán veřejné moci v mezích své pravomoci schvaluje smír nebo jiný projev vůle, jehož povaha to nevylučuje.“</w:t>
      </w:r>
      <w:r>
        <w:t xml:space="preserve"> Přičemž relevantní pro nás bude již zmíněný notářský zápis, kterým se deklaruje silná důkazní pozice. - </w:t>
      </w:r>
      <w:r>
        <w:rPr>
          <w:rFonts w:cs="Times New Roman"/>
        </w:rPr>
        <w:t>a</w:t>
      </w:r>
      <w:r w:rsidRPr="0039302E">
        <w:rPr>
          <w:rFonts w:cs="Times New Roman"/>
        </w:rPr>
        <w:t>ktuální znění: zákon č. 89/2012 Sb., Občanský zákoník, ve znění pozdějších předpisů</w:t>
      </w:r>
      <w:r>
        <w:rPr>
          <w:rFonts w:cs="Times New Roman"/>
        </w:rPr>
        <w:t>.</w:t>
      </w:r>
    </w:p>
  </w:footnote>
  <w:footnote w:id="135">
    <w:p w14:paraId="1B795A51" w14:textId="6C2296FF" w:rsidR="00AD3F6F" w:rsidRDefault="00AD3F6F">
      <w:pPr>
        <w:pStyle w:val="Textpoznpodarou"/>
      </w:pPr>
      <w:r>
        <w:rPr>
          <w:rStyle w:val="Znakapoznpodarou"/>
        </w:rPr>
        <w:footnoteRef/>
      </w:r>
      <w:r>
        <w:t xml:space="preserve"> </w:t>
      </w:r>
      <w:r>
        <w:rPr>
          <w:rFonts w:cs="Times New Roman"/>
        </w:rPr>
        <w:t>Tamtéž.</w:t>
      </w:r>
    </w:p>
  </w:footnote>
  <w:footnote w:id="136">
    <w:p w14:paraId="0B325AA5" w14:textId="3E92B729" w:rsidR="00AD3F6F" w:rsidRDefault="00AD3F6F">
      <w:pPr>
        <w:pStyle w:val="Textpoznpodarou"/>
      </w:pPr>
      <w:r>
        <w:rPr>
          <w:rStyle w:val="Znakapoznpodarou"/>
        </w:rPr>
        <w:footnoteRef/>
      </w:r>
      <w:r>
        <w:t xml:space="preserve"> Dig. 13, 7, 1 – (překlad Blaho s. 601. – 603).</w:t>
      </w:r>
    </w:p>
  </w:footnote>
  <w:footnote w:id="137">
    <w:p w14:paraId="321F8981" w14:textId="584D75EA" w:rsidR="00AD3F6F" w:rsidRDefault="00AD3F6F">
      <w:pPr>
        <w:pStyle w:val="Textpoznpodarou"/>
      </w:pPr>
      <w:r>
        <w:rPr>
          <w:rStyle w:val="Znakapoznpodarou"/>
        </w:rPr>
        <w:footnoteRef/>
      </w:r>
      <w:r>
        <w:t xml:space="preserve"> ELEK, Štefan. Vznik smluvního zástavního práva k movitým věcem. Právní rozhledy 1/1999, s. 1. </w:t>
      </w:r>
    </w:p>
  </w:footnote>
  <w:footnote w:id="138">
    <w:p w14:paraId="2328DDA6" w14:textId="306B4B53" w:rsidR="00AD3F6F" w:rsidRDefault="00AD3F6F">
      <w:pPr>
        <w:pStyle w:val="Textpoznpodarou"/>
      </w:pPr>
      <w:r>
        <w:rPr>
          <w:rStyle w:val="Znakapoznpodarou"/>
        </w:rPr>
        <w:footnoteRef/>
      </w:r>
      <w:r>
        <w:t xml:space="preserve"> Dig. 13, 7, 9, 2 - (překlad Blaho s. 605. – 607).</w:t>
      </w:r>
    </w:p>
  </w:footnote>
  <w:footnote w:id="139">
    <w:p w14:paraId="6E92C1FD" w14:textId="312C81B2" w:rsidR="00AD3F6F" w:rsidRDefault="00AD3F6F">
      <w:pPr>
        <w:pStyle w:val="Textpoznpodarou"/>
      </w:pPr>
      <w:r>
        <w:rPr>
          <w:rStyle w:val="Znakapoznpodarou"/>
        </w:rPr>
        <w:footnoteRef/>
      </w:r>
      <w:r>
        <w:t xml:space="preserve"> aktuální znění:</w:t>
      </w:r>
      <w:r w:rsidRPr="0039302E">
        <w:rPr>
          <w:rFonts w:cs="Times New Roman"/>
        </w:rPr>
        <w:t xml:space="preserve"> </w:t>
      </w:r>
      <w:r>
        <w:rPr>
          <w:rFonts w:cs="Times New Roman"/>
        </w:rPr>
        <w:t>Z</w:t>
      </w:r>
      <w:r w:rsidRPr="0039302E">
        <w:rPr>
          <w:rFonts w:cs="Times New Roman"/>
        </w:rPr>
        <w:t>ákon č. 89/2012 Sb., Občanský zákoník, ve znění pozdějších předpisů</w:t>
      </w:r>
      <w:r>
        <w:rPr>
          <w:rFonts w:cs="Times New Roman"/>
        </w:rPr>
        <w:t>.</w:t>
      </w:r>
    </w:p>
  </w:footnote>
  <w:footnote w:id="140">
    <w:p w14:paraId="7084B692" w14:textId="1EA6A778" w:rsidR="00AD3F6F" w:rsidRDefault="00AD3F6F" w:rsidP="005B1F7B">
      <w:pPr>
        <w:pStyle w:val="Textpoznpodarou"/>
      </w:pPr>
      <w:r>
        <w:rPr>
          <w:rStyle w:val="Znakapoznpodarou"/>
        </w:rPr>
        <w:footnoteRef/>
      </w:r>
      <w:r>
        <w:t xml:space="preserve"> Tamtéž.</w:t>
      </w:r>
    </w:p>
  </w:footnote>
  <w:footnote w:id="141">
    <w:p w14:paraId="6E1F0EDF" w14:textId="795A40FB" w:rsidR="00AD3F6F" w:rsidRDefault="00AD3F6F">
      <w:pPr>
        <w:pStyle w:val="Textpoznpodarou"/>
      </w:pPr>
      <w:r>
        <w:rPr>
          <w:rStyle w:val="Znakapoznpodarou"/>
        </w:rPr>
        <w:footnoteRef/>
      </w:r>
      <w:r>
        <w:t xml:space="preserve"> aktuální znění:</w:t>
      </w:r>
      <w:r w:rsidRPr="0039302E">
        <w:rPr>
          <w:rFonts w:cs="Times New Roman"/>
        </w:rPr>
        <w:t xml:space="preserve"> </w:t>
      </w:r>
      <w:r>
        <w:rPr>
          <w:rFonts w:cs="Times New Roman"/>
        </w:rPr>
        <w:t>Z</w:t>
      </w:r>
      <w:r w:rsidRPr="0039302E">
        <w:rPr>
          <w:rFonts w:cs="Times New Roman"/>
        </w:rPr>
        <w:t>ákon č. 89/2012 Sb., Občanský zákoník, ve znění pozdějších předpisů</w:t>
      </w:r>
      <w:r>
        <w:rPr>
          <w:rFonts w:cs="Times New Roman"/>
        </w:rPr>
        <w:t>.</w:t>
      </w:r>
    </w:p>
  </w:footnote>
  <w:footnote w:id="142">
    <w:p w14:paraId="4443FE7F" w14:textId="5C5F1FC3" w:rsidR="00AD3F6F" w:rsidRDefault="00AD3F6F">
      <w:pPr>
        <w:pStyle w:val="Textpoznpodarou"/>
      </w:pPr>
      <w:r>
        <w:rPr>
          <w:rStyle w:val="Znakapoznpodarou"/>
        </w:rPr>
        <w:footnoteRef/>
      </w:r>
      <w:r>
        <w:t xml:space="preserve"> SPÁČIL</w:t>
      </w:r>
      <w:r w:rsidRPr="000B0352">
        <w:t xml:space="preserve">, J. a kol.: Občanský zákoník III. Věcná práva (§ 976–1474). Komentář. 2. vydání. Praha: C. H. Beck, 2021, </w:t>
      </w:r>
      <w:r w:rsidRPr="00AD2AC9">
        <w:rPr>
          <w:rFonts w:cs="Times New Roman"/>
        </w:rPr>
        <w:t xml:space="preserve">s. 1286 </w:t>
      </w:r>
      <w:r>
        <w:rPr>
          <w:rFonts w:cs="Times New Roman"/>
        </w:rPr>
        <w:t>–</w:t>
      </w:r>
      <w:r w:rsidRPr="00AD2AC9">
        <w:rPr>
          <w:rFonts w:cs="Times New Roman"/>
        </w:rPr>
        <w:t xml:space="preserve"> 1291</w:t>
      </w:r>
      <w:r>
        <w:rPr>
          <w:rFonts w:cs="Times New Roman"/>
        </w:rPr>
        <w:t>.</w:t>
      </w:r>
      <w:r w:rsidRPr="00AD2AC9">
        <w:rPr>
          <w:rFonts w:cs="Times New Roman"/>
        </w:rPr>
        <w:t xml:space="preserve"> </w:t>
      </w:r>
      <w:r>
        <w:rPr>
          <w:rFonts w:cs="Times New Roman"/>
        </w:rPr>
        <w:t xml:space="preserve">(psal </w:t>
      </w:r>
      <w:r w:rsidRPr="00AD2AC9">
        <w:rPr>
          <w:rFonts w:cs="Times New Roman"/>
        </w:rPr>
        <w:t>P. Bezouška</w:t>
      </w:r>
      <w:r>
        <w:rPr>
          <w:rFonts w:cs="Times New Roman"/>
        </w:rPr>
        <w:t>).</w:t>
      </w:r>
    </w:p>
  </w:footnote>
  <w:footnote w:id="143">
    <w:p w14:paraId="7B17BFDD" w14:textId="7B450879" w:rsidR="00AD3F6F" w:rsidRDefault="00AD3F6F">
      <w:pPr>
        <w:pStyle w:val="Textpoznpodarou"/>
      </w:pPr>
      <w:r>
        <w:rPr>
          <w:rStyle w:val="Znakapoznpodarou"/>
        </w:rPr>
        <w:footnoteRef/>
      </w:r>
      <w:r>
        <w:t xml:space="preserve"> Dig. 20, 1, 4 - (překlad Blaho s. 213).</w:t>
      </w:r>
    </w:p>
  </w:footnote>
  <w:footnote w:id="144">
    <w:p w14:paraId="38C4B136" w14:textId="486C2144" w:rsidR="00AD3F6F" w:rsidRDefault="00AD3F6F">
      <w:pPr>
        <w:pStyle w:val="Textpoznpodarou"/>
      </w:pPr>
      <w:r>
        <w:rPr>
          <w:rStyle w:val="Znakapoznpodarou"/>
        </w:rPr>
        <w:footnoteRef/>
      </w:r>
      <w:r>
        <w:t xml:space="preserve"> Rozsudek nejvyššího soudu ze dne 21. 12. 2005, sp. zn.</w:t>
      </w:r>
      <w:r w:rsidRPr="009C42F2">
        <w:t xml:space="preserve"> 29 Odo 851/2003</w:t>
      </w:r>
      <w:r>
        <w:t>.</w:t>
      </w:r>
    </w:p>
  </w:footnote>
  <w:footnote w:id="145">
    <w:p w14:paraId="15C870EF" w14:textId="22F2CED1" w:rsidR="00AD3F6F" w:rsidRDefault="00AD3F6F">
      <w:pPr>
        <w:pStyle w:val="Textpoznpodarou"/>
      </w:pPr>
      <w:r>
        <w:rPr>
          <w:rStyle w:val="Znakapoznpodarou"/>
        </w:rPr>
        <w:footnoteRef/>
      </w:r>
      <w:r>
        <w:t xml:space="preserve"> aktuální znění:</w:t>
      </w:r>
      <w:r w:rsidRPr="0039302E">
        <w:rPr>
          <w:rFonts w:cs="Times New Roman"/>
        </w:rPr>
        <w:t xml:space="preserve"> </w:t>
      </w:r>
      <w:r>
        <w:rPr>
          <w:rFonts w:cs="Times New Roman"/>
        </w:rPr>
        <w:t>Z</w:t>
      </w:r>
      <w:r w:rsidRPr="0039302E">
        <w:rPr>
          <w:rFonts w:cs="Times New Roman"/>
        </w:rPr>
        <w:t>ákon č. 89/2012 Sb., Občanský zákoník, ve znění pozdějších předpisů</w:t>
      </w:r>
      <w:r>
        <w:rPr>
          <w:rFonts w:cs="Times New Roman"/>
        </w:rPr>
        <w:t>.</w:t>
      </w:r>
    </w:p>
  </w:footnote>
  <w:footnote w:id="146">
    <w:p w14:paraId="4A296267" w14:textId="793269F3" w:rsidR="00AD3F6F" w:rsidRDefault="00AD3F6F" w:rsidP="00611A2C">
      <w:pPr>
        <w:pStyle w:val="Textpoznpodarou"/>
      </w:pPr>
      <w:r>
        <w:rPr>
          <w:rStyle w:val="Znakapoznpodarou"/>
        </w:rPr>
        <w:footnoteRef/>
      </w:r>
      <w:r>
        <w:t xml:space="preserve"> důvodové zprávy: Důvodová zpráva k zákonu č. 89/2012 Sb., zvláštní část, str. 338.</w:t>
      </w:r>
    </w:p>
  </w:footnote>
  <w:footnote w:id="147">
    <w:p w14:paraId="1382E1BB" w14:textId="6827495D" w:rsidR="00AD3F6F" w:rsidRDefault="00AD3F6F">
      <w:pPr>
        <w:pStyle w:val="Textpoznpodarou"/>
      </w:pPr>
      <w:r>
        <w:rPr>
          <w:rStyle w:val="Znakapoznpodarou"/>
        </w:rPr>
        <w:footnoteRef/>
      </w:r>
      <w:r>
        <w:t xml:space="preserve"> aktuální znění:</w:t>
      </w:r>
      <w:r w:rsidRPr="0039302E">
        <w:rPr>
          <w:rFonts w:cs="Times New Roman"/>
        </w:rPr>
        <w:t xml:space="preserve"> </w:t>
      </w:r>
      <w:r>
        <w:rPr>
          <w:rFonts w:cs="Times New Roman"/>
        </w:rPr>
        <w:t>Z</w:t>
      </w:r>
      <w:r w:rsidRPr="0039302E">
        <w:rPr>
          <w:rFonts w:cs="Times New Roman"/>
        </w:rPr>
        <w:t>ákon č. 89/2012 Sb., Občanský zákoník, ve znění pozdějších předpisů</w:t>
      </w:r>
      <w:r>
        <w:rPr>
          <w:rFonts w:cs="Times New Roman"/>
        </w:rPr>
        <w:t>.</w:t>
      </w:r>
    </w:p>
  </w:footnote>
  <w:footnote w:id="148">
    <w:p w14:paraId="0D08F654" w14:textId="48526DBB" w:rsidR="00AD3F6F" w:rsidRPr="00972F88" w:rsidRDefault="00AD3F6F">
      <w:pPr>
        <w:pStyle w:val="Textpoznpodarou"/>
        <w:rPr>
          <w:rFonts w:cs="Times New Roman"/>
        </w:rPr>
      </w:pPr>
      <w:r>
        <w:rPr>
          <w:rStyle w:val="Znakapoznpodarou"/>
        </w:rPr>
        <w:footnoteRef/>
      </w:r>
      <w:r>
        <w:t xml:space="preserve"> SPÁČIL</w:t>
      </w:r>
      <w:r w:rsidRPr="000B0352">
        <w:t xml:space="preserve">, J. a kol.: Občanský zákoník III. Věcná práva (§ 976–1474). Komentář. 2. vydání. Praha: C. H. Beck, 2021, </w:t>
      </w:r>
      <w:r w:rsidRPr="00AD2AC9">
        <w:rPr>
          <w:rFonts w:cs="Times New Roman"/>
        </w:rPr>
        <w:t>s. 126</w:t>
      </w:r>
      <w:r>
        <w:rPr>
          <w:rFonts w:cs="Times New Roman"/>
        </w:rPr>
        <w:t>2</w:t>
      </w:r>
      <w:r w:rsidRPr="00AD2AC9">
        <w:rPr>
          <w:rFonts w:cs="Times New Roman"/>
        </w:rPr>
        <w:t xml:space="preserve"> </w:t>
      </w:r>
      <w:r>
        <w:rPr>
          <w:rFonts w:cs="Times New Roman"/>
        </w:rPr>
        <w:t>–</w:t>
      </w:r>
      <w:r w:rsidRPr="00AD2AC9">
        <w:rPr>
          <w:rFonts w:cs="Times New Roman"/>
        </w:rPr>
        <w:t xml:space="preserve"> 12</w:t>
      </w:r>
      <w:r>
        <w:rPr>
          <w:rFonts w:cs="Times New Roman"/>
        </w:rPr>
        <w:t>67.</w:t>
      </w:r>
      <w:r w:rsidRPr="00AD2AC9">
        <w:rPr>
          <w:rFonts w:cs="Times New Roman"/>
        </w:rPr>
        <w:t xml:space="preserve"> </w:t>
      </w:r>
      <w:r>
        <w:rPr>
          <w:rFonts w:cs="Times New Roman"/>
        </w:rPr>
        <w:t xml:space="preserve">(psal </w:t>
      </w:r>
      <w:r w:rsidRPr="00AD2AC9">
        <w:rPr>
          <w:rFonts w:cs="Times New Roman"/>
        </w:rPr>
        <w:t>P. Bezouška</w:t>
      </w:r>
      <w:r>
        <w:rPr>
          <w:rFonts w:cs="Times New Roman"/>
        </w:rPr>
        <w:t>).</w:t>
      </w:r>
    </w:p>
  </w:footnote>
  <w:footnote w:id="149">
    <w:p w14:paraId="52EE8EB9" w14:textId="6961C94C" w:rsidR="00AD3F6F" w:rsidRDefault="00AD3F6F">
      <w:pPr>
        <w:pStyle w:val="Textpoznpodarou"/>
      </w:pPr>
      <w:r>
        <w:rPr>
          <w:rStyle w:val="Znakapoznpodarou"/>
        </w:rPr>
        <w:footnoteRef/>
      </w:r>
      <w:r>
        <w:t xml:space="preserve"> Tamtéž.</w:t>
      </w:r>
    </w:p>
  </w:footnote>
  <w:footnote w:id="150">
    <w:p w14:paraId="2AB79343" w14:textId="2EC34728" w:rsidR="00AD3F6F" w:rsidRDefault="00AD3F6F" w:rsidP="00FC32CA">
      <w:pPr>
        <w:pStyle w:val="Textpoznpodarou"/>
      </w:pPr>
      <w:r>
        <w:rPr>
          <w:rStyle w:val="Znakapoznpodarou"/>
        </w:rPr>
        <w:footnoteRef/>
      </w:r>
      <w:r>
        <w:t xml:space="preserve"> aktuální znění:</w:t>
      </w:r>
      <w:r w:rsidRPr="0039302E">
        <w:rPr>
          <w:rFonts w:cs="Times New Roman"/>
        </w:rPr>
        <w:t xml:space="preserve"> </w:t>
      </w:r>
      <w:r>
        <w:rPr>
          <w:rFonts w:cs="Times New Roman"/>
        </w:rPr>
        <w:t>Z</w:t>
      </w:r>
      <w:r w:rsidRPr="0039302E">
        <w:rPr>
          <w:rFonts w:cs="Times New Roman"/>
        </w:rPr>
        <w:t>ákon č. 89/2012 Sb., Občanský zákoník, ve znění pozdějších předpisů</w:t>
      </w:r>
      <w:r>
        <w:rPr>
          <w:rFonts w:cs="Times New Roman"/>
        </w:rPr>
        <w:t>.</w:t>
      </w:r>
    </w:p>
  </w:footnote>
  <w:footnote w:id="151">
    <w:p w14:paraId="217DEC9E" w14:textId="79036610" w:rsidR="00AD3F6F" w:rsidRPr="007C6F0F" w:rsidRDefault="00AD3F6F" w:rsidP="007C6F0F">
      <w:pPr>
        <w:pStyle w:val="Textpoznpodarou"/>
        <w:rPr>
          <w:rFonts w:cs="Times New Roman"/>
        </w:rPr>
      </w:pPr>
      <w:r>
        <w:rPr>
          <w:rStyle w:val="Znakapoznpodarou"/>
        </w:rPr>
        <w:footnoteRef/>
      </w:r>
      <w:r>
        <w:t xml:space="preserve"> SPÁČIL</w:t>
      </w:r>
      <w:r w:rsidRPr="000B0352">
        <w:t xml:space="preserve">, J. a kol.: Občanský zákoník III. Věcná práva (§ 976–1474). Komentář. 2. vydání. Praha: C. H. Beck, 2021, </w:t>
      </w:r>
      <w:r w:rsidRPr="00AD2AC9">
        <w:rPr>
          <w:rFonts w:cs="Times New Roman"/>
        </w:rPr>
        <w:t>s. 12</w:t>
      </w:r>
      <w:r>
        <w:rPr>
          <w:rFonts w:cs="Times New Roman"/>
        </w:rPr>
        <w:t>71</w:t>
      </w:r>
      <w:r w:rsidRPr="00AD2AC9">
        <w:rPr>
          <w:rFonts w:cs="Times New Roman"/>
        </w:rPr>
        <w:t xml:space="preserve"> </w:t>
      </w:r>
      <w:r>
        <w:rPr>
          <w:rFonts w:cs="Times New Roman"/>
        </w:rPr>
        <w:t>–</w:t>
      </w:r>
      <w:r w:rsidRPr="00AD2AC9">
        <w:rPr>
          <w:rFonts w:cs="Times New Roman"/>
        </w:rPr>
        <w:t xml:space="preserve"> 12</w:t>
      </w:r>
      <w:r>
        <w:rPr>
          <w:rFonts w:cs="Times New Roman"/>
        </w:rPr>
        <w:t>74.</w:t>
      </w:r>
      <w:r w:rsidRPr="00AD2AC9">
        <w:rPr>
          <w:rFonts w:cs="Times New Roman"/>
        </w:rPr>
        <w:t xml:space="preserve"> </w:t>
      </w:r>
      <w:r>
        <w:rPr>
          <w:rFonts w:cs="Times New Roman"/>
        </w:rPr>
        <w:t xml:space="preserve">(psal </w:t>
      </w:r>
      <w:r w:rsidRPr="00AD2AC9">
        <w:rPr>
          <w:rFonts w:cs="Times New Roman"/>
        </w:rPr>
        <w:t>P. Bezouška</w:t>
      </w:r>
      <w:r>
        <w:rPr>
          <w:rFonts w:cs="Times New Roman"/>
        </w:rPr>
        <w:t>).</w:t>
      </w:r>
    </w:p>
  </w:footnote>
  <w:footnote w:id="152">
    <w:p w14:paraId="2C3A3021" w14:textId="17F24E7F" w:rsidR="00AD3F6F" w:rsidRDefault="00AD3F6F">
      <w:pPr>
        <w:pStyle w:val="Textpoznpodarou"/>
      </w:pPr>
      <w:r>
        <w:rPr>
          <w:rStyle w:val="Znakapoznpodarou"/>
        </w:rPr>
        <w:footnoteRef/>
      </w:r>
      <w:r>
        <w:t xml:space="preserve"> aktuální znění:</w:t>
      </w:r>
      <w:r w:rsidRPr="0039302E">
        <w:rPr>
          <w:rFonts w:cs="Times New Roman"/>
        </w:rPr>
        <w:t xml:space="preserve"> </w:t>
      </w:r>
      <w:r>
        <w:rPr>
          <w:rFonts w:cs="Times New Roman"/>
        </w:rPr>
        <w:t>Z</w:t>
      </w:r>
      <w:r w:rsidRPr="0039302E">
        <w:rPr>
          <w:rFonts w:cs="Times New Roman"/>
        </w:rPr>
        <w:t>ákon č. 89/2012 Sb., Občanský zákoník, ve znění pozdějších předpisů</w:t>
      </w:r>
      <w:r>
        <w:rPr>
          <w:rFonts w:cs="Times New Roman"/>
        </w:rPr>
        <w:t>.</w:t>
      </w:r>
    </w:p>
  </w:footnote>
  <w:footnote w:id="153">
    <w:p w14:paraId="6F90E654" w14:textId="31B712C2" w:rsidR="00AD3F6F" w:rsidRDefault="00AD3F6F">
      <w:pPr>
        <w:pStyle w:val="Textpoznpodarou"/>
      </w:pPr>
      <w:r>
        <w:rPr>
          <w:rStyle w:val="Znakapoznpodarou"/>
        </w:rPr>
        <w:footnoteRef/>
      </w:r>
      <w:r>
        <w:t xml:space="preserve"> Tamtéž.</w:t>
      </w:r>
    </w:p>
  </w:footnote>
  <w:footnote w:id="154">
    <w:p w14:paraId="18FF03BF" w14:textId="64354661" w:rsidR="00AD3F6F" w:rsidRDefault="00AD3F6F">
      <w:pPr>
        <w:pStyle w:val="Textpoznpodarou"/>
      </w:pPr>
      <w:r>
        <w:rPr>
          <w:rStyle w:val="Znakapoznpodarou"/>
        </w:rPr>
        <w:footnoteRef/>
      </w:r>
      <w:r>
        <w:t xml:space="preserve"> Dig. 13, 7, 4 – (překlad Blaho s. 603).</w:t>
      </w:r>
    </w:p>
  </w:footnote>
  <w:footnote w:id="155">
    <w:p w14:paraId="37FEF1B4" w14:textId="7FF3E8C6" w:rsidR="00AD3F6F" w:rsidRDefault="00AD3F6F">
      <w:pPr>
        <w:pStyle w:val="Textpoznpodarou"/>
      </w:pPr>
      <w:r>
        <w:rPr>
          <w:rStyle w:val="Znakapoznpodarou"/>
        </w:rPr>
        <w:footnoteRef/>
      </w:r>
      <w:r>
        <w:t xml:space="preserve"> důvodové zprávy: Důvodová zpráva k zákonu č. 89/2012 Sb., zvláštní část, str. 345.</w:t>
      </w:r>
    </w:p>
  </w:footnote>
  <w:footnote w:id="156">
    <w:p w14:paraId="40C1F763" w14:textId="6D464DD0" w:rsidR="00AD3F6F" w:rsidRDefault="00AD3F6F">
      <w:pPr>
        <w:pStyle w:val="Textpoznpodarou"/>
      </w:pPr>
      <w:r>
        <w:rPr>
          <w:rStyle w:val="Znakapoznpodarou"/>
        </w:rPr>
        <w:footnoteRef/>
      </w:r>
      <w:r>
        <w:t xml:space="preserve"> aktuální znění: Zákon č. 292/2013 Sb., Zákon a zvláštních řízeních soudních, ve znění pozdějších předpisů.</w:t>
      </w:r>
    </w:p>
  </w:footnote>
  <w:footnote w:id="157">
    <w:p w14:paraId="0AB21F74" w14:textId="161BFC60" w:rsidR="00AD3F6F" w:rsidRDefault="00AD3F6F" w:rsidP="008F4505">
      <w:pPr>
        <w:pStyle w:val="Textpoznpodarou"/>
      </w:pPr>
      <w:r>
        <w:rPr>
          <w:rStyle w:val="Znakapoznpodarou"/>
        </w:rPr>
        <w:footnoteRef/>
      </w:r>
      <w:r>
        <w:t xml:space="preserve"> aktuální znění: Zákon č. 240/1993 Sb., Občanský soudní řád, ve znění pozdějších předpisů.</w:t>
      </w:r>
    </w:p>
  </w:footnote>
  <w:footnote w:id="158">
    <w:p w14:paraId="75D4FCB4" w14:textId="27DF202E" w:rsidR="00AD3F6F" w:rsidRDefault="00AD3F6F">
      <w:pPr>
        <w:pStyle w:val="Textpoznpodarou"/>
      </w:pPr>
      <w:r>
        <w:rPr>
          <w:rStyle w:val="Znakapoznpodarou"/>
        </w:rPr>
        <w:footnoteRef/>
      </w:r>
      <w:r>
        <w:t xml:space="preserve"> aktuální znění: Zákon č. 89/2012 Sb., Občanský zákoník, ve znění pozdějších předpisů.</w:t>
      </w:r>
    </w:p>
  </w:footnote>
  <w:footnote w:id="159">
    <w:p w14:paraId="2739DA1F" w14:textId="77777777" w:rsidR="00AD3F6F" w:rsidRDefault="00AD3F6F" w:rsidP="004871BA">
      <w:pPr>
        <w:pStyle w:val="Textpoznpodarou"/>
      </w:pPr>
      <w:r>
        <w:rPr>
          <w:rStyle w:val="Znakapoznpodarou"/>
        </w:rPr>
        <w:footnoteRef/>
      </w:r>
      <w:r>
        <w:t xml:space="preserve"> Vysvětlivka k terminologii označení subjektů: </w:t>
      </w:r>
      <w:r w:rsidRPr="00F53BF6">
        <w:rPr>
          <w:b/>
          <w:bCs/>
        </w:rPr>
        <w:t>osobní dlužník</w:t>
      </w:r>
      <w:r>
        <w:t xml:space="preserve"> – strana původní obligace</w:t>
      </w:r>
      <w:r>
        <w:rPr>
          <w:rFonts w:cs="Times New Roman"/>
        </w:rPr>
        <w:t>;</w:t>
      </w:r>
      <w:r>
        <w:t xml:space="preserve"> </w:t>
      </w:r>
      <w:r w:rsidRPr="00F53BF6">
        <w:rPr>
          <w:b/>
          <w:bCs/>
        </w:rPr>
        <w:t>zástavce</w:t>
      </w:r>
      <w:r>
        <w:t xml:space="preserve"> – ten, kdo dal věc do zástavy</w:t>
      </w:r>
      <w:r>
        <w:rPr>
          <w:rFonts w:cs="Times New Roman"/>
        </w:rPr>
        <w:t>;</w:t>
      </w:r>
      <w:r>
        <w:t xml:space="preserve"> </w:t>
      </w:r>
      <w:r w:rsidRPr="00F53BF6">
        <w:rPr>
          <w:b/>
          <w:bCs/>
        </w:rPr>
        <w:t>zástavní dlužník</w:t>
      </w:r>
      <w:r>
        <w:t xml:space="preserve"> – (současný) vlastník zástavy v době její realizace. Tato označení se mohou vztahovat buď k jediné osobě, ke dvěma nebo až ke třem.</w:t>
      </w:r>
    </w:p>
  </w:footnote>
  <w:footnote w:id="160">
    <w:p w14:paraId="28F6C70B" w14:textId="526E1C2B" w:rsidR="00AD3F6F" w:rsidRDefault="00AD3F6F">
      <w:pPr>
        <w:pStyle w:val="Textpoznpodarou"/>
      </w:pPr>
      <w:r>
        <w:rPr>
          <w:rStyle w:val="Znakapoznpodarou"/>
        </w:rPr>
        <w:footnoteRef/>
      </w:r>
      <w:r>
        <w:t xml:space="preserve"> SPÁČIL</w:t>
      </w:r>
      <w:r w:rsidRPr="000B0352">
        <w:t xml:space="preserve">, J. a kol.: Občanský zákoník III. Věcná práva (§ 976–1474). Komentář. 2. vydání. Praha: C. H. Beck, 2021, </w:t>
      </w:r>
      <w:r w:rsidRPr="00AD2AC9">
        <w:rPr>
          <w:rFonts w:cs="Times New Roman"/>
        </w:rPr>
        <w:t>s. 1</w:t>
      </w:r>
      <w:r>
        <w:rPr>
          <w:rFonts w:cs="Times New Roman"/>
        </w:rPr>
        <w:t>407</w:t>
      </w:r>
      <w:r w:rsidRPr="00AD2AC9">
        <w:rPr>
          <w:rFonts w:cs="Times New Roman"/>
        </w:rPr>
        <w:t xml:space="preserve"> </w:t>
      </w:r>
      <w:r>
        <w:rPr>
          <w:rFonts w:cs="Times New Roman"/>
        </w:rPr>
        <w:t>–</w:t>
      </w:r>
      <w:r w:rsidRPr="00AD2AC9">
        <w:rPr>
          <w:rFonts w:cs="Times New Roman"/>
        </w:rPr>
        <w:t xml:space="preserve"> 1</w:t>
      </w:r>
      <w:r>
        <w:rPr>
          <w:rFonts w:cs="Times New Roman"/>
        </w:rPr>
        <w:t>408.</w:t>
      </w:r>
      <w:r w:rsidRPr="00AD2AC9">
        <w:rPr>
          <w:rFonts w:cs="Times New Roman"/>
        </w:rPr>
        <w:t xml:space="preserve"> </w:t>
      </w:r>
      <w:r>
        <w:rPr>
          <w:rFonts w:cs="Times New Roman"/>
        </w:rPr>
        <w:t xml:space="preserve">(psal </w:t>
      </w:r>
      <w:r w:rsidRPr="00AD2AC9">
        <w:rPr>
          <w:rFonts w:cs="Times New Roman"/>
        </w:rPr>
        <w:t>P. Bezouška</w:t>
      </w:r>
      <w:r>
        <w:rPr>
          <w:rFonts w:cs="Times New Roman"/>
        </w:rPr>
        <w:t>).</w:t>
      </w:r>
    </w:p>
  </w:footnote>
  <w:footnote w:id="161">
    <w:p w14:paraId="07505D02" w14:textId="619640DF" w:rsidR="00AD3F6F" w:rsidRDefault="00AD3F6F">
      <w:pPr>
        <w:pStyle w:val="Textpoznpodarou"/>
      </w:pPr>
      <w:r>
        <w:rPr>
          <w:rStyle w:val="Znakapoznpodarou"/>
        </w:rPr>
        <w:footnoteRef/>
      </w:r>
      <w:r>
        <w:t xml:space="preserve"> aktuální znění: Zákon č. 89/2012 Sb., Občanský zákoník, ve znění pozdějších předpisů.</w:t>
      </w:r>
    </w:p>
  </w:footnote>
  <w:footnote w:id="162">
    <w:p w14:paraId="14725136" w14:textId="0754FDD4" w:rsidR="00AD3F6F" w:rsidRDefault="00AD3F6F">
      <w:pPr>
        <w:pStyle w:val="Textpoznpodarou"/>
      </w:pPr>
      <w:r>
        <w:rPr>
          <w:rStyle w:val="Znakapoznpodarou"/>
        </w:rPr>
        <w:footnoteRef/>
      </w:r>
      <w:r>
        <w:t xml:space="preserve"> SPÁČIL</w:t>
      </w:r>
      <w:r w:rsidRPr="000B0352">
        <w:t xml:space="preserve">, J. a kol.: Občanský zákoník III. Věcná práva (§ 976–1474). Komentář. 2. vydání. Praha: C. H. Beck, 2021, </w:t>
      </w:r>
      <w:r w:rsidRPr="00AD2AC9">
        <w:rPr>
          <w:rFonts w:cs="Times New Roman"/>
        </w:rPr>
        <w:t>s. 1</w:t>
      </w:r>
      <w:r>
        <w:rPr>
          <w:rFonts w:cs="Times New Roman"/>
        </w:rPr>
        <w:t>408</w:t>
      </w:r>
      <w:r w:rsidRPr="00AD2AC9">
        <w:rPr>
          <w:rFonts w:cs="Times New Roman"/>
        </w:rPr>
        <w:t xml:space="preserve"> </w:t>
      </w:r>
      <w:r>
        <w:rPr>
          <w:rFonts w:cs="Times New Roman"/>
        </w:rPr>
        <w:t>–</w:t>
      </w:r>
      <w:r w:rsidRPr="00AD2AC9">
        <w:rPr>
          <w:rFonts w:cs="Times New Roman"/>
        </w:rPr>
        <w:t xml:space="preserve"> 1</w:t>
      </w:r>
      <w:r>
        <w:rPr>
          <w:rFonts w:cs="Times New Roman"/>
        </w:rPr>
        <w:t>412.</w:t>
      </w:r>
      <w:r w:rsidRPr="00AD2AC9">
        <w:rPr>
          <w:rFonts w:cs="Times New Roman"/>
        </w:rPr>
        <w:t xml:space="preserve"> </w:t>
      </w:r>
      <w:r>
        <w:rPr>
          <w:rFonts w:cs="Times New Roman"/>
        </w:rPr>
        <w:t xml:space="preserve">(psal </w:t>
      </w:r>
      <w:r w:rsidRPr="00AD2AC9">
        <w:rPr>
          <w:rFonts w:cs="Times New Roman"/>
        </w:rPr>
        <w:t>P. Bezouška</w:t>
      </w:r>
      <w:r>
        <w:rPr>
          <w:rFonts w:cs="Times New Roman"/>
        </w:rPr>
        <w:t>).</w:t>
      </w:r>
    </w:p>
  </w:footnote>
  <w:footnote w:id="163">
    <w:p w14:paraId="7D489991" w14:textId="6B8DD400" w:rsidR="00AD3F6F" w:rsidRDefault="00AD3F6F">
      <w:pPr>
        <w:pStyle w:val="Textpoznpodarou"/>
      </w:pPr>
      <w:r>
        <w:rPr>
          <w:rStyle w:val="Znakapoznpodarou"/>
        </w:rPr>
        <w:footnoteRef/>
      </w:r>
      <w:r>
        <w:t xml:space="preserve"> aktuální znění: Zákon č. 89/2012 Sb., Občanský zákoník, ve znění pozdějších předpisů.</w:t>
      </w:r>
    </w:p>
  </w:footnote>
  <w:footnote w:id="164">
    <w:p w14:paraId="2F633099" w14:textId="130124D9" w:rsidR="00AD3F6F" w:rsidRDefault="00AD3F6F">
      <w:pPr>
        <w:pStyle w:val="Textpoznpodarou"/>
      </w:pPr>
      <w:r>
        <w:rPr>
          <w:rStyle w:val="Znakapoznpodarou"/>
        </w:rPr>
        <w:footnoteRef/>
      </w:r>
      <w:r>
        <w:t xml:space="preserve"> Tamtéž.</w:t>
      </w:r>
    </w:p>
  </w:footnote>
  <w:footnote w:id="165">
    <w:p w14:paraId="637CD7D4" w14:textId="07D868C5" w:rsidR="00AD3F6F" w:rsidRDefault="00AD3F6F">
      <w:pPr>
        <w:pStyle w:val="Textpoznpodarou"/>
      </w:pPr>
      <w:r>
        <w:rPr>
          <w:rStyle w:val="Znakapoznpodarou"/>
        </w:rPr>
        <w:footnoteRef/>
      </w:r>
      <w:r>
        <w:t xml:space="preserve"> Tamtéž.</w:t>
      </w:r>
    </w:p>
  </w:footnote>
  <w:footnote w:id="166">
    <w:p w14:paraId="4D79C1F5" w14:textId="6F1EB00E" w:rsidR="00AD3F6F" w:rsidRDefault="00AD3F6F">
      <w:pPr>
        <w:pStyle w:val="Textpoznpodarou"/>
      </w:pPr>
      <w:r>
        <w:rPr>
          <w:rStyle w:val="Znakapoznpodarou"/>
        </w:rPr>
        <w:footnoteRef/>
      </w:r>
      <w:r>
        <w:t xml:space="preserve"> SPÁČIL</w:t>
      </w:r>
      <w:r w:rsidRPr="000B0352">
        <w:t xml:space="preserve">, J. a kol.: Občanský zákoník III. Věcná práva (§ 976–1474). Komentář. 2. vydání. Praha: C. H. Beck, 2021, </w:t>
      </w:r>
      <w:r w:rsidRPr="00AD2AC9">
        <w:rPr>
          <w:rFonts w:cs="Times New Roman"/>
        </w:rPr>
        <w:t xml:space="preserve">s. </w:t>
      </w:r>
      <w:r>
        <w:rPr>
          <w:rFonts w:cs="Times New Roman"/>
        </w:rPr>
        <w:t>1274</w:t>
      </w:r>
      <w:r w:rsidRPr="00AD2AC9">
        <w:rPr>
          <w:rFonts w:cs="Times New Roman"/>
        </w:rPr>
        <w:t xml:space="preserve"> </w:t>
      </w:r>
      <w:r>
        <w:rPr>
          <w:rFonts w:cs="Times New Roman"/>
        </w:rPr>
        <w:t>–</w:t>
      </w:r>
      <w:r w:rsidRPr="00AD2AC9">
        <w:rPr>
          <w:rFonts w:cs="Times New Roman"/>
        </w:rPr>
        <w:t xml:space="preserve"> </w:t>
      </w:r>
      <w:r>
        <w:rPr>
          <w:rFonts w:cs="Times New Roman"/>
        </w:rPr>
        <w:t>1282. č. 9.</w:t>
      </w:r>
      <w:r w:rsidRPr="00AD2AC9">
        <w:rPr>
          <w:rFonts w:cs="Times New Roman"/>
        </w:rPr>
        <w:t xml:space="preserve"> </w:t>
      </w:r>
      <w:r>
        <w:rPr>
          <w:rFonts w:cs="Times New Roman"/>
        </w:rPr>
        <w:t xml:space="preserve">(psal </w:t>
      </w:r>
      <w:r w:rsidRPr="00AD2AC9">
        <w:rPr>
          <w:rFonts w:cs="Times New Roman"/>
        </w:rPr>
        <w:t>P. Bezouška</w:t>
      </w:r>
      <w:r>
        <w:rPr>
          <w:rFonts w:cs="Times New Roman"/>
        </w:rPr>
        <w:t>).</w:t>
      </w:r>
    </w:p>
  </w:footnote>
  <w:footnote w:id="167">
    <w:p w14:paraId="1CAF3A45" w14:textId="29BD78ED" w:rsidR="00AD3F6F" w:rsidRDefault="00AD3F6F">
      <w:pPr>
        <w:pStyle w:val="Textpoznpodarou"/>
      </w:pPr>
      <w:r>
        <w:rPr>
          <w:rStyle w:val="Znakapoznpodarou"/>
        </w:rPr>
        <w:footnoteRef/>
      </w:r>
      <w:r>
        <w:t xml:space="preserve"> D. 13, 7, 18 – (překlad Blaho s. 611).</w:t>
      </w:r>
    </w:p>
  </w:footnote>
  <w:footnote w:id="168">
    <w:p w14:paraId="7804B196" w14:textId="7B880E8C" w:rsidR="00AD3F6F" w:rsidRDefault="00AD3F6F">
      <w:pPr>
        <w:pStyle w:val="Textpoznpodarou"/>
      </w:pPr>
      <w:r>
        <w:rPr>
          <w:rStyle w:val="Znakapoznpodarou"/>
        </w:rPr>
        <w:footnoteRef/>
      </w:r>
      <w:r>
        <w:t xml:space="preserve"> </w:t>
      </w:r>
      <w:r w:rsidRPr="00414382">
        <w:rPr>
          <w:rFonts w:cs="Times New Roman"/>
        </w:rPr>
        <w:t>SKŘEJPEK, Michal. Římské právo v občanském zákoníku: komentář a prameny. Praha: Auditorium, 2017.</w:t>
      </w:r>
      <w:r>
        <w:rPr>
          <w:rFonts w:cs="Times New Roman"/>
        </w:rPr>
        <w:t xml:space="preserve"> s. 274-275. (psal Šejdl).</w:t>
      </w:r>
    </w:p>
  </w:footnote>
  <w:footnote w:id="169">
    <w:p w14:paraId="76778DDC" w14:textId="73CFC736" w:rsidR="00AD3F6F" w:rsidRDefault="00AD3F6F">
      <w:pPr>
        <w:pStyle w:val="Textpoznpodarou"/>
      </w:pPr>
      <w:r>
        <w:rPr>
          <w:rStyle w:val="Znakapoznpodarou"/>
        </w:rPr>
        <w:footnoteRef/>
      </w:r>
      <w:r>
        <w:t xml:space="preserve"> aktuální znění: Zákon č. 89/2012 Sb., Občanský zákoník, ve znění pozdějších předpisů.</w:t>
      </w:r>
    </w:p>
  </w:footnote>
  <w:footnote w:id="170">
    <w:p w14:paraId="4D6A8B4C" w14:textId="19F6DDC6" w:rsidR="00AD3F6F" w:rsidRDefault="00AD3F6F">
      <w:pPr>
        <w:pStyle w:val="Textpoznpodarou"/>
      </w:pPr>
      <w:r>
        <w:rPr>
          <w:rStyle w:val="Znakapoznpodarou"/>
        </w:rPr>
        <w:footnoteRef/>
      </w:r>
      <w:r>
        <w:t xml:space="preserve"> důvodové zprávy: Důvodová zpráva k zákonu č. 89/2012 Sb., zvláštní část, str. 341.</w:t>
      </w:r>
    </w:p>
  </w:footnote>
  <w:footnote w:id="171">
    <w:p w14:paraId="28B032F8" w14:textId="2CEEA383" w:rsidR="00AD3F6F" w:rsidRDefault="00AD3F6F" w:rsidP="00ED480A">
      <w:pPr>
        <w:pStyle w:val="Textpoznpodarou"/>
      </w:pPr>
      <w:r>
        <w:rPr>
          <w:rStyle w:val="Znakapoznpodarou"/>
        </w:rPr>
        <w:footnoteRef/>
      </w:r>
      <w:r>
        <w:t xml:space="preserve"> aktuální znění: Zákon č. 89/2012 Sb., Občanský zákoník, ve znění pozdějších předpisů.</w:t>
      </w:r>
    </w:p>
  </w:footnote>
  <w:footnote w:id="172">
    <w:p w14:paraId="7BCF1F30" w14:textId="2A021683" w:rsidR="00AD3F6F" w:rsidRDefault="00AD3F6F">
      <w:pPr>
        <w:pStyle w:val="Textpoznpodarou"/>
      </w:pPr>
      <w:r>
        <w:rPr>
          <w:rStyle w:val="Znakapoznpodarou"/>
        </w:rPr>
        <w:footnoteRef/>
      </w:r>
      <w:r>
        <w:t xml:space="preserve"> aktuální znění: Zákon č. 262/2006 Sb., Zákoník práce, ve znění pozdějších předpisů.</w:t>
      </w:r>
    </w:p>
  </w:footnote>
  <w:footnote w:id="173">
    <w:p w14:paraId="06102D24" w14:textId="10AF98EE" w:rsidR="00AD3F6F" w:rsidRDefault="00AD3F6F">
      <w:pPr>
        <w:pStyle w:val="Textpoznpodarou"/>
      </w:pPr>
      <w:r>
        <w:rPr>
          <w:rStyle w:val="Znakapoznpodarou"/>
        </w:rPr>
        <w:footnoteRef/>
      </w:r>
      <w:r>
        <w:t xml:space="preserve"> aktuální znění: Zákon č. 219/2000 Sb., Zákon o majetku ČR a jejím vystupování v právních vztazích, ve znění pozdějších předpisů.</w:t>
      </w:r>
    </w:p>
  </w:footnote>
  <w:footnote w:id="174">
    <w:p w14:paraId="684C1BC4" w14:textId="4229CEBE" w:rsidR="00AD3F6F" w:rsidRDefault="00AD3F6F">
      <w:pPr>
        <w:pStyle w:val="Textpoznpodarou"/>
      </w:pPr>
      <w:r>
        <w:rPr>
          <w:rStyle w:val="Znakapoznpodarou"/>
        </w:rPr>
        <w:footnoteRef/>
      </w:r>
      <w:r>
        <w:t xml:space="preserve"> aktuální znění: Zákon č. 120/2001 Sb., Zákon o soudních exekutorech a exekuční činnosti (exekuční řád) a o změně dalších zákonů, ve znění pozdějších předpisů.</w:t>
      </w:r>
    </w:p>
  </w:footnote>
  <w:footnote w:id="175">
    <w:p w14:paraId="66D3B24A" w14:textId="48EC04EA" w:rsidR="00AD3F6F" w:rsidRDefault="00AD3F6F">
      <w:pPr>
        <w:pStyle w:val="Textpoznpodarou"/>
      </w:pPr>
      <w:r>
        <w:rPr>
          <w:rStyle w:val="Znakapoznpodarou"/>
        </w:rPr>
        <w:footnoteRef/>
      </w:r>
      <w:r>
        <w:t xml:space="preserve"> SPÁČIL</w:t>
      </w:r>
      <w:r w:rsidRPr="000B0352">
        <w:t xml:space="preserve">, J. a kol.: Občanský zákoník III. Věcná práva (§ 976–1474). Komentář. 2. vydání. Praha: C. H. Beck, 2021, </w:t>
      </w:r>
      <w:r w:rsidRPr="00AD2AC9">
        <w:rPr>
          <w:rFonts w:cs="Times New Roman"/>
        </w:rPr>
        <w:t xml:space="preserve">s. </w:t>
      </w:r>
      <w:r>
        <w:rPr>
          <w:rFonts w:cs="Times New Roman"/>
        </w:rPr>
        <w:t>1321</w:t>
      </w:r>
      <w:r w:rsidRPr="00AD2AC9">
        <w:rPr>
          <w:rFonts w:cs="Times New Roman"/>
        </w:rPr>
        <w:t xml:space="preserve"> </w:t>
      </w:r>
      <w:r>
        <w:rPr>
          <w:rFonts w:cs="Times New Roman"/>
        </w:rPr>
        <w:t>–</w:t>
      </w:r>
      <w:r w:rsidRPr="00AD2AC9">
        <w:rPr>
          <w:rFonts w:cs="Times New Roman"/>
        </w:rPr>
        <w:t xml:space="preserve"> </w:t>
      </w:r>
      <w:r>
        <w:rPr>
          <w:rFonts w:cs="Times New Roman"/>
        </w:rPr>
        <w:t xml:space="preserve">1329. (psal </w:t>
      </w:r>
      <w:r w:rsidRPr="00AD2AC9">
        <w:rPr>
          <w:rFonts w:cs="Times New Roman"/>
        </w:rPr>
        <w:t>P. Bezouška</w:t>
      </w:r>
      <w:r>
        <w:rPr>
          <w:rFonts w:cs="Times New Roman"/>
        </w:rPr>
        <w:t>).</w:t>
      </w:r>
    </w:p>
  </w:footnote>
  <w:footnote w:id="176">
    <w:p w14:paraId="3E532B69" w14:textId="43F1FE0D" w:rsidR="00AD3F6F" w:rsidRDefault="00AD3F6F">
      <w:pPr>
        <w:pStyle w:val="Textpoznpodarou"/>
      </w:pPr>
      <w:r>
        <w:rPr>
          <w:rStyle w:val="Znakapoznpodarou"/>
        </w:rPr>
        <w:footnoteRef/>
      </w:r>
      <w:r>
        <w:t xml:space="preserve"> Tamtéž.</w:t>
      </w:r>
    </w:p>
  </w:footnote>
  <w:footnote w:id="177">
    <w:p w14:paraId="02DE5020" w14:textId="2523EDE5" w:rsidR="00AD3F6F" w:rsidRPr="00DA6763" w:rsidRDefault="00AD3F6F">
      <w:pPr>
        <w:pStyle w:val="Textpoznpodarou"/>
        <w:rPr>
          <w:rFonts w:cs="Times New Roman"/>
        </w:rPr>
      </w:pPr>
      <w:r>
        <w:rPr>
          <w:rStyle w:val="Znakapoznpodarou"/>
        </w:rPr>
        <w:footnoteRef/>
      </w:r>
      <w:r>
        <w:t xml:space="preserve"> </w:t>
      </w:r>
      <w:r>
        <w:rPr>
          <w:rFonts w:cs="Times New Roman"/>
        </w:rPr>
        <w:t>PETROV</w:t>
      </w:r>
      <w:r w:rsidRPr="00DA6763">
        <w:rPr>
          <w:rFonts w:cs="Times New Roman"/>
        </w:rPr>
        <w:t xml:space="preserve">, J., </w:t>
      </w:r>
      <w:r>
        <w:rPr>
          <w:rFonts w:cs="Times New Roman"/>
        </w:rPr>
        <w:t>VÝTISK</w:t>
      </w:r>
      <w:r w:rsidRPr="00DA6763">
        <w:rPr>
          <w:rFonts w:cs="Times New Roman"/>
        </w:rPr>
        <w:t xml:space="preserve">, M., </w:t>
      </w:r>
      <w:r>
        <w:rPr>
          <w:rFonts w:cs="Times New Roman"/>
        </w:rPr>
        <w:t>BERAN</w:t>
      </w:r>
      <w:r w:rsidRPr="00DA6763">
        <w:rPr>
          <w:rFonts w:cs="Times New Roman"/>
        </w:rPr>
        <w:t>, V. a kol. Občanský zákoník. Komentář. 2. vydání (1. aktualizace). Praha: C. H. Beck, 2022</w:t>
      </w:r>
      <w:r>
        <w:rPr>
          <w:rFonts w:cs="Times New Roman"/>
        </w:rPr>
        <w:t>. (psala P. Myšáková).</w:t>
      </w:r>
    </w:p>
  </w:footnote>
  <w:footnote w:id="178">
    <w:p w14:paraId="24657460" w14:textId="6980ED93" w:rsidR="00AD3F6F" w:rsidRDefault="00AD3F6F">
      <w:pPr>
        <w:pStyle w:val="Textpoznpodarou"/>
      </w:pPr>
      <w:r>
        <w:rPr>
          <w:rStyle w:val="Znakapoznpodarou"/>
        </w:rPr>
        <w:footnoteRef/>
      </w:r>
      <w:r>
        <w:t xml:space="preserve"> </w:t>
      </w:r>
      <w:r>
        <w:rPr>
          <w:rFonts w:cs="Times New Roman"/>
        </w:rPr>
        <w:t>KINDL</w:t>
      </w:r>
      <w:r w:rsidRPr="00E22CF5">
        <w:rPr>
          <w:rFonts w:cs="Times New Roman"/>
        </w:rPr>
        <w:t>, M. </w:t>
      </w:r>
      <w:bookmarkStart w:id="46" w:name="highlightHit_4"/>
      <w:bookmarkEnd w:id="46"/>
      <w:r w:rsidRPr="00E22CF5">
        <w:rPr>
          <w:rFonts w:cs="Times New Roman"/>
        </w:rPr>
        <w:t>Zajištění </w:t>
      </w:r>
      <w:bookmarkStart w:id="47" w:name="highlightHit_5"/>
      <w:bookmarkEnd w:id="47"/>
      <w:r w:rsidRPr="00E22CF5">
        <w:rPr>
          <w:rFonts w:cs="Times New Roman"/>
        </w:rPr>
        <w:t>a utvrzení dluhů. 1. vydání. Praha: C. H. Beck, 2016, 525 </w:t>
      </w:r>
      <w:bookmarkStart w:id="48" w:name="highlightHit_11"/>
      <w:bookmarkEnd w:id="48"/>
      <w:r w:rsidRPr="00E22CF5">
        <w:rPr>
          <w:rFonts w:cs="Times New Roman"/>
        </w:rPr>
        <w:t>s.</w:t>
      </w:r>
    </w:p>
  </w:footnote>
  <w:footnote w:id="179">
    <w:p w14:paraId="19711BDB" w14:textId="7B37CA1B" w:rsidR="00AD3F6F" w:rsidRDefault="00AD3F6F">
      <w:pPr>
        <w:pStyle w:val="Textpoznpodarou"/>
      </w:pPr>
      <w:r>
        <w:rPr>
          <w:rStyle w:val="Znakapoznpodarou"/>
        </w:rPr>
        <w:footnoteRef/>
      </w:r>
      <w:r>
        <w:t xml:space="preserve"> SPÁČIL</w:t>
      </w:r>
      <w:r w:rsidRPr="000B0352">
        <w:t xml:space="preserve">, J. a kol.: Občanský zákoník III. Věcná práva (§ 976–1474). Komentář. 2. vydání. Praha: C. H. Beck, 2021, </w:t>
      </w:r>
      <w:r w:rsidRPr="00AD2AC9">
        <w:rPr>
          <w:rFonts w:cs="Times New Roman"/>
        </w:rPr>
        <w:t xml:space="preserve">s. </w:t>
      </w:r>
      <w:r>
        <w:rPr>
          <w:rFonts w:cs="Times New Roman"/>
        </w:rPr>
        <w:t>1321</w:t>
      </w:r>
      <w:r w:rsidRPr="00AD2AC9">
        <w:rPr>
          <w:rFonts w:cs="Times New Roman"/>
        </w:rPr>
        <w:t xml:space="preserve"> </w:t>
      </w:r>
      <w:r>
        <w:rPr>
          <w:rFonts w:cs="Times New Roman"/>
        </w:rPr>
        <w:t>–</w:t>
      </w:r>
      <w:r w:rsidRPr="00AD2AC9">
        <w:rPr>
          <w:rFonts w:cs="Times New Roman"/>
        </w:rPr>
        <w:t xml:space="preserve"> </w:t>
      </w:r>
      <w:r>
        <w:rPr>
          <w:rFonts w:cs="Times New Roman"/>
        </w:rPr>
        <w:t xml:space="preserve">1329. č. 42. (psal </w:t>
      </w:r>
      <w:r w:rsidRPr="00AD2AC9">
        <w:rPr>
          <w:rFonts w:cs="Times New Roman"/>
        </w:rPr>
        <w:t>P. Bezouška</w:t>
      </w:r>
      <w:r>
        <w:rPr>
          <w:rFonts w:cs="Times New Roman"/>
        </w:rPr>
        <w:t>).</w:t>
      </w:r>
    </w:p>
  </w:footnote>
  <w:footnote w:id="180">
    <w:p w14:paraId="46F5E139" w14:textId="6525DC7F" w:rsidR="00AD3F6F" w:rsidRDefault="00AD3F6F">
      <w:pPr>
        <w:pStyle w:val="Textpoznpodarou"/>
      </w:pPr>
      <w:r>
        <w:rPr>
          <w:rStyle w:val="Znakapoznpodarou"/>
        </w:rPr>
        <w:footnoteRef/>
      </w:r>
      <w:r>
        <w:t xml:space="preserve"> aktuální znění: Zákon č. 89/2012 Sb., Občanský zákoník,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AD3F6F" w14:paraId="76839049" w14:textId="77777777" w:rsidTr="6CE1236C">
      <w:tc>
        <w:tcPr>
          <w:tcW w:w="3020" w:type="dxa"/>
        </w:tcPr>
        <w:p w14:paraId="5653BA03" w14:textId="424AFCC5" w:rsidR="00AD3F6F" w:rsidRDefault="00AD3F6F" w:rsidP="6CE1236C">
          <w:pPr>
            <w:pStyle w:val="Zhlav"/>
            <w:ind w:left="-115"/>
            <w:jc w:val="left"/>
            <w:rPr>
              <w:rFonts w:eastAsia="Calibri"/>
              <w:szCs w:val="24"/>
            </w:rPr>
          </w:pPr>
        </w:p>
      </w:tc>
      <w:tc>
        <w:tcPr>
          <w:tcW w:w="3020" w:type="dxa"/>
        </w:tcPr>
        <w:p w14:paraId="29D06CDD" w14:textId="2F299806" w:rsidR="00AD3F6F" w:rsidRDefault="00AD3F6F" w:rsidP="6CE1236C">
          <w:pPr>
            <w:pStyle w:val="Zhlav"/>
            <w:jc w:val="center"/>
            <w:rPr>
              <w:rFonts w:eastAsia="Calibri"/>
              <w:szCs w:val="24"/>
            </w:rPr>
          </w:pPr>
        </w:p>
      </w:tc>
      <w:tc>
        <w:tcPr>
          <w:tcW w:w="3020" w:type="dxa"/>
        </w:tcPr>
        <w:p w14:paraId="24ECCAD0" w14:textId="6A067145" w:rsidR="00AD3F6F" w:rsidRDefault="00AD3F6F" w:rsidP="6CE1236C">
          <w:pPr>
            <w:pStyle w:val="Zhlav"/>
            <w:ind w:right="-115"/>
            <w:jc w:val="right"/>
            <w:rPr>
              <w:rFonts w:eastAsia="Calibri"/>
              <w:szCs w:val="24"/>
            </w:rPr>
          </w:pPr>
        </w:p>
      </w:tc>
    </w:tr>
  </w:tbl>
  <w:p w14:paraId="3CBCFE2B" w14:textId="083CBBEF" w:rsidR="00AD3F6F" w:rsidRDefault="00AD3F6F">
    <w:pPr>
      <w:pStyle w:val="Zhlav"/>
      <w:rPr>
        <w:rFonts w:eastAsia="Calibri"/>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7026" w14:textId="77777777" w:rsidR="00AD3F6F" w:rsidRDefault="00AD3F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06481"/>
    <w:multiLevelType w:val="multilevel"/>
    <w:tmpl w:val="D4E2A076"/>
    <w:lvl w:ilvl="0">
      <w:start w:val="1"/>
      <w:numFmt w:val="decimal"/>
      <w:lvlText w:val="%1."/>
      <w:lvlJc w:val="left"/>
      <w:pPr>
        <w:ind w:left="360" w:hanging="360"/>
      </w:pPr>
      <w:rPr>
        <w:rFonts w:ascii="Times New Roman" w:hAnsi="Times New Roman" w:hint="default"/>
        <w:b/>
        <w:i w:val="0"/>
        <w:sz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FC4E73"/>
    <w:multiLevelType w:val="multilevel"/>
    <w:tmpl w:val="97E6BDF6"/>
    <w:lvl w:ilvl="0">
      <w:start w:val="1"/>
      <w:numFmt w:val="decimal"/>
      <w:lvlText w:val="%1"/>
      <w:lvlJc w:val="left"/>
      <w:pPr>
        <w:ind w:left="480" w:hanging="480"/>
      </w:pPr>
      <w:rPr>
        <w:rFonts w:hint="default"/>
      </w:rPr>
    </w:lvl>
    <w:lvl w:ilvl="1">
      <w:start w:val="2"/>
      <w:numFmt w:val="decimal"/>
      <w:lvlText w:val="%1.%2"/>
      <w:lvlJc w:val="left"/>
      <w:pPr>
        <w:ind w:left="678" w:hanging="480"/>
      </w:pPr>
      <w:rPr>
        <w:rFonts w:hint="default"/>
      </w:rPr>
    </w:lvl>
    <w:lvl w:ilvl="2">
      <w:start w:val="2"/>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2" w15:restartNumberingAfterBreak="0">
    <w:nsid w:val="32E826CF"/>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37A1502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EC91090"/>
    <w:multiLevelType w:val="hybridMultilevel"/>
    <w:tmpl w:val="3476F1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B992CA0"/>
    <w:multiLevelType w:val="hybridMultilevel"/>
    <w:tmpl w:val="6DF25A2A"/>
    <w:lvl w:ilvl="0" w:tplc="263E62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0D572D0"/>
    <w:multiLevelType w:val="hybridMultilevel"/>
    <w:tmpl w:val="BB2AB628"/>
    <w:lvl w:ilvl="0" w:tplc="6C0699DA">
      <w:start w:val="1"/>
      <w:numFmt w:val="decimal"/>
      <w:lvlText w:val="%1."/>
      <w:lvlJc w:val="left"/>
      <w:pPr>
        <w:ind w:left="757" w:hanging="360"/>
      </w:pPr>
      <w:rPr>
        <w:rFonts w:hint="default"/>
        <w:color w:val="auto"/>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num w:numId="1" w16cid:durableId="1446921747">
    <w:abstractNumId w:val="2"/>
  </w:num>
  <w:num w:numId="2" w16cid:durableId="1003899075">
    <w:abstractNumId w:val="3"/>
  </w:num>
  <w:num w:numId="3" w16cid:durableId="1815485624">
    <w:abstractNumId w:val="0"/>
  </w:num>
  <w:num w:numId="4" w16cid:durableId="180632300">
    <w:abstractNumId w:val="4"/>
  </w:num>
  <w:num w:numId="5" w16cid:durableId="892809661">
    <w:abstractNumId w:val="6"/>
  </w:num>
  <w:num w:numId="6" w16cid:durableId="513032854">
    <w:abstractNumId w:val="1"/>
  </w:num>
  <w:num w:numId="7" w16cid:durableId="13106746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58"/>
    <w:rsid w:val="0000049B"/>
    <w:rsid w:val="0000051E"/>
    <w:rsid w:val="000014B0"/>
    <w:rsid w:val="0000182F"/>
    <w:rsid w:val="00001863"/>
    <w:rsid w:val="00001A70"/>
    <w:rsid w:val="00001E29"/>
    <w:rsid w:val="00003A00"/>
    <w:rsid w:val="0000529D"/>
    <w:rsid w:val="00005611"/>
    <w:rsid w:val="00006125"/>
    <w:rsid w:val="000065E3"/>
    <w:rsid w:val="00007E95"/>
    <w:rsid w:val="0001048E"/>
    <w:rsid w:val="000105F1"/>
    <w:rsid w:val="00010A6C"/>
    <w:rsid w:val="00010C50"/>
    <w:rsid w:val="0001161A"/>
    <w:rsid w:val="00011D40"/>
    <w:rsid w:val="00012B39"/>
    <w:rsid w:val="00013317"/>
    <w:rsid w:val="00013875"/>
    <w:rsid w:val="00014249"/>
    <w:rsid w:val="00015CA4"/>
    <w:rsid w:val="000162DE"/>
    <w:rsid w:val="000163CF"/>
    <w:rsid w:val="00017238"/>
    <w:rsid w:val="00017329"/>
    <w:rsid w:val="00017E93"/>
    <w:rsid w:val="000205DE"/>
    <w:rsid w:val="00021C71"/>
    <w:rsid w:val="00022470"/>
    <w:rsid w:val="00022480"/>
    <w:rsid w:val="00022D7F"/>
    <w:rsid w:val="00022E68"/>
    <w:rsid w:val="00023059"/>
    <w:rsid w:val="00023167"/>
    <w:rsid w:val="000234DE"/>
    <w:rsid w:val="0002419F"/>
    <w:rsid w:val="000243A9"/>
    <w:rsid w:val="00024B3A"/>
    <w:rsid w:val="00025070"/>
    <w:rsid w:val="00025DE5"/>
    <w:rsid w:val="0002600B"/>
    <w:rsid w:val="0002610A"/>
    <w:rsid w:val="0002640A"/>
    <w:rsid w:val="00026509"/>
    <w:rsid w:val="00026C32"/>
    <w:rsid w:val="00027C29"/>
    <w:rsid w:val="00030725"/>
    <w:rsid w:val="00030995"/>
    <w:rsid w:val="00031836"/>
    <w:rsid w:val="00031F65"/>
    <w:rsid w:val="000324C5"/>
    <w:rsid w:val="00032528"/>
    <w:rsid w:val="000327CF"/>
    <w:rsid w:val="0003296B"/>
    <w:rsid w:val="00033024"/>
    <w:rsid w:val="00033611"/>
    <w:rsid w:val="00034126"/>
    <w:rsid w:val="0003483D"/>
    <w:rsid w:val="00040241"/>
    <w:rsid w:val="000408E1"/>
    <w:rsid w:val="00040F9E"/>
    <w:rsid w:val="0004113C"/>
    <w:rsid w:val="00041580"/>
    <w:rsid w:val="00041FCC"/>
    <w:rsid w:val="0004317B"/>
    <w:rsid w:val="00043E33"/>
    <w:rsid w:val="000441C3"/>
    <w:rsid w:val="000447B0"/>
    <w:rsid w:val="00044D4D"/>
    <w:rsid w:val="00044E64"/>
    <w:rsid w:val="00045136"/>
    <w:rsid w:val="0004562F"/>
    <w:rsid w:val="00045769"/>
    <w:rsid w:val="0004664D"/>
    <w:rsid w:val="0005074E"/>
    <w:rsid w:val="00050A61"/>
    <w:rsid w:val="00050C45"/>
    <w:rsid w:val="00050D8B"/>
    <w:rsid w:val="00051D71"/>
    <w:rsid w:val="00051EBF"/>
    <w:rsid w:val="00052F7C"/>
    <w:rsid w:val="0005370C"/>
    <w:rsid w:val="00053A3B"/>
    <w:rsid w:val="00053CFB"/>
    <w:rsid w:val="00054B4E"/>
    <w:rsid w:val="000562AD"/>
    <w:rsid w:val="0005684A"/>
    <w:rsid w:val="00056AB6"/>
    <w:rsid w:val="000570AD"/>
    <w:rsid w:val="000578A6"/>
    <w:rsid w:val="00060B7F"/>
    <w:rsid w:val="000626F7"/>
    <w:rsid w:val="00062AED"/>
    <w:rsid w:val="000634A2"/>
    <w:rsid w:val="00063677"/>
    <w:rsid w:val="00064733"/>
    <w:rsid w:val="000655A4"/>
    <w:rsid w:val="00066179"/>
    <w:rsid w:val="00066C0E"/>
    <w:rsid w:val="00066E57"/>
    <w:rsid w:val="000672E0"/>
    <w:rsid w:val="0006790C"/>
    <w:rsid w:val="00067DB4"/>
    <w:rsid w:val="00070C9F"/>
    <w:rsid w:val="000716DD"/>
    <w:rsid w:val="00071853"/>
    <w:rsid w:val="000719E2"/>
    <w:rsid w:val="00071B51"/>
    <w:rsid w:val="000722E4"/>
    <w:rsid w:val="000728B4"/>
    <w:rsid w:val="000729F0"/>
    <w:rsid w:val="00072A39"/>
    <w:rsid w:val="00073194"/>
    <w:rsid w:val="0007349F"/>
    <w:rsid w:val="000739CB"/>
    <w:rsid w:val="000756C4"/>
    <w:rsid w:val="0008103E"/>
    <w:rsid w:val="0008112D"/>
    <w:rsid w:val="0008152D"/>
    <w:rsid w:val="00081701"/>
    <w:rsid w:val="00081EBA"/>
    <w:rsid w:val="000825C7"/>
    <w:rsid w:val="000837BD"/>
    <w:rsid w:val="0008407A"/>
    <w:rsid w:val="000845B9"/>
    <w:rsid w:val="00084757"/>
    <w:rsid w:val="00084CB3"/>
    <w:rsid w:val="00084F69"/>
    <w:rsid w:val="00085625"/>
    <w:rsid w:val="00085FF1"/>
    <w:rsid w:val="00086357"/>
    <w:rsid w:val="00086A9D"/>
    <w:rsid w:val="00086C48"/>
    <w:rsid w:val="00086DA6"/>
    <w:rsid w:val="0008704C"/>
    <w:rsid w:val="00087BBA"/>
    <w:rsid w:val="00090352"/>
    <w:rsid w:val="00090597"/>
    <w:rsid w:val="000907F4"/>
    <w:rsid w:val="00090E39"/>
    <w:rsid w:val="000913FA"/>
    <w:rsid w:val="000919E8"/>
    <w:rsid w:val="000921D2"/>
    <w:rsid w:val="00092E3D"/>
    <w:rsid w:val="000936CB"/>
    <w:rsid w:val="00093D51"/>
    <w:rsid w:val="00093FE5"/>
    <w:rsid w:val="00095298"/>
    <w:rsid w:val="00096283"/>
    <w:rsid w:val="00097F25"/>
    <w:rsid w:val="000A0491"/>
    <w:rsid w:val="000A0524"/>
    <w:rsid w:val="000A0EAD"/>
    <w:rsid w:val="000A0FDF"/>
    <w:rsid w:val="000A1431"/>
    <w:rsid w:val="000A1FFE"/>
    <w:rsid w:val="000A2A7B"/>
    <w:rsid w:val="000A4619"/>
    <w:rsid w:val="000A484F"/>
    <w:rsid w:val="000A4B64"/>
    <w:rsid w:val="000A58E6"/>
    <w:rsid w:val="000A5969"/>
    <w:rsid w:val="000A5B36"/>
    <w:rsid w:val="000A61C4"/>
    <w:rsid w:val="000A70B9"/>
    <w:rsid w:val="000A783E"/>
    <w:rsid w:val="000A7F87"/>
    <w:rsid w:val="000A7F8F"/>
    <w:rsid w:val="000B0352"/>
    <w:rsid w:val="000B0D59"/>
    <w:rsid w:val="000B1F53"/>
    <w:rsid w:val="000B228A"/>
    <w:rsid w:val="000B2417"/>
    <w:rsid w:val="000B3405"/>
    <w:rsid w:val="000B4E8C"/>
    <w:rsid w:val="000B5364"/>
    <w:rsid w:val="000B5931"/>
    <w:rsid w:val="000C04CD"/>
    <w:rsid w:val="000C0A52"/>
    <w:rsid w:val="000C0C1C"/>
    <w:rsid w:val="000C1F58"/>
    <w:rsid w:val="000C2315"/>
    <w:rsid w:val="000C23B1"/>
    <w:rsid w:val="000C298A"/>
    <w:rsid w:val="000C2C1F"/>
    <w:rsid w:val="000C2E66"/>
    <w:rsid w:val="000C320A"/>
    <w:rsid w:val="000C3284"/>
    <w:rsid w:val="000C3EBE"/>
    <w:rsid w:val="000C4AD6"/>
    <w:rsid w:val="000C4B89"/>
    <w:rsid w:val="000C51DB"/>
    <w:rsid w:val="000C5346"/>
    <w:rsid w:val="000C54E5"/>
    <w:rsid w:val="000C56B3"/>
    <w:rsid w:val="000C5773"/>
    <w:rsid w:val="000C5A5A"/>
    <w:rsid w:val="000C6196"/>
    <w:rsid w:val="000D0086"/>
    <w:rsid w:val="000D0125"/>
    <w:rsid w:val="000D1759"/>
    <w:rsid w:val="000D1780"/>
    <w:rsid w:val="000D17B4"/>
    <w:rsid w:val="000D180D"/>
    <w:rsid w:val="000D1CDD"/>
    <w:rsid w:val="000D1FB3"/>
    <w:rsid w:val="000D2AE7"/>
    <w:rsid w:val="000D36D4"/>
    <w:rsid w:val="000D38D5"/>
    <w:rsid w:val="000D3E1A"/>
    <w:rsid w:val="000D414A"/>
    <w:rsid w:val="000D4673"/>
    <w:rsid w:val="000D5EB8"/>
    <w:rsid w:val="000D621F"/>
    <w:rsid w:val="000D7C04"/>
    <w:rsid w:val="000E1512"/>
    <w:rsid w:val="000E1764"/>
    <w:rsid w:val="000E1E99"/>
    <w:rsid w:val="000E28CB"/>
    <w:rsid w:val="000E2984"/>
    <w:rsid w:val="000E3A1E"/>
    <w:rsid w:val="000E3B54"/>
    <w:rsid w:val="000E3D55"/>
    <w:rsid w:val="000E453D"/>
    <w:rsid w:val="000E5123"/>
    <w:rsid w:val="000E5960"/>
    <w:rsid w:val="000E60A4"/>
    <w:rsid w:val="000E65EB"/>
    <w:rsid w:val="000E6874"/>
    <w:rsid w:val="000E6DD4"/>
    <w:rsid w:val="000E7430"/>
    <w:rsid w:val="000F0126"/>
    <w:rsid w:val="000F13EF"/>
    <w:rsid w:val="000F14C9"/>
    <w:rsid w:val="000F2670"/>
    <w:rsid w:val="000F2C14"/>
    <w:rsid w:val="000F2ECE"/>
    <w:rsid w:val="000F302D"/>
    <w:rsid w:val="000F33C9"/>
    <w:rsid w:val="000F43A2"/>
    <w:rsid w:val="000F4B87"/>
    <w:rsid w:val="000F5868"/>
    <w:rsid w:val="000F63D8"/>
    <w:rsid w:val="000F66F9"/>
    <w:rsid w:val="000F680C"/>
    <w:rsid w:val="000F69BC"/>
    <w:rsid w:val="000F6D46"/>
    <w:rsid w:val="00100526"/>
    <w:rsid w:val="0010070F"/>
    <w:rsid w:val="00101CFF"/>
    <w:rsid w:val="001056EB"/>
    <w:rsid w:val="001059E4"/>
    <w:rsid w:val="00105F19"/>
    <w:rsid w:val="00106004"/>
    <w:rsid w:val="0010635A"/>
    <w:rsid w:val="0010665D"/>
    <w:rsid w:val="001078F1"/>
    <w:rsid w:val="00107E15"/>
    <w:rsid w:val="0011055E"/>
    <w:rsid w:val="001108B5"/>
    <w:rsid w:val="00110C41"/>
    <w:rsid w:val="001112F8"/>
    <w:rsid w:val="00111693"/>
    <w:rsid w:val="00111718"/>
    <w:rsid w:val="00111965"/>
    <w:rsid w:val="00112F57"/>
    <w:rsid w:val="00113317"/>
    <w:rsid w:val="00113CA0"/>
    <w:rsid w:val="00114B98"/>
    <w:rsid w:val="00115E2E"/>
    <w:rsid w:val="00116637"/>
    <w:rsid w:val="00116B10"/>
    <w:rsid w:val="00116E93"/>
    <w:rsid w:val="00117402"/>
    <w:rsid w:val="00120F2B"/>
    <w:rsid w:val="001214CF"/>
    <w:rsid w:val="00122A6C"/>
    <w:rsid w:val="001239FF"/>
    <w:rsid w:val="00124C40"/>
    <w:rsid w:val="00125169"/>
    <w:rsid w:val="0012522B"/>
    <w:rsid w:val="0012662E"/>
    <w:rsid w:val="00126CA1"/>
    <w:rsid w:val="00127008"/>
    <w:rsid w:val="00127DA6"/>
    <w:rsid w:val="001304C4"/>
    <w:rsid w:val="001315EC"/>
    <w:rsid w:val="001315FD"/>
    <w:rsid w:val="00132DC3"/>
    <w:rsid w:val="00133385"/>
    <w:rsid w:val="0013483D"/>
    <w:rsid w:val="00134BC5"/>
    <w:rsid w:val="00135D40"/>
    <w:rsid w:val="00136854"/>
    <w:rsid w:val="00136B68"/>
    <w:rsid w:val="00136F06"/>
    <w:rsid w:val="00137575"/>
    <w:rsid w:val="00140941"/>
    <w:rsid w:val="00140E10"/>
    <w:rsid w:val="001413C8"/>
    <w:rsid w:val="00141AB2"/>
    <w:rsid w:val="00142F15"/>
    <w:rsid w:val="001449EA"/>
    <w:rsid w:val="00144C49"/>
    <w:rsid w:val="00144C68"/>
    <w:rsid w:val="00144E22"/>
    <w:rsid w:val="0014625E"/>
    <w:rsid w:val="00147003"/>
    <w:rsid w:val="00151D85"/>
    <w:rsid w:val="00151F15"/>
    <w:rsid w:val="00152275"/>
    <w:rsid w:val="00152857"/>
    <w:rsid w:val="00152F15"/>
    <w:rsid w:val="00153937"/>
    <w:rsid w:val="001549B9"/>
    <w:rsid w:val="00154C81"/>
    <w:rsid w:val="00154C89"/>
    <w:rsid w:val="00154D31"/>
    <w:rsid w:val="00155B0E"/>
    <w:rsid w:val="00155F38"/>
    <w:rsid w:val="00156501"/>
    <w:rsid w:val="00156615"/>
    <w:rsid w:val="00156655"/>
    <w:rsid w:val="0015666E"/>
    <w:rsid w:val="00156965"/>
    <w:rsid w:val="0015724A"/>
    <w:rsid w:val="00157D89"/>
    <w:rsid w:val="00157DE7"/>
    <w:rsid w:val="00160B31"/>
    <w:rsid w:val="001615E6"/>
    <w:rsid w:val="00161A80"/>
    <w:rsid w:val="00163209"/>
    <w:rsid w:val="00163F37"/>
    <w:rsid w:val="00165965"/>
    <w:rsid w:val="00166443"/>
    <w:rsid w:val="0016707B"/>
    <w:rsid w:val="001678BB"/>
    <w:rsid w:val="0016799E"/>
    <w:rsid w:val="00167BA3"/>
    <w:rsid w:val="00167E97"/>
    <w:rsid w:val="00167EF0"/>
    <w:rsid w:val="001702BE"/>
    <w:rsid w:val="001702F8"/>
    <w:rsid w:val="00171511"/>
    <w:rsid w:val="00172BCB"/>
    <w:rsid w:val="00172FCB"/>
    <w:rsid w:val="00173B53"/>
    <w:rsid w:val="00173F46"/>
    <w:rsid w:val="0017423D"/>
    <w:rsid w:val="00175159"/>
    <w:rsid w:val="00175413"/>
    <w:rsid w:val="00176872"/>
    <w:rsid w:val="0017782A"/>
    <w:rsid w:val="001804BC"/>
    <w:rsid w:val="00180B0D"/>
    <w:rsid w:val="00180B47"/>
    <w:rsid w:val="00181081"/>
    <w:rsid w:val="001822A0"/>
    <w:rsid w:val="00182639"/>
    <w:rsid w:val="00182879"/>
    <w:rsid w:val="0018362E"/>
    <w:rsid w:val="0018393D"/>
    <w:rsid w:val="00183A4E"/>
    <w:rsid w:val="00183B83"/>
    <w:rsid w:val="001847B3"/>
    <w:rsid w:val="00184DDD"/>
    <w:rsid w:val="001854AD"/>
    <w:rsid w:val="00185F3B"/>
    <w:rsid w:val="00186AEB"/>
    <w:rsid w:val="00186C22"/>
    <w:rsid w:val="00190217"/>
    <w:rsid w:val="00190A6B"/>
    <w:rsid w:val="00190D70"/>
    <w:rsid w:val="0019113B"/>
    <w:rsid w:val="00191D45"/>
    <w:rsid w:val="00192182"/>
    <w:rsid w:val="00192352"/>
    <w:rsid w:val="00193216"/>
    <w:rsid w:val="001938EC"/>
    <w:rsid w:val="00193A7C"/>
    <w:rsid w:val="001942C9"/>
    <w:rsid w:val="00194C63"/>
    <w:rsid w:val="001955A2"/>
    <w:rsid w:val="001959C3"/>
    <w:rsid w:val="00195DDF"/>
    <w:rsid w:val="00196274"/>
    <w:rsid w:val="0019668D"/>
    <w:rsid w:val="00197584"/>
    <w:rsid w:val="00197BE3"/>
    <w:rsid w:val="00197F47"/>
    <w:rsid w:val="001A0729"/>
    <w:rsid w:val="001A124E"/>
    <w:rsid w:val="001A16D8"/>
    <w:rsid w:val="001A19FB"/>
    <w:rsid w:val="001A257A"/>
    <w:rsid w:val="001A25C6"/>
    <w:rsid w:val="001A26FF"/>
    <w:rsid w:val="001A302C"/>
    <w:rsid w:val="001A3319"/>
    <w:rsid w:val="001A3591"/>
    <w:rsid w:val="001A4442"/>
    <w:rsid w:val="001A6271"/>
    <w:rsid w:val="001A6775"/>
    <w:rsid w:val="001A68F9"/>
    <w:rsid w:val="001A6ECB"/>
    <w:rsid w:val="001A76F7"/>
    <w:rsid w:val="001B051E"/>
    <w:rsid w:val="001B1A68"/>
    <w:rsid w:val="001B1B3E"/>
    <w:rsid w:val="001B346B"/>
    <w:rsid w:val="001B3B60"/>
    <w:rsid w:val="001B4F60"/>
    <w:rsid w:val="001B7144"/>
    <w:rsid w:val="001B7448"/>
    <w:rsid w:val="001B7A2B"/>
    <w:rsid w:val="001B7C38"/>
    <w:rsid w:val="001B7CE4"/>
    <w:rsid w:val="001C0836"/>
    <w:rsid w:val="001C11BD"/>
    <w:rsid w:val="001C2461"/>
    <w:rsid w:val="001C2B1B"/>
    <w:rsid w:val="001C2DAC"/>
    <w:rsid w:val="001C3295"/>
    <w:rsid w:val="001C3752"/>
    <w:rsid w:val="001C3A0B"/>
    <w:rsid w:val="001C3C4E"/>
    <w:rsid w:val="001C43C0"/>
    <w:rsid w:val="001C4895"/>
    <w:rsid w:val="001C51D9"/>
    <w:rsid w:val="001C5210"/>
    <w:rsid w:val="001C53AA"/>
    <w:rsid w:val="001C5C7A"/>
    <w:rsid w:val="001C5D43"/>
    <w:rsid w:val="001C6781"/>
    <w:rsid w:val="001C7A0D"/>
    <w:rsid w:val="001C7C57"/>
    <w:rsid w:val="001D0BDE"/>
    <w:rsid w:val="001D0DCD"/>
    <w:rsid w:val="001D19F4"/>
    <w:rsid w:val="001D1F9B"/>
    <w:rsid w:val="001D2624"/>
    <w:rsid w:val="001D27D7"/>
    <w:rsid w:val="001D2A38"/>
    <w:rsid w:val="001D2F06"/>
    <w:rsid w:val="001D3129"/>
    <w:rsid w:val="001D31B4"/>
    <w:rsid w:val="001D3236"/>
    <w:rsid w:val="001D445D"/>
    <w:rsid w:val="001D48C5"/>
    <w:rsid w:val="001D49FF"/>
    <w:rsid w:val="001D536A"/>
    <w:rsid w:val="001D53B9"/>
    <w:rsid w:val="001D548A"/>
    <w:rsid w:val="001D56B2"/>
    <w:rsid w:val="001D6C03"/>
    <w:rsid w:val="001D70B2"/>
    <w:rsid w:val="001D766F"/>
    <w:rsid w:val="001D76C9"/>
    <w:rsid w:val="001E0240"/>
    <w:rsid w:val="001E029B"/>
    <w:rsid w:val="001E0B33"/>
    <w:rsid w:val="001E0FB3"/>
    <w:rsid w:val="001E1874"/>
    <w:rsid w:val="001E1AB6"/>
    <w:rsid w:val="001E433D"/>
    <w:rsid w:val="001E623D"/>
    <w:rsid w:val="001E7DBA"/>
    <w:rsid w:val="001F0862"/>
    <w:rsid w:val="001F0C53"/>
    <w:rsid w:val="001F0CCC"/>
    <w:rsid w:val="001F0D41"/>
    <w:rsid w:val="001F12AB"/>
    <w:rsid w:val="001F225B"/>
    <w:rsid w:val="001F30DD"/>
    <w:rsid w:val="001F34A6"/>
    <w:rsid w:val="001F3A4A"/>
    <w:rsid w:val="001F3D35"/>
    <w:rsid w:val="001F3E8D"/>
    <w:rsid w:val="001F446F"/>
    <w:rsid w:val="001F4CDB"/>
    <w:rsid w:val="001F52BC"/>
    <w:rsid w:val="0020010B"/>
    <w:rsid w:val="002012C3"/>
    <w:rsid w:val="00202109"/>
    <w:rsid w:val="00202B9D"/>
    <w:rsid w:val="0020467F"/>
    <w:rsid w:val="00204BF5"/>
    <w:rsid w:val="00205748"/>
    <w:rsid w:val="00206041"/>
    <w:rsid w:val="002062D8"/>
    <w:rsid w:val="00206A02"/>
    <w:rsid w:val="00206D4E"/>
    <w:rsid w:val="00207116"/>
    <w:rsid w:val="0020730B"/>
    <w:rsid w:val="00207999"/>
    <w:rsid w:val="00210527"/>
    <w:rsid w:val="00211026"/>
    <w:rsid w:val="00211E16"/>
    <w:rsid w:val="00212485"/>
    <w:rsid w:val="00212CF0"/>
    <w:rsid w:val="002132CB"/>
    <w:rsid w:val="00213D02"/>
    <w:rsid w:val="002141BB"/>
    <w:rsid w:val="00214F9F"/>
    <w:rsid w:val="00215246"/>
    <w:rsid w:val="00215446"/>
    <w:rsid w:val="00215641"/>
    <w:rsid w:val="0021747A"/>
    <w:rsid w:val="00217D6A"/>
    <w:rsid w:val="00217FCB"/>
    <w:rsid w:val="00220205"/>
    <w:rsid w:val="00221040"/>
    <w:rsid w:val="0022112C"/>
    <w:rsid w:val="0022346E"/>
    <w:rsid w:val="00224044"/>
    <w:rsid w:val="00224458"/>
    <w:rsid w:val="00224BDD"/>
    <w:rsid w:val="00225B0D"/>
    <w:rsid w:val="0022696B"/>
    <w:rsid w:val="0022730C"/>
    <w:rsid w:val="00230074"/>
    <w:rsid w:val="0023104F"/>
    <w:rsid w:val="00231266"/>
    <w:rsid w:val="0023153A"/>
    <w:rsid w:val="00231C29"/>
    <w:rsid w:val="002323F3"/>
    <w:rsid w:val="002325BF"/>
    <w:rsid w:val="00232CF2"/>
    <w:rsid w:val="00232DFD"/>
    <w:rsid w:val="00233F58"/>
    <w:rsid w:val="00234C38"/>
    <w:rsid w:val="00235123"/>
    <w:rsid w:val="00235B68"/>
    <w:rsid w:val="00235D85"/>
    <w:rsid w:val="00235EB5"/>
    <w:rsid w:val="00236506"/>
    <w:rsid w:val="00237323"/>
    <w:rsid w:val="00237E8E"/>
    <w:rsid w:val="00240000"/>
    <w:rsid w:val="00240390"/>
    <w:rsid w:val="00240A44"/>
    <w:rsid w:val="00240BD7"/>
    <w:rsid w:val="002411E7"/>
    <w:rsid w:val="002415A7"/>
    <w:rsid w:val="00242EA8"/>
    <w:rsid w:val="002433E7"/>
    <w:rsid w:val="0024408A"/>
    <w:rsid w:val="0024435F"/>
    <w:rsid w:val="00244C68"/>
    <w:rsid w:val="00244E17"/>
    <w:rsid w:val="00244EC8"/>
    <w:rsid w:val="00245040"/>
    <w:rsid w:val="0024527E"/>
    <w:rsid w:val="002463C4"/>
    <w:rsid w:val="002466BB"/>
    <w:rsid w:val="002466CD"/>
    <w:rsid w:val="00246BBA"/>
    <w:rsid w:val="00251148"/>
    <w:rsid w:val="00251B78"/>
    <w:rsid w:val="00251D5B"/>
    <w:rsid w:val="00252F82"/>
    <w:rsid w:val="00253313"/>
    <w:rsid w:val="002533FF"/>
    <w:rsid w:val="002540C1"/>
    <w:rsid w:val="00254B5B"/>
    <w:rsid w:val="0025562E"/>
    <w:rsid w:val="00257247"/>
    <w:rsid w:val="00260799"/>
    <w:rsid w:val="0026148B"/>
    <w:rsid w:val="00261EDA"/>
    <w:rsid w:val="002620FB"/>
    <w:rsid w:val="00262928"/>
    <w:rsid w:val="002633E7"/>
    <w:rsid w:val="0026389E"/>
    <w:rsid w:val="00264586"/>
    <w:rsid w:val="00264C49"/>
    <w:rsid w:val="00266559"/>
    <w:rsid w:val="00266A77"/>
    <w:rsid w:val="00267176"/>
    <w:rsid w:val="00271107"/>
    <w:rsid w:val="00272399"/>
    <w:rsid w:val="002726A5"/>
    <w:rsid w:val="00272F02"/>
    <w:rsid w:val="00273881"/>
    <w:rsid w:val="00274020"/>
    <w:rsid w:val="002749E0"/>
    <w:rsid w:val="002752D5"/>
    <w:rsid w:val="002752DF"/>
    <w:rsid w:val="00275A8E"/>
    <w:rsid w:val="00276228"/>
    <w:rsid w:val="00276B01"/>
    <w:rsid w:val="002773DE"/>
    <w:rsid w:val="002804E2"/>
    <w:rsid w:val="00280712"/>
    <w:rsid w:val="00282558"/>
    <w:rsid w:val="00282655"/>
    <w:rsid w:val="0028445A"/>
    <w:rsid w:val="002858C7"/>
    <w:rsid w:val="00285CE7"/>
    <w:rsid w:val="00287A67"/>
    <w:rsid w:val="0029022A"/>
    <w:rsid w:val="002906AF"/>
    <w:rsid w:val="00291028"/>
    <w:rsid w:val="00291BC8"/>
    <w:rsid w:val="00291E0F"/>
    <w:rsid w:val="002925C0"/>
    <w:rsid w:val="002930D8"/>
    <w:rsid w:val="00293C86"/>
    <w:rsid w:val="00293DF2"/>
    <w:rsid w:val="00293E86"/>
    <w:rsid w:val="00294B27"/>
    <w:rsid w:val="002950AB"/>
    <w:rsid w:val="002954EC"/>
    <w:rsid w:val="002955E9"/>
    <w:rsid w:val="00295DC9"/>
    <w:rsid w:val="00295E98"/>
    <w:rsid w:val="00296085"/>
    <w:rsid w:val="00296B46"/>
    <w:rsid w:val="002973E6"/>
    <w:rsid w:val="00297C15"/>
    <w:rsid w:val="002A010F"/>
    <w:rsid w:val="002A06B1"/>
    <w:rsid w:val="002A0C05"/>
    <w:rsid w:val="002A0D9F"/>
    <w:rsid w:val="002A108C"/>
    <w:rsid w:val="002A136B"/>
    <w:rsid w:val="002A15FC"/>
    <w:rsid w:val="002A2248"/>
    <w:rsid w:val="002A2B07"/>
    <w:rsid w:val="002A2F02"/>
    <w:rsid w:val="002A443C"/>
    <w:rsid w:val="002A4CCD"/>
    <w:rsid w:val="002A780C"/>
    <w:rsid w:val="002A7ACC"/>
    <w:rsid w:val="002B0369"/>
    <w:rsid w:val="002B0426"/>
    <w:rsid w:val="002B0658"/>
    <w:rsid w:val="002B0824"/>
    <w:rsid w:val="002B0844"/>
    <w:rsid w:val="002B0A99"/>
    <w:rsid w:val="002B2761"/>
    <w:rsid w:val="002B2D3C"/>
    <w:rsid w:val="002B2DC6"/>
    <w:rsid w:val="002B37FF"/>
    <w:rsid w:val="002B41EF"/>
    <w:rsid w:val="002B46FF"/>
    <w:rsid w:val="002B4B8F"/>
    <w:rsid w:val="002B5149"/>
    <w:rsid w:val="002B5E74"/>
    <w:rsid w:val="002B5EC7"/>
    <w:rsid w:val="002B6482"/>
    <w:rsid w:val="002B68F3"/>
    <w:rsid w:val="002B693D"/>
    <w:rsid w:val="002B69E6"/>
    <w:rsid w:val="002B7C71"/>
    <w:rsid w:val="002B7F6A"/>
    <w:rsid w:val="002C0313"/>
    <w:rsid w:val="002C0838"/>
    <w:rsid w:val="002C1399"/>
    <w:rsid w:val="002C1A9C"/>
    <w:rsid w:val="002C23BF"/>
    <w:rsid w:val="002C27C6"/>
    <w:rsid w:val="002C4BC0"/>
    <w:rsid w:val="002C512A"/>
    <w:rsid w:val="002C533D"/>
    <w:rsid w:val="002C551D"/>
    <w:rsid w:val="002C74F8"/>
    <w:rsid w:val="002C7545"/>
    <w:rsid w:val="002C756B"/>
    <w:rsid w:val="002D16B9"/>
    <w:rsid w:val="002D2556"/>
    <w:rsid w:val="002D2632"/>
    <w:rsid w:val="002D2759"/>
    <w:rsid w:val="002D2B11"/>
    <w:rsid w:val="002D35B7"/>
    <w:rsid w:val="002D396E"/>
    <w:rsid w:val="002D3BA3"/>
    <w:rsid w:val="002D48CA"/>
    <w:rsid w:val="002D4CB7"/>
    <w:rsid w:val="002D4DE3"/>
    <w:rsid w:val="002D500E"/>
    <w:rsid w:val="002D60F3"/>
    <w:rsid w:val="002D6133"/>
    <w:rsid w:val="002D61B2"/>
    <w:rsid w:val="002D62E8"/>
    <w:rsid w:val="002D70D8"/>
    <w:rsid w:val="002D78D1"/>
    <w:rsid w:val="002D7A8B"/>
    <w:rsid w:val="002E01B5"/>
    <w:rsid w:val="002E0431"/>
    <w:rsid w:val="002E0A20"/>
    <w:rsid w:val="002E0A29"/>
    <w:rsid w:val="002E1014"/>
    <w:rsid w:val="002E1828"/>
    <w:rsid w:val="002E252E"/>
    <w:rsid w:val="002E28AE"/>
    <w:rsid w:val="002E3857"/>
    <w:rsid w:val="002E3A77"/>
    <w:rsid w:val="002E3B01"/>
    <w:rsid w:val="002E4099"/>
    <w:rsid w:val="002E40F0"/>
    <w:rsid w:val="002E471E"/>
    <w:rsid w:val="002E4C37"/>
    <w:rsid w:val="002E5B9F"/>
    <w:rsid w:val="002E67F1"/>
    <w:rsid w:val="002E6A43"/>
    <w:rsid w:val="002E7B05"/>
    <w:rsid w:val="002F0335"/>
    <w:rsid w:val="002F03D3"/>
    <w:rsid w:val="002F0A73"/>
    <w:rsid w:val="002F0DFF"/>
    <w:rsid w:val="002F10C7"/>
    <w:rsid w:val="002F2763"/>
    <w:rsid w:val="002F2EF2"/>
    <w:rsid w:val="002F361F"/>
    <w:rsid w:val="002F3766"/>
    <w:rsid w:val="002F3DC6"/>
    <w:rsid w:val="002F537A"/>
    <w:rsid w:val="002F5BC1"/>
    <w:rsid w:val="002F5DA7"/>
    <w:rsid w:val="002F6ADD"/>
    <w:rsid w:val="002F6B6B"/>
    <w:rsid w:val="002F7090"/>
    <w:rsid w:val="002F73F1"/>
    <w:rsid w:val="002F7D0F"/>
    <w:rsid w:val="0030052A"/>
    <w:rsid w:val="003017CD"/>
    <w:rsid w:val="00302A13"/>
    <w:rsid w:val="003031D8"/>
    <w:rsid w:val="003039E0"/>
    <w:rsid w:val="00305072"/>
    <w:rsid w:val="00305B83"/>
    <w:rsid w:val="00305BA0"/>
    <w:rsid w:val="00305F00"/>
    <w:rsid w:val="00306205"/>
    <w:rsid w:val="00310B92"/>
    <w:rsid w:val="00310D0E"/>
    <w:rsid w:val="00311514"/>
    <w:rsid w:val="00311A79"/>
    <w:rsid w:val="0031239F"/>
    <w:rsid w:val="00313793"/>
    <w:rsid w:val="00314280"/>
    <w:rsid w:val="003142E4"/>
    <w:rsid w:val="003149B7"/>
    <w:rsid w:val="00315A05"/>
    <w:rsid w:val="00315D80"/>
    <w:rsid w:val="00316168"/>
    <w:rsid w:val="00316209"/>
    <w:rsid w:val="00316434"/>
    <w:rsid w:val="00316BD6"/>
    <w:rsid w:val="0031706E"/>
    <w:rsid w:val="00320C58"/>
    <w:rsid w:val="00321A49"/>
    <w:rsid w:val="003220AE"/>
    <w:rsid w:val="00322375"/>
    <w:rsid w:val="00322864"/>
    <w:rsid w:val="0032289B"/>
    <w:rsid w:val="00322F62"/>
    <w:rsid w:val="0032358C"/>
    <w:rsid w:val="003237B8"/>
    <w:rsid w:val="00323B90"/>
    <w:rsid w:val="00324054"/>
    <w:rsid w:val="00324482"/>
    <w:rsid w:val="003244B6"/>
    <w:rsid w:val="0032458D"/>
    <w:rsid w:val="0032474E"/>
    <w:rsid w:val="00324EA7"/>
    <w:rsid w:val="003250DD"/>
    <w:rsid w:val="00325133"/>
    <w:rsid w:val="0032545C"/>
    <w:rsid w:val="00325728"/>
    <w:rsid w:val="003259BF"/>
    <w:rsid w:val="00325AEE"/>
    <w:rsid w:val="003260D6"/>
    <w:rsid w:val="00327587"/>
    <w:rsid w:val="00327806"/>
    <w:rsid w:val="00330533"/>
    <w:rsid w:val="003321A5"/>
    <w:rsid w:val="00332458"/>
    <w:rsid w:val="00332F6B"/>
    <w:rsid w:val="00333A44"/>
    <w:rsid w:val="00334752"/>
    <w:rsid w:val="00336CEE"/>
    <w:rsid w:val="003378F5"/>
    <w:rsid w:val="00340338"/>
    <w:rsid w:val="00340B93"/>
    <w:rsid w:val="0034276A"/>
    <w:rsid w:val="00342F93"/>
    <w:rsid w:val="00343BF9"/>
    <w:rsid w:val="00344463"/>
    <w:rsid w:val="00345141"/>
    <w:rsid w:val="00346366"/>
    <w:rsid w:val="00346E36"/>
    <w:rsid w:val="00346F99"/>
    <w:rsid w:val="00347415"/>
    <w:rsid w:val="003475A7"/>
    <w:rsid w:val="0034766D"/>
    <w:rsid w:val="0035002F"/>
    <w:rsid w:val="003501A7"/>
    <w:rsid w:val="00350438"/>
    <w:rsid w:val="00350568"/>
    <w:rsid w:val="0035170F"/>
    <w:rsid w:val="00351A22"/>
    <w:rsid w:val="00351E95"/>
    <w:rsid w:val="003526EC"/>
    <w:rsid w:val="00354391"/>
    <w:rsid w:val="003550D4"/>
    <w:rsid w:val="00355419"/>
    <w:rsid w:val="00355DED"/>
    <w:rsid w:val="003563E9"/>
    <w:rsid w:val="003577A4"/>
    <w:rsid w:val="00357ACD"/>
    <w:rsid w:val="00360BD4"/>
    <w:rsid w:val="00360EA7"/>
    <w:rsid w:val="00361C1F"/>
    <w:rsid w:val="0036254B"/>
    <w:rsid w:val="00362730"/>
    <w:rsid w:val="00362CE6"/>
    <w:rsid w:val="00362DDA"/>
    <w:rsid w:val="00363691"/>
    <w:rsid w:val="00363E23"/>
    <w:rsid w:val="00363ED0"/>
    <w:rsid w:val="00363FFA"/>
    <w:rsid w:val="003650BF"/>
    <w:rsid w:val="00365A8E"/>
    <w:rsid w:val="00367345"/>
    <w:rsid w:val="003675FD"/>
    <w:rsid w:val="00367C09"/>
    <w:rsid w:val="003707ED"/>
    <w:rsid w:val="00372950"/>
    <w:rsid w:val="00373045"/>
    <w:rsid w:val="003732ED"/>
    <w:rsid w:val="00374A84"/>
    <w:rsid w:val="00375AC1"/>
    <w:rsid w:val="00376202"/>
    <w:rsid w:val="003762AD"/>
    <w:rsid w:val="0037633C"/>
    <w:rsid w:val="00376A11"/>
    <w:rsid w:val="00376E91"/>
    <w:rsid w:val="00377455"/>
    <w:rsid w:val="00377B04"/>
    <w:rsid w:val="00377E0C"/>
    <w:rsid w:val="00380120"/>
    <w:rsid w:val="00380BD2"/>
    <w:rsid w:val="00381717"/>
    <w:rsid w:val="0038194B"/>
    <w:rsid w:val="00382486"/>
    <w:rsid w:val="00383102"/>
    <w:rsid w:val="003862E2"/>
    <w:rsid w:val="003869B9"/>
    <w:rsid w:val="00386EC7"/>
    <w:rsid w:val="00387494"/>
    <w:rsid w:val="003875DC"/>
    <w:rsid w:val="00387AB5"/>
    <w:rsid w:val="00387CAA"/>
    <w:rsid w:val="00387DE3"/>
    <w:rsid w:val="00390255"/>
    <w:rsid w:val="00390FE3"/>
    <w:rsid w:val="00390FFF"/>
    <w:rsid w:val="00391925"/>
    <w:rsid w:val="00392BF9"/>
    <w:rsid w:val="00393400"/>
    <w:rsid w:val="00393460"/>
    <w:rsid w:val="0039394D"/>
    <w:rsid w:val="00393ABE"/>
    <w:rsid w:val="00393D6E"/>
    <w:rsid w:val="003949EB"/>
    <w:rsid w:val="00394C02"/>
    <w:rsid w:val="00395A4A"/>
    <w:rsid w:val="003961A3"/>
    <w:rsid w:val="00396645"/>
    <w:rsid w:val="003968FB"/>
    <w:rsid w:val="00396E04"/>
    <w:rsid w:val="003A035B"/>
    <w:rsid w:val="003A0BE5"/>
    <w:rsid w:val="003A1AF7"/>
    <w:rsid w:val="003A25ED"/>
    <w:rsid w:val="003A4362"/>
    <w:rsid w:val="003A475D"/>
    <w:rsid w:val="003A5B8D"/>
    <w:rsid w:val="003A610B"/>
    <w:rsid w:val="003B00C5"/>
    <w:rsid w:val="003B07C9"/>
    <w:rsid w:val="003B1578"/>
    <w:rsid w:val="003B1679"/>
    <w:rsid w:val="003B1B28"/>
    <w:rsid w:val="003B32D7"/>
    <w:rsid w:val="003B34B6"/>
    <w:rsid w:val="003B3804"/>
    <w:rsid w:val="003B4151"/>
    <w:rsid w:val="003B4201"/>
    <w:rsid w:val="003B4773"/>
    <w:rsid w:val="003B49B7"/>
    <w:rsid w:val="003B58C7"/>
    <w:rsid w:val="003B6278"/>
    <w:rsid w:val="003B694D"/>
    <w:rsid w:val="003B6F59"/>
    <w:rsid w:val="003B6FB2"/>
    <w:rsid w:val="003B7236"/>
    <w:rsid w:val="003B75A4"/>
    <w:rsid w:val="003C017F"/>
    <w:rsid w:val="003C140E"/>
    <w:rsid w:val="003C15FC"/>
    <w:rsid w:val="003C1798"/>
    <w:rsid w:val="003C182A"/>
    <w:rsid w:val="003C1AAA"/>
    <w:rsid w:val="003C3951"/>
    <w:rsid w:val="003C3A70"/>
    <w:rsid w:val="003C3BED"/>
    <w:rsid w:val="003C420D"/>
    <w:rsid w:val="003C63BE"/>
    <w:rsid w:val="003C6BD0"/>
    <w:rsid w:val="003C754E"/>
    <w:rsid w:val="003C75E5"/>
    <w:rsid w:val="003D13C3"/>
    <w:rsid w:val="003D2BE3"/>
    <w:rsid w:val="003D3A42"/>
    <w:rsid w:val="003D3C55"/>
    <w:rsid w:val="003D4168"/>
    <w:rsid w:val="003D4579"/>
    <w:rsid w:val="003D5205"/>
    <w:rsid w:val="003D63F5"/>
    <w:rsid w:val="003D6406"/>
    <w:rsid w:val="003D6BAA"/>
    <w:rsid w:val="003D6E90"/>
    <w:rsid w:val="003D78B5"/>
    <w:rsid w:val="003D79D7"/>
    <w:rsid w:val="003D7F1B"/>
    <w:rsid w:val="003E0CB2"/>
    <w:rsid w:val="003E0D52"/>
    <w:rsid w:val="003E184C"/>
    <w:rsid w:val="003E194F"/>
    <w:rsid w:val="003E1D94"/>
    <w:rsid w:val="003E2017"/>
    <w:rsid w:val="003E22DC"/>
    <w:rsid w:val="003E2CD7"/>
    <w:rsid w:val="003E33E0"/>
    <w:rsid w:val="003E3FAE"/>
    <w:rsid w:val="003E4723"/>
    <w:rsid w:val="003E52C1"/>
    <w:rsid w:val="003E52D5"/>
    <w:rsid w:val="003E53D3"/>
    <w:rsid w:val="003E54A5"/>
    <w:rsid w:val="003E550B"/>
    <w:rsid w:val="003E55B3"/>
    <w:rsid w:val="003E5778"/>
    <w:rsid w:val="003E5F83"/>
    <w:rsid w:val="003E6645"/>
    <w:rsid w:val="003E6EAC"/>
    <w:rsid w:val="003E6EB2"/>
    <w:rsid w:val="003E7C1F"/>
    <w:rsid w:val="003F02E8"/>
    <w:rsid w:val="003F0B03"/>
    <w:rsid w:val="003F0C3C"/>
    <w:rsid w:val="003F16B1"/>
    <w:rsid w:val="003F17AF"/>
    <w:rsid w:val="003F1AFB"/>
    <w:rsid w:val="003F1B16"/>
    <w:rsid w:val="003F268C"/>
    <w:rsid w:val="003F2A76"/>
    <w:rsid w:val="003F2B9B"/>
    <w:rsid w:val="003F2CCC"/>
    <w:rsid w:val="003F314A"/>
    <w:rsid w:val="003F3B4E"/>
    <w:rsid w:val="003F3E2E"/>
    <w:rsid w:val="003F44FD"/>
    <w:rsid w:val="003F5295"/>
    <w:rsid w:val="003F52D5"/>
    <w:rsid w:val="003F596E"/>
    <w:rsid w:val="003F5973"/>
    <w:rsid w:val="003F5FD4"/>
    <w:rsid w:val="003F6955"/>
    <w:rsid w:val="003F6B5D"/>
    <w:rsid w:val="003F6BBF"/>
    <w:rsid w:val="003F7063"/>
    <w:rsid w:val="003F7F56"/>
    <w:rsid w:val="0040010F"/>
    <w:rsid w:val="00401151"/>
    <w:rsid w:val="00401393"/>
    <w:rsid w:val="00401F7C"/>
    <w:rsid w:val="004026A8"/>
    <w:rsid w:val="00403119"/>
    <w:rsid w:val="00403912"/>
    <w:rsid w:val="00405C32"/>
    <w:rsid w:val="00405F68"/>
    <w:rsid w:val="00407C67"/>
    <w:rsid w:val="00410BB4"/>
    <w:rsid w:val="00411147"/>
    <w:rsid w:val="0041138B"/>
    <w:rsid w:val="00411592"/>
    <w:rsid w:val="00412017"/>
    <w:rsid w:val="00412B5D"/>
    <w:rsid w:val="00413174"/>
    <w:rsid w:val="00413C4C"/>
    <w:rsid w:val="00413C64"/>
    <w:rsid w:val="00413E55"/>
    <w:rsid w:val="00413EE9"/>
    <w:rsid w:val="00414206"/>
    <w:rsid w:val="00414314"/>
    <w:rsid w:val="00414382"/>
    <w:rsid w:val="004151B7"/>
    <w:rsid w:val="00416293"/>
    <w:rsid w:val="00416B98"/>
    <w:rsid w:val="0042060A"/>
    <w:rsid w:val="00420E39"/>
    <w:rsid w:val="0042115D"/>
    <w:rsid w:val="00421CBE"/>
    <w:rsid w:val="00422204"/>
    <w:rsid w:val="0042284A"/>
    <w:rsid w:val="00422EBE"/>
    <w:rsid w:val="00423091"/>
    <w:rsid w:val="00423522"/>
    <w:rsid w:val="0042363D"/>
    <w:rsid w:val="00423B32"/>
    <w:rsid w:val="00425B90"/>
    <w:rsid w:val="00425C5F"/>
    <w:rsid w:val="00425DAE"/>
    <w:rsid w:val="0042615D"/>
    <w:rsid w:val="00427132"/>
    <w:rsid w:val="00430C30"/>
    <w:rsid w:val="00431E25"/>
    <w:rsid w:val="00432447"/>
    <w:rsid w:val="004337FB"/>
    <w:rsid w:val="00434883"/>
    <w:rsid w:val="004348C9"/>
    <w:rsid w:val="004362D3"/>
    <w:rsid w:val="00436515"/>
    <w:rsid w:val="004366B4"/>
    <w:rsid w:val="004374E4"/>
    <w:rsid w:val="00437747"/>
    <w:rsid w:val="00437ABC"/>
    <w:rsid w:val="004403A8"/>
    <w:rsid w:val="00442D87"/>
    <w:rsid w:val="00442F96"/>
    <w:rsid w:val="00443398"/>
    <w:rsid w:val="0044388D"/>
    <w:rsid w:val="00443EE9"/>
    <w:rsid w:val="00443F68"/>
    <w:rsid w:val="00443FD1"/>
    <w:rsid w:val="004456D6"/>
    <w:rsid w:val="00445CE1"/>
    <w:rsid w:val="00445F21"/>
    <w:rsid w:val="00445F32"/>
    <w:rsid w:val="00446133"/>
    <w:rsid w:val="0044692E"/>
    <w:rsid w:val="00446FC9"/>
    <w:rsid w:val="0044741D"/>
    <w:rsid w:val="004502E6"/>
    <w:rsid w:val="00450365"/>
    <w:rsid w:val="00450892"/>
    <w:rsid w:val="004509BE"/>
    <w:rsid w:val="0045175F"/>
    <w:rsid w:val="00451A4E"/>
    <w:rsid w:val="004521CF"/>
    <w:rsid w:val="00453023"/>
    <w:rsid w:val="00453E39"/>
    <w:rsid w:val="004540D5"/>
    <w:rsid w:val="00454712"/>
    <w:rsid w:val="00454B11"/>
    <w:rsid w:val="0045518B"/>
    <w:rsid w:val="0045552F"/>
    <w:rsid w:val="00455A87"/>
    <w:rsid w:val="004567AD"/>
    <w:rsid w:val="004569E5"/>
    <w:rsid w:val="00457147"/>
    <w:rsid w:val="0045758D"/>
    <w:rsid w:val="004617C0"/>
    <w:rsid w:val="00461A4B"/>
    <w:rsid w:val="004621AD"/>
    <w:rsid w:val="00462C63"/>
    <w:rsid w:val="00464035"/>
    <w:rsid w:val="004649FD"/>
    <w:rsid w:val="00464CB0"/>
    <w:rsid w:val="0046506C"/>
    <w:rsid w:val="004651F1"/>
    <w:rsid w:val="00466111"/>
    <w:rsid w:val="00466638"/>
    <w:rsid w:val="004666A5"/>
    <w:rsid w:val="00467259"/>
    <w:rsid w:val="004674BF"/>
    <w:rsid w:val="0046789B"/>
    <w:rsid w:val="004679DE"/>
    <w:rsid w:val="00467AB9"/>
    <w:rsid w:val="00470A35"/>
    <w:rsid w:val="00470B50"/>
    <w:rsid w:val="00470D6F"/>
    <w:rsid w:val="004714F5"/>
    <w:rsid w:val="004715F0"/>
    <w:rsid w:val="0047178D"/>
    <w:rsid w:val="00474279"/>
    <w:rsid w:val="004742AC"/>
    <w:rsid w:val="00474AE1"/>
    <w:rsid w:val="00474B6B"/>
    <w:rsid w:val="00475F0B"/>
    <w:rsid w:val="00476073"/>
    <w:rsid w:val="004767D6"/>
    <w:rsid w:val="004776A8"/>
    <w:rsid w:val="00477B3D"/>
    <w:rsid w:val="00477F84"/>
    <w:rsid w:val="00480878"/>
    <w:rsid w:val="00481F03"/>
    <w:rsid w:val="004837E0"/>
    <w:rsid w:val="00483B11"/>
    <w:rsid w:val="00484ABE"/>
    <w:rsid w:val="00484F36"/>
    <w:rsid w:val="004851F6"/>
    <w:rsid w:val="00485396"/>
    <w:rsid w:val="004860C0"/>
    <w:rsid w:val="00486267"/>
    <w:rsid w:val="004870E8"/>
    <w:rsid w:val="004871BA"/>
    <w:rsid w:val="004877A5"/>
    <w:rsid w:val="004877FC"/>
    <w:rsid w:val="00490EC5"/>
    <w:rsid w:val="00491BBE"/>
    <w:rsid w:val="00491F91"/>
    <w:rsid w:val="0049241F"/>
    <w:rsid w:val="004925D3"/>
    <w:rsid w:val="00492F31"/>
    <w:rsid w:val="004931EE"/>
    <w:rsid w:val="00493407"/>
    <w:rsid w:val="0049386D"/>
    <w:rsid w:val="00494417"/>
    <w:rsid w:val="00494738"/>
    <w:rsid w:val="00495872"/>
    <w:rsid w:val="00495E93"/>
    <w:rsid w:val="0049694E"/>
    <w:rsid w:val="004969FA"/>
    <w:rsid w:val="00497193"/>
    <w:rsid w:val="004972C7"/>
    <w:rsid w:val="004972D7"/>
    <w:rsid w:val="0049732D"/>
    <w:rsid w:val="00497377"/>
    <w:rsid w:val="00497C7D"/>
    <w:rsid w:val="004A00EE"/>
    <w:rsid w:val="004A01D2"/>
    <w:rsid w:val="004A1585"/>
    <w:rsid w:val="004A1BA5"/>
    <w:rsid w:val="004A210C"/>
    <w:rsid w:val="004A3DA7"/>
    <w:rsid w:val="004A4018"/>
    <w:rsid w:val="004A468E"/>
    <w:rsid w:val="004A6324"/>
    <w:rsid w:val="004A76A2"/>
    <w:rsid w:val="004A7A1A"/>
    <w:rsid w:val="004A7B41"/>
    <w:rsid w:val="004B0173"/>
    <w:rsid w:val="004B01DA"/>
    <w:rsid w:val="004B1B9F"/>
    <w:rsid w:val="004B3293"/>
    <w:rsid w:val="004B360C"/>
    <w:rsid w:val="004B39FE"/>
    <w:rsid w:val="004B41CD"/>
    <w:rsid w:val="004B4B03"/>
    <w:rsid w:val="004B5E84"/>
    <w:rsid w:val="004B6622"/>
    <w:rsid w:val="004B6C9E"/>
    <w:rsid w:val="004B6CD7"/>
    <w:rsid w:val="004B7364"/>
    <w:rsid w:val="004B7409"/>
    <w:rsid w:val="004B74B9"/>
    <w:rsid w:val="004B77F4"/>
    <w:rsid w:val="004B7DE1"/>
    <w:rsid w:val="004C0A19"/>
    <w:rsid w:val="004C1E11"/>
    <w:rsid w:val="004C29EE"/>
    <w:rsid w:val="004C2D24"/>
    <w:rsid w:val="004C359B"/>
    <w:rsid w:val="004C38DD"/>
    <w:rsid w:val="004C3FDF"/>
    <w:rsid w:val="004C4BE1"/>
    <w:rsid w:val="004C5388"/>
    <w:rsid w:val="004C559D"/>
    <w:rsid w:val="004C6C05"/>
    <w:rsid w:val="004C78F5"/>
    <w:rsid w:val="004D00E8"/>
    <w:rsid w:val="004D0196"/>
    <w:rsid w:val="004D08C8"/>
    <w:rsid w:val="004D17BD"/>
    <w:rsid w:val="004D1D79"/>
    <w:rsid w:val="004D1F8C"/>
    <w:rsid w:val="004D2593"/>
    <w:rsid w:val="004D2963"/>
    <w:rsid w:val="004D298F"/>
    <w:rsid w:val="004D2A7F"/>
    <w:rsid w:val="004D2E6C"/>
    <w:rsid w:val="004D366A"/>
    <w:rsid w:val="004D404E"/>
    <w:rsid w:val="004D5889"/>
    <w:rsid w:val="004D5C7A"/>
    <w:rsid w:val="004D6291"/>
    <w:rsid w:val="004D64E0"/>
    <w:rsid w:val="004D6686"/>
    <w:rsid w:val="004E0321"/>
    <w:rsid w:val="004E0408"/>
    <w:rsid w:val="004E059E"/>
    <w:rsid w:val="004E0951"/>
    <w:rsid w:val="004E09FA"/>
    <w:rsid w:val="004E0D8D"/>
    <w:rsid w:val="004E0E89"/>
    <w:rsid w:val="004E144F"/>
    <w:rsid w:val="004E2390"/>
    <w:rsid w:val="004E2567"/>
    <w:rsid w:val="004E25CB"/>
    <w:rsid w:val="004E2D51"/>
    <w:rsid w:val="004E2F94"/>
    <w:rsid w:val="004E3572"/>
    <w:rsid w:val="004E3DBA"/>
    <w:rsid w:val="004E3F39"/>
    <w:rsid w:val="004E4541"/>
    <w:rsid w:val="004E52ED"/>
    <w:rsid w:val="004E5B56"/>
    <w:rsid w:val="004E62FE"/>
    <w:rsid w:val="004F0882"/>
    <w:rsid w:val="004F0BAD"/>
    <w:rsid w:val="004F1525"/>
    <w:rsid w:val="004F208E"/>
    <w:rsid w:val="004F28F7"/>
    <w:rsid w:val="004F2C6B"/>
    <w:rsid w:val="004F3023"/>
    <w:rsid w:val="004F36F4"/>
    <w:rsid w:val="004F3893"/>
    <w:rsid w:val="004F3DFD"/>
    <w:rsid w:val="004F496B"/>
    <w:rsid w:val="004F4FD9"/>
    <w:rsid w:val="004F51BB"/>
    <w:rsid w:val="004F5C6A"/>
    <w:rsid w:val="004F61C5"/>
    <w:rsid w:val="004F651F"/>
    <w:rsid w:val="004F6AB8"/>
    <w:rsid w:val="004F6E6F"/>
    <w:rsid w:val="004F7D39"/>
    <w:rsid w:val="00501097"/>
    <w:rsid w:val="005015F8"/>
    <w:rsid w:val="00502486"/>
    <w:rsid w:val="005028D0"/>
    <w:rsid w:val="00504983"/>
    <w:rsid w:val="00505359"/>
    <w:rsid w:val="0050536B"/>
    <w:rsid w:val="00505F4A"/>
    <w:rsid w:val="005069A6"/>
    <w:rsid w:val="00506C60"/>
    <w:rsid w:val="00507133"/>
    <w:rsid w:val="0050793F"/>
    <w:rsid w:val="005106FD"/>
    <w:rsid w:val="005108EF"/>
    <w:rsid w:val="00511037"/>
    <w:rsid w:val="00512D7E"/>
    <w:rsid w:val="00512E81"/>
    <w:rsid w:val="005148CE"/>
    <w:rsid w:val="00515684"/>
    <w:rsid w:val="00515B8C"/>
    <w:rsid w:val="00516859"/>
    <w:rsid w:val="00516B64"/>
    <w:rsid w:val="00517873"/>
    <w:rsid w:val="00517D7E"/>
    <w:rsid w:val="00520078"/>
    <w:rsid w:val="0052049B"/>
    <w:rsid w:val="00520A69"/>
    <w:rsid w:val="00521114"/>
    <w:rsid w:val="005216C3"/>
    <w:rsid w:val="00521F32"/>
    <w:rsid w:val="005223B1"/>
    <w:rsid w:val="005225C2"/>
    <w:rsid w:val="00524B96"/>
    <w:rsid w:val="005254E5"/>
    <w:rsid w:val="005267CE"/>
    <w:rsid w:val="00530193"/>
    <w:rsid w:val="0053063D"/>
    <w:rsid w:val="005309F3"/>
    <w:rsid w:val="00531208"/>
    <w:rsid w:val="0053145C"/>
    <w:rsid w:val="0053167C"/>
    <w:rsid w:val="005316D1"/>
    <w:rsid w:val="00531E2F"/>
    <w:rsid w:val="00531F33"/>
    <w:rsid w:val="0053246E"/>
    <w:rsid w:val="005325DA"/>
    <w:rsid w:val="005343CD"/>
    <w:rsid w:val="00534D5C"/>
    <w:rsid w:val="005350FE"/>
    <w:rsid w:val="00535872"/>
    <w:rsid w:val="00535908"/>
    <w:rsid w:val="0053631F"/>
    <w:rsid w:val="005365EE"/>
    <w:rsid w:val="005366E9"/>
    <w:rsid w:val="00536B60"/>
    <w:rsid w:val="00537508"/>
    <w:rsid w:val="00537ADE"/>
    <w:rsid w:val="00540558"/>
    <w:rsid w:val="00540C5A"/>
    <w:rsid w:val="00541916"/>
    <w:rsid w:val="005424D7"/>
    <w:rsid w:val="0054286E"/>
    <w:rsid w:val="00543567"/>
    <w:rsid w:val="00543585"/>
    <w:rsid w:val="00543F1B"/>
    <w:rsid w:val="00544428"/>
    <w:rsid w:val="005447AF"/>
    <w:rsid w:val="00544E27"/>
    <w:rsid w:val="00544EED"/>
    <w:rsid w:val="005455D1"/>
    <w:rsid w:val="0054641B"/>
    <w:rsid w:val="00546E6F"/>
    <w:rsid w:val="005474E3"/>
    <w:rsid w:val="005503B4"/>
    <w:rsid w:val="00550BC4"/>
    <w:rsid w:val="00550F3C"/>
    <w:rsid w:val="0055146C"/>
    <w:rsid w:val="0055161A"/>
    <w:rsid w:val="005518EE"/>
    <w:rsid w:val="00551D1A"/>
    <w:rsid w:val="005521AC"/>
    <w:rsid w:val="0055238D"/>
    <w:rsid w:val="00552A63"/>
    <w:rsid w:val="00552BC7"/>
    <w:rsid w:val="00552F8A"/>
    <w:rsid w:val="00552FCB"/>
    <w:rsid w:val="0055378E"/>
    <w:rsid w:val="00553A34"/>
    <w:rsid w:val="0055518E"/>
    <w:rsid w:val="00555CC1"/>
    <w:rsid w:val="005563E5"/>
    <w:rsid w:val="0055669C"/>
    <w:rsid w:val="00557824"/>
    <w:rsid w:val="00560779"/>
    <w:rsid w:val="00560AC7"/>
    <w:rsid w:val="00560F05"/>
    <w:rsid w:val="005638E7"/>
    <w:rsid w:val="00564403"/>
    <w:rsid w:val="0056507B"/>
    <w:rsid w:val="0056557C"/>
    <w:rsid w:val="00565758"/>
    <w:rsid w:val="00565C04"/>
    <w:rsid w:val="0056671F"/>
    <w:rsid w:val="005667E6"/>
    <w:rsid w:val="00566B99"/>
    <w:rsid w:val="00566E98"/>
    <w:rsid w:val="00567292"/>
    <w:rsid w:val="00567D67"/>
    <w:rsid w:val="00570B8F"/>
    <w:rsid w:val="0057125C"/>
    <w:rsid w:val="00571B7E"/>
    <w:rsid w:val="00571D59"/>
    <w:rsid w:val="00572BC8"/>
    <w:rsid w:val="00573E8D"/>
    <w:rsid w:val="00574074"/>
    <w:rsid w:val="00574141"/>
    <w:rsid w:val="00574818"/>
    <w:rsid w:val="0057495C"/>
    <w:rsid w:val="00574BD2"/>
    <w:rsid w:val="0057579E"/>
    <w:rsid w:val="00576CE4"/>
    <w:rsid w:val="00577343"/>
    <w:rsid w:val="005816A5"/>
    <w:rsid w:val="0058175A"/>
    <w:rsid w:val="00581930"/>
    <w:rsid w:val="00581A28"/>
    <w:rsid w:val="00582246"/>
    <w:rsid w:val="00583036"/>
    <w:rsid w:val="00584290"/>
    <w:rsid w:val="00584772"/>
    <w:rsid w:val="005847DD"/>
    <w:rsid w:val="00584A3B"/>
    <w:rsid w:val="00584BB1"/>
    <w:rsid w:val="00585018"/>
    <w:rsid w:val="00586227"/>
    <w:rsid w:val="0058787C"/>
    <w:rsid w:val="005902ED"/>
    <w:rsid w:val="00590D23"/>
    <w:rsid w:val="00590EE3"/>
    <w:rsid w:val="00590F3E"/>
    <w:rsid w:val="0059122E"/>
    <w:rsid w:val="005926A6"/>
    <w:rsid w:val="00593467"/>
    <w:rsid w:val="00593DC2"/>
    <w:rsid w:val="00595167"/>
    <w:rsid w:val="00595B53"/>
    <w:rsid w:val="00595E88"/>
    <w:rsid w:val="00596BFE"/>
    <w:rsid w:val="005970DB"/>
    <w:rsid w:val="00597155"/>
    <w:rsid w:val="00597BE6"/>
    <w:rsid w:val="005A02BE"/>
    <w:rsid w:val="005A1664"/>
    <w:rsid w:val="005A1BD1"/>
    <w:rsid w:val="005A1CD2"/>
    <w:rsid w:val="005A1F3E"/>
    <w:rsid w:val="005A24CA"/>
    <w:rsid w:val="005A288F"/>
    <w:rsid w:val="005A37D4"/>
    <w:rsid w:val="005A3E3B"/>
    <w:rsid w:val="005A4D6D"/>
    <w:rsid w:val="005A5285"/>
    <w:rsid w:val="005A5CA7"/>
    <w:rsid w:val="005A5DFB"/>
    <w:rsid w:val="005A6370"/>
    <w:rsid w:val="005A6A71"/>
    <w:rsid w:val="005A71B8"/>
    <w:rsid w:val="005A7557"/>
    <w:rsid w:val="005B0364"/>
    <w:rsid w:val="005B06A6"/>
    <w:rsid w:val="005B1621"/>
    <w:rsid w:val="005B1B3D"/>
    <w:rsid w:val="005B1CEE"/>
    <w:rsid w:val="005B1D42"/>
    <w:rsid w:val="005B1F7B"/>
    <w:rsid w:val="005B3475"/>
    <w:rsid w:val="005B3582"/>
    <w:rsid w:val="005B4260"/>
    <w:rsid w:val="005B4273"/>
    <w:rsid w:val="005B4A1C"/>
    <w:rsid w:val="005B4FFA"/>
    <w:rsid w:val="005B5427"/>
    <w:rsid w:val="005B60AF"/>
    <w:rsid w:val="005B6169"/>
    <w:rsid w:val="005B6330"/>
    <w:rsid w:val="005B738B"/>
    <w:rsid w:val="005C05BA"/>
    <w:rsid w:val="005C177C"/>
    <w:rsid w:val="005C1EE1"/>
    <w:rsid w:val="005C24A1"/>
    <w:rsid w:val="005C423E"/>
    <w:rsid w:val="005C4283"/>
    <w:rsid w:val="005C5B4F"/>
    <w:rsid w:val="005C64C8"/>
    <w:rsid w:val="005C6658"/>
    <w:rsid w:val="005C678B"/>
    <w:rsid w:val="005C6F46"/>
    <w:rsid w:val="005C7575"/>
    <w:rsid w:val="005C7CF4"/>
    <w:rsid w:val="005D0C0F"/>
    <w:rsid w:val="005D1644"/>
    <w:rsid w:val="005D1903"/>
    <w:rsid w:val="005D21F5"/>
    <w:rsid w:val="005D26D3"/>
    <w:rsid w:val="005D3B61"/>
    <w:rsid w:val="005D3BD9"/>
    <w:rsid w:val="005D54E6"/>
    <w:rsid w:val="005D581D"/>
    <w:rsid w:val="005D63FA"/>
    <w:rsid w:val="005D715C"/>
    <w:rsid w:val="005D75C5"/>
    <w:rsid w:val="005E0AB4"/>
    <w:rsid w:val="005E0F33"/>
    <w:rsid w:val="005E1AF7"/>
    <w:rsid w:val="005E1E93"/>
    <w:rsid w:val="005E1F79"/>
    <w:rsid w:val="005E20CA"/>
    <w:rsid w:val="005E25B2"/>
    <w:rsid w:val="005E2AA8"/>
    <w:rsid w:val="005E2BE2"/>
    <w:rsid w:val="005E3669"/>
    <w:rsid w:val="005E3AD5"/>
    <w:rsid w:val="005E3C89"/>
    <w:rsid w:val="005E4B91"/>
    <w:rsid w:val="005E5403"/>
    <w:rsid w:val="005E59A8"/>
    <w:rsid w:val="005E6EE9"/>
    <w:rsid w:val="005E7347"/>
    <w:rsid w:val="005F022B"/>
    <w:rsid w:val="005F0FB9"/>
    <w:rsid w:val="005F1710"/>
    <w:rsid w:val="005F27FE"/>
    <w:rsid w:val="005F379D"/>
    <w:rsid w:val="005F3B9B"/>
    <w:rsid w:val="005F45B3"/>
    <w:rsid w:val="005F4DA6"/>
    <w:rsid w:val="005F5298"/>
    <w:rsid w:val="005F5AC2"/>
    <w:rsid w:val="005F5B2F"/>
    <w:rsid w:val="005F5F79"/>
    <w:rsid w:val="005F63A8"/>
    <w:rsid w:val="005F6645"/>
    <w:rsid w:val="005F69E4"/>
    <w:rsid w:val="005F6B52"/>
    <w:rsid w:val="005F77A9"/>
    <w:rsid w:val="005F7E54"/>
    <w:rsid w:val="006001DB"/>
    <w:rsid w:val="00600CD8"/>
    <w:rsid w:val="00601525"/>
    <w:rsid w:val="00601DDD"/>
    <w:rsid w:val="00602DFA"/>
    <w:rsid w:val="00604F4E"/>
    <w:rsid w:val="006057C5"/>
    <w:rsid w:val="00606510"/>
    <w:rsid w:val="006067D8"/>
    <w:rsid w:val="00606E1F"/>
    <w:rsid w:val="006070FD"/>
    <w:rsid w:val="006108A4"/>
    <w:rsid w:val="00610E49"/>
    <w:rsid w:val="00611A2C"/>
    <w:rsid w:val="00611E54"/>
    <w:rsid w:val="006121BB"/>
    <w:rsid w:val="00612D05"/>
    <w:rsid w:val="00613A66"/>
    <w:rsid w:val="0061401C"/>
    <w:rsid w:val="006149D0"/>
    <w:rsid w:val="006149FA"/>
    <w:rsid w:val="00615552"/>
    <w:rsid w:val="0061556E"/>
    <w:rsid w:val="006164BB"/>
    <w:rsid w:val="00616703"/>
    <w:rsid w:val="00616797"/>
    <w:rsid w:val="0061753B"/>
    <w:rsid w:val="00617548"/>
    <w:rsid w:val="00620460"/>
    <w:rsid w:val="00620740"/>
    <w:rsid w:val="006207C2"/>
    <w:rsid w:val="006214C2"/>
    <w:rsid w:val="00621B1B"/>
    <w:rsid w:val="00621D7C"/>
    <w:rsid w:val="0062249D"/>
    <w:rsid w:val="006226D2"/>
    <w:rsid w:val="0062280A"/>
    <w:rsid w:val="00622DF5"/>
    <w:rsid w:val="0062391A"/>
    <w:rsid w:val="0062436E"/>
    <w:rsid w:val="006249D4"/>
    <w:rsid w:val="00625E64"/>
    <w:rsid w:val="00626A2E"/>
    <w:rsid w:val="00626D41"/>
    <w:rsid w:val="00627C8B"/>
    <w:rsid w:val="00630305"/>
    <w:rsid w:val="006306FB"/>
    <w:rsid w:val="00632FB8"/>
    <w:rsid w:val="00634138"/>
    <w:rsid w:val="00635B44"/>
    <w:rsid w:val="00636C9A"/>
    <w:rsid w:val="00636CCC"/>
    <w:rsid w:val="006375CC"/>
    <w:rsid w:val="00640211"/>
    <w:rsid w:val="00640AC4"/>
    <w:rsid w:val="00640F6D"/>
    <w:rsid w:val="006414D9"/>
    <w:rsid w:val="0064155E"/>
    <w:rsid w:val="00641DEE"/>
    <w:rsid w:val="0064234B"/>
    <w:rsid w:val="0064244C"/>
    <w:rsid w:val="006434B5"/>
    <w:rsid w:val="00643797"/>
    <w:rsid w:val="00643AF8"/>
    <w:rsid w:val="006441A2"/>
    <w:rsid w:val="006455C6"/>
    <w:rsid w:val="006456C4"/>
    <w:rsid w:val="0064660A"/>
    <w:rsid w:val="006466E8"/>
    <w:rsid w:val="00646B0A"/>
    <w:rsid w:val="00646B94"/>
    <w:rsid w:val="006473E1"/>
    <w:rsid w:val="006477A3"/>
    <w:rsid w:val="00647C3E"/>
    <w:rsid w:val="00652205"/>
    <w:rsid w:val="0065364A"/>
    <w:rsid w:val="0065382C"/>
    <w:rsid w:val="0065395C"/>
    <w:rsid w:val="00654163"/>
    <w:rsid w:val="0065432F"/>
    <w:rsid w:val="0065453D"/>
    <w:rsid w:val="00654A7C"/>
    <w:rsid w:val="00654BA6"/>
    <w:rsid w:val="00654D46"/>
    <w:rsid w:val="00654F69"/>
    <w:rsid w:val="00656F71"/>
    <w:rsid w:val="0065726E"/>
    <w:rsid w:val="006574DA"/>
    <w:rsid w:val="006603DA"/>
    <w:rsid w:val="00660D41"/>
    <w:rsid w:val="00660FBB"/>
    <w:rsid w:val="0066132A"/>
    <w:rsid w:val="006615A8"/>
    <w:rsid w:val="006615ED"/>
    <w:rsid w:val="00661765"/>
    <w:rsid w:val="00661DC5"/>
    <w:rsid w:val="00661ED4"/>
    <w:rsid w:val="006622A6"/>
    <w:rsid w:val="006626F6"/>
    <w:rsid w:val="0066291D"/>
    <w:rsid w:val="006637FA"/>
    <w:rsid w:val="0066405B"/>
    <w:rsid w:val="0066446B"/>
    <w:rsid w:val="00664B4F"/>
    <w:rsid w:val="00664BC1"/>
    <w:rsid w:val="006652EC"/>
    <w:rsid w:val="006654EE"/>
    <w:rsid w:val="006657E7"/>
    <w:rsid w:val="00665810"/>
    <w:rsid w:val="00665CCB"/>
    <w:rsid w:val="00665DA6"/>
    <w:rsid w:val="00666006"/>
    <w:rsid w:val="0066673F"/>
    <w:rsid w:val="00666897"/>
    <w:rsid w:val="00666FB1"/>
    <w:rsid w:val="0066736E"/>
    <w:rsid w:val="006709A8"/>
    <w:rsid w:val="00672654"/>
    <w:rsid w:val="00672BE8"/>
    <w:rsid w:val="00673060"/>
    <w:rsid w:val="00675265"/>
    <w:rsid w:val="006757F4"/>
    <w:rsid w:val="00676544"/>
    <w:rsid w:val="006767C3"/>
    <w:rsid w:val="00677194"/>
    <w:rsid w:val="00677808"/>
    <w:rsid w:val="00680511"/>
    <w:rsid w:val="00680613"/>
    <w:rsid w:val="006808F8"/>
    <w:rsid w:val="00680BD2"/>
    <w:rsid w:val="00681470"/>
    <w:rsid w:val="006814D6"/>
    <w:rsid w:val="00681A77"/>
    <w:rsid w:val="00682441"/>
    <w:rsid w:val="006828A5"/>
    <w:rsid w:val="00682A6A"/>
    <w:rsid w:val="00682CE2"/>
    <w:rsid w:val="00682E59"/>
    <w:rsid w:val="00682EE1"/>
    <w:rsid w:val="006837F6"/>
    <w:rsid w:val="00684D9E"/>
    <w:rsid w:val="00684FF2"/>
    <w:rsid w:val="00685062"/>
    <w:rsid w:val="006852ED"/>
    <w:rsid w:val="0068576A"/>
    <w:rsid w:val="00686849"/>
    <w:rsid w:val="00686935"/>
    <w:rsid w:val="00686F0A"/>
    <w:rsid w:val="00687AB1"/>
    <w:rsid w:val="00690843"/>
    <w:rsid w:val="00690997"/>
    <w:rsid w:val="00690FCF"/>
    <w:rsid w:val="006912CF"/>
    <w:rsid w:val="00691F34"/>
    <w:rsid w:val="0069324D"/>
    <w:rsid w:val="00694BC3"/>
    <w:rsid w:val="00694F3A"/>
    <w:rsid w:val="00695505"/>
    <w:rsid w:val="00695569"/>
    <w:rsid w:val="00695668"/>
    <w:rsid w:val="00695DF1"/>
    <w:rsid w:val="00696E2C"/>
    <w:rsid w:val="00696F54"/>
    <w:rsid w:val="00697D7A"/>
    <w:rsid w:val="006A057D"/>
    <w:rsid w:val="006A06AE"/>
    <w:rsid w:val="006A0840"/>
    <w:rsid w:val="006A0D5E"/>
    <w:rsid w:val="006A0E62"/>
    <w:rsid w:val="006A164C"/>
    <w:rsid w:val="006A3381"/>
    <w:rsid w:val="006A3612"/>
    <w:rsid w:val="006A387C"/>
    <w:rsid w:val="006A3941"/>
    <w:rsid w:val="006A3B1C"/>
    <w:rsid w:val="006A48A4"/>
    <w:rsid w:val="006A63F9"/>
    <w:rsid w:val="006A6451"/>
    <w:rsid w:val="006A73DE"/>
    <w:rsid w:val="006A7BB0"/>
    <w:rsid w:val="006B0C15"/>
    <w:rsid w:val="006B0C66"/>
    <w:rsid w:val="006B0CD0"/>
    <w:rsid w:val="006B1176"/>
    <w:rsid w:val="006B14D3"/>
    <w:rsid w:val="006B1535"/>
    <w:rsid w:val="006B27C1"/>
    <w:rsid w:val="006B2F9D"/>
    <w:rsid w:val="006B31E6"/>
    <w:rsid w:val="006B3383"/>
    <w:rsid w:val="006B38A5"/>
    <w:rsid w:val="006B3951"/>
    <w:rsid w:val="006B3FCA"/>
    <w:rsid w:val="006B402C"/>
    <w:rsid w:val="006B40EB"/>
    <w:rsid w:val="006B471B"/>
    <w:rsid w:val="006B499B"/>
    <w:rsid w:val="006B52C6"/>
    <w:rsid w:val="006B58E9"/>
    <w:rsid w:val="006B5FF7"/>
    <w:rsid w:val="006B6053"/>
    <w:rsid w:val="006B62D4"/>
    <w:rsid w:val="006B7BAF"/>
    <w:rsid w:val="006C0F5F"/>
    <w:rsid w:val="006C0F72"/>
    <w:rsid w:val="006C261B"/>
    <w:rsid w:val="006C2AE8"/>
    <w:rsid w:val="006C2CD5"/>
    <w:rsid w:val="006C2DE8"/>
    <w:rsid w:val="006C399B"/>
    <w:rsid w:val="006C4A00"/>
    <w:rsid w:val="006C6BFB"/>
    <w:rsid w:val="006C7DCA"/>
    <w:rsid w:val="006D031F"/>
    <w:rsid w:val="006D0F88"/>
    <w:rsid w:val="006D19B7"/>
    <w:rsid w:val="006D3A1B"/>
    <w:rsid w:val="006D3C23"/>
    <w:rsid w:val="006D3C9F"/>
    <w:rsid w:val="006D3D14"/>
    <w:rsid w:val="006D3F38"/>
    <w:rsid w:val="006D4404"/>
    <w:rsid w:val="006D4C12"/>
    <w:rsid w:val="006D4EC8"/>
    <w:rsid w:val="006D5455"/>
    <w:rsid w:val="006D55BA"/>
    <w:rsid w:val="006D5D45"/>
    <w:rsid w:val="006D5E30"/>
    <w:rsid w:val="006D6AC6"/>
    <w:rsid w:val="006D7AA1"/>
    <w:rsid w:val="006D7D64"/>
    <w:rsid w:val="006E0A0C"/>
    <w:rsid w:val="006E0D64"/>
    <w:rsid w:val="006E114E"/>
    <w:rsid w:val="006E181F"/>
    <w:rsid w:val="006E1B00"/>
    <w:rsid w:val="006E1F4E"/>
    <w:rsid w:val="006E2D6E"/>
    <w:rsid w:val="006E3283"/>
    <w:rsid w:val="006E3297"/>
    <w:rsid w:val="006E3DAD"/>
    <w:rsid w:val="006E4483"/>
    <w:rsid w:val="006E45FB"/>
    <w:rsid w:val="006E584A"/>
    <w:rsid w:val="006E5BD5"/>
    <w:rsid w:val="006E618C"/>
    <w:rsid w:val="006E64C5"/>
    <w:rsid w:val="006E7078"/>
    <w:rsid w:val="006E767F"/>
    <w:rsid w:val="006E7903"/>
    <w:rsid w:val="006F0AC0"/>
    <w:rsid w:val="006F1080"/>
    <w:rsid w:val="006F1201"/>
    <w:rsid w:val="006F1839"/>
    <w:rsid w:val="006F1D1C"/>
    <w:rsid w:val="006F238A"/>
    <w:rsid w:val="006F23A9"/>
    <w:rsid w:val="006F2DFC"/>
    <w:rsid w:val="006F348A"/>
    <w:rsid w:val="006F3694"/>
    <w:rsid w:val="006F36F2"/>
    <w:rsid w:val="006F3878"/>
    <w:rsid w:val="006F4648"/>
    <w:rsid w:val="006F4793"/>
    <w:rsid w:val="006F65CF"/>
    <w:rsid w:val="006F7FA9"/>
    <w:rsid w:val="00700497"/>
    <w:rsid w:val="00700AC3"/>
    <w:rsid w:val="00701B2F"/>
    <w:rsid w:val="00701C48"/>
    <w:rsid w:val="00701DDF"/>
    <w:rsid w:val="0070311F"/>
    <w:rsid w:val="00703867"/>
    <w:rsid w:val="00703A2E"/>
    <w:rsid w:val="007040F9"/>
    <w:rsid w:val="007048DF"/>
    <w:rsid w:val="00704EFC"/>
    <w:rsid w:val="00706568"/>
    <w:rsid w:val="007068B6"/>
    <w:rsid w:val="00706E87"/>
    <w:rsid w:val="00707CCF"/>
    <w:rsid w:val="00710438"/>
    <w:rsid w:val="007105B7"/>
    <w:rsid w:val="00710ABC"/>
    <w:rsid w:val="00710E56"/>
    <w:rsid w:val="00710EA0"/>
    <w:rsid w:val="0071129C"/>
    <w:rsid w:val="00711D7B"/>
    <w:rsid w:val="00714064"/>
    <w:rsid w:val="007151D7"/>
    <w:rsid w:val="0071593B"/>
    <w:rsid w:val="00715D07"/>
    <w:rsid w:val="0071622B"/>
    <w:rsid w:val="00716696"/>
    <w:rsid w:val="007167EE"/>
    <w:rsid w:val="00717423"/>
    <w:rsid w:val="00720033"/>
    <w:rsid w:val="00720217"/>
    <w:rsid w:val="00720B0D"/>
    <w:rsid w:val="00722163"/>
    <w:rsid w:val="00722B61"/>
    <w:rsid w:val="00724805"/>
    <w:rsid w:val="007250C0"/>
    <w:rsid w:val="00725CEF"/>
    <w:rsid w:val="00725ED7"/>
    <w:rsid w:val="00727065"/>
    <w:rsid w:val="00727483"/>
    <w:rsid w:val="00730E54"/>
    <w:rsid w:val="00731E7E"/>
    <w:rsid w:val="007338F4"/>
    <w:rsid w:val="0073411B"/>
    <w:rsid w:val="00734C29"/>
    <w:rsid w:val="0073516B"/>
    <w:rsid w:val="00735BBC"/>
    <w:rsid w:val="00735CE7"/>
    <w:rsid w:val="007367A6"/>
    <w:rsid w:val="00736E34"/>
    <w:rsid w:val="00736EAA"/>
    <w:rsid w:val="00737F54"/>
    <w:rsid w:val="007405A8"/>
    <w:rsid w:val="00741DE8"/>
    <w:rsid w:val="00742336"/>
    <w:rsid w:val="0074254F"/>
    <w:rsid w:val="00742857"/>
    <w:rsid w:val="0074308D"/>
    <w:rsid w:val="00743185"/>
    <w:rsid w:val="007437F9"/>
    <w:rsid w:val="00743C0C"/>
    <w:rsid w:val="00743D20"/>
    <w:rsid w:val="007445C9"/>
    <w:rsid w:val="0074510A"/>
    <w:rsid w:val="00745C5F"/>
    <w:rsid w:val="00745F63"/>
    <w:rsid w:val="007467BF"/>
    <w:rsid w:val="0074680F"/>
    <w:rsid w:val="007473C9"/>
    <w:rsid w:val="00747C36"/>
    <w:rsid w:val="0075132B"/>
    <w:rsid w:val="00751405"/>
    <w:rsid w:val="00751EC3"/>
    <w:rsid w:val="007522C2"/>
    <w:rsid w:val="0075333F"/>
    <w:rsid w:val="007534B4"/>
    <w:rsid w:val="00753603"/>
    <w:rsid w:val="0075373F"/>
    <w:rsid w:val="0075376B"/>
    <w:rsid w:val="00753B18"/>
    <w:rsid w:val="00754166"/>
    <w:rsid w:val="00754647"/>
    <w:rsid w:val="0075567C"/>
    <w:rsid w:val="0075588A"/>
    <w:rsid w:val="0075649E"/>
    <w:rsid w:val="00756796"/>
    <w:rsid w:val="0075712A"/>
    <w:rsid w:val="00757B25"/>
    <w:rsid w:val="00757F4A"/>
    <w:rsid w:val="00761DB9"/>
    <w:rsid w:val="00764470"/>
    <w:rsid w:val="00765397"/>
    <w:rsid w:val="007663FA"/>
    <w:rsid w:val="00766402"/>
    <w:rsid w:val="0076744D"/>
    <w:rsid w:val="007674D7"/>
    <w:rsid w:val="007679C3"/>
    <w:rsid w:val="00771CC8"/>
    <w:rsid w:val="007722A6"/>
    <w:rsid w:val="0077271B"/>
    <w:rsid w:val="00772858"/>
    <w:rsid w:val="00772CC2"/>
    <w:rsid w:val="00772F25"/>
    <w:rsid w:val="00773009"/>
    <w:rsid w:val="0077339F"/>
    <w:rsid w:val="00773A82"/>
    <w:rsid w:val="00773CCE"/>
    <w:rsid w:val="00773EEA"/>
    <w:rsid w:val="0077486B"/>
    <w:rsid w:val="00775029"/>
    <w:rsid w:val="00775529"/>
    <w:rsid w:val="00776B33"/>
    <w:rsid w:val="007770A6"/>
    <w:rsid w:val="00777396"/>
    <w:rsid w:val="00777860"/>
    <w:rsid w:val="0077797A"/>
    <w:rsid w:val="00781FEF"/>
    <w:rsid w:val="0078208F"/>
    <w:rsid w:val="007823B4"/>
    <w:rsid w:val="007826A8"/>
    <w:rsid w:val="0078393C"/>
    <w:rsid w:val="00783DAA"/>
    <w:rsid w:val="0078418A"/>
    <w:rsid w:val="0078427B"/>
    <w:rsid w:val="00784395"/>
    <w:rsid w:val="00784B36"/>
    <w:rsid w:val="00784C19"/>
    <w:rsid w:val="00785150"/>
    <w:rsid w:val="007851E6"/>
    <w:rsid w:val="00785325"/>
    <w:rsid w:val="007856E4"/>
    <w:rsid w:val="007864B9"/>
    <w:rsid w:val="007877B8"/>
    <w:rsid w:val="007879BE"/>
    <w:rsid w:val="00787D40"/>
    <w:rsid w:val="00787DD8"/>
    <w:rsid w:val="00791D18"/>
    <w:rsid w:val="007922BB"/>
    <w:rsid w:val="00792B66"/>
    <w:rsid w:val="00792EC8"/>
    <w:rsid w:val="00792F94"/>
    <w:rsid w:val="0079322A"/>
    <w:rsid w:val="007938C5"/>
    <w:rsid w:val="00794264"/>
    <w:rsid w:val="007946C8"/>
    <w:rsid w:val="0079475E"/>
    <w:rsid w:val="00794FCE"/>
    <w:rsid w:val="007954AF"/>
    <w:rsid w:val="00796257"/>
    <w:rsid w:val="0079629D"/>
    <w:rsid w:val="0079675C"/>
    <w:rsid w:val="00796840"/>
    <w:rsid w:val="00796957"/>
    <w:rsid w:val="00796CAD"/>
    <w:rsid w:val="00796E62"/>
    <w:rsid w:val="00796FAC"/>
    <w:rsid w:val="007977C9"/>
    <w:rsid w:val="00797A59"/>
    <w:rsid w:val="00797DB8"/>
    <w:rsid w:val="007A0CB9"/>
    <w:rsid w:val="007A19FD"/>
    <w:rsid w:val="007A1CD7"/>
    <w:rsid w:val="007A2C51"/>
    <w:rsid w:val="007A301C"/>
    <w:rsid w:val="007A3101"/>
    <w:rsid w:val="007A47C1"/>
    <w:rsid w:val="007A4E95"/>
    <w:rsid w:val="007A4F0B"/>
    <w:rsid w:val="007A5191"/>
    <w:rsid w:val="007A56E9"/>
    <w:rsid w:val="007A5A29"/>
    <w:rsid w:val="007A6455"/>
    <w:rsid w:val="007A646A"/>
    <w:rsid w:val="007A6AE3"/>
    <w:rsid w:val="007A7934"/>
    <w:rsid w:val="007B0404"/>
    <w:rsid w:val="007B1187"/>
    <w:rsid w:val="007B21DC"/>
    <w:rsid w:val="007B24B6"/>
    <w:rsid w:val="007B2A5A"/>
    <w:rsid w:val="007B2AFF"/>
    <w:rsid w:val="007B36E7"/>
    <w:rsid w:val="007B3BED"/>
    <w:rsid w:val="007B465C"/>
    <w:rsid w:val="007B476B"/>
    <w:rsid w:val="007B4E6C"/>
    <w:rsid w:val="007B5582"/>
    <w:rsid w:val="007B57F3"/>
    <w:rsid w:val="007B5DFC"/>
    <w:rsid w:val="007B7F72"/>
    <w:rsid w:val="007C02A9"/>
    <w:rsid w:val="007C0CB6"/>
    <w:rsid w:val="007C1123"/>
    <w:rsid w:val="007C1614"/>
    <w:rsid w:val="007C165E"/>
    <w:rsid w:val="007C1A79"/>
    <w:rsid w:val="007C21E3"/>
    <w:rsid w:val="007C3D0C"/>
    <w:rsid w:val="007C44C0"/>
    <w:rsid w:val="007C4A1F"/>
    <w:rsid w:val="007C54D8"/>
    <w:rsid w:val="007C5749"/>
    <w:rsid w:val="007C58F7"/>
    <w:rsid w:val="007C5A74"/>
    <w:rsid w:val="007C5DD3"/>
    <w:rsid w:val="007C5E48"/>
    <w:rsid w:val="007C5E7F"/>
    <w:rsid w:val="007C6BA3"/>
    <w:rsid w:val="007C6F0F"/>
    <w:rsid w:val="007C7167"/>
    <w:rsid w:val="007C724B"/>
    <w:rsid w:val="007D156D"/>
    <w:rsid w:val="007D1DF8"/>
    <w:rsid w:val="007D2164"/>
    <w:rsid w:val="007D2514"/>
    <w:rsid w:val="007D3822"/>
    <w:rsid w:val="007D40E4"/>
    <w:rsid w:val="007D41EC"/>
    <w:rsid w:val="007D48BB"/>
    <w:rsid w:val="007D536C"/>
    <w:rsid w:val="007D556B"/>
    <w:rsid w:val="007D565A"/>
    <w:rsid w:val="007D642E"/>
    <w:rsid w:val="007D6531"/>
    <w:rsid w:val="007D7D37"/>
    <w:rsid w:val="007E011B"/>
    <w:rsid w:val="007E02DC"/>
    <w:rsid w:val="007E0458"/>
    <w:rsid w:val="007E0965"/>
    <w:rsid w:val="007E0D3D"/>
    <w:rsid w:val="007E22AF"/>
    <w:rsid w:val="007E2449"/>
    <w:rsid w:val="007E2C57"/>
    <w:rsid w:val="007E358A"/>
    <w:rsid w:val="007E371A"/>
    <w:rsid w:val="007E3A72"/>
    <w:rsid w:val="007E3CE6"/>
    <w:rsid w:val="007E57F5"/>
    <w:rsid w:val="007E582D"/>
    <w:rsid w:val="007E5976"/>
    <w:rsid w:val="007E5B09"/>
    <w:rsid w:val="007E5C3D"/>
    <w:rsid w:val="007E6938"/>
    <w:rsid w:val="007E6F70"/>
    <w:rsid w:val="007E73E9"/>
    <w:rsid w:val="007E7A65"/>
    <w:rsid w:val="007E7F1B"/>
    <w:rsid w:val="007F01D1"/>
    <w:rsid w:val="007F0637"/>
    <w:rsid w:val="007F0CBB"/>
    <w:rsid w:val="007F210F"/>
    <w:rsid w:val="007F21FD"/>
    <w:rsid w:val="007F3630"/>
    <w:rsid w:val="007F4D46"/>
    <w:rsid w:val="007F5CB9"/>
    <w:rsid w:val="007F6660"/>
    <w:rsid w:val="007F6AB5"/>
    <w:rsid w:val="007F7407"/>
    <w:rsid w:val="007F7760"/>
    <w:rsid w:val="007F7903"/>
    <w:rsid w:val="0080033D"/>
    <w:rsid w:val="00801978"/>
    <w:rsid w:val="00802050"/>
    <w:rsid w:val="00802880"/>
    <w:rsid w:val="0080292D"/>
    <w:rsid w:val="008030EE"/>
    <w:rsid w:val="008035BE"/>
    <w:rsid w:val="008038D7"/>
    <w:rsid w:val="0080446D"/>
    <w:rsid w:val="00804945"/>
    <w:rsid w:val="00805844"/>
    <w:rsid w:val="00805B77"/>
    <w:rsid w:val="008070C8"/>
    <w:rsid w:val="0080717E"/>
    <w:rsid w:val="00807907"/>
    <w:rsid w:val="0081080E"/>
    <w:rsid w:val="00812883"/>
    <w:rsid w:val="00812BB8"/>
    <w:rsid w:val="008131E8"/>
    <w:rsid w:val="00813B4A"/>
    <w:rsid w:val="00814660"/>
    <w:rsid w:val="0081474D"/>
    <w:rsid w:val="0081539A"/>
    <w:rsid w:val="00815C21"/>
    <w:rsid w:val="0081602C"/>
    <w:rsid w:val="00816DE8"/>
    <w:rsid w:val="00817DD0"/>
    <w:rsid w:val="00817EE5"/>
    <w:rsid w:val="00817F0B"/>
    <w:rsid w:val="008200C5"/>
    <w:rsid w:val="008206B0"/>
    <w:rsid w:val="00820779"/>
    <w:rsid w:val="00821B64"/>
    <w:rsid w:val="00821F27"/>
    <w:rsid w:val="0082289B"/>
    <w:rsid w:val="00823097"/>
    <w:rsid w:val="008232DA"/>
    <w:rsid w:val="0082446D"/>
    <w:rsid w:val="008247B7"/>
    <w:rsid w:val="00825211"/>
    <w:rsid w:val="00825457"/>
    <w:rsid w:val="0082575A"/>
    <w:rsid w:val="00825AAE"/>
    <w:rsid w:val="008266F9"/>
    <w:rsid w:val="00826BDD"/>
    <w:rsid w:val="00826E29"/>
    <w:rsid w:val="00826F86"/>
    <w:rsid w:val="0082705C"/>
    <w:rsid w:val="008277F0"/>
    <w:rsid w:val="008309FB"/>
    <w:rsid w:val="008319D9"/>
    <w:rsid w:val="00831F08"/>
    <w:rsid w:val="00833632"/>
    <w:rsid w:val="0083365A"/>
    <w:rsid w:val="00833A08"/>
    <w:rsid w:val="00834448"/>
    <w:rsid w:val="0083444C"/>
    <w:rsid w:val="00834B5E"/>
    <w:rsid w:val="00834E8A"/>
    <w:rsid w:val="008358F6"/>
    <w:rsid w:val="00836210"/>
    <w:rsid w:val="00837825"/>
    <w:rsid w:val="008378F8"/>
    <w:rsid w:val="00837EA9"/>
    <w:rsid w:val="008400F1"/>
    <w:rsid w:val="00840C61"/>
    <w:rsid w:val="00840FFC"/>
    <w:rsid w:val="008411B8"/>
    <w:rsid w:val="00841365"/>
    <w:rsid w:val="008416D2"/>
    <w:rsid w:val="00841D92"/>
    <w:rsid w:val="00843DCB"/>
    <w:rsid w:val="0084467D"/>
    <w:rsid w:val="0084535F"/>
    <w:rsid w:val="00847BFF"/>
    <w:rsid w:val="00847C8C"/>
    <w:rsid w:val="0085039A"/>
    <w:rsid w:val="008503F0"/>
    <w:rsid w:val="00850942"/>
    <w:rsid w:val="008520EE"/>
    <w:rsid w:val="0085245F"/>
    <w:rsid w:val="00852940"/>
    <w:rsid w:val="00853B89"/>
    <w:rsid w:val="00854E9F"/>
    <w:rsid w:val="00855398"/>
    <w:rsid w:val="00855E5A"/>
    <w:rsid w:val="008569E4"/>
    <w:rsid w:val="00856F80"/>
    <w:rsid w:val="00857040"/>
    <w:rsid w:val="00857128"/>
    <w:rsid w:val="00857FDC"/>
    <w:rsid w:val="00860006"/>
    <w:rsid w:val="00860566"/>
    <w:rsid w:val="0086143E"/>
    <w:rsid w:val="008616EA"/>
    <w:rsid w:val="0086199D"/>
    <w:rsid w:val="00861DB3"/>
    <w:rsid w:val="00861F4E"/>
    <w:rsid w:val="00862026"/>
    <w:rsid w:val="00863A4B"/>
    <w:rsid w:val="008644B5"/>
    <w:rsid w:val="008648C1"/>
    <w:rsid w:val="00864AA8"/>
    <w:rsid w:val="00864E20"/>
    <w:rsid w:val="008656AD"/>
    <w:rsid w:val="00865879"/>
    <w:rsid w:val="00865AD6"/>
    <w:rsid w:val="0086685D"/>
    <w:rsid w:val="00866F62"/>
    <w:rsid w:val="00867D0B"/>
    <w:rsid w:val="00867DAF"/>
    <w:rsid w:val="0087011B"/>
    <w:rsid w:val="00870465"/>
    <w:rsid w:val="00870AB8"/>
    <w:rsid w:val="008721E8"/>
    <w:rsid w:val="0087274E"/>
    <w:rsid w:val="00872B9A"/>
    <w:rsid w:val="00873091"/>
    <w:rsid w:val="008730CA"/>
    <w:rsid w:val="00873FE9"/>
    <w:rsid w:val="008742D8"/>
    <w:rsid w:val="00874A79"/>
    <w:rsid w:val="008751D3"/>
    <w:rsid w:val="00875AFA"/>
    <w:rsid w:val="008765BA"/>
    <w:rsid w:val="00876E52"/>
    <w:rsid w:val="008800CD"/>
    <w:rsid w:val="00880325"/>
    <w:rsid w:val="00880328"/>
    <w:rsid w:val="008810AE"/>
    <w:rsid w:val="00883362"/>
    <w:rsid w:val="00883D97"/>
    <w:rsid w:val="00884415"/>
    <w:rsid w:val="0088556D"/>
    <w:rsid w:val="00887AD3"/>
    <w:rsid w:val="00887D2F"/>
    <w:rsid w:val="00890AAF"/>
    <w:rsid w:val="0089179B"/>
    <w:rsid w:val="0089190D"/>
    <w:rsid w:val="00891D11"/>
    <w:rsid w:val="00892F46"/>
    <w:rsid w:val="008943D0"/>
    <w:rsid w:val="00894971"/>
    <w:rsid w:val="00895563"/>
    <w:rsid w:val="008967BB"/>
    <w:rsid w:val="00896D9F"/>
    <w:rsid w:val="0089714E"/>
    <w:rsid w:val="008972DC"/>
    <w:rsid w:val="008978B5"/>
    <w:rsid w:val="008A0BA1"/>
    <w:rsid w:val="008A143C"/>
    <w:rsid w:val="008A1B3B"/>
    <w:rsid w:val="008A51C4"/>
    <w:rsid w:val="008A5B38"/>
    <w:rsid w:val="008A5C04"/>
    <w:rsid w:val="008A5FEF"/>
    <w:rsid w:val="008A6CB7"/>
    <w:rsid w:val="008A7BF1"/>
    <w:rsid w:val="008B0B16"/>
    <w:rsid w:val="008B139B"/>
    <w:rsid w:val="008B2297"/>
    <w:rsid w:val="008B2396"/>
    <w:rsid w:val="008B4364"/>
    <w:rsid w:val="008B5195"/>
    <w:rsid w:val="008B5B54"/>
    <w:rsid w:val="008B5CB9"/>
    <w:rsid w:val="008B6C9A"/>
    <w:rsid w:val="008B7305"/>
    <w:rsid w:val="008B7520"/>
    <w:rsid w:val="008C003C"/>
    <w:rsid w:val="008C07C4"/>
    <w:rsid w:val="008C08AD"/>
    <w:rsid w:val="008C1352"/>
    <w:rsid w:val="008C1514"/>
    <w:rsid w:val="008C1D38"/>
    <w:rsid w:val="008C2729"/>
    <w:rsid w:val="008C305F"/>
    <w:rsid w:val="008C325C"/>
    <w:rsid w:val="008C40E1"/>
    <w:rsid w:val="008C47F0"/>
    <w:rsid w:val="008C5897"/>
    <w:rsid w:val="008C60F7"/>
    <w:rsid w:val="008C6B23"/>
    <w:rsid w:val="008C7B98"/>
    <w:rsid w:val="008C7CC8"/>
    <w:rsid w:val="008D01B5"/>
    <w:rsid w:val="008D07C6"/>
    <w:rsid w:val="008D08DA"/>
    <w:rsid w:val="008D13B0"/>
    <w:rsid w:val="008D19B3"/>
    <w:rsid w:val="008D34F1"/>
    <w:rsid w:val="008D46C0"/>
    <w:rsid w:val="008D4C57"/>
    <w:rsid w:val="008D5811"/>
    <w:rsid w:val="008D5A1C"/>
    <w:rsid w:val="008D65A9"/>
    <w:rsid w:val="008D79D9"/>
    <w:rsid w:val="008D7A95"/>
    <w:rsid w:val="008E002D"/>
    <w:rsid w:val="008E0121"/>
    <w:rsid w:val="008E0D59"/>
    <w:rsid w:val="008E0DA4"/>
    <w:rsid w:val="008E1976"/>
    <w:rsid w:val="008E2CEE"/>
    <w:rsid w:val="008E3299"/>
    <w:rsid w:val="008E33DE"/>
    <w:rsid w:val="008E514D"/>
    <w:rsid w:val="008E632D"/>
    <w:rsid w:val="008E65F4"/>
    <w:rsid w:val="008E6879"/>
    <w:rsid w:val="008E6D83"/>
    <w:rsid w:val="008E7365"/>
    <w:rsid w:val="008E75C4"/>
    <w:rsid w:val="008E7932"/>
    <w:rsid w:val="008F06E4"/>
    <w:rsid w:val="008F0CFD"/>
    <w:rsid w:val="008F1168"/>
    <w:rsid w:val="008F186A"/>
    <w:rsid w:val="008F4505"/>
    <w:rsid w:val="008F51A2"/>
    <w:rsid w:val="008F5595"/>
    <w:rsid w:val="008F5664"/>
    <w:rsid w:val="008F5C4F"/>
    <w:rsid w:val="008F66EA"/>
    <w:rsid w:val="008F7159"/>
    <w:rsid w:val="00900333"/>
    <w:rsid w:val="009005EA"/>
    <w:rsid w:val="00900871"/>
    <w:rsid w:val="00901079"/>
    <w:rsid w:val="0090124B"/>
    <w:rsid w:val="00902633"/>
    <w:rsid w:val="009026E0"/>
    <w:rsid w:val="00902B59"/>
    <w:rsid w:val="00903067"/>
    <w:rsid w:val="0090413A"/>
    <w:rsid w:val="009051DA"/>
    <w:rsid w:val="0090651E"/>
    <w:rsid w:val="00906616"/>
    <w:rsid w:val="00906BF3"/>
    <w:rsid w:val="00906E45"/>
    <w:rsid w:val="009074D4"/>
    <w:rsid w:val="0090759F"/>
    <w:rsid w:val="00907909"/>
    <w:rsid w:val="0090795E"/>
    <w:rsid w:val="00907BB9"/>
    <w:rsid w:val="00907C3F"/>
    <w:rsid w:val="00910275"/>
    <w:rsid w:val="00910957"/>
    <w:rsid w:val="009123B8"/>
    <w:rsid w:val="00912BA2"/>
    <w:rsid w:val="009132A2"/>
    <w:rsid w:val="00913644"/>
    <w:rsid w:val="0091364E"/>
    <w:rsid w:val="00914697"/>
    <w:rsid w:val="009148FF"/>
    <w:rsid w:val="0091499C"/>
    <w:rsid w:val="00915061"/>
    <w:rsid w:val="0091531D"/>
    <w:rsid w:val="00915F9F"/>
    <w:rsid w:val="0091678B"/>
    <w:rsid w:val="0091738B"/>
    <w:rsid w:val="00920D7E"/>
    <w:rsid w:val="00921CA8"/>
    <w:rsid w:val="0092309F"/>
    <w:rsid w:val="00924691"/>
    <w:rsid w:val="00924835"/>
    <w:rsid w:val="00925585"/>
    <w:rsid w:val="0092729A"/>
    <w:rsid w:val="009277DE"/>
    <w:rsid w:val="00927CE8"/>
    <w:rsid w:val="009306E4"/>
    <w:rsid w:val="00930EEA"/>
    <w:rsid w:val="009311A2"/>
    <w:rsid w:val="00931374"/>
    <w:rsid w:val="00932B8B"/>
    <w:rsid w:val="00932C00"/>
    <w:rsid w:val="00932E40"/>
    <w:rsid w:val="00932E9E"/>
    <w:rsid w:val="0093312D"/>
    <w:rsid w:val="00933901"/>
    <w:rsid w:val="00933E99"/>
    <w:rsid w:val="00934BAA"/>
    <w:rsid w:val="0093548C"/>
    <w:rsid w:val="00936034"/>
    <w:rsid w:val="00936C8C"/>
    <w:rsid w:val="00937041"/>
    <w:rsid w:val="0094013F"/>
    <w:rsid w:val="00940268"/>
    <w:rsid w:val="00940517"/>
    <w:rsid w:val="009405A7"/>
    <w:rsid w:val="009415AF"/>
    <w:rsid w:val="00941A76"/>
    <w:rsid w:val="009421BB"/>
    <w:rsid w:val="00942701"/>
    <w:rsid w:val="00942CF6"/>
    <w:rsid w:val="00942D3C"/>
    <w:rsid w:val="00944D5F"/>
    <w:rsid w:val="009454AF"/>
    <w:rsid w:val="009455F5"/>
    <w:rsid w:val="009459EF"/>
    <w:rsid w:val="00946BC0"/>
    <w:rsid w:val="009475C9"/>
    <w:rsid w:val="00947863"/>
    <w:rsid w:val="00950059"/>
    <w:rsid w:val="0095057F"/>
    <w:rsid w:val="009509FA"/>
    <w:rsid w:val="00950ADA"/>
    <w:rsid w:val="00951D8A"/>
    <w:rsid w:val="00952441"/>
    <w:rsid w:val="00952A3B"/>
    <w:rsid w:val="00953045"/>
    <w:rsid w:val="009556F5"/>
    <w:rsid w:val="00956026"/>
    <w:rsid w:val="00957DFE"/>
    <w:rsid w:val="009606B0"/>
    <w:rsid w:val="0096080E"/>
    <w:rsid w:val="00960C3C"/>
    <w:rsid w:val="009621C4"/>
    <w:rsid w:val="009621DF"/>
    <w:rsid w:val="00962245"/>
    <w:rsid w:val="00962881"/>
    <w:rsid w:val="00962CB0"/>
    <w:rsid w:val="00962E7B"/>
    <w:rsid w:val="00963948"/>
    <w:rsid w:val="00963DC2"/>
    <w:rsid w:val="00963F22"/>
    <w:rsid w:val="00964B57"/>
    <w:rsid w:val="00965BC3"/>
    <w:rsid w:val="00966FBA"/>
    <w:rsid w:val="009707CF"/>
    <w:rsid w:val="00970E78"/>
    <w:rsid w:val="009717A5"/>
    <w:rsid w:val="00972024"/>
    <w:rsid w:val="0097259C"/>
    <w:rsid w:val="009726B7"/>
    <w:rsid w:val="00972B09"/>
    <w:rsid w:val="00972D96"/>
    <w:rsid w:val="00972DC3"/>
    <w:rsid w:val="00972F79"/>
    <w:rsid w:val="00972F88"/>
    <w:rsid w:val="00973162"/>
    <w:rsid w:val="009736CD"/>
    <w:rsid w:val="0097377C"/>
    <w:rsid w:val="00973FC5"/>
    <w:rsid w:val="00974217"/>
    <w:rsid w:val="00974961"/>
    <w:rsid w:val="00975F0C"/>
    <w:rsid w:val="00976997"/>
    <w:rsid w:val="00980458"/>
    <w:rsid w:val="00981C5A"/>
    <w:rsid w:val="0098210D"/>
    <w:rsid w:val="00982F36"/>
    <w:rsid w:val="00983045"/>
    <w:rsid w:val="00983A66"/>
    <w:rsid w:val="00984E0B"/>
    <w:rsid w:val="00985233"/>
    <w:rsid w:val="009859EC"/>
    <w:rsid w:val="0098699F"/>
    <w:rsid w:val="009869E5"/>
    <w:rsid w:val="009871B1"/>
    <w:rsid w:val="00987605"/>
    <w:rsid w:val="009906C2"/>
    <w:rsid w:val="009908B1"/>
    <w:rsid w:val="00990FB1"/>
    <w:rsid w:val="00991930"/>
    <w:rsid w:val="00991A5A"/>
    <w:rsid w:val="0099205F"/>
    <w:rsid w:val="00992D00"/>
    <w:rsid w:val="0099302D"/>
    <w:rsid w:val="00993AB0"/>
    <w:rsid w:val="00993E30"/>
    <w:rsid w:val="00994ACC"/>
    <w:rsid w:val="00995C61"/>
    <w:rsid w:val="00997D87"/>
    <w:rsid w:val="00997F96"/>
    <w:rsid w:val="009A0201"/>
    <w:rsid w:val="009A0F13"/>
    <w:rsid w:val="009A17E1"/>
    <w:rsid w:val="009A3207"/>
    <w:rsid w:val="009A3D5F"/>
    <w:rsid w:val="009A4A40"/>
    <w:rsid w:val="009A4B70"/>
    <w:rsid w:val="009A4B79"/>
    <w:rsid w:val="009A4CED"/>
    <w:rsid w:val="009A4D39"/>
    <w:rsid w:val="009A4FAF"/>
    <w:rsid w:val="009A5292"/>
    <w:rsid w:val="009A57DC"/>
    <w:rsid w:val="009A58E4"/>
    <w:rsid w:val="009A5999"/>
    <w:rsid w:val="009A63EA"/>
    <w:rsid w:val="009A6E17"/>
    <w:rsid w:val="009A7097"/>
    <w:rsid w:val="009A72EB"/>
    <w:rsid w:val="009A791E"/>
    <w:rsid w:val="009A7A80"/>
    <w:rsid w:val="009A7C72"/>
    <w:rsid w:val="009A7E54"/>
    <w:rsid w:val="009B0C7A"/>
    <w:rsid w:val="009B1361"/>
    <w:rsid w:val="009B14CB"/>
    <w:rsid w:val="009B1AAD"/>
    <w:rsid w:val="009B2C95"/>
    <w:rsid w:val="009B32A8"/>
    <w:rsid w:val="009B3380"/>
    <w:rsid w:val="009B45E1"/>
    <w:rsid w:val="009B4FC2"/>
    <w:rsid w:val="009B530B"/>
    <w:rsid w:val="009B58C3"/>
    <w:rsid w:val="009B659E"/>
    <w:rsid w:val="009B6DF1"/>
    <w:rsid w:val="009B7044"/>
    <w:rsid w:val="009B76E2"/>
    <w:rsid w:val="009B7AA3"/>
    <w:rsid w:val="009B7E70"/>
    <w:rsid w:val="009C0239"/>
    <w:rsid w:val="009C0D7F"/>
    <w:rsid w:val="009C17C3"/>
    <w:rsid w:val="009C1E61"/>
    <w:rsid w:val="009C2F0B"/>
    <w:rsid w:val="009C3535"/>
    <w:rsid w:val="009C42F2"/>
    <w:rsid w:val="009C45D4"/>
    <w:rsid w:val="009C4A4E"/>
    <w:rsid w:val="009C4A8A"/>
    <w:rsid w:val="009C4D84"/>
    <w:rsid w:val="009C4E4B"/>
    <w:rsid w:val="009C50B6"/>
    <w:rsid w:val="009C5310"/>
    <w:rsid w:val="009C6791"/>
    <w:rsid w:val="009C695A"/>
    <w:rsid w:val="009C6C6D"/>
    <w:rsid w:val="009C6FB5"/>
    <w:rsid w:val="009C70CD"/>
    <w:rsid w:val="009C7774"/>
    <w:rsid w:val="009C7B81"/>
    <w:rsid w:val="009D04E5"/>
    <w:rsid w:val="009D0948"/>
    <w:rsid w:val="009D1487"/>
    <w:rsid w:val="009D1566"/>
    <w:rsid w:val="009D2DD3"/>
    <w:rsid w:val="009D36C6"/>
    <w:rsid w:val="009D3BF1"/>
    <w:rsid w:val="009D4BE9"/>
    <w:rsid w:val="009D54BE"/>
    <w:rsid w:val="009D55AE"/>
    <w:rsid w:val="009D6354"/>
    <w:rsid w:val="009D70A1"/>
    <w:rsid w:val="009D78A2"/>
    <w:rsid w:val="009D7DE9"/>
    <w:rsid w:val="009D7FB9"/>
    <w:rsid w:val="009E09A0"/>
    <w:rsid w:val="009E0E42"/>
    <w:rsid w:val="009E0F84"/>
    <w:rsid w:val="009E103D"/>
    <w:rsid w:val="009E11F4"/>
    <w:rsid w:val="009E1C51"/>
    <w:rsid w:val="009E27BF"/>
    <w:rsid w:val="009E3127"/>
    <w:rsid w:val="009E3ACB"/>
    <w:rsid w:val="009E48FC"/>
    <w:rsid w:val="009E5C29"/>
    <w:rsid w:val="009E5D1A"/>
    <w:rsid w:val="009E6514"/>
    <w:rsid w:val="009E65DB"/>
    <w:rsid w:val="009E7BC7"/>
    <w:rsid w:val="009F0310"/>
    <w:rsid w:val="009F0AEE"/>
    <w:rsid w:val="009F1027"/>
    <w:rsid w:val="009F17F9"/>
    <w:rsid w:val="009F2AC5"/>
    <w:rsid w:val="009F2C2A"/>
    <w:rsid w:val="009F3BCE"/>
    <w:rsid w:val="009F46FF"/>
    <w:rsid w:val="009F5009"/>
    <w:rsid w:val="009F5D30"/>
    <w:rsid w:val="009F6640"/>
    <w:rsid w:val="009F6A10"/>
    <w:rsid w:val="009F6A44"/>
    <w:rsid w:val="009F72A8"/>
    <w:rsid w:val="009F7F1F"/>
    <w:rsid w:val="009F7F99"/>
    <w:rsid w:val="00A007F7"/>
    <w:rsid w:val="00A012B6"/>
    <w:rsid w:val="00A02716"/>
    <w:rsid w:val="00A037A8"/>
    <w:rsid w:val="00A03844"/>
    <w:rsid w:val="00A04496"/>
    <w:rsid w:val="00A05C90"/>
    <w:rsid w:val="00A05D3A"/>
    <w:rsid w:val="00A05F52"/>
    <w:rsid w:val="00A07387"/>
    <w:rsid w:val="00A10D37"/>
    <w:rsid w:val="00A11061"/>
    <w:rsid w:val="00A12349"/>
    <w:rsid w:val="00A12502"/>
    <w:rsid w:val="00A12D0A"/>
    <w:rsid w:val="00A13B34"/>
    <w:rsid w:val="00A13BB7"/>
    <w:rsid w:val="00A147D8"/>
    <w:rsid w:val="00A15809"/>
    <w:rsid w:val="00A176E7"/>
    <w:rsid w:val="00A1789C"/>
    <w:rsid w:val="00A17FE6"/>
    <w:rsid w:val="00A20018"/>
    <w:rsid w:val="00A20176"/>
    <w:rsid w:val="00A206E8"/>
    <w:rsid w:val="00A20B8E"/>
    <w:rsid w:val="00A20BFA"/>
    <w:rsid w:val="00A20C2E"/>
    <w:rsid w:val="00A20EA8"/>
    <w:rsid w:val="00A21AFB"/>
    <w:rsid w:val="00A21CCA"/>
    <w:rsid w:val="00A21CF9"/>
    <w:rsid w:val="00A21D70"/>
    <w:rsid w:val="00A2280F"/>
    <w:rsid w:val="00A230A1"/>
    <w:rsid w:val="00A230C2"/>
    <w:rsid w:val="00A234E2"/>
    <w:rsid w:val="00A25044"/>
    <w:rsid w:val="00A250A2"/>
    <w:rsid w:val="00A253D4"/>
    <w:rsid w:val="00A253EE"/>
    <w:rsid w:val="00A2571E"/>
    <w:rsid w:val="00A25757"/>
    <w:rsid w:val="00A269E0"/>
    <w:rsid w:val="00A26A08"/>
    <w:rsid w:val="00A26FC5"/>
    <w:rsid w:val="00A31981"/>
    <w:rsid w:val="00A326AB"/>
    <w:rsid w:val="00A33581"/>
    <w:rsid w:val="00A3381D"/>
    <w:rsid w:val="00A33937"/>
    <w:rsid w:val="00A34372"/>
    <w:rsid w:val="00A3528E"/>
    <w:rsid w:val="00A35556"/>
    <w:rsid w:val="00A3615C"/>
    <w:rsid w:val="00A362E0"/>
    <w:rsid w:val="00A363BB"/>
    <w:rsid w:val="00A36DB5"/>
    <w:rsid w:val="00A36F5E"/>
    <w:rsid w:val="00A40EED"/>
    <w:rsid w:val="00A40EFA"/>
    <w:rsid w:val="00A45671"/>
    <w:rsid w:val="00A465F5"/>
    <w:rsid w:val="00A468A2"/>
    <w:rsid w:val="00A46B6A"/>
    <w:rsid w:val="00A46D64"/>
    <w:rsid w:val="00A47473"/>
    <w:rsid w:val="00A501D6"/>
    <w:rsid w:val="00A50204"/>
    <w:rsid w:val="00A51392"/>
    <w:rsid w:val="00A514B6"/>
    <w:rsid w:val="00A5304E"/>
    <w:rsid w:val="00A5360F"/>
    <w:rsid w:val="00A53907"/>
    <w:rsid w:val="00A54AA2"/>
    <w:rsid w:val="00A54D03"/>
    <w:rsid w:val="00A55387"/>
    <w:rsid w:val="00A55939"/>
    <w:rsid w:val="00A57D46"/>
    <w:rsid w:val="00A57F5F"/>
    <w:rsid w:val="00A60710"/>
    <w:rsid w:val="00A60BF0"/>
    <w:rsid w:val="00A610B9"/>
    <w:rsid w:val="00A61336"/>
    <w:rsid w:val="00A61972"/>
    <w:rsid w:val="00A622F9"/>
    <w:rsid w:val="00A627C0"/>
    <w:rsid w:val="00A62B9B"/>
    <w:rsid w:val="00A647CD"/>
    <w:rsid w:val="00A65313"/>
    <w:rsid w:val="00A6674C"/>
    <w:rsid w:val="00A66A1C"/>
    <w:rsid w:val="00A71DA9"/>
    <w:rsid w:val="00A72326"/>
    <w:rsid w:val="00A72B3D"/>
    <w:rsid w:val="00A72CE2"/>
    <w:rsid w:val="00A7352B"/>
    <w:rsid w:val="00A73AB0"/>
    <w:rsid w:val="00A74150"/>
    <w:rsid w:val="00A74298"/>
    <w:rsid w:val="00A75505"/>
    <w:rsid w:val="00A7701C"/>
    <w:rsid w:val="00A8008A"/>
    <w:rsid w:val="00A819E8"/>
    <w:rsid w:val="00A81BC4"/>
    <w:rsid w:val="00A81E78"/>
    <w:rsid w:val="00A81EC5"/>
    <w:rsid w:val="00A820D2"/>
    <w:rsid w:val="00A821BE"/>
    <w:rsid w:val="00A82D39"/>
    <w:rsid w:val="00A82F24"/>
    <w:rsid w:val="00A835D9"/>
    <w:rsid w:val="00A836A3"/>
    <w:rsid w:val="00A83AE1"/>
    <w:rsid w:val="00A840A2"/>
    <w:rsid w:val="00A85618"/>
    <w:rsid w:val="00A862DC"/>
    <w:rsid w:val="00A87CE0"/>
    <w:rsid w:val="00A87FEB"/>
    <w:rsid w:val="00A907FA"/>
    <w:rsid w:val="00A90F96"/>
    <w:rsid w:val="00A919AD"/>
    <w:rsid w:val="00A91D47"/>
    <w:rsid w:val="00A92F32"/>
    <w:rsid w:val="00A92F73"/>
    <w:rsid w:val="00A952DC"/>
    <w:rsid w:val="00A9589E"/>
    <w:rsid w:val="00A95E69"/>
    <w:rsid w:val="00A97BA8"/>
    <w:rsid w:val="00AA07B9"/>
    <w:rsid w:val="00AA08B4"/>
    <w:rsid w:val="00AA0E5A"/>
    <w:rsid w:val="00AA159E"/>
    <w:rsid w:val="00AA28E8"/>
    <w:rsid w:val="00AA2926"/>
    <w:rsid w:val="00AA2D7F"/>
    <w:rsid w:val="00AA2FC0"/>
    <w:rsid w:val="00AA34C1"/>
    <w:rsid w:val="00AA37EF"/>
    <w:rsid w:val="00AA3F87"/>
    <w:rsid w:val="00AA6038"/>
    <w:rsid w:val="00AA66CF"/>
    <w:rsid w:val="00AA7025"/>
    <w:rsid w:val="00AA7A5C"/>
    <w:rsid w:val="00AA7DD2"/>
    <w:rsid w:val="00AA7F12"/>
    <w:rsid w:val="00AB1234"/>
    <w:rsid w:val="00AB1576"/>
    <w:rsid w:val="00AB1953"/>
    <w:rsid w:val="00AB1C5D"/>
    <w:rsid w:val="00AB2A6E"/>
    <w:rsid w:val="00AB2CDD"/>
    <w:rsid w:val="00AB364E"/>
    <w:rsid w:val="00AB3C46"/>
    <w:rsid w:val="00AB3FA6"/>
    <w:rsid w:val="00AB4108"/>
    <w:rsid w:val="00AB425D"/>
    <w:rsid w:val="00AB46D3"/>
    <w:rsid w:val="00AB4EF8"/>
    <w:rsid w:val="00AB52B5"/>
    <w:rsid w:val="00AB59D1"/>
    <w:rsid w:val="00AC05F3"/>
    <w:rsid w:val="00AC11F9"/>
    <w:rsid w:val="00AC14F2"/>
    <w:rsid w:val="00AC16B2"/>
    <w:rsid w:val="00AC179C"/>
    <w:rsid w:val="00AC1AF7"/>
    <w:rsid w:val="00AC1EFC"/>
    <w:rsid w:val="00AC3037"/>
    <w:rsid w:val="00AC3C59"/>
    <w:rsid w:val="00AC3DA2"/>
    <w:rsid w:val="00AC4025"/>
    <w:rsid w:val="00AC4EAC"/>
    <w:rsid w:val="00AC5478"/>
    <w:rsid w:val="00AC660F"/>
    <w:rsid w:val="00AC6A21"/>
    <w:rsid w:val="00AC7628"/>
    <w:rsid w:val="00AC7EE2"/>
    <w:rsid w:val="00AD0362"/>
    <w:rsid w:val="00AD050F"/>
    <w:rsid w:val="00AD1307"/>
    <w:rsid w:val="00AD21D7"/>
    <w:rsid w:val="00AD2AC9"/>
    <w:rsid w:val="00AD3240"/>
    <w:rsid w:val="00AD39F7"/>
    <w:rsid w:val="00AD3D0D"/>
    <w:rsid w:val="00AD3D2A"/>
    <w:rsid w:val="00AD3F6F"/>
    <w:rsid w:val="00AD4751"/>
    <w:rsid w:val="00AD5322"/>
    <w:rsid w:val="00AD54E2"/>
    <w:rsid w:val="00AD594B"/>
    <w:rsid w:val="00AD785F"/>
    <w:rsid w:val="00AD7903"/>
    <w:rsid w:val="00AD7982"/>
    <w:rsid w:val="00AD79E0"/>
    <w:rsid w:val="00AE1DF4"/>
    <w:rsid w:val="00AE1E6B"/>
    <w:rsid w:val="00AE2057"/>
    <w:rsid w:val="00AE2BAF"/>
    <w:rsid w:val="00AE30D1"/>
    <w:rsid w:val="00AE32FC"/>
    <w:rsid w:val="00AE3396"/>
    <w:rsid w:val="00AE3946"/>
    <w:rsid w:val="00AE3CA6"/>
    <w:rsid w:val="00AE3DBC"/>
    <w:rsid w:val="00AE633E"/>
    <w:rsid w:val="00AE7881"/>
    <w:rsid w:val="00AF0292"/>
    <w:rsid w:val="00AF08B4"/>
    <w:rsid w:val="00AF0DBE"/>
    <w:rsid w:val="00AF16CB"/>
    <w:rsid w:val="00AF1794"/>
    <w:rsid w:val="00AF1D70"/>
    <w:rsid w:val="00AF3F97"/>
    <w:rsid w:val="00AF41F7"/>
    <w:rsid w:val="00AF4228"/>
    <w:rsid w:val="00AF589A"/>
    <w:rsid w:val="00AF5B9A"/>
    <w:rsid w:val="00AF6687"/>
    <w:rsid w:val="00AF6B84"/>
    <w:rsid w:val="00AF6CEC"/>
    <w:rsid w:val="00AF6E13"/>
    <w:rsid w:val="00AF71B2"/>
    <w:rsid w:val="00B00569"/>
    <w:rsid w:val="00B00E4F"/>
    <w:rsid w:val="00B011DF"/>
    <w:rsid w:val="00B017D7"/>
    <w:rsid w:val="00B01A04"/>
    <w:rsid w:val="00B01A8A"/>
    <w:rsid w:val="00B0200E"/>
    <w:rsid w:val="00B0266E"/>
    <w:rsid w:val="00B02796"/>
    <w:rsid w:val="00B02896"/>
    <w:rsid w:val="00B03050"/>
    <w:rsid w:val="00B03423"/>
    <w:rsid w:val="00B0349B"/>
    <w:rsid w:val="00B03846"/>
    <w:rsid w:val="00B03C0B"/>
    <w:rsid w:val="00B03E2E"/>
    <w:rsid w:val="00B04980"/>
    <w:rsid w:val="00B05207"/>
    <w:rsid w:val="00B05B46"/>
    <w:rsid w:val="00B06083"/>
    <w:rsid w:val="00B061B5"/>
    <w:rsid w:val="00B065F9"/>
    <w:rsid w:val="00B06F8C"/>
    <w:rsid w:val="00B101A0"/>
    <w:rsid w:val="00B103A5"/>
    <w:rsid w:val="00B1040A"/>
    <w:rsid w:val="00B11CDD"/>
    <w:rsid w:val="00B11DC4"/>
    <w:rsid w:val="00B12269"/>
    <w:rsid w:val="00B122D0"/>
    <w:rsid w:val="00B125B1"/>
    <w:rsid w:val="00B12736"/>
    <w:rsid w:val="00B1326C"/>
    <w:rsid w:val="00B1423B"/>
    <w:rsid w:val="00B1429D"/>
    <w:rsid w:val="00B14A41"/>
    <w:rsid w:val="00B14AAF"/>
    <w:rsid w:val="00B16556"/>
    <w:rsid w:val="00B17212"/>
    <w:rsid w:val="00B1725B"/>
    <w:rsid w:val="00B17514"/>
    <w:rsid w:val="00B17635"/>
    <w:rsid w:val="00B17DDE"/>
    <w:rsid w:val="00B20A39"/>
    <w:rsid w:val="00B210F7"/>
    <w:rsid w:val="00B213D1"/>
    <w:rsid w:val="00B21DC6"/>
    <w:rsid w:val="00B2247E"/>
    <w:rsid w:val="00B2319E"/>
    <w:rsid w:val="00B23A91"/>
    <w:rsid w:val="00B2420C"/>
    <w:rsid w:val="00B24A36"/>
    <w:rsid w:val="00B25438"/>
    <w:rsid w:val="00B25D18"/>
    <w:rsid w:val="00B261D7"/>
    <w:rsid w:val="00B26EF6"/>
    <w:rsid w:val="00B27555"/>
    <w:rsid w:val="00B27F08"/>
    <w:rsid w:val="00B302B2"/>
    <w:rsid w:val="00B304A1"/>
    <w:rsid w:val="00B3060B"/>
    <w:rsid w:val="00B306A5"/>
    <w:rsid w:val="00B318EA"/>
    <w:rsid w:val="00B31C42"/>
    <w:rsid w:val="00B31D62"/>
    <w:rsid w:val="00B3255F"/>
    <w:rsid w:val="00B330AE"/>
    <w:rsid w:val="00B33711"/>
    <w:rsid w:val="00B34028"/>
    <w:rsid w:val="00B35858"/>
    <w:rsid w:val="00B35C9F"/>
    <w:rsid w:val="00B35FD1"/>
    <w:rsid w:val="00B366AC"/>
    <w:rsid w:val="00B36A9F"/>
    <w:rsid w:val="00B36D38"/>
    <w:rsid w:val="00B3701B"/>
    <w:rsid w:val="00B37036"/>
    <w:rsid w:val="00B3761C"/>
    <w:rsid w:val="00B410C9"/>
    <w:rsid w:val="00B427F0"/>
    <w:rsid w:val="00B42E43"/>
    <w:rsid w:val="00B4366F"/>
    <w:rsid w:val="00B443EF"/>
    <w:rsid w:val="00B44D8C"/>
    <w:rsid w:val="00B45351"/>
    <w:rsid w:val="00B4581E"/>
    <w:rsid w:val="00B464DD"/>
    <w:rsid w:val="00B47305"/>
    <w:rsid w:val="00B4778C"/>
    <w:rsid w:val="00B47993"/>
    <w:rsid w:val="00B504FD"/>
    <w:rsid w:val="00B50AFB"/>
    <w:rsid w:val="00B50B5C"/>
    <w:rsid w:val="00B50F20"/>
    <w:rsid w:val="00B51A8B"/>
    <w:rsid w:val="00B51D03"/>
    <w:rsid w:val="00B52AE3"/>
    <w:rsid w:val="00B52E27"/>
    <w:rsid w:val="00B532C7"/>
    <w:rsid w:val="00B539CE"/>
    <w:rsid w:val="00B54567"/>
    <w:rsid w:val="00B548A7"/>
    <w:rsid w:val="00B54F55"/>
    <w:rsid w:val="00B55AE2"/>
    <w:rsid w:val="00B5760C"/>
    <w:rsid w:val="00B61308"/>
    <w:rsid w:val="00B6157F"/>
    <w:rsid w:val="00B6283E"/>
    <w:rsid w:val="00B6315A"/>
    <w:rsid w:val="00B63F59"/>
    <w:rsid w:val="00B64A75"/>
    <w:rsid w:val="00B64FC8"/>
    <w:rsid w:val="00B654A0"/>
    <w:rsid w:val="00B65D88"/>
    <w:rsid w:val="00B65D9C"/>
    <w:rsid w:val="00B66173"/>
    <w:rsid w:val="00B66C24"/>
    <w:rsid w:val="00B66F8F"/>
    <w:rsid w:val="00B66FD8"/>
    <w:rsid w:val="00B6751E"/>
    <w:rsid w:val="00B703AE"/>
    <w:rsid w:val="00B70DFF"/>
    <w:rsid w:val="00B714E2"/>
    <w:rsid w:val="00B71BE4"/>
    <w:rsid w:val="00B72032"/>
    <w:rsid w:val="00B72095"/>
    <w:rsid w:val="00B7454A"/>
    <w:rsid w:val="00B76918"/>
    <w:rsid w:val="00B76F92"/>
    <w:rsid w:val="00B77355"/>
    <w:rsid w:val="00B77830"/>
    <w:rsid w:val="00B77899"/>
    <w:rsid w:val="00B800D3"/>
    <w:rsid w:val="00B801E5"/>
    <w:rsid w:val="00B8066D"/>
    <w:rsid w:val="00B80969"/>
    <w:rsid w:val="00B80EDC"/>
    <w:rsid w:val="00B82A68"/>
    <w:rsid w:val="00B83146"/>
    <w:rsid w:val="00B835BD"/>
    <w:rsid w:val="00B8369B"/>
    <w:rsid w:val="00B83E8C"/>
    <w:rsid w:val="00B8410C"/>
    <w:rsid w:val="00B846DC"/>
    <w:rsid w:val="00B84777"/>
    <w:rsid w:val="00B84982"/>
    <w:rsid w:val="00B84BA0"/>
    <w:rsid w:val="00B84F15"/>
    <w:rsid w:val="00B85A39"/>
    <w:rsid w:val="00B85D7D"/>
    <w:rsid w:val="00B868CD"/>
    <w:rsid w:val="00B8715E"/>
    <w:rsid w:val="00B90134"/>
    <w:rsid w:val="00B90592"/>
    <w:rsid w:val="00B91233"/>
    <w:rsid w:val="00B914CB"/>
    <w:rsid w:val="00B914D2"/>
    <w:rsid w:val="00B923DB"/>
    <w:rsid w:val="00B92C28"/>
    <w:rsid w:val="00B9370A"/>
    <w:rsid w:val="00B939F4"/>
    <w:rsid w:val="00B93A88"/>
    <w:rsid w:val="00B93BD3"/>
    <w:rsid w:val="00B94971"/>
    <w:rsid w:val="00B956E5"/>
    <w:rsid w:val="00B95D99"/>
    <w:rsid w:val="00B95EB1"/>
    <w:rsid w:val="00B964AB"/>
    <w:rsid w:val="00B9780F"/>
    <w:rsid w:val="00BA0766"/>
    <w:rsid w:val="00BA1085"/>
    <w:rsid w:val="00BA109E"/>
    <w:rsid w:val="00BA1290"/>
    <w:rsid w:val="00BA17DE"/>
    <w:rsid w:val="00BA255E"/>
    <w:rsid w:val="00BA26F7"/>
    <w:rsid w:val="00BA304B"/>
    <w:rsid w:val="00BA4810"/>
    <w:rsid w:val="00BA4A70"/>
    <w:rsid w:val="00BA60E9"/>
    <w:rsid w:val="00BA616E"/>
    <w:rsid w:val="00BA6A7D"/>
    <w:rsid w:val="00BA6DC6"/>
    <w:rsid w:val="00BA767D"/>
    <w:rsid w:val="00BA7D98"/>
    <w:rsid w:val="00BB0366"/>
    <w:rsid w:val="00BB115D"/>
    <w:rsid w:val="00BB24E5"/>
    <w:rsid w:val="00BB39C7"/>
    <w:rsid w:val="00BB3FBB"/>
    <w:rsid w:val="00BB4093"/>
    <w:rsid w:val="00BB46B6"/>
    <w:rsid w:val="00BB4A9D"/>
    <w:rsid w:val="00BB4D7D"/>
    <w:rsid w:val="00BB5C4F"/>
    <w:rsid w:val="00BB62E1"/>
    <w:rsid w:val="00BB6518"/>
    <w:rsid w:val="00BB717B"/>
    <w:rsid w:val="00BB735C"/>
    <w:rsid w:val="00BB7796"/>
    <w:rsid w:val="00BC0024"/>
    <w:rsid w:val="00BC07D4"/>
    <w:rsid w:val="00BC0D5F"/>
    <w:rsid w:val="00BC1091"/>
    <w:rsid w:val="00BC1290"/>
    <w:rsid w:val="00BC148E"/>
    <w:rsid w:val="00BC2F50"/>
    <w:rsid w:val="00BC34FE"/>
    <w:rsid w:val="00BC3882"/>
    <w:rsid w:val="00BC3A00"/>
    <w:rsid w:val="00BC3F32"/>
    <w:rsid w:val="00BC471E"/>
    <w:rsid w:val="00BC4A74"/>
    <w:rsid w:val="00BC53D4"/>
    <w:rsid w:val="00BC5CED"/>
    <w:rsid w:val="00BC6E07"/>
    <w:rsid w:val="00BD0416"/>
    <w:rsid w:val="00BD12E8"/>
    <w:rsid w:val="00BD1CC4"/>
    <w:rsid w:val="00BD2A9F"/>
    <w:rsid w:val="00BD4477"/>
    <w:rsid w:val="00BD499D"/>
    <w:rsid w:val="00BD570C"/>
    <w:rsid w:val="00BD6736"/>
    <w:rsid w:val="00BD6ABC"/>
    <w:rsid w:val="00BD7CF9"/>
    <w:rsid w:val="00BD7ED6"/>
    <w:rsid w:val="00BE05D9"/>
    <w:rsid w:val="00BE1C75"/>
    <w:rsid w:val="00BE22FC"/>
    <w:rsid w:val="00BE2541"/>
    <w:rsid w:val="00BE3118"/>
    <w:rsid w:val="00BE3A92"/>
    <w:rsid w:val="00BE48F1"/>
    <w:rsid w:val="00BE511A"/>
    <w:rsid w:val="00BE56AA"/>
    <w:rsid w:val="00BE5A68"/>
    <w:rsid w:val="00BE5AFD"/>
    <w:rsid w:val="00BE689A"/>
    <w:rsid w:val="00BE6CA2"/>
    <w:rsid w:val="00BE7346"/>
    <w:rsid w:val="00BE79C2"/>
    <w:rsid w:val="00BF039A"/>
    <w:rsid w:val="00BF068B"/>
    <w:rsid w:val="00BF0B31"/>
    <w:rsid w:val="00BF0B32"/>
    <w:rsid w:val="00BF120F"/>
    <w:rsid w:val="00BF1A7E"/>
    <w:rsid w:val="00BF1D1E"/>
    <w:rsid w:val="00BF2314"/>
    <w:rsid w:val="00BF3279"/>
    <w:rsid w:val="00BF38A0"/>
    <w:rsid w:val="00BF67CB"/>
    <w:rsid w:val="00C0065D"/>
    <w:rsid w:val="00C010CC"/>
    <w:rsid w:val="00C0120E"/>
    <w:rsid w:val="00C01C3D"/>
    <w:rsid w:val="00C01E9C"/>
    <w:rsid w:val="00C01EF6"/>
    <w:rsid w:val="00C0254C"/>
    <w:rsid w:val="00C02B0B"/>
    <w:rsid w:val="00C02C7A"/>
    <w:rsid w:val="00C02E09"/>
    <w:rsid w:val="00C03554"/>
    <w:rsid w:val="00C03678"/>
    <w:rsid w:val="00C04E0F"/>
    <w:rsid w:val="00C05173"/>
    <w:rsid w:val="00C056D6"/>
    <w:rsid w:val="00C056E1"/>
    <w:rsid w:val="00C06BD7"/>
    <w:rsid w:val="00C071BE"/>
    <w:rsid w:val="00C0739F"/>
    <w:rsid w:val="00C0766E"/>
    <w:rsid w:val="00C07D80"/>
    <w:rsid w:val="00C10B1F"/>
    <w:rsid w:val="00C11010"/>
    <w:rsid w:val="00C111E3"/>
    <w:rsid w:val="00C12716"/>
    <w:rsid w:val="00C13262"/>
    <w:rsid w:val="00C13C55"/>
    <w:rsid w:val="00C14D8B"/>
    <w:rsid w:val="00C15A90"/>
    <w:rsid w:val="00C15FD9"/>
    <w:rsid w:val="00C16B5D"/>
    <w:rsid w:val="00C172F2"/>
    <w:rsid w:val="00C17994"/>
    <w:rsid w:val="00C17ADA"/>
    <w:rsid w:val="00C17E4C"/>
    <w:rsid w:val="00C214D7"/>
    <w:rsid w:val="00C21539"/>
    <w:rsid w:val="00C21D27"/>
    <w:rsid w:val="00C246CD"/>
    <w:rsid w:val="00C2540F"/>
    <w:rsid w:val="00C259D2"/>
    <w:rsid w:val="00C26587"/>
    <w:rsid w:val="00C26F67"/>
    <w:rsid w:val="00C27246"/>
    <w:rsid w:val="00C31CBD"/>
    <w:rsid w:val="00C31ED1"/>
    <w:rsid w:val="00C32D73"/>
    <w:rsid w:val="00C3303F"/>
    <w:rsid w:val="00C330D5"/>
    <w:rsid w:val="00C3355D"/>
    <w:rsid w:val="00C344A1"/>
    <w:rsid w:val="00C34D16"/>
    <w:rsid w:val="00C3554C"/>
    <w:rsid w:val="00C3603A"/>
    <w:rsid w:val="00C3730B"/>
    <w:rsid w:val="00C37319"/>
    <w:rsid w:val="00C37F14"/>
    <w:rsid w:val="00C40128"/>
    <w:rsid w:val="00C406D3"/>
    <w:rsid w:val="00C40E51"/>
    <w:rsid w:val="00C414F7"/>
    <w:rsid w:val="00C42A60"/>
    <w:rsid w:val="00C42F0A"/>
    <w:rsid w:val="00C4378F"/>
    <w:rsid w:val="00C43D41"/>
    <w:rsid w:val="00C4436C"/>
    <w:rsid w:val="00C44A8D"/>
    <w:rsid w:val="00C44AEB"/>
    <w:rsid w:val="00C455F3"/>
    <w:rsid w:val="00C45C06"/>
    <w:rsid w:val="00C466B0"/>
    <w:rsid w:val="00C47198"/>
    <w:rsid w:val="00C507B6"/>
    <w:rsid w:val="00C510F3"/>
    <w:rsid w:val="00C52A73"/>
    <w:rsid w:val="00C53824"/>
    <w:rsid w:val="00C54C4E"/>
    <w:rsid w:val="00C550CF"/>
    <w:rsid w:val="00C55335"/>
    <w:rsid w:val="00C5540A"/>
    <w:rsid w:val="00C56098"/>
    <w:rsid w:val="00C56F88"/>
    <w:rsid w:val="00C57B1A"/>
    <w:rsid w:val="00C57E82"/>
    <w:rsid w:val="00C57F11"/>
    <w:rsid w:val="00C57F36"/>
    <w:rsid w:val="00C602F9"/>
    <w:rsid w:val="00C6070E"/>
    <w:rsid w:val="00C61DEC"/>
    <w:rsid w:val="00C627A7"/>
    <w:rsid w:val="00C62E12"/>
    <w:rsid w:val="00C63E17"/>
    <w:rsid w:val="00C63F73"/>
    <w:rsid w:val="00C6482B"/>
    <w:rsid w:val="00C64B03"/>
    <w:rsid w:val="00C64E22"/>
    <w:rsid w:val="00C660FA"/>
    <w:rsid w:val="00C66251"/>
    <w:rsid w:val="00C669AF"/>
    <w:rsid w:val="00C66C39"/>
    <w:rsid w:val="00C66F1A"/>
    <w:rsid w:val="00C67262"/>
    <w:rsid w:val="00C70168"/>
    <w:rsid w:val="00C705EE"/>
    <w:rsid w:val="00C70ACB"/>
    <w:rsid w:val="00C71960"/>
    <w:rsid w:val="00C71A0C"/>
    <w:rsid w:val="00C72DCF"/>
    <w:rsid w:val="00C72F9D"/>
    <w:rsid w:val="00C7471B"/>
    <w:rsid w:val="00C747BE"/>
    <w:rsid w:val="00C74A5E"/>
    <w:rsid w:val="00C75559"/>
    <w:rsid w:val="00C755B7"/>
    <w:rsid w:val="00C75B22"/>
    <w:rsid w:val="00C75B5D"/>
    <w:rsid w:val="00C75F27"/>
    <w:rsid w:val="00C7601F"/>
    <w:rsid w:val="00C761F0"/>
    <w:rsid w:val="00C76370"/>
    <w:rsid w:val="00C76447"/>
    <w:rsid w:val="00C76968"/>
    <w:rsid w:val="00C7764E"/>
    <w:rsid w:val="00C7781D"/>
    <w:rsid w:val="00C81AE9"/>
    <w:rsid w:val="00C8282F"/>
    <w:rsid w:val="00C82E54"/>
    <w:rsid w:val="00C83396"/>
    <w:rsid w:val="00C83E9C"/>
    <w:rsid w:val="00C843C2"/>
    <w:rsid w:val="00C84F1C"/>
    <w:rsid w:val="00C859E5"/>
    <w:rsid w:val="00C85E80"/>
    <w:rsid w:val="00C86229"/>
    <w:rsid w:val="00C8635C"/>
    <w:rsid w:val="00C86CB1"/>
    <w:rsid w:val="00C87CD4"/>
    <w:rsid w:val="00C87D87"/>
    <w:rsid w:val="00C907C5"/>
    <w:rsid w:val="00C907CD"/>
    <w:rsid w:val="00C90F89"/>
    <w:rsid w:val="00C913E0"/>
    <w:rsid w:val="00C925C7"/>
    <w:rsid w:val="00C925E7"/>
    <w:rsid w:val="00C92C23"/>
    <w:rsid w:val="00C92C34"/>
    <w:rsid w:val="00C94C63"/>
    <w:rsid w:val="00C9505C"/>
    <w:rsid w:val="00C95247"/>
    <w:rsid w:val="00C96A3E"/>
    <w:rsid w:val="00C9740B"/>
    <w:rsid w:val="00C97986"/>
    <w:rsid w:val="00CA02A0"/>
    <w:rsid w:val="00CA06E5"/>
    <w:rsid w:val="00CA15DB"/>
    <w:rsid w:val="00CA20ED"/>
    <w:rsid w:val="00CA218E"/>
    <w:rsid w:val="00CA2972"/>
    <w:rsid w:val="00CA2CDC"/>
    <w:rsid w:val="00CA2E72"/>
    <w:rsid w:val="00CA341D"/>
    <w:rsid w:val="00CA38FE"/>
    <w:rsid w:val="00CA4498"/>
    <w:rsid w:val="00CA550C"/>
    <w:rsid w:val="00CA6A51"/>
    <w:rsid w:val="00CA73B6"/>
    <w:rsid w:val="00CA7994"/>
    <w:rsid w:val="00CA7A78"/>
    <w:rsid w:val="00CA7E91"/>
    <w:rsid w:val="00CB081E"/>
    <w:rsid w:val="00CB086E"/>
    <w:rsid w:val="00CB0CD0"/>
    <w:rsid w:val="00CB11EE"/>
    <w:rsid w:val="00CB15F9"/>
    <w:rsid w:val="00CB3358"/>
    <w:rsid w:val="00CB4780"/>
    <w:rsid w:val="00CB5BA4"/>
    <w:rsid w:val="00CB605E"/>
    <w:rsid w:val="00CC0EA7"/>
    <w:rsid w:val="00CC1362"/>
    <w:rsid w:val="00CC195E"/>
    <w:rsid w:val="00CC2C2C"/>
    <w:rsid w:val="00CC3733"/>
    <w:rsid w:val="00CC3876"/>
    <w:rsid w:val="00CC3C75"/>
    <w:rsid w:val="00CC40CD"/>
    <w:rsid w:val="00CC59FC"/>
    <w:rsid w:val="00CC5AAC"/>
    <w:rsid w:val="00CC61AE"/>
    <w:rsid w:val="00CC63DD"/>
    <w:rsid w:val="00CC6622"/>
    <w:rsid w:val="00CC6F7A"/>
    <w:rsid w:val="00CC7253"/>
    <w:rsid w:val="00CC72E3"/>
    <w:rsid w:val="00CD03D9"/>
    <w:rsid w:val="00CD0FC0"/>
    <w:rsid w:val="00CD1415"/>
    <w:rsid w:val="00CD1C8E"/>
    <w:rsid w:val="00CD2212"/>
    <w:rsid w:val="00CD2634"/>
    <w:rsid w:val="00CD308F"/>
    <w:rsid w:val="00CD357B"/>
    <w:rsid w:val="00CD3921"/>
    <w:rsid w:val="00CD3C7B"/>
    <w:rsid w:val="00CD4503"/>
    <w:rsid w:val="00CD4D73"/>
    <w:rsid w:val="00CD658B"/>
    <w:rsid w:val="00CD67D9"/>
    <w:rsid w:val="00CD6D3A"/>
    <w:rsid w:val="00CD78FD"/>
    <w:rsid w:val="00CE0557"/>
    <w:rsid w:val="00CE0AAA"/>
    <w:rsid w:val="00CE25BF"/>
    <w:rsid w:val="00CE3285"/>
    <w:rsid w:val="00CE3A65"/>
    <w:rsid w:val="00CE440A"/>
    <w:rsid w:val="00CE51F3"/>
    <w:rsid w:val="00CE5F8F"/>
    <w:rsid w:val="00CE61D8"/>
    <w:rsid w:val="00CE6373"/>
    <w:rsid w:val="00CE71B2"/>
    <w:rsid w:val="00CF2675"/>
    <w:rsid w:val="00CF29EF"/>
    <w:rsid w:val="00CF37CE"/>
    <w:rsid w:val="00CF38B4"/>
    <w:rsid w:val="00CF3AFC"/>
    <w:rsid w:val="00CF41D4"/>
    <w:rsid w:val="00CF4B1B"/>
    <w:rsid w:val="00CF5C27"/>
    <w:rsid w:val="00CF711E"/>
    <w:rsid w:val="00CF73C1"/>
    <w:rsid w:val="00D00DAE"/>
    <w:rsid w:val="00D01344"/>
    <w:rsid w:val="00D01A3F"/>
    <w:rsid w:val="00D02EC0"/>
    <w:rsid w:val="00D0348C"/>
    <w:rsid w:val="00D03865"/>
    <w:rsid w:val="00D03DF4"/>
    <w:rsid w:val="00D047CC"/>
    <w:rsid w:val="00D04F75"/>
    <w:rsid w:val="00D053FB"/>
    <w:rsid w:val="00D0550E"/>
    <w:rsid w:val="00D059F0"/>
    <w:rsid w:val="00D05AD4"/>
    <w:rsid w:val="00D060E3"/>
    <w:rsid w:val="00D06AA3"/>
    <w:rsid w:val="00D06E6F"/>
    <w:rsid w:val="00D075B4"/>
    <w:rsid w:val="00D0777B"/>
    <w:rsid w:val="00D1096C"/>
    <w:rsid w:val="00D10AD9"/>
    <w:rsid w:val="00D10F31"/>
    <w:rsid w:val="00D11BEA"/>
    <w:rsid w:val="00D11DD8"/>
    <w:rsid w:val="00D12B02"/>
    <w:rsid w:val="00D12E39"/>
    <w:rsid w:val="00D13423"/>
    <w:rsid w:val="00D137D0"/>
    <w:rsid w:val="00D1448B"/>
    <w:rsid w:val="00D14BF5"/>
    <w:rsid w:val="00D14D6E"/>
    <w:rsid w:val="00D1503C"/>
    <w:rsid w:val="00D1624B"/>
    <w:rsid w:val="00D1657B"/>
    <w:rsid w:val="00D167CD"/>
    <w:rsid w:val="00D16CBE"/>
    <w:rsid w:val="00D17AFE"/>
    <w:rsid w:val="00D2013A"/>
    <w:rsid w:val="00D213F9"/>
    <w:rsid w:val="00D2166C"/>
    <w:rsid w:val="00D21CF8"/>
    <w:rsid w:val="00D2240F"/>
    <w:rsid w:val="00D2320F"/>
    <w:rsid w:val="00D23BEC"/>
    <w:rsid w:val="00D2447B"/>
    <w:rsid w:val="00D2451C"/>
    <w:rsid w:val="00D24801"/>
    <w:rsid w:val="00D249C1"/>
    <w:rsid w:val="00D2645E"/>
    <w:rsid w:val="00D26DE8"/>
    <w:rsid w:val="00D2776A"/>
    <w:rsid w:val="00D27D41"/>
    <w:rsid w:val="00D27DA7"/>
    <w:rsid w:val="00D3058F"/>
    <w:rsid w:val="00D3074D"/>
    <w:rsid w:val="00D30EB5"/>
    <w:rsid w:val="00D31421"/>
    <w:rsid w:val="00D31C65"/>
    <w:rsid w:val="00D322BE"/>
    <w:rsid w:val="00D32753"/>
    <w:rsid w:val="00D329E7"/>
    <w:rsid w:val="00D32B9D"/>
    <w:rsid w:val="00D3317E"/>
    <w:rsid w:val="00D33C0E"/>
    <w:rsid w:val="00D34757"/>
    <w:rsid w:val="00D35D86"/>
    <w:rsid w:val="00D35F53"/>
    <w:rsid w:val="00D36318"/>
    <w:rsid w:val="00D3634C"/>
    <w:rsid w:val="00D36721"/>
    <w:rsid w:val="00D375C8"/>
    <w:rsid w:val="00D40A2B"/>
    <w:rsid w:val="00D41092"/>
    <w:rsid w:val="00D41BC3"/>
    <w:rsid w:val="00D41F6D"/>
    <w:rsid w:val="00D42E7C"/>
    <w:rsid w:val="00D42FC4"/>
    <w:rsid w:val="00D43403"/>
    <w:rsid w:val="00D43C85"/>
    <w:rsid w:val="00D43F9D"/>
    <w:rsid w:val="00D44EA5"/>
    <w:rsid w:val="00D45A45"/>
    <w:rsid w:val="00D45AC0"/>
    <w:rsid w:val="00D46D1D"/>
    <w:rsid w:val="00D47287"/>
    <w:rsid w:val="00D47FAA"/>
    <w:rsid w:val="00D50439"/>
    <w:rsid w:val="00D50816"/>
    <w:rsid w:val="00D50EF1"/>
    <w:rsid w:val="00D50FF3"/>
    <w:rsid w:val="00D511F3"/>
    <w:rsid w:val="00D51C1E"/>
    <w:rsid w:val="00D52283"/>
    <w:rsid w:val="00D52640"/>
    <w:rsid w:val="00D526A2"/>
    <w:rsid w:val="00D52C0E"/>
    <w:rsid w:val="00D5301C"/>
    <w:rsid w:val="00D530A1"/>
    <w:rsid w:val="00D53756"/>
    <w:rsid w:val="00D5433B"/>
    <w:rsid w:val="00D5504F"/>
    <w:rsid w:val="00D56317"/>
    <w:rsid w:val="00D5667D"/>
    <w:rsid w:val="00D57168"/>
    <w:rsid w:val="00D57473"/>
    <w:rsid w:val="00D5756D"/>
    <w:rsid w:val="00D57F55"/>
    <w:rsid w:val="00D60965"/>
    <w:rsid w:val="00D6133B"/>
    <w:rsid w:val="00D61C52"/>
    <w:rsid w:val="00D62327"/>
    <w:rsid w:val="00D63286"/>
    <w:rsid w:val="00D6413F"/>
    <w:rsid w:val="00D64441"/>
    <w:rsid w:val="00D6543B"/>
    <w:rsid w:val="00D66031"/>
    <w:rsid w:val="00D66363"/>
    <w:rsid w:val="00D664A3"/>
    <w:rsid w:val="00D66ACF"/>
    <w:rsid w:val="00D66C3D"/>
    <w:rsid w:val="00D67545"/>
    <w:rsid w:val="00D70619"/>
    <w:rsid w:val="00D70CE8"/>
    <w:rsid w:val="00D70CE9"/>
    <w:rsid w:val="00D70D8D"/>
    <w:rsid w:val="00D70DDA"/>
    <w:rsid w:val="00D7103E"/>
    <w:rsid w:val="00D71403"/>
    <w:rsid w:val="00D72A25"/>
    <w:rsid w:val="00D73172"/>
    <w:rsid w:val="00D73B84"/>
    <w:rsid w:val="00D73D8C"/>
    <w:rsid w:val="00D756DD"/>
    <w:rsid w:val="00D76150"/>
    <w:rsid w:val="00D76F9A"/>
    <w:rsid w:val="00D7726F"/>
    <w:rsid w:val="00D775AA"/>
    <w:rsid w:val="00D77913"/>
    <w:rsid w:val="00D77E3D"/>
    <w:rsid w:val="00D80D9A"/>
    <w:rsid w:val="00D818A0"/>
    <w:rsid w:val="00D83173"/>
    <w:rsid w:val="00D83209"/>
    <w:rsid w:val="00D838C6"/>
    <w:rsid w:val="00D83A28"/>
    <w:rsid w:val="00D83F1D"/>
    <w:rsid w:val="00D84076"/>
    <w:rsid w:val="00D84BEB"/>
    <w:rsid w:val="00D8643A"/>
    <w:rsid w:val="00D864E6"/>
    <w:rsid w:val="00D868C9"/>
    <w:rsid w:val="00D87973"/>
    <w:rsid w:val="00D87B24"/>
    <w:rsid w:val="00D90658"/>
    <w:rsid w:val="00D909A7"/>
    <w:rsid w:val="00D912A1"/>
    <w:rsid w:val="00D91BF5"/>
    <w:rsid w:val="00D92B31"/>
    <w:rsid w:val="00D93144"/>
    <w:rsid w:val="00D932E4"/>
    <w:rsid w:val="00D9373D"/>
    <w:rsid w:val="00D95950"/>
    <w:rsid w:val="00D95A29"/>
    <w:rsid w:val="00D96574"/>
    <w:rsid w:val="00D971F8"/>
    <w:rsid w:val="00D979F3"/>
    <w:rsid w:val="00D97EB5"/>
    <w:rsid w:val="00DA118A"/>
    <w:rsid w:val="00DA1345"/>
    <w:rsid w:val="00DA1E4F"/>
    <w:rsid w:val="00DA283F"/>
    <w:rsid w:val="00DA2F57"/>
    <w:rsid w:val="00DA3070"/>
    <w:rsid w:val="00DA3D2B"/>
    <w:rsid w:val="00DA3F34"/>
    <w:rsid w:val="00DA3F3C"/>
    <w:rsid w:val="00DA4654"/>
    <w:rsid w:val="00DA475C"/>
    <w:rsid w:val="00DA4763"/>
    <w:rsid w:val="00DA47F4"/>
    <w:rsid w:val="00DA542B"/>
    <w:rsid w:val="00DA56C2"/>
    <w:rsid w:val="00DA59E3"/>
    <w:rsid w:val="00DA5D5C"/>
    <w:rsid w:val="00DA66F7"/>
    <w:rsid w:val="00DA6740"/>
    <w:rsid w:val="00DA6763"/>
    <w:rsid w:val="00DA67BF"/>
    <w:rsid w:val="00DA6C71"/>
    <w:rsid w:val="00DA7B79"/>
    <w:rsid w:val="00DA7D38"/>
    <w:rsid w:val="00DB103B"/>
    <w:rsid w:val="00DB3693"/>
    <w:rsid w:val="00DB4ADE"/>
    <w:rsid w:val="00DB4BBA"/>
    <w:rsid w:val="00DB5248"/>
    <w:rsid w:val="00DB545C"/>
    <w:rsid w:val="00DB7060"/>
    <w:rsid w:val="00DB712D"/>
    <w:rsid w:val="00DB72CD"/>
    <w:rsid w:val="00DB7300"/>
    <w:rsid w:val="00DC064E"/>
    <w:rsid w:val="00DC1423"/>
    <w:rsid w:val="00DC2F1F"/>
    <w:rsid w:val="00DC324A"/>
    <w:rsid w:val="00DC343C"/>
    <w:rsid w:val="00DC3792"/>
    <w:rsid w:val="00DC3FB4"/>
    <w:rsid w:val="00DC5E42"/>
    <w:rsid w:val="00DC644E"/>
    <w:rsid w:val="00DC6FB3"/>
    <w:rsid w:val="00DC7454"/>
    <w:rsid w:val="00DC7633"/>
    <w:rsid w:val="00DD04BC"/>
    <w:rsid w:val="00DD10E1"/>
    <w:rsid w:val="00DD1577"/>
    <w:rsid w:val="00DD18CB"/>
    <w:rsid w:val="00DD292A"/>
    <w:rsid w:val="00DD2C69"/>
    <w:rsid w:val="00DD3757"/>
    <w:rsid w:val="00DD3819"/>
    <w:rsid w:val="00DD3965"/>
    <w:rsid w:val="00DD3FA7"/>
    <w:rsid w:val="00DD4270"/>
    <w:rsid w:val="00DD4350"/>
    <w:rsid w:val="00DD43C8"/>
    <w:rsid w:val="00DD4CF2"/>
    <w:rsid w:val="00DD51F1"/>
    <w:rsid w:val="00DD5577"/>
    <w:rsid w:val="00DD577E"/>
    <w:rsid w:val="00DD5902"/>
    <w:rsid w:val="00DD5D8E"/>
    <w:rsid w:val="00DD5DE0"/>
    <w:rsid w:val="00DD62EF"/>
    <w:rsid w:val="00DD75D4"/>
    <w:rsid w:val="00DE001F"/>
    <w:rsid w:val="00DE0159"/>
    <w:rsid w:val="00DE032B"/>
    <w:rsid w:val="00DE0B98"/>
    <w:rsid w:val="00DE0DD7"/>
    <w:rsid w:val="00DE0F3A"/>
    <w:rsid w:val="00DE12E0"/>
    <w:rsid w:val="00DE171B"/>
    <w:rsid w:val="00DE248B"/>
    <w:rsid w:val="00DE249A"/>
    <w:rsid w:val="00DE32A8"/>
    <w:rsid w:val="00DE3425"/>
    <w:rsid w:val="00DE3CED"/>
    <w:rsid w:val="00DE4E0A"/>
    <w:rsid w:val="00DE567C"/>
    <w:rsid w:val="00DE5E55"/>
    <w:rsid w:val="00DE625C"/>
    <w:rsid w:val="00DE64DA"/>
    <w:rsid w:val="00DE7A1F"/>
    <w:rsid w:val="00DE7C31"/>
    <w:rsid w:val="00DF079E"/>
    <w:rsid w:val="00DF24D9"/>
    <w:rsid w:val="00DF2A08"/>
    <w:rsid w:val="00DF2AE2"/>
    <w:rsid w:val="00DF3711"/>
    <w:rsid w:val="00DF3D9D"/>
    <w:rsid w:val="00DF4115"/>
    <w:rsid w:val="00DF42B6"/>
    <w:rsid w:val="00DF4498"/>
    <w:rsid w:val="00DF4855"/>
    <w:rsid w:val="00DF5143"/>
    <w:rsid w:val="00DF53ED"/>
    <w:rsid w:val="00DF543C"/>
    <w:rsid w:val="00DF54BD"/>
    <w:rsid w:val="00DF6045"/>
    <w:rsid w:val="00DF77A0"/>
    <w:rsid w:val="00DF7AC8"/>
    <w:rsid w:val="00DF7DC2"/>
    <w:rsid w:val="00E00482"/>
    <w:rsid w:val="00E00704"/>
    <w:rsid w:val="00E0085F"/>
    <w:rsid w:val="00E018B6"/>
    <w:rsid w:val="00E02C26"/>
    <w:rsid w:val="00E037CC"/>
    <w:rsid w:val="00E038F0"/>
    <w:rsid w:val="00E03F01"/>
    <w:rsid w:val="00E0483F"/>
    <w:rsid w:val="00E04D26"/>
    <w:rsid w:val="00E057D1"/>
    <w:rsid w:val="00E06054"/>
    <w:rsid w:val="00E06921"/>
    <w:rsid w:val="00E06CC9"/>
    <w:rsid w:val="00E07432"/>
    <w:rsid w:val="00E07F1F"/>
    <w:rsid w:val="00E07F8D"/>
    <w:rsid w:val="00E07FF6"/>
    <w:rsid w:val="00E10152"/>
    <w:rsid w:val="00E1033C"/>
    <w:rsid w:val="00E104B8"/>
    <w:rsid w:val="00E10959"/>
    <w:rsid w:val="00E10F20"/>
    <w:rsid w:val="00E11786"/>
    <w:rsid w:val="00E11A30"/>
    <w:rsid w:val="00E11C3E"/>
    <w:rsid w:val="00E11D19"/>
    <w:rsid w:val="00E1222B"/>
    <w:rsid w:val="00E12313"/>
    <w:rsid w:val="00E1321C"/>
    <w:rsid w:val="00E13C7F"/>
    <w:rsid w:val="00E1423A"/>
    <w:rsid w:val="00E151C6"/>
    <w:rsid w:val="00E155D5"/>
    <w:rsid w:val="00E15DAB"/>
    <w:rsid w:val="00E16A85"/>
    <w:rsid w:val="00E16F13"/>
    <w:rsid w:val="00E16FA4"/>
    <w:rsid w:val="00E17062"/>
    <w:rsid w:val="00E17629"/>
    <w:rsid w:val="00E17BF0"/>
    <w:rsid w:val="00E204D9"/>
    <w:rsid w:val="00E20817"/>
    <w:rsid w:val="00E216F9"/>
    <w:rsid w:val="00E22384"/>
    <w:rsid w:val="00E22CF5"/>
    <w:rsid w:val="00E23626"/>
    <w:rsid w:val="00E2369F"/>
    <w:rsid w:val="00E23D24"/>
    <w:rsid w:val="00E2576E"/>
    <w:rsid w:val="00E266CE"/>
    <w:rsid w:val="00E26707"/>
    <w:rsid w:val="00E26F3B"/>
    <w:rsid w:val="00E270B8"/>
    <w:rsid w:val="00E2735B"/>
    <w:rsid w:val="00E273EC"/>
    <w:rsid w:val="00E27906"/>
    <w:rsid w:val="00E30D55"/>
    <w:rsid w:val="00E30E44"/>
    <w:rsid w:val="00E31341"/>
    <w:rsid w:val="00E324B6"/>
    <w:rsid w:val="00E327AB"/>
    <w:rsid w:val="00E32E8C"/>
    <w:rsid w:val="00E33B01"/>
    <w:rsid w:val="00E33C7C"/>
    <w:rsid w:val="00E33FB8"/>
    <w:rsid w:val="00E341C6"/>
    <w:rsid w:val="00E3456A"/>
    <w:rsid w:val="00E35751"/>
    <w:rsid w:val="00E35A3E"/>
    <w:rsid w:val="00E35E68"/>
    <w:rsid w:val="00E36D2D"/>
    <w:rsid w:val="00E36DC6"/>
    <w:rsid w:val="00E37969"/>
    <w:rsid w:val="00E40000"/>
    <w:rsid w:val="00E436BC"/>
    <w:rsid w:val="00E43977"/>
    <w:rsid w:val="00E44C4D"/>
    <w:rsid w:val="00E451F7"/>
    <w:rsid w:val="00E458EF"/>
    <w:rsid w:val="00E45A0F"/>
    <w:rsid w:val="00E45BF8"/>
    <w:rsid w:val="00E462F4"/>
    <w:rsid w:val="00E46782"/>
    <w:rsid w:val="00E46813"/>
    <w:rsid w:val="00E47D41"/>
    <w:rsid w:val="00E507AB"/>
    <w:rsid w:val="00E507AD"/>
    <w:rsid w:val="00E51867"/>
    <w:rsid w:val="00E52829"/>
    <w:rsid w:val="00E52D5D"/>
    <w:rsid w:val="00E534F3"/>
    <w:rsid w:val="00E53D6D"/>
    <w:rsid w:val="00E543F1"/>
    <w:rsid w:val="00E54BEE"/>
    <w:rsid w:val="00E554F8"/>
    <w:rsid w:val="00E55F3A"/>
    <w:rsid w:val="00E56517"/>
    <w:rsid w:val="00E566AD"/>
    <w:rsid w:val="00E567F7"/>
    <w:rsid w:val="00E56811"/>
    <w:rsid w:val="00E56942"/>
    <w:rsid w:val="00E5698F"/>
    <w:rsid w:val="00E56ECA"/>
    <w:rsid w:val="00E57270"/>
    <w:rsid w:val="00E5762B"/>
    <w:rsid w:val="00E6021A"/>
    <w:rsid w:val="00E6103C"/>
    <w:rsid w:val="00E61507"/>
    <w:rsid w:val="00E62319"/>
    <w:rsid w:val="00E6250F"/>
    <w:rsid w:val="00E643D4"/>
    <w:rsid w:val="00E647D7"/>
    <w:rsid w:val="00E64E85"/>
    <w:rsid w:val="00E65203"/>
    <w:rsid w:val="00E65262"/>
    <w:rsid w:val="00E65C78"/>
    <w:rsid w:val="00E66496"/>
    <w:rsid w:val="00E66D0E"/>
    <w:rsid w:val="00E67B90"/>
    <w:rsid w:val="00E702C3"/>
    <w:rsid w:val="00E70C48"/>
    <w:rsid w:val="00E72070"/>
    <w:rsid w:val="00E7223D"/>
    <w:rsid w:val="00E728A7"/>
    <w:rsid w:val="00E73C1A"/>
    <w:rsid w:val="00E74C04"/>
    <w:rsid w:val="00E74D1E"/>
    <w:rsid w:val="00E760BC"/>
    <w:rsid w:val="00E76D35"/>
    <w:rsid w:val="00E77F50"/>
    <w:rsid w:val="00E802B0"/>
    <w:rsid w:val="00E80A3D"/>
    <w:rsid w:val="00E81A22"/>
    <w:rsid w:val="00E81EDE"/>
    <w:rsid w:val="00E828DC"/>
    <w:rsid w:val="00E82FF8"/>
    <w:rsid w:val="00E8356B"/>
    <w:rsid w:val="00E83A5E"/>
    <w:rsid w:val="00E84A98"/>
    <w:rsid w:val="00E84F4E"/>
    <w:rsid w:val="00E852AE"/>
    <w:rsid w:val="00E853BC"/>
    <w:rsid w:val="00E85434"/>
    <w:rsid w:val="00E85527"/>
    <w:rsid w:val="00E85947"/>
    <w:rsid w:val="00E85954"/>
    <w:rsid w:val="00E85CE2"/>
    <w:rsid w:val="00E86B20"/>
    <w:rsid w:val="00E871F1"/>
    <w:rsid w:val="00E872BC"/>
    <w:rsid w:val="00E87538"/>
    <w:rsid w:val="00E90076"/>
    <w:rsid w:val="00E9097D"/>
    <w:rsid w:val="00E91505"/>
    <w:rsid w:val="00E916B2"/>
    <w:rsid w:val="00E91EF9"/>
    <w:rsid w:val="00E92061"/>
    <w:rsid w:val="00E92383"/>
    <w:rsid w:val="00E924F4"/>
    <w:rsid w:val="00E92683"/>
    <w:rsid w:val="00E93988"/>
    <w:rsid w:val="00E95FB8"/>
    <w:rsid w:val="00E96F7F"/>
    <w:rsid w:val="00E97074"/>
    <w:rsid w:val="00E97B4B"/>
    <w:rsid w:val="00EA005B"/>
    <w:rsid w:val="00EA0CAC"/>
    <w:rsid w:val="00EA34A7"/>
    <w:rsid w:val="00EA3B0D"/>
    <w:rsid w:val="00EA4053"/>
    <w:rsid w:val="00EA4398"/>
    <w:rsid w:val="00EA5A4E"/>
    <w:rsid w:val="00EA5B53"/>
    <w:rsid w:val="00EA5B59"/>
    <w:rsid w:val="00EA5CF1"/>
    <w:rsid w:val="00EA63BC"/>
    <w:rsid w:val="00EA7289"/>
    <w:rsid w:val="00EA7680"/>
    <w:rsid w:val="00EA7A60"/>
    <w:rsid w:val="00EA7BE3"/>
    <w:rsid w:val="00EA7D29"/>
    <w:rsid w:val="00EB05C4"/>
    <w:rsid w:val="00EB068C"/>
    <w:rsid w:val="00EB0B6A"/>
    <w:rsid w:val="00EB0BE6"/>
    <w:rsid w:val="00EB0EFE"/>
    <w:rsid w:val="00EB27AE"/>
    <w:rsid w:val="00EB2F54"/>
    <w:rsid w:val="00EB33A4"/>
    <w:rsid w:val="00EB34FB"/>
    <w:rsid w:val="00EB44E3"/>
    <w:rsid w:val="00EB46F6"/>
    <w:rsid w:val="00EB4D7B"/>
    <w:rsid w:val="00EB4E40"/>
    <w:rsid w:val="00EB50F7"/>
    <w:rsid w:val="00EB5262"/>
    <w:rsid w:val="00EB5C2A"/>
    <w:rsid w:val="00EB751A"/>
    <w:rsid w:val="00EC01F1"/>
    <w:rsid w:val="00EC04CA"/>
    <w:rsid w:val="00EC117B"/>
    <w:rsid w:val="00EC124C"/>
    <w:rsid w:val="00EC1737"/>
    <w:rsid w:val="00EC1BEC"/>
    <w:rsid w:val="00EC2EAD"/>
    <w:rsid w:val="00EC303F"/>
    <w:rsid w:val="00EC3388"/>
    <w:rsid w:val="00EC3B56"/>
    <w:rsid w:val="00EC4A71"/>
    <w:rsid w:val="00EC4BB9"/>
    <w:rsid w:val="00EC4F8F"/>
    <w:rsid w:val="00EC569B"/>
    <w:rsid w:val="00EC5FD5"/>
    <w:rsid w:val="00EC6514"/>
    <w:rsid w:val="00EC67CA"/>
    <w:rsid w:val="00EC7E27"/>
    <w:rsid w:val="00ED02A9"/>
    <w:rsid w:val="00ED165E"/>
    <w:rsid w:val="00ED28DD"/>
    <w:rsid w:val="00ED2B00"/>
    <w:rsid w:val="00ED3245"/>
    <w:rsid w:val="00ED328C"/>
    <w:rsid w:val="00ED3A22"/>
    <w:rsid w:val="00ED407F"/>
    <w:rsid w:val="00ED4091"/>
    <w:rsid w:val="00ED4562"/>
    <w:rsid w:val="00ED480A"/>
    <w:rsid w:val="00ED4B64"/>
    <w:rsid w:val="00ED4CA5"/>
    <w:rsid w:val="00ED4DE1"/>
    <w:rsid w:val="00ED662F"/>
    <w:rsid w:val="00ED6FF4"/>
    <w:rsid w:val="00ED7350"/>
    <w:rsid w:val="00ED7A19"/>
    <w:rsid w:val="00ED7DC4"/>
    <w:rsid w:val="00EE1C96"/>
    <w:rsid w:val="00EE2220"/>
    <w:rsid w:val="00EE2964"/>
    <w:rsid w:val="00EE2EC8"/>
    <w:rsid w:val="00EE3799"/>
    <w:rsid w:val="00EE3C8E"/>
    <w:rsid w:val="00EE41A1"/>
    <w:rsid w:val="00EE429D"/>
    <w:rsid w:val="00EE4E4B"/>
    <w:rsid w:val="00EE5166"/>
    <w:rsid w:val="00EE57AB"/>
    <w:rsid w:val="00EE5F30"/>
    <w:rsid w:val="00EE5F79"/>
    <w:rsid w:val="00EF040B"/>
    <w:rsid w:val="00EF126E"/>
    <w:rsid w:val="00EF13B8"/>
    <w:rsid w:val="00EF25C5"/>
    <w:rsid w:val="00EF2699"/>
    <w:rsid w:val="00EF289B"/>
    <w:rsid w:val="00EF2FB8"/>
    <w:rsid w:val="00EF3123"/>
    <w:rsid w:val="00EF3383"/>
    <w:rsid w:val="00EF3F11"/>
    <w:rsid w:val="00EF4070"/>
    <w:rsid w:val="00EF4333"/>
    <w:rsid w:val="00EF4F1A"/>
    <w:rsid w:val="00EF5D22"/>
    <w:rsid w:val="00EF5D3E"/>
    <w:rsid w:val="00EF768B"/>
    <w:rsid w:val="00EF7DB7"/>
    <w:rsid w:val="00F0082D"/>
    <w:rsid w:val="00F014DB"/>
    <w:rsid w:val="00F01B93"/>
    <w:rsid w:val="00F01C64"/>
    <w:rsid w:val="00F03A0A"/>
    <w:rsid w:val="00F05772"/>
    <w:rsid w:val="00F05F43"/>
    <w:rsid w:val="00F063EF"/>
    <w:rsid w:val="00F06749"/>
    <w:rsid w:val="00F104A2"/>
    <w:rsid w:val="00F10B94"/>
    <w:rsid w:val="00F127B5"/>
    <w:rsid w:val="00F13202"/>
    <w:rsid w:val="00F13F04"/>
    <w:rsid w:val="00F14513"/>
    <w:rsid w:val="00F14579"/>
    <w:rsid w:val="00F146BF"/>
    <w:rsid w:val="00F1498D"/>
    <w:rsid w:val="00F14D18"/>
    <w:rsid w:val="00F15799"/>
    <w:rsid w:val="00F16016"/>
    <w:rsid w:val="00F1615E"/>
    <w:rsid w:val="00F16D6D"/>
    <w:rsid w:val="00F17026"/>
    <w:rsid w:val="00F20A81"/>
    <w:rsid w:val="00F20F96"/>
    <w:rsid w:val="00F226F0"/>
    <w:rsid w:val="00F226F8"/>
    <w:rsid w:val="00F22EB1"/>
    <w:rsid w:val="00F2324C"/>
    <w:rsid w:val="00F23595"/>
    <w:rsid w:val="00F2368D"/>
    <w:rsid w:val="00F23935"/>
    <w:rsid w:val="00F25446"/>
    <w:rsid w:val="00F25AE6"/>
    <w:rsid w:val="00F30385"/>
    <w:rsid w:val="00F31137"/>
    <w:rsid w:val="00F31CEC"/>
    <w:rsid w:val="00F31E5B"/>
    <w:rsid w:val="00F3294B"/>
    <w:rsid w:val="00F32B0D"/>
    <w:rsid w:val="00F32CEC"/>
    <w:rsid w:val="00F337E6"/>
    <w:rsid w:val="00F33ACB"/>
    <w:rsid w:val="00F34401"/>
    <w:rsid w:val="00F34955"/>
    <w:rsid w:val="00F3640A"/>
    <w:rsid w:val="00F36B64"/>
    <w:rsid w:val="00F370AA"/>
    <w:rsid w:val="00F374AC"/>
    <w:rsid w:val="00F37574"/>
    <w:rsid w:val="00F37984"/>
    <w:rsid w:val="00F37BC6"/>
    <w:rsid w:val="00F40410"/>
    <w:rsid w:val="00F407C2"/>
    <w:rsid w:val="00F4082A"/>
    <w:rsid w:val="00F41364"/>
    <w:rsid w:val="00F41679"/>
    <w:rsid w:val="00F41A16"/>
    <w:rsid w:val="00F41FB3"/>
    <w:rsid w:val="00F421B0"/>
    <w:rsid w:val="00F43C3D"/>
    <w:rsid w:val="00F44557"/>
    <w:rsid w:val="00F45692"/>
    <w:rsid w:val="00F4572A"/>
    <w:rsid w:val="00F46270"/>
    <w:rsid w:val="00F468C2"/>
    <w:rsid w:val="00F46A6C"/>
    <w:rsid w:val="00F46F88"/>
    <w:rsid w:val="00F470B3"/>
    <w:rsid w:val="00F50062"/>
    <w:rsid w:val="00F511C0"/>
    <w:rsid w:val="00F52669"/>
    <w:rsid w:val="00F52DAD"/>
    <w:rsid w:val="00F5360C"/>
    <w:rsid w:val="00F53653"/>
    <w:rsid w:val="00F53BF6"/>
    <w:rsid w:val="00F54054"/>
    <w:rsid w:val="00F54329"/>
    <w:rsid w:val="00F54F73"/>
    <w:rsid w:val="00F54FD4"/>
    <w:rsid w:val="00F55330"/>
    <w:rsid w:val="00F55D55"/>
    <w:rsid w:val="00F55FB5"/>
    <w:rsid w:val="00F56037"/>
    <w:rsid w:val="00F565E5"/>
    <w:rsid w:val="00F5688C"/>
    <w:rsid w:val="00F56903"/>
    <w:rsid w:val="00F56C1E"/>
    <w:rsid w:val="00F56E57"/>
    <w:rsid w:val="00F57515"/>
    <w:rsid w:val="00F578CF"/>
    <w:rsid w:val="00F57C63"/>
    <w:rsid w:val="00F60591"/>
    <w:rsid w:val="00F60BC4"/>
    <w:rsid w:val="00F60C9F"/>
    <w:rsid w:val="00F6231E"/>
    <w:rsid w:val="00F62379"/>
    <w:rsid w:val="00F624F7"/>
    <w:rsid w:val="00F62EA2"/>
    <w:rsid w:val="00F63032"/>
    <w:rsid w:val="00F637A9"/>
    <w:rsid w:val="00F639C0"/>
    <w:rsid w:val="00F64144"/>
    <w:rsid w:val="00F6474F"/>
    <w:rsid w:val="00F64E04"/>
    <w:rsid w:val="00F651EF"/>
    <w:rsid w:val="00F65225"/>
    <w:rsid w:val="00F65613"/>
    <w:rsid w:val="00F660CA"/>
    <w:rsid w:val="00F678DB"/>
    <w:rsid w:val="00F67D9D"/>
    <w:rsid w:val="00F700A7"/>
    <w:rsid w:val="00F70265"/>
    <w:rsid w:val="00F70429"/>
    <w:rsid w:val="00F70773"/>
    <w:rsid w:val="00F70CD5"/>
    <w:rsid w:val="00F7296F"/>
    <w:rsid w:val="00F72D90"/>
    <w:rsid w:val="00F735E6"/>
    <w:rsid w:val="00F73F50"/>
    <w:rsid w:val="00F7426A"/>
    <w:rsid w:val="00F759A1"/>
    <w:rsid w:val="00F75AF0"/>
    <w:rsid w:val="00F75C58"/>
    <w:rsid w:val="00F75D27"/>
    <w:rsid w:val="00F762DD"/>
    <w:rsid w:val="00F76866"/>
    <w:rsid w:val="00F76972"/>
    <w:rsid w:val="00F76F36"/>
    <w:rsid w:val="00F76FC5"/>
    <w:rsid w:val="00F7726C"/>
    <w:rsid w:val="00F77752"/>
    <w:rsid w:val="00F77761"/>
    <w:rsid w:val="00F7798D"/>
    <w:rsid w:val="00F804A4"/>
    <w:rsid w:val="00F80550"/>
    <w:rsid w:val="00F81F96"/>
    <w:rsid w:val="00F82EA1"/>
    <w:rsid w:val="00F8363D"/>
    <w:rsid w:val="00F839D8"/>
    <w:rsid w:val="00F8410B"/>
    <w:rsid w:val="00F8469D"/>
    <w:rsid w:val="00F84E38"/>
    <w:rsid w:val="00F84ED8"/>
    <w:rsid w:val="00F84F24"/>
    <w:rsid w:val="00F85A62"/>
    <w:rsid w:val="00F86B5E"/>
    <w:rsid w:val="00F87026"/>
    <w:rsid w:val="00F87D35"/>
    <w:rsid w:val="00F87E83"/>
    <w:rsid w:val="00F934C9"/>
    <w:rsid w:val="00F93EF5"/>
    <w:rsid w:val="00F9472F"/>
    <w:rsid w:val="00F94AF0"/>
    <w:rsid w:val="00F94FC7"/>
    <w:rsid w:val="00F95E4B"/>
    <w:rsid w:val="00F9635B"/>
    <w:rsid w:val="00F969C1"/>
    <w:rsid w:val="00F9720C"/>
    <w:rsid w:val="00FA0020"/>
    <w:rsid w:val="00FA0E25"/>
    <w:rsid w:val="00FA0ED0"/>
    <w:rsid w:val="00FA0EFC"/>
    <w:rsid w:val="00FA12A7"/>
    <w:rsid w:val="00FA1380"/>
    <w:rsid w:val="00FA203F"/>
    <w:rsid w:val="00FA245E"/>
    <w:rsid w:val="00FA3178"/>
    <w:rsid w:val="00FA323C"/>
    <w:rsid w:val="00FA3D9C"/>
    <w:rsid w:val="00FA4F91"/>
    <w:rsid w:val="00FA5001"/>
    <w:rsid w:val="00FA557C"/>
    <w:rsid w:val="00FA6492"/>
    <w:rsid w:val="00FA65CB"/>
    <w:rsid w:val="00FA6764"/>
    <w:rsid w:val="00FA6844"/>
    <w:rsid w:val="00FA6DF5"/>
    <w:rsid w:val="00FA6E6D"/>
    <w:rsid w:val="00FA7031"/>
    <w:rsid w:val="00FA75EB"/>
    <w:rsid w:val="00FB06C9"/>
    <w:rsid w:val="00FB10D4"/>
    <w:rsid w:val="00FB113D"/>
    <w:rsid w:val="00FB12F5"/>
    <w:rsid w:val="00FB2F26"/>
    <w:rsid w:val="00FB4381"/>
    <w:rsid w:val="00FB4AE5"/>
    <w:rsid w:val="00FB4FD1"/>
    <w:rsid w:val="00FB5C8E"/>
    <w:rsid w:val="00FB5FB7"/>
    <w:rsid w:val="00FB626C"/>
    <w:rsid w:val="00FB62AD"/>
    <w:rsid w:val="00FB68E9"/>
    <w:rsid w:val="00FB6A1E"/>
    <w:rsid w:val="00FB7722"/>
    <w:rsid w:val="00FC02FC"/>
    <w:rsid w:val="00FC058D"/>
    <w:rsid w:val="00FC05B7"/>
    <w:rsid w:val="00FC0D76"/>
    <w:rsid w:val="00FC150D"/>
    <w:rsid w:val="00FC1ECC"/>
    <w:rsid w:val="00FC23E2"/>
    <w:rsid w:val="00FC2574"/>
    <w:rsid w:val="00FC2BCB"/>
    <w:rsid w:val="00FC2D70"/>
    <w:rsid w:val="00FC2F8B"/>
    <w:rsid w:val="00FC32CA"/>
    <w:rsid w:val="00FC41AE"/>
    <w:rsid w:val="00FC45E0"/>
    <w:rsid w:val="00FC4AAE"/>
    <w:rsid w:val="00FC50A9"/>
    <w:rsid w:val="00FC6015"/>
    <w:rsid w:val="00FC61BF"/>
    <w:rsid w:val="00FC7349"/>
    <w:rsid w:val="00FC7BAE"/>
    <w:rsid w:val="00FD05E3"/>
    <w:rsid w:val="00FD0B3F"/>
    <w:rsid w:val="00FD0D04"/>
    <w:rsid w:val="00FD1C0C"/>
    <w:rsid w:val="00FD1F9A"/>
    <w:rsid w:val="00FD26A0"/>
    <w:rsid w:val="00FD2730"/>
    <w:rsid w:val="00FD29D5"/>
    <w:rsid w:val="00FD34C3"/>
    <w:rsid w:val="00FD36F3"/>
    <w:rsid w:val="00FD5787"/>
    <w:rsid w:val="00FD6603"/>
    <w:rsid w:val="00FD6BE8"/>
    <w:rsid w:val="00FD6C50"/>
    <w:rsid w:val="00FD6DE7"/>
    <w:rsid w:val="00FD6E2D"/>
    <w:rsid w:val="00FD75AB"/>
    <w:rsid w:val="00FE045D"/>
    <w:rsid w:val="00FE0630"/>
    <w:rsid w:val="00FE097C"/>
    <w:rsid w:val="00FE0BCD"/>
    <w:rsid w:val="00FE1E84"/>
    <w:rsid w:val="00FE26DD"/>
    <w:rsid w:val="00FE375E"/>
    <w:rsid w:val="00FE3B8F"/>
    <w:rsid w:val="00FE4470"/>
    <w:rsid w:val="00FE453E"/>
    <w:rsid w:val="00FE51E5"/>
    <w:rsid w:val="00FE5225"/>
    <w:rsid w:val="00FE5338"/>
    <w:rsid w:val="00FE55DB"/>
    <w:rsid w:val="00FE57CA"/>
    <w:rsid w:val="00FE6638"/>
    <w:rsid w:val="00FE6C20"/>
    <w:rsid w:val="00FE7822"/>
    <w:rsid w:val="00FF01FA"/>
    <w:rsid w:val="00FF0352"/>
    <w:rsid w:val="00FF09D6"/>
    <w:rsid w:val="00FF1946"/>
    <w:rsid w:val="00FF2FE3"/>
    <w:rsid w:val="00FF4021"/>
    <w:rsid w:val="00FF4EC7"/>
    <w:rsid w:val="00FF50F8"/>
    <w:rsid w:val="00FF51E3"/>
    <w:rsid w:val="00FF529D"/>
    <w:rsid w:val="00FF557E"/>
    <w:rsid w:val="00FF5A7C"/>
    <w:rsid w:val="00FF6561"/>
    <w:rsid w:val="00FF68F3"/>
    <w:rsid w:val="00FF7423"/>
    <w:rsid w:val="00FF7C93"/>
    <w:rsid w:val="5FEC2F57"/>
    <w:rsid w:val="6CE123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628C"/>
  <w15:docId w15:val="{01B4403B-7028-488E-BD59-4FBC6F10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6A43"/>
    <w:pPr>
      <w:spacing w:after="0" w:line="360" w:lineRule="auto"/>
      <w:ind w:firstLine="567"/>
      <w:jc w:val="both"/>
    </w:pPr>
    <w:rPr>
      <w:rFonts w:ascii="Times New Roman" w:hAnsi="Times New Roman"/>
      <w:sz w:val="24"/>
    </w:rPr>
  </w:style>
  <w:style w:type="paragraph" w:styleId="Nadpis1">
    <w:name w:val="heading 1"/>
    <w:basedOn w:val="Normln"/>
    <w:next w:val="Normln"/>
    <w:link w:val="Nadpis1Char"/>
    <w:uiPriority w:val="9"/>
    <w:qFormat/>
    <w:rsid w:val="00867D0B"/>
    <w:pPr>
      <w:keepNext/>
      <w:keepLines/>
      <w:spacing w:before="240" w:after="240" w:line="240" w:lineRule="auto"/>
      <w:ind w:firstLine="0"/>
      <w:jc w:val="left"/>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3A1AF7"/>
    <w:pPr>
      <w:keepNext/>
      <w:keepLines/>
      <w:spacing w:before="240" w:after="240" w:line="240" w:lineRule="auto"/>
      <w:ind w:firstLine="284"/>
      <w:jc w:val="left"/>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91678B"/>
    <w:pPr>
      <w:keepNext/>
      <w:keepLines/>
      <w:spacing w:before="240" w:after="240" w:line="240" w:lineRule="auto"/>
      <w:ind w:firstLine="397"/>
      <w:jc w:val="left"/>
      <w:outlineLvl w:val="2"/>
    </w:pPr>
    <w:rPr>
      <w:rFonts w:eastAsiaTheme="majorEastAsia"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11D40"/>
    <w:pPr>
      <w:tabs>
        <w:tab w:val="center" w:pos="4536"/>
        <w:tab w:val="right" w:pos="9072"/>
      </w:tabs>
      <w:spacing w:line="240" w:lineRule="auto"/>
    </w:pPr>
  </w:style>
  <w:style w:type="character" w:customStyle="1" w:styleId="ZhlavChar">
    <w:name w:val="Záhlaví Char"/>
    <w:basedOn w:val="Standardnpsmoodstavce"/>
    <w:link w:val="Zhlav"/>
    <w:uiPriority w:val="99"/>
    <w:rsid w:val="00011D40"/>
  </w:style>
  <w:style w:type="paragraph" w:styleId="Zpat">
    <w:name w:val="footer"/>
    <w:basedOn w:val="Normln"/>
    <w:link w:val="ZpatChar"/>
    <w:uiPriority w:val="99"/>
    <w:unhideWhenUsed/>
    <w:rsid w:val="00011D40"/>
    <w:pPr>
      <w:tabs>
        <w:tab w:val="center" w:pos="4536"/>
        <w:tab w:val="right" w:pos="9072"/>
      </w:tabs>
      <w:spacing w:line="240" w:lineRule="auto"/>
    </w:pPr>
  </w:style>
  <w:style w:type="character" w:customStyle="1" w:styleId="ZpatChar">
    <w:name w:val="Zápatí Char"/>
    <w:basedOn w:val="Standardnpsmoodstavce"/>
    <w:link w:val="Zpat"/>
    <w:uiPriority w:val="99"/>
    <w:rsid w:val="00011D40"/>
  </w:style>
  <w:style w:type="paragraph" w:styleId="Odstavecseseznamem">
    <w:name w:val="List Paragraph"/>
    <w:basedOn w:val="Normln"/>
    <w:uiPriority w:val="34"/>
    <w:qFormat/>
    <w:rsid w:val="004D0196"/>
    <w:pPr>
      <w:spacing w:line="240" w:lineRule="auto"/>
      <w:ind w:left="720"/>
      <w:contextualSpacing/>
    </w:pPr>
    <w:rPr>
      <w:szCs w:val="24"/>
    </w:rPr>
  </w:style>
  <w:style w:type="character" w:customStyle="1" w:styleId="Nadpis1Char">
    <w:name w:val="Nadpis 1 Char"/>
    <w:basedOn w:val="Standardnpsmoodstavce"/>
    <w:link w:val="Nadpis1"/>
    <w:uiPriority w:val="9"/>
    <w:rsid w:val="00867D0B"/>
    <w:rPr>
      <w:rFonts w:ascii="Times New Roman" w:eastAsiaTheme="majorEastAsia" w:hAnsi="Times New Roman" w:cstheme="majorBidi"/>
      <w:b/>
      <w:sz w:val="32"/>
      <w:szCs w:val="32"/>
    </w:rPr>
  </w:style>
  <w:style w:type="paragraph" w:styleId="Nadpisobsahu">
    <w:name w:val="TOC Heading"/>
    <w:basedOn w:val="Nadpis1"/>
    <w:next w:val="Normln"/>
    <w:uiPriority w:val="39"/>
    <w:unhideWhenUsed/>
    <w:qFormat/>
    <w:rsid w:val="004C4BE1"/>
    <w:pPr>
      <w:outlineLvl w:val="9"/>
    </w:pPr>
    <w:rPr>
      <w:lang w:eastAsia="cs-CZ"/>
    </w:rPr>
  </w:style>
  <w:style w:type="paragraph" w:styleId="Obsah2">
    <w:name w:val="toc 2"/>
    <w:basedOn w:val="Normln"/>
    <w:next w:val="Normln"/>
    <w:autoRedefine/>
    <w:uiPriority w:val="39"/>
    <w:unhideWhenUsed/>
    <w:rsid w:val="004C4BE1"/>
    <w:pPr>
      <w:spacing w:after="100"/>
      <w:ind w:left="220"/>
    </w:pPr>
    <w:rPr>
      <w:rFonts w:eastAsiaTheme="minorEastAsia" w:cs="Times New Roman"/>
      <w:lang w:eastAsia="cs-CZ"/>
    </w:rPr>
  </w:style>
  <w:style w:type="paragraph" w:styleId="Obsah1">
    <w:name w:val="toc 1"/>
    <w:basedOn w:val="Normln"/>
    <w:next w:val="Normln"/>
    <w:autoRedefine/>
    <w:uiPriority w:val="39"/>
    <w:unhideWhenUsed/>
    <w:rsid w:val="003A1AF7"/>
    <w:pPr>
      <w:tabs>
        <w:tab w:val="right" w:leader="dot" w:pos="9061"/>
      </w:tabs>
      <w:spacing w:after="100"/>
    </w:pPr>
    <w:rPr>
      <w:rFonts w:eastAsiaTheme="minorEastAsia" w:cs="Times New Roman"/>
      <w:lang w:eastAsia="cs-CZ"/>
    </w:rPr>
  </w:style>
  <w:style w:type="paragraph" w:styleId="Obsah3">
    <w:name w:val="toc 3"/>
    <w:basedOn w:val="Normln"/>
    <w:next w:val="Normln"/>
    <w:autoRedefine/>
    <w:uiPriority w:val="39"/>
    <w:unhideWhenUsed/>
    <w:rsid w:val="004C4BE1"/>
    <w:pPr>
      <w:spacing w:after="100"/>
      <w:ind w:left="440"/>
    </w:pPr>
    <w:rPr>
      <w:rFonts w:eastAsiaTheme="minorEastAsia" w:cs="Times New Roman"/>
      <w:lang w:eastAsia="cs-CZ"/>
    </w:rPr>
  </w:style>
  <w:style w:type="character" w:customStyle="1" w:styleId="Nadpis2Char">
    <w:name w:val="Nadpis 2 Char"/>
    <w:basedOn w:val="Standardnpsmoodstavce"/>
    <w:link w:val="Nadpis2"/>
    <w:uiPriority w:val="9"/>
    <w:rsid w:val="003A1AF7"/>
    <w:rPr>
      <w:rFonts w:ascii="Times New Roman" w:eastAsiaTheme="majorEastAsia" w:hAnsi="Times New Roman" w:cstheme="majorBidi"/>
      <w:b/>
      <w:sz w:val="28"/>
      <w:szCs w:val="26"/>
    </w:rPr>
  </w:style>
  <w:style w:type="character" w:customStyle="1" w:styleId="Nadpis3Char">
    <w:name w:val="Nadpis 3 Char"/>
    <w:basedOn w:val="Standardnpsmoodstavce"/>
    <w:link w:val="Nadpis3"/>
    <w:uiPriority w:val="9"/>
    <w:rsid w:val="0091678B"/>
    <w:rPr>
      <w:rFonts w:ascii="Times New Roman" w:eastAsiaTheme="majorEastAsia" w:hAnsi="Times New Roman" w:cstheme="majorBidi"/>
      <w:b/>
      <w:sz w:val="24"/>
      <w:szCs w:val="24"/>
    </w:rPr>
  </w:style>
  <w:style w:type="character" w:styleId="Hypertextovodkaz">
    <w:name w:val="Hyperlink"/>
    <w:basedOn w:val="Standardnpsmoodstavce"/>
    <w:uiPriority w:val="99"/>
    <w:unhideWhenUsed/>
    <w:rsid w:val="00C74A5E"/>
    <w:rPr>
      <w:color w:val="0563C1" w:themeColor="hyperlink"/>
      <w:u w:val="single"/>
    </w:rPr>
  </w:style>
  <w:style w:type="paragraph" w:styleId="Bibliografie">
    <w:name w:val="Bibliography"/>
    <w:basedOn w:val="Normln"/>
    <w:next w:val="Normln"/>
    <w:uiPriority w:val="37"/>
    <w:unhideWhenUsed/>
    <w:rsid w:val="009C2F0B"/>
  </w:style>
  <w:style w:type="paragraph" w:styleId="Textpoznpodarou">
    <w:name w:val="footnote text"/>
    <w:basedOn w:val="Normln"/>
    <w:link w:val="TextpoznpodarouChar"/>
    <w:uiPriority w:val="99"/>
    <w:semiHidden/>
    <w:unhideWhenUsed/>
    <w:rsid w:val="00E17BF0"/>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E17BF0"/>
    <w:rPr>
      <w:rFonts w:ascii="Times New Roman" w:hAnsi="Times New Roman"/>
      <w:sz w:val="20"/>
      <w:szCs w:val="20"/>
    </w:rPr>
  </w:style>
  <w:style w:type="character" w:styleId="Znakapoznpodarou">
    <w:name w:val="footnote reference"/>
    <w:basedOn w:val="Standardnpsmoodstavce"/>
    <w:uiPriority w:val="99"/>
    <w:semiHidden/>
    <w:unhideWhenUsed/>
    <w:rsid w:val="00E17BF0"/>
    <w:rPr>
      <w:vertAlign w:val="superscript"/>
    </w:rPr>
  </w:style>
  <w:style w:type="character" w:customStyle="1" w:styleId="prostrkane">
    <w:name w:val="prostrkane"/>
    <w:basedOn w:val="Standardnpsmoodstavce"/>
    <w:rsid w:val="00537508"/>
  </w:style>
  <w:style w:type="paragraph" w:styleId="Normlnweb">
    <w:name w:val="Normal (Web)"/>
    <w:basedOn w:val="Normln"/>
    <w:uiPriority w:val="99"/>
    <w:unhideWhenUsed/>
    <w:rsid w:val="004E09FA"/>
    <w:pPr>
      <w:spacing w:before="100" w:beforeAutospacing="1" w:after="100" w:afterAutospacing="1" w:line="240" w:lineRule="auto"/>
      <w:ind w:firstLine="0"/>
      <w:jc w:val="left"/>
    </w:pPr>
    <w:rPr>
      <w:rFonts w:eastAsia="Times New Roman" w:cs="Times New Roman"/>
      <w:szCs w:val="24"/>
      <w:lang w:eastAsia="cs-CZ"/>
    </w:rPr>
  </w:style>
  <w:style w:type="character" w:customStyle="1" w:styleId="highlight-disabled">
    <w:name w:val="highlight-disabled"/>
    <w:basedOn w:val="Standardnpsmoodstavce"/>
    <w:rsid w:val="00E204D9"/>
  </w:style>
  <w:style w:type="character" w:customStyle="1" w:styleId="highlight">
    <w:name w:val="highlight"/>
    <w:basedOn w:val="Standardnpsmoodstavce"/>
    <w:rsid w:val="00E22CF5"/>
  </w:style>
  <w:style w:type="paragraph" w:customStyle="1" w:styleId="p-margin">
    <w:name w:val="p-margin"/>
    <w:basedOn w:val="Normln"/>
    <w:rsid w:val="00316209"/>
    <w:pPr>
      <w:spacing w:before="100" w:beforeAutospacing="1" w:after="100" w:afterAutospacing="1" w:line="240" w:lineRule="auto"/>
      <w:ind w:firstLine="0"/>
      <w:jc w:val="left"/>
    </w:pPr>
    <w:rPr>
      <w:rFonts w:eastAsia="Times New Roman" w:cs="Times New Roman"/>
      <w:szCs w:val="24"/>
      <w:lang w:eastAsia="cs-CZ"/>
    </w:rPr>
  </w:style>
  <w:style w:type="table" w:styleId="Mkatabulky">
    <w:name w:val="Table Grid"/>
    <w:basedOn w:val="Normlntabulka"/>
    <w:uiPriority w:val="59"/>
    <w:rsid w:val="00BD12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5696">
      <w:bodyDiv w:val="1"/>
      <w:marLeft w:val="0"/>
      <w:marRight w:val="0"/>
      <w:marTop w:val="0"/>
      <w:marBottom w:val="0"/>
      <w:divBdr>
        <w:top w:val="none" w:sz="0" w:space="0" w:color="auto"/>
        <w:left w:val="none" w:sz="0" w:space="0" w:color="auto"/>
        <w:bottom w:val="none" w:sz="0" w:space="0" w:color="auto"/>
        <w:right w:val="none" w:sz="0" w:space="0" w:color="auto"/>
      </w:divBdr>
    </w:div>
    <w:div w:id="367531187">
      <w:bodyDiv w:val="1"/>
      <w:marLeft w:val="0"/>
      <w:marRight w:val="0"/>
      <w:marTop w:val="0"/>
      <w:marBottom w:val="0"/>
      <w:divBdr>
        <w:top w:val="none" w:sz="0" w:space="0" w:color="auto"/>
        <w:left w:val="none" w:sz="0" w:space="0" w:color="auto"/>
        <w:bottom w:val="none" w:sz="0" w:space="0" w:color="auto"/>
        <w:right w:val="none" w:sz="0" w:space="0" w:color="auto"/>
      </w:divBdr>
    </w:div>
    <w:div w:id="392505453">
      <w:bodyDiv w:val="1"/>
      <w:marLeft w:val="0"/>
      <w:marRight w:val="0"/>
      <w:marTop w:val="0"/>
      <w:marBottom w:val="0"/>
      <w:divBdr>
        <w:top w:val="none" w:sz="0" w:space="0" w:color="auto"/>
        <w:left w:val="none" w:sz="0" w:space="0" w:color="auto"/>
        <w:bottom w:val="none" w:sz="0" w:space="0" w:color="auto"/>
        <w:right w:val="none" w:sz="0" w:space="0" w:color="auto"/>
      </w:divBdr>
    </w:div>
    <w:div w:id="452679839">
      <w:bodyDiv w:val="1"/>
      <w:marLeft w:val="0"/>
      <w:marRight w:val="0"/>
      <w:marTop w:val="0"/>
      <w:marBottom w:val="0"/>
      <w:divBdr>
        <w:top w:val="none" w:sz="0" w:space="0" w:color="auto"/>
        <w:left w:val="none" w:sz="0" w:space="0" w:color="auto"/>
        <w:bottom w:val="none" w:sz="0" w:space="0" w:color="auto"/>
        <w:right w:val="none" w:sz="0" w:space="0" w:color="auto"/>
      </w:divBdr>
    </w:div>
    <w:div w:id="523324711">
      <w:bodyDiv w:val="1"/>
      <w:marLeft w:val="0"/>
      <w:marRight w:val="0"/>
      <w:marTop w:val="0"/>
      <w:marBottom w:val="0"/>
      <w:divBdr>
        <w:top w:val="none" w:sz="0" w:space="0" w:color="auto"/>
        <w:left w:val="none" w:sz="0" w:space="0" w:color="auto"/>
        <w:bottom w:val="none" w:sz="0" w:space="0" w:color="auto"/>
        <w:right w:val="none" w:sz="0" w:space="0" w:color="auto"/>
      </w:divBdr>
    </w:div>
    <w:div w:id="623463799">
      <w:bodyDiv w:val="1"/>
      <w:marLeft w:val="0"/>
      <w:marRight w:val="0"/>
      <w:marTop w:val="0"/>
      <w:marBottom w:val="0"/>
      <w:divBdr>
        <w:top w:val="none" w:sz="0" w:space="0" w:color="auto"/>
        <w:left w:val="none" w:sz="0" w:space="0" w:color="auto"/>
        <w:bottom w:val="none" w:sz="0" w:space="0" w:color="auto"/>
        <w:right w:val="none" w:sz="0" w:space="0" w:color="auto"/>
      </w:divBdr>
      <w:divsChild>
        <w:div w:id="850338529">
          <w:marLeft w:val="0"/>
          <w:marRight w:val="0"/>
          <w:marTop w:val="200"/>
          <w:marBottom w:val="100"/>
          <w:divBdr>
            <w:top w:val="none" w:sz="0" w:space="0" w:color="auto"/>
            <w:left w:val="none" w:sz="0" w:space="0" w:color="auto"/>
            <w:bottom w:val="none" w:sz="0" w:space="0" w:color="auto"/>
            <w:right w:val="none" w:sz="0" w:space="0" w:color="auto"/>
          </w:divBdr>
        </w:div>
      </w:divsChild>
    </w:div>
    <w:div w:id="637808367">
      <w:bodyDiv w:val="1"/>
      <w:marLeft w:val="0"/>
      <w:marRight w:val="0"/>
      <w:marTop w:val="0"/>
      <w:marBottom w:val="0"/>
      <w:divBdr>
        <w:top w:val="none" w:sz="0" w:space="0" w:color="auto"/>
        <w:left w:val="none" w:sz="0" w:space="0" w:color="auto"/>
        <w:bottom w:val="none" w:sz="0" w:space="0" w:color="auto"/>
        <w:right w:val="none" w:sz="0" w:space="0" w:color="auto"/>
      </w:divBdr>
    </w:div>
    <w:div w:id="855731015">
      <w:bodyDiv w:val="1"/>
      <w:marLeft w:val="0"/>
      <w:marRight w:val="0"/>
      <w:marTop w:val="0"/>
      <w:marBottom w:val="0"/>
      <w:divBdr>
        <w:top w:val="none" w:sz="0" w:space="0" w:color="auto"/>
        <w:left w:val="none" w:sz="0" w:space="0" w:color="auto"/>
        <w:bottom w:val="none" w:sz="0" w:space="0" w:color="auto"/>
        <w:right w:val="none" w:sz="0" w:space="0" w:color="auto"/>
      </w:divBdr>
    </w:div>
    <w:div w:id="908271929">
      <w:bodyDiv w:val="1"/>
      <w:marLeft w:val="0"/>
      <w:marRight w:val="0"/>
      <w:marTop w:val="0"/>
      <w:marBottom w:val="0"/>
      <w:divBdr>
        <w:top w:val="none" w:sz="0" w:space="0" w:color="auto"/>
        <w:left w:val="none" w:sz="0" w:space="0" w:color="auto"/>
        <w:bottom w:val="none" w:sz="0" w:space="0" w:color="auto"/>
        <w:right w:val="none" w:sz="0" w:space="0" w:color="auto"/>
      </w:divBdr>
    </w:div>
    <w:div w:id="1495149405">
      <w:bodyDiv w:val="1"/>
      <w:marLeft w:val="0"/>
      <w:marRight w:val="0"/>
      <w:marTop w:val="0"/>
      <w:marBottom w:val="0"/>
      <w:divBdr>
        <w:top w:val="none" w:sz="0" w:space="0" w:color="auto"/>
        <w:left w:val="none" w:sz="0" w:space="0" w:color="auto"/>
        <w:bottom w:val="none" w:sz="0" w:space="0" w:color="auto"/>
        <w:right w:val="none" w:sz="0" w:space="0" w:color="auto"/>
      </w:divBdr>
    </w:div>
    <w:div w:id="1525050631">
      <w:bodyDiv w:val="1"/>
      <w:marLeft w:val="0"/>
      <w:marRight w:val="0"/>
      <w:marTop w:val="0"/>
      <w:marBottom w:val="0"/>
      <w:divBdr>
        <w:top w:val="none" w:sz="0" w:space="0" w:color="auto"/>
        <w:left w:val="none" w:sz="0" w:space="0" w:color="auto"/>
        <w:bottom w:val="none" w:sz="0" w:space="0" w:color="auto"/>
        <w:right w:val="none" w:sz="0" w:space="0" w:color="auto"/>
      </w:divBdr>
    </w:div>
    <w:div w:id="1614169789">
      <w:bodyDiv w:val="1"/>
      <w:marLeft w:val="0"/>
      <w:marRight w:val="0"/>
      <w:marTop w:val="0"/>
      <w:marBottom w:val="0"/>
      <w:divBdr>
        <w:top w:val="none" w:sz="0" w:space="0" w:color="auto"/>
        <w:left w:val="none" w:sz="0" w:space="0" w:color="auto"/>
        <w:bottom w:val="none" w:sz="0" w:space="0" w:color="auto"/>
        <w:right w:val="none" w:sz="0" w:space="0" w:color="auto"/>
      </w:divBdr>
    </w:div>
    <w:div w:id="1759204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eck-online.cz/bo/document-view.seam?documentId=onrf6mrqgezf6obzfzygmmjtgm2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eck-online.cz/bo/document-view.seam?documentId=onrf6mjzgy2f6nbqfzygmmjvgfr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cs.wikisource.org/wiki/Ott%C5%AFv_slovn%C3%ADk_nau%C4%8Dn%C3%BD/Mancipium" TargetMode="External"/><Relationship Id="rId1" Type="http://schemas.openxmlformats.org/officeDocument/2006/relationships/hyperlink" Target="https://cs.wikisource.org/wiki/Ott%C5%AFv_slovn%C3%ADk_nau%C4%8Dn%C3%BD/Fiducia"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XSL" StyleName="ISO 690 – číselná reference" Version="1987">
  <b:Source>
    <b:Tag>2KI</b:Tag>
    <b:SourceType>Book</b:SourceType>
    <b:Guid>{A5AD41C2-641C-4B4A-8D6B-5B49AC0A0FD4}</b:Guid>
    <b:Author>
      <b:Author>
        <b:NameList>
          <b:Person>
            <b:Last>2. KINCL</b:Last>
            <b:First>J.</b:First>
            <b:Middle>– URFUS, V. – SKŘEJPEK, M. Římské právo. 2. vydání. Praha: C. H. BECK, 1995.</b:Middle>
          </b:Person>
        </b:NameList>
      </b:Author>
    </b:Author>
    <b:RefOrder>1</b:RefOrder>
  </b:Source>
</b:Sources>
</file>

<file path=customXml/item4.xml><?xml version="1.0" encoding="utf-8"?>
<ct:contentTypeSchema xmlns:ct="http://schemas.microsoft.com/office/2006/metadata/contentType" xmlns:ma="http://schemas.microsoft.com/office/2006/metadata/properties/metaAttributes" ct:_="" ma:_="" ma:contentTypeName="Dokument" ma:contentTypeID="0x0101009D7701EB02449546A07CCFDE4519F3C4" ma:contentTypeVersion="9" ma:contentTypeDescription="Vytvoří nový dokument" ma:contentTypeScope="" ma:versionID="5d1b7004ef22afbdc49e82ab26e8029d">
  <xsd:schema xmlns:xsd="http://www.w3.org/2001/XMLSchema" xmlns:xs="http://www.w3.org/2001/XMLSchema" xmlns:p="http://schemas.microsoft.com/office/2006/metadata/properties" xmlns:ns3="8bd217cf-d047-4632-9d70-57a39a7b8ddc" xmlns:ns4="2d77b5a3-c19d-42a9-8ec1-600c4361e256" targetNamespace="http://schemas.microsoft.com/office/2006/metadata/properties" ma:root="true" ma:fieldsID="0a6064bdb061c9ac00018d70f2a813d9" ns3:_="" ns4:_="">
    <xsd:import namespace="8bd217cf-d047-4632-9d70-57a39a7b8ddc"/>
    <xsd:import namespace="2d77b5a3-c19d-42a9-8ec1-600c4361e2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17cf-d047-4632-9d70-57a39a7b8dd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7b5a3-c19d-42a9-8ec1-600c4361e2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8B8D1-B79D-4C27-947C-AACD979CA1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3B989A-0290-4FD8-B2BF-D9720BB4BCBF}">
  <ds:schemaRefs>
    <ds:schemaRef ds:uri="http://schemas.microsoft.com/sharepoint/v3/contenttype/forms"/>
  </ds:schemaRefs>
</ds:datastoreItem>
</file>

<file path=customXml/itemProps3.xml><?xml version="1.0" encoding="utf-8"?>
<ds:datastoreItem xmlns:ds="http://schemas.openxmlformats.org/officeDocument/2006/customXml" ds:itemID="{C4774FA3-1F1F-44FD-88CA-A5549296C7A2}">
  <ds:schemaRefs>
    <ds:schemaRef ds:uri="http://schemas.openxmlformats.org/officeDocument/2006/bibliography"/>
  </ds:schemaRefs>
</ds:datastoreItem>
</file>

<file path=customXml/itemProps4.xml><?xml version="1.0" encoding="utf-8"?>
<ds:datastoreItem xmlns:ds="http://schemas.openxmlformats.org/officeDocument/2006/customXml" ds:itemID="{7EA6A333-40EB-477B-9325-CF1A87028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17cf-d047-4632-9d70-57a39a7b8ddc"/>
    <ds:schemaRef ds:uri="2d77b5a3-c19d-42a9-8ec1-600c4361e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48</Pages>
  <Words>12677</Words>
  <Characters>74797</Characters>
  <Application>Microsoft Office Word</Application>
  <DocSecurity>0</DocSecurity>
  <Lines>623</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87300</CharactersWithSpaces>
  <SharedDoc>false</SharedDoc>
  <HLinks>
    <vt:vector size="216" baseType="variant">
      <vt:variant>
        <vt:i4>4587525</vt:i4>
      </vt:variant>
      <vt:variant>
        <vt:i4>198</vt:i4>
      </vt:variant>
      <vt:variant>
        <vt:i4>0</vt:i4>
      </vt:variant>
      <vt:variant>
        <vt:i4>5</vt:i4>
      </vt:variant>
      <vt:variant>
        <vt:lpwstr>https://www.beck-online.cz/bo/document-view.seam?documentId=onrf6mrqgezf6obzfzygmmjtgm2q</vt:lpwstr>
      </vt:variant>
      <vt:variant>
        <vt:lpwstr/>
      </vt:variant>
      <vt:variant>
        <vt:i4>4325397</vt:i4>
      </vt:variant>
      <vt:variant>
        <vt:i4>195</vt:i4>
      </vt:variant>
      <vt:variant>
        <vt:i4>0</vt:i4>
      </vt:variant>
      <vt:variant>
        <vt:i4>5</vt:i4>
      </vt:variant>
      <vt:variant>
        <vt:lpwstr>https://www.beck-online.cz/bo/document-view.seam?documentId=onrf6mjzgy2f6nbqfzygmmjvgfra</vt:lpwstr>
      </vt:variant>
      <vt:variant>
        <vt:lpwstr/>
      </vt:variant>
      <vt:variant>
        <vt:i4>1245233</vt:i4>
      </vt:variant>
      <vt:variant>
        <vt:i4>188</vt:i4>
      </vt:variant>
      <vt:variant>
        <vt:i4>0</vt:i4>
      </vt:variant>
      <vt:variant>
        <vt:i4>5</vt:i4>
      </vt:variant>
      <vt:variant>
        <vt:lpwstr/>
      </vt:variant>
      <vt:variant>
        <vt:lpwstr>_Toc100172774</vt:lpwstr>
      </vt:variant>
      <vt:variant>
        <vt:i4>1245233</vt:i4>
      </vt:variant>
      <vt:variant>
        <vt:i4>182</vt:i4>
      </vt:variant>
      <vt:variant>
        <vt:i4>0</vt:i4>
      </vt:variant>
      <vt:variant>
        <vt:i4>5</vt:i4>
      </vt:variant>
      <vt:variant>
        <vt:lpwstr/>
      </vt:variant>
      <vt:variant>
        <vt:lpwstr>_Toc100172773</vt:lpwstr>
      </vt:variant>
      <vt:variant>
        <vt:i4>1245233</vt:i4>
      </vt:variant>
      <vt:variant>
        <vt:i4>176</vt:i4>
      </vt:variant>
      <vt:variant>
        <vt:i4>0</vt:i4>
      </vt:variant>
      <vt:variant>
        <vt:i4>5</vt:i4>
      </vt:variant>
      <vt:variant>
        <vt:lpwstr/>
      </vt:variant>
      <vt:variant>
        <vt:lpwstr>_Toc100172772</vt:lpwstr>
      </vt:variant>
      <vt:variant>
        <vt:i4>1245233</vt:i4>
      </vt:variant>
      <vt:variant>
        <vt:i4>170</vt:i4>
      </vt:variant>
      <vt:variant>
        <vt:i4>0</vt:i4>
      </vt:variant>
      <vt:variant>
        <vt:i4>5</vt:i4>
      </vt:variant>
      <vt:variant>
        <vt:lpwstr/>
      </vt:variant>
      <vt:variant>
        <vt:lpwstr>_Toc100172771</vt:lpwstr>
      </vt:variant>
      <vt:variant>
        <vt:i4>1245233</vt:i4>
      </vt:variant>
      <vt:variant>
        <vt:i4>164</vt:i4>
      </vt:variant>
      <vt:variant>
        <vt:i4>0</vt:i4>
      </vt:variant>
      <vt:variant>
        <vt:i4>5</vt:i4>
      </vt:variant>
      <vt:variant>
        <vt:lpwstr/>
      </vt:variant>
      <vt:variant>
        <vt:lpwstr>_Toc100172770</vt:lpwstr>
      </vt:variant>
      <vt:variant>
        <vt:i4>1179697</vt:i4>
      </vt:variant>
      <vt:variant>
        <vt:i4>158</vt:i4>
      </vt:variant>
      <vt:variant>
        <vt:i4>0</vt:i4>
      </vt:variant>
      <vt:variant>
        <vt:i4>5</vt:i4>
      </vt:variant>
      <vt:variant>
        <vt:lpwstr/>
      </vt:variant>
      <vt:variant>
        <vt:lpwstr>_Toc100172769</vt:lpwstr>
      </vt:variant>
      <vt:variant>
        <vt:i4>1179697</vt:i4>
      </vt:variant>
      <vt:variant>
        <vt:i4>152</vt:i4>
      </vt:variant>
      <vt:variant>
        <vt:i4>0</vt:i4>
      </vt:variant>
      <vt:variant>
        <vt:i4>5</vt:i4>
      </vt:variant>
      <vt:variant>
        <vt:lpwstr/>
      </vt:variant>
      <vt:variant>
        <vt:lpwstr>_Toc100172768</vt:lpwstr>
      </vt:variant>
      <vt:variant>
        <vt:i4>1179697</vt:i4>
      </vt:variant>
      <vt:variant>
        <vt:i4>146</vt:i4>
      </vt:variant>
      <vt:variant>
        <vt:i4>0</vt:i4>
      </vt:variant>
      <vt:variant>
        <vt:i4>5</vt:i4>
      </vt:variant>
      <vt:variant>
        <vt:lpwstr/>
      </vt:variant>
      <vt:variant>
        <vt:lpwstr>_Toc100172767</vt:lpwstr>
      </vt:variant>
      <vt:variant>
        <vt:i4>1179697</vt:i4>
      </vt:variant>
      <vt:variant>
        <vt:i4>140</vt:i4>
      </vt:variant>
      <vt:variant>
        <vt:i4>0</vt:i4>
      </vt:variant>
      <vt:variant>
        <vt:i4>5</vt:i4>
      </vt:variant>
      <vt:variant>
        <vt:lpwstr/>
      </vt:variant>
      <vt:variant>
        <vt:lpwstr>_Toc100172766</vt:lpwstr>
      </vt:variant>
      <vt:variant>
        <vt:i4>1179697</vt:i4>
      </vt:variant>
      <vt:variant>
        <vt:i4>134</vt:i4>
      </vt:variant>
      <vt:variant>
        <vt:i4>0</vt:i4>
      </vt:variant>
      <vt:variant>
        <vt:i4>5</vt:i4>
      </vt:variant>
      <vt:variant>
        <vt:lpwstr/>
      </vt:variant>
      <vt:variant>
        <vt:lpwstr>_Toc100172765</vt:lpwstr>
      </vt:variant>
      <vt:variant>
        <vt:i4>1179697</vt:i4>
      </vt:variant>
      <vt:variant>
        <vt:i4>128</vt:i4>
      </vt:variant>
      <vt:variant>
        <vt:i4>0</vt:i4>
      </vt:variant>
      <vt:variant>
        <vt:i4>5</vt:i4>
      </vt:variant>
      <vt:variant>
        <vt:lpwstr/>
      </vt:variant>
      <vt:variant>
        <vt:lpwstr>_Toc100172764</vt:lpwstr>
      </vt:variant>
      <vt:variant>
        <vt:i4>1179697</vt:i4>
      </vt:variant>
      <vt:variant>
        <vt:i4>122</vt:i4>
      </vt:variant>
      <vt:variant>
        <vt:i4>0</vt:i4>
      </vt:variant>
      <vt:variant>
        <vt:i4>5</vt:i4>
      </vt:variant>
      <vt:variant>
        <vt:lpwstr/>
      </vt:variant>
      <vt:variant>
        <vt:lpwstr>_Toc100172763</vt:lpwstr>
      </vt:variant>
      <vt:variant>
        <vt:i4>1179697</vt:i4>
      </vt:variant>
      <vt:variant>
        <vt:i4>116</vt:i4>
      </vt:variant>
      <vt:variant>
        <vt:i4>0</vt:i4>
      </vt:variant>
      <vt:variant>
        <vt:i4>5</vt:i4>
      </vt:variant>
      <vt:variant>
        <vt:lpwstr/>
      </vt:variant>
      <vt:variant>
        <vt:lpwstr>_Toc100172762</vt:lpwstr>
      </vt:variant>
      <vt:variant>
        <vt:i4>1179697</vt:i4>
      </vt:variant>
      <vt:variant>
        <vt:i4>110</vt:i4>
      </vt:variant>
      <vt:variant>
        <vt:i4>0</vt:i4>
      </vt:variant>
      <vt:variant>
        <vt:i4>5</vt:i4>
      </vt:variant>
      <vt:variant>
        <vt:lpwstr/>
      </vt:variant>
      <vt:variant>
        <vt:lpwstr>_Toc100172761</vt:lpwstr>
      </vt:variant>
      <vt:variant>
        <vt:i4>1179697</vt:i4>
      </vt:variant>
      <vt:variant>
        <vt:i4>104</vt:i4>
      </vt:variant>
      <vt:variant>
        <vt:i4>0</vt:i4>
      </vt:variant>
      <vt:variant>
        <vt:i4>5</vt:i4>
      </vt:variant>
      <vt:variant>
        <vt:lpwstr/>
      </vt:variant>
      <vt:variant>
        <vt:lpwstr>_Toc100172760</vt:lpwstr>
      </vt:variant>
      <vt:variant>
        <vt:i4>1114161</vt:i4>
      </vt:variant>
      <vt:variant>
        <vt:i4>98</vt:i4>
      </vt:variant>
      <vt:variant>
        <vt:i4>0</vt:i4>
      </vt:variant>
      <vt:variant>
        <vt:i4>5</vt:i4>
      </vt:variant>
      <vt:variant>
        <vt:lpwstr/>
      </vt:variant>
      <vt:variant>
        <vt:lpwstr>_Toc100172759</vt:lpwstr>
      </vt:variant>
      <vt:variant>
        <vt:i4>1114161</vt:i4>
      </vt:variant>
      <vt:variant>
        <vt:i4>92</vt:i4>
      </vt:variant>
      <vt:variant>
        <vt:i4>0</vt:i4>
      </vt:variant>
      <vt:variant>
        <vt:i4>5</vt:i4>
      </vt:variant>
      <vt:variant>
        <vt:lpwstr/>
      </vt:variant>
      <vt:variant>
        <vt:lpwstr>_Toc100172758</vt:lpwstr>
      </vt:variant>
      <vt:variant>
        <vt:i4>1114161</vt:i4>
      </vt:variant>
      <vt:variant>
        <vt:i4>86</vt:i4>
      </vt:variant>
      <vt:variant>
        <vt:i4>0</vt:i4>
      </vt:variant>
      <vt:variant>
        <vt:i4>5</vt:i4>
      </vt:variant>
      <vt:variant>
        <vt:lpwstr/>
      </vt:variant>
      <vt:variant>
        <vt:lpwstr>_Toc100172757</vt:lpwstr>
      </vt:variant>
      <vt:variant>
        <vt:i4>1114161</vt:i4>
      </vt:variant>
      <vt:variant>
        <vt:i4>80</vt:i4>
      </vt:variant>
      <vt:variant>
        <vt:i4>0</vt:i4>
      </vt:variant>
      <vt:variant>
        <vt:i4>5</vt:i4>
      </vt:variant>
      <vt:variant>
        <vt:lpwstr/>
      </vt:variant>
      <vt:variant>
        <vt:lpwstr>_Toc100172756</vt:lpwstr>
      </vt:variant>
      <vt:variant>
        <vt:i4>1114161</vt:i4>
      </vt:variant>
      <vt:variant>
        <vt:i4>74</vt:i4>
      </vt:variant>
      <vt:variant>
        <vt:i4>0</vt:i4>
      </vt:variant>
      <vt:variant>
        <vt:i4>5</vt:i4>
      </vt:variant>
      <vt:variant>
        <vt:lpwstr/>
      </vt:variant>
      <vt:variant>
        <vt:lpwstr>_Toc100172755</vt:lpwstr>
      </vt:variant>
      <vt:variant>
        <vt:i4>1114161</vt:i4>
      </vt:variant>
      <vt:variant>
        <vt:i4>68</vt:i4>
      </vt:variant>
      <vt:variant>
        <vt:i4>0</vt:i4>
      </vt:variant>
      <vt:variant>
        <vt:i4>5</vt:i4>
      </vt:variant>
      <vt:variant>
        <vt:lpwstr/>
      </vt:variant>
      <vt:variant>
        <vt:lpwstr>_Toc100172754</vt:lpwstr>
      </vt:variant>
      <vt:variant>
        <vt:i4>1114161</vt:i4>
      </vt:variant>
      <vt:variant>
        <vt:i4>62</vt:i4>
      </vt:variant>
      <vt:variant>
        <vt:i4>0</vt:i4>
      </vt:variant>
      <vt:variant>
        <vt:i4>5</vt:i4>
      </vt:variant>
      <vt:variant>
        <vt:lpwstr/>
      </vt:variant>
      <vt:variant>
        <vt:lpwstr>_Toc100172753</vt:lpwstr>
      </vt:variant>
      <vt:variant>
        <vt:i4>1114161</vt:i4>
      </vt:variant>
      <vt:variant>
        <vt:i4>56</vt:i4>
      </vt:variant>
      <vt:variant>
        <vt:i4>0</vt:i4>
      </vt:variant>
      <vt:variant>
        <vt:i4>5</vt:i4>
      </vt:variant>
      <vt:variant>
        <vt:lpwstr/>
      </vt:variant>
      <vt:variant>
        <vt:lpwstr>_Toc100172752</vt:lpwstr>
      </vt:variant>
      <vt:variant>
        <vt:i4>1114161</vt:i4>
      </vt:variant>
      <vt:variant>
        <vt:i4>50</vt:i4>
      </vt:variant>
      <vt:variant>
        <vt:i4>0</vt:i4>
      </vt:variant>
      <vt:variant>
        <vt:i4>5</vt:i4>
      </vt:variant>
      <vt:variant>
        <vt:lpwstr/>
      </vt:variant>
      <vt:variant>
        <vt:lpwstr>_Toc100172751</vt:lpwstr>
      </vt:variant>
      <vt:variant>
        <vt:i4>1114161</vt:i4>
      </vt:variant>
      <vt:variant>
        <vt:i4>44</vt:i4>
      </vt:variant>
      <vt:variant>
        <vt:i4>0</vt:i4>
      </vt:variant>
      <vt:variant>
        <vt:i4>5</vt:i4>
      </vt:variant>
      <vt:variant>
        <vt:lpwstr/>
      </vt:variant>
      <vt:variant>
        <vt:lpwstr>_Toc100172750</vt:lpwstr>
      </vt:variant>
      <vt:variant>
        <vt:i4>1048625</vt:i4>
      </vt:variant>
      <vt:variant>
        <vt:i4>38</vt:i4>
      </vt:variant>
      <vt:variant>
        <vt:i4>0</vt:i4>
      </vt:variant>
      <vt:variant>
        <vt:i4>5</vt:i4>
      </vt:variant>
      <vt:variant>
        <vt:lpwstr/>
      </vt:variant>
      <vt:variant>
        <vt:lpwstr>_Toc100172749</vt:lpwstr>
      </vt:variant>
      <vt:variant>
        <vt:i4>1048625</vt:i4>
      </vt:variant>
      <vt:variant>
        <vt:i4>32</vt:i4>
      </vt:variant>
      <vt:variant>
        <vt:i4>0</vt:i4>
      </vt:variant>
      <vt:variant>
        <vt:i4>5</vt:i4>
      </vt:variant>
      <vt:variant>
        <vt:lpwstr/>
      </vt:variant>
      <vt:variant>
        <vt:lpwstr>_Toc100172748</vt:lpwstr>
      </vt:variant>
      <vt:variant>
        <vt:i4>1048625</vt:i4>
      </vt:variant>
      <vt:variant>
        <vt:i4>26</vt:i4>
      </vt:variant>
      <vt:variant>
        <vt:i4>0</vt:i4>
      </vt:variant>
      <vt:variant>
        <vt:i4>5</vt:i4>
      </vt:variant>
      <vt:variant>
        <vt:lpwstr/>
      </vt:variant>
      <vt:variant>
        <vt:lpwstr>_Toc100172747</vt:lpwstr>
      </vt:variant>
      <vt:variant>
        <vt:i4>1048625</vt:i4>
      </vt:variant>
      <vt:variant>
        <vt:i4>20</vt:i4>
      </vt:variant>
      <vt:variant>
        <vt:i4>0</vt:i4>
      </vt:variant>
      <vt:variant>
        <vt:i4>5</vt:i4>
      </vt:variant>
      <vt:variant>
        <vt:lpwstr/>
      </vt:variant>
      <vt:variant>
        <vt:lpwstr>_Toc100172746</vt:lpwstr>
      </vt:variant>
      <vt:variant>
        <vt:i4>1048625</vt:i4>
      </vt:variant>
      <vt:variant>
        <vt:i4>14</vt:i4>
      </vt:variant>
      <vt:variant>
        <vt:i4>0</vt:i4>
      </vt:variant>
      <vt:variant>
        <vt:i4>5</vt:i4>
      </vt:variant>
      <vt:variant>
        <vt:lpwstr/>
      </vt:variant>
      <vt:variant>
        <vt:lpwstr>_Toc100172745</vt:lpwstr>
      </vt:variant>
      <vt:variant>
        <vt:i4>1048625</vt:i4>
      </vt:variant>
      <vt:variant>
        <vt:i4>8</vt:i4>
      </vt:variant>
      <vt:variant>
        <vt:i4>0</vt:i4>
      </vt:variant>
      <vt:variant>
        <vt:i4>5</vt:i4>
      </vt:variant>
      <vt:variant>
        <vt:lpwstr/>
      </vt:variant>
      <vt:variant>
        <vt:lpwstr>_Toc100172744</vt:lpwstr>
      </vt:variant>
      <vt:variant>
        <vt:i4>1048625</vt:i4>
      </vt:variant>
      <vt:variant>
        <vt:i4>2</vt:i4>
      </vt:variant>
      <vt:variant>
        <vt:i4>0</vt:i4>
      </vt:variant>
      <vt:variant>
        <vt:i4>5</vt:i4>
      </vt:variant>
      <vt:variant>
        <vt:lpwstr/>
      </vt:variant>
      <vt:variant>
        <vt:lpwstr>_Toc100172743</vt:lpwstr>
      </vt:variant>
      <vt:variant>
        <vt:i4>7274549</vt:i4>
      </vt:variant>
      <vt:variant>
        <vt:i4>3</vt:i4>
      </vt:variant>
      <vt:variant>
        <vt:i4>0</vt:i4>
      </vt:variant>
      <vt:variant>
        <vt:i4>5</vt:i4>
      </vt:variant>
      <vt:variant>
        <vt:lpwstr>https://cs.wikisource.org/wiki/Ott%C5%AFv_slovn%C3%ADk_nau%C4%8Dn%C3%BD/Mancipium</vt:lpwstr>
      </vt:variant>
      <vt:variant>
        <vt:lpwstr/>
      </vt:variant>
      <vt:variant>
        <vt:i4>1900631</vt:i4>
      </vt:variant>
      <vt:variant>
        <vt:i4>0</vt:i4>
      </vt:variant>
      <vt:variant>
        <vt:i4>0</vt:i4>
      </vt:variant>
      <vt:variant>
        <vt:i4>5</vt:i4>
      </vt:variant>
      <vt:variant>
        <vt:lpwstr>https://cs.wikisource.org/wiki/Ott%C5%AFv_slovn%C3%ADk_nau%C4%8Dn%C3%BD/Fiducia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Havlík</dc:creator>
  <cp:keywords/>
  <dc:description/>
  <cp:lastModifiedBy>Tomáš Havlík</cp:lastModifiedBy>
  <cp:revision>8</cp:revision>
  <dcterms:created xsi:type="dcterms:W3CDTF">2022-04-08T20:41:00Z</dcterms:created>
  <dcterms:modified xsi:type="dcterms:W3CDTF">2022-04-08T22:16:00Z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0x0101009D7701EB02449546A07CCFDE4519F3C4</vt:lpwstr>
  </property>
</Properties>
</file>