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E20" w:rsidRPr="002872A6" w:rsidRDefault="00294E20" w:rsidP="00294E20">
      <w:pPr>
        <w:suppressAutoHyphens/>
        <w:spacing w:after="0" w:line="360" w:lineRule="auto"/>
        <w:jc w:val="center"/>
        <w:rPr>
          <w:rFonts w:asciiTheme="minorHAnsi" w:hAnsiTheme="minorHAnsi" w:cstheme="minorHAnsi"/>
          <w:b/>
          <w:color w:val="auto"/>
          <w:sz w:val="32"/>
        </w:rPr>
      </w:pPr>
      <w:bookmarkStart w:id="0" w:name="_GoBack"/>
      <w:bookmarkEnd w:id="0"/>
      <w:r w:rsidRPr="002872A6">
        <w:rPr>
          <w:rFonts w:asciiTheme="minorHAnsi" w:hAnsiTheme="minorHAnsi" w:cstheme="minorHAnsi"/>
          <w:b/>
          <w:color w:val="auto"/>
          <w:sz w:val="32"/>
        </w:rPr>
        <w:t>Vyšší odborná škola, střední škola,</w:t>
      </w:r>
    </w:p>
    <w:p w:rsidR="00294E20" w:rsidRPr="002872A6" w:rsidRDefault="00294E20" w:rsidP="00294E20">
      <w:pPr>
        <w:suppressAutoHyphens/>
        <w:spacing w:after="0" w:line="360" w:lineRule="auto"/>
        <w:jc w:val="center"/>
        <w:rPr>
          <w:rFonts w:asciiTheme="minorHAnsi" w:hAnsiTheme="minorHAnsi" w:cstheme="minorHAnsi"/>
          <w:b/>
          <w:color w:val="auto"/>
          <w:sz w:val="32"/>
        </w:rPr>
      </w:pPr>
      <w:r w:rsidRPr="002872A6">
        <w:rPr>
          <w:rFonts w:asciiTheme="minorHAnsi" w:hAnsiTheme="minorHAnsi" w:cstheme="minorHAnsi"/>
          <w:b/>
          <w:color w:val="auto"/>
          <w:sz w:val="32"/>
        </w:rPr>
        <w:t>Jazyková škola s právem státní jazykové zkoušky,</w:t>
      </w:r>
    </w:p>
    <w:p w:rsidR="00294E20" w:rsidRPr="002872A6" w:rsidRDefault="00294E20" w:rsidP="00294E20">
      <w:pPr>
        <w:suppressAutoHyphens/>
        <w:spacing w:after="0" w:line="360" w:lineRule="auto"/>
        <w:jc w:val="center"/>
        <w:rPr>
          <w:rFonts w:asciiTheme="minorHAnsi" w:hAnsiTheme="minorHAnsi" w:cstheme="minorHAnsi"/>
          <w:b/>
          <w:color w:val="auto"/>
          <w:sz w:val="32"/>
        </w:rPr>
      </w:pPr>
      <w:r w:rsidRPr="002872A6">
        <w:rPr>
          <w:rFonts w:asciiTheme="minorHAnsi" w:hAnsiTheme="minorHAnsi" w:cstheme="minorHAnsi"/>
          <w:b/>
          <w:color w:val="auto"/>
          <w:sz w:val="32"/>
        </w:rPr>
        <w:t>Základní škola a mateřská škola MILLS, s. r. o.</w:t>
      </w:r>
    </w:p>
    <w:p w:rsidR="00294E20" w:rsidRPr="002872A6" w:rsidRDefault="00294E20" w:rsidP="00294E20">
      <w:pPr>
        <w:suppressAutoHyphens/>
        <w:spacing w:after="0" w:line="360" w:lineRule="auto"/>
        <w:jc w:val="center"/>
        <w:rPr>
          <w:rFonts w:asciiTheme="minorHAnsi" w:hAnsiTheme="minorHAnsi" w:cstheme="minorHAnsi"/>
          <w:color w:val="auto"/>
        </w:rPr>
      </w:pPr>
      <w:r w:rsidRPr="002872A6">
        <w:rPr>
          <w:rFonts w:asciiTheme="minorHAnsi" w:hAnsiTheme="minorHAnsi" w:cstheme="minorHAnsi"/>
          <w:b/>
          <w:color w:val="auto"/>
          <w:sz w:val="32"/>
        </w:rPr>
        <w:t>Čelákovice</w:t>
      </w: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b/>
          <w:color w:val="auto"/>
          <w:sz w:val="28"/>
        </w:rPr>
      </w:pPr>
      <w:r w:rsidRPr="002872A6">
        <w:rPr>
          <w:rFonts w:asciiTheme="minorHAnsi" w:hAnsiTheme="minorHAnsi" w:cstheme="minorHAnsi"/>
          <w:b/>
          <w:color w:val="auto"/>
          <w:sz w:val="28"/>
        </w:rPr>
        <w:t>Úloha a činnost Státního ústavu pro kontrolu léčiv – kontrola lékáren</w:t>
      </w:r>
    </w:p>
    <w:p w:rsidR="00294E20" w:rsidRPr="002872A6" w:rsidRDefault="00294E20" w:rsidP="00294E20">
      <w:pPr>
        <w:suppressAutoHyphens/>
        <w:spacing w:after="0" w:line="360" w:lineRule="auto"/>
        <w:jc w:val="center"/>
        <w:rPr>
          <w:rFonts w:asciiTheme="minorHAnsi" w:hAnsiTheme="minorHAnsi" w:cstheme="minorHAnsi"/>
          <w:color w:val="auto"/>
        </w:rPr>
      </w:pPr>
      <w:r w:rsidRPr="002872A6">
        <w:rPr>
          <w:rFonts w:asciiTheme="minorHAnsi" w:hAnsiTheme="minorHAnsi" w:cstheme="minorHAnsi"/>
          <w:color w:val="auto"/>
          <w:sz w:val="28"/>
        </w:rPr>
        <w:t>Diplomovaný farmaceutický asistent</w:t>
      </w: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suppressAutoHyphens/>
        <w:spacing w:after="0" w:line="360" w:lineRule="auto"/>
        <w:jc w:val="center"/>
        <w:rPr>
          <w:rFonts w:asciiTheme="minorHAnsi" w:hAnsiTheme="minorHAnsi" w:cstheme="minorHAnsi"/>
          <w:color w:val="auto"/>
        </w:rPr>
      </w:pPr>
    </w:p>
    <w:p w:rsidR="00294E20" w:rsidRPr="002872A6" w:rsidRDefault="00294E20" w:rsidP="00294E20">
      <w:pPr>
        <w:tabs>
          <w:tab w:val="left" w:pos="5103"/>
        </w:tabs>
        <w:suppressAutoHyphens/>
        <w:spacing w:after="0" w:line="360" w:lineRule="auto"/>
        <w:jc w:val="both"/>
        <w:rPr>
          <w:rFonts w:asciiTheme="minorHAnsi" w:hAnsiTheme="minorHAnsi" w:cstheme="minorHAnsi"/>
          <w:color w:val="auto"/>
          <w:sz w:val="24"/>
        </w:rPr>
      </w:pPr>
      <w:r w:rsidRPr="002872A6">
        <w:rPr>
          <w:rFonts w:asciiTheme="minorHAnsi" w:hAnsiTheme="minorHAnsi" w:cstheme="minorHAnsi"/>
          <w:color w:val="auto"/>
          <w:sz w:val="24"/>
        </w:rPr>
        <w:t>Vedoucí práce: PharmDr. Tomáš Bajtoš, MBA</w:t>
      </w:r>
      <w:r w:rsidRPr="002872A6">
        <w:rPr>
          <w:rFonts w:asciiTheme="minorHAnsi" w:hAnsiTheme="minorHAnsi" w:cstheme="minorHAnsi"/>
          <w:color w:val="auto"/>
          <w:sz w:val="24"/>
        </w:rPr>
        <w:tab/>
        <w:t>Vypracoval: Petr Litoborský</w:t>
      </w:r>
    </w:p>
    <w:p w:rsidR="00294E20" w:rsidRPr="002872A6" w:rsidRDefault="00294E20" w:rsidP="00294E20">
      <w:pPr>
        <w:tabs>
          <w:tab w:val="left" w:pos="5103"/>
        </w:tabs>
        <w:suppressAutoHyphens/>
        <w:spacing w:after="0" w:line="360" w:lineRule="auto"/>
        <w:jc w:val="center"/>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jc w:val="center"/>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jc w:val="center"/>
        <w:rPr>
          <w:rFonts w:asciiTheme="minorHAnsi" w:hAnsiTheme="minorHAnsi" w:cstheme="minorHAnsi"/>
          <w:color w:val="auto"/>
        </w:rPr>
      </w:pPr>
      <w:r w:rsidRPr="002872A6">
        <w:rPr>
          <w:rFonts w:asciiTheme="minorHAnsi" w:hAnsiTheme="minorHAnsi" w:cstheme="minorHAnsi"/>
          <w:color w:val="auto"/>
          <w:sz w:val="24"/>
        </w:rPr>
        <w:t>Čelákovice 2024</w:t>
      </w:r>
      <w:r w:rsidRPr="002872A6">
        <w:rPr>
          <w:rFonts w:asciiTheme="minorHAnsi" w:hAnsiTheme="minorHAnsi" w:cstheme="minorHAnsi"/>
          <w:color w:val="auto"/>
          <w:sz w:val="24"/>
        </w:rPr>
        <w:softHyphen/>
      </w: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5103"/>
        </w:tabs>
        <w:suppressAutoHyphens/>
        <w:spacing w:after="0" w:line="360" w:lineRule="auto"/>
        <w:rPr>
          <w:rFonts w:asciiTheme="minorHAnsi" w:hAnsiTheme="minorHAnsi" w:cstheme="minorHAnsi"/>
          <w:b/>
          <w:color w:val="auto"/>
          <w:sz w:val="24"/>
        </w:rPr>
      </w:pPr>
      <w:r w:rsidRPr="002872A6">
        <w:rPr>
          <w:rFonts w:asciiTheme="minorHAnsi" w:hAnsiTheme="minorHAnsi" w:cstheme="minorHAnsi"/>
          <w:b/>
          <w:color w:val="auto"/>
          <w:sz w:val="24"/>
        </w:rPr>
        <w:t>Čestné prohlášení</w:t>
      </w:r>
    </w:p>
    <w:p w:rsidR="00294E20" w:rsidRPr="002872A6" w:rsidRDefault="00294E20" w:rsidP="00294E20">
      <w:pPr>
        <w:tabs>
          <w:tab w:val="left" w:pos="5103"/>
        </w:tabs>
        <w:suppressAutoHyphens/>
        <w:spacing w:after="0" w:line="360" w:lineRule="auto"/>
        <w:rPr>
          <w:rFonts w:asciiTheme="minorHAnsi" w:hAnsiTheme="minorHAnsi" w:cstheme="minorHAnsi"/>
          <w:color w:val="auto"/>
          <w:sz w:val="24"/>
        </w:rPr>
      </w:pPr>
    </w:p>
    <w:p w:rsidR="00294E20" w:rsidRPr="002872A6" w:rsidRDefault="00294E20" w:rsidP="00D35D69">
      <w:pPr>
        <w:tabs>
          <w:tab w:val="left" w:pos="5103"/>
        </w:tabs>
        <w:suppressAutoHyphens/>
        <w:spacing w:after="0" w:line="360" w:lineRule="auto"/>
        <w:ind w:firstLine="709"/>
        <w:jc w:val="both"/>
        <w:rPr>
          <w:rFonts w:asciiTheme="minorHAnsi" w:hAnsiTheme="minorHAnsi" w:cstheme="minorHAnsi"/>
          <w:color w:val="auto"/>
          <w:sz w:val="24"/>
        </w:rPr>
      </w:pPr>
      <w:r w:rsidRPr="002872A6">
        <w:rPr>
          <w:rFonts w:asciiTheme="minorHAnsi" w:hAnsiTheme="minorHAnsi" w:cstheme="minorHAnsi"/>
          <w:color w:val="auto"/>
          <w:sz w:val="24"/>
        </w:rPr>
        <w:t>Prohlašuji, že jsem absolventskou práci vypracoval samostatně a všechny použité písemné i jiné informační zdroje jsem řádně ocitoval. Jsem si vědom, že doslovné kopírování cizích textů v rozsahu větším, než je krátká doslovná citace, je hrubým porušen</w:t>
      </w:r>
      <w:r w:rsidR="008E6757">
        <w:rPr>
          <w:rFonts w:asciiTheme="minorHAnsi" w:hAnsiTheme="minorHAnsi" w:cstheme="minorHAnsi"/>
          <w:color w:val="auto"/>
          <w:sz w:val="24"/>
        </w:rPr>
        <w:t>í</w:t>
      </w:r>
      <w:r w:rsidRPr="002872A6">
        <w:rPr>
          <w:rFonts w:asciiTheme="minorHAnsi" w:hAnsiTheme="minorHAnsi" w:cstheme="minorHAnsi"/>
          <w:color w:val="auto"/>
          <w:sz w:val="24"/>
        </w:rPr>
        <w:t>m autorských práv ve smyslu zákona 121/2000 Sb., je v přímém rozporu s interním předpisem školy a je důvodem pro nepřipuštění absolventské práce k obhajobě.</w:t>
      </w:r>
    </w:p>
    <w:p w:rsidR="00294E20" w:rsidRPr="002872A6" w:rsidRDefault="00294E20" w:rsidP="00294E20">
      <w:pPr>
        <w:tabs>
          <w:tab w:val="left" w:pos="5103"/>
        </w:tabs>
        <w:suppressAutoHyphens/>
        <w:spacing w:after="0" w:line="360" w:lineRule="auto"/>
        <w:jc w:val="both"/>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jc w:val="both"/>
        <w:rPr>
          <w:rFonts w:asciiTheme="minorHAnsi" w:hAnsiTheme="minorHAnsi" w:cstheme="minorHAnsi"/>
          <w:color w:val="auto"/>
          <w:sz w:val="24"/>
        </w:rPr>
      </w:pPr>
      <w:r w:rsidRPr="002872A6">
        <w:rPr>
          <w:rFonts w:asciiTheme="minorHAnsi" w:hAnsiTheme="minorHAnsi" w:cstheme="minorHAnsi"/>
          <w:color w:val="auto"/>
          <w:sz w:val="24"/>
        </w:rPr>
        <w:t xml:space="preserve">Mladá Boleslav, </w:t>
      </w:r>
      <w:r w:rsidR="007237BF">
        <w:rPr>
          <w:rFonts w:asciiTheme="minorHAnsi" w:hAnsiTheme="minorHAnsi" w:cstheme="minorHAnsi"/>
          <w:color w:val="auto"/>
          <w:sz w:val="24"/>
        </w:rPr>
        <w:t>7. 5. </w:t>
      </w:r>
      <w:r w:rsidRPr="002872A6">
        <w:rPr>
          <w:rFonts w:asciiTheme="minorHAnsi" w:hAnsiTheme="minorHAnsi" w:cstheme="minorHAnsi"/>
          <w:color w:val="auto"/>
          <w:sz w:val="24"/>
        </w:rPr>
        <w:t>2024</w:t>
      </w:r>
      <w:r w:rsidRPr="002872A6">
        <w:rPr>
          <w:rFonts w:asciiTheme="minorHAnsi" w:hAnsiTheme="minorHAnsi" w:cstheme="minorHAnsi"/>
          <w:color w:val="auto"/>
          <w:sz w:val="24"/>
        </w:rPr>
        <w:tab/>
        <w:t>Petr Litoborský</w:t>
      </w: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Default="00294E20" w:rsidP="00294E20">
      <w:pPr>
        <w:tabs>
          <w:tab w:val="left" w:pos="6237"/>
        </w:tabs>
        <w:suppressAutoHyphens/>
        <w:spacing w:after="0" w:line="360" w:lineRule="auto"/>
        <w:rPr>
          <w:rFonts w:asciiTheme="minorHAnsi" w:hAnsiTheme="minorHAnsi" w:cstheme="minorHAnsi"/>
          <w:color w:val="auto"/>
          <w:sz w:val="24"/>
        </w:rPr>
      </w:pPr>
    </w:p>
    <w:p w:rsidR="00D314B6" w:rsidRDefault="00D314B6" w:rsidP="00294E20">
      <w:pPr>
        <w:tabs>
          <w:tab w:val="left" w:pos="6237"/>
        </w:tabs>
        <w:suppressAutoHyphens/>
        <w:spacing w:after="0" w:line="360" w:lineRule="auto"/>
        <w:rPr>
          <w:rFonts w:asciiTheme="minorHAnsi" w:hAnsiTheme="minorHAnsi" w:cstheme="minorHAnsi"/>
          <w:color w:val="auto"/>
          <w:sz w:val="24"/>
        </w:rPr>
      </w:pPr>
    </w:p>
    <w:p w:rsidR="00D314B6" w:rsidRDefault="00D314B6" w:rsidP="00294E20">
      <w:pPr>
        <w:tabs>
          <w:tab w:val="left" w:pos="6237"/>
        </w:tabs>
        <w:suppressAutoHyphens/>
        <w:spacing w:after="0" w:line="360" w:lineRule="auto"/>
        <w:rPr>
          <w:rFonts w:asciiTheme="minorHAnsi" w:hAnsiTheme="minorHAnsi" w:cstheme="minorHAnsi"/>
          <w:color w:val="auto"/>
          <w:sz w:val="24"/>
        </w:rPr>
      </w:pPr>
    </w:p>
    <w:p w:rsidR="00D314B6" w:rsidRDefault="00D314B6" w:rsidP="00294E20">
      <w:pPr>
        <w:tabs>
          <w:tab w:val="left" w:pos="6237"/>
        </w:tabs>
        <w:suppressAutoHyphens/>
        <w:spacing w:after="0" w:line="360" w:lineRule="auto"/>
        <w:rPr>
          <w:rFonts w:asciiTheme="minorHAnsi" w:hAnsiTheme="minorHAnsi" w:cstheme="minorHAnsi"/>
          <w:color w:val="auto"/>
          <w:sz w:val="24"/>
        </w:rPr>
      </w:pPr>
    </w:p>
    <w:p w:rsidR="00D314B6" w:rsidRDefault="00D314B6" w:rsidP="00294E20">
      <w:pPr>
        <w:tabs>
          <w:tab w:val="left" w:pos="6237"/>
        </w:tabs>
        <w:suppressAutoHyphens/>
        <w:spacing w:after="0" w:line="360" w:lineRule="auto"/>
        <w:rPr>
          <w:rFonts w:asciiTheme="minorHAnsi" w:hAnsiTheme="minorHAnsi" w:cstheme="minorHAnsi"/>
          <w:color w:val="auto"/>
          <w:sz w:val="24"/>
        </w:rPr>
      </w:pPr>
    </w:p>
    <w:p w:rsidR="00D314B6" w:rsidRDefault="00D314B6" w:rsidP="00294E20">
      <w:pPr>
        <w:tabs>
          <w:tab w:val="left" w:pos="6237"/>
        </w:tabs>
        <w:suppressAutoHyphens/>
        <w:spacing w:after="0" w:line="360" w:lineRule="auto"/>
        <w:rPr>
          <w:rFonts w:asciiTheme="minorHAnsi" w:hAnsiTheme="minorHAnsi" w:cstheme="minorHAnsi"/>
          <w:color w:val="auto"/>
          <w:sz w:val="24"/>
        </w:rPr>
      </w:pPr>
    </w:p>
    <w:p w:rsidR="00D314B6" w:rsidRPr="002872A6" w:rsidRDefault="00D314B6"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294E20" w:rsidRPr="002872A6" w:rsidRDefault="00294E20" w:rsidP="00294E20">
      <w:pPr>
        <w:tabs>
          <w:tab w:val="left" w:pos="6237"/>
        </w:tabs>
        <w:suppressAutoHyphens/>
        <w:spacing w:after="0" w:line="360" w:lineRule="auto"/>
        <w:rPr>
          <w:rFonts w:asciiTheme="minorHAnsi" w:hAnsiTheme="minorHAnsi" w:cstheme="minorHAnsi"/>
          <w:b/>
          <w:color w:val="auto"/>
          <w:sz w:val="24"/>
        </w:rPr>
      </w:pPr>
      <w:r w:rsidRPr="002872A6">
        <w:rPr>
          <w:rFonts w:asciiTheme="minorHAnsi" w:hAnsiTheme="minorHAnsi" w:cstheme="minorHAnsi"/>
          <w:b/>
          <w:color w:val="auto"/>
          <w:sz w:val="24"/>
        </w:rPr>
        <w:t>Poděkování</w:t>
      </w:r>
    </w:p>
    <w:p w:rsidR="00294E20" w:rsidRPr="002872A6" w:rsidRDefault="00294E20" w:rsidP="00294E20">
      <w:pPr>
        <w:tabs>
          <w:tab w:val="left" w:pos="6237"/>
        </w:tabs>
        <w:suppressAutoHyphens/>
        <w:spacing w:after="0" w:line="360" w:lineRule="auto"/>
        <w:rPr>
          <w:rFonts w:asciiTheme="minorHAnsi" w:hAnsiTheme="minorHAnsi" w:cstheme="minorHAnsi"/>
          <w:color w:val="auto"/>
          <w:sz w:val="24"/>
        </w:rPr>
      </w:pPr>
    </w:p>
    <w:p w:rsidR="00D35D69" w:rsidRDefault="00D35D69" w:rsidP="00D35D69">
      <w:pPr>
        <w:tabs>
          <w:tab w:val="left" w:pos="6237"/>
        </w:tabs>
        <w:suppressAutoHyphens/>
        <w:spacing w:after="0" w:line="360" w:lineRule="auto"/>
        <w:ind w:firstLine="709"/>
        <w:jc w:val="both"/>
        <w:rPr>
          <w:rFonts w:cstheme="minorHAnsi"/>
          <w:sz w:val="24"/>
        </w:rPr>
      </w:pPr>
      <w:r>
        <w:rPr>
          <w:rFonts w:cstheme="minorHAnsi"/>
          <w:sz w:val="24"/>
        </w:rPr>
        <w:t>Rád bych tímto poděkoval vedoucímu mé absolventské práce PharmDr</w:t>
      </w:r>
      <w:r w:rsidR="00844BA1">
        <w:rPr>
          <w:rFonts w:cstheme="minorHAnsi"/>
          <w:sz w:val="24"/>
        </w:rPr>
        <w:t>.</w:t>
      </w:r>
      <w:r>
        <w:rPr>
          <w:rFonts w:cstheme="minorHAnsi"/>
          <w:sz w:val="24"/>
        </w:rPr>
        <w:t> Tomášovi Bajtošovi, MBA, za vedení, cenné rady a p</w:t>
      </w:r>
      <w:r w:rsidR="00D314B6">
        <w:rPr>
          <w:rFonts w:cstheme="minorHAnsi"/>
          <w:sz w:val="24"/>
        </w:rPr>
        <w:t>řipomínky při psan</w:t>
      </w:r>
      <w:r w:rsidR="008E6757">
        <w:rPr>
          <w:rFonts w:cstheme="minorHAnsi"/>
          <w:sz w:val="24"/>
        </w:rPr>
        <w:t>í</w:t>
      </w:r>
      <w:r w:rsidR="00D314B6">
        <w:rPr>
          <w:rFonts w:cstheme="minorHAnsi"/>
          <w:sz w:val="24"/>
        </w:rPr>
        <w:t xml:space="preserve"> této práce, a především za jeho ochotu být vedoucím mé práce.</w:t>
      </w:r>
    </w:p>
    <w:bookmarkStart w:id="1" w:name="_Toc163647358" w:displacedByCustomXml="next"/>
    <w:bookmarkEnd w:id="1" w:displacedByCustomXml="next"/>
    <w:bookmarkStart w:id="2" w:name="_Toc163759350" w:displacedByCustomXml="next"/>
    <w:bookmarkEnd w:id="2" w:displacedByCustomXml="next"/>
    <w:bookmarkStart w:id="3" w:name="_Toc164078816" w:displacedByCustomXml="next"/>
    <w:bookmarkEnd w:id="3" w:displacedByCustomXml="next"/>
    <w:bookmarkStart w:id="4" w:name="_Toc165990621" w:displacedByCustomXml="next"/>
    <w:sdt>
      <w:sdtPr>
        <w:rPr>
          <w:rFonts w:asciiTheme="minorHAnsi" w:eastAsia="Calibri" w:hAnsiTheme="minorHAnsi" w:cstheme="minorHAnsi"/>
          <w:color w:val="auto"/>
          <w:sz w:val="22"/>
          <w:szCs w:val="22"/>
          <w:lang w:eastAsia="en-US"/>
        </w:rPr>
        <w:id w:val="1853909489"/>
        <w:docPartObj>
          <w:docPartGallery w:val="Table of Contents"/>
          <w:docPartUnique/>
        </w:docPartObj>
      </w:sdtPr>
      <w:sdtEndPr/>
      <w:sdtContent>
        <w:p w:rsidR="00294E20" w:rsidRPr="002872A6" w:rsidRDefault="00294E20" w:rsidP="00294E20">
          <w:pPr>
            <w:pStyle w:val="Nadpisobsahu"/>
            <w:numPr>
              <w:ilvl w:val="0"/>
              <w:numId w:val="0"/>
            </w:numPr>
            <w:spacing w:before="0" w:line="360" w:lineRule="auto"/>
            <w:rPr>
              <w:rFonts w:asciiTheme="minorHAnsi" w:hAnsiTheme="minorHAnsi" w:cstheme="minorHAnsi"/>
              <w:color w:val="auto"/>
            </w:rPr>
          </w:pPr>
          <w:r w:rsidRPr="002872A6">
            <w:rPr>
              <w:rFonts w:asciiTheme="minorHAnsi" w:hAnsiTheme="minorHAnsi" w:cstheme="minorHAnsi"/>
              <w:b/>
              <w:color w:val="auto"/>
            </w:rPr>
            <w:t>Obsah</w:t>
          </w:r>
          <w:bookmarkEnd w:id="4"/>
        </w:p>
        <w:p w:rsidR="00DE538F" w:rsidRDefault="00294E20">
          <w:pPr>
            <w:pStyle w:val="Obsah1"/>
            <w:tabs>
              <w:tab w:val="right" w:leader="dot" w:pos="8493"/>
            </w:tabs>
            <w:rPr>
              <w:rFonts w:asciiTheme="minorHAnsi" w:eastAsiaTheme="minorEastAsia" w:hAnsiTheme="minorHAnsi"/>
              <w:noProof/>
              <w:color w:val="auto"/>
              <w:lang w:eastAsia="cs-CZ"/>
            </w:rPr>
          </w:pPr>
          <w:r w:rsidRPr="002872A6">
            <w:rPr>
              <w:rFonts w:asciiTheme="minorHAnsi" w:hAnsiTheme="minorHAnsi" w:cstheme="minorHAnsi"/>
              <w:color w:val="auto"/>
            </w:rPr>
            <w:fldChar w:fldCharType="begin"/>
          </w:r>
          <w:r w:rsidRPr="002872A6">
            <w:rPr>
              <w:rFonts w:asciiTheme="minorHAnsi" w:hAnsiTheme="minorHAnsi" w:cstheme="minorHAnsi"/>
              <w:color w:val="auto"/>
            </w:rPr>
            <w:instrText>TOC \z \o "1-3" \u \h</w:instrText>
          </w:r>
          <w:r w:rsidRPr="002872A6">
            <w:rPr>
              <w:rFonts w:asciiTheme="minorHAnsi" w:hAnsiTheme="minorHAnsi" w:cstheme="minorHAnsi"/>
              <w:color w:val="auto"/>
            </w:rPr>
            <w:fldChar w:fldCharType="separate"/>
          </w:r>
          <w:hyperlink w:anchor="_Toc165990621" w:history="1">
            <w:r w:rsidR="00DE538F" w:rsidRPr="00F00F9A">
              <w:rPr>
                <w:rStyle w:val="Hypertextovodkaz"/>
                <w:rFonts w:cstheme="minorHAnsi"/>
                <w:b/>
                <w:noProof/>
              </w:rPr>
              <w:t>Obsah</w:t>
            </w:r>
            <w:r w:rsidR="00DE538F">
              <w:rPr>
                <w:noProof/>
                <w:webHidden/>
              </w:rPr>
              <w:tab/>
            </w:r>
            <w:r w:rsidR="00DE538F">
              <w:rPr>
                <w:noProof/>
                <w:webHidden/>
              </w:rPr>
              <w:fldChar w:fldCharType="begin"/>
            </w:r>
            <w:r w:rsidR="00DE538F">
              <w:rPr>
                <w:noProof/>
                <w:webHidden/>
              </w:rPr>
              <w:instrText xml:space="preserve"> PAGEREF _Toc165990621 \h </w:instrText>
            </w:r>
            <w:r w:rsidR="00DE538F">
              <w:rPr>
                <w:noProof/>
                <w:webHidden/>
              </w:rPr>
            </w:r>
            <w:r w:rsidR="00DE538F">
              <w:rPr>
                <w:noProof/>
                <w:webHidden/>
              </w:rPr>
              <w:fldChar w:fldCharType="separate"/>
            </w:r>
            <w:r w:rsidR="00273075">
              <w:rPr>
                <w:noProof/>
                <w:webHidden/>
              </w:rPr>
              <w:t>4</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22" w:history="1">
            <w:r w:rsidR="00DE538F" w:rsidRPr="00F00F9A">
              <w:rPr>
                <w:rStyle w:val="Hypertextovodkaz"/>
                <w:rFonts w:cstheme="minorHAnsi"/>
                <w:b/>
                <w:noProof/>
              </w:rPr>
              <w:t>Úvod</w:t>
            </w:r>
            <w:r w:rsidR="00DE538F">
              <w:rPr>
                <w:noProof/>
                <w:webHidden/>
              </w:rPr>
              <w:tab/>
            </w:r>
            <w:r w:rsidR="00DE538F">
              <w:rPr>
                <w:noProof/>
                <w:webHidden/>
              </w:rPr>
              <w:fldChar w:fldCharType="begin"/>
            </w:r>
            <w:r w:rsidR="00DE538F">
              <w:rPr>
                <w:noProof/>
                <w:webHidden/>
              </w:rPr>
              <w:instrText xml:space="preserve"> PAGEREF _Toc165990622 \h </w:instrText>
            </w:r>
            <w:r w:rsidR="00DE538F">
              <w:rPr>
                <w:noProof/>
                <w:webHidden/>
              </w:rPr>
            </w:r>
            <w:r w:rsidR="00DE538F">
              <w:rPr>
                <w:noProof/>
                <w:webHidden/>
              </w:rPr>
              <w:fldChar w:fldCharType="separate"/>
            </w:r>
            <w:r w:rsidR="00273075">
              <w:rPr>
                <w:noProof/>
                <w:webHidden/>
              </w:rPr>
              <w:t>6</w:t>
            </w:r>
            <w:r w:rsidR="00DE538F">
              <w:rPr>
                <w:noProof/>
                <w:webHidden/>
              </w:rPr>
              <w:fldChar w:fldCharType="end"/>
            </w:r>
          </w:hyperlink>
        </w:p>
        <w:p w:rsidR="00DE538F" w:rsidRDefault="00143A07">
          <w:pPr>
            <w:pStyle w:val="Obsah1"/>
            <w:tabs>
              <w:tab w:val="left" w:pos="660"/>
              <w:tab w:val="right" w:leader="dot" w:pos="8493"/>
            </w:tabs>
            <w:rPr>
              <w:rFonts w:asciiTheme="minorHAnsi" w:eastAsiaTheme="minorEastAsia" w:hAnsiTheme="minorHAnsi"/>
              <w:noProof/>
              <w:color w:val="auto"/>
              <w:lang w:eastAsia="cs-CZ"/>
            </w:rPr>
          </w:pPr>
          <w:hyperlink w:anchor="_Toc165990623" w:history="1">
            <w:r w:rsidR="00DE538F" w:rsidRPr="00F00F9A">
              <w:rPr>
                <w:rStyle w:val="Hypertextovodkaz"/>
                <w:rFonts w:cstheme="minorHAnsi"/>
                <w:b/>
                <w:noProof/>
              </w:rPr>
              <w:t>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Cíl</w:t>
            </w:r>
            <w:r w:rsidR="00DE538F" w:rsidRPr="00F00F9A">
              <w:rPr>
                <w:rStyle w:val="Hypertextovodkaz"/>
                <w:rFonts w:cstheme="minorHAnsi"/>
                <w:noProof/>
              </w:rPr>
              <w:t xml:space="preserve"> </w:t>
            </w:r>
            <w:r w:rsidR="00DE538F" w:rsidRPr="00F00F9A">
              <w:rPr>
                <w:rStyle w:val="Hypertextovodkaz"/>
                <w:rFonts w:cstheme="minorHAnsi"/>
                <w:b/>
                <w:noProof/>
              </w:rPr>
              <w:t>práce</w:t>
            </w:r>
            <w:r w:rsidR="00DE538F">
              <w:rPr>
                <w:noProof/>
                <w:webHidden/>
              </w:rPr>
              <w:tab/>
            </w:r>
            <w:r w:rsidR="00DE538F">
              <w:rPr>
                <w:noProof/>
                <w:webHidden/>
              </w:rPr>
              <w:fldChar w:fldCharType="begin"/>
            </w:r>
            <w:r w:rsidR="00DE538F">
              <w:rPr>
                <w:noProof/>
                <w:webHidden/>
              </w:rPr>
              <w:instrText xml:space="preserve"> PAGEREF _Toc165990623 \h </w:instrText>
            </w:r>
            <w:r w:rsidR="00DE538F">
              <w:rPr>
                <w:noProof/>
                <w:webHidden/>
              </w:rPr>
            </w:r>
            <w:r w:rsidR="00DE538F">
              <w:rPr>
                <w:noProof/>
                <w:webHidden/>
              </w:rPr>
              <w:fldChar w:fldCharType="separate"/>
            </w:r>
            <w:r w:rsidR="00273075">
              <w:rPr>
                <w:noProof/>
                <w:webHidden/>
              </w:rPr>
              <w:t>7</w:t>
            </w:r>
            <w:r w:rsidR="00DE538F">
              <w:rPr>
                <w:noProof/>
                <w:webHidden/>
              </w:rPr>
              <w:fldChar w:fldCharType="end"/>
            </w:r>
          </w:hyperlink>
        </w:p>
        <w:p w:rsidR="00DE538F" w:rsidRDefault="00143A07">
          <w:pPr>
            <w:pStyle w:val="Obsah1"/>
            <w:tabs>
              <w:tab w:val="left" w:pos="660"/>
              <w:tab w:val="right" w:leader="dot" w:pos="8493"/>
            </w:tabs>
            <w:rPr>
              <w:rFonts w:asciiTheme="minorHAnsi" w:eastAsiaTheme="minorEastAsia" w:hAnsiTheme="minorHAnsi"/>
              <w:noProof/>
              <w:color w:val="auto"/>
              <w:lang w:eastAsia="cs-CZ"/>
            </w:rPr>
          </w:pPr>
          <w:hyperlink w:anchor="_Toc165990624" w:history="1">
            <w:r w:rsidR="00DE538F" w:rsidRPr="00F00F9A">
              <w:rPr>
                <w:rStyle w:val="Hypertextovodkaz"/>
                <w:rFonts w:cstheme="minorHAnsi"/>
                <w:b/>
                <w:noProof/>
              </w:rPr>
              <w:t>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Teoretická část</w:t>
            </w:r>
            <w:r w:rsidR="00DE538F">
              <w:rPr>
                <w:noProof/>
                <w:webHidden/>
              </w:rPr>
              <w:tab/>
            </w:r>
            <w:r w:rsidR="00DE538F">
              <w:rPr>
                <w:noProof/>
                <w:webHidden/>
              </w:rPr>
              <w:fldChar w:fldCharType="begin"/>
            </w:r>
            <w:r w:rsidR="00DE538F">
              <w:rPr>
                <w:noProof/>
                <w:webHidden/>
              </w:rPr>
              <w:instrText xml:space="preserve"> PAGEREF _Toc165990624 \h </w:instrText>
            </w:r>
            <w:r w:rsidR="00DE538F">
              <w:rPr>
                <w:noProof/>
                <w:webHidden/>
              </w:rPr>
            </w:r>
            <w:r w:rsidR="00DE538F">
              <w:rPr>
                <w:noProof/>
                <w:webHidden/>
              </w:rPr>
              <w:fldChar w:fldCharType="separate"/>
            </w:r>
            <w:r w:rsidR="00273075">
              <w:rPr>
                <w:noProof/>
                <w:webHidden/>
              </w:rPr>
              <w:t>8</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25" w:history="1">
            <w:r w:rsidR="00DE538F" w:rsidRPr="00F00F9A">
              <w:rPr>
                <w:rStyle w:val="Hypertextovodkaz"/>
                <w:rFonts w:cstheme="minorHAnsi"/>
                <w:b/>
                <w:noProof/>
              </w:rPr>
              <w:t>2.1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Pojmy</w:t>
            </w:r>
            <w:r w:rsidR="00DE538F">
              <w:rPr>
                <w:noProof/>
                <w:webHidden/>
              </w:rPr>
              <w:tab/>
            </w:r>
            <w:r w:rsidR="00DE538F">
              <w:rPr>
                <w:noProof/>
                <w:webHidden/>
              </w:rPr>
              <w:fldChar w:fldCharType="begin"/>
            </w:r>
            <w:r w:rsidR="00DE538F">
              <w:rPr>
                <w:noProof/>
                <w:webHidden/>
              </w:rPr>
              <w:instrText xml:space="preserve"> PAGEREF _Toc165990625 \h </w:instrText>
            </w:r>
            <w:r w:rsidR="00DE538F">
              <w:rPr>
                <w:noProof/>
                <w:webHidden/>
              </w:rPr>
            </w:r>
            <w:r w:rsidR="00DE538F">
              <w:rPr>
                <w:noProof/>
                <w:webHidden/>
              </w:rPr>
              <w:fldChar w:fldCharType="separate"/>
            </w:r>
            <w:r w:rsidR="00273075">
              <w:rPr>
                <w:noProof/>
                <w:webHidden/>
              </w:rPr>
              <w:t>8</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26" w:history="1">
            <w:r w:rsidR="00DE538F" w:rsidRPr="00F00F9A">
              <w:rPr>
                <w:rStyle w:val="Hypertextovodkaz"/>
                <w:rFonts w:cstheme="minorHAnsi"/>
                <w:b/>
                <w:noProof/>
              </w:rPr>
              <w:t>2.2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Státní ústav pro kontrolu léčiv</w:t>
            </w:r>
            <w:r w:rsidR="00DE538F">
              <w:rPr>
                <w:noProof/>
                <w:webHidden/>
              </w:rPr>
              <w:tab/>
            </w:r>
            <w:r w:rsidR="00DE538F">
              <w:rPr>
                <w:noProof/>
                <w:webHidden/>
              </w:rPr>
              <w:fldChar w:fldCharType="begin"/>
            </w:r>
            <w:r w:rsidR="00DE538F">
              <w:rPr>
                <w:noProof/>
                <w:webHidden/>
              </w:rPr>
              <w:instrText xml:space="preserve"> PAGEREF _Toc165990626 \h </w:instrText>
            </w:r>
            <w:r w:rsidR="00DE538F">
              <w:rPr>
                <w:noProof/>
                <w:webHidden/>
              </w:rPr>
            </w:r>
            <w:r w:rsidR="00DE538F">
              <w:rPr>
                <w:noProof/>
                <w:webHidden/>
              </w:rPr>
              <w:fldChar w:fldCharType="separate"/>
            </w:r>
            <w:r w:rsidR="00273075">
              <w:rPr>
                <w:noProof/>
                <w:webHidden/>
              </w:rPr>
              <w:t>12</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27" w:history="1">
            <w:r w:rsidR="00DE538F" w:rsidRPr="00F00F9A">
              <w:rPr>
                <w:rStyle w:val="Hypertextovodkaz"/>
                <w:rFonts w:cstheme="minorHAnsi"/>
                <w:b/>
                <w:noProof/>
              </w:rPr>
              <w:t>2.2.1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Vymezení v systému státní správy</w:t>
            </w:r>
            <w:r w:rsidR="00DE538F">
              <w:rPr>
                <w:noProof/>
                <w:webHidden/>
              </w:rPr>
              <w:tab/>
            </w:r>
            <w:r w:rsidR="00DE538F">
              <w:rPr>
                <w:noProof/>
                <w:webHidden/>
              </w:rPr>
              <w:fldChar w:fldCharType="begin"/>
            </w:r>
            <w:r w:rsidR="00DE538F">
              <w:rPr>
                <w:noProof/>
                <w:webHidden/>
              </w:rPr>
              <w:instrText xml:space="preserve"> PAGEREF _Toc165990627 \h </w:instrText>
            </w:r>
            <w:r w:rsidR="00DE538F">
              <w:rPr>
                <w:noProof/>
                <w:webHidden/>
              </w:rPr>
            </w:r>
            <w:r w:rsidR="00DE538F">
              <w:rPr>
                <w:noProof/>
                <w:webHidden/>
              </w:rPr>
              <w:fldChar w:fldCharType="separate"/>
            </w:r>
            <w:r w:rsidR="00273075">
              <w:rPr>
                <w:noProof/>
                <w:webHidden/>
              </w:rPr>
              <w:t>12</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28" w:history="1">
            <w:r w:rsidR="00DE538F" w:rsidRPr="00F00F9A">
              <w:rPr>
                <w:rStyle w:val="Hypertextovodkaz"/>
                <w:rFonts w:cstheme="minorHAnsi"/>
                <w:b/>
                <w:noProof/>
              </w:rPr>
              <w:t>2.2.2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Vznik</w:t>
            </w:r>
            <w:r w:rsidR="00DE538F">
              <w:rPr>
                <w:noProof/>
                <w:webHidden/>
              </w:rPr>
              <w:tab/>
            </w:r>
            <w:r w:rsidR="00DE538F">
              <w:rPr>
                <w:noProof/>
                <w:webHidden/>
              </w:rPr>
              <w:fldChar w:fldCharType="begin"/>
            </w:r>
            <w:r w:rsidR="00DE538F">
              <w:rPr>
                <w:noProof/>
                <w:webHidden/>
              </w:rPr>
              <w:instrText xml:space="preserve"> PAGEREF _Toc165990628 \h </w:instrText>
            </w:r>
            <w:r w:rsidR="00DE538F">
              <w:rPr>
                <w:noProof/>
                <w:webHidden/>
              </w:rPr>
            </w:r>
            <w:r w:rsidR="00DE538F">
              <w:rPr>
                <w:noProof/>
                <w:webHidden/>
              </w:rPr>
              <w:fldChar w:fldCharType="separate"/>
            </w:r>
            <w:r w:rsidR="00273075">
              <w:rPr>
                <w:noProof/>
                <w:webHidden/>
              </w:rPr>
              <w:t>12</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29" w:history="1">
            <w:r w:rsidR="00DE538F" w:rsidRPr="00F00F9A">
              <w:rPr>
                <w:rStyle w:val="Hypertextovodkaz"/>
                <w:rFonts w:cstheme="minorHAnsi"/>
                <w:b/>
                <w:noProof/>
              </w:rPr>
              <w:t>2.2.3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Organizační struktura</w:t>
            </w:r>
            <w:r w:rsidR="00DE538F">
              <w:rPr>
                <w:noProof/>
                <w:webHidden/>
              </w:rPr>
              <w:tab/>
            </w:r>
            <w:r w:rsidR="00DE538F">
              <w:rPr>
                <w:noProof/>
                <w:webHidden/>
              </w:rPr>
              <w:fldChar w:fldCharType="begin"/>
            </w:r>
            <w:r w:rsidR="00DE538F">
              <w:rPr>
                <w:noProof/>
                <w:webHidden/>
              </w:rPr>
              <w:instrText xml:space="preserve"> PAGEREF _Toc165990629 \h </w:instrText>
            </w:r>
            <w:r w:rsidR="00DE538F">
              <w:rPr>
                <w:noProof/>
                <w:webHidden/>
              </w:rPr>
            </w:r>
            <w:r w:rsidR="00DE538F">
              <w:rPr>
                <w:noProof/>
                <w:webHidden/>
              </w:rPr>
              <w:fldChar w:fldCharType="separate"/>
            </w:r>
            <w:r w:rsidR="00273075">
              <w:rPr>
                <w:noProof/>
                <w:webHidden/>
              </w:rPr>
              <w:t>14</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0" w:history="1">
            <w:r w:rsidR="00DE538F" w:rsidRPr="00F00F9A">
              <w:rPr>
                <w:rStyle w:val="Hypertextovodkaz"/>
                <w:rFonts w:cstheme="minorHAnsi"/>
                <w:b/>
                <w:noProof/>
              </w:rPr>
              <w:t>2.2.4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Spolupráce</w:t>
            </w:r>
            <w:r w:rsidR="00DE538F">
              <w:rPr>
                <w:noProof/>
                <w:webHidden/>
              </w:rPr>
              <w:tab/>
            </w:r>
            <w:r w:rsidR="00DE538F">
              <w:rPr>
                <w:noProof/>
                <w:webHidden/>
              </w:rPr>
              <w:fldChar w:fldCharType="begin"/>
            </w:r>
            <w:r w:rsidR="00DE538F">
              <w:rPr>
                <w:noProof/>
                <w:webHidden/>
              </w:rPr>
              <w:instrText xml:space="preserve"> PAGEREF _Toc165990630 \h </w:instrText>
            </w:r>
            <w:r w:rsidR="00DE538F">
              <w:rPr>
                <w:noProof/>
                <w:webHidden/>
              </w:rPr>
            </w:r>
            <w:r w:rsidR="00DE538F">
              <w:rPr>
                <w:noProof/>
                <w:webHidden/>
              </w:rPr>
              <w:fldChar w:fldCharType="separate"/>
            </w:r>
            <w:r w:rsidR="00273075">
              <w:rPr>
                <w:noProof/>
                <w:webHidden/>
              </w:rPr>
              <w:t>14</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1" w:history="1">
            <w:r w:rsidR="00DE538F" w:rsidRPr="00F00F9A">
              <w:rPr>
                <w:rStyle w:val="Hypertextovodkaz"/>
                <w:rFonts w:cstheme="minorHAnsi"/>
                <w:b/>
                <w:noProof/>
              </w:rPr>
              <w:t>2.2.5</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Činnosti</w:t>
            </w:r>
            <w:r w:rsidR="00DE538F">
              <w:rPr>
                <w:noProof/>
                <w:webHidden/>
              </w:rPr>
              <w:tab/>
            </w:r>
            <w:r w:rsidR="00DE538F">
              <w:rPr>
                <w:noProof/>
                <w:webHidden/>
              </w:rPr>
              <w:fldChar w:fldCharType="begin"/>
            </w:r>
            <w:r w:rsidR="00DE538F">
              <w:rPr>
                <w:noProof/>
                <w:webHidden/>
              </w:rPr>
              <w:instrText xml:space="preserve"> PAGEREF _Toc165990631 \h </w:instrText>
            </w:r>
            <w:r w:rsidR="00DE538F">
              <w:rPr>
                <w:noProof/>
                <w:webHidden/>
              </w:rPr>
            </w:r>
            <w:r w:rsidR="00DE538F">
              <w:rPr>
                <w:noProof/>
                <w:webHidden/>
              </w:rPr>
              <w:fldChar w:fldCharType="separate"/>
            </w:r>
            <w:r w:rsidR="00273075">
              <w:rPr>
                <w:noProof/>
                <w:webHidden/>
              </w:rPr>
              <w:t>15</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32" w:history="1">
            <w:r w:rsidR="00DE538F" w:rsidRPr="00F00F9A">
              <w:rPr>
                <w:rStyle w:val="Hypertextovodkaz"/>
                <w:rFonts w:cstheme="minorHAnsi"/>
                <w:b/>
                <w:noProof/>
              </w:rPr>
              <w:t>2.3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Odborné činnosti</w:t>
            </w:r>
            <w:r w:rsidR="00DE538F">
              <w:rPr>
                <w:noProof/>
                <w:webHidden/>
              </w:rPr>
              <w:tab/>
            </w:r>
            <w:r w:rsidR="00DE538F">
              <w:rPr>
                <w:noProof/>
                <w:webHidden/>
              </w:rPr>
              <w:fldChar w:fldCharType="begin"/>
            </w:r>
            <w:r w:rsidR="00DE538F">
              <w:rPr>
                <w:noProof/>
                <w:webHidden/>
              </w:rPr>
              <w:instrText xml:space="preserve"> PAGEREF _Toc165990632 \h </w:instrText>
            </w:r>
            <w:r w:rsidR="00DE538F">
              <w:rPr>
                <w:noProof/>
                <w:webHidden/>
              </w:rPr>
            </w:r>
            <w:r w:rsidR="00DE538F">
              <w:rPr>
                <w:noProof/>
                <w:webHidden/>
              </w:rPr>
              <w:fldChar w:fldCharType="separate"/>
            </w:r>
            <w:r w:rsidR="00273075">
              <w:rPr>
                <w:noProof/>
                <w:webHidden/>
              </w:rPr>
              <w:t>16</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3" w:history="1">
            <w:r w:rsidR="00DE538F" w:rsidRPr="00F00F9A">
              <w:rPr>
                <w:rStyle w:val="Hypertextovodkaz"/>
                <w:rFonts w:cstheme="minorHAnsi"/>
                <w:b/>
                <w:noProof/>
              </w:rPr>
              <w:t>2.3.1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Sekce registrací</w:t>
            </w:r>
            <w:r w:rsidR="00DE538F">
              <w:rPr>
                <w:noProof/>
                <w:webHidden/>
              </w:rPr>
              <w:tab/>
            </w:r>
            <w:r w:rsidR="00DE538F">
              <w:rPr>
                <w:noProof/>
                <w:webHidden/>
              </w:rPr>
              <w:fldChar w:fldCharType="begin"/>
            </w:r>
            <w:r w:rsidR="00DE538F">
              <w:rPr>
                <w:noProof/>
                <w:webHidden/>
              </w:rPr>
              <w:instrText xml:space="preserve"> PAGEREF _Toc165990633 \h </w:instrText>
            </w:r>
            <w:r w:rsidR="00DE538F">
              <w:rPr>
                <w:noProof/>
                <w:webHidden/>
              </w:rPr>
            </w:r>
            <w:r w:rsidR="00DE538F">
              <w:rPr>
                <w:noProof/>
                <w:webHidden/>
              </w:rPr>
              <w:fldChar w:fldCharType="separate"/>
            </w:r>
            <w:r w:rsidR="00273075">
              <w:rPr>
                <w:noProof/>
                <w:webHidden/>
              </w:rPr>
              <w:t>16</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4" w:history="1">
            <w:r w:rsidR="00DE538F" w:rsidRPr="00F00F9A">
              <w:rPr>
                <w:rStyle w:val="Hypertextovodkaz"/>
                <w:rFonts w:cstheme="minorHAnsi"/>
                <w:b/>
                <w:noProof/>
              </w:rPr>
              <w:t>2.3.2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Sekce dozoru</w:t>
            </w:r>
            <w:r w:rsidR="00DE538F">
              <w:rPr>
                <w:noProof/>
                <w:webHidden/>
              </w:rPr>
              <w:tab/>
            </w:r>
            <w:r w:rsidR="00DE538F">
              <w:rPr>
                <w:noProof/>
                <w:webHidden/>
              </w:rPr>
              <w:fldChar w:fldCharType="begin"/>
            </w:r>
            <w:r w:rsidR="00DE538F">
              <w:rPr>
                <w:noProof/>
                <w:webHidden/>
              </w:rPr>
              <w:instrText xml:space="preserve"> PAGEREF _Toc165990634 \h </w:instrText>
            </w:r>
            <w:r w:rsidR="00DE538F">
              <w:rPr>
                <w:noProof/>
                <w:webHidden/>
              </w:rPr>
            </w:r>
            <w:r w:rsidR="00DE538F">
              <w:rPr>
                <w:noProof/>
                <w:webHidden/>
              </w:rPr>
              <w:fldChar w:fldCharType="separate"/>
            </w:r>
            <w:r w:rsidR="00273075">
              <w:rPr>
                <w:noProof/>
                <w:webHidden/>
              </w:rPr>
              <w:t>17</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5" w:history="1">
            <w:r w:rsidR="00DE538F" w:rsidRPr="00F00F9A">
              <w:rPr>
                <w:rStyle w:val="Hypertextovodkaz"/>
                <w:rFonts w:cstheme="minorHAnsi"/>
                <w:b/>
                <w:noProof/>
              </w:rPr>
              <w:t>2.3.3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Sekce cenové a úhradové regulace</w:t>
            </w:r>
            <w:r w:rsidR="00DE538F">
              <w:rPr>
                <w:noProof/>
                <w:webHidden/>
              </w:rPr>
              <w:tab/>
            </w:r>
            <w:r w:rsidR="00DE538F">
              <w:rPr>
                <w:noProof/>
                <w:webHidden/>
              </w:rPr>
              <w:fldChar w:fldCharType="begin"/>
            </w:r>
            <w:r w:rsidR="00DE538F">
              <w:rPr>
                <w:noProof/>
                <w:webHidden/>
              </w:rPr>
              <w:instrText xml:space="preserve"> PAGEREF _Toc165990635 \h </w:instrText>
            </w:r>
            <w:r w:rsidR="00DE538F">
              <w:rPr>
                <w:noProof/>
                <w:webHidden/>
              </w:rPr>
            </w:r>
            <w:r w:rsidR="00DE538F">
              <w:rPr>
                <w:noProof/>
                <w:webHidden/>
              </w:rPr>
              <w:fldChar w:fldCharType="separate"/>
            </w:r>
            <w:r w:rsidR="00273075">
              <w:rPr>
                <w:noProof/>
                <w:webHidden/>
              </w:rPr>
              <w:t>19</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6" w:history="1">
            <w:r w:rsidR="00DE538F" w:rsidRPr="00F00F9A">
              <w:rPr>
                <w:rStyle w:val="Hypertextovodkaz"/>
                <w:rFonts w:cstheme="minorHAnsi"/>
                <w:b/>
                <w:noProof/>
              </w:rPr>
              <w:t>2.3.4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Sekce regulace zdravotnických prostředků</w:t>
            </w:r>
            <w:r w:rsidR="00DE538F">
              <w:rPr>
                <w:noProof/>
                <w:webHidden/>
              </w:rPr>
              <w:tab/>
            </w:r>
            <w:r w:rsidR="00DE538F">
              <w:rPr>
                <w:noProof/>
                <w:webHidden/>
              </w:rPr>
              <w:fldChar w:fldCharType="begin"/>
            </w:r>
            <w:r w:rsidR="00DE538F">
              <w:rPr>
                <w:noProof/>
                <w:webHidden/>
              </w:rPr>
              <w:instrText xml:space="preserve"> PAGEREF _Toc165990636 \h </w:instrText>
            </w:r>
            <w:r w:rsidR="00DE538F">
              <w:rPr>
                <w:noProof/>
                <w:webHidden/>
              </w:rPr>
            </w:r>
            <w:r w:rsidR="00DE538F">
              <w:rPr>
                <w:noProof/>
                <w:webHidden/>
              </w:rPr>
              <w:fldChar w:fldCharType="separate"/>
            </w:r>
            <w:r w:rsidR="00273075">
              <w:rPr>
                <w:noProof/>
                <w:webHidden/>
              </w:rPr>
              <w:t>20</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7" w:history="1">
            <w:r w:rsidR="00DE538F" w:rsidRPr="00F00F9A">
              <w:rPr>
                <w:rStyle w:val="Hypertextovodkaz"/>
                <w:rFonts w:cstheme="minorHAnsi"/>
                <w:b/>
                <w:noProof/>
              </w:rPr>
              <w:t>2.3.5</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Sekce Podpory ředitele a managementu</w:t>
            </w:r>
            <w:r w:rsidR="00DE538F">
              <w:rPr>
                <w:noProof/>
                <w:webHidden/>
              </w:rPr>
              <w:tab/>
            </w:r>
            <w:r w:rsidR="00DE538F">
              <w:rPr>
                <w:noProof/>
                <w:webHidden/>
              </w:rPr>
              <w:fldChar w:fldCharType="begin"/>
            </w:r>
            <w:r w:rsidR="00DE538F">
              <w:rPr>
                <w:noProof/>
                <w:webHidden/>
              </w:rPr>
              <w:instrText xml:space="preserve"> PAGEREF _Toc165990637 \h </w:instrText>
            </w:r>
            <w:r w:rsidR="00DE538F">
              <w:rPr>
                <w:noProof/>
                <w:webHidden/>
              </w:rPr>
            </w:r>
            <w:r w:rsidR="00DE538F">
              <w:rPr>
                <w:noProof/>
                <w:webHidden/>
              </w:rPr>
              <w:fldChar w:fldCharType="separate"/>
            </w:r>
            <w:r w:rsidR="00273075">
              <w:rPr>
                <w:noProof/>
                <w:webHidden/>
              </w:rPr>
              <w:t>22</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38" w:history="1">
            <w:r w:rsidR="00DE538F" w:rsidRPr="00F00F9A">
              <w:rPr>
                <w:rStyle w:val="Hypertextovodkaz"/>
                <w:rFonts w:cstheme="minorHAnsi"/>
                <w:b/>
                <w:noProof/>
              </w:rPr>
              <w:t>2.3.6</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Informace pro veřejnost</w:t>
            </w:r>
            <w:r w:rsidR="00DE538F">
              <w:rPr>
                <w:noProof/>
                <w:webHidden/>
              </w:rPr>
              <w:tab/>
            </w:r>
            <w:r w:rsidR="00DE538F">
              <w:rPr>
                <w:noProof/>
                <w:webHidden/>
              </w:rPr>
              <w:fldChar w:fldCharType="begin"/>
            </w:r>
            <w:r w:rsidR="00DE538F">
              <w:rPr>
                <w:noProof/>
                <w:webHidden/>
              </w:rPr>
              <w:instrText xml:space="preserve"> PAGEREF _Toc165990638 \h </w:instrText>
            </w:r>
            <w:r w:rsidR="00DE538F">
              <w:rPr>
                <w:noProof/>
                <w:webHidden/>
              </w:rPr>
            </w:r>
            <w:r w:rsidR="00DE538F">
              <w:rPr>
                <w:noProof/>
                <w:webHidden/>
              </w:rPr>
              <w:fldChar w:fldCharType="separate"/>
            </w:r>
            <w:r w:rsidR="00273075">
              <w:rPr>
                <w:noProof/>
                <w:webHidden/>
              </w:rPr>
              <w:t>22</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39" w:history="1">
            <w:r w:rsidR="00DE538F" w:rsidRPr="00F00F9A">
              <w:rPr>
                <w:rStyle w:val="Hypertextovodkaz"/>
                <w:rFonts w:cstheme="minorHAnsi"/>
                <w:b/>
                <w:noProof/>
              </w:rPr>
              <w:t>2.4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Kontrola lékáren</w:t>
            </w:r>
            <w:r w:rsidR="00DE538F">
              <w:rPr>
                <w:noProof/>
                <w:webHidden/>
              </w:rPr>
              <w:tab/>
            </w:r>
            <w:r w:rsidR="00DE538F">
              <w:rPr>
                <w:noProof/>
                <w:webHidden/>
              </w:rPr>
              <w:fldChar w:fldCharType="begin"/>
            </w:r>
            <w:r w:rsidR="00DE538F">
              <w:rPr>
                <w:noProof/>
                <w:webHidden/>
              </w:rPr>
              <w:instrText xml:space="preserve"> PAGEREF _Toc165990639 \h </w:instrText>
            </w:r>
            <w:r w:rsidR="00DE538F">
              <w:rPr>
                <w:noProof/>
                <w:webHidden/>
              </w:rPr>
            </w:r>
            <w:r w:rsidR="00DE538F">
              <w:rPr>
                <w:noProof/>
                <w:webHidden/>
              </w:rPr>
              <w:fldChar w:fldCharType="separate"/>
            </w:r>
            <w:r w:rsidR="00273075">
              <w:rPr>
                <w:noProof/>
                <w:webHidden/>
              </w:rPr>
              <w:t>23</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0" w:history="1">
            <w:r w:rsidR="00DE538F" w:rsidRPr="00F00F9A">
              <w:rPr>
                <w:rStyle w:val="Hypertextovodkaz"/>
                <w:rFonts w:cstheme="minorHAnsi"/>
                <w:b/>
                <w:noProof/>
              </w:rPr>
              <w:t>2.4.1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Personál lékárny</w:t>
            </w:r>
            <w:r w:rsidR="00DE538F">
              <w:rPr>
                <w:noProof/>
                <w:webHidden/>
              </w:rPr>
              <w:tab/>
            </w:r>
            <w:r w:rsidR="00DE538F">
              <w:rPr>
                <w:noProof/>
                <w:webHidden/>
              </w:rPr>
              <w:fldChar w:fldCharType="begin"/>
            </w:r>
            <w:r w:rsidR="00DE538F">
              <w:rPr>
                <w:noProof/>
                <w:webHidden/>
              </w:rPr>
              <w:instrText xml:space="preserve"> PAGEREF _Toc165990640 \h </w:instrText>
            </w:r>
            <w:r w:rsidR="00DE538F">
              <w:rPr>
                <w:noProof/>
                <w:webHidden/>
              </w:rPr>
            </w:r>
            <w:r w:rsidR="00DE538F">
              <w:rPr>
                <w:noProof/>
                <w:webHidden/>
              </w:rPr>
              <w:fldChar w:fldCharType="separate"/>
            </w:r>
            <w:r w:rsidR="00273075">
              <w:rPr>
                <w:noProof/>
                <w:webHidden/>
              </w:rPr>
              <w:t>24</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1" w:history="1">
            <w:r w:rsidR="00DE538F" w:rsidRPr="00F00F9A">
              <w:rPr>
                <w:rStyle w:val="Hypertextovodkaz"/>
                <w:rFonts w:cstheme="minorHAnsi"/>
                <w:b/>
                <w:noProof/>
              </w:rPr>
              <w:t>2.4.2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Technické a věcné vybavení lékárny</w:t>
            </w:r>
            <w:r w:rsidR="00DE538F">
              <w:rPr>
                <w:noProof/>
                <w:webHidden/>
              </w:rPr>
              <w:tab/>
            </w:r>
            <w:r w:rsidR="00DE538F">
              <w:rPr>
                <w:noProof/>
                <w:webHidden/>
              </w:rPr>
              <w:fldChar w:fldCharType="begin"/>
            </w:r>
            <w:r w:rsidR="00DE538F">
              <w:rPr>
                <w:noProof/>
                <w:webHidden/>
              </w:rPr>
              <w:instrText xml:space="preserve"> PAGEREF _Toc165990641 \h </w:instrText>
            </w:r>
            <w:r w:rsidR="00DE538F">
              <w:rPr>
                <w:noProof/>
                <w:webHidden/>
              </w:rPr>
            </w:r>
            <w:r w:rsidR="00DE538F">
              <w:rPr>
                <w:noProof/>
                <w:webHidden/>
              </w:rPr>
              <w:fldChar w:fldCharType="separate"/>
            </w:r>
            <w:r w:rsidR="00273075">
              <w:rPr>
                <w:noProof/>
                <w:webHidden/>
              </w:rPr>
              <w:t>25</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42" w:history="1">
            <w:r w:rsidR="00DE538F" w:rsidRPr="00F00F9A">
              <w:rPr>
                <w:rStyle w:val="Hypertextovodkaz"/>
                <w:rFonts w:cstheme="minorHAnsi"/>
                <w:b/>
                <w:noProof/>
              </w:rPr>
              <w:t>2.5</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Přehled právní předpisů</w:t>
            </w:r>
            <w:r w:rsidR="00DE538F">
              <w:rPr>
                <w:noProof/>
                <w:webHidden/>
              </w:rPr>
              <w:tab/>
            </w:r>
            <w:r w:rsidR="00DE538F">
              <w:rPr>
                <w:noProof/>
                <w:webHidden/>
              </w:rPr>
              <w:fldChar w:fldCharType="begin"/>
            </w:r>
            <w:r w:rsidR="00DE538F">
              <w:rPr>
                <w:noProof/>
                <w:webHidden/>
              </w:rPr>
              <w:instrText xml:space="preserve"> PAGEREF _Toc165990642 \h </w:instrText>
            </w:r>
            <w:r w:rsidR="00DE538F">
              <w:rPr>
                <w:noProof/>
                <w:webHidden/>
              </w:rPr>
            </w:r>
            <w:r w:rsidR="00DE538F">
              <w:rPr>
                <w:noProof/>
                <w:webHidden/>
              </w:rPr>
              <w:fldChar w:fldCharType="separate"/>
            </w:r>
            <w:r w:rsidR="00273075">
              <w:rPr>
                <w:noProof/>
                <w:webHidden/>
              </w:rPr>
              <w:t>26</w:t>
            </w:r>
            <w:r w:rsidR="00DE538F">
              <w:rPr>
                <w:noProof/>
                <w:webHidden/>
              </w:rPr>
              <w:fldChar w:fldCharType="end"/>
            </w:r>
          </w:hyperlink>
        </w:p>
        <w:p w:rsidR="00DE538F" w:rsidRDefault="00143A07">
          <w:pPr>
            <w:pStyle w:val="Obsah1"/>
            <w:tabs>
              <w:tab w:val="left" w:pos="660"/>
              <w:tab w:val="right" w:leader="dot" w:pos="8493"/>
            </w:tabs>
            <w:rPr>
              <w:rFonts w:asciiTheme="minorHAnsi" w:eastAsiaTheme="minorEastAsia" w:hAnsiTheme="minorHAnsi"/>
              <w:noProof/>
              <w:color w:val="auto"/>
              <w:lang w:eastAsia="cs-CZ"/>
            </w:rPr>
          </w:pPr>
          <w:hyperlink w:anchor="_Toc165990643" w:history="1">
            <w:r w:rsidR="00DE538F" w:rsidRPr="00F00F9A">
              <w:rPr>
                <w:rStyle w:val="Hypertextovodkaz"/>
                <w:rFonts w:cstheme="minorHAnsi"/>
                <w:b/>
                <w:noProof/>
              </w:rPr>
              <w:t>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Praktická část</w:t>
            </w:r>
            <w:r w:rsidR="00DE538F">
              <w:rPr>
                <w:noProof/>
                <w:webHidden/>
              </w:rPr>
              <w:tab/>
            </w:r>
            <w:r w:rsidR="00DE538F">
              <w:rPr>
                <w:noProof/>
                <w:webHidden/>
              </w:rPr>
              <w:fldChar w:fldCharType="begin"/>
            </w:r>
            <w:r w:rsidR="00DE538F">
              <w:rPr>
                <w:noProof/>
                <w:webHidden/>
              </w:rPr>
              <w:instrText xml:space="preserve"> PAGEREF _Toc165990643 \h </w:instrText>
            </w:r>
            <w:r w:rsidR="00DE538F">
              <w:rPr>
                <w:noProof/>
                <w:webHidden/>
              </w:rPr>
            </w:r>
            <w:r w:rsidR="00DE538F">
              <w:rPr>
                <w:noProof/>
                <w:webHidden/>
              </w:rPr>
              <w:fldChar w:fldCharType="separate"/>
            </w:r>
            <w:r w:rsidR="00273075">
              <w:rPr>
                <w:noProof/>
                <w:webHidden/>
              </w:rPr>
              <w:t>29</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44" w:history="1">
            <w:r w:rsidR="00DE538F" w:rsidRPr="00F00F9A">
              <w:rPr>
                <w:rStyle w:val="Hypertextovodkaz"/>
                <w:rFonts w:cstheme="minorHAnsi"/>
                <w:b/>
                <w:noProof/>
              </w:rPr>
              <w:t>3.1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Data o kontrole lékáren</w:t>
            </w:r>
            <w:r w:rsidR="00DE538F">
              <w:rPr>
                <w:noProof/>
                <w:webHidden/>
              </w:rPr>
              <w:tab/>
            </w:r>
            <w:r w:rsidR="00DE538F">
              <w:rPr>
                <w:noProof/>
                <w:webHidden/>
              </w:rPr>
              <w:fldChar w:fldCharType="begin"/>
            </w:r>
            <w:r w:rsidR="00DE538F">
              <w:rPr>
                <w:noProof/>
                <w:webHidden/>
              </w:rPr>
              <w:instrText xml:space="preserve"> PAGEREF _Toc165990644 \h </w:instrText>
            </w:r>
            <w:r w:rsidR="00DE538F">
              <w:rPr>
                <w:noProof/>
                <w:webHidden/>
              </w:rPr>
            </w:r>
            <w:r w:rsidR="00DE538F">
              <w:rPr>
                <w:noProof/>
                <w:webHidden/>
              </w:rPr>
              <w:fldChar w:fldCharType="separate"/>
            </w:r>
            <w:r w:rsidR="00273075">
              <w:rPr>
                <w:noProof/>
                <w:webHidden/>
              </w:rPr>
              <w:t>29</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5" w:history="1">
            <w:r w:rsidR="00DE538F" w:rsidRPr="00F00F9A">
              <w:rPr>
                <w:rStyle w:val="Hypertextovodkaz"/>
                <w:rFonts w:cstheme="minorHAnsi"/>
                <w:b/>
                <w:noProof/>
              </w:rPr>
              <w:t>3.1.1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2012</w:t>
            </w:r>
            <w:r w:rsidR="00DE538F">
              <w:rPr>
                <w:noProof/>
                <w:webHidden/>
              </w:rPr>
              <w:tab/>
            </w:r>
            <w:r w:rsidR="00DE538F">
              <w:rPr>
                <w:noProof/>
                <w:webHidden/>
              </w:rPr>
              <w:fldChar w:fldCharType="begin"/>
            </w:r>
            <w:r w:rsidR="00DE538F">
              <w:rPr>
                <w:noProof/>
                <w:webHidden/>
              </w:rPr>
              <w:instrText xml:space="preserve"> PAGEREF _Toc165990645 \h </w:instrText>
            </w:r>
            <w:r w:rsidR="00DE538F">
              <w:rPr>
                <w:noProof/>
                <w:webHidden/>
              </w:rPr>
            </w:r>
            <w:r w:rsidR="00DE538F">
              <w:rPr>
                <w:noProof/>
                <w:webHidden/>
              </w:rPr>
              <w:fldChar w:fldCharType="separate"/>
            </w:r>
            <w:r w:rsidR="00273075">
              <w:rPr>
                <w:noProof/>
                <w:webHidden/>
              </w:rPr>
              <w:t>29</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6" w:history="1">
            <w:r w:rsidR="00DE538F" w:rsidRPr="00F00F9A">
              <w:rPr>
                <w:rStyle w:val="Hypertextovodkaz"/>
                <w:rFonts w:cstheme="minorHAnsi"/>
                <w:b/>
                <w:noProof/>
              </w:rPr>
              <w:t>3.1.2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2013</w:t>
            </w:r>
            <w:r w:rsidR="00DE538F">
              <w:rPr>
                <w:noProof/>
                <w:webHidden/>
              </w:rPr>
              <w:tab/>
            </w:r>
            <w:r w:rsidR="00DE538F">
              <w:rPr>
                <w:noProof/>
                <w:webHidden/>
              </w:rPr>
              <w:fldChar w:fldCharType="begin"/>
            </w:r>
            <w:r w:rsidR="00DE538F">
              <w:rPr>
                <w:noProof/>
                <w:webHidden/>
              </w:rPr>
              <w:instrText xml:space="preserve"> PAGEREF _Toc165990646 \h </w:instrText>
            </w:r>
            <w:r w:rsidR="00DE538F">
              <w:rPr>
                <w:noProof/>
                <w:webHidden/>
              </w:rPr>
            </w:r>
            <w:r w:rsidR="00DE538F">
              <w:rPr>
                <w:noProof/>
                <w:webHidden/>
              </w:rPr>
              <w:fldChar w:fldCharType="separate"/>
            </w:r>
            <w:r w:rsidR="00273075">
              <w:rPr>
                <w:noProof/>
                <w:webHidden/>
              </w:rPr>
              <w:t>31</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7" w:history="1">
            <w:r w:rsidR="00DE538F" w:rsidRPr="00F00F9A">
              <w:rPr>
                <w:rStyle w:val="Hypertextovodkaz"/>
                <w:rFonts w:cstheme="minorHAnsi"/>
                <w:b/>
                <w:noProof/>
              </w:rPr>
              <w:t>3.1.3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2014</w:t>
            </w:r>
            <w:r w:rsidR="00DE538F">
              <w:rPr>
                <w:noProof/>
                <w:webHidden/>
              </w:rPr>
              <w:tab/>
            </w:r>
            <w:r w:rsidR="00DE538F">
              <w:rPr>
                <w:noProof/>
                <w:webHidden/>
              </w:rPr>
              <w:fldChar w:fldCharType="begin"/>
            </w:r>
            <w:r w:rsidR="00DE538F">
              <w:rPr>
                <w:noProof/>
                <w:webHidden/>
              </w:rPr>
              <w:instrText xml:space="preserve"> PAGEREF _Toc165990647 \h </w:instrText>
            </w:r>
            <w:r w:rsidR="00DE538F">
              <w:rPr>
                <w:noProof/>
                <w:webHidden/>
              </w:rPr>
            </w:r>
            <w:r w:rsidR="00DE538F">
              <w:rPr>
                <w:noProof/>
                <w:webHidden/>
              </w:rPr>
              <w:fldChar w:fldCharType="separate"/>
            </w:r>
            <w:r w:rsidR="00273075">
              <w:rPr>
                <w:noProof/>
                <w:webHidden/>
              </w:rPr>
              <w:t>33</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8" w:history="1">
            <w:r w:rsidR="00DE538F" w:rsidRPr="00F00F9A">
              <w:rPr>
                <w:rStyle w:val="Hypertextovodkaz"/>
                <w:rFonts w:cstheme="minorHAnsi"/>
                <w:b/>
                <w:noProof/>
              </w:rPr>
              <w:t>3.1.4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2015</w:t>
            </w:r>
            <w:r w:rsidR="00DE538F">
              <w:rPr>
                <w:noProof/>
                <w:webHidden/>
              </w:rPr>
              <w:tab/>
            </w:r>
            <w:r w:rsidR="00DE538F">
              <w:rPr>
                <w:noProof/>
                <w:webHidden/>
              </w:rPr>
              <w:fldChar w:fldCharType="begin"/>
            </w:r>
            <w:r w:rsidR="00DE538F">
              <w:rPr>
                <w:noProof/>
                <w:webHidden/>
              </w:rPr>
              <w:instrText xml:space="preserve"> PAGEREF _Toc165990648 \h </w:instrText>
            </w:r>
            <w:r w:rsidR="00DE538F">
              <w:rPr>
                <w:noProof/>
                <w:webHidden/>
              </w:rPr>
            </w:r>
            <w:r w:rsidR="00DE538F">
              <w:rPr>
                <w:noProof/>
                <w:webHidden/>
              </w:rPr>
              <w:fldChar w:fldCharType="separate"/>
            </w:r>
            <w:r w:rsidR="00273075">
              <w:rPr>
                <w:noProof/>
                <w:webHidden/>
              </w:rPr>
              <w:t>35</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49" w:history="1">
            <w:r w:rsidR="00DE538F" w:rsidRPr="00F00F9A">
              <w:rPr>
                <w:rStyle w:val="Hypertextovodkaz"/>
                <w:rFonts w:cstheme="minorHAnsi"/>
                <w:b/>
                <w:noProof/>
              </w:rPr>
              <w:t>3.1.5</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2016</w:t>
            </w:r>
            <w:r w:rsidR="00DE538F">
              <w:rPr>
                <w:noProof/>
                <w:webHidden/>
              </w:rPr>
              <w:tab/>
            </w:r>
            <w:r w:rsidR="00DE538F">
              <w:rPr>
                <w:noProof/>
                <w:webHidden/>
              </w:rPr>
              <w:fldChar w:fldCharType="begin"/>
            </w:r>
            <w:r w:rsidR="00DE538F">
              <w:rPr>
                <w:noProof/>
                <w:webHidden/>
              </w:rPr>
              <w:instrText xml:space="preserve"> PAGEREF _Toc165990649 \h </w:instrText>
            </w:r>
            <w:r w:rsidR="00DE538F">
              <w:rPr>
                <w:noProof/>
                <w:webHidden/>
              </w:rPr>
            </w:r>
            <w:r w:rsidR="00DE538F">
              <w:rPr>
                <w:noProof/>
                <w:webHidden/>
              </w:rPr>
              <w:fldChar w:fldCharType="separate"/>
            </w:r>
            <w:r w:rsidR="00273075">
              <w:rPr>
                <w:noProof/>
                <w:webHidden/>
              </w:rPr>
              <w:t>37</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0" w:history="1">
            <w:r w:rsidR="00DE538F" w:rsidRPr="00F00F9A">
              <w:rPr>
                <w:rStyle w:val="Hypertextovodkaz"/>
                <w:rFonts w:cstheme="minorHAnsi"/>
                <w:b/>
                <w:noProof/>
              </w:rPr>
              <w:t>3.1.6</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2017</w:t>
            </w:r>
            <w:r w:rsidR="00DE538F">
              <w:rPr>
                <w:noProof/>
                <w:webHidden/>
              </w:rPr>
              <w:tab/>
            </w:r>
            <w:r w:rsidR="00DE538F">
              <w:rPr>
                <w:noProof/>
                <w:webHidden/>
              </w:rPr>
              <w:fldChar w:fldCharType="begin"/>
            </w:r>
            <w:r w:rsidR="00DE538F">
              <w:rPr>
                <w:noProof/>
                <w:webHidden/>
              </w:rPr>
              <w:instrText xml:space="preserve"> PAGEREF _Toc165990650 \h </w:instrText>
            </w:r>
            <w:r w:rsidR="00DE538F">
              <w:rPr>
                <w:noProof/>
                <w:webHidden/>
              </w:rPr>
            </w:r>
            <w:r w:rsidR="00DE538F">
              <w:rPr>
                <w:noProof/>
                <w:webHidden/>
              </w:rPr>
              <w:fldChar w:fldCharType="separate"/>
            </w:r>
            <w:r w:rsidR="00273075">
              <w:rPr>
                <w:noProof/>
                <w:webHidden/>
              </w:rPr>
              <w:t>39</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1" w:history="1">
            <w:r w:rsidR="00DE538F" w:rsidRPr="00F00F9A">
              <w:rPr>
                <w:rStyle w:val="Hypertextovodkaz"/>
                <w:rFonts w:cstheme="minorHAnsi"/>
                <w:b/>
                <w:noProof/>
              </w:rPr>
              <w:t>3.1.7</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2018</w:t>
            </w:r>
            <w:r w:rsidR="00DE538F">
              <w:rPr>
                <w:noProof/>
                <w:webHidden/>
              </w:rPr>
              <w:tab/>
            </w:r>
            <w:r w:rsidR="00DE538F">
              <w:rPr>
                <w:noProof/>
                <w:webHidden/>
              </w:rPr>
              <w:fldChar w:fldCharType="begin"/>
            </w:r>
            <w:r w:rsidR="00DE538F">
              <w:rPr>
                <w:noProof/>
                <w:webHidden/>
              </w:rPr>
              <w:instrText xml:space="preserve"> PAGEREF _Toc165990651 \h </w:instrText>
            </w:r>
            <w:r w:rsidR="00DE538F">
              <w:rPr>
                <w:noProof/>
                <w:webHidden/>
              </w:rPr>
            </w:r>
            <w:r w:rsidR="00DE538F">
              <w:rPr>
                <w:noProof/>
                <w:webHidden/>
              </w:rPr>
              <w:fldChar w:fldCharType="separate"/>
            </w:r>
            <w:r w:rsidR="00273075">
              <w:rPr>
                <w:noProof/>
                <w:webHidden/>
              </w:rPr>
              <w:t>42</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2" w:history="1">
            <w:r w:rsidR="00DE538F" w:rsidRPr="00F00F9A">
              <w:rPr>
                <w:rStyle w:val="Hypertextovodkaz"/>
                <w:rFonts w:cstheme="minorHAnsi"/>
                <w:b/>
                <w:noProof/>
              </w:rPr>
              <w:t>3.1.8</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2019</w:t>
            </w:r>
            <w:r w:rsidR="00DE538F">
              <w:rPr>
                <w:noProof/>
                <w:webHidden/>
              </w:rPr>
              <w:tab/>
            </w:r>
            <w:r w:rsidR="00DE538F">
              <w:rPr>
                <w:noProof/>
                <w:webHidden/>
              </w:rPr>
              <w:fldChar w:fldCharType="begin"/>
            </w:r>
            <w:r w:rsidR="00DE538F">
              <w:rPr>
                <w:noProof/>
                <w:webHidden/>
              </w:rPr>
              <w:instrText xml:space="preserve"> PAGEREF _Toc165990652 \h </w:instrText>
            </w:r>
            <w:r w:rsidR="00DE538F">
              <w:rPr>
                <w:noProof/>
                <w:webHidden/>
              </w:rPr>
            </w:r>
            <w:r w:rsidR="00DE538F">
              <w:rPr>
                <w:noProof/>
                <w:webHidden/>
              </w:rPr>
              <w:fldChar w:fldCharType="separate"/>
            </w:r>
            <w:r w:rsidR="00273075">
              <w:rPr>
                <w:noProof/>
                <w:webHidden/>
              </w:rPr>
              <w:t>44</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3" w:history="1">
            <w:r w:rsidR="00DE538F" w:rsidRPr="00F00F9A">
              <w:rPr>
                <w:rStyle w:val="Hypertextovodkaz"/>
                <w:rFonts w:cstheme="minorHAnsi"/>
                <w:b/>
                <w:noProof/>
              </w:rPr>
              <w:t>3.1.9</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2020</w:t>
            </w:r>
            <w:r w:rsidR="00DE538F">
              <w:rPr>
                <w:noProof/>
                <w:webHidden/>
              </w:rPr>
              <w:tab/>
            </w:r>
            <w:r w:rsidR="00DE538F">
              <w:rPr>
                <w:noProof/>
                <w:webHidden/>
              </w:rPr>
              <w:fldChar w:fldCharType="begin"/>
            </w:r>
            <w:r w:rsidR="00DE538F">
              <w:rPr>
                <w:noProof/>
                <w:webHidden/>
              </w:rPr>
              <w:instrText xml:space="preserve"> PAGEREF _Toc165990653 \h </w:instrText>
            </w:r>
            <w:r w:rsidR="00DE538F">
              <w:rPr>
                <w:noProof/>
                <w:webHidden/>
              </w:rPr>
            </w:r>
            <w:r w:rsidR="00DE538F">
              <w:rPr>
                <w:noProof/>
                <w:webHidden/>
              </w:rPr>
              <w:fldChar w:fldCharType="separate"/>
            </w:r>
            <w:r w:rsidR="00273075">
              <w:rPr>
                <w:noProof/>
                <w:webHidden/>
              </w:rPr>
              <w:t>46</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4" w:history="1">
            <w:r w:rsidR="00DE538F" w:rsidRPr="00F00F9A">
              <w:rPr>
                <w:rStyle w:val="Hypertextovodkaz"/>
                <w:rFonts w:cstheme="minorHAnsi"/>
                <w:b/>
                <w:noProof/>
              </w:rPr>
              <w:t>3.1.10</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2021</w:t>
            </w:r>
            <w:r w:rsidR="00DE538F">
              <w:rPr>
                <w:noProof/>
                <w:webHidden/>
              </w:rPr>
              <w:tab/>
            </w:r>
            <w:r w:rsidR="00DE538F">
              <w:rPr>
                <w:noProof/>
                <w:webHidden/>
              </w:rPr>
              <w:fldChar w:fldCharType="begin"/>
            </w:r>
            <w:r w:rsidR="00DE538F">
              <w:rPr>
                <w:noProof/>
                <w:webHidden/>
              </w:rPr>
              <w:instrText xml:space="preserve"> PAGEREF _Toc165990654 \h </w:instrText>
            </w:r>
            <w:r w:rsidR="00DE538F">
              <w:rPr>
                <w:noProof/>
                <w:webHidden/>
              </w:rPr>
            </w:r>
            <w:r w:rsidR="00DE538F">
              <w:rPr>
                <w:noProof/>
                <w:webHidden/>
              </w:rPr>
              <w:fldChar w:fldCharType="separate"/>
            </w:r>
            <w:r w:rsidR="00273075">
              <w:rPr>
                <w:noProof/>
                <w:webHidden/>
              </w:rPr>
              <w:t>48</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5" w:history="1">
            <w:r w:rsidR="00DE538F" w:rsidRPr="00F00F9A">
              <w:rPr>
                <w:rStyle w:val="Hypertextovodkaz"/>
                <w:rFonts w:cstheme="minorHAnsi"/>
                <w:b/>
                <w:noProof/>
              </w:rPr>
              <w:t>3.1.11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Rok 2022</w:t>
            </w:r>
            <w:r w:rsidR="00DE538F">
              <w:rPr>
                <w:noProof/>
                <w:webHidden/>
              </w:rPr>
              <w:tab/>
            </w:r>
            <w:r w:rsidR="00DE538F">
              <w:rPr>
                <w:noProof/>
                <w:webHidden/>
              </w:rPr>
              <w:fldChar w:fldCharType="begin"/>
            </w:r>
            <w:r w:rsidR="00DE538F">
              <w:rPr>
                <w:noProof/>
                <w:webHidden/>
              </w:rPr>
              <w:instrText xml:space="preserve"> PAGEREF _Toc165990655 \h </w:instrText>
            </w:r>
            <w:r w:rsidR="00DE538F">
              <w:rPr>
                <w:noProof/>
                <w:webHidden/>
              </w:rPr>
            </w:r>
            <w:r w:rsidR="00DE538F">
              <w:rPr>
                <w:noProof/>
                <w:webHidden/>
              </w:rPr>
              <w:fldChar w:fldCharType="separate"/>
            </w:r>
            <w:r w:rsidR="00273075">
              <w:rPr>
                <w:noProof/>
                <w:webHidden/>
              </w:rPr>
              <w:t>50</w:t>
            </w:r>
            <w:r w:rsidR="00DE538F">
              <w:rPr>
                <w:noProof/>
                <w:webHidden/>
              </w:rPr>
              <w:fldChar w:fldCharType="end"/>
            </w:r>
          </w:hyperlink>
        </w:p>
        <w:p w:rsidR="00DE538F" w:rsidRDefault="00143A07">
          <w:pPr>
            <w:pStyle w:val="Obsah2"/>
            <w:tabs>
              <w:tab w:val="left" w:pos="880"/>
              <w:tab w:val="right" w:leader="dot" w:pos="8493"/>
            </w:tabs>
            <w:rPr>
              <w:rFonts w:asciiTheme="minorHAnsi" w:eastAsiaTheme="minorEastAsia" w:hAnsiTheme="minorHAnsi"/>
              <w:noProof/>
              <w:color w:val="auto"/>
              <w:lang w:eastAsia="cs-CZ"/>
            </w:rPr>
          </w:pPr>
          <w:hyperlink w:anchor="_Toc165990656" w:history="1">
            <w:r w:rsidR="00DE538F" w:rsidRPr="00F00F9A">
              <w:rPr>
                <w:rStyle w:val="Hypertextovodkaz"/>
                <w:rFonts w:cstheme="minorHAnsi"/>
                <w:b/>
                <w:noProof/>
              </w:rPr>
              <w:t>3.2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Vyhodnocení dat o kontrole lékáren</w:t>
            </w:r>
            <w:r w:rsidR="00DE538F">
              <w:rPr>
                <w:noProof/>
                <w:webHidden/>
              </w:rPr>
              <w:tab/>
            </w:r>
            <w:r w:rsidR="00DE538F">
              <w:rPr>
                <w:noProof/>
                <w:webHidden/>
              </w:rPr>
              <w:fldChar w:fldCharType="begin"/>
            </w:r>
            <w:r w:rsidR="00DE538F">
              <w:rPr>
                <w:noProof/>
                <w:webHidden/>
              </w:rPr>
              <w:instrText xml:space="preserve"> PAGEREF _Toc165990656 \h </w:instrText>
            </w:r>
            <w:r w:rsidR="00DE538F">
              <w:rPr>
                <w:noProof/>
                <w:webHidden/>
              </w:rPr>
            </w:r>
            <w:r w:rsidR="00DE538F">
              <w:rPr>
                <w:noProof/>
                <w:webHidden/>
              </w:rPr>
              <w:fldChar w:fldCharType="separate"/>
            </w:r>
            <w:r w:rsidR="00273075">
              <w:rPr>
                <w:noProof/>
                <w:webHidden/>
              </w:rPr>
              <w:t>53</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7" w:history="1">
            <w:r w:rsidR="00DE538F" w:rsidRPr="00F00F9A">
              <w:rPr>
                <w:rStyle w:val="Hypertextovodkaz"/>
                <w:rFonts w:cstheme="minorHAnsi"/>
                <w:b/>
                <w:noProof/>
              </w:rPr>
              <w:t>3.2.1</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Počty lékáren a odloučených oddělení pro výdej léčivých přípravků a zdravotnických potřeb</w:t>
            </w:r>
            <w:r w:rsidR="00DE538F">
              <w:rPr>
                <w:noProof/>
                <w:webHidden/>
              </w:rPr>
              <w:tab/>
            </w:r>
            <w:r w:rsidR="00DE538F">
              <w:rPr>
                <w:noProof/>
                <w:webHidden/>
              </w:rPr>
              <w:fldChar w:fldCharType="begin"/>
            </w:r>
            <w:r w:rsidR="00DE538F">
              <w:rPr>
                <w:noProof/>
                <w:webHidden/>
              </w:rPr>
              <w:instrText xml:space="preserve"> PAGEREF _Toc165990657 \h </w:instrText>
            </w:r>
            <w:r w:rsidR="00DE538F">
              <w:rPr>
                <w:noProof/>
                <w:webHidden/>
              </w:rPr>
            </w:r>
            <w:r w:rsidR="00DE538F">
              <w:rPr>
                <w:noProof/>
                <w:webHidden/>
              </w:rPr>
              <w:fldChar w:fldCharType="separate"/>
            </w:r>
            <w:r w:rsidR="00273075">
              <w:rPr>
                <w:noProof/>
                <w:webHidden/>
              </w:rPr>
              <w:t>53</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8" w:history="1">
            <w:r w:rsidR="00DE538F" w:rsidRPr="00F00F9A">
              <w:rPr>
                <w:rStyle w:val="Hypertextovodkaz"/>
                <w:rFonts w:cstheme="minorHAnsi"/>
                <w:b/>
                <w:noProof/>
              </w:rPr>
              <w:t>3.2.2</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Kontroly provedené v lékárnách a odloučených oddělení pro výdej léčivých přípravků a zdravotnických potřeb</w:t>
            </w:r>
            <w:r w:rsidR="00DE538F">
              <w:rPr>
                <w:noProof/>
                <w:webHidden/>
              </w:rPr>
              <w:tab/>
            </w:r>
            <w:r w:rsidR="00DE538F">
              <w:rPr>
                <w:noProof/>
                <w:webHidden/>
              </w:rPr>
              <w:fldChar w:fldCharType="begin"/>
            </w:r>
            <w:r w:rsidR="00DE538F">
              <w:rPr>
                <w:noProof/>
                <w:webHidden/>
              </w:rPr>
              <w:instrText xml:space="preserve"> PAGEREF _Toc165990658 \h </w:instrText>
            </w:r>
            <w:r w:rsidR="00DE538F">
              <w:rPr>
                <w:noProof/>
                <w:webHidden/>
              </w:rPr>
            </w:r>
            <w:r w:rsidR="00DE538F">
              <w:rPr>
                <w:noProof/>
                <w:webHidden/>
              </w:rPr>
              <w:fldChar w:fldCharType="separate"/>
            </w:r>
            <w:r w:rsidR="00273075">
              <w:rPr>
                <w:noProof/>
                <w:webHidden/>
              </w:rPr>
              <w:t>54</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59" w:history="1">
            <w:r w:rsidR="00DE538F" w:rsidRPr="00F00F9A">
              <w:rPr>
                <w:rStyle w:val="Hypertextovodkaz"/>
                <w:rFonts w:cstheme="minorHAnsi"/>
                <w:b/>
                <w:noProof/>
              </w:rPr>
              <w:t>3.2.3</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Kontroly provedené k zacházení s návykovými látkami</w:t>
            </w:r>
            <w:r w:rsidR="00DE538F">
              <w:rPr>
                <w:noProof/>
                <w:webHidden/>
              </w:rPr>
              <w:tab/>
            </w:r>
            <w:r w:rsidR="00DE538F">
              <w:rPr>
                <w:noProof/>
                <w:webHidden/>
              </w:rPr>
              <w:fldChar w:fldCharType="begin"/>
            </w:r>
            <w:r w:rsidR="00DE538F">
              <w:rPr>
                <w:noProof/>
                <w:webHidden/>
              </w:rPr>
              <w:instrText xml:space="preserve"> PAGEREF _Toc165990659 \h </w:instrText>
            </w:r>
            <w:r w:rsidR="00DE538F">
              <w:rPr>
                <w:noProof/>
                <w:webHidden/>
              </w:rPr>
            </w:r>
            <w:r w:rsidR="00DE538F">
              <w:rPr>
                <w:noProof/>
                <w:webHidden/>
              </w:rPr>
              <w:fldChar w:fldCharType="separate"/>
            </w:r>
            <w:r w:rsidR="00273075">
              <w:rPr>
                <w:noProof/>
                <w:webHidden/>
              </w:rPr>
              <w:t>58</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60" w:history="1">
            <w:r w:rsidR="00DE538F" w:rsidRPr="00F00F9A">
              <w:rPr>
                <w:rStyle w:val="Hypertextovodkaz"/>
                <w:rFonts w:cstheme="minorHAnsi"/>
                <w:b/>
                <w:noProof/>
              </w:rPr>
              <w:t>3.2.4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Kontroly provedené k cenám a cenové regulaci</w:t>
            </w:r>
            <w:r w:rsidR="00DE538F">
              <w:rPr>
                <w:noProof/>
                <w:webHidden/>
              </w:rPr>
              <w:tab/>
            </w:r>
            <w:r w:rsidR="00DE538F">
              <w:rPr>
                <w:noProof/>
                <w:webHidden/>
              </w:rPr>
              <w:fldChar w:fldCharType="begin"/>
            </w:r>
            <w:r w:rsidR="00DE538F">
              <w:rPr>
                <w:noProof/>
                <w:webHidden/>
              </w:rPr>
              <w:instrText xml:space="preserve"> PAGEREF _Toc165990660 \h </w:instrText>
            </w:r>
            <w:r w:rsidR="00DE538F">
              <w:rPr>
                <w:noProof/>
                <w:webHidden/>
              </w:rPr>
            </w:r>
            <w:r w:rsidR="00DE538F">
              <w:rPr>
                <w:noProof/>
                <w:webHidden/>
              </w:rPr>
              <w:fldChar w:fldCharType="separate"/>
            </w:r>
            <w:r w:rsidR="00273075">
              <w:rPr>
                <w:noProof/>
                <w:webHidden/>
              </w:rPr>
              <w:t>61</w:t>
            </w:r>
            <w:r w:rsidR="00DE538F">
              <w:rPr>
                <w:noProof/>
                <w:webHidden/>
              </w:rPr>
              <w:fldChar w:fldCharType="end"/>
            </w:r>
          </w:hyperlink>
        </w:p>
        <w:p w:rsidR="00DE538F" w:rsidRDefault="00143A07">
          <w:pPr>
            <w:pStyle w:val="Obsah3"/>
            <w:tabs>
              <w:tab w:val="left" w:pos="1100"/>
            </w:tabs>
            <w:rPr>
              <w:rFonts w:asciiTheme="minorHAnsi" w:eastAsiaTheme="minorEastAsia" w:hAnsiTheme="minorHAnsi"/>
              <w:noProof/>
              <w:color w:val="auto"/>
              <w:lang w:eastAsia="cs-CZ"/>
            </w:rPr>
          </w:pPr>
          <w:hyperlink w:anchor="_Toc165990661" w:history="1">
            <w:r w:rsidR="00DE538F" w:rsidRPr="00F00F9A">
              <w:rPr>
                <w:rStyle w:val="Hypertextovodkaz"/>
                <w:rFonts w:cstheme="minorHAnsi"/>
                <w:b/>
                <w:noProof/>
              </w:rPr>
              <w:t>3.2.5</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Kontroly provedené u odebraných vzorků léčivých přípravků</w:t>
            </w:r>
            <w:r w:rsidR="00DE538F">
              <w:rPr>
                <w:noProof/>
                <w:webHidden/>
              </w:rPr>
              <w:tab/>
            </w:r>
            <w:r w:rsidR="00DE538F">
              <w:rPr>
                <w:noProof/>
                <w:webHidden/>
              </w:rPr>
              <w:fldChar w:fldCharType="begin"/>
            </w:r>
            <w:r w:rsidR="00DE538F">
              <w:rPr>
                <w:noProof/>
                <w:webHidden/>
              </w:rPr>
              <w:instrText xml:space="preserve"> PAGEREF _Toc165990661 \h </w:instrText>
            </w:r>
            <w:r w:rsidR="00DE538F">
              <w:rPr>
                <w:noProof/>
                <w:webHidden/>
              </w:rPr>
            </w:r>
            <w:r w:rsidR="00DE538F">
              <w:rPr>
                <w:noProof/>
                <w:webHidden/>
              </w:rPr>
              <w:fldChar w:fldCharType="separate"/>
            </w:r>
            <w:r w:rsidR="00273075">
              <w:rPr>
                <w:noProof/>
                <w:webHidden/>
              </w:rPr>
              <w:t>64</w:t>
            </w:r>
            <w:r w:rsidR="00DE538F">
              <w:rPr>
                <w:noProof/>
                <w:webHidden/>
              </w:rPr>
              <w:fldChar w:fldCharType="end"/>
            </w:r>
          </w:hyperlink>
        </w:p>
        <w:p w:rsidR="00DE538F" w:rsidRDefault="00143A07">
          <w:pPr>
            <w:pStyle w:val="Obsah1"/>
            <w:tabs>
              <w:tab w:val="left" w:pos="660"/>
              <w:tab w:val="right" w:leader="dot" w:pos="8493"/>
            </w:tabs>
            <w:rPr>
              <w:rFonts w:asciiTheme="minorHAnsi" w:eastAsiaTheme="minorEastAsia" w:hAnsiTheme="minorHAnsi"/>
              <w:noProof/>
              <w:color w:val="auto"/>
              <w:lang w:eastAsia="cs-CZ"/>
            </w:rPr>
          </w:pPr>
          <w:hyperlink w:anchor="_Toc165990662" w:history="1">
            <w:r w:rsidR="00DE538F" w:rsidRPr="00F00F9A">
              <w:rPr>
                <w:rStyle w:val="Hypertextovodkaz"/>
                <w:rFonts w:cstheme="minorHAnsi"/>
                <w:b/>
                <w:noProof/>
              </w:rPr>
              <w:t>4</w:t>
            </w:r>
            <w:r w:rsidR="00DE538F">
              <w:rPr>
                <w:rFonts w:asciiTheme="minorHAnsi" w:eastAsiaTheme="minorEastAsia" w:hAnsiTheme="minorHAnsi"/>
                <w:noProof/>
                <w:color w:val="auto"/>
                <w:lang w:eastAsia="cs-CZ"/>
              </w:rPr>
              <w:tab/>
            </w:r>
            <w:r w:rsidR="00DE538F" w:rsidRPr="00F00F9A">
              <w:rPr>
                <w:rStyle w:val="Hypertextovodkaz"/>
                <w:rFonts w:cstheme="minorHAnsi"/>
                <w:b/>
                <w:noProof/>
              </w:rPr>
              <w:t>Diskuse</w:t>
            </w:r>
            <w:r w:rsidR="00DE538F">
              <w:rPr>
                <w:noProof/>
                <w:webHidden/>
              </w:rPr>
              <w:tab/>
            </w:r>
            <w:r w:rsidR="00DE538F">
              <w:rPr>
                <w:noProof/>
                <w:webHidden/>
              </w:rPr>
              <w:fldChar w:fldCharType="begin"/>
            </w:r>
            <w:r w:rsidR="00DE538F">
              <w:rPr>
                <w:noProof/>
                <w:webHidden/>
              </w:rPr>
              <w:instrText xml:space="preserve"> PAGEREF _Toc165990662 \h </w:instrText>
            </w:r>
            <w:r w:rsidR="00DE538F">
              <w:rPr>
                <w:noProof/>
                <w:webHidden/>
              </w:rPr>
            </w:r>
            <w:r w:rsidR="00DE538F">
              <w:rPr>
                <w:noProof/>
                <w:webHidden/>
              </w:rPr>
              <w:fldChar w:fldCharType="separate"/>
            </w:r>
            <w:r w:rsidR="00273075">
              <w:rPr>
                <w:noProof/>
                <w:webHidden/>
              </w:rPr>
              <w:t>67</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63" w:history="1">
            <w:r w:rsidR="00DE538F" w:rsidRPr="00F00F9A">
              <w:rPr>
                <w:rStyle w:val="Hypertextovodkaz"/>
                <w:rFonts w:cstheme="minorHAnsi"/>
                <w:b/>
                <w:noProof/>
              </w:rPr>
              <w:t>Závěr</w:t>
            </w:r>
            <w:r w:rsidR="00DE538F">
              <w:rPr>
                <w:noProof/>
                <w:webHidden/>
              </w:rPr>
              <w:tab/>
            </w:r>
            <w:r w:rsidR="00DE538F">
              <w:rPr>
                <w:noProof/>
                <w:webHidden/>
              </w:rPr>
              <w:fldChar w:fldCharType="begin"/>
            </w:r>
            <w:r w:rsidR="00DE538F">
              <w:rPr>
                <w:noProof/>
                <w:webHidden/>
              </w:rPr>
              <w:instrText xml:space="preserve"> PAGEREF _Toc165990663 \h </w:instrText>
            </w:r>
            <w:r w:rsidR="00DE538F">
              <w:rPr>
                <w:noProof/>
                <w:webHidden/>
              </w:rPr>
            </w:r>
            <w:r w:rsidR="00DE538F">
              <w:rPr>
                <w:noProof/>
                <w:webHidden/>
              </w:rPr>
              <w:fldChar w:fldCharType="separate"/>
            </w:r>
            <w:r w:rsidR="00273075">
              <w:rPr>
                <w:noProof/>
                <w:webHidden/>
              </w:rPr>
              <w:t>70</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64" w:history="1">
            <w:r w:rsidR="00DE538F" w:rsidRPr="00F00F9A">
              <w:rPr>
                <w:rStyle w:val="Hypertextovodkaz"/>
                <w:rFonts w:cstheme="minorHAnsi"/>
                <w:b/>
                <w:noProof/>
                <w:lang w:val="en-US"/>
              </w:rPr>
              <w:t>Summary</w:t>
            </w:r>
            <w:r w:rsidR="00DE538F">
              <w:rPr>
                <w:noProof/>
                <w:webHidden/>
              </w:rPr>
              <w:tab/>
            </w:r>
            <w:r w:rsidR="00DE538F">
              <w:rPr>
                <w:noProof/>
                <w:webHidden/>
              </w:rPr>
              <w:fldChar w:fldCharType="begin"/>
            </w:r>
            <w:r w:rsidR="00DE538F">
              <w:rPr>
                <w:noProof/>
                <w:webHidden/>
              </w:rPr>
              <w:instrText xml:space="preserve"> PAGEREF _Toc165990664 \h </w:instrText>
            </w:r>
            <w:r w:rsidR="00DE538F">
              <w:rPr>
                <w:noProof/>
                <w:webHidden/>
              </w:rPr>
            </w:r>
            <w:r w:rsidR="00DE538F">
              <w:rPr>
                <w:noProof/>
                <w:webHidden/>
              </w:rPr>
              <w:fldChar w:fldCharType="separate"/>
            </w:r>
            <w:r w:rsidR="00273075">
              <w:rPr>
                <w:noProof/>
                <w:webHidden/>
              </w:rPr>
              <w:t>72</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65" w:history="1">
            <w:r w:rsidR="00DE538F" w:rsidRPr="00F00F9A">
              <w:rPr>
                <w:rStyle w:val="Hypertextovodkaz"/>
                <w:rFonts w:cstheme="minorHAnsi"/>
                <w:b/>
                <w:noProof/>
              </w:rPr>
              <w:t>Seznam zkratek</w:t>
            </w:r>
            <w:r w:rsidR="00DE538F">
              <w:rPr>
                <w:noProof/>
                <w:webHidden/>
              </w:rPr>
              <w:tab/>
            </w:r>
            <w:r w:rsidR="00DE538F">
              <w:rPr>
                <w:noProof/>
                <w:webHidden/>
              </w:rPr>
              <w:fldChar w:fldCharType="begin"/>
            </w:r>
            <w:r w:rsidR="00DE538F">
              <w:rPr>
                <w:noProof/>
                <w:webHidden/>
              </w:rPr>
              <w:instrText xml:space="preserve"> PAGEREF _Toc165990665 \h </w:instrText>
            </w:r>
            <w:r w:rsidR="00DE538F">
              <w:rPr>
                <w:noProof/>
                <w:webHidden/>
              </w:rPr>
            </w:r>
            <w:r w:rsidR="00DE538F">
              <w:rPr>
                <w:noProof/>
                <w:webHidden/>
              </w:rPr>
              <w:fldChar w:fldCharType="separate"/>
            </w:r>
            <w:r w:rsidR="00273075">
              <w:rPr>
                <w:noProof/>
                <w:webHidden/>
              </w:rPr>
              <w:t>73</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66" w:history="1">
            <w:r w:rsidR="00DE538F" w:rsidRPr="00F00F9A">
              <w:rPr>
                <w:rStyle w:val="Hypertextovodkaz"/>
                <w:rFonts w:cstheme="minorHAnsi"/>
                <w:b/>
                <w:noProof/>
              </w:rPr>
              <w:t>Bibliografie</w:t>
            </w:r>
            <w:r w:rsidR="00DE538F">
              <w:rPr>
                <w:noProof/>
                <w:webHidden/>
              </w:rPr>
              <w:tab/>
            </w:r>
            <w:r w:rsidR="00DE538F">
              <w:rPr>
                <w:noProof/>
                <w:webHidden/>
              </w:rPr>
              <w:fldChar w:fldCharType="begin"/>
            </w:r>
            <w:r w:rsidR="00DE538F">
              <w:rPr>
                <w:noProof/>
                <w:webHidden/>
              </w:rPr>
              <w:instrText xml:space="preserve"> PAGEREF _Toc165990666 \h </w:instrText>
            </w:r>
            <w:r w:rsidR="00DE538F">
              <w:rPr>
                <w:noProof/>
                <w:webHidden/>
              </w:rPr>
            </w:r>
            <w:r w:rsidR="00DE538F">
              <w:rPr>
                <w:noProof/>
                <w:webHidden/>
              </w:rPr>
              <w:fldChar w:fldCharType="separate"/>
            </w:r>
            <w:r w:rsidR="00273075">
              <w:rPr>
                <w:noProof/>
                <w:webHidden/>
              </w:rPr>
              <w:t>74</w:t>
            </w:r>
            <w:r w:rsidR="00DE538F">
              <w:rPr>
                <w:noProof/>
                <w:webHidden/>
              </w:rPr>
              <w:fldChar w:fldCharType="end"/>
            </w:r>
          </w:hyperlink>
        </w:p>
        <w:p w:rsidR="00DE538F" w:rsidRDefault="00143A07">
          <w:pPr>
            <w:pStyle w:val="Obsah1"/>
            <w:tabs>
              <w:tab w:val="right" w:leader="dot" w:pos="8493"/>
            </w:tabs>
            <w:rPr>
              <w:rFonts w:asciiTheme="minorHAnsi" w:eastAsiaTheme="minorEastAsia" w:hAnsiTheme="minorHAnsi"/>
              <w:noProof/>
              <w:color w:val="auto"/>
              <w:lang w:eastAsia="cs-CZ"/>
            </w:rPr>
          </w:pPr>
          <w:hyperlink w:anchor="_Toc165990667" w:history="1">
            <w:r w:rsidR="00DE538F" w:rsidRPr="00F00F9A">
              <w:rPr>
                <w:rStyle w:val="Hypertextovodkaz"/>
                <w:rFonts w:cstheme="minorHAnsi"/>
                <w:b/>
                <w:noProof/>
              </w:rPr>
              <w:t>Přílohy</w:t>
            </w:r>
            <w:r w:rsidR="00DE538F">
              <w:rPr>
                <w:noProof/>
                <w:webHidden/>
              </w:rPr>
              <w:tab/>
            </w:r>
            <w:r w:rsidR="00DE538F">
              <w:rPr>
                <w:noProof/>
                <w:webHidden/>
              </w:rPr>
              <w:fldChar w:fldCharType="begin"/>
            </w:r>
            <w:r w:rsidR="00DE538F">
              <w:rPr>
                <w:noProof/>
                <w:webHidden/>
              </w:rPr>
              <w:instrText xml:space="preserve"> PAGEREF _Toc165990667 \h </w:instrText>
            </w:r>
            <w:r w:rsidR="00DE538F">
              <w:rPr>
                <w:noProof/>
                <w:webHidden/>
              </w:rPr>
            </w:r>
            <w:r w:rsidR="00DE538F">
              <w:rPr>
                <w:noProof/>
                <w:webHidden/>
              </w:rPr>
              <w:fldChar w:fldCharType="separate"/>
            </w:r>
            <w:r w:rsidR="00273075">
              <w:rPr>
                <w:noProof/>
                <w:webHidden/>
              </w:rPr>
              <w:t>78</w:t>
            </w:r>
            <w:r w:rsidR="00DE538F">
              <w:rPr>
                <w:noProof/>
                <w:webHidden/>
              </w:rPr>
              <w:fldChar w:fldCharType="end"/>
            </w:r>
          </w:hyperlink>
        </w:p>
        <w:p w:rsidR="00294E20" w:rsidRPr="002872A6" w:rsidRDefault="00294E20" w:rsidP="00294E20">
          <w:pPr>
            <w:pStyle w:val="Obsah1"/>
            <w:tabs>
              <w:tab w:val="right" w:leader="dot" w:pos="8503"/>
            </w:tabs>
            <w:rPr>
              <w:rFonts w:asciiTheme="minorHAnsi" w:hAnsiTheme="minorHAnsi" w:cstheme="minorHAnsi"/>
              <w:color w:val="auto"/>
            </w:rPr>
          </w:pPr>
          <w:r w:rsidRPr="002872A6">
            <w:rPr>
              <w:rFonts w:asciiTheme="minorHAnsi" w:hAnsiTheme="minorHAnsi" w:cstheme="minorHAnsi"/>
              <w:color w:val="auto"/>
            </w:rPr>
            <w:fldChar w:fldCharType="end"/>
          </w:r>
        </w:p>
      </w:sdtContent>
    </w:sdt>
    <w:p w:rsidR="00294E20" w:rsidRPr="002872A6" w:rsidRDefault="00294E20" w:rsidP="00294E20">
      <w:pPr>
        <w:spacing w:after="0" w:line="360" w:lineRule="auto"/>
        <w:rPr>
          <w:rFonts w:asciiTheme="minorHAnsi" w:hAnsiTheme="minorHAnsi" w:cstheme="minorHAnsi"/>
          <w:color w:val="auto"/>
          <w:sz w:val="24"/>
        </w:rPr>
      </w:pPr>
      <w:r w:rsidRPr="002872A6">
        <w:rPr>
          <w:rFonts w:asciiTheme="minorHAnsi" w:hAnsiTheme="minorHAnsi" w:cstheme="minorHAnsi"/>
          <w:color w:val="auto"/>
        </w:rPr>
        <w:br w:type="page"/>
      </w:r>
    </w:p>
    <w:p w:rsidR="00294E20" w:rsidRPr="002872A6" w:rsidRDefault="00294E20" w:rsidP="00294E20">
      <w:pPr>
        <w:pStyle w:val="Nadpis1"/>
        <w:numPr>
          <w:ilvl w:val="0"/>
          <w:numId w:val="0"/>
        </w:numPr>
        <w:rPr>
          <w:rFonts w:asciiTheme="minorHAnsi" w:hAnsiTheme="minorHAnsi" w:cstheme="minorHAnsi"/>
          <w:color w:val="auto"/>
        </w:rPr>
      </w:pPr>
      <w:bookmarkStart w:id="5" w:name="_Toc164078817"/>
      <w:bookmarkStart w:id="6" w:name="_Toc163647359"/>
      <w:bookmarkStart w:id="7" w:name="_Toc163759351"/>
      <w:bookmarkStart w:id="8" w:name="_Toc165990622"/>
      <w:bookmarkEnd w:id="5"/>
      <w:bookmarkEnd w:id="6"/>
      <w:bookmarkEnd w:id="7"/>
      <w:r w:rsidRPr="002872A6">
        <w:rPr>
          <w:rFonts w:asciiTheme="minorHAnsi" w:hAnsiTheme="minorHAnsi" w:cstheme="minorHAnsi"/>
          <w:b/>
          <w:color w:val="auto"/>
        </w:rPr>
        <w:lastRenderedPageBreak/>
        <w:t>Úvod</w:t>
      </w:r>
      <w:bookmarkEnd w:id="8"/>
    </w:p>
    <w:p w:rsidR="00294E20" w:rsidRPr="002872A6" w:rsidRDefault="00294E20" w:rsidP="00294E20">
      <w:pPr>
        <w:spacing w:after="0" w:line="360" w:lineRule="auto"/>
        <w:rPr>
          <w:rFonts w:asciiTheme="minorHAnsi" w:hAnsiTheme="minorHAnsi" w:cstheme="minorHAnsi"/>
          <w:color w:val="auto"/>
          <w:sz w:val="24"/>
          <w:szCs w:val="24"/>
        </w:rPr>
      </w:pPr>
    </w:p>
    <w:p w:rsidR="00294E20" w:rsidRDefault="00294E20" w:rsidP="00294E20">
      <w:pPr>
        <w:suppressAutoHyphens/>
        <w:spacing w:after="0" w:line="360" w:lineRule="auto"/>
        <w:ind w:firstLine="708"/>
        <w:jc w:val="both"/>
        <w:rPr>
          <w:rFonts w:asciiTheme="minorHAnsi" w:hAnsiTheme="minorHAnsi" w:cstheme="minorHAnsi"/>
          <w:color w:val="auto"/>
        </w:rPr>
      </w:pPr>
      <w:r w:rsidRPr="002872A6">
        <w:rPr>
          <w:rFonts w:asciiTheme="minorHAnsi" w:hAnsiTheme="minorHAnsi" w:cstheme="minorHAnsi"/>
          <w:color w:val="auto"/>
          <w:sz w:val="24"/>
          <w:szCs w:val="24"/>
        </w:rPr>
        <w:t>Základem a cílem je, aby v České republice byla dostupná bezpečná léčiva, v dostatečném množství, v potřebné kvalitě</w:t>
      </w:r>
      <w:r w:rsidR="00BC6425">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a aby se k pacientovi dostala ta správná léčiva se správnými instrukcemi k použití, přičemž toto platí též u zdravotnických prostředků. A právě zajištění tohoto cíle bylo původcem zřízení subjektu, který by svými činnost</w:t>
      </w:r>
      <w:r w:rsidR="00BC6425">
        <w:rPr>
          <w:rFonts w:asciiTheme="minorHAnsi" w:hAnsiTheme="minorHAnsi" w:cstheme="minorHAnsi"/>
          <w:color w:val="auto"/>
          <w:sz w:val="24"/>
          <w:szCs w:val="24"/>
        </w:rPr>
        <w:t>m</w:t>
      </w:r>
      <w:r w:rsidRPr="002872A6">
        <w:rPr>
          <w:rFonts w:asciiTheme="minorHAnsi" w:hAnsiTheme="minorHAnsi" w:cstheme="minorHAnsi"/>
          <w:color w:val="auto"/>
          <w:sz w:val="24"/>
          <w:szCs w:val="24"/>
        </w:rPr>
        <w:t>i za</w:t>
      </w:r>
      <w:r w:rsidR="00BC6425">
        <w:rPr>
          <w:rFonts w:asciiTheme="minorHAnsi" w:hAnsiTheme="minorHAnsi" w:cstheme="minorHAnsi"/>
          <w:color w:val="auto"/>
          <w:sz w:val="24"/>
          <w:szCs w:val="24"/>
        </w:rPr>
        <w:t>jišťoval</w:t>
      </w:r>
      <w:r w:rsidRPr="002872A6">
        <w:rPr>
          <w:rFonts w:asciiTheme="minorHAnsi" w:hAnsiTheme="minorHAnsi" w:cstheme="minorHAnsi"/>
          <w:color w:val="auto"/>
          <w:sz w:val="24"/>
          <w:szCs w:val="24"/>
        </w:rPr>
        <w:t xml:space="preserve">, že tomu tak bude. Tímto subjektem se v rámci </w:t>
      </w:r>
      <w:r w:rsidR="00BC6425">
        <w:rPr>
          <w:rFonts w:asciiTheme="minorHAnsi" w:hAnsiTheme="minorHAnsi" w:cstheme="minorHAnsi"/>
          <w:color w:val="auto"/>
          <w:sz w:val="24"/>
          <w:szCs w:val="24"/>
        </w:rPr>
        <w:t xml:space="preserve">postupného </w:t>
      </w:r>
      <w:r w:rsidRPr="002872A6">
        <w:rPr>
          <w:rFonts w:asciiTheme="minorHAnsi" w:hAnsiTheme="minorHAnsi" w:cstheme="minorHAnsi"/>
          <w:color w:val="auto"/>
          <w:sz w:val="24"/>
          <w:szCs w:val="24"/>
        </w:rPr>
        <w:t>vývoje stal Státní ústav pro kontrolu léčiv</w:t>
      </w:r>
      <w:r>
        <w:rPr>
          <w:rFonts w:asciiTheme="minorHAnsi" w:hAnsiTheme="minorHAnsi" w:cstheme="minorHAnsi"/>
          <w:color w:val="auto"/>
          <w:sz w:val="24"/>
          <w:szCs w:val="24"/>
        </w:rPr>
        <w:t xml:space="preserve"> (dále jen SÚKL)</w:t>
      </w:r>
      <w:r w:rsidRPr="002872A6">
        <w:rPr>
          <w:rFonts w:asciiTheme="minorHAnsi" w:hAnsiTheme="minorHAnsi" w:cstheme="minorHAnsi"/>
          <w:color w:val="auto"/>
          <w:sz w:val="24"/>
          <w:szCs w:val="24"/>
        </w:rPr>
        <w:t>, který hraje hlavní roli v udržení shora uvedeného cíle</w:t>
      </w:r>
      <w:r w:rsidR="00BC6425">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k udržení kvantity i kvality u dostupných léčiv a zdravotnických prostředků.</w:t>
      </w:r>
      <w:r w:rsidR="006F5216" w:rsidRPr="006F5216">
        <w:rPr>
          <w:rFonts w:asciiTheme="minorHAnsi" w:hAnsiTheme="minorHAnsi" w:cstheme="minorHAnsi"/>
          <w:color w:val="auto"/>
          <w:sz w:val="24"/>
        </w:rPr>
        <w:t xml:space="preserve"> </w:t>
      </w:r>
      <w:r w:rsidR="006F5216">
        <w:rPr>
          <w:rFonts w:asciiTheme="minorHAnsi" w:hAnsiTheme="minorHAnsi" w:cstheme="minorHAnsi"/>
          <w:color w:val="auto"/>
          <w:sz w:val="24"/>
        </w:rPr>
        <w:t>[1]</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České republice jsou práva a povin</w:t>
      </w:r>
      <w:r>
        <w:rPr>
          <w:rFonts w:asciiTheme="minorHAnsi" w:hAnsiTheme="minorHAnsi" w:cstheme="minorHAnsi"/>
          <w:color w:val="auto"/>
          <w:sz w:val="24"/>
          <w:szCs w:val="24"/>
        </w:rPr>
        <w:t>nosti při nakládání s léčivem a </w:t>
      </w:r>
      <w:r w:rsidRPr="002872A6">
        <w:rPr>
          <w:rFonts w:asciiTheme="minorHAnsi" w:hAnsiTheme="minorHAnsi" w:cstheme="minorHAnsi"/>
          <w:color w:val="auto"/>
          <w:sz w:val="24"/>
          <w:szCs w:val="24"/>
        </w:rPr>
        <w:t xml:space="preserve">zdravotnickými prostředky, stanovena v jednotlivých právních </w:t>
      </w:r>
      <w:r>
        <w:rPr>
          <w:rFonts w:asciiTheme="minorHAnsi" w:hAnsiTheme="minorHAnsi" w:cstheme="minorHAnsi"/>
          <w:color w:val="auto"/>
          <w:sz w:val="24"/>
          <w:szCs w:val="24"/>
        </w:rPr>
        <w:t>předpisech</w:t>
      </w:r>
      <w:r w:rsidRPr="002872A6">
        <w:rPr>
          <w:rFonts w:asciiTheme="minorHAnsi" w:hAnsiTheme="minorHAnsi" w:cstheme="minorHAnsi"/>
          <w:color w:val="auto"/>
          <w:sz w:val="24"/>
          <w:szCs w:val="24"/>
        </w:rPr>
        <w:t xml:space="preserve">, a jsou </w:t>
      </w:r>
      <w:r w:rsidR="006F5216">
        <w:rPr>
          <w:rFonts w:asciiTheme="minorHAnsi" w:hAnsiTheme="minorHAnsi" w:cstheme="minorHAnsi"/>
          <w:color w:val="auto"/>
          <w:sz w:val="24"/>
          <w:szCs w:val="24"/>
        </w:rPr>
        <w:t xml:space="preserve">specificky </w:t>
      </w:r>
      <w:r w:rsidRPr="002872A6">
        <w:rPr>
          <w:rFonts w:asciiTheme="minorHAnsi" w:hAnsiTheme="minorHAnsi" w:cstheme="minorHAnsi"/>
          <w:color w:val="auto"/>
          <w:sz w:val="24"/>
          <w:szCs w:val="24"/>
        </w:rPr>
        <w:t>určena pro daný subjekt v souvislosti prá</w:t>
      </w:r>
      <w:r w:rsidR="006F5216">
        <w:rPr>
          <w:rFonts w:asciiTheme="minorHAnsi" w:hAnsiTheme="minorHAnsi" w:cstheme="minorHAnsi"/>
          <w:color w:val="auto"/>
          <w:sz w:val="24"/>
          <w:szCs w:val="24"/>
        </w:rPr>
        <w:t>vě s jejich výrobou/přípravou a </w:t>
      </w:r>
      <w:r w:rsidRPr="002872A6">
        <w:rPr>
          <w:rFonts w:asciiTheme="minorHAnsi" w:hAnsiTheme="minorHAnsi" w:cstheme="minorHAnsi"/>
          <w:color w:val="auto"/>
          <w:sz w:val="24"/>
          <w:szCs w:val="24"/>
        </w:rPr>
        <w:t xml:space="preserve">následnou manipulací. Je tedy zcela logické, že je zde potřeba </w:t>
      </w:r>
      <w:r w:rsidR="006F5216">
        <w:rPr>
          <w:rFonts w:asciiTheme="minorHAnsi" w:hAnsiTheme="minorHAnsi" w:cstheme="minorHAnsi"/>
          <w:color w:val="auto"/>
          <w:sz w:val="24"/>
          <w:szCs w:val="24"/>
        </w:rPr>
        <w:t xml:space="preserve">existence </w:t>
      </w:r>
      <w:r w:rsidRPr="002872A6">
        <w:rPr>
          <w:rFonts w:asciiTheme="minorHAnsi" w:hAnsiTheme="minorHAnsi" w:cstheme="minorHAnsi"/>
          <w:color w:val="auto"/>
          <w:sz w:val="24"/>
          <w:szCs w:val="24"/>
        </w:rPr>
        <w:t>orgánu, který na toto bude dozírat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na </w:t>
      </w:r>
      <w:r w:rsidR="006F5216">
        <w:rPr>
          <w:rFonts w:asciiTheme="minorHAnsi" w:hAnsiTheme="minorHAnsi" w:cstheme="minorHAnsi"/>
          <w:color w:val="auto"/>
          <w:sz w:val="24"/>
          <w:szCs w:val="24"/>
        </w:rPr>
        <w:t xml:space="preserve">případná </w:t>
      </w:r>
      <w:r w:rsidRPr="002872A6">
        <w:rPr>
          <w:rFonts w:asciiTheme="minorHAnsi" w:hAnsiTheme="minorHAnsi" w:cstheme="minorHAnsi"/>
          <w:color w:val="auto"/>
          <w:sz w:val="24"/>
          <w:szCs w:val="24"/>
        </w:rPr>
        <w:t>porušení bude adekvátně reagovat. SÚKL však nelze chápat jako čistě kontrolní orgán, neboť jeho činnost je mnohem širší a komplex</w:t>
      </w:r>
      <w:r>
        <w:rPr>
          <w:rFonts w:asciiTheme="minorHAnsi" w:hAnsiTheme="minorHAnsi" w:cstheme="minorHAnsi"/>
          <w:color w:val="auto"/>
          <w:sz w:val="24"/>
          <w:szCs w:val="24"/>
        </w:rPr>
        <w:t>nější. Jeho pravomoci sahají od </w:t>
      </w:r>
      <w:r w:rsidRPr="002872A6">
        <w:rPr>
          <w:rFonts w:asciiTheme="minorHAnsi" w:hAnsiTheme="minorHAnsi" w:cstheme="minorHAnsi"/>
          <w:color w:val="auto"/>
          <w:sz w:val="24"/>
          <w:szCs w:val="24"/>
        </w:rPr>
        <w:t>samotné výroby, přes realizaci skladování a distribuci, a dále až k době samotného užívání cílovou osobou, jelikož například přijímá data ohledně zjištěných nežádoucích událostí, a i k tomuto činní patřičné kroky.</w:t>
      </w:r>
      <w:r w:rsidR="00A218B6" w:rsidRPr="00A218B6">
        <w:rPr>
          <w:rFonts w:asciiTheme="minorHAnsi" w:hAnsiTheme="minorHAnsi" w:cstheme="minorHAnsi"/>
          <w:color w:val="auto"/>
          <w:sz w:val="24"/>
        </w:rPr>
        <w:t xml:space="preserve"> </w:t>
      </w:r>
      <w:r w:rsidR="00A218B6">
        <w:rPr>
          <w:rFonts w:asciiTheme="minorHAnsi" w:hAnsiTheme="minorHAnsi" w:cstheme="minorHAnsi"/>
          <w:color w:val="auto"/>
          <w:sz w:val="24"/>
        </w:rPr>
        <w:t>[1, 2]</w:t>
      </w:r>
    </w:p>
    <w:p w:rsidR="00294E20" w:rsidRPr="002872A6" w:rsidRDefault="00294E20" w:rsidP="00294E20">
      <w:pPr>
        <w:suppressAutoHyphens/>
        <w:spacing w:after="0" w:line="360" w:lineRule="auto"/>
        <w:ind w:firstLine="708"/>
        <w:jc w:val="both"/>
        <w:rPr>
          <w:rFonts w:asciiTheme="minorHAnsi" w:hAnsiTheme="minorHAnsi" w:cstheme="minorHAnsi"/>
          <w:color w:val="auto"/>
        </w:rPr>
      </w:pPr>
      <w:r w:rsidRPr="002872A6">
        <w:rPr>
          <w:rFonts w:asciiTheme="minorHAnsi" w:hAnsiTheme="minorHAnsi" w:cstheme="minorHAnsi"/>
          <w:color w:val="auto"/>
          <w:sz w:val="24"/>
          <w:szCs w:val="24"/>
        </w:rPr>
        <w:t xml:space="preserve">Ačkoliv jsou subjekty přicházející do styku s léčivem, nebo zdravotnickými prostředky, povinny dodržovat platné právní předpisy v daných oblastech, tak jsou zde </w:t>
      </w:r>
      <w:r w:rsidR="00A218B6">
        <w:rPr>
          <w:rFonts w:asciiTheme="minorHAnsi" w:hAnsiTheme="minorHAnsi" w:cstheme="minorHAnsi"/>
          <w:color w:val="auto"/>
          <w:sz w:val="24"/>
          <w:szCs w:val="24"/>
        </w:rPr>
        <w:t>neu</w:t>
      </w:r>
      <w:r w:rsidRPr="002872A6">
        <w:rPr>
          <w:rFonts w:asciiTheme="minorHAnsi" w:hAnsiTheme="minorHAnsi" w:cstheme="minorHAnsi"/>
          <w:color w:val="auto"/>
          <w:sz w:val="24"/>
          <w:szCs w:val="24"/>
        </w:rPr>
        <w:t xml:space="preserve">stále nacházena různá pochybení a porušení těchto povinností. Nemusí se vždy jednat o natolik závažná porušení, která by měla za následek ohrožení cílového uživatele, ale </w:t>
      </w:r>
      <w:r w:rsidR="00A218B6">
        <w:rPr>
          <w:rFonts w:asciiTheme="minorHAnsi" w:hAnsiTheme="minorHAnsi" w:cstheme="minorHAnsi"/>
          <w:color w:val="auto"/>
          <w:sz w:val="24"/>
          <w:szCs w:val="24"/>
        </w:rPr>
        <w:t xml:space="preserve">může se jednat </w:t>
      </w:r>
      <w:r w:rsidRPr="002872A6">
        <w:rPr>
          <w:rFonts w:asciiTheme="minorHAnsi" w:hAnsiTheme="minorHAnsi" w:cstheme="minorHAnsi"/>
          <w:color w:val="auto"/>
          <w:sz w:val="24"/>
          <w:szCs w:val="24"/>
        </w:rPr>
        <w:t xml:space="preserve">jen </w:t>
      </w:r>
      <w:r w:rsidR="00A218B6">
        <w:rPr>
          <w:rFonts w:asciiTheme="minorHAnsi" w:hAnsiTheme="minorHAnsi" w:cstheme="minorHAnsi"/>
          <w:color w:val="auto"/>
          <w:sz w:val="24"/>
          <w:szCs w:val="24"/>
        </w:rPr>
        <w:t xml:space="preserve">o </w:t>
      </w:r>
      <w:r w:rsidRPr="002872A6">
        <w:rPr>
          <w:rFonts w:asciiTheme="minorHAnsi" w:hAnsiTheme="minorHAnsi" w:cstheme="minorHAnsi"/>
          <w:color w:val="auto"/>
          <w:sz w:val="24"/>
          <w:szCs w:val="24"/>
        </w:rPr>
        <w:t>drobná porušení provozního charakteru. Ale i tak je</w:t>
      </w:r>
      <w:r w:rsidR="00A218B6">
        <w:rPr>
          <w:rFonts w:asciiTheme="minorHAnsi" w:hAnsiTheme="minorHAnsi" w:cstheme="minorHAnsi"/>
          <w:color w:val="auto"/>
          <w:sz w:val="24"/>
          <w:szCs w:val="24"/>
        </w:rPr>
        <w:t> </w:t>
      </w:r>
      <w:r w:rsidRPr="002872A6">
        <w:rPr>
          <w:rFonts w:asciiTheme="minorHAnsi" w:hAnsiTheme="minorHAnsi" w:cstheme="minorHAnsi"/>
          <w:color w:val="auto"/>
          <w:sz w:val="24"/>
          <w:szCs w:val="24"/>
        </w:rPr>
        <w:t>zapotřebí si uvědomit, že se jedná o oblast zdravotnictví</w:t>
      </w:r>
      <w:r w:rsidR="00A218B6">
        <w:rPr>
          <w:rFonts w:asciiTheme="minorHAnsi" w:hAnsiTheme="minorHAnsi" w:cstheme="minorHAnsi"/>
          <w:color w:val="auto"/>
          <w:sz w:val="24"/>
          <w:szCs w:val="24"/>
        </w:rPr>
        <w:t>, na kterou se lidé obracejí ve </w:t>
      </w:r>
      <w:r w:rsidRPr="002872A6">
        <w:rPr>
          <w:rFonts w:asciiTheme="minorHAnsi" w:hAnsiTheme="minorHAnsi" w:cstheme="minorHAnsi"/>
          <w:color w:val="auto"/>
          <w:sz w:val="24"/>
          <w:szCs w:val="24"/>
        </w:rPr>
        <w:t>většině případů právě v časech, kdy mají obtíže a potřebují pomoc. Proto je důležité, aby docházelo k zajištění již zmíněné bezpečnosti a kvality.</w:t>
      </w:r>
      <w:r w:rsidR="00A218B6" w:rsidRPr="00A218B6">
        <w:rPr>
          <w:rFonts w:asciiTheme="minorHAnsi" w:hAnsiTheme="minorHAnsi" w:cstheme="minorHAnsi"/>
          <w:color w:val="auto"/>
          <w:sz w:val="24"/>
        </w:rPr>
        <w:t xml:space="preserve"> </w:t>
      </w:r>
      <w:r w:rsidR="00A218B6">
        <w:rPr>
          <w:rFonts w:asciiTheme="minorHAnsi" w:hAnsiTheme="minorHAnsi" w:cstheme="minorHAnsi"/>
          <w:color w:val="auto"/>
          <w:sz w:val="24"/>
        </w:rPr>
        <w:t>[1, 2]</w:t>
      </w:r>
      <w:r w:rsidRPr="002872A6">
        <w:rPr>
          <w:rFonts w:asciiTheme="minorHAnsi" w:hAnsiTheme="minorHAnsi" w:cstheme="minorHAnsi"/>
          <w:color w:val="auto"/>
        </w:rPr>
        <w:br w:type="page"/>
      </w:r>
    </w:p>
    <w:p w:rsidR="00294E20" w:rsidRPr="002872A6" w:rsidRDefault="00294E20" w:rsidP="00294E20">
      <w:pPr>
        <w:pStyle w:val="Nadpis1"/>
        <w:rPr>
          <w:rFonts w:asciiTheme="minorHAnsi" w:hAnsiTheme="minorHAnsi" w:cstheme="minorHAnsi"/>
          <w:color w:val="auto"/>
        </w:rPr>
      </w:pPr>
      <w:bookmarkStart w:id="9" w:name="_Toc164078818"/>
      <w:bookmarkStart w:id="10" w:name="_Toc163647360"/>
      <w:bookmarkStart w:id="11" w:name="_Toc163759352"/>
      <w:bookmarkStart w:id="12" w:name="_Toc165990623"/>
      <w:bookmarkEnd w:id="9"/>
      <w:bookmarkEnd w:id="10"/>
      <w:bookmarkEnd w:id="11"/>
      <w:r w:rsidRPr="002872A6">
        <w:rPr>
          <w:rFonts w:asciiTheme="minorHAnsi" w:hAnsiTheme="minorHAnsi" w:cstheme="minorHAnsi"/>
          <w:b/>
          <w:color w:val="auto"/>
        </w:rPr>
        <w:lastRenderedPageBreak/>
        <w:t>Cíl</w:t>
      </w:r>
      <w:r w:rsidRPr="002872A6">
        <w:rPr>
          <w:rFonts w:asciiTheme="minorHAnsi" w:hAnsiTheme="minorHAnsi" w:cstheme="minorHAnsi"/>
          <w:color w:val="auto"/>
        </w:rPr>
        <w:t xml:space="preserve"> </w:t>
      </w:r>
      <w:r w:rsidRPr="002872A6">
        <w:rPr>
          <w:rFonts w:asciiTheme="minorHAnsi" w:hAnsiTheme="minorHAnsi" w:cstheme="minorHAnsi"/>
          <w:b/>
          <w:color w:val="auto"/>
        </w:rPr>
        <w:t>práce</w:t>
      </w:r>
      <w:bookmarkEnd w:id="12"/>
    </w:p>
    <w:p w:rsidR="00294E20" w:rsidRPr="002872A6" w:rsidRDefault="00294E20" w:rsidP="00294E20">
      <w:pPr>
        <w:spacing w:after="0" w:line="360" w:lineRule="auto"/>
        <w:rPr>
          <w:rFonts w:asciiTheme="minorHAnsi" w:hAnsiTheme="minorHAnsi" w:cstheme="minorHAnsi"/>
          <w:color w:val="auto"/>
          <w:sz w:val="24"/>
          <w:szCs w:val="24"/>
        </w:rPr>
      </w:pPr>
    </w:p>
    <w:p w:rsidR="00A218B6" w:rsidRDefault="00294E20" w:rsidP="00294E20">
      <w:pPr>
        <w:suppressAutoHyphens/>
        <w:spacing w:after="0" w:line="360" w:lineRule="auto"/>
        <w:ind w:firstLine="360"/>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Cílem této práce je představení SÚKL nejen v základní rovině, jako je jeho v</w:t>
      </w:r>
      <w:r>
        <w:rPr>
          <w:rFonts w:asciiTheme="minorHAnsi" w:hAnsiTheme="minorHAnsi" w:cstheme="minorHAnsi"/>
          <w:color w:val="auto"/>
          <w:sz w:val="24"/>
          <w:szCs w:val="24"/>
        </w:rPr>
        <w:t>z</w:t>
      </w:r>
      <w:r w:rsidRPr="002872A6">
        <w:rPr>
          <w:rFonts w:asciiTheme="minorHAnsi" w:hAnsiTheme="minorHAnsi" w:cstheme="minorHAnsi"/>
          <w:color w:val="auto"/>
          <w:sz w:val="24"/>
          <w:szCs w:val="24"/>
        </w:rPr>
        <w:t>nik, interní organizace, vymezení v oblasti státní správy, a obla</w:t>
      </w:r>
      <w:r w:rsidR="00A218B6">
        <w:rPr>
          <w:rFonts w:asciiTheme="minorHAnsi" w:hAnsiTheme="minorHAnsi" w:cstheme="minorHAnsi"/>
          <w:color w:val="auto"/>
          <w:sz w:val="24"/>
          <w:szCs w:val="24"/>
        </w:rPr>
        <w:t>st jeho činnosti</w:t>
      </w:r>
      <w:r>
        <w:rPr>
          <w:rFonts w:asciiTheme="minorHAnsi" w:hAnsiTheme="minorHAnsi" w:cstheme="minorHAnsi"/>
          <w:color w:val="auto"/>
          <w:sz w:val="24"/>
          <w:szCs w:val="24"/>
        </w:rPr>
        <w:t>, ale hlavně se </w:t>
      </w:r>
      <w:r w:rsidRPr="002872A6">
        <w:rPr>
          <w:rFonts w:asciiTheme="minorHAnsi" w:hAnsiTheme="minorHAnsi" w:cstheme="minorHAnsi"/>
          <w:color w:val="auto"/>
          <w:sz w:val="24"/>
          <w:szCs w:val="24"/>
        </w:rPr>
        <w:t>bude zabývat jeho činnostmi na úseku kontroly lékáren a odlo</w:t>
      </w:r>
      <w:r>
        <w:rPr>
          <w:rFonts w:asciiTheme="minorHAnsi" w:hAnsiTheme="minorHAnsi" w:cstheme="minorHAnsi"/>
          <w:color w:val="auto"/>
          <w:sz w:val="24"/>
          <w:szCs w:val="24"/>
        </w:rPr>
        <w:t>učených oddělení pro výdej léčivých přípravků a </w:t>
      </w:r>
      <w:r w:rsidRPr="002872A6">
        <w:rPr>
          <w:rFonts w:asciiTheme="minorHAnsi" w:hAnsiTheme="minorHAnsi" w:cstheme="minorHAnsi"/>
          <w:color w:val="auto"/>
          <w:sz w:val="24"/>
          <w:szCs w:val="24"/>
        </w:rPr>
        <w:t>zdravotnických prostředků</w:t>
      </w:r>
      <w:r>
        <w:rPr>
          <w:rFonts w:asciiTheme="minorHAnsi" w:hAnsiTheme="minorHAnsi" w:cstheme="minorHAnsi"/>
          <w:color w:val="auto"/>
          <w:sz w:val="24"/>
          <w:szCs w:val="24"/>
        </w:rPr>
        <w:t xml:space="preserve"> (dále jen OOVL)</w:t>
      </w:r>
      <w:r w:rsidR="00A218B6">
        <w:rPr>
          <w:rFonts w:asciiTheme="minorHAnsi" w:hAnsiTheme="minorHAnsi" w:cstheme="minorHAnsi"/>
          <w:color w:val="auto"/>
          <w:sz w:val="24"/>
          <w:szCs w:val="24"/>
        </w:rPr>
        <w:t>.</w:t>
      </w:r>
    </w:p>
    <w:p w:rsidR="00294E20" w:rsidRDefault="00294E20" w:rsidP="00294E20">
      <w:pPr>
        <w:suppressAutoHyphens/>
        <w:spacing w:after="0" w:line="360" w:lineRule="auto"/>
        <w:ind w:firstLine="360"/>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w:t>
      </w:r>
      <w:r w:rsidR="00A218B6">
        <w:rPr>
          <w:rFonts w:asciiTheme="minorHAnsi" w:hAnsiTheme="minorHAnsi" w:cstheme="minorHAnsi"/>
          <w:color w:val="auto"/>
          <w:sz w:val="24"/>
          <w:szCs w:val="24"/>
        </w:rPr>
        <w:t>praktické</w:t>
      </w:r>
      <w:r w:rsidRPr="002872A6">
        <w:rPr>
          <w:rFonts w:asciiTheme="minorHAnsi" w:hAnsiTheme="minorHAnsi" w:cstheme="minorHAnsi"/>
          <w:color w:val="auto"/>
          <w:sz w:val="24"/>
          <w:szCs w:val="24"/>
        </w:rPr>
        <w:t xml:space="preserve"> části dojde k vyhodnocení dat z provedených kontrol v lékárnách a </w:t>
      </w:r>
      <w:r>
        <w:rPr>
          <w:rFonts w:asciiTheme="minorHAnsi" w:hAnsiTheme="minorHAnsi" w:cstheme="minorHAnsi"/>
          <w:color w:val="auto"/>
          <w:sz w:val="24"/>
          <w:szCs w:val="24"/>
        </w:rPr>
        <w:t>OOVL, a to konkrétně za </w:t>
      </w:r>
      <w:r w:rsidRPr="002872A6">
        <w:rPr>
          <w:rFonts w:asciiTheme="minorHAnsi" w:hAnsiTheme="minorHAnsi" w:cstheme="minorHAnsi"/>
          <w:color w:val="auto"/>
          <w:sz w:val="24"/>
          <w:szCs w:val="24"/>
        </w:rPr>
        <w:t xml:space="preserve">roky 2012 až 2022, s cílem zhodnotit počet provedených kontrol vůči počtu zjištěných porušení, a stanovit nejčastější oblasti, kde docházelo </w:t>
      </w:r>
      <w:r>
        <w:rPr>
          <w:rFonts w:asciiTheme="minorHAnsi" w:hAnsiTheme="minorHAnsi" w:cstheme="minorHAnsi"/>
          <w:color w:val="auto"/>
          <w:sz w:val="24"/>
          <w:szCs w:val="24"/>
        </w:rPr>
        <w:t>k porušování právních předpisů.</w:t>
      </w:r>
    </w:p>
    <w:p w:rsidR="00294E20" w:rsidRPr="002872A6" w:rsidRDefault="00294E20" w:rsidP="00294E20">
      <w:pPr>
        <w:suppressAutoHyphens/>
        <w:spacing w:after="0" w:line="360" w:lineRule="auto"/>
        <w:ind w:firstLine="360"/>
        <w:jc w:val="both"/>
        <w:rPr>
          <w:rFonts w:asciiTheme="minorHAnsi" w:hAnsiTheme="minorHAnsi" w:cstheme="minorHAnsi"/>
          <w:color w:val="auto"/>
        </w:rPr>
      </w:pPr>
      <w:r w:rsidRPr="002872A6">
        <w:rPr>
          <w:rFonts w:asciiTheme="minorHAnsi" w:hAnsiTheme="minorHAnsi" w:cstheme="minorHAnsi"/>
          <w:color w:val="auto"/>
          <w:sz w:val="24"/>
          <w:szCs w:val="24"/>
        </w:rPr>
        <w:t xml:space="preserve">Výstupem této práce by měl být ucelený pohled na </w:t>
      </w:r>
      <w:r>
        <w:rPr>
          <w:rFonts w:asciiTheme="minorHAnsi" w:hAnsiTheme="minorHAnsi" w:cstheme="minorHAnsi"/>
          <w:color w:val="auto"/>
          <w:sz w:val="24"/>
          <w:szCs w:val="24"/>
        </w:rPr>
        <w:t>pochybení, kterých se lékárny a OOVL</w:t>
      </w:r>
      <w:r w:rsidRPr="002872A6">
        <w:rPr>
          <w:rFonts w:asciiTheme="minorHAnsi" w:hAnsiTheme="minorHAnsi" w:cstheme="minorHAnsi"/>
          <w:color w:val="auto"/>
          <w:sz w:val="24"/>
          <w:szCs w:val="24"/>
        </w:rPr>
        <w:t xml:space="preserve"> dopouštějí v rámci své činnosti.</w:t>
      </w:r>
      <w:r w:rsidRPr="002872A6">
        <w:rPr>
          <w:rFonts w:asciiTheme="minorHAnsi" w:hAnsiTheme="minorHAnsi" w:cstheme="minorHAnsi"/>
          <w:color w:val="auto"/>
        </w:rPr>
        <w:br w:type="page"/>
      </w:r>
    </w:p>
    <w:p w:rsidR="00294E20" w:rsidRPr="002872A6" w:rsidRDefault="00294E20" w:rsidP="00294E20">
      <w:pPr>
        <w:pStyle w:val="Nadpis1"/>
        <w:rPr>
          <w:rFonts w:asciiTheme="minorHAnsi" w:hAnsiTheme="minorHAnsi" w:cstheme="minorHAnsi"/>
          <w:b/>
          <w:color w:val="auto"/>
        </w:rPr>
      </w:pPr>
      <w:bookmarkStart w:id="13" w:name="_Toc164078819"/>
      <w:bookmarkStart w:id="14" w:name="_Toc163647361"/>
      <w:bookmarkStart w:id="15" w:name="_Toc163759353"/>
      <w:bookmarkStart w:id="16" w:name="_Toc165990624"/>
      <w:bookmarkEnd w:id="13"/>
      <w:bookmarkEnd w:id="14"/>
      <w:bookmarkEnd w:id="15"/>
      <w:r w:rsidRPr="002872A6">
        <w:rPr>
          <w:rFonts w:asciiTheme="minorHAnsi" w:hAnsiTheme="minorHAnsi" w:cstheme="minorHAnsi"/>
          <w:b/>
          <w:color w:val="auto"/>
        </w:rPr>
        <w:lastRenderedPageBreak/>
        <w:t>Teoretická část</w:t>
      </w:r>
      <w:bookmarkEnd w:id="16"/>
    </w:p>
    <w:p w:rsidR="00294E20" w:rsidRPr="002872A6" w:rsidRDefault="00294E20" w:rsidP="00294E20">
      <w:pPr>
        <w:spacing w:after="0" w:line="360" w:lineRule="auto"/>
        <w:rPr>
          <w:rFonts w:asciiTheme="minorHAnsi" w:hAnsiTheme="minorHAnsi" w:cstheme="minorHAnsi"/>
          <w:color w:val="auto"/>
        </w:rPr>
      </w:pPr>
    </w:p>
    <w:p w:rsidR="00294E20" w:rsidRPr="002872A6" w:rsidRDefault="00294E20" w:rsidP="00294E20">
      <w:pPr>
        <w:pStyle w:val="Nadpis2"/>
        <w:ind w:left="0" w:firstLine="0"/>
        <w:rPr>
          <w:rFonts w:asciiTheme="minorHAnsi" w:hAnsiTheme="minorHAnsi" w:cstheme="minorHAnsi"/>
          <w:b/>
          <w:color w:val="auto"/>
          <w:sz w:val="28"/>
          <w:szCs w:val="28"/>
        </w:rPr>
      </w:pPr>
      <w:bookmarkStart w:id="17" w:name="_Toc164078820"/>
      <w:bookmarkStart w:id="18" w:name="_Toc163647362"/>
      <w:bookmarkStart w:id="19" w:name="_Toc163759354"/>
      <w:bookmarkStart w:id="20" w:name="_Toc165990625"/>
      <w:r w:rsidRPr="002872A6">
        <w:rPr>
          <w:rFonts w:asciiTheme="minorHAnsi" w:hAnsiTheme="minorHAnsi" w:cstheme="minorHAnsi"/>
          <w:b/>
          <w:color w:val="auto"/>
          <w:sz w:val="28"/>
          <w:szCs w:val="28"/>
        </w:rPr>
        <w:t>P</w:t>
      </w:r>
      <w:bookmarkEnd w:id="17"/>
      <w:bookmarkEnd w:id="18"/>
      <w:bookmarkEnd w:id="19"/>
      <w:r w:rsidRPr="002872A6">
        <w:rPr>
          <w:rFonts w:asciiTheme="minorHAnsi" w:hAnsiTheme="minorHAnsi" w:cstheme="minorHAnsi"/>
          <w:b/>
          <w:color w:val="auto"/>
          <w:sz w:val="28"/>
          <w:szCs w:val="28"/>
        </w:rPr>
        <w:t>ojmy</w:t>
      </w:r>
      <w:bookmarkEnd w:id="20"/>
    </w:p>
    <w:p w:rsidR="00294E20" w:rsidRPr="002872A6" w:rsidRDefault="00294E20" w:rsidP="00294E20">
      <w:pPr>
        <w:suppressAutoHyphens/>
        <w:spacing w:after="0" w:line="360" w:lineRule="auto"/>
        <w:jc w:val="both"/>
        <w:rPr>
          <w:rFonts w:asciiTheme="minorHAnsi" w:hAnsiTheme="minorHAnsi" w:cstheme="minorHAnsi"/>
          <w:color w:val="auto"/>
          <w:sz w:val="24"/>
          <w:szCs w:val="24"/>
        </w:rPr>
      </w:pP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Pojem Léčivý přípravek je definován v zákoně číslo 378/2007 Sb., o léčivech a o změnách některých souvisejících zákonů (dále jen zákon o léčivech), kde je v ustanovení paragrafu 2 odstavec 1 stanoveno, že léčivým přípravkem se rozumí</w:t>
      </w:r>
      <w:r w:rsidRPr="005D2470">
        <w:rPr>
          <w:rFonts w:asciiTheme="minorHAnsi" w:hAnsiTheme="minorHAnsi" w:cstheme="minorHAnsi"/>
          <w:color w:val="auto"/>
          <w:sz w:val="24"/>
          <w:szCs w:val="24"/>
        </w:rPr>
        <w:t xml:space="preserve"> </w:t>
      </w:r>
      <w:r w:rsidRPr="005D2470">
        <w:rPr>
          <w:rFonts w:asciiTheme="minorHAnsi" w:hAnsiTheme="minorHAnsi" w:cstheme="minorHAnsi"/>
          <w:i/>
          <w:iCs/>
          <w:color w:val="auto"/>
          <w:sz w:val="24"/>
          <w:szCs w:val="24"/>
        </w:rPr>
        <w:t>„</w:t>
      </w:r>
      <w:r w:rsidRPr="002872A6">
        <w:rPr>
          <w:rFonts w:asciiTheme="minorHAnsi" w:hAnsiTheme="minorHAnsi" w:cstheme="minorHAnsi"/>
          <w:i/>
          <w:iCs/>
          <w:color w:val="auto"/>
          <w:sz w:val="24"/>
          <w:szCs w:val="24"/>
        </w:rPr>
        <w:t>látka nebo kombinace látek prezentovaná s tím, že má léčebné nebo preventivní vlastnosti v případě onemocnění lidí nebo zvířat, nebo látka nebo kombinace látek, kterou lze použít u lidí, nebo podat lidem, nebo použít u zv</w:t>
      </w:r>
      <w:r>
        <w:rPr>
          <w:rFonts w:asciiTheme="minorHAnsi" w:hAnsiTheme="minorHAnsi" w:cstheme="minorHAnsi"/>
          <w:i/>
          <w:iCs/>
          <w:color w:val="auto"/>
          <w:sz w:val="24"/>
          <w:szCs w:val="24"/>
        </w:rPr>
        <w:t>ířat, nebo podat zvířatům, a to </w:t>
      </w:r>
      <w:r w:rsidRPr="002872A6">
        <w:rPr>
          <w:rFonts w:asciiTheme="minorHAnsi" w:hAnsiTheme="minorHAnsi" w:cstheme="minorHAnsi"/>
          <w:i/>
          <w:iCs/>
          <w:color w:val="auto"/>
          <w:sz w:val="24"/>
          <w:szCs w:val="24"/>
        </w:rPr>
        <w:t>buď za účelem obnovy, úpravy či ovlivnění fyziologických funkcí prostřednictvím farmakologického, imunologického nebo metabolického účinku, nebo za účelem stanovení lékařské diagnózy“</w:t>
      </w:r>
      <w:r>
        <w:rPr>
          <w:rStyle w:val="Znakapoznpodarou"/>
          <w:rFonts w:asciiTheme="minorHAnsi" w:hAnsiTheme="minorHAnsi" w:cstheme="minorHAnsi"/>
          <w:i/>
          <w:iCs/>
          <w:color w:val="auto"/>
          <w:sz w:val="24"/>
          <w:szCs w:val="24"/>
        </w:rPr>
        <w:footnoteReference w:id="1"/>
      </w:r>
      <w:r w:rsidRPr="002872A6">
        <w:rPr>
          <w:rFonts w:asciiTheme="minorHAnsi" w:hAnsiTheme="minorHAnsi" w:cstheme="minorHAnsi"/>
          <w:i/>
          <w:iCs/>
          <w:color w:val="auto"/>
          <w:sz w:val="24"/>
          <w:szCs w:val="24"/>
        </w:rPr>
        <w:t>.</w:t>
      </w:r>
      <w:r w:rsidR="00FA4B56">
        <w:rPr>
          <w:rFonts w:asciiTheme="minorHAnsi" w:hAnsiTheme="minorHAnsi" w:cstheme="minorHAnsi"/>
          <w:i/>
          <w:iCs/>
          <w:color w:val="auto"/>
          <w:sz w:val="24"/>
          <w:szCs w:val="24"/>
        </w:rPr>
        <w:t xml:space="preserve"> </w:t>
      </w:r>
      <w:r w:rsidR="00FA4B56" w:rsidRPr="00BB25D5">
        <w:rPr>
          <w:rFonts w:asciiTheme="minorHAnsi" w:hAnsiTheme="minorHAnsi" w:cstheme="minorHAnsi"/>
          <w:color w:val="auto"/>
          <w:sz w:val="24"/>
          <w:szCs w:val="24"/>
        </w:rPr>
        <w:t>[3]</w:t>
      </w: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Pojem Látka je definován v zákoně o léčivech, </w:t>
      </w:r>
      <w:r>
        <w:rPr>
          <w:rFonts w:asciiTheme="minorHAnsi" w:hAnsiTheme="minorHAnsi" w:cstheme="minorHAnsi"/>
          <w:color w:val="auto"/>
          <w:sz w:val="24"/>
          <w:szCs w:val="24"/>
        </w:rPr>
        <w:t>kde je v ustanovení paragrafu</w:t>
      </w:r>
      <w:r w:rsidR="00FA4B56">
        <w:rPr>
          <w:rFonts w:asciiTheme="minorHAnsi" w:hAnsiTheme="minorHAnsi" w:cstheme="minorHAnsi"/>
          <w:color w:val="auto"/>
          <w:sz w:val="24"/>
          <w:szCs w:val="24"/>
        </w:rPr>
        <w:t> </w:t>
      </w:r>
      <w:r>
        <w:rPr>
          <w:rFonts w:asciiTheme="minorHAnsi" w:hAnsiTheme="minorHAnsi" w:cstheme="minorHAnsi"/>
          <w:color w:val="auto"/>
          <w:sz w:val="24"/>
          <w:szCs w:val="24"/>
        </w:rPr>
        <w:t>2 </w:t>
      </w:r>
      <w:r w:rsidRPr="002872A6">
        <w:rPr>
          <w:rFonts w:asciiTheme="minorHAnsi" w:hAnsiTheme="minorHAnsi" w:cstheme="minorHAnsi"/>
          <w:color w:val="auto"/>
          <w:sz w:val="24"/>
          <w:szCs w:val="24"/>
        </w:rPr>
        <w:t xml:space="preserve">odstavec 3 stanoveno, že látkou se rozumí </w:t>
      </w:r>
      <w:r w:rsidRPr="002872A6">
        <w:rPr>
          <w:rFonts w:asciiTheme="minorHAnsi" w:hAnsiTheme="minorHAnsi" w:cstheme="minorHAnsi"/>
          <w:i/>
          <w:iCs/>
          <w:color w:val="auto"/>
          <w:sz w:val="24"/>
          <w:szCs w:val="24"/>
        </w:rPr>
        <w:t>„jakákoliv látka bez ohledu na její původ, který může být lidský, například lidská krev, její složky a přípravky z lidské krve, živočišný, například mikroorganismy, toxiny, celí živočichové, části orgánů, živočišné sekrety, extrakty nebo přípravky z krve, rostlinný, nebo chemický“</w:t>
      </w:r>
      <w:r w:rsidR="00D6078B">
        <w:rPr>
          <w:rStyle w:val="Znakapoznpodarou"/>
          <w:rFonts w:asciiTheme="minorHAnsi" w:hAnsiTheme="minorHAnsi" w:cstheme="minorHAnsi"/>
          <w:i/>
          <w:iCs/>
          <w:color w:val="auto"/>
          <w:sz w:val="24"/>
          <w:szCs w:val="24"/>
        </w:rPr>
        <w:footnoteReference w:id="2"/>
      </w:r>
      <w:r w:rsidRPr="002872A6">
        <w:rPr>
          <w:rFonts w:asciiTheme="minorHAnsi" w:hAnsiTheme="minorHAnsi" w:cstheme="minorHAnsi"/>
          <w:i/>
          <w:iCs/>
          <w:color w:val="auto"/>
          <w:sz w:val="24"/>
          <w:szCs w:val="24"/>
        </w:rPr>
        <w:t>.</w:t>
      </w:r>
      <w:r w:rsidR="00FA4B56" w:rsidRPr="00FA4B56">
        <w:rPr>
          <w:rFonts w:asciiTheme="minorHAnsi" w:hAnsiTheme="minorHAnsi" w:cstheme="minorHAnsi"/>
          <w:color w:val="auto"/>
          <w:sz w:val="24"/>
          <w:szCs w:val="24"/>
        </w:rPr>
        <w:t xml:space="preserve"> </w:t>
      </w:r>
      <w:r w:rsidR="00FA4B56" w:rsidRPr="00BB25D5">
        <w:rPr>
          <w:rFonts w:asciiTheme="minorHAnsi" w:hAnsiTheme="minorHAnsi" w:cstheme="minorHAnsi"/>
          <w:color w:val="auto"/>
          <w:sz w:val="24"/>
          <w:szCs w:val="24"/>
        </w:rPr>
        <w:t>[3]</w:t>
      </w: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Pojem Doplněk stravy je definován v zákoně číslo 110/1997 Sb., o potravinách a tabákových výrobcích a o změně a doplnění některých souvisejících zákonů, kde je v ustanovení paragrafu 2 písmeno g) stanoveno, že „</w:t>
      </w:r>
      <w:r w:rsidRPr="002872A6">
        <w:rPr>
          <w:rFonts w:asciiTheme="minorHAnsi" w:hAnsiTheme="minorHAnsi" w:cstheme="minorHAnsi"/>
          <w:i/>
          <w:iCs/>
          <w:color w:val="auto"/>
          <w:sz w:val="24"/>
          <w:szCs w:val="24"/>
        </w:rPr>
        <w:t>doplňkem stravy je potravina, jejímž účelem je doplňovat běžnou stravu a která je koncentrovaným zdrojem vitamínů a minerálních látek nebo dalších látek s nutričním nebo fyziologickým účinkem, obsažených v potravě samostatně nebo v kombinaci, určená k přímé spotřebě v malých odměřených množstvích“</w:t>
      </w:r>
      <w:r w:rsidR="00D6078B">
        <w:rPr>
          <w:rStyle w:val="Znakapoznpodarou"/>
          <w:rFonts w:asciiTheme="minorHAnsi" w:hAnsiTheme="minorHAnsi" w:cstheme="minorHAnsi"/>
          <w:i/>
          <w:iCs/>
          <w:color w:val="auto"/>
          <w:sz w:val="24"/>
          <w:szCs w:val="24"/>
        </w:rPr>
        <w:footnoteReference w:id="3"/>
      </w:r>
      <w:r w:rsidRPr="002872A6">
        <w:rPr>
          <w:rFonts w:asciiTheme="minorHAnsi" w:hAnsiTheme="minorHAnsi" w:cstheme="minorHAnsi"/>
          <w:i/>
          <w:iCs/>
          <w:color w:val="auto"/>
          <w:sz w:val="24"/>
          <w:szCs w:val="24"/>
        </w:rPr>
        <w:t>.</w:t>
      </w:r>
      <w:r w:rsidR="000F2AEC" w:rsidRPr="000F2AEC">
        <w:rPr>
          <w:rFonts w:asciiTheme="minorHAnsi" w:hAnsiTheme="minorHAnsi" w:cstheme="minorHAnsi"/>
          <w:color w:val="auto"/>
          <w:sz w:val="24"/>
          <w:szCs w:val="24"/>
        </w:rPr>
        <w:t xml:space="preserve"> </w:t>
      </w:r>
      <w:r w:rsidR="000F2AEC" w:rsidRPr="00BB25D5">
        <w:rPr>
          <w:rFonts w:asciiTheme="minorHAnsi" w:hAnsiTheme="minorHAnsi" w:cstheme="minorHAnsi"/>
          <w:color w:val="auto"/>
          <w:sz w:val="24"/>
          <w:szCs w:val="24"/>
        </w:rPr>
        <w:t>[</w:t>
      </w:r>
      <w:r w:rsidR="000F2AEC">
        <w:rPr>
          <w:rFonts w:asciiTheme="minorHAnsi" w:hAnsiTheme="minorHAnsi" w:cstheme="minorHAnsi"/>
          <w:color w:val="auto"/>
          <w:sz w:val="24"/>
          <w:szCs w:val="24"/>
        </w:rPr>
        <w:t>4</w:t>
      </w:r>
      <w:r w:rsidR="000F2AEC" w:rsidRPr="00BB25D5">
        <w:rPr>
          <w:rFonts w:asciiTheme="minorHAnsi" w:hAnsiTheme="minorHAnsi" w:cstheme="minorHAnsi"/>
          <w:color w:val="auto"/>
          <w:sz w:val="24"/>
          <w:szCs w:val="24"/>
        </w:rPr>
        <w:t>]</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I v dalších vyhláškách či směrnicích Evropské unie, je vždy o doplňku stravy hovořeno jako o potravině, kdy již z tohoto spojení je zřejmé, že se nejedná o léčivo.</w:t>
      </w:r>
      <w:r w:rsidR="00615900" w:rsidRPr="00615900">
        <w:rPr>
          <w:rFonts w:asciiTheme="minorHAnsi" w:hAnsiTheme="minorHAnsi" w:cstheme="minorHAnsi"/>
          <w:color w:val="auto"/>
          <w:sz w:val="24"/>
          <w:szCs w:val="24"/>
        </w:rPr>
        <w:t xml:space="preserve"> </w:t>
      </w:r>
      <w:r w:rsidR="00615900" w:rsidRPr="00BB25D5">
        <w:rPr>
          <w:rFonts w:asciiTheme="minorHAnsi" w:hAnsiTheme="minorHAnsi" w:cstheme="minorHAnsi"/>
          <w:color w:val="auto"/>
          <w:sz w:val="24"/>
          <w:szCs w:val="24"/>
        </w:rPr>
        <w:t>[</w:t>
      </w:r>
      <w:r w:rsidR="00615900">
        <w:rPr>
          <w:rFonts w:asciiTheme="minorHAnsi" w:hAnsiTheme="minorHAnsi" w:cstheme="minorHAnsi"/>
          <w:color w:val="auto"/>
          <w:sz w:val="24"/>
          <w:szCs w:val="24"/>
        </w:rPr>
        <w:t>4</w:t>
      </w:r>
      <w:r w:rsidR="00615900" w:rsidRPr="00BB25D5">
        <w:rPr>
          <w:rFonts w:asciiTheme="minorHAnsi" w:hAnsiTheme="minorHAnsi" w:cstheme="minorHAnsi"/>
          <w:color w:val="auto"/>
          <w:sz w:val="24"/>
          <w:szCs w:val="24"/>
        </w:rPr>
        <w:t>]</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 xml:space="preserve">Pojem Zdravotnický prostředek je definován v </w:t>
      </w:r>
      <w:r w:rsidR="00D16FC7" w:rsidRPr="002872A6">
        <w:rPr>
          <w:rFonts w:asciiTheme="minorHAnsi" w:hAnsiTheme="minorHAnsi" w:cstheme="minorHAnsi"/>
          <w:color w:val="auto"/>
          <w:sz w:val="24"/>
          <w:szCs w:val="24"/>
        </w:rPr>
        <w:t>N</w:t>
      </w:r>
      <w:r w:rsidR="00D16FC7">
        <w:rPr>
          <w:rFonts w:asciiTheme="minorHAnsi" w:hAnsiTheme="minorHAnsi" w:cstheme="minorHAnsi"/>
          <w:color w:val="auto"/>
          <w:sz w:val="24"/>
          <w:szCs w:val="24"/>
        </w:rPr>
        <w:t>ařízení Evropského parlamentu a </w:t>
      </w:r>
      <w:r w:rsidR="00D16FC7" w:rsidRPr="002872A6">
        <w:rPr>
          <w:rFonts w:asciiTheme="minorHAnsi" w:hAnsiTheme="minorHAnsi" w:cstheme="minorHAnsi"/>
          <w:color w:val="auto"/>
          <w:sz w:val="24"/>
          <w:szCs w:val="24"/>
        </w:rPr>
        <w:t>Rady (</w:t>
      </w:r>
      <w:r w:rsidR="00D16FC7">
        <w:rPr>
          <w:rFonts w:asciiTheme="minorHAnsi" w:hAnsiTheme="minorHAnsi" w:cstheme="minorHAnsi"/>
          <w:color w:val="auto"/>
          <w:sz w:val="24"/>
          <w:szCs w:val="24"/>
        </w:rPr>
        <w:t>EU</w:t>
      </w:r>
      <w:r w:rsidR="00D16FC7" w:rsidRPr="002872A6">
        <w:rPr>
          <w:rFonts w:asciiTheme="minorHAnsi" w:hAnsiTheme="minorHAnsi" w:cstheme="minorHAnsi"/>
          <w:color w:val="auto"/>
          <w:sz w:val="24"/>
          <w:szCs w:val="24"/>
        </w:rPr>
        <w:t xml:space="preserve">) </w:t>
      </w:r>
      <w:r w:rsidR="00D16FC7">
        <w:rPr>
          <w:rFonts w:asciiTheme="minorHAnsi" w:hAnsiTheme="minorHAnsi" w:cstheme="minorHAnsi"/>
          <w:color w:val="auto"/>
          <w:sz w:val="24"/>
          <w:szCs w:val="24"/>
        </w:rPr>
        <w:t>2017</w:t>
      </w:r>
      <w:r w:rsidR="00D16FC7" w:rsidRPr="002872A6">
        <w:rPr>
          <w:rFonts w:asciiTheme="minorHAnsi" w:hAnsiTheme="minorHAnsi" w:cstheme="minorHAnsi"/>
          <w:color w:val="auto"/>
          <w:sz w:val="24"/>
          <w:szCs w:val="24"/>
        </w:rPr>
        <w:t>/</w:t>
      </w:r>
      <w:r w:rsidR="00D16FC7">
        <w:rPr>
          <w:rFonts w:asciiTheme="minorHAnsi" w:hAnsiTheme="minorHAnsi" w:cstheme="minorHAnsi"/>
          <w:color w:val="auto"/>
          <w:sz w:val="24"/>
          <w:szCs w:val="24"/>
        </w:rPr>
        <w:t>745</w:t>
      </w:r>
      <w:r w:rsidR="00D16FC7" w:rsidRPr="002872A6">
        <w:rPr>
          <w:rFonts w:asciiTheme="minorHAnsi" w:hAnsiTheme="minorHAnsi" w:cstheme="minorHAnsi"/>
          <w:color w:val="auto"/>
          <w:sz w:val="24"/>
          <w:szCs w:val="24"/>
        </w:rPr>
        <w:t xml:space="preserve"> o </w:t>
      </w:r>
      <w:r w:rsidR="00D16FC7">
        <w:rPr>
          <w:rFonts w:asciiTheme="minorHAnsi" w:hAnsiTheme="minorHAnsi" w:cstheme="minorHAnsi"/>
          <w:color w:val="auto"/>
          <w:sz w:val="24"/>
          <w:szCs w:val="24"/>
        </w:rPr>
        <w:t>zdravotních prostředcích</w:t>
      </w:r>
      <w:r w:rsidR="00D16FC7" w:rsidRPr="002872A6">
        <w:rPr>
          <w:rFonts w:asciiTheme="minorHAnsi" w:hAnsiTheme="minorHAnsi" w:cstheme="minorHAnsi"/>
          <w:color w:val="auto"/>
          <w:sz w:val="24"/>
          <w:szCs w:val="24"/>
        </w:rPr>
        <w:t>, kde ve článku 2 odstavec 1</w:t>
      </w:r>
      <w:r w:rsidR="00D16FC7">
        <w:rPr>
          <w:rFonts w:asciiTheme="minorHAnsi" w:hAnsiTheme="minorHAnsi" w:cstheme="minorHAnsi"/>
          <w:color w:val="auto"/>
          <w:sz w:val="24"/>
          <w:szCs w:val="24"/>
        </w:rPr>
        <w:t xml:space="preserve"> je </w:t>
      </w:r>
      <w:r w:rsidRPr="002872A6">
        <w:rPr>
          <w:rFonts w:asciiTheme="minorHAnsi" w:hAnsiTheme="minorHAnsi" w:cstheme="minorHAnsi"/>
          <w:color w:val="auto"/>
          <w:sz w:val="24"/>
          <w:szCs w:val="24"/>
        </w:rPr>
        <w:t>stanoveno, že</w:t>
      </w:r>
      <w:r>
        <w:rPr>
          <w:rFonts w:asciiTheme="minorHAnsi" w:hAnsiTheme="minorHAnsi" w:cstheme="minorHAnsi"/>
          <w:color w:val="auto"/>
          <w:sz w:val="24"/>
          <w:szCs w:val="24"/>
        </w:rPr>
        <w:t> </w:t>
      </w:r>
      <w:r w:rsidRPr="00F449E3">
        <w:rPr>
          <w:rFonts w:asciiTheme="minorHAnsi" w:hAnsiTheme="minorHAnsi" w:cstheme="minorHAnsi"/>
          <w:iCs/>
          <w:color w:val="auto"/>
          <w:sz w:val="24"/>
          <w:szCs w:val="24"/>
        </w:rPr>
        <w:t>zdravotnickým prostředkem se rozumí</w:t>
      </w:r>
      <w:r w:rsidRPr="002872A6">
        <w:rPr>
          <w:rFonts w:asciiTheme="minorHAnsi" w:hAnsiTheme="minorHAnsi" w:cstheme="minorHAnsi"/>
          <w:i/>
          <w:iCs/>
          <w:color w:val="auto"/>
          <w:sz w:val="24"/>
          <w:szCs w:val="24"/>
        </w:rPr>
        <w:t xml:space="preserve"> </w:t>
      </w:r>
      <w:r w:rsidR="00F449E3">
        <w:rPr>
          <w:rFonts w:asciiTheme="minorHAnsi" w:hAnsiTheme="minorHAnsi" w:cstheme="minorHAnsi"/>
          <w:i/>
          <w:iCs/>
          <w:color w:val="auto"/>
          <w:sz w:val="24"/>
          <w:szCs w:val="24"/>
        </w:rPr>
        <w:t>„</w:t>
      </w:r>
      <w:r w:rsidRPr="002872A6">
        <w:rPr>
          <w:rFonts w:asciiTheme="minorHAnsi" w:hAnsiTheme="minorHAnsi" w:cstheme="minorHAnsi"/>
          <w:i/>
          <w:iCs/>
          <w:color w:val="auto"/>
          <w:sz w:val="24"/>
          <w:szCs w:val="24"/>
        </w:rPr>
        <w:t xml:space="preserve">nástroj, přístroj, </w:t>
      </w:r>
      <w:r w:rsidR="00F449E3">
        <w:rPr>
          <w:rFonts w:asciiTheme="minorHAnsi" w:hAnsiTheme="minorHAnsi" w:cstheme="minorHAnsi"/>
          <w:i/>
          <w:iCs/>
          <w:color w:val="auto"/>
          <w:sz w:val="24"/>
          <w:szCs w:val="24"/>
        </w:rPr>
        <w:t>zařízení, software, implantát, činidlo, materiál nebo jiný předmět určený výrobcem k použití, samostatně nebo v kombinaci, u lidí k jednomu nebo několika z těchto konkrétních léčebných účelů: diagnostika, prevence, monitorování, predikce, prognóza, léčba nebo mírnění nemoci, diagnostika monitorování, léčba mírnění nebo kompenzace poranění nebo zdravotního postižení, vyšetřování, náhrady nebo úpravy anatomické struktury nebo fyziologického či patologického procesu nebo stavu, poskytování informací prostřednictvím vyšetření in vitro, pokud jde o vzorky pocházející z lidského těla, včetně darování orgánů, krve a tkání, který nedosahuje svého hlavního určeného účinku v lidském těle nebo na jeho povrchu farmakologickými, imunologickými ani metabolickými účinky, jehož funkce však může být takovými účinky podpořena“.</w:t>
      </w:r>
      <w:r w:rsidR="00D6078B">
        <w:rPr>
          <w:rStyle w:val="Znakapoznpodarou"/>
          <w:rFonts w:asciiTheme="minorHAnsi" w:hAnsiTheme="minorHAnsi" w:cstheme="minorHAnsi"/>
          <w:i/>
          <w:iCs/>
          <w:color w:val="auto"/>
          <w:sz w:val="24"/>
          <w:szCs w:val="24"/>
        </w:rPr>
        <w:footnoteReference w:id="4"/>
      </w:r>
      <w:bookmarkStart w:id="22" w:name="__DdeLink__1217_315977421"/>
      <w:bookmarkEnd w:id="22"/>
      <w:r w:rsidRPr="002872A6">
        <w:rPr>
          <w:rFonts w:asciiTheme="minorHAnsi" w:hAnsiTheme="minorHAnsi" w:cstheme="minorHAnsi"/>
          <w:color w:val="auto"/>
          <w:sz w:val="24"/>
          <w:szCs w:val="24"/>
        </w:rPr>
        <w:t xml:space="preserve"> </w:t>
      </w:r>
      <w:r w:rsidR="00F449E3">
        <w:rPr>
          <w:rFonts w:asciiTheme="minorHAnsi" w:hAnsiTheme="minorHAnsi" w:cstheme="minorHAnsi"/>
          <w:color w:val="auto"/>
          <w:sz w:val="24"/>
          <w:szCs w:val="24"/>
        </w:rPr>
        <w:t>Dále je</w:t>
      </w:r>
      <w:r w:rsidR="00E55360">
        <w:rPr>
          <w:rFonts w:asciiTheme="minorHAnsi" w:hAnsiTheme="minorHAnsi" w:cstheme="minorHAnsi"/>
          <w:color w:val="auto"/>
          <w:sz w:val="24"/>
          <w:szCs w:val="24"/>
        </w:rPr>
        <w:t> </w:t>
      </w:r>
      <w:r w:rsidR="00F449E3">
        <w:rPr>
          <w:rFonts w:asciiTheme="minorHAnsi" w:hAnsiTheme="minorHAnsi" w:cstheme="minorHAnsi"/>
          <w:color w:val="auto"/>
          <w:sz w:val="24"/>
          <w:szCs w:val="24"/>
        </w:rPr>
        <w:t>v tomto nařízení stanoveno, že s</w:t>
      </w:r>
      <w:r w:rsidR="00E55360">
        <w:rPr>
          <w:rFonts w:asciiTheme="minorHAnsi" w:hAnsiTheme="minorHAnsi" w:cstheme="minorHAnsi"/>
          <w:color w:val="auto"/>
          <w:sz w:val="24"/>
          <w:szCs w:val="24"/>
        </w:rPr>
        <w:t>e za zdravotnický prostředek považuje také výrobek, jehož funkce je určena ke kontrol</w:t>
      </w:r>
      <w:r w:rsidR="00771FD8">
        <w:rPr>
          <w:rFonts w:asciiTheme="minorHAnsi" w:hAnsiTheme="minorHAnsi" w:cstheme="minorHAnsi"/>
          <w:color w:val="auto"/>
          <w:sz w:val="24"/>
          <w:szCs w:val="24"/>
        </w:rPr>
        <w:t>e</w:t>
      </w:r>
      <w:r w:rsidR="00E55360">
        <w:rPr>
          <w:rFonts w:asciiTheme="minorHAnsi" w:hAnsiTheme="minorHAnsi" w:cstheme="minorHAnsi"/>
          <w:color w:val="auto"/>
          <w:sz w:val="24"/>
          <w:szCs w:val="24"/>
        </w:rPr>
        <w:t xml:space="preserve"> případně podpoře početí, a dále výrobek, jehož funkcí je čištění, dezinfekce nebo sterilizace a to konkrétně zdravotnických prostředků a příslušenství zdravotnických prostředků dle tohoto nařízení. </w:t>
      </w:r>
      <w:r w:rsidR="001834DB" w:rsidRPr="00BB25D5">
        <w:rPr>
          <w:rFonts w:asciiTheme="minorHAnsi" w:hAnsiTheme="minorHAnsi" w:cstheme="minorHAnsi"/>
          <w:color w:val="auto"/>
          <w:sz w:val="24"/>
          <w:szCs w:val="24"/>
        </w:rPr>
        <w:t>[</w:t>
      </w:r>
      <w:r w:rsidR="001834DB">
        <w:rPr>
          <w:rFonts w:asciiTheme="minorHAnsi" w:hAnsiTheme="minorHAnsi" w:cstheme="minorHAnsi"/>
          <w:color w:val="auto"/>
          <w:sz w:val="24"/>
          <w:szCs w:val="24"/>
        </w:rPr>
        <w:t>5</w:t>
      </w:r>
      <w:r w:rsidR="001834DB" w:rsidRPr="00BB25D5">
        <w:rPr>
          <w:rFonts w:asciiTheme="minorHAnsi" w:hAnsiTheme="minorHAnsi" w:cstheme="minorHAnsi"/>
          <w:color w:val="auto"/>
          <w:sz w:val="24"/>
          <w:szCs w:val="24"/>
        </w:rPr>
        <w:t>]</w:t>
      </w: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Pojem Kosmetický přípravek je definován v N</w:t>
      </w:r>
      <w:r>
        <w:rPr>
          <w:rFonts w:asciiTheme="minorHAnsi" w:hAnsiTheme="minorHAnsi" w:cstheme="minorHAnsi"/>
          <w:color w:val="auto"/>
          <w:sz w:val="24"/>
          <w:szCs w:val="24"/>
        </w:rPr>
        <w:t>ařízení Evropského parlamentu a </w:t>
      </w:r>
      <w:r w:rsidRPr="002872A6">
        <w:rPr>
          <w:rFonts w:asciiTheme="minorHAnsi" w:hAnsiTheme="minorHAnsi" w:cstheme="minorHAnsi"/>
          <w:color w:val="auto"/>
          <w:sz w:val="24"/>
          <w:szCs w:val="24"/>
        </w:rPr>
        <w:t>Rady (ES) 1223/2009 o kosmetických přípravcích, kde ve článku 2 odstavec 1</w:t>
      </w:r>
      <w:r w:rsidR="001834DB">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písmeno</w:t>
      </w:r>
      <w:r w:rsidR="001834DB">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a) je stanoveno, že je to </w:t>
      </w:r>
      <w:r w:rsidRPr="002872A6">
        <w:rPr>
          <w:rFonts w:asciiTheme="minorHAnsi" w:hAnsiTheme="minorHAnsi" w:cstheme="minorHAnsi"/>
          <w:i/>
          <w:iCs/>
          <w:color w:val="auto"/>
          <w:sz w:val="24"/>
          <w:szCs w:val="24"/>
        </w:rPr>
        <w:t>„jakákoliv látka nebo směs určená pro styk s vnějšími částmi lidského těla (pokožkou, vlasovým systémem, nehty, rty, vnější</w:t>
      </w:r>
      <w:r w:rsidR="001834DB">
        <w:rPr>
          <w:rFonts w:asciiTheme="minorHAnsi" w:hAnsiTheme="minorHAnsi" w:cstheme="minorHAnsi"/>
          <w:i/>
          <w:iCs/>
          <w:color w:val="auto"/>
          <w:sz w:val="24"/>
          <w:szCs w:val="24"/>
        </w:rPr>
        <w:t>mi</w:t>
      </w:r>
      <w:r w:rsidRPr="002872A6">
        <w:rPr>
          <w:rFonts w:asciiTheme="minorHAnsi" w:hAnsiTheme="minorHAnsi" w:cstheme="minorHAnsi"/>
          <w:i/>
          <w:iCs/>
          <w:color w:val="auto"/>
          <w:sz w:val="24"/>
          <w:szCs w:val="24"/>
        </w:rPr>
        <w:t xml:space="preserve"> pohlavními orgány) nebo se zuby a sliznicemi ústní dutiny, výhradně nebo převážně za účelem jejich čištění, parfemace, změny jejich vzhledu, jejich ochrany, jejich udržování v dobrém stavu nebo úpravy tělesných pachů</w:t>
      </w:r>
      <w:r>
        <w:rPr>
          <w:rFonts w:asciiTheme="minorHAnsi" w:hAnsiTheme="minorHAnsi" w:cstheme="minorHAnsi"/>
          <w:i/>
          <w:iCs/>
          <w:color w:val="auto"/>
          <w:sz w:val="24"/>
          <w:szCs w:val="24"/>
        </w:rPr>
        <w:t>“</w:t>
      </w:r>
      <w:r w:rsidR="001834DB" w:rsidRPr="001834DB">
        <w:rPr>
          <w:rStyle w:val="Znakapoznpodarou"/>
          <w:rFonts w:asciiTheme="minorHAnsi" w:hAnsiTheme="minorHAnsi" w:cstheme="minorHAnsi"/>
          <w:i/>
          <w:iCs/>
          <w:color w:val="auto"/>
          <w:sz w:val="24"/>
          <w:szCs w:val="24"/>
        </w:rPr>
        <w:t xml:space="preserve"> </w:t>
      </w:r>
      <w:r w:rsidR="001834DB">
        <w:rPr>
          <w:rStyle w:val="Znakapoznpodarou"/>
          <w:rFonts w:asciiTheme="minorHAnsi" w:hAnsiTheme="minorHAnsi" w:cstheme="minorHAnsi"/>
          <w:i/>
          <w:iCs/>
          <w:color w:val="auto"/>
          <w:sz w:val="24"/>
          <w:szCs w:val="24"/>
        </w:rPr>
        <w:footnoteReference w:id="5"/>
      </w:r>
      <w:r>
        <w:rPr>
          <w:rFonts w:asciiTheme="minorHAnsi" w:hAnsiTheme="minorHAnsi" w:cstheme="minorHAnsi"/>
          <w:i/>
          <w:iCs/>
          <w:color w:val="auto"/>
          <w:sz w:val="24"/>
          <w:szCs w:val="24"/>
        </w:rPr>
        <w:t xml:space="preserve">. </w:t>
      </w:r>
      <w:r w:rsidRPr="002872A6">
        <w:rPr>
          <w:rFonts w:asciiTheme="minorHAnsi" w:hAnsiTheme="minorHAnsi" w:cstheme="minorHAnsi"/>
          <w:color w:val="auto"/>
          <w:sz w:val="24"/>
          <w:szCs w:val="24"/>
        </w:rPr>
        <w:t xml:space="preserve">Přičemž dále je zde i negativní vymezení v odstavci 2, kde je stanoveno, že </w:t>
      </w:r>
      <w:r w:rsidRPr="002872A6">
        <w:rPr>
          <w:rFonts w:asciiTheme="minorHAnsi" w:hAnsiTheme="minorHAnsi" w:cstheme="minorHAnsi"/>
          <w:i/>
          <w:iCs/>
          <w:color w:val="auto"/>
          <w:sz w:val="24"/>
          <w:szCs w:val="24"/>
        </w:rPr>
        <w:t>„za kosmetický přípravek se nepovažuje látka nebo směs určená k požití, vdechování, injekční aplikaci nebo k implantaci do lidského těla“</w:t>
      </w:r>
      <w:r w:rsidR="00D6078B">
        <w:rPr>
          <w:rStyle w:val="Znakapoznpodarou"/>
          <w:rFonts w:asciiTheme="minorHAnsi" w:hAnsiTheme="minorHAnsi" w:cstheme="minorHAnsi"/>
          <w:i/>
          <w:iCs/>
          <w:color w:val="auto"/>
          <w:sz w:val="24"/>
          <w:szCs w:val="24"/>
        </w:rPr>
        <w:footnoteReference w:id="6"/>
      </w:r>
      <w:r w:rsidRPr="002872A6">
        <w:rPr>
          <w:rFonts w:asciiTheme="minorHAnsi" w:hAnsiTheme="minorHAnsi" w:cstheme="minorHAnsi"/>
          <w:i/>
          <w:iCs/>
          <w:color w:val="auto"/>
          <w:sz w:val="24"/>
          <w:szCs w:val="24"/>
        </w:rPr>
        <w:t>.</w:t>
      </w:r>
      <w:r w:rsidR="001834DB" w:rsidRPr="001834DB">
        <w:rPr>
          <w:rFonts w:asciiTheme="minorHAnsi" w:hAnsiTheme="minorHAnsi" w:cstheme="minorHAnsi"/>
          <w:color w:val="auto"/>
          <w:sz w:val="24"/>
          <w:szCs w:val="24"/>
        </w:rPr>
        <w:t xml:space="preserve"> </w:t>
      </w:r>
      <w:r w:rsidR="001834DB" w:rsidRPr="00BB25D5">
        <w:rPr>
          <w:rFonts w:asciiTheme="minorHAnsi" w:hAnsiTheme="minorHAnsi" w:cstheme="minorHAnsi"/>
          <w:color w:val="auto"/>
          <w:sz w:val="24"/>
          <w:szCs w:val="24"/>
        </w:rPr>
        <w:t>[</w:t>
      </w:r>
      <w:r w:rsidR="001834DB">
        <w:rPr>
          <w:rFonts w:asciiTheme="minorHAnsi" w:hAnsiTheme="minorHAnsi" w:cstheme="minorHAnsi"/>
          <w:color w:val="auto"/>
          <w:sz w:val="24"/>
          <w:szCs w:val="24"/>
        </w:rPr>
        <w:t>6</w:t>
      </w:r>
      <w:r w:rsidR="001834DB" w:rsidRPr="00BB25D5">
        <w:rPr>
          <w:rFonts w:asciiTheme="minorHAnsi" w:hAnsiTheme="minorHAnsi" w:cstheme="minorHAnsi"/>
          <w:color w:val="auto"/>
          <w:sz w:val="24"/>
          <w:szCs w:val="24"/>
        </w:rPr>
        <w:t>]</w:t>
      </w: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lastRenderedPageBreak/>
        <w:t>Pojem Potraviny pro zvláštní lékařské účely je definován v Nařízení Evropského parlamentu a Rady (EU) 609/2013 o potravinách určených pro kojence a malé děti, potravinách pro zvláštní lékařské účely a náhradě celodenní stravy pro regulaci hmotnosti a o zrušení směrnice Rady 92/52/EHS, směrnic</w:t>
      </w:r>
      <w:r w:rsidR="001F13D2">
        <w:rPr>
          <w:rFonts w:asciiTheme="minorHAnsi" w:hAnsiTheme="minorHAnsi" w:cstheme="minorHAnsi"/>
          <w:color w:val="auto"/>
          <w:sz w:val="24"/>
          <w:szCs w:val="24"/>
        </w:rPr>
        <w:t>e</w:t>
      </w:r>
      <w:r w:rsidRPr="002872A6">
        <w:rPr>
          <w:rFonts w:asciiTheme="minorHAnsi" w:hAnsiTheme="minorHAnsi" w:cstheme="minorHAnsi"/>
          <w:color w:val="auto"/>
          <w:sz w:val="24"/>
          <w:szCs w:val="24"/>
        </w:rPr>
        <w:t xml:space="preserve"> Komise 96/8/ES, 1999/21/ES, 2006/125/ES a 2006/141/ES, směrnice Evropského parlamentu a Rady 2009/39/ES a nařízení Komise (ES) č. 41/2009 a (ES) č. 953/</w:t>
      </w:r>
      <w:r w:rsidR="001F13D2">
        <w:rPr>
          <w:rFonts w:asciiTheme="minorHAnsi" w:hAnsiTheme="minorHAnsi" w:cstheme="minorHAnsi"/>
          <w:color w:val="auto"/>
          <w:sz w:val="24"/>
          <w:szCs w:val="24"/>
        </w:rPr>
        <w:t>2009, kde v článku 2 odstavec </w:t>
      </w:r>
      <w:r>
        <w:rPr>
          <w:rFonts w:asciiTheme="minorHAnsi" w:hAnsiTheme="minorHAnsi" w:cstheme="minorHAnsi"/>
          <w:color w:val="auto"/>
          <w:sz w:val="24"/>
          <w:szCs w:val="24"/>
        </w:rPr>
        <w:t>2 </w:t>
      </w:r>
      <w:r w:rsidRPr="002872A6">
        <w:rPr>
          <w:rFonts w:asciiTheme="minorHAnsi" w:hAnsiTheme="minorHAnsi" w:cstheme="minorHAnsi"/>
          <w:color w:val="auto"/>
          <w:sz w:val="24"/>
          <w:szCs w:val="24"/>
        </w:rPr>
        <w:t xml:space="preserve">písmeno g) je stanoveno, že se tím </w:t>
      </w:r>
      <w:r w:rsidRPr="002872A6">
        <w:rPr>
          <w:rFonts w:asciiTheme="minorHAnsi" w:hAnsiTheme="minorHAnsi" w:cstheme="minorHAnsi"/>
          <w:i/>
          <w:iCs/>
          <w:color w:val="auto"/>
          <w:sz w:val="24"/>
          <w:szCs w:val="24"/>
        </w:rPr>
        <w:t>„rozumí potraviny, které jsou zvláštním způsobem zpracovány či mají zvláštní složení a které jsou určeny pro řízenou dietní výživu pacientů včetně kojenců k použití pod lékařským dohledem, tedy jako jediná nebo částečná výživa pacientů s omezenou, sníženou nebo narušenou schopností přijímat, trávit, vstřebávat, metabolizovat nebo vylučovat obvyklé potraviny nebo určité živiny v nich obsažené či jejich metabolity nebo pacientů s jinými lékařskými požadavky na výživu, jejichž řízené dietní výživy nelze dosáhnout pouze změnou normální stravy.“</w:t>
      </w:r>
      <w:r w:rsidR="00D6078B">
        <w:rPr>
          <w:rStyle w:val="Znakapoznpodarou"/>
          <w:rFonts w:asciiTheme="minorHAnsi" w:hAnsiTheme="minorHAnsi" w:cstheme="minorHAnsi"/>
          <w:i/>
          <w:iCs/>
          <w:color w:val="auto"/>
          <w:sz w:val="24"/>
          <w:szCs w:val="24"/>
        </w:rPr>
        <w:footnoteReference w:id="7"/>
      </w:r>
      <w:r w:rsidR="001F13D2">
        <w:rPr>
          <w:rFonts w:asciiTheme="minorHAnsi" w:hAnsiTheme="minorHAnsi" w:cstheme="minorHAnsi"/>
          <w:color w:val="auto"/>
          <w:sz w:val="24"/>
          <w:szCs w:val="24"/>
        </w:rPr>
        <w:t> </w:t>
      </w:r>
      <w:r w:rsidR="001F13D2" w:rsidRPr="00BB25D5">
        <w:rPr>
          <w:rFonts w:asciiTheme="minorHAnsi" w:hAnsiTheme="minorHAnsi" w:cstheme="minorHAnsi"/>
          <w:color w:val="auto"/>
          <w:sz w:val="24"/>
          <w:szCs w:val="24"/>
        </w:rPr>
        <w:t>[</w:t>
      </w:r>
      <w:r w:rsidR="001F13D2">
        <w:rPr>
          <w:rFonts w:asciiTheme="minorHAnsi" w:hAnsiTheme="minorHAnsi" w:cstheme="minorHAnsi"/>
          <w:color w:val="auto"/>
          <w:sz w:val="24"/>
          <w:szCs w:val="24"/>
        </w:rPr>
        <w:t>7</w:t>
      </w:r>
      <w:r w:rsidR="001F13D2" w:rsidRPr="00BB25D5">
        <w:rPr>
          <w:rFonts w:asciiTheme="minorHAnsi" w:hAnsiTheme="minorHAnsi" w:cstheme="minorHAnsi"/>
          <w:color w:val="auto"/>
          <w:sz w:val="24"/>
          <w:szCs w:val="24"/>
        </w:rPr>
        <w:t>]</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Pojem Orphan léky, neboli také sirotčí léky, z anglického překladu orphan drugs, není přímo definován žádným právním předpisem. Tímto pojmem označujeme léčivé přípravky na vzácná ojedinělá onemocnění, a z tohoto důvodu výrobci do vývoje těchto léčivých přípravků neinvestují právě z ekonomického hlediska. Obecně samotný vývoj léčivého přípravku je velice nákladným procesem, a jelikož je cílová skupina pro orphan léky úzká, tak se tohoto vývoje výrobc</w:t>
      </w:r>
      <w:r w:rsidR="00E07D36">
        <w:rPr>
          <w:rFonts w:asciiTheme="minorHAnsi" w:hAnsiTheme="minorHAnsi" w:cstheme="minorHAnsi"/>
          <w:color w:val="auto"/>
          <w:sz w:val="24"/>
          <w:szCs w:val="24"/>
        </w:rPr>
        <w:t>i</w:t>
      </w:r>
      <w:r w:rsidRPr="002872A6">
        <w:rPr>
          <w:rFonts w:asciiTheme="minorHAnsi" w:hAnsiTheme="minorHAnsi" w:cstheme="minorHAnsi"/>
          <w:color w:val="auto"/>
          <w:sz w:val="24"/>
          <w:szCs w:val="24"/>
        </w:rPr>
        <w:t xml:space="preserve"> zdráhají, neboť pro ně není ekonomicky výhodný. V tomto ohledu je nemožné dosáhnout návratnosti investic do vývoje.</w:t>
      </w:r>
      <w:r w:rsidR="001E3DB6" w:rsidRPr="001E3DB6">
        <w:rPr>
          <w:rFonts w:asciiTheme="minorHAnsi" w:hAnsiTheme="minorHAnsi" w:cstheme="minorHAnsi"/>
          <w:color w:val="auto"/>
          <w:sz w:val="24"/>
          <w:szCs w:val="24"/>
        </w:rPr>
        <w:t xml:space="preserve"> </w:t>
      </w:r>
      <w:r w:rsidR="001E3DB6" w:rsidRPr="008072E4">
        <w:rPr>
          <w:rFonts w:asciiTheme="minorHAnsi" w:hAnsiTheme="minorHAnsi" w:cstheme="minorHAnsi"/>
          <w:color w:val="auto"/>
          <w:sz w:val="24"/>
          <w:szCs w:val="24"/>
        </w:rPr>
        <w:t>[8]</w:t>
      </w:r>
    </w:p>
    <w:p w:rsidR="00294E20" w:rsidRDefault="00294E20" w:rsidP="00294E20">
      <w:pPr>
        <w:suppressAutoHyphens/>
        <w:spacing w:after="0" w:line="360" w:lineRule="auto"/>
        <w:ind w:firstLine="708"/>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Pojem Lékárna je definován v zákoně číslo 372/2011 Sb., o zdravotních službách a podmínkách jejich poskytování, kde v ustanovení paragrafu 5 odstavec 2 písmen</w:t>
      </w:r>
      <w:r w:rsidR="00E07D36">
        <w:rPr>
          <w:rFonts w:asciiTheme="minorHAnsi" w:hAnsiTheme="minorHAnsi" w:cstheme="minorHAnsi"/>
          <w:color w:val="auto"/>
          <w:sz w:val="24"/>
          <w:szCs w:val="24"/>
        </w:rPr>
        <w:t>o</w:t>
      </w:r>
      <w:r w:rsidRPr="002872A6">
        <w:rPr>
          <w:rFonts w:asciiTheme="minorHAnsi" w:hAnsiTheme="minorHAnsi" w:cstheme="minorHAnsi"/>
          <w:color w:val="auto"/>
          <w:sz w:val="24"/>
          <w:szCs w:val="24"/>
        </w:rPr>
        <w:t xml:space="preserve"> i) je stanoveno, že se jedná o zdravotnické zařízení vykonávající lékárenskou péči tedy</w:t>
      </w:r>
      <w:r w:rsidRPr="002872A6">
        <w:rPr>
          <w:rFonts w:asciiTheme="minorHAnsi" w:hAnsiTheme="minorHAnsi" w:cstheme="minorHAnsi"/>
          <w:color w:val="auto"/>
          <w:sz w:val="24"/>
          <w:szCs w:val="24"/>
          <w:u w:val="single"/>
        </w:rPr>
        <w:t xml:space="preserve"> </w:t>
      </w:r>
      <w:r w:rsidRPr="002872A6">
        <w:rPr>
          <w:rFonts w:asciiTheme="minorHAnsi" w:hAnsiTheme="minorHAnsi" w:cstheme="minorHAnsi"/>
          <w:i/>
          <w:iCs/>
          <w:color w:val="auto"/>
          <w:sz w:val="24"/>
          <w:szCs w:val="24"/>
        </w:rPr>
        <w:t xml:space="preserve">„zajišťování, příprava, úprava, uchovávání, kontrola a výdej léčiv, s výjimkou transfuzních přípravků a surovin pro výrobu krevních derivátů podle zákona o léčivech, laboratorních chemikálií, zkoumadel, dezinfekčních přípravků, a dále zajišťování, </w:t>
      </w:r>
      <w:r w:rsidRPr="002872A6">
        <w:rPr>
          <w:rFonts w:asciiTheme="minorHAnsi" w:hAnsiTheme="minorHAnsi" w:cstheme="minorHAnsi"/>
          <w:i/>
          <w:iCs/>
          <w:color w:val="auto"/>
          <w:sz w:val="24"/>
          <w:szCs w:val="24"/>
        </w:rPr>
        <w:lastRenderedPageBreak/>
        <w:t>uchovávání, výdej a prodej zdravotnických prostředků podle zákona o zdravotních prostředcích, zajišťování, uchovávání, výdej a prodej potravin pro zvláštní lékařské účely; v rámci této péče je dále poskytováno poradenství, konz</w:t>
      </w:r>
      <w:r>
        <w:rPr>
          <w:rFonts w:asciiTheme="minorHAnsi" w:hAnsiTheme="minorHAnsi" w:cstheme="minorHAnsi"/>
          <w:i/>
          <w:iCs/>
          <w:color w:val="auto"/>
          <w:sz w:val="24"/>
          <w:szCs w:val="24"/>
        </w:rPr>
        <w:t>ultační služby a další služby v </w:t>
      </w:r>
      <w:r w:rsidRPr="002872A6">
        <w:rPr>
          <w:rFonts w:asciiTheme="minorHAnsi" w:hAnsiTheme="minorHAnsi" w:cstheme="minorHAnsi"/>
          <w:i/>
          <w:iCs/>
          <w:color w:val="auto"/>
          <w:sz w:val="24"/>
          <w:szCs w:val="24"/>
        </w:rPr>
        <w:t>oblasti prevence a včasného rozpoznávání onemocní</w:t>
      </w:r>
      <w:r>
        <w:rPr>
          <w:rFonts w:asciiTheme="minorHAnsi" w:hAnsiTheme="minorHAnsi" w:cstheme="minorHAnsi"/>
          <w:i/>
          <w:iCs/>
          <w:color w:val="auto"/>
          <w:sz w:val="24"/>
          <w:szCs w:val="24"/>
        </w:rPr>
        <w:t>, podpory zdraví a posuzování a </w:t>
      </w:r>
      <w:r w:rsidRPr="002872A6">
        <w:rPr>
          <w:rFonts w:asciiTheme="minorHAnsi" w:hAnsiTheme="minorHAnsi" w:cstheme="minorHAnsi"/>
          <w:i/>
          <w:iCs/>
          <w:color w:val="auto"/>
          <w:sz w:val="24"/>
          <w:szCs w:val="24"/>
        </w:rPr>
        <w:t>kontrola účelného, bezpečného a hospodárného užívání</w:t>
      </w:r>
      <w:r>
        <w:rPr>
          <w:rFonts w:asciiTheme="minorHAnsi" w:hAnsiTheme="minorHAnsi" w:cstheme="minorHAnsi"/>
          <w:i/>
          <w:iCs/>
          <w:color w:val="auto"/>
          <w:sz w:val="24"/>
          <w:szCs w:val="24"/>
        </w:rPr>
        <w:t xml:space="preserve"> léčivých přípravků a postupů s </w:t>
      </w:r>
      <w:r w:rsidRPr="002872A6">
        <w:rPr>
          <w:rFonts w:asciiTheme="minorHAnsi" w:hAnsiTheme="minorHAnsi" w:cstheme="minorHAnsi"/>
          <w:i/>
          <w:iCs/>
          <w:color w:val="auto"/>
          <w:sz w:val="24"/>
          <w:szCs w:val="24"/>
        </w:rPr>
        <w:t>tím spojených“</w:t>
      </w:r>
      <w:r w:rsidR="00D6078B">
        <w:rPr>
          <w:rStyle w:val="Znakapoznpodarou"/>
          <w:rFonts w:asciiTheme="minorHAnsi" w:hAnsiTheme="minorHAnsi" w:cstheme="minorHAnsi"/>
          <w:i/>
          <w:iCs/>
          <w:color w:val="auto"/>
          <w:sz w:val="24"/>
          <w:szCs w:val="24"/>
        </w:rPr>
        <w:footnoteReference w:id="8"/>
      </w:r>
      <w:r w:rsidRPr="002872A6">
        <w:rPr>
          <w:rFonts w:asciiTheme="minorHAnsi" w:hAnsiTheme="minorHAnsi" w:cstheme="minorHAnsi"/>
          <w:i/>
          <w:iCs/>
          <w:color w:val="auto"/>
          <w:sz w:val="24"/>
          <w:szCs w:val="24"/>
        </w:rPr>
        <w:t>.</w:t>
      </w:r>
      <w:r w:rsidR="001E3DB6" w:rsidRPr="001E3DB6">
        <w:rPr>
          <w:rFonts w:asciiTheme="minorHAnsi" w:hAnsiTheme="minorHAnsi" w:cstheme="minorHAnsi"/>
          <w:color w:val="auto"/>
          <w:sz w:val="24"/>
          <w:szCs w:val="24"/>
        </w:rPr>
        <w:t xml:space="preserve"> </w:t>
      </w:r>
      <w:r w:rsidR="001E3DB6" w:rsidRPr="008072E4">
        <w:rPr>
          <w:rFonts w:asciiTheme="minorHAnsi" w:hAnsiTheme="minorHAnsi" w:cstheme="minorHAnsi"/>
          <w:color w:val="auto"/>
          <w:sz w:val="24"/>
          <w:szCs w:val="24"/>
        </w:rPr>
        <w:t>[9]</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Pojem Odloučené oddělení </w:t>
      </w:r>
      <w:r>
        <w:rPr>
          <w:rFonts w:asciiTheme="minorHAnsi" w:hAnsiTheme="minorHAnsi" w:cstheme="minorHAnsi"/>
          <w:color w:val="auto"/>
          <w:sz w:val="24"/>
          <w:szCs w:val="24"/>
        </w:rPr>
        <w:t xml:space="preserve">pro </w:t>
      </w:r>
      <w:r w:rsidRPr="002872A6">
        <w:rPr>
          <w:rFonts w:asciiTheme="minorHAnsi" w:hAnsiTheme="minorHAnsi" w:cstheme="minorHAnsi"/>
          <w:color w:val="auto"/>
          <w:sz w:val="24"/>
          <w:szCs w:val="24"/>
        </w:rPr>
        <w:t>výdej léčiv</w:t>
      </w:r>
      <w:r>
        <w:rPr>
          <w:rFonts w:asciiTheme="minorHAnsi" w:hAnsiTheme="minorHAnsi" w:cstheme="minorHAnsi"/>
          <w:color w:val="auto"/>
          <w:sz w:val="24"/>
          <w:szCs w:val="24"/>
        </w:rPr>
        <w:t>ých přípravků a zdravotnických prostředků je </w:t>
      </w:r>
      <w:r w:rsidRPr="002872A6">
        <w:rPr>
          <w:rFonts w:asciiTheme="minorHAnsi" w:hAnsiTheme="minorHAnsi" w:cstheme="minorHAnsi"/>
          <w:color w:val="auto"/>
          <w:sz w:val="24"/>
          <w:szCs w:val="24"/>
        </w:rPr>
        <w:t>definován ve vyhlášce číslo 92/2012 Sb., o požad</w:t>
      </w:r>
      <w:r>
        <w:rPr>
          <w:rFonts w:asciiTheme="minorHAnsi" w:hAnsiTheme="minorHAnsi" w:cstheme="minorHAnsi"/>
          <w:color w:val="auto"/>
          <w:sz w:val="24"/>
          <w:szCs w:val="24"/>
        </w:rPr>
        <w:t>avcích na minimální technické a </w:t>
      </w:r>
      <w:r w:rsidRPr="002872A6">
        <w:rPr>
          <w:rFonts w:asciiTheme="minorHAnsi" w:hAnsiTheme="minorHAnsi" w:cstheme="minorHAnsi"/>
          <w:color w:val="auto"/>
          <w:sz w:val="24"/>
          <w:szCs w:val="24"/>
        </w:rPr>
        <w:t>věcné vybavení zdravotnických zařízení a konta</w:t>
      </w:r>
      <w:r>
        <w:rPr>
          <w:rFonts w:asciiTheme="minorHAnsi" w:hAnsiTheme="minorHAnsi" w:cstheme="minorHAnsi"/>
          <w:color w:val="auto"/>
          <w:sz w:val="24"/>
          <w:szCs w:val="24"/>
        </w:rPr>
        <w:t>ktních pracovišť domácí péče, a </w:t>
      </w:r>
      <w:r w:rsidRPr="002872A6">
        <w:rPr>
          <w:rFonts w:asciiTheme="minorHAnsi" w:hAnsiTheme="minorHAnsi" w:cstheme="minorHAnsi"/>
          <w:color w:val="auto"/>
          <w:sz w:val="24"/>
          <w:szCs w:val="24"/>
        </w:rPr>
        <w:t>konkrétně v příloze číslo 5, která je zaměřena na z</w:t>
      </w:r>
      <w:r>
        <w:rPr>
          <w:rFonts w:asciiTheme="minorHAnsi" w:hAnsiTheme="minorHAnsi" w:cstheme="minorHAnsi"/>
          <w:color w:val="auto"/>
          <w:sz w:val="24"/>
          <w:szCs w:val="24"/>
        </w:rPr>
        <w:t>ařízení lékárenské péče. Zde je </w:t>
      </w:r>
      <w:r w:rsidRPr="002872A6">
        <w:rPr>
          <w:rFonts w:asciiTheme="minorHAnsi" w:hAnsiTheme="minorHAnsi" w:cstheme="minorHAnsi"/>
          <w:color w:val="auto"/>
          <w:sz w:val="24"/>
          <w:szCs w:val="24"/>
        </w:rPr>
        <w:t>stanoveno, že toto odloučené oddělení je umístěno mimo prostory lékárny a musí tvořit provozně uzavřený a funkčně provázaný celek. Z čehož je patrné, že se jedná</w:t>
      </w:r>
      <w:r w:rsidR="00E07D36">
        <w:rPr>
          <w:rFonts w:asciiTheme="minorHAnsi" w:hAnsiTheme="minorHAnsi" w:cstheme="minorHAnsi"/>
          <w:color w:val="auto"/>
          <w:sz w:val="24"/>
          <w:szCs w:val="24"/>
        </w:rPr>
        <w:t xml:space="preserve"> o </w:t>
      </w:r>
      <w:r w:rsidRPr="002872A6">
        <w:rPr>
          <w:rFonts w:asciiTheme="minorHAnsi" w:hAnsiTheme="minorHAnsi" w:cstheme="minorHAnsi"/>
          <w:color w:val="auto"/>
          <w:sz w:val="24"/>
          <w:szCs w:val="24"/>
        </w:rPr>
        <w:t>samostatný subjekt, který je však závislý na domovské lékárně. Takovéto odloučené oddělení je možné zřídit pouze v obci či městské části, pouze za podmínek, že zde již není zřízen jiný poskytovatel lékárenské péče a zároveň je zde zdravotnické zařízení, které poskytuje zdravotní služby ambulantní formou.</w:t>
      </w:r>
      <w:r w:rsidR="00045408" w:rsidRPr="00045408">
        <w:rPr>
          <w:rFonts w:asciiTheme="minorHAnsi" w:hAnsiTheme="minorHAnsi" w:cstheme="minorHAnsi"/>
          <w:color w:val="auto"/>
          <w:sz w:val="24"/>
          <w:szCs w:val="24"/>
        </w:rPr>
        <w:t xml:space="preserve"> </w:t>
      </w:r>
      <w:r w:rsidR="00045408" w:rsidRPr="008072E4">
        <w:rPr>
          <w:rFonts w:asciiTheme="minorHAnsi" w:hAnsiTheme="minorHAnsi" w:cstheme="minorHAnsi"/>
          <w:color w:val="auto"/>
          <w:sz w:val="24"/>
          <w:szCs w:val="24"/>
        </w:rPr>
        <w:t>[10]</w:t>
      </w:r>
    </w:p>
    <w:p w:rsidR="00294E20" w:rsidRDefault="00294E20" w:rsidP="00294E20">
      <w:pPr>
        <w:suppressAutoHyphens/>
        <w:spacing w:after="0" w:line="360" w:lineRule="auto"/>
        <w:ind w:firstLine="708"/>
        <w:jc w:val="both"/>
        <w:rPr>
          <w:rFonts w:asciiTheme="minorHAnsi" w:hAnsiTheme="minorHAnsi" w:cstheme="minorHAnsi"/>
          <w:color w:val="auto"/>
          <w:sz w:val="24"/>
          <w:szCs w:val="24"/>
        </w:rPr>
      </w:pPr>
      <w:r>
        <w:rPr>
          <w:rFonts w:asciiTheme="minorHAnsi" w:hAnsiTheme="minorHAnsi" w:cstheme="minorHAnsi"/>
          <w:color w:val="auto"/>
          <w:sz w:val="24"/>
          <w:szCs w:val="24"/>
        </w:rPr>
        <w:t>Pojem Magistraliter je definován jako příprava léčivého přípravku v lékárně na</w:t>
      </w:r>
      <w:r w:rsidR="00B6181E">
        <w:rPr>
          <w:rFonts w:asciiTheme="minorHAnsi" w:hAnsiTheme="minorHAnsi" w:cstheme="minorHAnsi"/>
          <w:color w:val="auto"/>
          <w:sz w:val="24"/>
          <w:szCs w:val="24"/>
        </w:rPr>
        <w:t> </w:t>
      </w:r>
      <w:r>
        <w:rPr>
          <w:rFonts w:asciiTheme="minorHAnsi" w:hAnsiTheme="minorHAnsi" w:cstheme="minorHAnsi"/>
          <w:color w:val="auto"/>
          <w:sz w:val="24"/>
          <w:szCs w:val="24"/>
        </w:rPr>
        <w:t>základě konkrétního předpisu lékaře</w:t>
      </w:r>
      <w:r w:rsidRPr="0094376E">
        <w:rPr>
          <w:rFonts w:asciiTheme="minorHAnsi" w:hAnsiTheme="minorHAnsi" w:cstheme="minorHAnsi"/>
          <w:color w:val="auto"/>
          <w:sz w:val="24"/>
          <w:szCs w:val="24"/>
        </w:rPr>
        <w:t>.</w:t>
      </w:r>
      <w:r>
        <w:rPr>
          <w:rFonts w:asciiTheme="minorHAnsi" w:hAnsiTheme="minorHAnsi" w:cstheme="minorHAnsi"/>
          <w:color w:val="auto"/>
          <w:sz w:val="24"/>
          <w:szCs w:val="24"/>
        </w:rPr>
        <w:t xml:space="preserve"> </w:t>
      </w:r>
      <w:r>
        <w:rPr>
          <w:rFonts w:asciiTheme="minorHAnsi" w:hAnsiTheme="minorHAnsi" w:cstheme="minorHAnsi"/>
          <w:color w:val="auto"/>
          <w:sz w:val="24"/>
        </w:rPr>
        <w:t>[</w:t>
      </w:r>
      <w:r w:rsidR="004E548A">
        <w:rPr>
          <w:rFonts w:asciiTheme="minorHAnsi" w:hAnsiTheme="minorHAnsi" w:cstheme="minorHAnsi"/>
          <w:color w:val="auto"/>
          <w:sz w:val="24"/>
        </w:rPr>
        <w:t>11</w:t>
      </w:r>
      <w:r>
        <w:rPr>
          <w:rFonts w:asciiTheme="minorHAnsi" w:hAnsiTheme="minorHAnsi" w:cstheme="minorHAnsi"/>
          <w:color w:val="auto"/>
          <w:sz w:val="24"/>
        </w:rPr>
        <w:t>]</w:t>
      </w:r>
    </w:p>
    <w:p w:rsidR="00294E20" w:rsidRPr="00DD1409" w:rsidRDefault="00294E20" w:rsidP="00294E20">
      <w:pPr>
        <w:tabs>
          <w:tab w:val="left" w:pos="1870"/>
        </w:tabs>
        <w:suppressAutoHyphens/>
        <w:spacing w:after="0" w:line="360" w:lineRule="auto"/>
        <w:ind w:firstLine="708"/>
        <w:jc w:val="both"/>
        <w:rPr>
          <w:rFonts w:asciiTheme="minorHAnsi" w:hAnsiTheme="minorHAnsi" w:cstheme="minorHAnsi"/>
          <w:color w:val="auto"/>
          <w:sz w:val="24"/>
          <w:szCs w:val="24"/>
          <w:u w:val="single"/>
        </w:rPr>
      </w:pPr>
      <w:r>
        <w:rPr>
          <w:rFonts w:asciiTheme="minorHAnsi" w:hAnsiTheme="minorHAnsi" w:cstheme="minorHAnsi"/>
          <w:color w:val="auto"/>
          <w:sz w:val="24"/>
          <w:szCs w:val="24"/>
        </w:rPr>
        <w:t xml:space="preserve">Pojem návyková látka je </w:t>
      </w:r>
      <w:r w:rsidRPr="002872A6">
        <w:rPr>
          <w:rFonts w:asciiTheme="minorHAnsi" w:hAnsiTheme="minorHAnsi" w:cstheme="minorHAnsi"/>
          <w:color w:val="auto"/>
          <w:sz w:val="24"/>
          <w:szCs w:val="24"/>
        </w:rPr>
        <w:t xml:space="preserve">definován v zákoně číslo </w:t>
      </w:r>
      <w:r>
        <w:rPr>
          <w:rFonts w:asciiTheme="minorHAnsi" w:hAnsiTheme="minorHAnsi" w:cstheme="minorHAnsi"/>
          <w:color w:val="auto"/>
          <w:sz w:val="24"/>
          <w:szCs w:val="24"/>
        </w:rPr>
        <w:t>167/1998</w:t>
      </w:r>
      <w:r w:rsidRPr="002872A6">
        <w:rPr>
          <w:rFonts w:asciiTheme="minorHAnsi" w:hAnsiTheme="minorHAnsi" w:cstheme="minorHAnsi"/>
          <w:color w:val="auto"/>
          <w:sz w:val="24"/>
          <w:szCs w:val="24"/>
        </w:rPr>
        <w:t xml:space="preserve"> Sb., o </w:t>
      </w:r>
      <w:r>
        <w:rPr>
          <w:rFonts w:asciiTheme="minorHAnsi" w:hAnsiTheme="minorHAnsi" w:cstheme="minorHAnsi"/>
          <w:color w:val="auto"/>
          <w:sz w:val="24"/>
          <w:szCs w:val="24"/>
        </w:rPr>
        <w:t>návykových látkách a o změně některých dalších zákonů</w:t>
      </w:r>
      <w:r w:rsidR="00AA3B6D">
        <w:rPr>
          <w:rFonts w:asciiTheme="minorHAnsi" w:hAnsiTheme="minorHAnsi" w:cstheme="minorHAnsi"/>
          <w:color w:val="auto"/>
          <w:sz w:val="24"/>
          <w:szCs w:val="24"/>
        </w:rPr>
        <w:t xml:space="preserve"> (dále jen zákon o návykových látkách)</w:t>
      </w:r>
      <w:r w:rsidRPr="002872A6">
        <w:rPr>
          <w:rFonts w:asciiTheme="minorHAnsi" w:hAnsiTheme="minorHAnsi" w:cstheme="minorHAnsi"/>
          <w:color w:val="auto"/>
          <w:sz w:val="24"/>
          <w:szCs w:val="24"/>
        </w:rPr>
        <w:t xml:space="preserve">, kde v ustanovení paragrafu </w:t>
      </w:r>
      <w:r>
        <w:rPr>
          <w:rFonts w:asciiTheme="minorHAnsi" w:hAnsiTheme="minorHAnsi" w:cstheme="minorHAnsi"/>
          <w:color w:val="auto"/>
          <w:sz w:val="24"/>
          <w:szCs w:val="24"/>
        </w:rPr>
        <w:t>2</w:t>
      </w:r>
      <w:r w:rsidRPr="002872A6">
        <w:rPr>
          <w:rFonts w:asciiTheme="minorHAnsi" w:hAnsiTheme="minorHAnsi" w:cstheme="minorHAnsi"/>
          <w:color w:val="auto"/>
          <w:sz w:val="24"/>
          <w:szCs w:val="24"/>
        </w:rPr>
        <w:t xml:space="preserve"> odstavec </w:t>
      </w:r>
      <w:r>
        <w:rPr>
          <w:rFonts w:asciiTheme="minorHAnsi" w:hAnsiTheme="minorHAnsi" w:cstheme="minorHAnsi"/>
          <w:color w:val="auto"/>
          <w:sz w:val="24"/>
          <w:szCs w:val="24"/>
        </w:rPr>
        <w:t>1</w:t>
      </w:r>
      <w:r w:rsidRPr="002872A6">
        <w:rPr>
          <w:rFonts w:asciiTheme="minorHAnsi" w:hAnsiTheme="minorHAnsi" w:cstheme="minorHAnsi"/>
          <w:color w:val="auto"/>
          <w:sz w:val="24"/>
          <w:szCs w:val="24"/>
        </w:rPr>
        <w:t xml:space="preserve"> písmen</w:t>
      </w:r>
      <w:r w:rsidR="00007E64">
        <w:rPr>
          <w:rFonts w:asciiTheme="minorHAnsi" w:hAnsiTheme="minorHAnsi" w:cstheme="minorHAnsi"/>
          <w:color w:val="auto"/>
          <w:sz w:val="24"/>
          <w:szCs w:val="24"/>
        </w:rPr>
        <w:t>o</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a</w:t>
      </w:r>
      <w:r w:rsidRPr="002872A6">
        <w:rPr>
          <w:rFonts w:asciiTheme="minorHAnsi" w:hAnsiTheme="minorHAnsi" w:cstheme="minorHAnsi"/>
          <w:color w:val="auto"/>
          <w:sz w:val="24"/>
          <w:szCs w:val="24"/>
        </w:rPr>
        <w:t>) je stanoveno, že</w:t>
      </w:r>
      <w:r w:rsidR="00AA3B6D">
        <w:rPr>
          <w:rFonts w:asciiTheme="minorHAnsi" w:hAnsiTheme="minorHAnsi" w:cstheme="minorHAnsi"/>
          <w:color w:val="auto"/>
          <w:sz w:val="24"/>
          <w:szCs w:val="24"/>
        </w:rPr>
        <w:t xml:space="preserve"> návykovými látkami se </w:t>
      </w:r>
      <w:r>
        <w:rPr>
          <w:rFonts w:asciiTheme="minorHAnsi" w:hAnsiTheme="minorHAnsi" w:cstheme="minorHAnsi"/>
          <w:color w:val="auto"/>
          <w:sz w:val="24"/>
          <w:szCs w:val="24"/>
        </w:rPr>
        <w:t>rozumí</w:t>
      </w:r>
      <w:r w:rsidRPr="002872A6">
        <w:rPr>
          <w:rFonts w:asciiTheme="minorHAnsi" w:hAnsiTheme="minorHAnsi" w:cstheme="minorHAnsi"/>
          <w:color w:val="auto"/>
          <w:sz w:val="24"/>
          <w:szCs w:val="24"/>
        </w:rPr>
        <w:t xml:space="preserve"> </w:t>
      </w:r>
      <w:r w:rsidR="00007E64">
        <w:rPr>
          <w:rFonts w:asciiTheme="minorHAnsi" w:hAnsiTheme="minorHAnsi" w:cstheme="minorHAnsi"/>
          <w:i/>
          <w:color w:val="auto"/>
          <w:sz w:val="24"/>
          <w:szCs w:val="24"/>
        </w:rPr>
        <w:t>„omamné látky a </w:t>
      </w:r>
      <w:r w:rsidRPr="00DD1409">
        <w:rPr>
          <w:rFonts w:asciiTheme="minorHAnsi" w:hAnsiTheme="minorHAnsi" w:cstheme="minorHAnsi"/>
          <w:i/>
          <w:color w:val="auto"/>
          <w:sz w:val="24"/>
          <w:szCs w:val="24"/>
        </w:rPr>
        <w:t>psychotropní látky přírodního nebo syntetického původu, které mají psychoaktivní účinky a současně jsou uvedeny v některé z příloh č. 1 až 7 nařízení vlády o seznamu návykových</w:t>
      </w:r>
      <w:r>
        <w:rPr>
          <w:rFonts w:asciiTheme="minorHAnsi" w:hAnsiTheme="minorHAnsi" w:cstheme="minorHAnsi"/>
          <w:i/>
          <w:color w:val="auto"/>
          <w:sz w:val="24"/>
          <w:szCs w:val="24"/>
        </w:rPr>
        <w:t xml:space="preserve"> látek, s </w:t>
      </w:r>
      <w:r w:rsidRPr="00DD1409">
        <w:rPr>
          <w:rFonts w:asciiTheme="minorHAnsi" w:hAnsiTheme="minorHAnsi" w:cstheme="minorHAnsi"/>
          <w:i/>
          <w:color w:val="auto"/>
          <w:sz w:val="24"/>
          <w:szCs w:val="24"/>
        </w:rPr>
        <w:t>výjimkou látky konopí extrakt a tinktura, která obsahuje nejvýše 1 % látek ze skupiny tetrahydrokanabinolů a splňuje podmínku bezpečnosti podle záko</w:t>
      </w:r>
      <w:r>
        <w:rPr>
          <w:rFonts w:asciiTheme="minorHAnsi" w:hAnsiTheme="minorHAnsi" w:cstheme="minorHAnsi"/>
          <w:i/>
          <w:color w:val="auto"/>
          <w:sz w:val="24"/>
          <w:szCs w:val="24"/>
        </w:rPr>
        <w:t>na o</w:t>
      </w:r>
      <w:r w:rsidR="00007E64">
        <w:rPr>
          <w:rFonts w:asciiTheme="minorHAnsi" w:hAnsiTheme="minorHAnsi" w:cstheme="minorHAnsi"/>
          <w:i/>
          <w:color w:val="auto"/>
          <w:sz w:val="24"/>
          <w:szCs w:val="24"/>
        </w:rPr>
        <w:t> </w:t>
      </w:r>
      <w:r>
        <w:rPr>
          <w:rFonts w:asciiTheme="minorHAnsi" w:hAnsiTheme="minorHAnsi" w:cstheme="minorHAnsi"/>
          <w:i/>
          <w:color w:val="auto"/>
          <w:sz w:val="24"/>
          <w:szCs w:val="24"/>
        </w:rPr>
        <w:t>obecné bezpečnosti výrobků</w:t>
      </w:r>
      <w:r w:rsidRPr="002872A6">
        <w:rPr>
          <w:rFonts w:asciiTheme="minorHAnsi" w:hAnsiTheme="minorHAnsi" w:cstheme="minorHAnsi"/>
          <w:i/>
          <w:iCs/>
          <w:color w:val="auto"/>
          <w:sz w:val="24"/>
          <w:szCs w:val="24"/>
        </w:rPr>
        <w:t>“</w:t>
      </w:r>
      <w:r w:rsidR="00D6078B">
        <w:rPr>
          <w:rStyle w:val="Znakapoznpodarou"/>
          <w:rFonts w:asciiTheme="minorHAnsi" w:hAnsiTheme="minorHAnsi" w:cstheme="minorHAnsi"/>
          <w:i/>
          <w:iCs/>
          <w:color w:val="auto"/>
          <w:sz w:val="24"/>
          <w:szCs w:val="24"/>
        </w:rPr>
        <w:footnoteReference w:id="9"/>
      </w:r>
      <w:r>
        <w:rPr>
          <w:rFonts w:asciiTheme="minorHAnsi" w:hAnsiTheme="minorHAnsi" w:cstheme="minorHAnsi"/>
          <w:i/>
          <w:iCs/>
          <w:color w:val="auto"/>
          <w:sz w:val="24"/>
          <w:szCs w:val="24"/>
        </w:rPr>
        <w:t>.</w:t>
      </w:r>
      <w:r w:rsidRPr="00DD1409">
        <w:rPr>
          <w:rFonts w:asciiTheme="minorHAnsi" w:hAnsiTheme="minorHAnsi" w:cstheme="minorHAnsi"/>
          <w:iCs/>
          <w:color w:val="auto"/>
          <w:sz w:val="24"/>
          <w:szCs w:val="24"/>
        </w:rPr>
        <w:t xml:space="preserve"> </w:t>
      </w:r>
      <w:r w:rsidR="00AA3B6D">
        <w:rPr>
          <w:rFonts w:asciiTheme="minorHAnsi" w:hAnsiTheme="minorHAnsi" w:cstheme="minorHAnsi"/>
          <w:iCs/>
          <w:color w:val="auto"/>
          <w:sz w:val="24"/>
          <w:szCs w:val="24"/>
        </w:rPr>
        <w:t>Zmiňované nařízení je </w:t>
      </w:r>
      <w:r>
        <w:rPr>
          <w:rFonts w:asciiTheme="minorHAnsi" w:hAnsiTheme="minorHAnsi" w:cstheme="minorHAnsi"/>
          <w:iCs/>
          <w:color w:val="auto"/>
          <w:sz w:val="24"/>
          <w:szCs w:val="24"/>
        </w:rPr>
        <w:t>nařízení vlády číslo 463/2013 Sb., o seznamech návykových látek</w:t>
      </w:r>
      <w:r w:rsidR="00007E64">
        <w:rPr>
          <w:rFonts w:asciiTheme="minorHAnsi" w:hAnsiTheme="minorHAnsi" w:cstheme="minorHAnsi"/>
          <w:iCs/>
          <w:color w:val="auto"/>
          <w:sz w:val="24"/>
          <w:szCs w:val="24"/>
        </w:rPr>
        <w:t xml:space="preserve">, a zmiňovaný zákon </w:t>
      </w:r>
      <w:r w:rsidR="00007E64">
        <w:rPr>
          <w:rFonts w:asciiTheme="minorHAnsi" w:hAnsiTheme="minorHAnsi" w:cstheme="minorHAnsi"/>
          <w:iCs/>
          <w:color w:val="auto"/>
          <w:sz w:val="24"/>
          <w:szCs w:val="24"/>
        </w:rPr>
        <w:lastRenderedPageBreak/>
        <w:t xml:space="preserve">je zákon číslo 102/2001 Sb., </w:t>
      </w:r>
      <w:r w:rsidR="00007E64" w:rsidRPr="00007E64">
        <w:rPr>
          <w:rFonts w:asciiTheme="minorHAnsi" w:hAnsiTheme="minorHAnsi" w:cstheme="minorHAnsi"/>
          <w:iCs/>
          <w:color w:val="auto"/>
          <w:sz w:val="24"/>
          <w:szCs w:val="24"/>
        </w:rPr>
        <w:t>o obecné bezpečnosti výrobků a o změně některých zákonů (zákon o obecné bezpečnosti výrobků)</w:t>
      </w:r>
      <w:r>
        <w:rPr>
          <w:rFonts w:asciiTheme="minorHAnsi" w:hAnsiTheme="minorHAnsi" w:cstheme="minorHAnsi"/>
          <w:iCs/>
          <w:color w:val="auto"/>
          <w:sz w:val="24"/>
          <w:szCs w:val="24"/>
        </w:rPr>
        <w:t>.</w:t>
      </w:r>
      <w:r w:rsidR="00BC3165" w:rsidRPr="00BC3165">
        <w:rPr>
          <w:rFonts w:asciiTheme="minorHAnsi" w:hAnsiTheme="minorHAnsi" w:cstheme="minorHAnsi"/>
          <w:color w:val="auto"/>
          <w:sz w:val="24"/>
          <w:szCs w:val="24"/>
        </w:rPr>
        <w:t xml:space="preserve"> </w:t>
      </w:r>
      <w:r w:rsidR="00BC3165" w:rsidRPr="008072E4">
        <w:rPr>
          <w:rFonts w:asciiTheme="minorHAnsi" w:hAnsiTheme="minorHAnsi" w:cstheme="minorHAnsi"/>
          <w:color w:val="auto"/>
          <w:sz w:val="24"/>
          <w:szCs w:val="24"/>
        </w:rPr>
        <w:t>[1</w:t>
      </w:r>
      <w:r w:rsidR="00BC3165">
        <w:rPr>
          <w:rFonts w:asciiTheme="minorHAnsi" w:hAnsiTheme="minorHAnsi" w:cstheme="minorHAnsi"/>
          <w:color w:val="auto"/>
          <w:sz w:val="24"/>
          <w:szCs w:val="24"/>
        </w:rPr>
        <w:t>2</w:t>
      </w:r>
      <w:r w:rsidR="00BC3165" w:rsidRPr="008072E4">
        <w:rPr>
          <w:rFonts w:asciiTheme="minorHAnsi" w:hAnsiTheme="minorHAnsi" w:cstheme="minorHAnsi"/>
          <w:color w:val="auto"/>
          <w:sz w:val="24"/>
          <w:szCs w:val="24"/>
        </w:rPr>
        <w:t>]</w:t>
      </w:r>
    </w:p>
    <w:p w:rsidR="00294E20" w:rsidRPr="002872A6" w:rsidRDefault="00294E20" w:rsidP="00294E20">
      <w:pPr>
        <w:suppressAutoHyphens/>
        <w:spacing w:after="0" w:line="360" w:lineRule="auto"/>
        <w:jc w:val="both"/>
        <w:rPr>
          <w:rFonts w:asciiTheme="minorHAnsi" w:hAnsiTheme="minorHAnsi" w:cstheme="minorHAnsi"/>
          <w:color w:val="auto"/>
        </w:rPr>
      </w:pPr>
    </w:p>
    <w:p w:rsidR="00294E20" w:rsidRPr="002872A6" w:rsidRDefault="00294E20" w:rsidP="00294E20">
      <w:pPr>
        <w:pStyle w:val="Nadpis2"/>
        <w:ind w:left="0" w:firstLine="0"/>
        <w:rPr>
          <w:rFonts w:asciiTheme="minorHAnsi" w:hAnsiTheme="minorHAnsi" w:cstheme="minorHAnsi"/>
          <w:b/>
          <w:color w:val="auto"/>
          <w:sz w:val="28"/>
          <w:szCs w:val="28"/>
        </w:rPr>
      </w:pPr>
      <w:bookmarkStart w:id="23" w:name="_Toc164078821"/>
      <w:bookmarkStart w:id="24" w:name="_Toc163759355"/>
      <w:bookmarkStart w:id="25" w:name="_Toc165990626"/>
      <w:bookmarkEnd w:id="23"/>
      <w:bookmarkEnd w:id="24"/>
      <w:r w:rsidRPr="002872A6">
        <w:rPr>
          <w:rFonts w:asciiTheme="minorHAnsi" w:hAnsiTheme="minorHAnsi" w:cstheme="minorHAnsi"/>
          <w:b/>
          <w:color w:val="auto"/>
          <w:sz w:val="28"/>
          <w:szCs w:val="28"/>
        </w:rPr>
        <w:t>Státní ústav pro kontrolu léčiv</w:t>
      </w:r>
      <w:bookmarkEnd w:id="25"/>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0" w:firstLine="0"/>
        <w:rPr>
          <w:rFonts w:asciiTheme="minorHAnsi" w:hAnsiTheme="minorHAnsi" w:cstheme="minorHAnsi"/>
          <w:b/>
          <w:color w:val="auto"/>
          <w:sz w:val="28"/>
          <w:szCs w:val="28"/>
        </w:rPr>
      </w:pPr>
      <w:bookmarkStart w:id="26" w:name="_Toc164078822"/>
      <w:bookmarkStart w:id="27" w:name="_Toc163647363"/>
      <w:bookmarkStart w:id="28" w:name="_Toc163759356"/>
      <w:bookmarkStart w:id="29" w:name="_Toc165990627"/>
      <w:bookmarkEnd w:id="26"/>
      <w:bookmarkEnd w:id="27"/>
      <w:bookmarkEnd w:id="28"/>
      <w:r w:rsidRPr="002872A6">
        <w:rPr>
          <w:rFonts w:asciiTheme="minorHAnsi" w:hAnsiTheme="minorHAnsi" w:cstheme="minorHAnsi"/>
          <w:b/>
          <w:color w:val="auto"/>
          <w:sz w:val="28"/>
          <w:szCs w:val="28"/>
        </w:rPr>
        <w:t>Vymezení v systému státní správy</w:t>
      </w:r>
      <w:bookmarkEnd w:id="29"/>
    </w:p>
    <w:p w:rsidR="00294E20" w:rsidRPr="002872A6" w:rsidRDefault="00294E20" w:rsidP="00294E20">
      <w:pPr>
        <w:spacing w:after="0" w:line="360" w:lineRule="auto"/>
        <w:rPr>
          <w:rFonts w:asciiTheme="minorHAnsi" w:hAnsiTheme="minorHAnsi" w:cstheme="minorHAnsi"/>
          <w:color w:val="auto"/>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SÚKL je správním úřadem zřízeným na zákl</w:t>
      </w:r>
      <w:r>
        <w:rPr>
          <w:rFonts w:asciiTheme="minorHAnsi" w:hAnsiTheme="minorHAnsi" w:cstheme="minorHAnsi"/>
          <w:color w:val="auto"/>
          <w:sz w:val="24"/>
          <w:szCs w:val="24"/>
        </w:rPr>
        <w:t>adě zákona číslo 79/1997 Sb., o </w:t>
      </w:r>
      <w:r w:rsidRPr="002872A6">
        <w:rPr>
          <w:rFonts w:asciiTheme="minorHAnsi" w:hAnsiTheme="minorHAnsi" w:cstheme="minorHAnsi"/>
          <w:color w:val="auto"/>
          <w:sz w:val="24"/>
          <w:szCs w:val="24"/>
        </w:rPr>
        <w:t>léčivech a o změnách a doplnění některých souvisejících zákonů. Jedná se o dnes již neplatný zákon, který byl mimo jiného nahrazen zákonem o léčivech. A právě v tomto zákoně, konkrétně v ustanovení paragrafu 13, je stanovena pravomoc a působnost</w:t>
      </w:r>
      <w:r w:rsidR="00601977">
        <w:rPr>
          <w:rFonts w:asciiTheme="minorHAnsi" w:hAnsiTheme="minorHAnsi" w:cstheme="minorHAnsi"/>
          <w:color w:val="auto"/>
          <w:sz w:val="24"/>
          <w:szCs w:val="24"/>
        </w:rPr>
        <w:t xml:space="preserve"> SÚKL</w:t>
      </w:r>
      <w:r w:rsidRPr="002872A6">
        <w:rPr>
          <w:rFonts w:asciiTheme="minorHAnsi" w:hAnsiTheme="minorHAnsi" w:cstheme="minorHAnsi"/>
          <w:color w:val="auto"/>
          <w:sz w:val="24"/>
          <w:szCs w:val="24"/>
        </w:rPr>
        <w:t>. Zde v již zmíněném paragrafu 13 je v odstavci 2 písmeno g) stanoveno, že provádí kontrolu, též v lékárnách nad dodržování</w:t>
      </w:r>
      <w:r w:rsidR="00601977">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ustanovení dané zákonem o léčivech a dalších přímo použitelných předpis</w:t>
      </w:r>
      <w:r w:rsidR="00601977">
        <w:rPr>
          <w:rFonts w:asciiTheme="minorHAnsi" w:hAnsiTheme="minorHAnsi" w:cstheme="minorHAnsi"/>
          <w:color w:val="auto"/>
          <w:sz w:val="24"/>
          <w:szCs w:val="24"/>
        </w:rPr>
        <w:t>ech</w:t>
      </w:r>
      <w:r w:rsidRPr="002872A6">
        <w:rPr>
          <w:rFonts w:asciiTheme="minorHAnsi" w:hAnsiTheme="minorHAnsi" w:cstheme="minorHAnsi"/>
          <w:color w:val="auto"/>
          <w:sz w:val="24"/>
          <w:szCs w:val="24"/>
        </w:rPr>
        <w:t xml:space="preserve"> Evropské unie, které stanovují právní úpravu v</w:t>
      </w:r>
      <w:r w:rsidR="00B6181E">
        <w:rPr>
          <w:rFonts w:asciiTheme="minorHAnsi" w:hAnsiTheme="minorHAnsi" w:cstheme="minorHAnsi"/>
          <w:color w:val="auto"/>
          <w:sz w:val="24"/>
          <w:szCs w:val="24"/>
        </w:rPr>
        <w:t> </w:t>
      </w:r>
      <w:r w:rsidRPr="002872A6">
        <w:rPr>
          <w:rFonts w:asciiTheme="minorHAnsi" w:hAnsiTheme="minorHAnsi" w:cstheme="minorHAnsi"/>
          <w:color w:val="auto"/>
          <w:sz w:val="24"/>
          <w:szCs w:val="24"/>
        </w:rPr>
        <w:t>rámci oblast</w:t>
      </w:r>
      <w:r w:rsidR="002A2EA4">
        <w:rPr>
          <w:rFonts w:asciiTheme="minorHAnsi" w:hAnsiTheme="minorHAnsi" w:cstheme="minorHAnsi"/>
          <w:color w:val="auto"/>
          <w:sz w:val="24"/>
          <w:szCs w:val="24"/>
        </w:rPr>
        <w:t>i</w:t>
      </w:r>
      <w:r w:rsidRPr="002872A6">
        <w:rPr>
          <w:rFonts w:asciiTheme="minorHAnsi" w:hAnsiTheme="minorHAnsi" w:cstheme="minorHAnsi"/>
          <w:color w:val="auto"/>
          <w:sz w:val="24"/>
          <w:szCs w:val="24"/>
        </w:rPr>
        <w:t xml:space="preserve"> humánních léčiv.</w:t>
      </w:r>
      <w:r w:rsidR="00601977" w:rsidRPr="00601977">
        <w:rPr>
          <w:rFonts w:asciiTheme="minorHAnsi" w:hAnsiTheme="minorHAnsi" w:cstheme="minorHAnsi"/>
          <w:color w:val="auto"/>
          <w:sz w:val="24"/>
          <w:szCs w:val="24"/>
        </w:rPr>
        <w:t xml:space="preserve"> </w:t>
      </w:r>
      <w:r w:rsidR="00601977" w:rsidRPr="008072E4">
        <w:rPr>
          <w:rFonts w:asciiTheme="minorHAnsi" w:hAnsiTheme="minorHAnsi" w:cstheme="minorHAnsi"/>
          <w:color w:val="auto"/>
          <w:sz w:val="24"/>
          <w:szCs w:val="24"/>
        </w:rPr>
        <w:t>[1</w:t>
      </w:r>
      <w:r w:rsidR="00601977">
        <w:rPr>
          <w:rFonts w:asciiTheme="minorHAnsi" w:hAnsiTheme="minorHAnsi" w:cstheme="minorHAnsi"/>
          <w:color w:val="auto"/>
          <w:sz w:val="24"/>
          <w:szCs w:val="24"/>
        </w:rPr>
        <w:t>, 2</w:t>
      </w:r>
      <w:r w:rsidR="00601977"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SÚKL je podřízen Ministerstvu zdravotnictví České republiky</w:t>
      </w:r>
      <w:r>
        <w:rPr>
          <w:rFonts w:asciiTheme="minorHAnsi" w:hAnsiTheme="minorHAnsi" w:cstheme="minorHAnsi"/>
          <w:color w:val="auto"/>
          <w:sz w:val="24"/>
          <w:szCs w:val="24"/>
        </w:rPr>
        <w:t xml:space="preserve"> (dále jen Ministerstvo zdravotnictví)</w:t>
      </w:r>
      <w:r w:rsidRPr="002872A6">
        <w:rPr>
          <w:rFonts w:asciiTheme="minorHAnsi" w:hAnsiTheme="minorHAnsi" w:cstheme="minorHAnsi"/>
          <w:color w:val="auto"/>
          <w:sz w:val="24"/>
          <w:szCs w:val="24"/>
        </w:rPr>
        <w:t xml:space="preserve">. V čele SÚKL stojí ředitel, jehož výběr, jmenování i odvolání se řídí zákonem číslo 234/2014 Sb., o státní službě. V současné době je </w:t>
      </w:r>
      <w:r>
        <w:rPr>
          <w:rFonts w:asciiTheme="minorHAnsi" w:hAnsiTheme="minorHAnsi" w:cstheme="minorHAnsi"/>
          <w:color w:val="auto"/>
          <w:sz w:val="24"/>
          <w:szCs w:val="24"/>
        </w:rPr>
        <w:t>ředitelem</w:t>
      </w:r>
      <w:r w:rsidRPr="002872A6">
        <w:rPr>
          <w:rFonts w:asciiTheme="minorHAnsi" w:hAnsiTheme="minorHAnsi" w:cstheme="minorHAnsi"/>
          <w:color w:val="auto"/>
          <w:sz w:val="24"/>
          <w:szCs w:val="24"/>
        </w:rPr>
        <w:t xml:space="preserve"> SÚKL </w:t>
      </w:r>
      <w:r>
        <w:rPr>
          <w:rFonts w:asciiTheme="minorHAnsi" w:hAnsiTheme="minorHAnsi" w:cstheme="minorHAnsi"/>
          <w:color w:val="auto"/>
          <w:sz w:val="24"/>
          <w:szCs w:val="24"/>
        </w:rPr>
        <w:t>MUDr. Tomáš BORÁŇ</w:t>
      </w:r>
      <w:r w:rsidR="00601977">
        <w:rPr>
          <w:rFonts w:asciiTheme="minorHAnsi" w:hAnsiTheme="minorHAnsi" w:cstheme="minorHAnsi"/>
          <w:color w:val="auto"/>
          <w:sz w:val="24"/>
          <w:szCs w:val="24"/>
        </w:rPr>
        <w:t>, ustanoven k 1. 5. 2024</w:t>
      </w:r>
      <w:r w:rsidRPr="002872A6">
        <w:rPr>
          <w:rFonts w:asciiTheme="minorHAnsi" w:hAnsiTheme="minorHAnsi" w:cstheme="minorHAnsi"/>
          <w:color w:val="auto"/>
          <w:sz w:val="24"/>
          <w:szCs w:val="24"/>
        </w:rPr>
        <w:t>.</w:t>
      </w:r>
      <w:r w:rsidR="004604B1" w:rsidRPr="004604B1">
        <w:rPr>
          <w:rFonts w:asciiTheme="minorHAnsi" w:hAnsiTheme="minorHAnsi" w:cstheme="minorHAnsi"/>
          <w:color w:val="auto"/>
          <w:sz w:val="24"/>
          <w:szCs w:val="24"/>
        </w:rPr>
        <w:t xml:space="preserve"> </w:t>
      </w:r>
      <w:r w:rsidR="004604B1" w:rsidRPr="008072E4">
        <w:rPr>
          <w:rFonts w:asciiTheme="minorHAnsi" w:hAnsiTheme="minorHAnsi" w:cstheme="minorHAnsi"/>
          <w:color w:val="auto"/>
          <w:sz w:val="24"/>
          <w:szCs w:val="24"/>
        </w:rPr>
        <w:t>[1</w:t>
      </w:r>
      <w:r w:rsidR="004604B1">
        <w:rPr>
          <w:rFonts w:asciiTheme="minorHAnsi" w:hAnsiTheme="minorHAnsi" w:cstheme="minorHAnsi"/>
          <w:color w:val="auto"/>
          <w:sz w:val="24"/>
          <w:szCs w:val="24"/>
        </w:rPr>
        <w:t>, 2, 29</w:t>
      </w:r>
      <w:r w:rsidR="004604B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 působnosti SÚKL je třeba uvést, že je správním úřadem s celorepublikovou působností, která je vykonávána regionálními pracovišti, které jsou součástí organizační struktury.</w:t>
      </w:r>
      <w:r w:rsidR="00601977" w:rsidRPr="00601977">
        <w:rPr>
          <w:rFonts w:asciiTheme="minorHAnsi" w:hAnsiTheme="minorHAnsi" w:cstheme="minorHAnsi"/>
          <w:color w:val="auto"/>
          <w:sz w:val="24"/>
          <w:szCs w:val="24"/>
        </w:rPr>
        <w:t xml:space="preserve"> </w:t>
      </w:r>
      <w:r w:rsidR="00601977" w:rsidRPr="008072E4">
        <w:rPr>
          <w:rFonts w:asciiTheme="minorHAnsi" w:hAnsiTheme="minorHAnsi" w:cstheme="minorHAnsi"/>
          <w:color w:val="auto"/>
          <w:sz w:val="24"/>
          <w:szCs w:val="24"/>
        </w:rPr>
        <w:t>[1</w:t>
      </w:r>
      <w:r w:rsidR="00601977">
        <w:rPr>
          <w:rFonts w:asciiTheme="minorHAnsi" w:hAnsiTheme="minorHAnsi" w:cstheme="minorHAnsi"/>
          <w:color w:val="auto"/>
          <w:sz w:val="24"/>
          <w:szCs w:val="24"/>
        </w:rPr>
        <w:t>, 2</w:t>
      </w:r>
      <w:r w:rsidR="00601977"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708"/>
        <w:jc w:val="both"/>
        <w:rPr>
          <w:rFonts w:asciiTheme="minorHAnsi" w:hAnsiTheme="minorHAnsi" w:cstheme="minorHAnsi"/>
          <w:color w:val="auto"/>
        </w:rPr>
      </w:pPr>
      <w:r w:rsidRPr="002872A6">
        <w:rPr>
          <w:rFonts w:asciiTheme="minorHAnsi" w:hAnsiTheme="minorHAnsi" w:cstheme="minorHAnsi"/>
          <w:color w:val="auto"/>
          <w:sz w:val="24"/>
          <w:szCs w:val="24"/>
        </w:rPr>
        <w:t>Činnosti SÚKL se skládají z činností, které lze označit a rozdělit jako dozorové a nedozorové. Dozorová činnost, jak již název napovídá, se skládá z kontroly plnění a dodržování stanovených povinností jednotlivých subjektů, které jim jsou uloženy dle platných právních předpisů. A právě těmto samotným činnostem se práce dále věnuje.</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3"/>
        <w:ind w:left="0" w:firstLine="0"/>
        <w:rPr>
          <w:rFonts w:asciiTheme="minorHAnsi" w:hAnsiTheme="minorHAnsi" w:cstheme="minorHAnsi"/>
          <w:b/>
          <w:color w:val="auto"/>
          <w:sz w:val="28"/>
          <w:szCs w:val="28"/>
        </w:rPr>
      </w:pPr>
      <w:bookmarkStart w:id="30" w:name="_Toc163759357"/>
      <w:bookmarkStart w:id="31" w:name="_Toc163647364"/>
      <w:bookmarkStart w:id="32" w:name="_Toc164078823"/>
      <w:bookmarkStart w:id="33" w:name="_Toc165990628"/>
      <w:r w:rsidRPr="002872A6">
        <w:rPr>
          <w:rFonts w:asciiTheme="minorHAnsi" w:hAnsiTheme="minorHAnsi" w:cstheme="minorHAnsi"/>
          <w:b/>
          <w:color w:val="auto"/>
          <w:sz w:val="28"/>
          <w:szCs w:val="28"/>
        </w:rPr>
        <w:t>Vznik</w:t>
      </w:r>
      <w:bookmarkEnd w:id="30"/>
      <w:bookmarkEnd w:id="31"/>
      <w:bookmarkEnd w:id="32"/>
      <w:bookmarkEnd w:id="33"/>
      <w:r w:rsidRPr="002872A6">
        <w:rPr>
          <w:rFonts w:asciiTheme="minorHAnsi" w:hAnsiTheme="minorHAnsi" w:cstheme="minorHAnsi"/>
          <w:b/>
          <w:color w:val="auto"/>
          <w:sz w:val="28"/>
          <w:szCs w:val="28"/>
        </w:rPr>
        <w:t xml:space="preserve"> </w:t>
      </w:r>
    </w:p>
    <w:p w:rsidR="00294E20" w:rsidRPr="002872A6" w:rsidRDefault="00294E20" w:rsidP="00294E20">
      <w:pPr>
        <w:spacing w:after="0" w:line="360" w:lineRule="auto"/>
        <w:rPr>
          <w:rFonts w:asciiTheme="minorHAnsi" w:hAnsiTheme="minorHAnsi" w:cstheme="minorHAnsi"/>
          <w:color w:val="auto"/>
        </w:rPr>
      </w:pPr>
    </w:p>
    <w:p w:rsidR="005E29A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Kořeny vzniku SÚKL nalézáme již v</w:t>
      </w:r>
      <w:r w:rsidR="004604B1">
        <w:rPr>
          <w:rFonts w:asciiTheme="minorHAnsi" w:hAnsiTheme="minorHAnsi" w:cstheme="minorHAnsi"/>
          <w:color w:val="auto"/>
          <w:sz w:val="24"/>
          <w:szCs w:val="24"/>
        </w:rPr>
        <w:t xml:space="preserve"> roce</w:t>
      </w:r>
      <w:r w:rsidRPr="002872A6">
        <w:rPr>
          <w:rFonts w:asciiTheme="minorHAnsi" w:hAnsiTheme="minorHAnsi" w:cstheme="minorHAnsi"/>
          <w:color w:val="auto"/>
          <w:sz w:val="24"/>
          <w:szCs w:val="24"/>
        </w:rPr>
        <w:t xml:space="preserve"> 1918. Tehdy se ještě nejednalo o</w:t>
      </w:r>
      <w:r w:rsidR="004604B1">
        <w:rPr>
          <w:rFonts w:asciiTheme="minorHAnsi" w:hAnsiTheme="minorHAnsi" w:cstheme="minorHAnsi"/>
          <w:color w:val="auto"/>
          <w:sz w:val="24"/>
          <w:szCs w:val="24"/>
        </w:rPr>
        <w:t> SÚKL, tak jak jej známe</w:t>
      </w:r>
      <w:r w:rsidRPr="002872A6">
        <w:rPr>
          <w:rFonts w:asciiTheme="minorHAnsi" w:hAnsiTheme="minorHAnsi" w:cstheme="minorHAnsi"/>
          <w:color w:val="auto"/>
          <w:sz w:val="24"/>
          <w:szCs w:val="24"/>
        </w:rPr>
        <w:t xml:space="preserve"> dnes a to čím je dnes. Nejprve se jednalo o útvar s názvem</w:t>
      </w:r>
      <w:r w:rsidR="00601977">
        <w:rPr>
          <w:rFonts w:asciiTheme="minorHAnsi" w:hAnsiTheme="minorHAnsi" w:cstheme="minorHAnsi"/>
          <w:color w:val="auto"/>
          <w:sz w:val="24"/>
          <w:szCs w:val="24"/>
        </w:rPr>
        <w:t xml:space="preserve"> Ústav pro zkoumání léčiv, který</w:t>
      </w:r>
      <w:r w:rsidRPr="002872A6">
        <w:rPr>
          <w:rFonts w:asciiTheme="minorHAnsi" w:hAnsiTheme="minorHAnsi" w:cstheme="minorHAnsi"/>
          <w:color w:val="auto"/>
          <w:sz w:val="24"/>
          <w:szCs w:val="24"/>
        </w:rPr>
        <w:t xml:space="preserve"> byl činný v době od roku 1918 do roku 1952. Za jeho vznikem stála </w:t>
      </w:r>
      <w:r w:rsidRPr="002872A6">
        <w:rPr>
          <w:rFonts w:asciiTheme="minorHAnsi" w:hAnsiTheme="minorHAnsi" w:cstheme="minorHAnsi"/>
          <w:color w:val="auto"/>
          <w:sz w:val="24"/>
          <w:szCs w:val="24"/>
        </w:rPr>
        <w:lastRenderedPageBreak/>
        <w:t>obava, že do tehdejší Československé republiky budou dodávány léky nižší kvality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na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toto bylo potřeba reagovat, neboť v té době se do prodeje léčiv pustili obchodníci především s cílem získání zisku, nikoliv poskytnutí kvalitních léčiv. Právě z</w:t>
      </w:r>
      <w:r w:rsidR="004604B1">
        <w:rPr>
          <w:rFonts w:asciiTheme="minorHAnsi" w:hAnsiTheme="minorHAnsi" w:cstheme="minorHAnsi"/>
          <w:color w:val="auto"/>
          <w:sz w:val="24"/>
          <w:szCs w:val="24"/>
        </w:rPr>
        <w:t> </w:t>
      </w:r>
      <w:r w:rsidRPr="002872A6">
        <w:rPr>
          <w:rFonts w:asciiTheme="minorHAnsi" w:hAnsiTheme="minorHAnsi" w:cstheme="minorHAnsi"/>
          <w:color w:val="auto"/>
          <w:sz w:val="24"/>
          <w:szCs w:val="24"/>
        </w:rPr>
        <w:t>tohoto důvodu rozhodl tehdejší ministr zdravotnictví, že po odebrání vzorků léků z</w:t>
      </w:r>
      <w:r w:rsidR="004604B1">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lékáren, budou tyto odeslány na přezkoušení. Toto zkoumání prováděl přednosta tehdejšího Ústavu pro farmakologii a farmakognosii Lékařské fakulty Univerzity Karlovy. Jednalo se o</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prof.</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Dr.</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Kamil</w:t>
      </w:r>
      <w:r>
        <w:rPr>
          <w:rFonts w:asciiTheme="minorHAnsi" w:hAnsiTheme="minorHAnsi" w:cstheme="minorHAnsi"/>
          <w:color w:val="auto"/>
          <w:sz w:val="24"/>
          <w:szCs w:val="24"/>
        </w:rPr>
        <w:t>a</w:t>
      </w:r>
      <w:r w:rsidRPr="002872A6">
        <w:rPr>
          <w:rFonts w:asciiTheme="minorHAnsi" w:hAnsiTheme="minorHAnsi" w:cstheme="minorHAnsi"/>
          <w:color w:val="auto"/>
          <w:sz w:val="24"/>
          <w:szCs w:val="24"/>
        </w:rPr>
        <w:t xml:space="preserve"> Josefa LHOTÁKA, který byl též požádán o předložení námětů na vytvo</w:t>
      </w:r>
      <w:r w:rsidR="005E29A0">
        <w:rPr>
          <w:rFonts w:asciiTheme="minorHAnsi" w:hAnsiTheme="minorHAnsi" w:cstheme="minorHAnsi"/>
          <w:color w:val="auto"/>
          <w:sz w:val="24"/>
          <w:szCs w:val="24"/>
        </w:rPr>
        <w:t>ření Ústavu pro zkoumání léčiv.</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5E29A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Samotný Ústav pro zkoumání léčiv byl původně umístěn v laboratořích Univerzity Karlovy v Praze, čemuž bylo až do roku 1931, kdy byly laboratoře centralizovány na jedno místo a tím se stal areál Státního zdravotního ústavu. S postupem let Ústav pro zkoumání léčiv rozšiřoval svou </w:t>
      </w:r>
      <w:r>
        <w:rPr>
          <w:rFonts w:asciiTheme="minorHAnsi" w:hAnsiTheme="minorHAnsi" w:cstheme="minorHAnsi"/>
          <w:color w:val="auto"/>
          <w:sz w:val="24"/>
          <w:szCs w:val="24"/>
        </w:rPr>
        <w:t>činnost a s tím docházelo též k </w:t>
      </w:r>
      <w:r w:rsidRPr="002872A6">
        <w:rPr>
          <w:rFonts w:asciiTheme="minorHAnsi" w:hAnsiTheme="minorHAnsi" w:cstheme="minorHAnsi"/>
          <w:color w:val="auto"/>
          <w:sz w:val="24"/>
          <w:szCs w:val="24"/>
        </w:rPr>
        <w:t>navyšování pracovních míst. Kupříkladu v roce 1921 bylo provedeno 3.303 kontrol běžných vzorků odebraných při kontrolách lékáren. Zde je třeba uvést, že v této době měl ústav 6 zaměstnanců. V roce 1938 bylo těchto vzorků již 4.731, a v roce 1948 s</w:t>
      </w:r>
      <w:r w:rsidR="005E29A0">
        <w:rPr>
          <w:rFonts w:asciiTheme="minorHAnsi" w:hAnsiTheme="minorHAnsi" w:cstheme="minorHAnsi"/>
          <w:color w:val="auto"/>
          <w:sz w:val="24"/>
          <w:szCs w:val="24"/>
        </w:rPr>
        <w:t>e již jednalo o více jak 30.000 </w:t>
      </w:r>
      <w:r w:rsidRPr="002872A6">
        <w:rPr>
          <w:rFonts w:asciiTheme="minorHAnsi" w:hAnsiTheme="minorHAnsi" w:cstheme="minorHAnsi"/>
          <w:color w:val="auto"/>
          <w:sz w:val="24"/>
          <w:szCs w:val="24"/>
        </w:rPr>
        <w:t>kontrolovaných vzorků. Vytíženost z důvodu prováděných kontrol vzor</w:t>
      </w:r>
      <w:r w:rsidR="005E29A0">
        <w:rPr>
          <w:rFonts w:asciiTheme="minorHAnsi" w:hAnsiTheme="minorHAnsi" w:cstheme="minorHAnsi"/>
          <w:color w:val="auto"/>
          <w:sz w:val="24"/>
          <w:szCs w:val="24"/>
        </w:rPr>
        <w:t>ků postupně narůstala.</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Ústav pro zkoumání léčiv se vyjma prováděných kontrol zabýval též vědeckou, publikační a přednáškovou činností. Jeho činnosti se také výrazně projevily na vydání Československého lékopisu.</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5E29A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Dalším milníkem bylo vydáním vyhlášky Ministerstva zdravotnictví číslo 102 z 24. 4. 1952, kterou došlo ke zřízení SÚKL. V této době došlo k sepsání směrnic pro provádění kontroly léčiv, kde byly dopodrobna uvedeny základní úkoly, a určeny zásady pro soustavnou i namátkovou kontrolní činnost. Polovina činnosti SÚKL byla zaměřena na provádění kontroly vzorků dovážených a domácích léků. </w:t>
      </w:r>
      <w:r w:rsidR="005E29A0" w:rsidRPr="002872A6">
        <w:rPr>
          <w:rFonts w:asciiTheme="minorHAnsi" w:hAnsiTheme="minorHAnsi" w:cstheme="minorHAnsi"/>
          <w:color w:val="auto"/>
          <w:sz w:val="24"/>
          <w:szCs w:val="24"/>
        </w:rPr>
        <w:t xml:space="preserve">Během dalších let docházelo k modernizaci a vnitřní reorganizaci SÚKL v reakci na potřeby modernější doby. </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Neméně důležitou činností byla též spolupráce na druhém vydání Československého lékopisu.</w:t>
      </w:r>
      <w:r w:rsidR="005E29A0" w:rsidRPr="005E29A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Vyjma spolupráce na vydání Československého lékopisu je třeba uvést též spolupráci se Světovou zdravotnickou organizací, kdy v roce 1991 získal SÚKL statut pozorovatele z Evropské lékopisné komise Rady Evropy.</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 1. 5. 1993 došlo ke zřízení devíti krajských detašovaných pracovišť, laboratoří přímo určených pro kontrolu léčiv.</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V roce 1996 vzešla nová koncepce lékové regulace, přičemž tato je do současné doby v platnosti pouze s drobnými obměnami. Hlavním cílem je, aby osobám v</w:t>
      </w:r>
      <w:r w:rsidR="005E29A0">
        <w:rPr>
          <w:rFonts w:asciiTheme="minorHAnsi" w:hAnsiTheme="minorHAnsi" w:cstheme="minorHAnsi"/>
          <w:color w:val="auto"/>
          <w:sz w:val="24"/>
          <w:szCs w:val="24"/>
        </w:rPr>
        <w:t> </w:t>
      </w:r>
      <w:r w:rsidRPr="002872A6">
        <w:rPr>
          <w:rFonts w:asciiTheme="minorHAnsi" w:hAnsiTheme="minorHAnsi" w:cstheme="minorHAnsi"/>
          <w:color w:val="auto"/>
          <w:sz w:val="24"/>
          <w:szCs w:val="24"/>
        </w:rPr>
        <w:t>České</w:t>
      </w:r>
      <w:r w:rsidR="005E29A0">
        <w:rPr>
          <w:rFonts w:asciiTheme="minorHAnsi" w:hAnsiTheme="minorHAnsi" w:cstheme="minorHAnsi"/>
          <w:color w:val="auto"/>
          <w:sz w:val="24"/>
          <w:szCs w:val="24"/>
        </w:rPr>
        <w:t> </w:t>
      </w:r>
      <w:r w:rsidRPr="002872A6">
        <w:rPr>
          <w:rFonts w:asciiTheme="minorHAnsi" w:hAnsiTheme="minorHAnsi" w:cstheme="minorHAnsi"/>
          <w:color w:val="auto"/>
          <w:sz w:val="24"/>
          <w:szCs w:val="24"/>
        </w:rPr>
        <w:t>republice byla zajištěna dostupná účinná, bezpečná a po farmaceutické stránce jakostní léčiva, a též funkční a bezpečné zdravotnické prostředky, oboje s patřičnými informacemi pro jejich uživatele. V následujících letech docházelo k rozvoji mezinárodní spolupráce, jako například spolupráce s Komisí Evropské unie pro farmaceutika, Evropským ústředím pro kvalitu léčiv, a Evropskou sítí Oficiálních laboratoří pro kontrolu léčiv.</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letech 1997 a 1998 došlo k dalšímu pomyslnému milníku pro SÚKL, kdy vešel v platnost nový zákon a to zákon číslo 79/1997 Sb., o léčivech</w:t>
      </w:r>
      <w:r>
        <w:rPr>
          <w:rFonts w:asciiTheme="minorHAnsi" w:hAnsiTheme="minorHAnsi" w:cstheme="minorHAnsi"/>
          <w:color w:val="auto"/>
          <w:sz w:val="24"/>
          <w:szCs w:val="24"/>
        </w:rPr>
        <w:t xml:space="preserve"> a o změnách a doplnění některých souvisejících zákonů</w:t>
      </w:r>
      <w:r w:rsidRPr="002872A6">
        <w:rPr>
          <w:rFonts w:asciiTheme="minorHAnsi" w:hAnsiTheme="minorHAnsi" w:cstheme="minorHAnsi"/>
          <w:color w:val="auto"/>
          <w:sz w:val="24"/>
          <w:szCs w:val="24"/>
        </w:rPr>
        <w:t>, který mimo jiného stanovil nové úkoly SÚKL. Především se SÚKL stal součástí orgánů státní správy</w:t>
      </w:r>
      <w:r>
        <w:rPr>
          <w:rFonts w:asciiTheme="minorHAnsi" w:hAnsiTheme="minorHAnsi" w:cstheme="minorHAnsi"/>
          <w:color w:val="auto"/>
          <w:sz w:val="24"/>
          <w:szCs w:val="24"/>
        </w:rPr>
        <w:t xml:space="preserve"> v oblasti humánních léčiv</w:t>
      </w:r>
      <w:r w:rsidRPr="002872A6">
        <w:rPr>
          <w:rFonts w:asciiTheme="minorHAnsi" w:hAnsiTheme="minorHAnsi" w:cstheme="minorHAnsi"/>
          <w:color w:val="auto"/>
          <w:sz w:val="24"/>
          <w:szCs w:val="24"/>
        </w:rPr>
        <w:t>.</w:t>
      </w:r>
      <w:r w:rsidR="005E29A0" w:rsidRPr="005E29A0">
        <w:rPr>
          <w:rFonts w:asciiTheme="minorHAnsi" w:hAnsiTheme="minorHAnsi" w:cstheme="minorHAnsi"/>
          <w:color w:val="auto"/>
          <w:sz w:val="24"/>
          <w:szCs w:val="24"/>
        </w:rPr>
        <w:t xml:space="preserve"> </w:t>
      </w:r>
      <w:r w:rsidR="005E29A0" w:rsidRPr="008072E4">
        <w:rPr>
          <w:rFonts w:asciiTheme="minorHAnsi" w:hAnsiTheme="minorHAnsi" w:cstheme="minorHAnsi"/>
          <w:color w:val="auto"/>
          <w:sz w:val="24"/>
          <w:szCs w:val="24"/>
        </w:rPr>
        <w:t>[1</w:t>
      </w:r>
      <w:r w:rsidR="005E29A0">
        <w:rPr>
          <w:rFonts w:asciiTheme="minorHAnsi" w:hAnsiTheme="minorHAnsi" w:cstheme="minorHAnsi"/>
          <w:color w:val="auto"/>
          <w:sz w:val="24"/>
          <w:szCs w:val="24"/>
        </w:rPr>
        <w:t>, 2</w:t>
      </w:r>
      <w:r w:rsidR="005E29A0"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Za to, že SÚKL je v současné době velice klad</w:t>
      </w:r>
      <w:r w:rsidR="005E29A0">
        <w:rPr>
          <w:rFonts w:asciiTheme="minorHAnsi" w:hAnsiTheme="minorHAnsi" w:cstheme="minorHAnsi"/>
          <w:color w:val="auto"/>
          <w:sz w:val="24"/>
          <w:szCs w:val="24"/>
        </w:rPr>
        <w:t>ně hodnocen nejen v rámci České </w:t>
      </w:r>
      <w:r w:rsidRPr="002872A6">
        <w:rPr>
          <w:rFonts w:asciiTheme="minorHAnsi" w:hAnsiTheme="minorHAnsi" w:cstheme="minorHAnsi"/>
          <w:color w:val="auto"/>
          <w:sz w:val="24"/>
          <w:szCs w:val="24"/>
        </w:rPr>
        <w:t>republiky, ale i na evropské úrovni, jistě vděčíme nejen jeho vedení, ale především kvalitní prac</w:t>
      </w:r>
      <w:r w:rsidR="00771FD8">
        <w:rPr>
          <w:rFonts w:asciiTheme="minorHAnsi" w:hAnsiTheme="minorHAnsi" w:cstheme="minorHAnsi"/>
          <w:color w:val="auto"/>
          <w:sz w:val="24"/>
          <w:szCs w:val="24"/>
        </w:rPr>
        <w:t>i</w:t>
      </w:r>
      <w:r w:rsidRPr="002872A6">
        <w:rPr>
          <w:rFonts w:asciiTheme="minorHAnsi" w:hAnsiTheme="minorHAnsi" w:cstheme="minorHAnsi"/>
          <w:color w:val="auto"/>
          <w:sz w:val="24"/>
          <w:szCs w:val="24"/>
        </w:rPr>
        <w:t xml:space="preserve"> samotných pracovníků na jedno</w:t>
      </w:r>
      <w:r>
        <w:rPr>
          <w:rFonts w:asciiTheme="minorHAnsi" w:hAnsiTheme="minorHAnsi" w:cstheme="minorHAnsi"/>
          <w:color w:val="auto"/>
          <w:sz w:val="24"/>
          <w:szCs w:val="24"/>
        </w:rPr>
        <w:t>tlivých organizačních úrovních.</w:t>
      </w:r>
    </w:p>
    <w:p w:rsidR="00294E20" w:rsidRPr="002872A6" w:rsidRDefault="00294E20" w:rsidP="00294E20">
      <w:pPr>
        <w:spacing w:after="0" w:line="360" w:lineRule="auto"/>
        <w:rPr>
          <w:rFonts w:asciiTheme="minorHAnsi" w:hAnsiTheme="minorHAnsi" w:cstheme="minorHAnsi"/>
          <w:color w:val="auto"/>
        </w:rPr>
      </w:pPr>
    </w:p>
    <w:p w:rsidR="00294E20" w:rsidRPr="002872A6" w:rsidRDefault="00294E20" w:rsidP="00294E20">
      <w:pPr>
        <w:pStyle w:val="Nadpis3"/>
        <w:ind w:left="0" w:firstLine="0"/>
        <w:rPr>
          <w:rFonts w:asciiTheme="minorHAnsi" w:hAnsiTheme="minorHAnsi" w:cstheme="minorHAnsi"/>
          <w:b/>
          <w:color w:val="auto"/>
          <w:sz w:val="28"/>
          <w:szCs w:val="28"/>
        </w:rPr>
      </w:pPr>
      <w:bookmarkStart w:id="34" w:name="_Toc164078824"/>
      <w:bookmarkStart w:id="35" w:name="_Toc163647365"/>
      <w:bookmarkStart w:id="36" w:name="_Toc163759358"/>
      <w:bookmarkStart w:id="37" w:name="_Toc165990629"/>
      <w:bookmarkEnd w:id="34"/>
      <w:bookmarkEnd w:id="35"/>
      <w:bookmarkEnd w:id="36"/>
      <w:r w:rsidRPr="002872A6">
        <w:rPr>
          <w:rFonts w:asciiTheme="minorHAnsi" w:hAnsiTheme="minorHAnsi" w:cstheme="minorHAnsi"/>
          <w:b/>
          <w:color w:val="auto"/>
          <w:sz w:val="28"/>
          <w:szCs w:val="28"/>
        </w:rPr>
        <w:t>Organizační struktura</w:t>
      </w:r>
      <w:bookmarkEnd w:id="37"/>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SÚKL je v současné době rozdělen na pět sekcí, těmito sekcemi jsou sekce dozoru, sekce registrací, sekce cenové a úhradové regulace, sekce regulace zdravotnických prostředků, a sekce podpory ředitel</w:t>
      </w:r>
      <w:r>
        <w:rPr>
          <w:rFonts w:asciiTheme="minorHAnsi" w:hAnsiTheme="minorHAnsi" w:cstheme="minorHAnsi"/>
          <w:color w:val="auto"/>
          <w:sz w:val="24"/>
          <w:szCs w:val="24"/>
        </w:rPr>
        <w:t>e a managementu. Každá sekce je </w:t>
      </w:r>
      <w:r w:rsidRPr="002872A6">
        <w:rPr>
          <w:rFonts w:asciiTheme="minorHAnsi" w:hAnsiTheme="minorHAnsi" w:cstheme="minorHAnsi"/>
          <w:color w:val="auto"/>
          <w:sz w:val="24"/>
          <w:szCs w:val="24"/>
        </w:rPr>
        <w:t>dále dělena na odbory a ty dále na jednotlivá od</w:t>
      </w:r>
      <w:r>
        <w:rPr>
          <w:rFonts w:asciiTheme="minorHAnsi" w:hAnsiTheme="minorHAnsi" w:cstheme="minorHAnsi"/>
          <w:color w:val="auto"/>
          <w:sz w:val="24"/>
          <w:szCs w:val="24"/>
        </w:rPr>
        <w:t>dělení a úseky. Toto členění je </w:t>
      </w:r>
      <w:r w:rsidRPr="002872A6">
        <w:rPr>
          <w:rFonts w:asciiTheme="minorHAnsi" w:hAnsiTheme="minorHAnsi" w:cstheme="minorHAnsi"/>
          <w:color w:val="auto"/>
          <w:sz w:val="24"/>
          <w:szCs w:val="24"/>
        </w:rPr>
        <w:t>odrazem jednotlivých vykonávaných činností.</w:t>
      </w:r>
      <w:r w:rsidR="00027E46" w:rsidRPr="00027E46">
        <w:rPr>
          <w:rFonts w:asciiTheme="minorHAnsi" w:hAnsiTheme="minorHAnsi" w:cstheme="minorHAnsi"/>
          <w:color w:val="auto"/>
          <w:sz w:val="24"/>
          <w:szCs w:val="24"/>
        </w:rPr>
        <w:t xml:space="preserve"> </w:t>
      </w:r>
      <w:r w:rsidR="00027E46" w:rsidRPr="008072E4">
        <w:rPr>
          <w:rFonts w:asciiTheme="minorHAnsi" w:hAnsiTheme="minorHAnsi" w:cstheme="minorHAnsi"/>
          <w:color w:val="auto"/>
          <w:sz w:val="24"/>
          <w:szCs w:val="24"/>
        </w:rPr>
        <w:t>[1</w:t>
      </w:r>
      <w:r w:rsidR="00027E46">
        <w:rPr>
          <w:rFonts w:asciiTheme="minorHAnsi" w:hAnsiTheme="minorHAnsi" w:cstheme="minorHAnsi"/>
          <w:color w:val="auto"/>
          <w:sz w:val="24"/>
          <w:szCs w:val="24"/>
        </w:rPr>
        <w:t>, 2</w:t>
      </w:r>
      <w:r w:rsidR="00D53008">
        <w:rPr>
          <w:rFonts w:asciiTheme="minorHAnsi" w:hAnsiTheme="minorHAnsi" w:cstheme="minorHAnsi"/>
          <w:color w:val="auto"/>
          <w:sz w:val="24"/>
          <w:szCs w:val="24"/>
        </w:rPr>
        <w:t>, 13</w:t>
      </w:r>
      <w:r w:rsidR="00027E46"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Pro lepší orientaci a pochopení tohoto člen</w:t>
      </w:r>
      <w:r w:rsidR="004604B1">
        <w:rPr>
          <w:rFonts w:asciiTheme="minorHAnsi" w:hAnsiTheme="minorHAnsi" w:cstheme="minorHAnsi"/>
          <w:color w:val="auto"/>
          <w:sz w:val="24"/>
          <w:szCs w:val="24"/>
        </w:rPr>
        <w:t>ě</w:t>
      </w:r>
      <w:r w:rsidRPr="002872A6">
        <w:rPr>
          <w:rFonts w:asciiTheme="minorHAnsi" w:hAnsiTheme="minorHAnsi" w:cstheme="minorHAnsi"/>
          <w:color w:val="auto"/>
          <w:sz w:val="24"/>
          <w:szCs w:val="24"/>
        </w:rPr>
        <w:t>ní je přílohou této práce obrázek vytvořený přímo SÚKL, kde formou takzvaného „pavo</w:t>
      </w:r>
      <w:r>
        <w:rPr>
          <w:rFonts w:asciiTheme="minorHAnsi" w:hAnsiTheme="minorHAnsi" w:cstheme="minorHAnsi"/>
          <w:color w:val="auto"/>
          <w:sz w:val="24"/>
          <w:szCs w:val="24"/>
        </w:rPr>
        <w:t xml:space="preserve">uka“ </w:t>
      </w:r>
      <w:r w:rsidR="00027E46">
        <w:rPr>
          <w:rFonts w:asciiTheme="minorHAnsi" w:hAnsiTheme="minorHAnsi" w:cstheme="minorHAnsi"/>
          <w:color w:val="auto"/>
          <w:sz w:val="24"/>
          <w:szCs w:val="24"/>
        </w:rPr>
        <w:t xml:space="preserve">je </w:t>
      </w:r>
      <w:r>
        <w:rPr>
          <w:rFonts w:asciiTheme="minorHAnsi" w:hAnsiTheme="minorHAnsi" w:cstheme="minorHAnsi"/>
          <w:color w:val="auto"/>
          <w:sz w:val="24"/>
          <w:szCs w:val="24"/>
        </w:rPr>
        <w:t>znázorněna celá struktura (viz příloha č. 1)</w:t>
      </w:r>
      <w:r w:rsidRPr="002872A6">
        <w:rPr>
          <w:rFonts w:asciiTheme="minorHAnsi" w:hAnsiTheme="minorHAnsi" w:cstheme="minorHAnsi"/>
          <w:color w:val="auto"/>
          <w:sz w:val="24"/>
          <w:szCs w:val="24"/>
        </w:rPr>
        <w:t>.</w:t>
      </w:r>
      <w:r w:rsidR="00D53008" w:rsidRPr="00D53008">
        <w:rPr>
          <w:rFonts w:asciiTheme="minorHAnsi" w:hAnsiTheme="minorHAnsi" w:cstheme="minorHAnsi"/>
          <w:color w:val="auto"/>
          <w:sz w:val="24"/>
          <w:szCs w:val="24"/>
        </w:rPr>
        <w:t xml:space="preserve"> </w:t>
      </w:r>
      <w:r w:rsidR="00D53008">
        <w:rPr>
          <w:rFonts w:asciiTheme="minorHAnsi" w:hAnsiTheme="minorHAnsi" w:cstheme="minorHAnsi"/>
          <w:color w:val="auto"/>
          <w:sz w:val="24"/>
          <w:szCs w:val="24"/>
        </w:rPr>
        <w:t>[13</w:t>
      </w:r>
      <w:r w:rsidR="00D53008" w:rsidRPr="008072E4">
        <w:rPr>
          <w:rFonts w:asciiTheme="minorHAnsi" w:hAnsiTheme="minorHAnsi" w:cstheme="minorHAnsi"/>
          <w:color w:val="auto"/>
          <w:sz w:val="24"/>
          <w:szCs w:val="24"/>
        </w:rPr>
        <w:t>]</w:t>
      </w:r>
    </w:p>
    <w:p w:rsidR="00294E20" w:rsidRPr="006C11DA" w:rsidRDefault="00294E20" w:rsidP="00294E20">
      <w:pPr>
        <w:spacing w:after="0" w:line="360" w:lineRule="auto"/>
        <w:ind w:firstLine="708"/>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38" w:name="_Toc165990630"/>
      <w:r w:rsidRPr="002872A6">
        <w:rPr>
          <w:rFonts w:asciiTheme="minorHAnsi" w:hAnsiTheme="minorHAnsi" w:cstheme="minorHAnsi"/>
          <w:b/>
          <w:color w:val="auto"/>
          <w:sz w:val="28"/>
          <w:szCs w:val="28"/>
        </w:rPr>
        <w:t>Spolupráce</w:t>
      </w:r>
      <w:bookmarkEnd w:id="38"/>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své činnosti spolupracuje SÚKL s dalšími orgány a institucemi, kterými jsou například</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Státní ústav pro kontrolu veterinárních biopreparátů a léčiv</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Ministerstvo</w:t>
      </w:r>
      <w:r w:rsidR="00655C22">
        <w:rPr>
          <w:rFonts w:asciiTheme="minorHAnsi" w:hAnsiTheme="minorHAnsi" w:cstheme="minorHAnsi"/>
          <w:color w:val="auto"/>
          <w:sz w:val="24"/>
          <w:szCs w:val="24"/>
        </w:rPr>
        <w:t> </w:t>
      </w:r>
      <w:r w:rsidRPr="002872A6">
        <w:rPr>
          <w:rFonts w:asciiTheme="minorHAnsi" w:hAnsiTheme="minorHAnsi" w:cstheme="minorHAnsi"/>
          <w:color w:val="auto"/>
          <w:sz w:val="24"/>
          <w:szCs w:val="24"/>
        </w:rPr>
        <w:t>zdravotnictví</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Ministerstvo zemědělství</w:t>
      </w:r>
      <w:r>
        <w:rPr>
          <w:rFonts w:asciiTheme="minorHAnsi" w:hAnsiTheme="minorHAnsi" w:cstheme="minorHAnsi"/>
          <w:color w:val="auto"/>
          <w:sz w:val="24"/>
          <w:szCs w:val="24"/>
        </w:rPr>
        <w:t xml:space="preserve"> České republiky, </w:t>
      </w:r>
      <w:r w:rsidRPr="002872A6">
        <w:rPr>
          <w:rFonts w:asciiTheme="minorHAnsi" w:hAnsiTheme="minorHAnsi" w:cstheme="minorHAnsi"/>
          <w:color w:val="auto"/>
          <w:sz w:val="24"/>
          <w:szCs w:val="24"/>
        </w:rPr>
        <w:t xml:space="preserve">Státní zemědělská </w:t>
      </w:r>
      <w:r w:rsidRPr="002872A6">
        <w:rPr>
          <w:rFonts w:asciiTheme="minorHAnsi" w:hAnsiTheme="minorHAnsi" w:cstheme="minorHAnsi"/>
          <w:color w:val="auto"/>
          <w:sz w:val="24"/>
          <w:szCs w:val="24"/>
        </w:rPr>
        <w:lastRenderedPageBreak/>
        <w:t>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potravinářská inspekce</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Česká obchodní inspekce</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Celní správa</w:t>
      </w:r>
      <w:r>
        <w:rPr>
          <w:rFonts w:asciiTheme="minorHAnsi" w:hAnsiTheme="minorHAnsi" w:cstheme="minorHAnsi"/>
          <w:color w:val="auto"/>
          <w:sz w:val="24"/>
          <w:szCs w:val="24"/>
        </w:rPr>
        <w:t xml:space="preserve">, </w:t>
      </w:r>
      <w:r w:rsidR="00655C22">
        <w:rPr>
          <w:rFonts w:asciiTheme="minorHAnsi" w:hAnsiTheme="minorHAnsi" w:cstheme="minorHAnsi"/>
          <w:color w:val="auto"/>
          <w:sz w:val="24"/>
          <w:szCs w:val="24"/>
        </w:rPr>
        <w:t>Policie České </w:t>
      </w:r>
      <w:r w:rsidRPr="002872A6">
        <w:rPr>
          <w:rFonts w:asciiTheme="minorHAnsi" w:hAnsiTheme="minorHAnsi" w:cstheme="minorHAnsi"/>
          <w:color w:val="auto"/>
          <w:sz w:val="24"/>
          <w:szCs w:val="24"/>
        </w:rPr>
        <w:t>republiky</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Úřad pro technickou normalizaci, metrologii a státní zkušebnictví</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Světová zdravotnická organizace (WHO)</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Evropská agentura pro léčiva (EMA)</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Síť</w:t>
      </w:r>
      <w:r w:rsidR="00655C22">
        <w:rPr>
          <w:rFonts w:asciiTheme="minorHAnsi" w:hAnsiTheme="minorHAnsi" w:cstheme="minorHAnsi"/>
          <w:color w:val="auto"/>
          <w:sz w:val="24"/>
          <w:szCs w:val="24"/>
        </w:rPr>
        <w:t> </w:t>
      </w:r>
      <w:r w:rsidRPr="002872A6">
        <w:rPr>
          <w:rFonts w:asciiTheme="minorHAnsi" w:hAnsiTheme="minorHAnsi" w:cstheme="minorHAnsi"/>
          <w:color w:val="auto"/>
          <w:sz w:val="24"/>
          <w:szCs w:val="24"/>
        </w:rPr>
        <w:t>ředitelů lékových agentur (HMA)</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Evropské ústředí pro kvalitu léčiv a</w:t>
      </w:r>
      <w:r w:rsidR="00655C22">
        <w:rPr>
          <w:rFonts w:asciiTheme="minorHAnsi" w:hAnsiTheme="minorHAnsi" w:cstheme="minorHAnsi"/>
          <w:color w:val="auto"/>
          <w:sz w:val="24"/>
          <w:szCs w:val="24"/>
        </w:rPr>
        <w:t> </w:t>
      </w:r>
      <w:r w:rsidRPr="002872A6">
        <w:rPr>
          <w:rFonts w:asciiTheme="minorHAnsi" w:hAnsiTheme="minorHAnsi" w:cstheme="minorHAnsi"/>
          <w:color w:val="auto"/>
          <w:sz w:val="24"/>
          <w:szCs w:val="24"/>
        </w:rPr>
        <w:t>zdravotní péče Rady Evropy (EDQM)</w:t>
      </w:r>
      <w:r>
        <w:rPr>
          <w:rFonts w:asciiTheme="minorHAnsi" w:hAnsiTheme="minorHAnsi" w:cstheme="minorHAnsi"/>
          <w:color w:val="auto"/>
          <w:sz w:val="24"/>
          <w:szCs w:val="24"/>
        </w:rPr>
        <w:t>.</w:t>
      </w:r>
      <w:r w:rsidR="00655C22" w:rsidRPr="00655C22">
        <w:rPr>
          <w:rFonts w:asciiTheme="minorHAnsi" w:hAnsiTheme="minorHAnsi" w:cstheme="minorHAnsi"/>
          <w:color w:val="auto"/>
          <w:sz w:val="24"/>
          <w:szCs w:val="24"/>
        </w:rPr>
        <w:t xml:space="preserve"> </w:t>
      </w:r>
      <w:r w:rsidR="00655C22" w:rsidRPr="008072E4">
        <w:rPr>
          <w:rFonts w:asciiTheme="minorHAnsi" w:hAnsiTheme="minorHAnsi" w:cstheme="minorHAnsi"/>
          <w:color w:val="auto"/>
          <w:sz w:val="24"/>
          <w:szCs w:val="24"/>
        </w:rPr>
        <w:t>[1</w:t>
      </w:r>
      <w:r w:rsidR="00655C22">
        <w:rPr>
          <w:rFonts w:asciiTheme="minorHAnsi" w:hAnsiTheme="minorHAnsi" w:cstheme="minorHAnsi"/>
          <w:color w:val="auto"/>
          <w:sz w:val="24"/>
          <w:szCs w:val="24"/>
        </w:rPr>
        <w:t>, 2</w:t>
      </w:r>
      <w:r w:rsidR="00655C22" w:rsidRPr="008072E4">
        <w:rPr>
          <w:rFonts w:asciiTheme="minorHAnsi" w:hAnsiTheme="minorHAnsi" w:cstheme="minorHAnsi"/>
          <w:color w:val="auto"/>
          <w:sz w:val="24"/>
          <w:szCs w:val="24"/>
        </w:rPr>
        <w:t>]</w:t>
      </w:r>
    </w:p>
    <w:p w:rsidR="00294E20" w:rsidRDefault="00294E20" w:rsidP="00294E20">
      <w:pPr>
        <w:spacing w:after="0" w:line="360" w:lineRule="auto"/>
        <w:ind w:firstLine="431"/>
        <w:jc w:val="both"/>
        <w:rPr>
          <w:rFonts w:asciiTheme="minorHAnsi" w:hAnsiTheme="minorHAnsi" w:cstheme="minorHAnsi"/>
          <w:color w:val="auto"/>
        </w:rPr>
      </w:pPr>
      <w:r w:rsidRPr="002872A6">
        <w:rPr>
          <w:rFonts w:asciiTheme="minorHAnsi" w:hAnsiTheme="minorHAnsi" w:cstheme="minorHAnsi"/>
          <w:color w:val="auto"/>
          <w:sz w:val="24"/>
          <w:szCs w:val="24"/>
        </w:rPr>
        <w:t>Vzájemná spolupráce je jedním ze základních předpokladů k řádnému a kvalitnímu zabezpečování stanovených úkolů, a především k dosažení cíle, který byl již zmíněn v</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úvodu</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tedy aby v České republice byla dostupná bezpečná léčiva, v dostatečném množství, v potřebné kvalitě a aby se k pacientovi dostala ta správná léčiva se správnými instrukcemi k použití, přičemž toto platí též u zdravotnických prostředků.</w:t>
      </w:r>
      <w:r w:rsidR="00C554F3" w:rsidRPr="00C554F3">
        <w:rPr>
          <w:rFonts w:asciiTheme="minorHAnsi" w:hAnsiTheme="minorHAnsi" w:cstheme="minorHAnsi"/>
          <w:color w:val="auto"/>
          <w:sz w:val="24"/>
          <w:szCs w:val="24"/>
        </w:rPr>
        <w:t xml:space="preserve"> </w:t>
      </w:r>
      <w:r w:rsidR="00C554F3" w:rsidRPr="008072E4">
        <w:rPr>
          <w:rFonts w:asciiTheme="minorHAnsi" w:hAnsiTheme="minorHAnsi" w:cstheme="minorHAnsi"/>
          <w:color w:val="auto"/>
          <w:sz w:val="24"/>
          <w:szCs w:val="24"/>
        </w:rPr>
        <w:t>[1</w:t>
      </w:r>
      <w:r w:rsidR="00C554F3">
        <w:rPr>
          <w:rFonts w:asciiTheme="minorHAnsi" w:hAnsiTheme="minorHAnsi" w:cstheme="minorHAnsi"/>
          <w:color w:val="auto"/>
          <w:sz w:val="24"/>
          <w:szCs w:val="24"/>
        </w:rPr>
        <w:t>, 2</w:t>
      </w:r>
      <w:r w:rsidR="00C554F3" w:rsidRPr="008072E4">
        <w:rPr>
          <w:rFonts w:asciiTheme="minorHAnsi" w:hAnsiTheme="minorHAnsi" w:cstheme="minorHAnsi"/>
          <w:color w:val="auto"/>
          <w:sz w:val="24"/>
          <w:szCs w:val="24"/>
        </w:rPr>
        <w:t>]</w:t>
      </w:r>
    </w:p>
    <w:p w:rsidR="00294E20" w:rsidRPr="002872A6" w:rsidRDefault="00294E20" w:rsidP="00294E20">
      <w:pPr>
        <w:tabs>
          <w:tab w:val="left" w:pos="1141"/>
        </w:tabs>
        <w:spacing w:after="0" w:line="360" w:lineRule="auto"/>
        <w:rPr>
          <w:rFonts w:asciiTheme="minorHAnsi" w:hAnsiTheme="minorHAnsi" w:cstheme="minorHAnsi"/>
          <w:color w:val="auto"/>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39" w:name="_Toc164078825"/>
      <w:bookmarkStart w:id="40" w:name="_Toc163647366"/>
      <w:bookmarkStart w:id="41" w:name="_Toc163759359"/>
      <w:bookmarkStart w:id="42" w:name="_Toc165990631"/>
      <w:bookmarkEnd w:id="39"/>
      <w:bookmarkEnd w:id="40"/>
      <w:bookmarkEnd w:id="41"/>
      <w:r w:rsidRPr="002872A6">
        <w:rPr>
          <w:rFonts w:asciiTheme="minorHAnsi" w:hAnsiTheme="minorHAnsi" w:cstheme="minorHAnsi"/>
          <w:b/>
          <w:color w:val="auto"/>
          <w:sz w:val="28"/>
          <w:szCs w:val="28"/>
        </w:rPr>
        <w:t>Činnosti</w:t>
      </w:r>
      <w:bookmarkEnd w:id="42"/>
    </w:p>
    <w:p w:rsidR="00294E20" w:rsidRPr="002872A6" w:rsidRDefault="00294E20" w:rsidP="00294E20">
      <w:pPr>
        <w:spacing w:after="0" w:line="360" w:lineRule="auto"/>
        <w:ind w:left="432"/>
        <w:rPr>
          <w:rFonts w:asciiTheme="minorHAnsi" w:hAnsiTheme="minorHAnsi" w:cstheme="minorHAnsi"/>
          <w:color w:val="auto"/>
        </w:rPr>
      </w:pPr>
    </w:p>
    <w:p w:rsidR="004A4757"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Základním pramenem, kde je výslovně vypsána činnost SÚKL, je </w:t>
      </w:r>
      <w:r>
        <w:rPr>
          <w:rFonts w:asciiTheme="minorHAnsi" w:hAnsiTheme="minorHAnsi" w:cstheme="minorHAnsi"/>
          <w:color w:val="auto"/>
          <w:sz w:val="24"/>
          <w:szCs w:val="24"/>
        </w:rPr>
        <w:t>listina vydaná ve spolupráci SÚK</w:t>
      </w:r>
      <w:r w:rsidR="004A4757">
        <w:rPr>
          <w:rFonts w:asciiTheme="minorHAnsi" w:hAnsiTheme="minorHAnsi" w:cstheme="minorHAnsi"/>
          <w:color w:val="auto"/>
          <w:sz w:val="24"/>
          <w:szCs w:val="24"/>
        </w:rPr>
        <w:t>L a Ministerstva zdravotnictví.</w:t>
      </w:r>
    </w:p>
    <w:p w:rsidR="00294E20" w:rsidRDefault="002946E1" w:rsidP="00294E20">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Touto listinou je </w:t>
      </w:r>
      <w:r w:rsidR="00294E20">
        <w:rPr>
          <w:rFonts w:asciiTheme="minorHAnsi" w:hAnsiTheme="minorHAnsi" w:cstheme="minorHAnsi"/>
          <w:color w:val="auto"/>
          <w:sz w:val="24"/>
          <w:szCs w:val="24"/>
        </w:rPr>
        <w:t>S</w:t>
      </w:r>
      <w:r w:rsidR="00294E20" w:rsidRPr="002872A6">
        <w:rPr>
          <w:rFonts w:asciiTheme="minorHAnsi" w:hAnsiTheme="minorHAnsi" w:cstheme="minorHAnsi"/>
          <w:color w:val="auto"/>
          <w:sz w:val="24"/>
          <w:szCs w:val="24"/>
        </w:rPr>
        <w:t>tatut SÚKL</w:t>
      </w:r>
      <w:r w:rsidR="00294E20">
        <w:rPr>
          <w:rFonts w:asciiTheme="minorHAnsi" w:hAnsiTheme="minorHAnsi" w:cstheme="minorHAnsi"/>
          <w:color w:val="auto"/>
          <w:sz w:val="24"/>
          <w:szCs w:val="24"/>
        </w:rPr>
        <w:t xml:space="preserve"> (viz příloha č. 2)</w:t>
      </w:r>
      <w:r w:rsidR="004A4757">
        <w:rPr>
          <w:rFonts w:asciiTheme="minorHAnsi" w:hAnsiTheme="minorHAnsi" w:cstheme="minorHAnsi"/>
          <w:color w:val="auto"/>
          <w:sz w:val="24"/>
          <w:szCs w:val="24"/>
        </w:rPr>
        <w:t xml:space="preserve"> ze </w:t>
      </w:r>
      <w:r w:rsidR="00294E20">
        <w:rPr>
          <w:rFonts w:asciiTheme="minorHAnsi" w:hAnsiTheme="minorHAnsi" w:cstheme="minorHAnsi"/>
          <w:color w:val="auto"/>
          <w:sz w:val="24"/>
          <w:szCs w:val="24"/>
        </w:rPr>
        <w:t xml:space="preserve">dne </w:t>
      </w:r>
      <w:r w:rsidR="00294E20" w:rsidRPr="002872A6">
        <w:rPr>
          <w:rFonts w:asciiTheme="minorHAnsi" w:hAnsiTheme="minorHAnsi" w:cstheme="minorHAnsi"/>
          <w:color w:val="auto"/>
          <w:sz w:val="24"/>
          <w:szCs w:val="24"/>
        </w:rPr>
        <w:t xml:space="preserve">6. 8. 2013, </w:t>
      </w:r>
      <w:r w:rsidR="00294E20">
        <w:rPr>
          <w:rFonts w:asciiTheme="minorHAnsi" w:hAnsiTheme="minorHAnsi" w:cstheme="minorHAnsi"/>
          <w:color w:val="auto"/>
          <w:sz w:val="24"/>
          <w:szCs w:val="24"/>
        </w:rPr>
        <w:t>přičemž byl</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podepsán</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a odsouhlasen</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dne 23. 7. 2013 tehdejším ředitelem SÚKL MUDr. Pavlem BŘEZOVSKÝM, MBA, a následně dne 6. 8. 2013 byl</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odsouhlasen</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a podepsán</w:t>
      </w:r>
      <w:r w:rsidR="004A4757">
        <w:rPr>
          <w:rFonts w:asciiTheme="minorHAnsi" w:hAnsiTheme="minorHAnsi" w:cstheme="minorHAnsi"/>
          <w:color w:val="auto"/>
          <w:sz w:val="24"/>
          <w:szCs w:val="24"/>
        </w:rPr>
        <w:t>a</w:t>
      </w:r>
      <w:r w:rsidR="00294E20">
        <w:rPr>
          <w:rFonts w:asciiTheme="minorHAnsi" w:hAnsiTheme="minorHAnsi" w:cstheme="minorHAnsi"/>
          <w:color w:val="auto"/>
          <w:sz w:val="24"/>
          <w:szCs w:val="24"/>
        </w:rPr>
        <w:t xml:space="preserve"> tehdejším ministrem zdravotnictví České republiky MUDr. Martinem HOLCÁTEM, MBA. </w:t>
      </w:r>
      <w:r w:rsidR="004A4757">
        <w:rPr>
          <w:rFonts w:asciiTheme="minorHAnsi" w:hAnsiTheme="minorHAnsi" w:cstheme="minorHAnsi"/>
          <w:color w:val="auto"/>
          <w:sz w:val="24"/>
          <w:szCs w:val="24"/>
        </w:rPr>
        <w:t>St</w:t>
      </w:r>
      <w:r w:rsidR="00771FD8">
        <w:rPr>
          <w:rFonts w:asciiTheme="minorHAnsi" w:hAnsiTheme="minorHAnsi" w:cstheme="minorHAnsi"/>
          <w:color w:val="auto"/>
          <w:sz w:val="24"/>
          <w:szCs w:val="24"/>
        </w:rPr>
        <w:t>a</w:t>
      </w:r>
      <w:r w:rsidR="004A4757">
        <w:rPr>
          <w:rFonts w:asciiTheme="minorHAnsi" w:hAnsiTheme="minorHAnsi" w:cstheme="minorHAnsi"/>
          <w:color w:val="auto"/>
          <w:sz w:val="24"/>
          <w:szCs w:val="24"/>
        </w:rPr>
        <w:t>tu</w:t>
      </w:r>
      <w:r w:rsidR="00771FD8">
        <w:rPr>
          <w:rFonts w:asciiTheme="minorHAnsi" w:hAnsiTheme="minorHAnsi" w:cstheme="minorHAnsi"/>
          <w:color w:val="auto"/>
          <w:sz w:val="24"/>
          <w:szCs w:val="24"/>
        </w:rPr>
        <w:t>t</w:t>
      </w:r>
      <w:r w:rsidR="004A4757">
        <w:rPr>
          <w:rFonts w:asciiTheme="minorHAnsi" w:hAnsiTheme="minorHAnsi" w:cstheme="minorHAnsi"/>
          <w:color w:val="auto"/>
          <w:sz w:val="24"/>
          <w:szCs w:val="24"/>
        </w:rPr>
        <w:t xml:space="preserve"> nabyl platnosti až jeho schválením Ministerstvem zdravotnictví. </w:t>
      </w:r>
      <w:r w:rsidR="00294E20">
        <w:rPr>
          <w:rFonts w:asciiTheme="minorHAnsi" w:hAnsiTheme="minorHAnsi" w:cstheme="minorHAnsi"/>
          <w:color w:val="auto"/>
          <w:sz w:val="24"/>
          <w:szCs w:val="24"/>
        </w:rPr>
        <w:t>Tento statut je v současné době stále v pla</w:t>
      </w:r>
      <w:r>
        <w:rPr>
          <w:rFonts w:asciiTheme="minorHAnsi" w:hAnsiTheme="minorHAnsi" w:cstheme="minorHAnsi"/>
          <w:color w:val="auto"/>
          <w:sz w:val="24"/>
          <w:szCs w:val="24"/>
        </w:rPr>
        <w:t>t</w:t>
      </w:r>
      <w:r w:rsidR="00294E20">
        <w:rPr>
          <w:rFonts w:asciiTheme="minorHAnsi" w:hAnsiTheme="minorHAnsi" w:cstheme="minorHAnsi"/>
          <w:color w:val="auto"/>
          <w:sz w:val="24"/>
          <w:szCs w:val="24"/>
        </w:rPr>
        <w:t>nosti, a jen pro zajímavost nahradil statut, který byl vydán dne 29. 10. 2001, s dodatkem ze dne 13. 4. 2006.</w:t>
      </w:r>
      <w:r w:rsidR="00655C22" w:rsidRPr="00655C22">
        <w:rPr>
          <w:rFonts w:asciiTheme="minorHAnsi" w:hAnsiTheme="minorHAnsi" w:cstheme="minorHAnsi"/>
          <w:color w:val="auto"/>
          <w:sz w:val="24"/>
          <w:szCs w:val="24"/>
        </w:rPr>
        <w:t xml:space="preserve"> </w:t>
      </w:r>
      <w:r w:rsidR="00655C22" w:rsidRPr="008072E4">
        <w:rPr>
          <w:rFonts w:asciiTheme="minorHAnsi" w:hAnsiTheme="minorHAnsi" w:cstheme="minorHAnsi"/>
          <w:color w:val="auto"/>
          <w:sz w:val="24"/>
          <w:szCs w:val="24"/>
        </w:rPr>
        <w:t>[</w:t>
      </w:r>
      <w:r w:rsidR="00655C22">
        <w:rPr>
          <w:rFonts w:asciiTheme="minorHAnsi" w:hAnsiTheme="minorHAnsi" w:cstheme="minorHAnsi"/>
          <w:color w:val="auto"/>
          <w:sz w:val="24"/>
          <w:szCs w:val="24"/>
        </w:rPr>
        <w:t>1</w:t>
      </w:r>
      <w:r w:rsidR="00D53008">
        <w:rPr>
          <w:rFonts w:asciiTheme="minorHAnsi" w:hAnsiTheme="minorHAnsi" w:cstheme="minorHAnsi"/>
          <w:color w:val="auto"/>
          <w:sz w:val="24"/>
          <w:szCs w:val="24"/>
        </w:rPr>
        <w:t>4</w:t>
      </w:r>
      <w:r w:rsidR="00655C22"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Tento statut definuje zařazení SÚKL v systému správních úřadů České republiky, </w:t>
      </w:r>
      <w:r w:rsidR="002946E1">
        <w:rPr>
          <w:rFonts w:asciiTheme="minorHAnsi" w:hAnsiTheme="minorHAnsi" w:cstheme="minorHAnsi"/>
          <w:color w:val="auto"/>
          <w:sz w:val="24"/>
          <w:szCs w:val="24"/>
        </w:rPr>
        <w:t>a d</w:t>
      </w:r>
      <w:r>
        <w:rPr>
          <w:rFonts w:asciiTheme="minorHAnsi" w:hAnsiTheme="minorHAnsi" w:cstheme="minorHAnsi"/>
          <w:color w:val="auto"/>
          <w:sz w:val="24"/>
          <w:szCs w:val="24"/>
        </w:rPr>
        <w:t>ále právní rámec jeho činností. Především jsou zde vypsány činnosti v zájmu ochrany zdraví občanů, a jeho dalších činnost</w:t>
      </w:r>
      <w:r w:rsidR="00655C22">
        <w:rPr>
          <w:rFonts w:asciiTheme="minorHAnsi" w:hAnsiTheme="minorHAnsi" w:cstheme="minorHAnsi"/>
          <w:color w:val="auto"/>
          <w:sz w:val="24"/>
          <w:szCs w:val="24"/>
        </w:rPr>
        <w:t>í</w:t>
      </w:r>
      <w:r>
        <w:rPr>
          <w:rFonts w:asciiTheme="minorHAnsi" w:hAnsiTheme="minorHAnsi" w:cstheme="minorHAnsi"/>
          <w:color w:val="auto"/>
          <w:sz w:val="24"/>
          <w:szCs w:val="24"/>
        </w:rPr>
        <w:t xml:space="preserve"> a povinnost spolupráce se státními a mezinárodními organizacemi.</w:t>
      </w:r>
      <w:r w:rsidR="00655C22" w:rsidRPr="00655C22">
        <w:rPr>
          <w:rFonts w:asciiTheme="minorHAnsi" w:hAnsiTheme="minorHAnsi" w:cstheme="minorHAnsi"/>
          <w:color w:val="auto"/>
          <w:sz w:val="24"/>
          <w:szCs w:val="24"/>
        </w:rPr>
        <w:t xml:space="preserve"> </w:t>
      </w:r>
      <w:r w:rsidR="00655C22" w:rsidRPr="008072E4">
        <w:rPr>
          <w:rFonts w:asciiTheme="minorHAnsi" w:hAnsiTheme="minorHAnsi" w:cstheme="minorHAnsi"/>
          <w:color w:val="auto"/>
          <w:sz w:val="24"/>
          <w:szCs w:val="24"/>
        </w:rPr>
        <w:t>[</w:t>
      </w:r>
      <w:r w:rsidR="00655C22">
        <w:rPr>
          <w:rFonts w:asciiTheme="minorHAnsi" w:hAnsiTheme="minorHAnsi" w:cstheme="minorHAnsi"/>
          <w:color w:val="auto"/>
          <w:sz w:val="24"/>
          <w:szCs w:val="24"/>
        </w:rPr>
        <w:t>1</w:t>
      </w:r>
      <w:r w:rsidR="00D53008">
        <w:rPr>
          <w:rFonts w:asciiTheme="minorHAnsi" w:hAnsiTheme="minorHAnsi" w:cstheme="minorHAnsi"/>
          <w:color w:val="auto"/>
          <w:sz w:val="24"/>
          <w:szCs w:val="24"/>
        </w:rPr>
        <w:t>4</w:t>
      </w:r>
      <w:r w:rsidR="00655C22" w:rsidRPr="008072E4">
        <w:rPr>
          <w:rFonts w:asciiTheme="minorHAnsi" w:hAnsiTheme="minorHAnsi" w:cstheme="minorHAnsi"/>
          <w:color w:val="auto"/>
          <w:sz w:val="24"/>
          <w:szCs w:val="24"/>
        </w:rPr>
        <w:t>]</w:t>
      </w:r>
    </w:p>
    <w:p w:rsidR="00294E20" w:rsidRPr="009752D1" w:rsidRDefault="00294E20" w:rsidP="00294E20">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Jednotlivé činnosti SÚKL, a to jak práva, tak i povinnosti, jsou upraveny samostatně v příslušných právních předpisech, kterými jsou zákony, nařízení a vyhlášky. Některé z těchto předpisů budou zmíněny v dalších kapitolách.</w:t>
      </w:r>
    </w:p>
    <w:p w:rsidR="006C11DA" w:rsidRPr="002872A6" w:rsidRDefault="006C11DA" w:rsidP="00294E20">
      <w:pPr>
        <w:spacing w:after="0" w:line="360" w:lineRule="auto"/>
        <w:rPr>
          <w:rFonts w:asciiTheme="minorHAnsi" w:hAnsiTheme="minorHAnsi" w:cstheme="minorHAnsi"/>
          <w:color w:val="auto"/>
          <w:sz w:val="24"/>
          <w:szCs w:val="24"/>
        </w:rPr>
      </w:pPr>
      <w:bookmarkStart w:id="43" w:name="_Toc164078826"/>
      <w:bookmarkStart w:id="44" w:name="_Toc163759360"/>
      <w:bookmarkEnd w:id="43"/>
      <w:bookmarkEnd w:id="44"/>
    </w:p>
    <w:p w:rsidR="00294E20" w:rsidRPr="002872A6" w:rsidRDefault="00294E20" w:rsidP="00294E20">
      <w:pPr>
        <w:pStyle w:val="Nadpis2"/>
        <w:ind w:left="567" w:hanging="567"/>
        <w:rPr>
          <w:rFonts w:asciiTheme="minorHAnsi" w:hAnsiTheme="minorHAnsi" w:cstheme="minorHAnsi"/>
          <w:b/>
          <w:color w:val="auto"/>
          <w:sz w:val="28"/>
          <w:szCs w:val="28"/>
        </w:rPr>
      </w:pPr>
      <w:bookmarkStart w:id="45" w:name="_Toc164078827"/>
      <w:bookmarkStart w:id="46" w:name="_Toc163647367"/>
      <w:bookmarkStart w:id="47" w:name="_Toc163759361"/>
      <w:bookmarkStart w:id="48" w:name="_Toc165990632"/>
      <w:bookmarkEnd w:id="45"/>
      <w:bookmarkEnd w:id="46"/>
      <w:bookmarkEnd w:id="47"/>
      <w:r w:rsidRPr="002872A6">
        <w:rPr>
          <w:rFonts w:asciiTheme="minorHAnsi" w:hAnsiTheme="minorHAnsi" w:cstheme="minorHAnsi"/>
          <w:b/>
          <w:color w:val="auto"/>
          <w:sz w:val="28"/>
          <w:szCs w:val="28"/>
        </w:rPr>
        <w:lastRenderedPageBreak/>
        <w:t>Odborné činnosti</w:t>
      </w:r>
      <w:bookmarkEnd w:id="48"/>
    </w:p>
    <w:p w:rsidR="00294E20" w:rsidRPr="006C11DA" w:rsidRDefault="00294E20" w:rsidP="00294E20">
      <w:pPr>
        <w:pStyle w:val="Bezmezer"/>
        <w:spacing w:line="360" w:lineRule="auto"/>
        <w:rPr>
          <w:rFonts w:asciiTheme="minorHAnsi" w:hAnsiTheme="minorHAnsi" w:cstheme="minorHAnsi"/>
          <w:color w:val="auto"/>
          <w:sz w:val="24"/>
          <w:szCs w:val="24"/>
        </w:rPr>
      </w:pPr>
    </w:p>
    <w:p w:rsidR="00294E20" w:rsidRDefault="00294E20" w:rsidP="00294E20">
      <w:pPr>
        <w:spacing w:after="0" w:line="360" w:lineRule="auto"/>
        <w:ind w:firstLine="431"/>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Odborné činnosti jsou členěny do jednotlivých sekcí, kdy ke každé sekci vydává každoročně SÚKL zprávy o činnosti a o podstatných informací</w:t>
      </w:r>
      <w:r w:rsidR="00771FD8">
        <w:rPr>
          <w:rFonts w:asciiTheme="minorHAnsi" w:hAnsiTheme="minorHAnsi" w:cstheme="minorHAnsi"/>
          <w:color w:val="auto"/>
          <w:sz w:val="24"/>
          <w:szCs w:val="24"/>
        </w:rPr>
        <w:t>ch</w:t>
      </w:r>
      <w:r w:rsidRPr="002872A6">
        <w:rPr>
          <w:rFonts w:asciiTheme="minorHAnsi" w:hAnsiTheme="minorHAnsi" w:cstheme="minorHAnsi"/>
          <w:color w:val="auto"/>
          <w:sz w:val="24"/>
          <w:szCs w:val="24"/>
        </w:rPr>
        <w:t xml:space="preserve"> k dané problematice. Samotné sekce a jejich členění se postupem let vyvíjely a měnily dle aktuálních požadavků a podmínek. Jak již bylo uvedeno, tak v současné době se jedná o sekce registrací, sekce dozoru, sekce cenové a úhradové regulace, sekce regulace zdravotnických prostředků, a sekce podpory ředitele a managementu.</w:t>
      </w:r>
      <w:r w:rsidR="004F2D52" w:rsidRPr="004F2D52">
        <w:rPr>
          <w:rFonts w:asciiTheme="minorHAnsi" w:hAnsiTheme="minorHAnsi" w:cstheme="minorHAnsi"/>
          <w:color w:val="auto"/>
          <w:sz w:val="24"/>
          <w:szCs w:val="24"/>
        </w:rPr>
        <w:t xml:space="preserve"> </w:t>
      </w:r>
      <w:r w:rsidR="004F2D52" w:rsidRPr="008072E4">
        <w:rPr>
          <w:rFonts w:asciiTheme="minorHAnsi" w:hAnsiTheme="minorHAnsi" w:cstheme="minorHAnsi"/>
          <w:color w:val="auto"/>
          <w:sz w:val="24"/>
          <w:szCs w:val="24"/>
        </w:rPr>
        <w:t>[</w:t>
      </w:r>
      <w:r w:rsidR="004F2D52">
        <w:rPr>
          <w:rFonts w:asciiTheme="minorHAnsi" w:hAnsiTheme="minorHAnsi" w:cstheme="minorHAnsi"/>
          <w:color w:val="auto"/>
          <w:sz w:val="24"/>
          <w:szCs w:val="24"/>
        </w:rPr>
        <w:t>13</w:t>
      </w:r>
      <w:r w:rsidR="004F2D52" w:rsidRPr="008072E4">
        <w:rPr>
          <w:rFonts w:asciiTheme="minorHAnsi" w:hAnsiTheme="minorHAnsi" w:cstheme="minorHAnsi"/>
          <w:color w:val="auto"/>
          <w:sz w:val="24"/>
          <w:szCs w:val="24"/>
        </w:rPr>
        <w:t>]</w:t>
      </w:r>
    </w:p>
    <w:p w:rsidR="004F2D52" w:rsidRPr="00682B7F" w:rsidRDefault="004F2D52" w:rsidP="00294E20">
      <w:pPr>
        <w:spacing w:after="0" w:line="360" w:lineRule="auto"/>
        <w:ind w:firstLine="431"/>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49" w:name="_Toc164078828"/>
      <w:bookmarkStart w:id="50" w:name="_Toc163647368"/>
      <w:bookmarkStart w:id="51" w:name="_Toc163759362"/>
      <w:bookmarkStart w:id="52" w:name="_Toc165990633"/>
      <w:bookmarkEnd w:id="49"/>
      <w:bookmarkEnd w:id="50"/>
      <w:bookmarkEnd w:id="51"/>
      <w:r w:rsidRPr="002872A6">
        <w:rPr>
          <w:rFonts w:asciiTheme="minorHAnsi" w:hAnsiTheme="minorHAnsi" w:cstheme="minorHAnsi"/>
          <w:b/>
          <w:color w:val="auto"/>
          <w:sz w:val="28"/>
          <w:szCs w:val="28"/>
        </w:rPr>
        <w:t>Sekce registrací</w:t>
      </w:r>
      <w:bookmarkEnd w:id="52"/>
    </w:p>
    <w:p w:rsidR="00294E20" w:rsidRPr="002872A6" w:rsidRDefault="00294E20" w:rsidP="00294E20">
      <w:pPr>
        <w:pStyle w:val="Bezmezer"/>
        <w:spacing w:line="360" w:lineRule="auto"/>
        <w:rPr>
          <w:rFonts w:asciiTheme="minorHAnsi" w:hAnsiTheme="minorHAnsi" w:cstheme="minorHAnsi"/>
          <w:color w:val="auto"/>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Vzhledem ke skutečnosti, že v České republice podléhá většina hromadně vyráběných léčivých přípravků registraci před jejich uvedením na trh, je třeba činnosti SÚKL, která při registračním řízení posuzuje dokumentaci k léčivému přípravku, kterou je prokazována bezpečnost, účinnost a kvalita daného léčivého přípravku u budoucího držitele rozhodnutí. Při tomto řízení se hodnotí samotný název léčivého přípravku, jeho terapeutická indikace, případné kontraindikace, stanovené dávkování, klasifikace léčivého přípravku pro výdej, a též příbalovou informaci, i návrh údajů o léčivém přípravku určených na obal. Pokud dojde k vydání rozhodnutí o registraci, je jejímu držiteli zaslán souhrn údajů o léčivém přípravku, který byl schválen, a který je následně pro lékaře a další zdravotnické odborníky, klíčovým zdrojem informací. Údaje uvedené na obalu, společně s identifikačními listy s přidělenými kódy, jsou rozhodné k identifikaci variant daného léčivého přípravku.</w:t>
      </w:r>
      <w:r w:rsidR="000136DE" w:rsidRPr="000136DE">
        <w:rPr>
          <w:rFonts w:asciiTheme="minorHAnsi" w:hAnsiTheme="minorHAnsi" w:cstheme="minorHAnsi"/>
          <w:color w:val="auto"/>
          <w:sz w:val="24"/>
          <w:szCs w:val="24"/>
        </w:rPr>
        <w:t xml:space="preserve">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rámci již vydaných registrací, se tato </w:t>
      </w:r>
      <w:r>
        <w:rPr>
          <w:rFonts w:asciiTheme="minorHAnsi" w:hAnsiTheme="minorHAnsi" w:cstheme="minorHAnsi"/>
          <w:color w:val="auto"/>
          <w:sz w:val="24"/>
          <w:szCs w:val="24"/>
        </w:rPr>
        <w:t>sekce dále zabývá posuzováním a </w:t>
      </w:r>
      <w:r w:rsidRPr="002872A6">
        <w:rPr>
          <w:rFonts w:asciiTheme="minorHAnsi" w:hAnsiTheme="minorHAnsi" w:cstheme="minorHAnsi"/>
          <w:color w:val="auto"/>
          <w:sz w:val="24"/>
          <w:szCs w:val="24"/>
        </w:rPr>
        <w:t>rozhodováním o žádostech o změně registrace, prodloužení její platnosti, její převedení nebo přímo zrušení. Další odpovědností je, že do vydávaných registrací implementuje výsledky evropských hodnocení.</w:t>
      </w:r>
      <w:r w:rsidR="000136DE" w:rsidRPr="000136DE">
        <w:rPr>
          <w:rFonts w:asciiTheme="minorHAnsi" w:hAnsiTheme="minorHAnsi" w:cstheme="minorHAnsi"/>
          <w:color w:val="auto"/>
          <w:sz w:val="24"/>
          <w:szCs w:val="24"/>
        </w:rPr>
        <w:t xml:space="preserve">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Vyjma rozhodování o žádostech o registraci, se </w:t>
      </w:r>
      <w:r>
        <w:rPr>
          <w:rFonts w:asciiTheme="minorHAnsi" w:hAnsiTheme="minorHAnsi" w:cstheme="minorHAnsi"/>
          <w:color w:val="auto"/>
          <w:sz w:val="24"/>
          <w:szCs w:val="24"/>
        </w:rPr>
        <w:t>zabývá též žádostmi týkající se </w:t>
      </w:r>
      <w:r w:rsidRPr="002872A6">
        <w:rPr>
          <w:rFonts w:asciiTheme="minorHAnsi" w:hAnsiTheme="minorHAnsi" w:cstheme="minorHAnsi"/>
          <w:color w:val="auto"/>
          <w:sz w:val="24"/>
          <w:szCs w:val="24"/>
        </w:rPr>
        <w:t>povolení souběžného dovozu. I zde u povolení souběžného dovozu je v kompetenci následné rozhodování o již vydaných povolení</w:t>
      </w:r>
      <w:r w:rsidR="002946E1">
        <w:rPr>
          <w:rFonts w:asciiTheme="minorHAnsi" w:hAnsiTheme="minorHAnsi" w:cstheme="minorHAnsi"/>
          <w:color w:val="auto"/>
          <w:sz w:val="24"/>
          <w:szCs w:val="24"/>
        </w:rPr>
        <w:t>ch</w:t>
      </w:r>
      <w:r w:rsidRPr="002872A6">
        <w:rPr>
          <w:rFonts w:asciiTheme="minorHAnsi" w:hAnsiTheme="minorHAnsi" w:cstheme="minorHAnsi"/>
          <w:color w:val="auto"/>
          <w:sz w:val="24"/>
          <w:szCs w:val="24"/>
        </w:rPr>
        <w:t xml:space="preserve">, pokud je požádáno o jejich změnu, prodloužení či zrušení daného povolení.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 xml:space="preserve">Zde je třeba zmínit pravidlo Sunset clause, kdy je zveřejňován seznam léčivých přípravků, které jsou tímto pravidlem ohroženy, nebo které již zanikly. K tomuto </w:t>
      </w:r>
      <w:r w:rsidR="002946E1">
        <w:rPr>
          <w:rFonts w:asciiTheme="minorHAnsi" w:hAnsiTheme="minorHAnsi" w:cstheme="minorHAnsi"/>
          <w:color w:val="auto"/>
          <w:sz w:val="24"/>
          <w:szCs w:val="24"/>
        </w:rPr>
        <w:t xml:space="preserve">SÚKL </w:t>
      </w:r>
      <w:r w:rsidRPr="002872A6">
        <w:rPr>
          <w:rFonts w:asciiTheme="minorHAnsi" w:hAnsiTheme="minorHAnsi" w:cstheme="minorHAnsi"/>
          <w:color w:val="auto"/>
          <w:sz w:val="24"/>
          <w:szCs w:val="24"/>
        </w:rPr>
        <w:t>vede seznam rozhodnutí, které ve správním řízení vydá na základě žádostí o udělen</w:t>
      </w:r>
      <w:r w:rsidR="00771FD8">
        <w:rPr>
          <w:rFonts w:asciiTheme="minorHAnsi" w:hAnsiTheme="minorHAnsi" w:cstheme="minorHAnsi"/>
          <w:color w:val="auto"/>
          <w:sz w:val="24"/>
          <w:szCs w:val="24"/>
        </w:rPr>
        <w:t>í</w:t>
      </w:r>
      <w:r w:rsidRPr="002872A6">
        <w:rPr>
          <w:rFonts w:asciiTheme="minorHAnsi" w:hAnsiTheme="minorHAnsi" w:cstheme="minorHAnsi"/>
          <w:color w:val="auto"/>
          <w:sz w:val="24"/>
          <w:szCs w:val="24"/>
        </w:rPr>
        <w:t xml:space="preserve"> výjimky z pravidla Sunset clause. V</w:t>
      </w:r>
      <w:r w:rsidR="00771FD8">
        <w:rPr>
          <w:rFonts w:asciiTheme="minorHAnsi" w:hAnsiTheme="minorHAnsi" w:cstheme="minorHAnsi"/>
          <w:color w:val="auto"/>
          <w:sz w:val="24"/>
          <w:szCs w:val="24"/>
        </w:rPr>
        <w:t xml:space="preserve"> tomot </w:t>
      </w:r>
      <w:r w:rsidRPr="002872A6">
        <w:rPr>
          <w:rFonts w:asciiTheme="minorHAnsi" w:hAnsiTheme="minorHAnsi" w:cstheme="minorHAnsi"/>
          <w:color w:val="auto"/>
          <w:sz w:val="24"/>
          <w:szCs w:val="24"/>
        </w:rPr>
        <w:t>seznamu jsou evidována kladná i záporná rozhodnutí.</w:t>
      </w:r>
      <w:r w:rsidR="002946E1">
        <w:rPr>
          <w:rFonts w:asciiTheme="minorHAnsi" w:hAnsiTheme="minorHAnsi" w:cstheme="minorHAnsi"/>
          <w:color w:val="auto"/>
          <w:sz w:val="24"/>
          <w:szCs w:val="24"/>
        </w:rPr>
        <w:t>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Zvláštní odbor této sekce provádí klinické hodno</w:t>
      </w:r>
      <w:r>
        <w:rPr>
          <w:rFonts w:asciiTheme="minorHAnsi" w:hAnsiTheme="minorHAnsi" w:cstheme="minorHAnsi"/>
          <w:color w:val="auto"/>
          <w:sz w:val="24"/>
          <w:szCs w:val="24"/>
        </w:rPr>
        <w:t>cení léčivých přípravků, kdy se </w:t>
      </w:r>
      <w:r w:rsidRPr="002872A6">
        <w:rPr>
          <w:rFonts w:asciiTheme="minorHAnsi" w:hAnsiTheme="minorHAnsi" w:cstheme="minorHAnsi"/>
          <w:color w:val="auto"/>
          <w:sz w:val="24"/>
          <w:szCs w:val="24"/>
        </w:rPr>
        <w:t>posuzují žádosti o povolení klinického hodnocení, případně ohlášení klinického hodnocení. V tomto ohledu dále dohlíží na průběh</w:t>
      </w:r>
      <w:r>
        <w:rPr>
          <w:rFonts w:asciiTheme="minorHAnsi" w:hAnsiTheme="minorHAnsi" w:cstheme="minorHAnsi"/>
          <w:color w:val="auto"/>
          <w:sz w:val="24"/>
          <w:szCs w:val="24"/>
        </w:rPr>
        <w:t xml:space="preserve"> tohoto klinického hodnocení. U </w:t>
      </w:r>
      <w:r w:rsidRPr="002872A6">
        <w:rPr>
          <w:rFonts w:asciiTheme="minorHAnsi" w:hAnsiTheme="minorHAnsi" w:cstheme="minorHAnsi"/>
          <w:color w:val="auto"/>
          <w:sz w:val="24"/>
          <w:szCs w:val="24"/>
        </w:rPr>
        <w:t>projektů studií stanovuje, jestli jde o klinické hodnocení či nikoliv.</w:t>
      </w:r>
      <w:r w:rsidR="000136DE" w:rsidRPr="000136DE">
        <w:rPr>
          <w:rFonts w:asciiTheme="minorHAnsi" w:hAnsiTheme="minorHAnsi" w:cstheme="minorHAnsi"/>
          <w:color w:val="auto"/>
          <w:sz w:val="24"/>
          <w:szCs w:val="24"/>
        </w:rPr>
        <w:t xml:space="preserve">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Do činnosti sekce patří i farmakovigilance, kdy předmětem této činnosti je shromažďování údajů o možných rizicích léčivého přípravku, jejich následné vyhodnocení, a v reakci na minimalizaci rizik zavedení případných regulačních opatření. Nejen na základě těchto zjištění podává nové informace o bezpečnosti léčivých přípravků veřejnosti. Informace o možných rizicích jsou získávány z odborné literatury, z hlášení od pacientů a zdravotnického personálu, ale i ze studií prováděných po registraci.</w:t>
      </w:r>
      <w:r w:rsidR="000136DE" w:rsidRPr="000136DE">
        <w:rPr>
          <w:rFonts w:asciiTheme="minorHAnsi" w:hAnsiTheme="minorHAnsi" w:cstheme="minorHAnsi"/>
          <w:color w:val="auto"/>
          <w:sz w:val="24"/>
          <w:szCs w:val="24"/>
        </w:rPr>
        <w:t xml:space="preserve"> </w:t>
      </w:r>
      <w:r w:rsidR="000136DE" w:rsidRPr="008072E4">
        <w:rPr>
          <w:rFonts w:asciiTheme="minorHAnsi" w:hAnsiTheme="minorHAnsi" w:cstheme="minorHAnsi"/>
          <w:color w:val="auto"/>
          <w:sz w:val="24"/>
          <w:szCs w:val="24"/>
        </w:rPr>
        <w:t>[1</w:t>
      </w:r>
      <w:r w:rsidR="000136DE">
        <w:rPr>
          <w:rFonts w:asciiTheme="minorHAnsi" w:hAnsiTheme="minorHAnsi" w:cstheme="minorHAnsi"/>
          <w:color w:val="auto"/>
          <w:sz w:val="24"/>
          <w:szCs w:val="24"/>
        </w:rPr>
        <w:t>, 2, 25</w:t>
      </w:r>
      <w:r w:rsidR="000136DE" w:rsidRPr="008072E4">
        <w:rPr>
          <w:rFonts w:asciiTheme="minorHAnsi" w:hAnsiTheme="minorHAnsi" w:cstheme="minorHAnsi"/>
          <w:color w:val="auto"/>
          <w:sz w:val="24"/>
          <w:szCs w:val="24"/>
        </w:rPr>
        <w:t>]</w:t>
      </w:r>
    </w:p>
    <w:p w:rsidR="00294E20" w:rsidRPr="002872A6" w:rsidRDefault="00294E20" w:rsidP="00294E20">
      <w:pPr>
        <w:pStyle w:val="Bezmezer"/>
        <w:spacing w:line="360" w:lineRule="auto"/>
        <w:jc w:val="both"/>
        <w:rPr>
          <w:rFonts w:asciiTheme="minorHAnsi" w:hAnsiTheme="minorHAnsi" w:cstheme="minorHAnsi"/>
          <w:color w:val="auto"/>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53" w:name="_Toc164078829"/>
      <w:bookmarkStart w:id="54" w:name="_Toc163647369"/>
      <w:bookmarkStart w:id="55" w:name="_Toc163759363"/>
      <w:bookmarkStart w:id="56" w:name="_Toc165990634"/>
      <w:bookmarkEnd w:id="53"/>
      <w:bookmarkEnd w:id="54"/>
      <w:bookmarkEnd w:id="55"/>
      <w:r w:rsidRPr="002872A6">
        <w:rPr>
          <w:rFonts w:asciiTheme="minorHAnsi" w:hAnsiTheme="minorHAnsi" w:cstheme="minorHAnsi"/>
          <w:b/>
          <w:color w:val="auto"/>
          <w:sz w:val="28"/>
          <w:szCs w:val="28"/>
        </w:rPr>
        <w:t>Sekce dozoru</w:t>
      </w:r>
      <w:bookmarkEnd w:id="56"/>
    </w:p>
    <w:p w:rsidR="00294E20" w:rsidRPr="002872A6" w:rsidRDefault="00294E20" w:rsidP="00294E20">
      <w:pPr>
        <w:pStyle w:val="Bezmezer"/>
        <w:spacing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Tato sekce patří mezi nejstarší v rámci his</w:t>
      </w:r>
      <w:r>
        <w:rPr>
          <w:rFonts w:asciiTheme="minorHAnsi" w:hAnsiTheme="minorHAnsi" w:cstheme="minorHAnsi"/>
          <w:color w:val="auto"/>
          <w:sz w:val="24"/>
          <w:szCs w:val="24"/>
        </w:rPr>
        <w:t>torie SÚKL, neboť právě obava z </w:t>
      </w:r>
      <w:r w:rsidRPr="002872A6">
        <w:rPr>
          <w:rFonts w:asciiTheme="minorHAnsi" w:hAnsiTheme="minorHAnsi" w:cstheme="minorHAnsi"/>
          <w:color w:val="auto"/>
          <w:sz w:val="24"/>
          <w:szCs w:val="24"/>
        </w:rPr>
        <w:t>přítomnosti nekvalitních léčiv byla hlavním důvodem pro jeho vznik. Sekce je zaměřena především na provádění kontrol jak již samotný název napovídá. Tyto kontroly jsou prováděny jednak v rámci vlastní činnosti, ale též na základě žádosti jiných orgánů státní správy, případně v rámci mezinárodní spolupráce. Pů</w:t>
      </w:r>
      <w:r>
        <w:rPr>
          <w:rFonts w:asciiTheme="minorHAnsi" w:hAnsiTheme="minorHAnsi" w:cstheme="minorHAnsi"/>
          <w:color w:val="auto"/>
          <w:sz w:val="24"/>
          <w:szCs w:val="24"/>
        </w:rPr>
        <w:t>vodně byla kontrola zaměřena na </w:t>
      </w:r>
      <w:r w:rsidRPr="002872A6">
        <w:rPr>
          <w:rFonts w:asciiTheme="minorHAnsi" w:hAnsiTheme="minorHAnsi" w:cstheme="minorHAnsi"/>
          <w:color w:val="auto"/>
          <w:sz w:val="24"/>
          <w:szCs w:val="24"/>
        </w:rPr>
        <w:t>lékárny, ale v průběhu vývoje byla do kontroly zahrnuta i výroba a distribuce.</w:t>
      </w:r>
      <w:r w:rsidR="002946E1">
        <w:rPr>
          <w:rFonts w:asciiTheme="minorHAnsi" w:hAnsiTheme="minorHAnsi" w:cstheme="minorHAnsi"/>
          <w:color w:val="auto"/>
          <w:sz w:val="24"/>
          <w:szCs w:val="24"/>
        </w:rPr>
        <w:t> </w:t>
      </w:r>
      <w:r w:rsidR="005B4116" w:rsidRPr="008072E4">
        <w:rPr>
          <w:rFonts w:asciiTheme="minorHAnsi" w:hAnsiTheme="minorHAnsi" w:cstheme="minorHAnsi"/>
          <w:color w:val="auto"/>
          <w:sz w:val="24"/>
          <w:szCs w:val="24"/>
        </w:rPr>
        <w:t>[1</w:t>
      </w:r>
      <w:r w:rsidR="005B4116">
        <w:rPr>
          <w:rFonts w:asciiTheme="minorHAnsi" w:hAnsiTheme="minorHAnsi" w:cstheme="minorHAnsi"/>
          <w:color w:val="auto"/>
          <w:sz w:val="24"/>
          <w:szCs w:val="24"/>
        </w:rPr>
        <w:t>, 2, 25</w:t>
      </w:r>
      <w:r w:rsidR="005B4116"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Primární činností této sekce je provádění kontroly plnění povinností vyplývajících pro kontrolované subjekty z jednotlivých právních předpisů, jimiž je zajištěna kvalita léčivých přípravků a to včetně návykových látek s vysokým rizikem jejich možného zneužití, čímž se snaží eliminovat možné ohrožení právě sníženou kvalitou léčiva. Je nutné poznamenat, že se jedná o velký počet právních předpisů a to nejen na úrovni vyhlášek a zákonů v rámci České republiky, ale též v rámci Evropské unie.</w:t>
      </w:r>
      <w:r w:rsidR="005B4116" w:rsidRPr="000136DE">
        <w:rPr>
          <w:rFonts w:asciiTheme="minorHAnsi" w:hAnsiTheme="minorHAnsi" w:cstheme="minorHAnsi"/>
          <w:color w:val="auto"/>
          <w:sz w:val="24"/>
          <w:szCs w:val="24"/>
        </w:rPr>
        <w:t xml:space="preserve"> </w:t>
      </w:r>
      <w:r w:rsidR="005B4116" w:rsidRPr="008072E4">
        <w:rPr>
          <w:rFonts w:asciiTheme="minorHAnsi" w:hAnsiTheme="minorHAnsi" w:cstheme="minorHAnsi"/>
          <w:color w:val="auto"/>
          <w:sz w:val="24"/>
          <w:szCs w:val="24"/>
        </w:rPr>
        <w:t>[1</w:t>
      </w:r>
      <w:r w:rsidR="005B4116">
        <w:rPr>
          <w:rFonts w:asciiTheme="minorHAnsi" w:hAnsiTheme="minorHAnsi" w:cstheme="minorHAnsi"/>
          <w:color w:val="auto"/>
          <w:sz w:val="24"/>
          <w:szCs w:val="24"/>
        </w:rPr>
        <w:t>, 2, 25</w:t>
      </w:r>
      <w:r w:rsidR="005B4116"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Prováděné kontroly nejsou jen u lékáren, ale též se vztahují i na specializované pracoviště zdravotnických zařízení a na prodejce vyhrazených léčivých přípravků. Touto sekcí jsou vydávána závazná stanoviska pro lékárny na jejich věcné a technické vybavení. V rámci zdravotnických zařízení provádí kontrolu plnění povinnosti při zacházení s léčivými přípravky při jejich činnosti. Odborem této sekce je také prováděna kontrola u léčivých přípravků hrazených z prostředků veřejného zdravotního pojištění.</w:t>
      </w:r>
      <w:r w:rsidR="005B4116" w:rsidRPr="000136DE">
        <w:rPr>
          <w:rFonts w:asciiTheme="minorHAnsi" w:hAnsiTheme="minorHAnsi" w:cstheme="minorHAnsi"/>
          <w:color w:val="auto"/>
          <w:sz w:val="24"/>
          <w:szCs w:val="24"/>
        </w:rPr>
        <w:t xml:space="preserve"> </w:t>
      </w:r>
      <w:r w:rsidR="005B4116" w:rsidRPr="008072E4">
        <w:rPr>
          <w:rFonts w:asciiTheme="minorHAnsi" w:hAnsiTheme="minorHAnsi" w:cstheme="minorHAnsi"/>
          <w:color w:val="auto"/>
          <w:sz w:val="24"/>
          <w:szCs w:val="24"/>
        </w:rPr>
        <w:t>[1</w:t>
      </w:r>
      <w:r w:rsidR="005B4116">
        <w:rPr>
          <w:rFonts w:asciiTheme="minorHAnsi" w:hAnsiTheme="minorHAnsi" w:cstheme="minorHAnsi"/>
          <w:color w:val="auto"/>
          <w:sz w:val="24"/>
          <w:szCs w:val="24"/>
        </w:rPr>
        <w:t>, 2, 25</w:t>
      </w:r>
      <w:r w:rsidR="005B4116"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Tato sekce vede registr zprostředkovatelů léčivých přípravků a u těchto pravidelně kontroluje dodržování zásad správné distribuční praxe.</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E37C34"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Dále vydává povolení k výrobě léčiv a výrobě transfuzních přípravků, včetně surovin pro další výrobu léčivých přípravků, </w:t>
      </w:r>
      <w:r w:rsidR="00E37C34">
        <w:rPr>
          <w:rFonts w:asciiTheme="minorHAnsi" w:hAnsiTheme="minorHAnsi" w:cstheme="minorHAnsi"/>
          <w:color w:val="auto"/>
          <w:sz w:val="24"/>
          <w:szCs w:val="24"/>
        </w:rPr>
        <w:t>a zároveň zde provádí kontroly.</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Kontrola je zaměřena též na dodržování povinn</w:t>
      </w:r>
      <w:r w:rsidR="00E37C34">
        <w:rPr>
          <w:rFonts w:asciiTheme="minorHAnsi" w:hAnsiTheme="minorHAnsi" w:cstheme="minorHAnsi"/>
          <w:color w:val="auto"/>
          <w:sz w:val="24"/>
          <w:szCs w:val="24"/>
        </w:rPr>
        <w:t>ostí v rámci správné klinické a </w:t>
      </w:r>
      <w:r w:rsidRPr="002872A6">
        <w:rPr>
          <w:rFonts w:asciiTheme="minorHAnsi" w:hAnsiTheme="minorHAnsi" w:cstheme="minorHAnsi"/>
          <w:color w:val="auto"/>
          <w:sz w:val="24"/>
          <w:szCs w:val="24"/>
        </w:rPr>
        <w:t>laboratorní praxe, a k těmto vydává osvědčení o splnění stanovených podmínek. Pokud zde hovoříme o vydávání certifikátů, tak je třeba zmínit i skutečnost, že vydává též certifikáty pro provozovatele neklinických studií bezpečnosti léčiv o splnění podmínek správné laboratorní praxe.</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souvislosti s lidskými buňkami a tkáněmi určených pro podání člověku</w:t>
      </w:r>
      <w:r w:rsidR="00B50118">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je veden nejen dozor nad těmito činnostmi, ale jsou v</w:t>
      </w:r>
      <w:r>
        <w:rPr>
          <w:rFonts w:asciiTheme="minorHAnsi" w:hAnsiTheme="minorHAnsi" w:cstheme="minorHAnsi"/>
          <w:color w:val="auto"/>
          <w:sz w:val="24"/>
          <w:szCs w:val="24"/>
        </w:rPr>
        <w:t>ydávána též povolení tkáňovým a </w:t>
      </w:r>
      <w:r w:rsidRPr="002872A6">
        <w:rPr>
          <w:rFonts w:asciiTheme="minorHAnsi" w:hAnsiTheme="minorHAnsi" w:cstheme="minorHAnsi"/>
          <w:color w:val="auto"/>
          <w:sz w:val="24"/>
          <w:szCs w:val="24"/>
        </w:rPr>
        <w:t>odběrovým zařízením k jejich činnosti. Totéž platí i pro diagnostické laboratoře pro vyšetřování dárců těchto tkání a buněk, a po jejich</w:t>
      </w:r>
      <w:r>
        <w:rPr>
          <w:rFonts w:asciiTheme="minorHAnsi" w:hAnsiTheme="minorHAnsi" w:cstheme="minorHAnsi"/>
          <w:color w:val="auto"/>
          <w:sz w:val="24"/>
          <w:szCs w:val="24"/>
        </w:rPr>
        <w:t xml:space="preserve"> odběru i distributorů, kteří s </w:t>
      </w:r>
      <w:r w:rsidR="00E37C34">
        <w:rPr>
          <w:rFonts w:asciiTheme="minorHAnsi" w:hAnsiTheme="minorHAnsi" w:cstheme="minorHAnsi"/>
          <w:color w:val="auto"/>
          <w:sz w:val="24"/>
          <w:szCs w:val="24"/>
        </w:rPr>
        <w:t>odebranými tkáněmi a bu</w:t>
      </w:r>
      <w:r w:rsidRPr="002872A6">
        <w:rPr>
          <w:rFonts w:asciiTheme="minorHAnsi" w:hAnsiTheme="minorHAnsi" w:cstheme="minorHAnsi"/>
          <w:color w:val="auto"/>
          <w:sz w:val="24"/>
          <w:szCs w:val="24"/>
        </w:rPr>
        <w:t>ňkami následně nakládají. V t</w:t>
      </w:r>
      <w:r>
        <w:rPr>
          <w:rFonts w:asciiTheme="minorHAnsi" w:hAnsiTheme="minorHAnsi" w:cstheme="minorHAnsi"/>
          <w:color w:val="auto"/>
          <w:sz w:val="24"/>
          <w:szCs w:val="24"/>
        </w:rPr>
        <w:t>éto oblasti vydává rozhodnutí v </w:t>
      </w:r>
      <w:r w:rsidRPr="002872A6">
        <w:rPr>
          <w:rFonts w:asciiTheme="minorHAnsi" w:hAnsiTheme="minorHAnsi" w:cstheme="minorHAnsi"/>
          <w:color w:val="auto"/>
          <w:sz w:val="24"/>
          <w:szCs w:val="24"/>
        </w:rPr>
        <w:t>případech, kdy je pochybnost o tom, zda předmětná tkáň nebo buňka podléhá zákonné regulaci.</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oblasti krve se jedná o takzvanou hemovigilanci, tedy agendu, která se zabývá transfuzními přípravky od dárce po jejich příjemce, a to konkrétně jejich případnými závažnými nežádoucími reakcemi a účinky, a to jednak u samotné krve, ale té</w:t>
      </w:r>
      <w:r>
        <w:rPr>
          <w:rFonts w:asciiTheme="minorHAnsi" w:hAnsiTheme="minorHAnsi" w:cstheme="minorHAnsi"/>
          <w:color w:val="auto"/>
          <w:sz w:val="24"/>
          <w:szCs w:val="24"/>
        </w:rPr>
        <w:t>ž i jejich jednotlivých složek.</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Závady v jakosti léčivých přípravků i pomocných lá</w:t>
      </w:r>
      <w:r>
        <w:rPr>
          <w:rFonts w:asciiTheme="minorHAnsi" w:hAnsiTheme="minorHAnsi" w:cstheme="minorHAnsi"/>
          <w:color w:val="auto"/>
          <w:sz w:val="24"/>
          <w:szCs w:val="24"/>
        </w:rPr>
        <w:t>tek je v gesci oddělení závad v </w:t>
      </w:r>
      <w:r w:rsidRPr="002872A6">
        <w:rPr>
          <w:rFonts w:asciiTheme="minorHAnsi" w:hAnsiTheme="minorHAnsi" w:cstheme="minorHAnsi"/>
          <w:color w:val="auto"/>
          <w:sz w:val="24"/>
          <w:szCs w:val="24"/>
        </w:rPr>
        <w:t>jakosti, které provádí též šetření na základě obdržených podnětů na padělané léčivé přípravky, nebo odcizené léčivé přípravky v rámci distribučního řetězce.</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této sekci je také samostatné oddělení, které má na starost zpracování doručených hlášení od lékáren a distributorů léčiv, která jsou zasílána na základě povinností stanovených jednotlivými právními předpisy.</w:t>
      </w:r>
      <w:r w:rsidR="00E37C34" w:rsidRPr="000136DE">
        <w:rPr>
          <w:rFonts w:asciiTheme="minorHAnsi" w:hAnsiTheme="minorHAnsi" w:cstheme="minorHAnsi"/>
          <w:color w:val="auto"/>
          <w:sz w:val="24"/>
          <w:szCs w:val="24"/>
        </w:rPr>
        <w:t xml:space="preserve">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 xml:space="preserve">V rámci prováděných kontrol se nejedná vždy pouze o kontrolu samotného léčivého přípravku jako takového, ale tato kontrola </w:t>
      </w:r>
      <w:r>
        <w:rPr>
          <w:rFonts w:asciiTheme="minorHAnsi" w:hAnsiTheme="minorHAnsi" w:cstheme="minorHAnsi"/>
          <w:color w:val="auto"/>
          <w:sz w:val="24"/>
          <w:szCs w:val="24"/>
        </w:rPr>
        <w:t>je vztažena mimo jiného také na </w:t>
      </w:r>
      <w:r w:rsidRPr="002872A6">
        <w:rPr>
          <w:rFonts w:asciiTheme="minorHAnsi" w:hAnsiTheme="minorHAnsi" w:cstheme="minorHAnsi"/>
          <w:color w:val="auto"/>
          <w:sz w:val="24"/>
          <w:szCs w:val="24"/>
        </w:rPr>
        <w:t>kontrolu při jeho nabízení a to konkrétně na rek</w:t>
      </w:r>
      <w:r>
        <w:rPr>
          <w:rFonts w:asciiTheme="minorHAnsi" w:hAnsiTheme="minorHAnsi" w:cstheme="minorHAnsi"/>
          <w:color w:val="auto"/>
          <w:sz w:val="24"/>
          <w:szCs w:val="24"/>
        </w:rPr>
        <w:t>lamu. Kontroly jsou zaměřeny na </w:t>
      </w:r>
      <w:r w:rsidRPr="002872A6">
        <w:rPr>
          <w:rFonts w:asciiTheme="minorHAnsi" w:hAnsiTheme="minorHAnsi" w:cstheme="minorHAnsi"/>
          <w:color w:val="auto"/>
          <w:sz w:val="24"/>
          <w:szCs w:val="24"/>
        </w:rPr>
        <w:t>závadné reklamy, a obecně k reklamním materiálům jsou vydávána odborná stanoviska. Vydáváním odborných stanovisek též spolupracuje na regulaci reklamy.</w:t>
      </w:r>
      <w:r w:rsidR="00B50118">
        <w:rPr>
          <w:rFonts w:asciiTheme="minorHAnsi" w:hAnsiTheme="minorHAnsi" w:cstheme="minorHAnsi"/>
          <w:color w:val="auto"/>
          <w:sz w:val="24"/>
          <w:szCs w:val="24"/>
        </w:rPr>
        <w:t> </w:t>
      </w:r>
      <w:r w:rsidR="00E37C34" w:rsidRPr="008072E4">
        <w:rPr>
          <w:rFonts w:asciiTheme="minorHAnsi" w:hAnsiTheme="minorHAnsi" w:cstheme="minorHAnsi"/>
          <w:color w:val="auto"/>
          <w:sz w:val="24"/>
          <w:szCs w:val="24"/>
        </w:rPr>
        <w:t>[1</w:t>
      </w:r>
      <w:r w:rsidR="00E37C34">
        <w:rPr>
          <w:rFonts w:asciiTheme="minorHAnsi" w:hAnsiTheme="minorHAnsi" w:cstheme="minorHAnsi"/>
          <w:color w:val="auto"/>
          <w:sz w:val="24"/>
          <w:szCs w:val="24"/>
        </w:rPr>
        <w:t>, 2, 25</w:t>
      </w:r>
      <w:r w:rsidR="00E37C3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 1. 1. 2022 vešla v platnost no</w:t>
      </w:r>
      <w:r w:rsidR="00865312">
        <w:rPr>
          <w:rFonts w:asciiTheme="minorHAnsi" w:hAnsiTheme="minorHAnsi" w:cstheme="minorHAnsi"/>
          <w:color w:val="auto"/>
          <w:sz w:val="24"/>
          <w:szCs w:val="24"/>
        </w:rPr>
        <w:t xml:space="preserve">vela zákona </w:t>
      </w:r>
      <w:r w:rsidRPr="002872A6">
        <w:rPr>
          <w:rFonts w:asciiTheme="minorHAnsi" w:hAnsiTheme="minorHAnsi" w:cstheme="minorHAnsi"/>
          <w:color w:val="auto"/>
          <w:sz w:val="24"/>
          <w:szCs w:val="24"/>
        </w:rPr>
        <w:t>o návykových látkách, přičemž nově byla do tohoto zákona implementována p</w:t>
      </w:r>
      <w:r>
        <w:rPr>
          <w:rFonts w:asciiTheme="minorHAnsi" w:hAnsiTheme="minorHAnsi" w:cstheme="minorHAnsi"/>
          <w:color w:val="auto"/>
          <w:sz w:val="24"/>
          <w:szCs w:val="24"/>
        </w:rPr>
        <w:t>ravidla pro udělování licencí v </w:t>
      </w:r>
      <w:r w:rsidRPr="002872A6">
        <w:rPr>
          <w:rFonts w:asciiTheme="minorHAnsi" w:hAnsiTheme="minorHAnsi" w:cstheme="minorHAnsi"/>
          <w:color w:val="auto"/>
          <w:sz w:val="24"/>
          <w:szCs w:val="24"/>
        </w:rPr>
        <w:t>rámci pěstování konopí jakožto látky pro léčebné účely. Tato činnost je vykonávána oddělením správné výrobní praxe. V současné době se již jedná o jedinou činnost v oblasti konopí pro léčebné účely, dříve byla tato činnost doplněna i o činnosti v souvislosti se zajištěním dostupnosti, bezpečného sklad</w:t>
      </w:r>
      <w:r>
        <w:rPr>
          <w:rFonts w:asciiTheme="minorHAnsi" w:hAnsiTheme="minorHAnsi" w:cstheme="minorHAnsi"/>
          <w:color w:val="auto"/>
          <w:sz w:val="24"/>
          <w:szCs w:val="24"/>
        </w:rPr>
        <w:t>ování, přepravy a distribuce do </w:t>
      </w:r>
      <w:r w:rsidRPr="002872A6">
        <w:rPr>
          <w:rFonts w:asciiTheme="minorHAnsi" w:hAnsiTheme="minorHAnsi" w:cstheme="minorHAnsi"/>
          <w:color w:val="auto"/>
          <w:sz w:val="24"/>
          <w:szCs w:val="24"/>
        </w:rPr>
        <w:t>lékáren, a také vydávání odborných podkladů pro tiskové a informační oddělení, a další odborné útvary dle potřeby a mimo jiného také pro vedení SÚKL.</w:t>
      </w:r>
      <w:r w:rsidR="0035127A" w:rsidRPr="0035127A">
        <w:rPr>
          <w:rFonts w:asciiTheme="minorHAnsi" w:hAnsiTheme="minorHAnsi" w:cstheme="minorHAnsi"/>
          <w:color w:val="auto"/>
          <w:sz w:val="24"/>
          <w:szCs w:val="24"/>
        </w:rPr>
        <w:t xml:space="preserve"> </w:t>
      </w:r>
      <w:r w:rsidR="0035127A" w:rsidRPr="008072E4">
        <w:rPr>
          <w:rFonts w:asciiTheme="minorHAnsi" w:hAnsiTheme="minorHAnsi" w:cstheme="minorHAnsi"/>
          <w:color w:val="auto"/>
          <w:sz w:val="24"/>
          <w:szCs w:val="24"/>
        </w:rPr>
        <w:t>[1</w:t>
      </w:r>
      <w:r w:rsidR="0035127A">
        <w:rPr>
          <w:rFonts w:asciiTheme="minorHAnsi" w:hAnsiTheme="minorHAnsi" w:cstheme="minorHAnsi"/>
          <w:color w:val="auto"/>
          <w:sz w:val="24"/>
          <w:szCs w:val="24"/>
        </w:rPr>
        <w:t>, 2, 12 25</w:t>
      </w:r>
      <w:r w:rsidR="0035127A"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Též se tato sekce spolupodílí na vydání nejen Českého lékopisu, ale také na přípravě Evropského lékopisu. Což je velmi důležitá činnost, neboť Český lékopis je základním farmaceutickým dílem normativního charakteru, a dá se říci, že na jeho existenci je závislá bezpečnost, jakost a účinnost léčivých přípravků. Lékopisná komise Ministerstva zdravotnictví je odpovědná za správnost údajů v lékopise. Organizace činnosti této lékopisné komise je, včetně jejich odborných sekcí, svěřena Technickému sekretariátu lékopisné komise, která je v rámci Odboru laboratorní komise SÚKL.</w:t>
      </w:r>
      <w:r w:rsidR="00B50118">
        <w:rPr>
          <w:rFonts w:asciiTheme="minorHAnsi" w:hAnsiTheme="minorHAnsi" w:cstheme="minorHAnsi"/>
          <w:color w:val="auto"/>
          <w:sz w:val="24"/>
          <w:szCs w:val="24"/>
        </w:rPr>
        <w:t> </w:t>
      </w:r>
      <w:r w:rsidR="0035127A" w:rsidRPr="008072E4">
        <w:rPr>
          <w:rFonts w:asciiTheme="minorHAnsi" w:hAnsiTheme="minorHAnsi" w:cstheme="minorHAnsi"/>
          <w:color w:val="auto"/>
          <w:sz w:val="24"/>
          <w:szCs w:val="24"/>
        </w:rPr>
        <w:t>[1</w:t>
      </w:r>
      <w:r w:rsidR="0035127A">
        <w:rPr>
          <w:rFonts w:asciiTheme="minorHAnsi" w:hAnsiTheme="minorHAnsi" w:cstheme="minorHAnsi"/>
          <w:color w:val="auto"/>
          <w:sz w:val="24"/>
          <w:szCs w:val="24"/>
        </w:rPr>
        <w:t>, 2, 25</w:t>
      </w:r>
      <w:r w:rsidR="0035127A" w:rsidRPr="008072E4">
        <w:rPr>
          <w:rFonts w:asciiTheme="minorHAnsi" w:hAnsiTheme="minorHAnsi" w:cstheme="minorHAnsi"/>
          <w:color w:val="auto"/>
          <w:sz w:val="24"/>
          <w:szCs w:val="24"/>
        </w:rPr>
        <w:t>]</w:t>
      </w:r>
    </w:p>
    <w:p w:rsidR="00294E20" w:rsidRPr="002872A6" w:rsidRDefault="00294E20" w:rsidP="00294E20">
      <w:pPr>
        <w:pStyle w:val="Bezmezer"/>
        <w:spacing w:line="360" w:lineRule="auto"/>
        <w:rPr>
          <w:rFonts w:asciiTheme="minorHAnsi" w:hAnsiTheme="minorHAnsi" w:cstheme="minorHAnsi"/>
          <w:color w:val="auto"/>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57" w:name="_Toc164078830"/>
      <w:bookmarkStart w:id="58" w:name="_Toc163647370"/>
      <w:bookmarkStart w:id="59" w:name="_Toc163759364"/>
      <w:bookmarkStart w:id="60" w:name="_Toc165990635"/>
      <w:bookmarkEnd w:id="57"/>
      <w:bookmarkEnd w:id="58"/>
      <w:bookmarkEnd w:id="59"/>
      <w:r w:rsidRPr="002872A6">
        <w:rPr>
          <w:rFonts w:asciiTheme="minorHAnsi" w:hAnsiTheme="minorHAnsi" w:cstheme="minorHAnsi"/>
          <w:b/>
          <w:color w:val="auto"/>
          <w:sz w:val="28"/>
          <w:szCs w:val="28"/>
        </w:rPr>
        <w:t>Sekce cenové a úhradové regulace</w:t>
      </w:r>
      <w:bookmarkEnd w:id="60"/>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Činnosti v oblasti cenové a úhradové regulace vykonává SÚKL od 1. 1. 2008, kdy tuto činnost převzal od Ministerstva zdravotnictví, které výši a podmínky úhrad stanovoval</w:t>
      </w:r>
      <w:r w:rsidR="00CD5D52">
        <w:rPr>
          <w:rFonts w:asciiTheme="minorHAnsi" w:hAnsiTheme="minorHAnsi" w:cstheme="minorHAnsi"/>
          <w:color w:val="auto"/>
          <w:sz w:val="24"/>
          <w:szCs w:val="24"/>
        </w:rPr>
        <w:t>o</w:t>
      </w:r>
      <w:r w:rsidRPr="002872A6">
        <w:rPr>
          <w:rFonts w:asciiTheme="minorHAnsi" w:hAnsiTheme="minorHAnsi" w:cstheme="minorHAnsi"/>
          <w:color w:val="auto"/>
          <w:sz w:val="24"/>
          <w:szCs w:val="24"/>
        </w:rPr>
        <w:t xml:space="preserve"> vyhláškou. Předáním této oblasti do působnosti SÚKL došlo </w:t>
      </w:r>
      <w:r w:rsidR="00B50118">
        <w:rPr>
          <w:rFonts w:asciiTheme="minorHAnsi" w:hAnsiTheme="minorHAnsi" w:cstheme="minorHAnsi"/>
          <w:color w:val="auto"/>
          <w:sz w:val="24"/>
          <w:szCs w:val="24"/>
        </w:rPr>
        <w:t xml:space="preserve">k </w:t>
      </w:r>
      <w:r w:rsidRPr="002872A6">
        <w:rPr>
          <w:rFonts w:asciiTheme="minorHAnsi" w:hAnsiTheme="minorHAnsi" w:cstheme="minorHAnsi"/>
          <w:color w:val="auto"/>
          <w:sz w:val="24"/>
          <w:szCs w:val="24"/>
        </w:rPr>
        <w:t xml:space="preserve">zavedení transparentnosti správního řízení a nově též i možnosti aktivní účasti dotčených subjektu v rámci řízení, kterými jsou jednak držitelé rozhodnutí o registraci léčivých přípravků, ale dále též zdravotní pojišťovny. Tato správní řízení se konají jednak na základě žádosti </w:t>
      </w:r>
      <w:r w:rsidRPr="002872A6">
        <w:rPr>
          <w:rFonts w:asciiTheme="minorHAnsi" w:hAnsiTheme="minorHAnsi" w:cstheme="minorHAnsi"/>
          <w:color w:val="auto"/>
          <w:sz w:val="24"/>
          <w:szCs w:val="24"/>
        </w:rPr>
        <w:lastRenderedPageBreak/>
        <w:t>držitele rozhodnutí o registraci léčivého přípravku, ale též z moci úřední</w:t>
      </w:r>
      <w:r w:rsidR="00CD5D52">
        <w:rPr>
          <w:rFonts w:asciiTheme="minorHAnsi" w:hAnsiTheme="minorHAnsi" w:cstheme="minorHAnsi"/>
          <w:color w:val="auto"/>
          <w:sz w:val="24"/>
          <w:szCs w:val="24"/>
        </w:rPr>
        <w:t xml:space="preserve"> samotn</w:t>
      </w:r>
      <w:r w:rsidR="00B50118">
        <w:rPr>
          <w:rFonts w:asciiTheme="minorHAnsi" w:hAnsiTheme="minorHAnsi" w:cstheme="minorHAnsi"/>
          <w:color w:val="auto"/>
          <w:sz w:val="24"/>
          <w:szCs w:val="24"/>
        </w:rPr>
        <w:t>ého</w:t>
      </w:r>
      <w:r w:rsidR="00CD5D52">
        <w:rPr>
          <w:rFonts w:asciiTheme="minorHAnsi" w:hAnsiTheme="minorHAnsi" w:cstheme="minorHAnsi"/>
          <w:color w:val="auto"/>
          <w:sz w:val="24"/>
          <w:szCs w:val="24"/>
        </w:rPr>
        <w:t xml:space="preserve"> SÚKL.</w:t>
      </w:r>
      <w:r w:rsidR="00CD5D52" w:rsidRPr="00CD5D52">
        <w:rPr>
          <w:rFonts w:asciiTheme="minorHAnsi" w:hAnsiTheme="minorHAnsi" w:cstheme="minorHAnsi"/>
          <w:color w:val="auto"/>
          <w:sz w:val="24"/>
          <w:szCs w:val="24"/>
        </w:rPr>
        <w:t xml:space="preserve"> </w:t>
      </w:r>
      <w:r w:rsidR="00CD5D52" w:rsidRPr="008072E4">
        <w:rPr>
          <w:rFonts w:asciiTheme="minorHAnsi" w:hAnsiTheme="minorHAnsi" w:cstheme="minorHAnsi"/>
          <w:color w:val="auto"/>
          <w:sz w:val="24"/>
          <w:szCs w:val="24"/>
        </w:rPr>
        <w:t>[1</w:t>
      </w:r>
      <w:r w:rsidR="00CD5D52">
        <w:rPr>
          <w:rFonts w:asciiTheme="minorHAnsi" w:hAnsiTheme="minorHAnsi" w:cstheme="minorHAnsi"/>
          <w:color w:val="auto"/>
          <w:sz w:val="24"/>
          <w:szCs w:val="24"/>
        </w:rPr>
        <w:t>, 2, 25</w:t>
      </w:r>
      <w:r w:rsidR="00CD5D52"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Tato řízení jsou složitým procesem, a cílem je, aby léčivé přípravky s podobnou účinností, bezpečností a klinickým využitím, měly stanovenu srovnatelnou úhradu. Z tohoto důvodu jsou podrobně hodnoceny přínosy a nákladová efektivita. Dalším cílem je též hrazení inovací pouze do stanovené výše. K tomuto je zapotřebí dodat, že nejčastěji se ve stanovené výši úhrady reflektuje nejnižší stanovená výše v rámci Evropské unie.</w:t>
      </w:r>
      <w:r w:rsidR="00CD5D52" w:rsidRPr="00CD5D52">
        <w:rPr>
          <w:rFonts w:asciiTheme="minorHAnsi" w:hAnsiTheme="minorHAnsi" w:cstheme="minorHAnsi"/>
          <w:color w:val="auto"/>
          <w:sz w:val="24"/>
          <w:szCs w:val="24"/>
        </w:rPr>
        <w:t xml:space="preserve"> </w:t>
      </w:r>
      <w:r w:rsidR="00CD5D52" w:rsidRPr="008072E4">
        <w:rPr>
          <w:rFonts w:asciiTheme="minorHAnsi" w:hAnsiTheme="minorHAnsi" w:cstheme="minorHAnsi"/>
          <w:color w:val="auto"/>
          <w:sz w:val="24"/>
          <w:szCs w:val="24"/>
        </w:rPr>
        <w:t>[1</w:t>
      </w:r>
      <w:r w:rsidR="00CD5D52">
        <w:rPr>
          <w:rFonts w:asciiTheme="minorHAnsi" w:hAnsiTheme="minorHAnsi" w:cstheme="minorHAnsi"/>
          <w:color w:val="auto"/>
          <w:sz w:val="24"/>
          <w:szCs w:val="24"/>
        </w:rPr>
        <w:t>, 2, 25</w:t>
      </w:r>
      <w:r w:rsidR="00CD5D52"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této problematiky jsou vedeny takzvané hloubkové revize, které přinášejí pro systém zdravotního pojištění nejvyšší úspory, a to z toho důvodu, že tyto revize provádějí podrobné hodnocení všech léčivých přípravků spadajících do jedné skupiny. I zde je důležitá spolupráce, neboť tato oblast je rozdělena mezi SÚKL, který má v kompetenci vydávání rozhodnutí o stanovení maximálních cen léčivých přípravků, včetně následné cenové kontroly, a dále mezi Ministerstvo zdravotnictví, které vydává cenový předpis a cenové rozhodnutí.</w:t>
      </w:r>
      <w:r w:rsidR="00CD5D52" w:rsidRPr="00CD5D52">
        <w:rPr>
          <w:rFonts w:asciiTheme="minorHAnsi" w:hAnsiTheme="minorHAnsi" w:cstheme="minorHAnsi"/>
          <w:color w:val="auto"/>
          <w:sz w:val="24"/>
          <w:szCs w:val="24"/>
        </w:rPr>
        <w:t xml:space="preserve"> </w:t>
      </w:r>
      <w:r w:rsidR="00CD5D52" w:rsidRPr="008072E4">
        <w:rPr>
          <w:rFonts w:asciiTheme="minorHAnsi" w:hAnsiTheme="minorHAnsi" w:cstheme="minorHAnsi"/>
          <w:color w:val="auto"/>
          <w:sz w:val="24"/>
          <w:szCs w:val="24"/>
        </w:rPr>
        <w:t>[1</w:t>
      </w:r>
      <w:r w:rsidR="00CD5D52">
        <w:rPr>
          <w:rFonts w:asciiTheme="minorHAnsi" w:hAnsiTheme="minorHAnsi" w:cstheme="minorHAnsi"/>
          <w:color w:val="auto"/>
          <w:sz w:val="24"/>
          <w:szCs w:val="24"/>
        </w:rPr>
        <w:t>, 2, 25</w:t>
      </w:r>
      <w:r w:rsidR="00CD5D52" w:rsidRPr="008072E4">
        <w:rPr>
          <w:rFonts w:asciiTheme="minorHAnsi" w:hAnsiTheme="minorHAnsi" w:cstheme="minorHAnsi"/>
          <w:color w:val="auto"/>
          <w:sz w:val="24"/>
          <w:szCs w:val="24"/>
        </w:rPr>
        <w:t>]</w:t>
      </w:r>
    </w:p>
    <w:p w:rsidR="00CD5D52" w:rsidRPr="002872A6" w:rsidRDefault="00CD5D52" w:rsidP="00294E20">
      <w:pPr>
        <w:spacing w:after="0" w:line="360" w:lineRule="auto"/>
        <w:ind w:firstLine="505"/>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61" w:name="_Toc164078831"/>
      <w:bookmarkStart w:id="62" w:name="_Toc163647371"/>
      <w:bookmarkStart w:id="63" w:name="_Toc163759365"/>
      <w:bookmarkStart w:id="64" w:name="_Toc165990636"/>
      <w:bookmarkEnd w:id="61"/>
      <w:bookmarkEnd w:id="62"/>
      <w:bookmarkEnd w:id="63"/>
      <w:r w:rsidRPr="002872A6">
        <w:rPr>
          <w:rFonts w:asciiTheme="minorHAnsi" w:hAnsiTheme="minorHAnsi" w:cstheme="minorHAnsi"/>
          <w:b/>
          <w:color w:val="auto"/>
          <w:sz w:val="28"/>
          <w:szCs w:val="28"/>
        </w:rPr>
        <w:t>Sekce regulace zdravotnických prostředků</w:t>
      </w:r>
      <w:bookmarkEnd w:id="64"/>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Touto agendou se SÚKL zabývá již od </w:t>
      </w:r>
      <w:r>
        <w:rPr>
          <w:rFonts w:asciiTheme="minorHAnsi" w:hAnsiTheme="minorHAnsi" w:cstheme="minorHAnsi"/>
          <w:color w:val="auto"/>
          <w:sz w:val="24"/>
          <w:szCs w:val="24"/>
        </w:rPr>
        <w:t>roku 1966, kdy mu byla svěřena M</w:t>
      </w:r>
      <w:r w:rsidRPr="002872A6">
        <w:rPr>
          <w:rFonts w:asciiTheme="minorHAnsi" w:hAnsiTheme="minorHAnsi" w:cstheme="minorHAnsi"/>
          <w:color w:val="auto"/>
          <w:sz w:val="24"/>
          <w:szCs w:val="24"/>
        </w:rPr>
        <w:t>inisterstvem zdravotnictví na základě zákona. Postupně mu byla svěřena veškerá schvalovací činnost v oblasti všech druhů zdravotnických prostředků. V průběhu let došlo ke změně příslušnosti ve schvalování zdravotnických prostředků, kdy tato kompetence byla přenesena na Ministerstvo zdravotni</w:t>
      </w:r>
      <w:r w:rsidR="00A62E1C">
        <w:rPr>
          <w:rFonts w:asciiTheme="minorHAnsi" w:hAnsiTheme="minorHAnsi" w:cstheme="minorHAnsi"/>
          <w:color w:val="auto"/>
          <w:sz w:val="24"/>
          <w:szCs w:val="24"/>
        </w:rPr>
        <w:t>ctví. Dokonce v období let 2005 </w:t>
      </w:r>
      <w:r w:rsidRPr="002872A6">
        <w:rPr>
          <w:rFonts w:asciiTheme="minorHAnsi" w:hAnsiTheme="minorHAnsi" w:cstheme="minorHAnsi"/>
          <w:color w:val="auto"/>
          <w:sz w:val="24"/>
          <w:szCs w:val="24"/>
        </w:rPr>
        <w:t>až 2013 byla sekce zdravotnických prostředků v rámci SÚKL zrušena. K jejímu obnovení došlo až na základě zákona číslo 268/2014 Sb., o zdravotnických prostředcích.</w:t>
      </w:r>
      <w:r w:rsidR="00771FD8">
        <w:rPr>
          <w:rFonts w:asciiTheme="minorHAnsi" w:hAnsiTheme="minorHAnsi" w:cstheme="minorHAnsi"/>
          <w:color w:val="auto"/>
          <w:sz w:val="24"/>
          <w:szCs w:val="24"/>
        </w:rPr>
        <w:t> </w:t>
      </w:r>
      <w:r w:rsidR="00A62E1C" w:rsidRPr="008072E4">
        <w:rPr>
          <w:rFonts w:asciiTheme="minorHAnsi" w:hAnsiTheme="minorHAnsi" w:cstheme="minorHAnsi"/>
          <w:color w:val="auto"/>
          <w:sz w:val="24"/>
          <w:szCs w:val="24"/>
        </w:rPr>
        <w:t>[1</w:t>
      </w:r>
      <w:r w:rsidR="00A62E1C">
        <w:rPr>
          <w:rFonts w:asciiTheme="minorHAnsi" w:hAnsiTheme="minorHAnsi" w:cstheme="minorHAnsi"/>
          <w:color w:val="auto"/>
          <w:sz w:val="24"/>
          <w:szCs w:val="24"/>
        </w:rPr>
        <w:t>, 2, 5, 25</w:t>
      </w:r>
      <w:r w:rsidR="00A62E1C"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Do činnosti této sekce patří vydávání povolení k činnosti výrobcům, distributorům a dovozcům, zabývajících se zdravotnickými prostředky, a v neposlední řádě též šetřením v rámci zjištěných nežádoucích příhod.</w:t>
      </w:r>
      <w:r w:rsidR="00A62E1C" w:rsidRPr="00A62E1C">
        <w:rPr>
          <w:rFonts w:asciiTheme="minorHAnsi" w:hAnsiTheme="minorHAnsi" w:cstheme="minorHAnsi"/>
          <w:color w:val="auto"/>
          <w:sz w:val="24"/>
          <w:szCs w:val="24"/>
        </w:rPr>
        <w:t xml:space="preserve"> </w:t>
      </w:r>
      <w:r w:rsidR="00A62E1C" w:rsidRPr="008072E4">
        <w:rPr>
          <w:rFonts w:asciiTheme="minorHAnsi" w:hAnsiTheme="minorHAnsi" w:cstheme="minorHAnsi"/>
          <w:color w:val="auto"/>
          <w:sz w:val="24"/>
          <w:szCs w:val="24"/>
        </w:rPr>
        <w:t>[1</w:t>
      </w:r>
      <w:r w:rsidR="00A62E1C">
        <w:rPr>
          <w:rFonts w:asciiTheme="minorHAnsi" w:hAnsiTheme="minorHAnsi" w:cstheme="minorHAnsi"/>
          <w:color w:val="auto"/>
          <w:sz w:val="24"/>
          <w:szCs w:val="24"/>
        </w:rPr>
        <w:t>, 2, 25</w:t>
      </w:r>
      <w:r w:rsidR="00A62E1C"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Dále se zabývá vydáváním povolení a následnou kontrol</w:t>
      </w:r>
      <w:r w:rsidR="00B50118">
        <w:rPr>
          <w:rFonts w:asciiTheme="minorHAnsi" w:hAnsiTheme="minorHAnsi" w:cstheme="minorHAnsi"/>
          <w:color w:val="auto"/>
          <w:sz w:val="24"/>
          <w:szCs w:val="24"/>
        </w:rPr>
        <w:t>ou</w:t>
      </w:r>
      <w:r w:rsidRPr="002872A6">
        <w:rPr>
          <w:rFonts w:asciiTheme="minorHAnsi" w:hAnsiTheme="minorHAnsi" w:cstheme="minorHAnsi"/>
          <w:color w:val="auto"/>
          <w:sz w:val="24"/>
          <w:szCs w:val="24"/>
        </w:rPr>
        <w:t xml:space="preserve"> klinických zkoušek zdravotnických prostředků, přičemž tuto činnost má v kompetenci přímo oddělení klinického hodnocení zdravotnických prostředků.</w:t>
      </w:r>
      <w:r w:rsidR="00A62E1C" w:rsidRPr="00A62E1C">
        <w:rPr>
          <w:rFonts w:asciiTheme="minorHAnsi" w:hAnsiTheme="minorHAnsi" w:cstheme="minorHAnsi"/>
          <w:color w:val="auto"/>
          <w:sz w:val="24"/>
          <w:szCs w:val="24"/>
        </w:rPr>
        <w:t xml:space="preserve"> </w:t>
      </w:r>
      <w:r w:rsidR="00A62E1C" w:rsidRPr="008072E4">
        <w:rPr>
          <w:rFonts w:asciiTheme="minorHAnsi" w:hAnsiTheme="minorHAnsi" w:cstheme="minorHAnsi"/>
          <w:color w:val="auto"/>
          <w:sz w:val="24"/>
          <w:szCs w:val="24"/>
        </w:rPr>
        <w:t>[1</w:t>
      </w:r>
      <w:r w:rsidR="00A62E1C">
        <w:rPr>
          <w:rFonts w:asciiTheme="minorHAnsi" w:hAnsiTheme="minorHAnsi" w:cstheme="minorHAnsi"/>
          <w:color w:val="auto"/>
          <w:sz w:val="24"/>
          <w:szCs w:val="24"/>
        </w:rPr>
        <w:t>, 2, 25</w:t>
      </w:r>
      <w:r w:rsidR="00A62E1C"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Je důležité zmínit, že tato sekce je provozovatelem Národního informačního systému zdravotnických prostředků, dostupný na webové stránce</w:t>
      </w:r>
      <w:r>
        <w:rPr>
          <w:rFonts w:asciiTheme="minorHAnsi" w:hAnsiTheme="minorHAnsi" w:cstheme="minorHAnsi"/>
          <w:color w:val="auto"/>
          <w:sz w:val="24"/>
          <w:szCs w:val="24"/>
        </w:rPr>
        <w:t xml:space="preserve"> www.nisz.cz, kdy se </w:t>
      </w:r>
      <w:r w:rsidRPr="002872A6">
        <w:rPr>
          <w:rFonts w:asciiTheme="minorHAnsi" w:hAnsiTheme="minorHAnsi" w:cstheme="minorHAnsi"/>
          <w:color w:val="auto"/>
          <w:sz w:val="24"/>
          <w:szCs w:val="24"/>
        </w:rPr>
        <w:t>jedná o celostátní informační systém, který veřejnosti poskytuje přístup k informacím pro správné zvolení vhodného zdravotn</w:t>
      </w:r>
      <w:r w:rsidR="00A62E1C">
        <w:rPr>
          <w:rFonts w:asciiTheme="minorHAnsi" w:hAnsiTheme="minorHAnsi" w:cstheme="minorHAnsi"/>
          <w:color w:val="auto"/>
          <w:sz w:val="24"/>
          <w:szCs w:val="24"/>
        </w:rPr>
        <w:t>ického prostředku. Též jsou zde k nalezení</w:t>
      </w:r>
      <w:r w:rsidRPr="002872A6">
        <w:rPr>
          <w:rFonts w:asciiTheme="minorHAnsi" w:hAnsiTheme="minorHAnsi" w:cstheme="minorHAnsi"/>
          <w:color w:val="auto"/>
          <w:sz w:val="24"/>
          <w:szCs w:val="24"/>
        </w:rPr>
        <w:t xml:space="preserve"> informace ohledně j</w:t>
      </w:r>
      <w:r w:rsidR="00B6181E">
        <w:rPr>
          <w:rFonts w:asciiTheme="minorHAnsi" w:hAnsiTheme="minorHAnsi" w:cstheme="minorHAnsi"/>
          <w:color w:val="auto"/>
          <w:sz w:val="24"/>
          <w:szCs w:val="24"/>
        </w:rPr>
        <w:t>eho správného užívání a servisu</w:t>
      </w:r>
      <w:r w:rsidRPr="002872A6">
        <w:rPr>
          <w:rFonts w:asciiTheme="minorHAnsi" w:hAnsiTheme="minorHAnsi" w:cstheme="minorHAnsi"/>
          <w:color w:val="auto"/>
          <w:sz w:val="24"/>
          <w:szCs w:val="24"/>
        </w:rPr>
        <w:t>. Dále je jeho účelem získávání dat pro statistické účely a plnění povinností v rámci předávání údajů do informačního systému Evropské databáze zdravotnických prostředků EUDAMED.</w:t>
      </w:r>
      <w:r w:rsidR="00A62E1C" w:rsidRPr="00A62E1C">
        <w:rPr>
          <w:rFonts w:asciiTheme="minorHAnsi" w:hAnsiTheme="minorHAnsi" w:cstheme="minorHAnsi"/>
          <w:color w:val="auto"/>
          <w:sz w:val="24"/>
          <w:szCs w:val="24"/>
        </w:rPr>
        <w:t xml:space="preserve"> </w:t>
      </w:r>
      <w:r w:rsidR="00A62E1C" w:rsidRPr="008072E4">
        <w:rPr>
          <w:rFonts w:asciiTheme="minorHAnsi" w:hAnsiTheme="minorHAnsi" w:cstheme="minorHAnsi"/>
          <w:color w:val="auto"/>
          <w:sz w:val="24"/>
          <w:szCs w:val="24"/>
        </w:rPr>
        <w:t>[1</w:t>
      </w:r>
      <w:r w:rsidR="00A62E1C">
        <w:rPr>
          <w:rFonts w:asciiTheme="minorHAnsi" w:hAnsiTheme="minorHAnsi" w:cstheme="minorHAnsi"/>
          <w:color w:val="auto"/>
          <w:sz w:val="24"/>
          <w:szCs w:val="24"/>
        </w:rPr>
        <w:t>, 2, 25</w:t>
      </w:r>
      <w:r w:rsidR="00A62E1C"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Další činností je vydávání odborných stanovisek na základě podaných žádostí, a to ve věci stanovení povahy výrobku, případně jeho zařazení v oblasti zdravotnických prostředků. Vydává</w:t>
      </w:r>
      <w:r w:rsidR="00B732BB">
        <w:rPr>
          <w:rFonts w:asciiTheme="minorHAnsi" w:hAnsiTheme="minorHAnsi" w:cstheme="minorHAnsi"/>
          <w:color w:val="auto"/>
          <w:sz w:val="24"/>
          <w:szCs w:val="24"/>
        </w:rPr>
        <w:t>ní</w:t>
      </w:r>
      <w:r w:rsidRPr="002872A6">
        <w:rPr>
          <w:rFonts w:asciiTheme="minorHAnsi" w:hAnsiTheme="minorHAnsi" w:cstheme="minorHAnsi"/>
          <w:color w:val="auto"/>
          <w:sz w:val="24"/>
          <w:szCs w:val="24"/>
        </w:rPr>
        <w:t xml:space="preserve"> povolení k provedení klinické zkoušky zdravotnického prostředku, případně stanovisko k úpravě podmínek těchto zkoušek.</w:t>
      </w:r>
      <w:r w:rsidR="00B732BB" w:rsidRPr="00B732BB">
        <w:rPr>
          <w:rFonts w:asciiTheme="minorHAnsi" w:hAnsiTheme="minorHAnsi" w:cstheme="minorHAnsi"/>
          <w:color w:val="auto"/>
          <w:sz w:val="24"/>
          <w:szCs w:val="24"/>
        </w:rPr>
        <w:t xml:space="preserve"> </w:t>
      </w:r>
      <w:r w:rsidR="00B732BB" w:rsidRPr="008072E4">
        <w:rPr>
          <w:rFonts w:asciiTheme="minorHAnsi" w:hAnsiTheme="minorHAnsi" w:cstheme="minorHAnsi"/>
          <w:color w:val="auto"/>
          <w:sz w:val="24"/>
          <w:szCs w:val="24"/>
        </w:rPr>
        <w:t>[1</w:t>
      </w:r>
      <w:r w:rsidR="00B732BB">
        <w:rPr>
          <w:rFonts w:asciiTheme="minorHAnsi" w:hAnsiTheme="minorHAnsi" w:cstheme="minorHAnsi"/>
          <w:color w:val="auto"/>
          <w:sz w:val="24"/>
          <w:szCs w:val="24"/>
        </w:rPr>
        <w:t>, 2</w:t>
      </w:r>
      <w:r w:rsidR="00B732BB"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Ačkoliv již distributorům, subjektům provádějí servis a též zdravotnickým zařízením, není zákonem stanovena povinnost oznamovat podezření na závažné nežádoucí příhody, jsou tato hlášení nadále SÚKL vřele přijímána a pokračování v jejich zasílání je vítáno, neboť je to v zájmu zajištění bezpečnosti.</w:t>
      </w:r>
      <w:r w:rsidR="00B732BB" w:rsidRPr="00B732BB">
        <w:rPr>
          <w:rFonts w:asciiTheme="minorHAnsi" w:hAnsiTheme="minorHAnsi" w:cstheme="minorHAnsi"/>
          <w:color w:val="auto"/>
          <w:sz w:val="24"/>
          <w:szCs w:val="24"/>
        </w:rPr>
        <w:t xml:space="preserve"> </w:t>
      </w:r>
      <w:r w:rsidR="00B732BB" w:rsidRPr="008072E4">
        <w:rPr>
          <w:rFonts w:asciiTheme="minorHAnsi" w:hAnsiTheme="minorHAnsi" w:cstheme="minorHAnsi"/>
          <w:color w:val="auto"/>
          <w:sz w:val="24"/>
          <w:szCs w:val="24"/>
        </w:rPr>
        <w:t>[1</w:t>
      </w:r>
      <w:r w:rsidR="00B732BB">
        <w:rPr>
          <w:rFonts w:asciiTheme="minorHAnsi" w:hAnsiTheme="minorHAnsi" w:cstheme="minorHAnsi"/>
          <w:color w:val="auto"/>
          <w:sz w:val="24"/>
          <w:szCs w:val="24"/>
        </w:rPr>
        <w:t>, 2, 25</w:t>
      </w:r>
      <w:r w:rsidR="00B732BB"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Touto sekcí je také veden Registr zdravotnic</w:t>
      </w:r>
      <w:r>
        <w:rPr>
          <w:rFonts w:asciiTheme="minorHAnsi" w:hAnsiTheme="minorHAnsi" w:cstheme="minorHAnsi"/>
          <w:color w:val="auto"/>
          <w:sz w:val="24"/>
          <w:szCs w:val="24"/>
        </w:rPr>
        <w:t>kých prostředků, který slouží k </w:t>
      </w:r>
      <w:r w:rsidRPr="002872A6">
        <w:rPr>
          <w:rFonts w:asciiTheme="minorHAnsi" w:hAnsiTheme="minorHAnsi" w:cstheme="minorHAnsi"/>
          <w:color w:val="auto"/>
          <w:sz w:val="24"/>
          <w:szCs w:val="24"/>
        </w:rPr>
        <w:t>podávání povinných hlášení od distributorů ohledně všech jejich zdravotnických prostředků</w:t>
      </w:r>
      <w:r w:rsidR="00B732BB">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a to včetně těch dovážených, vyjma rizikové třídy I. Nejedná se o povinná hlášení pouze pro dovoz, ale též pro české výrobce. V rám</w:t>
      </w:r>
      <w:r>
        <w:rPr>
          <w:rFonts w:asciiTheme="minorHAnsi" w:hAnsiTheme="minorHAnsi" w:cstheme="minorHAnsi"/>
          <w:color w:val="auto"/>
          <w:sz w:val="24"/>
          <w:szCs w:val="24"/>
        </w:rPr>
        <w:t>ci tohoto registru se evidují i </w:t>
      </w:r>
      <w:r w:rsidRPr="002872A6">
        <w:rPr>
          <w:rFonts w:asciiTheme="minorHAnsi" w:hAnsiTheme="minorHAnsi" w:cstheme="minorHAnsi"/>
          <w:color w:val="auto"/>
          <w:sz w:val="24"/>
          <w:szCs w:val="24"/>
        </w:rPr>
        <w:t>osoby vykonávající servisní činnosti na zdravotnických prostředcích. Evidují se zde všechny skutečnosti, kter</w:t>
      </w:r>
      <w:r w:rsidR="00B50118">
        <w:rPr>
          <w:rFonts w:asciiTheme="minorHAnsi" w:hAnsiTheme="minorHAnsi" w:cstheme="minorHAnsi"/>
          <w:color w:val="auto"/>
          <w:sz w:val="24"/>
          <w:szCs w:val="24"/>
        </w:rPr>
        <w:t>é</w:t>
      </w:r>
      <w:r w:rsidRPr="002872A6">
        <w:rPr>
          <w:rFonts w:asciiTheme="minorHAnsi" w:hAnsiTheme="minorHAnsi" w:cstheme="minorHAnsi"/>
          <w:color w:val="auto"/>
          <w:sz w:val="24"/>
          <w:szCs w:val="24"/>
        </w:rPr>
        <w:t xml:space="preserve"> mají návaznost na zdravotnické prostředky.</w:t>
      </w:r>
      <w:r w:rsidR="00B732BB" w:rsidRPr="00B732BB">
        <w:rPr>
          <w:rFonts w:asciiTheme="minorHAnsi" w:hAnsiTheme="minorHAnsi" w:cstheme="minorHAnsi"/>
          <w:color w:val="auto"/>
          <w:sz w:val="24"/>
          <w:szCs w:val="24"/>
        </w:rPr>
        <w:t xml:space="preserve"> </w:t>
      </w:r>
      <w:r w:rsidR="00B732BB" w:rsidRPr="008072E4">
        <w:rPr>
          <w:rFonts w:asciiTheme="minorHAnsi" w:hAnsiTheme="minorHAnsi" w:cstheme="minorHAnsi"/>
          <w:color w:val="auto"/>
          <w:sz w:val="24"/>
          <w:szCs w:val="24"/>
        </w:rPr>
        <w:t>[1</w:t>
      </w:r>
      <w:r w:rsidR="00B732BB">
        <w:rPr>
          <w:rFonts w:asciiTheme="minorHAnsi" w:hAnsiTheme="minorHAnsi" w:cstheme="minorHAnsi"/>
          <w:color w:val="auto"/>
          <w:sz w:val="24"/>
          <w:szCs w:val="24"/>
        </w:rPr>
        <w:t>, 2, 25</w:t>
      </w:r>
      <w:r w:rsidR="00B732BB"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Co se týče úhrady zdravotnických prostředků, tak jejich regulace je prováděna na základě ohlašování. Dá se říc</w:t>
      </w:r>
      <w:r w:rsidR="00B50118">
        <w:rPr>
          <w:rFonts w:asciiTheme="minorHAnsi" w:hAnsiTheme="minorHAnsi" w:cstheme="minorHAnsi"/>
          <w:color w:val="auto"/>
          <w:sz w:val="24"/>
          <w:szCs w:val="24"/>
        </w:rPr>
        <w:t>i</w:t>
      </w:r>
      <w:r w:rsidRPr="002872A6">
        <w:rPr>
          <w:rFonts w:asciiTheme="minorHAnsi" w:hAnsiTheme="minorHAnsi" w:cstheme="minorHAnsi"/>
          <w:color w:val="auto"/>
          <w:sz w:val="24"/>
          <w:szCs w:val="24"/>
        </w:rPr>
        <w:t>, že je zde nastaven opačný způsob zavedení zdravotnického prostředku do úhradové skupiny. Výrobce se rozhodne</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do jaké úhradové skupiny daný zdravotnický prostředek patří a toto ohlásí na SÚKL. Toto ohlášení se může týkat jak nového zařazení, tak jeho změnu či vyřazení. S</w:t>
      </w:r>
      <w:r>
        <w:rPr>
          <w:rFonts w:asciiTheme="minorHAnsi" w:hAnsiTheme="minorHAnsi" w:cstheme="minorHAnsi"/>
          <w:color w:val="auto"/>
          <w:sz w:val="24"/>
          <w:szCs w:val="24"/>
        </w:rPr>
        <w:t>právní řízení není zahajováno u </w:t>
      </w:r>
      <w:r w:rsidRPr="002872A6">
        <w:rPr>
          <w:rFonts w:asciiTheme="minorHAnsi" w:hAnsiTheme="minorHAnsi" w:cstheme="minorHAnsi"/>
          <w:color w:val="auto"/>
          <w:sz w:val="24"/>
          <w:szCs w:val="24"/>
        </w:rPr>
        <w:t>každého zdravotnického prostředku, ale jen u těch, u kterých má SÚKL za to, že byly zařazeny do jiné úhradové skupiny.</w:t>
      </w:r>
      <w:r w:rsidR="002C6257" w:rsidRPr="002C6257">
        <w:rPr>
          <w:rFonts w:asciiTheme="minorHAnsi" w:hAnsiTheme="minorHAnsi" w:cstheme="minorHAnsi"/>
          <w:color w:val="auto"/>
          <w:sz w:val="24"/>
          <w:szCs w:val="24"/>
        </w:rPr>
        <w:t xml:space="preserve"> </w:t>
      </w:r>
      <w:r w:rsidR="002C6257" w:rsidRPr="008072E4">
        <w:rPr>
          <w:rFonts w:asciiTheme="minorHAnsi" w:hAnsiTheme="minorHAnsi" w:cstheme="minorHAnsi"/>
          <w:color w:val="auto"/>
          <w:sz w:val="24"/>
          <w:szCs w:val="24"/>
        </w:rPr>
        <w:t>[1</w:t>
      </w:r>
      <w:r w:rsidR="002C6257">
        <w:rPr>
          <w:rFonts w:asciiTheme="minorHAnsi" w:hAnsiTheme="minorHAnsi" w:cstheme="minorHAnsi"/>
          <w:color w:val="auto"/>
          <w:sz w:val="24"/>
          <w:szCs w:val="24"/>
        </w:rPr>
        <w:t>, 2, 25</w:t>
      </w:r>
      <w:r w:rsidR="002C6257" w:rsidRPr="008072E4">
        <w:rPr>
          <w:rFonts w:asciiTheme="minorHAnsi" w:hAnsiTheme="minorHAnsi" w:cstheme="minorHAnsi"/>
          <w:color w:val="auto"/>
          <w:sz w:val="24"/>
          <w:szCs w:val="24"/>
        </w:rPr>
        <w:t>]</w:t>
      </w:r>
    </w:p>
    <w:p w:rsidR="00294E20" w:rsidRDefault="002C6257" w:rsidP="00294E20">
      <w:pPr>
        <w:spacing w:after="0" w:line="360" w:lineRule="auto"/>
        <w:ind w:firstLine="708"/>
        <w:jc w:val="both"/>
        <w:rPr>
          <w:rFonts w:asciiTheme="minorHAnsi" w:hAnsiTheme="minorHAnsi" w:cstheme="minorHAnsi"/>
          <w:color w:val="auto"/>
          <w:sz w:val="24"/>
          <w:szCs w:val="24"/>
        </w:rPr>
      </w:pPr>
      <w:r>
        <w:rPr>
          <w:rFonts w:asciiTheme="minorHAnsi" w:hAnsiTheme="minorHAnsi" w:cstheme="minorHAnsi"/>
          <w:color w:val="auto"/>
          <w:sz w:val="24"/>
          <w:szCs w:val="24"/>
        </w:rPr>
        <w:t>Sekce dále vydává S</w:t>
      </w:r>
      <w:r w:rsidR="00294E20" w:rsidRPr="002872A6">
        <w:rPr>
          <w:rFonts w:asciiTheme="minorHAnsi" w:hAnsiTheme="minorHAnsi" w:cstheme="minorHAnsi"/>
          <w:color w:val="auto"/>
          <w:sz w:val="24"/>
          <w:szCs w:val="24"/>
        </w:rPr>
        <w:t>eznam cen a úhrad zdravotnických prostředků hrazených na poukaz, kdy se jedná o primární číselník k realizaci úhrad z prostředků veřejného zdravotního pojištění.</w:t>
      </w:r>
      <w:r w:rsidRPr="002C6257">
        <w:rPr>
          <w:rFonts w:asciiTheme="minorHAnsi" w:hAnsiTheme="minorHAnsi" w:cstheme="minorHAnsi"/>
          <w:color w:val="auto"/>
          <w:sz w:val="24"/>
          <w:szCs w:val="24"/>
        </w:rPr>
        <w:t xml:space="preserve"> </w:t>
      </w:r>
      <w:r w:rsidRPr="008072E4">
        <w:rPr>
          <w:rFonts w:asciiTheme="minorHAnsi" w:hAnsiTheme="minorHAnsi" w:cstheme="minorHAnsi"/>
          <w:color w:val="auto"/>
          <w:sz w:val="24"/>
          <w:szCs w:val="24"/>
        </w:rPr>
        <w:t>[1</w:t>
      </w:r>
      <w:r>
        <w:rPr>
          <w:rFonts w:asciiTheme="minorHAnsi" w:hAnsiTheme="minorHAnsi" w:cstheme="minorHAnsi"/>
          <w:color w:val="auto"/>
          <w:sz w:val="24"/>
          <w:szCs w:val="24"/>
        </w:rPr>
        <w:t>, 2, 25</w:t>
      </w:r>
      <w:r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Nově je součástí této sekce oddělení systémů, které má na starost správu a vývoj registrů a to konkrétně Registr zdravotnických prostředků, a Informační systém zdravotnických prostředků. K těmto slouží taktéž jako metodická podpora. Dále je jeho činnost zaměřena na poskytování informací v rámci databáze EUDAMED a též regulace zdravotnických prostředků v Evropské unii.</w:t>
      </w:r>
      <w:r w:rsidR="002C6257" w:rsidRPr="002C6257">
        <w:rPr>
          <w:rFonts w:asciiTheme="minorHAnsi" w:hAnsiTheme="minorHAnsi" w:cstheme="minorHAnsi"/>
          <w:color w:val="auto"/>
          <w:sz w:val="24"/>
          <w:szCs w:val="24"/>
        </w:rPr>
        <w:t xml:space="preserve"> </w:t>
      </w:r>
      <w:r w:rsidR="002C6257" w:rsidRPr="008072E4">
        <w:rPr>
          <w:rFonts w:asciiTheme="minorHAnsi" w:hAnsiTheme="minorHAnsi" w:cstheme="minorHAnsi"/>
          <w:color w:val="auto"/>
          <w:sz w:val="24"/>
          <w:szCs w:val="24"/>
        </w:rPr>
        <w:t>[1</w:t>
      </w:r>
      <w:r w:rsidR="002C6257">
        <w:rPr>
          <w:rFonts w:asciiTheme="minorHAnsi" w:hAnsiTheme="minorHAnsi" w:cstheme="minorHAnsi"/>
          <w:color w:val="auto"/>
          <w:sz w:val="24"/>
          <w:szCs w:val="24"/>
        </w:rPr>
        <w:t>, 2, 25</w:t>
      </w:r>
      <w:r w:rsidR="002C6257"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65" w:name="_Toc164078832"/>
      <w:bookmarkStart w:id="66" w:name="_Toc165990637"/>
      <w:bookmarkEnd w:id="65"/>
      <w:r w:rsidRPr="002872A6">
        <w:rPr>
          <w:rFonts w:asciiTheme="minorHAnsi" w:hAnsiTheme="minorHAnsi" w:cstheme="minorHAnsi"/>
          <w:b/>
          <w:color w:val="auto"/>
          <w:sz w:val="28"/>
          <w:szCs w:val="28"/>
        </w:rPr>
        <w:t>Sekce Podpory ředitele a managementu</w:t>
      </w:r>
      <w:bookmarkEnd w:id="66"/>
    </w:p>
    <w:p w:rsidR="00294E20" w:rsidRPr="002872A6" w:rsidRDefault="00294E20" w:rsidP="00294E20">
      <w:pPr>
        <w:spacing w:after="0" w:line="360" w:lineRule="auto"/>
        <w:jc w:val="both"/>
        <w:rPr>
          <w:rFonts w:asciiTheme="minorHAnsi" w:hAnsiTheme="minorHAnsi" w:cstheme="minorHAnsi"/>
          <w:color w:val="auto"/>
          <w:sz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Jak již název této sekce napovídá, jedná se o nedozorovou činnost a jsou zde oddělení převážně pro podporu a zabezpečení činno</w:t>
      </w:r>
      <w:r>
        <w:rPr>
          <w:rFonts w:asciiTheme="minorHAnsi" w:hAnsiTheme="minorHAnsi" w:cstheme="minorHAnsi"/>
          <w:color w:val="auto"/>
          <w:sz w:val="24"/>
          <w:szCs w:val="24"/>
        </w:rPr>
        <w:t>stí SÚKL</w:t>
      </w:r>
      <w:r w:rsidR="001C4A9F">
        <w:rPr>
          <w:rFonts w:asciiTheme="minorHAnsi" w:hAnsiTheme="minorHAnsi" w:cstheme="minorHAnsi"/>
          <w:color w:val="auto"/>
          <w:sz w:val="24"/>
          <w:szCs w:val="24"/>
        </w:rPr>
        <w:t xml:space="preserve">. </w:t>
      </w:r>
      <w:r>
        <w:rPr>
          <w:rFonts w:asciiTheme="minorHAnsi" w:hAnsiTheme="minorHAnsi" w:cstheme="minorHAnsi"/>
          <w:color w:val="auto"/>
          <w:sz w:val="24"/>
          <w:szCs w:val="24"/>
        </w:rPr>
        <w:t>V rámci této sekce je </w:t>
      </w:r>
      <w:r w:rsidRPr="002872A6">
        <w:rPr>
          <w:rFonts w:asciiTheme="minorHAnsi" w:hAnsiTheme="minorHAnsi" w:cstheme="minorHAnsi"/>
          <w:color w:val="auto"/>
          <w:sz w:val="24"/>
          <w:szCs w:val="24"/>
        </w:rPr>
        <w:t>důležité zmínit oddělení E-receptu, jelikož SÚKL je správcem a provozovatelem informačního systému eRecept, který je upraven zákonem o léčivech. K tomuto systému poskytuje též podporu pro všechny uživatele, a dále zajišťuje bezplatnou linku, na kterou se může obrátit nejen zdravotnický personál, ale též i sama veřejnost, přičemž tato linka je k dispozici ve všedních dnech od 07:00 hodin do 17:00 hodin.</w:t>
      </w:r>
      <w:r w:rsidR="001C4A9F" w:rsidRPr="001C4A9F">
        <w:rPr>
          <w:rFonts w:asciiTheme="minorHAnsi" w:hAnsiTheme="minorHAnsi" w:cstheme="minorHAnsi"/>
          <w:color w:val="auto"/>
          <w:sz w:val="24"/>
          <w:szCs w:val="24"/>
        </w:rPr>
        <w:t xml:space="preserve"> </w:t>
      </w:r>
      <w:r w:rsidR="001C4A9F" w:rsidRPr="008072E4">
        <w:rPr>
          <w:rFonts w:asciiTheme="minorHAnsi" w:hAnsiTheme="minorHAnsi" w:cstheme="minorHAnsi"/>
          <w:color w:val="auto"/>
          <w:sz w:val="24"/>
          <w:szCs w:val="24"/>
        </w:rPr>
        <w:t>[1</w:t>
      </w:r>
      <w:r w:rsidR="001C4A9F">
        <w:rPr>
          <w:rFonts w:asciiTheme="minorHAnsi" w:hAnsiTheme="minorHAnsi" w:cstheme="minorHAnsi"/>
          <w:color w:val="auto"/>
          <w:sz w:val="24"/>
          <w:szCs w:val="24"/>
        </w:rPr>
        <w:t>, 2, 25</w:t>
      </w:r>
      <w:r w:rsidR="001C4A9F" w:rsidRPr="008072E4">
        <w:rPr>
          <w:rFonts w:asciiTheme="minorHAnsi" w:hAnsiTheme="minorHAnsi" w:cstheme="minorHAnsi"/>
          <w:color w:val="auto"/>
          <w:sz w:val="24"/>
          <w:szCs w:val="24"/>
        </w:rPr>
        <w:t>]</w:t>
      </w:r>
    </w:p>
    <w:p w:rsidR="001C4A9F"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Pro lékaře a farmaceuty, kteří pracují s eReceptem, poskytují nepřetržitý přístup k údajům vedeným v Registru pro léčivé přípravky s om</w:t>
      </w:r>
      <w:r>
        <w:rPr>
          <w:rFonts w:asciiTheme="minorHAnsi" w:hAnsiTheme="minorHAnsi" w:cstheme="minorHAnsi"/>
          <w:color w:val="auto"/>
          <w:sz w:val="24"/>
          <w:szCs w:val="24"/>
        </w:rPr>
        <w:t>ezením. Cílem tohoto systému je </w:t>
      </w:r>
      <w:r w:rsidRPr="002872A6">
        <w:rPr>
          <w:rFonts w:asciiTheme="minorHAnsi" w:hAnsiTheme="minorHAnsi" w:cstheme="minorHAnsi"/>
          <w:color w:val="auto"/>
          <w:sz w:val="24"/>
          <w:szCs w:val="24"/>
        </w:rPr>
        <w:t>vyvarovat se předepsání a následně i vydání léčivého přípravku nad stanovené množství v rozhodnutí o registraci dle zákona o léčivech, a též stanovené omezení v souladu s vyhláškou číslo 236/2015 Sb., o stanovení podmínek pro předepisování, přípravu, distribuci, výdej a používání individuálně připravovaných léčivých přípravků s obsahem konopí pro léčebné použití.</w:t>
      </w:r>
      <w:r w:rsidR="001C4A9F" w:rsidRPr="001C4A9F">
        <w:rPr>
          <w:rFonts w:asciiTheme="minorHAnsi" w:hAnsiTheme="minorHAnsi" w:cstheme="minorHAnsi"/>
          <w:color w:val="auto"/>
          <w:sz w:val="24"/>
          <w:szCs w:val="24"/>
        </w:rPr>
        <w:t xml:space="preserve"> </w:t>
      </w:r>
      <w:r w:rsidR="001C4A9F" w:rsidRPr="008072E4">
        <w:rPr>
          <w:rFonts w:asciiTheme="minorHAnsi" w:hAnsiTheme="minorHAnsi" w:cstheme="minorHAnsi"/>
          <w:color w:val="auto"/>
          <w:sz w:val="24"/>
          <w:szCs w:val="24"/>
        </w:rPr>
        <w:t>[1</w:t>
      </w:r>
      <w:r w:rsidR="001C4A9F">
        <w:rPr>
          <w:rFonts w:asciiTheme="minorHAnsi" w:hAnsiTheme="minorHAnsi" w:cstheme="minorHAnsi"/>
          <w:color w:val="auto"/>
          <w:sz w:val="24"/>
          <w:szCs w:val="24"/>
        </w:rPr>
        <w:t>, 2, 25</w:t>
      </w:r>
      <w:r w:rsidR="001C4A9F"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505"/>
        <w:jc w:val="both"/>
        <w:rPr>
          <w:rFonts w:asciiTheme="minorHAnsi" w:hAnsiTheme="minorHAnsi" w:cstheme="minorHAnsi"/>
          <w:color w:val="auto"/>
        </w:rPr>
      </w:pPr>
      <w:r w:rsidRPr="002872A6">
        <w:rPr>
          <w:rFonts w:asciiTheme="minorHAnsi" w:hAnsiTheme="minorHAnsi" w:cstheme="minorHAnsi"/>
          <w:color w:val="auto"/>
          <w:sz w:val="24"/>
          <w:szCs w:val="24"/>
        </w:rPr>
        <w:t>Do systému eRecept byl postupně začleněn i elektronický poukaz na zdravotnické prostředky tedy ePoukaz. Obě varianty</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tedy eRecept i ePoukaz</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nahrazují svou funkčností papírové verze, avšak neznamená to úplný konec papírové formy, tuto lze za stanovených podmínek i nadále použít.</w:t>
      </w:r>
      <w:r w:rsidR="001C4A9F" w:rsidRPr="001C4A9F">
        <w:rPr>
          <w:rFonts w:asciiTheme="minorHAnsi" w:hAnsiTheme="minorHAnsi" w:cstheme="minorHAnsi"/>
          <w:color w:val="auto"/>
          <w:sz w:val="24"/>
          <w:szCs w:val="24"/>
        </w:rPr>
        <w:t xml:space="preserve"> </w:t>
      </w:r>
      <w:r w:rsidR="001C4A9F" w:rsidRPr="008072E4">
        <w:rPr>
          <w:rFonts w:asciiTheme="minorHAnsi" w:hAnsiTheme="minorHAnsi" w:cstheme="minorHAnsi"/>
          <w:color w:val="auto"/>
          <w:sz w:val="24"/>
          <w:szCs w:val="24"/>
        </w:rPr>
        <w:t>[1</w:t>
      </w:r>
      <w:r w:rsidR="001C4A9F">
        <w:rPr>
          <w:rFonts w:asciiTheme="minorHAnsi" w:hAnsiTheme="minorHAnsi" w:cstheme="minorHAnsi"/>
          <w:color w:val="auto"/>
          <w:sz w:val="24"/>
          <w:szCs w:val="24"/>
        </w:rPr>
        <w:t>, 2, 25</w:t>
      </w:r>
      <w:r w:rsidR="001C4A9F"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67" w:name="_Toc164078833"/>
      <w:bookmarkStart w:id="68" w:name="_Toc163759368"/>
      <w:bookmarkStart w:id="69" w:name="_Toc165990638"/>
      <w:bookmarkEnd w:id="67"/>
      <w:bookmarkEnd w:id="68"/>
      <w:r w:rsidRPr="002872A6">
        <w:rPr>
          <w:rFonts w:asciiTheme="minorHAnsi" w:hAnsiTheme="minorHAnsi" w:cstheme="minorHAnsi"/>
          <w:b/>
          <w:color w:val="auto"/>
          <w:sz w:val="28"/>
          <w:szCs w:val="28"/>
        </w:rPr>
        <w:t>Informace pro veřejnost</w:t>
      </w:r>
      <w:bookmarkEnd w:id="69"/>
    </w:p>
    <w:p w:rsidR="00294E20" w:rsidRPr="002872A6" w:rsidRDefault="00294E20" w:rsidP="00294E20">
      <w:pPr>
        <w:spacing w:after="0" w:line="360" w:lineRule="auto"/>
        <w:rPr>
          <w:rFonts w:asciiTheme="minorHAnsi" w:hAnsiTheme="minorHAnsi" w:cstheme="minorHAnsi"/>
          <w:color w:val="auto"/>
          <w:sz w:val="24"/>
          <w:szCs w:val="24"/>
          <w:u w:val="single"/>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SÚKL vede na základě zákonem stanovených povinností evidence a zajišťuje zveřejňování patřičných informací pro zdravotnický personál i laickou veřejnost. Určené databáze jsou volně přístupné z webových stránek SÚKL, a jedná </w:t>
      </w:r>
      <w:r>
        <w:rPr>
          <w:rFonts w:asciiTheme="minorHAnsi" w:hAnsiTheme="minorHAnsi" w:cstheme="minorHAnsi"/>
          <w:color w:val="auto"/>
          <w:sz w:val="24"/>
          <w:szCs w:val="24"/>
        </w:rPr>
        <w:t xml:space="preserve">se o </w:t>
      </w:r>
      <w:r w:rsidRPr="00797879">
        <w:rPr>
          <w:rFonts w:asciiTheme="minorHAnsi" w:hAnsiTheme="minorHAnsi" w:cstheme="minorHAnsi"/>
          <w:color w:val="auto"/>
          <w:sz w:val="24"/>
          <w:szCs w:val="24"/>
        </w:rPr>
        <w:t xml:space="preserve">Databáze </w:t>
      </w:r>
      <w:r w:rsidRPr="00797879">
        <w:rPr>
          <w:rFonts w:asciiTheme="minorHAnsi" w:hAnsiTheme="minorHAnsi" w:cstheme="minorHAnsi"/>
          <w:color w:val="auto"/>
          <w:sz w:val="24"/>
          <w:szCs w:val="24"/>
        </w:rPr>
        <w:lastRenderedPageBreak/>
        <w:t>registrovaných léků, Databáze schválených lékáren, Databáze klinických hodnocení, Očkovací kalendář a očkovací kalendáře pro cestovatele, Encyklopedie SÚKL, „Zeptej se“ - dotazování se odborníků, Hlášení nežádoucích účinků léčiv, Příběhy léků.</w:t>
      </w:r>
      <w:r w:rsidR="001C4A9F" w:rsidRPr="001C4A9F">
        <w:rPr>
          <w:rFonts w:asciiTheme="minorHAnsi" w:hAnsiTheme="minorHAnsi" w:cstheme="minorHAnsi"/>
          <w:color w:val="auto"/>
          <w:sz w:val="24"/>
          <w:szCs w:val="24"/>
        </w:rPr>
        <w:t xml:space="preserve"> </w:t>
      </w:r>
      <w:r w:rsidR="001C4A9F" w:rsidRPr="008072E4">
        <w:rPr>
          <w:rFonts w:asciiTheme="minorHAnsi" w:hAnsiTheme="minorHAnsi" w:cstheme="minorHAnsi"/>
          <w:color w:val="auto"/>
          <w:sz w:val="24"/>
          <w:szCs w:val="24"/>
        </w:rPr>
        <w:t>[</w:t>
      </w:r>
      <w:r w:rsidR="001C4A9F">
        <w:rPr>
          <w:rFonts w:asciiTheme="minorHAnsi" w:hAnsiTheme="minorHAnsi" w:cstheme="minorHAnsi"/>
          <w:color w:val="auto"/>
          <w:sz w:val="24"/>
          <w:szCs w:val="24"/>
        </w:rPr>
        <w:t>26</w:t>
      </w:r>
      <w:r w:rsidR="001C4A9F" w:rsidRPr="008072E4">
        <w:rPr>
          <w:rFonts w:asciiTheme="minorHAnsi" w:hAnsiTheme="minorHAnsi" w:cstheme="minorHAnsi"/>
          <w:color w:val="auto"/>
          <w:sz w:val="24"/>
          <w:szCs w:val="24"/>
        </w:rPr>
        <w:t>]</w:t>
      </w:r>
    </w:p>
    <w:p w:rsidR="00294E20" w:rsidRPr="002872A6" w:rsidRDefault="00294E20" w:rsidP="00294E20">
      <w:pPr>
        <w:spacing w:after="0" w:line="360" w:lineRule="auto"/>
        <w:ind w:firstLine="505"/>
        <w:jc w:val="both"/>
        <w:rPr>
          <w:rFonts w:asciiTheme="minorHAnsi" w:hAnsiTheme="minorHAnsi" w:cstheme="minorHAnsi"/>
          <w:color w:val="auto"/>
        </w:rPr>
      </w:pPr>
      <w:r>
        <w:rPr>
          <w:rFonts w:asciiTheme="minorHAnsi" w:hAnsiTheme="minorHAnsi" w:cstheme="minorHAnsi"/>
          <w:color w:val="auto"/>
          <w:sz w:val="24"/>
          <w:szCs w:val="24"/>
        </w:rPr>
        <w:t xml:space="preserve">Je důležité zmínit </w:t>
      </w:r>
      <w:r w:rsidR="001C4A9F">
        <w:rPr>
          <w:rFonts w:asciiTheme="minorHAnsi" w:hAnsiTheme="minorHAnsi" w:cstheme="minorHAnsi"/>
          <w:color w:val="auto"/>
          <w:sz w:val="24"/>
          <w:szCs w:val="24"/>
        </w:rPr>
        <w:t xml:space="preserve">právě </w:t>
      </w:r>
      <w:r>
        <w:rPr>
          <w:rFonts w:asciiTheme="minorHAnsi" w:hAnsiTheme="minorHAnsi" w:cstheme="minorHAnsi"/>
          <w:color w:val="auto"/>
          <w:sz w:val="24"/>
          <w:szCs w:val="24"/>
        </w:rPr>
        <w:t xml:space="preserve">webovou stránku </w:t>
      </w:r>
      <w:r w:rsidRPr="00962720">
        <w:rPr>
          <w:rFonts w:asciiTheme="minorHAnsi" w:hAnsiTheme="minorHAnsi" w:cstheme="minorHAnsi"/>
          <w:color w:val="auto"/>
          <w:sz w:val="24"/>
          <w:szCs w:val="24"/>
        </w:rPr>
        <w:t>www.sukl.cz</w:t>
      </w:r>
      <w:r>
        <w:rPr>
          <w:rFonts w:asciiTheme="minorHAnsi" w:hAnsiTheme="minorHAnsi" w:cstheme="minorHAnsi"/>
          <w:color w:val="auto"/>
          <w:sz w:val="24"/>
          <w:szCs w:val="24"/>
        </w:rPr>
        <w:t>, kterou spravuje SÚKL, a která je volně přístupná veřejnosti. Zde jsou zveřejňovány nejen dokumenty na základě stanovených povinnost</w:t>
      </w:r>
      <w:r w:rsidR="00B50118">
        <w:rPr>
          <w:rFonts w:asciiTheme="minorHAnsi" w:hAnsiTheme="minorHAnsi" w:cstheme="minorHAnsi"/>
          <w:color w:val="auto"/>
          <w:sz w:val="24"/>
          <w:szCs w:val="24"/>
        </w:rPr>
        <w:t>í</w:t>
      </w:r>
      <w:r>
        <w:rPr>
          <w:rFonts w:asciiTheme="minorHAnsi" w:hAnsiTheme="minorHAnsi" w:cstheme="minorHAnsi"/>
          <w:color w:val="auto"/>
          <w:sz w:val="24"/>
          <w:szCs w:val="24"/>
        </w:rPr>
        <w:t xml:space="preserve"> uložených SÚKL dle právních předpisů jakožto správního orgánu, ale též i mnoho materiálů a odkazů, které slouží laické veřejnosti, odborníků</w:t>
      </w:r>
      <w:r w:rsidR="00B50118">
        <w:rPr>
          <w:rFonts w:asciiTheme="minorHAnsi" w:hAnsiTheme="minorHAnsi" w:cstheme="minorHAnsi"/>
          <w:color w:val="auto"/>
          <w:sz w:val="24"/>
          <w:szCs w:val="24"/>
        </w:rPr>
        <w:t>m</w:t>
      </w:r>
      <w:r>
        <w:rPr>
          <w:rFonts w:asciiTheme="minorHAnsi" w:hAnsiTheme="minorHAnsi" w:cstheme="minorHAnsi"/>
          <w:color w:val="auto"/>
          <w:sz w:val="24"/>
          <w:szCs w:val="24"/>
        </w:rPr>
        <w:t>, ale i organizacím.</w:t>
      </w:r>
      <w:r w:rsidR="001C4A9F" w:rsidRPr="001C4A9F">
        <w:rPr>
          <w:rFonts w:asciiTheme="minorHAnsi" w:hAnsiTheme="minorHAnsi" w:cstheme="minorHAnsi"/>
          <w:color w:val="auto"/>
          <w:sz w:val="24"/>
          <w:szCs w:val="24"/>
        </w:rPr>
        <w:t xml:space="preserve"> </w:t>
      </w:r>
      <w:r w:rsidR="001C4A9F" w:rsidRPr="008072E4">
        <w:rPr>
          <w:rFonts w:asciiTheme="minorHAnsi" w:hAnsiTheme="minorHAnsi" w:cstheme="minorHAnsi"/>
          <w:color w:val="auto"/>
          <w:sz w:val="24"/>
          <w:szCs w:val="24"/>
        </w:rPr>
        <w:t>[</w:t>
      </w:r>
      <w:r w:rsidR="001C4A9F">
        <w:rPr>
          <w:rFonts w:asciiTheme="minorHAnsi" w:hAnsiTheme="minorHAnsi" w:cstheme="minorHAnsi"/>
          <w:color w:val="auto"/>
          <w:sz w:val="24"/>
          <w:szCs w:val="24"/>
        </w:rPr>
        <w:t>26</w:t>
      </w:r>
      <w:r w:rsidR="001C4A9F"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2"/>
        <w:ind w:left="0" w:firstLine="0"/>
        <w:rPr>
          <w:rFonts w:asciiTheme="minorHAnsi" w:hAnsiTheme="minorHAnsi" w:cstheme="minorHAnsi"/>
          <w:b/>
          <w:color w:val="auto"/>
          <w:sz w:val="28"/>
          <w:szCs w:val="28"/>
        </w:rPr>
      </w:pPr>
      <w:bookmarkStart w:id="70" w:name="_Toc164078834"/>
      <w:bookmarkStart w:id="71" w:name="_Toc163759369"/>
      <w:bookmarkStart w:id="72" w:name="_Toc165990639"/>
      <w:bookmarkEnd w:id="70"/>
      <w:bookmarkEnd w:id="71"/>
      <w:r w:rsidRPr="002872A6">
        <w:rPr>
          <w:rFonts w:asciiTheme="minorHAnsi" w:hAnsiTheme="minorHAnsi" w:cstheme="minorHAnsi"/>
          <w:b/>
          <w:color w:val="auto"/>
          <w:sz w:val="28"/>
          <w:szCs w:val="28"/>
        </w:rPr>
        <w:t>Kontrola lékáren</w:t>
      </w:r>
      <w:bookmarkEnd w:id="72"/>
    </w:p>
    <w:p w:rsidR="00294E20" w:rsidRPr="002872A6" w:rsidRDefault="00294E20" w:rsidP="00294E20">
      <w:pPr>
        <w:spacing w:after="0" w:line="360" w:lineRule="auto"/>
        <w:jc w:val="both"/>
        <w:rPr>
          <w:rFonts w:asciiTheme="minorHAnsi" w:hAnsiTheme="minorHAnsi" w:cstheme="minorHAnsi"/>
          <w:color w:val="auto"/>
          <w:sz w:val="24"/>
          <w:szCs w:val="24"/>
        </w:rPr>
      </w:pPr>
    </w:p>
    <w:p w:rsidR="00EC2304"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Samotná činnost na úseku kontroly lékáren byla SÚKL přidělena v roce 1992. V současné době je dohled nad dodržováním požadavků vycházejících z platných právních předpisů upravujících zacházení s léčivými přípravky a též s návykovými látkami, úkolem odboru lékárenství a distribuce, který je součástí sekce dozoru. Tento dohled zahrnuje právě kontrolu nad dodržováním přípravy, výdeje a prodeje léčivých přípravků, ke kterému dochází právě, mimo</w:t>
      </w:r>
      <w:r w:rsidR="00EC2304">
        <w:rPr>
          <w:rFonts w:asciiTheme="minorHAnsi" w:hAnsiTheme="minorHAnsi" w:cstheme="minorHAnsi"/>
          <w:color w:val="auto"/>
          <w:sz w:val="24"/>
          <w:szCs w:val="24"/>
        </w:rPr>
        <w:t xml:space="preserve"> dalších míst, též v lékárnách.</w:t>
      </w:r>
      <w:r w:rsidR="00EC2304" w:rsidRPr="00EC2304">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Dohled samozřejmě zahrnuje pravidelné kontroly nad dodržováním podmínek správné distribuční praxe. </w:t>
      </w:r>
      <w:r w:rsidR="00EC2304" w:rsidRPr="008072E4">
        <w:rPr>
          <w:rFonts w:asciiTheme="minorHAnsi" w:hAnsiTheme="minorHAnsi" w:cstheme="minorHAnsi"/>
          <w:color w:val="auto"/>
          <w:sz w:val="24"/>
          <w:szCs w:val="24"/>
        </w:rPr>
        <w:t>[1</w:t>
      </w:r>
      <w:r w:rsidR="00EC2304">
        <w:rPr>
          <w:rFonts w:asciiTheme="minorHAnsi" w:hAnsiTheme="minorHAnsi" w:cstheme="minorHAnsi"/>
          <w:color w:val="auto"/>
          <w:sz w:val="24"/>
          <w:szCs w:val="24"/>
        </w:rPr>
        <w:t>, 2, 25</w:t>
      </w:r>
      <w:r w:rsidR="00EC2304"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Mimo dalšího tento odbor zajišťuje vydávání závazných stanovisek k věcnému a technickému vybavení lékárny.</w:t>
      </w:r>
      <w:r w:rsidR="00EC2304" w:rsidRPr="00EC2304">
        <w:rPr>
          <w:rFonts w:asciiTheme="minorHAnsi" w:hAnsiTheme="minorHAnsi" w:cstheme="minorHAnsi"/>
          <w:color w:val="auto"/>
          <w:sz w:val="24"/>
          <w:szCs w:val="24"/>
        </w:rPr>
        <w:t xml:space="preserve"> </w:t>
      </w:r>
      <w:r w:rsidR="00EC2304" w:rsidRPr="008072E4">
        <w:rPr>
          <w:rFonts w:asciiTheme="minorHAnsi" w:hAnsiTheme="minorHAnsi" w:cstheme="minorHAnsi"/>
          <w:color w:val="auto"/>
          <w:sz w:val="24"/>
          <w:szCs w:val="24"/>
        </w:rPr>
        <w:t>[1</w:t>
      </w:r>
      <w:r w:rsidR="00EC2304">
        <w:rPr>
          <w:rFonts w:asciiTheme="minorHAnsi" w:hAnsiTheme="minorHAnsi" w:cstheme="minorHAnsi"/>
          <w:color w:val="auto"/>
          <w:sz w:val="24"/>
          <w:szCs w:val="24"/>
        </w:rPr>
        <w:t>, 2, 10, 25</w:t>
      </w:r>
      <w:r w:rsidR="00EC2304"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Kontroly prováděné v lékárnách jsou jednak pravidelného rázu, ale též jsou realizovány kontroly na základě podnětů anebo stížností, které může zaslat na SÚKL kdokoliv.</w:t>
      </w:r>
      <w:r w:rsidR="00EC2304" w:rsidRPr="00EC2304">
        <w:rPr>
          <w:rFonts w:asciiTheme="minorHAnsi" w:hAnsiTheme="minorHAnsi" w:cstheme="minorHAnsi"/>
          <w:color w:val="auto"/>
          <w:sz w:val="24"/>
          <w:szCs w:val="24"/>
        </w:rPr>
        <w:t xml:space="preserve"> </w:t>
      </w:r>
      <w:r w:rsidR="00EC2304" w:rsidRPr="008072E4">
        <w:rPr>
          <w:rFonts w:asciiTheme="minorHAnsi" w:hAnsiTheme="minorHAnsi" w:cstheme="minorHAnsi"/>
          <w:color w:val="auto"/>
          <w:sz w:val="24"/>
          <w:szCs w:val="24"/>
        </w:rPr>
        <w:t>[1</w:t>
      </w:r>
      <w:r w:rsidR="00EC2304">
        <w:rPr>
          <w:rFonts w:asciiTheme="minorHAnsi" w:hAnsiTheme="minorHAnsi" w:cstheme="minorHAnsi"/>
          <w:color w:val="auto"/>
          <w:sz w:val="24"/>
          <w:szCs w:val="24"/>
        </w:rPr>
        <w:t>, 2, 25</w:t>
      </w:r>
      <w:r w:rsidR="00EC2304" w:rsidRPr="008072E4">
        <w:rPr>
          <w:rFonts w:asciiTheme="minorHAnsi" w:hAnsiTheme="minorHAnsi" w:cstheme="minorHAnsi"/>
          <w:color w:val="auto"/>
          <w:sz w:val="24"/>
          <w:szCs w:val="24"/>
        </w:rPr>
        <w:t>]</w:t>
      </w:r>
    </w:p>
    <w:p w:rsidR="00C57A45"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rámci prováděných kontrol na lékárnách </w:t>
      </w:r>
      <w:r>
        <w:rPr>
          <w:rFonts w:asciiTheme="minorHAnsi" w:hAnsiTheme="minorHAnsi" w:cstheme="minorHAnsi"/>
          <w:color w:val="auto"/>
          <w:sz w:val="24"/>
          <w:szCs w:val="24"/>
        </w:rPr>
        <w:t>dochází</w:t>
      </w:r>
      <w:r w:rsidR="00B50118">
        <w:rPr>
          <w:rFonts w:asciiTheme="minorHAnsi" w:hAnsiTheme="minorHAnsi" w:cstheme="minorHAnsi"/>
          <w:color w:val="auto"/>
          <w:sz w:val="24"/>
          <w:szCs w:val="24"/>
        </w:rPr>
        <w:t>,</w:t>
      </w:r>
      <w:r>
        <w:rPr>
          <w:rFonts w:asciiTheme="minorHAnsi" w:hAnsiTheme="minorHAnsi" w:cstheme="minorHAnsi"/>
          <w:color w:val="auto"/>
          <w:sz w:val="24"/>
          <w:szCs w:val="24"/>
        </w:rPr>
        <w:t xml:space="preserve"> ze strany inspektorů</w:t>
      </w:r>
      <w:r w:rsidR="00B50118">
        <w:rPr>
          <w:rFonts w:asciiTheme="minorHAnsi" w:hAnsiTheme="minorHAnsi" w:cstheme="minorHAnsi"/>
          <w:color w:val="auto"/>
          <w:sz w:val="24"/>
          <w:szCs w:val="24"/>
        </w:rPr>
        <w:t>,</w:t>
      </w:r>
      <w:r>
        <w:rPr>
          <w:rFonts w:asciiTheme="minorHAnsi" w:hAnsiTheme="minorHAnsi" w:cstheme="minorHAnsi"/>
          <w:color w:val="auto"/>
          <w:sz w:val="24"/>
          <w:szCs w:val="24"/>
        </w:rPr>
        <w:t xml:space="preserve"> ke </w:t>
      </w:r>
      <w:r w:rsidRPr="002872A6">
        <w:rPr>
          <w:rFonts w:asciiTheme="minorHAnsi" w:hAnsiTheme="minorHAnsi" w:cstheme="minorHAnsi"/>
          <w:color w:val="auto"/>
          <w:sz w:val="24"/>
          <w:szCs w:val="24"/>
        </w:rPr>
        <w:t>kontrole dodržování stanovených právních předpisů se zaměřením nejen na samotné léčivé přípravky, ale i na další oblasti. Jedná se o kontroly nad dodržování podmínek při přípravě, úpravě a výdeji léčivého přípravku, a to včetně zásilkového výdeje. Dále se kontroluje skladování léčivých přípravků, včetně léčivých a pomocných látek určených k přípravě. Kontroluje se též provozní dokumentace lékárny, jako jsou například záznamy o přípravě a kontrole léčivých přípravků, včetně postupů k jejich přípravě, evidenční listy o příjmu a výdeji, doda</w:t>
      </w:r>
      <w:r w:rsidR="00EC2304">
        <w:rPr>
          <w:rFonts w:asciiTheme="minorHAnsi" w:hAnsiTheme="minorHAnsi" w:cstheme="minorHAnsi"/>
          <w:color w:val="auto"/>
          <w:sz w:val="24"/>
          <w:szCs w:val="24"/>
        </w:rPr>
        <w:t>cí listy.</w:t>
      </w:r>
      <w:r w:rsidR="00EC2304" w:rsidRPr="00EC2304">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Provedená opatření u léků se závadou </w:t>
      </w:r>
      <w:r w:rsidRPr="002872A6">
        <w:rPr>
          <w:rFonts w:asciiTheme="minorHAnsi" w:hAnsiTheme="minorHAnsi" w:cstheme="minorHAnsi"/>
          <w:color w:val="auto"/>
          <w:sz w:val="24"/>
          <w:szCs w:val="24"/>
        </w:rPr>
        <w:lastRenderedPageBreak/>
        <w:t>v</w:t>
      </w:r>
      <w:r w:rsidR="00B50118">
        <w:rPr>
          <w:rFonts w:asciiTheme="minorHAnsi" w:hAnsiTheme="minorHAnsi" w:cstheme="minorHAnsi"/>
          <w:color w:val="auto"/>
          <w:sz w:val="24"/>
          <w:szCs w:val="24"/>
        </w:rPr>
        <w:t> </w:t>
      </w:r>
      <w:r w:rsidRPr="002872A6">
        <w:rPr>
          <w:rFonts w:asciiTheme="minorHAnsi" w:hAnsiTheme="minorHAnsi" w:cstheme="minorHAnsi"/>
          <w:color w:val="auto"/>
          <w:sz w:val="24"/>
          <w:szCs w:val="24"/>
        </w:rPr>
        <w:t>jakostí</w:t>
      </w:r>
      <w:r w:rsidR="00B50118">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včetně evidence takovýchto hlášení. Evidence, výdej a skladování návykových látek. </w:t>
      </w:r>
      <w:r w:rsidR="00C57A45" w:rsidRPr="008072E4">
        <w:rPr>
          <w:rFonts w:asciiTheme="minorHAnsi" w:hAnsiTheme="minorHAnsi" w:cstheme="minorHAnsi"/>
          <w:color w:val="auto"/>
          <w:sz w:val="24"/>
          <w:szCs w:val="24"/>
        </w:rPr>
        <w:t>[1</w:t>
      </w:r>
      <w:r w:rsidR="00C57A45">
        <w:rPr>
          <w:rFonts w:asciiTheme="minorHAnsi" w:hAnsiTheme="minorHAnsi" w:cstheme="minorHAnsi"/>
          <w:color w:val="auto"/>
          <w:sz w:val="24"/>
          <w:szCs w:val="24"/>
        </w:rPr>
        <w:t>, 2, 25</w:t>
      </w:r>
      <w:r w:rsidR="00C57A4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Kontrola je zaměřena též na věcné a technické vybavení lékárny, a minimální velikosti ploch jednotlivých prostor. </w:t>
      </w:r>
      <w:r w:rsidR="00B50118">
        <w:rPr>
          <w:rFonts w:asciiTheme="minorHAnsi" w:hAnsiTheme="minorHAnsi" w:cstheme="minorHAnsi"/>
          <w:color w:val="auto"/>
          <w:sz w:val="24"/>
          <w:szCs w:val="24"/>
        </w:rPr>
        <w:t>V</w:t>
      </w:r>
      <w:r w:rsidRPr="002872A6">
        <w:rPr>
          <w:rFonts w:asciiTheme="minorHAnsi" w:hAnsiTheme="minorHAnsi" w:cstheme="minorHAnsi"/>
          <w:color w:val="auto"/>
          <w:sz w:val="24"/>
          <w:szCs w:val="24"/>
        </w:rPr>
        <w:t xml:space="preserve"> neposlední řadě též kontrola nad dodržování povinností a kompetencí u farmaceuta a farmaceutic</w:t>
      </w:r>
      <w:r>
        <w:rPr>
          <w:rFonts w:asciiTheme="minorHAnsi" w:hAnsiTheme="minorHAnsi" w:cstheme="minorHAnsi"/>
          <w:color w:val="auto"/>
          <w:sz w:val="24"/>
          <w:szCs w:val="24"/>
        </w:rPr>
        <w:t>kého asistenta.</w:t>
      </w:r>
      <w:r w:rsidR="00C57A45" w:rsidRPr="00C57A45">
        <w:rPr>
          <w:rFonts w:asciiTheme="minorHAnsi" w:hAnsiTheme="minorHAnsi" w:cstheme="minorHAnsi"/>
          <w:color w:val="auto"/>
          <w:sz w:val="24"/>
          <w:szCs w:val="24"/>
        </w:rPr>
        <w:t xml:space="preserve"> </w:t>
      </w:r>
      <w:r w:rsidR="00C57A45" w:rsidRPr="008072E4">
        <w:rPr>
          <w:rFonts w:asciiTheme="minorHAnsi" w:hAnsiTheme="minorHAnsi" w:cstheme="minorHAnsi"/>
          <w:color w:val="auto"/>
          <w:sz w:val="24"/>
          <w:szCs w:val="24"/>
        </w:rPr>
        <w:t>[</w:t>
      </w:r>
      <w:r w:rsidR="00C57A45">
        <w:rPr>
          <w:rFonts w:asciiTheme="minorHAnsi" w:hAnsiTheme="minorHAnsi" w:cstheme="minorHAnsi"/>
          <w:color w:val="auto"/>
          <w:sz w:val="24"/>
          <w:szCs w:val="24"/>
        </w:rPr>
        <w:t>10, 25</w:t>
      </w:r>
      <w:r w:rsidR="00364FC5">
        <w:rPr>
          <w:rFonts w:asciiTheme="minorHAnsi" w:hAnsiTheme="minorHAnsi" w:cstheme="minorHAnsi"/>
          <w:color w:val="auto"/>
          <w:sz w:val="24"/>
          <w:szCs w:val="24"/>
        </w:rPr>
        <w:t>, 27</w:t>
      </w:r>
      <w:r w:rsidR="00C57A45"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73" w:name="_Toc165990640"/>
      <w:r>
        <w:rPr>
          <w:rFonts w:asciiTheme="minorHAnsi" w:hAnsiTheme="minorHAnsi" w:cstheme="minorHAnsi"/>
          <w:b/>
          <w:color w:val="auto"/>
          <w:sz w:val="28"/>
          <w:szCs w:val="28"/>
        </w:rPr>
        <w:t>Personál lékárny</w:t>
      </w:r>
      <w:bookmarkEnd w:id="73"/>
    </w:p>
    <w:p w:rsidR="00294E20"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Personální obsazení lékárny se řídí vyhláškou číslo 99/2012 Sb., o požadavcích na minimální personální zabezpečení zdravotních slu</w:t>
      </w:r>
      <w:r>
        <w:rPr>
          <w:rFonts w:asciiTheme="minorHAnsi" w:hAnsiTheme="minorHAnsi" w:cstheme="minorHAnsi"/>
          <w:color w:val="auto"/>
          <w:sz w:val="24"/>
          <w:szCs w:val="24"/>
        </w:rPr>
        <w:t>žeb, a konkrétně přílohou číslo </w:t>
      </w:r>
      <w:r w:rsidRPr="002872A6">
        <w:rPr>
          <w:rFonts w:asciiTheme="minorHAnsi" w:hAnsiTheme="minorHAnsi" w:cstheme="minorHAnsi"/>
          <w:color w:val="auto"/>
          <w:sz w:val="24"/>
          <w:szCs w:val="24"/>
        </w:rPr>
        <w:t>4 této vyhlášky. V této příloze jsou stanoveny pozice, které jsou zapotřebí pro zabezpečení lékárenské péče. Vyhláškou je stanoveno, že v lé</w:t>
      </w:r>
      <w:r>
        <w:rPr>
          <w:rFonts w:asciiTheme="minorHAnsi" w:hAnsiTheme="minorHAnsi" w:cstheme="minorHAnsi"/>
          <w:color w:val="auto"/>
          <w:sz w:val="24"/>
          <w:szCs w:val="24"/>
        </w:rPr>
        <w:t>kárně je zapotřebí farmaceut se </w:t>
      </w:r>
      <w:r w:rsidRPr="002872A6">
        <w:rPr>
          <w:rFonts w:asciiTheme="minorHAnsi" w:hAnsiTheme="minorHAnsi" w:cstheme="minorHAnsi"/>
          <w:color w:val="auto"/>
          <w:sz w:val="24"/>
          <w:szCs w:val="24"/>
        </w:rPr>
        <w:t>specializovanou způsobilostí, a v případě, že je v rámci lékárny zřízeno též odborné pracoviště, tak i pro každé takové jeden farmaceut se specializovanou či odbornou způsobilostí pro daný obor. Jedná se o odborná pracoviště pro přípravu sterilních léčivých přípravků, radiofarmak, medicinálních plynů, zkoumadel, pracoviště pro kontrolu léčivých přípravků, nebo pro poskytování lékových informací. Pro tato odborná pracoviště, v rámci přípravy sterilních léčivých přípravků anebo radiofarmak, dále platí povinnost obsazení pozice farmaceutického asistenta se specializovanou způsobilostí pro daný obor.</w:t>
      </w:r>
      <w:r w:rsidR="00364FC5" w:rsidRPr="00364FC5">
        <w:rPr>
          <w:rFonts w:asciiTheme="minorHAnsi" w:hAnsiTheme="minorHAnsi" w:cstheme="minorHAnsi"/>
          <w:color w:val="auto"/>
          <w:sz w:val="24"/>
          <w:szCs w:val="24"/>
        </w:rPr>
        <w:t xml:space="preserve">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odborného pracoviště pro výdej zdravotnických prostředků je zde stanovena povinnost pozice farmaceuta s odbornou způsobilostí, případně farmaceutického asistenta se specializovanou způsobilostí. V případě, že jsou na tomto pracovišti vydávány výhradně zdravotnické prostředky ortoticko-protetické, je možné tuto pozici zajistit ortotikem-protetikem, který má způsobilost k výkonu bez odborného dohledu.</w:t>
      </w:r>
      <w:r w:rsidR="00364FC5" w:rsidRPr="00364FC5">
        <w:rPr>
          <w:rFonts w:asciiTheme="minorHAnsi" w:hAnsiTheme="minorHAnsi" w:cstheme="minorHAnsi"/>
          <w:color w:val="auto"/>
          <w:sz w:val="24"/>
          <w:szCs w:val="24"/>
        </w:rPr>
        <w:t xml:space="preserve">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rámci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je stanovena povinnost pozice farmaceuta </w:t>
      </w:r>
      <w:r w:rsidR="00B50118">
        <w:rPr>
          <w:rFonts w:asciiTheme="minorHAnsi" w:hAnsiTheme="minorHAnsi" w:cstheme="minorHAnsi"/>
          <w:color w:val="auto"/>
          <w:sz w:val="24"/>
          <w:szCs w:val="24"/>
        </w:rPr>
        <w:t>se specializovanou způsobilostí.</w:t>
      </w:r>
      <w:r w:rsidRPr="002872A6">
        <w:rPr>
          <w:rFonts w:asciiTheme="minorHAnsi" w:hAnsiTheme="minorHAnsi" w:cstheme="minorHAnsi"/>
          <w:color w:val="auto"/>
          <w:sz w:val="24"/>
          <w:szCs w:val="24"/>
        </w:rPr>
        <w:t xml:space="preserve"> Tuto pozici může zastávat i farma</w:t>
      </w:r>
      <w:r>
        <w:rPr>
          <w:rFonts w:asciiTheme="minorHAnsi" w:hAnsiTheme="minorHAnsi" w:cstheme="minorHAnsi"/>
          <w:color w:val="auto"/>
          <w:sz w:val="24"/>
          <w:szCs w:val="24"/>
        </w:rPr>
        <w:t>ceut s odbornou způsobilostí za </w:t>
      </w:r>
      <w:r w:rsidRPr="002872A6">
        <w:rPr>
          <w:rFonts w:asciiTheme="minorHAnsi" w:hAnsiTheme="minorHAnsi" w:cstheme="minorHAnsi"/>
          <w:color w:val="auto"/>
          <w:sz w:val="24"/>
          <w:szCs w:val="24"/>
        </w:rPr>
        <w:t>předpokladu, že je zajištěna dostupnost farmaceuta se</w:t>
      </w:r>
      <w:r>
        <w:rPr>
          <w:rFonts w:asciiTheme="minorHAnsi" w:hAnsiTheme="minorHAnsi" w:cstheme="minorHAnsi"/>
          <w:color w:val="auto"/>
          <w:sz w:val="24"/>
          <w:szCs w:val="24"/>
        </w:rPr>
        <w:t xml:space="preserve"> specializovanou způsobilostí v </w:t>
      </w:r>
      <w:r w:rsidRPr="002872A6">
        <w:rPr>
          <w:rFonts w:asciiTheme="minorHAnsi" w:hAnsiTheme="minorHAnsi" w:cstheme="minorHAnsi"/>
          <w:color w:val="auto"/>
          <w:sz w:val="24"/>
          <w:szCs w:val="24"/>
        </w:rPr>
        <w:t>podobě rady a pomoci telefonickou či elektronickou cestou. A pokud je nutná jeho fyzická přítomnost, tak tato musí být poskytnuta do jedné hodiny od žádosti.</w:t>
      </w:r>
      <w:r w:rsidR="00364FC5" w:rsidRPr="00364FC5">
        <w:rPr>
          <w:rFonts w:asciiTheme="minorHAnsi" w:hAnsiTheme="minorHAnsi" w:cstheme="minorHAnsi"/>
          <w:color w:val="auto"/>
          <w:sz w:val="24"/>
          <w:szCs w:val="24"/>
        </w:rPr>
        <w:t xml:space="preserve">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Toto jsou minimální požadavky na personální obsazení k provozu lékárny, kdy tyto pozice jsou velmi často doplněny dalšími pracovníky, kterými mohou být například sanitář, uklízečka, účetní, administrativní pracovník, nebo technik a správce počítačových sítí. Tyto pozice nejsou v rámci lékárny nutné, avšak jejich zřízení je velkou pomocí pro farmaceuta případně farmaceutického asistenta, kteří díky tomu mohou více času věnovat léčivým přípravkům a především samotným pacientům.</w:t>
      </w:r>
      <w:r w:rsidR="00364FC5" w:rsidRPr="00364FC5">
        <w:rPr>
          <w:rFonts w:asciiTheme="minorHAnsi" w:hAnsiTheme="minorHAnsi" w:cstheme="minorHAnsi"/>
          <w:color w:val="auto"/>
          <w:sz w:val="24"/>
          <w:szCs w:val="24"/>
        </w:rPr>
        <w:t xml:space="preserve">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K výdeji je třeba uvést, že farmaceut vydává všechny druhy léčiv a má kompetenci k vydávání léčiv na lékařský předpis. Dále se jedná o povinnost navažovat návykové látky pro přípravu léčivých přípravků, kterou může </w:t>
      </w:r>
      <w:r w:rsidR="00364FC5">
        <w:rPr>
          <w:rFonts w:asciiTheme="minorHAnsi" w:hAnsiTheme="minorHAnsi" w:cstheme="minorHAnsi"/>
          <w:color w:val="auto"/>
          <w:sz w:val="24"/>
          <w:szCs w:val="24"/>
        </w:rPr>
        <w:t xml:space="preserve">po té </w:t>
      </w:r>
      <w:r w:rsidRPr="002872A6">
        <w:rPr>
          <w:rFonts w:asciiTheme="minorHAnsi" w:hAnsiTheme="minorHAnsi" w:cstheme="minorHAnsi"/>
          <w:color w:val="auto"/>
          <w:sz w:val="24"/>
          <w:szCs w:val="24"/>
        </w:rPr>
        <w:t>provést i farmaceutický asistent.</w:t>
      </w:r>
      <w:r w:rsidR="00B50118">
        <w:rPr>
          <w:rFonts w:asciiTheme="minorHAnsi" w:hAnsiTheme="minorHAnsi" w:cstheme="minorHAnsi"/>
          <w:color w:val="auto"/>
          <w:sz w:val="24"/>
          <w:szCs w:val="24"/>
        </w:rPr>
        <w:t>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Farmaceutický asistent smí vydávat pouze léčiva, která nejsou vázána na lékařský předpis, a dále zdravotnické prostředky. Při přípravě léčivých přípravků může pracovat i s návykovými látkami, ale jak již bylo uvedeno výše, tyto mu musí navažovat farmaceut. U ostatních léčivých a pomocných látek může tyto i sám navažovat.</w:t>
      </w:r>
      <w:r w:rsidR="00364FC5" w:rsidRPr="00364FC5">
        <w:rPr>
          <w:rFonts w:asciiTheme="minorHAnsi" w:hAnsiTheme="minorHAnsi" w:cstheme="minorHAnsi"/>
          <w:color w:val="auto"/>
          <w:sz w:val="24"/>
          <w:szCs w:val="24"/>
        </w:rPr>
        <w:t xml:space="preserve"> </w:t>
      </w:r>
      <w:r w:rsidR="00364FC5" w:rsidRPr="008072E4">
        <w:rPr>
          <w:rFonts w:asciiTheme="minorHAnsi" w:hAnsiTheme="minorHAnsi" w:cstheme="minorHAnsi"/>
          <w:color w:val="auto"/>
          <w:sz w:val="24"/>
          <w:szCs w:val="24"/>
        </w:rPr>
        <w:t>[</w:t>
      </w:r>
      <w:r w:rsidR="00364FC5">
        <w:rPr>
          <w:rFonts w:asciiTheme="minorHAnsi" w:hAnsiTheme="minorHAnsi" w:cstheme="minorHAnsi"/>
          <w:color w:val="auto"/>
          <w:sz w:val="24"/>
          <w:szCs w:val="24"/>
        </w:rPr>
        <w:t>25, 27</w:t>
      </w:r>
      <w:r w:rsidR="00364FC5"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74" w:name="_Toc165990641"/>
      <w:r>
        <w:rPr>
          <w:rFonts w:asciiTheme="minorHAnsi" w:hAnsiTheme="minorHAnsi" w:cstheme="minorHAnsi"/>
          <w:b/>
          <w:color w:val="auto"/>
          <w:sz w:val="28"/>
          <w:szCs w:val="28"/>
        </w:rPr>
        <w:t>Technické a věcné vybavení lékárny</w:t>
      </w:r>
      <w:bookmarkEnd w:id="74"/>
    </w:p>
    <w:p w:rsidR="00294E20"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Technické a věcné vybavení lékárny a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je stanoveno ve vyhlášce číslo</w:t>
      </w:r>
      <w:r w:rsidR="00B50118">
        <w:rPr>
          <w:rFonts w:asciiTheme="minorHAnsi" w:hAnsiTheme="minorHAnsi" w:cstheme="minorHAnsi"/>
          <w:color w:val="auto"/>
          <w:sz w:val="24"/>
          <w:szCs w:val="24"/>
        </w:rPr>
        <w:t> </w:t>
      </w:r>
      <w:r w:rsidRPr="002872A6">
        <w:rPr>
          <w:rFonts w:asciiTheme="minorHAnsi" w:hAnsiTheme="minorHAnsi" w:cstheme="minorHAnsi"/>
          <w:color w:val="auto"/>
          <w:sz w:val="24"/>
          <w:szCs w:val="24"/>
        </w:rPr>
        <w:t>92/2012 Sb., o požadavcích na minimální technické a věcné vybavení zdravotnických zařízení a kontaktních pracovišť domácí péče, a to konkrétně v příloze číslo 5 této vyhlášky, která je zaměřena na zařízení lékárenské péče.</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4A4757"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Touto přílohou jsou stanoveny základní provozní prostory, které musí lékárn</w:t>
      </w:r>
      <w:r w:rsidR="00B50118">
        <w:rPr>
          <w:rFonts w:asciiTheme="minorHAnsi" w:hAnsiTheme="minorHAnsi" w:cstheme="minorHAnsi"/>
          <w:color w:val="auto"/>
          <w:sz w:val="24"/>
          <w:szCs w:val="24"/>
        </w:rPr>
        <w:t>a</w:t>
      </w:r>
      <w:r w:rsidRPr="002872A6">
        <w:rPr>
          <w:rFonts w:asciiTheme="minorHAnsi" w:hAnsiTheme="minorHAnsi" w:cstheme="minorHAnsi"/>
          <w:color w:val="auto"/>
          <w:sz w:val="24"/>
          <w:szCs w:val="24"/>
        </w:rPr>
        <w:t xml:space="preserve"> obsahovat. Jedná se o místnost určenou k přijímání objednaných léčivých přípravků a zdravotnických prostředků, dále místnost určenou pro jejich skladování a samostatnou míst</w:t>
      </w:r>
      <w:r w:rsidR="00703C61">
        <w:rPr>
          <w:rFonts w:asciiTheme="minorHAnsi" w:hAnsiTheme="minorHAnsi" w:cstheme="minorHAnsi"/>
          <w:color w:val="auto"/>
          <w:sz w:val="24"/>
          <w:szCs w:val="24"/>
        </w:rPr>
        <w:t>nost</w:t>
      </w:r>
      <w:r w:rsidRPr="002872A6">
        <w:rPr>
          <w:rFonts w:asciiTheme="minorHAnsi" w:hAnsiTheme="minorHAnsi" w:cstheme="minorHAnsi"/>
          <w:color w:val="auto"/>
          <w:sz w:val="24"/>
          <w:szCs w:val="24"/>
        </w:rPr>
        <w:t xml:space="preserve"> pro jejich výdej, místnost určenou pro přípravu a úpravu léčivých p</w:t>
      </w:r>
      <w:r>
        <w:rPr>
          <w:rFonts w:asciiTheme="minorHAnsi" w:hAnsiTheme="minorHAnsi" w:cstheme="minorHAnsi"/>
          <w:color w:val="auto"/>
          <w:sz w:val="24"/>
          <w:szCs w:val="24"/>
        </w:rPr>
        <w:t>řípravků, a </w:t>
      </w:r>
      <w:r w:rsidR="004A4757">
        <w:rPr>
          <w:rFonts w:asciiTheme="minorHAnsi" w:hAnsiTheme="minorHAnsi" w:cstheme="minorHAnsi"/>
          <w:color w:val="auto"/>
          <w:sz w:val="24"/>
          <w:szCs w:val="24"/>
        </w:rPr>
        <w:t>umývárnu.</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Dále se jedná o základní provozní prostory, k</w:t>
      </w:r>
      <w:r>
        <w:rPr>
          <w:rFonts w:asciiTheme="minorHAnsi" w:hAnsiTheme="minorHAnsi" w:cstheme="minorHAnsi"/>
          <w:color w:val="auto"/>
          <w:sz w:val="24"/>
          <w:szCs w:val="24"/>
        </w:rPr>
        <w:t>teré je potřeba zřídit pouze za </w:t>
      </w:r>
      <w:r w:rsidRPr="002872A6">
        <w:rPr>
          <w:rFonts w:asciiTheme="minorHAnsi" w:hAnsiTheme="minorHAnsi" w:cstheme="minorHAnsi"/>
          <w:color w:val="auto"/>
          <w:sz w:val="24"/>
          <w:szCs w:val="24"/>
        </w:rPr>
        <w:t>předpokladu, že se jimi daná lékárna zabývá v rám</w:t>
      </w:r>
      <w:r>
        <w:rPr>
          <w:rFonts w:asciiTheme="minorHAnsi" w:hAnsiTheme="minorHAnsi" w:cstheme="minorHAnsi"/>
          <w:color w:val="auto"/>
          <w:sz w:val="24"/>
          <w:szCs w:val="24"/>
        </w:rPr>
        <w:t>ci své činnosti. Zde se jedná o </w:t>
      </w:r>
      <w:r w:rsidRPr="002872A6">
        <w:rPr>
          <w:rFonts w:asciiTheme="minorHAnsi" w:hAnsiTheme="minorHAnsi" w:cstheme="minorHAnsi"/>
          <w:color w:val="auto"/>
          <w:sz w:val="24"/>
          <w:szCs w:val="24"/>
        </w:rPr>
        <w:t xml:space="preserve">místnost pro výdej léčivých přípravků a zdravotnických prostředků pro zdravotnická zařízení lůžkové péče, dále místnosti pro přípravu sterilních léčivých přípravků, medicinálních plynů a radiofarmak, a dále pro kontrolu léčivých přípravků, případně pro </w:t>
      </w:r>
      <w:r w:rsidRPr="002872A6">
        <w:rPr>
          <w:rFonts w:asciiTheme="minorHAnsi" w:hAnsiTheme="minorHAnsi" w:cstheme="minorHAnsi"/>
          <w:color w:val="auto"/>
          <w:sz w:val="24"/>
          <w:szCs w:val="24"/>
        </w:rPr>
        <w:lastRenderedPageBreak/>
        <w:t>přípravu zkoumadel. Samostatné prostory také musí být pro poskytování lékových informací, pro konzultační činnost a pro hodnocení účelné terapie.</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rámci lékárny mohou být zřízeny i další dva typy základních provozních prostorů, kterými jsou samostatné pracoviště určené k výdeji zdravotnických prostředků, a dále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Mimo tyto základní provozní prostory musí mít lékárna zřízeny i vedlejší provozní prostory, mezi které patří místnost pro práci farmaceuta, sanitární zařízení pro personál lékárny, a úklidová místnost.</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 rámci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musí být zřízeny následující provozní prostory, kterými je místnost určená k přijímání objednaných léčivých přípravků a zdravotnických prostředků, dále místnost určená pro jejich skladování, dále samostatné místo pro jejich výdej, místnost určenou pro úpravu léčivých přípravků, dále místnost pro práci farmaceuta, sanitární zařízení pro personál lékárny, a úklidovou místnost.</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Vyhláško</w:t>
      </w:r>
      <w:r w:rsidR="00703C61">
        <w:rPr>
          <w:rFonts w:asciiTheme="minorHAnsi" w:hAnsiTheme="minorHAnsi" w:cstheme="minorHAnsi"/>
          <w:color w:val="auto"/>
          <w:sz w:val="24"/>
          <w:szCs w:val="24"/>
        </w:rPr>
        <w:t>u</w:t>
      </w:r>
      <w:r w:rsidRPr="002872A6">
        <w:rPr>
          <w:rFonts w:asciiTheme="minorHAnsi" w:hAnsiTheme="minorHAnsi" w:cstheme="minorHAnsi"/>
          <w:color w:val="auto"/>
          <w:sz w:val="24"/>
          <w:szCs w:val="24"/>
        </w:rPr>
        <w:t xml:space="preserve"> je stanovena povinnost oddělených vstupů pro veřejnost, pro zaměstnance a též pro příjem objednaných léčivých přípravků a zdravotnických prostředků.</w:t>
      </w:r>
      <w:r w:rsidR="00703C61" w:rsidRPr="00703C61">
        <w:rPr>
          <w:rFonts w:asciiTheme="minorHAnsi" w:hAnsiTheme="minorHAnsi" w:cstheme="minorHAnsi"/>
          <w:color w:val="auto"/>
          <w:sz w:val="24"/>
          <w:szCs w:val="24"/>
        </w:rPr>
        <w:t xml:space="preserve"> </w:t>
      </w:r>
      <w:r w:rsidR="00703C61" w:rsidRPr="008072E4">
        <w:rPr>
          <w:rFonts w:asciiTheme="minorHAnsi" w:hAnsiTheme="minorHAnsi" w:cstheme="minorHAnsi"/>
          <w:color w:val="auto"/>
          <w:sz w:val="24"/>
          <w:szCs w:val="24"/>
        </w:rPr>
        <w:t>[</w:t>
      </w:r>
      <w:r w:rsidR="00703C61">
        <w:rPr>
          <w:rFonts w:asciiTheme="minorHAnsi" w:hAnsiTheme="minorHAnsi" w:cstheme="minorHAnsi"/>
          <w:color w:val="auto"/>
          <w:sz w:val="24"/>
          <w:szCs w:val="24"/>
        </w:rPr>
        <w:t>10, 27</w:t>
      </w:r>
      <w:r w:rsidR="00703C6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Vyjma zřízení předepsaných místností a prostor, upravuje tato vyhláška též požadavek na jejich minimální plochu a také konkrétní minimální technické vybavení, kterými je například nábytek pro výkon práce, umyvadl</w:t>
      </w:r>
      <w:r>
        <w:rPr>
          <w:rFonts w:asciiTheme="minorHAnsi" w:hAnsiTheme="minorHAnsi" w:cstheme="minorHAnsi"/>
          <w:color w:val="auto"/>
          <w:sz w:val="24"/>
          <w:szCs w:val="24"/>
        </w:rPr>
        <w:t>o, dřez, digestoř, přístroje na </w:t>
      </w:r>
      <w:r w:rsidRPr="002872A6">
        <w:rPr>
          <w:rFonts w:asciiTheme="minorHAnsi" w:hAnsiTheme="minorHAnsi" w:cstheme="minorHAnsi"/>
          <w:color w:val="auto"/>
          <w:sz w:val="24"/>
          <w:szCs w:val="24"/>
        </w:rPr>
        <w:t>sušení laboratorních nástrojů a obalů, chladničky s danou teplotou, přístroje pro přípravu čištěné vody</w:t>
      </w:r>
      <w:r w:rsidR="00B50118">
        <w:rPr>
          <w:rFonts w:asciiTheme="minorHAnsi" w:hAnsiTheme="minorHAnsi" w:cstheme="minorHAnsi"/>
          <w:color w:val="auto"/>
          <w:sz w:val="24"/>
          <w:szCs w:val="24"/>
        </w:rPr>
        <w:t>,</w:t>
      </w:r>
      <w:r w:rsidR="00B50118" w:rsidRPr="002872A6">
        <w:rPr>
          <w:rFonts w:asciiTheme="minorHAnsi" w:hAnsiTheme="minorHAnsi" w:cstheme="minorHAnsi"/>
          <w:color w:val="auto"/>
          <w:sz w:val="24"/>
          <w:szCs w:val="24"/>
        </w:rPr>
        <w:t xml:space="preserve"> židle pro veřejnost a zkušební box.</w:t>
      </w:r>
      <w:r w:rsidRPr="002872A6">
        <w:rPr>
          <w:rFonts w:asciiTheme="minorHAnsi" w:hAnsiTheme="minorHAnsi" w:cstheme="minorHAnsi"/>
          <w:color w:val="auto"/>
          <w:sz w:val="24"/>
          <w:szCs w:val="24"/>
        </w:rPr>
        <w:t xml:space="preserve"> </w:t>
      </w:r>
      <w:r w:rsidR="00B50118">
        <w:rPr>
          <w:rFonts w:asciiTheme="minorHAnsi" w:hAnsiTheme="minorHAnsi" w:cstheme="minorHAnsi"/>
          <w:color w:val="auto"/>
          <w:sz w:val="24"/>
          <w:szCs w:val="24"/>
        </w:rPr>
        <w:t xml:space="preserve">Dále </w:t>
      </w:r>
      <w:r w:rsidRPr="002872A6">
        <w:rPr>
          <w:rFonts w:asciiTheme="minorHAnsi" w:hAnsiTheme="minorHAnsi" w:cstheme="minorHAnsi"/>
          <w:color w:val="auto"/>
          <w:sz w:val="24"/>
          <w:szCs w:val="24"/>
        </w:rPr>
        <w:t>schránk</w:t>
      </w:r>
      <w:r w:rsidR="00771FD8">
        <w:rPr>
          <w:rFonts w:asciiTheme="minorHAnsi" w:hAnsiTheme="minorHAnsi" w:cstheme="minorHAnsi"/>
          <w:color w:val="auto"/>
          <w:sz w:val="24"/>
          <w:szCs w:val="24"/>
        </w:rPr>
        <w:t>a</w:t>
      </w:r>
      <w:r w:rsidRPr="002872A6">
        <w:rPr>
          <w:rFonts w:asciiTheme="minorHAnsi" w:hAnsiTheme="minorHAnsi" w:cstheme="minorHAnsi"/>
          <w:color w:val="auto"/>
          <w:sz w:val="24"/>
          <w:szCs w:val="24"/>
        </w:rPr>
        <w:t xml:space="preserve"> z kovu, která je</w:t>
      </w:r>
      <w:r w:rsidR="00B50118">
        <w:rPr>
          <w:rFonts w:asciiTheme="minorHAnsi" w:hAnsiTheme="minorHAnsi" w:cstheme="minorHAnsi"/>
          <w:color w:val="auto"/>
          <w:sz w:val="24"/>
          <w:szCs w:val="24"/>
        </w:rPr>
        <w:t> </w:t>
      </w:r>
      <w:r w:rsidRPr="002872A6">
        <w:rPr>
          <w:rFonts w:asciiTheme="minorHAnsi" w:hAnsiTheme="minorHAnsi" w:cstheme="minorHAnsi"/>
          <w:color w:val="auto"/>
          <w:sz w:val="24"/>
          <w:szCs w:val="24"/>
        </w:rPr>
        <w:t>nepřenosná a uzamykatelná pro skladování omamné nebo psychotropní látky, an</w:t>
      </w:r>
      <w:r>
        <w:rPr>
          <w:rFonts w:asciiTheme="minorHAnsi" w:hAnsiTheme="minorHAnsi" w:cstheme="minorHAnsi"/>
          <w:color w:val="auto"/>
          <w:sz w:val="24"/>
          <w:szCs w:val="24"/>
        </w:rPr>
        <w:t>ebo léčivých přípravků které je </w:t>
      </w:r>
      <w:r w:rsidR="00B50118">
        <w:rPr>
          <w:rFonts w:asciiTheme="minorHAnsi" w:hAnsiTheme="minorHAnsi" w:cstheme="minorHAnsi"/>
          <w:color w:val="auto"/>
          <w:sz w:val="24"/>
          <w:szCs w:val="24"/>
        </w:rPr>
        <w:t>obsahují.</w:t>
      </w:r>
      <w:r w:rsidRPr="002872A6">
        <w:rPr>
          <w:rFonts w:asciiTheme="minorHAnsi" w:hAnsiTheme="minorHAnsi" w:cstheme="minorHAnsi"/>
          <w:color w:val="auto"/>
          <w:sz w:val="24"/>
          <w:szCs w:val="24"/>
        </w:rPr>
        <w:t xml:space="preserve"> Toto vše vždy s ohledem na daný typ a výkon činnosti v lékárně.</w:t>
      </w:r>
      <w:r w:rsidR="00F06A37" w:rsidRPr="00F06A37">
        <w:rPr>
          <w:rFonts w:asciiTheme="minorHAnsi" w:hAnsiTheme="minorHAnsi" w:cstheme="minorHAnsi"/>
          <w:color w:val="auto"/>
          <w:sz w:val="24"/>
          <w:szCs w:val="24"/>
        </w:rPr>
        <w:t xml:space="preserve"> </w:t>
      </w:r>
      <w:r w:rsidR="00F06A37" w:rsidRPr="008072E4">
        <w:rPr>
          <w:rFonts w:asciiTheme="minorHAnsi" w:hAnsiTheme="minorHAnsi" w:cstheme="minorHAnsi"/>
          <w:color w:val="auto"/>
          <w:sz w:val="24"/>
          <w:szCs w:val="24"/>
        </w:rPr>
        <w:t>[</w:t>
      </w:r>
      <w:r w:rsidR="00F06A37">
        <w:rPr>
          <w:rFonts w:asciiTheme="minorHAnsi" w:hAnsiTheme="minorHAnsi" w:cstheme="minorHAnsi"/>
          <w:color w:val="auto"/>
          <w:sz w:val="24"/>
          <w:szCs w:val="24"/>
        </w:rPr>
        <w:t>10, 27</w:t>
      </w:r>
      <w:r w:rsidR="00F06A37"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2"/>
        <w:ind w:left="431" w:hanging="431"/>
        <w:rPr>
          <w:rFonts w:asciiTheme="minorHAnsi" w:hAnsiTheme="minorHAnsi" w:cstheme="minorHAnsi"/>
          <w:b/>
          <w:color w:val="auto"/>
          <w:sz w:val="28"/>
          <w:szCs w:val="28"/>
        </w:rPr>
      </w:pPr>
      <w:bookmarkStart w:id="75" w:name="_Toc165990642"/>
      <w:r w:rsidRPr="002872A6">
        <w:rPr>
          <w:rFonts w:asciiTheme="minorHAnsi" w:hAnsiTheme="minorHAnsi" w:cstheme="minorHAnsi"/>
          <w:b/>
          <w:color w:val="auto"/>
          <w:sz w:val="28"/>
          <w:szCs w:val="28"/>
        </w:rPr>
        <w:t>Přehled právní předpisů</w:t>
      </w:r>
      <w:bookmarkEnd w:id="75"/>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spacing w:after="0" w:line="360" w:lineRule="auto"/>
        <w:ind w:firstLine="431"/>
        <w:jc w:val="both"/>
        <w:rPr>
          <w:rFonts w:asciiTheme="minorHAnsi" w:hAnsiTheme="minorHAnsi" w:cstheme="minorHAnsi"/>
          <w:color w:val="auto"/>
        </w:rPr>
      </w:pPr>
      <w:r>
        <w:rPr>
          <w:rFonts w:asciiTheme="minorHAnsi" w:hAnsiTheme="minorHAnsi" w:cstheme="minorHAnsi"/>
          <w:color w:val="auto"/>
          <w:sz w:val="24"/>
          <w:szCs w:val="24"/>
        </w:rPr>
        <w:t>Činnosti SÚKL</w:t>
      </w:r>
      <w:r w:rsidRPr="002872A6">
        <w:rPr>
          <w:rFonts w:asciiTheme="minorHAnsi" w:hAnsiTheme="minorHAnsi" w:cstheme="minorHAnsi"/>
          <w:color w:val="auto"/>
          <w:sz w:val="24"/>
          <w:szCs w:val="24"/>
        </w:rPr>
        <w:t xml:space="preserve"> jsou prováděny vždy na základě a v souladu platnými právními předpisy. </w:t>
      </w:r>
      <w:r>
        <w:rPr>
          <w:rFonts w:asciiTheme="minorHAnsi" w:hAnsiTheme="minorHAnsi" w:cstheme="minorHAnsi"/>
          <w:color w:val="auto"/>
          <w:sz w:val="24"/>
          <w:szCs w:val="24"/>
        </w:rPr>
        <w:t>Níže je uveden p</w:t>
      </w:r>
      <w:r w:rsidRPr="002872A6">
        <w:rPr>
          <w:rFonts w:asciiTheme="minorHAnsi" w:hAnsiTheme="minorHAnsi" w:cstheme="minorHAnsi"/>
          <w:color w:val="auto"/>
          <w:sz w:val="24"/>
          <w:szCs w:val="24"/>
        </w:rPr>
        <w:t xml:space="preserve">řehled </w:t>
      </w:r>
      <w:r>
        <w:rPr>
          <w:rFonts w:asciiTheme="minorHAnsi" w:hAnsiTheme="minorHAnsi" w:cstheme="minorHAnsi"/>
          <w:color w:val="auto"/>
          <w:sz w:val="24"/>
          <w:szCs w:val="24"/>
        </w:rPr>
        <w:t xml:space="preserve">některých </w:t>
      </w:r>
      <w:r w:rsidRPr="002872A6">
        <w:rPr>
          <w:rFonts w:asciiTheme="minorHAnsi" w:hAnsiTheme="minorHAnsi" w:cstheme="minorHAnsi"/>
          <w:color w:val="auto"/>
          <w:sz w:val="24"/>
          <w:szCs w:val="24"/>
        </w:rPr>
        <w:t xml:space="preserve">právních předpisů, které </w:t>
      </w:r>
      <w:r>
        <w:rPr>
          <w:rFonts w:asciiTheme="minorHAnsi" w:hAnsiTheme="minorHAnsi" w:cstheme="minorHAnsi"/>
          <w:color w:val="auto"/>
          <w:sz w:val="24"/>
          <w:szCs w:val="24"/>
        </w:rPr>
        <w:t xml:space="preserve">v daných oblastech přiznávají </w:t>
      </w:r>
      <w:r w:rsidRPr="002872A6">
        <w:rPr>
          <w:rFonts w:asciiTheme="minorHAnsi" w:hAnsiTheme="minorHAnsi" w:cstheme="minorHAnsi"/>
          <w:color w:val="auto"/>
          <w:sz w:val="24"/>
          <w:szCs w:val="24"/>
        </w:rPr>
        <w:t>pracovníků práva, ale také povinnosti.</w:t>
      </w:r>
      <w:r>
        <w:rPr>
          <w:rFonts w:asciiTheme="minorHAnsi" w:hAnsiTheme="minorHAnsi" w:cstheme="minorHAnsi"/>
          <w:color w:val="auto"/>
          <w:sz w:val="24"/>
          <w:szCs w:val="24"/>
        </w:rPr>
        <w:t xml:space="preserve"> Výčet právních předpisů nemůže být taxativní, neboť právní předpisy se mění v souvislosti a v reakci na aktuální stav ve společnosti. Proto jsou zde uvedeny pouze ty nejzákladnější.</w:t>
      </w:r>
    </w:p>
    <w:p w:rsidR="00294E20" w:rsidRPr="00BC3433" w:rsidRDefault="00294E20" w:rsidP="00294E20">
      <w:pPr>
        <w:spacing w:after="0" w:line="360" w:lineRule="auto"/>
        <w:ind w:firstLine="431"/>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V oblas</w:t>
      </w:r>
      <w:r w:rsidRPr="00BC3433">
        <w:rPr>
          <w:rFonts w:asciiTheme="minorHAnsi" w:hAnsiTheme="minorHAnsi" w:cstheme="minorHAnsi"/>
          <w:color w:val="auto"/>
          <w:sz w:val="24"/>
          <w:szCs w:val="24"/>
        </w:rPr>
        <w:t>ti léčiv se jedná o</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378/2007 Sb., o léčivech a o změnách některých souvisejících zákonů;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167/1998 Sb., o návykových látkách a o změně některých dalších zákonů;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372/2011 Sb., o zdravotních službách a podmínkách jejich poskytování;</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272/2013 Sb., o prekursorech drog;</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243/2009 Sb., o stanovení seznamu osob s uvedením jejich pracovišť, pro jejichž činnost se nevyžaduje povolení k zacházení s ná</w:t>
      </w:r>
      <w:r>
        <w:rPr>
          <w:rFonts w:asciiTheme="minorHAnsi" w:hAnsiTheme="minorHAnsi" w:cstheme="minorHAnsi"/>
          <w:color w:val="auto"/>
          <w:sz w:val="24"/>
          <w:szCs w:val="24"/>
        </w:rPr>
        <w:t>vykovými látkami a přípravky je </w:t>
      </w:r>
      <w:r w:rsidRPr="00BC3433">
        <w:rPr>
          <w:rFonts w:asciiTheme="minorHAnsi" w:hAnsiTheme="minorHAnsi" w:cstheme="minorHAnsi"/>
          <w:color w:val="auto"/>
          <w:sz w:val="24"/>
          <w:szCs w:val="24"/>
        </w:rPr>
        <w:t>obsahujícími;</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53/2014 Sb., o tiskopisech formulářů podle zákona o návykových látkách;</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123/2006 Sb., o evidenci a dokumentaci návykových látek a přípravků;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229/2008 Sb., o výrobě a distribuci léčiv;</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228/2008 Sb., o registraci léčivých přípravků;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106/2008 Sb., o správné praxi prodejců vyhrazených léčivých přípravků a o odborném kurzu prodejců vyhrazených léčivých přípravků;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329/2019 Sb., o předepisování léčivých přípravků při poskytování zdravotních služeb;</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xml:space="preserve">- vyhláška číslo 84/2008 Sb., správné lékárenské praxi, </w:t>
      </w:r>
      <w:r>
        <w:rPr>
          <w:rFonts w:asciiTheme="minorHAnsi" w:hAnsiTheme="minorHAnsi" w:cstheme="minorHAnsi"/>
          <w:color w:val="auto"/>
          <w:sz w:val="24"/>
          <w:szCs w:val="24"/>
        </w:rPr>
        <w:t>bližších podmínkách zacházení s </w:t>
      </w:r>
      <w:r w:rsidRPr="00BC3433">
        <w:rPr>
          <w:rFonts w:asciiTheme="minorHAnsi" w:hAnsiTheme="minorHAnsi" w:cstheme="minorHAnsi"/>
          <w:color w:val="auto"/>
          <w:sz w:val="24"/>
          <w:szCs w:val="24"/>
        </w:rPr>
        <w:t>léčivy v lékárnách, zdravotnických zařízeních a u dalších provozovatelů a zařízení vydávajících léčivé přípravky;</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86/2008 Sb., o stanovení zásad správné laboratorní praxe v oblasti léčiv;</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427/2008 Sb., o stanovení výše náhrad výdajů za odborné úkony vykonávané v působnosti Státního ústavu pro kontrolu léčiv a Ústavu pro státní kontrolu veterinárních biopreparátů a léčiv;</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236/2015 Sb., o stanovení podmínek pro předepisování, přípravu, distribuci, výdej a používání individuálně připravovaných léčivých přípravků s obsahem konopí pro léčebné použití</w:t>
      </w:r>
      <w:r>
        <w:rPr>
          <w:rFonts w:asciiTheme="minorHAnsi" w:hAnsiTheme="minorHAnsi" w:cstheme="minorHAnsi"/>
          <w:color w:val="auto"/>
          <w:sz w:val="24"/>
          <w:szCs w:val="24"/>
        </w:rPr>
        <w:t>.</w:t>
      </w:r>
    </w:p>
    <w:p w:rsidR="00294E20" w:rsidRPr="00BC3433" w:rsidRDefault="00294E20" w:rsidP="00294E20">
      <w:pPr>
        <w:spacing w:after="0" w:line="360" w:lineRule="auto"/>
        <w:jc w:val="both"/>
        <w:rPr>
          <w:rFonts w:asciiTheme="minorHAnsi" w:hAnsiTheme="minorHAnsi" w:cstheme="minorHAnsi"/>
          <w:color w:val="auto"/>
          <w:sz w:val="24"/>
          <w:szCs w:val="24"/>
        </w:rPr>
      </w:pPr>
    </w:p>
    <w:p w:rsidR="00294E20" w:rsidRPr="00BC3433" w:rsidRDefault="00294E20" w:rsidP="00294E20">
      <w:pPr>
        <w:spacing w:after="0" w:line="360" w:lineRule="auto"/>
        <w:ind w:firstLine="708"/>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V oblasti ceny a úhrady léčivých přípravků se jedná o</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48/1997 Sb., o veřejném zdravotním pojištění a o změně a doplnění některých souvisejících zákonů;</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265/1991 Sb., o působnosti orgánů České republiky v oblasti cen;</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zákon číslo 526/1990 Sb., o cenách;</w:t>
      </w:r>
    </w:p>
    <w:p w:rsidR="00294E20" w:rsidRPr="00BC3433"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lastRenderedPageBreak/>
        <w:t>- zákon číslo 235/2004 Sb., o dani z přidané hodnoty;</w:t>
      </w:r>
    </w:p>
    <w:p w:rsidR="00294E20"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vyhláška číslo 385/2007 Sb., o stanovení seznamu léčivých látek určených k podpůrné nebo doplňkové léčbě;</w:t>
      </w:r>
    </w:p>
    <w:p w:rsidR="00294E20" w:rsidRPr="00BC3433" w:rsidRDefault="00294E20" w:rsidP="00294E20">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 vyhláška číslo 527/2021 Sb., </w:t>
      </w:r>
      <w:r w:rsidRPr="003F232B">
        <w:rPr>
          <w:rFonts w:asciiTheme="minorHAnsi" w:hAnsiTheme="minorHAnsi" w:cstheme="minorHAnsi"/>
          <w:color w:val="auto"/>
          <w:sz w:val="24"/>
          <w:szCs w:val="24"/>
        </w:rPr>
        <w:t>o stanovení výše ná</w:t>
      </w:r>
      <w:r>
        <w:rPr>
          <w:rFonts w:asciiTheme="minorHAnsi" w:hAnsiTheme="minorHAnsi" w:cstheme="minorHAnsi"/>
          <w:color w:val="auto"/>
          <w:sz w:val="24"/>
          <w:szCs w:val="24"/>
        </w:rPr>
        <w:t>hrady výdajů za odborné úkony a </w:t>
      </w:r>
      <w:r w:rsidRPr="003F232B">
        <w:rPr>
          <w:rFonts w:asciiTheme="minorHAnsi" w:hAnsiTheme="minorHAnsi" w:cstheme="minorHAnsi"/>
          <w:color w:val="auto"/>
          <w:sz w:val="24"/>
          <w:szCs w:val="24"/>
        </w:rPr>
        <w:t>způsobu stanovení výše náhrad výdajů za odborné konzultace prováděné Státním ústavem pro kontrolu léčiv podle zákona o veřejném zdravotním pojištění</w:t>
      </w:r>
      <w:r>
        <w:rPr>
          <w:rFonts w:asciiTheme="minorHAnsi" w:hAnsiTheme="minorHAnsi" w:cstheme="minorHAnsi"/>
          <w:color w:val="auto"/>
          <w:sz w:val="24"/>
          <w:szCs w:val="24"/>
        </w:rPr>
        <w:t>.</w:t>
      </w:r>
    </w:p>
    <w:p w:rsidR="00294E20" w:rsidRDefault="00294E20" w:rsidP="00294E20">
      <w:pPr>
        <w:spacing w:after="0" w:line="360" w:lineRule="auto"/>
        <w:jc w:val="both"/>
        <w:rPr>
          <w:rFonts w:asciiTheme="minorHAnsi" w:hAnsiTheme="minorHAnsi" w:cstheme="minorHAnsi"/>
          <w:color w:val="auto"/>
          <w:sz w:val="24"/>
          <w:szCs w:val="24"/>
        </w:rPr>
      </w:pPr>
    </w:p>
    <w:p w:rsidR="00294E20" w:rsidRPr="00BC3433" w:rsidRDefault="00294E20" w:rsidP="00294E20">
      <w:pPr>
        <w:spacing w:after="0" w:line="360" w:lineRule="auto"/>
        <w:ind w:firstLine="708"/>
        <w:jc w:val="both"/>
        <w:rPr>
          <w:rFonts w:asciiTheme="minorHAnsi" w:hAnsiTheme="minorHAnsi" w:cstheme="minorHAnsi"/>
          <w:color w:val="auto"/>
          <w:sz w:val="24"/>
          <w:szCs w:val="24"/>
        </w:rPr>
      </w:pPr>
      <w:r>
        <w:rPr>
          <w:rFonts w:asciiTheme="minorHAnsi" w:hAnsiTheme="minorHAnsi" w:cstheme="minorHAnsi"/>
          <w:color w:val="auto"/>
          <w:sz w:val="24"/>
          <w:szCs w:val="24"/>
        </w:rPr>
        <w:t>V oblasti reklamy se jedná o</w:t>
      </w:r>
    </w:p>
    <w:p w:rsidR="00294E20" w:rsidRPr="002872A6" w:rsidRDefault="00294E20" w:rsidP="00294E20">
      <w:pPr>
        <w:spacing w:after="0" w:line="360" w:lineRule="auto"/>
        <w:jc w:val="both"/>
        <w:rPr>
          <w:rFonts w:asciiTheme="minorHAnsi" w:hAnsiTheme="minorHAnsi" w:cstheme="minorHAnsi"/>
          <w:color w:val="auto"/>
          <w:sz w:val="24"/>
          <w:szCs w:val="24"/>
        </w:rPr>
      </w:pPr>
      <w:r w:rsidRPr="00BC3433">
        <w:rPr>
          <w:rFonts w:asciiTheme="minorHAnsi" w:hAnsiTheme="minorHAnsi" w:cstheme="minorHAnsi"/>
          <w:color w:val="auto"/>
          <w:sz w:val="24"/>
          <w:szCs w:val="24"/>
        </w:rPr>
        <w:t xml:space="preserve">- zákon číslo 40/1995 Sb., </w:t>
      </w:r>
      <w:r w:rsidRPr="003F232B">
        <w:rPr>
          <w:rFonts w:asciiTheme="minorHAnsi" w:hAnsiTheme="minorHAnsi" w:cstheme="minorHAnsi"/>
          <w:color w:val="auto"/>
          <w:sz w:val="24"/>
          <w:szCs w:val="24"/>
        </w:rPr>
        <w:t>o regulaci reklamy a o změn</w:t>
      </w:r>
      <w:r>
        <w:rPr>
          <w:rFonts w:asciiTheme="minorHAnsi" w:hAnsiTheme="minorHAnsi" w:cstheme="minorHAnsi"/>
          <w:color w:val="auto"/>
          <w:sz w:val="24"/>
          <w:szCs w:val="24"/>
        </w:rPr>
        <w:t>ě a doplnění zákona č. 468/1991 </w:t>
      </w:r>
      <w:r w:rsidRPr="003F232B">
        <w:rPr>
          <w:rFonts w:asciiTheme="minorHAnsi" w:hAnsiTheme="minorHAnsi" w:cstheme="minorHAnsi"/>
          <w:color w:val="auto"/>
          <w:sz w:val="24"/>
          <w:szCs w:val="24"/>
        </w:rPr>
        <w:t>Sb., o provozování rozhlasového a televizního vysílání, ve znění pozdějších předpisů</w:t>
      </w:r>
      <w:r w:rsidR="00B50118">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oblasti zdravotnických prostředků se jedná o</w:t>
      </w:r>
    </w:p>
    <w:p w:rsidR="00294E20" w:rsidRPr="002872A6" w:rsidRDefault="00294E20" w:rsidP="00294E20">
      <w:pPr>
        <w:spacing w:after="0" w:line="360" w:lineRule="auto"/>
        <w:jc w:val="both"/>
        <w:rPr>
          <w:rFonts w:asciiTheme="minorHAnsi" w:hAnsiTheme="minorHAnsi" w:cstheme="minorHAnsi"/>
          <w:color w:val="auto"/>
        </w:rPr>
      </w:pPr>
      <w:r>
        <w:rPr>
          <w:rFonts w:asciiTheme="minorHAnsi" w:hAnsiTheme="minorHAnsi" w:cstheme="minorHAnsi"/>
          <w:color w:val="auto"/>
          <w:sz w:val="24"/>
          <w:szCs w:val="24"/>
        </w:rPr>
        <w:t xml:space="preserve">- zákon číslo 375/2022 Sb., </w:t>
      </w:r>
      <w:r w:rsidRPr="003F232B">
        <w:rPr>
          <w:rFonts w:asciiTheme="minorHAnsi" w:hAnsiTheme="minorHAnsi" w:cstheme="minorHAnsi"/>
          <w:color w:val="auto"/>
          <w:sz w:val="24"/>
          <w:szCs w:val="24"/>
        </w:rPr>
        <w:t>o zdravotnických prostředcích a diagnostických zdravotnických prostředcích in vitro</w:t>
      </w:r>
      <w:r>
        <w:rPr>
          <w:rFonts w:asciiTheme="minorHAnsi" w:hAnsiTheme="minorHAnsi" w:cstheme="minorHAnsi"/>
          <w:color w:val="auto"/>
          <w:sz w:val="24"/>
          <w:szCs w:val="24"/>
        </w:rPr>
        <w:t>;</w:t>
      </w:r>
    </w:p>
    <w:p w:rsidR="00294E20" w:rsidRDefault="00294E20" w:rsidP="00294E20">
      <w:pPr>
        <w:spacing w:after="0" w:line="360" w:lineRule="auto"/>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 zákon číslo 268/2014 Sb., </w:t>
      </w:r>
      <w:r w:rsidRPr="003F232B">
        <w:rPr>
          <w:rFonts w:asciiTheme="minorHAnsi" w:hAnsiTheme="minorHAnsi" w:cstheme="minorHAnsi"/>
          <w:color w:val="auto"/>
          <w:sz w:val="24"/>
          <w:szCs w:val="24"/>
        </w:rPr>
        <w:t>o diagnostických zdravotnických prostředcích in vitro</w:t>
      </w:r>
      <w:r>
        <w:rPr>
          <w:rFonts w:asciiTheme="minorHAnsi" w:hAnsiTheme="minorHAnsi" w:cstheme="minorHAnsi"/>
          <w:color w:val="auto"/>
          <w:sz w:val="24"/>
          <w:szCs w:val="24"/>
        </w:rPr>
        <w:t>;</w:t>
      </w:r>
    </w:p>
    <w:p w:rsidR="00294E20" w:rsidRDefault="00294E20" w:rsidP="00294E20">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 vyhláška číslo 92/2012 Sb., </w:t>
      </w:r>
      <w:r w:rsidRPr="00A27A21">
        <w:rPr>
          <w:rFonts w:asciiTheme="minorHAnsi" w:hAnsiTheme="minorHAnsi" w:cstheme="minorHAnsi"/>
          <w:color w:val="auto"/>
          <w:sz w:val="24"/>
          <w:szCs w:val="24"/>
        </w:rPr>
        <w:t>o požadavcích na minimální technické a věcné vybavení zdravotnických zařízení a kontaktních pracovišť domácí péče</w:t>
      </w:r>
      <w:r>
        <w:rPr>
          <w:rFonts w:asciiTheme="minorHAnsi" w:hAnsiTheme="minorHAnsi" w:cstheme="minorHAnsi"/>
          <w:color w:val="auto"/>
          <w:sz w:val="24"/>
          <w:szCs w:val="24"/>
        </w:rPr>
        <w:t>;</w:t>
      </w:r>
    </w:p>
    <w:p w:rsidR="00294E20" w:rsidRDefault="00294E20" w:rsidP="00294E20">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 vyhláška číslo 379/2022 Sb., </w:t>
      </w:r>
      <w:r w:rsidRPr="003F232B">
        <w:rPr>
          <w:rFonts w:asciiTheme="minorHAnsi" w:hAnsiTheme="minorHAnsi" w:cstheme="minorHAnsi"/>
          <w:color w:val="auto"/>
          <w:sz w:val="24"/>
          <w:szCs w:val="24"/>
        </w:rPr>
        <w:t>o stanovení výše náhrad výdajů za odborné úkony prováděné Státním ústavem pro kontrolu léčiv podle zákona o zdravotnických prostředcích a diagnostických zdravotnických prostředcích in vitro</w:t>
      </w:r>
      <w:r>
        <w:rPr>
          <w:rFonts w:asciiTheme="minorHAnsi" w:hAnsiTheme="minorHAnsi" w:cstheme="minorHAnsi"/>
          <w:color w:val="auto"/>
          <w:sz w:val="24"/>
          <w:szCs w:val="24"/>
        </w:rPr>
        <w:t>;</w:t>
      </w:r>
    </w:p>
    <w:p w:rsidR="00294E20" w:rsidRDefault="00294E20" w:rsidP="00294E20">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 vyhláška číslo 378/2022 Sb., </w:t>
      </w:r>
      <w:r w:rsidRPr="003F232B">
        <w:rPr>
          <w:rFonts w:asciiTheme="minorHAnsi" w:hAnsiTheme="minorHAnsi" w:cstheme="minorHAnsi"/>
          <w:color w:val="auto"/>
          <w:sz w:val="24"/>
          <w:szCs w:val="24"/>
        </w:rPr>
        <w:t>o vzoru průkazu inspektora Státního ústavu pro kontrolu léčiv podle zákona o zdravotnických prostředcích a diagnostických zdravotnických prostředcích in vitro</w:t>
      </w:r>
      <w:r>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Úprava činností SÚKL jakožto správního orgánu je stanovena především </w:t>
      </w:r>
    </w:p>
    <w:p w:rsidR="00294E20" w:rsidRPr="002872A6" w:rsidRDefault="00294E20" w:rsidP="00294E20">
      <w:pPr>
        <w:spacing w:after="0" w:line="360" w:lineRule="auto"/>
        <w:jc w:val="both"/>
        <w:rPr>
          <w:rFonts w:asciiTheme="minorHAnsi" w:hAnsiTheme="minorHAnsi" w:cstheme="minorHAnsi"/>
          <w:color w:val="auto"/>
        </w:rPr>
      </w:pPr>
      <w:r w:rsidRPr="002872A6">
        <w:rPr>
          <w:rFonts w:asciiTheme="minorHAnsi" w:hAnsiTheme="minorHAnsi" w:cstheme="minorHAnsi"/>
          <w:color w:val="auto"/>
          <w:sz w:val="24"/>
          <w:szCs w:val="24"/>
        </w:rPr>
        <w:t>- zákon číslo 500/2004 Sb., správní řád</w:t>
      </w:r>
      <w:r>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zákon číslo 255/2012 Sb., o kontrole;</w:t>
      </w:r>
    </w:p>
    <w:p w:rsidR="00294E20" w:rsidRDefault="00294E20" w:rsidP="00294E20">
      <w:pPr>
        <w:spacing w:after="0" w:line="360" w:lineRule="auto"/>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zákon číslo 106/1999 Sb., o svobodném přístupu k informacím;</w:t>
      </w:r>
    </w:p>
    <w:p w:rsidR="00294E20" w:rsidRPr="002872A6" w:rsidRDefault="00294E20" w:rsidP="00294E20">
      <w:pPr>
        <w:spacing w:after="0" w:line="360" w:lineRule="auto"/>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vyhlášk</w:t>
      </w:r>
      <w:r>
        <w:rPr>
          <w:rFonts w:asciiTheme="minorHAnsi" w:hAnsiTheme="minorHAnsi" w:cstheme="minorHAnsi"/>
          <w:color w:val="auto"/>
          <w:sz w:val="24"/>
          <w:szCs w:val="24"/>
        </w:rPr>
        <w:t>a</w:t>
      </w:r>
      <w:r w:rsidRPr="002872A6">
        <w:rPr>
          <w:rFonts w:asciiTheme="minorHAnsi" w:hAnsiTheme="minorHAnsi" w:cstheme="minorHAnsi"/>
          <w:color w:val="auto"/>
          <w:sz w:val="24"/>
          <w:szCs w:val="24"/>
        </w:rPr>
        <w:t xml:space="preserve"> číslo 515/2020 Sb., </w:t>
      </w:r>
      <w:r w:rsidRPr="00511467">
        <w:rPr>
          <w:rFonts w:asciiTheme="minorHAnsi" w:hAnsiTheme="minorHAnsi" w:cstheme="minorHAnsi"/>
          <w:color w:val="auto"/>
          <w:sz w:val="24"/>
          <w:szCs w:val="24"/>
        </w:rPr>
        <w:t>o struktuře informací zveřejňovaných o povinném subjektu a o osnově popisu úkonů vykonávaných v rámci agendy</w:t>
      </w:r>
      <w:r w:rsidRPr="002872A6">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rPr>
      </w:pPr>
      <w:r w:rsidRPr="002872A6">
        <w:rPr>
          <w:rFonts w:asciiTheme="minorHAnsi" w:hAnsiTheme="minorHAnsi" w:cstheme="minorHAnsi"/>
          <w:color w:val="auto"/>
          <w:sz w:val="24"/>
          <w:szCs w:val="24"/>
        </w:rPr>
        <w:t>- zákon číslo 234/2014 Sb., o státní službě.</w:t>
      </w:r>
      <w:r w:rsidRPr="002872A6">
        <w:rPr>
          <w:rFonts w:asciiTheme="minorHAnsi" w:hAnsiTheme="minorHAnsi" w:cstheme="minorHAnsi"/>
          <w:color w:val="auto"/>
        </w:rPr>
        <w:br w:type="page"/>
      </w:r>
    </w:p>
    <w:p w:rsidR="00294E20" w:rsidRDefault="00294E20" w:rsidP="00294E20">
      <w:pPr>
        <w:pStyle w:val="Nadpis1"/>
        <w:rPr>
          <w:rFonts w:asciiTheme="minorHAnsi" w:hAnsiTheme="minorHAnsi" w:cstheme="minorHAnsi"/>
          <w:b/>
          <w:color w:val="auto"/>
        </w:rPr>
      </w:pPr>
      <w:bookmarkStart w:id="76" w:name="_Toc164078835"/>
      <w:bookmarkStart w:id="77" w:name="_Toc163647374"/>
      <w:bookmarkStart w:id="78" w:name="_Toc163759370"/>
      <w:bookmarkStart w:id="79" w:name="_Toc165990643"/>
      <w:bookmarkEnd w:id="76"/>
      <w:bookmarkEnd w:id="77"/>
      <w:bookmarkEnd w:id="78"/>
      <w:r w:rsidRPr="002872A6">
        <w:rPr>
          <w:rFonts w:asciiTheme="minorHAnsi" w:hAnsiTheme="minorHAnsi" w:cstheme="minorHAnsi"/>
          <w:b/>
          <w:color w:val="auto"/>
        </w:rPr>
        <w:lastRenderedPageBreak/>
        <w:t>Praktická část</w:t>
      </w:r>
      <w:bookmarkStart w:id="80" w:name="_Toc164078836"/>
      <w:bookmarkStart w:id="81" w:name="_Toc163647375"/>
      <w:bookmarkStart w:id="82" w:name="_Toc163759371"/>
      <w:bookmarkEnd w:id="79"/>
      <w:bookmarkEnd w:id="80"/>
      <w:bookmarkEnd w:id="81"/>
      <w:bookmarkEnd w:id="82"/>
    </w:p>
    <w:p w:rsidR="00294E20" w:rsidRPr="00C77801" w:rsidRDefault="00294E20" w:rsidP="00294E20">
      <w:pPr>
        <w:spacing w:after="0" w:line="360" w:lineRule="auto"/>
        <w:rPr>
          <w:rFonts w:asciiTheme="minorHAnsi" w:hAnsiTheme="minorHAnsi" w:cstheme="minorHAnsi"/>
          <w:b/>
          <w:color w:val="auto"/>
          <w:sz w:val="24"/>
          <w:szCs w:val="24"/>
        </w:rPr>
      </w:pPr>
    </w:p>
    <w:p w:rsidR="00294E20" w:rsidRPr="002872A6" w:rsidRDefault="00294E20" w:rsidP="00294E20">
      <w:pPr>
        <w:pStyle w:val="Nadpis2"/>
        <w:ind w:left="567" w:hanging="567"/>
        <w:rPr>
          <w:rFonts w:asciiTheme="minorHAnsi" w:hAnsiTheme="minorHAnsi" w:cstheme="minorHAnsi"/>
          <w:b/>
          <w:color w:val="auto"/>
          <w:sz w:val="28"/>
          <w:szCs w:val="28"/>
        </w:rPr>
      </w:pPr>
      <w:bookmarkStart w:id="83" w:name="_Toc165990644"/>
      <w:r w:rsidRPr="002872A6">
        <w:rPr>
          <w:rFonts w:asciiTheme="minorHAnsi" w:hAnsiTheme="minorHAnsi" w:cstheme="minorHAnsi"/>
          <w:b/>
          <w:color w:val="auto"/>
          <w:sz w:val="28"/>
          <w:szCs w:val="28"/>
        </w:rPr>
        <w:t>Data o kontrole lékáren</w:t>
      </w:r>
      <w:bookmarkEnd w:id="83"/>
    </w:p>
    <w:p w:rsidR="00294E20" w:rsidRPr="00C77801" w:rsidRDefault="00294E20" w:rsidP="00294E20">
      <w:pPr>
        <w:spacing w:after="0" w:line="360" w:lineRule="auto"/>
        <w:rPr>
          <w:rFonts w:asciiTheme="minorHAnsi" w:hAnsiTheme="minorHAnsi" w:cstheme="minorHAnsi"/>
          <w:b/>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84" w:name="_Toc164078837"/>
      <w:bookmarkStart w:id="85" w:name="_Toc163647376"/>
      <w:bookmarkStart w:id="86" w:name="_Toc163759372"/>
      <w:bookmarkStart w:id="87" w:name="_Toc165990645"/>
      <w:bookmarkEnd w:id="84"/>
      <w:bookmarkEnd w:id="85"/>
      <w:bookmarkEnd w:id="86"/>
      <w:r w:rsidRPr="002872A6">
        <w:rPr>
          <w:rFonts w:asciiTheme="minorHAnsi" w:hAnsiTheme="minorHAnsi" w:cstheme="minorHAnsi"/>
          <w:b/>
          <w:color w:val="auto"/>
          <w:sz w:val="28"/>
          <w:szCs w:val="28"/>
        </w:rPr>
        <w:t>Rok 2012</w:t>
      </w:r>
      <w:bookmarkEnd w:id="87"/>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Da</w:t>
      </w:r>
      <w:r w:rsidR="00555F67">
        <w:rPr>
          <w:rFonts w:asciiTheme="minorHAnsi" w:hAnsiTheme="minorHAnsi" w:cstheme="minorHAnsi"/>
          <w:color w:val="auto"/>
          <w:sz w:val="24"/>
          <w:szCs w:val="24"/>
        </w:rPr>
        <w:t>ta pro rok 2012 byla čerpána z v</w:t>
      </w:r>
      <w:r w:rsidRPr="002872A6">
        <w:rPr>
          <w:rFonts w:asciiTheme="minorHAnsi" w:hAnsiTheme="minorHAnsi" w:cstheme="minorHAnsi"/>
          <w:color w:val="auto"/>
          <w:sz w:val="24"/>
          <w:szCs w:val="24"/>
        </w:rPr>
        <w:t xml:space="preserve">ýroční zprávy </w:t>
      </w:r>
      <w:r w:rsidR="00555F67">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2012 vydané SÚKL.</w:t>
      </w:r>
    </w:p>
    <w:p w:rsidR="00555F67"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2012 měl SÚKL v evidenci 2.513 lékáren a 241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Což oproti předchozímu roku bylo navýšení o 65 lékáren, a snížení o 2 </w:t>
      </w:r>
      <w:r>
        <w:rPr>
          <w:rFonts w:asciiTheme="minorHAnsi" w:hAnsiTheme="minorHAnsi" w:cstheme="minorHAnsi"/>
          <w:color w:val="auto"/>
          <w:sz w:val="24"/>
          <w:szCs w:val="24"/>
        </w:rPr>
        <w:t>OOVL</w:t>
      </w:r>
      <w:r w:rsidR="00555F67">
        <w:rPr>
          <w:rFonts w:asciiTheme="minorHAnsi" w:hAnsiTheme="minorHAnsi" w:cstheme="minorHAnsi"/>
          <w:color w:val="auto"/>
          <w:sz w:val="24"/>
          <w:szCs w:val="24"/>
        </w:rPr>
        <w:t>.</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2012 provedl SÚKL celkem 804 inspekcí lék</w:t>
      </w:r>
      <w:r w:rsidR="00555F67">
        <w:rPr>
          <w:rFonts w:asciiTheme="minorHAnsi" w:hAnsiTheme="minorHAnsi" w:cstheme="minorHAnsi"/>
          <w:color w:val="auto"/>
          <w:sz w:val="24"/>
          <w:szCs w:val="24"/>
        </w:rPr>
        <w:t>áren, přičemž v 17 případech to </w:t>
      </w:r>
      <w:r w:rsidRPr="002872A6">
        <w:rPr>
          <w:rFonts w:asciiTheme="minorHAnsi" w:hAnsiTheme="minorHAnsi" w:cstheme="minorHAnsi"/>
          <w:color w:val="auto"/>
          <w:sz w:val="24"/>
          <w:szCs w:val="24"/>
        </w:rPr>
        <w:t>byla kontrola nemocničních lékáren. U 32 provedených kontrol se </w:t>
      </w:r>
      <w:r>
        <w:rPr>
          <w:rFonts w:asciiTheme="minorHAnsi" w:hAnsiTheme="minorHAnsi" w:cstheme="minorHAnsi"/>
          <w:color w:val="auto"/>
          <w:sz w:val="24"/>
          <w:szCs w:val="24"/>
        </w:rPr>
        <w:t>jednalo o kontroly provedené na </w:t>
      </w:r>
      <w:r w:rsidRPr="002872A6">
        <w:rPr>
          <w:rFonts w:asciiTheme="minorHAnsi" w:hAnsiTheme="minorHAnsi" w:cstheme="minorHAnsi"/>
          <w:color w:val="auto"/>
          <w:sz w:val="24"/>
          <w:szCs w:val="24"/>
        </w:rPr>
        <w:t>základně obdrženého podnětu.</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Nad rámec těchto kontrol byla dále provedena kontrola </w:t>
      </w:r>
      <w:r w:rsidR="006961A9">
        <w:rPr>
          <w:rFonts w:asciiTheme="minorHAnsi" w:hAnsiTheme="minorHAnsi" w:cstheme="minorHAnsi"/>
          <w:color w:val="auto"/>
          <w:sz w:val="24"/>
          <w:szCs w:val="24"/>
        </w:rPr>
        <w:t>nad</w:t>
      </w:r>
      <w:r w:rsidRPr="002872A6">
        <w:rPr>
          <w:rFonts w:asciiTheme="minorHAnsi" w:hAnsiTheme="minorHAnsi" w:cstheme="minorHAnsi"/>
          <w:color w:val="auto"/>
          <w:sz w:val="24"/>
          <w:szCs w:val="24"/>
        </w:rPr>
        <w:t xml:space="preserve"> zacházení</w:t>
      </w:r>
      <w:r w:rsidR="00771FD8">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308 lékáren. V tomto případě se u 8 kontrol, jednalo o cílenou kontrolu a v ostatních případech byla kontrola plánována. Dále nad rámec těchto kontrol byla provedena též kontrola na</w:t>
      </w:r>
      <w:r w:rsidR="006961A9">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8B5950">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zákona o cenách a pravidlech cenové regulace, kdy tato byla v tomto roce provedena celkem u 101 lékáren.</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804 kontrol se v 570 případech jednalo </w:t>
      </w:r>
      <w:r w:rsidR="0018336F">
        <w:rPr>
          <w:rFonts w:asciiTheme="minorHAnsi" w:hAnsiTheme="minorHAnsi" w:cstheme="minorHAnsi"/>
          <w:color w:val="auto"/>
          <w:sz w:val="24"/>
          <w:szCs w:val="24"/>
        </w:rPr>
        <w:t xml:space="preserve">o kontrolu bez </w:t>
      </w:r>
      <w:r w:rsidRPr="002872A6">
        <w:rPr>
          <w:rFonts w:asciiTheme="minorHAnsi" w:hAnsiTheme="minorHAnsi" w:cstheme="minorHAnsi"/>
          <w:color w:val="auto"/>
          <w:sz w:val="24"/>
          <w:szCs w:val="24"/>
        </w:rPr>
        <w:t>zjištěných závad</w:t>
      </w:r>
      <w:r w:rsidR="0018336F" w:rsidRPr="0018336F">
        <w:rPr>
          <w:rFonts w:asciiTheme="minorHAnsi" w:hAnsiTheme="minorHAnsi" w:cstheme="minorHAnsi"/>
          <w:color w:val="auto"/>
          <w:sz w:val="24"/>
          <w:szCs w:val="24"/>
        </w:rPr>
        <w:t xml:space="preserve"> </w:t>
      </w:r>
      <w:r w:rsidR="0018336F">
        <w:rPr>
          <w:rFonts w:asciiTheme="minorHAnsi" w:hAnsiTheme="minorHAnsi" w:cstheme="minorHAnsi"/>
          <w:color w:val="auto"/>
          <w:sz w:val="24"/>
          <w:szCs w:val="24"/>
        </w:rPr>
        <w:t xml:space="preserve">případně s </w:t>
      </w:r>
      <w:r w:rsidR="0018336F" w:rsidRPr="002872A6">
        <w:rPr>
          <w:rFonts w:asciiTheme="minorHAnsi" w:hAnsiTheme="minorHAnsi" w:cstheme="minorHAnsi"/>
          <w:color w:val="auto"/>
          <w:sz w:val="24"/>
          <w:szCs w:val="24"/>
        </w:rPr>
        <w:t>drobn</w:t>
      </w:r>
      <w:r w:rsidR="0018336F">
        <w:rPr>
          <w:rFonts w:asciiTheme="minorHAnsi" w:hAnsiTheme="minorHAnsi" w:cstheme="minorHAnsi"/>
          <w:color w:val="auto"/>
          <w:sz w:val="24"/>
          <w:szCs w:val="24"/>
        </w:rPr>
        <w:t>ými</w:t>
      </w:r>
      <w:r w:rsidR="0018336F" w:rsidRPr="002872A6">
        <w:rPr>
          <w:rFonts w:asciiTheme="minorHAnsi" w:hAnsiTheme="minorHAnsi" w:cstheme="minorHAnsi"/>
          <w:color w:val="auto"/>
          <w:sz w:val="24"/>
          <w:szCs w:val="24"/>
        </w:rPr>
        <w:t xml:space="preserve"> závad</w:t>
      </w:r>
      <w:r w:rsidR="0018336F">
        <w:rPr>
          <w:rFonts w:asciiTheme="minorHAnsi" w:hAnsiTheme="minorHAnsi" w:cstheme="minorHAnsi"/>
          <w:color w:val="auto"/>
          <w:sz w:val="24"/>
          <w:szCs w:val="24"/>
        </w:rPr>
        <w:t>ami</w:t>
      </w:r>
      <w:r w:rsidRPr="002872A6">
        <w:rPr>
          <w:rFonts w:asciiTheme="minorHAnsi" w:hAnsiTheme="minorHAnsi" w:cstheme="minorHAnsi"/>
          <w:color w:val="auto"/>
          <w:sz w:val="24"/>
          <w:szCs w:val="24"/>
        </w:rPr>
        <w:t>, u 161 případů se jednalo o významné případně o opakované závady, a u 73 případů se jednalo o</w:t>
      </w:r>
      <w:r w:rsidR="0018336F">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závažné porušení až kritickou závadu. V reakci na </w:t>
      </w:r>
      <w:r w:rsidR="0018336F">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95 pokut v příkazním řízení, u 4 prohřešků došlo k podání návrhu na zahájení správního řízení o uložení pokuty, u 5 prohřešků bylo přistoupeno k pozastavení přípravy léčivých přípravků, a dokonce u 3 prohřešků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Mezi hlavní prohřešky, které byly kontrolou zjištěny, patřilo „</w:t>
      </w:r>
      <w:r w:rsidRPr="002872A6">
        <w:rPr>
          <w:rFonts w:asciiTheme="minorHAnsi" w:hAnsiTheme="minorHAnsi" w:cstheme="minorHAnsi"/>
          <w:i/>
          <w:iCs/>
          <w:color w:val="auto"/>
          <w:sz w:val="24"/>
          <w:szCs w:val="24"/>
        </w:rPr>
        <w:t xml:space="preserve">neposkytování údajů o vydaných léčivých přípravcích formou hlášení, dále výdej léčivých přípravků se závadou v jakosti, příprava z neatestovaných surovin, výdej léčivých přípravků bez lékařského předpisu, nedostatky v kusové evidenci, výdej lékárnou distributorovi, převody léčivých </w:t>
      </w:r>
      <w:r w:rsidRPr="002872A6">
        <w:rPr>
          <w:rFonts w:asciiTheme="minorHAnsi" w:hAnsiTheme="minorHAnsi" w:cstheme="minorHAnsi"/>
          <w:i/>
          <w:iCs/>
          <w:color w:val="auto"/>
          <w:sz w:val="24"/>
          <w:szCs w:val="24"/>
        </w:rPr>
        <w:lastRenderedPageBreak/>
        <w:t>přípravků mezi lékárnami nad rámec zákonných po</w:t>
      </w:r>
      <w:r>
        <w:rPr>
          <w:rFonts w:asciiTheme="minorHAnsi" w:hAnsiTheme="minorHAnsi" w:cstheme="minorHAnsi"/>
          <w:i/>
          <w:iCs/>
          <w:color w:val="auto"/>
          <w:sz w:val="24"/>
          <w:szCs w:val="24"/>
        </w:rPr>
        <w:t>dmínek, nedostatky v provozní a </w:t>
      </w:r>
      <w:r w:rsidRPr="002872A6">
        <w:rPr>
          <w:rFonts w:asciiTheme="minorHAnsi" w:hAnsiTheme="minorHAnsi" w:cstheme="minorHAnsi"/>
          <w:i/>
          <w:iCs/>
          <w:color w:val="auto"/>
          <w:sz w:val="24"/>
          <w:szCs w:val="24"/>
        </w:rPr>
        <w:t>záznamové dokumentaci lékárny“.</w:t>
      </w:r>
      <w:r w:rsidRPr="002872A6">
        <w:rPr>
          <w:rStyle w:val="Ukotvenpoznmkypodarou"/>
          <w:rFonts w:asciiTheme="minorHAnsi" w:hAnsiTheme="minorHAnsi" w:cstheme="minorHAnsi"/>
          <w:i/>
          <w:iCs/>
          <w:color w:val="auto"/>
          <w:sz w:val="24"/>
          <w:szCs w:val="24"/>
        </w:rPr>
        <w:footnoteReference w:id="10"/>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308 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226</w:t>
      </w:r>
      <w:r w:rsidRPr="002872A6">
        <w:rPr>
          <w:rFonts w:asciiTheme="minorHAnsi" w:hAnsiTheme="minorHAnsi" w:cstheme="minorHAnsi"/>
          <w:color w:val="auto"/>
          <w:sz w:val="24"/>
          <w:szCs w:val="24"/>
        </w:rPr>
        <w:t xml:space="preserve"> případech jednalo </w:t>
      </w:r>
      <w:r w:rsidR="0018336F">
        <w:rPr>
          <w:rFonts w:asciiTheme="minorHAnsi" w:hAnsiTheme="minorHAnsi" w:cstheme="minorHAnsi"/>
          <w:color w:val="auto"/>
          <w:sz w:val="24"/>
          <w:szCs w:val="24"/>
        </w:rPr>
        <w:t xml:space="preserve">o kontrolu bez </w:t>
      </w:r>
      <w:r w:rsidR="0018336F" w:rsidRPr="002872A6">
        <w:rPr>
          <w:rFonts w:asciiTheme="minorHAnsi" w:hAnsiTheme="minorHAnsi" w:cstheme="minorHAnsi"/>
          <w:color w:val="auto"/>
          <w:sz w:val="24"/>
          <w:szCs w:val="24"/>
        </w:rPr>
        <w:t>zjištěných závad</w:t>
      </w:r>
      <w:r w:rsidR="0018336F" w:rsidRPr="0018336F">
        <w:rPr>
          <w:rFonts w:asciiTheme="minorHAnsi" w:hAnsiTheme="minorHAnsi" w:cstheme="minorHAnsi"/>
          <w:color w:val="auto"/>
          <w:sz w:val="24"/>
          <w:szCs w:val="24"/>
        </w:rPr>
        <w:t xml:space="preserve"> </w:t>
      </w:r>
      <w:r w:rsidR="0018336F">
        <w:rPr>
          <w:rFonts w:asciiTheme="minorHAnsi" w:hAnsiTheme="minorHAnsi" w:cstheme="minorHAnsi"/>
          <w:color w:val="auto"/>
          <w:sz w:val="24"/>
          <w:szCs w:val="24"/>
        </w:rPr>
        <w:t>případně s </w:t>
      </w:r>
      <w:r w:rsidR="0018336F" w:rsidRPr="002872A6">
        <w:rPr>
          <w:rFonts w:asciiTheme="minorHAnsi" w:hAnsiTheme="minorHAnsi" w:cstheme="minorHAnsi"/>
          <w:color w:val="auto"/>
          <w:sz w:val="24"/>
          <w:szCs w:val="24"/>
        </w:rPr>
        <w:t>drobn</w:t>
      </w:r>
      <w:r w:rsidR="0018336F">
        <w:rPr>
          <w:rFonts w:asciiTheme="minorHAnsi" w:hAnsiTheme="minorHAnsi" w:cstheme="minorHAnsi"/>
          <w:color w:val="auto"/>
          <w:sz w:val="24"/>
          <w:szCs w:val="24"/>
        </w:rPr>
        <w:t>ými</w:t>
      </w:r>
      <w:r w:rsidR="0018336F" w:rsidRPr="002872A6">
        <w:rPr>
          <w:rFonts w:asciiTheme="minorHAnsi" w:hAnsiTheme="minorHAnsi" w:cstheme="minorHAnsi"/>
          <w:color w:val="auto"/>
          <w:sz w:val="24"/>
          <w:szCs w:val="24"/>
        </w:rPr>
        <w:t xml:space="preserve"> závad</w:t>
      </w:r>
      <w:r w:rsidR="0018336F">
        <w:rPr>
          <w:rFonts w:asciiTheme="minorHAnsi" w:hAnsiTheme="minorHAnsi" w:cstheme="minorHAnsi"/>
          <w:color w:val="auto"/>
          <w:sz w:val="24"/>
          <w:szCs w:val="24"/>
        </w:rPr>
        <w:t>ami</w:t>
      </w:r>
      <w:r>
        <w:rPr>
          <w:rFonts w:asciiTheme="minorHAnsi" w:hAnsiTheme="minorHAnsi" w:cstheme="minorHAnsi"/>
          <w:color w:val="auto"/>
          <w:sz w:val="24"/>
          <w:szCs w:val="24"/>
        </w:rPr>
        <w:t>, u 62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20 případů se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 reakci na</w:t>
      </w:r>
      <w:r w:rsidR="000F72C4">
        <w:rPr>
          <w:rFonts w:asciiTheme="minorHAnsi" w:hAnsiTheme="minorHAnsi" w:cstheme="minorHAnsi"/>
          <w:color w:val="auto"/>
          <w:sz w:val="24"/>
          <w:szCs w:val="24"/>
        </w:rPr>
        <w:t> </w:t>
      </w:r>
      <w:r w:rsidR="0018336F">
        <w:rPr>
          <w:rFonts w:asciiTheme="minorHAnsi" w:hAnsiTheme="minorHAnsi" w:cstheme="minorHAnsi"/>
          <w:color w:val="auto"/>
          <w:sz w:val="24"/>
          <w:szCs w:val="24"/>
        </w:rPr>
        <w:t xml:space="preserve">zjištěná </w:t>
      </w:r>
      <w:r w:rsidRPr="002872A6">
        <w:rPr>
          <w:rFonts w:asciiTheme="minorHAnsi" w:hAnsiTheme="minorHAnsi" w:cstheme="minorHAnsi"/>
          <w:color w:val="auto"/>
          <w:sz w:val="24"/>
          <w:szCs w:val="24"/>
        </w:rPr>
        <w:t xml:space="preserve">porušení stanovených právních předpisů, bylo uděleno </w:t>
      </w:r>
      <w:r>
        <w:rPr>
          <w:rFonts w:asciiTheme="minorHAnsi" w:hAnsiTheme="minorHAnsi" w:cstheme="minorHAnsi"/>
          <w:color w:val="auto"/>
          <w:sz w:val="24"/>
          <w:szCs w:val="24"/>
        </w:rPr>
        <w:t>15</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Zde se </w:t>
      </w:r>
      <w:r w:rsidR="0018336F">
        <w:rPr>
          <w:rFonts w:asciiTheme="minorHAnsi" w:hAnsiTheme="minorHAnsi" w:cstheme="minorHAnsi"/>
          <w:color w:val="auto"/>
          <w:sz w:val="24"/>
          <w:szCs w:val="24"/>
        </w:rPr>
        <w:t>jednalo ve 12 případech o </w:t>
      </w:r>
      <w:r w:rsidRPr="002872A6">
        <w:rPr>
          <w:rFonts w:asciiTheme="minorHAnsi" w:hAnsiTheme="minorHAnsi" w:cstheme="minorHAnsi"/>
          <w:color w:val="auto"/>
          <w:sz w:val="24"/>
          <w:szCs w:val="24"/>
        </w:rPr>
        <w:t>nezaslání ročního hláše</w:t>
      </w:r>
      <w:r>
        <w:rPr>
          <w:rFonts w:asciiTheme="minorHAnsi" w:hAnsiTheme="minorHAnsi" w:cstheme="minorHAnsi"/>
          <w:color w:val="auto"/>
          <w:sz w:val="24"/>
          <w:szCs w:val="24"/>
        </w:rPr>
        <w:t>ní o stavu a </w:t>
      </w:r>
      <w:r w:rsidRPr="002872A6">
        <w:rPr>
          <w:rFonts w:asciiTheme="minorHAnsi" w:hAnsiTheme="minorHAnsi" w:cstheme="minorHAnsi"/>
          <w:color w:val="auto"/>
          <w:sz w:val="24"/>
          <w:szCs w:val="24"/>
        </w:rPr>
        <w:t>pohybu návyko</w:t>
      </w:r>
      <w:r w:rsidR="0018336F">
        <w:rPr>
          <w:rFonts w:asciiTheme="minorHAnsi" w:hAnsiTheme="minorHAnsi" w:cstheme="minorHAnsi"/>
          <w:color w:val="auto"/>
          <w:sz w:val="24"/>
          <w:szCs w:val="24"/>
        </w:rPr>
        <w:t>vých látek a přípravků. Zbylé 3 </w:t>
      </w:r>
      <w:r w:rsidRPr="002872A6">
        <w:rPr>
          <w:rFonts w:asciiTheme="minorHAnsi" w:hAnsiTheme="minorHAnsi" w:cstheme="minorHAnsi"/>
          <w:color w:val="auto"/>
          <w:sz w:val="24"/>
          <w:szCs w:val="24"/>
        </w:rPr>
        <w:t>prohřešky se týkaly závažného porušení vedení evidence a dokumentace, případně nesprávně uvedené údaje v ročním hlášení.</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nebyla zjištěna žádná porušení.</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BB1B4D" w:rsidRDefault="00294E20" w:rsidP="00BB1B4D">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227 kontrolních vzorků léčivých přípravků, přičemž u tohoto počtu se ve 124 případech jednalo o léčivé přípravky určené pro magistraliter přípravu</w:t>
      </w:r>
      <w:r w:rsidR="0018336F">
        <w:rPr>
          <w:rFonts w:asciiTheme="minorHAnsi" w:hAnsiTheme="minorHAnsi" w:cstheme="minorHAnsi"/>
          <w:color w:val="auto"/>
          <w:sz w:val="24"/>
          <w:szCs w:val="24"/>
        </w:rPr>
        <w:t xml:space="preserve">, a </w:t>
      </w:r>
      <w:r>
        <w:rPr>
          <w:rFonts w:asciiTheme="minorHAnsi" w:hAnsiTheme="minorHAnsi" w:cstheme="minorHAnsi"/>
          <w:color w:val="auto"/>
          <w:sz w:val="24"/>
          <w:szCs w:val="24"/>
        </w:rPr>
        <w:t>ve</w:t>
      </w:r>
      <w:r w:rsidR="0018336F">
        <w:rPr>
          <w:rFonts w:asciiTheme="minorHAnsi" w:hAnsiTheme="minorHAnsi" w:cstheme="minorHAnsi"/>
          <w:color w:val="auto"/>
          <w:sz w:val="24"/>
          <w:szCs w:val="24"/>
        </w:rPr>
        <w:t xml:space="preserve"> </w:t>
      </w:r>
      <w:r>
        <w:rPr>
          <w:rFonts w:asciiTheme="minorHAnsi" w:hAnsiTheme="minorHAnsi" w:cstheme="minorHAnsi"/>
          <w:color w:val="auto"/>
          <w:sz w:val="24"/>
          <w:szCs w:val="24"/>
        </w:rPr>
        <w:t>103</w:t>
      </w:r>
      <w:r w:rsidR="0018336F">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případech </w:t>
      </w:r>
      <w:r w:rsidR="0018336F">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042918">
        <w:rPr>
          <w:rFonts w:asciiTheme="minorHAnsi" w:hAnsiTheme="minorHAnsi" w:cstheme="minorHAnsi"/>
          <w:color w:val="auto"/>
          <w:sz w:val="24"/>
          <w:szCs w:val="24"/>
        </w:rPr>
        <w:t> </w:t>
      </w:r>
      <w:r>
        <w:rPr>
          <w:rFonts w:asciiTheme="minorHAnsi" w:hAnsiTheme="minorHAnsi" w:cstheme="minorHAnsi"/>
          <w:color w:val="auto"/>
          <w:sz w:val="24"/>
          <w:szCs w:val="24"/>
        </w:rPr>
        <w:t>lékárně</w:t>
      </w:r>
      <w:r w:rsidR="00042918">
        <w:rPr>
          <w:rFonts w:asciiTheme="minorHAnsi" w:hAnsiTheme="minorHAnsi" w:cstheme="minorHAnsi"/>
          <w:color w:val="auto"/>
          <w:sz w:val="24"/>
          <w:szCs w:val="24"/>
        </w:rPr>
        <w:t>. Z</w:t>
      </w:r>
      <w:r>
        <w:rPr>
          <w:rFonts w:asciiTheme="minorHAnsi" w:hAnsiTheme="minorHAnsi" w:cstheme="minorHAnsi"/>
          <w:color w:val="auto"/>
          <w:sz w:val="24"/>
          <w:szCs w:val="24"/>
        </w:rPr>
        <w:t xml:space="preserve"> tohoto počtu byla u </w:t>
      </w:r>
      <w:r w:rsidRPr="002872A6">
        <w:rPr>
          <w:rFonts w:asciiTheme="minorHAnsi" w:hAnsiTheme="minorHAnsi" w:cstheme="minorHAnsi"/>
          <w:color w:val="auto"/>
          <w:sz w:val="24"/>
          <w:szCs w:val="24"/>
        </w:rPr>
        <w:t>5 vzorků zjištěna závada. Jednalo se o závadu v objemu účinné látky, stanovené celkové hmotnosti, a negativní výsledek na zkoušku sterility.</w:t>
      </w:r>
      <w:r w:rsidR="00555F67" w:rsidRPr="00555F67">
        <w:rPr>
          <w:rFonts w:asciiTheme="minorHAnsi" w:hAnsiTheme="minorHAnsi" w:cstheme="minorHAnsi"/>
          <w:color w:val="auto"/>
          <w:sz w:val="24"/>
          <w:szCs w:val="24"/>
        </w:rPr>
        <w:t xml:space="preserve"> </w:t>
      </w:r>
      <w:r w:rsidR="00555F67" w:rsidRPr="008072E4">
        <w:rPr>
          <w:rFonts w:asciiTheme="minorHAnsi" w:hAnsiTheme="minorHAnsi" w:cstheme="minorHAnsi"/>
          <w:color w:val="auto"/>
          <w:sz w:val="24"/>
          <w:szCs w:val="24"/>
        </w:rPr>
        <w:t>[</w:t>
      </w:r>
      <w:r w:rsidR="00555F67">
        <w:rPr>
          <w:rFonts w:asciiTheme="minorHAnsi" w:hAnsiTheme="minorHAnsi" w:cstheme="minorHAnsi"/>
          <w:color w:val="auto"/>
          <w:sz w:val="24"/>
          <w:szCs w:val="24"/>
        </w:rPr>
        <w:t>15</w:t>
      </w:r>
      <w:r w:rsidR="00555F67" w:rsidRPr="008072E4">
        <w:rPr>
          <w:rFonts w:asciiTheme="minorHAnsi" w:hAnsiTheme="minorHAnsi" w:cstheme="minorHAnsi"/>
          <w:color w:val="auto"/>
          <w:sz w:val="24"/>
          <w:szCs w:val="24"/>
        </w:rPr>
        <w:t>]</w:t>
      </w:r>
    </w:p>
    <w:p w:rsidR="00F532EE" w:rsidRDefault="00F532EE" w:rsidP="00BB1B4D">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w:t>
      </w:r>
      <w:r w:rsidR="00BB1B4D">
        <w:rPr>
          <w:rFonts w:asciiTheme="minorHAnsi" w:hAnsiTheme="minorHAnsi" w:cstheme="minorHAnsi"/>
          <w:color w:val="auto"/>
          <w:sz w:val="24"/>
          <w:szCs w:val="24"/>
        </w:rPr>
        <w:t>e zákonem o léčivech</w:t>
      </w:r>
      <w:r>
        <w:rPr>
          <w:rFonts w:asciiTheme="minorHAnsi" w:hAnsiTheme="minorHAnsi" w:cstheme="minorHAnsi"/>
          <w:color w:val="auto"/>
          <w:sz w:val="24"/>
          <w:szCs w:val="24"/>
        </w:rPr>
        <w:t xml:space="preserve">, kdy </w:t>
      </w:r>
      <w:r w:rsidR="005D733E">
        <w:rPr>
          <w:rFonts w:asciiTheme="minorHAnsi" w:hAnsiTheme="minorHAnsi" w:cstheme="minorHAnsi"/>
          <w:color w:val="auto"/>
          <w:sz w:val="24"/>
          <w:szCs w:val="24"/>
        </w:rPr>
        <w:t xml:space="preserve">v jednom případě za zacházení s léčivem bez povolení byla </w:t>
      </w:r>
      <w:r>
        <w:rPr>
          <w:rFonts w:asciiTheme="minorHAnsi" w:hAnsiTheme="minorHAnsi" w:cstheme="minorHAnsi"/>
          <w:color w:val="auto"/>
          <w:sz w:val="24"/>
          <w:szCs w:val="24"/>
        </w:rPr>
        <w:t>uložen</w:t>
      </w:r>
      <w:r w:rsidR="005D733E">
        <w:rPr>
          <w:rFonts w:asciiTheme="minorHAnsi" w:hAnsiTheme="minorHAnsi" w:cstheme="minorHAnsi"/>
          <w:color w:val="auto"/>
          <w:sz w:val="24"/>
          <w:szCs w:val="24"/>
        </w:rPr>
        <w:t>a</w:t>
      </w:r>
      <w:r>
        <w:rPr>
          <w:rFonts w:asciiTheme="minorHAnsi" w:hAnsiTheme="minorHAnsi" w:cstheme="minorHAnsi"/>
          <w:color w:val="auto"/>
          <w:sz w:val="24"/>
          <w:szCs w:val="24"/>
        </w:rPr>
        <w:t xml:space="preserve"> pokut</w:t>
      </w:r>
      <w:r w:rsidR="005D733E">
        <w:rPr>
          <w:rFonts w:asciiTheme="minorHAnsi" w:hAnsiTheme="minorHAnsi" w:cstheme="minorHAnsi"/>
          <w:color w:val="auto"/>
          <w:sz w:val="24"/>
          <w:szCs w:val="24"/>
        </w:rPr>
        <w:t>a</w:t>
      </w:r>
      <w:r>
        <w:rPr>
          <w:rFonts w:asciiTheme="minorHAnsi" w:hAnsiTheme="minorHAnsi" w:cstheme="minorHAnsi"/>
          <w:color w:val="auto"/>
          <w:sz w:val="24"/>
          <w:szCs w:val="24"/>
        </w:rPr>
        <w:t xml:space="preserve"> ve výši </w:t>
      </w:r>
      <w:r w:rsidR="005D733E">
        <w:rPr>
          <w:rFonts w:asciiTheme="minorHAnsi" w:hAnsiTheme="minorHAnsi" w:cstheme="minorHAnsi"/>
          <w:color w:val="auto"/>
          <w:sz w:val="24"/>
          <w:szCs w:val="24"/>
        </w:rPr>
        <w:t>200</w:t>
      </w:r>
      <w:r>
        <w:rPr>
          <w:rFonts w:asciiTheme="minorHAnsi" w:hAnsiTheme="minorHAnsi" w:cstheme="minorHAnsi"/>
          <w:color w:val="auto"/>
          <w:sz w:val="24"/>
          <w:szCs w:val="24"/>
        </w:rPr>
        <w:t>.000,- Kč, přičemž maximální hrozící výše za</w:t>
      </w:r>
      <w:r w:rsidR="009257C4">
        <w:rPr>
          <w:rFonts w:asciiTheme="minorHAnsi" w:hAnsiTheme="minorHAnsi" w:cstheme="minorHAnsi"/>
          <w:color w:val="auto"/>
          <w:sz w:val="24"/>
          <w:szCs w:val="24"/>
        </w:rPr>
        <w:t> </w:t>
      </w:r>
      <w:r>
        <w:rPr>
          <w:rFonts w:asciiTheme="minorHAnsi" w:hAnsiTheme="minorHAnsi" w:cstheme="minorHAnsi"/>
          <w:color w:val="auto"/>
          <w:sz w:val="24"/>
          <w:szCs w:val="24"/>
        </w:rPr>
        <w:t xml:space="preserve">tento </w:t>
      </w:r>
      <w:r w:rsidR="005D733E">
        <w:rPr>
          <w:rFonts w:asciiTheme="minorHAnsi" w:hAnsiTheme="minorHAnsi" w:cstheme="minorHAnsi"/>
          <w:color w:val="auto"/>
          <w:sz w:val="24"/>
          <w:szCs w:val="24"/>
        </w:rPr>
        <w:t>přestupek byla částka 3.000</w:t>
      </w:r>
      <w:r>
        <w:rPr>
          <w:rFonts w:asciiTheme="minorHAnsi" w:hAnsiTheme="minorHAnsi" w:cstheme="minorHAnsi"/>
          <w:color w:val="auto"/>
          <w:sz w:val="24"/>
          <w:szCs w:val="24"/>
        </w:rPr>
        <w:t>.000,- Kč.</w:t>
      </w:r>
      <w:r w:rsidR="00A63DAD">
        <w:rPr>
          <w:rFonts w:asciiTheme="minorHAnsi" w:hAnsiTheme="minorHAnsi" w:cstheme="minorHAnsi"/>
          <w:color w:val="auto"/>
          <w:sz w:val="24"/>
          <w:szCs w:val="24"/>
        </w:rPr>
        <w:t xml:space="preserve"> Toto byla zároveň nejvyšší uložená pokuta v daném roce. </w:t>
      </w:r>
      <w:r w:rsidR="005D733E">
        <w:rPr>
          <w:rFonts w:asciiTheme="minorHAnsi" w:hAnsiTheme="minorHAnsi" w:cstheme="minorHAnsi"/>
          <w:color w:val="auto"/>
          <w:sz w:val="24"/>
          <w:szCs w:val="24"/>
        </w:rPr>
        <w:t>Nejčastěji došlo k neposkytnutí podkladů nezbytných pro sledování spotřeby léčivých přípravků, za což byla ukládána pokuta ve</w:t>
      </w:r>
      <w:r w:rsidR="009257C4">
        <w:rPr>
          <w:rFonts w:asciiTheme="minorHAnsi" w:hAnsiTheme="minorHAnsi" w:cstheme="minorHAnsi"/>
          <w:color w:val="auto"/>
          <w:sz w:val="24"/>
          <w:szCs w:val="24"/>
        </w:rPr>
        <w:t> </w:t>
      </w:r>
      <w:r w:rsidR="005D733E">
        <w:rPr>
          <w:rFonts w:asciiTheme="minorHAnsi" w:hAnsiTheme="minorHAnsi" w:cstheme="minorHAnsi"/>
          <w:color w:val="auto"/>
          <w:sz w:val="24"/>
          <w:szCs w:val="24"/>
        </w:rPr>
        <w:t>výši 10.000,- Kč, přičemž maximální hrozící výše za tento přestupek byla částka 100.000,-</w:t>
      </w:r>
      <w:r w:rsidR="009257C4">
        <w:rPr>
          <w:rFonts w:asciiTheme="minorHAnsi" w:hAnsiTheme="minorHAnsi" w:cstheme="minorHAnsi"/>
          <w:color w:val="auto"/>
          <w:sz w:val="24"/>
          <w:szCs w:val="24"/>
        </w:rPr>
        <w:t> </w:t>
      </w:r>
      <w:r w:rsidR="005D733E">
        <w:rPr>
          <w:rFonts w:asciiTheme="minorHAnsi" w:hAnsiTheme="minorHAnsi" w:cstheme="minorHAnsi"/>
          <w:color w:val="auto"/>
          <w:sz w:val="24"/>
          <w:szCs w:val="24"/>
        </w:rPr>
        <w:t>Kč.</w:t>
      </w:r>
      <w:r w:rsidR="005D733E" w:rsidRPr="008072E4">
        <w:rPr>
          <w:rFonts w:asciiTheme="minorHAnsi" w:hAnsiTheme="minorHAnsi" w:cstheme="minorHAnsi"/>
          <w:color w:val="auto"/>
          <w:sz w:val="24"/>
          <w:szCs w:val="24"/>
        </w:rPr>
        <w:t xml:space="preserve"> </w:t>
      </w:r>
      <w:r w:rsidRPr="008072E4">
        <w:rPr>
          <w:rFonts w:asciiTheme="minorHAnsi" w:hAnsiTheme="minorHAnsi" w:cstheme="minorHAnsi"/>
          <w:color w:val="auto"/>
          <w:sz w:val="24"/>
          <w:szCs w:val="24"/>
        </w:rPr>
        <w:t>[</w:t>
      </w:r>
      <w:r w:rsidR="00AD729B">
        <w:rPr>
          <w:rFonts w:asciiTheme="minorHAnsi" w:hAnsiTheme="minorHAnsi" w:cstheme="minorHAnsi"/>
          <w:color w:val="auto"/>
          <w:sz w:val="24"/>
          <w:szCs w:val="24"/>
        </w:rPr>
        <w:t>3</w:t>
      </w:r>
      <w:r w:rsidR="005D733E">
        <w:rPr>
          <w:rFonts w:asciiTheme="minorHAnsi" w:hAnsiTheme="minorHAnsi" w:cstheme="minorHAnsi"/>
          <w:color w:val="auto"/>
          <w:sz w:val="24"/>
          <w:szCs w:val="24"/>
        </w:rPr>
        <w:t>, 28</w:t>
      </w:r>
      <w:r w:rsidRPr="008072E4">
        <w:rPr>
          <w:rFonts w:asciiTheme="minorHAnsi" w:hAnsiTheme="minorHAnsi" w:cstheme="minorHAnsi"/>
          <w:color w:val="auto"/>
          <w:sz w:val="24"/>
          <w:szCs w:val="24"/>
        </w:rPr>
        <w:t>]</w:t>
      </w:r>
    </w:p>
    <w:p w:rsidR="00294E20" w:rsidRPr="00F532EE" w:rsidRDefault="00294E20" w:rsidP="00294E20">
      <w:pPr>
        <w:spacing w:after="0" w:line="360" w:lineRule="auto"/>
        <w:jc w:val="both"/>
        <w:rPr>
          <w:rFonts w:asciiTheme="minorHAnsi" w:hAnsiTheme="minorHAnsi" w:cstheme="minorHAnsi"/>
          <w:b/>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88" w:name="_Toc164078838"/>
      <w:bookmarkStart w:id="89" w:name="_Toc163647377"/>
      <w:bookmarkStart w:id="90" w:name="_Toc163759373"/>
      <w:bookmarkStart w:id="91" w:name="_Toc165990646"/>
      <w:bookmarkEnd w:id="88"/>
      <w:bookmarkEnd w:id="89"/>
      <w:bookmarkEnd w:id="90"/>
      <w:r w:rsidRPr="002872A6">
        <w:rPr>
          <w:rFonts w:asciiTheme="minorHAnsi" w:hAnsiTheme="minorHAnsi" w:cstheme="minorHAnsi"/>
          <w:b/>
          <w:color w:val="auto"/>
          <w:sz w:val="28"/>
          <w:szCs w:val="28"/>
        </w:rPr>
        <w:lastRenderedPageBreak/>
        <w:t>Rok 2013</w:t>
      </w:r>
      <w:bookmarkEnd w:id="91"/>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2013 byla čerpána z </w:t>
      </w:r>
      <w:r w:rsidR="006961A9">
        <w:rPr>
          <w:rFonts w:asciiTheme="minorHAnsi" w:hAnsiTheme="minorHAnsi" w:cstheme="minorHAnsi"/>
          <w:color w:val="auto"/>
          <w:sz w:val="24"/>
          <w:szCs w:val="24"/>
        </w:rPr>
        <w:t>v</w:t>
      </w:r>
      <w:r w:rsidRPr="002872A6">
        <w:rPr>
          <w:rFonts w:asciiTheme="minorHAnsi" w:hAnsiTheme="minorHAnsi" w:cstheme="minorHAnsi"/>
          <w:color w:val="auto"/>
          <w:sz w:val="24"/>
          <w:szCs w:val="24"/>
        </w:rPr>
        <w:t xml:space="preserve">ýroční zprávy </w:t>
      </w:r>
      <w:r w:rsidR="006961A9">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2013 vydané SÚKL.</w:t>
      </w:r>
    </w:p>
    <w:p w:rsidR="006961A9"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2013 měl SÚKL v evidenci 2.568 lékáren a 248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Což oproti předchozímu roku bylo navýšení o 55 lékáren, a navýšení o 7 </w:t>
      </w:r>
      <w:r>
        <w:rPr>
          <w:rFonts w:asciiTheme="minorHAnsi" w:hAnsiTheme="minorHAnsi" w:cstheme="minorHAnsi"/>
          <w:color w:val="auto"/>
          <w:sz w:val="24"/>
          <w:szCs w:val="24"/>
        </w:rPr>
        <w:t>OOVL</w:t>
      </w:r>
      <w:r w:rsidR="006961A9">
        <w:rPr>
          <w:rFonts w:asciiTheme="minorHAnsi" w:hAnsiTheme="minorHAnsi" w:cstheme="minorHAnsi"/>
          <w:color w:val="auto"/>
          <w:sz w:val="24"/>
          <w:szCs w:val="24"/>
        </w:rPr>
        <w:t>.</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2013 provedl SÚKL celkem 801 inspekcí lé</w:t>
      </w:r>
      <w:r w:rsidR="006961A9">
        <w:rPr>
          <w:rFonts w:asciiTheme="minorHAnsi" w:hAnsiTheme="minorHAnsi" w:cstheme="minorHAnsi"/>
          <w:color w:val="auto"/>
          <w:sz w:val="24"/>
          <w:szCs w:val="24"/>
        </w:rPr>
        <w:t>káren, přičemž v 31 případech to </w:t>
      </w:r>
      <w:r w:rsidRPr="002872A6">
        <w:rPr>
          <w:rFonts w:asciiTheme="minorHAnsi" w:hAnsiTheme="minorHAnsi" w:cstheme="minorHAnsi"/>
          <w:color w:val="auto"/>
          <w:sz w:val="24"/>
          <w:szCs w:val="24"/>
        </w:rPr>
        <w:t>byla kontrola nemocničních lékáren. U 38 provedených kontrol se </w:t>
      </w:r>
      <w:r>
        <w:rPr>
          <w:rFonts w:asciiTheme="minorHAnsi" w:hAnsiTheme="minorHAnsi" w:cstheme="minorHAnsi"/>
          <w:color w:val="auto"/>
          <w:sz w:val="24"/>
          <w:szCs w:val="24"/>
        </w:rPr>
        <w:t>jednalo o kontroly provedené na </w:t>
      </w:r>
      <w:r w:rsidRPr="002872A6">
        <w:rPr>
          <w:rFonts w:asciiTheme="minorHAnsi" w:hAnsiTheme="minorHAnsi" w:cstheme="minorHAnsi"/>
          <w:color w:val="auto"/>
          <w:sz w:val="24"/>
          <w:szCs w:val="24"/>
        </w:rPr>
        <w:t>základně obdrženého podnětu.</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6961A9">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771FD8">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330 lékáren. V tomto případě se u 25 kontrol, jednalo o cílenou kontrolu a v ostatních případech byla kontrola plánována. Dále nad rámec těchto kontrol byla provedena též kontrola na</w:t>
      </w:r>
      <w:r w:rsidR="006961A9">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8B5950">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zákona o cenách a pravidlech cenové regulace, kdy tato byla v tomto roce provedena celkem u 89 lékáren.</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804 kontrol se v 488 případech jednalo </w:t>
      </w:r>
      <w:r w:rsidR="006961A9">
        <w:rPr>
          <w:rFonts w:asciiTheme="minorHAnsi" w:hAnsiTheme="minorHAnsi" w:cstheme="minorHAnsi"/>
          <w:color w:val="auto"/>
          <w:sz w:val="24"/>
          <w:szCs w:val="24"/>
        </w:rPr>
        <w:t xml:space="preserve">o kontrolu bez </w:t>
      </w:r>
      <w:r w:rsidR="006961A9" w:rsidRPr="002872A6">
        <w:rPr>
          <w:rFonts w:asciiTheme="minorHAnsi" w:hAnsiTheme="minorHAnsi" w:cstheme="minorHAnsi"/>
          <w:color w:val="auto"/>
          <w:sz w:val="24"/>
          <w:szCs w:val="24"/>
        </w:rPr>
        <w:t>zjištěných závad</w:t>
      </w:r>
      <w:r w:rsidR="006961A9" w:rsidRPr="0018336F">
        <w:rPr>
          <w:rFonts w:asciiTheme="minorHAnsi" w:hAnsiTheme="minorHAnsi" w:cstheme="minorHAnsi"/>
          <w:color w:val="auto"/>
          <w:sz w:val="24"/>
          <w:szCs w:val="24"/>
        </w:rPr>
        <w:t xml:space="preserve"> </w:t>
      </w:r>
      <w:r w:rsidR="006961A9">
        <w:rPr>
          <w:rFonts w:asciiTheme="minorHAnsi" w:hAnsiTheme="minorHAnsi" w:cstheme="minorHAnsi"/>
          <w:color w:val="auto"/>
          <w:sz w:val="24"/>
          <w:szCs w:val="24"/>
        </w:rPr>
        <w:t>případně s </w:t>
      </w:r>
      <w:r w:rsidR="006961A9" w:rsidRPr="002872A6">
        <w:rPr>
          <w:rFonts w:asciiTheme="minorHAnsi" w:hAnsiTheme="minorHAnsi" w:cstheme="minorHAnsi"/>
          <w:color w:val="auto"/>
          <w:sz w:val="24"/>
          <w:szCs w:val="24"/>
        </w:rPr>
        <w:t>drobn</w:t>
      </w:r>
      <w:r w:rsidR="006961A9">
        <w:rPr>
          <w:rFonts w:asciiTheme="minorHAnsi" w:hAnsiTheme="minorHAnsi" w:cstheme="minorHAnsi"/>
          <w:color w:val="auto"/>
          <w:sz w:val="24"/>
          <w:szCs w:val="24"/>
        </w:rPr>
        <w:t>ými</w:t>
      </w:r>
      <w:r w:rsidR="006961A9" w:rsidRPr="002872A6">
        <w:rPr>
          <w:rFonts w:asciiTheme="minorHAnsi" w:hAnsiTheme="minorHAnsi" w:cstheme="minorHAnsi"/>
          <w:color w:val="auto"/>
          <w:sz w:val="24"/>
          <w:szCs w:val="24"/>
        </w:rPr>
        <w:t xml:space="preserve"> závad</w:t>
      </w:r>
      <w:r w:rsidR="006961A9">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200 případů se jednalo o významné případně o opakované závad</w:t>
      </w:r>
      <w:r w:rsidR="006961A9">
        <w:rPr>
          <w:rFonts w:asciiTheme="minorHAnsi" w:hAnsiTheme="minorHAnsi" w:cstheme="minorHAnsi"/>
          <w:color w:val="auto"/>
          <w:sz w:val="24"/>
          <w:szCs w:val="24"/>
        </w:rPr>
        <w:t>y, a u 113 případů se jednalo o </w:t>
      </w:r>
      <w:r w:rsidRPr="002872A6">
        <w:rPr>
          <w:rFonts w:asciiTheme="minorHAnsi" w:hAnsiTheme="minorHAnsi" w:cstheme="minorHAnsi"/>
          <w:color w:val="auto"/>
          <w:sz w:val="24"/>
          <w:szCs w:val="24"/>
        </w:rPr>
        <w:t xml:space="preserve">závažné porušení až kritickou závadu. V reakci na </w:t>
      </w:r>
      <w:r w:rsidR="006961A9">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38 pokut v příkazním řízení, u 6 prohřešků bylo přistoupeno k pozastavení přípravy léčivých přípravků, a dokonce u 2 prohřešků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„výdej léčivých přípravků bez lékařského předpisu nebo na neplatný předpis, včetně zahraničních, uchovávání a výdej léčivých přípravků, které měly být na základě rozhodnutí držitele rozhodnutí o registraci staženy z oběhu, používání léčivých a pomocných látek k přípravě léčivých přípravků po</w:t>
      </w:r>
      <w:r w:rsidR="00042918">
        <w:rPr>
          <w:rFonts w:asciiTheme="minorHAnsi" w:hAnsiTheme="minorHAnsi" w:cstheme="minorHAnsi"/>
          <w:i/>
          <w:iCs/>
          <w:color w:val="auto"/>
          <w:sz w:val="24"/>
          <w:szCs w:val="24"/>
        </w:rPr>
        <w:t xml:space="preserve"> </w:t>
      </w:r>
      <w:r w:rsidRPr="002872A6">
        <w:rPr>
          <w:rFonts w:asciiTheme="minorHAnsi" w:hAnsiTheme="minorHAnsi" w:cstheme="minorHAnsi"/>
          <w:i/>
          <w:iCs/>
          <w:color w:val="auto"/>
          <w:sz w:val="24"/>
          <w:szCs w:val="24"/>
        </w:rPr>
        <w:t>době jejich použitelnosti nebo bez dokladu o jejich jakost</w:t>
      </w:r>
      <w:r w:rsidR="00771FD8">
        <w:rPr>
          <w:rFonts w:asciiTheme="minorHAnsi" w:hAnsiTheme="minorHAnsi" w:cstheme="minorHAnsi"/>
          <w:i/>
          <w:iCs/>
          <w:color w:val="auto"/>
          <w:sz w:val="24"/>
          <w:szCs w:val="24"/>
        </w:rPr>
        <w:t>i</w:t>
      </w:r>
      <w:r w:rsidRPr="002872A6">
        <w:rPr>
          <w:rFonts w:asciiTheme="minorHAnsi" w:hAnsiTheme="minorHAnsi" w:cstheme="minorHAnsi"/>
          <w:i/>
          <w:iCs/>
          <w:color w:val="auto"/>
          <w:sz w:val="24"/>
          <w:szCs w:val="24"/>
        </w:rPr>
        <w:t xml:space="preserve">, nedostatky v kusové evidenci příjmu a výdeje, provozování lékárny po zrušení jejich registrace, neposkytování údajů o vydaných léčivých přípravcích formou hlášení, nepřítomnosti lékárníka, výdej léčivých přípravků vázaných na lékařský předpis </w:t>
      </w:r>
      <w:r w:rsidRPr="002872A6">
        <w:rPr>
          <w:rFonts w:asciiTheme="minorHAnsi" w:hAnsiTheme="minorHAnsi" w:cstheme="minorHAnsi"/>
          <w:i/>
          <w:iCs/>
          <w:color w:val="auto"/>
          <w:sz w:val="24"/>
          <w:szCs w:val="24"/>
        </w:rPr>
        <w:lastRenderedPageBreak/>
        <w:t>farmaceutickým asistentem, porušování zásad správné lékárenské práce a závažné nedostatky v provozní a záznamové dokumentaci lékárny“.</w:t>
      </w:r>
      <w:r w:rsidRPr="002872A6">
        <w:rPr>
          <w:rStyle w:val="Ukotvenpoznmkypodarou"/>
          <w:rFonts w:asciiTheme="minorHAnsi" w:hAnsiTheme="minorHAnsi" w:cstheme="minorHAnsi"/>
          <w:i/>
          <w:iCs/>
          <w:color w:val="auto"/>
          <w:sz w:val="24"/>
          <w:szCs w:val="24"/>
        </w:rPr>
        <w:footnoteReference w:id="11"/>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330 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244</w:t>
      </w:r>
      <w:r w:rsidRPr="002872A6">
        <w:rPr>
          <w:rFonts w:asciiTheme="minorHAnsi" w:hAnsiTheme="minorHAnsi" w:cstheme="minorHAnsi"/>
          <w:color w:val="auto"/>
          <w:sz w:val="24"/>
          <w:szCs w:val="24"/>
        </w:rPr>
        <w:t xml:space="preserve"> případech jednalo </w:t>
      </w:r>
      <w:r w:rsidR="006961A9">
        <w:rPr>
          <w:rFonts w:asciiTheme="minorHAnsi" w:hAnsiTheme="minorHAnsi" w:cstheme="minorHAnsi"/>
          <w:color w:val="auto"/>
          <w:sz w:val="24"/>
          <w:szCs w:val="24"/>
        </w:rPr>
        <w:t xml:space="preserve">o kontrolu bez </w:t>
      </w:r>
      <w:r w:rsidR="006961A9" w:rsidRPr="002872A6">
        <w:rPr>
          <w:rFonts w:asciiTheme="minorHAnsi" w:hAnsiTheme="minorHAnsi" w:cstheme="minorHAnsi"/>
          <w:color w:val="auto"/>
          <w:sz w:val="24"/>
          <w:szCs w:val="24"/>
        </w:rPr>
        <w:t>zjištěných závad</w:t>
      </w:r>
      <w:r w:rsidR="006961A9" w:rsidRPr="0018336F">
        <w:rPr>
          <w:rFonts w:asciiTheme="minorHAnsi" w:hAnsiTheme="minorHAnsi" w:cstheme="minorHAnsi"/>
          <w:color w:val="auto"/>
          <w:sz w:val="24"/>
          <w:szCs w:val="24"/>
        </w:rPr>
        <w:t xml:space="preserve"> </w:t>
      </w:r>
      <w:r w:rsidR="006961A9">
        <w:rPr>
          <w:rFonts w:asciiTheme="minorHAnsi" w:hAnsiTheme="minorHAnsi" w:cstheme="minorHAnsi"/>
          <w:color w:val="auto"/>
          <w:sz w:val="24"/>
          <w:szCs w:val="24"/>
        </w:rPr>
        <w:t>případně s </w:t>
      </w:r>
      <w:r w:rsidR="006961A9" w:rsidRPr="002872A6">
        <w:rPr>
          <w:rFonts w:asciiTheme="minorHAnsi" w:hAnsiTheme="minorHAnsi" w:cstheme="minorHAnsi"/>
          <w:color w:val="auto"/>
          <w:sz w:val="24"/>
          <w:szCs w:val="24"/>
        </w:rPr>
        <w:t>drobn</w:t>
      </w:r>
      <w:r w:rsidR="006961A9">
        <w:rPr>
          <w:rFonts w:asciiTheme="minorHAnsi" w:hAnsiTheme="minorHAnsi" w:cstheme="minorHAnsi"/>
          <w:color w:val="auto"/>
          <w:sz w:val="24"/>
          <w:szCs w:val="24"/>
        </w:rPr>
        <w:t>ými</w:t>
      </w:r>
      <w:r w:rsidR="006961A9" w:rsidRPr="002872A6">
        <w:rPr>
          <w:rFonts w:asciiTheme="minorHAnsi" w:hAnsiTheme="minorHAnsi" w:cstheme="minorHAnsi"/>
          <w:color w:val="auto"/>
          <w:sz w:val="24"/>
          <w:szCs w:val="24"/>
        </w:rPr>
        <w:t xml:space="preserve"> závad</w:t>
      </w:r>
      <w:r w:rsidR="006961A9">
        <w:rPr>
          <w:rFonts w:asciiTheme="minorHAnsi" w:hAnsiTheme="minorHAnsi" w:cstheme="minorHAnsi"/>
          <w:color w:val="auto"/>
          <w:sz w:val="24"/>
          <w:szCs w:val="24"/>
        </w:rPr>
        <w:t>ami</w:t>
      </w:r>
      <w:r>
        <w:rPr>
          <w:rFonts w:asciiTheme="minorHAnsi" w:hAnsiTheme="minorHAnsi" w:cstheme="minorHAnsi"/>
          <w:color w:val="auto"/>
          <w:sz w:val="24"/>
          <w:szCs w:val="24"/>
        </w:rPr>
        <w:t>, u 48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38</w:t>
      </w:r>
      <w:r w:rsidRPr="002872A6">
        <w:rPr>
          <w:rFonts w:asciiTheme="minorHAnsi" w:hAnsiTheme="minorHAnsi" w:cstheme="minorHAnsi"/>
          <w:color w:val="auto"/>
          <w:sz w:val="24"/>
          <w:szCs w:val="24"/>
        </w:rPr>
        <w:t xml:space="preserve"> 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006961A9">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29</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w:t>
      </w:r>
      <w:r w:rsidRPr="00852F5A">
        <w:rPr>
          <w:rFonts w:asciiTheme="minorHAnsi" w:hAnsiTheme="minorHAnsi" w:cstheme="minorHAnsi"/>
          <w:color w:val="auto"/>
          <w:sz w:val="24"/>
          <w:szCs w:val="24"/>
        </w:rPr>
        <w:t>případně OOVL. Z</w:t>
      </w:r>
      <w:r w:rsidR="00042918">
        <w:rPr>
          <w:rFonts w:asciiTheme="minorHAnsi" w:hAnsiTheme="minorHAnsi" w:cstheme="minorHAnsi"/>
          <w:color w:val="auto"/>
          <w:sz w:val="24"/>
          <w:szCs w:val="24"/>
        </w:rPr>
        <w:t>de se jednalo v 1</w:t>
      </w:r>
      <w:r w:rsidR="00771FD8">
        <w:rPr>
          <w:rFonts w:asciiTheme="minorHAnsi" w:hAnsiTheme="minorHAnsi" w:cstheme="minorHAnsi"/>
          <w:color w:val="auto"/>
          <w:sz w:val="24"/>
          <w:szCs w:val="24"/>
        </w:rPr>
        <w:t>9</w:t>
      </w:r>
      <w:r w:rsidR="00042918">
        <w:rPr>
          <w:rFonts w:asciiTheme="minorHAnsi" w:hAnsiTheme="minorHAnsi" w:cstheme="minorHAnsi"/>
          <w:color w:val="auto"/>
          <w:sz w:val="24"/>
          <w:szCs w:val="24"/>
        </w:rPr>
        <w:t xml:space="preserve"> případech o </w:t>
      </w:r>
      <w:r w:rsidRPr="00852F5A">
        <w:rPr>
          <w:rFonts w:asciiTheme="minorHAnsi" w:hAnsiTheme="minorHAnsi" w:cstheme="minorHAnsi"/>
          <w:color w:val="auto"/>
          <w:sz w:val="24"/>
          <w:szCs w:val="24"/>
        </w:rPr>
        <w:t xml:space="preserve">nezaslání ročního hlášení o stavu </w:t>
      </w:r>
      <w:r w:rsidRPr="00852F5A">
        <w:rPr>
          <w:sz w:val="24"/>
          <w:szCs w:val="24"/>
        </w:rPr>
        <w:t>a pohybu</w:t>
      </w:r>
      <w:r w:rsidRPr="00852F5A">
        <w:rPr>
          <w:rFonts w:asciiTheme="minorHAnsi" w:hAnsiTheme="minorHAnsi" w:cstheme="minorHAnsi"/>
          <w:color w:val="auto"/>
          <w:sz w:val="24"/>
          <w:szCs w:val="24"/>
        </w:rPr>
        <w:t xml:space="preserve"> návykových</w:t>
      </w:r>
      <w:r w:rsidR="00042918">
        <w:rPr>
          <w:rFonts w:asciiTheme="minorHAnsi" w:hAnsiTheme="minorHAnsi" w:cstheme="minorHAnsi"/>
          <w:color w:val="auto"/>
          <w:sz w:val="24"/>
          <w:szCs w:val="24"/>
        </w:rPr>
        <w:t xml:space="preserve"> látek a přípravků. Zbylé </w:t>
      </w:r>
      <w:r w:rsidRPr="002872A6">
        <w:rPr>
          <w:rFonts w:asciiTheme="minorHAnsi" w:hAnsiTheme="minorHAnsi" w:cstheme="minorHAnsi"/>
          <w:color w:val="auto"/>
          <w:sz w:val="24"/>
          <w:szCs w:val="24"/>
        </w:rPr>
        <w:t>prohřešky se týkaly závažného porušení vedení evidence a dokumentace, případně nesprávně uvedené údaje v ročním hlášení.</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45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45</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úřed</w:t>
      </w:r>
      <w:r>
        <w:rPr>
          <w:rFonts w:asciiTheme="minorHAnsi" w:hAnsiTheme="minorHAnsi" w:cstheme="minorHAnsi"/>
          <w:i/>
          <w:iCs/>
          <w:color w:val="auto"/>
          <w:sz w:val="24"/>
          <w:szCs w:val="24"/>
        </w:rPr>
        <w:t>ně stanovené ceny při prodeji a </w:t>
      </w:r>
      <w:r w:rsidRPr="002872A6">
        <w:rPr>
          <w:rFonts w:asciiTheme="minorHAnsi" w:hAnsiTheme="minorHAnsi" w:cstheme="minorHAnsi"/>
          <w:i/>
          <w:iCs/>
          <w:color w:val="auto"/>
          <w:sz w:val="24"/>
          <w:szCs w:val="24"/>
        </w:rPr>
        <w:t>nerespektování podmínek a postupů pro jejich uplatnění stanovených cenovými předpisy Ministerstva zdravotnictví České republiky“</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2"/>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214 kontrolních vzorků léčivých přípravků, přičemž u tohoto počtu se ve 113 případech jednalo o léčivé přípravky určené pro magistraliter přípravu</w:t>
      </w:r>
      <w:r w:rsidR="00042918">
        <w:rPr>
          <w:rFonts w:asciiTheme="minorHAnsi" w:hAnsiTheme="minorHAnsi" w:cstheme="minorHAnsi"/>
          <w:color w:val="auto"/>
          <w:sz w:val="24"/>
          <w:szCs w:val="24"/>
        </w:rPr>
        <w:t>, a</w:t>
      </w:r>
      <w:r w:rsidR="00042918" w:rsidRPr="002872A6">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101</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případech </w:t>
      </w:r>
      <w:r w:rsidR="00042918">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042918">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042918">
        <w:rPr>
          <w:rFonts w:asciiTheme="minorHAnsi" w:hAnsiTheme="minorHAnsi" w:cstheme="minorHAnsi"/>
          <w:color w:val="auto"/>
          <w:sz w:val="24"/>
          <w:szCs w:val="24"/>
        </w:rPr>
        <w:t xml:space="preserve">. Z </w:t>
      </w:r>
      <w:r w:rsidRPr="002872A6">
        <w:rPr>
          <w:rFonts w:asciiTheme="minorHAnsi" w:hAnsiTheme="minorHAnsi" w:cstheme="minorHAnsi"/>
          <w:color w:val="auto"/>
          <w:sz w:val="24"/>
          <w:szCs w:val="24"/>
        </w:rPr>
        <w:t>tohoto počtu byla u 11 vzorků zjištěna závada. Jednalo se o závadu v objemu účinné látky, galenickém zpracování, a negativní výsledek na zkoušku sterility. A dále u 5 vzorků s</w:t>
      </w:r>
      <w:r>
        <w:rPr>
          <w:rFonts w:asciiTheme="minorHAnsi" w:hAnsiTheme="minorHAnsi" w:cstheme="minorHAnsi"/>
          <w:color w:val="auto"/>
          <w:sz w:val="24"/>
          <w:szCs w:val="24"/>
        </w:rPr>
        <w:t>e </w:t>
      </w:r>
      <w:r w:rsidRPr="002872A6">
        <w:rPr>
          <w:rFonts w:asciiTheme="minorHAnsi" w:hAnsiTheme="minorHAnsi" w:cstheme="minorHAnsi"/>
          <w:color w:val="auto"/>
          <w:sz w:val="24"/>
          <w:szCs w:val="24"/>
        </w:rPr>
        <w:t>jednalo o pochybení v označení.</w:t>
      </w:r>
      <w:r w:rsidR="006961A9" w:rsidRPr="006961A9">
        <w:rPr>
          <w:rFonts w:asciiTheme="minorHAnsi" w:hAnsiTheme="minorHAnsi" w:cstheme="minorHAnsi"/>
          <w:color w:val="auto"/>
          <w:sz w:val="24"/>
          <w:szCs w:val="24"/>
        </w:rPr>
        <w:t xml:space="preserve"> </w:t>
      </w:r>
      <w:r w:rsidR="006961A9" w:rsidRPr="008072E4">
        <w:rPr>
          <w:rFonts w:asciiTheme="minorHAnsi" w:hAnsiTheme="minorHAnsi" w:cstheme="minorHAnsi"/>
          <w:color w:val="auto"/>
          <w:sz w:val="24"/>
          <w:szCs w:val="24"/>
        </w:rPr>
        <w:t>[</w:t>
      </w:r>
      <w:r w:rsidR="006961A9">
        <w:rPr>
          <w:rFonts w:asciiTheme="minorHAnsi" w:hAnsiTheme="minorHAnsi" w:cstheme="minorHAnsi"/>
          <w:color w:val="auto"/>
          <w:sz w:val="24"/>
          <w:szCs w:val="24"/>
        </w:rPr>
        <w:t>16</w:t>
      </w:r>
      <w:r w:rsidR="006961A9" w:rsidRPr="008072E4">
        <w:rPr>
          <w:rFonts w:asciiTheme="minorHAnsi" w:hAnsiTheme="minorHAnsi" w:cstheme="minorHAnsi"/>
          <w:color w:val="auto"/>
          <w:sz w:val="24"/>
          <w:szCs w:val="24"/>
        </w:rPr>
        <w:t>]</w:t>
      </w:r>
    </w:p>
    <w:p w:rsidR="005D733E" w:rsidRPr="002872A6" w:rsidRDefault="005D733E" w:rsidP="00DF71BB">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Pro představu byly vyhledány údaje k uloženým pokutám za zjištěná porušení v souvislosti se zákonem o léčivech, kdy v jednom případě za zacházení s léčivem bez </w:t>
      </w:r>
      <w:r>
        <w:rPr>
          <w:rFonts w:asciiTheme="minorHAnsi" w:hAnsiTheme="minorHAnsi" w:cstheme="minorHAnsi"/>
          <w:color w:val="auto"/>
          <w:sz w:val="24"/>
          <w:szCs w:val="24"/>
        </w:rPr>
        <w:lastRenderedPageBreak/>
        <w:t xml:space="preserve">povolení byla uložena pokuta ve výši </w:t>
      </w:r>
      <w:r w:rsidR="009257C4">
        <w:rPr>
          <w:rFonts w:asciiTheme="minorHAnsi" w:hAnsiTheme="minorHAnsi" w:cstheme="minorHAnsi"/>
          <w:color w:val="auto"/>
          <w:sz w:val="24"/>
          <w:szCs w:val="24"/>
        </w:rPr>
        <w:t>3</w:t>
      </w:r>
      <w:r>
        <w:rPr>
          <w:rFonts w:asciiTheme="minorHAnsi" w:hAnsiTheme="minorHAnsi" w:cstheme="minorHAnsi"/>
          <w:color w:val="auto"/>
          <w:sz w:val="24"/>
          <w:szCs w:val="24"/>
        </w:rPr>
        <w:t>00.000,- Kč, přičemž maximální hrozící výše za</w:t>
      </w:r>
      <w:r w:rsidR="009257C4">
        <w:rPr>
          <w:rFonts w:asciiTheme="minorHAnsi" w:hAnsiTheme="minorHAnsi" w:cstheme="minorHAnsi"/>
          <w:color w:val="auto"/>
          <w:sz w:val="24"/>
          <w:szCs w:val="24"/>
        </w:rPr>
        <w:t> </w:t>
      </w:r>
      <w:r>
        <w:rPr>
          <w:rFonts w:asciiTheme="minorHAnsi" w:hAnsiTheme="minorHAnsi" w:cstheme="minorHAnsi"/>
          <w:color w:val="auto"/>
          <w:sz w:val="24"/>
          <w:szCs w:val="24"/>
        </w:rPr>
        <w:t>tento přestupek byla částka 3.000.000,- Kč.</w:t>
      </w:r>
      <w:r w:rsidRPr="00F532EE">
        <w:rPr>
          <w:rFonts w:asciiTheme="minorHAnsi" w:hAnsiTheme="minorHAnsi" w:cstheme="minorHAnsi"/>
          <w:color w:val="auto"/>
          <w:sz w:val="24"/>
          <w:szCs w:val="24"/>
        </w:rPr>
        <w:t xml:space="preserve"> </w:t>
      </w:r>
      <w:r w:rsidR="006B0557">
        <w:rPr>
          <w:rFonts w:asciiTheme="minorHAnsi" w:hAnsiTheme="minorHAnsi" w:cstheme="minorHAnsi"/>
          <w:color w:val="auto"/>
          <w:sz w:val="24"/>
          <w:szCs w:val="24"/>
        </w:rPr>
        <w:t>Velmi často</w:t>
      </w:r>
      <w:r>
        <w:rPr>
          <w:rFonts w:asciiTheme="minorHAnsi" w:hAnsiTheme="minorHAnsi" w:cstheme="minorHAnsi"/>
          <w:color w:val="auto"/>
          <w:sz w:val="24"/>
          <w:szCs w:val="24"/>
        </w:rPr>
        <w:t xml:space="preserve"> došlo k neposkytnutí podkladů nezbytných pro sledování spotřeby léčivých přípravků, za což byla ukládána pokuta ve</w:t>
      </w:r>
      <w:r w:rsidR="009257C4">
        <w:rPr>
          <w:rFonts w:asciiTheme="minorHAnsi" w:hAnsiTheme="minorHAnsi" w:cstheme="minorHAnsi"/>
          <w:color w:val="auto"/>
          <w:sz w:val="24"/>
          <w:szCs w:val="24"/>
        </w:rPr>
        <w:t> </w:t>
      </w:r>
      <w:r>
        <w:rPr>
          <w:rFonts w:asciiTheme="minorHAnsi" w:hAnsiTheme="minorHAnsi" w:cstheme="minorHAnsi"/>
          <w:color w:val="auto"/>
          <w:sz w:val="24"/>
          <w:szCs w:val="24"/>
        </w:rPr>
        <w:t>výši 10.000,- Kč až 30.000,- Kč, přičemž maximální hrozící výše za tento přestupek byla částka 100.000,- Kč.</w:t>
      </w:r>
      <w:r w:rsidRPr="008072E4">
        <w:rPr>
          <w:rFonts w:asciiTheme="minorHAnsi" w:hAnsiTheme="minorHAnsi" w:cstheme="minorHAnsi"/>
          <w:color w:val="auto"/>
          <w:sz w:val="24"/>
          <w:szCs w:val="24"/>
        </w:rPr>
        <w:t xml:space="preserve"> </w:t>
      </w:r>
      <w:r w:rsidR="009257C4">
        <w:rPr>
          <w:rFonts w:asciiTheme="minorHAnsi" w:hAnsiTheme="minorHAnsi" w:cstheme="minorHAnsi"/>
          <w:color w:val="auto"/>
          <w:sz w:val="24"/>
          <w:szCs w:val="24"/>
        </w:rPr>
        <w:t xml:space="preserve">Nejvyšší uložená pokuta v tomto roce byla ve výši </w:t>
      </w:r>
      <w:r>
        <w:rPr>
          <w:rFonts w:asciiTheme="minorHAnsi" w:hAnsiTheme="minorHAnsi" w:cstheme="minorHAnsi"/>
          <w:color w:val="auto"/>
          <w:sz w:val="24"/>
          <w:szCs w:val="24"/>
        </w:rPr>
        <w:t>950.000,-</w:t>
      </w:r>
      <w:r w:rsidR="009257C4">
        <w:rPr>
          <w:rFonts w:asciiTheme="minorHAnsi" w:hAnsiTheme="minorHAnsi" w:cstheme="minorHAnsi"/>
          <w:color w:val="auto"/>
          <w:sz w:val="24"/>
          <w:szCs w:val="24"/>
        </w:rPr>
        <w:t> </w:t>
      </w:r>
      <w:r>
        <w:rPr>
          <w:rFonts w:asciiTheme="minorHAnsi" w:hAnsiTheme="minorHAnsi" w:cstheme="minorHAnsi"/>
          <w:color w:val="auto"/>
          <w:sz w:val="24"/>
          <w:szCs w:val="24"/>
        </w:rPr>
        <w:t>Kč</w:t>
      </w:r>
      <w:r w:rsidR="009257C4">
        <w:rPr>
          <w:rFonts w:asciiTheme="minorHAnsi" w:hAnsiTheme="minorHAnsi" w:cstheme="minorHAnsi"/>
          <w:color w:val="auto"/>
          <w:sz w:val="24"/>
          <w:szCs w:val="24"/>
        </w:rPr>
        <w:t xml:space="preserve"> a byl</w:t>
      </w:r>
      <w:r w:rsidR="005D40B5">
        <w:rPr>
          <w:rFonts w:asciiTheme="minorHAnsi" w:hAnsiTheme="minorHAnsi" w:cstheme="minorHAnsi"/>
          <w:color w:val="auto"/>
          <w:sz w:val="24"/>
          <w:szCs w:val="24"/>
        </w:rPr>
        <w:t>a</w:t>
      </w:r>
      <w:r w:rsidR="009257C4">
        <w:rPr>
          <w:rFonts w:asciiTheme="minorHAnsi" w:hAnsiTheme="minorHAnsi" w:cstheme="minorHAnsi"/>
          <w:color w:val="auto"/>
          <w:sz w:val="24"/>
          <w:szCs w:val="24"/>
        </w:rPr>
        <w:t xml:space="preserve"> to pokuta za vícero porušení.</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AA2E53" w:rsidRDefault="00294E20" w:rsidP="00294E20">
      <w:pPr>
        <w:pStyle w:val="Nadpis3"/>
        <w:ind w:left="505" w:hanging="505"/>
        <w:rPr>
          <w:rFonts w:asciiTheme="minorHAnsi" w:hAnsiTheme="minorHAnsi" w:cstheme="minorHAnsi"/>
          <w:b/>
          <w:color w:val="auto"/>
          <w:sz w:val="28"/>
          <w:szCs w:val="28"/>
        </w:rPr>
      </w:pPr>
      <w:bookmarkStart w:id="92" w:name="_Toc164078839"/>
      <w:bookmarkStart w:id="93" w:name="_Toc163647378"/>
      <w:bookmarkStart w:id="94" w:name="_Toc163759374"/>
      <w:bookmarkStart w:id="95" w:name="_Toc165990647"/>
      <w:bookmarkEnd w:id="92"/>
      <w:bookmarkEnd w:id="93"/>
      <w:bookmarkEnd w:id="94"/>
      <w:r w:rsidRPr="00AA2E53">
        <w:rPr>
          <w:rFonts w:asciiTheme="minorHAnsi" w:hAnsiTheme="minorHAnsi" w:cstheme="minorHAnsi"/>
          <w:b/>
          <w:color w:val="auto"/>
          <w:sz w:val="28"/>
          <w:szCs w:val="28"/>
        </w:rPr>
        <w:t>Rok 2014</w:t>
      </w:r>
      <w:bookmarkEnd w:id="95"/>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2014 byla čerpána z </w:t>
      </w:r>
      <w:r w:rsidR="00667995">
        <w:rPr>
          <w:rFonts w:asciiTheme="minorHAnsi" w:hAnsiTheme="minorHAnsi" w:cstheme="minorHAnsi"/>
          <w:color w:val="auto"/>
          <w:sz w:val="24"/>
          <w:szCs w:val="24"/>
        </w:rPr>
        <w:t>v</w:t>
      </w:r>
      <w:r w:rsidRPr="002872A6">
        <w:rPr>
          <w:rFonts w:asciiTheme="minorHAnsi" w:hAnsiTheme="minorHAnsi" w:cstheme="minorHAnsi"/>
          <w:color w:val="auto"/>
          <w:sz w:val="24"/>
          <w:szCs w:val="24"/>
        </w:rPr>
        <w:t xml:space="preserve">ýroční zprávy </w:t>
      </w:r>
      <w:r w:rsidR="00667995">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2014 vydané SÚKL.</w:t>
      </w:r>
    </w:p>
    <w:p w:rsidR="00667995"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2014 měl SÚKL v evidenci 2.601 lékáren a 253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Což oproti předchozímu roku bylo navýšení o 33 lékáren, a navýšení o 5 </w:t>
      </w:r>
      <w:r>
        <w:rPr>
          <w:rFonts w:asciiTheme="minorHAnsi" w:hAnsiTheme="minorHAnsi" w:cstheme="minorHAnsi"/>
          <w:color w:val="auto"/>
          <w:sz w:val="24"/>
          <w:szCs w:val="24"/>
        </w:rPr>
        <w:t>OOVL</w:t>
      </w:r>
      <w:r w:rsidR="00667995">
        <w:rPr>
          <w:rFonts w:asciiTheme="minorHAnsi" w:hAnsiTheme="minorHAnsi" w:cstheme="minorHAnsi"/>
          <w:color w:val="auto"/>
          <w:sz w:val="24"/>
          <w:szCs w:val="24"/>
        </w:rPr>
        <w:t>.</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2014 provedl SÚKL celkem 883 inspekcí lékáren, přičemž v 19 případech to</w:t>
      </w:r>
      <w:r w:rsidR="00667995">
        <w:rPr>
          <w:rFonts w:asciiTheme="minorHAnsi" w:hAnsiTheme="minorHAnsi" w:cstheme="minorHAnsi"/>
          <w:color w:val="auto"/>
          <w:sz w:val="24"/>
          <w:szCs w:val="24"/>
        </w:rPr>
        <w:t> </w:t>
      </w:r>
      <w:r w:rsidRPr="002872A6">
        <w:rPr>
          <w:rFonts w:asciiTheme="minorHAnsi" w:hAnsiTheme="minorHAnsi" w:cstheme="minorHAnsi"/>
          <w:color w:val="auto"/>
          <w:sz w:val="24"/>
          <w:szCs w:val="24"/>
        </w:rPr>
        <w:t>byla kontrola nemocničních lékáren. U 40 provedených kontrol se </w:t>
      </w:r>
      <w:r>
        <w:rPr>
          <w:rFonts w:asciiTheme="minorHAnsi" w:hAnsiTheme="minorHAnsi" w:cstheme="minorHAnsi"/>
          <w:color w:val="auto"/>
          <w:sz w:val="24"/>
          <w:szCs w:val="24"/>
        </w:rPr>
        <w:t>jednalo o kontroly provedené na </w:t>
      </w:r>
      <w:r w:rsidRPr="002872A6">
        <w:rPr>
          <w:rFonts w:asciiTheme="minorHAnsi" w:hAnsiTheme="minorHAnsi" w:cstheme="minorHAnsi"/>
          <w:color w:val="auto"/>
          <w:sz w:val="24"/>
          <w:szCs w:val="24"/>
        </w:rPr>
        <w:t>základně obdrženého podnětu.</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8B5950">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AD09BD">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402 lékáren. V tomto případě se u 25 kontrol, jednalo o cílenou kontrolu a v ostatních případech byla kontrola plánována. Dále nad rámec těchto kontrol byla provedena též kontrola na</w:t>
      </w:r>
      <w:r w:rsidR="008B5950">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8B5950">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zákona o cenách a pravidlech cenové regulace, kdy tato byla v tomto roce provedena celkem u 84 lékáren, kde se u 3 kontrol jednalo o kontroly provedené na základě obdrženého podnětu.</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883 kontrol se v 508 případech jednalo </w:t>
      </w:r>
      <w:r w:rsidR="00667995">
        <w:rPr>
          <w:rFonts w:asciiTheme="minorHAnsi" w:hAnsiTheme="minorHAnsi" w:cstheme="minorHAnsi"/>
          <w:color w:val="auto"/>
          <w:sz w:val="24"/>
          <w:szCs w:val="24"/>
        </w:rPr>
        <w:t xml:space="preserve">o kontrolu bez </w:t>
      </w:r>
      <w:r w:rsidR="00667995" w:rsidRPr="002872A6">
        <w:rPr>
          <w:rFonts w:asciiTheme="minorHAnsi" w:hAnsiTheme="minorHAnsi" w:cstheme="minorHAnsi"/>
          <w:color w:val="auto"/>
          <w:sz w:val="24"/>
          <w:szCs w:val="24"/>
        </w:rPr>
        <w:t>zjištěných závad</w:t>
      </w:r>
      <w:r w:rsidR="00667995" w:rsidRPr="0018336F">
        <w:rPr>
          <w:rFonts w:asciiTheme="minorHAnsi" w:hAnsiTheme="minorHAnsi" w:cstheme="minorHAnsi"/>
          <w:color w:val="auto"/>
          <w:sz w:val="24"/>
          <w:szCs w:val="24"/>
        </w:rPr>
        <w:t xml:space="preserve"> </w:t>
      </w:r>
      <w:r w:rsidR="00667995">
        <w:rPr>
          <w:rFonts w:asciiTheme="minorHAnsi" w:hAnsiTheme="minorHAnsi" w:cstheme="minorHAnsi"/>
          <w:color w:val="auto"/>
          <w:sz w:val="24"/>
          <w:szCs w:val="24"/>
        </w:rPr>
        <w:t>případně s </w:t>
      </w:r>
      <w:r w:rsidR="00667995" w:rsidRPr="002872A6">
        <w:rPr>
          <w:rFonts w:asciiTheme="minorHAnsi" w:hAnsiTheme="minorHAnsi" w:cstheme="minorHAnsi"/>
          <w:color w:val="auto"/>
          <w:sz w:val="24"/>
          <w:szCs w:val="24"/>
        </w:rPr>
        <w:t>drobn</w:t>
      </w:r>
      <w:r w:rsidR="00667995">
        <w:rPr>
          <w:rFonts w:asciiTheme="minorHAnsi" w:hAnsiTheme="minorHAnsi" w:cstheme="minorHAnsi"/>
          <w:color w:val="auto"/>
          <w:sz w:val="24"/>
          <w:szCs w:val="24"/>
        </w:rPr>
        <w:t>ými</w:t>
      </w:r>
      <w:r w:rsidR="00667995" w:rsidRPr="002872A6">
        <w:rPr>
          <w:rFonts w:asciiTheme="minorHAnsi" w:hAnsiTheme="minorHAnsi" w:cstheme="minorHAnsi"/>
          <w:color w:val="auto"/>
          <w:sz w:val="24"/>
          <w:szCs w:val="24"/>
        </w:rPr>
        <w:t xml:space="preserve"> závad</w:t>
      </w:r>
      <w:r w:rsidR="00667995">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226 případů se jednalo o významné případně o opakované závad</w:t>
      </w:r>
      <w:r w:rsidR="00667995">
        <w:rPr>
          <w:rFonts w:asciiTheme="minorHAnsi" w:hAnsiTheme="minorHAnsi" w:cstheme="minorHAnsi"/>
          <w:color w:val="auto"/>
          <w:sz w:val="24"/>
          <w:szCs w:val="24"/>
        </w:rPr>
        <w:t>y, a u 149 případů se jednalo o </w:t>
      </w:r>
      <w:r w:rsidRPr="002872A6">
        <w:rPr>
          <w:rFonts w:asciiTheme="minorHAnsi" w:hAnsiTheme="minorHAnsi" w:cstheme="minorHAnsi"/>
          <w:color w:val="auto"/>
          <w:sz w:val="24"/>
          <w:szCs w:val="24"/>
        </w:rPr>
        <w:t xml:space="preserve">závažné porušení až kritickou závadu. V reakci na </w:t>
      </w:r>
      <w:r w:rsidR="00667995">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73 pokut v příkazním řízení, u 11 prohřešků bylo přistoupeno k pozastavení přípravy léčivých přípravků, a dokonce u 1 prohřešků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 xml:space="preserve">„výdej léčivých přípravků bez lékařského předpisu nebo na neplatný předpis, včetně zahraničních, nedostatky v kusové evidenci příjmu a výdeje, uchovávání a výdej léčivých přípravků, </w:t>
      </w:r>
      <w:r w:rsidRPr="002872A6">
        <w:rPr>
          <w:rFonts w:asciiTheme="minorHAnsi" w:hAnsiTheme="minorHAnsi" w:cstheme="minorHAnsi"/>
          <w:i/>
          <w:iCs/>
          <w:color w:val="auto"/>
          <w:sz w:val="24"/>
          <w:szCs w:val="24"/>
        </w:rPr>
        <w:lastRenderedPageBreak/>
        <w:t>které měly být na základě rozhodnutí držitele rozhodnutí o registraci staženy z oběhu, používání léčivých a pomocných látek k přípravě léčivých přípravků po</w:t>
      </w:r>
      <w:r w:rsidR="00667995">
        <w:rPr>
          <w:rFonts w:asciiTheme="minorHAnsi" w:hAnsiTheme="minorHAnsi" w:cstheme="minorHAnsi"/>
          <w:i/>
          <w:iCs/>
          <w:color w:val="auto"/>
          <w:sz w:val="24"/>
          <w:szCs w:val="24"/>
        </w:rPr>
        <w:t xml:space="preserve"> </w:t>
      </w:r>
      <w:r w:rsidRPr="002872A6">
        <w:rPr>
          <w:rFonts w:asciiTheme="minorHAnsi" w:hAnsiTheme="minorHAnsi" w:cstheme="minorHAnsi"/>
          <w:i/>
          <w:iCs/>
          <w:color w:val="auto"/>
          <w:sz w:val="24"/>
          <w:szCs w:val="24"/>
        </w:rPr>
        <w:t>době jejich použitelnosti nebo bez dokladu o jejich jakost</w:t>
      </w:r>
      <w:r w:rsidR="00AD09BD">
        <w:rPr>
          <w:rFonts w:asciiTheme="minorHAnsi" w:hAnsiTheme="minorHAnsi" w:cstheme="minorHAnsi"/>
          <w:i/>
          <w:iCs/>
          <w:color w:val="auto"/>
          <w:sz w:val="24"/>
          <w:szCs w:val="24"/>
        </w:rPr>
        <w:t>i</w:t>
      </w:r>
      <w:r w:rsidRPr="002872A6">
        <w:rPr>
          <w:rFonts w:asciiTheme="minorHAnsi" w:hAnsiTheme="minorHAnsi" w:cstheme="minorHAnsi"/>
          <w:i/>
          <w:iCs/>
          <w:color w:val="auto"/>
          <w:sz w:val="24"/>
          <w:szCs w:val="24"/>
        </w:rPr>
        <w:t>, výdej</w:t>
      </w:r>
      <w:r>
        <w:rPr>
          <w:rFonts w:asciiTheme="minorHAnsi" w:hAnsiTheme="minorHAnsi" w:cstheme="minorHAnsi"/>
          <w:i/>
          <w:iCs/>
          <w:color w:val="auto"/>
          <w:sz w:val="24"/>
          <w:szCs w:val="24"/>
        </w:rPr>
        <w:t xml:space="preserve"> léčivých přípravků vázaných na </w:t>
      </w:r>
      <w:r w:rsidRPr="002872A6">
        <w:rPr>
          <w:rFonts w:asciiTheme="minorHAnsi" w:hAnsiTheme="minorHAnsi" w:cstheme="minorHAnsi"/>
          <w:i/>
          <w:iCs/>
          <w:color w:val="auto"/>
          <w:sz w:val="24"/>
          <w:szCs w:val="24"/>
        </w:rPr>
        <w:t>lékařský předpis farmaceutickým asistentem, porušování zásad správné lékárenské práce a závažné nedostatky v provozní a záznamové dokumentaci lékárny“.</w:t>
      </w:r>
      <w:r w:rsidRPr="002872A6">
        <w:rPr>
          <w:rStyle w:val="Ukotvenpoznmkypodarou"/>
          <w:rFonts w:asciiTheme="minorHAnsi" w:hAnsiTheme="minorHAnsi" w:cstheme="minorHAnsi"/>
          <w:i/>
          <w:iCs/>
          <w:color w:val="auto"/>
          <w:sz w:val="24"/>
          <w:szCs w:val="24"/>
        </w:rPr>
        <w:footnoteReference w:id="13"/>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402 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279</w:t>
      </w:r>
      <w:r w:rsidRPr="002872A6">
        <w:rPr>
          <w:rFonts w:asciiTheme="minorHAnsi" w:hAnsiTheme="minorHAnsi" w:cstheme="minorHAnsi"/>
          <w:color w:val="auto"/>
          <w:sz w:val="24"/>
          <w:szCs w:val="24"/>
        </w:rPr>
        <w:t xml:space="preserve"> případech jednalo </w:t>
      </w:r>
      <w:r w:rsidR="00667995">
        <w:rPr>
          <w:rFonts w:asciiTheme="minorHAnsi" w:hAnsiTheme="minorHAnsi" w:cstheme="minorHAnsi"/>
          <w:color w:val="auto"/>
          <w:sz w:val="24"/>
          <w:szCs w:val="24"/>
        </w:rPr>
        <w:t xml:space="preserve">o kontrolu bez </w:t>
      </w:r>
      <w:r w:rsidR="00667995" w:rsidRPr="002872A6">
        <w:rPr>
          <w:rFonts w:asciiTheme="minorHAnsi" w:hAnsiTheme="minorHAnsi" w:cstheme="minorHAnsi"/>
          <w:color w:val="auto"/>
          <w:sz w:val="24"/>
          <w:szCs w:val="24"/>
        </w:rPr>
        <w:t>zjištěných závad</w:t>
      </w:r>
      <w:r w:rsidR="00667995" w:rsidRPr="0018336F">
        <w:rPr>
          <w:rFonts w:asciiTheme="minorHAnsi" w:hAnsiTheme="minorHAnsi" w:cstheme="minorHAnsi"/>
          <w:color w:val="auto"/>
          <w:sz w:val="24"/>
          <w:szCs w:val="24"/>
        </w:rPr>
        <w:t xml:space="preserve"> </w:t>
      </w:r>
      <w:r w:rsidR="00667995">
        <w:rPr>
          <w:rFonts w:asciiTheme="minorHAnsi" w:hAnsiTheme="minorHAnsi" w:cstheme="minorHAnsi"/>
          <w:color w:val="auto"/>
          <w:sz w:val="24"/>
          <w:szCs w:val="24"/>
        </w:rPr>
        <w:t>případně s </w:t>
      </w:r>
      <w:r w:rsidR="00667995" w:rsidRPr="002872A6">
        <w:rPr>
          <w:rFonts w:asciiTheme="minorHAnsi" w:hAnsiTheme="minorHAnsi" w:cstheme="minorHAnsi"/>
          <w:color w:val="auto"/>
          <w:sz w:val="24"/>
          <w:szCs w:val="24"/>
        </w:rPr>
        <w:t>drobn</w:t>
      </w:r>
      <w:r w:rsidR="00667995">
        <w:rPr>
          <w:rFonts w:asciiTheme="minorHAnsi" w:hAnsiTheme="minorHAnsi" w:cstheme="minorHAnsi"/>
          <w:color w:val="auto"/>
          <w:sz w:val="24"/>
          <w:szCs w:val="24"/>
        </w:rPr>
        <w:t>ými</w:t>
      </w:r>
      <w:r w:rsidR="00667995" w:rsidRPr="002872A6">
        <w:rPr>
          <w:rFonts w:asciiTheme="minorHAnsi" w:hAnsiTheme="minorHAnsi" w:cstheme="minorHAnsi"/>
          <w:color w:val="auto"/>
          <w:sz w:val="24"/>
          <w:szCs w:val="24"/>
        </w:rPr>
        <w:t xml:space="preserve"> závad</w:t>
      </w:r>
      <w:r w:rsidR="00667995">
        <w:rPr>
          <w:rFonts w:asciiTheme="minorHAnsi" w:hAnsiTheme="minorHAnsi" w:cstheme="minorHAnsi"/>
          <w:color w:val="auto"/>
          <w:sz w:val="24"/>
          <w:szCs w:val="24"/>
        </w:rPr>
        <w:t>ami</w:t>
      </w:r>
      <w:r>
        <w:rPr>
          <w:rFonts w:asciiTheme="minorHAnsi" w:hAnsiTheme="minorHAnsi" w:cstheme="minorHAnsi"/>
          <w:color w:val="auto"/>
          <w:sz w:val="24"/>
          <w:szCs w:val="24"/>
        </w:rPr>
        <w:t>, u 92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31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00667995">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32</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bookmarkStart w:id="96" w:name="__DdeLink__1089_1382740512"/>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jednalo o nezaslání ročního hlášení o st</w:t>
      </w:r>
      <w:r>
        <w:rPr>
          <w:rFonts w:asciiTheme="minorHAnsi" w:hAnsiTheme="minorHAnsi" w:cstheme="minorHAnsi"/>
          <w:color w:val="auto"/>
          <w:sz w:val="24"/>
          <w:szCs w:val="24"/>
        </w:rPr>
        <w:t>avu a pohybu návykových látek a </w:t>
      </w:r>
      <w:r w:rsidRPr="002872A6">
        <w:rPr>
          <w:rFonts w:asciiTheme="minorHAnsi" w:hAnsiTheme="minorHAnsi" w:cstheme="minorHAnsi"/>
          <w:color w:val="auto"/>
          <w:sz w:val="24"/>
          <w:szCs w:val="24"/>
        </w:rPr>
        <w:t>přípravků ve stanoveném termínu, uvedení nespráv</w:t>
      </w:r>
      <w:r>
        <w:rPr>
          <w:rFonts w:asciiTheme="minorHAnsi" w:hAnsiTheme="minorHAnsi" w:cstheme="minorHAnsi"/>
          <w:color w:val="auto"/>
          <w:sz w:val="24"/>
          <w:szCs w:val="24"/>
        </w:rPr>
        <w:t>ného případně neúplného údaje v </w:t>
      </w:r>
      <w:r w:rsidRPr="002872A6">
        <w:rPr>
          <w:rFonts w:asciiTheme="minorHAnsi" w:hAnsiTheme="minorHAnsi" w:cstheme="minorHAnsi"/>
          <w:color w:val="auto"/>
          <w:sz w:val="24"/>
          <w:szCs w:val="24"/>
        </w:rPr>
        <w:t>hlášení, a též porušení týkající se závaž</w:t>
      </w:r>
      <w:r>
        <w:rPr>
          <w:rFonts w:asciiTheme="minorHAnsi" w:hAnsiTheme="minorHAnsi" w:cstheme="minorHAnsi"/>
          <w:color w:val="auto"/>
          <w:sz w:val="24"/>
          <w:szCs w:val="24"/>
        </w:rPr>
        <w:t>ného porušení vedení evidence a </w:t>
      </w:r>
      <w:r w:rsidRPr="002872A6">
        <w:rPr>
          <w:rFonts w:asciiTheme="minorHAnsi" w:hAnsiTheme="minorHAnsi" w:cstheme="minorHAnsi"/>
          <w:color w:val="auto"/>
          <w:sz w:val="24"/>
          <w:szCs w:val="24"/>
        </w:rPr>
        <w:t xml:space="preserve">dokumentace, </w:t>
      </w:r>
      <w:bookmarkEnd w:id="96"/>
      <w:r w:rsidRPr="002872A6">
        <w:rPr>
          <w:rFonts w:asciiTheme="minorHAnsi" w:hAnsiTheme="minorHAnsi" w:cstheme="minorHAnsi"/>
          <w:color w:val="auto"/>
          <w:sz w:val="24"/>
          <w:szCs w:val="24"/>
        </w:rPr>
        <w:t>zacházen</w:t>
      </w:r>
      <w:r w:rsidR="00667995">
        <w:rPr>
          <w:rFonts w:asciiTheme="minorHAnsi" w:hAnsiTheme="minorHAnsi" w:cstheme="minorHAnsi"/>
          <w:color w:val="auto"/>
          <w:sz w:val="24"/>
          <w:szCs w:val="24"/>
        </w:rPr>
        <w:t>í s prekursory ačkoliv neměli k </w:t>
      </w:r>
      <w:r w:rsidRPr="002872A6">
        <w:rPr>
          <w:rFonts w:asciiTheme="minorHAnsi" w:hAnsiTheme="minorHAnsi" w:cstheme="minorHAnsi"/>
          <w:color w:val="auto"/>
          <w:sz w:val="24"/>
          <w:szCs w:val="24"/>
        </w:rPr>
        <w:t>tomuto zvláštní licenci.</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16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8</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úřed</w:t>
      </w:r>
      <w:r>
        <w:rPr>
          <w:rFonts w:asciiTheme="minorHAnsi" w:hAnsiTheme="minorHAnsi" w:cstheme="minorHAnsi"/>
          <w:i/>
          <w:iCs/>
          <w:color w:val="auto"/>
          <w:sz w:val="24"/>
          <w:szCs w:val="24"/>
        </w:rPr>
        <w:t>ně stanovené ceny při prodeji a </w:t>
      </w:r>
      <w:r w:rsidRPr="002872A6">
        <w:rPr>
          <w:rFonts w:asciiTheme="minorHAnsi" w:hAnsiTheme="minorHAnsi" w:cstheme="minorHAnsi"/>
          <w:i/>
          <w:iCs/>
          <w:color w:val="auto"/>
          <w:sz w:val="24"/>
          <w:szCs w:val="24"/>
        </w:rPr>
        <w:t>nerespektování podmínek a postupů pro jejich uplatnění stanovených cenovými předpisy Ministerstva zdravotnictví České republiky“</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4"/>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200 kontrolních vzorků léčivých přípravků, přičemž u tohoto počtu se ve 117 případech jednalo o léčivé přípravky ur</w:t>
      </w:r>
      <w:r w:rsidR="00667995">
        <w:rPr>
          <w:rFonts w:asciiTheme="minorHAnsi" w:hAnsiTheme="minorHAnsi" w:cstheme="minorHAnsi"/>
          <w:color w:val="auto"/>
          <w:sz w:val="24"/>
          <w:szCs w:val="24"/>
        </w:rPr>
        <w:t>čené pro magistraliter přípravu,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v</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83</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případech </w:t>
      </w:r>
      <w:r w:rsidR="00F721A4">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667995">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667995">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w:t>
      </w:r>
      <w:r w:rsidR="00667995">
        <w:rPr>
          <w:rFonts w:asciiTheme="minorHAnsi" w:hAnsiTheme="minorHAnsi" w:cstheme="minorHAnsi"/>
          <w:color w:val="auto"/>
          <w:sz w:val="24"/>
          <w:szCs w:val="24"/>
        </w:rPr>
        <w:t>Z</w:t>
      </w:r>
      <w:r w:rsidRPr="002872A6">
        <w:rPr>
          <w:rFonts w:asciiTheme="minorHAnsi" w:hAnsiTheme="minorHAnsi" w:cstheme="minorHAnsi"/>
          <w:color w:val="auto"/>
          <w:sz w:val="24"/>
          <w:szCs w:val="24"/>
        </w:rPr>
        <w:t xml:space="preserve"> tohoto počtu byla u 8 vzorků zjištěna závada.</w:t>
      </w:r>
      <w:r w:rsidR="00667995">
        <w:rPr>
          <w:rFonts w:asciiTheme="minorHAnsi" w:hAnsiTheme="minorHAnsi" w:cstheme="minorHAnsi"/>
          <w:color w:val="auto"/>
          <w:sz w:val="24"/>
          <w:szCs w:val="24"/>
        </w:rPr>
        <w:t xml:space="preserve"> </w:t>
      </w:r>
      <w:r w:rsidR="00667995">
        <w:rPr>
          <w:rFonts w:asciiTheme="minorHAnsi" w:hAnsiTheme="minorHAnsi" w:cstheme="minorHAnsi"/>
          <w:color w:val="auto"/>
          <w:sz w:val="24"/>
          <w:szCs w:val="24"/>
        </w:rPr>
        <w:lastRenderedPageBreak/>
        <w:t>Jednalo se </w:t>
      </w:r>
      <w:r w:rsidRPr="002872A6">
        <w:rPr>
          <w:rFonts w:asciiTheme="minorHAnsi" w:hAnsiTheme="minorHAnsi" w:cstheme="minorHAnsi"/>
          <w:color w:val="auto"/>
          <w:sz w:val="24"/>
          <w:szCs w:val="24"/>
        </w:rPr>
        <w:t>o</w:t>
      </w:r>
      <w:r w:rsidR="00667995">
        <w:rPr>
          <w:rFonts w:asciiTheme="minorHAnsi" w:hAnsiTheme="minorHAnsi" w:cstheme="minorHAnsi"/>
          <w:color w:val="auto"/>
          <w:sz w:val="24"/>
          <w:szCs w:val="24"/>
        </w:rPr>
        <w:t> </w:t>
      </w:r>
      <w:r w:rsidRPr="002872A6">
        <w:rPr>
          <w:rFonts w:asciiTheme="minorHAnsi" w:hAnsiTheme="minorHAnsi" w:cstheme="minorHAnsi"/>
          <w:color w:val="auto"/>
          <w:sz w:val="24"/>
          <w:szCs w:val="24"/>
        </w:rPr>
        <w:t>závadu v objemu účinné látky nebo celkové hmotno</w:t>
      </w:r>
      <w:r w:rsidR="00667995">
        <w:rPr>
          <w:rFonts w:asciiTheme="minorHAnsi" w:hAnsiTheme="minorHAnsi" w:cstheme="minorHAnsi"/>
          <w:color w:val="auto"/>
          <w:sz w:val="24"/>
          <w:szCs w:val="24"/>
        </w:rPr>
        <w:t>sti, a galenickém zpracování. A </w:t>
      </w:r>
      <w:r w:rsidRPr="002872A6">
        <w:rPr>
          <w:rFonts w:asciiTheme="minorHAnsi" w:hAnsiTheme="minorHAnsi" w:cstheme="minorHAnsi"/>
          <w:color w:val="auto"/>
          <w:sz w:val="24"/>
          <w:szCs w:val="24"/>
        </w:rPr>
        <w:t>dále u 4 vzorků se jednalo o pochybení v</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označení.</w:t>
      </w:r>
      <w:r w:rsidR="00667995" w:rsidRPr="00667995">
        <w:rPr>
          <w:rFonts w:asciiTheme="minorHAnsi" w:hAnsiTheme="minorHAnsi" w:cstheme="minorHAnsi"/>
          <w:color w:val="auto"/>
          <w:sz w:val="24"/>
          <w:szCs w:val="24"/>
        </w:rPr>
        <w:t xml:space="preserve"> </w:t>
      </w:r>
      <w:r w:rsidR="00667995" w:rsidRPr="008072E4">
        <w:rPr>
          <w:rFonts w:asciiTheme="minorHAnsi" w:hAnsiTheme="minorHAnsi" w:cstheme="minorHAnsi"/>
          <w:color w:val="auto"/>
          <w:sz w:val="24"/>
          <w:szCs w:val="24"/>
        </w:rPr>
        <w:t>[</w:t>
      </w:r>
      <w:r w:rsidR="00667995">
        <w:rPr>
          <w:rFonts w:asciiTheme="minorHAnsi" w:hAnsiTheme="minorHAnsi" w:cstheme="minorHAnsi"/>
          <w:color w:val="auto"/>
          <w:sz w:val="24"/>
          <w:szCs w:val="24"/>
        </w:rPr>
        <w:t>17</w:t>
      </w:r>
      <w:r w:rsidR="00667995" w:rsidRPr="008072E4">
        <w:rPr>
          <w:rFonts w:asciiTheme="minorHAnsi" w:hAnsiTheme="minorHAnsi" w:cstheme="minorHAnsi"/>
          <w:color w:val="auto"/>
          <w:sz w:val="24"/>
          <w:szCs w:val="24"/>
        </w:rPr>
        <w:t>]</w:t>
      </w:r>
    </w:p>
    <w:p w:rsidR="009257C4" w:rsidRPr="002872A6" w:rsidRDefault="009257C4" w:rsidP="002B03E5">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se zákonem o léčivech, kdy v jednom případě za zacházení s léčivem bez povolení byla uložena pokuta ve výši 500.000,- Kč, přičemž maximální hrozící výše za tento přestupek byla částka 3.000.000,- Kč.</w:t>
      </w:r>
      <w:r w:rsidRPr="00F532EE">
        <w:rPr>
          <w:rFonts w:asciiTheme="minorHAnsi" w:hAnsiTheme="minorHAnsi" w:cstheme="minorHAnsi"/>
          <w:color w:val="auto"/>
          <w:sz w:val="24"/>
          <w:szCs w:val="24"/>
        </w:rPr>
        <w:t xml:space="preserve"> </w:t>
      </w:r>
      <w:r w:rsidR="006B0557">
        <w:rPr>
          <w:rFonts w:asciiTheme="minorHAnsi" w:hAnsiTheme="minorHAnsi" w:cstheme="minorHAnsi"/>
          <w:color w:val="auto"/>
          <w:sz w:val="24"/>
          <w:szCs w:val="24"/>
        </w:rPr>
        <w:t>Velmi často</w:t>
      </w:r>
      <w:r>
        <w:rPr>
          <w:rFonts w:asciiTheme="minorHAnsi" w:hAnsiTheme="minorHAnsi" w:cstheme="minorHAnsi"/>
          <w:color w:val="auto"/>
          <w:sz w:val="24"/>
          <w:szCs w:val="24"/>
        </w:rPr>
        <w:t xml:space="preserve"> došlo k nesplnění oznamovací povinnosti držitele registrace, za což byla u</w:t>
      </w:r>
      <w:r w:rsidR="002B03E5">
        <w:rPr>
          <w:rFonts w:asciiTheme="minorHAnsi" w:hAnsiTheme="minorHAnsi" w:cstheme="minorHAnsi"/>
          <w:color w:val="auto"/>
          <w:sz w:val="24"/>
          <w:szCs w:val="24"/>
        </w:rPr>
        <w:t>kládána pokuta ve výši 10.000,- </w:t>
      </w:r>
      <w:r>
        <w:rPr>
          <w:rFonts w:asciiTheme="minorHAnsi" w:hAnsiTheme="minorHAnsi" w:cstheme="minorHAnsi"/>
          <w:color w:val="auto"/>
          <w:sz w:val="24"/>
          <w:szCs w:val="24"/>
        </w:rPr>
        <w:t>Kč až 63.000,- Kč, přičemž maximální hrozící výše za tento přestupek byla částka 2.000.000,-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1.500.000,- Kč a byla to pokuta za vícero porušení.</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97" w:name="_Toc164078840"/>
      <w:bookmarkStart w:id="98" w:name="_Toc163647379"/>
      <w:bookmarkStart w:id="99" w:name="_Toc163759375"/>
      <w:bookmarkStart w:id="100" w:name="_Toc165990648"/>
      <w:bookmarkEnd w:id="97"/>
      <w:bookmarkEnd w:id="98"/>
      <w:bookmarkEnd w:id="99"/>
      <w:r w:rsidRPr="002872A6">
        <w:rPr>
          <w:rFonts w:asciiTheme="minorHAnsi" w:hAnsiTheme="minorHAnsi" w:cstheme="minorHAnsi"/>
          <w:b/>
          <w:color w:val="auto"/>
          <w:sz w:val="28"/>
          <w:szCs w:val="28"/>
        </w:rPr>
        <w:t>Rok 2015</w:t>
      </w:r>
      <w:bookmarkEnd w:id="100"/>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Da</w:t>
      </w:r>
      <w:r w:rsidR="008B5950">
        <w:rPr>
          <w:rFonts w:asciiTheme="minorHAnsi" w:hAnsiTheme="minorHAnsi" w:cstheme="minorHAnsi"/>
          <w:color w:val="auto"/>
          <w:sz w:val="24"/>
          <w:szCs w:val="24"/>
        </w:rPr>
        <w:t>ta pro rok 2015 byla čerpána z v</w:t>
      </w:r>
      <w:r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2015 vydané SÚKL</w:t>
      </w:r>
      <w:r>
        <w:rPr>
          <w:rFonts w:asciiTheme="minorHAnsi" w:hAnsiTheme="minorHAnsi" w:cstheme="minorHAnsi"/>
          <w:color w:val="auto"/>
          <w:sz w:val="24"/>
          <w:szCs w:val="24"/>
        </w:rPr>
        <w:t>.</w:t>
      </w:r>
    </w:p>
    <w:p w:rsidR="008B595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2015 měl SÚKL v evidenci 2.562 lékáren a 245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w:t>
      </w:r>
      <w:r>
        <w:rPr>
          <w:rFonts w:asciiTheme="minorHAnsi" w:hAnsiTheme="minorHAnsi" w:cstheme="minorHAnsi"/>
          <w:color w:val="auto"/>
          <w:sz w:val="24"/>
          <w:szCs w:val="24"/>
        </w:rPr>
        <w:t>dchozímu roku bylo snížení o 39 </w:t>
      </w:r>
      <w:r w:rsidRPr="002872A6">
        <w:rPr>
          <w:rFonts w:asciiTheme="minorHAnsi" w:hAnsiTheme="minorHAnsi" w:cstheme="minorHAnsi"/>
          <w:color w:val="auto"/>
          <w:sz w:val="24"/>
          <w:szCs w:val="24"/>
        </w:rPr>
        <w:t xml:space="preserve">lékáren, a snížení o 8 </w:t>
      </w:r>
      <w:r>
        <w:rPr>
          <w:rFonts w:asciiTheme="minorHAnsi" w:hAnsiTheme="minorHAnsi" w:cstheme="minorHAnsi"/>
          <w:color w:val="auto"/>
          <w:sz w:val="24"/>
          <w:szCs w:val="24"/>
        </w:rPr>
        <w:t>OOVL</w:t>
      </w:r>
      <w:r w:rsidR="008B5950">
        <w:rPr>
          <w:rFonts w:asciiTheme="minorHAnsi" w:hAnsiTheme="minorHAnsi" w:cstheme="minorHAnsi"/>
          <w:color w:val="auto"/>
          <w:sz w:val="24"/>
          <w:szCs w:val="24"/>
        </w:rPr>
        <w:t>.</w:t>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8B595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2015 provedl SÚKL celkem 840 inspekcí lék</w:t>
      </w:r>
      <w:r w:rsidR="008B5950">
        <w:rPr>
          <w:rFonts w:asciiTheme="minorHAnsi" w:hAnsiTheme="minorHAnsi" w:cstheme="minorHAnsi"/>
          <w:color w:val="auto"/>
          <w:sz w:val="24"/>
          <w:szCs w:val="24"/>
        </w:rPr>
        <w:t>áren, přičemž v 39 případech to </w:t>
      </w:r>
      <w:r w:rsidRPr="002872A6">
        <w:rPr>
          <w:rFonts w:asciiTheme="minorHAnsi" w:hAnsiTheme="minorHAnsi" w:cstheme="minorHAnsi"/>
          <w:color w:val="auto"/>
          <w:sz w:val="24"/>
          <w:szCs w:val="24"/>
        </w:rPr>
        <w:t>byla kontrola nemocničních lékáren. U 79 provedených kontrol se jednalo o kontroly provedené na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základně obdrženého podnětu.</w:t>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8B5950">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AD09BD">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425 lékáren. V tomto případě se u 11 kontrol, jednalo o cílenou kontrolu a v ostatních případech byla kontrola plánována. Dále nad rámec těchto kontrol byla provedena též kontrola na</w:t>
      </w:r>
      <w:r w:rsidR="008B5950">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8B5950">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zákona o cenách a pravidlech cenové regulace, kdy tato byla v tomto roce provedena celkem u 99 lékáren, kde se u 11 kontrol </w:t>
      </w:r>
      <w:r w:rsidR="00274ABD">
        <w:rPr>
          <w:rFonts w:asciiTheme="minorHAnsi" w:hAnsiTheme="minorHAnsi" w:cstheme="minorHAnsi"/>
          <w:color w:val="auto"/>
          <w:sz w:val="24"/>
          <w:szCs w:val="24"/>
        </w:rPr>
        <w:t>jednalo o kontroly provedené na </w:t>
      </w:r>
      <w:r w:rsidRPr="002872A6">
        <w:rPr>
          <w:rFonts w:asciiTheme="minorHAnsi" w:hAnsiTheme="minorHAnsi" w:cstheme="minorHAnsi"/>
          <w:color w:val="auto"/>
          <w:sz w:val="24"/>
          <w:szCs w:val="24"/>
        </w:rPr>
        <w:t>základě obdrženého podnětu.</w:t>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840 kontrol se v 450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242 případů se jednalo o významné případně o opakované závad</w:t>
      </w:r>
      <w:r w:rsidR="00274ABD">
        <w:rPr>
          <w:rFonts w:asciiTheme="minorHAnsi" w:hAnsiTheme="minorHAnsi" w:cstheme="minorHAnsi"/>
          <w:color w:val="auto"/>
          <w:sz w:val="24"/>
          <w:szCs w:val="24"/>
        </w:rPr>
        <w:t>y, a u 148 případů se jednalo o </w:t>
      </w:r>
      <w:r w:rsidRPr="002872A6">
        <w:rPr>
          <w:rFonts w:asciiTheme="minorHAnsi" w:hAnsiTheme="minorHAnsi" w:cstheme="minorHAnsi"/>
          <w:color w:val="auto"/>
          <w:sz w:val="24"/>
          <w:szCs w:val="24"/>
        </w:rPr>
        <w:t xml:space="preserve">závažné porušení až kritickou závadu. V reakci na </w:t>
      </w:r>
      <w:r w:rsidR="00274ABD">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102 pokut v příkazním řízení, u 17 prohřešků bylo přistoupeno k pozastavení přípravy léčivých přípravků. V tomto roce nebylo zjištěno </w:t>
      </w:r>
      <w:r w:rsidRPr="002872A6">
        <w:rPr>
          <w:rFonts w:asciiTheme="minorHAnsi" w:hAnsiTheme="minorHAnsi" w:cstheme="minorHAnsi"/>
          <w:color w:val="auto"/>
          <w:sz w:val="24"/>
          <w:szCs w:val="24"/>
        </w:rPr>
        <w:lastRenderedPageBreak/>
        <w:t>porušení</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na jejichž základě by bylo přistoupeno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Mezi hlavní prohřešky, které byly kontrolou zjištěny, patřilo „</w:t>
      </w:r>
      <w:r w:rsidRPr="002872A6">
        <w:rPr>
          <w:rFonts w:asciiTheme="minorHAnsi" w:hAnsiTheme="minorHAnsi" w:cstheme="minorHAnsi"/>
          <w:i/>
          <w:iCs/>
          <w:color w:val="auto"/>
          <w:sz w:val="24"/>
          <w:szCs w:val="24"/>
        </w:rPr>
        <w:t>výdej léčivých přípravků bez lékařského předpisu nebo na neplatný předpis, včetně zahraničních, závažné nedostatky v kusové evidenci příjmu a výdeje, používání léčivých a pomocných látek k přípravě léčivých přípravků po podobě jejich použitelnosti nebo bez dokladu o</w:t>
      </w:r>
      <w:r>
        <w:rPr>
          <w:rFonts w:asciiTheme="minorHAnsi" w:hAnsiTheme="minorHAnsi" w:cstheme="minorHAnsi"/>
          <w:i/>
          <w:iCs/>
          <w:color w:val="auto"/>
          <w:sz w:val="24"/>
          <w:szCs w:val="24"/>
        </w:rPr>
        <w:t> </w:t>
      </w:r>
      <w:r w:rsidRPr="002872A6">
        <w:rPr>
          <w:rFonts w:asciiTheme="minorHAnsi" w:hAnsiTheme="minorHAnsi" w:cstheme="minorHAnsi"/>
          <w:i/>
          <w:iCs/>
          <w:color w:val="auto"/>
          <w:sz w:val="24"/>
          <w:szCs w:val="24"/>
        </w:rPr>
        <w:t>jejich jakost</w:t>
      </w:r>
      <w:r w:rsidR="00AD09BD">
        <w:rPr>
          <w:rFonts w:asciiTheme="minorHAnsi" w:hAnsiTheme="minorHAnsi" w:cstheme="minorHAnsi"/>
          <w:i/>
          <w:iCs/>
          <w:color w:val="auto"/>
          <w:sz w:val="24"/>
          <w:szCs w:val="24"/>
        </w:rPr>
        <w:t>i</w:t>
      </w:r>
      <w:r w:rsidRPr="002872A6">
        <w:rPr>
          <w:rFonts w:asciiTheme="minorHAnsi" w:hAnsiTheme="minorHAnsi" w:cstheme="minorHAnsi"/>
          <w:i/>
          <w:iCs/>
          <w:color w:val="auto"/>
          <w:sz w:val="24"/>
          <w:szCs w:val="24"/>
        </w:rPr>
        <w:t>, výdej léčivých přípravků s prošlou dobou jejich použitelnosti, uchovávání a výdej léčivých přípravků, které měly být na základě r</w:t>
      </w:r>
      <w:r>
        <w:rPr>
          <w:rFonts w:asciiTheme="minorHAnsi" w:hAnsiTheme="minorHAnsi" w:cstheme="minorHAnsi"/>
          <w:i/>
          <w:iCs/>
          <w:color w:val="auto"/>
          <w:sz w:val="24"/>
          <w:szCs w:val="24"/>
        </w:rPr>
        <w:t>ozhodnutí držitele rozhodnutí o </w:t>
      </w:r>
      <w:r w:rsidRPr="002872A6">
        <w:rPr>
          <w:rFonts w:asciiTheme="minorHAnsi" w:hAnsiTheme="minorHAnsi" w:cstheme="minorHAnsi"/>
          <w:i/>
          <w:iCs/>
          <w:color w:val="auto"/>
          <w:sz w:val="24"/>
          <w:szCs w:val="24"/>
        </w:rPr>
        <w:t>registraci staženy z oběhu nebo u nichž skončila doba platnost</w:t>
      </w:r>
      <w:r w:rsidR="00274ABD">
        <w:rPr>
          <w:rFonts w:asciiTheme="minorHAnsi" w:hAnsiTheme="minorHAnsi" w:cstheme="minorHAnsi"/>
          <w:i/>
          <w:iCs/>
          <w:color w:val="auto"/>
          <w:sz w:val="24"/>
          <w:szCs w:val="24"/>
        </w:rPr>
        <w:t>i</w:t>
      </w:r>
      <w:r w:rsidRPr="002872A6">
        <w:rPr>
          <w:rFonts w:asciiTheme="minorHAnsi" w:hAnsiTheme="minorHAnsi" w:cstheme="minorHAnsi"/>
          <w:i/>
          <w:iCs/>
          <w:color w:val="auto"/>
          <w:sz w:val="24"/>
          <w:szCs w:val="24"/>
        </w:rPr>
        <w:t xml:space="preserve"> registrace, převody léčivých přípravků mezi lékárnami, nedodržení zásad správné lékárenské práce při přípravě a uchovávání léčivých přípravků a při vedení provozní a záznamové evidence lékárny, neplnění povinností lékáren se zásilkovým výdejem léčivých přípravků“</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5"/>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425 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257</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117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51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00274ABD">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46</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jednalo o nezaslání ročního hlášení o st</w:t>
      </w:r>
      <w:r>
        <w:rPr>
          <w:rFonts w:asciiTheme="minorHAnsi" w:hAnsiTheme="minorHAnsi" w:cstheme="minorHAnsi"/>
          <w:color w:val="auto"/>
          <w:sz w:val="24"/>
          <w:szCs w:val="24"/>
        </w:rPr>
        <w:t>avu a pohybu návykových látek a </w:t>
      </w:r>
      <w:r w:rsidRPr="002872A6">
        <w:rPr>
          <w:rFonts w:asciiTheme="minorHAnsi" w:hAnsiTheme="minorHAnsi" w:cstheme="minorHAnsi"/>
          <w:color w:val="auto"/>
          <w:sz w:val="24"/>
          <w:szCs w:val="24"/>
        </w:rPr>
        <w:t>přípravků ve stanoveném termínu, uvedení nespráv</w:t>
      </w:r>
      <w:r>
        <w:rPr>
          <w:rFonts w:asciiTheme="minorHAnsi" w:hAnsiTheme="minorHAnsi" w:cstheme="minorHAnsi"/>
          <w:color w:val="auto"/>
          <w:sz w:val="24"/>
          <w:szCs w:val="24"/>
        </w:rPr>
        <w:t>ného případně neúplného údaje v </w:t>
      </w:r>
      <w:r w:rsidRPr="002872A6">
        <w:rPr>
          <w:rFonts w:asciiTheme="minorHAnsi" w:hAnsiTheme="minorHAnsi" w:cstheme="minorHAnsi"/>
          <w:color w:val="auto"/>
          <w:sz w:val="24"/>
          <w:szCs w:val="24"/>
        </w:rPr>
        <w:t>hlášení, a též porušení týkající se závažného porušení vedení evidence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dokumentace, zacházen</w:t>
      </w:r>
      <w:r w:rsidR="00274ABD">
        <w:rPr>
          <w:rFonts w:asciiTheme="minorHAnsi" w:hAnsiTheme="minorHAnsi" w:cstheme="minorHAnsi"/>
          <w:color w:val="auto"/>
          <w:sz w:val="24"/>
          <w:szCs w:val="24"/>
        </w:rPr>
        <w:t>í s prekursory ačkoliv neměli k </w:t>
      </w:r>
      <w:r w:rsidRPr="002872A6">
        <w:rPr>
          <w:rFonts w:asciiTheme="minorHAnsi" w:hAnsiTheme="minorHAnsi" w:cstheme="minorHAnsi"/>
          <w:color w:val="auto"/>
          <w:sz w:val="24"/>
          <w:szCs w:val="24"/>
        </w:rPr>
        <w:t>tomuto zvláštní licen</w:t>
      </w:r>
      <w:r>
        <w:rPr>
          <w:rFonts w:asciiTheme="minorHAnsi" w:hAnsiTheme="minorHAnsi" w:cstheme="minorHAnsi"/>
          <w:color w:val="auto"/>
          <w:sz w:val="24"/>
          <w:szCs w:val="24"/>
        </w:rPr>
        <w:t>ci, a dále neuchování dokladů a </w:t>
      </w:r>
      <w:r w:rsidRPr="002872A6">
        <w:rPr>
          <w:rFonts w:asciiTheme="minorHAnsi" w:hAnsiTheme="minorHAnsi" w:cstheme="minorHAnsi"/>
          <w:color w:val="auto"/>
          <w:sz w:val="24"/>
          <w:szCs w:val="24"/>
        </w:rPr>
        <w:t>záznamů v souvislosti</w:t>
      </w:r>
      <w:r w:rsidR="00274ABD">
        <w:rPr>
          <w:rFonts w:asciiTheme="minorHAnsi" w:hAnsiTheme="minorHAnsi" w:cstheme="minorHAnsi"/>
          <w:color w:val="auto"/>
          <w:sz w:val="24"/>
          <w:szCs w:val="24"/>
        </w:rPr>
        <w:t xml:space="preserve"> s </w:t>
      </w:r>
      <w:r w:rsidRPr="002872A6">
        <w:rPr>
          <w:rFonts w:asciiTheme="minorHAnsi" w:hAnsiTheme="minorHAnsi" w:cstheme="minorHAnsi"/>
          <w:color w:val="auto"/>
          <w:sz w:val="24"/>
          <w:szCs w:val="24"/>
        </w:rPr>
        <w:t>manipulací s prekursory a jejich ochran</w:t>
      </w:r>
      <w:r w:rsidR="00274ABD">
        <w:rPr>
          <w:rFonts w:asciiTheme="minorHAnsi" w:hAnsiTheme="minorHAnsi" w:cstheme="minorHAnsi"/>
          <w:color w:val="auto"/>
          <w:sz w:val="24"/>
          <w:szCs w:val="24"/>
        </w:rPr>
        <w:t>ě před neoprávněným přístupem a </w:t>
      </w:r>
      <w:r w:rsidRPr="002872A6">
        <w:rPr>
          <w:rFonts w:asciiTheme="minorHAnsi" w:hAnsiTheme="minorHAnsi" w:cstheme="minorHAnsi"/>
          <w:color w:val="auto"/>
          <w:sz w:val="24"/>
          <w:szCs w:val="24"/>
        </w:rPr>
        <w:t>zneužitím.</w:t>
      </w:r>
      <w:r w:rsidR="00274ABD">
        <w:rPr>
          <w:rFonts w:asciiTheme="minorHAnsi" w:hAnsiTheme="minorHAnsi" w:cstheme="minorHAnsi"/>
          <w:color w:val="auto"/>
          <w:sz w:val="24"/>
          <w:szCs w:val="24"/>
        </w:rPr>
        <w:t>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42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14</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w:t>
      </w:r>
      <w:r w:rsidRPr="002872A6">
        <w:rPr>
          <w:rFonts w:asciiTheme="minorHAnsi" w:hAnsiTheme="minorHAnsi" w:cstheme="minorHAnsi"/>
          <w:color w:val="auto"/>
          <w:sz w:val="24"/>
          <w:szCs w:val="24"/>
        </w:rPr>
        <w:lastRenderedPageBreak/>
        <w:t xml:space="preserve">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Zde se nejčastěji jednalo o </w:t>
      </w:r>
      <w:r w:rsidRPr="002872A6">
        <w:rPr>
          <w:rFonts w:asciiTheme="minorHAnsi" w:hAnsiTheme="minorHAnsi" w:cstheme="minorHAnsi"/>
          <w:i/>
          <w:iCs/>
          <w:color w:val="auto"/>
          <w:sz w:val="24"/>
          <w:szCs w:val="24"/>
        </w:rPr>
        <w:t>„nedodržení závazného postupu při tvorbě prodejní ceny individuálně připravovaných a upravovaných léčivých přípravků, nedodržení úředně stanovené ceny při prodeji a nerespektování podmínek a postupů pro jejich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6"/>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210 kontrolních vzorků léčivých přípravků, přičemž u tohoto počtu se v 97 případech jednalo o léčivé přípravky určené pro magistraliter přípravu</w:t>
      </w:r>
      <w:r w:rsidR="00274ABD">
        <w:rPr>
          <w:rFonts w:asciiTheme="minorHAnsi" w:hAnsiTheme="minorHAnsi" w:cstheme="minorHAnsi"/>
          <w:color w:val="auto"/>
          <w:sz w:val="24"/>
          <w:szCs w:val="24"/>
        </w:rPr>
        <w:t>, a</w:t>
      </w:r>
      <w:r w:rsidRPr="002872A6">
        <w:rPr>
          <w:rFonts w:asciiTheme="minorHAnsi" w:hAnsiTheme="minorHAnsi" w:cstheme="minorHAnsi"/>
          <w:color w:val="auto"/>
          <w:sz w:val="24"/>
          <w:szCs w:val="24"/>
        </w:rPr>
        <w:t xml:space="preserve"> ve 113 případech </w:t>
      </w:r>
      <w:r w:rsidR="00274ABD">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274ABD">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274ABD">
        <w:rPr>
          <w:rFonts w:asciiTheme="minorHAnsi" w:hAnsiTheme="minorHAnsi" w:cstheme="minorHAnsi"/>
          <w:color w:val="auto"/>
          <w:sz w:val="24"/>
          <w:szCs w:val="24"/>
        </w:rPr>
        <w:t>. Z</w:t>
      </w:r>
      <w:r w:rsidRPr="002872A6">
        <w:rPr>
          <w:rFonts w:asciiTheme="minorHAnsi" w:hAnsiTheme="minorHAnsi" w:cstheme="minorHAnsi"/>
          <w:color w:val="auto"/>
          <w:sz w:val="24"/>
          <w:szCs w:val="24"/>
        </w:rPr>
        <w:t xml:space="preserve"> tohoto počtu byla u 7 vzo</w:t>
      </w:r>
      <w:r w:rsidR="00274ABD">
        <w:rPr>
          <w:rFonts w:asciiTheme="minorHAnsi" w:hAnsiTheme="minorHAnsi" w:cstheme="minorHAnsi"/>
          <w:color w:val="auto"/>
          <w:sz w:val="24"/>
          <w:szCs w:val="24"/>
        </w:rPr>
        <w:t>rků zjištěna závada. Jednalo se o </w:t>
      </w:r>
      <w:r w:rsidRPr="002872A6">
        <w:rPr>
          <w:rFonts w:asciiTheme="minorHAnsi" w:hAnsiTheme="minorHAnsi" w:cstheme="minorHAnsi"/>
          <w:color w:val="auto"/>
          <w:sz w:val="24"/>
          <w:szCs w:val="24"/>
        </w:rPr>
        <w:t>závadu v objemu účinné látky, galenické zpraco</w:t>
      </w:r>
      <w:r>
        <w:rPr>
          <w:rFonts w:asciiTheme="minorHAnsi" w:hAnsiTheme="minorHAnsi" w:cstheme="minorHAnsi"/>
          <w:color w:val="auto"/>
          <w:sz w:val="24"/>
          <w:szCs w:val="24"/>
        </w:rPr>
        <w:t>vání, a </w:t>
      </w:r>
      <w:r w:rsidR="00274ABD">
        <w:rPr>
          <w:rFonts w:asciiTheme="minorHAnsi" w:hAnsiTheme="minorHAnsi" w:cstheme="minorHAnsi"/>
          <w:color w:val="auto"/>
          <w:sz w:val="24"/>
          <w:szCs w:val="24"/>
        </w:rPr>
        <w:t>negativní výsledek na </w:t>
      </w:r>
      <w:r w:rsidRPr="002872A6">
        <w:rPr>
          <w:rFonts w:asciiTheme="minorHAnsi" w:hAnsiTheme="minorHAnsi" w:cstheme="minorHAnsi"/>
          <w:color w:val="auto"/>
          <w:sz w:val="24"/>
          <w:szCs w:val="24"/>
        </w:rPr>
        <w:t xml:space="preserve">zkoušku sterility. A dále u 13 </w:t>
      </w:r>
      <w:r>
        <w:rPr>
          <w:rFonts w:asciiTheme="minorHAnsi" w:hAnsiTheme="minorHAnsi" w:cstheme="minorHAnsi"/>
          <w:color w:val="auto"/>
          <w:sz w:val="24"/>
          <w:szCs w:val="24"/>
        </w:rPr>
        <w:t>vzorků se jednalo o pochybení v </w:t>
      </w:r>
      <w:r w:rsidRPr="002872A6">
        <w:rPr>
          <w:rFonts w:asciiTheme="minorHAnsi" w:hAnsiTheme="minorHAnsi" w:cstheme="minorHAnsi"/>
          <w:color w:val="auto"/>
          <w:sz w:val="24"/>
          <w:szCs w:val="24"/>
        </w:rPr>
        <w:t>označení.</w:t>
      </w:r>
      <w:r w:rsidR="008B5950" w:rsidRPr="008B5950">
        <w:rPr>
          <w:rFonts w:asciiTheme="minorHAnsi" w:hAnsiTheme="minorHAnsi" w:cstheme="minorHAnsi"/>
          <w:color w:val="auto"/>
          <w:sz w:val="24"/>
          <w:szCs w:val="24"/>
        </w:rPr>
        <w:t xml:space="preserve"> </w:t>
      </w:r>
      <w:r w:rsidR="008B5950" w:rsidRPr="008072E4">
        <w:rPr>
          <w:rFonts w:asciiTheme="minorHAnsi" w:hAnsiTheme="minorHAnsi" w:cstheme="minorHAnsi"/>
          <w:color w:val="auto"/>
          <w:sz w:val="24"/>
          <w:szCs w:val="24"/>
        </w:rPr>
        <w:t>[</w:t>
      </w:r>
      <w:r w:rsidR="008B5950">
        <w:rPr>
          <w:rFonts w:asciiTheme="minorHAnsi" w:hAnsiTheme="minorHAnsi" w:cstheme="minorHAnsi"/>
          <w:color w:val="auto"/>
          <w:sz w:val="24"/>
          <w:szCs w:val="24"/>
        </w:rPr>
        <w:t>18</w:t>
      </w:r>
      <w:r w:rsidR="008B5950" w:rsidRPr="008072E4">
        <w:rPr>
          <w:rFonts w:asciiTheme="minorHAnsi" w:hAnsiTheme="minorHAnsi" w:cstheme="minorHAnsi"/>
          <w:color w:val="auto"/>
          <w:sz w:val="24"/>
          <w:szCs w:val="24"/>
        </w:rPr>
        <w:t>]</w:t>
      </w:r>
    </w:p>
    <w:p w:rsidR="00035CD1" w:rsidRDefault="00A63DAD" w:rsidP="006B0557">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Pro představu byly vyhledány údaje k uloženým pokutám za zjištěná porušení v souvislosti se zákonem o léčivech, kdy </w:t>
      </w:r>
      <w:r w:rsidR="006B0557">
        <w:rPr>
          <w:rFonts w:asciiTheme="minorHAnsi" w:hAnsiTheme="minorHAnsi" w:cstheme="minorHAnsi"/>
          <w:color w:val="auto"/>
          <w:sz w:val="24"/>
          <w:szCs w:val="24"/>
        </w:rPr>
        <w:t>velmi často</w:t>
      </w:r>
      <w:r>
        <w:rPr>
          <w:rFonts w:asciiTheme="minorHAnsi" w:hAnsiTheme="minorHAnsi" w:cstheme="minorHAnsi"/>
          <w:color w:val="auto"/>
          <w:sz w:val="24"/>
          <w:szCs w:val="24"/>
        </w:rPr>
        <w:t xml:space="preserve"> došlo k zacházení s léčivem bez povolení, za což byla ukládána pokuta ve výši 8.000,- Kč až 500.000,- Kč, přičemž maximální hrozící výše za tento přestupek byla částka 3.000.000,-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1.200.000,- Kč a byla za nezavedení změn nebo o nich ne</w:t>
      </w:r>
      <w:r w:rsidR="006B0557">
        <w:rPr>
          <w:rFonts w:asciiTheme="minorHAnsi" w:hAnsiTheme="minorHAnsi" w:cstheme="minorHAnsi"/>
          <w:color w:val="auto"/>
          <w:sz w:val="24"/>
          <w:szCs w:val="24"/>
        </w:rPr>
        <w:t>byl informován</w:t>
      </w:r>
      <w:r>
        <w:rPr>
          <w:rFonts w:asciiTheme="minorHAnsi" w:hAnsiTheme="minorHAnsi" w:cstheme="minorHAnsi"/>
          <w:color w:val="auto"/>
          <w:sz w:val="24"/>
          <w:szCs w:val="24"/>
        </w:rPr>
        <w:t xml:space="preserve"> SÚKL v souvislosti s registrací, přičemž maximální hrozící výše za tento přestupek byla částka 20.000.000,- Kč.</w:t>
      </w:r>
      <w:r w:rsidR="00AD09BD">
        <w:rPr>
          <w:rFonts w:asciiTheme="minorHAnsi" w:hAnsiTheme="minorHAnsi" w:cstheme="minorHAnsi"/>
          <w:color w:val="auto"/>
          <w:sz w:val="24"/>
          <w:szCs w:val="24"/>
        </w:rPr>
        <w:t xml:space="preserve"> </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101" w:name="_Toc164078841"/>
      <w:bookmarkStart w:id="102" w:name="_Toc163647380"/>
      <w:bookmarkStart w:id="103" w:name="_Toc163759376"/>
      <w:bookmarkStart w:id="104" w:name="_Toc165990649"/>
      <w:bookmarkEnd w:id="101"/>
      <w:bookmarkEnd w:id="102"/>
      <w:bookmarkEnd w:id="103"/>
      <w:r w:rsidRPr="002872A6">
        <w:rPr>
          <w:rFonts w:asciiTheme="minorHAnsi" w:hAnsiTheme="minorHAnsi" w:cstheme="minorHAnsi"/>
          <w:b/>
          <w:color w:val="auto"/>
          <w:sz w:val="28"/>
          <w:szCs w:val="28"/>
        </w:rPr>
        <w:t>Rok 2016</w:t>
      </w:r>
      <w:bookmarkEnd w:id="104"/>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2016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2016 vydané SÚKL.</w:t>
      </w:r>
    </w:p>
    <w:p w:rsidR="00274ABD"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2016 měl SÚKL v evidenci 2.559 lékáren a 245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předchozímu roku bylo snížení o 3 lékárn</w:t>
      </w:r>
      <w:r w:rsidR="00274ABD">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a počet </w:t>
      </w:r>
      <w:r>
        <w:rPr>
          <w:rFonts w:asciiTheme="minorHAnsi" w:hAnsiTheme="minorHAnsi" w:cstheme="minorHAnsi"/>
          <w:color w:val="auto"/>
          <w:sz w:val="24"/>
          <w:szCs w:val="24"/>
        </w:rPr>
        <w:t>OOVL</w:t>
      </w:r>
      <w:r w:rsidR="00274ABD">
        <w:rPr>
          <w:rFonts w:asciiTheme="minorHAnsi" w:hAnsiTheme="minorHAnsi" w:cstheme="minorHAnsi"/>
          <w:color w:val="auto"/>
          <w:sz w:val="24"/>
          <w:szCs w:val="24"/>
        </w:rPr>
        <w:t xml:space="preserve"> zůstala ve stejném počtu.</w:t>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2016 provedl SÚKL celkem 877 inspekcí lék</w:t>
      </w:r>
      <w:r w:rsidR="00274ABD">
        <w:rPr>
          <w:rFonts w:asciiTheme="minorHAnsi" w:hAnsiTheme="minorHAnsi" w:cstheme="minorHAnsi"/>
          <w:color w:val="auto"/>
          <w:sz w:val="24"/>
          <w:szCs w:val="24"/>
        </w:rPr>
        <w:t>áren, přičemž v 30 případech to </w:t>
      </w:r>
      <w:r w:rsidRPr="002872A6">
        <w:rPr>
          <w:rFonts w:asciiTheme="minorHAnsi" w:hAnsiTheme="minorHAnsi" w:cstheme="minorHAnsi"/>
          <w:color w:val="auto"/>
          <w:sz w:val="24"/>
          <w:szCs w:val="24"/>
        </w:rPr>
        <w:t>byla kontrola nemocničních lékáren. U 43 provedených kontrol se jednalo o kontroly provedené na základně obdrženého podnětu.</w:t>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274ABD">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274ABD">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468 lékáren. V</w:t>
      </w:r>
      <w:r w:rsidR="00274ABD">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tomto roce nebyla žádná kontrola provedena na základě obdrženého podnětu. Dále </w:t>
      </w:r>
      <w:r w:rsidRPr="002872A6">
        <w:rPr>
          <w:rFonts w:asciiTheme="minorHAnsi" w:hAnsiTheme="minorHAnsi" w:cstheme="minorHAnsi"/>
          <w:color w:val="auto"/>
          <w:sz w:val="24"/>
          <w:szCs w:val="24"/>
        </w:rPr>
        <w:lastRenderedPageBreak/>
        <w:t>nad rámec těchto kontrol byla provedena též kontrola na</w:t>
      </w:r>
      <w:r w:rsidR="00274ABD">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274ABD">
        <w:rPr>
          <w:rFonts w:asciiTheme="minorHAnsi" w:hAnsiTheme="minorHAnsi" w:cstheme="minorHAnsi"/>
          <w:color w:val="auto"/>
          <w:sz w:val="24"/>
          <w:szCs w:val="24"/>
        </w:rPr>
        <w:t>m zákona o </w:t>
      </w:r>
      <w:r w:rsidRPr="002872A6">
        <w:rPr>
          <w:rFonts w:asciiTheme="minorHAnsi" w:hAnsiTheme="minorHAnsi" w:cstheme="minorHAnsi"/>
          <w:color w:val="auto"/>
          <w:sz w:val="24"/>
          <w:szCs w:val="24"/>
        </w:rPr>
        <w:t>cenách a pravidlech cenové regulace, kdy tato byla v tomto roce provedena c</w:t>
      </w:r>
      <w:r w:rsidR="00274ABD">
        <w:rPr>
          <w:rFonts w:asciiTheme="minorHAnsi" w:hAnsiTheme="minorHAnsi" w:cstheme="minorHAnsi"/>
          <w:color w:val="auto"/>
          <w:sz w:val="24"/>
          <w:szCs w:val="24"/>
        </w:rPr>
        <w:t>elkem u </w:t>
      </w:r>
      <w:r>
        <w:rPr>
          <w:rFonts w:asciiTheme="minorHAnsi" w:hAnsiTheme="minorHAnsi" w:cstheme="minorHAnsi"/>
          <w:color w:val="auto"/>
          <w:sz w:val="24"/>
          <w:szCs w:val="24"/>
        </w:rPr>
        <w:t>99 lékáren, kde se u 12 </w:t>
      </w:r>
      <w:r w:rsidRPr="002872A6">
        <w:rPr>
          <w:rFonts w:asciiTheme="minorHAnsi" w:hAnsiTheme="minorHAnsi" w:cstheme="minorHAnsi"/>
          <w:color w:val="auto"/>
          <w:sz w:val="24"/>
          <w:szCs w:val="24"/>
        </w:rPr>
        <w:t>kontrol jednalo o kontroly provedené na základě obdrženého podnětu.</w:t>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877 kontrol se v 454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261 případů se jednalo o významné případně o opakované závad</w:t>
      </w:r>
      <w:r w:rsidR="00274ABD">
        <w:rPr>
          <w:rFonts w:asciiTheme="minorHAnsi" w:hAnsiTheme="minorHAnsi" w:cstheme="minorHAnsi"/>
          <w:color w:val="auto"/>
          <w:sz w:val="24"/>
          <w:szCs w:val="24"/>
        </w:rPr>
        <w:t>y, a u 162 případů se jednalo o </w:t>
      </w:r>
      <w:r w:rsidRPr="002872A6">
        <w:rPr>
          <w:rFonts w:asciiTheme="minorHAnsi" w:hAnsiTheme="minorHAnsi" w:cstheme="minorHAnsi"/>
          <w:color w:val="auto"/>
          <w:sz w:val="24"/>
          <w:szCs w:val="24"/>
        </w:rPr>
        <w:t xml:space="preserve">závažné porušení až kritickou závadu. V reakci na </w:t>
      </w:r>
      <w:r w:rsidR="00274ABD">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94 pokut v příkazním řízení, u 11 prohřešků bylo přistoupeno k pozastavení přípravy léčivých přípravků, a dokonce u 2 prohřešků došlo k pozastavení činnosti celé lékárny případně </w:t>
      </w:r>
      <w:r>
        <w:rPr>
          <w:rFonts w:asciiTheme="minorHAnsi" w:hAnsiTheme="minorHAnsi" w:cstheme="minorHAnsi"/>
          <w:color w:val="auto"/>
          <w:sz w:val="24"/>
          <w:szCs w:val="24"/>
        </w:rPr>
        <w:t>OOVL</w:t>
      </w:r>
      <w:r w:rsid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Mezi hlavní prohřešky, které byly kontrolou zjištěny, patřilo používání </w:t>
      </w:r>
      <w:r w:rsidRPr="002872A6">
        <w:rPr>
          <w:rFonts w:asciiTheme="minorHAnsi" w:hAnsiTheme="minorHAnsi" w:cstheme="minorHAnsi"/>
          <w:i/>
          <w:iCs/>
          <w:color w:val="auto"/>
          <w:sz w:val="24"/>
          <w:szCs w:val="24"/>
        </w:rPr>
        <w:t>„neověřených vah při přípravě, nedodržování zásad správné lékárenské praxe při přípravě a kontrole léčivých přípravků,</w:t>
      </w:r>
      <w:r>
        <w:rPr>
          <w:rFonts w:asciiTheme="minorHAnsi" w:hAnsiTheme="minorHAnsi" w:cstheme="minorHAnsi"/>
          <w:i/>
          <w:iCs/>
          <w:color w:val="auto"/>
          <w:sz w:val="24"/>
          <w:szCs w:val="24"/>
        </w:rPr>
        <w:t xml:space="preserve"> </w:t>
      </w:r>
      <w:r w:rsidRPr="002872A6">
        <w:rPr>
          <w:rFonts w:asciiTheme="minorHAnsi" w:hAnsiTheme="minorHAnsi" w:cstheme="minorHAnsi"/>
          <w:i/>
          <w:iCs/>
          <w:color w:val="auto"/>
          <w:sz w:val="24"/>
          <w:szCs w:val="24"/>
        </w:rPr>
        <w:t>používání léčivých a pomocných látek po době jejich použitelnosti, neprovádění předepsaných kontrol přístrojů a zařízení používaných k přípravě, příprava bez technologických předpisů a ne</w:t>
      </w:r>
      <w:r>
        <w:rPr>
          <w:rFonts w:asciiTheme="minorHAnsi" w:hAnsiTheme="minorHAnsi" w:cstheme="minorHAnsi"/>
          <w:i/>
          <w:iCs/>
          <w:color w:val="auto"/>
          <w:sz w:val="24"/>
          <w:szCs w:val="24"/>
        </w:rPr>
        <w:t>dostatečné záznamy o přípravě a </w:t>
      </w:r>
      <w:r w:rsidRPr="002872A6">
        <w:rPr>
          <w:rFonts w:asciiTheme="minorHAnsi" w:hAnsiTheme="minorHAnsi" w:cstheme="minorHAnsi"/>
          <w:i/>
          <w:iCs/>
          <w:color w:val="auto"/>
          <w:sz w:val="24"/>
          <w:szCs w:val="24"/>
        </w:rPr>
        <w:t>kontrole, výdej léčivých přípravků bez lékařského předpisu nebo na neplatné předpisy, výdej neoprávněnými osobami, závažné nedostatky v kusové evidenci příjmu a výdaje, uchovávání a výdej léčivých přípravků, které měly být na základě rozhodnutí držitele rozhodnutí o registraci staženy z oběhu nebo u nichž skončila platnost registrace, převody léčivých přípravků mezi lékárnami a nelegální vývoz léčivých přípravků do zahraničí, nedodržení podmínek uchovávání léčivých přípravků“</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7"/>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468 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290</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129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49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00682521">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28</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 xml:space="preserve">jednalo o nezaslání ročního </w:t>
      </w:r>
      <w:r w:rsidRPr="002872A6">
        <w:rPr>
          <w:rFonts w:asciiTheme="minorHAnsi" w:hAnsiTheme="minorHAnsi" w:cstheme="minorHAnsi"/>
          <w:color w:val="auto"/>
          <w:sz w:val="24"/>
          <w:szCs w:val="24"/>
        </w:rPr>
        <w:lastRenderedPageBreak/>
        <w:t>hlášení o st</w:t>
      </w:r>
      <w:r>
        <w:rPr>
          <w:rFonts w:asciiTheme="minorHAnsi" w:hAnsiTheme="minorHAnsi" w:cstheme="minorHAnsi"/>
          <w:color w:val="auto"/>
          <w:sz w:val="24"/>
          <w:szCs w:val="24"/>
        </w:rPr>
        <w:t>avu a pohybu návykových látek a </w:t>
      </w:r>
      <w:r w:rsidRPr="002872A6">
        <w:rPr>
          <w:rFonts w:asciiTheme="minorHAnsi" w:hAnsiTheme="minorHAnsi" w:cstheme="minorHAnsi"/>
          <w:color w:val="auto"/>
          <w:sz w:val="24"/>
          <w:szCs w:val="24"/>
        </w:rPr>
        <w:t>přípravků, závažné porušení vedení evidence a dokumentace, případně nesprávně uvedené údaje v ročním hlášení.</w:t>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40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40</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závazného postupu při tvorbě prodejní ceny individuálně připravovaných a hromadně vyráběných léčivých přípravků upravených před výdejem, nedodržení úředně stanovené maximální ceny prodeje, nerespektování podmínek a postupů pro její uplatnění stanovených cenovými předpisy Ministerstva zdravotnictví České republiky“</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18"/>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202 kontrolních vzorků léčivých přípravků, přičemž u tohoto počtu se ve 110 případech jednalo o léčivé přípravky ur</w:t>
      </w:r>
      <w:r w:rsidR="00682521">
        <w:rPr>
          <w:rFonts w:asciiTheme="minorHAnsi" w:hAnsiTheme="minorHAnsi" w:cstheme="minorHAnsi"/>
          <w:color w:val="auto"/>
          <w:sz w:val="24"/>
          <w:szCs w:val="24"/>
        </w:rPr>
        <w:t xml:space="preserve">čené pro magistraliter přípravu, a </w:t>
      </w:r>
      <w:r>
        <w:rPr>
          <w:rFonts w:asciiTheme="minorHAnsi" w:hAnsiTheme="minorHAnsi" w:cstheme="minorHAnsi"/>
          <w:color w:val="auto"/>
          <w:sz w:val="24"/>
          <w:szCs w:val="24"/>
        </w:rPr>
        <w:t>v 92 </w:t>
      </w:r>
      <w:r w:rsidRPr="002872A6">
        <w:rPr>
          <w:rFonts w:asciiTheme="minorHAnsi" w:hAnsiTheme="minorHAnsi" w:cstheme="minorHAnsi"/>
          <w:color w:val="auto"/>
          <w:sz w:val="24"/>
          <w:szCs w:val="24"/>
        </w:rPr>
        <w:t>případech</w:t>
      </w:r>
      <w:r w:rsidR="00F721A4">
        <w:rPr>
          <w:rFonts w:asciiTheme="minorHAnsi" w:hAnsiTheme="minorHAnsi" w:cstheme="minorHAnsi"/>
          <w:color w:val="auto"/>
          <w:sz w:val="24"/>
          <w:szCs w:val="24"/>
        </w:rPr>
        <w:t xml:space="preserve"> se</w:t>
      </w:r>
      <w:r w:rsidRPr="002872A6">
        <w:rPr>
          <w:rFonts w:asciiTheme="minorHAnsi" w:hAnsiTheme="minorHAnsi" w:cstheme="minorHAnsi"/>
          <w:color w:val="auto"/>
          <w:sz w:val="24"/>
          <w:szCs w:val="24"/>
        </w:rPr>
        <w:t xml:space="preserve"> jednalo o léčivé přípravky připravené přímo v</w:t>
      </w:r>
      <w:r w:rsidR="00682521">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682521">
        <w:rPr>
          <w:rFonts w:asciiTheme="minorHAnsi" w:hAnsiTheme="minorHAnsi" w:cstheme="minorHAnsi"/>
          <w:color w:val="auto"/>
          <w:sz w:val="24"/>
          <w:szCs w:val="24"/>
        </w:rPr>
        <w:t>. Z</w:t>
      </w:r>
      <w:r w:rsidRPr="002872A6">
        <w:rPr>
          <w:rFonts w:asciiTheme="minorHAnsi" w:hAnsiTheme="minorHAnsi" w:cstheme="minorHAnsi"/>
          <w:color w:val="auto"/>
          <w:sz w:val="24"/>
          <w:szCs w:val="24"/>
        </w:rPr>
        <w:t xml:space="preserve"> tohoto počtu byla u 4 vzo</w:t>
      </w:r>
      <w:r w:rsidR="00682521">
        <w:rPr>
          <w:rFonts w:asciiTheme="minorHAnsi" w:hAnsiTheme="minorHAnsi" w:cstheme="minorHAnsi"/>
          <w:color w:val="auto"/>
          <w:sz w:val="24"/>
          <w:szCs w:val="24"/>
        </w:rPr>
        <w:t>rků zjištěna závada. Jednalo se </w:t>
      </w:r>
      <w:r w:rsidRPr="002872A6">
        <w:rPr>
          <w:rFonts w:asciiTheme="minorHAnsi" w:hAnsiTheme="minorHAnsi" w:cstheme="minorHAnsi"/>
          <w:color w:val="auto"/>
          <w:sz w:val="24"/>
          <w:szCs w:val="24"/>
        </w:rPr>
        <w:t>o</w:t>
      </w:r>
      <w:r w:rsidR="00682521">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závadu v objemu účinné látky, galenické zpracování, a chybná celková hmotnost. </w:t>
      </w:r>
      <w:r w:rsidR="00682521">
        <w:rPr>
          <w:rFonts w:asciiTheme="minorHAnsi" w:hAnsiTheme="minorHAnsi" w:cstheme="minorHAnsi"/>
          <w:color w:val="auto"/>
          <w:sz w:val="24"/>
          <w:szCs w:val="24"/>
        </w:rPr>
        <w:t>A </w:t>
      </w:r>
      <w:r>
        <w:rPr>
          <w:rFonts w:asciiTheme="minorHAnsi" w:hAnsiTheme="minorHAnsi" w:cstheme="minorHAnsi"/>
          <w:color w:val="auto"/>
          <w:sz w:val="24"/>
          <w:szCs w:val="24"/>
        </w:rPr>
        <w:t>dále u 23 vzorků se jednalo o pochybení v </w:t>
      </w:r>
      <w:r w:rsidRPr="002872A6">
        <w:rPr>
          <w:rFonts w:asciiTheme="minorHAnsi" w:hAnsiTheme="minorHAnsi" w:cstheme="minorHAnsi"/>
          <w:color w:val="auto"/>
          <w:sz w:val="24"/>
          <w:szCs w:val="24"/>
        </w:rPr>
        <w:t>označení.</w:t>
      </w:r>
      <w:r w:rsidR="00274ABD" w:rsidRPr="00274ABD">
        <w:rPr>
          <w:rFonts w:asciiTheme="minorHAnsi" w:hAnsiTheme="minorHAnsi" w:cstheme="minorHAnsi"/>
          <w:color w:val="auto"/>
          <w:sz w:val="24"/>
          <w:szCs w:val="24"/>
        </w:rPr>
        <w:t xml:space="preserve"> </w:t>
      </w:r>
      <w:r w:rsidR="00274ABD" w:rsidRPr="008072E4">
        <w:rPr>
          <w:rFonts w:asciiTheme="minorHAnsi" w:hAnsiTheme="minorHAnsi" w:cstheme="minorHAnsi"/>
          <w:color w:val="auto"/>
          <w:sz w:val="24"/>
          <w:szCs w:val="24"/>
        </w:rPr>
        <w:t>[</w:t>
      </w:r>
      <w:r w:rsidR="00274ABD">
        <w:rPr>
          <w:rFonts w:asciiTheme="minorHAnsi" w:hAnsiTheme="minorHAnsi" w:cstheme="minorHAnsi"/>
          <w:color w:val="auto"/>
          <w:sz w:val="24"/>
          <w:szCs w:val="24"/>
        </w:rPr>
        <w:t>19</w:t>
      </w:r>
      <w:r w:rsidR="00274ABD" w:rsidRPr="008072E4">
        <w:rPr>
          <w:rFonts w:asciiTheme="minorHAnsi" w:hAnsiTheme="minorHAnsi" w:cstheme="minorHAnsi"/>
          <w:color w:val="auto"/>
          <w:sz w:val="24"/>
          <w:szCs w:val="24"/>
        </w:rPr>
        <w:t>]</w:t>
      </w:r>
    </w:p>
    <w:p w:rsidR="00A63DAD" w:rsidRPr="006B0557" w:rsidRDefault="00A63DAD" w:rsidP="006B0557">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Pro představu byly vyhledány údaje k uloženým pokutám za zjištěná porušení v souvislosti se zákonem o léčivech, kdy </w:t>
      </w:r>
      <w:r w:rsidR="006B0557">
        <w:rPr>
          <w:rFonts w:asciiTheme="minorHAnsi" w:hAnsiTheme="minorHAnsi" w:cstheme="minorHAnsi"/>
          <w:color w:val="auto"/>
          <w:sz w:val="24"/>
          <w:szCs w:val="24"/>
        </w:rPr>
        <w:t>velmi často došlo k zacházení s léčivem bez povolení, za což byla ukládána pokuta ve výši 10.000,- Kč až 40.000,- Kč, přičemž maximální hrozící výše za tento přestupek byla částka 3.000.000,- Kč</w:t>
      </w:r>
      <w:r>
        <w:rPr>
          <w:rFonts w:asciiTheme="minorHAnsi" w:hAnsiTheme="minorHAnsi" w:cstheme="minorHAnsi"/>
          <w:color w:val="auto"/>
          <w:sz w:val="24"/>
          <w:szCs w:val="24"/>
        </w:rPr>
        <w:t>.</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1.</w:t>
      </w:r>
      <w:r w:rsidR="006B0557">
        <w:rPr>
          <w:rFonts w:asciiTheme="minorHAnsi" w:hAnsiTheme="minorHAnsi" w:cstheme="minorHAnsi"/>
          <w:color w:val="auto"/>
          <w:sz w:val="24"/>
          <w:szCs w:val="24"/>
        </w:rPr>
        <w:t>1</w:t>
      </w:r>
      <w:r>
        <w:rPr>
          <w:rFonts w:asciiTheme="minorHAnsi" w:hAnsiTheme="minorHAnsi" w:cstheme="minorHAnsi"/>
          <w:color w:val="auto"/>
          <w:sz w:val="24"/>
          <w:szCs w:val="24"/>
        </w:rPr>
        <w:t xml:space="preserve">00.000,- Kč a </w:t>
      </w:r>
      <w:r w:rsidR="006B0557">
        <w:rPr>
          <w:rFonts w:asciiTheme="minorHAnsi" w:hAnsiTheme="minorHAnsi" w:cstheme="minorHAnsi"/>
          <w:color w:val="auto"/>
          <w:sz w:val="24"/>
          <w:szCs w:val="24"/>
        </w:rPr>
        <w:t>byla to pokuta za vícero porušení</w:t>
      </w:r>
      <w:r>
        <w:rPr>
          <w:rFonts w:asciiTheme="minorHAnsi" w:hAnsiTheme="minorHAnsi" w:cstheme="minorHAnsi"/>
          <w:color w:val="auto"/>
          <w:sz w:val="24"/>
          <w:szCs w:val="24"/>
        </w:rPr>
        <w:t>.</w:t>
      </w:r>
      <w:r w:rsidR="00AD09BD">
        <w:rPr>
          <w:rFonts w:asciiTheme="minorHAnsi" w:hAnsiTheme="minorHAnsi" w:cstheme="minorHAnsi"/>
          <w:color w:val="auto"/>
          <w:sz w:val="24"/>
          <w:szCs w:val="24"/>
        </w:rPr>
        <w:t> </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105" w:name="_Toc164078842"/>
      <w:bookmarkStart w:id="106" w:name="_Toc163647381"/>
      <w:bookmarkStart w:id="107" w:name="_Toc163759377"/>
      <w:bookmarkStart w:id="108" w:name="_Toc165990650"/>
      <w:bookmarkEnd w:id="105"/>
      <w:bookmarkEnd w:id="106"/>
      <w:bookmarkEnd w:id="107"/>
      <w:r w:rsidRPr="002872A6">
        <w:rPr>
          <w:rFonts w:asciiTheme="minorHAnsi" w:hAnsiTheme="minorHAnsi" w:cstheme="minorHAnsi"/>
          <w:b/>
          <w:color w:val="auto"/>
          <w:sz w:val="28"/>
          <w:szCs w:val="28"/>
        </w:rPr>
        <w:t>Rok 2017</w:t>
      </w:r>
      <w:bookmarkEnd w:id="108"/>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2017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2017 vydané SÚKL.</w:t>
      </w:r>
    </w:p>
    <w:p w:rsidR="00F721A4"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2017 měl SÚKL v evidenci 2.544 lékáren a 240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předchozímu roku bylo snížení o 15</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lékáren, a snížení o 5 </w:t>
      </w:r>
      <w:r>
        <w:rPr>
          <w:rFonts w:asciiTheme="minorHAnsi" w:hAnsiTheme="minorHAnsi" w:cstheme="minorHAnsi"/>
          <w:color w:val="auto"/>
          <w:sz w:val="24"/>
          <w:szCs w:val="24"/>
        </w:rPr>
        <w:t>OOVL</w:t>
      </w:r>
      <w:r w:rsidR="00F721A4">
        <w:rPr>
          <w:rFonts w:asciiTheme="minorHAnsi" w:hAnsiTheme="minorHAnsi" w:cstheme="minorHAnsi"/>
          <w:color w:val="auto"/>
          <w:sz w:val="24"/>
          <w:szCs w:val="24"/>
        </w:rPr>
        <w:t>.</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V roce 2013 provedl SÚKL celkem 876 inspekcí lék</w:t>
      </w:r>
      <w:r w:rsidR="00F721A4">
        <w:rPr>
          <w:rFonts w:asciiTheme="minorHAnsi" w:hAnsiTheme="minorHAnsi" w:cstheme="minorHAnsi"/>
          <w:color w:val="auto"/>
          <w:sz w:val="24"/>
          <w:szCs w:val="24"/>
        </w:rPr>
        <w:t>áren, přičemž v 40 případech to </w:t>
      </w:r>
      <w:r w:rsidRPr="002872A6">
        <w:rPr>
          <w:rFonts w:asciiTheme="minorHAnsi" w:hAnsiTheme="minorHAnsi" w:cstheme="minorHAnsi"/>
          <w:color w:val="auto"/>
          <w:sz w:val="24"/>
          <w:szCs w:val="24"/>
        </w:rPr>
        <w:t>byla kontrola nemocničních lékáren. U 38 provedených kontrol se jednalo o kontroly provedené na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základně obdrženého podnětu.</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F721A4">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F721A4">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452 lékáren. V</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tomto roce nebyla žádná kontrola provedena na základě obdrženého podnětu. Dále nad rámec těchto kontrol byla provedena též kontrola na</w:t>
      </w:r>
      <w:r w:rsidR="00F721A4">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F721A4">
        <w:rPr>
          <w:rFonts w:asciiTheme="minorHAnsi" w:hAnsiTheme="minorHAnsi" w:cstheme="minorHAnsi"/>
          <w:color w:val="auto"/>
          <w:sz w:val="24"/>
          <w:szCs w:val="24"/>
        </w:rPr>
        <w:t>m zákona o </w:t>
      </w:r>
      <w:r w:rsidRPr="002872A6">
        <w:rPr>
          <w:rFonts w:asciiTheme="minorHAnsi" w:hAnsiTheme="minorHAnsi" w:cstheme="minorHAnsi"/>
          <w:color w:val="auto"/>
          <w:sz w:val="24"/>
          <w:szCs w:val="24"/>
        </w:rPr>
        <w:t>cenách a pravidlech cenové regulace, kdy tato byla v tomto roce provedena celkem u</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110 lékáren, kde se u 12 kontrol jednalo o kontroly provedené na základě obdrženého podnětu.</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876 kontrol se v 477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253 případů se jednalo o významné případně o opakované závad</w:t>
      </w:r>
      <w:r w:rsidR="00F721A4">
        <w:rPr>
          <w:rFonts w:asciiTheme="minorHAnsi" w:hAnsiTheme="minorHAnsi" w:cstheme="minorHAnsi"/>
          <w:color w:val="auto"/>
          <w:sz w:val="24"/>
          <w:szCs w:val="24"/>
        </w:rPr>
        <w:t>y, a u 146 případů se jednalo o </w:t>
      </w:r>
      <w:r w:rsidRPr="002872A6">
        <w:rPr>
          <w:rFonts w:asciiTheme="minorHAnsi" w:hAnsiTheme="minorHAnsi" w:cstheme="minorHAnsi"/>
          <w:color w:val="auto"/>
          <w:sz w:val="24"/>
          <w:szCs w:val="24"/>
        </w:rPr>
        <w:t xml:space="preserve">závažné porušení až kritickou závadu. V reakci na </w:t>
      </w:r>
      <w:r w:rsidR="00F721A4">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258 pokut v příkazním řízení, u 5 prohřešků bylo přistoupeno k pozastavení přípravy léčivých přípravků. V tomto roce nebylo zjištěno porušení</w:t>
      </w:r>
      <w:r>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na jejichž základě by bylo přistoupeno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Mezi hlavní prohřešky, které byly kontrolou zjištěny, patřilo používání neověřených vah při přípravě, </w:t>
      </w:r>
      <w:r w:rsidRPr="002872A6">
        <w:rPr>
          <w:rFonts w:asciiTheme="minorHAnsi" w:hAnsiTheme="minorHAnsi" w:cstheme="minorHAnsi"/>
          <w:i/>
          <w:iCs/>
          <w:color w:val="auto"/>
          <w:sz w:val="24"/>
          <w:szCs w:val="24"/>
        </w:rPr>
        <w:t>„nedodržování zásad správné lékárenské praxe při přípravě a kontrole léčivých přípravků, používání léčivých a pomocných látek po době jejich použitelnosti nebo bez dokladu o jejich jakosti, nedostatečné záznamy o kontrole, výdej léčivých přípravků bez lékařského předpisu nebo neplatné lékařské předpis, výdej neoprávněnými osobami, závažné nedostatky v kusové evidenci příjmu či výdeje a jejich uchovávání, uchovávání či výdej léčivých přípravků, které měly být na základě rozhodnutí držitele rozhodnutí o registraci staženy z oběhu, nedodržení podmínek uchovávání léčivých přípravků, převody léčivých přípravků mezi lékárnami a nelegální distribuce a vývoz léčivých přípravků do zahraničí“.</w:t>
      </w:r>
      <w:r w:rsidRPr="002872A6">
        <w:rPr>
          <w:rStyle w:val="Ukotvenpoznmkypodarou"/>
          <w:rFonts w:asciiTheme="minorHAnsi" w:hAnsiTheme="minorHAnsi" w:cstheme="minorHAnsi"/>
          <w:i/>
          <w:iCs/>
          <w:color w:val="auto"/>
          <w:sz w:val="24"/>
          <w:szCs w:val="24"/>
        </w:rPr>
        <w:footnoteReference w:id="19"/>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 xml:space="preserve">Výstupem z kontrol zacházení s návykovými látkami bylo zjištění, že z počtu </w:t>
      </w:r>
      <w:r>
        <w:rPr>
          <w:rFonts w:asciiTheme="minorHAnsi" w:hAnsiTheme="minorHAnsi" w:cstheme="minorHAnsi"/>
          <w:color w:val="auto"/>
          <w:sz w:val="24"/>
          <w:szCs w:val="24"/>
        </w:rPr>
        <w:t>452 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299</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115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38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jednalo o </w:t>
      </w:r>
      <w:r w:rsidRPr="002872A6">
        <w:rPr>
          <w:rFonts w:asciiTheme="minorHAnsi" w:hAnsiTheme="minorHAnsi" w:cstheme="minorHAnsi"/>
          <w:color w:val="auto"/>
          <w:sz w:val="24"/>
          <w:szCs w:val="24"/>
        </w:rPr>
        <w:t>závažné porušení až kritickou závadu.</w:t>
      </w:r>
      <w:r>
        <w:rPr>
          <w:rFonts w:asciiTheme="minorHAnsi" w:hAnsiTheme="minorHAnsi" w:cstheme="minorHAnsi"/>
          <w:color w:val="auto"/>
          <w:sz w:val="24"/>
          <w:szCs w:val="24"/>
        </w:rPr>
        <w:t xml:space="preserve"> </w:t>
      </w:r>
      <w:r w:rsidR="00F721A4">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42</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jednalo o nezaslání ročního hlášení o stavu a pohybu návykových látek a přípravků, závažné porušení vedení evidence a dokumentace, případně nesprávně uvedené údaje v ročním hlášení.</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65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25</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 prostředků</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závazného postupu při tvorbě prodejní ceny individuálně připravovaných a hromadně vyráběných léčivých přípravků upravovaných před výdejem, nevedení nebo neuchovávání průkazné cenové evidence, nedodržení úředně stanovené maximální ceny při prod</w:t>
      </w:r>
      <w:r>
        <w:rPr>
          <w:rFonts w:asciiTheme="minorHAnsi" w:hAnsiTheme="minorHAnsi" w:cstheme="minorHAnsi"/>
          <w:i/>
          <w:iCs/>
          <w:color w:val="auto"/>
          <w:sz w:val="24"/>
          <w:szCs w:val="24"/>
        </w:rPr>
        <w:t>eji a nerespektování podmínek a </w:t>
      </w:r>
      <w:r w:rsidRPr="002872A6">
        <w:rPr>
          <w:rFonts w:asciiTheme="minorHAnsi" w:hAnsiTheme="minorHAnsi" w:cstheme="minorHAnsi"/>
          <w:i/>
          <w:iCs/>
          <w:color w:val="auto"/>
          <w:sz w:val="24"/>
          <w:szCs w:val="24"/>
        </w:rPr>
        <w:t>postupů pro její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0"/>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250 kontrolních vzorků léčivých přípravků, přičemž u tohoto počtu se v 93 případech jednalo o léčivé přípravky určené pro magistraliter přípravu</w:t>
      </w:r>
      <w:r w:rsidR="00F721A4">
        <w:rPr>
          <w:rFonts w:asciiTheme="minorHAnsi" w:hAnsiTheme="minorHAnsi" w:cstheme="minorHAnsi"/>
          <w:color w:val="auto"/>
          <w:sz w:val="24"/>
          <w:szCs w:val="24"/>
        </w:rPr>
        <w:t>, a</w:t>
      </w:r>
      <w:r w:rsidRPr="002872A6">
        <w:rPr>
          <w:rFonts w:asciiTheme="minorHAnsi" w:hAnsiTheme="minorHAnsi" w:cstheme="minorHAnsi"/>
          <w:color w:val="auto"/>
          <w:sz w:val="24"/>
          <w:szCs w:val="24"/>
        </w:rPr>
        <w:t xml:space="preserve"> ve 157 případech </w:t>
      </w:r>
      <w:r w:rsidR="00F721A4">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F721A4">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w:t>
      </w:r>
      <w:r w:rsidR="00F721A4">
        <w:rPr>
          <w:rFonts w:asciiTheme="minorHAnsi" w:hAnsiTheme="minorHAnsi" w:cstheme="minorHAnsi"/>
          <w:color w:val="auto"/>
          <w:sz w:val="24"/>
          <w:szCs w:val="24"/>
        </w:rPr>
        <w:t>Z</w:t>
      </w:r>
      <w:r w:rsidRPr="002872A6">
        <w:rPr>
          <w:rFonts w:asciiTheme="minorHAnsi" w:hAnsiTheme="minorHAnsi" w:cstheme="minorHAnsi"/>
          <w:color w:val="auto"/>
          <w:sz w:val="24"/>
          <w:szCs w:val="24"/>
        </w:rPr>
        <w:t xml:space="preserve"> tohoto počtu byla u 7 vzorků zjištěna závada. J</w:t>
      </w:r>
      <w:r w:rsidR="00F721A4">
        <w:rPr>
          <w:rFonts w:asciiTheme="minorHAnsi" w:hAnsiTheme="minorHAnsi" w:cstheme="minorHAnsi"/>
          <w:color w:val="auto"/>
          <w:sz w:val="24"/>
          <w:szCs w:val="24"/>
        </w:rPr>
        <w:t>ednalo se o </w:t>
      </w:r>
      <w:r w:rsidRPr="002872A6">
        <w:rPr>
          <w:rFonts w:asciiTheme="minorHAnsi" w:hAnsiTheme="minorHAnsi" w:cstheme="minorHAnsi"/>
          <w:color w:val="auto"/>
          <w:sz w:val="24"/>
          <w:szCs w:val="24"/>
        </w:rPr>
        <w:t>závadu v obsahu účinné látky, chybné hmotnosti v</w:t>
      </w:r>
      <w:r w:rsidR="00F721A4">
        <w:rPr>
          <w:rFonts w:asciiTheme="minorHAnsi" w:hAnsiTheme="minorHAnsi" w:cstheme="minorHAnsi"/>
          <w:color w:val="auto"/>
          <w:sz w:val="24"/>
          <w:szCs w:val="24"/>
        </w:rPr>
        <w:t>zorku, galenickém zpracování. A </w:t>
      </w:r>
      <w:r w:rsidRPr="002872A6">
        <w:rPr>
          <w:rFonts w:asciiTheme="minorHAnsi" w:hAnsiTheme="minorHAnsi" w:cstheme="minorHAnsi"/>
          <w:color w:val="auto"/>
          <w:sz w:val="24"/>
          <w:szCs w:val="24"/>
        </w:rPr>
        <w:t>dále u 19 vzorků se jednalo o pochybení v označení.</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20</w:t>
      </w:r>
      <w:r w:rsidR="00F721A4" w:rsidRPr="008072E4">
        <w:rPr>
          <w:rFonts w:asciiTheme="minorHAnsi" w:hAnsiTheme="minorHAnsi" w:cstheme="minorHAnsi"/>
          <w:color w:val="auto"/>
          <w:sz w:val="24"/>
          <w:szCs w:val="24"/>
        </w:rPr>
        <w:t>]</w:t>
      </w:r>
    </w:p>
    <w:p w:rsidR="006B0557" w:rsidRPr="000A2BEA" w:rsidRDefault="006B0557" w:rsidP="000A2BEA">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se zákonem o léčivech, kdy velmi často došlo k</w:t>
      </w:r>
      <w:r w:rsidR="000A2BEA">
        <w:rPr>
          <w:rFonts w:asciiTheme="minorHAnsi" w:hAnsiTheme="minorHAnsi" w:cstheme="minorHAnsi"/>
          <w:color w:val="auto"/>
          <w:sz w:val="24"/>
          <w:szCs w:val="24"/>
        </w:rPr>
        <w:t> nevedení nebo neuchovávání evidence výdeje léčivých přípravků</w:t>
      </w:r>
      <w:r>
        <w:rPr>
          <w:rFonts w:asciiTheme="minorHAnsi" w:hAnsiTheme="minorHAnsi" w:cstheme="minorHAnsi"/>
          <w:color w:val="auto"/>
          <w:sz w:val="24"/>
          <w:szCs w:val="24"/>
        </w:rPr>
        <w:t xml:space="preserve">, za což byla ukládána pokuta ve výši 1.000,- Kč až 40.000,- Kč, přičemž maximální hrozící výše za tento přestupek byla částka </w:t>
      </w:r>
      <w:r w:rsidR="000A2BEA">
        <w:rPr>
          <w:rFonts w:asciiTheme="minorHAnsi" w:hAnsiTheme="minorHAnsi" w:cstheme="minorHAnsi"/>
          <w:color w:val="auto"/>
          <w:sz w:val="24"/>
          <w:szCs w:val="24"/>
        </w:rPr>
        <w:lastRenderedPageBreak/>
        <w:t>2</w:t>
      </w:r>
      <w:r>
        <w:rPr>
          <w:rFonts w:asciiTheme="minorHAnsi" w:hAnsiTheme="minorHAnsi" w:cstheme="minorHAnsi"/>
          <w:color w:val="auto"/>
          <w:sz w:val="24"/>
          <w:szCs w:val="24"/>
        </w:rPr>
        <w:t>.000.000,-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Nejvyšší uložená pokuta v tomto roce byla ve výši </w:t>
      </w:r>
      <w:r w:rsidR="008416B5">
        <w:rPr>
          <w:rFonts w:asciiTheme="minorHAnsi" w:hAnsiTheme="minorHAnsi" w:cstheme="minorHAnsi"/>
          <w:color w:val="auto"/>
          <w:sz w:val="24"/>
          <w:szCs w:val="24"/>
        </w:rPr>
        <w:t>2</w:t>
      </w:r>
      <w:r>
        <w:rPr>
          <w:rFonts w:asciiTheme="minorHAnsi" w:hAnsiTheme="minorHAnsi" w:cstheme="minorHAnsi"/>
          <w:color w:val="auto"/>
          <w:sz w:val="24"/>
          <w:szCs w:val="24"/>
        </w:rPr>
        <w:t>.</w:t>
      </w:r>
      <w:r w:rsidR="008416B5">
        <w:rPr>
          <w:rFonts w:asciiTheme="minorHAnsi" w:hAnsiTheme="minorHAnsi" w:cstheme="minorHAnsi"/>
          <w:color w:val="auto"/>
          <w:sz w:val="24"/>
          <w:szCs w:val="24"/>
        </w:rPr>
        <w:t>3</w:t>
      </w:r>
      <w:r>
        <w:rPr>
          <w:rFonts w:asciiTheme="minorHAnsi" w:hAnsiTheme="minorHAnsi" w:cstheme="minorHAnsi"/>
          <w:color w:val="auto"/>
          <w:sz w:val="24"/>
          <w:szCs w:val="24"/>
        </w:rPr>
        <w:t>00.000,- Kč a byla to pokuta za vícero porušení.</w:t>
      </w:r>
      <w:r w:rsidR="00AD09BD">
        <w:rPr>
          <w:rFonts w:asciiTheme="minorHAnsi" w:hAnsiTheme="minorHAnsi" w:cstheme="minorHAnsi"/>
          <w:color w:val="auto"/>
          <w:sz w:val="24"/>
          <w:szCs w:val="24"/>
        </w:rPr>
        <w:t xml:space="preserve"> </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109" w:name="_Toc164078843"/>
      <w:bookmarkStart w:id="110" w:name="_Toc163647382"/>
      <w:bookmarkStart w:id="111" w:name="_Toc163759378"/>
      <w:bookmarkStart w:id="112" w:name="_Toc165990651"/>
      <w:bookmarkEnd w:id="109"/>
      <w:bookmarkEnd w:id="110"/>
      <w:bookmarkEnd w:id="111"/>
      <w:r w:rsidRPr="002872A6">
        <w:rPr>
          <w:rFonts w:asciiTheme="minorHAnsi" w:hAnsiTheme="minorHAnsi" w:cstheme="minorHAnsi"/>
          <w:b/>
          <w:color w:val="auto"/>
          <w:sz w:val="28"/>
          <w:szCs w:val="28"/>
        </w:rPr>
        <w:t>Rok 2018</w:t>
      </w:r>
      <w:bookmarkEnd w:id="112"/>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2018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2018 vydané SÚKL.</w:t>
      </w:r>
    </w:p>
    <w:p w:rsidR="00F721A4"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2018 měl SÚKL v evidenci 2.525 lékáren a 231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w:t>
      </w:r>
      <w:r>
        <w:rPr>
          <w:rFonts w:asciiTheme="minorHAnsi" w:hAnsiTheme="minorHAnsi" w:cstheme="minorHAnsi"/>
          <w:color w:val="auto"/>
          <w:sz w:val="24"/>
          <w:szCs w:val="24"/>
        </w:rPr>
        <w:t>dchozímu roku bylo snížení o 19 </w:t>
      </w:r>
      <w:r w:rsidRPr="002872A6">
        <w:rPr>
          <w:rFonts w:asciiTheme="minorHAnsi" w:hAnsiTheme="minorHAnsi" w:cstheme="minorHAnsi"/>
          <w:color w:val="auto"/>
          <w:sz w:val="24"/>
          <w:szCs w:val="24"/>
        </w:rPr>
        <w:t xml:space="preserve">lékáren, a snížení o 9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2018 provedl SÚKL celkem 880 inspekcí lékáren, přičemž v 43 případech to</w:t>
      </w:r>
      <w:r w:rsidR="00B6181E">
        <w:rPr>
          <w:rFonts w:asciiTheme="minorHAnsi" w:hAnsiTheme="minorHAnsi" w:cstheme="minorHAnsi"/>
          <w:color w:val="auto"/>
          <w:sz w:val="24"/>
          <w:szCs w:val="24"/>
        </w:rPr>
        <w:t> </w:t>
      </w:r>
      <w:r w:rsidRPr="002872A6">
        <w:rPr>
          <w:rFonts w:asciiTheme="minorHAnsi" w:hAnsiTheme="minorHAnsi" w:cstheme="minorHAnsi"/>
          <w:color w:val="auto"/>
          <w:sz w:val="24"/>
          <w:szCs w:val="24"/>
        </w:rPr>
        <w:t>byla kontrola nemocničních lékáren. U 43 provedených kontrol se jednalo o kontroly provedené na základně obdrženého podnětu.</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F721A4">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F721A4">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461 lékáren. V</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tomto roce nebyla žádná kontrola provedena na základě obdrženého podnětu. Dále nad rámec těchto kontrol byla provedena též kontrola na</w:t>
      </w:r>
      <w:r w:rsidR="00F721A4">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F721A4">
        <w:rPr>
          <w:rFonts w:asciiTheme="minorHAnsi" w:hAnsiTheme="minorHAnsi" w:cstheme="minorHAnsi"/>
          <w:color w:val="auto"/>
          <w:sz w:val="24"/>
          <w:szCs w:val="24"/>
        </w:rPr>
        <w:t>m zákona o </w:t>
      </w:r>
      <w:r w:rsidRPr="002872A6">
        <w:rPr>
          <w:rFonts w:asciiTheme="minorHAnsi" w:hAnsiTheme="minorHAnsi" w:cstheme="minorHAnsi"/>
          <w:color w:val="auto"/>
          <w:sz w:val="24"/>
          <w:szCs w:val="24"/>
        </w:rPr>
        <w:t>cenách a pravidlech cenové regulace, kdy tato byla v tomto roce provedena celkem u</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110 lékáren. V tomto roce nebyla žádná kontrola provedena na základě obdrženého podnětu.</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880 kontrol se v 483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226 případů se jednalo o významné případně o opakované závad</w:t>
      </w:r>
      <w:r w:rsidR="00F721A4">
        <w:rPr>
          <w:rFonts w:asciiTheme="minorHAnsi" w:hAnsiTheme="minorHAnsi" w:cstheme="minorHAnsi"/>
          <w:color w:val="auto"/>
          <w:sz w:val="24"/>
          <w:szCs w:val="24"/>
        </w:rPr>
        <w:t>y, a u 171 případů se jednalo o </w:t>
      </w:r>
      <w:r w:rsidRPr="002872A6">
        <w:rPr>
          <w:rFonts w:asciiTheme="minorHAnsi" w:hAnsiTheme="minorHAnsi" w:cstheme="minorHAnsi"/>
          <w:color w:val="auto"/>
          <w:sz w:val="24"/>
          <w:szCs w:val="24"/>
        </w:rPr>
        <w:t xml:space="preserve">závažné porušení až kritickou závadu. V reakci na </w:t>
      </w:r>
      <w:r w:rsidR="00F721A4">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94 pokut v příkazním řízení, u 1 prohřešku bylo přistoupeno k pozastavení přípravy léčivých přípravků, a dokonce u 3 prohřešků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 xml:space="preserve">„výdej léčivých přípravků bez lékařského předpisu nebo na neplatný předpis, výdej neoprávněnými osobami, závažné nedostatky v kusové evidenci příjmu, zásob a výdeje a jejím uchovávání, uchovávání a výdej léčivých přípravků, které měly být na základě rozhodnutí držitele rozhodnutí o registraci staženy z oběhu, převody léčivých přípravků mezi lékárnami včetně nelegální distribuce a vývoz léčivých přípravků do zahraničí, nedodržování zásad správné lékárenské praxe při přípravě léčivých přípravků, používání </w:t>
      </w:r>
      <w:r w:rsidRPr="002872A6">
        <w:rPr>
          <w:rFonts w:asciiTheme="minorHAnsi" w:hAnsiTheme="minorHAnsi" w:cstheme="minorHAnsi"/>
          <w:i/>
          <w:iCs/>
          <w:color w:val="auto"/>
          <w:sz w:val="24"/>
          <w:szCs w:val="24"/>
        </w:rPr>
        <w:lastRenderedPageBreak/>
        <w:t>léčivých nebo pomocných látek k přípravě po době jejich použitelnosti, a nedodržení podmínek uchovávání léčivých přípravků“.</w:t>
      </w:r>
      <w:r w:rsidRPr="002872A6">
        <w:rPr>
          <w:rStyle w:val="Ukotvenpoznmkypodarou"/>
          <w:rFonts w:asciiTheme="minorHAnsi" w:hAnsiTheme="minorHAnsi" w:cstheme="minorHAnsi"/>
          <w:i/>
          <w:iCs/>
          <w:color w:val="auto"/>
          <w:sz w:val="24"/>
          <w:szCs w:val="24"/>
        </w:rPr>
        <w:footnoteReference w:id="21"/>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461 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309</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125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27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 reakci na</w:t>
      </w:r>
      <w:r w:rsidR="00F721A4">
        <w:rPr>
          <w:rFonts w:asciiTheme="minorHAnsi" w:hAnsiTheme="minorHAnsi" w:cstheme="minorHAnsi"/>
          <w:color w:val="auto"/>
          <w:sz w:val="24"/>
          <w:szCs w:val="24"/>
        </w:rPr>
        <w:t>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30</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jednalo o nezaslání ročního hlášení o st</w:t>
      </w:r>
      <w:r>
        <w:rPr>
          <w:rFonts w:asciiTheme="minorHAnsi" w:hAnsiTheme="minorHAnsi" w:cstheme="minorHAnsi"/>
          <w:color w:val="auto"/>
          <w:sz w:val="24"/>
          <w:szCs w:val="24"/>
        </w:rPr>
        <w:t>avu a pohybu návykových látek a </w:t>
      </w:r>
      <w:r w:rsidRPr="002872A6">
        <w:rPr>
          <w:rFonts w:asciiTheme="minorHAnsi" w:hAnsiTheme="minorHAnsi" w:cstheme="minorHAnsi"/>
          <w:color w:val="auto"/>
          <w:sz w:val="24"/>
          <w:szCs w:val="24"/>
        </w:rPr>
        <w:t>přípravků, závažného porušení vedení evidence a dokumentace, případně nesprávně uvedené údaje v ročním hlášení.</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43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37</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úřed</w:t>
      </w:r>
      <w:r>
        <w:rPr>
          <w:rFonts w:asciiTheme="minorHAnsi" w:hAnsiTheme="minorHAnsi" w:cstheme="minorHAnsi"/>
          <w:i/>
          <w:iCs/>
          <w:color w:val="auto"/>
          <w:sz w:val="24"/>
          <w:szCs w:val="24"/>
        </w:rPr>
        <w:t>ně stanovené ceny při prodeji a </w:t>
      </w:r>
      <w:r w:rsidRPr="002872A6">
        <w:rPr>
          <w:rFonts w:asciiTheme="minorHAnsi" w:hAnsiTheme="minorHAnsi" w:cstheme="minorHAnsi"/>
          <w:i/>
          <w:iCs/>
          <w:color w:val="auto"/>
          <w:sz w:val="24"/>
          <w:szCs w:val="24"/>
        </w:rPr>
        <w:t>nerespektování podmínek a postupů pro jejich uplatnění, nedodržení závazného postupu při tvorbě prodejní ceny individuálně připravovaných a hromadně vyráběných léčivých přípravků upravovaných před výdejem, nevedení nebo neuchovávání průkazné cenové evidence“</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2"/>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242 kontrolních vzorků léčivých přípravků, přičemž u tohoto počtu se v 96 případech jednalo o léčivé přípravky urč</w:t>
      </w:r>
      <w:r w:rsidR="00F721A4">
        <w:rPr>
          <w:rFonts w:asciiTheme="minorHAnsi" w:hAnsiTheme="minorHAnsi" w:cstheme="minorHAnsi"/>
          <w:color w:val="auto"/>
          <w:sz w:val="24"/>
          <w:szCs w:val="24"/>
        </w:rPr>
        <w:t xml:space="preserve">ené pro magistraliter přípravu, a </w:t>
      </w:r>
      <w:r w:rsidRPr="002872A6">
        <w:rPr>
          <w:rFonts w:asciiTheme="minorHAnsi" w:hAnsiTheme="minorHAnsi" w:cstheme="minorHAnsi"/>
          <w:color w:val="auto"/>
          <w:sz w:val="24"/>
          <w:szCs w:val="24"/>
        </w:rPr>
        <w:t xml:space="preserve">ve 146 případech </w:t>
      </w:r>
      <w:r w:rsidR="00F721A4">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F721A4">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F721A4">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w:t>
      </w:r>
      <w:r w:rsidR="00F721A4">
        <w:rPr>
          <w:rFonts w:asciiTheme="minorHAnsi" w:hAnsiTheme="minorHAnsi" w:cstheme="minorHAnsi"/>
          <w:color w:val="auto"/>
          <w:sz w:val="24"/>
          <w:szCs w:val="24"/>
        </w:rPr>
        <w:t>Z</w:t>
      </w:r>
      <w:r w:rsidRPr="002872A6">
        <w:rPr>
          <w:rFonts w:asciiTheme="minorHAnsi" w:hAnsiTheme="minorHAnsi" w:cstheme="minorHAnsi"/>
          <w:color w:val="auto"/>
          <w:sz w:val="24"/>
          <w:szCs w:val="24"/>
        </w:rPr>
        <w:t xml:space="preserve"> tohoto počtu byla u 5 vzorků zjištěna závada v podobě nevyhovujícího obsahu účinné látky a celková hmotnost. A dále u 13 vzorků se jednalo o pochybení v označení.</w:t>
      </w:r>
      <w:r w:rsidR="00F721A4" w:rsidRPr="00F721A4">
        <w:rPr>
          <w:rFonts w:asciiTheme="minorHAnsi" w:hAnsiTheme="minorHAnsi" w:cstheme="minorHAnsi"/>
          <w:color w:val="auto"/>
          <w:sz w:val="24"/>
          <w:szCs w:val="24"/>
        </w:rPr>
        <w:t xml:space="preserve"> </w:t>
      </w:r>
      <w:r w:rsidR="00F721A4" w:rsidRPr="008072E4">
        <w:rPr>
          <w:rFonts w:asciiTheme="minorHAnsi" w:hAnsiTheme="minorHAnsi" w:cstheme="minorHAnsi"/>
          <w:color w:val="auto"/>
          <w:sz w:val="24"/>
          <w:szCs w:val="24"/>
        </w:rPr>
        <w:t>[</w:t>
      </w:r>
      <w:r w:rsidR="00F721A4">
        <w:rPr>
          <w:rFonts w:asciiTheme="minorHAnsi" w:hAnsiTheme="minorHAnsi" w:cstheme="minorHAnsi"/>
          <w:color w:val="auto"/>
          <w:sz w:val="24"/>
          <w:szCs w:val="24"/>
        </w:rPr>
        <w:t>21</w:t>
      </w:r>
      <w:r w:rsidR="00F721A4" w:rsidRPr="008072E4">
        <w:rPr>
          <w:rFonts w:asciiTheme="minorHAnsi" w:hAnsiTheme="minorHAnsi" w:cstheme="minorHAnsi"/>
          <w:color w:val="auto"/>
          <w:sz w:val="24"/>
          <w:szCs w:val="24"/>
        </w:rPr>
        <w:t>]</w:t>
      </w:r>
    </w:p>
    <w:p w:rsidR="00B772BC" w:rsidRPr="00B772BC" w:rsidRDefault="00B772BC" w:rsidP="00B772BC">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lastRenderedPageBreak/>
        <w:t xml:space="preserve">Pro představu byly vyhledány údaje k uloženým pokutám za zjištěná porušení v souvislosti se zákonem o léčivech, kdy </w:t>
      </w:r>
      <w:r w:rsidR="004855C6">
        <w:rPr>
          <w:rFonts w:asciiTheme="minorHAnsi" w:hAnsiTheme="minorHAnsi" w:cstheme="minorHAnsi"/>
          <w:color w:val="auto"/>
          <w:sz w:val="24"/>
          <w:szCs w:val="24"/>
        </w:rPr>
        <w:t>velmi často došlo k zacházení s léčivem bez povolení, za což byla ukládána pokuta ve výši 6.000,- Kč až 40.000,- Kč, přičemž maximální hrozící výše za tento přestupek byla částka 3.000.000,- Kč</w:t>
      </w:r>
      <w:r>
        <w:rPr>
          <w:rFonts w:asciiTheme="minorHAnsi" w:hAnsiTheme="minorHAnsi" w:cstheme="minorHAnsi"/>
          <w:color w:val="auto"/>
          <w:sz w:val="24"/>
          <w:szCs w:val="24"/>
        </w:rPr>
        <w:t>.</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2.000.000,- Kč a byla za p</w:t>
      </w:r>
      <w:r w:rsidRPr="00B772BC">
        <w:rPr>
          <w:rFonts w:asciiTheme="minorHAnsi" w:hAnsiTheme="minorHAnsi" w:cstheme="minorHAnsi"/>
          <w:color w:val="auto"/>
          <w:sz w:val="24"/>
          <w:szCs w:val="24"/>
        </w:rPr>
        <w:t>oruš</w:t>
      </w:r>
      <w:r>
        <w:rPr>
          <w:rFonts w:asciiTheme="minorHAnsi" w:hAnsiTheme="minorHAnsi" w:cstheme="minorHAnsi"/>
          <w:color w:val="auto"/>
          <w:sz w:val="24"/>
          <w:szCs w:val="24"/>
        </w:rPr>
        <w:t>ení</w:t>
      </w:r>
      <w:r w:rsidRPr="00B772BC">
        <w:rPr>
          <w:rFonts w:asciiTheme="minorHAnsi" w:hAnsiTheme="minorHAnsi" w:cstheme="minorHAnsi"/>
          <w:color w:val="auto"/>
          <w:sz w:val="24"/>
          <w:szCs w:val="24"/>
        </w:rPr>
        <w:t xml:space="preserve"> zákaz</w:t>
      </w:r>
      <w:r>
        <w:rPr>
          <w:rFonts w:asciiTheme="minorHAnsi" w:hAnsiTheme="minorHAnsi" w:cstheme="minorHAnsi"/>
          <w:color w:val="auto"/>
          <w:sz w:val="24"/>
          <w:szCs w:val="24"/>
        </w:rPr>
        <w:t>u</w:t>
      </w:r>
      <w:r w:rsidRPr="00B772BC">
        <w:rPr>
          <w:rFonts w:asciiTheme="minorHAnsi" w:hAnsiTheme="minorHAnsi" w:cstheme="minorHAnsi"/>
          <w:color w:val="auto"/>
          <w:sz w:val="24"/>
          <w:szCs w:val="24"/>
        </w:rPr>
        <w:t xml:space="preserve"> distribuovat léčivé přípravky, které </w:t>
      </w:r>
      <w:r w:rsidR="004900F7">
        <w:rPr>
          <w:rFonts w:asciiTheme="minorHAnsi" w:hAnsiTheme="minorHAnsi" w:cstheme="minorHAnsi"/>
          <w:color w:val="auto"/>
          <w:sz w:val="24"/>
          <w:szCs w:val="24"/>
        </w:rPr>
        <w:t xml:space="preserve">subjekt </w:t>
      </w:r>
      <w:r w:rsidRPr="00B772BC">
        <w:rPr>
          <w:rFonts w:asciiTheme="minorHAnsi" w:hAnsiTheme="minorHAnsi" w:cstheme="minorHAnsi"/>
          <w:color w:val="auto"/>
          <w:sz w:val="24"/>
          <w:szCs w:val="24"/>
        </w:rPr>
        <w:t>odebral jako provozovatel lékárny</w:t>
      </w:r>
      <w:r>
        <w:rPr>
          <w:rFonts w:asciiTheme="minorHAnsi" w:hAnsiTheme="minorHAnsi" w:cstheme="minorHAnsi"/>
          <w:color w:val="auto"/>
          <w:sz w:val="24"/>
          <w:szCs w:val="24"/>
        </w:rPr>
        <w:t>, přičemž maximální hrozící výše za tento přestupek byla částka 20.000.000,-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113" w:name="_Toc164078844"/>
      <w:bookmarkStart w:id="114" w:name="_Toc163647383"/>
      <w:bookmarkStart w:id="115" w:name="_Toc163759379"/>
      <w:bookmarkStart w:id="116" w:name="_Toc165990652"/>
      <w:bookmarkEnd w:id="113"/>
      <w:bookmarkEnd w:id="114"/>
      <w:bookmarkEnd w:id="115"/>
      <w:r w:rsidRPr="002872A6">
        <w:rPr>
          <w:rFonts w:asciiTheme="minorHAnsi" w:hAnsiTheme="minorHAnsi" w:cstheme="minorHAnsi"/>
          <w:b/>
          <w:color w:val="auto"/>
          <w:sz w:val="28"/>
          <w:szCs w:val="28"/>
        </w:rPr>
        <w:t>Rok 2019</w:t>
      </w:r>
      <w:bookmarkEnd w:id="116"/>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2019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2019 vydané SÚKL.</w:t>
      </w:r>
    </w:p>
    <w:p w:rsidR="00DB55D9"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2019 měl SÚKL v evidenci 2.493 lékáren a 217 </w:t>
      </w:r>
      <w:r w:rsidR="00AD09BD">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w:t>
      </w:r>
      <w:r>
        <w:rPr>
          <w:rFonts w:asciiTheme="minorHAnsi" w:hAnsiTheme="minorHAnsi" w:cstheme="minorHAnsi"/>
          <w:color w:val="auto"/>
          <w:sz w:val="24"/>
          <w:szCs w:val="24"/>
        </w:rPr>
        <w:t>dchozímu roku bylo snížení o 32 </w:t>
      </w:r>
      <w:r w:rsidRPr="002872A6">
        <w:rPr>
          <w:rFonts w:asciiTheme="minorHAnsi" w:hAnsiTheme="minorHAnsi" w:cstheme="minorHAnsi"/>
          <w:color w:val="auto"/>
          <w:sz w:val="24"/>
          <w:szCs w:val="24"/>
        </w:rPr>
        <w:t xml:space="preserve">lékáren, a snížení o 14 </w:t>
      </w:r>
      <w:r>
        <w:rPr>
          <w:rFonts w:asciiTheme="minorHAnsi" w:hAnsiTheme="minorHAnsi" w:cstheme="minorHAnsi"/>
          <w:color w:val="auto"/>
          <w:sz w:val="24"/>
          <w:szCs w:val="24"/>
        </w:rPr>
        <w:t>OOVL</w:t>
      </w:r>
      <w:r w:rsidR="00DB55D9">
        <w:rPr>
          <w:rFonts w:asciiTheme="minorHAnsi" w:hAnsiTheme="minorHAnsi" w:cstheme="minorHAnsi"/>
          <w:color w:val="auto"/>
          <w:sz w:val="24"/>
          <w:szCs w:val="24"/>
        </w:rPr>
        <w:t>.</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2019 provedl SÚKL celkem 830 inspekcí lék</w:t>
      </w:r>
      <w:r w:rsidR="00DB55D9">
        <w:rPr>
          <w:rFonts w:asciiTheme="minorHAnsi" w:hAnsiTheme="minorHAnsi" w:cstheme="minorHAnsi"/>
          <w:color w:val="auto"/>
          <w:sz w:val="24"/>
          <w:szCs w:val="24"/>
        </w:rPr>
        <w:t>áren, přičemž v 30 případech to </w:t>
      </w:r>
      <w:r w:rsidRPr="002872A6">
        <w:rPr>
          <w:rFonts w:asciiTheme="minorHAnsi" w:hAnsiTheme="minorHAnsi" w:cstheme="minorHAnsi"/>
          <w:color w:val="auto"/>
          <w:sz w:val="24"/>
          <w:szCs w:val="24"/>
        </w:rPr>
        <w:t>byla kontrola nemocničních lékáren. U 28 provedených kontrol se jednalo o kontroly provedené na</w:t>
      </w:r>
      <w:r>
        <w:t> </w:t>
      </w:r>
      <w:r w:rsidRPr="002872A6">
        <w:rPr>
          <w:rFonts w:asciiTheme="minorHAnsi" w:hAnsiTheme="minorHAnsi" w:cstheme="minorHAnsi"/>
          <w:color w:val="auto"/>
          <w:sz w:val="24"/>
          <w:szCs w:val="24"/>
        </w:rPr>
        <w:t>základně obdrženého podnětu.</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DB55D9">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DB55D9">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430 lékáren. V</w:t>
      </w:r>
      <w:r w:rsidR="00DB55D9">
        <w:rPr>
          <w:rFonts w:asciiTheme="minorHAnsi" w:hAnsiTheme="minorHAnsi" w:cstheme="minorHAnsi"/>
          <w:color w:val="auto"/>
          <w:sz w:val="24"/>
          <w:szCs w:val="24"/>
        </w:rPr>
        <w:t> </w:t>
      </w:r>
      <w:r w:rsidRPr="002872A6">
        <w:rPr>
          <w:rFonts w:asciiTheme="minorHAnsi" w:hAnsiTheme="minorHAnsi" w:cstheme="minorHAnsi"/>
          <w:color w:val="auto"/>
          <w:sz w:val="24"/>
          <w:szCs w:val="24"/>
        </w:rPr>
        <w:t>tomto roce nebyla žádná kontrola provedena na základě obdrženého podnětu. Dále nad rámec těchto kontrol byla provedena též kontrola na</w:t>
      </w:r>
      <w:r w:rsidR="00DB55D9">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DB55D9">
        <w:rPr>
          <w:rFonts w:asciiTheme="minorHAnsi" w:hAnsiTheme="minorHAnsi" w:cstheme="minorHAnsi"/>
          <w:color w:val="auto"/>
          <w:sz w:val="24"/>
          <w:szCs w:val="24"/>
        </w:rPr>
        <w:t>m zákona o </w:t>
      </w:r>
      <w:r w:rsidRPr="002872A6">
        <w:rPr>
          <w:rFonts w:asciiTheme="minorHAnsi" w:hAnsiTheme="minorHAnsi" w:cstheme="minorHAnsi"/>
          <w:color w:val="auto"/>
          <w:sz w:val="24"/>
          <w:szCs w:val="24"/>
        </w:rPr>
        <w:t>cenách a pravidlech cenové regulace, kdy tato byla v tomto roce provedena celkem u</w:t>
      </w:r>
      <w:r w:rsidR="00DB55D9">
        <w:rPr>
          <w:rFonts w:asciiTheme="minorHAnsi" w:hAnsiTheme="minorHAnsi" w:cstheme="minorHAnsi"/>
          <w:color w:val="auto"/>
          <w:sz w:val="24"/>
          <w:szCs w:val="24"/>
        </w:rPr>
        <w:t> </w:t>
      </w:r>
      <w:r w:rsidRPr="002872A6">
        <w:rPr>
          <w:rFonts w:asciiTheme="minorHAnsi" w:hAnsiTheme="minorHAnsi" w:cstheme="minorHAnsi"/>
          <w:color w:val="auto"/>
          <w:sz w:val="24"/>
          <w:szCs w:val="24"/>
        </w:rPr>
        <w:t>110 lékáren. V tomto roce nebyla žádná kontrola provedena na základě obdrženého podnětu.</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830 kontrol se v 517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195 případů se jednalo o významné případně o opakované závad</w:t>
      </w:r>
      <w:r w:rsidR="00DB55D9">
        <w:rPr>
          <w:rFonts w:asciiTheme="minorHAnsi" w:hAnsiTheme="minorHAnsi" w:cstheme="minorHAnsi"/>
          <w:color w:val="auto"/>
          <w:sz w:val="24"/>
          <w:szCs w:val="24"/>
        </w:rPr>
        <w:t>y, a u 118 případů se jednalo o </w:t>
      </w:r>
      <w:r w:rsidRPr="002872A6">
        <w:rPr>
          <w:rFonts w:asciiTheme="minorHAnsi" w:hAnsiTheme="minorHAnsi" w:cstheme="minorHAnsi"/>
          <w:color w:val="auto"/>
          <w:sz w:val="24"/>
          <w:szCs w:val="24"/>
        </w:rPr>
        <w:t xml:space="preserve">závažné porušení až kritickou závadu. V reakci na </w:t>
      </w:r>
      <w:r w:rsidR="00DB55D9">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59 pokut v pří</w:t>
      </w:r>
      <w:r w:rsidR="00DB55D9">
        <w:rPr>
          <w:rFonts w:asciiTheme="minorHAnsi" w:hAnsiTheme="minorHAnsi" w:cstheme="minorHAnsi"/>
          <w:color w:val="auto"/>
          <w:sz w:val="24"/>
          <w:szCs w:val="24"/>
        </w:rPr>
        <w:t>kazním řízení, dále 3 pokuty za </w:t>
      </w:r>
      <w:r w:rsidRPr="002872A6">
        <w:rPr>
          <w:rFonts w:asciiTheme="minorHAnsi" w:hAnsiTheme="minorHAnsi" w:cstheme="minorHAnsi"/>
          <w:color w:val="auto"/>
          <w:sz w:val="24"/>
          <w:szCs w:val="24"/>
        </w:rPr>
        <w:t xml:space="preserve">neposkytnutí součinnosti v rámci kontroly, u 4 prohřešků bylo přistoupeno k pozastavení přípravy léčivých přípravků, a dokonce u 3 prohřešků došlo k pozastavení činnosti celé lékárny případně </w:t>
      </w:r>
      <w:r>
        <w:rPr>
          <w:rFonts w:asciiTheme="minorHAnsi" w:hAnsiTheme="minorHAnsi" w:cstheme="minorHAnsi"/>
          <w:color w:val="auto"/>
          <w:sz w:val="24"/>
          <w:szCs w:val="24"/>
        </w:rPr>
        <w:t>OOVL. Mimo to </w:t>
      </w:r>
      <w:r w:rsidRPr="002872A6">
        <w:rPr>
          <w:rFonts w:asciiTheme="minorHAnsi" w:hAnsiTheme="minorHAnsi" w:cstheme="minorHAnsi"/>
          <w:color w:val="auto"/>
          <w:sz w:val="24"/>
          <w:szCs w:val="24"/>
        </w:rPr>
        <w:t>bylo nově uloženo 13 napomenutí.</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 xml:space="preserve">Mezi hlavní prohřešky, které byly kontrolou zjištěny, patřilo </w:t>
      </w:r>
      <w:r w:rsidRPr="002872A6">
        <w:rPr>
          <w:rFonts w:asciiTheme="minorHAnsi" w:hAnsiTheme="minorHAnsi" w:cstheme="minorHAnsi"/>
          <w:i/>
          <w:iCs/>
          <w:color w:val="auto"/>
          <w:sz w:val="24"/>
          <w:szCs w:val="24"/>
        </w:rPr>
        <w:t>„výdej léčivých přípravků bez lékařského předpisu nebo na neplatný předpis, výdej neoprávněnými osobami, závažné nedostatky v kusové evidenci příjmu, zásob a výdeje a jejím uchovávání, uchovávání a výdej léčivých přípravků, které měly být na základě rozhodnutí držitele rozhodnutí o registraci staženy z oběhu, nelegální distribuce a vývoz léčivých přípravků do zahraničí, nedodržování zásad správné lékárenské praxe při přípravě léčivých přípravků, používání léčivých nebo pomocných látek k přípravě po době jejich použitelnosti“</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3"/>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430 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319</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89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22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00DB55D9">
        <w:rPr>
          <w:rFonts w:asciiTheme="minorHAnsi" w:hAnsiTheme="minorHAnsi" w:cstheme="minorHAnsi"/>
          <w:color w:val="auto"/>
          <w:sz w:val="24"/>
          <w:szCs w:val="24"/>
        </w:rPr>
        <w:t>V reakci na 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17</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 xml:space="preserve">jednalo o nezaslání ročního hlášení o stavu a pohybu </w:t>
      </w:r>
      <w:r>
        <w:rPr>
          <w:rFonts w:asciiTheme="minorHAnsi" w:hAnsiTheme="minorHAnsi" w:cstheme="minorHAnsi"/>
          <w:color w:val="auto"/>
          <w:sz w:val="24"/>
          <w:szCs w:val="24"/>
        </w:rPr>
        <w:t>návykových látek a přípravků, a </w:t>
      </w:r>
      <w:r w:rsidRPr="002872A6">
        <w:rPr>
          <w:rFonts w:asciiTheme="minorHAnsi" w:hAnsiTheme="minorHAnsi" w:cstheme="minorHAnsi"/>
          <w:color w:val="auto"/>
          <w:sz w:val="24"/>
          <w:szCs w:val="24"/>
        </w:rPr>
        <w:t>jejich dokladů, závažného porušení vedení evidence a dokumentace, případně nesprávně uvedené údaje v ročním hlášení.</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46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15</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 </w:t>
      </w:r>
      <w:r w:rsidRPr="002872A6">
        <w:rPr>
          <w:rFonts w:asciiTheme="minorHAnsi" w:hAnsiTheme="minorHAnsi" w:cstheme="minorHAnsi"/>
          <w:i/>
          <w:iCs/>
          <w:color w:val="auto"/>
          <w:sz w:val="24"/>
          <w:szCs w:val="24"/>
        </w:rPr>
        <w:t>„nedodržení závazného postupu při tvorbě prodejní ceny individuálně připravených a hromadně vyráběných léčivých přípravků upravených před výdejem, nevedení nebo neuchovávání průkazné cenové evidence, nedodržení úředně stanovené maximální ceny při prod</w:t>
      </w:r>
      <w:r>
        <w:rPr>
          <w:rFonts w:asciiTheme="minorHAnsi" w:hAnsiTheme="minorHAnsi" w:cstheme="minorHAnsi"/>
          <w:i/>
          <w:iCs/>
          <w:color w:val="auto"/>
          <w:sz w:val="24"/>
          <w:szCs w:val="24"/>
        </w:rPr>
        <w:t>eji a nerespektování podmínek a </w:t>
      </w:r>
      <w:r w:rsidRPr="002872A6">
        <w:rPr>
          <w:rFonts w:asciiTheme="minorHAnsi" w:hAnsiTheme="minorHAnsi" w:cstheme="minorHAnsi"/>
          <w:i/>
          <w:iCs/>
          <w:color w:val="auto"/>
          <w:sz w:val="24"/>
          <w:szCs w:val="24"/>
        </w:rPr>
        <w:t>postupů pro její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4"/>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V tomto roce provedli inspektoři v rámci kontrol celkem 232 kontrolních vzorků léčivých přípravků, přičemž u tohoto počtu se v 97 případech jednalo o léčivé přípravky určené pro magistraliter přípravu</w:t>
      </w:r>
      <w:r w:rsidR="00DB55D9">
        <w:rPr>
          <w:rFonts w:asciiTheme="minorHAnsi" w:hAnsiTheme="minorHAnsi" w:cstheme="minorHAnsi"/>
          <w:color w:val="auto"/>
          <w:sz w:val="24"/>
          <w:szCs w:val="24"/>
        </w:rPr>
        <w:t>, a</w:t>
      </w:r>
      <w:r w:rsidRPr="002872A6">
        <w:rPr>
          <w:rFonts w:asciiTheme="minorHAnsi" w:hAnsiTheme="minorHAnsi" w:cstheme="minorHAnsi"/>
          <w:color w:val="auto"/>
          <w:sz w:val="24"/>
          <w:szCs w:val="24"/>
        </w:rPr>
        <w:t xml:space="preserve"> ve 135 případech </w:t>
      </w:r>
      <w:r w:rsidR="00DB55D9">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DB55D9">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DB55D9">
        <w:rPr>
          <w:rFonts w:asciiTheme="minorHAnsi" w:hAnsiTheme="minorHAnsi" w:cstheme="minorHAnsi"/>
          <w:color w:val="auto"/>
          <w:sz w:val="24"/>
          <w:szCs w:val="24"/>
        </w:rPr>
        <w:t>. Z</w:t>
      </w:r>
      <w:r w:rsidRPr="002872A6">
        <w:rPr>
          <w:rFonts w:asciiTheme="minorHAnsi" w:hAnsiTheme="minorHAnsi" w:cstheme="minorHAnsi"/>
          <w:color w:val="auto"/>
          <w:sz w:val="24"/>
          <w:szCs w:val="24"/>
        </w:rPr>
        <w:t xml:space="preserve"> tohoto počtu by</w:t>
      </w:r>
      <w:r w:rsidR="00DB55D9">
        <w:rPr>
          <w:rFonts w:asciiTheme="minorHAnsi" w:hAnsiTheme="minorHAnsi" w:cstheme="minorHAnsi"/>
          <w:color w:val="auto"/>
          <w:sz w:val="24"/>
          <w:szCs w:val="24"/>
        </w:rPr>
        <w:t>la u 1 vzorku zjištěna závada v </w:t>
      </w:r>
      <w:r w:rsidRPr="002872A6">
        <w:rPr>
          <w:rFonts w:asciiTheme="minorHAnsi" w:hAnsiTheme="minorHAnsi" w:cstheme="minorHAnsi"/>
          <w:color w:val="auto"/>
          <w:sz w:val="24"/>
          <w:szCs w:val="24"/>
        </w:rPr>
        <w:t>nevyhovujícím obsahu účinné látky.</w:t>
      </w:r>
      <w:r>
        <w:rPr>
          <w:rFonts w:asciiTheme="minorHAnsi" w:hAnsiTheme="minorHAnsi" w:cstheme="minorHAnsi"/>
          <w:color w:val="auto"/>
          <w:sz w:val="24"/>
          <w:szCs w:val="24"/>
        </w:rPr>
        <w:t xml:space="preserve"> A dále u 4 vzorků se jednalo o </w:t>
      </w:r>
      <w:r w:rsidRPr="002872A6">
        <w:rPr>
          <w:rFonts w:asciiTheme="minorHAnsi" w:hAnsiTheme="minorHAnsi" w:cstheme="minorHAnsi"/>
          <w:color w:val="auto"/>
          <w:sz w:val="24"/>
          <w:szCs w:val="24"/>
        </w:rPr>
        <w:t>pochybení v označení.</w:t>
      </w:r>
      <w:r w:rsidR="00DB55D9" w:rsidRPr="00DB55D9">
        <w:rPr>
          <w:rFonts w:asciiTheme="minorHAnsi" w:hAnsiTheme="minorHAnsi" w:cstheme="minorHAnsi"/>
          <w:color w:val="auto"/>
          <w:sz w:val="24"/>
          <w:szCs w:val="24"/>
        </w:rPr>
        <w:t xml:space="preserve"> </w:t>
      </w:r>
      <w:r w:rsidR="00DB55D9" w:rsidRPr="008072E4">
        <w:rPr>
          <w:rFonts w:asciiTheme="minorHAnsi" w:hAnsiTheme="minorHAnsi" w:cstheme="minorHAnsi"/>
          <w:color w:val="auto"/>
          <w:sz w:val="24"/>
          <w:szCs w:val="24"/>
        </w:rPr>
        <w:t>[</w:t>
      </w:r>
      <w:r w:rsidR="00DB55D9">
        <w:rPr>
          <w:rFonts w:asciiTheme="minorHAnsi" w:hAnsiTheme="minorHAnsi" w:cstheme="minorHAnsi"/>
          <w:color w:val="auto"/>
          <w:sz w:val="24"/>
          <w:szCs w:val="24"/>
        </w:rPr>
        <w:t>22</w:t>
      </w:r>
      <w:r w:rsidR="00DB55D9" w:rsidRPr="008072E4">
        <w:rPr>
          <w:rFonts w:asciiTheme="minorHAnsi" w:hAnsiTheme="minorHAnsi" w:cstheme="minorHAnsi"/>
          <w:color w:val="auto"/>
          <w:sz w:val="24"/>
          <w:szCs w:val="24"/>
        </w:rPr>
        <w:t>]</w:t>
      </w:r>
    </w:p>
    <w:p w:rsidR="001B36CD" w:rsidRPr="001B36CD" w:rsidRDefault="001B36CD" w:rsidP="001B36CD">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se zákonem o léčivech, kdy velmi často došlo k zacházení s léčivými přípravky v rozporu s uloženými povinnostmi, za což byla ukládána pokuta ve výši 20.000,- Kč až 80.000,- Kč, ale tento přestupek byl řešen i napomenutím, přičemž maximální hrozící výše za tento přestupek byla částka 2.000.000,-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4.000.000,- Kč a byla to pokuta za vícero porušení.</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505" w:hanging="505"/>
        <w:rPr>
          <w:rFonts w:asciiTheme="minorHAnsi" w:hAnsiTheme="minorHAnsi" w:cstheme="minorHAnsi"/>
          <w:b/>
          <w:color w:val="auto"/>
          <w:sz w:val="28"/>
          <w:szCs w:val="28"/>
        </w:rPr>
      </w:pPr>
      <w:bookmarkStart w:id="117" w:name="_Toc164078845"/>
      <w:bookmarkStart w:id="118" w:name="_Toc163647384"/>
      <w:bookmarkStart w:id="119" w:name="_Toc163759380"/>
      <w:bookmarkStart w:id="120" w:name="_Toc165990653"/>
      <w:bookmarkEnd w:id="117"/>
      <w:bookmarkEnd w:id="118"/>
      <w:bookmarkEnd w:id="119"/>
      <w:r w:rsidRPr="002872A6">
        <w:rPr>
          <w:rFonts w:asciiTheme="minorHAnsi" w:hAnsiTheme="minorHAnsi" w:cstheme="minorHAnsi"/>
          <w:b/>
          <w:color w:val="auto"/>
          <w:sz w:val="28"/>
          <w:szCs w:val="28"/>
        </w:rPr>
        <w:t>Rok 2020</w:t>
      </w:r>
      <w:bookmarkEnd w:id="120"/>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2020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2020 vydané SÚKL.</w:t>
      </w:r>
    </w:p>
    <w:p w:rsidR="00320571"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2020 měl SÚKL v evidenci 2.467 lékáren a 211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w:t>
      </w:r>
      <w:r>
        <w:rPr>
          <w:rFonts w:asciiTheme="minorHAnsi" w:hAnsiTheme="minorHAnsi" w:cstheme="minorHAnsi"/>
          <w:color w:val="auto"/>
          <w:sz w:val="24"/>
          <w:szCs w:val="24"/>
        </w:rPr>
        <w:t>dchozímu roku bylo snížení o 26 </w:t>
      </w:r>
      <w:r w:rsidRPr="002872A6">
        <w:rPr>
          <w:rFonts w:asciiTheme="minorHAnsi" w:hAnsiTheme="minorHAnsi" w:cstheme="minorHAnsi"/>
          <w:color w:val="auto"/>
          <w:sz w:val="24"/>
          <w:szCs w:val="24"/>
        </w:rPr>
        <w:t xml:space="preserve">lékáren, a snížení o 6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2020 provedl SÚKL celkem 570 inspekcí lék</w:t>
      </w:r>
      <w:r w:rsidR="00320571">
        <w:rPr>
          <w:rFonts w:asciiTheme="minorHAnsi" w:hAnsiTheme="minorHAnsi" w:cstheme="minorHAnsi"/>
          <w:color w:val="auto"/>
          <w:sz w:val="24"/>
          <w:szCs w:val="24"/>
        </w:rPr>
        <w:t>áren, přičemž v 22 případech to </w:t>
      </w:r>
      <w:r w:rsidRPr="002872A6">
        <w:rPr>
          <w:rFonts w:asciiTheme="minorHAnsi" w:hAnsiTheme="minorHAnsi" w:cstheme="minorHAnsi"/>
          <w:color w:val="auto"/>
          <w:sz w:val="24"/>
          <w:szCs w:val="24"/>
        </w:rPr>
        <w:t>byla kontrola nemocničních lékáren. U 19 provedených kontrol se jednalo o kontroly provedené na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základně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320571">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320571">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provedena celkem u 334 lékáren. V</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tomto roce nebyla žádná kontrola provedena na základě obdrženého podnětu. Dále nad rámec těchto kontrol byla provedena též kontrola na</w:t>
      </w:r>
      <w:r w:rsidR="00320571">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dodržování</w:t>
      </w:r>
      <w:r w:rsidR="00320571">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zákona o</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cenách a pravidlech cenové regulace, kdy tato byla v tomto roce provedena celkem u</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98 lékáren. V tomto roce nebyla žádná kontrola provedena na základě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570 kontrol se v 364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xml:space="preserve">, u 144 případů se jednalo o významné případně o opakované závady, a u 61 případů se jednalo </w:t>
      </w:r>
      <w:r w:rsidRPr="002872A6">
        <w:rPr>
          <w:rFonts w:asciiTheme="minorHAnsi" w:hAnsiTheme="minorHAnsi" w:cstheme="minorHAnsi"/>
          <w:color w:val="auto"/>
          <w:sz w:val="24"/>
          <w:szCs w:val="24"/>
        </w:rPr>
        <w:lastRenderedPageBreak/>
        <w:t>o</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závažné porušení až kritickou závadu. V reakci na </w:t>
      </w:r>
      <w:r w:rsidR="00320571">
        <w:rPr>
          <w:rFonts w:asciiTheme="minorHAnsi" w:hAnsiTheme="minorHAnsi" w:cstheme="minorHAnsi"/>
          <w:color w:val="auto"/>
          <w:sz w:val="24"/>
          <w:szCs w:val="24"/>
        </w:rPr>
        <w:t xml:space="preserve">zjištěná </w:t>
      </w:r>
      <w:r w:rsidRPr="002872A6">
        <w:rPr>
          <w:rFonts w:asciiTheme="minorHAnsi" w:hAnsiTheme="minorHAnsi" w:cstheme="minorHAnsi"/>
          <w:color w:val="auto"/>
          <w:sz w:val="24"/>
          <w:szCs w:val="24"/>
        </w:rPr>
        <w:t>porušení stanovených právních předpisů, bylo uděleno 110 pokut v příkazním řízení, dále 1 pokuta za</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neposkytnutí součinnosti v rámci kontroly, u 8 prohřešků bylo přistoupeno k pozastavení přípravy léčivých přípravků. Mimo to bylo uloženo 8 napomenutí.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i/>
          <w:iCs/>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„závažné nedostatky v řádném vedení evidence příjmu, zásob a výdeje léčivých přípravků, výdej léčivých přípravků bez lékařského předpisu nebo na neplatné předpisy, výdej neoprávněnými osobami, výdej léčivých přípravků se závadami v jakosti, na základě kterých měly být staženy z oběhu, nelegální distribuce a vývoz z léčivých přípravků z lékáren do zahraničí, nedodržování zásad správné lékárenské praxe při přípravě léčivých přípravků, zejména používání léčivých nebo pomocných látek k přípravě po době jejich použitelnosti nebo bez dokladu o jejich jakosti“.</w:t>
      </w:r>
      <w:r w:rsidRPr="002872A6">
        <w:rPr>
          <w:rStyle w:val="Ukotvenpoznmkypodarou"/>
          <w:rFonts w:asciiTheme="minorHAnsi" w:hAnsiTheme="minorHAnsi" w:cstheme="minorHAnsi"/>
          <w:i/>
          <w:iCs/>
          <w:color w:val="auto"/>
          <w:sz w:val="24"/>
          <w:szCs w:val="24"/>
        </w:rPr>
        <w:footnoteReference w:id="25"/>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344 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289</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45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10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 reakci na</w:t>
      </w:r>
      <w:r w:rsidR="00320571">
        <w:rPr>
          <w:rFonts w:asciiTheme="minorHAnsi" w:hAnsiTheme="minorHAnsi" w:cstheme="minorHAnsi"/>
          <w:color w:val="auto"/>
          <w:sz w:val="24"/>
          <w:szCs w:val="24"/>
        </w:rPr>
        <w:t xml:space="preserve"> zjištěná </w:t>
      </w:r>
      <w:r w:rsidRPr="002872A6">
        <w:rPr>
          <w:rFonts w:asciiTheme="minorHAnsi" w:hAnsiTheme="minorHAnsi" w:cstheme="minorHAnsi"/>
          <w:color w:val="auto"/>
          <w:sz w:val="24"/>
          <w:szCs w:val="24"/>
        </w:rPr>
        <w:t xml:space="preserve">porušení stanovených právních předpisů, bylo uděleno </w:t>
      </w:r>
      <w:r>
        <w:rPr>
          <w:rFonts w:asciiTheme="minorHAnsi" w:hAnsiTheme="minorHAnsi" w:cstheme="minorHAnsi"/>
          <w:color w:val="auto"/>
          <w:sz w:val="24"/>
          <w:szCs w:val="24"/>
        </w:rPr>
        <w:t>23</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w:t>
      </w:r>
      <w:r w:rsidRPr="002872A6">
        <w:rPr>
          <w:rFonts w:asciiTheme="minorHAnsi" w:hAnsiTheme="minorHAnsi" w:cstheme="minorHAnsi"/>
          <w:color w:val="auto"/>
          <w:sz w:val="24"/>
          <w:szCs w:val="24"/>
        </w:rPr>
        <w:t xml:space="preserve"> se jednalo o neza</w:t>
      </w:r>
      <w:r>
        <w:rPr>
          <w:rFonts w:asciiTheme="minorHAnsi" w:hAnsiTheme="minorHAnsi" w:cstheme="minorHAnsi"/>
          <w:color w:val="auto"/>
          <w:sz w:val="24"/>
          <w:szCs w:val="24"/>
        </w:rPr>
        <w:t>slání ročního hlášení o stavu a pohybu návykových látek a </w:t>
      </w:r>
      <w:r w:rsidRPr="002872A6">
        <w:rPr>
          <w:rFonts w:asciiTheme="minorHAnsi" w:hAnsiTheme="minorHAnsi" w:cstheme="minorHAnsi"/>
          <w:color w:val="auto"/>
          <w:sz w:val="24"/>
          <w:szCs w:val="24"/>
        </w:rPr>
        <w:t>přípravků, a jejich dokladů, závažného porušení vedení evidence a dokumentace, případně nesprávně uvedené údaje v ročním hlášení.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52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 reakci na tato porušení stanovených právních předpisů, byl</w:t>
      </w:r>
      <w:r w:rsidR="002E491B">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udělen</w:t>
      </w:r>
      <w:r>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2</w:t>
      </w:r>
      <w:r w:rsidRPr="002872A6">
        <w:rPr>
          <w:rFonts w:asciiTheme="minorHAnsi" w:hAnsiTheme="minorHAnsi" w:cstheme="minorHAnsi"/>
          <w:color w:val="auto"/>
          <w:sz w:val="24"/>
          <w:szCs w:val="24"/>
        </w:rPr>
        <w:t xml:space="preserve"> pokut</w:t>
      </w:r>
      <w:r>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v příkazním řízení</w:t>
      </w:r>
      <w:r>
        <w:rPr>
          <w:rFonts w:asciiTheme="minorHAnsi" w:hAnsiTheme="minorHAnsi" w:cstheme="minorHAnsi"/>
          <w:color w:val="auto"/>
          <w:sz w:val="24"/>
          <w:szCs w:val="24"/>
        </w:rPr>
        <w:t xml:space="preserve"> a 15 napomenutí</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w:t>
      </w:r>
      <w:r>
        <w:rPr>
          <w:rFonts w:asciiTheme="minorHAnsi" w:hAnsiTheme="minorHAnsi" w:cstheme="minorHAnsi"/>
          <w:color w:val="auto"/>
          <w:sz w:val="24"/>
          <w:szCs w:val="24"/>
        </w:rPr>
        <w:t> </w:t>
      </w:r>
      <w:r w:rsidRPr="002872A6">
        <w:rPr>
          <w:rFonts w:asciiTheme="minorHAnsi" w:hAnsiTheme="minorHAnsi" w:cstheme="minorHAnsi"/>
          <w:i/>
          <w:iCs/>
          <w:color w:val="auto"/>
          <w:sz w:val="24"/>
          <w:szCs w:val="24"/>
        </w:rPr>
        <w:t>„nedodržení závazného postupu při tvorbě prodejní ceny individuálně připravených a</w:t>
      </w:r>
      <w:r>
        <w:rPr>
          <w:rFonts w:asciiTheme="minorHAnsi" w:hAnsiTheme="minorHAnsi" w:cstheme="minorHAnsi"/>
          <w:i/>
          <w:iCs/>
          <w:color w:val="auto"/>
          <w:sz w:val="24"/>
          <w:szCs w:val="24"/>
        </w:rPr>
        <w:t> </w:t>
      </w:r>
      <w:r w:rsidRPr="002872A6">
        <w:rPr>
          <w:rFonts w:asciiTheme="minorHAnsi" w:hAnsiTheme="minorHAnsi" w:cstheme="minorHAnsi"/>
          <w:i/>
          <w:iCs/>
          <w:color w:val="auto"/>
          <w:sz w:val="24"/>
          <w:szCs w:val="24"/>
        </w:rPr>
        <w:t xml:space="preserve">hromadně vyráběných léčivých přípravků upravených před výdejem, nevedení nebo </w:t>
      </w:r>
      <w:r w:rsidRPr="002872A6">
        <w:rPr>
          <w:rFonts w:asciiTheme="minorHAnsi" w:hAnsiTheme="minorHAnsi" w:cstheme="minorHAnsi"/>
          <w:i/>
          <w:iCs/>
          <w:color w:val="auto"/>
          <w:sz w:val="24"/>
          <w:szCs w:val="24"/>
        </w:rPr>
        <w:lastRenderedPageBreak/>
        <w:t>neuchovávání průkazné cenové evidence, nedodržení úředně stanovené maximální ceny při prod</w:t>
      </w:r>
      <w:r>
        <w:rPr>
          <w:rFonts w:asciiTheme="minorHAnsi" w:hAnsiTheme="minorHAnsi" w:cstheme="minorHAnsi"/>
          <w:i/>
          <w:iCs/>
          <w:color w:val="auto"/>
          <w:sz w:val="24"/>
          <w:szCs w:val="24"/>
        </w:rPr>
        <w:t>eji a nerespektování podmínek a </w:t>
      </w:r>
      <w:r w:rsidRPr="002872A6">
        <w:rPr>
          <w:rFonts w:asciiTheme="minorHAnsi" w:hAnsiTheme="minorHAnsi" w:cstheme="minorHAnsi"/>
          <w:i/>
          <w:iCs/>
          <w:color w:val="auto"/>
          <w:sz w:val="24"/>
          <w:szCs w:val="24"/>
        </w:rPr>
        <w:t>postupů pro její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6"/>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505"/>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213 kontrolních vzorků léčivých přípravků, přičemž u tohoto počtu se v 84 případech jednalo o léčivé přípravky určené pro magistraliter přípravu</w:t>
      </w:r>
      <w:r w:rsidR="00320571">
        <w:rPr>
          <w:rFonts w:asciiTheme="minorHAnsi" w:hAnsiTheme="minorHAnsi" w:cstheme="minorHAnsi"/>
          <w:color w:val="auto"/>
          <w:sz w:val="24"/>
          <w:szCs w:val="24"/>
        </w:rPr>
        <w:t xml:space="preserve">, a </w:t>
      </w:r>
      <w:r w:rsidRPr="002872A6">
        <w:rPr>
          <w:rFonts w:asciiTheme="minorHAnsi" w:hAnsiTheme="minorHAnsi" w:cstheme="minorHAnsi"/>
          <w:color w:val="auto"/>
          <w:sz w:val="24"/>
          <w:szCs w:val="24"/>
        </w:rPr>
        <w:t xml:space="preserve">ve 129 případech </w:t>
      </w:r>
      <w:r w:rsidR="00320571">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320571">
        <w:rPr>
          <w:rFonts w:asciiTheme="minorHAnsi" w:hAnsiTheme="minorHAnsi" w:cstheme="minorHAnsi"/>
          <w:color w:val="auto"/>
          <w:sz w:val="24"/>
          <w:szCs w:val="24"/>
        </w:rPr>
        <w:t>. Z</w:t>
      </w:r>
      <w:r w:rsidRPr="002872A6">
        <w:rPr>
          <w:rFonts w:asciiTheme="minorHAnsi" w:hAnsiTheme="minorHAnsi" w:cstheme="minorHAnsi"/>
          <w:color w:val="auto"/>
          <w:sz w:val="24"/>
          <w:szCs w:val="24"/>
        </w:rPr>
        <w:t xml:space="preserve"> tohoto počtu byla u 7 vzorku zjištěna závada v</w:t>
      </w:r>
      <w:r w:rsidR="00320571">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nevyhovujícím obsahu účinné látky nebo pH u očních </w:t>
      </w:r>
      <w:r w:rsidR="00320571">
        <w:rPr>
          <w:rFonts w:asciiTheme="minorHAnsi" w:hAnsiTheme="minorHAnsi" w:cstheme="minorHAnsi"/>
          <w:color w:val="auto"/>
          <w:sz w:val="24"/>
          <w:szCs w:val="24"/>
        </w:rPr>
        <w:t>přípravků. A dále u 5 vzorků se </w:t>
      </w:r>
      <w:r w:rsidRPr="002872A6">
        <w:rPr>
          <w:rFonts w:asciiTheme="minorHAnsi" w:hAnsiTheme="minorHAnsi" w:cstheme="minorHAnsi"/>
          <w:color w:val="auto"/>
          <w:sz w:val="24"/>
          <w:szCs w:val="24"/>
        </w:rPr>
        <w:t>jednalo o pochybení v označení.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23</w:t>
      </w:r>
      <w:r w:rsidR="00320571" w:rsidRPr="008072E4">
        <w:rPr>
          <w:rFonts w:asciiTheme="minorHAnsi" w:hAnsiTheme="minorHAnsi" w:cstheme="minorHAnsi"/>
          <w:color w:val="auto"/>
          <w:sz w:val="24"/>
          <w:szCs w:val="24"/>
        </w:rPr>
        <w:t>]</w:t>
      </w:r>
    </w:p>
    <w:p w:rsidR="00FF446F" w:rsidRPr="002872A6" w:rsidRDefault="00FF446F" w:rsidP="00FF446F">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se zákonem o léčivech, kdy velmi často došlo k</w:t>
      </w:r>
      <w:r w:rsidR="00C645E4">
        <w:rPr>
          <w:rFonts w:asciiTheme="minorHAnsi" w:hAnsiTheme="minorHAnsi" w:cstheme="minorHAnsi"/>
          <w:color w:val="auto"/>
          <w:sz w:val="24"/>
          <w:szCs w:val="24"/>
        </w:rPr>
        <w:t> porušení v rámci u</w:t>
      </w:r>
      <w:r w:rsidR="00C645E4" w:rsidRPr="00C645E4">
        <w:rPr>
          <w:rFonts w:asciiTheme="minorHAnsi" w:hAnsiTheme="minorHAnsi" w:cstheme="minorHAnsi"/>
          <w:color w:val="auto"/>
          <w:sz w:val="24"/>
          <w:szCs w:val="24"/>
        </w:rPr>
        <w:t>vede</w:t>
      </w:r>
      <w:r w:rsidR="00C645E4">
        <w:rPr>
          <w:rFonts w:asciiTheme="minorHAnsi" w:hAnsiTheme="minorHAnsi" w:cstheme="minorHAnsi"/>
          <w:color w:val="auto"/>
          <w:sz w:val="24"/>
          <w:szCs w:val="24"/>
        </w:rPr>
        <w:t>ní</w:t>
      </w:r>
      <w:r w:rsidR="002B03E5">
        <w:rPr>
          <w:rFonts w:asciiTheme="minorHAnsi" w:hAnsiTheme="minorHAnsi" w:cstheme="minorHAnsi"/>
          <w:color w:val="auto"/>
          <w:sz w:val="24"/>
          <w:szCs w:val="24"/>
        </w:rPr>
        <w:t xml:space="preserve"> na </w:t>
      </w:r>
      <w:r w:rsidR="00C645E4">
        <w:rPr>
          <w:rFonts w:asciiTheme="minorHAnsi" w:hAnsiTheme="minorHAnsi" w:cstheme="minorHAnsi"/>
          <w:color w:val="auto"/>
          <w:sz w:val="24"/>
          <w:szCs w:val="24"/>
        </w:rPr>
        <w:t xml:space="preserve">trh, do oběhu, </w:t>
      </w:r>
      <w:r w:rsidR="00C645E4" w:rsidRPr="00C645E4">
        <w:rPr>
          <w:rFonts w:asciiTheme="minorHAnsi" w:hAnsiTheme="minorHAnsi" w:cstheme="minorHAnsi"/>
          <w:color w:val="auto"/>
          <w:sz w:val="24"/>
          <w:szCs w:val="24"/>
        </w:rPr>
        <w:t>vydá</w:t>
      </w:r>
      <w:r w:rsidR="00C645E4">
        <w:rPr>
          <w:rFonts w:asciiTheme="minorHAnsi" w:hAnsiTheme="minorHAnsi" w:cstheme="minorHAnsi"/>
          <w:color w:val="auto"/>
          <w:sz w:val="24"/>
          <w:szCs w:val="24"/>
        </w:rPr>
        <w:t>ní</w:t>
      </w:r>
      <w:r w:rsidR="00C645E4" w:rsidRPr="00C645E4">
        <w:rPr>
          <w:rFonts w:asciiTheme="minorHAnsi" w:hAnsiTheme="minorHAnsi" w:cstheme="minorHAnsi"/>
          <w:color w:val="auto"/>
          <w:sz w:val="24"/>
          <w:szCs w:val="24"/>
        </w:rPr>
        <w:t xml:space="preserve"> nebo uži</w:t>
      </w:r>
      <w:r w:rsidR="00C645E4">
        <w:rPr>
          <w:rFonts w:asciiTheme="minorHAnsi" w:hAnsiTheme="minorHAnsi" w:cstheme="minorHAnsi"/>
          <w:color w:val="auto"/>
          <w:sz w:val="24"/>
          <w:szCs w:val="24"/>
        </w:rPr>
        <w:t>tí</w:t>
      </w:r>
      <w:r w:rsidR="00C645E4" w:rsidRPr="00C645E4">
        <w:rPr>
          <w:rFonts w:asciiTheme="minorHAnsi" w:hAnsiTheme="minorHAnsi" w:cstheme="minorHAnsi"/>
          <w:color w:val="auto"/>
          <w:sz w:val="24"/>
          <w:szCs w:val="24"/>
        </w:rPr>
        <w:t xml:space="preserve"> při poskytování zdravotních služeb léčiv</w:t>
      </w:r>
      <w:r w:rsidR="00C645E4">
        <w:rPr>
          <w:rFonts w:asciiTheme="minorHAnsi" w:hAnsiTheme="minorHAnsi" w:cstheme="minorHAnsi"/>
          <w:color w:val="auto"/>
          <w:sz w:val="24"/>
          <w:szCs w:val="24"/>
        </w:rPr>
        <w:t>a</w:t>
      </w:r>
      <w:r w:rsidR="00C645E4" w:rsidRPr="00C645E4">
        <w:rPr>
          <w:rFonts w:asciiTheme="minorHAnsi" w:hAnsiTheme="minorHAnsi" w:cstheme="minorHAnsi"/>
          <w:color w:val="auto"/>
          <w:sz w:val="24"/>
          <w:szCs w:val="24"/>
        </w:rPr>
        <w:t xml:space="preserve"> </w:t>
      </w:r>
      <w:r w:rsidR="00C645E4">
        <w:rPr>
          <w:rFonts w:asciiTheme="minorHAnsi" w:hAnsiTheme="minorHAnsi" w:cstheme="minorHAnsi"/>
          <w:color w:val="auto"/>
          <w:sz w:val="24"/>
          <w:szCs w:val="24"/>
        </w:rPr>
        <w:t>s prošlou dobou použitelnosti, závadou v</w:t>
      </w:r>
      <w:r w:rsidR="002B03E5">
        <w:rPr>
          <w:rFonts w:asciiTheme="minorHAnsi" w:hAnsiTheme="minorHAnsi" w:cstheme="minorHAnsi"/>
          <w:color w:val="auto"/>
          <w:sz w:val="24"/>
          <w:szCs w:val="24"/>
        </w:rPr>
        <w:t> </w:t>
      </w:r>
      <w:r w:rsidR="00C645E4">
        <w:rPr>
          <w:rFonts w:asciiTheme="minorHAnsi" w:hAnsiTheme="minorHAnsi" w:cstheme="minorHAnsi"/>
          <w:color w:val="auto"/>
          <w:sz w:val="24"/>
          <w:szCs w:val="24"/>
        </w:rPr>
        <w:t>jakosti</w:t>
      </w:r>
      <w:r w:rsidR="002B03E5">
        <w:rPr>
          <w:rFonts w:asciiTheme="minorHAnsi" w:hAnsiTheme="minorHAnsi" w:cstheme="minorHAnsi"/>
          <w:color w:val="auto"/>
          <w:sz w:val="24"/>
          <w:szCs w:val="24"/>
        </w:rPr>
        <w:t xml:space="preserve"> nebo u nichž o tom rozhodl SÚKL</w:t>
      </w:r>
      <w:r>
        <w:rPr>
          <w:rFonts w:asciiTheme="minorHAnsi" w:hAnsiTheme="minorHAnsi" w:cstheme="minorHAnsi"/>
          <w:color w:val="auto"/>
          <w:sz w:val="24"/>
          <w:szCs w:val="24"/>
        </w:rPr>
        <w:t xml:space="preserve">, za což byla ukládána pokuta ve výši </w:t>
      </w:r>
      <w:r w:rsidR="00C645E4">
        <w:rPr>
          <w:rFonts w:asciiTheme="minorHAnsi" w:hAnsiTheme="minorHAnsi" w:cstheme="minorHAnsi"/>
          <w:color w:val="auto"/>
          <w:sz w:val="24"/>
          <w:szCs w:val="24"/>
        </w:rPr>
        <w:t>10</w:t>
      </w:r>
      <w:r>
        <w:rPr>
          <w:rFonts w:asciiTheme="minorHAnsi" w:hAnsiTheme="minorHAnsi" w:cstheme="minorHAnsi"/>
          <w:color w:val="auto"/>
          <w:sz w:val="24"/>
          <w:szCs w:val="24"/>
        </w:rPr>
        <w:t xml:space="preserve">.000,- Kč až </w:t>
      </w:r>
      <w:r w:rsidR="002B03E5">
        <w:rPr>
          <w:rFonts w:asciiTheme="minorHAnsi" w:hAnsiTheme="minorHAnsi" w:cstheme="minorHAnsi"/>
          <w:color w:val="auto"/>
          <w:sz w:val="24"/>
          <w:szCs w:val="24"/>
        </w:rPr>
        <w:t>2</w:t>
      </w:r>
      <w:r>
        <w:rPr>
          <w:rFonts w:asciiTheme="minorHAnsi" w:hAnsiTheme="minorHAnsi" w:cstheme="minorHAnsi"/>
          <w:color w:val="auto"/>
          <w:sz w:val="24"/>
          <w:szCs w:val="24"/>
        </w:rPr>
        <w:t>0.000,- Kč, př</w:t>
      </w:r>
      <w:r w:rsidR="002B03E5">
        <w:rPr>
          <w:rFonts w:asciiTheme="minorHAnsi" w:hAnsiTheme="minorHAnsi" w:cstheme="minorHAnsi"/>
          <w:color w:val="auto"/>
          <w:sz w:val="24"/>
          <w:szCs w:val="24"/>
        </w:rPr>
        <w:t>ičemž maximální hrozící výše za </w:t>
      </w:r>
      <w:r>
        <w:rPr>
          <w:rFonts w:asciiTheme="minorHAnsi" w:hAnsiTheme="minorHAnsi" w:cstheme="minorHAnsi"/>
          <w:color w:val="auto"/>
          <w:sz w:val="24"/>
          <w:szCs w:val="24"/>
        </w:rPr>
        <w:t>tento přestupek byla čás</w:t>
      </w:r>
      <w:r w:rsidR="00C645E4">
        <w:rPr>
          <w:rFonts w:asciiTheme="minorHAnsi" w:hAnsiTheme="minorHAnsi" w:cstheme="minorHAnsi"/>
          <w:color w:val="auto"/>
          <w:sz w:val="24"/>
          <w:szCs w:val="24"/>
        </w:rPr>
        <w:t>tka 5</w:t>
      </w:r>
      <w:r>
        <w:rPr>
          <w:rFonts w:asciiTheme="minorHAnsi" w:hAnsiTheme="minorHAnsi" w:cstheme="minorHAnsi"/>
          <w:color w:val="auto"/>
          <w:sz w:val="24"/>
          <w:szCs w:val="24"/>
        </w:rPr>
        <w:t>.000.000,-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Nejvyšší uložená pokuta v tomto roce byla ve výši 2.000.000,- Kč a byla za p</w:t>
      </w:r>
      <w:r w:rsidRPr="00B772BC">
        <w:rPr>
          <w:rFonts w:asciiTheme="minorHAnsi" w:hAnsiTheme="minorHAnsi" w:cstheme="minorHAnsi"/>
          <w:color w:val="auto"/>
          <w:sz w:val="24"/>
          <w:szCs w:val="24"/>
        </w:rPr>
        <w:t>oruš</w:t>
      </w:r>
      <w:r>
        <w:rPr>
          <w:rFonts w:asciiTheme="minorHAnsi" w:hAnsiTheme="minorHAnsi" w:cstheme="minorHAnsi"/>
          <w:color w:val="auto"/>
          <w:sz w:val="24"/>
          <w:szCs w:val="24"/>
        </w:rPr>
        <w:t>ení</w:t>
      </w:r>
      <w:r w:rsidRPr="00B772BC">
        <w:rPr>
          <w:rFonts w:asciiTheme="minorHAnsi" w:hAnsiTheme="minorHAnsi" w:cstheme="minorHAnsi"/>
          <w:color w:val="auto"/>
          <w:sz w:val="24"/>
          <w:szCs w:val="24"/>
        </w:rPr>
        <w:t xml:space="preserve"> </w:t>
      </w:r>
      <w:r w:rsidR="00C645E4">
        <w:rPr>
          <w:rFonts w:asciiTheme="minorHAnsi" w:hAnsiTheme="minorHAnsi" w:cstheme="minorHAnsi"/>
          <w:color w:val="auto"/>
          <w:sz w:val="24"/>
          <w:szCs w:val="24"/>
        </w:rPr>
        <w:t xml:space="preserve">pravidel </w:t>
      </w:r>
      <w:r w:rsidR="00C645E4" w:rsidRPr="00C645E4">
        <w:rPr>
          <w:rFonts w:asciiTheme="minorHAnsi" w:hAnsiTheme="minorHAnsi" w:cstheme="minorHAnsi"/>
          <w:color w:val="auto"/>
          <w:sz w:val="24"/>
          <w:szCs w:val="24"/>
        </w:rPr>
        <w:t>správné klinické praxe</w:t>
      </w:r>
      <w:r w:rsidR="00C645E4">
        <w:rPr>
          <w:rFonts w:asciiTheme="minorHAnsi" w:hAnsiTheme="minorHAnsi" w:cstheme="minorHAnsi"/>
          <w:color w:val="auto"/>
          <w:sz w:val="24"/>
          <w:szCs w:val="24"/>
        </w:rPr>
        <w:t xml:space="preserve"> při</w:t>
      </w:r>
      <w:r w:rsidR="00C645E4" w:rsidRPr="00C645E4">
        <w:rPr>
          <w:rFonts w:asciiTheme="minorHAnsi" w:hAnsiTheme="minorHAnsi" w:cstheme="minorHAnsi"/>
          <w:color w:val="auto"/>
          <w:sz w:val="24"/>
          <w:szCs w:val="24"/>
        </w:rPr>
        <w:t xml:space="preserve"> klinickém hodnocení</w:t>
      </w:r>
      <w:r w:rsidR="00C645E4">
        <w:rPr>
          <w:rFonts w:asciiTheme="minorHAnsi" w:hAnsiTheme="minorHAnsi" w:cstheme="minorHAnsi"/>
          <w:color w:val="auto"/>
          <w:sz w:val="24"/>
          <w:szCs w:val="24"/>
        </w:rPr>
        <w:t>,</w:t>
      </w:r>
      <w:r>
        <w:rPr>
          <w:rFonts w:asciiTheme="minorHAnsi" w:hAnsiTheme="minorHAnsi" w:cstheme="minorHAnsi"/>
          <w:color w:val="auto"/>
          <w:sz w:val="24"/>
          <w:szCs w:val="24"/>
        </w:rPr>
        <w:t xml:space="preserve"> přičemž maximální hrozící výše z</w:t>
      </w:r>
      <w:r w:rsidR="00C645E4">
        <w:rPr>
          <w:rFonts w:asciiTheme="minorHAnsi" w:hAnsiTheme="minorHAnsi" w:cstheme="minorHAnsi"/>
          <w:color w:val="auto"/>
          <w:sz w:val="24"/>
          <w:szCs w:val="24"/>
        </w:rPr>
        <w:t>a tento přestupek byla částka 5</w:t>
      </w:r>
      <w:r>
        <w:rPr>
          <w:rFonts w:asciiTheme="minorHAnsi" w:hAnsiTheme="minorHAnsi" w:cstheme="minorHAnsi"/>
          <w:color w:val="auto"/>
          <w:sz w:val="24"/>
          <w:szCs w:val="24"/>
        </w:rPr>
        <w:t>.000.000,-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rPr>
          <w:rFonts w:asciiTheme="minorHAnsi" w:hAnsiTheme="minorHAnsi" w:cstheme="minorHAnsi"/>
          <w:color w:val="auto"/>
          <w:sz w:val="24"/>
          <w:szCs w:val="24"/>
        </w:rPr>
      </w:pPr>
    </w:p>
    <w:p w:rsidR="00294E20" w:rsidRPr="002872A6" w:rsidRDefault="00294E20" w:rsidP="00294E20">
      <w:pPr>
        <w:pStyle w:val="Nadpis3"/>
        <w:ind w:left="851" w:hanging="851"/>
        <w:rPr>
          <w:rFonts w:asciiTheme="minorHAnsi" w:hAnsiTheme="minorHAnsi" w:cstheme="minorHAnsi"/>
          <w:b/>
          <w:color w:val="auto"/>
          <w:sz w:val="28"/>
          <w:szCs w:val="28"/>
        </w:rPr>
      </w:pPr>
      <w:bookmarkStart w:id="121" w:name="_Toc164078846"/>
      <w:bookmarkStart w:id="122" w:name="_Toc163647385"/>
      <w:bookmarkStart w:id="123" w:name="_Toc163759381"/>
      <w:bookmarkStart w:id="124" w:name="_Toc165990654"/>
      <w:bookmarkEnd w:id="121"/>
      <w:bookmarkEnd w:id="122"/>
      <w:bookmarkEnd w:id="123"/>
      <w:r w:rsidRPr="002872A6">
        <w:rPr>
          <w:rFonts w:asciiTheme="minorHAnsi" w:hAnsiTheme="minorHAnsi" w:cstheme="minorHAnsi"/>
          <w:b/>
          <w:color w:val="auto"/>
          <w:sz w:val="28"/>
          <w:szCs w:val="28"/>
        </w:rPr>
        <w:t>Rok 2021</w:t>
      </w:r>
      <w:bookmarkEnd w:id="124"/>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2021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2021 vydané SÚKL.</w:t>
      </w:r>
    </w:p>
    <w:p w:rsidR="00320571"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2021 měl SÚKL v evidenci 2.476 lékáren a 210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Což oproti předchozímu roku bylo navýšení o 9 lékáren, a snížení o 1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roce 2021 provedl SÚKL celkem 668</w:t>
      </w:r>
      <w:r>
        <w:rPr>
          <w:rFonts w:asciiTheme="minorHAnsi" w:hAnsiTheme="minorHAnsi" w:cstheme="minorHAnsi"/>
          <w:color w:val="auto"/>
          <w:sz w:val="24"/>
          <w:szCs w:val="24"/>
        </w:rPr>
        <w:t xml:space="preserve"> inspekcí lékáren, přičemž v 39 </w:t>
      </w:r>
      <w:r w:rsidRPr="002872A6">
        <w:rPr>
          <w:rFonts w:asciiTheme="minorHAnsi" w:hAnsiTheme="minorHAnsi" w:cstheme="minorHAnsi"/>
          <w:color w:val="auto"/>
          <w:sz w:val="24"/>
          <w:szCs w:val="24"/>
        </w:rPr>
        <w:t>případech to byla kontrola nemocničních lékáren. U 20 proved</w:t>
      </w:r>
      <w:r>
        <w:rPr>
          <w:rFonts w:asciiTheme="minorHAnsi" w:hAnsiTheme="minorHAnsi" w:cstheme="minorHAnsi"/>
          <w:color w:val="auto"/>
          <w:sz w:val="24"/>
          <w:szCs w:val="24"/>
        </w:rPr>
        <w:t>ených kontrol se </w:t>
      </w:r>
      <w:r w:rsidRPr="002872A6">
        <w:rPr>
          <w:rFonts w:asciiTheme="minorHAnsi" w:hAnsiTheme="minorHAnsi" w:cstheme="minorHAnsi"/>
          <w:color w:val="auto"/>
          <w:sz w:val="24"/>
          <w:szCs w:val="24"/>
        </w:rPr>
        <w:t>jednalo o kontroly provedené na základně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320571">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320571">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w:t>
      </w:r>
      <w:r>
        <w:rPr>
          <w:rFonts w:asciiTheme="minorHAnsi" w:hAnsiTheme="minorHAnsi" w:cstheme="minorHAnsi"/>
          <w:color w:val="auto"/>
          <w:sz w:val="24"/>
          <w:szCs w:val="24"/>
        </w:rPr>
        <w:t>ovedena celkem u 423 lékáren. V </w:t>
      </w:r>
      <w:r w:rsidRPr="002872A6">
        <w:rPr>
          <w:rFonts w:asciiTheme="minorHAnsi" w:hAnsiTheme="minorHAnsi" w:cstheme="minorHAnsi"/>
          <w:color w:val="auto"/>
          <w:sz w:val="24"/>
          <w:szCs w:val="24"/>
        </w:rPr>
        <w:t xml:space="preserve">tomto roce nebyla žádná kontrola provedena na základě obdrženého podnětu. Dále </w:t>
      </w:r>
      <w:r w:rsidRPr="002872A6">
        <w:rPr>
          <w:rFonts w:asciiTheme="minorHAnsi" w:hAnsiTheme="minorHAnsi" w:cstheme="minorHAnsi"/>
          <w:color w:val="auto"/>
          <w:sz w:val="24"/>
          <w:szCs w:val="24"/>
        </w:rPr>
        <w:lastRenderedPageBreak/>
        <w:t xml:space="preserve">nad rámec těchto kontrol byla provedena též kontrola </w:t>
      </w:r>
      <w:r>
        <w:rPr>
          <w:rFonts w:asciiTheme="minorHAnsi" w:hAnsiTheme="minorHAnsi" w:cstheme="minorHAnsi"/>
          <w:color w:val="auto"/>
          <w:sz w:val="24"/>
          <w:szCs w:val="24"/>
        </w:rPr>
        <w:t>na</w:t>
      </w:r>
      <w:r w:rsidR="00320571">
        <w:rPr>
          <w:rFonts w:asciiTheme="minorHAnsi" w:hAnsiTheme="minorHAnsi" w:cstheme="minorHAnsi"/>
          <w:color w:val="auto"/>
          <w:sz w:val="24"/>
          <w:szCs w:val="24"/>
        </w:rPr>
        <w:t>d</w:t>
      </w:r>
      <w:r>
        <w:rPr>
          <w:rFonts w:asciiTheme="minorHAnsi" w:hAnsiTheme="minorHAnsi" w:cstheme="minorHAnsi"/>
          <w:color w:val="auto"/>
          <w:sz w:val="24"/>
          <w:szCs w:val="24"/>
        </w:rPr>
        <w:t xml:space="preserve"> dodržování</w:t>
      </w:r>
      <w:r w:rsidR="00320571">
        <w:rPr>
          <w:rFonts w:asciiTheme="minorHAnsi" w:hAnsiTheme="minorHAnsi" w:cstheme="minorHAnsi"/>
          <w:color w:val="auto"/>
          <w:sz w:val="24"/>
          <w:szCs w:val="24"/>
        </w:rPr>
        <w:t>m zákona o </w:t>
      </w:r>
      <w:r>
        <w:rPr>
          <w:rFonts w:asciiTheme="minorHAnsi" w:hAnsiTheme="minorHAnsi" w:cstheme="minorHAnsi"/>
          <w:color w:val="auto"/>
          <w:sz w:val="24"/>
          <w:szCs w:val="24"/>
        </w:rPr>
        <w:t>cenách a </w:t>
      </w:r>
      <w:r w:rsidRPr="002872A6">
        <w:rPr>
          <w:rFonts w:asciiTheme="minorHAnsi" w:hAnsiTheme="minorHAnsi" w:cstheme="minorHAnsi"/>
          <w:color w:val="auto"/>
          <w:sz w:val="24"/>
          <w:szCs w:val="24"/>
        </w:rPr>
        <w:t>pravidlech cenové regulace, kdy tato byla v to</w:t>
      </w:r>
      <w:r>
        <w:rPr>
          <w:rFonts w:asciiTheme="minorHAnsi" w:hAnsiTheme="minorHAnsi" w:cstheme="minorHAnsi"/>
          <w:color w:val="auto"/>
          <w:sz w:val="24"/>
          <w:szCs w:val="24"/>
        </w:rPr>
        <w:t>mto roce provedena celkem u 100 </w:t>
      </w:r>
      <w:r w:rsidRPr="002872A6">
        <w:rPr>
          <w:rFonts w:asciiTheme="minorHAnsi" w:hAnsiTheme="minorHAnsi" w:cstheme="minorHAnsi"/>
          <w:color w:val="auto"/>
          <w:sz w:val="24"/>
          <w:szCs w:val="24"/>
        </w:rPr>
        <w:t>lékáren. V tomto roce nebyla žádná kontrola provedena na základě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668 kontrol se v 449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127 případů se jednalo o významné případně o opakované záva</w:t>
      </w:r>
      <w:r w:rsidR="00320571">
        <w:rPr>
          <w:rFonts w:asciiTheme="minorHAnsi" w:hAnsiTheme="minorHAnsi" w:cstheme="minorHAnsi"/>
          <w:color w:val="auto"/>
          <w:sz w:val="24"/>
          <w:szCs w:val="24"/>
        </w:rPr>
        <w:t>dy, a u 91 případů se jednalo o </w:t>
      </w:r>
      <w:r w:rsidRPr="002872A6">
        <w:rPr>
          <w:rFonts w:asciiTheme="minorHAnsi" w:hAnsiTheme="minorHAnsi" w:cstheme="minorHAnsi"/>
          <w:color w:val="auto"/>
          <w:sz w:val="24"/>
          <w:szCs w:val="24"/>
        </w:rPr>
        <w:t xml:space="preserve">závažné porušení až kritickou závadu. V reakci na </w:t>
      </w:r>
      <w:r w:rsidR="00320571">
        <w:rPr>
          <w:rFonts w:asciiTheme="minorHAnsi" w:hAnsiTheme="minorHAnsi" w:cstheme="minorHAnsi"/>
          <w:color w:val="auto"/>
          <w:sz w:val="24"/>
          <w:szCs w:val="24"/>
        </w:rPr>
        <w:t xml:space="preserve">zjištěná </w:t>
      </w:r>
      <w:r w:rsidRPr="002872A6">
        <w:rPr>
          <w:rFonts w:asciiTheme="minorHAnsi" w:hAnsiTheme="minorHAnsi" w:cstheme="minorHAnsi"/>
          <w:color w:val="auto"/>
          <w:sz w:val="24"/>
          <w:szCs w:val="24"/>
        </w:rPr>
        <w:t>porušení stanovených právních předpisů, bylo uděleno 87 pokut v pří</w:t>
      </w:r>
      <w:r w:rsidR="00320571">
        <w:rPr>
          <w:rFonts w:asciiTheme="minorHAnsi" w:hAnsiTheme="minorHAnsi" w:cstheme="minorHAnsi"/>
          <w:color w:val="auto"/>
          <w:sz w:val="24"/>
          <w:szCs w:val="24"/>
        </w:rPr>
        <w:t>kazním řízení, dále 3 pokuty za </w:t>
      </w:r>
      <w:r w:rsidRPr="002872A6">
        <w:rPr>
          <w:rFonts w:asciiTheme="minorHAnsi" w:hAnsiTheme="minorHAnsi" w:cstheme="minorHAnsi"/>
          <w:color w:val="auto"/>
          <w:sz w:val="24"/>
          <w:szCs w:val="24"/>
        </w:rPr>
        <w:t>neposkytnutí součinnosti v rámci kontroly, u 5 prohřešků bylo přistoupeno k pozastavení přípravy léčivých přípravků. Mimo to bylo uloženo 1 napomenutí.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„velmi závažné nedostatky v řádném vedení a uchovávání evidence příjmu, zásob a výdeje léčivých přípravků, nelegální distribuce a vývoz léčivých přípravků do zahraničí, výdej léčivých přípravků bez lékařského předpisu nebo na neplatné předpisy, výdej neoprávněnými osobami, výdej léčivých přípravků se závadami v jakosti, na základě kterých měly být staženy z oběhu, nedodržování zásad správné lékárenské praxe při přípravě léčivých přípravků, zejména používání léčivých nebo pomocných látek k přípravě po době jejich použitelnosti nebo bez dokladu o jejich jakos</w:t>
      </w:r>
      <w:r w:rsidR="00502749">
        <w:rPr>
          <w:rFonts w:asciiTheme="minorHAnsi" w:hAnsiTheme="minorHAnsi" w:cstheme="minorHAnsi"/>
          <w:i/>
          <w:iCs/>
          <w:color w:val="auto"/>
          <w:sz w:val="24"/>
          <w:szCs w:val="24"/>
        </w:rPr>
        <w:t>ti, a příprava na neověřených vá</w:t>
      </w:r>
      <w:r w:rsidRPr="002872A6">
        <w:rPr>
          <w:rFonts w:asciiTheme="minorHAnsi" w:hAnsiTheme="minorHAnsi" w:cstheme="minorHAnsi"/>
          <w:i/>
          <w:iCs/>
          <w:color w:val="auto"/>
          <w:sz w:val="24"/>
          <w:szCs w:val="24"/>
        </w:rPr>
        <w:t>hách“</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7"/>
      </w:r>
      <w:r w:rsidR="006976E4">
        <w:rPr>
          <w:rFonts w:asciiTheme="minorHAnsi" w:hAnsiTheme="minorHAnsi" w:cstheme="minorHAnsi"/>
          <w:color w:val="auto"/>
          <w:sz w:val="24"/>
          <w:szCs w:val="24"/>
        </w:rPr>
        <w:t>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kontrol zacházení s návykovými látkami bylo zjištění, že z počtu </w:t>
      </w:r>
      <w:r>
        <w:rPr>
          <w:rFonts w:asciiTheme="minorHAnsi" w:hAnsiTheme="minorHAnsi" w:cstheme="minorHAnsi"/>
          <w:color w:val="auto"/>
          <w:sz w:val="24"/>
          <w:szCs w:val="24"/>
        </w:rPr>
        <w:t>423 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330</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71 </w:t>
      </w:r>
      <w:r w:rsidRPr="002872A6">
        <w:rPr>
          <w:rFonts w:asciiTheme="minorHAnsi" w:hAnsiTheme="minorHAnsi" w:cstheme="minorHAnsi"/>
          <w:color w:val="auto"/>
          <w:sz w:val="24"/>
          <w:szCs w:val="24"/>
        </w:rPr>
        <w:t xml:space="preserve">případů se jednalo o významné případně o opakované závady, a u </w:t>
      </w:r>
      <w:r>
        <w:rPr>
          <w:rFonts w:asciiTheme="minorHAnsi" w:hAnsiTheme="minorHAnsi" w:cstheme="minorHAnsi"/>
          <w:color w:val="auto"/>
          <w:sz w:val="24"/>
          <w:szCs w:val="24"/>
        </w:rPr>
        <w:t xml:space="preserve">22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V reakci na</w:t>
      </w:r>
      <w:r w:rsidR="006976E4">
        <w:rPr>
          <w:rFonts w:asciiTheme="minorHAnsi" w:hAnsiTheme="minorHAnsi" w:cstheme="minorHAnsi"/>
          <w:color w:val="auto"/>
          <w:sz w:val="24"/>
          <w:szCs w:val="24"/>
        </w:rPr>
        <w:t> zajištěné</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18</w:t>
      </w:r>
      <w:r w:rsidRPr="002872A6">
        <w:rPr>
          <w:rFonts w:asciiTheme="minorHAnsi" w:hAnsiTheme="minorHAnsi" w:cstheme="minorHAnsi"/>
          <w:color w:val="auto"/>
          <w:sz w:val="24"/>
          <w:szCs w:val="24"/>
        </w:rPr>
        <w:t xml:space="preserve"> pokut v příkazním řízení,</w:t>
      </w:r>
      <w:r w:rsidR="006976E4">
        <w:rPr>
          <w:rFonts w:asciiTheme="minorHAnsi" w:hAnsiTheme="minorHAnsi" w:cstheme="minorHAnsi"/>
          <w:color w:val="auto"/>
          <w:sz w:val="24"/>
          <w:szCs w:val="24"/>
        </w:rPr>
        <w:t xml:space="preserve"> a v 1 případě napomenutí.</w:t>
      </w:r>
      <w:r w:rsidRPr="002872A6">
        <w:rPr>
          <w:rFonts w:asciiTheme="minorHAnsi" w:hAnsiTheme="minorHAnsi" w:cstheme="minorHAnsi"/>
          <w:color w:val="auto"/>
          <w:sz w:val="24"/>
          <w:szCs w:val="24"/>
        </w:rPr>
        <w:t xml:space="preserve"> </w:t>
      </w:r>
      <w:r w:rsidR="006976E4">
        <w:rPr>
          <w:rFonts w:asciiTheme="minorHAnsi" w:hAnsiTheme="minorHAnsi" w:cstheme="minorHAnsi"/>
          <w:color w:val="auto"/>
          <w:sz w:val="24"/>
          <w:szCs w:val="24"/>
        </w:rPr>
        <w:t>V</w:t>
      </w:r>
      <w:r>
        <w:rPr>
          <w:rFonts w:asciiTheme="minorHAnsi" w:hAnsiTheme="minorHAnsi" w:cstheme="minorHAnsi"/>
          <w:color w:val="auto"/>
          <w:sz w:val="24"/>
          <w:szCs w:val="24"/>
        </w:rPr>
        <w:t xml:space="preserve">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w:t>
      </w:r>
      <w:r w:rsidRPr="002872A6">
        <w:rPr>
          <w:rFonts w:asciiTheme="minorHAnsi" w:hAnsiTheme="minorHAnsi" w:cstheme="minorHAnsi"/>
          <w:color w:val="auto"/>
          <w:sz w:val="24"/>
          <w:szCs w:val="24"/>
        </w:rPr>
        <w:t xml:space="preserve"> se jednal</w:t>
      </w:r>
      <w:r>
        <w:rPr>
          <w:rFonts w:asciiTheme="minorHAnsi" w:hAnsiTheme="minorHAnsi" w:cstheme="minorHAnsi"/>
          <w:color w:val="auto"/>
          <w:sz w:val="24"/>
          <w:szCs w:val="24"/>
        </w:rPr>
        <w:t>o o nezaslání ročního hlášení o </w:t>
      </w:r>
      <w:r w:rsidRPr="002872A6">
        <w:rPr>
          <w:rFonts w:asciiTheme="minorHAnsi" w:hAnsiTheme="minorHAnsi" w:cstheme="minorHAnsi"/>
          <w:color w:val="auto"/>
          <w:sz w:val="24"/>
          <w:szCs w:val="24"/>
        </w:rPr>
        <w:t>stavu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pohybu </w:t>
      </w:r>
      <w:r>
        <w:rPr>
          <w:rFonts w:asciiTheme="minorHAnsi" w:hAnsiTheme="minorHAnsi" w:cstheme="minorHAnsi"/>
          <w:color w:val="auto"/>
          <w:sz w:val="24"/>
          <w:szCs w:val="24"/>
        </w:rPr>
        <w:t xml:space="preserve">návykových látek </w:t>
      </w:r>
      <w:r>
        <w:rPr>
          <w:rFonts w:asciiTheme="minorHAnsi" w:hAnsiTheme="minorHAnsi" w:cstheme="minorHAnsi"/>
          <w:color w:val="auto"/>
          <w:sz w:val="24"/>
          <w:szCs w:val="24"/>
        </w:rPr>
        <w:lastRenderedPageBreak/>
        <w:t>a</w:t>
      </w:r>
      <w:r w:rsidR="006976E4">
        <w:rPr>
          <w:rFonts w:asciiTheme="minorHAnsi" w:hAnsiTheme="minorHAnsi" w:cstheme="minorHAnsi"/>
          <w:color w:val="auto"/>
          <w:sz w:val="24"/>
          <w:szCs w:val="24"/>
        </w:rPr>
        <w:t> </w:t>
      </w:r>
      <w:r>
        <w:rPr>
          <w:rFonts w:asciiTheme="minorHAnsi" w:hAnsiTheme="minorHAnsi" w:cstheme="minorHAnsi"/>
          <w:color w:val="auto"/>
          <w:sz w:val="24"/>
          <w:szCs w:val="24"/>
        </w:rPr>
        <w:t>přípravků, a </w:t>
      </w:r>
      <w:r w:rsidRPr="002872A6">
        <w:rPr>
          <w:rFonts w:asciiTheme="minorHAnsi" w:hAnsiTheme="minorHAnsi" w:cstheme="minorHAnsi"/>
          <w:color w:val="auto"/>
          <w:sz w:val="24"/>
          <w:szCs w:val="24"/>
        </w:rPr>
        <w:t>jejich dokladů, závažného porušení vedení evidence a dokumentace, případně nesprávně uvedené údaje v ročním hlášení.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45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21</w:t>
      </w:r>
      <w:r w:rsidRPr="002872A6">
        <w:rPr>
          <w:rFonts w:asciiTheme="minorHAnsi" w:hAnsiTheme="minorHAnsi" w:cstheme="minorHAnsi"/>
          <w:color w:val="auto"/>
          <w:sz w:val="24"/>
          <w:szCs w:val="24"/>
        </w:rPr>
        <w:t xml:space="preserve"> pokut v příkazním řízení,</w:t>
      </w:r>
      <w:r>
        <w:rPr>
          <w:rFonts w:asciiTheme="minorHAnsi" w:hAnsiTheme="minorHAnsi" w:cstheme="minorHAnsi"/>
          <w:color w:val="auto"/>
          <w:sz w:val="24"/>
          <w:szCs w:val="24"/>
        </w:rPr>
        <w:t xml:space="preserve"> a 5 napomenutí,</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 se nejčastěji jednalo o</w:t>
      </w:r>
      <w:r>
        <w:rPr>
          <w:rFonts w:asciiTheme="minorHAnsi" w:hAnsiTheme="minorHAnsi" w:cstheme="minorHAnsi"/>
          <w:color w:val="auto"/>
          <w:sz w:val="24"/>
          <w:szCs w:val="24"/>
        </w:rPr>
        <w:t> </w:t>
      </w:r>
      <w:r w:rsidRPr="002872A6">
        <w:rPr>
          <w:rFonts w:asciiTheme="minorHAnsi" w:hAnsiTheme="minorHAnsi" w:cstheme="minorHAnsi"/>
          <w:i/>
          <w:iCs/>
          <w:color w:val="auto"/>
          <w:sz w:val="24"/>
          <w:szCs w:val="24"/>
        </w:rPr>
        <w:t>„nedodržení závazného postupu při tvorbě prodejní ceny individuálně připravených a</w:t>
      </w:r>
      <w:r>
        <w:rPr>
          <w:rFonts w:asciiTheme="minorHAnsi" w:hAnsiTheme="minorHAnsi" w:cstheme="minorHAnsi"/>
          <w:i/>
          <w:iCs/>
          <w:color w:val="auto"/>
          <w:sz w:val="24"/>
          <w:szCs w:val="24"/>
        </w:rPr>
        <w:t> </w:t>
      </w:r>
      <w:r w:rsidRPr="002872A6">
        <w:rPr>
          <w:rFonts w:asciiTheme="minorHAnsi" w:hAnsiTheme="minorHAnsi" w:cstheme="minorHAnsi"/>
          <w:i/>
          <w:iCs/>
          <w:color w:val="auto"/>
          <w:sz w:val="24"/>
          <w:szCs w:val="24"/>
        </w:rPr>
        <w:t>hromadně vyráběných léčivých přípravků upravených před výdejem, nevedení nebo neuchovávání průkazné cenové evidence, nedodržení úředně stanovené maximální ceny při prod</w:t>
      </w:r>
      <w:r>
        <w:rPr>
          <w:rFonts w:asciiTheme="minorHAnsi" w:hAnsiTheme="minorHAnsi" w:cstheme="minorHAnsi"/>
          <w:i/>
          <w:iCs/>
          <w:color w:val="auto"/>
          <w:sz w:val="24"/>
          <w:szCs w:val="24"/>
        </w:rPr>
        <w:t>eji a nerespektování podmínek a </w:t>
      </w:r>
      <w:r w:rsidRPr="002872A6">
        <w:rPr>
          <w:rFonts w:asciiTheme="minorHAnsi" w:hAnsiTheme="minorHAnsi" w:cstheme="minorHAnsi"/>
          <w:i/>
          <w:iCs/>
          <w:color w:val="auto"/>
          <w:sz w:val="24"/>
          <w:szCs w:val="24"/>
        </w:rPr>
        <w:t>postupů pro její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8"/>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220 kontrolních vzorků léčivých přípravků, přičemž u tohoto počtu se v 77 případech jednalo o léčivé přípravky určené pro magistraliter přípravu</w:t>
      </w:r>
      <w:r w:rsidR="006976E4">
        <w:rPr>
          <w:rFonts w:asciiTheme="minorHAnsi" w:hAnsiTheme="minorHAnsi" w:cstheme="minorHAnsi"/>
          <w:color w:val="auto"/>
          <w:sz w:val="24"/>
          <w:szCs w:val="24"/>
        </w:rPr>
        <w:t xml:space="preserve">, a </w:t>
      </w:r>
      <w:r w:rsidRPr="002872A6">
        <w:rPr>
          <w:rFonts w:asciiTheme="minorHAnsi" w:hAnsiTheme="minorHAnsi" w:cstheme="minorHAnsi"/>
          <w:color w:val="auto"/>
          <w:sz w:val="24"/>
          <w:szCs w:val="24"/>
        </w:rPr>
        <w:t xml:space="preserve">ve 143 případech </w:t>
      </w:r>
      <w:r w:rsidR="006976E4">
        <w:rPr>
          <w:rFonts w:asciiTheme="minorHAnsi" w:hAnsiTheme="minorHAnsi" w:cstheme="minorHAnsi"/>
          <w:color w:val="auto"/>
          <w:sz w:val="24"/>
          <w:szCs w:val="24"/>
        </w:rPr>
        <w:t xml:space="preserve">se </w:t>
      </w:r>
      <w:r w:rsidRPr="002872A6">
        <w:rPr>
          <w:rFonts w:asciiTheme="minorHAnsi" w:hAnsiTheme="minorHAnsi" w:cstheme="minorHAnsi"/>
          <w:color w:val="auto"/>
          <w:sz w:val="24"/>
          <w:szCs w:val="24"/>
        </w:rPr>
        <w:t>jednalo o léčivé přípravky připravené přímo v</w:t>
      </w:r>
      <w:r w:rsidR="006976E4">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6976E4">
        <w:rPr>
          <w:rFonts w:asciiTheme="minorHAnsi" w:hAnsiTheme="minorHAnsi" w:cstheme="minorHAnsi"/>
          <w:color w:val="auto"/>
          <w:sz w:val="24"/>
          <w:szCs w:val="24"/>
        </w:rPr>
        <w:t>.</w:t>
      </w:r>
      <w:r w:rsidRPr="002872A6">
        <w:rPr>
          <w:rFonts w:asciiTheme="minorHAnsi" w:hAnsiTheme="minorHAnsi" w:cstheme="minorHAnsi"/>
          <w:color w:val="auto"/>
          <w:sz w:val="24"/>
          <w:szCs w:val="24"/>
        </w:rPr>
        <w:t xml:space="preserve"> </w:t>
      </w:r>
      <w:r w:rsidR="006976E4">
        <w:rPr>
          <w:rFonts w:asciiTheme="minorHAnsi" w:hAnsiTheme="minorHAnsi" w:cstheme="minorHAnsi"/>
          <w:color w:val="auto"/>
          <w:sz w:val="24"/>
          <w:szCs w:val="24"/>
        </w:rPr>
        <w:t>Z</w:t>
      </w:r>
      <w:r w:rsidRPr="002872A6">
        <w:rPr>
          <w:rFonts w:asciiTheme="minorHAnsi" w:hAnsiTheme="minorHAnsi" w:cstheme="minorHAnsi"/>
          <w:color w:val="auto"/>
          <w:sz w:val="24"/>
          <w:szCs w:val="24"/>
        </w:rPr>
        <w:t xml:space="preserve"> tohoto počtu byla u 5 vzorku zjištěna závada v</w:t>
      </w:r>
      <w:r w:rsidR="006976E4">
        <w:rPr>
          <w:rFonts w:asciiTheme="minorHAnsi" w:hAnsiTheme="minorHAnsi" w:cstheme="minorHAnsi"/>
          <w:color w:val="auto"/>
          <w:sz w:val="24"/>
          <w:szCs w:val="24"/>
        </w:rPr>
        <w:t> </w:t>
      </w:r>
      <w:r w:rsidRPr="002872A6">
        <w:rPr>
          <w:rFonts w:asciiTheme="minorHAnsi" w:hAnsiTheme="minorHAnsi" w:cstheme="minorHAnsi"/>
          <w:color w:val="auto"/>
          <w:sz w:val="24"/>
          <w:szCs w:val="24"/>
        </w:rPr>
        <w:t>nevyhovujícím obsahu účinné látky, hmotnosti léčivéh</w:t>
      </w:r>
      <w:r w:rsidR="006976E4">
        <w:rPr>
          <w:rFonts w:asciiTheme="minorHAnsi" w:hAnsiTheme="minorHAnsi" w:cstheme="minorHAnsi"/>
          <w:color w:val="auto"/>
          <w:sz w:val="24"/>
          <w:szCs w:val="24"/>
        </w:rPr>
        <w:t>o přípravku, nevyhovující pH, a </w:t>
      </w:r>
      <w:r w:rsidRPr="002872A6">
        <w:rPr>
          <w:rFonts w:asciiTheme="minorHAnsi" w:hAnsiTheme="minorHAnsi" w:cstheme="minorHAnsi"/>
          <w:color w:val="auto"/>
          <w:sz w:val="24"/>
          <w:szCs w:val="24"/>
        </w:rPr>
        <w:t>hmotnostní stejnoměrnost. A dále u 3 vzorků se jednalo o pochybení v označení.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24</w:t>
      </w:r>
      <w:r w:rsidR="00320571" w:rsidRPr="008072E4">
        <w:rPr>
          <w:rFonts w:asciiTheme="minorHAnsi" w:hAnsiTheme="minorHAnsi" w:cstheme="minorHAnsi"/>
          <w:color w:val="auto"/>
          <w:sz w:val="24"/>
          <w:szCs w:val="24"/>
        </w:rPr>
        <w:t>]</w:t>
      </w:r>
    </w:p>
    <w:p w:rsidR="00F8154D" w:rsidRPr="001B36CD" w:rsidRDefault="00F8154D" w:rsidP="00F8154D">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Pro představu byly vyhledány údaje k uloženým pokutám za zjištěná porušení v souvislosti se zákonem o léčivech, kdy </w:t>
      </w:r>
      <w:r w:rsidR="00832087">
        <w:rPr>
          <w:rFonts w:asciiTheme="minorHAnsi" w:hAnsiTheme="minorHAnsi" w:cstheme="minorHAnsi"/>
          <w:color w:val="auto"/>
          <w:sz w:val="24"/>
          <w:szCs w:val="24"/>
        </w:rPr>
        <w:t xml:space="preserve">v jednom případě došlo k uložení pokuty ve výši 1.000.000,- Kč za současného uložení zákazu činnosti distributora po dobu 12 měsíců. </w:t>
      </w:r>
      <w:r>
        <w:rPr>
          <w:rFonts w:asciiTheme="minorHAnsi" w:hAnsiTheme="minorHAnsi" w:cstheme="minorHAnsi"/>
          <w:color w:val="auto"/>
          <w:sz w:val="24"/>
          <w:szCs w:val="24"/>
        </w:rPr>
        <w:t>Nejvyšší uložená pokuta v tomto roce byla ve výši 13.000.000,- Kč a byla to pokuta za</w:t>
      </w:r>
      <w:r w:rsidR="002E491B">
        <w:rPr>
          <w:rFonts w:asciiTheme="minorHAnsi" w:hAnsiTheme="minorHAnsi" w:cstheme="minorHAnsi"/>
          <w:color w:val="auto"/>
          <w:sz w:val="24"/>
          <w:szCs w:val="24"/>
        </w:rPr>
        <w:t> </w:t>
      </w:r>
      <w:r>
        <w:rPr>
          <w:rFonts w:asciiTheme="minorHAnsi" w:hAnsiTheme="minorHAnsi" w:cstheme="minorHAnsi"/>
          <w:color w:val="auto"/>
          <w:sz w:val="24"/>
          <w:szCs w:val="24"/>
        </w:rPr>
        <w:t>vícero porušení, ale je nutné dodat, že v tomto roce byly opakovaně ukládány pokuty ve výši nad 1.000.000,- Kč, což se v předchozích letech nestalo.</w:t>
      </w:r>
      <w:r w:rsidR="002E491B">
        <w:rPr>
          <w:rFonts w:asciiTheme="minorHAnsi" w:hAnsiTheme="minorHAnsi" w:cstheme="minorHAnsi"/>
          <w:color w:val="auto"/>
          <w:sz w:val="24"/>
          <w:szCs w:val="24"/>
        </w:rPr>
        <w:t xml:space="preserve"> </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25" w:name="_Toc164078847"/>
      <w:bookmarkStart w:id="126" w:name="_Toc163647386"/>
      <w:bookmarkStart w:id="127" w:name="_Toc163759382"/>
      <w:bookmarkStart w:id="128" w:name="_Toc165990655"/>
      <w:bookmarkEnd w:id="125"/>
      <w:bookmarkEnd w:id="126"/>
      <w:bookmarkEnd w:id="127"/>
      <w:r w:rsidRPr="00AA2E53">
        <w:rPr>
          <w:rFonts w:asciiTheme="minorHAnsi" w:hAnsiTheme="minorHAnsi" w:cstheme="minorHAnsi"/>
          <w:b/>
          <w:color w:val="auto"/>
          <w:sz w:val="28"/>
          <w:szCs w:val="28"/>
        </w:rPr>
        <w:t>Rok 2022</w:t>
      </w:r>
      <w:bookmarkEnd w:id="128"/>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Data pro rok 2022 byla čerpána z </w:t>
      </w:r>
      <w:r w:rsidR="008B5950">
        <w:rPr>
          <w:rFonts w:asciiTheme="minorHAnsi" w:hAnsiTheme="minorHAnsi" w:cstheme="minorHAnsi"/>
          <w:color w:val="auto"/>
          <w:sz w:val="24"/>
          <w:szCs w:val="24"/>
        </w:rPr>
        <w:t>v</w:t>
      </w:r>
      <w:r w:rsidR="008B5950" w:rsidRPr="002872A6">
        <w:rPr>
          <w:rFonts w:asciiTheme="minorHAnsi" w:hAnsiTheme="minorHAnsi" w:cstheme="minorHAnsi"/>
          <w:color w:val="auto"/>
          <w:sz w:val="24"/>
          <w:szCs w:val="24"/>
        </w:rPr>
        <w:t xml:space="preserve">ýroční zprávy </w:t>
      </w:r>
      <w:r w:rsidR="008B5950">
        <w:rPr>
          <w:rFonts w:asciiTheme="minorHAnsi" w:hAnsiTheme="minorHAnsi" w:cstheme="minorHAnsi"/>
          <w:color w:val="auto"/>
          <w:sz w:val="24"/>
          <w:szCs w:val="24"/>
        </w:rPr>
        <w:t xml:space="preserve">pro rok </w:t>
      </w:r>
      <w:r w:rsidRPr="002872A6">
        <w:rPr>
          <w:rFonts w:asciiTheme="minorHAnsi" w:hAnsiTheme="minorHAnsi" w:cstheme="minorHAnsi"/>
          <w:color w:val="auto"/>
          <w:sz w:val="24"/>
          <w:szCs w:val="24"/>
        </w:rPr>
        <w:t>2022 vydané SÚKL.</w:t>
      </w:r>
    </w:p>
    <w:p w:rsidR="00320571"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Na konci roku 2022 měl SÚKL v evidenci 2.480 lékáren a 204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Což oproti předchozímu roku bylo navýšení o 4 lékárn</w:t>
      </w:r>
      <w:r w:rsidR="005F2581">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a snížení o 6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lastRenderedPageBreak/>
        <w:t>V roce 2022 provedl SÚKL celkem 731 inspekcí lékáren, přičemž v</w:t>
      </w:r>
      <w:r w:rsidR="002E491B">
        <w:rPr>
          <w:rFonts w:asciiTheme="minorHAnsi" w:hAnsiTheme="minorHAnsi" w:cstheme="minorHAnsi"/>
          <w:color w:val="auto"/>
          <w:sz w:val="24"/>
          <w:szCs w:val="24"/>
        </w:rPr>
        <w:t>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30</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případech to byla kontrola nemocničních lékár</w:t>
      </w:r>
      <w:r>
        <w:rPr>
          <w:rFonts w:asciiTheme="minorHAnsi" w:hAnsiTheme="minorHAnsi" w:cstheme="minorHAnsi"/>
          <w:color w:val="auto"/>
          <w:sz w:val="24"/>
          <w:szCs w:val="24"/>
        </w:rPr>
        <w:t>en. U 15 provedených kontrol se </w:t>
      </w:r>
      <w:r w:rsidRPr="002872A6">
        <w:rPr>
          <w:rFonts w:asciiTheme="minorHAnsi" w:hAnsiTheme="minorHAnsi" w:cstheme="minorHAnsi"/>
          <w:color w:val="auto"/>
          <w:sz w:val="24"/>
          <w:szCs w:val="24"/>
        </w:rPr>
        <w:t>jednalo o kontroly provedené na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základně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Nad rámec těchto kontrol byla dále provedena kontrola na</w:t>
      </w:r>
      <w:r w:rsidR="005F2581">
        <w:rPr>
          <w:rFonts w:asciiTheme="minorHAnsi" w:hAnsiTheme="minorHAnsi" w:cstheme="minorHAnsi"/>
          <w:color w:val="auto"/>
          <w:sz w:val="24"/>
          <w:szCs w:val="24"/>
        </w:rPr>
        <w:t>d</w:t>
      </w:r>
      <w:r w:rsidRPr="002872A6">
        <w:rPr>
          <w:rFonts w:asciiTheme="minorHAnsi" w:hAnsiTheme="minorHAnsi" w:cstheme="minorHAnsi"/>
          <w:color w:val="auto"/>
          <w:sz w:val="24"/>
          <w:szCs w:val="24"/>
        </w:rPr>
        <w:t xml:space="preserve"> zacházení</w:t>
      </w:r>
      <w:r w:rsidR="005F2581">
        <w:rPr>
          <w:rFonts w:asciiTheme="minorHAnsi" w:hAnsiTheme="minorHAnsi" w:cstheme="minorHAnsi"/>
          <w:color w:val="auto"/>
          <w:sz w:val="24"/>
          <w:szCs w:val="24"/>
        </w:rPr>
        <w:t>m</w:t>
      </w:r>
      <w:r w:rsidRPr="002872A6">
        <w:rPr>
          <w:rFonts w:asciiTheme="minorHAnsi" w:hAnsiTheme="minorHAnsi" w:cstheme="minorHAnsi"/>
          <w:color w:val="auto"/>
          <w:sz w:val="24"/>
          <w:szCs w:val="24"/>
        </w:rPr>
        <w:t xml:space="preserve"> s návykovými látkami, kdy tato byla v tomto roce pr</w:t>
      </w:r>
      <w:r>
        <w:rPr>
          <w:rFonts w:asciiTheme="minorHAnsi" w:hAnsiTheme="minorHAnsi" w:cstheme="minorHAnsi"/>
          <w:color w:val="auto"/>
          <w:sz w:val="24"/>
          <w:szCs w:val="24"/>
        </w:rPr>
        <w:t>ovedena celkem u 388 lékáren. V </w:t>
      </w:r>
      <w:r w:rsidRPr="002872A6">
        <w:rPr>
          <w:rFonts w:asciiTheme="minorHAnsi" w:hAnsiTheme="minorHAnsi" w:cstheme="minorHAnsi"/>
          <w:color w:val="auto"/>
          <w:sz w:val="24"/>
          <w:szCs w:val="24"/>
        </w:rPr>
        <w:t xml:space="preserve">tomto roce nebyla žádná kontrola provedena na základě obdrženého podnětu. Dále nad rámec těchto kontrol byla provedena též kontrola </w:t>
      </w:r>
      <w:r>
        <w:rPr>
          <w:rFonts w:asciiTheme="minorHAnsi" w:hAnsiTheme="minorHAnsi" w:cstheme="minorHAnsi"/>
          <w:color w:val="auto"/>
          <w:sz w:val="24"/>
          <w:szCs w:val="24"/>
        </w:rPr>
        <w:t>na</w:t>
      </w:r>
      <w:r w:rsidR="005F2581">
        <w:rPr>
          <w:rFonts w:asciiTheme="minorHAnsi" w:hAnsiTheme="minorHAnsi" w:cstheme="minorHAnsi"/>
          <w:color w:val="auto"/>
          <w:sz w:val="24"/>
          <w:szCs w:val="24"/>
        </w:rPr>
        <w:t>d</w:t>
      </w:r>
      <w:r>
        <w:rPr>
          <w:rFonts w:asciiTheme="minorHAnsi" w:hAnsiTheme="minorHAnsi" w:cstheme="minorHAnsi"/>
          <w:color w:val="auto"/>
          <w:sz w:val="24"/>
          <w:szCs w:val="24"/>
        </w:rPr>
        <w:t xml:space="preserve"> dodržování</w:t>
      </w:r>
      <w:r w:rsidR="005F2581">
        <w:rPr>
          <w:rFonts w:asciiTheme="minorHAnsi" w:hAnsiTheme="minorHAnsi" w:cstheme="minorHAnsi"/>
          <w:color w:val="auto"/>
          <w:sz w:val="24"/>
          <w:szCs w:val="24"/>
        </w:rPr>
        <w:t>m</w:t>
      </w:r>
      <w:r>
        <w:rPr>
          <w:rFonts w:asciiTheme="minorHAnsi" w:hAnsiTheme="minorHAnsi" w:cstheme="minorHAnsi"/>
          <w:color w:val="auto"/>
          <w:sz w:val="24"/>
          <w:szCs w:val="24"/>
        </w:rPr>
        <w:t xml:space="preserve"> zákona o</w:t>
      </w:r>
      <w:r w:rsidR="005F2581">
        <w:rPr>
          <w:rFonts w:asciiTheme="minorHAnsi" w:hAnsiTheme="minorHAnsi" w:cstheme="minorHAnsi"/>
          <w:color w:val="auto"/>
          <w:sz w:val="24"/>
          <w:szCs w:val="24"/>
        </w:rPr>
        <w:t> </w:t>
      </w:r>
      <w:r>
        <w:rPr>
          <w:rFonts w:asciiTheme="minorHAnsi" w:hAnsiTheme="minorHAnsi" w:cstheme="minorHAnsi"/>
          <w:color w:val="auto"/>
          <w:sz w:val="24"/>
          <w:szCs w:val="24"/>
        </w:rPr>
        <w:t>cenách a </w:t>
      </w:r>
      <w:r w:rsidRPr="002872A6">
        <w:rPr>
          <w:rFonts w:asciiTheme="minorHAnsi" w:hAnsiTheme="minorHAnsi" w:cstheme="minorHAnsi"/>
          <w:color w:val="auto"/>
          <w:sz w:val="24"/>
          <w:szCs w:val="24"/>
        </w:rPr>
        <w:t>pravidlech cenové regulace, kdy tato byla v tomto roce provedena celkem u</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100</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lékáren. V tomto roce nebyla žádná kontrola provedena na základě obdrženého podnětu.</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Výstupem z těchto kontrol bylo zjištění, že z počtu 731 kontrol se v 450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sidRPr="002872A6">
        <w:rPr>
          <w:rFonts w:asciiTheme="minorHAnsi" w:hAnsiTheme="minorHAnsi" w:cstheme="minorHAnsi"/>
          <w:color w:val="auto"/>
          <w:sz w:val="24"/>
          <w:szCs w:val="24"/>
        </w:rPr>
        <w:t>, u 178 případů se jednalo o významné případně o opakované závady, a u 103 případů se jednalo o</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závažné porušení až kritickou závadu. V reakci na </w:t>
      </w:r>
      <w:r w:rsidR="005F2581">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59 pokut v příkazním řízení, dále 3 pokut</w:t>
      </w:r>
      <w:r w:rsidR="002E491B">
        <w:rPr>
          <w:rFonts w:asciiTheme="minorHAnsi" w:hAnsiTheme="minorHAnsi" w:cstheme="minorHAnsi"/>
          <w:color w:val="auto"/>
          <w:sz w:val="24"/>
          <w:szCs w:val="24"/>
        </w:rPr>
        <w:t>y</w:t>
      </w:r>
      <w:r w:rsidRPr="002872A6">
        <w:rPr>
          <w:rFonts w:asciiTheme="minorHAnsi" w:hAnsiTheme="minorHAnsi" w:cstheme="minorHAnsi"/>
          <w:color w:val="auto"/>
          <w:sz w:val="24"/>
          <w:szCs w:val="24"/>
        </w:rPr>
        <w:t xml:space="preserve"> za</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neposkytnutí součinnosti v rámci kontroly, u 8 prohřešků bylo přistoupeno k pozastavení přípravy léčivých přípravků. Mimo to byla uložena 2 napomenutí.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 xml:space="preserve">Mezi hlavní prohřešky, které byly kontrolou zjištěny, patřilo </w:t>
      </w:r>
      <w:r w:rsidRPr="002872A6">
        <w:rPr>
          <w:rFonts w:asciiTheme="minorHAnsi" w:hAnsiTheme="minorHAnsi" w:cstheme="minorHAnsi"/>
          <w:i/>
          <w:iCs/>
          <w:color w:val="auto"/>
          <w:sz w:val="24"/>
          <w:szCs w:val="24"/>
        </w:rPr>
        <w:t>„závažné nedostatky v řádném vedení evidence příjmu, zásob a výdeje léčivých přípravků, výdej léčivých přípravků bez lékařského předpisu nebo na neplatné předpisy, výdej neoprávněnými osobami, výdej léčivých přípravků se závadami v jakosti, na základě kterých měly být staženy z oběhu, nedodržování zásad správné lékárenské praxe při přípravě léčivých přípravků, zejména používání léčivých nebo pomocných látek k přípravě po době jejich použitelnosti nebo bez dokladu o jejich jakosti, a příprava na neověřených v</w:t>
      </w:r>
      <w:r w:rsidR="00502749">
        <w:rPr>
          <w:rFonts w:asciiTheme="minorHAnsi" w:hAnsiTheme="minorHAnsi" w:cstheme="minorHAnsi"/>
          <w:i/>
          <w:iCs/>
          <w:color w:val="auto"/>
          <w:sz w:val="24"/>
          <w:szCs w:val="24"/>
        </w:rPr>
        <w:t>á</w:t>
      </w:r>
      <w:r w:rsidRPr="002872A6">
        <w:rPr>
          <w:rFonts w:asciiTheme="minorHAnsi" w:hAnsiTheme="minorHAnsi" w:cstheme="minorHAnsi"/>
          <w:i/>
          <w:iCs/>
          <w:color w:val="auto"/>
          <w:sz w:val="24"/>
          <w:szCs w:val="24"/>
        </w:rPr>
        <w:t>hách“</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29"/>
      </w:r>
      <w:r w:rsidR="005F2581">
        <w:rPr>
          <w:rFonts w:asciiTheme="minorHAnsi" w:hAnsiTheme="minorHAnsi" w:cstheme="minorHAnsi"/>
          <w:color w:val="auto"/>
          <w:sz w:val="24"/>
          <w:szCs w:val="24"/>
        </w:rPr>
        <w:t>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Výstupem z kontrol zacházení s návykovými látkami bylo zjištění, že</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z</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počtu</w:t>
      </w:r>
      <w:r w:rsidR="005F2581">
        <w:rPr>
          <w:rFonts w:asciiTheme="minorHAnsi" w:hAnsiTheme="minorHAnsi" w:cstheme="minorHAnsi"/>
          <w:color w:val="auto"/>
          <w:sz w:val="24"/>
          <w:szCs w:val="24"/>
        </w:rPr>
        <w:t> </w:t>
      </w:r>
      <w:r>
        <w:rPr>
          <w:rFonts w:asciiTheme="minorHAnsi" w:hAnsiTheme="minorHAnsi" w:cstheme="minorHAnsi"/>
          <w:color w:val="auto"/>
          <w:sz w:val="24"/>
          <w:szCs w:val="24"/>
        </w:rPr>
        <w:t>388 </w:t>
      </w:r>
      <w:r w:rsidRPr="002872A6">
        <w:rPr>
          <w:rFonts w:asciiTheme="minorHAnsi" w:hAnsiTheme="minorHAnsi" w:cstheme="minorHAnsi"/>
          <w:color w:val="auto"/>
          <w:sz w:val="24"/>
          <w:szCs w:val="24"/>
        </w:rPr>
        <w:t xml:space="preserve">kontrol se v </w:t>
      </w:r>
      <w:r>
        <w:rPr>
          <w:rFonts w:asciiTheme="minorHAnsi" w:hAnsiTheme="minorHAnsi" w:cstheme="minorHAnsi"/>
          <w:color w:val="auto"/>
          <w:sz w:val="24"/>
          <w:szCs w:val="24"/>
        </w:rPr>
        <w:t>314</w:t>
      </w:r>
      <w:r w:rsidRPr="002872A6">
        <w:rPr>
          <w:rFonts w:asciiTheme="minorHAnsi" w:hAnsiTheme="minorHAnsi" w:cstheme="minorHAnsi"/>
          <w:color w:val="auto"/>
          <w:sz w:val="24"/>
          <w:szCs w:val="24"/>
        </w:rPr>
        <w:t xml:space="preserve"> případech jednalo </w:t>
      </w:r>
      <w:r w:rsidR="008B5950">
        <w:rPr>
          <w:rFonts w:asciiTheme="minorHAnsi" w:hAnsiTheme="minorHAnsi" w:cstheme="minorHAnsi"/>
          <w:color w:val="auto"/>
          <w:sz w:val="24"/>
          <w:szCs w:val="24"/>
        </w:rPr>
        <w:t xml:space="preserve">o kontrolu bez </w:t>
      </w:r>
      <w:r w:rsidR="008B5950" w:rsidRPr="002872A6">
        <w:rPr>
          <w:rFonts w:asciiTheme="minorHAnsi" w:hAnsiTheme="minorHAnsi" w:cstheme="minorHAnsi"/>
          <w:color w:val="auto"/>
          <w:sz w:val="24"/>
          <w:szCs w:val="24"/>
        </w:rPr>
        <w:t>zjištěných závad</w:t>
      </w:r>
      <w:r w:rsidR="008B5950" w:rsidRPr="0018336F">
        <w:rPr>
          <w:rFonts w:asciiTheme="minorHAnsi" w:hAnsiTheme="minorHAnsi" w:cstheme="minorHAnsi"/>
          <w:color w:val="auto"/>
          <w:sz w:val="24"/>
          <w:szCs w:val="24"/>
        </w:rPr>
        <w:t xml:space="preserve"> </w:t>
      </w:r>
      <w:r w:rsidR="008B5950">
        <w:rPr>
          <w:rFonts w:asciiTheme="minorHAnsi" w:hAnsiTheme="minorHAnsi" w:cstheme="minorHAnsi"/>
          <w:color w:val="auto"/>
          <w:sz w:val="24"/>
          <w:szCs w:val="24"/>
        </w:rPr>
        <w:t>případně s </w:t>
      </w:r>
      <w:r w:rsidR="008B5950" w:rsidRPr="002872A6">
        <w:rPr>
          <w:rFonts w:asciiTheme="minorHAnsi" w:hAnsiTheme="minorHAnsi" w:cstheme="minorHAnsi"/>
          <w:color w:val="auto"/>
          <w:sz w:val="24"/>
          <w:szCs w:val="24"/>
        </w:rPr>
        <w:t>drobn</w:t>
      </w:r>
      <w:r w:rsidR="008B5950">
        <w:rPr>
          <w:rFonts w:asciiTheme="minorHAnsi" w:hAnsiTheme="minorHAnsi" w:cstheme="minorHAnsi"/>
          <w:color w:val="auto"/>
          <w:sz w:val="24"/>
          <w:szCs w:val="24"/>
        </w:rPr>
        <w:t>ými</w:t>
      </w:r>
      <w:r w:rsidR="008B5950" w:rsidRPr="002872A6">
        <w:rPr>
          <w:rFonts w:asciiTheme="minorHAnsi" w:hAnsiTheme="minorHAnsi" w:cstheme="minorHAnsi"/>
          <w:color w:val="auto"/>
          <w:sz w:val="24"/>
          <w:szCs w:val="24"/>
        </w:rPr>
        <w:t xml:space="preserve"> závad</w:t>
      </w:r>
      <w:r w:rsidR="008B5950">
        <w:rPr>
          <w:rFonts w:asciiTheme="minorHAnsi" w:hAnsiTheme="minorHAnsi" w:cstheme="minorHAnsi"/>
          <w:color w:val="auto"/>
          <w:sz w:val="24"/>
          <w:szCs w:val="24"/>
        </w:rPr>
        <w:t>ami</w:t>
      </w:r>
      <w:r>
        <w:rPr>
          <w:rFonts w:asciiTheme="minorHAnsi" w:hAnsiTheme="minorHAnsi" w:cstheme="minorHAnsi"/>
          <w:color w:val="auto"/>
          <w:sz w:val="24"/>
          <w:szCs w:val="24"/>
        </w:rPr>
        <w:t>, u 59 </w:t>
      </w:r>
      <w:r w:rsidRPr="002872A6">
        <w:rPr>
          <w:rFonts w:asciiTheme="minorHAnsi" w:hAnsiTheme="minorHAnsi" w:cstheme="minorHAnsi"/>
          <w:color w:val="auto"/>
          <w:sz w:val="24"/>
          <w:szCs w:val="24"/>
        </w:rPr>
        <w:t>případů se jednalo o významné případně o</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 xml:space="preserve">opakované závady, a u </w:t>
      </w:r>
      <w:r>
        <w:rPr>
          <w:rFonts w:asciiTheme="minorHAnsi" w:hAnsiTheme="minorHAnsi" w:cstheme="minorHAnsi"/>
          <w:color w:val="auto"/>
          <w:sz w:val="24"/>
          <w:szCs w:val="24"/>
        </w:rPr>
        <w:t xml:space="preserve">15 </w:t>
      </w:r>
      <w:r w:rsidRPr="002872A6">
        <w:rPr>
          <w:rFonts w:asciiTheme="minorHAnsi" w:hAnsiTheme="minorHAnsi" w:cstheme="minorHAnsi"/>
          <w:color w:val="auto"/>
          <w:sz w:val="24"/>
          <w:szCs w:val="24"/>
        </w:rPr>
        <w:t>případů se</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jednalo o závažné porušení až kritickou závadu.</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lastRenderedPageBreak/>
        <w:t xml:space="preserve">V reakci na </w:t>
      </w:r>
      <w:r w:rsidR="005F2581">
        <w:rPr>
          <w:rFonts w:asciiTheme="minorHAnsi" w:hAnsiTheme="minorHAnsi" w:cstheme="minorHAnsi"/>
          <w:color w:val="auto"/>
          <w:sz w:val="24"/>
          <w:szCs w:val="24"/>
        </w:rPr>
        <w:t>zjištěná</w:t>
      </w:r>
      <w:r w:rsidRPr="002872A6">
        <w:rPr>
          <w:rFonts w:asciiTheme="minorHAnsi" w:hAnsiTheme="minorHAnsi" w:cstheme="minorHAnsi"/>
          <w:color w:val="auto"/>
          <w:sz w:val="24"/>
          <w:szCs w:val="24"/>
        </w:rPr>
        <w:t xml:space="preserve"> porušení stanovených právních předpisů, bylo uděleno </w:t>
      </w:r>
      <w:r>
        <w:rPr>
          <w:rFonts w:asciiTheme="minorHAnsi" w:hAnsiTheme="minorHAnsi" w:cstheme="minorHAnsi"/>
          <w:color w:val="auto"/>
          <w:sz w:val="24"/>
          <w:szCs w:val="24"/>
        </w:rPr>
        <w:t>15</w:t>
      </w:r>
      <w:r w:rsidRPr="002872A6">
        <w:rPr>
          <w:rFonts w:asciiTheme="minorHAnsi" w:hAnsiTheme="minorHAnsi" w:cstheme="minorHAnsi"/>
          <w:color w:val="auto"/>
          <w:sz w:val="24"/>
          <w:szCs w:val="24"/>
        </w:rPr>
        <w:t xml:space="preserve"> pokut v příkazním řízení,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Zde se </w:t>
      </w:r>
      <w:r w:rsidRPr="002872A6">
        <w:rPr>
          <w:rFonts w:asciiTheme="minorHAnsi" w:hAnsiTheme="minorHAnsi" w:cstheme="minorHAnsi"/>
          <w:color w:val="auto"/>
          <w:sz w:val="24"/>
          <w:szCs w:val="24"/>
        </w:rPr>
        <w:t>jednalo o nezaslání ročního hlášení o stavu a pohybu návykov</w:t>
      </w:r>
      <w:r>
        <w:rPr>
          <w:rFonts w:asciiTheme="minorHAnsi" w:hAnsiTheme="minorHAnsi" w:cstheme="minorHAnsi"/>
          <w:color w:val="auto"/>
          <w:sz w:val="24"/>
          <w:szCs w:val="24"/>
        </w:rPr>
        <w:t>ých látek a </w:t>
      </w:r>
      <w:r w:rsidRPr="002872A6">
        <w:rPr>
          <w:rFonts w:asciiTheme="minorHAnsi" w:hAnsiTheme="minorHAnsi" w:cstheme="minorHAnsi"/>
          <w:color w:val="auto"/>
          <w:sz w:val="24"/>
          <w:szCs w:val="24"/>
        </w:rPr>
        <w:t>přípravků,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jejich dokladů, závažného případně vícečetné porušení vedení evidence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dokumentace, případně nesprávně uvedené údaje v ročním hlášení.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rámci kontroly nad dodržováním zákona o cenách a pravidlech cenové regulace, bylo zjištěno celk</w:t>
      </w:r>
      <w:r>
        <w:rPr>
          <w:rFonts w:asciiTheme="minorHAnsi" w:hAnsiTheme="minorHAnsi" w:cstheme="minorHAnsi"/>
          <w:color w:val="auto"/>
          <w:sz w:val="24"/>
          <w:szCs w:val="24"/>
        </w:rPr>
        <w:t>em 39 případů porušení předpisů.</w:t>
      </w:r>
      <w:r w:rsidRPr="00390DC0">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V reakci na tato porušení stanovených právních předpisů, bylo uděleno </w:t>
      </w:r>
      <w:r>
        <w:rPr>
          <w:rFonts w:asciiTheme="minorHAnsi" w:hAnsiTheme="minorHAnsi" w:cstheme="minorHAnsi"/>
          <w:color w:val="auto"/>
          <w:sz w:val="24"/>
          <w:szCs w:val="24"/>
        </w:rPr>
        <w:t>8</w:t>
      </w:r>
      <w:r w:rsidRPr="002872A6">
        <w:rPr>
          <w:rFonts w:asciiTheme="minorHAnsi" w:hAnsiTheme="minorHAnsi" w:cstheme="minorHAnsi"/>
          <w:color w:val="auto"/>
          <w:sz w:val="24"/>
          <w:szCs w:val="24"/>
        </w:rPr>
        <w:t xml:space="preserve"> pokut v příkazním řízení,</w:t>
      </w:r>
      <w:r>
        <w:rPr>
          <w:rFonts w:asciiTheme="minorHAnsi" w:hAnsiTheme="minorHAnsi" w:cstheme="minorHAnsi"/>
          <w:color w:val="auto"/>
          <w:sz w:val="24"/>
          <w:szCs w:val="24"/>
        </w:rPr>
        <w:t xml:space="preserve"> a 8 napomenutí,</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v tomto roce nedošlo </w:t>
      </w:r>
      <w:r w:rsidRPr="002872A6">
        <w:rPr>
          <w:rFonts w:asciiTheme="minorHAnsi" w:hAnsiTheme="minorHAnsi" w:cstheme="minorHAnsi"/>
          <w:color w:val="auto"/>
          <w:sz w:val="24"/>
          <w:szCs w:val="24"/>
        </w:rPr>
        <w:t xml:space="preserve">k pozastavení přípravy léčivých přípravků, a </w:t>
      </w:r>
      <w:r>
        <w:rPr>
          <w:rFonts w:asciiTheme="minorHAnsi" w:hAnsiTheme="minorHAnsi" w:cstheme="minorHAnsi"/>
          <w:color w:val="auto"/>
          <w:sz w:val="24"/>
          <w:szCs w:val="24"/>
        </w:rPr>
        <w:t>ani</w:t>
      </w:r>
      <w:r w:rsidRPr="002872A6">
        <w:rPr>
          <w:rFonts w:asciiTheme="minorHAnsi" w:hAnsiTheme="minorHAnsi" w:cstheme="minorHAnsi"/>
          <w:color w:val="auto"/>
          <w:sz w:val="24"/>
          <w:szCs w:val="24"/>
        </w:rPr>
        <w:t xml:space="preserve"> došlo k pozastavení činnosti celé lékárny případně </w:t>
      </w:r>
      <w:r>
        <w:rPr>
          <w:rFonts w:asciiTheme="minorHAnsi" w:hAnsiTheme="minorHAnsi" w:cstheme="minorHAnsi"/>
          <w:color w:val="auto"/>
          <w:sz w:val="24"/>
          <w:szCs w:val="24"/>
        </w:rPr>
        <w:t>OOVL</w:t>
      </w:r>
      <w:r w:rsidRPr="002872A6">
        <w:rPr>
          <w:rFonts w:asciiTheme="minorHAnsi" w:hAnsiTheme="minorHAnsi" w:cstheme="minorHAnsi"/>
          <w:color w:val="auto"/>
          <w:sz w:val="24"/>
          <w:szCs w:val="24"/>
        </w:rPr>
        <w:t>.</w:t>
      </w:r>
      <w:r>
        <w:rPr>
          <w:rFonts w:asciiTheme="minorHAnsi" w:hAnsiTheme="minorHAnsi" w:cstheme="minorHAnsi"/>
          <w:color w:val="auto"/>
          <w:sz w:val="24"/>
          <w:szCs w:val="24"/>
        </w:rPr>
        <w:t xml:space="preserve"> Z</w:t>
      </w:r>
      <w:r w:rsidRPr="002872A6">
        <w:rPr>
          <w:rFonts w:asciiTheme="minorHAnsi" w:hAnsiTheme="minorHAnsi" w:cstheme="minorHAnsi"/>
          <w:color w:val="auto"/>
          <w:sz w:val="24"/>
          <w:szCs w:val="24"/>
        </w:rPr>
        <w:t>de</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se nejčastěji jednalo o</w:t>
      </w:r>
      <w:r>
        <w:rPr>
          <w:rFonts w:asciiTheme="minorHAnsi" w:hAnsiTheme="minorHAnsi" w:cstheme="minorHAnsi"/>
          <w:color w:val="auto"/>
          <w:sz w:val="24"/>
          <w:szCs w:val="24"/>
        </w:rPr>
        <w:t> </w:t>
      </w:r>
      <w:r w:rsidRPr="002872A6">
        <w:rPr>
          <w:rFonts w:asciiTheme="minorHAnsi" w:hAnsiTheme="minorHAnsi" w:cstheme="minorHAnsi"/>
          <w:i/>
          <w:iCs/>
          <w:color w:val="auto"/>
          <w:sz w:val="24"/>
          <w:szCs w:val="24"/>
        </w:rPr>
        <w:t>„nedodržení závazného postupu při tvorbě prodejní ceny individuálně připravených a</w:t>
      </w:r>
      <w:r>
        <w:rPr>
          <w:rFonts w:asciiTheme="minorHAnsi" w:hAnsiTheme="minorHAnsi" w:cstheme="minorHAnsi"/>
          <w:i/>
          <w:iCs/>
          <w:color w:val="auto"/>
          <w:sz w:val="24"/>
          <w:szCs w:val="24"/>
        </w:rPr>
        <w:t> </w:t>
      </w:r>
      <w:r w:rsidRPr="002872A6">
        <w:rPr>
          <w:rFonts w:asciiTheme="minorHAnsi" w:hAnsiTheme="minorHAnsi" w:cstheme="minorHAnsi"/>
          <w:i/>
          <w:iCs/>
          <w:color w:val="auto"/>
          <w:sz w:val="24"/>
          <w:szCs w:val="24"/>
        </w:rPr>
        <w:t>hromadně vyráběných léčivých přípravků upravených před výdejem, nevedení nebo neuchovávání průkazné cenové evidence, nedodržení úředně stanovené maximální ceny při prod</w:t>
      </w:r>
      <w:r>
        <w:rPr>
          <w:rFonts w:asciiTheme="minorHAnsi" w:hAnsiTheme="minorHAnsi" w:cstheme="minorHAnsi"/>
          <w:i/>
          <w:iCs/>
          <w:color w:val="auto"/>
          <w:sz w:val="24"/>
          <w:szCs w:val="24"/>
        </w:rPr>
        <w:t>eji a nerespektování podmínek a </w:t>
      </w:r>
      <w:r w:rsidRPr="002872A6">
        <w:rPr>
          <w:rFonts w:asciiTheme="minorHAnsi" w:hAnsiTheme="minorHAnsi" w:cstheme="minorHAnsi"/>
          <w:i/>
          <w:iCs/>
          <w:color w:val="auto"/>
          <w:sz w:val="24"/>
          <w:szCs w:val="24"/>
        </w:rPr>
        <w:t>postupů pro její uplatnění“</w:t>
      </w:r>
      <w:r w:rsidRPr="002872A6">
        <w:rPr>
          <w:rFonts w:asciiTheme="minorHAnsi" w:hAnsiTheme="minorHAnsi" w:cstheme="minorHAnsi"/>
          <w:color w:val="auto"/>
          <w:sz w:val="24"/>
          <w:szCs w:val="24"/>
        </w:rPr>
        <w:t>.</w:t>
      </w:r>
      <w:r w:rsidRPr="002872A6">
        <w:rPr>
          <w:rStyle w:val="Ukotvenpoznmkypodarou"/>
          <w:rFonts w:asciiTheme="minorHAnsi" w:hAnsiTheme="minorHAnsi" w:cstheme="minorHAnsi"/>
          <w:color w:val="auto"/>
          <w:sz w:val="24"/>
          <w:szCs w:val="24"/>
        </w:rPr>
        <w:footnoteReference w:id="30"/>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294E20" w:rsidRDefault="00294E20" w:rsidP="00294E20">
      <w:pPr>
        <w:spacing w:after="0" w:line="360" w:lineRule="auto"/>
        <w:ind w:firstLine="708"/>
        <w:jc w:val="both"/>
        <w:rPr>
          <w:rFonts w:asciiTheme="minorHAnsi" w:hAnsiTheme="minorHAnsi" w:cstheme="minorHAnsi"/>
          <w:color w:val="auto"/>
          <w:sz w:val="24"/>
          <w:szCs w:val="24"/>
        </w:rPr>
      </w:pPr>
      <w:r w:rsidRPr="002872A6">
        <w:rPr>
          <w:rFonts w:asciiTheme="minorHAnsi" w:hAnsiTheme="minorHAnsi" w:cstheme="minorHAnsi"/>
          <w:color w:val="auto"/>
          <w:sz w:val="24"/>
          <w:szCs w:val="24"/>
        </w:rPr>
        <w:t>V tomto roce provedli inspektoři v rámci kontrol celkem 221 kontrolních vzorků léčivých přípravků, přičemž u tohoto počtu se v 72 případech jednalo o léčivé přípravky určené pro magistraliter přípravu</w:t>
      </w:r>
      <w:r w:rsidR="005F2581">
        <w:rPr>
          <w:rFonts w:asciiTheme="minorHAnsi" w:hAnsiTheme="minorHAnsi" w:cstheme="minorHAnsi"/>
          <w:color w:val="auto"/>
          <w:sz w:val="24"/>
          <w:szCs w:val="24"/>
        </w:rPr>
        <w:t xml:space="preserve">, a </w:t>
      </w:r>
      <w:r w:rsidRPr="002872A6">
        <w:rPr>
          <w:rFonts w:asciiTheme="minorHAnsi" w:hAnsiTheme="minorHAnsi" w:cstheme="minorHAnsi"/>
          <w:color w:val="auto"/>
          <w:sz w:val="24"/>
          <w:szCs w:val="24"/>
        </w:rPr>
        <w:t>ve 149 případech jednalo o léčivé přípravky připravené přímo v</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lékárně</w:t>
      </w:r>
      <w:r w:rsidR="005F2581">
        <w:rPr>
          <w:rFonts w:asciiTheme="minorHAnsi" w:hAnsiTheme="minorHAnsi" w:cstheme="minorHAnsi"/>
          <w:color w:val="auto"/>
          <w:sz w:val="24"/>
          <w:szCs w:val="24"/>
        </w:rPr>
        <w:t>. Z</w:t>
      </w:r>
      <w:r w:rsidRPr="002872A6">
        <w:rPr>
          <w:rFonts w:asciiTheme="minorHAnsi" w:hAnsiTheme="minorHAnsi" w:cstheme="minorHAnsi"/>
          <w:color w:val="auto"/>
          <w:sz w:val="24"/>
          <w:szCs w:val="24"/>
        </w:rPr>
        <w:t xml:space="preserve"> tohoto počtu byla u 2 vzorku zjištěna závada v</w:t>
      </w:r>
      <w:r w:rsidR="005F2581">
        <w:rPr>
          <w:rFonts w:asciiTheme="minorHAnsi" w:hAnsiTheme="minorHAnsi" w:cstheme="minorHAnsi"/>
          <w:color w:val="auto"/>
          <w:sz w:val="24"/>
          <w:szCs w:val="24"/>
        </w:rPr>
        <w:t> </w:t>
      </w:r>
      <w:r w:rsidRPr="002872A6">
        <w:rPr>
          <w:rFonts w:asciiTheme="minorHAnsi" w:hAnsiTheme="minorHAnsi" w:cstheme="minorHAnsi"/>
          <w:color w:val="auto"/>
          <w:sz w:val="24"/>
          <w:szCs w:val="24"/>
        </w:rPr>
        <w:t>nevyhovujícím obsahu účinné látky, a dále byla přítomna nedeklarovaná protimikrobní látka. A dále u 3 vzorků se jednalo o pochybení v označení.</w:t>
      </w:r>
      <w:r w:rsidR="00320571" w:rsidRPr="00320571">
        <w:rPr>
          <w:rFonts w:asciiTheme="minorHAnsi" w:hAnsiTheme="minorHAnsi" w:cstheme="minorHAnsi"/>
          <w:color w:val="auto"/>
          <w:sz w:val="24"/>
          <w:szCs w:val="24"/>
        </w:rPr>
        <w:t xml:space="preserve"> </w:t>
      </w:r>
      <w:r w:rsidR="00320571" w:rsidRPr="008072E4">
        <w:rPr>
          <w:rFonts w:asciiTheme="minorHAnsi" w:hAnsiTheme="minorHAnsi" w:cstheme="minorHAnsi"/>
          <w:color w:val="auto"/>
          <w:sz w:val="24"/>
          <w:szCs w:val="24"/>
        </w:rPr>
        <w:t>[</w:t>
      </w:r>
      <w:r w:rsidR="00320571">
        <w:rPr>
          <w:rFonts w:asciiTheme="minorHAnsi" w:hAnsiTheme="minorHAnsi" w:cstheme="minorHAnsi"/>
          <w:color w:val="auto"/>
          <w:sz w:val="24"/>
          <w:szCs w:val="24"/>
        </w:rPr>
        <w:t>25</w:t>
      </w:r>
      <w:r w:rsidR="00320571" w:rsidRPr="008072E4">
        <w:rPr>
          <w:rFonts w:asciiTheme="minorHAnsi" w:hAnsiTheme="minorHAnsi" w:cstheme="minorHAnsi"/>
          <w:color w:val="auto"/>
          <w:sz w:val="24"/>
          <w:szCs w:val="24"/>
        </w:rPr>
        <w:t>]</w:t>
      </w:r>
    </w:p>
    <w:p w:rsidR="003F2FE5" w:rsidRPr="002872A6" w:rsidRDefault="003F2FE5" w:rsidP="003F2FE5">
      <w:pPr>
        <w:spacing w:after="0" w:line="360" w:lineRule="auto"/>
        <w:ind w:firstLine="505"/>
        <w:jc w:val="both"/>
        <w:rPr>
          <w:rFonts w:asciiTheme="minorHAnsi" w:hAnsiTheme="minorHAnsi" w:cstheme="minorHAnsi"/>
          <w:color w:val="auto"/>
          <w:sz w:val="24"/>
          <w:szCs w:val="24"/>
        </w:rPr>
      </w:pPr>
      <w:r>
        <w:rPr>
          <w:rFonts w:asciiTheme="minorHAnsi" w:hAnsiTheme="minorHAnsi" w:cstheme="minorHAnsi"/>
          <w:color w:val="auto"/>
          <w:sz w:val="24"/>
          <w:szCs w:val="24"/>
        </w:rPr>
        <w:t>Pro představu byly vyhledány údaje k uloženým pokutám za zjištěná porušení v souvislosti se zákonem o léčivech, kdy velmi často došlo k porušení v rámci u</w:t>
      </w:r>
      <w:r w:rsidRPr="00C645E4">
        <w:rPr>
          <w:rFonts w:asciiTheme="minorHAnsi" w:hAnsiTheme="minorHAnsi" w:cstheme="minorHAnsi"/>
          <w:color w:val="auto"/>
          <w:sz w:val="24"/>
          <w:szCs w:val="24"/>
        </w:rPr>
        <w:t>vede</w:t>
      </w:r>
      <w:r>
        <w:rPr>
          <w:rFonts w:asciiTheme="minorHAnsi" w:hAnsiTheme="minorHAnsi" w:cstheme="minorHAnsi"/>
          <w:color w:val="auto"/>
          <w:sz w:val="24"/>
          <w:szCs w:val="24"/>
        </w:rPr>
        <w:t>ní na</w:t>
      </w:r>
      <w:r w:rsidR="002E491B">
        <w:rPr>
          <w:rFonts w:asciiTheme="minorHAnsi" w:hAnsiTheme="minorHAnsi" w:cstheme="minorHAnsi"/>
          <w:color w:val="auto"/>
          <w:sz w:val="24"/>
          <w:szCs w:val="24"/>
        </w:rPr>
        <w:t> </w:t>
      </w:r>
      <w:r>
        <w:rPr>
          <w:rFonts w:asciiTheme="minorHAnsi" w:hAnsiTheme="minorHAnsi" w:cstheme="minorHAnsi"/>
          <w:color w:val="auto"/>
          <w:sz w:val="24"/>
          <w:szCs w:val="24"/>
        </w:rPr>
        <w:t xml:space="preserve">trh, do oběhu, </w:t>
      </w:r>
      <w:r w:rsidRPr="00C645E4">
        <w:rPr>
          <w:rFonts w:asciiTheme="minorHAnsi" w:hAnsiTheme="minorHAnsi" w:cstheme="minorHAnsi"/>
          <w:color w:val="auto"/>
          <w:sz w:val="24"/>
          <w:szCs w:val="24"/>
        </w:rPr>
        <w:t>vydá</w:t>
      </w:r>
      <w:r>
        <w:rPr>
          <w:rFonts w:asciiTheme="minorHAnsi" w:hAnsiTheme="minorHAnsi" w:cstheme="minorHAnsi"/>
          <w:color w:val="auto"/>
          <w:sz w:val="24"/>
          <w:szCs w:val="24"/>
        </w:rPr>
        <w:t>ní</w:t>
      </w:r>
      <w:r w:rsidRPr="00C645E4">
        <w:rPr>
          <w:rFonts w:asciiTheme="minorHAnsi" w:hAnsiTheme="minorHAnsi" w:cstheme="minorHAnsi"/>
          <w:color w:val="auto"/>
          <w:sz w:val="24"/>
          <w:szCs w:val="24"/>
        </w:rPr>
        <w:t xml:space="preserve"> nebo uži</w:t>
      </w:r>
      <w:r>
        <w:rPr>
          <w:rFonts w:asciiTheme="minorHAnsi" w:hAnsiTheme="minorHAnsi" w:cstheme="minorHAnsi"/>
          <w:color w:val="auto"/>
          <w:sz w:val="24"/>
          <w:szCs w:val="24"/>
        </w:rPr>
        <w:t>tí</w:t>
      </w:r>
      <w:r w:rsidRPr="00C645E4">
        <w:rPr>
          <w:rFonts w:asciiTheme="minorHAnsi" w:hAnsiTheme="minorHAnsi" w:cstheme="minorHAnsi"/>
          <w:color w:val="auto"/>
          <w:sz w:val="24"/>
          <w:szCs w:val="24"/>
        </w:rPr>
        <w:t xml:space="preserve"> při poskytování zdravotních služeb léčiv</w:t>
      </w:r>
      <w:r>
        <w:rPr>
          <w:rFonts w:asciiTheme="minorHAnsi" w:hAnsiTheme="minorHAnsi" w:cstheme="minorHAnsi"/>
          <w:color w:val="auto"/>
          <w:sz w:val="24"/>
          <w:szCs w:val="24"/>
        </w:rPr>
        <w:t>a</w:t>
      </w:r>
      <w:r w:rsidRPr="00C645E4">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s prošlou dobou </w:t>
      </w:r>
      <w:r w:rsidR="00E842A2">
        <w:rPr>
          <w:rFonts w:asciiTheme="minorHAnsi" w:hAnsiTheme="minorHAnsi" w:cstheme="minorHAnsi"/>
          <w:color w:val="auto"/>
          <w:sz w:val="24"/>
          <w:szCs w:val="24"/>
        </w:rPr>
        <w:t>použitelnosti, závadou v jakosti nebo u nichž o tom rozhodl SÚKL</w:t>
      </w:r>
      <w:r>
        <w:rPr>
          <w:rFonts w:asciiTheme="minorHAnsi" w:hAnsiTheme="minorHAnsi" w:cstheme="minorHAnsi"/>
          <w:color w:val="auto"/>
          <w:sz w:val="24"/>
          <w:szCs w:val="24"/>
        </w:rPr>
        <w:t>, za což byla ukládána pokuta ve výši 10.000,- Kč až 50.000,- Kč, př</w:t>
      </w:r>
      <w:r w:rsidR="00E842A2">
        <w:rPr>
          <w:rFonts w:asciiTheme="minorHAnsi" w:hAnsiTheme="minorHAnsi" w:cstheme="minorHAnsi"/>
          <w:color w:val="auto"/>
          <w:sz w:val="24"/>
          <w:szCs w:val="24"/>
        </w:rPr>
        <w:t>ičemž maximální hrozící výše za </w:t>
      </w:r>
      <w:r>
        <w:rPr>
          <w:rFonts w:asciiTheme="minorHAnsi" w:hAnsiTheme="minorHAnsi" w:cstheme="minorHAnsi"/>
          <w:color w:val="auto"/>
          <w:sz w:val="24"/>
          <w:szCs w:val="24"/>
        </w:rPr>
        <w:t>tento přestupek byla částka 5.000.000,- Kč.</w:t>
      </w:r>
      <w:r w:rsidRPr="008072E4">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Nejvyšší uložená pokuta v tomto roce byla ve výši 5.100.000,- Kč a byla to pokuta za vícero porušení, </w:t>
      </w:r>
      <w:r w:rsidR="00E842A2">
        <w:rPr>
          <w:rFonts w:asciiTheme="minorHAnsi" w:hAnsiTheme="minorHAnsi" w:cstheme="minorHAnsi"/>
          <w:color w:val="auto"/>
          <w:sz w:val="24"/>
          <w:szCs w:val="24"/>
        </w:rPr>
        <w:t>opět</w:t>
      </w:r>
      <w:r>
        <w:rPr>
          <w:rFonts w:asciiTheme="minorHAnsi" w:hAnsiTheme="minorHAnsi" w:cstheme="minorHAnsi"/>
          <w:color w:val="auto"/>
          <w:sz w:val="24"/>
          <w:szCs w:val="24"/>
        </w:rPr>
        <w:t xml:space="preserve"> je nutné dodat, že</w:t>
      </w:r>
      <w:r w:rsidR="004900F7">
        <w:rPr>
          <w:rFonts w:asciiTheme="minorHAnsi" w:hAnsiTheme="minorHAnsi" w:cstheme="minorHAnsi"/>
          <w:color w:val="auto"/>
          <w:sz w:val="24"/>
          <w:szCs w:val="24"/>
        </w:rPr>
        <w:t> </w:t>
      </w:r>
      <w:r>
        <w:rPr>
          <w:rFonts w:asciiTheme="minorHAnsi" w:hAnsiTheme="minorHAnsi" w:cstheme="minorHAnsi"/>
          <w:color w:val="auto"/>
          <w:sz w:val="24"/>
          <w:szCs w:val="24"/>
        </w:rPr>
        <w:t>i</w:t>
      </w:r>
      <w:r w:rsidR="004900F7">
        <w:rPr>
          <w:rFonts w:asciiTheme="minorHAnsi" w:hAnsiTheme="minorHAnsi" w:cstheme="minorHAnsi"/>
          <w:color w:val="auto"/>
          <w:sz w:val="24"/>
          <w:szCs w:val="24"/>
        </w:rPr>
        <w:t> </w:t>
      </w:r>
      <w:r>
        <w:rPr>
          <w:rFonts w:asciiTheme="minorHAnsi" w:hAnsiTheme="minorHAnsi" w:cstheme="minorHAnsi"/>
          <w:color w:val="auto"/>
          <w:sz w:val="24"/>
          <w:szCs w:val="24"/>
        </w:rPr>
        <w:t>v tomto roce byly opakovaně ukládány pokuty ve výši nad 1.000.000,- Kč.</w:t>
      </w:r>
      <w:r w:rsidRPr="008072E4">
        <w:rPr>
          <w:rFonts w:asciiTheme="minorHAnsi" w:hAnsiTheme="minorHAnsi" w:cstheme="minorHAnsi"/>
          <w:color w:val="auto"/>
          <w:sz w:val="24"/>
          <w:szCs w:val="24"/>
        </w:rPr>
        <w:t>[</w:t>
      </w:r>
      <w:r>
        <w:rPr>
          <w:rFonts w:asciiTheme="minorHAnsi" w:hAnsiTheme="minorHAnsi" w:cstheme="minorHAnsi"/>
          <w:color w:val="auto"/>
          <w:sz w:val="24"/>
          <w:szCs w:val="24"/>
        </w:rPr>
        <w:t>3, 28</w:t>
      </w:r>
      <w:r w:rsidRPr="008072E4">
        <w:rPr>
          <w:rFonts w:asciiTheme="minorHAnsi" w:hAnsiTheme="minorHAnsi" w:cstheme="minorHAnsi"/>
          <w:color w:val="auto"/>
          <w:sz w:val="24"/>
          <w:szCs w:val="24"/>
        </w:rPr>
        <w:t>]</w:t>
      </w:r>
    </w:p>
    <w:p w:rsidR="00294E20" w:rsidRPr="00AA2E53" w:rsidRDefault="00294E20" w:rsidP="00294E20">
      <w:pPr>
        <w:pStyle w:val="Nadpis2"/>
        <w:ind w:left="567" w:hanging="567"/>
        <w:rPr>
          <w:rFonts w:asciiTheme="minorHAnsi" w:hAnsiTheme="minorHAnsi" w:cstheme="minorHAnsi"/>
          <w:b/>
          <w:color w:val="auto"/>
          <w:sz w:val="28"/>
          <w:szCs w:val="28"/>
        </w:rPr>
      </w:pPr>
      <w:bookmarkStart w:id="130" w:name="_Toc164078848"/>
      <w:bookmarkStart w:id="131" w:name="_Toc163647387"/>
      <w:bookmarkStart w:id="132" w:name="_Toc163759383"/>
      <w:bookmarkStart w:id="133" w:name="_Toc165990656"/>
      <w:bookmarkEnd w:id="130"/>
      <w:bookmarkEnd w:id="131"/>
      <w:bookmarkEnd w:id="132"/>
      <w:r w:rsidRPr="00AA2E53">
        <w:rPr>
          <w:rFonts w:asciiTheme="minorHAnsi" w:hAnsiTheme="minorHAnsi" w:cstheme="minorHAnsi"/>
          <w:b/>
          <w:color w:val="auto"/>
          <w:sz w:val="28"/>
          <w:szCs w:val="28"/>
        </w:rPr>
        <w:lastRenderedPageBreak/>
        <w:t>Vyhodnocení dat o kontrole lékáren</w:t>
      </w:r>
      <w:bookmarkEnd w:id="133"/>
    </w:p>
    <w:p w:rsidR="00294E20" w:rsidRPr="002872A6" w:rsidRDefault="00294E20" w:rsidP="00294E20">
      <w:pPr>
        <w:spacing w:after="0" w:line="360" w:lineRule="auto"/>
        <w:jc w:val="both"/>
        <w:rPr>
          <w:rFonts w:asciiTheme="minorHAnsi" w:hAnsiTheme="minorHAnsi" w:cstheme="minorHAnsi"/>
          <w:color w:val="auto"/>
          <w:sz w:val="24"/>
        </w:rPr>
      </w:pPr>
    </w:p>
    <w:p w:rsidR="00294E20" w:rsidRDefault="00294E20" w:rsidP="00294E20">
      <w:pPr>
        <w:spacing w:after="0" w:line="360" w:lineRule="auto"/>
        <w:ind w:firstLine="567"/>
        <w:jc w:val="both"/>
        <w:rPr>
          <w:rFonts w:asciiTheme="minorHAnsi" w:hAnsiTheme="minorHAnsi" w:cstheme="minorHAnsi"/>
          <w:color w:val="auto"/>
          <w:sz w:val="24"/>
        </w:rPr>
      </w:pPr>
      <w:r>
        <w:rPr>
          <w:rFonts w:asciiTheme="minorHAnsi" w:hAnsiTheme="minorHAnsi" w:cstheme="minorHAnsi"/>
          <w:color w:val="auto"/>
          <w:sz w:val="24"/>
        </w:rPr>
        <w:t xml:space="preserve">Ze získaných </w:t>
      </w:r>
      <w:r w:rsidRPr="002872A6">
        <w:rPr>
          <w:rFonts w:asciiTheme="minorHAnsi" w:hAnsiTheme="minorHAnsi" w:cstheme="minorHAnsi"/>
          <w:color w:val="auto"/>
          <w:sz w:val="24"/>
        </w:rPr>
        <w:t xml:space="preserve">dat o provedených kontrolách v lékárnách a </w:t>
      </w:r>
      <w:r>
        <w:rPr>
          <w:rFonts w:asciiTheme="minorHAnsi" w:hAnsiTheme="minorHAnsi" w:cstheme="minorHAnsi"/>
          <w:color w:val="auto"/>
          <w:sz w:val="24"/>
          <w:szCs w:val="24"/>
        </w:rPr>
        <w:t>OOVL</w:t>
      </w:r>
      <w:r w:rsidRPr="002872A6">
        <w:rPr>
          <w:rFonts w:asciiTheme="minorHAnsi" w:hAnsiTheme="minorHAnsi" w:cstheme="minorHAnsi"/>
          <w:color w:val="auto"/>
          <w:sz w:val="24"/>
        </w:rPr>
        <w:t xml:space="preserve"> byly vytvořeny </w:t>
      </w:r>
      <w:r>
        <w:rPr>
          <w:rFonts w:asciiTheme="minorHAnsi" w:hAnsiTheme="minorHAnsi" w:cstheme="minorHAnsi"/>
          <w:color w:val="auto"/>
          <w:sz w:val="24"/>
        </w:rPr>
        <w:t>grafy k jednotlivým souborů dat, které byly rozděleny dle let a předmětu</w:t>
      </w:r>
      <w:r w:rsidR="008247AF">
        <w:rPr>
          <w:rFonts w:asciiTheme="minorHAnsi" w:hAnsiTheme="minorHAnsi" w:cstheme="minorHAnsi"/>
          <w:color w:val="auto"/>
          <w:sz w:val="24"/>
        </w:rPr>
        <w:t xml:space="preserve"> který znázorňují</w:t>
      </w:r>
      <w:r>
        <w:rPr>
          <w:rFonts w:asciiTheme="minorHAnsi" w:hAnsiTheme="minorHAnsi" w:cstheme="minorHAnsi"/>
          <w:color w:val="auto"/>
          <w:sz w:val="24"/>
        </w:rPr>
        <w:t>. Pro lepší přehlednost, nejsou v grafech zapsány nulové hodnoty.</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34" w:name="_Toc165990657"/>
      <w:r>
        <w:rPr>
          <w:rFonts w:asciiTheme="minorHAnsi" w:hAnsiTheme="minorHAnsi" w:cstheme="minorHAnsi"/>
          <w:b/>
          <w:color w:val="auto"/>
          <w:sz w:val="28"/>
          <w:szCs w:val="28"/>
        </w:rPr>
        <w:t>Počty lékáren a odloučených oddělení pro výdej léčivých přípravků a zdravotnických potřeb</w:t>
      </w:r>
      <w:bookmarkEnd w:id="134"/>
    </w:p>
    <w:p w:rsidR="00294E20" w:rsidRPr="002872A6" w:rsidRDefault="00294E20" w:rsidP="00294E20">
      <w:pPr>
        <w:spacing w:after="0" w:line="360" w:lineRule="auto"/>
        <w:jc w:val="both"/>
        <w:rPr>
          <w:rFonts w:asciiTheme="minorHAnsi" w:hAnsiTheme="minorHAnsi" w:cstheme="minorHAnsi"/>
          <w:color w:val="auto"/>
          <w:sz w:val="24"/>
          <w:szCs w:val="24"/>
        </w:rPr>
      </w:pPr>
    </w:p>
    <w:p w:rsidR="00294E20" w:rsidRPr="00B90904" w:rsidRDefault="00294E20" w:rsidP="00294E20">
      <w:pPr>
        <w:pStyle w:val="Standard"/>
        <w:spacing w:line="360" w:lineRule="auto"/>
        <w:ind w:firstLine="708"/>
        <w:jc w:val="both"/>
        <w:rPr>
          <w:rFonts w:ascii="Calibri" w:hAnsi="Calibri"/>
          <w:lang w:val="cs-CZ"/>
        </w:rPr>
      </w:pPr>
      <w:r w:rsidRPr="00B90904">
        <w:rPr>
          <w:rFonts w:ascii="Calibri" w:hAnsi="Calibri"/>
          <w:lang w:val="cs-CZ"/>
        </w:rPr>
        <w:t>U zjištěných dat o počtu lékáren a OOVL, je nutné uvést, že s</w:t>
      </w:r>
      <w:r w:rsidR="008247AF">
        <w:rPr>
          <w:rFonts w:ascii="Calibri" w:hAnsi="Calibri"/>
          <w:lang w:val="cs-CZ"/>
        </w:rPr>
        <w:t>e</w:t>
      </w:r>
      <w:r w:rsidRPr="00B90904">
        <w:rPr>
          <w:rFonts w:ascii="Calibri" w:hAnsi="Calibri"/>
          <w:lang w:val="cs-CZ"/>
        </w:rPr>
        <w:t xml:space="preserve"> jedná vždy o počet subjektů při součtu na konci roku. Není zde tedy zohledněn případ, kdy daná provozovna je v rámci jednoho roku zřízena a zároveň dojde k jejímu zániku.</w:t>
      </w:r>
    </w:p>
    <w:p w:rsidR="00294E20" w:rsidRPr="00B90904" w:rsidRDefault="00294E20" w:rsidP="00294E20">
      <w:pPr>
        <w:pStyle w:val="Standard"/>
        <w:spacing w:line="360" w:lineRule="auto"/>
        <w:ind w:firstLine="708"/>
        <w:jc w:val="both"/>
        <w:rPr>
          <w:rFonts w:ascii="Calibri" w:hAnsi="Calibri"/>
          <w:lang w:val="cs-CZ"/>
        </w:rPr>
      </w:pPr>
      <w:r w:rsidRPr="00B90904">
        <w:rPr>
          <w:rFonts w:ascii="Calibri" w:hAnsi="Calibri"/>
          <w:lang w:val="cs-CZ"/>
        </w:rPr>
        <w:t xml:space="preserve">Z těchto dat byl získán pohled na roční součet aktivních lékáren a </w:t>
      </w:r>
      <w:r>
        <w:rPr>
          <w:rFonts w:ascii="Calibri" w:hAnsi="Calibri"/>
          <w:lang w:val="cs-CZ"/>
        </w:rPr>
        <w:t>OOVL v </w:t>
      </w:r>
      <w:r w:rsidRPr="00B90904">
        <w:rPr>
          <w:rFonts w:ascii="Calibri" w:hAnsi="Calibri"/>
          <w:lang w:val="cs-CZ"/>
        </w:rPr>
        <w:t>průběhu sledované doby let 2012 až 2022. Jak ukazuje</w:t>
      </w:r>
      <w:r>
        <w:rPr>
          <w:rFonts w:ascii="Calibri" w:hAnsi="Calibri"/>
          <w:lang w:val="cs-CZ"/>
        </w:rPr>
        <w:t xml:space="preserve"> </w:t>
      </w:r>
      <w:r w:rsidR="008247AF">
        <w:rPr>
          <w:rFonts w:ascii="Calibri" w:hAnsi="Calibri"/>
          <w:lang w:val="cs-CZ"/>
        </w:rPr>
        <w:t>graf na obrázku</w:t>
      </w:r>
      <w:r>
        <w:rPr>
          <w:rFonts w:ascii="Calibri" w:hAnsi="Calibri"/>
          <w:lang w:val="cs-CZ"/>
        </w:rPr>
        <w:t xml:space="preserve"> č</w:t>
      </w:r>
      <w:r w:rsidR="0015595F">
        <w:rPr>
          <w:rFonts w:ascii="Calibri" w:hAnsi="Calibri"/>
          <w:lang w:val="cs-CZ"/>
        </w:rPr>
        <w:t>.</w:t>
      </w:r>
      <w:r>
        <w:rPr>
          <w:rFonts w:ascii="Calibri" w:hAnsi="Calibri"/>
          <w:lang w:val="cs-CZ"/>
        </w:rPr>
        <w:t xml:space="preserve"> 1 – Počet lékáren a </w:t>
      </w:r>
      <w:r w:rsidRPr="00B90904">
        <w:rPr>
          <w:rFonts w:ascii="Calibri" w:hAnsi="Calibri"/>
          <w:lang w:val="cs-CZ"/>
        </w:rPr>
        <w:t xml:space="preserve">OOVL, na začátku sledovaného období byl trend </w:t>
      </w:r>
      <w:r w:rsidR="008247AF">
        <w:rPr>
          <w:rFonts w:ascii="Calibri" w:hAnsi="Calibri"/>
          <w:lang w:val="cs-CZ"/>
        </w:rPr>
        <w:t>spíše v rozšiřování sítě, ale v </w:t>
      </w:r>
      <w:r w:rsidRPr="00B90904">
        <w:rPr>
          <w:rFonts w:ascii="Calibri" w:hAnsi="Calibri"/>
          <w:lang w:val="cs-CZ"/>
        </w:rPr>
        <w:t>roce 2015 můžeme pozorovat zlom, od kterého docházelo ke každoročnímu úbytku jednotlivých provozoven. Nejvíce aktivních lékáren a OOVL bylo v roce 2014, naopak nejméně lékáren bylo v roce 2020, a nejméně OOVL bylo v roce 2021, přičemž v obou případech se jednalo dokonce o</w:t>
      </w:r>
      <w:r>
        <w:rPr>
          <w:rFonts w:ascii="Calibri" w:hAnsi="Calibri"/>
          <w:lang w:val="cs-CZ"/>
        </w:rPr>
        <w:t xml:space="preserve"> nižší hodnoty než v roce 2012. </w:t>
      </w:r>
      <w:r w:rsidRPr="00B90904">
        <w:rPr>
          <w:rFonts w:ascii="Calibri" w:hAnsi="Calibri"/>
          <w:lang w:val="cs-CZ"/>
        </w:rPr>
        <w:t>V poslední</w:t>
      </w:r>
      <w:r>
        <w:rPr>
          <w:rFonts w:ascii="Calibri" w:hAnsi="Calibri"/>
          <w:lang w:val="cs-CZ"/>
        </w:rPr>
        <w:t>ch dvou letech tedy roky 2021 a </w:t>
      </w:r>
      <w:r w:rsidRPr="00B90904">
        <w:rPr>
          <w:rFonts w:ascii="Calibri" w:hAnsi="Calibri"/>
          <w:lang w:val="cs-CZ"/>
        </w:rPr>
        <w:t>2022 došlo k postupnému navyšování lékáren, ale zároveň ke snižování OOVL.</w:t>
      </w:r>
    </w:p>
    <w:p w:rsidR="00294E20" w:rsidRPr="004C004B" w:rsidRDefault="00294E20" w:rsidP="00294E20">
      <w:pPr>
        <w:pStyle w:val="Standard"/>
        <w:spacing w:line="360" w:lineRule="auto"/>
        <w:ind w:firstLine="708"/>
        <w:jc w:val="both"/>
        <w:rPr>
          <w:rFonts w:ascii="Calibri" w:hAnsi="Calibri"/>
          <w:lang w:val="cs-CZ"/>
        </w:rPr>
      </w:pPr>
      <w:r w:rsidRPr="00B90904">
        <w:rPr>
          <w:rFonts w:ascii="Calibri" w:hAnsi="Calibri"/>
          <w:lang w:val="cs-CZ"/>
        </w:rPr>
        <w:t>Zajímavým faktem je, že vyjma již zmín</w:t>
      </w:r>
      <w:r>
        <w:rPr>
          <w:rFonts w:ascii="Calibri" w:hAnsi="Calibri"/>
          <w:lang w:val="cs-CZ"/>
        </w:rPr>
        <w:t>ěných let 2021 a 2022, pokud ve </w:t>
      </w:r>
      <w:r w:rsidRPr="00B90904">
        <w:rPr>
          <w:rFonts w:ascii="Calibri" w:hAnsi="Calibri"/>
          <w:lang w:val="cs-CZ"/>
        </w:rPr>
        <w:t>sledované</w:t>
      </w:r>
      <w:r w:rsidR="004900F7">
        <w:rPr>
          <w:rFonts w:ascii="Calibri" w:hAnsi="Calibri"/>
          <w:lang w:val="cs-CZ"/>
        </w:rPr>
        <w:t>m</w:t>
      </w:r>
      <w:r w:rsidRPr="00B90904">
        <w:rPr>
          <w:rFonts w:ascii="Calibri" w:hAnsi="Calibri"/>
          <w:lang w:val="cs-CZ"/>
        </w:rPr>
        <w:t xml:space="preserve"> období docházelo k navýšení počtu lékáren, tak u OOVL docházelo taktéž k navýšení. A tento trend byl dodržen i v případě snižování počtu lékáren. Hlavním faktorem této shody je jistě provázanost lékárny s OOVL,</w:t>
      </w:r>
      <w:r>
        <w:rPr>
          <w:rFonts w:ascii="Calibri" w:hAnsi="Calibri"/>
          <w:lang w:val="cs-CZ"/>
        </w:rPr>
        <w:t xml:space="preserve"> neboť jeho vznik je závislí </w:t>
      </w:r>
      <w:r w:rsidRPr="00B90904">
        <w:rPr>
          <w:rFonts w:ascii="Calibri" w:hAnsi="Calibri"/>
          <w:lang w:val="cs-CZ"/>
        </w:rPr>
        <w:t>na nutnosti domovské lékárny.</w:t>
      </w:r>
    </w:p>
    <w:p w:rsidR="00294E20" w:rsidRDefault="00294E20" w:rsidP="00294E20">
      <w:pPr>
        <w:pStyle w:val="Standard"/>
        <w:spacing w:line="360" w:lineRule="auto"/>
        <w:ind w:firstLine="708"/>
        <w:jc w:val="both"/>
        <w:rPr>
          <w:rFonts w:ascii="Calibri" w:hAnsi="Calibri"/>
        </w:rPr>
      </w:pPr>
      <w:r w:rsidRPr="004C004B">
        <w:rPr>
          <w:rFonts w:ascii="Calibri" w:hAnsi="Calibri"/>
          <w:lang w:val="cs-CZ"/>
        </w:rPr>
        <w:t>Viz</w:t>
      </w:r>
      <w:r w:rsidRPr="00B6181E">
        <w:rPr>
          <w:rFonts w:ascii="Calibri" w:hAnsi="Calibri"/>
          <w:lang w:val="cs-CZ"/>
        </w:rPr>
        <w:t xml:space="preserve"> </w:t>
      </w:r>
      <w:r w:rsidR="008247AF">
        <w:rPr>
          <w:rFonts w:ascii="Calibri" w:hAnsi="Calibri"/>
          <w:lang w:val="cs-CZ"/>
        </w:rPr>
        <w:t>obrázek</w:t>
      </w:r>
      <w:r w:rsidR="008247AF" w:rsidRPr="00B6181E">
        <w:rPr>
          <w:rFonts w:ascii="Calibri" w:hAnsi="Calibri"/>
          <w:lang w:val="cs-CZ"/>
        </w:rPr>
        <w:t xml:space="preserve"> </w:t>
      </w:r>
      <w:r w:rsidRPr="00B6181E">
        <w:rPr>
          <w:rFonts w:ascii="Calibri" w:hAnsi="Calibri"/>
          <w:lang w:val="cs-CZ"/>
        </w:rPr>
        <w:t>č</w:t>
      </w:r>
      <w:r w:rsidR="0015595F">
        <w:rPr>
          <w:rFonts w:ascii="Calibri" w:hAnsi="Calibri"/>
          <w:lang w:val="cs-CZ"/>
        </w:rPr>
        <w:t>.</w:t>
      </w:r>
      <w:r w:rsidRPr="00B90904">
        <w:rPr>
          <w:rFonts w:ascii="Calibri" w:hAnsi="Calibri"/>
        </w:rPr>
        <w:t xml:space="preserve"> 1 -</w:t>
      </w:r>
      <w:r w:rsidRPr="00B6181E">
        <w:rPr>
          <w:rFonts w:ascii="Calibri" w:hAnsi="Calibri"/>
          <w:lang w:val="cs-CZ"/>
        </w:rPr>
        <w:t xml:space="preserve"> Počet lékáren</w:t>
      </w:r>
      <w:r w:rsidRPr="00B90904">
        <w:rPr>
          <w:rFonts w:ascii="Calibri" w:hAnsi="Calibri"/>
        </w:rPr>
        <w:t xml:space="preserve"> a OOVL,</w:t>
      </w:r>
      <w:r w:rsidRPr="00B6181E">
        <w:rPr>
          <w:rFonts w:ascii="Calibri" w:hAnsi="Calibri"/>
          <w:lang w:val="cs-CZ"/>
        </w:rPr>
        <w:t xml:space="preserve"> kde</w:t>
      </w:r>
      <w:r w:rsidRPr="00B90904">
        <w:rPr>
          <w:rFonts w:ascii="Calibri" w:hAnsi="Calibri"/>
        </w:rPr>
        <w:t xml:space="preserve"> je</w:t>
      </w:r>
      <w:r w:rsidRPr="00B6181E">
        <w:rPr>
          <w:rFonts w:ascii="Calibri" w:hAnsi="Calibri"/>
          <w:lang w:val="cs-CZ"/>
        </w:rPr>
        <w:t xml:space="preserve"> vidět vývoj vzniku</w:t>
      </w:r>
      <w:r w:rsidRPr="00B90904">
        <w:rPr>
          <w:rFonts w:ascii="Calibri" w:hAnsi="Calibri"/>
        </w:rPr>
        <w:t xml:space="preserve"> a</w:t>
      </w:r>
      <w:r w:rsidRPr="00B6181E">
        <w:rPr>
          <w:rFonts w:ascii="Calibri" w:hAnsi="Calibri"/>
          <w:lang w:val="cs-CZ"/>
        </w:rPr>
        <w:t xml:space="preserve"> zániku</w:t>
      </w:r>
      <w:r w:rsidRPr="00B6181E">
        <w:rPr>
          <w:rFonts w:ascii="Calibri" w:hAnsi="Calibri"/>
          <w:lang w:val="cs-CZ" w:bidi="ks-Arab"/>
        </w:rPr>
        <w:t xml:space="preserve"> lékáren</w:t>
      </w:r>
      <w:r w:rsidRPr="00B90904">
        <w:rPr>
          <w:rFonts w:ascii="Calibri" w:hAnsi="Calibri"/>
        </w:rPr>
        <w:t xml:space="preserve"> a OOVL,</w:t>
      </w:r>
      <w:r w:rsidRPr="00B6181E">
        <w:rPr>
          <w:rFonts w:ascii="Calibri" w:hAnsi="Calibri"/>
          <w:lang w:val="cs-CZ"/>
        </w:rPr>
        <w:t xml:space="preserve"> vzhledem</w:t>
      </w:r>
      <w:r w:rsidRPr="00B90904">
        <w:rPr>
          <w:rFonts w:ascii="Calibri" w:hAnsi="Calibri"/>
        </w:rPr>
        <w:t xml:space="preserve"> k</w:t>
      </w:r>
      <w:r w:rsidRPr="00B6181E">
        <w:rPr>
          <w:rFonts w:ascii="Calibri" w:hAnsi="Calibri"/>
          <w:lang w:val="cs-CZ"/>
        </w:rPr>
        <w:t xml:space="preserve"> jejich součtu na konci roku</w:t>
      </w:r>
      <w:r w:rsidR="00502749">
        <w:rPr>
          <w:rFonts w:ascii="Calibri" w:hAnsi="Calibri"/>
        </w:rPr>
        <w:t xml:space="preserve">, a to </w:t>
      </w:r>
      <w:r w:rsidRPr="00B90904">
        <w:rPr>
          <w:rFonts w:ascii="Calibri" w:hAnsi="Calibri"/>
        </w:rPr>
        <w:t>v</w:t>
      </w:r>
      <w:r w:rsidRPr="00B6181E">
        <w:rPr>
          <w:rFonts w:ascii="Calibri" w:hAnsi="Calibri"/>
          <w:lang w:val="cs-CZ"/>
        </w:rPr>
        <w:t xml:space="preserve"> průběhu</w:t>
      </w:r>
      <w:r w:rsidRPr="00B90904">
        <w:rPr>
          <w:rFonts w:ascii="Calibri" w:hAnsi="Calibri"/>
        </w:rPr>
        <w:t xml:space="preserve"> let 2012</w:t>
      </w:r>
      <w:r w:rsidRPr="00B6181E">
        <w:rPr>
          <w:rFonts w:ascii="Calibri" w:hAnsi="Calibri"/>
          <w:lang w:val="cs-CZ"/>
        </w:rPr>
        <w:t xml:space="preserve"> až</w:t>
      </w:r>
      <w:r w:rsidRPr="00B90904">
        <w:rPr>
          <w:rFonts w:ascii="Calibri" w:hAnsi="Calibri"/>
        </w:rPr>
        <w:t xml:space="preserve"> 2022.</w:t>
      </w:r>
    </w:p>
    <w:p w:rsidR="00294E20" w:rsidRPr="00B90904" w:rsidRDefault="00294E20" w:rsidP="00294E20">
      <w:pPr>
        <w:pStyle w:val="Standard"/>
        <w:spacing w:line="360" w:lineRule="auto"/>
        <w:ind w:firstLine="708"/>
        <w:jc w:val="both"/>
        <w:rPr>
          <w:rFonts w:asciiTheme="minorHAnsi" w:hAnsiTheme="minorHAnsi" w:cstheme="minorHAnsi"/>
          <w:color w:val="auto"/>
        </w:rPr>
      </w:pPr>
    </w:p>
    <w:p w:rsidR="00294E20" w:rsidRDefault="00294E20" w:rsidP="00294E20">
      <w:pPr>
        <w:spacing w:after="0" w:line="360" w:lineRule="auto"/>
        <w:jc w:val="both"/>
        <w:rPr>
          <w:rFonts w:asciiTheme="minorHAnsi" w:hAnsiTheme="minorHAnsi" w:cstheme="minorHAnsi"/>
          <w:color w:val="auto"/>
          <w:sz w:val="24"/>
        </w:rPr>
      </w:pPr>
      <w:r>
        <w:rPr>
          <w:noProof/>
          <w:lang w:eastAsia="cs-CZ"/>
        </w:rPr>
        <w:lastRenderedPageBreak/>
        <w:drawing>
          <wp:inline distT="0" distB="0" distL="0" distR="0" wp14:anchorId="51D9C116" wp14:editId="29D14BF9">
            <wp:extent cx="5184140" cy="3746310"/>
            <wp:effectExtent l="0" t="0" r="16510" b="698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247AF" w:rsidRPr="00872CEC" w:rsidRDefault="008247AF" w:rsidP="00294E20">
      <w:pPr>
        <w:spacing w:after="0" w:line="360" w:lineRule="auto"/>
        <w:ind w:firstLine="567"/>
        <w:jc w:val="both"/>
        <w:rPr>
          <w:iCs/>
          <w:sz w:val="20"/>
          <w:szCs w:val="20"/>
        </w:rPr>
      </w:pPr>
      <w:r w:rsidRPr="00872CEC">
        <w:rPr>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1 – Vznik a zánik lékáren a OOVL</w:t>
      </w:r>
    </w:p>
    <w:p w:rsidR="00294E20" w:rsidRPr="00872CEC" w:rsidRDefault="008247AF" w:rsidP="00294E20">
      <w:pPr>
        <w:spacing w:after="0" w:line="360" w:lineRule="auto"/>
        <w:ind w:firstLine="567"/>
        <w:jc w:val="both"/>
        <w:rPr>
          <w:rFonts w:asciiTheme="minorHAnsi" w:hAnsiTheme="minorHAnsi" w:cstheme="minorHAnsi"/>
          <w:color w:val="auto"/>
          <w:sz w:val="24"/>
        </w:rPr>
      </w:pPr>
      <w:r w:rsidRPr="00872CEC">
        <w:rPr>
          <w:iCs/>
          <w:sz w:val="20"/>
          <w:szCs w:val="20"/>
        </w:rPr>
        <w:t>Z</w:t>
      </w:r>
      <w:r w:rsidR="00294E20" w:rsidRPr="00872CEC">
        <w:rPr>
          <w:iCs/>
          <w:sz w:val="20"/>
          <w:szCs w:val="20"/>
        </w:rPr>
        <w:t xml:space="preserve">droj: </w:t>
      </w:r>
      <w:r w:rsidR="00844BA1" w:rsidRPr="00872CEC">
        <w:rPr>
          <w:iCs/>
          <w:sz w:val="20"/>
          <w:szCs w:val="20"/>
        </w:rPr>
        <w:t>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35" w:name="_Toc165990658"/>
      <w:r>
        <w:rPr>
          <w:rFonts w:asciiTheme="minorHAnsi" w:hAnsiTheme="minorHAnsi" w:cstheme="minorHAnsi"/>
          <w:b/>
          <w:color w:val="auto"/>
          <w:sz w:val="28"/>
          <w:szCs w:val="28"/>
        </w:rPr>
        <w:t>Kontroly provedené v lékárnách</w:t>
      </w:r>
      <w:r w:rsidRPr="00F31C1F">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 odloučených oddělení pro výdej léčivých přípravků a zdravotnických potřeb</w:t>
      </w:r>
      <w:bookmarkEnd w:id="135"/>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294E20" w:rsidP="00294E20">
      <w:pPr>
        <w:pStyle w:val="Standard"/>
        <w:spacing w:line="360" w:lineRule="auto"/>
        <w:ind w:firstLine="708"/>
        <w:jc w:val="both"/>
        <w:rPr>
          <w:rFonts w:ascii="Calibri" w:hAnsi="Calibri"/>
          <w:lang w:val="cs-CZ"/>
        </w:rPr>
      </w:pPr>
      <w:r w:rsidRPr="00CD68F5">
        <w:rPr>
          <w:rFonts w:ascii="Calibri" w:hAnsi="Calibri"/>
          <w:lang w:val="cs-CZ"/>
        </w:rPr>
        <w:t>Z dat o provedených kontrolách v lékárnác</w:t>
      </w:r>
      <w:r>
        <w:rPr>
          <w:rFonts w:ascii="Calibri" w:hAnsi="Calibri"/>
          <w:lang w:val="cs-CZ"/>
        </w:rPr>
        <w:t>h je patrné, že jejich počet se </w:t>
      </w:r>
      <w:r w:rsidRPr="00CD68F5">
        <w:rPr>
          <w:rFonts w:ascii="Calibri" w:hAnsi="Calibri"/>
          <w:lang w:val="cs-CZ"/>
        </w:rPr>
        <w:t xml:space="preserve">pohyboval v rozmezí 801 až 883, s rozdílem mezi navazujícími lety v rámci maximálního rozdílu 82 kontrol, až do </w:t>
      </w:r>
      <w:r w:rsidR="006833CD">
        <w:rPr>
          <w:rFonts w:ascii="Calibri" w:hAnsi="Calibri"/>
          <w:lang w:val="cs-CZ"/>
        </w:rPr>
        <w:t>roku</w:t>
      </w:r>
      <w:r w:rsidRPr="00CD68F5">
        <w:rPr>
          <w:rFonts w:ascii="Calibri" w:hAnsi="Calibri"/>
          <w:lang w:val="cs-CZ"/>
        </w:rPr>
        <w:t xml:space="preserve"> 2020, kdy došlo k výraznému poklesu v</w:t>
      </w:r>
      <w:r w:rsidR="006833CD">
        <w:rPr>
          <w:rFonts w:ascii="Calibri" w:hAnsi="Calibri"/>
          <w:lang w:val="cs-CZ"/>
        </w:rPr>
        <w:t> </w:t>
      </w:r>
      <w:r w:rsidRPr="00CD68F5">
        <w:rPr>
          <w:rFonts w:ascii="Calibri" w:hAnsi="Calibri"/>
          <w:lang w:val="cs-CZ"/>
        </w:rPr>
        <w:t>řád</w:t>
      </w:r>
      <w:r w:rsidR="006833CD">
        <w:rPr>
          <w:rFonts w:ascii="Calibri" w:hAnsi="Calibri"/>
          <w:lang w:val="cs-CZ"/>
        </w:rPr>
        <w:t>u</w:t>
      </w:r>
      <w:r w:rsidRPr="00CD68F5">
        <w:rPr>
          <w:rFonts w:ascii="Calibri" w:hAnsi="Calibri"/>
          <w:lang w:val="cs-CZ"/>
        </w:rPr>
        <w:t xml:space="preserve"> stovek jednotek.</w:t>
      </w:r>
    </w:p>
    <w:p w:rsidR="00294E20" w:rsidRDefault="006833CD" w:rsidP="00294E20">
      <w:pPr>
        <w:pStyle w:val="Standard"/>
        <w:spacing w:line="360" w:lineRule="auto"/>
        <w:ind w:firstLine="708"/>
        <w:jc w:val="both"/>
        <w:rPr>
          <w:rFonts w:ascii="Calibri" w:hAnsi="Calibri"/>
          <w:lang w:val="cs-CZ"/>
        </w:rPr>
      </w:pPr>
      <w:r>
        <w:rPr>
          <w:rFonts w:ascii="Calibri" w:hAnsi="Calibri"/>
          <w:lang w:val="cs-CZ"/>
        </w:rPr>
        <w:t>L</w:t>
      </w:r>
      <w:r w:rsidR="00294E20" w:rsidRPr="00CD68F5">
        <w:rPr>
          <w:rFonts w:ascii="Calibri" w:hAnsi="Calibri"/>
          <w:lang w:val="cs-CZ"/>
        </w:rPr>
        <w:t xml:space="preserve">ze usuzovat, že </w:t>
      </w:r>
      <w:r>
        <w:rPr>
          <w:rFonts w:ascii="Calibri" w:hAnsi="Calibri"/>
          <w:lang w:val="cs-CZ"/>
        </w:rPr>
        <w:t xml:space="preserve">k tomuto poklesu došlo </w:t>
      </w:r>
      <w:r w:rsidR="00294E20" w:rsidRPr="00CD68F5">
        <w:rPr>
          <w:rFonts w:ascii="Calibri" w:hAnsi="Calibri"/>
          <w:lang w:val="cs-CZ"/>
        </w:rPr>
        <w:t>v</w:t>
      </w:r>
      <w:r w:rsidR="00294E20">
        <w:rPr>
          <w:rFonts w:ascii="Calibri" w:hAnsi="Calibri"/>
          <w:lang w:val="cs-CZ"/>
        </w:rPr>
        <w:t> </w:t>
      </w:r>
      <w:r w:rsidR="00294E20" w:rsidRPr="00CD68F5">
        <w:rPr>
          <w:rFonts w:ascii="Calibri" w:hAnsi="Calibri"/>
          <w:lang w:val="cs-CZ"/>
        </w:rPr>
        <w:t>reakci na nastavená bezpečnostní opatření v souvislosti s epidemií onemocnění COVID-19 způsobené koronavirem označovaným jako SARS CoV-2. U dat o provedených kontrolách v nemocničních lékárnách tento pokles v roce 2020 není nijak neobvyklý, neboť v průběhu let se počet provedených kontrol pohy</w:t>
      </w:r>
      <w:r w:rsidR="00294E20">
        <w:rPr>
          <w:rFonts w:ascii="Calibri" w:hAnsi="Calibri"/>
          <w:lang w:val="cs-CZ"/>
        </w:rPr>
        <w:t xml:space="preserve">boval v </w:t>
      </w:r>
      <w:r w:rsidR="004900F7">
        <w:rPr>
          <w:rFonts w:ascii="Calibri" w:hAnsi="Calibri"/>
          <w:lang w:val="cs-CZ"/>
        </w:rPr>
        <w:t>obdobných</w:t>
      </w:r>
      <w:r w:rsidR="00294E20">
        <w:rPr>
          <w:rFonts w:ascii="Calibri" w:hAnsi="Calibri"/>
          <w:lang w:val="cs-CZ"/>
        </w:rPr>
        <w:t xml:space="preserve"> hodnotách, a v </w:t>
      </w:r>
      <w:r w:rsidR="00294E20" w:rsidRPr="00CD68F5">
        <w:rPr>
          <w:rFonts w:ascii="Calibri" w:hAnsi="Calibri"/>
          <w:lang w:val="cs-CZ"/>
        </w:rPr>
        <w:t>roce 2020 se ani nejednalo o</w:t>
      </w:r>
      <w:r>
        <w:rPr>
          <w:rFonts w:ascii="Calibri" w:hAnsi="Calibri"/>
          <w:lang w:val="cs-CZ"/>
        </w:rPr>
        <w:t> </w:t>
      </w:r>
      <w:r w:rsidR="00294E20" w:rsidRPr="00CD68F5">
        <w:rPr>
          <w:rFonts w:ascii="Calibri" w:hAnsi="Calibri"/>
          <w:lang w:val="cs-CZ"/>
        </w:rPr>
        <w:t>nejnižší počet prove</w:t>
      </w:r>
      <w:r w:rsidR="00294E20">
        <w:rPr>
          <w:rFonts w:ascii="Calibri" w:hAnsi="Calibri"/>
          <w:lang w:val="cs-CZ"/>
        </w:rPr>
        <w:t xml:space="preserve">dených kontrol, za </w:t>
      </w:r>
      <w:r w:rsidR="004900F7">
        <w:rPr>
          <w:rFonts w:ascii="Calibri" w:hAnsi="Calibri"/>
          <w:lang w:val="cs-CZ"/>
        </w:rPr>
        <w:t>sledované období</w:t>
      </w:r>
      <w:r w:rsidR="00294E20">
        <w:rPr>
          <w:rFonts w:ascii="Calibri" w:hAnsi="Calibri"/>
          <w:lang w:val="cs-CZ"/>
        </w:rPr>
        <w:t>. Z </w:t>
      </w:r>
      <w:r w:rsidR="00294E20" w:rsidRPr="00CD68F5">
        <w:rPr>
          <w:rFonts w:ascii="Calibri" w:hAnsi="Calibri"/>
          <w:lang w:val="cs-CZ"/>
        </w:rPr>
        <w:t>tohoto je patrné, že tento pokles se netýkal kontrol v léká</w:t>
      </w:r>
      <w:r>
        <w:rPr>
          <w:rFonts w:ascii="Calibri" w:hAnsi="Calibri"/>
          <w:lang w:val="cs-CZ"/>
        </w:rPr>
        <w:t xml:space="preserve">rnách a tyto probíhaly nadále ve stejném </w:t>
      </w:r>
      <w:r w:rsidR="00294E20" w:rsidRPr="00CD68F5">
        <w:rPr>
          <w:rFonts w:ascii="Calibri" w:hAnsi="Calibri"/>
          <w:lang w:val="cs-CZ"/>
        </w:rPr>
        <w:t>duchu.</w:t>
      </w:r>
    </w:p>
    <w:p w:rsidR="00294E20" w:rsidRDefault="00294E20" w:rsidP="00D353BC">
      <w:pPr>
        <w:pStyle w:val="Standard"/>
        <w:spacing w:line="360" w:lineRule="auto"/>
        <w:ind w:firstLine="708"/>
        <w:jc w:val="both"/>
        <w:rPr>
          <w:rFonts w:ascii="Calibri" w:hAnsi="Calibri"/>
          <w:lang w:val="cs-CZ"/>
        </w:rPr>
      </w:pPr>
      <w:r w:rsidRPr="00CD68F5">
        <w:rPr>
          <w:rFonts w:ascii="Calibri" w:hAnsi="Calibri"/>
          <w:lang w:val="cs-CZ"/>
        </w:rPr>
        <w:lastRenderedPageBreak/>
        <w:t xml:space="preserve">Viz </w:t>
      </w:r>
      <w:r w:rsidR="008247AF">
        <w:rPr>
          <w:rFonts w:ascii="Calibri" w:hAnsi="Calibri"/>
          <w:lang w:val="cs-CZ"/>
        </w:rPr>
        <w:t>obrázek</w:t>
      </w:r>
      <w:r w:rsidR="008247AF" w:rsidRPr="00CD68F5">
        <w:rPr>
          <w:rFonts w:ascii="Calibri" w:hAnsi="Calibri"/>
          <w:lang w:val="cs-CZ"/>
        </w:rPr>
        <w:t xml:space="preserve"> </w:t>
      </w:r>
      <w:r w:rsidRPr="00CD68F5">
        <w:rPr>
          <w:rFonts w:ascii="Calibri" w:hAnsi="Calibri"/>
          <w:lang w:val="cs-CZ"/>
        </w:rPr>
        <w:t>č</w:t>
      </w:r>
      <w:r w:rsidR="00A53763">
        <w:rPr>
          <w:rFonts w:ascii="Calibri" w:hAnsi="Calibri"/>
          <w:lang w:val="cs-CZ"/>
        </w:rPr>
        <w:t>.</w:t>
      </w:r>
      <w:r w:rsidRPr="00CD68F5">
        <w:rPr>
          <w:rFonts w:ascii="Calibri" w:hAnsi="Calibri"/>
          <w:lang w:val="cs-CZ"/>
        </w:rPr>
        <w:t xml:space="preserve"> 2 – Počet provedených kontrol, kde</w:t>
      </w:r>
      <w:r>
        <w:rPr>
          <w:rFonts w:ascii="Calibri" w:hAnsi="Calibri"/>
          <w:lang w:val="cs-CZ"/>
        </w:rPr>
        <w:t xml:space="preserve"> je vidět vývoj počtu kontrol v </w:t>
      </w:r>
      <w:r w:rsidRPr="00CD68F5">
        <w:rPr>
          <w:rFonts w:ascii="Calibri" w:hAnsi="Calibri"/>
          <w:lang w:val="cs-CZ"/>
        </w:rPr>
        <w:t>nemocničních lékárnách oproti celkovému počtu pr</w:t>
      </w:r>
      <w:r>
        <w:rPr>
          <w:rFonts w:ascii="Calibri" w:hAnsi="Calibri"/>
          <w:lang w:val="cs-CZ"/>
        </w:rPr>
        <w:t>ovedených kontrol v průběhu let </w:t>
      </w:r>
      <w:r w:rsidR="00D353BC">
        <w:rPr>
          <w:rFonts w:ascii="Calibri" w:hAnsi="Calibri"/>
          <w:lang w:val="cs-CZ"/>
        </w:rPr>
        <w:t>2012 až 2022.</w:t>
      </w:r>
    </w:p>
    <w:p w:rsidR="00294E20" w:rsidRDefault="00294E20" w:rsidP="00294E20">
      <w:pPr>
        <w:pStyle w:val="Standard"/>
        <w:spacing w:line="360" w:lineRule="auto"/>
        <w:jc w:val="both"/>
        <w:rPr>
          <w:rFonts w:ascii="Calibri" w:hAnsi="Calibri"/>
          <w:lang w:val="cs-CZ"/>
        </w:rPr>
      </w:pPr>
      <w:r>
        <w:rPr>
          <w:noProof/>
          <w:lang w:val="cs-CZ" w:eastAsia="cs-CZ" w:bidi="ar-SA"/>
        </w:rPr>
        <w:drawing>
          <wp:inline distT="0" distB="0" distL="0" distR="0" wp14:anchorId="5D5C6746" wp14:editId="3CF2BDC6">
            <wp:extent cx="5176300" cy="3410585"/>
            <wp:effectExtent l="0" t="0" r="5715" b="1841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2D21" w:rsidRPr="00872CEC" w:rsidRDefault="00BE2D21" w:rsidP="00294E20">
      <w:pPr>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2 – Počet provedených kontrol</w:t>
      </w:r>
    </w:p>
    <w:p w:rsidR="00294E20" w:rsidRPr="00872CEC" w:rsidRDefault="00BE2D21"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Pr="00CD68F5" w:rsidRDefault="00294E20" w:rsidP="00294E20">
      <w:pPr>
        <w:pStyle w:val="Standard"/>
        <w:spacing w:line="360" w:lineRule="auto"/>
        <w:jc w:val="both"/>
        <w:rPr>
          <w:rFonts w:ascii="Calibri" w:hAnsi="Calibri"/>
          <w:lang w:val="cs-CZ"/>
        </w:rPr>
      </w:pPr>
    </w:p>
    <w:p w:rsidR="00294E20" w:rsidRDefault="00BE2D21" w:rsidP="00294E20">
      <w:pPr>
        <w:pStyle w:val="Standard"/>
        <w:spacing w:line="360" w:lineRule="auto"/>
        <w:ind w:firstLine="708"/>
        <w:jc w:val="both"/>
        <w:rPr>
          <w:rFonts w:ascii="Calibri" w:hAnsi="Calibri"/>
          <w:lang w:val="cs-CZ"/>
        </w:rPr>
      </w:pPr>
      <w:r>
        <w:rPr>
          <w:rFonts w:ascii="Calibri" w:hAnsi="Calibri"/>
          <w:lang w:val="cs-CZ"/>
        </w:rPr>
        <w:t>Graf na o</w:t>
      </w:r>
      <w:r w:rsidR="008247AF">
        <w:rPr>
          <w:rFonts w:ascii="Calibri" w:hAnsi="Calibri"/>
          <w:lang w:val="cs-CZ"/>
        </w:rPr>
        <w:t>brázk</w:t>
      </w:r>
      <w:r>
        <w:rPr>
          <w:rFonts w:ascii="Calibri" w:hAnsi="Calibri"/>
          <w:lang w:val="cs-CZ"/>
        </w:rPr>
        <w:t>u</w:t>
      </w:r>
      <w:r w:rsidR="008247AF" w:rsidRPr="00CD68F5">
        <w:rPr>
          <w:rFonts w:ascii="Calibri" w:hAnsi="Calibri"/>
          <w:lang w:val="cs-CZ"/>
        </w:rPr>
        <w:t xml:space="preserve"> </w:t>
      </w:r>
      <w:r w:rsidR="00294E20" w:rsidRPr="00CD68F5">
        <w:rPr>
          <w:rFonts w:ascii="Calibri" w:hAnsi="Calibri"/>
          <w:lang w:val="cs-CZ"/>
        </w:rPr>
        <w:t>č</w:t>
      </w:r>
      <w:r w:rsidR="00A53763">
        <w:rPr>
          <w:rFonts w:ascii="Calibri" w:hAnsi="Calibri"/>
          <w:lang w:val="cs-CZ"/>
        </w:rPr>
        <w:t>.</w:t>
      </w:r>
      <w:r w:rsidR="00294E20" w:rsidRPr="00CD68F5">
        <w:rPr>
          <w:rFonts w:ascii="Calibri" w:hAnsi="Calibri"/>
          <w:lang w:val="cs-CZ"/>
        </w:rPr>
        <w:t xml:space="preserve"> 3 – Počet cílených kontrol v lékárnách</w:t>
      </w:r>
      <w:r>
        <w:rPr>
          <w:rFonts w:ascii="Calibri" w:hAnsi="Calibri"/>
          <w:lang w:val="cs-CZ"/>
        </w:rPr>
        <w:t>, ukazuje data o </w:t>
      </w:r>
      <w:r w:rsidR="00294E20" w:rsidRPr="00CD68F5">
        <w:rPr>
          <w:rFonts w:ascii="Calibri" w:hAnsi="Calibri"/>
          <w:lang w:val="cs-CZ"/>
        </w:rPr>
        <w:t xml:space="preserve">provedených cílených kontrolách, kdy tato data mají pouze informativní charakter, </w:t>
      </w:r>
      <w:r w:rsidR="00294E20">
        <w:rPr>
          <w:rFonts w:ascii="Calibri" w:hAnsi="Calibri"/>
          <w:lang w:val="cs-CZ"/>
        </w:rPr>
        <w:t>neboť do </w:t>
      </w:r>
      <w:r w:rsidR="00294E20" w:rsidRPr="00CD68F5">
        <w:rPr>
          <w:rFonts w:ascii="Calibri" w:hAnsi="Calibri"/>
          <w:lang w:val="cs-CZ"/>
        </w:rPr>
        <w:t>celkového počtu v daném roce je vždy započítána jak kontrola na základě podnětu, tak i kontrola</w:t>
      </w:r>
      <w:r w:rsidR="00294E20">
        <w:rPr>
          <w:rFonts w:ascii="Calibri" w:hAnsi="Calibri"/>
          <w:lang w:val="cs-CZ"/>
        </w:rPr>
        <w:t xml:space="preserve"> na základě vlastního zjištění.</w:t>
      </w:r>
    </w:p>
    <w:p w:rsidR="00294E20" w:rsidRDefault="00294E20" w:rsidP="00294E20">
      <w:pPr>
        <w:pStyle w:val="Standard"/>
        <w:spacing w:line="360" w:lineRule="auto"/>
        <w:ind w:firstLine="708"/>
        <w:jc w:val="both"/>
        <w:rPr>
          <w:rFonts w:ascii="Calibri" w:hAnsi="Calibri"/>
          <w:lang w:val="cs-CZ"/>
        </w:rPr>
      </w:pPr>
      <w:r w:rsidRPr="00CD68F5">
        <w:rPr>
          <w:rFonts w:ascii="Calibri" w:hAnsi="Calibri"/>
          <w:lang w:val="cs-CZ"/>
        </w:rPr>
        <w:t xml:space="preserve">Z uvedených </w:t>
      </w:r>
      <w:r>
        <w:rPr>
          <w:rFonts w:ascii="Calibri" w:hAnsi="Calibri"/>
          <w:lang w:val="cs-CZ"/>
        </w:rPr>
        <w:t>dat lze usuzovat, že vzhledem k </w:t>
      </w:r>
      <w:r w:rsidRPr="00CD68F5">
        <w:rPr>
          <w:rFonts w:ascii="Calibri" w:hAnsi="Calibri"/>
          <w:lang w:val="cs-CZ"/>
        </w:rPr>
        <w:t>nízkému počtu cílených kontrol, jsou veřejností, nebo samo</w:t>
      </w:r>
      <w:r w:rsidR="00E876DE">
        <w:rPr>
          <w:rFonts w:ascii="Calibri" w:hAnsi="Calibri"/>
          <w:lang w:val="cs-CZ"/>
        </w:rPr>
        <w:t>tným SÚKL, jen výjimečně vnímány</w:t>
      </w:r>
      <w:r w:rsidRPr="00CD68F5">
        <w:rPr>
          <w:rFonts w:ascii="Calibri" w:hAnsi="Calibri"/>
          <w:lang w:val="cs-CZ"/>
        </w:rPr>
        <w:t xml:space="preserve"> jasně viditelná porušení. Tedy vyjma roku 2015, kdy prakticky každá 10 kontrola, byla provedena cíleně. Naneštěstí SÚKL volně nezveřejňuje data, ze kterých by bylo možné zjistit počet zjištěných porušení právě na základě provedené cílené kon</w:t>
      </w:r>
      <w:r>
        <w:rPr>
          <w:rFonts w:ascii="Calibri" w:hAnsi="Calibri"/>
          <w:lang w:val="cs-CZ"/>
        </w:rPr>
        <w:t>troly.</w:t>
      </w:r>
    </w:p>
    <w:p w:rsidR="00281350" w:rsidRDefault="00294E20" w:rsidP="00294E20">
      <w:pPr>
        <w:pStyle w:val="Standard"/>
        <w:spacing w:line="360" w:lineRule="auto"/>
        <w:ind w:firstLine="708"/>
        <w:jc w:val="both"/>
        <w:rPr>
          <w:rFonts w:ascii="Calibri" w:hAnsi="Calibri"/>
          <w:lang w:val="cs-CZ"/>
        </w:rPr>
      </w:pPr>
      <w:r>
        <w:rPr>
          <w:rFonts w:ascii="Calibri" w:hAnsi="Calibri"/>
          <w:lang w:val="cs-CZ"/>
        </w:rPr>
        <w:t>Z </w:t>
      </w:r>
      <w:r w:rsidRPr="00CD68F5">
        <w:rPr>
          <w:rFonts w:ascii="Calibri" w:hAnsi="Calibri"/>
          <w:lang w:val="cs-CZ"/>
        </w:rPr>
        <w:t>grafu je zřetelně vidět, že SÚKL ke kontrole přistupuje aktivně, a lze usuzovat, že právě z tohoto důvodu, jsou cílené kontroly v ta</w:t>
      </w:r>
      <w:r w:rsidR="00E876DE">
        <w:rPr>
          <w:rFonts w:ascii="Calibri" w:hAnsi="Calibri"/>
          <w:lang w:val="cs-CZ"/>
        </w:rPr>
        <w:t>k</w:t>
      </w:r>
      <w:r w:rsidRPr="00CD68F5">
        <w:rPr>
          <w:rFonts w:ascii="Calibri" w:hAnsi="Calibri"/>
          <w:lang w:val="cs-CZ"/>
        </w:rPr>
        <w:t xml:space="preserve"> nízkém počtu.</w:t>
      </w:r>
    </w:p>
    <w:p w:rsidR="00294E20" w:rsidRPr="00CD68F5" w:rsidRDefault="00294E20" w:rsidP="00294E20">
      <w:pPr>
        <w:pStyle w:val="Standard"/>
        <w:spacing w:line="360" w:lineRule="auto"/>
        <w:ind w:firstLine="708"/>
        <w:jc w:val="both"/>
        <w:rPr>
          <w:rFonts w:ascii="Calibri" w:hAnsi="Calibri"/>
          <w:lang w:val="cs-CZ"/>
        </w:rPr>
      </w:pPr>
      <w:r w:rsidRPr="00CD68F5">
        <w:rPr>
          <w:rFonts w:ascii="Calibri" w:hAnsi="Calibri"/>
          <w:lang w:val="cs-CZ"/>
        </w:rPr>
        <w:lastRenderedPageBreak/>
        <w:t xml:space="preserve">Viz </w:t>
      </w:r>
      <w:r w:rsidR="008247AF">
        <w:rPr>
          <w:rFonts w:ascii="Calibri" w:hAnsi="Calibri"/>
          <w:lang w:val="cs-CZ"/>
        </w:rPr>
        <w:t>obrázek</w:t>
      </w:r>
      <w:r w:rsidR="008247AF" w:rsidRPr="00CD68F5">
        <w:rPr>
          <w:rFonts w:ascii="Calibri" w:hAnsi="Calibri"/>
          <w:lang w:val="cs-CZ"/>
        </w:rPr>
        <w:t xml:space="preserve"> </w:t>
      </w:r>
      <w:r w:rsidRPr="00CD68F5">
        <w:rPr>
          <w:rFonts w:ascii="Calibri" w:hAnsi="Calibri"/>
          <w:lang w:val="cs-CZ"/>
        </w:rPr>
        <w:t>č</w:t>
      </w:r>
      <w:r w:rsidR="00A53763">
        <w:rPr>
          <w:rFonts w:ascii="Calibri" w:hAnsi="Calibri"/>
          <w:lang w:val="cs-CZ"/>
        </w:rPr>
        <w:t>.</w:t>
      </w:r>
      <w:r w:rsidRPr="00CD68F5">
        <w:rPr>
          <w:rFonts w:ascii="Calibri" w:hAnsi="Calibri"/>
          <w:lang w:val="cs-CZ"/>
        </w:rPr>
        <w:t xml:space="preserve"> 3 – Počet cílených kontrol v lékárnách, kde je vidět vývoj počtu cílených kontrol v lékárnách oproti celkovému počtu pr</w:t>
      </w:r>
      <w:r w:rsidR="00A53763">
        <w:rPr>
          <w:rFonts w:ascii="Calibri" w:hAnsi="Calibri"/>
          <w:lang w:val="cs-CZ"/>
        </w:rPr>
        <w:t>ovedených kontrol v průběhu let </w:t>
      </w:r>
      <w:r w:rsidRPr="00CD68F5">
        <w:rPr>
          <w:rFonts w:ascii="Calibri" w:hAnsi="Calibri"/>
          <w:lang w:val="cs-CZ"/>
        </w:rPr>
        <w:t>2012 až 2022.</w:t>
      </w:r>
    </w:p>
    <w:p w:rsidR="00294E20" w:rsidRDefault="00294E2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47672A7F" wp14:editId="5BD6349C">
            <wp:extent cx="5184140" cy="3442915"/>
            <wp:effectExtent l="0" t="0" r="16510" b="571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2D21" w:rsidRPr="00872CEC" w:rsidRDefault="00BE2D21" w:rsidP="00294E20">
      <w:pPr>
        <w:spacing w:after="0" w:line="360" w:lineRule="auto"/>
        <w:ind w:firstLine="567"/>
        <w:jc w:val="both"/>
        <w:rPr>
          <w:iCs/>
          <w:sz w:val="20"/>
          <w:szCs w:val="20"/>
        </w:rPr>
      </w:pPr>
      <w:r w:rsidRPr="00872CEC">
        <w:rPr>
          <w:iCs/>
          <w:sz w:val="20"/>
          <w:szCs w:val="20"/>
        </w:rPr>
        <w:t xml:space="preserve">Obrázek </w:t>
      </w:r>
      <w:r w:rsidR="00294E20" w:rsidRPr="00872CEC">
        <w:rPr>
          <w:iCs/>
          <w:sz w:val="20"/>
          <w:szCs w:val="20"/>
        </w:rPr>
        <w:t>č</w:t>
      </w:r>
      <w:r w:rsidR="00A53763">
        <w:rPr>
          <w:iCs/>
          <w:sz w:val="20"/>
          <w:szCs w:val="20"/>
        </w:rPr>
        <w:t>.</w:t>
      </w:r>
      <w:r w:rsidR="00294E20" w:rsidRPr="00872CEC">
        <w:rPr>
          <w:iCs/>
          <w:sz w:val="20"/>
          <w:szCs w:val="20"/>
        </w:rPr>
        <w:t xml:space="preserve"> 3 – Počet cílených kontrol v</w:t>
      </w:r>
      <w:r w:rsidRPr="00872CEC">
        <w:rPr>
          <w:iCs/>
          <w:sz w:val="20"/>
          <w:szCs w:val="20"/>
        </w:rPr>
        <w:t> </w:t>
      </w:r>
      <w:r w:rsidR="00294E20" w:rsidRPr="00872CEC">
        <w:rPr>
          <w:iCs/>
          <w:sz w:val="20"/>
          <w:szCs w:val="20"/>
        </w:rPr>
        <w:t>lékárnách</w:t>
      </w:r>
    </w:p>
    <w:p w:rsidR="00294E20" w:rsidRPr="00872CEC" w:rsidRDefault="00BE2D21"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jc w:val="both"/>
        <w:rPr>
          <w:rFonts w:asciiTheme="minorHAnsi" w:hAnsiTheme="minorHAnsi" w:cstheme="minorHAnsi"/>
          <w:color w:val="auto"/>
          <w:sz w:val="24"/>
        </w:rPr>
      </w:pPr>
    </w:p>
    <w:p w:rsidR="00294E20" w:rsidRDefault="00294E20" w:rsidP="00294E20">
      <w:pPr>
        <w:pStyle w:val="Standard"/>
        <w:spacing w:line="360" w:lineRule="auto"/>
        <w:ind w:firstLine="567"/>
        <w:jc w:val="both"/>
        <w:rPr>
          <w:rFonts w:ascii="Calibri" w:hAnsi="Calibri"/>
          <w:lang w:val="cs-CZ"/>
        </w:rPr>
      </w:pPr>
      <w:r w:rsidRPr="00023480">
        <w:rPr>
          <w:rFonts w:ascii="Calibri" w:hAnsi="Calibri"/>
          <w:lang w:val="cs-CZ"/>
        </w:rPr>
        <w:t>Data o závadách v lékárnách jsou členěna do tří skupin závad. Do první skupiny řadíme kontroly bez zjištěných závad, nebo s drobnou závadou. Do druhé skupiny řadíme významné závady nebo opakované závady. A do třetí skupiny řadím</w:t>
      </w:r>
      <w:r>
        <w:rPr>
          <w:rFonts w:ascii="Calibri" w:hAnsi="Calibri"/>
          <w:lang w:val="cs-CZ"/>
        </w:rPr>
        <w:t>e závažné nebo kritické závady.</w:t>
      </w:r>
    </w:p>
    <w:p w:rsidR="00294E20" w:rsidRDefault="00294E20" w:rsidP="00294E20">
      <w:pPr>
        <w:pStyle w:val="Standard"/>
        <w:spacing w:line="360" w:lineRule="auto"/>
        <w:ind w:firstLine="567"/>
        <w:jc w:val="both"/>
        <w:rPr>
          <w:rFonts w:ascii="Calibri" w:hAnsi="Calibri"/>
          <w:lang w:val="cs-CZ"/>
        </w:rPr>
      </w:pPr>
      <w:r>
        <w:rPr>
          <w:rFonts w:ascii="Calibri" w:hAnsi="Calibri"/>
          <w:lang w:val="cs-CZ"/>
        </w:rPr>
        <w:t>Z</w:t>
      </w:r>
      <w:r w:rsidRPr="00023480">
        <w:rPr>
          <w:rFonts w:ascii="Calibri" w:hAnsi="Calibri"/>
          <w:lang w:val="cs-CZ"/>
        </w:rPr>
        <w:t xml:space="preserve">e získaných dat je patrné, že každoročně </w:t>
      </w:r>
      <w:r>
        <w:rPr>
          <w:rFonts w:ascii="Calibri" w:hAnsi="Calibri"/>
          <w:lang w:val="cs-CZ"/>
        </w:rPr>
        <w:t>byla</w:t>
      </w:r>
      <w:r w:rsidRPr="00023480">
        <w:rPr>
          <w:rFonts w:ascii="Calibri" w:hAnsi="Calibri"/>
          <w:lang w:val="cs-CZ"/>
        </w:rPr>
        <w:t xml:space="preserve"> nadpoloviční většina kontrol zařazena do </w:t>
      </w:r>
      <w:r w:rsidR="004900F7">
        <w:rPr>
          <w:rFonts w:ascii="Calibri" w:hAnsi="Calibri"/>
          <w:lang w:val="cs-CZ"/>
        </w:rPr>
        <w:t xml:space="preserve">první </w:t>
      </w:r>
      <w:r w:rsidRPr="00023480">
        <w:rPr>
          <w:rFonts w:ascii="Calibri" w:hAnsi="Calibri"/>
          <w:lang w:val="cs-CZ"/>
        </w:rPr>
        <w:t>skupiny, tedy</w:t>
      </w:r>
      <w:r>
        <w:rPr>
          <w:rFonts w:ascii="Calibri" w:hAnsi="Calibri"/>
          <w:lang w:val="cs-CZ"/>
        </w:rPr>
        <w:t>, že nebyla zjištěna závada</w:t>
      </w:r>
      <w:r w:rsidRPr="00023480">
        <w:rPr>
          <w:rFonts w:ascii="Calibri" w:hAnsi="Calibri"/>
          <w:lang w:val="cs-CZ"/>
        </w:rPr>
        <w:t xml:space="preserve"> nebo byla zjištěna pouze drobná závada. Rok 2020 byl rokem, kdy z provedených 570 kontrol bylo bez závad nebo jen z drobou závadou celkem 364 kontrol, kdy opět lze usuzovat, že toto bylo v reakci na</w:t>
      </w:r>
      <w:r>
        <w:rPr>
          <w:rFonts w:ascii="Calibri" w:hAnsi="Calibri"/>
          <w:lang w:val="cs-CZ"/>
        </w:rPr>
        <w:t> </w:t>
      </w:r>
      <w:r w:rsidRPr="00023480">
        <w:rPr>
          <w:rFonts w:ascii="Calibri" w:hAnsi="Calibri"/>
          <w:lang w:val="cs-CZ"/>
        </w:rPr>
        <w:t xml:space="preserve">nastavená bezpečnostní opatření v souvislosti </w:t>
      </w:r>
      <w:r>
        <w:rPr>
          <w:rFonts w:ascii="Calibri" w:hAnsi="Calibri"/>
          <w:lang w:val="cs-CZ"/>
        </w:rPr>
        <w:t>s epidemií onemocnění COVID-19.</w:t>
      </w:r>
    </w:p>
    <w:p w:rsidR="00294E20" w:rsidRDefault="00294E20" w:rsidP="00294E20">
      <w:pPr>
        <w:pStyle w:val="Standard"/>
        <w:spacing w:line="360" w:lineRule="auto"/>
        <w:ind w:firstLine="567"/>
        <w:jc w:val="both"/>
        <w:rPr>
          <w:rFonts w:ascii="Calibri" w:hAnsi="Calibri"/>
          <w:lang w:val="cs-CZ"/>
        </w:rPr>
      </w:pPr>
      <w:r w:rsidRPr="00023480">
        <w:rPr>
          <w:rFonts w:ascii="Calibri" w:hAnsi="Calibri"/>
          <w:lang w:val="cs-CZ"/>
        </w:rPr>
        <w:t>Pomyslným nejhorším rokem, tedy rokem</w:t>
      </w:r>
      <w:r>
        <w:rPr>
          <w:rFonts w:ascii="Calibri" w:hAnsi="Calibri"/>
          <w:lang w:val="cs-CZ"/>
        </w:rPr>
        <w:t>,</w:t>
      </w:r>
      <w:r w:rsidRPr="00023480">
        <w:rPr>
          <w:rFonts w:ascii="Calibri" w:hAnsi="Calibri"/>
          <w:lang w:val="cs-CZ"/>
        </w:rPr>
        <w:t xml:space="preserve"> kdy z provedených kontrol bylo zjištěno nejvíce závad</w:t>
      </w:r>
      <w:r>
        <w:rPr>
          <w:rFonts w:ascii="Calibri" w:hAnsi="Calibri"/>
          <w:lang w:val="cs-CZ"/>
        </w:rPr>
        <w:t>,</w:t>
      </w:r>
      <w:r w:rsidRPr="00023480">
        <w:rPr>
          <w:rFonts w:ascii="Calibri" w:hAnsi="Calibri"/>
          <w:lang w:val="cs-CZ"/>
        </w:rPr>
        <w:t xml:space="preserve"> byl rok 2016. Z provedených 877 kontrol bylo v druhé a třetí skupině zjištěno celkem 423, což znamená, že téměř každá druh</w:t>
      </w:r>
      <w:r w:rsidR="004900F7">
        <w:rPr>
          <w:rFonts w:ascii="Calibri" w:hAnsi="Calibri"/>
          <w:lang w:val="cs-CZ"/>
        </w:rPr>
        <w:t>á</w:t>
      </w:r>
      <w:r w:rsidRPr="00023480">
        <w:rPr>
          <w:rFonts w:ascii="Calibri" w:hAnsi="Calibri"/>
          <w:lang w:val="cs-CZ"/>
        </w:rPr>
        <w:t xml:space="preserve"> kontrola objevila závadu spadající do druhé nebo třetí skupiny.</w:t>
      </w:r>
    </w:p>
    <w:p w:rsidR="00294E20" w:rsidRPr="00023480" w:rsidRDefault="00294E20" w:rsidP="00294E20">
      <w:pPr>
        <w:pStyle w:val="Standard"/>
        <w:spacing w:line="360" w:lineRule="auto"/>
        <w:ind w:firstLine="567"/>
        <w:jc w:val="both"/>
        <w:rPr>
          <w:rFonts w:asciiTheme="minorHAnsi" w:hAnsiTheme="minorHAnsi" w:cstheme="minorHAnsi"/>
          <w:color w:val="auto"/>
        </w:rPr>
      </w:pPr>
      <w:r w:rsidRPr="00023480">
        <w:rPr>
          <w:rFonts w:ascii="Calibri" w:hAnsi="Calibri"/>
          <w:lang w:val="cs-CZ"/>
        </w:rPr>
        <w:lastRenderedPageBreak/>
        <w:t xml:space="preserve">Viz </w:t>
      </w:r>
      <w:r w:rsidR="008247AF">
        <w:rPr>
          <w:rFonts w:ascii="Calibri" w:hAnsi="Calibri"/>
          <w:lang w:val="cs-CZ"/>
        </w:rPr>
        <w:t>obrázek</w:t>
      </w:r>
      <w:r w:rsidR="008247AF" w:rsidRPr="00023480">
        <w:rPr>
          <w:rFonts w:ascii="Calibri" w:hAnsi="Calibri"/>
          <w:lang w:val="cs-CZ"/>
        </w:rPr>
        <w:t xml:space="preserve"> </w:t>
      </w:r>
      <w:r w:rsidRPr="00023480">
        <w:rPr>
          <w:rFonts w:ascii="Calibri" w:hAnsi="Calibri"/>
          <w:lang w:val="cs-CZ"/>
        </w:rPr>
        <w:t>č</w:t>
      </w:r>
      <w:r w:rsidR="00A53763">
        <w:rPr>
          <w:rFonts w:ascii="Calibri" w:hAnsi="Calibri"/>
          <w:lang w:val="cs-CZ"/>
        </w:rPr>
        <w:t>.</w:t>
      </w:r>
      <w:r w:rsidRPr="00023480">
        <w:rPr>
          <w:rFonts w:ascii="Calibri" w:hAnsi="Calibri"/>
          <w:lang w:val="cs-CZ"/>
        </w:rPr>
        <w:t xml:space="preserve"> 4 – Typy závad v lékárnách, kde je vidět počet jednotlivých typů zjištěných závad v lékárnách z provedených kontrol v průběhu let 2012 až 2022.</w:t>
      </w:r>
    </w:p>
    <w:p w:rsidR="00294E20" w:rsidRDefault="00294E2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43AD22C8" wp14:editId="641C31E3">
            <wp:extent cx="5184251" cy="3482340"/>
            <wp:effectExtent l="0" t="0" r="16510" b="381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2D21" w:rsidRPr="00872CEC" w:rsidRDefault="00BE2D21" w:rsidP="00294E20">
      <w:pPr>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4 – Typy závad v</w:t>
      </w:r>
      <w:r w:rsidRPr="00872CEC">
        <w:rPr>
          <w:iCs/>
          <w:sz w:val="20"/>
          <w:szCs w:val="20"/>
        </w:rPr>
        <w:t> </w:t>
      </w:r>
      <w:r w:rsidR="00294E20" w:rsidRPr="00872CEC">
        <w:rPr>
          <w:iCs/>
          <w:sz w:val="20"/>
          <w:szCs w:val="20"/>
        </w:rPr>
        <w:t>lékárnách</w:t>
      </w:r>
    </w:p>
    <w:p w:rsidR="00294E20" w:rsidRPr="00872CEC" w:rsidRDefault="00BE2D21"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Pr="00203E47" w:rsidRDefault="00294E20" w:rsidP="00294E20">
      <w:pPr>
        <w:spacing w:after="0" w:line="360" w:lineRule="auto"/>
        <w:jc w:val="both"/>
        <w:rPr>
          <w:iCs/>
          <w:sz w:val="24"/>
          <w:szCs w:val="24"/>
        </w:rPr>
      </w:pPr>
    </w:p>
    <w:p w:rsidR="00294E20" w:rsidRDefault="00294E20" w:rsidP="00294E20">
      <w:pPr>
        <w:pStyle w:val="Standard"/>
        <w:spacing w:line="360" w:lineRule="auto"/>
        <w:ind w:firstLine="567"/>
        <w:jc w:val="both"/>
        <w:rPr>
          <w:rFonts w:ascii="Calibri" w:hAnsi="Calibri"/>
          <w:lang w:val="cs-CZ"/>
        </w:rPr>
      </w:pPr>
      <w:r w:rsidRPr="00023480">
        <w:rPr>
          <w:rFonts w:ascii="Calibri" w:hAnsi="Calibri"/>
          <w:lang w:val="cs-CZ"/>
        </w:rPr>
        <w:t>Reakce na zjištěná porušení z provedených kontrol</w:t>
      </w:r>
      <w:r w:rsidR="008247AF">
        <w:rPr>
          <w:rFonts w:ascii="Calibri" w:hAnsi="Calibri"/>
          <w:lang w:val="cs-CZ"/>
        </w:rPr>
        <w:t xml:space="preserve"> jsou zobrazena</w:t>
      </w:r>
      <w:r w:rsidR="00BE2D21">
        <w:rPr>
          <w:rFonts w:ascii="Calibri" w:hAnsi="Calibri"/>
          <w:lang w:val="cs-CZ"/>
        </w:rPr>
        <w:t xml:space="preserve"> na grafu </w:t>
      </w:r>
      <w:r w:rsidR="008247AF">
        <w:rPr>
          <w:rFonts w:ascii="Calibri" w:hAnsi="Calibri"/>
          <w:lang w:val="cs-CZ"/>
        </w:rPr>
        <w:t>na</w:t>
      </w:r>
      <w:r w:rsidR="00BE2D21">
        <w:rPr>
          <w:rFonts w:ascii="Calibri" w:hAnsi="Calibri"/>
          <w:lang w:val="cs-CZ"/>
        </w:rPr>
        <w:t> </w:t>
      </w:r>
      <w:r w:rsidR="008247AF">
        <w:rPr>
          <w:rFonts w:ascii="Calibri" w:hAnsi="Calibri"/>
          <w:lang w:val="cs-CZ"/>
        </w:rPr>
        <w:t xml:space="preserve">obrázku </w:t>
      </w:r>
      <w:r>
        <w:rPr>
          <w:rFonts w:ascii="Calibri" w:hAnsi="Calibri"/>
          <w:lang w:val="cs-CZ"/>
        </w:rPr>
        <w:t>č</w:t>
      </w:r>
      <w:r w:rsidR="00A53763">
        <w:rPr>
          <w:rFonts w:ascii="Calibri" w:hAnsi="Calibri"/>
          <w:lang w:val="cs-CZ"/>
        </w:rPr>
        <w:t>.</w:t>
      </w:r>
      <w:r>
        <w:rPr>
          <w:rFonts w:ascii="Calibri" w:hAnsi="Calibri"/>
          <w:lang w:val="cs-CZ"/>
        </w:rPr>
        <w:t> 5 </w:t>
      </w:r>
      <w:r w:rsidRPr="00023480">
        <w:rPr>
          <w:rFonts w:ascii="Calibri" w:hAnsi="Calibri"/>
          <w:lang w:val="cs-CZ"/>
        </w:rPr>
        <w:t>– Postihy z kontrol v lékárnách, kdy je jasně patrn</w:t>
      </w:r>
      <w:r w:rsidR="00BE2D21">
        <w:rPr>
          <w:rFonts w:ascii="Calibri" w:hAnsi="Calibri"/>
          <w:lang w:val="cs-CZ"/>
        </w:rPr>
        <w:t>á převaha ve vyřizování závad v </w:t>
      </w:r>
      <w:r w:rsidRPr="00023480">
        <w:rPr>
          <w:rFonts w:ascii="Calibri" w:hAnsi="Calibri"/>
          <w:lang w:val="cs-CZ"/>
        </w:rPr>
        <w:t>rámci příkazního řízení udělením pokuty. Nejvíce pokut bylo uděleno v roce 2017 a</w:t>
      </w:r>
      <w:r w:rsidR="00865A9A">
        <w:rPr>
          <w:rFonts w:ascii="Calibri" w:hAnsi="Calibri"/>
          <w:lang w:val="cs-CZ"/>
        </w:rPr>
        <w:t> </w:t>
      </w:r>
      <w:r w:rsidRPr="00023480">
        <w:rPr>
          <w:rFonts w:ascii="Calibri" w:hAnsi="Calibri"/>
          <w:lang w:val="cs-CZ"/>
        </w:rPr>
        <w:t>to</w:t>
      </w:r>
      <w:r w:rsidR="00865A9A">
        <w:rPr>
          <w:rFonts w:ascii="Calibri" w:hAnsi="Calibri"/>
          <w:lang w:val="cs-CZ"/>
        </w:rPr>
        <w:t> </w:t>
      </w:r>
      <w:r w:rsidRPr="00023480">
        <w:rPr>
          <w:rFonts w:ascii="Calibri" w:hAnsi="Calibri"/>
          <w:lang w:val="cs-CZ"/>
        </w:rPr>
        <w:t>v</w:t>
      </w:r>
      <w:r w:rsidR="00865A9A">
        <w:rPr>
          <w:rFonts w:ascii="Calibri" w:hAnsi="Calibri"/>
          <w:lang w:val="cs-CZ"/>
        </w:rPr>
        <w:t> </w:t>
      </w:r>
      <w:r w:rsidRPr="00023480">
        <w:rPr>
          <w:rFonts w:ascii="Calibri" w:hAnsi="Calibri"/>
          <w:lang w:val="cs-CZ"/>
        </w:rPr>
        <w:t>počtu</w:t>
      </w:r>
      <w:r w:rsidR="00865A9A">
        <w:rPr>
          <w:rFonts w:ascii="Calibri" w:hAnsi="Calibri"/>
          <w:lang w:val="cs-CZ"/>
        </w:rPr>
        <w:t> </w:t>
      </w:r>
      <w:r w:rsidRPr="00023480">
        <w:rPr>
          <w:rFonts w:ascii="Calibri" w:hAnsi="Calibri"/>
          <w:lang w:val="cs-CZ"/>
        </w:rPr>
        <w:t xml:space="preserve">258. Naopak nejméně </w:t>
      </w:r>
      <w:r w:rsidR="00BE2D21">
        <w:rPr>
          <w:rFonts w:ascii="Calibri" w:hAnsi="Calibri"/>
          <w:lang w:val="cs-CZ"/>
        </w:rPr>
        <w:t>jich bylo uděleno v roce 2013 a </w:t>
      </w:r>
      <w:r w:rsidRPr="00023480">
        <w:rPr>
          <w:rFonts w:ascii="Calibri" w:hAnsi="Calibri"/>
          <w:lang w:val="cs-CZ"/>
        </w:rPr>
        <w:t xml:space="preserve">to </w:t>
      </w:r>
      <w:r>
        <w:rPr>
          <w:rFonts w:ascii="Calibri" w:hAnsi="Calibri"/>
          <w:lang w:val="cs-CZ"/>
        </w:rPr>
        <w:t>v počtu 38, což je</w:t>
      </w:r>
      <w:r w:rsidR="00865A9A">
        <w:rPr>
          <w:rFonts w:ascii="Calibri" w:hAnsi="Calibri"/>
          <w:lang w:val="cs-CZ"/>
        </w:rPr>
        <w:t> </w:t>
      </w:r>
      <w:r>
        <w:rPr>
          <w:rFonts w:ascii="Calibri" w:hAnsi="Calibri"/>
          <w:lang w:val="cs-CZ"/>
        </w:rPr>
        <w:t>o</w:t>
      </w:r>
      <w:r w:rsidR="00865A9A">
        <w:rPr>
          <w:rFonts w:ascii="Calibri" w:hAnsi="Calibri"/>
          <w:lang w:val="cs-CZ"/>
        </w:rPr>
        <w:t> </w:t>
      </w:r>
      <w:r>
        <w:rPr>
          <w:rFonts w:ascii="Calibri" w:hAnsi="Calibri"/>
          <w:lang w:val="cs-CZ"/>
        </w:rPr>
        <w:t>celých 220 </w:t>
      </w:r>
      <w:r w:rsidRPr="00023480">
        <w:rPr>
          <w:rFonts w:ascii="Calibri" w:hAnsi="Calibri"/>
          <w:lang w:val="cs-CZ"/>
        </w:rPr>
        <w:t>méně oproti roku 2017. Z da</w:t>
      </w:r>
      <w:r w:rsidR="00BE2D21">
        <w:rPr>
          <w:rFonts w:ascii="Calibri" w:hAnsi="Calibri"/>
          <w:lang w:val="cs-CZ"/>
        </w:rPr>
        <w:t>t lze konstatovat, že </w:t>
      </w:r>
      <w:r w:rsidRPr="00023480">
        <w:rPr>
          <w:rFonts w:ascii="Calibri" w:hAnsi="Calibri"/>
          <w:lang w:val="cs-CZ"/>
        </w:rPr>
        <w:t>vyjma let 2013 a 2017, jsou počty udělených pokut stále v rozmezí od 59 do 110.</w:t>
      </w:r>
    </w:p>
    <w:p w:rsidR="00294E20" w:rsidRDefault="00294E20" w:rsidP="00294E20">
      <w:pPr>
        <w:pStyle w:val="Standard"/>
        <w:spacing w:line="360" w:lineRule="auto"/>
        <w:ind w:firstLine="567"/>
        <w:jc w:val="both"/>
        <w:rPr>
          <w:rFonts w:ascii="Calibri" w:hAnsi="Calibri"/>
          <w:lang w:val="cs-CZ"/>
        </w:rPr>
      </w:pPr>
      <w:r w:rsidRPr="00023480">
        <w:rPr>
          <w:rFonts w:ascii="Calibri" w:hAnsi="Calibri"/>
          <w:lang w:val="cs-CZ"/>
        </w:rPr>
        <w:t>V roce 2019 bylo poprvé užito oprávnění uložení n</w:t>
      </w:r>
      <w:r>
        <w:rPr>
          <w:rFonts w:ascii="Calibri" w:hAnsi="Calibri"/>
          <w:lang w:val="cs-CZ"/>
        </w:rPr>
        <w:t>apomenutí, přičemž se jednalo</w:t>
      </w:r>
      <w:r w:rsidR="00865A9A">
        <w:rPr>
          <w:rFonts w:ascii="Calibri" w:hAnsi="Calibri"/>
          <w:lang w:val="cs-CZ"/>
        </w:rPr>
        <w:t xml:space="preserve"> rovnou </w:t>
      </w:r>
      <w:r>
        <w:rPr>
          <w:rFonts w:ascii="Calibri" w:hAnsi="Calibri"/>
          <w:lang w:val="cs-CZ"/>
        </w:rPr>
        <w:t>o </w:t>
      </w:r>
      <w:r w:rsidRPr="00023480">
        <w:rPr>
          <w:rFonts w:ascii="Calibri" w:hAnsi="Calibri"/>
          <w:lang w:val="cs-CZ"/>
        </w:rPr>
        <w:t>13</w:t>
      </w:r>
      <w:r>
        <w:rPr>
          <w:rFonts w:ascii="Calibri" w:hAnsi="Calibri"/>
          <w:lang w:val="cs-CZ"/>
        </w:rPr>
        <w:t> </w:t>
      </w:r>
      <w:r w:rsidRPr="00023480">
        <w:rPr>
          <w:rFonts w:ascii="Calibri" w:hAnsi="Calibri"/>
          <w:lang w:val="cs-CZ"/>
        </w:rPr>
        <w:t>případů.</w:t>
      </w:r>
    </w:p>
    <w:p w:rsidR="00294E20" w:rsidRDefault="00294E20" w:rsidP="00294E20">
      <w:pPr>
        <w:pStyle w:val="Standard"/>
        <w:spacing w:line="360" w:lineRule="auto"/>
        <w:ind w:firstLine="708"/>
        <w:jc w:val="both"/>
        <w:rPr>
          <w:rFonts w:ascii="Calibri" w:hAnsi="Calibri"/>
          <w:lang w:val="cs-CZ"/>
        </w:rPr>
      </w:pPr>
      <w:r w:rsidRPr="00023480">
        <w:rPr>
          <w:rFonts w:ascii="Calibri" w:hAnsi="Calibri"/>
          <w:lang w:val="cs-CZ"/>
        </w:rPr>
        <w:t>Z dat je patrné, že počet případů pozastavení přípravy léčivých přípravků, se</w:t>
      </w:r>
      <w:r>
        <w:rPr>
          <w:rFonts w:ascii="Calibri" w:hAnsi="Calibri"/>
          <w:lang w:val="cs-CZ"/>
        </w:rPr>
        <w:t> </w:t>
      </w:r>
      <w:r w:rsidRPr="00023480">
        <w:rPr>
          <w:rFonts w:ascii="Calibri" w:hAnsi="Calibri"/>
          <w:lang w:val="cs-CZ"/>
        </w:rPr>
        <w:t>v</w:t>
      </w:r>
      <w:r>
        <w:rPr>
          <w:rFonts w:ascii="Calibri" w:hAnsi="Calibri"/>
          <w:lang w:val="cs-CZ"/>
        </w:rPr>
        <w:t> </w:t>
      </w:r>
      <w:r w:rsidRPr="00023480">
        <w:rPr>
          <w:rFonts w:ascii="Calibri" w:hAnsi="Calibri"/>
          <w:lang w:val="cs-CZ"/>
        </w:rPr>
        <w:t>rámci jednotlivých let pohyboval v rozmezí od 1 do 1</w:t>
      </w:r>
      <w:r>
        <w:rPr>
          <w:rFonts w:ascii="Calibri" w:hAnsi="Calibri"/>
          <w:lang w:val="cs-CZ"/>
        </w:rPr>
        <w:t>7 případů, kdy data ukazují, že </w:t>
      </w:r>
      <w:r w:rsidRPr="00023480">
        <w:rPr>
          <w:rFonts w:ascii="Calibri" w:hAnsi="Calibri"/>
          <w:lang w:val="cs-CZ"/>
        </w:rPr>
        <w:t xml:space="preserve">jejich výše nebyla nijak závislá na výši počtu </w:t>
      </w:r>
      <w:r w:rsidR="00865A9A">
        <w:rPr>
          <w:rFonts w:ascii="Calibri" w:hAnsi="Calibri"/>
          <w:lang w:val="cs-CZ"/>
        </w:rPr>
        <w:t xml:space="preserve">provedených </w:t>
      </w:r>
      <w:r w:rsidRPr="00023480">
        <w:rPr>
          <w:rFonts w:ascii="Calibri" w:hAnsi="Calibri"/>
          <w:lang w:val="cs-CZ"/>
        </w:rPr>
        <w:t>kontrol.</w:t>
      </w:r>
    </w:p>
    <w:p w:rsidR="00294E20" w:rsidRDefault="00294E20" w:rsidP="00294E20">
      <w:pPr>
        <w:pStyle w:val="Standard"/>
        <w:spacing w:line="360" w:lineRule="auto"/>
        <w:ind w:firstLine="708"/>
        <w:jc w:val="both"/>
        <w:rPr>
          <w:rFonts w:ascii="Calibri" w:hAnsi="Calibri"/>
          <w:lang w:val="cs-CZ"/>
        </w:rPr>
      </w:pPr>
      <w:r w:rsidRPr="00023480">
        <w:rPr>
          <w:rFonts w:ascii="Calibri" w:hAnsi="Calibri"/>
          <w:lang w:val="cs-CZ"/>
        </w:rPr>
        <w:t>Docházelo též k případům, kdy v návaznosti na zjištěná porušení, bylo rozhodnuto a pozastavení provozovny, kdy tomu tak by</w:t>
      </w:r>
      <w:r>
        <w:rPr>
          <w:rFonts w:ascii="Calibri" w:hAnsi="Calibri"/>
          <w:lang w:val="cs-CZ"/>
        </w:rPr>
        <w:t xml:space="preserve">lo nejvíce v letech 2012, 2018 </w:t>
      </w:r>
      <w:r>
        <w:rPr>
          <w:rFonts w:ascii="Calibri" w:hAnsi="Calibri"/>
          <w:lang w:val="cs-CZ"/>
        </w:rPr>
        <w:lastRenderedPageBreak/>
        <w:t>a </w:t>
      </w:r>
      <w:r w:rsidRPr="00023480">
        <w:rPr>
          <w:rFonts w:ascii="Calibri" w:hAnsi="Calibri"/>
          <w:lang w:val="cs-CZ"/>
        </w:rPr>
        <w:t xml:space="preserve">2019 </w:t>
      </w:r>
      <w:r w:rsidR="00D808F3">
        <w:rPr>
          <w:rFonts w:ascii="Calibri" w:hAnsi="Calibri"/>
          <w:lang w:val="cs-CZ"/>
        </w:rPr>
        <w:t xml:space="preserve">a to </w:t>
      </w:r>
      <w:r w:rsidRPr="00023480">
        <w:rPr>
          <w:rFonts w:ascii="Calibri" w:hAnsi="Calibri"/>
          <w:lang w:val="cs-CZ"/>
        </w:rPr>
        <w:t>v počtu 3 rozhodnutí</w:t>
      </w:r>
      <w:r w:rsidR="00D808F3">
        <w:rPr>
          <w:rFonts w:ascii="Calibri" w:hAnsi="Calibri"/>
          <w:lang w:val="cs-CZ"/>
        </w:rPr>
        <w:t xml:space="preserve"> každý rok</w:t>
      </w:r>
      <w:r w:rsidRPr="00023480">
        <w:rPr>
          <w:rFonts w:ascii="Calibri" w:hAnsi="Calibri"/>
          <w:lang w:val="cs-CZ"/>
        </w:rPr>
        <w:t>. Naopak v letech 2015, 20</w:t>
      </w:r>
      <w:r>
        <w:rPr>
          <w:rFonts w:ascii="Calibri" w:hAnsi="Calibri"/>
          <w:lang w:val="cs-CZ"/>
        </w:rPr>
        <w:t>17, 2020, 2021 a</w:t>
      </w:r>
      <w:r w:rsidR="00D808F3">
        <w:rPr>
          <w:rFonts w:ascii="Calibri" w:hAnsi="Calibri"/>
          <w:lang w:val="cs-CZ"/>
        </w:rPr>
        <w:t> </w:t>
      </w:r>
      <w:r>
        <w:rPr>
          <w:rFonts w:ascii="Calibri" w:hAnsi="Calibri"/>
          <w:lang w:val="cs-CZ"/>
        </w:rPr>
        <w:t>2021 nedošlo k </w:t>
      </w:r>
      <w:r w:rsidRPr="00023480">
        <w:rPr>
          <w:rFonts w:ascii="Calibri" w:hAnsi="Calibri"/>
          <w:lang w:val="cs-CZ"/>
        </w:rPr>
        <w:t>žádnému takovémuto případu.</w:t>
      </w:r>
    </w:p>
    <w:p w:rsidR="00294E20" w:rsidRPr="00023480" w:rsidRDefault="00D353BC" w:rsidP="00294E20">
      <w:pPr>
        <w:pStyle w:val="Standard"/>
        <w:spacing w:line="360" w:lineRule="auto"/>
        <w:ind w:firstLine="708"/>
        <w:jc w:val="both"/>
        <w:rPr>
          <w:rFonts w:ascii="Calibri" w:hAnsi="Calibri"/>
          <w:lang w:val="cs-CZ"/>
        </w:rPr>
      </w:pPr>
      <w:r>
        <w:rPr>
          <w:noProof/>
          <w:lang w:val="cs-CZ" w:eastAsia="cs-CZ" w:bidi="ar-SA"/>
        </w:rPr>
        <w:drawing>
          <wp:anchor distT="0" distB="0" distL="114300" distR="114300" simplePos="0" relativeHeight="251659264" behindDoc="0" locked="0" layoutInCell="1" allowOverlap="1" wp14:anchorId="28B2CC80" wp14:editId="6E5C07B7">
            <wp:simplePos x="0" y="0"/>
            <wp:positionH relativeFrom="margin">
              <wp:align>left</wp:align>
            </wp:positionH>
            <wp:positionV relativeFrom="paragraph">
              <wp:posOffset>828004</wp:posOffset>
            </wp:positionV>
            <wp:extent cx="5179060" cy="3450590"/>
            <wp:effectExtent l="0" t="0" r="2540" b="16510"/>
            <wp:wrapSquare wrapText="bothSides"/>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00294E20" w:rsidRPr="00023480">
        <w:rPr>
          <w:rFonts w:ascii="Calibri" w:hAnsi="Calibri"/>
          <w:lang w:val="cs-CZ"/>
        </w:rPr>
        <w:t xml:space="preserve">Viz </w:t>
      </w:r>
      <w:r w:rsidR="008247AF">
        <w:rPr>
          <w:rFonts w:ascii="Calibri" w:hAnsi="Calibri"/>
          <w:lang w:val="cs-CZ"/>
        </w:rPr>
        <w:t>obrázek</w:t>
      </w:r>
      <w:r w:rsidR="008247AF" w:rsidRPr="00023480">
        <w:rPr>
          <w:rFonts w:ascii="Calibri" w:hAnsi="Calibri"/>
          <w:lang w:val="cs-CZ"/>
        </w:rPr>
        <w:t xml:space="preserve"> </w:t>
      </w:r>
      <w:r w:rsidR="00294E20" w:rsidRPr="00023480">
        <w:rPr>
          <w:rFonts w:ascii="Calibri" w:hAnsi="Calibri"/>
          <w:lang w:val="cs-CZ"/>
        </w:rPr>
        <w:t>č</w:t>
      </w:r>
      <w:r w:rsidR="00A53763">
        <w:rPr>
          <w:rFonts w:ascii="Calibri" w:hAnsi="Calibri"/>
          <w:lang w:val="cs-CZ"/>
        </w:rPr>
        <w:t>.</w:t>
      </w:r>
      <w:r w:rsidR="00294E20" w:rsidRPr="00023480">
        <w:rPr>
          <w:rFonts w:ascii="Calibri" w:hAnsi="Calibri"/>
          <w:lang w:val="cs-CZ"/>
        </w:rPr>
        <w:t xml:space="preserve"> 5 – Postihy z kontrol v lékárnách, kde je </w:t>
      </w:r>
      <w:r w:rsidR="00281350">
        <w:rPr>
          <w:rFonts w:ascii="Calibri" w:hAnsi="Calibri"/>
          <w:lang w:val="cs-CZ"/>
        </w:rPr>
        <w:t>vidět počet jednotlivých postihů</w:t>
      </w:r>
      <w:r w:rsidR="00294E20">
        <w:rPr>
          <w:rFonts w:ascii="Calibri" w:hAnsi="Calibri"/>
          <w:lang w:val="cs-CZ"/>
        </w:rPr>
        <w:t xml:space="preserve"> ze </w:t>
      </w:r>
      <w:r w:rsidR="00294E20" w:rsidRPr="00023480">
        <w:rPr>
          <w:rFonts w:ascii="Calibri" w:hAnsi="Calibri"/>
          <w:lang w:val="cs-CZ"/>
        </w:rPr>
        <w:t>zjištěných závad v lékárnách z provedenýc</w:t>
      </w:r>
      <w:r w:rsidR="00294E20">
        <w:rPr>
          <w:rFonts w:ascii="Calibri" w:hAnsi="Calibri"/>
          <w:lang w:val="cs-CZ"/>
        </w:rPr>
        <w:t>h kontrol v průběhu let 2012 až </w:t>
      </w:r>
      <w:r w:rsidR="00294E20" w:rsidRPr="00023480">
        <w:rPr>
          <w:rFonts w:ascii="Calibri" w:hAnsi="Calibri"/>
          <w:lang w:val="cs-CZ"/>
        </w:rPr>
        <w:t>2022.</w:t>
      </w:r>
    </w:p>
    <w:p w:rsidR="00BE2D21" w:rsidRPr="00872CEC" w:rsidRDefault="00BE2D21"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5 – Postihy z kontrol v</w:t>
      </w:r>
      <w:r w:rsidRPr="00872CEC">
        <w:rPr>
          <w:iCs/>
          <w:sz w:val="20"/>
          <w:szCs w:val="20"/>
        </w:rPr>
        <w:t> </w:t>
      </w:r>
      <w:r w:rsidR="00294E20" w:rsidRPr="00872CEC">
        <w:rPr>
          <w:iCs/>
          <w:sz w:val="20"/>
          <w:szCs w:val="20"/>
        </w:rPr>
        <w:t>lékárnách</w:t>
      </w:r>
    </w:p>
    <w:p w:rsidR="00294E20" w:rsidRPr="00872CEC" w:rsidRDefault="00BE2D21"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jc w:val="both"/>
        <w:rPr>
          <w:rFonts w:asciiTheme="minorHAnsi" w:hAnsiTheme="minorHAnsi" w:cstheme="minorHAnsi"/>
          <w:color w:val="auto"/>
          <w:sz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36" w:name="_Toc165990659"/>
      <w:r>
        <w:rPr>
          <w:rFonts w:asciiTheme="minorHAnsi" w:hAnsiTheme="minorHAnsi" w:cstheme="minorHAnsi"/>
          <w:b/>
          <w:color w:val="auto"/>
          <w:sz w:val="28"/>
          <w:szCs w:val="28"/>
        </w:rPr>
        <w:t>Kontroly provedené k zacházení s návykovými látkami</w:t>
      </w:r>
      <w:bookmarkEnd w:id="136"/>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BE2D21" w:rsidP="00294E20">
      <w:pPr>
        <w:pStyle w:val="Standard"/>
        <w:spacing w:line="360" w:lineRule="auto"/>
        <w:ind w:firstLine="708"/>
        <w:jc w:val="both"/>
        <w:rPr>
          <w:rFonts w:ascii="Calibri" w:hAnsi="Calibri"/>
          <w:lang w:val="cs-CZ"/>
        </w:rPr>
      </w:pPr>
      <w:r>
        <w:rPr>
          <w:rFonts w:ascii="Calibri" w:hAnsi="Calibri"/>
          <w:lang w:val="cs-CZ"/>
        </w:rPr>
        <w:t>Graf na o</w:t>
      </w:r>
      <w:r w:rsidR="008247AF">
        <w:rPr>
          <w:rFonts w:ascii="Calibri" w:hAnsi="Calibri"/>
          <w:lang w:val="cs-CZ"/>
        </w:rPr>
        <w:t>brázk</w:t>
      </w:r>
      <w:r>
        <w:rPr>
          <w:rFonts w:ascii="Calibri" w:hAnsi="Calibri"/>
          <w:lang w:val="cs-CZ"/>
        </w:rPr>
        <w:t>u</w:t>
      </w:r>
      <w:r w:rsidR="008247AF" w:rsidRPr="00023480">
        <w:rPr>
          <w:rFonts w:ascii="Calibri" w:hAnsi="Calibri"/>
          <w:lang w:val="cs-CZ"/>
        </w:rPr>
        <w:t xml:space="preserve"> </w:t>
      </w:r>
      <w:r w:rsidR="00294E20" w:rsidRPr="00023480">
        <w:rPr>
          <w:rFonts w:ascii="Calibri" w:hAnsi="Calibri"/>
          <w:lang w:val="cs-CZ"/>
        </w:rPr>
        <w:t>č</w:t>
      </w:r>
      <w:r w:rsidR="00A53763">
        <w:rPr>
          <w:rFonts w:ascii="Calibri" w:hAnsi="Calibri"/>
          <w:lang w:val="cs-CZ"/>
        </w:rPr>
        <w:t>.</w:t>
      </w:r>
      <w:r w:rsidR="00294E20" w:rsidRPr="00023480">
        <w:rPr>
          <w:rFonts w:ascii="Calibri" w:hAnsi="Calibri"/>
          <w:lang w:val="cs-CZ"/>
        </w:rPr>
        <w:t xml:space="preserve"> 6 – Počet cílených kontrol – </w:t>
      </w:r>
      <w:r w:rsidR="009C4D0D">
        <w:rPr>
          <w:rFonts w:ascii="Calibri" w:hAnsi="Calibri"/>
          <w:lang w:val="cs-CZ"/>
        </w:rPr>
        <w:t>návykové látky</w:t>
      </w:r>
      <w:r w:rsidR="00294E20" w:rsidRPr="00023480">
        <w:rPr>
          <w:rFonts w:ascii="Calibri" w:hAnsi="Calibri"/>
          <w:lang w:val="cs-CZ"/>
        </w:rPr>
        <w:t>, ukazuje data o</w:t>
      </w:r>
      <w:r w:rsidR="009C4D0D">
        <w:rPr>
          <w:rFonts w:ascii="Calibri" w:hAnsi="Calibri"/>
          <w:lang w:val="cs-CZ"/>
        </w:rPr>
        <w:t> </w:t>
      </w:r>
      <w:r w:rsidR="00294E20" w:rsidRPr="00023480">
        <w:rPr>
          <w:rFonts w:ascii="Calibri" w:hAnsi="Calibri"/>
          <w:lang w:val="cs-CZ"/>
        </w:rPr>
        <w:t>provedených cílených kontrolách v souvislosti se zacházením s návykovými látkami, kdy tato data mají opět pouze informativní charakter, stejně jako u grafu</w:t>
      </w:r>
      <w:r w:rsidR="008247AF">
        <w:rPr>
          <w:rFonts w:ascii="Calibri" w:hAnsi="Calibri"/>
          <w:lang w:val="cs-CZ"/>
        </w:rPr>
        <w:t xml:space="preserve"> na obrázku</w:t>
      </w:r>
      <w:r w:rsidR="00294E20" w:rsidRPr="00023480">
        <w:rPr>
          <w:rFonts w:ascii="Calibri" w:hAnsi="Calibri"/>
          <w:lang w:val="cs-CZ"/>
        </w:rPr>
        <w:t xml:space="preserve"> č</w:t>
      </w:r>
      <w:r w:rsidR="00A53763">
        <w:rPr>
          <w:rFonts w:ascii="Calibri" w:hAnsi="Calibri"/>
          <w:lang w:val="cs-CZ"/>
        </w:rPr>
        <w:t>. </w:t>
      </w:r>
      <w:r w:rsidR="00294E20">
        <w:rPr>
          <w:rFonts w:ascii="Calibri" w:hAnsi="Calibri"/>
          <w:lang w:val="cs-CZ"/>
        </w:rPr>
        <w:t>3. Opět do celkového počtu v </w:t>
      </w:r>
      <w:r w:rsidR="00294E20" w:rsidRPr="00023480">
        <w:rPr>
          <w:rFonts w:ascii="Calibri" w:hAnsi="Calibri"/>
          <w:lang w:val="cs-CZ"/>
        </w:rPr>
        <w:t>daném roce je vždy započítána ja</w:t>
      </w:r>
      <w:r w:rsidR="008247AF">
        <w:rPr>
          <w:rFonts w:ascii="Calibri" w:hAnsi="Calibri"/>
          <w:lang w:val="cs-CZ"/>
        </w:rPr>
        <w:t>k kontrola na </w:t>
      </w:r>
      <w:r w:rsidR="00294E20" w:rsidRPr="00023480">
        <w:rPr>
          <w:rFonts w:ascii="Calibri" w:hAnsi="Calibri"/>
          <w:lang w:val="cs-CZ"/>
        </w:rPr>
        <w:t>zák</w:t>
      </w:r>
      <w:r w:rsidR="00294E20">
        <w:rPr>
          <w:rFonts w:ascii="Calibri" w:hAnsi="Calibri"/>
          <w:lang w:val="cs-CZ"/>
        </w:rPr>
        <w:t>ladě podnětu, tak i kontrola na </w:t>
      </w:r>
      <w:r w:rsidR="00294E20" w:rsidRPr="00023480">
        <w:rPr>
          <w:rFonts w:ascii="Calibri" w:hAnsi="Calibri"/>
          <w:lang w:val="cs-CZ"/>
        </w:rPr>
        <w:t>základě vlastního zjištění.</w:t>
      </w:r>
    </w:p>
    <w:p w:rsidR="00294E20" w:rsidRDefault="00294E20" w:rsidP="00294E20">
      <w:pPr>
        <w:pStyle w:val="Standard"/>
        <w:spacing w:line="360" w:lineRule="auto"/>
        <w:ind w:firstLine="708"/>
        <w:jc w:val="both"/>
        <w:rPr>
          <w:rFonts w:ascii="Calibri" w:hAnsi="Calibri"/>
          <w:lang w:val="cs-CZ"/>
        </w:rPr>
      </w:pPr>
      <w:r w:rsidRPr="00023480">
        <w:rPr>
          <w:rFonts w:ascii="Calibri" w:hAnsi="Calibri"/>
          <w:lang w:val="cs-CZ"/>
        </w:rPr>
        <w:t>I zde z uvedených dat lze usuzovat, že vzhledem k nízkému počtu cílených kontrol, jsou veřejností, nebo samo</w:t>
      </w:r>
      <w:r w:rsidR="00704EEA">
        <w:rPr>
          <w:rFonts w:ascii="Calibri" w:hAnsi="Calibri"/>
          <w:lang w:val="cs-CZ"/>
        </w:rPr>
        <w:t>tným SÚKL, jen výjimečně vnímána</w:t>
      </w:r>
      <w:r w:rsidRPr="00023480">
        <w:rPr>
          <w:rFonts w:ascii="Calibri" w:hAnsi="Calibri"/>
          <w:lang w:val="cs-CZ"/>
        </w:rPr>
        <w:t xml:space="preserve"> jasně viditelná porušení. Přičemž v letech 2016 až 2022 nebyly dokonce provedeny žádné</w:t>
      </w:r>
      <w:r>
        <w:rPr>
          <w:rFonts w:ascii="Calibri" w:hAnsi="Calibri"/>
          <w:lang w:val="cs-CZ"/>
        </w:rPr>
        <w:t xml:space="preserve"> cílené kontroly. Naopak v lete</w:t>
      </w:r>
      <w:r w:rsidRPr="00023480">
        <w:rPr>
          <w:rFonts w:ascii="Calibri" w:hAnsi="Calibri"/>
          <w:lang w:val="cs-CZ"/>
        </w:rPr>
        <w:t>ch 2013 a 2014 bylo provedeno shodně 25 cílených kontrol, což je více jak trojnásobek cílených</w:t>
      </w:r>
      <w:r w:rsidR="00704EEA">
        <w:rPr>
          <w:rFonts w:ascii="Calibri" w:hAnsi="Calibri"/>
          <w:lang w:val="cs-CZ"/>
        </w:rPr>
        <w:t xml:space="preserve"> kontrol než v roce 2012, a dvoj</w:t>
      </w:r>
      <w:r w:rsidRPr="00023480">
        <w:rPr>
          <w:rFonts w:ascii="Calibri" w:hAnsi="Calibri"/>
          <w:lang w:val="cs-CZ"/>
        </w:rPr>
        <w:t>násobek</w:t>
      </w:r>
      <w:r>
        <w:rPr>
          <w:rFonts w:ascii="Calibri" w:hAnsi="Calibri"/>
          <w:lang w:val="cs-CZ"/>
        </w:rPr>
        <w:t xml:space="preserve"> než v roce 2015.</w:t>
      </w:r>
    </w:p>
    <w:p w:rsidR="00294E20" w:rsidRDefault="00294E20" w:rsidP="00294E20">
      <w:pPr>
        <w:pStyle w:val="Standard"/>
        <w:spacing w:line="360" w:lineRule="auto"/>
        <w:ind w:firstLine="708"/>
        <w:jc w:val="both"/>
        <w:rPr>
          <w:rFonts w:ascii="Calibri" w:hAnsi="Calibri"/>
          <w:lang w:val="cs-CZ"/>
        </w:rPr>
      </w:pPr>
      <w:r w:rsidRPr="00023480">
        <w:rPr>
          <w:rFonts w:ascii="Calibri" w:hAnsi="Calibri"/>
          <w:lang w:val="cs-CZ"/>
        </w:rPr>
        <w:lastRenderedPageBreak/>
        <w:t>Z grafu je zřetelně vidět, že SÚKL ke kontrole přistupuje aktivně, a lze usuzovat, že právě z tohoto dů</w:t>
      </w:r>
      <w:r w:rsidR="00704EEA">
        <w:rPr>
          <w:rFonts w:ascii="Calibri" w:hAnsi="Calibri"/>
          <w:lang w:val="cs-CZ"/>
        </w:rPr>
        <w:t>vodu, jsou cílené kontroly v tak</w:t>
      </w:r>
      <w:r w:rsidRPr="00023480">
        <w:rPr>
          <w:rFonts w:ascii="Calibri" w:hAnsi="Calibri"/>
          <w:lang w:val="cs-CZ"/>
        </w:rPr>
        <w:t xml:space="preserve"> nízkém počtu. Počty provedených kontrol v jednom roce se pohybují v rozmezí od 308 do 468 kontrol. V</w:t>
      </w:r>
      <w:r>
        <w:rPr>
          <w:rFonts w:ascii="Calibri" w:hAnsi="Calibri"/>
          <w:lang w:val="cs-CZ"/>
        </w:rPr>
        <w:t> roce 2020 je </w:t>
      </w:r>
      <w:r w:rsidRPr="00023480">
        <w:rPr>
          <w:rFonts w:ascii="Calibri" w:hAnsi="Calibri"/>
          <w:lang w:val="cs-CZ"/>
        </w:rPr>
        <w:t>patrn</w:t>
      </w:r>
      <w:r w:rsidR="00704EEA">
        <w:rPr>
          <w:rFonts w:ascii="Calibri" w:hAnsi="Calibri"/>
          <w:lang w:val="cs-CZ"/>
        </w:rPr>
        <w:t>ý</w:t>
      </w:r>
      <w:r w:rsidRPr="00023480">
        <w:rPr>
          <w:rFonts w:ascii="Calibri" w:hAnsi="Calibri"/>
          <w:lang w:val="cs-CZ"/>
        </w:rPr>
        <w:t xml:space="preserve"> propad oproti okolní letům v počt</w:t>
      </w:r>
      <w:r>
        <w:rPr>
          <w:rFonts w:ascii="Calibri" w:hAnsi="Calibri"/>
          <w:lang w:val="cs-CZ"/>
        </w:rPr>
        <w:t>u provedených kontrol, které je </w:t>
      </w:r>
      <w:r w:rsidRPr="00023480">
        <w:rPr>
          <w:rFonts w:ascii="Calibri" w:hAnsi="Calibri"/>
          <w:lang w:val="cs-CZ"/>
        </w:rPr>
        <w:t>o 86 nižší než v roce 2019</w:t>
      </w:r>
      <w:r w:rsidR="00834447">
        <w:rPr>
          <w:rFonts w:ascii="Calibri" w:hAnsi="Calibri"/>
          <w:lang w:val="cs-CZ"/>
        </w:rPr>
        <w:t>,</w:t>
      </w:r>
      <w:r w:rsidRPr="00023480">
        <w:rPr>
          <w:rFonts w:ascii="Calibri" w:hAnsi="Calibri"/>
          <w:lang w:val="cs-CZ"/>
        </w:rPr>
        <w:t xml:space="preserve"> a o</w:t>
      </w:r>
      <w:r w:rsidR="00834447">
        <w:rPr>
          <w:rFonts w:ascii="Calibri" w:hAnsi="Calibri"/>
          <w:lang w:val="cs-CZ"/>
        </w:rPr>
        <w:t xml:space="preserve"> </w:t>
      </w:r>
      <w:r w:rsidRPr="00023480">
        <w:rPr>
          <w:rFonts w:ascii="Calibri" w:hAnsi="Calibri"/>
          <w:lang w:val="cs-CZ"/>
        </w:rPr>
        <w:t>79 nižší než v roce 2021, ač</w:t>
      </w:r>
      <w:r>
        <w:rPr>
          <w:rFonts w:ascii="Calibri" w:hAnsi="Calibri"/>
          <w:lang w:val="cs-CZ"/>
        </w:rPr>
        <w:t>k</w:t>
      </w:r>
      <w:r w:rsidRPr="00023480">
        <w:rPr>
          <w:rFonts w:ascii="Calibri" w:hAnsi="Calibri"/>
          <w:lang w:val="cs-CZ"/>
        </w:rPr>
        <w:t>oliv se nejedná o nejnižší počet kontrol ve</w:t>
      </w:r>
      <w:r w:rsidR="00E842A2">
        <w:rPr>
          <w:rFonts w:ascii="Calibri" w:hAnsi="Calibri"/>
          <w:lang w:val="cs-CZ"/>
        </w:rPr>
        <w:t> </w:t>
      </w:r>
      <w:r w:rsidRPr="00023480">
        <w:rPr>
          <w:rFonts w:ascii="Calibri" w:hAnsi="Calibri"/>
          <w:lang w:val="cs-CZ"/>
        </w:rPr>
        <w:t>sledovaném období, lze opět usu</w:t>
      </w:r>
      <w:r>
        <w:rPr>
          <w:rFonts w:ascii="Calibri" w:hAnsi="Calibri"/>
          <w:lang w:val="cs-CZ"/>
        </w:rPr>
        <w:t>zovat, že toto bylo v reakci na </w:t>
      </w:r>
      <w:r w:rsidRPr="00023480">
        <w:rPr>
          <w:rFonts w:ascii="Calibri" w:hAnsi="Calibri"/>
          <w:lang w:val="cs-CZ"/>
        </w:rPr>
        <w:t>nastavená bezpečnostní opatření v souvislosti s epidemií onemocnění COVID-19. Nižší počet kontrol byl jen v letech 20</w:t>
      </w:r>
      <w:r w:rsidR="00834447">
        <w:rPr>
          <w:rFonts w:ascii="Calibri" w:hAnsi="Calibri"/>
          <w:lang w:val="cs-CZ"/>
        </w:rPr>
        <w:t>13</w:t>
      </w:r>
      <w:r w:rsidRPr="00023480">
        <w:rPr>
          <w:rFonts w:ascii="Calibri" w:hAnsi="Calibri"/>
          <w:lang w:val="cs-CZ"/>
        </w:rPr>
        <w:t xml:space="preserve"> a 20</w:t>
      </w:r>
      <w:r w:rsidR="00834447">
        <w:rPr>
          <w:rFonts w:ascii="Calibri" w:hAnsi="Calibri"/>
          <w:lang w:val="cs-CZ"/>
        </w:rPr>
        <w:t>21</w:t>
      </w:r>
      <w:r w:rsidRPr="00023480">
        <w:rPr>
          <w:rFonts w:ascii="Calibri" w:hAnsi="Calibri"/>
          <w:lang w:val="cs-CZ"/>
        </w:rPr>
        <w:t>.</w:t>
      </w:r>
    </w:p>
    <w:p w:rsidR="00294E20" w:rsidRPr="00023480" w:rsidRDefault="00294E20" w:rsidP="00294E20">
      <w:pPr>
        <w:pStyle w:val="Standard"/>
        <w:spacing w:line="360" w:lineRule="auto"/>
        <w:ind w:firstLine="708"/>
        <w:jc w:val="both"/>
        <w:rPr>
          <w:rFonts w:ascii="Calibri" w:hAnsi="Calibri"/>
          <w:lang w:val="cs-CZ"/>
        </w:rPr>
      </w:pPr>
      <w:r w:rsidRPr="00023480">
        <w:rPr>
          <w:rFonts w:ascii="Calibri" w:hAnsi="Calibri"/>
          <w:lang w:val="cs-CZ"/>
        </w:rPr>
        <w:t xml:space="preserve">Viz </w:t>
      </w:r>
      <w:r w:rsidR="008247AF">
        <w:rPr>
          <w:rFonts w:ascii="Calibri" w:hAnsi="Calibri"/>
          <w:lang w:val="cs-CZ"/>
        </w:rPr>
        <w:t>obrázek</w:t>
      </w:r>
      <w:r w:rsidR="008247AF" w:rsidRPr="00023480">
        <w:rPr>
          <w:rFonts w:ascii="Calibri" w:hAnsi="Calibri"/>
          <w:lang w:val="cs-CZ"/>
        </w:rPr>
        <w:t xml:space="preserve"> </w:t>
      </w:r>
      <w:r w:rsidRPr="00023480">
        <w:rPr>
          <w:rFonts w:ascii="Calibri" w:hAnsi="Calibri"/>
          <w:lang w:val="cs-CZ"/>
        </w:rPr>
        <w:t>č</w:t>
      </w:r>
      <w:r w:rsidR="00A53763">
        <w:rPr>
          <w:rFonts w:ascii="Calibri" w:hAnsi="Calibri"/>
          <w:lang w:val="cs-CZ"/>
        </w:rPr>
        <w:t>.</w:t>
      </w:r>
      <w:r w:rsidRPr="00023480">
        <w:rPr>
          <w:rFonts w:ascii="Calibri" w:hAnsi="Calibri"/>
          <w:lang w:val="cs-CZ"/>
        </w:rPr>
        <w:t xml:space="preserve"> 6 – Počet cílených kontrol </w:t>
      </w:r>
      <w:r w:rsidR="009C4D0D">
        <w:rPr>
          <w:rFonts w:ascii="Calibri" w:hAnsi="Calibri"/>
          <w:lang w:val="cs-CZ"/>
        </w:rPr>
        <w:t>–</w:t>
      </w:r>
      <w:r w:rsidRPr="00023480">
        <w:rPr>
          <w:rFonts w:ascii="Calibri" w:hAnsi="Calibri"/>
          <w:lang w:val="cs-CZ"/>
        </w:rPr>
        <w:t xml:space="preserve"> </w:t>
      </w:r>
      <w:r w:rsidR="009C4D0D">
        <w:rPr>
          <w:rFonts w:ascii="Calibri" w:hAnsi="Calibri"/>
          <w:lang w:val="cs-CZ"/>
        </w:rPr>
        <w:t>návykové látky</w:t>
      </w:r>
      <w:r w:rsidRPr="00023480">
        <w:rPr>
          <w:rFonts w:ascii="Calibri" w:hAnsi="Calibri"/>
          <w:lang w:val="cs-CZ"/>
        </w:rPr>
        <w:t>, kde je vidět</w:t>
      </w:r>
      <w:r>
        <w:rPr>
          <w:rFonts w:ascii="Calibri" w:hAnsi="Calibri"/>
          <w:lang w:val="cs-CZ"/>
        </w:rPr>
        <w:t xml:space="preserve"> vývoj počtu cílených kontrol v </w:t>
      </w:r>
      <w:r w:rsidRPr="00023480">
        <w:rPr>
          <w:rFonts w:ascii="Calibri" w:hAnsi="Calibri"/>
          <w:lang w:val="cs-CZ"/>
        </w:rPr>
        <w:t>lékárnách oproti celkov</w:t>
      </w:r>
      <w:r w:rsidR="008247AF">
        <w:rPr>
          <w:rFonts w:ascii="Calibri" w:hAnsi="Calibri"/>
          <w:lang w:val="cs-CZ"/>
        </w:rPr>
        <w:t>ému počtu provedených kontrol v </w:t>
      </w:r>
      <w:r w:rsidRPr="00023480">
        <w:rPr>
          <w:rFonts w:ascii="Calibri" w:hAnsi="Calibri"/>
          <w:lang w:val="cs-CZ"/>
        </w:rPr>
        <w:t>průběhu let</w:t>
      </w:r>
      <w:r>
        <w:rPr>
          <w:rFonts w:ascii="Calibri" w:hAnsi="Calibri"/>
          <w:lang w:val="cs-CZ"/>
        </w:rPr>
        <w:t> 2012 až </w:t>
      </w:r>
      <w:r w:rsidRPr="00023480">
        <w:rPr>
          <w:rFonts w:ascii="Calibri" w:hAnsi="Calibri"/>
          <w:lang w:val="cs-CZ"/>
        </w:rPr>
        <w:t>2022.</w:t>
      </w:r>
    </w:p>
    <w:p w:rsidR="00294E20" w:rsidRDefault="009C4D0D"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49649873" wp14:editId="2E16E1F9">
            <wp:extent cx="5206365" cy="3418764"/>
            <wp:effectExtent l="0" t="0" r="13335" b="1079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2D21" w:rsidRPr="00872CEC" w:rsidRDefault="00BE2D21" w:rsidP="00294E20">
      <w:pPr>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6 – Počet cílených kontrol </w:t>
      </w:r>
      <w:r w:rsidR="00704EEA" w:rsidRPr="00872CEC">
        <w:rPr>
          <w:iCs/>
          <w:sz w:val="20"/>
          <w:szCs w:val="20"/>
        </w:rPr>
        <w:t>–</w:t>
      </w:r>
      <w:r w:rsidR="00294E20" w:rsidRPr="00872CEC">
        <w:rPr>
          <w:iCs/>
          <w:sz w:val="20"/>
          <w:szCs w:val="20"/>
        </w:rPr>
        <w:t xml:space="preserve"> </w:t>
      </w:r>
      <w:r w:rsidR="00704EEA" w:rsidRPr="00872CEC">
        <w:rPr>
          <w:iCs/>
          <w:sz w:val="20"/>
          <w:szCs w:val="20"/>
        </w:rPr>
        <w:t>návykové látky</w:t>
      </w:r>
    </w:p>
    <w:p w:rsidR="00294E20" w:rsidRPr="00872CEC" w:rsidRDefault="00BE2D21"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704EEA" w:rsidRPr="00704EEA" w:rsidRDefault="00704EEA" w:rsidP="00294E20">
      <w:pPr>
        <w:spacing w:after="0" w:line="360" w:lineRule="auto"/>
        <w:ind w:firstLine="567"/>
        <w:jc w:val="both"/>
        <w:rPr>
          <w:i/>
          <w:iCs/>
          <w:sz w:val="24"/>
          <w:szCs w:val="24"/>
        </w:rPr>
      </w:pPr>
    </w:p>
    <w:p w:rsidR="00294E20" w:rsidRDefault="00294E20" w:rsidP="00294E20">
      <w:pPr>
        <w:pStyle w:val="Standard"/>
        <w:spacing w:line="360" w:lineRule="auto"/>
        <w:ind w:firstLine="567"/>
        <w:jc w:val="both"/>
        <w:rPr>
          <w:rFonts w:ascii="Calibri" w:hAnsi="Calibri"/>
          <w:lang w:val="cs-CZ"/>
        </w:rPr>
      </w:pPr>
      <w:r w:rsidRPr="00555001">
        <w:rPr>
          <w:rFonts w:ascii="Calibri" w:hAnsi="Calibri"/>
          <w:lang w:val="cs-CZ"/>
        </w:rPr>
        <w:t>Data o závadách v lékárnách v souvislosti se zacházením s návykovými látkami jsou opět členěna do tří skupin závad, tak jak tomu je u grafu</w:t>
      </w:r>
      <w:r w:rsidR="008247AF">
        <w:rPr>
          <w:rFonts w:ascii="Calibri" w:hAnsi="Calibri"/>
          <w:lang w:val="cs-CZ"/>
        </w:rPr>
        <w:t xml:space="preserve"> na obrázku </w:t>
      </w:r>
      <w:r w:rsidRPr="00555001">
        <w:rPr>
          <w:rFonts w:ascii="Calibri" w:hAnsi="Calibri"/>
          <w:lang w:val="cs-CZ"/>
        </w:rPr>
        <w:t>č</w:t>
      </w:r>
      <w:r w:rsidR="00A53763">
        <w:rPr>
          <w:rFonts w:ascii="Calibri" w:hAnsi="Calibri"/>
          <w:lang w:val="cs-CZ"/>
        </w:rPr>
        <w:t>.</w:t>
      </w:r>
      <w:r w:rsidRPr="00555001">
        <w:rPr>
          <w:rFonts w:ascii="Calibri" w:hAnsi="Calibri"/>
          <w:lang w:val="cs-CZ"/>
        </w:rPr>
        <w:t xml:space="preserve"> 4. Do první skupiny řadíme kontroly bez zjištěných závad, nebo s drobnou závadou. Do druhé skupiny řadíme významné závady nebo opakované závady. A do třetí skupiny řadím</w:t>
      </w:r>
      <w:r>
        <w:rPr>
          <w:rFonts w:ascii="Calibri" w:hAnsi="Calibri"/>
          <w:lang w:val="cs-CZ"/>
        </w:rPr>
        <w:t>e závažné nebo kritické závady.</w:t>
      </w:r>
    </w:p>
    <w:p w:rsidR="00294E20" w:rsidRDefault="00294E20" w:rsidP="00294E20">
      <w:pPr>
        <w:pStyle w:val="Standard"/>
        <w:spacing w:line="360" w:lineRule="auto"/>
        <w:ind w:firstLine="567"/>
        <w:jc w:val="both"/>
        <w:rPr>
          <w:rFonts w:ascii="Calibri" w:hAnsi="Calibri"/>
          <w:lang w:val="cs-CZ"/>
        </w:rPr>
      </w:pPr>
      <w:r w:rsidRPr="00555001">
        <w:rPr>
          <w:rFonts w:ascii="Calibri" w:hAnsi="Calibri"/>
          <w:lang w:val="cs-CZ"/>
        </w:rPr>
        <w:lastRenderedPageBreak/>
        <w:t>Ze získaných</w:t>
      </w:r>
      <w:r>
        <w:rPr>
          <w:rFonts w:ascii="Calibri" w:hAnsi="Calibri"/>
          <w:lang w:val="cs-CZ"/>
        </w:rPr>
        <w:t xml:space="preserve"> dat je patrné, že každoročně byla</w:t>
      </w:r>
      <w:r w:rsidRPr="00555001">
        <w:rPr>
          <w:rFonts w:ascii="Calibri" w:hAnsi="Calibri"/>
          <w:lang w:val="cs-CZ"/>
        </w:rPr>
        <w:t xml:space="preserve"> nadpoloviční většina kontrol zařazena do </w:t>
      </w:r>
      <w:r w:rsidR="005C20E8">
        <w:rPr>
          <w:rFonts w:ascii="Calibri" w:hAnsi="Calibri"/>
          <w:lang w:val="cs-CZ"/>
        </w:rPr>
        <w:t xml:space="preserve">první </w:t>
      </w:r>
      <w:r w:rsidRPr="00555001">
        <w:rPr>
          <w:rFonts w:ascii="Calibri" w:hAnsi="Calibri"/>
          <w:lang w:val="cs-CZ"/>
        </w:rPr>
        <w:t>skupiny, tedy</w:t>
      </w:r>
      <w:r>
        <w:rPr>
          <w:rFonts w:ascii="Calibri" w:hAnsi="Calibri"/>
          <w:lang w:val="cs-CZ"/>
        </w:rPr>
        <w:t>,</w:t>
      </w:r>
      <w:r w:rsidRPr="00555001">
        <w:rPr>
          <w:rFonts w:ascii="Calibri" w:hAnsi="Calibri"/>
          <w:lang w:val="cs-CZ"/>
        </w:rPr>
        <w:t xml:space="preserve"> že nebyla zjištěna závada nebo byla zjištěna pouze drobná zá</w:t>
      </w:r>
      <w:r>
        <w:rPr>
          <w:rFonts w:ascii="Calibri" w:hAnsi="Calibri"/>
          <w:lang w:val="cs-CZ"/>
        </w:rPr>
        <w:t xml:space="preserve">vada. </w:t>
      </w:r>
      <w:r w:rsidRPr="00555001">
        <w:rPr>
          <w:rFonts w:ascii="Calibri" w:hAnsi="Calibri"/>
          <w:lang w:val="cs-CZ"/>
        </w:rPr>
        <w:t>Rok 2020 byl opět rokem, kdy z provedených 344 kontrol bylo bez závad nebo jen z drobou závadou celkem 289 kon</w:t>
      </w:r>
      <w:r>
        <w:rPr>
          <w:rFonts w:ascii="Calibri" w:hAnsi="Calibri"/>
          <w:lang w:val="cs-CZ"/>
        </w:rPr>
        <w:t>trol, kdy opět lze usuzovat, že toto bylo v</w:t>
      </w:r>
      <w:r w:rsidR="00704EEA">
        <w:rPr>
          <w:rFonts w:ascii="Calibri" w:hAnsi="Calibri"/>
          <w:lang w:val="cs-CZ"/>
        </w:rPr>
        <w:t> </w:t>
      </w:r>
      <w:r>
        <w:rPr>
          <w:rFonts w:ascii="Calibri" w:hAnsi="Calibri"/>
          <w:lang w:val="cs-CZ"/>
        </w:rPr>
        <w:t>reakci na </w:t>
      </w:r>
      <w:r w:rsidRPr="00555001">
        <w:rPr>
          <w:rFonts w:ascii="Calibri" w:hAnsi="Calibri"/>
          <w:lang w:val="cs-CZ"/>
        </w:rPr>
        <w:t>nastavená bezpečnostní opatření v souvislosti s epidemií onemocnění COVID-19. Pomyslným nejhorším rokem, tedy rokem</w:t>
      </w:r>
      <w:r>
        <w:rPr>
          <w:rFonts w:ascii="Calibri" w:hAnsi="Calibri"/>
          <w:lang w:val="cs-CZ"/>
        </w:rPr>
        <w:t>,</w:t>
      </w:r>
      <w:r w:rsidRPr="00555001">
        <w:rPr>
          <w:rFonts w:ascii="Calibri" w:hAnsi="Calibri"/>
          <w:lang w:val="cs-CZ"/>
        </w:rPr>
        <w:t xml:space="preserve"> kdy z provedených kontrol bylo zjištěno nejvíce závad</w:t>
      </w:r>
      <w:r>
        <w:rPr>
          <w:rFonts w:ascii="Calibri" w:hAnsi="Calibri"/>
          <w:lang w:val="cs-CZ"/>
        </w:rPr>
        <w:t>,</w:t>
      </w:r>
      <w:r w:rsidRPr="00555001">
        <w:rPr>
          <w:rFonts w:ascii="Calibri" w:hAnsi="Calibri"/>
          <w:lang w:val="cs-CZ"/>
        </w:rPr>
        <w:t xml:space="preserve"> byl rok 2016 a 2017, kdy z provedených kontrol téměř každá druhá až třetí kontrola objevila závadu spadající do druhé nebo třetí skupiny.</w:t>
      </w:r>
      <w:r>
        <w:rPr>
          <w:rFonts w:ascii="Calibri" w:hAnsi="Calibri"/>
          <w:lang w:val="cs-CZ"/>
        </w:rPr>
        <w:t xml:space="preserve"> </w:t>
      </w:r>
      <w:r w:rsidRPr="00555001">
        <w:rPr>
          <w:rFonts w:ascii="Calibri" w:hAnsi="Calibri"/>
          <w:lang w:val="cs-CZ"/>
        </w:rPr>
        <w:t xml:space="preserve">V každém roce došlo nejméně k 10 případům, kdy byla zjištěna závažná </w:t>
      </w:r>
      <w:r>
        <w:rPr>
          <w:rFonts w:ascii="Calibri" w:hAnsi="Calibri"/>
          <w:lang w:val="cs-CZ"/>
        </w:rPr>
        <w:t>nebo kritická závada, přičemž v </w:t>
      </w:r>
      <w:r w:rsidRPr="00555001">
        <w:rPr>
          <w:rFonts w:ascii="Calibri" w:hAnsi="Calibri"/>
          <w:lang w:val="cs-CZ"/>
        </w:rPr>
        <w:t>roce</w:t>
      </w:r>
      <w:r>
        <w:rPr>
          <w:rFonts w:ascii="Calibri" w:hAnsi="Calibri"/>
          <w:lang w:val="cs-CZ"/>
        </w:rPr>
        <w:t> </w:t>
      </w:r>
      <w:r w:rsidRPr="00555001">
        <w:rPr>
          <w:rFonts w:ascii="Calibri" w:hAnsi="Calibri"/>
          <w:lang w:val="cs-CZ"/>
        </w:rPr>
        <w:t>2015 to bylo 51 případů.</w:t>
      </w:r>
    </w:p>
    <w:p w:rsidR="00294E20" w:rsidRPr="00555001" w:rsidRDefault="00294E20" w:rsidP="00294E20">
      <w:pPr>
        <w:pStyle w:val="Standard"/>
        <w:spacing w:line="360" w:lineRule="auto"/>
        <w:ind w:firstLine="567"/>
        <w:jc w:val="both"/>
        <w:rPr>
          <w:rFonts w:ascii="Calibri" w:hAnsi="Calibri"/>
          <w:lang w:val="cs-CZ"/>
        </w:rPr>
      </w:pPr>
      <w:r w:rsidRPr="00555001">
        <w:rPr>
          <w:rFonts w:ascii="Calibri" w:hAnsi="Calibri"/>
          <w:lang w:val="cs-CZ"/>
        </w:rPr>
        <w:t xml:space="preserve">Viz </w:t>
      </w:r>
      <w:r w:rsidR="008247AF">
        <w:rPr>
          <w:rFonts w:ascii="Calibri" w:hAnsi="Calibri"/>
          <w:lang w:val="cs-CZ"/>
        </w:rPr>
        <w:t>obrázek</w:t>
      </w:r>
      <w:r w:rsidR="008247AF" w:rsidRPr="00555001">
        <w:rPr>
          <w:rFonts w:ascii="Calibri" w:hAnsi="Calibri"/>
          <w:lang w:val="cs-CZ"/>
        </w:rPr>
        <w:t xml:space="preserve"> </w:t>
      </w:r>
      <w:r w:rsidRPr="00555001">
        <w:rPr>
          <w:rFonts w:ascii="Calibri" w:hAnsi="Calibri"/>
          <w:lang w:val="cs-CZ"/>
        </w:rPr>
        <w:t>č</w:t>
      </w:r>
      <w:r w:rsidR="00A53763">
        <w:rPr>
          <w:rFonts w:ascii="Calibri" w:hAnsi="Calibri"/>
          <w:lang w:val="cs-CZ"/>
        </w:rPr>
        <w:t>.</w:t>
      </w:r>
      <w:r w:rsidRPr="00555001">
        <w:rPr>
          <w:rFonts w:ascii="Calibri" w:hAnsi="Calibri"/>
          <w:lang w:val="cs-CZ"/>
        </w:rPr>
        <w:t xml:space="preserve"> 7 – Typy zjištěných závad u </w:t>
      </w:r>
      <w:r w:rsidR="00704EEA">
        <w:rPr>
          <w:rFonts w:ascii="Calibri" w:hAnsi="Calibri"/>
          <w:lang w:val="cs-CZ"/>
        </w:rPr>
        <w:t>návykové látky</w:t>
      </w:r>
      <w:r w:rsidRPr="00555001">
        <w:rPr>
          <w:rFonts w:ascii="Calibri" w:hAnsi="Calibri"/>
          <w:lang w:val="cs-CZ"/>
        </w:rPr>
        <w:t>, kde je vidět počet jednotlivých typů zjištěných závad v lékárnách v souvislosti se zachá</w:t>
      </w:r>
      <w:r>
        <w:rPr>
          <w:rFonts w:ascii="Calibri" w:hAnsi="Calibri"/>
          <w:lang w:val="cs-CZ"/>
        </w:rPr>
        <w:t>zením s návykovými látkami z </w:t>
      </w:r>
      <w:r w:rsidRPr="00555001">
        <w:rPr>
          <w:rFonts w:ascii="Calibri" w:hAnsi="Calibri"/>
          <w:lang w:val="cs-CZ"/>
        </w:rPr>
        <w:t>provedených kontrol v průběhu let 2012 až 2022.</w:t>
      </w:r>
    </w:p>
    <w:p w:rsidR="00294E20" w:rsidRDefault="009C4D0D" w:rsidP="00D353BC">
      <w:pPr>
        <w:spacing w:after="0" w:line="360" w:lineRule="auto"/>
        <w:ind w:left="708" w:hanging="708"/>
        <w:jc w:val="both"/>
        <w:rPr>
          <w:rFonts w:asciiTheme="minorHAnsi" w:hAnsiTheme="minorHAnsi" w:cstheme="minorHAnsi"/>
          <w:color w:val="auto"/>
          <w:sz w:val="24"/>
        </w:rPr>
      </w:pPr>
      <w:r>
        <w:rPr>
          <w:noProof/>
          <w:lang w:eastAsia="cs-CZ"/>
        </w:rPr>
        <w:drawing>
          <wp:inline distT="0" distB="0" distL="0" distR="0" wp14:anchorId="34211BDB" wp14:editId="359CFE7A">
            <wp:extent cx="5219700" cy="3804249"/>
            <wp:effectExtent l="0" t="0" r="0" b="635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eastAsia="cs-CZ"/>
        </w:rPr>
        <w:t xml:space="preserve"> </w:t>
      </w:r>
    </w:p>
    <w:p w:rsidR="00BE2D21" w:rsidRPr="00872CEC" w:rsidRDefault="00BE2D21"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7 – Typy zjištěných závad u </w:t>
      </w:r>
      <w:r w:rsidR="000A7728" w:rsidRPr="00872CEC">
        <w:rPr>
          <w:iCs/>
          <w:sz w:val="20"/>
          <w:szCs w:val="20"/>
        </w:rPr>
        <w:t>návykové látky</w:t>
      </w:r>
    </w:p>
    <w:p w:rsidR="00294E20" w:rsidRPr="00872CEC" w:rsidRDefault="00BE2D21"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9C4D0D" w:rsidRDefault="009C4D0D" w:rsidP="00294E20">
      <w:pPr>
        <w:tabs>
          <w:tab w:val="left" w:pos="5885"/>
        </w:tabs>
        <w:spacing w:after="0" w:line="360" w:lineRule="auto"/>
        <w:ind w:firstLine="567"/>
        <w:jc w:val="both"/>
        <w:rPr>
          <w:i/>
          <w:iCs/>
          <w:sz w:val="20"/>
          <w:szCs w:val="20"/>
        </w:rPr>
      </w:pPr>
    </w:p>
    <w:p w:rsidR="00294E20" w:rsidRDefault="00294E20" w:rsidP="00294E20">
      <w:pPr>
        <w:pStyle w:val="Standard"/>
        <w:spacing w:line="360" w:lineRule="auto"/>
        <w:ind w:firstLine="567"/>
        <w:jc w:val="both"/>
        <w:rPr>
          <w:rFonts w:ascii="Calibri" w:hAnsi="Calibri"/>
          <w:lang w:val="cs-CZ"/>
        </w:rPr>
      </w:pPr>
      <w:r w:rsidRPr="002C25E1">
        <w:rPr>
          <w:rFonts w:ascii="Calibri" w:hAnsi="Calibri"/>
          <w:lang w:val="cs-CZ"/>
        </w:rPr>
        <w:t>Reakce na zjištěná porušení z provedených kontrol u návykových látek jsou zobrazena v</w:t>
      </w:r>
      <w:r w:rsidR="008247AF">
        <w:rPr>
          <w:rFonts w:ascii="Calibri" w:hAnsi="Calibri"/>
          <w:lang w:val="cs-CZ"/>
        </w:rPr>
        <w:t> </w:t>
      </w:r>
      <w:r w:rsidRPr="002C25E1">
        <w:rPr>
          <w:rFonts w:ascii="Calibri" w:hAnsi="Calibri"/>
          <w:lang w:val="cs-CZ"/>
        </w:rPr>
        <w:t>grafu</w:t>
      </w:r>
      <w:r w:rsidR="008247AF">
        <w:rPr>
          <w:rFonts w:ascii="Calibri" w:hAnsi="Calibri"/>
          <w:lang w:val="cs-CZ"/>
        </w:rPr>
        <w:t xml:space="preserve"> na obrázku</w:t>
      </w:r>
      <w:r w:rsidRPr="002C25E1">
        <w:rPr>
          <w:rFonts w:ascii="Calibri" w:hAnsi="Calibri"/>
          <w:lang w:val="cs-CZ"/>
        </w:rPr>
        <w:t xml:space="preserve"> č</w:t>
      </w:r>
      <w:r w:rsidR="00A53763">
        <w:rPr>
          <w:rFonts w:ascii="Calibri" w:hAnsi="Calibri"/>
          <w:lang w:val="cs-CZ"/>
        </w:rPr>
        <w:t>.</w:t>
      </w:r>
      <w:r w:rsidRPr="002C25E1">
        <w:rPr>
          <w:rFonts w:ascii="Calibri" w:hAnsi="Calibri"/>
          <w:lang w:val="cs-CZ"/>
        </w:rPr>
        <w:t xml:space="preserve"> 8 – Postihy z kontrol u </w:t>
      </w:r>
      <w:r w:rsidR="00156CCC">
        <w:rPr>
          <w:rFonts w:ascii="Calibri" w:hAnsi="Calibri"/>
          <w:lang w:val="cs-CZ"/>
        </w:rPr>
        <w:t>návykové látky</w:t>
      </w:r>
      <w:r w:rsidRPr="002C25E1">
        <w:rPr>
          <w:rFonts w:ascii="Calibri" w:hAnsi="Calibri"/>
          <w:lang w:val="cs-CZ"/>
        </w:rPr>
        <w:t xml:space="preserve">, kdy vyjma </w:t>
      </w:r>
      <w:r w:rsidRPr="002C25E1">
        <w:rPr>
          <w:rFonts w:ascii="Calibri" w:hAnsi="Calibri"/>
          <w:lang w:val="cs-CZ"/>
        </w:rPr>
        <w:lastRenderedPageBreak/>
        <w:t>1</w:t>
      </w:r>
      <w:r w:rsidR="00BE2D21">
        <w:rPr>
          <w:rFonts w:ascii="Calibri" w:hAnsi="Calibri"/>
          <w:lang w:val="cs-CZ"/>
        </w:rPr>
        <w:t> </w:t>
      </w:r>
      <w:r w:rsidRPr="002C25E1">
        <w:rPr>
          <w:rFonts w:ascii="Calibri" w:hAnsi="Calibri"/>
          <w:lang w:val="cs-CZ"/>
        </w:rPr>
        <w:t>případu v</w:t>
      </w:r>
      <w:r w:rsidR="00156CCC">
        <w:rPr>
          <w:rFonts w:ascii="Calibri" w:hAnsi="Calibri"/>
          <w:lang w:val="cs-CZ"/>
        </w:rPr>
        <w:t> </w:t>
      </w:r>
      <w:r w:rsidRPr="002C25E1">
        <w:rPr>
          <w:rFonts w:ascii="Calibri" w:hAnsi="Calibri"/>
          <w:lang w:val="cs-CZ"/>
        </w:rPr>
        <w:t>roce</w:t>
      </w:r>
      <w:r w:rsidR="00156CCC">
        <w:rPr>
          <w:rFonts w:ascii="Calibri" w:hAnsi="Calibri"/>
          <w:lang w:val="cs-CZ"/>
        </w:rPr>
        <w:t> </w:t>
      </w:r>
      <w:r w:rsidRPr="002C25E1">
        <w:rPr>
          <w:rFonts w:ascii="Calibri" w:hAnsi="Calibri"/>
          <w:lang w:val="cs-CZ"/>
        </w:rPr>
        <w:t>2021, kdy byla závada vyřešena napomenutím, byly všechny</w:t>
      </w:r>
      <w:r>
        <w:rPr>
          <w:rFonts w:ascii="Calibri" w:hAnsi="Calibri"/>
          <w:lang w:val="cs-CZ"/>
        </w:rPr>
        <w:t xml:space="preserve"> závady řešeny uložením pokut v </w:t>
      </w:r>
      <w:r w:rsidRPr="002C25E1">
        <w:rPr>
          <w:rFonts w:ascii="Calibri" w:hAnsi="Calibri"/>
          <w:lang w:val="cs-CZ"/>
        </w:rPr>
        <w:t>příkazním řízení. Nejvíce pokut bylo uděleno v roce 2015 a</w:t>
      </w:r>
      <w:r w:rsidR="00BE2D21">
        <w:rPr>
          <w:rFonts w:ascii="Calibri" w:hAnsi="Calibri"/>
          <w:lang w:val="cs-CZ"/>
        </w:rPr>
        <w:t> </w:t>
      </w:r>
      <w:r w:rsidRPr="002C25E1">
        <w:rPr>
          <w:rFonts w:ascii="Calibri" w:hAnsi="Calibri"/>
          <w:lang w:val="cs-CZ"/>
        </w:rPr>
        <w:t>to</w:t>
      </w:r>
      <w:r w:rsidR="00BE2D21">
        <w:rPr>
          <w:rFonts w:ascii="Calibri" w:hAnsi="Calibri"/>
          <w:lang w:val="cs-CZ"/>
        </w:rPr>
        <w:t> </w:t>
      </w:r>
      <w:r w:rsidRPr="002C25E1">
        <w:rPr>
          <w:rFonts w:ascii="Calibri" w:hAnsi="Calibri"/>
          <w:lang w:val="cs-CZ"/>
        </w:rPr>
        <w:t>v</w:t>
      </w:r>
      <w:r w:rsidR="00BE2D21">
        <w:rPr>
          <w:rFonts w:ascii="Calibri" w:hAnsi="Calibri"/>
          <w:lang w:val="cs-CZ"/>
        </w:rPr>
        <w:t> </w:t>
      </w:r>
      <w:r w:rsidRPr="002C25E1">
        <w:rPr>
          <w:rFonts w:ascii="Calibri" w:hAnsi="Calibri"/>
          <w:lang w:val="cs-CZ"/>
        </w:rPr>
        <w:t>počtu 46</w:t>
      </w:r>
      <w:r w:rsidR="00156CCC">
        <w:rPr>
          <w:rFonts w:ascii="Calibri" w:hAnsi="Calibri"/>
          <w:lang w:val="cs-CZ"/>
        </w:rPr>
        <w:t xml:space="preserve"> pokut</w:t>
      </w:r>
      <w:r w:rsidRPr="002C25E1">
        <w:rPr>
          <w:rFonts w:ascii="Calibri" w:hAnsi="Calibri"/>
          <w:lang w:val="cs-CZ"/>
        </w:rPr>
        <w:t>. Naopak nejméně jich bylo uděleno v letech 2012 a 2022 a</w:t>
      </w:r>
      <w:r w:rsidR="00BE2D21">
        <w:rPr>
          <w:rFonts w:ascii="Calibri" w:hAnsi="Calibri"/>
          <w:lang w:val="cs-CZ"/>
        </w:rPr>
        <w:t> </w:t>
      </w:r>
      <w:r w:rsidRPr="002C25E1">
        <w:rPr>
          <w:rFonts w:ascii="Calibri" w:hAnsi="Calibri"/>
          <w:lang w:val="cs-CZ"/>
        </w:rPr>
        <w:t>to</w:t>
      </w:r>
      <w:r w:rsidR="00BE2D21">
        <w:rPr>
          <w:rFonts w:ascii="Calibri" w:hAnsi="Calibri"/>
          <w:lang w:val="cs-CZ"/>
        </w:rPr>
        <w:t> </w:t>
      </w:r>
      <w:r w:rsidRPr="002C25E1">
        <w:rPr>
          <w:rFonts w:ascii="Calibri" w:hAnsi="Calibri"/>
          <w:lang w:val="cs-CZ"/>
        </w:rPr>
        <w:t>v</w:t>
      </w:r>
      <w:r w:rsidR="00BE2D21">
        <w:rPr>
          <w:rFonts w:ascii="Calibri" w:hAnsi="Calibri"/>
          <w:lang w:val="cs-CZ"/>
        </w:rPr>
        <w:t> </w:t>
      </w:r>
      <w:r w:rsidRPr="002C25E1">
        <w:rPr>
          <w:rFonts w:ascii="Calibri" w:hAnsi="Calibri"/>
          <w:lang w:val="cs-CZ"/>
        </w:rPr>
        <w:t>počtu 15</w:t>
      </w:r>
      <w:r w:rsidR="00156CCC">
        <w:rPr>
          <w:rFonts w:ascii="Calibri" w:hAnsi="Calibri"/>
          <w:lang w:val="cs-CZ"/>
        </w:rPr>
        <w:t xml:space="preserve"> pokut</w:t>
      </w:r>
      <w:r w:rsidRPr="002C25E1">
        <w:rPr>
          <w:rFonts w:ascii="Calibri" w:hAnsi="Calibri"/>
          <w:lang w:val="cs-CZ"/>
        </w:rPr>
        <w:t>. Ani v jednom případě nedošlo k pozastavení přípravy léčivých přípravků, nebo až</w:t>
      </w:r>
      <w:r w:rsidR="00156CCC">
        <w:rPr>
          <w:rFonts w:ascii="Calibri" w:hAnsi="Calibri"/>
          <w:lang w:val="cs-CZ"/>
        </w:rPr>
        <w:t> </w:t>
      </w:r>
      <w:r w:rsidRPr="002C25E1">
        <w:rPr>
          <w:rFonts w:ascii="Calibri" w:hAnsi="Calibri"/>
          <w:lang w:val="cs-CZ"/>
        </w:rPr>
        <w:t>k</w:t>
      </w:r>
      <w:r w:rsidR="00156CCC">
        <w:rPr>
          <w:rFonts w:ascii="Calibri" w:hAnsi="Calibri"/>
          <w:lang w:val="cs-CZ"/>
        </w:rPr>
        <w:t> </w:t>
      </w:r>
      <w:r w:rsidRPr="002C25E1">
        <w:rPr>
          <w:rFonts w:ascii="Calibri" w:hAnsi="Calibri"/>
          <w:lang w:val="cs-CZ"/>
        </w:rPr>
        <w:t>pozastavení prov</w:t>
      </w:r>
      <w:r>
        <w:rPr>
          <w:rFonts w:ascii="Calibri" w:hAnsi="Calibri"/>
          <w:lang w:val="cs-CZ"/>
        </w:rPr>
        <w:t>ozovny. Z </w:t>
      </w:r>
      <w:r w:rsidRPr="002C25E1">
        <w:rPr>
          <w:rFonts w:ascii="Calibri" w:hAnsi="Calibri"/>
          <w:lang w:val="cs-CZ"/>
        </w:rPr>
        <w:t>dat lze usuzovat, že ačkoliv byly zjištěny i závažné nebo kritické závady během kontrol, tak nebylo rozhodnuto o pozastavení přípravy léčivých přípravků, a ani k pozastavení provozovny, ale bylo dostačující uložení pokuty.</w:t>
      </w:r>
    </w:p>
    <w:p w:rsidR="00294E20" w:rsidRPr="002C25E1" w:rsidRDefault="00294E20" w:rsidP="00294E20">
      <w:pPr>
        <w:pStyle w:val="Standard"/>
        <w:spacing w:line="360" w:lineRule="auto"/>
        <w:ind w:firstLine="567"/>
        <w:jc w:val="both"/>
        <w:rPr>
          <w:rFonts w:ascii="Calibri" w:hAnsi="Calibri"/>
          <w:lang w:val="cs-CZ"/>
        </w:rPr>
      </w:pPr>
      <w:r w:rsidRPr="002C25E1">
        <w:rPr>
          <w:rFonts w:ascii="Calibri" w:hAnsi="Calibri"/>
          <w:lang w:val="cs-CZ"/>
        </w:rPr>
        <w:t xml:space="preserve">Viz </w:t>
      </w:r>
      <w:r w:rsidR="008247AF">
        <w:rPr>
          <w:rFonts w:ascii="Calibri" w:hAnsi="Calibri"/>
          <w:lang w:val="cs-CZ"/>
        </w:rPr>
        <w:t>obrázek</w:t>
      </w:r>
      <w:r w:rsidR="008247AF" w:rsidRPr="002C25E1">
        <w:rPr>
          <w:rFonts w:ascii="Calibri" w:hAnsi="Calibri"/>
          <w:lang w:val="cs-CZ"/>
        </w:rPr>
        <w:t xml:space="preserve"> </w:t>
      </w:r>
      <w:r w:rsidRPr="002C25E1">
        <w:rPr>
          <w:rFonts w:ascii="Calibri" w:hAnsi="Calibri"/>
          <w:lang w:val="cs-CZ"/>
        </w:rPr>
        <w:t>č</w:t>
      </w:r>
      <w:r w:rsidR="00A53763">
        <w:rPr>
          <w:rFonts w:ascii="Calibri" w:hAnsi="Calibri"/>
          <w:lang w:val="cs-CZ"/>
        </w:rPr>
        <w:t>.</w:t>
      </w:r>
      <w:r w:rsidRPr="002C25E1">
        <w:rPr>
          <w:rFonts w:ascii="Calibri" w:hAnsi="Calibri"/>
          <w:lang w:val="cs-CZ"/>
        </w:rPr>
        <w:t xml:space="preserve"> 8 – Postihy z kontrol u </w:t>
      </w:r>
      <w:r w:rsidR="00156CCC">
        <w:rPr>
          <w:rFonts w:ascii="Calibri" w:hAnsi="Calibri"/>
          <w:lang w:val="cs-CZ"/>
        </w:rPr>
        <w:t>návykové látky</w:t>
      </w:r>
      <w:r w:rsidRPr="002C25E1">
        <w:rPr>
          <w:rFonts w:ascii="Calibri" w:hAnsi="Calibri"/>
          <w:lang w:val="cs-CZ"/>
        </w:rPr>
        <w:t xml:space="preserve">, kde je </w:t>
      </w:r>
      <w:r w:rsidR="00281350">
        <w:rPr>
          <w:rFonts w:ascii="Calibri" w:hAnsi="Calibri"/>
          <w:lang w:val="cs-CZ"/>
        </w:rPr>
        <w:t>vidět počet jednotlivých postihů</w:t>
      </w:r>
      <w:r>
        <w:rPr>
          <w:rFonts w:ascii="Calibri" w:hAnsi="Calibri"/>
          <w:lang w:val="cs-CZ"/>
        </w:rPr>
        <w:t xml:space="preserve"> ze </w:t>
      </w:r>
      <w:r w:rsidRPr="002C25E1">
        <w:rPr>
          <w:rFonts w:ascii="Calibri" w:hAnsi="Calibri"/>
          <w:lang w:val="cs-CZ"/>
        </w:rPr>
        <w:t>zjištěných závad v lékárnách z provedených kontrol v průběhu let 2012 až</w:t>
      </w:r>
      <w:r w:rsidR="00B6181E">
        <w:rPr>
          <w:rFonts w:ascii="Calibri" w:hAnsi="Calibri"/>
          <w:lang w:val="cs-CZ"/>
        </w:rPr>
        <w:t> </w:t>
      </w:r>
      <w:r w:rsidRPr="002C25E1">
        <w:rPr>
          <w:rFonts w:ascii="Calibri" w:hAnsi="Calibri"/>
          <w:lang w:val="cs-CZ"/>
        </w:rPr>
        <w:t>2022.</w:t>
      </w:r>
    </w:p>
    <w:p w:rsidR="00E64787" w:rsidRDefault="009C4D0D" w:rsidP="00E64787">
      <w:pPr>
        <w:spacing w:after="0" w:line="360" w:lineRule="auto"/>
        <w:ind w:left="567" w:hanging="567"/>
        <w:jc w:val="both"/>
        <w:rPr>
          <w:i/>
          <w:iCs/>
          <w:sz w:val="20"/>
          <w:szCs w:val="20"/>
        </w:rPr>
      </w:pPr>
      <w:r>
        <w:rPr>
          <w:noProof/>
          <w:lang w:eastAsia="cs-CZ"/>
        </w:rPr>
        <w:drawing>
          <wp:inline distT="0" distB="0" distL="0" distR="0" wp14:anchorId="296AFED9" wp14:editId="1C62AD9E">
            <wp:extent cx="4838065" cy="3411941"/>
            <wp:effectExtent l="0" t="0" r="635" b="1714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2D21" w:rsidRPr="00872CEC" w:rsidRDefault="00BE2D21" w:rsidP="00E64787">
      <w:pPr>
        <w:spacing w:after="0" w:line="360" w:lineRule="auto"/>
        <w:ind w:left="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8 – Postihy z kontrol u </w:t>
      </w:r>
      <w:r w:rsidR="000A7728" w:rsidRPr="00872CEC">
        <w:rPr>
          <w:iCs/>
          <w:sz w:val="20"/>
          <w:szCs w:val="20"/>
        </w:rPr>
        <w:t>návykové látky</w:t>
      </w:r>
    </w:p>
    <w:p w:rsidR="00294E20" w:rsidRPr="00872CEC" w:rsidRDefault="00BE2D21"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37" w:name="_Toc165990660"/>
      <w:r>
        <w:rPr>
          <w:rFonts w:asciiTheme="minorHAnsi" w:hAnsiTheme="minorHAnsi" w:cstheme="minorHAnsi"/>
          <w:b/>
          <w:color w:val="auto"/>
          <w:sz w:val="28"/>
          <w:szCs w:val="28"/>
        </w:rPr>
        <w:t>Kontroly provedené k cenám a cenové regulaci</w:t>
      </w:r>
      <w:bookmarkEnd w:id="137"/>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BE2D21" w:rsidP="00294E20">
      <w:pPr>
        <w:pStyle w:val="Standard"/>
        <w:spacing w:line="360" w:lineRule="auto"/>
        <w:ind w:firstLine="708"/>
        <w:jc w:val="both"/>
        <w:rPr>
          <w:rFonts w:ascii="Calibri" w:hAnsi="Calibri"/>
          <w:lang w:val="cs-CZ"/>
        </w:rPr>
      </w:pPr>
      <w:r>
        <w:rPr>
          <w:rFonts w:ascii="Calibri" w:hAnsi="Calibri"/>
          <w:lang w:val="cs-CZ"/>
        </w:rPr>
        <w:t>Graf na o</w:t>
      </w:r>
      <w:r w:rsidR="008247AF">
        <w:rPr>
          <w:rFonts w:ascii="Calibri" w:hAnsi="Calibri"/>
          <w:lang w:val="cs-CZ"/>
        </w:rPr>
        <w:t>brázk</w:t>
      </w:r>
      <w:r>
        <w:rPr>
          <w:rFonts w:ascii="Calibri" w:hAnsi="Calibri"/>
          <w:lang w:val="cs-CZ"/>
        </w:rPr>
        <w:t>u</w:t>
      </w:r>
      <w:r w:rsidR="008247AF" w:rsidRPr="002C25E1">
        <w:rPr>
          <w:rFonts w:ascii="Calibri" w:hAnsi="Calibri"/>
          <w:lang w:val="cs-CZ"/>
        </w:rPr>
        <w:t xml:space="preserve"> </w:t>
      </w:r>
      <w:r w:rsidR="00294E20" w:rsidRPr="002C25E1">
        <w:rPr>
          <w:rFonts w:ascii="Calibri" w:hAnsi="Calibri"/>
          <w:lang w:val="cs-CZ"/>
        </w:rPr>
        <w:t>č</w:t>
      </w:r>
      <w:r w:rsidR="00A53763">
        <w:rPr>
          <w:rFonts w:ascii="Calibri" w:hAnsi="Calibri"/>
          <w:lang w:val="cs-CZ"/>
        </w:rPr>
        <w:t>.</w:t>
      </w:r>
      <w:r w:rsidR="00294E20" w:rsidRPr="002C25E1">
        <w:rPr>
          <w:rFonts w:ascii="Calibri" w:hAnsi="Calibri"/>
          <w:lang w:val="cs-CZ"/>
        </w:rPr>
        <w:t xml:space="preserve"> 9 – Počet cílených</w:t>
      </w:r>
      <w:r>
        <w:rPr>
          <w:rFonts w:ascii="Calibri" w:hAnsi="Calibri"/>
          <w:lang w:val="cs-CZ"/>
        </w:rPr>
        <w:t xml:space="preserve"> kontrol – Ceny, ukazuje data o </w:t>
      </w:r>
      <w:r w:rsidR="00294E20" w:rsidRPr="002C25E1">
        <w:rPr>
          <w:rFonts w:ascii="Calibri" w:hAnsi="Calibri"/>
          <w:lang w:val="cs-CZ"/>
        </w:rPr>
        <w:t>provedených cílených kontrolách v souvislosti cenami a pravidly cenové regulace, kdy tato data mají opět pouze informativní charakter, stejně jako u grafu</w:t>
      </w:r>
      <w:r w:rsidR="008247AF">
        <w:rPr>
          <w:rFonts w:ascii="Calibri" w:hAnsi="Calibri"/>
          <w:lang w:val="cs-CZ"/>
        </w:rPr>
        <w:t xml:space="preserve"> na obrázku</w:t>
      </w:r>
      <w:r w:rsidR="00294E20" w:rsidRPr="002C25E1">
        <w:rPr>
          <w:rFonts w:ascii="Calibri" w:hAnsi="Calibri"/>
          <w:lang w:val="cs-CZ"/>
        </w:rPr>
        <w:t xml:space="preserve"> č</w:t>
      </w:r>
      <w:r w:rsidR="00A53763">
        <w:rPr>
          <w:rFonts w:ascii="Calibri" w:hAnsi="Calibri"/>
          <w:lang w:val="cs-CZ"/>
        </w:rPr>
        <w:t>.</w:t>
      </w:r>
      <w:r w:rsidR="00294E20" w:rsidRPr="002C25E1">
        <w:rPr>
          <w:rFonts w:ascii="Calibri" w:hAnsi="Calibri"/>
          <w:lang w:val="cs-CZ"/>
        </w:rPr>
        <w:t xml:space="preserve"> 3 a č</w:t>
      </w:r>
      <w:r w:rsidR="00A53763">
        <w:rPr>
          <w:rFonts w:ascii="Calibri" w:hAnsi="Calibri"/>
          <w:lang w:val="cs-CZ"/>
        </w:rPr>
        <w:t>.</w:t>
      </w:r>
      <w:r w:rsidR="00294E20" w:rsidRPr="002C25E1">
        <w:rPr>
          <w:rFonts w:ascii="Calibri" w:hAnsi="Calibri"/>
          <w:lang w:val="cs-CZ"/>
        </w:rPr>
        <w:t xml:space="preserve"> 6. Opět do</w:t>
      </w:r>
      <w:r w:rsidR="00335EA0">
        <w:rPr>
          <w:rFonts w:ascii="Calibri" w:hAnsi="Calibri"/>
          <w:lang w:val="cs-CZ"/>
        </w:rPr>
        <w:t> </w:t>
      </w:r>
      <w:r w:rsidR="00294E20" w:rsidRPr="002C25E1">
        <w:rPr>
          <w:rFonts w:ascii="Calibri" w:hAnsi="Calibri"/>
          <w:lang w:val="cs-CZ"/>
        </w:rPr>
        <w:t>celkového počtu v daném roce je vždy započítána jak kontrola na</w:t>
      </w:r>
      <w:r>
        <w:rPr>
          <w:rFonts w:ascii="Calibri" w:hAnsi="Calibri"/>
          <w:lang w:val="cs-CZ"/>
        </w:rPr>
        <w:t> </w:t>
      </w:r>
      <w:r w:rsidR="00294E20" w:rsidRPr="002C25E1">
        <w:rPr>
          <w:rFonts w:ascii="Calibri" w:hAnsi="Calibri"/>
          <w:lang w:val="cs-CZ"/>
        </w:rPr>
        <w:t xml:space="preserve">základě podnětu, </w:t>
      </w:r>
      <w:r w:rsidR="00294E20" w:rsidRPr="002C25E1">
        <w:rPr>
          <w:rFonts w:ascii="Calibri" w:hAnsi="Calibri"/>
          <w:lang w:val="cs-CZ"/>
        </w:rPr>
        <w:lastRenderedPageBreak/>
        <w:t>tak i</w:t>
      </w:r>
      <w:r w:rsidR="00A53763">
        <w:rPr>
          <w:rFonts w:ascii="Calibri" w:hAnsi="Calibri"/>
          <w:lang w:val="cs-CZ"/>
        </w:rPr>
        <w:t> </w:t>
      </w:r>
      <w:r w:rsidR="00294E20" w:rsidRPr="002C25E1">
        <w:rPr>
          <w:rFonts w:ascii="Calibri" w:hAnsi="Calibri"/>
          <w:lang w:val="cs-CZ"/>
        </w:rPr>
        <w:t>kontrola na základě vlastního zjištění. I zde z uvedených dat lze usuzovat, že</w:t>
      </w:r>
      <w:r w:rsidR="00335EA0">
        <w:rPr>
          <w:rFonts w:ascii="Calibri" w:hAnsi="Calibri"/>
          <w:lang w:val="cs-CZ"/>
        </w:rPr>
        <w:t> </w:t>
      </w:r>
      <w:r w:rsidR="00294E20" w:rsidRPr="002C25E1">
        <w:rPr>
          <w:rFonts w:ascii="Calibri" w:hAnsi="Calibri"/>
          <w:lang w:val="cs-CZ"/>
        </w:rPr>
        <w:t>vzhledem k nízkému počtu cílených kontrol, jsou veřejností, nebo samotným SÚKL, jen výjimečně vnímán</w:t>
      </w:r>
      <w:r w:rsidR="000A7728">
        <w:rPr>
          <w:rFonts w:ascii="Calibri" w:hAnsi="Calibri"/>
          <w:lang w:val="cs-CZ"/>
        </w:rPr>
        <w:t>a</w:t>
      </w:r>
      <w:r w:rsidR="00294E20" w:rsidRPr="002C25E1">
        <w:rPr>
          <w:rFonts w:ascii="Calibri" w:hAnsi="Calibri"/>
          <w:lang w:val="cs-CZ"/>
        </w:rPr>
        <w:t xml:space="preserve"> jasně viditelná porušení. Přičemž cílená kontrola byla pro</w:t>
      </w:r>
      <w:r w:rsidR="00294E20">
        <w:rPr>
          <w:rFonts w:ascii="Calibri" w:hAnsi="Calibri"/>
          <w:lang w:val="cs-CZ"/>
        </w:rPr>
        <w:t>vedena pouze v letech 2014 až </w:t>
      </w:r>
      <w:r w:rsidR="00294E20" w:rsidRPr="002C25E1">
        <w:rPr>
          <w:rFonts w:ascii="Calibri" w:hAnsi="Calibri"/>
          <w:lang w:val="cs-CZ"/>
        </w:rPr>
        <w:t>2017, kdy počty měly stoupající tendenci a to o</w:t>
      </w:r>
      <w:r w:rsidR="000A7728">
        <w:rPr>
          <w:rFonts w:ascii="Calibri" w:hAnsi="Calibri"/>
          <w:lang w:val="cs-CZ"/>
        </w:rPr>
        <w:t>d</w:t>
      </w:r>
      <w:r w:rsidR="00294E20" w:rsidRPr="002C25E1">
        <w:rPr>
          <w:rFonts w:ascii="Calibri" w:hAnsi="Calibri"/>
          <w:lang w:val="cs-CZ"/>
        </w:rPr>
        <w:t xml:space="preserve"> 3 provedených</w:t>
      </w:r>
      <w:r w:rsidR="00294E20">
        <w:rPr>
          <w:rFonts w:ascii="Calibri" w:hAnsi="Calibri"/>
          <w:lang w:val="cs-CZ"/>
        </w:rPr>
        <w:t xml:space="preserve"> kontrol ke 12, v </w:t>
      </w:r>
      <w:r w:rsidR="00294E20" w:rsidRPr="002C25E1">
        <w:rPr>
          <w:rFonts w:ascii="Calibri" w:hAnsi="Calibri"/>
          <w:lang w:val="cs-CZ"/>
        </w:rPr>
        <w:t>ostatních letech nebyla provedena žádná cílená kontrola</w:t>
      </w:r>
      <w:r w:rsidR="00294E20">
        <w:rPr>
          <w:rFonts w:ascii="Calibri" w:hAnsi="Calibri"/>
          <w:lang w:val="cs-CZ"/>
        </w:rPr>
        <w:t>.</w:t>
      </w:r>
    </w:p>
    <w:p w:rsidR="00294E20" w:rsidRDefault="00294E20" w:rsidP="00294E20">
      <w:pPr>
        <w:pStyle w:val="Standard"/>
        <w:spacing w:line="360" w:lineRule="auto"/>
        <w:ind w:firstLine="708"/>
        <w:jc w:val="both"/>
        <w:rPr>
          <w:rFonts w:ascii="Calibri" w:hAnsi="Calibri"/>
          <w:lang w:val="cs-CZ"/>
        </w:rPr>
      </w:pPr>
      <w:r>
        <w:rPr>
          <w:rFonts w:ascii="Calibri" w:hAnsi="Calibri"/>
          <w:lang w:val="cs-CZ"/>
        </w:rPr>
        <w:t>Z grafu je zřetelně vidět, že </w:t>
      </w:r>
      <w:r w:rsidRPr="002C25E1">
        <w:rPr>
          <w:rFonts w:ascii="Calibri" w:hAnsi="Calibri"/>
          <w:lang w:val="cs-CZ"/>
        </w:rPr>
        <w:t>SÚKL ke kontrole přistupuje aktivně, a lze usuzovat, že právě z tohoto důvodu, jsou cílené kontroly v ta</w:t>
      </w:r>
      <w:r w:rsidR="000A7728">
        <w:rPr>
          <w:rFonts w:ascii="Calibri" w:hAnsi="Calibri"/>
          <w:lang w:val="cs-CZ"/>
        </w:rPr>
        <w:t>k</w:t>
      </w:r>
      <w:r w:rsidRPr="002C25E1">
        <w:rPr>
          <w:rFonts w:ascii="Calibri" w:hAnsi="Calibri"/>
          <w:lang w:val="cs-CZ"/>
        </w:rPr>
        <w:t xml:space="preserve"> nízkém počtu. Počty prove</w:t>
      </w:r>
      <w:r>
        <w:rPr>
          <w:rFonts w:ascii="Calibri" w:hAnsi="Calibri"/>
          <w:lang w:val="cs-CZ"/>
        </w:rPr>
        <w:t>dených kontrol v jednom roce se </w:t>
      </w:r>
      <w:r w:rsidRPr="002C25E1">
        <w:rPr>
          <w:rFonts w:ascii="Calibri" w:hAnsi="Calibri"/>
          <w:lang w:val="cs-CZ"/>
        </w:rPr>
        <w:t>pohybují v rozmezí od 84 do 110 kontrol, přičemž průměr je</w:t>
      </w:r>
      <w:r>
        <w:rPr>
          <w:rFonts w:ascii="Calibri" w:hAnsi="Calibri"/>
          <w:lang w:val="cs-CZ"/>
        </w:rPr>
        <w:t> </w:t>
      </w:r>
      <w:r w:rsidRPr="002C25E1">
        <w:rPr>
          <w:rFonts w:ascii="Calibri" w:hAnsi="Calibri"/>
          <w:lang w:val="cs-CZ"/>
        </w:rPr>
        <w:t>okolo 100 kontrol ročně. Na počet provedených kontr</w:t>
      </w:r>
      <w:r>
        <w:rPr>
          <w:rFonts w:ascii="Calibri" w:hAnsi="Calibri"/>
          <w:lang w:val="cs-CZ"/>
        </w:rPr>
        <w:t>ol neměly žádný vliv události v </w:t>
      </w:r>
      <w:r w:rsidRPr="002C25E1">
        <w:rPr>
          <w:rFonts w:ascii="Calibri" w:hAnsi="Calibri"/>
          <w:lang w:val="cs-CZ"/>
        </w:rPr>
        <w:t xml:space="preserve">souvislosti </w:t>
      </w:r>
      <w:r w:rsidR="00335EA0">
        <w:rPr>
          <w:rFonts w:ascii="Calibri" w:hAnsi="Calibri"/>
          <w:lang w:val="cs-CZ"/>
        </w:rPr>
        <w:t xml:space="preserve">s </w:t>
      </w:r>
      <w:r w:rsidRPr="002C25E1">
        <w:rPr>
          <w:rFonts w:ascii="Calibri" w:hAnsi="Calibri"/>
          <w:lang w:val="cs-CZ"/>
        </w:rPr>
        <w:t>nastavenými bezpečnostními opatřeními v souvislosti s epide</w:t>
      </w:r>
      <w:r>
        <w:rPr>
          <w:rFonts w:ascii="Calibri" w:hAnsi="Calibri"/>
          <w:lang w:val="cs-CZ"/>
        </w:rPr>
        <w:t>mií onemocnění COVID-19, jak je </w:t>
      </w:r>
      <w:r w:rsidRPr="002C25E1">
        <w:rPr>
          <w:rFonts w:ascii="Calibri" w:hAnsi="Calibri"/>
          <w:lang w:val="cs-CZ"/>
        </w:rPr>
        <w:t>usuzován</w:t>
      </w:r>
      <w:r w:rsidR="000A7728">
        <w:rPr>
          <w:rFonts w:ascii="Calibri" w:hAnsi="Calibri"/>
          <w:lang w:val="cs-CZ"/>
        </w:rPr>
        <w:t>o</w:t>
      </w:r>
      <w:r w:rsidRPr="002C25E1">
        <w:rPr>
          <w:rFonts w:ascii="Calibri" w:hAnsi="Calibri"/>
          <w:lang w:val="cs-CZ"/>
        </w:rPr>
        <w:t xml:space="preserve"> u jiných</w:t>
      </w:r>
      <w:r w:rsidR="000A7728">
        <w:rPr>
          <w:rFonts w:ascii="Calibri" w:hAnsi="Calibri"/>
          <w:lang w:val="cs-CZ"/>
        </w:rPr>
        <w:t xml:space="preserve"> dat</w:t>
      </w:r>
      <w:r w:rsidRPr="002C25E1">
        <w:rPr>
          <w:rFonts w:ascii="Calibri" w:hAnsi="Calibri"/>
          <w:lang w:val="cs-CZ"/>
        </w:rPr>
        <w:t xml:space="preserve"> například </w:t>
      </w:r>
      <w:r>
        <w:rPr>
          <w:rFonts w:ascii="Calibri" w:hAnsi="Calibri"/>
          <w:lang w:val="cs-CZ"/>
        </w:rPr>
        <w:t>v</w:t>
      </w:r>
      <w:r w:rsidR="00D353BC">
        <w:rPr>
          <w:rFonts w:ascii="Calibri" w:hAnsi="Calibri"/>
          <w:lang w:val="cs-CZ"/>
        </w:rPr>
        <w:t> </w:t>
      </w:r>
      <w:r>
        <w:rPr>
          <w:rFonts w:ascii="Calibri" w:hAnsi="Calibri"/>
          <w:lang w:val="cs-CZ"/>
        </w:rPr>
        <w:t>grafu</w:t>
      </w:r>
      <w:r w:rsidR="00D353BC">
        <w:rPr>
          <w:rFonts w:ascii="Calibri" w:hAnsi="Calibri"/>
          <w:lang w:val="cs-CZ"/>
        </w:rPr>
        <w:t xml:space="preserve"> na obrázku</w:t>
      </w:r>
      <w:r>
        <w:rPr>
          <w:rFonts w:ascii="Calibri" w:hAnsi="Calibri"/>
          <w:lang w:val="cs-CZ"/>
        </w:rPr>
        <w:t xml:space="preserve"> č</w:t>
      </w:r>
      <w:r w:rsidR="00A53763">
        <w:rPr>
          <w:rFonts w:ascii="Calibri" w:hAnsi="Calibri"/>
          <w:lang w:val="cs-CZ"/>
        </w:rPr>
        <w:t>.</w:t>
      </w:r>
      <w:r w:rsidR="00D353BC">
        <w:rPr>
          <w:rFonts w:ascii="Calibri" w:hAnsi="Calibri"/>
          <w:lang w:val="cs-CZ"/>
        </w:rPr>
        <w:t> </w:t>
      </w:r>
      <w:r>
        <w:rPr>
          <w:rFonts w:ascii="Calibri" w:hAnsi="Calibri"/>
          <w:lang w:val="cs-CZ"/>
        </w:rPr>
        <w:t>2, č</w:t>
      </w:r>
      <w:r w:rsidR="00A53763">
        <w:rPr>
          <w:rFonts w:ascii="Calibri" w:hAnsi="Calibri"/>
          <w:lang w:val="cs-CZ"/>
        </w:rPr>
        <w:t>.</w:t>
      </w:r>
      <w:r>
        <w:rPr>
          <w:rFonts w:ascii="Calibri" w:hAnsi="Calibri"/>
          <w:lang w:val="cs-CZ"/>
        </w:rPr>
        <w:t> 4 a </w:t>
      </w:r>
      <w:r w:rsidRPr="002C25E1">
        <w:rPr>
          <w:rFonts w:ascii="Calibri" w:hAnsi="Calibri"/>
          <w:lang w:val="cs-CZ"/>
        </w:rPr>
        <w:t>č</w:t>
      </w:r>
      <w:r w:rsidR="00A53763">
        <w:rPr>
          <w:rFonts w:ascii="Calibri" w:hAnsi="Calibri"/>
          <w:lang w:val="cs-CZ"/>
        </w:rPr>
        <w:t>.</w:t>
      </w:r>
      <w:r>
        <w:rPr>
          <w:rFonts w:ascii="Calibri" w:hAnsi="Calibri"/>
          <w:lang w:val="cs-CZ"/>
        </w:rPr>
        <w:t> </w:t>
      </w:r>
      <w:r w:rsidRPr="002C25E1">
        <w:rPr>
          <w:rFonts w:ascii="Calibri" w:hAnsi="Calibri"/>
          <w:lang w:val="cs-CZ"/>
        </w:rPr>
        <w:t xml:space="preserve">7, neboť počet provedených kontrol se v </w:t>
      </w:r>
      <w:r>
        <w:rPr>
          <w:rFonts w:ascii="Calibri" w:hAnsi="Calibri"/>
          <w:lang w:val="cs-CZ"/>
        </w:rPr>
        <w:t>letech 2020 a 2021 pohyboval na </w:t>
      </w:r>
      <w:r w:rsidRPr="002C25E1">
        <w:rPr>
          <w:rFonts w:ascii="Calibri" w:hAnsi="Calibri"/>
          <w:lang w:val="cs-CZ"/>
        </w:rPr>
        <w:t>průměrných hodnotách.</w:t>
      </w:r>
    </w:p>
    <w:p w:rsidR="00294E20" w:rsidRPr="002C25E1" w:rsidRDefault="00294E20" w:rsidP="00294E20">
      <w:pPr>
        <w:pStyle w:val="Standard"/>
        <w:spacing w:line="360" w:lineRule="auto"/>
        <w:ind w:firstLine="708"/>
        <w:jc w:val="both"/>
        <w:rPr>
          <w:rFonts w:ascii="Calibri" w:hAnsi="Calibri"/>
          <w:lang w:val="cs-CZ"/>
        </w:rPr>
      </w:pPr>
      <w:r w:rsidRPr="002C25E1">
        <w:rPr>
          <w:rFonts w:ascii="Calibri" w:hAnsi="Calibri"/>
          <w:lang w:val="cs-CZ"/>
        </w:rPr>
        <w:t xml:space="preserve">Viz </w:t>
      </w:r>
      <w:r w:rsidR="008247AF">
        <w:rPr>
          <w:rFonts w:ascii="Calibri" w:hAnsi="Calibri"/>
          <w:lang w:val="cs-CZ"/>
        </w:rPr>
        <w:t>obrázek</w:t>
      </w:r>
      <w:r w:rsidR="008247AF" w:rsidRPr="002C25E1">
        <w:rPr>
          <w:rFonts w:ascii="Calibri" w:hAnsi="Calibri"/>
          <w:lang w:val="cs-CZ"/>
        </w:rPr>
        <w:t xml:space="preserve"> </w:t>
      </w:r>
      <w:r w:rsidRPr="002C25E1">
        <w:rPr>
          <w:rFonts w:ascii="Calibri" w:hAnsi="Calibri"/>
          <w:lang w:val="cs-CZ"/>
        </w:rPr>
        <w:t>č</w:t>
      </w:r>
      <w:r w:rsidR="00A53763">
        <w:rPr>
          <w:rFonts w:ascii="Calibri" w:hAnsi="Calibri"/>
          <w:lang w:val="cs-CZ"/>
        </w:rPr>
        <w:t>.</w:t>
      </w:r>
      <w:r w:rsidRPr="002C25E1">
        <w:rPr>
          <w:rFonts w:ascii="Calibri" w:hAnsi="Calibri"/>
          <w:lang w:val="cs-CZ"/>
        </w:rPr>
        <w:t xml:space="preserve"> 9 – Počet cílených kontrol - Ceny, kde je vidět vývoj počtu cílených kontrol v lékárnách oproti celkovému počtu provedenýc</w:t>
      </w:r>
      <w:r>
        <w:rPr>
          <w:rFonts w:ascii="Calibri" w:hAnsi="Calibri"/>
          <w:lang w:val="cs-CZ"/>
        </w:rPr>
        <w:t>h kontrol v průběhu let 2012 až </w:t>
      </w:r>
      <w:r w:rsidRPr="002C25E1">
        <w:rPr>
          <w:rFonts w:ascii="Calibri" w:hAnsi="Calibri"/>
          <w:lang w:val="cs-CZ"/>
        </w:rPr>
        <w:t>2022.</w:t>
      </w:r>
    </w:p>
    <w:p w:rsidR="00294E20" w:rsidRDefault="00294E2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6FD1F8FD" wp14:editId="654A003D">
            <wp:extent cx="5200015" cy="3220872"/>
            <wp:effectExtent l="0" t="0" r="635" b="1778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2D21" w:rsidRPr="00872CEC" w:rsidRDefault="00BE2D21"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9 – Počet cílených kontrol </w:t>
      </w:r>
      <w:r w:rsidRPr="00872CEC">
        <w:rPr>
          <w:iCs/>
          <w:sz w:val="20"/>
          <w:szCs w:val="20"/>
        </w:rPr>
        <w:t>–</w:t>
      </w:r>
      <w:r w:rsidR="00294E20" w:rsidRPr="00872CEC">
        <w:rPr>
          <w:iCs/>
          <w:sz w:val="20"/>
          <w:szCs w:val="20"/>
        </w:rPr>
        <w:t xml:space="preserve"> Ceny</w:t>
      </w:r>
    </w:p>
    <w:p w:rsidR="00294E20" w:rsidRPr="00872CEC" w:rsidRDefault="00BE2D21"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BE2D21" w:rsidRDefault="00BE2D21" w:rsidP="00294E20">
      <w:pPr>
        <w:pStyle w:val="Standard"/>
        <w:spacing w:line="360" w:lineRule="auto"/>
        <w:ind w:firstLine="567"/>
        <w:jc w:val="both"/>
        <w:rPr>
          <w:rFonts w:ascii="Calibri" w:hAnsi="Calibri"/>
          <w:lang w:val="cs-CZ"/>
        </w:rPr>
      </w:pPr>
    </w:p>
    <w:p w:rsidR="00294E20" w:rsidRDefault="00294E20" w:rsidP="00294E20">
      <w:pPr>
        <w:pStyle w:val="Standard"/>
        <w:spacing w:line="360" w:lineRule="auto"/>
        <w:ind w:firstLine="567"/>
        <w:jc w:val="both"/>
        <w:rPr>
          <w:rFonts w:ascii="Calibri" w:hAnsi="Calibri"/>
          <w:lang w:val="cs-CZ"/>
        </w:rPr>
      </w:pPr>
      <w:r w:rsidRPr="00CD68F5">
        <w:rPr>
          <w:rFonts w:ascii="Calibri" w:hAnsi="Calibri"/>
          <w:lang w:val="cs-CZ"/>
        </w:rPr>
        <w:lastRenderedPageBreak/>
        <w:t>Data o závadách v lékárnách v souvislosti s cenami a pravidly cenové regulace</w:t>
      </w:r>
      <w:r w:rsidR="00727486">
        <w:rPr>
          <w:rFonts w:ascii="Calibri" w:hAnsi="Calibri"/>
          <w:lang w:val="cs-CZ"/>
        </w:rPr>
        <w:t>,</w:t>
      </w:r>
      <w:r w:rsidRPr="00CD68F5">
        <w:rPr>
          <w:rFonts w:ascii="Calibri" w:hAnsi="Calibri"/>
          <w:lang w:val="cs-CZ"/>
        </w:rPr>
        <w:t xml:space="preserve"> nejsou členěna </w:t>
      </w:r>
      <w:r>
        <w:rPr>
          <w:rFonts w:ascii="Calibri" w:hAnsi="Calibri"/>
          <w:lang w:val="cs-CZ"/>
        </w:rPr>
        <w:t xml:space="preserve">tak, </w:t>
      </w:r>
      <w:r w:rsidRPr="00CD68F5">
        <w:rPr>
          <w:rFonts w:ascii="Calibri" w:hAnsi="Calibri"/>
          <w:lang w:val="cs-CZ"/>
        </w:rPr>
        <w:t xml:space="preserve">jak je tomu u obecných kontrol a kontrol návykových látek. Je pouze evidován jejich počet v daném roce. Pouze v roce 2012 nedošlo ke zjištění žádného porušení právních </w:t>
      </w:r>
      <w:r w:rsidR="00281350">
        <w:rPr>
          <w:rFonts w:ascii="Calibri" w:hAnsi="Calibri"/>
          <w:lang w:val="cs-CZ"/>
        </w:rPr>
        <w:t>předpisů</w:t>
      </w:r>
      <w:r w:rsidRPr="00CD68F5">
        <w:rPr>
          <w:rFonts w:ascii="Calibri" w:hAnsi="Calibri"/>
          <w:lang w:val="cs-CZ"/>
        </w:rPr>
        <w:t>. U let se zjištěnými záv</w:t>
      </w:r>
      <w:r>
        <w:rPr>
          <w:rFonts w:ascii="Calibri" w:hAnsi="Calibri"/>
          <w:lang w:val="cs-CZ"/>
        </w:rPr>
        <w:t>adami, se vyjma roku 2014 se 16 </w:t>
      </w:r>
      <w:r w:rsidRPr="00CD68F5">
        <w:rPr>
          <w:rFonts w:ascii="Calibri" w:hAnsi="Calibri"/>
          <w:lang w:val="cs-CZ"/>
        </w:rPr>
        <w:t>závadami, počet závad pohybuje v rozmezí 39 až 65 závad. Nejvíce závad bylo zjištěno v roce 2017. Z dat je patrné, že vyjma let 2012 a 2014, bylo téměř u každé druhé kontroly zjištěno nějaké porušení. V letech 2013, 2017 a 2020 se v průměru skutečně jedná o každou druhou kontrolu.</w:t>
      </w:r>
    </w:p>
    <w:p w:rsidR="00294E20" w:rsidRPr="00CD68F5" w:rsidRDefault="00294E20" w:rsidP="00294E20">
      <w:pPr>
        <w:pStyle w:val="Standard"/>
        <w:spacing w:line="360" w:lineRule="auto"/>
        <w:ind w:firstLine="567"/>
        <w:jc w:val="both"/>
        <w:rPr>
          <w:rFonts w:ascii="Calibri" w:hAnsi="Calibri"/>
          <w:lang w:val="cs-CZ"/>
        </w:rPr>
      </w:pPr>
      <w:r w:rsidRPr="00CD68F5">
        <w:rPr>
          <w:rFonts w:ascii="Calibri" w:hAnsi="Calibri"/>
          <w:lang w:val="cs-CZ"/>
        </w:rPr>
        <w:t xml:space="preserve">Viz </w:t>
      </w:r>
      <w:r w:rsidR="008247AF">
        <w:rPr>
          <w:rFonts w:ascii="Calibri" w:hAnsi="Calibri"/>
          <w:lang w:val="cs-CZ"/>
        </w:rPr>
        <w:t>obrázek</w:t>
      </w:r>
      <w:r w:rsidR="008247AF" w:rsidRPr="00CD68F5">
        <w:rPr>
          <w:rFonts w:ascii="Calibri" w:hAnsi="Calibri"/>
          <w:lang w:val="cs-CZ"/>
        </w:rPr>
        <w:t xml:space="preserve"> </w:t>
      </w:r>
      <w:r w:rsidRPr="00CD68F5">
        <w:rPr>
          <w:rFonts w:ascii="Calibri" w:hAnsi="Calibri"/>
          <w:lang w:val="cs-CZ"/>
        </w:rPr>
        <w:t>č</w:t>
      </w:r>
      <w:r w:rsidR="00A53763">
        <w:rPr>
          <w:rFonts w:ascii="Calibri" w:hAnsi="Calibri"/>
          <w:lang w:val="cs-CZ"/>
        </w:rPr>
        <w:t>.</w:t>
      </w:r>
      <w:r w:rsidRPr="00CD68F5">
        <w:rPr>
          <w:rFonts w:ascii="Calibri" w:hAnsi="Calibri"/>
          <w:lang w:val="cs-CZ"/>
        </w:rPr>
        <w:t xml:space="preserve"> 10 – Počet zjištěných </w:t>
      </w:r>
      <w:r w:rsidR="008E428D">
        <w:rPr>
          <w:rFonts w:ascii="Calibri" w:hAnsi="Calibri"/>
          <w:lang w:val="cs-CZ"/>
        </w:rPr>
        <w:t>závad</w:t>
      </w:r>
      <w:r w:rsidRPr="00CD68F5">
        <w:rPr>
          <w:rFonts w:ascii="Calibri" w:hAnsi="Calibri"/>
          <w:lang w:val="cs-CZ"/>
        </w:rPr>
        <w:t xml:space="preserve"> - Ceny, kde je vidět počet zjištěných záv</w:t>
      </w:r>
      <w:r w:rsidR="00281350">
        <w:rPr>
          <w:rFonts w:ascii="Calibri" w:hAnsi="Calibri"/>
          <w:lang w:val="cs-CZ"/>
        </w:rPr>
        <w:t>ad v lékárnách v souvislosti s</w:t>
      </w:r>
      <w:r w:rsidR="00281350" w:rsidRPr="00281350">
        <w:rPr>
          <w:rFonts w:ascii="Calibri" w:hAnsi="Calibri"/>
          <w:lang w:val="cs-CZ"/>
        </w:rPr>
        <w:t xml:space="preserve"> </w:t>
      </w:r>
      <w:r w:rsidR="00281350" w:rsidRPr="00CD68F5">
        <w:rPr>
          <w:rFonts w:ascii="Calibri" w:hAnsi="Calibri"/>
          <w:lang w:val="cs-CZ"/>
        </w:rPr>
        <w:t xml:space="preserve">cenami a pravidly cenové regulace </w:t>
      </w:r>
      <w:r>
        <w:rPr>
          <w:rFonts w:ascii="Calibri" w:hAnsi="Calibri"/>
          <w:lang w:val="cs-CZ"/>
        </w:rPr>
        <w:t>z </w:t>
      </w:r>
      <w:r w:rsidR="00AE0D11">
        <w:rPr>
          <w:rFonts w:ascii="Calibri" w:hAnsi="Calibri"/>
          <w:lang w:val="cs-CZ"/>
        </w:rPr>
        <w:t>provedených kontrol v </w:t>
      </w:r>
      <w:r w:rsidRPr="00CD68F5">
        <w:rPr>
          <w:rFonts w:ascii="Calibri" w:hAnsi="Calibri"/>
          <w:lang w:val="cs-CZ"/>
        </w:rPr>
        <w:t>průběhu let 2012 až 2022.</w:t>
      </w:r>
    </w:p>
    <w:p w:rsidR="00294E20" w:rsidRDefault="0028135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017A2871" wp14:editId="2326437A">
            <wp:extent cx="5144770" cy="3439236"/>
            <wp:effectExtent l="0" t="0" r="17780" b="889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2102" w:rsidRPr="00872CEC" w:rsidRDefault="002F2102"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10 – Počet zjištěných </w:t>
      </w:r>
      <w:r w:rsidR="008E428D" w:rsidRPr="00872CEC">
        <w:rPr>
          <w:iCs/>
          <w:sz w:val="20"/>
          <w:szCs w:val="20"/>
        </w:rPr>
        <w:t>závad</w:t>
      </w:r>
      <w:r w:rsidR="00294E20" w:rsidRPr="00872CEC">
        <w:rPr>
          <w:iCs/>
          <w:sz w:val="20"/>
          <w:szCs w:val="20"/>
        </w:rPr>
        <w:t xml:space="preserve"> </w:t>
      </w:r>
      <w:r w:rsidRPr="00872CEC">
        <w:rPr>
          <w:iCs/>
          <w:sz w:val="20"/>
          <w:szCs w:val="20"/>
        </w:rPr>
        <w:t>–</w:t>
      </w:r>
      <w:r w:rsidR="00294E20" w:rsidRPr="00872CEC">
        <w:rPr>
          <w:iCs/>
          <w:sz w:val="20"/>
          <w:szCs w:val="20"/>
        </w:rPr>
        <w:t xml:space="preserve"> Ceny</w:t>
      </w:r>
    </w:p>
    <w:p w:rsidR="00294E20" w:rsidRPr="00872CEC" w:rsidRDefault="002F2102"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294E20" w:rsidP="00294E20">
      <w:pPr>
        <w:pStyle w:val="Standard"/>
        <w:spacing w:line="360" w:lineRule="auto"/>
        <w:ind w:firstLine="567"/>
        <w:jc w:val="both"/>
        <w:rPr>
          <w:rFonts w:ascii="Calibri" w:hAnsi="Calibri"/>
          <w:lang w:val="cs-CZ"/>
        </w:rPr>
      </w:pPr>
      <w:r w:rsidRPr="002C25E1">
        <w:rPr>
          <w:rFonts w:ascii="Calibri" w:hAnsi="Calibri"/>
          <w:lang w:val="cs-CZ"/>
        </w:rPr>
        <w:t>Reakce na zjištěná porušení z provedených kontrol v souvislosti s cenami a pravidly cenové regulace jsou zobrazena v</w:t>
      </w:r>
      <w:r w:rsidR="008247AF">
        <w:rPr>
          <w:rFonts w:ascii="Calibri" w:hAnsi="Calibri"/>
          <w:lang w:val="cs-CZ"/>
        </w:rPr>
        <w:t> </w:t>
      </w:r>
      <w:r w:rsidRPr="002C25E1">
        <w:rPr>
          <w:rFonts w:ascii="Calibri" w:hAnsi="Calibri"/>
          <w:lang w:val="cs-CZ"/>
        </w:rPr>
        <w:t>grafu</w:t>
      </w:r>
      <w:r w:rsidR="008247AF">
        <w:rPr>
          <w:rFonts w:ascii="Calibri" w:hAnsi="Calibri"/>
          <w:lang w:val="cs-CZ"/>
        </w:rPr>
        <w:t xml:space="preserve"> na obrázku</w:t>
      </w:r>
      <w:r w:rsidRPr="002C25E1">
        <w:rPr>
          <w:rFonts w:ascii="Calibri" w:hAnsi="Calibri"/>
          <w:lang w:val="cs-CZ"/>
        </w:rPr>
        <w:t xml:space="preserve"> č</w:t>
      </w:r>
      <w:r w:rsidR="0094678D">
        <w:rPr>
          <w:rFonts w:ascii="Calibri" w:hAnsi="Calibri"/>
          <w:lang w:val="cs-CZ"/>
        </w:rPr>
        <w:t>.</w:t>
      </w:r>
      <w:r w:rsidRPr="002C25E1">
        <w:rPr>
          <w:rFonts w:ascii="Calibri" w:hAnsi="Calibri"/>
          <w:lang w:val="cs-CZ"/>
        </w:rPr>
        <w:t xml:space="preserve"> 11 – Postih</w:t>
      </w:r>
      <w:r>
        <w:rPr>
          <w:rFonts w:ascii="Calibri" w:hAnsi="Calibri"/>
          <w:lang w:val="cs-CZ"/>
        </w:rPr>
        <w:t>y z kontrol - Ceny, kdy vyjma 1 </w:t>
      </w:r>
      <w:r w:rsidRPr="002C25E1">
        <w:rPr>
          <w:rFonts w:ascii="Calibri" w:hAnsi="Calibri"/>
          <w:lang w:val="cs-CZ"/>
        </w:rPr>
        <w:t>případu v roce 2012, byly každý rok uděleny pokuty v příkazním řízení. Nejvíce jich bylo uděleno v roce 2013 a to celkem 45 pokut. Naopak nejméně v roce 2020, kdy se jednalo o 2 pokuty. U počtu uložených pokut lze konstatovat, ž</w:t>
      </w:r>
      <w:r>
        <w:rPr>
          <w:rFonts w:ascii="Calibri" w:hAnsi="Calibri"/>
          <w:lang w:val="cs-CZ"/>
        </w:rPr>
        <w:t xml:space="preserve">e jejich výše </w:t>
      </w:r>
      <w:r>
        <w:rPr>
          <w:rFonts w:ascii="Calibri" w:hAnsi="Calibri"/>
          <w:lang w:val="cs-CZ"/>
        </w:rPr>
        <w:lastRenderedPageBreak/>
        <w:t>nekoresponduje se </w:t>
      </w:r>
      <w:r w:rsidRPr="002C25E1">
        <w:rPr>
          <w:rFonts w:ascii="Calibri" w:hAnsi="Calibri"/>
          <w:lang w:val="cs-CZ"/>
        </w:rPr>
        <w:t>změnou výše zjištěných porušení v dané</w:t>
      </w:r>
      <w:r w:rsidR="00727486">
        <w:rPr>
          <w:rFonts w:ascii="Calibri" w:hAnsi="Calibri"/>
          <w:lang w:val="cs-CZ"/>
        </w:rPr>
        <w:t>m</w:t>
      </w:r>
      <w:r w:rsidRPr="002C25E1">
        <w:rPr>
          <w:rFonts w:ascii="Calibri" w:hAnsi="Calibri"/>
          <w:lang w:val="cs-CZ"/>
        </w:rPr>
        <w:t xml:space="preserve"> roce. Například nejvíce pokut bylo uloženo v</w:t>
      </w:r>
      <w:r>
        <w:rPr>
          <w:rFonts w:ascii="Calibri" w:hAnsi="Calibri"/>
          <w:lang w:val="cs-CZ"/>
        </w:rPr>
        <w:t> </w:t>
      </w:r>
      <w:r w:rsidRPr="002C25E1">
        <w:rPr>
          <w:rFonts w:ascii="Calibri" w:hAnsi="Calibri"/>
          <w:lang w:val="cs-CZ"/>
        </w:rPr>
        <w:t>roce 2013 v počtu 45, přičemž celkový počet zjištěných závad</w:t>
      </w:r>
      <w:r>
        <w:rPr>
          <w:rFonts w:ascii="Calibri" w:hAnsi="Calibri"/>
          <w:lang w:val="cs-CZ"/>
        </w:rPr>
        <w:t xml:space="preserve"> byl 89. Oproti tomu v </w:t>
      </w:r>
      <w:r w:rsidRPr="002C25E1">
        <w:rPr>
          <w:rFonts w:ascii="Calibri" w:hAnsi="Calibri"/>
          <w:lang w:val="cs-CZ"/>
        </w:rPr>
        <w:t>roce 2019 bylo uloženo 15 pokut, přičemž celkový počet zjištěných závad byl</w:t>
      </w:r>
      <w:r w:rsidR="00AE0D11">
        <w:rPr>
          <w:rFonts w:ascii="Calibri" w:hAnsi="Calibri"/>
          <w:lang w:val="cs-CZ"/>
        </w:rPr>
        <w:t>o</w:t>
      </w:r>
      <w:r w:rsidRPr="002C25E1">
        <w:rPr>
          <w:rFonts w:ascii="Calibri" w:hAnsi="Calibri"/>
          <w:lang w:val="cs-CZ"/>
        </w:rPr>
        <w:t xml:space="preserve"> 110.</w:t>
      </w:r>
    </w:p>
    <w:p w:rsidR="00294E20" w:rsidRDefault="00294E20" w:rsidP="00294E20">
      <w:pPr>
        <w:pStyle w:val="Standard"/>
        <w:spacing w:line="360" w:lineRule="auto"/>
        <w:ind w:firstLine="567"/>
        <w:jc w:val="both"/>
        <w:rPr>
          <w:rFonts w:ascii="Calibri" w:hAnsi="Calibri"/>
          <w:lang w:val="cs-CZ"/>
        </w:rPr>
      </w:pPr>
      <w:r w:rsidRPr="002C25E1">
        <w:rPr>
          <w:rFonts w:ascii="Calibri" w:hAnsi="Calibri"/>
          <w:lang w:val="cs-CZ"/>
        </w:rPr>
        <w:t>Napomenutí bylo uděleno pouze v letech 2020 až 2022, přičemž zajímavý je</w:t>
      </w:r>
      <w:r>
        <w:rPr>
          <w:rFonts w:ascii="Calibri" w:hAnsi="Calibri"/>
          <w:lang w:val="cs-CZ"/>
        </w:rPr>
        <w:t> </w:t>
      </w:r>
      <w:r w:rsidRPr="002C25E1">
        <w:rPr>
          <w:rFonts w:ascii="Calibri" w:hAnsi="Calibri"/>
          <w:lang w:val="cs-CZ"/>
        </w:rPr>
        <w:t>rok</w:t>
      </w:r>
      <w:r>
        <w:rPr>
          <w:rFonts w:ascii="Calibri" w:hAnsi="Calibri"/>
          <w:lang w:val="cs-CZ"/>
        </w:rPr>
        <w:t> </w:t>
      </w:r>
      <w:r w:rsidRPr="002C25E1">
        <w:rPr>
          <w:rFonts w:ascii="Calibri" w:hAnsi="Calibri"/>
          <w:lang w:val="cs-CZ"/>
        </w:rPr>
        <w:t>2020, kdy bylo uděleno 15 napomenutí oproti 2 ulo</w:t>
      </w:r>
      <w:r>
        <w:rPr>
          <w:rFonts w:ascii="Calibri" w:hAnsi="Calibri"/>
          <w:lang w:val="cs-CZ"/>
        </w:rPr>
        <w:t>ženým pokutám, a v roce 2022 se </w:t>
      </w:r>
      <w:r w:rsidRPr="002C25E1">
        <w:rPr>
          <w:rFonts w:ascii="Calibri" w:hAnsi="Calibri"/>
          <w:lang w:val="cs-CZ"/>
        </w:rPr>
        <w:t>jednalo o shodný počet 8 napomenutí a 8 pokut.</w:t>
      </w:r>
    </w:p>
    <w:p w:rsidR="00294E20" w:rsidRDefault="00294E20" w:rsidP="00294E20">
      <w:pPr>
        <w:pStyle w:val="Standard"/>
        <w:spacing w:line="360" w:lineRule="auto"/>
        <w:ind w:firstLine="567"/>
        <w:jc w:val="both"/>
        <w:rPr>
          <w:rFonts w:asciiTheme="minorHAnsi" w:hAnsiTheme="minorHAnsi" w:cstheme="minorHAnsi"/>
          <w:color w:val="auto"/>
        </w:rPr>
      </w:pPr>
      <w:r w:rsidRPr="002C25E1">
        <w:rPr>
          <w:rFonts w:ascii="Calibri" w:hAnsi="Calibri"/>
          <w:lang w:val="cs-CZ"/>
        </w:rPr>
        <w:t xml:space="preserve">Viz </w:t>
      </w:r>
      <w:r w:rsidR="008247AF">
        <w:rPr>
          <w:rFonts w:ascii="Calibri" w:hAnsi="Calibri"/>
          <w:lang w:val="cs-CZ"/>
        </w:rPr>
        <w:t>obrázek</w:t>
      </w:r>
      <w:r w:rsidR="008247AF" w:rsidRPr="002C25E1">
        <w:rPr>
          <w:rFonts w:ascii="Calibri" w:hAnsi="Calibri"/>
          <w:lang w:val="cs-CZ"/>
        </w:rPr>
        <w:t xml:space="preserve"> </w:t>
      </w:r>
      <w:r w:rsidRPr="002C25E1">
        <w:rPr>
          <w:rFonts w:ascii="Calibri" w:hAnsi="Calibri"/>
          <w:lang w:val="cs-CZ"/>
        </w:rPr>
        <w:t>č</w:t>
      </w:r>
      <w:r w:rsidR="00A53763">
        <w:rPr>
          <w:rFonts w:ascii="Calibri" w:hAnsi="Calibri"/>
          <w:lang w:val="cs-CZ"/>
        </w:rPr>
        <w:t>.</w:t>
      </w:r>
      <w:r w:rsidRPr="002C25E1">
        <w:rPr>
          <w:rFonts w:ascii="Calibri" w:hAnsi="Calibri"/>
          <w:lang w:val="cs-CZ"/>
        </w:rPr>
        <w:t xml:space="preserve"> 11 – Postihy z kontrol - Ceny, kde je vidět počet jednotlivých postih</w:t>
      </w:r>
      <w:r w:rsidR="00281350">
        <w:rPr>
          <w:rFonts w:ascii="Calibri" w:hAnsi="Calibri"/>
          <w:lang w:val="cs-CZ"/>
        </w:rPr>
        <w:t>ů</w:t>
      </w:r>
      <w:r w:rsidRPr="002C25E1">
        <w:rPr>
          <w:rFonts w:ascii="Calibri" w:hAnsi="Calibri"/>
          <w:lang w:val="cs-CZ"/>
        </w:rPr>
        <w:t xml:space="preserve"> ze zjištěných závad v lékárnách z provedených kontrol v průběhu let 2012 až</w:t>
      </w:r>
      <w:r w:rsidR="00D353BC">
        <w:rPr>
          <w:rFonts w:ascii="Calibri" w:hAnsi="Calibri"/>
          <w:lang w:val="cs-CZ"/>
        </w:rPr>
        <w:t> </w:t>
      </w:r>
      <w:r w:rsidRPr="002C25E1">
        <w:rPr>
          <w:rFonts w:ascii="Calibri" w:hAnsi="Calibri"/>
          <w:lang w:val="cs-CZ"/>
        </w:rPr>
        <w:t>2022.</w:t>
      </w:r>
    </w:p>
    <w:p w:rsidR="002F2102" w:rsidRPr="00872CEC" w:rsidRDefault="00294E20" w:rsidP="00294E20">
      <w:pPr>
        <w:spacing w:after="0" w:line="360" w:lineRule="auto"/>
        <w:ind w:firstLine="567"/>
        <w:jc w:val="both"/>
        <w:rPr>
          <w:iCs/>
          <w:sz w:val="20"/>
          <w:szCs w:val="20"/>
        </w:rPr>
      </w:pPr>
      <w:r w:rsidRPr="00872CEC">
        <w:rPr>
          <w:noProof/>
          <w:lang w:eastAsia="cs-CZ"/>
        </w:rPr>
        <w:drawing>
          <wp:anchor distT="0" distB="0" distL="114300" distR="114300" simplePos="0" relativeHeight="251661312" behindDoc="0" locked="0" layoutInCell="1" allowOverlap="1" wp14:anchorId="4645ECE1" wp14:editId="039D4B8F">
            <wp:simplePos x="1262418" y="900752"/>
            <wp:positionH relativeFrom="column">
              <wp:align>left</wp:align>
            </wp:positionH>
            <wp:positionV relativeFrom="paragraph">
              <wp:align>top</wp:align>
            </wp:positionV>
            <wp:extent cx="5112385" cy="3458818"/>
            <wp:effectExtent l="0" t="0" r="12065" b="8890"/>
            <wp:wrapSquare wrapText="bothSides"/>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F2102" w:rsidRPr="00872CEC">
        <w:rPr>
          <w:iCs/>
          <w:sz w:val="20"/>
          <w:szCs w:val="20"/>
        </w:rPr>
        <w:t>Obrázek</w:t>
      </w:r>
      <w:r w:rsidRPr="00872CEC">
        <w:rPr>
          <w:iCs/>
          <w:sz w:val="20"/>
          <w:szCs w:val="20"/>
        </w:rPr>
        <w:t xml:space="preserve"> č</w:t>
      </w:r>
      <w:r w:rsidR="00A53763">
        <w:rPr>
          <w:iCs/>
          <w:sz w:val="20"/>
          <w:szCs w:val="20"/>
        </w:rPr>
        <w:t>.</w:t>
      </w:r>
      <w:r w:rsidRPr="00872CEC">
        <w:rPr>
          <w:iCs/>
          <w:sz w:val="20"/>
          <w:szCs w:val="20"/>
        </w:rPr>
        <w:t xml:space="preserve"> 11 – Postihy z kontrol </w:t>
      </w:r>
      <w:r w:rsidR="002F2102" w:rsidRPr="00872CEC">
        <w:rPr>
          <w:iCs/>
          <w:sz w:val="20"/>
          <w:szCs w:val="20"/>
        </w:rPr>
        <w:t>–</w:t>
      </w:r>
      <w:r w:rsidRPr="00872CEC">
        <w:rPr>
          <w:iCs/>
          <w:sz w:val="20"/>
          <w:szCs w:val="20"/>
        </w:rPr>
        <w:t xml:space="preserve"> Ceny</w:t>
      </w:r>
    </w:p>
    <w:p w:rsidR="00294E20" w:rsidRPr="00872CEC" w:rsidRDefault="002F2102" w:rsidP="00294E20">
      <w:pPr>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Pr="00AA2E53" w:rsidRDefault="00294E20" w:rsidP="00294E20">
      <w:pPr>
        <w:pStyle w:val="Nadpis3"/>
        <w:ind w:left="851" w:hanging="851"/>
        <w:rPr>
          <w:rFonts w:asciiTheme="minorHAnsi" w:hAnsiTheme="minorHAnsi" w:cstheme="minorHAnsi"/>
          <w:b/>
          <w:color w:val="auto"/>
          <w:sz w:val="28"/>
          <w:szCs w:val="28"/>
        </w:rPr>
      </w:pPr>
      <w:bookmarkStart w:id="138" w:name="_Toc165990661"/>
      <w:r>
        <w:rPr>
          <w:rFonts w:asciiTheme="minorHAnsi" w:hAnsiTheme="minorHAnsi" w:cstheme="minorHAnsi"/>
          <w:b/>
          <w:color w:val="auto"/>
          <w:sz w:val="28"/>
          <w:szCs w:val="28"/>
        </w:rPr>
        <w:t>Kontroly provedené u odebraných vzorků léčivých přípravků</w:t>
      </w:r>
      <w:bookmarkEnd w:id="138"/>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2F2102" w:rsidP="00294E20">
      <w:pPr>
        <w:pStyle w:val="Standard"/>
        <w:spacing w:line="360" w:lineRule="auto"/>
        <w:ind w:firstLine="708"/>
        <w:jc w:val="both"/>
        <w:rPr>
          <w:rFonts w:ascii="Calibri" w:hAnsi="Calibri"/>
          <w:lang w:val="cs-CZ"/>
        </w:rPr>
      </w:pPr>
      <w:r>
        <w:rPr>
          <w:rFonts w:ascii="Calibri" w:hAnsi="Calibri"/>
          <w:lang w:val="cs-CZ"/>
        </w:rPr>
        <w:t>Graf na o</w:t>
      </w:r>
      <w:r w:rsidR="008247AF">
        <w:rPr>
          <w:rFonts w:ascii="Calibri" w:hAnsi="Calibri"/>
          <w:lang w:val="cs-CZ"/>
        </w:rPr>
        <w:t>brázk</w:t>
      </w:r>
      <w:r>
        <w:rPr>
          <w:rFonts w:ascii="Calibri" w:hAnsi="Calibri"/>
          <w:lang w:val="cs-CZ"/>
        </w:rPr>
        <w:t>u</w:t>
      </w:r>
      <w:r w:rsidR="008247AF" w:rsidRPr="002C25E1">
        <w:rPr>
          <w:rFonts w:ascii="Calibri" w:hAnsi="Calibri"/>
          <w:lang w:val="cs-CZ"/>
        </w:rPr>
        <w:t xml:space="preserve"> </w:t>
      </w:r>
      <w:r w:rsidR="00294E20" w:rsidRPr="002C25E1">
        <w:rPr>
          <w:rFonts w:ascii="Calibri" w:hAnsi="Calibri"/>
          <w:lang w:val="cs-CZ"/>
        </w:rPr>
        <w:t>č</w:t>
      </w:r>
      <w:r w:rsidR="00A53763">
        <w:rPr>
          <w:rFonts w:ascii="Calibri" w:hAnsi="Calibri"/>
          <w:lang w:val="cs-CZ"/>
        </w:rPr>
        <w:t>.</w:t>
      </w:r>
      <w:r w:rsidR="00294E20" w:rsidRPr="002C25E1">
        <w:rPr>
          <w:rFonts w:ascii="Calibri" w:hAnsi="Calibri"/>
          <w:lang w:val="cs-CZ"/>
        </w:rPr>
        <w:t xml:space="preserve"> 12 – Počet odebraných vzorků, ukazuje data o počtu odebraných vzorků připravovaných léčivých přípravků a jejich podíl co se týče přípravků Magistraliter a příp</w:t>
      </w:r>
      <w:r w:rsidR="00294E20">
        <w:rPr>
          <w:rFonts w:ascii="Calibri" w:hAnsi="Calibri"/>
          <w:lang w:val="cs-CZ"/>
        </w:rPr>
        <w:t>ravků připravovaných v lékárně.</w:t>
      </w:r>
    </w:p>
    <w:p w:rsidR="00294E20" w:rsidRDefault="00294E20" w:rsidP="00294E20">
      <w:pPr>
        <w:pStyle w:val="Standard"/>
        <w:spacing w:line="360" w:lineRule="auto"/>
        <w:ind w:firstLine="708"/>
        <w:jc w:val="both"/>
        <w:rPr>
          <w:rFonts w:ascii="Calibri" w:hAnsi="Calibri"/>
          <w:lang w:val="cs-CZ"/>
        </w:rPr>
      </w:pPr>
      <w:r w:rsidRPr="002C25E1">
        <w:rPr>
          <w:rFonts w:ascii="Calibri" w:hAnsi="Calibri"/>
          <w:lang w:val="cs-CZ"/>
        </w:rPr>
        <w:t xml:space="preserve">Ve sledovaném období bylo odebráno každý rok 200 až 250 vzorků, kdy na počet odebraných vzorků </w:t>
      </w:r>
      <w:r>
        <w:rPr>
          <w:rFonts w:ascii="Calibri" w:hAnsi="Calibri"/>
          <w:lang w:val="cs-CZ"/>
        </w:rPr>
        <w:t>neměly žádný vliv události v </w:t>
      </w:r>
      <w:r w:rsidRPr="002C25E1">
        <w:rPr>
          <w:rFonts w:ascii="Calibri" w:hAnsi="Calibri"/>
          <w:lang w:val="cs-CZ"/>
        </w:rPr>
        <w:t xml:space="preserve">souvislosti </w:t>
      </w:r>
      <w:r w:rsidR="00727486">
        <w:rPr>
          <w:rFonts w:ascii="Calibri" w:hAnsi="Calibri"/>
          <w:lang w:val="cs-CZ"/>
        </w:rPr>
        <w:t xml:space="preserve">s </w:t>
      </w:r>
      <w:r w:rsidRPr="002C25E1">
        <w:rPr>
          <w:rFonts w:ascii="Calibri" w:hAnsi="Calibri"/>
          <w:lang w:val="cs-CZ"/>
        </w:rPr>
        <w:t>nastavenými bezpečnostními opatřeními v souvislosti</w:t>
      </w:r>
      <w:r w:rsidR="003B0987">
        <w:rPr>
          <w:rFonts w:ascii="Calibri" w:hAnsi="Calibri"/>
          <w:lang w:val="cs-CZ"/>
        </w:rPr>
        <w:t xml:space="preserve"> s epidemií onemocnění COVID-19, </w:t>
      </w:r>
      <w:r w:rsidR="003B0987" w:rsidRPr="002C25E1">
        <w:rPr>
          <w:rFonts w:ascii="Calibri" w:hAnsi="Calibri"/>
          <w:lang w:val="cs-CZ"/>
        </w:rPr>
        <w:t>neboť</w:t>
      </w:r>
      <w:r w:rsidR="003B0987">
        <w:rPr>
          <w:rFonts w:ascii="Calibri" w:hAnsi="Calibri"/>
          <w:lang w:val="cs-CZ"/>
        </w:rPr>
        <w:t xml:space="preserve"> počet </w:t>
      </w:r>
      <w:r w:rsidR="003B0987">
        <w:rPr>
          <w:rFonts w:ascii="Calibri" w:hAnsi="Calibri"/>
          <w:lang w:val="cs-CZ"/>
        </w:rPr>
        <w:lastRenderedPageBreak/>
        <w:t>odebraných vzorků se v </w:t>
      </w:r>
      <w:r w:rsidR="003B0987" w:rsidRPr="002C25E1">
        <w:rPr>
          <w:rFonts w:ascii="Calibri" w:hAnsi="Calibri"/>
          <w:lang w:val="cs-CZ"/>
        </w:rPr>
        <w:t>letech 2020 a 2021 pohyboval na průměrných hodnotách.</w:t>
      </w:r>
      <w:r w:rsidRPr="002C25E1">
        <w:rPr>
          <w:rFonts w:ascii="Calibri" w:hAnsi="Calibri"/>
          <w:lang w:val="cs-CZ"/>
        </w:rPr>
        <w:t xml:space="preserve"> Poměr odebraných vzorků pro Magistraliter přípravu a léčivých přípravků připravovaných v</w:t>
      </w:r>
      <w:r w:rsidR="003B0987">
        <w:rPr>
          <w:rFonts w:ascii="Calibri" w:hAnsi="Calibri"/>
          <w:lang w:val="cs-CZ"/>
        </w:rPr>
        <w:t> </w:t>
      </w:r>
      <w:r w:rsidRPr="002C25E1">
        <w:rPr>
          <w:rFonts w:ascii="Calibri" w:hAnsi="Calibri"/>
          <w:lang w:val="cs-CZ"/>
        </w:rPr>
        <w:t>lékárně, se v průběhu let měnil, nebylo pravidlem</w:t>
      </w:r>
      <w:r>
        <w:rPr>
          <w:rFonts w:ascii="Calibri" w:hAnsi="Calibri"/>
          <w:lang w:val="cs-CZ"/>
        </w:rPr>
        <w:t>, ž</w:t>
      </w:r>
      <w:r w:rsidR="00727486">
        <w:rPr>
          <w:rFonts w:ascii="Calibri" w:hAnsi="Calibri"/>
          <w:lang w:val="cs-CZ"/>
        </w:rPr>
        <w:t>e </w:t>
      </w:r>
      <w:r w:rsidR="003B0987">
        <w:rPr>
          <w:rFonts w:ascii="Calibri" w:hAnsi="Calibri"/>
          <w:lang w:val="cs-CZ"/>
        </w:rPr>
        <w:t>by</w:t>
      </w:r>
      <w:r w:rsidR="00727486">
        <w:rPr>
          <w:rFonts w:ascii="Calibri" w:hAnsi="Calibri"/>
          <w:lang w:val="cs-CZ"/>
        </w:rPr>
        <w:t> </w:t>
      </w:r>
      <w:r w:rsidR="003B0987">
        <w:rPr>
          <w:rFonts w:ascii="Calibri" w:hAnsi="Calibri"/>
          <w:lang w:val="cs-CZ"/>
        </w:rPr>
        <w:t>byla</w:t>
      </w:r>
      <w:r>
        <w:rPr>
          <w:rFonts w:ascii="Calibri" w:hAnsi="Calibri"/>
          <w:lang w:val="cs-CZ"/>
        </w:rPr>
        <w:t> </w:t>
      </w:r>
      <w:r w:rsidRPr="002C25E1">
        <w:rPr>
          <w:rFonts w:ascii="Calibri" w:hAnsi="Calibri"/>
          <w:lang w:val="cs-CZ"/>
        </w:rPr>
        <w:t>kontrolov</w:t>
      </w:r>
      <w:r w:rsidR="003B0987">
        <w:rPr>
          <w:rFonts w:ascii="Calibri" w:hAnsi="Calibri"/>
          <w:lang w:val="cs-CZ"/>
        </w:rPr>
        <w:t>ána</w:t>
      </w:r>
      <w:r w:rsidRPr="002C25E1">
        <w:rPr>
          <w:rFonts w:ascii="Calibri" w:hAnsi="Calibri"/>
          <w:lang w:val="cs-CZ"/>
        </w:rPr>
        <w:t xml:space="preserve"> přesná</w:t>
      </w:r>
      <w:r w:rsidR="003B0987">
        <w:rPr>
          <w:rFonts w:ascii="Calibri" w:hAnsi="Calibri"/>
          <w:lang w:val="cs-CZ"/>
        </w:rPr>
        <w:t xml:space="preserve"> či přibližná </w:t>
      </w:r>
      <w:r w:rsidRPr="002C25E1">
        <w:rPr>
          <w:rFonts w:ascii="Calibri" w:hAnsi="Calibri"/>
          <w:lang w:val="cs-CZ"/>
        </w:rPr>
        <w:t>polovina. Dle počtu odebraných vzorků je</w:t>
      </w:r>
      <w:r w:rsidR="00727486">
        <w:rPr>
          <w:rFonts w:ascii="Calibri" w:hAnsi="Calibri"/>
          <w:lang w:val="cs-CZ"/>
        </w:rPr>
        <w:t> </w:t>
      </w:r>
      <w:r w:rsidRPr="002C25E1">
        <w:rPr>
          <w:rFonts w:ascii="Calibri" w:hAnsi="Calibri"/>
          <w:lang w:val="cs-CZ"/>
        </w:rPr>
        <w:t xml:space="preserve">patrné, že ne při každé kontrole lékárny je odebrán zároveň též kontrolní vzorek. </w:t>
      </w:r>
    </w:p>
    <w:p w:rsidR="00294E20" w:rsidRPr="002C25E1" w:rsidRDefault="00294E20" w:rsidP="00294E20">
      <w:pPr>
        <w:pStyle w:val="Standard"/>
        <w:spacing w:line="360" w:lineRule="auto"/>
        <w:ind w:firstLine="708"/>
        <w:jc w:val="both"/>
        <w:rPr>
          <w:rFonts w:ascii="Calibri" w:hAnsi="Calibri"/>
          <w:lang w:val="cs-CZ"/>
        </w:rPr>
      </w:pPr>
      <w:r w:rsidRPr="002C25E1">
        <w:rPr>
          <w:rFonts w:ascii="Calibri" w:hAnsi="Calibri"/>
          <w:lang w:val="cs-CZ"/>
        </w:rPr>
        <w:t xml:space="preserve">Viz </w:t>
      </w:r>
      <w:r w:rsidR="008247AF">
        <w:rPr>
          <w:rFonts w:ascii="Calibri" w:hAnsi="Calibri"/>
          <w:lang w:val="cs-CZ"/>
        </w:rPr>
        <w:t>obrázek</w:t>
      </w:r>
      <w:r w:rsidR="008247AF" w:rsidRPr="002C25E1">
        <w:rPr>
          <w:rFonts w:ascii="Calibri" w:hAnsi="Calibri"/>
          <w:lang w:val="cs-CZ"/>
        </w:rPr>
        <w:t xml:space="preserve"> </w:t>
      </w:r>
      <w:r w:rsidRPr="002C25E1">
        <w:rPr>
          <w:rFonts w:ascii="Calibri" w:hAnsi="Calibri"/>
          <w:lang w:val="cs-CZ"/>
        </w:rPr>
        <w:t>č</w:t>
      </w:r>
      <w:r w:rsidR="00A53763">
        <w:rPr>
          <w:rFonts w:ascii="Calibri" w:hAnsi="Calibri"/>
          <w:lang w:val="cs-CZ"/>
        </w:rPr>
        <w:t>.</w:t>
      </w:r>
      <w:r w:rsidRPr="002C25E1">
        <w:rPr>
          <w:rFonts w:ascii="Calibri" w:hAnsi="Calibri"/>
          <w:lang w:val="cs-CZ"/>
        </w:rPr>
        <w:t xml:space="preserve"> 12 – Počet odebraných vzorků, kde je vidět vývoj počtu odebraných vzorků v lékárnách v průběhu let 2012 až 2022.</w:t>
      </w:r>
    </w:p>
    <w:p w:rsidR="00294E20" w:rsidRDefault="00294E2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44685BEE" wp14:editId="729B8F07">
            <wp:extent cx="5152446" cy="3514090"/>
            <wp:effectExtent l="0" t="0" r="10160" b="1016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2102" w:rsidRPr="00872CEC" w:rsidRDefault="002F2102"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00294E20" w:rsidRPr="00872CEC">
        <w:rPr>
          <w:iCs/>
          <w:sz w:val="20"/>
          <w:szCs w:val="20"/>
        </w:rPr>
        <w:t xml:space="preserve"> 12 – Počet odebraných vzorků</w:t>
      </w:r>
    </w:p>
    <w:p w:rsidR="00294E20" w:rsidRPr="00872CEC" w:rsidRDefault="002F2102"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Default="00294E20" w:rsidP="00294E20">
      <w:pPr>
        <w:pStyle w:val="Standard"/>
        <w:spacing w:line="360" w:lineRule="auto"/>
        <w:ind w:firstLine="567"/>
        <w:jc w:val="both"/>
        <w:rPr>
          <w:rFonts w:ascii="Calibri" w:hAnsi="Calibri"/>
          <w:lang w:val="cs-CZ"/>
        </w:rPr>
      </w:pPr>
      <w:r w:rsidRPr="002C25E1">
        <w:rPr>
          <w:rFonts w:ascii="Calibri" w:hAnsi="Calibri"/>
          <w:lang w:val="cs-CZ"/>
        </w:rPr>
        <w:t>Data o zjištěných závadách u odebraných vzorků nejsou členěna dle typu zjištěné závady, ale pouze je uveden počet závad za daný rok.</w:t>
      </w:r>
    </w:p>
    <w:p w:rsidR="00294E20" w:rsidRDefault="00294E20" w:rsidP="00294E20">
      <w:pPr>
        <w:pStyle w:val="Standard"/>
        <w:spacing w:line="360" w:lineRule="auto"/>
        <w:ind w:firstLine="567"/>
        <w:jc w:val="both"/>
        <w:rPr>
          <w:rFonts w:ascii="Calibri" w:hAnsi="Calibri"/>
          <w:lang w:val="cs-CZ"/>
        </w:rPr>
      </w:pPr>
      <w:r w:rsidRPr="002C25E1">
        <w:rPr>
          <w:rFonts w:ascii="Calibri" w:hAnsi="Calibri"/>
          <w:lang w:val="cs-CZ"/>
        </w:rPr>
        <w:t>Počet zjištěných závad nebyl přímo úměrný počtu kontrolovaných vzorků</w:t>
      </w:r>
      <w:r w:rsidR="00E36952">
        <w:rPr>
          <w:rFonts w:ascii="Calibri" w:hAnsi="Calibri"/>
          <w:lang w:val="cs-CZ"/>
        </w:rPr>
        <w:t>, což je správně</w:t>
      </w:r>
      <w:r w:rsidRPr="002C25E1">
        <w:rPr>
          <w:rFonts w:ascii="Calibri" w:hAnsi="Calibri"/>
          <w:lang w:val="cs-CZ"/>
        </w:rPr>
        <w:t>. V roce 2016 byl největší poměr zjištěných z</w:t>
      </w:r>
      <w:r w:rsidR="003E5647">
        <w:rPr>
          <w:rFonts w:ascii="Calibri" w:hAnsi="Calibri"/>
          <w:lang w:val="cs-CZ"/>
        </w:rPr>
        <w:t>ávad z odebraných vzorků, kdy z </w:t>
      </w:r>
      <w:r w:rsidRPr="002C25E1">
        <w:rPr>
          <w:rFonts w:ascii="Calibri" w:hAnsi="Calibri"/>
          <w:lang w:val="cs-CZ"/>
        </w:rPr>
        <w:t>92 vzorků bylo u 27 zjiště</w:t>
      </w:r>
      <w:r>
        <w:rPr>
          <w:rFonts w:ascii="Calibri" w:hAnsi="Calibri"/>
          <w:lang w:val="cs-CZ"/>
        </w:rPr>
        <w:t>na závada, což odpovídá tomu, že </w:t>
      </w:r>
      <w:r w:rsidRPr="002C25E1">
        <w:rPr>
          <w:rFonts w:ascii="Calibri" w:hAnsi="Calibri"/>
          <w:lang w:val="cs-CZ"/>
        </w:rPr>
        <w:t>prakticky u každého 3</w:t>
      </w:r>
      <w:r w:rsidR="003E5647">
        <w:rPr>
          <w:rFonts w:ascii="Calibri" w:hAnsi="Calibri"/>
          <w:lang w:val="cs-CZ"/>
        </w:rPr>
        <w:t> </w:t>
      </w:r>
      <w:r w:rsidRPr="002C25E1">
        <w:rPr>
          <w:rFonts w:ascii="Calibri" w:hAnsi="Calibri"/>
          <w:lang w:val="cs-CZ"/>
        </w:rPr>
        <w:t>v</w:t>
      </w:r>
      <w:r>
        <w:rPr>
          <w:rFonts w:ascii="Calibri" w:hAnsi="Calibri"/>
          <w:lang w:val="cs-CZ"/>
        </w:rPr>
        <w:t>zorku</w:t>
      </w:r>
      <w:r w:rsidRPr="002C25E1">
        <w:rPr>
          <w:rFonts w:ascii="Calibri" w:hAnsi="Calibri"/>
          <w:lang w:val="cs-CZ"/>
        </w:rPr>
        <w:t xml:space="preserve"> byla zjištěna závada. </w:t>
      </w:r>
      <w:r>
        <w:rPr>
          <w:rFonts w:ascii="Calibri" w:hAnsi="Calibri"/>
          <w:lang w:val="cs-CZ"/>
        </w:rPr>
        <w:t>V závěsu byly roky 2013, 2015 a </w:t>
      </w:r>
      <w:r w:rsidRPr="002C25E1">
        <w:rPr>
          <w:rFonts w:ascii="Calibri" w:hAnsi="Calibri"/>
          <w:lang w:val="cs-CZ"/>
        </w:rPr>
        <w:t>2017, kdy prakticky u</w:t>
      </w:r>
      <w:r w:rsidR="003E5647">
        <w:rPr>
          <w:rFonts w:ascii="Calibri" w:hAnsi="Calibri"/>
          <w:lang w:val="cs-CZ"/>
        </w:rPr>
        <w:t> </w:t>
      </w:r>
      <w:r w:rsidRPr="002C25E1">
        <w:rPr>
          <w:rFonts w:ascii="Calibri" w:hAnsi="Calibri"/>
          <w:lang w:val="cs-CZ"/>
        </w:rPr>
        <w:t>každého 6</w:t>
      </w:r>
      <w:r w:rsidR="00E36952">
        <w:rPr>
          <w:rFonts w:ascii="Calibri" w:hAnsi="Calibri"/>
          <w:lang w:val="cs-CZ"/>
        </w:rPr>
        <w:t> </w:t>
      </w:r>
      <w:r w:rsidRPr="002C25E1">
        <w:rPr>
          <w:rFonts w:ascii="Calibri" w:hAnsi="Calibri"/>
          <w:lang w:val="cs-CZ"/>
        </w:rPr>
        <w:t xml:space="preserve">vzorku byla zjištěna závada. Naopak v roce 2022 bylo odebráno 149 vzorků a závada byla zjištěna pouze u </w:t>
      </w:r>
      <w:r>
        <w:rPr>
          <w:rFonts w:ascii="Calibri" w:hAnsi="Calibri"/>
          <w:lang w:val="cs-CZ"/>
        </w:rPr>
        <w:t>5 z nich, což odpovídá tomu, že </w:t>
      </w:r>
      <w:r w:rsidRPr="002C25E1">
        <w:rPr>
          <w:rFonts w:ascii="Calibri" w:hAnsi="Calibri"/>
          <w:lang w:val="cs-CZ"/>
        </w:rPr>
        <w:t>téměř každý 30 byl se</w:t>
      </w:r>
      <w:r w:rsidR="003E5647">
        <w:rPr>
          <w:rFonts w:ascii="Calibri" w:hAnsi="Calibri"/>
          <w:lang w:val="cs-CZ"/>
        </w:rPr>
        <w:t> </w:t>
      </w:r>
      <w:r w:rsidRPr="002C25E1">
        <w:rPr>
          <w:rFonts w:ascii="Calibri" w:hAnsi="Calibri"/>
          <w:lang w:val="cs-CZ"/>
        </w:rPr>
        <w:t>závadou.</w:t>
      </w:r>
    </w:p>
    <w:p w:rsidR="00294E20" w:rsidRPr="002C25E1" w:rsidRDefault="00294E20" w:rsidP="00294E20">
      <w:pPr>
        <w:pStyle w:val="Standard"/>
        <w:spacing w:line="360" w:lineRule="auto"/>
        <w:ind w:firstLine="567"/>
        <w:jc w:val="both"/>
        <w:rPr>
          <w:rFonts w:ascii="Calibri" w:hAnsi="Calibri"/>
          <w:lang w:val="cs-CZ"/>
        </w:rPr>
      </w:pPr>
      <w:r w:rsidRPr="002C25E1">
        <w:rPr>
          <w:rFonts w:ascii="Calibri" w:hAnsi="Calibri"/>
          <w:lang w:val="cs-CZ"/>
        </w:rPr>
        <w:lastRenderedPageBreak/>
        <w:t xml:space="preserve">Viz </w:t>
      </w:r>
      <w:r w:rsidR="008247AF">
        <w:rPr>
          <w:rFonts w:ascii="Calibri" w:hAnsi="Calibri"/>
          <w:lang w:val="cs-CZ"/>
        </w:rPr>
        <w:t>obrázek</w:t>
      </w:r>
      <w:r w:rsidR="008247AF" w:rsidRPr="002C25E1">
        <w:rPr>
          <w:rFonts w:ascii="Calibri" w:hAnsi="Calibri"/>
          <w:lang w:val="cs-CZ"/>
        </w:rPr>
        <w:t xml:space="preserve"> </w:t>
      </w:r>
      <w:r w:rsidRPr="002C25E1">
        <w:rPr>
          <w:rFonts w:ascii="Calibri" w:hAnsi="Calibri"/>
          <w:lang w:val="cs-CZ"/>
        </w:rPr>
        <w:t>č</w:t>
      </w:r>
      <w:r w:rsidR="00A53763">
        <w:rPr>
          <w:rFonts w:ascii="Calibri" w:hAnsi="Calibri"/>
          <w:lang w:val="cs-CZ"/>
        </w:rPr>
        <w:t>.</w:t>
      </w:r>
      <w:r w:rsidRPr="002C25E1">
        <w:rPr>
          <w:rFonts w:ascii="Calibri" w:hAnsi="Calibri"/>
          <w:lang w:val="cs-CZ"/>
        </w:rPr>
        <w:t xml:space="preserve"> 13 – Počet zjištěných závad, kde je vidět počet jednotlivých typů zjištěných závad v lékárnách v souvislosti se za</w:t>
      </w:r>
      <w:r>
        <w:rPr>
          <w:rFonts w:ascii="Calibri" w:hAnsi="Calibri"/>
          <w:lang w:val="cs-CZ"/>
        </w:rPr>
        <w:t>cházením s návykovými látkami z </w:t>
      </w:r>
      <w:r w:rsidRPr="002C25E1">
        <w:rPr>
          <w:rFonts w:ascii="Calibri" w:hAnsi="Calibri"/>
          <w:lang w:val="cs-CZ"/>
        </w:rPr>
        <w:t>provedených kontrol v průběhu let 2012 až 2022.</w:t>
      </w:r>
    </w:p>
    <w:p w:rsidR="00294E20" w:rsidRDefault="00294E20" w:rsidP="00294E20">
      <w:pPr>
        <w:spacing w:after="0" w:line="360" w:lineRule="auto"/>
        <w:jc w:val="both"/>
        <w:rPr>
          <w:rFonts w:asciiTheme="minorHAnsi" w:hAnsiTheme="minorHAnsi" w:cstheme="minorHAnsi"/>
          <w:color w:val="auto"/>
          <w:sz w:val="24"/>
        </w:rPr>
      </w:pPr>
      <w:r>
        <w:rPr>
          <w:noProof/>
          <w:lang w:eastAsia="cs-CZ"/>
        </w:rPr>
        <w:drawing>
          <wp:inline distT="0" distB="0" distL="0" distR="0" wp14:anchorId="54CAEA04" wp14:editId="078079A4">
            <wp:extent cx="5175885" cy="3466769"/>
            <wp:effectExtent l="0" t="0" r="5715" b="6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47AF" w:rsidRPr="00872CEC" w:rsidRDefault="008247AF" w:rsidP="00294E20">
      <w:pPr>
        <w:tabs>
          <w:tab w:val="left" w:pos="5885"/>
        </w:tabs>
        <w:spacing w:after="0" w:line="360" w:lineRule="auto"/>
        <w:ind w:firstLine="567"/>
        <w:jc w:val="both"/>
        <w:rPr>
          <w:iCs/>
          <w:sz w:val="20"/>
          <w:szCs w:val="20"/>
        </w:rPr>
      </w:pPr>
      <w:r w:rsidRPr="00872CEC">
        <w:rPr>
          <w:iCs/>
          <w:sz w:val="20"/>
          <w:szCs w:val="20"/>
        </w:rPr>
        <w:t>Obrázek</w:t>
      </w:r>
      <w:r w:rsidR="00294E20" w:rsidRPr="00872CEC">
        <w:rPr>
          <w:iCs/>
          <w:sz w:val="20"/>
          <w:szCs w:val="20"/>
        </w:rPr>
        <w:t xml:space="preserve"> č</w:t>
      </w:r>
      <w:r w:rsidR="00A53763">
        <w:rPr>
          <w:iCs/>
          <w:sz w:val="20"/>
          <w:szCs w:val="20"/>
        </w:rPr>
        <w:t>.</w:t>
      </w:r>
      <w:r w:rsidRPr="00872CEC">
        <w:rPr>
          <w:iCs/>
          <w:sz w:val="20"/>
          <w:szCs w:val="20"/>
        </w:rPr>
        <w:t xml:space="preserve"> 13 – Počet zjištěných závad</w:t>
      </w:r>
    </w:p>
    <w:p w:rsidR="00294E20" w:rsidRPr="00872CEC" w:rsidRDefault="008247AF" w:rsidP="00294E20">
      <w:pPr>
        <w:tabs>
          <w:tab w:val="left" w:pos="5885"/>
        </w:tabs>
        <w:spacing w:after="0" w:line="360" w:lineRule="auto"/>
        <w:ind w:firstLine="567"/>
        <w:jc w:val="both"/>
        <w:rPr>
          <w:iCs/>
          <w:sz w:val="20"/>
          <w:szCs w:val="20"/>
        </w:rPr>
      </w:pPr>
      <w:r w:rsidRPr="00872CEC">
        <w:rPr>
          <w:iCs/>
          <w:sz w:val="20"/>
          <w:szCs w:val="20"/>
        </w:rPr>
        <w:t>Z</w:t>
      </w:r>
      <w:r w:rsidR="00294E20" w:rsidRPr="00872CEC">
        <w:rPr>
          <w:iCs/>
          <w:sz w:val="20"/>
          <w:szCs w:val="20"/>
        </w:rPr>
        <w:t>droj: SÚKL</w:t>
      </w:r>
    </w:p>
    <w:p w:rsidR="00294E20" w:rsidRDefault="00294E20" w:rsidP="00294E20">
      <w:pPr>
        <w:spacing w:after="0" w:line="360" w:lineRule="auto"/>
        <w:ind w:firstLine="567"/>
        <w:jc w:val="both"/>
        <w:rPr>
          <w:rFonts w:asciiTheme="minorHAnsi" w:hAnsiTheme="minorHAnsi" w:cstheme="minorHAnsi"/>
          <w:color w:val="auto"/>
          <w:sz w:val="24"/>
        </w:rPr>
      </w:pPr>
    </w:p>
    <w:p w:rsidR="00294E20" w:rsidRPr="002872A6" w:rsidRDefault="00294E20" w:rsidP="00294E20">
      <w:pPr>
        <w:spacing w:after="0" w:line="360" w:lineRule="auto"/>
        <w:ind w:firstLine="567"/>
        <w:jc w:val="both"/>
        <w:rPr>
          <w:rFonts w:asciiTheme="minorHAnsi" w:hAnsiTheme="minorHAnsi" w:cstheme="minorHAnsi"/>
          <w:color w:val="auto"/>
          <w:sz w:val="24"/>
        </w:rPr>
      </w:pPr>
      <w:r w:rsidRPr="002872A6">
        <w:rPr>
          <w:rFonts w:asciiTheme="minorHAnsi" w:hAnsiTheme="minorHAnsi" w:cstheme="minorHAnsi"/>
          <w:color w:val="auto"/>
        </w:rPr>
        <w:br w:type="page"/>
      </w:r>
    </w:p>
    <w:p w:rsidR="00294E20" w:rsidRDefault="00294E20" w:rsidP="00294E20">
      <w:pPr>
        <w:pStyle w:val="Nadpis1"/>
        <w:rPr>
          <w:rFonts w:asciiTheme="minorHAnsi" w:hAnsiTheme="minorHAnsi" w:cstheme="minorHAnsi"/>
          <w:b/>
          <w:color w:val="auto"/>
        </w:rPr>
      </w:pPr>
      <w:bookmarkStart w:id="139" w:name="_Toc164078849"/>
      <w:bookmarkStart w:id="140" w:name="_Toc163647388"/>
      <w:bookmarkStart w:id="141" w:name="_Toc163759384"/>
      <w:bookmarkStart w:id="142" w:name="_Toc165990662"/>
      <w:bookmarkEnd w:id="139"/>
      <w:bookmarkEnd w:id="140"/>
      <w:bookmarkEnd w:id="141"/>
      <w:r w:rsidRPr="00AA2E53">
        <w:rPr>
          <w:rFonts w:asciiTheme="minorHAnsi" w:hAnsiTheme="minorHAnsi" w:cstheme="minorHAnsi"/>
          <w:b/>
          <w:color w:val="auto"/>
        </w:rPr>
        <w:lastRenderedPageBreak/>
        <w:t>Diskuse</w:t>
      </w:r>
      <w:bookmarkEnd w:id="142"/>
    </w:p>
    <w:p w:rsidR="00294E20" w:rsidRPr="00805AAF" w:rsidRDefault="00294E20" w:rsidP="00294E20">
      <w:pPr>
        <w:pStyle w:val="Bezmezer"/>
        <w:spacing w:line="360" w:lineRule="auto"/>
        <w:jc w:val="both"/>
        <w:rPr>
          <w:sz w:val="24"/>
          <w:szCs w:val="24"/>
        </w:rPr>
      </w:pPr>
    </w:p>
    <w:p w:rsidR="00294E20" w:rsidRDefault="00294E20" w:rsidP="00294E20">
      <w:pPr>
        <w:pStyle w:val="Standard"/>
        <w:spacing w:line="360" w:lineRule="auto"/>
        <w:ind w:firstLine="432"/>
        <w:jc w:val="both"/>
        <w:rPr>
          <w:rFonts w:ascii="Calibri" w:hAnsi="Calibri" w:cs="Calibri"/>
          <w:color w:val="00000A"/>
          <w:lang w:val="cs-CZ"/>
        </w:rPr>
      </w:pPr>
      <w:r w:rsidRPr="00CD68F5">
        <w:rPr>
          <w:rFonts w:ascii="Calibri" w:hAnsi="Calibri"/>
          <w:lang w:val="cs-CZ"/>
        </w:rPr>
        <w:t>Tato absolventská práce se zabývá tématem, kterým je ú</w:t>
      </w:r>
      <w:r w:rsidRPr="00CD68F5">
        <w:rPr>
          <w:rFonts w:ascii="Calibri" w:hAnsi="Calibri" w:cs="Calibri"/>
          <w:color w:val="00000A"/>
          <w:lang w:val="cs-CZ"/>
        </w:rPr>
        <w:t xml:space="preserve">loha a činnost </w:t>
      </w:r>
      <w:r>
        <w:rPr>
          <w:rFonts w:ascii="Calibri" w:hAnsi="Calibri" w:cs="Calibri"/>
          <w:color w:val="00000A"/>
          <w:lang w:val="cs-CZ"/>
        </w:rPr>
        <w:t>SÚKL</w:t>
      </w:r>
      <w:r w:rsidRPr="00CD68F5">
        <w:rPr>
          <w:rFonts w:ascii="Calibri" w:hAnsi="Calibri" w:cs="Calibri"/>
          <w:color w:val="00000A"/>
          <w:lang w:val="cs-CZ"/>
        </w:rPr>
        <w:t xml:space="preserve"> se</w:t>
      </w:r>
      <w:r w:rsidR="003E5647">
        <w:rPr>
          <w:rFonts w:ascii="Calibri" w:hAnsi="Calibri" w:cs="Calibri"/>
          <w:color w:val="00000A"/>
          <w:lang w:val="cs-CZ"/>
        </w:rPr>
        <w:t> </w:t>
      </w:r>
      <w:r w:rsidRPr="00CD68F5">
        <w:rPr>
          <w:rFonts w:ascii="Calibri" w:hAnsi="Calibri" w:cs="Calibri"/>
          <w:color w:val="00000A"/>
          <w:lang w:val="cs-CZ"/>
        </w:rPr>
        <w:t>zaměřením na kontr</w:t>
      </w:r>
      <w:r>
        <w:rPr>
          <w:rFonts w:ascii="Calibri" w:hAnsi="Calibri" w:cs="Calibri"/>
          <w:color w:val="00000A"/>
          <w:lang w:val="cs-CZ"/>
        </w:rPr>
        <w:t>olu lékáren a vyhodnocení dat o </w:t>
      </w:r>
      <w:r w:rsidRPr="00CD68F5">
        <w:rPr>
          <w:rFonts w:ascii="Calibri" w:hAnsi="Calibri" w:cs="Calibri"/>
          <w:color w:val="00000A"/>
          <w:lang w:val="cs-CZ"/>
        </w:rPr>
        <w:t>provedených kontrolách v letech 2012 až 2022.</w:t>
      </w:r>
    </w:p>
    <w:p w:rsidR="00294E20" w:rsidRDefault="00294E20" w:rsidP="00294E20">
      <w:pPr>
        <w:pStyle w:val="Standard"/>
        <w:tabs>
          <w:tab w:val="left" w:pos="5610"/>
        </w:tabs>
        <w:spacing w:line="360" w:lineRule="auto"/>
        <w:ind w:firstLine="432"/>
        <w:jc w:val="both"/>
        <w:rPr>
          <w:rFonts w:ascii="Calibri" w:hAnsi="Calibri" w:cs="Calibri"/>
          <w:color w:val="00000A"/>
          <w:lang w:val="cs-CZ"/>
        </w:rPr>
      </w:pPr>
      <w:r w:rsidRPr="00CD68F5">
        <w:rPr>
          <w:rFonts w:ascii="Calibri" w:hAnsi="Calibri" w:cs="Calibri"/>
          <w:color w:val="00000A"/>
          <w:lang w:val="cs-CZ"/>
        </w:rPr>
        <w:t>V teoretické části jsou na začátku vysvětleny pojmy, které je důležité znát v tomto odvětví, a které nejsou veřejnosti běžně známy</w:t>
      </w:r>
      <w:r w:rsidR="00E92AD1">
        <w:rPr>
          <w:rFonts w:ascii="Calibri" w:hAnsi="Calibri" w:cs="Calibri"/>
          <w:color w:val="00000A"/>
          <w:lang w:val="cs-CZ"/>
        </w:rPr>
        <w:t>,</w:t>
      </w:r>
      <w:r w:rsidRPr="00CD68F5">
        <w:rPr>
          <w:rFonts w:ascii="Calibri" w:hAnsi="Calibri" w:cs="Calibri"/>
          <w:color w:val="00000A"/>
          <w:lang w:val="cs-CZ"/>
        </w:rPr>
        <w:t xml:space="preserve"> případně nejsou úplně správně chápany či vykládány. Jedná se o pojmy léčivý přípravek, látka, doplněk stravy, zdravotnický prostředek, kosmetický přípravek, potraviny pro zvláštní lékař</w:t>
      </w:r>
      <w:r>
        <w:rPr>
          <w:rFonts w:ascii="Calibri" w:hAnsi="Calibri" w:cs="Calibri"/>
          <w:color w:val="00000A"/>
          <w:lang w:val="cs-CZ"/>
        </w:rPr>
        <w:t>s</w:t>
      </w:r>
      <w:r w:rsidRPr="00CD68F5">
        <w:rPr>
          <w:rFonts w:ascii="Calibri" w:hAnsi="Calibri" w:cs="Calibri"/>
          <w:color w:val="00000A"/>
          <w:lang w:val="cs-CZ"/>
        </w:rPr>
        <w:t xml:space="preserve">ké účely, orphan léky, lékárna, </w:t>
      </w:r>
      <w:r>
        <w:rPr>
          <w:rFonts w:asciiTheme="minorHAnsi" w:hAnsiTheme="minorHAnsi" w:cstheme="minorHAnsi"/>
          <w:color w:val="auto"/>
        </w:rPr>
        <w:t>OOVL</w:t>
      </w:r>
      <w:r w:rsidR="00E92AD1">
        <w:rPr>
          <w:rFonts w:asciiTheme="minorHAnsi" w:hAnsiTheme="minorHAnsi" w:cstheme="minorHAnsi"/>
          <w:color w:val="auto"/>
        </w:rPr>
        <w:t>, Magistraliter, a návyková látka</w:t>
      </w:r>
      <w:r w:rsidRPr="00CD68F5">
        <w:rPr>
          <w:rFonts w:ascii="Calibri" w:hAnsi="Calibri" w:cs="Calibri"/>
          <w:color w:val="00000A"/>
          <w:lang w:val="cs-CZ"/>
        </w:rPr>
        <w:t>.</w:t>
      </w:r>
    </w:p>
    <w:p w:rsidR="00727486" w:rsidRDefault="00294E20" w:rsidP="00294E20">
      <w:pPr>
        <w:pStyle w:val="Standard"/>
        <w:tabs>
          <w:tab w:val="left" w:pos="5610"/>
        </w:tabs>
        <w:spacing w:line="360" w:lineRule="auto"/>
        <w:ind w:firstLine="432"/>
        <w:jc w:val="both"/>
        <w:rPr>
          <w:rFonts w:ascii="Calibri" w:hAnsi="Calibri" w:cs="Calibri"/>
          <w:color w:val="00000A"/>
          <w:lang w:val="cs-CZ"/>
        </w:rPr>
      </w:pPr>
      <w:r w:rsidRPr="00CD68F5">
        <w:rPr>
          <w:rFonts w:ascii="Calibri" w:hAnsi="Calibri" w:cs="Calibri"/>
          <w:color w:val="00000A"/>
          <w:lang w:val="cs-CZ"/>
        </w:rPr>
        <w:t>V jednotlivých kapitolách teoretické části došlo k pře</w:t>
      </w:r>
      <w:r w:rsidR="00727486">
        <w:rPr>
          <w:rFonts w:ascii="Calibri" w:hAnsi="Calibri" w:cs="Calibri"/>
          <w:color w:val="00000A"/>
          <w:lang w:val="cs-CZ"/>
        </w:rPr>
        <w:t>d</w:t>
      </w:r>
      <w:r w:rsidRPr="00CD68F5">
        <w:rPr>
          <w:rFonts w:ascii="Calibri" w:hAnsi="Calibri" w:cs="Calibri"/>
          <w:color w:val="00000A"/>
          <w:lang w:val="cs-CZ"/>
        </w:rPr>
        <w:t>stavení SÚKL co do jeho působnosti, vzniku a organizace, a dále především došlo k představení činností v rámci jednotlivých sekcí</w:t>
      </w:r>
      <w:r w:rsidR="00E92AD1">
        <w:rPr>
          <w:rFonts w:ascii="Calibri" w:hAnsi="Calibri" w:cs="Calibri"/>
          <w:color w:val="00000A"/>
          <w:lang w:val="cs-CZ"/>
        </w:rPr>
        <w:t>. Těmito sekcemi,</w:t>
      </w:r>
      <w:r w:rsidRPr="00CD68F5">
        <w:rPr>
          <w:rFonts w:ascii="Calibri" w:hAnsi="Calibri" w:cs="Calibri"/>
          <w:color w:val="00000A"/>
          <w:lang w:val="cs-CZ"/>
        </w:rPr>
        <w:t xml:space="preserve"> ke dni zpracování práce</w:t>
      </w:r>
      <w:r w:rsidR="00E92AD1">
        <w:rPr>
          <w:rFonts w:ascii="Calibri" w:hAnsi="Calibri" w:cs="Calibri"/>
          <w:color w:val="00000A"/>
          <w:lang w:val="cs-CZ"/>
        </w:rPr>
        <w:t>,</w:t>
      </w:r>
      <w:r w:rsidRPr="00CD68F5">
        <w:rPr>
          <w:rFonts w:ascii="Calibri" w:hAnsi="Calibri" w:cs="Calibri"/>
          <w:color w:val="00000A"/>
          <w:lang w:val="cs-CZ"/>
        </w:rPr>
        <w:t xml:space="preserve"> jsou sekce registrací, sekce dozoru, sekce cenové a úhradové regulace, sekce regulace zdravotnických prostředků, sekce podpory ředitele a managementu. Složení těchto sekcí a tím i jejich zaměření, se</w:t>
      </w:r>
      <w:r>
        <w:rPr>
          <w:rFonts w:ascii="Calibri" w:hAnsi="Calibri" w:cs="Calibri"/>
          <w:color w:val="00000A"/>
          <w:lang w:val="cs-CZ"/>
        </w:rPr>
        <w:t> </w:t>
      </w:r>
      <w:r w:rsidRPr="00CD68F5">
        <w:rPr>
          <w:rFonts w:ascii="Calibri" w:hAnsi="Calibri" w:cs="Calibri"/>
          <w:color w:val="00000A"/>
          <w:lang w:val="cs-CZ"/>
        </w:rPr>
        <w:t>v</w:t>
      </w:r>
      <w:r>
        <w:rPr>
          <w:rFonts w:ascii="Calibri" w:hAnsi="Calibri" w:cs="Calibri"/>
          <w:color w:val="00000A"/>
          <w:lang w:val="cs-CZ"/>
        </w:rPr>
        <w:t> </w:t>
      </w:r>
      <w:r w:rsidRPr="00CD68F5">
        <w:rPr>
          <w:rFonts w:ascii="Calibri" w:hAnsi="Calibri" w:cs="Calibri"/>
          <w:color w:val="00000A"/>
          <w:lang w:val="cs-CZ"/>
        </w:rPr>
        <w:t>průběhu vývoje SÚKL měnilo. Docházelo k reorganizaci a též k postupnému rozšiřování kompetencí a oblastí působnosti SÚKL.</w:t>
      </w:r>
    </w:p>
    <w:p w:rsidR="00294E20" w:rsidRDefault="00294E20" w:rsidP="00294E20">
      <w:pPr>
        <w:pStyle w:val="Standard"/>
        <w:tabs>
          <w:tab w:val="left" w:pos="5610"/>
        </w:tabs>
        <w:spacing w:line="360" w:lineRule="auto"/>
        <w:ind w:firstLine="432"/>
        <w:jc w:val="both"/>
        <w:rPr>
          <w:rFonts w:ascii="Calibri" w:hAnsi="Calibri" w:cs="Calibri"/>
          <w:color w:val="00000A"/>
          <w:lang w:val="cs-CZ"/>
        </w:rPr>
      </w:pPr>
      <w:r w:rsidRPr="00CD68F5">
        <w:rPr>
          <w:rFonts w:ascii="Calibri" w:hAnsi="Calibri" w:cs="Calibri"/>
          <w:color w:val="00000A"/>
          <w:lang w:val="cs-CZ"/>
        </w:rPr>
        <w:t>Jsou zde začleněny i kapitoly, které se věnují kontrolám lékáren a to včetně uvedení základních právních norem, které stanovu</w:t>
      </w:r>
      <w:r>
        <w:rPr>
          <w:rFonts w:ascii="Calibri" w:hAnsi="Calibri" w:cs="Calibri"/>
          <w:color w:val="00000A"/>
          <w:lang w:val="cs-CZ"/>
        </w:rPr>
        <w:t>jí</w:t>
      </w:r>
      <w:r w:rsidRPr="00CD68F5">
        <w:rPr>
          <w:rFonts w:ascii="Calibri" w:hAnsi="Calibri" w:cs="Calibri"/>
          <w:color w:val="00000A"/>
          <w:lang w:val="cs-CZ"/>
        </w:rPr>
        <w:t xml:space="preserve"> práva a povinnosti nejen pro inspektory SÚKL, ale též pro lékárny a jejich pracovníky. Neboť bez stanovených povinností není důvod zřizovat a vést kontrolní orgán, a naopak je bezpředmětné zřizovat a vést kontrolní orgán, pokud mu nebudou přiznána oprávnění a </w:t>
      </w:r>
      <w:r w:rsidR="00E92AD1">
        <w:rPr>
          <w:rFonts w:ascii="Calibri" w:hAnsi="Calibri" w:cs="Calibri"/>
          <w:color w:val="00000A"/>
          <w:lang w:val="cs-CZ"/>
        </w:rPr>
        <w:t xml:space="preserve">stanoveny </w:t>
      </w:r>
      <w:r w:rsidRPr="00CD68F5">
        <w:rPr>
          <w:rFonts w:ascii="Calibri" w:hAnsi="Calibri" w:cs="Calibri"/>
          <w:color w:val="00000A"/>
          <w:lang w:val="cs-CZ"/>
        </w:rPr>
        <w:t>mechani</w:t>
      </w:r>
      <w:r w:rsidR="00727486">
        <w:rPr>
          <w:rFonts w:ascii="Calibri" w:hAnsi="Calibri" w:cs="Calibri"/>
          <w:color w:val="00000A"/>
          <w:lang w:val="cs-CZ"/>
        </w:rPr>
        <w:t>s</w:t>
      </w:r>
      <w:r w:rsidRPr="00CD68F5">
        <w:rPr>
          <w:rFonts w:ascii="Calibri" w:hAnsi="Calibri" w:cs="Calibri"/>
          <w:color w:val="00000A"/>
          <w:lang w:val="cs-CZ"/>
        </w:rPr>
        <w:t>my kontroly.</w:t>
      </w:r>
    </w:p>
    <w:p w:rsidR="00294E20" w:rsidRDefault="00294E20" w:rsidP="00294E20">
      <w:pPr>
        <w:pStyle w:val="Standard"/>
        <w:tabs>
          <w:tab w:val="left" w:pos="5610"/>
        </w:tabs>
        <w:spacing w:line="360" w:lineRule="auto"/>
        <w:ind w:firstLine="432"/>
        <w:jc w:val="both"/>
        <w:rPr>
          <w:rFonts w:ascii="Calibri" w:hAnsi="Calibri" w:cs="Calibri"/>
          <w:color w:val="00000A"/>
          <w:lang w:val="cs-CZ"/>
        </w:rPr>
      </w:pPr>
      <w:r w:rsidRPr="00CD68F5">
        <w:rPr>
          <w:rFonts w:ascii="Calibri" w:hAnsi="Calibri" w:cs="Calibri"/>
          <w:color w:val="00000A"/>
          <w:lang w:val="cs-CZ"/>
        </w:rPr>
        <w:t>Praktická část práce je členěna především do kapitol, které se zaměřují na jednotlivé roky sledovaného období tedy roky 2012 až 2022. V těchto kapitolách je poukázáno na</w:t>
      </w:r>
      <w:r>
        <w:rPr>
          <w:rFonts w:ascii="Calibri" w:hAnsi="Calibri" w:cs="Calibri"/>
          <w:color w:val="00000A"/>
          <w:lang w:val="cs-CZ"/>
        </w:rPr>
        <w:t> </w:t>
      </w:r>
      <w:r w:rsidRPr="00CD68F5">
        <w:rPr>
          <w:rFonts w:ascii="Calibri" w:hAnsi="Calibri" w:cs="Calibri"/>
          <w:color w:val="00000A"/>
          <w:lang w:val="cs-CZ"/>
        </w:rPr>
        <w:t>počty evidovaných lékáren a OOVL. Dále počty a výsledky provedených kontrol v</w:t>
      </w:r>
      <w:r>
        <w:rPr>
          <w:rFonts w:ascii="Calibri" w:hAnsi="Calibri" w:cs="Calibri"/>
          <w:color w:val="00000A"/>
          <w:lang w:val="cs-CZ"/>
        </w:rPr>
        <w:t> </w:t>
      </w:r>
      <w:r w:rsidRPr="00CD68F5">
        <w:rPr>
          <w:rFonts w:ascii="Calibri" w:hAnsi="Calibri" w:cs="Calibri"/>
          <w:color w:val="00000A"/>
          <w:lang w:val="cs-CZ"/>
        </w:rPr>
        <w:t>lékárnách, a učiněná opatření na zjištěná porušení stanovených povinností. Pro představu je poukázáno na nejčastější zjištěná porušení a příklady uložených pokut.</w:t>
      </w:r>
    </w:p>
    <w:p w:rsidR="00294E20" w:rsidRDefault="00294E20" w:rsidP="00294E20">
      <w:pPr>
        <w:pStyle w:val="Standard"/>
        <w:tabs>
          <w:tab w:val="left" w:pos="5610"/>
        </w:tabs>
        <w:spacing w:line="360" w:lineRule="auto"/>
        <w:ind w:firstLine="432"/>
        <w:jc w:val="both"/>
        <w:rPr>
          <w:rFonts w:ascii="Calibri" w:hAnsi="Calibri"/>
          <w:lang w:val="cs-CZ"/>
        </w:rPr>
      </w:pPr>
      <w:r w:rsidRPr="00CD68F5">
        <w:rPr>
          <w:rFonts w:ascii="Calibri" w:hAnsi="Calibri"/>
          <w:lang w:val="cs-CZ"/>
        </w:rPr>
        <w:t>Ke zpracování práce byl</w:t>
      </w:r>
      <w:r w:rsidR="00EA2179">
        <w:rPr>
          <w:rFonts w:ascii="Calibri" w:hAnsi="Calibri"/>
          <w:lang w:val="cs-CZ"/>
        </w:rPr>
        <w:t>y</w:t>
      </w:r>
      <w:r w:rsidRPr="00CD68F5">
        <w:rPr>
          <w:rFonts w:ascii="Calibri" w:hAnsi="Calibri"/>
          <w:lang w:val="cs-CZ"/>
        </w:rPr>
        <w:t xml:space="preserve"> primárně užity informace poskytované přímo SÚKL cestou jejich webových stránek </w:t>
      </w:r>
      <w:hyperlink r:id="rId20" w:history="1">
        <w:r w:rsidRPr="00CD68F5">
          <w:rPr>
            <w:rFonts w:ascii="Calibri" w:hAnsi="Calibri"/>
            <w:lang w:val="cs-CZ"/>
          </w:rPr>
          <w:t>www.sukl.cz</w:t>
        </w:r>
      </w:hyperlink>
      <w:r w:rsidRPr="00CD68F5">
        <w:rPr>
          <w:rFonts w:ascii="Calibri" w:hAnsi="Calibri"/>
          <w:lang w:val="cs-CZ"/>
        </w:rPr>
        <w:t>, na kterých dle stanoven</w:t>
      </w:r>
      <w:r w:rsidR="00EA2179">
        <w:rPr>
          <w:rFonts w:ascii="Calibri" w:hAnsi="Calibri"/>
          <w:lang w:val="cs-CZ"/>
        </w:rPr>
        <w:t>é</w:t>
      </w:r>
      <w:r w:rsidRPr="00CD68F5">
        <w:rPr>
          <w:rFonts w:ascii="Calibri" w:hAnsi="Calibri"/>
          <w:lang w:val="cs-CZ"/>
        </w:rPr>
        <w:t xml:space="preserve"> povinnost</w:t>
      </w:r>
      <w:r w:rsidR="00EA2179">
        <w:rPr>
          <w:rFonts w:ascii="Calibri" w:hAnsi="Calibri"/>
          <w:lang w:val="cs-CZ"/>
        </w:rPr>
        <w:t>i</w:t>
      </w:r>
      <w:r w:rsidRPr="00CD68F5">
        <w:rPr>
          <w:rFonts w:ascii="Calibri" w:hAnsi="Calibri"/>
          <w:lang w:val="cs-CZ"/>
        </w:rPr>
        <w:t xml:space="preserve"> zveřejňují patřičné dokumenty o své činnosti. Základním pramenem byly dokumenty vydané přímo SÚKL a jednalo se o </w:t>
      </w:r>
      <w:r w:rsidRPr="00CD68F5">
        <w:rPr>
          <w:rFonts w:ascii="Calibri" w:hAnsi="Calibri"/>
          <w:color w:val="00000A"/>
          <w:lang w:val="cs-CZ"/>
        </w:rPr>
        <w:t xml:space="preserve">Příběhy léků: příručka pro zvídavé čtenáře o vzniku, vlastnostech </w:t>
      </w:r>
      <w:r w:rsidRPr="00CD68F5">
        <w:rPr>
          <w:rFonts w:ascii="Calibri" w:hAnsi="Calibri"/>
          <w:color w:val="00000A"/>
          <w:lang w:val="cs-CZ"/>
        </w:rPr>
        <w:lastRenderedPageBreak/>
        <w:t>a</w:t>
      </w:r>
      <w:r w:rsidR="00A95382">
        <w:rPr>
          <w:rFonts w:ascii="Calibri" w:hAnsi="Calibri"/>
          <w:color w:val="00000A"/>
          <w:lang w:val="cs-CZ"/>
        </w:rPr>
        <w:t> </w:t>
      </w:r>
      <w:r w:rsidRPr="00CD68F5">
        <w:rPr>
          <w:rFonts w:ascii="Calibri" w:hAnsi="Calibri"/>
          <w:color w:val="00000A"/>
          <w:lang w:val="cs-CZ"/>
        </w:rPr>
        <w:t>používání léků</w:t>
      </w:r>
      <w:r w:rsidR="00A95382">
        <w:rPr>
          <w:rFonts w:ascii="Calibri" w:hAnsi="Calibri"/>
          <w:color w:val="00000A"/>
          <w:lang w:val="cs-CZ"/>
        </w:rPr>
        <w:t xml:space="preserve"> </w:t>
      </w:r>
      <w:r w:rsidR="00A95382" w:rsidRPr="00813159">
        <w:rPr>
          <w:rFonts w:asciiTheme="minorHAnsi" w:hAnsiTheme="minorHAnsi" w:cstheme="minorHAnsi"/>
          <w:color w:val="auto"/>
        </w:rPr>
        <w:t>[11]</w:t>
      </w:r>
      <w:r w:rsidRPr="00CD68F5">
        <w:rPr>
          <w:rFonts w:ascii="Calibri" w:hAnsi="Calibri"/>
          <w:color w:val="00000A"/>
          <w:lang w:val="cs-CZ"/>
        </w:rPr>
        <w:t xml:space="preserve">, dále o </w:t>
      </w:r>
      <w:r w:rsidRPr="00CD68F5">
        <w:rPr>
          <w:rFonts w:ascii="Calibri" w:hAnsi="Calibri"/>
          <w:lang w:val="cs-CZ"/>
        </w:rPr>
        <w:t>publikaci 95 let poznatků Ohlédnutí za historií Ústavu</w:t>
      </w:r>
      <w:r w:rsidR="00A95382">
        <w:rPr>
          <w:rFonts w:ascii="Calibri" w:hAnsi="Calibri"/>
          <w:lang w:val="cs-CZ"/>
        </w:rPr>
        <w:t xml:space="preserve"> </w:t>
      </w:r>
      <w:r w:rsidR="00A95382">
        <w:rPr>
          <w:rFonts w:asciiTheme="minorHAnsi" w:hAnsiTheme="minorHAnsi" w:cstheme="minorHAnsi"/>
          <w:color w:val="auto"/>
        </w:rPr>
        <w:t>[2</w:t>
      </w:r>
      <w:r w:rsidR="00A95382" w:rsidRPr="00813159">
        <w:rPr>
          <w:rFonts w:asciiTheme="minorHAnsi" w:hAnsiTheme="minorHAnsi" w:cstheme="minorHAnsi"/>
          <w:color w:val="auto"/>
        </w:rPr>
        <w:t>]</w:t>
      </w:r>
      <w:r w:rsidRPr="00CD68F5">
        <w:rPr>
          <w:rFonts w:ascii="Calibri" w:hAnsi="Calibri"/>
          <w:lang w:val="cs-CZ"/>
        </w:rPr>
        <w:t>, o</w:t>
      </w:r>
      <w:r w:rsidR="00A95382">
        <w:rPr>
          <w:rFonts w:ascii="Calibri" w:hAnsi="Calibri"/>
          <w:lang w:val="cs-CZ"/>
        </w:rPr>
        <w:t> </w:t>
      </w:r>
      <w:r w:rsidRPr="00CD68F5">
        <w:rPr>
          <w:rFonts w:ascii="Calibri" w:hAnsi="Calibri"/>
          <w:lang w:val="cs-CZ"/>
        </w:rPr>
        <w:t>publikaci 100 let dohlížíme na bezpečnost, účinnost a kvalitu léčiv</w:t>
      </w:r>
      <w:r w:rsidR="00A95382">
        <w:rPr>
          <w:rFonts w:ascii="Calibri" w:hAnsi="Calibri"/>
          <w:lang w:val="cs-CZ"/>
        </w:rPr>
        <w:t xml:space="preserve"> </w:t>
      </w:r>
      <w:r w:rsidR="00A95382" w:rsidRPr="00813159">
        <w:rPr>
          <w:rFonts w:asciiTheme="minorHAnsi" w:hAnsiTheme="minorHAnsi" w:cstheme="minorHAnsi"/>
          <w:color w:val="auto"/>
        </w:rPr>
        <w:t>[1]</w:t>
      </w:r>
      <w:r w:rsidR="00A95382">
        <w:rPr>
          <w:rFonts w:ascii="Calibri" w:hAnsi="Calibri"/>
          <w:lang w:val="cs-CZ"/>
        </w:rPr>
        <w:t>, výroční zprávy o </w:t>
      </w:r>
      <w:r w:rsidRPr="00CD68F5">
        <w:rPr>
          <w:rFonts w:ascii="Calibri" w:hAnsi="Calibri"/>
          <w:lang w:val="cs-CZ"/>
        </w:rPr>
        <w:t>činnosti SÚKL z let 2012 až 2022</w:t>
      </w:r>
      <w:r w:rsidR="00A95382">
        <w:rPr>
          <w:rFonts w:ascii="Calibri" w:hAnsi="Calibri"/>
          <w:lang w:val="cs-CZ"/>
        </w:rPr>
        <w:t xml:space="preserve"> </w:t>
      </w:r>
      <w:r w:rsidR="00A95382">
        <w:rPr>
          <w:rFonts w:asciiTheme="minorHAnsi" w:hAnsiTheme="minorHAnsi" w:cstheme="minorHAnsi"/>
          <w:color w:val="auto"/>
        </w:rPr>
        <w:t>[15-25</w:t>
      </w:r>
      <w:r w:rsidR="00A95382" w:rsidRPr="00813159">
        <w:rPr>
          <w:rFonts w:asciiTheme="minorHAnsi" w:hAnsiTheme="minorHAnsi" w:cstheme="minorHAnsi"/>
          <w:color w:val="auto"/>
        </w:rPr>
        <w:t>]</w:t>
      </w:r>
      <w:r w:rsidRPr="00CD68F5">
        <w:rPr>
          <w:rFonts w:ascii="Calibri" w:hAnsi="Calibri"/>
          <w:lang w:val="cs-CZ"/>
        </w:rPr>
        <w:t xml:space="preserve">, a dále se jednalo o </w:t>
      </w:r>
      <w:r w:rsidRPr="007979DD">
        <w:rPr>
          <w:rFonts w:ascii="Calibri" w:hAnsi="Calibri"/>
          <w:bCs/>
          <w:lang w:val="cs-CZ"/>
        </w:rPr>
        <w:t>právní předpisy</w:t>
      </w:r>
      <w:r w:rsidRPr="00CD68F5">
        <w:rPr>
          <w:rFonts w:ascii="Calibri" w:hAnsi="Calibri"/>
          <w:lang w:val="cs-CZ"/>
        </w:rPr>
        <w:t>, kdy byl</w:t>
      </w:r>
      <w:r w:rsidR="00727486">
        <w:rPr>
          <w:rFonts w:ascii="Calibri" w:hAnsi="Calibri"/>
          <w:lang w:val="cs-CZ"/>
        </w:rPr>
        <w:t>y</w:t>
      </w:r>
      <w:r w:rsidRPr="00CD68F5">
        <w:rPr>
          <w:rFonts w:ascii="Calibri" w:hAnsi="Calibri"/>
          <w:lang w:val="cs-CZ"/>
        </w:rPr>
        <w:t xml:space="preserve"> vzpomenuty nejen zákony a vyhlášky v rámci České republiky, ale též nařízení v rámci Evropské unie. K dostupnosti materiálů ke zpravování pr</w:t>
      </w:r>
      <w:r>
        <w:rPr>
          <w:rFonts w:ascii="Calibri" w:hAnsi="Calibri"/>
          <w:lang w:val="cs-CZ"/>
        </w:rPr>
        <w:t>áce lze uvést, že SÚKL má </w:t>
      </w:r>
      <w:r w:rsidRPr="00CD68F5">
        <w:rPr>
          <w:rFonts w:ascii="Calibri" w:hAnsi="Calibri"/>
          <w:lang w:val="cs-CZ"/>
        </w:rPr>
        <w:t>uživatelsky velice příjemně zpracované webové stránky, a především se zde nachází mnoho dostupných materiálů nebo přímo</w:t>
      </w:r>
      <w:r>
        <w:rPr>
          <w:rFonts w:ascii="Calibri" w:hAnsi="Calibri"/>
          <w:lang w:val="cs-CZ"/>
        </w:rPr>
        <w:t xml:space="preserve"> vypsaný</w:t>
      </w:r>
      <w:r w:rsidR="00727486">
        <w:rPr>
          <w:rFonts w:ascii="Calibri" w:hAnsi="Calibri"/>
          <w:lang w:val="cs-CZ"/>
        </w:rPr>
        <w:t>ch</w:t>
      </w:r>
      <w:r>
        <w:rPr>
          <w:rFonts w:ascii="Calibri" w:hAnsi="Calibri"/>
          <w:lang w:val="cs-CZ"/>
        </w:rPr>
        <w:t xml:space="preserve"> informací</w:t>
      </w:r>
      <w:r w:rsidR="00727486">
        <w:rPr>
          <w:rFonts w:ascii="Calibri" w:hAnsi="Calibri"/>
          <w:lang w:val="cs-CZ"/>
        </w:rPr>
        <w:t>,</w:t>
      </w:r>
      <w:r>
        <w:rPr>
          <w:rFonts w:ascii="Calibri" w:hAnsi="Calibri"/>
          <w:lang w:val="cs-CZ"/>
        </w:rPr>
        <w:t xml:space="preserve"> a to nejen o </w:t>
      </w:r>
      <w:r w:rsidRPr="00CD68F5">
        <w:rPr>
          <w:rFonts w:ascii="Calibri" w:hAnsi="Calibri"/>
          <w:lang w:val="cs-CZ"/>
        </w:rPr>
        <w:t>samotném SÚKL, ale především k problematice léčiv obecně. Co se týče právních předpisů, tak tyto jsou volně dostupné široké veřejno</w:t>
      </w:r>
      <w:r>
        <w:rPr>
          <w:rFonts w:ascii="Calibri" w:hAnsi="Calibri"/>
          <w:lang w:val="cs-CZ"/>
        </w:rPr>
        <w:t>sti</w:t>
      </w:r>
      <w:r w:rsidRPr="00CD68F5">
        <w:rPr>
          <w:rFonts w:ascii="Calibri" w:hAnsi="Calibri"/>
          <w:lang w:val="cs-CZ"/>
        </w:rPr>
        <w:t xml:space="preserve"> v elektronické podobě na několika různých</w:t>
      </w:r>
      <w:r>
        <w:rPr>
          <w:rFonts w:ascii="Calibri" w:hAnsi="Calibri"/>
          <w:lang w:val="cs-CZ"/>
        </w:rPr>
        <w:t xml:space="preserve"> </w:t>
      </w:r>
      <w:r w:rsidRPr="00CD68F5">
        <w:rPr>
          <w:rFonts w:ascii="Calibri" w:hAnsi="Calibri"/>
          <w:lang w:val="cs-CZ"/>
        </w:rPr>
        <w:t>webových stránkách, přičemž konkrétně pro tuto pr</w:t>
      </w:r>
      <w:r>
        <w:rPr>
          <w:rFonts w:ascii="Calibri" w:hAnsi="Calibri"/>
          <w:lang w:val="cs-CZ"/>
        </w:rPr>
        <w:t>áci byly předpisy vyhledávány v </w:t>
      </w:r>
      <w:r w:rsidRPr="00CD68F5">
        <w:rPr>
          <w:rFonts w:ascii="Calibri" w:hAnsi="Calibri"/>
          <w:lang w:val="cs-CZ"/>
        </w:rPr>
        <w:t>oficiálním zdroji ASPI – Automatizova</w:t>
      </w:r>
      <w:r>
        <w:rPr>
          <w:rFonts w:ascii="Calibri" w:hAnsi="Calibri"/>
          <w:lang w:val="cs-CZ"/>
        </w:rPr>
        <w:t>ný systém právních předpisů, ve </w:t>
      </w:r>
      <w:r w:rsidRPr="00CD68F5">
        <w:rPr>
          <w:rFonts w:ascii="Calibri" w:hAnsi="Calibri"/>
          <w:lang w:val="cs-CZ"/>
        </w:rPr>
        <w:t>kterém jsou obsaženy všechny právní předpisy vy</w:t>
      </w:r>
      <w:r>
        <w:rPr>
          <w:rFonts w:ascii="Calibri" w:hAnsi="Calibri"/>
          <w:lang w:val="cs-CZ"/>
        </w:rPr>
        <w:t>dané na území České republiky a </w:t>
      </w:r>
      <w:r w:rsidRPr="00CD68F5">
        <w:rPr>
          <w:rFonts w:ascii="Calibri" w:hAnsi="Calibri"/>
          <w:lang w:val="cs-CZ"/>
        </w:rPr>
        <w:t>to</w:t>
      </w:r>
      <w:r>
        <w:rPr>
          <w:rFonts w:ascii="Calibri" w:hAnsi="Calibri"/>
          <w:lang w:val="cs-CZ"/>
        </w:rPr>
        <w:t> </w:t>
      </w:r>
      <w:r w:rsidRPr="00CD68F5">
        <w:rPr>
          <w:rFonts w:ascii="Calibri" w:hAnsi="Calibri"/>
          <w:lang w:val="cs-CZ"/>
        </w:rPr>
        <w:t>nejen ta platná, ale i již neplatné předpisy s odkazy na novelizace.</w:t>
      </w:r>
    </w:p>
    <w:p w:rsidR="00294E20" w:rsidRDefault="00294E20" w:rsidP="00294E20">
      <w:pPr>
        <w:pStyle w:val="Standard"/>
        <w:tabs>
          <w:tab w:val="left" w:pos="5610"/>
        </w:tabs>
        <w:spacing w:line="360" w:lineRule="auto"/>
        <w:ind w:firstLine="432"/>
        <w:jc w:val="both"/>
        <w:rPr>
          <w:rFonts w:ascii="Calibri" w:hAnsi="Calibri"/>
          <w:lang w:val="cs-CZ"/>
        </w:rPr>
      </w:pPr>
      <w:r w:rsidRPr="00CD68F5">
        <w:rPr>
          <w:rFonts w:ascii="Calibri" w:hAnsi="Calibri"/>
          <w:lang w:val="cs-CZ"/>
        </w:rPr>
        <w:t>Domnívám se, že ze zajištěných dat o činnosti inspektorů SÚKL, je patrné, že své činnosti vykonávají svědomitě a aktivně, a skutečně existence SÚKL jakožto kontrolního a správního orgánu, má své opodstatn</w:t>
      </w:r>
      <w:r w:rsidR="00727486">
        <w:rPr>
          <w:rFonts w:ascii="Calibri" w:hAnsi="Calibri"/>
          <w:lang w:val="cs-CZ"/>
        </w:rPr>
        <w:t>ěn</w:t>
      </w:r>
      <w:r w:rsidRPr="00CD68F5">
        <w:rPr>
          <w:rFonts w:ascii="Calibri" w:hAnsi="Calibri"/>
          <w:lang w:val="cs-CZ"/>
        </w:rPr>
        <w:t>í. Jsem toho názoru, že ideálního stavu, tedy stavu kdy u kontrolovaných subjektů nebudou zjištěna žádná porušení, nelze v současné společnosti dosáhnout. V tomto ohledu se jedná o utopii. Ale jsem toho názoru, že</w:t>
      </w:r>
      <w:r>
        <w:rPr>
          <w:rFonts w:ascii="Calibri" w:hAnsi="Calibri"/>
          <w:lang w:val="cs-CZ"/>
        </w:rPr>
        <w:t> </w:t>
      </w:r>
      <w:r w:rsidRPr="00CD68F5">
        <w:rPr>
          <w:rFonts w:ascii="Calibri" w:hAnsi="Calibri"/>
          <w:lang w:val="cs-CZ"/>
        </w:rPr>
        <w:t>všichni, kdo v rámci své činnosti vstupují nebo se podílejí na cestě léčiva od jeho vzniku po jeho užití cílovým pacientem, by měli mít na pa</w:t>
      </w:r>
      <w:r w:rsidR="00727486">
        <w:rPr>
          <w:rFonts w:ascii="Calibri" w:hAnsi="Calibri"/>
          <w:lang w:val="cs-CZ"/>
        </w:rPr>
        <w:t>měti</w:t>
      </w:r>
      <w:r>
        <w:rPr>
          <w:rFonts w:ascii="Calibri" w:hAnsi="Calibri"/>
          <w:lang w:val="cs-CZ"/>
        </w:rPr>
        <w:t xml:space="preserve"> a řídit se cílem, který je </w:t>
      </w:r>
      <w:r w:rsidRPr="00CD68F5">
        <w:rPr>
          <w:rFonts w:ascii="Calibri" w:hAnsi="Calibri"/>
          <w:lang w:val="cs-CZ"/>
        </w:rPr>
        <w:t>zmíně</w:t>
      </w:r>
      <w:r>
        <w:rPr>
          <w:rFonts w:ascii="Calibri" w:hAnsi="Calibri"/>
          <w:lang w:val="cs-CZ"/>
        </w:rPr>
        <w:t>n</w:t>
      </w:r>
      <w:r w:rsidRPr="00CD68F5">
        <w:rPr>
          <w:rFonts w:ascii="Calibri" w:hAnsi="Calibri"/>
          <w:lang w:val="cs-CZ"/>
        </w:rPr>
        <w:t xml:space="preserve"> v úvodu této práce. Tedy, aby byla v České republice zajištěna dostupná bezpečná léčiva, v dostatečném množství, v potřebné kvalitě</w:t>
      </w:r>
      <w:r w:rsidR="00A95382">
        <w:rPr>
          <w:rFonts w:ascii="Calibri" w:hAnsi="Calibri"/>
          <w:lang w:val="cs-CZ"/>
        </w:rPr>
        <w:t>,</w:t>
      </w:r>
      <w:r w:rsidRPr="00CD68F5">
        <w:rPr>
          <w:rFonts w:ascii="Calibri" w:hAnsi="Calibri"/>
          <w:lang w:val="cs-CZ"/>
        </w:rPr>
        <w:t xml:space="preserve"> a aby se k pacientovi dostala ta správná léčiva se správnými instrukcemi k použití.</w:t>
      </w:r>
    </w:p>
    <w:p w:rsidR="00294E20" w:rsidRDefault="00294E20" w:rsidP="00294E20">
      <w:pPr>
        <w:pStyle w:val="Standard"/>
        <w:tabs>
          <w:tab w:val="left" w:pos="5610"/>
        </w:tabs>
        <w:spacing w:line="360" w:lineRule="auto"/>
        <w:ind w:firstLine="432"/>
        <w:jc w:val="both"/>
        <w:rPr>
          <w:rFonts w:ascii="Calibri" w:hAnsi="Calibri"/>
          <w:lang w:val="cs-CZ"/>
        </w:rPr>
      </w:pPr>
      <w:r w:rsidRPr="00CD68F5">
        <w:rPr>
          <w:rFonts w:ascii="Calibri" w:hAnsi="Calibri"/>
          <w:lang w:val="cs-CZ"/>
        </w:rPr>
        <w:t>Je překvapivé, že ačkoliv dotčené subjekty vědí, že jejich činnost je kontrolována inspektory SÚKL, a za zjištěná porušení ponesou patřičnou odpovědnost a ponesou následky, tak v některých oblastech se můžeme setkat s vysokým poměrem mezi počtem provedených kontrol a počtem zjištěných porušení. Jako příklad lze uvést kontroly</w:t>
      </w:r>
      <w:r>
        <w:rPr>
          <w:rFonts w:ascii="Calibri" w:hAnsi="Calibri"/>
          <w:lang w:val="cs-CZ"/>
        </w:rPr>
        <w:t xml:space="preserve"> v </w:t>
      </w:r>
      <w:r w:rsidRPr="00CD68F5">
        <w:rPr>
          <w:rFonts w:ascii="Calibri" w:hAnsi="Calibri"/>
          <w:lang w:val="cs-CZ"/>
        </w:rPr>
        <w:t>lékárnách v souvislosti s nakládáním s návykovými lá</w:t>
      </w:r>
      <w:r>
        <w:rPr>
          <w:rFonts w:ascii="Calibri" w:hAnsi="Calibri"/>
          <w:lang w:val="cs-CZ"/>
        </w:rPr>
        <w:t>tkami v roce 2016, kdy z dat je </w:t>
      </w:r>
      <w:r w:rsidRPr="00CD68F5">
        <w:rPr>
          <w:rFonts w:ascii="Calibri" w:hAnsi="Calibri"/>
          <w:lang w:val="cs-CZ"/>
        </w:rPr>
        <w:t>jasně patrné, že téměř u každé 10 kontrolované lékárny, bylo zjištěno závažné nebo kritické porušení.</w:t>
      </w:r>
    </w:p>
    <w:p w:rsidR="00294E20" w:rsidRPr="00F80871" w:rsidRDefault="00A34B49" w:rsidP="00F80871">
      <w:pPr>
        <w:pStyle w:val="Standard"/>
        <w:tabs>
          <w:tab w:val="left" w:pos="5610"/>
        </w:tabs>
        <w:spacing w:line="360" w:lineRule="auto"/>
        <w:ind w:firstLine="432"/>
        <w:jc w:val="both"/>
        <w:rPr>
          <w:rFonts w:ascii="Calibri" w:hAnsi="Calibri"/>
          <w:bCs/>
          <w:lang w:val="cs-CZ"/>
        </w:rPr>
      </w:pPr>
      <w:r>
        <w:rPr>
          <w:rFonts w:ascii="Calibri" w:hAnsi="Calibri"/>
          <w:bCs/>
          <w:lang w:val="cs-CZ"/>
        </w:rPr>
        <w:t xml:space="preserve">Pokud opravdu chceme udržet a kráčet k cíli, který byl v této práci již několikrát zmíněn, tak je nezbytné si sáhnout do svědomí a zeptat se, opravdu vykonávám svou </w:t>
      </w:r>
      <w:r>
        <w:rPr>
          <w:rFonts w:ascii="Calibri" w:hAnsi="Calibri"/>
          <w:bCs/>
          <w:lang w:val="cs-CZ"/>
        </w:rPr>
        <w:lastRenderedPageBreak/>
        <w:t>práci dle svého nejlepšího vědomí a svědomí</w:t>
      </w:r>
      <w:r w:rsidR="00E4598E">
        <w:rPr>
          <w:rFonts w:ascii="Calibri" w:hAnsi="Calibri"/>
          <w:bCs/>
          <w:lang w:val="cs-CZ"/>
        </w:rPr>
        <w:t>?</w:t>
      </w:r>
      <w:r>
        <w:rPr>
          <w:rFonts w:ascii="Calibri" w:hAnsi="Calibri"/>
          <w:bCs/>
          <w:lang w:val="cs-CZ"/>
        </w:rPr>
        <w:t xml:space="preserve"> Dodržuji předepsané pokyny, dodržuji zákonné povinnosti</w:t>
      </w:r>
      <w:r w:rsidR="00E4598E">
        <w:rPr>
          <w:rFonts w:ascii="Calibri" w:hAnsi="Calibri"/>
          <w:bCs/>
          <w:lang w:val="cs-CZ"/>
        </w:rPr>
        <w:t>?</w:t>
      </w:r>
      <w:r>
        <w:rPr>
          <w:rFonts w:ascii="Calibri" w:hAnsi="Calibri"/>
          <w:bCs/>
          <w:lang w:val="cs-CZ"/>
        </w:rPr>
        <w:t xml:space="preserve"> Je pravdou, že u mnoha zaměstnání</w:t>
      </w:r>
      <w:r w:rsidR="00E4598E">
        <w:rPr>
          <w:rFonts w:ascii="Calibri" w:hAnsi="Calibri"/>
          <w:bCs/>
          <w:lang w:val="cs-CZ"/>
        </w:rPr>
        <w:t>,</w:t>
      </w:r>
      <w:r>
        <w:rPr>
          <w:rFonts w:ascii="Calibri" w:hAnsi="Calibri"/>
          <w:bCs/>
          <w:lang w:val="cs-CZ"/>
        </w:rPr>
        <w:t xml:space="preserve"> v případě, že dojde k porušení stanovených povin</w:t>
      </w:r>
      <w:r w:rsidR="00E4598E">
        <w:rPr>
          <w:rFonts w:ascii="Calibri" w:hAnsi="Calibri"/>
          <w:bCs/>
          <w:lang w:val="cs-CZ"/>
        </w:rPr>
        <w:t>ností, může vzniknout ohrožení zdraví občanů, a to ať již v přímé souvislosti nebo nepřímo. Kolik cestujících by využilo služeb linky autobusu, jehož řidič by nedodržoval předpisy bezpečnosti a plynulosti silničního provozu? Kolik zákazníků by se vrátilo do restaurace, kde byla porušována základní hygienická pravi</w:t>
      </w:r>
      <w:r w:rsidR="008024E4">
        <w:rPr>
          <w:rFonts w:ascii="Calibri" w:hAnsi="Calibri"/>
          <w:bCs/>
          <w:lang w:val="cs-CZ"/>
        </w:rPr>
        <w:t>d</w:t>
      </w:r>
      <w:r w:rsidR="00E4598E">
        <w:rPr>
          <w:rFonts w:ascii="Calibri" w:hAnsi="Calibri"/>
          <w:bCs/>
          <w:lang w:val="cs-CZ"/>
        </w:rPr>
        <w:t xml:space="preserve">la? Kolik lidí by si koupilo dům, při jehož stavbě nebyly dodržovány technologické normy? V případě lékáren a OOVL hovoříme o činnostech, které </w:t>
      </w:r>
      <w:r w:rsidR="008024E4">
        <w:rPr>
          <w:rFonts w:ascii="Calibri" w:hAnsi="Calibri"/>
          <w:bCs/>
          <w:lang w:val="cs-CZ"/>
        </w:rPr>
        <w:t xml:space="preserve">se </w:t>
      </w:r>
      <w:r w:rsidR="00E4598E">
        <w:rPr>
          <w:rFonts w:ascii="Calibri" w:hAnsi="Calibri"/>
          <w:bCs/>
          <w:lang w:val="cs-CZ"/>
        </w:rPr>
        <w:t>přímo dotýkají a mají vliv na lidské zdraví. Ve svém současném povolání se musím řídit mnohými právními předpisy</w:t>
      </w:r>
      <w:r w:rsidR="00D905FD">
        <w:rPr>
          <w:rFonts w:ascii="Calibri" w:hAnsi="Calibri"/>
          <w:bCs/>
          <w:lang w:val="cs-CZ"/>
        </w:rPr>
        <w:t xml:space="preserve"> a</w:t>
      </w:r>
      <w:r w:rsidR="008024E4">
        <w:rPr>
          <w:rFonts w:ascii="Calibri" w:hAnsi="Calibri"/>
          <w:bCs/>
          <w:lang w:val="cs-CZ"/>
        </w:rPr>
        <w:t> </w:t>
      </w:r>
      <w:r w:rsidR="00D905FD">
        <w:rPr>
          <w:rFonts w:ascii="Calibri" w:hAnsi="Calibri"/>
          <w:bCs/>
          <w:lang w:val="cs-CZ"/>
        </w:rPr>
        <w:t>interními akty řízení, a také dohlížím nad dodržováním některých právních předpisů</w:t>
      </w:r>
      <w:r w:rsidR="00E4598E">
        <w:rPr>
          <w:rFonts w:ascii="Calibri" w:hAnsi="Calibri"/>
          <w:bCs/>
          <w:lang w:val="cs-CZ"/>
        </w:rPr>
        <w:t>, a</w:t>
      </w:r>
      <w:r w:rsidR="008024E4">
        <w:rPr>
          <w:rFonts w:ascii="Calibri" w:hAnsi="Calibri"/>
          <w:bCs/>
          <w:lang w:val="cs-CZ"/>
        </w:rPr>
        <w:t> </w:t>
      </w:r>
      <w:r w:rsidR="00E4598E">
        <w:rPr>
          <w:rFonts w:ascii="Calibri" w:hAnsi="Calibri"/>
          <w:bCs/>
          <w:lang w:val="cs-CZ"/>
        </w:rPr>
        <w:t xml:space="preserve">tedy chápu, že mnohdy je obtížné se v nich již jen orientovat, pochopit je a následně je plně </w:t>
      </w:r>
      <w:r w:rsidR="00D905FD">
        <w:rPr>
          <w:rFonts w:ascii="Calibri" w:hAnsi="Calibri"/>
          <w:bCs/>
          <w:lang w:val="cs-CZ"/>
        </w:rPr>
        <w:t xml:space="preserve">aplikovat a </w:t>
      </w:r>
      <w:r w:rsidR="00E4598E">
        <w:rPr>
          <w:rFonts w:ascii="Calibri" w:hAnsi="Calibri"/>
          <w:bCs/>
          <w:lang w:val="cs-CZ"/>
        </w:rPr>
        <w:t>dodržovat.</w:t>
      </w:r>
      <w:r w:rsidR="00D905FD">
        <w:rPr>
          <w:rFonts w:ascii="Calibri" w:hAnsi="Calibri"/>
          <w:bCs/>
          <w:lang w:val="cs-CZ"/>
        </w:rPr>
        <w:t xml:space="preserve"> Vzhledem ke skutečnosti, že obecně platí pravidlo, že</w:t>
      </w:r>
      <w:r w:rsidR="008024E4">
        <w:rPr>
          <w:rFonts w:ascii="Calibri" w:hAnsi="Calibri"/>
          <w:bCs/>
          <w:lang w:val="cs-CZ"/>
        </w:rPr>
        <w:t> </w:t>
      </w:r>
      <w:r w:rsidR="00D905FD">
        <w:rPr>
          <w:rFonts w:ascii="Calibri" w:hAnsi="Calibri"/>
          <w:bCs/>
          <w:lang w:val="cs-CZ"/>
        </w:rPr>
        <w:t xml:space="preserve">neznalost zákona neomlouvá, je zapotřebí, aby jednak samotní pracovníci, ale především jejich vedení, zajistilo udržení povědomí o aktuálních platných předpisech. Osobně jsem toho názoru, že </w:t>
      </w:r>
      <w:r w:rsidR="00CE15CB">
        <w:rPr>
          <w:rFonts w:ascii="Calibri" w:hAnsi="Calibri"/>
          <w:bCs/>
          <w:lang w:val="cs-CZ"/>
        </w:rPr>
        <w:t>většina lidí se sama od sebe nedonutí si vyhledat, zda je</w:t>
      </w:r>
      <w:r w:rsidR="008024E4">
        <w:rPr>
          <w:rFonts w:ascii="Calibri" w:hAnsi="Calibri"/>
          <w:bCs/>
          <w:lang w:val="cs-CZ"/>
        </w:rPr>
        <w:t> </w:t>
      </w:r>
      <w:r w:rsidR="00CE15CB">
        <w:rPr>
          <w:rFonts w:ascii="Calibri" w:hAnsi="Calibri"/>
          <w:bCs/>
          <w:lang w:val="cs-CZ"/>
        </w:rPr>
        <w:t>určitý předpis stále v platnosti a zda náhodou nedošlo k jeho novelizaci. Adekvátním řešením tohoto problému je jistě interní školení. Ale též bych uvedl možnost výukového a metodického systému, který by pomohl</w:t>
      </w:r>
      <w:r w:rsidR="00F80871">
        <w:rPr>
          <w:rFonts w:ascii="Calibri" w:hAnsi="Calibri"/>
          <w:bCs/>
          <w:lang w:val="cs-CZ"/>
        </w:rPr>
        <w:t xml:space="preserve"> udržet povědomí o povinnostech, a</w:t>
      </w:r>
      <w:r w:rsidR="00CE15CB">
        <w:rPr>
          <w:rFonts w:ascii="Calibri" w:hAnsi="Calibri"/>
          <w:bCs/>
          <w:lang w:val="cs-CZ"/>
        </w:rPr>
        <w:t xml:space="preserve"> pokud se do tohoto systému zařadí i</w:t>
      </w:r>
      <w:r w:rsidR="00F80871">
        <w:rPr>
          <w:rFonts w:ascii="Calibri" w:hAnsi="Calibri"/>
          <w:bCs/>
          <w:lang w:val="cs-CZ"/>
        </w:rPr>
        <w:t> </w:t>
      </w:r>
      <w:r w:rsidR="00CE15CB">
        <w:rPr>
          <w:rFonts w:ascii="Calibri" w:hAnsi="Calibri"/>
          <w:bCs/>
          <w:lang w:val="cs-CZ"/>
        </w:rPr>
        <w:t xml:space="preserve">představení konkrétně zjištěných porušení a jejich řešení, tak </w:t>
      </w:r>
      <w:r w:rsidR="00F80871">
        <w:rPr>
          <w:rFonts w:ascii="Calibri" w:hAnsi="Calibri"/>
          <w:bCs/>
          <w:lang w:val="cs-CZ"/>
        </w:rPr>
        <w:t xml:space="preserve">toto jistě bude mít větší vliv, než pouhé přečtení si samotné povinnosti. V tomto ohledu, by se asi muselo jednat </w:t>
      </w:r>
      <w:r w:rsidR="008024E4">
        <w:rPr>
          <w:rFonts w:ascii="Calibri" w:hAnsi="Calibri"/>
          <w:bCs/>
          <w:lang w:val="cs-CZ"/>
        </w:rPr>
        <w:t xml:space="preserve">o </w:t>
      </w:r>
      <w:r w:rsidR="00F80871">
        <w:rPr>
          <w:rFonts w:ascii="Calibri" w:hAnsi="Calibri"/>
          <w:bCs/>
          <w:lang w:val="cs-CZ"/>
        </w:rPr>
        <w:t>program spravovaným přímo SÚKL. Jedna věc je vědět, že</w:t>
      </w:r>
      <w:r w:rsidR="008024E4">
        <w:rPr>
          <w:rFonts w:ascii="Calibri" w:hAnsi="Calibri"/>
          <w:bCs/>
          <w:lang w:val="cs-CZ"/>
        </w:rPr>
        <w:t> </w:t>
      </w:r>
      <w:r w:rsidR="00F80871">
        <w:rPr>
          <w:rFonts w:ascii="Calibri" w:hAnsi="Calibri"/>
          <w:bCs/>
          <w:lang w:val="cs-CZ"/>
        </w:rPr>
        <w:t>z</w:t>
      </w:r>
      <w:r w:rsidR="008024E4">
        <w:rPr>
          <w:rFonts w:ascii="Calibri" w:hAnsi="Calibri"/>
          <w:bCs/>
          <w:lang w:val="cs-CZ"/>
        </w:rPr>
        <w:t> </w:t>
      </w:r>
      <w:r w:rsidR="00F80871">
        <w:rPr>
          <w:rFonts w:ascii="Calibri" w:hAnsi="Calibri"/>
          <w:bCs/>
          <w:lang w:val="cs-CZ"/>
        </w:rPr>
        <w:t>porušení hrozí pokuta, ale druhá je již vidět konkrétní příklad, že někomu v mém okolí byla uložena pokuta v řadech statisíců za něco, co si sám tak úplně nehlídám. Toto je za mě správná cesta, to že SÚKL dává volně k přečtení výroční zprávy a údaje o</w:t>
      </w:r>
      <w:r w:rsidR="008024E4">
        <w:rPr>
          <w:rFonts w:ascii="Calibri" w:hAnsi="Calibri"/>
          <w:bCs/>
          <w:lang w:val="cs-CZ"/>
        </w:rPr>
        <w:t> </w:t>
      </w:r>
      <w:r w:rsidR="00F80871">
        <w:rPr>
          <w:rFonts w:ascii="Calibri" w:hAnsi="Calibri"/>
          <w:bCs/>
          <w:lang w:val="cs-CZ"/>
        </w:rPr>
        <w:t xml:space="preserve">uložených sankcích je sice pravda, ale ruku na srdce, kdo ze zaměstnanců si tyto zprávy sám aktivně vyhledá a přečte. Pokud je postavíme před hotovou věc, v rámci například pravidelného měsíčního školení, a forma nebude nijak násilná, tak osobně jsem toho názoru, že by </w:t>
      </w:r>
      <w:r w:rsidR="00FE7799">
        <w:rPr>
          <w:rFonts w:ascii="Calibri" w:hAnsi="Calibri"/>
          <w:bCs/>
          <w:lang w:val="cs-CZ"/>
        </w:rPr>
        <w:t xml:space="preserve">toto </w:t>
      </w:r>
      <w:r w:rsidR="00F80871">
        <w:rPr>
          <w:rFonts w:ascii="Calibri" w:hAnsi="Calibri"/>
          <w:bCs/>
          <w:lang w:val="cs-CZ"/>
        </w:rPr>
        <w:t xml:space="preserve">mohlo </w:t>
      </w:r>
      <w:r w:rsidR="00FE7799">
        <w:rPr>
          <w:rFonts w:ascii="Calibri" w:hAnsi="Calibri"/>
          <w:bCs/>
          <w:lang w:val="cs-CZ"/>
        </w:rPr>
        <w:t xml:space="preserve">být pozitivně vnímáno, a při aktivním využívání by výsledkem mohlo být </w:t>
      </w:r>
      <w:r w:rsidR="00F80871">
        <w:rPr>
          <w:rFonts w:ascii="Calibri" w:hAnsi="Calibri"/>
          <w:bCs/>
          <w:lang w:val="cs-CZ"/>
        </w:rPr>
        <w:t xml:space="preserve">i snížení </w:t>
      </w:r>
      <w:r w:rsidR="00FE7799">
        <w:rPr>
          <w:rFonts w:ascii="Calibri" w:hAnsi="Calibri"/>
          <w:bCs/>
          <w:lang w:val="cs-CZ"/>
        </w:rPr>
        <w:t xml:space="preserve">počtu spáchaných </w:t>
      </w:r>
      <w:r w:rsidR="00F80871">
        <w:rPr>
          <w:rFonts w:ascii="Calibri" w:hAnsi="Calibri"/>
          <w:bCs/>
          <w:lang w:val="cs-CZ"/>
        </w:rPr>
        <w:t>porušení.</w:t>
      </w:r>
      <w:r w:rsidR="00294E20" w:rsidRPr="002872A6">
        <w:rPr>
          <w:rFonts w:asciiTheme="minorHAnsi" w:hAnsiTheme="minorHAnsi" w:cstheme="minorHAnsi"/>
          <w:color w:val="auto"/>
        </w:rPr>
        <w:br w:type="page"/>
      </w:r>
    </w:p>
    <w:p w:rsidR="00294E20" w:rsidRPr="00C148FE" w:rsidRDefault="00294E20" w:rsidP="00294E20">
      <w:pPr>
        <w:pStyle w:val="Nadpis1"/>
        <w:numPr>
          <w:ilvl w:val="0"/>
          <w:numId w:val="0"/>
        </w:numPr>
        <w:rPr>
          <w:rFonts w:asciiTheme="minorHAnsi" w:hAnsiTheme="minorHAnsi" w:cstheme="minorHAnsi"/>
          <w:b/>
          <w:color w:val="auto"/>
        </w:rPr>
      </w:pPr>
      <w:bookmarkStart w:id="143" w:name="_Toc165990663"/>
      <w:r>
        <w:rPr>
          <w:rFonts w:asciiTheme="minorHAnsi" w:hAnsiTheme="minorHAnsi" w:cstheme="minorHAnsi"/>
          <w:b/>
          <w:color w:val="auto"/>
        </w:rPr>
        <w:lastRenderedPageBreak/>
        <w:t>Závěr</w:t>
      </w:r>
      <w:bookmarkEnd w:id="143"/>
    </w:p>
    <w:p w:rsidR="00294E20" w:rsidRDefault="00294E20" w:rsidP="00294E20">
      <w:pPr>
        <w:suppressAutoHyphens/>
        <w:spacing w:after="0" w:line="360" w:lineRule="auto"/>
        <w:jc w:val="both"/>
        <w:rPr>
          <w:rFonts w:asciiTheme="minorHAnsi" w:hAnsiTheme="minorHAnsi" w:cstheme="minorHAnsi"/>
          <w:color w:val="auto"/>
          <w:sz w:val="24"/>
          <w:szCs w:val="24"/>
        </w:rPr>
      </w:pPr>
    </w:p>
    <w:p w:rsidR="00294E20" w:rsidRDefault="00294E20" w:rsidP="00294E20">
      <w:pPr>
        <w:pStyle w:val="Standard"/>
        <w:spacing w:line="360" w:lineRule="auto"/>
        <w:ind w:firstLine="708"/>
        <w:jc w:val="both"/>
        <w:rPr>
          <w:rFonts w:ascii="Calibri" w:hAnsi="Calibri"/>
          <w:lang w:val="cs-CZ"/>
        </w:rPr>
      </w:pPr>
      <w:r w:rsidRPr="00CD68F5">
        <w:rPr>
          <w:rFonts w:ascii="Calibri" w:hAnsi="Calibri"/>
          <w:lang w:val="cs-CZ"/>
        </w:rPr>
        <w:t xml:space="preserve">Činnost SÚKL bude i nadále nezbytnou a nedílnou součástí </w:t>
      </w:r>
      <w:r w:rsidR="004B75FF">
        <w:rPr>
          <w:rFonts w:ascii="Calibri" w:hAnsi="Calibri"/>
          <w:lang w:val="cs-CZ"/>
        </w:rPr>
        <w:t>mechani</w:t>
      </w:r>
      <w:r w:rsidR="002E491B">
        <w:rPr>
          <w:rFonts w:ascii="Calibri" w:hAnsi="Calibri"/>
          <w:lang w:val="cs-CZ"/>
        </w:rPr>
        <w:t>s</w:t>
      </w:r>
      <w:r w:rsidR="004B75FF">
        <w:rPr>
          <w:rFonts w:ascii="Calibri" w:hAnsi="Calibri"/>
          <w:lang w:val="cs-CZ"/>
        </w:rPr>
        <w:t>mu k </w:t>
      </w:r>
      <w:r w:rsidRPr="00CD68F5">
        <w:rPr>
          <w:rFonts w:ascii="Calibri" w:hAnsi="Calibri"/>
          <w:lang w:val="cs-CZ"/>
        </w:rPr>
        <w:t xml:space="preserve">zajištění </w:t>
      </w:r>
      <w:r>
        <w:rPr>
          <w:rFonts w:ascii="Calibri" w:hAnsi="Calibri"/>
          <w:lang w:val="cs-CZ"/>
        </w:rPr>
        <w:t xml:space="preserve">dostupnosti </w:t>
      </w:r>
      <w:r w:rsidRPr="00CD68F5">
        <w:rPr>
          <w:rFonts w:ascii="Calibri" w:hAnsi="Calibri"/>
          <w:lang w:val="cs-CZ"/>
        </w:rPr>
        <w:t>bezpečného léčiva v dostatečném množství a v potřebné kvalitě.</w:t>
      </w:r>
    </w:p>
    <w:p w:rsidR="00294E20" w:rsidRDefault="00294E20" w:rsidP="00294E20">
      <w:pPr>
        <w:pStyle w:val="Standard"/>
        <w:spacing w:line="360" w:lineRule="auto"/>
        <w:ind w:firstLine="708"/>
        <w:jc w:val="both"/>
        <w:rPr>
          <w:rFonts w:ascii="Calibri" w:hAnsi="Calibri"/>
          <w:lang w:val="cs-CZ"/>
        </w:rPr>
      </w:pPr>
      <w:r w:rsidRPr="00CD68F5">
        <w:rPr>
          <w:rFonts w:ascii="Calibri" w:hAnsi="Calibri"/>
          <w:lang w:val="cs-CZ"/>
        </w:rPr>
        <w:t xml:space="preserve">Na SÚKL nelze </w:t>
      </w:r>
      <w:r w:rsidR="008024E4">
        <w:rPr>
          <w:rFonts w:ascii="Calibri" w:hAnsi="Calibri"/>
          <w:lang w:val="cs-CZ"/>
        </w:rPr>
        <w:t>nahlížet</w:t>
      </w:r>
      <w:r w:rsidRPr="00CD68F5">
        <w:rPr>
          <w:rFonts w:ascii="Calibri" w:hAnsi="Calibri"/>
          <w:lang w:val="cs-CZ"/>
        </w:rPr>
        <w:t xml:space="preserve"> pouze jako na kontrolní orgán, který dohlíží na dodržování právních předpisů a adekvátně reaguje na zjištěná porušení. Není to tak, že by jeho jediným a hlavním úkolem bylo vyhledávat porušení a pos</w:t>
      </w:r>
      <w:r w:rsidR="008024E4">
        <w:rPr>
          <w:rFonts w:ascii="Calibri" w:hAnsi="Calibri"/>
          <w:lang w:val="cs-CZ"/>
        </w:rPr>
        <w:t>tihovat jejich původce. Musíme</w:t>
      </w:r>
      <w:r w:rsidRPr="00CD68F5">
        <w:rPr>
          <w:rFonts w:ascii="Calibri" w:hAnsi="Calibri"/>
          <w:lang w:val="cs-CZ"/>
        </w:rPr>
        <w:t xml:space="preserve"> na něj </w:t>
      </w:r>
      <w:r w:rsidR="008024E4">
        <w:rPr>
          <w:rFonts w:ascii="Calibri" w:hAnsi="Calibri"/>
          <w:lang w:val="cs-CZ"/>
        </w:rPr>
        <w:t>nahlížet</w:t>
      </w:r>
      <w:r w:rsidRPr="00CD68F5">
        <w:rPr>
          <w:rFonts w:ascii="Calibri" w:hAnsi="Calibri"/>
          <w:lang w:val="cs-CZ"/>
        </w:rPr>
        <w:t xml:space="preserve"> a brát jej jako partnera. Vždyť v rámci poskytování lékárenské péče není pouze pomyslným bičem, ale též metodikem, průvodcem</w:t>
      </w:r>
      <w:r>
        <w:rPr>
          <w:rFonts w:ascii="Calibri" w:hAnsi="Calibri"/>
          <w:lang w:val="cs-CZ"/>
        </w:rPr>
        <w:t xml:space="preserve"> a ano opravdovým partnerem</w:t>
      </w:r>
      <w:r w:rsidRPr="00CD68F5">
        <w:rPr>
          <w:rFonts w:ascii="Calibri" w:hAnsi="Calibri"/>
          <w:lang w:val="cs-CZ"/>
        </w:rPr>
        <w:t xml:space="preserve">. A právě činnost metodická a edukativní je stěžejní pro udržení cíle, samozřejmě za předpokladu, že </w:t>
      </w:r>
      <w:r w:rsidR="004B75FF">
        <w:rPr>
          <w:rFonts w:ascii="Calibri" w:hAnsi="Calibri"/>
          <w:lang w:val="cs-CZ"/>
        </w:rPr>
        <w:t>j</w:t>
      </w:r>
      <w:r w:rsidR="002E491B">
        <w:rPr>
          <w:rFonts w:ascii="Calibri" w:hAnsi="Calibri"/>
          <w:lang w:val="cs-CZ"/>
        </w:rPr>
        <w:t>i</w:t>
      </w:r>
      <w:r w:rsidR="004B75FF">
        <w:rPr>
          <w:rFonts w:ascii="Calibri" w:hAnsi="Calibri"/>
          <w:lang w:val="cs-CZ"/>
        </w:rPr>
        <w:t xml:space="preserve"> budou</w:t>
      </w:r>
      <w:r>
        <w:rPr>
          <w:rFonts w:ascii="Calibri" w:hAnsi="Calibri"/>
          <w:lang w:val="cs-CZ"/>
        </w:rPr>
        <w:t xml:space="preserve"> subjekty </w:t>
      </w:r>
      <w:r w:rsidR="004B75FF">
        <w:rPr>
          <w:rFonts w:ascii="Calibri" w:hAnsi="Calibri"/>
          <w:lang w:val="cs-CZ"/>
        </w:rPr>
        <w:t>využívat</w:t>
      </w:r>
      <w:r w:rsidRPr="00CD68F5">
        <w:rPr>
          <w:rFonts w:ascii="Calibri" w:hAnsi="Calibri"/>
          <w:lang w:val="cs-CZ"/>
        </w:rPr>
        <w:t xml:space="preserve"> a </w:t>
      </w:r>
      <w:r>
        <w:rPr>
          <w:rFonts w:ascii="Calibri" w:hAnsi="Calibri"/>
          <w:lang w:val="cs-CZ"/>
        </w:rPr>
        <w:t xml:space="preserve">následně </w:t>
      </w:r>
      <w:r w:rsidRPr="00CD68F5">
        <w:rPr>
          <w:rFonts w:ascii="Calibri" w:hAnsi="Calibri"/>
          <w:lang w:val="cs-CZ"/>
        </w:rPr>
        <w:t>aktivně aplikov</w:t>
      </w:r>
      <w:r>
        <w:rPr>
          <w:rFonts w:ascii="Calibri" w:hAnsi="Calibri"/>
          <w:lang w:val="cs-CZ"/>
        </w:rPr>
        <w:t>at</w:t>
      </w:r>
      <w:r w:rsidRPr="00CD68F5">
        <w:rPr>
          <w:rFonts w:ascii="Calibri" w:hAnsi="Calibri"/>
          <w:lang w:val="cs-CZ"/>
        </w:rPr>
        <w:t xml:space="preserve"> v praxi.</w:t>
      </w:r>
    </w:p>
    <w:p w:rsidR="004B75FF" w:rsidRDefault="00294E20" w:rsidP="00294E20">
      <w:pPr>
        <w:pStyle w:val="Standard"/>
        <w:spacing w:line="360" w:lineRule="auto"/>
        <w:ind w:firstLine="708"/>
        <w:jc w:val="both"/>
        <w:rPr>
          <w:rFonts w:ascii="Calibri" w:hAnsi="Calibri"/>
          <w:lang w:val="cs-CZ"/>
        </w:rPr>
      </w:pPr>
      <w:r w:rsidRPr="00CD68F5">
        <w:rPr>
          <w:rFonts w:ascii="Calibri" w:hAnsi="Calibri"/>
          <w:lang w:val="cs-CZ"/>
        </w:rPr>
        <w:t xml:space="preserve">Cílem této práce bylo </w:t>
      </w:r>
      <w:r w:rsidRPr="000009BE">
        <w:rPr>
          <w:rFonts w:ascii="Calibri" w:hAnsi="Calibri"/>
          <w:lang w:val="cs-CZ"/>
        </w:rPr>
        <w:t xml:space="preserve">představení SÚKL </w:t>
      </w:r>
      <w:r>
        <w:rPr>
          <w:rFonts w:ascii="Calibri" w:hAnsi="Calibri"/>
          <w:lang w:val="cs-CZ"/>
        </w:rPr>
        <w:t>co do jeho vzniku</w:t>
      </w:r>
      <w:r w:rsidRPr="000009BE">
        <w:rPr>
          <w:rFonts w:ascii="Calibri" w:hAnsi="Calibri"/>
          <w:lang w:val="cs-CZ"/>
        </w:rPr>
        <w:t>, organizace, vymezení v oblasti státní správy</w:t>
      </w:r>
      <w:r>
        <w:rPr>
          <w:rFonts w:ascii="Calibri" w:hAnsi="Calibri"/>
          <w:lang w:val="cs-CZ"/>
        </w:rPr>
        <w:t>, a představení jednotlivých oblastí jeho činností, především se</w:t>
      </w:r>
      <w:r w:rsidR="004B75FF">
        <w:rPr>
          <w:rFonts w:ascii="Calibri" w:hAnsi="Calibri"/>
          <w:lang w:val="cs-CZ"/>
        </w:rPr>
        <w:t> </w:t>
      </w:r>
      <w:r>
        <w:rPr>
          <w:rFonts w:ascii="Calibri" w:hAnsi="Calibri"/>
          <w:lang w:val="cs-CZ"/>
        </w:rPr>
        <w:t>zaměřením na kontroly lékáren a OOVL. Což se p</w:t>
      </w:r>
      <w:r w:rsidR="00E87D13">
        <w:rPr>
          <w:rFonts w:ascii="Calibri" w:hAnsi="Calibri"/>
          <w:lang w:val="cs-CZ"/>
        </w:rPr>
        <w:t>odařilo, ačkoliv při pohledu na </w:t>
      </w:r>
      <w:r>
        <w:rPr>
          <w:rFonts w:ascii="Calibri" w:hAnsi="Calibri"/>
          <w:lang w:val="cs-CZ"/>
        </w:rPr>
        <w:t>množství dat, která jsou k tak rozsáhlé činnosti SÚKL dostupná, bylo zvoleno jen okrajové představení těchto činností.</w:t>
      </w:r>
      <w:r w:rsidR="00E87D13">
        <w:rPr>
          <w:rFonts w:ascii="Calibri" w:hAnsi="Calibri"/>
          <w:lang w:val="cs-CZ"/>
        </w:rPr>
        <w:t xml:space="preserve"> Je pravděpodobné, že k</w:t>
      </w:r>
      <w:r>
        <w:rPr>
          <w:rFonts w:ascii="Calibri" w:hAnsi="Calibri"/>
          <w:lang w:val="cs-CZ"/>
        </w:rPr>
        <w:t>aždá jednotlivá činnost SÚKL</w:t>
      </w:r>
      <w:r w:rsidR="004B75FF">
        <w:rPr>
          <w:rFonts w:ascii="Calibri" w:hAnsi="Calibri"/>
          <w:lang w:val="cs-CZ"/>
        </w:rPr>
        <w:t>, či část sekce</w:t>
      </w:r>
      <w:r>
        <w:rPr>
          <w:rFonts w:ascii="Calibri" w:hAnsi="Calibri"/>
          <w:lang w:val="cs-CZ"/>
        </w:rPr>
        <w:t>, by se dala zpracovat do několika</w:t>
      </w:r>
      <w:r w:rsidR="00E87D13">
        <w:rPr>
          <w:rFonts w:ascii="Calibri" w:hAnsi="Calibri"/>
          <w:lang w:val="cs-CZ"/>
        </w:rPr>
        <w:t xml:space="preserve"> samostatných absolventských či </w:t>
      </w:r>
      <w:r>
        <w:rPr>
          <w:rFonts w:ascii="Calibri" w:hAnsi="Calibri"/>
          <w:lang w:val="cs-CZ"/>
        </w:rPr>
        <w:t>dokonce diplomových prací, aniž by docházelo k</w:t>
      </w:r>
      <w:r w:rsidR="004B75FF">
        <w:rPr>
          <w:rFonts w:ascii="Calibri" w:hAnsi="Calibri"/>
          <w:lang w:val="cs-CZ"/>
        </w:rPr>
        <w:t> dublování sdělených informací.</w:t>
      </w:r>
    </w:p>
    <w:p w:rsidR="00294E20" w:rsidRDefault="00294E20" w:rsidP="00294E20">
      <w:pPr>
        <w:pStyle w:val="Standard"/>
        <w:spacing w:line="360" w:lineRule="auto"/>
        <w:ind w:firstLine="708"/>
        <w:jc w:val="both"/>
        <w:rPr>
          <w:rFonts w:ascii="Calibri" w:hAnsi="Calibri"/>
          <w:lang w:val="cs-CZ"/>
        </w:rPr>
      </w:pPr>
      <w:r>
        <w:rPr>
          <w:rFonts w:ascii="Calibri" w:hAnsi="Calibri"/>
          <w:lang w:val="cs-CZ"/>
        </w:rPr>
        <w:t xml:space="preserve">Ze získaných zdrojů informací, bylo opravdu mnoho, co by se dalo v této práci ještě zmínit a čemu se více věnovat, ale to by rozsah práce byl enormní a čtenář by se v ní pravděpodobně mohl ztrácet. Proto </w:t>
      </w:r>
      <w:r w:rsidR="00E87D13">
        <w:rPr>
          <w:rFonts w:ascii="Calibri" w:hAnsi="Calibri"/>
          <w:lang w:val="cs-CZ"/>
        </w:rPr>
        <w:t>byl</w:t>
      </w:r>
      <w:r>
        <w:rPr>
          <w:rFonts w:ascii="Calibri" w:hAnsi="Calibri"/>
          <w:lang w:val="cs-CZ"/>
        </w:rPr>
        <w:t xml:space="preserve"> zvol</w:t>
      </w:r>
      <w:r w:rsidR="00E87D13">
        <w:rPr>
          <w:rFonts w:ascii="Calibri" w:hAnsi="Calibri"/>
          <w:lang w:val="cs-CZ"/>
        </w:rPr>
        <w:t>en</w:t>
      </w:r>
      <w:r>
        <w:rPr>
          <w:rFonts w:ascii="Calibri" w:hAnsi="Calibri"/>
          <w:lang w:val="cs-CZ"/>
        </w:rPr>
        <w:t xml:space="preserve"> tento rozsah.</w:t>
      </w:r>
    </w:p>
    <w:p w:rsidR="00294E20" w:rsidRDefault="00294E20" w:rsidP="00294E20">
      <w:pPr>
        <w:pStyle w:val="Standard"/>
        <w:spacing w:line="360" w:lineRule="auto"/>
        <w:ind w:firstLine="708"/>
        <w:jc w:val="both"/>
        <w:rPr>
          <w:rFonts w:ascii="Calibri" w:hAnsi="Calibri"/>
          <w:lang w:val="cs-CZ"/>
        </w:rPr>
      </w:pPr>
      <w:r>
        <w:rPr>
          <w:rFonts w:ascii="Calibri" w:hAnsi="Calibri"/>
          <w:lang w:val="cs-CZ"/>
        </w:rPr>
        <w:t xml:space="preserve">Dílčím cílem bylo </w:t>
      </w:r>
      <w:r w:rsidRPr="006E2FA6">
        <w:rPr>
          <w:rFonts w:ascii="Calibri" w:hAnsi="Calibri"/>
          <w:lang w:val="cs-CZ"/>
        </w:rPr>
        <w:t>zpracov</w:t>
      </w:r>
      <w:r>
        <w:rPr>
          <w:rFonts w:ascii="Calibri" w:hAnsi="Calibri"/>
          <w:lang w:val="cs-CZ"/>
        </w:rPr>
        <w:t>at</w:t>
      </w:r>
      <w:r w:rsidRPr="006E2FA6">
        <w:rPr>
          <w:rFonts w:ascii="Calibri" w:hAnsi="Calibri"/>
          <w:lang w:val="cs-CZ"/>
        </w:rPr>
        <w:t xml:space="preserve"> a vyhodno</w:t>
      </w:r>
      <w:r>
        <w:rPr>
          <w:rFonts w:ascii="Calibri" w:hAnsi="Calibri"/>
          <w:lang w:val="cs-CZ"/>
        </w:rPr>
        <w:t>tit</w:t>
      </w:r>
      <w:r w:rsidRPr="006E2FA6">
        <w:rPr>
          <w:rFonts w:ascii="Calibri" w:hAnsi="Calibri"/>
          <w:lang w:val="cs-CZ"/>
        </w:rPr>
        <w:t xml:space="preserve"> dat</w:t>
      </w:r>
      <w:r>
        <w:rPr>
          <w:rFonts w:ascii="Calibri" w:hAnsi="Calibri"/>
          <w:lang w:val="cs-CZ"/>
        </w:rPr>
        <w:t>a</w:t>
      </w:r>
      <w:r w:rsidRPr="006E2FA6">
        <w:rPr>
          <w:rFonts w:ascii="Calibri" w:hAnsi="Calibri"/>
          <w:lang w:val="cs-CZ"/>
        </w:rPr>
        <w:t xml:space="preserve"> o provedených kontrolách lékáren</w:t>
      </w:r>
      <w:r>
        <w:rPr>
          <w:rFonts w:ascii="Calibri" w:hAnsi="Calibri"/>
          <w:lang w:val="cs-CZ"/>
        </w:rPr>
        <w:t xml:space="preserve"> a OOVL v letech 2012 až 2022, a v</w:t>
      </w:r>
      <w:r w:rsidRPr="006E2FA6">
        <w:rPr>
          <w:rFonts w:ascii="Calibri" w:hAnsi="Calibri"/>
          <w:lang w:val="cs-CZ"/>
        </w:rPr>
        <w:t>ypracovat přehled nejčastějších porušení právních předpisů v</w:t>
      </w:r>
      <w:r w:rsidR="004B75FF">
        <w:rPr>
          <w:rFonts w:ascii="Calibri" w:hAnsi="Calibri"/>
          <w:lang w:val="cs-CZ"/>
        </w:rPr>
        <w:t> </w:t>
      </w:r>
      <w:r w:rsidRPr="006E2FA6">
        <w:rPr>
          <w:rFonts w:ascii="Calibri" w:hAnsi="Calibri"/>
          <w:lang w:val="cs-CZ"/>
        </w:rPr>
        <w:t>lékárně</w:t>
      </w:r>
      <w:r w:rsidR="004B75FF">
        <w:rPr>
          <w:rFonts w:ascii="Calibri" w:hAnsi="Calibri"/>
          <w:lang w:val="cs-CZ"/>
        </w:rPr>
        <w:t xml:space="preserve"> a OOVL</w:t>
      </w:r>
      <w:r>
        <w:rPr>
          <w:rFonts w:ascii="Calibri" w:hAnsi="Calibri"/>
          <w:lang w:val="cs-CZ"/>
        </w:rPr>
        <w:t>.</w:t>
      </w:r>
    </w:p>
    <w:p w:rsidR="00294E20" w:rsidRDefault="00294E20" w:rsidP="00294E20">
      <w:pPr>
        <w:pStyle w:val="Standard"/>
        <w:spacing w:line="360" w:lineRule="auto"/>
        <w:ind w:firstLine="708"/>
        <w:jc w:val="both"/>
        <w:rPr>
          <w:rFonts w:ascii="Calibri" w:hAnsi="Calibri"/>
          <w:lang w:val="cs-CZ"/>
        </w:rPr>
      </w:pPr>
      <w:r w:rsidRPr="000009BE">
        <w:rPr>
          <w:rFonts w:ascii="Calibri" w:hAnsi="Calibri"/>
          <w:lang w:val="cs-CZ"/>
        </w:rPr>
        <w:t xml:space="preserve">Výstupem této práce </w:t>
      </w:r>
      <w:r w:rsidR="00E87D13">
        <w:rPr>
          <w:rFonts w:ascii="Calibri" w:hAnsi="Calibri"/>
          <w:lang w:val="cs-CZ"/>
        </w:rPr>
        <w:t>je</w:t>
      </w:r>
      <w:r w:rsidRPr="000009BE">
        <w:rPr>
          <w:rFonts w:ascii="Calibri" w:hAnsi="Calibri"/>
          <w:lang w:val="cs-CZ"/>
        </w:rPr>
        <w:t xml:space="preserve"> ucelený pohled na pochybení, kterých se lékárny a </w:t>
      </w:r>
      <w:r>
        <w:rPr>
          <w:rFonts w:ascii="Calibri" w:hAnsi="Calibri"/>
          <w:lang w:val="cs-CZ"/>
        </w:rPr>
        <w:t>OOVL</w:t>
      </w:r>
      <w:r w:rsidRPr="000009BE">
        <w:rPr>
          <w:rFonts w:ascii="Calibri" w:hAnsi="Calibri"/>
          <w:lang w:val="cs-CZ"/>
        </w:rPr>
        <w:t xml:space="preserve"> </w:t>
      </w:r>
      <w:r>
        <w:rPr>
          <w:rFonts w:ascii="Calibri" w:hAnsi="Calibri"/>
          <w:lang w:val="cs-CZ"/>
        </w:rPr>
        <w:t>dopouště</w:t>
      </w:r>
      <w:r w:rsidR="00E87D13">
        <w:rPr>
          <w:rFonts w:ascii="Calibri" w:hAnsi="Calibri"/>
          <w:lang w:val="cs-CZ"/>
        </w:rPr>
        <w:t>li</w:t>
      </w:r>
      <w:r>
        <w:rPr>
          <w:rFonts w:ascii="Calibri" w:hAnsi="Calibri"/>
          <w:lang w:val="cs-CZ"/>
        </w:rPr>
        <w:t xml:space="preserve"> v rámci své činnosti</w:t>
      </w:r>
      <w:r w:rsidR="009422C8">
        <w:rPr>
          <w:rFonts w:ascii="Calibri" w:hAnsi="Calibri"/>
          <w:lang w:val="cs-CZ"/>
        </w:rPr>
        <w:t xml:space="preserve">, což má směřovat k větší bdělosti pracovníků v lékárnách a OOVL v současné době, s cílem kontroly sebe sama a nedopustit, aby i oni </w:t>
      </w:r>
      <w:r w:rsidR="002E491B">
        <w:rPr>
          <w:rFonts w:ascii="Calibri" w:hAnsi="Calibri"/>
          <w:lang w:val="cs-CZ"/>
        </w:rPr>
        <w:t xml:space="preserve">neporušili </w:t>
      </w:r>
      <w:r w:rsidR="009422C8">
        <w:rPr>
          <w:rFonts w:ascii="Calibri" w:hAnsi="Calibri"/>
          <w:lang w:val="cs-CZ"/>
        </w:rPr>
        <w:t>některé ze stanovaných předpisů</w:t>
      </w:r>
      <w:r>
        <w:rPr>
          <w:rFonts w:ascii="Calibri" w:hAnsi="Calibri"/>
          <w:lang w:val="cs-CZ"/>
        </w:rPr>
        <w:t>.</w:t>
      </w:r>
    </w:p>
    <w:p w:rsidR="00294E20" w:rsidRDefault="009422C8" w:rsidP="00294E20">
      <w:pPr>
        <w:pStyle w:val="Standard"/>
        <w:spacing w:line="360" w:lineRule="auto"/>
        <w:ind w:firstLine="708"/>
        <w:jc w:val="both"/>
        <w:rPr>
          <w:rFonts w:ascii="Calibri" w:hAnsi="Calibri"/>
          <w:lang w:val="cs-CZ"/>
        </w:rPr>
      </w:pPr>
      <w:r>
        <w:rPr>
          <w:rFonts w:ascii="Calibri" w:hAnsi="Calibri"/>
          <w:lang w:val="cs-CZ"/>
        </w:rPr>
        <w:t xml:space="preserve">K výběru tématu této práce přispělo jistě to, že autor v době studia, nebyl </w:t>
      </w:r>
      <w:r w:rsidR="00294E20">
        <w:rPr>
          <w:rFonts w:ascii="Calibri" w:hAnsi="Calibri"/>
          <w:lang w:val="cs-CZ"/>
        </w:rPr>
        <w:t>pracovníkem v oboru lékárenst</w:t>
      </w:r>
      <w:r>
        <w:rPr>
          <w:rFonts w:ascii="Calibri" w:hAnsi="Calibri"/>
          <w:lang w:val="cs-CZ"/>
        </w:rPr>
        <w:t>ví a ani jinde ve zdravotnictví, a proto</w:t>
      </w:r>
      <w:r w:rsidR="00294E20">
        <w:rPr>
          <w:rFonts w:ascii="Calibri" w:hAnsi="Calibri"/>
          <w:lang w:val="cs-CZ"/>
        </w:rPr>
        <w:t xml:space="preserve"> činnost SÚKL byla zcela novou věcí. </w:t>
      </w:r>
      <w:r>
        <w:rPr>
          <w:rFonts w:ascii="Calibri" w:hAnsi="Calibri"/>
          <w:lang w:val="cs-CZ"/>
        </w:rPr>
        <w:t>D</w:t>
      </w:r>
      <w:r w:rsidR="00294E20">
        <w:rPr>
          <w:rFonts w:ascii="Calibri" w:hAnsi="Calibri"/>
          <w:lang w:val="cs-CZ"/>
        </w:rPr>
        <w:t xml:space="preserve">íky informacím zjištěným při zpracovávání této práce, ale též i v rámci </w:t>
      </w:r>
      <w:r w:rsidR="00294E20">
        <w:rPr>
          <w:rFonts w:ascii="Calibri" w:hAnsi="Calibri"/>
          <w:lang w:val="cs-CZ"/>
        </w:rPr>
        <w:lastRenderedPageBreak/>
        <w:t xml:space="preserve">samotného studia na škole, </w:t>
      </w:r>
      <w:r>
        <w:rPr>
          <w:rFonts w:ascii="Calibri" w:hAnsi="Calibri"/>
          <w:lang w:val="cs-CZ"/>
        </w:rPr>
        <w:t>má nyní autor</w:t>
      </w:r>
      <w:r w:rsidR="00294E20">
        <w:rPr>
          <w:rFonts w:ascii="Calibri" w:hAnsi="Calibri"/>
          <w:lang w:val="cs-CZ"/>
        </w:rPr>
        <w:t xml:space="preserve"> </w:t>
      </w:r>
      <w:r>
        <w:rPr>
          <w:rFonts w:ascii="Calibri" w:hAnsi="Calibri"/>
          <w:lang w:val="cs-CZ"/>
        </w:rPr>
        <w:t xml:space="preserve">větší </w:t>
      </w:r>
      <w:r w:rsidR="00294E20">
        <w:rPr>
          <w:rFonts w:ascii="Calibri" w:hAnsi="Calibri"/>
          <w:lang w:val="cs-CZ"/>
        </w:rPr>
        <w:t xml:space="preserve">úctu k práci zaměstnanců SÚKL. Představa, že se jedná pouze o kontrolní orgán, jak by někoho mohlo z jeho názvu napadnout, je zcela milná. Ačkoliv je zřejmé, že základním důvodem pro zřízení bylo </w:t>
      </w:r>
      <w:r w:rsidR="00051561">
        <w:rPr>
          <w:rFonts w:ascii="Calibri" w:hAnsi="Calibri"/>
          <w:lang w:val="cs-CZ"/>
        </w:rPr>
        <w:t xml:space="preserve">právě </w:t>
      </w:r>
      <w:r w:rsidR="00294E20">
        <w:rPr>
          <w:rFonts w:ascii="Calibri" w:hAnsi="Calibri"/>
          <w:lang w:val="cs-CZ"/>
        </w:rPr>
        <w:t>provádění kontrol, tak díky vývoji, se SÚKL stal něčím mnohem větším. A za to jistě patří veliké díky nejen současným zaměstnancům, ale též i těm předchozím</w:t>
      </w:r>
      <w:r w:rsidR="00051561">
        <w:rPr>
          <w:rFonts w:ascii="Calibri" w:hAnsi="Calibri"/>
          <w:lang w:val="cs-CZ"/>
        </w:rPr>
        <w:t>, a hlavně jeho vedení</w:t>
      </w:r>
      <w:r w:rsidR="00294E20">
        <w:rPr>
          <w:rFonts w:ascii="Calibri" w:hAnsi="Calibri"/>
          <w:lang w:val="cs-CZ"/>
        </w:rPr>
        <w:t>.</w:t>
      </w:r>
    </w:p>
    <w:p w:rsidR="00294E20" w:rsidRPr="008B59C9" w:rsidRDefault="00294E20" w:rsidP="00294E20">
      <w:pPr>
        <w:spacing w:after="0" w:line="360" w:lineRule="auto"/>
        <w:rPr>
          <w:rFonts w:asciiTheme="minorHAnsi" w:hAnsiTheme="minorHAnsi" w:cstheme="minorHAnsi"/>
          <w:color w:val="auto"/>
          <w:lang w:val="en-US"/>
        </w:rPr>
      </w:pPr>
      <w:r w:rsidRPr="002872A6">
        <w:rPr>
          <w:rFonts w:asciiTheme="minorHAnsi" w:hAnsiTheme="minorHAnsi" w:cstheme="minorHAnsi"/>
          <w:color w:val="auto"/>
        </w:rPr>
        <w:br w:type="page"/>
      </w:r>
    </w:p>
    <w:p w:rsidR="00294E20" w:rsidRPr="008B59C9" w:rsidRDefault="00294E20" w:rsidP="00294E20">
      <w:pPr>
        <w:pStyle w:val="Nadpis1"/>
        <w:numPr>
          <w:ilvl w:val="0"/>
          <w:numId w:val="0"/>
        </w:numPr>
        <w:rPr>
          <w:rFonts w:asciiTheme="minorHAnsi" w:hAnsiTheme="minorHAnsi" w:cstheme="minorHAnsi"/>
          <w:b/>
          <w:color w:val="auto"/>
          <w:sz w:val="24"/>
          <w:szCs w:val="24"/>
          <w:lang w:val="en-US"/>
        </w:rPr>
      </w:pPr>
      <w:bookmarkStart w:id="144" w:name="_Toc164078850"/>
      <w:bookmarkStart w:id="145" w:name="_Toc163647389"/>
      <w:bookmarkStart w:id="146" w:name="_Toc163759385"/>
      <w:bookmarkStart w:id="147" w:name="_Toc165990664"/>
      <w:bookmarkEnd w:id="144"/>
      <w:bookmarkEnd w:id="145"/>
      <w:bookmarkEnd w:id="146"/>
      <w:r w:rsidRPr="008B59C9">
        <w:rPr>
          <w:rFonts w:asciiTheme="minorHAnsi" w:hAnsiTheme="minorHAnsi" w:cstheme="minorHAnsi"/>
          <w:b/>
          <w:color w:val="auto"/>
          <w:sz w:val="28"/>
          <w:szCs w:val="28"/>
          <w:lang w:val="en-US"/>
        </w:rPr>
        <w:lastRenderedPageBreak/>
        <w:t>Summary</w:t>
      </w:r>
      <w:bookmarkEnd w:id="147"/>
    </w:p>
    <w:p w:rsidR="00294E20" w:rsidRPr="008B59C9" w:rsidRDefault="00294E20" w:rsidP="00294E20">
      <w:pPr>
        <w:suppressAutoHyphens/>
        <w:spacing w:after="0" w:line="360" w:lineRule="auto"/>
        <w:jc w:val="both"/>
        <w:rPr>
          <w:rFonts w:asciiTheme="minorHAnsi" w:hAnsiTheme="minorHAnsi" w:cstheme="minorHAnsi"/>
          <w:color w:val="auto"/>
          <w:sz w:val="24"/>
          <w:szCs w:val="24"/>
          <w:lang w:val="en-US"/>
        </w:rPr>
      </w:pPr>
    </w:p>
    <w:p w:rsidR="00294E20" w:rsidRPr="008B59C9" w:rsidRDefault="00294E20" w:rsidP="00294E20">
      <w:pPr>
        <w:pStyle w:val="Standard"/>
        <w:spacing w:line="360" w:lineRule="auto"/>
        <w:jc w:val="both"/>
        <w:rPr>
          <w:rFonts w:ascii="Calibri" w:hAnsi="Calibri"/>
          <w:b/>
        </w:rPr>
      </w:pPr>
      <w:r w:rsidRPr="008B59C9">
        <w:rPr>
          <w:rFonts w:ascii="Calibri" w:hAnsi="Calibri"/>
          <w:b/>
        </w:rPr>
        <w:t>The role and activities of the State Institut</w:t>
      </w:r>
      <w:r w:rsidR="008B59C9" w:rsidRPr="008B59C9">
        <w:rPr>
          <w:rFonts w:ascii="Calibri" w:hAnsi="Calibri"/>
          <w:b/>
        </w:rPr>
        <w:t>e</w:t>
      </w:r>
      <w:r w:rsidRPr="008B59C9">
        <w:rPr>
          <w:rFonts w:ascii="Calibri" w:hAnsi="Calibri"/>
          <w:b/>
        </w:rPr>
        <w:t xml:space="preserve"> for Drug Control - pharmacy control.</w:t>
      </w:r>
    </w:p>
    <w:p w:rsidR="00294E20" w:rsidRPr="008B59C9" w:rsidRDefault="00294E20" w:rsidP="00294E20">
      <w:pPr>
        <w:suppressAutoHyphens/>
        <w:spacing w:after="0" w:line="360" w:lineRule="auto"/>
        <w:jc w:val="both"/>
        <w:rPr>
          <w:rFonts w:asciiTheme="minorHAnsi" w:hAnsiTheme="minorHAnsi" w:cstheme="minorHAnsi"/>
          <w:color w:val="auto"/>
          <w:sz w:val="24"/>
          <w:szCs w:val="24"/>
          <w:lang w:val="en-US"/>
        </w:rPr>
      </w:pPr>
    </w:p>
    <w:p w:rsidR="00535A84" w:rsidRPr="008B59C9" w:rsidRDefault="00535A84" w:rsidP="00535A84">
      <w:pPr>
        <w:pStyle w:val="Standard"/>
        <w:spacing w:line="360" w:lineRule="auto"/>
        <w:ind w:firstLine="708"/>
        <w:jc w:val="both"/>
        <w:rPr>
          <w:rFonts w:ascii="Calibri" w:hAnsi="Calibri"/>
        </w:rPr>
      </w:pPr>
      <w:r w:rsidRPr="008B59C9">
        <w:rPr>
          <w:rFonts w:ascii="Calibri" w:hAnsi="Calibri"/>
        </w:rPr>
        <w:t xml:space="preserve">This graduate thesis deals with the role and activities of the State </w:t>
      </w:r>
      <w:r w:rsidR="008B59C9" w:rsidRPr="008B59C9">
        <w:rPr>
          <w:rFonts w:ascii="Calibri" w:hAnsi="Calibri"/>
        </w:rPr>
        <w:t>Institute</w:t>
      </w:r>
      <w:r w:rsidRPr="008B59C9">
        <w:rPr>
          <w:rFonts w:ascii="Calibri" w:hAnsi="Calibri"/>
        </w:rPr>
        <w:t xml:space="preserve"> for Drug Control in the </w:t>
      </w:r>
      <w:r w:rsidR="008B59C9" w:rsidRPr="008B59C9">
        <w:rPr>
          <w:rFonts w:ascii="Calibri" w:hAnsi="Calibri"/>
        </w:rPr>
        <w:t>health</w:t>
      </w:r>
      <w:r w:rsidRPr="008B59C9">
        <w:rPr>
          <w:rFonts w:ascii="Calibri" w:hAnsi="Calibri"/>
        </w:rPr>
        <w:t xml:space="preserve"> care system of Czech Republic, with a focus on pharmacy control.</w:t>
      </w:r>
    </w:p>
    <w:p w:rsidR="00535A84" w:rsidRPr="008B59C9" w:rsidRDefault="00535A84" w:rsidP="00535A84">
      <w:pPr>
        <w:pStyle w:val="Standard"/>
        <w:spacing w:line="360" w:lineRule="auto"/>
        <w:ind w:firstLine="708"/>
        <w:jc w:val="both"/>
        <w:rPr>
          <w:rFonts w:ascii="Calibri" w:hAnsi="Calibri"/>
        </w:rPr>
      </w:pPr>
      <w:r w:rsidRPr="008B59C9">
        <w:rPr>
          <w:rFonts w:ascii="Calibri" w:hAnsi="Calibri"/>
        </w:rPr>
        <w:t>The first part of the thesis is focused on the introduction of the State Institute for Drug Control, such as the foundation and organization. The next chapters of the thesis describe the individual activities of the Institute. These activities are divided into sections. These sections are: Registration Section, Oversight</w:t>
      </w:r>
      <w:r w:rsidR="007270D1">
        <w:rPr>
          <w:rFonts w:ascii="Calibri" w:hAnsi="Calibri"/>
        </w:rPr>
        <w:t xml:space="preserve"> Section, Price and </w:t>
      </w:r>
      <w:r w:rsidRPr="008B59C9">
        <w:rPr>
          <w:rFonts w:ascii="Calibri" w:hAnsi="Calibri"/>
        </w:rPr>
        <w:t>Reimbursement Regulation Section, Medical</w:t>
      </w:r>
      <w:r w:rsidR="007270D1">
        <w:rPr>
          <w:rFonts w:ascii="Calibri" w:hAnsi="Calibri"/>
        </w:rPr>
        <w:t xml:space="preserve"> Device Regulation Section, and </w:t>
      </w:r>
      <w:r w:rsidRPr="008B59C9">
        <w:rPr>
          <w:rFonts w:ascii="Calibri" w:hAnsi="Calibri"/>
        </w:rPr>
        <w:t>Director's Support and Management Section. One chapter contains the basic laws that describe the rights and responsibilities of each person who works with drug.</w:t>
      </w:r>
    </w:p>
    <w:p w:rsidR="00535A84" w:rsidRPr="008B59C9" w:rsidRDefault="00535A84" w:rsidP="00535A84">
      <w:pPr>
        <w:pStyle w:val="Standard"/>
        <w:spacing w:line="360" w:lineRule="auto"/>
        <w:ind w:firstLine="708"/>
        <w:jc w:val="both"/>
        <w:rPr>
          <w:rFonts w:ascii="Calibri" w:hAnsi="Calibri"/>
        </w:rPr>
      </w:pPr>
      <w:r w:rsidRPr="008B59C9">
        <w:rPr>
          <w:rFonts w:ascii="Calibri" w:hAnsi="Calibri"/>
        </w:rPr>
        <w:t>The practical part of the thesis evaluat</w:t>
      </w:r>
      <w:r w:rsidR="007270D1">
        <w:rPr>
          <w:rFonts w:ascii="Calibri" w:hAnsi="Calibri"/>
        </w:rPr>
        <w:t>es the data obtained during the </w:t>
      </w:r>
      <w:r w:rsidRPr="008B59C9">
        <w:rPr>
          <w:rFonts w:ascii="Calibri" w:hAnsi="Calibri"/>
        </w:rPr>
        <w:t>inspections of pharmacies and the Separate D</w:t>
      </w:r>
      <w:r w:rsidR="007270D1">
        <w:rPr>
          <w:rFonts w:ascii="Calibri" w:hAnsi="Calibri"/>
        </w:rPr>
        <w:t>epartment for the Dispensing of </w:t>
      </w:r>
      <w:r w:rsidRPr="008B59C9">
        <w:rPr>
          <w:rFonts w:ascii="Calibri" w:hAnsi="Calibri"/>
        </w:rPr>
        <w:t>Medicines and Medical Devices. These inspections were carri</w:t>
      </w:r>
      <w:r w:rsidR="007270D1">
        <w:rPr>
          <w:rFonts w:ascii="Calibri" w:hAnsi="Calibri"/>
        </w:rPr>
        <w:t>ed out by the inspectors of the </w:t>
      </w:r>
      <w:r w:rsidRPr="008B59C9">
        <w:rPr>
          <w:rFonts w:ascii="Calibri" w:hAnsi="Calibri"/>
        </w:rPr>
        <w:t>Institute between 2012 and 2022. The observed data were processed into graphs and evaluated. This part of the thesis also mentions examples of fines imposed for offences committed and the amount of the</w:t>
      </w:r>
      <w:r w:rsidR="00F243BC" w:rsidRPr="008B59C9">
        <w:rPr>
          <w:rFonts w:ascii="Calibri" w:hAnsi="Calibri"/>
        </w:rPr>
        <w:t>se fine.</w:t>
      </w:r>
    </w:p>
    <w:p w:rsidR="00242A81" w:rsidRPr="008B59C9" w:rsidRDefault="00242A81" w:rsidP="00242A81">
      <w:pPr>
        <w:pStyle w:val="Standard"/>
        <w:spacing w:line="360" w:lineRule="auto"/>
        <w:ind w:firstLine="708"/>
        <w:jc w:val="both"/>
        <w:rPr>
          <w:rFonts w:ascii="Calibri" w:hAnsi="Calibri"/>
        </w:rPr>
      </w:pPr>
      <w:r w:rsidRPr="008B59C9">
        <w:rPr>
          <w:rFonts w:ascii="Calibri" w:hAnsi="Calibri"/>
        </w:rPr>
        <w:t xml:space="preserve">The goal of this thesis was to introduce the institute. </w:t>
      </w:r>
      <w:r w:rsidR="00F243BC" w:rsidRPr="008B59C9">
        <w:rPr>
          <w:rFonts w:ascii="Calibri" w:hAnsi="Calibri"/>
        </w:rPr>
        <w:t>A lot of interesting information was found that could have been mentioned and discussed more in this thesis, but the thesis was chosen in this scope.</w:t>
      </w:r>
    </w:p>
    <w:p w:rsidR="00F243BC" w:rsidRPr="008B59C9" w:rsidRDefault="00242A81" w:rsidP="00F243BC">
      <w:pPr>
        <w:pStyle w:val="Standard"/>
        <w:spacing w:line="360" w:lineRule="auto"/>
        <w:ind w:firstLine="708"/>
        <w:jc w:val="both"/>
        <w:rPr>
          <w:rFonts w:ascii="Calibri" w:hAnsi="Calibri"/>
        </w:rPr>
      </w:pPr>
      <w:r w:rsidRPr="008B59C9">
        <w:rPr>
          <w:rFonts w:ascii="Calibri" w:hAnsi="Calibri"/>
        </w:rPr>
        <w:t>The result of this thesis should be a comprehensive view of misdemeanors, which has been achieved.</w:t>
      </w:r>
      <w:r w:rsidR="00F243BC" w:rsidRPr="008B59C9">
        <w:rPr>
          <w:rFonts w:ascii="Calibri" w:hAnsi="Calibri"/>
        </w:rPr>
        <w:t xml:space="preserve"> </w:t>
      </w:r>
    </w:p>
    <w:p w:rsidR="00294E20" w:rsidRPr="008B59C9" w:rsidRDefault="00242A81" w:rsidP="00F243BC">
      <w:pPr>
        <w:pStyle w:val="Standard"/>
        <w:spacing w:line="360" w:lineRule="auto"/>
        <w:ind w:firstLine="708"/>
        <w:jc w:val="both"/>
        <w:rPr>
          <w:rFonts w:ascii="Calibri" w:hAnsi="Calibri"/>
        </w:rPr>
      </w:pPr>
      <w:r w:rsidRPr="008B59C9">
        <w:rPr>
          <w:rFonts w:ascii="Calibri" w:hAnsi="Calibri"/>
        </w:rPr>
        <w:t>The topic of this thesis was chosen because the author of the thesis has experience with laws</w:t>
      </w:r>
      <w:r w:rsidR="00F243BC" w:rsidRPr="008B59C9">
        <w:rPr>
          <w:rFonts w:ascii="Calibri" w:hAnsi="Calibri"/>
        </w:rPr>
        <w:t>,</w:t>
      </w:r>
      <w:r w:rsidRPr="008B59C9">
        <w:rPr>
          <w:rFonts w:ascii="Calibri" w:hAnsi="Calibri"/>
        </w:rPr>
        <w:t xml:space="preserve"> and the control activities of the Institute looked interesting.</w:t>
      </w:r>
    </w:p>
    <w:p w:rsidR="00242A81" w:rsidRPr="008B59C9" w:rsidRDefault="00242A81" w:rsidP="00294E20">
      <w:pPr>
        <w:pStyle w:val="Standard"/>
        <w:spacing w:line="360" w:lineRule="auto"/>
        <w:jc w:val="both"/>
        <w:rPr>
          <w:rFonts w:ascii="Calibri" w:hAnsi="Calibri"/>
        </w:rPr>
      </w:pPr>
    </w:p>
    <w:p w:rsidR="00294E20" w:rsidRPr="008B59C9" w:rsidRDefault="00294E20" w:rsidP="00294E20">
      <w:pPr>
        <w:pStyle w:val="Standard"/>
        <w:spacing w:line="360" w:lineRule="auto"/>
        <w:jc w:val="both"/>
        <w:rPr>
          <w:rFonts w:ascii="Calibri" w:hAnsi="Calibri"/>
        </w:rPr>
      </w:pPr>
      <w:r w:rsidRPr="008B59C9">
        <w:rPr>
          <w:rFonts w:ascii="Calibri" w:hAnsi="Calibri"/>
        </w:rPr>
        <w:t>Keywords</w:t>
      </w:r>
    </w:p>
    <w:p w:rsidR="00294E20" w:rsidRPr="009B6509" w:rsidRDefault="00294E20" w:rsidP="00873233">
      <w:pPr>
        <w:pStyle w:val="Standard"/>
        <w:spacing w:line="360" w:lineRule="auto"/>
        <w:ind w:firstLine="708"/>
        <w:jc w:val="both"/>
        <w:rPr>
          <w:rFonts w:ascii="Calibri" w:hAnsi="Calibri"/>
          <w:lang w:val="cs-CZ"/>
        </w:rPr>
      </w:pPr>
      <w:r w:rsidRPr="008B59C9">
        <w:rPr>
          <w:rFonts w:ascii="Calibri" w:hAnsi="Calibri"/>
        </w:rPr>
        <w:t xml:space="preserve">State </w:t>
      </w:r>
      <w:r w:rsidR="008B59C9" w:rsidRPr="008B59C9">
        <w:rPr>
          <w:rFonts w:ascii="Calibri" w:hAnsi="Calibri"/>
        </w:rPr>
        <w:t>Institute</w:t>
      </w:r>
      <w:r w:rsidRPr="008B59C9">
        <w:rPr>
          <w:rFonts w:ascii="Calibri" w:hAnsi="Calibri"/>
        </w:rPr>
        <w:t xml:space="preserve"> for Drug Control, pharmacy, pharmacy control,</w:t>
      </w:r>
      <w:r w:rsidR="00535A84" w:rsidRPr="008B59C9">
        <w:t xml:space="preserve"> </w:t>
      </w:r>
      <w:r w:rsidR="00535A84" w:rsidRPr="008B59C9">
        <w:rPr>
          <w:rFonts w:ascii="Calibri" w:hAnsi="Calibri"/>
        </w:rPr>
        <w:t>fine, health, medicine.</w:t>
      </w:r>
    </w:p>
    <w:p w:rsidR="00294E20" w:rsidRDefault="00294E20" w:rsidP="00294E20">
      <w:pPr>
        <w:spacing w:after="0" w:line="360" w:lineRule="auto"/>
        <w:rPr>
          <w:rFonts w:asciiTheme="minorHAnsi" w:hAnsiTheme="minorHAnsi" w:cstheme="minorHAnsi"/>
          <w:color w:val="auto"/>
        </w:rPr>
      </w:pPr>
      <w:r w:rsidRPr="002872A6">
        <w:rPr>
          <w:rFonts w:asciiTheme="minorHAnsi" w:hAnsiTheme="minorHAnsi" w:cstheme="minorHAnsi"/>
          <w:color w:val="auto"/>
        </w:rPr>
        <w:br w:type="page"/>
      </w:r>
    </w:p>
    <w:p w:rsidR="0043344A" w:rsidRPr="00AA2E53" w:rsidRDefault="0043344A" w:rsidP="0043344A">
      <w:pPr>
        <w:pStyle w:val="Nadpis1"/>
        <w:numPr>
          <w:ilvl w:val="0"/>
          <w:numId w:val="0"/>
        </w:numPr>
        <w:rPr>
          <w:rFonts w:asciiTheme="minorHAnsi" w:hAnsiTheme="minorHAnsi" w:cstheme="minorHAnsi"/>
          <w:b/>
          <w:color w:val="auto"/>
        </w:rPr>
      </w:pPr>
      <w:bookmarkStart w:id="148" w:name="_Toc165990665"/>
      <w:r>
        <w:rPr>
          <w:rFonts w:asciiTheme="minorHAnsi" w:hAnsiTheme="minorHAnsi" w:cstheme="minorHAnsi"/>
          <w:b/>
          <w:color w:val="auto"/>
        </w:rPr>
        <w:lastRenderedPageBreak/>
        <w:t>Seznam zkratek</w:t>
      </w:r>
      <w:bookmarkEnd w:id="148"/>
    </w:p>
    <w:p w:rsidR="00115C71" w:rsidRDefault="00115C71" w:rsidP="00294E20">
      <w:pPr>
        <w:spacing w:after="0" w:line="360" w:lineRule="auto"/>
        <w:rPr>
          <w:rFonts w:asciiTheme="minorHAnsi" w:hAnsiTheme="minorHAnsi" w:cstheme="minorHAnsi"/>
          <w:color w:val="auto"/>
          <w:sz w:val="24"/>
          <w:szCs w:val="24"/>
        </w:rPr>
      </w:pPr>
    </w:p>
    <w:p w:rsidR="00F31E36" w:rsidRDefault="00F31E36" w:rsidP="00294E20">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č. </w:t>
      </w:r>
      <w:r w:rsidR="00F61844">
        <w:rPr>
          <w:rFonts w:asciiTheme="minorHAnsi" w:hAnsiTheme="minorHAnsi" w:cstheme="minorHAnsi"/>
          <w:color w:val="auto"/>
          <w:sz w:val="24"/>
          <w:szCs w:val="24"/>
        </w:rPr>
        <w:t>–</w:t>
      </w:r>
      <w:r>
        <w:rPr>
          <w:rFonts w:asciiTheme="minorHAnsi" w:hAnsiTheme="minorHAnsi" w:cstheme="minorHAnsi"/>
          <w:color w:val="auto"/>
          <w:sz w:val="24"/>
          <w:szCs w:val="24"/>
        </w:rPr>
        <w:t xml:space="preserve"> číslo</w:t>
      </w:r>
    </w:p>
    <w:p w:rsidR="00F61844" w:rsidRDefault="00F61844" w:rsidP="00294E20">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dr. </w:t>
      </w:r>
      <w:r w:rsidR="00572496">
        <w:rPr>
          <w:rFonts w:asciiTheme="minorHAnsi" w:hAnsiTheme="minorHAnsi" w:cstheme="minorHAnsi"/>
          <w:color w:val="auto"/>
          <w:sz w:val="24"/>
          <w:szCs w:val="24"/>
        </w:rPr>
        <w:t>- d</w:t>
      </w:r>
      <w:r>
        <w:rPr>
          <w:rFonts w:asciiTheme="minorHAnsi" w:hAnsiTheme="minorHAnsi" w:cstheme="minorHAnsi"/>
          <w:color w:val="auto"/>
          <w:sz w:val="24"/>
          <w:szCs w:val="24"/>
        </w:rPr>
        <w:t>oktor</w:t>
      </w:r>
      <w:r w:rsidR="00572496">
        <w:rPr>
          <w:rFonts w:asciiTheme="minorHAnsi" w:hAnsiTheme="minorHAnsi" w:cstheme="minorHAnsi"/>
          <w:color w:val="auto"/>
          <w:sz w:val="24"/>
          <w:szCs w:val="24"/>
        </w:rPr>
        <w:t>, akademicko-vědecký titul</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EDQM - </w:t>
      </w:r>
      <w:r w:rsidRPr="002872A6">
        <w:rPr>
          <w:rFonts w:asciiTheme="minorHAnsi" w:hAnsiTheme="minorHAnsi" w:cstheme="minorHAnsi"/>
          <w:color w:val="auto"/>
          <w:sz w:val="24"/>
          <w:szCs w:val="24"/>
        </w:rPr>
        <w:t>Evropské ústředí pro kvalitu léčiv a</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zdravotní péče Rady Evropy</w:t>
      </w:r>
    </w:p>
    <w:p w:rsidR="00C81B8A" w:rsidRDefault="00C81B8A"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EHS – Evropské hospodářské společenství</w:t>
      </w:r>
    </w:p>
    <w:p w:rsidR="00C81B8A"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EMA - </w:t>
      </w:r>
      <w:r w:rsidRPr="002872A6">
        <w:rPr>
          <w:rFonts w:asciiTheme="minorHAnsi" w:hAnsiTheme="minorHAnsi" w:cstheme="minorHAnsi"/>
          <w:color w:val="auto"/>
          <w:sz w:val="24"/>
          <w:szCs w:val="24"/>
        </w:rPr>
        <w:t>Evropská agentura pro léčiva</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ES – Evropská společenství</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EU – Evropská unie</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HMA - </w:t>
      </w:r>
      <w:r w:rsidRPr="002872A6">
        <w:rPr>
          <w:rFonts w:asciiTheme="minorHAnsi" w:hAnsiTheme="minorHAnsi" w:cstheme="minorHAnsi"/>
          <w:color w:val="auto"/>
          <w:sz w:val="24"/>
          <w:szCs w:val="24"/>
        </w:rPr>
        <w:t>Síť</w:t>
      </w:r>
      <w:r>
        <w:rPr>
          <w:rFonts w:asciiTheme="minorHAnsi" w:hAnsiTheme="minorHAnsi" w:cstheme="minorHAnsi"/>
          <w:color w:val="auto"/>
          <w:sz w:val="24"/>
          <w:szCs w:val="24"/>
        </w:rPr>
        <w:t> </w:t>
      </w:r>
      <w:r w:rsidRPr="002872A6">
        <w:rPr>
          <w:rFonts w:asciiTheme="minorHAnsi" w:hAnsiTheme="minorHAnsi" w:cstheme="minorHAnsi"/>
          <w:color w:val="auto"/>
          <w:sz w:val="24"/>
          <w:szCs w:val="24"/>
        </w:rPr>
        <w:t>ředitelů lékových agentur</w:t>
      </w:r>
    </w:p>
    <w:p w:rsidR="00F31E36" w:rsidRDefault="00F31E36" w:rsidP="00294E20">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Kč – korun českých</w:t>
      </w:r>
    </w:p>
    <w:p w:rsidR="00F31E36" w:rsidRDefault="00F31E36" w:rsidP="00294E20">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MBA </w:t>
      </w:r>
      <w:r w:rsidR="00115C71">
        <w:rPr>
          <w:rFonts w:asciiTheme="minorHAnsi" w:hAnsiTheme="minorHAnsi" w:cstheme="minorHAnsi"/>
          <w:color w:val="auto"/>
          <w:sz w:val="24"/>
          <w:szCs w:val="24"/>
        </w:rPr>
        <w:t>–</w:t>
      </w:r>
      <w:r>
        <w:rPr>
          <w:rFonts w:asciiTheme="minorHAnsi" w:hAnsiTheme="minorHAnsi" w:cstheme="minorHAnsi"/>
          <w:color w:val="auto"/>
          <w:sz w:val="24"/>
          <w:szCs w:val="24"/>
        </w:rPr>
        <w:t xml:space="preserve"> </w:t>
      </w:r>
      <w:r w:rsidR="00115C71">
        <w:rPr>
          <w:rFonts w:asciiTheme="minorHAnsi" w:hAnsiTheme="minorHAnsi" w:cstheme="minorHAnsi"/>
          <w:color w:val="auto"/>
          <w:sz w:val="24"/>
          <w:szCs w:val="24"/>
        </w:rPr>
        <w:t>titul magisterského stupně, Master of Business Administration</w:t>
      </w:r>
    </w:p>
    <w:p w:rsidR="00572496" w:rsidRDefault="00572496"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Ministerstvo zdravotnictví – Ministerstvo zdravotnictví České republiky</w:t>
      </w:r>
    </w:p>
    <w:p w:rsidR="00572496" w:rsidRDefault="00C81B8A"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MUDr.</w:t>
      </w:r>
      <w:r w:rsidR="00572496">
        <w:rPr>
          <w:rFonts w:asciiTheme="minorHAnsi" w:hAnsiTheme="minorHAnsi" w:cstheme="minorHAnsi"/>
          <w:color w:val="auto"/>
          <w:sz w:val="24"/>
          <w:szCs w:val="24"/>
        </w:rPr>
        <w:t xml:space="preserve"> – doktor medicíny</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OOVL – </w:t>
      </w:r>
      <w:r w:rsidRPr="002872A6">
        <w:rPr>
          <w:rFonts w:asciiTheme="minorHAnsi" w:hAnsiTheme="minorHAnsi" w:cstheme="minorHAnsi"/>
          <w:color w:val="auto"/>
          <w:sz w:val="24"/>
          <w:szCs w:val="24"/>
        </w:rPr>
        <w:t>odlo</w:t>
      </w:r>
      <w:r>
        <w:rPr>
          <w:rFonts w:asciiTheme="minorHAnsi" w:hAnsiTheme="minorHAnsi" w:cstheme="minorHAnsi"/>
          <w:color w:val="auto"/>
          <w:sz w:val="24"/>
          <w:szCs w:val="24"/>
        </w:rPr>
        <w:t>učených oddělení pro výdej léčivých přípravků a </w:t>
      </w:r>
      <w:r w:rsidRPr="002872A6">
        <w:rPr>
          <w:rFonts w:asciiTheme="minorHAnsi" w:hAnsiTheme="minorHAnsi" w:cstheme="minorHAnsi"/>
          <w:color w:val="auto"/>
          <w:sz w:val="24"/>
          <w:szCs w:val="24"/>
        </w:rPr>
        <w:t>zdravotnických prostředků</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PharmDr. – doktor farmacie</w:t>
      </w:r>
    </w:p>
    <w:p w:rsidR="00C81B8A" w:rsidRDefault="00C81B8A" w:rsidP="00115C71">
      <w:pPr>
        <w:spacing w:after="0" w:line="360" w:lineRule="auto"/>
        <w:rPr>
          <w:rFonts w:asciiTheme="minorHAnsi" w:hAnsiTheme="minorHAnsi" w:cstheme="minorHAnsi"/>
          <w:color w:val="auto"/>
          <w:sz w:val="24"/>
          <w:szCs w:val="24"/>
        </w:rPr>
      </w:pPr>
      <w:r w:rsidRPr="002872A6">
        <w:rPr>
          <w:rFonts w:asciiTheme="minorHAnsi" w:hAnsiTheme="minorHAnsi" w:cstheme="minorHAnsi"/>
          <w:color w:val="auto"/>
          <w:sz w:val="24"/>
          <w:szCs w:val="24"/>
        </w:rPr>
        <w:t>prof.</w:t>
      </w:r>
      <w:r>
        <w:rPr>
          <w:rFonts w:asciiTheme="minorHAnsi" w:hAnsiTheme="minorHAnsi" w:cstheme="minorHAnsi"/>
          <w:color w:val="auto"/>
          <w:sz w:val="24"/>
          <w:szCs w:val="24"/>
        </w:rPr>
        <w:t xml:space="preserve"> - </w:t>
      </w:r>
      <w:r w:rsidR="00F61844">
        <w:rPr>
          <w:rFonts w:asciiTheme="minorHAnsi" w:hAnsiTheme="minorHAnsi" w:cstheme="minorHAnsi"/>
          <w:color w:val="auto"/>
          <w:sz w:val="24"/>
          <w:szCs w:val="24"/>
        </w:rPr>
        <w:t>profes</w:t>
      </w:r>
      <w:r w:rsidR="00467AA0">
        <w:rPr>
          <w:rFonts w:asciiTheme="minorHAnsi" w:hAnsiTheme="minorHAnsi" w:cstheme="minorHAnsi"/>
          <w:color w:val="auto"/>
          <w:sz w:val="24"/>
          <w:szCs w:val="24"/>
        </w:rPr>
        <w:t>or</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Sb. - sbírky</w:t>
      </w:r>
      <w:r w:rsidRPr="00F31E36">
        <w:rPr>
          <w:rFonts w:asciiTheme="minorHAnsi" w:hAnsiTheme="minorHAnsi" w:cstheme="minorHAnsi"/>
          <w:color w:val="auto"/>
          <w:sz w:val="24"/>
          <w:szCs w:val="24"/>
        </w:rPr>
        <w:t xml:space="preserve"> </w:t>
      </w:r>
    </w:p>
    <w:p w:rsidR="008F39F2" w:rsidRDefault="008F39F2" w:rsidP="00115C71">
      <w:pPr>
        <w:spacing w:after="0" w:line="360" w:lineRule="auto"/>
        <w:rPr>
          <w:rFonts w:asciiTheme="minorHAnsi" w:hAnsiTheme="minorHAnsi" w:cstheme="minorHAnsi"/>
          <w:color w:val="auto"/>
          <w:sz w:val="24"/>
          <w:szCs w:val="24"/>
        </w:rPr>
      </w:pPr>
      <w:r w:rsidRPr="008F39F2">
        <w:rPr>
          <w:rFonts w:asciiTheme="minorHAnsi" w:hAnsiTheme="minorHAnsi" w:cstheme="minorHAnsi"/>
          <w:color w:val="auto"/>
          <w:sz w:val="24"/>
          <w:szCs w:val="24"/>
        </w:rPr>
        <w:t>s. r. o</w:t>
      </w:r>
      <w:r>
        <w:rPr>
          <w:rFonts w:asciiTheme="minorHAnsi" w:hAnsiTheme="minorHAnsi" w:cstheme="minorHAnsi"/>
          <w:color w:val="auto"/>
          <w:sz w:val="24"/>
          <w:szCs w:val="24"/>
        </w:rPr>
        <w:t>. – společnost s ručením omezeným</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SÚKL – Státní ústav pro kontrolu léčiv</w:t>
      </w:r>
    </w:p>
    <w:p w:rsidR="00115C71" w:rsidRDefault="00115C71" w:rsidP="00115C71">
      <w:pPr>
        <w:spacing w:after="0"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WHO - </w:t>
      </w:r>
      <w:r w:rsidRPr="002872A6">
        <w:rPr>
          <w:rFonts w:asciiTheme="minorHAnsi" w:hAnsiTheme="minorHAnsi" w:cstheme="minorHAnsi"/>
          <w:color w:val="auto"/>
          <w:sz w:val="24"/>
          <w:szCs w:val="24"/>
        </w:rPr>
        <w:t>Světová zdravotnická organizace</w:t>
      </w:r>
    </w:p>
    <w:p w:rsidR="00AD09BD" w:rsidRDefault="00AD09BD" w:rsidP="00115C71">
      <w:pPr>
        <w:spacing w:after="0" w:line="360" w:lineRule="auto"/>
        <w:rPr>
          <w:rFonts w:asciiTheme="minorHAnsi" w:hAnsiTheme="minorHAnsi" w:cstheme="minorHAnsi"/>
          <w:color w:val="auto"/>
          <w:sz w:val="24"/>
          <w:szCs w:val="24"/>
        </w:rPr>
      </w:pPr>
      <w:r w:rsidRPr="002872A6">
        <w:rPr>
          <w:rFonts w:asciiTheme="minorHAnsi" w:hAnsiTheme="minorHAnsi" w:cstheme="minorHAnsi"/>
          <w:color w:val="auto"/>
          <w:sz w:val="24"/>
          <w:szCs w:val="24"/>
        </w:rPr>
        <w:t>zákon o cenách a pravidlech cenové regulace</w:t>
      </w:r>
      <w:r>
        <w:rPr>
          <w:rFonts w:asciiTheme="minorHAnsi" w:hAnsiTheme="minorHAnsi" w:cstheme="minorHAnsi"/>
          <w:color w:val="auto"/>
          <w:sz w:val="24"/>
          <w:szCs w:val="24"/>
        </w:rPr>
        <w:t xml:space="preserve"> - </w:t>
      </w:r>
      <w:r w:rsidRPr="00BC3433">
        <w:rPr>
          <w:rFonts w:asciiTheme="minorHAnsi" w:hAnsiTheme="minorHAnsi" w:cstheme="minorHAnsi"/>
          <w:color w:val="auto"/>
          <w:sz w:val="24"/>
          <w:szCs w:val="24"/>
        </w:rPr>
        <w:t>zákon číslo 526/1990 Sb., o cenách</w:t>
      </w:r>
    </w:p>
    <w:p w:rsidR="00582124" w:rsidRDefault="00582124" w:rsidP="00582124">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zákon o léčivech - </w:t>
      </w:r>
      <w:r w:rsidRPr="002872A6">
        <w:rPr>
          <w:rFonts w:asciiTheme="minorHAnsi" w:hAnsiTheme="minorHAnsi" w:cstheme="minorHAnsi"/>
          <w:color w:val="auto"/>
          <w:sz w:val="24"/>
          <w:szCs w:val="24"/>
        </w:rPr>
        <w:t xml:space="preserve">zákon číslo 378/2007 Sb., o léčivech a o změnách </w:t>
      </w:r>
      <w:r>
        <w:rPr>
          <w:rFonts w:asciiTheme="minorHAnsi" w:hAnsiTheme="minorHAnsi" w:cstheme="minorHAnsi"/>
          <w:color w:val="auto"/>
          <w:sz w:val="24"/>
          <w:szCs w:val="24"/>
        </w:rPr>
        <w:t>některých souvisejících zákonů</w:t>
      </w:r>
    </w:p>
    <w:p w:rsidR="00582124" w:rsidRDefault="00582124" w:rsidP="00582124">
      <w:pPr>
        <w:spacing w:after="0" w:line="36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zákon o návykových látkách</w:t>
      </w:r>
      <w:r w:rsidRPr="002872A6">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w:t>
      </w:r>
      <w:r w:rsidRPr="002872A6">
        <w:rPr>
          <w:rFonts w:asciiTheme="minorHAnsi" w:hAnsiTheme="minorHAnsi" w:cstheme="minorHAnsi"/>
          <w:color w:val="auto"/>
          <w:sz w:val="24"/>
          <w:szCs w:val="24"/>
        </w:rPr>
        <w:t xml:space="preserve">zákon číslo </w:t>
      </w:r>
      <w:r>
        <w:rPr>
          <w:rFonts w:asciiTheme="minorHAnsi" w:hAnsiTheme="minorHAnsi" w:cstheme="minorHAnsi"/>
          <w:color w:val="auto"/>
          <w:sz w:val="24"/>
          <w:szCs w:val="24"/>
        </w:rPr>
        <w:t>167/1998</w:t>
      </w:r>
      <w:r w:rsidRPr="002872A6">
        <w:rPr>
          <w:rFonts w:asciiTheme="minorHAnsi" w:hAnsiTheme="minorHAnsi" w:cstheme="minorHAnsi"/>
          <w:color w:val="auto"/>
          <w:sz w:val="24"/>
          <w:szCs w:val="24"/>
        </w:rPr>
        <w:t xml:space="preserve"> Sb., o </w:t>
      </w:r>
      <w:r>
        <w:rPr>
          <w:rFonts w:asciiTheme="minorHAnsi" w:hAnsiTheme="minorHAnsi" w:cstheme="minorHAnsi"/>
          <w:color w:val="auto"/>
          <w:sz w:val="24"/>
          <w:szCs w:val="24"/>
        </w:rPr>
        <w:t>návykových látkách a o změně některých dalších zákonů</w:t>
      </w:r>
    </w:p>
    <w:p w:rsidR="00F31E36" w:rsidRDefault="00F31E36">
      <w:pPr>
        <w:rPr>
          <w:rFonts w:asciiTheme="minorHAnsi" w:hAnsiTheme="minorHAnsi" w:cstheme="minorHAnsi"/>
          <w:color w:val="auto"/>
          <w:sz w:val="24"/>
          <w:szCs w:val="24"/>
        </w:rPr>
      </w:pPr>
      <w:r>
        <w:rPr>
          <w:rFonts w:asciiTheme="minorHAnsi" w:hAnsiTheme="minorHAnsi" w:cstheme="minorHAnsi"/>
          <w:color w:val="auto"/>
          <w:sz w:val="24"/>
          <w:szCs w:val="24"/>
        </w:rPr>
        <w:br w:type="page"/>
      </w:r>
    </w:p>
    <w:p w:rsidR="00294E20" w:rsidRPr="00AA2E53" w:rsidRDefault="00294E20" w:rsidP="00294E20">
      <w:pPr>
        <w:pStyle w:val="Nadpis1"/>
        <w:numPr>
          <w:ilvl w:val="0"/>
          <w:numId w:val="0"/>
        </w:numPr>
        <w:rPr>
          <w:rFonts w:asciiTheme="minorHAnsi" w:hAnsiTheme="minorHAnsi" w:cstheme="minorHAnsi"/>
          <w:b/>
          <w:color w:val="auto"/>
        </w:rPr>
      </w:pPr>
      <w:bookmarkStart w:id="149" w:name="_Toc164078851"/>
      <w:bookmarkStart w:id="150" w:name="_Toc163647390"/>
      <w:bookmarkStart w:id="151" w:name="_Toc163759386"/>
      <w:bookmarkStart w:id="152" w:name="_Toc165990666"/>
      <w:bookmarkEnd w:id="149"/>
      <w:bookmarkEnd w:id="150"/>
      <w:bookmarkEnd w:id="151"/>
      <w:r w:rsidRPr="00AA2E53">
        <w:rPr>
          <w:rFonts w:asciiTheme="minorHAnsi" w:hAnsiTheme="minorHAnsi" w:cstheme="minorHAnsi"/>
          <w:b/>
          <w:color w:val="auto"/>
        </w:rPr>
        <w:lastRenderedPageBreak/>
        <w:t>Bibliografie</w:t>
      </w:r>
      <w:bookmarkEnd w:id="152"/>
    </w:p>
    <w:p w:rsidR="00294E20" w:rsidRPr="004C394D" w:rsidRDefault="00294E20" w:rsidP="004C394D">
      <w:pPr>
        <w:suppressAutoHyphens/>
        <w:spacing w:after="0" w:line="360" w:lineRule="auto"/>
        <w:jc w:val="both"/>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 </w:t>
      </w:r>
      <w:r w:rsidRPr="004C394D">
        <w:rPr>
          <w:rFonts w:asciiTheme="minorHAnsi" w:hAnsiTheme="minorHAnsi" w:cstheme="minorHAnsi"/>
          <w:sz w:val="24"/>
          <w:szCs w:val="24"/>
        </w:rPr>
        <w:t>Státní ústav pro kontrolu léčiv (SÚKL). 100 LET DOHLÍŽÍME NA BEZPEČNOST, ÚČINNOST A KVALITU LÉČIV. Online. Státní ústav pro kontrolu léčiv, 2018. Dostupné z: https://www.sukl.cz/file/89485_1_1/download/ [staženo 2024-06-03].</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[2] </w:t>
      </w:r>
      <w:r w:rsidRPr="004C394D">
        <w:rPr>
          <w:rFonts w:asciiTheme="minorHAnsi" w:hAnsiTheme="minorHAnsi" w:cstheme="minorHAnsi"/>
          <w:sz w:val="24"/>
          <w:szCs w:val="24"/>
        </w:rPr>
        <w:t>Státní ústav pro kontrolu léčiv (SÚKL). 95 let poznatků Ohlédnutí za historii Ústavu. Online. Státní ústav pro kontrolu léčiv, 2013. Dostupné z: https://www.sukl.cz/file/76600_1_1/download/ [staženo 2024-06-03].</w:t>
      </w:r>
      <w:r w:rsidRPr="004C394D">
        <w:rPr>
          <w:rFonts w:asciiTheme="minorHAnsi" w:hAnsiTheme="minorHAnsi" w:cstheme="minorHAnsi"/>
          <w:color w:val="auto"/>
          <w:sz w:val="24"/>
          <w:szCs w:val="24"/>
        </w:rPr>
        <w:t xml:space="preserve"> ISBN 978-80-87916-00-1</w:t>
      </w:r>
      <w:r w:rsidRPr="004C394D">
        <w:rPr>
          <w:rFonts w:asciiTheme="minorHAnsi" w:hAnsiTheme="minorHAnsi" w:cstheme="minorHAnsi"/>
          <w:sz w:val="24"/>
          <w:szCs w:val="24"/>
        </w:rPr>
        <w:t>.</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[3] </w:t>
      </w:r>
      <w:r w:rsidRPr="004C394D">
        <w:rPr>
          <w:rFonts w:asciiTheme="minorHAnsi" w:hAnsiTheme="minorHAnsi" w:cstheme="minorHAnsi"/>
          <w:sz w:val="24"/>
          <w:szCs w:val="24"/>
        </w:rPr>
        <w:t>ČESKO. Zákon číslo 378 ze dne 6. prosince 2007 o léčivech a o změnách některých souvisejících zákonů (zákon o léčivech). In: Sbírka zákonů České republiky. 2007, částka 115, s. 5342-5428, ISSN 1211-1244.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[4] </w:t>
      </w:r>
      <w:r w:rsidRPr="004C394D">
        <w:rPr>
          <w:rFonts w:asciiTheme="minorHAnsi" w:hAnsiTheme="minorHAnsi" w:cstheme="minorHAnsi"/>
          <w:sz w:val="24"/>
          <w:szCs w:val="24"/>
        </w:rPr>
        <w:t>ČESKO. Zákon číslo 110 ze dne 24. dubna 1997 o potravinách a tabákových výrobcích a o změně a doplnění některých souvisejících zákonů. In: Sbírka zákonů České republiky. 2014, částka 59, s. 1518-1537, ISSN 1211-1244.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[5] </w:t>
      </w:r>
      <w:r w:rsidR="00F449E3" w:rsidRPr="00F449E3">
        <w:rPr>
          <w:rFonts w:cs="Arial"/>
          <w:sz w:val="24"/>
          <w:szCs w:val="24"/>
        </w:rPr>
        <w:t>ČESKO. Nařízení Evropského parlamentu a Rady (EU) 2017/745 ze dne 5. dubna 2017 o zdravotních prostředcích. Úřední věstník Evropské unie, L 117, 5. 5. 2017, s. 1-175, ISSN 1725-5074.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[6] </w:t>
      </w:r>
      <w:r w:rsidRPr="004C394D">
        <w:rPr>
          <w:rFonts w:asciiTheme="minorHAnsi" w:hAnsiTheme="minorHAnsi" w:cstheme="minorHAnsi"/>
          <w:sz w:val="24"/>
          <w:szCs w:val="24"/>
        </w:rPr>
        <w:t>ČESKO. Nařízení Evropského parlamentu a Rady (ES) 1223/2009 ze dne 30. listopadu 2009 o kosmetických přípravcích. Úřední věstník Evropské unie, L 342, 22. 12. 2009, s. 59-209, ISSN 1725-5074.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[7] </w:t>
      </w:r>
      <w:r w:rsidRPr="004C394D">
        <w:rPr>
          <w:rFonts w:asciiTheme="minorHAnsi" w:hAnsiTheme="minorHAnsi" w:cstheme="minorHAnsi"/>
          <w:sz w:val="24"/>
          <w:szCs w:val="24"/>
        </w:rPr>
        <w:t xml:space="preserve">ČESKO. Nařízení Evropského parlamentu a Rady (EU) 609/2013 ze dne 12. června 2013 o potravinách určených pro kojence a malé děti, potravinách pro zvláštní lékařské účely a náhradě celodenní stravy pro regulaci hmotnosti a o zrušení směrnice Rady 92/52/EHS, směrnic Komise 96/8/ES, 1999/21/ES, 2006/125/ES a 2006/141/ES, směrnice Evropského parlamentu a Rady 2009/39/ES a nařízení Komise (ES) č. 41/2009 </w:t>
      </w:r>
      <w:r w:rsidRPr="004C394D">
        <w:rPr>
          <w:rFonts w:asciiTheme="minorHAnsi" w:hAnsiTheme="minorHAnsi" w:cstheme="minorHAnsi"/>
          <w:sz w:val="24"/>
          <w:szCs w:val="24"/>
        </w:rPr>
        <w:lastRenderedPageBreak/>
        <w:t>a (ES) č. 953/2009. Úřední věstník Evropské unie, L 181, 29. 06. 2013, s. 35-569, ISSN 1977-0626.</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[8] INSERM US14. </w:t>
      </w:r>
      <w:r w:rsidRPr="004C394D">
        <w:rPr>
          <w:rFonts w:asciiTheme="minorHAnsi" w:hAnsiTheme="minorHAnsi" w:cstheme="minorHAnsi"/>
          <w:i/>
          <w:color w:val="auto"/>
          <w:sz w:val="24"/>
          <w:szCs w:val="24"/>
        </w:rPr>
        <w:t>About orphan drugs.</w:t>
      </w:r>
      <w:r w:rsidRPr="004C394D">
        <w:rPr>
          <w:rFonts w:asciiTheme="minorHAnsi" w:hAnsiTheme="minorHAnsi" w:cstheme="minorHAnsi"/>
          <w:color w:val="auto"/>
          <w:sz w:val="24"/>
          <w:szCs w:val="24"/>
        </w:rPr>
        <w:t xml:space="preserve"> Online. INSERM US14. About orphan drugs. 2024 Dostupné z : https://www.orphan.net/cs/other-information/about-orphan-drugs</w:t>
      </w:r>
      <w:r w:rsidRPr="004C394D">
        <w:rPr>
          <w:rFonts w:asciiTheme="minorHAnsi" w:hAnsiTheme="minorHAnsi" w:cstheme="minorHAnsi"/>
          <w:sz w:val="24"/>
          <w:szCs w:val="24"/>
        </w:rPr>
        <w:t xml:space="preserve"> [staženo 2024-04-06]</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[9] </w:t>
      </w:r>
      <w:r w:rsidRPr="004C394D">
        <w:rPr>
          <w:rFonts w:asciiTheme="minorHAnsi" w:hAnsiTheme="minorHAnsi" w:cstheme="minorHAnsi"/>
          <w:sz w:val="24"/>
          <w:szCs w:val="24"/>
        </w:rPr>
        <w:t>ČESKO. Zákon číslo 372 ze dne 6. listopadu 2011 o zdravotních službách a podmínkách jejich poskytování (zákon o zdravotních službách). In: Sbírka zákonů České republiky. 2011, částka 131, s. 4730-2188, ISSN 1211-1244.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[10] </w:t>
      </w:r>
      <w:r w:rsidRPr="004C394D">
        <w:rPr>
          <w:rFonts w:asciiTheme="minorHAnsi" w:hAnsiTheme="minorHAnsi" w:cstheme="minorHAnsi"/>
          <w:sz w:val="24"/>
          <w:szCs w:val="24"/>
        </w:rPr>
        <w:t>ČESKO. Vyhláška číslo 92 ze dne 15. března 2012 o požadavcích na minimální technické a věcné vybavení zdravotnických zařízení a kontaktních pracovišť domácí péče. In: Sbírka zákonů České republiky. 2012, částka 36, s. 1522-1608, ISSN 1211-1244.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[11] CIKRT, Tomáš. </w:t>
      </w:r>
      <w:r w:rsidRPr="004C394D">
        <w:rPr>
          <w:rFonts w:asciiTheme="minorHAnsi" w:hAnsiTheme="minorHAnsi" w:cstheme="minorHAnsi"/>
          <w:i/>
          <w:color w:val="auto"/>
          <w:sz w:val="24"/>
          <w:szCs w:val="24"/>
        </w:rPr>
        <w:t>Příběhy léků: příručka pro zvídavé čtenáře o vzniku, vlastnostech a používání léků</w:t>
      </w:r>
      <w:r w:rsidRPr="004C394D">
        <w:rPr>
          <w:rFonts w:asciiTheme="minorHAnsi" w:hAnsiTheme="minorHAnsi" w:cstheme="minorHAnsi"/>
          <w:color w:val="auto"/>
          <w:sz w:val="24"/>
          <w:szCs w:val="24"/>
        </w:rPr>
        <w:t>. Praha: Státní ústav pro kontrolu léčiv, 2012. ISBN 978-80-260-1403-4.</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F10EB2"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[12] </w:t>
      </w:r>
      <w:r w:rsidRPr="004C394D">
        <w:rPr>
          <w:rFonts w:asciiTheme="minorHAnsi" w:hAnsiTheme="minorHAnsi" w:cstheme="minorHAnsi"/>
          <w:sz w:val="24"/>
          <w:szCs w:val="24"/>
        </w:rPr>
        <w:t>ČESKO. Zákon číslo 167 ze dne 11. června 1998 o návykových látkách a o změně některých dalších zákonů. In: Sbírka zákonů České republiky. 1998, částka 57, s. 6770-6800, ISSN 1211-1244.</w:t>
      </w:r>
    </w:p>
    <w:p w:rsidR="00BC6425" w:rsidRPr="004C394D" w:rsidRDefault="00BC6425"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t xml:space="preserve">[13] </w:t>
      </w:r>
      <w:r w:rsidRPr="004C394D">
        <w:rPr>
          <w:rFonts w:asciiTheme="minorHAnsi" w:hAnsiTheme="minorHAnsi" w:cstheme="minorHAnsi"/>
          <w:sz w:val="24"/>
          <w:szCs w:val="24"/>
        </w:rPr>
        <w:t>Státní ústav pro kontrolu léčiv (SÚKL). Organizační struktura SÚKL 01_03_2024 ze dne 6. 8. 2013. Online. Dostupné z: https://www.sukl.cz/file/104975_1_1/download/ [staženo 2024-03-06].</w:t>
      </w:r>
    </w:p>
    <w:p w:rsidR="00813159" w:rsidRPr="004C394D" w:rsidRDefault="00813159" w:rsidP="00432B0D">
      <w:pPr>
        <w:suppressAutoHyphens/>
        <w:spacing w:after="0" w:line="360" w:lineRule="auto"/>
        <w:rPr>
          <w:rFonts w:asciiTheme="minorHAnsi" w:hAnsiTheme="minorHAnsi" w:cstheme="minorHAnsi"/>
          <w:sz w:val="24"/>
          <w:szCs w:val="24"/>
        </w:rPr>
      </w:pPr>
    </w:p>
    <w:p w:rsidR="00813159" w:rsidRPr="004C394D" w:rsidRDefault="00813159"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t xml:space="preserve">[14] </w:t>
      </w:r>
      <w:r w:rsidRPr="004C394D">
        <w:rPr>
          <w:rFonts w:asciiTheme="minorHAnsi" w:hAnsiTheme="minorHAnsi" w:cstheme="minorHAnsi"/>
          <w:sz w:val="24"/>
          <w:szCs w:val="24"/>
        </w:rPr>
        <w:t>Státní ústav pro kontrolu léčiv (SÚKL). Statut Státního ústavu pro kontrolu léčiv ze dne 6. 8. 2013. Online. Dostupné z: https://www.sukl.cz/file/76724_1_1/download/ [staženo 2024-03-06].</w:t>
      </w:r>
    </w:p>
    <w:p w:rsidR="00813159" w:rsidRPr="004C394D" w:rsidRDefault="00813159" w:rsidP="00432B0D">
      <w:pPr>
        <w:suppressAutoHyphens/>
        <w:spacing w:after="0" w:line="360" w:lineRule="auto"/>
        <w:rPr>
          <w:rFonts w:asciiTheme="minorHAnsi" w:hAnsiTheme="minorHAnsi" w:cstheme="minorHAnsi"/>
          <w:sz w:val="24"/>
          <w:szCs w:val="24"/>
        </w:rPr>
      </w:pPr>
    </w:p>
    <w:p w:rsidR="00813159" w:rsidRPr="004C394D" w:rsidRDefault="00813159"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lastRenderedPageBreak/>
        <w:t xml:space="preserve">[15] </w:t>
      </w:r>
      <w:r w:rsidRPr="004C394D">
        <w:rPr>
          <w:rFonts w:asciiTheme="minorHAnsi" w:hAnsiTheme="minorHAnsi" w:cstheme="minorHAnsi"/>
          <w:sz w:val="24"/>
          <w:szCs w:val="24"/>
        </w:rPr>
        <w:t>Státní ústav pro kontrolu léčiv (SÚKL). Výroční zpráva 2012. Online. Státní ústav pro kontrolu léčiv, 2013. Dostupné z: https://www.sukl.cz/file/75206_1_1/download/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[16] </w:t>
      </w:r>
      <w:r w:rsidRPr="004C394D">
        <w:rPr>
          <w:rFonts w:asciiTheme="minorHAnsi" w:hAnsiTheme="minorHAnsi" w:cstheme="minorHAnsi"/>
          <w:sz w:val="24"/>
          <w:szCs w:val="24"/>
        </w:rPr>
        <w:t>Státní ústav pro kontrolu léčiv (SÚKL). Výroční zpráva 2013. Online. Státní ústav pro kontrolu léčiv, 2014. Dostupné z: https://www.sukl.cz/file/78156_1_1/download/ [staženo 2024-06-03].</w:t>
      </w:r>
      <w:r w:rsidRPr="004C394D">
        <w:rPr>
          <w:rFonts w:asciiTheme="minorHAnsi" w:hAnsiTheme="minorHAnsi" w:cstheme="minorHAnsi"/>
          <w:color w:val="auto"/>
          <w:sz w:val="24"/>
          <w:szCs w:val="24"/>
        </w:rPr>
        <w:t xml:space="preserve"> </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[17] </w:t>
      </w:r>
      <w:r w:rsidRPr="004C394D">
        <w:rPr>
          <w:rFonts w:asciiTheme="minorHAnsi" w:hAnsiTheme="minorHAnsi" w:cstheme="minorHAnsi"/>
          <w:sz w:val="24"/>
          <w:szCs w:val="24"/>
        </w:rPr>
        <w:t>Státní ústav pro kontrolu léčiv (SÚKL). Výroční zpráva 2014. Online. Státní ústav pro kontrolu léčiv, 2015. Dostupné z: https://www.sukl.cz/file/80909_1_1/download/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t xml:space="preserve">[18] </w:t>
      </w:r>
      <w:r w:rsidRPr="004C394D">
        <w:rPr>
          <w:rFonts w:asciiTheme="minorHAnsi" w:hAnsiTheme="minorHAnsi" w:cstheme="minorHAnsi"/>
          <w:sz w:val="24"/>
          <w:szCs w:val="24"/>
        </w:rPr>
        <w:t>Státní ústav pro kontrolu léčiv (SÚKL). Výroční zpráva 2015. Online. Státní ústav pro kontrolu léčiv, 2016. Dostupné z: https://www.sukl.cz/file/83709_1_1/download/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[19] </w:t>
      </w:r>
      <w:r w:rsidRPr="004C394D">
        <w:rPr>
          <w:rFonts w:asciiTheme="minorHAnsi" w:hAnsiTheme="minorHAnsi" w:cstheme="minorHAnsi"/>
          <w:sz w:val="24"/>
          <w:szCs w:val="24"/>
        </w:rPr>
        <w:t>Státní ústav pro kontrolu léčiv (SÚKL). Výroční zpráva 2016. Online. Státní ústav pro kontrolu léčiv, 2017. Dostupné z: https://www.sukl.cz/file/86011_1_1/download/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[20] </w:t>
      </w:r>
      <w:r w:rsidRPr="004C394D">
        <w:rPr>
          <w:rFonts w:asciiTheme="minorHAnsi" w:hAnsiTheme="minorHAnsi" w:cstheme="minorHAnsi"/>
          <w:sz w:val="24"/>
          <w:szCs w:val="24"/>
        </w:rPr>
        <w:t>Státní ústav pro kontrolu léčiv (SÚKL). Výroční zpráva 2017. Online. Státní ústav pro kontrolu léčiv, 2018. Dostupné z: https://www.sukl.cz/file/88637_1_1/download/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[21] </w:t>
      </w:r>
      <w:r w:rsidRPr="004C394D">
        <w:rPr>
          <w:rFonts w:asciiTheme="minorHAnsi" w:hAnsiTheme="minorHAnsi" w:cstheme="minorHAnsi"/>
          <w:sz w:val="24"/>
          <w:szCs w:val="24"/>
        </w:rPr>
        <w:t>Státní ústav pro kontrolu léčiv (SÚKL). Výroční zpráva 2018. Online. Státní ústav pro kontrolu léčiv, 2019. Dostupné z: https://www.sukl.cz/file/90717_1_1/download/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[22] </w:t>
      </w:r>
      <w:r w:rsidRPr="004C394D">
        <w:rPr>
          <w:rFonts w:asciiTheme="minorHAnsi" w:hAnsiTheme="minorHAnsi" w:cstheme="minorHAnsi"/>
          <w:sz w:val="24"/>
          <w:szCs w:val="24"/>
        </w:rPr>
        <w:t>Státní ústav pro kontrolu léčiv (SÚKL). Výroční zpráva 2019. Online. Státní ústav pro kontrolu léčiv, 2020. Dostupné z: https://www.sukl.cz/file/93501_1_1/download/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lastRenderedPageBreak/>
        <w:t xml:space="preserve">[23] </w:t>
      </w:r>
      <w:r w:rsidRPr="004C394D">
        <w:rPr>
          <w:rFonts w:asciiTheme="minorHAnsi" w:hAnsiTheme="minorHAnsi" w:cstheme="minorHAnsi"/>
          <w:sz w:val="24"/>
          <w:szCs w:val="24"/>
        </w:rPr>
        <w:t>Státní ústav pro kontrolu léčiv (SÚKL). Výroční zpráva 2020. Online. Státní ústav pro kontrolu léčiv, 2021. Dostupné z: https://www.sukl.cz/file/96476_1_1/download/ [staženo 2024-06-03].</w:t>
      </w:r>
    </w:p>
    <w:p w:rsidR="00813159" w:rsidRPr="004C394D" w:rsidRDefault="00813159" w:rsidP="00432B0D">
      <w:pPr>
        <w:suppressAutoHyphens/>
        <w:spacing w:after="0" w:line="360" w:lineRule="auto"/>
        <w:rPr>
          <w:rFonts w:asciiTheme="minorHAnsi" w:hAnsiTheme="minorHAnsi" w:cstheme="minorHAnsi"/>
          <w:color w:val="auto"/>
          <w:sz w:val="24"/>
          <w:szCs w:val="24"/>
        </w:rPr>
      </w:pPr>
    </w:p>
    <w:p w:rsidR="00813159" w:rsidRPr="004C394D" w:rsidRDefault="00813159"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t xml:space="preserve">[24] </w:t>
      </w:r>
      <w:r w:rsidRPr="004C394D">
        <w:rPr>
          <w:rFonts w:asciiTheme="minorHAnsi" w:hAnsiTheme="minorHAnsi" w:cstheme="minorHAnsi"/>
          <w:sz w:val="24"/>
          <w:szCs w:val="24"/>
        </w:rPr>
        <w:t>Státní ústav pro kontrolu léčiv (SÚKL). Výroční zpráva 2021. Online. Státní ústav pro kontrolu léčiv, 2022. Dostupné z: https://www.sukl.cz/file/99232_1_1/download/ [staženo 2024-06-03].</w:t>
      </w:r>
    </w:p>
    <w:p w:rsidR="00813159" w:rsidRPr="004C394D" w:rsidRDefault="00813159" w:rsidP="00432B0D">
      <w:pPr>
        <w:suppressAutoHyphens/>
        <w:spacing w:after="0" w:line="360" w:lineRule="auto"/>
        <w:rPr>
          <w:rFonts w:asciiTheme="minorHAnsi" w:hAnsiTheme="minorHAnsi" w:cstheme="minorHAnsi"/>
          <w:sz w:val="24"/>
          <w:szCs w:val="24"/>
        </w:rPr>
      </w:pPr>
    </w:p>
    <w:p w:rsidR="00813159" w:rsidRPr="004C394D" w:rsidRDefault="00813159"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 xml:space="preserve">[25] </w:t>
      </w:r>
      <w:r w:rsidRPr="004C394D">
        <w:rPr>
          <w:rFonts w:asciiTheme="minorHAnsi" w:hAnsiTheme="minorHAnsi" w:cstheme="minorHAnsi"/>
          <w:sz w:val="24"/>
          <w:szCs w:val="24"/>
        </w:rPr>
        <w:t>Státní ústav pro kontrolu léčiv (SÚKL). Výroční zpráva 2022. Online. Státní ústav pro kontrolu léčiv, 2023. Dostupné z: https://www.sukl.cz/file/102970_1_1/download/ [staženo 2024-06-03].</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F10EB2" w:rsidRPr="004C394D" w:rsidRDefault="001C4A9F"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[26] Státní ústav pro kontrolu léčiv</w:t>
      </w:r>
      <w:r w:rsidR="00447111">
        <w:rPr>
          <w:rFonts w:asciiTheme="minorHAnsi" w:hAnsiTheme="minorHAnsi" w:cstheme="minorHAnsi"/>
          <w:color w:val="auto"/>
          <w:sz w:val="24"/>
          <w:szCs w:val="24"/>
        </w:rPr>
        <w:t xml:space="preserve"> (SÚKL)</w:t>
      </w:r>
      <w:r w:rsidRPr="004C394D">
        <w:rPr>
          <w:rFonts w:asciiTheme="minorHAnsi" w:hAnsiTheme="minorHAnsi" w:cstheme="minorHAnsi"/>
          <w:color w:val="auto"/>
          <w:sz w:val="24"/>
          <w:szCs w:val="24"/>
        </w:rPr>
        <w:t xml:space="preserve">. </w:t>
      </w:r>
      <w:r w:rsidR="00447111" w:rsidRPr="004C394D">
        <w:rPr>
          <w:rFonts w:asciiTheme="minorHAnsi" w:hAnsiTheme="minorHAnsi" w:cstheme="minorHAnsi"/>
          <w:sz w:val="24"/>
          <w:szCs w:val="24"/>
        </w:rPr>
        <w:t xml:space="preserve">Online. </w:t>
      </w:r>
      <w:r w:rsidRPr="004C394D">
        <w:rPr>
          <w:rFonts w:asciiTheme="minorHAnsi" w:hAnsiTheme="minorHAnsi" w:cstheme="minorHAnsi"/>
          <w:color w:val="auto"/>
          <w:sz w:val="24"/>
          <w:szCs w:val="24"/>
        </w:rPr>
        <w:t>Dostupné z:https://www.sukl.cz</w:t>
      </w:r>
      <w:r w:rsidR="00447111">
        <w:rPr>
          <w:rFonts w:asciiTheme="minorHAnsi" w:hAnsiTheme="minorHAnsi" w:cstheme="minorHAnsi"/>
          <w:color w:val="auto"/>
          <w:sz w:val="24"/>
          <w:szCs w:val="24"/>
        </w:rPr>
        <w:t>/sukl/publikacni-cinnost</w:t>
      </w:r>
      <w:r w:rsidRPr="004C394D">
        <w:rPr>
          <w:rFonts w:asciiTheme="minorHAnsi" w:hAnsiTheme="minorHAnsi" w:cstheme="minorHAnsi"/>
          <w:color w:val="auto"/>
          <w:sz w:val="24"/>
          <w:szCs w:val="24"/>
        </w:rPr>
        <w:t>.</w:t>
      </w:r>
      <w:r w:rsidR="00447111" w:rsidRPr="00447111">
        <w:rPr>
          <w:rFonts w:asciiTheme="minorHAnsi" w:hAnsiTheme="minorHAnsi" w:cstheme="minorHAnsi"/>
          <w:color w:val="auto"/>
          <w:sz w:val="24"/>
          <w:szCs w:val="24"/>
        </w:rPr>
        <w:t xml:space="preserve"> </w:t>
      </w:r>
      <w:r w:rsidR="00447111" w:rsidRPr="004C394D">
        <w:rPr>
          <w:rFonts w:asciiTheme="minorHAnsi" w:hAnsiTheme="minorHAnsi" w:cstheme="minorHAnsi"/>
          <w:color w:val="auto"/>
          <w:sz w:val="24"/>
          <w:szCs w:val="24"/>
        </w:rPr>
        <w:t>[cit.</w:t>
      </w:r>
      <w:r w:rsidR="00447111">
        <w:rPr>
          <w:rFonts w:asciiTheme="minorHAnsi" w:hAnsiTheme="minorHAnsi" w:cstheme="minorHAnsi"/>
          <w:color w:val="auto"/>
          <w:sz w:val="24"/>
          <w:szCs w:val="24"/>
        </w:rPr>
        <w:t> </w:t>
      </w:r>
      <w:r w:rsidR="00447111" w:rsidRPr="004C394D">
        <w:rPr>
          <w:rFonts w:asciiTheme="minorHAnsi" w:hAnsiTheme="minorHAnsi" w:cstheme="minorHAnsi"/>
          <w:color w:val="auto"/>
          <w:sz w:val="24"/>
          <w:szCs w:val="24"/>
        </w:rPr>
        <w:t>2024-04-10].</w:t>
      </w:r>
    </w:p>
    <w:p w:rsidR="00F10EB2" w:rsidRPr="004C394D" w:rsidRDefault="00F10EB2" w:rsidP="00432B0D">
      <w:pPr>
        <w:suppressAutoHyphens/>
        <w:spacing w:after="0" w:line="360" w:lineRule="auto"/>
        <w:rPr>
          <w:rFonts w:asciiTheme="minorHAnsi" w:hAnsiTheme="minorHAnsi" w:cstheme="minorHAnsi"/>
          <w:color w:val="auto"/>
          <w:sz w:val="24"/>
          <w:szCs w:val="24"/>
        </w:rPr>
      </w:pPr>
    </w:p>
    <w:p w:rsidR="00980835" w:rsidRDefault="00980835" w:rsidP="00432B0D">
      <w:pPr>
        <w:suppressAutoHyphens/>
        <w:spacing w:after="0" w:line="360" w:lineRule="auto"/>
        <w:rPr>
          <w:rFonts w:asciiTheme="minorHAnsi" w:hAnsiTheme="minorHAnsi" w:cstheme="minorHAnsi"/>
          <w:sz w:val="24"/>
          <w:szCs w:val="24"/>
        </w:rPr>
      </w:pPr>
      <w:r w:rsidRPr="004C394D">
        <w:rPr>
          <w:rFonts w:asciiTheme="minorHAnsi" w:hAnsiTheme="minorHAnsi" w:cstheme="minorHAnsi"/>
          <w:color w:val="auto"/>
          <w:sz w:val="24"/>
          <w:szCs w:val="24"/>
        </w:rPr>
        <w:t xml:space="preserve">[27] </w:t>
      </w:r>
      <w:r w:rsidRPr="004C394D">
        <w:rPr>
          <w:rFonts w:asciiTheme="minorHAnsi" w:hAnsiTheme="minorHAnsi" w:cstheme="minorHAnsi"/>
          <w:sz w:val="24"/>
          <w:szCs w:val="24"/>
        </w:rPr>
        <w:t>ČESKO. Vyhláška číslo 99 ze dne 22. března 2012 o požadavcích na minimální personální zabezpečení zdravotních služeb. In: Sbírka zákonů České republiky. 2012, částka 39, s. 1686-1730, ISSN 1211-1244.</w:t>
      </w:r>
    </w:p>
    <w:p w:rsidR="00447111" w:rsidRDefault="00447111" w:rsidP="00432B0D">
      <w:pPr>
        <w:suppressAutoHyphens/>
        <w:spacing w:after="0" w:line="360" w:lineRule="auto"/>
        <w:rPr>
          <w:rFonts w:asciiTheme="minorHAnsi" w:hAnsiTheme="minorHAnsi" w:cstheme="minorHAnsi"/>
          <w:color w:val="auto"/>
          <w:sz w:val="24"/>
          <w:szCs w:val="24"/>
        </w:rPr>
      </w:pPr>
    </w:p>
    <w:p w:rsidR="00447111" w:rsidRDefault="00447111" w:rsidP="00432B0D">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[2</w:t>
      </w:r>
      <w:r>
        <w:rPr>
          <w:rFonts w:asciiTheme="minorHAnsi" w:hAnsiTheme="minorHAnsi" w:cstheme="minorHAnsi"/>
          <w:color w:val="auto"/>
          <w:sz w:val="24"/>
          <w:szCs w:val="24"/>
        </w:rPr>
        <w:t>8</w:t>
      </w:r>
      <w:r w:rsidRPr="004C394D">
        <w:rPr>
          <w:rFonts w:asciiTheme="minorHAnsi" w:hAnsiTheme="minorHAnsi" w:cstheme="minorHAnsi"/>
          <w:color w:val="auto"/>
          <w:sz w:val="24"/>
          <w:szCs w:val="24"/>
        </w:rPr>
        <w:t>] Státní ústav pro kontrolu lé</w:t>
      </w:r>
      <w:r>
        <w:rPr>
          <w:rFonts w:asciiTheme="minorHAnsi" w:hAnsiTheme="minorHAnsi" w:cstheme="minorHAnsi"/>
          <w:color w:val="auto"/>
          <w:sz w:val="24"/>
          <w:szCs w:val="24"/>
        </w:rPr>
        <w:t>čiv (SÚKL).</w:t>
      </w:r>
      <w:r w:rsidRPr="004C394D">
        <w:rPr>
          <w:rFonts w:asciiTheme="minorHAnsi" w:hAnsiTheme="minorHAnsi" w:cstheme="minorHAnsi"/>
          <w:color w:val="auto"/>
          <w:sz w:val="24"/>
          <w:szCs w:val="24"/>
        </w:rPr>
        <w:t xml:space="preserve"> </w:t>
      </w:r>
      <w:r w:rsidR="00A32791">
        <w:rPr>
          <w:rFonts w:asciiTheme="minorHAnsi" w:hAnsiTheme="minorHAnsi" w:cstheme="minorHAnsi"/>
          <w:color w:val="auto"/>
          <w:sz w:val="24"/>
          <w:szCs w:val="24"/>
        </w:rPr>
        <w:t xml:space="preserve">Sankce uložené podle zákona o </w:t>
      </w:r>
      <w:r w:rsidR="00A20071">
        <w:rPr>
          <w:rFonts w:asciiTheme="minorHAnsi" w:hAnsiTheme="minorHAnsi" w:cstheme="minorHAnsi"/>
          <w:color w:val="auto"/>
          <w:sz w:val="24"/>
          <w:szCs w:val="24"/>
        </w:rPr>
        <w:t>léčivech</w:t>
      </w:r>
      <w:r>
        <w:rPr>
          <w:rFonts w:asciiTheme="minorHAnsi" w:hAnsiTheme="minorHAnsi" w:cstheme="minorHAnsi"/>
          <w:color w:val="auto"/>
          <w:sz w:val="24"/>
          <w:szCs w:val="24"/>
        </w:rPr>
        <w:t>.</w:t>
      </w:r>
      <w:r w:rsidRPr="004C394D">
        <w:rPr>
          <w:rFonts w:asciiTheme="minorHAnsi" w:hAnsiTheme="minorHAnsi" w:cstheme="minorHAnsi"/>
          <w:color w:val="auto"/>
          <w:sz w:val="24"/>
          <w:szCs w:val="24"/>
        </w:rPr>
        <w:t xml:space="preserve"> </w:t>
      </w:r>
      <w:r w:rsidRPr="004C394D">
        <w:rPr>
          <w:rFonts w:asciiTheme="minorHAnsi" w:hAnsiTheme="minorHAnsi" w:cstheme="minorHAnsi"/>
          <w:sz w:val="24"/>
          <w:szCs w:val="24"/>
        </w:rPr>
        <w:t xml:space="preserve">Online. </w:t>
      </w:r>
      <w:r w:rsidRPr="004C394D">
        <w:rPr>
          <w:rFonts w:asciiTheme="minorHAnsi" w:hAnsiTheme="minorHAnsi" w:cstheme="minorHAnsi"/>
          <w:color w:val="auto"/>
          <w:sz w:val="24"/>
          <w:szCs w:val="24"/>
        </w:rPr>
        <w:t>Dostupné z:https://www.sukl.cz</w:t>
      </w:r>
      <w:r>
        <w:rPr>
          <w:rFonts w:asciiTheme="minorHAnsi" w:hAnsiTheme="minorHAnsi" w:cstheme="minorHAnsi"/>
          <w:color w:val="auto"/>
          <w:sz w:val="24"/>
          <w:szCs w:val="24"/>
        </w:rPr>
        <w:t>/sukl/sankce-</w:t>
      </w:r>
      <w:r w:rsidR="00A32791">
        <w:rPr>
          <w:rFonts w:asciiTheme="minorHAnsi" w:hAnsiTheme="minorHAnsi" w:cstheme="minorHAnsi"/>
          <w:color w:val="auto"/>
          <w:sz w:val="24"/>
          <w:szCs w:val="24"/>
        </w:rPr>
        <w:t>ulozene-podle-zákona-o-navykovych-latkach</w:t>
      </w:r>
      <w:r w:rsidRPr="004C394D">
        <w:rPr>
          <w:rFonts w:asciiTheme="minorHAnsi" w:hAnsiTheme="minorHAnsi" w:cstheme="minorHAnsi"/>
          <w:color w:val="auto"/>
          <w:sz w:val="24"/>
          <w:szCs w:val="24"/>
        </w:rPr>
        <w:t>.</w:t>
      </w:r>
      <w:r w:rsidRPr="00447111">
        <w:rPr>
          <w:rFonts w:asciiTheme="minorHAnsi" w:hAnsiTheme="minorHAnsi" w:cstheme="minorHAnsi"/>
          <w:color w:val="auto"/>
          <w:sz w:val="24"/>
          <w:szCs w:val="24"/>
        </w:rPr>
        <w:t xml:space="preserve"> </w:t>
      </w:r>
      <w:r w:rsidRPr="004C394D">
        <w:rPr>
          <w:rFonts w:asciiTheme="minorHAnsi" w:hAnsiTheme="minorHAnsi" w:cstheme="minorHAnsi"/>
          <w:color w:val="auto"/>
          <w:sz w:val="24"/>
          <w:szCs w:val="24"/>
        </w:rPr>
        <w:t>[cit. 2024-0</w:t>
      </w:r>
      <w:r>
        <w:rPr>
          <w:rFonts w:asciiTheme="minorHAnsi" w:hAnsiTheme="minorHAnsi" w:cstheme="minorHAnsi"/>
          <w:color w:val="auto"/>
          <w:sz w:val="24"/>
          <w:szCs w:val="24"/>
        </w:rPr>
        <w:t>5</w:t>
      </w:r>
      <w:r w:rsidRPr="004C394D">
        <w:rPr>
          <w:rFonts w:asciiTheme="minorHAnsi" w:hAnsiTheme="minorHAnsi" w:cstheme="minorHAnsi"/>
          <w:color w:val="auto"/>
          <w:sz w:val="24"/>
          <w:szCs w:val="24"/>
        </w:rPr>
        <w:t>-</w:t>
      </w:r>
      <w:r>
        <w:rPr>
          <w:rFonts w:asciiTheme="minorHAnsi" w:hAnsiTheme="minorHAnsi" w:cstheme="minorHAnsi"/>
          <w:color w:val="auto"/>
          <w:sz w:val="24"/>
          <w:szCs w:val="24"/>
        </w:rPr>
        <w:t>03</w:t>
      </w:r>
      <w:r w:rsidRPr="004C394D">
        <w:rPr>
          <w:rFonts w:asciiTheme="minorHAnsi" w:hAnsiTheme="minorHAnsi" w:cstheme="minorHAnsi"/>
          <w:color w:val="auto"/>
          <w:sz w:val="24"/>
          <w:szCs w:val="24"/>
        </w:rPr>
        <w:t>].</w:t>
      </w:r>
    </w:p>
    <w:p w:rsidR="004604B1" w:rsidRDefault="004604B1" w:rsidP="004604B1">
      <w:pPr>
        <w:suppressAutoHyphens/>
        <w:spacing w:after="0" w:line="360" w:lineRule="auto"/>
        <w:rPr>
          <w:rFonts w:asciiTheme="minorHAnsi" w:hAnsiTheme="minorHAnsi" w:cstheme="minorHAnsi"/>
          <w:color w:val="auto"/>
          <w:sz w:val="24"/>
          <w:szCs w:val="24"/>
        </w:rPr>
      </w:pPr>
    </w:p>
    <w:p w:rsidR="004604B1" w:rsidRPr="004C394D" w:rsidRDefault="004604B1" w:rsidP="004604B1">
      <w:pPr>
        <w:suppressAutoHyphens/>
        <w:spacing w:after="0" w:line="360" w:lineRule="auto"/>
        <w:rPr>
          <w:rFonts w:asciiTheme="minorHAnsi" w:hAnsiTheme="minorHAnsi" w:cstheme="minorHAnsi"/>
          <w:color w:val="auto"/>
          <w:sz w:val="24"/>
          <w:szCs w:val="24"/>
        </w:rPr>
      </w:pPr>
      <w:r w:rsidRPr="004C394D">
        <w:rPr>
          <w:rFonts w:asciiTheme="minorHAnsi" w:hAnsiTheme="minorHAnsi" w:cstheme="minorHAnsi"/>
          <w:color w:val="auto"/>
          <w:sz w:val="24"/>
          <w:szCs w:val="24"/>
        </w:rPr>
        <w:t>[2</w:t>
      </w:r>
      <w:r>
        <w:rPr>
          <w:rFonts w:asciiTheme="minorHAnsi" w:hAnsiTheme="minorHAnsi" w:cstheme="minorHAnsi"/>
          <w:color w:val="auto"/>
          <w:sz w:val="24"/>
          <w:szCs w:val="24"/>
        </w:rPr>
        <w:t>9</w:t>
      </w:r>
      <w:r w:rsidRPr="004C394D">
        <w:rPr>
          <w:rFonts w:asciiTheme="minorHAnsi" w:hAnsiTheme="minorHAnsi" w:cstheme="minorHAnsi"/>
          <w:color w:val="auto"/>
          <w:sz w:val="24"/>
          <w:szCs w:val="24"/>
        </w:rPr>
        <w:t>] Státní ústav pro kontrolu léčiv</w:t>
      </w:r>
      <w:r>
        <w:rPr>
          <w:rFonts w:asciiTheme="minorHAnsi" w:hAnsiTheme="minorHAnsi" w:cstheme="minorHAnsi"/>
          <w:color w:val="auto"/>
          <w:sz w:val="24"/>
          <w:szCs w:val="24"/>
        </w:rPr>
        <w:t xml:space="preserve"> (SÚKL)</w:t>
      </w:r>
      <w:r w:rsidRPr="004C394D">
        <w:rPr>
          <w:rFonts w:asciiTheme="minorHAnsi" w:hAnsiTheme="minorHAnsi" w:cstheme="minorHAnsi"/>
          <w:color w:val="auto"/>
          <w:sz w:val="24"/>
          <w:szCs w:val="24"/>
        </w:rPr>
        <w:t xml:space="preserve">. </w:t>
      </w:r>
      <w:r w:rsidRPr="004C394D">
        <w:rPr>
          <w:rFonts w:asciiTheme="minorHAnsi" w:hAnsiTheme="minorHAnsi" w:cstheme="minorHAnsi"/>
          <w:sz w:val="24"/>
          <w:szCs w:val="24"/>
        </w:rPr>
        <w:t xml:space="preserve">Online. </w:t>
      </w:r>
      <w:r w:rsidRPr="004C394D">
        <w:rPr>
          <w:rFonts w:asciiTheme="minorHAnsi" w:hAnsiTheme="minorHAnsi" w:cstheme="minorHAnsi"/>
          <w:color w:val="auto"/>
          <w:sz w:val="24"/>
          <w:szCs w:val="24"/>
        </w:rPr>
        <w:t>Dostupné z:https://www.sukl.cz</w:t>
      </w:r>
      <w:r w:rsidRPr="00447111">
        <w:rPr>
          <w:rFonts w:asciiTheme="minorHAnsi" w:hAnsiTheme="minorHAnsi" w:cstheme="minorHAnsi"/>
          <w:color w:val="auto"/>
          <w:sz w:val="24"/>
          <w:szCs w:val="24"/>
        </w:rPr>
        <w:t xml:space="preserve"> </w:t>
      </w:r>
      <w:r w:rsidRPr="004C394D">
        <w:rPr>
          <w:rFonts w:asciiTheme="minorHAnsi" w:hAnsiTheme="minorHAnsi" w:cstheme="minorHAnsi"/>
          <w:color w:val="auto"/>
          <w:sz w:val="24"/>
          <w:szCs w:val="24"/>
        </w:rPr>
        <w:t>[cit.</w:t>
      </w:r>
      <w:r>
        <w:rPr>
          <w:rFonts w:asciiTheme="minorHAnsi" w:hAnsiTheme="minorHAnsi" w:cstheme="minorHAnsi"/>
          <w:color w:val="auto"/>
          <w:sz w:val="24"/>
          <w:szCs w:val="24"/>
        </w:rPr>
        <w:t> </w:t>
      </w:r>
      <w:r w:rsidRPr="004C394D">
        <w:rPr>
          <w:rFonts w:asciiTheme="minorHAnsi" w:hAnsiTheme="minorHAnsi" w:cstheme="minorHAnsi"/>
          <w:color w:val="auto"/>
          <w:sz w:val="24"/>
          <w:szCs w:val="24"/>
        </w:rPr>
        <w:t>2024-0</w:t>
      </w:r>
      <w:r>
        <w:rPr>
          <w:rFonts w:asciiTheme="minorHAnsi" w:hAnsiTheme="minorHAnsi" w:cstheme="minorHAnsi"/>
          <w:color w:val="auto"/>
          <w:sz w:val="24"/>
          <w:szCs w:val="24"/>
        </w:rPr>
        <w:t>5</w:t>
      </w:r>
      <w:r w:rsidRPr="004C394D">
        <w:rPr>
          <w:rFonts w:asciiTheme="minorHAnsi" w:hAnsiTheme="minorHAnsi" w:cstheme="minorHAnsi"/>
          <w:color w:val="auto"/>
          <w:sz w:val="24"/>
          <w:szCs w:val="24"/>
        </w:rPr>
        <w:t>-</w:t>
      </w:r>
      <w:r>
        <w:rPr>
          <w:rFonts w:asciiTheme="minorHAnsi" w:hAnsiTheme="minorHAnsi" w:cstheme="minorHAnsi"/>
          <w:color w:val="auto"/>
          <w:sz w:val="24"/>
          <w:szCs w:val="24"/>
        </w:rPr>
        <w:t>7</w:t>
      </w:r>
      <w:r w:rsidRPr="004C394D">
        <w:rPr>
          <w:rFonts w:asciiTheme="minorHAnsi" w:hAnsiTheme="minorHAnsi" w:cstheme="minorHAnsi"/>
          <w:color w:val="auto"/>
          <w:sz w:val="24"/>
          <w:szCs w:val="24"/>
        </w:rPr>
        <w:t>].</w:t>
      </w:r>
    </w:p>
    <w:p w:rsidR="00294E20" w:rsidRPr="004C394D" w:rsidRDefault="00294E20" w:rsidP="004C394D">
      <w:pPr>
        <w:spacing w:after="0" w:line="360" w:lineRule="auto"/>
        <w:jc w:val="both"/>
        <w:rPr>
          <w:rFonts w:asciiTheme="minorHAnsi" w:hAnsiTheme="minorHAnsi" w:cstheme="minorHAnsi"/>
          <w:color w:val="auto"/>
          <w:sz w:val="24"/>
          <w:szCs w:val="24"/>
        </w:rPr>
      </w:pPr>
      <w:r w:rsidRPr="004C394D">
        <w:rPr>
          <w:rFonts w:asciiTheme="minorHAnsi" w:hAnsiTheme="minorHAnsi" w:cstheme="minorHAnsi"/>
          <w:color w:val="auto"/>
          <w:sz w:val="24"/>
          <w:szCs w:val="24"/>
        </w:rPr>
        <w:br w:type="page"/>
      </w:r>
    </w:p>
    <w:p w:rsidR="00294E20" w:rsidRPr="00AA2E53" w:rsidRDefault="00294E20" w:rsidP="00294E20">
      <w:pPr>
        <w:pStyle w:val="Nadpis1"/>
        <w:numPr>
          <w:ilvl w:val="0"/>
          <w:numId w:val="0"/>
        </w:numPr>
        <w:rPr>
          <w:rFonts w:asciiTheme="minorHAnsi" w:hAnsiTheme="minorHAnsi" w:cstheme="minorHAnsi"/>
          <w:b/>
          <w:color w:val="auto"/>
        </w:rPr>
      </w:pPr>
      <w:bookmarkStart w:id="153" w:name="_Toc164078852"/>
      <w:bookmarkStart w:id="154" w:name="_Toc163647391"/>
      <w:bookmarkStart w:id="155" w:name="_Toc163759387"/>
      <w:bookmarkStart w:id="156" w:name="_Toc165990667"/>
      <w:bookmarkEnd w:id="153"/>
      <w:bookmarkEnd w:id="154"/>
      <w:bookmarkEnd w:id="155"/>
      <w:r w:rsidRPr="00AA2E53">
        <w:rPr>
          <w:rFonts w:asciiTheme="minorHAnsi" w:hAnsiTheme="minorHAnsi" w:cstheme="minorHAnsi"/>
          <w:b/>
          <w:color w:val="auto"/>
        </w:rPr>
        <w:lastRenderedPageBreak/>
        <w:t>Přílohy</w:t>
      </w:r>
      <w:bookmarkEnd w:id="156"/>
    </w:p>
    <w:p w:rsidR="00294E20" w:rsidRDefault="00294E20" w:rsidP="00294E20">
      <w:pPr>
        <w:suppressAutoHyphens/>
        <w:spacing w:after="0" w:line="360" w:lineRule="auto"/>
        <w:jc w:val="both"/>
        <w:rPr>
          <w:rFonts w:asciiTheme="minorHAnsi" w:hAnsiTheme="minorHAnsi" w:cstheme="minorHAnsi"/>
          <w:color w:val="auto"/>
        </w:rPr>
      </w:pPr>
    </w:p>
    <w:p w:rsidR="00294E20" w:rsidRPr="00591495" w:rsidRDefault="00294E20" w:rsidP="004A1EB4">
      <w:pPr>
        <w:suppressAutoHyphens/>
        <w:spacing w:after="0" w:line="360" w:lineRule="auto"/>
        <w:jc w:val="both"/>
        <w:rPr>
          <w:rFonts w:asciiTheme="minorHAnsi" w:hAnsiTheme="minorHAnsi" w:cstheme="minorHAnsi"/>
          <w:color w:val="auto"/>
          <w:sz w:val="24"/>
          <w:szCs w:val="24"/>
        </w:rPr>
      </w:pPr>
      <w:r w:rsidRPr="00591495">
        <w:rPr>
          <w:rFonts w:asciiTheme="minorHAnsi" w:hAnsiTheme="minorHAnsi" w:cstheme="minorHAnsi"/>
          <w:color w:val="auto"/>
          <w:sz w:val="24"/>
          <w:szCs w:val="24"/>
        </w:rPr>
        <w:t>Příloha č</w:t>
      </w:r>
      <w:r>
        <w:rPr>
          <w:rFonts w:asciiTheme="minorHAnsi" w:hAnsiTheme="minorHAnsi" w:cstheme="minorHAnsi"/>
          <w:color w:val="auto"/>
          <w:sz w:val="24"/>
          <w:szCs w:val="24"/>
        </w:rPr>
        <w:t>.</w:t>
      </w:r>
      <w:r w:rsidRPr="00591495">
        <w:rPr>
          <w:rFonts w:asciiTheme="minorHAnsi" w:hAnsiTheme="minorHAnsi" w:cstheme="minorHAnsi"/>
          <w:color w:val="auto"/>
          <w:sz w:val="24"/>
          <w:szCs w:val="24"/>
        </w:rPr>
        <w:t xml:space="preserve"> 1 – </w:t>
      </w:r>
      <w:r>
        <w:rPr>
          <w:rFonts w:asciiTheme="minorHAnsi" w:hAnsiTheme="minorHAnsi" w:cstheme="minorHAnsi"/>
          <w:color w:val="auto"/>
          <w:sz w:val="24"/>
          <w:szCs w:val="24"/>
        </w:rPr>
        <w:t>Organiza</w:t>
      </w:r>
      <w:r w:rsidR="005C4875">
        <w:rPr>
          <w:rFonts w:asciiTheme="minorHAnsi" w:hAnsiTheme="minorHAnsi" w:cstheme="minorHAnsi"/>
          <w:color w:val="auto"/>
          <w:sz w:val="24"/>
          <w:szCs w:val="24"/>
        </w:rPr>
        <w:t>ční struktura SÚKL k 1. 3. 2024</w:t>
      </w:r>
      <w:r w:rsidR="0082033E" w:rsidRPr="004A1EB4">
        <w:rPr>
          <w:iCs/>
          <w:sz w:val="24"/>
          <w:szCs w:val="24"/>
        </w:rPr>
        <w:t>, zdroj: SÚKL</w:t>
      </w:r>
    </w:p>
    <w:p w:rsidR="005C4875" w:rsidRDefault="00294E20" w:rsidP="004A1EB4">
      <w:pPr>
        <w:suppressAutoHyphens/>
        <w:spacing w:after="0" w:line="360" w:lineRule="auto"/>
        <w:jc w:val="both"/>
        <w:rPr>
          <w:rFonts w:cs="Arial"/>
          <w:sz w:val="24"/>
          <w:szCs w:val="24"/>
        </w:rPr>
      </w:pPr>
      <w:r w:rsidRPr="00591495">
        <w:rPr>
          <w:rFonts w:asciiTheme="minorHAnsi" w:hAnsiTheme="minorHAnsi" w:cstheme="minorHAnsi"/>
          <w:color w:val="auto"/>
          <w:sz w:val="24"/>
          <w:szCs w:val="24"/>
        </w:rPr>
        <w:t>P</w:t>
      </w:r>
      <w:r>
        <w:rPr>
          <w:rFonts w:asciiTheme="minorHAnsi" w:hAnsiTheme="minorHAnsi" w:cstheme="minorHAnsi"/>
          <w:color w:val="auto"/>
          <w:sz w:val="24"/>
          <w:szCs w:val="24"/>
        </w:rPr>
        <w:t>říloha č.</w:t>
      </w:r>
      <w:r w:rsidRPr="00591495">
        <w:rPr>
          <w:rFonts w:asciiTheme="minorHAnsi" w:hAnsiTheme="minorHAnsi" w:cstheme="minorHAnsi"/>
          <w:color w:val="auto"/>
          <w:sz w:val="24"/>
          <w:szCs w:val="24"/>
        </w:rPr>
        <w:t xml:space="preserve"> 2 - </w:t>
      </w:r>
      <w:r w:rsidRPr="00591495">
        <w:rPr>
          <w:rFonts w:cs="Arial"/>
          <w:sz w:val="24"/>
          <w:szCs w:val="24"/>
        </w:rPr>
        <w:t>Statut Státního ústavu pro k</w:t>
      </w:r>
      <w:r w:rsidR="005C4875">
        <w:rPr>
          <w:rFonts w:cs="Arial"/>
          <w:sz w:val="24"/>
          <w:szCs w:val="24"/>
        </w:rPr>
        <w:t>ontrolu léčiv ze dne 6. 8. 2013</w:t>
      </w:r>
      <w:r w:rsidR="0082033E" w:rsidRPr="004A1EB4">
        <w:rPr>
          <w:iCs/>
          <w:sz w:val="24"/>
          <w:szCs w:val="24"/>
        </w:rPr>
        <w:t>, zdroj: SÚKL</w:t>
      </w:r>
    </w:p>
    <w:p w:rsidR="005C4875" w:rsidRDefault="005C4875" w:rsidP="004A1EB4">
      <w:pPr>
        <w:suppressAutoHyphens/>
        <w:spacing w:after="0" w:line="360" w:lineRule="auto"/>
        <w:jc w:val="both"/>
        <w:rPr>
          <w:rFonts w:cs="Arial"/>
          <w:sz w:val="24"/>
          <w:szCs w:val="24"/>
        </w:rPr>
      </w:pPr>
    </w:p>
    <w:p w:rsidR="005C4875" w:rsidRPr="007F0118" w:rsidRDefault="005C4875" w:rsidP="004A1EB4">
      <w:pPr>
        <w:suppressAutoHyphens/>
        <w:spacing w:after="0" w:line="360" w:lineRule="auto"/>
        <w:jc w:val="both"/>
        <w:rPr>
          <w:rFonts w:cs="Arial"/>
          <w:b/>
          <w:sz w:val="24"/>
          <w:szCs w:val="24"/>
        </w:rPr>
      </w:pPr>
      <w:r w:rsidRPr="007F0118">
        <w:rPr>
          <w:rFonts w:cs="Arial"/>
          <w:b/>
          <w:sz w:val="24"/>
          <w:szCs w:val="24"/>
        </w:rPr>
        <w:t>Seznam obrázků</w:t>
      </w:r>
    </w:p>
    <w:p w:rsidR="005C4875" w:rsidRDefault="005C4875" w:rsidP="004A1EB4">
      <w:pPr>
        <w:suppressAutoHyphens/>
        <w:spacing w:after="0" w:line="360" w:lineRule="auto"/>
        <w:jc w:val="both"/>
        <w:rPr>
          <w:rFonts w:cs="Arial"/>
          <w:sz w:val="24"/>
          <w:szCs w:val="24"/>
        </w:rPr>
      </w:pPr>
    </w:p>
    <w:p w:rsidR="005C4875"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1 - </w:t>
      </w:r>
      <w:r w:rsidRPr="004A1EB4">
        <w:rPr>
          <w:iCs/>
          <w:sz w:val="24"/>
          <w:szCs w:val="24"/>
        </w:rPr>
        <w:t>Vznik a zánik lékáren a OOVL,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2 - </w:t>
      </w:r>
      <w:r w:rsidR="004A1EB4" w:rsidRPr="004A1EB4">
        <w:rPr>
          <w:iCs/>
          <w:sz w:val="24"/>
          <w:szCs w:val="24"/>
        </w:rPr>
        <w:t>Počet provedených kontrol,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3 - </w:t>
      </w:r>
      <w:r w:rsidR="004A1EB4" w:rsidRPr="004A1EB4">
        <w:rPr>
          <w:iCs/>
          <w:sz w:val="24"/>
          <w:szCs w:val="24"/>
        </w:rPr>
        <w:t>Počet cílených kontrol v lékárnách,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4 - </w:t>
      </w:r>
      <w:r w:rsidR="004A1EB4" w:rsidRPr="004A1EB4">
        <w:rPr>
          <w:iCs/>
          <w:sz w:val="24"/>
          <w:szCs w:val="24"/>
        </w:rPr>
        <w:t>Typy závad v lékárnách, zdroj: SÚKL</w:t>
      </w:r>
    </w:p>
    <w:p w:rsidR="007F0118" w:rsidRPr="004A1EB4" w:rsidRDefault="003C38C0" w:rsidP="004A1EB4">
      <w:pPr>
        <w:suppressAutoHyphens/>
        <w:spacing w:after="0" w:line="360" w:lineRule="auto"/>
        <w:jc w:val="both"/>
        <w:rPr>
          <w:rFonts w:cs="Arial"/>
          <w:sz w:val="24"/>
          <w:szCs w:val="24"/>
        </w:rPr>
      </w:pPr>
      <w:r>
        <w:rPr>
          <w:rFonts w:cs="Arial"/>
          <w:sz w:val="24"/>
          <w:szCs w:val="24"/>
        </w:rPr>
        <w:t>Obrázek č.</w:t>
      </w:r>
      <w:r w:rsidR="007F0118" w:rsidRPr="004A1EB4">
        <w:rPr>
          <w:rFonts w:cs="Arial"/>
          <w:sz w:val="24"/>
          <w:szCs w:val="24"/>
        </w:rPr>
        <w:t xml:space="preserve"> 5 - </w:t>
      </w:r>
      <w:r w:rsidR="004A1EB4" w:rsidRPr="004A1EB4">
        <w:rPr>
          <w:iCs/>
          <w:sz w:val="24"/>
          <w:szCs w:val="24"/>
        </w:rPr>
        <w:t>Postihy z kontrol v lékárnách,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6 - </w:t>
      </w:r>
      <w:r w:rsidR="004A1EB4" w:rsidRPr="004A1EB4">
        <w:rPr>
          <w:iCs/>
          <w:sz w:val="24"/>
          <w:szCs w:val="24"/>
        </w:rPr>
        <w:t>Počet cílených kontrol – návykové látky,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7 - </w:t>
      </w:r>
      <w:r w:rsidR="004A1EB4" w:rsidRPr="004A1EB4">
        <w:rPr>
          <w:iCs/>
          <w:sz w:val="24"/>
          <w:szCs w:val="24"/>
        </w:rPr>
        <w:t>Typy zjištěných závad u návykové látky, zdroj: SÚKL</w:t>
      </w:r>
    </w:p>
    <w:p w:rsidR="007F0118" w:rsidRPr="004A1EB4" w:rsidRDefault="007F0118" w:rsidP="004A1EB4">
      <w:pPr>
        <w:tabs>
          <w:tab w:val="left" w:pos="2432"/>
        </w:tabs>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8 - </w:t>
      </w:r>
      <w:r w:rsidR="004A1EB4" w:rsidRPr="004A1EB4">
        <w:rPr>
          <w:iCs/>
          <w:sz w:val="24"/>
          <w:szCs w:val="24"/>
        </w:rPr>
        <w:t>Postihy z kontrol u návykové látky,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9 - </w:t>
      </w:r>
      <w:r w:rsidR="004A1EB4" w:rsidRPr="004A1EB4">
        <w:rPr>
          <w:iCs/>
          <w:sz w:val="24"/>
          <w:szCs w:val="24"/>
        </w:rPr>
        <w:t>Počet cílených kontrol - Ceny,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10 - </w:t>
      </w:r>
      <w:r w:rsidR="004A1EB4" w:rsidRPr="004A1EB4">
        <w:rPr>
          <w:iCs/>
          <w:sz w:val="24"/>
          <w:szCs w:val="24"/>
        </w:rPr>
        <w:t>Počet zjištěných závad - Ceny,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11 - </w:t>
      </w:r>
      <w:r w:rsidR="004A1EB4" w:rsidRPr="004A1EB4">
        <w:rPr>
          <w:iCs/>
          <w:sz w:val="24"/>
          <w:szCs w:val="24"/>
        </w:rPr>
        <w:t>Postihy z kontrol - Ceny, zdroj: SÚKL</w:t>
      </w:r>
    </w:p>
    <w:p w:rsidR="007F0118" w:rsidRPr="004A1EB4" w:rsidRDefault="007F0118" w:rsidP="004A1EB4">
      <w:pPr>
        <w:suppressAutoHyphens/>
        <w:spacing w:after="0" w:line="360" w:lineRule="auto"/>
        <w:jc w:val="both"/>
        <w:rPr>
          <w:rFonts w:cs="Arial"/>
          <w:sz w:val="24"/>
          <w:szCs w:val="24"/>
        </w:rPr>
      </w:pPr>
      <w:r w:rsidRPr="004A1EB4">
        <w:rPr>
          <w:rFonts w:cs="Arial"/>
          <w:sz w:val="24"/>
          <w:szCs w:val="24"/>
        </w:rPr>
        <w:t>Obrázek č</w:t>
      </w:r>
      <w:r w:rsidR="003C38C0">
        <w:rPr>
          <w:rFonts w:cs="Arial"/>
          <w:sz w:val="24"/>
          <w:szCs w:val="24"/>
        </w:rPr>
        <w:t>.</w:t>
      </w:r>
      <w:r w:rsidRPr="004A1EB4">
        <w:rPr>
          <w:rFonts w:cs="Arial"/>
          <w:sz w:val="24"/>
          <w:szCs w:val="24"/>
        </w:rPr>
        <w:t xml:space="preserve"> 12 - </w:t>
      </w:r>
      <w:r w:rsidR="004A1EB4" w:rsidRPr="004A1EB4">
        <w:rPr>
          <w:iCs/>
          <w:sz w:val="24"/>
          <w:szCs w:val="24"/>
        </w:rPr>
        <w:t>Počet odebraných vzorků, zdroj: SÚKL</w:t>
      </w:r>
    </w:p>
    <w:p w:rsidR="006E7B72" w:rsidRDefault="007F0118" w:rsidP="006E7B72">
      <w:pPr>
        <w:suppressAutoHyphens/>
        <w:spacing w:after="0" w:line="360" w:lineRule="auto"/>
        <w:jc w:val="both"/>
        <w:rPr>
          <w:iCs/>
          <w:sz w:val="24"/>
          <w:szCs w:val="24"/>
        </w:rPr>
        <w:sectPr w:rsidR="006E7B72">
          <w:footerReference w:type="default" r:id="rId21"/>
          <w:pgSz w:w="11906" w:h="16838"/>
          <w:pgMar w:top="1418" w:right="1418" w:bottom="1418" w:left="1985" w:header="0" w:footer="709" w:gutter="0"/>
          <w:cols w:space="708"/>
          <w:formProt w:val="0"/>
          <w:titlePg/>
          <w:docGrid w:linePitch="360" w:charSpace="-2049"/>
        </w:sectPr>
      </w:pPr>
      <w:r w:rsidRPr="004A1EB4">
        <w:rPr>
          <w:rFonts w:cs="Arial"/>
          <w:sz w:val="24"/>
          <w:szCs w:val="24"/>
        </w:rPr>
        <w:t>Obrázek č</w:t>
      </w:r>
      <w:r w:rsidR="003C38C0">
        <w:rPr>
          <w:rFonts w:cs="Arial"/>
          <w:sz w:val="24"/>
          <w:szCs w:val="24"/>
        </w:rPr>
        <w:t>.</w:t>
      </w:r>
      <w:r w:rsidRPr="004A1EB4">
        <w:rPr>
          <w:rFonts w:cs="Arial"/>
          <w:sz w:val="24"/>
          <w:szCs w:val="24"/>
        </w:rPr>
        <w:t xml:space="preserve"> 13 - </w:t>
      </w:r>
      <w:r w:rsidR="004A1EB4" w:rsidRPr="004A1EB4">
        <w:rPr>
          <w:iCs/>
          <w:sz w:val="24"/>
          <w:szCs w:val="24"/>
        </w:rPr>
        <w:t>Počet zjištěných závad, zdroj: SÚKL</w:t>
      </w:r>
    </w:p>
    <w:p w:rsidR="00294E20" w:rsidRDefault="00294E20" w:rsidP="00294E20">
      <w:pPr>
        <w:suppressAutoHyphens/>
        <w:spacing w:after="0" w:line="360" w:lineRule="auto"/>
        <w:jc w:val="both"/>
        <w:rPr>
          <w:rFonts w:cs="Arial"/>
          <w:sz w:val="24"/>
          <w:szCs w:val="24"/>
        </w:rPr>
      </w:pPr>
      <w:r w:rsidRPr="00591495">
        <w:rPr>
          <w:rFonts w:asciiTheme="minorHAnsi" w:hAnsiTheme="minorHAnsi" w:cstheme="minorHAnsi"/>
          <w:color w:val="auto"/>
          <w:sz w:val="24"/>
          <w:szCs w:val="24"/>
        </w:rPr>
        <w:lastRenderedPageBreak/>
        <w:t>Příloha č</w:t>
      </w:r>
      <w:r>
        <w:rPr>
          <w:rFonts w:asciiTheme="minorHAnsi" w:hAnsiTheme="minorHAnsi" w:cstheme="minorHAnsi"/>
          <w:color w:val="auto"/>
          <w:sz w:val="24"/>
          <w:szCs w:val="24"/>
        </w:rPr>
        <w:t>.</w:t>
      </w:r>
      <w:r w:rsidRPr="00591495">
        <w:rPr>
          <w:rFonts w:asciiTheme="minorHAnsi" w:hAnsiTheme="minorHAnsi" w:cstheme="minorHAnsi"/>
          <w:color w:val="auto"/>
          <w:sz w:val="24"/>
          <w:szCs w:val="24"/>
        </w:rPr>
        <w:t xml:space="preserve"> 1 – </w:t>
      </w:r>
      <w:r>
        <w:rPr>
          <w:rFonts w:asciiTheme="minorHAnsi" w:hAnsiTheme="minorHAnsi" w:cstheme="minorHAnsi"/>
          <w:color w:val="auto"/>
          <w:sz w:val="24"/>
          <w:szCs w:val="24"/>
        </w:rPr>
        <w:t>Organiza</w:t>
      </w:r>
      <w:r w:rsidR="003C38C0">
        <w:rPr>
          <w:rFonts w:asciiTheme="minorHAnsi" w:hAnsiTheme="minorHAnsi" w:cstheme="minorHAnsi"/>
          <w:color w:val="auto"/>
          <w:sz w:val="24"/>
          <w:szCs w:val="24"/>
        </w:rPr>
        <w:t>ční struktura SÚKL k 1. 3. 2024</w:t>
      </w:r>
    </w:p>
    <w:p w:rsidR="006E7B72" w:rsidRDefault="0011271E" w:rsidP="00A32CAB">
      <w:pPr>
        <w:suppressAutoHyphens/>
        <w:spacing w:after="0" w:line="360" w:lineRule="auto"/>
        <w:ind w:hanging="142"/>
        <w:jc w:val="both"/>
        <w:rPr>
          <w:iCs/>
          <w:sz w:val="24"/>
          <w:szCs w:val="24"/>
        </w:rPr>
        <w:sectPr w:rsidR="006E7B72">
          <w:footerReference w:type="default" r:id="rId22"/>
          <w:pgSz w:w="11906" w:h="16838"/>
          <w:pgMar w:top="1418" w:right="1418" w:bottom="1418" w:left="1985" w:header="0" w:footer="709" w:gutter="0"/>
          <w:cols w:space="708"/>
          <w:formProt w:val="0"/>
          <w:titlePg/>
          <w:docGrid w:linePitch="360" w:charSpace="-2049"/>
        </w:sectPr>
      </w:pPr>
      <w:r>
        <w:rPr>
          <w:rFonts w:cs="Arial"/>
          <w:noProof/>
          <w:sz w:val="24"/>
          <w:szCs w:val="24"/>
          <w:lang w:eastAsia="cs-CZ"/>
        </w:rPr>
        <w:drawing>
          <wp:inline distT="0" distB="0" distL="0" distR="0" wp14:anchorId="14EA1BEC" wp14:editId="743DDEC9">
            <wp:extent cx="8099565" cy="5675906"/>
            <wp:effectExtent l="0" t="7302" r="8572" b="8573"/>
            <wp:docPr id="1" name="Obrázek 1" descr="C:\Users\pl320167.PCR\AppData\Local\Microsoft\Windows\INetCache\Content.Word\Příloha 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320167.PCR\AppData\Local\Microsoft\Windows\INetCache\Content.Word\Příloha č.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28637" cy="5696279"/>
                    </a:xfrm>
                    <a:prstGeom prst="rect">
                      <a:avLst/>
                    </a:prstGeom>
                    <a:noFill/>
                    <a:ln>
                      <a:noFill/>
                    </a:ln>
                  </pic:spPr>
                </pic:pic>
              </a:graphicData>
            </a:graphic>
          </wp:inline>
        </w:drawing>
      </w:r>
    </w:p>
    <w:p w:rsidR="00294E20" w:rsidRDefault="00294E20" w:rsidP="00294E20">
      <w:pPr>
        <w:suppressAutoHyphens/>
        <w:spacing w:after="0" w:line="360" w:lineRule="auto"/>
        <w:jc w:val="both"/>
        <w:rPr>
          <w:rFonts w:cs="Arial"/>
          <w:sz w:val="24"/>
          <w:szCs w:val="24"/>
        </w:rPr>
      </w:pPr>
      <w:r w:rsidRPr="00591495">
        <w:rPr>
          <w:rFonts w:asciiTheme="minorHAnsi" w:hAnsiTheme="minorHAnsi" w:cstheme="minorHAnsi"/>
          <w:color w:val="auto"/>
          <w:sz w:val="24"/>
          <w:szCs w:val="24"/>
        </w:rPr>
        <w:lastRenderedPageBreak/>
        <w:t>P</w:t>
      </w:r>
      <w:r>
        <w:rPr>
          <w:rFonts w:asciiTheme="minorHAnsi" w:hAnsiTheme="minorHAnsi" w:cstheme="minorHAnsi"/>
          <w:color w:val="auto"/>
          <w:sz w:val="24"/>
          <w:szCs w:val="24"/>
        </w:rPr>
        <w:t>říloha č.</w:t>
      </w:r>
      <w:r w:rsidRPr="00591495">
        <w:rPr>
          <w:rFonts w:asciiTheme="minorHAnsi" w:hAnsiTheme="minorHAnsi" w:cstheme="minorHAnsi"/>
          <w:color w:val="auto"/>
          <w:sz w:val="24"/>
          <w:szCs w:val="24"/>
        </w:rPr>
        <w:t xml:space="preserve"> 2 - </w:t>
      </w:r>
      <w:r w:rsidRPr="00591495">
        <w:rPr>
          <w:rFonts w:cs="Arial"/>
          <w:sz w:val="24"/>
          <w:szCs w:val="24"/>
        </w:rPr>
        <w:t>Statut Státního ústavu pro kontrolu léčiv ze dne 6. 8. 2013</w:t>
      </w:r>
    </w:p>
    <w:p w:rsidR="006E7B72" w:rsidRDefault="00294E20" w:rsidP="006E7B72">
      <w:pPr>
        <w:suppressAutoHyphens/>
        <w:spacing w:after="0" w:line="360" w:lineRule="auto"/>
        <w:jc w:val="both"/>
        <w:rPr>
          <w:iCs/>
          <w:sz w:val="24"/>
          <w:szCs w:val="24"/>
        </w:rPr>
        <w:sectPr w:rsidR="006E7B72">
          <w:footerReference w:type="default" r:id="rId24"/>
          <w:pgSz w:w="11906" w:h="16838"/>
          <w:pgMar w:top="1418" w:right="1418" w:bottom="1418" w:left="1985" w:header="0" w:footer="709" w:gutter="0"/>
          <w:cols w:space="708"/>
          <w:formProt w:val="0"/>
          <w:titlePg/>
          <w:docGrid w:linePitch="360" w:charSpace="-2049"/>
        </w:sectPr>
      </w:pPr>
      <w:r w:rsidRPr="00D75DC6">
        <w:rPr>
          <w:noProof/>
          <w:lang w:eastAsia="cs-CZ"/>
        </w:rPr>
        <w:drawing>
          <wp:inline distT="0" distB="0" distL="0" distR="0" wp14:anchorId="476D49D3" wp14:editId="46B60954">
            <wp:extent cx="5398770" cy="86042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7" cy="8606285"/>
                    </a:xfrm>
                    <a:prstGeom prst="rect">
                      <a:avLst/>
                    </a:prstGeom>
                    <a:noFill/>
                    <a:ln>
                      <a:noFill/>
                    </a:ln>
                  </pic:spPr>
                </pic:pic>
              </a:graphicData>
            </a:graphic>
          </wp:inline>
        </w:drawing>
      </w:r>
    </w:p>
    <w:p w:rsidR="006E7B72" w:rsidRDefault="00294E20" w:rsidP="006E7B72">
      <w:pPr>
        <w:suppressAutoHyphens/>
        <w:spacing w:after="0" w:line="360" w:lineRule="auto"/>
        <w:jc w:val="both"/>
        <w:rPr>
          <w:iCs/>
          <w:sz w:val="24"/>
          <w:szCs w:val="24"/>
        </w:rPr>
        <w:sectPr w:rsidR="006E7B72">
          <w:footerReference w:type="default" r:id="rId26"/>
          <w:pgSz w:w="11906" w:h="16838"/>
          <w:pgMar w:top="1418" w:right="1418" w:bottom="1418" w:left="1985" w:header="0" w:footer="709" w:gutter="0"/>
          <w:cols w:space="708"/>
          <w:formProt w:val="0"/>
          <w:titlePg/>
          <w:docGrid w:linePitch="360" w:charSpace="-2049"/>
        </w:sectPr>
      </w:pPr>
      <w:r w:rsidRPr="00D75DC6">
        <w:rPr>
          <w:noProof/>
          <w:lang w:eastAsia="cs-CZ"/>
        </w:rPr>
        <w:lastRenderedPageBreak/>
        <w:drawing>
          <wp:inline distT="0" distB="0" distL="0" distR="0" wp14:anchorId="5090C803" wp14:editId="5D55F587">
            <wp:extent cx="5398770" cy="88201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7" cy="8822237"/>
                    </a:xfrm>
                    <a:prstGeom prst="rect">
                      <a:avLst/>
                    </a:prstGeom>
                    <a:noFill/>
                    <a:ln>
                      <a:noFill/>
                    </a:ln>
                  </pic:spPr>
                </pic:pic>
              </a:graphicData>
            </a:graphic>
          </wp:inline>
        </w:drawing>
      </w:r>
    </w:p>
    <w:p w:rsidR="006E7B72" w:rsidRDefault="00294E20" w:rsidP="006E7B72">
      <w:pPr>
        <w:suppressAutoHyphens/>
        <w:spacing w:after="0" w:line="360" w:lineRule="auto"/>
        <w:jc w:val="both"/>
        <w:rPr>
          <w:iCs/>
          <w:sz w:val="24"/>
          <w:szCs w:val="24"/>
        </w:rPr>
        <w:sectPr w:rsidR="006E7B72">
          <w:footerReference w:type="default" r:id="rId28"/>
          <w:pgSz w:w="11906" w:h="16838"/>
          <w:pgMar w:top="1418" w:right="1418" w:bottom="1418" w:left="1985" w:header="0" w:footer="709" w:gutter="0"/>
          <w:cols w:space="708"/>
          <w:formProt w:val="0"/>
          <w:titlePg/>
          <w:docGrid w:linePitch="360" w:charSpace="-2049"/>
        </w:sectPr>
      </w:pPr>
      <w:r w:rsidRPr="00D75DC6">
        <w:rPr>
          <w:noProof/>
          <w:lang w:eastAsia="cs-CZ"/>
        </w:rPr>
        <w:lastRenderedPageBreak/>
        <w:drawing>
          <wp:inline distT="0" distB="0" distL="0" distR="0" wp14:anchorId="45B91F19" wp14:editId="69EAE0DD">
            <wp:extent cx="5398770" cy="87947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726" cy="8796308"/>
                    </a:xfrm>
                    <a:prstGeom prst="rect">
                      <a:avLst/>
                    </a:prstGeom>
                    <a:noFill/>
                    <a:ln>
                      <a:noFill/>
                    </a:ln>
                  </pic:spPr>
                </pic:pic>
              </a:graphicData>
            </a:graphic>
          </wp:inline>
        </w:drawing>
      </w:r>
    </w:p>
    <w:p w:rsidR="006E7B72" w:rsidRDefault="00294E20" w:rsidP="006E7B72">
      <w:pPr>
        <w:suppressAutoHyphens/>
        <w:spacing w:after="0" w:line="360" w:lineRule="auto"/>
        <w:jc w:val="both"/>
        <w:rPr>
          <w:iCs/>
          <w:sz w:val="24"/>
          <w:szCs w:val="24"/>
        </w:rPr>
        <w:sectPr w:rsidR="006E7B72">
          <w:footerReference w:type="default" r:id="rId30"/>
          <w:pgSz w:w="11906" w:h="16838"/>
          <w:pgMar w:top="1418" w:right="1418" w:bottom="1418" w:left="1985" w:header="0" w:footer="709" w:gutter="0"/>
          <w:cols w:space="708"/>
          <w:formProt w:val="0"/>
          <w:titlePg/>
          <w:docGrid w:linePitch="360" w:charSpace="-2049"/>
        </w:sectPr>
      </w:pPr>
      <w:r w:rsidRPr="00D75DC6">
        <w:rPr>
          <w:noProof/>
          <w:lang w:eastAsia="cs-CZ"/>
        </w:rPr>
        <w:lastRenderedPageBreak/>
        <w:drawing>
          <wp:inline distT="0" distB="0" distL="0" distR="0" wp14:anchorId="72C175DE" wp14:editId="02D3C1F5">
            <wp:extent cx="5398770" cy="8788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6" cy="8790477"/>
                    </a:xfrm>
                    <a:prstGeom prst="rect">
                      <a:avLst/>
                    </a:prstGeom>
                    <a:noFill/>
                    <a:ln>
                      <a:noFill/>
                    </a:ln>
                  </pic:spPr>
                </pic:pic>
              </a:graphicData>
            </a:graphic>
          </wp:inline>
        </w:drawing>
      </w:r>
    </w:p>
    <w:p w:rsidR="00294E20" w:rsidRPr="00591495" w:rsidRDefault="00294E20" w:rsidP="00294E20">
      <w:pPr>
        <w:suppressAutoHyphens/>
        <w:spacing w:after="0" w:line="360" w:lineRule="auto"/>
        <w:jc w:val="both"/>
        <w:rPr>
          <w:rFonts w:asciiTheme="minorHAnsi" w:hAnsiTheme="minorHAnsi" w:cstheme="minorHAnsi"/>
          <w:color w:val="auto"/>
          <w:sz w:val="24"/>
          <w:szCs w:val="24"/>
        </w:rPr>
      </w:pPr>
      <w:r w:rsidRPr="00D75DC6">
        <w:rPr>
          <w:noProof/>
          <w:lang w:eastAsia="cs-CZ"/>
        </w:rPr>
        <w:lastRenderedPageBreak/>
        <w:drawing>
          <wp:inline distT="0" distB="0" distL="0" distR="0" wp14:anchorId="10C494AC" wp14:editId="60883498">
            <wp:extent cx="5398770" cy="879475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887" cy="8796570"/>
                    </a:xfrm>
                    <a:prstGeom prst="rect">
                      <a:avLst/>
                    </a:prstGeom>
                    <a:noFill/>
                    <a:ln>
                      <a:noFill/>
                    </a:ln>
                  </pic:spPr>
                </pic:pic>
              </a:graphicData>
            </a:graphic>
          </wp:inline>
        </w:drawing>
      </w:r>
    </w:p>
    <w:sectPr w:rsidR="00294E20" w:rsidRPr="00591495">
      <w:pgSz w:w="11906" w:h="16838"/>
      <w:pgMar w:top="1418" w:right="1418" w:bottom="1418" w:left="1985" w:header="0" w:footer="709"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A07" w:rsidRDefault="00143A07" w:rsidP="00294E20">
      <w:pPr>
        <w:spacing w:after="0" w:line="240" w:lineRule="auto"/>
      </w:pPr>
      <w:r>
        <w:separator/>
      </w:r>
    </w:p>
  </w:endnote>
  <w:endnote w:type="continuationSeparator" w:id="0">
    <w:p w:rsidR="00143A07" w:rsidRDefault="00143A07" w:rsidP="00294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223586"/>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sidR="00273075">
          <w:rPr>
            <w:noProof/>
          </w:rPr>
          <w:t>21</w:t>
        </w:r>
        <w:r>
          <w:fldChar w:fldCharType="end"/>
        </w:r>
      </w:p>
    </w:sdtContent>
  </w:sdt>
  <w:p w:rsidR="00771FD8" w:rsidRDefault="00771FD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158559"/>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Pr>
            <w:noProof/>
          </w:rPr>
          <w:t>80</w:t>
        </w:r>
        <w:r>
          <w:fldChar w:fldCharType="end"/>
        </w:r>
      </w:p>
    </w:sdtContent>
  </w:sdt>
  <w:p w:rsidR="00771FD8" w:rsidRDefault="00771FD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857116"/>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Pr>
            <w:noProof/>
          </w:rPr>
          <w:t>82</w:t>
        </w:r>
        <w:r>
          <w:fldChar w:fldCharType="end"/>
        </w:r>
      </w:p>
    </w:sdtContent>
  </w:sdt>
  <w:p w:rsidR="00771FD8" w:rsidRDefault="00771FD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84412"/>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Pr>
            <w:noProof/>
          </w:rPr>
          <w:t>82</w:t>
        </w:r>
        <w:r>
          <w:fldChar w:fldCharType="end"/>
        </w:r>
      </w:p>
    </w:sdtContent>
  </w:sdt>
  <w:p w:rsidR="00771FD8" w:rsidRDefault="00771FD8">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702265"/>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Pr>
            <w:noProof/>
          </w:rPr>
          <w:t>83</w:t>
        </w:r>
        <w:r>
          <w:fldChar w:fldCharType="end"/>
        </w:r>
      </w:p>
    </w:sdtContent>
  </w:sdt>
  <w:p w:rsidR="00771FD8" w:rsidRDefault="00771FD8">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764955"/>
      <w:docPartObj>
        <w:docPartGallery w:val="Page Numbers (Bottom of Page)"/>
        <w:docPartUnique/>
      </w:docPartObj>
    </w:sdtPr>
    <w:sdtEndPr/>
    <w:sdtContent>
      <w:p w:rsidR="00771FD8" w:rsidRDefault="00771FD8">
        <w:pPr>
          <w:pStyle w:val="Zpat"/>
          <w:jc w:val="center"/>
        </w:pPr>
        <w:r>
          <w:fldChar w:fldCharType="begin"/>
        </w:r>
        <w:r>
          <w:instrText>PAGE</w:instrText>
        </w:r>
        <w:r>
          <w:fldChar w:fldCharType="separate"/>
        </w:r>
        <w:r>
          <w:rPr>
            <w:noProof/>
          </w:rPr>
          <w:t>85</w:t>
        </w:r>
        <w:r>
          <w:fldChar w:fldCharType="end"/>
        </w:r>
      </w:p>
    </w:sdtContent>
  </w:sdt>
  <w:p w:rsidR="00771FD8" w:rsidRDefault="00771FD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A07" w:rsidRDefault="00143A07" w:rsidP="00294E20">
      <w:pPr>
        <w:spacing w:after="0" w:line="240" w:lineRule="auto"/>
      </w:pPr>
      <w:r>
        <w:separator/>
      </w:r>
    </w:p>
  </w:footnote>
  <w:footnote w:type="continuationSeparator" w:id="0">
    <w:p w:rsidR="00143A07" w:rsidRDefault="00143A07" w:rsidP="00294E20">
      <w:pPr>
        <w:spacing w:after="0" w:line="240" w:lineRule="auto"/>
      </w:pPr>
      <w:r>
        <w:continuationSeparator/>
      </w:r>
    </w:p>
  </w:footnote>
  <w:footnote w:id="1">
    <w:p w:rsidR="00771FD8" w:rsidRDefault="00771FD8" w:rsidP="00D6078B">
      <w:pPr>
        <w:pStyle w:val="Textpoznpodarou"/>
        <w:jc w:val="both"/>
      </w:pPr>
      <w:r>
        <w:rPr>
          <w:rStyle w:val="Znakapoznpodarou"/>
        </w:rPr>
        <w:footnoteRef/>
      </w:r>
      <w:r>
        <w:t xml:space="preserve"> ČESKO. Zákon číslo 378 ze dne 6. prosince 2007 o léčivech a o změnách některých souvisejících zákonů (zákon o léčivech). In: Sbírka zákonů České republiky. 2007, částka 115, s. 5342-5428, ISSN 1211-1244.</w:t>
      </w:r>
    </w:p>
  </w:footnote>
  <w:footnote w:id="2">
    <w:p w:rsidR="00771FD8" w:rsidRDefault="00771FD8" w:rsidP="00D6078B">
      <w:pPr>
        <w:pStyle w:val="Textpoznpodarou"/>
        <w:jc w:val="both"/>
      </w:pPr>
      <w:r>
        <w:rPr>
          <w:rStyle w:val="Znakapoznpodarou"/>
        </w:rPr>
        <w:footnoteRef/>
      </w:r>
      <w:r>
        <w:t xml:space="preserve"> ČESKO. Zákon číslo 378 ze dne 6. prosince 2007 o léčivech a o změnách některých souvisejících zákonů (zákon o léčivech). In: Sbírka zákonů České republiky. 2007, částka 115, s. 5342-5428</w:t>
      </w:r>
      <w:bookmarkStart w:id="21" w:name="__DdeLink__1096_17420608"/>
      <w:bookmarkEnd w:id="21"/>
      <w:r>
        <w:t>, ISSN 1211-1244.</w:t>
      </w:r>
    </w:p>
  </w:footnote>
  <w:footnote w:id="3">
    <w:p w:rsidR="00771FD8" w:rsidRDefault="00771FD8" w:rsidP="00D6078B">
      <w:pPr>
        <w:pStyle w:val="Textpoznpodarou"/>
        <w:jc w:val="both"/>
      </w:pPr>
      <w:r>
        <w:rPr>
          <w:rStyle w:val="Znakapoznpodarou"/>
        </w:rPr>
        <w:footnoteRef/>
      </w:r>
      <w:r>
        <w:t xml:space="preserve"> </w:t>
      </w:r>
      <w:r w:rsidRPr="006C3B69">
        <w:t>ČESKO. Zákon číslo 110 ze dne 24. dubna 1997 o potravinách a tabákových výrobcích a o změně a doplnění některých souvisejících zákonů. In: Sbírka zákonů České republiky. 2014, částka 59, s.</w:t>
      </w:r>
      <w:r>
        <w:t> 1518-1537, ISSN 1211-1244.</w:t>
      </w:r>
    </w:p>
  </w:footnote>
  <w:footnote w:id="4">
    <w:p w:rsidR="00771FD8" w:rsidRDefault="00771FD8" w:rsidP="00D6078B">
      <w:pPr>
        <w:pStyle w:val="Textpoznpodarou"/>
        <w:jc w:val="both"/>
      </w:pPr>
      <w:r>
        <w:rPr>
          <w:rStyle w:val="Znakapoznpodarou"/>
        </w:rPr>
        <w:footnoteRef/>
      </w:r>
      <w:r>
        <w:t xml:space="preserve"> </w:t>
      </w:r>
      <w:r>
        <w:rPr>
          <w:rFonts w:cs="Arial"/>
        </w:rPr>
        <w:t>ČESKO. Zákon číslo 268 ze dne 22. října 2014 o zdravotnických prostředcích a o změně zákona č. 634/2004 Sb., o správních poplatcích, ve znění pozdějších předpisů. In: Sbírka zákonů České republiky. 2014, částka 110, s. 3146-318, ISSN 1211-1244.</w:t>
      </w:r>
    </w:p>
  </w:footnote>
  <w:footnote w:id="5">
    <w:p w:rsidR="00771FD8" w:rsidRPr="00D16FC7" w:rsidRDefault="00771FD8" w:rsidP="001834DB">
      <w:pPr>
        <w:pStyle w:val="Textpoznpodarou"/>
        <w:jc w:val="both"/>
        <w:rPr>
          <w:rFonts w:cs="Arial"/>
        </w:rPr>
      </w:pPr>
      <w:r>
        <w:rPr>
          <w:rStyle w:val="Znakapoznpodarou"/>
        </w:rPr>
        <w:footnoteRef/>
      </w:r>
      <w:r>
        <w:t xml:space="preserve"> </w:t>
      </w:r>
      <w:r>
        <w:rPr>
          <w:rFonts w:cs="Arial"/>
        </w:rPr>
        <w:t>ČESKO. Nařízení Evropského parlamentu a Rady (EU) 2017/745 ze dne 5. dubna 2017 o zdravotních prostředcích. Úřední věstník Evropské unie, L 117, 5. 5. 2017, s. 1-175, ISSN 1725-5074.</w:t>
      </w:r>
    </w:p>
  </w:footnote>
  <w:footnote w:id="6">
    <w:p w:rsidR="00771FD8" w:rsidRDefault="00771FD8" w:rsidP="00D6078B">
      <w:pPr>
        <w:pStyle w:val="Textpoznpodarou"/>
        <w:jc w:val="both"/>
      </w:pPr>
      <w:r>
        <w:rPr>
          <w:rStyle w:val="Znakapoznpodarou"/>
        </w:rPr>
        <w:footnoteRef/>
      </w:r>
      <w:r>
        <w:t xml:space="preserve"> </w:t>
      </w:r>
      <w:r>
        <w:rPr>
          <w:rFonts w:cs="Arial"/>
        </w:rPr>
        <w:t>ČESKO. Nařízení Evropského parlamentu a Rady (ES) 1223/2009 ze dne 30. listopadu 2009 o kosmetických přípravcích. Úřední věstník Evropské unie, L 342, 22. 12. 2009, s. 59-209, ISSN 1725-5074.</w:t>
      </w:r>
    </w:p>
  </w:footnote>
  <w:footnote w:id="7">
    <w:p w:rsidR="00771FD8" w:rsidRDefault="00771FD8" w:rsidP="00D6078B">
      <w:pPr>
        <w:pStyle w:val="Textpoznpodarou"/>
        <w:jc w:val="both"/>
      </w:pPr>
      <w:r>
        <w:rPr>
          <w:rStyle w:val="Znakapoznpodarou"/>
        </w:rPr>
        <w:footnoteRef/>
      </w:r>
      <w:r>
        <w:t xml:space="preserve"> </w:t>
      </w:r>
      <w:r>
        <w:rPr>
          <w:rFonts w:cs="Arial"/>
        </w:rPr>
        <w:t>ČESKO. Nařízení Evropského parlamentu a Rady (EU) 609/2013 ze dne 12. června 2013 o potravinách určených pro kojence a malé děti, potravinách pro zvláštní lékařské účely a náhradě celodenní stravy pro regulaci hmotnosti a o zrušení směrnice Rady 92/52/EHS, směrnic Komise 96/8/ES, 1999/21/ES, 2006/125/ES a 2006/141/ES, směrnice Evropského parlamentu a Rady 2009/39/ES a nařízení Komise (ES) č. 41/2009 a (ES) č. 953/2009. Úřední věstník Evropské unie, L 181, 29. 06. 2013, s. 35-569, ISSN 1977-0626.</w:t>
      </w:r>
    </w:p>
  </w:footnote>
  <w:footnote w:id="8">
    <w:p w:rsidR="00771FD8" w:rsidRDefault="00771FD8" w:rsidP="00D6078B">
      <w:pPr>
        <w:pStyle w:val="Textpoznpodarou"/>
        <w:jc w:val="both"/>
      </w:pPr>
      <w:r>
        <w:rPr>
          <w:rStyle w:val="Znakapoznpodarou"/>
        </w:rPr>
        <w:footnoteRef/>
      </w:r>
      <w:r>
        <w:t xml:space="preserve"> </w:t>
      </w:r>
      <w:r>
        <w:rPr>
          <w:rFonts w:cs="Arial"/>
        </w:rPr>
        <w:t>ČESKO. Zákon číslo 372 ze dne 6. listopadu 2011 o zdravotních službách a podmínkách jejich poskytování (zákon o zdravotních službách). In: Sbírka zákonů České republiky. 2011, částka 131, s. 4730-2188, ISSN 1211-1244.</w:t>
      </w:r>
    </w:p>
  </w:footnote>
  <w:footnote w:id="9">
    <w:p w:rsidR="00771FD8" w:rsidRDefault="00771FD8" w:rsidP="00D6078B">
      <w:pPr>
        <w:pStyle w:val="Textpoznpodarou"/>
        <w:jc w:val="both"/>
      </w:pPr>
      <w:r>
        <w:rPr>
          <w:rStyle w:val="Znakapoznpodarou"/>
        </w:rPr>
        <w:footnoteRef/>
      </w:r>
      <w:r>
        <w:t xml:space="preserve"> </w:t>
      </w:r>
      <w:r>
        <w:rPr>
          <w:rFonts w:cs="Arial"/>
        </w:rPr>
        <w:t>ČESKO. Zákon číslo 167 ze dne 11. června 1998 o návykových látkách a o změně některých dalších zákonů. In: Sbírka zákonů České republiky. 1998, částka 57, s. 6770-6800, ISSN 1211-1244.</w:t>
      </w:r>
    </w:p>
  </w:footnote>
  <w:footnote w:id="10">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2013. Online. Státní ústav pro kontrolu léčiv, 2014. Dostupné z: https://www.sukl.cz/file/75206_1_1/download/ [staženo 2024-06-03].</w:t>
      </w:r>
    </w:p>
  </w:footnote>
  <w:footnote w:id="11">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2013. Online. Státní ústav pro kontrolu léčiv, 2014. Dostupné z: https://www.sukl.cz/file/78156_1_1/download/ [staženo 2024-06-03].</w:t>
      </w:r>
    </w:p>
  </w:footnote>
  <w:footnote w:id="12">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2013. Online. Státní ústav pro kontrolu léčiv, 2014. Dostupné z: https://www.sukl.cz/file/78156_1_1/download/ [staženo 2024-06-03].</w:t>
      </w:r>
    </w:p>
  </w:footnote>
  <w:footnote w:id="13">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2014. Online. Státní ústav pro kontrolu léčiv, 2015. Dostupné z: https://www.sukl.cz/file/80909_1_1/download/ [staženo 2024-06-03].</w:t>
      </w:r>
    </w:p>
  </w:footnote>
  <w:footnote w:id="14">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2014. Online. Státní ústav pro kontrolu léčiv, 2015. Dostupné z: https://www.sukl.cz/file/80909_1_1/download/ [staženo 2024-06-03].</w:t>
      </w:r>
    </w:p>
  </w:footnote>
  <w:footnote w:id="15">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2015. Online. Státní ústav pro kontrolu léčiv, 2016. Dostupné z: https://www.sukl.cz/file/83709_1_1/download/ [staženo 2024-06-03].</w:t>
      </w:r>
    </w:p>
  </w:footnote>
  <w:footnote w:id="16">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2015. Online. Státní ústav pro kontrolu léčiv, 2016. Dostupné z: https://www.sukl.cz/file/83709_1_1/download/ [staženo 2024-06-03].</w:t>
      </w:r>
    </w:p>
  </w:footnote>
  <w:footnote w:id="17">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2016. Online. Státní ústav pro kontrolu léčiv, 2017. Dostupné z: https://www.sukl.cz/file/86011_1_1/download/ [staženo 2024-06-03].</w:t>
      </w:r>
    </w:p>
  </w:footnote>
  <w:footnote w:id="18">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2016. Online. Státní ústav pro kontrolu léčiv, 2017. Dostupné z: https://www.sukl.cz/file/86011_1_1/download/ [staženo 2024-06-03].</w:t>
      </w:r>
    </w:p>
  </w:footnote>
  <w:footnote w:id="19">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2017. Online. Státní ústav pro kontrolu léčiv, 2018. Dostupné z: https://www.sukl.cz/file/88637_1_1/download/ [staženo 2024-06-03].</w:t>
      </w:r>
    </w:p>
  </w:footnote>
  <w:footnote w:id="20">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2017. Online. Státní ústav pro kontrolu léčiv, 2018. Dostupné z: https://www.sukl.cz/file/88637_1_1/download/ [staženo 2024-06-03].</w:t>
      </w:r>
    </w:p>
  </w:footnote>
  <w:footnote w:id="21">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2018. Online. Státní ústav pro kontrolu léčiv, 2019. Dostupné z: https://www.sukl.cz/file/90717_1_1/download/ [staženo 2024-06-03].</w:t>
      </w:r>
    </w:p>
  </w:footnote>
  <w:footnote w:id="22">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2018. Online. Státní ústav pro kontrolu léčiv, 2019. Dostupné z: https://www.sukl.cz/file/90717_1_1/download/ [staženo 2024-06-03].</w:t>
      </w:r>
    </w:p>
  </w:footnote>
  <w:footnote w:id="23">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2019. Online. Státní ústav pro kontrolu léčiv, 2020. Dostupné z: https://www.sukl.cz/file/93501_1_1/download/ [staženo 2024-06-03].</w:t>
      </w:r>
    </w:p>
  </w:footnote>
  <w:footnote w:id="24">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2019. Online. Státní ústav pro kontrolu léčiv, 2020. Dostupné z: https://www.sukl.cz/file/93501_1_1/download/ [staženo 2024-06-03].</w:t>
      </w:r>
    </w:p>
  </w:footnote>
  <w:footnote w:id="25">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2020. Online. Státní ústav pro kontrolu léčiv, 2021. Dostupné z: https://www.sukl.cz/file/96476_1_1/download/ [staženo 2024-06-03].</w:t>
      </w:r>
    </w:p>
  </w:footnote>
  <w:footnote w:id="26">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2020. Online. Státní ústav pro kontrolu léčiv, 2021. Dostupné z: https://www.sukl.cz/file/96476_1_1/download/ [staženo 2024-06-03].</w:t>
      </w:r>
    </w:p>
  </w:footnote>
  <w:footnote w:id="27">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2021. Online. Státní ústav pro kontrolu léčiv, 2022. Dostupné z: https://www.sukl.cz/file/99232_1_1/download/ [staženo 2024-06-03].</w:t>
      </w:r>
    </w:p>
  </w:footnote>
  <w:footnote w:id="28">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2021. Online. Státní ústav pro kontrolu léčiv, 2022. Dostupné z: https://www.sukl.cz/file/99232_1_1/download/ [staženo 2024-06-03].</w:t>
      </w:r>
    </w:p>
  </w:footnote>
  <w:footnote w:id="29">
    <w:p w:rsidR="00771FD8" w:rsidRDefault="00771FD8" w:rsidP="00294E20">
      <w:pPr>
        <w:suppressAutoHyphens/>
        <w:spacing w:after="0" w:line="360" w:lineRule="auto"/>
        <w:ind w:left="284" w:hanging="284"/>
        <w:jc w:val="both"/>
      </w:pPr>
      <w:r>
        <w:rPr>
          <w:rFonts w:cs="Arial"/>
          <w:sz w:val="20"/>
          <w:szCs w:val="20"/>
        </w:rPr>
        <w:footnoteRef/>
      </w:r>
      <w:r>
        <w:rPr>
          <w:rFonts w:cs="Arial"/>
          <w:sz w:val="20"/>
          <w:szCs w:val="20"/>
        </w:rPr>
        <w:tab/>
        <w:t>Státní ústav pro kontrolu léčiv (SÚKL). Výroční zpráva 2022. Online. Státní ústav pro kontrolu léčiv, 2023. Dostupné z: https://www.sukl.cz/file/102970_1_1/download/ [staženo 2024-06-03].</w:t>
      </w:r>
    </w:p>
  </w:footnote>
  <w:footnote w:id="30">
    <w:p w:rsidR="00771FD8" w:rsidRDefault="00771FD8" w:rsidP="00294E20">
      <w:pPr>
        <w:suppressAutoHyphens/>
        <w:spacing w:after="0" w:line="360" w:lineRule="auto"/>
        <w:ind w:left="284" w:hanging="284"/>
        <w:jc w:val="both"/>
      </w:pPr>
      <w:bookmarkStart w:id="129" w:name="__DdeLink__6128_628880162"/>
      <w:r>
        <w:rPr>
          <w:rFonts w:cs="Arial"/>
          <w:sz w:val="20"/>
          <w:szCs w:val="20"/>
        </w:rPr>
        <w:footnoteRef/>
      </w:r>
      <w:r>
        <w:rPr>
          <w:rFonts w:cs="Arial"/>
          <w:sz w:val="20"/>
          <w:szCs w:val="20"/>
        </w:rPr>
        <w:tab/>
        <w:t>Státní ústav pro kontrolu léčiv (SÚKL). Výroční zpráva 2022. Online. Státní ústav pro kontrolu léčiv, 2023. Dostupné z: https://www.sukl.cz/file/102970_1_1/download/ [staženo 2024-06-03</w:t>
      </w:r>
      <w:bookmarkEnd w:id="129"/>
      <w:r>
        <w:rPr>
          <w:rFonts w:cs="Arial"/>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DC1"/>
    <w:multiLevelType w:val="multilevel"/>
    <w:tmpl w:val="CBC4B1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A3D493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4170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EA2B4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1D281C"/>
    <w:multiLevelType w:val="hybridMultilevel"/>
    <w:tmpl w:val="E9B0BD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9B1DD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C7317A"/>
    <w:multiLevelType w:val="hybridMultilevel"/>
    <w:tmpl w:val="912491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0920070"/>
    <w:multiLevelType w:val="hybridMultilevel"/>
    <w:tmpl w:val="1D5820E8"/>
    <w:lvl w:ilvl="0" w:tplc="FAF4E642">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F61663"/>
    <w:multiLevelType w:val="multilevel"/>
    <w:tmpl w:val="F6A6D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656C3A"/>
    <w:multiLevelType w:val="hybridMultilevel"/>
    <w:tmpl w:val="92705D4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3072731"/>
    <w:multiLevelType w:val="multilevel"/>
    <w:tmpl w:val="6FDE3472"/>
    <w:lvl w:ilvl="0">
      <w:start w:val="1"/>
      <w:numFmt w:val="decimal"/>
      <w:lvlText w:val="%1."/>
      <w:lvlJc w:val="left"/>
      <w:pPr>
        <w:ind w:left="360" w:hanging="360"/>
      </w:pPr>
      <w:rPr>
        <w:b/>
      </w:rPr>
    </w:lvl>
    <w:lvl w:ilvl="1">
      <w:start w:val="1"/>
      <w:numFmt w:val="decimal"/>
      <w:lvlText w:val="%1.%2."/>
      <w:lvlJc w:val="left"/>
      <w:pPr>
        <w:ind w:left="1850"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40652C"/>
    <w:multiLevelType w:val="hybridMultilevel"/>
    <w:tmpl w:val="FEDA7A74"/>
    <w:lvl w:ilvl="0" w:tplc="0B005832">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86F624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0C2E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68D0D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775344B"/>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6AC56681"/>
    <w:multiLevelType w:val="multilevel"/>
    <w:tmpl w:val="4BCE9244"/>
    <w:lvl w:ilvl="0">
      <w:start w:val="1"/>
      <w:numFmt w:val="decimal"/>
      <w:pStyle w:val="Nadpis1"/>
      <w:lvlText w:val="%1"/>
      <w:lvlJc w:val="left"/>
      <w:pPr>
        <w:ind w:left="432" w:hanging="432"/>
      </w:pPr>
      <w:rPr>
        <w:b/>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71E829A7"/>
    <w:multiLevelType w:val="hybridMultilevel"/>
    <w:tmpl w:val="71F4414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7B9545A5"/>
    <w:multiLevelType w:val="hybridMultilevel"/>
    <w:tmpl w:val="C97E81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C56327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0668B1"/>
    <w:multiLevelType w:val="hybridMultilevel"/>
    <w:tmpl w:val="14BE331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7F58162A"/>
    <w:multiLevelType w:val="hybridMultilevel"/>
    <w:tmpl w:val="D9DA1FA2"/>
    <w:lvl w:ilvl="0" w:tplc="20A23D38">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18"/>
  </w:num>
  <w:num w:numId="5">
    <w:abstractNumId w:val="16"/>
  </w:num>
  <w:num w:numId="6">
    <w:abstractNumId w:val="2"/>
  </w:num>
  <w:num w:numId="7">
    <w:abstractNumId w:val="9"/>
  </w:num>
  <w:num w:numId="8">
    <w:abstractNumId w:val="4"/>
  </w:num>
  <w:num w:numId="9">
    <w:abstractNumId w:val="19"/>
  </w:num>
  <w:num w:numId="10">
    <w:abstractNumId w:val="5"/>
  </w:num>
  <w:num w:numId="11">
    <w:abstractNumId w:val="17"/>
  </w:num>
  <w:num w:numId="12">
    <w:abstractNumId w:val="1"/>
  </w:num>
  <w:num w:numId="13">
    <w:abstractNumId w:val="13"/>
  </w:num>
  <w:num w:numId="14">
    <w:abstractNumId w:val="15"/>
  </w:num>
  <w:num w:numId="15">
    <w:abstractNumId w:val="14"/>
  </w:num>
  <w:num w:numId="16">
    <w:abstractNumId w:val="12"/>
  </w:num>
  <w:num w:numId="17">
    <w:abstractNumId w:val="3"/>
  </w:num>
  <w:num w:numId="18">
    <w:abstractNumId w:val="7"/>
  </w:num>
  <w:num w:numId="19">
    <w:abstractNumId w:val="11"/>
  </w:num>
  <w:num w:numId="20">
    <w:abstractNumId w:val="21"/>
  </w:num>
  <w:num w:numId="21">
    <w:abstractNumId w:val="2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E20"/>
    <w:rsid w:val="00007E64"/>
    <w:rsid w:val="000136DE"/>
    <w:rsid w:val="00027E46"/>
    <w:rsid w:val="00035CD1"/>
    <w:rsid w:val="00042918"/>
    <w:rsid w:val="00045408"/>
    <w:rsid w:val="00051561"/>
    <w:rsid w:val="00060797"/>
    <w:rsid w:val="00087D03"/>
    <w:rsid w:val="000A2BEA"/>
    <w:rsid w:val="000A7728"/>
    <w:rsid w:val="000E0064"/>
    <w:rsid w:val="000F2AEC"/>
    <w:rsid w:val="000F72C4"/>
    <w:rsid w:val="0011271E"/>
    <w:rsid w:val="00115C71"/>
    <w:rsid w:val="00143A07"/>
    <w:rsid w:val="001468C3"/>
    <w:rsid w:val="00152F77"/>
    <w:rsid w:val="0015595F"/>
    <w:rsid w:val="0015677F"/>
    <w:rsid w:val="00156CCC"/>
    <w:rsid w:val="001648C5"/>
    <w:rsid w:val="0018336F"/>
    <w:rsid w:val="001834DB"/>
    <w:rsid w:val="001A3F47"/>
    <w:rsid w:val="001A577B"/>
    <w:rsid w:val="001B36CD"/>
    <w:rsid w:val="001C4A9F"/>
    <w:rsid w:val="001E3DB6"/>
    <w:rsid w:val="001E4F3A"/>
    <w:rsid w:val="001F13D2"/>
    <w:rsid w:val="00242A81"/>
    <w:rsid w:val="00273075"/>
    <w:rsid w:val="00274ABD"/>
    <w:rsid w:val="00281350"/>
    <w:rsid w:val="002946E1"/>
    <w:rsid w:val="00294E20"/>
    <w:rsid w:val="002A2EA4"/>
    <w:rsid w:val="002B03E5"/>
    <w:rsid w:val="002C6257"/>
    <w:rsid w:val="002E491B"/>
    <w:rsid w:val="002F2102"/>
    <w:rsid w:val="00300112"/>
    <w:rsid w:val="00320571"/>
    <w:rsid w:val="00323074"/>
    <w:rsid w:val="003312E3"/>
    <w:rsid w:val="00335CFE"/>
    <w:rsid w:val="00335EA0"/>
    <w:rsid w:val="0035127A"/>
    <w:rsid w:val="00364FC5"/>
    <w:rsid w:val="0038569D"/>
    <w:rsid w:val="00397A09"/>
    <w:rsid w:val="003A67A6"/>
    <w:rsid w:val="003B0987"/>
    <w:rsid w:val="003C38C0"/>
    <w:rsid w:val="003C554D"/>
    <w:rsid w:val="003C77BC"/>
    <w:rsid w:val="003D41D4"/>
    <w:rsid w:val="003E52D4"/>
    <w:rsid w:val="003E5647"/>
    <w:rsid w:val="003F2FE5"/>
    <w:rsid w:val="00417C83"/>
    <w:rsid w:val="00424FB0"/>
    <w:rsid w:val="00431E3B"/>
    <w:rsid w:val="00432B0D"/>
    <w:rsid w:val="0043344A"/>
    <w:rsid w:val="00447111"/>
    <w:rsid w:val="004604B1"/>
    <w:rsid w:val="00467AA0"/>
    <w:rsid w:val="004855C6"/>
    <w:rsid w:val="004900F7"/>
    <w:rsid w:val="00496C94"/>
    <w:rsid w:val="004A1EB4"/>
    <w:rsid w:val="004A4757"/>
    <w:rsid w:val="004B75FF"/>
    <w:rsid w:val="004C004B"/>
    <w:rsid w:val="004C394D"/>
    <w:rsid w:val="004D0130"/>
    <w:rsid w:val="004E548A"/>
    <w:rsid w:val="004F2D52"/>
    <w:rsid w:val="00502749"/>
    <w:rsid w:val="00534CD7"/>
    <w:rsid w:val="00535A84"/>
    <w:rsid w:val="00555F67"/>
    <w:rsid w:val="00572496"/>
    <w:rsid w:val="00582124"/>
    <w:rsid w:val="00582C8A"/>
    <w:rsid w:val="005934B4"/>
    <w:rsid w:val="005B156A"/>
    <w:rsid w:val="005B4116"/>
    <w:rsid w:val="005C20E8"/>
    <w:rsid w:val="005C4875"/>
    <w:rsid w:val="005C67A9"/>
    <w:rsid w:val="005D10CE"/>
    <w:rsid w:val="005D40B5"/>
    <w:rsid w:val="005D733E"/>
    <w:rsid w:val="005E29A0"/>
    <w:rsid w:val="005F2581"/>
    <w:rsid w:val="005F43C4"/>
    <w:rsid w:val="00601977"/>
    <w:rsid w:val="00615900"/>
    <w:rsid w:val="00640715"/>
    <w:rsid w:val="00655C22"/>
    <w:rsid w:val="00667995"/>
    <w:rsid w:val="00682521"/>
    <w:rsid w:val="006833CD"/>
    <w:rsid w:val="006961A9"/>
    <w:rsid w:val="006976E4"/>
    <w:rsid w:val="006B0557"/>
    <w:rsid w:val="006C11DA"/>
    <w:rsid w:val="006C3F1E"/>
    <w:rsid w:val="006E7B72"/>
    <w:rsid w:val="006F5216"/>
    <w:rsid w:val="00703C61"/>
    <w:rsid w:val="00704EEA"/>
    <w:rsid w:val="007237BF"/>
    <w:rsid w:val="007270D1"/>
    <w:rsid w:val="00727486"/>
    <w:rsid w:val="00733FB8"/>
    <w:rsid w:val="007536BA"/>
    <w:rsid w:val="00771FD8"/>
    <w:rsid w:val="007F0118"/>
    <w:rsid w:val="007F4162"/>
    <w:rsid w:val="008024E4"/>
    <w:rsid w:val="00813159"/>
    <w:rsid w:val="0082033E"/>
    <w:rsid w:val="00823DCC"/>
    <w:rsid w:val="008247AF"/>
    <w:rsid w:val="00832087"/>
    <w:rsid w:val="00834447"/>
    <w:rsid w:val="008416B5"/>
    <w:rsid w:val="00844BA1"/>
    <w:rsid w:val="00861C71"/>
    <w:rsid w:val="00865312"/>
    <w:rsid w:val="00865A9A"/>
    <w:rsid w:val="00872CEC"/>
    <w:rsid w:val="00873233"/>
    <w:rsid w:val="00882CE1"/>
    <w:rsid w:val="008B5950"/>
    <w:rsid w:val="008B59C9"/>
    <w:rsid w:val="008E428D"/>
    <w:rsid w:val="008E6757"/>
    <w:rsid w:val="008F39F2"/>
    <w:rsid w:val="009257C4"/>
    <w:rsid w:val="009337F9"/>
    <w:rsid w:val="009412DC"/>
    <w:rsid w:val="009422C8"/>
    <w:rsid w:val="0094678D"/>
    <w:rsid w:val="00980835"/>
    <w:rsid w:val="00987000"/>
    <w:rsid w:val="009B6509"/>
    <w:rsid w:val="009C4D0D"/>
    <w:rsid w:val="009F2145"/>
    <w:rsid w:val="00A20071"/>
    <w:rsid w:val="00A218B6"/>
    <w:rsid w:val="00A32791"/>
    <w:rsid w:val="00A32CAB"/>
    <w:rsid w:val="00A34B49"/>
    <w:rsid w:val="00A53763"/>
    <w:rsid w:val="00A62E1C"/>
    <w:rsid w:val="00A63DAD"/>
    <w:rsid w:val="00A86F73"/>
    <w:rsid w:val="00A95382"/>
    <w:rsid w:val="00AA3B6D"/>
    <w:rsid w:val="00AB59C6"/>
    <w:rsid w:val="00AD09BD"/>
    <w:rsid w:val="00AD729B"/>
    <w:rsid w:val="00AE0D11"/>
    <w:rsid w:val="00AF30CA"/>
    <w:rsid w:val="00B50118"/>
    <w:rsid w:val="00B6181E"/>
    <w:rsid w:val="00B732BB"/>
    <w:rsid w:val="00B772BC"/>
    <w:rsid w:val="00BB1B4D"/>
    <w:rsid w:val="00BC3165"/>
    <w:rsid w:val="00BC6425"/>
    <w:rsid w:val="00BE2D21"/>
    <w:rsid w:val="00BF487D"/>
    <w:rsid w:val="00C554F3"/>
    <w:rsid w:val="00C57A45"/>
    <w:rsid w:val="00C60D5D"/>
    <w:rsid w:val="00C645E4"/>
    <w:rsid w:val="00C81B8A"/>
    <w:rsid w:val="00CD5D52"/>
    <w:rsid w:val="00CE15CB"/>
    <w:rsid w:val="00CF20AA"/>
    <w:rsid w:val="00CF7A7B"/>
    <w:rsid w:val="00D16FC7"/>
    <w:rsid w:val="00D2622C"/>
    <w:rsid w:val="00D314B6"/>
    <w:rsid w:val="00D353BC"/>
    <w:rsid w:val="00D35D69"/>
    <w:rsid w:val="00D460F0"/>
    <w:rsid w:val="00D467E1"/>
    <w:rsid w:val="00D53008"/>
    <w:rsid w:val="00D6078B"/>
    <w:rsid w:val="00D72E16"/>
    <w:rsid w:val="00D7426F"/>
    <w:rsid w:val="00D808F3"/>
    <w:rsid w:val="00D905FD"/>
    <w:rsid w:val="00DB55D9"/>
    <w:rsid w:val="00DC7543"/>
    <w:rsid w:val="00DC7E3A"/>
    <w:rsid w:val="00DD50B4"/>
    <w:rsid w:val="00DE538F"/>
    <w:rsid w:val="00DF71BB"/>
    <w:rsid w:val="00E07D36"/>
    <w:rsid w:val="00E31539"/>
    <w:rsid w:val="00E36952"/>
    <w:rsid w:val="00E37C34"/>
    <w:rsid w:val="00E4598E"/>
    <w:rsid w:val="00E55360"/>
    <w:rsid w:val="00E64787"/>
    <w:rsid w:val="00E842A2"/>
    <w:rsid w:val="00E876DE"/>
    <w:rsid w:val="00E87D13"/>
    <w:rsid w:val="00E92AD1"/>
    <w:rsid w:val="00EA2179"/>
    <w:rsid w:val="00EB3B5A"/>
    <w:rsid w:val="00EC2304"/>
    <w:rsid w:val="00ED0944"/>
    <w:rsid w:val="00F0299C"/>
    <w:rsid w:val="00F06A37"/>
    <w:rsid w:val="00F10EB2"/>
    <w:rsid w:val="00F243BC"/>
    <w:rsid w:val="00F30078"/>
    <w:rsid w:val="00F31E36"/>
    <w:rsid w:val="00F378AA"/>
    <w:rsid w:val="00F449E3"/>
    <w:rsid w:val="00F532EE"/>
    <w:rsid w:val="00F5769E"/>
    <w:rsid w:val="00F61844"/>
    <w:rsid w:val="00F721A4"/>
    <w:rsid w:val="00F80871"/>
    <w:rsid w:val="00F8154D"/>
    <w:rsid w:val="00F977CA"/>
    <w:rsid w:val="00FA4B56"/>
    <w:rsid w:val="00FB3F6F"/>
    <w:rsid w:val="00FE3262"/>
    <w:rsid w:val="00FE7799"/>
    <w:rsid w:val="00FF44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9B9D5A-FD4A-47B9-AA6A-678E5294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94E20"/>
    <w:rPr>
      <w:rFonts w:ascii="Calibri" w:eastAsia="Calibri" w:hAnsi="Calibri"/>
      <w:color w:val="00000A"/>
    </w:rPr>
  </w:style>
  <w:style w:type="paragraph" w:styleId="Nadpis1">
    <w:name w:val="heading 1"/>
    <w:basedOn w:val="Normln"/>
    <w:link w:val="Nadpis1Char"/>
    <w:uiPriority w:val="9"/>
    <w:qFormat/>
    <w:rsid w:val="00294E20"/>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unhideWhenUsed/>
    <w:qFormat/>
    <w:rsid w:val="00294E20"/>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unhideWhenUsed/>
    <w:qFormat/>
    <w:rsid w:val="00294E20"/>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294E20"/>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294E20"/>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294E20"/>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294E20"/>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294E2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94E2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294E2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qFormat/>
    <w:rsid w:val="00294E20"/>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qFormat/>
    <w:rsid w:val="00294E20"/>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294E20"/>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294E20"/>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294E20"/>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294E20"/>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294E2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94E20"/>
    <w:rPr>
      <w:rFonts w:asciiTheme="majorHAnsi" w:eastAsiaTheme="majorEastAsia" w:hAnsiTheme="majorHAnsi" w:cstheme="majorBidi"/>
      <w:i/>
      <w:iCs/>
      <w:color w:val="272727" w:themeColor="text1" w:themeTint="D8"/>
      <w:sz w:val="21"/>
      <w:szCs w:val="21"/>
    </w:rPr>
  </w:style>
  <w:style w:type="character" w:customStyle="1" w:styleId="ZhlavChar">
    <w:name w:val="Záhlaví Char"/>
    <w:basedOn w:val="Standardnpsmoodstavce"/>
    <w:link w:val="Zhlav"/>
    <w:uiPriority w:val="99"/>
    <w:qFormat/>
    <w:rsid w:val="00294E20"/>
  </w:style>
  <w:style w:type="character" w:customStyle="1" w:styleId="ZpatChar">
    <w:name w:val="Zápatí Char"/>
    <w:basedOn w:val="Standardnpsmoodstavce"/>
    <w:link w:val="Zpat"/>
    <w:uiPriority w:val="99"/>
    <w:qFormat/>
    <w:rsid w:val="00294E20"/>
  </w:style>
  <w:style w:type="character" w:customStyle="1" w:styleId="Internetovodkaz">
    <w:name w:val="Internetový odkaz"/>
    <w:basedOn w:val="Standardnpsmoodstavce"/>
    <w:uiPriority w:val="99"/>
    <w:unhideWhenUsed/>
    <w:rsid w:val="00294E20"/>
    <w:rPr>
      <w:color w:val="0563C1" w:themeColor="hyperlink"/>
      <w:u w:val="single"/>
    </w:rPr>
  </w:style>
  <w:style w:type="character" w:customStyle="1" w:styleId="ListLabel1">
    <w:name w:val="ListLabel 1"/>
    <w:qFormat/>
    <w:rsid w:val="00294E20"/>
    <w:rPr>
      <w:rFonts w:eastAsia="Calibri" w:cs="Calibri"/>
    </w:rPr>
  </w:style>
  <w:style w:type="character" w:customStyle="1" w:styleId="ListLabel2">
    <w:name w:val="ListLabel 2"/>
    <w:qFormat/>
    <w:rsid w:val="00294E20"/>
    <w:rPr>
      <w:rFonts w:cs="Courier New"/>
    </w:rPr>
  </w:style>
  <w:style w:type="character" w:customStyle="1" w:styleId="ListLabel3">
    <w:name w:val="ListLabel 3"/>
    <w:qFormat/>
    <w:rsid w:val="00294E20"/>
    <w:rPr>
      <w:rFonts w:cs="Courier New"/>
    </w:rPr>
  </w:style>
  <w:style w:type="character" w:customStyle="1" w:styleId="ListLabel4">
    <w:name w:val="ListLabel 4"/>
    <w:qFormat/>
    <w:rsid w:val="00294E20"/>
    <w:rPr>
      <w:rFonts w:cs="Courier New"/>
    </w:rPr>
  </w:style>
  <w:style w:type="character" w:customStyle="1" w:styleId="Odkaznarejstk">
    <w:name w:val="Odkaz na rejstřík"/>
    <w:qFormat/>
    <w:rsid w:val="00294E20"/>
  </w:style>
  <w:style w:type="character" w:customStyle="1" w:styleId="ListLabel5">
    <w:name w:val="ListLabel 5"/>
    <w:qFormat/>
    <w:rsid w:val="00294E20"/>
    <w:rPr>
      <w:rFonts w:eastAsia="Calibri" w:cs="Calibri"/>
      <w:sz w:val="24"/>
    </w:rPr>
  </w:style>
  <w:style w:type="character" w:customStyle="1" w:styleId="ListLabel6">
    <w:name w:val="ListLabel 6"/>
    <w:qFormat/>
    <w:rsid w:val="00294E20"/>
    <w:rPr>
      <w:rFonts w:cs="Courier New"/>
    </w:rPr>
  </w:style>
  <w:style w:type="character" w:customStyle="1" w:styleId="ListLabel7">
    <w:name w:val="ListLabel 7"/>
    <w:qFormat/>
    <w:rsid w:val="00294E20"/>
    <w:rPr>
      <w:rFonts w:cs="Courier New"/>
    </w:rPr>
  </w:style>
  <w:style w:type="character" w:customStyle="1" w:styleId="ListLabel8">
    <w:name w:val="ListLabel 8"/>
    <w:qFormat/>
    <w:rsid w:val="00294E20"/>
    <w:rPr>
      <w:rFonts w:cs="Courier New"/>
    </w:rPr>
  </w:style>
  <w:style w:type="character" w:customStyle="1" w:styleId="ListLabel9">
    <w:name w:val="ListLabel 9"/>
    <w:qFormat/>
    <w:rsid w:val="00294E20"/>
    <w:rPr>
      <w:rFonts w:cs="Calibri"/>
      <w:sz w:val="24"/>
    </w:rPr>
  </w:style>
  <w:style w:type="character" w:customStyle="1" w:styleId="ListLabel10">
    <w:name w:val="ListLabel 10"/>
    <w:qFormat/>
    <w:rsid w:val="00294E20"/>
    <w:rPr>
      <w:rFonts w:cs="Courier New"/>
    </w:rPr>
  </w:style>
  <w:style w:type="character" w:customStyle="1" w:styleId="ListLabel11">
    <w:name w:val="ListLabel 11"/>
    <w:qFormat/>
    <w:rsid w:val="00294E20"/>
    <w:rPr>
      <w:rFonts w:cs="Wingdings"/>
    </w:rPr>
  </w:style>
  <w:style w:type="character" w:customStyle="1" w:styleId="ListLabel12">
    <w:name w:val="ListLabel 12"/>
    <w:qFormat/>
    <w:rsid w:val="00294E20"/>
    <w:rPr>
      <w:rFonts w:cs="Symbol"/>
    </w:rPr>
  </w:style>
  <w:style w:type="character" w:customStyle="1" w:styleId="ListLabel13">
    <w:name w:val="ListLabel 13"/>
    <w:qFormat/>
    <w:rsid w:val="00294E20"/>
    <w:rPr>
      <w:rFonts w:cs="Courier New"/>
    </w:rPr>
  </w:style>
  <w:style w:type="character" w:customStyle="1" w:styleId="ListLabel14">
    <w:name w:val="ListLabel 14"/>
    <w:qFormat/>
    <w:rsid w:val="00294E20"/>
    <w:rPr>
      <w:rFonts w:cs="Wingdings"/>
    </w:rPr>
  </w:style>
  <w:style w:type="character" w:customStyle="1" w:styleId="ListLabel15">
    <w:name w:val="ListLabel 15"/>
    <w:qFormat/>
    <w:rsid w:val="00294E20"/>
    <w:rPr>
      <w:rFonts w:cs="Symbol"/>
    </w:rPr>
  </w:style>
  <w:style w:type="character" w:customStyle="1" w:styleId="ListLabel16">
    <w:name w:val="ListLabel 16"/>
    <w:qFormat/>
    <w:rsid w:val="00294E20"/>
    <w:rPr>
      <w:rFonts w:cs="Courier New"/>
    </w:rPr>
  </w:style>
  <w:style w:type="character" w:customStyle="1" w:styleId="ListLabel17">
    <w:name w:val="ListLabel 17"/>
    <w:qFormat/>
    <w:rsid w:val="00294E20"/>
    <w:rPr>
      <w:rFonts w:cs="Wingdings"/>
    </w:rPr>
  </w:style>
  <w:style w:type="character" w:customStyle="1" w:styleId="ListLabel18">
    <w:name w:val="ListLabel 18"/>
    <w:qFormat/>
    <w:rsid w:val="00294E20"/>
    <w:rPr>
      <w:rFonts w:cs="Calibri"/>
      <w:sz w:val="24"/>
    </w:rPr>
  </w:style>
  <w:style w:type="character" w:customStyle="1" w:styleId="ListLabel19">
    <w:name w:val="ListLabel 19"/>
    <w:qFormat/>
    <w:rsid w:val="00294E20"/>
    <w:rPr>
      <w:rFonts w:cs="Courier New"/>
    </w:rPr>
  </w:style>
  <w:style w:type="character" w:customStyle="1" w:styleId="ListLabel20">
    <w:name w:val="ListLabel 20"/>
    <w:qFormat/>
    <w:rsid w:val="00294E20"/>
    <w:rPr>
      <w:rFonts w:cs="Wingdings"/>
    </w:rPr>
  </w:style>
  <w:style w:type="character" w:customStyle="1" w:styleId="ListLabel21">
    <w:name w:val="ListLabel 21"/>
    <w:qFormat/>
    <w:rsid w:val="00294E20"/>
    <w:rPr>
      <w:rFonts w:cs="Symbol"/>
    </w:rPr>
  </w:style>
  <w:style w:type="character" w:customStyle="1" w:styleId="ListLabel22">
    <w:name w:val="ListLabel 22"/>
    <w:qFormat/>
    <w:rsid w:val="00294E20"/>
    <w:rPr>
      <w:rFonts w:cs="Courier New"/>
    </w:rPr>
  </w:style>
  <w:style w:type="character" w:customStyle="1" w:styleId="ListLabel23">
    <w:name w:val="ListLabel 23"/>
    <w:qFormat/>
    <w:rsid w:val="00294E20"/>
    <w:rPr>
      <w:rFonts w:cs="Wingdings"/>
    </w:rPr>
  </w:style>
  <w:style w:type="character" w:customStyle="1" w:styleId="ListLabel24">
    <w:name w:val="ListLabel 24"/>
    <w:qFormat/>
    <w:rsid w:val="00294E20"/>
    <w:rPr>
      <w:rFonts w:cs="Symbol"/>
    </w:rPr>
  </w:style>
  <w:style w:type="character" w:customStyle="1" w:styleId="ListLabel25">
    <w:name w:val="ListLabel 25"/>
    <w:qFormat/>
    <w:rsid w:val="00294E20"/>
    <w:rPr>
      <w:rFonts w:cs="Courier New"/>
    </w:rPr>
  </w:style>
  <w:style w:type="character" w:customStyle="1" w:styleId="ListLabel26">
    <w:name w:val="ListLabel 26"/>
    <w:qFormat/>
    <w:rsid w:val="00294E20"/>
    <w:rPr>
      <w:rFonts w:cs="Wingdings"/>
    </w:rPr>
  </w:style>
  <w:style w:type="character" w:customStyle="1" w:styleId="ListLabel27">
    <w:name w:val="ListLabel 27"/>
    <w:qFormat/>
    <w:rsid w:val="00294E20"/>
    <w:rPr>
      <w:rFonts w:cs="Calibri"/>
      <w:sz w:val="24"/>
    </w:rPr>
  </w:style>
  <w:style w:type="character" w:customStyle="1" w:styleId="ListLabel28">
    <w:name w:val="ListLabel 28"/>
    <w:qFormat/>
    <w:rsid w:val="00294E20"/>
    <w:rPr>
      <w:rFonts w:cs="Courier New"/>
    </w:rPr>
  </w:style>
  <w:style w:type="character" w:customStyle="1" w:styleId="ListLabel29">
    <w:name w:val="ListLabel 29"/>
    <w:qFormat/>
    <w:rsid w:val="00294E20"/>
    <w:rPr>
      <w:rFonts w:cs="Wingdings"/>
    </w:rPr>
  </w:style>
  <w:style w:type="character" w:customStyle="1" w:styleId="ListLabel30">
    <w:name w:val="ListLabel 30"/>
    <w:qFormat/>
    <w:rsid w:val="00294E20"/>
    <w:rPr>
      <w:rFonts w:cs="Symbol"/>
    </w:rPr>
  </w:style>
  <w:style w:type="character" w:customStyle="1" w:styleId="ListLabel31">
    <w:name w:val="ListLabel 31"/>
    <w:qFormat/>
    <w:rsid w:val="00294E20"/>
    <w:rPr>
      <w:rFonts w:cs="Courier New"/>
    </w:rPr>
  </w:style>
  <w:style w:type="character" w:customStyle="1" w:styleId="ListLabel32">
    <w:name w:val="ListLabel 32"/>
    <w:qFormat/>
    <w:rsid w:val="00294E20"/>
    <w:rPr>
      <w:rFonts w:cs="Wingdings"/>
    </w:rPr>
  </w:style>
  <w:style w:type="character" w:customStyle="1" w:styleId="ListLabel33">
    <w:name w:val="ListLabel 33"/>
    <w:qFormat/>
    <w:rsid w:val="00294E20"/>
    <w:rPr>
      <w:rFonts w:cs="Symbol"/>
    </w:rPr>
  </w:style>
  <w:style w:type="character" w:customStyle="1" w:styleId="ListLabel34">
    <w:name w:val="ListLabel 34"/>
    <w:qFormat/>
    <w:rsid w:val="00294E20"/>
    <w:rPr>
      <w:rFonts w:cs="Courier New"/>
    </w:rPr>
  </w:style>
  <w:style w:type="character" w:customStyle="1" w:styleId="ListLabel35">
    <w:name w:val="ListLabel 35"/>
    <w:qFormat/>
    <w:rsid w:val="00294E20"/>
    <w:rPr>
      <w:rFonts w:cs="Wingdings"/>
    </w:rPr>
  </w:style>
  <w:style w:type="character" w:customStyle="1" w:styleId="ListLabel36">
    <w:name w:val="ListLabel 36"/>
    <w:qFormat/>
    <w:rsid w:val="00294E20"/>
    <w:rPr>
      <w:rFonts w:cs="Calibri"/>
      <w:sz w:val="24"/>
    </w:rPr>
  </w:style>
  <w:style w:type="character" w:customStyle="1" w:styleId="ListLabel37">
    <w:name w:val="ListLabel 37"/>
    <w:qFormat/>
    <w:rsid w:val="00294E20"/>
    <w:rPr>
      <w:rFonts w:cs="Courier New"/>
    </w:rPr>
  </w:style>
  <w:style w:type="character" w:customStyle="1" w:styleId="ListLabel38">
    <w:name w:val="ListLabel 38"/>
    <w:qFormat/>
    <w:rsid w:val="00294E20"/>
    <w:rPr>
      <w:rFonts w:cs="Wingdings"/>
    </w:rPr>
  </w:style>
  <w:style w:type="character" w:customStyle="1" w:styleId="ListLabel39">
    <w:name w:val="ListLabel 39"/>
    <w:qFormat/>
    <w:rsid w:val="00294E20"/>
    <w:rPr>
      <w:rFonts w:cs="Symbol"/>
    </w:rPr>
  </w:style>
  <w:style w:type="character" w:customStyle="1" w:styleId="ListLabel40">
    <w:name w:val="ListLabel 40"/>
    <w:qFormat/>
    <w:rsid w:val="00294E20"/>
    <w:rPr>
      <w:rFonts w:cs="Courier New"/>
    </w:rPr>
  </w:style>
  <w:style w:type="character" w:customStyle="1" w:styleId="ListLabel41">
    <w:name w:val="ListLabel 41"/>
    <w:qFormat/>
    <w:rsid w:val="00294E20"/>
    <w:rPr>
      <w:rFonts w:cs="Wingdings"/>
    </w:rPr>
  </w:style>
  <w:style w:type="character" w:customStyle="1" w:styleId="ListLabel42">
    <w:name w:val="ListLabel 42"/>
    <w:qFormat/>
    <w:rsid w:val="00294E20"/>
    <w:rPr>
      <w:rFonts w:cs="Symbol"/>
    </w:rPr>
  </w:style>
  <w:style w:type="character" w:customStyle="1" w:styleId="ListLabel43">
    <w:name w:val="ListLabel 43"/>
    <w:qFormat/>
    <w:rsid w:val="00294E20"/>
    <w:rPr>
      <w:rFonts w:cs="Courier New"/>
    </w:rPr>
  </w:style>
  <w:style w:type="character" w:customStyle="1" w:styleId="ListLabel44">
    <w:name w:val="ListLabel 44"/>
    <w:qFormat/>
    <w:rsid w:val="00294E20"/>
    <w:rPr>
      <w:rFonts w:cs="Wingdings"/>
    </w:rPr>
  </w:style>
  <w:style w:type="character" w:customStyle="1" w:styleId="ListLabel45">
    <w:name w:val="ListLabel 45"/>
    <w:qFormat/>
    <w:rsid w:val="00294E20"/>
    <w:rPr>
      <w:rFonts w:cs="Calibri"/>
      <w:sz w:val="24"/>
    </w:rPr>
  </w:style>
  <w:style w:type="character" w:customStyle="1" w:styleId="ListLabel46">
    <w:name w:val="ListLabel 46"/>
    <w:qFormat/>
    <w:rsid w:val="00294E20"/>
    <w:rPr>
      <w:rFonts w:cs="Courier New"/>
    </w:rPr>
  </w:style>
  <w:style w:type="character" w:customStyle="1" w:styleId="ListLabel47">
    <w:name w:val="ListLabel 47"/>
    <w:qFormat/>
    <w:rsid w:val="00294E20"/>
    <w:rPr>
      <w:rFonts w:cs="Wingdings"/>
    </w:rPr>
  </w:style>
  <w:style w:type="character" w:customStyle="1" w:styleId="ListLabel48">
    <w:name w:val="ListLabel 48"/>
    <w:qFormat/>
    <w:rsid w:val="00294E20"/>
    <w:rPr>
      <w:rFonts w:cs="Symbol"/>
    </w:rPr>
  </w:style>
  <w:style w:type="character" w:customStyle="1" w:styleId="ListLabel49">
    <w:name w:val="ListLabel 49"/>
    <w:qFormat/>
    <w:rsid w:val="00294E20"/>
    <w:rPr>
      <w:rFonts w:cs="Courier New"/>
    </w:rPr>
  </w:style>
  <w:style w:type="character" w:customStyle="1" w:styleId="ListLabel50">
    <w:name w:val="ListLabel 50"/>
    <w:qFormat/>
    <w:rsid w:val="00294E20"/>
    <w:rPr>
      <w:rFonts w:cs="Wingdings"/>
    </w:rPr>
  </w:style>
  <w:style w:type="character" w:customStyle="1" w:styleId="ListLabel51">
    <w:name w:val="ListLabel 51"/>
    <w:qFormat/>
    <w:rsid w:val="00294E20"/>
    <w:rPr>
      <w:rFonts w:cs="Symbol"/>
    </w:rPr>
  </w:style>
  <w:style w:type="character" w:customStyle="1" w:styleId="ListLabel52">
    <w:name w:val="ListLabel 52"/>
    <w:qFormat/>
    <w:rsid w:val="00294E20"/>
    <w:rPr>
      <w:rFonts w:cs="Courier New"/>
    </w:rPr>
  </w:style>
  <w:style w:type="character" w:customStyle="1" w:styleId="ListLabel53">
    <w:name w:val="ListLabel 53"/>
    <w:qFormat/>
    <w:rsid w:val="00294E20"/>
    <w:rPr>
      <w:rFonts w:cs="Wingdings"/>
    </w:rPr>
  </w:style>
  <w:style w:type="character" w:customStyle="1" w:styleId="ListLabel54">
    <w:name w:val="ListLabel 54"/>
    <w:qFormat/>
    <w:rsid w:val="00294E20"/>
    <w:rPr>
      <w:rFonts w:cs="Calibri"/>
      <w:sz w:val="24"/>
    </w:rPr>
  </w:style>
  <w:style w:type="character" w:customStyle="1" w:styleId="ListLabel55">
    <w:name w:val="ListLabel 55"/>
    <w:qFormat/>
    <w:rsid w:val="00294E20"/>
    <w:rPr>
      <w:rFonts w:cs="Courier New"/>
    </w:rPr>
  </w:style>
  <w:style w:type="character" w:customStyle="1" w:styleId="ListLabel56">
    <w:name w:val="ListLabel 56"/>
    <w:qFormat/>
    <w:rsid w:val="00294E20"/>
    <w:rPr>
      <w:rFonts w:cs="Wingdings"/>
    </w:rPr>
  </w:style>
  <w:style w:type="character" w:customStyle="1" w:styleId="ListLabel57">
    <w:name w:val="ListLabel 57"/>
    <w:qFormat/>
    <w:rsid w:val="00294E20"/>
    <w:rPr>
      <w:rFonts w:cs="Symbol"/>
    </w:rPr>
  </w:style>
  <w:style w:type="character" w:customStyle="1" w:styleId="ListLabel58">
    <w:name w:val="ListLabel 58"/>
    <w:qFormat/>
    <w:rsid w:val="00294E20"/>
    <w:rPr>
      <w:rFonts w:cs="Courier New"/>
    </w:rPr>
  </w:style>
  <w:style w:type="character" w:customStyle="1" w:styleId="ListLabel59">
    <w:name w:val="ListLabel 59"/>
    <w:qFormat/>
    <w:rsid w:val="00294E20"/>
    <w:rPr>
      <w:rFonts w:cs="Wingdings"/>
    </w:rPr>
  </w:style>
  <w:style w:type="character" w:customStyle="1" w:styleId="ListLabel60">
    <w:name w:val="ListLabel 60"/>
    <w:qFormat/>
    <w:rsid w:val="00294E20"/>
    <w:rPr>
      <w:rFonts w:cs="Symbol"/>
    </w:rPr>
  </w:style>
  <w:style w:type="character" w:customStyle="1" w:styleId="ListLabel61">
    <w:name w:val="ListLabel 61"/>
    <w:qFormat/>
    <w:rsid w:val="00294E20"/>
    <w:rPr>
      <w:rFonts w:cs="Courier New"/>
    </w:rPr>
  </w:style>
  <w:style w:type="character" w:customStyle="1" w:styleId="ListLabel62">
    <w:name w:val="ListLabel 62"/>
    <w:qFormat/>
    <w:rsid w:val="00294E20"/>
    <w:rPr>
      <w:rFonts w:cs="Wingdings"/>
    </w:rPr>
  </w:style>
  <w:style w:type="character" w:customStyle="1" w:styleId="ListLabel63">
    <w:name w:val="ListLabel 63"/>
    <w:qFormat/>
    <w:rsid w:val="00294E20"/>
    <w:rPr>
      <w:rFonts w:cs="Calibri"/>
      <w:sz w:val="24"/>
    </w:rPr>
  </w:style>
  <w:style w:type="character" w:customStyle="1" w:styleId="ListLabel64">
    <w:name w:val="ListLabel 64"/>
    <w:qFormat/>
    <w:rsid w:val="00294E20"/>
    <w:rPr>
      <w:rFonts w:cs="Courier New"/>
    </w:rPr>
  </w:style>
  <w:style w:type="character" w:customStyle="1" w:styleId="ListLabel65">
    <w:name w:val="ListLabel 65"/>
    <w:qFormat/>
    <w:rsid w:val="00294E20"/>
    <w:rPr>
      <w:rFonts w:cs="Wingdings"/>
    </w:rPr>
  </w:style>
  <w:style w:type="character" w:customStyle="1" w:styleId="ListLabel66">
    <w:name w:val="ListLabel 66"/>
    <w:qFormat/>
    <w:rsid w:val="00294E20"/>
    <w:rPr>
      <w:rFonts w:cs="Symbol"/>
    </w:rPr>
  </w:style>
  <w:style w:type="character" w:customStyle="1" w:styleId="ListLabel67">
    <w:name w:val="ListLabel 67"/>
    <w:qFormat/>
    <w:rsid w:val="00294E20"/>
    <w:rPr>
      <w:rFonts w:cs="Courier New"/>
    </w:rPr>
  </w:style>
  <w:style w:type="character" w:customStyle="1" w:styleId="ListLabel68">
    <w:name w:val="ListLabel 68"/>
    <w:qFormat/>
    <w:rsid w:val="00294E20"/>
    <w:rPr>
      <w:rFonts w:cs="Wingdings"/>
    </w:rPr>
  </w:style>
  <w:style w:type="character" w:customStyle="1" w:styleId="ListLabel69">
    <w:name w:val="ListLabel 69"/>
    <w:qFormat/>
    <w:rsid w:val="00294E20"/>
    <w:rPr>
      <w:rFonts w:cs="Symbol"/>
    </w:rPr>
  </w:style>
  <w:style w:type="character" w:customStyle="1" w:styleId="ListLabel70">
    <w:name w:val="ListLabel 70"/>
    <w:qFormat/>
    <w:rsid w:val="00294E20"/>
    <w:rPr>
      <w:rFonts w:cs="Courier New"/>
    </w:rPr>
  </w:style>
  <w:style w:type="character" w:customStyle="1" w:styleId="ListLabel71">
    <w:name w:val="ListLabel 71"/>
    <w:qFormat/>
    <w:rsid w:val="00294E20"/>
    <w:rPr>
      <w:rFonts w:cs="Wingdings"/>
    </w:rPr>
  </w:style>
  <w:style w:type="character" w:customStyle="1" w:styleId="ListLabel72">
    <w:name w:val="ListLabel 72"/>
    <w:qFormat/>
    <w:rsid w:val="00294E20"/>
    <w:rPr>
      <w:rFonts w:cs="Calibri"/>
      <w:sz w:val="24"/>
    </w:rPr>
  </w:style>
  <w:style w:type="character" w:customStyle="1" w:styleId="ListLabel73">
    <w:name w:val="ListLabel 73"/>
    <w:qFormat/>
    <w:rsid w:val="00294E20"/>
    <w:rPr>
      <w:rFonts w:cs="Courier New"/>
    </w:rPr>
  </w:style>
  <w:style w:type="character" w:customStyle="1" w:styleId="ListLabel74">
    <w:name w:val="ListLabel 74"/>
    <w:qFormat/>
    <w:rsid w:val="00294E20"/>
    <w:rPr>
      <w:rFonts w:cs="Wingdings"/>
    </w:rPr>
  </w:style>
  <w:style w:type="character" w:customStyle="1" w:styleId="ListLabel75">
    <w:name w:val="ListLabel 75"/>
    <w:qFormat/>
    <w:rsid w:val="00294E20"/>
    <w:rPr>
      <w:rFonts w:cs="Symbol"/>
    </w:rPr>
  </w:style>
  <w:style w:type="character" w:customStyle="1" w:styleId="ListLabel76">
    <w:name w:val="ListLabel 76"/>
    <w:qFormat/>
    <w:rsid w:val="00294E20"/>
    <w:rPr>
      <w:rFonts w:cs="Courier New"/>
    </w:rPr>
  </w:style>
  <w:style w:type="character" w:customStyle="1" w:styleId="ListLabel77">
    <w:name w:val="ListLabel 77"/>
    <w:qFormat/>
    <w:rsid w:val="00294E20"/>
    <w:rPr>
      <w:rFonts w:cs="Wingdings"/>
    </w:rPr>
  </w:style>
  <w:style w:type="character" w:customStyle="1" w:styleId="ListLabel78">
    <w:name w:val="ListLabel 78"/>
    <w:qFormat/>
    <w:rsid w:val="00294E20"/>
    <w:rPr>
      <w:rFonts w:cs="Symbol"/>
    </w:rPr>
  </w:style>
  <w:style w:type="character" w:customStyle="1" w:styleId="ListLabel79">
    <w:name w:val="ListLabel 79"/>
    <w:qFormat/>
    <w:rsid w:val="00294E20"/>
    <w:rPr>
      <w:rFonts w:cs="Courier New"/>
    </w:rPr>
  </w:style>
  <w:style w:type="character" w:customStyle="1" w:styleId="ListLabel80">
    <w:name w:val="ListLabel 80"/>
    <w:qFormat/>
    <w:rsid w:val="00294E20"/>
    <w:rPr>
      <w:rFonts w:cs="Wingdings"/>
    </w:rPr>
  </w:style>
  <w:style w:type="character" w:customStyle="1" w:styleId="ListLabel81">
    <w:name w:val="ListLabel 81"/>
    <w:qFormat/>
    <w:rsid w:val="00294E20"/>
    <w:rPr>
      <w:rFonts w:cs="Calibri"/>
      <w:sz w:val="24"/>
    </w:rPr>
  </w:style>
  <w:style w:type="character" w:customStyle="1" w:styleId="ListLabel82">
    <w:name w:val="ListLabel 82"/>
    <w:qFormat/>
    <w:rsid w:val="00294E20"/>
    <w:rPr>
      <w:rFonts w:cs="Courier New"/>
    </w:rPr>
  </w:style>
  <w:style w:type="character" w:customStyle="1" w:styleId="ListLabel83">
    <w:name w:val="ListLabel 83"/>
    <w:qFormat/>
    <w:rsid w:val="00294E20"/>
    <w:rPr>
      <w:rFonts w:cs="Wingdings"/>
    </w:rPr>
  </w:style>
  <w:style w:type="character" w:customStyle="1" w:styleId="ListLabel84">
    <w:name w:val="ListLabel 84"/>
    <w:qFormat/>
    <w:rsid w:val="00294E20"/>
    <w:rPr>
      <w:rFonts w:cs="Symbol"/>
    </w:rPr>
  </w:style>
  <w:style w:type="character" w:customStyle="1" w:styleId="ListLabel85">
    <w:name w:val="ListLabel 85"/>
    <w:qFormat/>
    <w:rsid w:val="00294E20"/>
    <w:rPr>
      <w:rFonts w:cs="Courier New"/>
    </w:rPr>
  </w:style>
  <w:style w:type="character" w:customStyle="1" w:styleId="ListLabel86">
    <w:name w:val="ListLabel 86"/>
    <w:qFormat/>
    <w:rsid w:val="00294E20"/>
    <w:rPr>
      <w:rFonts w:cs="Wingdings"/>
    </w:rPr>
  </w:style>
  <w:style w:type="character" w:customStyle="1" w:styleId="ListLabel87">
    <w:name w:val="ListLabel 87"/>
    <w:qFormat/>
    <w:rsid w:val="00294E20"/>
    <w:rPr>
      <w:rFonts w:cs="Symbol"/>
    </w:rPr>
  </w:style>
  <w:style w:type="character" w:customStyle="1" w:styleId="ListLabel88">
    <w:name w:val="ListLabel 88"/>
    <w:qFormat/>
    <w:rsid w:val="00294E20"/>
    <w:rPr>
      <w:rFonts w:cs="Courier New"/>
    </w:rPr>
  </w:style>
  <w:style w:type="character" w:customStyle="1" w:styleId="ListLabel89">
    <w:name w:val="ListLabel 89"/>
    <w:qFormat/>
    <w:rsid w:val="00294E20"/>
    <w:rPr>
      <w:rFonts w:cs="Wingdings"/>
    </w:rPr>
  </w:style>
  <w:style w:type="character" w:customStyle="1" w:styleId="ListLabel90">
    <w:name w:val="ListLabel 90"/>
    <w:qFormat/>
    <w:rsid w:val="00294E20"/>
    <w:rPr>
      <w:rFonts w:cs="Calibri"/>
      <w:sz w:val="24"/>
    </w:rPr>
  </w:style>
  <w:style w:type="character" w:customStyle="1" w:styleId="ListLabel91">
    <w:name w:val="ListLabel 91"/>
    <w:qFormat/>
    <w:rsid w:val="00294E20"/>
    <w:rPr>
      <w:rFonts w:cs="Courier New"/>
    </w:rPr>
  </w:style>
  <w:style w:type="character" w:customStyle="1" w:styleId="ListLabel92">
    <w:name w:val="ListLabel 92"/>
    <w:qFormat/>
    <w:rsid w:val="00294E20"/>
    <w:rPr>
      <w:rFonts w:cs="Wingdings"/>
    </w:rPr>
  </w:style>
  <w:style w:type="character" w:customStyle="1" w:styleId="ListLabel93">
    <w:name w:val="ListLabel 93"/>
    <w:qFormat/>
    <w:rsid w:val="00294E20"/>
    <w:rPr>
      <w:rFonts w:cs="Symbol"/>
    </w:rPr>
  </w:style>
  <w:style w:type="character" w:customStyle="1" w:styleId="ListLabel94">
    <w:name w:val="ListLabel 94"/>
    <w:qFormat/>
    <w:rsid w:val="00294E20"/>
    <w:rPr>
      <w:rFonts w:cs="Courier New"/>
    </w:rPr>
  </w:style>
  <w:style w:type="character" w:customStyle="1" w:styleId="ListLabel95">
    <w:name w:val="ListLabel 95"/>
    <w:qFormat/>
    <w:rsid w:val="00294E20"/>
    <w:rPr>
      <w:rFonts w:cs="Wingdings"/>
    </w:rPr>
  </w:style>
  <w:style w:type="character" w:customStyle="1" w:styleId="ListLabel96">
    <w:name w:val="ListLabel 96"/>
    <w:qFormat/>
    <w:rsid w:val="00294E20"/>
    <w:rPr>
      <w:rFonts w:cs="Symbol"/>
    </w:rPr>
  </w:style>
  <w:style w:type="character" w:customStyle="1" w:styleId="ListLabel97">
    <w:name w:val="ListLabel 97"/>
    <w:qFormat/>
    <w:rsid w:val="00294E20"/>
    <w:rPr>
      <w:rFonts w:cs="Courier New"/>
    </w:rPr>
  </w:style>
  <w:style w:type="character" w:customStyle="1" w:styleId="ListLabel98">
    <w:name w:val="ListLabel 98"/>
    <w:qFormat/>
    <w:rsid w:val="00294E20"/>
    <w:rPr>
      <w:rFonts w:cs="Wingdings"/>
    </w:rPr>
  </w:style>
  <w:style w:type="character" w:styleId="Znakapoznpodarou">
    <w:name w:val="footnote reference"/>
    <w:basedOn w:val="Standardnpsmoodstavce"/>
    <w:uiPriority w:val="99"/>
    <w:qFormat/>
    <w:rsid w:val="00294E20"/>
    <w:rPr>
      <w:vertAlign w:val="superscript"/>
    </w:rPr>
  </w:style>
  <w:style w:type="character" w:customStyle="1" w:styleId="Znakypropoznmkupodarou">
    <w:name w:val="Znaky pro poznámku pod čarou"/>
    <w:qFormat/>
    <w:rsid w:val="00294E20"/>
  </w:style>
  <w:style w:type="character" w:customStyle="1" w:styleId="Ukotvenpoznmkypodarou">
    <w:name w:val="Ukotvení poznámky pod čarou"/>
    <w:rsid w:val="00294E20"/>
    <w:rPr>
      <w:vertAlign w:val="superscript"/>
    </w:rPr>
  </w:style>
  <w:style w:type="character" w:customStyle="1" w:styleId="Ukotvenvysvtlivky">
    <w:name w:val="Ukotvení vysvětlivky"/>
    <w:rsid w:val="00294E20"/>
    <w:rPr>
      <w:vertAlign w:val="superscript"/>
    </w:rPr>
  </w:style>
  <w:style w:type="character" w:customStyle="1" w:styleId="Znakyprovysvtlivky">
    <w:name w:val="Znaky pro vysvětlivky"/>
    <w:qFormat/>
    <w:rsid w:val="00294E20"/>
  </w:style>
  <w:style w:type="paragraph" w:customStyle="1" w:styleId="Nadpis">
    <w:name w:val="Nadpis"/>
    <w:basedOn w:val="Normln"/>
    <w:next w:val="Tlotextu"/>
    <w:qFormat/>
    <w:rsid w:val="00294E20"/>
    <w:pPr>
      <w:keepNext/>
      <w:spacing w:before="240" w:after="120"/>
    </w:pPr>
    <w:rPr>
      <w:rFonts w:ascii="Liberation Sans" w:eastAsia="Microsoft YaHei" w:hAnsi="Liberation Sans" w:cs="Mangal"/>
      <w:sz w:val="28"/>
      <w:szCs w:val="28"/>
    </w:rPr>
  </w:style>
  <w:style w:type="paragraph" w:customStyle="1" w:styleId="Tlotextu">
    <w:name w:val="Tělo textu"/>
    <w:basedOn w:val="Normln"/>
    <w:rsid w:val="00294E20"/>
    <w:pPr>
      <w:spacing w:after="140" w:line="288" w:lineRule="auto"/>
    </w:pPr>
  </w:style>
  <w:style w:type="paragraph" w:styleId="Seznam">
    <w:name w:val="List"/>
    <w:basedOn w:val="Tlotextu"/>
    <w:rsid w:val="00294E20"/>
    <w:rPr>
      <w:rFonts w:cs="Mangal"/>
    </w:rPr>
  </w:style>
  <w:style w:type="paragraph" w:customStyle="1" w:styleId="Popisek">
    <w:name w:val="Popisek"/>
    <w:basedOn w:val="Normln"/>
    <w:rsid w:val="00294E20"/>
    <w:pPr>
      <w:suppressLineNumbers/>
      <w:spacing w:before="120" w:after="120"/>
    </w:pPr>
    <w:rPr>
      <w:rFonts w:cs="Mangal"/>
      <w:i/>
      <w:iCs/>
      <w:sz w:val="24"/>
      <w:szCs w:val="24"/>
    </w:rPr>
  </w:style>
  <w:style w:type="paragraph" w:customStyle="1" w:styleId="Rejstk">
    <w:name w:val="Rejstřík"/>
    <w:basedOn w:val="Normln"/>
    <w:qFormat/>
    <w:rsid w:val="00294E20"/>
    <w:pPr>
      <w:suppressLineNumbers/>
    </w:pPr>
    <w:rPr>
      <w:rFonts w:cs="Mangal"/>
    </w:rPr>
  </w:style>
  <w:style w:type="paragraph" w:styleId="Zhlav">
    <w:name w:val="header"/>
    <w:basedOn w:val="Normln"/>
    <w:link w:val="ZhlavChar"/>
    <w:uiPriority w:val="99"/>
    <w:unhideWhenUsed/>
    <w:rsid w:val="00294E20"/>
    <w:pPr>
      <w:tabs>
        <w:tab w:val="center" w:pos="4536"/>
        <w:tab w:val="right" w:pos="9072"/>
      </w:tabs>
      <w:spacing w:after="0" w:line="240" w:lineRule="auto"/>
    </w:pPr>
    <w:rPr>
      <w:rFonts w:asciiTheme="minorHAnsi" w:eastAsiaTheme="minorHAnsi" w:hAnsiTheme="minorHAnsi"/>
      <w:color w:val="auto"/>
    </w:rPr>
  </w:style>
  <w:style w:type="character" w:customStyle="1" w:styleId="ZhlavChar1">
    <w:name w:val="Záhlaví Char1"/>
    <w:basedOn w:val="Standardnpsmoodstavce"/>
    <w:uiPriority w:val="99"/>
    <w:semiHidden/>
    <w:rsid w:val="00294E20"/>
    <w:rPr>
      <w:rFonts w:ascii="Calibri" w:eastAsia="Calibri" w:hAnsi="Calibri"/>
      <w:color w:val="00000A"/>
    </w:rPr>
  </w:style>
  <w:style w:type="paragraph" w:styleId="Zpat">
    <w:name w:val="footer"/>
    <w:basedOn w:val="Normln"/>
    <w:link w:val="ZpatChar"/>
    <w:uiPriority w:val="99"/>
    <w:unhideWhenUsed/>
    <w:rsid w:val="00294E20"/>
    <w:pPr>
      <w:tabs>
        <w:tab w:val="center" w:pos="4536"/>
        <w:tab w:val="right" w:pos="9072"/>
      </w:tabs>
      <w:spacing w:after="0" w:line="240" w:lineRule="auto"/>
    </w:pPr>
    <w:rPr>
      <w:rFonts w:asciiTheme="minorHAnsi" w:eastAsiaTheme="minorHAnsi" w:hAnsiTheme="minorHAnsi"/>
      <w:color w:val="auto"/>
    </w:rPr>
  </w:style>
  <w:style w:type="character" w:customStyle="1" w:styleId="ZpatChar1">
    <w:name w:val="Zápatí Char1"/>
    <w:basedOn w:val="Standardnpsmoodstavce"/>
    <w:uiPriority w:val="99"/>
    <w:semiHidden/>
    <w:rsid w:val="00294E20"/>
    <w:rPr>
      <w:rFonts w:ascii="Calibri" w:eastAsia="Calibri" w:hAnsi="Calibri"/>
      <w:color w:val="00000A"/>
    </w:rPr>
  </w:style>
  <w:style w:type="paragraph" w:styleId="Nadpisobsahu">
    <w:name w:val="TOC Heading"/>
    <w:basedOn w:val="Nadpis1"/>
    <w:uiPriority w:val="39"/>
    <w:unhideWhenUsed/>
    <w:qFormat/>
    <w:rsid w:val="00294E20"/>
    <w:rPr>
      <w:lang w:eastAsia="cs-CZ"/>
    </w:rPr>
  </w:style>
  <w:style w:type="paragraph" w:styleId="Obsah1">
    <w:name w:val="toc 1"/>
    <w:basedOn w:val="Normln"/>
    <w:autoRedefine/>
    <w:uiPriority w:val="39"/>
    <w:unhideWhenUsed/>
    <w:rsid w:val="00294E20"/>
    <w:pPr>
      <w:spacing w:after="100"/>
    </w:pPr>
  </w:style>
  <w:style w:type="paragraph" w:styleId="Odstavecseseznamem">
    <w:name w:val="List Paragraph"/>
    <w:basedOn w:val="Normln"/>
    <w:uiPriority w:val="34"/>
    <w:qFormat/>
    <w:rsid w:val="00294E20"/>
    <w:pPr>
      <w:ind w:left="720"/>
      <w:contextualSpacing/>
    </w:pPr>
  </w:style>
  <w:style w:type="paragraph" w:styleId="Obsah2">
    <w:name w:val="toc 2"/>
    <w:basedOn w:val="Normln"/>
    <w:autoRedefine/>
    <w:uiPriority w:val="39"/>
    <w:unhideWhenUsed/>
    <w:rsid w:val="00294E20"/>
    <w:pPr>
      <w:spacing w:after="100"/>
      <w:ind w:left="220"/>
    </w:pPr>
  </w:style>
  <w:style w:type="paragraph" w:styleId="Obsah3">
    <w:name w:val="toc 3"/>
    <w:basedOn w:val="Normln"/>
    <w:autoRedefine/>
    <w:uiPriority w:val="39"/>
    <w:unhideWhenUsed/>
    <w:rsid w:val="00294E20"/>
    <w:pPr>
      <w:tabs>
        <w:tab w:val="right" w:leader="dot" w:pos="8503"/>
      </w:tabs>
      <w:spacing w:after="100"/>
      <w:ind w:left="220"/>
    </w:pPr>
  </w:style>
  <w:style w:type="paragraph" w:styleId="Bezmezer">
    <w:name w:val="No Spacing"/>
    <w:uiPriority w:val="1"/>
    <w:qFormat/>
    <w:rsid w:val="00294E20"/>
    <w:pPr>
      <w:spacing w:after="0" w:line="240" w:lineRule="auto"/>
    </w:pPr>
    <w:rPr>
      <w:rFonts w:ascii="Calibri" w:eastAsia="Calibri" w:hAnsi="Calibri"/>
      <w:color w:val="00000A"/>
    </w:rPr>
  </w:style>
  <w:style w:type="paragraph" w:customStyle="1" w:styleId="Poznmkapodarou">
    <w:name w:val="Poznámka pod čarou"/>
    <w:basedOn w:val="Normln"/>
    <w:rsid w:val="00294E20"/>
  </w:style>
  <w:style w:type="paragraph" w:customStyle="1" w:styleId="Standard">
    <w:name w:val="Standard"/>
    <w:qFormat/>
    <w:rsid w:val="00294E20"/>
    <w:pPr>
      <w:suppressAutoHyphens/>
      <w:spacing w:after="0"/>
      <w:textAlignment w:val="baseline"/>
    </w:pPr>
    <w:rPr>
      <w:rFonts w:ascii="Times New Roman" w:eastAsia="Lucida Sans Unicode" w:hAnsi="Times New Roman" w:cs="Tahoma"/>
      <w:color w:val="000000"/>
      <w:sz w:val="24"/>
      <w:szCs w:val="24"/>
      <w:lang w:val="en-US" w:bidi="en-US"/>
    </w:rPr>
  </w:style>
  <w:style w:type="paragraph" w:customStyle="1" w:styleId="Bakalka">
    <w:name w:val="Bakalářka"/>
    <w:basedOn w:val="Standard"/>
    <w:qFormat/>
    <w:rsid w:val="00294E20"/>
    <w:pPr>
      <w:jc w:val="both"/>
    </w:pPr>
    <w:rPr>
      <w:rFonts w:ascii="Arial" w:hAnsi="Arial"/>
    </w:rPr>
  </w:style>
  <w:style w:type="character" w:styleId="Hypertextovodkaz">
    <w:name w:val="Hyperlink"/>
    <w:basedOn w:val="Standardnpsmoodstavce"/>
    <w:uiPriority w:val="99"/>
    <w:unhideWhenUsed/>
    <w:rsid w:val="00294E20"/>
    <w:rPr>
      <w:color w:val="0563C1" w:themeColor="hyperlink"/>
      <w:u w:val="single"/>
    </w:rPr>
  </w:style>
  <w:style w:type="paragraph" w:styleId="Textbubliny">
    <w:name w:val="Balloon Text"/>
    <w:basedOn w:val="Normln"/>
    <w:link w:val="TextbublinyChar"/>
    <w:uiPriority w:val="99"/>
    <w:semiHidden/>
    <w:unhideWhenUsed/>
    <w:rsid w:val="00294E2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4E20"/>
    <w:rPr>
      <w:rFonts w:ascii="Segoe UI" w:eastAsia="Calibri" w:hAnsi="Segoe UI" w:cs="Segoe UI"/>
      <w:color w:val="00000A"/>
      <w:sz w:val="18"/>
      <w:szCs w:val="18"/>
    </w:rPr>
  </w:style>
  <w:style w:type="paragraph" w:styleId="Textpoznpodarou">
    <w:name w:val="footnote text"/>
    <w:basedOn w:val="Normln"/>
    <w:link w:val="TextpoznpodarouChar"/>
    <w:uiPriority w:val="99"/>
    <w:semiHidden/>
    <w:unhideWhenUsed/>
    <w:rsid w:val="00294E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4E20"/>
    <w:rPr>
      <w:rFonts w:ascii="Calibri" w:eastAsia="Calibri" w:hAnsi="Calibri"/>
      <w:color w:val="00000A"/>
      <w:sz w:val="20"/>
      <w:szCs w:val="20"/>
    </w:rPr>
  </w:style>
  <w:style w:type="paragraph" w:styleId="Textvysvtlivek">
    <w:name w:val="endnote text"/>
    <w:basedOn w:val="Normln"/>
    <w:link w:val="TextvysvtlivekChar"/>
    <w:uiPriority w:val="99"/>
    <w:semiHidden/>
    <w:unhideWhenUsed/>
    <w:rsid w:val="00294E2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94E20"/>
    <w:rPr>
      <w:rFonts w:ascii="Calibri" w:eastAsia="Calibri" w:hAnsi="Calibri"/>
      <w:color w:val="00000A"/>
      <w:sz w:val="20"/>
      <w:szCs w:val="20"/>
    </w:rPr>
  </w:style>
  <w:style w:type="character" w:styleId="Odkaznavysvtlivky">
    <w:name w:val="endnote reference"/>
    <w:basedOn w:val="Standardnpsmoodstavce"/>
    <w:uiPriority w:val="99"/>
    <w:semiHidden/>
    <w:unhideWhenUsed/>
    <w:rsid w:val="00294E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yperlink" Target="http://www.sukl.cz/"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3.xm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1.png"/><Relationship Id="rId28" Type="http://schemas.openxmlformats.org/officeDocument/2006/relationships/footer" Target="footer5.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footer" Target="footer6.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l320167.PCR\Desktop\Data%20z%20v&#253;ro&#269;n&#237;ch%20zpr&#225;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l320167.PCR\Desktop\Data%20z%20v&#253;ro&#269;n&#237;ch%20zpr&#225;v.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l320167.PCR\Desktop\Data%20z%20v&#253;ro&#269;n&#237;ch%20zpr&#225;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l320167.PCR\Desktop\Data%20z%20v&#253;ro&#269;n&#237;ch%20zpr&#225;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l320167.PCR\Desktop\Data%20z%20v&#253;ro&#269;n&#237;ch%20zpr&#225;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l320167.PCR\Desktop\ABS\Data%20z%20v&#253;ro&#269;n&#237;ch%20zpr&#225;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Vznik a zánik lékáren a OOVL</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'počet lékáren a OOVL'!$A$2</c:f>
              <c:strCache>
                <c:ptCount val="1"/>
                <c:pt idx="0">
                  <c:v>Lékárny - počet</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lékáren a OOVL'!$B$1:$L$1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lékáren a OOVL'!$B$2:$L$2</c:f>
              <c:numCache>
                <c:formatCode>General</c:formatCode>
                <c:ptCount val="11"/>
                <c:pt idx="0">
                  <c:v>2513</c:v>
                </c:pt>
                <c:pt idx="1">
                  <c:v>2568</c:v>
                </c:pt>
                <c:pt idx="2">
                  <c:v>2601</c:v>
                </c:pt>
                <c:pt idx="3">
                  <c:v>2562</c:v>
                </c:pt>
                <c:pt idx="4">
                  <c:v>2559</c:v>
                </c:pt>
                <c:pt idx="5">
                  <c:v>2544</c:v>
                </c:pt>
                <c:pt idx="6">
                  <c:v>2525</c:v>
                </c:pt>
                <c:pt idx="7">
                  <c:v>2493</c:v>
                </c:pt>
                <c:pt idx="8">
                  <c:v>2467</c:v>
                </c:pt>
                <c:pt idx="9">
                  <c:v>2476</c:v>
                </c:pt>
                <c:pt idx="10">
                  <c:v>2480</c:v>
                </c:pt>
              </c:numCache>
            </c:numRef>
          </c:val>
          <c:extLst>
            <c:ext xmlns:c16="http://schemas.microsoft.com/office/drawing/2014/chart" uri="{C3380CC4-5D6E-409C-BE32-E72D297353CC}">
              <c16:uniqueId val="{00000000-8D1D-4B51-9C06-E2A2622F8372}"/>
            </c:ext>
          </c:extLst>
        </c:ser>
        <c:ser>
          <c:idx val="1"/>
          <c:order val="1"/>
          <c:tx>
            <c:strRef>
              <c:f>'počet lékáren a OOVL'!$A$3</c:f>
              <c:strCache>
                <c:ptCount val="1"/>
                <c:pt idx="0">
                  <c:v>OOVL - počet</c:v>
                </c:pt>
              </c:strCache>
            </c:strRef>
          </c:tx>
          <c:spPr>
            <a:solidFill>
              <a:schemeClr val="accent2"/>
            </a:solidFill>
            <a:ln>
              <a:noFill/>
            </a:ln>
            <a:effectLst/>
          </c:spPr>
          <c:invertIfNegative val="0"/>
          <c:dLbls>
            <c:dLbl>
              <c:idx val="0"/>
              <c:layout>
                <c:manualLayout>
                  <c:x val="5.21988777241289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D-4B51-9C06-E2A2622F8372}"/>
                </c:ext>
              </c:extLst>
            </c:dLbl>
            <c:dLbl>
              <c:idx val="1"/>
              <c:layout>
                <c:manualLayout>
                  <c:x val="7.829831658619316E-3"/>
                  <c:y val="2.9695619896065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D-4B51-9C06-E2A2622F8372}"/>
                </c:ext>
              </c:extLst>
            </c:dLbl>
            <c:dLbl>
              <c:idx val="2"/>
              <c:layout>
                <c:manualLayout>
                  <c:x val="7.8298316586192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D-4B51-9C06-E2A2622F8372}"/>
                </c:ext>
              </c:extLst>
            </c:dLbl>
            <c:dLbl>
              <c:idx val="3"/>
              <c:layout>
                <c:manualLayout>
                  <c:x val="1.3049719431032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D-4B51-9C06-E2A2622F8372}"/>
                </c:ext>
              </c:extLst>
            </c:dLbl>
            <c:dLbl>
              <c:idx val="4"/>
              <c:layout>
                <c:manualLayout>
                  <c:x val="7.8298316586193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D-4B51-9C06-E2A2622F8372}"/>
                </c:ext>
              </c:extLst>
            </c:dLbl>
            <c:dLbl>
              <c:idx val="5"/>
              <c:layout>
                <c:manualLayout>
                  <c:x val="1.0439775544825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1D-4B51-9C06-E2A2622F8372}"/>
                </c:ext>
              </c:extLst>
            </c:dLbl>
            <c:dLbl>
              <c:idx val="6"/>
              <c:layout>
                <c:manualLayout>
                  <c:x val="7.8298316586193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1D-4B51-9C06-E2A2622F8372}"/>
                </c:ext>
              </c:extLst>
            </c:dLbl>
            <c:dLbl>
              <c:idx val="7"/>
              <c:layout>
                <c:manualLayout>
                  <c:x val="7.8298316586193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1D-4B51-9C06-E2A2622F8372}"/>
                </c:ext>
              </c:extLst>
            </c:dLbl>
            <c:dLbl>
              <c:idx val="8"/>
              <c:layout>
                <c:manualLayout>
                  <c:x val="1.043977554482569E-2"/>
                  <c:y val="-1.08882681796874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1D-4B51-9C06-E2A2622F8372}"/>
                </c:ext>
              </c:extLst>
            </c:dLbl>
            <c:dLbl>
              <c:idx val="9"/>
              <c:layout>
                <c:manualLayout>
                  <c:x val="7.8298316586193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1D-4B51-9C06-E2A2622F8372}"/>
                </c:ext>
              </c:extLst>
            </c:dLbl>
            <c:dLbl>
              <c:idx val="10"/>
              <c:layout>
                <c:manualLayout>
                  <c:x val="7.8298316586193403E-3"/>
                  <c:y val="-1.08882681796874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1D-4B51-9C06-E2A2622F837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lékáren a OOVL'!$B$1:$L$1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lékáren a OOVL'!$B$3:$L$3</c:f>
              <c:numCache>
                <c:formatCode>General</c:formatCode>
                <c:ptCount val="11"/>
                <c:pt idx="0">
                  <c:v>241</c:v>
                </c:pt>
                <c:pt idx="1">
                  <c:v>248</c:v>
                </c:pt>
                <c:pt idx="2">
                  <c:v>253</c:v>
                </c:pt>
                <c:pt idx="3">
                  <c:v>245</c:v>
                </c:pt>
                <c:pt idx="4">
                  <c:v>245</c:v>
                </c:pt>
                <c:pt idx="5">
                  <c:v>240</c:v>
                </c:pt>
                <c:pt idx="6">
                  <c:v>231</c:v>
                </c:pt>
                <c:pt idx="7">
                  <c:v>217</c:v>
                </c:pt>
                <c:pt idx="8">
                  <c:v>211</c:v>
                </c:pt>
                <c:pt idx="9">
                  <c:v>210</c:v>
                </c:pt>
                <c:pt idx="10">
                  <c:v>204</c:v>
                </c:pt>
              </c:numCache>
            </c:numRef>
          </c:val>
          <c:extLst>
            <c:ext xmlns:c16="http://schemas.microsoft.com/office/drawing/2014/chart" uri="{C3380CC4-5D6E-409C-BE32-E72D297353CC}">
              <c16:uniqueId val="{0000000C-8D1D-4B51-9C06-E2A2622F8372}"/>
            </c:ext>
          </c:extLst>
        </c:ser>
        <c:dLbls>
          <c:showLegendKey val="0"/>
          <c:showVal val="0"/>
          <c:showCatName val="0"/>
          <c:showSerName val="0"/>
          <c:showPercent val="0"/>
          <c:showBubbleSize val="0"/>
        </c:dLbls>
        <c:gapWidth val="219"/>
        <c:overlap val="-27"/>
        <c:axId val="183999743"/>
        <c:axId val="184001823"/>
      </c:barChart>
      <c:catAx>
        <c:axId val="18399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4001823"/>
        <c:crosses val="autoZero"/>
        <c:auto val="1"/>
        <c:lblAlgn val="ctr"/>
        <c:lblOffset val="100"/>
        <c:noMultiLvlLbl val="0"/>
      </c:catAx>
      <c:valAx>
        <c:axId val="184001823"/>
        <c:scaling>
          <c:orientation val="minMax"/>
          <c:max val="28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3999743"/>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zjištěných</a:t>
            </a:r>
            <a:r>
              <a:rPr lang="cs-CZ" baseline="0"/>
              <a:t> závad - Ceny</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CENY'!$A$2</c:f>
              <c:strCache>
                <c:ptCount val="1"/>
                <c:pt idx="0">
                  <c:v>Počet kontrol - Ceny</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CENY'!$B$1:$L$1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CENY'!$B$2:$L$2</c:f>
              <c:numCache>
                <c:formatCode>General</c:formatCode>
                <c:ptCount val="11"/>
                <c:pt idx="0">
                  <c:v>101</c:v>
                </c:pt>
                <c:pt idx="1">
                  <c:v>89</c:v>
                </c:pt>
                <c:pt idx="2">
                  <c:v>84</c:v>
                </c:pt>
                <c:pt idx="3">
                  <c:v>99</c:v>
                </c:pt>
                <c:pt idx="4">
                  <c:v>99</c:v>
                </c:pt>
                <c:pt idx="5">
                  <c:v>110</c:v>
                </c:pt>
                <c:pt idx="6">
                  <c:v>110</c:v>
                </c:pt>
                <c:pt idx="7">
                  <c:v>110</c:v>
                </c:pt>
                <c:pt idx="8">
                  <c:v>98</c:v>
                </c:pt>
                <c:pt idx="9">
                  <c:v>100</c:v>
                </c:pt>
                <c:pt idx="10">
                  <c:v>100</c:v>
                </c:pt>
              </c:numCache>
            </c:numRef>
          </c:val>
          <c:extLst>
            <c:ext xmlns:c16="http://schemas.microsoft.com/office/drawing/2014/chart" uri="{C3380CC4-5D6E-409C-BE32-E72D297353CC}">
              <c16:uniqueId val="{00000000-705E-4243-BB64-7E8A9E4600C8}"/>
            </c:ext>
          </c:extLst>
        </c:ser>
        <c:ser>
          <c:idx val="1"/>
          <c:order val="1"/>
          <c:tx>
            <c:strRef>
              <c:f>'pochybení CENY'!$A$3</c:f>
              <c:strCache>
                <c:ptCount val="1"/>
                <c:pt idx="0">
                  <c:v>Počet závad</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705E-4243-BB64-7E8A9E4600C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CENY'!$B$1:$L$1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CENY'!$B$3:$L$3</c:f>
              <c:numCache>
                <c:formatCode>General</c:formatCode>
                <c:ptCount val="11"/>
                <c:pt idx="0">
                  <c:v>0</c:v>
                </c:pt>
                <c:pt idx="1">
                  <c:v>45</c:v>
                </c:pt>
                <c:pt idx="2">
                  <c:v>16</c:v>
                </c:pt>
                <c:pt idx="3">
                  <c:v>42</c:v>
                </c:pt>
                <c:pt idx="4">
                  <c:v>40</c:v>
                </c:pt>
                <c:pt idx="5">
                  <c:v>65</c:v>
                </c:pt>
                <c:pt idx="6">
                  <c:v>43</c:v>
                </c:pt>
                <c:pt idx="7">
                  <c:v>46</c:v>
                </c:pt>
                <c:pt idx="8">
                  <c:v>52</c:v>
                </c:pt>
                <c:pt idx="9">
                  <c:v>45</c:v>
                </c:pt>
                <c:pt idx="10">
                  <c:v>39</c:v>
                </c:pt>
              </c:numCache>
            </c:numRef>
          </c:val>
          <c:extLst>
            <c:ext xmlns:c16="http://schemas.microsoft.com/office/drawing/2014/chart" uri="{C3380CC4-5D6E-409C-BE32-E72D297353CC}">
              <c16:uniqueId val="{00000002-705E-4243-BB64-7E8A9E4600C8}"/>
            </c:ext>
          </c:extLst>
        </c:ser>
        <c:dLbls>
          <c:showLegendKey val="0"/>
          <c:showVal val="0"/>
          <c:showCatName val="0"/>
          <c:showSerName val="0"/>
          <c:showPercent val="0"/>
          <c:showBubbleSize val="0"/>
        </c:dLbls>
        <c:gapWidth val="219"/>
        <c:overlap val="-27"/>
        <c:axId val="319300287"/>
        <c:axId val="319307359"/>
      </c:barChart>
      <c:catAx>
        <c:axId val="319300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307359"/>
        <c:crosses val="autoZero"/>
        <c:auto val="1"/>
        <c:lblAlgn val="ctr"/>
        <c:lblOffset val="100"/>
        <c:noMultiLvlLbl val="0"/>
      </c:catAx>
      <c:valAx>
        <c:axId val="319307359"/>
        <c:scaling>
          <c:orientation val="minMax"/>
          <c:max val="1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30028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Postihy</a:t>
            </a:r>
            <a:r>
              <a:rPr lang="cs-CZ" baseline="0"/>
              <a:t> z kontrol - Ceny</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CENY'!$A$7</c:f>
              <c:strCache>
                <c:ptCount val="1"/>
                <c:pt idx="0">
                  <c:v>Příkazní řízení</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414-4DEA-9FB4-CB3FEAA9890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CENY'!$B$6:$L$6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CENY'!$B$7:$L$7</c:f>
              <c:numCache>
                <c:formatCode>General</c:formatCode>
                <c:ptCount val="11"/>
                <c:pt idx="0">
                  <c:v>0</c:v>
                </c:pt>
                <c:pt idx="1">
                  <c:v>45</c:v>
                </c:pt>
                <c:pt idx="2">
                  <c:v>8</c:v>
                </c:pt>
                <c:pt idx="3">
                  <c:v>14</c:v>
                </c:pt>
                <c:pt idx="4">
                  <c:v>40</c:v>
                </c:pt>
                <c:pt idx="5">
                  <c:v>25</c:v>
                </c:pt>
                <c:pt idx="6">
                  <c:v>37</c:v>
                </c:pt>
                <c:pt idx="7">
                  <c:v>15</c:v>
                </c:pt>
                <c:pt idx="8">
                  <c:v>2</c:v>
                </c:pt>
                <c:pt idx="9">
                  <c:v>21</c:v>
                </c:pt>
                <c:pt idx="10">
                  <c:v>8</c:v>
                </c:pt>
              </c:numCache>
            </c:numRef>
          </c:val>
          <c:extLst>
            <c:ext xmlns:c16="http://schemas.microsoft.com/office/drawing/2014/chart" uri="{C3380CC4-5D6E-409C-BE32-E72D297353CC}">
              <c16:uniqueId val="{00000001-1414-4DEA-9FB4-CB3FEAA98901}"/>
            </c:ext>
          </c:extLst>
        </c:ser>
        <c:ser>
          <c:idx val="1"/>
          <c:order val="1"/>
          <c:tx>
            <c:strRef>
              <c:f>'pochybení CENY'!$A$8</c:f>
              <c:strCache>
                <c:ptCount val="1"/>
                <c:pt idx="0">
                  <c:v>Správní řízení</c:v>
                </c:pt>
              </c:strCache>
            </c:strRef>
          </c:tx>
          <c:spPr>
            <a:solidFill>
              <a:schemeClr val="accent2"/>
            </a:solidFill>
            <a:ln>
              <a:noFill/>
            </a:ln>
            <a:effectLst/>
          </c:spPr>
          <c:invertIfNegative val="0"/>
          <c:cat>
            <c:numRef>
              <c:f>'pochybení CENY'!$B$6:$L$6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CENY'!$B$8:$L$8</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1414-4DEA-9FB4-CB3FEAA98901}"/>
            </c:ext>
          </c:extLst>
        </c:ser>
        <c:ser>
          <c:idx val="2"/>
          <c:order val="2"/>
          <c:tx>
            <c:strRef>
              <c:f>'pochybení CENY'!$A$9</c:f>
              <c:strCache>
                <c:ptCount val="1"/>
                <c:pt idx="0">
                  <c:v>Pozastavení přípravy léčivých přípravků</c:v>
                </c:pt>
              </c:strCache>
            </c:strRef>
          </c:tx>
          <c:spPr>
            <a:solidFill>
              <a:schemeClr val="accent3"/>
            </a:solidFill>
            <a:ln>
              <a:noFill/>
            </a:ln>
            <a:effectLst/>
          </c:spPr>
          <c:invertIfNegative val="0"/>
          <c:cat>
            <c:numRef>
              <c:f>'pochybení CENY'!$B$6:$L$6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CENY'!$B$9:$L$9</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1414-4DEA-9FB4-CB3FEAA98901}"/>
            </c:ext>
          </c:extLst>
        </c:ser>
        <c:ser>
          <c:idx val="3"/>
          <c:order val="3"/>
          <c:tx>
            <c:strRef>
              <c:f>'pochybení CENY'!$A$10</c:f>
              <c:strCache>
                <c:ptCount val="1"/>
                <c:pt idx="0">
                  <c:v>Pozastavení provozovny</c:v>
                </c:pt>
              </c:strCache>
            </c:strRef>
          </c:tx>
          <c:spPr>
            <a:solidFill>
              <a:schemeClr val="accent4"/>
            </a:solidFill>
            <a:ln>
              <a:noFill/>
            </a:ln>
            <a:effectLst/>
          </c:spPr>
          <c:invertIfNegative val="0"/>
          <c:cat>
            <c:numRef>
              <c:f>'pochybení CENY'!$B$6:$L$6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CENY'!$B$10:$L$10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1414-4DEA-9FB4-CB3FEAA98901}"/>
            </c:ext>
          </c:extLst>
        </c:ser>
        <c:ser>
          <c:idx val="4"/>
          <c:order val="4"/>
          <c:tx>
            <c:strRef>
              <c:f>'pochybení CENY'!$A$11</c:f>
              <c:strCache>
                <c:ptCount val="1"/>
                <c:pt idx="0">
                  <c:v>Napomenutí</c:v>
                </c:pt>
              </c:strCache>
            </c:strRef>
          </c:tx>
          <c:spPr>
            <a:solidFill>
              <a:srgbClr val="00206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414-4DEA-9FB4-CB3FEAA98901}"/>
                </c:ext>
              </c:extLst>
            </c:dLbl>
            <c:dLbl>
              <c:idx val="1"/>
              <c:delete val="1"/>
              <c:extLst>
                <c:ext xmlns:c15="http://schemas.microsoft.com/office/drawing/2012/chart" uri="{CE6537A1-D6FC-4f65-9D91-7224C49458BB}"/>
                <c:ext xmlns:c16="http://schemas.microsoft.com/office/drawing/2014/chart" uri="{C3380CC4-5D6E-409C-BE32-E72D297353CC}">
                  <c16:uniqueId val="{00000006-1414-4DEA-9FB4-CB3FEAA98901}"/>
                </c:ext>
              </c:extLst>
            </c:dLbl>
            <c:dLbl>
              <c:idx val="2"/>
              <c:delete val="1"/>
              <c:extLst>
                <c:ext xmlns:c15="http://schemas.microsoft.com/office/drawing/2012/chart" uri="{CE6537A1-D6FC-4f65-9D91-7224C49458BB}"/>
                <c:ext xmlns:c16="http://schemas.microsoft.com/office/drawing/2014/chart" uri="{C3380CC4-5D6E-409C-BE32-E72D297353CC}">
                  <c16:uniqueId val="{00000007-1414-4DEA-9FB4-CB3FEAA98901}"/>
                </c:ext>
              </c:extLst>
            </c:dLbl>
            <c:dLbl>
              <c:idx val="3"/>
              <c:delete val="1"/>
              <c:extLst>
                <c:ext xmlns:c15="http://schemas.microsoft.com/office/drawing/2012/chart" uri="{CE6537A1-D6FC-4f65-9D91-7224C49458BB}"/>
                <c:ext xmlns:c16="http://schemas.microsoft.com/office/drawing/2014/chart" uri="{C3380CC4-5D6E-409C-BE32-E72D297353CC}">
                  <c16:uniqueId val="{00000008-1414-4DEA-9FB4-CB3FEAA98901}"/>
                </c:ext>
              </c:extLst>
            </c:dLbl>
            <c:dLbl>
              <c:idx val="4"/>
              <c:delete val="1"/>
              <c:extLst>
                <c:ext xmlns:c15="http://schemas.microsoft.com/office/drawing/2012/chart" uri="{CE6537A1-D6FC-4f65-9D91-7224C49458BB}"/>
                <c:ext xmlns:c16="http://schemas.microsoft.com/office/drawing/2014/chart" uri="{C3380CC4-5D6E-409C-BE32-E72D297353CC}">
                  <c16:uniqueId val="{00000009-1414-4DEA-9FB4-CB3FEAA98901}"/>
                </c:ext>
              </c:extLst>
            </c:dLbl>
            <c:dLbl>
              <c:idx val="5"/>
              <c:delete val="1"/>
              <c:extLst>
                <c:ext xmlns:c15="http://schemas.microsoft.com/office/drawing/2012/chart" uri="{CE6537A1-D6FC-4f65-9D91-7224C49458BB}"/>
                <c:ext xmlns:c16="http://schemas.microsoft.com/office/drawing/2014/chart" uri="{C3380CC4-5D6E-409C-BE32-E72D297353CC}">
                  <c16:uniqueId val="{0000000A-1414-4DEA-9FB4-CB3FEAA98901}"/>
                </c:ext>
              </c:extLst>
            </c:dLbl>
            <c:dLbl>
              <c:idx val="6"/>
              <c:delete val="1"/>
              <c:extLst>
                <c:ext xmlns:c15="http://schemas.microsoft.com/office/drawing/2012/chart" uri="{CE6537A1-D6FC-4f65-9D91-7224C49458BB}"/>
                <c:ext xmlns:c16="http://schemas.microsoft.com/office/drawing/2014/chart" uri="{C3380CC4-5D6E-409C-BE32-E72D297353CC}">
                  <c16:uniqueId val="{0000000B-1414-4DEA-9FB4-CB3FEAA98901}"/>
                </c:ext>
              </c:extLst>
            </c:dLbl>
            <c:dLbl>
              <c:idx val="7"/>
              <c:delete val="1"/>
              <c:extLst>
                <c:ext xmlns:c15="http://schemas.microsoft.com/office/drawing/2012/chart" uri="{CE6537A1-D6FC-4f65-9D91-7224C49458BB}"/>
                <c:ext xmlns:c16="http://schemas.microsoft.com/office/drawing/2014/chart" uri="{C3380CC4-5D6E-409C-BE32-E72D297353CC}">
                  <c16:uniqueId val="{0000000C-1414-4DEA-9FB4-CB3FEAA9890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CENY'!$B$6:$L$6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CENY'!$B$11:$L$11</c:f>
              <c:numCache>
                <c:formatCode>General</c:formatCode>
                <c:ptCount val="11"/>
                <c:pt idx="0">
                  <c:v>0</c:v>
                </c:pt>
                <c:pt idx="1">
                  <c:v>0</c:v>
                </c:pt>
                <c:pt idx="2">
                  <c:v>0</c:v>
                </c:pt>
                <c:pt idx="3">
                  <c:v>0</c:v>
                </c:pt>
                <c:pt idx="4">
                  <c:v>0</c:v>
                </c:pt>
                <c:pt idx="5">
                  <c:v>0</c:v>
                </c:pt>
                <c:pt idx="6">
                  <c:v>0</c:v>
                </c:pt>
                <c:pt idx="7">
                  <c:v>0</c:v>
                </c:pt>
                <c:pt idx="8">
                  <c:v>15</c:v>
                </c:pt>
                <c:pt idx="9">
                  <c:v>5</c:v>
                </c:pt>
                <c:pt idx="10">
                  <c:v>8</c:v>
                </c:pt>
              </c:numCache>
            </c:numRef>
          </c:val>
          <c:extLst>
            <c:ext xmlns:c16="http://schemas.microsoft.com/office/drawing/2014/chart" uri="{C3380CC4-5D6E-409C-BE32-E72D297353CC}">
              <c16:uniqueId val="{0000000D-1414-4DEA-9FB4-CB3FEAA98901}"/>
            </c:ext>
          </c:extLst>
        </c:ser>
        <c:dLbls>
          <c:showLegendKey val="0"/>
          <c:showVal val="0"/>
          <c:showCatName val="0"/>
          <c:showSerName val="0"/>
          <c:showPercent val="0"/>
          <c:showBubbleSize val="0"/>
        </c:dLbls>
        <c:gapWidth val="219"/>
        <c:overlap val="-27"/>
        <c:axId val="319297791"/>
        <c:axId val="319294463"/>
      </c:barChart>
      <c:catAx>
        <c:axId val="319297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294463"/>
        <c:crosses val="autoZero"/>
        <c:auto val="1"/>
        <c:lblAlgn val="ctr"/>
        <c:lblOffset val="100"/>
        <c:noMultiLvlLbl val="0"/>
      </c:catAx>
      <c:valAx>
        <c:axId val="319294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297791"/>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a:t>
            </a:r>
            <a:r>
              <a:rPr lang="cs-CZ"/>
              <a:t>e</a:t>
            </a:r>
            <a:r>
              <a:rPr lang="en-US"/>
              <a:t>t odebraných vzorků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'kontrolní vzorky'!$A$2</c:f>
              <c:strCache>
                <c:ptCount val="1"/>
                <c:pt idx="0">
                  <c:v>Počet debraných vzorků</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'kontrolní vzorky'!$B$1:$L$1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'kontrolní vzorky'!$B$2:$L$2</c:f>
              <c:numCache>
                <c:formatCode>General</c:formatCode>
                <c:ptCount val="11"/>
                <c:pt idx="0">
                  <c:v>227</c:v>
                </c:pt>
                <c:pt idx="1">
                  <c:v>214</c:v>
                </c:pt>
                <c:pt idx="2">
                  <c:v>200</c:v>
                </c:pt>
                <c:pt idx="3">
                  <c:v>210</c:v>
                </c:pt>
                <c:pt idx="4">
                  <c:v>202</c:v>
                </c:pt>
                <c:pt idx="5">
                  <c:v>250</c:v>
                </c:pt>
                <c:pt idx="6">
                  <c:v>242</c:v>
                </c:pt>
                <c:pt idx="7">
                  <c:v>232</c:v>
                </c:pt>
                <c:pt idx="8">
                  <c:v>213</c:v>
                </c:pt>
                <c:pt idx="9">
                  <c:v>220</c:v>
                </c:pt>
                <c:pt idx="10">
                  <c:v>221</c:v>
                </c:pt>
              </c:numCache>
            </c:numRef>
          </c:val>
          <c:extLst>
            <c:ext xmlns:c16="http://schemas.microsoft.com/office/drawing/2014/chart" uri="{C3380CC4-5D6E-409C-BE32-E72D297353CC}">
              <c16:uniqueId val="{00000000-F575-4972-9B7C-E079BE732062}"/>
            </c:ext>
          </c:extLst>
        </c:ser>
        <c:ser>
          <c:idx val="1"/>
          <c:order val="1"/>
          <c:tx>
            <c:strRef>
              <c:f>'kontrolní vzorky'!$A$3</c:f>
              <c:strCache>
                <c:ptCount val="1"/>
                <c:pt idx="0">
                  <c:v>Vzorky Magistraliter</c:v>
                </c:pt>
              </c:strCache>
            </c:strRef>
          </c:tx>
          <c:spPr>
            <a:solidFill>
              <a:schemeClr val="accent2"/>
            </a:solidFill>
            <a:ln>
              <a:noFill/>
            </a:ln>
            <a:effectLst/>
          </c:spPr>
          <c:invertIfNegative val="0"/>
          <c:dLbls>
            <c:dLbl>
              <c:idx val="0"/>
              <c:layout>
                <c:manualLayout>
                  <c:x val="2.46487552378604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75-4972-9B7C-E079BE732062}"/>
                </c:ext>
              </c:extLst>
            </c:dLbl>
            <c:dLbl>
              <c:idx val="1"/>
              <c:layout>
                <c:manualLayout>
                  <c:x val="9.8595020951441729E-3"/>
                  <c:y val="-1.084206722081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75-4972-9B7C-E079BE732062}"/>
                </c:ext>
              </c:extLst>
            </c:dLbl>
            <c:dLbl>
              <c:idx val="4"/>
              <c:layout>
                <c:manualLayout>
                  <c:x val="9.8595020951441955E-3"/>
                  <c:y val="-6.62563120619761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75-4972-9B7C-E079BE73206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'kontrolní vzorky'!$B$1:$L$1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'kontrolní vzorky'!$B$3:$L$3</c:f>
              <c:numCache>
                <c:formatCode>General</c:formatCode>
                <c:ptCount val="11"/>
                <c:pt idx="0">
                  <c:v>124</c:v>
                </c:pt>
                <c:pt idx="1">
                  <c:v>113</c:v>
                </c:pt>
                <c:pt idx="2">
                  <c:v>117</c:v>
                </c:pt>
                <c:pt idx="3">
                  <c:v>97</c:v>
                </c:pt>
                <c:pt idx="4">
                  <c:v>110</c:v>
                </c:pt>
                <c:pt idx="5">
                  <c:v>93</c:v>
                </c:pt>
                <c:pt idx="6">
                  <c:v>96</c:v>
                </c:pt>
                <c:pt idx="7">
                  <c:v>97</c:v>
                </c:pt>
                <c:pt idx="8">
                  <c:v>84</c:v>
                </c:pt>
                <c:pt idx="9">
                  <c:v>77</c:v>
                </c:pt>
                <c:pt idx="10">
                  <c:v>72</c:v>
                </c:pt>
              </c:numCache>
            </c:numRef>
          </c:val>
          <c:extLst>
            <c:ext xmlns:c16="http://schemas.microsoft.com/office/drawing/2014/chart" uri="{C3380CC4-5D6E-409C-BE32-E72D297353CC}">
              <c16:uniqueId val="{00000004-F575-4972-9B7C-E079BE732062}"/>
            </c:ext>
          </c:extLst>
        </c:ser>
        <c:ser>
          <c:idx val="2"/>
          <c:order val="2"/>
          <c:tx>
            <c:strRef>
              <c:f>'kontrolní vzorky'!$A$4</c:f>
              <c:strCache>
                <c:ptCount val="1"/>
                <c:pt idx="0">
                  <c:v>Vzorky připravovaných v lékárně</c:v>
                </c:pt>
              </c:strCache>
            </c:strRef>
          </c:tx>
          <c:spPr>
            <a:solidFill>
              <a:schemeClr val="accent3"/>
            </a:solidFill>
            <a:ln>
              <a:noFill/>
            </a:ln>
            <a:effectLst/>
          </c:spPr>
          <c:invertIfNegative val="0"/>
          <c:dLbls>
            <c:dLbl>
              <c:idx val="0"/>
              <c:layout>
                <c:manualLayout>
                  <c:x val="1.23243776189302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75-4972-9B7C-E079BE732062}"/>
                </c:ext>
              </c:extLst>
            </c:dLbl>
            <c:dLbl>
              <c:idx val="1"/>
              <c:layout>
                <c:manualLayout>
                  <c:x val="9.8595020951441729E-3"/>
                  <c:y val="6.62563120619761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75-4972-9B7C-E079BE73206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'kontrolní vzorky'!$B$1:$L$1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'kontrolní vzorky'!$B$4:$L$4</c:f>
              <c:numCache>
                <c:formatCode>General</c:formatCode>
                <c:ptCount val="11"/>
                <c:pt idx="0">
                  <c:v>103</c:v>
                </c:pt>
                <c:pt idx="1">
                  <c:v>101</c:v>
                </c:pt>
                <c:pt idx="2">
                  <c:v>83</c:v>
                </c:pt>
                <c:pt idx="3">
                  <c:v>113</c:v>
                </c:pt>
                <c:pt idx="4">
                  <c:v>92</c:v>
                </c:pt>
                <c:pt idx="5">
                  <c:v>157</c:v>
                </c:pt>
                <c:pt idx="6">
                  <c:v>146</c:v>
                </c:pt>
                <c:pt idx="7">
                  <c:v>135</c:v>
                </c:pt>
                <c:pt idx="8">
                  <c:v>129</c:v>
                </c:pt>
                <c:pt idx="9">
                  <c:v>143</c:v>
                </c:pt>
                <c:pt idx="10">
                  <c:v>149</c:v>
                </c:pt>
              </c:numCache>
            </c:numRef>
          </c:val>
          <c:extLst>
            <c:ext xmlns:c16="http://schemas.microsoft.com/office/drawing/2014/chart" uri="{C3380CC4-5D6E-409C-BE32-E72D297353CC}">
              <c16:uniqueId val="{00000007-F575-4972-9B7C-E079BE732062}"/>
            </c:ext>
          </c:extLst>
        </c:ser>
        <c:dLbls>
          <c:showLegendKey val="0"/>
          <c:showVal val="0"/>
          <c:showCatName val="0"/>
          <c:showSerName val="0"/>
          <c:showPercent val="0"/>
          <c:showBubbleSize val="0"/>
        </c:dLbls>
        <c:gapWidth val="219"/>
        <c:overlap val="-27"/>
        <c:axId val="360690495"/>
        <c:axId val="360698399"/>
      </c:barChart>
      <c:catAx>
        <c:axId val="360690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0698399"/>
        <c:crosses val="autoZero"/>
        <c:auto val="1"/>
        <c:lblAlgn val="ctr"/>
        <c:lblOffset val="100"/>
        <c:noMultiLvlLbl val="0"/>
      </c:catAx>
      <c:valAx>
        <c:axId val="360698399"/>
        <c:scaling>
          <c:orientation val="minMax"/>
          <c:max val="2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0690495"/>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Počet zjištěných závad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vzorků'!$A$2</c:f>
              <c:strCache>
                <c:ptCount val="1"/>
                <c:pt idx="0">
                  <c:v>Počet debraných vzorků</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vzorků'!$B$1:$L$1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vzorků'!$B$2:$L$2</c:f>
              <c:numCache>
                <c:formatCode>General</c:formatCode>
                <c:ptCount val="11"/>
                <c:pt idx="0">
                  <c:v>227</c:v>
                </c:pt>
                <c:pt idx="1">
                  <c:v>214</c:v>
                </c:pt>
                <c:pt idx="2">
                  <c:v>200</c:v>
                </c:pt>
                <c:pt idx="3">
                  <c:v>210</c:v>
                </c:pt>
                <c:pt idx="4">
                  <c:v>202</c:v>
                </c:pt>
                <c:pt idx="5">
                  <c:v>250</c:v>
                </c:pt>
                <c:pt idx="6">
                  <c:v>242</c:v>
                </c:pt>
                <c:pt idx="7">
                  <c:v>232</c:v>
                </c:pt>
                <c:pt idx="8">
                  <c:v>213</c:v>
                </c:pt>
                <c:pt idx="9">
                  <c:v>220</c:v>
                </c:pt>
                <c:pt idx="10">
                  <c:v>72</c:v>
                </c:pt>
              </c:numCache>
            </c:numRef>
          </c:val>
          <c:extLst>
            <c:ext xmlns:c16="http://schemas.microsoft.com/office/drawing/2014/chart" uri="{C3380CC4-5D6E-409C-BE32-E72D297353CC}">
              <c16:uniqueId val="{00000000-223C-4B05-9355-6FCF50037D37}"/>
            </c:ext>
          </c:extLst>
        </c:ser>
        <c:ser>
          <c:idx val="1"/>
          <c:order val="1"/>
          <c:tx>
            <c:strRef>
              <c:f>'pochybení vzorků'!$A$3</c:f>
              <c:strCache>
                <c:ptCount val="1"/>
                <c:pt idx="0">
                  <c:v>Počet zjištěných závad</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vzorků'!$B$1:$L$1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vzorků'!$B$3:$L$3</c:f>
              <c:numCache>
                <c:formatCode>General</c:formatCode>
                <c:ptCount val="11"/>
                <c:pt idx="0">
                  <c:v>5</c:v>
                </c:pt>
                <c:pt idx="1">
                  <c:v>16</c:v>
                </c:pt>
                <c:pt idx="2">
                  <c:v>12</c:v>
                </c:pt>
                <c:pt idx="3">
                  <c:v>20</c:v>
                </c:pt>
                <c:pt idx="4">
                  <c:v>27</c:v>
                </c:pt>
                <c:pt idx="5">
                  <c:v>26</c:v>
                </c:pt>
                <c:pt idx="6">
                  <c:v>18</c:v>
                </c:pt>
                <c:pt idx="7">
                  <c:v>5</c:v>
                </c:pt>
                <c:pt idx="8">
                  <c:v>12</c:v>
                </c:pt>
                <c:pt idx="9">
                  <c:v>8</c:v>
                </c:pt>
                <c:pt idx="10">
                  <c:v>5</c:v>
                </c:pt>
              </c:numCache>
            </c:numRef>
          </c:val>
          <c:extLst>
            <c:ext xmlns:c16="http://schemas.microsoft.com/office/drawing/2014/chart" uri="{C3380CC4-5D6E-409C-BE32-E72D297353CC}">
              <c16:uniqueId val="{00000001-223C-4B05-9355-6FCF50037D37}"/>
            </c:ext>
          </c:extLst>
        </c:ser>
        <c:dLbls>
          <c:showLegendKey val="0"/>
          <c:showVal val="0"/>
          <c:showCatName val="0"/>
          <c:showSerName val="0"/>
          <c:showPercent val="0"/>
          <c:showBubbleSize val="0"/>
        </c:dLbls>
        <c:gapWidth val="219"/>
        <c:overlap val="-27"/>
        <c:axId val="324708287"/>
        <c:axId val="324706623"/>
      </c:barChart>
      <c:catAx>
        <c:axId val="32470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4706623"/>
        <c:crosses val="autoZero"/>
        <c:auto val="1"/>
        <c:lblAlgn val="ctr"/>
        <c:lblOffset val="100"/>
        <c:noMultiLvlLbl val="0"/>
      </c:catAx>
      <c:valAx>
        <c:axId val="324706623"/>
        <c:scaling>
          <c:orientation val="minMax"/>
          <c:max val="2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470828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t>
            </a:r>
            <a:r>
              <a:rPr lang="en-US"/>
              <a:t>očet provedených kontrol</a:t>
            </a:r>
          </a:p>
        </c:rich>
      </c:tx>
      <c:layout>
        <c:manualLayout>
          <c:xMode val="edge"/>
          <c:yMode val="edge"/>
          <c:x val="0.32146966171002639"/>
          <c:y val="1.4894805436603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'počet K a lákárny'!$A$2</c:f>
              <c:strCache>
                <c:ptCount val="1"/>
                <c:pt idx="0">
                  <c:v>Počet kontrol</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a lákárny'!$B$1:$L$1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a lákárny'!$B$2:$L$2</c:f>
              <c:numCache>
                <c:formatCode>General</c:formatCode>
                <c:ptCount val="11"/>
                <c:pt idx="0">
                  <c:v>804</c:v>
                </c:pt>
                <c:pt idx="1">
                  <c:v>801</c:v>
                </c:pt>
                <c:pt idx="2">
                  <c:v>883</c:v>
                </c:pt>
                <c:pt idx="3">
                  <c:v>840</c:v>
                </c:pt>
                <c:pt idx="4">
                  <c:v>877</c:v>
                </c:pt>
                <c:pt idx="5">
                  <c:v>876</c:v>
                </c:pt>
                <c:pt idx="6">
                  <c:v>880</c:v>
                </c:pt>
                <c:pt idx="7">
                  <c:v>830</c:v>
                </c:pt>
                <c:pt idx="8">
                  <c:v>570</c:v>
                </c:pt>
                <c:pt idx="9">
                  <c:v>668</c:v>
                </c:pt>
                <c:pt idx="10">
                  <c:v>731</c:v>
                </c:pt>
              </c:numCache>
            </c:numRef>
          </c:val>
          <c:extLst>
            <c:ext xmlns:c16="http://schemas.microsoft.com/office/drawing/2014/chart" uri="{C3380CC4-5D6E-409C-BE32-E72D297353CC}">
              <c16:uniqueId val="{00000000-696A-49E0-8BEA-EBA3B9D121E2}"/>
            </c:ext>
          </c:extLst>
        </c:ser>
        <c:ser>
          <c:idx val="1"/>
          <c:order val="1"/>
          <c:tx>
            <c:strRef>
              <c:f>'počet K a lákárny'!$A$3</c:f>
              <c:strCache>
                <c:ptCount val="1"/>
                <c:pt idx="0">
                  <c:v>Počet kontrol v nemocniční lékárně</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a lákárny'!$B$1:$L$1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a lákárny'!$B$3:$L$3</c:f>
              <c:numCache>
                <c:formatCode>General</c:formatCode>
                <c:ptCount val="11"/>
                <c:pt idx="0">
                  <c:v>17</c:v>
                </c:pt>
                <c:pt idx="1">
                  <c:v>31</c:v>
                </c:pt>
                <c:pt idx="2">
                  <c:v>19</c:v>
                </c:pt>
                <c:pt idx="3">
                  <c:v>39</c:v>
                </c:pt>
                <c:pt idx="4">
                  <c:v>30</c:v>
                </c:pt>
                <c:pt idx="5">
                  <c:v>40</c:v>
                </c:pt>
                <c:pt idx="6">
                  <c:v>43</c:v>
                </c:pt>
                <c:pt idx="7">
                  <c:v>30</c:v>
                </c:pt>
                <c:pt idx="8">
                  <c:v>22</c:v>
                </c:pt>
                <c:pt idx="9">
                  <c:v>39</c:v>
                </c:pt>
                <c:pt idx="10">
                  <c:v>30</c:v>
                </c:pt>
              </c:numCache>
            </c:numRef>
          </c:val>
          <c:extLst>
            <c:ext xmlns:c16="http://schemas.microsoft.com/office/drawing/2014/chart" uri="{C3380CC4-5D6E-409C-BE32-E72D297353CC}">
              <c16:uniqueId val="{00000001-696A-49E0-8BEA-EBA3B9D121E2}"/>
            </c:ext>
          </c:extLst>
        </c:ser>
        <c:dLbls>
          <c:showLegendKey val="0"/>
          <c:showVal val="0"/>
          <c:showCatName val="0"/>
          <c:showSerName val="0"/>
          <c:showPercent val="0"/>
          <c:showBubbleSize val="0"/>
        </c:dLbls>
        <c:gapWidth val="219"/>
        <c:overlap val="-27"/>
        <c:axId val="181805919"/>
        <c:axId val="181806335"/>
      </c:barChart>
      <c:catAx>
        <c:axId val="181805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06335"/>
        <c:crosses val="autoZero"/>
        <c:auto val="1"/>
        <c:lblAlgn val="ctr"/>
        <c:lblOffset val="100"/>
        <c:noMultiLvlLbl val="0"/>
      </c:catAx>
      <c:valAx>
        <c:axId val="181806335"/>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0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Počet cílených kontrol</a:t>
            </a:r>
            <a:r>
              <a:rPr lang="cs-CZ"/>
              <a:t> v lékárnách</a:t>
            </a:r>
            <a:endParaRPr lang="en-US"/>
          </a:p>
        </c:rich>
      </c:tx>
      <c:layout>
        <c:manualLayout>
          <c:xMode val="edge"/>
          <c:yMode val="edge"/>
          <c:x val="0.26983704143792414"/>
          <c:y val="1.1068068622025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'počet K L cílené'!$A$2</c:f>
              <c:strCache>
                <c:ptCount val="1"/>
                <c:pt idx="0">
                  <c:v>Počet kontrol</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L cílené'!$B$1:$L$1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L cílené'!$B$2:$L$2</c:f>
              <c:numCache>
                <c:formatCode>General</c:formatCode>
                <c:ptCount val="11"/>
                <c:pt idx="0">
                  <c:v>804</c:v>
                </c:pt>
                <c:pt idx="1">
                  <c:v>801</c:v>
                </c:pt>
                <c:pt idx="2">
                  <c:v>883</c:v>
                </c:pt>
                <c:pt idx="3">
                  <c:v>840</c:v>
                </c:pt>
                <c:pt idx="4">
                  <c:v>877</c:v>
                </c:pt>
                <c:pt idx="5">
                  <c:v>876</c:v>
                </c:pt>
                <c:pt idx="6">
                  <c:v>880</c:v>
                </c:pt>
                <c:pt idx="7">
                  <c:v>830</c:v>
                </c:pt>
                <c:pt idx="8">
                  <c:v>570</c:v>
                </c:pt>
                <c:pt idx="9">
                  <c:v>668</c:v>
                </c:pt>
                <c:pt idx="10">
                  <c:v>731</c:v>
                </c:pt>
              </c:numCache>
            </c:numRef>
          </c:val>
          <c:extLst>
            <c:ext xmlns:c16="http://schemas.microsoft.com/office/drawing/2014/chart" uri="{C3380CC4-5D6E-409C-BE32-E72D297353CC}">
              <c16:uniqueId val="{00000000-2AF3-45F4-9A11-CE4B7EE073A0}"/>
            </c:ext>
          </c:extLst>
        </c:ser>
        <c:ser>
          <c:idx val="1"/>
          <c:order val="1"/>
          <c:tx>
            <c:strRef>
              <c:f>'počet K L cílené'!$A$3</c:f>
              <c:strCache>
                <c:ptCount val="1"/>
                <c:pt idx="0">
                  <c:v>Počet cílených kontrol</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L cílené'!$B$1:$L$1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L cílené'!$B$3:$L$3</c:f>
              <c:numCache>
                <c:formatCode>General</c:formatCode>
                <c:ptCount val="11"/>
                <c:pt idx="0">
                  <c:v>32</c:v>
                </c:pt>
                <c:pt idx="1">
                  <c:v>38</c:v>
                </c:pt>
                <c:pt idx="2">
                  <c:v>40</c:v>
                </c:pt>
                <c:pt idx="3">
                  <c:v>79</c:v>
                </c:pt>
                <c:pt idx="4">
                  <c:v>43</c:v>
                </c:pt>
                <c:pt idx="5">
                  <c:v>38</c:v>
                </c:pt>
                <c:pt idx="6">
                  <c:v>43</c:v>
                </c:pt>
                <c:pt idx="7">
                  <c:v>28</c:v>
                </c:pt>
                <c:pt idx="8">
                  <c:v>19</c:v>
                </c:pt>
                <c:pt idx="9">
                  <c:v>20</c:v>
                </c:pt>
                <c:pt idx="10">
                  <c:v>15</c:v>
                </c:pt>
              </c:numCache>
            </c:numRef>
          </c:val>
          <c:extLst>
            <c:ext xmlns:c16="http://schemas.microsoft.com/office/drawing/2014/chart" uri="{C3380CC4-5D6E-409C-BE32-E72D297353CC}">
              <c16:uniqueId val="{00000001-2AF3-45F4-9A11-CE4B7EE073A0}"/>
            </c:ext>
          </c:extLst>
        </c:ser>
        <c:dLbls>
          <c:showLegendKey val="0"/>
          <c:showVal val="0"/>
          <c:showCatName val="0"/>
          <c:showSerName val="0"/>
          <c:showPercent val="0"/>
          <c:showBubbleSize val="0"/>
        </c:dLbls>
        <c:gapWidth val="219"/>
        <c:overlap val="-27"/>
        <c:axId val="324702879"/>
        <c:axId val="324710783"/>
      </c:barChart>
      <c:catAx>
        <c:axId val="324702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4710783"/>
        <c:crosses val="autoZero"/>
        <c:auto val="1"/>
        <c:lblAlgn val="ctr"/>
        <c:lblOffset val="100"/>
        <c:noMultiLvlLbl val="0"/>
      </c:catAx>
      <c:valAx>
        <c:axId val="324710783"/>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470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Typy závad v lékárnách</a:t>
            </a:r>
            <a:endParaRPr lang="cs-CZ">
              <a:effectLst/>
            </a:endParaRPr>
          </a:p>
        </c:rich>
      </c:tx>
      <c:layout>
        <c:manualLayout>
          <c:xMode val="edge"/>
          <c:yMode val="edge"/>
          <c:x val="0.34109862002183577"/>
          <c:y val="2.87571001108450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v L'!$A$2</c:f>
              <c:strCache>
                <c:ptCount val="1"/>
                <c:pt idx="0">
                  <c:v>Počet kontrol</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L'!$B$2:$L$2</c:f>
              <c:numCache>
                <c:formatCode>General</c:formatCode>
                <c:ptCount val="11"/>
                <c:pt idx="0">
                  <c:v>804</c:v>
                </c:pt>
                <c:pt idx="1">
                  <c:v>801</c:v>
                </c:pt>
                <c:pt idx="2">
                  <c:v>883</c:v>
                </c:pt>
                <c:pt idx="3">
                  <c:v>840</c:v>
                </c:pt>
                <c:pt idx="4">
                  <c:v>877</c:v>
                </c:pt>
                <c:pt idx="5">
                  <c:v>876</c:v>
                </c:pt>
                <c:pt idx="6">
                  <c:v>880</c:v>
                </c:pt>
                <c:pt idx="7">
                  <c:v>830</c:v>
                </c:pt>
                <c:pt idx="8">
                  <c:v>570</c:v>
                </c:pt>
                <c:pt idx="9">
                  <c:v>668</c:v>
                </c:pt>
                <c:pt idx="10">
                  <c:v>731</c:v>
                </c:pt>
              </c:numCache>
            </c:numRef>
          </c:val>
          <c:extLst>
            <c:ext xmlns:c16="http://schemas.microsoft.com/office/drawing/2014/chart" uri="{C3380CC4-5D6E-409C-BE32-E72D297353CC}">
              <c16:uniqueId val="{00000000-930B-4F9C-BFD4-BC910BF5A031}"/>
            </c:ext>
          </c:extLst>
        </c:ser>
        <c:ser>
          <c:idx val="1"/>
          <c:order val="1"/>
          <c:tx>
            <c:strRef>
              <c:f>'Pochybení v L'!$A$3</c:f>
              <c:strCache>
                <c:ptCount val="1"/>
                <c:pt idx="0">
                  <c:v>Drobné závad nebo bez závad</c:v>
                </c:pt>
              </c:strCache>
            </c:strRef>
          </c:tx>
          <c:spPr>
            <a:solidFill>
              <a:schemeClr val="accent2"/>
            </a:solidFill>
            <a:ln>
              <a:noFill/>
            </a:ln>
            <a:effectLst/>
          </c:spPr>
          <c:invertIfNegative val="0"/>
          <c:dLbls>
            <c:dLbl>
              <c:idx val="0"/>
              <c:layout>
                <c:manualLayout>
                  <c:x val="1.4698677119059285E-2"/>
                  <c:y val="-6.68603995169540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0B-4F9C-BFD4-BC910BF5A031}"/>
                </c:ext>
              </c:extLst>
            </c:dLbl>
            <c:dLbl>
              <c:idx val="1"/>
              <c:layout>
                <c:manualLayout>
                  <c:x val="1.4698677119059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0B-4F9C-BFD4-BC910BF5A031}"/>
                </c:ext>
              </c:extLst>
            </c:dLbl>
            <c:dLbl>
              <c:idx val="2"/>
              <c:layout>
                <c:manualLayout>
                  <c:x val="1.4698677119059285E-2"/>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0B-4F9C-BFD4-BC910BF5A031}"/>
                </c:ext>
              </c:extLst>
            </c:dLbl>
            <c:dLbl>
              <c:idx val="3"/>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0B-4F9C-BFD4-BC910BF5A031}"/>
                </c:ext>
              </c:extLst>
            </c:dLbl>
            <c:dLbl>
              <c:idx val="4"/>
              <c:layout>
                <c:manualLayout>
                  <c:x val="1.2248897599215981E-2"/>
                  <c:y val="-6.68603995169540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0B-4F9C-BFD4-BC910BF5A031}"/>
                </c:ext>
              </c:extLst>
            </c:dLbl>
            <c:dLbl>
              <c:idx val="5"/>
              <c:layout>
                <c:manualLayout>
                  <c:x val="1.4698677119059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0B-4F9C-BFD4-BC910BF5A031}"/>
                </c:ext>
              </c:extLst>
            </c:dLbl>
            <c:dLbl>
              <c:idx val="6"/>
              <c:layout>
                <c:manualLayout>
                  <c:x val="1.4698677119059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0B-4F9C-BFD4-BC910BF5A031}"/>
                </c:ext>
              </c:extLst>
            </c:dLbl>
            <c:dLbl>
              <c:idx val="7"/>
              <c:layout>
                <c:manualLayout>
                  <c:x val="1.2248897599216071E-2"/>
                  <c:y val="-6.68603995169540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0B-4F9C-BFD4-BC910BF5A031}"/>
                </c:ext>
              </c:extLst>
            </c:dLbl>
            <c:dLbl>
              <c:idx val="8"/>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0B-4F9C-BFD4-BC910BF5A031}"/>
                </c:ext>
              </c:extLst>
            </c:dLbl>
            <c:dLbl>
              <c:idx val="9"/>
              <c:layout>
                <c:manualLayout>
                  <c:x val="2.20480156785889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0B-4F9C-BFD4-BC910BF5A031}"/>
                </c:ext>
              </c:extLst>
            </c:dLbl>
            <c:dLbl>
              <c:idx val="10"/>
              <c:layout>
                <c:manualLayout>
                  <c:x val="1.4698677119059285E-2"/>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0B-4F9C-BFD4-BC910BF5A03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L'!$B$3:$L$3</c:f>
              <c:numCache>
                <c:formatCode>General</c:formatCode>
                <c:ptCount val="11"/>
                <c:pt idx="0">
                  <c:v>570</c:v>
                </c:pt>
                <c:pt idx="1">
                  <c:v>488</c:v>
                </c:pt>
                <c:pt idx="2">
                  <c:v>508</c:v>
                </c:pt>
                <c:pt idx="3">
                  <c:v>450</c:v>
                </c:pt>
                <c:pt idx="4">
                  <c:v>454</c:v>
                </c:pt>
                <c:pt idx="5">
                  <c:v>477</c:v>
                </c:pt>
                <c:pt idx="6">
                  <c:v>483</c:v>
                </c:pt>
                <c:pt idx="7">
                  <c:v>517</c:v>
                </c:pt>
                <c:pt idx="8">
                  <c:v>364</c:v>
                </c:pt>
                <c:pt idx="9">
                  <c:v>449</c:v>
                </c:pt>
                <c:pt idx="10">
                  <c:v>450</c:v>
                </c:pt>
              </c:numCache>
            </c:numRef>
          </c:val>
          <c:extLst>
            <c:ext xmlns:c16="http://schemas.microsoft.com/office/drawing/2014/chart" uri="{C3380CC4-5D6E-409C-BE32-E72D297353CC}">
              <c16:uniqueId val="{0000000C-930B-4F9C-BFD4-BC910BF5A031}"/>
            </c:ext>
          </c:extLst>
        </c:ser>
        <c:ser>
          <c:idx val="2"/>
          <c:order val="2"/>
          <c:tx>
            <c:strRef>
              <c:f>'Pochybení v L'!$A$4</c:f>
              <c:strCache>
                <c:ptCount val="1"/>
                <c:pt idx="0">
                  <c:v>Významné nebo opakované závady</c:v>
                </c:pt>
              </c:strCache>
            </c:strRef>
          </c:tx>
          <c:spPr>
            <a:solidFill>
              <a:schemeClr val="accent3"/>
            </a:solidFill>
            <a:ln>
              <a:noFill/>
            </a:ln>
            <a:effectLst/>
          </c:spPr>
          <c:invertIfNegative val="0"/>
          <c:dLbls>
            <c:dLbl>
              <c:idx val="0"/>
              <c:layout>
                <c:manualLayout>
                  <c:x val="1.4698677119059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0B-4F9C-BFD4-BC910BF5A031}"/>
                </c:ext>
              </c:extLst>
            </c:dLbl>
            <c:dLbl>
              <c:idx val="1"/>
              <c:layout>
                <c:manualLayout>
                  <c:x val="7.3493385595296201E-3"/>
                  <c:y val="-6.68603995169540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0B-4F9C-BFD4-BC910BF5A031}"/>
                </c:ext>
              </c:extLst>
            </c:dLbl>
            <c:dLbl>
              <c:idx val="2"/>
              <c:layout>
                <c:manualLayout>
                  <c:x val="9.7991180793728563E-3"/>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0B-4F9C-BFD4-BC910BF5A031}"/>
                </c:ext>
              </c:extLst>
            </c:dLbl>
            <c:dLbl>
              <c:idx val="3"/>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0B-4F9C-BFD4-BC910BF5A031}"/>
                </c:ext>
              </c:extLst>
            </c:dLbl>
            <c:dLbl>
              <c:idx val="4"/>
              <c:layout>
                <c:manualLayout>
                  <c:x val="1.2248897599216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0B-4F9C-BFD4-BC910BF5A031}"/>
                </c:ext>
              </c:extLst>
            </c:dLbl>
            <c:dLbl>
              <c:idx val="5"/>
              <c:layout>
                <c:manualLayout>
                  <c:x val="9.79911807937276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0B-4F9C-BFD4-BC910BF5A031}"/>
                </c:ext>
              </c:extLst>
            </c:dLbl>
            <c:dLbl>
              <c:idx val="6"/>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0B-4F9C-BFD4-BC910BF5A031}"/>
                </c:ext>
              </c:extLst>
            </c:dLbl>
            <c:dLbl>
              <c:idx val="7"/>
              <c:layout>
                <c:manualLayout>
                  <c:x val="9.7991180793727661E-3"/>
                  <c:y val="-3.64697301239977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0B-4F9C-BFD4-BC910BF5A031}"/>
                </c:ext>
              </c:extLst>
            </c:dLbl>
            <c:dLbl>
              <c:idx val="8"/>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30B-4F9C-BFD4-BC910BF5A031}"/>
                </c:ext>
              </c:extLst>
            </c:dLbl>
            <c:dLbl>
              <c:idx val="9"/>
              <c:layout>
                <c:manualLayout>
                  <c:x val="4.8995590396864281E-3"/>
                  <c:y val="-7.29394602479941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30B-4F9C-BFD4-BC910BF5A031}"/>
                </c:ext>
              </c:extLst>
            </c:dLbl>
            <c:dLbl>
              <c:idx val="10"/>
              <c:layout>
                <c:manualLayout>
                  <c:x val="4.89955903968624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30B-4F9C-BFD4-BC910BF5A03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L'!$B$4:$L$4</c:f>
              <c:numCache>
                <c:formatCode>General</c:formatCode>
                <c:ptCount val="11"/>
                <c:pt idx="0">
                  <c:v>161</c:v>
                </c:pt>
                <c:pt idx="1">
                  <c:v>200</c:v>
                </c:pt>
                <c:pt idx="2">
                  <c:v>226</c:v>
                </c:pt>
                <c:pt idx="3">
                  <c:v>242</c:v>
                </c:pt>
                <c:pt idx="4">
                  <c:v>261</c:v>
                </c:pt>
                <c:pt idx="5">
                  <c:v>253</c:v>
                </c:pt>
                <c:pt idx="6">
                  <c:v>226</c:v>
                </c:pt>
                <c:pt idx="7">
                  <c:v>195</c:v>
                </c:pt>
                <c:pt idx="8">
                  <c:v>144</c:v>
                </c:pt>
                <c:pt idx="9">
                  <c:v>127</c:v>
                </c:pt>
                <c:pt idx="10">
                  <c:v>178</c:v>
                </c:pt>
              </c:numCache>
            </c:numRef>
          </c:val>
          <c:extLst>
            <c:ext xmlns:c16="http://schemas.microsoft.com/office/drawing/2014/chart" uri="{C3380CC4-5D6E-409C-BE32-E72D297353CC}">
              <c16:uniqueId val="{00000018-930B-4F9C-BFD4-BC910BF5A031}"/>
            </c:ext>
          </c:extLst>
        </c:ser>
        <c:ser>
          <c:idx val="3"/>
          <c:order val="3"/>
          <c:tx>
            <c:strRef>
              <c:f>'Pochybení v L'!$A$5</c:f>
              <c:strCache>
                <c:ptCount val="1"/>
                <c:pt idx="0">
                  <c:v>Závažné nebo kritické závady</c:v>
                </c:pt>
              </c:strCache>
            </c:strRef>
          </c:tx>
          <c:spPr>
            <a:solidFill>
              <a:schemeClr val="accent4"/>
            </a:solidFill>
            <a:ln>
              <a:noFill/>
            </a:ln>
            <a:effectLst/>
          </c:spPr>
          <c:invertIfNegative val="0"/>
          <c:dLbls>
            <c:dLbl>
              <c:idx val="0"/>
              <c:layout>
                <c:manualLayout>
                  <c:x val="1.2248897599216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30B-4F9C-BFD4-BC910BF5A031}"/>
                </c:ext>
              </c:extLst>
            </c:dLbl>
            <c:dLbl>
              <c:idx val="1"/>
              <c:layout>
                <c:manualLayout>
                  <c:x val="4.89955903968642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30B-4F9C-BFD4-BC910BF5A031}"/>
                </c:ext>
              </c:extLst>
            </c:dLbl>
            <c:dLbl>
              <c:idx val="2"/>
              <c:layout>
                <c:manualLayout>
                  <c:x val="7.3493385595296426E-3"/>
                  <c:y val="-1.337207990339080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30B-4F9C-BFD4-BC910BF5A031}"/>
                </c:ext>
              </c:extLst>
            </c:dLbl>
            <c:dLbl>
              <c:idx val="3"/>
              <c:layout>
                <c:manualLayout>
                  <c:x val="4.8995590396863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30B-4F9C-BFD4-BC910BF5A031}"/>
                </c:ext>
              </c:extLst>
            </c:dLbl>
            <c:dLbl>
              <c:idx val="4"/>
              <c:layout>
                <c:manualLayout>
                  <c:x val="9.7991180793728563E-3"/>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30B-4F9C-BFD4-BC910BF5A031}"/>
                </c:ext>
              </c:extLst>
            </c:dLbl>
            <c:dLbl>
              <c:idx val="5"/>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30B-4F9C-BFD4-BC910BF5A031}"/>
                </c:ext>
              </c:extLst>
            </c:dLbl>
            <c:dLbl>
              <c:idx val="6"/>
              <c:layout>
                <c:manualLayout>
                  <c:x val="9.79911807937276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30B-4F9C-BFD4-BC910BF5A031}"/>
                </c:ext>
              </c:extLst>
            </c:dLbl>
            <c:dLbl>
              <c:idx val="7"/>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30B-4F9C-BFD4-BC910BF5A031}"/>
                </c:ext>
              </c:extLst>
            </c:dLbl>
            <c:dLbl>
              <c:idx val="8"/>
              <c:layout>
                <c:manualLayout>
                  <c:x val="9.79911807937276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30B-4F9C-BFD4-BC910BF5A031}"/>
                </c:ext>
              </c:extLst>
            </c:dLbl>
            <c:dLbl>
              <c:idx val="9"/>
              <c:layout>
                <c:manualLayout>
                  <c:x val="9.79911807937267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30B-4F9C-BFD4-BC910BF5A031}"/>
                </c:ext>
              </c:extLst>
            </c:dLbl>
            <c:dLbl>
              <c:idx val="10"/>
              <c:layout>
                <c:manualLayout>
                  <c:x val="9.7991180793728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30B-4F9C-BFD4-BC910BF5A03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L'!$B$5:$L$5</c:f>
              <c:numCache>
                <c:formatCode>General</c:formatCode>
                <c:ptCount val="11"/>
                <c:pt idx="0">
                  <c:v>73</c:v>
                </c:pt>
                <c:pt idx="1">
                  <c:v>113</c:v>
                </c:pt>
                <c:pt idx="2">
                  <c:v>149</c:v>
                </c:pt>
                <c:pt idx="3">
                  <c:v>148</c:v>
                </c:pt>
                <c:pt idx="4">
                  <c:v>162</c:v>
                </c:pt>
                <c:pt idx="5">
                  <c:v>146</c:v>
                </c:pt>
                <c:pt idx="6">
                  <c:v>171</c:v>
                </c:pt>
                <c:pt idx="7">
                  <c:v>118</c:v>
                </c:pt>
                <c:pt idx="8">
                  <c:v>61</c:v>
                </c:pt>
                <c:pt idx="9">
                  <c:v>91</c:v>
                </c:pt>
                <c:pt idx="10">
                  <c:v>103</c:v>
                </c:pt>
              </c:numCache>
            </c:numRef>
          </c:val>
          <c:extLst>
            <c:ext xmlns:c16="http://schemas.microsoft.com/office/drawing/2014/chart" uri="{C3380CC4-5D6E-409C-BE32-E72D297353CC}">
              <c16:uniqueId val="{00000024-930B-4F9C-BFD4-BC910BF5A031}"/>
            </c:ext>
          </c:extLst>
        </c:ser>
        <c:dLbls>
          <c:showLegendKey val="0"/>
          <c:showVal val="0"/>
          <c:showCatName val="0"/>
          <c:showSerName val="0"/>
          <c:showPercent val="0"/>
          <c:showBubbleSize val="0"/>
        </c:dLbls>
        <c:gapWidth val="219"/>
        <c:overlap val="-27"/>
        <c:axId val="178132575"/>
        <c:axId val="178127583"/>
      </c:barChart>
      <c:catAx>
        <c:axId val="1781325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8127583"/>
        <c:crosses val="autoZero"/>
        <c:auto val="1"/>
        <c:lblAlgn val="ctr"/>
        <c:lblOffset val="100"/>
        <c:noMultiLvlLbl val="0"/>
      </c:catAx>
      <c:valAx>
        <c:axId val="178127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813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Postihy z kontrol v lékárnách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v L'!$A$9</c:f>
              <c:strCache>
                <c:ptCount val="1"/>
                <c:pt idx="0">
                  <c:v>Příkazní řízení</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L'!$B$9:$L$9</c:f>
              <c:numCache>
                <c:formatCode>General</c:formatCode>
                <c:ptCount val="11"/>
                <c:pt idx="0">
                  <c:v>95</c:v>
                </c:pt>
                <c:pt idx="1">
                  <c:v>38</c:v>
                </c:pt>
                <c:pt idx="2">
                  <c:v>73</c:v>
                </c:pt>
                <c:pt idx="3">
                  <c:v>102</c:v>
                </c:pt>
                <c:pt idx="4">
                  <c:v>94</c:v>
                </c:pt>
                <c:pt idx="5">
                  <c:v>258</c:v>
                </c:pt>
                <c:pt idx="6">
                  <c:v>94</c:v>
                </c:pt>
                <c:pt idx="7">
                  <c:v>59</c:v>
                </c:pt>
                <c:pt idx="8">
                  <c:v>110</c:v>
                </c:pt>
                <c:pt idx="9">
                  <c:v>87</c:v>
                </c:pt>
                <c:pt idx="10">
                  <c:v>59</c:v>
                </c:pt>
              </c:numCache>
            </c:numRef>
          </c:val>
          <c:extLst>
            <c:ext xmlns:c16="http://schemas.microsoft.com/office/drawing/2014/chart" uri="{C3380CC4-5D6E-409C-BE32-E72D297353CC}">
              <c16:uniqueId val="{00000000-BF3E-49BD-82AF-9AF24ABDA95A}"/>
            </c:ext>
          </c:extLst>
        </c:ser>
        <c:ser>
          <c:idx val="1"/>
          <c:order val="1"/>
          <c:tx>
            <c:strRef>
              <c:f>'Pochybení v L'!$A$10</c:f>
              <c:strCache>
                <c:ptCount val="1"/>
                <c:pt idx="0">
                  <c:v>Správní řízení</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BF3E-49BD-82AF-9AF24ABDA95A}"/>
                </c:ext>
              </c:extLst>
            </c:dLbl>
            <c:dLbl>
              <c:idx val="2"/>
              <c:delete val="1"/>
              <c:extLst>
                <c:ext xmlns:c15="http://schemas.microsoft.com/office/drawing/2012/chart" uri="{CE6537A1-D6FC-4f65-9D91-7224C49458BB}"/>
                <c:ext xmlns:c16="http://schemas.microsoft.com/office/drawing/2014/chart" uri="{C3380CC4-5D6E-409C-BE32-E72D297353CC}">
                  <c16:uniqueId val="{00000002-BF3E-49BD-82AF-9AF24ABDA95A}"/>
                </c:ext>
              </c:extLst>
            </c:dLbl>
            <c:dLbl>
              <c:idx val="3"/>
              <c:delete val="1"/>
              <c:extLst>
                <c:ext xmlns:c15="http://schemas.microsoft.com/office/drawing/2012/chart" uri="{CE6537A1-D6FC-4f65-9D91-7224C49458BB}"/>
                <c:ext xmlns:c16="http://schemas.microsoft.com/office/drawing/2014/chart" uri="{C3380CC4-5D6E-409C-BE32-E72D297353CC}">
                  <c16:uniqueId val="{00000003-BF3E-49BD-82AF-9AF24ABDA95A}"/>
                </c:ext>
              </c:extLst>
            </c:dLbl>
            <c:dLbl>
              <c:idx val="4"/>
              <c:delete val="1"/>
              <c:extLst>
                <c:ext xmlns:c15="http://schemas.microsoft.com/office/drawing/2012/chart" uri="{CE6537A1-D6FC-4f65-9D91-7224C49458BB}"/>
                <c:ext xmlns:c16="http://schemas.microsoft.com/office/drawing/2014/chart" uri="{C3380CC4-5D6E-409C-BE32-E72D297353CC}">
                  <c16:uniqueId val="{00000004-BF3E-49BD-82AF-9AF24ABDA95A}"/>
                </c:ext>
              </c:extLst>
            </c:dLbl>
            <c:dLbl>
              <c:idx val="5"/>
              <c:delete val="1"/>
              <c:extLst>
                <c:ext xmlns:c15="http://schemas.microsoft.com/office/drawing/2012/chart" uri="{CE6537A1-D6FC-4f65-9D91-7224C49458BB}"/>
                <c:ext xmlns:c16="http://schemas.microsoft.com/office/drawing/2014/chart" uri="{C3380CC4-5D6E-409C-BE32-E72D297353CC}">
                  <c16:uniqueId val="{00000005-BF3E-49BD-82AF-9AF24ABDA95A}"/>
                </c:ext>
              </c:extLst>
            </c:dLbl>
            <c:dLbl>
              <c:idx val="6"/>
              <c:delete val="1"/>
              <c:extLst>
                <c:ext xmlns:c15="http://schemas.microsoft.com/office/drawing/2012/chart" uri="{CE6537A1-D6FC-4f65-9D91-7224C49458BB}"/>
                <c:ext xmlns:c16="http://schemas.microsoft.com/office/drawing/2014/chart" uri="{C3380CC4-5D6E-409C-BE32-E72D297353CC}">
                  <c16:uniqueId val="{00000006-BF3E-49BD-82AF-9AF24ABDA95A}"/>
                </c:ext>
              </c:extLst>
            </c:dLbl>
            <c:dLbl>
              <c:idx val="7"/>
              <c:delete val="1"/>
              <c:extLst>
                <c:ext xmlns:c15="http://schemas.microsoft.com/office/drawing/2012/chart" uri="{CE6537A1-D6FC-4f65-9D91-7224C49458BB}"/>
                <c:ext xmlns:c16="http://schemas.microsoft.com/office/drawing/2014/chart" uri="{C3380CC4-5D6E-409C-BE32-E72D297353CC}">
                  <c16:uniqueId val="{00000007-BF3E-49BD-82AF-9AF24ABDA95A}"/>
                </c:ext>
              </c:extLst>
            </c:dLbl>
            <c:dLbl>
              <c:idx val="8"/>
              <c:delete val="1"/>
              <c:extLst>
                <c:ext xmlns:c15="http://schemas.microsoft.com/office/drawing/2012/chart" uri="{CE6537A1-D6FC-4f65-9D91-7224C49458BB}"/>
                <c:ext xmlns:c16="http://schemas.microsoft.com/office/drawing/2014/chart" uri="{C3380CC4-5D6E-409C-BE32-E72D297353CC}">
                  <c16:uniqueId val="{00000008-BF3E-49BD-82AF-9AF24ABDA95A}"/>
                </c:ext>
              </c:extLst>
            </c:dLbl>
            <c:dLbl>
              <c:idx val="9"/>
              <c:delete val="1"/>
              <c:extLst>
                <c:ext xmlns:c15="http://schemas.microsoft.com/office/drawing/2012/chart" uri="{CE6537A1-D6FC-4f65-9D91-7224C49458BB}"/>
                <c:ext xmlns:c16="http://schemas.microsoft.com/office/drawing/2014/chart" uri="{C3380CC4-5D6E-409C-BE32-E72D297353CC}">
                  <c16:uniqueId val="{00000009-BF3E-49BD-82AF-9AF24ABDA95A}"/>
                </c:ext>
              </c:extLst>
            </c:dLbl>
            <c:dLbl>
              <c:idx val="10"/>
              <c:delete val="1"/>
              <c:extLst>
                <c:ext xmlns:c15="http://schemas.microsoft.com/office/drawing/2012/chart" uri="{CE6537A1-D6FC-4f65-9D91-7224C49458BB}"/>
                <c:ext xmlns:c16="http://schemas.microsoft.com/office/drawing/2014/chart" uri="{C3380CC4-5D6E-409C-BE32-E72D297353CC}">
                  <c16:uniqueId val="{0000000A-BF3E-49BD-82AF-9AF24ABDA95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L'!$B$10:$L$10</c:f>
              <c:numCache>
                <c:formatCode>General</c:formatCode>
                <c:ptCount val="11"/>
                <c:pt idx="0">
                  <c:v>4</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B-BF3E-49BD-82AF-9AF24ABDA95A}"/>
            </c:ext>
          </c:extLst>
        </c:ser>
        <c:ser>
          <c:idx val="2"/>
          <c:order val="2"/>
          <c:tx>
            <c:strRef>
              <c:f>'Pochybení v L'!$A$11</c:f>
              <c:strCache>
                <c:ptCount val="1"/>
                <c:pt idx="0">
                  <c:v>Pozastavení přípravy léčivých přípravků</c:v>
                </c:pt>
              </c:strCache>
            </c:strRef>
          </c:tx>
          <c:spPr>
            <a:solidFill>
              <a:schemeClr val="accent3"/>
            </a:solidFill>
            <a:ln>
              <a:noFill/>
            </a:ln>
            <a:effectLst/>
          </c:spPr>
          <c:invertIfNegative val="0"/>
          <c:dLbls>
            <c:dLbl>
              <c:idx val="0"/>
              <c:layout>
                <c:manualLayout>
                  <c:x val="0"/>
                  <c:y val="-1.4722119985277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3E-49BD-82AF-9AF24ABDA95A}"/>
                </c:ext>
              </c:extLst>
            </c:dLbl>
            <c:dLbl>
              <c:idx val="7"/>
              <c:layout>
                <c:manualLayout>
                  <c:x val="-8.9912317545604658E-17"/>
                  <c:y val="-2.2083179977916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3E-49BD-82AF-9AF24ABDA95A}"/>
                </c:ext>
              </c:extLst>
            </c:dLbl>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bg2">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L'!$B$11:$L$11</c:f>
              <c:numCache>
                <c:formatCode>General</c:formatCode>
                <c:ptCount val="11"/>
                <c:pt idx="0">
                  <c:v>5</c:v>
                </c:pt>
                <c:pt idx="1">
                  <c:v>6</c:v>
                </c:pt>
                <c:pt idx="2">
                  <c:v>11</c:v>
                </c:pt>
                <c:pt idx="3">
                  <c:v>17</c:v>
                </c:pt>
                <c:pt idx="4">
                  <c:v>11</c:v>
                </c:pt>
                <c:pt idx="5">
                  <c:v>8</c:v>
                </c:pt>
                <c:pt idx="6">
                  <c:v>1</c:v>
                </c:pt>
                <c:pt idx="7">
                  <c:v>4</c:v>
                </c:pt>
                <c:pt idx="8">
                  <c:v>8</c:v>
                </c:pt>
                <c:pt idx="9">
                  <c:v>5</c:v>
                </c:pt>
                <c:pt idx="10">
                  <c:v>8</c:v>
                </c:pt>
              </c:numCache>
            </c:numRef>
          </c:val>
          <c:extLst>
            <c:ext xmlns:c16="http://schemas.microsoft.com/office/drawing/2014/chart" uri="{C3380CC4-5D6E-409C-BE32-E72D297353CC}">
              <c16:uniqueId val="{0000000E-BF3E-49BD-82AF-9AF24ABDA95A}"/>
            </c:ext>
          </c:extLst>
        </c:ser>
        <c:ser>
          <c:idx val="3"/>
          <c:order val="3"/>
          <c:tx>
            <c:strRef>
              <c:f>'Pochybení v L'!$A$12</c:f>
              <c:strCache>
                <c:ptCount val="1"/>
                <c:pt idx="0">
                  <c:v>Pozastavení provozovny</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F-BF3E-49BD-82AF-9AF24ABDA95A}"/>
                </c:ext>
              </c:extLst>
            </c:dLbl>
            <c:dLbl>
              <c:idx val="5"/>
              <c:delete val="1"/>
              <c:extLst>
                <c:ext xmlns:c15="http://schemas.microsoft.com/office/drawing/2012/chart" uri="{CE6537A1-D6FC-4f65-9D91-7224C49458BB}"/>
                <c:ext xmlns:c16="http://schemas.microsoft.com/office/drawing/2014/chart" uri="{C3380CC4-5D6E-409C-BE32-E72D297353CC}">
                  <c16:uniqueId val="{00000010-BF3E-49BD-82AF-9AF24ABDA95A}"/>
                </c:ext>
              </c:extLst>
            </c:dLbl>
            <c:dLbl>
              <c:idx val="6"/>
              <c:layout>
                <c:manualLayout>
                  <c:x val="2.4522789849895539E-3"/>
                  <c:y val="-3.3124914869630991E-2"/>
                </c:manualLayout>
              </c:layout>
              <c:showLegendKey val="0"/>
              <c:showVal val="1"/>
              <c:showCatName val="0"/>
              <c:showSerName val="0"/>
              <c:showPercent val="0"/>
              <c:showBubbleSize val="0"/>
              <c:extLst>
                <c:ext xmlns:c15="http://schemas.microsoft.com/office/drawing/2012/chart" uri="{CE6537A1-D6FC-4f65-9D91-7224C49458BB}">
                  <c15:layout>
                    <c:manualLayout>
                      <c:w val="4.4102597768707057E-2"/>
                      <c:h val="3.8866396761133598E-2"/>
                    </c:manualLayout>
                  </c15:layout>
                </c:ext>
                <c:ext xmlns:c16="http://schemas.microsoft.com/office/drawing/2014/chart" uri="{C3380CC4-5D6E-409C-BE32-E72D297353CC}">
                  <c16:uniqueId val="{00000011-BF3E-49BD-82AF-9AF24ABDA95A}"/>
                </c:ext>
              </c:extLst>
            </c:dLbl>
            <c:dLbl>
              <c:idx val="8"/>
              <c:delete val="1"/>
              <c:extLst>
                <c:ext xmlns:c15="http://schemas.microsoft.com/office/drawing/2012/chart" uri="{CE6537A1-D6FC-4f65-9D91-7224C49458BB}"/>
                <c:ext xmlns:c16="http://schemas.microsoft.com/office/drawing/2014/chart" uri="{C3380CC4-5D6E-409C-BE32-E72D297353CC}">
                  <c16:uniqueId val="{00000012-BF3E-49BD-82AF-9AF24ABDA95A}"/>
                </c:ext>
              </c:extLst>
            </c:dLbl>
            <c:dLbl>
              <c:idx val="9"/>
              <c:delete val="1"/>
              <c:extLst>
                <c:ext xmlns:c15="http://schemas.microsoft.com/office/drawing/2012/chart" uri="{CE6537A1-D6FC-4f65-9D91-7224C49458BB}"/>
                <c:ext xmlns:c16="http://schemas.microsoft.com/office/drawing/2014/chart" uri="{C3380CC4-5D6E-409C-BE32-E72D297353CC}">
                  <c16:uniqueId val="{00000013-BF3E-49BD-82AF-9AF24ABDA95A}"/>
                </c:ext>
              </c:extLst>
            </c:dLbl>
            <c:dLbl>
              <c:idx val="10"/>
              <c:delete val="1"/>
              <c:extLst>
                <c:ext xmlns:c15="http://schemas.microsoft.com/office/drawing/2012/chart" uri="{CE6537A1-D6FC-4f65-9D91-7224C49458BB}"/>
                <c:ext xmlns:c16="http://schemas.microsoft.com/office/drawing/2014/chart" uri="{C3380CC4-5D6E-409C-BE32-E72D297353CC}">
                  <c16:uniqueId val="{00000014-BF3E-49BD-82AF-9AF24ABDA95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4">
                        <a:lumMod val="60000"/>
                        <a:lumOff val="4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L'!$B$12:$L$12</c:f>
              <c:numCache>
                <c:formatCode>General</c:formatCode>
                <c:ptCount val="11"/>
                <c:pt idx="0">
                  <c:v>3</c:v>
                </c:pt>
                <c:pt idx="1">
                  <c:v>2</c:v>
                </c:pt>
                <c:pt idx="2">
                  <c:v>1</c:v>
                </c:pt>
                <c:pt idx="3">
                  <c:v>0</c:v>
                </c:pt>
                <c:pt idx="4">
                  <c:v>2</c:v>
                </c:pt>
                <c:pt idx="5">
                  <c:v>0</c:v>
                </c:pt>
                <c:pt idx="6">
                  <c:v>3</c:v>
                </c:pt>
                <c:pt idx="7">
                  <c:v>3</c:v>
                </c:pt>
                <c:pt idx="8">
                  <c:v>0</c:v>
                </c:pt>
                <c:pt idx="9">
                  <c:v>0</c:v>
                </c:pt>
                <c:pt idx="10">
                  <c:v>0</c:v>
                </c:pt>
              </c:numCache>
            </c:numRef>
          </c:val>
          <c:extLst>
            <c:ext xmlns:c16="http://schemas.microsoft.com/office/drawing/2014/chart" uri="{C3380CC4-5D6E-409C-BE32-E72D297353CC}">
              <c16:uniqueId val="{00000015-BF3E-49BD-82AF-9AF24ABDA95A}"/>
            </c:ext>
          </c:extLst>
        </c:ser>
        <c:ser>
          <c:idx val="4"/>
          <c:order val="4"/>
          <c:tx>
            <c:strRef>
              <c:f>'Pochybení v L'!$A$13</c:f>
              <c:strCache>
                <c:ptCount val="1"/>
                <c:pt idx="0">
                  <c:v>Napomenutí</c:v>
                </c:pt>
              </c:strCache>
            </c:strRef>
          </c:tx>
          <c:spPr>
            <a:solidFill>
              <a:schemeClr val="accent5">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6-BF3E-49BD-82AF-9AF24ABDA95A}"/>
                </c:ext>
              </c:extLst>
            </c:dLbl>
            <c:dLbl>
              <c:idx val="1"/>
              <c:delete val="1"/>
              <c:extLst>
                <c:ext xmlns:c15="http://schemas.microsoft.com/office/drawing/2012/chart" uri="{CE6537A1-D6FC-4f65-9D91-7224C49458BB}"/>
                <c:ext xmlns:c16="http://schemas.microsoft.com/office/drawing/2014/chart" uri="{C3380CC4-5D6E-409C-BE32-E72D297353CC}">
                  <c16:uniqueId val="{00000017-BF3E-49BD-82AF-9AF24ABDA95A}"/>
                </c:ext>
              </c:extLst>
            </c:dLbl>
            <c:dLbl>
              <c:idx val="2"/>
              <c:delete val="1"/>
              <c:extLst>
                <c:ext xmlns:c15="http://schemas.microsoft.com/office/drawing/2012/chart" uri="{CE6537A1-D6FC-4f65-9D91-7224C49458BB}"/>
                <c:ext xmlns:c16="http://schemas.microsoft.com/office/drawing/2014/chart" uri="{C3380CC4-5D6E-409C-BE32-E72D297353CC}">
                  <c16:uniqueId val="{00000018-BF3E-49BD-82AF-9AF24ABDA95A}"/>
                </c:ext>
              </c:extLst>
            </c:dLbl>
            <c:dLbl>
              <c:idx val="3"/>
              <c:delete val="1"/>
              <c:extLst>
                <c:ext xmlns:c15="http://schemas.microsoft.com/office/drawing/2012/chart" uri="{CE6537A1-D6FC-4f65-9D91-7224C49458BB}"/>
                <c:ext xmlns:c16="http://schemas.microsoft.com/office/drawing/2014/chart" uri="{C3380CC4-5D6E-409C-BE32-E72D297353CC}">
                  <c16:uniqueId val="{00000019-BF3E-49BD-82AF-9AF24ABDA95A}"/>
                </c:ext>
              </c:extLst>
            </c:dLbl>
            <c:dLbl>
              <c:idx val="4"/>
              <c:delete val="1"/>
              <c:extLst>
                <c:ext xmlns:c15="http://schemas.microsoft.com/office/drawing/2012/chart" uri="{CE6537A1-D6FC-4f65-9D91-7224C49458BB}"/>
                <c:ext xmlns:c16="http://schemas.microsoft.com/office/drawing/2014/chart" uri="{C3380CC4-5D6E-409C-BE32-E72D297353CC}">
                  <c16:uniqueId val="{0000001A-BF3E-49BD-82AF-9AF24ABDA95A}"/>
                </c:ext>
              </c:extLst>
            </c:dLbl>
            <c:dLbl>
              <c:idx val="5"/>
              <c:delete val="1"/>
              <c:extLst>
                <c:ext xmlns:c15="http://schemas.microsoft.com/office/drawing/2012/chart" uri="{CE6537A1-D6FC-4f65-9D91-7224C49458BB}"/>
                <c:ext xmlns:c16="http://schemas.microsoft.com/office/drawing/2014/chart" uri="{C3380CC4-5D6E-409C-BE32-E72D297353CC}">
                  <c16:uniqueId val="{0000001B-BF3E-49BD-82AF-9AF24ABDA95A}"/>
                </c:ext>
              </c:extLst>
            </c:dLbl>
            <c:dLbl>
              <c:idx val="6"/>
              <c:delete val="1"/>
              <c:extLst>
                <c:ext xmlns:c15="http://schemas.microsoft.com/office/drawing/2012/chart" uri="{CE6537A1-D6FC-4f65-9D91-7224C49458BB}"/>
                <c:ext xmlns:c16="http://schemas.microsoft.com/office/drawing/2014/chart" uri="{C3380CC4-5D6E-409C-BE32-E72D297353CC}">
                  <c16:uniqueId val="{0000001C-BF3E-49BD-82AF-9AF24ABDA95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v 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v L'!$B$13:$L$13</c:f>
              <c:numCache>
                <c:formatCode>General</c:formatCode>
                <c:ptCount val="11"/>
                <c:pt idx="0">
                  <c:v>0</c:v>
                </c:pt>
                <c:pt idx="1">
                  <c:v>0</c:v>
                </c:pt>
                <c:pt idx="2">
                  <c:v>0</c:v>
                </c:pt>
                <c:pt idx="3">
                  <c:v>0</c:v>
                </c:pt>
                <c:pt idx="4">
                  <c:v>0</c:v>
                </c:pt>
                <c:pt idx="5">
                  <c:v>0</c:v>
                </c:pt>
                <c:pt idx="6">
                  <c:v>0</c:v>
                </c:pt>
                <c:pt idx="7">
                  <c:v>13</c:v>
                </c:pt>
                <c:pt idx="8">
                  <c:v>8</c:v>
                </c:pt>
                <c:pt idx="9">
                  <c:v>1</c:v>
                </c:pt>
                <c:pt idx="10">
                  <c:v>2</c:v>
                </c:pt>
              </c:numCache>
            </c:numRef>
          </c:val>
          <c:extLst>
            <c:ext xmlns:c16="http://schemas.microsoft.com/office/drawing/2014/chart" uri="{C3380CC4-5D6E-409C-BE32-E72D297353CC}">
              <c16:uniqueId val="{0000001D-BF3E-49BD-82AF-9AF24ABDA95A}"/>
            </c:ext>
          </c:extLst>
        </c:ser>
        <c:dLbls>
          <c:showLegendKey val="0"/>
          <c:showVal val="0"/>
          <c:showCatName val="0"/>
          <c:showSerName val="0"/>
          <c:showPercent val="0"/>
          <c:showBubbleSize val="0"/>
        </c:dLbls>
        <c:gapWidth val="219"/>
        <c:overlap val="-27"/>
        <c:axId val="181814655"/>
        <c:axId val="181805503"/>
      </c:barChart>
      <c:catAx>
        <c:axId val="181814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05503"/>
        <c:crosses val="autoZero"/>
        <c:auto val="1"/>
        <c:lblAlgn val="ctr"/>
        <c:lblOffset val="100"/>
        <c:noMultiLvlLbl val="0"/>
      </c:catAx>
      <c:valAx>
        <c:axId val="181805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14655"/>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Počet cílených kontrol</a:t>
            </a:r>
            <a:r>
              <a:rPr lang="cs-CZ" sz="1600" b="0" i="0" baseline="0">
                <a:effectLst/>
              </a:rPr>
              <a:t> - návykové látky</a:t>
            </a:r>
            <a:endParaRPr lang="cs-CZ" sz="160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'počet K OPL cílené'!$A$2</c:f>
              <c:strCache>
                <c:ptCount val="1"/>
                <c:pt idx="0">
                  <c:v>Počet kontrol - návykové látky</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OPL cílené'!$B$1:$L$1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OPL cílené'!$B$2:$L$2</c:f>
              <c:numCache>
                <c:formatCode>General</c:formatCode>
                <c:ptCount val="11"/>
                <c:pt idx="0">
                  <c:v>308</c:v>
                </c:pt>
                <c:pt idx="1">
                  <c:v>330</c:v>
                </c:pt>
                <c:pt idx="2">
                  <c:v>402</c:v>
                </c:pt>
                <c:pt idx="3">
                  <c:v>425</c:v>
                </c:pt>
                <c:pt idx="4">
                  <c:v>468</c:v>
                </c:pt>
                <c:pt idx="5">
                  <c:v>452</c:v>
                </c:pt>
                <c:pt idx="6">
                  <c:v>461</c:v>
                </c:pt>
                <c:pt idx="7">
                  <c:v>430</c:v>
                </c:pt>
                <c:pt idx="8">
                  <c:v>344</c:v>
                </c:pt>
                <c:pt idx="9">
                  <c:v>423</c:v>
                </c:pt>
                <c:pt idx="10">
                  <c:v>388</c:v>
                </c:pt>
              </c:numCache>
            </c:numRef>
          </c:val>
          <c:extLst>
            <c:ext xmlns:c16="http://schemas.microsoft.com/office/drawing/2014/chart" uri="{C3380CC4-5D6E-409C-BE32-E72D297353CC}">
              <c16:uniqueId val="{00000000-A904-4D8E-8018-4B1022A665EB}"/>
            </c:ext>
          </c:extLst>
        </c:ser>
        <c:ser>
          <c:idx val="1"/>
          <c:order val="1"/>
          <c:tx>
            <c:strRef>
              <c:f>'počet K OPL cílené'!$A$3</c:f>
              <c:strCache>
                <c:ptCount val="1"/>
                <c:pt idx="0">
                  <c:v>Počet cílených kontrol</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A904-4D8E-8018-4B1022A665EB}"/>
                </c:ext>
              </c:extLst>
            </c:dLbl>
            <c:dLbl>
              <c:idx val="5"/>
              <c:delete val="1"/>
              <c:extLst>
                <c:ext xmlns:c15="http://schemas.microsoft.com/office/drawing/2012/chart" uri="{CE6537A1-D6FC-4f65-9D91-7224C49458BB}"/>
                <c:ext xmlns:c16="http://schemas.microsoft.com/office/drawing/2014/chart" uri="{C3380CC4-5D6E-409C-BE32-E72D297353CC}">
                  <c16:uniqueId val="{00000002-A904-4D8E-8018-4B1022A665EB}"/>
                </c:ext>
              </c:extLst>
            </c:dLbl>
            <c:dLbl>
              <c:idx val="6"/>
              <c:delete val="1"/>
              <c:extLst>
                <c:ext xmlns:c15="http://schemas.microsoft.com/office/drawing/2012/chart" uri="{CE6537A1-D6FC-4f65-9D91-7224C49458BB}"/>
                <c:ext xmlns:c16="http://schemas.microsoft.com/office/drawing/2014/chart" uri="{C3380CC4-5D6E-409C-BE32-E72D297353CC}">
                  <c16:uniqueId val="{00000003-A904-4D8E-8018-4B1022A665EB}"/>
                </c:ext>
              </c:extLst>
            </c:dLbl>
            <c:dLbl>
              <c:idx val="7"/>
              <c:delete val="1"/>
              <c:extLst>
                <c:ext xmlns:c15="http://schemas.microsoft.com/office/drawing/2012/chart" uri="{CE6537A1-D6FC-4f65-9D91-7224C49458BB}"/>
                <c:ext xmlns:c16="http://schemas.microsoft.com/office/drawing/2014/chart" uri="{C3380CC4-5D6E-409C-BE32-E72D297353CC}">
                  <c16:uniqueId val="{00000004-A904-4D8E-8018-4B1022A665EB}"/>
                </c:ext>
              </c:extLst>
            </c:dLbl>
            <c:dLbl>
              <c:idx val="8"/>
              <c:delete val="1"/>
              <c:extLst>
                <c:ext xmlns:c15="http://schemas.microsoft.com/office/drawing/2012/chart" uri="{CE6537A1-D6FC-4f65-9D91-7224C49458BB}"/>
                <c:ext xmlns:c16="http://schemas.microsoft.com/office/drawing/2014/chart" uri="{C3380CC4-5D6E-409C-BE32-E72D297353CC}">
                  <c16:uniqueId val="{00000005-A904-4D8E-8018-4B1022A665EB}"/>
                </c:ext>
              </c:extLst>
            </c:dLbl>
            <c:dLbl>
              <c:idx val="9"/>
              <c:delete val="1"/>
              <c:extLst>
                <c:ext xmlns:c15="http://schemas.microsoft.com/office/drawing/2012/chart" uri="{CE6537A1-D6FC-4f65-9D91-7224C49458BB}"/>
                <c:ext xmlns:c16="http://schemas.microsoft.com/office/drawing/2014/chart" uri="{C3380CC4-5D6E-409C-BE32-E72D297353CC}">
                  <c16:uniqueId val="{00000006-A904-4D8E-8018-4B1022A665EB}"/>
                </c:ext>
              </c:extLst>
            </c:dLbl>
            <c:dLbl>
              <c:idx val="10"/>
              <c:delete val="1"/>
              <c:extLst>
                <c:ext xmlns:c15="http://schemas.microsoft.com/office/drawing/2012/chart" uri="{CE6537A1-D6FC-4f65-9D91-7224C49458BB}"/>
                <c:ext xmlns:c16="http://schemas.microsoft.com/office/drawing/2014/chart" uri="{C3380CC4-5D6E-409C-BE32-E72D297353CC}">
                  <c16:uniqueId val="{00000007-A904-4D8E-8018-4B1022A665EB}"/>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OPL cílené'!$B$1:$L$1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OPL cílené'!$B$3:$L$3</c:f>
              <c:numCache>
                <c:formatCode>General</c:formatCode>
                <c:ptCount val="11"/>
                <c:pt idx="0">
                  <c:v>8</c:v>
                </c:pt>
                <c:pt idx="1">
                  <c:v>25</c:v>
                </c:pt>
                <c:pt idx="2">
                  <c:v>25</c:v>
                </c:pt>
                <c:pt idx="3">
                  <c:v>11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A904-4D8E-8018-4B1022A665EB}"/>
            </c:ext>
          </c:extLst>
        </c:ser>
        <c:dLbls>
          <c:showLegendKey val="0"/>
          <c:showVal val="0"/>
          <c:showCatName val="0"/>
          <c:showSerName val="0"/>
          <c:showPercent val="0"/>
          <c:showBubbleSize val="0"/>
        </c:dLbls>
        <c:gapWidth val="219"/>
        <c:overlap val="-27"/>
        <c:axId val="315237343"/>
        <c:axId val="315238175"/>
      </c:barChart>
      <c:catAx>
        <c:axId val="3152373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238175"/>
        <c:crosses val="autoZero"/>
        <c:auto val="1"/>
        <c:lblAlgn val="ctr"/>
        <c:lblOffset val="100"/>
        <c:noMultiLvlLbl val="0"/>
      </c:catAx>
      <c:valAx>
        <c:axId val="31523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23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Typy</a:t>
            </a:r>
            <a:r>
              <a:rPr lang="cs-CZ" baseline="0"/>
              <a:t> zjištěných závad u návykové látky</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OPL'!$A$2</c:f>
              <c:strCache>
                <c:ptCount val="1"/>
                <c:pt idx="0">
                  <c:v>Počet kontrol - návykové látky</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OPL'!$B$2:$L$2</c:f>
              <c:numCache>
                <c:formatCode>General</c:formatCode>
                <c:ptCount val="11"/>
                <c:pt idx="0">
                  <c:v>308</c:v>
                </c:pt>
                <c:pt idx="1">
                  <c:v>330</c:v>
                </c:pt>
                <c:pt idx="2">
                  <c:v>402</c:v>
                </c:pt>
                <c:pt idx="3">
                  <c:v>425</c:v>
                </c:pt>
                <c:pt idx="4">
                  <c:v>468</c:v>
                </c:pt>
                <c:pt idx="5">
                  <c:v>452</c:v>
                </c:pt>
                <c:pt idx="6">
                  <c:v>461</c:v>
                </c:pt>
                <c:pt idx="7">
                  <c:v>430</c:v>
                </c:pt>
                <c:pt idx="8">
                  <c:v>344</c:v>
                </c:pt>
                <c:pt idx="9">
                  <c:v>423</c:v>
                </c:pt>
                <c:pt idx="10">
                  <c:v>388</c:v>
                </c:pt>
              </c:numCache>
            </c:numRef>
          </c:val>
          <c:extLst>
            <c:ext xmlns:c16="http://schemas.microsoft.com/office/drawing/2014/chart" uri="{C3380CC4-5D6E-409C-BE32-E72D297353CC}">
              <c16:uniqueId val="{00000000-2B61-43BE-A41A-F4B7261DEA13}"/>
            </c:ext>
          </c:extLst>
        </c:ser>
        <c:ser>
          <c:idx val="1"/>
          <c:order val="1"/>
          <c:tx>
            <c:strRef>
              <c:f>'Pochybení OPL'!$A$3</c:f>
              <c:strCache>
                <c:ptCount val="1"/>
                <c:pt idx="0">
                  <c:v>Drobné závad nebo bez závad</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OPL'!$B$3:$L$3</c:f>
              <c:numCache>
                <c:formatCode>General</c:formatCode>
                <c:ptCount val="11"/>
                <c:pt idx="0">
                  <c:v>226</c:v>
                </c:pt>
                <c:pt idx="1">
                  <c:v>244</c:v>
                </c:pt>
                <c:pt idx="2">
                  <c:v>279</c:v>
                </c:pt>
                <c:pt idx="3">
                  <c:v>257</c:v>
                </c:pt>
                <c:pt idx="4">
                  <c:v>290</c:v>
                </c:pt>
                <c:pt idx="5">
                  <c:v>299</c:v>
                </c:pt>
                <c:pt idx="6">
                  <c:v>309</c:v>
                </c:pt>
                <c:pt idx="7">
                  <c:v>319</c:v>
                </c:pt>
                <c:pt idx="8">
                  <c:v>289</c:v>
                </c:pt>
                <c:pt idx="9">
                  <c:v>330</c:v>
                </c:pt>
                <c:pt idx="10">
                  <c:v>314</c:v>
                </c:pt>
              </c:numCache>
            </c:numRef>
          </c:val>
          <c:extLst>
            <c:ext xmlns:c16="http://schemas.microsoft.com/office/drawing/2014/chart" uri="{C3380CC4-5D6E-409C-BE32-E72D297353CC}">
              <c16:uniqueId val="{00000001-2B61-43BE-A41A-F4B7261DEA13}"/>
            </c:ext>
          </c:extLst>
        </c:ser>
        <c:ser>
          <c:idx val="2"/>
          <c:order val="2"/>
          <c:tx>
            <c:strRef>
              <c:f>'Pochybení OPL'!$A$4</c:f>
              <c:strCache>
                <c:ptCount val="1"/>
                <c:pt idx="0">
                  <c:v>Významné nebo opakované závady</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OPL'!$B$4:$L$4</c:f>
              <c:numCache>
                <c:formatCode>General</c:formatCode>
                <c:ptCount val="11"/>
                <c:pt idx="0">
                  <c:v>62</c:v>
                </c:pt>
                <c:pt idx="1">
                  <c:v>48</c:v>
                </c:pt>
                <c:pt idx="2">
                  <c:v>92</c:v>
                </c:pt>
                <c:pt idx="3">
                  <c:v>117</c:v>
                </c:pt>
                <c:pt idx="4">
                  <c:v>129</c:v>
                </c:pt>
                <c:pt idx="5">
                  <c:v>115</c:v>
                </c:pt>
                <c:pt idx="6">
                  <c:v>125</c:v>
                </c:pt>
                <c:pt idx="7">
                  <c:v>89</c:v>
                </c:pt>
                <c:pt idx="8">
                  <c:v>45</c:v>
                </c:pt>
                <c:pt idx="9">
                  <c:v>71</c:v>
                </c:pt>
                <c:pt idx="10">
                  <c:v>59</c:v>
                </c:pt>
              </c:numCache>
            </c:numRef>
          </c:val>
          <c:extLst>
            <c:ext xmlns:c16="http://schemas.microsoft.com/office/drawing/2014/chart" uri="{C3380CC4-5D6E-409C-BE32-E72D297353CC}">
              <c16:uniqueId val="{00000002-2B61-43BE-A41A-F4B7261DEA13}"/>
            </c:ext>
          </c:extLst>
        </c:ser>
        <c:ser>
          <c:idx val="3"/>
          <c:order val="3"/>
          <c:tx>
            <c:strRef>
              <c:f>'Pochybení OPL'!$A$5</c:f>
              <c:strCache>
                <c:ptCount val="1"/>
                <c:pt idx="0">
                  <c:v>Závažné nebo kritické závady</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OPL'!$B$5:$L$5</c:f>
              <c:numCache>
                <c:formatCode>General</c:formatCode>
                <c:ptCount val="11"/>
                <c:pt idx="0">
                  <c:v>20</c:v>
                </c:pt>
                <c:pt idx="1">
                  <c:v>38</c:v>
                </c:pt>
                <c:pt idx="2">
                  <c:v>31</c:v>
                </c:pt>
                <c:pt idx="3">
                  <c:v>51</c:v>
                </c:pt>
                <c:pt idx="4">
                  <c:v>49</c:v>
                </c:pt>
                <c:pt idx="5">
                  <c:v>38</c:v>
                </c:pt>
                <c:pt idx="6">
                  <c:v>27</c:v>
                </c:pt>
                <c:pt idx="7">
                  <c:v>22</c:v>
                </c:pt>
                <c:pt idx="8">
                  <c:v>10</c:v>
                </c:pt>
                <c:pt idx="9">
                  <c:v>22</c:v>
                </c:pt>
                <c:pt idx="10">
                  <c:v>15</c:v>
                </c:pt>
              </c:numCache>
            </c:numRef>
          </c:val>
          <c:extLst>
            <c:ext xmlns:c16="http://schemas.microsoft.com/office/drawing/2014/chart" uri="{C3380CC4-5D6E-409C-BE32-E72D297353CC}">
              <c16:uniqueId val="{00000003-2B61-43BE-A41A-F4B7261DEA13}"/>
            </c:ext>
          </c:extLst>
        </c:ser>
        <c:dLbls>
          <c:showLegendKey val="0"/>
          <c:showVal val="0"/>
          <c:showCatName val="0"/>
          <c:showSerName val="0"/>
          <c:showPercent val="0"/>
          <c:showBubbleSize val="0"/>
        </c:dLbls>
        <c:gapWidth val="219"/>
        <c:overlap val="-27"/>
        <c:axId val="360705055"/>
        <c:axId val="360705471"/>
      </c:barChart>
      <c:catAx>
        <c:axId val="360705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0705471"/>
        <c:crosses val="autoZero"/>
        <c:auto val="1"/>
        <c:lblAlgn val="ctr"/>
        <c:lblOffset val="100"/>
        <c:noMultiLvlLbl val="0"/>
      </c:catAx>
      <c:valAx>
        <c:axId val="36070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0705055"/>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Postihy z kontrol u návykové látky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'Pochybení OPL'!$A$9</c:f>
              <c:strCache>
                <c:ptCount val="1"/>
                <c:pt idx="0">
                  <c:v>Příkazní řízení</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OPL'!$B$9:$L$9</c:f>
              <c:numCache>
                <c:formatCode>General</c:formatCode>
                <c:ptCount val="11"/>
                <c:pt idx="0">
                  <c:v>15</c:v>
                </c:pt>
                <c:pt idx="1">
                  <c:v>29</c:v>
                </c:pt>
                <c:pt idx="2">
                  <c:v>32</c:v>
                </c:pt>
                <c:pt idx="3">
                  <c:v>46</c:v>
                </c:pt>
                <c:pt idx="4">
                  <c:v>28</c:v>
                </c:pt>
                <c:pt idx="5">
                  <c:v>42</c:v>
                </c:pt>
                <c:pt idx="6">
                  <c:v>30</c:v>
                </c:pt>
                <c:pt idx="7">
                  <c:v>17</c:v>
                </c:pt>
                <c:pt idx="8">
                  <c:v>23</c:v>
                </c:pt>
                <c:pt idx="9">
                  <c:v>18</c:v>
                </c:pt>
                <c:pt idx="10">
                  <c:v>15</c:v>
                </c:pt>
              </c:numCache>
            </c:numRef>
          </c:val>
          <c:extLst>
            <c:ext xmlns:c16="http://schemas.microsoft.com/office/drawing/2014/chart" uri="{C3380CC4-5D6E-409C-BE32-E72D297353CC}">
              <c16:uniqueId val="{00000000-6CA7-4A4C-A52F-F57BD5028944}"/>
            </c:ext>
          </c:extLst>
        </c:ser>
        <c:ser>
          <c:idx val="1"/>
          <c:order val="1"/>
          <c:tx>
            <c:strRef>
              <c:f>'Pochybení OPL'!$A$10</c:f>
              <c:strCache>
                <c:ptCount val="1"/>
                <c:pt idx="0">
                  <c:v>Správní řízení</c:v>
                </c:pt>
              </c:strCache>
            </c:strRef>
          </c:tx>
          <c:spPr>
            <a:solidFill>
              <a:schemeClr val="accent2"/>
            </a:solidFill>
            <a:ln>
              <a:noFill/>
            </a:ln>
            <a:effectLst/>
          </c:spPr>
          <c:invertIfNegative val="0"/>
          <c:cat>
            <c:numRef>
              <c:f>'Pochybení OPL'!$B$8:$L$8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OPL'!$B$10:$L$10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6CA7-4A4C-A52F-F57BD5028944}"/>
            </c:ext>
          </c:extLst>
        </c:ser>
        <c:ser>
          <c:idx val="2"/>
          <c:order val="2"/>
          <c:tx>
            <c:strRef>
              <c:f>'Pochybení OPL'!$A$11</c:f>
              <c:strCache>
                <c:ptCount val="1"/>
                <c:pt idx="0">
                  <c:v>Pozastavení přípravy léčivých přípravků</c:v>
                </c:pt>
              </c:strCache>
            </c:strRef>
          </c:tx>
          <c:spPr>
            <a:solidFill>
              <a:schemeClr val="accent3"/>
            </a:solidFill>
            <a:ln>
              <a:noFill/>
            </a:ln>
            <a:effectLst/>
          </c:spPr>
          <c:invertIfNegative val="0"/>
          <c:cat>
            <c:numRef>
              <c:f>'Pochybení OPL'!$B$8:$L$8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OPL'!$B$11:$L$11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6CA7-4A4C-A52F-F57BD5028944}"/>
            </c:ext>
          </c:extLst>
        </c:ser>
        <c:ser>
          <c:idx val="3"/>
          <c:order val="3"/>
          <c:tx>
            <c:strRef>
              <c:f>'Pochybení OPL'!$A$12</c:f>
              <c:strCache>
                <c:ptCount val="1"/>
                <c:pt idx="0">
                  <c:v>Pozastavení provozovny</c:v>
                </c:pt>
              </c:strCache>
            </c:strRef>
          </c:tx>
          <c:spPr>
            <a:solidFill>
              <a:schemeClr val="accent4"/>
            </a:solidFill>
            <a:ln>
              <a:noFill/>
            </a:ln>
            <a:effectLst/>
          </c:spPr>
          <c:invertIfNegative val="0"/>
          <c:cat>
            <c:numRef>
              <c:f>'Pochybení OPL'!$B$8:$L$8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OPL'!$B$12:$L$12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6CA7-4A4C-A52F-F57BD5028944}"/>
            </c:ext>
          </c:extLst>
        </c:ser>
        <c:ser>
          <c:idx val="4"/>
          <c:order val="4"/>
          <c:tx>
            <c:strRef>
              <c:f>'Pochybení OPL'!$A$13</c:f>
              <c:strCache>
                <c:ptCount val="1"/>
                <c:pt idx="0">
                  <c:v>Napomenutí</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CA7-4A4C-A52F-F57BD5028944}"/>
                </c:ext>
              </c:extLst>
            </c:dLbl>
            <c:dLbl>
              <c:idx val="1"/>
              <c:delete val="1"/>
              <c:extLst>
                <c:ext xmlns:c15="http://schemas.microsoft.com/office/drawing/2012/chart" uri="{CE6537A1-D6FC-4f65-9D91-7224C49458BB}"/>
                <c:ext xmlns:c16="http://schemas.microsoft.com/office/drawing/2014/chart" uri="{C3380CC4-5D6E-409C-BE32-E72D297353CC}">
                  <c16:uniqueId val="{00000005-6CA7-4A4C-A52F-F57BD5028944}"/>
                </c:ext>
              </c:extLst>
            </c:dLbl>
            <c:dLbl>
              <c:idx val="2"/>
              <c:delete val="1"/>
              <c:extLst>
                <c:ext xmlns:c15="http://schemas.microsoft.com/office/drawing/2012/chart" uri="{CE6537A1-D6FC-4f65-9D91-7224C49458BB}"/>
                <c:ext xmlns:c16="http://schemas.microsoft.com/office/drawing/2014/chart" uri="{C3380CC4-5D6E-409C-BE32-E72D297353CC}">
                  <c16:uniqueId val="{00000006-6CA7-4A4C-A52F-F57BD5028944}"/>
                </c:ext>
              </c:extLst>
            </c:dLbl>
            <c:dLbl>
              <c:idx val="3"/>
              <c:delete val="1"/>
              <c:extLst>
                <c:ext xmlns:c15="http://schemas.microsoft.com/office/drawing/2012/chart" uri="{CE6537A1-D6FC-4f65-9D91-7224C49458BB}"/>
                <c:ext xmlns:c16="http://schemas.microsoft.com/office/drawing/2014/chart" uri="{C3380CC4-5D6E-409C-BE32-E72D297353CC}">
                  <c16:uniqueId val="{00000007-6CA7-4A4C-A52F-F57BD5028944}"/>
                </c:ext>
              </c:extLst>
            </c:dLbl>
            <c:dLbl>
              <c:idx val="4"/>
              <c:delete val="1"/>
              <c:extLst>
                <c:ext xmlns:c15="http://schemas.microsoft.com/office/drawing/2012/chart" uri="{CE6537A1-D6FC-4f65-9D91-7224C49458BB}"/>
                <c:ext xmlns:c16="http://schemas.microsoft.com/office/drawing/2014/chart" uri="{C3380CC4-5D6E-409C-BE32-E72D297353CC}">
                  <c16:uniqueId val="{00000008-6CA7-4A4C-A52F-F57BD5028944}"/>
                </c:ext>
              </c:extLst>
            </c:dLbl>
            <c:dLbl>
              <c:idx val="5"/>
              <c:delete val="1"/>
              <c:extLst>
                <c:ext xmlns:c15="http://schemas.microsoft.com/office/drawing/2012/chart" uri="{CE6537A1-D6FC-4f65-9D91-7224C49458BB}"/>
                <c:ext xmlns:c16="http://schemas.microsoft.com/office/drawing/2014/chart" uri="{C3380CC4-5D6E-409C-BE32-E72D297353CC}">
                  <c16:uniqueId val="{00000009-6CA7-4A4C-A52F-F57BD5028944}"/>
                </c:ext>
              </c:extLst>
            </c:dLbl>
            <c:dLbl>
              <c:idx val="6"/>
              <c:delete val="1"/>
              <c:extLst>
                <c:ext xmlns:c15="http://schemas.microsoft.com/office/drawing/2012/chart" uri="{CE6537A1-D6FC-4f65-9D91-7224C49458BB}"/>
                <c:ext xmlns:c16="http://schemas.microsoft.com/office/drawing/2014/chart" uri="{C3380CC4-5D6E-409C-BE32-E72D297353CC}">
                  <c16:uniqueId val="{0000000A-6CA7-4A4C-A52F-F57BD5028944}"/>
                </c:ext>
              </c:extLst>
            </c:dLbl>
            <c:dLbl>
              <c:idx val="7"/>
              <c:delete val="1"/>
              <c:extLst>
                <c:ext xmlns:c15="http://schemas.microsoft.com/office/drawing/2012/chart" uri="{CE6537A1-D6FC-4f65-9D91-7224C49458BB}"/>
                <c:ext xmlns:c16="http://schemas.microsoft.com/office/drawing/2014/chart" uri="{C3380CC4-5D6E-409C-BE32-E72D297353CC}">
                  <c16:uniqueId val="{0000000B-6CA7-4A4C-A52F-F57BD5028944}"/>
                </c:ext>
              </c:extLst>
            </c:dLbl>
            <c:dLbl>
              <c:idx val="8"/>
              <c:delete val="1"/>
              <c:extLst>
                <c:ext xmlns:c15="http://schemas.microsoft.com/office/drawing/2012/chart" uri="{CE6537A1-D6FC-4f65-9D91-7224C49458BB}"/>
                <c:ext xmlns:c16="http://schemas.microsoft.com/office/drawing/2014/chart" uri="{C3380CC4-5D6E-409C-BE32-E72D297353CC}">
                  <c16:uniqueId val="{0000000C-6CA7-4A4C-A52F-F57BD5028944}"/>
                </c:ext>
              </c:extLst>
            </c:dLbl>
            <c:dLbl>
              <c:idx val="10"/>
              <c:delete val="1"/>
              <c:extLst>
                <c:ext xmlns:c15="http://schemas.microsoft.com/office/drawing/2012/chart" uri="{CE6537A1-D6FC-4f65-9D91-7224C49458BB}"/>
                <c:ext xmlns:c16="http://schemas.microsoft.com/office/drawing/2014/chart" uri="{C3380CC4-5D6E-409C-BE32-E72D297353CC}">
                  <c16:uniqueId val="{0000000D-6CA7-4A4C-A52F-F57BD5028944}"/>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'Pochybení OPL'!$B$8:$L$8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'Pochybení OPL'!$B$13:$L$13</c:f>
              <c:numCache>
                <c:formatCode>General</c:formatCode>
                <c:ptCount val="11"/>
                <c:pt idx="0">
                  <c:v>0</c:v>
                </c:pt>
                <c:pt idx="1">
                  <c:v>0</c:v>
                </c:pt>
                <c:pt idx="2">
                  <c:v>0</c:v>
                </c:pt>
                <c:pt idx="3">
                  <c:v>0</c:v>
                </c:pt>
                <c:pt idx="4">
                  <c:v>0</c:v>
                </c:pt>
                <c:pt idx="5">
                  <c:v>0</c:v>
                </c:pt>
                <c:pt idx="6">
                  <c:v>0</c:v>
                </c:pt>
                <c:pt idx="7">
                  <c:v>0</c:v>
                </c:pt>
                <c:pt idx="8">
                  <c:v>0</c:v>
                </c:pt>
                <c:pt idx="9">
                  <c:v>1</c:v>
                </c:pt>
                <c:pt idx="10">
                  <c:v>0</c:v>
                </c:pt>
              </c:numCache>
            </c:numRef>
          </c:val>
          <c:extLst>
            <c:ext xmlns:c16="http://schemas.microsoft.com/office/drawing/2014/chart" uri="{C3380CC4-5D6E-409C-BE32-E72D297353CC}">
              <c16:uniqueId val="{0000000E-6CA7-4A4C-A52F-F57BD5028944}"/>
            </c:ext>
          </c:extLst>
        </c:ser>
        <c:dLbls>
          <c:showLegendKey val="0"/>
          <c:showVal val="0"/>
          <c:showCatName val="0"/>
          <c:showSerName val="0"/>
          <c:showPercent val="0"/>
          <c:showBubbleSize val="0"/>
        </c:dLbls>
        <c:gapWidth val="219"/>
        <c:overlap val="-27"/>
        <c:axId val="319291967"/>
        <c:axId val="319292383"/>
      </c:barChart>
      <c:catAx>
        <c:axId val="319291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292383"/>
        <c:crosses val="autoZero"/>
        <c:auto val="1"/>
        <c:lblAlgn val="ctr"/>
        <c:lblOffset val="100"/>
        <c:noMultiLvlLbl val="0"/>
      </c:catAx>
      <c:valAx>
        <c:axId val="31929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291967"/>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Počet cílených kontrol - Ceny</a:t>
            </a:r>
          </a:p>
        </c:rich>
      </c:tx>
      <c:layout>
        <c:manualLayout>
          <c:xMode val="edge"/>
          <c:yMode val="edge"/>
          <c:x val="0.28413509915845048"/>
          <c:y val="2.77777138938245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'počet K ceny'!$A$2</c:f>
              <c:strCache>
                <c:ptCount val="1"/>
                <c:pt idx="0">
                  <c:v>Počet kontrol - Ceny</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ceny'!$B$1:$L$1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ceny'!$B$2:$L$2</c:f>
              <c:numCache>
                <c:formatCode>General</c:formatCode>
                <c:ptCount val="11"/>
                <c:pt idx="0">
                  <c:v>101</c:v>
                </c:pt>
                <c:pt idx="1">
                  <c:v>89</c:v>
                </c:pt>
                <c:pt idx="2">
                  <c:v>84</c:v>
                </c:pt>
                <c:pt idx="3">
                  <c:v>99</c:v>
                </c:pt>
                <c:pt idx="4">
                  <c:v>99</c:v>
                </c:pt>
                <c:pt idx="5">
                  <c:v>110</c:v>
                </c:pt>
                <c:pt idx="6">
                  <c:v>110</c:v>
                </c:pt>
                <c:pt idx="7">
                  <c:v>110</c:v>
                </c:pt>
                <c:pt idx="8">
                  <c:v>98</c:v>
                </c:pt>
                <c:pt idx="9">
                  <c:v>100</c:v>
                </c:pt>
                <c:pt idx="10">
                  <c:v>100</c:v>
                </c:pt>
              </c:numCache>
            </c:numRef>
          </c:val>
          <c:extLst>
            <c:ext xmlns:c16="http://schemas.microsoft.com/office/drawing/2014/chart" uri="{C3380CC4-5D6E-409C-BE32-E72D297353CC}">
              <c16:uniqueId val="{00000000-53A9-409F-B86A-41EB1CA31B04}"/>
            </c:ext>
          </c:extLst>
        </c:ser>
        <c:ser>
          <c:idx val="1"/>
          <c:order val="1"/>
          <c:tx>
            <c:strRef>
              <c:f>'počet K ceny'!$A$3</c:f>
              <c:strCache>
                <c:ptCount val="1"/>
                <c:pt idx="0">
                  <c:v>Počet cílených kontrol</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3A9-409F-B86A-41EB1CA31B04}"/>
                </c:ext>
              </c:extLst>
            </c:dLbl>
            <c:dLbl>
              <c:idx val="1"/>
              <c:delete val="1"/>
              <c:extLst>
                <c:ext xmlns:c15="http://schemas.microsoft.com/office/drawing/2012/chart" uri="{CE6537A1-D6FC-4f65-9D91-7224C49458BB}"/>
                <c:ext xmlns:c16="http://schemas.microsoft.com/office/drawing/2014/chart" uri="{C3380CC4-5D6E-409C-BE32-E72D297353CC}">
                  <c16:uniqueId val="{00000002-53A9-409F-B86A-41EB1CA31B04}"/>
                </c:ext>
              </c:extLst>
            </c:dLbl>
            <c:dLbl>
              <c:idx val="6"/>
              <c:delete val="1"/>
              <c:extLst>
                <c:ext xmlns:c15="http://schemas.microsoft.com/office/drawing/2012/chart" uri="{CE6537A1-D6FC-4f65-9D91-7224C49458BB}"/>
                <c:ext xmlns:c16="http://schemas.microsoft.com/office/drawing/2014/chart" uri="{C3380CC4-5D6E-409C-BE32-E72D297353CC}">
                  <c16:uniqueId val="{00000003-53A9-409F-B86A-41EB1CA31B04}"/>
                </c:ext>
              </c:extLst>
            </c:dLbl>
            <c:dLbl>
              <c:idx val="7"/>
              <c:delete val="1"/>
              <c:extLst>
                <c:ext xmlns:c15="http://schemas.microsoft.com/office/drawing/2012/chart" uri="{CE6537A1-D6FC-4f65-9D91-7224C49458BB}"/>
                <c:ext xmlns:c16="http://schemas.microsoft.com/office/drawing/2014/chart" uri="{C3380CC4-5D6E-409C-BE32-E72D297353CC}">
                  <c16:uniqueId val="{00000004-53A9-409F-B86A-41EB1CA31B04}"/>
                </c:ext>
              </c:extLst>
            </c:dLbl>
            <c:dLbl>
              <c:idx val="8"/>
              <c:delete val="1"/>
              <c:extLst>
                <c:ext xmlns:c15="http://schemas.microsoft.com/office/drawing/2012/chart" uri="{CE6537A1-D6FC-4f65-9D91-7224C49458BB}"/>
                <c:ext xmlns:c16="http://schemas.microsoft.com/office/drawing/2014/chart" uri="{C3380CC4-5D6E-409C-BE32-E72D297353CC}">
                  <c16:uniqueId val="{00000005-53A9-409F-B86A-41EB1CA31B04}"/>
                </c:ext>
              </c:extLst>
            </c:dLbl>
            <c:dLbl>
              <c:idx val="9"/>
              <c:delete val="1"/>
              <c:extLst>
                <c:ext xmlns:c15="http://schemas.microsoft.com/office/drawing/2012/chart" uri="{CE6537A1-D6FC-4f65-9D91-7224C49458BB}"/>
                <c:ext xmlns:c16="http://schemas.microsoft.com/office/drawing/2014/chart" uri="{C3380CC4-5D6E-409C-BE32-E72D297353CC}">
                  <c16:uniqueId val="{00000006-53A9-409F-B86A-41EB1CA31B04}"/>
                </c:ext>
              </c:extLst>
            </c:dLbl>
            <c:dLbl>
              <c:idx val="10"/>
              <c:delete val="1"/>
              <c:extLst>
                <c:ext xmlns:c15="http://schemas.microsoft.com/office/drawing/2012/chart" uri="{CE6537A1-D6FC-4f65-9D91-7224C49458BB}"/>
                <c:ext xmlns:c16="http://schemas.microsoft.com/office/drawing/2014/chart" uri="{C3380CC4-5D6E-409C-BE32-E72D297353CC}">
                  <c16:uniqueId val="{00000007-53A9-409F-B86A-41EB1CA31B04}"/>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 K ceny'!$B$1:$L$1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'počet K ceny'!$B$3:$L$3</c:f>
              <c:numCache>
                <c:formatCode>General</c:formatCode>
                <c:ptCount val="11"/>
                <c:pt idx="0">
                  <c:v>0</c:v>
                </c:pt>
                <c:pt idx="1">
                  <c:v>0</c:v>
                </c:pt>
                <c:pt idx="2">
                  <c:v>3</c:v>
                </c:pt>
                <c:pt idx="3">
                  <c:v>11</c:v>
                </c:pt>
                <c:pt idx="4">
                  <c:v>12</c:v>
                </c:pt>
                <c:pt idx="5">
                  <c:v>12</c:v>
                </c:pt>
                <c:pt idx="6">
                  <c:v>0</c:v>
                </c:pt>
                <c:pt idx="7">
                  <c:v>0</c:v>
                </c:pt>
                <c:pt idx="8">
                  <c:v>0</c:v>
                </c:pt>
                <c:pt idx="9">
                  <c:v>0</c:v>
                </c:pt>
                <c:pt idx="10">
                  <c:v>0</c:v>
                </c:pt>
              </c:numCache>
            </c:numRef>
          </c:val>
          <c:extLst>
            <c:ext xmlns:c16="http://schemas.microsoft.com/office/drawing/2014/chart" uri="{C3380CC4-5D6E-409C-BE32-E72D297353CC}">
              <c16:uniqueId val="{00000008-53A9-409F-B86A-41EB1CA31B04}"/>
            </c:ext>
          </c:extLst>
        </c:ser>
        <c:dLbls>
          <c:showLegendKey val="0"/>
          <c:showVal val="0"/>
          <c:showCatName val="0"/>
          <c:showSerName val="0"/>
          <c:showPercent val="0"/>
          <c:showBubbleSize val="0"/>
        </c:dLbls>
        <c:gapWidth val="219"/>
        <c:overlap val="-27"/>
        <c:axId val="181807167"/>
        <c:axId val="181812159"/>
      </c:barChart>
      <c:catAx>
        <c:axId val="18180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12159"/>
        <c:crosses val="autoZero"/>
        <c:auto val="1"/>
        <c:lblAlgn val="ctr"/>
        <c:lblOffset val="100"/>
        <c:noMultiLvlLbl val="0"/>
      </c:catAx>
      <c:valAx>
        <c:axId val="181812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80716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20281</Words>
  <Characters>119663</Characters>
  <Application>Microsoft Office Word</Application>
  <DocSecurity>0</DocSecurity>
  <Lines>997</Lines>
  <Paragraphs>279</Paragraphs>
  <ScaleCrop>false</ScaleCrop>
  <HeadingPairs>
    <vt:vector size="2" baseType="variant">
      <vt:variant>
        <vt:lpstr>Název</vt:lpstr>
      </vt:variant>
      <vt:variant>
        <vt:i4>1</vt:i4>
      </vt:variant>
    </vt:vector>
  </HeadingPairs>
  <TitlesOfParts>
    <vt:vector size="1" baseType="lpstr">
      <vt:lpstr/>
    </vt:vector>
  </TitlesOfParts>
  <Company>Policie ČR</Company>
  <LinksUpToDate>false</LinksUpToDate>
  <CharactersWithSpaces>139665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LITOBORSKÝ Petr</dc:creator>
  <cp:keywords/>
  <dc:description/>
  <cp:lastModifiedBy>LITOBORSKÝ Petr</cp:lastModifiedBy>
  <cp:revision>30</cp:revision>
  <cp:lastPrinted>2024-05-09T12:39:00Z</cp:lastPrinted>
  <dcterms:created xsi:type="dcterms:W3CDTF">2024-05-07T14:09:00Z</dcterms:created>
  <dcterms:modified xsi:type="dcterms:W3CDTF">2024-05-09T12:39:00Z</dcterms:modified>
</cp:coreProperties>
</file>