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36" w:rsidRPr="00494962" w:rsidRDefault="00794B36" w:rsidP="00794B36">
      <w:pPr>
        <w:pStyle w:val="Zkladntext3"/>
        <w:spacing w:after="0"/>
        <w:jc w:val="center"/>
        <w:rPr>
          <w:b/>
          <w:sz w:val="28"/>
          <w:szCs w:val="28"/>
          <w:lang w:val="cs-CZ"/>
        </w:rPr>
      </w:pPr>
      <w:bookmarkStart w:id="0" w:name="_GoBack"/>
      <w:bookmarkEnd w:id="0"/>
      <w:r w:rsidRPr="00494962">
        <w:rPr>
          <w:b/>
          <w:sz w:val="28"/>
          <w:szCs w:val="28"/>
          <w:lang w:val="cs-CZ"/>
        </w:rPr>
        <w:t>Univerzita Palackého v Olomouci</w:t>
      </w:r>
    </w:p>
    <w:p w:rsidR="00794B36" w:rsidRPr="00494962" w:rsidRDefault="00794B36" w:rsidP="00794B36">
      <w:pPr>
        <w:pStyle w:val="Zkladntext3"/>
        <w:spacing w:after="0"/>
        <w:jc w:val="center"/>
        <w:rPr>
          <w:b/>
          <w:sz w:val="28"/>
          <w:szCs w:val="28"/>
          <w:lang w:val="cs-CZ"/>
        </w:rPr>
      </w:pPr>
      <w:r w:rsidRPr="00494962">
        <w:rPr>
          <w:b/>
          <w:sz w:val="28"/>
          <w:szCs w:val="28"/>
          <w:lang w:val="cs-CZ"/>
        </w:rPr>
        <w:t>Právnická fakulta</w:t>
      </w: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A56C0" w:rsidRPr="00494962" w:rsidRDefault="007A56C0" w:rsidP="00794B36">
      <w:pPr>
        <w:pStyle w:val="Zkladntext3"/>
        <w:jc w:val="center"/>
        <w:rPr>
          <w:b/>
          <w:lang w:val="cs-CZ"/>
        </w:rPr>
      </w:pPr>
    </w:p>
    <w:p w:rsidR="007A56C0" w:rsidRPr="00494962" w:rsidRDefault="007A56C0" w:rsidP="00794B36">
      <w:pPr>
        <w:pStyle w:val="Zkladntext3"/>
        <w:jc w:val="center"/>
        <w:rPr>
          <w:b/>
          <w:lang w:val="cs-CZ"/>
        </w:rPr>
      </w:pPr>
    </w:p>
    <w:p w:rsidR="007A56C0" w:rsidRPr="00494962" w:rsidRDefault="007A56C0"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sz w:val="32"/>
          <w:szCs w:val="32"/>
          <w:lang w:val="cs-CZ"/>
        </w:rPr>
      </w:pPr>
      <w:r w:rsidRPr="00494962">
        <w:rPr>
          <w:b/>
          <w:sz w:val="32"/>
          <w:szCs w:val="32"/>
          <w:lang w:val="cs-CZ"/>
        </w:rPr>
        <w:t xml:space="preserve">Tatiana Heczková </w:t>
      </w:r>
    </w:p>
    <w:p w:rsidR="007A56C0" w:rsidRPr="00494962" w:rsidRDefault="007A56C0" w:rsidP="00794B36">
      <w:pPr>
        <w:pStyle w:val="Zkladntext3"/>
        <w:jc w:val="center"/>
        <w:rPr>
          <w:b/>
          <w:sz w:val="32"/>
          <w:szCs w:val="32"/>
          <w:lang w:val="cs-CZ"/>
        </w:rPr>
      </w:pPr>
    </w:p>
    <w:p w:rsidR="00794B36" w:rsidRPr="00494962" w:rsidRDefault="00794B36" w:rsidP="00794B36">
      <w:pPr>
        <w:pStyle w:val="Zkladntext3"/>
        <w:jc w:val="center"/>
        <w:rPr>
          <w:b/>
          <w:sz w:val="32"/>
          <w:szCs w:val="32"/>
          <w:lang w:val="cs-CZ"/>
        </w:rPr>
      </w:pPr>
      <w:r w:rsidRPr="00494962">
        <w:rPr>
          <w:b/>
          <w:sz w:val="32"/>
          <w:szCs w:val="32"/>
          <w:lang w:val="cs-CZ"/>
        </w:rPr>
        <w:t>Statutární orgán společnosti s ručením omezeným se zaměřením na přímý výkon funkce</w:t>
      </w:r>
    </w:p>
    <w:p w:rsidR="007A56C0" w:rsidRPr="00494962" w:rsidRDefault="007A56C0" w:rsidP="00794B36">
      <w:pPr>
        <w:pStyle w:val="Zkladntext3"/>
        <w:jc w:val="center"/>
        <w:rPr>
          <w:b/>
          <w:sz w:val="24"/>
          <w:lang w:val="cs-CZ"/>
        </w:rPr>
      </w:pPr>
    </w:p>
    <w:p w:rsidR="007A56C0" w:rsidRPr="00494962" w:rsidRDefault="007A56C0" w:rsidP="00794B36">
      <w:pPr>
        <w:pStyle w:val="Zkladntext3"/>
        <w:jc w:val="center"/>
        <w:rPr>
          <w:b/>
          <w:sz w:val="24"/>
          <w:lang w:val="cs-CZ"/>
        </w:rPr>
      </w:pPr>
    </w:p>
    <w:p w:rsidR="00794B36" w:rsidRPr="00494962" w:rsidRDefault="00794B36" w:rsidP="00794B36">
      <w:pPr>
        <w:pStyle w:val="Zkladntext3"/>
        <w:jc w:val="center"/>
        <w:rPr>
          <w:b/>
          <w:sz w:val="28"/>
          <w:szCs w:val="28"/>
          <w:lang w:val="cs-CZ"/>
        </w:rPr>
      </w:pPr>
      <w:r w:rsidRPr="00494962">
        <w:rPr>
          <w:b/>
          <w:sz w:val="28"/>
          <w:szCs w:val="28"/>
          <w:lang w:val="cs-CZ"/>
        </w:rPr>
        <w:t>Diplomová práce</w:t>
      </w: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lang w:val="cs-CZ"/>
        </w:rPr>
      </w:pPr>
    </w:p>
    <w:p w:rsidR="00794B36" w:rsidRPr="00494962" w:rsidRDefault="00794B36" w:rsidP="00794B36">
      <w:pPr>
        <w:pStyle w:val="Zkladntext3"/>
        <w:jc w:val="center"/>
        <w:rPr>
          <w:b/>
          <w:sz w:val="28"/>
          <w:szCs w:val="28"/>
          <w:lang w:val="cs-CZ"/>
        </w:rPr>
      </w:pPr>
    </w:p>
    <w:p w:rsidR="000A59E1" w:rsidRPr="00494962" w:rsidRDefault="000A59E1" w:rsidP="00794B36">
      <w:pPr>
        <w:pStyle w:val="Zkladntext3"/>
        <w:jc w:val="center"/>
        <w:rPr>
          <w:b/>
          <w:sz w:val="28"/>
          <w:szCs w:val="28"/>
          <w:lang w:val="cs-CZ"/>
        </w:rPr>
      </w:pPr>
    </w:p>
    <w:p w:rsidR="000A59E1" w:rsidRPr="00494962" w:rsidRDefault="000A59E1" w:rsidP="00794B36">
      <w:pPr>
        <w:pStyle w:val="Zkladntext3"/>
        <w:jc w:val="center"/>
        <w:rPr>
          <w:b/>
          <w:sz w:val="28"/>
          <w:szCs w:val="28"/>
          <w:lang w:val="cs-CZ"/>
        </w:rPr>
      </w:pPr>
    </w:p>
    <w:p w:rsidR="000A59E1" w:rsidRPr="00494962" w:rsidRDefault="000A59E1" w:rsidP="00794B36">
      <w:pPr>
        <w:pStyle w:val="Zkladntext3"/>
        <w:jc w:val="center"/>
        <w:rPr>
          <w:b/>
          <w:sz w:val="28"/>
          <w:szCs w:val="28"/>
          <w:lang w:val="cs-CZ"/>
        </w:rPr>
      </w:pPr>
    </w:p>
    <w:p w:rsidR="000A59E1" w:rsidRPr="00494962" w:rsidRDefault="00794B36" w:rsidP="007A56C0">
      <w:pPr>
        <w:pStyle w:val="Zkladntext3"/>
        <w:jc w:val="center"/>
        <w:rPr>
          <w:b/>
          <w:sz w:val="28"/>
          <w:szCs w:val="28"/>
          <w:lang w:val="cs-CZ"/>
        </w:rPr>
      </w:pPr>
      <w:r w:rsidRPr="00494962">
        <w:rPr>
          <w:b/>
          <w:sz w:val="28"/>
          <w:szCs w:val="28"/>
          <w:lang w:val="cs-CZ"/>
        </w:rPr>
        <w:t>Olomouc 20</w:t>
      </w:r>
      <w:r w:rsidR="007A56C0" w:rsidRPr="00494962">
        <w:rPr>
          <w:b/>
          <w:sz w:val="28"/>
          <w:szCs w:val="28"/>
          <w:lang w:val="cs-CZ"/>
        </w:rPr>
        <w:t>15</w:t>
      </w:r>
    </w:p>
    <w:p w:rsidR="007A56C0" w:rsidRPr="00494962" w:rsidRDefault="007A56C0" w:rsidP="002D5AE8">
      <w:pPr>
        <w:pStyle w:val="Zkladntext3"/>
        <w:jc w:val="right"/>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7A56C0" w:rsidRPr="00494962" w:rsidRDefault="007A56C0" w:rsidP="007A56C0">
      <w:pPr>
        <w:pStyle w:val="Zkladntext3"/>
        <w:jc w:val="center"/>
        <w:rPr>
          <w:b/>
          <w:sz w:val="28"/>
          <w:szCs w:val="28"/>
          <w:lang w:val="cs-CZ"/>
        </w:rPr>
      </w:pPr>
    </w:p>
    <w:p w:rsidR="000A59E1" w:rsidRPr="00494962" w:rsidRDefault="000A59E1" w:rsidP="00794B36">
      <w:pPr>
        <w:pStyle w:val="Zkladntext3"/>
        <w:rPr>
          <w:lang w:val="cs-CZ"/>
        </w:rPr>
      </w:pPr>
    </w:p>
    <w:p w:rsidR="000A59E1" w:rsidRPr="00494962" w:rsidRDefault="000A59E1" w:rsidP="00794B36">
      <w:pPr>
        <w:pStyle w:val="Zkladntext3"/>
        <w:rPr>
          <w:lang w:val="cs-CZ"/>
        </w:rPr>
      </w:pPr>
    </w:p>
    <w:p w:rsidR="000A59E1" w:rsidRPr="00494962" w:rsidRDefault="000A59E1" w:rsidP="00794B36">
      <w:pPr>
        <w:pStyle w:val="Zkladntext3"/>
        <w:rPr>
          <w:lang w:val="cs-CZ"/>
        </w:rPr>
      </w:pPr>
    </w:p>
    <w:p w:rsidR="000A59E1" w:rsidRPr="00494962" w:rsidRDefault="000A59E1" w:rsidP="00794B36">
      <w:pPr>
        <w:pStyle w:val="Zkladntext3"/>
        <w:rPr>
          <w:lang w:val="cs-CZ"/>
        </w:rPr>
      </w:pPr>
    </w:p>
    <w:p w:rsidR="000A59E1" w:rsidRPr="00494962" w:rsidRDefault="000A59E1" w:rsidP="00794B36">
      <w:pPr>
        <w:pStyle w:val="Zkladntext3"/>
        <w:rPr>
          <w:lang w:val="cs-CZ"/>
        </w:rPr>
      </w:pPr>
    </w:p>
    <w:p w:rsidR="007A56C0" w:rsidRPr="00494962" w:rsidRDefault="007A56C0" w:rsidP="00794B36">
      <w:pPr>
        <w:pStyle w:val="Zkladntext3"/>
        <w:rPr>
          <w:lang w:val="cs-CZ"/>
        </w:rPr>
      </w:pPr>
    </w:p>
    <w:p w:rsidR="007A56C0" w:rsidRPr="00494962" w:rsidRDefault="007A56C0" w:rsidP="00794B36">
      <w:pPr>
        <w:pStyle w:val="Zkladntext3"/>
        <w:rPr>
          <w:lang w:val="cs-CZ"/>
        </w:rPr>
      </w:pPr>
    </w:p>
    <w:p w:rsidR="007A56C0" w:rsidRPr="00494962" w:rsidRDefault="007A56C0" w:rsidP="00794B36">
      <w:pPr>
        <w:pStyle w:val="Zkladntext3"/>
        <w:rPr>
          <w:lang w:val="cs-CZ"/>
        </w:rPr>
      </w:pPr>
    </w:p>
    <w:p w:rsidR="007A56C0" w:rsidRPr="00494962" w:rsidRDefault="007A56C0" w:rsidP="00794B36">
      <w:pPr>
        <w:pStyle w:val="Zkladntext3"/>
        <w:rPr>
          <w:lang w:val="cs-CZ"/>
        </w:rPr>
      </w:pPr>
    </w:p>
    <w:p w:rsidR="007A56C0" w:rsidRPr="00494962" w:rsidRDefault="007A56C0" w:rsidP="00794B36">
      <w:pPr>
        <w:pStyle w:val="Zkladntext3"/>
        <w:rPr>
          <w:lang w:val="cs-CZ"/>
        </w:rPr>
      </w:pPr>
    </w:p>
    <w:p w:rsidR="007A56C0" w:rsidRPr="00494962" w:rsidRDefault="007A56C0" w:rsidP="00794B36">
      <w:pPr>
        <w:pStyle w:val="Zkladntext3"/>
        <w:rPr>
          <w:lang w:val="cs-CZ"/>
        </w:rPr>
      </w:pPr>
    </w:p>
    <w:p w:rsidR="007A56C0" w:rsidRPr="00494962" w:rsidRDefault="007A56C0" w:rsidP="00794B36">
      <w:pPr>
        <w:pStyle w:val="Zkladntext3"/>
        <w:rPr>
          <w:lang w:val="cs-CZ"/>
        </w:rPr>
      </w:pPr>
    </w:p>
    <w:p w:rsidR="007A56C0" w:rsidRPr="00494962" w:rsidRDefault="007A56C0" w:rsidP="00794B36">
      <w:pPr>
        <w:pStyle w:val="Zkladntext3"/>
        <w:rPr>
          <w:lang w:val="cs-CZ"/>
        </w:rPr>
      </w:pPr>
    </w:p>
    <w:p w:rsidR="00794B36" w:rsidRPr="00494962" w:rsidRDefault="002127B3" w:rsidP="002127B3">
      <w:pPr>
        <w:pStyle w:val="Zkladntext3"/>
        <w:spacing w:line="360" w:lineRule="auto"/>
        <w:rPr>
          <w:sz w:val="24"/>
          <w:lang w:val="cs-CZ"/>
        </w:rPr>
      </w:pPr>
      <w:r w:rsidRPr="00494962">
        <w:rPr>
          <w:sz w:val="24"/>
          <w:lang w:val="cs-CZ"/>
        </w:rPr>
        <w:tab/>
      </w:r>
      <w:r w:rsidR="00794B36" w:rsidRPr="00494962">
        <w:rPr>
          <w:sz w:val="24"/>
          <w:lang w:val="cs-CZ"/>
        </w:rPr>
        <w:t>Prohlašuji, že jsem diplomovou práci na téma Statutární orgán společnosti s ručením omezeným se zaměřením na přímý výkon funkce vypracovala samostatně a citovala jsem všechny použité zdroje.</w:t>
      </w:r>
    </w:p>
    <w:p w:rsidR="00794B36" w:rsidRPr="00494962" w:rsidRDefault="002127B3" w:rsidP="002127B3">
      <w:pPr>
        <w:pStyle w:val="Zkladntext3"/>
        <w:spacing w:after="0" w:line="360" w:lineRule="auto"/>
        <w:rPr>
          <w:sz w:val="24"/>
          <w:lang w:val="cs-CZ"/>
        </w:rPr>
      </w:pPr>
      <w:r w:rsidRPr="00494962">
        <w:rPr>
          <w:sz w:val="24"/>
          <w:lang w:val="cs-CZ"/>
        </w:rPr>
        <w:tab/>
        <w:t>V Olomouci dne 25. března 2015</w:t>
      </w:r>
      <w:r w:rsidR="00794B36" w:rsidRPr="00494962">
        <w:rPr>
          <w:sz w:val="24"/>
          <w:lang w:val="cs-CZ"/>
        </w:rPr>
        <w:t xml:space="preserve"> </w:t>
      </w:r>
      <w:r w:rsidR="00794B36" w:rsidRPr="00494962">
        <w:rPr>
          <w:sz w:val="24"/>
          <w:lang w:val="cs-CZ"/>
        </w:rPr>
        <w:tab/>
      </w:r>
    </w:p>
    <w:p w:rsidR="00794B36" w:rsidRPr="00494962" w:rsidRDefault="00794B36" w:rsidP="002127B3">
      <w:pPr>
        <w:pStyle w:val="Zkladntext3"/>
        <w:spacing w:after="0" w:line="360" w:lineRule="auto"/>
        <w:rPr>
          <w:sz w:val="24"/>
          <w:lang w:val="cs-CZ"/>
        </w:rPr>
      </w:pPr>
    </w:p>
    <w:p w:rsidR="00794B36" w:rsidRPr="00494962" w:rsidRDefault="00794B36" w:rsidP="002127B3">
      <w:pPr>
        <w:pStyle w:val="Zkladntext3"/>
        <w:spacing w:after="0" w:line="360" w:lineRule="auto"/>
        <w:rPr>
          <w:sz w:val="24"/>
          <w:lang w:val="cs-CZ"/>
        </w:rPr>
      </w:pP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t>………………………………</w:t>
      </w:r>
    </w:p>
    <w:p w:rsidR="002127B3" w:rsidRPr="00494962" w:rsidRDefault="00794B36" w:rsidP="002127B3">
      <w:pPr>
        <w:pStyle w:val="Zkladntext3"/>
        <w:spacing w:after="0" w:line="360" w:lineRule="auto"/>
        <w:rPr>
          <w:sz w:val="24"/>
          <w:lang w:val="cs-CZ"/>
        </w:rPr>
      </w:pP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r>
      <w:r w:rsidRPr="00494962">
        <w:rPr>
          <w:sz w:val="24"/>
          <w:lang w:val="cs-CZ"/>
        </w:rPr>
        <w:tab/>
        <w:t xml:space="preserve">Tatiana Heczková </w:t>
      </w: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pStyle w:val="Zkladntext3"/>
        <w:spacing w:after="0" w:line="360" w:lineRule="auto"/>
        <w:rPr>
          <w:sz w:val="24"/>
          <w:lang w:val="cs-CZ"/>
        </w:rPr>
      </w:pPr>
    </w:p>
    <w:p w:rsidR="002127B3" w:rsidRPr="00494962" w:rsidRDefault="002127B3" w:rsidP="002127B3">
      <w:pPr>
        <w:ind w:firstLine="708"/>
      </w:pPr>
      <w:r w:rsidRPr="00494962">
        <w:t>Děkuji tímto vedoucímu mé diplomové práce Mgr. Michalu Černému, Ph.D. za jeho odborné vedení</w:t>
      </w:r>
      <w:r w:rsidR="00483FC7">
        <w:t>, čas</w:t>
      </w:r>
      <w:r w:rsidRPr="00494962">
        <w:t xml:space="preserve"> a cenné rady při zpracovaní této práce. Zároveň děkuji i Doc. JUDr. Ludmile Lochmanové, Ph.D. za vedení v počátcích psaní této práce. </w:t>
      </w:r>
    </w:p>
    <w:p w:rsidR="00AE65DC" w:rsidRPr="00494962" w:rsidRDefault="000A59E1" w:rsidP="000A59E1">
      <w:pPr>
        <w:pStyle w:val="Nadpis1"/>
      </w:pPr>
      <w:r w:rsidRPr="00494962">
        <w:br w:type="page"/>
      </w:r>
      <w:bookmarkStart w:id="1" w:name="_Toc415065668"/>
      <w:r w:rsidR="00AE65DC" w:rsidRPr="00494962">
        <w:lastRenderedPageBreak/>
        <w:t>Obsah</w:t>
      </w:r>
      <w:bookmarkEnd w:id="1"/>
    </w:p>
    <w:p w:rsidR="00F30F82" w:rsidRDefault="001005C2">
      <w:pPr>
        <w:pStyle w:val="Obsah1"/>
        <w:rPr>
          <w:rFonts w:asciiTheme="minorHAnsi" w:eastAsiaTheme="minorEastAsia" w:hAnsiTheme="minorHAnsi" w:cstheme="minorBidi"/>
          <w:b w:val="0"/>
          <w:sz w:val="22"/>
          <w:szCs w:val="22"/>
          <w:lang w:bidi="ar-SA"/>
        </w:rPr>
      </w:pPr>
      <w:r w:rsidRPr="001005C2">
        <w:rPr>
          <w:b w:val="0"/>
        </w:rPr>
        <w:fldChar w:fldCharType="begin"/>
      </w:r>
      <w:r w:rsidR="007A56C0" w:rsidRPr="00494962">
        <w:rPr>
          <w:b w:val="0"/>
        </w:rPr>
        <w:instrText xml:space="preserve"> TOC \o "1-3" \h \z \u </w:instrText>
      </w:r>
      <w:r w:rsidRPr="001005C2">
        <w:rPr>
          <w:b w:val="0"/>
        </w:rPr>
        <w:fldChar w:fldCharType="separate"/>
      </w:r>
      <w:hyperlink w:anchor="_Toc415065668" w:history="1">
        <w:r w:rsidR="00F30F82" w:rsidRPr="00354E67">
          <w:rPr>
            <w:rStyle w:val="Hypertextovodkaz"/>
          </w:rPr>
          <w:t>Obsah</w:t>
        </w:r>
        <w:r w:rsidR="00F30F82">
          <w:rPr>
            <w:webHidden/>
          </w:rPr>
          <w:tab/>
        </w:r>
        <w:r>
          <w:rPr>
            <w:webHidden/>
          </w:rPr>
          <w:fldChar w:fldCharType="begin"/>
        </w:r>
        <w:r w:rsidR="00F30F82">
          <w:rPr>
            <w:webHidden/>
          </w:rPr>
          <w:instrText xml:space="preserve"> PAGEREF _Toc415065668 \h </w:instrText>
        </w:r>
        <w:r>
          <w:rPr>
            <w:webHidden/>
          </w:rPr>
        </w:r>
        <w:r>
          <w:rPr>
            <w:webHidden/>
          </w:rPr>
          <w:fldChar w:fldCharType="separate"/>
        </w:r>
        <w:r w:rsidR="00F30F82">
          <w:rPr>
            <w:webHidden/>
          </w:rPr>
          <w:t>4</w:t>
        </w:r>
        <w:r>
          <w:rPr>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669" w:history="1">
        <w:r w:rsidR="00F30F82" w:rsidRPr="00354E67">
          <w:rPr>
            <w:rStyle w:val="Hypertextovodkaz"/>
            <w:rFonts w:eastAsia="Arial Unicode MS" w:cs="Arial Unicode MS"/>
          </w:rPr>
          <w:t>Seznam použitých zkratek</w:t>
        </w:r>
        <w:r w:rsidR="00F30F82">
          <w:rPr>
            <w:webHidden/>
          </w:rPr>
          <w:tab/>
        </w:r>
        <w:r>
          <w:rPr>
            <w:webHidden/>
          </w:rPr>
          <w:fldChar w:fldCharType="begin"/>
        </w:r>
        <w:r w:rsidR="00F30F82">
          <w:rPr>
            <w:webHidden/>
          </w:rPr>
          <w:instrText xml:space="preserve"> PAGEREF _Toc415065669 \h </w:instrText>
        </w:r>
        <w:r>
          <w:rPr>
            <w:webHidden/>
          </w:rPr>
        </w:r>
        <w:r>
          <w:rPr>
            <w:webHidden/>
          </w:rPr>
          <w:fldChar w:fldCharType="separate"/>
        </w:r>
        <w:r w:rsidR="00F30F82">
          <w:rPr>
            <w:webHidden/>
          </w:rPr>
          <w:t>6</w:t>
        </w:r>
        <w:r>
          <w:rPr>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670" w:history="1">
        <w:r w:rsidR="00F30F82" w:rsidRPr="00354E67">
          <w:rPr>
            <w:rStyle w:val="Hypertextovodkaz"/>
            <w:rFonts w:eastAsia="Arial Unicode MS"/>
          </w:rPr>
          <w:t>Úvod</w:t>
        </w:r>
        <w:r w:rsidR="00F30F82">
          <w:rPr>
            <w:webHidden/>
          </w:rPr>
          <w:tab/>
        </w:r>
        <w:r>
          <w:rPr>
            <w:webHidden/>
          </w:rPr>
          <w:fldChar w:fldCharType="begin"/>
        </w:r>
        <w:r w:rsidR="00F30F82">
          <w:rPr>
            <w:webHidden/>
          </w:rPr>
          <w:instrText xml:space="preserve"> PAGEREF _Toc415065670 \h </w:instrText>
        </w:r>
        <w:r>
          <w:rPr>
            <w:webHidden/>
          </w:rPr>
        </w:r>
        <w:r>
          <w:rPr>
            <w:webHidden/>
          </w:rPr>
          <w:fldChar w:fldCharType="separate"/>
        </w:r>
        <w:r w:rsidR="00F30F82">
          <w:rPr>
            <w:webHidden/>
          </w:rPr>
          <w:t>7</w:t>
        </w:r>
        <w:r>
          <w:rPr>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671" w:history="1">
        <w:r w:rsidR="00F30F82" w:rsidRPr="00354E67">
          <w:rPr>
            <w:rStyle w:val="Hypertextovodkaz"/>
            <w:rFonts w:eastAsia="Arial Unicode MS"/>
          </w:rPr>
          <w:t>1. Stručný pohled na vývoj úpravy s.r.o. se zaměřením na jednatele</w:t>
        </w:r>
        <w:r w:rsidR="00F30F82">
          <w:rPr>
            <w:webHidden/>
          </w:rPr>
          <w:tab/>
        </w:r>
        <w:r>
          <w:rPr>
            <w:webHidden/>
          </w:rPr>
          <w:fldChar w:fldCharType="begin"/>
        </w:r>
        <w:r w:rsidR="00F30F82">
          <w:rPr>
            <w:webHidden/>
          </w:rPr>
          <w:instrText xml:space="preserve"> PAGEREF _Toc415065671 \h </w:instrText>
        </w:r>
        <w:r>
          <w:rPr>
            <w:webHidden/>
          </w:rPr>
        </w:r>
        <w:r>
          <w:rPr>
            <w:webHidden/>
          </w:rPr>
          <w:fldChar w:fldCharType="separate"/>
        </w:r>
        <w:r w:rsidR="00F30F82">
          <w:rPr>
            <w:webHidden/>
          </w:rPr>
          <w:t>10</w:t>
        </w:r>
        <w:r>
          <w:rPr>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72" w:history="1">
        <w:r w:rsidR="00F30F82" w:rsidRPr="00354E67">
          <w:rPr>
            <w:rStyle w:val="Hypertextovodkaz"/>
            <w:noProof/>
          </w:rPr>
          <w:t>1.1 Počátky úpravy až do současnosti v Českých zemích</w:t>
        </w:r>
        <w:r w:rsidR="00F30F82">
          <w:rPr>
            <w:noProof/>
            <w:webHidden/>
          </w:rPr>
          <w:tab/>
        </w:r>
        <w:r>
          <w:rPr>
            <w:noProof/>
            <w:webHidden/>
          </w:rPr>
          <w:fldChar w:fldCharType="begin"/>
        </w:r>
        <w:r w:rsidR="00F30F82">
          <w:rPr>
            <w:noProof/>
            <w:webHidden/>
          </w:rPr>
          <w:instrText xml:space="preserve"> PAGEREF _Toc415065672 \h </w:instrText>
        </w:r>
        <w:r>
          <w:rPr>
            <w:noProof/>
            <w:webHidden/>
          </w:rPr>
        </w:r>
        <w:r>
          <w:rPr>
            <w:noProof/>
            <w:webHidden/>
          </w:rPr>
          <w:fldChar w:fldCharType="separate"/>
        </w:r>
        <w:r w:rsidR="00F30F82">
          <w:rPr>
            <w:noProof/>
            <w:webHidden/>
          </w:rPr>
          <w:t>10</w:t>
        </w:r>
        <w:r>
          <w:rPr>
            <w:noProof/>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673" w:history="1">
        <w:r w:rsidR="00F30F82" w:rsidRPr="00354E67">
          <w:rPr>
            <w:rStyle w:val="Hypertextovodkaz"/>
            <w:rFonts w:eastAsia="Arial Unicode MS"/>
          </w:rPr>
          <w:t>2. Předpoklady pro výkon funkce jednatele</w:t>
        </w:r>
        <w:r w:rsidR="00F30F82">
          <w:rPr>
            <w:webHidden/>
          </w:rPr>
          <w:tab/>
        </w:r>
        <w:r>
          <w:rPr>
            <w:webHidden/>
          </w:rPr>
          <w:fldChar w:fldCharType="begin"/>
        </w:r>
        <w:r w:rsidR="00F30F82">
          <w:rPr>
            <w:webHidden/>
          </w:rPr>
          <w:instrText xml:space="preserve"> PAGEREF _Toc415065673 \h </w:instrText>
        </w:r>
        <w:r>
          <w:rPr>
            <w:webHidden/>
          </w:rPr>
        </w:r>
        <w:r>
          <w:rPr>
            <w:webHidden/>
          </w:rPr>
          <w:fldChar w:fldCharType="separate"/>
        </w:r>
        <w:r w:rsidR="00F30F82">
          <w:rPr>
            <w:webHidden/>
          </w:rPr>
          <w:t>12</w:t>
        </w:r>
        <w:r>
          <w:rPr>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74" w:history="1">
        <w:r w:rsidR="00F30F82" w:rsidRPr="00354E67">
          <w:rPr>
            <w:rStyle w:val="Hypertextovodkaz"/>
            <w:noProof/>
          </w:rPr>
          <w:t>2.1 Svéprávnost</w:t>
        </w:r>
        <w:r w:rsidR="00F30F82">
          <w:rPr>
            <w:noProof/>
            <w:webHidden/>
          </w:rPr>
          <w:tab/>
        </w:r>
        <w:r>
          <w:rPr>
            <w:noProof/>
            <w:webHidden/>
          </w:rPr>
          <w:fldChar w:fldCharType="begin"/>
        </w:r>
        <w:r w:rsidR="00F30F82">
          <w:rPr>
            <w:noProof/>
            <w:webHidden/>
          </w:rPr>
          <w:instrText xml:space="preserve"> PAGEREF _Toc415065674 \h </w:instrText>
        </w:r>
        <w:r>
          <w:rPr>
            <w:noProof/>
            <w:webHidden/>
          </w:rPr>
        </w:r>
        <w:r>
          <w:rPr>
            <w:noProof/>
            <w:webHidden/>
          </w:rPr>
          <w:fldChar w:fldCharType="separate"/>
        </w:r>
        <w:r w:rsidR="00F30F82">
          <w:rPr>
            <w:noProof/>
            <w:webHidden/>
          </w:rPr>
          <w:t>12</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75" w:history="1">
        <w:r w:rsidR="00F30F82" w:rsidRPr="00354E67">
          <w:rPr>
            <w:rStyle w:val="Hypertextovodkaz"/>
            <w:noProof/>
          </w:rPr>
          <w:t>2.2 Podmínky živnostenského zákona</w:t>
        </w:r>
        <w:r w:rsidR="00F30F82">
          <w:rPr>
            <w:noProof/>
            <w:webHidden/>
          </w:rPr>
          <w:tab/>
        </w:r>
        <w:r>
          <w:rPr>
            <w:noProof/>
            <w:webHidden/>
          </w:rPr>
          <w:fldChar w:fldCharType="begin"/>
        </w:r>
        <w:r w:rsidR="00F30F82">
          <w:rPr>
            <w:noProof/>
            <w:webHidden/>
          </w:rPr>
          <w:instrText xml:space="preserve"> PAGEREF _Toc415065675 \h </w:instrText>
        </w:r>
        <w:r>
          <w:rPr>
            <w:noProof/>
            <w:webHidden/>
          </w:rPr>
        </w:r>
        <w:r>
          <w:rPr>
            <w:noProof/>
            <w:webHidden/>
          </w:rPr>
          <w:fldChar w:fldCharType="separate"/>
        </w:r>
        <w:r w:rsidR="00F30F82">
          <w:rPr>
            <w:noProof/>
            <w:webHidden/>
          </w:rPr>
          <w:t>14</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76" w:history="1">
        <w:r w:rsidR="00F30F82" w:rsidRPr="00354E67">
          <w:rPr>
            <w:rStyle w:val="Hypertextovodkaz"/>
            <w:noProof/>
          </w:rPr>
          <w:t>2.2.1 Podmínky provozování živnosti vč. bezúhonnosti a překážky provozování živnosti</w:t>
        </w:r>
        <w:r w:rsidR="00F30F82">
          <w:rPr>
            <w:noProof/>
            <w:webHidden/>
          </w:rPr>
          <w:tab/>
        </w:r>
        <w:r>
          <w:rPr>
            <w:noProof/>
            <w:webHidden/>
          </w:rPr>
          <w:fldChar w:fldCharType="begin"/>
        </w:r>
        <w:r w:rsidR="00F30F82">
          <w:rPr>
            <w:noProof/>
            <w:webHidden/>
          </w:rPr>
          <w:instrText xml:space="preserve"> PAGEREF _Toc415065676 \h </w:instrText>
        </w:r>
        <w:r>
          <w:rPr>
            <w:noProof/>
            <w:webHidden/>
          </w:rPr>
        </w:r>
        <w:r>
          <w:rPr>
            <w:noProof/>
            <w:webHidden/>
          </w:rPr>
          <w:fldChar w:fldCharType="separate"/>
        </w:r>
        <w:r w:rsidR="00F30F82">
          <w:rPr>
            <w:noProof/>
            <w:webHidden/>
          </w:rPr>
          <w:t>14</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77" w:history="1">
        <w:r w:rsidR="00F30F82" w:rsidRPr="00354E67">
          <w:rPr>
            <w:rStyle w:val="Hypertextovodkaz"/>
            <w:noProof/>
          </w:rPr>
          <w:t>2.3 Informační povinnost</w:t>
        </w:r>
        <w:r w:rsidR="00F30F82">
          <w:rPr>
            <w:noProof/>
            <w:webHidden/>
          </w:rPr>
          <w:tab/>
        </w:r>
        <w:r>
          <w:rPr>
            <w:noProof/>
            <w:webHidden/>
          </w:rPr>
          <w:fldChar w:fldCharType="begin"/>
        </w:r>
        <w:r w:rsidR="00F30F82">
          <w:rPr>
            <w:noProof/>
            <w:webHidden/>
          </w:rPr>
          <w:instrText xml:space="preserve"> PAGEREF _Toc415065677 \h </w:instrText>
        </w:r>
        <w:r>
          <w:rPr>
            <w:noProof/>
            <w:webHidden/>
          </w:rPr>
        </w:r>
        <w:r>
          <w:rPr>
            <w:noProof/>
            <w:webHidden/>
          </w:rPr>
          <w:fldChar w:fldCharType="separate"/>
        </w:r>
        <w:r w:rsidR="00F30F82">
          <w:rPr>
            <w:noProof/>
            <w:webHidden/>
          </w:rPr>
          <w:t>15</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78" w:history="1">
        <w:r w:rsidR="00F30F82" w:rsidRPr="00354E67">
          <w:rPr>
            <w:rStyle w:val="Hypertextovodkaz"/>
            <w:noProof/>
          </w:rPr>
          <w:t>2.4 Dílčí teoretický závěr</w:t>
        </w:r>
        <w:r w:rsidR="00F30F82">
          <w:rPr>
            <w:noProof/>
            <w:webHidden/>
          </w:rPr>
          <w:tab/>
        </w:r>
        <w:r>
          <w:rPr>
            <w:noProof/>
            <w:webHidden/>
          </w:rPr>
          <w:fldChar w:fldCharType="begin"/>
        </w:r>
        <w:r w:rsidR="00F30F82">
          <w:rPr>
            <w:noProof/>
            <w:webHidden/>
          </w:rPr>
          <w:instrText xml:space="preserve"> PAGEREF _Toc415065678 \h </w:instrText>
        </w:r>
        <w:r>
          <w:rPr>
            <w:noProof/>
            <w:webHidden/>
          </w:rPr>
        </w:r>
        <w:r>
          <w:rPr>
            <w:noProof/>
            <w:webHidden/>
          </w:rPr>
          <w:fldChar w:fldCharType="separate"/>
        </w:r>
        <w:r w:rsidR="00F30F82">
          <w:rPr>
            <w:noProof/>
            <w:webHidden/>
          </w:rPr>
          <w:t>15</w:t>
        </w:r>
        <w:r>
          <w:rPr>
            <w:noProof/>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679" w:history="1">
        <w:r w:rsidR="00F30F82" w:rsidRPr="00354E67">
          <w:rPr>
            <w:rStyle w:val="Hypertextovodkaz"/>
            <w:rFonts w:eastAsia="Arial Unicode MS"/>
          </w:rPr>
          <w:t>3. Postavení jednatele jako statutárního orgánu v systému řízení s.r.o.</w:t>
        </w:r>
        <w:r w:rsidR="00F30F82">
          <w:rPr>
            <w:webHidden/>
          </w:rPr>
          <w:tab/>
        </w:r>
        <w:r>
          <w:rPr>
            <w:webHidden/>
          </w:rPr>
          <w:fldChar w:fldCharType="begin"/>
        </w:r>
        <w:r w:rsidR="00F30F82">
          <w:rPr>
            <w:webHidden/>
          </w:rPr>
          <w:instrText xml:space="preserve"> PAGEREF _Toc415065679 \h </w:instrText>
        </w:r>
        <w:r>
          <w:rPr>
            <w:webHidden/>
          </w:rPr>
        </w:r>
        <w:r>
          <w:rPr>
            <w:webHidden/>
          </w:rPr>
          <w:fldChar w:fldCharType="separate"/>
        </w:r>
        <w:r w:rsidR="00F30F82">
          <w:rPr>
            <w:webHidden/>
          </w:rPr>
          <w:t>16</w:t>
        </w:r>
        <w:r>
          <w:rPr>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80" w:history="1">
        <w:r w:rsidR="00F30F82" w:rsidRPr="00354E67">
          <w:rPr>
            <w:rStyle w:val="Hypertextovodkaz"/>
            <w:noProof/>
          </w:rPr>
          <w:t>3.1 Vymezení pojmu působnosti</w:t>
        </w:r>
        <w:r w:rsidR="00F30F82">
          <w:rPr>
            <w:noProof/>
            <w:webHidden/>
          </w:rPr>
          <w:tab/>
        </w:r>
        <w:r>
          <w:rPr>
            <w:noProof/>
            <w:webHidden/>
          </w:rPr>
          <w:fldChar w:fldCharType="begin"/>
        </w:r>
        <w:r w:rsidR="00F30F82">
          <w:rPr>
            <w:noProof/>
            <w:webHidden/>
          </w:rPr>
          <w:instrText xml:space="preserve"> PAGEREF _Toc415065680 \h </w:instrText>
        </w:r>
        <w:r>
          <w:rPr>
            <w:noProof/>
            <w:webHidden/>
          </w:rPr>
        </w:r>
        <w:r>
          <w:rPr>
            <w:noProof/>
            <w:webHidden/>
          </w:rPr>
          <w:fldChar w:fldCharType="separate"/>
        </w:r>
        <w:r w:rsidR="00F30F82">
          <w:rPr>
            <w:noProof/>
            <w:webHidden/>
          </w:rPr>
          <w:t>16</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81" w:history="1">
        <w:r w:rsidR="00F30F82" w:rsidRPr="00354E67">
          <w:rPr>
            <w:rStyle w:val="Hypertextovodkaz"/>
            <w:noProof/>
          </w:rPr>
          <w:t>3.1.1 Kolektivní orgán a individuální orgán</w:t>
        </w:r>
        <w:r w:rsidR="00F30F82">
          <w:rPr>
            <w:noProof/>
            <w:webHidden/>
          </w:rPr>
          <w:tab/>
        </w:r>
        <w:r>
          <w:rPr>
            <w:noProof/>
            <w:webHidden/>
          </w:rPr>
          <w:fldChar w:fldCharType="begin"/>
        </w:r>
        <w:r w:rsidR="00F30F82">
          <w:rPr>
            <w:noProof/>
            <w:webHidden/>
          </w:rPr>
          <w:instrText xml:space="preserve"> PAGEREF _Toc415065681 \h </w:instrText>
        </w:r>
        <w:r>
          <w:rPr>
            <w:noProof/>
            <w:webHidden/>
          </w:rPr>
        </w:r>
        <w:r>
          <w:rPr>
            <w:noProof/>
            <w:webHidden/>
          </w:rPr>
          <w:fldChar w:fldCharType="separate"/>
        </w:r>
        <w:r w:rsidR="00F30F82">
          <w:rPr>
            <w:noProof/>
            <w:webHidden/>
          </w:rPr>
          <w:t>18</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82" w:history="1">
        <w:r w:rsidR="00F30F82" w:rsidRPr="00354E67">
          <w:rPr>
            <w:rStyle w:val="Hypertextovodkaz"/>
            <w:noProof/>
          </w:rPr>
          <w:t>3.1.2 Jednatelské oprávnění včetně jeho omezení</w:t>
        </w:r>
        <w:r w:rsidR="00F30F82">
          <w:rPr>
            <w:noProof/>
            <w:webHidden/>
          </w:rPr>
          <w:tab/>
        </w:r>
        <w:r>
          <w:rPr>
            <w:noProof/>
            <w:webHidden/>
          </w:rPr>
          <w:fldChar w:fldCharType="begin"/>
        </w:r>
        <w:r w:rsidR="00F30F82">
          <w:rPr>
            <w:noProof/>
            <w:webHidden/>
          </w:rPr>
          <w:instrText xml:space="preserve"> PAGEREF _Toc415065682 \h </w:instrText>
        </w:r>
        <w:r>
          <w:rPr>
            <w:noProof/>
            <w:webHidden/>
          </w:rPr>
        </w:r>
        <w:r>
          <w:rPr>
            <w:noProof/>
            <w:webHidden/>
          </w:rPr>
          <w:fldChar w:fldCharType="separate"/>
        </w:r>
        <w:r w:rsidR="00F30F82">
          <w:rPr>
            <w:noProof/>
            <w:webHidden/>
          </w:rPr>
          <w:t>22</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83" w:history="1">
        <w:r w:rsidR="00F30F82" w:rsidRPr="00354E67">
          <w:rPr>
            <w:rStyle w:val="Hypertextovodkaz"/>
            <w:noProof/>
          </w:rPr>
          <w:t>3.1.3 Obchodní vedení včetně pokynů týkajících se obchodního vedení</w:t>
        </w:r>
        <w:r w:rsidR="00F30F82">
          <w:rPr>
            <w:noProof/>
            <w:webHidden/>
          </w:rPr>
          <w:tab/>
        </w:r>
        <w:r>
          <w:rPr>
            <w:noProof/>
            <w:webHidden/>
          </w:rPr>
          <w:fldChar w:fldCharType="begin"/>
        </w:r>
        <w:r w:rsidR="00F30F82">
          <w:rPr>
            <w:noProof/>
            <w:webHidden/>
          </w:rPr>
          <w:instrText xml:space="preserve"> PAGEREF _Toc415065683 \h </w:instrText>
        </w:r>
        <w:r>
          <w:rPr>
            <w:noProof/>
            <w:webHidden/>
          </w:rPr>
        </w:r>
        <w:r>
          <w:rPr>
            <w:noProof/>
            <w:webHidden/>
          </w:rPr>
          <w:fldChar w:fldCharType="separate"/>
        </w:r>
        <w:r w:rsidR="00F30F82">
          <w:rPr>
            <w:noProof/>
            <w:webHidden/>
          </w:rPr>
          <w:t>24</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84" w:history="1">
        <w:r w:rsidR="00F30F82" w:rsidRPr="00354E67">
          <w:rPr>
            <w:rStyle w:val="Hypertextovodkaz"/>
            <w:noProof/>
          </w:rPr>
          <w:t>3.2 Péče řádného hospodáře</w:t>
        </w:r>
        <w:r w:rsidR="00F30F82">
          <w:rPr>
            <w:noProof/>
            <w:webHidden/>
          </w:rPr>
          <w:tab/>
        </w:r>
        <w:r>
          <w:rPr>
            <w:noProof/>
            <w:webHidden/>
          </w:rPr>
          <w:fldChar w:fldCharType="begin"/>
        </w:r>
        <w:r w:rsidR="00F30F82">
          <w:rPr>
            <w:noProof/>
            <w:webHidden/>
          </w:rPr>
          <w:instrText xml:space="preserve"> PAGEREF _Toc415065684 \h </w:instrText>
        </w:r>
        <w:r>
          <w:rPr>
            <w:noProof/>
            <w:webHidden/>
          </w:rPr>
        </w:r>
        <w:r>
          <w:rPr>
            <w:noProof/>
            <w:webHidden/>
          </w:rPr>
          <w:fldChar w:fldCharType="separate"/>
        </w:r>
        <w:r w:rsidR="00F30F82">
          <w:rPr>
            <w:noProof/>
            <w:webHidden/>
          </w:rPr>
          <w:t>29</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85" w:history="1">
        <w:r w:rsidR="00F30F82" w:rsidRPr="00354E67">
          <w:rPr>
            <w:rStyle w:val="Hypertextovodkaz"/>
            <w:noProof/>
          </w:rPr>
          <w:t>3.2.1 Potřebná loajalita</w:t>
        </w:r>
        <w:r w:rsidR="00F30F82">
          <w:rPr>
            <w:noProof/>
            <w:webHidden/>
          </w:rPr>
          <w:tab/>
        </w:r>
        <w:r>
          <w:rPr>
            <w:noProof/>
            <w:webHidden/>
          </w:rPr>
          <w:fldChar w:fldCharType="begin"/>
        </w:r>
        <w:r w:rsidR="00F30F82">
          <w:rPr>
            <w:noProof/>
            <w:webHidden/>
          </w:rPr>
          <w:instrText xml:space="preserve"> PAGEREF _Toc415065685 \h </w:instrText>
        </w:r>
        <w:r>
          <w:rPr>
            <w:noProof/>
            <w:webHidden/>
          </w:rPr>
        </w:r>
        <w:r>
          <w:rPr>
            <w:noProof/>
            <w:webHidden/>
          </w:rPr>
          <w:fldChar w:fldCharType="separate"/>
        </w:r>
        <w:r w:rsidR="00F30F82">
          <w:rPr>
            <w:noProof/>
            <w:webHidden/>
          </w:rPr>
          <w:t>30</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86" w:history="1">
        <w:r w:rsidR="00F30F82" w:rsidRPr="00354E67">
          <w:rPr>
            <w:rStyle w:val="Hypertextovodkaz"/>
            <w:noProof/>
          </w:rPr>
          <w:t>3.2.2 Pravidlo podnikatelského úsudku</w:t>
        </w:r>
        <w:r w:rsidR="00F30F82">
          <w:rPr>
            <w:noProof/>
            <w:webHidden/>
          </w:rPr>
          <w:tab/>
        </w:r>
        <w:r>
          <w:rPr>
            <w:noProof/>
            <w:webHidden/>
          </w:rPr>
          <w:fldChar w:fldCharType="begin"/>
        </w:r>
        <w:r w:rsidR="00F30F82">
          <w:rPr>
            <w:noProof/>
            <w:webHidden/>
          </w:rPr>
          <w:instrText xml:space="preserve"> PAGEREF _Toc415065686 \h </w:instrText>
        </w:r>
        <w:r>
          <w:rPr>
            <w:noProof/>
            <w:webHidden/>
          </w:rPr>
        </w:r>
        <w:r>
          <w:rPr>
            <w:noProof/>
            <w:webHidden/>
          </w:rPr>
          <w:fldChar w:fldCharType="separate"/>
        </w:r>
        <w:r w:rsidR="00F30F82">
          <w:rPr>
            <w:noProof/>
            <w:webHidden/>
          </w:rPr>
          <w:t>31</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87" w:history="1">
        <w:r w:rsidR="00F30F82" w:rsidRPr="00354E67">
          <w:rPr>
            <w:rStyle w:val="Hypertextovodkaz"/>
            <w:noProof/>
          </w:rPr>
          <w:t>3.2.3 Měřítko a prokázání péče řádného hospodáře</w:t>
        </w:r>
        <w:r w:rsidR="00F30F82">
          <w:rPr>
            <w:noProof/>
            <w:webHidden/>
          </w:rPr>
          <w:tab/>
        </w:r>
        <w:r>
          <w:rPr>
            <w:noProof/>
            <w:webHidden/>
          </w:rPr>
          <w:fldChar w:fldCharType="begin"/>
        </w:r>
        <w:r w:rsidR="00F30F82">
          <w:rPr>
            <w:noProof/>
            <w:webHidden/>
          </w:rPr>
          <w:instrText xml:space="preserve"> PAGEREF _Toc415065687 \h </w:instrText>
        </w:r>
        <w:r>
          <w:rPr>
            <w:noProof/>
            <w:webHidden/>
          </w:rPr>
        </w:r>
        <w:r>
          <w:rPr>
            <w:noProof/>
            <w:webHidden/>
          </w:rPr>
          <w:fldChar w:fldCharType="separate"/>
        </w:r>
        <w:r w:rsidR="00F30F82">
          <w:rPr>
            <w:noProof/>
            <w:webHidden/>
          </w:rPr>
          <w:t>32</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88" w:history="1">
        <w:r w:rsidR="00F30F82" w:rsidRPr="00354E67">
          <w:rPr>
            <w:rStyle w:val="Hypertextovodkaz"/>
            <w:noProof/>
          </w:rPr>
          <w:t>3.2.4 Porušení péče řádného hospodáře</w:t>
        </w:r>
        <w:r w:rsidR="00F30F82">
          <w:rPr>
            <w:noProof/>
            <w:webHidden/>
          </w:rPr>
          <w:tab/>
        </w:r>
        <w:r>
          <w:rPr>
            <w:noProof/>
            <w:webHidden/>
          </w:rPr>
          <w:fldChar w:fldCharType="begin"/>
        </w:r>
        <w:r w:rsidR="00F30F82">
          <w:rPr>
            <w:noProof/>
            <w:webHidden/>
          </w:rPr>
          <w:instrText xml:space="preserve"> PAGEREF _Toc415065688 \h </w:instrText>
        </w:r>
        <w:r>
          <w:rPr>
            <w:noProof/>
            <w:webHidden/>
          </w:rPr>
        </w:r>
        <w:r>
          <w:rPr>
            <w:noProof/>
            <w:webHidden/>
          </w:rPr>
          <w:fldChar w:fldCharType="separate"/>
        </w:r>
        <w:r w:rsidR="00F30F82">
          <w:rPr>
            <w:noProof/>
            <w:webHidden/>
          </w:rPr>
          <w:t>33</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89" w:history="1">
        <w:r w:rsidR="00F30F82" w:rsidRPr="00354E67">
          <w:rPr>
            <w:rStyle w:val="Hypertextovodkaz"/>
            <w:noProof/>
          </w:rPr>
          <w:t>3.3 Osobní výkon funkce</w:t>
        </w:r>
        <w:r w:rsidR="00F30F82">
          <w:rPr>
            <w:noProof/>
            <w:webHidden/>
          </w:rPr>
          <w:tab/>
        </w:r>
        <w:r>
          <w:rPr>
            <w:noProof/>
            <w:webHidden/>
          </w:rPr>
          <w:fldChar w:fldCharType="begin"/>
        </w:r>
        <w:r w:rsidR="00F30F82">
          <w:rPr>
            <w:noProof/>
            <w:webHidden/>
          </w:rPr>
          <w:instrText xml:space="preserve"> PAGEREF _Toc415065689 \h </w:instrText>
        </w:r>
        <w:r>
          <w:rPr>
            <w:noProof/>
            <w:webHidden/>
          </w:rPr>
        </w:r>
        <w:r>
          <w:rPr>
            <w:noProof/>
            <w:webHidden/>
          </w:rPr>
          <w:fldChar w:fldCharType="separate"/>
        </w:r>
        <w:r w:rsidR="00F30F82">
          <w:rPr>
            <w:noProof/>
            <w:webHidden/>
          </w:rPr>
          <w:t>35</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90" w:history="1">
        <w:r w:rsidR="00F30F82" w:rsidRPr="00354E67">
          <w:rPr>
            <w:rStyle w:val="Hypertextovodkaz"/>
            <w:noProof/>
          </w:rPr>
          <w:t>3.3.1 Osobní výkon funkce s ohledem na povinnost péče řádného hospodáře</w:t>
        </w:r>
        <w:r w:rsidR="00F30F82">
          <w:rPr>
            <w:noProof/>
            <w:webHidden/>
          </w:rPr>
          <w:tab/>
        </w:r>
        <w:r>
          <w:rPr>
            <w:noProof/>
            <w:webHidden/>
          </w:rPr>
          <w:fldChar w:fldCharType="begin"/>
        </w:r>
        <w:r w:rsidR="00F30F82">
          <w:rPr>
            <w:noProof/>
            <w:webHidden/>
          </w:rPr>
          <w:instrText xml:space="preserve"> PAGEREF _Toc415065690 \h </w:instrText>
        </w:r>
        <w:r>
          <w:rPr>
            <w:noProof/>
            <w:webHidden/>
          </w:rPr>
        </w:r>
        <w:r>
          <w:rPr>
            <w:noProof/>
            <w:webHidden/>
          </w:rPr>
          <w:fldChar w:fldCharType="separate"/>
        </w:r>
        <w:r w:rsidR="00F30F82">
          <w:rPr>
            <w:noProof/>
            <w:webHidden/>
          </w:rPr>
          <w:t>36</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91" w:history="1">
        <w:r w:rsidR="00F30F82" w:rsidRPr="00354E67">
          <w:rPr>
            <w:rStyle w:val="Hypertextovodkaz"/>
            <w:noProof/>
          </w:rPr>
          <w:t>3.4 Dílčí teoretický závěr</w:t>
        </w:r>
        <w:r w:rsidR="00F30F82">
          <w:rPr>
            <w:noProof/>
            <w:webHidden/>
          </w:rPr>
          <w:tab/>
        </w:r>
        <w:r>
          <w:rPr>
            <w:noProof/>
            <w:webHidden/>
          </w:rPr>
          <w:fldChar w:fldCharType="begin"/>
        </w:r>
        <w:r w:rsidR="00F30F82">
          <w:rPr>
            <w:noProof/>
            <w:webHidden/>
          </w:rPr>
          <w:instrText xml:space="preserve"> PAGEREF _Toc415065691 \h </w:instrText>
        </w:r>
        <w:r>
          <w:rPr>
            <w:noProof/>
            <w:webHidden/>
          </w:rPr>
        </w:r>
        <w:r>
          <w:rPr>
            <w:noProof/>
            <w:webHidden/>
          </w:rPr>
          <w:fldChar w:fldCharType="separate"/>
        </w:r>
        <w:r w:rsidR="00F30F82">
          <w:rPr>
            <w:noProof/>
            <w:webHidden/>
          </w:rPr>
          <w:t>37</w:t>
        </w:r>
        <w:r>
          <w:rPr>
            <w:noProof/>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692" w:history="1">
        <w:r w:rsidR="00F30F82" w:rsidRPr="00354E67">
          <w:rPr>
            <w:rStyle w:val="Hypertextovodkaz"/>
            <w:rFonts w:eastAsia="Arial Unicode MS"/>
          </w:rPr>
          <w:t>4. Práva a povinnosti jednatele napříč právní úpravou</w:t>
        </w:r>
        <w:r w:rsidR="00F30F82">
          <w:rPr>
            <w:webHidden/>
          </w:rPr>
          <w:tab/>
        </w:r>
        <w:r>
          <w:rPr>
            <w:webHidden/>
          </w:rPr>
          <w:fldChar w:fldCharType="begin"/>
        </w:r>
        <w:r w:rsidR="00F30F82">
          <w:rPr>
            <w:webHidden/>
          </w:rPr>
          <w:instrText xml:space="preserve"> PAGEREF _Toc415065692 \h </w:instrText>
        </w:r>
        <w:r>
          <w:rPr>
            <w:webHidden/>
          </w:rPr>
        </w:r>
        <w:r>
          <w:rPr>
            <w:webHidden/>
          </w:rPr>
          <w:fldChar w:fldCharType="separate"/>
        </w:r>
        <w:r w:rsidR="00F30F82">
          <w:rPr>
            <w:webHidden/>
          </w:rPr>
          <w:t>39</w:t>
        </w:r>
        <w:r>
          <w:rPr>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93" w:history="1">
        <w:r w:rsidR="00F30F82" w:rsidRPr="00354E67">
          <w:rPr>
            <w:rStyle w:val="Hypertextovodkaz"/>
            <w:noProof/>
          </w:rPr>
          <w:t>4.1 Povinnosti jednatele</w:t>
        </w:r>
        <w:r w:rsidR="00F30F82">
          <w:rPr>
            <w:noProof/>
            <w:webHidden/>
          </w:rPr>
          <w:tab/>
        </w:r>
        <w:r>
          <w:rPr>
            <w:noProof/>
            <w:webHidden/>
          </w:rPr>
          <w:fldChar w:fldCharType="begin"/>
        </w:r>
        <w:r w:rsidR="00F30F82">
          <w:rPr>
            <w:noProof/>
            <w:webHidden/>
          </w:rPr>
          <w:instrText xml:space="preserve"> PAGEREF _Toc415065693 \h </w:instrText>
        </w:r>
        <w:r>
          <w:rPr>
            <w:noProof/>
            <w:webHidden/>
          </w:rPr>
        </w:r>
        <w:r>
          <w:rPr>
            <w:noProof/>
            <w:webHidden/>
          </w:rPr>
          <w:fldChar w:fldCharType="separate"/>
        </w:r>
        <w:r w:rsidR="00F30F82">
          <w:rPr>
            <w:noProof/>
            <w:webHidden/>
          </w:rPr>
          <w:t>39</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94" w:history="1">
        <w:r w:rsidR="00F30F82" w:rsidRPr="00354E67">
          <w:rPr>
            <w:rStyle w:val="Hypertextovodkaz"/>
            <w:noProof/>
          </w:rPr>
          <w:t>4.1.1 Povinnosti jednatele související s informačními povinnostmi</w:t>
        </w:r>
        <w:r w:rsidR="00F30F82">
          <w:rPr>
            <w:noProof/>
            <w:webHidden/>
          </w:rPr>
          <w:tab/>
        </w:r>
        <w:r>
          <w:rPr>
            <w:noProof/>
            <w:webHidden/>
          </w:rPr>
          <w:fldChar w:fldCharType="begin"/>
        </w:r>
        <w:r w:rsidR="00F30F82">
          <w:rPr>
            <w:noProof/>
            <w:webHidden/>
          </w:rPr>
          <w:instrText xml:space="preserve"> PAGEREF _Toc415065694 \h </w:instrText>
        </w:r>
        <w:r>
          <w:rPr>
            <w:noProof/>
            <w:webHidden/>
          </w:rPr>
        </w:r>
        <w:r>
          <w:rPr>
            <w:noProof/>
            <w:webHidden/>
          </w:rPr>
          <w:fldChar w:fldCharType="separate"/>
        </w:r>
        <w:r w:rsidR="00F30F82">
          <w:rPr>
            <w:noProof/>
            <w:webHidden/>
          </w:rPr>
          <w:t>39</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95" w:history="1">
        <w:r w:rsidR="00F30F82" w:rsidRPr="00354E67">
          <w:rPr>
            <w:rStyle w:val="Hypertextovodkaz"/>
            <w:noProof/>
          </w:rPr>
          <w:t>4.1.2 Povinnosti jednatele související s valnou hromadou</w:t>
        </w:r>
        <w:r w:rsidR="00F30F82">
          <w:rPr>
            <w:noProof/>
            <w:webHidden/>
          </w:rPr>
          <w:tab/>
        </w:r>
        <w:r>
          <w:rPr>
            <w:noProof/>
            <w:webHidden/>
          </w:rPr>
          <w:fldChar w:fldCharType="begin"/>
        </w:r>
        <w:r w:rsidR="00F30F82">
          <w:rPr>
            <w:noProof/>
            <w:webHidden/>
          </w:rPr>
          <w:instrText xml:space="preserve"> PAGEREF _Toc415065695 \h </w:instrText>
        </w:r>
        <w:r>
          <w:rPr>
            <w:noProof/>
            <w:webHidden/>
          </w:rPr>
        </w:r>
        <w:r>
          <w:rPr>
            <w:noProof/>
            <w:webHidden/>
          </w:rPr>
          <w:fldChar w:fldCharType="separate"/>
        </w:r>
        <w:r w:rsidR="00F30F82">
          <w:rPr>
            <w:noProof/>
            <w:webHidden/>
          </w:rPr>
          <w:t>41</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96" w:history="1">
        <w:r w:rsidR="00F30F82" w:rsidRPr="00354E67">
          <w:rPr>
            <w:rStyle w:val="Hypertextovodkaz"/>
            <w:noProof/>
          </w:rPr>
          <w:t>4.1.3 Ostatní povinnosti jednatelů</w:t>
        </w:r>
        <w:r w:rsidR="00F30F82">
          <w:rPr>
            <w:noProof/>
            <w:webHidden/>
          </w:rPr>
          <w:tab/>
        </w:r>
        <w:r>
          <w:rPr>
            <w:noProof/>
            <w:webHidden/>
          </w:rPr>
          <w:fldChar w:fldCharType="begin"/>
        </w:r>
        <w:r w:rsidR="00F30F82">
          <w:rPr>
            <w:noProof/>
            <w:webHidden/>
          </w:rPr>
          <w:instrText xml:space="preserve"> PAGEREF _Toc415065696 \h </w:instrText>
        </w:r>
        <w:r>
          <w:rPr>
            <w:noProof/>
            <w:webHidden/>
          </w:rPr>
        </w:r>
        <w:r>
          <w:rPr>
            <w:noProof/>
            <w:webHidden/>
          </w:rPr>
          <w:fldChar w:fldCharType="separate"/>
        </w:r>
        <w:r w:rsidR="00F30F82">
          <w:rPr>
            <w:noProof/>
            <w:webHidden/>
          </w:rPr>
          <w:t>41</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697" w:history="1">
        <w:r w:rsidR="00F30F82" w:rsidRPr="00354E67">
          <w:rPr>
            <w:rStyle w:val="Hypertextovodkaz"/>
            <w:noProof/>
          </w:rPr>
          <w:t>4.2 Práva jednatele</w:t>
        </w:r>
        <w:r w:rsidR="00F30F82">
          <w:rPr>
            <w:noProof/>
            <w:webHidden/>
          </w:rPr>
          <w:tab/>
        </w:r>
        <w:r>
          <w:rPr>
            <w:noProof/>
            <w:webHidden/>
          </w:rPr>
          <w:fldChar w:fldCharType="begin"/>
        </w:r>
        <w:r w:rsidR="00F30F82">
          <w:rPr>
            <w:noProof/>
            <w:webHidden/>
          </w:rPr>
          <w:instrText xml:space="preserve"> PAGEREF _Toc415065697 \h </w:instrText>
        </w:r>
        <w:r>
          <w:rPr>
            <w:noProof/>
            <w:webHidden/>
          </w:rPr>
        </w:r>
        <w:r>
          <w:rPr>
            <w:noProof/>
            <w:webHidden/>
          </w:rPr>
          <w:fldChar w:fldCharType="separate"/>
        </w:r>
        <w:r w:rsidR="00F30F82">
          <w:rPr>
            <w:noProof/>
            <w:webHidden/>
          </w:rPr>
          <w:t>43</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98" w:history="1">
        <w:r w:rsidR="00F30F82" w:rsidRPr="00354E67">
          <w:rPr>
            <w:rStyle w:val="Hypertextovodkaz"/>
            <w:noProof/>
          </w:rPr>
          <w:t>4.2.1 Právo na odměnu</w:t>
        </w:r>
        <w:r w:rsidR="00F30F82">
          <w:rPr>
            <w:noProof/>
            <w:webHidden/>
          </w:rPr>
          <w:tab/>
        </w:r>
        <w:r>
          <w:rPr>
            <w:noProof/>
            <w:webHidden/>
          </w:rPr>
          <w:fldChar w:fldCharType="begin"/>
        </w:r>
        <w:r w:rsidR="00F30F82">
          <w:rPr>
            <w:noProof/>
            <w:webHidden/>
          </w:rPr>
          <w:instrText xml:space="preserve"> PAGEREF _Toc415065698 \h </w:instrText>
        </w:r>
        <w:r>
          <w:rPr>
            <w:noProof/>
            <w:webHidden/>
          </w:rPr>
        </w:r>
        <w:r>
          <w:rPr>
            <w:noProof/>
            <w:webHidden/>
          </w:rPr>
          <w:fldChar w:fldCharType="separate"/>
        </w:r>
        <w:r w:rsidR="00F30F82">
          <w:rPr>
            <w:noProof/>
            <w:webHidden/>
          </w:rPr>
          <w:t>43</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699" w:history="1">
        <w:r w:rsidR="00F30F82" w:rsidRPr="00354E67">
          <w:rPr>
            <w:rStyle w:val="Hypertextovodkaz"/>
            <w:noProof/>
          </w:rPr>
          <w:t>4.2.2 Práva jednatele související s jeho informační povinností</w:t>
        </w:r>
        <w:r w:rsidR="00F30F82">
          <w:rPr>
            <w:noProof/>
            <w:webHidden/>
          </w:rPr>
          <w:tab/>
        </w:r>
        <w:r>
          <w:rPr>
            <w:noProof/>
            <w:webHidden/>
          </w:rPr>
          <w:fldChar w:fldCharType="begin"/>
        </w:r>
        <w:r w:rsidR="00F30F82">
          <w:rPr>
            <w:noProof/>
            <w:webHidden/>
          </w:rPr>
          <w:instrText xml:space="preserve"> PAGEREF _Toc415065699 \h </w:instrText>
        </w:r>
        <w:r>
          <w:rPr>
            <w:noProof/>
            <w:webHidden/>
          </w:rPr>
        </w:r>
        <w:r>
          <w:rPr>
            <w:noProof/>
            <w:webHidden/>
          </w:rPr>
          <w:fldChar w:fldCharType="separate"/>
        </w:r>
        <w:r w:rsidR="00F30F82">
          <w:rPr>
            <w:noProof/>
            <w:webHidden/>
          </w:rPr>
          <w:t>44</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700" w:history="1">
        <w:r w:rsidR="00F30F82" w:rsidRPr="00354E67">
          <w:rPr>
            <w:rStyle w:val="Hypertextovodkaz"/>
            <w:noProof/>
          </w:rPr>
          <w:t>4.2.3 Další práva jednatele</w:t>
        </w:r>
        <w:r w:rsidR="00F30F82">
          <w:rPr>
            <w:noProof/>
            <w:webHidden/>
          </w:rPr>
          <w:tab/>
        </w:r>
        <w:r>
          <w:rPr>
            <w:noProof/>
            <w:webHidden/>
          </w:rPr>
          <w:fldChar w:fldCharType="begin"/>
        </w:r>
        <w:r w:rsidR="00F30F82">
          <w:rPr>
            <w:noProof/>
            <w:webHidden/>
          </w:rPr>
          <w:instrText xml:space="preserve"> PAGEREF _Toc415065700 \h </w:instrText>
        </w:r>
        <w:r>
          <w:rPr>
            <w:noProof/>
            <w:webHidden/>
          </w:rPr>
        </w:r>
        <w:r>
          <w:rPr>
            <w:noProof/>
            <w:webHidden/>
          </w:rPr>
          <w:fldChar w:fldCharType="separate"/>
        </w:r>
        <w:r w:rsidR="00F30F82">
          <w:rPr>
            <w:noProof/>
            <w:webHidden/>
          </w:rPr>
          <w:t>44</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01" w:history="1">
        <w:r w:rsidR="00F30F82" w:rsidRPr="00354E67">
          <w:rPr>
            <w:rStyle w:val="Hypertextovodkaz"/>
            <w:noProof/>
          </w:rPr>
          <w:t>4.3 Dílčí teoretický závěr</w:t>
        </w:r>
        <w:r w:rsidR="00F30F82">
          <w:rPr>
            <w:noProof/>
            <w:webHidden/>
          </w:rPr>
          <w:tab/>
        </w:r>
        <w:r>
          <w:rPr>
            <w:noProof/>
            <w:webHidden/>
          </w:rPr>
          <w:fldChar w:fldCharType="begin"/>
        </w:r>
        <w:r w:rsidR="00F30F82">
          <w:rPr>
            <w:noProof/>
            <w:webHidden/>
          </w:rPr>
          <w:instrText xml:space="preserve"> PAGEREF _Toc415065701 \h </w:instrText>
        </w:r>
        <w:r>
          <w:rPr>
            <w:noProof/>
            <w:webHidden/>
          </w:rPr>
        </w:r>
        <w:r>
          <w:rPr>
            <w:noProof/>
            <w:webHidden/>
          </w:rPr>
          <w:fldChar w:fldCharType="separate"/>
        </w:r>
        <w:r w:rsidR="00F30F82">
          <w:rPr>
            <w:noProof/>
            <w:webHidden/>
          </w:rPr>
          <w:t>44</w:t>
        </w:r>
        <w:r>
          <w:rPr>
            <w:noProof/>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702" w:history="1">
        <w:r w:rsidR="00F30F82" w:rsidRPr="00354E67">
          <w:rPr>
            <w:rStyle w:val="Hypertextovodkaz"/>
            <w:rFonts w:eastAsia="Arial Unicode MS"/>
          </w:rPr>
          <w:t>5. Stř</w:t>
        </w:r>
        <w:r w:rsidR="00F30F82" w:rsidRPr="00354E67">
          <w:rPr>
            <w:rStyle w:val="Hypertextovodkaz"/>
            <w:rFonts w:eastAsia="Arial Unicode MS"/>
            <w:lang w:val="nl-NL"/>
          </w:rPr>
          <w:t>et z</w:t>
        </w:r>
        <w:r w:rsidR="00F30F82" w:rsidRPr="00354E67">
          <w:rPr>
            <w:rStyle w:val="Hypertextovodkaz"/>
            <w:rFonts w:eastAsia="Arial Unicode MS"/>
          </w:rPr>
          <w:t>ájmů</w:t>
        </w:r>
        <w:r w:rsidR="00F30F82">
          <w:rPr>
            <w:webHidden/>
          </w:rPr>
          <w:tab/>
        </w:r>
        <w:r>
          <w:rPr>
            <w:webHidden/>
          </w:rPr>
          <w:fldChar w:fldCharType="begin"/>
        </w:r>
        <w:r w:rsidR="00F30F82">
          <w:rPr>
            <w:webHidden/>
          </w:rPr>
          <w:instrText xml:space="preserve"> PAGEREF _Toc415065702 \h </w:instrText>
        </w:r>
        <w:r>
          <w:rPr>
            <w:webHidden/>
          </w:rPr>
        </w:r>
        <w:r>
          <w:rPr>
            <w:webHidden/>
          </w:rPr>
          <w:fldChar w:fldCharType="separate"/>
        </w:r>
        <w:r w:rsidR="00F30F82">
          <w:rPr>
            <w:webHidden/>
          </w:rPr>
          <w:t>46</w:t>
        </w:r>
        <w:r>
          <w:rPr>
            <w:webHidden/>
          </w:rPr>
          <w:fldChar w:fldCharType="end"/>
        </w:r>
      </w:hyperlink>
    </w:p>
    <w:p w:rsidR="00F30F82" w:rsidRDefault="001005C2">
      <w:pPr>
        <w:pStyle w:val="Obsah2"/>
        <w:tabs>
          <w:tab w:val="left" w:pos="2640"/>
          <w:tab w:val="right" w:leader="dot" w:pos="9061"/>
        </w:tabs>
        <w:rPr>
          <w:rFonts w:asciiTheme="minorHAnsi" w:eastAsiaTheme="minorEastAsia" w:hAnsiTheme="minorHAnsi" w:cstheme="minorBidi"/>
          <w:noProof/>
          <w:sz w:val="22"/>
          <w:szCs w:val="22"/>
          <w:lang w:eastAsia="cs-CZ" w:bidi="ar-SA"/>
        </w:rPr>
      </w:pPr>
      <w:hyperlink w:anchor="_Toc415065703" w:history="1">
        <w:r w:rsidR="00F30F82" w:rsidRPr="00354E67">
          <w:rPr>
            <w:rStyle w:val="Hypertextovodkaz"/>
            <w:noProof/>
          </w:rPr>
          <w:t>5.1 Hrozící stř</w:t>
        </w:r>
        <w:r w:rsidR="00F30F82" w:rsidRPr="00354E67">
          <w:rPr>
            <w:rStyle w:val="Hypertextovodkaz"/>
            <w:noProof/>
            <w:lang w:val="nl-NL"/>
          </w:rPr>
          <w:t>et z</w:t>
        </w:r>
        <w:r w:rsidR="00F30F82" w:rsidRPr="00354E67">
          <w:rPr>
            <w:rStyle w:val="Hypertextovodkaz"/>
            <w:noProof/>
          </w:rPr>
          <w:t xml:space="preserve">ájmů </w:t>
        </w:r>
        <w:r w:rsidR="00F30F82">
          <w:rPr>
            <w:rFonts w:asciiTheme="minorHAnsi" w:eastAsiaTheme="minorEastAsia" w:hAnsiTheme="minorHAnsi" w:cstheme="minorBidi"/>
            <w:noProof/>
            <w:sz w:val="22"/>
            <w:szCs w:val="22"/>
            <w:lang w:eastAsia="cs-CZ" w:bidi="ar-SA"/>
          </w:rPr>
          <w:tab/>
        </w:r>
        <w:r w:rsidR="00F30F82" w:rsidRPr="00354E67">
          <w:rPr>
            <w:rStyle w:val="Hypertextovodkaz"/>
            <w:noProof/>
          </w:rPr>
          <w:t>při podnikatelských příležitostech</w:t>
        </w:r>
        <w:r w:rsidR="00F30F82">
          <w:rPr>
            <w:noProof/>
            <w:webHidden/>
          </w:rPr>
          <w:tab/>
        </w:r>
        <w:r>
          <w:rPr>
            <w:noProof/>
            <w:webHidden/>
          </w:rPr>
          <w:fldChar w:fldCharType="begin"/>
        </w:r>
        <w:r w:rsidR="00F30F82">
          <w:rPr>
            <w:noProof/>
            <w:webHidden/>
          </w:rPr>
          <w:instrText xml:space="preserve"> PAGEREF _Toc415065703 \h </w:instrText>
        </w:r>
        <w:r>
          <w:rPr>
            <w:noProof/>
            <w:webHidden/>
          </w:rPr>
        </w:r>
        <w:r>
          <w:rPr>
            <w:noProof/>
            <w:webHidden/>
          </w:rPr>
          <w:fldChar w:fldCharType="separate"/>
        </w:r>
        <w:r w:rsidR="00F30F82">
          <w:rPr>
            <w:noProof/>
            <w:webHidden/>
          </w:rPr>
          <w:t>46</w:t>
        </w:r>
        <w:r>
          <w:rPr>
            <w:noProof/>
            <w:webHidden/>
          </w:rPr>
          <w:fldChar w:fldCharType="end"/>
        </w:r>
      </w:hyperlink>
    </w:p>
    <w:p w:rsidR="00F30F82" w:rsidRDefault="001005C2">
      <w:pPr>
        <w:pStyle w:val="Obsah3"/>
        <w:tabs>
          <w:tab w:val="right" w:leader="dot" w:pos="9061"/>
        </w:tabs>
        <w:rPr>
          <w:rFonts w:asciiTheme="minorHAnsi" w:eastAsiaTheme="minorEastAsia" w:hAnsiTheme="minorHAnsi" w:cstheme="minorBidi"/>
          <w:noProof/>
          <w:sz w:val="22"/>
          <w:szCs w:val="22"/>
          <w:lang w:eastAsia="cs-CZ" w:bidi="ar-SA"/>
        </w:rPr>
      </w:pPr>
      <w:hyperlink w:anchor="_Toc415065704" w:history="1">
        <w:r w:rsidR="00F30F82" w:rsidRPr="00354E67">
          <w:rPr>
            <w:rStyle w:val="Hypertextovodkaz"/>
            <w:noProof/>
          </w:rPr>
          <w:t>5.1.1 Pozastavení výkonu funkce</w:t>
        </w:r>
        <w:r w:rsidR="00F30F82">
          <w:rPr>
            <w:noProof/>
            <w:webHidden/>
          </w:rPr>
          <w:tab/>
        </w:r>
        <w:r>
          <w:rPr>
            <w:noProof/>
            <w:webHidden/>
          </w:rPr>
          <w:fldChar w:fldCharType="begin"/>
        </w:r>
        <w:r w:rsidR="00F30F82">
          <w:rPr>
            <w:noProof/>
            <w:webHidden/>
          </w:rPr>
          <w:instrText xml:space="preserve"> PAGEREF _Toc415065704 \h </w:instrText>
        </w:r>
        <w:r>
          <w:rPr>
            <w:noProof/>
            <w:webHidden/>
          </w:rPr>
        </w:r>
        <w:r>
          <w:rPr>
            <w:noProof/>
            <w:webHidden/>
          </w:rPr>
          <w:fldChar w:fldCharType="separate"/>
        </w:r>
        <w:r w:rsidR="00F30F82">
          <w:rPr>
            <w:noProof/>
            <w:webHidden/>
          </w:rPr>
          <w:t>47</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05" w:history="1">
        <w:r w:rsidR="00F30F82" w:rsidRPr="00354E67">
          <w:rPr>
            <w:rStyle w:val="Hypertextovodkaz"/>
            <w:noProof/>
          </w:rPr>
          <w:t>5.2 Stř</w:t>
        </w:r>
        <w:r w:rsidR="00F30F82" w:rsidRPr="00354E67">
          <w:rPr>
            <w:rStyle w:val="Hypertextovodkaz"/>
            <w:noProof/>
            <w:lang w:val="nl-NL"/>
          </w:rPr>
          <w:t>et z</w:t>
        </w:r>
        <w:r w:rsidR="00F30F82" w:rsidRPr="00354E67">
          <w:rPr>
            <w:rStyle w:val="Hypertextovodkaz"/>
            <w:noProof/>
          </w:rPr>
          <w:t>ájmů při uzavírání smluv nebo zajišťování či utvrzování dluhů</w:t>
        </w:r>
        <w:r w:rsidR="00F30F82">
          <w:rPr>
            <w:noProof/>
            <w:webHidden/>
          </w:rPr>
          <w:tab/>
        </w:r>
        <w:r>
          <w:rPr>
            <w:noProof/>
            <w:webHidden/>
          </w:rPr>
          <w:fldChar w:fldCharType="begin"/>
        </w:r>
        <w:r w:rsidR="00F30F82">
          <w:rPr>
            <w:noProof/>
            <w:webHidden/>
          </w:rPr>
          <w:instrText xml:space="preserve"> PAGEREF _Toc415065705 \h </w:instrText>
        </w:r>
        <w:r>
          <w:rPr>
            <w:noProof/>
            <w:webHidden/>
          </w:rPr>
        </w:r>
        <w:r>
          <w:rPr>
            <w:noProof/>
            <w:webHidden/>
          </w:rPr>
          <w:fldChar w:fldCharType="separate"/>
        </w:r>
        <w:r w:rsidR="00F30F82">
          <w:rPr>
            <w:noProof/>
            <w:webHidden/>
          </w:rPr>
          <w:t>48</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06" w:history="1">
        <w:r w:rsidR="00F30F82" w:rsidRPr="00354E67">
          <w:rPr>
            <w:rStyle w:val="Hypertextovodkaz"/>
            <w:noProof/>
          </w:rPr>
          <w:t>5.3 Právnická osoba jako člen statutárního orgánu a konflikt zájmů z toho vyplývající</w:t>
        </w:r>
        <w:r w:rsidR="00F30F82">
          <w:rPr>
            <w:noProof/>
            <w:webHidden/>
          </w:rPr>
          <w:tab/>
        </w:r>
        <w:r>
          <w:rPr>
            <w:noProof/>
            <w:webHidden/>
          </w:rPr>
          <w:fldChar w:fldCharType="begin"/>
        </w:r>
        <w:r w:rsidR="00F30F82">
          <w:rPr>
            <w:noProof/>
            <w:webHidden/>
          </w:rPr>
          <w:instrText xml:space="preserve"> PAGEREF _Toc415065706 \h </w:instrText>
        </w:r>
        <w:r>
          <w:rPr>
            <w:noProof/>
            <w:webHidden/>
          </w:rPr>
        </w:r>
        <w:r>
          <w:rPr>
            <w:noProof/>
            <w:webHidden/>
          </w:rPr>
          <w:fldChar w:fldCharType="separate"/>
        </w:r>
        <w:r w:rsidR="00F30F82">
          <w:rPr>
            <w:noProof/>
            <w:webHidden/>
          </w:rPr>
          <w:t>49</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07" w:history="1">
        <w:r w:rsidR="00F30F82" w:rsidRPr="00354E67">
          <w:rPr>
            <w:rStyle w:val="Hypertextovodkaz"/>
            <w:noProof/>
          </w:rPr>
          <w:t>5.4 Dílčí teoretický závěr</w:t>
        </w:r>
        <w:r w:rsidR="00F30F82">
          <w:rPr>
            <w:noProof/>
            <w:webHidden/>
          </w:rPr>
          <w:tab/>
        </w:r>
        <w:r>
          <w:rPr>
            <w:noProof/>
            <w:webHidden/>
          </w:rPr>
          <w:fldChar w:fldCharType="begin"/>
        </w:r>
        <w:r w:rsidR="00F30F82">
          <w:rPr>
            <w:noProof/>
            <w:webHidden/>
          </w:rPr>
          <w:instrText xml:space="preserve"> PAGEREF _Toc415065707 \h </w:instrText>
        </w:r>
        <w:r>
          <w:rPr>
            <w:noProof/>
            <w:webHidden/>
          </w:rPr>
        </w:r>
        <w:r>
          <w:rPr>
            <w:noProof/>
            <w:webHidden/>
          </w:rPr>
          <w:fldChar w:fldCharType="separate"/>
        </w:r>
        <w:r w:rsidR="00F30F82">
          <w:rPr>
            <w:noProof/>
            <w:webHidden/>
          </w:rPr>
          <w:t>49</w:t>
        </w:r>
        <w:r>
          <w:rPr>
            <w:noProof/>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708" w:history="1">
        <w:r w:rsidR="00F30F82" w:rsidRPr="00354E67">
          <w:rPr>
            <w:rStyle w:val="Hypertextovodkaz"/>
            <w:rFonts w:eastAsia="Arial Unicode MS"/>
          </w:rPr>
          <w:t>6. Vyloučení z výkonu funkce jednatele</w:t>
        </w:r>
        <w:r w:rsidR="00F30F82">
          <w:rPr>
            <w:webHidden/>
          </w:rPr>
          <w:tab/>
        </w:r>
        <w:r>
          <w:rPr>
            <w:webHidden/>
          </w:rPr>
          <w:fldChar w:fldCharType="begin"/>
        </w:r>
        <w:r w:rsidR="00F30F82">
          <w:rPr>
            <w:webHidden/>
          </w:rPr>
          <w:instrText xml:space="preserve"> PAGEREF _Toc415065708 \h </w:instrText>
        </w:r>
        <w:r>
          <w:rPr>
            <w:webHidden/>
          </w:rPr>
        </w:r>
        <w:r>
          <w:rPr>
            <w:webHidden/>
          </w:rPr>
          <w:fldChar w:fldCharType="separate"/>
        </w:r>
        <w:r w:rsidR="00F30F82">
          <w:rPr>
            <w:webHidden/>
          </w:rPr>
          <w:t>51</w:t>
        </w:r>
        <w:r>
          <w:rPr>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09" w:history="1">
        <w:r w:rsidR="00F30F82" w:rsidRPr="00354E67">
          <w:rPr>
            <w:rStyle w:val="Hypertextovodkaz"/>
            <w:noProof/>
          </w:rPr>
          <w:t>6.1 Vyloučení v režimu insolvenčního řízení</w:t>
        </w:r>
        <w:r w:rsidR="00F30F82">
          <w:rPr>
            <w:noProof/>
            <w:webHidden/>
          </w:rPr>
          <w:tab/>
        </w:r>
        <w:r>
          <w:rPr>
            <w:noProof/>
            <w:webHidden/>
          </w:rPr>
          <w:fldChar w:fldCharType="begin"/>
        </w:r>
        <w:r w:rsidR="00F30F82">
          <w:rPr>
            <w:noProof/>
            <w:webHidden/>
          </w:rPr>
          <w:instrText xml:space="preserve"> PAGEREF _Toc415065709 \h </w:instrText>
        </w:r>
        <w:r>
          <w:rPr>
            <w:noProof/>
            <w:webHidden/>
          </w:rPr>
        </w:r>
        <w:r>
          <w:rPr>
            <w:noProof/>
            <w:webHidden/>
          </w:rPr>
          <w:fldChar w:fldCharType="separate"/>
        </w:r>
        <w:r w:rsidR="00F30F82">
          <w:rPr>
            <w:noProof/>
            <w:webHidden/>
          </w:rPr>
          <w:t>52</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10" w:history="1">
        <w:r w:rsidR="00F30F82" w:rsidRPr="00354E67">
          <w:rPr>
            <w:rStyle w:val="Hypertextovodkaz"/>
            <w:noProof/>
          </w:rPr>
          <w:t xml:space="preserve">6.2 Vyloučení </w:t>
        </w:r>
        <w:r w:rsidR="00F30F82" w:rsidRPr="00354E67">
          <w:rPr>
            <w:rStyle w:val="Hypertextovodkaz"/>
            <w:noProof/>
            <w:lang w:val="es-ES_tradnl"/>
          </w:rPr>
          <w:t>mimo re</w:t>
        </w:r>
        <w:r w:rsidR="00F30F82" w:rsidRPr="00354E67">
          <w:rPr>
            <w:rStyle w:val="Hypertextovodkaz"/>
            <w:noProof/>
          </w:rPr>
          <w:t>žim insolvenčního řízení</w:t>
        </w:r>
        <w:r w:rsidR="00F30F82">
          <w:rPr>
            <w:noProof/>
            <w:webHidden/>
          </w:rPr>
          <w:tab/>
        </w:r>
        <w:r>
          <w:rPr>
            <w:noProof/>
            <w:webHidden/>
          </w:rPr>
          <w:fldChar w:fldCharType="begin"/>
        </w:r>
        <w:r w:rsidR="00F30F82">
          <w:rPr>
            <w:noProof/>
            <w:webHidden/>
          </w:rPr>
          <w:instrText xml:space="preserve"> PAGEREF _Toc415065710 \h </w:instrText>
        </w:r>
        <w:r>
          <w:rPr>
            <w:noProof/>
            <w:webHidden/>
          </w:rPr>
        </w:r>
        <w:r>
          <w:rPr>
            <w:noProof/>
            <w:webHidden/>
          </w:rPr>
          <w:fldChar w:fldCharType="separate"/>
        </w:r>
        <w:r w:rsidR="00F30F82">
          <w:rPr>
            <w:noProof/>
            <w:webHidden/>
          </w:rPr>
          <w:t>53</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11" w:history="1">
        <w:r w:rsidR="00F30F82" w:rsidRPr="00354E67">
          <w:rPr>
            <w:rStyle w:val="Hypertextovodkaz"/>
            <w:noProof/>
          </w:rPr>
          <w:t>6.3 Dílčí teoretický závěr</w:t>
        </w:r>
        <w:r w:rsidR="00F30F82">
          <w:rPr>
            <w:noProof/>
            <w:webHidden/>
          </w:rPr>
          <w:tab/>
        </w:r>
        <w:r>
          <w:rPr>
            <w:noProof/>
            <w:webHidden/>
          </w:rPr>
          <w:fldChar w:fldCharType="begin"/>
        </w:r>
        <w:r w:rsidR="00F30F82">
          <w:rPr>
            <w:noProof/>
            <w:webHidden/>
          </w:rPr>
          <w:instrText xml:space="preserve"> PAGEREF _Toc415065711 \h </w:instrText>
        </w:r>
        <w:r>
          <w:rPr>
            <w:noProof/>
            <w:webHidden/>
          </w:rPr>
        </w:r>
        <w:r>
          <w:rPr>
            <w:noProof/>
            <w:webHidden/>
          </w:rPr>
          <w:fldChar w:fldCharType="separate"/>
        </w:r>
        <w:r w:rsidR="00F30F82">
          <w:rPr>
            <w:noProof/>
            <w:webHidden/>
          </w:rPr>
          <w:t>53</w:t>
        </w:r>
        <w:r>
          <w:rPr>
            <w:noProof/>
            <w:webHidden/>
          </w:rPr>
          <w:fldChar w:fldCharType="end"/>
        </w:r>
      </w:hyperlink>
    </w:p>
    <w:p w:rsidR="00F30F82" w:rsidRDefault="001005C2">
      <w:pPr>
        <w:pStyle w:val="Obsah1"/>
        <w:rPr>
          <w:rFonts w:asciiTheme="minorHAnsi" w:eastAsiaTheme="minorEastAsia" w:hAnsiTheme="minorHAnsi" w:cstheme="minorBidi"/>
          <w:b w:val="0"/>
          <w:sz w:val="22"/>
          <w:szCs w:val="22"/>
          <w:lang w:bidi="ar-SA"/>
        </w:rPr>
      </w:pPr>
      <w:hyperlink w:anchor="_Toc415065712" w:history="1">
        <w:r w:rsidR="00F30F82" w:rsidRPr="00354E67">
          <w:rPr>
            <w:rStyle w:val="Hypertextovodkaz"/>
            <w:rFonts w:eastAsia="Arial Unicode MS"/>
          </w:rPr>
          <w:t>7. Ručení jednatele jako statutárního orgánu</w:t>
        </w:r>
        <w:r w:rsidR="00F30F82">
          <w:rPr>
            <w:webHidden/>
          </w:rPr>
          <w:tab/>
        </w:r>
        <w:r>
          <w:rPr>
            <w:webHidden/>
          </w:rPr>
          <w:fldChar w:fldCharType="begin"/>
        </w:r>
        <w:r w:rsidR="00F30F82">
          <w:rPr>
            <w:webHidden/>
          </w:rPr>
          <w:instrText xml:space="preserve"> PAGEREF _Toc415065712 \h </w:instrText>
        </w:r>
        <w:r>
          <w:rPr>
            <w:webHidden/>
          </w:rPr>
        </w:r>
        <w:r>
          <w:rPr>
            <w:webHidden/>
          </w:rPr>
          <w:fldChar w:fldCharType="separate"/>
        </w:r>
        <w:r w:rsidR="00F30F82">
          <w:rPr>
            <w:webHidden/>
          </w:rPr>
          <w:t>54</w:t>
        </w:r>
        <w:r>
          <w:rPr>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13" w:history="1">
        <w:r w:rsidR="00F30F82" w:rsidRPr="00354E67">
          <w:rPr>
            <w:rStyle w:val="Hypertextovodkaz"/>
            <w:noProof/>
          </w:rPr>
          <w:t>7.1 Ručení při nesplnění povinností vyplývajících z výkonu funkce</w:t>
        </w:r>
        <w:r w:rsidR="00F30F82">
          <w:rPr>
            <w:noProof/>
            <w:webHidden/>
          </w:rPr>
          <w:tab/>
        </w:r>
        <w:r>
          <w:rPr>
            <w:noProof/>
            <w:webHidden/>
          </w:rPr>
          <w:fldChar w:fldCharType="begin"/>
        </w:r>
        <w:r w:rsidR="00F30F82">
          <w:rPr>
            <w:noProof/>
            <w:webHidden/>
          </w:rPr>
          <w:instrText xml:space="preserve"> PAGEREF _Toc415065713 \h </w:instrText>
        </w:r>
        <w:r>
          <w:rPr>
            <w:noProof/>
            <w:webHidden/>
          </w:rPr>
        </w:r>
        <w:r>
          <w:rPr>
            <w:noProof/>
            <w:webHidden/>
          </w:rPr>
          <w:fldChar w:fldCharType="separate"/>
        </w:r>
        <w:r w:rsidR="00F30F82">
          <w:rPr>
            <w:noProof/>
            <w:webHidden/>
          </w:rPr>
          <w:t>54</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14" w:history="1">
        <w:r w:rsidR="00F30F82" w:rsidRPr="00354E67">
          <w:rPr>
            <w:rStyle w:val="Hypertextovodkaz"/>
            <w:noProof/>
          </w:rPr>
          <w:t>7.2 Ručení při nesplnění zákazu při rozhodnutí o vyloučení</w:t>
        </w:r>
        <w:r w:rsidR="00F30F82">
          <w:rPr>
            <w:noProof/>
            <w:webHidden/>
          </w:rPr>
          <w:tab/>
        </w:r>
        <w:r>
          <w:rPr>
            <w:noProof/>
            <w:webHidden/>
          </w:rPr>
          <w:fldChar w:fldCharType="begin"/>
        </w:r>
        <w:r w:rsidR="00F30F82">
          <w:rPr>
            <w:noProof/>
            <w:webHidden/>
          </w:rPr>
          <w:instrText xml:space="preserve"> PAGEREF _Toc415065714 \h </w:instrText>
        </w:r>
        <w:r>
          <w:rPr>
            <w:noProof/>
            <w:webHidden/>
          </w:rPr>
        </w:r>
        <w:r>
          <w:rPr>
            <w:noProof/>
            <w:webHidden/>
          </w:rPr>
          <w:fldChar w:fldCharType="separate"/>
        </w:r>
        <w:r w:rsidR="00F30F82">
          <w:rPr>
            <w:noProof/>
            <w:webHidden/>
          </w:rPr>
          <w:t>55</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15" w:history="1">
        <w:r w:rsidR="00F30F82" w:rsidRPr="00354E67">
          <w:rPr>
            <w:rStyle w:val="Hypertextovodkaz"/>
            <w:noProof/>
          </w:rPr>
          <w:t>7.3 Ručení při úpadku obchodní korporace</w:t>
        </w:r>
        <w:r w:rsidR="00F30F82">
          <w:rPr>
            <w:noProof/>
            <w:webHidden/>
          </w:rPr>
          <w:tab/>
        </w:r>
        <w:r>
          <w:rPr>
            <w:noProof/>
            <w:webHidden/>
          </w:rPr>
          <w:fldChar w:fldCharType="begin"/>
        </w:r>
        <w:r w:rsidR="00F30F82">
          <w:rPr>
            <w:noProof/>
            <w:webHidden/>
          </w:rPr>
          <w:instrText xml:space="preserve"> PAGEREF _Toc415065715 \h </w:instrText>
        </w:r>
        <w:r>
          <w:rPr>
            <w:noProof/>
            <w:webHidden/>
          </w:rPr>
        </w:r>
        <w:r>
          <w:rPr>
            <w:noProof/>
            <w:webHidden/>
          </w:rPr>
          <w:fldChar w:fldCharType="separate"/>
        </w:r>
        <w:r w:rsidR="00F30F82">
          <w:rPr>
            <w:noProof/>
            <w:webHidden/>
          </w:rPr>
          <w:t>56</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16" w:history="1">
        <w:r w:rsidR="00F30F82" w:rsidRPr="00354E67">
          <w:rPr>
            <w:rStyle w:val="Hypertextovodkaz"/>
            <w:noProof/>
          </w:rPr>
          <w:t>7.4 Ručení dle zákona č</w:t>
        </w:r>
        <w:r w:rsidR="00F30F82" w:rsidRPr="00354E67">
          <w:rPr>
            <w:rStyle w:val="Hypertextovodkaz"/>
            <w:noProof/>
            <w:lang w:val="pt-PT"/>
          </w:rPr>
          <w:t xml:space="preserve">. 182/2006 Sb., o </w:t>
        </w:r>
        <w:r w:rsidR="00F30F82" w:rsidRPr="00354E67">
          <w:rPr>
            <w:rStyle w:val="Hypertextovodkaz"/>
            <w:noProof/>
          </w:rPr>
          <w:t>úpadku a způsobech jeho řešení (insolvenční zákon)</w:t>
        </w:r>
        <w:r w:rsidR="00F30F82">
          <w:rPr>
            <w:noProof/>
            <w:webHidden/>
          </w:rPr>
          <w:tab/>
        </w:r>
        <w:r>
          <w:rPr>
            <w:noProof/>
            <w:webHidden/>
          </w:rPr>
          <w:fldChar w:fldCharType="begin"/>
        </w:r>
        <w:r w:rsidR="00F30F82">
          <w:rPr>
            <w:noProof/>
            <w:webHidden/>
          </w:rPr>
          <w:instrText xml:space="preserve"> PAGEREF _Toc415065716 \h </w:instrText>
        </w:r>
        <w:r>
          <w:rPr>
            <w:noProof/>
            <w:webHidden/>
          </w:rPr>
        </w:r>
        <w:r>
          <w:rPr>
            <w:noProof/>
            <w:webHidden/>
          </w:rPr>
          <w:fldChar w:fldCharType="separate"/>
        </w:r>
        <w:r w:rsidR="00F30F82">
          <w:rPr>
            <w:noProof/>
            <w:webHidden/>
          </w:rPr>
          <w:t>56</w:t>
        </w:r>
        <w:r>
          <w:rPr>
            <w:noProof/>
            <w:webHidden/>
          </w:rPr>
          <w:fldChar w:fldCharType="end"/>
        </w:r>
      </w:hyperlink>
    </w:p>
    <w:p w:rsidR="00F30F82" w:rsidRDefault="001005C2">
      <w:pPr>
        <w:pStyle w:val="Obsah2"/>
        <w:tabs>
          <w:tab w:val="right" w:leader="dot" w:pos="9061"/>
        </w:tabs>
        <w:rPr>
          <w:rFonts w:asciiTheme="minorHAnsi" w:eastAsiaTheme="minorEastAsia" w:hAnsiTheme="minorHAnsi" w:cstheme="minorBidi"/>
          <w:noProof/>
          <w:sz w:val="22"/>
          <w:szCs w:val="22"/>
          <w:lang w:eastAsia="cs-CZ" w:bidi="ar-SA"/>
        </w:rPr>
      </w:pPr>
      <w:hyperlink w:anchor="_Toc415065717" w:history="1">
        <w:r w:rsidR="00F30F82" w:rsidRPr="00354E67">
          <w:rPr>
            <w:rStyle w:val="Hypertextovodkaz"/>
            <w:noProof/>
          </w:rPr>
          <w:t>7.4 Dílčí teoretický závěr</w:t>
        </w:r>
        <w:r w:rsidR="00F30F82">
          <w:rPr>
            <w:noProof/>
            <w:webHidden/>
          </w:rPr>
          <w:tab/>
        </w:r>
        <w:r>
          <w:rPr>
            <w:noProof/>
            <w:webHidden/>
          </w:rPr>
          <w:fldChar w:fldCharType="begin"/>
        </w:r>
        <w:r w:rsidR="00F30F82">
          <w:rPr>
            <w:noProof/>
            <w:webHidden/>
          </w:rPr>
          <w:instrText xml:space="preserve"> PAGEREF _Toc415065717 \h </w:instrText>
        </w:r>
        <w:r>
          <w:rPr>
            <w:noProof/>
            <w:webHidden/>
          </w:rPr>
        </w:r>
        <w:r>
          <w:rPr>
            <w:noProof/>
            <w:webHidden/>
          </w:rPr>
          <w:fldChar w:fldCharType="separate"/>
        </w:r>
        <w:r w:rsidR="00F30F82">
          <w:rPr>
            <w:noProof/>
            <w:webHidden/>
          </w:rPr>
          <w:t>57</w:t>
        </w:r>
        <w:r>
          <w:rPr>
            <w:noProof/>
            <w:webHidden/>
          </w:rPr>
          <w:fldChar w:fldCharType="end"/>
        </w:r>
      </w:hyperlink>
    </w:p>
    <w:p w:rsidR="00F30F82" w:rsidRPr="00F30F82" w:rsidRDefault="001005C2">
      <w:pPr>
        <w:pStyle w:val="Obsah1"/>
        <w:rPr>
          <w:rFonts w:asciiTheme="minorHAnsi" w:eastAsiaTheme="minorEastAsia" w:hAnsiTheme="minorHAnsi" w:cstheme="minorBidi"/>
          <w:sz w:val="22"/>
          <w:szCs w:val="22"/>
          <w:lang w:bidi="ar-SA"/>
        </w:rPr>
      </w:pPr>
      <w:hyperlink w:anchor="_Toc415065718" w:history="1">
        <w:r w:rsidR="00F30F82" w:rsidRPr="00F30F82">
          <w:rPr>
            <w:rStyle w:val="Hypertextovodkaz"/>
            <w:rFonts w:eastAsia="Arial Unicode MS"/>
          </w:rPr>
          <w:t>Závěr</w:t>
        </w:r>
        <w:r w:rsidR="00F30F82" w:rsidRPr="00F30F82">
          <w:rPr>
            <w:webHidden/>
          </w:rPr>
          <w:tab/>
        </w:r>
        <w:r w:rsidRPr="00F30F82">
          <w:rPr>
            <w:webHidden/>
          </w:rPr>
          <w:fldChar w:fldCharType="begin"/>
        </w:r>
        <w:r w:rsidR="00F30F82" w:rsidRPr="00F30F82">
          <w:rPr>
            <w:webHidden/>
          </w:rPr>
          <w:instrText xml:space="preserve"> PAGEREF _Toc415065718 \h </w:instrText>
        </w:r>
        <w:r w:rsidRPr="00F30F82">
          <w:rPr>
            <w:webHidden/>
          </w:rPr>
        </w:r>
        <w:r w:rsidRPr="00F30F82">
          <w:rPr>
            <w:webHidden/>
          </w:rPr>
          <w:fldChar w:fldCharType="separate"/>
        </w:r>
        <w:r w:rsidR="00F30F82" w:rsidRPr="00F30F82">
          <w:rPr>
            <w:webHidden/>
          </w:rPr>
          <w:t>58</w:t>
        </w:r>
        <w:r w:rsidRPr="00F30F82">
          <w:rPr>
            <w:webHidden/>
          </w:rPr>
          <w:fldChar w:fldCharType="end"/>
        </w:r>
      </w:hyperlink>
    </w:p>
    <w:p w:rsidR="00F30F82" w:rsidRPr="00F30F82" w:rsidRDefault="001005C2">
      <w:pPr>
        <w:pStyle w:val="Obsah1"/>
        <w:rPr>
          <w:rFonts w:asciiTheme="minorHAnsi" w:eastAsiaTheme="minorEastAsia" w:hAnsiTheme="minorHAnsi" w:cstheme="minorBidi"/>
          <w:sz w:val="22"/>
          <w:szCs w:val="22"/>
          <w:lang w:bidi="ar-SA"/>
        </w:rPr>
      </w:pPr>
      <w:hyperlink w:anchor="_Toc415065719" w:history="1">
        <w:r w:rsidR="00F30F82" w:rsidRPr="00F30F82">
          <w:rPr>
            <w:rStyle w:val="Hypertextovodkaz"/>
          </w:rPr>
          <w:t>Bibliografie</w:t>
        </w:r>
        <w:r w:rsidR="00F30F82" w:rsidRPr="00F30F82">
          <w:rPr>
            <w:webHidden/>
          </w:rPr>
          <w:tab/>
        </w:r>
        <w:r w:rsidRPr="00F30F82">
          <w:rPr>
            <w:webHidden/>
          </w:rPr>
          <w:fldChar w:fldCharType="begin"/>
        </w:r>
        <w:r w:rsidR="00F30F82" w:rsidRPr="00F30F82">
          <w:rPr>
            <w:webHidden/>
          </w:rPr>
          <w:instrText xml:space="preserve"> PAGEREF _Toc415065719 \h </w:instrText>
        </w:r>
        <w:r w:rsidRPr="00F30F82">
          <w:rPr>
            <w:webHidden/>
          </w:rPr>
        </w:r>
        <w:r w:rsidRPr="00F30F82">
          <w:rPr>
            <w:webHidden/>
          </w:rPr>
          <w:fldChar w:fldCharType="separate"/>
        </w:r>
        <w:r w:rsidR="00F30F82" w:rsidRPr="00F30F82">
          <w:rPr>
            <w:webHidden/>
          </w:rPr>
          <w:t>62</w:t>
        </w:r>
        <w:r w:rsidRPr="00F30F82">
          <w:rPr>
            <w:webHidden/>
          </w:rPr>
          <w:fldChar w:fldCharType="end"/>
        </w:r>
      </w:hyperlink>
    </w:p>
    <w:p w:rsidR="00F30F82" w:rsidRPr="00F30F82" w:rsidRDefault="001005C2">
      <w:pPr>
        <w:pStyle w:val="Obsah1"/>
        <w:rPr>
          <w:rFonts w:asciiTheme="minorHAnsi" w:eastAsiaTheme="minorEastAsia" w:hAnsiTheme="minorHAnsi" w:cstheme="minorBidi"/>
          <w:sz w:val="22"/>
          <w:szCs w:val="22"/>
          <w:lang w:bidi="ar-SA"/>
        </w:rPr>
      </w:pPr>
      <w:hyperlink w:anchor="_Toc415065720" w:history="1">
        <w:r w:rsidR="00F30F82" w:rsidRPr="00F30F82">
          <w:rPr>
            <w:rStyle w:val="Hypertextovodkaz"/>
            <w:rFonts w:eastAsia="Arial Unicode MS"/>
          </w:rPr>
          <w:t>Shrnutí</w:t>
        </w:r>
        <w:r w:rsidR="00F30F82" w:rsidRPr="00F30F82">
          <w:rPr>
            <w:webHidden/>
          </w:rPr>
          <w:tab/>
        </w:r>
        <w:r w:rsidRPr="00F30F82">
          <w:rPr>
            <w:webHidden/>
          </w:rPr>
          <w:fldChar w:fldCharType="begin"/>
        </w:r>
        <w:r w:rsidR="00F30F82" w:rsidRPr="00F30F82">
          <w:rPr>
            <w:webHidden/>
          </w:rPr>
          <w:instrText xml:space="preserve"> PAGEREF _Toc415065720 \h </w:instrText>
        </w:r>
        <w:r w:rsidRPr="00F30F82">
          <w:rPr>
            <w:webHidden/>
          </w:rPr>
        </w:r>
        <w:r w:rsidRPr="00F30F82">
          <w:rPr>
            <w:webHidden/>
          </w:rPr>
          <w:fldChar w:fldCharType="separate"/>
        </w:r>
        <w:r w:rsidR="00F30F82" w:rsidRPr="00F30F82">
          <w:rPr>
            <w:webHidden/>
          </w:rPr>
          <w:t>66</w:t>
        </w:r>
        <w:r w:rsidRPr="00F30F82">
          <w:rPr>
            <w:webHidden/>
          </w:rPr>
          <w:fldChar w:fldCharType="end"/>
        </w:r>
      </w:hyperlink>
    </w:p>
    <w:p w:rsidR="00F30F82" w:rsidRPr="00F30F82" w:rsidRDefault="001005C2">
      <w:pPr>
        <w:pStyle w:val="Obsah1"/>
        <w:rPr>
          <w:rFonts w:asciiTheme="minorHAnsi" w:eastAsiaTheme="minorEastAsia" w:hAnsiTheme="minorHAnsi" w:cstheme="minorBidi"/>
          <w:sz w:val="22"/>
          <w:szCs w:val="22"/>
          <w:lang w:bidi="ar-SA"/>
        </w:rPr>
      </w:pPr>
      <w:hyperlink w:anchor="_Toc415065721" w:history="1">
        <w:r w:rsidR="00F30F82" w:rsidRPr="00F30F82">
          <w:rPr>
            <w:rStyle w:val="Hypertextovodkaz"/>
            <w:rFonts w:eastAsia="Arial Unicode MS"/>
            <w:lang w:val="sv-SE"/>
          </w:rPr>
          <w:t>Summary</w:t>
        </w:r>
        <w:r w:rsidR="00F30F82" w:rsidRPr="00F30F82">
          <w:rPr>
            <w:webHidden/>
          </w:rPr>
          <w:tab/>
        </w:r>
        <w:r w:rsidRPr="00F30F82">
          <w:rPr>
            <w:webHidden/>
          </w:rPr>
          <w:fldChar w:fldCharType="begin"/>
        </w:r>
        <w:r w:rsidR="00F30F82" w:rsidRPr="00F30F82">
          <w:rPr>
            <w:webHidden/>
          </w:rPr>
          <w:instrText xml:space="preserve"> PAGEREF _Toc415065721 \h </w:instrText>
        </w:r>
        <w:r w:rsidRPr="00F30F82">
          <w:rPr>
            <w:webHidden/>
          </w:rPr>
        </w:r>
        <w:r w:rsidRPr="00F30F82">
          <w:rPr>
            <w:webHidden/>
          </w:rPr>
          <w:fldChar w:fldCharType="separate"/>
        </w:r>
        <w:r w:rsidR="00F30F82" w:rsidRPr="00F30F82">
          <w:rPr>
            <w:webHidden/>
          </w:rPr>
          <w:t>67</w:t>
        </w:r>
        <w:r w:rsidRPr="00F30F82">
          <w:rPr>
            <w:webHidden/>
          </w:rPr>
          <w:fldChar w:fldCharType="end"/>
        </w:r>
      </w:hyperlink>
    </w:p>
    <w:p w:rsidR="00F30F82" w:rsidRPr="00F30F82" w:rsidRDefault="001005C2">
      <w:pPr>
        <w:pStyle w:val="Obsah1"/>
        <w:rPr>
          <w:rFonts w:asciiTheme="minorHAnsi" w:eastAsiaTheme="minorEastAsia" w:hAnsiTheme="minorHAnsi" w:cstheme="minorBidi"/>
          <w:sz w:val="22"/>
          <w:szCs w:val="22"/>
          <w:lang w:bidi="ar-SA"/>
        </w:rPr>
      </w:pPr>
      <w:hyperlink w:anchor="_Toc415065722" w:history="1">
        <w:r w:rsidR="00F30F82" w:rsidRPr="00F30F82">
          <w:rPr>
            <w:rStyle w:val="Hypertextovodkaz"/>
          </w:rPr>
          <w:t>Seznam klíčových slov</w:t>
        </w:r>
        <w:r w:rsidR="00F30F82" w:rsidRPr="00F30F82">
          <w:rPr>
            <w:webHidden/>
          </w:rPr>
          <w:tab/>
        </w:r>
        <w:r w:rsidRPr="00F30F82">
          <w:rPr>
            <w:webHidden/>
          </w:rPr>
          <w:fldChar w:fldCharType="begin"/>
        </w:r>
        <w:r w:rsidR="00F30F82" w:rsidRPr="00F30F82">
          <w:rPr>
            <w:webHidden/>
          </w:rPr>
          <w:instrText xml:space="preserve"> PAGEREF _Toc415065722 \h </w:instrText>
        </w:r>
        <w:r w:rsidRPr="00F30F82">
          <w:rPr>
            <w:webHidden/>
          </w:rPr>
        </w:r>
        <w:r w:rsidRPr="00F30F82">
          <w:rPr>
            <w:webHidden/>
          </w:rPr>
          <w:fldChar w:fldCharType="separate"/>
        </w:r>
        <w:r w:rsidR="00F30F82" w:rsidRPr="00F30F82">
          <w:rPr>
            <w:webHidden/>
          </w:rPr>
          <w:t>68</w:t>
        </w:r>
        <w:r w:rsidRPr="00F30F82">
          <w:rPr>
            <w:webHidden/>
          </w:rPr>
          <w:fldChar w:fldCharType="end"/>
        </w:r>
      </w:hyperlink>
    </w:p>
    <w:p w:rsidR="00F30F82" w:rsidRPr="00F30F82" w:rsidRDefault="001005C2">
      <w:pPr>
        <w:pStyle w:val="Obsah1"/>
        <w:rPr>
          <w:rFonts w:asciiTheme="minorHAnsi" w:eastAsiaTheme="minorEastAsia" w:hAnsiTheme="minorHAnsi" w:cstheme="minorBidi"/>
          <w:sz w:val="22"/>
          <w:szCs w:val="22"/>
          <w:lang w:bidi="ar-SA"/>
        </w:rPr>
      </w:pPr>
      <w:hyperlink w:anchor="_Toc415065723" w:history="1">
        <w:r w:rsidR="00F30F82" w:rsidRPr="00F30F82">
          <w:rPr>
            <w:rStyle w:val="Hypertextovodkaz"/>
            <w:rFonts w:eastAsia="Arial Unicode MS"/>
          </w:rPr>
          <w:t>Keywords</w:t>
        </w:r>
        <w:r w:rsidR="00F30F82" w:rsidRPr="00F30F82">
          <w:rPr>
            <w:webHidden/>
          </w:rPr>
          <w:tab/>
        </w:r>
        <w:r w:rsidRPr="00F30F82">
          <w:rPr>
            <w:webHidden/>
          </w:rPr>
          <w:fldChar w:fldCharType="begin"/>
        </w:r>
        <w:r w:rsidR="00F30F82" w:rsidRPr="00F30F82">
          <w:rPr>
            <w:webHidden/>
          </w:rPr>
          <w:instrText xml:space="preserve"> PAGEREF _Toc415065723 \h </w:instrText>
        </w:r>
        <w:r w:rsidRPr="00F30F82">
          <w:rPr>
            <w:webHidden/>
          </w:rPr>
        </w:r>
        <w:r w:rsidRPr="00F30F82">
          <w:rPr>
            <w:webHidden/>
          </w:rPr>
          <w:fldChar w:fldCharType="separate"/>
        </w:r>
        <w:r w:rsidR="00F30F82" w:rsidRPr="00F30F82">
          <w:rPr>
            <w:webHidden/>
          </w:rPr>
          <w:t>69</w:t>
        </w:r>
        <w:r w:rsidRPr="00F30F82">
          <w:rPr>
            <w:webHidden/>
          </w:rPr>
          <w:fldChar w:fldCharType="end"/>
        </w:r>
      </w:hyperlink>
    </w:p>
    <w:p w:rsidR="00F30F82" w:rsidRPr="00F30F82" w:rsidRDefault="001005C2">
      <w:pPr>
        <w:pStyle w:val="Obsah1"/>
        <w:rPr>
          <w:rFonts w:asciiTheme="minorHAnsi" w:eastAsiaTheme="minorEastAsia" w:hAnsiTheme="minorHAnsi" w:cstheme="minorBidi"/>
          <w:sz w:val="22"/>
          <w:szCs w:val="22"/>
          <w:lang w:bidi="ar-SA"/>
        </w:rPr>
      </w:pPr>
      <w:hyperlink w:anchor="_Toc415065724" w:history="1">
        <w:r w:rsidR="00F30F82" w:rsidRPr="00F30F82">
          <w:rPr>
            <w:rStyle w:val="Hypertextovodkaz"/>
            <w:rFonts w:eastAsia="Arial Unicode MS"/>
          </w:rPr>
          <w:t>Přílohy</w:t>
        </w:r>
        <w:r w:rsidR="00F30F82" w:rsidRPr="00F30F82">
          <w:rPr>
            <w:webHidden/>
          </w:rPr>
          <w:tab/>
        </w:r>
        <w:r w:rsidRPr="00F30F82">
          <w:rPr>
            <w:webHidden/>
          </w:rPr>
          <w:fldChar w:fldCharType="begin"/>
        </w:r>
        <w:r w:rsidR="00F30F82" w:rsidRPr="00F30F82">
          <w:rPr>
            <w:webHidden/>
          </w:rPr>
          <w:instrText xml:space="preserve"> PAGEREF _Toc415065724 \h </w:instrText>
        </w:r>
        <w:r w:rsidRPr="00F30F82">
          <w:rPr>
            <w:webHidden/>
          </w:rPr>
        </w:r>
        <w:r w:rsidRPr="00F30F82">
          <w:rPr>
            <w:webHidden/>
          </w:rPr>
          <w:fldChar w:fldCharType="separate"/>
        </w:r>
        <w:r w:rsidR="00F30F82" w:rsidRPr="00F30F82">
          <w:rPr>
            <w:webHidden/>
          </w:rPr>
          <w:t>70</w:t>
        </w:r>
        <w:r w:rsidRPr="00F30F82">
          <w:rPr>
            <w:webHidden/>
          </w:rPr>
          <w:fldChar w:fldCharType="end"/>
        </w:r>
      </w:hyperlink>
    </w:p>
    <w:p w:rsidR="009D4397" w:rsidRPr="00494962" w:rsidRDefault="001005C2" w:rsidP="009D4397">
      <w:r w:rsidRPr="00494962">
        <w:rPr>
          <w:b/>
          <w:noProof/>
          <w:lang w:eastAsia="cs-CZ"/>
        </w:rPr>
        <w:fldChar w:fldCharType="end"/>
      </w:r>
    </w:p>
    <w:p w:rsidR="00F73F6E" w:rsidRPr="00494962" w:rsidRDefault="00AE65DC" w:rsidP="00F73F6E">
      <w:pPr>
        <w:pStyle w:val="Nadpis1"/>
      </w:pPr>
      <w:bookmarkStart w:id="2" w:name="_Toc405733544"/>
      <w:r w:rsidRPr="00494962">
        <w:br w:type="page"/>
      </w:r>
      <w:bookmarkStart w:id="3" w:name="_Toc415065669"/>
      <w:r w:rsidR="00F73F6E" w:rsidRPr="00494962">
        <w:rPr>
          <w:rFonts w:eastAsia="Arial Unicode MS" w:cs="Arial Unicode MS"/>
        </w:rPr>
        <w:lastRenderedPageBreak/>
        <w:t>Seznam použitých zkratek</w:t>
      </w:r>
      <w:bookmarkEnd w:id="3"/>
      <w:r w:rsidR="00F73F6E" w:rsidRPr="00494962">
        <w:rPr>
          <w:rFonts w:eastAsia="Arial Unicode MS" w:cs="Arial Unicode MS"/>
        </w:rPr>
        <w:t xml:space="preserve"> </w:t>
      </w:r>
    </w:p>
    <w:p w:rsidR="00F73F6E" w:rsidRPr="00494962" w:rsidRDefault="00F73F6E" w:rsidP="00F73F6E">
      <w:pPr>
        <w:pStyle w:val="Bezmezer"/>
      </w:pPr>
      <w:r w:rsidRPr="00494962">
        <w:rPr>
          <w:b/>
        </w:rPr>
        <w:t>ČR</w:t>
      </w:r>
      <w:r w:rsidRPr="00494962">
        <w:tab/>
      </w:r>
      <w:r w:rsidRPr="00494962">
        <w:tab/>
        <w:t xml:space="preserve">Česká </w:t>
      </w:r>
      <w:r w:rsidRPr="00494962">
        <w:rPr>
          <w:lang w:val="sv-SE"/>
        </w:rPr>
        <w:t xml:space="preserve">republika </w:t>
      </w:r>
    </w:p>
    <w:p w:rsidR="00F73F6E" w:rsidRPr="00494962" w:rsidRDefault="00F73F6E" w:rsidP="00F73F6E">
      <w:pPr>
        <w:pStyle w:val="Bezmezer"/>
      </w:pPr>
      <w:r w:rsidRPr="00494962">
        <w:rPr>
          <w:b/>
        </w:rPr>
        <w:t>FO</w:t>
      </w:r>
      <w:r w:rsidRPr="00494962">
        <w:tab/>
      </w:r>
      <w:r w:rsidRPr="00494962">
        <w:tab/>
        <w:t>fyzická osoba</w:t>
      </w:r>
    </w:p>
    <w:p w:rsidR="00F73F6E" w:rsidRPr="00494962" w:rsidRDefault="00F73F6E" w:rsidP="00F73F6E">
      <w:r w:rsidRPr="00494962">
        <w:rPr>
          <w:rFonts w:eastAsia="Arial Unicode MS" w:cs="Arial Unicode MS"/>
          <w:b/>
        </w:rPr>
        <w:t>InsZ</w:t>
      </w:r>
      <w:r w:rsidRPr="00494962">
        <w:rPr>
          <w:rFonts w:eastAsia="Arial Unicode MS" w:cs="Arial Unicode MS"/>
          <w:b/>
        </w:rPr>
        <w:tab/>
      </w:r>
      <w:r w:rsidRPr="00494962">
        <w:rPr>
          <w:rFonts w:eastAsia="Arial Unicode MS" w:cs="Arial Unicode MS"/>
        </w:rPr>
        <w:tab/>
        <w:t>zákon č</w:t>
      </w:r>
      <w:r w:rsidRPr="00494962">
        <w:rPr>
          <w:rFonts w:eastAsia="Arial Unicode MS" w:cs="Arial Unicode MS"/>
          <w:lang w:val="pt-PT"/>
        </w:rPr>
        <w:t xml:space="preserve">. 182/2006 Sb, o </w:t>
      </w:r>
      <w:r w:rsidRPr="00494962">
        <w:rPr>
          <w:rFonts w:eastAsia="Arial Unicode MS" w:cs="Arial Unicode MS"/>
        </w:rPr>
        <w:t>úpadku a způsobech jeho řešení (insolvenční zákon), ve znění pozdějších předpisů</w:t>
      </w:r>
    </w:p>
    <w:p w:rsidR="00F73F6E" w:rsidRPr="00494962" w:rsidRDefault="00F73F6E" w:rsidP="00F73F6E">
      <w:r w:rsidRPr="00494962">
        <w:rPr>
          <w:rFonts w:eastAsia="Arial Unicode MS" w:cs="Arial Unicode MS"/>
          <w:b/>
        </w:rPr>
        <w:t>ObčZ</w:t>
      </w:r>
      <w:r w:rsidRPr="00494962">
        <w:rPr>
          <w:rFonts w:eastAsia="Arial Unicode MS" w:cs="Arial Unicode MS"/>
        </w:rPr>
        <w:tab/>
      </w:r>
      <w:r w:rsidRPr="00494962">
        <w:rPr>
          <w:rFonts w:eastAsia="Arial Unicode MS" w:cs="Arial Unicode MS"/>
        </w:rPr>
        <w:tab/>
        <w:t xml:space="preserve">zákon č. 40/1964 Sb., občanský zákoník, ve znění zákona č. 428/2011 Sb., účinném ke dni  1.1.2013 </w:t>
      </w:r>
    </w:p>
    <w:p w:rsidR="00F73F6E" w:rsidRPr="00494962" w:rsidRDefault="00F73F6E" w:rsidP="00F73F6E">
      <w:r w:rsidRPr="00494962">
        <w:rPr>
          <w:rFonts w:eastAsia="Arial Unicode MS" w:cs="Arial Unicode MS"/>
          <w:b/>
        </w:rPr>
        <w:t>ObchZ</w:t>
      </w:r>
      <w:r w:rsidRPr="00494962">
        <w:rPr>
          <w:rFonts w:eastAsia="Arial Unicode MS" w:cs="Arial Unicode MS"/>
          <w:b/>
        </w:rPr>
        <w:tab/>
      </w:r>
      <w:r w:rsidRPr="00494962">
        <w:rPr>
          <w:rFonts w:eastAsia="Arial Unicode MS" w:cs="Arial Unicode MS"/>
        </w:rPr>
        <w:t>zákon č. 513/1991 Sb., obchodní zákoník, ve znění zákona č. 179/2013 Sb., účinném ke dni 1.7.2013</w:t>
      </w:r>
    </w:p>
    <w:p w:rsidR="00F73F6E" w:rsidRPr="00494962" w:rsidRDefault="00F73F6E" w:rsidP="00F73F6E">
      <w:pPr>
        <w:pStyle w:val="Bezmezer"/>
      </w:pPr>
      <w:r w:rsidRPr="00494962">
        <w:rPr>
          <w:b/>
        </w:rPr>
        <w:t>OK</w:t>
      </w:r>
      <w:r w:rsidRPr="00494962">
        <w:tab/>
      </w:r>
      <w:r w:rsidRPr="00494962">
        <w:tab/>
        <w:t>obchodní korporace</w:t>
      </w:r>
    </w:p>
    <w:p w:rsidR="00F73F6E" w:rsidRPr="00494962" w:rsidRDefault="00F73F6E" w:rsidP="00F73F6E">
      <w:pPr>
        <w:pStyle w:val="Bezmezer"/>
      </w:pPr>
      <w:r w:rsidRPr="00494962">
        <w:rPr>
          <w:b/>
        </w:rPr>
        <w:t>OZ</w:t>
      </w:r>
      <w:r w:rsidRPr="00494962">
        <w:tab/>
      </w:r>
      <w:r w:rsidRPr="00494962">
        <w:tab/>
        <w:t xml:space="preserve">zákon č. 89/2012 Sb., občanský zákoník, ve znění pozdějších předpisů </w:t>
      </w:r>
    </w:p>
    <w:p w:rsidR="00F73F6E" w:rsidRPr="00494962" w:rsidRDefault="00F73F6E" w:rsidP="00F73F6E">
      <w:pPr>
        <w:pStyle w:val="Bezmezer"/>
      </w:pPr>
      <w:r w:rsidRPr="00494962">
        <w:rPr>
          <w:b/>
        </w:rPr>
        <w:t>PO</w:t>
      </w:r>
      <w:r w:rsidRPr="00494962">
        <w:tab/>
      </w:r>
      <w:r w:rsidRPr="00494962">
        <w:tab/>
        <w:t>právnická osoba</w:t>
      </w:r>
    </w:p>
    <w:p w:rsidR="00F73F6E" w:rsidRPr="00494962" w:rsidRDefault="00F73F6E" w:rsidP="00F73F6E">
      <w:pPr>
        <w:pStyle w:val="Bezmezer"/>
      </w:pPr>
      <w:r w:rsidRPr="00494962">
        <w:rPr>
          <w:b/>
        </w:rPr>
        <w:t>SO</w:t>
      </w:r>
      <w:r w:rsidRPr="00494962">
        <w:tab/>
      </w:r>
      <w:r w:rsidRPr="00494962">
        <w:tab/>
        <w:t>statutární orgán</w:t>
      </w:r>
    </w:p>
    <w:p w:rsidR="00F73F6E" w:rsidRDefault="00F73F6E" w:rsidP="00F73F6E">
      <w:pPr>
        <w:rPr>
          <w:rFonts w:eastAsia="Arial Unicode MS" w:cs="Arial Unicode MS"/>
        </w:rPr>
      </w:pPr>
      <w:r w:rsidRPr="00494962">
        <w:rPr>
          <w:rFonts w:eastAsia="Arial Unicode MS" w:cs="Arial Unicode MS"/>
          <w:b/>
        </w:rPr>
        <w:t>SObchZ</w:t>
      </w:r>
      <w:r w:rsidRPr="00494962">
        <w:rPr>
          <w:rFonts w:eastAsia="Arial Unicode MS" w:cs="Arial Unicode MS"/>
        </w:rPr>
        <w:t xml:space="preserve">  </w:t>
      </w:r>
      <w:r w:rsidRPr="00494962">
        <w:rPr>
          <w:rFonts w:eastAsia="Arial Unicode MS" w:cs="Arial Unicode MS"/>
        </w:rPr>
        <w:tab/>
        <w:t>zákon č. 513/1991 Zb., obchodný zá</w:t>
      </w:r>
      <w:r w:rsidRPr="00494962">
        <w:rPr>
          <w:rFonts w:eastAsia="Arial Unicode MS" w:cs="Arial Unicode MS"/>
          <w:lang w:val="de-DE"/>
        </w:rPr>
        <w:t>konn</w:t>
      </w:r>
      <w:r w:rsidRPr="00494962">
        <w:rPr>
          <w:rFonts w:eastAsia="Arial Unicode MS" w:cs="Arial Unicode MS"/>
        </w:rPr>
        <w:t>ík, ve znění pozdějších předpisů</w:t>
      </w:r>
    </w:p>
    <w:p w:rsidR="00A83B9B" w:rsidRPr="00494962" w:rsidRDefault="00A83B9B" w:rsidP="00F73F6E">
      <w:r w:rsidRPr="00A83B9B">
        <w:rPr>
          <w:rFonts w:eastAsia="Arial Unicode MS" w:cs="Arial Unicode MS"/>
          <w:b/>
        </w:rPr>
        <w:t>S.r.o.</w:t>
      </w:r>
      <w:r>
        <w:rPr>
          <w:rFonts w:eastAsia="Arial Unicode MS" w:cs="Arial Unicode MS"/>
        </w:rPr>
        <w:tab/>
      </w:r>
      <w:r>
        <w:rPr>
          <w:rFonts w:eastAsia="Arial Unicode MS" w:cs="Arial Unicode MS"/>
        </w:rPr>
        <w:tab/>
        <w:t>společnost s ručením omezeným</w:t>
      </w:r>
    </w:p>
    <w:p w:rsidR="00F73F6E" w:rsidRPr="00494962" w:rsidRDefault="00F73F6E" w:rsidP="00F73F6E">
      <w:pPr>
        <w:pStyle w:val="Bezmezer"/>
      </w:pPr>
      <w:r w:rsidRPr="00494962">
        <w:rPr>
          <w:b/>
        </w:rPr>
        <w:t>Ust.</w:t>
      </w:r>
      <w:r w:rsidRPr="00494962">
        <w:tab/>
      </w:r>
      <w:r w:rsidRPr="00494962">
        <w:tab/>
        <w:t>ustanovení</w:t>
      </w:r>
    </w:p>
    <w:p w:rsidR="00F73F6E" w:rsidRPr="00494962" w:rsidRDefault="00F73F6E" w:rsidP="00F73F6E">
      <w:pPr>
        <w:pStyle w:val="Bezmezer"/>
      </w:pPr>
      <w:r w:rsidRPr="00494962">
        <w:rPr>
          <w:b/>
        </w:rPr>
        <w:t>VH</w:t>
      </w:r>
      <w:r w:rsidRPr="00494962">
        <w:tab/>
      </w:r>
      <w:r w:rsidRPr="00494962">
        <w:tab/>
        <w:t xml:space="preserve">valná </w:t>
      </w:r>
      <w:r w:rsidRPr="00494962">
        <w:rPr>
          <w:lang w:val="es-ES_tradnl"/>
        </w:rPr>
        <w:t>hromada</w:t>
      </w:r>
      <w:r w:rsidRPr="00494962">
        <w:rPr>
          <w:lang w:val="es-ES_tradnl"/>
        </w:rPr>
        <w:tab/>
      </w:r>
    </w:p>
    <w:p w:rsidR="00F73F6E" w:rsidRPr="00494962" w:rsidRDefault="00F73F6E" w:rsidP="00F73F6E">
      <w:pPr>
        <w:pStyle w:val="Bezmezer"/>
      </w:pPr>
      <w:r w:rsidRPr="00494962">
        <w:rPr>
          <w:b/>
        </w:rPr>
        <w:t>ZK</w:t>
      </w:r>
      <w:r w:rsidRPr="00494962">
        <w:tab/>
      </w:r>
      <w:r w:rsidRPr="00494962">
        <w:tab/>
        <w:t>základní kapitál</w:t>
      </w:r>
    </w:p>
    <w:p w:rsidR="00F73F6E" w:rsidRPr="00494962" w:rsidRDefault="00F73F6E" w:rsidP="00F73F6E">
      <w:pPr>
        <w:pStyle w:val="Bezmezer"/>
      </w:pPr>
      <w:r w:rsidRPr="00494962">
        <w:rPr>
          <w:b/>
        </w:rPr>
        <w:t>ZOK</w:t>
      </w:r>
      <w:r w:rsidRPr="00494962">
        <w:tab/>
      </w:r>
      <w:r w:rsidRPr="00494962">
        <w:tab/>
        <w:t>zákon č. 90/2012 Sb., o obchodních společnostech a druž</w:t>
      </w:r>
      <w:r w:rsidRPr="00494962">
        <w:rPr>
          <w:lang w:val="sv-SE"/>
        </w:rPr>
        <w:t>stvech (z</w:t>
      </w:r>
      <w:r w:rsidRPr="00494962">
        <w:t xml:space="preserve">ákon o obchodních korporacích), ve znění pozdějších předpisů </w:t>
      </w:r>
    </w:p>
    <w:p w:rsidR="00F73F6E" w:rsidRPr="00494962" w:rsidRDefault="00F73F6E" w:rsidP="00F73F6E">
      <w:pPr>
        <w:pStyle w:val="Bezmezer"/>
      </w:pPr>
      <w:r w:rsidRPr="00494962">
        <w:rPr>
          <w:b/>
        </w:rPr>
        <w:t>ZZŘS</w:t>
      </w:r>
      <w:r w:rsidRPr="00494962">
        <w:tab/>
      </w:r>
      <w:r w:rsidRPr="00494962">
        <w:tab/>
        <w:t>zákon č. 292/2013 Sb., o zvláštních řízeních soudních, ve znění pozdějších předpisů</w:t>
      </w:r>
    </w:p>
    <w:p w:rsidR="00F73F6E" w:rsidRPr="00494962" w:rsidRDefault="00F73F6E" w:rsidP="00F73F6E">
      <w:pPr>
        <w:pStyle w:val="Bezmezer"/>
      </w:pPr>
      <w:r w:rsidRPr="00494962">
        <w:rPr>
          <w:b/>
        </w:rPr>
        <w:t>ŽZ2015</w:t>
      </w:r>
      <w:r w:rsidR="00494962" w:rsidRPr="00494962">
        <w:tab/>
      </w:r>
      <w:r w:rsidRPr="00494962">
        <w:t>zákon č</w:t>
      </w:r>
      <w:r w:rsidRPr="00494962">
        <w:rPr>
          <w:lang w:val="pt-PT"/>
        </w:rPr>
        <w:t xml:space="preserve">. 455/1991 Sb., o </w:t>
      </w:r>
      <w:r w:rsidRPr="00494962">
        <w:t>živnostenském podnikání (živnostenský zákon), ve znění zákona č</w:t>
      </w:r>
      <w:r w:rsidRPr="00494962">
        <w:rPr>
          <w:color w:val="FF0000"/>
        </w:rPr>
        <w:t xml:space="preserve">. </w:t>
      </w:r>
      <w:r w:rsidRPr="00494962">
        <w:t>127/2014 Sb.</w:t>
      </w:r>
      <w:r w:rsidR="00FB7BA4">
        <w:t>, účinném ke dne 1.2.2015</w:t>
      </w:r>
    </w:p>
    <w:p w:rsidR="00F73F6E" w:rsidRPr="00494962" w:rsidRDefault="00F73F6E" w:rsidP="00F73F6E">
      <w:pPr>
        <w:pStyle w:val="Bezmezer"/>
      </w:pPr>
      <w:r w:rsidRPr="00494962">
        <w:rPr>
          <w:b/>
        </w:rPr>
        <w:t>ZŽ2013</w:t>
      </w:r>
      <w:r w:rsidRPr="00494962">
        <w:tab/>
        <w:t>zákon č</w:t>
      </w:r>
      <w:r w:rsidRPr="00494962">
        <w:rPr>
          <w:lang w:val="pt-PT"/>
        </w:rPr>
        <w:t xml:space="preserve">. 455/1991 Sb., o </w:t>
      </w:r>
      <w:r w:rsidRPr="00494962">
        <w:t xml:space="preserve">živnostenském podnikání (živnostenský zákon), ve znění zákona č. 308/2013 Sb., účinném ke dni 1.12.2013 </w:t>
      </w:r>
    </w:p>
    <w:p w:rsidR="00F73F6E" w:rsidRPr="00494962" w:rsidRDefault="00F73F6E" w:rsidP="00F73F6E">
      <w:pPr>
        <w:pStyle w:val="Nadpis1"/>
      </w:pPr>
      <w:r w:rsidRPr="00494962">
        <w:br w:type="page"/>
      </w:r>
      <w:bookmarkStart w:id="4" w:name="_Toc415065670"/>
      <w:r w:rsidRPr="00494962">
        <w:rPr>
          <w:rFonts w:eastAsia="Arial Unicode MS"/>
        </w:rPr>
        <w:lastRenderedPageBreak/>
        <w:t>Úvod</w:t>
      </w:r>
      <w:bookmarkEnd w:id="4"/>
    </w:p>
    <w:p w:rsidR="00F73F6E" w:rsidRPr="00494962" w:rsidRDefault="00F73F6E" w:rsidP="00F73F6E">
      <w:r w:rsidRPr="00494962">
        <w:rPr>
          <w:rFonts w:eastAsia="Arial Unicode MS" w:cs="Arial Unicode MS"/>
        </w:rPr>
        <w:tab/>
        <w:t>Téma mé diplomové práce Statutární orgán společnosti s ručením omezeným se zaměřením na přímý výkon funkce jsem si zvolila proto, že s.r.o. představuje po dlouhou dobu v ČR nečastěji využí</w:t>
      </w:r>
      <w:r w:rsidRPr="00494962">
        <w:rPr>
          <w:rFonts w:eastAsia="Arial Unicode MS" w:cs="Arial Unicode MS"/>
          <w:lang w:val="nl-NL"/>
        </w:rPr>
        <w:t>van</w:t>
      </w:r>
      <w:r w:rsidRPr="00494962">
        <w:rPr>
          <w:rFonts w:eastAsia="Arial Unicode MS" w:cs="Arial Unicode MS"/>
        </w:rPr>
        <w:t>ý typ obchodní společnosti.</w:t>
      </w:r>
      <w:r w:rsidRPr="00494962">
        <w:rPr>
          <w:vertAlign w:val="superscript"/>
        </w:rPr>
        <w:footnoteReference w:id="1"/>
      </w:r>
      <w:r w:rsidRPr="00494962">
        <w:rPr>
          <w:rFonts w:eastAsia="Arial Unicode MS" w:cs="Arial Unicode MS"/>
        </w:rPr>
        <w:t xml:space="preserve"> Toto se bez debat nezmění ani v současné době a to si dovolím tvrdit s ohledem na to, že od 1.1.2014, tedy s účinností ZOK, zákonodárce stanovil výši základního kapitálu s.r.o. na pouhou 1 Kč, kdy za účinnosti ObchZ, tedy až do konce roku 2013, výše základního kapitálu s.r.o. činila alespoň 200.000 Kč. </w:t>
      </w:r>
    </w:p>
    <w:p w:rsidR="00F73F6E" w:rsidRPr="00494962" w:rsidRDefault="00F73F6E" w:rsidP="00F73F6E">
      <w:r w:rsidRPr="00494962">
        <w:rPr>
          <w:rFonts w:eastAsia="Arial Unicode MS" w:cs="Arial Unicode MS"/>
        </w:rPr>
        <w:tab/>
        <w:t>Svou diplomovou práci jsem zaměřila na jednatele, neboť dle mého názoru se jedná o velmi odpovědný orgá</w:t>
      </w:r>
      <w:r w:rsidRPr="00494962">
        <w:rPr>
          <w:rFonts w:eastAsia="Arial Unicode MS" w:cs="Arial Unicode MS"/>
          <w:lang w:val="nl-NL"/>
        </w:rPr>
        <w:t>n s.r.o. Ze z</w:t>
      </w:r>
      <w:r w:rsidRPr="00494962">
        <w:rPr>
          <w:rFonts w:eastAsia="Arial Unicode MS" w:cs="Arial Unicode MS"/>
        </w:rPr>
        <w:t>ákona jednatelům vyplývají mnohé povinnosti a samozřejmě i práva. Ovšem já jsem se ve své diplomové práci zaměřila na přímý výkon funkce jednatele, tudíž zejména na povinnosti, které i když jsou již nyní explicitně dány zákonem, je třeba je dotvář</w:t>
      </w:r>
      <w:r w:rsidRPr="00494962">
        <w:rPr>
          <w:rFonts w:eastAsia="Arial Unicode MS" w:cs="Arial Unicode MS"/>
          <w:lang w:val="pt-PT"/>
        </w:rPr>
        <w:t>et judikaturou a doktr</w:t>
      </w:r>
      <w:r w:rsidRPr="00494962">
        <w:rPr>
          <w:rFonts w:eastAsia="Arial Unicode MS" w:cs="Arial Unicode MS"/>
        </w:rPr>
        <w:t>ínou.</w:t>
      </w:r>
    </w:p>
    <w:p w:rsidR="00F73F6E" w:rsidRPr="00494962" w:rsidRDefault="00F73F6E" w:rsidP="00F73F6E">
      <w:r w:rsidRPr="00494962">
        <w:rPr>
          <w:rFonts w:eastAsia="Arial Unicode MS" w:cs="Arial Unicode MS"/>
        </w:rPr>
        <w:tab/>
        <w:t xml:space="preserve">V první kapitole své diplomové práce se věnuji stručnému pohledu na vývoj úpravy s.r.o. se zaměřením na jednatele. Je samozřejmé, že pro praxi je nejvýznamnější platná a účinná právní úprava. Jsem však toho názoru, že je potřeba alespoň v základu pochopit historické souvislosti, aby pohled na problematiku mohl být komplexní. </w:t>
      </w:r>
    </w:p>
    <w:p w:rsidR="00F73F6E" w:rsidRPr="00494962" w:rsidRDefault="00F73F6E" w:rsidP="00F73F6E">
      <w:r w:rsidRPr="00494962">
        <w:rPr>
          <w:rFonts w:eastAsia="Arial Unicode MS" w:cs="Arial Unicode MS"/>
        </w:rPr>
        <w:tab/>
        <w:t xml:space="preserve">V další kapitole jsem se zaměřila na předpoklady pro výkon funkce jednatele. Pokud by podmínky vyjmenované v dané kapitole nebyly splněny, nelze se funkce jednatele ujmout a ani ji vykonávat. Z tohoto důvodu považuji zařazení této kapitoly do mé diplomové práce za důležité. Nemluvě o problematických otázkách týkajících se propojení OZ a </w:t>
      </w:r>
      <w:r w:rsidR="007E0DC6">
        <w:rPr>
          <w:rFonts w:eastAsia="Arial Unicode MS" w:cs="Arial Unicode MS"/>
        </w:rPr>
        <w:t>živnostenského zákona</w:t>
      </w:r>
      <w:r w:rsidRPr="00494962">
        <w:rPr>
          <w:rFonts w:eastAsia="Arial Unicode MS" w:cs="Arial Unicode MS"/>
        </w:rPr>
        <w:t xml:space="preserve">, kterými se v dané kapitole zabývám. Cílem této kapitoly je tedy komplexně utřídit podmínky, které jednatel musí splnit, než se své funkce ujme a které u něj musí být přítomny po celou dobu výkonu funkce a </w:t>
      </w:r>
      <w:r w:rsidR="00AE6A58">
        <w:rPr>
          <w:rFonts w:eastAsia="Arial Unicode MS" w:cs="Arial Unicode MS"/>
        </w:rPr>
        <w:t xml:space="preserve">dále </w:t>
      </w:r>
      <w:r w:rsidRPr="00494962">
        <w:rPr>
          <w:rFonts w:eastAsia="Arial Unicode MS" w:cs="Arial Unicode MS"/>
        </w:rPr>
        <w:t xml:space="preserve">upozornit na některé problematické aspekty. </w:t>
      </w:r>
    </w:p>
    <w:p w:rsidR="00F73F6E" w:rsidRPr="00494962" w:rsidRDefault="00F73F6E" w:rsidP="00F73F6E">
      <w:r w:rsidRPr="00494962">
        <w:rPr>
          <w:rFonts w:eastAsia="Arial Unicode MS" w:cs="Arial Unicode MS"/>
        </w:rPr>
        <w:tab/>
        <w:t>Následující kapitola představuje stěžejní kapitolu mé diplomové práce. Jedná se o postavení jednatele jako SO v systému řízení s.r.o. Jednatel je povinen dodržet všechny povinnosti v dané kapitole nastíněné. Ovšem nejedná se o ustanovení, která by mohla být pochopena bez bližšího výkladu judikatury a doktríny. Cílem této kapitoly je jednotlivé zdroje skloubit dohromady a zároveň pomocí nich odpovědět na problematické otázky, které jsem si položila.</w:t>
      </w:r>
    </w:p>
    <w:p w:rsidR="00F73F6E" w:rsidRPr="00494962" w:rsidRDefault="00F73F6E" w:rsidP="00F73F6E">
      <w:r w:rsidRPr="00494962">
        <w:rPr>
          <w:rFonts w:eastAsia="Arial Unicode MS" w:cs="Arial Unicode MS"/>
        </w:rPr>
        <w:tab/>
        <w:t>S mnou zvoleným té</w:t>
      </w:r>
      <w:r w:rsidRPr="00494962">
        <w:rPr>
          <w:rFonts w:eastAsia="Arial Unicode MS" w:cs="Arial Unicode MS"/>
          <w:lang w:val="pt-PT"/>
        </w:rPr>
        <w:t>matem diplomov</w:t>
      </w:r>
      <w:r w:rsidRPr="00494962">
        <w:rPr>
          <w:rFonts w:eastAsia="Arial Unicode MS" w:cs="Arial Unicode MS"/>
        </w:rPr>
        <w:t>é prá</w:t>
      </w:r>
      <w:r w:rsidRPr="00494962">
        <w:rPr>
          <w:rFonts w:eastAsia="Arial Unicode MS" w:cs="Arial Unicode MS"/>
          <w:lang w:val="fr-FR"/>
        </w:rPr>
        <w:t>ce souvis</w:t>
      </w:r>
      <w:r w:rsidRPr="00494962">
        <w:rPr>
          <w:rFonts w:eastAsia="Arial Unicode MS" w:cs="Arial Unicode MS"/>
        </w:rPr>
        <w:t xml:space="preserve">í bezesporu i zaměření se na práva a povinnosti jednatele. Cílem této další kapitoly bude výčet práv a povinností, které jednatelům přináleží. </w:t>
      </w:r>
    </w:p>
    <w:p w:rsidR="00F73F6E" w:rsidRPr="00494962" w:rsidRDefault="00F73F6E" w:rsidP="00F73F6E">
      <w:r w:rsidRPr="00494962">
        <w:rPr>
          <w:rFonts w:eastAsia="Arial Unicode MS" w:cs="Arial Unicode MS"/>
        </w:rPr>
        <w:lastRenderedPageBreak/>
        <w:tab/>
        <w:t>Jelikož ve své diplomové práci budu popisovat a analyzovat samotný výkon funkce jednatele a jeho problematické aspekty, považuji za nutné zař</w:t>
      </w:r>
      <w:r w:rsidRPr="00494962">
        <w:rPr>
          <w:rFonts w:eastAsia="Arial Unicode MS" w:cs="Arial Unicode MS"/>
          <w:lang w:val="pt-PT"/>
        </w:rPr>
        <w:t>adit do m</w:t>
      </w:r>
      <w:r w:rsidRPr="00494962">
        <w:rPr>
          <w:rFonts w:eastAsia="Arial Unicode MS" w:cs="Arial Unicode MS"/>
        </w:rPr>
        <w:t xml:space="preserve">é práce i kapitoly, které s výkonem funkce úzce souvisí. V páté kapitole se budu zaobírat problematikou střetu zájmů. Tato kapitola je stěžejní zejména v tom, že ačkoli úmysl zákonodárce zůstal bezesporu stejný, tedy ochrana s.r.o. před zneužitím jednatelského oprávnění, právě v oblasti střetu zájmů </w:t>
      </w:r>
      <w:r w:rsidRPr="00494962">
        <w:rPr>
          <w:rFonts w:eastAsia="Arial Unicode MS" w:cs="Arial Unicode MS"/>
          <w:lang w:val="de-DE"/>
        </w:rPr>
        <w:t>doch</w:t>
      </w:r>
      <w:r w:rsidRPr="00494962">
        <w:rPr>
          <w:rFonts w:eastAsia="Arial Unicode MS" w:cs="Arial Unicode MS"/>
        </w:rPr>
        <w:t xml:space="preserve">ází k odlišnostem oproti úpravě ObchZ a </w:t>
      </w:r>
      <w:r w:rsidR="007E0DC6">
        <w:rPr>
          <w:rFonts w:eastAsia="Arial Unicode MS" w:cs="Arial Unicode MS"/>
        </w:rPr>
        <w:t xml:space="preserve">právě </w:t>
      </w:r>
      <w:r w:rsidRPr="00494962">
        <w:rPr>
          <w:rFonts w:eastAsia="Arial Unicode MS" w:cs="Arial Unicode MS"/>
        </w:rPr>
        <w:t xml:space="preserve">ty se budu snažit postihnout. </w:t>
      </w:r>
    </w:p>
    <w:p w:rsidR="00F73F6E" w:rsidRPr="00494962" w:rsidRDefault="00F73F6E" w:rsidP="00F73F6E">
      <w:r w:rsidRPr="00494962">
        <w:rPr>
          <w:rFonts w:eastAsia="Arial Unicode MS" w:cs="Arial Unicode MS"/>
        </w:rPr>
        <w:tab/>
        <w:t xml:space="preserve">V předposlední kapitole se zaměřím na vyloučení z výkonu funkce jednatele - tedy na možnosti vyloučení a zároveň </w:t>
      </w:r>
      <w:r w:rsidRPr="00494962">
        <w:rPr>
          <w:rFonts w:eastAsia="Arial Unicode MS" w:cs="Arial Unicode MS"/>
          <w:lang w:val="fr-FR"/>
        </w:rPr>
        <w:t>se budu sna</w:t>
      </w:r>
      <w:r w:rsidRPr="00494962">
        <w:rPr>
          <w:rFonts w:eastAsia="Arial Unicode MS" w:cs="Arial Unicode MS"/>
        </w:rPr>
        <w:t>žit postihnout zásadní rozdíl oproti úpravě ObchZ a jeho praktické dopady. V poslední kapitole se budu věnovat ručení jednatele. Tato zá</w:t>
      </w:r>
      <w:r w:rsidRPr="00494962">
        <w:rPr>
          <w:rFonts w:eastAsia="Arial Unicode MS" w:cs="Arial Unicode MS"/>
          <w:lang w:val="de-DE"/>
        </w:rPr>
        <w:t>konn</w:t>
      </w:r>
      <w:r w:rsidRPr="00494962">
        <w:rPr>
          <w:rFonts w:eastAsia="Arial Unicode MS" w:cs="Arial Unicode MS"/>
        </w:rPr>
        <w:t>á povinnost představuje dle mého názoru velkou motivaci pro jednatele, aby vykonávali svou funkci v souladu s povinnostmi popsanými v jednotlivých kapitolách mé diplomové práce. Z toho důvodu si myslím, že zařazení dané kapitoly, alespoň v stručném zpracování, může být pro praktické využití mé diplomové práce výhodou.</w:t>
      </w:r>
    </w:p>
    <w:p w:rsidR="00F73F6E" w:rsidRPr="00494962" w:rsidRDefault="00F73F6E" w:rsidP="00F73F6E">
      <w:r w:rsidRPr="00494962">
        <w:rPr>
          <w:rFonts w:eastAsia="Arial Unicode MS" w:cs="Arial Unicode MS"/>
        </w:rPr>
        <w:tab/>
        <w:t>Pro větší čtivost a atraktivitu mé diplomové práce jsem se rozhodla začlenit do ní v určitých pasážích do poznámek srovnání se slovenskou právní úpravou. Výběr právě slovenské právní úpravy odůvodňuji velmi úzkými vztahy s ČR, kdy až do r. 1993 tyto dvě země v různý</w:t>
      </w:r>
      <w:r w:rsidRPr="00494962">
        <w:rPr>
          <w:rFonts w:eastAsia="Arial Unicode MS" w:cs="Arial Unicode MS"/>
          <w:lang w:val="sv-SE"/>
        </w:rPr>
        <w:t>ch form</w:t>
      </w:r>
      <w:r w:rsidRPr="00494962">
        <w:rPr>
          <w:rFonts w:eastAsia="Arial Unicode MS" w:cs="Arial Unicode MS"/>
        </w:rPr>
        <w:t xml:space="preserve">ách tvořily společný samostatný stát. Z toho důvodu považuji za zajímavé zmínit některé zajímavé aspekty v rámci slovenské právní úpravy. Jelikož má práce není postavena na komparační metodě se slovenskou právní úpravou, vybrala jsem jen ty její pasáže, které jsou podle mého názoru zajímavé ve srovnání s českou právní úpravou. </w:t>
      </w:r>
    </w:p>
    <w:p w:rsidR="00F73F6E" w:rsidRPr="00494962" w:rsidRDefault="00F73F6E" w:rsidP="00F73F6E">
      <w:r w:rsidRPr="00494962">
        <w:rPr>
          <w:rFonts w:eastAsia="Arial Unicode MS" w:cs="Arial Unicode MS"/>
        </w:rPr>
        <w:tab/>
        <w:t>Primárními zdroji pro mou diplomovou práci jsou zejmé</w:t>
      </w:r>
      <w:r w:rsidRPr="00494962">
        <w:rPr>
          <w:rFonts w:eastAsia="Arial Unicode MS" w:cs="Arial Unicode MS"/>
          <w:lang w:val="nl-NL"/>
        </w:rPr>
        <w:t>na koment</w:t>
      </w:r>
      <w:r w:rsidRPr="00494962">
        <w:rPr>
          <w:rFonts w:eastAsia="Arial Unicode MS" w:cs="Arial Unicode MS"/>
        </w:rPr>
        <w:t xml:space="preserve">ářová znění právních předpisů, zejména OZ, ZOK, ObchZ, kdy největší oporou pro mou práci představuje komentář k obecné části OZ Petra Lavického a komentář k ZOK sepsaný pod vedením Ivany Štenglové. </w:t>
      </w:r>
      <w:r w:rsidRPr="00494962">
        <w:rPr>
          <w:vertAlign w:val="superscript"/>
        </w:rPr>
        <w:footnoteReference w:id="2"/>
      </w:r>
      <w:r w:rsidRPr="00494962">
        <w:rPr>
          <w:rFonts w:eastAsia="Arial Unicode MS" w:cs="Arial Unicode MS"/>
        </w:rPr>
        <w:t xml:space="preserve"> Pro komplexnější pohled jsem pracovala též s monografiemi týkajícími se s.r.o. a konkrétně přímého výkonu funkce, kdy jsem nejvíce pracovala s publikacemi Tomáše Dvořáka</w:t>
      </w:r>
      <w:r w:rsidR="007E0DC6">
        <w:rPr>
          <w:rFonts w:eastAsia="Arial Unicode MS" w:cs="Arial Unicode MS"/>
        </w:rPr>
        <w:t>.</w:t>
      </w:r>
      <w:r w:rsidRPr="00494962">
        <w:rPr>
          <w:vertAlign w:val="superscript"/>
        </w:rPr>
        <w:footnoteReference w:id="3"/>
      </w:r>
      <w:r w:rsidR="007E0DC6">
        <w:rPr>
          <w:rFonts w:eastAsia="Arial Unicode MS" w:cs="Arial Unicode MS"/>
        </w:rPr>
        <w:t xml:space="preserve"> </w:t>
      </w:r>
      <w:r w:rsidRPr="00494962">
        <w:rPr>
          <w:rFonts w:eastAsia="Arial Unicode MS" w:cs="Arial Unicode MS"/>
        </w:rPr>
        <w:t>Aby byl pohled opravdu komplexní, pracovala jsem i s </w:t>
      </w:r>
      <w:r w:rsidRPr="00494962">
        <w:rPr>
          <w:rFonts w:eastAsia="Arial Unicode MS" w:cs="Arial Unicode MS"/>
          <w:lang w:val="pt-PT"/>
        </w:rPr>
        <w:t xml:space="preserve">judikaturou NS </w:t>
      </w:r>
      <w:r w:rsidRPr="00494962">
        <w:rPr>
          <w:rFonts w:eastAsia="Arial Unicode MS" w:cs="Arial Unicode MS"/>
        </w:rPr>
        <w:t>ČR a abych doplnila poznatky o doktrinální pohled, pracovala jsem i s články jednotlivých odborníků, kteří se zabývali té</w:t>
      </w:r>
      <w:r w:rsidRPr="00494962">
        <w:rPr>
          <w:rFonts w:eastAsia="Arial Unicode MS" w:cs="Arial Unicode MS"/>
          <w:lang w:val="fr-FR"/>
        </w:rPr>
        <w:t>maty souvisej</w:t>
      </w:r>
      <w:r w:rsidRPr="00494962">
        <w:rPr>
          <w:rFonts w:eastAsia="Arial Unicode MS" w:cs="Arial Unicode MS"/>
        </w:rPr>
        <w:t xml:space="preserve">ícími právě s tématem mé diplomové práce. </w:t>
      </w:r>
    </w:p>
    <w:p w:rsidR="00F73F6E" w:rsidRPr="00494962" w:rsidRDefault="00F73F6E" w:rsidP="00F73F6E">
      <w:r w:rsidRPr="00494962">
        <w:rPr>
          <w:rFonts w:eastAsia="Arial Unicode MS" w:cs="Arial Unicode MS"/>
        </w:rPr>
        <w:tab/>
        <w:t>Cílem mé práce je zejména postihnout problematické aspekty týkajících jednatelů s ohledem na přímý výkon funkce, zejmé</w:t>
      </w:r>
      <w:r w:rsidRPr="00494962">
        <w:rPr>
          <w:rFonts w:eastAsia="Arial Unicode MS" w:cs="Arial Unicode MS"/>
          <w:lang w:val="pt-PT"/>
        </w:rPr>
        <w:t>na co se t</w:t>
      </w:r>
      <w:r w:rsidRPr="00494962">
        <w:rPr>
          <w:rFonts w:eastAsia="Arial Unicode MS" w:cs="Arial Unicode MS"/>
        </w:rPr>
        <w:t xml:space="preserve">ýče ustanovení, se kterými nelze pracovat bez znalosti judikatury a doktríny. S ohledem na velkou rekodifikaci soukromého práva v ČR, kdy od </w:t>
      </w:r>
      <w:r w:rsidRPr="00494962">
        <w:rPr>
          <w:rFonts w:eastAsia="Arial Unicode MS" w:cs="Arial Unicode MS"/>
        </w:rPr>
        <w:lastRenderedPageBreak/>
        <w:t>1.1.2014 nabyly účinnosti OZ a ZOK, jsem se z logický</w:t>
      </w:r>
      <w:r w:rsidRPr="00494962">
        <w:rPr>
          <w:rFonts w:eastAsia="Arial Unicode MS" w:cs="Arial Unicode MS"/>
          <w:lang w:val="de-DE"/>
        </w:rPr>
        <w:t>ch d</w:t>
      </w:r>
      <w:r w:rsidRPr="00494962">
        <w:rPr>
          <w:rFonts w:eastAsia="Arial Unicode MS" w:cs="Arial Unicode MS"/>
        </w:rPr>
        <w:t>ůvodů nemohla a nechtěla vyhnout komparaci jednotlivých předpisů. V rámci komparace bylo mý</w:t>
      </w:r>
      <w:r w:rsidRPr="00494962">
        <w:rPr>
          <w:rFonts w:eastAsia="Arial Unicode MS" w:cs="Arial Unicode MS"/>
          <w:lang w:val="pt-PT"/>
        </w:rPr>
        <w:t>m c</w:t>
      </w:r>
      <w:r w:rsidRPr="00494962">
        <w:rPr>
          <w:rFonts w:eastAsia="Arial Unicode MS" w:cs="Arial Unicode MS"/>
        </w:rPr>
        <w:t xml:space="preserve">ílem zejména postihnout klady a zápory platné a účinné právní úpravy oproti té účinné do konce r. 2013, popř. upozornit na změny. </w:t>
      </w:r>
    </w:p>
    <w:p w:rsidR="00F73F6E" w:rsidRPr="00494962" w:rsidRDefault="00F73F6E" w:rsidP="00F73F6E">
      <w:pPr>
        <w:rPr>
          <w:color w:val="FF0000"/>
        </w:rPr>
      </w:pPr>
      <w:r w:rsidRPr="00494962">
        <w:tab/>
      </w:r>
      <w:r w:rsidRPr="00494962">
        <w:rPr>
          <w:rFonts w:eastAsia="Arial Unicode MS" w:cs="Arial Unicode MS"/>
        </w:rPr>
        <w:t>Ve své práci, s ohledem na výše zmíněné cíle, se snažím též zkoumat, co vedlo zákonodárce k přijetí současné právní úpravy, popř. odchylce oproti úpravě platné a účinné do konce r. 2013. Zaměří</w:t>
      </w:r>
      <w:r w:rsidRPr="00494962">
        <w:rPr>
          <w:rFonts w:eastAsia="Arial Unicode MS" w:cs="Arial Unicode MS"/>
          <w:lang w:val="pt-PT"/>
        </w:rPr>
        <w:t>m se t</w:t>
      </w:r>
      <w:r w:rsidRPr="00494962">
        <w:rPr>
          <w:rFonts w:eastAsia="Arial Unicode MS" w:cs="Arial Unicode MS"/>
        </w:rPr>
        <w:t>éž na bádání, zda OZ a ZOK představuje pro české prá</w:t>
      </w:r>
      <w:r w:rsidRPr="00494962">
        <w:rPr>
          <w:rFonts w:eastAsia="Arial Unicode MS" w:cs="Arial Unicode MS"/>
          <w:lang w:val="nl-NL"/>
        </w:rPr>
        <w:t>vo krok dop</w:t>
      </w:r>
      <w:r w:rsidRPr="00494962">
        <w:rPr>
          <w:rFonts w:eastAsia="Arial Unicode MS" w:cs="Arial Unicode MS"/>
        </w:rPr>
        <w:t>ředu nebo naopak ne. V případě, že úprava bude dle mého názoru nevyhovující, budu se snažit nalézt řešení.</w:t>
      </w:r>
      <w:r w:rsidRPr="00494962">
        <w:rPr>
          <w:rFonts w:eastAsia="Arial Unicode MS" w:cs="Arial Unicode MS"/>
          <w:color w:val="FF0000"/>
        </w:rPr>
        <w:t xml:space="preserve"> </w:t>
      </w:r>
    </w:p>
    <w:p w:rsidR="00F73F6E" w:rsidRPr="00494962" w:rsidRDefault="00F73F6E" w:rsidP="00F73F6E">
      <w:pPr>
        <w:rPr>
          <w:rFonts w:eastAsia="Arial Unicode MS" w:cs="Arial Unicode MS"/>
        </w:rPr>
      </w:pPr>
      <w:r w:rsidRPr="00494962">
        <w:rPr>
          <w:rFonts w:eastAsia="Arial Unicode MS" w:cs="Arial Unicode MS"/>
        </w:rPr>
        <w:tab/>
        <w:t xml:space="preserve">Funkce jednatele představuje funkci, která je nabitá povinnostmi, a pokud ty nejsou plněny, bývají z toho vyvozovány důsledky. Z toho důvodu považuji téma mé diplomové práce za přínosné nejen pro osoby s právním vzděláním, ale též pro osoby, které uvažují, že by se stali jednateli, popř. již funkci jednatele vykonávají. </w:t>
      </w:r>
    </w:p>
    <w:p w:rsidR="00F73F6E" w:rsidRPr="00494962" w:rsidRDefault="00F73F6E" w:rsidP="00F73F6E">
      <w:pPr>
        <w:pStyle w:val="Nadpis1"/>
      </w:pPr>
      <w:r w:rsidRPr="00494962">
        <w:rPr>
          <w:rFonts w:eastAsia="Arial Unicode MS"/>
        </w:rPr>
        <w:br w:type="page"/>
      </w:r>
      <w:bookmarkStart w:id="5" w:name="_Toc415065671"/>
      <w:r w:rsidRPr="00494962">
        <w:rPr>
          <w:rFonts w:eastAsia="Arial Unicode MS"/>
        </w:rPr>
        <w:lastRenderedPageBreak/>
        <w:t>1. Stručný pohled na vývoj úpravy s.r.o. se zaměřením na jednatele</w:t>
      </w:r>
      <w:bookmarkEnd w:id="5"/>
    </w:p>
    <w:p w:rsidR="00F73F6E" w:rsidRPr="00494962" w:rsidRDefault="00F73F6E" w:rsidP="00F73F6E">
      <w:r w:rsidRPr="00494962">
        <w:rPr>
          <w:rFonts w:eastAsia="Arial Unicode MS" w:cs="Arial Unicode MS"/>
        </w:rPr>
        <w:tab/>
        <w:t>Samotná funkce jednatele je z logiky věci nevyvratitelně spjata s existencí s.r.o. Pokud se tedy v této kapitole zaměřím na historii týkající se jednatele, musí to být i s historickým zaměřením na s.r.o. Je třeba si uvědomit, že s.r.o. nevznikla historickým vývojem, ale byla vytvoř</w:t>
      </w:r>
      <w:r w:rsidRPr="00494962">
        <w:rPr>
          <w:rFonts w:eastAsia="Arial Unicode MS" w:cs="Arial Unicode MS"/>
          <w:lang w:val="pt-PT"/>
        </w:rPr>
        <w:t>ena um</w:t>
      </w:r>
      <w:r w:rsidRPr="00494962">
        <w:rPr>
          <w:rFonts w:eastAsia="Arial Unicode MS" w:cs="Arial Unicode MS"/>
        </w:rPr>
        <w:t>ěle, zákonodárcem.</w:t>
      </w:r>
      <w:r w:rsidRPr="00494962">
        <w:rPr>
          <w:vertAlign w:val="superscript"/>
        </w:rPr>
        <w:footnoteReference w:id="4"/>
      </w:r>
    </w:p>
    <w:p w:rsidR="00F73F6E" w:rsidRPr="00494962" w:rsidRDefault="00F73F6E" w:rsidP="00F73F6E">
      <w:pPr>
        <w:pStyle w:val="Nadpis2"/>
      </w:pPr>
      <w:bookmarkStart w:id="6" w:name="_Toc415065672"/>
      <w:r w:rsidRPr="00494962">
        <w:t>1.1 Počátky úpravy až do současnosti v Českých zemích</w:t>
      </w:r>
      <w:bookmarkEnd w:id="6"/>
      <w:r w:rsidRPr="00494962">
        <w:t xml:space="preserve"> </w:t>
      </w:r>
    </w:p>
    <w:p w:rsidR="00F73F6E" w:rsidRPr="00494962" w:rsidRDefault="00F73F6E" w:rsidP="00F73F6E">
      <w:r w:rsidRPr="00494962">
        <w:rPr>
          <w:rFonts w:eastAsia="Arial Unicode MS" w:cs="Arial Unicode MS"/>
        </w:rPr>
        <w:tab/>
        <w:t xml:space="preserve">Území dnešní ČR dlouhou dobu patřilo k Rakousko-Uhersku. Z toho důvodu i naše území bylo podrobeno rakousko-uherskému (resp. jen rakouskému) právu. Až do r. 1906 Rakousko-Uhersko neznalo úpravu s.r.o. Toto se změnilo s přijetím zákona č. 58/1906 ř.z., který však neplatil pro uherskou část. </w:t>
      </w:r>
    </w:p>
    <w:p w:rsidR="00F73F6E" w:rsidRPr="00494962" w:rsidRDefault="00F73F6E" w:rsidP="00F73F6E">
      <w:r w:rsidRPr="00494962">
        <w:rPr>
          <w:rFonts w:eastAsia="Arial Unicode MS" w:cs="Arial Unicode MS"/>
        </w:rPr>
        <w:tab/>
        <w:t>Zákon č. 58/1906 ř.z., o společnostech s obmezeným ručením představoval dle mého názoru zdařilou právní úpravu s.r.o. Na jednom místě byla zapracována s.r.o. v klasickém soukromoprávním charakteru a zároveň byl zde zapracová</w:t>
      </w:r>
      <w:r w:rsidRPr="00494962">
        <w:rPr>
          <w:rFonts w:eastAsia="Arial Unicode MS" w:cs="Arial Unicode MS"/>
          <w:lang w:val="da-DK"/>
        </w:rPr>
        <w:t>n i ve</w:t>
      </w:r>
      <w:r w:rsidRPr="00494962">
        <w:rPr>
          <w:rFonts w:eastAsia="Arial Unicode MS" w:cs="Arial Unicode MS"/>
        </w:rPr>
        <w:t>řejnoprávní charakter skrze trestní a daňovou část. Úpravu jednatele bylo možno nalézt v § 15 - 28 tohoto zákona. Dle zákona mohla funkci jednatele vykonávat jen FO. V zákoně je možné nalézt úpravu práv a povinností jednatelů, zákaz konkurence, ručení, odvolání, péče „řádného obchodníka“, náhrada škody, zastupování.</w:t>
      </w:r>
      <w:r w:rsidRPr="00494962">
        <w:rPr>
          <w:vertAlign w:val="superscript"/>
        </w:rPr>
        <w:footnoteReference w:id="5"/>
      </w:r>
    </w:p>
    <w:p w:rsidR="00F73F6E" w:rsidRPr="00494962" w:rsidRDefault="00F73F6E" w:rsidP="00F73F6E">
      <w:pPr>
        <w:rPr>
          <w:color w:val="FF0000"/>
        </w:rPr>
      </w:pPr>
      <w:r w:rsidRPr="00494962">
        <w:rPr>
          <w:rFonts w:eastAsia="Arial Unicode MS" w:cs="Arial Unicode MS"/>
        </w:rPr>
        <w:tab/>
        <w:t>Po vzniku samostatné Československé republiky došlo díky recepčnímu zákonu č</w:t>
      </w:r>
      <w:r w:rsidRPr="00494962">
        <w:rPr>
          <w:rFonts w:eastAsia="Arial Unicode MS" w:cs="Arial Unicode MS"/>
          <w:lang w:val="pt-PT"/>
        </w:rPr>
        <w:t>. 11/1918 Sb., o z</w:t>
      </w:r>
      <w:r w:rsidRPr="00494962">
        <w:rPr>
          <w:rFonts w:eastAsia="Arial Unicode MS" w:cs="Arial Unicode MS"/>
        </w:rPr>
        <w:t>řízení samostatného státu československého, konkrétně článku dvě, kdy „veškeré dosavadní zemské a říšské zákony a nařízení zůstávají prozatím v platnosti“</w:t>
      </w:r>
      <w:r w:rsidRPr="00494962">
        <w:rPr>
          <w:vertAlign w:val="superscript"/>
        </w:rPr>
        <w:footnoteReference w:id="6"/>
      </w:r>
      <w:r w:rsidRPr="00494962">
        <w:rPr>
          <w:rFonts w:eastAsia="Arial Unicode MS" w:cs="Arial Unicode MS"/>
        </w:rPr>
        <w:t>, k </w:t>
      </w:r>
      <w:r w:rsidRPr="00494962">
        <w:rPr>
          <w:rFonts w:eastAsia="Arial Unicode MS" w:cs="Arial Unicode MS"/>
          <w:lang w:val="es-ES_tradnl"/>
        </w:rPr>
        <w:t>recepci z</w:t>
      </w:r>
      <w:r w:rsidRPr="00494962">
        <w:rPr>
          <w:rFonts w:eastAsia="Arial Unicode MS" w:cs="Arial Unicode MS"/>
        </w:rPr>
        <w:t>ákona č. 58/1906 ř.z. Ovšem zákon byl platný pouze na území českých zemí, nikoli na slovenském území a v Podkarpatské Rusi. Do r. 1920 na území Slovenska a Podkarpatské Rusi nemohly s.r.o. vznikat. To se změnilo zákonem č. 271/1920 Sb., kterým se rozšiřuje platnost zákona ze dne 6. března 1906, č. 58 ř.z., o společnostech s ručením obmezeným, na Slovensko a Podkarpatskou Rus a pozměňují ustanovení §§ 115 a 116 tohoto zákona.</w:t>
      </w:r>
      <w:r w:rsidRPr="00494962">
        <w:rPr>
          <w:rFonts w:eastAsia="Arial Unicode MS" w:cs="Arial Unicode MS"/>
          <w:color w:val="FF0000"/>
        </w:rPr>
        <w:t xml:space="preserve"> </w:t>
      </w:r>
    </w:p>
    <w:p w:rsidR="00F73F6E" w:rsidRPr="00494962" w:rsidRDefault="00F73F6E" w:rsidP="00F73F6E">
      <w:pPr>
        <w:rPr>
          <w:lang w:val="es-ES_tradnl"/>
        </w:rPr>
      </w:pPr>
      <w:r w:rsidRPr="00494962">
        <w:rPr>
          <w:rFonts w:eastAsia="Arial Unicode MS" w:cs="Arial Unicode MS"/>
          <w:lang w:val="es-ES_tradnl"/>
        </w:rPr>
        <w:tab/>
        <w:t xml:space="preserve">Co se týče samotné úpravy jednatelů, nenaznala vážnější změny až do r. 1951, kdy byl zákon č. 58/1906 ř.z., zrušen. Samozřejmě i tento zákon byl podroben novelám, ty se však týkaly veřejnoprávní oblasti. Konkrétně novely představovaly odstranění daňového zvýhodnění </w:t>
      </w:r>
      <w:r w:rsidRPr="00494962">
        <w:rPr>
          <w:rFonts w:eastAsia="Arial Unicode MS" w:cs="Arial Unicode MS"/>
          <w:lang w:val="es-ES_tradnl"/>
        </w:rPr>
        <w:lastRenderedPageBreak/>
        <w:t>spojeného se s.r.o. Samotné daňové zvýhodnění bylo jedním z důvodů, proč do dvacátých let devatenáctého století byla s.r.o. velice populární.</w:t>
      </w:r>
      <w:r w:rsidRPr="00494962">
        <w:rPr>
          <w:vertAlign w:val="superscript"/>
        </w:rPr>
        <w:footnoteReference w:id="7"/>
      </w:r>
    </w:p>
    <w:p w:rsidR="00F73F6E" w:rsidRPr="00494962" w:rsidRDefault="00F73F6E" w:rsidP="00F73F6E">
      <w:r w:rsidRPr="00494962">
        <w:rPr>
          <w:rFonts w:eastAsia="Arial Unicode MS" w:cs="Arial Unicode MS"/>
          <w:lang w:val="de-DE"/>
        </w:rPr>
        <w:tab/>
        <w:t>Komunismus sm</w:t>
      </w:r>
      <w:r w:rsidRPr="00494962">
        <w:rPr>
          <w:rFonts w:eastAsia="Arial Unicode MS" w:cs="Arial Unicode MS"/>
        </w:rPr>
        <w:t>ěřoval proti soukromému podnikání. Nakonec došlo ke zrušení zákona č. 58/1906 ř.z., nabytím účinností zákona č. 141/1950 Sb., občanský zákoník. Přeživší s.r.o. byly zrušeny ex lege.</w:t>
      </w:r>
      <w:r w:rsidRPr="00494962">
        <w:rPr>
          <w:vertAlign w:val="superscript"/>
        </w:rPr>
        <w:footnoteReference w:id="8"/>
      </w:r>
      <w:r w:rsidRPr="00494962">
        <w:rPr>
          <w:rFonts w:eastAsia="Arial Unicode MS" w:cs="Arial Unicode MS"/>
        </w:rPr>
        <w:t xml:space="preserve"> </w:t>
      </w:r>
    </w:p>
    <w:p w:rsidR="00F73F6E" w:rsidRPr="00494962" w:rsidRDefault="00F73F6E" w:rsidP="00F73F6E">
      <w:r w:rsidRPr="00494962">
        <w:tab/>
      </w:r>
      <w:r w:rsidRPr="00494962">
        <w:rPr>
          <w:rFonts w:eastAsia="Arial Unicode MS" w:cs="Arial Unicode MS"/>
        </w:rPr>
        <w:t>Až v </w:t>
      </w:r>
      <w:r w:rsidRPr="00494962">
        <w:rPr>
          <w:rFonts w:eastAsia="Arial Unicode MS" w:cs="Arial Unicode MS"/>
          <w:lang w:val="sv-SE"/>
        </w:rPr>
        <w:t>devades</w:t>
      </w:r>
      <w:r w:rsidRPr="00494962">
        <w:rPr>
          <w:rFonts w:eastAsia="Arial Unicode MS" w:cs="Arial Unicode MS"/>
        </w:rPr>
        <w:t xml:space="preserve">átých létech dvacátého století </w:t>
      </w:r>
      <w:r w:rsidRPr="00494962">
        <w:rPr>
          <w:rFonts w:eastAsia="Arial Unicode MS" w:cs="Arial Unicode MS"/>
          <w:lang w:val="pt-PT"/>
        </w:rPr>
        <w:t xml:space="preserve">se do </w:t>
      </w:r>
      <w:r w:rsidRPr="00494962">
        <w:rPr>
          <w:rFonts w:eastAsia="Arial Unicode MS" w:cs="Arial Unicode MS"/>
        </w:rPr>
        <w:t>českého právního řádu vrací právní úprava s.r.o. a to prostřednictvím novely zákona č. 109/1964 Sb., hospodářský zákoník. Konkrétně š</w:t>
      </w:r>
      <w:r w:rsidRPr="00494962">
        <w:rPr>
          <w:rFonts w:eastAsia="Arial Unicode MS" w:cs="Arial Unicode MS"/>
          <w:lang w:val="pt-PT"/>
        </w:rPr>
        <w:t>lo o noveliza</w:t>
      </w:r>
      <w:r w:rsidRPr="00494962">
        <w:rPr>
          <w:rFonts w:eastAsia="Arial Unicode MS" w:cs="Arial Unicode MS"/>
        </w:rPr>
        <w:t xml:space="preserve">ční zákon č. 103/1990 Sb. Samotná úprava s.r.o. zahrnovala pouze čtyři paragrafy a zákon vůbec nepracoval s pojmem jednatel. Ovšem už zde je vymezena působnost statutárního orgánu a obecně lze říci, že jsou na základní úrovni postiženy vztahy mezi orgány. </w:t>
      </w:r>
    </w:p>
    <w:p w:rsidR="00F73F6E" w:rsidRPr="00494962" w:rsidRDefault="00F73F6E" w:rsidP="00F73F6E">
      <w:r w:rsidRPr="00494962">
        <w:rPr>
          <w:rFonts w:eastAsia="Arial Unicode MS" w:cs="Arial Unicode MS"/>
        </w:rPr>
        <w:tab/>
        <w:t>Hospodářský zákoník byl zruš</w:t>
      </w:r>
      <w:r w:rsidRPr="00494962">
        <w:rPr>
          <w:rFonts w:eastAsia="Arial Unicode MS" w:cs="Arial Unicode MS"/>
          <w:lang w:val="nl-NL"/>
        </w:rPr>
        <w:t>en z</w:t>
      </w:r>
      <w:r w:rsidRPr="00494962">
        <w:rPr>
          <w:rFonts w:eastAsia="Arial Unicode MS" w:cs="Arial Unicode MS"/>
        </w:rPr>
        <w:t>ákonem č. 513/1991 Sb., obchodní zákoník, který nabyl účinnosti k 1.1.1992. Zde ustanovení týkající se s.r.o. zaujímala necelý</w:t>
      </w:r>
      <w:r w:rsidRPr="00494962">
        <w:rPr>
          <w:rFonts w:eastAsia="Arial Unicode MS" w:cs="Arial Unicode MS"/>
          <w:lang w:val="sv-SE"/>
        </w:rPr>
        <w:t>ch pades</w:t>
      </w:r>
      <w:r w:rsidRPr="00494962">
        <w:rPr>
          <w:rFonts w:eastAsia="Arial Unicode MS" w:cs="Arial Unicode MS"/>
        </w:rPr>
        <w:t>á</w:t>
      </w:r>
      <w:r w:rsidRPr="00494962">
        <w:rPr>
          <w:rFonts w:eastAsia="Arial Unicode MS" w:cs="Arial Unicode MS"/>
          <w:lang w:val="fr-FR"/>
        </w:rPr>
        <w:t>t paragraf</w:t>
      </w:r>
      <w:r w:rsidRPr="00494962">
        <w:rPr>
          <w:rFonts w:eastAsia="Arial Unicode MS" w:cs="Arial Unicode MS"/>
        </w:rPr>
        <w:t>ů a konkrétně týkající se jednatelů paragrafy čtyři. Podle mého názoru je ale nutné poukázat i na fakt, že právní úpravu s.r.o. bylo možno nalézt jak v obecných ustanoveních ObchZ, tak s odkazem na a.s. I př</w:t>
      </w:r>
      <w:r w:rsidRPr="00494962">
        <w:rPr>
          <w:rFonts w:eastAsia="Arial Unicode MS" w:cs="Arial Unicode MS"/>
          <w:lang w:val="it-IT"/>
        </w:rPr>
        <w:t>esto pr</w:t>
      </w:r>
      <w:r w:rsidRPr="00494962">
        <w:rPr>
          <w:rFonts w:eastAsia="Arial Unicode MS" w:cs="Arial Unicode MS"/>
        </w:rPr>
        <w:t>ávní úprava s.r.o. v ObchZ nebyla považována za příliš zdařilou.</w:t>
      </w:r>
      <w:r w:rsidRPr="00494962">
        <w:rPr>
          <w:vertAlign w:val="superscript"/>
        </w:rPr>
        <w:footnoteReference w:id="9"/>
      </w:r>
    </w:p>
    <w:p w:rsidR="00F73F6E" w:rsidRPr="00494962" w:rsidRDefault="00F73F6E" w:rsidP="00F73F6E">
      <w:r w:rsidRPr="00494962">
        <w:rPr>
          <w:rFonts w:eastAsia="Arial Unicode MS" w:cs="Arial Unicode MS"/>
        </w:rPr>
        <w:tab/>
        <w:t>V současné době právní úpravu s.r.o. a jednatelů lze nalézt v ZOK a OZ. Myslím si, takováto roztříštěnost není nejšťastnější. Ovšem je nutno podotknout, že díky rekodifikaci soukromého práva v ČR došlo ke sjednocení soukromého práva, kdy již není účinná samostatná právní úprava pro obchodní právo. Dřívější instituty z </w:t>
      </w:r>
      <w:r w:rsidRPr="00494962">
        <w:rPr>
          <w:rFonts w:eastAsia="Arial Unicode MS" w:cs="Arial Unicode MS"/>
          <w:lang w:val="sv-SE"/>
        </w:rPr>
        <w:t>obliga</w:t>
      </w:r>
      <w:r w:rsidRPr="00494962">
        <w:rPr>
          <w:rFonts w:eastAsia="Arial Unicode MS" w:cs="Arial Unicode MS"/>
        </w:rPr>
        <w:t xml:space="preserve">čního práva jsou součástí OZ, kdy dříve založené vztahy se však až </w:t>
      </w:r>
      <w:r w:rsidRPr="00494962">
        <w:rPr>
          <w:rFonts w:eastAsia="Arial Unicode MS" w:cs="Arial Unicode MS"/>
          <w:lang w:val="pt-PT"/>
        </w:rPr>
        <w:t>do z</w:t>
      </w:r>
      <w:r w:rsidRPr="00494962">
        <w:rPr>
          <w:rFonts w:eastAsia="Arial Unicode MS" w:cs="Arial Unicode MS"/>
        </w:rPr>
        <w:t xml:space="preserve">ániku řídí dosavadními předpisy, tedy ObchZ, ovšem i na ně se aplikují základní zásady OZ. </w:t>
      </w:r>
    </w:p>
    <w:p w:rsidR="00F73F6E" w:rsidRPr="00494962" w:rsidRDefault="00F73F6E" w:rsidP="00F73F6E">
      <w:r w:rsidRPr="00494962">
        <w:rPr>
          <w:rFonts w:eastAsia="Arial Unicode MS" w:cs="Arial Unicode MS"/>
        </w:rPr>
        <w:tab/>
        <w:t>Považuji též za nutné poukázat na fakt, že naproti úpravy ObchZ v úpravě ZOK týkající se s.r.o. již není tak často odkazováno na úpravu a.s. V následujících kapitolách se budu v zásadních bodech snaž</w:t>
      </w:r>
      <w:r w:rsidRPr="00494962">
        <w:rPr>
          <w:rFonts w:eastAsia="Arial Unicode MS" w:cs="Arial Unicode MS"/>
          <w:lang w:val="de-DE"/>
        </w:rPr>
        <w:t>it d</w:t>
      </w:r>
      <w:r w:rsidRPr="00494962">
        <w:rPr>
          <w:rFonts w:eastAsia="Arial Unicode MS" w:cs="Arial Unicode MS"/>
        </w:rPr>
        <w:t xml:space="preserve">át do porovnání úpravu ZOK (popř. OZ) a ObchZ. </w:t>
      </w:r>
    </w:p>
    <w:p w:rsidR="00F73F6E" w:rsidRPr="00494962" w:rsidRDefault="00F73F6E" w:rsidP="00F73F6E">
      <w:pPr>
        <w:pStyle w:val="Nadpis1"/>
      </w:pPr>
      <w:r w:rsidRPr="00494962">
        <w:br w:type="page"/>
      </w:r>
      <w:bookmarkStart w:id="7" w:name="_Toc415065673"/>
      <w:r w:rsidRPr="00494962">
        <w:rPr>
          <w:rFonts w:eastAsia="Arial Unicode MS"/>
        </w:rPr>
        <w:lastRenderedPageBreak/>
        <w:t>2. Předpoklady pro výkon funkce jednatele</w:t>
      </w:r>
      <w:bookmarkEnd w:id="7"/>
      <w:r w:rsidRPr="00494962">
        <w:rPr>
          <w:rFonts w:eastAsia="Arial Unicode MS"/>
        </w:rPr>
        <w:t xml:space="preserve"> </w:t>
      </w:r>
    </w:p>
    <w:p w:rsidR="00F73F6E" w:rsidRPr="00494962" w:rsidRDefault="00F73F6E" w:rsidP="00F73F6E">
      <w:r w:rsidRPr="00494962">
        <w:rPr>
          <w:rFonts w:eastAsia="Arial Unicode MS" w:cs="Arial Unicode MS"/>
        </w:rPr>
        <w:tab/>
        <w:t>V případě, že by se ujala funkce jednatele osoba, která by nesplnila předpoklady zákona, hledělo by se na povolání do funkce, jako by se nestalo.</w:t>
      </w:r>
      <w:r w:rsidRPr="00494962">
        <w:rPr>
          <w:vertAlign w:val="superscript"/>
        </w:rPr>
        <w:footnoteReference w:id="10"/>
      </w:r>
      <w:r w:rsidRPr="00494962">
        <w:rPr>
          <w:rFonts w:eastAsia="Arial Unicode MS" w:cs="Arial Unicode MS"/>
        </w:rPr>
        <w:t xml:space="preserve"> Dle stejného zá</w:t>
      </w:r>
      <w:r w:rsidRPr="00494962">
        <w:rPr>
          <w:rFonts w:eastAsia="Arial Unicode MS" w:cs="Arial Unicode MS"/>
          <w:lang w:val="de-DE"/>
        </w:rPr>
        <w:t>konn</w:t>
      </w:r>
      <w:r w:rsidRPr="00494962">
        <w:rPr>
          <w:rFonts w:eastAsia="Arial Unicode MS" w:cs="Arial Unicode MS"/>
        </w:rPr>
        <w:t xml:space="preserve">ého ustanovení je možno dovodit, že tyto předpoklady osoba musí splňovat po celou dobu výkonu své funkce. Pokud by totiž nastala situace, kdy by jednatel v době své funkce, slovy zákona, zákonnou způsobilost být členem voleného orgánu ztratil, jeho funkce zanikne. S tímto souvisí </w:t>
      </w:r>
      <w:r w:rsidRPr="00494962">
        <w:rPr>
          <w:rFonts w:eastAsia="Arial Unicode MS" w:cs="Arial Unicode MS"/>
          <w:lang w:val="it-IT"/>
        </w:rPr>
        <w:t>i informa</w:t>
      </w:r>
      <w:r w:rsidRPr="00494962">
        <w:rPr>
          <w:rFonts w:eastAsia="Arial Unicode MS" w:cs="Arial Unicode MS"/>
        </w:rPr>
        <w:t xml:space="preserve">ční povinnost jednatele, kdy tuto nastalou situaci musí bez zbytečného odkladu oznámit. </w:t>
      </w:r>
    </w:p>
    <w:p w:rsidR="00F73F6E" w:rsidRPr="00494962" w:rsidRDefault="00F73F6E" w:rsidP="00F73F6E">
      <w:r w:rsidRPr="00494962">
        <w:rPr>
          <w:rFonts w:eastAsia="Arial Unicode MS" w:cs="Arial Unicode MS"/>
        </w:rPr>
        <w:tab/>
        <w:t xml:space="preserve">Z výše zmíněného je zřejmé, že splnění těchto povinností předchází dodržení jakýchkoli jiných povinností a též to, že tyto povinnosti musí jednatel splňovat nejen předtím, než se ujme své funkce, ale též po celou dobu jejího výkonu. </w:t>
      </w:r>
    </w:p>
    <w:p w:rsidR="00F73F6E" w:rsidRPr="00494962" w:rsidRDefault="00F73F6E" w:rsidP="00F73F6E">
      <w:pPr>
        <w:pStyle w:val="Nadpis2"/>
      </w:pPr>
      <w:bookmarkStart w:id="8" w:name="_Toc415065674"/>
      <w:r w:rsidRPr="00494962">
        <w:t>2.1 Svéprávnost</w:t>
      </w:r>
      <w:bookmarkEnd w:id="8"/>
      <w:r w:rsidRPr="00494962">
        <w:t xml:space="preserve"> </w:t>
      </w:r>
    </w:p>
    <w:p w:rsidR="00F73F6E" w:rsidRPr="00494962" w:rsidRDefault="00F73F6E" w:rsidP="00F73F6E">
      <w:r w:rsidRPr="00494962">
        <w:rPr>
          <w:rFonts w:eastAsia="Arial Unicode MS" w:cs="Arial Unicode MS"/>
        </w:rPr>
        <w:tab/>
        <w:t xml:space="preserve">Základním předpokladem pro vznik funkce jednatele je, aby osoba byla svéprávná. </w:t>
      </w:r>
      <w:r w:rsidRPr="00494962">
        <w:rPr>
          <w:rFonts w:eastAsia="Arial Unicode MS" w:cs="Arial Unicode MS"/>
          <w:i/>
          <w:iCs/>
        </w:rPr>
        <w:t>„FO, která je členem voleného orgánu,</w:t>
      </w:r>
      <w:r w:rsidRPr="00494962">
        <w:rPr>
          <w:vertAlign w:val="superscript"/>
        </w:rPr>
        <w:footnoteReference w:id="11"/>
      </w:r>
      <w:r w:rsidRPr="00494962">
        <w:rPr>
          <w:rFonts w:eastAsia="Arial Unicode MS" w:cs="Arial Unicode MS"/>
          <w:i/>
          <w:iCs/>
        </w:rPr>
        <w:t xml:space="preserve"> musí být plně svéprávná. To platí i pro zástupce právnické osoby, která je sama členem voleného orgánu jiné právnické osoby.“</w:t>
      </w:r>
      <w:r w:rsidRPr="00494962">
        <w:rPr>
          <w:vertAlign w:val="superscript"/>
        </w:rPr>
        <w:footnoteReference w:id="12"/>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Co to znamená, když je osoba svéprávná? Svéprávnost představuje „</w:t>
      </w:r>
      <w:r w:rsidRPr="00494962">
        <w:rPr>
          <w:rFonts w:eastAsia="Arial Unicode MS" w:cs="Arial Unicode MS"/>
          <w:i/>
          <w:iCs/>
        </w:rPr>
        <w:t>způsobilost nabývat pro sebe vlastním právní jednáním práva a zavazovat se k povinnostem.“</w:t>
      </w:r>
      <w:r w:rsidRPr="00494962">
        <w:rPr>
          <w:vertAlign w:val="superscript"/>
        </w:rPr>
        <w:footnoteReference w:id="13"/>
      </w:r>
      <w:r w:rsidRPr="00494962">
        <w:rPr>
          <w:rFonts w:eastAsia="Arial Unicode MS" w:cs="Arial Unicode MS"/>
        </w:rPr>
        <w:t xml:space="preserve"> V terminologii ObčZ šlo o způsobilost k právním úkonům. </w:t>
      </w:r>
    </w:p>
    <w:p w:rsidR="00F73F6E" w:rsidRPr="00494962" w:rsidRDefault="00F73F6E" w:rsidP="00F73F6E">
      <w:r w:rsidRPr="00494962">
        <w:rPr>
          <w:rFonts w:eastAsia="Arial Unicode MS" w:cs="Arial Unicode MS"/>
        </w:rPr>
        <w:tab/>
        <w:t>Fyzická osoba se plně svéprávnou stane dovršení</w:t>
      </w:r>
      <w:r w:rsidRPr="00494962">
        <w:rPr>
          <w:rFonts w:eastAsia="Arial Unicode MS" w:cs="Arial Unicode MS"/>
          <w:lang w:val="pt-PT"/>
        </w:rPr>
        <w:t>m osmn</w:t>
      </w:r>
      <w:r w:rsidRPr="00494962">
        <w:rPr>
          <w:rFonts w:eastAsia="Arial Unicode MS" w:cs="Arial Unicode MS"/>
        </w:rPr>
        <w:t>áctého roku věku, tj. zletilostí</w:t>
      </w:r>
      <w:r w:rsidRPr="00494962">
        <w:rPr>
          <w:rFonts w:eastAsia="Arial Unicode MS" w:cs="Arial Unicode MS"/>
          <w:lang w:val="it-IT"/>
        </w:rPr>
        <w:t>. Tato situace nen</w:t>
      </w:r>
      <w:r w:rsidRPr="00494962">
        <w:rPr>
          <w:rFonts w:eastAsia="Arial Unicode MS" w:cs="Arial Unicode MS"/>
        </w:rPr>
        <w:t xml:space="preserve">í komplikovaná, pokud osoba dosáhne zletilosti, stane se svéprávnou. Avšak právní úprava umožňuje i před dosáhnutím zletilosti dosáhnutí svéprávnosti a to dvěma způsoby. Jedná </w:t>
      </w:r>
      <w:r w:rsidRPr="00494962">
        <w:rPr>
          <w:rFonts w:eastAsia="Arial Unicode MS" w:cs="Arial Unicode MS"/>
          <w:lang w:val="pt-PT"/>
        </w:rPr>
        <w:t>se o p</w:t>
      </w:r>
      <w:r w:rsidRPr="00494962">
        <w:rPr>
          <w:rFonts w:eastAsia="Arial Unicode MS" w:cs="Arial Unicode MS"/>
        </w:rPr>
        <w:t xml:space="preserve">řiznání svéprávnosti, tzv. emancipaci a uzavření manželství. </w:t>
      </w:r>
    </w:p>
    <w:p w:rsidR="00F73F6E" w:rsidRPr="00494962" w:rsidRDefault="00F73F6E" w:rsidP="00F73F6E">
      <w:r w:rsidRPr="00494962">
        <w:rPr>
          <w:rFonts w:eastAsia="Arial Unicode MS" w:cs="Arial Unicode MS"/>
          <w:lang w:val="pt-PT"/>
        </w:rPr>
        <w:tab/>
        <w:t>Co se emancipace t</w:t>
      </w:r>
      <w:r w:rsidRPr="00494962">
        <w:rPr>
          <w:rFonts w:eastAsia="Arial Unicode MS" w:cs="Arial Unicode MS"/>
        </w:rPr>
        <w:t xml:space="preserve">ýče, dle ust. § 37 OZ musí být splněny celkem čtyři podmínky. Předně musí zde být návrh nezletilého, tento nezletilý musí </w:t>
      </w:r>
      <w:r w:rsidRPr="00494962">
        <w:rPr>
          <w:rFonts w:eastAsia="Arial Unicode MS" w:cs="Arial Unicode MS"/>
          <w:lang w:val="pt-PT"/>
        </w:rPr>
        <w:t>dos</w:t>
      </w:r>
      <w:r w:rsidRPr="00494962">
        <w:rPr>
          <w:rFonts w:eastAsia="Arial Unicode MS" w:cs="Arial Unicode MS"/>
        </w:rPr>
        <w:t>á</w:t>
      </w:r>
      <w:r w:rsidRPr="00494962">
        <w:rPr>
          <w:rFonts w:eastAsia="Arial Unicode MS" w:cs="Arial Unicode MS"/>
          <w:lang w:val="fr-FR"/>
        </w:rPr>
        <w:t>hnout v</w:t>
      </w:r>
      <w:r w:rsidRPr="00494962">
        <w:rPr>
          <w:rFonts w:eastAsia="Arial Unicode MS" w:cs="Arial Unicode MS"/>
        </w:rPr>
        <w:t>ěku alespoň šestnácti let, musí být osvědčena jeho schopnost sá</w:t>
      </w:r>
      <w:r w:rsidRPr="00494962">
        <w:rPr>
          <w:rFonts w:eastAsia="Arial Unicode MS" w:cs="Arial Unicode MS"/>
          <w:lang w:val="pt-PT"/>
        </w:rPr>
        <w:t xml:space="preserve">m se </w:t>
      </w:r>
      <w:r w:rsidRPr="00494962">
        <w:rPr>
          <w:rFonts w:eastAsia="Arial Unicode MS" w:cs="Arial Unicode MS"/>
        </w:rPr>
        <w:t>živit a obstarat si své záležitost a s návrhem nezletilce musí souhlasit jeho zá</w:t>
      </w:r>
      <w:r w:rsidRPr="00494962">
        <w:rPr>
          <w:rFonts w:eastAsia="Arial Unicode MS" w:cs="Arial Unicode MS"/>
          <w:lang w:val="de-DE"/>
        </w:rPr>
        <w:t>konn</w:t>
      </w:r>
      <w:r w:rsidRPr="00494962">
        <w:rPr>
          <w:rFonts w:eastAsia="Arial Unicode MS" w:cs="Arial Unicode MS"/>
        </w:rPr>
        <w:t>ý zástupce. Výjimečně zákon př</w:t>
      </w:r>
      <w:r w:rsidRPr="00494962">
        <w:rPr>
          <w:rFonts w:eastAsia="Arial Unicode MS" w:cs="Arial Unicode MS"/>
          <w:lang w:val="fr-FR"/>
        </w:rPr>
        <w:t>ipou</w:t>
      </w:r>
      <w:r w:rsidRPr="00494962">
        <w:rPr>
          <w:rFonts w:eastAsia="Arial Unicode MS" w:cs="Arial Unicode MS"/>
        </w:rPr>
        <w:t>ští, že soud může vyhovět návrhu nezletilého (zde je možno vidět, že první podmínka musí být splněna bezvýjimečně) i pokud nejsou splněny výše zmíněné podmínky. Pokud jsou splněny výše zmíněné podmínky, soud přizná nezletilému svéprávnost i tehdy, pokud je návrh podán nikoli nezletilým, nýbrž jeho zá</w:t>
      </w:r>
      <w:r w:rsidRPr="00494962">
        <w:rPr>
          <w:rFonts w:eastAsia="Arial Unicode MS" w:cs="Arial Unicode MS"/>
          <w:lang w:val="de-DE"/>
        </w:rPr>
        <w:t>konn</w:t>
      </w:r>
      <w:r w:rsidRPr="00494962">
        <w:rPr>
          <w:rFonts w:eastAsia="Arial Unicode MS" w:cs="Arial Unicode MS"/>
        </w:rPr>
        <w:t>ým zástupcem se souhlasem nezletilého.</w:t>
      </w:r>
    </w:p>
    <w:p w:rsidR="00F73F6E" w:rsidRPr="00494962" w:rsidRDefault="00F73F6E" w:rsidP="00F73F6E">
      <w:r w:rsidRPr="00494962">
        <w:rPr>
          <w:rFonts w:eastAsia="Arial Unicode MS" w:cs="Arial Unicode MS"/>
        </w:rPr>
        <w:lastRenderedPageBreak/>
        <w:tab/>
        <w:t xml:space="preserve">Druhou možností jak překlenout podmínku dosažení věku v souvislosti se získáním plné svéprávnosti je uzavření manželství. Dle ust. § 672 OZ soud může výjimečně povolit uzavření manželství za splnění jen jediné podmínky a to té, pokud nezletilý </w:t>
      </w:r>
      <w:r w:rsidRPr="00494962">
        <w:rPr>
          <w:rFonts w:eastAsia="Arial Unicode MS" w:cs="Arial Unicode MS"/>
          <w:lang w:val="pt-PT"/>
        </w:rPr>
        <w:t>dos</w:t>
      </w:r>
      <w:r w:rsidRPr="00494962">
        <w:rPr>
          <w:rFonts w:eastAsia="Arial Unicode MS" w:cs="Arial Unicode MS"/>
        </w:rPr>
        <w:t>á</w:t>
      </w:r>
      <w:r w:rsidRPr="00494962">
        <w:rPr>
          <w:rFonts w:eastAsia="Arial Unicode MS" w:cs="Arial Unicode MS"/>
          <w:lang w:val="de-DE"/>
        </w:rPr>
        <w:t>hne v</w:t>
      </w:r>
      <w:r w:rsidRPr="00494962">
        <w:rPr>
          <w:rFonts w:eastAsia="Arial Unicode MS" w:cs="Arial Unicode MS"/>
        </w:rPr>
        <w:t xml:space="preserve">ěku šestnácti let. Dalším předpokladem je, že jsou pro to důležité důvody. </w:t>
      </w:r>
    </w:p>
    <w:p w:rsidR="00F73F6E" w:rsidRPr="00494962" w:rsidRDefault="00F73F6E" w:rsidP="00F73F6E">
      <w:r w:rsidRPr="00494962">
        <w:rPr>
          <w:rFonts w:eastAsia="Arial Unicode MS" w:cs="Arial Unicode MS"/>
        </w:rPr>
        <w:tab/>
        <w:t>Zákon výslovně stanovuje požadavek plné svéprávnosti. Obecná právní úprava, tj. OZ, umožňuje, aby FO byla ve své svéprávnosti omezena. Na rozdíl od předchozí právní úpravy osoba nemůže být svéprávnosti zbavena. Omezení svéprávnosti představuje velice závažný institut, ke kterému by mělo být přistupová</w:t>
      </w:r>
      <w:r w:rsidRPr="00494962">
        <w:rPr>
          <w:rFonts w:eastAsia="Arial Unicode MS" w:cs="Arial Unicode MS"/>
          <w:lang w:val="it-IT"/>
        </w:rPr>
        <w:t>no s</w:t>
      </w:r>
      <w:r w:rsidRPr="00494962">
        <w:rPr>
          <w:rFonts w:eastAsia="Arial Unicode MS" w:cs="Arial Unicode MS"/>
        </w:rPr>
        <w:t> velkým respektem. Jde v podstatě o určité ultima ratio v případě, že osoba není schopna postarat se o vlastní záležitosti. Zákon jasně stanovuje požadavky, kdy osoba ve své svéprávnosti může být omezena.</w:t>
      </w:r>
      <w:r w:rsidRPr="00494962">
        <w:rPr>
          <w:vertAlign w:val="superscript"/>
        </w:rPr>
        <w:footnoteReference w:id="14"/>
      </w:r>
      <w:r w:rsidRPr="00494962">
        <w:rPr>
          <w:rFonts w:eastAsia="Arial Unicode MS" w:cs="Arial Unicode MS"/>
        </w:rPr>
        <w:t xml:space="preserve"> Zde vidím jasný úmysl zákonodárce, který nemohl připustit, aby tak důležitou funkci, jakou je funkce SO, vykonávala osoba, u níž bylo osvědčeno splnění podmínek pro omezení její svéprávnosti. </w:t>
      </w:r>
    </w:p>
    <w:p w:rsidR="00F73F6E" w:rsidRPr="00494962" w:rsidRDefault="00F73F6E" w:rsidP="00F73F6E">
      <w:r w:rsidRPr="00494962">
        <w:rPr>
          <w:rFonts w:eastAsia="Arial Unicode MS" w:cs="Arial Unicode MS"/>
        </w:rPr>
        <w:tab/>
        <w:t xml:space="preserve">Ačkoli by výklad této problematiky byl zajímavý a problematických aspektů ke zkoumání by bezesporu bylo mnoho, nechci se ve své diplomové práci do hloubky zaobírat předpoklady pro dosáhnutí svéprávnosti i před dovršením zletilosti a problematikou omezení svéprávnosti, neboť si nemyslím, že by tato oblast představovala mezník pro mou diplomovou práci a zároveň rozsah mi neumožňuje do hloubky se určitými problémy zaobírat. Záměrným nastíněním výše zmíněného jsem si chtěla vytvořit můstek pro navázání na problematiku týkající se živnostenského zákona. </w:t>
      </w:r>
    </w:p>
    <w:p w:rsidR="00F73F6E" w:rsidRPr="00494962" w:rsidRDefault="00F73F6E" w:rsidP="00F73F6E">
      <w:r w:rsidRPr="00494962">
        <w:rPr>
          <w:rFonts w:eastAsia="Arial Unicode MS" w:cs="Arial Unicode MS"/>
        </w:rPr>
        <w:tab/>
        <w:t>Pro komplexní pohled na danou problematiku považuji za důležité zmínit, že jednatelem s.r.o. může být i jiná PO. V takovém případě zmocní PO fyzickou osobu, aby ji zastupovala. V případě absence takovéhoto zmocnění bude PO zastupovat člen jejího SO.</w:t>
      </w:r>
      <w:r w:rsidRPr="00494962">
        <w:rPr>
          <w:vertAlign w:val="superscript"/>
        </w:rPr>
        <w:footnoteReference w:id="15"/>
      </w:r>
    </w:p>
    <w:p w:rsidR="00F73F6E" w:rsidRPr="00494962" w:rsidRDefault="00F73F6E" w:rsidP="00F73F6E">
      <w:r w:rsidRPr="00494962">
        <w:rPr>
          <w:rFonts w:eastAsia="Arial Unicode MS" w:cs="Arial Unicode MS"/>
        </w:rPr>
        <w:tab/>
        <w:t>Ovšem zákon výslovně normuje, že požadavek plné svéprávnosti platí i pro zástupce PO, která je sama členem SO.</w:t>
      </w:r>
      <w:r w:rsidRPr="00494962">
        <w:rPr>
          <w:vertAlign w:val="superscript"/>
        </w:rPr>
        <w:footnoteReference w:id="16"/>
      </w:r>
      <w:r w:rsidRPr="00494962">
        <w:rPr>
          <w:rFonts w:eastAsia="Arial Unicode MS" w:cs="Arial Unicode MS"/>
        </w:rPr>
        <w:t xml:space="preserve"> Považuji za důležité zmínit též skutečnost, že aby se PO mohla stát SO je potřeba, aby právně existovala, tzn. nestačí, aby byla pouze založena aniž by vznikla.</w:t>
      </w:r>
      <w:r w:rsidRPr="00494962">
        <w:rPr>
          <w:vertAlign w:val="superscript"/>
        </w:rPr>
        <w:footnoteReference w:id="17"/>
      </w:r>
    </w:p>
    <w:p w:rsidR="00F73F6E" w:rsidRPr="00494962" w:rsidRDefault="00F73F6E" w:rsidP="00F73F6E">
      <w:pPr>
        <w:rPr>
          <w:i/>
          <w:iCs/>
        </w:rPr>
      </w:pPr>
      <w:r w:rsidRPr="00494962">
        <w:rPr>
          <w:rFonts w:eastAsia="Arial Unicode MS" w:cs="Arial Unicode MS"/>
        </w:rPr>
        <w:tab/>
        <w:t xml:space="preserve">Pro úplnost je potřeba zmínit otázku svéprávnosti PO. OZ stejně jako ObčZ </w:t>
      </w:r>
      <w:r w:rsidRPr="00494962">
        <w:rPr>
          <w:rFonts w:eastAsia="Arial Unicode MS" w:cs="Arial Unicode MS"/>
          <w:i/>
          <w:iCs/>
        </w:rPr>
        <w:t xml:space="preserve">„popírá možnost právnické osoby jednat sama za sebe a stanoví svéprávnost a deliktní způsobilost jako výsledek přičítání právně </w:t>
      </w:r>
      <w:r w:rsidRPr="00494962">
        <w:rPr>
          <w:rFonts w:eastAsia="Arial Unicode MS" w:cs="Arial Unicode MS"/>
          <w:i/>
          <w:iCs/>
          <w:lang w:val="nl-NL"/>
        </w:rPr>
        <w:t>relevantn</w:t>
      </w:r>
      <w:r w:rsidRPr="00494962">
        <w:rPr>
          <w:rFonts w:eastAsia="Arial Unicode MS" w:cs="Arial Unicode MS"/>
          <w:i/>
          <w:iCs/>
        </w:rPr>
        <w:t>ího jednání osob fyzických v určitém vztahu k právnické osobě této právnické osobě na základě konstrukce zastoupení.“</w:t>
      </w:r>
      <w:r w:rsidRPr="00494962">
        <w:rPr>
          <w:vertAlign w:val="superscript"/>
        </w:rPr>
        <w:footnoteReference w:id="18"/>
      </w:r>
    </w:p>
    <w:p w:rsidR="00F73F6E" w:rsidRPr="00494962" w:rsidRDefault="00F73F6E" w:rsidP="00F73F6E">
      <w:pPr>
        <w:pStyle w:val="Nadpis2"/>
      </w:pPr>
      <w:bookmarkStart w:id="9" w:name="_Toc415065675"/>
      <w:r w:rsidRPr="00494962">
        <w:lastRenderedPageBreak/>
        <w:t>2.2 Podmínky živnostenského zákona</w:t>
      </w:r>
      <w:bookmarkEnd w:id="9"/>
    </w:p>
    <w:p w:rsidR="00F73F6E" w:rsidRPr="00494962" w:rsidRDefault="00F73F6E" w:rsidP="00F73F6E">
      <w:r w:rsidRPr="00494962">
        <w:rPr>
          <w:rFonts w:eastAsia="Arial Unicode MS" w:cs="Arial Unicode MS"/>
        </w:rPr>
        <w:tab/>
        <w:t xml:space="preserve">Zákon o obchodních korporacích výslovně stanovuje negativní výčet případů, kdy se osoba nemůže stát členem orgánu OK v souvislosti s nesplněním podmínek podle ŽZ2015. Jde o podmínku bezúhonnosti a podmínku neexistence překážky provozování živnosti. Jak již bylo zmíněno v úvodu, z důvodu rozsahu práce a též zaměření se zejména na přímý výkon funkce SO, nelze problematiku živnostenského zákona rozebrat dopodrobna. Proto se zaměřím pouze na ust. pro mou práci, dle mého názoru, důležitá. </w:t>
      </w:r>
    </w:p>
    <w:p w:rsidR="00F73F6E" w:rsidRPr="00494962" w:rsidRDefault="00F73F6E" w:rsidP="00F73F6E">
      <w:pPr>
        <w:pStyle w:val="Nadpis3"/>
      </w:pPr>
      <w:bookmarkStart w:id="10" w:name="_Toc415065676"/>
      <w:r w:rsidRPr="00494962">
        <w:t>2.2.1 Podmínky provozování živnosti vč. bezúhonnosti a překážky provozování živnosti</w:t>
      </w:r>
      <w:bookmarkEnd w:id="10"/>
      <w:r w:rsidRPr="00494962">
        <w:t xml:space="preserve"> </w:t>
      </w:r>
    </w:p>
    <w:p w:rsidR="00F73F6E" w:rsidRPr="00494962" w:rsidRDefault="00F73F6E" w:rsidP="00F73F6E">
      <w:r w:rsidRPr="00494962">
        <w:rPr>
          <w:rFonts w:eastAsia="Arial Unicode MS" w:cs="Arial Unicode MS"/>
        </w:rPr>
        <w:tab/>
        <w:t>Živnostenský zákon zaznamenal novelou účinnou od 1.1.2014 velkou změnu, co se týče všeobecných podmínek provozování živnosti. Do r. 2014 byly podmínkami provozování živnosti FO a) dosažení věku 18 let, b) způsobilost k právním úkonům, c) bezúhonnost.</w:t>
      </w:r>
      <w:r w:rsidRPr="00494962">
        <w:rPr>
          <w:vertAlign w:val="superscript"/>
        </w:rPr>
        <w:footnoteReference w:id="19"/>
      </w:r>
      <w:r w:rsidRPr="00494962">
        <w:rPr>
          <w:rFonts w:eastAsia="Arial Unicode MS" w:cs="Arial Unicode MS"/>
        </w:rPr>
        <w:t xml:space="preserve"> V aktuálním znění jsou všeobecné podmínky provozování živnosti a) plná svéprávnost, kterou lze nahradit př</w:t>
      </w:r>
      <w:r w:rsidRPr="00494962">
        <w:rPr>
          <w:rFonts w:eastAsia="Arial Unicode MS" w:cs="Arial Unicode MS"/>
          <w:lang w:val="it-IT"/>
        </w:rPr>
        <w:t>ivolen</w:t>
      </w:r>
      <w:r w:rsidRPr="00494962">
        <w:rPr>
          <w:rFonts w:eastAsia="Arial Unicode MS" w:cs="Arial Unicode MS"/>
        </w:rPr>
        <w:t>ím soudu k souhlasu zá</w:t>
      </w:r>
      <w:r w:rsidRPr="00494962">
        <w:rPr>
          <w:rFonts w:eastAsia="Arial Unicode MS" w:cs="Arial Unicode MS"/>
          <w:lang w:val="de-DE"/>
        </w:rPr>
        <w:t>konn</w:t>
      </w:r>
      <w:r w:rsidRPr="00494962">
        <w:rPr>
          <w:rFonts w:eastAsia="Arial Unicode MS" w:cs="Arial Unicode MS"/>
        </w:rPr>
        <w:t xml:space="preserve">ého zástupce nezletilého k samostatnému provozování podnikatelské činnosti a b) bezúhonnost. </w:t>
      </w:r>
      <w:r w:rsidRPr="00494962">
        <w:rPr>
          <w:vertAlign w:val="superscript"/>
        </w:rPr>
        <w:footnoteReference w:id="20"/>
      </w:r>
      <w:r w:rsidRPr="00494962">
        <w:rPr>
          <w:rFonts w:eastAsia="Arial Unicode MS" w:cs="Arial Unicode MS"/>
        </w:rPr>
        <w:t xml:space="preserve"> Ust. § 46 ZOK však vyžaduje pouze bezúhonnost. Na druhou stranu, pokud osoba nesplní podmínku pod písm. a), bude se jednat o překážku provozování živnosti, a tudíž nebude splněn předpoklad, že nesmí u osoby nastat skutečnost, která je překážkou provozování živnosti. Jsem toho názoru, že účelem zákonodárce, zejména s ohledem na změnu ŽZ2013 vypuštěním podmínky dosažení 18 let, bylo zohlednit úpravu OZ. Tudíž pokud nezletilá osoba nabude plné svéprávnosti, např. uzavřením manželství, nenastane u ní překážka provozování živnosti podle písm. a). Tuto mou hypotézu jsem ověřila v </w:t>
      </w:r>
      <w:r w:rsidRPr="00494962">
        <w:rPr>
          <w:rFonts w:eastAsia="Arial Unicode MS" w:cs="Arial Unicode MS"/>
          <w:lang w:val="nl-NL"/>
        </w:rPr>
        <w:t>koment</w:t>
      </w:r>
      <w:r w:rsidRPr="00494962">
        <w:rPr>
          <w:rFonts w:eastAsia="Arial Unicode MS" w:cs="Arial Unicode MS"/>
        </w:rPr>
        <w:t xml:space="preserve">ářovém znění </w:t>
      </w:r>
      <w:r w:rsidR="00A83B9B">
        <w:rPr>
          <w:rFonts w:eastAsia="Arial Unicode MS" w:cs="Arial Unicode MS"/>
        </w:rPr>
        <w:t>ZŽ2015</w:t>
      </w:r>
      <w:r w:rsidRPr="00494962">
        <w:rPr>
          <w:rFonts w:eastAsia="Arial Unicode MS" w:cs="Arial Unicode MS"/>
        </w:rPr>
        <w:t>, kdy jeho autoři došli ke stejnému závěru.</w:t>
      </w:r>
      <w:r w:rsidRPr="00494962">
        <w:rPr>
          <w:vertAlign w:val="superscript"/>
        </w:rPr>
        <w:footnoteReference w:id="21"/>
      </w:r>
    </w:p>
    <w:p w:rsidR="00F73F6E" w:rsidRPr="00494962" w:rsidRDefault="00F73F6E" w:rsidP="00F73F6E">
      <w:pPr>
        <w:rPr>
          <w:rFonts w:eastAsia="Arial Unicode MS" w:cs="Arial Unicode MS"/>
          <w:strike/>
        </w:rPr>
      </w:pPr>
      <w:r w:rsidRPr="00494962">
        <w:tab/>
      </w:r>
      <w:r w:rsidRPr="00494962">
        <w:rPr>
          <w:rFonts w:eastAsia="Arial Unicode MS" w:cs="Arial Unicode MS"/>
        </w:rPr>
        <w:t>Dle § 6 ZŽ2015 se za bezúhonnou nepovažuje osoba, která byla odsouzena pro trestný čin spáchaný úmyslně, ovšem jen pokud byl tento spáchán v souvislosti s podnikáním, anebo s předmětem podnikání, o který žádá nebo který ohlašuje, pokud se na ni nehledí, jako by nebyla odsouzena. V praxi se předně vychází z výpisu z rejstří</w:t>
      </w:r>
      <w:r w:rsidRPr="00494962">
        <w:rPr>
          <w:rFonts w:eastAsia="Arial Unicode MS" w:cs="Arial Unicode MS"/>
          <w:lang w:val="es-ES_tradnl"/>
        </w:rPr>
        <w:t>ku trest</w:t>
      </w:r>
      <w:r w:rsidRPr="00494962">
        <w:rPr>
          <w:rFonts w:eastAsia="Arial Unicode MS" w:cs="Arial Unicode MS"/>
        </w:rPr>
        <w:t xml:space="preserve">ů. Ze samotného rozhodnutí se potom vychází zejména u těch trestných činů, kde posouzení může být obtížné, kdy např. podvod lze spáchat při podnikání </w:t>
      </w:r>
      <w:r w:rsidRPr="00494962">
        <w:rPr>
          <w:rFonts w:eastAsia="Arial Unicode MS" w:cs="Arial Unicode MS"/>
          <w:lang w:val="es-ES_tradnl"/>
        </w:rPr>
        <w:t>i mimo n</w:t>
      </w:r>
      <w:r w:rsidRPr="00494962">
        <w:rPr>
          <w:rFonts w:eastAsia="Arial Unicode MS" w:cs="Arial Unicode MS"/>
        </w:rPr>
        <w:t>ěj.</w:t>
      </w:r>
      <w:r w:rsidRPr="00494962">
        <w:rPr>
          <w:rFonts w:eastAsia="Arial Unicode MS" w:cs="Arial Unicode MS"/>
          <w:color w:val="FF0000"/>
        </w:rPr>
        <w:t xml:space="preserve">  </w:t>
      </w:r>
    </w:p>
    <w:p w:rsidR="00F73F6E" w:rsidRPr="00494962" w:rsidRDefault="00F73F6E" w:rsidP="00F73F6E">
      <w:pPr>
        <w:rPr>
          <w:lang w:val="es-ES_tradnl"/>
        </w:rPr>
      </w:pPr>
      <w:r w:rsidRPr="00494962">
        <w:rPr>
          <w:rFonts w:eastAsia="Arial Unicode MS" w:cs="Arial Unicode MS"/>
          <w:lang w:val="es-ES_tradnl"/>
        </w:rPr>
        <w:tab/>
        <w:t>Co se překážek provozování živnosti týč</w:t>
      </w:r>
      <w:r w:rsidRPr="00494962">
        <w:rPr>
          <w:rFonts w:eastAsia="Arial Unicode MS" w:cs="Arial Unicode MS"/>
          <w:lang w:val="fr-FR"/>
        </w:rPr>
        <w:t>e, souvisej</w:t>
      </w:r>
      <w:r w:rsidRPr="00494962">
        <w:rPr>
          <w:rFonts w:eastAsia="Arial Unicode MS" w:cs="Arial Unicode MS"/>
          <w:lang w:val="es-ES_tradnl"/>
        </w:rPr>
        <w:t>í s insolvenčním řízení</w:t>
      </w:r>
      <w:r w:rsidRPr="00494962">
        <w:rPr>
          <w:rFonts w:eastAsia="Arial Unicode MS" w:cs="Arial Unicode MS"/>
          <w:lang w:val="pt-PT"/>
        </w:rPr>
        <w:t>m a t</w:t>
      </w:r>
      <w:r w:rsidRPr="00494962">
        <w:rPr>
          <w:rFonts w:eastAsia="Arial Unicode MS" w:cs="Arial Unicode MS"/>
          <w:lang w:val="es-ES_tradnl"/>
        </w:rPr>
        <w:t>éž se zrušením živnostenského oprávnění. Pouhý výčet by představoval neúměrné rozšíření té</w:t>
      </w:r>
      <w:r w:rsidRPr="00494962">
        <w:rPr>
          <w:rFonts w:eastAsia="Arial Unicode MS" w:cs="Arial Unicode MS"/>
          <w:lang w:val="it-IT"/>
        </w:rPr>
        <w:t>to diplomov</w:t>
      </w:r>
      <w:r w:rsidRPr="00494962">
        <w:rPr>
          <w:rFonts w:eastAsia="Arial Unicode MS" w:cs="Arial Unicode MS"/>
          <w:lang w:val="es-ES_tradnl"/>
        </w:rPr>
        <w:t>é práce, a proto odkazuji na ust. § 8 ZŽ2015 a s ní</w:t>
      </w:r>
      <w:r w:rsidRPr="00494962">
        <w:rPr>
          <w:rFonts w:eastAsia="Arial Unicode MS" w:cs="Arial Unicode MS"/>
          <w:lang w:val="fr-FR"/>
        </w:rPr>
        <w:t>m souvisej</w:t>
      </w:r>
      <w:r w:rsidRPr="00494962">
        <w:rPr>
          <w:rFonts w:eastAsia="Arial Unicode MS" w:cs="Arial Unicode MS"/>
          <w:lang w:val="es-ES_tradnl"/>
        </w:rPr>
        <w:t xml:space="preserve">ící ust. </w:t>
      </w:r>
    </w:p>
    <w:p w:rsidR="00F73F6E" w:rsidRPr="00494962" w:rsidRDefault="00F73F6E" w:rsidP="00F73F6E">
      <w:pPr>
        <w:pStyle w:val="Nadpis2"/>
      </w:pPr>
      <w:bookmarkStart w:id="11" w:name="_Toc415065677"/>
      <w:r w:rsidRPr="00494962">
        <w:lastRenderedPageBreak/>
        <w:t>2.3 Informační povinnost</w:t>
      </w:r>
      <w:bookmarkEnd w:id="11"/>
      <w:r w:rsidRPr="00494962">
        <w:t xml:space="preserve"> </w:t>
      </w:r>
    </w:p>
    <w:p w:rsidR="00F73F6E" w:rsidRPr="00494962" w:rsidRDefault="00F73F6E" w:rsidP="00F73F6E">
      <w:pPr>
        <w:rPr>
          <w:lang w:val="es-ES_tradnl"/>
        </w:rPr>
      </w:pPr>
      <w:r w:rsidRPr="00494962">
        <w:rPr>
          <w:rFonts w:eastAsia="Arial Unicode MS" w:cs="Arial Unicode MS"/>
          <w:lang w:val="es-ES_tradnl"/>
        </w:rPr>
        <w:tab/>
        <w:t>Osoba, která zvažuje přijmout funkci SO, musí informovat zakladatele nebo OK, zda ohledně majetku jejího nebo OK, v níž působila nebo působí v posledních 3 letech jako člen orgánu, bylo vedeno insolvenční řízení nebo řízení o vyloučení č</w:t>
      </w:r>
      <w:r w:rsidRPr="00494962">
        <w:rPr>
          <w:rFonts w:eastAsia="Arial Unicode MS" w:cs="Arial Unicode MS"/>
          <w:lang w:val="pt-PT"/>
        </w:rPr>
        <w:t>lena SO OK z</w:t>
      </w:r>
      <w:r w:rsidRPr="00494962">
        <w:rPr>
          <w:rFonts w:eastAsia="Arial Unicode MS" w:cs="Arial Unicode MS"/>
          <w:lang w:val="es-ES_tradnl"/>
        </w:rPr>
        <w:t> výkonu funkce nebo zda u ní není dána jiná překážka výkonu funkce.</w:t>
      </w:r>
      <w:r w:rsidRPr="00494962">
        <w:rPr>
          <w:vertAlign w:val="superscript"/>
        </w:rPr>
        <w:footnoteReference w:id="22"/>
      </w:r>
      <w:r w:rsidRPr="00494962">
        <w:rPr>
          <w:rFonts w:eastAsia="Arial Unicode MS" w:cs="Arial Unicode MS"/>
          <w:lang w:val="es-ES_tradnl"/>
        </w:rPr>
        <w:t xml:space="preserve"> Je potřeba ale upozornit na fakt, že osoba musí splnit předpoklady živnostenského zákona, aby mohla vykonávat funkci SO (resp. člena orgánu OK). Tudíž pokud je naplněn v souvislosti s insolvenčním řízením znak některé z překážek pro provozování živnosti podle živnostenského zákona, položila jsem si otázku, zda splnění informační povinnosti by tuto překážku mohlo napravit. Dle mého názoru se nelze domnívat, že pouhé splnění informační povinnosti by toto mohlo napravit. </w:t>
      </w:r>
    </w:p>
    <w:p w:rsidR="00F73F6E" w:rsidRPr="00494962" w:rsidRDefault="00F73F6E" w:rsidP="00F73F6E">
      <w:r w:rsidRPr="00494962">
        <w:rPr>
          <w:rFonts w:eastAsia="Arial Unicode MS" w:cs="Arial Unicode MS"/>
          <w:lang w:val="es-ES_tradnl"/>
        </w:rPr>
        <w:tab/>
      </w:r>
      <w:r w:rsidRPr="00494962">
        <w:rPr>
          <w:rFonts w:eastAsia="Arial Unicode MS" w:cs="Arial Unicode MS"/>
        </w:rPr>
        <w:t xml:space="preserve">Obecné ust. § 153 OZ stanovuje informační povinnost ohledně úpadku. Zde je ale opět nutno poukázat na požadavky zákona v ust. § 46 odst. 1 a 2 ZOK, který vyžaduje mimo jiné, aby zde neexistovala překážka provozování živnosti. Tudíž dodržení této zákonem stanovené informační povinnosti nelze obejít ust. § 46 odst. 1 a 2 ZOK zmíněné výše, které vylučují </w:t>
      </w:r>
      <w:r w:rsidRPr="00494962">
        <w:rPr>
          <w:rFonts w:eastAsia="Arial Unicode MS" w:cs="Arial Unicode MS"/>
          <w:lang w:val="fr-FR"/>
        </w:rPr>
        <w:t>pou</w:t>
      </w:r>
      <w:r w:rsidRPr="00494962">
        <w:rPr>
          <w:rFonts w:eastAsia="Arial Unicode MS" w:cs="Arial Unicode MS"/>
        </w:rPr>
        <w:t>žití obecného ust. § 153 OZ v OK.</w:t>
      </w:r>
      <w:r w:rsidRPr="00494962">
        <w:rPr>
          <w:vertAlign w:val="superscript"/>
        </w:rPr>
        <w:footnoteReference w:id="23"/>
      </w:r>
    </w:p>
    <w:p w:rsidR="00F73F6E" w:rsidRPr="00494962" w:rsidRDefault="00F73F6E" w:rsidP="00F73F6E">
      <w:pPr>
        <w:pStyle w:val="Nadpis2"/>
      </w:pPr>
      <w:bookmarkStart w:id="12" w:name="_Toc415065678"/>
      <w:r w:rsidRPr="00494962">
        <w:t>2.4 Dílčí teoretický závěr</w:t>
      </w:r>
      <w:bookmarkEnd w:id="12"/>
    </w:p>
    <w:p w:rsidR="00F73F6E" w:rsidRPr="00494962" w:rsidRDefault="00F73F6E" w:rsidP="00F73F6E">
      <w:pPr>
        <w:rPr>
          <w:rFonts w:eastAsia="Arial Unicode MS" w:cs="Arial Unicode MS"/>
        </w:rPr>
      </w:pPr>
      <w:r w:rsidRPr="00494962">
        <w:rPr>
          <w:rFonts w:eastAsia="Arial Unicode MS" w:cs="Arial Unicode MS"/>
        </w:rPr>
        <w:tab/>
        <w:t>V dané kapitole jsem se snažila poukázat na, podle mého názoru, nejzásadnější problematiku týkající se předpokladů pro výkon funkce jednatele. Výše jsem rozebrala zá</w:t>
      </w:r>
      <w:r w:rsidRPr="00494962">
        <w:rPr>
          <w:rFonts w:eastAsia="Arial Unicode MS" w:cs="Arial Unicode MS"/>
          <w:lang w:val="de-DE"/>
        </w:rPr>
        <w:t>konn</w:t>
      </w:r>
      <w:r w:rsidRPr="00494962">
        <w:rPr>
          <w:rFonts w:eastAsia="Arial Unicode MS" w:cs="Arial Unicode MS"/>
        </w:rPr>
        <w:t>é podmínky a předpoklady pro výkon funkce, nikoli již faktické (resp. znalostní atd.) podmínky, které budou rozebrány v následující kapitole v souvislosti s výkonem funkce.</w:t>
      </w:r>
      <w:r w:rsidRPr="00494962">
        <w:rPr>
          <w:rFonts w:eastAsia="Arial Unicode MS" w:cs="Arial Unicode MS"/>
        </w:rPr>
        <w:tab/>
      </w:r>
    </w:p>
    <w:p w:rsidR="00F73F6E" w:rsidRPr="00494962" w:rsidRDefault="00F73F6E" w:rsidP="00F73F6E">
      <w:r w:rsidRPr="00494962">
        <w:rPr>
          <w:rFonts w:eastAsia="Arial Unicode MS" w:cs="Arial Unicode MS"/>
        </w:rPr>
        <w:tab/>
        <w:t>Za stěžejní považuji závěr, že v současná právní úprava OZ a též živnostenského zákona</w:t>
      </w:r>
      <w:r w:rsidRPr="00494962">
        <w:rPr>
          <w:rFonts w:eastAsia="Arial Unicode MS" w:cs="Arial Unicode MS"/>
          <w:lang w:val="pt-PT"/>
        </w:rPr>
        <w:t xml:space="preserve"> umo</w:t>
      </w:r>
      <w:r w:rsidRPr="00494962">
        <w:rPr>
          <w:rFonts w:eastAsia="Arial Unicode MS" w:cs="Arial Unicode MS"/>
        </w:rPr>
        <w:t>žňuje výkon funkce SO i osobám, které nedosáhli ještě věku 18 let. Dále jsem se snažila upozornit na to, že informační povinnost dle ust. § 153 OZ je obecného charakteru a díky přísným podmínkám ust</w:t>
      </w:r>
      <w:r w:rsidR="00A83B9B">
        <w:rPr>
          <w:rFonts w:eastAsia="Arial Unicode MS" w:cs="Arial Unicode MS"/>
        </w:rPr>
        <w:t>.</w:t>
      </w:r>
      <w:r w:rsidRPr="00494962">
        <w:rPr>
          <w:rFonts w:eastAsia="Arial Unicode MS" w:cs="Arial Unicode MS"/>
        </w:rPr>
        <w:t xml:space="preserve"> § 46 odst. 1 a 2 ZOK se na funkci člena SO nepoužije, neboť v takovém případě by toto ust. ZOK nemělo smysl.</w:t>
      </w:r>
    </w:p>
    <w:p w:rsidR="00F73F6E" w:rsidRPr="00494962" w:rsidRDefault="00F73F6E" w:rsidP="00F73F6E">
      <w:pPr>
        <w:rPr>
          <w:rFonts w:eastAsia="Arial Unicode MS" w:cs="Arial Unicode MS"/>
        </w:rPr>
      </w:pPr>
      <w:r w:rsidRPr="00494962">
        <w:rPr>
          <w:rFonts w:eastAsia="Arial Unicode MS" w:cs="Arial Unicode MS"/>
        </w:rPr>
        <w:tab/>
        <w:t>Touto kapitolou jsem chtěla vytvoř</w:t>
      </w:r>
      <w:r w:rsidRPr="00494962">
        <w:rPr>
          <w:rFonts w:eastAsia="Arial Unicode MS" w:cs="Arial Unicode MS"/>
          <w:lang w:val="fr-FR"/>
        </w:rPr>
        <w:t>it p</w:t>
      </w:r>
      <w:r w:rsidRPr="00494962">
        <w:rPr>
          <w:rFonts w:eastAsia="Arial Unicode MS" w:cs="Arial Unicode MS"/>
        </w:rPr>
        <w:t>římý přechod k stěžejní kapitole mé diplomové práce, kterou je postavení jednatele jako SO v systému řízení s.r.o.</w:t>
      </w:r>
    </w:p>
    <w:p w:rsidR="00F73F6E" w:rsidRPr="00494962" w:rsidRDefault="00F73F6E" w:rsidP="00F73F6E">
      <w:pPr>
        <w:pStyle w:val="Nadpis1"/>
      </w:pPr>
      <w:r w:rsidRPr="00494962">
        <w:rPr>
          <w:rFonts w:eastAsia="Arial Unicode MS"/>
        </w:rPr>
        <w:br w:type="page"/>
      </w:r>
      <w:bookmarkStart w:id="13" w:name="_Toc415065679"/>
      <w:r w:rsidRPr="00494962">
        <w:rPr>
          <w:rFonts w:eastAsia="Arial Unicode MS"/>
        </w:rPr>
        <w:lastRenderedPageBreak/>
        <w:t>3. Postavení jednatele jako statutárního orgánu v systému řízení s.r.o.</w:t>
      </w:r>
      <w:bookmarkEnd w:id="13"/>
    </w:p>
    <w:p w:rsidR="00F73F6E" w:rsidRPr="00494962" w:rsidRDefault="00F73F6E" w:rsidP="00F73F6E">
      <w:pPr>
        <w:rPr>
          <w:i/>
          <w:iCs/>
        </w:rPr>
      </w:pPr>
      <w:r w:rsidRPr="00494962">
        <w:rPr>
          <w:rFonts w:eastAsia="Arial Unicode MS" w:cs="Arial Unicode MS"/>
        </w:rPr>
        <w:tab/>
        <w:t xml:space="preserve">Kapitola zabývající se postavením jednatele jako SO v systému řízení s.r.o. představuje stěžejní kapitolu mé diplomové práce. Jednatel jako SO představuje </w:t>
      </w:r>
      <w:r w:rsidRPr="00494962">
        <w:rPr>
          <w:rFonts w:eastAsia="Arial Unicode MS" w:cs="Arial Unicode MS"/>
          <w:i/>
          <w:iCs/>
        </w:rPr>
        <w:t>„vý</w:t>
      </w:r>
      <w:r w:rsidRPr="00494962">
        <w:rPr>
          <w:rFonts w:eastAsia="Arial Unicode MS" w:cs="Arial Unicode MS"/>
          <w:i/>
          <w:iCs/>
          <w:lang w:val="de-DE"/>
        </w:rPr>
        <w:t>konn</w:t>
      </w:r>
      <w:r w:rsidRPr="00494962">
        <w:rPr>
          <w:rFonts w:eastAsia="Arial Unicode MS" w:cs="Arial Unicode MS"/>
          <w:i/>
          <w:iCs/>
        </w:rPr>
        <w:t>ý orgán společnosti“</w:t>
      </w:r>
      <w:r w:rsidRPr="00494962">
        <w:rPr>
          <w:vertAlign w:val="superscript"/>
        </w:rPr>
        <w:footnoteReference w:id="24"/>
      </w:r>
      <w:r w:rsidRPr="00494962">
        <w:rPr>
          <w:rFonts w:eastAsia="Arial Unicode MS" w:cs="Arial Unicode MS"/>
          <w:i/>
          <w:iCs/>
        </w:rPr>
        <w:t xml:space="preserve">. </w:t>
      </w:r>
    </w:p>
    <w:p w:rsidR="00F73F6E" w:rsidRPr="00494962" w:rsidRDefault="00F73F6E" w:rsidP="00F73F6E">
      <w:r w:rsidRPr="00494962">
        <w:rPr>
          <w:rFonts w:eastAsia="Arial Unicode MS" w:cs="Arial Unicode MS"/>
        </w:rPr>
        <w:tab/>
        <w:t>Považuji za vhodné se nejdříve věnovat působnosti jednatele, která představuje základní vymezení funkce jednatele jako SO v systému řízení s.r.o. V návaznosti na působnost se chci zabývat problematickým ustanovením ust. § 156 odst. 2 OZ, kde je normována horizontální delegace. V rámci působnosti jednatele jako SO bych chtěla postihnout problematické aspekty jednatelského oprávnění zejména s ohledem na jeho omezení. Je samozřejmé, že pokud se v rámci podkapitoly týkající se působnosti jednatele budu zaobírat jednatelský</w:t>
      </w:r>
      <w:r w:rsidRPr="00494962">
        <w:rPr>
          <w:rFonts w:eastAsia="Arial Unicode MS" w:cs="Arial Unicode MS"/>
          <w:lang w:val="da-DK"/>
        </w:rPr>
        <w:t>m opr</w:t>
      </w:r>
      <w:r w:rsidRPr="00494962">
        <w:rPr>
          <w:rFonts w:eastAsia="Arial Unicode MS" w:cs="Arial Unicode MS"/>
        </w:rPr>
        <w:t>ávněním, nemohu vynechat problematiku obchodního vedení. Zde bych ráda blíže prozkoumala zálež</w:t>
      </w:r>
      <w:r w:rsidRPr="00494962">
        <w:rPr>
          <w:rFonts w:eastAsia="Arial Unicode MS" w:cs="Arial Unicode MS"/>
          <w:lang w:val="da-DK"/>
        </w:rPr>
        <w:t>itost ud</w:t>
      </w:r>
      <w:r w:rsidRPr="00494962">
        <w:rPr>
          <w:rFonts w:eastAsia="Arial Unicode MS" w:cs="Arial Unicode MS"/>
        </w:rPr>
        <w:t xml:space="preserve">ělování pokynů ohledně obchodního vedení. V první podkapitole bych mimo jiné </w:t>
      </w:r>
      <w:r w:rsidRPr="00494962">
        <w:rPr>
          <w:rFonts w:eastAsia="Arial Unicode MS" w:cs="Arial Unicode MS"/>
          <w:lang w:val="de-DE"/>
        </w:rPr>
        <w:t>cht</w:t>
      </w:r>
      <w:r w:rsidRPr="00494962">
        <w:rPr>
          <w:rFonts w:eastAsia="Arial Unicode MS" w:cs="Arial Unicode MS"/>
        </w:rPr>
        <w:t xml:space="preserve">ěla poukázat na velmi tenkou hranici jednatelského oprávnění a obchodního vedení a problémy z toho vyplývající. </w:t>
      </w:r>
    </w:p>
    <w:p w:rsidR="00F73F6E" w:rsidRPr="00494962" w:rsidRDefault="00F73F6E" w:rsidP="00F73F6E">
      <w:r w:rsidRPr="00494962">
        <w:rPr>
          <w:rFonts w:eastAsia="Arial Unicode MS" w:cs="Arial Unicode MS"/>
        </w:rPr>
        <w:tab/>
        <w:t>V další podkapitole se budu soustř</w:t>
      </w:r>
      <w:r w:rsidRPr="00494962">
        <w:rPr>
          <w:rFonts w:eastAsia="Arial Unicode MS" w:cs="Arial Unicode MS"/>
          <w:lang w:val="nl-NL"/>
        </w:rPr>
        <w:t>edit na st</w:t>
      </w:r>
      <w:r w:rsidRPr="00494962">
        <w:rPr>
          <w:rFonts w:eastAsia="Arial Unicode MS" w:cs="Arial Unicode MS"/>
        </w:rPr>
        <w:t>ěžejní povinnost jednatele jako SO a tou je péče řádného hospodáře. Jak bude níže nastíněno, skládá se ze dvou složek a tyto složky budou zevrubně rozebrány také s ohledem na pravidlo podnikatelského úsudku. Dá</w:t>
      </w:r>
      <w:r w:rsidRPr="00494962">
        <w:rPr>
          <w:rFonts w:eastAsia="Arial Unicode MS" w:cs="Arial Unicode MS"/>
          <w:lang w:val="fr-FR"/>
        </w:rPr>
        <w:t>le se budu v</w:t>
      </w:r>
      <w:r w:rsidRPr="00494962">
        <w:rPr>
          <w:rFonts w:eastAsia="Arial Unicode MS" w:cs="Arial Unicode MS"/>
        </w:rPr>
        <w:t>ěnovat otázce, podle jakého měřítka je v současné době povinnost péče řádného hospodáře hodnocena a také otázkou obráceného důkazního břemene. Posledním bodem, na který se zaměří</w:t>
      </w:r>
      <w:r w:rsidRPr="00494962">
        <w:rPr>
          <w:rFonts w:eastAsia="Arial Unicode MS" w:cs="Arial Unicode MS"/>
          <w:lang w:val="es-ES_tradnl"/>
        </w:rPr>
        <w:t>m, bude poru</w:t>
      </w:r>
      <w:r w:rsidRPr="00494962">
        <w:rPr>
          <w:rFonts w:eastAsia="Arial Unicode MS" w:cs="Arial Unicode MS"/>
        </w:rPr>
        <w:t xml:space="preserve">šení povinnosti péče řádného hospodáře. </w:t>
      </w:r>
    </w:p>
    <w:p w:rsidR="00F73F6E" w:rsidRPr="00494962" w:rsidRDefault="00F73F6E" w:rsidP="00F73F6E">
      <w:r w:rsidRPr="00494962">
        <w:rPr>
          <w:rFonts w:eastAsia="Arial Unicode MS" w:cs="Arial Unicode MS"/>
        </w:rPr>
        <w:tab/>
        <w:t xml:space="preserve">Obsah poslední podkapitoly bude zaměřen na problematiku osobního výkonu funkce a problematické aspekty z toho vyplývající a současně se pokusím poukázat na dopad povinnosti péče řádného hospodáře na osobní výkon funkce. </w:t>
      </w:r>
    </w:p>
    <w:p w:rsidR="00F73F6E" w:rsidRPr="00494962" w:rsidRDefault="00F73F6E" w:rsidP="00F73F6E">
      <w:r w:rsidRPr="00494962">
        <w:rPr>
          <w:rFonts w:eastAsia="Arial Unicode MS" w:cs="Arial Unicode MS"/>
        </w:rPr>
        <w:tab/>
        <w:t>Je nutno říct, že instituty které budou níže popsány, se zpravidla vztahují nejen na jednatele jako SO, nýbrž obecně na členy voleného orgánu. Jelikož je ale tato kapitola zaměřena na jednatele jako SO v systému řízení s.r.o., budu hovořit o jednatelích, popř</w:t>
      </w:r>
      <w:r w:rsidRPr="00494962">
        <w:rPr>
          <w:rFonts w:eastAsia="Arial Unicode MS" w:cs="Arial Unicode MS"/>
          <w:lang w:val="pt-PT"/>
        </w:rPr>
        <w:t xml:space="preserve">. o SO.   </w:t>
      </w:r>
    </w:p>
    <w:p w:rsidR="00F73F6E" w:rsidRPr="00494962" w:rsidRDefault="00F73F6E" w:rsidP="00F73F6E">
      <w:pPr>
        <w:pStyle w:val="Nadpis2"/>
      </w:pPr>
      <w:bookmarkStart w:id="14" w:name="_Toc415065680"/>
      <w:r w:rsidRPr="00494962">
        <w:t>3.1 Vymezení pojmu působnosti</w:t>
      </w:r>
      <w:bookmarkEnd w:id="14"/>
    </w:p>
    <w:p w:rsidR="00F73F6E" w:rsidRPr="00494962" w:rsidRDefault="00F73F6E" w:rsidP="00F73F6E">
      <w:r w:rsidRPr="00494962">
        <w:rPr>
          <w:rFonts w:eastAsia="Arial Unicode MS" w:cs="Arial Unicode MS"/>
        </w:rPr>
        <w:tab/>
        <w:t xml:space="preserve">Předně před započetím jakékoli polemiky a výkladu pojmu působnost a jeho problematických aspektů je třeba si uvědomit, že působnost SO obecně, tedy také jednatelů s.r.o., je natolik významným institutem, že </w:t>
      </w:r>
      <w:r w:rsidRPr="00494962">
        <w:rPr>
          <w:rFonts w:eastAsia="Arial Unicode MS" w:cs="Arial Unicode MS"/>
          <w:i/>
          <w:iCs/>
        </w:rPr>
        <w:t xml:space="preserve">„společníci nemohou ujednáním ve společenské </w:t>
      </w:r>
      <w:r w:rsidRPr="00494962">
        <w:rPr>
          <w:rFonts w:eastAsia="Arial Unicode MS" w:cs="Arial Unicode MS"/>
          <w:i/>
          <w:iCs/>
          <w:lang w:val="fr-FR"/>
        </w:rPr>
        <w:t>smlouv</w:t>
      </w:r>
      <w:r w:rsidRPr="00494962">
        <w:rPr>
          <w:rFonts w:eastAsia="Arial Unicode MS" w:cs="Arial Unicode MS"/>
          <w:i/>
          <w:iCs/>
        </w:rPr>
        <w:t xml:space="preserve">ě </w:t>
      </w:r>
      <w:r w:rsidRPr="00494962">
        <w:rPr>
          <w:rFonts w:eastAsia="Arial Unicode MS" w:cs="Arial Unicode MS"/>
          <w:i/>
          <w:iCs/>
          <w:lang w:val="sv-SE"/>
        </w:rPr>
        <w:t>odejmout obligatorn</w:t>
      </w:r>
      <w:r w:rsidRPr="00494962">
        <w:rPr>
          <w:rFonts w:eastAsia="Arial Unicode MS" w:cs="Arial Unicode MS"/>
          <w:i/>
          <w:iCs/>
        </w:rPr>
        <w:t xml:space="preserve">ě zřizovanému orgánu (jednateli) část působnosti svěřené mu zákonem a svěřit ji do působnosti zákonem </w:t>
      </w:r>
      <w:r w:rsidRPr="00494962">
        <w:rPr>
          <w:rFonts w:eastAsia="Arial Unicode MS" w:cs="Arial Unicode MS"/>
          <w:i/>
          <w:iCs/>
        </w:rPr>
        <w:lastRenderedPageBreak/>
        <w:t>nepředvídaného orgánu společnosti zřizovaného společenskou smlouvou.“</w:t>
      </w:r>
      <w:r w:rsidRPr="00494962">
        <w:rPr>
          <w:vertAlign w:val="superscript"/>
        </w:rPr>
        <w:footnoteReference w:id="25"/>
      </w:r>
      <w:r w:rsidRPr="00494962">
        <w:rPr>
          <w:rFonts w:eastAsia="Arial Unicode MS" w:cs="Arial Unicode MS"/>
        </w:rPr>
        <w:t xml:space="preserve"> Z toho vyplývá, že ani VH, jako nejvyšší orgán nemůže „všemocně“ zasahovat do zálež</w:t>
      </w:r>
      <w:r w:rsidRPr="00494962">
        <w:rPr>
          <w:rFonts w:eastAsia="Arial Unicode MS" w:cs="Arial Unicode MS"/>
          <w:lang w:val="pt-PT"/>
        </w:rPr>
        <w:t>itost</w:t>
      </w:r>
      <w:r w:rsidRPr="00494962">
        <w:rPr>
          <w:rFonts w:eastAsia="Arial Unicode MS" w:cs="Arial Unicode MS"/>
        </w:rPr>
        <w:t>í náležejících do působnosti jednatelů. Z tohoto důvodu je potřeba vymezit, jaké záležitosti do pojmu působnost mohou bý</w:t>
      </w:r>
      <w:r w:rsidRPr="00494962">
        <w:rPr>
          <w:rFonts w:eastAsia="Arial Unicode MS" w:cs="Arial Unicode MS"/>
          <w:lang w:val="nl-NL"/>
        </w:rPr>
        <w:t>t za</w:t>
      </w:r>
      <w:r w:rsidRPr="00494962">
        <w:rPr>
          <w:rFonts w:eastAsia="Arial Unicode MS" w:cs="Arial Unicode MS"/>
        </w:rPr>
        <w:t xml:space="preserve">řazeny. </w:t>
      </w:r>
    </w:p>
    <w:p w:rsidR="00F73F6E" w:rsidRPr="00494962" w:rsidRDefault="00F73F6E" w:rsidP="00F73F6E">
      <w:r w:rsidRPr="00494962">
        <w:rPr>
          <w:rFonts w:eastAsia="Arial Unicode MS" w:cs="Arial Unicode MS"/>
        </w:rPr>
        <w:tab/>
        <w:t>Pro pochopení složitějších otázek, jako je individuální a kolektivní SO, obchodní vedení a v neposlední řadě jednatelské oprávnění, je potřebné pochopit pojem působnosti. Je jistě mnoho způsobů, jak by tento pojem mohl být determinová</w:t>
      </w:r>
      <w:r w:rsidRPr="00494962">
        <w:rPr>
          <w:rFonts w:eastAsia="Arial Unicode MS" w:cs="Arial Unicode MS"/>
          <w:lang w:val="pt-PT"/>
        </w:rPr>
        <w:t>n do ur</w:t>
      </w:r>
      <w:r w:rsidRPr="00494962">
        <w:rPr>
          <w:rFonts w:eastAsia="Arial Unicode MS" w:cs="Arial Unicode MS"/>
        </w:rPr>
        <w:t>čitých kategorií. Jako v případě jiných právní</w:t>
      </w:r>
      <w:r w:rsidRPr="00494962">
        <w:rPr>
          <w:rFonts w:eastAsia="Arial Unicode MS" w:cs="Arial Unicode MS"/>
          <w:lang w:val="de-DE"/>
        </w:rPr>
        <w:t>ch institut</w:t>
      </w:r>
      <w:r w:rsidRPr="00494962">
        <w:rPr>
          <w:rFonts w:eastAsia="Arial Unicode MS" w:cs="Arial Unicode MS"/>
        </w:rPr>
        <w:t>ů, základní rozdělení tkví ve vymezení pozitivní a negativní působnosti. Co tohoto rozdělení týče, úprava OZ a ZOK neznamenala oproti úpravě ObčZ změny.</w:t>
      </w:r>
    </w:p>
    <w:p w:rsidR="00F73F6E" w:rsidRPr="00494962" w:rsidRDefault="00F73F6E" w:rsidP="00F73F6E">
      <w:pPr>
        <w:rPr>
          <w:lang w:val="es-ES_tradnl"/>
        </w:rPr>
      </w:pPr>
      <w:r w:rsidRPr="00494962">
        <w:rPr>
          <w:rFonts w:eastAsia="Arial Unicode MS" w:cs="Arial Unicode MS"/>
        </w:rPr>
        <w:tab/>
        <w:t xml:space="preserve">V současné době lze pozitivní vymezení vidět v ust. § 164 odst. 1 OZ, ve kterém je stanoveno, že </w:t>
      </w:r>
      <w:r w:rsidRPr="00494962">
        <w:rPr>
          <w:rFonts w:eastAsia="Arial Unicode MS" w:cs="Arial Unicode MS"/>
          <w:i/>
          <w:iCs/>
        </w:rPr>
        <w:t>člen statutárního orgánu může zastupovat právnickou osobu ve všech záležitostech.</w:t>
      </w:r>
      <w:r w:rsidRPr="00494962">
        <w:rPr>
          <w:vertAlign w:val="superscript"/>
        </w:rPr>
        <w:footnoteReference w:id="26"/>
      </w:r>
      <w:r w:rsidRPr="00494962">
        <w:rPr>
          <w:rFonts w:eastAsia="Arial Unicode MS" w:cs="Arial Unicode MS"/>
        </w:rPr>
        <w:t xml:space="preserve"> Přesná dikce však nekopíruje úpravu ObčZ, neboť zde zákon normoval, že jednatelé mohou činit právní úkony PO ve všech věcech.</w:t>
      </w:r>
      <w:r w:rsidRPr="00494962">
        <w:rPr>
          <w:vertAlign w:val="superscript"/>
        </w:rPr>
        <w:footnoteReference w:id="27"/>
      </w:r>
      <w:r w:rsidRPr="00494962">
        <w:rPr>
          <w:rFonts w:eastAsia="Arial Unicode MS" w:cs="Arial Unicode MS"/>
          <w:lang w:val="es-ES_tradnl"/>
        </w:rPr>
        <w:t xml:space="preserve"> Co se týče samotného pozitivního vymezení působnosti, to ž</w:t>
      </w:r>
      <w:r w:rsidRPr="00494962">
        <w:rPr>
          <w:rFonts w:eastAsia="Arial Unicode MS" w:cs="Arial Unicode MS"/>
          <w:lang w:val="pt-PT"/>
        </w:rPr>
        <w:t>e SO PO m</w:t>
      </w:r>
      <w:r w:rsidRPr="00494962">
        <w:rPr>
          <w:rFonts w:eastAsia="Arial Unicode MS" w:cs="Arial Unicode MS"/>
          <w:lang w:val="es-ES_tradnl"/>
        </w:rPr>
        <w:t xml:space="preserve">ůže být činný ve všech záležitostech PO, to zůstává oproti ObčZ zachováno a nezměněno. </w:t>
      </w:r>
    </w:p>
    <w:p w:rsidR="00F73F6E" w:rsidRPr="00494962" w:rsidRDefault="00F73F6E" w:rsidP="00F73F6E">
      <w:r w:rsidRPr="00494962">
        <w:rPr>
          <w:rFonts w:eastAsia="Arial Unicode MS" w:cs="Arial Unicode MS"/>
          <w:lang w:val="es-ES_tradnl"/>
        </w:rPr>
        <w:tab/>
      </w:r>
      <w:r w:rsidRPr="00494962">
        <w:rPr>
          <w:rFonts w:eastAsia="Arial Unicode MS" w:cs="Arial Unicode MS"/>
        </w:rPr>
        <w:t>V souvislosti s ust. § 164 odst. 1 OZ bych se alespoň okrajem ráda zmínila o povaze a významu tohoto ustanovení pro institut zastoupení, což představuje relativně diskutovanou otázku na poli odborné diskuse. Současné pojetí PO opouští tzv. organickou teorii právnických osob a nahrazuje ji tzv. fikční teorií.</w:t>
      </w:r>
      <w:r w:rsidRPr="00494962">
        <w:rPr>
          <w:vertAlign w:val="superscript"/>
        </w:rPr>
        <w:footnoteReference w:id="28"/>
      </w:r>
      <w:r w:rsidRPr="00494962">
        <w:rPr>
          <w:rFonts w:eastAsia="Arial Unicode MS" w:cs="Arial Unicode MS"/>
        </w:rPr>
        <w:t xml:space="preserve"> Nová úprava OZ samozřejmě odpovídá současnému pojetí PO</w:t>
      </w:r>
      <w:r w:rsidRPr="00494962">
        <w:rPr>
          <w:rFonts w:eastAsia="Arial Unicode MS" w:cs="Arial Unicode MS"/>
          <w:i/>
          <w:iCs/>
        </w:rPr>
        <w:t>. „Právnická osoba nově není nadána schopností jednat přímo, nýbrž je ve všech případech toliko zastupována.“</w:t>
      </w:r>
      <w:r w:rsidRPr="00494962">
        <w:rPr>
          <w:vertAlign w:val="superscript"/>
        </w:rPr>
        <w:footnoteReference w:id="29"/>
      </w:r>
      <w:r w:rsidRPr="00494962">
        <w:rPr>
          <w:rFonts w:eastAsia="Arial Unicode MS" w:cs="Arial Unicode MS"/>
        </w:rPr>
        <w:t xml:space="preserve"> To jednoduše řečeno znamená, že nově PO již není nadána svéprávností, má pouze právní osobnost a to od svého vzniku až </w:t>
      </w:r>
      <w:r w:rsidRPr="00494962">
        <w:rPr>
          <w:rFonts w:eastAsia="Arial Unicode MS" w:cs="Arial Unicode MS"/>
          <w:lang w:val="pt-PT"/>
        </w:rPr>
        <w:t>do z</w:t>
      </w:r>
      <w:r w:rsidRPr="00494962">
        <w:rPr>
          <w:rFonts w:eastAsia="Arial Unicode MS" w:cs="Arial Unicode MS"/>
        </w:rPr>
        <w:t xml:space="preserve">ániku. Už podle dikce ust. § 164 odst. 1 OZ je možné vyvodit, že jde o generální oprávnění k zastupování PO. V současné době, jak jsem již naznačila výše, je diskutovanou otázkou, o jaký </w:t>
      </w:r>
      <w:r w:rsidRPr="00494962">
        <w:rPr>
          <w:rFonts w:eastAsia="Arial Unicode MS" w:cs="Arial Unicode MS"/>
          <w:lang w:val="nl-NL"/>
        </w:rPr>
        <w:t>typ z</w:t>
      </w:r>
      <w:r w:rsidRPr="00494962">
        <w:rPr>
          <w:rFonts w:eastAsia="Arial Unicode MS" w:cs="Arial Unicode MS"/>
        </w:rPr>
        <w:t>ástupčího oprávnění se jedná. K tomuto je třeba říct, že převažuje názor, že </w:t>
      </w:r>
      <w:r w:rsidRPr="00494962">
        <w:rPr>
          <w:rFonts w:eastAsia="Arial Unicode MS" w:cs="Arial Unicode MS"/>
          <w:i/>
          <w:iCs/>
        </w:rPr>
        <w:t>„člen statutárního orgánu právnické osoby vystupuje jako její zástupce sui generis (nejedná se ani o smluvní ani zá</w:t>
      </w:r>
      <w:r w:rsidRPr="00494962">
        <w:rPr>
          <w:rFonts w:eastAsia="Arial Unicode MS" w:cs="Arial Unicode MS"/>
          <w:i/>
          <w:iCs/>
          <w:lang w:val="de-DE"/>
        </w:rPr>
        <w:t>konn</w:t>
      </w:r>
      <w:r w:rsidRPr="00494962">
        <w:rPr>
          <w:rFonts w:eastAsia="Arial Unicode MS" w:cs="Arial Unicode MS"/>
          <w:i/>
          <w:iCs/>
        </w:rPr>
        <w:t>é zastoupení).“</w:t>
      </w:r>
      <w:r w:rsidRPr="00494962">
        <w:rPr>
          <w:vertAlign w:val="superscript"/>
        </w:rPr>
        <w:footnoteReference w:id="30"/>
      </w:r>
      <w:r w:rsidRPr="00494962">
        <w:rPr>
          <w:rFonts w:eastAsia="Arial Unicode MS" w:cs="Arial Unicode MS"/>
        </w:rPr>
        <w:t xml:space="preserve"> </w:t>
      </w:r>
    </w:p>
    <w:p w:rsidR="00F73F6E" w:rsidRPr="00494962" w:rsidRDefault="00F73F6E" w:rsidP="00F73F6E">
      <w:pPr>
        <w:rPr>
          <w:i/>
          <w:iCs/>
        </w:rPr>
      </w:pPr>
      <w:r w:rsidRPr="00494962">
        <w:rPr>
          <w:rFonts w:eastAsia="Arial Unicode MS" w:cs="Arial Unicode MS"/>
        </w:rPr>
        <w:tab/>
        <w:t xml:space="preserve">Negativní vymezení působnosti je možné nalézt v ust. § 163 OZ. Zjednodušeně řečeno SO nepřísluší ta působnost, která podle zakladatelského právního jednání, zákona nebo rozhodnutí jiného orgánu veřejné moci, byla svěřena jinému orgánu PO. Zpravidla kompetenční spory vznikají mezi VH a jednateli. Oprávněním VH, kterým může zasáhnout do působnosti SO, </w:t>
      </w:r>
      <w:r w:rsidRPr="00494962">
        <w:rPr>
          <w:rFonts w:eastAsia="Arial Unicode MS" w:cs="Arial Unicode MS"/>
        </w:rPr>
        <w:lastRenderedPageBreak/>
        <w:t>je to, ž</w:t>
      </w:r>
      <w:r w:rsidRPr="00494962">
        <w:rPr>
          <w:rFonts w:eastAsia="Arial Unicode MS" w:cs="Arial Unicode MS"/>
          <w:lang w:val="it-IT"/>
        </w:rPr>
        <w:t>e si m</w:t>
      </w:r>
      <w:r w:rsidRPr="00494962">
        <w:rPr>
          <w:rFonts w:eastAsia="Arial Unicode MS" w:cs="Arial Unicode MS"/>
        </w:rPr>
        <w:t xml:space="preserve">ůže vyhradit rozhodování případů, které podle ZOK náleží </w:t>
      </w:r>
      <w:r w:rsidRPr="00494962">
        <w:rPr>
          <w:rFonts w:eastAsia="Arial Unicode MS" w:cs="Arial Unicode MS"/>
          <w:lang w:val="pt-PT"/>
        </w:rPr>
        <w:t>do p</w:t>
      </w:r>
      <w:r w:rsidRPr="00494962">
        <w:rPr>
          <w:rFonts w:eastAsia="Arial Unicode MS" w:cs="Arial Unicode MS"/>
        </w:rPr>
        <w:t>ůsobnosti jiného orgánu společnosti, tedy včetně zálež</w:t>
      </w:r>
      <w:r w:rsidRPr="00494962">
        <w:rPr>
          <w:rFonts w:eastAsia="Arial Unicode MS" w:cs="Arial Unicode MS"/>
          <w:lang w:val="pt-PT"/>
        </w:rPr>
        <w:t>itost</w:t>
      </w:r>
      <w:r w:rsidRPr="00494962">
        <w:rPr>
          <w:rFonts w:eastAsia="Arial Unicode MS" w:cs="Arial Unicode MS"/>
        </w:rPr>
        <w:t>í náležejících do působnosti SO.</w:t>
      </w:r>
      <w:r w:rsidRPr="00494962">
        <w:rPr>
          <w:vertAlign w:val="superscript"/>
        </w:rPr>
        <w:footnoteReference w:id="31"/>
      </w:r>
      <w:r w:rsidRPr="00494962">
        <w:rPr>
          <w:rFonts w:eastAsia="Arial Unicode MS" w:cs="Arial Unicode MS"/>
        </w:rPr>
        <w:t xml:space="preserve"> Dále je možné rozhodování některých případů náležejících běžně rozhodování </w:t>
      </w:r>
      <w:r w:rsidRPr="00494962">
        <w:rPr>
          <w:rFonts w:eastAsia="Arial Unicode MS" w:cs="Arial Unicode MS"/>
          <w:lang w:val="pt-PT"/>
        </w:rPr>
        <w:t>SO p</w:t>
      </w:r>
      <w:r w:rsidRPr="00494962">
        <w:rPr>
          <w:rFonts w:eastAsia="Arial Unicode MS" w:cs="Arial Unicode MS"/>
        </w:rPr>
        <w:t xml:space="preserve">řiradit rozhodování jinému orgánu ve společenské </w:t>
      </w:r>
      <w:r w:rsidRPr="00494962">
        <w:rPr>
          <w:rFonts w:eastAsia="Arial Unicode MS" w:cs="Arial Unicode MS"/>
          <w:lang w:val="fr-FR"/>
        </w:rPr>
        <w:t>smlouv</w:t>
      </w:r>
      <w:r w:rsidRPr="00494962">
        <w:rPr>
          <w:rFonts w:eastAsia="Arial Unicode MS" w:cs="Arial Unicode MS"/>
        </w:rPr>
        <w:t xml:space="preserve">ě. Je ale důležité si uvědomit, že </w:t>
      </w:r>
      <w:r w:rsidRPr="00494962">
        <w:rPr>
          <w:rFonts w:eastAsia="Arial Unicode MS" w:cs="Arial Unicode MS"/>
          <w:i/>
          <w:iCs/>
        </w:rPr>
        <w:t xml:space="preserve">„ani valná </w:t>
      </w:r>
      <w:r w:rsidRPr="00494962">
        <w:rPr>
          <w:rFonts w:eastAsia="Arial Unicode MS" w:cs="Arial Unicode MS"/>
          <w:i/>
          <w:iCs/>
          <w:lang w:val="pt-PT"/>
        </w:rPr>
        <w:t>hromada nem</w:t>
      </w:r>
      <w:r w:rsidRPr="00494962">
        <w:rPr>
          <w:rFonts w:eastAsia="Arial Unicode MS" w:cs="Arial Unicode MS"/>
          <w:i/>
          <w:iCs/>
        </w:rPr>
        <w:t xml:space="preserve">ůže atrahovat, ani společníci na ni ve společenské </w:t>
      </w:r>
      <w:r w:rsidRPr="00494962">
        <w:rPr>
          <w:rFonts w:eastAsia="Arial Unicode MS" w:cs="Arial Unicode MS"/>
          <w:i/>
          <w:iCs/>
          <w:lang w:val="fr-FR"/>
        </w:rPr>
        <w:t>smlouv</w:t>
      </w:r>
      <w:r w:rsidRPr="00494962">
        <w:rPr>
          <w:rFonts w:eastAsia="Arial Unicode MS" w:cs="Arial Unicode MS"/>
          <w:i/>
          <w:iCs/>
        </w:rPr>
        <w:t>ě nemohou přesunout příliš mnoho pravomocí, neboť by se tím vytrácel základní smysl právní úpravy jednatelů jakožto statutárního orgánu společnosti; to musí být vždy a každým respektováno.“</w:t>
      </w:r>
      <w:r w:rsidRPr="00494962">
        <w:rPr>
          <w:vertAlign w:val="superscript"/>
        </w:rPr>
        <w:footnoteReference w:id="32"/>
      </w:r>
    </w:p>
    <w:p w:rsidR="00F73F6E" w:rsidRPr="00494962" w:rsidRDefault="00F73F6E" w:rsidP="00F73F6E">
      <w:pPr>
        <w:rPr>
          <w:rFonts w:eastAsia="Arial Unicode MS" w:cs="Arial Unicode MS"/>
        </w:rPr>
      </w:pPr>
      <w:r w:rsidRPr="00494962">
        <w:rPr>
          <w:rFonts w:eastAsia="Arial Unicode MS" w:cs="Arial Unicode MS"/>
        </w:rPr>
        <w:tab/>
        <w:t>Samotná působnost bývá dělena na jednatelské oprávnění a obchodní vedení. Toto rozdělení ukazuje, v jakém směru ke společnosti zpravidlajednatel jedná. V případě, že jde o záležitosti dovnitř společnosti, jedná se zpravidla o záležitost obchodní vedení. V případě jednatelského oprávnění jde zpravidla o činnost, kterou jednatel vyvíjí navenek.</w:t>
      </w:r>
    </w:p>
    <w:p w:rsidR="00F73F6E" w:rsidRPr="00494962" w:rsidRDefault="00F73F6E" w:rsidP="00F73F6E">
      <w:r w:rsidRPr="00494962">
        <w:rPr>
          <w:rFonts w:eastAsia="Arial Unicode MS" w:cs="Arial Unicode MS"/>
        </w:rPr>
        <w:t xml:space="preserve"> </w:t>
      </w:r>
      <w:r w:rsidRPr="00494962">
        <w:tab/>
      </w:r>
      <w:r w:rsidRPr="00494962">
        <w:rPr>
          <w:rFonts w:eastAsia="Arial Unicode MS" w:cs="Arial Unicode MS"/>
        </w:rPr>
        <w:t xml:space="preserve">Toto rozdělení je relativně důležité zejména pro s.r.o., ve které je jednatelů více. Dle dikce ZOK v případě, že </w:t>
      </w:r>
      <w:r w:rsidRPr="00494962">
        <w:rPr>
          <w:rFonts w:eastAsia="Arial Unicode MS" w:cs="Arial Unicode MS"/>
          <w:i/>
          <w:iCs/>
        </w:rPr>
        <w:t>„má společnost více jednatelů, kteří netvoří kolektivní orgán, vyžaduje se k rozhodnutí o obchodním vedení souhlas většiny z </w:t>
      </w:r>
      <w:r w:rsidRPr="00494962">
        <w:rPr>
          <w:rFonts w:eastAsia="Arial Unicode MS" w:cs="Arial Unicode MS"/>
          <w:i/>
          <w:iCs/>
          <w:lang w:val="sv-SE"/>
        </w:rPr>
        <w:t>nich, leda</w:t>
      </w:r>
      <w:r w:rsidRPr="00494962">
        <w:rPr>
          <w:rFonts w:eastAsia="Arial Unicode MS" w:cs="Arial Unicode MS"/>
          <w:i/>
          <w:iCs/>
        </w:rPr>
        <w:t xml:space="preserve">že společenská </w:t>
      </w:r>
      <w:r w:rsidRPr="00494962">
        <w:rPr>
          <w:rFonts w:eastAsia="Arial Unicode MS" w:cs="Arial Unicode MS"/>
          <w:i/>
          <w:iCs/>
          <w:lang w:val="fr-FR"/>
        </w:rPr>
        <w:t>smlouva ur</w:t>
      </w:r>
      <w:r w:rsidRPr="00494962">
        <w:rPr>
          <w:rFonts w:eastAsia="Arial Unicode MS" w:cs="Arial Unicode MS"/>
          <w:i/>
          <w:iCs/>
        </w:rPr>
        <w:t>čí jinak.“</w:t>
      </w:r>
      <w:r w:rsidRPr="00494962">
        <w:rPr>
          <w:vertAlign w:val="superscript"/>
        </w:rPr>
        <w:footnoteReference w:id="33"/>
      </w:r>
      <w:r w:rsidRPr="00494962">
        <w:rPr>
          <w:rFonts w:eastAsia="Arial Unicode MS" w:cs="Arial Unicode MS"/>
        </w:rPr>
        <w:t xml:space="preserve"> Z druhé strany, co se jednatelského oprávnění týče, ZOK stanoví, že </w:t>
      </w:r>
      <w:r w:rsidRPr="00494962">
        <w:rPr>
          <w:rFonts w:eastAsia="Arial Unicode MS" w:cs="Arial Unicode MS"/>
          <w:i/>
          <w:iCs/>
        </w:rPr>
        <w:t>„určí-li tak společenská smlouva, tvoří více jednatelů kolektivní orgán“</w:t>
      </w:r>
      <w:r w:rsidRPr="00494962">
        <w:rPr>
          <w:vertAlign w:val="superscript"/>
        </w:rPr>
        <w:footnoteReference w:id="34"/>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 xml:space="preserve">Jak ve své publikaci podotkl Tomáš Dvořák, může nastat problém v případě, že s.r.o. má více jednatelů a v daném případě je problematické určit, zda záležitost, o které mají jednatelé rozhodovat, spadá obchodního vedení nebo jednatelského oprávnění. V případě obchodního vedení, kdy jednatelé netvoří kolektivní orgán (až pokud určí společenská smlouva, tak tvoří kolektivní orgán, tzn. pokud předpokládám, že společenská smlouva o tomto mlčí), jednatelé musejí jednat kolektivně, není-li ve společenské </w:t>
      </w:r>
      <w:r w:rsidRPr="00494962">
        <w:rPr>
          <w:rFonts w:eastAsia="Arial Unicode MS" w:cs="Arial Unicode MS"/>
          <w:lang w:val="fr-FR"/>
        </w:rPr>
        <w:t>smlouv</w:t>
      </w:r>
      <w:r w:rsidRPr="00494962">
        <w:rPr>
          <w:rFonts w:eastAsia="Arial Unicode MS" w:cs="Arial Unicode MS"/>
        </w:rPr>
        <w:t xml:space="preserve">ě stanoveno jinak (opět za předpokladu, že společenská </w:t>
      </w:r>
      <w:r w:rsidRPr="00494962">
        <w:rPr>
          <w:rFonts w:eastAsia="Arial Unicode MS" w:cs="Arial Unicode MS"/>
          <w:lang w:val="fr-FR"/>
        </w:rPr>
        <w:t>smlouva ml</w:t>
      </w:r>
      <w:r w:rsidRPr="00494962">
        <w:rPr>
          <w:rFonts w:eastAsia="Arial Unicode MS" w:cs="Arial Unicode MS"/>
        </w:rPr>
        <w:t>čí). Na druhou stranu v případě jednatelského oprávnění naopak je oprávněn každý z jednatelů jednat sá</w:t>
      </w:r>
      <w:r w:rsidRPr="00494962">
        <w:rPr>
          <w:rFonts w:eastAsia="Arial Unicode MS" w:cs="Arial Unicode MS"/>
          <w:lang w:val="sv-SE"/>
        </w:rPr>
        <w:t>m, leda</w:t>
      </w:r>
      <w:r w:rsidRPr="00494962">
        <w:rPr>
          <w:rFonts w:eastAsia="Arial Unicode MS" w:cs="Arial Unicode MS"/>
        </w:rPr>
        <w:t>že by společenská smlouva stanovila, že se jedná o kolektivní orgán (opět předpokládám, že společenská smlouva o tomto mlčí).</w:t>
      </w:r>
      <w:r w:rsidRPr="00494962">
        <w:rPr>
          <w:vertAlign w:val="superscript"/>
        </w:rPr>
        <w:footnoteReference w:id="35"/>
      </w:r>
      <w:r w:rsidRPr="00494962">
        <w:rPr>
          <w:rFonts w:eastAsia="Arial Unicode MS" w:cs="Arial Unicode MS"/>
        </w:rPr>
        <w:t xml:space="preserve"> Zde vidím zásadní důležitost pro pochopení, jaké rozhodování zálež</w:t>
      </w:r>
      <w:r w:rsidRPr="00494962">
        <w:rPr>
          <w:rFonts w:eastAsia="Arial Unicode MS" w:cs="Arial Unicode MS"/>
          <w:lang w:val="pt-PT"/>
        </w:rPr>
        <w:t>itost</w:t>
      </w:r>
      <w:r w:rsidRPr="00494962">
        <w:rPr>
          <w:rFonts w:eastAsia="Arial Unicode MS" w:cs="Arial Unicode MS"/>
        </w:rPr>
        <w:t xml:space="preserve">í SO s.r.o. spadají do obchodního vedení a jaké naopak do vnější působnosti.  </w:t>
      </w:r>
    </w:p>
    <w:p w:rsidR="00F73F6E" w:rsidRPr="00494962" w:rsidRDefault="00F73F6E" w:rsidP="00F73F6E">
      <w:pPr>
        <w:pStyle w:val="Nadpis3"/>
      </w:pPr>
      <w:bookmarkStart w:id="15" w:name="_Toc415065681"/>
      <w:r w:rsidRPr="00494962">
        <w:t>3.1.1 Kolektivní orgán a individuální orgán</w:t>
      </w:r>
      <w:bookmarkEnd w:id="15"/>
    </w:p>
    <w:p w:rsidR="00F73F6E" w:rsidRPr="00494962" w:rsidRDefault="00F73F6E" w:rsidP="00F73F6E">
      <w:pPr>
        <w:rPr>
          <w:i/>
          <w:iCs/>
        </w:rPr>
      </w:pPr>
      <w:r w:rsidRPr="00494962">
        <w:tab/>
      </w:r>
      <w:r w:rsidRPr="00494962">
        <w:rPr>
          <w:rFonts w:eastAsia="Arial Unicode MS" w:cs="Arial Unicode MS"/>
          <w:i/>
          <w:iCs/>
        </w:rPr>
        <w:t>„Pokud má nicméně společnost dva a více jednatelů, př</w:t>
      </w:r>
      <w:r w:rsidRPr="00494962">
        <w:rPr>
          <w:rFonts w:eastAsia="Arial Unicode MS" w:cs="Arial Unicode MS"/>
          <w:i/>
          <w:iCs/>
          <w:lang w:val="de-DE"/>
        </w:rPr>
        <w:t>ich</w:t>
      </w:r>
      <w:r w:rsidRPr="00494962">
        <w:rPr>
          <w:rFonts w:eastAsia="Arial Unicode MS" w:cs="Arial Unicode MS"/>
          <w:i/>
          <w:iCs/>
        </w:rPr>
        <w:t xml:space="preserve">ází v úvahu dvě možná řešení. Buď může být každý z jednatelů statutárním orgánem sám a společnost pak bude mít statutárních orgánů více, anebo jednatele </w:t>
      </w:r>
      <w:r w:rsidRPr="00494962">
        <w:rPr>
          <w:rFonts w:eastAsia="Arial Unicode MS" w:cs="Arial Unicode MS"/>
          <w:i/>
          <w:iCs/>
        </w:rPr>
        <w:lastRenderedPageBreak/>
        <w:t>můžeme považovat – obdobně jako například představenstvo akciové společnosti – za (jeden) kolektivní statutární orgán.“</w:t>
      </w:r>
      <w:r w:rsidRPr="00494962">
        <w:rPr>
          <w:vertAlign w:val="superscript"/>
        </w:rPr>
        <w:footnoteReference w:id="36"/>
      </w:r>
    </w:p>
    <w:p w:rsidR="00F73F6E" w:rsidRPr="00494962" w:rsidRDefault="00F73F6E" w:rsidP="00F73F6E">
      <w:r w:rsidRPr="00494962">
        <w:rPr>
          <w:rFonts w:eastAsia="Arial Unicode MS" w:cs="Arial Unicode MS"/>
        </w:rPr>
        <w:tab/>
        <w:t xml:space="preserve">Jelikož jsem v předchozím odstavci zmínila pojmy jako kolektivní a individuální orgán, považuji za vhodné rozebrat tyto pojmy ve světle dnešní úpravy. </w:t>
      </w:r>
      <w:r w:rsidRPr="00494962">
        <w:rPr>
          <w:rFonts w:eastAsia="Arial Unicode MS" w:cs="Arial Unicode MS"/>
        </w:rPr>
        <w:tab/>
      </w:r>
    </w:p>
    <w:p w:rsidR="00F73F6E" w:rsidRPr="00494962" w:rsidRDefault="00F73F6E" w:rsidP="00F73F6E">
      <w:r w:rsidRPr="00494962">
        <w:rPr>
          <w:rFonts w:eastAsia="Arial Unicode MS" w:cs="Arial Unicode MS"/>
        </w:rPr>
        <w:tab/>
        <w:t xml:space="preserve">V případě kolektivního orgánu jde o to, že členové musí činit rozhodnutí v určitém „kolegiu“. V ust. § 156 odst. 1 OZ je stanoveno, že </w:t>
      </w:r>
      <w:r w:rsidRPr="00494962">
        <w:rPr>
          <w:rFonts w:eastAsia="Arial Unicode MS" w:cs="Arial Unicode MS"/>
          <w:i/>
          <w:iCs/>
        </w:rPr>
        <w:t>„je-li orgán kolektivní, rozhoduje o záležitostech právnické osoby ve sboru. Je schopen usnášet se za přítomnosti nebo jiné účasti většiny členů a rozhoduje většinou hlasů zúčastněných členů.“</w:t>
      </w:r>
      <w:r w:rsidRPr="00494962">
        <w:rPr>
          <w:vertAlign w:val="superscript"/>
        </w:rPr>
        <w:footnoteReference w:id="37"/>
      </w:r>
      <w:r w:rsidRPr="00494962">
        <w:rPr>
          <w:rFonts w:eastAsia="Arial Unicode MS" w:cs="Arial Unicode MS"/>
        </w:rPr>
        <w:t xml:space="preserve"> Co to znamená, že je orgán kolektivní? Zákon toto normuje tak, že právě orgá</w:t>
      </w:r>
      <w:r w:rsidRPr="00494962">
        <w:rPr>
          <w:rFonts w:eastAsia="Arial Unicode MS" w:cs="Arial Unicode MS"/>
          <w:lang w:val="pt-PT"/>
        </w:rPr>
        <w:t>n o v</w:t>
      </w:r>
      <w:r w:rsidRPr="00494962">
        <w:rPr>
          <w:rFonts w:eastAsia="Arial Unicode MS" w:cs="Arial Unicode MS"/>
        </w:rPr>
        <w:t>íce členech je nazýván jako kolektivní.</w:t>
      </w:r>
      <w:r w:rsidRPr="00494962">
        <w:rPr>
          <w:vertAlign w:val="superscript"/>
        </w:rPr>
        <w:footnoteReference w:id="38"/>
      </w:r>
      <w:r w:rsidRPr="00494962">
        <w:rPr>
          <w:rFonts w:eastAsia="Arial Unicode MS" w:cs="Arial Unicode MS"/>
        </w:rPr>
        <w:t xml:space="preserve"> Ustanovení odstavce prvního stanovuje usnášeníschopnost orgánu. Toto ustanovení je dle komentářového znění dispozitivní, ale pouze ve smyslu zpřísnění podmínek a to v souladu s ust. § 158 OZ.</w:t>
      </w:r>
      <w:r w:rsidRPr="00494962">
        <w:rPr>
          <w:vertAlign w:val="superscript"/>
        </w:rPr>
        <w:footnoteReference w:id="39"/>
      </w:r>
    </w:p>
    <w:p w:rsidR="00F73F6E" w:rsidRPr="00494962" w:rsidRDefault="00F73F6E" w:rsidP="00F73F6E">
      <w:r w:rsidRPr="00494962">
        <w:rPr>
          <w:rFonts w:eastAsia="Arial Unicode MS" w:cs="Arial Unicode MS"/>
        </w:rPr>
        <w:tab/>
        <w:t>Z těchto všeobecně dopadající</w:t>
      </w:r>
      <w:r w:rsidRPr="00494962">
        <w:rPr>
          <w:rFonts w:eastAsia="Arial Unicode MS" w:cs="Arial Unicode MS"/>
          <w:lang w:val="sv-SE"/>
        </w:rPr>
        <w:t>ch formulac</w:t>
      </w:r>
      <w:r w:rsidRPr="00494962">
        <w:rPr>
          <w:rFonts w:eastAsia="Arial Unicode MS" w:cs="Arial Unicode MS"/>
        </w:rPr>
        <w:t xml:space="preserve">í by nebylo možno dojít ke zjištění, jak je to se SO v rámci s.r.o. Pro toto vymezení je potřeba, z logiky věci, hledat odpověď v ZOK. Zde je výslovně řečeno, že </w:t>
      </w:r>
      <w:r w:rsidRPr="00494962">
        <w:rPr>
          <w:rFonts w:eastAsia="Arial Unicode MS" w:cs="Arial Unicode MS"/>
          <w:i/>
          <w:iCs/>
        </w:rPr>
        <w:t xml:space="preserve">„statutárním orgánem společnosti s ručením omezeným je každý jednatel, ledaže společenská </w:t>
      </w:r>
      <w:r w:rsidRPr="00494962">
        <w:rPr>
          <w:rFonts w:eastAsia="Arial Unicode MS" w:cs="Arial Unicode MS"/>
          <w:i/>
          <w:iCs/>
          <w:lang w:val="fr-FR"/>
        </w:rPr>
        <w:t>smlouva ur</w:t>
      </w:r>
      <w:r w:rsidRPr="00494962">
        <w:rPr>
          <w:rFonts w:eastAsia="Arial Unicode MS" w:cs="Arial Unicode MS"/>
          <w:i/>
          <w:iCs/>
        </w:rPr>
        <w:t>čí, že více jednatelů tvoří kolektivní orgán.“</w:t>
      </w:r>
      <w:r w:rsidRPr="00494962">
        <w:rPr>
          <w:vertAlign w:val="superscript"/>
        </w:rPr>
        <w:footnoteReference w:id="40"/>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 xml:space="preserve">Z výše popsaného lze tedy analogicky dovodit, že pokud má s.r.o. jediného jednatele, situace nebude problematická, protože v souladu s ust. § 152 odst. 1 OZ se bude jednat o individuální orgán. V případě že s.r.o. bude mít více jednatelů, tak v souladu s ust. § </w:t>
      </w:r>
      <w:r w:rsidRPr="00494962">
        <w:rPr>
          <w:rFonts w:eastAsia="Arial Unicode MS" w:cs="Arial Unicode MS"/>
          <w:lang w:val="pt-PT"/>
        </w:rPr>
        <w:t>44 odst. 5 ZOK bude SO s.r.o. ka</w:t>
      </w:r>
      <w:r w:rsidRPr="00494962">
        <w:rPr>
          <w:rFonts w:eastAsia="Arial Unicode MS" w:cs="Arial Unicode MS"/>
        </w:rPr>
        <w:t xml:space="preserve">ždý jednatel. Až pokud společenská smlouva stanoví, že více jednatelů tvoří kolektivní orgán, bude těchto více jednatelů tvořit jediný kolektivní SO. </w:t>
      </w:r>
    </w:p>
    <w:p w:rsidR="00F73F6E" w:rsidRPr="00494962" w:rsidRDefault="00F73F6E" w:rsidP="00F73F6E">
      <w:r w:rsidRPr="00494962">
        <w:rPr>
          <w:rFonts w:eastAsia="Arial Unicode MS" w:cs="Arial Unicode MS"/>
        </w:rPr>
        <w:tab/>
        <w:t>Ustanovení § 44 odst. 5 ZOK v rámci systematického výkladu je nutné zařadit do ustanovení obecných, neboť toto ust. jako celek představuje rozdělení orgánů OK, nejen s.r.o. Ustanovení § 194 ZOK hovoří v podobné</w:t>
      </w:r>
      <w:r w:rsidRPr="00494962">
        <w:rPr>
          <w:rFonts w:eastAsia="Arial Unicode MS" w:cs="Arial Unicode MS"/>
          <w:lang w:val="fr-FR"/>
        </w:rPr>
        <w:t>m duchu, av</w:t>
      </w:r>
      <w:r w:rsidRPr="00494962">
        <w:rPr>
          <w:rFonts w:eastAsia="Arial Unicode MS" w:cs="Arial Unicode MS"/>
        </w:rPr>
        <w:t>šak systematicky je zařazeno pod s.r.o. a konkrétně k jednatelům. Z mého pohledu však kopíruje smysl předchozích ustanovení a opakuje se, že SO s.r.o. je jeden nebo více jednatelů, a že až pokud společenská smlouva stanoví, tak tvoří více jednatelů kolektivní orgán.</w:t>
      </w:r>
      <w:r w:rsidRPr="00494962">
        <w:rPr>
          <w:vertAlign w:val="superscript"/>
        </w:rPr>
        <w:footnoteReference w:id="41"/>
      </w:r>
      <w:r w:rsidRPr="00494962">
        <w:rPr>
          <w:rFonts w:eastAsia="Arial Unicode MS" w:cs="Arial Unicode MS"/>
        </w:rPr>
        <w:t xml:space="preserve"> Někdy se také hovoří o jednatelstvu.</w:t>
      </w:r>
      <w:r w:rsidRPr="00494962">
        <w:rPr>
          <w:vertAlign w:val="superscript"/>
        </w:rPr>
        <w:footnoteReference w:id="42"/>
      </w:r>
    </w:p>
    <w:p w:rsidR="00F73F6E" w:rsidRPr="00494962" w:rsidRDefault="00F73F6E" w:rsidP="00F73F6E">
      <w:r w:rsidRPr="00494962">
        <w:rPr>
          <w:rFonts w:eastAsia="Arial Unicode MS" w:cs="Arial Unicode MS"/>
        </w:rPr>
        <w:tab/>
        <w:t xml:space="preserve">Na mysl může vyvstat otázka, zda je možné, aby v s.r.o. s více jednateli, někteří tvořili kolektivní orgán a jiní naopak mohli jednat samostatně. Z logiky věci i v rámci teleologického </w:t>
      </w:r>
      <w:r w:rsidRPr="00494962">
        <w:rPr>
          <w:rFonts w:eastAsia="Arial Unicode MS" w:cs="Arial Unicode MS"/>
        </w:rPr>
        <w:lastRenderedPageBreak/>
        <w:t xml:space="preserve">výkladu této problematiky pravděpodobně nelze tomuto uspořádání přisvědčit. </w:t>
      </w:r>
      <w:r w:rsidRPr="00494962">
        <w:rPr>
          <w:vertAlign w:val="superscript"/>
        </w:rPr>
        <w:footnoteReference w:id="43"/>
      </w:r>
      <w:r w:rsidRPr="00494962">
        <w:rPr>
          <w:rFonts w:eastAsia="Arial Unicode MS" w:cs="Arial Unicode MS"/>
        </w:rPr>
        <w:t xml:space="preserve"> Podle mého názoru by takováto úprava působila zmatek a nejistotu úpravy působnosti jednatelů v rámci s.r.o. a zejména vůči třetím osobám.</w:t>
      </w:r>
    </w:p>
    <w:p w:rsidR="00F73F6E" w:rsidRPr="00494962" w:rsidRDefault="00F73F6E" w:rsidP="00F73F6E">
      <w:r w:rsidRPr="00494962">
        <w:rPr>
          <w:rFonts w:eastAsia="Arial Unicode MS" w:cs="Arial Unicode MS"/>
        </w:rPr>
        <w:tab/>
        <w:t xml:space="preserve">To, jak rozhoduje SO jako individuální orgán, pravděpodobně není třeba rozebírat, rozhoduje samostatně. To, jak rozhoduje kolektivní orgán v případě jednatelů, upravuje ustanovení OZ s obecným dopadem a konkrétně potom ust. § 194 odst. 2 ZOK s odkazem na úpravu představenstva v ust. § 440 ZOK a násl. Argumentum a simili jednatelé jako kolektivní orgán budou rozhodovat většinou hlasů přítomných členů, avšak společenská </w:t>
      </w:r>
      <w:r w:rsidRPr="00494962">
        <w:rPr>
          <w:rFonts w:eastAsia="Arial Unicode MS" w:cs="Arial Unicode MS"/>
          <w:lang w:val="fr-FR"/>
        </w:rPr>
        <w:t>smlouva m</w:t>
      </w:r>
      <w:r w:rsidRPr="00494962">
        <w:rPr>
          <w:rFonts w:eastAsia="Arial Unicode MS" w:cs="Arial Unicode MS"/>
        </w:rPr>
        <w:t xml:space="preserve">ůže stanovit vyšší počet. </w:t>
      </w:r>
    </w:p>
    <w:p w:rsidR="00F73F6E" w:rsidRPr="00494962" w:rsidRDefault="00F73F6E" w:rsidP="00F73F6E">
      <w:r w:rsidRPr="00494962">
        <w:rPr>
          <w:rFonts w:eastAsia="Arial Unicode MS" w:cs="Arial Unicode MS"/>
        </w:rPr>
        <w:tab/>
        <w:t xml:space="preserve">Společenská </w:t>
      </w:r>
      <w:r w:rsidRPr="00494962">
        <w:rPr>
          <w:rFonts w:eastAsia="Arial Unicode MS" w:cs="Arial Unicode MS"/>
          <w:lang w:val="fr-FR"/>
        </w:rPr>
        <w:t>smlouva m</w:t>
      </w:r>
      <w:r w:rsidRPr="00494962">
        <w:rPr>
          <w:rFonts w:eastAsia="Arial Unicode MS" w:cs="Arial Unicode MS"/>
        </w:rPr>
        <w:t xml:space="preserve">ůže určit, že pro určité záležitosti, které považuje za mimořádně významné, je potřeba kvalifikovaná většina přítomných členů, popřípadě souhlasu všech členů. Samozřejmě, pokud by se k takové úpravě přistoupilo, bylo by nepochybně potřeba, aby tyto záležitosti byly přesně ve společenské </w:t>
      </w:r>
      <w:r w:rsidRPr="00494962">
        <w:rPr>
          <w:rFonts w:eastAsia="Arial Unicode MS" w:cs="Arial Unicode MS"/>
          <w:lang w:val="fr-FR"/>
        </w:rPr>
        <w:t>smlouv</w:t>
      </w:r>
      <w:r w:rsidRPr="00494962">
        <w:rPr>
          <w:rFonts w:eastAsia="Arial Unicode MS" w:cs="Arial Unicode MS"/>
        </w:rPr>
        <w:t>ě definovány.</w:t>
      </w:r>
      <w:r w:rsidRPr="00494962">
        <w:rPr>
          <w:vertAlign w:val="superscript"/>
        </w:rPr>
        <w:footnoteReference w:id="44"/>
      </w:r>
      <w:r w:rsidRPr="00494962">
        <w:rPr>
          <w:rFonts w:eastAsia="Arial Unicode MS" w:cs="Arial Unicode MS"/>
        </w:rPr>
        <w:t xml:space="preserve"> Každý z jednatelů v rámci rozhodování kolektivního orgánu by přitom měl jeden hlas. Toto nemůže představovat dispozitivní úpravu a nelze společenskou smlouvou přiřknou konkrétnímu jednateli větší počet hlasů. Podle mého názoru je takováto úprava správná, neboť by mohlo dojít k neoprávněnému zvýhodnění rozhodování některých z jednatelů, aniž by pro to byl spravedlivý důvod. </w:t>
      </w:r>
    </w:p>
    <w:p w:rsidR="00F73F6E" w:rsidRPr="00494962" w:rsidRDefault="00F73F6E" w:rsidP="00F73F6E">
      <w:r w:rsidRPr="00494962">
        <w:rPr>
          <w:rFonts w:eastAsia="Arial Unicode MS" w:cs="Arial Unicode MS"/>
        </w:rPr>
        <w:tab/>
        <w:t>Je zřejmé, že v rámci rozhodování kolektivního orgánu může dojít k rovnosti hlasů. Jak takovýto problém řešit? Odborná nauka v tomto není sjednocena. V </w:t>
      </w:r>
      <w:r w:rsidRPr="00494962">
        <w:rPr>
          <w:rFonts w:eastAsia="Arial Unicode MS" w:cs="Arial Unicode MS"/>
          <w:lang w:val="nl-NL"/>
        </w:rPr>
        <w:t>koment</w:t>
      </w:r>
      <w:r w:rsidRPr="00494962">
        <w:rPr>
          <w:rFonts w:eastAsia="Arial Unicode MS" w:cs="Arial Unicode MS"/>
        </w:rPr>
        <w:t>ářovém znění k ZOK je příklon k názoru, že sice existuje úprava, že stanovy mohou určit, že při rovnosti hlasů rozhoduje hlas předsedajícího, avšak odkazuje na obecné ustanovení ust. § 158 odst. 3 OZ a vyvozuje, že úprava ZOK je vůči tomuto ustanovení speciální, a tudíž na představenstvo uží</w:t>
      </w:r>
      <w:r w:rsidRPr="00494962">
        <w:rPr>
          <w:rFonts w:eastAsia="Arial Unicode MS" w:cs="Arial Unicode MS"/>
          <w:lang w:val="it-IT"/>
        </w:rPr>
        <w:t>t nelze.</w:t>
      </w:r>
      <w:r w:rsidRPr="00494962">
        <w:rPr>
          <w:vertAlign w:val="superscript"/>
        </w:rPr>
        <w:footnoteReference w:id="45"/>
      </w:r>
      <w:r w:rsidRPr="00494962">
        <w:rPr>
          <w:rFonts w:eastAsia="Arial Unicode MS" w:cs="Arial Unicode MS"/>
        </w:rPr>
        <w:t xml:space="preserve"> Logicky z toho vyplývá, že hlas předsedajícího nebude mít rozhodující charakter. </w:t>
      </w:r>
    </w:p>
    <w:p w:rsidR="00F73F6E" w:rsidRPr="00494962" w:rsidRDefault="00F73F6E" w:rsidP="00F73F6E">
      <w:r w:rsidRPr="00494962">
        <w:rPr>
          <w:rFonts w:eastAsia="Arial Unicode MS" w:cs="Arial Unicode MS"/>
        </w:rPr>
        <w:tab/>
        <w:t xml:space="preserve">Na druhou stranu objevuje se i názor, že ustanovení § 44 odst. 3 znějící tak, že </w:t>
      </w:r>
      <w:r w:rsidRPr="00494962">
        <w:rPr>
          <w:rFonts w:eastAsia="Arial Unicode MS" w:cs="Arial Unicode MS"/>
          <w:i/>
          <w:iCs/>
        </w:rPr>
        <w:t>„kolektivní orgán zvolí předsedu, jehož hlas je v případě rovnosti hlasů rozhodující</w:t>
      </w:r>
      <w:r w:rsidRPr="00494962">
        <w:rPr>
          <w:rFonts w:eastAsia="Arial Unicode MS" w:cs="Arial Unicode MS"/>
          <w:i/>
          <w:iCs/>
          <w:lang w:val="sv-SE"/>
        </w:rPr>
        <w:t>, leda</w:t>
      </w:r>
      <w:r w:rsidRPr="00494962">
        <w:rPr>
          <w:rFonts w:eastAsia="Arial Unicode MS" w:cs="Arial Unicode MS"/>
          <w:i/>
          <w:iCs/>
        </w:rPr>
        <w:t>že společenská smlouva pro tento pří</w:t>
      </w:r>
      <w:r w:rsidRPr="00494962">
        <w:rPr>
          <w:rFonts w:eastAsia="Arial Unicode MS" w:cs="Arial Unicode MS"/>
          <w:i/>
          <w:iCs/>
          <w:lang w:val="it-IT"/>
        </w:rPr>
        <w:t>pad ur</w:t>
      </w:r>
      <w:r w:rsidRPr="00494962">
        <w:rPr>
          <w:rFonts w:eastAsia="Arial Unicode MS" w:cs="Arial Unicode MS"/>
          <w:i/>
          <w:iCs/>
        </w:rPr>
        <w:t>čí jinak; to neplatí pro osobní společnosti,“</w:t>
      </w:r>
      <w:r w:rsidRPr="00494962">
        <w:rPr>
          <w:rFonts w:eastAsia="Arial Unicode MS" w:cs="Arial Unicode MS"/>
        </w:rPr>
        <w:t xml:space="preserve"> </w:t>
      </w:r>
      <w:r w:rsidRPr="00494962">
        <w:rPr>
          <w:vertAlign w:val="superscript"/>
        </w:rPr>
        <w:footnoteReference w:id="46"/>
      </w:r>
      <w:r w:rsidRPr="00494962">
        <w:rPr>
          <w:rFonts w:eastAsia="Arial Unicode MS" w:cs="Arial Unicode MS"/>
        </w:rPr>
        <w:t xml:space="preserve"> je použitelné právě pro případ rovnosti hlasů v rámci rozhodování jednatelů.</w:t>
      </w:r>
      <w:r w:rsidRPr="00494962">
        <w:rPr>
          <w:vertAlign w:val="superscript"/>
        </w:rPr>
        <w:footnoteReference w:id="47"/>
      </w:r>
    </w:p>
    <w:p w:rsidR="00F73F6E" w:rsidRPr="00494962" w:rsidRDefault="00F73F6E" w:rsidP="00F73F6E">
      <w:r w:rsidRPr="00494962">
        <w:rPr>
          <w:rFonts w:eastAsia="Arial Unicode MS" w:cs="Arial Unicode MS"/>
        </w:rPr>
        <w:tab/>
        <w:t>Osobně se přikláním k názoru docentky Ivany Štenglové prezentované v </w:t>
      </w:r>
      <w:r w:rsidRPr="00494962">
        <w:rPr>
          <w:rFonts w:eastAsia="Arial Unicode MS" w:cs="Arial Unicode MS"/>
          <w:lang w:val="nl-NL"/>
        </w:rPr>
        <w:t>koment</w:t>
      </w:r>
      <w:r w:rsidRPr="00494962">
        <w:rPr>
          <w:rFonts w:eastAsia="Arial Unicode MS" w:cs="Arial Unicode MS"/>
        </w:rPr>
        <w:t>ářové literatuře. Svůj ná</w:t>
      </w:r>
      <w:r w:rsidRPr="00494962">
        <w:rPr>
          <w:rFonts w:eastAsia="Arial Unicode MS" w:cs="Arial Unicode MS"/>
          <w:lang w:val="da-DK"/>
        </w:rPr>
        <w:t>zor op</w:t>
      </w:r>
      <w:r w:rsidRPr="00494962">
        <w:rPr>
          <w:rFonts w:eastAsia="Arial Unicode MS" w:cs="Arial Unicode MS"/>
        </w:rPr>
        <w:t>írá</w:t>
      </w:r>
      <w:r w:rsidRPr="00494962">
        <w:rPr>
          <w:rFonts w:eastAsia="Arial Unicode MS" w:cs="Arial Unicode MS"/>
          <w:lang w:val="pt-PT"/>
        </w:rPr>
        <w:t>m o my</w:t>
      </w:r>
      <w:r w:rsidRPr="00494962">
        <w:rPr>
          <w:rFonts w:eastAsia="Arial Unicode MS" w:cs="Arial Unicode MS"/>
        </w:rPr>
        <w:t xml:space="preserve">šlenku, že pokud každý z jednatelů má jeden hlas a jejich hlasy jsou si rovny, nelze některý z nich povýšit na úkor jiného a to ani v případě rovnosti. V rámci </w:t>
      </w:r>
      <w:r w:rsidRPr="00494962">
        <w:rPr>
          <w:rFonts w:eastAsia="Arial Unicode MS" w:cs="Arial Unicode MS"/>
        </w:rPr>
        <w:lastRenderedPageBreak/>
        <w:t xml:space="preserve">kolektivního orgánu jednatelé dle mého názoru musí dojít k natolik jasné shodě, aby o ní nebylo pochyb. Toto by s připuštěním rozhodujícího hlasu předsedajícího nebylo možné a odporovalo by to povinnosti jednat s péčí řádného hospodáře.   </w:t>
      </w:r>
    </w:p>
    <w:p w:rsidR="00F73F6E" w:rsidRPr="00494962" w:rsidRDefault="00F73F6E" w:rsidP="00F73F6E">
      <w:pPr>
        <w:rPr>
          <w:lang w:val="es-ES_tradnl"/>
        </w:rPr>
      </w:pPr>
      <w:r w:rsidRPr="00494962">
        <w:rPr>
          <w:rFonts w:eastAsia="Arial Unicode MS" w:cs="Arial Unicode MS"/>
        </w:rPr>
        <w:tab/>
        <w:t>Je třeba říct, že nová úprava též normuje rozdělení působnosti podle určitých oborů v rámci kolektivního orgánu. V takovém případě, pokud dojde k rozdělení působnosti jednotlivých členů orgánu podle určitých oborů, ustanovení ust. § 156 odst. 1 OZ týkající se usnášenischopnosti se nepoužije.</w:t>
      </w:r>
      <w:r w:rsidRPr="00494962">
        <w:rPr>
          <w:vertAlign w:val="superscript"/>
        </w:rPr>
        <w:footnoteReference w:id="48"/>
      </w:r>
      <w:r w:rsidRPr="00494962">
        <w:rPr>
          <w:rFonts w:eastAsia="Arial Unicode MS" w:cs="Arial Unicode MS"/>
        </w:rPr>
        <w:t xml:space="preserve"> Jedná se o tzv. horizontální </w:t>
      </w:r>
      <w:r w:rsidRPr="00494962">
        <w:rPr>
          <w:rFonts w:eastAsia="Arial Unicode MS" w:cs="Arial Unicode MS"/>
          <w:lang w:val="es-ES_tradnl"/>
        </w:rPr>
        <w:t>delegaci. Z toho vyplývá, že ne o všech otázkách musí nutně rozhodovat vš</w:t>
      </w:r>
      <w:r w:rsidRPr="00494962">
        <w:rPr>
          <w:rFonts w:eastAsia="Arial Unicode MS" w:cs="Arial Unicode MS"/>
          <w:lang w:val="de-DE"/>
        </w:rPr>
        <w:t xml:space="preserve">ichni </w:t>
      </w:r>
      <w:r w:rsidRPr="00494962">
        <w:rPr>
          <w:rFonts w:eastAsia="Arial Unicode MS" w:cs="Arial Unicode MS"/>
          <w:lang w:val="es-ES_tradnl"/>
        </w:rPr>
        <w:t xml:space="preserve">členové kolektivního orgánu. </w:t>
      </w:r>
    </w:p>
    <w:p w:rsidR="00F73F6E" w:rsidRPr="00494962" w:rsidRDefault="00F73F6E" w:rsidP="00F73F6E">
      <w:pPr>
        <w:rPr>
          <w:lang w:val="es-ES_tradnl"/>
        </w:rPr>
      </w:pPr>
      <w:r w:rsidRPr="00494962">
        <w:rPr>
          <w:rFonts w:eastAsia="Arial Unicode MS" w:cs="Arial Unicode MS"/>
          <w:lang w:val="es-ES_tradnl"/>
        </w:rPr>
        <w:tab/>
        <w:t>Jak je možné si všimnout, zákon nepředpokládá, že by horizontální delegace musela být upravena na úrovni zakladatelského právního jednání, byť to samozřejmě není vyloučeno. Primárně však bude o tomto rozhodnuto pří</w:t>
      </w:r>
      <w:r w:rsidRPr="00494962">
        <w:rPr>
          <w:rFonts w:eastAsia="Arial Unicode MS" w:cs="Arial Unicode MS"/>
          <w:lang w:val="pt-PT"/>
        </w:rPr>
        <w:t>mo org</w:t>
      </w:r>
      <w:r w:rsidRPr="00494962">
        <w:rPr>
          <w:rFonts w:eastAsia="Arial Unicode MS" w:cs="Arial Unicode MS"/>
          <w:lang w:val="es-ES_tradnl"/>
        </w:rPr>
        <w:t>ánem, kterého se horizontální delegace týká. Toto je způsobeno zejména tím, že rozdělení působnosti nezbavuje další členy povinnosti dohlížet, jak jsou záležitosti PO spravovány.</w:t>
      </w:r>
      <w:r w:rsidRPr="00494962">
        <w:rPr>
          <w:vertAlign w:val="superscript"/>
        </w:rPr>
        <w:footnoteReference w:id="49"/>
      </w:r>
    </w:p>
    <w:p w:rsidR="00F73F6E" w:rsidRPr="00494962" w:rsidRDefault="00F73F6E" w:rsidP="00F73F6E">
      <w:pPr>
        <w:rPr>
          <w:lang w:val="es-ES_tradnl"/>
        </w:rPr>
      </w:pPr>
      <w:r w:rsidRPr="00494962">
        <w:rPr>
          <w:rFonts w:eastAsia="Arial Unicode MS" w:cs="Arial Unicode MS"/>
          <w:lang w:val="es-ES_tradnl"/>
        </w:rPr>
        <w:tab/>
        <w:t>Právě zá</w:t>
      </w:r>
      <w:r w:rsidRPr="00494962">
        <w:rPr>
          <w:rFonts w:eastAsia="Arial Unicode MS" w:cs="Arial Unicode MS"/>
          <w:lang w:val="de-DE"/>
        </w:rPr>
        <w:t>konn</w:t>
      </w:r>
      <w:r w:rsidRPr="00494962">
        <w:rPr>
          <w:rFonts w:eastAsia="Arial Unicode MS" w:cs="Arial Unicode MS"/>
          <w:lang w:val="es-ES_tradnl"/>
        </w:rPr>
        <w:t xml:space="preserve">á úprava, že rozdělení působnosti nezbavuje další členy povinnosti dohlížet, jak jsou záležitosti PO spravovány, dle mého názoru představuje jistý </w:t>
      </w:r>
      <w:r w:rsidRPr="00494962">
        <w:rPr>
          <w:rFonts w:eastAsia="Arial Unicode MS" w:cs="Arial Unicode MS"/>
          <w:lang w:val="nl-NL"/>
        </w:rPr>
        <w:t>nonsense v</w:t>
      </w:r>
      <w:r w:rsidRPr="00494962">
        <w:rPr>
          <w:rFonts w:eastAsia="Arial Unicode MS" w:cs="Arial Unicode MS"/>
          <w:lang w:val="es-ES_tradnl"/>
        </w:rPr>
        <w:t xml:space="preserve"> rámci právní úpravy. Podle mého názoru je třeba vycházet ze smyslu toho, proč </w:t>
      </w:r>
      <w:r w:rsidRPr="00494962">
        <w:rPr>
          <w:rFonts w:eastAsia="Arial Unicode MS" w:cs="Arial Unicode MS"/>
          <w:lang w:val="de-DE"/>
        </w:rPr>
        <w:t>cht</w:t>
      </w:r>
      <w:r w:rsidRPr="00494962">
        <w:rPr>
          <w:rFonts w:eastAsia="Arial Unicode MS" w:cs="Arial Unicode MS"/>
          <w:lang w:val="es-ES_tradnl"/>
        </w:rPr>
        <w:t xml:space="preserve">ějí jednatelé určité záležitosti působnosti delegovat na jednotlivé členy (zpravidla se bude jednat o záležitosti obchodního vedení). Podle mého názoru horizontální </w:t>
      </w:r>
      <w:r w:rsidRPr="00494962">
        <w:rPr>
          <w:rFonts w:eastAsia="Arial Unicode MS" w:cs="Arial Unicode MS"/>
          <w:lang w:val="it-IT"/>
        </w:rPr>
        <w:t>delegaci cht</w:t>
      </w:r>
      <w:r w:rsidRPr="00494962">
        <w:rPr>
          <w:rFonts w:eastAsia="Arial Unicode MS" w:cs="Arial Unicode MS"/>
          <w:lang w:val="es-ES_tradnl"/>
        </w:rPr>
        <w:t>ějí právě z toho důvodu, že sami nejsou v určité působnosti natolik znalí, aby mohli s péčí řádného hospodář</w:t>
      </w:r>
      <w:r w:rsidRPr="00494962">
        <w:rPr>
          <w:rFonts w:eastAsia="Arial Unicode MS" w:cs="Arial Unicode MS"/>
          <w:lang w:val="pt-PT"/>
        </w:rPr>
        <w:t>e o t</w:t>
      </w:r>
      <w:r w:rsidRPr="00494962">
        <w:rPr>
          <w:rFonts w:eastAsia="Arial Unicode MS" w:cs="Arial Unicode MS"/>
          <w:lang w:val="es-ES_tradnl"/>
        </w:rPr>
        <w:t>é které záležitosti rozhodovat. Protož</w:t>
      </w:r>
      <w:r w:rsidRPr="00494962">
        <w:rPr>
          <w:rFonts w:eastAsia="Arial Unicode MS" w:cs="Arial Unicode MS"/>
          <w:lang w:val="nl-NL"/>
        </w:rPr>
        <w:t>e cht</w:t>
      </w:r>
      <w:r w:rsidRPr="00494962">
        <w:rPr>
          <w:rFonts w:eastAsia="Arial Unicode MS" w:cs="Arial Unicode MS"/>
          <w:lang w:val="es-ES_tradnl"/>
        </w:rPr>
        <w:t xml:space="preserve">ějí </w:t>
      </w:r>
      <w:r w:rsidRPr="00494962">
        <w:rPr>
          <w:rFonts w:eastAsia="Arial Unicode MS" w:cs="Arial Unicode MS"/>
          <w:lang w:val="pt-PT"/>
        </w:rPr>
        <w:t>dost</w:t>
      </w:r>
      <w:r w:rsidRPr="00494962">
        <w:rPr>
          <w:rFonts w:eastAsia="Arial Unicode MS" w:cs="Arial Unicode MS"/>
          <w:lang w:val="es-ES_tradnl"/>
        </w:rPr>
        <w:t>át své povinnosti péče řádného hospodáře, delegují rozhodování určité záležitosti pouze na některého z jednatelů. Ovšem zákon jim ukládá povinnost dohlížet na to, jak jsou záležitosti v této působnosti spravovány. Myslím si, že se zde dostává</w:t>
      </w:r>
      <w:r w:rsidRPr="00494962">
        <w:rPr>
          <w:rFonts w:eastAsia="Arial Unicode MS" w:cs="Arial Unicode MS"/>
          <w:lang w:val="pt-PT"/>
        </w:rPr>
        <w:t>me do ur</w:t>
      </w:r>
      <w:r w:rsidRPr="00494962">
        <w:rPr>
          <w:rFonts w:eastAsia="Arial Unicode MS" w:cs="Arial Unicode MS"/>
          <w:lang w:val="es-ES_tradnl"/>
        </w:rPr>
        <w:t xml:space="preserve">čitého kruhu, neboť </w:t>
      </w:r>
      <w:r w:rsidRPr="00494962">
        <w:rPr>
          <w:rFonts w:eastAsia="Arial Unicode MS" w:cs="Arial Unicode MS"/>
          <w:lang w:val="it-IT"/>
        </w:rPr>
        <w:t>sice deleguj</w:t>
      </w:r>
      <w:r w:rsidRPr="00494962">
        <w:rPr>
          <w:rFonts w:eastAsia="Arial Unicode MS" w:cs="Arial Unicode MS"/>
          <w:lang w:val="es-ES_tradnl"/>
        </w:rPr>
        <w:t>í určitou záležitost, ale stále jim zůstává povinnost dohlížet na ni a nést samozřejmě v souvislosti s tím i svů</w:t>
      </w:r>
      <w:r w:rsidRPr="00494962">
        <w:rPr>
          <w:rFonts w:eastAsia="Arial Unicode MS" w:cs="Arial Unicode MS"/>
          <w:lang w:val="nl-NL"/>
        </w:rPr>
        <w:t>j d</w:t>
      </w:r>
      <w:r w:rsidRPr="00494962">
        <w:rPr>
          <w:rFonts w:eastAsia="Arial Unicode MS" w:cs="Arial Unicode MS"/>
          <w:lang w:val="es-ES_tradnl"/>
        </w:rPr>
        <w:t xml:space="preserve">íl odpovědnosti. </w:t>
      </w:r>
    </w:p>
    <w:p w:rsidR="00F73F6E" w:rsidRPr="00494962" w:rsidRDefault="00F73F6E" w:rsidP="00F73F6E">
      <w:pPr>
        <w:rPr>
          <w:lang w:val="es-ES_tradnl"/>
        </w:rPr>
      </w:pPr>
      <w:r w:rsidRPr="00494962">
        <w:rPr>
          <w:rFonts w:eastAsia="Arial Unicode MS" w:cs="Arial Unicode MS"/>
          <w:lang w:val="es-ES_tradnl"/>
        </w:rPr>
        <w:tab/>
        <w:t>Musím však přiznat, že určité zmírnění lze vidět v odpovědnosti za náhradu škody. Primárně totiž za škodu způsobenou rozhodnutím i v delegované záležitosti budou nést odpovědnost vš</w:t>
      </w:r>
      <w:r w:rsidRPr="00494962">
        <w:rPr>
          <w:rFonts w:eastAsia="Arial Unicode MS" w:cs="Arial Unicode MS"/>
          <w:lang w:val="de-DE"/>
        </w:rPr>
        <w:t xml:space="preserve">ichni </w:t>
      </w:r>
      <w:r w:rsidRPr="00494962">
        <w:rPr>
          <w:rFonts w:eastAsia="Arial Unicode MS" w:cs="Arial Unicode MS"/>
          <w:lang w:val="es-ES_tradnl"/>
        </w:rPr>
        <w:t>členové orgánu. Zmírnění můžeme nalézt v ust. § 2915 OZ, ze kterého vyplývá, že je-li k náhradě zavázáno několik škůdců, nahradí škodu společně a nerozdílně</w:t>
      </w:r>
      <w:r w:rsidRPr="00494962">
        <w:rPr>
          <w:rFonts w:eastAsia="Arial Unicode MS" w:cs="Arial Unicode MS"/>
          <w:lang w:val="de-DE"/>
        </w:rPr>
        <w:t>, nicm</w:t>
      </w:r>
      <w:r w:rsidRPr="00494962">
        <w:rPr>
          <w:rFonts w:eastAsia="Arial Unicode MS" w:cs="Arial Unicode MS"/>
          <w:lang w:val="es-ES_tradnl"/>
        </w:rPr>
        <w:t xml:space="preserve">éně jsou-li pro to důvody zvláštního zřetele hodné, může soud rozhodnout, že škůdce nahradí škodu podle své účasti na škodlivém následku. Jde však o zmírnění dost nejisté, záleží totiž na úvaze a posouzení soudu, zda horizontální delegaci bude považovat za důvod zvláštního zřetele hodný. </w:t>
      </w:r>
    </w:p>
    <w:p w:rsidR="00F73F6E" w:rsidRPr="00494962" w:rsidRDefault="00F73F6E" w:rsidP="00F73F6E">
      <w:pPr>
        <w:rPr>
          <w:lang w:val="es-ES_tradnl"/>
        </w:rPr>
      </w:pPr>
      <w:r w:rsidRPr="00494962">
        <w:rPr>
          <w:rFonts w:eastAsia="Arial Unicode MS" w:cs="Arial Unicode MS"/>
          <w:lang w:val="es-ES_tradnl"/>
        </w:rPr>
        <w:lastRenderedPageBreak/>
        <w:tab/>
        <w:t xml:space="preserve">Jelikož je otázka horizontální delegace upravena v rámci kolektivního orgánu, položila jsem si otázku, zda je toto ustanovení </w:t>
      </w:r>
      <w:r w:rsidRPr="00494962">
        <w:rPr>
          <w:rFonts w:eastAsia="Arial Unicode MS" w:cs="Arial Unicode MS"/>
          <w:lang w:val="fr-FR"/>
        </w:rPr>
        <w:t>pou</w:t>
      </w:r>
      <w:r w:rsidRPr="00494962">
        <w:rPr>
          <w:rFonts w:eastAsia="Arial Unicode MS" w:cs="Arial Unicode MS"/>
          <w:lang w:val="es-ES_tradnl"/>
        </w:rPr>
        <w:t>žitelné i na individuální orgán. Dle odborného názoru se předpokládá, že i když nová úprava postrádá jakékoli ust.o tomto, v rámci teleologického výkladu horizontální delegace mezi jednateli s.r.o. jednajících jako individuální orgán bude připuštěna.</w:t>
      </w:r>
      <w:r w:rsidRPr="00494962">
        <w:rPr>
          <w:vertAlign w:val="superscript"/>
        </w:rPr>
        <w:footnoteReference w:id="50"/>
      </w:r>
    </w:p>
    <w:p w:rsidR="00F73F6E" w:rsidRPr="00494962" w:rsidRDefault="00F73F6E" w:rsidP="00F73F6E">
      <w:pPr>
        <w:pStyle w:val="Nadpis3"/>
      </w:pPr>
      <w:bookmarkStart w:id="16" w:name="_Toc415065682"/>
      <w:r w:rsidRPr="00494962">
        <w:t>3.1.2 Jednatelské oprávnění včetně jeho omezení</w:t>
      </w:r>
      <w:bookmarkEnd w:id="16"/>
    </w:p>
    <w:p w:rsidR="00F73F6E" w:rsidRPr="00494962" w:rsidRDefault="00F73F6E" w:rsidP="00F73F6E">
      <w:pPr>
        <w:rPr>
          <w:lang w:val="es-ES_tradnl"/>
        </w:rPr>
      </w:pPr>
      <w:r w:rsidRPr="00494962">
        <w:rPr>
          <w:rFonts w:eastAsia="Arial Unicode MS" w:cs="Arial Unicode MS"/>
          <w:lang w:val="es-ES_tradnl"/>
        </w:rPr>
        <w:tab/>
        <w:t xml:space="preserve">Jak již bylo zmíněno výše, jednatelské oprávnění představuje jednání navenek, to znamená vůči třetím osobám. Už bylo zmíněno, že </w:t>
      </w:r>
      <w:r w:rsidRPr="00494962">
        <w:rPr>
          <w:rFonts w:eastAsia="Arial Unicode MS" w:cs="Arial Unicode MS"/>
          <w:i/>
          <w:iCs/>
          <w:lang w:val="es-ES_tradnl"/>
        </w:rPr>
        <w:t>„člen statutárního orgánu může zastupovat právnickou osobu ve všech záležitostech“.</w:t>
      </w:r>
      <w:r w:rsidRPr="00494962">
        <w:rPr>
          <w:vertAlign w:val="superscript"/>
        </w:rPr>
        <w:footnoteReference w:id="51"/>
      </w:r>
      <w:r w:rsidRPr="00494962">
        <w:rPr>
          <w:rFonts w:eastAsia="Arial Unicode MS" w:cs="Arial Unicode MS"/>
          <w:lang w:val="es-ES_tradnl"/>
        </w:rPr>
        <w:t xml:space="preserve"> Co se jednatelského oprávnění týče, tak zákon předpokládá, že každý z jednatelů je oprávněn jednat sám. To znamená, že členové SO zastupují společnost každý samostatně a každý z nich může tedy činit v rámci vnější působnosti svá rozhodnutí, samozřejmě společenská </w:t>
      </w:r>
      <w:r w:rsidRPr="00494962">
        <w:rPr>
          <w:rFonts w:eastAsia="Arial Unicode MS" w:cs="Arial Unicode MS"/>
          <w:lang w:val="fr-FR"/>
        </w:rPr>
        <w:t>smlouva m</w:t>
      </w:r>
      <w:r w:rsidRPr="00494962">
        <w:rPr>
          <w:rFonts w:eastAsia="Arial Unicode MS" w:cs="Arial Unicode MS"/>
          <w:lang w:val="es-ES_tradnl"/>
        </w:rPr>
        <w:t xml:space="preserve">ůže toto změnit. </w:t>
      </w:r>
    </w:p>
    <w:p w:rsidR="00F73F6E" w:rsidRPr="00494962" w:rsidRDefault="00F73F6E" w:rsidP="00F73F6E">
      <w:pPr>
        <w:rPr>
          <w:i/>
          <w:iCs/>
          <w:lang w:val="es-ES_tradnl"/>
        </w:rPr>
      </w:pPr>
      <w:r w:rsidRPr="00494962">
        <w:rPr>
          <w:lang w:val="es-ES_tradnl"/>
        </w:rPr>
        <w:tab/>
      </w:r>
      <w:r w:rsidRPr="00494962">
        <w:rPr>
          <w:rFonts w:eastAsia="Arial Unicode MS" w:cs="Arial Unicode MS"/>
          <w:i/>
          <w:iCs/>
          <w:lang w:val="es-ES_tradnl"/>
        </w:rPr>
        <w:t>„Omezení jednatelského oprávnění orgánu obchodní korporace společenskou smlouvou nebo jiným ujednáním nebo rozhodnutím orgánu obchodní korporace nejsou vůči třetím osobám účinná, i když byla zveřejněna.“</w:t>
      </w:r>
      <w:r w:rsidRPr="00494962">
        <w:rPr>
          <w:vertAlign w:val="superscript"/>
        </w:rPr>
        <w:footnoteReference w:id="52"/>
      </w:r>
    </w:p>
    <w:p w:rsidR="00F73F6E" w:rsidRPr="00494962" w:rsidRDefault="00F73F6E" w:rsidP="00F73F6E">
      <w:pPr>
        <w:rPr>
          <w:lang w:val="es-ES_tradnl"/>
        </w:rPr>
      </w:pPr>
      <w:r w:rsidRPr="00494962">
        <w:rPr>
          <w:rFonts w:eastAsia="Arial Unicode MS" w:cs="Arial Unicode MS"/>
          <w:lang w:val="es-ES_tradnl"/>
        </w:rPr>
        <w:tab/>
        <w:t xml:space="preserve">Toto ust. normuje omezení jednatelského oprávnění a účinnost takového omezení vůči třetím osobám.  Ačkoli úprava není přímo vztáhnuta na SO s.r.o. ani na SO obecně, bezesporu je pro jednatelské oprávnění jednatelů </w:t>
      </w:r>
      <w:r w:rsidRPr="00494962">
        <w:rPr>
          <w:rFonts w:eastAsia="Arial Unicode MS" w:cs="Arial Unicode MS"/>
          <w:lang w:val="fr-FR"/>
        </w:rPr>
        <w:t>pou</w:t>
      </w:r>
      <w:r w:rsidRPr="00494962">
        <w:rPr>
          <w:rFonts w:eastAsia="Arial Unicode MS" w:cs="Arial Unicode MS"/>
          <w:lang w:val="es-ES_tradnl"/>
        </w:rPr>
        <w:t>žitelná.</w:t>
      </w:r>
      <w:r w:rsidRPr="00494962">
        <w:rPr>
          <w:vertAlign w:val="superscript"/>
        </w:rPr>
        <w:footnoteReference w:id="53"/>
      </w:r>
      <w:r w:rsidRPr="00494962">
        <w:rPr>
          <w:rFonts w:eastAsia="Arial Unicode MS" w:cs="Arial Unicode MS"/>
          <w:lang w:val="es-ES_tradnl"/>
        </w:rPr>
        <w:t xml:space="preserve"> Tuto omezující úpravu znalo naše obchodní právo již velice dlouhou dobu, neboť obecně se dá říct, ž</w:t>
      </w:r>
      <w:r w:rsidRPr="00494962">
        <w:rPr>
          <w:rFonts w:eastAsia="Arial Unicode MS" w:cs="Arial Unicode MS"/>
          <w:lang w:val="sv-SE"/>
        </w:rPr>
        <w:t>e ochrana dobr</w:t>
      </w:r>
      <w:r w:rsidRPr="00494962">
        <w:rPr>
          <w:rFonts w:eastAsia="Arial Unicode MS" w:cs="Arial Unicode MS"/>
          <w:lang w:val="es-ES_tradnl"/>
        </w:rPr>
        <w:t>é víry je často stavě</w:t>
      </w:r>
      <w:r w:rsidRPr="00494962">
        <w:rPr>
          <w:rFonts w:eastAsia="Arial Unicode MS" w:cs="Arial Unicode MS"/>
          <w:lang w:val="pt-PT"/>
        </w:rPr>
        <w:t>na do pop</w:t>
      </w:r>
      <w:r w:rsidRPr="00494962">
        <w:rPr>
          <w:rFonts w:eastAsia="Arial Unicode MS" w:cs="Arial Unicode MS"/>
          <w:lang w:val="es-ES_tradnl"/>
        </w:rPr>
        <w:t xml:space="preserve">ředí a právě toto ustanovení má chránit dobrou víru třetích osob. </w:t>
      </w:r>
    </w:p>
    <w:p w:rsidR="00F73F6E" w:rsidRPr="00494962" w:rsidRDefault="00F73F6E" w:rsidP="00F73F6E">
      <w:pPr>
        <w:rPr>
          <w:lang w:val="es-ES_tradnl"/>
        </w:rPr>
      </w:pPr>
      <w:r w:rsidRPr="00494962">
        <w:rPr>
          <w:rFonts w:eastAsia="Arial Unicode MS" w:cs="Arial Unicode MS"/>
          <w:lang w:val="es-ES_tradnl"/>
        </w:rPr>
        <w:tab/>
        <w:t xml:space="preserve">Pokazuji na fakt, že výše zmíněné ust.  nevylučuje omezení jednatelského oprávnění. Je třeba si uvědomit, že nic nebrání tomu, aby jednatelské oprávnění jednatelů bylo omezené. Bude to však s účinky dovnitř. </w:t>
      </w:r>
    </w:p>
    <w:p w:rsidR="00F73F6E" w:rsidRPr="00494962" w:rsidRDefault="00F73F6E" w:rsidP="00F73F6E">
      <w:pPr>
        <w:rPr>
          <w:lang w:val="es-ES_tradnl"/>
        </w:rPr>
      </w:pPr>
      <w:r w:rsidRPr="00494962">
        <w:rPr>
          <w:rFonts w:eastAsia="Arial Unicode MS" w:cs="Arial Unicode MS"/>
          <w:lang w:val="es-ES_tradnl"/>
        </w:rPr>
        <w:tab/>
        <w:t xml:space="preserve">To znamená, že pokud bude např. ve společenské </w:t>
      </w:r>
      <w:r w:rsidRPr="00494962">
        <w:rPr>
          <w:rFonts w:eastAsia="Arial Unicode MS" w:cs="Arial Unicode MS"/>
          <w:lang w:val="fr-FR"/>
        </w:rPr>
        <w:t>smlouv</w:t>
      </w:r>
      <w:r w:rsidRPr="00494962">
        <w:rPr>
          <w:rFonts w:eastAsia="Arial Unicode MS" w:cs="Arial Unicode MS"/>
          <w:lang w:val="es-ES_tradnl"/>
        </w:rPr>
        <w:t>ě stanoveno omezení jednatelského oprávnění a jednatel nebude jednat v souladu s takovým omezením, nebude to mít následky vně, tudíž vůči třetím osobám, ale pouze dovnitř, kdy např. jednatel bude povinen k náhradě škody.</w:t>
      </w:r>
      <w:r w:rsidRPr="00494962">
        <w:rPr>
          <w:vertAlign w:val="superscript"/>
        </w:rPr>
        <w:footnoteReference w:id="54"/>
      </w:r>
      <w:r w:rsidRPr="00494962">
        <w:rPr>
          <w:rFonts w:eastAsia="Arial Unicode MS" w:cs="Arial Unicode MS"/>
          <w:lang w:val="es-ES_tradnl"/>
        </w:rPr>
        <w:t xml:space="preserve"> </w:t>
      </w:r>
    </w:p>
    <w:p w:rsidR="00F73F6E" w:rsidRPr="00494962" w:rsidRDefault="00F73F6E" w:rsidP="00F73F6E">
      <w:pPr>
        <w:rPr>
          <w:lang w:val="es-ES_tradnl"/>
        </w:rPr>
      </w:pPr>
      <w:r w:rsidRPr="00494962">
        <w:rPr>
          <w:rFonts w:eastAsia="Arial Unicode MS" w:cs="Arial Unicode MS"/>
          <w:lang w:val="es-ES_tradnl"/>
        </w:rPr>
        <w:lastRenderedPageBreak/>
        <w:tab/>
        <w:t xml:space="preserve">Zajímavou, bohužel s nejednoznačnou odpovědí, otázkou v rámci tohoto bloku je, zda může být ve společenské </w:t>
      </w:r>
      <w:r w:rsidRPr="00494962">
        <w:rPr>
          <w:rFonts w:eastAsia="Arial Unicode MS" w:cs="Arial Unicode MS"/>
          <w:lang w:val="fr-FR"/>
        </w:rPr>
        <w:t>smlouv</w:t>
      </w:r>
      <w:r w:rsidRPr="00494962">
        <w:rPr>
          <w:rFonts w:eastAsia="Arial Unicode MS" w:cs="Arial Unicode MS"/>
          <w:lang w:val="es-ES_tradnl"/>
        </w:rPr>
        <w:t>ě ustanoveno, ž</w:t>
      </w:r>
      <w:r w:rsidRPr="00494962">
        <w:rPr>
          <w:rFonts w:eastAsia="Arial Unicode MS" w:cs="Arial Unicode MS"/>
          <w:lang w:val="pt-PT"/>
        </w:rPr>
        <w:t>e o n</w:t>
      </w:r>
      <w:r w:rsidRPr="00494962">
        <w:rPr>
          <w:rFonts w:eastAsia="Arial Unicode MS" w:cs="Arial Unicode MS"/>
          <w:lang w:val="es-ES_tradnl"/>
        </w:rPr>
        <w:t xml:space="preserve">ěkterých otázkách jednatelského oprávnění mohou jednatelé jednat samostatně, na druhou stranu o některých otázkách mohou jednat pouze společně, přičemž tyto otázky by samozřejmě byly přesně vymezeny. Je totiž třeba si uvědomit, že společenská </w:t>
      </w:r>
      <w:r w:rsidRPr="00494962">
        <w:rPr>
          <w:rFonts w:eastAsia="Arial Unicode MS" w:cs="Arial Unicode MS"/>
          <w:lang w:val="fr-FR"/>
        </w:rPr>
        <w:t>smlouva m</w:t>
      </w:r>
      <w:r w:rsidRPr="00494962">
        <w:rPr>
          <w:rFonts w:eastAsia="Arial Unicode MS" w:cs="Arial Unicode MS"/>
          <w:lang w:val="es-ES_tradnl"/>
        </w:rPr>
        <w:t xml:space="preserve">ůže stanovit, že někteří z jednatelů mohou jednat pouze společně, jiní zase každý sám. Samozřejmě, aby takováto úprava vyvolávala účinky nejen dovnitř, je potřeba, aby byl proveden zápis. Takže otázkou zůstává, zda lze připustit i takovéto věcné roztříštění. </w:t>
      </w:r>
    </w:p>
    <w:p w:rsidR="00F73F6E" w:rsidRPr="00494962" w:rsidRDefault="00F73F6E" w:rsidP="00F73F6E">
      <w:pPr>
        <w:rPr>
          <w:color w:val="FF0000"/>
          <w:lang w:val="es-ES_tradnl"/>
        </w:rPr>
      </w:pPr>
      <w:r w:rsidRPr="00494962">
        <w:rPr>
          <w:rFonts w:eastAsia="Arial Unicode MS" w:cs="Arial Unicode MS"/>
          <w:lang w:val="es-ES_tradnl"/>
        </w:rPr>
        <w:tab/>
        <w:t>Jak ve své publikaci poznamenává Tomáš Dvořák, existují dva názorové proudy na tuto problematiku. Na jedné straně stojí názorový proud zastoupen hlasem Miroslavy Bartošíkové a Ivany Štenglové, které jsou zastánkyně přípustnosti tohoto uspořádání. Na druhou stranu Tomáš Dvořák upozorňuje na judikaturu prvorepublikového Nejvyššího soudu, který dovozoval, že takováto úprava by ohrožovala právní bezpečnost třetích stran, přičemž upozorňuje, že prvorepubliková judikatura bývá rejstříkovými soudy respektována.</w:t>
      </w:r>
      <w:r w:rsidRPr="00494962">
        <w:rPr>
          <w:vertAlign w:val="superscript"/>
        </w:rPr>
        <w:footnoteReference w:id="55"/>
      </w:r>
      <w:r w:rsidRPr="00494962">
        <w:rPr>
          <w:rFonts w:eastAsia="Arial Unicode MS" w:cs="Arial Unicode MS"/>
          <w:lang w:val="es-ES_tradnl"/>
        </w:rPr>
        <w:t xml:space="preserve"> Je však třeba podotknout, že v dnešní moderní době je díky internetu rejstřík přístupný téměř odkudkoli.</w:t>
      </w:r>
      <w:r w:rsidRPr="00494962">
        <w:rPr>
          <w:rFonts w:eastAsia="Arial Unicode MS" w:cs="Arial Unicode MS"/>
          <w:color w:val="FF0000"/>
          <w:lang w:val="es-ES_tradnl"/>
        </w:rPr>
        <w:t xml:space="preserve"> </w:t>
      </w:r>
    </w:p>
    <w:p w:rsidR="00F73F6E" w:rsidRPr="00494962" w:rsidRDefault="00F73F6E" w:rsidP="00F73F6E">
      <w:pPr>
        <w:rPr>
          <w:lang w:val="es-ES_tradnl"/>
        </w:rPr>
      </w:pPr>
      <w:r w:rsidRPr="00494962">
        <w:rPr>
          <w:rFonts w:eastAsia="Arial Unicode MS" w:cs="Arial Unicode MS"/>
          <w:lang w:val="es-ES_tradnl"/>
        </w:rPr>
        <w:tab/>
        <w:t>V této otázce lze vidět jak se právní teorie a judikatura rozchází, je možno říct, že naprosto diametrálně. Jaké východisko je ale správné? Odpověď snad lze nalézt v ust. § 47 ZOK, který normuje, že omezení jednatelského oprávnění orgánu společnosti nejsou vůči třetím osobám účinná, i když byla zveřejněna.</w:t>
      </w:r>
      <w:r w:rsidRPr="00494962">
        <w:rPr>
          <w:vertAlign w:val="superscript"/>
        </w:rPr>
        <w:footnoteReference w:id="56"/>
      </w:r>
      <w:r w:rsidRPr="00494962">
        <w:rPr>
          <w:rFonts w:eastAsia="Arial Unicode MS" w:cs="Arial Unicode MS"/>
          <w:lang w:val="es-ES_tradnl"/>
        </w:rPr>
        <w:t xml:space="preserve"> Právě v tomto ustanovení lze vidět úmysl zákonodá</w:t>
      </w:r>
      <w:r w:rsidRPr="00494962">
        <w:rPr>
          <w:rFonts w:eastAsia="Arial Unicode MS" w:cs="Arial Unicode MS"/>
          <w:lang w:val="sv-SE"/>
        </w:rPr>
        <w:t>rce na ochran</w:t>
      </w:r>
      <w:r w:rsidRPr="00494962">
        <w:rPr>
          <w:rFonts w:eastAsia="Arial Unicode MS" w:cs="Arial Unicode MS"/>
          <w:lang w:val="es-ES_tradnl"/>
        </w:rPr>
        <w:t xml:space="preserve">ě dobré víry třetích osob. Právě v případě, kdy by ve společenské </w:t>
      </w:r>
      <w:r w:rsidRPr="00494962">
        <w:rPr>
          <w:rFonts w:eastAsia="Arial Unicode MS" w:cs="Arial Unicode MS"/>
          <w:lang w:val="fr-FR"/>
        </w:rPr>
        <w:t>smlouv</w:t>
      </w:r>
      <w:r w:rsidRPr="00494962">
        <w:rPr>
          <w:rFonts w:eastAsia="Arial Unicode MS" w:cs="Arial Unicode MS"/>
          <w:lang w:val="es-ES_tradnl"/>
        </w:rPr>
        <w:t>ě bylo stanoveno, ž</w:t>
      </w:r>
      <w:r w:rsidRPr="00494962">
        <w:rPr>
          <w:rFonts w:eastAsia="Arial Unicode MS" w:cs="Arial Unicode MS"/>
          <w:lang w:val="pt-PT"/>
        </w:rPr>
        <w:t>e o ur</w:t>
      </w:r>
      <w:r w:rsidRPr="00494962">
        <w:rPr>
          <w:rFonts w:eastAsia="Arial Unicode MS" w:cs="Arial Unicode MS"/>
          <w:lang w:val="es-ES_tradnl"/>
        </w:rPr>
        <w:t xml:space="preserve">čitých záležitostech smí jednat ti určití dva jednatelé společně a na druhou stranu o jiných záležitostech každý sám, tak i v případě velice ostrého rozdělení by bezesporu dřív nebo později došlo ke krajním situacím, které by umožňovaly podvodná jednání. </w:t>
      </w:r>
      <w:r w:rsidRPr="00494962">
        <w:rPr>
          <w:rFonts w:eastAsia="Arial Unicode MS" w:cs="Arial Unicode MS"/>
          <w:i/>
          <w:iCs/>
          <w:lang w:val="es-ES_tradnl"/>
        </w:rPr>
        <w:t>„Bývá totiž zejména rejstříkovými soudy namítáno, že takovýto přístup je omezením jednatelský</w:t>
      </w:r>
      <w:r w:rsidRPr="00494962">
        <w:rPr>
          <w:rFonts w:eastAsia="Arial Unicode MS" w:cs="Arial Unicode MS"/>
          <w:i/>
          <w:iCs/>
          <w:lang w:val="da-DK"/>
        </w:rPr>
        <w:t>ch opr</w:t>
      </w:r>
      <w:r w:rsidRPr="00494962">
        <w:rPr>
          <w:rFonts w:eastAsia="Arial Unicode MS" w:cs="Arial Unicode MS"/>
          <w:i/>
          <w:iCs/>
          <w:lang w:val="es-ES_tradnl"/>
        </w:rPr>
        <w:t>ávnění podle § 133 odst. 2 obch.z., které je vůči třetím osobám neúčinné, a proto je nelze do rejstříku zapsat.“</w:t>
      </w:r>
      <w:r w:rsidRPr="00494962">
        <w:rPr>
          <w:vertAlign w:val="superscript"/>
        </w:rPr>
        <w:footnoteReference w:id="57"/>
      </w:r>
      <w:r w:rsidRPr="00494962">
        <w:rPr>
          <w:rFonts w:eastAsia="Arial Unicode MS" w:cs="Arial Unicode MS"/>
          <w:lang w:val="es-ES_tradnl"/>
        </w:rPr>
        <w:t xml:space="preserve"> </w:t>
      </w:r>
      <w:r w:rsidRPr="00494962">
        <w:rPr>
          <w:rFonts w:cs="Arial"/>
          <w:lang w:val="es-ES_tradnl"/>
        </w:rPr>
        <w:t>Svým vedoucím diplomové práce, Michalem Černým, jsem však byla upozorněna na situace z jeho praxe, kdy rejstříkový soud umožnil takový zápis. V daném případě s.r.o. měla čtyři jednatele, tři z nich mohli jednat každý sám, čtvrtý z nich, specificky uvedený, mohl sám jednat jen v explicitně uvedených právních jednáních, v ostatních  mohl jednat jen společným jednáním.</w:t>
      </w:r>
      <w:r w:rsidRPr="00494962">
        <w:rPr>
          <w:rFonts w:eastAsia="Arial Unicode MS" w:cs="Arial Unicode MS"/>
          <w:lang w:val="es-ES_tradnl"/>
        </w:rPr>
        <w:t xml:space="preserve"> </w:t>
      </w:r>
    </w:p>
    <w:p w:rsidR="00F73F6E" w:rsidRPr="00494962" w:rsidRDefault="00F73F6E" w:rsidP="00F73F6E">
      <w:r w:rsidRPr="00494962">
        <w:rPr>
          <w:rFonts w:eastAsia="Arial Unicode MS" w:cs="Arial Unicode MS"/>
          <w:lang w:val="es-ES_tradnl"/>
        </w:rPr>
        <w:tab/>
      </w:r>
      <w:r w:rsidRPr="00494962">
        <w:rPr>
          <w:rFonts w:eastAsia="Arial Unicode MS" w:cs="Arial Unicode MS"/>
        </w:rPr>
        <w:t xml:space="preserve">Já osobně se v rámci této problematiky naprosto opírám o to, co bylo napsáno výše. To znamená, že omezení jednatelského oprávnění není vyloučeno, ale má účinky pouze dovnitř. Pokud by někdo tvrdil, že omezení jednatelského oprávnění je možné a vyvolává účinky vůči třetím osobám, nesouhlasila bych. Stejně bych však nesouhlasila ani s tvrzením, že omezení </w:t>
      </w:r>
      <w:r w:rsidRPr="00494962">
        <w:rPr>
          <w:rFonts w:eastAsia="Arial Unicode MS" w:cs="Arial Unicode MS"/>
        </w:rPr>
        <w:lastRenderedPageBreak/>
        <w:t xml:space="preserve">jednatelského oprávnění není možné. Dle mého názoru je správné tvrzení, že omezení jednatelského oprávnění je možné, avšak pouze s účinky dovnitř společnosti a nemá vliv na platnost jednání učiněného s třetí osobou. </w:t>
      </w:r>
    </w:p>
    <w:p w:rsidR="00F73F6E" w:rsidRPr="00494962" w:rsidRDefault="00F73F6E" w:rsidP="00F73F6E">
      <w:r w:rsidRPr="00494962">
        <w:tab/>
      </w:r>
      <w:r w:rsidRPr="00494962">
        <w:rPr>
          <w:rFonts w:eastAsia="Arial Unicode MS" w:cs="Arial Unicode MS"/>
        </w:rPr>
        <w:t>Jen pro úplnost, je třeba doplnit, že z logiky věci i soudní judikatury vyplývá, že pokud společenská smlouva stanoví, že jménem společnosti jedná více jednatelů společně</w:t>
      </w:r>
      <w:r w:rsidRPr="00494962">
        <w:rPr>
          <w:vertAlign w:val="superscript"/>
        </w:rPr>
        <w:footnoteReference w:id="58"/>
      </w:r>
      <w:r w:rsidRPr="00494962">
        <w:rPr>
          <w:rFonts w:eastAsia="Arial Unicode MS" w:cs="Arial Unicode MS"/>
        </w:rPr>
        <w:t xml:space="preserve"> nebo že zápis v obchodním rejstříku typu „za společnost jednají </w:t>
      </w:r>
      <w:r w:rsidRPr="00494962">
        <w:rPr>
          <w:rFonts w:eastAsia="Arial Unicode MS" w:cs="Arial Unicode MS"/>
          <w:lang w:val="pt-PT"/>
        </w:rPr>
        <w:t>a podespisuj</w:t>
      </w:r>
      <w:r w:rsidRPr="00494962">
        <w:rPr>
          <w:rFonts w:eastAsia="Arial Unicode MS" w:cs="Arial Unicode MS"/>
        </w:rPr>
        <w:t>í jednatelé“</w:t>
      </w:r>
      <w:r w:rsidRPr="00494962">
        <w:rPr>
          <w:vertAlign w:val="superscript"/>
        </w:rPr>
        <w:footnoteReference w:id="59"/>
      </w:r>
      <w:r w:rsidRPr="00494962">
        <w:rPr>
          <w:rFonts w:eastAsia="Arial Unicode MS" w:cs="Arial Unicode MS"/>
        </w:rPr>
        <w:t xml:space="preserve">, nejde ani v jednom případě o omezení jednatelského oprávnění. Pokud to bylo zveřejněno, je to pro třetí osoby závazné. </w:t>
      </w:r>
      <w:r w:rsidRPr="00494962">
        <w:rPr>
          <w:vertAlign w:val="superscript"/>
        </w:rPr>
        <w:footnoteReference w:id="60"/>
      </w:r>
    </w:p>
    <w:p w:rsidR="00F73F6E" w:rsidRPr="00494962" w:rsidRDefault="00F73F6E" w:rsidP="00F73F6E">
      <w:pPr>
        <w:pStyle w:val="Nadpis3"/>
      </w:pPr>
      <w:bookmarkStart w:id="17" w:name="_Toc415065683"/>
      <w:r w:rsidRPr="00494962">
        <w:t>3.1.3 Obchodní vedení včetně pokynů týkajících se obchodního vedení</w:t>
      </w:r>
      <w:bookmarkEnd w:id="17"/>
    </w:p>
    <w:p w:rsidR="00F73F6E" w:rsidRPr="00494962" w:rsidRDefault="00F73F6E" w:rsidP="00F73F6E">
      <w:pPr>
        <w:rPr>
          <w:i/>
          <w:iCs/>
        </w:rPr>
      </w:pPr>
      <w:r w:rsidRPr="00494962">
        <w:rPr>
          <w:rFonts w:eastAsia="Arial Unicode MS" w:cs="Arial Unicode MS"/>
        </w:rPr>
        <w:tab/>
        <w:t xml:space="preserve">Obchodní vedení představuje důležitý, ne-li nejdůležitější institut, co se působnosti SO týče. V současné době existuje obrovské množství definic, které se snaží vystihnout gró pojmu obchodního vedení. Tak například Karel Eliáš a v návaznosti na něj Tomáš Dvořák hovoří o obchodním vedení jako o </w:t>
      </w:r>
      <w:r w:rsidRPr="00494962">
        <w:rPr>
          <w:rFonts w:eastAsia="Arial Unicode MS" w:cs="Arial Unicode MS"/>
          <w:i/>
          <w:iCs/>
        </w:rPr>
        <w:t>„průběžné správě společnosti a jejího podniku“</w:t>
      </w:r>
      <w:r w:rsidRPr="00494962">
        <w:rPr>
          <w:vertAlign w:val="superscript"/>
        </w:rPr>
        <w:footnoteReference w:id="61"/>
      </w:r>
      <w:r w:rsidRPr="00494962">
        <w:rPr>
          <w:rFonts w:eastAsia="Arial Unicode MS" w:cs="Arial Unicode MS"/>
        </w:rPr>
        <w:t xml:space="preserve"> a říká, že </w:t>
      </w:r>
      <w:r w:rsidRPr="00494962">
        <w:rPr>
          <w:rFonts w:eastAsia="Arial Unicode MS" w:cs="Arial Unicode MS"/>
          <w:i/>
          <w:iCs/>
        </w:rPr>
        <w:t>„zahrnuje především rozhodování o provozních záležitostech vůbec, tj. po stránce organizační, technické, výrobní, ekonomické, obchodní, personalistické apod.“</w:t>
      </w:r>
      <w:r w:rsidRPr="00494962">
        <w:rPr>
          <w:vertAlign w:val="superscript"/>
        </w:rPr>
        <w:footnoteReference w:id="62"/>
      </w:r>
      <w:r w:rsidRPr="00494962">
        <w:rPr>
          <w:rFonts w:eastAsia="Arial Unicode MS" w:cs="Arial Unicode MS"/>
          <w:i/>
          <w:iCs/>
        </w:rPr>
        <w:t xml:space="preserve"> </w:t>
      </w:r>
      <w:r w:rsidRPr="00494962">
        <w:rPr>
          <w:rFonts w:eastAsia="Arial Unicode MS" w:cs="Arial Unicode MS"/>
        </w:rPr>
        <w:t xml:space="preserve">Ivana Štenglová definuje obchodní vedení jako </w:t>
      </w:r>
      <w:r w:rsidRPr="00494962">
        <w:rPr>
          <w:rFonts w:eastAsia="Arial Unicode MS" w:cs="Arial Unicode MS"/>
          <w:i/>
          <w:iCs/>
        </w:rPr>
        <w:t>„řízení společnosti, tj. zejména organizování a řízení její podnikatelské činnosti, včetně rozhodování o dlouhodobých strategických cílech.“</w:t>
      </w:r>
      <w:r w:rsidRPr="00494962">
        <w:rPr>
          <w:vertAlign w:val="superscript"/>
        </w:rPr>
        <w:footnoteReference w:id="63"/>
      </w:r>
      <w:r w:rsidRPr="00494962">
        <w:rPr>
          <w:rFonts w:eastAsia="Arial Unicode MS" w:cs="Arial Unicode MS"/>
        </w:rPr>
        <w:t xml:space="preserve"> František Faldyna spolu s profesorkou Pokornou v Meritu hovoří v tom smyslu, že „</w:t>
      </w:r>
      <w:r w:rsidRPr="00494962">
        <w:rPr>
          <w:rFonts w:eastAsia="Arial Unicode MS" w:cs="Arial Unicode MS"/>
          <w:i/>
          <w:iCs/>
        </w:rPr>
        <w:t>jednatelům je svěřeno obchodní vedení společnosti, rozhodují tedy o běžných záležitostech provozu podniku společnosti.“</w:t>
      </w:r>
      <w:r w:rsidRPr="00494962">
        <w:rPr>
          <w:vertAlign w:val="superscript"/>
        </w:rPr>
        <w:footnoteReference w:id="64"/>
      </w:r>
    </w:p>
    <w:p w:rsidR="00F73F6E" w:rsidRPr="00494962" w:rsidRDefault="00F73F6E" w:rsidP="00F73F6E">
      <w:pPr>
        <w:rPr>
          <w:lang w:val="es-ES_tradnl"/>
        </w:rPr>
      </w:pPr>
      <w:r w:rsidRPr="00494962">
        <w:rPr>
          <w:rFonts w:eastAsia="Arial Unicode MS" w:cs="Arial Unicode MS"/>
          <w:lang w:val="es-ES_tradnl"/>
        </w:rPr>
        <w:tab/>
        <w:t>Co se týče zá</w:t>
      </w:r>
      <w:r w:rsidRPr="00494962">
        <w:rPr>
          <w:rFonts w:eastAsia="Arial Unicode MS" w:cs="Arial Unicode MS"/>
          <w:lang w:val="de-DE"/>
        </w:rPr>
        <w:t>konn</w:t>
      </w:r>
      <w:r w:rsidRPr="00494962">
        <w:rPr>
          <w:rFonts w:eastAsia="Arial Unicode MS" w:cs="Arial Unicode MS"/>
          <w:lang w:val="es-ES_tradnl"/>
        </w:rPr>
        <w:t>ého vymezení pojmu obchodní vedení, ačkoli se jedná o relativně uží</w:t>
      </w:r>
      <w:r w:rsidRPr="00494962">
        <w:rPr>
          <w:rFonts w:eastAsia="Arial Unicode MS" w:cs="Arial Unicode MS"/>
          <w:lang w:val="nl-NL"/>
        </w:rPr>
        <w:t>van</w:t>
      </w:r>
      <w:r w:rsidRPr="00494962">
        <w:rPr>
          <w:rFonts w:eastAsia="Arial Unicode MS" w:cs="Arial Unicode MS"/>
          <w:lang w:val="es-ES_tradnl"/>
        </w:rPr>
        <w:t>ý pojem, v rámci úpravy ObchZ ani ZOK pojem obchodní vedení nebyl a ani není nijak definován. V současné době se úprava omezuje pouze na konstatování, že jednateli přísluší obchodní vedení společnosti.</w:t>
      </w:r>
      <w:r w:rsidRPr="00494962">
        <w:rPr>
          <w:vertAlign w:val="superscript"/>
        </w:rPr>
        <w:footnoteReference w:id="65"/>
      </w:r>
      <w:r w:rsidRPr="00494962">
        <w:rPr>
          <w:rFonts w:eastAsia="Arial Unicode MS" w:cs="Arial Unicode MS"/>
          <w:lang w:val="es-ES_tradnl"/>
        </w:rPr>
        <w:t xml:space="preserve"> </w:t>
      </w:r>
    </w:p>
    <w:p w:rsidR="00F73F6E" w:rsidRPr="00494962" w:rsidRDefault="00F73F6E" w:rsidP="00F73F6E">
      <w:pPr>
        <w:rPr>
          <w:lang w:val="es-ES_tradnl"/>
        </w:rPr>
      </w:pPr>
      <w:r w:rsidRPr="00494962">
        <w:rPr>
          <w:rFonts w:eastAsia="Arial Unicode MS" w:cs="Arial Unicode MS"/>
          <w:lang w:val="es-ES_tradnl"/>
        </w:rPr>
        <w:tab/>
        <w:t>Institut obchodního vedení je zpravidla postaven do kontrastu s institutem výše zmíněným, tj. jednatelský</w:t>
      </w:r>
      <w:r w:rsidRPr="00494962">
        <w:rPr>
          <w:rFonts w:eastAsia="Arial Unicode MS" w:cs="Arial Unicode MS"/>
          <w:lang w:val="da-DK"/>
        </w:rPr>
        <w:t>m opr</w:t>
      </w:r>
      <w:r w:rsidRPr="00494962">
        <w:rPr>
          <w:rFonts w:eastAsia="Arial Unicode MS" w:cs="Arial Unicode MS"/>
          <w:lang w:val="es-ES_tradnl"/>
        </w:rPr>
        <w:t>ávněním. Na rozdíl od toho, obchodní vedení směřuje dovnitř společnosti, jak vyplývá z výše zmíněný</w:t>
      </w:r>
      <w:r w:rsidRPr="00494962">
        <w:rPr>
          <w:rFonts w:eastAsia="Arial Unicode MS" w:cs="Arial Unicode MS"/>
          <w:lang w:val="de-DE"/>
        </w:rPr>
        <w:t xml:space="preserve">ch definic. </w:t>
      </w:r>
    </w:p>
    <w:p w:rsidR="00F73F6E" w:rsidRPr="00494962" w:rsidRDefault="00F73F6E" w:rsidP="00F73F6E">
      <w:pPr>
        <w:rPr>
          <w:lang w:val="nl-NL"/>
        </w:rPr>
      </w:pPr>
      <w:r w:rsidRPr="00494962">
        <w:rPr>
          <w:rFonts w:eastAsia="Arial Unicode MS" w:cs="Arial Unicode MS"/>
          <w:lang w:val="es-ES_tradnl"/>
        </w:rPr>
        <w:lastRenderedPageBreak/>
        <w:tab/>
        <w:t>Ačkoli by se mohlo na první pohled zdát, že tyto pojmy leží v naprostém kontrastu a nemohou spolu souviset, není tomu tak. Je třeba si uvědomit, že v určitých případech na rozhodnutí učiněná v rámci obchodního vedení navazuje jednání společnosti smě</w:t>
      </w:r>
      <w:r w:rsidRPr="00494962">
        <w:rPr>
          <w:rFonts w:eastAsia="Arial Unicode MS" w:cs="Arial Unicode MS"/>
          <w:lang w:val="nl-NL"/>
        </w:rPr>
        <w:t xml:space="preserve">rem ven. Z logiky věci jde o případy, kdy je k výkonu obchodního vedení nutné právní jednání ve vztahu k třetím osobám. </w:t>
      </w:r>
      <w:r w:rsidRPr="00494962">
        <w:rPr>
          <w:vertAlign w:val="superscript"/>
        </w:rPr>
        <w:footnoteReference w:id="66"/>
      </w:r>
    </w:p>
    <w:p w:rsidR="00F73F6E" w:rsidRPr="00494962" w:rsidRDefault="00F73F6E" w:rsidP="00F73F6E">
      <w:pPr>
        <w:rPr>
          <w:lang w:val="nl-NL"/>
        </w:rPr>
      </w:pPr>
      <w:r w:rsidRPr="00494962">
        <w:rPr>
          <w:rFonts w:eastAsia="Arial Unicode MS" w:cs="Arial Unicode MS"/>
          <w:lang w:val="nl-NL"/>
        </w:rPr>
        <w:tab/>
        <w:t>Co se rozhodování ohledně zálež</w:t>
      </w:r>
      <w:r w:rsidRPr="00494962">
        <w:rPr>
          <w:rFonts w:eastAsia="Arial Unicode MS" w:cs="Arial Unicode MS"/>
          <w:lang w:val="pt-PT"/>
        </w:rPr>
        <w:t>itost</w:t>
      </w:r>
      <w:r w:rsidRPr="00494962">
        <w:rPr>
          <w:rFonts w:eastAsia="Arial Unicode MS" w:cs="Arial Unicode MS"/>
          <w:lang w:val="nl-NL"/>
        </w:rPr>
        <w:t xml:space="preserve">í náležejících do obchodního vedení týče, je tato problematika zapracovaná do ust. § 195 ZOK. Zde je potřeba vidět několik situací, které v rámci rozhodování o obchodním vedení mohou nastat. </w:t>
      </w:r>
    </w:p>
    <w:p w:rsidR="00F73F6E" w:rsidRPr="00494962" w:rsidRDefault="00F73F6E" w:rsidP="00F73F6E">
      <w:pPr>
        <w:rPr>
          <w:lang w:val="nl-NL"/>
        </w:rPr>
      </w:pPr>
      <w:r w:rsidRPr="00494962">
        <w:rPr>
          <w:rFonts w:eastAsia="Arial Unicode MS" w:cs="Arial Unicode MS"/>
          <w:lang w:val="nl-NL"/>
        </w:rPr>
        <w:tab/>
        <w:t xml:space="preserve">V případě, že společnost má jen jednoho jednatele, situace jako v předchozích případech není komplikovaná a on sám rozhoduje o záležitostech náležejících do obchodního vedení.  </w:t>
      </w:r>
    </w:p>
    <w:p w:rsidR="00F73F6E" w:rsidRPr="00494962" w:rsidRDefault="00F73F6E" w:rsidP="00F73F6E">
      <w:pPr>
        <w:rPr>
          <w:lang w:val="nl-NL"/>
        </w:rPr>
      </w:pPr>
      <w:r w:rsidRPr="00494962">
        <w:rPr>
          <w:rFonts w:eastAsia="Arial Unicode MS" w:cs="Arial Unicode MS"/>
          <w:lang w:val="nl-NL"/>
        </w:rPr>
        <w:tab/>
        <w:t xml:space="preserve">V případě, že společnost má více jednatelů, bude záležet na tom, zda tito tvoří kolektivní orgán. Jak jsem rozebrala výše, zákon primárně předpokládá, že SO je každý jednatel, pouze pokud tak určí společenská </w:t>
      </w:r>
      <w:r w:rsidRPr="00494962">
        <w:rPr>
          <w:rFonts w:eastAsia="Arial Unicode MS" w:cs="Arial Unicode MS"/>
          <w:lang w:val="fr-FR"/>
        </w:rPr>
        <w:t>smlouva, bude v</w:t>
      </w:r>
      <w:r w:rsidRPr="00494962">
        <w:rPr>
          <w:rFonts w:eastAsia="Arial Unicode MS" w:cs="Arial Unicode MS"/>
          <w:lang w:val="nl-NL"/>
        </w:rPr>
        <w:t xml:space="preserve">íce jednatelů tvořit kolektivní orgán. V tomto případě, tedy že společenská </w:t>
      </w:r>
      <w:r w:rsidRPr="00494962">
        <w:rPr>
          <w:rFonts w:eastAsia="Arial Unicode MS" w:cs="Arial Unicode MS"/>
          <w:lang w:val="fr-FR"/>
        </w:rPr>
        <w:t>smlouva ur</w:t>
      </w:r>
      <w:r w:rsidRPr="00494962">
        <w:rPr>
          <w:rFonts w:eastAsia="Arial Unicode MS" w:cs="Arial Unicode MS"/>
          <w:lang w:val="nl-NL"/>
        </w:rPr>
        <w:t>čí, že více jednatelů tvoří kolektivní orgán, zákon odkazuje na úpravu představenstva v ZOK. Představenstvo rozhoduje většinou hlasů přítomných členů, přičemž toto ustanovení je dispozitivní, ale pouze ve smyslu zpřísnění. Toto je velice důležité, protože zákon normuje, že stanovy mohou urč</w:t>
      </w:r>
      <w:r w:rsidRPr="00494962">
        <w:rPr>
          <w:rFonts w:eastAsia="Arial Unicode MS" w:cs="Arial Unicode MS"/>
          <w:lang w:val="fr-FR"/>
        </w:rPr>
        <w:t>it po</w:t>
      </w:r>
      <w:r w:rsidRPr="00494962">
        <w:rPr>
          <w:rFonts w:eastAsia="Arial Unicode MS" w:cs="Arial Unicode MS"/>
          <w:lang w:val="nl-NL"/>
        </w:rPr>
        <w:t>čet vyšší.</w:t>
      </w:r>
      <w:r w:rsidRPr="00494962">
        <w:rPr>
          <w:vertAlign w:val="superscript"/>
        </w:rPr>
        <w:footnoteReference w:id="67"/>
      </w:r>
      <w:r w:rsidRPr="00494962">
        <w:rPr>
          <w:rFonts w:eastAsia="Arial Unicode MS" w:cs="Arial Unicode MS"/>
          <w:lang w:val="nl-NL"/>
        </w:rPr>
        <w:t xml:space="preserve"> Pokud tedy více jednatelů bude tvořit kolektivní orgá</w:t>
      </w:r>
      <w:r w:rsidRPr="00494962">
        <w:rPr>
          <w:rFonts w:eastAsia="Arial Unicode MS" w:cs="Arial Unicode MS"/>
          <w:lang w:val="pt-PT"/>
        </w:rPr>
        <w:t>n, bude o z</w:t>
      </w:r>
      <w:r w:rsidRPr="00494962">
        <w:rPr>
          <w:rFonts w:eastAsia="Arial Unicode MS" w:cs="Arial Unicode MS"/>
          <w:lang w:val="nl-NL"/>
        </w:rPr>
        <w:t>áležitostech obchodního vedení rozhodovat jako představenstvo v a.s.</w:t>
      </w:r>
    </w:p>
    <w:p w:rsidR="00F73F6E" w:rsidRPr="00494962" w:rsidRDefault="00F73F6E" w:rsidP="00F73F6E">
      <w:pPr>
        <w:rPr>
          <w:lang w:val="nl-NL"/>
        </w:rPr>
      </w:pPr>
      <w:r w:rsidRPr="00494962">
        <w:rPr>
          <w:rFonts w:eastAsia="Arial Unicode MS" w:cs="Arial Unicode MS"/>
          <w:lang w:val="nl-NL"/>
        </w:rPr>
        <w:tab/>
        <w:t>V případě, že více jednatelů nebude tvořit kolektivní orgán (společenská smlouva bude mlčet nebo tento zá</w:t>
      </w:r>
      <w:r w:rsidRPr="00494962">
        <w:rPr>
          <w:rFonts w:eastAsia="Arial Unicode MS" w:cs="Arial Unicode MS"/>
          <w:lang w:val="de-DE"/>
        </w:rPr>
        <w:t>konn</w:t>
      </w:r>
      <w:r w:rsidRPr="00494962">
        <w:rPr>
          <w:rFonts w:eastAsia="Arial Unicode MS" w:cs="Arial Unicode MS"/>
          <w:lang w:val="nl-NL"/>
        </w:rPr>
        <w:t xml:space="preserve">ý předpoklad pouze potvrdí), tak </w:t>
      </w:r>
      <w:r w:rsidRPr="00494962">
        <w:rPr>
          <w:rFonts w:eastAsia="Arial Unicode MS" w:cs="Arial Unicode MS"/>
          <w:i/>
          <w:iCs/>
          <w:lang w:val="nl-NL"/>
        </w:rPr>
        <w:t>„se k rozhodnutí o obchodním vedení společnosti vyžaduje souhlas většiny z </w:t>
      </w:r>
      <w:r w:rsidRPr="00494962">
        <w:rPr>
          <w:rFonts w:eastAsia="Arial Unicode MS" w:cs="Arial Unicode MS"/>
          <w:i/>
          <w:iCs/>
          <w:lang w:val="sv-SE"/>
        </w:rPr>
        <w:t>nich, leda</w:t>
      </w:r>
      <w:r w:rsidRPr="00494962">
        <w:rPr>
          <w:rFonts w:eastAsia="Arial Unicode MS" w:cs="Arial Unicode MS"/>
          <w:i/>
          <w:iCs/>
          <w:lang w:val="nl-NL"/>
        </w:rPr>
        <w:t xml:space="preserve">že společenská </w:t>
      </w:r>
      <w:r w:rsidRPr="00494962">
        <w:rPr>
          <w:rFonts w:eastAsia="Arial Unicode MS" w:cs="Arial Unicode MS"/>
          <w:i/>
          <w:iCs/>
          <w:lang w:val="fr-FR"/>
        </w:rPr>
        <w:t>smlouva ur</w:t>
      </w:r>
      <w:r w:rsidRPr="00494962">
        <w:rPr>
          <w:rFonts w:eastAsia="Arial Unicode MS" w:cs="Arial Unicode MS"/>
          <w:i/>
          <w:iCs/>
          <w:lang w:val="nl-NL"/>
        </w:rPr>
        <w:t>čí jinak.“</w:t>
      </w:r>
      <w:r w:rsidRPr="00494962">
        <w:rPr>
          <w:vertAlign w:val="superscript"/>
        </w:rPr>
        <w:footnoteReference w:id="68"/>
      </w:r>
      <w:r w:rsidRPr="00494962">
        <w:rPr>
          <w:rFonts w:eastAsia="Arial Unicode MS" w:cs="Arial Unicode MS"/>
          <w:lang w:val="nl-NL"/>
        </w:rPr>
        <w:t xml:space="preserve"> Z dikce „</w:t>
      </w:r>
      <w:r w:rsidRPr="00494962">
        <w:rPr>
          <w:rFonts w:eastAsia="Arial Unicode MS" w:cs="Arial Unicode MS"/>
          <w:lang w:val="sv-SE"/>
        </w:rPr>
        <w:t>leda</w:t>
      </w:r>
      <w:r w:rsidRPr="00494962">
        <w:rPr>
          <w:rFonts w:eastAsia="Arial Unicode MS" w:cs="Arial Unicode MS"/>
          <w:lang w:val="nl-NL"/>
        </w:rPr>
        <w:t xml:space="preserve">že společenská </w:t>
      </w:r>
      <w:r w:rsidRPr="00494962">
        <w:rPr>
          <w:rFonts w:eastAsia="Arial Unicode MS" w:cs="Arial Unicode MS"/>
          <w:lang w:val="fr-FR"/>
        </w:rPr>
        <w:t>smlouva ur</w:t>
      </w:r>
      <w:r w:rsidRPr="00494962">
        <w:rPr>
          <w:rFonts w:eastAsia="Arial Unicode MS" w:cs="Arial Unicode MS"/>
          <w:lang w:val="nl-NL"/>
        </w:rPr>
        <w:t>čí jinak“ dovozuji, že jde o dispozitivní ustanovení, oproti výše zmíněnému, naprosto bez omezení.</w:t>
      </w:r>
      <w:r w:rsidRPr="00494962">
        <w:rPr>
          <w:vertAlign w:val="superscript"/>
        </w:rPr>
        <w:footnoteReference w:id="69"/>
      </w:r>
      <w:r w:rsidRPr="00494962">
        <w:rPr>
          <w:rFonts w:eastAsia="Arial Unicode MS" w:cs="Arial Unicode MS"/>
          <w:lang w:val="nl-NL"/>
        </w:rPr>
        <w:t xml:space="preserve"> Společenská smlouva tak může stanovit, že k rozhodnutí o obchodním vedení, v případě, že více jednatelů netvoří kolektivní orgán, nebude potřeba souhlas většiny jednatelů, ale například pouze dvou z pěti jednatelů. Na rozdíl od situace, kdy více jednatelů tvoří kolektivní orgán, není ustanovení zákona dispozitivní absolutně, nýbrž pouze ve smyslu zpřísnění. </w:t>
      </w:r>
    </w:p>
    <w:p w:rsidR="00F73F6E" w:rsidRPr="00494962" w:rsidRDefault="00F73F6E" w:rsidP="00F73F6E">
      <w:pPr>
        <w:rPr>
          <w:lang w:val="nl-NL"/>
        </w:rPr>
      </w:pPr>
      <w:r w:rsidRPr="00494962">
        <w:rPr>
          <w:rFonts w:eastAsia="Arial Unicode MS" w:cs="Arial Unicode MS"/>
          <w:lang w:val="nl-NL"/>
        </w:rPr>
        <w:tab/>
        <w:t xml:space="preserve">Na mysl může vyvstat otázka, proč právě takováto úprava a odlišení. Proč v případě, že </w:t>
      </w:r>
      <w:r w:rsidRPr="00494962">
        <w:rPr>
          <w:rFonts w:eastAsia="Arial Unicode MS" w:cs="Arial Unicode MS"/>
          <w:b/>
          <w:bCs/>
          <w:lang w:val="nl-NL"/>
        </w:rPr>
        <w:t xml:space="preserve">více jednatelů tvoří kolektivní orgán, vyžaduje se pro rozhodnutí o obchodním vedení </w:t>
      </w:r>
      <w:r w:rsidRPr="00494962">
        <w:rPr>
          <w:rFonts w:eastAsia="Arial Unicode MS" w:cs="Arial Unicode MS"/>
          <w:b/>
          <w:bCs/>
          <w:u w:val="single"/>
          <w:lang w:val="nl-NL"/>
        </w:rPr>
        <w:lastRenderedPageBreak/>
        <w:t>minimálně většinové rozhodnutí</w:t>
      </w:r>
      <w:r w:rsidRPr="00494962">
        <w:rPr>
          <w:rFonts w:eastAsia="Arial Unicode MS" w:cs="Arial Unicode MS"/>
          <w:b/>
          <w:bCs/>
          <w:lang w:val="nl-NL"/>
        </w:rPr>
        <w:t>, naopak v druhém případě, tj. že více jednatelů netvoří kolektivní orgán, zá</w:t>
      </w:r>
      <w:r w:rsidRPr="00494962">
        <w:rPr>
          <w:rFonts w:eastAsia="Arial Unicode MS" w:cs="Arial Unicode MS"/>
          <w:b/>
          <w:bCs/>
          <w:lang w:val="de-DE"/>
        </w:rPr>
        <w:t>kon sice p</w:t>
      </w:r>
      <w:r w:rsidRPr="00494962">
        <w:rPr>
          <w:rFonts w:eastAsia="Arial Unicode MS" w:cs="Arial Unicode MS"/>
          <w:b/>
          <w:bCs/>
          <w:lang w:val="nl-NL"/>
        </w:rPr>
        <w:t>ředpokládá většinové rozhodnutí, leč společenská smlouva to může změnit bez omezení.</w:t>
      </w:r>
      <w:r w:rsidRPr="00494962">
        <w:rPr>
          <w:rFonts w:eastAsia="Arial Unicode MS" w:cs="Arial Unicode MS"/>
          <w:lang w:val="nl-NL"/>
        </w:rPr>
        <w:t xml:space="preserve"> Podle mého názoru zákonodárce mohl mít v úmyslu zohlednit fakt, že v případě že společenská smlouva stanoví, že více jednatelů bude tvořit kolektivní orgán, budou na ně kladeny vyšší nároky, co se společného rozhodování týče. Naopak pokud více jednatelů nebude tvořit kolektivní orgán, jejich rozhodnutí by mělo být více samostatné. Zá</w:t>
      </w:r>
      <w:r w:rsidRPr="00494962">
        <w:rPr>
          <w:rFonts w:eastAsia="Arial Unicode MS" w:cs="Arial Unicode MS"/>
          <w:lang w:val="de-DE"/>
        </w:rPr>
        <w:t>kon sice v</w:t>
      </w:r>
      <w:r w:rsidRPr="00494962">
        <w:rPr>
          <w:rFonts w:eastAsia="Arial Unicode MS" w:cs="Arial Unicode MS"/>
          <w:lang w:val="nl-NL"/>
        </w:rPr>
        <w:t xml:space="preserve"> případě rozhodování o záležitostech obchodního vedení stanoví, že je zde potřeba většina, avšak společenská smlouva to může změnit bez omezení, což se v případě, že více jednatelů tvoří kolektivní orgán, stát nemůže. </w:t>
      </w:r>
    </w:p>
    <w:p w:rsidR="00F73F6E" w:rsidRPr="00494962" w:rsidRDefault="00F73F6E" w:rsidP="00F73F6E">
      <w:pPr>
        <w:rPr>
          <w:lang w:val="es-ES_tradnl"/>
        </w:rPr>
      </w:pPr>
      <w:r w:rsidRPr="00494962">
        <w:rPr>
          <w:rFonts w:eastAsia="Arial Unicode MS" w:cs="Arial Unicode MS"/>
          <w:lang w:val="es-ES_tradnl"/>
        </w:rPr>
        <w:tab/>
        <w:t>Co se týč</w:t>
      </w:r>
      <w:r w:rsidRPr="00494962">
        <w:rPr>
          <w:rFonts w:eastAsia="Arial Unicode MS" w:cs="Arial Unicode MS"/>
          <w:lang w:val="da-DK"/>
        </w:rPr>
        <w:t>e ud</w:t>
      </w:r>
      <w:r w:rsidRPr="00494962">
        <w:rPr>
          <w:rFonts w:eastAsia="Arial Unicode MS" w:cs="Arial Unicode MS"/>
          <w:lang w:val="es-ES_tradnl"/>
        </w:rPr>
        <w:t>ělování pokynů ohledně obchodního vedení, tak nikdo není oprávně</w:t>
      </w:r>
      <w:r w:rsidRPr="00494962">
        <w:rPr>
          <w:rFonts w:eastAsia="Arial Unicode MS" w:cs="Arial Unicode MS"/>
          <w:lang w:val="da-DK"/>
        </w:rPr>
        <w:t>n ud</w:t>
      </w:r>
      <w:r w:rsidRPr="00494962">
        <w:rPr>
          <w:rFonts w:eastAsia="Arial Unicode MS" w:cs="Arial Unicode MS"/>
          <w:lang w:val="es-ES_tradnl"/>
        </w:rPr>
        <w:t>ělovat jednateli v této oblasti pokyny.</w:t>
      </w:r>
      <w:r w:rsidRPr="00494962">
        <w:rPr>
          <w:vertAlign w:val="superscript"/>
        </w:rPr>
        <w:footnoteReference w:id="70"/>
      </w:r>
      <w:r w:rsidRPr="00494962">
        <w:rPr>
          <w:rFonts w:eastAsia="Arial Unicode MS" w:cs="Arial Unicode MS"/>
          <w:lang w:val="es-ES_tradnl"/>
        </w:rPr>
        <w:t xml:space="preserve"> Jediná situace, kdy jednateli může bý</w:t>
      </w:r>
      <w:r w:rsidRPr="00494962">
        <w:rPr>
          <w:rFonts w:eastAsia="Arial Unicode MS" w:cs="Arial Unicode MS"/>
          <w:lang w:val="da-DK"/>
        </w:rPr>
        <w:t>t ud</w:t>
      </w:r>
      <w:r w:rsidRPr="00494962">
        <w:rPr>
          <w:rFonts w:eastAsia="Arial Unicode MS" w:cs="Arial Unicode MS"/>
          <w:lang w:val="es-ES_tradnl"/>
        </w:rPr>
        <w:t xml:space="preserve">ělen pokyn v oblasti obchodního vedení, může nastat jen tehdy, kdy on sám o to požádá. </w:t>
      </w:r>
    </w:p>
    <w:p w:rsidR="00F73F6E" w:rsidRPr="00494962" w:rsidRDefault="00F73F6E" w:rsidP="00F73F6E">
      <w:pPr>
        <w:rPr>
          <w:lang w:val="es-ES_tradnl"/>
        </w:rPr>
      </w:pPr>
      <w:r w:rsidRPr="00494962">
        <w:rPr>
          <w:rFonts w:eastAsia="Arial Unicode MS" w:cs="Arial Unicode MS"/>
          <w:lang w:val="es-ES_tradnl"/>
        </w:rPr>
        <w:tab/>
        <w:t xml:space="preserve">V rámci úpravy obchodního vedení v ZOK nalezneme ustanovení, podle kterého </w:t>
      </w:r>
      <w:r w:rsidRPr="00494962">
        <w:rPr>
          <w:rFonts w:eastAsia="Arial Unicode MS" w:cs="Arial Unicode MS"/>
          <w:i/>
          <w:iCs/>
          <w:lang w:val="es-ES_tradnl"/>
        </w:rPr>
        <w:t>„člen statutárního orgánu kapitálové společnosti může požádat nejvyšší orgán obchodní korporace o udělení pokynu týkajícího se obchodního vedení; tím není dotčena jeho povinnost jednat s péčí řádného hospodáře.“</w:t>
      </w:r>
      <w:r w:rsidRPr="00494962">
        <w:rPr>
          <w:vertAlign w:val="superscript"/>
        </w:rPr>
        <w:footnoteReference w:id="71"/>
      </w:r>
      <w:r w:rsidRPr="00494962">
        <w:rPr>
          <w:rFonts w:eastAsia="Arial Unicode MS" w:cs="Arial Unicode MS"/>
          <w:lang w:val="es-ES_tradnl"/>
        </w:rPr>
        <w:t xml:space="preserve"> </w:t>
      </w:r>
    </w:p>
    <w:p w:rsidR="00F73F6E" w:rsidRPr="00494962" w:rsidRDefault="00F73F6E" w:rsidP="00F73F6E">
      <w:r w:rsidRPr="00494962">
        <w:rPr>
          <w:rFonts w:eastAsia="Arial Unicode MS" w:cs="Arial Unicode MS"/>
          <w:lang w:val="es-ES_tradnl"/>
        </w:rPr>
        <w:tab/>
      </w:r>
      <w:r w:rsidRPr="00494962">
        <w:rPr>
          <w:rFonts w:eastAsia="Arial Unicode MS" w:cs="Arial Unicode MS"/>
        </w:rPr>
        <w:t xml:space="preserve">Problematickým aspektem této úpravy je mimo jiné pojem </w:t>
      </w:r>
      <w:r w:rsidRPr="00494962">
        <w:rPr>
          <w:rFonts w:eastAsia="Arial Unicode MS" w:cs="Arial Unicode MS"/>
          <w:b/>
          <w:bCs/>
        </w:rPr>
        <w:t>člen statutárního orgánu</w:t>
      </w:r>
      <w:r w:rsidRPr="00494962">
        <w:rPr>
          <w:rFonts w:eastAsia="Arial Unicode MS" w:cs="Arial Unicode MS"/>
        </w:rPr>
        <w:t>. Jak vyplývá z </w:t>
      </w:r>
      <w:r w:rsidRPr="00494962">
        <w:rPr>
          <w:rFonts w:eastAsia="Arial Unicode MS" w:cs="Arial Unicode MS"/>
          <w:lang w:val="nl-NL"/>
        </w:rPr>
        <w:t>koment</w:t>
      </w:r>
      <w:r w:rsidRPr="00494962">
        <w:rPr>
          <w:rFonts w:eastAsia="Arial Unicode MS" w:cs="Arial Unicode MS"/>
        </w:rPr>
        <w:t>ářového znění, existují zde dva názorové proudy v rámci odborné veřejnosti, které zastávají ve vztahu k tomuto odlišné stanovisko. Problém nastává v případě, že ve společnosti je jednatelů více a jedná se o kolektivní orgán. Může o udělení pokynu požádat jednatel jako člen kolektivního orgánu? Nebo bych měla raději napsat, může o udělení pokynu požádat SO jako kolektivní orgán. Právě zde dochází k určité názorové třenici, kdy jedni autoři se přiklánějí k názoru, že pokud je zde kolektivní orgán, mělo by předložení žádosti o udělení pří</w:t>
      </w:r>
      <w:r w:rsidRPr="00494962">
        <w:rPr>
          <w:rFonts w:eastAsia="Arial Unicode MS" w:cs="Arial Unicode MS"/>
          <w:lang w:val="de-DE"/>
        </w:rPr>
        <w:t>kazu b</w:t>
      </w:r>
      <w:r w:rsidRPr="00494962">
        <w:rPr>
          <w:rFonts w:eastAsia="Arial Unicode MS" w:cs="Arial Unicode MS"/>
        </w:rPr>
        <w:t xml:space="preserve">ýt kolektivním rozhodnutím. Druhý názorový </w:t>
      </w:r>
      <w:r w:rsidRPr="00494962">
        <w:rPr>
          <w:rFonts w:eastAsia="Arial Unicode MS" w:cs="Arial Unicode MS"/>
          <w:lang w:val="nl-NL"/>
        </w:rPr>
        <w:t>proud v</w:t>
      </w:r>
      <w:r w:rsidRPr="00494962">
        <w:rPr>
          <w:rFonts w:eastAsia="Arial Unicode MS" w:cs="Arial Unicode MS"/>
        </w:rPr>
        <w:t>šak vychází z gramatického výkladu zákona, který jasně stanovuje, že č</w:t>
      </w:r>
      <w:r w:rsidRPr="00494962">
        <w:rPr>
          <w:rFonts w:eastAsia="Arial Unicode MS" w:cs="Arial Unicode MS"/>
          <w:lang w:val="de-DE"/>
        </w:rPr>
        <w:t>len SO m</w:t>
      </w:r>
      <w:r w:rsidRPr="00494962">
        <w:rPr>
          <w:rFonts w:eastAsia="Arial Unicode MS" w:cs="Arial Unicode MS"/>
        </w:rPr>
        <w:t>ůže požádat o udělení pokynu, bez ohledu na to, že by kolektivní orgá</w:t>
      </w:r>
      <w:r w:rsidRPr="00494962">
        <w:rPr>
          <w:rFonts w:eastAsia="Arial Unicode MS" w:cs="Arial Unicode MS"/>
          <w:lang w:val="pt-PT"/>
        </w:rPr>
        <w:t>n dosp</w:t>
      </w:r>
      <w:r w:rsidRPr="00494962">
        <w:rPr>
          <w:rFonts w:eastAsia="Arial Unicode MS" w:cs="Arial Unicode MS"/>
        </w:rPr>
        <w:t>ěl k takovémuto rozhodnutí.</w:t>
      </w:r>
      <w:r w:rsidRPr="00494962">
        <w:rPr>
          <w:vertAlign w:val="superscript"/>
        </w:rPr>
        <w:footnoteReference w:id="72"/>
      </w:r>
    </w:p>
    <w:p w:rsidR="00F73F6E" w:rsidRPr="00494962" w:rsidRDefault="00F73F6E" w:rsidP="00F73F6E">
      <w:r w:rsidRPr="00494962">
        <w:rPr>
          <w:rFonts w:eastAsia="Arial Unicode MS" w:cs="Arial Unicode MS"/>
        </w:rPr>
        <w:tab/>
        <w:t>Podle mého názoru, pokud bych upřednostnila gramatický výklad, příčilo by se to smyslu tohoto ustanovení. Myslím si, že úmyslem zákonodárce bylo, pokud se SO obrátí na VH, aby mu udělila pokyn, má jít opravdu o pokyn ve svém vlastním slova smyslu, nikoli o něco, co např. jeden jednatel nemůže v rámci kolektivu změnit. Abych vysvě</w:t>
      </w:r>
      <w:r w:rsidRPr="00494962">
        <w:rPr>
          <w:rFonts w:eastAsia="Arial Unicode MS" w:cs="Arial Unicode MS"/>
          <w:lang w:val="es-ES_tradnl"/>
        </w:rPr>
        <w:t>tlila co t</w:t>
      </w:r>
      <w:r w:rsidRPr="00494962">
        <w:rPr>
          <w:rFonts w:eastAsia="Arial Unicode MS" w:cs="Arial Unicode MS"/>
        </w:rPr>
        <w:t>ím myslím, uvedu příklad. V případě, že připustím, že jakýkoli jednatel kolektivního orgánu může žádat VH o pokyn, mohlo by velice jednoduše nastat, ž</w:t>
      </w:r>
      <w:r w:rsidRPr="00494962">
        <w:rPr>
          <w:rFonts w:eastAsia="Arial Unicode MS" w:cs="Arial Unicode MS"/>
          <w:lang w:val="da-DK"/>
        </w:rPr>
        <w:t>e VH pokyn ud</w:t>
      </w:r>
      <w:r w:rsidRPr="00494962">
        <w:rPr>
          <w:rFonts w:eastAsia="Arial Unicode MS" w:cs="Arial Unicode MS"/>
        </w:rPr>
        <w:t xml:space="preserve">ělí, ale jelikož kolektivní orgán musí rozhodovat </w:t>
      </w:r>
      <w:r w:rsidRPr="00494962">
        <w:rPr>
          <w:rFonts w:eastAsia="Arial Unicode MS" w:cs="Arial Unicode MS"/>
        </w:rPr>
        <w:lastRenderedPageBreak/>
        <w:t>v kolegiu, bude v souladu s pokynem hlasovat jen ten jeden společník, který si pokyn vyžádal. Dle mého názoru je takováto žádost o pokyn naprosto bezpředmětná a v případě kolektivního orgánu by měla žádost o udělení pokynu představovat kolektivní rozhodnutí. Samozřejmě lze připustit i situaci, že pokud by jednatel kolektivního orgánu požádal o pokyn, musel by se jím ří</w:t>
      </w:r>
      <w:r w:rsidRPr="00494962">
        <w:rPr>
          <w:rFonts w:eastAsia="Arial Unicode MS" w:cs="Arial Unicode MS"/>
          <w:lang w:val="fr-FR"/>
        </w:rPr>
        <w:t>dit cel</w:t>
      </w:r>
      <w:r w:rsidRPr="00494962">
        <w:rPr>
          <w:rFonts w:eastAsia="Arial Unicode MS" w:cs="Arial Unicode MS"/>
        </w:rPr>
        <w:t xml:space="preserve">ý kolektivní orgán. Jsem však toho názoru, že pokud si pokyn vyžádal jeden člen kolektivního orgán, není důvod jej respektovat. </w:t>
      </w:r>
    </w:p>
    <w:p w:rsidR="00F73F6E" w:rsidRPr="00494962" w:rsidRDefault="00F73F6E" w:rsidP="00F73F6E">
      <w:r w:rsidRPr="00494962">
        <w:rPr>
          <w:rFonts w:eastAsia="Arial Unicode MS" w:cs="Arial Unicode MS"/>
        </w:rPr>
        <w:tab/>
        <w:t xml:space="preserve">Za další problematický aspekt ust. § 51 odst. 2 ZOK považuji to, že zde není stanoveno, do jaké míry je jednatel vázán pokynem VH. Odborná veřejnost zastává názor, že to záleží na tom, jak přesně byl dotaz položen a jak konkrétní udělený pokyn byl. Pro ilustraci v případě, že bude VH předložena žádost o udělení pokynu ohledně uzavření té oné smlouvy a VH udělí pokyn tuto konkrétní smlouvu neuzavřít, je jednatel tímto pokynem vázán. Tím se zbavuje odpovědnosti za případnou škodu z neuzavření této smlouvy, neboť </w:t>
      </w:r>
      <w:r w:rsidRPr="00494962">
        <w:rPr>
          <w:rFonts w:eastAsia="Arial Unicode MS" w:cs="Arial Unicode MS"/>
          <w:i/>
          <w:iCs/>
        </w:rPr>
        <w:t>„přenesl-li na valnou hromadu v souladu se zákonem konkrétní rozhodnutí v oblasti obchodního vedení, odňal sá</w:t>
      </w:r>
      <w:r w:rsidRPr="00494962">
        <w:rPr>
          <w:rFonts w:eastAsia="Arial Unicode MS" w:cs="Arial Unicode MS"/>
          <w:i/>
          <w:iCs/>
          <w:lang w:val="es-ES_tradnl"/>
        </w:rPr>
        <w:t>m sob</w:t>
      </w:r>
      <w:r w:rsidRPr="00494962">
        <w:rPr>
          <w:rFonts w:eastAsia="Arial Unicode MS" w:cs="Arial Unicode MS"/>
          <w:i/>
          <w:iCs/>
        </w:rPr>
        <w:t>ě právo takové rozhodnutí přijmout.“</w:t>
      </w:r>
      <w:r w:rsidRPr="00494962">
        <w:rPr>
          <w:vertAlign w:val="superscript"/>
        </w:rPr>
        <w:footnoteReference w:id="73"/>
      </w:r>
      <w:r w:rsidRPr="00494962">
        <w:rPr>
          <w:rFonts w:eastAsia="Arial Unicode MS" w:cs="Arial Unicode MS"/>
          <w:i/>
          <w:iCs/>
        </w:rPr>
        <w:t xml:space="preserve"> </w:t>
      </w:r>
      <w:r w:rsidRPr="00494962">
        <w:rPr>
          <w:rFonts w:eastAsia="Arial Unicode MS" w:cs="Arial Unicode MS"/>
        </w:rPr>
        <w:t>Pokud však VH pouze určí, že se má uzavřít smlouva jiná, považuje se toto za doporučení, které není pokynem. Ivana Štenglová a Bohumil Havel zastávají ten názor, že pokud VH pouze určí, že se má uzavřít smlouva jiná, aniž by vyloučila uzavření smlouvy předložené (smlouvy, jejíhož uzavření se pokyn týkal), přistupuje se k tomu tak, jako by práva udělit pokyn jednateli nevyužila.</w:t>
      </w:r>
      <w:r w:rsidRPr="00494962">
        <w:rPr>
          <w:vertAlign w:val="superscript"/>
        </w:rPr>
        <w:footnoteReference w:id="74"/>
      </w:r>
    </w:p>
    <w:p w:rsidR="00F73F6E" w:rsidRPr="00494962" w:rsidRDefault="00F73F6E" w:rsidP="00F73F6E">
      <w:r w:rsidRPr="00494962">
        <w:rPr>
          <w:rFonts w:eastAsia="Arial Unicode MS" w:cs="Arial Unicode MS"/>
        </w:rPr>
        <w:tab/>
        <w:t xml:space="preserve">Tento argument snad podporuje i moje přesvědčení o tom, že v případě že více jednatelů tvoří kolektivní orgán, by nemělo být dovoleno, aby jeho jednotlivý člen žádal o udělení pokynu a tudíž by taková žádost měla být výsledkem shody orgánu. Jinak by, podle mého názoru, nemělo toto ustanovení smysl v udělení pokynu, nýbrž jen v udělení </w:t>
      </w:r>
      <w:r w:rsidRPr="00494962">
        <w:rPr>
          <w:rFonts w:eastAsia="Arial Unicode MS" w:cs="Arial Unicode MS"/>
          <w:lang w:val="it-IT"/>
        </w:rPr>
        <w:t>doporu</w:t>
      </w:r>
      <w:r w:rsidRPr="00494962">
        <w:rPr>
          <w:rFonts w:eastAsia="Arial Unicode MS" w:cs="Arial Unicode MS"/>
        </w:rPr>
        <w:t xml:space="preserve">čení. </w:t>
      </w:r>
    </w:p>
    <w:p w:rsidR="00F73F6E" w:rsidRPr="00494962" w:rsidRDefault="00F73F6E" w:rsidP="00F73F6E">
      <w:r w:rsidRPr="00494962">
        <w:rPr>
          <w:rFonts w:eastAsia="Arial Unicode MS" w:cs="Arial Unicode MS"/>
        </w:rPr>
        <w:tab/>
        <w:t xml:space="preserve">V praxi by mohla nastat situace, kdy SO požádá </w:t>
      </w:r>
      <w:r w:rsidRPr="00494962">
        <w:rPr>
          <w:rFonts w:eastAsia="Arial Unicode MS" w:cs="Arial Unicode MS"/>
          <w:lang w:val="da-DK"/>
        </w:rPr>
        <w:t>o ud</w:t>
      </w:r>
      <w:r w:rsidRPr="00494962">
        <w:rPr>
          <w:rFonts w:eastAsia="Arial Unicode MS" w:cs="Arial Unicode MS"/>
        </w:rPr>
        <w:t>ělení pokynu, který by odporoval zákonu. Jelikož on sám má povinnost jednat s péčí řádného hospodáře, mohl by se udělením pokynu chtít vyhnout zodpovědnosti za nezá</w:t>
      </w:r>
      <w:r w:rsidRPr="00494962">
        <w:rPr>
          <w:rFonts w:eastAsia="Arial Unicode MS" w:cs="Arial Unicode MS"/>
          <w:lang w:val="de-DE"/>
        </w:rPr>
        <w:t>konn</w:t>
      </w:r>
      <w:r w:rsidRPr="00494962">
        <w:rPr>
          <w:rFonts w:eastAsia="Arial Unicode MS" w:cs="Arial Unicode MS"/>
        </w:rPr>
        <w:t>é rozhodnutí. Co se tohoto problému týče, východisko je možné vyčí</w:t>
      </w:r>
      <w:r w:rsidRPr="00494962">
        <w:rPr>
          <w:rFonts w:eastAsia="Arial Unicode MS" w:cs="Arial Unicode MS"/>
          <w:lang w:val="nl-NL"/>
        </w:rPr>
        <w:t>st z</w:t>
      </w:r>
      <w:r w:rsidRPr="00494962">
        <w:rPr>
          <w:rFonts w:eastAsia="Arial Unicode MS" w:cs="Arial Unicode MS"/>
        </w:rPr>
        <w:t> věty za středníkem ust. § 51 odst. 2 ZOK, tj. že není dotčena povinnost SO jednat s péčí řádného hospodáře, ačkoli si vyžádal pokyn týkající se obchodního vedení. Ačkoli v zá</w:t>
      </w:r>
      <w:r w:rsidRPr="00494962">
        <w:rPr>
          <w:rFonts w:eastAsia="Arial Unicode MS" w:cs="Arial Unicode MS"/>
          <w:lang w:val="de-DE"/>
        </w:rPr>
        <w:t>konn</w:t>
      </w:r>
      <w:r w:rsidRPr="00494962">
        <w:rPr>
          <w:rFonts w:eastAsia="Arial Unicode MS" w:cs="Arial Unicode MS"/>
        </w:rPr>
        <w:t>ém znění nenajdeme jasně formulované ustanovení, které by zakazovalo vů</w:t>
      </w:r>
      <w:r w:rsidRPr="00494962">
        <w:rPr>
          <w:rFonts w:eastAsia="Arial Unicode MS" w:cs="Arial Unicode MS"/>
          <w:lang w:val="fr-FR"/>
        </w:rPr>
        <w:t xml:space="preserve">bec </w:t>
      </w:r>
      <w:r w:rsidRPr="00494962">
        <w:rPr>
          <w:rFonts w:eastAsia="Arial Unicode MS" w:cs="Arial Unicode MS"/>
        </w:rPr>
        <w:t>žádat o pokyn nezá</w:t>
      </w:r>
      <w:r w:rsidRPr="00494962">
        <w:rPr>
          <w:rFonts w:eastAsia="Arial Unicode MS" w:cs="Arial Unicode MS"/>
          <w:lang w:val="de-DE"/>
        </w:rPr>
        <w:t>konn</w:t>
      </w:r>
      <w:r w:rsidRPr="00494962">
        <w:rPr>
          <w:rFonts w:eastAsia="Arial Unicode MS" w:cs="Arial Unicode MS"/>
        </w:rPr>
        <w:t>ý, popř. ho přijmout, tak tento zákaz lze dovodit právě z povinnosti jednatele jednat s péčí řádného hospodáře, která bude rozebrána níže.</w:t>
      </w:r>
      <w:r w:rsidRPr="00494962">
        <w:rPr>
          <w:vertAlign w:val="superscript"/>
        </w:rPr>
        <w:footnoteReference w:id="75"/>
      </w:r>
      <w:r w:rsidRPr="00494962">
        <w:rPr>
          <w:rFonts w:eastAsia="Arial Unicode MS" w:cs="Arial Unicode MS"/>
        </w:rPr>
        <w:t xml:space="preserve"> V souvislosti s pasáží mé diplomové práce týkající se povinnosti péče řádného hospodáře s tímto nelze než souhlasit. </w:t>
      </w:r>
    </w:p>
    <w:p w:rsidR="00F73F6E" w:rsidRPr="00494962" w:rsidRDefault="00F73F6E" w:rsidP="00F73F6E">
      <w:pPr>
        <w:rPr>
          <w:lang w:val="it-IT"/>
        </w:rPr>
      </w:pPr>
      <w:r w:rsidRPr="00494962">
        <w:rPr>
          <w:rFonts w:eastAsia="Arial Unicode MS" w:cs="Arial Unicode MS"/>
        </w:rPr>
        <w:lastRenderedPageBreak/>
        <w:tab/>
        <w:t>S povinností jednatelů jednat s péčí řádného hospodář</w:t>
      </w:r>
      <w:r w:rsidRPr="00494962">
        <w:rPr>
          <w:rFonts w:eastAsia="Arial Unicode MS" w:cs="Arial Unicode MS"/>
          <w:lang w:val="fr-FR"/>
        </w:rPr>
        <w:t>e souvis</w:t>
      </w:r>
      <w:r w:rsidRPr="00494962">
        <w:rPr>
          <w:rFonts w:eastAsia="Arial Unicode MS" w:cs="Arial Unicode MS"/>
        </w:rPr>
        <w:t>í i způsob, jakým bude žádost o udělení pokynu na VH formulována. Jelikož součástí pozvánky pro konání VH musí bý</w:t>
      </w:r>
      <w:r w:rsidRPr="00494962">
        <w:rPr>
          <w:rFonts w:eastAsia="Arial Unicode MS" w:cs="Arial Unicode MS"/>
          <w:lang w:val="da-DK"/>
        </w:rPr>
        <w:t>t i n</w:t>
      </w:r>
      <w:r w:rsidRPr="00494962">
        <w:rPr>
          <w:rFonts w:eastAsia="Arial Unicode MS" w:cs="Arial Unicode MS"/>
        </w:rPr>
        <w:t>ávrh usnesení VH, nelze připustit, aby jednatel předložil VH otázku v nejobecnější rovině, typu „co mám dělat,“ aniž by se to příčilo povinnosti jednat s péčí řádného hospodář</w:t>
      </w:r>
      <w:r w:rsidRPr="00494962">
        <w:rPr>
          <w:rFonts w:eastAsia="Arial Unicode MS" w:cs="Arial Unicode MS"/>
          <w:lang w:val="it-IT"/>
        </w:rPr>
        <w:t>e. Dotaz, resp. návrh usnesení musí být dost konkrétní, např. VH rozhodla, že smlouva o prodeji automobilu má být uzavřena a) s panem Mladým b) se společností ABC, s.r.o., přičemž oba návrhy smlouvy SO musí předložit. Ačkoli u s.r.o. to zákon výslovně nevyžaduje, na rozdíl od úpravy, kterou nalezneme u a.s., bude v souladu s péčí řádného hospodáře, aby takovýto návrh byl alespoň minimálním způsobem odůvodněn.</w:t>
      </w:r>
      <w:r w:rsidRPr="00494962">
        <w:rPr>
          <w:vertAlign w:val="superscript"/>
        </w:rPr>
        <w:footnoteReference w:id="76"/>
      </w:r>
      <w:r w:rsidRPr="00494962">
        <w:rPr>
          <w:rFonts w:eastAsia="Arial Unicode MS" w:cs="Arial Unicode MS"/>
          <w:lang w:val="it-IT"/>
        </w:rPr>
        <w:t xml:space="preserve"> </w:t>
      </w:r>
    </w:p>
    <w:p w:rsidR="00F73F6E" w:rsidRPr="00494962" w:rsidRDefault="00F73F6E" w:rsidP="00F73F6E">
      <w:pPr>
        <w:rPr>
          <w:lang w:val="it-IT"/>
        </w:rPr>
      </w:pPr>
      <w:r w:rsidRPr="00494962">
        <w:rPr>
          <w:rFonts w:eastAsia="Arial Unicode MS" w:cs="Arial Unicode MS"/>
          <w:lang w:val="it-IT"/>
        </w:rPr>
        <w:tab/>
        <w:t>Co se jednotlivých dotazů týče, někteří autoři jsou toho názoru, že „</w:t>
      </w:r>
      <w:r w:rsidRPr="00494962">
        <w:rPr>
          <w:rFonts w:eastAsia="Arial Unicode MS" w:cs="Arial Unicode MS"/>
          <w:i/>
          <w:iCs/>
          <w:lang w:val="it-IT"/>
        </w:rPr>
        <w:t>případné povinnosti k náhradě újmy se člen orgánu nezprostí ani tehdy, položí-li sice valné hromadě konkrétně formulovanou otázku, leč její obsah bude takový, že měl při vynaložení péče řádného hospodáře zjistit, že navrhované řešení konkrétní situace je pro společnost tak nevýhodné, že otázku vůbec neměl předkládat.“</w:t>
      </w:r>
      <w:r w:rsidRPr="00494962">
        <w:rPr>
          <w:vertAlign w:val="superscript"/>
        </w:rPr>
        <w:footnoteReference w:id="77"/>
      </w:r>
      <w:r w:rsidRPr="00494962">
        <w:rPr>
          <w:rFonts w:eastAsia="Arial Unicode MS" w:cs="Arial Unicode MS"/>
          <w:lang w:val="it-IT"/>
        </w:rPr>
        <w:t xml:space="preserve"> V jaké záležitosti tak může jednatel o udělení pokynu požádat? Mělo by pravděpodobně jít o záležitost, kdy navrhované varianty budou rovnocenné. </w:t>
      </w:r>
    </w:p>
    <w:p w:rsidR="00F73F6E" w:rsidRPr="00494962" w:rsidRDefault="00F73F6E" w:rsidP="00F73F6E">
      <w:r w:rsidRPr="00494962">
        <w:rPr>
          <w:rFonts w:eastAsia="Arial Unicode MS" w:cs="Arial Unicode MS"/>
          <w:lang w:val="it-IT"/>
        </w:rPr>
        <w:tab/>
        <w:t>Potom si ale musím položit otázku, má vůbec smysl žádat VH o udělení pokynu v případě, kdy varianty rozhodnutí jsou rovnocenné a žádná z nich by neměla zvýhodnit (popř. znevýhodnit) společnost víc než ta druhá? Bude mít smysl, vynaklá</w:t>
      </w:r>
      <w:r w:rsidRPr="00494962">
        <w:rPr>
          <w:rFonts w:eastAsia="Arial Unicode MS" w:cs="Arial Unicode MS"/>
          <w:lang w:val="nl-NL"/>
        </w:rPr>
        <w:t>dat prost</w:t>
      </w:r>
      <w:r w:rsidRPr="00494962">
        <w:rPr>
          <w:rFonts w:eastAsia="Arial Unicode MS" w:cs="Arial Unicode MS"/>
          <w:lang w:val="it-IT"/>
        </w:rPr>
        <w:t>ředky společnosti, které je bezesporu nutné na svolání a samotné konání VH, aby rozhodla o záležitostech, které jsou si ve výsledku rovny? Myslím si, že zde by SO opět nejednal s péčí řádného hospodáře, kdyby z výše zmíněný</w:t>
      </w:r>
      <w:r w:rsidRPr="00494962">
        <w:rPr>
          <w:rFonts w:eastAsia="Arial Unicode MS" w:cs="Arial Unicode MS"/>
          <w:lang w:val="de-DE"/>
        </w:rPr>
        <w:t>ch d</w:t>
      </w:r>
      <w:r w:rsidRPr="00494962">
        <w:rPr>
          <w:rFonts w:eastAsia="Arial Unicode MS" w:cs="Arial Unicode MS"/>
          <w:lang w:val="it-IT"/>
        </w:rPr>
        <w:t xml:space="preserve">ůvodů vynakládal prostředky společnosti pro konání VH. </w:t>
      </w:r>
      <w:r w:rsidRPr="00494962">
        <w:rPr>
          <w:rFonts w:eastAsia="Arial Unicode MS" w:cs="Arial Unicode MS"/>
        </w:rPr>
        <w:t xml:space="preserve">Má vůbec toto ustanovení reálný smysl, pokud by varianty musely být rovnocenné? </w:t>
      </w:r>
      <w:r w:rsidRPr="00494962">
        <w:br/>
      </w:r>
      <w:r w:rsidRPr="00494962">
        <w:rPr>
          <w:rFonts w:eastAsia="Arial Unicode MS" w:cs="Arial Unicode MS"/>
        </w:rPr>
        <w:t>Opravdu si myslím si, že pokud by bylo připuštěno, že se jednatel může na VH s žá</w:t>
      </w:r>
      <w:r w:rsidRPr="00494962">
        <w:rPr>
          <w:rFonts w:eastAsia="Arial Unicode MS" w:cs="Arial Unicode MS"/>
          <w:lang w:val="pt-PT"/>
        </w:rPr>
        <w:t>dost</w:t>
      </w:r>
      <w:r w:rsidRPr="00494962">
        <w:rPr>
          <w:rFonts w:eastAsia="Arial Unicode MS" w:cs="Arial Unicode MS"/>
        </w:rPr>
        <w:t xml:space="preserve">í </w:t>
      </w:r>
      <w:r w:rsidRPr="00494962">
        <w:rPr>
          <w:rFonts w:eastAsia="Arial Unicode MS" w:cs="Arial Unicode MS"/>
          <w:lang w:val="da-DK"/>
        </w:rPr>
        <w:t>o ud</w:t>
      </w:r>
      <w:r w:rsidRPr="00494962">
        <w:rPr>
          <w:rFonts w:eastAsia="Arial Unicode MS" w:cs="Arial Unicode MS"/>
        </w:rPr>
        <w:t>ělení pokynu obrátit pouze s variantami, které by byly rovnocenné, nemělo by toto ust. smysl. Jsem toho názoru, že zákonodárce toto nezamýšlel, a proto v této části s </w:t>
      </w:r>
      <w:r w:rsidRPr="00494962">
        <w:rPr>
          <w:rFonts w:eastAsia="Arial Unicode MS" w:cs="Arial Unicode MS"/>
          <w:lang w:val="nl-NL"/>
        </w:rPr>
        <w:t>koment</w:t>
      </w:r>
      <w:r w:rsidRPr="00494962">
        <w:rPr>
          <w:rFonts w:eastAsia="Arial Unicode MS" w:cs="Arial Unicode MS"/>
        </w:rPr>
        <w:t>ářovým zpracováním v této otázce nemohu souhlasit a domnívám se, že se jednatel může obrátit na VH s žá</w:t>
      </w:r>
      <w:r w:rsidRPr="00494962">
        <w:rPr>
          <w:rFonts w:eastAsia="Arial Unicode MS" w:cs="Arial Unicode MS"/>
          <w:lang w:val="pt-PT"/>
        </w:rPr>
        <w:t>dost</w:t>
      </w:r>
      <w:r w:rsidRPr="00494962">
        <w:rPr>
          <w:rFonts w:eastAsia="Arial Unicode MS" w:cs="Arial Unicode MS"/>
        </w:rPr>
        <w:t xml:space="preserve">í </w:t>
      </w:r>
      <w:r w:rsidRPr="00494962">
        <w:rPr>
          <w:rFonts w:eastAsia="Arial Unicode MS" w:cs="Arial Unicode MS"/>
          <w:lang w:val="da-DK"/>
        </w:rPr>
        <w:t>o ud</w:t>
      </w:r>
      <w:r w:rsidRPr="00494962">
        <w:rPr>
          <w:rFonts w:eastAsia="Arial Unicode MS" w:cs="Arial Unicode MS"/>
        </w:rPr>
        <w:t xml:space="preserve">ělení pokynu ve všech variantách. </w:t>
      </w:r>
    </w:p>
    <w:p w:rsidR="00F73F6E" w:rsidRPr="00494962" w:rsidRDefault="00F73F6E" w:rsidP="00F73F6E">
      <w:r w:rsidRPr="00494962">
        <w:rPr>
          <w:rFonts w:eastAsia="Arial Unicode MS" w:cs="Arial Unicode MS"/>
        </w:rPr>
        <w:tab/>
        <w:t xml:space="preserve">Jak jsem naznačovala ve své práci výše, propojení obchodního vedení a jednatelského oprávnění je nepopiratelné. Z logiky věci je snad možno dovodit, že téměř všechna rozhodnutí </w:t>
      </w:r>
      <w:r w:rsidRPr="00494962">
        <w:rPr>
          <w:rFonts w:eastAsia="Arial Unicode MS" w:cs="Arial Unicode MS"/>
          <w:lang w:val="pt-PT"/>
        </w:rPr>
        <w:t>SO v</w:t>
      </w:r>
      <w:r w:rsidRPr="00494962">
        <w:rPr>
          <w:rFonts w:eastAsia="Arial Unicode MS" w:cs="Arial Unicode MS"/>
        </w:rPr>
        <w:t xml:space="preserve"> rámci obchodního vedení rezonují navenek. Je potřeba si tedy položit otázku, zda toto ustanovení nepředstavuje latentní pokyn VH k jednání navenek, kdy jednatelé by byli zbaveni </w:t>
      </w:r>
      <w:r w:rsidRPr="00494962">
        <w:rPr>
          <w:rFonts w:eastAsia="Arial Unicode MS" w:cs="Arial Unicode MS"/>
        </w:rPr>
        <w:lastRenderedPageBreak/>
        <w:t>odpovědnosti. Podle mého názoru je možné se na tuto problematiku dívat tímto způsobem a zákonodárce snad měl více zváž</w:t>
      </w:r>
      <w:r w:rsidRPr="00494962">
        <w:rPr>
          <w:rFonts w:eastAsia="Arial Unicode MS" w:cs="Arial Unicode MS"/>
          <w:lang w:val="nl-NL"/>
        </w:rPr>
        <w:t>it z</w:t>
      </w:r>
      <w:r w:rsidRPr="00494962">
        <w:rPr>
          <w:rFonts w:eastAsia="Arial Unicode MS" w:cs="Arial Unicode MS"/>
        </w:rPr>
        <w:t xml:space="preserve">ákonnou úpravu. </w:t>
      </w:r>
    </w:p>
    <w:p w:rsidR="00F73F6E" w:rsidRPr="00494962" w:rsidRDefault="00F73F6E" w:rsidP="00F73F6E">
      <w:r w:rsidRPr="00494962">
        <w:rPr>
          <w:rFonts w:eastAsia="Arial Unicode MS" w:cs="Arial Unicode MS"/>
        </w:rPr>
        <w:tab/>
        <w:t>Jak jsem se výše snažila naznačit, ust. § 51 odst. 2 ZOK má až příliš nevyřešených, dokonce protichůdných momentů. Není se tedy čemu divit, toto ustanovení bylo v průběhu projednávání ZOK značně konfrontační.</w:t>
      </w:r>
      <w:r w:rsidRPr="00494962">
        <w:rPr>
          <w:vertAlign w:val="superscript"/>
        </w:rPr>
        <w:footnoteReference w:id="78"/>
      </w:r>
      <w:r w:rsidRPr="00494962">
        <w:rPr>
          <w:rFonts w:eastAsia="Arial Unicode MS" w:cs="Arial Unicode MS"/>
        </w:rPr>
        <w:t xml:space="preserve"> </w:t>
      </w:r>
    </w:p>
    <w:p w:rsidR="00F73F6E" w:rsidRPr="00494962" w:rsidRDefault="00F73F6E" w:rsidP="00F73F6E">
      <w:pPr>
        <w:pStyle w:val="Nadpis2"/>
      </w:pPr>
      <w:bookmarkStart w:id="18" w:name="_Toc415065684"/>
      <w:r w:rsidRPr="00494962">
        <w:t>3.2 Péče řádného hospodáře</w:t>
      </w:r>
      <w:bookmarkEnd w:id="18"/>
    </w:p>
    <w:p w:rsidR="00F73F6E" w:rsidRPr="00494962" w:rsidRDefault="00F73F6E" w:rsidP="00F73F6E">
      <w:r w:rsidRPr="00494962">
        <w:rPr>
          <w:rFonts w:eastAsia="Arial Unicode MS" w:cs="Arial Unicode MS"/>
        </w:rPr>
        <w:tab/>
        <w:t>Jak bylo výše zmíněno, s.r.o. nepředstavuje subjekt, který by byl nadán svéprávností. Z logiky věci je jasné, že je vytvoř</w:t>
      </w:r>
      <w:r w:rsidRPr="00494962">
        <w:rPr>
          <w:rFonts w:eastAsia="Arial Unicode MS" w:cs="Arial Unicode MS"/>
          <w:lang w:val="da-DK"/>
        </w:rPr>
        <w:t>ena fikc</w:t>
      </w:r>
      <w:r w:rsidRPr="00494962">
        <w:rPr>
          <w:rFonts w:eastAsia="Arial Unicode MS" w:cs="Arial Unicode MS"/>
        </w:rPr>
        <w:t>í. Jako taková tedy sama nemůže nakládat se svým majetkem a starat se o své záležitosti. Za účelem péč</w:t>
      </w:r>
      <w:r w:rsidRPr="00494962">
        <w:rPr>
          <w:rFonts w:eastAsia="Arial Unicode MS" w:cs="Arial Unicode MS"/>
          <w:lang w:val="pt-PT"/>
        </w:rPr>
        <w:t>e o z</w:t>
      </w:r>
      <w:r w:rsidRPr="00494962">
        <w:rPr>
          <w:rFonts w:eastAsia="Arial Unicode MS" w:cs="Arial Unicode MS"/>
        </w:rPr>
        <w:t>áležitosti s.r.o. byl právě zřízen institut jednatele.</w:t>
      </w:r>
    </w:p>
    <w:p w:rsidR="00F73F6E" w:rsidRPr="00494962" w:rsidRDefault="00F73F6E" w:rsidP="00F73F6E">
      <w:pPr>
        <w:rPr>
          <w:i/>
          <w:iCs/>
        </w:rPr>
      </w:pPr>
      <w:r w:rsidRPr="00494962">
        <w:rPr>
          <w:rFonts w:eastAsia="Arial Unicode MS" w:cs="Arial Unicode MS"/>
        </w:rPr>
        <w:tab/>
        <w:t>Jak má jednatel, jako SO spravovat záležitosti společnosti? Je potřeba říct, že jednatelé nemohou nakládat se záležitostmi společnosti jakkoli. Zákon na jejich působení v této funkci klade nemalé nároky. Dokonce, myslím si, lze bez debaty říct, že nároky vyžadované zákonem jsou nesrovnatelně přísnější, než ty, které zákon ohledně nakládání se svými záležitostmi ukládá FO. Jednatel si při spravování zálež</w:t>
      </w:r>
      <w:r w:rsidRPr="00494962">
        <w:rPr>
          <w:rFonts w:eastAsia="Arial Unicode MS" w:cs="Arial Unicode MS"/>
          <w:lang w:val="pt-PT"/>
        </w:rPr>
        <w:t>itost</w:t>
      </w:r>
      <w:r w:rsidRPr="00494962">
        <w:rPr>
          <w:rFonts w:eastAsia="Arial Unicode MS" w:cs="Arial Unicode MS"/>
        </w:rPr>
        <w:t xml:space="preserve">í společnosti musí počínat, </w:t>
      </w:r>
      <w:r w:rsidRPr="00494962">
        <w:rPr>
          <w:rFonts w:eastAsia="Arial Unicode MS" w:cs="Arial Unicode MS"/>
          <w:i/>
          <w:iCs/>
        </w:rPr>
        <w:t>„jak říkávali staří Římané, diligentia diligentis patris familias, tedy s péčí řádného hospodáře.“</w:t>
      </w:r>
      <w:r w:rsidRPr="00494962">
        <w:rPr>
          <w:vertAlign w:val="superscript"/>
        </w:rPr>
        <w:footnoteReference w:id="79"/>
      </w:r>
    </w:p>
    <w:p w:rsidR="00F73F6E" w:rsidRPr="00494962" w:rsidRDefault="00F73F6E" w:rsidP="00F73F6E">
      <w:r w:rsidRPr="00494962">
        <w:rPr>
          <w:rFonts w:eastAsia="Arial Unicode MS" w:cs="Arial Unicode MS"/>
        </w:rPr>
        <w:tab/>
        <w:t>Jednatel pokud svou funkci příjme, se jako č</w:t>
      </w:r>
      <w:r w:rsidRPr="00494962">
        <w:rPr>
          <w:rFonts w:eastAsia="Arial Unicode MS" w:cs="Arial Unicode MS"/>
          <w:lang w:val="nl-NL"/>
        </w:rPr>
        <w:t>len volen</w:t>
      </w:r>
      <w:r w:rsidRPr="00494962">
        <w:rPr>
          <w:rFonts w:eastAsia="Arial Unicode MS" w:cs="Arial Unicode MS"/>
        </w:rPr>
        <w:t>ého orgánu zavazuje, že tuto funkci bude vykonávat s potřebnými znalostmi a pečlivostí a nezbytnou loajalitou. Tyto dvě složky právě tvoří institut péče řádného hospodáře, kdy takovéto vymezení v úpravě ObchZ chybělo.</w:t>
      </w:r>
      <w:r w:rsidRPr="00494962">
        <w:rPr>
          <w:vertAlign w:val="superscript"/>
        </w:rPr>
        <w:footnoteReference w:id="80"/>
      </w:r>
      <w:r w:rsidRPr="00494962">
        <w:rPr>
          <w:rFonts w:eastAsia="Arial Unicode MS" w:cs="Arial Unicode MS"/>
        </w:rPr>
        <w:t xml:space="preserve"> Jak je možno vidě</w:t>
      </w:r>
      <w:r w:rsidRPr="00494962">
        <w:rPr>
          <w:rFonts w:eastAsia="Arial Unicode MS" w:cs="Arial Unicode MS"/>
          <w:lang w:val="nl-NL"/>
        </w:rPr>
        <w:t>t z</w:t>
      </w:r>
      <w:r w:rsidRPr="00494962">
        <w:rPr>
          <w:rFonts w:eastAsia="Arial Unicode MS" w:cs="Arial Unicode MS"/>
        </w:rPr>
        <w:t xml:space="preserve"> ust. § 159 OZ, jsou zde vymezeny složky institutu péče řádného hospodáře, aniž by však byly více rozvedeny. Pro OK se uplatní ustanovení ZOK, které stanovuje, co to znamená „pečlivě a s potřebnými znalostmi.“ </w:t>
      </w:r>
    </w:p>
    <w:p w:rsidR="00F73F6E" w:rsidRPr="00494962" w:rsidRDefault="00F73F6E" w:rsidP="00F73F6E">
      <w:pPr>
        <w:rPr>
          <w:i/>
          <w:iCs/>
        </w:rPr>
      </w:pPr>
      <w:r w:rsidRPr="00494962">
        <w:rPr>
          <w:rFonts w:eastAsia="Arial Unicode MS" w:cs="Arial Unicode MS"/>
        </w:rPr>
        <w:tab/>
        <w:t xml:space="preserve">Ačkoli úprava ObchZ postrádala bližší vymezení pojmu péče řádného hospodáře, jeho smysl dokreslovala četná judikatura a samozřejmě doktrína. </w:t>
      </w:r>
      <w:r w:rsidRPr="00494962">
        <w:rPr>
          <w:rFonts w:eastAsia="Arial Unicode MS" w:cs="Arial Unicode MS"/>
          <w:i/>
          <w:iCs/>
        </w:rPr>
        <w:t xml:space="preserve">„Pojem péče řádného hospodáře lze přitom chápat tak, že řádný hospodář činí právní úkony týkající se obchodní společnosti odpovědně a svědomitě a stejným způsobem rovněž pečuje o její majetek, jako kdyby šlo o jeho vlastní majetek. Taková péče tedy nepochybně zahrnuje péči o majetek akciové společnosti nejen v tom smyslu, aby nevznikla škoda na majetku jeho úbytkem či znehodnocením, ale také aby byl majetek společnosti zhodnocován a rozmnožován v maximální možné míře, jaká je momentálně </w:t>
      </w:r>
      <w:r w:rsidRPr="00494962">
        <w:rPr>
          <w:rFonts w:eastAsia="Arial Unicode MS" w:cs="Arial Unicode MS"/>
          <w:i/>
          <w:iCs/>
          <w:lang w:val="pt-PT"/>
        </w:rPr>
        <w:t>dosa</w:t>
      </w:r>
      <w:r w:rsidRPr="00494962">
        <w:rPr>
          <w:rFonts w:eastAsia="Arial Unicode MS" w:cs="Arial Unicode MS"/>
          <w:i/>
          <w:iCs/>
        </w:rPr>
        <w:t>žitelná.“</w:t>
      </w:r>
      <w:r w:rsidRPr="00494962">
        <w:rPr>
          <w:vertAlign w:val="superscript"/>
        </w:rPr>
        <w:footnoteReference w:id="81"/>
      </w:r>
      <w:r w:rsidRPr="00494962">
        <w:rPr>
          <w:rFonts w:eastAsia="Arial Unicode MS" w:cs="Arial Unicode MS"/>
          <w:i/>
          <w:iCs/>
        </w:rPr>
        <w:t xml:space="preserve"> </w:t>
      </w:r>
    </w:p>
    <w:p w:rsidR="00F73F6E" w:rsidRPr="00494962" w:rsidRDefault="00F73F6E" w:rsidP="00F73F6E">
      <w:r w:rsidRPr="00494962">
        <w:rPr>
          <w:i/>
          <w:iCs/>
        </w:rPr>
        <w:lastRenderedPageBreak/>
        <w:tab/>
      </w:r>
      <w:r w:rsidRPr="00494962">
        <w:rPr>
          <w:rFonts w:eastAsia="Arial Unicode MS" w:cs="Arial Unicode MS"/>
        </w:rPr>
        <w:t>Je ale důležité si všimnout, že pojetí péče řádného hospodáře Nejvyššího soudu ne úplně pokrývá současný pohled. Je zde totiž zdůrazněno, že řádný hospodář se má o majetek společnosti starat, jako by se jednalo o jeho majetek vlastní. Z toho vyvěrají ale určité nedostatky, které lze spatřovat zejména v tom, že osoba je v nakládání se svým majetkem velice málo omezena (např. nic jí nebrání svůj majetek znehodnotit). Problém daného vymezení institutu péče řádného hospodáře vidím též v tom, že osoba se svým majetkem nakládá zpravidla konzervativněji, než by se od SO očekávalo. Proto se mi jeví zdařilejší současná právní úprava této problematiky, zejména s ohledem na pravidlo podnikatelského úsudku.</w:t>
      </w:r>
      <w:r w:rsidRPr="00494962">
        <w:rPr>
          <w:vertAlign w:val="superscript"/>
        </w:rPr>
        <w:footnoteReference w:id="82"/>
      </w:r>
    </w:p>
    <w:p w:rsidR="00F73F6E" w:rsidRPr="00494962" w:rsidRDefault="00F73F6E" w:rsidP="00F73F6E">
      <w:r w:rsidRPr="00494962">
        <w:rPr>
          <w:rFonts w:eastAsia="Arial Unicode MS" w:cs="Arial Unicode MS"/>
        </w:rPr>
        <w:tab/>
        <w:t>Možná právě z důvodu, že institut péče řádného hospodáře nebyl za účinnosti ObchZ podrobněji postihnut, byla v tomto směru činná i doktrína. Například definice Petra Čecha. „</w:t>
      </w:r>
      <w:r w:rsidRPr="00494962">
        <w:rPr>
          <w:rFonts w:eastAsia="Arial Unicode MS" w:cs="Arial Unicode MS"/>
          <w:i/>
          <w:iCs/>
        </w:rPr>
        <w:t xml:space="preserve">Řádný hospodář reprezentuje dostatečně rozumnou, vzdělanou, zkušenou a pečlivou osobu. Nemusí disponovat profesionálními znalostmi, schopnostmi a zkušenostmi z oblasti práva, ekonomie, výrob, jež jsou při provozování daného podniku nezbytné. Není povinován odbornou péčí. Nevážou ho standardy lege artis. Musí </w:t>
      </w:r>
      <w:r w:rsidRPr="00494962">
        <w:rPr>
          <w:rFonts w:eastAsia="Arial Unicode MS" w:cs="Arial Unicode MS"/>
          <w:i/>
          <w:iCs/>
          <w:lang w:val="pt-PT"/>
        </w:rPr>
        <w:t>ale um</w:t>
      </w:r>
      <w:r w:rsidRPr="00494962">
        <w:rPr>
          <w:rFonts w:eastAsia="Arial Unicode MS" w:cs="Arial Unicode MS"/>
          <w:i/>
          <w:iCs/>
        </w:rPr>
        <w:t>ět včas rozpoznat, ve kterých případech a ve které fázi rozhodovacího procesu je třeba vyhledat pomoc profesionála.“</w:t>
      </w:r>
      <w:r w:rsidRPr="00494962">
        <w:rPr>
          <w:vertAlign w:val="superscript"/>
        </w:rPr>
        <w:footnoteReference w:id="83"/>
      </w:r>
      <w:r w:rsidRPr="00494962">
        <w:rPr>
          <w:rFonts w:eastAsia="Arial Unicode MS" w:cs="Arial Unicode MS"/>
        </w:rPr>
        <w:t xml:space="preserve"> Už </w:t>
      </w:r>
      <w:r w:rsidRPr="00494962">
        <w:rPr>
          <w:rFonts w:eastAsia="Arial Unicode MS" w:cs="Arial Unicode MS"/>
          <w:lang w:val="nl-NL"/>
        </w:rPr>
        <w:t>jen z</w:t>
      </w:r>
      <w:r w:rsidRPr="00494962">
        <w:rPr>
          <w:rFonts w:eastAsia="Arial Unicode MS" w:cs="Arial Unicode MS"/>
        </w:rPr>
        <w:t xml:space="preserve"> této definice lze vidět, že doktrína se zejména zaměřovala na to, jak by řádný hospodář ve funkci SO měl vystupovat. </w:t>
      </w:r>
    </w:p>
    <w:p w:rsidR="00F73F6E" w:rsidRPr="00494962" w:rsidRDefault="00F73F6E" w:rsidP="00F73F6E">
      <w:r w:rsidRPr="00494962">
        <w:rPr>
          <w:rFonts w:eastAsia="Arial Unicode MS" w:cs="Arial Unicode MS"/>
        </w:rPr>
        <w:tab/>
        <w:t>Abych výše zmíněné promí</w:t>
      </w:r>
      <w:r w:rsidRPr="00494962">
        <w:rPr>
          <w:rFonts w:eastAsia="Arial Unicode MS" w:cs="Arial Unicode MS"/>
          <w:lang w:val="pt-PT"/>
        </w:rPr>
        <w:t>tla do praxe, cht</w:t>
      </w:r>
      <w:r w:rsidRPr="00494962">
        <w:rPr>
          <w:rFonts w:eastAsia="Arial Unicode MS" w:cs="Arial Unicode MS"/>
        </w:rPr>
        <w:t>ěla bych uvést alespoň jeden případ, kdy jednatel jedná v rozporu s péčí řádného hospodáře. Soudní praxe dovodila, že to bude např. v situaci, když jednatel při jednání nebude respektovat způsob jednání určeného společenskou smlouvou a zapsaného v obchodním rejstříku.</w:t>
      </w:r>
      <w:r w:rsidRPr="00494962">
        <w:rPr>
          <w:vertAlign w:val="superscript"/>
        </w:rPr>
        <w:footnoteReference w:id="84"/>
      </w:r>
      <w:r w:rsidRPr="00494962">
        <w:rPr>
          <w:rFonts w:eastAsia="Arial Unicode MS" w:cs="Arial Unicode MS"/>
        </w:rPr>
        <w:t xml:space="preserve"> </w:t>
      </w:r>
    </w:p>
    <w:p w:rsidR="00F73F6E" w:rsidRPr="00494962" w:rsidRDefault="00F73F6E" w:rsidP="00F73F6E">
      <w:pPr>
        <w:pStyle w:val="Nadpis3"/>
      </w:pPr>
      <w:bookmarkStart w:id="19" w:name="_Toc415065685"/>
      <w:r w:rsidRPr="00494962">
        <w:t>3.2.1 Potřebná loajalita</w:t>
      </w:r>
      <w:bookmarkEnd w:id="19"/>
      <w:r w:rsidRPr="00494962">
        <w:t xml:space="preserve"> </w:t>
      </w:r>
    </w:p>
    <w:p w:rsidR="00F73F6E" w:rsidRPr="00494962" w:rsidRDefault="00F73F6E" w:rsidP="00F73F6E">
      <w:r w:rsidRPr="00494962">
        <w:rPr>
          <w:rFonts w:eastAsia="Arial Unicode MS" w:cs="Arial Unicode MS"/>
        </w:rPr>
        <w:tab/>
        <w:t>Povinnost loajality se dlouhou dobu vztahovala pouze na společníky osobních společností, neboť právě zde byly vazby na společnost považovány za natolik silné na to, aby společník zohlednil jiné než své vlastní zájmy.</w:t>
      </w:r>
      <w:r w:rsidRPr="00494962">
        <w:rPr>
          <w:vertAlign w:val="superscript"/>
        </w:rPr>
        <w:footnoteReference w:id="85"/>
      </w:r>
      <w:r w:rsidRPr="00494962">
        <w:rPr>
          <w:rFonts w:eastAsia="Arial Unicode MS" w:cs="Arial Unicode MS"/>
        </w:rPr>
        <w:t xml:space="preserve"> V současné době je povinnost loajality zakotvena pří</w:t>
      </w:r>
      <w:r w:rsidRPr="00494962">
        <w:rPr>
          <w:rFonts w:eastAsia="Arial Unicode MS" w:cs="Arial Unicode MS"/>
          <w:lang w:val="es-ES_tradnl"/>
        </w:rPr>
        <w:t>mo v</w:t>
      </w:r>
      <w:r w:rsidRPr="00494962">
        <w:rPr>
          <w:rFonts w:eastAsia="Arial Unicode MS" w:cs="Arial Unicode MS"/>
        </w:rPr>
        <w:t xml:space="preserve"> textu zákona jako jedna ze složek pojmu péče řádného hospodáře. Toto je novinkou, neboť </w:t>
      </w:r>
      <w:r w:rsidRPr="00494962">
        <w:rPr>
          <w:rFonts w:eastAsia="Arial Unicode MS" w:cs="Arial Unicode MS"/>
          <w:lang w:val="pt-PT"/>
        </w:rPr>
        <w:t xml:space="preserve">do </w:t>
      </w:r>
      <w:r w:rsidRPr="00494962">
        <w:rPr>
          <w:rFonts w:eastAsia="Arial Unicode MS" w:cs="Arial Unicode MS"/>
        </w:rPr>
        <w:t>účinnosti ZOK pojem loajality do zá</w:t>
      </w:r>
      <w:r w:rsidRPr="00494962">
        <w:rPr>
          <w:rFonts w:eastAsia="Arial Unicode MS" w:cs="Arial Unicode MS"/>
          <w:lang w:val="de-DE"/>
        </w:rPr>
        <w:t>konn</w:t>
      </w:r>
      <w:r w:rsidRPr="00494962">
        <w:rPr>
          <w:rFonts w:eastAsia="Arial Unicode MS" w:cs="Arial Unicode MS"/>
        </w:rPr>
        <w:t xml:space="preserve">ého textu promítnut nebyl. </w:t>
      </w:r>
    </w:p>
    <w:p w:rsidR="00F73F6E" w:rsidRPr="00494962" w:rsidRDefault="00F73F6E" w:rsidP="00F73F6E">
      <w:pPr>
        <w:rPr>
          <w:i/>
          <w:iCs/>
        </w:rPr>
      </w:pPr>
      <w:r w:rsidRPr="00494962">
        <w:rPr>
          <w:rFonts w:eastAsia="Arial Unicode MS" w:cs="Arial Unicode MS"/>
        </w:rPr>
        <w:tab/>
        <w:t xml:space="preserve">Loajalita představuje </w:t>
      </w:r>
      <w:r w:rsidRPr="00494962">
        <w:rPr>
          <w:rFonts w:eastAsia="Arial Unicode MS" w:cs="Arial Unicode MS"/>
          <w:i/>
          <w:iCs/>
        </w:rPr>
        <w:t>„umění držet jazyk za zuby tam, kde se to patří.“</w:t>
      </w:r>
      <w:r w:rsidRPr="00494962">
        <w:rPr>
          <w:vertAlign w:val="superscript"/>
        </w:rPr>
        <w:footnoteReference w:id="86"/>
      </w:r>
    </w:p>
    <w:p w:rsidR="00F73F6E" w:rsidRPr="00494962" w:rsidRDefault="00F73F6E" w:rsidP="00F73F6E">
      <w:r w:rsidRPr="00494962">
        <w:rPr>
          <w:rFonts w:eastAsia="Arial Unicode MS" w:cs="Arial Unicode MS"/>
        </w:rPr>
        <w:tab/>
        <w:t>Ze dvou výše zmíněných odkazů lze i v rámci loajality dovodit dvě složky. První složkou je bezesporu upřednostnění zájmů společnosti př</w:t>
      </w:r>
      <w:r w:rsidRPr="00494962">
        <w:rPr>
          <w:rFonts w:eastAsia="Arial Unicode MS" w:cs="Arial Unicode MS"/>
          <w:lang w:val="da-DK"/>
        </w:rPr>
        <w:t>ed z</w:t>
      </w:r>
      <w:r w:rsidRPr="00494962">
        <w:rPr>
          <w:rFonts w:eastAsia="Arial Unicode MS" w:cs="Arial Unicode MS"/>
        </w:rPr>
        <w:t xml:space="preserve">ájmy svými nebo kohokoli jiného. Právě </w:t>
      </w:r>
      <w:r w:rsidRPr="00494962">
        <w:rPr>
          <w:rFonts w:eastAsia="Arial Unicode MS" w:cs="Arial Unicode MS"/>
        </w:rPr>
        <w:lastRenderedPageBreak/>
        <w:t>tuto složku vyvyšuje i Stanislava Černá, kdy ale podotýká, že uznání nadřazenosti zájmů společnosti nemůže bý</w:t>
      </w:r>
      <w:r w:rsidRPr="00494962">
        <w:rPr>
          <w:rFonts w:eastAsia="Arial Unicode MS" w:cs="Arial Unicode MS"/>
          <w:lang w:val="de-DE"/>
        </w:rPr>
        <w:t>t absolutn</w:t>
      </w:r>
      <w:r w:rsidRPr="00494962">
        <w:rPr>
          <w:rFonts w:eastAsia="Arial Unicode MS" w:cs="Arial Unicode MS"/>
        </w:rPr>
        <w:t>í.</w:t>
      </w:r>
      <w:r w:rsidRPr="00494962">
        <w:rPr>
          <w:vertAlign w:val="superscript"/>
        </w:rPr>
        <w:footnoteReference w:id="87"/>
      </w:r>
      <w:r w:rsidRPr="00494962">
        <w:rPr>
          <w:rFonts w:eastAsia="Arial Unicode MS" w:cs="Arial Unicode MS"/>
        </w:rPr>
        <w:t>Druhou složkou je určitá mlčenlivost, kterou SO musí zachovávat, např. ohledně záležitosti týkající se obchodního tajemství. Toto však platí pouze pro členy orgánů PO.</w:t>
      </w:r>
      <w:r w:rsidRPr="00494962">
        <w:rPr>
          <w:vertAlign w:val="superscript"/>
        </w:rPr>
        <w:footnoteReference w:id="88"/>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Existuje totiž i nižší stupeň loajality, kterým je tzv. korporační loajalita. Jedná se o loajalitu, kterou ke společnosti musí zachovávat její členové. V rámci korporační loajality se neuplatní princip, že by měli vždy upřednostnit zájmy společnosti př</w:t>
      </w:r>
      <w:r w:rsidRPr="00494962">
        <w:rPr>
          <w:rFonts w:eastAsia="Arial Unicode MS" w:cs="Arial Unicode MS"/>
          <w:lang w:val="da-DK"/>
        </w:rPr>
        <w:t>ed sv</w:t>
      </w:r>
      <w:r w:rsidRPr="00494962">
        <w:rPr>
          <w:rFonts w:eastAsia="Arial Unicode MS" w:cs="Arial Unicode MS"/>
        </w:rPr>
        <w:t xml:space="preserve">ými zájmy. Zákon vymezuje tento typ loajality tak, že </w:t>
      </w:r>
      <w:r w:rsidRPr="00494962">
        <w:rPr>
          <w:rFonts w:eastAsia="Arial Unicode MS" w:cs="Arial Unicode MS"/>
          <w:i/>
          <w:iCs/>
        </w:rPr>
        <w:t>„přijetím členství v korporaci se člen vůči ní zavazuje chovat se čestně a zachovávat její vnitřní řád.“</w:t>
      </w:r>
      <w:r w:rsidRPr="00494962">
        <w:rPr>
          <w:vertAlign w:val="superscript"/>
        </w:rPr>
        <w:footnoteReference w:id="89"/>
      </w:r>
      <w:r w:rsidRPr="00494962">
        <w:rPr>
          <w:rFonts w:eastAsia="Arial Unicode MS" w:cs="Arial Unicode MS"/>
        </w:rPr>
        <w:t xml:space="preserve"> Není zde tedy předpoklad, že by člen musel upřednostnit zájmy společnosti př</w:t>
      </w:r>
      <w:r w:rsidRPr="00494962">
        <w:rPr>
          <w:rFonts w:eastAsia="Arial Unicode MS" w:cs="Arial Unicode MS"/>
          <w:lang w:val="da-DK"/>
        </w:rPr>
        <w:t>ed z</w:t>
      </w:r>
      <w:r w:rsidRPr="00494962">
        <w:rPr>
          <w:rFonts w:eastAsia="Arial Unicode MS" w:cs="Arial Unicode MS"/>
        </w:rPr>
        <w:t>ájmy svými.</w:t>
      </w:r>
      <w:r w:rsidRPr="00494962">
        <w:rPr>
          <w:vertAlign w:val="superscript"/>
        </w:rPr>
        <w:footnoteReference w:id="90"/>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Zákon výslovně vyžaduje, aby SO byl loajální. I pokud by jednal pečlivě a s potřebnými znalostmi, podle zákona tedy tak, že při podnikatelském rozhodování v dobré víře mohl rozumně předpokládat, že jedná informovaně a v obhajitelném zájmu obchodní OK, bude odpovědný, pokud takové rozhodnutí nebylo učině</w:t>
      </w:r>
      <w:r w:rsidRPr="00494962">
        <w:rPr>
          <w:rFonts w:eastAsia="Arial Unicode MS" w:cs="Arial Unicode MS"/>
          <w:lang w:val="it-IT"/>
        </w:rPr>
        <w:t>no s</w:t>
      </w:r>
      <w:r w:rsidRPr="00494962">
        <w:rPr>
          <w:rFonts w:eastAsia="Arial Unicode MS" w:cs="Arial Unicode MS"/>
        </w:rPr>
        <w:t> nezbytnou loajalitou.</w:t>
      </w:r>
      <w:r w:rsidRPr="00494962">
        <w:rPr>
          <w:vertAlign w:val="superscript"/>
        </w:rPr>
        <w:footnoteReference w:id="91"/>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 xml:space="preserve">Je na povážnou, co zákonodárce zamýšlel pojmem „nezbytnou“ loajalitou, avšak je bez debat, že loajalita musí být přítomna. Jsem toho názoru, že loajalita by neměla být stupňována typu nezbytná, velká, malá, buď zde je nebo není. Přívlastkem nezbytná zákonodárce pouze do právní úpravy zavedl další </w:t>
      </w:r>
      <w:r w:rsidRPr="00494962">
        <w:rPr>
          <w:rFonts w:eastAsia="Arial Unicode MS" w:cs="Arial Unicode MS"/>
          <w:lang w:val="fr-FR"/>
        </w:rPr>
        <w:t>neur</w:t>
      </w:r>
      <w:r w:rsidRPr="00494962">
        <w:rPr>
          <w:rFonts w:eastAsia="Arial Unicode MS" w:cs="Arial Unicode MS"/>
        </w:rPr>
        <w:t xml:space="preserve">čitý právní pojem. </w:t>
      </w:r>
    </w:p>
    <w:p w:rsidR="00F73F6E" w:rsidRPr="00494962" w:rsidRDefault="00F73F6E" w:rsidP="00F73F6E">
      <w:pPr>
        <w:pStyle w:val="Nadpis3"/>
      </w:pPr>
      <w:bookmarkStart w:id="20" w:name="_Toc415065686"/>
      <w:r w:rsidRPr="00494962">
        <w:t>3.2.2 Pravidlo podnikatelského úsudku</w:t>
      </w:r>
      <w:bookmarkEnd w:id="20"/>
      <w:r w:rsidRPr="00494962">
        <w:t xml:space="preserve">  </w:t>
      </w:r>
    </w:p>
    <w:p w:rsidR="00F73F6E" w:rsidRPr="00494962" w:rsidRDefault="00F73F6E" w:rsidP="00F73F6E">
      <w:r w:rsidRPr="00494962">
        <w:rPr>
          <w:rFonts w:eastAsia="Arial Unicode MS" w:cs="Arial Unicode MS"/>
        </w:rPr>
        <w:tab/>
        <w:t>Pravidlo podnikatelského úsudku (jinak též business judgment rule) představuje zásadní zlom pro institut péče řádného hospodáře. Pravidlo podnikatelského úsudku se více než 150 let objevuje v angloamerickém právu (common law). Předpokládá, ž</w:t>
      </w:r>
      <w:r w:rsidRPr="00494962">
        <w:rPr>
          <w:rFonts w:eastAsia="Arial Unicode MS" w:cs="Arial Unicode MS"/>
          <w:lang w:val="pt-PT"/>
        </w:rPr>
        <w:t>e SO (pop</w:t>
      </w:r>
      <w:r w:rsidRPr="00494962">
        <w:rPr>
          <w:rFonts w:eastAsia="Arial Unicode MS" w:cs="Arial Unicode MS"/>
        </w:rPr>
        <w:t>ř. jiné orgány) jednají v nejlepším zájmu korporace, dokud není prokázá</w:t>
      </w:r>
      <w:r w:rsidRPr="00494962">
        <w:rPr>
          <w:rFonts w:eastAsia="Arial Unicode MS" w:cs="Arial Unicode MS"/>
          <w:lang w:val="nl-NL"/>
        </w:rPr>
        <w:t>n opak.</w:t>
      </w:r>
      <w:r w:rsidRPr="00494962">
        <w:rPr>
          <w:vertAlign w:val="superscript"/>
        </w:rPr>
        <w:footnoteReference w:id="92"/>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Jak už jsem naznačila výš</w:t>
      </w:r>
      <w:r w:rsidRPr="00494962">
        <w:rPr>
          <w:rFonts w:eastAsia="Arial Unicode MS" w:cs="Arial Unicode MS"/>
          <w:lang w:val="pt-PT"/>
        </w:rPr>
        <w:t>e, SO p</w:t>
      </w:r>
      <w:r w:rsidRPr="00494962">
        <w:rPr>
          <w:rFonts w:eastAsia="Arial Unicode MS" w:cs="Arial Unicode MS"/>
        </w:rPr>
        <w:t>ři spravování zálež</w:t>
      </w:r>
      <w:r w:rsidRPr="00494962">
        <w:rPr>
          <w:rFonts w:eastAsia="Arial Unicode MS" w:cs="Arial Unicode MS"/>
          <w:lang w:val="pt-PT"/>
        </w:rPr>
        <w:t>itost</w:t>
      </w:r>
      <w:r w:rsidRPr="00494962">
        <w:rPr>
          <w:rFonts w:eastAsia="Arial Unicode MS" w:cs="Arial Unicode MS"/>
        </w:rPr>
        <w:t>í společnosti by si neměl úplně počínat jako při spravování svých osobních zálež</w:t>
      </w:r>
      <w:r w:rsidRPr="00494962">
        <w:rPr>
          <w:rFonts w:eastAsia="Arial Unicode MS" w:cs="Arial Unicode MS"/>
          <w:lang w:val="pt-PT"/>
        </w:rPr>
        <w:t>itost</w:t>
      </w:r>
      <w:r w:rsidRPr="00494962">
        <w:rPr>
          <w:rFonts w:eastAsia="Arial Unicode MS" w:cs="Arial Unicode MS"/>
        </w:rPr>
        <w:t xml:space="preserve">í, ale jeví se nezbytností, že musí podstoupit určitá podnikatelská rizika. Při úplné absenci tohoto pravidla by ho nemohlo zprostit </w:t>
      </w:r>
      <w:r w:rsidRPr="00494962">
        <w:rPr>
          <w:rFonts w:eastAsia="Arial Unicode MS" w:cs="Arial Unicode MS"/>
        </w:rPr>
        <w:lastRenderedPageBreak/>
        <w:t xml:space="preserve">odpovědnosti ani to, že by si počínal maximálně informovaně, odborně, rozumně a jinak, ale jeho podnikatelský záměr by byl zmařen, ačkoli skutečnost, která jeho záměr zmařila, nemohla být rozumně předpokládána. Naopak pravidlo podnikatelského úsudku jednatelům jako SO umožňuje, aby při svých jednáních za společnost podstoupili, při splnění níže zmíněných předpokladů, určitá rizika a v případě, že to laicky řečeno nevyjde, nenesli za to odpovědnost. </w:t>
      </w:r>
    </w:p>
    <w:p w:rsidR="00F73F6E" w:rsidRPr="00494962" w:rsidRDefault="00F73F6E" w:rsidP="00F73F6E">
      <w:pPr>
        <w:rPr>
          <w:i/>
          <w:iCs/>
        </w:rPr>
      </w:pPr>
      <w:r w:rsidRPr="00494962">
        <w:rPr>
          <w:rFonts w:eastAsia="Arial Unicode MS" w:cs="Arial Unicode MS"/>
        </w:rPr>
        <w:tab/>
        <w:t>Výše zmíněné ale nemá naznačit, že české obchodní právo pravidlo podnikatelského úsudku neznalo. Stejně jako obecný institut řádného hospodáře bylo toto pravidlo dotvářeno četnou judikaturou.</w:t>
      </w:r>
      <w:r w:rsidRPr="00494962">
        <w:rPr>
          <w:vertAlign w:val="superscript"/>
        </w:rPr>
        <w:footnoteReference w:id="93"/>
      </w:r>
      <w:r w:rsidRPr="00494962">
        <w:rPr>
          <w:rFonts w:eastAsia="Arial Unicode MS" w:cs="Arial Unicode MS"/>
          <w:i/>
          <w:iCs/>
        </w:rPr>
        <w:t xml:space="preserve"> </w:t>
      </w:r>
    </w:p>
    <w:p w:rsidR="00F73F6E" w:rsidRPr="00494962" w:rsidRDefault="00F73F6E" w:rsidP="00F73F6E">
      <w:r w:rsidRPr="00494962">
        <w:rPr>
          <w:rFonts w:eastAsia="Arial Unicode MS" w:cs="Arial Unicode MS"/>
          <w:lang w:val="es-ES_tradnl"/>
        </w:rPr>
        <w:tab/>
        <w:t>A contrario v případě, že by zá</w:t>
      </w:r>
      <w:r w:rsidRPr="00494962">
        <w:rPr>
          <w:rFonts w:eastAsia="Arial Unicode MS" w:cs="Arial Unicode MS"/>
          <w:lang w:val="de-DE"/>
        </w:rPr>
        <w:t>konn</w:t>
      </w:r>
      <w:r w:rsidRPr="00494962">
        <w:rPr>
          <w:rFonts w:eastAsia="Arial Unicode MS" w:cs="Arial Unicode MS"/>
          <w:lang w:val="es-ES_tradnl"/>
        </w:rPr>
        <w:t>á úprava zaujala smě</w:t>
      </w:r>
      <w:r w:rsidRPr="00494962">
        <w:rPr>
          <w:rFonts w:eastAsia="Arial Unicode MS" w:cs="Arial Unicode MS"/>
          <w:lang w:val="da-DK"/>
        </w:rPr>
        <w:t>r opa</w:t>
      </w:r>
      <w:r w:rsidRPr="00494962">
        <w:rPr>
          <w:rFonts w:eastAsia="Arial Unicode MS" w:cs="Arial Unicode MS"/>
          <w:lang w:val="es-ES_tradnl"/>
        </w:rPr>
        <w:t xml:space="preserve">čný, tzn. že jednatelé jako SO by odpovídali za veškerá svá rozhodnutí, ačkoli by byla učiněna sebevíc uváženě, jednalo by se ze strany zákona pouze o systém zákazů a příkazů, které by SO musely dodržovat bez ohledu na svůj erudovaný názor. </w:t>
      </w:r>
      <w:r w:rsidRPr="00494962">
        <w:rPr>
          <w:rFonts w:eastAsia="Arial Unicode MS" w:cs="Arial Unicode MS"/>
        </w:rPr>
        <w:t>Lze se pouze dohadovat, kdo by se za takto přísných podmínek ujal funkce SO. Nebyl by tím vů</w:t>
      </w:r>
      <w:r w:rsidRPr="00494962">
        <w:rPr>
          <w:rFonts w:eastAsia="Arial Unicode MS" w:cs="Arial Unicode MS"/>
          <w:lang w:val="fr-FR"/>
        </w:rPr>
        <w:t>bec pop</w:t>
      </w:r>
      <w:r w:rsidRPr="00494962">
        <w:rPr>
          <w:rFonts w:eastAsia="Arial Unicode MS" w:cs="Arial Unicode MS"/>
        </w:rPr>
        <w:t xml:space="preserve">řen smysl kapitálových obchodních společností? </w:t>
      </w:r>
    </w:p>
    <w:p w:rsidR="00F73F6E" w:rsidRPr="00494962" w:rsidRDefault="00F73F6E" w:rsidP="00F73F6E">
      <w:r w:rsidRPr="00494962">
        <w:rPr>
          <w:rFonts w:eastAsia="Arial Unicode MS" w:cs="Arial Unicode MS"/>
        </w:rPr>
        <w:tab/>
        <w:t xml:space="preserve">Pravidlo podnikatelského úsudku je zakotveno v ust. § 51 odst. 1 ZOK. Z daného ustanovení si dovoluji dovolit, že české korporátní právo vytvořilo pro pravidlo podnikatelského úsudku 3 základní složky. Bezesporu musí být při rozhodování přítomna dobrá víra, poté </w:t>
      </w:r>
      <w:r w:rsidRPr="00494962">
        <w:rPr>
          <w:rFonts w:eastAsia="Arial Unicode MS" w:cs="Arial Unicode MS"/>
          <w:lang w:val="de-DE"/>
        </w:rPr>
        <w:t>rozumn</w:t>
      </w:r>
      <w:r w:rsidRPr="00494962">
        <w:rPr>
          <w:rFonts w:eastAsia="Arial Unicode MS" w:cs="Arial Unicode MS"/>
        </w:rPr>
        <w:t>ý předpoklad informovanosti a rozumný předpoklad jednání v obhajitelném zájmu společnosti. V případě, ž</w:t>
      </w:r>
      <w:r w:rsidRPr="00494962">
        <w:rPr>
          <w:rFonts w:eastAsia="Arial Unicode MS" w:cs="Arial Unicode MS"/>
          <w:lang w:val="pt-PT"/>
        </w:rPr>
        <w:t>e toto SO p</w:t>
      </w:r>
      <w:r w:rsidRPr="00494962">
        <w:rPr>
          <w:rFonts w:eastAsia="Arial Unicode MS" w:cs="Arial Unicode MS"/>
        </w:rPr>
        <w:t>ři svém podnikatelském rozhodování dodrží, nebude odpovědný za výsledek. Jen jediná okolnost může výše popřít a tou je neloajální jednání.</w:t>
      </w:r>
    </w:p>
    <w:p w:rsidR="00F73F6E" w:rsidRPr="00494962" w:rsidRDefault="00F73F6E" w:rsidP="00F73F6E">
      <w:r w:rsidRPr="00494962">
        <w:rPr>
          <w:rFonts w:eastAsia="Arial Unicode MS" w:cs="Arial Unicode MS"/>
        </w:rPr>
        <w:tab/>
        <w:t xml:space="preserve">Jsem toho názoru, že pravidlo podnikatelského úsudku představuje určitý návod pro SO, jak zvládnout proces podnikatelského rozhodování. Soudy by tedy neměly posuzovat výsledek daného rozhodnutí, ať už by byl jakýkoli, nýbrž to zda rozhodování </w:t>
      </w:r>
      <w:r w:rsidRPr="00494962">
        <w:rPr>
          <w:rFonts w:eastAsia="Arial Unicode MS" w:cs="Arial Unicode MS"/>
          <w:lang w:val="pt-PT"/>
        </w:rPr>
        <w:t>SO spl</w:t>
      </w:r>
      <w:r w:rsidRPr="00494962">
        <w:rPr>
          <w:rFonts w:eastAsia="Arial Unicode MS" w:cs="Arial Unicode MS"/>
        </w:rPr>
        <w:t xml:space="preserve">ňovalo zákonem předepsané náležitosti. </w:t>
      </w:r>
    </w:p>
    <w:p w:rsidR="00F73F6E" w:rsidRPr="00494962" w:rsidRDefault="00F73F6E" w:rsidP="00F73F6E">
      <w:pPr>
        <w:pStyle w:val="Nadpis3"/>
      </w:pPr>
      <w:bookmarkStart w:id="21" w:name="_Toc415065687"/>
      <w:r w:rsidRPr="00494962">
        <w:t>3.2.3 Měřítko a prokázání péče řádného hospodáře</w:t>
      </w:r>
      <w:bookmarkEnd w:id="21"/>
    </w:p>
    <w:p w:rsidR="00F73F6E" w:rsidRPr="00494962" w:rsidRDefault="00F73F6E" w:rsidP="00F73F6E">
      <w:r w:rsidRPr="00494962">
        <w:rPr>
          <w:rFonts w:eastAsia="Arial Unicode MS" w:cs="Arial Unicode MS"/>
        </w:rPr>
        <w:tab/>
        <w:t xml:space="preserve">Ačkoli zákon výslovně stanovuje, jaké složky institut péče řádného hospodáře obsahuje, je potřeba též stanovit, podle jakého měřítka toto bude posuzováno. Úprava ObchZ ani toto, na rozdíl od úpravy v ZOK, nenormovala. </w:t>
      </w:r>
    </w:p>
    <w:p w:rsidR="00F73F6E" w:rsidRPr="00494962" w:rsidRDefault="00F73F6E" w:rsidP="00F73F6E">
      <w:r w:rsidRPr="00494962">
        <w:rPr>
          <w:rFonts w:eastAsia="Arial Unicode MS" w:cs="Arial Unicode MS"/>
        </w:rPr>
        <w:tab/>
        <w:t xml:space="preserve">ZOK výslovně v ust. § 52 odst. 1 zakotvuje objektivní hledisko. To zda SO jednal s péčí řádného hospodáře, se bude nadále posuzovat podle toho, jakou péči by v obdobné situaci </w:t>
      </w:r>
      <w:r w:rsidRPr="00494962">
        <w:rPr>
          <w:rFonts w:eastAsia="Arial Unicode MS" w:cs="Arial Unicode MS"/>
        </w:rPr>
        <w:lastRenderedPageBreak/>
        <w:t xml:space="preserve">vynaložila jiná </w:t>
      </w:r>
      <w:r w:rsidRPr="00494962">
        <w:rPr>
          <w:rFonts w:eastAsia="Arial Unicode MS" w:cs="Arial Unicode MS"/>
          <w:lang w:val="de-DE"/>
        </w:rPr>
        <w:t>rozumn</w:t>
      </w:r>
      <w:r w:rsidRPr="00494962">
        <w:rPr>
          <w:rFonts w:eastAsia="Arial Unicode MS" w:cs="Arial Unicode MS"/>
        </w:rPr>
        <w:t>ě pečlivá osoba, kdyby byla v postavení SO.</w:t>
      </w:r>
      <w:r w:rsidRPr="00494962">
        <w:rPr>
          <w:vertAlign w:val="superscript"/>
        </w:rPr>
        <w:footnoteReference w:id="94"/>
      </w:r>
      <w:r w:rsidRPr="00494962">
        <w:rPr>
          <w:rFonts w:eastAsia="Arial Unicode MS" w:cs="Arial Unicode MS"/>
        </w:rPr>
        <w:t xml:space="preserve"> Toto je bezesporu objektivní hledisko, neboť není důležité, zda konkrétní osoba vynaložila maximální péči, pokud toto nebude dosahovat úrovně, kterou by v obdobné situaci v postavení SO vynaložila jiná </w:t>
      </w:r>
      <w:r w:rsidRPr="00494962">
        <w:rPr>
          <w:rFonts w:eastAsia="Arial Unicode MS" w:cs="Arial Unicode MS"/>
          <w:u w:val="single"/>
          <w:lang w:val="de-DE"/>
        </w:rPr>
        <w:t>rozumn</w:t>
      </w:r>
      <w:r w:rsidRPr="00494962">
        <w:rPr>
          <w:rFonts w:eastAsia="Arial Unicode MS" w:cs="Arial Unicode MS"/>
          <w:u w:val="single"/>
        </w:rPr>
        <w:t>ě pečlivá osoba.</w:t>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 xml:space="preserve">Na druhou stranu jsem si musela položit otázku, do jaké míry lze objektivní princip přijmout bez dalšího. Pokud totiž osoba, která vykonává funkci SO, bude v určité oblasti nadmíru přesahovat znalosti rozumně pečlivé osoby, je otázkou, zda splní předpoklad péče řádného hospodáře, pokud bude jednat a rozhodovat jako jiná </w:t>
      </w:r>
      <w:r w:rsidRPr="00494962">
        <w:rPr>
          <w:rFonts w:eastAsia="Arial Unicode MS" w:cs="Arial Unicode MS"/>
          <w:lang w:val="de-DE"/>
        </w:rPr>
        <w:t>rozumn</w:t>
      </w:r>
      <w:r w:rsidRPr="00494962">
        <w:rPr>
          <w:rFonts w:eastAsia="Arial Unicode MS" w:cs="Arial Unicode MS"/>
        </w:rPr>
        <w:t>ě pečlivá osoba v obdobné situaci ve funkci SO a nevyužije své znalosti v určitém oboru. V takovém případě, podle mého názoru, nelze přijmout objektivní hledisko bez dalšího a je potřeba tuto situaci subjektivizovat, tedy přihlédnout k možné péči dané osoby.</w:t>
      </w:r>
      <w:r w:rsidRPr="00494962">
        <w:rPr>
          <w:vertAlign w:val="superscript"/>
        </w:rPr>
        <w:footnoteReference w:id="95"/>
      </w:r>
      <w:r w:rsidRPr="00494962">
        <w:rPr>
          <w:rFonts w:eastAsia="Arial Unicode MS" w:cs="Arial Unicode MS"/>
        </w:rPr>
        <w:t xml:space="preserve"> Ke stejným závěrům došel i NS ČR, podle kterého pokud má člen představenstva určité odborné znalosti, je povinen je při výkonu funkce využívat.</w:t>
      </w:r>
      <w:r w:rsidRPr="00494962">
        <w:rPr>
          <w:vertAlign w:val="superscript"/>
        </w:rPr>
        <w:footnoteReference w:id="96"/>
      </w:r>
      <w:r w:rsidRPr="00494962">
        <w:rPr>
          <w:rFonts w:eastAsia="Arial Unicode MS" w:cs="Arial Unicode MS"/>
        </w:rPr>
        <w:t xml:space="preserve"> NS tento závěr zaujal i ve vztahu k jednatelům s.r.o. a jejich povinnosti vykonávat působnost s péčí řádného hospodáře.</w:t>
      </w:r>
      <w:r w:rsidRPr="00494962">
        <w:rPr>
          <w:vertAlign w:val="superscript"/>
        </w:rPr>
        <w:footnoteReference w:id="97"/>
      </w:r>
    </w:p>
    <w:p w:rsidR="00F73F6E" w:rsidRPr="00494962" w:rsidRDefault="00F73F6E" w:rsidP="00F73F6E">
      <w:r w:rsidRPr="00494962">
        <w:rPr>
          <w:rFonts w:eastAsia="Arial Unicode MS" w:cs="Arial Unicode MS"/>
        </w:rPr>
        <w:tab/>
        <w:t xml:space="preserve">Lze tedy uzavřít, že objektivní hledisko bude představovat minimální standard, který SO pro naplnění předpokladu péče řádného hospodáře musí splňovat, nikoli však zároveň maximální. </w:t>
      </w:r>
    </w:p>
    <w:p w:rsidR="00F73F6E" w:rsidRPr="00494962" w:rsidRDefault="00F73F6E" w:rsidP="00F73F6E">
      <w:r w:rsidRPr="00494962">
        <w:rPr>
          <w:rFonts w:eastAsia="Arial Unicode MS" w:cs="Arial Unicode MS"/>
        </w:rPr>
        <w:tab/>
        <w:t xml:space="preserve">To zda SO jednal s péčí řádného hospodáře, tedy minimálně s takovou péčí, jakou by v obdobné situaci a ve stejné funkci vynaložila jiná </w:t>
      </w:r>
      <w:r w:rsidRPr="00494962">
        <w:rPr>
          <w:rFonts w:eastAsia="Arial Unicode MS" w:cs="Arial Unicode MS"/>
          <w:lang w:val="de-DE"/>
        </w:rPr>
        <w:t>rozumn</w:t>
      </w:r>
      <w:r w:rsidRPr="00494962">
        <w:rPr>
          <w:rFonts w:eastAsia="Arial Unicode MS" w:cs="Arial Unicode MS"/>
        </w:rPr>
        <w:t xml:space="preserve">ě pečlivá osoba, bude v řízení před soudem zpravidla prokazovat právě tento SO. Takovéto přenesení důkazního břemene je logické, protože právě </w:t>
      </w:r>
      <w:r w:rsidRPr="00494962">
        <w:rPr>
          <w:rFonts w:eastAsia="Arial Unicode MS" w:cs="Arial Unicode MS"/>
          <w:lang w:val="pt-PT"/>
        </w:rPr>
        <w:t>SO m</w:t>
      </w:r>
      <w:r w:rsidRPr="00494962">
        <w:rPr>
          <w:rFonts w:eastAsia="Arial Unicode MS" w:cs="Arial Unicode MS"/>
        </w:rPr>
        <w:t>á k dispozici veškeré podklady a bude obhajovat své jednání. Osoba, která by tvrdila, ž</w:t>
      </w:r>
      <w:r w:rsidRPr="00494962">
        <w:rPr>
          <w:rFonts w:eastAsia="Arial Unicode MS" w:cs="Arial Unicode MS"/>
          <w:lang w:val="pt-PT"/>
        </w:rPr>
        <w:t>e SO poru</w:t>
      </w:r>
      <w:r w:rsidRPr="00494962">
        <w:rPr>
          <w:rFonts w:eastAsia="Arial Unicode MS" w:cs="Arial Unicode MS"/>
        </w:rPr>
        <w:t>šil svou povinnost péče řádného hospodáře, by velice těž</w:t>
      </w:r>
      <w:r w:rsidRPr="00494962">
        <w:rPr>
          <w:rFonts w:eastAsia="Arial Unicode MS" w:cs="Arial Unicode MS"/>
          <w:lang w:val="fr-FR"/>
        </w:rPr>
        <w:t>ko unesla d</w:t>
      </w:r>
      <w:r w:rsidRPr="00494962">
        <w:rPr>
          <w:rFonts w:eastAsia="Arial Unicode MS" w:cs="Arial Unicode MS"/>
        </w:rPr>
        <w:t>ůkazní břemeno. Novinkou ve stávající úpravě ZOK je to, že soud má právo rozhodnout, že nebude př</w:t>
      </w:r>
      <w:r w:rsidRPr="00494962">
        <w:rPr>
          <w:rFonts w:eastAsia="Arial Unicode MS" w:cs="Arial Unicode MS"/>
          <w:lang w:val="it-IT"/>
        </w:rPr>
        <w:t>eneseno d</w:t>
      </w:r>
      <w:r w:rsidRPr="00494962">
        <w:rPr>
          <w:rFonts w:eastAsia="Arial Unicode MS" w:cs="Arial Unicode MS"/>
        </w:rPr>
        <w:t>ůkazní břemeno a právě osoba, která napadá péči SO, bude muset prokázat, že SO jednal contra legem. Z logiky věci to bude zejména v situacích, kdy osoba už funkci SO nevykonává a nemá tedy přístup k důkazním prostředkům.</w:t>
      </w:r>
      <w:r w:rsidRPr="00494962">
        <w:rPr>
          <w:vertAlign w:val="superscript"/>
        </w:rPr>
        <w:footnoteReference w:id="98"/>
      </w:r>
      <w:r w:rsidRPr="00494962">
        <w:rPr>
          <w:rFonts w:eastAsia="Arial Unicode MS" w:cs="Arial Unicode MS"/>
        </w:rPr>
        <w:t xml:space="preserve">  </w:t>
      </w:r>
    </w:p>
    <w:p w:rsidR="00F73F6E" w:rsidRPr="00494962" w:rsidRDefault="00F73F6E" w:rsidP="00F73F6E">
      <w:pPr>
        <w:pStyle w:val="Nadpis3"/>
      </w:pPr>
      <w:bookmarkStart w:id="22" w:name="_Toc415065688"/>
      <w:r w:rsidRPr="00494962">
        <w:t>3.2.4 Porušení péče řádného hospodáře</w:t>
      </w:r>
      <w:bookmarkEnd w:id="22"/>
      <w:r w:rsidRPr="00494962">
        <w:t xml:space="preserve"> </w:t>
      </w:r>
    </w:p>
    <w:p w:rsidR="00F73F6E" w:rsidRPr="00494962" w:rsidRDefault="00F73F6E" w:rsidP="00F73F6E">
      <w:r w:rsidRPr="00494962">
        <w:rPr>
          <w:rFonts w:eastAsia="Arial Unicode MS" w:cs="Arial Unicode MS"/>
        </w:rPr>
        <w:tab/>
        <w:t xml:space="preserve">Jedním ze základních principů soukromého práva obecně je, že pokud škůdce jinému způsobí újmu, je povinen k její náhradě. Ne jinak je tomu v případě porušení péče řádného hospodáře. </w:t>
      </w:r>
    </w:p>
    <w:p w:rsidR="00F73F6E" w:rsidRPr="00494962" w:rsidRDefault="00F73F6E" w:rsidP="00F73F6E">
      <w:pPr>
        <w:rPr>
          <w:lang w:val="it-IT"/>
        </w:rPr>
      </w:pPr>
      <w:r w:rsidRPr="00494962">
        <w:rPr>
          <w:rFonts w:eastAsia="Arial Unicode MS" w:cs="Arial Unicode MS"/>
        </w:rPr>
        <w:lastRenderedPageBreak/>
        <w:tab/>
        <w:t xml:space="preserve">Povinnost péče řádného hospodáře je stanovena zákonem, pokud ji tedy jednatel poruší, jedná </w:t>
      </w:r>
      <w:r w:rsidRPr="00494962">
        <w:rPr>
          <w:rFonts w:eastAsia="Arial Unicode MS" w:cs="Arial Unicode MS"/>
          <w:lang w:val="it-IT"/>
        </w:rPr>
        <w:t>contra legem. V tomto případě se bude postupovat podle úpravy obsažené v Hlavě III OZ tedy podle ustanovení upravující náhradu majetkové a nemajetkové újmy, konkrétně se bude jednat o ust. § 2910 OZ. Toto zá</w:t>
      </w:r>
      <w:r w:rsidRPr="00494962">
        <w:rPr>
          <w:rFonts w:eastAsia="Arial Unicode MS" w:cs="Arial Unicode MS"/>
          <w:lang w:val="de-DE"/>
        </w:rPr>
        <w:t>konn</w:t>
      </w:r>
      <w:r w:rsidRPr="00494962">
        <w:rPr>
          <w:rFonts w:eastAsia="Arial Unicode MS" w:cs="Arial Unicode MS"/>
          <w:lang w:val="it-IT"/>
        </w:rPr>
        <w:t>é ust. normuje, že pokud škůdce zaviněně poruší povinnost stanovenou zákonem a zasáhne do absolutního práva poš</w:t>
      </w:r>
      <w:r w:rsidRPr="00494962">
        <w:rPr>
          <w:rFonts w:eastAsia="Arial Unicode MS" w:cs="Arial Unicode MS"/>
          <w:lang w:val="nl-NL"/>
        </w:rPr>
        <w:t>kozen</w:t>
      </w:r>
      <w:r w:rsidRPr="00494962">
        <w:rPr>
          <w:rFonts w:eastAsia="Arial Unicode MS" w:cs="Arial Unicode MS"/>
          <w:lang w:val="it-IT"/>
        </w:rPr>
        <w:t xml:space="preserve">ého, nahradí mu, co mu tím způsobil. Na rozdíl od úpravy v ObchZ není dnes stanovena objektivní odpovědnost, ale musí zde existovat zavinění. </w:t>
      </w:r>
    </w:p>
    <w:p w:rsidR="00F73F6E" w:rsidRPr="00494962" w:rsidRDefault="00F73F6E" w:rsidP="00F73F6E">
      <w:pPr>
        <w:rPr>
          <w:color w:val="FF0000"/>
          <w:lang w:val="it-IT"/>
        </w:rPr>
      </w:pPr>
      <w:r w:rsidRPr="00494962">
        <w:rPr>
          <w:rFonts w:eastAsia="Arial Unicode MS" w:cs="Arial Unicode MS"/>
          <w:lang w:val="it-IT"/>
        </w:rPr>
        <w:tab/>
        <w:t>To, že musí být prokázáno zavinění, aby byl SO povinen nahradit škodu, v dost velké míře ulehčuje situaci SO. Za účinnosti ObchZ, tedy při existenci objektivní odpovědnosti, se povinnosti nahradit škodu mohli zprostit leda tím, že prokázali, ž</w:t>
      </w:r>
      <w:r w:rsidRPr="00494962">
        <w:rPr>
          <w:rFonts w:eastAsia="Arial Unicode MS" w:cs="Arial Unicode MS"/>
          <w:lang w:val="es-ES_tradnl"/>
        </w:rPr>
        <w:t>e poru</w:t>
      </w:r>
      <w:r w:rsidRPr="00494962">
        <w:rPr>
          <w:rFonts w:eastAsia="Arial Unicode MS" w:cs="Arial Unicode MS"/>
          <w:lang w:val="it-IT"/>
        </w:rPr>
        <w:t>šení povinnosti bylo způsobeno okolnostmi vylučujícími odpovědnost.</w:t>
      </w:r>
      <w:r w:rsidRPr="00494962">
        <w:rPr>
          <w:vertAlign w:val="superscript"/>
        </w:rPr>
        <w:footnoteReference w:id="99"/>
      </w:r>
      <w:r w:rsidRPr="00494962">
        <w:rPr>
          <w:rFonts w:eastAsia="Arial Unicode MS" w:cs="Arial Unicode MS"/>
          <w:lang w:val="it-IT"/>
        </w:rPr>
        <w:t xml:space="preserve"> Za současné právní úpravy SO musí prokázat (díky domněnce nedbalosti stanovené v ust. § 2911 OZ), ž</w:t>
      </w:r>
      <w:r w:rsidRPr="00494962">
        <w:rPr>
          <w:rFonts w:eastAsia="Arial Unicode MS" w:cs="Arial Unicode MS"/>
          <w:lang w:val="es-ES_tradnl"/>
        </w:rPr>
        <w:t>e poru</w:t>
      </w:r>
      <w:r w:rsidRPr="00494962">
        <w:rPr>
          <w:rFonts w:eastAsia="Arial Unicode MS" w:cs="Arial Unicode MS"/>
          <w:lang w:val="it-IT"/>
        </w:rPr>
        <w:t>šení péče řádného hospodáře nezavinil. Pokud se mu to podaří, není povinen k náhradě škody.</w:t>
      </w:r>
      <w:r w:rsidRPr="00494962">
        <w:rPr>
          <w:vertAlign w:val="superscript"/>
        </w:rPr>
        <w:footnoteReference w:id="100"/>
      </w:r>
      <w:r w:rsidRPr="00494962">
        <w:rPr>
          <w:rFonts w:eastAsia="Arial Unicode MS" w:cs="Arial Unicode MS"/>
          <w:lang w:val="it-IT"/>
        </w:rPr>
        <w:t xml:space="preserve">  Samozřejmě díky ust. § 52 odst. 2 nese důkazní břemeno ve většině případů právě on. </w:t>
      </w:r>
    </w:p>
    <w:p w:rsidR="00F73F6E" w:rsidRPr="00494962" w:rsidRDefault="00F73F6E" w:rsidP="00F73F6E">
      <w:pPr>
        <w:rPr>
          <w:lang w:val="it-IT"/>
        </w:rPr>
      </w:pPr>
      <w:r w:rsidRPr="00494962">
        <w:rPr>
          <w:rFonts w:eastAsia="Arial Unicode MS" w:cs="Arial Unicode MS"/>
          <w:lang w:val="it-IT"/>
        </w:rPr>
        <w:tab/>
        <w:t xml:space="preserve">Povinnost nahradit škodu, resp. její nesplnění má dopad na ručení. Tato problematika však bude blíže rozebrána v kapitole sedmé týkající se ručení jednatelů, a proto zde na ni odkazuji. </w:t>
      </w:r>
    </w:p>
    <w:p w:rsidR="00F73F6E" w:rsidRPr="00494962" w:rsidRDefault="00F73F6E" w:rsidP="00F73F6E">
      <w:r w:rsidRPr="00494962">
        <w:rPr>
          <w:rFonts w:eastAsia="Arial Unicode MS" w:cs="Arial Unicode MS"/>
          <w:lang w:val="it-IT"/>
        </w:rPr>
        <w:tab/>
        <w:t>Ne vždy však musí př</w:t>
      </w:r>
      <w:r w:rsidRPr="00494962">
        <w:rPr>
          <w:rFonts w:eastAsia="Arial Unicode MS" w:cs="Arial Unicode MS"/>
          <w:lang w:val="es-ES_tradnl"/>
        </w:rPr>
        <w:t>i poru</w:t>
      </w:r>
      <w:r w:rsidRPr="00494962">
        <w:rPr>
          <w:rFonts w:eastAsia="Arial Unicode MS" w:cs="Arial Unicode MS"/>
          <w:lang w:val="it-IT"/>
        </w:rPr>
        <w:t>šení povinnosti péče řádného hospodáře vzniknout újma. Nově toto upravuje ust. § 53 ZOK. Můž</w:t>
      </w:r>
      <w:r w:rsidRPr="00494962">
        <w:rPr>
          <w:rFonts w:eastAsia="Arial Unicode MS" w:cs="Arial Unicode MS"/>
          <w:lang w:val="nl-NL"/>
        </w:rPr>
        <w:t>e toti</w:t>
      </w:r>
      <w:r w:rsidRPr="00494962">
        <w:rPr>
          <w:rFonts w:eastAsia="Arial Unicode MS" w:cs="Arial Unicode MS"/>
          <w:lang w:val="it-IT"/>
        </w:rPr>
        <w:t>ž nastat situace, ž</w:t>
      </w:r>
      <w:r w:rsidRPr="00494962">
        <w:rPr>
          <w:rFonts w:eastAsia="Arial Unicode MS" w:cs="Arial Unicode MS"/>
          <w:lang w:val="pt-PT"/>
        </w:rPr>
        <w:t>e SO v</w:t>
      </w:r>
      <w:r w:rsidRPr="00494962">
        <w:rPr>
          <w:rFonts w:eastAsia="Arial Unicode MS" w:cs="Arial Unicode MS"/>
          <w:lang w:val="it-IT"/>
        </w:rPr>
        <w:t xml:space="preserve"> souvislosti s porušením povinnosti péče řádného hospodáře získá prospěch. Pokud vydání prospěchu nebude možné, nahradí ho v penězích. Myslím si, úprava vydání prospěchu představuje vítaný institut pro korporátní právo. Tato situace zejména nastane, kdy člen SO uzavře smlouvu, ve které sám bude vystupovat a přitom uzavření takové smlouvy nebude v souladu s požadavkem loajality ke společnosti. </w:t>
      </w:r>
      <w:r w:rsidRPr="00494962">
        <w:rPr>
          <w:rFonts w:eastAsia="Arial Unicode MS" w:cs="Arial Unicode MS"/>
        </w:rPr>
        <w:t>Za účinnosti ObchZ společnost neměla možnost domoci se toho, co takový</w:t>
      </w:r>
      <w:r w:rsidRPr="00494962">
        <w:rPr>
          <w:rFonts w:eastAsia="Arial Unicode MS" w:cs="Arial Unicode MS"/>
          <w:lang w:val="pt-PT"/>
        </w:rPr>
        <w:t>to SO z</w:t>
      </w:r>
      <w:r w:rsidRPr="00494962">
        <w:rPr>
          <w:rFonts w:eastAsia="Arial Unicode MS" w:cs="Arial Unicode MS"/>
        </w:rPr>
        <w:t xml:space="preserve">ískal. </w:t>
      </w:r>
    </w:p>
    <w:p w:rsidR="00F73F6E" w:rsidRPr="00494962" w:rsidRDefault="00F73F6E" w:rsidP="00F73F6E">
      <w:pPr>
        <w:rPr>
          <w:color w:val="FF0000"/>
        </w:rPr>
      </w:pPr>
      <w:r w:rsidRPr="00494962">
        <w:rPr>
          <w:rFonts w:eastAsia="Arial Unicode MS" w:cs="Arial Unicode MS"/>
        </w:rPr>
        <w:tab/>
        <w:t>Toto ustanovení však, dle mého názoru, v sobě obsahuje problematický aspekt. Jde o to, že zákonodárce opomněl stanovit okamžik hodnoty prospěchu. Ráda bych danou problematiku uvedla na příkladu. Jednatel, jako SO, získá v souvislosti s porušením péče řádného hospodáře do vlastnictví osobní automobil, který v čase, kdy ho získal, měl hodnotu 1 mil. korun. Další den je tento jednatel účastníkem dopravní nehody, při které je automobil potluč</w:t>
      </w:r>
      <w:r w:rsidRPr="00494962">
        <w:rPr>
          <w:rFonts w:eastAsia="Arial Unicode MS" w:cs="Arial Unicode MS"/>
          <w:lang w:val="da-DK"/>
        </w:rPr>
        <w:t>en, dojde k</w:t>
      </w:r>
      <w:r w:rsidRPr="00494962">
        <w:rPr>
          <w:rFonts w:eastAsia="Arial Unicode MS" w:cs="Arial Unicode MS"/>
        </w:rPr>
        <w:t xml:space="preserve"> výměně dílů a jeho hodnota klesne o 800 tis. korun, ale lze jej používat. Je otázkou k jakému okamžiku by společnost chtěla vydání prospěchu. Primárně totiž zákon předpokládá vydání prospěchu, což je </w:t>
      </w:r>
      <w:r w:rsidRPr="00494962">
        <w:rPr>
          <w:rFonts w:eastAsia="Arial Unicode MS" w:cs="Arial Unicode MS"/>
        </w:rPr>
        <w:lastRenderedPageBreak/>
        <w:t xml:space="preserve">v mém příkladu osobní automobil. Ten má však o 800 tis. korun menší hodnotu, než kterou měl v době, kdy jej jednatel získal. Může tedy společnost po jednateli vyžadovat, aby jí </w:t>
      </w:r>
      <w:r w:rsidRPr="00494962">
        <w:rPr>
          <w:rFonts w:eastAsia="Arial Unicode MS" w:cs="Arial Unicode MS"/>
          <w:lang w:val="pt-PT"/>
        </w:rPr>
        <w:t>tento prosp</w:t>
      </w:r>
      <w:r w:rsidRPr="00494962">
        <w:rPr>
          <w:rFonts w:eastAsia="Arial Unicode MS" w:cs="Arial Unicode MS"/>
        </w:rPr>
        <w:t>ěch nahradila v penězích? Bude otázkou rozhodovací praxe soudů, jak se k tomu postaví. Pokud bych totiž připustila, že by se hodnota prospěchu měla posuzovat k okamžiku jeho získání, tak pokud není možné vydat totožný prospěch (což by bylo asi pravidlem), bude muset být nahrazen v penězích, což by mohlo popírat smysl zákonodárce primárního vydání prospěchu.  Reálné řešení tohoto problému by mohlo spočívat v tom, ž</w:t>
      </w:r>
      <w:r w:rsidRPr="00494962">
        <w:rPr>
          <w:rFonts w:eastAsia="Arial Unicode MS" w:cs="Arial Unicode MS"/>
          <w:lang w:val="da-DK"/>
        </w:rPr>
        <w:t>e dojde k</w:t>
      </w:r>
      <w:r w:rsidRPr="00494962">
        <w:rPr>
          <w:rFonts w:eastAsia="Arial Unicode MS" w:cs="Arial Unicode MS"/>
        </w:rPr>
        <w:t> vydání věci a doplatku.</w:t>
      </w:r>
      <w:r w:rsidRPr="00494962">
        <w:rPr>
          <w:rFonts w:eastAsia="Arial Unicode MS" w:cs="Arial Unicode MS"/>
          <w:color w:val="FF0000"/>
        </w:rPr>
        <w:t xml:space="preserve"> </w:t>
      </w:r>
    </w:p>
    <w:p w:rsidR="00F73F6E" w:rsidRPr="00494962" w:rsidRDefault="00F73F6E" w:rsidP="00F73F6E">
      <w:r w:rsidRPr="00494962">
        <w:rPr>
          <w:rFonts w:eastAsia="Arial Unicode MS" w:cs="Arial Unicode MS"/>
        </w:rPr>
        <w:tab/>
        <w:t>Dalším problémem tohoto zá</w:t>
      </w:r>
      <w:r w:rsidRPr="00494962">
        <w:rPr>
          <w:rFonts w:eastAsia="Arial Unicode MS" w:cs="Arial Unicode MS"/>
          <w:lang w:val="de-DE"/>
        </w:rPr>
        <w:t>konn</w:t>
      </w:r>
      <w:r w:rsidRPr="00494962">
        <w:rPr>
          <w:rFonts w:eastAsia="Arial Unicode MS" w:cs="Arial Unicode MS"/>
        </w:rPr>
        <w:t>ého ust. je samotné vymezení pojmu prospěch. Lze prospěch chápat i jako vyplacenou odměnu? Odvody, které společnost za jednatele odvedla? Bezesporu ano. Podle mého názoru je však klíčové to, že prospěch musí bý</w:t>
      </w:r>
      <w:r w:rsidRPr="00494962">
        <w:rPr>
          <w:rFonts w:eastAsia="Arial Unicode MS" w:cs="Arial Unicode MS"/>
          <w:lang w:val="nl-NL"/>
        </w:rPr>
        <w:t>t z</w:t>
      </w:r>
      <w:r w:rsidRPr="00494962">
        <w:rPr>
          <w:rFonts w:eastAsia="Arial Unicode MS" w:cs="Arial Unicode MS"/>
        </w:rPr>
        <w:t>ískán v souvislosti s jednáním, kdy jednatel poruš</w:t>
      </w:r>
      <w:r w:rsidRPr="00494962">
        <w:rPr>
          <w:rFonts w:eastAsia="Arial Unicode MS" w:cs="Arial Unicode MS"/>
          <w:lang w:val="it-IT"/>
        </w:rPr>
        <w:t>il p</w:t>
      </w:r>
      <w:r w:rsidRPr="00494962">
        <w:rPr>
          <w:rFonts w:eastAsia="Arial Unicode MS" w:cs="Arial Unicode MS"/>
        </w:rPr>
        <w:t xml:space="preserve">éči řádného hospodáře. </w:t>
      </w:r>
    </w:p>
    <w:p w:rsidR="00F73F6E" w:rsidRPr="00494962" w:rsidRDefault="00F73F6E" w:rsidP="00F73F6E">
      <w:r w:rsidRPr="00494962">
        <w:rPr>
          <w:rFonts w:eastAsia="Arial Unicode MS" w:cs="Arial Unicode MS"/>
        </w:rPr>
        <w:tab/>
        <w:t xml:space="preserve">Zákon o obchodních korporacích přináší také možnost, že pokud porušením péče řádného hospodáře vznikne OK újma, lze ji vypořádat dle smlouvy uzavřené s porušitelem. Co by ale měla taková smlouva upravovat? Právní nauka k tomu zaujímá dvojí postoj, restriktivní </w:t>
      </w:r>
      <w:r w:rsidRPr="00494962">
        <w:rPr>
          <w:rFonts w:eastAsia="Arial Unicode MS" w:cs="Arial Unicode MS"/>
          <w:lang w:val="sv-SE"/>
        </w:rPr>
        <w:t>a extensivn</w:t>
      </w:r>
      <w:r w:rsidRPr="00494962">
        <w:rPr>
          <w:rFonts w:eastAsia="Arial Unicode MS" w:cs="Arial Unicode MS"/>
        </w:rPr>
        <w:t xml:space="preserve">í do jisté míry. </w:t>
      </w:r>
    </w:p>
    <w:p w:rsidR="00F73F6E" w:rsidRPr="00494962" w:rsidRDefault="00F73F6E" w:rsidP="00F73F6E">
      <w:r w:rsidRPr="00494962">
        <w:rPr>
          <w:rFonts w:eastAsia="Arial Unicode MS" w:cs="Arial Unicode MS"/>
        </w:rPr>
        <w:tab/>
        <w:t>V prvním případě by taková smlouva mohla pouze upravovat způsob, jakým by byla škoda vypořádána, tzn., zda vydání prospěchu nebo náhrada v penězích. Jiní autoři jsou toho názoru, že smlouva bude moci moderovat samotnou výši újmy, dokonce až na nulu, tedy vzdání se práva na náhradu újmy.</w:t>
      </w:r>
      <w:r w:rsidRPr="00494962">
        <w:rPr>
          <w:vertAlign w:val="superscript"/>
        </w:rPr>
        <w:footnoteReference w:id="101"/>
      </w:r>
    </w:p>
    <w:p w:rsidR="00F73F6E" w:rsidRPr="00494962" w:rsidRDefault="00F73F6E" w:rsidP="00F73F6E">
      <w:r w:rsidRPr="00494962">
        <w:rPr>
          <w:rFonts w:eastAsia="Arial Unicode MS" w:cs="Arial Unicode MS"/>
        </w:rPr>
        <w:tab/>
        <w:t xml:space="preserve">Odpověď lze snad nalézt v tom, že výše zmíněná </w:t>
      </w:r>
      <w:r w:rsidRPr="00494962">
        <w:rPr>
          <w:rFonts w:eastAsia="Arial Unicode MS" w:cs="Arial Unicode MS"/>
          <w:lang w:val="fr-FR"/>
        </w:rPr>
        <w:t>smlouva p</w:t>
      </w:r>
      <w:r w:rsidRPr="00494962">
        <w:rPr>
          <w:rFonts w:eastAsia="Arial Unicode MS" w:cs="Arial Unicode MS"/>
        </w:rPr>
        <w:t>ředstavuje tak závažný institut, že zákon vyžaduje souhlas kvalifikované dvoutřetinové většiny hlasů všech společníků. Z tohoto důvodu se přikláním pro extensivní výklad smlouvy o vypořádání. A contrario pokud by zákonodárce vyžadoval schválení kvalifikovanou dvoutřetinovou většinou hlasů všech společníků pro smlouvu, kterou by se stanovil pouze způ</w:t>
      </w:r>
      <w:r w:rsidRPr="00494962">
        <w:rPr>
          <w:rFonts w:eastAsia="Arial Unicode MS" w:cs="Arial Unicode MS"/>
          <w:lang w:val="pt-PT"/>
        </w:rPr>
        <w:t xml:space="preserve">sob </w:t>
      </w:r>
      <w:r w:rsidRPr="00494962">
        <w:rPr>
          <w:rFonts w:eastAsia="Arial Unicode MS" w:cs="Arial Unicode MS"/>
        </w:rPr>
        <w:t>úhrady, jednalo by se o nonsense.</w:t>
      </w:r>
      <w:r w:rsidRPr="00494962">
        <w:rPr>
          <w:vertAlign w:val="superscript"/>
        </w:rPr>
        <w:footnoteReference w:id="102"/>
      </w:r>
      <w:r w:rsidRPr="00494962">
        <w:rPr>
          <w:rFonts w:eastAsia="Arial Unicode MS" w:cs="Arial Unicode MS"/>
        </w:rPr>
        <w:t xml:space="preserve"> </w:t>
      </w:r>
    </w:p>
    <w:p w:rsidR="00F73F6E" w:rsidRPr="00494962" w:rsidRDefault="00F73F6E" w:rsidP="00F73F6E">
      <w:pPr>
        <w:pStyle w:val="Nadpis2"/>
      </w:pPr>
      <w:bookmarkStart w:id="23" w:name="_Toc415065689"/>
      <w:r w:rsidRPr="00494962">
        <w:t>3.3 Osobní výkon funkce</w:t>
      </w:r>
      <w:bookmarkEnd w:id="23"/>
      <w:r w:rsidRPr="00494962">
        <w:t xml:space="preserve"> </w:t>
      </w:r>
    </w:p>
    <w:p w:rsidR="00F73F6E" w:rsidRPr="00494962" w:rsidRDefault="00F73F6E" w:rsidP="00F73F6E">
      <w:r w:rsidRPr="00494962">
        <w:rPr>
          <w:rFonts w:eastAsia="Arial Unicode MS" w:cs="Arial Unicode MS"/>
        </w:rPr>
        <w:tab/>
        <w:t>Z ust. § 159 odst. 2 OZ plyne, že SO vykonává funkci osobně. Z tohoto pravidla existuje výjimka a to, že může zmocnit pro jednotlivý případ jiného člena SO, aby za něj při neúčasti hlasoval.</w:t>
      </w:r>
      <w:r w:rsidRPr="00494962">
        <w:rPr>
          <w:vertAlign w:val="superscript"/>
        </w:rPr>
        <w:footnoteReference w:id="103"/>
      </w:r>
      <w:r w:rsidRPr="00494962">
        <w:rPr>
          <w:rFonts w:eastAsia="Arial Unicode MS" w:cs="Arial Unicode MS"/>
        </w:rPr>
        <w:t xml:space="preserve"> </w:t>
      </w:r>
    </w:p>
    <w:p w:rsidR="00F73F6E" w:rsidRPr="00494962" w:rsidRDefault="00F73F6E" w:rsidP="00F73F6E">
      <w:r w:rsidRPr="00494962">
        <w:rPr>
          <w:rFonts w:eastAsia="Arial Unicode MS" w:cs="Arial Unicode MS"/>
        </w:rPr>
        <w:lastRenderedPageBreak/>
        <w:tab/>
        <w:t>Předně považuji za nutné poukázat na problémy, které řeší samotná zá</w:t>
      </w:r>
      <w:r w:rsidRPr="00494962">
        <w:rPr>
          <w:rFonts w:eastAsia="Arial Unicode MS" w:cs="Arial Unicode MS"/>
          <w:lang w:val="de-DE"/>
        </w:rPr>
        <w:t>konn</w:t>
      </w:r>
      <w:r w:rsidRPr="00494962">
        <w:rPr>
          <w:rFonts w:eastAsia="Arial Unicode MS" w:cs="Arial Unicode MS"/>
        </w:rPr>
        <w:t>á definice. Je potřeba říct, že člen SO se nemůže nechat zastoupit členem jiného orgánu a už vůbec ne třetí osobou. Myslím si, že i kdyby výslovně nebyla zá</w:t>
      </w:r>
      <w:r w:rsidRPr="00494962">
        <w:rPr>
          <w:rFonts w:eastAsia="Arial Unicode MS" w:cs="Arial Unicode MS"/>
          <w:lang w:val="it-IT"/>
        </w:rPr>
        <w:t>konem tato podm</w:t>
      </w:r>
      <w:r w:rsidRPr="00494962">
        <w:rPr>
          <w:rFonts w:eastAsia="Arial Unicode MS" w:cs="Arial Unicode MS"/>
        </w:rPr>
        <w:t>ínka stanovena, musel by SO takto jednat s ohledem na povinnost péče řádného hospodáře.</w:t>
      </w:r>
      <w:r w:rsidRPr="00494962">
        <w:rPr>
          <w:rFonts w:eastAsia="Arial Unicode MS" w:cs="Arial Unicode MS"/>
        </w:rPr>
        <w:tab/>
      </w:r>
    </w:p>
    <w:p w:rsidR="00F73F6E" w:rsidRPr="00494962" w:rsidRDefault="00F73F6E" w:rsidP="00F73F6E">
      <w:r w:rsidRPr="00494962">
        <w:rPr>
          <w:rFonts w:eastAsia="Arial Unicode MS" w:cs="Arial Unicode MS"/>
        </w:rPr>
        <w:tab/>
        <w:t>Dalším problémem, který řeší zá</w:t>
      </w:r>
      <w:r w:rsidRPr="00494962">
        <w:rPr>
          <w:rFonts w:eastAsia="Arial Unicode MS" w:cs="Arial Unicode MS"/>
          <w:lang w:val="de-DE"/>
        </w:rPr>
        <w:t>konn</w:t>
      </w:r>
      <w:r w:rsidRPr="00494962">
        <w:rPr>
          <w:rFonts w:eastAsia="Arial Unicode MS" w:cs="Arial Unicode MS"/>
        </w:rPr>
        <w:t>á úprava je, že zmocnění můž</w:t>
      </w:r>
      <w:r w:rsidRPr="00494962">
        <w:rPr>
          <w:rFonts w:eastAsia="Arial Unicode MS" w:cs="Arial Unicode MS"/>
          <w:lang w:val="da-DK"/>
        </w:rPr>
        <w:t>e ud</w:t>
      </w:r>
      <w:r w:rsidRPr="00494962">
        <w:rPr>
          <w:rFonts w:eastAsia="Arial Unicode MS" w:cs="Arial Unicode MS"/>
        </w:rPr>
        <w:t xml:space="preserve">ělit pouze pro jednotlivý případ. Z toho jednoznačně vyplývá, že generální plná moc je vyloučena. </w:t>
      </w:r>
    </w:p>
    <w:p w:rsidR="00F73F6E" w:rsidRPr="00494962" w:rsidRDefault="00F73F6E" w:rsidP="00F73F6E">
      <w:r w:rsidRPr="00494962">
        <w:rPr>
          <w:rFonts w:eastAsia="Arial Unicode MS" w:cs="Arial Unicode MS"/>
        </w:rPr>
        <w:tab/>
        <w:t xml:space="preserve">Zákon výslovně normuje, že zmocnění je možné pouze za předpokladu neúčasti zmocnitele. Myslím si, že z tohoto lze vyvodit, že pokud bude plná </w:t>
      </w:r>
      <w:r w:rsidRPr="00494962">
        <w:rPr>
          <w:rFonts w:eastAsia="Arial Unicode MS" w:cs="Arial Unicode MS"/>
          <w:lang w:val="da-DK"/>
        </w:rPr>
        <w:t>moc ud</w:t>
      </w:r>
      <w:r w:rsidRPr="00494962">
        <w:rPr>
          <w:rFonts w:eastAsia="Arial Unicode MS" w:cs="Arial Unicode MS"/>
        </w:rPr>
        <w:t xml:space="preserve">ělena, tak k jejímu zániku postačí, pokud se zmocnitel zúčastní aktu, pro nějž plnou moc udělil. Podle mého názoru nelze připustit, aby na zasedání, kde se bude vyžadovat hlasování, hlasoval zároveň zmocněnec za zmocnitele a zmocnitel. Právě toto, domnívám se, zákon vylučuje. </w:t>
      </w:r>
    </w:p>
    <w:p w:rsidR="00F73F6E" w:rsidRPr="00494962" w:rsidRDefault="00F73F6E" w:rsidP="00F73F6E">
      <w:r w:rsidRPr="00494962">
        <w:rPr>
          <w:rFonts w:eastAsia="Arial Unicode MS" w:cs="Arial Unicode MS"/>
        </w:rPr>
        <w:tab/>
        <w:t>Dále je potřeba se zabývat otázkou, zda je dané ust. dispozitivní nebo kogentní. Mohou tedy společní</w:t>
      </w:r>
      <w:r w:rsidRPr="00494962">
        <w:rPr>
          <w:rFonts w:eastAsia="Arial Unicode MS" w:cs="Arial Unicode MS"/>
          <w:lang w:val="it-IT"/>
        </w:rPr>
        <w:t xml:space="preserve">ci tuto </w:t>
      </w:r>
      <w:r w:rsidRPr="00494962">
        <w:rPr>
          <w:rFonts w:eastAsia="Arial Unicode MS" w:cs="Arial Unicode MS"/>
        </w:rPr>
        <w:t xml:space="preserve">vyloučit ve společenské </w:t>
      </w:r>
      <w:r w:rsidRPr="00494962">
        <w:rPr>
          <w:rFonts w:eastAsia="Arial Unicode MS" w:cs="Arial Unicode MS"/>
          <w:lang w:val="fr-FR"/>
        </w:rPr>
        <w:t>smlouv</w:t>
      </w:r>
      <w:r w:rsidRPr="00494962">
        <w:rPr>
          <w:rFonts w:eastAsia="Arial Unicode MS" w:cs="Arial Unicode MS"/>
        </w:rPr>
        <w:t xml:space="preserve">ě? Tzn. mohou vyloučit, aby členové voleného orgánu zmocňovali jiné, aby za ně při jejich neúčasti hlasovali? Myslím si, že v souvislosti s ust. § 1 odst.2 OZ lze dovodit, že jelikož toto zákon nezakazuje, mohou si osoby ujednat tuto záležitost odlišně od ust. zákona, a tudíž toto může být ve společenské </w:t>
      </w:r>
      <w:r w:rsidRPr="00494962">
        <w:rPr>
          <w:rFonts w:eastAsia="Arial Unicode MS" w:cs="Arial Unicode MS"/>
          <w:lang w:val="fr-FR"/>
        </w:rPr>
        <w:t>smlouv</w:t>
      </w:r>
      <w:r w:rsidRPr="00494962">
        <w:rPr>
          <w:rFonts w:eastAsia="Arial Unicode MS" w:cs="Arial Unicode MS"/>
        </w:rPr>
        <w:t xml:space="preserve">ě vyloučeno. </w:t>
      </w:r>
    </w:p>
    <w:p w:rsidR="00F73F6E" w:rsidRPr="00494962" w:rsidRDefault="00F73F6E" w:rsidP="00F73F6E">
      <w:r w:rsidRPr="00494962">
        <w:rPr>
          <w:rFonts w:eastAsia="Arial Unicode MS" w:cs="Arial Unicode MS"/>
        </w:rPr>
        <w:tab/>
        <w:t>Dále se může jevit sporným, zda se zmocnění bude odrážet v kvoru příslušného voleného orgánu PO. Zákon normuje, že kolektivní orgán „</w:t>
      </w:r>
      <w:r w:rsidRPr="00494962">
        <w:rPr>
          <w:rFonts w:eastAsia="Arial Unicode MS" w:cs="Arial Unicode MS"/>
          <w:i/>
          <w:iCs/>
        </w:rPr>
        <w:t>je schopen se usnášet za přítomnosti nebo jiné účasti většiny členů a rozhoduje většinou hlasů zúčastněných členů.</w:t>
      </w:r>
      <w:r w:rsidRPr="00494962">
        <w:rPr>
          <w:rFonts w:eastAsia="Arial Unicode MS" w:cs="Arial Unicode MS"/>
        </w:rPr>
        <w:t>“</w:t>
      </w:r>
      <w:r w:rsidRPr="00494962">
        <w:rPr>
          <w:vertAlign w:val="superscript"/>
        </w:rPr>
        <w:footnoteReference w:id="104"/>
      </w:r>
      <w:r w:rsidRPr="00494962">
        <w:rPr>
          <w:rFonts w:eastAsia="Arial Unicode MS" w:cs="Arial Unicode MS"/>
        </w:rPr>
        <w:t xml:space="preserve"> Dokonce na základě ust. § 158 odst. 1 OZ může dojít k zpřísnění nutného počtu. Bude se tedy zmocněnec počítat za dvě zúčastněné osoby? Dle komentářového znění k OZ není důvod, aby tomu tak nebylo.</w:t>
      </w:r>
      <w:r w:rsidRPr="00494962">
        <w:rPr>
          <w:vertAlign w:val="superscript"/>
        </w:rPr>
        <w:footnoteReference w:id="105"/>
      </w:r>
      <w:r w:rsidRPr="00494962">
        <w:rPr>
          <w:rFonts w:eastAsia="Arial Unicode MS" w:cs="Arial Unicode MS"/>
        </w:rPr>
        <w:t xml:space="preserve"> S tímto názorem se plně ztotožňuji, neboť zmocněnec bude hlasovat za 2 osoby a samotné udělení plné moci má představovat určitou fikci, že osoba hlasuje avšak prostřednictvím jiného. </w:t>
      </w:r>
    </w:p>
    <w:p w:rsidR="00F73F6E" w:rsidRPr="00494962" w:rsidRDefault="00F73F6E" w:rsidP="00F73F6E">
      <w:r w:rsidRPr="00494962">
        <w:rPr>
          <w:rFonts w:eastAsia="Arial Unicode MS" w:cs="Arial Unicode MS"/>
        </w:rPr>
        <w:tab/>
        <w:t>Jelikož členem SO může být i jiná PO, je potřeba vztá</w:t>
      </w:r>
      <w:r w:rsidRPr="00494962">
        <w:rPr>
          <w:rFonts w:eastAsia="Arial Unicode MS" w:cs="Arial Unicode MS"/>
          <w:lang w:val="fr-FR"/>
        </w:rPr>
        <w:t>hnout v</w:t>
      </w:r>
      <w:r w:rsidRPr="00494962">
        <w:rPr>
          <w:rFonts w:eastAsia="Arial Unicode MS" w:cs="Arial Unicode MS"/>
        </w:rPr>
        <w:t>ýše a níže zmíněné, tedy záležitosti související s osobním výkonem funkce na zástupce PO.</w:t>
      </w:r>
      <w:r w:rsidRPr="00494962">
        <w:rPr>
          <w:vertAlign w:val="superscript"/>
        </w:rPr>
        <w:footnoteReference w:id="106"/>
      </w:r>
    </w:p>
    <w:p w:rsidR="00F73F6E" w:rsidRPr="00494962" w:rsidRDefault="00F73F6E" w:rsidP="00F73F6E">
      <w:pPr>
        <w:pStyle w:val="Nadpis3"/>
      </w:pPr>
      <w:bookmarkStart w:id="24" w:name="_Toc415065690"/>
      <w:r w:rsidRPr="00494962">
        <w:t>3.3.1 Osobní výkon funkce s ohledem na povinnost péče řádného hospodáře</w:t>
      </w:r>
      <w:bookmarkEnd w:id="24"/>
    </w:p>
    <w:p w:rsidR="00F73F6E" w:rsidRPr="00494962" w:rsidRDefault="00F73F6E" w:rsidP="00F73F6E">
      <w:r w:rsidRPr="00494962">
        <w:rPr>
          <w:rFonts w:eastAsia="Arial Unicode MS" w:cs="Arial Unicode MS"/>
        </w:rPr>
        <w:tab/>
        <w:t xml:space="preserve">Povinnost péče řádného hospodáře dopadá veskrze na veškerou činnost SO. I co se týče povinnosti osobního výkonu funkce lze dovodit některé problematické body, které budou řešeny právě s přihlédnutím k péči řádného hospodáře. </w:t>
      </w:r>
    </w:p>
    <w:p w:rsidR="00F73F6E" w:rsidRPr="00494962" w:rsidRDefault="00F73F6E" w:rsidP="00F73F6E">
      <w:r w:rsidRPr="00494962">
        <w:rPr>
          <w:rFonts w:eastAsia="Arial Unicode MS" w:cs="Arial Unicode MS"/>
        </w:rPr>
        <w:lastRenderedPageBreak/>
        <w:tab/>
        <w:t>Je třeba si uvědomit, ž</w:t>
      </w:r>
      <w:r w:rsidRPr="00494962">
        <w:rPr>
          <w:rFonts w:eastAsia="Arial Unicode MS" w:cs="Arial Unicode MS"/>
          <w:lang w:val="da-DK"/>
        </w:rPr>
        <w:t>e ud</w:t>
      </w:r>
      <w:r w:rsidRPr="00494962">
        <w:rPr>
          <w:rFonts w:eastAsia="Arial Unicode MS" w:cs="Arial Unicode MS"/>
        </w:rPr>
        <w:t>ělením plné moci dochází ke smluvnímu zastoupení. Z toho důvodu je nutné pracovat s ust. zákona týkajících se smluvního zastoupení.</w:t>
      </w:r>
      <w:r w:rsidRPr="00494962">
        <w:rPr>
          <w:vertAlign w:val="superscript"/>
        </w:rPr>
        <w:footnoteReference w:id="107"/>
      </w:r>
      <w:r w:rsidRPr="00494962">
        <w:rPr>
          <w:rFonts w:eastAsia="Arial Unicode MS" w:cs="Arial Unicode MS"/>
        </w:rPr>
        <w:t xml:space="preserve"> Primární problém, který zákon neřeší je, v jaké formě musí být plná </w:t>
      </w:r>
      <w:r w:rsidRPr="00494962">
        <w:rPr>
          <w:rFonts w:eastAsia="Arial Unicode MS" w:cs="Arial Unicode MS"/>
          <w:lang w:val="da-DK"/>
        </w:rPr>
        <w:t>moc ud</w:t>
      </w:r>
      <w:r w:rsidRPr="00494962">
        <w:rPr>
          <w:rFonts w:eastAsia="Arial Unicode MS" w:cs="Arial Unicode MS"/>
        </w:rPr>
        <w:t>ělena. Ust. § 441 odst. 1 OZ normuje, že pokud se zastoupení netýká určitého právního jednání</w:t>
      </w:r>
      <w:r w:rsidRPr="00494962">
        <w:rPr>
          <w:rFonts w:eastAsia="Arial Unicode MS" w:cs="Arial Unicode MS"/>
          <w:lang w:val="da-DK"/>
        </w:rPr>
        <w:t>, ud</w:t>
      </w:r>
      <w:r w:rsidRPr="00494962">
        <w:rPr>
          <w:rFonts w:eastAsia="Arial Unicode MS" w:cs="Arial Unicode MS"/>
        </w:rPr>
        <w:t xml:space="preserve">ělí se plná moc v písemné formě. V případě zmocnění </w:t>
      </w:r>
      <w:r w:rsidRPr="00494962">
        <w:rPr>
          <w:rFonts w:eastAsia="Arial Unicode MS" w:cs="Arial Unicode MS"/>
          <w:lang w:val="pt-PT"/>
        </w:rPr>
        <w:t>SO v</w:t>
      </w:r>
      <w:r w:rsidRPr="00494962">
        <w:rPr>
          <w:rFonts w:eastAsia="Arial Unicode MS" w:cs="Arial Unicode MS"/>
        </w:rPr>
        <w:t>šak nejde o generální plnou moc, nýbrž speciální a tudíž zákon nevyžaduje písemnou formu. Zde je potřeba ale opět myslet na povinnost péče řádného hospodáře. Pokud se SO chce nechat zastoupit a chce dostát své povinnosti péče řádného hospodáře, lze dovodit, že plná moc musí mít písemnou formu.</w:t>
      </w:r>
      <w:r w:rsidRPr="00494962">
        <w:rPr>
          <w:vertAlign w:val="superscript"/>
        </w:rPr>
        <w:footnoteReference w:id="108"/>
      </w:r>
    </w:p>
    <w:p w:rsidR="00F73F6E" w:rsidRPr="00494962" w:rsidRDefault="00F73F6E" w:rsidP="00F73F6E">
      <w:r w:rsidRPr="00494962">
        <w:rPr>
          <w:rFonts w:eastAsia="Arial Unicode MS" w:cs="Arial Unicode MS"/>
        </w:rPr>
        <w:tab/>
        <w:t>Zákon nenormuje, za jakých okolností může SO zmocnit jiného a tudíž nevykonávat svou funkci osobně. Z dikce zákona bez přihlédnutí k jiným zá</w:t>
      </w:r>
      <w:r w:rsidRPr="00494962">
        <w:rPr>
          <w:rFonts w:eastAsia="Arial Unicode MS" w:cs="Arial Unicode MS"/>
          <w:lang w:val="de-DE"/>
        </w:rPr>
        <w:t>konn</w:t>
      </w:r>
      <w:r w:rsidRPr="00494962">
        <w:rPr>
          <w:rFonts w:eastAsia="Arial Unicode MS" w:cs="Arial Unicode MS"/>
        </w:rPr>
        <w:t>ým ust. by mohlo být dovozeno, že tak může činit podle své vůle kdykoli. Ovšem s přihlédnutím k povinnosti zachovávat péči řádného hospodáře toto nelze připustit, neboť by byla porušena povinnost loajality.</w:t>
      </w:r>
      <w:r w:rsidRPr="00494962">
        <w:rPr>
          <w:vertAlign w:val="superscript"/>
        </w:rPr>
        <w:footnoteReference w:id="109"/>
      </w:r>
    </w:p>
    <w:p w:rsidR="00F73F6E" w:rsidRPr="00494962" w:rsidRDefault="00F73F6E" w:rsidP="00F73F6E">
      <w:r w:rsidRPr="00494962">
        <w:rPr>
          <w:rFonts w:eastAsia="Arial Unicode MS" w:cs="Arial Unicode MS"/>
        </w:rPr>
        <w:tab/>
        <w:t>Pro dostání povinnosti péče řádného hospodáře je nutné, aby zmocnitel věděl, k čemu plnou moc uděluje. Nelze tedy např. připustit, aby zmocniteli nebyl program zasedání dopodrobna znám. V souvislosti s tím, zmocnitel musí udělit jasný pokyn, jak má zmocněnec na zasedání hlasovat. Pokud by udělil pokyn pouze obecný, typu „zmocňuji XY aby za mne na zasedání hlasoval“ šlo by opět o porušení zá</w:t>
      </w:r>
      <w:r w:rsidRPr="00494962">
        <w:rPr>
          <w:rFonts w:eastAsia="Arial Unicode MS" w:cs="Arial Unicode MS"/>
          <w:lang w:val="de-DE"/>
        </w:rPr>
        <w:t>konn</w:t>
      </w:r>
      <w:r w:rsidRPr="00494962">
        <w:rPr>
          <w:rFonts w:eastAsia="Arial Unicode MS" w:cs="Arial Unicode MS"/>
        </w:rPr>
        <w:t>é povinnosti péče řádného hospodáře. Jednatel musí jasně stanovit, jak má zmocněnec hlasovat. Podle mého názoru tedy nic nebrání tomu, aby zmocněnec na hlasování za sebe hlasoval pro a za zmocnitele proti.</w:t>
      </w:r>
      <w:r w:rsidRPr="00494962">
        <w:rPr>
          <w:vertAlign w:val="superscript"/>
        </w:rPr>
        <w:footnoteReference w:id="110"/>
      </w:r>
    </w:p>
    <w:p w:rsidR="00F73F6E" w:rsidRPr="00494962" w:rsidRDefault="00F73F6E" w:rsidP="00F73F6E">
      <w:r w:rsidRPr="00494962">
        <w:rPr>
          <w:rFonts w:eastAsia="Arial Unicode MS" w:cs="Arial Unicode MS"/>
        </w:rPr>
        <w:tab/>
        <w:t>Povinnost péče řádného hospodáře však dopadá i na zmocně</w:t>
      </w:r>
      <w:r w:rsidRPr="00494962">
        <w:rPr>
          <w:rFonts w:eastAsia="Arial Unicode MS" w:cs="Arial Unicode MS"/>
          <w:lang w:val="it-IT"/>
        </w:rPr>
        <w:t xml:space="preserve">nce. Ten si totiž musí vyhodnotit v souvislosti s danou povinností, zda jí pokyn zmocnitele odpovídá nebo ne. Jelikož zmocněncem jednatele může být pouze jiný jednatel, musí myslet na dodržení povinnosti péče řádného hospodáře. Pokud by zmocněnec byl toho názoru, že je pokyn zmocnitele v rozporu s danou zásadou, nezbylo by mu nic jiného, než hlasovat v rozporu s pokynem zmocnitele, pokud by tedy nebylo možné si změnu pokynu dopředu vyžádat. </w:t>
      </w:r>
      <w:r w:rsidRPr="00494962">
        <w:rPr>
          <w:rFonts w:eastAsia="Arial Unicode MS" w:cs="Arial Unicode MS"/>
        </w:rPr>
        <w:t>Pokud by tak neučinil, nesl by následky jednání v rozporu s péčí řádného hospodáře.</w:t>
      </w:r>
      <w:r w:rsidRPr="00494962">
        <w:rPr>
          <w:vertAlign w:val="superscript"/>
        </w:rPr>
        <w:footnoteReference w:id="111"/>
      </w:r>
    </w:p>
    <w:p w:rsidR="00F73F6E" w:rsidRPr="00494962" w:rsidRDefault="00F73F6E" w:rsidP="00F73F6E">
      <w:pPr>
        <w:pStyle w:val="Nadpis2"/>
      </w:pPr>
      <w:bookmarkStart w:id="25" w:name="_Toc415065691"/>
      <w:r w:rsidRPr="00494962">
        <w:t>3.4 Dílčí teoretický závěr</w:t>
      </w:r>
      <w:bookmarkEnd w:id="25"/>
    </w:p>
    <w:p w:rsidR="00F73F6E" w:rsidRPr="00494962" w:rsidRDefault="00F73F6E" w:rsidP="00F73F6E">
      <w:r w:rsidRPr="00494962">
        <w:rPr>
          <w:rFonts w:eastAsia="Arial Unicode MS" w:cs="Arial Unicode MS"/>
        </w:rPr>
        <w:tab/>
        <w:t xml:space="preserve">V dané kapitole jsem se pokusila postihnout postavení jednatele jako SO v systému řízení s.r.o. s jeho problematickými aspekty. V současné právní úpravě je relativně nejasné vymezení pojmu kolektivní a individuální orgán, který jsem se snažila popsat. </w:t>
      </w:r>
    </w:p>
    <w:p w:rsidR="00F73F6E" w:rsidRPr="00494962" w:rsidRDefault="00F73F6E" w:rsidP="00F73F6E">
      <w:r w:rsidRPr="00494962">
        <w:rPr>
          <w:rFonts w:eastAsia="Arial Unicode MS" w:cs="Arial Unicode MS"/>
        </w:rPr>
        <w:lastRenderedPageBreak/>
        <w:tab/>
        <w:t>Jsem toho názoru, že možností žádat o udělení pokynu k obchodnímu vedení zákonodá</w:t>
      </w:r>
      <w:r w:rsidRPr="00494962">
        <w:rPr>
          <w:rFonts w:eastAsia="Arial Unicode MS" w:cs="Arial Unicode MS"/>
          <w:lang w:val="pt-PT"/>
        </w:rPr>
        <w:t>rce umo</w:t>
      </w:r>
      <w:r w:rsidRPr="00494962">
        <w:rPr>
          <w:rFonts w:eastAsia="Arial Unicode MS" w:cs="Arial Unicode MS"/>
        </w:rPr>
        <w:t xml:space="preserve">žnil omezení jednatelského oprávnění, neboť jak jsem výše naznačila, pojmy obchodního vedení a jednatelského oprávnění spolu nevyvratitelně </w:t>
      </w:r>
      <w:r w:rsidRPr="00494962">
        <w:rPr>
          <w:rFonts w:eastAsia="Arial Unicode MS" w:cs="Arial Unicode MS"/>
          <w:lang w:val="fr-FR"/>
        </w:rPr>
        <w:t>souvis</w:t>
      </w:r>
      <w:r w:rsidRPr="00494962">
        <w:rPr>
          <w:rFonts w:eastAsia="Arial Unicode MS" w:cs="Arial Unicode MS"/>
        </w:rPr>
        <w:t xml:space="preserve">í. </w:t>
      </w:r>
    </w:p>
    <w:p w:rsidR="00F73F6E" w:rsidRPr="00494962" w:rsidRDefault="00F73F6E" w:rsidP="00F73F6E">
      <w:r w:rsidRPr="00494962">
        <w:rPr>
          <w:rFonts w:eastAsia="Arial Unicode MS" w:cs="Arial Unicode MS"/>
        </w:rPr>
        <w:tab/>
        <w:t>Nikoli novinkou oproti úpravě ObchZ je povinnost jednatele jako SO jednat s péčí řádného hospodáře. Daná zá</w:t>
      </w:r>
      <w:r w:rsidRPr="00494962">
        <w:rPr>
          <w:rFonts w:eastAsia="Arial Unicode MS" w:cs="Arial Unicode MS"/>
          <w:lang w:val="de-DE"/>
        </w:rPr>
        <w:t>konn</w:t>
      </w:r>
      <w:r w:rsidRPr="00494962">
        <w:rPr>
          <w:rFonts w:eastAsia="Arial Unicode MS" w:cs="Arial Unicode MS"/>
        </w:rPr>
        <w:t xml:space="preserve">á ust. považuji za velice zdařilá, neboť na rozdíl od úpravy v ObchZ stanovují, co se myslí péčí řádného hospodáře a též </w:t>
      </w:r>
      <w:r w:rsidRPr="00494962">
        <w:rPr>
          <w:rFonts w:eastAsia="Arial Unicode MS" w:cs="Arial Unicode MS"/>
          <w:lang w:val="pt-PT"/>
        </w:rPr>
        <w:t>do z</w:t>
      </w:r>
      <w:r w:rsidRPr="00494962">
        <w:rPr>
          <w:rFonts w:eastAsia="Arial Unicode MS" w:cs="Arial Unicode MS"/>
        </w:rPr>
        <w:t xml:space="preserve">ákona zapracovávají pravidlo podnikatelského úsudku, které bylo doposud dovozováno pouze judikaturou a naukou. </w:t>
      </w:r>
    </w:p>
    <w:p w:rsidR="00F73F6E" w:rsidRPr="00494962" w:rsidRDefault="00F73F6E" w:rsidP="00F73F6E">
      <w:pPr>
        <w:rPr>
          <w:rFonts w:eastAsia="Arial Unicode MS" w:cs="Arial Unicode MS"/>
        </w:rPr>
      </w:pPr>
      <w:r w:rsidRPr="00494962">
        <w:rPr>
          <w:rFonts w:eastAsia="Arial Unicode MS" w:cs="Arial Unicode MS"/>
        </w:rPr>
        <w:tab/>
        <w:t xml:space="preserve">Jsem toho názoru, že právě povinnost péče řádného hospodáře veskrze ovládá funkci jednatele jako SO, a proto je nezbytné, aby si jednatelé byli vědomi, co tato povinnost obnáší. To dokazuje i relativně zdařile v ZOK zpracovaný osobní výkon funkce SO, na který povinnost péče řádného hospodáře taktéž dopadá. </w:t>
      </w:r>
    </w:p>
    <w:p w:rsidR="00F73F6E" w:rsidRPr="00494962" w:rsidRDefault="00F73F6E" w:rsidP="00F73F6E">
      <w:pPr>
        <w:pStyle w:val="Nadpis1"/>
      </w:pPr>
      <w:r w:rsidRPr="00494962">
        <w:rPr>
          <w:rFonts w:eastAsia="Arial Unicode MS"/>
        </w:rPr>
        <w:br w:type="page"/>
      </w:r>
      <w:bookmarkStart w:id="26" w:name="_Toc415065692"/>
      <w:r w:rsidRPr="00494962">
        <w:rPr>
          <w:rFonts w:eastAsia="Arial Unicode MS"/>
        </w:rPr>
        <w:lastRenderedPageBreak/>
        <w:t>4. Práva a povinnosti jednatele napříč právní úpravou</w:t>
      </w:r>
      <w:bookmarkEnd w:id="26"/>
      <w:r w:rsidRPr="00494962">
        <w:rPr>
          <w:rFonts w:eastAsia="Arial Unicode MS"/>
        </w:rPr>
        <w:t xml:space="preserve"> </w:t>
      </w:r>
    </w:p>
    <w:p w:rsidR="00F73F6E" w:rsidRPr="00494962" w:rsidRDefault="00F73F6E" w:rsidP="00F73F6E">
      <w:r w:rsidRPr="00494962">
        <w:rPr>
          <w:rFonts w:eastAsia="Arial Unicode MS" w:cs="Arial Unicode MS"/>
        </w:rPr>
        <w:tab/>
        <w:t>Jak již bylo zmíněno výše, jednatel představuje exekutivu, moc výkonnou v rámci řízení společnosti. Z toho důvodu zákon na jeho výkon funkce, jako na výkon funkce SO, klade nemalé nároky, které jsem se snažila zachytit výše. Jednatelé prakticky ovládají společnost a jsou povinni plnit určité povinnosti, na druhou stranu jim z výkonu jejich funkce plynou určitá práva.</w:t>
      </w:r>
      <w:r w:rsidRPr="00494962">
        <w:rPr>
          <w:vertAlign w:val="superscript"/>
        </w:rPr>
        <w:footnoteReference w:id="112"/>
      </w:r>
      <w:r w:rsidRPr="00494962">
        <w:rPr>
          <w:rFonts w:eastAsia="Arial Unicode MS" w:cs="Arial Unicode MS"/>
        </w:rPr>
        <w:t xml:space="preserve"> V následující kapitole se budu snaž</w:t>
      </w:r>
      <w:r w:rsidRPr="00494962">
        <w:rPr>
          <w:rFonts w:eastAsia="Arial Unicode MS" w:cs="Arial Unicode MS"/>
          <w:lang w:val="fr-FR"/>
        </w:rPr>
        <w:t>it p</w:t>
      </w:r>
      <w:r w:rsidRPr="00494962">
        <w:rPr>
          <w:rFonts w:eastAsia="Arial Unicode MS" w:cs="Arial Unicode MS"/>
        </w:rPr>
        <w:t xml:space="preserve">řednést výčet práv a povinností jednatelů napříč ZOK. </w:t>
      </w:r>
    </w:p>
    <w:p w:rsidR="00F73F6E" w:rsidRPr="00494962" w:rsidRDefault="00F73F6E" w:rsidP="00F73F6E">
      <w:r w:rsidRPr="00494962">
        <w:rPr>
          <w:rFonts w:eastAsia="Arial Unicode MS" w:cs="Arial Unicode MS"/>
        </w:rPr>
        <w:tab/>
        <w:t>V současné době se práva a povinnosti mezi OK a jednatelem, jako členem jejího orgánu řídí přiměřeně ustanovení</w:t>
      </w:r>
      <w:r w:rsidRPr="00494962">
        <w:rPr>
          <w:rFonts w:eastAsia="Arial Unicode MS" w:cs="Arial Unicode MS"/>
          <w:lang w:val="pt-PT"/>
        </w:rPr>
        <w:t>mi o p</w:t>
      </w:r>
      <w:r w:rsidRPr="00494962">
        <w:rPr>
          <w:rFonts w:eastAsia="Arial Unicode MS" w:cs="Arial Unicode MS"/>
        </w:rPr>
        <w:t>říkazu, jehož úpravu nalezneme v OZ. Pokud však byla uzavřena smlouva o výkonu funkce a stanoví něco jiného, budou se práva a povinnosti řídit podle ní. To stejné, pokud ZOK stanoví odchylku od příkazní smlouvy.</w:t>
      </w:r>
      <w:r w:rsidRPr="00494962">
        <w:rPr>
          <w:vertAlign w:val="superscript"/>
        </w:rPr>
        <w:footnoteReference w:id="113"/>
      </w:r>
    </w:p>
    <w:p w:rsidR="00F73F6E" w:rsidRPr="00494962" w:rsidRDefault="00F73F6E" w:rsidP="00F73F6E">
      <w:r w:rsidRPr="00494962">
        <w:rPr>
          <w:rFonts w:eastAsia="Arial Unicode MS" w:cs="Arial Unicode MS"/>
        </w:rPr>
        <w:tab/>
        <w:t xml:space="preserve">Z tohoto důvodu nelze očekávat, že níže předestřu všechna práva a povinnosti, které by jednateli mohli náležet, jelikož je v rukou společnosti, zda sjedná smlouvu o výkonu funkce a jaká práva a povinnosti v ní jednateli uloží. </w:t>
      </w:r>
    </w:p>
    <w:p w:rsidR="00F73F6E" w:rsidRPr="00494962" w:rsidRDefault="00F73F6E" w:rsidP="00F73F6E">
      <w:r w:rsidRPr="00494962">
        <w:rPr>
          <w:rFonts w:eastAsia="Arial Unicode MS" w:cs="Arial Unicode MS"/>
        </w:rPr>
        <w:tab/>
        <w:t>Níž</w:t>
      </w:r>
      <w:r w:rsidRPr="00494962">
        <w:rPr>
          <w:rFonts w:eastAsia="Arial Unicode MS" w:cs="Arial Unicode MS"/>
          <w:lang w:val="fr-FR"/>
        </w:rPr>
        <w:t>e se budu sna</w:t>
      </w:r>
      <w:r w:rsidRPr="00494962">
        <w:rPr>
          <w:rFonts w:eastAsia="Arial Unicode MS" w:cs="Arial Unicode MS"/>
        </w:rPr>
        <w:t xml:space="preserve">žit zachytit zejména práva a povinnosti, které jednateli vyplývají z ZOK a to z důvodu korporátního zaměření práce. Proto se níže nebudu věnovat právům a povinnostem vyplývajícím jednateli z příkazní smlouvy. </w:t>
      </w:r>
    </w:p>
    <w:p w:rsidR="00F73F6E" w:rsidRPr="00494962" w:rsidRDefault="00F73F6E" w:rsidP="00F73F6E">
      <w:pPr>
        <w:pStyle w:val="Nadpis2"/>
      </w:pPr>
      <w:bookmarkStart w:id="27" w:name="_Toc415065693"/>
      <w:r w:rsidRPr="00494962">
        <w:t>4.1 Povinnosti jednatele</w:t>
      </w:r>
      <w:bookmarkEnd w:id="27"/>
      <w:r w:rsidRPr="00494962">
        <w:t xml:space="preserve"> </w:t>
      </w:r>
    </w:p>
    <w:p w:rsidR="00F73F6E" w:rsidRPr="00494962" w:rsidRDefault="00F73F6E" w:rsidP="00F73F6E">
      <w:pPr>
        <w:pStyle w:val="Nadpis3"/>
      </w:pPr>
      <w:bookmarkStart w:id="28" w:name="_Toc415065694"/>
      <w:r w:rsidRPr="00494962">
        <w:t>4.1.1 Povinnosti jednatele související s informačními povinnostmi</w:t>
      </w:r>
      <w:bookmarkEnd w:id="28"/>
    </w:p>
    <w:p w:rsidR="00F73F6E" w:rsidRPr="00494962" w:rsidRDefault="00F73F6E" w:rsidP="00F73F6E">
      <w:r w:rsidRPr="00494962">
        <w:rPr>
          <w:rFonts w:eastAsia="Arial Unicode MS" w:cs="Arial Unicode MS"/>
        </w:rPr>
        <w:tab/>
        <w:t>Jak už bylo naznačeno výše, jednatel vykonává ve s.r.o., podle mého názoru, nejdůležitější funkci. Je oprávněn řídit společnost a z toho důvodu z tohoto musí sklá</w:t>
      </w:r>
      <w:r w:rsidRPr="00494962">
        <w:rPr>
          <w:rFonts w:eastAsia="Arial Unicode MS" w:cs="Arial Unicode MS"/>
          <w:lang w:val="sv-SE"/>
        </w:rPr>
        <w:t xml:space="preserve">dat i </w:t>
      </w:r>
      <w:r w:rsidRPr="00494962">
        <w:rPr>
          <w:rFonts w:eastAsia="Arial Unicode MS" w:cs="Arial Unicode MS"/>
        </w:rPr>
        <w:t xml:space="preserve">účty. </w:t>
      </w:r>
    </w:p>
    <w:p w:rsidR="00F73F6E" w:rsidRPr="00494962" w:rsidRDefault="00F73F6E" w:rsidP="00F73F6E">
      <w:r w:rsidRPr="00494962">
        <w:rPr>
          <w:rFonts w:eastAsia="Arial Unicode MS" w:cs="Arial Unicode MS"/>
        </w:rPr>
        <w:tab/>
        <w:t>Společníci mají právo od jednatelů požadovat informace o společnosti, nahlížet do dokladů společnosti a kontrolovat údaje obsažené v předložených dokladech a další práva na informace určená společenskou smlouvou. Společníci mohou tato svá práva uplatňovat jak na VH, tak mimo ni.</w:t>
      </w:r>
      <w:r w:rsidRPr="00494962">
        <w:rPr>
          <w:vertAlign w:val="superscript"/>
        </w:rPr>
        <w:footnoteReference w:id="114"/>
      </w:r>
      <w:r w:rsidRPr="00494962">
        <w:rPr>
          <w:rFonts w:eastAsia="Arial Unicode MS" w:cs="Arial Unicode MS"/>
        </w:rPr>
        <w:t xml:space="preserve"> Pokud aplikuji na toto ust. gramatický výklad, musím dojít k tomu, že práva společníků na informace nemohou být společenskou smlouvou zúženy. Vždy tedy společníci budou mít právo na informace v rozsahu daném zákonem, navíc společenská </w:t>
      </w:r>
      <w:r w:rsidRPr="00494962">
        <w:rPr>
          <w:rFonts w:eastAsia="Arial Unicode MS" w:cs="Arial Unicode MS"/>
          <w:lang w:val="fr-FR"/>
        </w:rPr>
        <w:t>smlouva m</w:t>
      </w:r>
      <w:r w:rsidRPr="00494962">
        <w:rPr>
          <w:rFonts w:eastAsia="Arial Unicode MS" w:cs="Arial Unicode MS"/>
        </w:rPr>
        <w:t xml:space="preserve">ůže přinést rozšíření. </w:t>
      </w:r>
    </w:p>
    <w:p w:rsidR="00F73F6E" w:rsidRPr="00494962" w:rsidRDefault="00F73F6E" w:rsidP="00F73F6E">
      <w:r w:rsidRPr="00494962">
        <w:rPr>
          <w:rFonts w:eastAsia="Arial Unicode MS" w:cs="Arial Unicode MS"/>
        </w:rPr>
        <w:lastRenderedPageBreak/>
        <w:tab/>
        <w:t>Je mož</w:t>
      </w:r>
      <w:r w:rsidRPr="00494962">
        <w:rPr>
          <w:rFonts w:eastAsia="Arial Unicode MS" w:cs="Arial Unicode MS"/>
          <w:lang w:val="it-IT"/>
        </w:rPr>
        <w:t>no si v</w:t>
      </w:r>
      <w:r w:rsidRPr="00494962">
        <w:rPr>
          <w:rFonts w:eastAsia="Arial Unicode MS" w:cs="Arial Unicode MS"/>
        </w:rPr>
        <w:t>šimnout, že zá</w:t>
      </w:r>
      <w:r w:rsidRPr="00494962">
        <w:rPr>
          <w:rFonts w:eastAsia="Arial Unicode MS" w:cs="Arial Unicode MS"/>
          <w:lang w:val="de-DE"/>
        </w:rPr>
        <w:t>kon d</w:t>
      </w:r>
      <w:r w:rsidRPr="00494962">
        <w:rPr>
          <w:rFonts w:eastAsia="Arial Unicode MS" w:cs="Arial Unicode MS"/>
        </w:rPr>
        <w:t>ává společníkům opravdu široké pole působnosti požadovat od jednatelů informace. Toto je způsobeno tím, že v s.r.o. se předpokládá větší míra zapojení společníků do chodu společnosti, což je způsobeno jejím charakterem.</w:t>
      </w:r>
      <w:r w:rsidRPr="00494962">
        <w:rPr>
          <w:vertAlign w:val="superscript"/>
        </w:rPr>
        <w:footnoteReference w:id="115"/>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Jak sám zákon normuje, společníci mohou informace požadovat na VH ale i mimo ni. Samozřejmě nelze připustit, aby byl jednatel šikanován ze strany společníků a neustále obtěžován dotazy týkajícími se společnosti.</w:t>
      </w:r>
      <w:r w:rsidRPr="00494962">
        <w:rPr>
          <w:vertAlign w:val="superscript"/>
        </w:rPr>
        <w:footnoteReference w:id="116"/>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 xml:space="preserve">V odborné debatě je diskutováno téma, zda má společník právo na informace o obchodním tajemství. Zákon tuto problematiku nenormuje, a proto je potřeba hledat východisko v odborném vyjádření </w:t>
      </w:r>
      <w:r w:rsidRPr="00494962">
        <w:rPr>
          <w:rFonts w:eastAsia="Arial Unicode MS" w:cs="Arial Unicode MS"/>
          <w:lang w:val="es-ES_tradnl"/>
        </w:rPr>
        <w:t>a judikatu</w:t>
      </w:r>
      <w:r w:rsidRPr="00494962">
        <w:rPr>
          <w:rFonts w:eastAsia="Arial Unicode MS" w:cs="Arial Unicode MS"/>
        </w:rPr>
        <w:t xml:space="preserve">ře. </w:t>
      </w:r>
    </w:p>
    <w:p w:rsidR="00F73F6E" w:rsidRPr="00494962" w:rsidRDefault="00F73F6E" w:rsidP="00F73F6E">
      <w:pPr>
        <w:rPr>
          <w:lang w:val="de-DE"/>
        </w:rPr>
      </w:pPr>
      <w:r w:rsidRPr="00494962">
        <w:rPr>
          <w:rFonts w:eastAsia="Arial Unicode MS" w:cs="Arial Unicode MS"/>
        </w:rPr>
        <w:tab/>
        <w:t>Z nauky vyplývá, že pokud jeden společník má právo na informaci ohledně obchodního tajemství, mají toto právo vš</w:t>
      </w:r>
      <w:r w:rsidRPr="00494962">
        <w:rPr>
          <w:rFonts w:eastAsia="Arial Unicode MS" w:cs="Arial Unicode MS"/>
          <w:lang w:val="de-DE"/>
        </w:rPr>
        <w:t xml:space="preserve">ichni. Půjde zejména o situaci, kdy společník vykonává funkci jednatele. Pokud se však žádný společník k informaci o obchodním tajemství společnosti nedostane, komentářová literatura dovozuje, že žádný ze společníků nemá právo po jednateli požadovat informace tohoto charakteru. To dovozuje od systému majetku společnosti, který není zároveň majetkem společníků, i když společníci jsou vlastníky společnosti. </w:t>
      </w:r>
      <w:r w:rsidRPr="00494962">
        <w:rPr>
          <w:vertAlign w:val="superscript"/>
        </w:rPr>
        <w:footnoteReference w:id="117"/>
      </w:r>
    </w:p>
    <w:p w:rsidR="00F73F6E" w:rsidRPr="00494962" w:rsidRDefault="00F73F6E" w:rsidP="00F73F6E">
      <w:r w:rsidRPr="00494962">
        <w:rPr>
          <w:rFonts w:eastAsia="Arial Unicode MS" w:cs="Arial Unicode MS"/>
          <w:lang w:val="de-DE"/>
        </w:rPr>
        <w:tab/>
      </w:r>
      <w:r w:rsidRPr="00494962">
        <w:rPr>
          <w:rFonts w:eastAsia="Arial Unicode MS" w:cs="Arial Unicode MS"/>
        </w:rPr>
        <w:t>S tímto závěrem se ztotožňuji. Pokud se společníci rozhodnou, že jako jednatele povolají jednoho ze své řady, zamýšlejí tím bezesporu užší propojení mezi nejvyšším orgánem a vý</w:t>
      </w:r>
      <w:r w:rsidRPr="00494962">
        <w:rPr>
          <w:rFonts w:eastAsia="Arial Unicode MS" w:cs="Arial Unicode MS"/>
          <w:lang w:val="de-DE"/>
        </w:rPr>
        <w:t>konn</w:t>
      </w:r>
      <w:r w:rsidRPr="00494962">
        <w:rPr>
          <w:rFonts w:eastAsia="Arial Unicode MS" w:cs="Arial Unicode MS"/>
        </w:rPr>
        <w:t>ým orgánem, tedy jednatelem. Pokud však povolají někoho z venčí</w:t>
      </w:r>
      <w:r w:rsidRPr="00494962">
        <w:rPr>
          <w:rFonts w:eastAsia="Arial Unicode MS" w:cs="Arial Unicode MS"/>
          <w:lang w:val="de-DE"/>
        </w:rPr>
        <w:t>, cht</w:t>
      </w:r>
      <w:r w:rsidRPr="00494962">
        <w:rPr>
          <w:rFonts w:eastAsia="Arial Unicode MS" w:cs="Arial Unicode MS"/>
        </w:rPr>
        <w:t xml:space="preserve">ějí, podle mého názoru, zachovat určitou oddělenost, což může symbolizovat informaci o obchodním tajemství. </w:t>
      </w:r>
    </w:p>
    <w:p w:rsidR="00F73F6E" w:rsidRPr="00494962" w:rsidRDefault="00F73F6E" w:rsidP="00F73F6E">
      <w:r w:rsidRPr="00494962">
        <w:rPr>
          <w:rFonts w:eastAsia="Arial Unicode MS" w:cs="Arial Unicode MS"/>
        </w:rPr>
        <w:tab/>
        <w:t>Naproti tomu soudní praxe k tomuto zaujala mnohem otevřenější přístup, kdy dovodila, že právo na informace se vztahuje i na skutečnosti tvořící obchodní tajemství. Toto dovodila z osobních vazeb společníka ke společnosti.</w:t>
      </w:r>
      <w:r w:rsidRPr="00494962">
        <w:rPr>
          <w:vertAlign w:val="superscript"/>
        </w:rPr>
        <w:footnoteReference w:id="118"/>
      </w:r>
    </w:p>
    <w:p w:rsidR="00F73F6E" w:rsidRPr="00494962" w:rsidRDefault="00F73F6E" w:rsidP="00F73F6E">
      <w:r w:rsidRPr="00494962">
        <w:rPr>
          <w:rFonts w:eastAsia="Arial Unicode MS" w:cs="Arial Unicode MS"/>
        </w:rPr>
        <w:tab/>
        <w:t>Považuji též za nutné upozornit na judikaturou dovozenou skutečnost, že jednatel má povinnost informace poskytnout tak, jak mu ukládá zákon. Tuto jeho povinnost nelze ztotožnit s vydáním daných dokladů. Společník by si tudíž musel kopie poří</w:t>
      </w:r>
      <w:r w:rsidRPr="00494962">
        <w:rPr>
          <w:rFonts w:eastAsia="Arial Unicode MS" w:cs="Arial Unicode MS"/>
          <w:lang w:val="nl-NL"/>
        </w:rPr>
        <w:t>dit v</w:t>
      </w:r>
      <w:r w:rsidRPr="00494962">
        <w:rPr>
          <w:rFonts w:eastAsia="Arial Unicode MS" w:cs="Arial Unicode MS"/>
        </w:rPr>
        <w:t> místě, kde mu jednatel nahlížení umožnil.</w:t>
      </w:r>
      <w:r w:rsidRPr="00494962">
        <w:rPr>
          <w:vertAlign w:val="superscript"/>
        </w:rPr>
        <w:footnoteReference w:id="119"/>
      </w:r>
    </w:p>
    <w:p w:rsidR="00F73F6E" w:rsidRPr="00494962" w:rsidRDefault="00F73F6E" w:rsidP="00F73F6E">
      <w:r w:rsidRPr="00494962">
        <w:rPr>
          <w:rFonts w:eastAsia="Arial Unicode MS" w:cs="Arial Unicode MS"/>
        </w:rPr>
        <w:tab/>
        <w:t xml:space="preserve">Obdobná povinnost jednatele je stanovena ust. § 196 ZOK v pasáži týkající se přímo jednatelů. Dle mého názoru jde o tutéž informační povinnost a tato úprava je tudíž nadbytečná. </w:t>
      </w:r>
    </w:p>
    <w:p w:rsidR="00F73F6E" w:rsidRPr="00494962" w:rsidRDefault="00F73F6E" w:rsidP="00F73F6E">
      <w:pPr>
        <w:pStyle w:val="Nadpis3"/>
      </w:pPr>
      <w:bookmarkStart w:id="29" w:name="_Toc415065695"/>
      <w:r w:rsidRPr="00494962">
        <w:lastRenderedPageBreak/>
        <w:t>4.1.2 Povinnosti jednatele související s valnou hromadou</w:t>
      </w:r>
      <w:r w:rsidRPr="00494962">
        <w:rPr>
          <w:rFonts w:eastAsia="Garamond" w:cs="Garamond"/>
          <w:vertAlign w:val="superscript"/>
        </w:rPr>
        <w:footnoteReference w:id="120"/>
      </w:r>
      <w:bookmarkEnd w:id="29"/>
      <w:r w:rsidRPr="00494962">
        <w:t xml:space="preserve"> </w:t>
      </w:r>
    </w:p>
    <w:p w:rsidR="00F73F6E" w:rsidRPr="00494962" w:rsidRDefault="00F73F6E" w:rsidP="00F73F6E">
      <w:r w:rsidRPr="00494962">
        <w:rPr>
          <w:rFonts w:eastAsia="Arial Unicode MS" w:cs="Arial Unicode MS"/>
        </w:rPr>
        <w:tab/>
        <w:t>Zákon jednateli svěřuje povinnost svolat VH a to alespoň jednou za účetní období</w:t>
      </w:r>
      <w:r w:rsidRPr="00494962">
        <w:rPr>
          <w:rFonts w:eastAsia="Arial Unicode MS" w:cs="Arial Unicode MS"/>
          <w:lang w:val="sv-SE"/>
        </w:rPr>
        <w:t>, leda</w:t>
      </w:r>
      <w:r w:rsidRPr="00494962">
        <w:rPr>
          <w:rFonts w:eastAsia="Arial Unicode MS" w:cs="Arial Unicode MS"/>
        </w:rPr>
        <w:t xml:space="preserve">že zákon nebo společenská </w:t>
      </w:r>
      <w:r w:rsidRPr="00494962">
        <w:rPr>
          <w:rFonts w:eastAsia="Arial Unicode MS" w:cs="Arial Unicode MS"/>
          <w:lang w:val="fr-FR"/>
        </w:rPr>
        <w:t>smlouva ur</w:t>
      </w:r>
      <w:r w:rsidRPr="00494962">
        <w:rPr>
          <w:rFonts w:eastAsia="Arial Unicode MS" w:cs="Arial Unicode MS"/>
        </w:rPr>
        <w:t xml:space="preserve">čí častější svolávání. Na tomto místě upozorňuji na problematiku jednatelů, jako kolektivního orgánu. V případě, že jednatelé tvoří kolektivní orgán, musí i o svolání VH rozhodnout v kolektivu (viz výše). Pokud ne, může VH svolat každý z více jednatelů. </w:t>
      </w:r>
    </w:p>
    <w:p w:rsidR="00F73F6E" w:rsidRPr="00494962" w:rsidRDefault="00F73F6E" w:rsidP="00F73F6E">
      <w:r w:rsidRPr="00494962">
        <w:rPr>
          <w:rFonts w:eastAsia="Arial Unicode MS" w:cs="Arial Unicode MS"/>
        </w:rPr>
        <w:tab/>
        <w:t xml:space="preserve">Zákon v ust. § 182 ZOK normuje také povinné svolání VH po zjištění, že společnosti hrozí úpadek, popř. pokud je ohrožen cíl sledovaný společností. V souvislost s tím má povinnost navrhnout VH zrušení společnosti nebo přijetí jiného vhodného opatření, pokud tedy jiný právní předpis nestanoví něco jiného. </w:t>
      </w:r>
    </w:p>
    <w:p w:rsidR="00F73F6E" w:rsidRPr="00494962" w:rsidRDefault="00F73F6E" w:rsidP="00F73F6E">
      <w:r w:rsidRPr="00494962">
        <w:rPr>
          <w:rFonts w:eastAsia="Arial Unicode MS" w:cs="Arial Unicode MS"/>
        </w:rPr>
        <w:tab/>
        <w:t>Jednatel by měl také vyhovět výzvě tzv. kvalifikovaného společníka</w:t>
      </w:r>
      <w:r w:rsidRPr="00494962">
        <w:rPr>
          <w:vertAlign w:val="superscript"/>
        </w:rPr>
        <w:footnoteReference w:id="121"/>
      </w:r>
      <w:r w:rsidRPr="00494962">
        <w:rPr>
          <w:rFonts w:eastAsia="Arial Unicode MS" w:cs="Arial Unicode MS"/>
        </w:rPr>
        <w:t xml:space="preserve"> na svolání VH. Tak by měl výzvě vyhovět a VH svolat (nezaměňovat s konáním) do jednoho měsíce od žádosti. Pokud tak neučiní, kvalifikovaný společník může VH svolat sám. Zákon pro jednatele nestanovuje žádný postih, pokud výzvě kvalifikovaného společníka nevyhoví. Domnívám se však, že by to mohlo dle povahy žádosti znamenat porušení jeho povinnosti péče řádného hospodáře. </w:t>
      </w:r>
    </w:p>
    <w:p w:rsidR="00F73F6E" w:rsidRPr="00494962" w:rsidRDefault="00F73F6E" w:rsidP="00F73F6E">
      <w:r w:rsidRPr="00494962">
        <w:rPr>
          <w:rFonts w:eastAsia="Arial Unicode MS" w:cs="Arial Unicode MS"/>
        </w:rPr>
        <w:tab/>
        <w:t xml:space="preserve">Jednatel též odpovídá za pozvánku na VH, kde musí být uvedeny záležitosti, které se na VH budou projednávat, vč. návrhu na usnesení VH. </w:t>
      </w:r>
    </w:p>
    <w:p w:rsidR="00F73F6E" w:rsidRPr="00494962" w:rsidRDefault="00F73F6E" w:rsidP="00F73F6E">
      <w:r w:rsidRPr="00494962">
        <w:rPr>
          <w:rFonts w:eastAsia="Arial Unicode MS" w:cs="Arial Unicode MS"/>
        </w:rPr>
        <w:tab/>
        <w:t xml:space="preserve">Jednatel se vždy účastní VH. Tato jeho povinnost reaguje na četnou judikaturu, která mu přikazuje být účasten jednání VH. </w:t>
      </w:r>
      <w:r w:rsidRPr="00494962">
        <w:rPr>
          <w:vertAlign w:val="superscript"/>
        </w:rPr>
        <w:footnoteReference w:id="122"/>
      </w:r>
    </w:p>
    <w:p w:rsidR="00F73F6E" w:rsidRPr="00494962" w:rsidRDefault="00F73F6E" w:rsidP="00F73F6E">
      <w:r w:rsidRPr="00494962">
        <w:rPr>
          <w:rFonts w:eastAsia="Arial Unicode MS" w:cs="Arial Unicode MS"/>
        </w:rPr>
        <w:tab/>
        <w:t>Samotná důležitost přítomnosti jednatele jako svolavatele na VH vyplývá i z toho, že dokud VH nezvolí svého předsedu, řídí VH jednatel jako svolavatel. Pokud předseda zvolen není, řídí VH po celou dobu. VH by měla také zvolit zapisovatele, pokud tak neučiní, je to opět povinností jednatele jako svolavatele. Jednatel jako svolavatel poté zapíše přítomné společníky do listiny přítomných. Z VH je vyhotoven zápis. Pokud předseda VH nebyl zvolen, podepisuje jej jednatel jako svolavatel a zapisovatel.</w:t>
      </w:r>
    </w:p>
    <w:p w:rsidR="00F73F6E" w:rsidRPr="00494962" w:rsidRDefault="00F73F6E" w:rsidP="00F73F6E">
      <w:pPr>
        <w:pStyle w:val="Nadpis3"/>
      </w:pPr>
      <w:bookmarkStart w:id="30" w:name="_Toc415065696"/>
      <w:r w:rsidRPr="00494962">
        <w:t>4.1.3 Ostatní povinnosti jednatelů</w:t>
      </w:r>
      <w:bookmarkEnd w:id="30"/>
    </w:p>
    <w:p w:rsidR="00F73F6E" w:rsidRPr="00494962" w:rsidRDefault="00F73F6E" w:rsidP="00F73F6E">
      <w:r w:rsidRPr="00494962">
        <w:rPr>
          <w:rFonts w:eastAsia="Arial Unicode MS" w:cs="Arial Unicode MS"/>
        </w:rPr>
        <w:tab/>
        <w:t xml:space="preserve">Krom povinností jednatelů </w:t>
      </w:r>
      <w:r w:rsidRPr="00494962">
        <w:rPr>
          <w:rFonts w:eastAsia="Arial Unicode MS" w:cs="Arial Unicode MS"/>
          <w:lang w:val="fr-FR"/>
        </w:rPr>
        <w:t>souvisej</w:t>
      </w:r>
      <w:r w:rsidRPr="00494962">
        <w:rPr>
          <w:rFonts w:eastAsia="Arial Unicode MS" w:cs="Arial Unicode MS"/>
        </w:rPr>
        <w:t>ících s </w:t>
      </w:r>
      <w:r w:rsidRPr="00494962">
        <w:rPr>
          <w:rFonts w:eastAsia="Arial Unicode MS" w:cs="Arial Unicode MS"/>
          <w:lang w:val="pt-PT"/>
        </w:rPr>
        <w:t>VH a informa</w:t>
      </w:r>
      <w:r w:rsidRPr="00494962">
        <w:rPr>
          <w:rFonts w:eastAsia="Arial Unicode MS" w:cs="Arial Unicode MS"/>
        </w:rPr>
        <w:t xml:space="preserve">čními povinnostmi mají jednatelé </w:t>
      </w:r>
      <w:r w:rsidRPr="00494962">
        <w:rPr>
          <w:rFonts w:eastAsia="Arial Unicode MS" w:cs="Arial Unicode MS"/>
          <w:lang w:val="it-IT"/>
        </w:rPr>
        <w:t>i dal</w:t>
      </w:r>
      <w:r w:rsidRPr="00494962">
        <w:rPr>
          <w:rFonts w:eastAsia="Arial Unicode MS" w:cs="Arial Unicode MS"/>
        </w:rPr>
        <w:t xml:space="preserve">ší povinnosti. Jejichž výčet se zde pokusím zmínit. </w:t>
      </w:r>
    </w:p>
    <w:p w:rsidR="00F73F6E" w:rsidRPr="00494962" w:rsidRDefault="00F73F6E" w:rsidP="00F73F6E">
      <w:r w:rsidRPr="00494962">
        <w:rPr>
          <w:rFonts w:eastAsia="Arial Unicode MS" w:cs="Arial Unicode MS"/>
        </w:rPr>
        <w:lastRenderedPageBreak/>
        <w:tab/>
        <w:t xml:space="preserve">Dle ust. § 143 ZOK nepeněžitý </w:t>
      </w:r>
      <w:r w:rsidRPr="00494962">
        <w:rPr>
          <w:rFonts w:eastAsia="Arial Unicode MS" w:cs="Arial Unicode MS"/>
          <w:lang w:val="sv-SE"/>
        </w:rPr>
        <w:t>vklad ocen</w:t>
      </w:r>
      <w:r w:rsidRPr="00494962">
        <w:rPr>
          <w:rFonts w:eastAsia="Arial Unicode MS" w:cs="Arial Unicode MS"/>
        </w:rPr>
        <w:t xml:space="preserve">í znalec, přičemž pokud se bude jednat o nepeněžitý vklad vložený do společnosti nikoli při zakládání společnosti, vybere znalce jednatel. </w:t>
      </w:r>
    </w:p>
    <w:p w:rsidR="00F73F6E" w:rsidRPr="00494962" w:rsidRDefault="00F73F6E" w:rsidP="00F73F6E">
      <w:r w:rsidRPr="00494962">
        <w:rPr>
          <w:rFonts w:eastAsia="Arial Unicode MS" w:cs="Arial Unicode MS"/>
        </w:rPr>
        <w:tab/>
        <w:t xml:space="preserve">Dle ust. § 147 ZOK může být společenská smlouva, pokud tak sama stanoví, měněna i rozhodnutím VH. Pokud z jejího rozhodnutí neplyne, jakým způsobem se společenská </w:t>
      </w:r>
      <w:r w:rsidRPr="00494962">
        <w:rPr>
          <w:rFonts w:eastAsia="Arial Unicode MS" w:cs="Arial Unicode MS"/>
          <w:lang w:val="fr-FR"/>
        </w:rPr>
        <w:t>smlouva m</w:t>
      </w:r>
      <w:r w:rsidRPr="00494962">
        <w:rPr>
          <w:rFonts w:eastAsia="Arial Unicode MS" w:cs="Arial Unicode MS"/>
        </w:rPr>
        <w:t xml:space="preserve">ění, změní její obsah právě jednatel a to v souladu s rozhodnutím VH. O tomto musí být pořízena veřejná listina. Povinnost jednatele týkající se společenské smlouvy stanoví i ust. § 197 ZOK, kdy jednatel musí bez zbytečného odkladu, jakmile se dozví, že došlo ke změně společenské smlouvy, vyhotovit úplné znění společenské smlouvy a uložit je do sbírky listin obchodního rejstříku. </w:t>
      </w:r>
    </w:p>
    <w:p w:rsidR="00F73F6E" w:rsidRPr="00494962" w:rsidRDefault="00F73F6E" w:rsidP="00F73F6E">
      <w:r w:rsidRPr="00494962">
        <w:rPr>
          <w:rFonts w:eastAsia="Arial Unicode MS" w:cs="Arial Unicode MS"/>
        </w:rPr>
        <w:tab/>
        <w:t xml:space="preserve">Ustanovení § 149 ZOK stanoví, že s.r.o. může nabýt svůj podíl. V případě, že s.r.o. nabude všechny své podíly, převede je nebo některý z nich jednatel do 3 měsíců od nabytí posledního z nich na třetí osobu. V případě, že by tuto svou povinnost zanedbal, soud i bez návrhu společnost zruší. </w:t>
      </w:r>
    </w:p>
    <w:p w:rsidR="00F73F6E" w:rsidRPr="00494962" w:rsidRDefault="00F73F6E" w:rsidP="00F73F6E">
      <w:r w:rsidRPr="00494962">
        <w:rPr>
          <w:rFonts w:eastAsia="Arial Unicode MS" w:cs="Arial Unicode MS"/>
        </w:rPr>
        <w:tab/>
        <w:t xml:space="preserve">V případě, že je společník vyloučen ze společnosti v souvislosti s tím, že nesplnil svou vkladovou povinnost, tak dle ust. § 151 ZOK a násl. vyzve jej společnost (dle mého názoru právě jednatel), aby odevzdal bez zbytečného odkladu kmenový list, pokud byl vydán. V případě, že tak neučiní, jednatel vyzve společníka způsobem pro svolání VH, aby tak učinil v přiměřené lhůtě, kterou určí a upozorní, že jinak budou nepředložené nebo nevrácené kmenové listy prohlášeny za neplatné. </w:t>
      </w:r>
    </w:p>
    <w:p w:rsidR="00F73F6E" w:rsidRPr="00494962" w:rsidRDefault="00F73F6E" w:rsidP="00F73F6E">
      <w:r w:rsidRPr="00494962">
        <w:rPr>
          <w:rFonts w:eastAsia="Arial Unicode MS" w:cs="Arial Unicode MS"/>
        </w:rPr>
        <w:tab/>
        <w:t xml:space="preserve">Dle ust. § 163 ZOK společník může se souhlasem jednatele poskytnout společnosti dobrovolný příplatek, i pokud tak nestanoví společenská </w:t>
      </w:r>
      <w:r w:rsidRPr="00494962">
        <w:rPr>
          <w:rFonts w:eastAsia="Arial Unicode MS" w:cs="Arial Unicode MS"/>
          <w:lang w:val="fr-FR"/>
        </w:rPr>
        <w:t>smlouva.</w:t>
      </w:r>
    </w:p>
    <w:p w:rsidR="00F73F6E" w:rsidRPr="00494962" w:rsidRDefault="00F73F6E" w:rsidP="00F73F6E">
      <w:r w:rsidRPr="00494962">
        <w:rPr>
          <w:rFonts w:eastAsia="Arial Unicode MS" w:cs="Arial Unicode MS"/>
        </w:rPr>
        <w:tab/>
        <w:t xml:space="preserve">Dle ust. § 196 ZOK jednatel mimo informační povinnosti zajišťuje řádné vedení předepsané evidence a účetnictví, vedení seznamu společníků. Z pojmu zajišťuje dovozuji, že tímto může pověřit jinou osobu. </w:t>
      </w:r>
    </w:p>
    <w:p w:rsidR="00F73F6E" w:rsidRPr="00494962" w:rsidRDefault="00F73F6E" w:rsidP="00F73F6E">
      <w:r w:rsidRPr="00494962">
        <w:rPr>
          <w:rFonts w:eastAsia="Arial Unicode MS" w:cs="Arial Unicode MS"/>
        </w:rPr>
        <w:tab/>
        <w:t>Dle ust. § 200 ZOK společnost můž</w:t>
      </w:r>
      <w:r w:rsidRPr="00494962">
        <w:rPr>
          <w:rFonts w:eastAsia="Arial Unicode MS" w:cs="Arial Unicode MS"/>
          <w:lang w:val="nl-NL"/>
        </w:rPr>
        <w:t>e poskytnout finan</w:t>
      </w:r>
      <w:r w:rsidRPr="00494962">
        <w:rPr>
          <w:rFonts w:eastAsia="Arial Unicode MS" w:cs="Arial Unicode MS"/>
        </w:rPr>
        <w:t xml:space="preserve">ční asistenci mimo jiné též za podmínky, že jednatel vypracuje písemnou zprávu, ve které poskytnutí finanční asistence zdůvodní - rizika a výhody, podmínky jejího poskytnutí a zdůvodní, proč její poskytnutí není v konfliktu se zájmy společnosti. </w:t>
      </w:r>
    </w:p>
    <w:p w:rsidR="00F73F6E" w:rsidRPr="00494962" w:rsidRDefault="00F73F6E" w:rsidP="00F73F6E">
      <w:r w:rsidRPr="00494962">
        <w:rPr>
          <w:rFonts w:eastAsia="Arial Unicode MS" w:cs="Arial Unicode MS"/>
        </w:rPr>
        <w:tab/>
        <w:t>Dle ust. § 218 ZOK je jednatel povinen zveřejnit rozhodnutí soudu o zamítnutí a odmítnutí návrhu na zápis zvýšení ZK do obchodního rejstříku, rozhodnutí soudu o vyslovení neplatnosti usnesení VH. V případě, že společnost vydala nové nebo vymě</w:t>
      </w:r>
      <w:r w:rsidRPr="00494962">
        <w:rPr>
          <w:rFonts w:eastAsia="Arial Unicode MS" w:cs="Arial Unicode MS"/>
          <w:lang w:val="pt-PT"/>
        </w:rPr>
        <w:t>nila dosavadn</w:t>
      </w:r>
      <w:r w:rsidRPr="00494962">
        <w:rPr>
          <w:rFonts w:eastAsia="Arial Unicode MS" w:cs="Arial Unicode MS"/>
        </w:rPr>
        <w:t xml:space="preserve">í kmenové listy a usnesení VH o zvýšení se zrušilo nebo soud vyslovil jeho neplatnost, jednatel vyzve bez zbytečného odkladu vlastníky těchto kmenových listů, aby je odevzdali. Vyměnila-li s.r.o. kmenové listy nebo na dosavadních vyznačila novou výši vkladu, tak právě jednatel vyznačí </w:t>
      </w:r>
      <w:r w:rsidRPr="00494962">
        <w:rPr>
          <w:rFonts w:eastAsia="Arial Unicode MS" w:cs="Arial Unicode MS"/>
        </w:rPr>
        <w:lastRenderedPageBreak/>
        <w:t xml:space="preserve">na odevzdaných kmenových listech původní výši vkladu nebo je vymění za kmenové listy s původní výší vkladu. </w:t>
      </w:r>
    </w:p>
    <w:p w:rsidR="00F73F6E" w:rsidRPr="00494962" w:rsidRDefault="00F73F6E" w:rsidP="00F73F6E">
      <w:r w:rsidRPr="00494962">
        <w:rPr>
          <w:rFonts w:eastAsia="Arial Unicode MS" w:cs="Arial Unicode MS"/>
        </w:rPr>
        <w:tab/>
        <w:t xml:space="preserve">Dle ust. § 236 ZOK jednatel zveřejní usnesení o snížení ZK do 15 dnů ode dne jeho přijetí dvakrát po sobě s časovým odstupem 30 dnů a zároveň vyzve věřitele, aby přihlásili své pohledávky. </w:t>
      </w:r>
    </w:p>
    <w:p w:rsidR="00F73F6E" w:rsidRPr="00494962" w:rsidRDefault="00F73F6E" w:rsidP="00F73F6E">
      <w:r w:rsidRPr="00494962">
        <w:rPr>
          <w:rFonts w:eastAsia="Arial Unicode MS" w:cs="Arial Unicode MS"/>
        </w:rPr>
        <w:tab/>
        <w:t xml:space="preserve">V souvislosti se zvýšením ZK nepeněžitými vklady jednatel dle ust. § 219 ZOK předloží VH písemnou zprávu, ve které </w:t>
      </w:r>
      <w:r w:rsidRPr="00494962">
        <w:rPr>
          <w:rFonts w:eastAsia="Arial Unicode MS" w:cs="Arial Unicode MS"/>
          <w:lang w:val="da-DK"/>
        </w:rPr>
        <w:t>uvede d</w:t>
      </w:r>
      <w:r w:rsidRPr="00494962">
        <w:rPr>
          <w:rFonts w:eastAsia="Arial Unicode MS" w:cs="Arial Unicode MS"/>
        </w:rPr>
        <w:t xml:space="preserve">ůvody pro zvýšení ZK nepeněžitými vklady a odůvodní částku, která </w:t>
      </w:r>
      <w:r w:rsidRPr="00494962">
        <w:rPr>
          <w:rFonts w:eastAsia="Arial Unicode MS" w:cs="Arial Unicode MS"/>
          <w:lang w:val="pt-PT"/>
        </w:rPr>
        <w:t>se na emisn</w:t>
      </w:r>
      <w:r w:rsidRPr="00494962">
        <w:rPr>
          <w:rFonts w:eastAsia="Arial Unicode MS" w:cs="Arial Unicode MS"/>
        </w:rPr>
        <w:t xml:space="preserve">í kursy započítává. Dle ust. § 226 ZOK jednatel vyzve vlastníky kmenových listů, aby je odevzdali, pokud na kmenových listech má být vyznačena nová výše vkladu nebo mají-li být vyměněny za nové. </w:t>
      </w:r>
    </w:p>
    <w:p w:rsidR="00F73F6E" w:rsidRPr="00494962" w:rsidRDefault="00F73F6E" w:rsidP="00F73F6E">
      <w:pPr>
        <w:pStyle w:val="Nadpis2"/>
      </w:pPr>
      <w:bookmarkStart w:id="31" w:name="_Toc415065697"/>
      <w:r w:rsidRPr="00494962">
        <w:t>4.2 Práva jednatele</w:t>
      </w:r>
      <w:bookmarkEnd w:id="31"/>
      <w:r w:rsidRPr="00494962">
        <w:t xml:space="preserve"> </w:t>
      </w:r>
    </w:p>
    <w:p w:rsidR="00F73F6E" w:rsidRPr="00494962" w:rsidRDefault="00F73F6E" w:rsidP="00F73F6E">
      <w:pPr>
        <w:pStyle w:val="Nadpis3"/>
      </w:pPr>
      <w:bookmarkStart w:id="32" w:name="_Toc415065698"/>
      <w:r w:rsidRPr="00494962">
        <w:t>4.2.1 Právo na odměnu</w:t>
      </w:r>
      <w:bookmarkEnd w:id="32"/>
      <w:r w:rsidRPr="00494962">
        <w:t xml:space="preserve"> </w:t>
      </w:r>
    </w:p>
    <w:p w:rsidR="00F73F6E" w:rsidRPr="00494962" w:rsidRDefault="00F73F6E" w:rsidP="00F73F6E">
      <w:r w:rsidRPr="00494962">
        <w:rPr>
          <w:rFonts w:eastAsia="Arial Unicode MS" w:cs="Arial Unicode MS"/>
        </w:rPr>
        <w:tab/>
        <w:t>Jak již bylo zmíněno výše, práva a povinnosti jednatele se řídí přiměřeně smlouvou o příkazu, pokud ze smlouvy o výkonu funkce, pokud byla uzavřena nebo z ZOK neplyne něco jiného. Mezi základní náležitosti smlouvy o výkonu funkce mimo jiné patří určení výše odměny nebo způsobu jejího výpočtu a její podoby.</w:t>
      </w:r>
      <w:r w:rsidRPr="00494962">
        <w:rPr>
          <w:vertAlign w:val="superscript"/>
        </w:rPr>
        <w:footnoteReference w:id="123"/>
      </w:r>
      <w:r w:rsidRPr="00494962">
        <w:rPr>
          <w:rFonts w:eastAsia="Arial Unicode MS" w:cs="Arial Unicode MS"/>
        </w:rPr>
        <w:t xml:space="preserve"> Pokud tedy bude opomenuto tuto náležitost do smlouvy o výkonu funkce zakomponovat, tak dojde k porušení zákona a to má </w:t>
      </w:r>
      <w:r w:rsidRPr="00494962">
        <w:rPr>
          <w:rFonts w:eastAsia="Arial Unicode MS" w:cs="Arial Unicode MS"/>
          <w:lang w:val="it-IT"/>
        </w:rPr>
        <w:t>za d</w:t>
      </w:r>
      <w:r w:rsidRPr="00494962">
        <w:rPr>
          <w:rFonts w:eastAsia="Arial Unicode MS" w:cs="Arial Unicode MS"/>
        </w:rPr>
        <w:t xml:space="preserve">ůsledek to, že výkon funkce je bezplatný. Výkon funkce je bezplatný vždy, pokud odměňování ve smlouvě o výkonu funkce není sjednáno v souladu se ZOK. </w:t>
      </w:r>
    </w:p>
    <w:p w:rsidR="00F73F6E" w:rsidRPr="00494962" w:rsidRDefault="00F73F6E" w:rsidP="00F73F6E">
      <w:r w:rsidRPr="00494962">
        <w:rPr>
          <w:rFonts w:eastAsia="Arial Unicode MS" w:cs="Arial Unicode MS"/>
        </w:rPr>
        <w:tab/>
        <w:t>Pokud však smlouva o výkonu funkce nebo v ní obsažené ujednání o odměně bude neplatné z důvodu na straně OK nebo nebude-li smlouva uzavřena z důvodu překážek na straně OK nebo ji VH neschválí bez zbytečného odkladu po vzniku funkce jednatele, tak jednateli náleží odměna a to obvyklá v době uzavření smlouvy. Pokud smlouva z výše zmíněného důvodu uzavřena nebyla, tak odměna obvyklá v době vzniku funkce jednatele.</w:t>
      </w:r>
      <w:r w:rsidRPr="00494962">
        <w:rPr>
          <w:vertAlign w:val="superscript"/>
        </w:rPr>
        <w:footnoteReference w:id="124"/>
      </w:r>
      <w:r w:rsidRPr="00494962">
        <w:rPr>
          <w:rFonts w:eastAsia="Arial Unicode MS" w:cs="Arial Unicode MS"/>
        </w:rPr>
        <w:t xml:space="preserve"> Je bezesporu, že toto ust. má představovat ochranu pro jednatele.</w:t>
      </w:r>
      <w:r w:rsidRPr="00494962">
        <w:rPr>
          <w:vertAlign w:val="superscript"/>
        </w:rPr>
        <w:footnoteReference w:id="125"/>
      </w:r>
    </w:p>
    <w:p w:rsidR="00F73F6E" w:rsidRPr="00494962" w:rsidRDefault="00F73F6E" w:rsidP="00F73F6E">
      <w:r w:rsidRPr="00494962">
        <w:rPr>
          <w:rFonts w:eastAsia="Arial Unicode MS" w:cs="Arial Unicode MS"/>
        </w:rPr>
        <w:tab/>
        <w:t>Samozřejmě může nastat i situace, kdy smlouva o výkonu funkce nebude uzavřena. V tom případě se aplikuje ust. o přiměřené</w:t>
      </w:r>
      <w:r w:rsidRPr="00494962">
        <w:rPr>
          <w:rFonts w:eastAsia="Arial Unicode MS" w:cs="Arial Unicode MS"/>
          <w:lang w:val="fr-FR"/>
        </w:rPr>
        <w:t>m pou</w:t>
      </w:r>
      <w:r w:rsidRPr="00494962">
        <w:rPr>
          <w:rFonts w:eastAsia="Arial Unicode MS" w:cs="Arial Unicode MS"/>
        </w:rPr>
        <w:t xml:space="preserve">žití příkazní smlouvy, tudíž dle ust. § 2438 OZ jednateli bude náležet též odměna obvyklá. </w:t>
      </w:r>
    </w:p>
    <w:p w:rsidR="00F73F6E" w:rsidRPr="00494962" w:rsidRDefault="00F73F6E" w:rsidP="00F73F6E">
      <w:r w:rsidRPr="00494962">
        <w:rPr>
          <w:rFonts w:eastAsia="Arial Unicode MS" w:cs="Arial Unicode MS"/>
        </w:rPr>
        <w:tab/>
        <w:t>Lze si tedy všimnout, že výkon funkce jednatele bude bezplatný opravdu jen výjimečně a to př</w:t>
      </w:r>
      <w:r w:rsidRPr="00494962">
        <w:rPr>
          <w:rFonts w:eastAsia="Arial Unicode MS" w:cs="Arial Unicode MS"/>
          <w:lang w:val="es-ES_tradnl"/>
        </w:rPr>
        <w:t>i poru</w:t>
      </w:r>
      <w:r w:rsidRPr="00494962">
        <w:rPr>
          <w:rFonts w:eastAsia="Arial Unicode MS" w:cs="Arial Unicode MS"/>
        </w:rPr>
        <w:t>šení zákona. To je nevyvratitelné a nelze to obejít. Jsem toho názoru, ž</w:t>
      </w:r>
      <w:r w:rsidRPr="00494962">
        <w:rPr>
          <w:rFonts w:eastAsia="Arial Unicode MS" w:cs="Arial Unicode MS"/>
          <w:lang w:val="it-IT"/>
        </w:rPr>
        <w:t xml:space="preserve">e tato </w:t>
      </w:r>
      <w:r w:rsidRPr="00494962">
        <w:rPr>
          <w:rFonts w:eastAsia="Arial Unicode MS" w:cs="Arial Unicode MS"/>
        </w:rPr>
        <w:t xml:space="preserve">úprava je </w:t>
      </w:r>
      <w:r w:rsidRPr="00494962">
        <w:rPr>
          <w:rFonts w:eastAsia="Arial Unicode MS" w:cs="Arial Unicode MS"/>
        </w:rPr>
        <w:lastRenderedPageBreak/>
        <w:t xml:space="preserve">velice zdařilá. Jednatelé mají bezesporu nepřeberné množství povinností, a pokud je poruší, tak jsou zpravidla povinni k náhradě újmy a dokonce v určitých případech jsou povinni k ručení. Je tedy nemyslitelné, aby takto odpovědnou funkci vykonávali bez náležité odměny. </w:t>
      </w:r>
    </w:p>
    <w:p w:rsidR="00F73F6E" w:rsidRPr="00494962" w:rsidRDefault="00F73F6E" w:rsidP="00F73F6E">
      <w:pPr>
        <w:pStyle w:val="Nadpis3"/>
      </w:pPr>
      <w:bookmarkStart w:id="33" w:name="_Toc415065699"/>
      <w:r w:rsidRPr="00494962">
        <w:t>4.2.2 Práva jednatele související s jeho informační povinností</w:t>
      </w:r>
      <w:bookmarkEnd w:id="33"/>
      <w:r w:rsidRPr="00494962">
        <w:t xml:space="preserve"> </w:t>
      </w:r>
    </w:p>
    <w:p w:rsidR="00F73F6E" w:rsidRPr="00494962" w:rsidRDefault="00F73F6E" w:rsidP="00F73F6E">
      <w:r w:rsidRPr="00494962">
        <w:rPr>
          <w:rFonts w:eastAsia="Arial Unicode MS" w:cs="Arial Unicode MS"/>
        </w:rPr>
        <w:tab/>
        <w:t>Jednatel, jak jsem zmínila v podkapitole týkající se jeho povinností, má relativně širokou povinnost poskytovat společníkům informace. Tato povinnost však není bez hranic.</w:t>
      </w:r>
    </w:p>
    <w:p w:rsidR="00F73F6E" w:rsidRPr="00494962" w:rsidRDefault="00F73F6E" w:rsidP="00F73F6E">
      <w:r w:rsidRPr="00494962">
        <w:rPr>
          <w:rFonts w:eastAsia="Arial Unicode MS" w:cs="Arial Unicode MS"/>
        </w:rPr>
        <w:tab/>
        <w:t>Zá</w:t>
      </w:r>
      <w:r w:rsidRPr="00494962">
        <w:rPr>
          <w:rFonts w:eastAsia="Arial Unicode MS" w:cs="Arial Unicode MS"/>
          <w:lang w:val="de-DE"/>
        </w:rPr>
        <w:t>kon d</w:t>
      </w:r>
      <w:r w:rsidRPr="00494962">
        <w:rPr>
          <w:rFonts w:eastAsia="Arial Unicode MS" w:cs="Arial Unicode MS"/>
        </w:rPr>
        <w:t xml:space="preserve">ává jednatelům možnost odmítnout poskytnutí </w:t>
      </w:r>
      <w:r w:rsidRPr="00494962">
        <w:rPr>
          <w:rFonts w:eastAsia="Arial Unicode MS" w:cs="Arial Unicode MS"/>
          <w:lang w:val="es-ES_tradnl"/>
        </w:rPr>
        <w:t>informac</w:t>
      </w:r>
      <w:r w:rsidRPr="00494962">
        <w:rPr>
          <w:rFonts w:eastAsia="Arial Unicode MS" w:cs="Arial Unicode MS"/>
        </w:rPr>
        <w:t>í. Jde o situaci, kdy se bude jednat o utajovanou informaci nebo bude požadovaná informace veřejně dostupná.</w:t>
      </w:r>
      <w:r w:rsidRPr="00494962">
        <w:rPr>
          <w:vertAlign w:val="superscript"/>
        </w:rPr>
        <w:footnoteReference w:id="126"/>
      </w:r>
      <w:r w:rsidRPr="00494962">
        <w:rPr>
          <w:rFonts w:eastAsia="Arial Unicode MS" w:cs="Arial Unicode MS"/>
        </w:rPr>
        <w:t xml:space="preserve"> Podle mého názoru druhá varianta právě z čá</w:t>
      </w:r>
      <w:r w:rsidRPr="00494962">
        <w:rPr>
          <w:rFonts w:eastAsia="Arial Unicode MS" w:cs="Arial Unicode MS"/>
          <w:lang w:val="fr-FR"/>
        </w:rPr>
        <w:t>sti souvis</w:t>
      </w:r>
      <w:r w:rsidRPr="00494962">
        <w:rPr>
          <w:rFonts w:eastAsia="Arial Unicode MS" w:cs="Arial Unicode MS"/>
        </w:rPr>
        <w:t xml:space="preserve">í se šikanózním uplatňování práva na informace ze strany společníků, kteří si veřejně dostupné </w:t>
      </w:r>
      <w:r w:rsidRPr="00494962">
        <w:rPr>
          <w:rFonts w:eastAsia="Arial Unicode MS" w:cs="Arial Unicode MS"/>
          <w:lang w:val="es-ES_tradnl"/>
        </w:rPr>
        <w:t>informace maj</w:t>
      </w:r>
      <w:r w:rsidRPr="00494962">
        <w:rPr>
          <w:rFonts w:eastAsia="Arial Unicode MS" w:cs="Arial Unicode MS"/>
        </w:rPr>
        <w:t>í dohledat sami a neobtěžovat tím jednatele.</w:t>
      </w:r>
    </w:p>
    <w:p w:rsidR="00F73F6E" w:rsidRPr="00494962" w:rsidRDefault="00F73F6E" w:rsidP="00F73F6E">
      <w:r w:rsidRPr="00494962">
        <w:rPr>
          <w:rFonts w:eastAsia="Arial Unicode MS" w:cs="Arial Unicode MS"/>
        </w:rPr>
        <w:tab/>
        <w:t>V případě, že společník není toho názoru, že jednatel není povinen poskytnout informaci, může se obrátit na soud. Jediným aktivně legitimovaným je právě společník. Musí se však na soud obrátit do jednoho měsíce od doby, kdy mu jednatel odmítnul informaci poskytnout. Toto řízení př</w:t>
      </w:r>
      <w:r w:rsidRPr="00494962">
        <w:rPr>
          <w:rFonts w:eastAsia="Arial Unicode MS" w:cs="Arial Unicode MS"/>
          <w:lang w:val="nl-NL"/>
        </w:rPr>
        <w:t>ed soudem m</w:t>
      </w:r>
      <w:r w:rsidRPr="00494962">
        <w:rPr>
          <w:rFonts w:eastAsia="Arial Unicode MS" w:cs="Arial Unicode MS"/>
        </w:rPr>
        <w:t>á potom důsledek v stavění promlčecí</w:t>
      </w:r>
      <w:r w:rsidRPr="00494962">
        <w:rPr>
          <w:rFonts w:eastAsia="Arial Unicode MS" w:cs="Arial Unicode MS"/>
          <w:lang w:val="pt-PT"/>
        </w:rPr>
        <w:t>ch lh</w:t>
      </w:r>
      <w:r w:rsidRPr="00494962">
        <w:rPr>
          <w:rFonts w:eastAsia="Arial Unicode MS" w:cs="Arial Unicode MS"/>
        </w:rPr>
        <w:t>ůt, neboť po dobu takového řízení neběží promlčecí lhůta pro uplatnění práv, která jsou na požadovaných vysvětleních závislá.</w:t>
      </w:r>
      <w:r w:rsidRPr="00494962">
        <w:rPr>
          <w:vertAlign w:val="superscript"/>
        </w:rPr>
        <w:footnoteReference w:id="127"/>
      </w:r>
    </w:p>
    <w:p w:rsidR="00F73F6E" w:rsidRPr="00494962" w:rsidRDefault="00F73F6E" w:rsidP="00F73F6E">
      <w:pPr>
        <w:pStyle w:val="Nadpis3"/>
      </w:pPr>
      <w:bookmarkStart w:id="34" w:name="_Toc415065700"/>
      <w:r w:rsidRPr="00494962">
        <w:t>4.2.3 Další práva jednatele</w:t>
      </w:r>
      <w:bookmarkEnd w:id="34"/>
      <w:r w:rsidRPr="00494962">
        <w:t xml:space="preserve"> </w:t>
      </w:r>
    </w:p>
    <w:p w:rsidR="00F73F6E" w:rsidRPr="00494962" w:rsidRDefault="00F73F6E" w:rsidP="00F73F6E">
      <w:r w:rsidRPr="00494962">
        <w:rPr>
          <w:rFonts w:eastAsia="Arial Unicode MS" w:cs="Arial Unicode MS"/>
        </w:rPr>
        <w:t xml:space="preserve">Je možné si všimnout, že výčet povinností jednateli naprosto neodpovídá výčtu jeho práv. Dle ust. § 163 ZOK společník může se souhlasem jednatele poskytnout společnosti dobrovolný příplatek, i pokud tak nestanoví společenská smlouva. Jednatel má tedy právo toto odmítnout. Je otázkou, z jakého důvodu by tak činil a zda by uplatnění tohoto práva nebylo v rozporu s povinností péče řádného hospodáře. </w:t>
      </w:r>
    </w:p>
    <w:p w:rsidR="00F73F6E" w:rsidRPr="00494962" w:rsidRDefault="00F73F6E" w:rsidP="00F73F6E">
      <w:r w:rsidRPr="00494962">
        <w:rPr>
          <w:rFonts w:eastAsia="Arial Unicode MS" w:cs="Arial Unicode MS"/>
        </w:rPr>
        <w:tab/>
        <w:t xml:space="preserve">Dle ust. § 191 ZOK se mimo jiné i jednatel může dovolat neplatnosti usnesení VH podle ustanovení OZ o neplatnosti usnesení členské </w:t>
      </w:r>
      <w:r w:rsidRPr="00494962">
        <w:rPr>
          <w:rFonts w:eastAsia="Arial Unicode MS" w:cs="Arial Unicode MS"/>
          <w:lang w:val="de-DE"/>
        </w:rPr>
        <w:t>sch</w:t>
      </w:r>
      <w:r w:rsidRPr="00494962">
        <w:rPr>
          <w:rFonts w:eastAsia="Arial Unicode MS" w:cs="Arial Unicode MS"/>
        </w:rPr>
        <w:t xml:space="preserve">ůze spolku pro rozpor s právními předpisy nebo společenskou smlouvou nebo pro rozpor s dobrými mravy. </w:t>
      </w:r>
    </w:p>
    <w:p w:rsidR="00F73F6E" w:rsidRPr="00494962" w:rsidRDefault="00F73F6E" w:rsidP="00F73F6E">
      <w:pPr>
        <w:pStyle w:val="Nadpis2"/>
      </w:pPr>
      <w:bookmarkStart w:id="35" w:name="_Toc415065701"/>
      <w:r w:rsidRPr="00494962">
        <w:t>4.3 Dílčí teoretický závěr</w:t>
      </w:r>
      <w:bookmarkEnd w:id="35"/>
    </w:p>
    <w:p w:rsidR="00F73F6E" w:rsidRPr="00494962" w:rsidRDefault="00F73F6E" w:rsidP="00F73F6E">
      <w:r w:rsidRPr="00494962">
        <w:rPr>
          <w:rFonts w:eastAsia="Arial Unicode MS" w:cs="Arial Unicode MS"/>
        </w:rPr>
        <w:tab/>
        <w:t xml:space="preserve">Je více než zřejmé, jak je funkce jednatele nabytá povinnostmi na druhou stranu jednatel nemůže uplatňovat odpovídající množství práv. </w:t>
      </w:r>
    </w:p>
    <w:p w:rsidR="00F73F6E" w:rsidRPr="00494962" w:rsidRDefault="00F73F6E" w:rsidP="00F73F6E">
      <w:r w:rsidRPr="00494962">
        <w:rPr>
          <w:rFonts w:eastAsia="Arial Unicode MS" w:cs="Arial Unicode MS"/>
        </w:rPr>
        <w:tab/>
        <w:t xml:space="preserve">Zásadní změnu oproti úpravě ObchZ považuji v oblasti odměňování, kdy bezúplatnost výkonu funkce musela být výslovně dohodnuta nebo se jednatel musel svého existujícího nároku </w:t>
      </w:r>
      <w:r w:rsidRPr="00494962">
        <w:rPr>
          <w:rFonts w:eastAsia="Arial Unicode MS" w:cs="Arial Unicode MS"/>
        </w:rPr>
        <w:lastRenderedPageBreak/>
        <w:t>vzdát.</w:t>
      </w:r>
      <w:r w:rsidRPr="00494962">
        <w:rPr>
          <w:vertAlign w:val="superscript"/>
        </w:rPr>
        <w:footnoteReference w:id="128"/>
      </w:r>
      <w:r w:rsidRPr="00494962">
        <w:rPr>
          <w:rFonts w:eastAsia="Arial Unicode MS" w:cs="Arial Unicode MS"/>
        </w:rPr>
        <w:t xml:space="preserve"> Na rozdíl od tohoto, pokud je za účinnosti OZ sjednaná smlouva o výkonu funkce a v rozporu se zákonem není uvedena náležitost ohledně odměny, platí, že výkon funkce je bezúplatný. Ačkoli se však může zdá</w:t>
      </w:r>
      <w:r w:rsidRPr="00494962">
        <w:rPr>
          <w:rFonts w:eastAsia="Arial Unicode MS" w:cs="Arial Unicode MS"/>
          <w:lang w:val="it-IT"/>
        </w:rPr>
        <w:t>t</w:t>
      </w:r>
      <w:r w:rsidR="00707ED9">
        <w:rPr>
          <w:rFonts w:eastAsia="Arial Unicode MS" w:cs="Arial Unicode MS"/>
          <w:lang w:val="it-IT"/>
        </w:rPr>
        <w:t>, že je</w:t>
      </w:r>
      <w:r w:rsidRPr="00494962">
        <w:rPr>
          <w:rFonts w:eastAsia="Arial Unicode MS" w:cs="Arial Unicode MS"/>
          <w:lang w:val="it-IT"/>
        </w:rPr>
        <w:t xml:space="preserve"> tato </w:t>
      </w:r>
      <w:r w:rsidRPr="00494962">
        <w:rPr>
          <w:rFonts w:eastAsia="Arial Unicode MS" w:cs="Arial Unicode MS"/>
        </w:rPr>
        <w:t xml:space="preserve">úprava přísná, domnívám se, že bezúplatných výkonů funkcí jednatele bude pramálo. </w:t>
      </w:r>
    </w:p>
    <w:p w:rsidR="00F73F6E" w:rsidRPr="00494962" w:rsidRDefault="00F73F6E" w:rsidP="00F73F6E">
      <w:pPr>
        <w:rPr>
          <w:rFonts w:eastAsia="Arial Unicode MS" w:cs="Arial Unicode MS"/>
        </w:rPr>
      </w:pPr>
      <w:r w:rsidRPr="00494962">
        <w:rPr>
          <w:rFonts w:eastAsia="Arial Unicode MS" w:cs="Arial Unicode MS"/>
        </w:rPr>
        <w:tab/>
        <w:t>Problém může nastat zejména u společností, které ve smlouvě o výkonu funkce neměly stanoveno odměňování jednatele za účinnosti ObchZ. Tyto společnosti v souvislosti s ust. § 777 ZOK musí přizpůsobit smlouvu o výkonu funkce ZOK do 6 měsíců od nabytí jeho účinnosti. Jinak platí, že výkon funkce je bezúplatný.</w:t>
      </w:r>
    </w:p>
    <w:p w:rsidR="00F73F6E" w:rsidRPr="00494962" w:rsidRDefault="00F73F6E" w:rsidP="00F73F6E">
      <w:pPr>
        <w:pStyle w:val="Nadpis1"/>
      </w:pPr>
      <w:r w:rsidRPr="00494962">
        <w:rPr>
          <w:rFonts w:eastAsia="Arial Unicode MS"/>
        </w:rPr>
        <w:br w:type="page"/>
      </w:r>
      <w:bookmarkStart w:id="36" w:name="_Toc415065702"/>
      <w:r w:rsidRPr="00494962">
        <w:rPr>
          <w:rFonts w:eastAsia="Arial Unicode MS"/>
        </w:rPr>
        <w:lastRenderedPageBreak/>
        <w:t>5. Stř</w:t>
      </w:r>
      <w:r w:rsidRPr="00494962">
        <w:rPr>
          <w:rFonts w:eastAsia="Arial Unicode MS"/>
          <w:lang w:val="nl-NL"/>
        </w:rPr>
        <w:t>et z</w:t>
      </w:r>
      <w:r w:rsidRPr="00494962">
        <w:rPr>
          <w:rFonts w:eastAsia="Arial Unicode MS"/>
        </w:rPr>
        <w:t>ájmů</w:t>
      </w:r>
      <w:bookmarkEnd w:id="36"/>
      <w:r w:rsidRPr="00494962">
        <w:rPr>
          <w:rFonts w:eastAsia="Arial Unicode MS"/>
        </w:rPr>
        <w:t xml:space="preserve"> </w:t>
      </w:r>
    </w:p>
    <w:p w:rsidR="00F73F6E" w:rsidRPr="00494962" w:rsidRDefault="00F73F6E" w:rsidP="00F73F6E">
      <w:r w:rsidRPr="00494962">
        <w:rPr>
          <w:rFonts w:eastAsia="Arial Unicode MS" w:cs="Arial Unicode MS"/>
        </w:rPr>
        <w:tab/>
        <w:t xml:space="preserve">Pravidla o střetu zájmů představují </w:t>
      </w:r>
      <w:r w:rsidRPr="00494962">
        <w:rPr>
          <w:rFonts w:eastAsia="Arial Unicode MS" w:cs="Arial Unicode MS"/>
          <w:lang w:val="nl-NL"/>
        </w:rPr>
        <w:t>jeden ze z</w:t>
      </w:r>
      <w:r w:rsidRPr="00494962">
        <w:rPr>
          <w:rFonts w:eastAsia="Arial Unicode MS" w:cs="Arial Unicode MS"/>
        </w:rPr>
        <w:t>ásadní</w:t>
      </w:r>
      <w:r w:rsidRPr="00494962">
        <w:rPr>
          <w:rFonts w:eastAsia="Arial Unicode MS" w:cs="Arial Unicode MS"/>
          <w:lang w:val="de-DE"/>
        </w:rPr>
        <w:t>ch institut</w:t>
      </w:r>
      <w:r w:rsidRPr="00494962">
        <w:rPr>
          <w:rFonts w:eastAsia="Arial Unicode MS" w:cs="Arial Unicode MS"/>
        </w:rPr>
        <w:t xml:space="preserve">ů pro SO. Souvisí zejména s informační povinností, kterou jednatelé jako SO musí dodržet. Za současného stavu </w:t>
      </w:r>
      <w:r w:rsidR="00707ED9">
        <w:rPr>
          <w:rFonts w:eastAsia="Arial Unicode MS" w:cs="Arial Unicode MS"/>
        </w:rPr>
        <w:t>lze nalézt</w:t>
      </w:r>
      <w:r w:rsidRPr="00494962">
        <w:rPr>
          <w:rFonts w:eastAsia="Arial Unicode MS" w:cs="Arial Unicode MS"/>
        </w:rPr>
        <w:t xml:space="preserve"> úpravu v ust. § 54 a násl. ZOK. Ačkoli komentářová literatura stř</w:t>
      </w:r>
      <w:r w:rsidRPr="00494962">
        <w:rPr>
          <w:rFonts w:eastAsia="Arial Unicode MS" w:cs="Arial Unicode MS"/>
          <w:lang w:val="nl-NL"/>
        </w:rPr>
        <w:t>et z</w:t>
      </w:r>
      <w:r w:rsidRPr="00494962">
        <w:rPr>
          <w:rFonts w:eastAsia="Arial Unicode MS" w:cs="Arial Unicode MS"/>
        </w:rPr>
        <w:t>ájmu výslovně nerozděluje, lze pravidla o střetu zájmů rozdělit do dvou skupin. Jde o hrozící stř</w:t>
      </w:r>
      <w:r w:rsidRPr="00494962">
        <w:rPr>
          <w:rFonts w:eastAsia="Arial Unicode MS" w:cs="Arial Unicode MS"/>
          <w:lang w:val="nl-NL"/>
        </w:rPr>
        <w:t>et z</w:t>
      </w:r>
      <w:r w:rsidRPr="00494962">
        <w:rPr>
          <w:rFonts w:eastAsia="Arial Unicode MS" w:cs="Arial Unicode MS"/>
        </w:rPr>
        <w:t>ájmů a stř</w:t>
      </w:r>
      <w:r w:rsidRPr="00494962">
        <w:rPr>
          <w:rFonts w:eastAsia="Arial Unicode MS" w:cs="Arial Unicode MS"/>
          <w:lang w:val="nl-NL"/>
        </w:rPr>
        <w:t>et z</w:t>
      </w:r>
      <w:r w:rsidRPr="00494962">
        <w:rPr>
          <w:rFonts w:eastAsia="Arial Unicode MS" w:cs="Arial Unicode MS"/>
        </w:rPr>
        <w:t>ájmů při uzavírání smluv nebo zajišťování či utvrzování dluhů.</w:t>
      </w:r>
      <w:r w:rsidRPr="00494962">
        <w:rPr>
          <w:vertAlign w:val="superscript"/>
        </w:rPr>
        <w:footnoteReference w:id="129"/>
      </w:r>
      <w:r w:rsidRPr="00494962">
        <w:rPr>
          <w:rFonts w:eastAsia="Arial Unicode MS" w:cs="Arial Unicode MS"/>
        </w:rPr>
        <w:t xml:space="preserve"> V této kapitole bych chtěla rozebrat oba tyto konflikty zájmů.</w:t>
      </w:r>
    </w:p>
    <w:p w:rsidR="00F73F6E" w:rsidRPr="00494962" w:rsidRDefault="00F73F6E" w:rsidP="00F73F6E">
      <w:pPr>
        <w:pStyle w:val="Nadpis2"/>
      </w:pPr>
      <w:bookmarkStart w:id="37" w:name="_Toc415065703"/>
      <w:r w:rsidRPr="00494962">
        <w:t>5.1 Hrozící stř</w:t>
      </w:r>
      <w:r w:rsidRPr="00494962">
        <w:rPr>
          <w:lang w:val="nl-NL"/>
        </w:rPr>
        <w:t>et z</w:t>
      </w:r>
      <w:r w:rsidRPr="00494962">
        <w:t xml:space="preserve">ájmů </w:t>
      </w:r>
      <w:r w:rsidRPr="00494962">
        <w:tab/>
        <w:t>při podnikatelských příležitostech</w:t>
      </w:r>
      <w:bookmarkEnd w:id="37"/>
      <w:r w:rsidRPr="00494962">
        <w:t xml:space="preserve"> </w:t>
      </w:r>
    </w:p>
    <w:p w:rsidR="00F73F6E" w:rsidRPr="00494962" w:rsidRDefault="00F73F6E" w:rsidP="00F73F6E">
      <w:r w:rsidRPr="00494962">
        <w:rPr>
          <w:rFonts w:eastAsia="Arial Unicode MS" w:cs="Arial Unicode MS"/>
        </w:rPr>
        <w:tab/>
        <w:t>Hrozící stř</w:t>
      </w:r>
      <w:r w:rsidRPr="00494962">
        <w:rPr>
          <w:rFonts w:eastAsia="Arial Unicode MS" w:cs="Arial Unicode MS"/>
          <w:lang w:val="nl-NL"/>
        </w:rPr>
        <w:t>et z</w:t>
      </w:r>
      <w:r w:rsidRPr="00494962">
        <w:rPr>
          <w:rFonts w:eastAsia="Arial Unicode MS" w:cs="Arial Unicode MS"/>
        </w:rPr>
        <w:t xml:space="preserve">ájmů je upraven v ust. § 54 ZOK. Dovolím si citovat první větu jeho prvního odstavce, abych poukázala na jistý nedostatek. </w:t>
      </w:r>
      <w:r w:rsidRPr="00494962">
        <w:rPr>
          <w:rFonts w:eastAsia="Arial Unicode MS" w:cs="Arial Unicode MS"/>
          <w:i/>
          <w:iCs/>
        </w:rPr>
        <w:t>„Dozví-li se člen orgánu obchodní korporace, že může při výkonu jeho funkce dojít ke střetu jeho zájmu se zájmem obchodní korporace, informuje o tom bez zbytečného odkladu ostatní členy orgánu, jehož je členem, a kontrolní orgán, byl-li zřízen, jinak nejvyšší orgán.“</w:t>
      </w:r>
      <w:r w:rsidRPr="00494962">
        <w:rPr>
          <w:vertAlign w:val="superscript"/>
        </w:rPr>
        <w:footnoteReference w:id="130"/>
      </w:r>
      <w:r w:rsidRPr="00494962">
        <w:rPr>
          <w:rFonts w:eastAsia="Arial Unicode MS" w:cs="Arial Unicode MS"/>
          <w:i/>
          <w:iCs/>
        </w:rPr>
        <w:t xml:space="preserve"> </w:t>
      </w:r>
      <w:r w:rsidRPr="00494962">
        <w:rPr>
          <w:rFonts w:eastAsia="Arial Unicode MS" w:cs="Arial Unicode MS"/>
        </w:rPr>
        <w:t>Ačkoli se úprava tváří jako obecná, kdy je stanoveno, že pokud se dozví člen orgánu OK, z dalšího znění je možné dovodit, že se toto vztahuje jen na SO. Toto ust. totiž stanovuje informační povinnost, a to k ostatním členům orgánů, jehož je osoba členem a kontrolnímu orgánu, byl-li zřízen, jinak nejvyššímu orgánu. Toto lze však vztáhnout pouze na SO. Pokud bych připustila, aby se to vztahovalo na kontrolní orgán, nedávalo by smysl, aby byl povinen hrozící střet ozná</w:t>
      </w:r>
      <w:r w:rsidRPr="00494962">
        <w:rPr>
          <w:rFonts w:eastAsia="Arial Unicode MS" w:cs="Arial Unicode MS"/>
          <w:lang w:val="de-DE"/>
        </w:rPr>
        <w:t>mit org</w:t>
      </w:r>
      <w:r w:rsidRPr="00494962">
        <w:rPr>
          <w:rFonts w:eastAsia="Arial Unicode MS" w:cs="Arial Unicode MS"/>
        </w:rPr>
        <w:t>ánu, jehož je členem a dále kontrolnímu orgánu. Stejně tak v případě nejvyššího orgánu.</w:t>
      </w:r>
      <w:r w:rsidRPr="00494962">
        <w:rPr>
          <w:vertAlign w:val="superscript"/>
        </w:rPr>
        <w:footnoteReference w:id="131"/>
      </w:r>
      <w:r w:rsidRPr="00494962">
        <w:rPr>
          <w:rFonts w:eastAsia="Arial Unicode MS" w:cs="Arial Unicode MS"/>
        </w:rPr>
        <w:t xml:space="preserve"> Př</w:t>
      </w:r>
      <w:r w:rsidRPr="00494962">
        <w:rPr>
          <w:rFonts w:eastAsia="Arial Unicode MS" w:cs="Arial Unicode MS"/>
          <w:lang w:val="it-IT"/>
        </w:rPr>
        <w:t>esto v</w:t>
      </w:r>
      <w:r w:rsidRPr="00494962">
        <w:rPr>
          <w:rFonts w:eastAsia="Arial Unicode MS" w:cs="Arial Unicode MS"/>
        </w:rPr>
        <w:t>š</w:t>
      </w:r>
      <w:r w:rsidRPr="00494962">
        <w:rPr>
          <w:rFonts w:eastAsia="Arial Unicode MS" w:cs="Arial Unicode MS"/>
          <w:lang w:val="nl-NL"/>
        </w:rPr>
        <w:t>ak koment</w:t>
      </w:r>
      <w:r w:rsidRPr="00494962">
        <w:rPr>
          <w:rFonts w:eastAsia="Arial Unicode MS" w:cs="Arial Unicode MS"/>
        </w:rPr>
        <w:t>ářová literatura dovozuje vztah i na ostatní orgány.</w:t>
      </w:r>
      <w:r w:rsidRPr="00494962">
        <w:rPr>
          <w:vertAlign w:val="superscript"/>
        </w:rPr>
        <w:footnoteReference w:id="132"/>
      </w:r>
    </w:p>
    <w:p w:rsidR="00F73F6E" w:rsidRPr="00494962" w:rsidRDefault="00F73F6E" w:rsidP="00F73F6E">
      <w:r w:rsidRPr="00494962">
        <w:rPr>
          <w:rFonts w:eastAsia="Arial Unicode MS" w:cs="Arial Unicode MS"/>
        </w:rPr>
        <w:tab/>
        <w:t>Jelikož je stř</w:t>
      </w:r>
      <w:r w:rsidRPr="00494962">
        <w:rPr>
          <w:rFonts w:eastAsia="Arial Unicode MS" w:cs="Arial Unicode MS"/>
          <w:lang w:val="nl-NL"/>
        </w:rPr>
        <w:t>et z</w:t>
      </w:r>
      <w:r w:rsidRPr="00494962">
        <w:rPr>
          <w:rFonts w:eastAsia="Arial Unicode MS" w:cs="Arial Unicode MS"/>
        </w:rPr>
        <w:t xml:space="preserve">ájmů při uzavírání smluv nebo zajišťování či utvrzování dluhů upraveno v ust. § 55 a násl. ZOK považuji za vhodné odlišit úpravu ust. § 54 ZOK. Zde se jedná </w:t>
      </w:r>
      <w:r w:rsidRPr="00494962">
        <w:rPr>
          <w:rFonts w:eastAsia="Arial Unicode MS" w:cs="Arial Unicode MS"/>
          <w:lang w:val="es-ES_tradnl"/>
        </w:rPr>
        <w:t>o potencion</w:t>
      </w:r>
      <w:r w:rsidRPr="00494962">
        <w:rPr>
          <w:rFonts w:eastAsia="Arial Unicode MS" w:cs="Arial Unicode MS"/>
        </w:rPr>
        <w:t>ální stř</w:t>
      </w:r>
      <w:r w:rsidRPr="00494962">
        <w:rPr>
          <w:rFonts w:eastAsia="Arial Unicode MS" w:cs="Arial Unicode MS"/>
          <w:lang w:val="nl-NL"/>
        </w:rPr>
        <w:t>et z</w:t>
      </w:r>
      <w:r w:rsidRPr="00494962">
        <w:rPr>
          <w:rFonts w:eastAsia="Arial Unicode MS" w:cs="Arial Unicode MS"/>
        </w:rPr>
        <w:t>ájmů v podnikatelských příležitostech, typicky tehdy, pokud SO  bude chtít koupit věc, jejíž koupě by byla i v zájmu OK.</w:t>
      </w:r>
      <w:r w:rsidRPr="00494962">
        <w:rPr>
          <w:vertAlign w:val="superscript"/>
        </w:rPr>
        <w:footnoteReference w:id="133"/>
      </w:r>
      <w:r w:rsidRPr="00494962">
        <w:rPr>
          <w:rFonts w:eastAsia="Arial Unicode MS" w:cs="Arial Unicode MS"/>
        </w:rPr>
        <w:t xml:space="preserve"> </w:t>
      </w:r>
    </w:p>
    <w:p w:rsidR="00F73F6E" w:rsidRPr="00494962" w:rsidRDefault="00F73F6E" w:rsidP="00F73F6E">
      <w:pPr>
        <w:rPr>
          <w:lang w:val="nl-NL"/>
        </w:rPr>
      </w:pPr>
      <w:r w:rsidRPr="00494962">
        <w:rPr>
          <w:rFonts w:eastAsia="Arial Unicode MS" w:cs="Arial Unicode MS"/>
          <w:lang w:val="nl-NL"/>
        </w:rPr>
        <w:tab/>
        <w:t xml:space="preserve">Ze zákona lze vyvodit, že mohou nastat celkem tři případy, kdy informační povinnost nastane. Možný střetu zájmů </w:t>
      </w:r>
      <w:r w:rsidRPr="00494962">
        <w:rPr>
          <w:rFonts w:eastAsia="Arial Unicode MS" w:cs="Arial Unicode MS"/>
          <w:lang w:val="pt-PT"/>
        </w:rPr>
        <w:t>SO a OK, d</w:t>
      </w:r>
      <w:r w:rsidRPr="00494962">
        <w:rPr>
          <w:rFonts w:eastAsia="Arial Unicode MS" w:cs="Arial Unicode MS"/>
          <w:lang w:val="nl-NL"/>
        </w:rPr>
        <w:t>ále možný střet zájmů osob jednateli blízkých</w:t>
      </w:r>
      <w:r w:rsidRPr="00494962">
        <w:rPr>
          <w:vertAlign w:val="superscript"/>
        </w:rPr>
        <w:footnoteReference w:id="134"/>
      </w:r>
      <w:r w:rsidRPr="00494962">
        <w:rPr>
          <w:rFonts w:eastAsia="Arial Unicode MS" w:cs="Arial Unicode MS"/>
          <w:lang w:val="nl-NL"/>
        </w:rPr>
        <w:t xml:space="preserve"> a OK a naposledy možný střet zájmů osob SO ovlivněných nebo ovládaných a OK. </w:t>
      </w:r>
    </w:p>
    <w:p w:rsidR="00F73F6E" w:rsidRPr="00494962" w:rsidRDefault="00F73F6E" w:rsidP="00F73F6E">
      <w:r w:rsidRPr="00494962">
        <w:rPr>
          <w:rFonts w:eastAsia="Arial Unicode MS" w:cs="Arial Unicode MS"/>
          <w:lang w:val="nl-NL"/>
        </w:rPr>
        <w:tab/>
        <w:t>Statutárnímu orgánu je tedy uložena povinnost, aby pokud se dozví, že může při výkonu jeho funkce dojít ke střetu jeho zájmů se zájmy OK, bezodkladně to ozná</w:t>
      </w:r>
      <w:r w:rsidRPr="00494962">
        <w:rPr>
          <w:rFonts w:eastAsia="Arial Unicode MS" w:cs="Arial Unicode MS"/>
          <w:lang w:val="de-DE"/>
        </w:rPr>
        <w:t>mit org</w:t>
      </w:r>
      <w:r w:rsidRPr="00494962">
        <w:rPr>
          <w:rFonts w:eastAsia="Arial Unicode MS" w:cs="Arial Unicode MS"/>
          <w:lang w:val="nl-NL"/>
        </w:rPr>
        <w:t xml:space="preserve">ánu, jehož je </w:t>
      </w:r>
      <w:r w:rsidRPr="00494962">
        <w:rPr>
          <w:rFonts w:eastAsia="Arial Unicode MS" w:cs="Arial Unicode MS"/>
          <w:lang w:val="nl-NL"/>
        </w:rPr>
        <w:lastRenderedPageBreak/>
        <w:t xml:space="preserve">členem a kontrolnímu orgánu, jinak nejvyššímu orgánu. Poukazuji na subjektivní prvek, kdy SO má tuto povinnost v okamžiku, kdy se o hrozícím střetu zájmu doví. </w:t>
      </w:r>
      <w:r w:rsidRPr="00494962">
        <w:rPr>
          <w:rFonts w:eastAsia="Arial Unicode MS" w:cs="Arial Unicode MS"/>
        </w:rPr>
        <w:t xml:space="preserve">Problematická situace nenastane, pokud se bude jednat o zájem samotného SO. </w:t>
      </w:r>
    </w:p>
    <w:p w:rsidR="00F73F6E" w:rsidRPr="00494962" w:rsidRDefault="00F73F6E" w:rsidP="00F73F6E">
      <w:r w:rsidRPr="00494962">
        <w:rPr>
          <w:rFonts w:eastAsia="Arial Unicode MS" w:cs="Arial Unicode MS"/>
        </w:rPr>
        <w:tab/>
        <w:t>Problém lze vidět v případě, že nastane možný stř</w:t>
      </w:r>
      <w:r w:rsidRPr="00494962">
        <w:rPr>
          <w:rFonts w:eastAsia="Arial Unicode MS" w:cs="Arial Unicode MS"/>
          <w:lang w:val="nl-NL"/>
        </w:rPr>
        <w:t>et z</w:t>
      </w:r>
      <w:r w:rsidRPr="00494962">
        <w:rPr>
          <w:rFonts w:eastAsia="Arial Unicode MS" w:cs="Arial Unicode MS"/>
        </w:rPr>
        <w:t xml:space="preserve">ájmů osob SO blízkých nebo jím ovlivněných či ovládaných. Musela jsem si položit otázku, zda SO má čekat, až mu někdo možný konflikt oznámí nebo má být naopak aktivní a sám zjišťovat možné střety zájmů. Myslím si, že zde opět bude hrát prim povinnost péče řádného hospodáře. Aby jí </w:t>
      </w:r>
      <w:r w:rsidRPr="00494962">
        <w:rPr>
          <w:rFonts w:eastAsia="Arial Unicode MS" w:cs="Arial Unicode MS"/>
          <w:lang w:val="pt-PT"/>
        </w:rPr>
        <w:t>dost</w:t>
      </w:r>
      <w:r w:rsidRPr="00494962">
        <w:rPr>
          <w:rFonts w:eastAsia="Arial Unicode MS" w:cs="Arial Unicode MS"/>
        </w:rPr>
        <w:t>ál, bude, podle mého názoru, muset být aktivní a sá</w:t>
      </w:r>
      <w:r w:rsidRPr="00494962">
        <w:rPr>
          <w:rFonts w:eastAsia="Arial Unicode MS" w:cs="Arial Unicode MS"/>
          <w:lang w:val="pt-PT"/>
        </w:rPr>
        <w:t>m se p</w:t>
      </w:r>
      <w:r w:rsidRPr="00494962">
        <w:rPr>
          <w:rFonts w:eastAsia="Arial Unicode MS" w:cs="Arial Unicode MS"/>
        </w:rPr>
        <w:t>ídit po tom, zda nenastala situace pro jeho informační povinnost v této oblasti. Stejného názoru je i komentářová literatura.</w:t>
      </w:r>
      <w:r w:rsidRPr="00494962">
        <w:rPr>
          <w:vertAlign w:val="superscript"/>
        </w:rPr>
        <w:footnoteReference w:id="135"/>
      </w:r>
    </w:p>
    <w:p w:rsidR="00F73F6E" w:rsidRPr="00494962" w:rsidRDefault="00F73F6E" w:rsidP="00F73F6E">
      <w:r w:rsidRPr="00494962">
        <w:rPr>
          <w:rFonts w:eastAsia="Arial Unicode MS" w:cs="Arial Unicode MS"/>
        </w:rPr>
        <w:tab/>
        <w:t>Považuji také za nutné zmínit, že toto ust. má preventivní charakter. Samotný stř</w:t>
      </w:r>
      <w:r w:rsidRPr="00494962">
        <w:rPr>
          <w:rFonts w:eastAsia="Arial Unicode MS" w:cs="Arial Unicode MS"/>
          <w:lang w:val="nl-NL"/>
        </w:rPr>
        <w:t>et z</w:t>
      </w:r>
      <w:r w:rsidRPr="00494962">
        <w:rPr>
          <w:rFonts w:eastAsia="Arial Unicode MS" w:cs="Arial Unicode MS"/>
        </w:rPr>
        <w:t xml:space="preserve">ájmů tedy nemusí nutně nastat a postačí, pokud bude hrozit. V tom případě musí SO splnit svou zákonnou informační povinnost a v případě jejího nesplnění bude za to nést odpovědnost podle již zmíněného ust. § 2910 a násl. OZ. SO ale vždy musí jednat v zájmu OK bez ohledu na to, zda informační povinnost splnil nebo ne. </w:t>
      </w:r>
    </w:p>
    <w:p w:rsidR="00F73F6E" w:rsidRPr="00494962" w:rsidRDefault="00F73F6E" w:rsidP="00F73F6E">
      <w:r w:rsidRPr="00494962">
        <w:rPr>
          <w:rFonts w:eastAsia="Arial Unicode MS" w:cs="Arial Unicode MS"/>
        </w:rPr>
        <w:tab/>
        <w:t>Jednatel svou povinnost musí splnit bezodkladně. Proto je na zváženou zda využije zákonnou možnost informovat o tom namísto orgánu, jehož je členem a kontrolního orgánu nevyšší orgán.</w:t>
      </w:r>
      <w:r w:rsidRPr="00494962">
        <w:rPr>
          <w:vertAlign w:val="superscript"/>
        </w:rPr>
        <w:footnoteReference w:id="136"/>
      </w:r>
      <w:r w:rsidRPr="00494962">
        <w:rPr>
          <w:rFonts w:eastAsia="Arial Unicode MS" w:cs="Arial Unicode MS"/>
        </w:rPr>
        <w:t xml:space="preserve"> S péčí řádného hospodář</w:t>
      </w:r>
      <w:r w:rsidRPr="00494962">
        <w:rPr>
          <w:rFonts w:eastAsia="Arial Unicode MS" w:cs="Arial Unicode MS"/>
          <w:lang w:val="nl-NL"/>
        </w:rPr>
        <w:t>e toti</w:t>
      </w:r>
      <w:r w:rsidRPr="00494962">
        <w:rPr>
          <w:rFonts w:eastAsia="Arial Unicode MS" w:cs="Arial Unicode MS"/>
        </w:rPr>
        <w:t xml:space="preserve">ž musí sám posoudit, zda stojí za to svolat VH nebo to oznámí ostatním jednatelům a dozorčí radě. Pokud však dozorčí </w:t>
      </w:r>
      <w:r w:rsidRPr="00494962">
        <w:rPr>
          <w:rFonts w:eastAsia="Arial Unicode MS" w:cs="Arial Unicode MS"/>
          <w:lang w:val="pt-PT"/>
        </w:rPr>
        <w:t>rada nen</w:t>
      </w:r>
      <w:r w:rsidRPr="00494962">
        <w:rPr>
          <w:rFonts w:eastAsia="Arial Unicode MS" w:cs="Arial Unicode MS"/>
        </w:rPr>
        <w:t>í zřízena, nic jiného mu nezbývá.</w:t>
      </w:r>
    </w:p>
    <w:p w:rsidR="00F73F6E" w:rsidRPr="00494962" w:rsidRDefault="00F73F6E" w:rsidP="00F73F6E">
      <w:pPr>
        <w:pStyle w:val="Nadpis3"/>
      </w:pPr>
      <w:bookmarkStart w:id="38" w:name="_Toc415065704"/>
      <w:r w:rsidRPr="00494962">
        <w:t>5.1.1 Pozastavení výkonu funkce</w:t>
      </w:r>
      <w:bookmarkEnd w:id="38"/>
      <w:r w:rsidRPr="00494962">
        <w:t xml:space="preserve"> </w:t>
      </w:r>
    </w:p>
    <w:p w:rsidR="00F73F6E" w:rsidRPr="00494962" w:rsidRDefault="00F73F6E" w:rsidP="00F73F6E">
      <w:pPr>
        <w:rPr>
          <w:i/>
          <w:iCs/>
        </w:rPr>
      </w:pPr>
      <w:r w:rsidRPr="00494962">
        <w:rPr>
          <w:rFonts w:eastAsia="Arial Unicode MS" w:cs="Arial Unicode MS"/>
        </w:rPr>
        <w:tab/>
        <w:t>Pozastavení výkonu funkce při střetu zájmů představuje oproti ObchZ nový institut, který má bránit zájmy společnosti. Zá</w:t>
      </w:r>
      <w:r w:rsidRPr="00494962">
        <w:rPr>
          <w:rFonts w:eastAsia="Arial Unicode MS" w:cs="Arial Unicode MS"/>
          <w:lang w:val="de-DE"/>
        </w:rPr>
        <w:t>konn</w:t>
      </w:r>
      <w:r w:rsidRPr="00494962">
        <w:rPr>
          <w:rFonts w:eastAsia="Arial Unicode MS" w:cs="Arial Unicode MS"/>
        </w:rPr>
        <w:t>á úprava opět ani zde není bez chyby. Opě</w:t>
      </w:r>
      <w:r w:rsidRPr="00494962">
        <w:rPr>
          <w:rFonts w:eastAsia="Arial Unicode MS" w:cs="Arial Unicode MS"/>
          <w:lang w:val="it-IT"/>
        </w:rPr>
        <w:t>t si dovol</w:t>
      </w:r>
      <w:r w:rsidRPr="00494962">
        <w:rPr>
          <w:rFonts w:eastAsia="Arial Unicode MS" w:cs="Arial Unicode MS"/>
        </w:rPr>
        <w:t xml:space="preserve">ím citovat ust. zákona. </w:t>
      </w:r>
      <w:r w:rsidRPr="00494962">
        <w:rPr>
          <w:rFonts w:eastAsia="Arial Unicode MS" w:cs="Arial Unicode MS"/>
          <w:i/>
          <w:iCs/>
        </w:rPr>
        <w:t>„Kontrolní nebo nejvyšší orgán může na vymezenou dobu pozastavit členu orgánu, který oznámí stř</w:t>
      </w:r>
      <w:r w:rsidRPr="00494962">
        <w:rPr>
          <w:rFonts w:eastAsia="Arial Unicode MS" w:cs="Arial Unicode MS"/>
          <w:i/>
          <w:iCs/>
          <w:lang w:val="nl-NL"/>
        </w:rPr>
        <w:t>et z</w:t>
      </w:r>
      <w:r w:rsidRPr="00494962">
        <w:rPr>
          <w:rFonts w:eastAsia="Arial Unicode MS" w:cs="Arial Unicode MS"/>
          <w:i/>
          <w:iCs/>
        </w:rPr>
        <w:t>ájmu podle odstavce 1, výkon jeho funkce.“</w:t>
      </w:r>
      <w:r w:rsidRPr="00494962">
        <w:rPr>
          <w:vertAlign w:val="superscript"/>
        </w:rPr>
        <w:footnoteReference w:id="137"/>
      </w:r>
      <w:r w:rsidRPr="00494962">
        <w:rPr>
          <w:rFonts w:eastAsia="Arial Unicode MS" w:cs="Arial Unicode MS"/>
        </w:rPr>
        <w:t xml:space="preserve"> Jak lze vidět, možnost pozastavit SO funkci se vztahuje jen na takového, který oznámil stř</w:t>
      </w:r>
      <w:r w:rsidRPr="00494962">
        <w:rPr>
          <w:rFonts w:eastAsia="Arial Unicode MS" w:cs="Arial Unicode MS"/>
          <w:lang w:val="nl-NL"/>
        </w:rPr>
        <w:t>et z</w:t>
      </w:r>
      <w:r w:rsidRPr="00494962">
        <w:rPr>
          <w:rFonts w:eastAsia="Arial Unicode MS" w:cs="Arial Unicode MS"/>
        </w:rPr>
        <w:t>ájmů. To bezesporu nebyl úmysl z</w:t>
      </w:r>
      <w:r w:rsidR="00A83B9B">
        <w:rPr>
          <w:rFonts w:eastAsia="Arial Unicode MS" w:cs="Arial Unicode MS"/>
        </w:rPr>
        <w:t xml:space="preserve">ákonodárce. Domnívám se, že toto je zásadní nedostatek současné úpravy. </w:t>
      </w:r>
      <w:r w:rsidRPr="00494962">
        <w:rPr>
          <w:rFonts w:eastAsia="Arial Unicode MS" w:cs="Arial Unicode MS"/>
        </w:rPr>
        <w:t xml:space="preserve">Řešení přináší Jan Dědič, který je toho názoru, že </w:t>
      </w:r>
      <w:r w:rsidRPr="00494962">
        <w:rPr>
          <w:rFonts w:eastAsia="Arial Unicode MS" w:cs="Arial Unicode MS"/>
          <w:i/>
          <w:iCs/>
        </w:rPr>
        <w:t xml:space="preserve">„doslovný výklad zákona není namístě, a že kontrolní nebo nejvyšší orgán může pozastavit výkon funkce i tomu členovi orgánu, který hrozící </w:t>
      </w:r>
      <w:r w:rsidRPr="00494962">
        <w:rPr>
          <w:rFonts w:eastAsia="Arial Unicode MS" w:cs="Arial Unicode MS"/>
          <w:i/>
          <w:iCs/>
          <w:lang w:val="nl-NL"/>
        </w:rPr>
        <w:t>konflikt z</w:t>
      </w:r>
      <w:r w:rsidRPr="00494962">
        <w:rPr>
          <w:rFonts w:eastAsia="Arial Unicode MS" w:cs="Arial Unicode MS"/>
          <w:i/>
          <w:iCs/>
        </w:rPr>
        <w:t>ájmů neoznámil, pokud se o tom členové kontrolního orgánu nebo společníci či členové dozvědí i jinak.“</w:t>
      </w:r>
      <w:r w:rsidRPr="00494962">
        <w:rPr>
          <w:vertAlign w:val="superscript"/>
        </w:rPr>
        <w:footnoteReference w:id="138"/>
      </w:r>
    </w:p>
    <w:p w:rsidR="00F73F6E" w:rsidRPr="00494962" w:rsidRDefault="00F73F6E" w:rsidP="00F73F6E">
      <w:pPr>
        <w:rPr>
          <w:rFonts w:eastAsia="Arial Unicode MS" w:cs="Arial Unicode MS"/>
          <w:lang w:val="fr-FR"/>
        </w:rPr>
      </w:pPr>
      <w:r w:rsidRPr="00494962">
        <w:rPr>
          <w:rFonts w:eastAsia="Arial Unicode MS" w:cs="Arial Unicode MS"/>
        </w:rPr>
        <w:lastRenderedPageBreak/>
        <w:tab/>
        <w:t>Ust. § 54 odst. 4 ZOK má ovšem mnohem více výkladových problémů. Není zde stanoveno, na jak dlouho může být výkon funkce omezen, tj. na dobu určitou nebo i neurč</w:t>
      </w:r>
      <w:r w:rsidRPr="00494962">
        <w:rPr>
          <w:rFonts w:eastAsia="Arial Unicode MS" w:cs="Arial Unicode MS"/>
          <w:lang w:val="fr-FR"/>
        </w:rPr>
        <w:t xml:space="preserve">itou? Postrádám úpravu, co se myslí výkonem funkce, myslí se tím výkon funkce ve věci kde dochází </w:t>
      </w:r>
      <w:r w:rsidRPr="00494962">
        <w:rPr>
          <w:rFonts w:eastAsia="Arial Unicode MS" w:cs="Arial Unicode MS"/>
          <w:lang w:val="da-DK"/>
        </w:rPr>
        <w:t>ke st</w:t>
      </w:r>
      <w:r w:rsidRPr="00494962">
        <w:rPr>
          <w:rFonts w:eastAsia="Arial Unicode MS" w:cs="Arial Unicode MS"/>
          <w:lang w:val="fr-FR"/>
        </w:rPr>
        <w:t xml:space="preserve">řetu zájmů nebo obecný výkon funkce, tedy v případě SO samotná jeho působnost? Zákon tyto problémy vůbec neřeší, což považuji za vážný nedostatek stávající úpravy. </w:t>
      </w:r>
    </w:p>
    <w:p w:rsidR="00F73F6E" w:rsidRPr="00494962" w:rsidRDefault="00F73F6E" w:rsidP="00F73F6E">
      <w:pPr>
        <w:rPr>
          <w:lang w:val="fr-FR"/>
        </w:rPr>
      </w:pPr>
      <w:r w:rsidRPr="00494962">
        <w:rPr>
          <w:rFonts w:eastAsia="Arial Unicode MS" w:cs="Arial Unicode MS"/>
          <w:lang w:val="fr-FR"/>
        </w:rPr>
        <w:tab/>
        <w:t>Jan Dědič se k tomuto snažil zaujmout logické stanovisko, kdy dovodil možnost omezení výkonu funkce i na dobu určitou i neurčitou. Tvrdí, že budou pozastaveny všechna práva a povinnosti daného orgánu.</w:t>
      </w:r>
      <w:r w:rsidRPr="00494962">
        <w:rPr>
          <w:vertAlign w:val="superscript"/>
        </w:rPr>
        <w:footnoteReference w:id="139"/>
      </w:r>
      <w:r w:rsidRPr="00494962">
        <w:rPr>
          <w:rFonts w:eastAsia="Arial Unicode MS" w:cs="Arial Unicode MS"/>
          <w:lang w:val="fr-FR"/>
        </w:rPr>
        <w:t xml:space="preserve"> Já se spíše přikláním k variantě, že by SO měl být pozastaven výkon funkce pouze v oblasti, kde dochází </w:t>
      </w:r>
      <w:r w:rsidRPr="00494962">
        <w:rPr>
          <w:rFonts w:eastAsia="Arial Unicode MS" w:cs="Arial Unicode MS"/>
          <w:lang w:val="da-DK"/>
        </w:rPr>
        <w:t>ke st</w:t>
      </w:r>
      <w:r w:rsidRPr="00494962">
        <w:rPr>
          <w:rFonts w:eastAsia="Arial Unicode MS" w:cs="Arial Unicode MS"/>
          <w:lang w:val="fr-FR"/>
        </w:rPr>
        <w:t>řetu zájmů. V opačném případě by mohlo dojít k zbytečné</w:t>
      </w:r>
      <w:r w:rsidRPr="00494962">
        <w:rPr>
          <w:rFonts w:eastAsia="Arial Unicode MS" w:cs="Arial Unicode MS"/>
          <w:lang w:val="sv-SE"/>
        </w:rPr>
        <w:t>mu ochromen</w:t>
      </w:r>
      <w:r w:rsidRPr="00494962">
        <w:rPr>
          <w:rFonts w:eastAsia="Arial Unicode MS" w:cs="Arial Unicode MS"/>
          <w:lang w:val="fr-FR"/>
        </w:rPr>
        <w:t xml:space="preserve">í rozhodování SO. </w:t>
      </w:r>
    </w:p>
    <w:p w:rsidR="00F73F6E" w:rsidRPr="00494962" w:rsidRDefault="00F73F6E" w:rsidP="00F73F6E">
      <w:pPr>
        <w:pStyle w:val="Nadpis2"/>
      </w:pPr>
      <w:bookmarkStart w:id="39" w:name="_Toc415065705"/>
      <w:r w:rsidRPr="00494962">
        <w:t>5.2 Stř</w:t>
      </w:r>
      <w:r w:rsidRPr="00494962">
        <w:rPr>
          <w:lang w:val="nl-NL"/>
        </w:rPr>
        <w:t>et z</w:t>
      </w:r>
      <w:r w:rsidRPr="00494962">
        <w:t>ájmů při uzavírání smluv nebo zajišťování či utvrzování dluhů</w:t>
      </w:r>
      <w:bookmarkEnd w:id="39"/>
    </w:p>
    <w:p w:rsidR="00F73F6E" w:rsidRPr="00494962" w:rsidRDefault="00F73F6E" w:rsidP="00F73F6E">
      <w:pPr>
        <w:rPr>
          <w:lang w:val="es-ES_tradnl"/>
        </w:rPr>
      </w:pPr>
      <w:r w:rsidRPr="00494962">
        <w:rPr>
          <w:rFonts w:eastAsia="Arial Unicode MS" w:cs="Arial Unicode MS"/>
          <w:lang w:val="fr-FR"/>
        </w:rPr>
        <w:tab/>
        <w:t>Stř</w:t>
      </w:r>
      <w:r w:rsidRPr="00494962">
        <w:rPr>
          <w:rFonts w:eastAsia="Arial Unicode MS" w:cs="Arial Unicode MS"/>
          <w:lang w:val="nl-NL"/>
        </w:rPr>
        <w:t>et z</w:t>
      </w:r>
      <w:r w:rsidRPr="00494962">
        <w:rPr>
          <w:rFonts w:eastAsia="Arial Unicode MS" w:cs="Arial Unicode MS"/>
          <w:lang w:val="fr-FR"/>
        </w:rPr>
        <w:t>ájmů může mezi stejnými kategoriemi osob (tzn. SO, osobami jemu blízkými a osobami SO ovlivněnými nebo ovládanými) nastat i pro případ uzavření smlouvy s OK, popř. má-li společnost z</w:t>
      </w:r>
      <w:r w:rsidR="00A83B9B">
        <w:rPr>
          <w:rFonts w:eastAsia="Arial Unicode MS" w:cs="Arial Unicode MS"/>
          <w:lang w:val="fr-FR"/>
        </w:rPr>
        <w:t>a</w:t>
      </w:r>
      <w:r w:rsidRPr="00494962">
        <w:rPr>
          <w:rFonts w:eastAsia="Arial Unicode MS" w:cs="Arial Unicode MS"/>
          <w:lang w:val="fr-FR"/>
        </w:rPr>
        <w:t>jistit nebo utvrdit dluh těchto osob či se stát spoludlužníkem.</w:t>
      </w:r>
      <w:r w:rsidRPr="00494962">
        <w:rPr>
          <w:vertAlign w:val="superscript"/>
        </w:rPr>
        <w:footnoteReference w:id="140"/>
      </w:r>
      <w:r w:rsidRPr="00494962">
        <w:rPr>
          <w:rFonts w:eastAsia="Arial Unicode MS" w:cs="Arial Unicode MS"/>
          <w:lang w:val="es-ES_tradnl"/>
        </w:rPr>
        <w:t xml:space="preserve"> Co se týče informační povinnosti, je stejná jako u výše zmíněného konfliktu zájmu, tj. při podnikatelských příležitostech.</w:t>
      </w:r>
      <w:r w:rsidRPr="00494962">
        <w:rPr>
          <w:vertAlign w:val="superscript"/>
        </w:rPr>
        <w:footnoteReference w:id="141"/>
      </w:r>
      <w:r w:rsidRPr="00494962">
        <w:rPr>
          <w:rFonts w:eastAsia="Arial Unicode MS" w:cs="Arial Unicode MS"/>
          <w:lang w:val="es-ES_tradnl"/>
        </w:rPr>
        <w:t xml:space="preserve"> Není zde však subjektivní kritérium v pojmu „dozví“, nýbrž objektivní kritérium. </w:t>
      </w:r>
    </w:p>
    <w:p w:rsidR="00F73F6E" w:rsidRPr="00494962" w:rsidRDefault="00F73F6E" w:rsidP="00F73F6E">
      <w:pPr>
        <w:rPr>
          <w:lang w:val="es-ES_tradnl"/>
        </w:rPr>
      </w:pPr>
      <w:r w:rsidRPr="00494962">
        <w:rPr>
          <w:rFonts w:eastAsia="Arial Unicode MS" w:cs="Arial Unicode MS"/>
          <w:lang w:val="es-ES_tradnl"/>
        </w:rPr>
        <w:tab/>
        <w:t>Považuji za důležité poukázat na konstantní judikaturu NS ČR, podle které nelze za stř</w:t>
      </w:r>
      <w:r w:rsidRPr="00494962">
        <w:rPr>
          <w:rFonts w:eastAsia="Arial Unicode MS" w:cs="Arial Unicode MS"/>
          <w:lang w:val="nl-NL"/>
        </w:rPr>
        <w:t>et z</w:t>
      </w:r>
      <w:r w:rsidRPr="00494962">
        <w:rPr>
          <w:rFonts w:eastAsia="Arial Unicode MS" w:cs="Arial Unicode MS"/>
          <w:lang w:val="es-ES_tradnl"/>
        </w:rPr>
        <w:t>ájmů považovat každou situaci, kdy SO zavírá smlouvu se svou společností.</w:t>
      </w:r>
      <w:r w:rsidRPr="00494962">
        <w:rPr>
          <w:vertAlign w:val="superscript"/>
        </w:rPr>
        <w:footnoteReference w:id="142"/>
      </w:r>
    </w:p>
    <w:p w:rsidR="00F73F6E" w:rsidRPr="00494962" w:rsidRDefault="00F73F6E" w:rsidP="00F73F6E">
      <w:pPr>
        <w:rPr>
          <w:lang w:val="es-ES_tradnl"/>
        </w:rPr>
      </w:pPr>
      <w:r w:rsidRPr="00494962">
        <w:rPr>
          <w:rFonts w:eastAsia="Arial Unicode MS" w:cs="Arial Unicode MS"/>
          <w:lang w:val="es-ES_tradnl"/>
        </w:rPr>
        <w:tab/>
        <w:t>Statutární orgán má krom povinnosti ozná</w:t>
      </w:r>
      <w:r w:rsidRPr="00494962">
        <w:rPr>
          <w:rFonts w:eastAsia="Arial Unicode MS" w:cs="Arial Unicode MS"/>
          <w:lang w:val="de-DE"/>
        </w:rPr>
        <w:t>mit dan</w:t>
      </w:r>
      <w:r w:rsidRPr="00494962">
        <w:rPr>
          <w:rFonts w:eastAsia="Arial Unicode MS" w:cs="Arial Unicode MS"/>
          <w:lang w:val="es-ES_tradnl"/>
        </w:rPr>
        <w:t xml:space="preserve">ý záměr též povinnost oznámit, za jakých podmínek má být smlouva uzavřena. Další změnou oproti předchozímu je to, že dozorčí rada má potom povinnost předat VH zprávu o informacích, které obdržela a popřípadě též informace o zákazu. </w:t>
      </w:r>
    </w:p>
    <w:p w:rsidR="00F73F6E" w:rsidRPr="00494962" w:rsidRDefault="00F73F6E" w:rsidP="00F73F6E">
      <w:pPr>
        <w:rPr>
          <w:lang w:val="es-ES_tradnl"/>
        </w:rPr>
      </w:pPr>
      <w:r w:rsidRPr="00494962">
        <w:rPr>
          <w:rFonts w:eastAsia="Arial Unicode MS" w:cs="Arial Unicode MS"/>
          <w:lang w:val="es-ES_tradnl"/>
        </w:rPr>
        <w:tab/>
        <w:t>Uzavření takové smlouvy tedy dozorčí rada nebo VH může zakázat, pokud není v zájmu společnosti. Opět zde vidím nedostatek, že zá</w:t>
      </w:r>
      <w:r w:rsidRPr="00494962">
        <w:rPr>
          <w:rFonts w:eastAsia="Arial Unicode MS" w:cs="Arial Unicode MS"/>
          <w:lang w:val="de-DE"/>
        </w:rPr>
        <w:t>kon d</w:t>
      </w:r>
      <w:r w:rsidRPr="00494962">
        <w:rPr>
          <w:rFonts w:eastAsia="Arial Unicode MS" w:cs="Arial Unicode MS"/>
          <w:lang w:val="es-ES_tradnl"/>
        </w:rPr>
        <w:t>ává možnost zakázat uzavření smluv tam, kde byl ozná</w:t>
      </w:r>
      <w:r w:rsidRPr="00494962">
        <w:rPr>
          <w:rFonts w:eastAsia="Arial Unicode MS" w:cs="Arial Unicode MS"/>
          <w:lang w:val="nl-NL"/>
        </w:rPr>
        <w:t>men z</w:t>
      </w:r>
      <w:r w:rsidRPr="00494962">
        <w:rPr>
          <w:rFonts w:eastAsia="Arial Unicode MS" w:cs="Arial Unicode MS"/>
          <w:lang w:val="es-ES_tradnl"/>
        </w:rPr>
        <w:t>áměr je uzavřít.</w:t>
      </w:r>
      <w:r w:rsidRPr="00494962">
        <w:rPr>
          <w:vertAlign w:val="superscript"/>
        </w:rPr>
        <w:footnoteReference w:id="143"/>
      </w:r>
      <w:r w:rsidRPr="00494962">
        <w:rPr>
          <w:rFonts w:eastAsia="Arial Unicode MS" w:cs="Arial Unicode MS"/>
          <w:lang w:val="es-ES_tradnl"/>
        </w:rPr>
        <w:t xml:space="preserve"> Nemyslím si, že je to šťastné řešení, neboť dozorčí rada či VH se mohou i z jiný</w:t>
      </w:r>
      <w:r w:rsidRPr="00494962">
        <w:rPr>
          <w:rFonts w:eastAsia="Arial Unicode MS" w:cs="Arial Unicode MS"/>
          <w:lang w:val="de-DE"/>
        </w:rPr>
        <w:t>ch informa</w:t>
      </w:r>
      <w:r w:rsidRPr="00494962">
        <w:rPr>
          <w:rFonts w:eastAsia="Arial Unicode MS" w:cs="Arial Unicode MS"/>
          <w:lang w:val="es-ES_tradnl"/>
        </w:rPr>
        <w:t xml:space="preserve">čních zdrojů dovědět, že SO chce uzavřít smlouvu, kde bude jako jeden z účastníků sám vystupovat a druhým bude společnost a není to v zájmu společnosti. </w:t>
      </w:r>
    </w:p>
    <w:p w:rsidR="00F73F6E" w:rsidRPr="00494962" w:rsidRDefault="00F73F6E" w:rsidP="00F73F6E">
      <w:pPr>
        <w:rPr>
          <w:lang w:val="es-ES_tradnl"/>
        </w:rPr>
      </w:pPr>
      <w:r w:rsidRPr="00494962">
        <w:rPr>
          <w:rFonts w:eastAsia="Arial Unicode MS" w:cs="Arial Unicode MS"/>
          <w:lang w:val="es-ES_tradnl"/>
        </w:rPr>
        <w:lastRenderedPageBreak/>
        <w:tab/>
        <w:t xml:space="preserve">Je důležité také poukázat na to, že informační povinnost SO ani možnost dozorčí rady a VH zakázat uzavření smlouvy nebo utvrzení či zajištění dluhů nenastane, pokud se jedná o smlouvy uzavírané v rámci běžného obchodního styku. </w:t>
      </w:r>
    </w:p>
    <w:p w:rsidR="00F73F6E" w:rsidRPr="00494962" w:rsidRDefault="00F73F6E" w:rsidP="00F73F6E">
      <w:pPr>
        <w:pStyle w:val="Nadpis2"/>
      </w:pPr>
      <w:bookmarkStart w:id="40" w:name="_Toc415065706"/>
      <w:r w:rsidRPr="00494962">
        <w:t>5.3 Právnická osoba jako člen statutárního orgánu a konflikt zájmů z toho vyplývající</w:t>
      </w:r>
      <w:bookmarkEnd w:id="40"/>
    </w:p>
    <w:p w:rsidR="00F73F6E" w:rsidRPr="00494962" w:rsidRDefault="00F73F6E" w:rsidP="00F73F6E">
      <w:pPr>
        <w:rPr>
          <w:lang w:val="es-ES_tradnl"/>
        </w:rPr>
      </w:pPr>
      <w:r w:rsidRPr="00494962">
        <w:rPr>
          <w:rFonts w:eastAsia="Arial Unicode MS" w:cs="Arial Unicode MS"/>
          <w:lang w:val="es-ES_tradnl"/>
        </w:rPr>
        <w:tab/>
        <w:t>Současná právní úprava umožňuje, aby se PO stala členem SO obchodní korporace.</w:t>
      </w:r>
      <w:r w:rsidRPr="00494962">
        <w:rPr>
          <w:vertAlign w:val="superscript"/>
        </w:rPr>
        <w:footnoteReference w:id="144"/>
      </w:r>
      <w:r w:rsidRPr="00494962">
        <w:rPr>
          <w:rFonts w:eastAsia="Arial Unicode MS" w:cs="Arial Unicode MS"/>
          <w:lang w:val="es-ES_tradnl"/>
        </w:rPr>
        <w:t xml:space="preserve"> V takovém případě může nastat několikerý </w:t>
      </w:r>
      <w:r w:rsidRPr="00494962">
        <w:rPr>
          <w:rFonts w:eastAsia="Arial Unicode MS" w:cs="Arial Unicode MS"/>
          <w:lang w:val="nl-NL"/>
        </w:rPr>
        <w:t>konflikt z</w:t>
      </w:r>
      <w:r w:rsidRPr="00494962">
        <w:rPr>
          <w:rFonts w:eastAsia="Arial Unicode MS" w:cs="Arial Unicode MS"/>
          <w:lang w:val="es-ES_tradnl"/>
        </w:rPr>
        <w:t>ájmů z toho vyplývající. Jan Dědič dovozuje, že konflikt může vzniknout mezi zástupcem a PO, kterou v OK zastupuje, dá</w:t>
      </w:r>
      <w:r w:rsidRPr="00494962">
        <w:rPr>
          <w:rFonts w:eastAsia="Arial Unicode MS" w:cs="Arial Unicode MS"/>
          <w:lang w:val="nl-NL"/>
        </w:rPr>
        <w:t>le konflikt z</w:t>
      </w:r>
      <w:r w:rsidRPr="00494962">
        <w:rPr>
          <w:rFonts w:eastAsia="Arial Unicode MS" w:cs="Arial Unicode MS"/>
          <w:lang w:val="es-ES_tradnl"/>
        </w:rPr>
        <w:t>ájmů mezi PO a OK ve které vykonává funkci č</w:t>
      </w:r>
      <w:r w:rsidRPr="00494962">
        <w:rPr>
          <w:rFonts w:eastAsia="Arial Unicode MS" w:cs="Arial Unicode MS"/>
          <w:lang w:val="pt-PT"/>
        </w:rPr>
        <w:t>lena SO a t</w:t>
      </w:r>
      <w:r w:rsidRPr="00494962">
        <w:rPr>
          <w:rFonts w:eastAsia="Arial Unicode MS" w:cs="Arial Unicode MS"/>
          <w:lang w:val="es-ES_tradnl"/>
        </w:rPr>
        <w:t xml:space="preserve">éž </w:t>
      </w:r>
      <w:r w:rsidRPr="00494962">
        <w:rPr>
          <w:rFonts w:eastAsia="Arial Unicode MS" w:cs="Arial Unicode MS"/>
          <w:lang w:val="nl-NL"/>
        </w:rPr>
        <w:t>konflikt z</w:t>
      </w:r>
      <w:r w:rsidRPr="00494962">
        <w:rPr>
          <w:rFonts w:eastAsia="Arial Unicode MS" w:cs="Arial Unicode MS"/>
          <w:lang w:val="es-ES_tradnl"/>
        </w:rPr>
        <w:t xml:space="preserve">ájmů zástupce ve vztahu k OK, ve které </w:t>
      </w:r>
      <w:r w:rsidRPr="00494962">
        <w:rPr>
          <w:rFonts w:eastAsia="Arial Unicode MS" w:cs="Arial Unicode MS"/>
          <w:lang w:val="pt-PT"/>
        </w:rPr>
        <w:t xml:space="preserve">PO coby </w:t>
      </w:r>
      <w:r w:rsidRPr="00494962">
        <w:rPr>
          <w:rFonts w:eastAsia="Arial Unicode MS" w:cs="Arial Unicode MS"/>
          <w:lang w:val="es-ES_tradnl"/>
        </w:rPr>
        <w:t>člena SO zastupuje.</w:t>
      </w:r>
      <w:r w:rsidRPr="00494962">
        <w:rPr>
          <w:vertAlign w:val="superscript"/>
        </w:rPr>
        <w:footnoteReference w:id="145"/>
      </w:r>
    </w:p>
    <w:p w:rsidR="00F73F6E" w:rsidRPr="00494962" w:rsidRDefault="00F73F6E" w:rsidP="00F73F6E">
      <w:r w:rsidRPr="00494962">
        <w:rPr>
          <w:rFonts w:eastAsia="Arial Unicode MS" w:cs="Arial Unicode MS"/>
          <w:lang w:val="es-ES_tradnl"/>
        </w:rPr>
        <w:tab/>
      </w:r>
      <w:r w:rsidRPr="00494962">
        <w:rPr>
          <w:rFonts w:eastAsia="Arial Unicode MS" w:cs="Arial Unicode MS"/>
        </w:rPr>
        <w:t>V posledních dvou případech, tedy tzv. externích konfliktech se bude postupovat dle ust. § 54 a násl. ZOK, tzn. je potřeba postupovat v souladu s informační povinností</w:t>
      </w:r>
      <w:r w:rsidRPr="00494962">
        <w:rPr>
          <w:rFonts w:eastAsia="Arial Unicode MS" w:cs="Arial Unicode MS"/>
          <w:lang w:val="pt-PT"/>
        </w:rPr>
        <w:t xml:space="preserve">. Tzn. PO prostřednictvím svého zástupce, musí informovat s.r.o., ve které vykonává funkci jednatele o konfliktu zájmů. </w:t>
      </w:r>
      <w:r w:rsidRPr="00494962">
        <w:rPr>
          <w:rFonts w:eastAsia="Arial Unicode MS" w:cs="Arial Unicode MS"/>
        </w:rPr>
        <w:t>Z ust. § 46 odst. 4 ZOK vyplývá stejná povinnost i pro jejího zástupce.</w:t>
      </w:r>
      <w:r w:rsidRPr="00494962">
        <w:rPr>
          <w:vertAlign w:val="superscript"/>
        </w:rPr>
        <w:footnoteReference w:id="146"/>
      </w:r>
    </w:p>
    <w:p w:rsidR="00F73F6E" w:rsidRPr="00494962" w:rsidRDefault="00F73F6E" w:rsidP="00F73F6E">
      <w:r w:rsidRPr="00494962">
        <w:rPr>
          <w:rFonts w:eastAsia="Arial Unicode MS" w:cs="Arial Unicode MS"/>
        </w:rPr>
        <w:tab/>
        <w:t>V případě tzv. interního konfliktu, tzn. konfliktu mezi zástupcem a PO, která v OK vykonává funkci SO, bude záležet, zda se jedná o smluvní zastoupení, nebo pokud je zástupce SO dané PO. V prvním případě s ohledem na ust. 437 odst. OZ nemůže PO zastoupit její zástupce, jehož zájmy jsou v rozporu se zájmy té</w:t>
      </w:r>
      <w:r w:rsidRPr="00494962">
        <w:rPr>
          <w:rFonts w:eastAsia="Arial Unicode MS" w:cs="Arial Unicode MS"/>
          <w:lang w:val="sv-SE"/>
        </w:rPr>
        <w:t>to PO, leda</w:t>
      </w:r>
      <w:r w:rsidRPr="00494962">
        <w:rPr>
          <w:rFonts w:eastAsia="Arial Unicode MS" w:cs="Arial Unicode MS"/>
        </w:rPr>
        <w:t>že zastoupená PO o tom věděla nebo vědět musela. V druhém případě, tzn. že zástupcem bude SO dané PO, nebude se jednat o smluvní zastoupení, a tudíž Jan Dědič pouze dovozuje, že člen SO nebude moci PO v statutárním orgánu OK zastupovat.</w:t>
      </w:r>
      <w:r w:rsidRPr="00494962">
        <w:rPr>
          <w:vertAlign w:val="superscript"/>
        </w:rPr>
        <w:footnoteReference w:id="147"/>
      </w:r>
    </w:p>
    <w:p w:rsidR="00F73F6E" w:rsidRPr="00494962" w:rsidRDefault="00F73F6E" w:rsidP="00F73F6E">
      <w:pPr>
        <w:pStyle w:val="Nadpis2"/>
      </w:pPr>
      <w:bookmarkStart w:id="41" w:name="_Toc415065707"/>
      <w:r w:rsidRPr="00494962">
        <w:t>5.4 Dílčí teoretický závěr</w:t>
      </w:r>
      <w:bookmarkEnd w:id="41"/>
    </w:p>
    <w:p w:rsidR="00F73F6E" w:rsidRPr="00494962" w:rsidRDefault="00F73F6E" w:rsidP="00F73F6E">
      <w:r w:rsidRPr="00494962">
        <w:rPr>
          <w:rFonts w:eastAsia="Arial Unicode MS" w:cs="Arial Unicode MS"/>
        </w:rPr>
        <w:tab/>
        <w:t>Úprava ObchZ obsahovala dost odlišnou úpravu střetu zájmů, než lze vidět v rámci ZOK. Ačkoli úmysl byl stejný, tedy ochrana společnosti před zneužitím jednatelského oprávnění, požadavky kladené na SO se dost podstatně liší.</w:t>
      </w:r>
      <w:r w:rsidRPr="00494962">
        <w:rPr>
          <w:vertAlign w:val="superscript"/>
        </w:rPr>
        <w:footnoteReference w:id="148"/>
      </w:r>
      <w:r w:rsidRPr="00494962">
        <w:rPr>
          <w:rFonts w:eastAsia="Arial Unicode MS" w:cs="Arial Unicode MS"/>
        </w:rPr>
        <w:t xml:space="preserve"> Nechci na tomto místě rozebírat požadavky, které stanovoval ObchZ, neboť by to bezesporu představovalo rozsáhlou debatu k tomuto tématu.</w:t>
      </w:r>
    </w:p>
    <w:p w:rsidR="00F73F6E" w:rsidRPr="00494962" w:rsidRDefault="00F73F6E" w:rsidP="00F73F6E">
      <w:pPr>
        <w:rPr>
          <w:rFonts w:eastAsia="Arial Unicode MS" w:cs="Arial Unicode MS"/>
        </w:rPr>
      </w:pPr>
      <w:r w:rsidRPr="00494962">
        <w:rPr>
          <w:rFonts w:eastAsia="Arial Unicode MS" w:cs="Arial Unicode MS"/>
        </w:rPr>
        <w:lastRenderedPageBreak/>
        <w:tab/>
        <w:t xml:space="preserve">V rámci tohoto dílčího závěru bych ráda poukázala na přednosti, ale na druhou stranu i nedostatky současné úpravy. Předností bezesporu je, že VH či dozorčí rada mají prostředky, jak zasáhnout, pokud by hrozilo, že jednatel zneužije svá oprávnění. Na druhé straně jsem toho názoru, že stávající úprava trpí až příliš mnoho nedostatky, na což upozorňuje ve svých článcích i Jan Dědič. Toto považuji za zásadní problém. Judikatura pravděpodobně odpoví na otázky doposud nedořešené, ovšem jsem toho názoru, že problémů v rámci těchto několika ust. je až příliš. V závěru mé diplomové práce se pokusím nalézt možné řešení. </w:t>
      </w:r>
    </w:p>
    <w:p w:rsidR="00F73F6E" w:rsidRPr="00494962" w:rsidRDefault="00F73F6E" w:rsidP="00F73F6E">
      <w:pPr>
        <w:pStyle w:val="Nadpis1"/>
      </w:pPr>
      <w:r w:rsidRPr="00494962">
        <w:rPr>
          <w:rFonts w:eastAsia="Arial Unicode MS"/>
        </w:rPr>
        <w:br w:type="page"/>
      </w:r>
      <w:bookmarkStart w:id="42" w:name="_Toc415065708"/>
      <w:r w:rsidRPr="00494962">
        <w:rPr>
          <w:rFonts w:eastAsia="Arial Unicode MS"/>
        </w:rPr>
        <w:lastRenderedPageBreak/>
        <w:t>6. Vyloučení z výkonu funkce jednatele</w:t>
      </w:r>
      <w:r w:rsidRPr="00494962">
        <w:rPr>
          <w:vertAlign w:val="superscript"/>
        </w:rPr>
        <w:footnoteReference w:id="149"/>
      </w:r>
      <w:bookmarkEnd w:id="42"/>
      <w:r w:rsidRPr="00494962">
        <w:rPr>
          <w:rFonts w:eastAsia="Arial Unicode MS"/>
        </w:rPr>
        <w:t xml:space="preserve"> </w:t>
      </w:r>
    </w:p>
    <w:p w:rsidR="00F73F6E" w:rsidRPr="00494962" w:rsidRDefault="00F73F6E" w:rsidP="00F73F6E">
      <w:r w:rsidRPr="00494962">
        <w:rPr>
          <w:rFonts w:eastAsia="Arial Unicode MS" w:cs="Arial Unicode MS"/>
        </w:rPr>
        <w:tab/>
        <w:t>Nová právní úprava přináší institut vyloučení z výkonu funkce SO, tedy vztá</w:t>
      </w:r>
      <w:r w:rsidRPr="00494962">
        <w:rPr>
          <w:rFonts w:eastAsia="Arial Unicode MS" w:cs="Arial Unicode MS"/>
          <w:lang w:val="de-DE"/>
        </w:rPr>
        <w:t>hnuv</w:t>
      </w:r>
      <w:r w:rsidRPr="00494962">
        <w:rPr>
          <w:rFonts w:eastAsia="Arial Unicode MS" w:cs="Arial Unicode MS"/>
        </w:rPr>
        <w:t>ší k s.r.o. z výkonu funkce jednatele. Vyloučení z výkonu funkce představuje legislativní zkratu a to, zákaz vykonávat funkci člena SO jakékoli obchodní korporace nebo být osobou v obdobném postavení.</w:t>
      </w:r>
      <w:r w:rsidRPr="00494962">
        <w:rPr>
          <w:vertAlign w:val="superscript"/>
        </w:rPr>
        <w:footnoteReference w:id="150"/>
      </w:r>
      <w:r w:rsidRPr="00494962">
        <w:rPr>
          <w:rFonts w:eastAsia="Arial Unicode MS" w:cs="Arial Unicode MS"/>
        </w:rPr>
        <w:t xml:space="preserve"> Tento institut souvisí zejména s insolvenčním řízením, ale soud o vyloučení může rozhodnout i pro opakované a závažné porušování péče řá</w:t>
      </w:r>
      <w:r w:rsidR="00A83B9B">
        <w:rPr>
          <w:rFonts w:eastAsia="Arial Unicode MS" w:cs="Arial Unicode MS"/>
        </w:rPr>
        <w:t>dného hospodáře (popř. jiné péče</w:t>
      </w:r>
      <w:r w:rsidRPr="00494962">
        <w:rPr>
          <w:rFonts w:eastAsia="Arial Unicode MS" w:cs="Arial Unicode MS"/>
        </w:rPr>
        <w:t xml:space="preserve"> vyplývající ze zákona). </w:t>
      </w:r>
    </w:p>
    <w:p w:rsidR="00F73F6E" w:rsidRPr="00494962" w:rsidRDefault="00F73F6E" w:rsidP="00F73F6E">
      <w:r w:rsidRPr="00494962">
        <w:rPr>
          <w:rFonts w:eastAsia="Arial Unicode MS" w:cs="Arial Unicode MS"/>
        </w:rPr>
        <w:tab/>
        <w:t xml:space="preserve">V obou případech o vyloučení může rozhodnout jen a pouze soud a to i bez návrhu. Myslím si, že vyloučení z výkonu funkce představuje velmi závažný institut a též závažný zásah do podnikatelské sféry osoby, že nelze připustit, aby o tom rozhodoval byť i nejvyšší orgán společnosti. Každopádně návrh být podán může a to z logiky věci každým, kdo na vyloučení má důležitý zájem. </w:t>
      </w:r>
    </w:p>
    <w:p w:rsidR="00F73F6E" w:rsidRPr="00494962" w:rsidRDefault="00F73F6E" w:rsidP="00F73F6E">
      <w:r w:rsidRPr="00494962">
        <w:rPr>
          <w:rFonts w:eastAsia="Arial Unicode MS" w:cs="Arial Unicode MS"/>
        </w:rPr>
        <w:tab/>
        <w:t xml:space="preserve">Pokud soud shledá, že jsou zde dány níže zmíněné důvody pro to, aby rozhodl o vyloučení, tak osoba nesmí vykonávat funkci SO nebo být osobu v obdobném postavení (typicky likvidátora) pod dobu 3 let od právní moci rozhodnutí. Ovšem pokud osoba poruší zákaz uložený jí v rozhodnutí, soud, který o vyloučení rozhodoval, opětovně danou osobu vyloučí a to až na 10 let. </w:t>
      </w:r>
    </w:p>
    <w:p w:rsidR="00F73F6E" w:rsidRPr="00494962" w:rsidRDefault="00F73F6E" w:rsidP="00F73F6E">
      <w:r w:rsidRPr="00494962">
        <w:rPr>
          <w:rFonts w:eastAsia="Arial Unicode MS" w:cs="Arial Unicode MS"/>
        </w:rPr>
        <w:tab/>
        <w:t>Nově tedy nikoli ex lege, ale právní mocí rozhodnutí o vyloučení, přestává být osoba členem SO ve všech OK. Soud, který o vyloučení rozhodne, toto oznámí rejstříkovému soudu a ten samozřejmě tuto skutečnost promí</w:t>
      </w:r>
      <w:r w:rsidRPr="00494962">
        <w:rPr>
          <w:rFonts w:eastAsia="Arial Unicode MS" w:cs="Arial Unicode MS"/>
          <w:lang w:val="pt-PT"/>
        </w:rPr>
        <w:t>tne do z</w:t>
      </w:r>
      <w:r w:rsidRPr="00494962">
        <w:rPr>
          <w:rFonts w:eastAsia="Arial Unicode MS" w:cs="Arial Unicode MS"/>
        </w:rPr>
        <w:t xml:space="preserve">ápisu v obchodním rejstříku. </w:t>
      </w:r>
    </w:p>
    <w:p w:rsidR="00F73F6E" w:rsidRPr="00494962" w:rsidRDefault="00F73F6E" w:rsidP="00F73F6E">
      <w:pPr>
        <w:rPr>
          <w:lang w:val="nl-NL"/>
        </w:rPr>
      </w:pPr>
      <w:r w:rsidRPr="00494962">
        <w:rPr>
          <w:rFonts w:eastAsia="Arial Unicode MS" w:cs="Arial Unicode MS"/>
          <w:lang w:val="nl-NL"/>
        </w:rPr>
        <w:tab/>
        <w:t xml:space="preserve">Soud však může rozhodnout, i pokud jsou zde zákonem stanovené důvody, že i) osoba u níž jsou dány důvody pro vyloučení, ii) osoba, která byla vyloučena, může za podmínek stanovených soudem zůstat členem SO </w:t>
      </w:r>
      <w:r w:rsidRPr="00494962">
        <w:rPr>
          <w:rFonts w:eastAsia="Arial Unicode MS" w:cs="Arial Unicode MS"/>
          <w:b/>
          <w:bCs/>
          <w:lang w:val="nl-NL"/>
        </w:rPr>
        <w:t xml:space="preserve">jiné </w:t>
      </w:r>
      <w:r w:rsidRPr="00494962">
        <w:rPr>
          <w:rFonts w:eastAsia="Arial Unicode MS" w:cs="Arial Unicode MS"/>
          <w:lang w:val="nl-NL"/>
        </w:rPr>
        <w:t>OK. Je tedy důležité říct, že soud nemůže rozhodnout, že může zůstat členem té OK, v rámci jejíhož výkonu SO byla vyloučena. Takto soud může rozhodnout, pokud okolnosti případu dokládají, že dosavadní výkon funkce v té dané společnosti neodůvodňuje vyloučení z výkonu funkce a pokud by vyloučení mohlo vést k poškození oprávněných zájmů této OK nebo jejích věřitelů. Dle mého názoru z daného ustanovení vyplývá, že tyto podmínky pro takto závažné rozhodnutí musí být splněny kumulativně.</w:t>
      </w:r>
      <w:r w:rsidRPr="00494962">
        <w:rPr>
          <w:vertAlign w:val="superscript"/>
        </w:rPr>
        <w:footnoteReference w:id="151"/>
      </w:r>
    </w:p>
    <w:p w:rsidR="00F73F6E" w:rsidRPr="00494962" w:rsidRDefault="00F73F6E" w:rsidP="00F73F6E">
      <w:pPr>
        <w:pStyle w:val="Nadpis2"/>
      </w:pPr>
      <w:bookmarkStart w:id="43" w:name="_Toc415065709"/>
      <w:r w:rsidRPr="00494962">
        <w:lastRenderedPageBreak/>
        <w:t>6.1 Vyloučení v režimu insolvenčního řízení</w:t>
      </w:r>
      <w:bookmarkEnd w:id="43"/>
      <w:r w:rsidRPr="00494962">
        <w:t xml:space="preserve"> </w:t>
      </w:r>
    </w:p>
    <w:p w:rsidR="00F73F6E" w:rsidRPr="00494962" w:rsidRDefault="00F73F6E" w:rsidP="00F73F6E">
      <w:r w:rsidRPr="00494962">
        <w:rPr>
          <w:rFonts w:eastAsia="Arial Unicode MS" w:cs="Arial Unicode MS"/>
          <w:lang w:val="nl-NL"/>
        </w:rPr>
        <w:tab/>
        <w:t xml:space="preserve">Je nepochybné, že pokud se společnost dostane až do stavu, kdy je vydání rozhodnutí o jejím úpadku, SO pravděpodobně nevykonával svou funkci řádně. </w:t>
      </w:r>
      <w:r w:rsidRPr="00494962">
        <w:rPr>
          <w:rFonts w:eastAsia="Arial Unicode MS" w:cs="Arial Unicode MS"/>
        </w:rPr>
        <w:t xml:space="preserve">Zákonodárce nepochybně </w:t>
      </w:r>
      <w:r w:rsidRPr="00494962">
        <w:rPr>
          <w:rFonts w:eastAsia="Arial Unicode MS" w:cs="Arial Unicode MS"/>
          <w:lang w:val="de-DE"/>
        </w:rPr>
        <w:t>cht</w:t>
      </w:r>
      <w:r w:rsidRPr="00494962">
        <w:rPr>
          <w:rFonts w:eastAsia="Arial Unicode MS" w:cs="Arial Unicode MS"/>
        </w:rPr>
        <w:t>ěl postihnout situaci, kdy SO nepostupoval tak jak měl. V souvislosti s vyloučením je toto zakotveno v ust. § 63 a §64 ZOK, jehož základní rysy se pokusím nastínit.</w:t>
      </w:r>
      <w:r w:rsidRPr="00494962">
        <w:rPr>
          <w:vertAlign w:val="superscript"/>
        </w:rPr>
        <w:footnoteReference w:id="152"/>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 xml:space="preserve">Základním předpokladem, aby soud mohl vydat takovéto rozhodnutí je, že osoba vykonávala </w:t>
      </w:r>
      <w:r w:rsidRPr="00494962">
        <w:rPr>
          <w:rFonts w:eastAsia="Arial Unicode MS" w:cs="Arial Unicode MS"/>
          <w:b/>
          <w:bCs/>
        </w:rPr>
        <w:t>funkci SO v době vydání rozhodnutí o úpadku nebo po něm</w:t>
      </w:r>
      <w:r w:rsidRPr="00494962">
        <w:rPr>
          <w:rFonts w:eastAsia="Arial Unicode MS" w:cs="Arial Unicode MS"/>
        </w:rPr>
        <w:t>, pokud výkon funkce této osoby vedl k úpadku společnosti. Zákon však př</w:t>
      </w:r>
      <w:r w:rsidRPr="00494962">
        <w:rPr>
          <w:rFonts w:eastAsia="Arial Unicode MS" w:cs="Arial Unicode MS"/>
          <w:lang w:val="fr-FR"/>
        </w:rPr>
        <w:t>ipou</w:t>
      </w:r>
      <w:r w:rsidRPr="00494962">
        <w:rPr>
          <w:rFonts w:eastAsia="Arial Unicode MS" w:cs="Arial Unicode MS"/>
        </w:rPr>
        <w:t xml:space="preserve">ští i možnost, že rozhodnutí o vyloučení bude vydáno i u osoby, která v době </w:t>
      </w:r>
      <w:r w:rsidRPr="00494962">
        <w:rPr>
          <w:rFonts w:eastAsia="Arial Unicode MS" w:cs="Arial Unicode MS"/>
          <w:b/>
          <w:bCs/>
        </w:rPr>
        <w:t>vydání rozhodnutí o úpadku funkci SO už nevykonávala</w:t>
      </w:r>
      <w:r w:rsidRPr="00494962">
        <w:rPr>
          <w:rFonts w:eastAsia="Arial Unicode MS" w:cs="Arial Unicode MS"/>
        </w:rPr>
        <w:t>. Bude to v případě, že její dosavadní jednání k úpadku zřejmě přispělo. Jsem toho názoru, že takové zá</w:t>
      </w:r>
      <w:r w:rsidRPr="00494962">
        <w:rPr>
          <w:rFonts w:eastAsia="Arial Unicode MS" w:cs="Arial Unicode MS"/>
          <w:lang w:val="de-DE"/>
        </w:rPr>
        <w:t>konn</w:t>
      </w:r>
      <w:r w:rsidRPr="00494962">
        <w:rPr>
          <w:rFonts w:eastAsia="Arial Unicode MS" w:cs="Arial Unicode MS"/>
        </w:rPr>
        <w:t>é ust. je logické, neboť pokud by sá</w:t>
      </w:r>
      <w:r w:rsidRPr="00494962">
        <w:rPr>
          <w:rFonts w:eastAsia="Arial Unicode MS" w:cs="Arial Unicode MS"/>
          <w:lang w:val="pt-PT"/>
        </w:rPr>
        <w:t>m SO proz</w:t>
      </w:r>
      <w:r w:rsidRPr="00494962">
        <w:rPr>
          <w:rFonts w:eastAsia="Arial Unicode MS" w:cs="Arial Unicode MS"/>
        </w:rPr>
        <w:t xml:space="preserve">íravě z funkce odstoupil, vyhnul by se tak určité </w:t>
      </w:r>
      <w:r w:rsidRPr="00494962">
        <w:rPr>
          <w:rFonts w:eastAsia="Arial Unicode MS" w:cs="Arial Unicode MS"/>
          <w:lang w:val="es-ES_tradnl"/>
        </w:rPr>
        <w:t>penalizaci.</w:t>
      </w:r>
    </w:p>
    <w:p w:rsidR="00F73F6E" w:rsidRPr="00494962" w:rsidRDefault="00F73F6E" w:rsidP="00F73F6E">
      <w:r w:rsidRPr="00494962">
        <w:rPr>
          <w:rFonts w:eastAsia="Arial Unicode MS" w:cs="Arial Unicode MS"/>
        </w:rPr>
        <w:tab/>
        <w:t xml:space="preserve">Navíc soud rozhodne též o vyloučení toho, kdo se </w:t>
      </w:r>
      <w:r w:rsidRPr="00494962">
        <w:rPr>
          <w:rFonts w:eastAsia="Arial Unicode MS" w:cs="Arial Unicode MS"/>
          <w:b/>
          <w:bCs/>
        </w:rPr>
        <w:t>stal členem SO po zahájení insolvenčního řízení,</w:t>
      </w:r>
      <w:r w:rsidR="00A83B9B">
        <w:rPr>
          <w:rFonts w:eastAsia="Arial Unicode MS" w:cs="Arial Unicode MS"/>
        </w:rPr>
        <w:t xml:space="preserve"> přispěl-</w:t>
      </w:r>
      <w:r w:rsidRPr="00494962">
        <w:rPr>
          <w:rFonts w:eastAsia="Arial Unicode MS" w:cs="Arial Unicode MS"/>
        </w:rPr>
        <w:t>li zjevně svým jednáním ke snížení majetkové podstaty a k poš</w:t>
      </w:r>
      <w:r w:rsidRPr="00494962">
        <w:rPr>
          <w:rFonts w:eastAsia="Arial Unicode MS" w:cs="Arial Unicode MS"/>
          <w:lang w:val="nl-NL"/>
        </w:rPr>
        <w:t>kozen</w:t>
      </w:r>
      <w:r w:rsidRPr="00494962">
        <w:rPr>
          <w:rFonts w:eastAsia="Arial Unicode MS" w:cs="Arial Unicode MS"/>
        </w:rPr>
        <w:t xml:space="preserve">í věřitelů. </w:t>
      </w:r>
    </w:p>
    <w:p w:rsidR="00F73F6E" w:rsidRPr="00494962" w:rsidRDefault="00F73F6E" w:rsidP="00F73F6E">
      <w:r w:rsidRPr="00494962">
        <w:rPr>
          <w:rFonts w:eastAsia="Arial Unicode MS" w:cs="Arial Unicode MS"/>
        </w:rPr>
        <w:tab/>
        <w:t xml:space="preserve">Samozřejmě zákonodárce musel myslet i na situace, kdy se osoba ocitla ve funkci SO upadnuvší společnosti v době jejího hrozícího úpadku, aniž by svým jednáním k úpadku přispěla. V takovém případě soud nemůže rozhodnout o vyloučení. Pokud však její další jednání povede k úpadku této společnosti, soud o vyloučení rozhodne. SO se může též vyvinit, pokud prokáže, že při svém jednání vynaložil takovou péči, kterou by v obdobné situaci vynaložila jiná </w:t>
      </w:r>
      <w:r w:rsidRPr="00494962">
        <w:rPr>
          <w:rFonts w:eastAsia="Arial Unicode MS" w:cs="Arial Unicode MS"/>
          <w:lang w:val="de-DE"/>
        </w:rPr>
        <w:t>rozumn</w:t>
      </w:r>
      <w:r w:rsidRPr="00494962">
        <w:rPr>
          <w:rFonts w:eastAsia="Arial Unicode MS" w:cs="Arial Unicode MS"/>
        </w:rPr>
        <w:t xml:space="preserve">ě pečlivá osoba v obdobném postavení. Myslím, že zákonodárce tímto ust. reagoval na nově zavedené pravidlo podnikatelského úsudku a na fakt, že podnikatelské rozhodování se sebou nese určitá rizika. Pokud tedy SO prokáže, že jednal s náležitou péči, nemůže být o jeho vyloučení rozhodnuto. </w:t>
      </w:r>
    </w:p>
    <w:p w:rsidR="00F73F6E" w:rsidRPr="00494962" w:rsidRDefault="00F73F6E" w:rsidP="00F73F6E">
      <w:r w:rsidRPr="00494962">
        <w:rPr>
          <w:rFonts w:eastAsia="Arial Unicode MS" w:cs="Arial Unicode MS"/>
        </w:rPr>
        <w:tab/>
        <w:t>Je nutno také podotknout, ž</w:t>
      </w:r>
      <w:r w:rsidRPr="00494962">
        <w:rPr>
          <w:rFonts w:eastAsia="Arial Unicode MS" w:cs="Arial Unicode MS"/>
          <w:lang w:val="pt-PT"/>
        </w:rPr>
        <w:t>e o t</w:t>
      </w:r>
      <w:r w:rsidRPr="00494962">
        <w:rPr>
          <w:rFonts w:eastAsia="Arial Unicode MS" w:cs="Arial Unicode MS"/>
        </w:rPr>
        <w:t xml:space="preserve">ěchto případech rozhoduje insolvenční soud. Pokud tedy insolvenční soud rozhodne, že společnost je v úpadku, zahájí </w:t>
      </w:r>
      <w:r w:rsidRPr="00494962">
        <w:rPr>
          <w:rFonts w:eastAsia="Arial Unicode MS" w:cs="Arial Unicode MS"/>
          <w:lang w:val="es-ES_tradnl"/>
        </w:rPr>
        <w:t xml:space="preserve">ex officio </w:t>
      </w:r>
      <w:r w:rsidRPr="00494962">
        <w:rPr>
          <w:rFonts w:eastAsia="Arial Unicode MS" w:cs="Arial Unicode MS"/>
        </w:rPr>
        <w:t>řízení o vyloučení, pokud během řízení o úpadku vyšli najevo skutečnosti, které by tomu nasvědčovaly.</w:t>
      </w:r>
      <w:r w:rsidRPr="00494962">
        <w:rPr>
          <w:vertAlign w:val="superscript"/>
        </w:rPr>
        <w:footnoteReference w:id="153"/>
      </w:r>
    </w:p>
    <w:p w:rsidR="00F73F6E" w:rsidRPr="00494962" w:rsidRDefault="00F73F6E" w:rsidP="00F73F6E">
      <w:pPr>
        <w:pStyle w:val="Nadpis2"/>
      </w:pPr>
      <w:bookmarkStart w:id="44" w:name="_Toc415065710"/>
      <w:r w:rsidRPr="00494962">
        <w:lastRenderedPageBreak/>
        <w:t xml:space="preserve">6.2 Vyloučení </w:t>
      </w:r>
      <w:r w:rsidRPr="00494962">
        <w:rPr>
          <w:lang w:val="es-ES_tradnl"/>
        </w:rPr>
        <w:t>mimo re</w:t>
      </w:r>
      <w:r w:rsidRPr="00494962">
        <w:t>žim insolvenčního řízení</w:t>
      </w:r>
      <w:bookmarkEnd w:id="44"/>
      <w:r w:rsidRPr="00494962">
        <w:t xml:space="preserve"> </w:t>
      </w:r>
    </w:p>
    <w:p w:rsidR="00F73F6E" w:rsidRPr="00494962" w:rsidRDefault="00F73F6E" w:rsidP="00F73F6E">
      <w:r w:rsidRPr="00494962">
        <w:rPr>
          <w:rFonts w:eastAsia="Arial Unicode MS" w:cs="Arial Unicode MS"/>
        </w:rPr>
        <w:tab/>
        <w:t xml:space="preserve">Vyloučení </w:t>
      </w:r>
      <w:r w:rsidRPr="00494962">
        <w:rPr>
          <w:rFonts w:eastAsia="Arial Unicode MS" w:cs="Arial Unicode MS"/>
          <w:lang w:val="es-ES_tradnl"/>
        </w:rPr>
        <w:t>mimo re</w:t>
      </w:r>
      <w:r w:rsidRPr="00494962">
        <w:rPr>
          <w:rFonts w:eastAsia="Arial Unicode MS" w:cs="Arial Unicode MS"/>
        </w:rPr>
        <w:t xml:space="preserve">žim insolvenčního řízení se nebude vztahovat ke špatné situaci společnosti, ke které </w:t>
      </w:r>
      <w:r w:rsidRPr="00494962">
        <w:rPr>
          <w:rFonts w:eastAsia="Arial Unicode MS" w:cs="Arial Unicode MS"/>
          <w:lang w:val="pt-PT"/>
        </w:rPr>
        <w:t>SO p</w:t>
      </w:r>
      <w:r w:rsidRPr="00494962">
        <w:rPr>
          <w:rFonts w:eastAsia="Arial Unicode MS" w:cs="Arial Unicode MS"/>
        </w:rPr>
        <w:t>řispěl. Bude se vztahovat k jeho vlastní osobě a nedostatků</w:t>
      </w:r>
      <w:r w:rsidRPr="00494962">
        <w:rPr>
          <w:rFonts w:eastAsia="Arial Unicode MS" w:cs="Arial Unicode MS"/>
          <w:lang w:val="fr-FR"/>
        </w:rPr>
        <w:t>m souvisej</w:t>
      </w:r>
      <w:r w:rsidRPr="00494962">
        <w:rPr>
          <w:rFonts w:eastAsia="Arial Unicode MS" w:cs="Arial Unicode MS"/>
        </w:rPr>
        <w:t>ícím s výkonem jeho funkce. Toto zákonodárce upravuje v ust. § 65 ZOK a já se pokusím nastínit problematiku tohoto.</w:t>
      </w:r>
    </w:p>
    <w:p w:rsidR="00F73F6E" w:rsidRPr="00494962" w:rsidRDefault="00F73F6E" w:rsidP="00F73F6E">
      <w:r w:rsidRPr="00494962">
        <w:rPr>
          <w:rFonts w:eastAsia="Arial Unicode MS" w:cs="Arial Unicode MS"/>
        </w:rPr>
        <w:tab/>
        <w:t>Pokud vyjde najevo, že č</w:t>
      </w:r>
      <w:r w:rsidRPr="00494962">
        <w:rPr>
          <w:rFonts w:eastAsia="Arial Unicode MS" w:cs="Arial Unicode MS"/>
          <w:lang w:val="de-DE"/>
        </w:rPr>
        <w:t>len SO v</w:t>
      </w:r>
      <w:r w:rsidRPr="00494962">
        <w:rPr>
          <w:rFonts w:eastAsia="Arial Unicode MS" w:cs="Arial Unicode MS"/>
        </w:rPr>
        <w:t xml:space="preserve"> posledních 3 letech opakovaně a závažně porušoval péči řádného hospodáře, popřípadě jinou péči spojenou podle jiného předpisu s výkonem jeho funkce, soud rozhodne o jeho vyloučení. Toto se použije též na toho, kdo je povinen k náhradě újmy vzniklé z porušení péče řádného hospodáře. Zde už zákonodárce ale nedává podmínku opakovanosti (tedy nejméně 2x) a závažnosti, dle mého názoru podmínky kumulativní. </w:t>
      </w:r>
    </w:p>
    <w:p w:rsidR="00F73F6E" w:rsidRPr="00494962" w:rsidRDefault="00F73F6E" w:rsidP="00F73F6E">
      <w:pPr>
        <w:rPr>
          <w:i/>
          <w:iCs/>
        </w:rPr>
      </w:pPr>
      <w:r w:rsidRPr="00494962">
        <w:rPr>
          <w:rFonts w:eastAsia="Arial Unicode MS" w:cs="Arial Unicode MS"/>
        </w:rPr>
        <w:tab/>
        <w:t xml:space="preserve">Tříletá lhůta je podle komentáře počítána ode dne, </w:t>
      </w:r>
      <w:r w:rsidRPr="00494962">
        <w:rPr>
          <w:rFonts w:eastAsia="Arial Unicode MS" w:cs="Arial Unicode MS"/>
          <w:i/>
          <w:iCs/>
        </w:rPr>
        <w:t>„kdy soud vydal usnesení o zahájení řízení podle § 12 odst. 2 ZZŘS, popřípadě den, kdy soudu byl doručen návrh na zahájení řízení.“</w:t>
      </w:r>
      <w:r w:rsidRPr="00494962">
        <w:rPr>
          <w:vertAlign w:val="superscript"/>
        </w:rPr>
        <w:footnoteReference w:id="154"/>
      </w:r>
    </w:p>
    <w:p w:rsidR="00F73F6E" w:rsidRPr="00494962" w:rsidRDefault="00F73F6E" w:rsidP="00F73F6E">
      <w:pPr>
        <w:pStyle w:val="Nadpis2"/>
      </w:pPr>
      <w:bookmarkStart w:id="45" w:name="_Toc415065711"/>
      <w:r w:rsidRPr="00494962">
        <w:t>6.3 Dílčí teoretický závěr</w:t>
      </w:r>
      <w:bookmarkEnd w:id="45"/>
      <w:r w:rsidRPr="00494962">
        <w:t xml:space="preserve"> </w:t>
      </w:r>
    </w:p>
    <w:p w:rsidR="00F73F6E" w:rsidRPr="00494962" w:rsidRDefault="00F73F6E" w:rsidP="00F73F6E">
      <w:r w:rsidRPr="00494962">
        <w:rPr>
          <w:rFonts w:eastAsia="Arial Unicode MS" w:cs="Arial Unicode MS"/>
        </w:rPr>
        <w:tab/>
        <w:t xml:space="preserve">Doktrína spatřuje v současné právní úpravě velkou výhodu. Podle úpravy ObchZ, konkrétně § </w:t>
      </w:r>
      <w:r w:rsidRPr="00494962">
        <w:rPr>
          <w:rFonts w:eastAsia="Arial Unicode MS" w:cs="Arial Unicode MS"/>
          <w:lang w:val="de-DE"/>
        </w:rPr>
        <w:t>38l, doch</w:t>
      </w:r>
      <w:r w:rsidRPr="00494962">
        <w:rPr>
          <w:rFonts w:eastAsia="Arial Unicode MS" w:cs="Arial Unicode MS"/>
        </w:rPr>
        <w:t xml:space="preserve">ázelo k vyloučení (určité diskvalifikaci) ze zákona. Za této situace se mohlo stát, že osoba, která vykonávala funkci SO ve společnosti, na jejíž majetek byl prohlášen konkurz, se o tomto nedověděla, a tudíž nevěděla, že ze zákona nemůže vykonávat funkci SO, ale přesto ji vykonávala. Tím pádem nebyly slněny podmínky zvolení, což společnosti přinášelo nemalé problémy. Toto by v současné době nastat nemělo, neboť </w:t>
      </w:r>
      <w:r w:rsidRPr="00494962">
        <w:rPr>
          <w:rFonts w:eastAsia="Arial Unicode MS" w:cs="Arial Unicode MS"/>
          <w:lang w:val="pt-PT"/>
        </w:rPr>
        <w:t>SO bude k</w:t>
      </w:r>
      <w:r w:rsidRPr="00494962">
        <w:rPr>
          <w:rFonts w:eastAsia="Arial Unicode MS" w:cs="Arial Unicode MS"/>
        </w:rPr>
        <w:t> insolvenčnímu řízení předvolán, právě na ně</w:t>
      </w:r>
      <w:r w:rsidRPr="00494962">
        <w:rPr>
          <w:rFonts w:eastAsia="Arial Unicode MS" w:cs="Arial Unicode MS"/>
          <w:lang w:val="es-ES_tradnl"/>
        </w:rPr>
        <w:t>m bude le</w:t>
      </w:r>
      <w:r w:rsidRPr="00494962">
        <w:rPr>
          <w:rFonts w:eastAsia="Arial Unicode MS" w:cs="Arial Unicode MS"/>
        </w:rPr>
        <w:t>žet důkazní břemeno a rozhodnutí o vyloučení mu bude doručeno. Jednatel by se měl vždy dovědět o tom, že byl vyloučen.</w:t>
      </w:r>
      <w:r w:rsidRPr="00494962">
        <w:rPr>
          <w:vertAlign w:val="superscript"/>
        </w:rPr>
        <w:footnoteReference w:id="155"/>
      </w:r>
    </w:p>
    <w:p w:rsidR="00F73F6E" w:rsidRPr="00494962" w:rsidRDefault="00F73F6E" w:rsidP="00F73F6E">
      <w:pPr>
        <w:rPr>
          <w:rFonts w:eastAsia="Arial Unicode MS" w:cs="Arial Unicode MS"/>
        </w:rPr>
      </w:pPr>
      <w:r w:rsidRPr="00494962">
        <w:rPr>
          <w:rFonts w:eastAsia="Arial Unicode MS" w:cs="Arial Unicode MS"/>
        </w:rPr>
        <w:tab/>
        <w:t>Z mého pohledu se v tomto bodě jedná o úpravu zdařilou a řeší problém, se kterým se dosavadní praxe setkávala.</w:t>
      </w:r>
    </w:p>
    <w:p w:rsidR="00F73F6E" w:rsidRPr="00494962" w:rsidRDefault="00F73F6E" w:rsidP="00F73F6E">
      <w:pPr>
        <w:pStyle w:val="Nadpis1"/>
      </w:pPr>
      <w:r w:rsidRPr="00494962">
        <w:rPr>
          <w:rFonts w:eastAsia="Arial Unicode MS"/>
        </w:rPr>
        <w:br w:type="page"/>
      </w:r>
      <w:bookmarkStart w:id="46" w:name="_Toc415065712"/>
      <w:r w:rsidRPr="00494962">
        <w:rPr>
          <w:rFonts w:eastAsia="Arial Unicode MS"/>
        </w:rPr>
        <w:lastRenderedPageBreak/>
        <w:t>7. Ručení jednatele jako statutárního orgánu</w:t>
      </w:r>
      <w:bookmarkEnd w:id="46"/>
      <w:r w:rsidRPr="00494962">
        <w:rPr>
          <w:rFonts w:eastAsia="Arial Unicode MS"/>
        </w:rPr>
        <w:t xml:space="preserve"> </w:t>
      </w:r>
    </w:p>
    <w:p w:rsidR="00F73F6E" w:rsidRPr="00494962" w:rsidRDefault="00F73F6E" w:rsidP="00F73F6E">
      <w:r w:rsidRPr="00494962">
        <w:rPr>
          <w:rFonts w:eastAsia="Arial Unicode MS" w:cs="Arial Unicode MS"/>
        </w:rPr>
        <w:tab/>
        <w:t>V této kapitole mé diplomové práce, bych se chtěla dotknout ručení jednatele. Ručení představuje institut, kdy dochází k zajištění dluhu. Považuji za důležité se této tématiky, zejména z korporátního hlediska (nikoli občanskoprávního, pro což není prostor) dotknout.</w:t>
      </w:r>
    </w:p>
    <w:p w:rsidR="00F73F6E" w:rsidRPr="00494962" w:rsidRDefault="00F73F6E" w:rsidP="00F73F6E">
      <w:r w:rsidRPr="00494962">
        <w:rPr>
          <w:rFonts w:eastAsia="Arial Unicode MS" w:cs="Arial Unicode MS"/>
        </w:rPr>
        <w:tab/>
        <w:t xml:space="preserve">Pokud jednatel plní své povinnosti řádně, tak z povahy s.r.o. jako kapitálové společnosti se po něm nelze domáhat ručení za závazky společnosti. Pokud však jednatel poruší povinnosti při výkonu funkce, bude ručit za dluh </w:t>
      </w:r>
      <w:r w:rsidR="00A83B9B">
        <w:rPr>
          <w:rFonts w:eastAsia="Arial Unicode MS" w:cs="Arial Unicode MS"/>
        </w:rPr>
        <w:t>PO</w:t>
      </w:r>
      <w:r w:rsidRPr="00494962">
        <w:rPr>
          <w:rFonts w:eastAsia="Arial Unicode MS" w:cs="Arial Unicode MS"/>
        </w:rPr>
        <w:t xml:space="preserve">. Toto je obecná úprava ručení, </w:t>
      </w:r>
      <w:r w:rsidR="00A83B9B">
        <w:rPr>
          <w:rFonts w:eastAsia="Arial Unicode MS" w:cs="Arial Unicode MS"/>
        </w:rPr>
        <w:t>kterou lze nalézt v rámci úpravy</w:t>
      </w:r>
      <w:r w:rsidRPr="00494962">
        <w:rPr>
          <w:rFonts w:eastAsia="Arial Unicode MS" w:cs="Arial Unicode MS"/>
        </w:rPr>
        <w:t> OZ. Vedle toho bude pro jednatele vyplývat povinnost ručení v případě nesplnění zá</w:t>
      </w:r>
      <w:r w:rsidRPr="00494962">
        <w:rPr>
          <w:rFonts w:eastAsia="Arial Unicode MS" w:cs="Arial Unicode MS"/>
          <w:lang w:val="de-DE"/>
        </w:rPr>
        <w:t>kazu v</w:t>
      </w:r>
      <w:r w:rsidRPr="00494962">
        <w:rPr>
          <w:rFonts w:eastAsia="Arial Unicode MS" w:cs="Arial Unicode MS"/>
        </w:rPr>
        <w:t xml:space="preserve"> případě vyloučení a to podle ZOK a je nutno zmínit též povinnost ručení podle InsZ. </w:t>
      </w:r>
    </w:p>
    <w:p w:rsidR="00F73F6E" w:rsidRPr="00494962" w:rsidRDefault="00F73F6E" w:rsidP="00F73F6E">
      <w:pPr>
        <w:pStyle w:val="Nadpis2"/>
      </w:pPr>
      <w:bookmarkStart w:id="47" w:name="_Toc415065713"/>
      <w:r w:rsidRPr="00494962">
        <w:t>7.1 Ručení při nesplnění povinností vyplývajících z výkonu funkce</w:t>
      </w:r>
      <w:bookmarkEnd w:id="47"/>
    </w:p>
    <w:p w:rsidR="00F73F6E" w:rsidRPr="00494962" w:rsidRDefault="00F73F6E" w:rsidP="00F73F6E">
      <w:r w:rsidRPr="00494962">
        <w:rPr>
          <w:rFonts w:eastAsia="Arial Unicode MS" w:cs="Arial Unicode MS"/>
        </w:rPr>
        <w:tab/>
        <w:t xml:space="preserve">Pokud jednatel poruší povinnost při výkonu funkce a společnosti vznikne újma, dle předchozího výkladu lze dovodit, že je povinen k náhradě této újmy. Pokud tak jednatel v dané době újmu nenahradí, bude ručit věřiteli PO za její dluhy. Toto ručení však není neomezené, nýbrž pouze v rozsahu, v jakém byl povinen nahradit újmu a nenahradil ji. Dalším předpokladem je, že se věřitel plnění </w:t>
      </w:r>
      <w:r w:rsidRPr="00494962">
        <w:rPr>
          <w:rFonts w:eastAsia="Arial Unicode MS" w:cs="Arial Unicode MS"/>
          <w:lang w:val="pt-PT"/>
        </w:rPr>
        <w:t>na PO nem</w:t>
      </w:r>
      <w:r w:rsidRPr="00494962">
        <w:rPr>
          <w:rFonts w:eastAsia="Arial Unicode MS" w:cs="Arial Unicode MS"/>
        </w:rPr>
        <w:t>ůže domoci, přičemž všechny tyto podmínky musí být splněny zároveň.</w:t>
      </w:r>
      <w:r w:rsidRPr="00494962">
        <w:rPr>
          <w:vertAlign w:val="superscript"/>
        </w:rPr>
        <w:footnoteReference w:id="156"/>
      </w:r>
      <w:r w:rsidRPr="00494962">
        <w:rPr>
          <w:rFonts w:eastAsia="Arial Unicode MS" w:cs="Arial Unicode MS"/>
        </w:rPr>
        <w:t xml:space="preserve"> Níže se pokusím vymezit a odpovědět na základní problémy, na které z pouhého gramatického výkladu odpovědě</w:t>
      </w:r>
      <w:r w:rsidRPr="00494962">
        <w:rPr>
          <w:rFonts w:eastAsia="Arial Unicode MS" w:cs="Arial Unicode MS"/>
          <w:lang w:val="it-IT"/>
        </w:rPr>
        <w:t xml:space="preserve">t nelze.  </w:t>
      </w:r>
    </w:p>
    <w:p w:rsidR="00F73F6E" w:rsidRPr="00494962" w:rsidRDefault="00F73F6E" w:rsidP="00F73F6E">
      <w:r w:rsidRPr="00494962">
        <w:rPr>
          <w:rFonts w:eastAsia="Arial Unicode MS" w:cs="Arial Unicode MS"/>
        </w:rPr>
        <w:tab/>
        <w:t>Ačkoli je systematicky toto ustanovení zařazeno k úpravě obecného institutu péče řádného hospodáře, myslím si, že nelze souhlasit s tím, že jen pokud jednatel právě tuto povinnost poruší a bude povinen k náhradě újmy, kterou nesplní, bude ručit. To nikoliv. Jedná se jakoukoli povinnost vyplývající z výkonu jeho funkce. Ovšem stěžejní je, že z nesplněné povinnosti mu musí vyplývat povinnost k náhradě újmy, což může rozsah povinností spadajících do tohoto zásadně zúžit. To, zda je přítomna povinnost k náhradě újmy společnosti</w:t>
      </w:r>
      <w:r w:rsidR="00A83B9B">
        <w:rPr>
          <w:rFonts w:eastAsia="Arial Unicode MS" w:cs="Arial Unicode MS"/>
        </w:rPr>
        <w:t>,</w:t>
      </w:r>
      <w:r w:rsidRPr="00494962">
        <w:rPr>
          <w:rFonts w:eastAsia="Arial Unicode MS" w:cs="Arial Unicode MS"/>
        </w:rPr>
        <w:t xml:space="preserve"> musí zkoumat v řízení soud jako předběžnou otázku. </w:t>
      </w:r>
      <w:r w:rsidRPr="00494962">
        <w:rPr>
          <w:rFonts w:eastAsia="Arial Unicode MS" w:cs="Arial Unicode MS"/>
          <w:i/>
          <w:iCs/>
        </w:rPr>
        <w:t>„Zá</w:t>
      </w:r>
      <w:r w:rsidRPr="00494962">
        <w:rPr>
          <w:rFonts w:eastAsia="Arial Unicode MS" w:cs="Arial Unicode MS"/>
          <w:i/>
          <w:iCs/>
          <w:lang w:val="de-DE"/>
        </w:rPr>
        <w:t>konn</w:t>
      </w:r>
      <w:r w:rsidRPr="00494962">
        <w:rPr>
          <w:rFonts w:eastAsia="Arial Unicode MS" w:cs="Arial Unicode MS"/>
          <w:i/>
          <w:iCs/>
        </w:rPr>
        <w:t>é ručení jednatele společnosti s ručením omezeným za závazky společnosti nemůže vzniknout, jestliže nebyly prokázány předpoklady jeho odpovědnosti za škodu způsobenou společnosti.“</w:t>
      </w:r>
      <w:r w:rsidRPr="00494962">
        <w:rPr>
          <w:vertAlign w:val="superscript"/>
        </w:rPr>
        <w:footnoteReference w:id="157"/>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Další podmínkou je, že jednatel nenahradí způsobenou újmu PO. Z tohoto vyplývá, že ručení nastává až v okamžiku, kdy se jednatelova povinnost k náhradě újmy stane splatná. Věř</w:t>
      </w:r>
      <w:r w:rsidRPr="00494962">
        <w:rPr>
          <w:rFonts w:eastAsia="Arial Unicode MS" w:cs="Arial Unicode MS"/>
          <w:lang w:val="es-ES_tradnl"/>
        </w:rPr>
        <w:t>itel se prim</w:t>
      </w:r>
      <w:r w:rsidRPr="00494962">
        <w:rPr>
          <w:rFonts w:eastAsia="Arial Unicode MS" w:cs="Arial Unicode MS"/>
        </w:rPr>
        <w:t xml:space="preserve">árně má domáhat plnění na PO. Až pokud objektivně není možné, aby PO plnila, může </w:t>
      </w:r>
      <w:r w:rsidRPr="00494962">
        <w:rPr>
          <w:rFonts w:eastAsia="Arial Unicode MS" w:cs="Arial Unicode MS"/>
        </w:rPr>
        <w:lastRenderedPageBreak/>
        <w:t>využít institutu ručení jednatele. Tudíž se nemůže jednat o pouhou neochotu PO plnit.</w:t>
      </w:r>
      <w:r w:rsidRPr="00494962">
        <w:rPr>
          <w:vertAlign w:val="superscript"/>
        </w:rPr>
        <w:footnoteReference w:id="158"/>
      </w:r>
      <w:r w:rsidRPr="00494962">
        <w:rPr>
          <w:rFonts w:eastAsia="Arial Unicode MS" w:cs="Arial Unicode MS"/>
        </w:rPr>
        <w:t xml:space="preserve"> Považuji za důležité dodat, že na rozdíl od úpravy ObchZ nejsou stanoveny důvody, pro které věřitel nemůž</w:t>
      </w:r>
      <w:r w:rsidRPr="00494962">
        <w:rPr>
          <w:rFonts w:eastAsia="Arial Unicode MS" w:cs="Arial Unicode MS"/>
          <w:lang w:val="pt-PT"/>
        </w:rPr>
        <w:t>e dos</w:t>
      </w:r>
      <w:r w:rsidRPr="00494962">
        <w:rPr>
          <w:rFonts w:eastAsia="Arial Unicode MS" w:cs="Arial Unicode MS"/>
        </w:rPr>
        <w:t>áhnout na společnosti uspokojení své pohledávky.</w:t>
      </w:r>
      <w:r w:rsidRPr="00494962">
        <w:rPr>
          <w:vertAlign w:val="superscript"/>
        </w:rPr>
        <w:footnoteReference w:id="159"/>
      </w:r>
      <w:r w:rsidRPr="00494962">
        <w:rPr>
          <w:rFonts w:eastAsia="Arial Unicode MS" w:cs="Arial Unicode MS"/>
        </w:rPr>
        <w:t xml:space="preserve"> Myslím si, že je výhodou stávající právní úpravy, pokud neomezuje možnost věřitele domoci se plnění společnosti na určité důvody. </w:t>
      </w:r>
    </w:p>
    <w:p w:rsidR="00F73F6E" w:rsidRPr="00494962" w:rsidRDefault="00F73F6E" w:rsidP="00F73F6E">
      <w:r w:rsidRPr="00494962">
        <w:rPr>
          <w:rFonts w:eastAsia="Arial Unicode MS" w:cs="Arial Unicode MS"/>
        </w:rPr>
        <w:tab/>
        <w:t>Pokud tedy budou splněny výš</w:t>
      </w:r>
      <w:r w:rsidRPr="00494962">
        <w:rPr>
          <w:rFonts w:eastAsia="Arial Unicode MS" w:cs="Arial Unicode MS"/>
          <w:lang w:val="fr-FR"/>
        </w:rPr>
        <w:t>e dan</w:t>
      </w:r>
      <w:r w:rsidRPr="00494962">
        <w:rPr>
          <w:rFonts w:eastAsia="Arial Unicode MS" w:cs="Arial Unicode MS"/>
        </w:rPr>
        <w:t>é předpoklady, věř</w:t>
      </w:r>
      <w:r w:rsidRPr="00494962">
        <w:rPr>
          <w:rFonts w:eastAsia="Arial Unicode MS" w:cs="Arial Unicode MS"/>
          <w:lang w:val="es-ES_tradnl"/>
        </w:rPr>
        <w:t>itel se m</w:t>
      </w:r>
      <w:r w:rsidRPr="00494962">
        <w:rPr>
          <w:rFonts w:eastAsia="Arial Unicode MS" w:cs="Arial Unicode MS"/>
        </w:rPr>
        <w:t>ůže domáhat plnění po jednateli a to z titulu zá</w:t>
      </w:r>
      <w:r w:rsidRPr="00494962">
        <w:rPr>
          <w:rFonts w:eastAsia="Arial Unicode MS" w:cs="Arial Unicode MS"/>
          <w:lang w:val="de-DE"/>
        </w:rPr>
        <w:t>konn</w:t>
      </w:r>
      <w:r w:rsidRPr="00494962">
        <w:rPr>
          <w:rFonts w:eastAsia="Arial Unicode MS" w:cs="Arial Unicode MS"/>
        </w:rPr>
        <w:t>ého ručení, ovšem nelze zapomenout, že pouze v omezeném rozsahu. Z logiky věci vyplývá, že pokud jednatel uhradí, to k čemu byl z titulu náhrady škody povinen, jeho ručení zaniká.</w:t>
      </w:r>
      <w:r w:rsidRPr="00494962">
        <w:rPr>
          <w:vertAlign w:val="superscript"/>
        </w:rPr>
        <w:footnoteReference w:id="160"/>
      </w:r>
    </w:p>
    <w:p w:rsidR="00F73F6E" w:rsidRPr="00494962" w:rsidRDefault="00F73F6E" w:rsidP="00F73F6E">
      <w:r w:rsidRPr="00494962">
        <w:rPr>
          <w:rFonts w:eastAsia="Arial Unicode MS" w:cs="Arial Unicode MS"/>
        </w:rPr>
        <w:tab/>
        <w:t>Je však otázkou, jaký význam toto zá</w:t>
      </w:r>
      <w:r w:rsidRPr="00494962">
        <w:rPr>
          <w:rFonts w:eastAsia="Arial Unicode MS" w:cs="Arial Unicode MS"/>
          <w:lang w:val="de-DE"/>
        </w:rPr>
        <w:t>konn</w:t>
      </w:r>
      <w:r w:rsidRPr="00494962">
        <w:rPr>
          <w:rFonts w:eastAsia="Arial Unicode MS" w:cs="Arial Unicode MS"/>
        </w:rPr>
        <w:t xml:space="preserve">é ručení má v praxi. Věřitelé totiž musí prokázat, že jednatel jako SO způsobil společnosti škodu, dále její výši, neboť jeho ručení je omezeno výši škody kterou neuhradil. To znamená, že věřitel bude muset mít v předešlé větě zmíněné </w:t>
      </w:r>
      <w:r w:rsidRPr="00494962">
        <w:rPr>
          <w:rFonts w:eastAsia="Arial Unicode MS" w:cs="Arial Unicode MS"/>
          <w:lang w:val="es-ES_tradnl"/>
        </w:rPr>
        <w:t>informace a nav</w:t>
      </w:r>
      <w:r w:rsidRPr="00494962">
        <w:rPr>
          <w:rFonts w:eastAsia="Arial Unicode MS" w:cs="Arial Unicode MS"/>
        </w:rPr>
        <w:t>íc prokázat, že jsou splněny podmínky pro uplatnění práva ze zá</w:t>
      </w:r>
      <w:r w:rsidRPr="00494962">
        <w:rPr>
          <w:rFonts w:eastAsia="Arial Unicode MS" w:cs="Arial Unicode MS"/>
          <w:lang w:val="de-DE"/>
        </w:rPr>
        <w:t>konn</w:t>
      </w:r>
      <w:r w:rsidRPr="00494962">
        <w:rPr>
          <w:rFonts w:eastAsia="Arial Unicode MS" w:cs="Arial Unicode MS"/>
        </w:rPr>
        <w:t>ého ručení, což může být prakticky velice složité.</w:t>
      </w:r>
      <w:r w:rsidRPr="00494962">
        <w:rPr>
          <w:vertAlign w:val="superscript"/>
        </w:rPr>
        <w:footnoteReference w:id="161"/>
      </w:r>
    </w:p>
    <w:p w:rsidR="00F73F6E" w:rsidRPr="00494962" w:rsidRDefault="00F73F6E" w:rsidP="00F73F6E">
      <w:pPr>
        <w:pStyle w:val="Nadpis2"/>
      </w:pPr>
      <w:bookmarkStart w:id="48" w:name="_Toc415065714"/>
      <w:r w:rsidRPr="00494962">
        <w:t>7.2 Ručení při nesplnění zákazu při rozhodnutí o vyloučení</w:t>
      </w:r>
      <w:bookmarkEnd w:id="48"/>
      <w:r w:rsidRPr="00494962">
        <w:t xml:space="preserve">  </w:t>
      </w:r>
    </w:p>
    <w:p w:rsidR="00F73F6E" w:rsidRPr="00494962" w:rsidRDefault="00F73F6E" w:rsidP="00F73F6E">
      <w:r w:rsidRPr="00494962">
        <w:rPr>
          <w:rFonts w:eastAsia="Arial Unicode MS" w:cs="Arial Unicode MS"/>
        </w:rPr>
        <w:tab/>
        <w:t>To, kdy může být jednatel jako SO vylouč</w:t>
      </w:r>
      <w:r w:rsidRPr="00494962">
        <w:rPr>
          <w:rFonts w:eastAsia="Arial Unicode MS" w:cs="Arial Unicode MS"/>
          <w:lang w:val="nl-NL"/>
        </w:rPr>
        <w:t>en z</w:t>
      </w:r>
      <w:r w:rsidRPr="00494962">
        <w:rPr>
          <w:rFonts w:eastAsia="Arial Unicode MS" w:cs="Arial Unicode MS"/>
        </w:rPr>
        <w:t> výkonu funkce, už bylo shrnuto výše, a proto se zde na to v plném rozsahu odkazuji. V případě, kdy tento zákaz poruší, bude ručit za splnění všech povinností OK, které vznikly v době, kdy navzdory zákazu vykonával činnost člena SO.</w:t>
      </w:r>
      <w:r w:rsidRPr="00494962">
        <w:rPr>
          <w:vertAlign w:val="superscript"/>
        </w:rPr>
        <w:footnoteReference w:id="162"/>
      </w:r>
      <w:r w:rsidRPr="00494962">
        <w:rPr>
          <w:rFonts w:eastAsia="Arial Unicode MS" w:cs="Arial Unicode MS"/>
        </w:rPr>
        <w:t xml:space="preserve"> Jelikož samotný institut vyloučení byl začleně</w:t>
      </w:r>
      <w:r w:rsidRPr="00494962">
        <w:rPr>
          <w:rFonts w:eastAsia="Arial Unicode MS" w:cs="Arial Unicode MS"/>
          <w:lang w:val="pt-PT"/>
        </w:rPr>
        <w:t>n do pr</w:t>
      </w:r>
      <w:r w:rsidRPr="00494962">
        <w:rPr>
          <w:rFonts w:eastAsia="Arial Unicode MS" w:cs="Arial Unicode MS"/>
        </w:rPr>
        <w:t xml:space="preserve">ávní úpravy až v souvislosti s rekodifikací soukromého práva, tak i institut ručení při nesplnění zákazu při rozhodnutí o vyloučení představuje novinku. </w:t>
      </w:r>
    </w:p>
    <w:p w:rsidR="00F73F6E" w:rsidRPr="00494962" w:rsidRDefault="00F73F6E" w:rsidP="00F73F6E">
      <w:r w:rsidRPr="00494962">
        <w:rPr>
          <w:rFonts w:eastAsia="Arial Unicode MS" w:cs="Arial Unicode MS"/>
        </w:rPr>
        <w:tab/>
        <w:t>Jedná se tedy o další případ, kdy ručení jednatele vzniká ex lege. Tedy v případě, pokud je jednatel jako SO ze zá</w:t>
      </w:r>
      <w:r w:rsidRPr="00494962">
        <w:rPr>
          <w:rFonts w:eastAsia="Arial Unicode MS" w:cs="Arial Unicode MS"/>
          <w:lang w:val="de-DE"/>
        </w:rPr>
        <w:t>konn</w:t>
      </w:r>
      <w:r w:rsidRPr="00494962">
        <w:rPr>
          <w:rFonts w:eastAsia="Arial Unicode MS" w:cs="Arial Unicode MS"/>
        </w:rPr>
        <w:t>ý</w:t>
      </w:r>
      <w:r w:rsidRPr="00494962">
        <w:rPr>
          <w:rFonts w:eastAsia="Arial Unicode MS" w:cs="Arial Unicode MS"/>
          <w:lang w:val="de-DE"/>
        </w:rPr>
        <w:t>ch d</w:t>
      </w:r>
      <w:r w:rsidRPr="00494962">
        <w:rPr>
          <w:rFonts w:eastAsia="Arial Unicode MS" w:cs="Arial Unicode MS"/>
        </w:rPr>
        <w:t xml:space="preserve">ůvodů rozhodnutím soudu z výkonu funkce vyloučen a zákaz z vyloučení vyplývající by porušil, </w:t>
      </w:r>
      <w:r w:rsidRPr="00494962">
        <w:rPr>
          <w:rFonts w:eastAsia="Arial Unicode MS" w:cs="Arial Unicode MS"/>
          <w:i/>
          <w:iCs/>
        </w:rPr>
        <w:t>„tj. dále by vykonával funkci jednatele nebo by se do této funkce nechal zvolit“</w:t>
      </w:r>
      <w:r w:rsidRPr="00494962">
        <w:rPr>
          <w:vertAlign w:val="superscript"/>
        </w:rPr>
        <w:footnoteReference w:id="163"/>
      </w:r>
      <w:r w:rsidRPr="00494962">
        <w:rPr>
          <w:rFonts w:eastAsia="Arial Unicode MS" w:cs="Arial Unicode MS"/>
        </w:rPr>
        <w:t>, bude ručit a to za všechny povinnosti OK. Na první pohled by se mohlo zdát, že jde o neomezené ručení. Ovšem on bude ručit za splnění povinností OK, které vznikly v době, kdy př</w:t>
      </w:r>
      <w:r w:rsidRPr="00494962">
        <w:rPr>
          <w:rFonts w:eastAsia="Arial Unicode MS" w:cs="Arial Unicode MS"/>
          <w:lang w:val="de-DE"/>
        </w:rPr>
        <w:t>es z</w:t>
      </w:r>
      <w:r w:rsidRPr="00494962">
        <w:rPr>
          <w:rFonts w:eastAsia="Arial Unicode MS" w:cs="Arial Unicode MS"/>
        </w:rPr>
        <w:t>ákaz činnost člena SO vykonával.</w:t>
      </w:r>
    </w:p>
    <w:p w:rsidR="00F73F6E" w:rsidRPr="00494962" w:rsidRDefault="00F73F6E" w:rsidP="00F73F6E">
      <w:pPr>
        <w:pStyle w:val="Nadpis2"/>
      </w:pPr>
      <w:bookmarkStart w:id="49" w:name="_Toc415065715"/>
      <w:r w:rsidRPr="00494962">
        <w:lastRenderedPageBreak/>
        <w:t>7.3 Ručení při úpadku obchodní korporace</w:t>
      </w:r>
      <w:bookmarkEnd w:id="49"/>
      <w:r w:rsidRPr="00494962">
        <w:t xml:space="preserve">  </w:t>
      </w:r>
    </w:p>
    <w:p w:rsidR="00F73F6E" w:rsidRPr="00494962" w:rsidRDefault="00F73F6E" w:rsidP="00F73F6E">
      <w:r w:rsidRPr="00494962">
        <w:rPr>
          <w:rFonts w:eastAsia="Arial Unicode MS" w:cs="Arial Unicode MS"/>
        </w:rPr>
        <w:tab/>
        <w:t>V případě, že bylo rozhodnuto, že OK je v úpadku může insolvenční soud rozhodnout, že člen nebo bývalý člen jejího SO ručí za splnění povinností OK. Zde je naproti předešlým dvěma typům zajímavé, že o tomto může soud rozhodnout pouze na návrh. A to na návrh insolvenčního správce nebo věřitele OK, přičemž není nutné, aby š</w:t>
      </w:r>
      <w:r w:rsidRPr="00494962">
        <w:rPr>
          <w:rFonts w:eastAsia="Arial Unicode MS" w:cs="Arial Unicode MS"/>
          <w:lang w:val="pt-PT"/>
        </w:rPr>
        <w:t>lo o insolven</w:t>
      </w:r>
      <w:r w:rsidRPr="00494962">
        <w:rPr>
          <w:rFonts w:eastAsia="Arial Unicode MS" w:cs="Arial Unicode MS"/>
        </w:rPr>
        <w:t>čního věřitele. Poukazuji na skutečnost, že je v diskreci soudu, zda o tom rozhodne, tudíž i pokud budou splněny níže popsané podmínky, nemusí tak rozhodnout.</w:t>
      </w:r>
      <w:r w:rsidRPr="00494962">
        <w:rPr>
          <w:vertAlign w:val="superscript"/>
        </w:rPr>
        <w:footnoteReference w:id="164"/>
      </w:r>
    </w:p>
    <w:p w:rsidR="00F73F6E" w:rsidRPr="00494962" w:rsidRDefault="00F73F6E" w:rsidP="00F73F6E">
      <w:r w:rsidRPr="00494962">
        <w:rPr>
          <w:rFonts w:eastAsia="Arial Unicode MS" w:cs="Arial Unicode MS"/>
        </w:rPr>
        <w:tab/>
        <w:t>Jednou z podmínek pro toto ručení (ex lege) je, aby bylo rozhodnuto, že OK je v úpadku.</w:t>
      </w:r>
      <w:r w:rsidRPr="00494962">
        <w:rPr>
          <w:vertAlign w:val="superscript"/>
        </w:rPr>
        <w:footnoteReference w:id="165"/>
      </w:r>
      <w:r w:rsidRPr="00494962">
        <w:rPr>
          <w:rFonts w:eastAsia="Arial Unicode MS" w:cs="Arial Unicode MS"/>
        </w:rPr>
        <w:t xml:space="preserve"> Dále, ž</w:t>
      </w:r>
      <w:r w:rsidRPr="00494962">
        <w:rPr>
          <w:rFonts w:eastAsia="Arial Unicode MS" w:cs="Arial Unicode MS"/>
          <w:lang w:val="fr-FR"/>
        </w:rPr>
        <w:t>e dan</w:t>
      </w:r>
      <w:r w:rsidRPr="00494962">
        <w:rPr>
          <w:rFonts w:eastAsia="Arial Unicode MS" w:cs="Arial Unicode MS"/>
        </w:rPr>
        <w:t>ý (nebo bývalý) č</w:t>
      </w:r>
      <w:r w:rsidRPr="00494962">
        <w:rPr>
          <w:rFonts w:eastAsia="Arial Unicode MS" w:cs="Arial Unicode MS"/>
          <w:lang w:val="de-DE"/>
        </w:rPr>
        <w:t>len SO OK v</w:t>
      </w:r>
      <w:r w:rsidRPr="00494962">
        <w:rPr>
          <w:rFonts w:eastAsia="Arial Unicode MS" w:cs="Arial Unicode MS"/>
        </w:rPr>
        <w:t>ěděl nebo měl vědět, že OK je v hrozícím úpadku</w:t>
      </w:r>
      <w:r w:rsidRPr="00494962">
        <w:rPr>
          <w:vertAlign w:val="superscript"/>
        </w:rPr>
        <w:footnoteReference w:id="166"/>
      </w:r>
      <w:r w:rsidRPr="00494962">
        <w:rPr>
          <w:rFonts w:eastAsia="Arial Unicode MS" w:cs="Arial Unicode MS"/>
        </w:rPr>
        <w:t xml:space="preserve"> a v rozporu s péčí řádného hosp. nejednal tak, aby hrozící úpadek odvrátil s ohledem na to, co by bylo potřebné a rozumně předpokládatelné.</w:t>
      </w:r>
      <w:r w:rsidRPr="00494962">
        <w:rPr>
          <w:vertAlign w:val="superscript"/>
        </w:rPr>
        <w:footnoteReference w:id="167"/>
      </w:r>
      <w:r w:rsidRPr="00494962">
        <w:rPr>
          <w:rFonts w:eastAsia="Arial Unicode MS" w:cs="Arial Unicode MS"/>
        </w:rPr>
        <w:t xml:space="preserve"> </w:t>
      </w:r>
    </w:p>
    <w:p w:rsidR="00F73F6E" w:rsidRPr="00494962" w:rsidRDefault="00F73F6E" w:rsidP="00F73F6E">
      <w:r w:rsidRPr="00494962">
        <w:rPr>
          <w:rFonts w:eastAsia="Arial Unicode MS" w:cs="Arial Unicode MS"/>
        </w:rPr>
        <w:tab/>
        <w:t xml:space="preserve">Domnívám se, že relativně nadbytečně je vzhledem k předchozím podmínkám, které musí být splněny kumulativně, stanovena výjimka pro tzv. krizové manažery, kteří byli do funkce ustaveni za účelem odvrácení úpadku nebo jiné nepříznivé hosp. situace a svou funkci vykonávali s péčí řádného hospodáře. </w:t>
      </w:r>
      <w:r w:rsidRPr="00494962">
        <w:rPr>
          <w:vertAlign w:val="superscript"/>
        </w:rPr>
        <w:footnoteReference w:id="168"/>
      </w:r>
    </w:p>
    <w:p w:rsidR="00F73F6E" w:rsidRPr="00494962" w:rsidRDefault="00F73F6E" w:rsidP="00F73F6E">
      <w:pPr>
        <w:pStyle w:val="Nadpis2"/>
      </w:pPr>
      <w:bookmarkStart w:id="50" w:name="_Toc415065716"/>
      <w:r w:rsidRPr="00494962">
        <w:t>7.4 Ručení dle zákona č</w:t>
      </w:r>
      <w:r w:rsidRPr="00494962">
        <w:rPr>
          <w:lang w:val="pt-PT"/>
        </w:rPr>
        <w:t xml:space="preserve">. 182/2006 Sb., o </w:t>
      </w:r>
      <w:r w:rsidRPr="00494962">
        <w:t>úpadku a způsobech jeho řešení (insolvenční zákon)</w:t>
      </w:r>
      <w:r w:rsidRPr="00494962">
        <w:rPr>
          <w:rFonts w:eastAsia="Garamond" w:cs="Garamond"/>
          <w:vertAlign w:val="superscript"/>
        </w:rPr>
        <w:footnoteReference w:id="169"/>
      </w:r>
      <w:bookmarkEnd w:id="50"/>
    </w:p>
    <w:p w:rsidR="00F73F6E" w:rsidRPr="00494962" w:rsidRDefault="00F73F6E" w:rsidP="00F73F6E">
      <w:pPr>
        <w:pStyle w:val="Bezmezer"/>
      </w:pPr>
      <w:r w:rsidRPr="00494962">
        <w:tab/>
        <w:t>Ručení jednatele jako SO je mimo OZ a ZOK upraveno též InsZ. První z </w:t>
      </w:r>
      <w:r w:rsidRPr="00494962">
        <w:rPr>
          <w:lang w:val="fr-FR"/>
        </w:rPr>
        <w:t>nich souvis</w:t>
      </w:r>
      <w:r w:rsidRPr="00494962">
        <w:t>í s vyhlášením moratoria. Po dobu moratoria musí společnost dodržovat povinnosti stanovené zákonem. Pokud by je porušila, bude to mít za následek její odpovědnost za škodu nebo jinou újmu, přičemž za škodu nebo jinou újmu vzniklou ručí společně a nerozdílně členové statutárního orgánu dlužníka.</w:t>
      </w:r>
      <w:r w:rsidRPr="00494962">
        <w:rPr>
          <w:rFonts w:eastAsia="Garamond" w:cs="Garamond"/>
          <w:vertAlign w:val="superscript"/>
        </w:rPr>
        <w:footnoteReference w:id="170"/>
      </w:r>
    </w:p>
    <w:p w:rsidR="00F73F6E" w:rsidRPr="00494962" w:rsidRDefault="00F73F6E" w:rsidP="00F73F6E">
      <w:pPr>
        <w:pStyle w:val="Bezmezer"/>
      </w:pPr>
      <w:r w:rsidRPr="00494962">
        <w:tab/>
        <w:t>Insolvenční zákon také stanoví ručení v souvislosti s řízení</w:t>
      </w:r>
      <w:r w:rsidRPr="00494962">
        <w:rPr>
          <w:lang w:val="pt-PT"/>
        </w:rPr>
        <w:t>m o insolven</w:t>
      </w:r>
      <w:r w:rsidRPr="00494962">
        <w:t xml:space="preserve">čním návrhu. Pokud je insolvenčním navrhovatelem PO a řízení </w:t>
      </w:r>
      <w:r w:rsidRPr="00494962">
        <w:rPr>
          <w:lang w:val="it-IT"/>
        </w:rPr>
        <w:t>o insolven</w:t>
      </w:r>
      <w:r w:rsidRPr="00494962">
        <w:t xml:space="preserve">čním návrhu bylo zastaveno nebo byl insolvenční návrh odmítnut vinou insolvenčního navrhovatele nebo byl insolvenční návrh zamítnut z jiného důvodu, než toho že dlužník po jeho podání splnil závazky, které osvědčovaly úpadek nebo proto, že se s věřiteli dohodl na jiném způsobu plnění těchto závazků či z důvodu uvedeného v ust. § 143 odst. 3 InsZ, má osoba, které zahájením insolvenčního řízení a </w:t>
      </w:r>
      <w:r w:rsidRPr="00494962">
        <w:lastRenderedPageBreak/>
        <w:t>opatřeními přijatými v jeho průběhu vznikla škoda nebo jiná újma právo na náhradu takové škody či jiné újmy vůči  insolvenčnímu navrhovateli. Pokud je tedy insolvenčním navrhovatelem PO, ručí za splnění náhrady škody nebo jiné újmy společně a nerozdílně členové SO. Této povinnosti se však mohou zprostit, pokud prokáží, že po podání insolvenčního návrhu informovali insolvenční soud o tom, že návrh není podán důvodně nebo o tom, že není splněn některý z předpokladů stanovených zákonem pro vydání rozhodnutí o úpadku.</w:t>
      </w:r>
      <w:r w:rsidRPr="00494962">
        <w:rPr>
          <w:rFonts w:eastAsia="Garamond" w:cs="Garamond"/>
          <w:vertAlign w:val="superscript"/>
        </w:rPr>
        <w:footnoteReference w:id="171"/>
      </w:r>
    </w:p>
    <w:p w:rsidR="00F73F6E" w:rsidRPr="00494962" w:rsidRDefault="00F73F6E" w:rsidP="00F73F6E">
      <w:pPr>
        <w:pStyle w:val="Bezmezer"/>
      </w:pPr>
      <w:r w:rsidRPr="00494962">
        <w:tab/>
        <w:t>Zá</w:t>
      </w:r>
      <w:r w:rsidRPr="00494962">
        <w:rPr>
          <w:lang w:val="de-DE"/>
        </w:rPr>
        <w:t>konn</w:t>
      </w:r>
      <w:r w:rsidRPr="00494962">
        <w:t xml:space="preserve">é ručení vzniká též v souvislosti s přihlašováním pohledávky dle ust. § 181 InsZ a též v souvislosti s reorganizací společnosti dle ust. § 330 odst. 2 a 330a odst. 1 InsZ. </w:t>
      </w:r>
    </w:p>
    <w:p w:rsidR="00F73F6E" w:rsidRPr="00494962" w:rsidRDefault="00F73F6E" w:rsidP="00F73F6E">
      <w:pPr>
        <w:pStyle w:val="Nadpis2"/>
      </w:pPr>
      <w:bookmarkStart w:id="51" w:name="_Toc415065717"/>
      <w:r w:rsidRPr="00494962">
        <w:t>7.4 Dílčí teoretický závěr</w:t>
      </w:r>
      <w:bookmarkEnd w:id="51"/>
      <w:r w:rsidRPr="00494962">
        <w:t xml:space="preserve"> </w:t>
      </w:r>
    </w:p>
    <w:p w:rsidR="00F73F6E" w:rsidRPr="00494962" w:rsidRDefault="00F73F6E" w:rsidP="00F73F6E">
      <w:pPr>
        <w:pStyle w:val="Bezmezer"/>
      </w:pPr>
      <w:r w:rsidRPr="00494962">
        <w:tab/>
        <w:t xml:space="preserve">V závěru považuji za důležité zmínit, že jednatelé jsou institutem ručení postiženi dosti široce. Ručení zaznamenalo oproti úpravě ObchZ zákoníku změny, jak bylo zmíněno výše.  </w:t>
      </w:r>
    </w:p>
    <w:p w:rsidR="00F73F6E" w:rsidRPr="00494962" w:rsidRDefault="00F73F6E" w:rsidP="00F73F6E">
      <w:pPr>
        <w:pStyle w:val="Bezmezer"/>
        <w:rPr>
          <w:i/>
          <w:iCs/>
        </w:rPr>
      </w:pPr>
      <w:r w:rsidRPr="00494962">
        <w:tab/>
      </w:r>
      <w:r w:rsidRPr="00494962">
        <w:rPr>
          <w:i/>
          <w:iCs/>
        </w:rPr>
        <w:t>„Jak je patrné, nová úprava, ač vychází z pravidel zakotvených již v ObchZ, přináší mnoho nového, jak po stránce koncepční, tak i po stránce systematické</w:t>
      </w:r>
      <w:r w:rsidRPr="00494962">
        <w:rPr>
          <w:i/>
          <w:iCs/>
          <w:lang w:val="es-ES_tradnl"/>
        </w:rPr>
        <w:t>. Co se t</w:t>
      </w:r>
      <w:r w:rsidRPr="00494962">
        <w:rPr>
          <w:i/>
          <w:iCs/>
        </w:rPr>
        <w:t xml:space="preserve">ýče sankcí </w:t>
      </w:r>
      <w:r w:rsidRPr="00494962">
        <w:rPr>
          <w:i/>
          <w:iCs/>
          <w:lang w:val="es-ES_tradnl"/>
        </w:rPr>
        <w:t>za poru</w:t>
      </w:r>
      <w:r w:rsidRPr="00494962">
        <w:rPr>
          <w:i/>
          <w:iCs/>
        </w:rPr>
        <w:t>šení povinnosti předcházet úpadku</w:t>
      </w:r>
      <w:r w:rsidRPr="00494962">
        <w:rPr>
          <w:b/>
          <w:bCs/>
          <w:i/>
          <w:iCs/>
        </w:rPr>
        <w:t>,</w:t>
      </w:r>
      <w:r w:rsidRPr="00494962">
        <w:rPr>
          <w:i/>
          <w:iCs/>
        </w:rPr>
        <w:t xml:space="preserve"> akcentuje vývoj poslední doby a reaguje na snahu zabránit účelovému zadlužování obchodních</w:t>
      </w:r>
      <w:r w:rsidRPr="00494962">
        <w:rPr>
          <w:b/>
          <w:bCs/>
          <w:i/>
          <w:iCs/>
        </w:rPr>
        <w:t xml:space="preserve"> </w:t>
      </w:r>
      <w:r w:rsidRPr="00494962">
        <w:rPr>
          <w:i/>
          <w:iCs/>
        </w:rPr>
        <w:t>korporací</w:t>
      </w:r>
      <w:r w:rsidRPr="00494962">
        <w:rPr>
          <w:b/>
          <w:bCs/>
          <w:i/>
          <w:iCs/>
        </w:rPr>
        <w:t xml:space="preserve"> </w:t>
      </w:r>
      <w:r w:rsidRPr="00494962">
        <w:rPr>
          <w:i/>
          <w:iCs/>
        </w:rPr>
        <w:t>skrze mechanismy, jako je povinnost ručení osob, jež jsou oprávněné za korporaci jednat, a jejíž vznik je úzce vázán na povinnost řádného hospodáře.“</w:t>
      </w:r>
      <w:r w:rsidRPr="00494962">
        <w:rPr>
          <w:rFonts w:eastAsia="Garamond" w:cs="Garamond"/>
          <w:vertAlign w:val="superscript"/>
        </w:rPr>
        <w:footnoteReference w:id="172"/>
      </w:r>
    </w:p>
    <w:p w:rsidR="00F73F6E" w:rsidRPr="00494962" w:rsidRDefault="00F73F6E" w:rsidP="00F73F6E">
      <w:pPr>
        <w:pStyle w:val="Bezmezer"/>
      </w:pPr>
      <w:r w:rsidRPr="00494962">
        <w:tab/>
        <w:t xml:space="preserve">Mimo to je potřeba si uvědomit, že úpravu ručení jednatelů jako SO nalezneme ve velké míře i v ust. InsZ. </w:t>
      </w:r>
    </w:p>
    <w:p w:rsidR="00F73F6E" w:rsidRPr="00494962" w:rsidRDefault="00F73F6E" w:rsidP="00F73F6E">
      <w:pPr>
        <w:pStyle w:val="Nadpis1"/>
      </w:pPr>
      <w:r w:rsidRPr="00494962">
        <w:br w:type="page"/>
      </w:r>
      <w:bookmarkStart w:id="52" w:name="_Toc415065718"/>
      <w:r w:rsidRPr="00494962">
        <w:rPr>
          <w:rFonts w:eastAsia="Arial Unicode MS"/>
        </w:rPr>
        <w:lastRenderedPageBreak/>
        <w:t>Závěr</w:t>
      </w:r>
      <w:bookmarkEnd w:id="52"/>
    </w:p>
    <w:p w:rsidR="00F73F6E" w:rsidRPr="00494962" w:rsidRDefault="00F73F6E" w:rsidP="00F73F6E">
      <w:pPr>
        <w:pStyle w:val="Bezmezer"/>
      </w:pPr>
      <w:r w:rsidRPr="00494962">
        <w:tab/>
        <w:t xml:space="preserve">V úvodu své diplomové práce jsem naznačila tezi, že v případě jednatelů se jedná o velmi odpovědný orgán s.r.o. Myslím si, že jednotlivé kapitoly mé diplomové práce tuto mou tezi jen potvrzují. Na jednatele jako na SO s.r.o. jsou kladeny nemalé nároky a to již </w:t>
      </w:r>
      <w:r w:rsidRPr="00494962">
        <w:rPr>
          <w:lang w:val="es-ES_tradnl"/>
        </w:rPr>
        <w:t>co se t</w:t>
      </w:r>
      <w:r w:rsidRPr="00494962">
        <w:t>ýče předpokladů pro výkon funkce. Dále bě</w:t>
      </w:r>
      <w:r w:rsidRPr="00494962">
        <w:rPr>
          <w:lang w:val="pt-PT"/>
        </w:rPr>
        <w:t>hem cel</w:t>
      </w:r>
      <w:r w:rsidRPr="00494962">
        <w:t>ého výkonu funkce musí dbát na správnost svého jednání, též mimo jiné s ohledem na péči řádného hospodáře a stř</w:t>
      </w:r>
      <w:r w:rsidRPr="00494962">
        <w:rPr>
          <w:lang w:val="nl-NL"/>
        </w:rPr>
        <w:t>et z</w:t>
      </w:r>
      <w:r w:rsidRPr="00494962">
        <w:t>ájmů. V případě, že nebude postupovat v souladu se zákonem, hrozí mu vyloučení z výkonu funkce jednatele, popř. bude muset vydat prospěch získaný ze smlouvy o výkonu funkce či jiný prospě</w:t>
      </w:r>
      <w:r w:rsidRPr="00494962">
        <w:rPr>
          <w:lang w:val="fr-FR"/>
        </w:rPr>
        <w:t>ch. Ex lege se v</w:t>
      </w:r>
      <w:r w:rsidRPr="00494962">
        <w:t xml:space="preserve"> zákonem stanovených případech stává ručitelem. Nemluvě o množství povinností, které mu ze zákona, popř. ze smlouvy o výkonu funkce vyplývají. </w:t>
      </w:r>
    </w:p>
    <w:p w:rsidR="00F73F6E" w:rsidRPr="00494962" w:rsidRDefault="00F73F6E" w:rsidP="00F73F6E">
      <w:pPr>
        <w:pStyle w:val="Bezmezer"/>
      </w:pPr>
      <w:r w:rsidRPr="00494962">
        <w:tab/>
        <w:t xml:space="preserve">Cílem mé diplomové práce bylo zejména postihnout problematické aspekty týkajících jednatelů s ohledem na přímý výkon funkce. V souladu s tímto cílem jsem v kapitolách týkajících se výkonu funkce jednatele rozebrala a kriticky zhodnotila jednotlivá problematická místa. Jak už bylo naznačeno v úvodu, v souvislosti s rekodifikací soukromého práva v ČR nemohlo být opomenuto i srovnání s právní úpravou platnou a účinnou do konce r. 2013. </w:t>
      </w:r>
    </w:p>
    <w:p w:rsidR="00F73F6E" w:rsidRPr="00494962" w:rsidRDefault="00F73F6E" w:rsidP="00F73F6E">
      <w:pPr>
        <w:pStyle w:val="Bezmezer"/>
      </w:pPr>
      <w:r w:rsidRPr="00494962">
        <w:tab/>
        <w:t xml:space="preserve">Do přijetí OZ a ZOK se jednatelem, resp. členem SO, mohla stát jen FO. Toto se s účinností OZ a ZOK změnilo a jednatelem může být i PO.  </w:t>
      </w:r>
      <w:r w:rsidR="00A83B9B">
        <w:t>V</w:t>
      </w:r>
      <w:r w:rsidRPr="00494962">
        <w:t> rámci současné právní úpravy je umožněn výkon funkce jednatele i osobám, které nedosá</w:t>
      </w:r>
      <w:r w:rsidRPr="00494962">
        <w:rPr>
          <w:lang w:val="de-DE"/>
        </w:rPr>
        <w:t>hli v</w:t>
      </w:r>
      <w:r w:rsidRPr="00494962">
        <w:t>ěku 18 let. To je způsobeno tím, že OZ zavedl možnost dosáhnutí plné svéprávnosti</w:t>
      </w:r>
      <w:r w:rsidR="00A83B9B">
        <w:t>,</w:t>
      </w:r>
      <w:r w:rsidRPr="00494962">
        <w:t xml:space="preserve"> aniž by osoba dosáhla zletilosti, kdy takovouto reflexi považuji za velmi zdařilou. </w:t>
      </w:r>
    </w:p>
    <w:p w:rsidR="00F73F6E" w:rsidRPr="00494962" w:rsidRDefault="00F73F6E" w:rsidP="00F73F6E">
      <w:pPr>
        <w:pStyle w:val="Bezmezer"/>
      </w:pPr>
      <w:r w:rsidRPr="00494962">
        <w:tab/>
        <w:t>Za dost problematický aspekt považuji pojem působnost, který byl ve třetí kapitole dopodrobna rozebrán. Odlišení, zda jde o obchodní vedení či jednatelské oprávnění je důležité pro způsob, jakým mají jednatele jednat a také proto, že omezení jednatelského oprávnění jednatele není vůči třetím osobám účinné. Jelikož je logické, že jednání vyplývající z obchodního vedení zpravidla rezonují navenek, bude se v přeneseném smyslu jednat o omezení jednatelského oprávnění. Na druhou stranu musím přiznat, ž</w:t>
      </w:r>
      <w:r w:rsidRPr="00494962">
        <w:rPr>
          <w:lang w:val="pt-PT"/>
        </w:rPr>
        <w:t>e tento probl</w:t>
      </w:r>
      <w:r w:rsidRPr="00494962">
        <w:t xml:space="preserve">ém pravděpodobně nemá řešení, protože vše určitým způsobem souvisí se vším. </w:t>
      </w:r>
    </w:p>
    <w:p w:rsidR="00F73F6E" w:rsidRPr="00494962" w:rsidRDefault="00F73F6E" w:rsidP="00F73F6E">
      <w:pPr>
        <w:pStyle w:val="Bezmezer"/>
      </w:pPr>
      <w:r w:rsidRPr="00494962">
        <w:tab/>
        <w:t>Považuji za nutné poukázat na to, ž</w:t>
      </w:r>
      <w:r w:rsidRPr="00494962">
        <w:rPr>
          <w:lang w:val="fr-FR"/>
        </w:rPr>
        <w:t>e sou</w:t>
      </w:r>
      <w:r w:rsidRPr="00494962">
        <w:t xml:space="preserve">časná právní úprava přináší jasné prvky péče řádného hospodáře, tj. nezbytná loajalita a potřebné znalosti a pečlivost. Nová právní úprava též explicitně zakotvuje pravidlo podnikatelského úsudku, které bylo doposud dovozováno pouze judikaturou. Je třeba podotknout, že povinnost jednat s péčí řádného hospodáře ovládá funkci jednatele jako SO v systému řízení s.r.o. a má dopady i do oblasti střetu zájmů, ručení, vyloučení </w:t>
      </w:r>
      <w:r w:rsidRPr="00494962">
        <w:lastRenderedPageBreak/>
        <w:t>aj. Je tedy nezbytné, aby si každý jednatel byl vědom, co povinnost péče řádného hospodáře obnáší.</w:t>
      </w:r>
    </w:p>
    <w:p w:rsidR="00F73F6E" w:rsidRPr="00494962" w:rsidRDefault="00F73F6E" w:rsidP="00F73F6E">
      <w:pPr>
        <w:pStyle w:val="Bezmezer"/>
      </w:pPr>
      <w:r w:rsidRPr="00494962">
        <w:tab/>
        <w:t>Osobně považuji právě úpravu povinnosti vykonávat funkci jednatele s péčí řádného hospodáře za jednu z nejzdařilejších v rámci rekodifikace soukromého práva. Mnoho aspektů bylo do účinnosti OZ a ZOK dovozováno pouze judikaturou, ovšem nová právní úprava zakotvila tyto aspekty i do právních předpisů.</w:t>
      </w:r>
    </w:p>
    <w:p w:rsidR="00F73F6E" w:rsidRPr="00494962" w:rsidRDefault="00F73F6E" w:rsidP="00F73F6E">
      <w:pPr>
        <w:pStyle w:val="Bezmezer"/>
      </w:pPr>
      <w:r w:rsidRPr="00494962">
        <w:tab/>
        <w:t xml:space="preserve">Jednatel musí svou funkci vykonávat osobně. Ovšem zákon mu dává možnost, aby se nechal zastoupit. Musela jsem si tedy položit otázku, zda tuto možnost může společenská smlouva vyloučit. S ohledem na ust. § 1 odst. 2 OZ jsem dospěla k závěru, že tak učiněno být může. </w:t>
      </w:r>
    </w:p>
    <w:p w:rsidR="00F73F6E" w:rsidRPr="00494962" w:rsidRDefault="00F73F6E" w:rsidP="00F73F6E">
      <w:pPr>
        <w:pStyle w:val="Bezmezer"/>
      </w:pPr>
      <w:r w:rsidRPr="00494962">
        <w:tab/>
        <w:t xml:space="preserve">Změnu zaznamenalo též odměňování jednatelů. Na rozdíl od úpravy ObchZ, pokud je sjednaná smlouva o výkonu funkce a v rozporu se zákonem zde není uvedena náležitost ohledně odměny, nastává fikce, že výkon funkce je bezúplatný. V rámci úpravy ObchZ bezúplatnost výkonu funkce musela být výslovně dohodnuta nebo se jednatel musel svého existujícího nároku vzdát. V souvislosti s tímto bylo do ZOK zakotveno přechodné ust. § 777. Stávající úpravu proto považuji za přísnější, ovšem nemyslím si, že by nechtěný bezúplatný výkon funkce jednatele byl pravidlem. </w:t>
      </w:r>
    </w:p>
    <w:p w:rsidR="00F73F6E" w:rsidRPr="00494962" w:rsidRDefault="00F73F6E" w:rsidP="00F73F6E">
      <w:pPr>
        <w:pStyle w:val="Bezmezer"/>
      </w:pPr>
      <w:r w:rsidRPr="00494962">
        <w:tab/>
        <w:t>Problematiku střetu zájmů považuji za nejslabší místo ZOK. Zákonodá</w:t>
      </w:r>
      <w:r w:rsidRPr="00494962">
        <w:rPr>
          <w:lang w:val="de-DE"/>
        </w:rPr>
        <w:t>rce sice zav</w:t>
      </w:r>
      <w:r w:rsidRPr="00494962">
        <w:t>ádí nové instituty, díky nímž v současné době mají VH či dozorčí rada prostředky, jak zasáhnout, pokud by jednatel chtěl zneužít svý</w:t>
      </w:r>
      <w:r w:rsidRPr="00494962">
        <w:rPr>
          <w:lang w:val="da-DK"/>
        </w:rPr>
        <w:t>ch opr</w:t>
      </w:r>
      <w:r w:rsidRPr="00494962">
        <w:t xml:space="preserve">ávnění a to prostřednictvím pozastavení výkonu funkce. Ovšem slabých míst je zde příliš mnoho. Ačkoli se ust. § 54 tváří jako obecné aplikovatelné pro všechny členy jakéhokoli orgánu OK, dopadá jen na SO. Za kámen úrazu považuji dikci ust. § 54 odst. 4, kdy kontrolní nebo nejvyšší orgán může pozastavit funkci členu orgánu, </w:t>
      </w:r>
      <w:r w:rsidRPr="00494962">
        <w:rPr>
          <w:b/>
          <w:bCs/>
        </w:rPr>
        <w:t>který oznámí stř</w:t>
      </w:r>
      <w:r w:rsidRPr="00494962">
        <w:rPr>
          <w:b/>
          <w:bCs/>
          <w:lang w:val="nl-NL"/>
        </w:rPr>
        <w:t>et z</w:t>
      </w:r>
      <w:r w:rsidRPr="00494962">
        <w:rPr>
          <w:b/>
          <w:bCs/>
        </w:rPr>
        <w:t xml:space="preserve">ájmů. </w:t>
      </w:r>
      <w:r w:rsidRPr="00494962">
        <w:t>Řešením by bylo doplnění, že výše zmíněné orgány mohou výkon funkce pozastavit nejen členu, který oznámí stř</w:t>
      </w:r>
      <w:r w:rsidRPr="00494962">
        <w:rPr>
          <w:lang w:val="nl-NL"/>
        </w:rPr>
        <w:t>et z</w:t>
      </w:r>
      <w:r w:rsidRPr="00494962">
        <w:t>ájmu, ale též členu orgánu u něhož</w:t>
      </w:r>
      <w:r w:rsidRPr="00494962">
        <w:rPr>
          <w:lang w:val="pt-PT"/>
        </w:rPr>
        <w:t xml:space="preserve"> se o st</w:t>
      </w:r>
      <w:r w:rsidRPr="00494962">
        <w:t xml:space="preserve">řetu zájmů jinak dozví. Dále zákonodárce nezakotvil nic o tom, v jakém rozsahu by měl být výkon funkce pozastaven. Osobně se přikláním k variantě, že by SO měl být pozastaven výkon funkce pouze v oblasti, kde dochází </w:t>
      </w:r>
      <w:r w:rsidRPr="00494962">
        <w:rPr>
          <w:lang w:val="da-DK"/>
        </w:rPr>
        <w:t>ke st</w:t>
      </w:r>
      <w:r w:rsidRPr="00494962">
        <w:t>řetu zájmů. V opačném případě by mohlo dojít k zbytečné</w:t>
      </w:r>
      <w:r w:rsidRPr="00494962">
        <w:rPr>
          <w:lang w:val="sv-SE"/>
        </w:rPr>
        <w:t>mu ochromen</w:t>
      </w:r>
      <w:r w:rsidRPr="00494962">
        <w:t>í rozhodování SO.</w:t>
      </w:r>
    </w:p>
    <w:p w:rsidR="00F73F6E" w:rsidRPr="00494962" w:rsidRDefault="00F73F6E" w:rsidP="00F73F6E">
      <w:pPr>
        <w:pStyle w:val="Bezmezer"/>
      </w:pPr>
      <w:r w:rsidRPr="00494962">
        <w:tab/>
        <w:t xml:space="preserve">Jako velmi dobře zpracovaný nový institut hodnotím vyloučení z výkonu funkce. V současné době </w:t>
      </w:r>
      <w:r w:rsidRPr="00494962">
        <w:rPr>
          <w:lang w:val="de-DE"/>
        </w:rPr>
        <w:t>doch</w:t>
      </w:r>
      <w:r w:rsidRPr="00494962">
        <w:t xml:space="preserve">ází k vyloučení nikoli ze zákona, jak tomu, dalo by se říct, bylo za účinnosti ObchZ, nýbrž o vyloučení rozhoduje soud. Toto považuji za velkou výhodu současné právní úpravy, neboť by neměla nastat situace, že by se jednatel o tom, že byl vyloučen, nedověděl.  </w:t>
      </w:r>
    </w:p>
    <w:p w:rsidR="00F73F6E" w:rsidRPr="00494962" w:rsidRDefault="00F73F6E" w:rsidP="00F73F6E">
      <w:pPr>
        <w:pStyle w:val="Bezmezer"/>
      </w:pPr>
      <w:r w:rsidRPr="00494962">
        <w:lastRenderedPageBreak/>
        <w:tab/>
        <w:t xml:space="preserve">Institut ručení pro jednatele představuje velkou motivaci, aby svou funkci vykonávali v souladu se zákonem. Pokud jednatel vykonává funkci contra legem, zpravidla mu vznikne povinnost ručení </w:t>
      </w:r>
      <w:r w:rsidRPr="00494962">
        <w:rPr>
          <w:lang w:val="fr-FR"/>
        </w:rPr>
        <w:t>ex lege. Mysl</w:t>
      </w:r>
      <w:r w:rsidRPr="00494962">
        <w:t xml:space="preserve">ím si, že takováto úprava je žádoucí a může zabránit účelovému zadlužování obchodních korporací. Samozřejmě s ohledem na pravidlo podnikatelského úsudku jednatelé mohou prokázat, že za daných </w:t>
      </w:r>
      <w:r w:rsidR="00A83B9B">
        <w:t>okolností</w:t>
      </w:r>
      <w:r w:rsidRPr="00494962">
        <w:t xml:space="preserve"> jednali nejlépe, jak mohli a tudíž jim povinnost ručení nevznikne. Existuje tedy možnost určitého vyvinění. </w:t>
      </w:r>
    </w:p>
    <w:p w:rsidR="00F73F6E" w:rsidRPr="00494962" w:rsidRDefault="00F73F6E" w:rsidP="00F73F6E">
      <w:pPr>
        <w:pStyle w:val="Bezmezer"/>
      </w:pPr>
      <w:r w:rsidRPr="00494962">
        <w:tab/>
        <w:t>Současnou úpravu soukromého práva, tedy účinnou od počátku r. 2014</w:t>
      </w:r>
      <w:r w:rsidR="00A83B9B">
        <w:t>,</w:t>
      </w:r>
      <w:r w:rsidRPr="00494962">
        <w:t xml:space="preserve"> považuji za krok správným směrem. Jak již bylo zmíněno výše, některé instituty, které doposud byly dovozovány pouze doktrínou nebo judikaturou byly postaveny napevno zákonem, do právní úpravy byly zavedeny nové instituty, právní úpravě účinné do konce r. 2013 neznámé. Ovšem je třeba upozornit i na určité nedostatky současné právní úpravy, které by se dle mého názoru v zákonech objevovat neměly. Zejména s ohledem na institut střetu zájmů nesrovnalosti byly příliš markantní. </w:t>
      </w:r>
    </w:p>
    <w:p w:rsidR="00F73F6E" w:rsidRPr="00494962" w:rsidRDefault="00F73F6E" w:rsidP="00F73F6E">
      <w:pPr>
        <w:pStyle w:val="Bezmezer"/>
        <w:rPr>
          <w:color w:val="FF0000"/>
        </w:rPr>
      </w:pPr>
      <w:r w:rsidRPr="00494962">
        <w:tab/>
        <w:t>Psaní práce pro mě bylo atraktivní též z toho důvodu, že jsem se seznámila se slovenskou právní úpravou z této oblasti, což jsem v těch pro mě nejzajímavějších bodech promí</w:t>
      </w:r>
      <w:r w:rsidRPr="00494962">
        <w:rPr>
          <w:lang w:val="pt-PT"/>
        </w:rPr>
        <w:t>tla do m</w:t>
      </w:r>
      <w:r w:rsidRPr="00494962">
        <w:t>é diplomové práce. Považuji za vhodné upozornit na tomto místě na některé odlišnosti slovenské a české právní úpravy týkající se jednatelů, kterými jsem se v mé diplomové práci zaobírala.</w:t>
      </w:r>
    </w:p>
    <w:p w:rsidR="00F73F6E" w:rsidRPr="00494962" w:rsidRDefault="00F73F6E" w:rsidP="00F73F6E">
      <w:pPr>
        <w:pStyle w:val="Bezmezer"/>
      </w:pPr>
      <w:r w:rsidRPr="00494962">
        <w:tab/>
        <w:t xml:space="preserve">V současné době může být jednatelem, neboli konateľom s.r.o. jen </w:t>
      </w:r>
      <w:r w:rsidR="00911D39">
        <w:t>FO</w:t>
      </w:r>
      <w:r w:rsidRPr="00494962">
        <w:t xml:space="preserve">, což je velký rozdíl oproti právní úpravě české, kde jednatelem může být i PO. Za zdařilejší úpravu v rámci slovenské právní úpravy s.r.o. považuji úpravu pojmu loajalita. V OZ je loajalita zařazena jako jedna ze složek výkonu funkce s péčí řádného hospodáře, ovšem pojem není dále vysvětlen. Tento nedostatek napravila doktrína. Naproti tomu slovenská právní úprava velice jasně a srozumitelně vymezuje pojem loajalita v ust. § 135a SObchZ, které se týká přímo jednatelů. </w:t>
      </w:r>
      <w:r w:rsidR="00911D39">
        <w:t xml:space="preserve">Zde vidím možnost pro zákonodárce, inspirovat se slovenskou úpravou. </w:t>
      </w:r>
      <w:r w:rsidR="003C44F3">
        <w:t xml:space="preserve">Pravidlo podnikatelské úsudku (riadneho obchodného úsudku) je v rámci slovenské právní úpravy zakomponováno v </w:t>
      </w:r>
      <w:r w:rsidR="00A83B9B">
        <w:t xml:space="preserve">ust. </w:t>
      </w:r>
      <w:r w:rsidR="003C44F3">
        <w:t>§ 135a odst. 3 SObchZ</w:t>
      </w:r>
      <w:r w:rsidR="00A83B9B">
        <w:t xml:space="preserve"> a</w:t>
      </w:r>
      <w:r w:rsidR="003C44F3">
        <w:t xml:space="preserve"> je obdobné s tím, které je zakomponováno v rámci české právní úpravy. </w:t>
      </w:r>
      <w:r w:rsidR="00911D39">
        <w:tab/>
      </w:r>
      <w:r w:rsidR="003C44F3">
        <w:t xml:space="preserve">V současné době, v rámci slovenské právní úpravy, je ve hře velice významná novela, která už byla předložena tamní vládě a výrazným způsobem </w:t>
      </w:r>
      <w:r w:rsidR="00911D39">
        <w:t>by se měla dotknout</w:t>
      </w:r>
      <w:r w:rsidR="003C44F3">
        <w:t xml:space="preserve"> zejména s.r.o., kdy by mělo dojít k rozlišení </w:t>
      </w:r>
      <w:r w:rsidR="00911D39">
        <w:t>dvou typů s.r.o.</w:t>
      </w:r>
      <w:r w:rsidR="00911D39">
        <w:rPr>
          <w:rStyle w:val="Znakapoznpodarou"/>
        </w:rPr>
        <w:footnoteReference w:id="173"/>
      </w:r>
    </w:p>
    <w:p w:rsidR="00F73F6E" w:rsidRPr="00494962" w:rsidRDefault="00F73F6E" w:rsidP="00F73F6E">
      <w:pPr>
        <w:pStyle w:val="Bezmezer"/>
      </w:pPr>
      <w:r w:rsidRPr="00494962">
        <w:rPr>
          <w:lang w:val="de-DE"/>
        </w:rPr>
        <w:lastRenderedPageBreak/>
        <w:tab/>
      </w:r>
      <w:r w:rsidRPr="006727E5">
        <w:rPr>
          <w:lang w:val="de-DE"/>
        </w:rPr>
        <w:t>Douf</w:t>
      </w:r>
      <w:r w:rsidRPr="006727E5">
        <w:t>ám, že</w:t>
      </w:r>
      <w:r w:rsidRPr="00494962">
        <w:t xml:space="preserve"> má práce představuje přínos a to nejen pro osoby s právním vzděláním, ale též pro osoby, které uvažují, že by se stali jednateli, popř. již funkci jednatele vykonávají. </w:t>
      </w:r>
    </w:p>
    <w:p w:rsidR="00F73F6E" w:rsidRPr="00494962" w:rsidRDefault="00F73F6E" w:rsidP="00F73F6E">
      <w:pPr>
        <w:pStyle w:val="Bezmezer"/>
      </w:pPr>
      <w:r w:rsidRPr="00494962">
        <w:tab/>
        <w:t xml:space="preserve">Zpracování diplomové práce na téma Statutární orgán společnosti s ručením omezeným se zaměřením na přímý výkon funkce mi přineslo prohloubení poznatků týkajících se této oblasti. Jsem toho názoru, že jelikož je s.r.o. nejčastěji zakládanou společností v ČR, budu se v praxi s problematikou rozebíranou v mé diplomové práci setkávat a doufám, že ve své práci potřebné naleznu odpovědi. </w:t>
      </w:r>
    </w:p>
    <w:p w:rsidR="00F73F6E" w:rsidRPr="00494962" w:rsidRDefault="00F73F6E" w:rsidP="00F73F6E">
      <w:pPr>
        <w:pStyle w:val="Nadpis1"/>
      </w:pPr>
      <w:r w:rsidRPr="00494962">
        <w:br w:type="page"/>
      </w:r>
      <w:bookmarkStart w:id="53" w:name="_Toc415065719"/>
      <w:r w:rsidRPr="00494962">
        <w:lastRenderedPageBreak/>
        <w:t>Bibliografie</w:t>
      </w:r>
      <w:bookmarkEnd w:id="53"/>
      <w:r w:rsidRPr="00494962">
        <w:t xml:space="preserve"> </w:t>
      </w:r>
    </w:p>
    <w:p w:rsidR="00F73F6E" w:rsidRPr="00494962" w:rsidRDefault="00F73F6E" w:rsidP="00F73F6E">
      <w:pPr>
        <w:rPr>
          <w:b/>
          <w:bCs/>
        </w:rPr>
      </w:pPr>
      <w:r w:rsidRPr="00494962">
        <w:rPr>
          <w:rFonts w:eastAsia="Arial Unicode MS" w:cs="Arial Unicode MS"/>
          <w:b/>
          <w:bCs/>
        </w:rPr>
        <w:t>Monografie</w:t>
      </w:r>
    </w:p>
    <w:p w:rsidR="00F73F6E" w:rsidRPr="00494962" w:rsidRDefault="00F73F6E" w:rsidP="00F73F6E">
      <w:r w:rsidRPr="00494962">
        <w:rPr>
          <w:rFonts w:eastAsia="Arial Unicode MS" w:cs="Arial Unicode MS"/>
        </w:rPr>
        <w:t>BARTOŠÍKOVÁ</w:t>
      </w:r>
      <w:r w:rsidRPr="00494962">
        <w:rPr>
          <w:rFonts w:eastAsia="Arial Unicode MS" w:cs="Arial Unicode MS"/>
          <w:lang w:val="pt-PT"/>
        </w:rPr>
        <w:t xml:space="preserve">, Miroslava, </w:t>
      </w:r>
      <w:r w:rsidRPr="00494962">
        <w:rPr>
          <w:rFonts w:eastAsia="Arial Unicode MS" w:cs="Arial Unicode MS"/>
        </w:rPr>
        <w:t xml:space="preserve">ŠTENGLOVÁ, Ivana. </w:t>
      </w:r>
      <w:r w:rsidRPr="00494962">
        <w:rPr>
          <w:rFonts w:eastAsia="Arial Unicode MS" w:cs="Arial Unicode MS"/>
          <w:i/>
          <w:iCs/>
        </w:rPr>
        <w:t>Společnost s ručením omezeným</w:t>
      </w:r>
      <w:r w:rsidRPr="00494962">
        <w:rPr>
          <w:rFonts w:eastAsia="Arial Unicode MS" w:cs="Arial Unicode MS"/>
        </w:rPr>
        <w:t>. 2. vydání. Praha: C.H. Beck, 2006. 660 s.</w:t>
      </w:r>
    </w:p>
    <w:p w:rsidR="00F73F6E" w:rsidRPr="00494962" w:rsidRDefault="00F73F6E" w:rsidP="00F73F6E">
      <w:r w:rsidRPr="00494962">
        <w:rPr>
          <w:rFonts w:eastAsia="Arial Unicode MS" w:cs="Arial Unicode MS"/>
        </w:rPr>
        <w:t xml:space="preserve">ČERNÁ, Stanislava, ČECH, Petr a kol. </w:t>
      </w:r>
      <w:r w:rsidRPr="00494962">
        <w:rPr>
          <w:rFonts w:eastAsia="Arial Unicode MS" w:cs="Arial Unicode MS"/>
          <w:i/>
          <w:iCs/>
        </w:rPr>
        <w:t>Právo společností-ohlednutí za dvěma desetiletími účinnosti obchodního zákoníku. Pocta Ivaně Štenglové k 70. narozeninám.</w:t>
      </w:r>
      <w:r w:rsidRPr="00494962">
        <w:rPr>
          <w:rFonts w:eastAsia="Arial Unicode MS" w:cs="Arial Unicode MS"/>
        </w:rPr>
        <w:t xml:space="preserve"> Praha: C. H. Beck. 2012. 288 s.</w:t>
      </w:r>
    </w:p>
    <w:p w:rsidR="00F73F6E" w:rsidRPr="00494962" w:rsidRDefault="00F73F6E" w:rsidP="00F73F6E">
      <w:r w:rsidRPr="00494962">
        <w:rPr>
          <w:rFonts w:eastAsia="Arial Unicode MS" w:cs="Arial Unicode MS"/>
        </w:rPr>
        <w:t xml:space="preserve">DVOŘÁK, Tomáš. </w:t>
      </w:r>
      <w:r w:rsidRPr="00494962">
        <w:rPr>
          <w:rFonts w:eastAsia="Arial Unicode MS" w:cs="Arial Unicode MS"/>
          <w:i/>
          <w:iCs/>
        </w:rPr>
        <w:t>Společnost s ručením omezeným</w:t>
      </w:r>
      <w:r w:rsidRPr="00494962">
        <w:rPr>
          <w:rFonts w:eastAsia="Arial Unicode MS" w:cs="Arial Unicode MS"/>
          <w:lang w:val="nl-NL"/>
        </w:rPr>
        <w:t xml:space="preserve">. Praha: Wolters Kluwer, 2014. 696 s. </w:t>
      </w:r>
    </w:p>
    <w:p w:rsidR="00F73F6E" w:rsidRPr="00494962" w:rsidRDefault="00F73F6E" w:rsidP="00F73F6E">
      <w:r w:rsidRPr="00494962">
        <w:rPr>
          <w:rFonts w:eastAsia="Arial Unicode MS" w:cs="Arial Unicode MS"/>
        </w:rPr>
        <w:t xml:space="preserve">DVOŘÁK, Tomáš. </w:t>
      </w:r>
      <w:r w:rsidRPr="00494962">
        <w:rPr>
          <w:rFonts w:eastAsia="Arial Unicode MS" w:cs="Arial Unicode MS"/>
          <w:i/>
          <w:iCs/>
        </w:rPr>
        <w:t>Společnost s ručením omezením.</w:t>
      </w:r>
      <w:r w:rsidRPr="00494962">
        <w:rPr>
          <w:rFonts w:eastAsia="Arial Unicode MS" w:cs="Arial Unicode MS"/>
        </w:rPr>
        <w:t xml:space="preserve"> 2. přepracované a rozšířené vydání, Praha: ASPI, a.s., 2005. 518 s.</w:t>
      </w:r>
    </w:p>
    <w:p w:rsidR="00F73F6E" w:rsidRPr="00494962" w:rsidRDefault="00F73F6E" w:rsidP="00F73F6E">
      <w:r w:rsidRPr="00494962">
        <w:rPr>
          <w:rFonts w:eastAsia="Arial Unicode MS" w:cs="Arial Unicode MS"/>
        </w:rPr>
        <w:t xml:space="preserve">ELIÁŠ, Karel a kol. </w:t>
      </w:r>
      <w:r w:rsidRPr="00494962">
        <w:rPr>
          <w:rFonts w:eastAsia="Arial Unicode MS" w:cs="Arial Unicode MS"/>
          <w:i/>
          <w:iCs/>
        </w:rPr>
        <w:t xml:space="preserve">Kurs obchodního práva. Právnické osoby jako podnikatelé. </w:t>
      </w:r>
      <w:r w:rsidRPr="00494962">
        <w:rPr>
          <w:rFonts w:eastAsia="Arial Unicode MS" w:cs="Arial Unicode MS"/>
        </w:rPr>
        <w:t>5. vydání. Praha: C. H. Beck, 2005. 617 s.</w:t>
      </w:r>
    </w:p>
    <w:p w:rsidR="00F73F6E" w:rsidRPr="00494962" w:rsidRDefault="00F73F6E" w:rsidP="00F73F6E">
      <w:r w:rsidRPr="00494962">
        <w:rPr>
          <w:rFonts w:eastAsia="Arial Unicode MS" w:cs="Arial Unicode MS"/>
        </w:rPr>
        <w:t xml:space="preserve">ELIÁŠ, Karel. </w:t>
      </w:r>
      <w:r w:rsidRPr="00494962">
        <w:rPr>
          <w:rFonts w:eastAsia="Arial Unicode MS" w:cs="Arial Unicode MS"/>
          <w:i/>
          <w:iCs/>
        </w:rPr>
        <w:t>Společnost s ručením omezeným</w:t>
      </w:r>
      <w:r w:rsidRPr="00494962">
        <w:rPr>
          <w:rFonts w:eastAsia="Arial Unicode MS" w:cs="Arial Unicode MS"/>
        </w:rPr>
        <w:t>. Praha: Prospektrum, 1997. 254 s.</w:t>
      </w:r>
    </w:p>
    <w:p w:rsidR="00F73F6E" w:rsidRPr="00494962" w:rsidRDefault="00F73F6E" w:rsidP="00F73F6E">
      <w:r w:rsidRPr="00494962">
        <w:rPr>
          <w:rFonts w:eastAsia="Arial Unicode MS" w:cs="Arial Unicode MS"/>
        </w:rPr>
        <w:t xml:space="preserve">FALDYNA, František a kol. </w:t>
      </w:r>
      <w:r w:rsidRPr="00494962">
        <w:rPr>
          <w:rFonts w:eastAsia="Arial Unicode MS" w:cs="Arial Unicode MS"/>
          <w:i/>
          <w:iCs/>
        </w:rPr>
        <w:t>Obchodní právo. Meritum</w:t>
      </w:r>
      <w:r w:rsidRPr="00494962">
        <w:rPr>
          <w:rFonts w:eastAsia="Arial Unicode MS" w:cs="Arial Unicode MS"/>
          <w:lang w:val="nl-NL"/>
        </w:rPr>
        <w:t xml:space="preserve">. Praha: Wolters Kluwer </w:t>
      </w:r>
      <w:r w:rsidRPr="00494962">
        <w:rPr>
          <w:rFonts w:eastAsia="Arial Unicode MS" w:cs="Arial Unicode MS"/>
        </w:rPr>
        <w:t xml:space="preserve">ČR, 2010. 1170 s. </w:t>
      </w:r>
    </w:p>
    <w:p w:rsidR="00F73F6E" w:rsidRPr="00494962" w:rsidRDefault="00F73F6E" w:rsidP="00F73F6E">
      <w:r w:rsidRPr="00494962">
        <w:rPr>
          <w:rFonts w:eastAsia="Arial Unicode MS" w:cs="Arial Unicode MS"/>
        </w:rPr>
        <w:t xml:space="preserve">FALDYNA, František a kol. (ed). </w:t>
      </w:r>
      <w:r w:rsidRPr="00494962">
        <w:rPr>
          <w:rFonts w:eastAsia="Arial Unicode MS" w:cs="Arial Unicode MS"/>
          <w:i/>
          <w:iCs/>
        </w:rPr>
        <w:t>Obchodní zákoník s </w:t>
      </w:r>
      <w:r w:rsidRPr="00494962">
        <w:rPr>
          <w:rFonts w:eastAsia="Arial Unicode MS" w:cs="Arial Unicode MS"/>
          <w:i/>
          <w:iCs/>
          <w:lang w:val="nl-NL"/>
        </w:rPr>
        <w:t>koment</w:t>
      </w:r>
      <w:r w:rsidRPr="00494962">
        <w:rPr>
          <w:rFonts w:eastAsia="Arial Unicode MS" w:cs="Arial Unicode MS"/>
          <w:i/>
          <w:iCs/>
        </w:rPr>
        <w:t>ářem I. díl.</w:t>
      </w:r>
      <w:r w:rsidRPr="00494962">
        <w:rPr>
          <w:rFonts w:eastAsia="Arial Unicode MS" w:cs="Arial Unicode MS"/>
        </w:rPr>
        <w:t xml:space="preserve"> Praha: CODEX Bohemia, s.r.o., 2000. 647 s.</w:t>
      </w:r>
    </w:p>
    <w:p w:rsidR="00F73F6E" w:rsidRPr="00494962" w:rsidRDefault="00F73F6E" w:rsidP="00F73F6E">
      <w:r w:rsidRPr="00494962">
        <w:rPr>
          <w:rFonts w:eastAsia="Arial Unicode MS" w:cs="Arial Unicode MS"/>
        </w:rPr>
        <w:t xml:space="preserve">KAMENÍK, Petr, HRABÁNKOVÁ, Milada, ORLOVÁ, Marie. </w:t>
      </w:r>
      <w:r w:rsidRPr="00494962">
        <w:rPr>
          <w:rFonts w:eastAsia="Arial Unicode MS" w:cs="Arial Unicode MS"/>
          <w:i/>
          <w:iCs/>
        </w:rPr>
        <w:t>Živnostenský zákon. Zákon o živnostenských úřadech. Komentář</w:t>
      </w:r>
      <w:r w:rsidRPr="00494962">
        <w:rPr>
          <w:rFonts w:eastAsia="Arial Unicode MS" w:cs="Arial Unicode MS"/>
          <w:lang w:val="nl-NL"/>
        </w:rPr>
        <w:t>. Praha: Wolters Kluwer, a.s., 2014, 376 s.</w:t>
      </w:r>
    </w:p>
    <w:p w:rsidR="00F73F6E" w:rsidRPr="00494962" w:rsidRDefault="00F73F6E" w:rsidP="00F73F6E">
      <w:r w:rsidRPr="00494962">
        <w:rPr>
          <w:rFonts w:eastAsia="Arial Unicode MS" w:cs="Arial Unicode MS"/>
        </w:rPr>
        <w:t xml:space="preserve">LAVICKÝ, Petr a kol. (ed). </w:t>
      </w:r>
      <w:r w:rsidRPr="00494962">
        <w:rPr>
          <w:rFonts w:eastAsia="Arial Unicode MS" w:cs="Arial Unicode MS"/>
          <w:i/>
          <w:iCs/>
        </w:rPr>
        <w:t xml:space="preserve">Občanský zákoník I. Obecná část (§ 1−654). Komentář. </w:t>
      </w:r>
      <w:r w:rsidRPr="00494962">
        <w:rPr>
          <w:rFonts w:eastAsia="Arial Unicode MS" w:cs="Arial Unicode MS"/>
        </w:rPr>
        <w:t>1. vydání, Praha: C. H. Beck, 2014. 2380 s.</w:t>
      </w:r>
    </w:p>
    <w:p w:rsidR="00F73F6E" w:rsidRPr="00494962" w:rsidRDefault="00F73F6E" w:rsidP="00F73F6E">
      <w:r w:rsidRPr="00494962">
        <w:rPr>
          <w:rFonts w:eastAsia="Arial Unicode MS" w:cs="Arial Unicode MS"/>
        </w:rPr>
        <w:t xml:space="preserve">OVEČKOVÁ, Oľga. </w:t>
      </w:r>
      <w:r w:rsidRPr="00494962">
        <w:rPr>
          <w:rFonts w:eastAsia="Arial Unicode MS" w:cs="Arial Unicode MS"/>
          <w:i/>
          <w:iCs/>
        </w:rPr>
        <w:t>Obchodný zá</w:t>
      </w:r>
      <w:r w:rsidRPr="00494962">
        <w:rPr>
          <w:rFonts w:eastAsia="Arial Unicode MS" w:cs="Arial Unicode MS"/>
          <w:i/>
          <w:iCs/>
          <w:lang w:val="de-DE"/>
        </w:rPr>
        <w:t>konn</w:t>
      </w:r>
      <w:r w:rsidRPr="00494962">
        <w:rPr>
          <w:rFonts w:eastAsia="Arial Unicode MS" w:cs="Arial Unicode MS"/>
          <w:i/>
          <w:iCs/>
        </w:rPr>
        <w:t>ík. Komentár</w:t>
      </w:r>
      <w:r w:rsidRPr="00494962">
        <w:rPr>
          <w:rFonts w:eastAsia="Arial Unicode MS" w:cs="Arial Unicode MS"/>
        </w:rPr>
        <w:t xml:space="preserve">. 2. doplnené a prepracované vydanie. Bratislava: IURA EDITIN, spol. s r.o., 2008. 983 s. </w:t>
      </w:r>
    </w:p>
    <w:p w:rsidR="00F73F6E" w:rsidRPr="00494962" w:rsidRDefault="00F73F6E" w:rsidP="00F73F6E">
      <w:r w:rsidRPr="00494962">
        <w:rPr>
          <w:rFonts w:eastAsia="Arial Unicode MS" w:cs="Arial Unicode MS"/>
        </w:rPr>
        <w:t xml:space="preserve">ŠTENGLOVÁ, Ivana a kol. (ed). </w:t>
      </w:r>
      <w:r w:rsidRPr="00494962">
        <w:rPr>
          <w:rFonts w:eastAsia="Arial Unicode MS" w:cs="Arial Unicode MS"/>
          <w:i/>
          <w:iCs/>
        </w:rPr>
        <w:t>Zákon o obchodních korporacích. Komentář.</w:t>
      </w:r>
      <w:r w:rsidRPr="00494962">
        <w:rPr>
          <w:rFonts w:eastAsia="Arial Unicode MS" w:cs="Arial Unicode MS"/>
        </w:rPr>
        <w:t xml:space="preserve"> 1. vydání. Praha: C. H. Beck, 2013. 994 s. </w:t>
      </w:r>
    </w:p>
    <w:p w:rsidR="00F73F6E" w:rsidRPr="00494962" w:rsidRDefault="00F73F6E" w:rsidP="00F73F6E">
      <w:pPr>
        <w:rPr>
          <w:lang w:val="nl-NL"/>
        </w:rPr>
      </w:pPr>
      <w:r w:rsidRPr="00494962">
        <w:rPr>
          <w:rFonts w:eastAsia="Arial Unicode MS" w:cs="Arial Unicode MS"/>
        </w:rPr>
        <w:t xml:space="preserve">VÍTEK, Jindřich. </w:t>
      </w:r>
      <w:r w:rsidRPr="00494962">
        <w:rPr>
          <w:rFonts w:eastAsia="Arial Unicode MS" w:cs="Arial Unicode MS"/>
          <w:i/>
          <w:iCs/>
        </w:rPr>
        <w:t>Odpovědnost statutárních orgánů obchodních společností</w:t>
      </w:r>
      <w:r w:rsidRPr="00494962">
        <w:rPr>
          <w:rFonts w:eastAsia="Arial Unicode MS" w:cs="Arial Unicode MS"/>
          <w:lang w:val="nl-NL"/>
        </w:rPr>
        <w:t xml:space="preserve">. Praha: Wolters Kluwer, 2012. 388 s. </w:t>
      </w:r>
    </w:p>
    <w:p w:rsidR="00F73F6E" w:rsidRPr="00494962" w:rsidRDefault="00F73F6E" w:rsidP="00F73F6E">
      <w:pPr>
        <w:rPr>
          <w:lang w:val="nl-NL"/>
        </w:rPr>
      </w:pPr>
      <w:r w:rsidRPr="00494962">
        <w:rPr>
          <w:rFonts w:eastAsia="Arial Unicode MS" w:cs="Arial Unicode MS"/>
          <w:lang w:val="nl-NL"/>
        </w:rPr>
        <w:t>VRAJÍ</w:t>
      </w:r>
      <w:r w:rsidRPr="00494962">
        <w:rPr>
          <w:rFonts w:eastAsia="Arial Unicode MS" w:cs="Arial Unicode MS"/>
          <w:lang w:val="de-DE"/>
        </w:rPr>
        <w:t xml:space="preserve">K, Michal. </w:t>
      </w:r>
      <w:r w:rsidRPr="00494962">
        <w:rPr>
          <w:rFonts w:eastAsia="Arial Unicode MS" w:cs="Arial Unicode MS"/>
          <w:i/>
          <w:iCs/>
          <w:lang w:val="nl-NL"/>
        </w:rPr>
        <w:t>Judikatura Nejvyššího soudu z pohledu nového občanského zákoníku a zákona o obchodních korporacích</w:t>
      </w:r>
      <w:r w:rsidRPr="00494962">
        <w:rPr>
          <w:rFonts w:eastAsia="Arial Unicode MS" w:cs="Arial Unicode MS"/>
          <w:lang w:val="nl-NL"/>
        </w:rPr>
        <w:t>. Praha: Nakladatelství Anag, 2014. 851 s.</w:t>
      </w:r>
    </w:p>
    <w:p w:rsidR="00F73F6E" w:rsidRPr="00494962" w:rsidRDefault="00F73F6E" w:rsidP="00F73F6E">
      <w:pPr>
        <w:pStyle w:val="Textpoznpodarou"/>
        <w:rPr>
          <w:sz w:val="24"/>
          <w:szCs w:val="24"/>
        </w:rPr>
      </w:pPr>
    </w:p>
    <w:p w:rsidR="00F73F6E" w:rsidRPr="00494962" w:rsidRDefault="00F73F6E" w:rsidP="00F73F6E">
      <w:pPr>
        <w:rPr>
          <w:b/>
          <w:bCs/>
          <w:lang w:val="nl-NL"/>
        </w:rPr>
      </w:pPr>
      <w:r w:rsidRPr="00494962">
        <w:rPr>
          <w:rFonts w:eastAsia="Arial Unicode MS" w:cs="Arial Unicode MS"/>
          <w:b/>
          <w:bCs/>
          <w:lang w:val="nl-NL"/>
        </w:rPr>
        <w:t>Odborné články</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BALÝOVÁ, Lucie. Péče řádného hospodáře ve volených orgánech obchodních korporací ve světle rekodifikace. </w:t>
      </w:r>
      <w:r w:rsidRPr="00494962">
        <w:rPr>
          <w:rFonts w:eastAsia="Arial Unicode MS" w:cs="Arial Unicode MS"/>
          <w:i/>
          <w:iCs/>
          <w:sz w:val="24"/>
          <w:szCs w:val="24"/>
        </w:rPr>
        <w:t>Obchodněprávní revue</w:t>
      </w:r>
      <w:r w:rsidRPr="00494962">
        <w:rPr>
          <w:rFonts w:eastAsia="Arial Unicode MS" w:cs="Arial Unicode MS"/>
          <w:sz w:val="24"/>
          <w:szCs w:val="24"/>
        </w:rPr>
        <w:t>, 2014, roč. 6 č. 7-8, s. 212 - 215</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ČECH, Petr. Péče řádného hospodáře a povinnost loajality. </w:t>
      </w:r>
      <w:r w:rsidRPr="00494962">
        <w:rPr>
          <w:rFonts w:eastAsia="Arial Unicode MS" w:cs="Arial Unicode MS"/>
          <w:i/>
          <w:iCs/>
          <w:sz w:val="24"/>
          <w:szCs w:val="24"/>
        </w:rPr>
        <w:t xml:space="preserve">Právní rádce, </w:t>
      </w:r>
      <w:r w:rsidRPr="00494962">
        <w:rPr>
          <w:rFonts w:eastAsia="Arial Unicode MS" w:cs="Arial Unicode MS"/>
          <w:sz w:val="24"/>
          <w:szCs w:val="24"/>
        </w:rPr>
        <w:t>2007, roč. 15, č. 3, s. 4 - 16.</w:t>
      </w:r>
    </w:p>
    <w:p w:rsidR="00F73F6E" w:rsidRPr="00494962" w:rsidRDefault="00F73F6E" w:rsidP="00F73F6E">
      <w:pPr>
        <w:pStyle w:val="Textpoznpodarou"/>
        <w:rPr>
          <w:sz w:val="24"/>
          <w:szCs w:val="24"/>
        </w:rPr>
      </w:pPr>
      <w:r w:rsidRPr="00494962">
        <w:rPr>
          <w:rFonts w:eastAsia="Arial Unicode MS" w:cs="Arial Unicode MS"/>
          <w:sz w:val="24"/>
          <w:szCs w:val="24"/>
        </w:rPr>
        <w:lastRenderedPageBreak/>
        <w:t xml:space="preserve">ČECH, Petr. S.R.O. po rekodifikaci. </w:t>
      </w:r>
      <w:r w:rsidRPr="00494962">
        <w:rPr>
          <w:rFonts w:eastAsia="Arial Unicode MS" w:cs="Arial Unicode MS"/>
          <w:i/>
          <w:iCs/>
          <w:sz w:val="24"/>
          <w:szCs w:val="24"/>
        </w:rPr>
        <w:t>Právní rádce</w:t>
      </w:r>
      <w:r w:rsidRPr="00494962">
        <w:rPr>
          <w:rFonts w:eastAsia="Arial Unicode MS" w:cs="Arial Unicode MS"/>
          <w:sz w:val="24"/>
          <w:szCs w:val="24"/>
        </w:rPr>
        <w:t>, 2012, roč. 20, č. 5, s. 14 - 16.</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DĚDIČ, Jan. Obecná úprava právnických osob v novém občanském zákoníku. </w:t>
      </w:r>
      <w:r w:rsidRPr="00494962">
        <w:rPr>
          <w:rFonts w:eastAsia="Arial Unicode MS" w:cs="Arial Unicode MS"/>
          <w:i/>
          <w:iCs/>
          <w:sz w:val="24"/>
          <w:szCs w:val="24"/>
        </w:rPr>
        <w:t>Obchodní právo</w:t>
      </w:r>
      <w:r w:rsidRPr="00494962">
        <w:rPr>
          <w:rFonts w:eastAsia="Arial Unicode MS" w:cs="Arial Unicode MS"/>
          <w:sz w:val="24"/>
          <w:szCs w:val="24"/>
        </w:rPr>
        <w:t xml:space="preserve">, 2012, roč. 20, č. 1, s. 2-12. </w:t>
      </w:r>
    </w:p>
    <w:p w:rsidR="00F73F6E" w:rsidRPr="00494962" w:rsidRDefault="00F73F6E" w:rsidP="00F73F6E">
      <w:pPr>
        <w:pStyle w:val="Textpoznpodarou"/>
      </w:pPr>
      <w:r w:rsidRPr="00494962">
        <w:rPr>
          <w:rFonts w:eastAsia="Arial Unicode MS" w:cs="Arial Unicode MS"/>
          <w:sz w:val="24"/>
          <w:szCs w:val="24"/>
        </w:rPr>
        <w:t xml:space="preserve">DĚDIČ, Jan. Úprava konfliktů zájmů v zákoně o obchodních korporacích ve vazbě na nový občanský zákoník. </w:t>
      </w:r>
      <w:r w:rsidRPr="00494962">
        <w:rPr>
          <w:rFonts w:eastAsia="Arial Unicode MS" w:cs="Arial Unicode MS"/>
          <w:i/>
          <w:iCs/>
          <w:sz w:val="24"/>
          <w:szCs w:val="24"/>
        </w:rPr>
        <w:t>Právní rozhl</w:t>
      </w:r>
      <w:r w:rsidRPr="00494962">
        <w:rPr>
          <w:rFonts w:eastAsia="Arial Unicode MS" w:cs="Arial Unicode MS"/>
          <w:sz w:val="24"/>
          <w:szCs w:val="24"/>
        </w:rPr>
        <w:t>edy, 2014, roč.</w:t>
      </w:r>
      <w:r w:rsidRPr="00494962">
        <w:rPr>
          <w:rFonts w:eastAsia="Arial Unicode MS" w:cs="Arial Unicode MS"/>
        </w:rPr>
        <w:t xml:space="preserve"> </w:t>
      </w:r>
      <w:r w:rsidRPr="00494962">
        <w:rPr>
          <w:rFonts w:eastAsia="Arial Unicode MS" w:cs="Arial Unicode MS"/>
          <w:sz w:val="24"/>
          <w:szCs w:val="24"/>
        </w:rPr>
        <w:t>22, č.15-16,</w:t>
      </w:r>
      <w:r w:rsidRPr="00494962">
        <w:rPr>
          <w:rFonts w:eastAsia="Arial Unicode MS" w:cs="Arial Unicode MS"/>
        </w:rPr>
        <w:t xml:space="preserve"> s. </w:t>
      </w:r>
      <w:r w:rsidRPr="00494962">
        <w:rPr>
          <w:rFonts w:eastAsia="Arial Unicode MS" w:cs="Arial Unicode MS"/>
          <w:sz w:val="24"/>
          <w:szCs w:val="24"/>
        </w:rPr>
        <w:t>524-532</w:t>
      </w:r>
      <w:r w:rsidRPr="00494962">
        <w:rPr>
          <w:rFonts w:eastAsia="Arial Unicode MS" w:cs="Arial Unicode MS"/>
        </w:rPr>
        <w:t>.</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DĚDIČ, Jan, LASÁK, Jan. Právnická osoba jako člen orgánu obchodní korporace - vybrané otázky (1. část). </w:t>
      </w:r>
      <w:r w:rsidRPr="00494962">
        <w:rPr>
          <w:rFonts w:eastAsia="Arial Unicode MS" w:cs="Arial Unicode MS"/>
          <w:i/>
          <w:iCs/>
          <w:sz w:val="24"/>
          <w:szCs w:val="24"/>
        </w:rPr>
        <w:t>Obchodněprávní revue</w:t>
      </w:r>
      <w:r w:rsidRPr="00494962">
        <w:rPr>
          <w:rFonts w:eastAsia="Arial Unicode MS" w:cs="Arial Unicode MS"/>
          <w:sz w:val="24"/>
          <w:szCs w:val="24"/>
        </w:rPr>
        <w:t xml:space="preserve">, 2013, roč. 5, č. 11 - 12, s. 305 - 311. </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DĚDIČ, Jan, LASÁK, Jan. Právnická osoba jako člen orgánu obchodní korporace - vybrané otázky (2.část). </w:t>
      </w:r>
      <w:r w:rsidRPr="00494962">
        <w:rPr>
          <w:rFonts w:eastAsia="Arial Unicode MS" w:cs="Arial Unicode MS"/>
          <w:i/>
          <w:iCs/>
          <w:sz w:val="24"/>
          <w:szCs w:val="24"/>
        </w:rPr>
        <w:t>Obchodněprávní revue</w:t>
      </w:r>
      <w:r w:rsidRPr="00494962">
        <w:rPr>
          <w:rFonts w:eastAsia="Arial Unicode MS" w:cs="Arial Unicode MS"/>
          <w:sz w:val="24"/>
          <w:szCs w:val="24"/>
        </w:rPr>
        <w:t>, 2014, roč. 6, č. 1, s. 1 - 5.</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HÁMORSKÁ, Andrea. Povinnost členů orgánů obchodních korporací jednat s péčí řádného hospodáře po rekodifikaci. </w:t>
      </w:r>
      <w:r w:rsidRPr="00494962">
        <w:rPr>
          <w:rFonts w:eastAsia="Arial Unicode MS" w:cs="Arial Unicode MS"/>
          <w:i/>
          <w:iCs/>
          <w:sz w:val="24"/>
          <w:szCs w:val="24"/>
        </w:rPr>
        <w:t>Obchodněprávní revue</w:t>
      </w:r>
      <w:r w:rsidRPr="00494962">
        <w:rPr>
          <w:rFonts w:eastAsia="Arial Unicode MS" w:cs="Arial Unicode MS"/>
          <w:sz w:val="24"/>
          <w:szCs w:val="24"/>
        </w:rPr>
        <w:t xml:space="preserve">, 2012, roč. 4, č. 9, s. 250 - 255. </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HAVEL, Bohumil. Společnost s ručením omezeným na úsvitu rekodifikace. </w:t>
      </w:r>
      <w:r w:rsidRPr="00494962">
        <w:rPr>
          <w:rFonts w:eastAsia="Arial Unicode MS" w:cs="Arial Unicode MS"/>
          <w:i/>
          <w:iCs/>
          <w:sz w:val="24"/>
          <w:szCs w:val="24"/>
        </w:rPr>
        <w:t>Obchodněprávní revue</w:t>
      </w:r>
      <w:r w:rsidRPr="00494962">
        <w:rPr>
          <w:rFonts w:eastAsia="Arial Unicode MS" w:cs="Arial Unicode MS"/>
          <w:sz w:val="24"/>
          <w:szCs w:val="24"/>
        </w:rPr>
        <w:t xml:space="preserve">, 2011, roč. 3, č. 12, s. 351 - 355. </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JOSKOVÁ, Lucie. Povinnost loajality v akciové společnosti. </w:t>
      </w:r>
      <w:r w:rsidRPr="00494962">
        <w:rPr>
          <w:rFonts w:eastAsia="Arial Unicode MS" w:cs="Arial Unicode MS"/>
          <w:i/>
          <w:iCs/>
          <w:sz w:val="24"/>
          <w:szCs w:val="24"/>
        </w:rPr>
        <w:t>Obchodněprávní revue</w:t>
      </w:r>
      <w:r w:rsidRPr="00494962">
        <w:rPr>
          <w:rFonts w:eastAsia="Arial Unicode MS" w:cs="Arial Unicode MS"/>
          <w:sz w:val="24"/>
          <w:szCs w:val="24"/>
        </w:rPr>
        <w:t>, 2011, roč. 3, č. 9/2011, s. 259 - 267.</w:t>
      </w:r>
    </w:p>
    <w:p w:rsidR="00F73F6E" w:rsidRPr="00494962" w:rsidRDefault="00F73F6E" w:rsidP="00F73F6E">
      <w:pPr>
        <w:pStyle w:val="Textpoznpodarou"/>
        <w:rPr>
          <w:sz w:val="24"/>
          <w:szCs w:val="24"/>
        </w:rPr>
      </w:pPr>
      <w:r w:rsidRPr="00494962">
        <w:rPr>
          <w:rFonts w:eastAsia="Arial Unicode MS" w:cs="Arial Unicode MS"/>
          <w:sz w:val="24"/>
          <w:szCs w:val="24"/>
        </w:rPr>
        <w:t>PELIKÁ</w:t>
      </w:r>
      <w:r w:rsidRPr="00494962">
        <w:rPr>
          <w:rFonts w:eastAsia="Arial Unicode MS" w:cs="Arial Unicode MS"/>
          <w:sz w:val="24"/>
          <w:szCs w:val="24"/>
          <w:lang w:val="de-DE"/>
        </w:rPr>
        <w:t>N, Robert. N</w:t>
      </w:r>
      <w:r w:rsidRPr="00494962">
        <w:rPr>
          <w:rFonts w:eastAsia="Arial Unicode MS" w:cs="Arial Unicode MS"/>
          <w:sz w:val="24"/>
          <w:szCs w:val="24"/>
        </w:rPr>
        <w:t xml:space="preserve">ěkolik poznámek k úpravě společnosti s ručením omezeným v novém zákoně o obchodních korporacích. </w:t>
      </w:r>
      <w:r w:rsidRPr="00494962">
        <w:rPr>
          <w:rFonts w:eastAsia="Arial Unicode MS" w:cs="Arial Unicode MS"/>
          <w:i/>
          <w:iCs/>
          <w:sz w:val="24"/>
          <w:szCs w:val="24"/>
        </w:rPr>
        <w:t>Obchodněprávní revue</w:t>
      </w:r>
      <w:r w:rsidRPr="00494962">
        <w:rPr>
          <w:rFonts w:eastAsia="Arial Unicode MS" w:cs="Arial Unicode MS"/>
          <w:sz w:val="24"/>
          <w:szCs w:val="24"/>
        </w:rPr>
        <w:t>, 2012, roč. 4, č. 3, s. 76 - 79.</w:t>
      </w:r>
    </w:p>
    <w:p w:rsidR="00F73F6E" w:rsidRPr="00494962" w:rsidRDefault="00F73F6E" w:rsidP="00F73F6E">
      <w:pPr>
        <w:pStyle w:val="Textpoznpodarou"/>
        <w:rPr>
          <w:sz w:val="24"/>
          <w:szCs w:val="24"/>
        </w:rPr>
      </w:pPr>
      <w:r w:rsidRPr="00494962">
        <w:rPr>
          <w:rFonts w:eastAsia="Arial Unicode MS" w:cs="Arial Unicode MS"/>
          <w:sz w:val="24"/>
          <w:szCs w:val="24"/>
        </w:rPr>
        <w:t>PIHERA, Vlastimil. Tvrdé já</w:t>
      </w:r>
      <w:r w:rsidRPr="00494962">
        <w:rPr>
          <w:rFonts w:eastAsia="Arial Unicode MS" w:cs="Arial Unicode MS"/>
          <w:sz w:val="24"/>
          <w:szCs w:val="24"/>
          <w:lang w:val="it-IT"/>
        </w:rPr>
        <w:t>dro a</w:t>
      </w:r>
      <w:r w:rsidRPr="00494962">
        <w:rPr>
          <w:rFonts w:eastAsia="Arial Unicode MS" w:cs="Arial Unicode MS"/>
          <w:sz w:val="24"/>
          <w:szCs w:val="24"/>
        </w:rPr>
        <w:t xml:space="preserve"> měkká slupka. Úvaha o odpovědnosti managementu kapitálových společností. </w:t>
      </w:r>
      <w:r w:rsidRPr="00494962">
        <w:rPr>
          <w:rFonts w:eastAsia="Arial Unicode MS" w:cs="Arial Unicode MS"/>
          <w:i/>
          <w:iCs/>
          <w:sz w:val="24"/>
          <w:szCs w:val="24"/>
        </w:rPr>
        <w:t>Obchodněprávní revue</w:t>
      </w:r>
      <w:r w:rsidRPr="00494962">
        <w:rPr>
          <w:rFonts w:eastAsia="Arial Unicode MS" w:cs="Arial Unicode MS"/>
          <w:sz w:val="24"/>
          <w:szCs w:val="24"/>
        </w:rPr>
        <w:t>, 2012, roč. 4,  č. 5, s. 142 - 148.</w:t>
      </w:r>
    </w:p>
    <w:p w:rsidR="00F73F6E" w:rsidRPr="00494962" w:rsidRDefault="00F73F6E" w:rsidP="00F73F6E">
      <w:r w:rsidRPr="00494962">
        <w:rPr>
          <w:rFonts w:eastAsia="Arial Unicode MS" w:cs="Arial Unicode MS"/>
        </w:rPr>
        <w:t xml:space="preserve">PRIELOŽNÝ, Milan. Diskvalifikace (nejen) člena statutárního orgánu po rekodifikaci. </w:t>
      </w:r>
      <w:r w:rsidRPr="00494962">
        <w:rPr>
          <w:rFonts w:eastAsia="Arial Unicode MS" w:cs="Arial Unicode MS"/>
          <w:i/>
          <w:iCs/>
        </w:rPr>
        <w:t>Právní rádce</w:t>
      </w:r>
      <w:r w:rsidRPr="00494962">
        <w:rPr>
          <w:rFonts w:eastAsia="Arial Unicode MS" w:cs="Arial Unicode MS"/>
        </w:rPr>
        <w:t>, 2012, roč. 20, č. 10, s. 24 - 27.</w:t>
      </w:r>
    </w:p>
    <w:p w:rsidR="00F73F6E" w:rsidRPr="00494962" w:rsidRDefault="00F73F6E" w:rsidP="00F73F6E">
      <w:pPr>
        <w:rPr>
          <w:b/>
          <w:bCs/>
        </w:rPr>
      </w:pPr>
    </w:p>
    <w:p w:rsidR="00F73F6E" w:rsidRPr="00494962" w:rsidRDefault="00F73F6E" w:rsidP="00F73F6E">
      <w:r w:rsidRPr="00494962">
        <w:rPr>
          <w:rFonts w:eastAsia="Arial Unicode MS" w:cs="Arial Unicode MS"/>
          <w:b/>
          <w:bCs/>
        </w:rPr>
        <w:t>Právní předpisy</w:t>
      </w:r>
      <w:r w:rsidRPr="00494962">
        <w:rPr>
          <w:rFonts w:eastAsia="Arial Unicode MS" w:cs="Arial Unicode MS"/>
        </w:rPr>
        <w:t>:</w:t>
      </w:r>
    </w:p>
    <w:p w:rsidR="00F73F6E" w:rsidRPr="00494962" w:rsidRDefault="00F73F6E" w:rsidP="00F73F6E">
      <w:r w:rsidRPr="00494962">
        <w:rPr>
          <w:rFonts w:eastAsia="Arial Unicode MS" w:cs="Arial Unicode MS"/>
        </w:rPr>
        <w:t>Zákon č. 58/1906 Ř.z., o společnostech s obmezeným ručením, ve znění  účinném od 15.6.1906</w:t>
      </w:r>
    </w:p>
    <w:p w:rsidR="00F73F6E" w:rsidRPr="00494962" w:rsidRDefault="00F73F6E" w:rsidP="00F73F6E">
      <w:r w:rsidRPr="00494962">
        <w:rPr>
          <w:rFonts w:eastAsia="Arial Unicode MS" w:cs="Arial Unicode MS"/>
        </w:rPr>
        <w:t>Zákon č</w:t>
      </w:r>
      <w:r w:rsidRPr="00494962">
        <w:rPr>
          <w:rFonts w:eastAsia="Arial Unicode MS" w:cs="Arial Unicode MS"/>
          <w:lang w:val="pt-PT"/>
        </w:rPr>
        <w:t>. 11/1918 Sb., o z</w:t>
      </w:r>
      <w:r w:rsidRPr="00494962">
        <w:rPr>
          <w:rFonts w:eastAsia="Arial Unicode MS" w:cs="Arial Unicode MS"/>
        </w:rPr>
        <w:t>řízení samostatného státu československého</w:t>
      </w:r>
      <w:r w:rsidR="00DF19EE">
        <w:rPr>
          <w:rFonts w:eastAsia="Arial Unicode MS" w:cs="Arial Unicode MS"/>
        </w:rPr>
        <w:t xml:space="preserve"> ve znění účinném od 28.10.1918</w:t>
      </w:r>
    </w:p>
    <w:p w:rsidR="00F73F6E" w:rsidRPr="00494962" w:rsidRDefault="00F73F6E" w:rsidP="00F73F6E">
      <w:r w:rsidRPr="00494962">
        <w:rPr>
          <w:rFonts w:eastAsia="Arial Unicode MS" w:cs="Arial Unicode MS"/>
        </w:rPr>
        <w:t>Zákon č. 40/1964 Sb., občanský zákoník, ve znění zákona č. 428/2011 Sb. účinném ke dni 1. </w:t>
      </w:r>
      <w:r w:rsidR="00FB7BA4">
        <w:rPr>
          <w:rFonts w:eastAsia="Arial Unicode MS" w:cs="Arial Unicode MS"/>
        </w:rPr>
        <w:t>1.</w:t>
      </w:r>
      <w:r w:rsidRPr="00494962">
        <w:rPr>
          <w:rFonts w:eastAsia="Arial Unicode MS" w:cs="Arial Unicode MS"/>
        </w:rPr>
        <w:t xml:space="preserve"> 2013</w:t>
      </w:r>
    </w:p>
    <w:p w:rsidR="00F73F6E" w:rsidRPr="00494962" w:rsidRDefault="00F73F6E" w:rsidP="00F73F6E">
      <w:r w:rsidRPr="00494962">
        <w:rPr>
          <w:rFonts w:eastAsia="Arial Unicode MS" w:cs="Arial Unicode MS"/>
        </w:rPr>
        <w:t>Zákon č</w:t>
      </w:r>
      <w:r w:rsidRPr="00494962">
        <w:rPr>
          <w:rFonts w:eastAsia="Arial Unicode MS" w:cs="Arial Unicode MS"/>
          <w:lang w:val="pt-PT"/>
        </w:rPr>
        <w:t xml:space="preserve">. 455/1991 Sb., o </w:t>
      </w:r>
      <w:r w:rsidRPr="00494962">
        <w:rPr>
          <w:rFonts w:eastAsia="Arial Unicode MS" w:cs="Arial Unicode MS"/>
        </w:rPr>
        <w:t>živnostenském podnikání (živnostenský zákon</w:t>
      </w:r>
      <w:r w:rsidR="00FB7BA4">
        <w:rPr>
          <w:rFonts w:eastAsia="Arial Unicode MS" w:cs="Arial Unicode MS"/>
        </w:rPr>
        <w:t>)</w:t>
      </w:r>
      <w:r w:rsidRPr="00494962">
        <w:rPr>
          <w:rFonts w:eastAsia="Arial Unicode MS" w:cs="Arial Unicode MS"/>
        </w:rPr>
        <w:t>, ve znění zákona č. 308/2013 Sb. účinném ke dni 1.12.2013</w:t>
      </w:r>
    </w:p>
    <w:p w:rsidR="00F73F6E" w:rsidRPr="00494962" w:rsidRDefault="00F73F6E" w:rsidP="00F73F6E">
      <w:r w:rsidRPr="00494962">
        <w:rPr>
          <w:rFonts w:eastAsia="Arial Unicode MS" w:cs="Arial Unicode MS"/>
        </w:rPr>
        <w:t>Zákon č. 513/1991 Zb., obchodný zá</w:t>
      </w:r>
      <w:r w:rsidRPr="00494962">
        <w:rPr>
          <w:rFonts w:eastAsia="Arial Unicode MS" w:cs="Arial Unicode MS"/>
          <w:lang w:val="de-DE"/>
        </w:rPr>
        <w:t>konn</w:t>
      </w:r>
      <w:r w:rsidRPr="00494962">
        <w:rPr>
          <w:rFonts w:eastAsia="Arial Unicode MS" w:cs="Arial Unicode MS"/>
        </w:rPr>
        <w:t>ík, ve znění pozdějších předpisů</w:t>
      </w:r>
    </w:p>
    <w:p w:rsidR="00F73F6E" w:rsidRPr="00494962" w:rsidRDefault="00F73F6E" w:rsidP="00F73F6E">
      <w:r w:rsidRPr="00494962">
        <w:rPr>
          <w:rFonts w:eastAsia="Arial Unicode MS" w:cs="Arial Unicode MS"/>
        </w:rPr>
        <w:t>Zákon č. 513/1991 Sb., obchodní zákoník, ve znění zákona č. 179/2013 Sb. účinném ke dni 1. </w:t>
      </w:r>
      <w:r w:rsidR="00FB7BA4">
        <w:rPr>
          <w:rFonts w:eastAsia="Arial Unicode MS" w:cs="Arial Unicode MS"/>
        </w:rPr>
        <w:t>7.</w:t>
      </w:r>
      <w:r w:rsidRPr="00494962">
        <w:rPr>
          <w:rFonts w:eastAsia="Arial Unicode MS" w:cs="Arial Unicode MS"/>
        </w:rPr>
        <w:t xml:space="preserve"> 2013</w:t>
      </w:r>
    </w:p>
    <w:p w:rsidR="00F73F6E" w:rsidRPr="00494962" w:rsidRDefault="00F73F6E" w:rsidP="00F73F6E">
      <w:r w:rsidRPr="00494962">
        <w:rPr>
          <w:rFonts w:eastAsia="Arial Unicode MS" w:cs="Arial Unicode MS"/>
        </w:rPr>
        <w:lastRenderedPageBreak/>
        <w:t>Zákon č</w:t>
      </w:r>
      <w:r w:rsidRPr="00494962">
        <w:rPr>
          <w:rFonts w:eastAsia="Arial Unicode MS" w:cs="Arial Unicode MS"/>
          <w:lang w:val="pt-PT"/>
        </w:rPr>
        <w:t xml:space="preserve">. 455/1991 Sb., o </w:t>
      </w:r>
      <w:r w:rsidRPr="00494962">
        <w:rPr>
          <w:rFonts w:eastAsia="Arial Unicode MS" w:cs="Arial Unicode MS"/>
        </w:rPr>
        <w:t>živnostenském podnikání (živnostenský zákon), ve znění pozdějších předpisů</w:t>
      </w:r>
    </w:p>
    <w:p w:rsidR="00F73F6E" w:rsidRPr="00494962" w:rsidRDefault="00F73F6E" w:rsidP="00F73F6E">
      <w:r w:rsidRPr="00494962">
        <w:rPr>
          <w:rFonts w:eastAsia="Arial Unicode MS" w:cs="Arial Unicode MS"/>
        </w:rPr>
        <w:t>Zákon č</w:t>
      </w:r>
      <w:r w:rsidRPr="00494962">
        <w:rPr>
          <w:rFonts w:eastAsia="Arial Unicode MS" w:cs="Arial Unicode MS"/>
          <w:lang w:val="pt-PT"/>
        </w:rPr>
        <w:t xml:space="preserve">. 182/2006 Sb., o </w:t>
      </w:r>
      <w:r w:rsidRPr="00494962">
        <w:rPr>
          <w:rFonts w:eastAsia="Arial Unicode MS" w:cs="Arial Unicode MS"/>
        </w:rPr>
        <w:t xml:space="preserve">úpadku a způsobech jeho řešení (insolvenční zákon), ve znění pozdějších předpisů </w:t>
      </w:r>
    </w:p>
    <w:p w:rsidR="00F73F6E" w:rsidRPr="00494962" w:rsidRDefault="00F73F6E" w:rsidP="00F73F6E">
      <w:r w:rsidRPr="00494962">
        <w:rPr>
          <w:rFonts w:eastAsia="Arial Unicode MS" w:cs="Arial Unicode MS"/>
        </w:rPr>
        <w:t>Zákon č. 89/2012 Sb., občanský zákoník, ve znění pozdějších předpisů</w:t>
      </w:r>
    </w:p>
    <w:p w:rsidR="00F73F6E" w:rsidRPr="00494962" w:rsidRDefault="00F73F6E" w:rsidP="00F73F6E">
      <w:r w:rsidRPr="00494962">
        <w:rPr>
          <w:rFonts w:eastAsia="Arial Unicode MS" w:cs="Arial Unicode MS"/>
        </w:rPr>
        <w:t>Zákon č. 90/2012 Sb., o obchodních společnostech a druž</w:t>
      </w:r>
      <w:r w:rsidRPr="00494962">
        <w:rPr>
          <w:rFonts w:eastAsia="Arial Unicode MS" w:cs="Arial Unicode MS"/>
          <w:lang w:val="sv-SE"/>
        </w:rPr>
        <w:t>stvech (z</w:t>
      </w:r>
      <w:r w:rsidRPr="00494962">
        <w:rPr>
          <w:rFonts w:eastAsia="Arial Unicode MS" w:cs="Arial Unicode MS"/>
        </w:rPr>
        <w:t>ákon o obchodních korporacích), ve znění pozdějších předpisů</w:t>
      </w:r>
    </w:p>
    <w:p w:rsidR="00F73F6E" w:rsidRPr="00494962" w:rsidRDefault="00F73F6E" w:rsidP="00F73F6E">
      <w:r w:rsidRPr="00494962">
        <w:rPr>
          <w:rFonts w:eastAsia="Arial Unicode MS" w:cs="Arial Unicode MS"/>
        </w:rPr>
        <w:t xml:space="preserve">Zákon č. 292/2013 Sb., o zvláštních řízeních soudních, ve znění pozdějších předpisů </w:t>
      </w:r>
    </w:p>
    <w:p w:rsidR="00F73F6E" w:rsidRPr="00494962" w:rsidRDefault="00F73F6E" w:rsidP="00F73F6E">
      <w:pPr>
        <w:rPr>
          <w:b/>
          <w:bCs/>
        </w:rPr>
      </w:pPr>
    </w:p>
    <w:p w:rsidR="00F73F6E" w:rsidRPr="00494962" w:rsidRDefault="00F73F6E" w:rsidP="00F73F6E">
      <w:pPr>
        <w:rPr>
          <w:b/>
          <w:bCs/>
        </w:rPr>
      </w:pPr>
      <w:r w:rsidRPr="00494962">
        <w:rPr>
          <w:rFonts w:eastAsia="Arial Unicode MS" w:cs="Arial Unicode MS"/>
          <w:b/>
          <w:bCs/>
        </w:rPr>
        <w:t>Judikatura</w:t>
      </w:r>
    </w:p>
    <w:p w:rsidR="00F73F6E" w:rsidRPr="00494962" w:rsidRDefault="00F73F6E" w:rsidP="00F73F6E">
      <w:r w:rsidRPr="00494962">
        <w:rPr>
          <w:rFonts w:eastAsia="Arial Unicode MS" w:cs="Arial Unicode MS"/>
        </w:rPr>
        <w:t>Rozsudek NS ČR ze dne 24.10.2012, sp.zn. 29 Cdo 3191/2010</w:t>
      </w:r>
    </w:p>
    <w:p w:rsidR="00F73F6E" w:rsidRPr="00494962" w:rsidRDefault="00F73F6E" w:rsidP="00F73F6E">
      <w:r w:rsidRPr="00494962">
        <w:rPr>
          <w:rFonts w:eastAsia="Arial Unicode MS" w:cs="Arial Unicode MS"/>
        </w:rPr>
        <w:t>Rozsudek NS ČR ze dne 28.3.2012, sp. zn. 29 Cdo 301/2010</w:t>
      </w:r>
    </w:p>
    <w:p w:rsidR="00F73F6E" w:rsidRPr="00494962" w:rsidRDefault="00F73F6E" w:rsidP="00F73F6E">
      <w:r w:rsidRPr="00494962">
        <w:rPr>
          <w:rFonts w:eastAsia="Arial Unicode MS" w:cs="Arial Unicode MS"/>
        </w:rPr>
        <w:t>Usnesení NS ČR ze dne 22.6.2012, sp. zn. 29 Cdo 1356/2011</w:t>
      </w:r>
    </w:p>
    <w:p w:rsidR="00F73F6E" w:rsidRPr="00494962" w:rsidRDefault="00F73F6E" w:rsidP="00F73F6E">
      <w:r w:rsidRPr="00494962">
        <w:rPr>
          <w:rFonts w:eastAsia="Arial Unicode MS" w:cs="Arial Unicode MS"/>
        </w:rPr>
        <w:t>Rozsudek NS ČR ze dne 19. 6. 2012, sp. zn. 29 Cdo 3542/2011</w:t>
      </w:r>
    </w:p>
    <w:p w:rsidR="00F73F6E" w:rsidRPr="00494962" w:rsidRDefault="00F73F6E" w:rsidP="00F73F6E">
      <w:r w:rsidRPr="00494962">
        <w:rPr>
          <w:rFonts w:eastAsia="Arial Unicode MS" w:cs="Arial Unicode MS"/>
        </w:rPr>
        <w:t>Rozsudek NS ČR ze dne 30. 3. 2011, sp. zn. 29 Cdo 4276/2009</w:t>
      </w:r>
    </w:p>
    <w:p w:rsidR="00F73F6E" w:rsidRPr="00494962" w:rsidRDefault="00F73F6E" w:rsidP="00F73F6E">
      <w:r w:rsidRPr="00494962">
        <w:rPr>
          <w:rFonts w:eastAsia="Arial Unicode MS" w:cs="Arial Unicode MS"/>
        </w:rPr>
        <w:t>Usnesení NS CŘ ze dne 22.2.2011, sp. zn. 29 Cdo 3704/2009</w:t>
      </w:r>
    </w:p>
    <w:p w:rsidR="00F73F6E" w:rsidRPr="00494962" w:rsidRDefault="00F73F6E" w:rsidP="00F73F6E">
      <w:r w:rsidRPr="00494962">
        <w:rPr>
          <w:rFonts w:eastAsia="Arial Unicode MS" w:cs="Arial Unicode MS"/>
        </w:rPr>
        <w:t>Rozsudek NS ČR ze dne 20.5.2010, sp. zn. 29 Cdo 910/2009</w:t>
      </w:r>
    </w:p>
    <w:p w:rsidR="00F73F6E" w:rsidRPr="00494962" w:rsidRDefault="00F73F6E" w:rsidP="00F73F6E">
      <w:r w:rsidRPr="00494962">
        <w:rPr>
          <w:rFonts w:eastAsia="Arial Unicode MS" w:cs="Arial Unicode MS"/>
        </w:rPr>
        <w:t>Usnesení NS ČR ze dne 24. 11. 2009, sp. zn. 29 Cdo 4563/2008</w:t>
      </w:r>
    </w:p>
    <w:p w:rsidR="00F73F6E" w:rsidRPr="00494962" w:rsidRDefault="00F73F6E" w:rsidP="00F73F6E">
      <w:r w:rsidRPr="00494962">
        <w:rPr>
          <w:rFonts w:eastAsia="Arial Unicode MS" w:cs="Arial Unicode MS"/>
        </w:rPr>
        <w:t>Rozsudek NS ČR ze dne 24.2.2009, sp. zn. 29 Cdo 3864/2008</w:t>
      </w:r>
    </w:p>
    <w:p w:rsidR="00F73F6E" w:rsidRPr="00494962" w:rsidRDefault="00F73F6E" w:rsidP="00F73F6E">
      <w:r w:rsidRPr="00494962">
        <w:rPr>
          <w:rFonts w:eastAsia="Arial Unicode MS" w:cs="Arial Unicode MS"/>
        </w:rPr>
        <w:t>Usnesení NS ČR ze dne 27. 1. 2009, sp. zn. 29 Cdo 3009/2007</w:t>
      </w:r>
    </w:p>
    <w:p w:rsidR="00F73F6E" w:rsidRPr="00494962" w:rsidRDefault="00F73F6E" w:rsidP="00F73F6E">
      <w:r w:rsidRPr="00494962">
        <w:rPr>
          <w:rFonts w:eastAsia="Arial Unicode MS" w:cs="Arial Unicode MS"/>
        </w:rPr>
        <w:t>Rozsudek NS ČR ze dne 22.1.2009, sp. zn.  23 Cdo 4194/2008.</w:t>
      </w:r>
    </w:p>
    <w:p w:rsidR="00F73F6E" w:rsidRPr="00494962" w:rsidRDefault="00F73F6E" w:rsidP="00F73F6E">
      <w:r w:rsidRPr="00494962">
        <w:rPr>
          <w:rFonts w:eastAsia="Arial Unicode MS" w:cs="Arial Unicode MS"/>
        </w:rPr>
        <w:t>Rozsudek NS ČR ze dne 30.7.2008, sp. zn. 29 Odo 1262/2006.</w:t>
      </w:r>
    </w:p>
    <w:p w:rsidR="00F73F6E" w:rsidRPr="00494962" w:rsidRDefault="00F73F6E" w:rsidP="00F73F6E">
      <w:r w:rsidRPr="00494962">
        <w:rPr>
          <w:rFonts w:eastAsia="Arial Unicode MS" w:cs="Arial Unicode MS"/>
        </w:rPr>
        <w:t>Rozsudek NS ČR ze dne 13. 12. 2007, sp. zn. 21 Cdo 265/2007.</w:t>
      </w:r>
    </w:p>
    <w:p w:rsidR="00F73F6E" w:rsidRPr="00494962" w:rsidRDefault="00F73F6E" w:rsidP="00F73F6E">
      <w:r w:rsidRPr="00494962">
        <w:rPr>
          <w:rFonts w:eastAsia="Arial Unicode MS" w:cs="Arial Unicode MS"/>
        </w:rPr>
        <w:t>Usnesení NS ČR ze dne 18. října 2006, sp. zn. 5 Tdo 1224/2006</w:t>
      </w:r>
    </w:p>
    <w:p w:rsidR="00F73F6E" w:rsidRPr="00494962" w:rsidRDefault="00F73F6E" w:rsidP="00F73F6E">
      <w:r w:rsidRPr="00494962">
        <w:rPr>
          <w:rFonts w:eastAsia="Arial Unicode MS" w:cs="Arial Unicode MS"/>
        </w:rPr>
        <w:t>Rozsudek NS ČR ze dne 17.12.2002, sp. zn. 29 Odo 886/2002</w:t>
      </w:r>
    </w:p>
    <w:p w:rsidR="00F73F6E" w:rsidRPr="00494962" w:rsidRDefault="00F73F6E" w:rsidP="00F73F6E">
      <w:r w:rsidRPr="00494962">
        <w:rPr>
          <w:rFonts w:eastAsia="Arial Unicode MS" w:cs="Arial Unicode MS"/>
        </w:rPr>
        <w:t>Rozsudek NS ČR ze dne 20. 8. 2002, sp. zn. 29 Odo 198/2002.</w:t>
      </w:r>
    </w:p>
    <w:p w:rsidR="00F73F6E" w:rsidRPr="00494962" w:rsidRDefault="00F73F6E" w:rsidP="00F73F6E">
      <w:pPr>
        <w:rPr>
          <w:b/>
          <w:bCs/>
        </w:rPr>
      </w:pPr>
    </w:p>
    <w:p w:rsidR="00F73F6E" w:rsidRPr="00494962" w:rsidRDefault="00F73F6E" w:rsidP="00F73F6E">
      <w:pPr>
        <w:rPr>
          <w:b/>
          <w:bCs/>
        </w:rPr>
      </w:pPr>
      <w:r w:rsidRPr="00494962">
        <w:rPr>
          <w:rFonts w:eastAsia="Arial Unicode MS" w:cs="Arial Unicode MS"/>
          <w:b/>
          <w:bCs/>
        </w:rPr>
        <w:t>Web</w:t>
      </w:r>
    </w:p>
    <w:p w:rsidR="00F73F6E" w:rsidRPr="00494962" w:rsidRDefault="00F73F6E" w:rsidP="00F73F6E">
      <w:r w:rsidRPr="00494962">
        <w:rPr>
          <w:rFonts w:eastAsia="Arial Unicode MS" w:cs="Arial Unicode MS"/>
        </w:rPr>
        <w:t xml:space="preserve">DOSTÁL, Jiří, FIALA, Petr. </w:t>
      </w:r>
      <w:r w:rsidRPr="00494962">
        <w:rPr>
          <w:rFonts w:eastAsia="Arial Unicode MS" w:cs="Arial Unicode MS"/>
          <w:i/>
          <w:iCs/>
        </w:rPr>
        <w:t>Jednatelé jako kolektivní orgán</w:t>
      </w:r>
      <w:r w:rsidRPr="00494962">
        <w:rPr>
          <w:rFonts w:eastAsia="Arial Unicode MS" w:cs="Arial Unicode MS"/>
        </w:rPr>
        <w:t xml:space="preserve"> [online]. epravo.cz, 29. 8. 2014 [cit. 18. 10. 2014] Dostupné na &lt;http://www.epravo.cz/top/clanky/jednatele-jako-kolektivni-organ-95020.html&gt;</w:t>
      </w:r>
      <w:r w:rsidR="00E64A43">
        <w:rPr>
          <w:rFonts w:eastAsia="Arial Unicode MS" w:cs="Arial Unicode MS"/>
        </w:rPr>
        <w:t>.</w:t>
      </w:r>
    </w:p>
    <w:p w:rsidR="00F73F6E" w:rsidRPr="00494962" w:rsidRDefault="00F73F6E" w:rsidP="00F73F6E">
      <w:r w:rsidRPr="00494962">
        <w:rPr>
          <w:rFonts w:eastAsia="Arial Unicode MS" w:cs="Arial Unicode MS"/>
          <w:lang w:val="de-DE"/>
        </w:rPr>
        <w:t xml:space="preserve">GURLICH, Richard: </w:t>
      </w:r>
      <w:r w:rsidRPr="00494962">
        <w:rPr>
          <w:rFonts w:eastAsia="Arial Unicode MS" w:cs="Arial Unicode MS"/>
          <w:i/>
          <w:iCs/>
        </w:rPr>
        <w:t>Společnost s ručením omezeným – právo společníka na informace, společnická žaloba, právo společníka na podí</w:t>
      </w:r>
      <w:r w:rsidRPr="00494962">
        <w:rPr>
          <w:rFonts w:eastAsia="Arial Unicode MS" w:cs="Arial Unicode MS"/>
          <w:i/>
          <w:iCs/>
          <w:lang w:val="nl-NL"/>
        </w:rPr>
        <w:t>l na zisku</w:t>
      </w:r>
      <w:r w:rsidRPr="00494962">
        <w:rPr>
          <w:rFonts w:eastAsia="Arial Unicode MS" w:cs="Arial Unicode MS"/>
        </w:rPr>
        <w:t xml:space="preserve"> [online]. Novinky z rekodifikace - advokátní kancelář GÜRLICH </w:t>
      </w:r>
      <w:r w:rsidRPr="00494962">
        <w:rPr>
          <w:rFonts w:eastAsia="Arial Unicode MS" w:cs="Arial Unicode MS"/>
        </w:rPr>
        <w:lastRenderedPageBreak/>
        <w:t>&amp; Co. 13/2014, s. 1 [cit. 28.11.2014].  Dostupné na &lt;http://www.beck-online.cz/bo/document-view.seam?documentId=nrptembrgrpw44s7gezv66tpnm&gt;</w:t>
      </w:r>
      <w:r w:rsidR="00E64A43">
        <w:rPr>
          <w:rFonts w:eastAsia="Arial Unicode MS" w:cs="Arial Unicode MS"/>
        </w:rPr>
        <w:t>.</w:t>
      </w:r>
    </w:p>
    <w:p w:rsidR="00F73F6E" w:rsidRPr="00494962" w:rsidRDefault="00F73F6E" w:rsidP="00F73F6E">
      <w:pPr>
        <w:pStyle w:val="Textpoznpodarou"/>
        <w:rPr>
          <w:sz w:val="24"/>
          <w:szCs w:val="24"/>
        </w:rPr>
      </w:pPr>
      <w:r w:rsidRPr="00494962">
        <w:rPr>
          <w:rFonts w:eastAsia="Arial Unicode MS" w:cs="Arial Unicode MS"/>
          <w:sz w:val="24"/>
          <w:szCs w:val="24"/>
        </w:rPr>
        <w:t xml:space="preserve">JANÍČKOVÁ, Iva. </w:t>
      </w:r>
      <w:r w:rsidRPr="00494962">
        <w:rPr>
          <w:rFonts w:eastAsia="Arial Unicode MS" w:cs="Arial Unicode MS"/>
          <w:i/>
          <w:iCs/>
          <w:sz w:val="24"/>
          <w:szCs w:val="24"/>
        </w:rPr>
        <w:t>Ručení jednatele společnosti s ručením omezeným po 1.1.2014</w:t>
      </w:r>
      <w:r w:rsidRPr="00494962">
        <w:rPr>
          <w:rFonts w:eastAsia="Arial Unicode MS" w:cs="Arial Unicode MS"/>
          <w:sz w:val="24"/>
          <w:szCs w:val="24"/>
        </w:rPr>
        <w:t xml:space="preserve"> [online]. muj-pravnik.cz, 22.4.2014 [cit. 28.11.2014]. Dostupné na &lt;http://muj-pravnik.cz/ruceni-jednatele-spolecnosti-s-rucenim-omezenym-po-1-1-2014&gt;</w:t>
      </w:r>
      <w:r w:rsidR="00E64A43">
        <w:rPr>
          <w:rFonts w:eastAsia="Arial Unicode MS" w:cs="Arial Unicode MS"/>
          <w:sz w:val="24"/>
          <w:szCs w:val="24"/>
        </w:rPr>
        <w:t>.</w:t>
      </w:r>
    </w:p>
    <w:p w:rsidR="00F73F6E" w:rsidRPr="00494962" w:rsidRDefault="00F73F6E" w:rsidP="00F73F6E">
      <w:r w:rsidRPr="00494962">
        <w:rPr>
          <w:rFonts w:eastAsia="Arial Unicode MS" w:cs="Arial Unicode MS"/>
        </w:rPr>
        <w:t xml:space="preserve">JOSKOVÁ, Lucie. </w:t>
      </w:r>
      <w:r w:rsidRPr="00494962">
        <w:rPr>
          <w:rFonts w:eastAsia="Arial Unicode MS" w:cs="Arial Unicode MS"/>
          <w:i/>
          <w:iCs/>
        </w:rPr>
        <w:t>Jednatelé jako kolektivní orgán</w:t>
      </w:r>
      <w:r w:rsidRPr="00494962">
        <w:rPr>
          <w:rFonts w:eastAsia="Arial Unicode MS" w:cs="Arial Unicode MS"/>
        </w:rPr>
        <w:t xml:space="preserve"> [online]. epravo.cz, 14. 11. 2013 [cit. 18. 10. 2014] Dostupné na &lt;http://www.epravo.cz/top/efocus/mesicnik-rekodifikace-praxe-jednatele-jako-kolektivni-organ-92890.html&gt;.</w:t>
      </w:r>
    </w:p>
    <w:p w:rsidR="00F73F6E" w:rsidRPr="00494962" w:rsidRDefault="00F73F6E" w:rsidP="00F73F6E">
      <w:r w:rsidRPr="00494962">
        <w:rPr>
          <w:rFonts w:eastAsia="Arial Unicode MS" w:cs="Arial Unicode MS"/>
        </w:rPr>
        <w:t xml:space="preserve">RUBAN, Radek. O povaze právnických osob. In KOTÁSEK, Josef (ed). </w:t>
      </w:r>
      <w:r w:rsidRPr="00494962">
        <w:rPr>
          <w:rFonts w:eastAsia="Arial Unicode MS" w:cs="Arial Unicode MS"/>
          <w:i/>
          <w:iCs/>
        </w:rPr>
        <w:t xml:space="preserve">Dny práva 2012 – Days of Law 2012. </w:t>
      </w:r>
      <w:r w:rsidRPr="00494962">
        <w:rPr>
          <w:rFonts w:eastAsia="Arial Unicode MS" w:cs="Arial Unicode MS"/>
        </w:rPr>
        <w:t>Brno: Masarykova univerzita, 2013, 1. vydání, s. 1914 [online]. [cit. 18.10.2014] Dostu</w:t>
      </w:r>
      <w:r w:rsidR="00E64A43">
        <w:rPr>
          <w:rFonts w:eastAsia="Arial Unicode MS" w:cs="Arial Unicode MS"/>
        </w:rPr>
        <w:t>pné na &lt;</w:t>
      </w:r>
      <w:r w:rsidRPr="00494962">
        <w:rPr>
          <w:rFonts w:eastAsia="Arial Unicode MS" w:cs="Arial Unicode MS"/>
        </w:rPr>
        <w:t>http://www.law.muni.cz/sborniky/d</w:t>
      </w:r>
      <w:r w:rsidR="00E64A43">
        <w:rPr>
          <w:rFonts w:eastAsia="Arial Unicode MS" w:cs="Arial Unicode MS"/>
        </w:rPr>
        <w:t>ny_prava_2012/files/sbornik.pdf</w:t>
      </w:r>
      <w:r w:rsidRPr="00494962">
        <w:rPr>
          <w:rFonts w:eastAsia="Arial Unicode MS" w:cs="Arial Unicode MS"/>
        </w:rPr>
        <w:t>&gt;.</w:t>
      </w:r>
    </w:p>
    <w:p w:rsidR="00F73F6E" w:rsidRDefault="00F73F6E" w:rsidP="00F73F6E">
      <w:pPr>
        <w:pStyle w:val="Textpoznpodarou"/>
        <w:rPr>
          <w:rFonts w:eastAsia="Arial Unicode MS" w:cs="Arial Unicode MS"/>
          <w:sz w:val="24"/>
          <w:szCs w:val="24"/>
        </w:rPr>
      </w:pPr>
      <w:r w:rsidRPr="00494962">
        <w:rPr>
          <w:rFonts w:eastAsia="Arial Unicode MS" w:cs="Arial Unicode MS"/>
          <w:i/>
          <w:iCs/>
          <w:sz w:val="24"/>
          <w:szCs w:val="24"/>
          <w:lang w:val="en-US"/>
        </w:rPr>
        <w:t xml:space="preserve">What is the business judgment rule? </w:t>
      </w:r>
      <w:r w:rsidR="00AE6A58">
        <w:rPr>
          <w:rFonts w:eastAsia="Arial Unicode MS" w:cs="Arial Unicode MS"/>
          <w:sz w:val="24"/>
          <w:szCs w:val="24"/>
        </w:rPr>
        <w:t>[online]. r</w:t>
      </w:r>
      <w:r w:rsidRPr="00494962">
        <w:rPr>
          <w:rFonts w:eastAsia="Arial Unicode MS" w:cs="Arial Unicode MS"/>
          <w:sz w:val="24"/>
          <w:szCs w:val="24"/>
        </w:rPr>
        <w:t xml:space="preserve">otlaw.com [cit. 25.1.2015].  Dostupné na </w:t>
      </w:r>
      <w:r w:rsidR="00E64A43">
        <w:rPr>
          <w:rFonts w:eastAsia="Arial Unicode MS" w:cs="Arial Unicode MS"/>
          <w:sz w:val="24"/>
          <w:szCs w:val="24"/>
        </w:rPr>
        <w:t>&lt;</w:t>
      </w:r>
      <w:hyperlink r:id="rId7" w:history="1">
        <w:r w:rsidRPr="00E64A43">
          <w:rPr>
            <w:rFonts w:eastAsia="Arial Unicode MS"/>
            <w:sz w:val="24"/>
            <w:szCs w:val="24"/>
          </w:rPr>
          <w:t>http://www.rotlaw.com/legal-library/what-is-the-business-judgment-rule/</w:t>
        </w:r>
      </w:hyperlink>
      <w:r w:rsidR="00E64A43">
        <w:rPr>
          <w:rFonts w:eastAsia="Arial Unicode MS" w:cs="Arial Unicode MS"/>
          <w:sz w:val="24"/>
          <w:szCs w:val="24"/>
        </w:rPr>
        <w:t>&gt;.</w:t>
      </w:r>
    </w:p>
    <w:p w:rsidR="00AE6A58" w:rsidRDefault="00AE6A58" w:rsidP="00AE6A58">
      <w:pPr>
        <w:pStyle w:val="Textpoznpodarou"/>
        <w:rPr>
          <w:sz w:val="24"/>
          <w:szCs w:val="24"/>
        </w:rPr>
      </w:pPr>
      <w:r w:rsidRPr="00AE6A58">
        <w:rPr>
          <w:i/>
          <w:sz w:val="24"/>
          <w:szCs w:val="24"/>
        </w:rPr>
        <w:t>D</w:t>
      </w:r>
      <w:r w:rsidRPr="00AE6A58">
        <w:rPr>
          <w:i/>
          <w:iCs/>
          <w:sz w:val="24"/>
          <w:szCs w:val="24"/>
        </w:rPr>
        <w:t>ô</w:t>
      </w:r>
      <w:r w:rsidRPr="00AE6A58">
        <w:rPr>
          <w:i/>
          <w:sz w:val="24"/>
          <w:szCs w:val="24"/>
        </w:rPr>
        <w:t xml:space="preserve">vodová správa k zákonu </w:t>
      </w:r>
      <w:r w:rsidRPr="00AE6A58">
        <w:rPr>
          <w:rStyle w:val="ppp-msumm"/>
          <w:i/>
          <w:sz w:val="24"/>
          <w:szCs w:val="24"/>
        </w:rPr>
        <w:t>ktorým sa mení a dopĺňa zákon č. 513/1991 Zb. Obchodný zákonník v znení neskorších predpisov a ktorým sa menia a dopĺňajú niektoré zákony</w:t>
      </w:r>
      <w:r w:rsidRPr="00AE6A58">
        <w:rPr>
          <w:rStyle w:val="ppp-msumm"/>
          <w:sz w:val="24"/>
          <w:szCs w:val="24"/>
        </w:rPr>
        <w:t xml:space="preserve"> </w:t>
      </w:r>
      <w:r w:rsidRPr="00AE6A58">
        <w:rPr>
          <w:sz w:val="24"/>
          <w:szCs w:val="24"/>
        </w:rPr>
        <w:t xml:space="preserve"> [online]. rokovania.sk,  [cit. 22.3.2015]. Dostupné na &lt;http://www.rokovania.sk/File.aspx/ViewDocumentHtml/Mater-Dokum-166937?prefixFile=m_&gt;</w:t>
      </w:r>
      <w:r>
        <w:rPr>
          <w:sz w:val="24"/>
          <w:szCs w:val="24"/>
        </w:rPr>
        <w:t>.</w:t>
      </w:r>
    </w:p>
    <w:p w:rsidR="00AE6A58" w:rsidRPr="00AE6A58" w:rsidRDefault="00AE6A58" w:rsidP="00AE6A58">
      <w:pPr>
        <w:pStyle w:val="Textpoznpodarou"/>
        <w:rPr>
          <w:sz w:val="24"/>
          <w:szCs w:val="24"/>
        </w:rPr>
      </w:pPr>
      <w:r w:rsidRPr="00AE6A58">
        <w:rPr>
          <w:i/>
          <w:sz w:val="24"/>
          <w:szCs w:val="24"/>
        </w:rPr>
        <w:t xml:space="preserve">Návrh zákona </w:t>
      </w:r>
      <w:r w:rsidRPr="00AE6A58">
        <w:rPr>
          <w:rStyle w:val="ppp-msumm"/>
          <w:i/>
          <w:sz w:val="24"/>
          <w:szCs w:val="24"/>
        </w:rPr>
        <w:t>ktorým sa mení a dopĺňa zákon č. 513/1991 Zb. Obchodný zákonník v znení neskorších predpisov a ktorým sa menia a dopĺňajú niektoré zákony</w:t>
      </w:r>
      <w:r w:rsidRPr="00AE6A58">
        <w:rPr>
          <w:rStyle w:val="ppp-msumm"/>
          <w:sz w:val="24"/>
          <w:szCs w:val="24"/>
        </w:rPr>
        <w:t xml:space="preserve"> </w:t>
      </w:r>
      <w:r w:rsidRPr="00AE6A58">
        <w:rPr>
          <w:sz w:val="24"/>
          <w:szCs w:val="24"/>
        </w:rPr>
        <w:t xml:space="preserve">[online]. lt.justice.gov.sk, </w:t>
      </w:r>
      <w:r>
        <w:rPr>
          <w:sz w:val="24"/>
          <w:szCs w:val="24"/>
        </w:rPr>
        <w:t>[cit. 22.3.2015]. Dostupné na &lt;</w:t>
      </w:r>
      <w:r w:rsidRPr="00AE6A58">
        <w:rPr>
          <w:sz w:val="24"/>
          <w:szCs w:val="24"/>
        </w:rPr>
        <w:t>https://lt.justice.gov.sk/Attachment/140814_vlast_mat_rtf.pdf?instEID=-1&amp;attEID=69263&amp;docEID=370241&amp;matEID=7314&amp;langEID=1&amp;tStamp=20140819163226303&gt;.</w:t>
      </w:r>
    </w:p>
    <w:p w:rsidR="00AE6A58" w:rsidRPr="00AE6A58" w:rsidRDefault="00AE6A58" w:rsidP="00AE6A58">
      <w:pPr>
        <w:pStyle w:val="Textpoznpodarou"/>
        <w:rPr>
          <w:sz w:val="24"/>
          <w:szCs w:val="24"/>
        </w:rPr>
      </w:pPr>
    </w:p>
    <w:p w:rsidR="00F73F6E" w:rsidRPr="00494962" w:rsidRDefault="00F73F6E" w:rsidP="009A1060">
      <w:pPr>
        <w:pStyle w:val="Nadpis1"/>
        <w:rPr>
          <w:sz w:val="24"/>
          <w:szCs w:val="24"/>
        </w:rPr>
      </w:pPr>
      <w:r w:rsidRPr="00494962">
        <w:br w:type="page"/>
      </w:r>
      <w:bookmarkStart w:id="54" w:name="_Toc415065720"/>
      <w:r w:rsidRPr="00494962">
        <w:rPr>
          <w:rFonts w:eastAsia="Arial Unicode MS"/>
        </w:rPr>
        <w:lastRenderedPageBreak/>
        <w:t>Shrnutí</w:t>
      </w:r>
      <w:bookmarkEnd w:id="54"/>
    </w:p>
    <w:p w:rsidR="00F73F6E" w:rsidRPr="00494962" w:rsidRDefault="00F73F6E" w:rsidP="00F73F6E">
      <w:pPr>
        <w:pStyle w:val="Textpoznpodarou"/>
        <w:rPr>
          <w:sz w:val="24"/>
          <w:szCs w:val="24"/>
        </w:rPr>
      </w:pPr>
      <w:r w:rsidRPr="00494962">
        <w:rPr>
          <w:rFonts w:eastAsia="Arial Unicode MS" w:cs="Arial Unicode MS"/>
          <w:sz w:val="24"/>
          <w:szCs w:val="24"/>
          <w:lang w:val="it-IT"/>
        </w:rPr>
        <w:tab/>
        <w:t>Tato pr</w:t>
      </w:r>
      <w:r w:rsidRPr="00494962">
        <w:rPr>
          <w:rFonts w:eastAsia="Arial Unicode MS" w:cs="Arial Unicode MS"/>
          <w:sz w:val="24"/>
          <w:szCs w:val="24"/>
        </w:rPr>
        <w:t xml:space="preserve">áce je zaměřena na Statutární orgán společnosti s ručením omezeným se zaměřením na přímý výkon funkce. </w:t>
      </w:r>
    </w:p>
    <w:p w:rsidR="00F73F6E" w:rsidRPr="00494962" w:rsidRDefault="00F73F6E" w:rsidP="00F73F6E">
      <w:pPr>
        <w:pStyle w:val="Textpoznpodarou"/>
        <w:rPr>
          <w:sz w:val="24"/>
          <w:szCs w:val="24"/>
        </w:rPr>
      </w:pPr>
      <w:r w:rsidRPr="00494962">
        <w:rPr>
          <w:rFonts w:eastAsia="Arial Unicode MS" w:cs="Arial Unicode MS"/>
          <w:sz w:val="24"/>
          <w:szCs w:val="24"/>
        </w:rPr>
        <w:tab/>
        <w:t>Po kapitole zaměřené na vývoj úpravy s.r.o. se zaměřením na jednatele, kde je ve stručnosti pojednáno o historických souvislostech, následuje kapitola zaměřená na předpoklady pro výkon funkce jednatele, tj. svéprávnost, podmínky živnostenského zá</w:t>
      </w:r>
      <w:r w:rsidRPr="00494962">
        <w:rPr>
          <w:rFonts w:eastAsia="Arial Unicode MS" w:cs="Arial Unicode MS"/>
          <w:sz w:val="24"/>
          <w:szCs w:val="24"/>
          <w:lang w:val="pt-PT"/>
        </w:rPr>
        <w:t>kona a informa</w:t>
      </w:r>
      <w:r w:rsidRPr="00494962">
        <w:rPr>
          <w:rFonts w:eastAsia="Arial Unicode MS" w:cs="Arial Unicode MS"/>
          <w:sz w:val="24"/>
          <w:szCs w:val="24"/>
        </w:rPr>
        <w:t xml:space="preserve">ční povinnost. </w:t>
      </w:r>
    </w:p>
    <w:p w:rsidR="00F73F6E" w:rsidRPr="00494962" w:rsidRDefault="00F73F6E" w:rsidP="00F73F6E">
      <w:pPr>
        <w:pStyle w:val="Textpoznpodarou"/>
        <w:rPr>
          <w:sz w:val="24"/>
          <w:szCs w:val="24"/>
        </w:rPr>
      </w:pPr>
      <w:r w:rsidRPr="00494962">
        <w:rPr>
          <w:rFonts w:eastAsia="Arial Unicode MS" w:cs="Arial Unicode MS"/>
          <w:sz w:val="24"/>
          <w:szCs w:val="24"/>
        </w:rPr>
        <w:tab/>
        <w:t>Další kapitola představuje já</w:t>
      </w:r>
      <w:r w:rsidRPr="00494962">
        <w:rPr>
          <w:rFonts w:eastAsia="Arial Unicode MS" w:cs="Arial Unicode MS"/>
          <w:sz w:val="24"/>
          <w:szCs w:val="24"/>
          <w:lang w:val="it-IT"/>
        </w:rPr>
        <w:t>dro diplomov</w:t>
      </w:r>
      <w:r w:rsidRPr="00494962">
        <w:rPr>
          <w:rFonts w:eastAsia="Arial Unicode MS" w:cs="Arial Unicode MS"/>
          <w:sz w:val="24"/>
          <w:szCs w:val="24"/>
        </w:rPr>
        <w:t xml:space="preserve">é práce, kde je rozebráno postavení jednatele jako </w:t>
      </w:r>
      <w:r w:rsidR="00CC3D88">
        <w:rPr>
          <w:rFonts w:eastAsia="Arial Unicode MS" w:cs="Arial Unicode MS"/>
          <w:sz w:val="24"/>
          <w:szCs w:val="24"/>
        </w:rPr>
        <w:t>SO</w:t>
      </w:r>
      <w:r w:rsidRPr="00494962">
        <w:rPr>
          <w:rFonts w:eastAsia="Arial Unicode MS" w:cs="Arial Unicode MS"/>
          <w:sz w:val="24"/>
          <w:szCs w:val="24"/>
        </w:rPr>
        <w:t xml:space="preserve"> v systému řízení s.r.o. V rámci této kapitoly je nezanedbatelná pozornost věnovaná pojmu působnosti zahrnující jednatelské oprávnění a obchodní vedení. Nemalá čá</w:t>
      </w:r>
      <w:r w:rsidRPr="00494962">
        <w:rPr>
          <w:rFonts w:eastAsia="Arial Unicode MS" w:cs="Arial Unicode MS"/>
          <w:sz w:val="24"/>
          <w:szCs w:val="24"/>
          <w:lang w:val="fr-FR"/>
        </w:rPr>
        <w:t>st dan</w:t>
      </w:r>
      <w:r w:rsidRPr="00494962">
        <w:rPr>
          <w:rFonts w:eastAsia="Arial Unicode MS" w:cs="Arial Unicode MS"/>
          <w:sz w:val="24"/>
          <w:szCs w:val="24"/>
        </w:rPr>
        <w:t xml:space="preserve">é kapitoly je věnovaná </w:t>
      </w:r>
      <w:r w:rsidR="00E8547E">
        <w:rPr>
          <w:rFonts w:eastAsia="Arial Unicode MS" w:cs="Arial Unicode MS"/>
          <w:sz w:val="24"/>
          <w:szCs w:val="24"/>
        </w:rPr>
        <w:t xml:space="preserve">pojmu </w:t>
      </w:r>
      <w:r w:rsidRPr="00494962">
        <w:rPr>
          <w:rFonts w:eastAsia="Arial Unicode MS" w:cs="Arial Unicode MS"/>
          <w:sz w:val="24"/>
          <w:szCs w:val="24"/>
        </w:rPr>
        <w:t xml:space="preserve">péči řádného hospodaře a jejím složkám. V rámci této kapitoly je též rozebrán osobní výkon funkce. </w:t>
      </w:r>
    </w:p>
    <w:p w:rsidR="00F73F6E" w:rsidRPr="00494962" w:rsidRDefault="00F73F6E" w:rsidP="00F73F6E">
      <w:pPr>
        <w:pStyle w:val="Textpoznpodarou"/>
        <w:rPr>
          <w:sz w:val="24"/>
          <w:szCs w:val="24"/>
        </w:rPr>
      </w:pPr>
      <w:r w:rsidRPr="00494962">
        <w:rPr>
          <w:rFonts w:eastAsia="Arial Unicode MS" w:cs="Arial Unicode MS"/>
          <w:sz w:val="24"/>
          <w:szCs w:val="24"/>
        </w:rPr>
        <w:tab/>
        <w:t>V pořadí čtvrtá kapitola se věnuje výčtu práv a povinnosti jednatele v rámci právní úpravy ZOK. Další kapitola je věnovaná problematice střetu zájmů, kdy je rozebrána i problematika střetu zájmů v případě, že je jednatelem PO. V diplomové práci je dále věnovaná pozornost institutu vyloučení z výkonu funkce jednatele, institutu novém</w:t>
      </w:r>
      <w:r w:rsidR="00E8547E">
        <w:rPr>
          <w:rFonts w:eastAsia="Arial Unicode MS" w:cs="Arial Unicode MS"/>
          <w:sz w:val="24"/>
          <w:szCs w:val="24"/>
        </w:rPr>
        <w:t>u</w:t>
      </w:r>
      <w:r w:rsidRPr="00494962">
        <w:rPr>
          <w:rFonts w:eastAsia="Arial Unicode MS" w:cs="Arial Unicode MS"/>
          <w:sz w:val="24"/>
          <w:szCs w:val="24"/>
        </w:rPr>
        <w:t xml:space="preserve"> a jeho aplikaci v rámci režimu insolvenčního řízení </w:t>
      </w:r>
      <w:r w:rsidRPr="00494962">
        <w:rPr>
          <w:rFonts w:eastAsia="Arial Unicode MS" w:cs="Arial Unicode MS"/>
          <w:sz w:val="24"/>
          <w:szCs w:val="24"/>
          <w:lang w:val="es-ES_tradnl"/>
        </w:rPr>
        <w:t>a mimo re</w:t>
      </w:r>
      <w:r w:rsidRPr="00494962">
        <w:rPr>
          <w:rFonts w:eastAsia="Arial Unicode MS" w:cs="Arial Unicode MS"/>
          <w:sz w:val="24"/>
          <w:szCs w:val="24"/>
        </w:rPr>
        <w:t xml:space="preserve">žim insolvenčního řízení. Poslední kapitola je věnována ručení jednatele jako statutárního orgánu. </w:t>
      </w:r>
    </w:p>
    <w:p w:rsidR="00F73F6E" w:rsidRPr="00494962" w:rsidRDefault="00F73F6E" w:rsidP="00F73F6E">
      <w:pPr>
        <w:pStyle w:val="Textpoznpodarou"/>
        <w:rPr>
          <w:sz w:val="24"/>
          <w:szCs w:val="24"/>
        </w:rPr>
      </w:pPr>
      <w:r w:rsidRPr="00494962">
        <w:rPr>
          <w:rFonts w:eastAsia="Arial Unicode MS" w:cs="Arial Unicode MS"/>
          <w:sz w:val="24"/>
          <w:szCs w:val="24"/>
        </w:rPr>
        <w:tab/>
        <w:t xml:space="preserve">Práce je místy proložena srovnání se slovenskou právní úpravou, ovšem jen v omezené míře pro zvýšení atraktivity práce. </w:t>
      </w:r>
    </w:p>
    <w:p w:rsidR="00F73F6E" w:rsidRPr="00494962" w:rsidRDefault="00F73F6E" w:rsidP="00F73F6E">
      <w:pPr>
        <w:pStyle w:val="Textpoznpodarou"/>
        <w:rPr>
          <w:sz w:val="24"/>
          <w:szCs w:val="24"/>
        </w:rPr>
      </w:pPr>
      <w:r w:rsidRPr="00494962">
        <w:rPr>
          <w:rFonts w:eastAsia="Arial Unicode MS" w:cs="Arial Unicode MS"/>
          <w:sz w:val="24"/>
          <w:szCs w:val="24"/>
        </w:rPr>
        <w:tab/>
        <w:t>V prá</w:t>
      </w:r>
      <w:r w:rsidRPr="00494962">
        <w:rPr>
          <w:rFonts w:eastAsia="Arial Unicode MS" w:cs="Arial Unicode MS"/>
          <w:sz w:val="24"/>
          <w:szCs w:val="24"/>
          <w:lang w:val="de-DE"/>
        </w:rPr>
        <w:t>ci doch</w:t>
      </w:r>
      <w:r w:rsidRPr="00494962">
        <w:rPr>
          <w:rFonts w:eastAsia="Arial Unicode MS" w:cs="Arial Unicode MS"/>
          <w:sz w:val="24"/>
          <w:szCs w:val="24"/>
        </w:rPr>
        <w:t>ází ke srovnávání úpravy platné a účinné v Č</w:t>
      </w:r>
      <w:r w:rsidRPr="00494962">
        <w:rPr>
          <w:rFonts w:eastAsia="Arial Unicode MS" w:cs="Arial Unicode MS"/>
          <w:sz w:val="24"/>
          <w:szCs w:val="24"/>
          <w:lang w:val="pt-PT"/>
        </w:rPr>
        <w:t>R do 31.12.2013 s</w:t>
      </w:r>
      <w:r w:rsidRPr="00494962">
        <w:rPr>
          <w:rFonts w:eastAsia="Arial Unicode MS" w:cs="Arial Unicode MS"/>
          <w:sz w:val="24"/>
          <w:szCs w:val="24"/>
        </w:rPr>
        <w:t xml:space="preserve"> úpravou platnou a účinnou, což je odůvodněno velice zásadním průlomem soukromého práva ČR, konkrétně rekodifikací soukromého práva v ČR. </w:t>
      </w:r>
    </w:p>
    <w:p w:rsidR="00F73F6E" w:rsidRPr="00494962" w:rsidRDefault="00F73F6E" w:rsidP="00F73F6E">
      <w:pPr>
        <w:pStyle w:val="Textpoznpodarou"/>
        <w:rPr>
          <w:sz w:val="24"/>
          <w:szCs w:val="24"/>
        </w:rPr>
      </w:pPr>
      <w:r w:rsidRPr="00494962">
        <w:rPr>
          <w:rFonts w:eastAsia="Arial Unicode MS" w:cs="Arial Unicode MS"/>
          <w:sz w:val="24"/>
          <w:szCs w:val="24"/>
        </w:rPr>
        <w:tab/>
        <w:t>Cílem práce je podat ucelený výklad k funkci jednatele se zaměřením na jeho přímý výkon funkce. Cílem práce je dále postihnout problematické aspekty týkajících jednatelů s ohledem na přímý výkon funkce</w:t>
      </w:r>
      <w:r w:rsidR="00CC3D88">
        <w:rPr>
          <w:rFonts w:eastAsia="Arial Unicode MS" w:cs="Arial Unicode MS"/>
          <w:sz w:val="24"/>
          <w:szCs w:val="24"/>
        </w:rPr>
        <w:t>.</w:t>
      </w:r>
      <w:r w:rsidRPr="00494962">
        <w:rPr>
          <w:rFonts w:eastAsia="Arial Unicode MS" w:cs="Arial Unicode MS"/>
          <w:sz w:val="24"/>
          <w:szCs w:val="24"/>
        </w:rPr>
        <w:t xml:space="preserve"> </w:t>
      </w:r>
    </w:p>
    <w:p w:rsidR="00F73F6E" w:rsidRPr="00494962" w:rsidRDefault="00F73F6E" w:rsidP="009A1060">
      <w:pPr>
        <w:pStyle w:val="Nadpis1"/>
        <w:rPr>
          <w:sz w:val="24"/>
          <w:szCs w:val="24"/>
        </w:rPr>
      </w:pPr>
      <w:r w:rsidRPr="00494962">
        <w:rPr>
          <w:sz w:val="24"/>
          <w:szCs w:val="24"/>
        </w:rPr>
        <w:br w:type="page"/>
      </w:r>
      <w:bookmarkStart w:id="55" w:name="_Toc415065721"/>
      <w:r w:rsidRPr="00494962">
        <w:rPr>
          <w:rFonts w:eastAsia="Arial Unicode MS"/>
          <w:lang w:val="sv-SE"/>
        </w:rPr>
        <w:lastRenderedPageBreak/>
        <w:t>Summary</w:t>
      </w:r>
      <w:bookmarkEnd w:id="55"/>
    </w:p>
    <w:p w:rsidR="00F73F6E" w:rsidRPr="00494962" w:rsidRDefault="00F73F6E" w:rsidP="00F73F6E">
      <w:pPr>
        <w:rPr>
          <w:lang w:eastAsia="cs-CZ" w:bidi="ar-SA"/>
        </w:rPr>
      </w:pPr>
      <w:r w:rsidRPr="00494962">
        <w:rPr>
          <w:lang w:val="en-GB"/>
        </w:rPr>
        <w:tab/>
        <w:t>This thesis is focused on</w:t>
      </w:r>
      <w:r w:rsidRPr="00494962">
        <w:rPr>
          <w:lang w:eastAsia="cs-CZ" w:bidi="ar-SA"/>
        </w:rPr>
        <w:t xml:space="preserve"> the statutory bod</w:t>
      </w:r>
      <w:r w:rsidR="000C4732">
        <w:rPr>
          <w:lang w:eastAsia="cs-CZ" w:bidi="ar-SA"/>
        </w:rPr>
        <w:t xml:space="preserve">y </w:t>
      </w:r>
      <w:r w:rsidR="00B5556D">
        <w:rPr>
          <w:lang w:eastAsia="cs-CZ" w:bidi="ar-SA"/>
        </w:rPr>
        <w:t>in</w:t>
      </w:r>
      <w:r w:rsidR="000C4732">
        <w:rPr>
          <w:lang w:eastAsia="cs-CZ" w:bidi="ar-SA"/>
        </w:rPr>
        <w:t xml:space="preserve"> Limited Liability Company </w:t>
      </w:r>
      <w:r w:rsidRPr="00494962">
        <w:rPr>
          <w:lang w:eastAsia="cs-CZ" w:bidi="ar-SA"/>
        </w:rPr>
        <w:t xml:space="preserve">with a focus on direct performance of </w:t>
      </w:r>
      <w:r w:rsidR="000C4732">
        <w:rPr>
          <w:lang w:eastAsia="cs-CZ" w:bidi="ar-SA"/>
        </w:rPr>
        <w:t xml:space="preserve">the </w:t>
      </w:r>
      <w:r w:rsidRPr="00494962">
        <w:rPr>
          <w:lang w:eastAsia="cs-CZ" w:bidi="ar-SA"/>
        </w:rPr>
        <w:t>office.</w:t>
      </w:r>
    </w:p>
    <w:p w:rsidR="00F73F6E" w:rsidRPr="00494962" w:rsidRDefault="00F73F6E" w:rsidP="00F73F6E">
      <w:pPr>
        <w:rPr>
          <w:lang w:eastAsia="cs-CZ" w:bidi="ar-SA"/>
        </w:rPr>
      </w:pPr>
      <w:r w:rsidRPr="00494962">
        <w:rPr>
          <w:lang w:eastAsia="cs-CZ"/>
        </w:rPr>
        <w:tab/>
      </w:r>
      <w:r w:rsidRPr="00494962">
        <w:rPr>
          <w:lang w:eastAsia="cs-CZ" w:bidi="ar-SA"/>
        </w:rPr>
        <w:t>A chapter</w:t>
      </w:r>
      <w:r w:rsidR="00181E25">
        <w:rPr>
          <w:lang w:eastAsia="cs-CZ" w:bidi="ar-SA"/>
        </w:rPr>
        <w:t>,</w:t>
      </w:r>
      <w:r w:rsidRPr="00494962">
        <w:rPr>
          <w:lang w:eastAsia="cs-CZ" w:bidi="ar-SA"/>
        </w:rPr>
        <w:t xml:space="preserve"> which deals with the history of the </w:t>
      </w:r>
      <w:r w:rsidR="000C4732">
        <w:rPr>
          <w:lang w:eastAsia="cs-CZ" w:bidi="ar-SA"/>
        </w:rPr>
        <w:t>Limited Liability Company</w:t>
      </w:r>
      <w:r w:rsidRPr="00494962">
        <w:rPr>
          <w:lang w:eastAsia="cs-CZ" w:bidi="ar-SA"/>
        </w:rPr>
        <w:t xml:space="preserve"> with focus on </w:t>
      </w:r>
      <w:r w:rsidR="000C4732">
        <w:rPr>
          <w:lang w:eastAsia="cs-CZ" w:bidi="ar-SA"/>
        </w:rPr>
        <w:t>Executives</w:t>
      </w:r>
      <w:r w:rsidR="00181E25">
        <w:rPr>
          <w:lang w:eastAsia="cs-CZ" w:bidi="ar-SA"/>
        </w:rPr>
        <w:t>,</w:t>
      </w:r>
      <w:r w:rsidRPr="00494962">
        <w:rPr>
          <w:lang w:eastAsia="cs-CZ" w:bidi="ar-SA"/>
        </w:rPr>
        <w:t xml:space="preserve"> is followed by a chapter</w:t>
      </w:r>
      <w:r w:rsidR="009F1692">
        <w:rPr>
          <w:lang w:eastAsia="cs-CZ" w:bidi="ar-SA"/>
        </w:rPr>
        <w:t>,</w:t>
      </w:r>
      <w:r w:rsidRPr="00494962">
        <w:rPr>
          <w:lang w:eastAsia="cs-CZ" w:bidi="ar-SA"/>
        </w:rPr>
        <w:t xml:space="preserve"> which deals with necessary conditions for performance of</w:t>
      </w:r>
      <w:r w:rsidR="005C2138">
        <w:rPr>
          <w:lang w:eastAsia="cs-CZ" w:bidi="ar-SA"/>
        </w:rPr>
        <w:t xml:space="preserve"> </w:t>
      </w:r>
      <w:r w:rsidR="000C4732">
        <w:rPr>
          <w:lang w:eastAsia="cs-CZ" w:bidi="ar-SA"/>
        </w:rPr>
        <w:t xml:space="preserve">the </w:t>
      </w:r>
      <w:r w:rsidR="005C2138">
        <w:rPr>
          <w:lang w:eastAsia="cs-CZ" w:bidi="ar-SA"/>
        </w:rPr>
        <w:t xml:space="preserve">office of </w:t>
      </w:r>
      <w:r w:rsidR="000C4732">
        <w:rPr>
          <w:lang w:eastAsia="cs-CZ" w:bidi="ar-SA"/>
        </w:rPr>
        <w:t>Executives</w:t>
      </w:r>
      <w:r w:rsidRPr="00494962">
        <w:rPr>
          <w:lang w:eastAsia="cs-CZ" w:bidi="ar-SA"/>
        </w:rPr>
        <w:t xml:space="preserve">, </w:t>
      </w:r>
      <w:r w:rsidR="000C4732">
        <w:rPr>
          <w:lang w:eastAsia="cs-CZ" w:bidi="ar-SA"/>
        </w:rPr>
        <w:t>which are</w:t>
      </w:r>
      <w:r w:rsidRPr="00494962">
        <w:rPr>
          <w:lang w:eastAsia="cs-CZ" w:bidi="ar-SA"/>
        </w:rPr>
        <w:t xml:space="preserve"> legal capacity, conditions of </w:t>
      </w:r>
      <w:hyperlink r:id="rId8" w:history="1">
        <w:r w:rsidRPr="00494962">
          <w:rPr>
            <w:rStyle w:val="Hypertextovodkaz"/>
            <w:color w:val="auto"/>
            <w:u w:val="none"/>
          </w:rPr>
          <w:t>The Trades Licensing Act</w:t>
        </w:r>
      </w:hyperlink>
      <w:r w:rsidRPr="00494962">
        <w:rPr>
          <w:lang w:eastAsia="cs-CZ" w:bidi="ar-SA"/>
        </w:rPr>
        <w:t xml:space="preserve">  and info duty.</w:t>
      </w:r>
    </w:p>
    <w:p w:rsidR="00F73F6E" w:rsidRPr="00494962" w:rsidRDefault="00F73F6E" w:rsidP="00F73F6E">
      <w:pPr>
        <w:rPr>
          <w:rFonts w:eastAsia="Arial Unicode MS"/>
        </w:rPr>
      </w:pPr>
      <w:r w:rsidRPr="00494962">
        <w:rPr>
          <w:lang w:eastAsia="cs-CZ"/>
        </w:rPr>
        <w:tab/>
      </w:r>
      <w:r w:rsidRPr="00494962">
        <w:rPr>
          <w:lang w:eastAsia="cs-CZ" w:bidi="ar-SA"/>
        </w:rPr>
        <w:t>The following chapter then contains the main part of the thesis, where is elabo</w:t>
      </w:r>
      <w:r w:rsidR="005C2138">
        <w:rPr>
          <w:lang w:eastAsia="cs-CZ" w:bidi="ar-SA"/>
        </w:rPr>
        <w:t xml:space="preserve">rated role of </w:t>
      </w:r>
      <w:r w:rsidR="000C4732">
        <w:rPr>
          <w:lang w:eastAsia="cs-CZ" w:bidi="ar-SA"/>
        </w:rPr>
        <w:t>Executives</w:t>
      </w:r>
      <w:r w:rsidR="005C2138">
        <w:rPr>
          <w:lang w:eastAsia="cs-CZ" w:bidi="ar-SA"/>
        </w:rPr>
        <w:t xml:space="preserve"> </w:t>
      </w:r>
      <w:r w:rsidRPr="00494962">
        <w:rPr>
          <w:lang w:eastAsia="cs-CZ" w:bidi="ar-SA"/>
        </w:rPr>
        <w:t>as the statutory bod</w:t>
      </w:r>
      <w:r w:rsidR="00E12814">
        <w:rPr>
          <w:lang w:eastAsia="cs-CZ" w:bidi="ar-SA"/>
        </w:rPr>
        <w:t>y</w:t>
      </w:r>
      <w:r w:rsidRPr="00494962">
        <w:rPr>
          <w:lang w:eastAsia="cs-CZ" w:bidi="ar-SA"/>
        </w:rPr>
        <w:t xml:space="preserve"> in control of </w:t>
      </w:r>
      <w:r w:rsidR="000C4732">
        <w:rPr>
          <w:lang w:eastAsia="cs-CZ" w:bidi="ar-SA"/>
        </w:rPr>
        <w:t>Limited Liability Company</w:t>
      </w:r>
      <w:r w:rsidRPr="00494962">
        <w:rPr>
          <w:lang w:eastAsia="cs-CZ" w:bidi="ar-SA"/>
        </w:rPr>
        <w:t>. The chapter includes the term as competence</w:t>
      </w:r>
      <w:r w:rsidR="00B5556D">
        <w:rPr>
          <w:lang w:eastAsia="cs-CZ" w:bidi="ar-SA"/>
        </w:rPr>
        <w:t xml:space="preserve"> which</w:t>
      </w:r>
      <w:r w:rsidRPr="00494962">
        <w:rPr>
          <w:lang w:eastAsia="cs-CZ" w:bidi="ar-SA"/>
        </w:rPr>
        <w:t xml:space="preserve"> includes </w:t>
      </w:r>
      <w:r w:rsidRPr="00494962">
        <w:rPr>
          <w:rFonts w:eastAsia="Arial Unicode MS"/>
        </w:rPr>
        <w:t xml:space="preserve">permission of </w:t>
      </w:r>
      <w:r w:rsidR="000C4732">
        <w:rPr>
          <w:rFonts w:eastAsia="Arial Unicode MS"/>
        </w:rPr>
        <w:t>Executive</w:t>
      </w:r>
      <w:r w:rsidR="00CC3D88">
        <w:rPr>
          <w:rFonts w:eastAsia="Arial Unicode MS"/>
        </w:rPr>
        <w:t xml:space="preserve"> </w:t>
      </w:r>
      <w:r w:rsidRPr="00494962">
        <w:rPr>
          <w:rFonts w:eastAsia="Arial Unicode MS"/>
        </w:rPr>
        <w:t xml:space="preserve">and </w:t>
      </w:r>
      <w:r w:rsidRPr="00494962">
        <w:t xml:space="preserve">business management. Part of the chapter includes debate about the term </w:t>
      </w:r>
      <w:r w:rsidR="00B5556D">
        <w:t>„</w:t>
      </w:r>
      <w:r w:rsidRPr="00494962">
        <w:t>due managerial care</w:t>
      </w:r>
      <w:r w:rsidR="00B5556D">
        <w:t>“</w:t>
      </w:r>
      <w:r w:rsidRPr="00494962">
        <w:t xml:space="preserve"> and its par</w:t>
      </w:r>
      <w:r w:rsidR="00E12814">
        <w:t xml:space="preserve">ts. Within the chapter there is </w:t>
      </w:r>
      <w:r w:rsidRPr="00494962">
        <w:t xml:space="preserve">debate about </w:t>
      </w:r>
      <w:r w:rsidRPr="00494962">
        <w:rPr>
          <w:rFonts w:eastAsia="Arial Unicode MS"/>
        </w:rPr>
        <w:t>personal performance of the office.</w:t>
      </w:r>
    </w:p>
    <w:p w:rsidR="00F73F6E" w:rsidRPr="00494962" w:rsidRDefault="00F73F6E" w:rsidP="00F73F6E">
      <w:pPr>
        <w:rPr>
          <w:rFonts w:eastAsia="Arial Unicode MS" w:cs="Arial Unicode MS"/>
        </w:rPr>
      </w:pPr>
      <w:r w:rsidRPr="00494962">
        <w:rPr>
          <w:rFonts w:eastAsia="Arial Unicode MS"/>
        </w:rPr>
        <w:tab/>
        <w:t xml:space="preserve">The fourth chapter of the thesis includes specification of the rights and duties of the </w:t>
      </w:r>
      <w:r w:rsidR="000C4732">
        <w:rPr>
          <w:rFonts w:eastAsia="Arial Unicode MS"/>
        </w:rPr>
        <w:t>Executives</w:t>
      </w:r>
      <w:r w:rsidRPr="00494962">
        <w:rPr>
          <w:rFonts w:eastAsia="Arial Unicode MS"/>
        </w:rPr>
        <w:t xml:space="preserve"> in the middle of </w:t>
      </w:r>
      <w:r w:rsidRPr="00494962">
        <w:rPr>
          <w:lang w:val="en-GB"/>
        </w:rPr>
        <w:t xml:space="preserve">Commercial companies and cooperatives Act (Business corporation Act). The following chapter then contains debate about </w:t>
      </w:r>
      <w:r w:rsidRPr="00494962">
        <w:rPr>
          <w:rFonts w:eastAsia="Arial Unicode MS" w:cs="Arial Unicode MS"/>
        </w:rPr>
        <w:t>conflict of interests, where is elaborated also the situation</w:t>
      </w:r>
      <w:r w:rsidR="00516C7F">
        <w:rPr>
          <w:rFonts w:eastAsia="Arial Unicode MS" w:cs="Arial Unicode MS"/>
        </w:rPr>
        <w:t>,</w:t>
      </w:r>
      <w:r w:rsidRPr="00494962">
        <w:rPr>
          <w:rFonts w:eastAsia="Arial Unicode MS" w:cs="Arial Unicode MS"/>
        </w:rPr>
        <w:t xml:space="preserve"> when the Legal body is </w:t>
      </w:r>
      <w:r w:rsidR="000C4732">
        <w:rPr>
          <w:rFonts w:eastAsia="Arial Unicode MS" w:cs="Arial Unicode MS"/>
        </w:rPr>
        <w:t xml:space="preserve">Executive in </w:t>
      </w:r>
      <w:r w:rsidR="000C4732">
        <w:rPr>
          <w:lang w:eastAsia="cs-CZ" w:bidi="ar-SA"/>
        </w:rPr>
        <w:t>Limited Liability Company</w:t>
      </w:r>
      <w:r w:rsidRPr="00494962">
        <w:rPr>
          <w:rFonts w:eastAsia="Arial Unicode MS" w:cs="Arial Unicode MS"/>
        </w:rPr>
        <w:t>. The thesis includes debate about juridical institute - exclusion of the performance of the office</w:t>
      </w:r>
      <w:r w:rsidR="00516C7F">
        <w:rPr>
          <w:rFonts w:eastAsia="Arial Unicode MS" w:cs="Arial Unicode MS"/>
        </w:rPr>
        <w:t>,</w:t>
      </w:r>
      <w:r w:rsidRPr="00494962">
        <w:rPr>
          <w:rFonts w:eastAsia="Arial Unicode MS" w:cs="Arial Unicode MS"/>
        </w:rPr>
        <w:t xml:space="preserve"> which is new in Czech law and </w:t>
      </w:r>
      <w:r w:rsidR="000C4732">
        <w:rPr>
          <w:rFonts w:eastAsia="Arial Unicode MS" w:cs="Arial Unicode MS"/>
        </w:rPr>
        <w:t xml:space="preserve">there is debate about </w:t>
      </w:r>
      <w:r w:rsidRPr="00494962">
        <w:rPr>
          <w:rFonts w:eastAsia="Arial Unicode MS" w:cs="Arial Unicode MS"/>
        </w:rPr>
        <w:t xml:space="preserve">its application in </w:t>
      </w:r>
      <w:r w:rsidR="00CC3D88">
        <w:rPr>
          <w:bCs/>
        </w:rPr>
        <w:t xml:space="preserve">Insolvency Proceedings and out of it. </w:t>
      </w:r>
      <w:r w:rsidRPr="00494962">
        <w:rPr>
          <w:bCs/>
        </w:rPr>
        <w:t xml:space="preserve"> The last chapter elaborated </w:t>
      </w:r>
      <w:r w:rsidR="00516C7F">
        <w:rPr>
          <w:rFonts w:eastAsia="Arial Unicode MS" w:cs="Arial Unicode MS"/>
        </w:rPr>
        <w:t xml:space="preserve">guaranty of </w:t>
      </w:r>
      <w:r w:rsidR="000C4732">
        <w:rPr>
          <w:rFonts w:eastAsia="Arial Unicode MS" w:cs="Arial Unicode MS"/>
        </w:rPr>
        <w:t>Executives</w:t>
      </w:r>
      <w:r w:rsidR="00516C7F">
        <w:rPr>
          <w:rFonts w:eastAsia="Arial Unicode MS" w:cs="Arial Unicode MS"/>
        </w:rPr>
        <w:t>.</w:t>
      </w:r>
    </w:p>
    <w:p w:rsidR="00F73F6E" w:rsidRPr="00494962" w:rsidRDefault="00F73F6E" w:rsidP="00F73F6E">
      <w:pPr>
        <w:rPr>
          <w:rFonts w:eastAsia="Arial Unicode MS" w:cs="Arial Unicode MS"/>
        </w:rPr>
      </w:pPr>
      <w:r w:rsidRPr="00494962">
        <w:rPr>
          <w:rFonts w:eastAsia="Arial Unicode MS" w:cs="Arial Unicode MS"/>
        </w:rPr>
        <w:tab/>
        <w:t xml:space="preserve">The thesis includes </w:t>
      </w:r>
      <w:r w:rsidR="00B5556D">
        <w:rPr>
          <w:rFonts w:eastAsia="Arial Unicode MS" w:cs="Arial Unicode MS"/>
        </w:rPr>
        <w:t xml:space="preserve">limited </w:t>
      </w:r>
      <w:r w:rsidRPr="00494962">
        <w:rPr>
          <w:rFonts w:eastAsia="Arial Unicode MS" w:cs="Arial Unicode MS"/>
        </w:rPr>
        <w:t>comparing with Slovak law</w:t>
      </w:r>
      <w:r w:rsidR="00516C7F">
        <w:rPr>
          <w:rFonts w:eastAsia="Arial Unicode MS" w:cs="Arial Unicode MS"/>
        </w:rPr>
        <w:t>,</w:t>
      </w:r>
      <w:r w:rsidRPr="00494962">
        <w:rPr>
          <w:rFonts w:eastAsia="Arial Unicode MS" w:cs="Arial Unicode MS"/>
        </w:rPr>
        <w:t xml:space="preserve"> </w:t>
      </w:r>
      <w:r w:rsidR="00B5556D">
        <w:rPr>
          <w:rFonts w:eastAsia="Arial Unicode MS" w:cs="Arial Unicode MS"/>
        </w:rPr>
        <w:t>but</w:t>
      </w:r>
      <w:r w:rsidRPr="00494962">
        <w:rPr>
          <w:rFonts w:eastAsia="Arial Unicode MS" w:cs="Arial Unicode MS"/>
        </w:rPr>
        <w:t xml:space="preserve"> only for more interest of the thesis. </w:t>
      </w:r>
    </w:p>
    <w:p w:rsidR="00F73F6E" w:rsidRPr="00494962" w:rsidRDefault="00F73F6E" w:rsidP="00F73F6E">
      <w:pPr>
        <w:rPr>
          <w:rFonts w:eastAsia="Arial Unicode MS" w:cs="Arial Unicode MS"/>
        </w:rPr>
      </w:pPr>
      <w:r w:rsidRPr="00494962">
        <w:rPr>
          <w:rFonts w:eastAsia="Arial Unicode MS" w:cs="Arial Unicode MS"/>
        </w:rPr>
        <w:tab/>
        <w:t>Inside the thes</w:t>
      </w:r>
      <w:r w:rsidR="009A1060">
        <w:rPr>
          <w:rFonts w:eastAsia="Arial Unicode MS" w:cs="Arial Unicode MS"/>
        </w:rPr>
        <w:t>is</w:t>
      </w:r>
      <w:r w:rsidR="00516C7F">
        <w:rPr>
          <w:rFonts w:eastAsia="Arial Unicode MS" w:cs="Arial Unicode MS"/>
        </w:rPr>
        <w:t>,</w:t>
      </w:r>
      <w:r w:rsidR="009A1060">
        <w:rPr>
          <w:rFonts w:eastAsia="Arial Unicode MS" w:cs="Arial Unicode MS"/>
        </w:rPr>
        <w:t xml:space="preserve"> there is comparing between </w:t>
      </w:r>
      <w:r w:rsidRPr="00494962">
        <w:rPr>
          <w:rFonts w:eastAsia="Arial Unicode MS" w:cs="Arial Unicode MS"/>
        </w:rPr>
        <w:t>validly</w:t>
      </w:r>
      <w:r w:rsidR="009A1060">
        <w:rPr>
          <w:rFonts w:eastAsia="Arial Unicode MS" w:cs="Arial Unicode MS"/>
        </w:rPr>
        <w:t xml:space="preserve"> law</w:t>
      </w:r>
      <w:r w:rsidRPr="00494962">
        <w:rPr>
          <w:rFonts w:eastAsia="Arial Unicode MS" w:cs="Arial Unicode MS"/>
        </w:rPr>
        <w:t xml:space="preserve"> in Czech republic until 31.12.2013 and </w:t>
      </w:r>
      <w:r w:rsidR="000C4732">
        <w:rPr>
          <w:rFonts w:eastAsia="Arial Unicode MS" w:cs="Arial Unicode MS"/>
        </w:rPr>
        <w:t>actual law</w:t>
      </w:r>
      <w:r w:rsidRPr="00494962">
        <w:rPr>
          <w:rFonts w:eastAsia="Arial Unicode MS" w:cs="Arial Unicode MS"/>
        </w:rPr>
        <w:t xml:space="preserve">. The reason of this is the recodification of </w:t>
      </w:r>
      <w:r w:rsidR="00E12814">
        <w:rPr>
          <w:rFonts w:eastAsia="Arial Unicode MS" w:cs="Arial Unicode MS"/>
        </w:rPr>
        <w:t>Czech private</w:t>
      </w:r>
      <w:r w:rsidRPr="00494962">
        <w:rPr>
          <w:rFonts w:eastAsia="Arial Unicode MS" w:cs="Arial Unicode MS"/>
        </w:rPr>
        <w:t xml:space="preserve"> law.</w:t>
      </w:r>
    </w:p>
    <w:p w:rsidR="00F73F6E" w:rsidRPr="00494962" w:rsidRDefault="00F73F6E" w:rsidP="00F73F6E">
      <w:pPr>
        <w:rPr>
          <w:lang w:val="en-GB"/>
        </w:rPr>
      </w:pPr>
      <w:r w:rsidRPr="00494962">
        <w:rPr>
          <w:rFonts w:eastAsia="Arial Unicode MS"/>
        </w:rPr>
        <w:tab/>
      </w:r>
      <w:r w:rsidRPr="00494962">
        <w:rPr>
          <w:lang w:val="en-GB"/>
        </w:rPr>
        <w:t xml:space="preserve">The aim is to provide a comprehensive explanation </w:t>
      </w:r>
      <w:r w:rsidR="00E12814">
        <w:rPr>
          <w:lang w:val="en-GB"/>
        </w:rPr>
        <w:t>of the</w:t>
      </w:r>
      <w:r w:rsidRPr="00494962">
        <w:rPr>
          <w:lang w:val="en-GB"/>
        </w:rPr>
        <w:t xml:space="preserve"> f</w:t>
      </w:r>
      <w:r w:rsidR="00516C7F">
        <w:rPr>
          <w:lang w:val="en-GB"/>
        </w:rPr>
        <w:t xml:space="preserve">unction of </w:t>
      </w:r>
      <w:r w:rsidR="000C4732">
        <w:rPr>
          <w:lang w:val="en-GB"/>
        </w:rPr>
        <w:t>Executives</w:t>
      </w:r>
      <w:r w:rsidRPr="00494962">
        <w:rPr>
          <w:lang w:val="en-GB"/>
        </w:rPr>
        <w:t xml:space="preserve"> with focus on direct performance of the office. Next aim is to debate about disputable aspects re</w:t>
      </w:r>
      <w:r w:rsidR="00516C7F">
        <w:rPr>
          <w:lang w:val="en-GB"/>
        </w:rPr>
        <w:t xml:space="preserve">levant for </w:t>
      </w:r>
      <w:r w:rsidR="000C4732">
        <w:rPr>
          <w:lang w:val="en-GB"/>
        </w:rPr>
        <w:t xml:space="preserve">Executives in </w:t>
      </w:r>
      <w:r w:rsidR="000C4732">
        <w:rPr>
          <w:lang w:eastAsia="cs-CZ" w:bidi="ar-SA"/>
        </w:rPr>
        <w:t>Limited Liability Company</w:t>
      </w:r>
      <w:r w:rsidRPr="00494962">
        <w:rPr>
          <w:lang w:val="en-GB"/>
        </w:rPr>
        <w:t>.</w:t>
      </w:r>
    </w:p>
    <w:p w:rsidR="00F73F6E" w:rsidRPr="00494962" w:rsidRDefault="00F73F6E" w:rsidP="009A1060">
      <w:pPr>
        <w:pStyle w:val="Nadpis1"/>
        <w:rPr>
          <w:rFonts w:eastAsia="Arial Unicode MS"/>
        </w:rPr>
      </w:pPr>
      <w:r w:rsidRPr="00494962">
        <w:rPr>
          <w:lang w:val="en-GB"/>
        </w:rPr>
        <w:br w:type="page"/>
      </w:r>
      <w:bookmarkStart w:id="56" w:name="_Toc415065722"/>
      <w:r w:rsidRPr="00494962">
        <w:lastRenderedPageBreak/>
        <w:t>Seznam klíčových slov</w:t>
      </w:r>
      <w:bookmarkEnd w:id="56"/>
      <w:r w:rsidRPr="00494962">
        <w:t xml:space="preserve"> </w:t>
      </w:r>
    </w:p>
    <w:p w:rsidR="000F6731" w:rsidRDefault="000F6731" w:rsidP="00F73F6E">
      <w:pPr>
        <w:pStyle w:val="Textpoznpodarou"/>
        <w:rPr>
          <w:rFonts w:eastAsia="Arial Unicode MS" w:cs="Arial Unicode MS"/>
          <w:sz w:val="24"/>
          <w:szCs w:val="24"/>
        </w:rPr>
      </w:pPr>
      <w:r>
        <w:rPr>
          <w:rFonts w:eastAsia="Arial Unicode MS" w:cs="Arial Unicode MS"/>
          <w:sz w:val="24"/>
          <w:szCs w:val="24"/>
        </w:rPr>
        <w:t>Česká republika, individuální orgán, j</w:t>
      </w:r>
      <w:r w:rsidRPr="00494962">
        <w:rPr>
          <w:rFonts w:eastAsia="Arial Unicode MS" w:cs="Arial Unicode MS"/>
          <w:sz w:val="24"/>
          <w:szCs w:val="24"/>
        </w:rPr>
        <w:t>ednatel</w:t>
      </w:r>
      <w:r>
        <w:rPr>
          <w:rFonts w:eastAsia="Arial Unicode MS" w:cs="Arial Unicode MS"/>
          <w:sz w:val="24"/>
          <w:szCs w:val="24"/>
        </w:rPr>
        <w:t>,</w:t>
      </w:r>
      <w:r w:rsidRPr="00494962">
        <w:rPr>
          <w:rFonts w:eastAsia="Arial Unicode MS" w:cs="Arial Unicode MS"/>
          <w:sz w:val="24"/>
          <w:szCs w:val="24"/>
        </w:rPr>
        <w:t xml:space="preserve"> </w:t>
      </w:r>
      <w:r>
        <w:rPr>
          <w:rFonts w:eastAsia="Arial Unicode MS" w:cs="Arial Unicode MS"/>
          <w:sz w:val="24"/>
          <w:szCs w:val="24"/>
        </w:rPr>
        <w:t>jednatelské oprávnění, kolektivní orgán, občanský zákoník, o</w:t>
      </w:r>
      <w:r w:rsidRPr="00494962">
        <w:rPr>
          <w:rFonts w:eastAsia="Arial Unicode MS" w:cs="Arial Unicode MS"/>
          <w:sz w:val="24"/>
          <w:szCs w:val="24"/>
        </w:rPr>
        <w:t>bchodní vedení</w:t>
      </w:r>
      <w:r>
        <w:rPr>
          <w:rFonts w:eastAsia="Arial Unicode MS" w:cs="Arial Unicode MS"/>
          <w:sz w:val="24"/>
          <w:szCs w:val="24"/>
        </w:rPr>
        <w:t>, osobní výkon funkce, p</w:t>
      </w:r>
      <w:r w:rsidRPr="00494962">
        <w:rPr>
          <w:rFonts w:eastAsia="Arial Unicode MS" w:cs="Arial Unicode MS"/>
          <w:sz w:val="24"/>
          <w:szCs w:val="24"/>
        </w:rPr>
        <w:t>éče řádného hospodáře</w:t>
      </w:r>
      <w:r>
        <w:rPr>
          <w:rFonts w:eastAsia="Arial Unicode MS" w:cs="Arial Unicode MS"/>
          <w:sz w:val="24"/>
          <w:szCs w:val="24"/>
        </w:rPr>
        <w:t>, p</w:t>
      </w:r>
      <w:r w:rsidRPr="00494962">
        <w:rPr>
          <w:rFonts w:eastAsia="Arial Unicode MS" w:cs="Arial Unicode MS"/>
          <w:sz w:val="24"/>
          <w:szCs w:val="24"/>
        </w:rPr>
        <w:t>ovinnosti jednatele</w:t>
      </w:r>
      <w:r>
        <w:rPr>
          <w:rFonts w:eastAsia="Arial Unicode MS" w:cs="Arial Unicode MS"/>
          <w:sz w:val="24"/>
          <w:szCs w:val="24"/>
        </w:rPr>
        <w:t>, práva jednatele, p</w:t>
      </w:r>
      <w:r w:rsidRPr="00494962">
        <w:rPr>
          <w:rFonts w:eastAsia="Arial Unicode MS" w:cs="Arial Unicode MS"/>
          <w:sz w:val="24"/>
          <w:szCs w:val="24"/>
        </w:rPr>
        <w:t>ravidlo podnikatelského úsudku</w:t>
      </w:r>
      <w:r>
        <w:rPr>
          <w:rFonts w:eastAsia="Arial Unicode MS" w:cs="Arial Unicode MS"/>
          <w:sz w:val="24"/>
          <w:szCs w:val="24"/>
        </w:rPr>
        <w:t>, působnost, ručení, s</w:t>
      </w:r>
      <w:r w:rsidRPr="00494962">
        <w:rPr>
          <w:rFonts w:eastAsia="Arial Unicode MS" w:cs="Arial Unicode MS"/>
          <w:sz w:val="24"/>
          <w:szCs w:val="24"/>
        </w:rPr>
        <w:t>polečnost s ručením omezeným</w:t>
      </w:r>
      <w:r>
        <w:rPr>
          <w:rFonts w:eastAsia="Arial Unicode MS" w:cs="Arial Unicode MS"/>
          <w:sz w:val="24"/>
          <w:szCs w:val="24"/>
        </w:rPr>
        <w:t>, s</w:t>
      </w:r>
      <w:r w:rsidRPr="00494962">
        <w:rPr>
          <w:rFonts w:eastAsia="Arial Unicode MS" w:cs="Arial Unicode MS"/>
          <w:sz w:val="24"/>
          <w:szCs w:val="24"/>
        </w:rPr>
        <w:t>tř</w:t>
      </w:r>
      <w:r w:rsidRPr="00494962">
        <w:rPr>
          <w:rFonts w:eastAsia="Arial Unicode MS" w:cs="Arial Unicode MS"/>
          <w:sz w:val="24"/>
          <w:szCs w:val="24"/>
          <w:lang w:val="nl-NL"/>
        </w:rPr>
        <w:t>et z</w:t>
      </w:r>
      <w:r>
        <w:rPr>
          <w:rFonts w:eastAsia="Arial Unicode MS" w:cs="Arial Unicode MS"/>
          <w:sz w:val="24"/>
          <w:szCs w:val="24"/>
        </w:rPr>
        <w:t>ájmů, vyloučení z výkonu funkce, z</w:t>
      </w:r>
      <w:r w:rsidRPr="00494962">
        <w:rPr>
          <w:rFonts w:eastAsia="Arial Unicode MS" w:cs="Arial Unicode MS"/>
          <w:sz w:val="24"/>
          <w:szCs w:val="24"/>
        </w:rPr>
        <w:t>ákon o obchodních společnostech a druž</w:t>
      </w:r>
      <w:r w:rsidRPr="00494962">
        <w:rPr>
          <w:rFonts w:eastAsia="Arial Unicode MS" w:cs="Arial Unicode MS"/>
          <w:sz w:val="24"/>
          <w:szCs w:val="24"/>
          <w:lang w:val="sv-SE"/>
        </w:rPr>
        <w:t>stvech (z</w:t>
      </w:r>
      <w:r>
        <w:rPr>
          <w:rFonts w:eastAsia="Arial Unicode MS" w:cs="Arial Unicode MS"/>
          <w:sz w:val="24"/>
          <w:szCs w:val="24"/>
        </w:rPr>
        <w:t>ákon o obchodních korporacích).</w:t>
      </w:r>
    </w:p>
    <w:p w:rsidR="000F6731" w:rsidRDefault="000F6731">
      <w:pPr>
        <w:spacing w:line="240" w:lineRule="auto"/>
        <w:jc w:val="left"/>
        <w:rPr>
          <w:rFonts w:eastAsia="Arial Unicode MS" w:cs="Arial Unicode MS"/>
        </w:rPr>
      </w:pPr>
      <w:r>
        <w:rPr>
          <w:rFonts w:eastAsia="Arial Unicode MS" w:cs="Arial Unicode MS"/>
        </w:rPr>
        <w:br w:type="page"/>
      </w:r>
    </w:p>
    <w:p w:rsidR="00F73F6E" w:rsidRDefault="000F6731" w:rsidP="000F6731">
      <w:pPr>
        <w:pStyle w:val="Nadpis1"/>
        <w:rPr>
          <w:rFonts w:eastAsia="Arial Unicode MS"/>
        </w:rPr>
      </w:pPr>
      <w:bookmarkStart w:id="57" w:name="_Toc415065723"/>
      <w:r>
        <w:rPr>
          <w:rFonts w:eastAsia="Arial Unicode MS"/>
        </w:rPr>
        <w:lastRenderedPageBreak/>
        <w:t>Keywords</w:t>
      </w:r>
      <w:bookmarkEnd w:id="57"/>
    </w:p>
    <w:p w:rsidR="000F6731" w:rsidRDefault="000F6731" w:rsidP="000F6731">
      <w:r>
        <w:t>B</w:t>
      </w:r>
      <w:r w:rsidRPr="007F720C">
        <w:t>usiness judgment rule</w:t>
      </w:r>
      <w:r>
        <w:t>, business management,</w:t>
      </w:r>
      <w:r>
        <w:rPr>
          <w:rFonts w:eastAsia="Arial Unicode MS" w:cs="Arial Unicode MS"/>
        </w:rPr>
        <w:t xml:space="preserve"> c</w:t>
      </w:r>
      <w:r w:rsidRPr="00494962">
        <w:rPr>
          <w:rFonts w:eastAsia="Arial Unicode MS" w:cs="Arial Unicode MS"/>
        </w:rPr>
        <w:t>ivil code,</w:t>
      </w:r>
      <w:r>
        <w:rPr>
          <w:rFonts w:eastAsia="Arial Unicode MS" w:cs="Arial Unicode MS"/>
        </w:rPr>
        <w:t xml:space="preserve"> c</w:t>
      </w:r>
      <w:r w:rsidRPr="00494962">
        <w:rPr>
          <w:rFonts w:eastAsia="Arial Unicode MS" w:cs="Arial Unicode MS"/>
        </w:rPr>
        <w:t>ollective authority</w:t>
      </w:r>
      <w:r>
        <w:rPr>
          <w:rFonts w:eastAsia="Arial Unicode MS" w:cs="Arial Unicode MS"/>
        </w:rPr>
        <w:t xml:space="preserve">, </w:t>
      </w:r>
      <w:r>
        <w:rPr>
          <w:lang w:val="en-GB"/>
        </w:rPr>
        <w:t>c</w:t>
      </w:r>
      <w:r w:rsidRPr="00494962">
        <w:rPr>
          <w:lang w:val="en-GB"/>
        </w:rPr>
        <w:t>ommercial companies and cooperatives Act (Business corporation Act)</w:t>
      </w:r>
      <w:r>
        <w:rPr>
          <w:rFonts w:eastAsia="Arial Unicode MS" w:cs="Arial Unicode MS"/>
        </w:rPr>
        <w:t>, c</w:t>
      </w:r>
      <w:r w:rsidRPr="00494962">
        <w:rPr>
          <w:rFonts w:eastAsia="Arial Unicode MS" w:cs="Arial Unicode MS"/>
        </w:rPr>
        <w:t>ompetence</w:t>
      </w:r>
      <w:r>
        <w:rPr>
          <w:rFonts w:eastAsia="Arial Unicode MS" w:cs="Arial Unicode MS"/>
        </w:rPr>
        <w:t xml:space="preserve">, </w:t>
      </w:r>
      <w:r w:rsidR="00F30F82">
        <w:rPr>
          <w:rFonts w:eastAsia="Arial Unicode MS" w:cs="Arial Unicode MS"/>
        </w:rPr>
        <w:t>c</w:t>
      </w:r>
      <w:r w:rsidR="00F30F82" w:rsidRPr="00494962">
        <w:rPr>
          <w:rFonts w:eastAsia="Arial Unicode MS" w:cs="Arial Unicode MS"/>
        </w:rPr>
        <w:t>onflict of interests</w:t>
      </w:r>
      <w:r w:rsidR="00F30F82">
        <w:rPr>
          <w:rFonts w:eastAsia="Arial Unicode MS" w:cs="Arial Unicode MS"/>
        </w:rPr>
        <w:t xml:space="preserve">, </w:t>
      </w:r>
      <w:r>
        <w:rPr>
          <w:rFonts w:eastAsia="Arial Unicode MS" w:cs="Arial Unicode MS"/>
        </w:rPr>
        <w:t>C</w:t>
      </w:r>
      <w:r w:rsidRPr="00494962">
        <w:rPr>
          <w:rFonts w:eastAsia="Arial Unicode MS" w:cs="Arial Unicode MS"/>
        </w:rPr>
        <w:t>zech republic</w:t>
      </w:r>
      <w:r w:rsidR="00F30F82">
        <w:rPr>
          <w:rFonts w:eastAsia="Arial Unicode MS" w:cs="Arial Unicode MS"/>
        </w:rPr>
        <w:t xml:space="preserve">, </w:t>
      </w:r>
      <w:r>
        <w:t>d</w:t>
      </w:r>
      <w:r w:rsidRPr="00494962">
        <w:t>ue managerial care</w:t>
      </w:r>
      <w:r>
        <w:t xml:space="preserve">, </w:t>
      </w:r>
      <w:r>
        <w:rPr>
          <w:rFonts w:eastAsia="Arial Unicode MS" w:cs="Arial Unicode MS"/>
        </w:rPr>
        <w:t>d</w:t>
      </w:r>
      <w:r w:rsidRPr="00494962">
        <w:rPr>
          <w:rFonts w:eastAsia="Arial Unicode MS" w:cs="Arial Unicode MS"/>
        </w:rPr>
        <w:t xml:space="preserve">uties of </w:t>
      </w:r>
      <w:r>
        <w:rPr>
          <w:rFonts w:eastAsia="Arial Unicode MS" w:cs="Arial Unicode MS"/>
        </w:rPr>
        <w:t>executive, ex</w:t>
      </w:r>
      <w:r w:rsidRPr="00494962">
        <w:rPr>
          <w:rFonts w:eastAsia="Arial Unicode MS" w:cs="Arial Unicode MS"/>
        </w:rPr>
        <w:t>clusion of the performance of the office</w:t>
      </w:r>
      <w:r>
        <w:rPr>
          <w:rFonts w:eastAsia="Arial Unicode MS" w:cs="Arial Unicode MS"/>
        </w:rPr>
        <w:t>, executive, g</w:t>
      </w:r>
      <w:r w:rsidRPr="00494962">
        <w:rPr>
          <w:rFonts w:eastAsia="Arial Unicode MS" w:cs="Arial Unicode MS"/>
        </w:rPr>
        <w:t>uaranty</w:t>
      </w:r>
      <w:r>
        <w:rPr>
          <w:rFonts w:eastAsia="Arial Unicode MS" w:cs="Arial Unicode MS"/>
        </w:rPr>
        <w:t>, i</w:t>
      </w:r>
      <w:r w:rsidRPr="00494962">
        <w:rPr>
          <w:rFonts w:eastAsia="Arial Unicode MS" w:cs="Arial Unicode MS"/>
        </w:rPr>
        <w:t>ndividual authority</w:t>
      </w:r>
      <w:r>
        <w:rPr>
          <w:rFonts w:eastAsia="Arial Unicode MS" w:cs="Arial Unicode MS"/>
        </w:rPr>
        <w:t xml:space="preserve">, </w:t>
      </w:r>
      <w:r>
        <w:t>limited liability c</w:t>
      </w:r>
      <w:r w:rsidRPr="000C4732">
        <w:t>ompany</w:t>
      </w:r>
      <w:r>
        <w:t>,</w:t>
      </w:r>
      <w:r w:rsidRPr="00B761BE">
        <w:rPr>
          <w:rFonts w:eastAsia="Arial Unicode MS" w:cs="Arial Unicode MS"/>
        </w:rPr>
        <w:t xml:space="preserve"> </w:t>
      </w:r>
      <w:r>
        <w:rPr>
          <w:rFonts w:eastAsia="Arial Unicode MS" w:cs="Arial Unicode MS"/>
        </w:rPr>
        <w:t>p</w:t>
      </w:r>
      <w:r w:rsidRPr="00494962">
        <w:rPr>
          <w:rFonts w:eastAsia="Arial Unicode MS" w:cs="Arial Unicode MS"/>
        </w:rPr>
        <w:t xml:space="preserve">ermission of </w:t>
      </w:r>
      <w:r>
        <w:rPr>
          <w:rFonts w:eastAsia="Arial Unicode MS" w:cs="Arial Unicode MS"/>
        </w:rPr>
        <w:t>executives, p</w:t>
      </w:r>
      <w:r w:rsidRPr="00494962">
        <w:rPr>
          <w:rFonts w:eastAsia="Arial Unicode MS" w:cs="Arial Unicode MS"/>
        </w:rPr>
        <w:t>ersonal performance of the office</w:t>
      </w:r>
      <w:r>
        <w:rPr>
          <w:rFonts w:eastAsia="Arial Unicode MS" w:cs="Arial Unicode MS"/>
        </w:rPr>
        <w:t>, rights of executive.</w:t>
      </w:r>
    </w:p>
    <w:p w:rsidR="000F6731" w:rsidRPr="00494962" w:rsidRDefault="000F6731" w:rsidP="00F73F6E">
      <w:pPr>
        <w:pStyle w:val="Textpoznpodarou"/>
        <w:rPr>
          <w:rFonts w:eastAsia="Arial Unicode MS" w:cs="Arial Unicode MS"/>
          <w:sz w:val="24"/>
          <w:szCs w:val="24"/>
        </w:rPr>
      </w:pPr>
    </w:p>
    <w:p w:rsidR="00F73F6E" w:rsidRPr="00494962" w:rsidRDefault="00F73F6E" w:rsidP="00F73F6E">
      <w:pPr>
        <w:pStyle w:val="Nadpis1"/>
        <w:rPr>
          <w:rFonts w:eastAsia="Arial Unicode MS"/>
          <w:sz w:val="24"/>
          <w:szCs w:val="24"/>
        </w:rPr>
      </w:pPr>
      <w:r w:rsidRPr="00494962">
        <w:rPr>
          <w:rFonts w:eastAsia="Arial Unicode MS"/>
          <w:sz w:val="24"/>
          <w:szCs w:val="24"/>
        </w:rPr>
        <w:br w:type="page"/>
      </w:r>
      <w:bookmarkStart w:id="58" w:name="_Toc415065724"/>
      <w:r w:rsidRPr="00494962">
        <w:rPr>
          <w:rFonts w:eastAsia="Arial Unicode MS"/>
        </w:rPr>
        <w:lastRenderedPageBreak/>
        <w:t>Přílohy</w:t>
      </w:r>
      <w:bookmarkEnd w:id="58"/>
    </w:p>
    <w:p w:rsidR="00F73F6E" w:rsidRPr="00494962" w:rsidRDefault="00F73F6E" w:rsidP="00F73F6E">
      <w:r w:rsidRPr="00494962">
        <w:rPr>
          <w:rFonts w:eastAsia="Arial Unicode MS" w:cs="Arial Unicode MS"/>
        </w:rPr>
        <w:t>Příloha č. 1 Počet kapitálových obchodních korporací v České republice v období roků 2007 - 2014 vč. grafů</w:t>
      </w:r>
      <w:r w:rsidR="0056686E">
        <w:rPr>
          <w:rFonts w:eastAsia="Arial Unicode MS" w:cs="Arial Unicode MS"/>
        </w:rPr>
        <w:t>.</w:t>
      </w:r>
    </w:p>
    <w:p w:rsidR="00F73F6E" w:rsidRPr="00494962" w:rsidRDefault="00F73F6E" w:rsidP="00F73F6E">
      <w:pPr>
        <w:rPr>
          <w:rFonts w:eastAsia="Arial Unicode MS" w:cs="Arial Unicode MS"/>
        </w:rPr>
      </w:pPr>
      <w:r w:rsidRPr="00494962">
        <w:rPr>
          <w:rFonts w:eastAsia="Arial Unicode MS" w:cs="Arial Unicode MS"/>
        </w:rPr>
        <w:t>Příloha č. 2 Počet nově založených kapitálových obchodních korporací v České republice v ob</w:t>
      </w:r>
      <w:r w:rsidR="0056686E">
        <w:rPr>
          <w:rFonts w:eastAsia="Arial Unicode MS" w:cs="Arial Unicode MS"/>
        </w:rPr>
        <w:t>dobí roků 2007 - 2014 vč. grafů.</w:t>
      </w:r>
    </w:p>
    <w:p w:rsidR="00F73F6E" w:rsidRPr="00494962" w:rsidRDefault="00F73F6E" w:rsidP="00F73F6E">
      <w:pPr>
        <w:pStyle w:val="Nadpis1"/>
      </w:pPr>
      <w:r w:rsidRPr="00494962">
        <w:rPr>
          <w:rFonts w:eastAsia="Arial Unicode MS"/>
        </w:rPr>
        <w:br w:type="page"/>
      </w:r>
      <w:bookmarkStart w:id="59" w:name="_Toc414788331"/>
      <w:bookmarkStart w:id="60" w:name="_Toc415065725"/>
      <w:r w:rsidRPr="00494962">
        <w:rPr>
          <w:rFonts w:eastAsia="Arial Unicode MS"/>
        </w:rPr>
        <w:lastRenderedPageBreak/>
        <w:t>Přílohy</w:t>
      </w:r>
      <w:bookmarkEnd w:id="59"/>
      <w:bookmarkEnd w:id="60"/>
    </w:p>
    <w:p w:rsidR="0056686E" w:rsidRDefault="0056686E" w:rsidP="00F73F6E">
      <w:pPr>
        <w:rPr>
          <w:rFonts w:eastAsia="Arial Unicode MS" w:cs="Arial Unicode MS"/>
          <w:b/>
          <w:bCs/>
        </w:rPr>
      </w:pPr>
      <w:r>
        <w:rPr>
          <w:rFonts w:eastAsia="Arial Unicode MS" w:cs="Arial Unicode MS"/>
          <w:b/>
          <w:bCs/>
        </w:rPr>
        <w:t>Příloha č. 1</w:t>
      </w:r>
    </w:p>
    <w:p w:rsidR="00F73F6E" w:rsidRPr="0056686E" w:rsidRDefault="00F73F6E" w:rsidP="00F73F6E">
      <w:pPr>
        <w:rPr>
          <w:rFonts w:eastAsia="Arial Unicode MS" w:cs="Arial Unicode MS"/>
          <w:b/>
          <w:bCs/>
        </w:rPr>
      </w:pPr>
      <w:r w:rsidRPr="00494962">
        <w:rPr>
          <w:rFonts w:eastAsia="Arial Unicode MS" w:cs="Arial Unicode MS"/>
          <w:b/>
          <w:bCs/>
        </w:rPr>
        <w:t>Počet kapitálových obchodních korporací v</w:t>
      </w:r>
      <w:r w:rsidR="007E0DC6">
        <w:rPr>
          <w:rFonts w:eastAsia="Arial Unicode MS" w:cs="Arial Unicode MS"/>
          <w:b/>
          <w:bCs/>
        </w:rPr>
        <w:t> České republice</w:t>
      </w:r>
      <w:r w:rsidRPr="00494962">
        <w:rPr>
          <w:rFonts w:eastAsia="Arial Unicode MS" w:cs="Arial Unicode MS"/>
          <w:b/>
          <w:bCs/>
        </w:rPr>
        <w:t xml:space="preserve"> v období 2007 - 2014 vč. grafů</w:t>
      </w:r>
    </w:p>
    <w:p w:rsidR="00F73F6E" w:rsidRPr="00494962" w:rsidRDefault="00F73F6E" w:rsidP="00F73F6E">
      <w:pPr>
        <w:widowControl w:val="0"/>
      </w:pPr>
      <w:r w:rsidRPr="00494962">
        <w:t>Dostupné na: www.bisnode.cz</w:t>
      </w:r>
    </w:p>
    <w:tbl>
      <w:tblPr>
        <w:tblW w:w="8640" w:type="dxa"/>
        <w:tblInd w:w="65" w:type="dxa"/>
        <w:tblCellMar>
          <w:left w:w="70" w:type="dxa"/>
          <w:right w:w="70" w:type="dxa"/>
        </w:tblCellMar>
        <w:tblLook w:val="04A0"/>
      </w:tblPr>
      <w:tblGrid>
        <w:gridCol w:w="960"/>
        <w:gridCol w:w="960"/>
        <w:gridCol w:w="960"/>
        <w:gridCol w:w="960"/>
        <w:gridCol w:w="960"/>
        <w:gridCol w:w="960"/>
        <w:gridCol w:w="960"/>
        <w:gridCol w:w="960"/>
        <w:gridCol w:w="960"/>
      </w:tblGrid>
      <w:tr w:rsidR="0078292D" w:rsidRPr="0078292D" w:rsidTr="007829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lef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2014</w:t>
            </w:r>
          </w:p>
        </w:tc>
      </w:tr>
      <w:tr w:rsidR="0078292D" w:rsidRPr="0078292D" w:rsidTr="0078292D">
        <w:trPr>
          <w:trHeight w:val="300"/>
        </w:trPr>
        <w:tc>
          <w:tcPr>
            <w:tcW w:w="960" w:type="dxa"/>
            <w:tcBorders>
              <w:top w:val="nil"/>
              <w:left w:val="single" w:sz="4" w:space="0" w:color="auto"/>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lef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S.r.o.</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261946</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280736</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296787</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316429</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332987</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348334</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366432</w:t>
            </w:r>
          </w:p>
        </w:tc>
        <w:tc>
          <w:tcPr>
            <w:tcW w:w="960" w:type="dxa"/>
            <w:tcBorders>
              <w:top w:val="nil"/>
              <w:left w:val="nil"/>
              <w:bottom w:val="single" w:sz="4" w:space="0" w:color="auto"/>
              <w:right w:val="single" w:sz="4" w:space="0" w:color="auto"/>
            </w:tcBorders>
            <w:shd w:val="clear" w:color="000000" w:fill="B8CCE4"/>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385979</w:t>
            </w:r>
          </w:p>
        </w:tc>
      </w:tr>
      <w:tr w:rsidR="0078292D" w:rsidRPr="0078292D" w:rsidTr="0078292D">
        <w:trPr>
          <w:trHeight w:val="300"/>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lef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A.s.</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21932</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22888</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23221</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24042</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24714</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24937</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25120</w:t>
            </w:r>
          </w:p>
        </w:tc>
        <w:tc>
          <w:tcPr>
            <w:tcW w:w="960" w:type="dxa"/>
            <w:tcBorders>
              <w:top w:val="nil"/>
              <w:left w:val="nil"/>
              <w:bottom w:val="single" w:sz="4" w:space="0" w:color="auto"/>
              <w:right w:val="single" w:sz="4" w:space="0" w:color="auto"/>
            </w:tcBorders>
            <w:shd w:val="clear" w:color="000000" w:fill="D99795"/>
            <w:noWrap/>
            <w:vAlign w:val="bottom"/>
            <w:hideMark/>
          </w:tcPr>
          <w:p w:rsidR="0078292D" w:rsidRPr="0078292D" w:rsidRDefault="0078292D" w:rsidP="0078292D">
            <w:pPr>
              <w:spacing w:line="240" w:lineRule="auto"/>
              <w:jc w:val="right"/>
              <w:rPr>
                <w:rFonts w:ascii="Calibri" w:hAnsi="Calibri"/>
                <w:color w:val="000000"/>
                <w:sz w:val="22"/>
                <w:szCs w:val="22"/>
                <w:lang w:eastAsia="cs-CZ" w:bidi="ar-SA"/>
              </w:rPr>
            </w:pPr>
            <w:r w:rsidRPr="0078292D">
              <w:rPr>
                <w:rFonts w:ascii="Calibri" w:hAnsi="Calibri"/>
                <w:color w:val="000000"/>
                <w:sz w:val="22"/>
                <w:szCs w:val="22"/>
                <w:lang w:eastAsia="cs-CZ" w:bidi="ar-SA"/>
              </w:rPr>
              <w:t>25372</w:t>
            </w:r>
          </w:p>
        </w:tc>
      </w:tr>
      <w:tr w:rsidR="0078292D" w:rsidRPr="0078292D" w:rsidTr="007829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left"/>
              <w:rPr>
                <w:rFonts w:ascii="Calibri" w:hAnsi="Calibri"/>
                <w:b/>
                <w:bCs/>
                <w:color w:val="000000"/>
                <w:sz w:val="22"/>
                <w:szCs w:val="22"/>
                <w:lang w:eastAsia="cs-CZ" w:bidi="ar-SA"/>
              </w:rPr>
            </w:pPr>
            <w:r w:rsidRPr="0078292D">
              <w:rPr>
                <w:rFonts w:ascii="Calibri" w:hAnsi="Calibri"/>
                <w:b/>
                <w:bCs/>
                <w:color w:val="000000"/>
                <w:sz w:val="22"/>
                <w:szCs w:val="22"/>
                <w:lang w:eastAsia="cs-CZ" w:bidi="ar-SA"/>
              </w:rPr>
              <w:t>Celkem</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283878</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303624</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320008</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340471</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357701</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373271</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391552</w:t>
            </w:r>
          </w:p>
        </w:tc>
        <w:tc>
          <w:tcPr>
            <w:tcW w:w="960" w:type="dxa"/>
            <w:tcBorders>
              <w:top w:val="nil"/>
              <w:left w:val="nil"/>
              <w:bottom w:val="single" w:sz="4" w:space="0" w:color="auto"/>
              <w:right w:val="single" w:sz="4" w:space="0" w:color="auto"/>
            </w:tcBorders>
            <w:shd w:val="clear" w:color="auto" w:fill="auto"/>
            <w:noWrap/>
            <w:vAlign w:val="bottom"/>
            <w:hideMark/>
          </w:tcPr>
          <w:p w:rsidR="0078292D" w:rsidRPr="0078292D" w:rsidRDefault="0078292D" w:rsidP="0078292D">
            <w:pPr>
              <w:spacing w:line="240" w:lineRule="auto"/>
              <w:jc w:val="right"/>
              <w:rPr>
                <w:b/>
                <w:bCs/>
                <w:color w:val="000000"/>
                <w:sz w:val="22"/>
                <w:szCs w:val="22"/>
                <w:lang w:eastAsia="cs-CZ" w:bidi="ar-SA"/>
              </w:rPr>
            </w:pPr>
            <w:r w:rsidRPr="0078292D">
              <w:rPr>
                <w:b/>
                <w:bCs/>
                <w:color w:val="000000"/>
                <w:sz w:val="22"/>
                <w:szCs w:val="22"/>
                <w:lang w:eastAsia="cs-CZ" w:bidi="ar-SA"/>
              </w:rPr>
              <w:t>411351</w:t>
            </w:r>
          </w:p>
        </w:tc>
      </w:tr>
    </w:tbl>
    <w:p w:rsidR="00F73F6E" w:rsidRPr="00494962" w:rsidRDefault="00F73F6E" w:rsidP="00F73F6E"/>
    <w:p w:rsidR="00F73F6E" w:rsidRPr="00494962" w:rsidRDefault="00F73F6E" w:rsidP="00F73F6E">
      <w:pPr>
        <w:rPr>
          <w:b/>
          <w:bCs/>
        </w:rPr>
      </w:pPr>
      <w:r w:rsidRPr="00494962">
        <w:rPr>
          <w:rFonts w:eastAsia="Arial Unicode MS" w:cs="Arial Unicode MS"/>
          <w:b/>
          <w:bCs/>
          <w:lang w:val="da-DK"/>
        </w:rPr>
        <w:t xml:space="preserve">Graf </w:t>
      </w:r>
      <w:r w:rsidR="00F440C8">
        <w:rPr>
          <w:rFonts w:eastAsia="Arial Unicode MS" w:cs="Arial Unicode MS"/>
          <w:b/>
          <w:bCs/>
          <w:lang w:val="da-DK"/>
        </w:rPr>
        <w:t>zobrazující počet</w:t>
      </w:r>
      <w:r w:rsidRPr="00494962">
        <w:rPr>
          <w:rFonts w:eastAsia="Arial Unicode MS" w:cs="Arial Unicode MS"/>
          <w:b/>
          <w:bCs/>
        </w:rPr>
        <w:t xml:space="preserve"> s.r.o. v </w:t>
      </w:r>
      <w:r w:rsidR="007E0DC6">
        <w:rPr>
          <w:rFonts w:eastAsia="Arial Unicode MS" w:cs="Arial Unicode MS"/>
          <w:b/>
          <w:bCs/>
        </w:rPr>
        <w:t>ČR</w:t>
      </w:r>
      <w:r w:rsidRPr="00494962">
        <w:rPr>
          <w:rFonts w:eastAsia="Arial Unicode MS" w:cs="Arial Unicode MS"/>
          <w:b/>
          <w:bCs/>
        </w:rPr>
        <w:t xml:space="preserve"> v období 2007 - 2014</w:t>
      </w:r>
    </w:p>
    <w:p w:rsidR="00F73F6E" w:rsidRPr="00494962" w:rsidRDefault="0078292D" w:rsidP="00F73F6E">
      <w:r w:rsidRPr="0078292D">
        <w:rPr>
          <w:noProof/>
          <w:lang w:eastAsia="cs-CZ" w:bidi="ar-SA"/>
        </w:rPr>
        <w:drawing>
          <wp:inline distT="0" distB="0" distL="0" distR="0">
            <wp:extent cx="4572000" cy="2743200"/>
            <wp:effectExtent l="19050" t="0" r="19050" b="0"/>
            <wp:docPr id="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292D" w:rsidRDefault="0078292D" w:rsidP="00F73F6E">
      <w:pPr>
        <w:rPr>
          <w:rFonts w:eastAsia="Arial Unicode MS" w:cs="Arial Unicode MS"/>
          <w:b/>
          <w:bCs/>
          <w:lang w:val="da-DK"/>
        </w:rPr>
      </w:pPr>
    </w:p>
    <w:p w:rsidR="00F73F6E" w:rsidRPr="00494962" w:rsidRDefault="00F73F6E" w:rsidP="0056686E">
      <w:pPr>
        <w:spacing w:line="240" w:lineRule="auto"/>
        <w:jc w:val="left"/>
        <w:rPr>
          <w:b/>
          <w:bCs/>
        </w:rPr>
      </w:pPr>
      <w:r w:rsidRPr="00494962">
        <w:rPr>
          <w:rFonts w:eastAsia="Arial Unicode MS" w:cs="Arial Unicode MS"/>
          <w:b/>
          <w:bCs/>
          <w:lang w:val="da-DK"/>
        </w:rPr>
        <w:t xml:space="preserve">Graf </w:t>
      </w:r>
      <w:r w:rsidR="00F440C8">
        <w:rPr>
          <w:rFonts w:eastAsia="Arial Unicode MS" w:cs="Arial Unicode MS"/>
          <w:b/>
          <w:bCs/>
          <w:lang w:val="da-DK"/>
        </w:rPr>
        <w:t>zobrazující počet</w:t>
      </w:r>
      <w:r w:rsidRPr="00494962">
        <w:rPr>
          <w:rFonts w:eastAsia="Arial Unicode MS" w:cs="Arial Unicode MS"/>
          <w:b/>
          <w:bCs/>
          <w:lang w:val="it-IT"/>
        </w:rPr>
        <w:t xml:space="preserve"> a.s. v</w:t>
      </w:r>
      <w:r w:rsidRPr="00494962">
        <w:rPr>
          <w:rFonts w:eastAsia="Arial Unicode MS" w:cs="Arial Unicode MS"/>
          <w:b/>
          <w:bCs/>
        </w:rPr>
        <w:t> </w:t>
      </w:r>
      <w:r w:rsidR="007E0DC6">
        <w:rPr>
          <w:rFonts w:eastAsia="Arial Unicode MS" w:cs="Arial Unicode MS"/>
          <w:b/>
          <w:bCs/>
        </w:rPr>
        <w:t>ČR</w:t>
      </w:r>
      <w:r w:rsidRPr="00494962">
        <w:rPr>
          <w:rFonts w:eastAsia="Arial Unicode MS" w:cs="Arial Unicode MS"/>
          <w:b/>
          <w:bCs/>
        </w:rPr>
        <w:t xml:space="preserve"> v období 2007 - 2014 </w:t>
      </w:r>
    </w:p>
    <w:p w:rsidR="00F73F6E" w:rsidRDefault="0078292D" w:rsidP="00F73F6E">
      <w:r w:rsidRPr="0078292D">
        <w:rPr>
          <w:noProof/>
          <w:lang w:eastAsia="cs-CZ" w:bidi="ar-SA"/>
        </w:rPr>
        <w:drawing>
          <wp:inline distT="0" distB="0" distL="0" distR="0">
            <wp:extent cx="4572000" cy="2743200"/>
            <wp:effectExtent l="19050" t="0" r="19050" b="0"/>
            <wp:docPr id="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686E" w:rsidRPr="0078292D" w:rsidRDefault="0056686E" w:rsidP="00F73F6E"/>
    <w:p w:rsidR="00F73F6E" w:rsidRPr="00494962" w:rsidRDefault="0078292D" w:rsidP="00F73F6E">
      <w:pPr>
        <w:rPr>
          <w:b/>
          <w:bCs/>
        </w:rPr>
      </w:pPr>
      <w:r>
        <w:rPr>
          <w:rFonts w:eastAsia="Arial Unicode MS" w:cs="Arial Unicode MS"/>
          <w:b/>
          <w:bCs/>
        </w:rPr>
        <w:t>Graf zobrazující poměr</w:t>
      </w:r>
      <w:r w:rsidR="00F73F6E" w:rsidRPr="00494962">
        <w:rPr>
          <w:rFonts w:eastAsia="Arial Unicode MS" w:cs="Arial Unicode MS"/>
          <w:b/>
          <w:bCs/>
        </w:rPr>
        <w:t xml:space="preserve"> kapitálových obchodních korporací v ČR v období 2007 - 2014</w:t>
      </w:r>
    </w:p>
    <w:p w:rsidR="00F73F6E" w:rsidRPr="00494962" w:rsidRDefault="0078292D" w:rsidP="00F73F6E">
      <w:pPr>
        <w:rPr>
          <w:b/>
          <w:bCs/>
          <w:sz w:val="28"/>
          <w:szCs w:val="28"/>
        </w:rPr>
      </w:pPr>
      <w:r w:rsidRPr="0078292D">
        <w:rPr>
          <w:b/>
          <w:bCs/>
          <w:noProof/>
          <w:sz w:val="28"/>
          <w:szCs w:val="28"/>
          <w:lang w:eastAsia="cs-CZ" w:bidi="ar-SA"/>
        </w:rPr>
        <w:drawing>
          <wp:inline distT="0" distB="0" distL="0" distR="0">
            <wp:extent cx="4572000" cy="2743200"/>
            <wp:effectExtent l="19050" t="0" r="19050" b="0"/>
            <wp:docPr id="9"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686E" w:rsidRDefault="00F73F6E" w:rsidP="00F73F6E">
      <w:pPr>
        <w:rPr>
          <w:rFonts w:eastAsia="Arial Unicode MS" w:cs="Arial Unicode MS"/>
          <w:b/>
          <w:bCs/>
        </w:rPr>
      </w:pPr>
      <w:r w:rsidRPr="00494962">
        <w:rPr>
          <w:b/>
          <w:bCs/>
          <w:sz w:val="28"/>
          <w:szCs w:val="28"/>
        </w:rPr>
        <w:br w:type="page"/>
      </w:r>
      <w:r w:rsidRPr="00494962">
        <w:rPr>
          <w:rFonts w:eastAsia="Arial Unicode MS" w:cs="Arial Unicode MS"/>
          <w:b/>
          <w:bCs/>
        </w:rPr>
        <w:lastRenderedPageBreak/>
        <w:t xml:space="preserve">Příloha č. 2 </w:t>
      </w:r>
    </w:p>
    <w:p w:rsidR="00F73F6E" w:rsidRPr="00494962" w:rsidRDefault="00F73F6E" w:rsidP="00F73F6E">
      <w:r w:rsidRPr="00494962">
        <w:rPr>
          <w:rFonts w:eastAsia="Arial Unicode MS" w:cs="Arial Unicode MS"/>
          <w:b/>
          <w:bCs/>
        </w:rPr>
        <w:t>Počet nově založených kapitálových obchodních korporací v</w:t>
      </w:r>
      <w:r w:rsidR="007E0DC6">
        <w:rPr>
          <w:rFonts w:eastAsia="Arial Unicode MS" w:cs="Arial Unicode MS"/>
          <w:b/>
          <w:bCs/>
        </w:rPr>
        <w:t> České republice</w:t>
      </w:r>
      <w:r w:rsidRPr="00494962">
        <w:rPr>
          <w:rFonts w:eastAsia="Arial Unicode MS" w:cs="Arial Unicode MS"/>
          <w:b/>
          <w:bCs/>
        </w:rPr>
        <w:t xml:space="preserve"> v období 2007 - 2014 vč. grafů</w:t>
      </w:r>
    </w:p>
    <w:p w:rsidR="00F73F6E" w:rsidRPr="00494962" w:rsidRDefault="00F73F6E" w:rsidP="00F73F6E">
      <w:pPr>
        <w:widowControl w:val="0"/>
      </w:pPr>
      <w:r w:rsidRPr="00494962">
        <w:t>Dostupné na: www.bisnode.cz</w:t>
      </w:r>
    </w:p>
    <w:tbl>
      <w:tblPr>
        <w:tblW w:w="8640" w:type="dxa"/>
        <w:tblInd w:w="65" w:type="dxa"/>
        <w:tblCellMar>
          <w:left w:w="70" w:type="dxa"/>
          <w:right w:w="70" w:type="dxa"/>
        </w:tblCellMar>
        <w:tblLook w:val="04A0"/>
      </w:tblPr>
      <w:tblGrid>
        <w:gridCol w:w="960"/>
        <w:gridCol w:w="960"/>
        <w:gridCol w:w="960"/>
        <w:gridCol w:w="960"/>
        <w:gridCol w:w="960"/>
        <w:gridCol w:w="960"/>
        <w:gridCol w:w="960"/>
        <w:gridCol w:w="960"/>
        <w:gridCol w:w="960"/>
      </w:tblGrid>
      <w:tr w:rsidR="00F440C8" w:rsidRPr="00F440C8" w:rsidTr="00F440C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lef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2014</w:t>
            </w:r>
          </w:p>
        </w:tc>
      </w:tr>
      <w:tr w:rsidR="00F440C8" w:rsidRPr="00F440C8" w:rsidTr="00F440C8">
        <w:trPr>
          <w:trHeight w:val="300"/>
        </w:trPr>
        <w:tc>
          <w:tcPr>
            <w:tcW w:w="960" w:type="dxa"/>
            <w:tcBorders>
              <w:top w:val="nil"/>
              <w:left w:val="single" w:sz="4" w:space="0" w:color="auto"/>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lef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S.r.o.</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21063</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22638</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21756</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22460</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21174</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21592</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22227</w:t>
            </w:r>
          </w:p>
        </w:tc>
        <w:tc>
          <w:tcPr>
            <w:tcW w:w="960" w:type="dxa"/>
            <w:tcBorders>
              <w:top w:val="nil"/>
              <w:left w:val="nil"/>
              <w:bottom w:val="single" w:sz="4" w:space="0" w:color="auto"/>
              <w:right w:val="single" w:sz="4" w:space="0" w:color="auto"/>
            </w:tcBorders>
            <w:shd w:val="clear" w:color="000000" w:fill="95B3D7"/>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24266</w:t>
            </w:r>
          </w:p>
        </w:tc>
      </w:tr>
      <w:tr w:rsidR="00F440C8" w:rsidRPr="00F440C8" w:rsidTr="00F440C8">
        <w:trPr>
          <w:trHeight w:val="300"/>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lef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A.s.</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3967</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1336</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1095</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1174</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1159</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862</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618</w:t>
            </w:r>
          </w:p>
        </w:tc>
        <w:tc>
          <w:tcPr>
            <w:tcW w:w="960" w:type="dxa"/>
            <w:tcBorders>
              <w:top w:val="nil"/>
              <w:left w:val="nil"/>
              <w:bottom w:val="single" w:sz="4" w:space="0" w:color="auto"/>
              <w:right w:val="single" w:sz="4" w:space="0" w:color="auto"/>
            </w:tcBorders>
            <w:shd w:val="clear" w:color="000000" w:fill="D99795"/>
            <w:noWrap/>
            <w:vAlign w:val="bottom"/>
            <w:hideMark/>
          </w:tcPr>
          <w:p w:rsidR="00F440C8" w:rsidRPr="00F440C8" w:rsidRDefault="00F440C8" w:rsidP="00F440C8">
            <w:pPr>
              <w:spacing w:line="240" w:lineRule="auto"/>
              <w:jc w:val="right"/>
              <w:rPr>
                <w:color w:val="000000"/>
                <w:sz w:val="22"/>
                <w:szCs w:val="22"/>
                <w:lang w:eastAsia="cs-CZ" w:bidi="ar-SA"/>
              </w:rPr>
            </w:pPr>
            <w:r w:rsidRPr="00F440C8">
              <w:rPr>
                <w:color w:val="000000"/>
                <w:sz w:val="22"/>
                <w:szCs w:val="22"/>
                <w:lang w:eastAsia="cs-CZ" w:bidi="ar-SA"/>
              </w:rPr>
              <w:t>604</w:t>
            </w:r>
          </w:p>
        </w:tc>
      </w:tr>
      <w:tr w:rsidR="00F440C8" w:rsidRPr="00F440C8" w:rsidTr="00F440C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left"/>
              <w:rPr>
                <w:rFonts w:ascii="Calibri" w:hAnsi="Calibri"/>
                <w:b/>
                <w:bCs/>
                <w:color w:val="000000"/>
                <w:sz w:val="22"/>
                <w:szCs w:val="22"/>
                <w:lang w:eastAsia="cs-CZ" w:bidi="ar-SA"/>
              </w:rPr>
            </w:pPr>
            <w:r w:rsidRPr="00F440C8">
              <w:rPr>
                <w:rFonts w:ascii="Calibri" w:hAnsi="Calibri"/>
                <w:b/>
                <w:bCs/>
                <w:color w:val="000000"/>
                <w:sz w:val="22"/>
                <w:szCs w:val="22"/>
                <w:lang w:eastAsia="cs-CZ" w:bidi="ar-SA"/>
              </w:rPr>
              <w:t>Celkem</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25030</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23974</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22851</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23634</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22333</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22454</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22845</w:t>
            </w:r>
          </w:p>
        </w:tc>
        <w:tc>
          <w:tcPr>
            <w:tcW w:w="960" w:type="dxa"/>
            <w:tcBorders>
              <w:top w:val="nil"/>
              <w:left w:val="nil"/>
              <w:bottom w:val="single" w:sz="4" w:space="0" w:color="auto"/>
              <w:right w:val="single" w:sz="4" w:space="0" w:color="auto"/>
            </w:tcBorders>
            <w:shd w:val="clear" w:color="auto" w:fill="auto"/>
            <w:noWrap/>
            <w:vAlign w:val="bottom"/>
            <w:hideMark/>
          </w:tcPr>
          <w:p w:rsidR="00F440C8" w:rsidRPr="00F440C8" w:rsidRDefault="00F440C8" w:rsidP="00F440C8">
            <w:pPr>
              <w:spacing w:line="240" w:lineRule="auto"/>
              <w:jc w:val="right"/>
              <w:rPr>
                <w:b/>
                <w:bCs/>
                <w:color w:val="000000"/>
                <w:sz w:val="22"/>
                <w:szCs w:val="22"/>
                <w:lang w:eastAsia="cs-CZ" w:bidi="ar-SA"/>
              </w:rPr>
            </w:pPr>
            <w:r w:rsidRPr="00F440C8">
              <w:rPr>
                <w:b/>
                <w:bCs/>
                <w:color w:val="000000"/>
                <w:sz w:val="22"/>
                <w:szCs w:val="22"/>
                <w:lang w:eastAsia="cs-CZ" w:bidi="ar-SA"/>
              </w:rPr>
              <w:t>24870</w:t>
            </w:r>
          </w:p>
        </w:tc>
      </w:tr>
    </w:tbl>
    <w:p w:rsidR="00F73F6E" w:rsidRPr="00494962" w:rsidRDefault="00F73F6E" w:rsidP="00F73F6E">
      <w:pPr>
        <w:rPr>
          <w:b/>
          <w:bCs/>
          <w:sz w:val="28"/>
          <w:szCs w:val="28"/>
        </w:rPr>
      </w:pPr>
    </w:p>
    <w:p w:rsidR="00F73F6E" w:rsidRPr="00494962" w:rsidRDefault="00F73F6E" w:rsidP="00F73F6E">
      <w:pPr>
        <w:rPr>
          <w:b/>
          <w:bCs/>
        </w:rPr>
      </w:pPr>
      <w:r w:rsidRPr="00494962">
        <w:rPr>
          <w:rFonts w:eastAsia="Arial Unicode MS" w:cs="Arial Unicode MS"/>
          <w:b/>
          <w:bCs/>
          <w:lang w:val="da-DK"/>
        </w:rPr>
        <w:t xml:space="preserve">Graf </w:t>
      </w:r>
      <w:r w:rsidR="00F440C8">
        <w:rPr>
          <w:rFonts w:eastAsia="Arial Unicode MS" w:cs="Arial Unicode MS"/>
          <w:b/>
          <w:bCs/>
          <w:lang w:val="da-DK"/>
        </w:rPr>
        <w:t>zobrazující počet</w:t>
      </w:r>
      <w:r w:rsidRPr="00494962">
        <w:rPr>
          <w:rFonts w:eastAsia="Arial Unicode MS" w:cs="Arial Unicode MS"/>
          <w:b/>
          <w:bCs/>
        </w:rPr>
        <w:t xml:space="preserve"> nově založených s.r.o. v </w:t>
      </w:r>
      <w:r w:rsidR="007E0DC6">
        <w:rPr>
          <w:rFonts w:eastAsia="Arial Unicode MS" w:cs="Arial Unicode MS"/>
          <w:b/>
          <w:bCs/>
        </w:rPr>
        <w:t>ČR</w:t>
      </w:r>
      <w:r w:rsidRPr="00494962">
        <w:rPr>
          <w:rFonts w:eastAsia="Arial Unicode MS" w:cs="Arial Unicode MS"/>
          <w:b/>
          <w:bCs/>
        </w:rPr>
        <w:t xml:space="preserve"> v období 2007 - 2014</w:t>
      </w:r>
    </w:p>
    <w:p w:rsidR="00F73F6E" w:rsidRPr="00494962" w:rsidRDefault="00F440C8" w:rsidP="00F73F6E">
      <w:r w:rsidRPr="00F440C8">
        <w:rPr>
          <w:noProof/>
          <w:lang w:eastAsia="cs-CZ" w:bidi="ar-SA"/>
        </w:rPr>
        <w:drawing>
          <wp:inline distT="0" distB="0" distL="0" distR="0">
            <wp:extent cx="4572000" cy="2743200"/>
            <wp:effectExtent l="19050" t="0" r="19050" b="0"/>
            <wp:docPr id="1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3F6E" w:rsidRPr="00494962" w:rsidRDefault="00F73F6E" w:rsidP="00F73F6E"/>
    <w:p w:rsidR="00F73F6E" w:rsidRPr="00494962" w:rsidRDefault="00F73F6E" w:rsidP="00F73F6E">
      <w:pPr>
        <w:rPr>
          <w:b/>
          <w:bCs/>
        </w:rPr>
      </w:pPr>
      <w:r w:rsidRPr="00494962">
        <w:rPr>
          <w:rFonts w:eastAsia="Arial Unicode MS" w:cs="Arial Unicode MS"/>
          <w:b/>
          <w:bCs/>
          <w:lang w:val="da-DK"/>
        </w:rPr>
        <w:t xml:space="preserve">Graf </w:t>
      </w:r>
      <w:r w:rsidR="00F440C8">
        <w:rPr>
          <w:rFonts w:eastAsia="Arial Unicode MS" w:cs="Arial Unicode MS"/>
          <w:b/>
          <w:bCs/>
          <w:lang w:val="da-DK"/>
        </w:rPr>
        <w:t>zobrazující počet</w:t>
      </w:r>
      <w:r w:rsidRPr="00494962">
        <w:rPr>
          <w:rFonts w:eastAsia="Arial Unicode MS" w:cs="Arial Unicode MS"/>
          <w:b/>
          <w:bCs/>
        </w:rPr>
        <w:t xml:space="preserve"> nově založený</w:t>
      </w:r>
      <w:r w:rsidRPr="00494962">
        <w:rPr>
          <w:rFonts w:eastAsia="Arial Unicode MS" w:cs="Arial Unicode MS"/>
          <w:b/>
          <w:bCs/>
          <w:lang w:val="it-IT"/>
        </w:rPr>
        <w:t>ch a.s. v</w:t>
      </w:r>
      <w:r w:rsidRPr="00494962">
        <w:rPr>
          <w:rFonts w:eastAsia="Arial Unicode MS" w:cs="Arial Unicode MS"/>
          <w:b/>
          <w:bCs/>
        </w:rPr>
        <w:t> </w:t>
      </w:r>
      <w:r w:rsidR="007E0DC6">
        <w:rPr>
          <w:rFonts w:eastAsia="Arial Unicode MS" w:cs="Arial Unicode MS"/>
          <w:b/>
          <w:bCs/>
        </w:rPr>
        <w:t>ČR</w:t>
      </w:r>
      <w:r w:rsidRPr="00494962">
        <w:rPr>
          <w:rFonts w:eastAsia="Arial Unicode MS" w:cs="Arial Unicode MS"/>
          <w:b/>
          <w:bCs/>
        </w:rPr>
        <w:t xml:space="preserve"> v období 2007 - 2014 </w:t>
      </w:r>
    </w:p>
    <w:p w:rsidR="00F73F6E" w:rsidRPr="00494962" w:rsidRDefault="00F440C8" w:rsidP="00F73F6E">
      <w:pPr>
        <w:rPr>
          <w:b/>
          <w:bCs/>
          <w:sz w:val="28"/>
          <w:szCs w:val="28"/>
        </w:rPr>
      </w:pPr>
      <w:r w:rsidRPr="00F440C8">
        <w:rPr>
          <w:b/>
          <w:bCs/>
          <w:noProof/>
          <w:sz w:val="28"/>
          <w:szCs w:val="28"/>
          <w:lang w:eastAsia="cs-CZ" w:bidi="ar-SA"/>
        </w:rPr>
        <w:drawing>
          <wp:inline distT="0" distB="0" distL="0" distR="0">
            <wp:extent cx="4572000" cy="2743200"/>
            <wp:effectExtent l="19050" t="0" r="19050" b="0"/>
            <wp:docPr id="12"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3F6E" w:rsidRPr="00494962" w:rsidRDefault="00F73F6E" w:rsidP="00F73F6E">
      <w:pPr>
        <w:rPr>
          <w:b/>
          <w:bCs/>
        </w:rPr>
      </w:pPr>
    </w:p>
    <w:p w:rsidR="00F73F6E" w:rsidRPr="00494962" w:rsidRDefault="00F73F6E" w:rsidP="00F73F6E">
      <w:pPr>
        <w:rPr>
          <w:b/>
          <w:bCs/>
        </w:rPr>
      </w:pPr>
    </w:p>
    <w:p w:rsidR="00F73F6E" w:rsidRDefault="00F440C8" w:rsidP="00F73F6E">
      <w:pPr>
        <w:rPr>
          <w:rFonts w:eastAsia="Arial Unicode MS" w:cs="Arial Unicode MS"/>
          <w:b/>
          <w:bCs/>
        </w:rPr>
      </w:pPr>
      <w:r>
        <w:rPr>
          <w:rFonts w:eastAsia="Arial Unicode MS" w:cs="Arial Unicode MS"/>
          <w:b/>
          <w:bCs/>
        </w:rPr>
        <w:t>Graf zobrazující poměr</w:t>
      </w:r>
      <w:r w:rsidR="00F73F6E" w:rsidRPr="00494962">
        <w:rPr>
          <w:rFonts w:eastAsia="Arial Unicode MS" w:cs="Arial Unicode MS"/>
          <w:b/>
          <w:bCs/>
        </w:rPr>
        <w:t xml:space="preserve"> nově založených kapitálových obchodních korporací v </w:t>
      </w:r>
      <w:r w:rsidR="007E0DC6">
        <w:rPr>
          <w:rFonts w:eastAsia="Arial Unicode MS" w:cs="Arial Unicode MS"/>
          <w:b/>
          <w:bCs/>
        </w:rPr>
        <w:t>ČR</w:t>
      </w:r>
      <w:r w:rsidR="00F73F6E" w:rsidRPr="00494962">
        <w:rPr>
          <w:rFonts w:eastAsia="Arial Unicode MS" w:cs="Arial Unicode MS"/>
          <w:b/>
          <w:bCs/>
        </w:rPr>
        <w:t xml:space="preserve"> v období 2007 - 2014</w:t>
      </w:r>
    </w:p>
    <w:p w:rsidR="00F440C8" w:rsidRPr="00494962" w:rsidRDefault="00F440C8" w:rsidP="00F73F6E">
      <w:pPr>
        <w:rPr>
          <w:b/>
          <w:bCs/>
        </w:rPr>
      </w:pPr>
      <w:r w:rsidRPr="00F440C8">
        <w:rPr>
          <w:b/>
          <w:bCs/>
          <w:noProof/>
          <w:lang w:eastAsia="cs-CZ" w:bidi="ar-SA"/>
        </w:rPr>
        <w:drawing>
          <wp:inline distT="0" distB="0" distL="0" distR="0">
            <wp:extent cx="4572000" cy="2743200"/>
            <wp:effectExtent l="19050" t="0" r="19050" b="0"/>
            <wp:docPr id="13"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3F6E" w:rsidRPr="00494962" w:rsidRDefault="00F73F6E" w:rsidP="00F73F6E"/>
    <w:p w:rsidR="00F73F6E" w:rsidRPr="00494962" w:rsidRDefault="00F73F6E" w:rsidP="00F73F6E"/>
    <w:p w:rsidR="00F73F6E" w:rsidRPr="00494962" w:rsidRDefault="00F73F6E" w:rsidP="00F73F6E"/>
    <w:p w:rsidR="00F73F6E" w:rsidRPr="00494962" w:rsidRDefault="00F73F6E" w:rsidP="00F73F6E">
      <w:pPr>
        <w:rPr>
          <w:b/>
          <w:bCs/>
          <w:sz w:val="28"/>
          <w:szCs w:val="28"/>
        </w:rPr>
      </w:pPr>
    </w:p>
    <w:p w:rsidR="00F73F6E" w:rsidRPr="00494962" w:rsidRDefault="00F73F6E" w:rsidP="00F73F6E">
      <w:pPr>
        <w:rPr>
          <w:b/>
          <w:bCs/>
          <w:sz w:val="28"/>
          <w:szCs w:val="28"/>
        </w:rPr>
      </w:pPr>
    </w:p>
    <w:p w:rsidR="00F73F6E" w:rsidRPr="00494962" w:rsidRDefault="00F73F6E" w:rsidP="00F73F6E">
      <w:r w:rsidRPr="00494962">
        <w:rPr>
          <w:rFonts w:eastAsia="Arial Unicode MS" w:cs="Arial Unicode MS"/>
        </w:rPr>
        <w:t xml:space="preserve"> </w:t>
      </w:r>
    </w:p>
    <w:p w:rsidR="00F73F6E" w:rsidRPr="00494962" w:rsidRDefault="00F73F6E" w:rsidP="00F73F6E"/>
    <w:p w:rsidR="00F73F6E" w:rsidRPr="00494962" w:rsidRDefault="00F73F6E" w:rsidP="00F73F6E">
      <w:pPr>
        <w:rPr>
          <w:i/>
          <w:iCs/>
        </w:rPr>
      </w:pPr>
      <w:r w:rsidRPr="00494962">
        <w:rPr>
          <w:rFonts w:eastAsia="Arial Unicode MS" w:cs="Arial Unicode MS"/>
        </w:rPr>
        <w:tab/>
        <w:t xml:space="preserve"> </w:t>
      </w:r>
      <w:r w:rsidRPr="00494962">
        <w:rPr>
          <w:rFonts w:eastAsia="Arial Unicode MS" w:cs="Arial Unicode MS"/>
          <w:i/>
          <w:iCs/>
        </w:rPr>
        <w:t xml:space="preserve"> </w:t>
      </w:r>
    </w:p>
    <w:p w:rsidR="00F73F6E" w:rsidRPr="00494962" w:rsidRDefault="00F73F6E" w:rsidP="00F73F6E">
      <w:pPr>
        <w:rPr>
          <w:i/>
          <w:iCs/>
        </w:rPr>
      </w:pPr>
    </w:p>
    <w:p w:rsidR="00F73F6E" w:rsidRPr="00494962" w:rsidRDefault="00F73F6E" w:rsidP="00F73F6E">
      <w:r w:rsidRPr="00494962">
        <w:tab/>
      </w:r>
    </w:p>
    <w:p w:rsidR="00F73F6E" w:rsidRPr="00494962" w:rsidRDefault="00F73F6E" w:rsidP="00F73F6E">
      <w:r w:rsidRPr="00494962">
        <w:rPr>
          <w:rFonts w:eastAsia="Arial Unicode MS" w:cs="Arial Unicode MS"/>
        </w:rPr>
        <w:tab/>
        <w:t xml:space="preserve"> </w:t>
      </w:r>
    </w:p>
    <w:p w:rsidR="00F73F6E" w:rsidRPr="00494962" w:rsidRDefault="00F73F6E" w:rsidP="00F73F6E"/>
    <w:p w:rsidR="00F73F6E" w:rsidRPr="00494962" w:rsidRDefault="00F73F6E" w:rsidP="00F73F6E">
      <w:pPr>
        <w:pStyle w:val="Nadpis1"/>
      </w:pPr>
      <w:r w:rsidRPr="00494962">
        <w:tab/>
      </w:r>
    </w:p>
    <w:bookmarkEnd w:id="2"/>
    <w:p w:rsidR="001F19A5" w:rsidRPr="00494962" w:rsidRDefault="001F19A5" w:rsidP="00A66176">
      <w:pPr>
        <w:pStyle w:val="Nadpis1"/>
      </w:pPr>
    </w:p>
    <w:p w:rsidR="00A83B9B" w:rsidRPr="00494962" w:rsidRDefault="00A83B9B">
      <w:pPr>
        <w:pStyle w:val="Nadpis1"/>
      </w:pPr>
    </w:p>
    <w:sectPr w:rsidR="00A83B9B" w:rsidRPr="00494962" w:rsidSect="00DF19EE">
      <w:footerReference w:type="default" r:id="rId15"/>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7E" w:rsidRDefault="00E8547E" w:rsidP="00F83975">
      <w:r>
        <w:separator/>
      </w:r>
    </w:p>
  </w:endnote>
  <w:endnote w:type="continuationSeparator" w:id="0">
    <w:p w:rsidR="00E8547E" w:rsidRDefault="00E8547E" w:rsidP="00F83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7E" w:rsidRDefault="001005C2">
    <w:pPr>
      <w:pStyle w:val="Zpat"/>
      <w:jc w:val="center"/>
    </w:pPr>
    <w:sdt>
      <w:sdtPr>
        <w:id w:val="935139329"/>
        <w:docPartObj>
          <w:docPartGallery w:val="Page Numbers (Bottom of Page)"/>
          <w:docPartUnique/>
        </w:docPartObj>
      </w:sdtPr>
      <w:sdtContent>
        <w:fldSimple w:instr=" PAGE   \* MERGEFORMAT ">
          <w:r w:rsidR="006727E5">
            <w:rPr>
              <w:noProof/>
            </w:rPr>
            <w:t>7</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7E" w:rsidRDefault="00E8547E" w:rsidP="00F83975">
      <w:r>
        <w:separator/>
      </w:r>
    </w:p>
  </w:footnote>
  <w:footnote w:type="continuationSeparator" w:id="0">
    <w:p w:rsidR="00E8547E" w:rsidRDefault="00E8547E" w:rsidP="00F83975">
      <w:r>
        <w:continuationSeparator/>
      </w:r>
    </w:p>
  </w:footnote>
  <w:footnote w:id="1">
    <w:p w:rsidR="00E8547E" w:rsidRDefault="00E8547E" w:rsidP="00F73F6E">
      <w:pPr>
        <w:pStyle w:val="Textpoznpodarou"/>
        <w:spacing w:line="240" w:lineRule="auto"/>
      </w:pPr>
      <w:r w:rsidRPr="00F73F6E">
        <w:rPr>
          <w:vertAlign w:val="superscript"/>
        </w:rPr>
        <w:footnoteRef/>
      </w:r>
      <w:r w:rsidRPr="00F73F6E">
        <w:t xml:space="preserve"> V</w:t>
      </w:r>
      <w:r>
        <w:t>iz příloha té</w:t>
      </w:r>
      <w:r>
        <w:rPr>
          <w:lang w:val="it-IT"/>
        </w:rPr>
        <w:t>to diplomov</w:t>
      </w:r>
      <w:r>
        <w:t>é práce.</w:t>
      </w:r>
    </w:p>
  </w:footnote>
  <w:footnote w:id="2">
    <w:p w:rsidR="00E8547E" w:rsidRDefault="00E8547E" w:rsidP="00F73F6E">
      <w:pPr>
        <w:spacing w:line="240" w:lineRule="auto"/>
      </w:pPr>
      <w:r w:rsidRPr="00803775">
        <w:rPr>
          <w:sz w:val="20"/>
          <w:szCs w:val="20"/>
          <w:vertAlign w:val="superscript"/>
        </w:rPr>
        <w:footnoteRef/>
      </w:r>
      <w:r w:rsidRPr="00803775">
        <w:rPr>
          <w:sz w:val="20"/>
          <w:szCs w:val="20"/>
        </w:rPr>
        <w:t xml:space="preserve"> Viz LAVICKÝ, Petr a kol. (ed). </w:t>
      </w:r>
      <w:r w:rsidRPr="00803775">
        <w:rPr>
          <w:i/>
          <w:iCs/>
          <w:sz w:val="20"/>
          <w:szCs w:val="20"/>
        </w:rPr>
        <w:t xml:space="preserve">Občanský zákoník I. Obecná část (§ 1−654). Komentář. </w:t>
      </w:r>
      <w:r w:rsidRPr="00803775">
        <w:rPr>
          <w:sz w:val="20"/>
          <w:szCs w:val="20"/>
        </w:rPr>
        <w:t>1. vydání, Praha: C. H. Beck, 2014. 2380 s., ŠTENGLOVÁ</w:t>
      </w:r>
      <w:r>
        <w:rPr>
          <w:sz w:val="20"/>
          <w:szCs w:val="20"/>
        </w:rPr>
        <w:t xml:space="preserve">, Ivana a kol. (ed). </w:t>
      </w:r>
      <w:r>
        <w:rPr>
          <w:i/>
          <w:iCs/>
          <w:sz w:val="20"/>
          <w:szCs w:val="20"/>
        </w:rPr>
        <w:t>Zákon o obchodních korporacích. Komentář.</w:t>
      </w:r>
      <w:r>
        <w:rPr>
          <w:sz w:val="20"/>
          <w:szCs w:val="20"/>
        </w:rPr>
        <w:t xml:space="preserve"> 1. vydání. Praha: C. H. Beck, 2013. 994 s. </w:t>
      </w:r>
    </w:p>
  </w:footnote>
  <w:footnote w:id="3">
    <w:p w:rsidR="00E8547E" w:rsidRPr="005F62A4" w:rsidRDefault="00E8547E" w:rsidP="00F73F6E">
      <w:pPr>
        <w:spacing w:line="240" w:lineRule="auto"/>
        <w:rPr>
          <w:lang w:val="nl-NL"/>
        </w:rPr>
      </w:pPr>
      <w:r>
        <w:rPr>
          <w:vertAlign w:val="superscript"/>
        </w:rPr>
        <w:footnoteRef/>
      </w:r>
      <w:r>
        <w:rPr>
          <w:sz w:val="20"/>
          <w:szCs w:val="20"/>
        </w:rPr>
        <w:t xml:space="preserve"> Viz DVOŘÁK, Tomáš. </w:t>
      </w:r>
      <w:r>
        <w:rPr>
          <w:i/>
          <w:iCs/>
          <w:sz w:val="20"/>
          <w:szCs w:val="20"/>
        </w:rPr>
        <w:t>Společnost s ručením omezeným</w:t>
      </w:r>
      <w:r>
        <w:rPr>
          <w:sz w:val="20"/>
          <w:szCs w:val="20"/>
          <w:lang w:val="nl-NL"/>
        </w:rPr>
        <w:t>. Praha: Wolters Kluwer, 2014. 696 s., DVO</w:t>
      </w:r>
      <w:r w:rsidRPr="005F62A4">
        <w:rPr>
          <w:sz w:val="20"/>
          <w:szCs w:val="20"/>
          <w:lang w:val="nl-NL"/>
        </w:rPr>
        <w:t xml:space="preserve">ŘÁK, Tomáš. </w:t>
      </w:r>
      <w:r w:rsidRPr="005F62A4">
        <w:rPr>
          <w:i/>
          <w:iCs/>
          <w:sz w:val="20"/>
          <w:szCs w:val="20"/>
          <w:lang w:val="nl-NL"/>
        </w:rPr>
        <w:t>Společnost s ručením omezením.</w:t>
      </w:r>
      <w:r w:rsidRPr="005F62A4">
        <w:rPr>
          <w:sz w:val="20"/>
          <w:szCs w:val="20"/>
          <w:lang w:val="nl-NL"/>
        </w:rPr>
        <w:t xml:space="preserve"> 2. přepracované a rozšířené vydání, Praha: ASPI, a.s., 2005. 518 s.</w:t>
      </w:r>
    </w:p>
  </w:footnote>
  <w:footnote w:id="4">
    <w:p w:rsidR="00E8547E" w:rsidRPr="007C2988" w:rsidRDefault="00E8547E" w:rsidP="00F73F6E">
      <w:pPr>
        <w:pStyle w:val="Textpoznpodarou"/>
        <w:spacing w:line="240" w:lineRule="auto"/>
      </w:pPr>
      <w:r w:rsidRPr="007C2988">
        <w:rPr>
          <w:vertAlign w:val="superscript"/>
        </w:rPr>
        <w:footnoteRef/>
      </w:r>
      <w:r w:rsidRPr="007C2988">
        <w:t xml:space="preserve"> DVOŘÁK, Tomáš. </w:t>
      </w:r>
      <w:r w:rsidRPr="007C2988">
        <w:rPr>
          <w:i/>
          <w:iCs/>
        </w:rPr>
        <w:t>Spole</w:t>
      </w:r>
      <w:r w:rsidRPr="007C2988">
        <w:t>č</w:t>
      </w:r>
      <w:r w:rsidRPr="007C2988">
        <w:rPr>
          <w:i/>
          <w:iCs/>
        </w:rPr>
        <w:t>nost s</w:t>
      </w:r>
      <w:r w:rsidRPr="007C2988">
        <w:t> </w:t>
      </w:r>
      <w:r w:rsidRPr="007C2988">
        <w:rPr>
          <w:i/>
          <w:iCs/>
        </w:rPr>
        <w:t>ru</w:t>
      </w:r>
      <w:r w:rsidRPr="007C2988">
        <w:t>č</w:t>
      </w:r>
      <w:r w:rsidRPr="007C2988">
        <w:rPr>
          <w:i/>
          <w:iCs/>
        </w:rPr>
        <w:t>en</w:t>
      </w:r>
      <w:r w:rsidRPr="007C2988">
        <w:t>í</w:t>
      </w:r>
      <w:r w:rsidRPr="007C2988">
        <w:rPr>
          <w:i/>
          <w:iCs/>
        </w:rPr>
        <w:t>m omezen</w:t>
      </w:r>
      <w:r w:rsidRPr="007C2988">
        <w:t>í</w:t>
      </w:r>
      <w:r w:rsidRPr="007C2988">
        <w:rPr>
          <w:i/>
          <w:iCs/>
        </w:rPr>
        <w:t>m.</w:t>
      </w:r>
      <w:r w:rsidRPr="007C2988">
        <w:t xml:space="preserve"> 2. přepracované a rozšířené vydání, Praha: ASPI, a.s., 2005 s. 1.</w:t>
      </w:r>
    </w:p>
  </w:footnote>
  <w:footnote w:id="5">
    <w:p w:rsidR="00E8547E" w:rsidRPr="007C2988" w:rsidRDefault="00E8547E" w:rsidP="00F73F6E">
      <w:pPr>
        <w:pStyle w:val="Textpoznpodarou"/>
        <w:spacing w:line="240" w:lineRule="auto"/>
      </w:pPr>
      <w:r w:rsidRPr="007C2988">
        <w:rPr>
          <w:vertAlign w:val="superscript"/>
        </w:rPr>
        <w:footnoteRef/>
      </w:r>
      <w:r w:rsidRPr="007C2988">
        <w:t xml:space="preserve"> Zákon č. 58/1906 ř.z, o společnostech s obmezeným ručením ve znění účinném od 15.6.1906.</w:t>
      </w:r>
    </w:p>
  </w:footnote>
  <w:footnote w:id="6">
    <w:p w:rsidR="00E8547E" w:rsidRPr="007C2988" w:rsidRDefault="00E8547E" w:rsidP="00F73F6E">
      <w:pPr>
        <w:pStyle w:val="Textpoznpodarou"/>
        <w:spacing w:line="240" w:lineRule="auto"/>
      </w:pPr>
      <w:r w:rsidRPr="007C2988">
        <w:rPr>
          <w:vertAlign w:val="superscript"/>
        </w:rPr>
        <w:footnoteRef/>
      </w:r>
      <w:r w:rsidRPr="007C2988">
        <w:t xml:space="preserve"> Zákon č</w:t>
      </w:r>
      <w:r w:rsidRPr="007C2988">
        <w:rPr>
          <w:lang w:val="pt-PT"/>
        </w:rPr>
        <w:t>. 11/1918 Sb. o z</w:t>
      </w:r>
      <w:r w:rsidRPr="007C2988">
        <w:t xml:space="preserve">řízení samostatného státu československého ve znění účinném od 28.10.1918. </w:t>
      </w:r>
    </w:p>
  </w:footnote>
  <w:footnote w:id="7">
    <w:p w:rsidR="00E8547E" w:rsidRPr="007C2988" w:rsidRDefault="00E8547E" w:rsidP="00F73F6E">
      <w:pPr>
        <w:pStyle w:val="Textpoznpodarou"/>
        <w:spacing w:line="240" w:lineRule="auto"/>
      </w:pPr>
      <w:r w:rsidRPr="007C2988">
        <w:rPr>
          <w:vertAlign w:val="superscript"/>
        </w:rPr>
        <w:footnoteRef/>
      </w:r>
      <w:r w:rsidRPr="007C2988">
        <w:t xml:space="preserve"> DVOŘÁK: Společnost s ručením omezeným, s. 2 - 4.</w:t>
      </w:r>
    </w:p>
  </w:footnote>
  <w:footnote w:id="8">
    <w:p w:rsidR="00E8547E" w:rsidRPr="007C2988" w:rsidRDefault="00E8547E" w:rsidP="00F73F6E">
      <w:pPr>
        <w:pStyle w:val="Textpoznpodarou"/>
        <w:spacing w:line="240" w:lineRule="auto"/>
      </w:pPr>
      <w:r w:rsidRPr="007C2988">
        <w:rPr>
          <w:vertAlign w:val="superscript"/>
        </w:rPr>
        <w:footnoteRef/>
      </w:r>
      <w:r w:rsidRPr="007C2988">
        <w:t xml:space="preserve"> Tamtéž, s. 5.</w:t>
      </w:r>
    </w:p>
  </w:footnote>
  <w:footnote w:id="9">
    <w:p w:rsidR="00E8547E" w:rsidRDefault="00E8547E" w:rsidP="00F73F6E">
      <w:pPr>
        <w:pStyle w:val="Textpoznpodarou"/>
        <w:spacing w:line="240" w:lineRule="auto"/>
      </w:pPr>
      <w:r w:rsidRPr="007C2988">
        <w:rPr>
          <w:vertAlign w:val="superscript"/>
        </w:rPr>
        <w:footnoteRef/>
      </w:r>
      <w:r w:rsidRPr="007C2988">
        <w:t xml:space="preserve"> Tamtéž, s. 6.</w:t>
      </w:r>
      <w:r>
        <w:t xml:space="preserve"> </w:t>
      </w:r>
    </w:p>
  </w:footnote>
  <w:footnote w:id="10">
    <w:p w:rsidR="00E8547E" w:rsidRPr="00494962" w:rsidRDefault="00E8547E" w:rsidP="00494962">
      <w:pPr>
        <w:pStyle w:val="Textpoznpodarou"/>
        <w:spacing w:line="240" w:lineRule="auto"/>
      </w:pPr>
      <w:r w:rsidRPr="00494962">
        <w:rPr>
          <w:vertAlign w:val="superscript"/>
        </w:rPr>
        <w:footnoteRef/>
      </w:r>
      <w:r w:rsidRPr="00494962">
        <w:rPr>
          <w:rFonts w:eastAsia="Arial Unicode MS" w:cs="Arial Unicode MS"/>
        </w:rPr>
        <w:t xml:space="preserve"> Ust. </w:t>
      </w:r>
      <w:r w:rsidRPr="00494962">
        <w:t xml:space="preserve">§ </w:t>
      </w:r>
      <w:r w:rsidRPr="00494962">
        <w:rPr>
          <w:rFonts w:eastAsia="Arial Unicode MS" w:cs="Arial Unicode MS"/>
        </w:rPr>
        <w:t>155 odst. 1 OZ.</w:t>
      </w:r>
    </w:p>
  </w:footnote>
  <w:footnote w:id="11">
    <w:p w:rsidR="00E8547E" w:rsidRPr="00494962" w:rsidRDefault="00E8547E" w:rsidP="00494962">
      <w:pPr>
        <w:pStyle w:val="Textpoznpodarou"/>
        <w:spacing w:line="240" w:lineRule="auto"/>
      </w:pPr>
      <w:r w:rsidRPr="00494962">
        <w:rPr>
          <w:vertAlign w:val="superscript"/>
        </w:rPr>
        <w:footnoteRef/>
      </w:r>
      <w:r w:rsidRPr="00494962">
        <w:rPr>
          <w:rFonts w:eastAsia="Arial Unicode MS" w:cs="Arial Unicode MS"/>
        </w:rPr>
        <w:t xml:space="preserve"> Legislativn</w:t>
      </w:r>
      <w:r w:rsidRPr="00494962">
        <w:t xml:space="preserve">í </w:t>
      </w:r>
      <w:r w:rsidRPr="00494962">
        <w:rPr>
          <w:rFonts w:eastAsia="Arial Unicode MS" w:cs="Arial Unicode MS"/>
        </w:rPr>
        <w:t>zkratka pro osobu, kter</w:t>
      </w:r>
      <w:r w:rsidRPr="00494962">
        <w:t xml:space="preserve">á </w:t>
      </w:r>
      <w:r w:rsidRPr="00494962">
        <w:rPr>
          <w:rFonts w:eastAsia="Arial Unicode MS" w:cs="Arial Unicode MS"/>
        </w:rPr>
        <w:t>je do funkce volena, jmenov</w:t>
      </w:r>
      <w:r w:rsidRPr="00494962">
        <w:t>á</w:t>
      </w:r>
      <w:r w:rsidRPr="00494962">
        <w:rPr>
          <w:rFonts w:eastAsia="Arial Unicode MS" w:cs="Arial Unicode MS"/>
        </w:rPr>
        <w:t xml:space="preserve">na </w:t>
      </w:r>
      <w:r w:rsidRPr="00494962">
        <w:t>č</w:t>
      </w:r>
      <w:r w:rsidRPr="00494962">
        <w:rPr>
          <w:rFonts w:eastAsia="Arial Unicode MS" w:cs="Arial Unicode MS"/>
        </w:rPr>
        <w:t>i jinak povol</w:t>
      </w:r>
      <w:r w:rsidRPr="00494962">
        <w:t>á</w:t>
      </w:r>
      <w:r w:rsidRPr="00494962">
        <w:rPr>
          <w:rFonts w:eastAsia="Arial Unicode MS" w:cs="Arial Unicode MS"/>
        </w:rPr>
        <w:t xml:space="preserve">na viz ust. </w:t>
      </w:r>
      <w:r w:rsidRPr="00494962">
        <w:t xml:space="preserve">§ </w:t>
      </w:r>
      <w:r w:rsidRPr="00494962">
        <w:rPr>
          <w:rFonts w:eastAsia="Arial Unicode MS" w:cs="Arial Unicode MS"/>
        </w:rPr>
        <w:t>152 odst. 2 OZ.</w:t>
      </w:r>
    </w:p>
  </w:footnote>
  <w:footnote w:id="12">
    <w:p w:rsidR="00E8547E" w:rsidRPr="00494962" w:rsidRDefault="00E8547E" w:rsidP="00494962">
      <w:pPr>
        <w:pStyle w:val="Textpoznpodarou"/>
        <w:spacing w:line="240" w:lineRule="auto"/>
      </w:pPr>
      <w:r w:rsidRPr="00494962">
        <w:rPr>
          <w:vertAlign w:val="superscript"/>
        </w:rPr>
        <w:footnoteRef/>
      </w:r>
      <w:r w:rsidRPr="00494962">
        <w:rPr>
          <w:rFonts w:eastAsia="Arial Unicode MS" w:cs="Arial Unicode MS"/>
        </w:rPr>
        <w:t xml:space="preserve"> Ust. </w:t>
      </w:r>
      <w:r w:rsidRPr="00494962">
        <w:t xml:space="preserve">§ </w:t>
      </w:r>
      <w:r w:rsidRPr="00494962">
        <w:rPr>
          <w:rFonts w:eastAsia="Arial Unicode MS" w:cs="Arial Unicode MS"/>
        </w:rPr>
        <w:t xml:space="preserve">152 odst. 2 OZ. </w:t>
      </w:r>
    </w:p>
  </w:footnote>
  <w:footnote w:id="13">
    <w:p w:rsidR="00E8547E" w:rsidRDefault="00E8547E" w:rsidP="00494962">
      <w:pPr>
        <w:pStyle w:val="Textpoznpodarou"/>
        <w:spacing w:line="240" w:lineRule="auto"/>
      </w:pPr>
      <w:r w:rsidRPr="00494962">
        <w:rPr>
          <w:vertAlign w:val="superscript"/>
        </w:rPr>
        <w:footnoteRef/>
      </w:r>
      <w:r w:rsidRPr="00494962">
        <w:rPr>
          <w:rFonts w:eastAsia="Arial Unicode MS" w:cs="Arial Unicode MS"/>
        </w:rPr>
        <w:t xml:space="preserve"> Ust. </w:t>
      </w:r>
      <w:r w:rsidRPr="00494962">
        <w:t xml:space="preserve">§ </w:t>
      </w:r>
      <w:r w:rsidRPr="00494962">
        <w:rPr>
          <w:rFonts w:eastAsia="Arial Unicode MS" w:cs="Arial Unicode MS"/>
        </w:rPr>
        <w:t>15 odst. 2 OZ.</w:t>
      </w:r>
      <w:r>
        <w:rPr>
          <w:rFonts w:eastAsia="Arial Unicode MS" w:hAnsi="Arial Unicode MS" w:cs="Arial Unicode MS"/>
        </w:rPr>
        <w:t xml:space="preserve"> </w:t>
      </w:r>
    </w:p>
  </w:footnote>
  <w:footnote w:id="14">
    <w:p w:rsidR="00E8547E" w:rsidRPr="00604E43" w:rsidRDefault="00E8547E" w:rsidP="00F73F6E">
      <w:pPr>
        <w:pStyle w:val="Textpoznpodarou"/>
        <w:spacing w:line="240" w:lineRule="auto"/>
      </w:pPr>
      <w:r w:rsidRPr="00604E43">
        <w:rPr>
          <w:vertAlign w:val="superscript"/>
        </w:rPr>
        <w:footnoteRef/>
      </w:r>
      <w:r w:rsidRPr="00604E43">
        <w:t xml:space="preserve"> Blíže ČUHELOVÁ, Kateřina. </w:t>
      </w:r>
      <w:r w:rsidRPr="00604E43">
        <w:rPr>
          <w:lang w:val="en-US"/>
        </w:rPr>
        <w:t>In LAVICK</w:t>
      </w:r>
      <w:r w:rsidRPr="00604E43">
        <w:t xml:space="preserve">Ý, Petr a kol. (ed). </w:t>
      </w:r>
      <w:r w:rsidRPr="00604E43">
        <w:rPr>
          <w:i/>
          <w:iCs/>
        </w:rPr>
        <w:t>Ob</w:t>
      </w:r>
      <w:r w:rsidRPr="00604E43">
        <w:t>č</w:t>
      </w:r>
      <w:r w:rsidRPr="00604E43">
        <w:rPr>
          <w:i/>
          <w:iCs/>
        </w:rPr>
        <w:t>ansk</w:t>
      </w:r>
      <w:r w:rsidRPr="00604E43">
        <w:t xml:space="preserve">ý </w:t>
      </w:r>
      <w:r w:rsidRPr="00604E43">
        <w:rPr>
          <w:i/>
          <w:iCs/>
        </w:rPr>
        <w:t>z</w:t>
      </w:r>
      <w:r w:rsidRPr="00604E43">
        <w:t>á</w:t>
      </w:r>
      <w:r w:rsidRPr="00604E43">
        <w:rPr>
          <w:i/>
          <w:iCs/>
        </w:rPr>
        <w:t>kon</w:t>
      </w:r>
      <w:r w:rsidRPr="00604E43">
        <w:t>í</w:t>
      </w:r>
      <w:r w:rsidRPr="00604E43">
        <w:rPr>
          <w:i/>
          <w:iCs/>
        </w:rPr>
        <w:t>k I. Obecn</w:t>
      </w:r>
      <w:r w:rsidRPr="00604E43">
        <w:t>á čá</w:t>
      </w:r>
      <w:r w:rsidRPr="00604E43">
        <w:rPr>
          <w:i/>
          <w:iCs/>
        </w:rPr>
        <w:t>st (</w:t>
      </w:r>
      <w:r w:rsidRPr="00604E43">
        <w:t>§ </w:t>
      </w:r>
      <w:r w:rsidRPr="00604E43">
        <w:rPr>
          <w:i/>
          <w:iCs/>
        </w:rPr>
        <w:t>1</w:t>
      </w:r>
      <w:r w:rsidRPr="00604E43">
        <w:t>−</w:t>
      </w:r>
      <w:r w:rsidRPr="00604E43">
        <w:rPr>
          <w:i/>
          <w:iCs/>
        </w:rPr>
        <w:t>654). Koment</w:t>
      </w:r>
      <w:r w:rsidRPr="00604E43">
        <w:t>ář</w:t>
      </w:r>
      <w:r w:rsidRPr="00604E43">
        <w:rPr>
          <w:i/>
          <w:iCs/>
        </w:rPr>
        <w:t>.</w:t>
      </w:r>
      <w:r>
        <w:rPr>
          <w:i/>
          <w:iCs/>
        </w:rPr>
        <w:t> </w:t>
      </w:r>
      <w:r w:rsidRPr="00604E43">
        <w:t xml:space="preserve">1. vydání, Praha: C. H. Beck, 2014, s. 273 - 281. </w:t>
      </w:r>
    </w:p>
  </w:footnote>
  <w:footnote w:id="15">
    <w:p w:rsidR="00E8547E" w:rsidRPr="00604E43" w:rsidRDefault="00E8547E" w:rsidP="00F73F6E">
      <w:pPr>
        <w:pStyle w:val="Textpoznpodarou"/>
        <w:spacing w:line="240" w:lineRule="auto"/>
      </w:pPr>
      <w:r w:rsidRPr="00604E43">
        <w:rPr>
          <w:vertAlign w:val="superscript"/>
        </w:rPr>
        <w:footnoteRef/>
      </w:r>
      <w:r w:rsidRPr="00604E43">
        <w:t xml:space="preserve"> Srov. ust. § 154 OZ. </w:t>
      </w:r>
    </w:p>
  </w:footnote>
  <w:footnote w:id="16">
    <w:p w:rsidR="00E8547E" w:rsidRPr="00604E43" w:rsidRDefault="00E8547E" w:rsidP="00F73F6E">
      <w:pPr>
        <w:pStyle w:val="Textpoznpodarou"/>
        <w:spacing w:line="240" w:lineRule="auto"/>
      </w:pPr>
      <w:r w:rsidRPr="00604E43">
        <w:rPr>
          <w:vertAlign w:val="superscript"/>
        </w:rPr>
        <w:footnoteRef/>
      </w:r>
      <w:r w:rsidRPr="00604E43">
        <w:t xml:space="preserve"> Srov. ust. § 152 odst. 2 OZ.</w:t>
      </w:r>
    </w:p>
  </w:footnote>
  <w:footnote w:id="17">
    <w:p w:rsidR="00E8547E" w:rsidRDefault="00E8547E" w:rsidP="00F73F6E">
      <w:pPr>
        <w:pStyle w:val="Textpoznpodarou"/>
        <w:spacing w:line="240" w:lineRule="auto"/>
      </w:pPr>
      <w:r w:rsidRPr="00604E43">
        <w:rPr>
          <w:vertAlign w:val="superscript"/>
        </w:rPr>
        <w:footnoteRef/>
      </w:r>
      <w:r w:rsidRPr="00604E43">
        <w:t xml:space="preserve"> Srov. LAVICKÝ</w:t>
      </w:r>
      <w:r w:rsidRPr="00604E43">
        <w:rPr>
          <w:lang w:val="en-US"/>
        </w:rPr>
        <w:t>, Petr. In LAVICK</w:t>
      </w:r>
      <w:r w:rsidRPr="00604E43">
        <w:t xml:space="preserve">Ý, Petr a kol. (ed). </w:t>
      </w:r>
      <w:r w:rsidRPr="00604E43">
        <w:rPr>
          <w:i/>
          <w:iCs/>
        </w:rPr>
        <w:t>Ob</w:t>
      </w:r>
      <w:r w:rsidRPr="00604E43">
        <w:t>č</w:t>
      </w:r>
      <w:r w:rsidRPr="00604E43">
        <w:rPr>
          <w:i/>
          <w:iCs/>
        </w:rPr>
        <w:t>ansk</w:t>
      </w:r>
      <w:r w:rsidRPr="00604E43">
        <w:t xml:space="preserve">ý </w:t>
      </w:r>
      <w:r w:rsidRPr="00604E43">
        <w:rPr>
          <w:i/>
          <w:iCs/>
        </w:rPr>
        <w:t>z</w:t>
      </w:r>
      <w:r w:rsidRPr="00604E43">
        <w:t>á</w:t>
      </w:r>
      <w:r w:rsidRPr="00604E43">
        <w:rPr>
          <w:i/>
          <w:iCs/>
        </w:rPr>
        <w:t>kon</w:t>
      </w:r>
      <w:r w:rsidRPr="00604E43">
        <w:t>í</w:t>
      </w:r>
      <w:r w:rsidRPr="00604E43">
        <w:rPr>
          <w:i/>
          <w:iCs/>
        </w:rPr>
        <w:t>k I...</w:t>
      </w:r>
      <w:r w:rsidRPr="00604E43">
        <w:t>s. 792 - 793.</w:t>
      </w:r>
    </w:p>
  </w:footnote>
  <w:footnote w:id="18">
    <w:p w:rsidR="00E8547E" w:rsidRPr="00604E43" w:rsidRDefault="00E8547E" w:rsidP="00F73F6E">
      <w:pPr>
        <w:pStyle w:val="Textpoznpodarou"/>
        <w:spacing w:line="240" w:lineRule="auto"/>
      </w:pPr>
      <w:r w:rsidRPr="00604E43">
        <w:rPr>
          <w:vertAlign w:val="superscript"/>
        </w:rPr>
        <w:footnoteRef/>
      </w:r>
      <w:r w:rsidRPr="00604E43">
        <w:t xml:space="preserve"> HURDÍ</w:t>
      </w:r>
      <w:r w:rsidRPr="00604E43">
        <w:rPr>
          <w:lang w:val="en-US"/>
        </w:rPr>
        <w:t>K, Jan. In LAVICK</w:t>
      </w:r>
      <w:r w:rsidRPr="00604E43">
        <w:t xml:space="preserve">Ý, Petr a kol. (ed). </w:t>
      </w:r>
      <w:r w:rsidRPr="00604E43">
        <w:rPr>
          <w:i/>
          <w:iCs/>
        </w:rPr>
        <w:t>Ob</w:t>
      </w:r>
      <w:r w:rsidRPr="00604E43">
        <w:t>č</w:t>
      </w:r>
      <w:r w:rsidRPr="00604E43">
        <w:rPr>
          <w:i/>
          <w:iCs/>
        </w:rPr>
        <w:t>ansk</w:t>
      </w:r>
      <w:r w:rsidRPr="00604E43">
        <w:t xml:space="preserve">ý </w:t>
      </w:r>
      <w:r w:rsidRPr="00604E43">
        <w:rPr>
          <w:i/>
          <w:iCs/>
        </w:rPr>
        <w:t>z</w:t>
      </w:r>
      <w:r w:rsidRPr="00604E43">
        <w:t>á</w:t>
      </w:r>
      <w:r w:rsidRPr="00604E43">
        <w:rPr>
          <w:i/>
          <w:iCs/>
        </w:rPr>
        <w:t>kon</w:t>
      </w:r>
      <w:r w:rsidRPr="00604E43">
        <w:t>í</w:t>
      </w:r>
      <w:r w:rsidRPr="00604E43">
        <w:rPr>
          <w:i/>
          <w:iCs/>
        </w:rPr>
        <w:t>k I...</w:t>
      </w:r>
      <w:r w:rsidRPr="00604E43">
        <w:t>s. s. 139.</w:t>
      </w:r>
    </w:p>
  </w:footnote>
  <w:footnote w:id="19">
    <w:p w:rsidR="00E8547E" w:rsidRPr="00604E43" w:rsidRDefault="00E8547E" w:rsidP="00F73F6E">
      <w:pPr>
        <w:pStyle w:val="Textpoznpodarou"/>
        <w:spacing w:line="240" w:lineRule="auto"/>
      </w:pPr>
      <w:r w:rsidRPr="00604E43">
        <w:rPr>
          <w:vertAlign w:val="superscript"/>
        </w:rPr>
        <w:footnoteRef/>
      </w:r>
      <w:r w:rsidRPr="00604E43">
        <w:t xml:space="preserve"> § 6 ZŽ2013.</w:t>
      </w:r>
    </w:p>
  </w:footnote>
  <w:footnote w:id="20">
    <w:p w:rsidR="00E8547E" w:rsidRPr="00604E43" w:rsidRDefault="00E8547E" w:rsidP="00F73F6E">
      <w:pPr>
        <w:pStyle w:val="Textpoznpodarou"/>
        <w:spacing w:line="240" w:lineRule="auto"/>
      </w:pPr>
      <w:r w:rsidRPr="00604E43">
        <w:rPr>
          <w:vertAlign w:val="superscript"/>
        </w:rPr>
        <w:footnoteRef/>
      </w:r>
      <w:r w:rsidRPr="00604E43">
        <w:t xml:space="preserve"> Srov. ust. § 6 ZŽ2015.  </w:t>
      </w:r>
    </w:p>
  </w:footnote>
  <w:footnote w:id="21">
    <w:p w:rsidR="00E8547E" w:rsidRDefault="00E8547E" w:rsidP="00F73F6E">
      <w:pPr>
        <w:pStyle w:val="Textpoznpodarou"/>
        <w:spacing w:line="240" w:lineRule="auto"/>
      </w:pPr>
      <w:r w:rsidRPr="00604E43">
        <w:rPr>
          <w:vertAlign w:val="superscript"/>
        </w:rPr>
        <w:footnoteRef/>
      </w:r>
      <w:r w:rsidRPr="00604E43">
        <w:t xml:space="preserve"> KAMENÍK, Petr, HRABÁNKOVÁ, Milada, ORLOVÁ, Marie. Ž</w:t>
      </w:r>
      <w:r w:rsidRPr="00604E43">
        <w:rPr>
          <w:i/>
          <w:iCs/>
        </w:rPr>
        <w:t>ivnostensk</w:t>
      </w:r>
      <w:r w:rsidRPr="00604E43">
        <w:t xml:space="preserve">ý </w:t>
      </w:r>
      <w:r w:rsidRPr="00604E43">
        <w:rPr>
          <w:i/>
          <w:iCs/>
        </w:rPr>
        <w:t>z</w:t>
      </w:r>
      <w:r w:rsidRPr="00604E43">
        <w:t>á</w:t>
      </w:r>
      <w:r w:rsidRPr="00604E43">
        <w:rPr>
          <w:i/>
          <w:iCs/>
        </w:rPr>
        <w:t>kon. Z</w:t>
      </w:r>
      <w:r w:rsidRPr="00604E43">
        <w:t>á</w:t>
      </w:r>
      <w:r w:rsidRPr="00604E43">
        <w:rPr>
          <w:i/>
          <w:iCs/>
        </w:rPr>
        <w:t xml:space="preserve">kon o </w:t>
      </w:r>
      <w:r w:rsidRPr="00604E43">
        <w:t>ž</w:t>
      </w:r>
      <w:r w:rsidRPr="00604E43">
        <w:rPr>
          <w:i/>
          <w:iCs/>
        </w:rPr>
        <w:t>ivnostensk</w:t>
      </w:r>
      <w:r w:rsidRPr="00604E43">
        <w:t>ý</w:t>
      </w:r>
      <w:r w:rsidRPr="00604E43">
        <w:rPr>
          <w:i/>
          <w:iCs/>
        </w:rPr>
        <w:t xml:space="preserve">ch </w:t>
      </w:r>
      <w:r w:rsidRPr="00604E43">
        <w:t>úř</w:t>
      </w:r>
      <w:r w:rsidRPr="00604E43">
        <w:rPr>
          <w:i/>
          <w:iCs/>
        </w:rPr>
        <w:t>adech. Koment</w:t>
      </w:r>
      <w:r w:rsidRPr="00604E43">
        <w:t>ář</w:t>
      </w:r>
      <w:r w:rsidRPr="00604E43">
        <w:rPr>
          <w:lang w:val="nl-NL"/>
        </w:rPr>
        <w:t>. Praha: Wolters Kluwer, a.s., 2014, s. 36.</w:t>
      </w:r>
      <w:r>
        <w:rPr>
          <w:lang w:val="nl-NL"/>
        </w:rPr>
        <w:t xml:space="preserve"> </w:t>
      </w:r>
    </w:p>
  </w:footnote>
  <w:footnote w:id="22">
    <w:p w:rsidR="00E8547E" w:rsidRDefault="00E8547E" w:rsidP="00F73F6E">
      <w:pPr>
        <w:pStyle w:val="Textpoznpodarou"/>
        <w:spacing w:line="240" w:lineRule="auto"/>
      </w:pPr>
      <w:r>
        <w:rPr>
          <w:vertAlign w:val="superscript"/>
        </w:rPr>
        <w:footnoteRef/>
      </w:r>
      <w:r>
        <w:t xml:space="preserve"> Ust. § 46 odst. 2 ZOK.</w:t>
      </w:r>
    </w:p>
  </w:footnote>
  <w:footnote w:id="23">
    <w:p w:rsidR="00E8547E" w:rsidRDefault="00E8547E" w:rsidP="00F73F6E">
      <w:pPr>
        <w:pStyle w:val="Textpoznpodarou"/>
        <w:spacing w:line="240" w:lineRule="auto"/>
      </w:pPr>
      <w:r>
        <w:rPr>
          <w:vertAlign w:val="superscript"/>
        </w:rPr>
        <w:footnoteRef/>
      </w:r>
      <w:r>
        <w:t xml:space="preserve"> ŠTENGLOVÁ</w:t>
      </w:r>
      <w:r>
        <w:rPr>
          <w:lang w:val="nl-NL"/>
        </w:rPr>
        <w:t xml:space="preserve">, Ivana, HAVEL, Bohumil. In </w:t>
      </w:r>
      <w:r>
        <w:t xml:space="preserve">ŠTENGLOVÁ, Ivana a kol. (ed). </w:t>
      </w:r>
      <w:r>
        <w:rPr>
          <w:i/>
          <w:iCs/>
        </w:rPr>
        <w:t>Zákon o obchodních korporacích. Komentář.</w:t>
      </w:r>
      <w:r>
        <w:t xml:space="preserve"> 1. vydání. Praha: C. H. Beck, 2013, s. 125.</w:t>
      </w:r>
    </w:p>
  </w:footnote>
  <w:footnote w:id="24">
    <w:p w:rsidR="00E8547E" w:rsidRDefault="00E8547E" w:rsidP="00F73F6E">
      <w:pPr>
        <w:pStyle w:val="Textpoznpodarou"/>
        <w:spacing w:line="240" w:lineRule="auto"/>
      </w:pPr>
      <w:r>
        <w:rPr>
          <w:vertAlign w:val="superscript"/>
        </w:rPr>
        <w:footnoteRef/>
      </w:r>
      <w:r>
        <w:t xml:space="preserve"> POKORNÁ, Jarmila. </w:t>
      </w:r>
      <w:r>
        <w:rPr>
          <w:i/>
          <w:iCs/>
        </w:rPr>
        <w:t>Meritum Obchodní právo</w:t>
      </w:r>
      <w:r>
        <w:t>. 2. vydání</w:t>
      </w:r>
      <w:r>
        <w:rPr>
          <w:lang w:val="nl-NL"/>
        </w:rPr>
        <w:t xml:space="preserve">. Praha: Wolters Kluwer </w:t>
      </w:r>
      <w:r>
        <w:t>Č</w:t>
      </w:r>
      <w:r>
        <w:rPr>
          <w:lang w:val="it-IT"/>
        </w:rPr>
        <w:t xml:space="preserve">R, a.s., 2010, s. 432. </w:t>
      </w:r>
    </w:p>
  </w:footnote>
  <w:footnote w:id="25">
    <w:p w:rsidR="00E8547E" w:rsidRDefault="00E8547E" w:rsidP="00F73F6E">
      <w:pPr>
        <w:pStyle w:val="Textpoznpodarou"/>
        <w:spacing w:line="240" w:lineRule="auto"/>
      </w:pPr>
      <w:r>
        <w:rPr>
          <w:vertAlign w:val="superscript"/>
        </w:rPr>
        <w:footnoteRef/>
      </w:r>
      <w:r>
        <w:t xml:space="preserve"> Usnesení Nejvyššího soudu ČR ze dne 24. 11. 2009, sp. zn. 29 Cdo 4563/2008.</w:t>
      </w:r>
    </w:p>
  </w:footnote>
  <w:footnote w:id="26">
    <w:p w:rsidR="00E8547E" w:rsidRDefault="00E8547E" w:rsidP="00F73F6E">
      <w:pPr>
        <w:pStyle w:val="Textpoznpodarou"/>
        <w:spacing w:line="240" w:lineRule="auto"/>
      </w:pPr>
      <w:r>
        <w:rPr>
          <w:vertAlign w:val="superscript"/>
        </w:rPr>
        <w:footnoteRef/>
      </w:r>
      <w:r>
        <w:t xml:space="preserve"> § 164 odst. 1 OZ. </w:t>
      </w:r>
    </w:p>
  </w:footnote>
  <w:footnote w:id="27">
    <w:p w:rsidR="00E8547E" w:rsidRDefault="00E8547E" w:rsidP="00F73F6E">
      <w:pPr>
        <w:pStyle w:val="Textpoznpodarou"/>
        <w:spacing w:line="240" w:lineRule="auto"/>
      </w:pPr>
      <w:r>
        <w:rPr>
          <w:vertAlign w:val="superscript"/>
        </w:rPr>
        <w:footnoteRef/>
      </w:r>
      <w:r>
        <w:t xml:space="preserve"> § 20 odst. 1 ObčZ.</w:t>
      </w:r>
    </w:p>
  </w:footnote>
  <w:footnote w:id="28">
    <w:p w:rsidR="00E8547E" w:rsidRDefault="00E8547E" w:rsidP="00F73F6E">
      <w:pPr>
        <w:pStyle w:val="Textpoznpodarou"/>
        <w:spacing w:line="240" w:lineRule="auto"/>
      </w:pPr>
      <w:r>
        <w:rPr>
          <w:vertAlign w:val="superscript"/>
        </w:rPr>
        <w:footnoteRef/>
      </w:r>
      <w:r>
        <w:t xml:space="preserve"> DĚDIČ, Jan. Obecná úprava právnických osob v novém občanském zákoníku. </w:t>
      </w:r>
      <w:r>
        <w:rPr>
          <w:i/>
          <w:iCs/>
        </w:rPr>
        <w:t>Obchodní právo</w:t>
      </w:r>
      <w:r>
        <w:t xml:space="preserve">, 2012, roč. 20, č. 1, s. 2. </w:t>
      </w:r>
    </w:p>
  </w:footnote>
  <w:footnote w:id="29">
    <w:p w:rsidR="00E8547E" w:rsidRDefault="00E8547E" w:rsidP="00F73F6E">
      <w:pPr>
        <w:pStyle w:val="Textpoznpodarou"/>
        <w:spacing w:line="240" w:lineRule="auto"/>
      </w:pPr>
      <w:r>
        <w:rPr>
          <w:vertAlign w:val="superscript"/>
        </w:rPr>
        <w:footnoteRef/>
      </w:r>
      <w:r>
        <w:t xml:space="preserve"> RUBAN, Radek. O povaze právnických osob. In KOTÁSEK, Josef (ed). </w:t>
      </w:r>
      <w:r>
        <w:rPr>
          <w:i/>
          <w:iCs/>
        </w:rPr>
        <w:t xml:space="preserve">Dny práva 2012 – </w:t>
      </w:r>
      <w:r>
        <w:rPr>
          <w:i/>
          <w:iCs/>
          <w:lang w:val="en-US"/>
        </w:rPr>
        <w:t xml:space="preserve">Days of Law 2012. </w:t>
      </w:r>
      <w:r>
        <w:t>Brno: Masarykova univerzita, 2013, 1. vydání, s. 1914 [online]. [cit. 18.10.2014] Dostupné na &lt; http://www.law.muni.cz/sborniky/dny_prava_2012/files/sbornik.pdf &gt;.</w:t>
      </w:r>
    </w:p>
  </w:footnote>
  <w:footnote w:id="30">
    <w:p w:rsidR="00E8547E" w:rsidRPr="00700C4F" w:rsidRDefault="00E8547E" w:rsidP="00F73F6E">
      <w:pPr>
        <w:pStyle w:val="Nadpis1"/>
        <w:spacing w:before="0" w:line="240" w:lineRule="auto"/>
        <w:rPr>
          <w:sz w:val="20"/>
          <w:szCs w:val="20"/>
        </w:rPr>
      </w:pPr>
      <w:r w:rsidRPr="002D5AE8">
        <w:rPr>
          <w:b w:val="0"/>
          <w:sz w:val="20"/>
          <w:szCs w:val="20"/>
          <w:vertAlign w:val="superscript"/>
        </w:rPr>
        <w:footnoteRef/>
      </w:r>
      <w:r>
        <w:rPr>
          <w:b w:val="0"/>
          <w:bCs w:val="0"/>
          <w:sz w:val="20"/>
          <w:szCs w:val="20"/>
        </w:rPr>
        <w:t xml:space="preserve"> </w:t>
      </w:r>
      <w:r w:rsidRPr="00700C4F">
        <w:rPr>
          <w:b w:val="0"/>
          <w:bCs w:val="0"/>
          <w:sz w:val="20"/>
          <w:szCs w:val="20"/>
        </w:rPr>
        <w:t>Srov. LASÁ</w:t>
      </w:r>
      <w:r w:rsidRPr="00700C4F">
        <w:rPr>
          <w:b w:val="0"/>
          <w:bCs w:val="0"/>
          <w:sz w:val="20"/>
          <w:szCs w:val="20"/>
          <w:lang w:val="en-US"/>
        </w:rPr>
        <w:t>K, Jan. In LAVICK</w:t>
      </w:r>
      <w:r w:rsidRPr="00700C4F">
        <w:rPr>
          <w:b w:val="0"/>
          <w:bCs w:val="0"/>
          <w:sz w:val="20"/>
          <w:szCs w:val="20"/>
        </w:rPr>
        <w:t xml:space="preserve">Ý Petr (ed). </w:t>
      </w:r>
      <w:r w:rsidRPr="00700C4F">
        <w:rPr>
          <w:b w:val="0"/>
          <w:bCs w:val="0"/>
          <w:i/>
          <w:iCs/>
          <w:sz w:val="20"/>
          <w:szCs w:val="20"/>
        </w:rPr>
        <w:t>Občanský zákoník I...</w:t>
      </w:r>
      <w:r w:rsidRPr="00700C4F">
        <w:rPr>
          <w:sz w:val="20"/>
          <w:szCs w:val="20"/>
        </w:rPr>
        <w:t xml:space="preserve"> </w:t>
      </w:r>
      <w:r w:rsidRPr="00700C4F">
        <w:rPr>
          <w:b w:val="0"/>
          <w:bCs w:val="0"/>
          <w:sz w:val="20"/>
          <w:szCs w:val="20"/>
        </w:rPr>
        <w:t>s. 841.</w:t>
      </w:r>
    </w:p>
  </w:footnote>
  <w:footnote w:id="31">
    <w:p w:rsidR="00E8547E" w:rsidRPr="00700C4F" w:rsidRDefault="00E8547E" w:rsidP="00F73F6E">
      <w:pPr>
        <w:pStyle w:val="Textpoznpodarou"/>
        <w:spacing w:line="240" w:lineRule="auto"/>
      </w:pPr>
      <w:r w:rsidRPr="00700C4F">
        <w:rPr>
          <w:vertAlign w:val="superscript"/>
        </w:rPr>
        <w:footnoteRef/>
      </w:r>
      <w:r>
        <w:t xml:space="preserve"> </w:t>
      </w:r>
      <w:r w:rsidRPr="00700C4F">
        <w:t xml:space="preserve">Ust. § 190 odst. 3 ZOK.  </w:t>
      </w:r>
    </w:p>
  </w:footnote>
  <w:footnote w:id="32">
    <w:p w:rsidR="00E8547E" w:rsidRPr="00700C4F" w:rsidRDefault="00E8547E" w:rsidP="00F73F6E">
      <w:pPr>
        <w:pStyle w:val="Textpoznpodarou"/>
        <w:spacing w:line="240" w:lineRule="auto"/>
      </w:pPr>
      <w:r w:rsidRPr="00700C4F">
        <w:rPr>
          <w:vertAlign w:val="superscript"/>
        </w:rPr>
        <w:footnoteRef/>
      </w:r>
      <w:r>
        <w:t xml:space="preserve"> </w:t>
      </w:r>
      <w:r w:rsidRPr="00700C4F">
        <w:t>DVOŘÁK: Společnost s ručením omezeným, s. 269.</w:t>
      </w:r>
    </w:p>
  </w:footnote>
  <w:footnote w:id="33">
    <w:p w:rsidR="00E8547E" w:rsidRPr="00700C4F" w:rsidRDefault="00E8547E" w:rsidP="00F73F6E">
      <w:pPr>
        <w:pStyle w:val="Textpoznpodarou"/>
        <w:spacing w:line="240" w:lineRule="auto"/>
      </w:pPr>
      <w:r w:rsidRPr="00700C4F">
        <w:rPr>
          <w:vertAlign w:val="superscript"/>
        </w:rPr>
        <w:footnoteRef/>
      </w:r>
      <w:r>
        <w:t xml:space="preserve"> </w:t>
      </w:r>
      <w:r w:rsidRPr="00700C4F">
        <w:t>Ust. § 195 odst. 1 ZOK.</w:t>
      </w:r>
    </w:p>
  </w:footnote>
  <w:footnote w:id="34">
    <w:p w:rsidR="00E8547E" w:rsidRPr="00700C4F" w:rsidRDefault="00E8547E" w:rsidP="00F73F6E">
      <w:pPr>
        <w:pStyle w:val="Textpoznpodarou"/>
        <w:spacing w:line="240" w:lineRule="auto"/>
      </w:pPr>
      <w:r w:rsidRPr="00700C4F">
        <w:rPr>
          <w:vertAlign w:val="superscript"/>
        </w:rPr>
        <w:footnoteRef/>
      </w:r>
      <w:r>
        <w:t xml:space="preserve"> </w:t>
      </w:r>
      <w:r w:rsidRPr="00700C4F">
        <w:t xml:space="preserve">Ust. § 194 ZOK. </w:t>
      </w:r>
    </w:p>
  </w:footnote>
  <w:footnote w:id="35">
    <w:p w:rsidR="00E8547E" w:rsidRDefault="00E8547E" w:rsidP="00F73F6E">
      <w:pPr>
        <w:pStyle w:val="Textpoznpodarou"/>
        <w:spacing w:line="240" w:lineRule="auto"/>
      </w:pPr>
      <w:r>
        <w:rPr>
          <w:vertAlign w:val="superscript"/>
        </w:rPr>
        <w:footnoteRef/>
      </w:r>
      <w:r>
        <w:t xml:space="preserve"> DVOŘÁK: Společnost s ručením omezeným, s. 272. </w:t>
      </w:r>
    </w:p>
  </w:footnote>
  <w:footnote w:id="36">
    <w:p w:rsidR="00E8547E" w:rsidRDefault="00E8547E" w:rsidP="00F73F6E">
      <w:pPr>
        <w:pStyle w:val="Textpoznpodarou"/>
        <w:spacing w:line="240" w:lineRule="auto"/>
      </w:pPr>
      <w:r>
        <w:rPr>
          <w:vertAlign w:val="superscript"/>
        </w:rPr>
        <w:footnoteRef/>
      </w:r>
      <w:r>
        <w:t xml:space="preserve"> JOSKOVÁ, Lucie. </w:t>
      </w:r>
      <w:r>
        <w:rPr>
          <w:i/>
          <w:iCs/>
        </w:rPr>
        <w:t>Jednatelé jako kolektivní orgán</w:t>
      </w:r>
      <w:r>
        <w:t xml:space="preserve"> [online]. epravo.cz, 14. 11. 2013 [cit. 18. 10. 2014] Dostupné na &lt;http://www.epravo.cz/top/efocus/mesicnik-rekodifikace-praxe-jednatele-jako-kolektivni-organ-92890.html&gt;.</w:t>
      </w:r>
    </w:p>
  </w:footnote>
  <w:footnote w:id="37">
    <w:p w:rsidR="00E8547E" w:rsidRDefault="00E8547E" w:rsidP="00F73F6E">
      <w:pPr>
        <w:pStyle w:val="Textpoznpodarou"/>
        <w:spacing w:line="240" w:lineRule="auto"/>
      </w:pPr>
      <w:r>
        <w:rPr>
          <w:vertAlign w:val="superscript"/>
        </w:rPr>
        <w:footnoteRef/>
      </w:r>
      <w:r>
        <w:t xml:space="preserve"> Ust. § 156 odst. 1 OZ. </w:t>
      </w:r>
    </w:p>
  </w:footnote>
  <w:footnote w:id="38">
    <w:p w:rsidR="00E8547E" w:rsidRDefault="00E8547E" w:rsidP="00F73F6E">
      <w:pPr>
        <w:pStyle w:val="Textpoznpodarou"/>
        <w:spacing w:line="240" w:lineRule="auto"/>
      </w:pPr>
      <w:r>
        <w:rPr>
          <w:vertAlign w:val="superscript"/>
        </w:rPr>
        <w:footnoteRef/>
      </w:r>
      <w:r>
        <w:t xml:space="preserve"> Ust. § 152 odst. 1 OZ.  </w:t>
      </w:r>
    </w:p>
  </w:footnote>
  <w:footnote w:id="39">
    <w:p w:rsidR="00E8547E" w:rsidRDefault="00E8547E" w:rsidP="00F73F6E">
      <w:pPr>
        <w:pStyle w:val="Textpoznpodarou"/>
        <w:spacing w:line="240" w:lineRule="auto"/>
      </w:pPr>
      <w:r>
        <w:rPr>
          <w:vertAlign w:val="superscript"/>
        </w:rPr>
        <w:footnoteRef/>
      </w:r>
      <w:r>
        <w:t xml:space="preserve"> Srov. LASÁ</w:t>
      </w:r>
      <w:r>
        <w:rPr>
          <w:lang w:val="en-US"/>
        </w:rPr>
        <w:t>K, Jan. In LAVICK</w:t>
      </w:r>
      <w:r>
        <w:t xml:space="preserve">Ý, Petr (ed). </w:t>
      </w:r>
      <w:r>
        <w:rPr>
          <w:i/>
          <w:iCs/>
        </w:rPr>
        <w:t>Občanský zákoník I...</w:t>
      </w:r>
      <w:r>
        <w:t>s. 806.</w:t>
      </w:r>
    </w:p>
  </w:footnote>
  <w:footnote w:id="40">
    <w:p w:rsidR="00E8547E" w:rsidRDefault="00E8547E" w:rsidP="00F73F6E">
      <w:pPr>
        <w:pStyle w:val="Textpoznpodarou"/>
        <w:spacing w:line="240" w:lineRule="auto"/>
      </w:pPr>
      <w:r>
        <w:rPr>
          <w:vertAlign w:val="superscript"/>
        </w:rPr>
        <w:footnoteRef/>
      </w:r>
      <w:r>
        <w:t xml:space="preserve"> § 44 odst. 5 ZOK.</w:t>
      </w:r>
    </w:p>
  </w:footnote>
  <w:footnote w:id="41">
    <w:p w:rsidR="00E8547E" w:rsidRDefault="00E8547E" w:rsidP="00F73F6E">
      <w:pPr>
        <w:pStyle w:val="Textpoznpodarou"/>
        <w:spacing w:line="240" w:lineRule="auto"/>
      </w:pPr>
      <w:r>
        <w:rPr>
          <w:vertAlign w:val="superscript"/>
        </w:rPr>
        <w:footnoteRef/>
      </w:r>
      <w:r>
        <w:t xml:space="preserve"> Ust. § 194 zákona ZOK.  </w:t>
      </w:r>
    </w:p>
  </w:footnote>
  <w:footnote w:id="42">
    <w:p w:rsidR="00E8547E" w:rsidRDefault="00E8547E" w:rsidP="00F73F6E">
      <w:pPr>
        <w:pStyle w:val="Textpoznpodarou"/>
        <w:spacing w:line="240" w:lineRule="auto"/>
      </w:pPr>
      <w:r>
        <w:rPr>
          <w:vertAlign w:val="superscript"/>
        </w:rPr>
        <w:footnoteRef/>
      </w:r>
      <w:r>
        <w:t xml:space="preserve"> Srov. DOSTÁL, Jiří, FIALA, Petr. </w:t>
      </w:r>
      <w:r>
        <w:rPr>
          <w:i/>
          <w:iCs/>
        </w:rPr>
        <w:t>Jednatelé jako kolektivní orgán</w:t>
      </w:r>
      <w:r>
        <w:t xml:space="preserve"> [online]. epravo.cz, 29. 8. 2014 [cit. 18. 10. 2014] Dostupné na&lt; http://www.epravo.cz/top/clanky/jednatele-jako-kolektivni-organ-95020.html&gt;</w:t>
      </w:r>
    </w:p>
  </w:footnote>
  <w:footnote w:id="43">
    <w:p w:rsidR="00E8547E" w:rsidRDefault="00E8547E" w:rsidP="00F73F6E">
      <w:pPr>
        <w:pStyle w:val="Textpoznpodarou"/>
        <w:spacing w:line="240" w:lineRule="auto"/>
      </w:pPr>
      <w:r>
        <w:rPr>
          <w:vertAlign w:val="superscript"/>
        </w:rPr>
        <w:footnoteRef/>
      </w:r>
      <w:r>
        <w:t xml:space="preserve"> Shodně tamtéž.</w:t>
      </w:r>
    </w:p>
  </w:footnote>
  <w:footnote w:id="44">
    <w:p w:rsidR="00E8547E" w:rsidRDefault="00E8547E" w:rsidP="00F73F6E">
      <w:pPr>
        <w:pStyle w:val="Textpoznpodarou"/>
        <w:spacing w:line="240" w:lineRule="auto"/>
      </w:pPr>
      <w:r>
        <w:rPr>
          <w:vertAlign w:val="superscript"/>
        </w:rPr>
        <w:footnoteRef/>
      </w:r>
      <w:r>
        <w:t xml:space="preserve"> ŠTENGLOVÁ</w:t>
      </w:r>
      <w:r>
        <w:rPr>
          <w:lang w:val="nl-NL"/>
        </w:rPr>
        <w:t xml:space="preserve">, Ivana. In </w:t>
      </w:r>
      <w:r>
        <w:t xml:space="preserve">ŠTENGLOVÁ, Ivana a kol. (ed). </w:t>
      </w:r>
      <w:r>
        <w:rPr>
          <w:i/>
          <w:iCs/>
        </w:rPr>
        <w:t>Zákon o obchodních korporacích...</w:t>
      </w:r>
      <w:r>
        <w:t xml:space="preserve"> s. 700.</w:t>
      </w:r>
    </w:p>
  </w:footnote>
  <w:footnote w:id="45">
    <w:p w:rsidR="00E8547E" w:rsidRDefault="00E8547E" w:rsidP="00F73F6E">
      <w:pPr>
        <w:pStyle w:val="Textpoznpodarou"/>
        <w:spacing w:line="240" w:lineRule="auto"/>
      </w:pPr>
      <w:r>
        <w:rPr>
          <w:vertAlign w:val="superscript"/>
        </w:rPr>
        <w:footnoteRef/>
      </w:r>
      <w:r>
        <w:t xml:space="preserve"> Tamtéž.</w:t>
      </w:r>
    </w:p>
  </w:footnote>
  <w:footnote w:id="46">
    <w:p w:rsidR="00E8547E" w:rsidRDefault="00E8547E" w:rsidP="00F73F6E">
      <w:pPr>
        <w:pStyle w:val="Textpoznpodarou"/>
        <w:spacing w:line="240" w:lineRule="auto"/>
      </w:pPr>
      <w:r>
        <w:rPr>
          <w:vertAlign w:val="superscript"/>
        </w:rPr>
        <w:footnoteRef/>
      </w:r>
      <w:r>
        <w:t xml:space="preserve"> Ust. § 44 odst. 3 ZOK.</w:t>
      </w:r>
    </w:p>
  </w:footnote>
  <w:footnote w:id="47">
    <w:p w:rsidR="00E8547E" w:rsidRDefault="00E8547E" w:rsidP="00F73F6E">
      <w:pPr>
        <w:pStyle w:val="Textpoznpodarou"/>
        <w:spacing w:line="240" w:lineRule="auto"/>
      </w:pPr>
      <w:r>
        <w:rPr>
          <w:vertAlign w:val="superscript"/>
        </w:rPr>
        <w:footnoteRef/>
      </w:r>
      <w:r>
        <w:t xml:space="preserve"> Srov. DOSTÁL Jiří, FIALA, Petr. </w:t>
      </w:r>
      <w:r>
        <w:rPr>
          <w:i/>
          <w:iCs/>
        </w:rPr>
        <w:t>Jednatelé jako kolektivní orgán</w:t>
      </w:r>
      <w:r>
        <w:t xml:space="preserve"> [online]. epravo.cz, 29. 8. 2014 [cit. 18. 10. 2014] Dostupné na&lt; http://www.epravo.cz/top/clanky/jednatele-jako-kolektivni-organ-95020.html&gt;.</w:t>
      </w:r>
    </w:p>
  </w:footnote>
  <w:footnote w:id="48">
    <w:p w:rsidR="00E8547E" w:rsidRDefault="00E8547E" w:rsidP="00F73F6E">
      <w:pPr>
        <w:pStyle w:val="Textpoznpodarou"/>
        <w:spacing w:line="240" w:lineRule="auto"/>
      </w:pPr>
      <w:r>
        <w:rPr>
          <w:vertAlign w:val="superscript"/>
        </w:rPr>
        <w:footnoteRef/>
      </w:r>
      <w:r>
        <w:t xml:space="preserve"> Ust. § 156 odst. 2 OZ.</w:t>
      </w:r>
    </w:p>
  </w:footnote>
  <w:footnote w:id="49">
    <w:p w:rsidR="00E8547E" w:rsidRDefault="00E8547E" w:rsidP="00F73F6E">
      <w:pPr>
        <w:pStyle w:val="Nadpis1"/>
        <w:spacing w:before="0" w:line="240" w:lineRule="auto"/>
      </w:pPr>
      <w:r w:rsidRPr="00494962">
        <w:rPr>
          <w:b w:val="0"/>
          <w:sz w:val="20"/>
          <w:szCs w:val="20"/>
          <w:vertAlign w:val="superscript"/>
        </w:rPr>
        <w:footnoteRef/>
      </w:r>
      <w:r w:rsidRPr="00494962">
        <w:rPr>
          <w:b w:val="0"/>
          <w:bCs w:val="0"/>
          <w:sz w:val="20"/>
          <w:szCs w:val="20"/>
        </w:rPr>
        <w:t xml:space="preserve"> Srov</w:t>
      </w:r>
      <w:r>
        <w:rPr>
          <w:b w:val="0"/>
          <w:bCs w:val="0"/>
          <w:sz w:val="20"/>
          <w:szCs w:val="20"/>
        </w:rPr>
        <w:t>. LASÁ</w:t>
      </w:r>
      <w:r>
        <w:rPr>
          <w:b w:val="0"/>
          <w:bCs w:val="0"/>
          <w:sz w:val="20"/>
          <w:szCs w:val="20"/>
          <w:lang w:val="en-US"/>
        </w:rPr>
        <w:t>K, Jan. In LAVICK</w:t>
      </w:r>
      <w:r>
        <w:rPr>
          <w:b w:val="0"/>
          <w:bCs w:val="0"/>
          <w:sz w:val="20"/>
          <w:szCs w:val="20"/>
        </w:rPr>
        <w:t xml:space="preserve">Ý Petr (ed). </w:t>
      </w:r>
      <w:r>
        <w:rPr>
          <w:b w:val="0"/>
          <w:bCs w:val="0"/>
          <w:i/>
          <w:iCs/>
          <w:sz w:val="20"/>
          <w:szCs w:val="20"/>
        </w:rPr>
        <w:t>Občanský zákoník I...</w:t>
      </w:r>
      <w:r>
        <w:rPr>
          <w:b w:val="0"/>
          <w:bCs w:val="0"/>
          <w:sz w:val="20"/>
          <w:szCs w:val="20"/>
        </w:rPr>
        <w:t xml:space="preserve"> s. 809.</w:t>
      </w:r>
    </w:p>
  </w:footnote>
  <w:footnote w:id="50">
    <w:p w:rsidR="00E8547E" w:rsidRDefault="00E8547E" w:rsidP="00F73F6E">
      <w:pPr>
        <w:pStyle w:val="Textpoznpodarou"/>
        <w:spacing w:line="240" w:lineRule="auto"/>
      </w:pPr>
      <w:r>
        <w:rPr>
          <w:vertAlign w:val="superscript"/>
        </w:rPr>
        <w:footnoteRef/>
      </w:r>
      <w:r>
        <w:t xml:space="preserve"> Tamtéž, s. 808.</w:t>
      </w:r>
    </w:p>
  </w:footnote>
  <w:footnote w:id="51">
    <w:p w:rsidR="00E8547E" w:rsidRDefault="00E8547E" w:rsidP="00F73F6E">
      <w:pPr>
        <w:pStyle w:val="Textpoznpodarou"/>
        <w:spacing w:line="240" w:lineRule="auto"/>
      </w:pPr>
      <w:r>
        <w:rPr>
          <w:vertAlign w:val="superscript"/>
        </w:rPr>
        <w:footnoteRef/>
      </w:r>
      <w:r>
        <w:t xml:space="preserve"> Ust. § 164 OZ. </w:t>
      </w:r>
    </w:p>
  </w:footnote>
  <w:footnote w:id="52">
    <w:p w:rsidR="00E8547E" w:rsidRDefault="00E8547E" w:rsidP="00F73F6E">
      <w:pPr>
        <w:pStyle w:val="Textpoznpodarou"/>
        <w:spacing w:line="240" w:lineRule="auto"/>
      </w:pPr>
      <w:r>
        <w:rPr>
          <w:vertAlign w:val="superscript"/>
        </w:rPr>
        <w:footnoteRef/>
      </w:r>
      <w:r>
        <w:t xml:space="preserve"> Ust. § 47 ZOK. </w:t>
      </w:r>
    </w:p>
  </w:footnote>
  <w:footnote w:id="53">
    <w:p w:rsidR="00E8547E" w:rsidRDefault="00E8547E" w:rsidP="00F73F6E">
      <w:pPr>
        <w:pStyle w:val="Textpoznpodarou"/>
        <w:spacing w:line="240" w:lineRule="auto"/>
      </w:pPr>
      <w:r>
        <w:rPr>
          <w:vertAlign w:val="superscript"/>
        </w:rPr>
        <w:footnoteRef/>
      </w:r>
      <w:r>
        <w:t xml:space="preserve"> Pozn. Viz § 133 odst. 2 SObchZ - možnost omezení jednatelského oprávnění je začleněna pří</w:t>
      </w:r>
      <w:r>
        <w:rPr>
          <w:lang w:val="es-ES_tradnl"/>
        </w:rPr>
        <w:t>mo v</w:t>
      </w:r>
      <w:r>
        <w:t xml:space="preserve"> právní úpravě jednatelů, avšak shodně s českou právní úpravou jednatelské oprávnění být omezeno může, avšak vůči třetím osobám je neúčinné </w:t>
      </w:r>
    </w:p>
  </w:footnote>
  <w:footnote w:id="54">
    <w:p w:rsidR="00E8547E" w:rsidRDefault="00E8547E" w:rsidP="00F73F6E">
      <w:pPr>
        <w:pStyle w:val="Textpoznpodarou"/>
        <w:spacing w:line="240" w:lineRule="auto"/>
      </w:pPr>
      <w:r>
        <w:rPr>
          <w:vertAlign w:val="superscript"/>
        </w:rPr>
        <w:footnoteRef/>
      </w:r>
      <w:r>
        <w:t xml:space="preserve"> Srov. ŠTENGLOVÁ</w:t>
      </w:r>
      <w:r>
        <w:rPr>
          <w:lang w:val="nl-NL"/>
        </w:rPr>
        <w:t xml:space="preserve">, Ivana, HAVEL, Bohumil. In </w:t>
      </w:r>
      <w:r>
        <w:t xml:space="preserve">ŠTENGLOVÁ, Ivana a kol. (ed). </w:t>
      </w:r>
      <w:r>
        <w:rPr>
          <w:i/>
          <w:iCs/>
        </w:rPr>
        <w:t>Zákon o obchodních korporacích...</w:t>
      </w:r>
      <w:r>
        <w:t>, s. 127.</w:t>
      </w:r>
    </w:p>
  </w:footnote>
  <w:footnote w:id="55">
    <w:p w:rsidR="00E8547E" w:rsidRDefault="00E8547E" w:rsidP="00F73F6E">
      <w:pPr>
        <w:pStyle w:val="Textpoznpodarou"/>
        <w:spacing w:line="240" w:lineRule="auto"/>
      </w:pPr>
      <w:r>
        <w:rPr>
          <w:vertAlign w:val="superscript"/>
        </w:rPr>
        <w:footnoteRef/>
      </w:r>
      <w:r>
        <w:t xml:space="preserve"> DVOŘÁK: Společnost s ručením omezeným, s. 273.</w:t>
      </w:r>
    </w:p>
  </w:footnote>
  <w:footnote w:id="56">
    <w:p w:rsidR="00E8547E" w:rsidRDefault="00E8547E" w:rsidP="00F73F6E">
      <w:pPr>
        <w:pStyle w:val="Textpoznpodarou"/>
        <w:spacing w:line="240" w:lineRule="auto"/>
      </w:pPr>
      <w:r>
        <w:rPr>
          <w:vertAlign w:val="superscript"/>
        </w:rPr>
        <w:footnoteRef/>
      </w:r>
      <w:r>
        <w:t xml:space="preserve"> Ust. §47 zákona ZOK. </w:t>
      </w:r>
    </w:p>
  </w:footnote>
  <w:footnote w:id="57">
    <w:p w:rsidR="00E8547E" w:rsidRDefault="00E8547E" w:rsidP="00F73F6E">
      <w:pPr>
        <w:pStyle w:val="Textpoznpodarou"/>
        <w:spacing w:line="240" w:lineRule="auto"/>
      </w:pPr>
      <w:r>
        <w:rPr>
          <w:vertAlign w:val="superscript"/>
        </w:rPr>
        <w:footnoteRef/>
      </w:r>
      <w:r>
        <w:t xml:space="preserve"> DVOŘÁK: Společnost s ručením omezeným, s. 273.</w:t>
      </w:r>
    </w:p>
  </w:footnote>
  <w:footnote w:id="58">
    <w:p w:rsidR="00E8547E" w:rsidRPr="005F62A4" w:rsidRDefault="00E8547E" w:rsidP="00F73F6E">
      <w:pPr>
        <w:spacing w:line="240" w:lineRule="auto"/>
      </w:pPr>
      <w:r>
        <w:rPr>
          <w:vertAlign w:val="superscript"/>
        </w:rPr>
        <w:footnoteRef/>
      </w:r>
      <w:r w:rsidRPr="005F62A4">
        <w:rPr>
          <w:sz w:val="20"/>
          <w:szCs w:val="20"/>
        </w:rPr>
        <w:t xml:space="preserve"> Rozsudek Nejvyššího soudu ČR ze dne 20. 8. 2002, sp. zn. 29 Odo 198/2002 a taktéž Rozsudek Nejvyššího soudu ČR ze dne 28.3.2012, sp. zn. 29 Cdo 301/2010.</w:t>
      </w:r>
    </w:p>
  </w:footnote>
  <w:footnote w:id="59">
    <w:p w:rsidR="00E8547E" w:rsidRDefault="00E8547E" w:rsidP="00F73F6E">
      <w:pPr>
        <w:pStyle w:val="Textpoznpodarou"/>
        <w:spacing w:line="240" w:lineRule="auto"/>
      </w:pPr>
      <w:r>
        <w:rPr>
          <w:vertAlign w:val="superscript"/>
        </w:rPr>
        <w:footnoteRef/>
      </w:r>
      <w:r>
        <w:t xml:space="preserve"> Rozsudek Nejvyššího soudu ČR ze dne 13. 12. 2007, sp. zn. 21 Cdo 265/2007.</w:t>
      </w:r>
    </w:p>
  </w:footnote>
  <w:footnote w:id="60">
    <w:p w:rsidR="00E8547E" w:rsidRDefault="00E8547E" w:rsidP="00F73F6E">
      <w:pPr>
        <w:pStyle w:val="Textpoznpodarou"/>
        <w:spacing w:line="240" w:lineRule="auto"/>
      </w:pPr>
      <w:r>
        <w:rPr>
          <w:vertAlign w:val="superscript"/>
        </w:rPr>
        <w:footnoteRef/>
      </w:r>
      <w:r>
        <w:t xml:space="preserve"> Srov. VRAJÍK, Michal. Judikatura Nejvyššího soudu z pohledu nového občanského zákoníku a zákona o obchodních korporacích. Praha: Nakladatelství Anag, 2014, s. 69.</w:t>
      </w:r>
    </w:p>
  </w:footnote>
  <w:footnote w:id="61">
    <w:p w:rsidR="00E8547E" w:rsidRDefault="00E8547E" w:rsidP="00F73F6E">
      <w:pPr>
        <w:pStyle w:val="Textpoznpodarou"/>
        <w:spacing w:line="240" w:lineRule="auto"/>
      </w:pPr>
      <w:r>
        <w:rPr>
          <w:vertAlign w:val="superscript"/>
        </w:rPr>
        <w:footnoteRef/>
      </w:r>
      <w:r>
        <w:t xml:space="preserve"> srov. ELIÁŠ, Karel. Společnost s ručením omezeným. 1. vydání. Praha: PROSPEKTRUM, spol. s r.o., 1997, s. 163 a též DVOŘÁK: Společnost s ručením omezeným, s.s. 271</w:t>
      </w:r>
    </w:p>
  </w:footnote>
  <w:footnote w:id="62">
    <w:p w:rsidR="00E8547E" w:rsidRDefault="00E8547E" w:rsidP="00F73F6E">
      <w:pPr>
        <w:pStyle w:val="Textpoznpodarou"/>
        <w:spacing w:line="240" w:lineRule="auto"/>
      </w:pPr>
      <w:r>
        <w:rPr>
          <w:vertAlign w:val="superscript"/>
        </w:rPr>
        <w:footnoteRef/>
      </w:r>
      <w:r>
        <w:t xml:space="preserve"> Srov. tamtéž </w:t>
      </w:r>
    </w:p>
  </w:footnote>
  <w:footnote w:id="63">
    <w:p w:rsidR="00E8547E" w:rsidRDefault="00E8547E" w:rsidP="00F73F6E">
      <w:pPr>
        <w:pStyle w:val="Textpoznpodarou"/>
        <w:spacing w:line="240" w:lineRule="auto"/>
      </w:pPr>
      <w:r>
        <w:rPr>
          <w:vertAlign w:val="superscript"/>
        </w:rPr>
        <w:footnoteRef/>
      </w:r>
      <w:r>
        <w:t xml:space="preserve"> ŠTENGLOVÁ</w:t>
      </w:r>
      <w:r>
        <w:rPr>
          <w:lang w:val="nl-NL"/>
        </w:rPr>
        <w:t xml:space="preserve">, Ivana. In </w:t>
      </w:r>
      <w:r>
        <w:t>ŠTENGLOVÁ, Ivana, BARTOŠÍKOVÁ</w:t>
      </w:r>
      <w:r>
        <w:rPr>
          <w:lang w:val="pt-PT"/>
        </w:rPr>
        <w:t xml:space="preserve">, Miroslava. </w:t>
      </w:r>
      <w:r>
        <w:rPr>
          <w:i/>
          <w:iCs/>
        </w:rPr>
        <w:t>Společnost s ručením omezeným</w:t>
      </w:r>
      <w:r>
        <w:t xml:space="preserve">. 2. vydání. Praha: C.H. Beck, 2006, s.227. </w:t>
      </w:r>
    </w:p>
  </w:footnote>
  <w:footnote w:id="64">
    <w:p w:rsidR="00E8547E" w:rsidRDefault="00E8547E" w:rsidP="00F73F6E">
      <w:pPr>
        <w:pStyle w:val="Textpoznpodarou"/>
        <w:spacing w:line="240" w:lineRule="auto"/>
      </w:pPr>
      <w:r>
        <w:rPr>
          <w:vertAlign w:val="superscript"/>
        </w:rPr>
        <w:footnoteRef/>
      </w:r>
      <w:r>
        <w:t xml:space="preserve"> POKORNÁ: </w:t>
      </w:r>
      <w:r>
        <w:rPr>
          <w:i/>
          <w:iCs/>
        </w:rPr>
        <w:t>Meritum Obchodní právo, s.</w:t>
      </w:r>
      <w:r>
        <w:t xml:space="preserve"> 432.</w:t>
      </w:r>
    </w:p>
  </w:footnote>
  <w:footnote w:id="65">
    <w:p w:rsidR="00E8547E" w:rsidRDefault="00E8547E" w:rsidP="00F73F6E">
      <w:pPr>
        <w:pStyle w:val="Textpoznpodarou"/>
        <w:spacing w:line="240" w:lineRule="auto"/>
      </w:pPr>
      <w:r>
        <w:rPr>
          <w:vertAlign w:val="superscript"/>
        </w:rPr>
        <w:footnoteRef/>
      </w:r>
      <w:r>
        <w:t xml:space="preserve"> Ust. § 195 odst. 1 ZOK. </w:t>
      </w:r>
    </w:p>
  </w:footnote>
  <w:footnote w:id="66">
    <w:p w:rsidR="00E8547E" w:rsidRDefault="00E8547E" w:rsidP="00F73F6E">
      <w:pPr>
        <w:pStyle w:val="Textpoznpodarou"/>
        <w:spacing w:line="240" w:lineRule="auto"/>
      </w:pPr>
      <w:r>
        <w:rPr>
          <w:vertAlign w:val="superscript"/>
        </w:rPr>
        <w:footnoteRef/>
      </w:r>
      <w:r>
        <w:t xml:space="preserve"> ŠTENGLOVÁ</w:t>
      </w:r>
      <w:r>
        <w:rPr>
          <w:lang w:val="nl-NL"/>
        </w:rPr>
        <w:t xml:space="preserve">, Ivana. In </w:t>
      </w:r>
      <w:r>
        <w:t xml:space="preserve">ŠTENGLOVÁ, Ivana a kol. (ed). </w:t>
      </w:r>
      <w:r>
        <w:rPr>
          <w:i/>
          <w:iCs/>
        </w:rPr>
        <w:t>Zákon o obchodních korporacích...,</w:t>
      </w:r>
      <w:r>
        <w:t xml:space="preserve"> s.384.</w:t>
      </w:r>
    </w:p>
  </w:footnote>
  <w:footnote w:id="67">
    <w:p w:rsidR="00E8547E" w:rsidRDefault="00E8547E" w:rsidP="00F73F6E">
      <w:pPr>
        <w:pStyle w:val="Textpoznpodarou"/>
        <w:spacing w:line="240" w:lineRule="auto"/>
      </w:pPr>
      <w:r>
        <w:rPr>
          <w:vertAlign w:val="superscript"/>
        </w:rPr>
        <w:footnoteRef/>
      </w:r>
      <w:r>
        <w:t xml:space="preserve"> Ust. § 440 odst. 1 ZOK. </w:t>
      </w:r>
    </w:p>
  </w:footnote>
  <w:footnote w:id="68">
    <w:p w:rsidR="00E8547E" w:rsidRPr="00EC23E7" w:rsidRDefault="00E8547E" w:rsidP="00F73F6E">
      <w:pPr>
        <w:pStyle w:val="Bezmezer"/>
        <w:spacing w:line="240" w:lineRule="auto"/>
        <w:rPr>
          <w:sz w:val="20"/>
          <w:szCs w:val="20"/>
        </w:rPr>
      </w:pPr>
      <w:r w:rsidRPr="00EC23E7">
        <w:rPr>
          <w:sz w:val="20"/>
          <w:szCs w:val="20"/>
          <w:vertAlign w:val="superscript"/>
        </w:rPr>
        <w:footnoteRef/>
      </w:r>
      <w:r w:rsidRPr="00EC23E7">
        <w:rPr>
          <w:sz w:val="20"/>
          <w:szCs w:val="20"/>
        </w:rPr>
        <w:t xml:space="preserve"> Ust. § 195 odst. 1 ZOK.</w:t>
      </w:r>
    </w:p>
  </w:footnote>
  <w:footnote w:id="69">
    <w:p w:rsidR="00E8547E" w:rsidRPr="00EC23E7" w:rsidRDefault="00E8547E" w:rsidP="00F73F6E">
      <w:pPr>
        <w:pStyle w:val="Bezmezer"/>
        <w:spacing w:line="240" w:lineRule="auto"/>
        <w:rPr>
          <w:sz w:val="20"/>
          <w:szCs w:val="20"/>
        </w:rPr>
      </w:pPr>
      <w:r w:rsidRPr="00EC23E7">
        <w:rPr>
          <w:sz w:val="20"/>
          <w:szCs w:val="20"/>
          <w:vertAlign w:val="superscript"/>
        </w:rPr>
        <w:footnoteRef/>
      </w:r>
      <w:r w:rsidRPr="00EC23E7">
        <w:rPr>
          <w:sz w:val="20"/>
          <w:szCs w:val="20"/>
        </w:rPr>
        <w:t xml:space="preserve"> Pozn. V rámci slovenské úpravy odlišně </w:t>
      </w:r>
      <w:r w:rsidRPr="00EC23E7">
        <w:rPr>
          <w:i/>
          <w:iCs/>
          <w:sz w:val="20"/>
          <w:szCs w:val="20"/>
        </w:rPr>
        <w:t>„posobnosť obchodného vedenia patrí kogentně všetkým konateľom, pričom na prijatie rozhodnutia a obchodnom vedení sa s účinnosťou od 1. januára 2002 vyžaduje najmenej sú</w:t>
      </w:r>
      <w:r w:rsidRPr="00EC23E7">
        <w:rPr>
          <w:i/>
          <w:iCs/>
          <w:sz w:val="20"/>
          <w:szCs w:val="20"/>
          <w:lang w:val="es-ES_tradnl"/>
        </w:rPr>
        <w:t>hlas va</w:t>
      </w:r>
      <w:r w:rsidRPr="00EC23E7">
        <w:rPr>
          <w:i/>
          <w:iCs/>
          <w:sz w:val="20"/>
          <w:szCs w:val="20"/>
        </w:rPr>
        <w:t>čšiny konateľov, ak spoločenská zmluva nevyžaduje eště vyšší počet hlasov</w:t>
      </w:r>
      <w:r w:rsidRPr="00EC23E7">
        <w:rPr>
          <w:sz w:val="20"/>
          <w:szCs w:val="20"/>
        </w:rPr>
        <w:t>.“ Viz MAJERIKOVÁ, Má</w:t>
      </w:r>
      <w:r w:rsidRPr="00EC23E7">
        <w:rPr>
          <w:sz w:val="20"/>
          <w:szCs w:val="20"/>
          <w:lang w:val="it-IT"/>
        </w:rPr>
        <w:t>ria in OVE</w:t>
      </w:r>
      <w:r w:rsidRPr="00EC23E7">
        <w:rPr>
          <w:sz w:val="20"/>
          <w:szCs w:val="20"/>
        </w:rPr>
        <w:t xml:space="preserve">ČKOVÁ, Olga a kol. </w:t>
      </w:r>
      <w:r w:rsidRPr="00EC23E7">
        <w:rPr>
          <w:i/>
          <w:iCs/>
          <w:sz w:val="20"/>
          <w:szCs w:val="20"/>
        </w:rPr>
        <w:t>Obchodný zá</w:t>
      </w:r>
      <w:r w:rsidRPr="00EC23E7">
        <w:rPr>
          <w:i/>
          <w:iCs/>
          <w:sz w:val="20"/>
          <w:szCs w:val="20"/>
          <w:lang w:val="de-DE"/>
        </w:rPr>
        <w:t>konn</w:t>
      </w:r>
      <w:r w:rsidRPr="00EC23E7">
        <w:rPr>
          <w:i/>
          <w:iCs/>
          <w:sz w:val="20"/>
          <w:szCs w:val="20"/>
        </w:rPr>
        <w:t>ík. Komentár.</w:t>
      </w:r>
      <w:r w:rsidRPr="00EC23E7">
        <w:rPr>
          <w:sz w:val="20"/>
          <w:szCs w:val="20"/>
        </w:rPr>
        <w:t xml:space="preserve"> Bratislava: IURA EDITION, spol. s r.o., 2008, s. 548 - 549</w:t>
      </w:r>
    </w:p>
  </w:footnote>
  <w:footnote w:id="70">
    <w:p w:rsidR="00E8547E" w:rsidRDefault="00E8547E" w:rsidP="00F73F6E">
      <w:pPr>
        <w:pStyle w:val="Textpoznpodarou"/>
        <w:spacing w:line="240" w:lineRule="auto"/>
      </w:pPr>
      <w:r w:rsidRPr="00EC23E7">
        <w:rPr>
          <w:vertAlign w:val="superscript"/>
        </w:rPr>
        <w:footnoteRef/>
      </w:r>
      <w:r w:rsidRPr="00EC23E7">
        <w:t xml:space="preserve"> Ust. § 195 odst. 2 ZOK.</w:t>
      </w:r>
    </w:p>
  </w:footnote>
  <w:footnote w:id="71">
    <w:p w:rsidR="00E8547E" w:rsidRDefault="00E8547E" w:rsidP="00F73F6E">
      <w:pPr>
        <w:pStyle w:val="Textpoznpodarou"/>
        <w:spacing w:line="240" w:lineRule="auto"/>
      </w:pPr>
      <w:r>
        <w:rPr>
          <w:vertAlign w:val="superscript"/>
        </w:rPr>
        <w:footnoteRef/>
      </w:r>
      <w:r>
        <w:t xml:space="preserve"> Ust. § 51 odst. 2 ZOK. </w:t>
      </w:r>
    </w:p>
  </w:footnote>
  <w:footnote w:id="72">
    <w:p w:rsidR="00E8547E" w:rsidRDefault="00E8547E" w:rsidP="00F73F6E">
      <w:pPr>
        <w:pStyle w:val="Textpoznpodarou"/>
        <w:spacing w:line="240" w:lineRule="auto"/>
      </w:pPr>
      <w:r>
        <w:rPr>
          <w:vertAlign w:val="superscript"/>
        </w:rPr>
        <w:footnoteRef/>
      </w:r>
      <w:r>
        <w:t xml:space="preserve"> Srov. ŠTENGLOVÁ</w:t>
      </w:r>
      <w:r>
        <w:rPr>
          <w:lang w:val="nl-NL"/>
        </w:rPr>
        <w:t xml:space="preserve">, Ivana, HAVEL, Bohumil. In </w:t>
      </w:r>
      <w:r>
        <w:t xml:space="preserve">ŠTENGLOVÁ, Ivana a kol. (ed). </w:t>
      </w:r>
      <w:r>
        <w:rPr>
          <w:i/>
          <w:iCs/>
        </w:rPr>
        <w:t>Zákon o obchodních korporacích...,</w:t>
      </w:r>
      <w:r>
        <w:t xml:space="preserve"> s. 136 - 137. </w:t>
      </w:r>
    </w:p>
  </w:footnote>
  <w:footnote w:id="73">
    <w:p w:rsidR="00E8547E" w:rsidRDefault="00E8547E" w:rsidP="00F73F6E">
      <w:pPr>
        <w:pStyle w:val="Textpoznpodarou"/>
        <w:spacing w:line="240" w:lineRule="auto"/>
      </w:pPr>
      <w:r>
        <w:rPr>
          <w:vertAlign w:val="superscript"/>
        </w:rPr>
        <w:footnoteRef/>
      </w:r>
      <w:r>
        <w:t xml:space="preserve"> Tamtéž, s. 138. </w:t>
      </w:r>
    </w:p>
  </w:footnote>
  <w:footnote w:id="74">
    <w:p w:rsidR="00E8547E" w:rsidRDefault="00E8547E" w:rsidP="00F73F6E">
      <w:pPr>
        <w:pStyle w:val="Textpoznpodarou"/>
        <w:spacing w:line="240" w:lineRule="auto"/>
      </w:pPr>
      <w:r>
        <w:rPr>
          <w:vertAlign w:val="superscript"/>
        </w:rPr>
        <w:footnoteRef/>
      </w:r>
      <w:r>
        <w:t xml:space="preserve"> Srov. tamtéž s. 138.</w:t>
      </w:r>
    </w:p>
  </w:footnote>
  <w:footnote w:id="75">
    <w:p w:rsidR="00E8547E" w:rsidRDefault="00E8547E" w:rsidP="00F73F6E">
      <w:pPr>
        <w:pStyle w:val="Textpoznpodarou"/>
        <w:spacing w:line="240" w:lineRule="auto"/>
      </w:pPr>
      <w:r>
        <w:rPr>
          <w:vertAlign w:val="superscript"/>
        </w:rPr>
        <w:footnoteRef/>
      </w:r>
      <w:r>
        <w:t xml:space="preserve"> Srov. tamtéž. </w:t>
      </w:r>
    </w:p>
  </w:footnote>
  <w:footnote w:id="76">
    <w:p w:rsidR="00E8547E" w:rsidRDefault="00E8547E" w:rsidP="00F73F6E">
      <w:pPr>
        <w:pStyle w:val="Textpoznpodarou"/>
        <w:spacing w:line="240" w:lineRule="auto"/>
      </w:pPr>
      <w:r>
        <w:rPr>
          <w:vertAlign w:val="superscript"/>
        </w:rPr>
        <w:footnoteRef/>
      </w:r>
      <w:r>
        <w:t xml:space="preserve"> Srov. tamtéž s. 137 - 138.</w:t>
      </w:r>
    </w:p>
  </w:footnote>
  <w:footnote w:id="77">
    <w:p w:rsidR="00E8547E" w:rsidRDefault="00E8547E" w:rsidP="00F73F6E">
      <w:pPr>
        <w:pStyle w:val="Textpoznpodarou"/>
        <w:spacing w:line="240" w:lineRule="auto"/>
      </w:pPr>
      <w:r>
        <w:rPr>
          <w:vertAlign w:val="superscript"/>
        </w:rPr>
        <w:footnoteRef/>
      </w:r>
      <w:r>
        <w:t xml:space="preserve"> Tamtéž s. 138.</w:t>
      </w:r>
    </w:p>
  </w:footnote>
  <w:footnote w:id="78">
    <w:p w:rsidR="00E8547E" w:rsidRPr="005F62A4" w:rsidRDefault="00E8547E" w:rsidP="00F73F6E">
      <w:pPr>
        <w:spacing w:line="240" w:lineRule="auto"/>
      </w:pPr>
      <w:r>
        <w:rPr>
          <w:vertAlign w:val="superscript"/>
        </w:rPr>
        <w:footnoteRef/>
      </w:r>
      <w:r w:rsidRPr="005F62A4">
        <w:rPr>
          <w:sz w:val="20"/>
          <w:szCs w:val="20"/>
        </w:rPr>
        <w:t xml:space="preserve"> Srov. tamtéž s. 136 . </w:t>
      </w:r>
    </w:p>
  </w:footnote>
  <w:footnote w:id="79">
    <w:p w:rsidR="00E8547E" w:rsidRDefault="00E8547E" w:rsidP="00F73F6E">
      <w:pPr>
        <w:spacing w:line="240" w:lineRule="auto"/>
      </w:pPr>
      <w:r>
        <w:rPr>
          <w:vertAlign w:val="superscript"/>
        </w:rPr>
        <w:footnoteRef/>
      </w:r>
      <w:r>
        <w:rPr>
          <w:sz w:val="20"/>
          <w:szCs w:val="20"/>
        </w:rPr>
        <w:t xml:space="preserve"> DVOŘÁK: Společnost s ručením omezeným, s. 309 - 310.</w:t>
      </w:r>
    </w:p>
  </w:footnote>
  <w:footnote w:id="80">
    <w:p w:rsidR="00E8547E" w:rsidRDefault="00E8547E" w:rsidP="00F73F6E">
      <w:pPr>
        <w:pStyle w:val="Textpoznpodarou"/>
        <w:spacing w:line="240" w:lineRule="auto"/>
      </w:pPr>
      <w:r>
        <w:rPr>
          <w:vertAlign w:val="superscript"/>
        </w:rPr>
        <w:footnoteRef/>
      </w:r>
      <w:r>
        <w:t xml:space="preserve"> Srov. HÁMORSKÁ, Andrea. Povinnost členů orgánů obchodních korporací jednat s péčí řádného hospodáře po rekodifikaci. </w:t>
      </w:r>
      <w:r>
        <w:rPr>
          <w:i/>
          <w:iCs/>
        </w:rPr>
        <w:t>Obchodněprávní revue</w:t>
      </w:r>
      <w:r>
        <w:t xml:space="preserve">, 2012, roč. 4, č. 9, s. 250 a též BALÝOVÁ, Lucie. Péče řádného hospodáře ve volených orgánech obchodních korporací ve světle rekodifikace, </w:t>
      </w:r>
      <w:r>
        <w:rPr>
          <w:i/>
          <w:iCs/>
        </w:rPr>
        <w:t>Obchodněprávní revue</w:t>
      </w:r>
      <w:r>
        <w:t>, 2014, roč. 6,  č. 7-8s. 212.</w:t>
      </w:r>
    </w:p>
  </w:footnote>
  <w:footnote w:id="81">
    <w:p w:rsidR="00E8547E" w:rsidRDefault="00E8547E" w:rsidP="00F73F6E">
      <w:pPr>
        <w:pStyle w:val="Textpoznpodarou"/>
        <w:spacing w:line="240" w:lineRule="auto"/>
      </w:pPr>
      <w:r>
        <w:rPr>
          <w:vertAlign w:val="superscript"/>
        </w:rPr>
        <w:footnoteRef/>
      </w:r>
      <w:r>
        <w:t xml:space="preserve"> Usnesení Nejvyššího soudu ČR ze dne 18. října 2006, sp. zn. 5 Tdo 1224/2006.</w:t>
      </w:r>
    </w:p>
  </w:footnote>
  <w:footnote w:id="82">
    <w:p w:rsidR="00E8547E" w:rsidRDefault="00E8547E" w:rsidP="00F73F6E">
      <w:pPr>
        <w:pStyle w:val="Textpoznpodarou"/>
        <w:spacing w:line="240" w:lineRule="auto"/>
      </w:pPr>
      <w:r>
        <w:rPr>
          <w:vertAlign w:val="superscript"/>
        </w:rPr>
        <w:footnoteRef/>
      </w:r>
      <w:r>
        <w:t xml:space="preserve"> Shodně BALÝOVÁ: </w:t>
      </w:r>
      <w:r>
        <w:rPr>
          <w:i/>
          <w:iCs/>
        </w:rPr>
        <w:t>Péče řádného hospodáře</w:t>
      </w:r>
      <w:r>
        <w:t xml:space="preserve"> ... s. 212 - 213.</w:t>
      </w:r>
    </w:p>
  </w:footnote>
  <w:footnote w:id="83">
    <w:p w:rsidR="00E8547E" w:rsidRPr="00EC23E7" w:rsidRDefault="00E8547E" w:rsidP="00F73F6E">
      <w:pPr>
        <w:pStyle w:val="Textpoznpodarou"/>
        <w:spacing w:line="240" w:lineRule="auto"/>
      </w:pPr>
      <w:r w:rsidRPr="00EC23E7">
        <w:rPr>
          <w:vertAlign w:val="superscript"/>
        </w:rPr>
        <w:footnoteRef/>
      </w:r>
      <w:r w:rsidRPr="00EC23E7">
        <w:t xml:space="preserve"> ČECH, Petr. Péče řádného hospodáře a povinnost loajality. </w:t>
      </w:r>
      <w:r w:rsidRPr="00EC23E7">
        <w:rPr>
          <w:i/>
          <w:iCs/>
        </w:rPr>
        <w:t xml:space="preserve">Právní rádce, </w:t>
      </w:r>
      <w:r w:rsidRPr="00EC23E7">
        <w:t xml:space="preserve">2007, roč. 15, č. 3 s. 5. </w:t>
      </w:r>
    </w:p>
  </w:footnote>
  <w:footnote w:id="84">
    <w:p w:rsidR="00E8547E" w:rsidRPr="00EC23E7" w:rsidRDefault="00E8547E" w:rsidP="00F73F6E">
      <w:pPr>
        <w:pStyle w:val="Textpoznpodarou"/>
        <w:spacing w:line="240" w:lineRule="auto"/>
      </w:pPr>
      <w:r w:rsidRPr="00EC23E7">
        <w:rPr>
          <w:vertAlign w:val="superscript"/>
        </w:rPr>
        <w:footnoteRef/>
      </w:r>
      <w:r w:rsidRPr="00EC23E7">
        <w:t xml:space="preserve"> Rozsudek NS ČR ze dne 24.10.2012, sp.zn. 29 Cdo 3191/2010.</w:t>
      </w:r>
    </w:p>
  </w:footnote>
  <w:footnote w:id="85">
    <w:p w:rsidR="00E8547E" w:rsidRPr="00EC23E7" w:rsidRDefault="00E8547E" w:rsidP="00F73F6E">
      <w:pPr>
        <w:pStyle w:val="Textpoznpodarou"/>
        <w:spacing w:line="240" w:lineRule="auto"/>
      </w:pPr>
      <w:r w:rsidRPr="00EC23E7">
        <w:rPr>
          <w:vertAlign w:val="superscript"/>
        </w:rPr>
        <w:footnoteRef/>
      </w:r>
      <w:r w:rsidRPr="00EC23E7">
        <w:t xml:space="preserve"> JOSKOVÁ, Lucie. Povinnost loajality v akciové společnosti. </w:t>
      </w:r>
      <w:r w:rsidRPr="00EC23E7">
        <w:rPr>
          <w:i/>
          <w:iCs/>
        </w:rPr>
        <w:t>Obchodn</w:t>
      </w:r>
      <w:r w:rsidRPr="00EC23E7">
        <w:t>ě</w:t>
      </w:r>
      <w:r w:rsidRPr="00EC23E7">
        <w:rPr>
          <w:i/>
          <w:iCs/>
        </w:rPr>
        <w:t>pr</w:t>
      </w:r>
      <w:r w:rsidRPr="00EC23E7">
        <w:t>á</w:t>
      </w:r>
      <w:r w:rsidRPr="00EC23E7">
        <w:rPr>
          <w:i/>
          <w:iCs/>
        </w:rPr>
        <w:t>vn</w:t>
      </w:r>
      <w:r w:rsidRPr="00EC23E7">
        <w:t xml:space="preserve">í </w:t>
      </w:r>
      <w:r w:rsidRPr="00EC23E7">
        <w:rPr>
          <w:i/>
          <w:iCs/>
        </w:rPr>
        <w:t>revue</w:t>
      </w:r>
      <w:r w:rsidRPr="00EC23E7">
        <w:t xml:space="preserve"> , 2011, roč. 3, č. 9, s. 259.</w:t>
      </w:r>
    </w:p>
  </w:footnote>
  <w:footnote w:id="86">
    <w:p w:rsidR="00E8547E" w:rsidRPr="00EC23E7" w:rsidRDefault="00E8547E" w:rsidP="00F73F6E">
      <w:pPr>
        <w:pStyle w:val="Textpoznpodarou"/>
        <w:spacing w:line="240" w:lineRule="auto"/>
      </w:pPr>
      <w:r w:rsidRPr="00EC23E7">
        <w:rPr>
          <w:vertAlign w:val="superscript"/>
        </w:rPr>
        <w:footnoteRef/>
      </w:r>
      <w:r w:rsidRPr="00EC23E7">
        <w:t xml:space="preserve"> ELIÁŠ</w:t>
      </w:r>
      <w:r w:rsidRPr="00EC23E7">
        <w:rPr>
          <w:lang w:val="en-US"/>
        </w:rPr>
        <w:t>, Karel. In ELI</w:t>
      </w:r>
      <w:r w:rsidRPr="00EC23E7">
        <w:t xml:space="preserve">ÁŠ, Karel a kol. </w:t>
      </w:r>
      <w:r w:rsidRPr="00EC23E7">
        <w:rPr>
          <w:i/>
          <w:iCs/>
        </w:rPr>
        <w:t>Kurs obchodn</w:t>
      </w:r>
      <w:r w:rsidRPr="00EC23E7">
        <w:t>í</w:t>
      </w:r>
      <w:r w:rsidRPr="00EC23E7">
        <w:rPr>
          <w:i/>
          <w:iCs/>
        </w:rPr>
        <w:t>ho pr</w:t>
      </w:r>
      <w:r w:rsidRPr="00EC23E7">
        <w:t>á</w:t>
      </w:r>
      <w:r w:rsidRPr="00EC23E7">
        <w:rPr>
          <w:i/>
          <w:iCs/>
        </w:rPr>
        <w:t>va. Pr</w:t>
      </w:r>
      <w:r w:rsidRPr="00EC23E7">
        <w:t>á</w:t>
      </w:r>
      <w:r w:rsidRPr="00EC23E7">
        <w:rPr>
          <w:i/>
          <w:iCs/>
        </w:rPr>
        <w:t>vnick</w:t>
      </w:r>
      <w:r w:rsidRPr="00EC23E7">
        <w:t xml:space="preserve">é </w:t>
      </w:r>
      <w:r w:rsidRPr="00EC23E7">
        <w:rPr>
          <w:i/>
          <w:iCs/>
        </w:rPr>
        <w:t>osoby jako podnikatel</w:t>
      </w:r>
      <w:r w:rsidRPr="00EC23E7">
        <w:t>é</w:t>
      </w:r>
      <w:r w:rsidRPr="00EC23E7">
        <w:rPr>
          <w:i/>
          <w:iCs/>
        </w:rPr>
        <w:t xml:space="preserve">. </w:t>
      </w:r>
      <w:r w:rsidRPr="00EC23E7">
        <w:t xml:space="preserve">5. vydání. Praha: C. H. Beck, 2005, s. 298. </w:t>
      </w:r>
    </w:p>
  </w:footnote>
  <w:footnote w:id="87">
    <w:p w:rsidR="00E8547E" w:rsidRPr="00EC23E7" w:rsidRDefault="00E8547E" w:rsidP="00F73F6E">
      <w:pPr>
        <w:pStyle w:val="Textpoznpodarou"/>
        <w:spacing w:line="240" w:lineRule="auto"/>
      </w:pPr>
      <w:r w:rsidRPr="00EC23E7">
        <w:rPr>
          <w:vertAlign w:val="superscript"/>
        </w:rPr>
        <w:footnoteRef/>
      </w:r>
      <w:r w:rsidRPr="00EC23E7">
        <w:t xml:space="preserve"> ČERNÁ, Stanislava. K některým aspektům zájmů kapitálové společnosti. In ČERNÁ, Stanislava, ČECH, Petr (ed). </w:t>
      </w:r>
      <w:r w:rsidRPr="00EC23E7">
        <w:rPr>
          <w:i/>
          <w:iCs/>
        </w:rPr>
        <w:t>Pr</w:t>
      </w:r>
      <w:r w:rsidRPr="00EC23E7">
        <w:t>á</w:t>
      </w:r>
      <w:r w:rsidRPr="00EC23E7">
        <w:rPr>
          <w:i/>
          <w:iCs/>
        </w:rPr>
        <w:t>vo spole</w:t>
      </w:r>
      <w:r w:rsidRPr="00EC23E7">
        <w:t>č</w:t>
      </w:r>
      <w:r w:rsidRPr="00EC23E7">
        <w:rPr>
          <w:i/>
          <w:iCs/>
        </w:rPr>
        <w:t>nost</w:t>
      </w:r>
      <w:r w:rsidRPr="00EC23E7">
        <w:t>í</w:t>
      </w:r>
      <w:r w:rsidRPr="00EC23E7">
        <w:rPr>
          <w:i/>
          <w:iCs/>
        </w:rPr>
        <w:t>-ohlednut</w:t>
      </w:r>
      <w:r w:rsidRPr="00EC23E7">
        <w:t xml:space="preserve">í </w:t>
      </w:r>
      <w:r w:rsidRPr="00EC23E7">
        <w:rPr>
          <w:i/>
          <w:iCs/>
        </w:rPr>
        <w:t>za dv</w:t>
      </w:r>
      <w:r w:rsidRPr="00EC23E7">
        <w:t>ě</w:t>
      </w:r>
      <w:r w:rsidRPr="00EC23E7">
        <w:rPr>
          <w:i/>
          <w:iCs/>
        </w:rPr>
        <w:t>ma desetilet</w:t>
      </w:r>
      <w:r w:rsidRPr="00EC23E7">
        <w:t>í</w:t>
      </w:r>
      <w:r w:rsidRPr="00EC23E7">
        <w:rPr>
          <w:i/>
          <w:iCs/>
        </w:rPr>
        <w:t xml:space="preserve">mi </w:t>
      </w:r>
      <w:r w:rsidRPr="00EC23E7">
        <w:t>úč</w:t>
      </w:r>
      <w:r w:rsidRPr="00EC23E7">
        <w:rPr>
          <w:i/>
          <w:iCs/>
        </w:rPr>
        <w:t>innosti obchodn</w:t>
      </w:r>
      <w:r w:rsidRPr="00EC23E7">
        <w:t>í</w:t>
      </w:r>
      <w:r w:rsidRPr="00EC23E7">
        <w:rPr>
          <w:i/>
          <w:iCs/>
        </w:rPr>
        <w:t>ho z</w:t>
      </w:r>
      <w:r w:rsidRPr="00EC23E7">
        <w:t>á</w:t>
      </w:r>
      <w:r w:rsidRPr="00EC23E7">
        <w:rPr>
          <w:i/>
          <w:iCs/>
        </w:rPr>
        <w:t>kon</w:t>
      </w:r>
      <w:r w:rsidRPr="00EC23E7">
        <w:t>í</w:t>
      </w:r>
      <w:r w:rsidRPr="00EC23E7">
        <w:rPr>
          <w:i/>
          <w:iCs/>
        </w:rPr>
        <w:t>ku. Pocta Ivan</w:t>
      </w:r>
      <w:r w:rsidRPr="00EC23E7">
        <w:t>ě Š</w:t>
      </w:r>
      <w:r w:rsidRPr="00EC23E7">
        <w:rPr>
          <w:i/>
          <w:iCs/>
        </w:rPr>
        <w:t>tenglov</w:t>
      </w:r>
      <w:r w:rsidRPr="00EC23E7">
        <w:t xml:space="preserve">é </w:t>
      </w:r>
      <w:r w:rsidRPr="00EC23E7">
        <w:rPr>
          <w:i/>
          <w:iCs/>
        </w:rPr>
        <w:t>k</w:t>
      </w:r>
      <w:r w:rsidRPr="00EC23E7">
        <w:t> </w:t>
      </w:r>
      <w:r w:rsidRPr="00EC23E7">
        <w:rPr>
          <w:i/>
          <w:iCs/>
        </w:rPr>
        <w:t>70. narozenin</w:t>
      </w:r>
      <w:r w:rsidRPr="00EC23E7">
        <w:t>á</w:t>
      </w:r>
      <w:r w:rsidRPr="00EC23E7">
        <w:rPr>
          <w:i/>
          <w:iCs/>
        </w:rPr>
        <w:t>m.</w:t>
      </w:r>
      <w:r w:rsidRPr="00EC23E7">
        <w:t xml:space="preserve"> Praha: C. H. Beck, 2012, s. 63.</w:t>
      </w:r>
    </w:p>
  </w:footnote>
  <w:footnote w:id="88">
    <w:p w:rsidR="00E8547E" w:rsidRDefault="00E8547E" w:rsidP="00F73F6E">
      <w:pPr>
        <w:pStyle w:val="Textpoznpodarou"/>
        <w:spacing w:line="240" w:lineRule="auto"/>
      </w:pPr>
      <w:r w:rsidRPr="00EC23E7">
        <w:rPr>
          <w:vertAlign w:val="superscript"/>
        </w:rPr>
        <w:footnoteRef/>
      </w:r>
      <w:r w:rsidRPr="00EC23E7">
        <w:t xml:space="preserve"> Pozn. Dle ust. § 135a SObchZ jsou jednatelé povinni zachovávat mlčenlivost o důvěrných informacích a skutečnostech, jejichž prozrazení třetím osobám by mohlo společnosti způsobit škodu nebo ohrozit její zájmy nebo zájmy jejích společníků, a při výkonu své působnosti nesmí upřednostňovat svoje zájmy, zájmy některých společníků nebo zájmy třetích osob př</w:t>
      </w:r>
      <w:r w:rsidRPr="00EC23E7">
        <w:rPr>
          <w:lang w:val="da-DK"/>
        </w:rPr>
        <w:t>ed z</w:t>
      </w:r>
      <w:r w:rsidRPr="00EC23E7">
        <w:t>ájmy společnosti.</w:t>
      </w:r>
      <w:r>
        <w:t xml:space="preserve"> </w:t>
      </w:r>
    </w:p>
  </w:footnote>
  <w:footnote w:id="89">
    <w:p w:rsidR="00E8547E" w:rsidRPr="00EC23E7" w:rsidRDefault="00E8547E" w:rsidP="00F73F6E">
      <w:pPr>
        <w:pStyle w:val="Textpoznpodarou"/>
        <w:spacing w:line="240" w:lineRule="auto"/>
      </w:pPr>
      <w:r w:rsidRPr="00EC23E7">
        <w:rPr>
          <w:vertAlign w:val="superscript"/>
        </w:rPr>
        <w:footnoteRef/>
      </w:r>
      <w:r w:rsidRPr="00EC23E7">
        <w:t xml:space="preserve"> Ust. § 212 odst. 1 OZ.</w:t>
      </w:r>
    </w:p>
  </w:footnote>
  <w:footnote w:id="90">
    <w:p w:rsidR="00E8547E" w:rsidRPr="00EC23E7" w:rsidRDefault="00E8547E" w:rsidP="00F73F6E">
      <w:pPr>
        <w:pStyle w:val="Textpoznpodarou"/>
        <w:spacing w:line="240" w:lineRule="auto"/>
      </w:pPr>
      <w:r w:rsidRPr="00EC23E7">
        <w:rPr>
          <w:vertAlign w:val="superscript"/>
        </w:rPr>
        <w:footnoteRef/>
      </w:r>
      <w:r w:rsidRPr="00EC23E7">
        <w:t xml:space="preserve"> Blíže LASÁ</w:t>
      </w:r>
      <w:r w:rsidRPr="00EC23E7">
        <w:rPr>
          <w:lang w:val="en-US"/>
        </w:rPr>
        <w:t>K, Jan, KOUKAL, Pavel. In LAVICK</w:t>
      </w:r>
      <w:r w:rsidRPr="00EC23E7">
        <w:t xml:space="preserve">Ý, Petr a kol. (ed). </w:t>
      </w:r>
      <w:r w:rsidRPr="00EC23E7">
        <w:rPr>
          <w:i/>
          <w:iCs/>
        </w:rPr>
        <w:t>Občanský zákoník I...</w:t>
      </w:r>
      <w:r w:rsidRPr="00EC23E7">
        <w:t xml:space="preserve">s. 1075 - 1079. </w:t>
      </w:r>
    </w:p>
  </w:footnote>
  <w:footnote w:id="91">
    <w:p w:rsidR="00E8547E" w:rsidRPr="00EC23E7" w:rsidRDefault="00E8547E" w:rsidP="00F73F6E">
      <w:pPr>
        <w:pStyle w:val="Textpoznpodarou"/>
        <w:spacing w:line="240" w:lineRule="auto"/>
      </w:pPr>
      <w:r w:rsidRPr="00EC23E7">
        <w:rPr>
          <w:vertAlign w:val="superscript"/>
        </w:rPr>
        <w:footnoteRef/>
      </w:r>
      <w:r w:rsidRPr="00EC23E7">
        <w:t xml:space="preserve"> Srov. ust. § 51 odst. 1 ZOK. </w:t>
      </w:r>
    </w:p>
  </w:footnote>
  <w:footnote w:id="92">
    <w:p w:rsidR="00E8547E" w:rsidRPr="00EC23E7" w:rsidRDefault="00E8547E" w:rsidP="00F73F6E">
      <w:pPr>
        <w:pStyle w:val="Textpoznpodarou"/>
        <w:spacing w:line="240" w:lineRule="auto"/>
      </w:pPr>
      <w:r w:rsidRPr="00EC23E7">
        <w:rPr>
          <w:vertAlign w:val="superscript"/>
        </w:rPr>
        <w:footnoteRef/>
      </w:r>
      <w:r w:rsidRPr="00EC23E7">
        <w:t xml:space="preserve"> </w:t>
      </w:r>
      <w:r w:rsidRPr="00EC23E7">
        <w:rPr>
          <w:i/>
          <w:iCs/>
          <w:lang w:val="en-US"/>
        </w:rPr>
        <w:t xml:space="preserve">What is the business judgment rule? </w:t>
      </w:r>
      <w:r w:rsidRPr="00EC23E7">
        <w:t xml:space="preserve">[online]. Rotlaw.com [cit. 25.1.2015].  Dostupné </w:t>
      </w:r>
      <w:r w:rsidRPr="00EC23E7">
        <w:rPr>
          <w:lang w:val="en-US"/>
        </w:rPr>
        <w:t>na &lt;http://www.rotlaw.com/legal-library/what-is-the-business-judgment-rule/&gt;</w:t>
      </w:r>
    </w:p>
  </w:footnote>
  <w:footnote w:id="93">
    <w:p w:rsidR="00E8547E" w:rsidRDefault="00E8547E" w:rsidP="00F73F6E">
      <w:pPr>
        <w:pStyle w:val="Bezmezer"/>
        <w:spacing w:line="240" w:lineRule="auto"/>
      </w:pPr>
      <w:r w:rsidRPr="00EC23E7">
        <w:rPr>
          <w:sz w:val="20"/>
          <w:szCs w:val="20"/>
          <w:vertAlign w:val="superscript"/>
        </w:rPr>
        <w:footnoteRef/>
      </w:r>
      <w:r w:rsidRPr="00EC23E7">
        <w:rPr>
          <w:sz w:val="20"/>
          <w:szCs w:val="20"/>
        </w:rPr>
        <w:t xml:space="preserve"> Např. Rozsudek Nejvyššího soudu České ČR ze dne 30. 3. 2011, sp. zn. 29 Cdo 4276/2009 viz právní vě</w:t>
      </w:r>
      <w:r w:rsidRPr="00EC23E7">
        <w:rPr>
          <w:sz w:val="20"/>
          <w:szCs w:val="20"/>
          <w:lang w:val="fr-FR"/>
        </w:rPr>
        <w:t>ta: Neuplatn</w:t>
      </w:r>
      <w:r w:rsidRPr="00EC23E7">
        <w:rPr>
          <w:sz w:val="20"/>
          <w:szCs w:val="20"/>
        </w:rPr>
        <w:t>ění pohledávek nemusí být samo o sobě porušením povinnosti jednat s náležitou péčí. Pro úvahu, zda byl jednatel povinen pohledávky vymáhat, je významné (mimo jiné) i posouzení případné úspěšnosti takového postupu</w:t>
      </w:r>
      <w:r>
        <w:rPr>
          <w:sz w:val="20"/>
          <w:szCs w:val="20"/>
        </w:rPr>
        <w:t xml:space="preserve"> a reálnosti její</w:t>
      </w:r>
      <w:r>
        <w:rPr>
          <w:sz w:val="20"/>
          <w:szCs w:val="20"/>
          <w:lang w:val="es-ES_tradnl"/>
        </w:rPr>
        <w:t>ho (alespo</w:t>
      </w:r>
      <w:r>
        <w:rPr>
          <w:sz w:val="20"/>
          <w:szCs w:val="20"/>
        </w:rPr>
        <w:t>ň částečného) vymožení.Skutečnost, zda jednatel bude pohledávky společnosti vymáhat, je věcí jeho úvahy v rámci obchodního vedení, jež musí být učiněna s ohledem na všechny okolnosti.</w:t>
      </w:r>
    </w:p>
  </w:footnote>
  <w:footnote w:id="94">
    <w:p w:rsidR="00E8547E" w:rsidRDefault="00E8547E" w:rsidP="00F73F6E">
      <w:pPr>
        <w:pStyle w:val="Bezmezer"/>
        <w:spacing w:line="240" w:lineRule="auto"/>
      </w:pPr>
      <w:r>
        <w:rPr>
          <w:vertAlign w:val="superscript"/>
        </w:rPr>
        <w:footnoteRef/>
      </w:r>
      <w:r>
        <w:rPr>
          <w:sz w:val="20"/>
          <w:szCs w:val="20"/>
        </w:rPr>
        <w:t xml:space="preserve"> Ust. § 52 odst. 1 ZOK.</w:t>
      </w:r>
    </w:p>
  </w:footnote>
  <w:footnote w:id="95">
    <w:p w:rsidR="00E8547E" w:rsidRDefault="00E8547E" w:rsidP="00F73F6E">
      <w:pPr>
        <w:pStyle w:val="Textpoznpodarou"/>
        <w:spacing w:line="240" w:lineRule="auto"/>
      </w:pPr>
      <w:r>
        <w:rPr>
          <w:vertAlign w:val="superscript"/>
        </w:rPr>
        <w:footnoteRef/>
      </w:r>
      <w:r>
        <w:t xml:space="preserve"> Totožně HÁMORSKÁ: </w:t>
      </w:r>
      <w:r>
        <w:rPr>
          <w:i/>
          <w:iCs/>
        </w:rPr>
        <w:t>Povinnost členů orgánů</w:t>
      </w:r>
      <w:r>
        <w:t xml:space="preserve"> ..., s. 250 - 251.</w:t>
      </w:r>
    </w:p>
  </w:footnote>
  <w:footnote w:id="96">
    <w:p w:rsidR="00E8547E" w:rsidRDefault="00E8547E" w:rsidP="00F73F6E">
      <w:pPr>
        <w:pStyle w:val="Textpoznpodarou"/>
        <w:spacing w:line="240" w:lineRule="auto"/>
      </w:pPr>
      <w:r>
        <w:rPr>
          <w:vertAlign w:val="superscript"/>
        </w:rPr>
        <w:footnoteRef/>
      </w:r>
      <w:r>
        <w:t xml:space="preserve"> Rozsudek NS ČR ze dne 30.7.2008, sp. zn. 29 Odo 1262/2006.</w:t>
      </w:r>
    </w:p>
  </w:footnote>
  <w:footnote w:id="97">
    <w:p w:rsidR="00E8547E" w:rsidRDefault="00E8547E" w:rsidP="00F73F6E">
      <w:pPr>
        <w:pStyle w:val="Textpoznpodarou"/>
        <w:spacing w:line="240" w:lineRule="auto"/>
      </w:pPr>
      <w:r>
        <w:rPr>
          <w:vertAlign w:val="superscript"/>
        </w:rPr>
        <w:footnoteRef/>
      </w:r>
      <w:r>
        <w:t xml:space="preserve"> Usnesení NS ČR ze dne 22.6.2012, sp. zn. 29 Cdo 1356/2011.</w:t>
      </w:r>
    </w:p>
  </w:footnote>
  <w:footnote w:id="98">
    <w:p w:rsidR="00E8547E" w:rsidRDefault="00E8547E" w:rsidP="00F73F6E">
      <w:pPr>
        <w:pStyle w:val="Textpoznpodarou"/>
        <w:spacing w:line="240" w:lineRule="auto"/>
      </w:pPr>
      <w:r>
        <w:rPr>
          <w:vertAlign w:val="superscript"/>
        </w:rPr>
        <w:footnoteRef/>
      </w:r>
      <w:r>
        <w:t xml:space="preserve"> Viz ust. § 52 odst. 2 ZOK.</w:t>
      </w:r>
    </w:p>
  </w:footnote>
  <w:footnote w:id="99">
    <w:p w:rsidR="00E8547E" w:rsidRDefault="00E8547E" w:rsidP="00F73F6E">
      <w:pPr>
        <w:pStyle w:val="Textpoznpodarou"/>
        <w:spacing w:line="240" w:lineRule="auto"/>
      </w:pPr>
      <w:r>
        <w:rPr>
          <w:vertAlign w:val="superscript"/>
        </w:rPr>
        <w:footnoteRef/>
      </w:r>
      <w:r>
        <w:t xml:space="preserve"> Viz ust. § 757 ve spojení s ust. § 373 ObchZ.</w:t>
      </w:r>
    </w:p>
  </w:footnote>
  <w:footnote w:id="100">
    <w:p w:rsidR="00E8547E" w:rsidRDefault="00E8547E" w:rsidP="00F73F6E">
      <w:pPr>
        <w:pStyle w:val="Textpoznpodarou"/>
        <w:spacing w:line="240" w:lineRule="auto"/>
      </w:pPr>
      <w:r>
        <w:rPr>
          <w:vertAlign w:val="superscript"/>
        </w:rPr>
        <w:footnoteRef/>
      </w:r>
      <w:r>
        <w:t xml:space="preserve"> Srov. HÁMORSKÁ: </w:t>
      </w:r>
      <w:r>
        <w:rPr>
          <w:i/>
          <w:iCs/>
        </w:rPr>
        <w:t>Povinnost členů orgánů</w:t>
      </w:r>
      <w:r>
        <w:t xml:space="preserve"> ..., s. 252.</w:t>
      </w:r>
    </w:p>
  </w:footnote>
  <w:footnote w:id="101">
    <w:p w:rsidR="00E8547E" w:rsidRDefault="00E8547E" w:rsidP="00F73F6E">
      <w:pPr>
        <w:pStyle w:val="Textpoznpodarou"/>
        <w:spacing w:line="240" w:lineRule="auto"/>
      </w:pPr>
      <w:r>
        <w:rPr>
          <w:vertAlign w:val="superscript"/>
        </w:rPr>
        <w:footnoteRef/>
      </w:r>
      <w:r>
        <w:t xml:space="preserve"> PIHERA, Vlastimil. Tvrdé já</w:t>
      </w:r>
      <w:r>
        <w:rPr>
          <w:lang w:val="it-IT"/>
        </w:rPr>
        <w:t>dro a</w:t>
      </w:r>
      <w:r>
        <w:t xml:space="preserve"> měkká slupka. Úvaha o odpovědnosti managementu kapitálových společností. </w:t>
      </w:r>
      <w:r>
        <w:rPr>
          <w:i/>
          <w:iCs/>
        </w:rPr>
        <w:t>Obchodněprávní revue</w:t>
      </w:r>
      <w:r>
        <w:t xml:space="preserve">, 2012, roč. 4, č. 5, s. 147 a též HÁMORSKÁ: </w:t>
      </w:r>
      <w:r>
        <w:rPr>
          <w:i/>
          <w:iCs/>
        </w:rPr>
        <w:t>Povinnost členů orgánů</w:t>
      </w:r>
      <w:r>
        <w:t xml:space="preserve"> ..., s. 253.</w:t>
      </w:r>
    </w:p>
  </w:footnote>
  <w:footnote w:id="102">
    <w:p w:rsidR="00E8547E" w:rsidRDefault="00E8547E" w:rsidP="00F73F6E">
      <w:pPr>
        <w:pStyle w:val="Textpoznpodarou"/>
        <w:spacing w:line="240" w:lineRule="auto"/>
      </w:pPr>
      <w:r>
        <w:rPr>
          <w:vertAlign w:val="superscript"/>
        </w:rPr>
        <w:footnoteRef/>
      </w:r>
      <w:r>
        <w:t xml:space="preserve"> Pozn. V rámci slovenského obchodního práva jsou dohody o vzdání se nároku na náhradu škody výslovně upraveny, ovšem je nutné splnit 3 podmínky - od vzniku nároku společnosti na náhradu škody uplynuly alespoň 3 roky, souhlas VH, kvalifikovaná menšina hlasů nevznese proti takovému postupu protest prostřednictvím zápisu z VH - viz MAJERIKOVÁ, Má</w:t>
      </w:r>
      <w:r w:rsidRPr="005F62A4">
        <w:t xml:space="preserve">ria. </w:t>
      </w:r>
      <w:r w:rsidRPr="007F720C">
        <w:t>In OVE</w:t>
      </w:r>
      <w:r>
        <w:t xml:space="preserve">ČKOVÁ, Oľga a kol. Obchodnný zákoník, 2008. s. 558. </w:t>
      </w:r>
    </w:p>
  </w:footnote>
  <w:footnote w:id="103">
    <w:p w:rsidR="00E8547E" w:rsidRDefault="00E8547E" w:rsidP="00F73F6E">
      <w:pPr>
        <w:pStyle w:val="Textpoznpodarou"/>
        <w:spacing w:line="240" w:lineRule="auto"/>
      </w:pPr>
      <w:r>
        <w:rPr>
          <w:vertAlign w:val="superscript"/>
        </w:rPr>
        <w:footnoteRef/>
      </w:r>
      <w:r>
        <w:t xml:space="preserve"> Ust. § 159 odst. 2 OZ.  </w:t>
      </w:r>
    </w:p>
  </w:footnote>
  <w:footnote w:id="104">
    <w:p w:rsidR="00E8547E" w:rsidRDefault="00E8547E" w:rsidP="00F73F6E">
      <w:pPr>
        <w:pStyle w:val="Textpoznpodarou"/>
        <w:spacing w:line="240" w:lineRule="auto"/>
      </w:pPr>
      <w:r>
        <w:rPr>
          <w:vertAlign w:val="superscript"/>
        </w:rPr>
        <w:footnoteRef/>
      </w:r>
      <w:r>
        <w:t xml:space="preserve"> Ust. § 156 odst. 1 OZ. </w:t>
      </w:r>
    </w:p>
  </w:footnote>
  <w:footnote w:id="105">
    <w:p w:rsidR="00E8547E" w:rsidRDefault="00E8547E" w:rsidP="00F73F6E">
      <w:pPr>
        <w:pStyle w:val="Textpoznpodarou"/>
        <w:spacing w:line="240" w:lineRule="auto"/>
      </w:pPr>
      <w:r>
        <w:rPr>
          <w:vertAlign w:val="superscript"/>
        </w:rPr>
        <w:footnoteRef/>
      </w:r>
      <w:r>
        <w:t xml:space="preserve"> LASÁ</w:t>
      </w:r>
      <w:r>
        <w:rPr>
          <w:lang w:val="en-US"/>
        </w:rPr>
        <w:t>K, Jan, KOUKAL, Pavel. In LAVICK</w:t>
      </w:r>
      <w:r>
        <w:t xml:space="preserve">Ý, Petr a kol. (ed). </w:t>
      </w:r>
      <w:r>
        <w:rPr>
          <w:i/>
          <w:iCs/>
        </w:rPr>
        <w:t>Občanský zákoník I...</w:t>
      </w:r>
      <w:r>
        <w:t>s. 822.</w:t>
      </w:r>
    </w:p>
  </w:footnote>
  <w:footnote w:id="106">
    <w:p w:rsidR="00E8547E" w:rsidRDefault="00E8547E" w:rsidP="00F73F6E">
      <w:pPr>
        <w:pStyle w:val="Textpoznpodarou"/>
        <w:spacing w:line="240" w:lineRule="auto"/>
      </w:pPr>
      <w:r>
        <w:rPr>
          <w:vertAlign w:val="superscript"/>
        </w:rPr>
        <w:footnoteRef/>
      </w:r>
      <w:r>
        <w:t xml:space="preserve"> DĚDIČ, Jan, LASÁK, Jan. Právnická osoba jako člen orgánu obchodní korporace - vybrané otázky (1. část). </w:t>
      </w:r>
      <w:r>
        <w:rPr>
          <w:i/>
          <w:iCs/>
        </w:rPr>
        <w:t>Obchodněprávní revue</w:t>
      </w:r>
      <w:r>
        <w:t xml:space="preserve">, 2013, roč. 5, č. 11 - 12, s. 307. </w:t>
      </w:r>
    </w:p>
  </w:footnote>
  <w:footnote w:id="107">
    <w:p w:rsidR="00E8547E" w:rsidRDefault="00E8547E" w:rsidP="00F73F6E">
      <w:pPr>
        <w:pStyle w:val="Textpoznpodarou"/>
        <w:spacing w:line="240" w:lineRule="auto"/>
      </w:pPr>
      <w:r>
        <w:rPr>
          <w:vertAlign w:val="superscript"/>
        </w:rPr>
        <w:footnoteRef/>
      </w:r>
      <w:r>
        <w:t xml:space="preserve"> Ust. § 441 a násl. OZ.</w:t>
      </w:r>
    </w:p>
  </w:footnote>
  <w:footnote w:id="108">
    <w:p w:rsidR="00E8547E" w:rsidRDefault="00E8547E" w:rsidP="00F73F6E">
      <w:pPr>
        <w:pStyle w:val="Textpoznpodarou"/>
        <w:spacing w:line="240" w:lineRule="auto"/>
      </w:pPr>
      <w:r>
        <w:rPr>
          <w:vertAlign w:val="superscript"/>
        </w:rPr>
        <w:footnoteRef/>
      </w:r>
      <w:r>
        <w:t xml:space="preserve"> LASÁ</w:t>
      </w:r>
      <w:r w:rsidRPr="005F62A4">
        <w:t xml:space="preserve">K, Jan, KOUKAL, Pavel. </w:t>
      </w:r>
      <w:r>
        <w:rPr>
          <w:lang w:val="en-US"/>
        </w:rPr>
        <w:t>In LAVICK</w:t>
      </w:r>
      <w:r>
        <w:t xml:space="preserve">Ý, Petr a kol. (ed). </w:t>
      </w:r>
      <w:r>
        <w:rPr>
          <w:i/>
          <w:iCs/>
        </w:rPr>
        <w:t>Občanský zákoník I...</w:t>
      </w:r>
      <w:r>
        <w:t>s. 822.</w:t>
      </w:r>
    </w:p>
  </w:footnote>
  <w:footnote w:id="109">
    <w:p w:rsidR="00E8547E" w:rsidRDefault="00E8547E" w:rsidP="00F73F6E">
      <w:pPr>
        <w:pStyle w:val="Textpoznpodarou"/>
        <w:spacing w:line="240" w:lineRule="auto"/>
      </w:pPr>
      <w:r>
        <w:rPr>
          <w:vertAlign w:val="superscript"/>
        </w:rPr>
        <w:footnoteRef/>
      </w:r>
      <w:r>
        <w:t xml:space="preserve"> Tamtéž.  </w:t>
      </w:r>
    </w:p>
  </w:footnote>
  <w:footnote w:id="110">
    <w:p w:rsidR="00E8547E" w:rsidRDefault="00E8547E" w:rsidP="00F73F6E">
      <w:pPr>
        <w:pStyle w:val="Textpoznpodarou"/>
        <w:spacing w:line="240" w:lineRule="auto"/>
      </w:pPr>
      <w:r>
        <w:rPr>
          <w:vertAlign w:val="superscript"/>
        </w:rPr>
        <w:footnoteRef/>
      </w:r>
      <w:r>
        <w:t xml:space="preserve"> Tamtéž s. 824.</w:t>
      </w:r>
    </w:p>
  </w:footnote>
  <w:footnote w:id="111">
    <w:p w:rsidR="00E8547E" w:rsidRDefault="00E8547E" w:rsidP="00F73F6E">
      <w:pPr>
        <w:pStyle w:val="Textpoznpodarou"/>
        <w:spacing w:line="240" w:lineRule="auto"/>
      </w:pPr>
      <w:r>
        <w:rPr>
          <w:vertAlign w:val="superscript"/>
        </w:rPr>
        <w:footnoteRef/>
      </w:r>
      <w:r>
        <w:t xml:space="preserve"> Tamtéž s 824 - 825.</w:t>
      </w:r>
    </w:p>
  </w:footnote>
  <w:footnote w:id="112">
    <w:p w:rsidR="00E8547E" w:rsidRDefault="00E8547E" w:rsidP="00F73F6E">
      <w:pPr>
        <w:pStyle w:val="Textpoznpodarou"/>
        <w:spacing w:line="240" w:lineRule="auto"/>
      </w:pPr>
      <w:r>
        <w:rPr>
          <w:vertAlign w:val="superscript"/>
        </w:rPr>
        <w:footnoteRef/>
      </w:r>
      <w:r>
        <w:t xml:space="preserve"> POKORNÁ</w:t>
      </w:r>
      <w:r>
        <w:rPr>
          <w:lang w:val="en-US"/>
        </w:rPr>
        <w:t>, Jarmila. In ELI</w:t>
      </w:r>
      <w:r>
        <w:t xml:space="preserve">ÁŠ, Karel a kol. </w:t>
      </w:r>
      <w:r>
        <w:rPr>
          <w:i/>
          <w:iCs/>
        </w:rPr>
        <w:t>Kurs obchodního práva</w:t>
      </w:r>
      <w:r>
        <w:t xml:space="preserve"> ...s. 216.</w:t>
      </w:r>
    </w:p>
  </w:footnote>
  <w:footnote w:id="113">
    <w:p w:rsidR="00E8547E" w:rsidRDefault="00E8547E" w:rsidP="00F73F6E">
      <w:pPr>
        <w:pStyle w:val="Textpoznpodarou"/>
        <w:spacing w:line="240" w:lineRule="auto"/>
      </w:pPr>
      <w:r>
        <w:rPr>
          <w:vertAlign w:val="superscript"/>
        </w:rPr>
        <w:footnoteRef/>
      </w:r>
      <w:r>
        <w:t xml:space="preserve"> Ust. § 59 odst. 1 ZOK. </w:t>
      </w:r>
    </w:p>
  </w:footnote>
  <w:footnote w:id="114">
    <w:p w:rsidR="00E8547E" w:rsidRDefault="00E8547E" w:rsidP="00F73F6E">
      <w:pPr>
        <w:pStyle w:val="Textpoznpodarou"/>
        <w:spacing w:line="240" w:lineRule="auto"/>
      </w:pPr>
      <w:r>
        <w:rPr>
          <w:vertAlign w:val="superscript"/>
        </w:rPr>
        <w:footnoteRef/>
      </w:r>
      <w:r>
        <w:t xml:space="preserve"> Ust. § 155 ZOK. </w:t>
      </w:r>
    </w:p>
  </w:footnote>
  <w:footnote w:id="115">
    <w:p w:rsidR="00E8547E" w:rsidRDefault="00E8547E" w:rsidP="00F73F6E">
      <w:pPr>
        <w:pStyle w:val="Textpoznpodarou"/>
        <w:spacing w:line="240" w:lineRule="auto"/>
      </w:pPr>
      <w:r>
        <w:rPr>
          <w:vertAlign w:val="superscript"/>
        </w:rPr>
        <w:footnoteRef/>
      </w:r>
      <w:r>
        <w:rPr>
          <w:lang w:val="de-DE"/>
        </w:rPr>
        <w:t xml:space="preserve"> GURLICH, Richard: </w:t>
      </w:r>
      <w:r>
        <w:rPr>
          <w:i/>
          <w:iCs/>
        </w:rPr>
        <w:t>Společnost s ručením omezeným – právo společníka na informace, společnická žaloba, právo společníka na podí</w:t>
      </w:r>
      <w:r>
        <w:rPr>
          <w:i/>
          <w:iCs/>
          <w:lang w:val="nl-NL"/>
        </w:rPr>
        <w:t>l na zisku</w:t>
      </w:r>
      <w:r>
        <w:t xml:space="preserve"> [online]. Novinky z rekodifikace - advokátní kancelář GÜRLICH &amp; Co. 13/2014, s. 1 [cit. 28.11.2014].  Dostupné na &lt;http://www.beck-online.cz/bo/document-view.seam?documentId=nrptembrgrpw44s7gezv66tpnm&gt;</w:t>
      </w:r>
    </w:p>
  </w:footnote>
  <w:footnote w:id="116">
    <w:p w:rsidR="00E8547E" w:rsidRDefault="00E8547E" w:rsidP="00F73F6E">
      <w:pPr>
        <w:pStyle w:val="Textpoznpodarou"/>
        <w:spacing w:line="240" w:lineRule="auto"/>
      </w:pPr>
      <w:r>
        <w:rPr>
          <w:vertAlign w:val="superscript"/>
        </w:rPr>
        <w:footnoteRef/>
      </w:r>
      <w:r>
        <w:rPr>
          <w:lang w:val="de-DE"/>
        </w:rPr>
        <w:t xml:space="preserve"> HAVEL, Bohumil. In </w:t>
      </w:r>
      <w:r>
        <w:t xml:space="preserve">ŠTENGLOVÁ, Ivana a kol. (ed). </w:t>
      </w:r>
      <w:r>
        <w:rPr>
          <w:i/>
          <w:iCs/>
        </w:rPr>
        <w:t>Zákon o obchodních korporacích...,</w:t>
      </w:r>
      <w:r>
        <w:t xml:space="preserve"> s. 297.</w:t>
      </w:r>
    </w:p>
  </w:footnote>
  <w:footnote w:id="117">
    <w:p w:rsidR="00E8547E" w:rsidRDefault="00E8547E" w:rsidP="00F73F6E">
      <w:pPr>
        <w:pStyle w:val="Textpoznpodarou"/>
        <w:spacing w:line="240" w:lineRule="auto"/>
      </w:pPr>
      <w:r>
        <w:rPr>
          <w:vertAlign w:val="superscript"/>
        </w:rPr>
        <w:footnoteRef/>
      </w:r>
      <w:r>
        <w:t xml:space="preserve"> Tamtéž s. 298 - 299 .</w:t>
      </w:r>
    </w:p>
  </w:footnote>
  <w:footnote w:id="118">
    <w:p w:rsidR="00E8547E" w:rsidRDefault="00E8547E" w:rsidP="00F73F6E">
      <w:pPr>
        <w:pStyle w:val="Textpoznpodarou"/>
        <w:spacing w:line="240" w:lineRule="auto"/>
      </w:pPr>
      <w:r>
        <w:rPr>
          <w:vertAlign w:val="superscript"/>
        </w:rPr>
        <w:footnoteRef/>
      </w:r>
      <w:r>
        <w:t xml:space="preserve"> Srov. Usnesení NS CŘ ze dne 22.2.2011, sp. zn. 29 Cdo 3704/2009.</w:t>
      </w:r>
    </w:p>
  </w:footnote>
  <w:footnote w:id="119">
    <w:p w:rsidR="00E8547E" w:rsidRDefault="00E8547E" w:rsidP="00F73F6E">
      <w:pPr>
        <w:pStyle w:val="Textpoznpodarou"/>
        <w:spacing w:line="240" w:lineRule="auto"/>
      </w:pPr>
      <w:r>
        <w:rPr>
          <w:vertAlign w:val="superscript"/>
        </w:rPr>
        <w:footnoteRef/>
      </w:r>
      <w:r>
        <w:t xml:space="preserve"> Usnesení NS ČR ze dne 22.2.2011, sp. zn. 29 Cdo 3704/2009 ve spojení s rozsudkem NS ČR ze dne 17.12.2002, sp. zn. 29 Odo 886/2002.</w:t>
      </w:r>
    </w:p>
  </w:footnote>
  <w:footnote w:id="120">
    <w:p w:rsidR="00E8547E" w:rsidRDefault="00E8547E" w:rsidP="00F73F6E">
      <w:pPr>
        <w:pStyle w:val="Textpoznpodarou"/>
        <w:spacing w:line="240" w:lineRule="auto"/>
      </w:pPr>
      <w:r>
        <w:rPr>
          <w:vertAlign w:val="superscript"/>
        </w:rPr>
        <w:footnoteRef/>
      </w:r>
      <w:r>
        <w:t xml:space="preserve"> Ust. § 181 a násl. ZOK.</w:t>
      </w:r>
    </w:p>
  </w:footnote>
  <w:footnote w:id="121">
    <w:p w:rsidR="00E8547E" w:rsidRDefault="00E8547E" w:rsidP="00F73F6E">
      <w:pPr>
        <w:pStyle w:val="Textpoznpodarou"/>
        <w:spacing w:line="240" w:lineRule="auto"/>
      </w:pPr>
      <w:r>
        <w:rPr>
          <w:vertAlign w:val="superscript"/>
        </w:rPr>
        <w:footnoteRef/>
      </w:r>
      <w:r>
        <w:t xml:space="preserve"> Dle ust. § 187 ZOK jde o společníka nebo společníky, jejichž vklady dosahují </w:t>
      </w:r>
      <w:r>
        <w:rPr>
          <w:lang w:val="es-ES_tradnl"/>
        </w:rPr>
        <w:t>alespo</w:t>
      </w:r>
      <w:r>
        <w:t>ň 10% základního kapitálu nebo 10% na hlasovacích právech.</w:t>
      </w:r>
    </w:p>
  </w:footnote>
  <w:footnote w:id="122">
    <w:p w:rsidR="00E8547E" w:rsidRDefault="00E8547E" w:rsidP="00F73F6E">
      <w:pPr>
        <w:pStyle w:val="Textpoznpodarou"/>
        <w:spacing w:line="240" w:lineRule="auto"/>
      </w:pPr>
      <w:r>
        <w:rPr>
          <w:vertAlign w:val="superscript"/>
        </w:rPr>
        <w:footnoteRef/>
      </w:r>
      <w:r>
        <w:t xml:space="preserve"> Srov. Usnesení Nevyššího soudu ČR ze dne 27. 1. 2009, sp. zn. 29 Cdo 3009/2007.</w:t>
      </w:r>
    </w:p>
  </w:footnote>
  <w:footnote w:id="123">
    <w:p w:rsidR="00E8547E" w:rsidRDefault="00E8547E" w:rsidP="00F73F6E">
      <w:pPr>
        <w:pStyle w:val="Textpoznpodarou"/>
        <w:spacing w:line="240" w:lineRule="auto"/>
      </w:pPr>
      <w:r>
        <w:rPr>
          <w:vertAlign w:val="superscript"/>
        </w:rPr>
        <w:footnoteRef/>
      </w:r>
      <w:r>
        <w:t xml:space="preserve"> Ust. § 60 písm. b) ZOK.</w:t>
      </w:r>
    </w:p>
  </w:footnote>
  <w:footnote w:id="124">
    <w:p w:rsidR="00E8547E" w:rsidRDefault="00E8547E" w:rsidP="00F73F6E">
      <w:pPr>
        <w:pStyle w:val="Textpoznpodarou"/>
        <w:spacing w:line="240" w:lineRule="auto"/>
      </w:pPr>
      <w:r>
        <w:rPr>
          <w:vertAlign w:val="superscript"/>
        </w:rPr>
        <w:footnoteRef/>
      </w:r>
      <w:r>
        <w:t xml:space="preserve"> Ust. § 59 odst. 4 ZOK.</w:t>
      </w:r>
    </w:p>
  </w:footnote>
  <w:footnote w:id="125">
    <w:p w:rsidR="00E8547E" w:rsidRDefault="00E8547E" w:rsidP="00F73F6E">
      <w:pPr>
        <w:pStyle w:val="Textpoznpodarou"/>
        <w:spacing w:line="240" w:lineRule="auto"/>
      </w:pPr>
      <w:r>
        <w:rPr>
          <w:vertAlign w:val="superscript"/>
        </w:rPr>
        <w:footnoteRef/>
      </w:r>
      <w:r>
        <w:t xml:space="preserve"> Totožně HAVEL, Bohumil. Společnost s ručením omezeným na úsvitu rekodifikace. </w:t>
      </w:r>
      <w:r>
        <w:rPr>
          <w:i/>
          <w:iCs/>
        </w:rPr>
        <w:t>Obchodněprávní revue</w:t>
      </w:r>
      <w:r>
        <w:t xml:space="preserve">. 2011, roč. 3, č. 12, s. 353. </w:t>
      </w:r>
    </w:p>
  </w:footnote>
  <w:footnote w:id="126">
    <w:p w:rsidR="00E8547E" w:rsidRPr="00494962" w:rsidRDefault="00E8547E" w:rsidP="00494962">
      <w:pPr>
        <w:pStyle w:val="Textpoznpodarou"/>
        <w:spacing w:line="240" w:lineRule="auto"/>
      </w:pPr>
      <w:r w:rsidRPr="00494962">
        <w:rPr>
          <w:vertAlign w:val="superscript"/>
        </w:rPr>
        <w:footnoteRef/>
      </w:r>
      <w:r w:rsidRPr="00494962">
        <w:rPr>
          <w:rFonts w:eastAsia="Arial Unicode MS" w:cs="Arial Unicode MS"/>
        </w:rPr>
        <w:t xml:space="preserve"> Ust. </w:t>
      </w:r>
      <w:r w:rsidRPr="00494962">
        <w:t xml:space="preserve">§ </w:t>
      </w:r>
      <w:r w:rsidRPr="00494962">
        <w:rPr>
          <w:rFonts w:eastAsia="Arial Unicode MS" w:cs="Arial Unicode MS"/>
        </w:rPr>
        <w:t>156 odst. 1 ZOK.</w:t>
      </w:r>
    </w:p>
  </w:footnote>
  <w:footnote w:id="127">
    <w:p w:rsidR="00E8547E" w:rsidRDefault="00E8547E" w:rsidP="00494962">
      <w:pPr>
        <w:pStyle w:val="Textpoznpodarou"/>
        <w:spacing w:line="240" w:lineRule="auto"/>
      </w:pPr>
      <w:r w:rsidRPr="00494962">
        <w:rPr>
          <w:vertAlign w:val="superscript"/>
        </w:rPr>
        <w:footnoteRef/>
      </w:r>
      <w:r w:rsidRPr="00494962">
        <w:rPr>
          <w:rFonts w:eastAsia="Arial Unicode MS" w:cs="Arial Unicode MS"/>
        </w:rPr>
        <w:t xml:space="preserve"> Ust. </w:t>
      </w:r>
      <w:r w:rsidRPr="00494962">
        <w:t xml:space="preserve">§ </w:t>
      </w:r>
      <w:r w:rsidRPr="00494962">
        <w:rPr>
          <w:rFonts w:eastAsia="Arial Unicode MS" w:cs="Arial Unicode MS"/>
        </w:rPr>
        <w:t>156 odst. 2 a 3 ZOK.</w:t>
      </w:r>
      <w:r>
        <w:rPr>
          <w:rFonts w:eastAsia="Arial Unicode MS" w:hAnsi="Arial Unicode MS" w:cs="Arial Unicode MS"/>
        </w:rPr>
        <w:t xml:space="preserve"> </w:t>
      </w:r>
    </w:p>
  </w:footnote>
  <w:footnote w:id="128">
    <w:p w:rsidR="00E8547E" w:rsidRDefault="00E8547E" w:rsidP="00F73F6E">
      <w:pPr>
        <w:pStyle w:val="Textpoznpodarou"/>
        <w:spacing w:line="240" w:lineRule="auto"/>
      </w:pPr>
      <w:r>
        <w:rPr>
          <w:vertAlign w:val="superscript"/>
        </w:rPr>
        <w:footnoteRef/>
      </w:r>
      <w:r>
        <w:t xml:space="preserve"> DVOŘÁK: Společnost s ručením omezeným, s. 294.</w:t>
      </w:r>
    </w:p>
  </w:footnote>
  <w:footnote w:id="129">
    <w:p w:rsidR="00E8547E" w:rsidRDefault="00E8547E" w:rsidP="00F73F6E">
      <w:pPr>
        <w:pStyle w:val="Textpoznpodarou"/>
        <w:spacing w:line="240" w:lineRule="auto"/>
      </w:pPr>
      <w:r>
        <w:rPr>
          <w:vertAlign w:val="superscript"/>
        </w:rPr>
        <w:footnoteRef/>
      </w:r>
      <w:r>
        <w:t xml:space="preserve"> DĚDIČ, Jan. Úprava konfliktů zájmů v zákoně o obchodních korporacích ve vazbě na nový občanský zákoník. Právní rozhledy, 2014, roč. 22, č.15-16, s. 524.</w:t>
      </w:r>
    </w:p>
  </w:footnote>
  <w:footnote w:id="130">
    <w:p w:rsidR="00E8547E" w:rsidRDefault="00E8547E" w:rsidP="00F73F6E">
      <w:pPr>
        <w:pStyle w:val="Textpoznpodarou"/>
        <w:spacing w:line="240" w:lineRule="auto"/>
      </w:pPr>
      <w:r>
        <w:rPr>
          <w:vertAlign w:val="superscript"/>
        </w:rPr>
        <w:footnoteRef/>
      </w:r>
      <w:r>
        <w:t xml:space="preserve"> Ust. § 54 odst. 1 věta první ZOK. </w:t>
      </w:r>
    </w:p>
  </w:footnote>
  <w:footnote w:id="131">
    <w:p w:rsidR="00E8547E" w:rsidRDefault="00E8547E" w:rsidP="00F73F6E">
      <w:pPr>
        <w:pStyle w:val="Textpoznpodarou"/>
        <w:spacing w:line="240" w:lineRule="auto"/>
      </w:pPr>
      <w:r>
        <w:rPr>
          <w:vertAlign w:val="superscript"/>
        </w:rPr>
        <w:footnoteRef/>
      </w:r>
      <w:r>
        <w:t xml:space="preserve"> Srov. DĚDIČ: Úprava konfliktů zájmů ... s. 527.</w:t>
      </w:r>
    </w:p>
  </w:footnote>
  <w:footnote w:id="132">
    <w:p w:rsidR="00E8547E" w:rsidRDefault="00E8547E" w:rsidP="00F73F6E">
      <w:pPr>
        <w:pStyle w:val="Textpoznpodarou"/>
        <w:spacing w:line="240" w:lineRule="auto"/>
      </w:pPr>
      <w:r>
        <w:rPr>
          <w:vertAlign w:val="superscript"/>
        </w:rPr>
        <w:footnoteRef/>
      </w:r>
      <w:r>
        <w:t xml:space="preserve"> Srov. ŠTENGLOVÁ</w:t>
      </w:r>
      <w:r>
        <w:rPr>
          <w:lang w:val="nl-NL"/>
        </w:rPr>
        <w:t xml:space="preserve">, Ivana. In </w:t>
      </w:r>
      <w:r>
        <w:t xml:space="preserve">ŠTENGLOVÁ, Ivana a kol. (ed). </w:t>
      </w:r>
      <w:r>
        <w:rPr>
          <w:i/>
          <w:iCs/>
        </w:rPr>
        <w:t>Zákon o obchodních korporacích...,</w:t>
      </w:r>
      <w:r>
        <w:t xml:space="preserve"> s. 144.</w:t>
      </w:r>
    </w:p>
  </w:footnote>
  <w:footnote w:id="133">
    <w:p w:rsidR="00E8547E" w:rsidRDefault="00E8547E" w:rsidP="00F73F6E">
      <w:pPr>
        <w:pStyle w:val="Textpoznpodarou"/>
        <w:spacing w:line="240" w:lineRule="auto"/>
      </w:pPr>
      <w:r>
        <w:rPr>
          <w:vertAlign w:val="superscript"/>
        </w:rPr>
        <w:footnoteRef/>
      </w:r>
      <w:r>
        <w:t xml:space="preserve"> Srov. DĚDIČ: Úprava konfliktů zájmů ... s. 526.</w:t>
      </w:r>
    </w:p>
  </w:footnote>
  <w:footnote w:id="134">
    <w:p w:rsidR="00E8547E" w:rsidRDefault="00E8547E" w:rsidP="00F73F6E">
      <w:pPr>
        <w:pStyle w:val="Textpoznpodarou"/>
        <w:spacing w:line="240" w:lineRule="auto"/>
      </w:pPr>
      <w:r>
        <w:rPr>
          <w:vertAlign w:val="superscript"/>
        </w:rPr>
        <w:footnoteRef/>
      </w:r>
      <w:r>
        <w:t xml:space="preserve"> Vymezení osob blízkých lze nalézt v ust. § 22 OZ. </w:t>
      </w:r>
    </w:p>
  </w:footnote>
  <w:footnote w:id="135">
    <w:p w:rsidR="00E8547E" w:rsidRDefault="00E8547E" w:rsidP="00F73F6E">
      <w:pPr>
        <w:pStyle w:val="Textpoznpodarou"/>
        <w:spacing w:line="240" w:lineRule="auto"/>
      </w:pPr>
      <w:r>
        <w:rPr>
          <w:vertAlign w:val="superscript"/>
        </w:rPr>
        <w:footnoteRef/>
      </w:r>
      <w:r>
        <w:t xml:space="preserve"> Shodně ŠTENGLOVÁ</w:t>
      </w:r>
      <w:r>
        <w:rPr>
          <w:lang w:val="nl-NL"/>
        </w:rPr>
        <w:t xml:space="preserve">, Ivana. In </w:t>
      </w:r>
      <w:r>
        <w:t xml:space="preserve">ŠTENGLOVÁ, Ivana a kol. (ed). </w:t>
      </w:r>
      <w:r>
        <w:rPr>
          <w:i/>
          <w:iCs/>
        </w:rPr>
        <w:t>Zákon o obchodních korporacích...,</w:t>
      </w:r>
      <w:r>
        <w:t xml:space="preserve"> s. 144.</w:t>
      </w:r>
    </w:p>
  </w:footnote>
  <w:footnote w:id="136">
    <w:p w:rsidR="00E8547E" w:rsidRDefault="00E8547E" w:rsidP="00F73F6E">
      <w:pPr>
        <w:pStyle w:val="Textpoznpodarou"/>
        <w:spacing w:line="240" w:lineRule="auto"/>
      </w:pPr>
      <w:r>
        <w:rPr>
          <w:vertAlign w:val="superscript"/>
        </w:rPr>
        <w:footnoteRef/>
      </w:r>
      <w:r>
        <w:t xml:space="preserve"> Ust. § 54 odst. 2 ZOK. </w:t>
      </w:r>
    </w:p>
  </w:footnote>
  <w:footnote w:id="137">
    <w:p w:rsidR="00E8547E" w:rsidRDefault="00E8547E" w:rsidP="00F73F6E">
      <w:pPr>
        <w:pStyle w:val="Textpoznpodarou"/>
        <w:spacing w:line="240" w:lineRule="auto"/>
      </w:pPr>
      <w:r>
        <w:rPr>
          <w:vertAlign w:val="superscript"/>
        </w:rPr>
        <w:footnoteRef/>
      </w:r>
      <w:r>
        <w:t xml:space="preserve"> Ust. § 54 odst. 4 ZOK. </w:t>
      </w:r>
    </w:p>
  </w:footnote>
  <w:footnote w:id="138">
    <w:p w:rsidR="00E8547E" w:rsidRDefault="00E8547E" w:rsidP="00F73F6E">
      <w:pPr>
        <w:pStyle w:val="Textpoznpodarou"/>
        <w:spacing w:line="240" w:lineRule="auto"/>
      </w:pPr>
      <w:r>
        <w:rPr>
          <w:vertAlign w:val="superscript"/>
        </w:rPr>
        <w:footnoteRef/>
      </w:r>
      <w:r>
        <w:t xml:space="preserve"> Srov. DĚDIČ: Úprava konfliktů zájmů ... s. 530.</w:t>
      </w:r>
    </w:p>
  </w:footnote>
  <w:footnote w:id="139">
    <w:p w:rsidR="00E8547E" w:rsidRDefault="00E8547E" w:rsidP="00F73F6E">
      <w:pPr>
        <w:pStyle w:val="Textpoznpodarou"/>
        <w:spacing w:line="240" w:lineRule="auto"/>
      </w:pPr>
      <w:r>
        <w:rPr>
          <w:vertAlign w:val="superscript"/>
        </w:rPr>
        <w:footnoteRef/>
      </w:r>
      <w:r>
        <w:t xml:space="preserve"> Tamtéž s. 530 - 531.</w:t>
      </w:r>
    </w:p>
  </w:footnote>
  <w:footnote w:id="140">
    <w:p w:rsidR="00E8547E" w:rsidRDefault="00E8547E" w:rsidP="00F73F6E">
      <w:pPr>
        <w:pStyle w:val="Textpoznpodarou"/>
        <w:spacing w:line="240" w:lineRule="auto"/>
      </w:pPr>
      <w:r>
        <w:rPr>
          <w:vertAlign w:val="superscript"/>
        </w:rPr>
        <w:footnoteRef/>
      </w:r>
      <w:r>
        <w:t xml:space="preserve"> Dle Rozsudku NS ČR ze dne 20.5.2010, sp. zn. 29 Cdo 910/2009 je vždy nutné při posouzení uznání závazku, jenž učinil jmé</w:t>
      </w:r>
      <w:r>
        <w:rPr>
          <w:lang w:val="de-DE"/>
        </w:rPr>
        <w:t>nem s.r.o. (dlu</w:t>
      </w:r>
      <w:r>
        <w:t>žník) její jednatel (věřitel) zkoumat, zda nekonal v kolizi zájmů.</w:t>
      </w:r>
    </w:p>
  </w:footnote>
  <w:footnote w:id="141">
    <w:p w:rsidR="00E8547E" w:rsidRDefault="00E8547E" w:rsidP="00F73F6E">
      <w:pPr>
        <w:pStyle w:val="Textpoznpodarou"/>
        <w:spacing w:line="240" w:lineRule="auto"/>
      </w:pPr>
      <w:r>
        <w:rPr>
          <w:vertAlign w:val="superscript"/>
        </w:rPr>
        <w:footnoteRef/>
      </w:r>
      <w:r>
        <w:t xml:space="preserve"> Ust. § 55 a § 56 ZOK.</w:t>
      </w:r>
    </w:p>
  </w:footnote>
  <w:footnote w:id="142">
    <w:p w:rsidR="00E8547E" w:rsidRDefault="00E8547E" w:rsidP="00F73F6E">
      <w:pPr>
        <w:pStyle w:val="Textpoznpodarou"/>
        <w:spacing w:line="240" w:lineRule="auto"/>
      </w:pPr>
      <w:r>
        <w:rPr>
          <w:vertAlign w:val="superscript"/>
        </w:rPr>
        <w:footnoteRef/>
      </w:r>
      <w:r>
        <w:t xml:space="preserve"> Rozsudek Nevyššího soudu ze dne 24.2.2009, sp. zn. 29 Cdo 3864/2008.</w:t>
      </w:r>
    </w:p>
  </w:footnote>
  <w:footnote w:id="143">
    <w:p w:rsidR="00E8547E" w:rsidRDefault="00E8547E" w:rsidP="00F73F6E">
      <w:pPr>
        <w:pStyle w:val="Textpoznpodarou"/>
        <w:spacing w:line="240" w:lineRule="auto"/>
      </w:pPr>
      <w:r>
        <w:rPr>
          <w:vertAlign w:val="superscript"/>
        </w:rPr>
        <w:footnoteRef/>
      </w:r>
      <w:r>
        <w:t xml:space="preserve"> Ust. § 56 odst. 2 ZOK.</w:t>
      </w:r>
    </w:p>
  </w:footnote>
  <w:footnote w:id="144">
    <w:p w:rsidR="00E8547E" w:rsidRDefault="00E8547E" w:rsidP="00F73F6E">
      <w:pPr>
        <w:pStyle w:val="Textpoznpodarou"/>
        <w:spacing w:line="240" w:lineRule="auto"/>
      </w:pPr>
      <w:r>
        <w:rPr>
          <w:vertAlign w:val="superscript"/>
        </w:rPr>
        <w:footnoteRef/>
      </w:r>
      <w:r>
        <w:t xml:space="preserve"> Pozn. Dle ust. § 133 odst. 2 SObchZ může být jednatelem společnosti jen fyzická osoba. </w:t>
      </w:r>
    </w:p>
  </w:footnote>
  <w:footnote w:id="145">
    <w:p w:rsidR="00E8547E" w:rsidRDefault="00E8547E" w:rsidP="00F73F6E">
      <w:pPr>
        <w:pStyle w:val="Textpoznpodarou"/>
        <w:spacing w:line="240" w:lineRule="auto"/>
      </w:pPr>
      <w:r>
        <w:rPr>
          <w:vertAlign w:val="superscript"/>
        </w:rPr>
        <w:footnoteRef/>
      </w:r>
      <w:r>
        <w:t xml:space="preserve"> DĚDIČ, Jan, LASÁK, Jan. Právnická osoba jako člen orgánu obchodní korporace - vybrané otázky (2.část). Obchodněprávní </w:t>
      </w:r>
      <w:r>
        <w:rPr>
          <w:lang w:val="fr-FR"/>
        </w:rPr>
        <w:t>revue. 2014, ro</w:t>
      </w:r>
      <w:r>
        <w:t>č. 6, č. 1, s. 1.</w:t>
      </w:r>
    </w:p>
  </w:footnote>
  <w:footnote w:id="146">
    <w:p w:rsidR="00E8547E" w:rsidRDefault="00E8547E" w:rsidP="00F73F6E">
      <w:pPr>
        <w:pStyle w:val="Textpoznpodarou"/>
        <w:spacing w:line="240" w:lineRule="auto"/>
      </w:pPr>
      <w:r>
        <w:rPr>
          <w:vertAlign w:val="superscript"/>
        </w:rPr>
        <w:footnoteRef/>
      </w:r>
      <w:r>
        <w:t xml:space="preserve"> Tamtéž s. 2.</w:t>
      </w:r>
    </w:p>
  </w:footnote>
  <w:footnote w:id="147">
    <w:p w:rsidR="00E8547E" w:rsidRDefault="00E8547E" w:rsidP="00F73F6E">
      <w:pPr>
        <w:pStyle w:val="Textpoznpodarou"/>
        <w:spacing w:line="240" w:lineRule="auto"/>
      </w:pPr>
      <w:r>
        <w:rPr>
          <w:vertAlign w:val="superscript"/>
        </w:rPr>
        <w:footnoteRef/>
      </w:r>
      <w:r>
        <w:t xml:space="preserve"> Tamtéž s. 2.</w:t>
      </w:r>
    </w:p>
  </w:footnote>
  <w:footnote w:id="148">
    <w:p w:rsidR="00E8547E" w:rsidRDefault="00E8547E" w:rsidP="00F73F6E">
      <w:pPr>
        <w:pStyle w:val="Textpoznpodarou"/>
        <w:spacing w:line="240" w:lineRule="auto"/>
      </w:pPr>
      <w:r>
        <w:rPr>
          <w:vertAlign w:val="superscript"/>
        </w:rPr>
        <w:footnoteRef/>
      </w:r>
      <w:r>
        <w:t xml:space="preserve"> POKORNÁ</w:t>
      </w:r>
      <w:r w:rsidRPr="005F62A4">
        <w:t xml:space="preserve">, Jarmila. </w:t>
      </w:r>
      <w:r>
        <w:rPr>
          <w:lang w:val="en-US"/>
        </w:rPr>
        <w:t>In FALDYNA, Franti</w:t>
      </w:r>
      <w:r>
        <w:t>šek a kol. (ed). Obchodní zákoník s </w:t>
      </w:r>
      <w:r>
        <w:rPr>
          <w:lang w:val="nl-NL"/>
        </w:rPr>
        <w:t>koment</w:t>
      </w:r>
      <w:r>
        <w:t xml:space="preserve">ářem I. díl. Praha: CODEX Bohemia, s.r.o., 2000, s. 494 - 496. </w:t>
      </w:r>
    </w:p>
  </w:footnote>
  <w:footnote w:id="149">
    <w:p w:rsidR="00E8547E" w:rsidRDefault="00E8547E" w:rsidP="00F73F6E">
      <w:pPr>
        <w:pStyle w:val="Textpoznpodarou"/>
        <w:spacing w:line="240" w:lineRule="auto"/>
      </w:pPr>
      <w:r>
        <w:rPr>
          <w:vertAlign w:val="superscript"/>
        </w:rPr>
        <w:footnoteRef/>
      </w:r>
      <w:r>
        <w:t xml:space="preserve"> Ust. § 63 a násl. ZOK.</w:t>
      </w:r>
    </w:p>
  </w:footnote>
  <w:footnote w:id="150">
    <w:p w:rsidR="00E8547E" w:rsidRDefault="00E8547E" w:rsidP="00F73F6E">
      <w:pPr>
        <w:pStyle w:val="Textpoznpodarou"/>
        <w:spacing w:line="240" w:lineRule="auto"/>
      </w:pPr>
      <w:r>
        <w:rPr>
          <w:vertAlign w:val="superscript"/>
        </w:rPr>
        <w:footnoteRef/>
      </w:r>
      <w:r>
        <w:t xml:space="preserve"> Ust. § 63 odst. 1 ZOK. </w:t>
      </w:r>
    </w:p>
  </w:footnote>
  <w:footnote w:id="151">
    <w:p w:rsidR="00E8547E" w:rsidRPr="005F62A4" w:rsidRDefault="00E8547E" w:rsidP="00F73F6E">
      <w:pPr>
        <w:pStyle w:val="Textpoznpodarou"/>
        <w:spacing w:line="240" w:lineRule="auto"/>
      </w:pPr>
      <w:r w:rsidRPr="005F62A4">
        <w:rPr>
          <w:vertAlign w:val="superscript"/>
        </w:rPr>
        <w:footnoteRef/>
      </w:r>
      <w:r w:rsidRPr="005F62A4">
        <w:t xml:space="preserve"> Ust. § 67 odst. 2 a 3 ZOK. </w:t>
      </w:r>
    </w:p>
  </w:footnote>
  <w:footnote w:id="152">
    <w:p w:rsidR="00E8547E" w:rsidRDefault="00E8547E" w:rsidP="00F73F6E">
      <w:pPr>
        <w:pStyle w:val="Textpoznpodarou"/>
        <w:spacing w:line="240" w:lineRule="auto"/>
      </w:pPr>
      <w:r w:rsidRPr="005F62A4">
        <w:rPr>
          <w:vertAlign w:val="superscript"/>
        </w:rPr>
        <w:footnoteRef/>
      </w:r>
      <w:r w:rsidRPr="005F62A4">
        <w:rPr>
          <w:rFonts w:eastAsia="Arial Unicode MS" w:cs="Arial Unicode MS"/>
        </w:rPr>
        <w:t xml:space="preserve"> Pozn. Mimo institut vylou</w:t>
      </w:r>
      <w:r w:rsidRPr="005F62A4">
        <w:t>č</w:t>
      </w:r>
      <w:r w:rsidRPr="005F62A4">
        <w:rPr>
          <w:rFonts w:eastAsia="Arial Unicode MS" w:cs="Arial Unicode MS"/>
        </w:rPr>
        <w:t>en</w:t>
      </w:r>
      <w:r w:rsidRPr="005F62A4">
        <w:t>í</w:t>
      </w:r>
      <w:r w:rsidRPr="005F62A4">
        <w:rPr>
          <w:rFonts w:eastAsia="Arial Unicode MS" w:cs="Arial Unicode MS"/>
        </w:rPr>
        <w:t xml:space="preserve">, pokud bylo soudem rozhodnuto, </w:t>
      </w:r>
      <w:r w:rsidRPr="005F62A4">
        <w:t>ž</w:t>
      </w:r>
      <w:r w:rsidRPr="005F62A4">
        <w:rPr>
          <w:rFonts w:eastAsia="Arial Unicode MS" w:cs="Arial Unicode MS"/>
        </w:rPr>
        <w:t>e OK je v</w:t>
      </w:r>
      <w:r w:rsidRPr="005F62A4">
        <w:t> ú</w:t>
      </w:r>
      <w:r w:rsidRPr="005F62A4">
        <w:rPr>
          <w:rFonts w:eastAsia="Arial Unicode MS" w:cs="Arial Unicode MS"/>
        </w:rPr>
        <w:t>padku (bylo-li insolven</w:t>
      </w:r>
      <w:r w:rsidRPr="005F62A4">
        <w:t>č</w:t>
      </w:r>
      <w:r w:rsidRPr="005F62A4">
        <w:rPr>
          <w:rFonts w:eastAsia="Arial Unicode MS" w:cs="Arial Unicode MS"/>
        </w:rPr>
        <w:t>n</w:t>
      </w:r>
      <w:r w:rsidRPr="005F62A4">
        <w:t>í ří</w:t>
      </w:r>
      <w:r w:rsidRPr="005F62A4">
        <w:rPr>
          <w:rFonts w:eastAsia="Arial Unicode MS" w:cs="Arial Unicode MS"/>
        </w:rPr>
        <w:t>zen</w:t>
      </w:r>
      <w:r w:rsidRPr="005F62A4">
        <w:t xml:space="preserve">í </w:t>
      </w:r>
      <w:r w:rsidRPr="005F62A4">
        <w:rPr>
          <w:rFonts w:eastAsia="Arial Unicode MS" w:cs="Arial Unicode MS"/>
        </w:rPr>
        <w:t>zah</w:t>
      </w:r>
      <w:r w:rsidRPr="005F62A4">
        <w:t>á</w:t>
      </w:r>
      <w:r w:rsidRPr="005F62A4">
        <w:rPr>
          <w:rFonts w:eastAsia="Arial Unicode MS" w:cs="Arial Unicode MS"/>
        </w:rPr>
        <w:t>jeno na n</w:t>
      </w:r>
      <w:r w:rsidRPr="005F62A4">
        <w:t>á</w:t>
      </w:r>
      <w:r w:rsidRPr="005F62A4">
        <w:rPr>
          <w:rFonts w:eastAsia="Arial Unicode MS" w:cs="Arial Unicode MS"/>
        </w:rPr>
        <w:t>vrh jin</w:t>
      </w:r>
      <w:r w:rsidRPr="005F62A4">
        <w:t xml:space="preserve">é </w:t>
      </w:r>
      <w:r w:rsidRPr="005F62A4">
        <w:rPr>
          <w:rFonts w:eastAsia="Arial Unicode MS" w:cs="Arial Unicode MS"/>
        </w:rPr>
        <w:t>osoby ne</w:t>
      </w:r>
      <w:r w:rsidRPr="005F62A4">
        <w:t xml:space="preserve">ž </w:t>
      </w:r>
      <w:r w:rsidRPr="005F62A4">
        <w:rPr>
          <w:rFonts w:eastAsia="Arial Unicode MS" w:cs="Arial Unicode MS"/>
        </w:rPr>
        <w:t>dlu</w:t>
      </w:r>
      <w:r w:rsidRPr="005F62A4">
        <w:t>ž</w:t>
      </w:r>
      <w:r w:rsidRPr="005F62A4">
        <w:rPr>
          <w:rFonts w:eastAsia="Arial Unicode MS" w:cs="Arial Unicode MS"/>
        </w:rPr>
        <w:t>n</w:t>
      </w:r>
      <w:r w:rsidRPr="005F62A4">
        <w:t>í</w:t>
      </w:r>
      <w:r w:rsidRPr="005F62A4">
        <w:rPr>
          <w:rFonts w:eastAsia="Arial Unicode MS" w:cs="Arial Unicode MS"/>
        </w:rPr>
        <w:t>ka), vydaj</w:t>
      </w:r>
      <w:r w:rsidRPr="005F62A4">
        <w:t>í č</w:t>
      </w:r>
      <w:r w:rsidRPr="005F62A4">
        <w:rPr>
          <w:rFonts w:eastAsia="Arial Unicode MS" w:cs="Arial Unicode MS"/>
        </w:rPr>
        <w:t>lenov</w:t>
      </w:r>
      <w:r w:rsidRPr="005F62A4">
        <w:t xml:space="preserve">é </w:t>
      </w:r>
      <w:r w:rsidRPr="005F62A4">
        <w:rPr>
          <w:rFonts w:eastAsia="Arial Unicode MS" w:cs="Arial Unicode MS"/>
        </w:rPr>
        <w:t>org</w:t>
      </w:r>
      <w:r w:rsidRPr="005F62A4">
        <w:t>á</w:t>
      </w:r>
      <w:r w:rsidRPr="005F62A4">
        <w:rPr>
          <w:rFonts w:eastAsia="Arial Unicode MS" w:cs="Arial Unicode MS"/>
        </w:rPr>
        <w:t>n</w:t>
      </w:r>
      <w:r w:rsidRPr="005F62A4">
        <w:t xml:space="preserve">ů </w:t>
      </w:r>
      <w:r w:rsidRPr="005F62A4">
        <w:rPr>
          <w:rFonts w:eastAsia="Arial Unicode MS" w:cs="Arial Unicode MS"/>
        </w:rPr>
        <w:t>OK, vyzve-li je k</w:t>
      </w:r>
      <w:r w:rsidRPr="005F62A4">
        <w:t> </w:t>
      </w:r>
      <w:r w:rsidRPr="005F62A4">
        <w:rPr>
          <w:rFonts w:eastAsia="Arial Unicode MS" w:cs="Arial Unicode MS"/>
        </w:rPr>
        <w:t>tomu insolven</w:t>
      </w:r>
      <w:r w:rsidRPr="005F62A4">
        <w:t>č</w:t>
      </w:r>
      <w:r w:rsidRPr="005F62A4">
        <w:rPr>
          <w:rFonts w:eastAsia="Arial Unicode MS" w:cs="Arial Unicode MS"/>
        </w:rPr>
        <w:t>n</w:t>
      </w:r>
      <w:r w:rsidRPr="005F62A4">
        <w:t xml:space="preserve">í </w:t>
      </w:r>
      <w:r w:rsidRPr="005F62A4">
        <w:rPr>
          <w:rFonts w:eastAsia="Arial Unicode MS" w:cs="Arial Unicode MS"/>
        </w:rPr>
        <w:t>spr</w:t>
      </w:r>
      <w:r w:rsidRPr="005F62A4">
        <w:t>á</w:t>
      </w:r>
      <w:r w:rsidRPr="005F62A4">
        <w:rPr>
          <w:rFonts w:eastAsia="Arial Unicode MS" w:cs="Arial Unicode MS"/>
        </w:rPr>
        <w:t>vce, prosp</w:t>
      </w:r>
      <w:r w:rsidRPr="005F62A4">
        <w:t>ě</w:t>
      </w:r>
      <w:r w:rsidRPr="005F62A4">
        <w:rPr>
          <w:rFonts w:eastAsia="Arial Unicode MS" w:cs="Arial Unicode MS"/>
        </w:rPr>
        <w:t>ch z</w:t>
      </w:r>
      <w:r w:rsidRPr="005F62A4">
        <w:t>í</w:t>
      </w:r>
      <w:r w:rsidRPr="005F62A4">
        <w:rPr>
          <w:rFonts w:eastAsia="Arial Unicode MS" w:cs="Arial Unicode MS"/>
        </w:rPr>
        <w:t>skan</w:t>
      </w:r>
      <w:r w:rsidRPr="005F62A4">
        <w:t xml:space="preserve">ý </w:t>
      </w:r>
      <w:r w:rsidRPr="005F62A4">
        <w:rPr>
          <w:rFonts w:eastAsia="Arial Unicode MS" w:cs="Arial Unicode MS"/>
        </w:rPr>
        <w:t>ze smlouvy o v</w:t>
      </w:r>
      <w:r w:rsidRPr="005F62A4">
        <w:t>ý</w:t>
      </w:r>
      <w:r w:rsidRPr="005F62A4">
        <w:rPr>
          <w:rFonts w:eastAsia="Arial Unicode MS" w:cs="Arial Unicode MS"/>
        </w:rPr>
        <w:t>konu funkce, jako</w:t>
      </w:r>
      <w:r w:rsidRPr="005F62A4">
        <w:t xml:space="preserve">ž </w:t>
      </w:r>
      <w:r w:rsidRPr="005F62A4">
        <w:rPr>
          <w:rFonts w:eastAsia="Arial Unicode MS" w:cs="Arial Unicode MS"/>
        </w:rPr>
        <w:t>i p</w:t>
      </w:r>
      <w:r w:rsidRPr="005F62A4">
        <w:t>ří</w:t>
      </w:r>
      <w:r w:rsidRPr="005F62A4">
        <w:rPr>
          <w:rFonts w:eastAsia="Arial Unicode MS" w:cs="Arial Unicode MS"/>
        </w:rPr>
        <w:t>padn</w:t>
      </w:r>
      <w:r w:rsidRPr="005F62A4">
        <w:t xml:space="preserve">ý </w:t>
      </w:r>
      <w:r w:rsidRPr="005F62A4">
        <w:rPr>
          <w:rFonts w:eastAsia="Arial Unicode MS" w:cs="Arial Unicode MS"/>
        </w:rPr>
        <w:t>jin</w:t>
      </w:r>
      <w:r w:rsidRPr="005F62A4">
        <w:t xml:space="preserve">ý </w:t>
      </w:r>
      <w:r w:rsidRPr="005F62A4">
        <w:rPr>
          <w:rFonts w:eastAsia="Arial Unicode MS" w:cs="Arial Unicode MS"/>
        </w:rPr>
        <w:t>prosp</w:t>
      </w:r>
      <w:r w:rsidRPr="005F62A4">
        <w:t>ě</w:t>
      </w:r>
      <w:r w:rsidRPr="005F62A4">
        <w:rPr>
          <w:rFonts w:eastAsia="Arial Unicode MS" w:cs="Arial Unicode MS"/>
        </w:rPr>
        <w:t>ch, kter</w:t>
      </w:r>
      <w:r w:rsidRPr="005F62A4">
        <w:t xml:space="preserve">ý </w:t>
      </w:r>
      <w:r w:rsidRPr="005F62A4">
        <w:rPr>
          <w:rFonts w:eastAsia="Arial Unicode MS" w:cs="Arial Unicode MS"/>
        </w:rPr>
        <w:t>od OK obdr</w:t>
      </w:r>
      <w:r w:rsidRPr="005F62A4">
        <w:t>ž</w:t>
      </w:r>
      <w:r w:rsidRPr="005F62A4">
        <w:rPr>
          <w:rFonts w:eastAsia="Arial Unicode MS" w:cs="Arial Unicode MS"/>
        </w:rPr>
        <w:t>eli a to za obdob</w:t>
      </w:r>
      <w:r w:rsidRPr="005F62A4">
        <w:t xml:space="preserve">í </w:t>
      </w:r>
      <w:r w:rsidRPr="005F62A4">
        <w:rPr>
          <w:rFonts w:eastAsia="Arial Unicode MS" w:cs="Arial Unicode MS"/>
        </w:rPr>
        <w:t>2 let zp</w:t>
      </w:r>
      <w:r w:rsidRPr="005F62A4">
        <w:t>ě</w:t>
      </w:r>
      <w:r w:rsidRPr="005F62A4">
        <w:rPr>
          <w:rFonts w:eastAsia="Arial Unicode MS" w:cs="Arial Unicode MS"/>
        </w:rPr>
        <w:t>t p</w:t>
      </w:r>
      <w:r w:rsidRPr="005F62A4">
        <w:t>ř</w:t>
      </w:r>
      <w:r w:rsidRPr="005F62A4">
        <w:rPr>
          <w:rFonts w:eastAsia="Arial Unicode MS" w:cs="Arial Unicode MS"/>
          <w:lang w:val="da-DK"/>
        </w:rPr>
        <w:t>ed pr</w:t>
      </w:r>
      <w:r w:rsidRPr="005F62A4">
        <w:t>á</w:t>
      </w:r>
      <w:r w:rsidRPr="005F62A4">
        <w:rPr>
          <w:rFonts w:eastAsia="Arial Unicode MS" w:cs="Arial Unicode MS"/>
        </w:rPr>
        <w:t>vn</w:t>
      </w:r>
      <w:r w:rsidRPr="005F62A4">
        <w:t xml:space="preserve">í </w:t>
      </w:r>
      <w:r w:rsidRPr="005F62A4">
        <w:rPr>
          <w:rFonts w:eastAsia="Arial Unicode MS" w:cs="Arial Unicode MS"/>
        </w:rPr>
        <w:t>moc</w:t>
      </w:r>
      <w:r w:rsidRPr="005F62A4">
        <w:t xml:space="preserve">í </w:t>
      </w:r>
      <w:r w:rsidRPr="005F62A4">
        <w:rPr>
          <w:rFonts w:eastAsia="Arial Unicode MS" w:cs="Arial Unicode MS"/>
        </w:rPr>
        <w:t>rozhodnut</w:t>
      </w:r>
      <w:r w:rsidRPr="005F62A4">
        <w:t xml:space="preserve">í </w:t>
      </w:r>
      <w:r w:rsidRPr="005F62A4">
        <w:rPr>
          <w:rFonts w:eastAsia="Arial Unicode MS" w:cs="Arial Unicode MS"/>
        </w:rPr>
        <w:t xml:space="preserve">o </w:t>
      </w:r>
      <w:r w:rsidRPr="005F62A4">
        <w:t>ú</w:t>
      </w:r>
      <w:r w:rsidRPr="005F62A4">
        <w:rPr>
          <w:rFonts w:eastAsia="Arial Unicode MS" w:cs="Arial Unicode MS"/>
        </w:rPr>
        <w:t>padku. Toto nastane, pokud v</w:t>
      </w:r>
      <w:r w:rsidRPr="005F62A4">
        <w:t>ě</w:t>
      </w:r>
      <w:r w:rsidRPr="005F62A4">
        <w:rPr>
          <w:rFonts w:eastAsia="Arial Unicode MS" w:cs="Arial Unicode MS"/>
        </w:rPr>
        <w:t>d</w:t>
      </w:r>
      <w:r w:rsidRPr="005F62A4">
        <w:t>ě</w:t>
      </w:r>
      <w:r w:rsidRPr="005F62A4">
        <w:rPr>
          <w:rFonts w:eastAsia="Arial Unicode MS" w:cs="Arial Unicode MS"/>
        </w:rPr>
        <w:t>li nebo alespo</w:t>
      </w:r>
      <w:r w:rsidRPr="005F62A4">
        <w:t xml:space="preserve">ň </w:t>
      </w:r>
      <w:r w:rsidRPr="005F62A4">
        <w:rPr>
          <w:rFonts w:eastAsia="Arial Unicode MS" w:cs="Arial Unicode MS"/>
        </w:rPr>
        <w:t>m</w:t>
      </w:r>
      <w:r w:rsidRPr="005F62A4">
        <w:t>ě</w:t>
      </w:r>
      <w:r w:rsidRPr="005F62A4">
        <w:rPr>
          <w:rFonts w:eastAsia="Arial Unicode MS" w:cs="Arial Unicode MS"/>
        </w:rPr>
        <w:t>li a mohli v</w:t>
      </w:r>
      <w:r w:rsidRPr="005F62A4">
        <w:t>ě</w:t>
      </w:r>
      <w:r w:rsidRPr="005F62A4">
        <w:rPr>
          <w:rFonts w:eastAsia="Arial Unicode MS" w:cs="Arial Unicode MS"/>
        </w:rPr>
        <w:t>d</w:t>
      </w:r>
      <w:r w:rsidRPr="005F62A4">
        <w:t>ě</w:t>
      </w:r>
      <w:r w:rsidRPr="005F62A4">
        <w:rPr>
          <w:rFonts w:eastAsia="Arial Unicode MS" w:cs="Arial Unicode MS"/>
        </w:rPr>
        <w:t xml:space="preserve">t, </w:t>
      </w:r>
      <w:r w:rsidRPr="005F62A4">
        <w:t>ž</w:t>
      </w:r>
      <w:r w:rsidRPr="005F62A4">
        <w:rPr>
          <w:rFonts w:eastAsia="Arial Unicode MS" w:cs="Arial Unicode MS"/>
        </w:rPr>
        <w:t>e OK je v</w:t>
      </w:r>
      <w:r w:rsidRPr="005F62A4">
        <w:t> </w:t>
      </w:r>
      <w:r w:rsidRPr="005F62A4">
        <w:rPr>
          <w:rFonts w:eastAsia="Arial Unicode MS" w:cs="Arial Unicode MS"/>
        </w:rPr>
        <w:t>hroz</w:t>
      </w:r>
      <w:r w:rsidRPr="005F62A4">
        <w:t>í</w:t>
      </w:r>
      <w:r w:rsidRPr="005F62A4">
        <w:rPr>
          <w:rFonts w:eastAsia="Arial Unicode MS" w:cs="Arial Unicode MS"/>
        </w:rPr>
        <w:t>c</w:t>
      </w:r>
      <w:r w:rsidRPr="005F62A4">
        <w:t>í</w:t>
      </w:r>
      <w:r w:rsidRPr="005F62A4">
        <w:rPr>
          <w:rFonts w:eastAsia="Arial Unicode MS" w:cs="Arial Unicode MS"/>
        </w:rPr>
        <w:t xml:space="preserve">m </w:t>
      </w:r>
      <w:r w:rsidRPr="005F62A4">
        <w:t>ú</w:t>
      </w:r>
      <w:r w:rsidRPr="005F62A4">
        <w:rPr>
          <w:rFonts w:eastAsia="Arial Unicode MS" w:cs="Arial Unicode MS"/>
        </w:rPr>
        <w:t>padku podle InsZ, a v</w:t>
      </w:r>
      <w:r w:rsidRPr="005F62A4">
        <w:t> </w:t>
      </w:r>
      <w:r w:rsidRPr="005F62A4">
        <w:rPr>
          <w:rFonts w:eastAsia="Arial Unicode MS" w:cs="Arial Unicode MS"/>
        </w:rPr>
        <w:t>rozporu s</w:t>
      </w:r>
      <w:r w:rsidRPr="005F62A4">
        <w:t> </w:t>
      </w:r>
      <w:r w:rsidRPr="005F62A4">
        <w:rPr>
          <w:rFonts w:eastAsia="Arial Unicode MS" w:cs="Arial Unicode MS"/>
        </w:rPr>
        <w:t>p</w:t>
      </w:r>
      <w:r w:rsidRPr="005F62A4">
        <w:t>éčí řá</w:t>
      </w:r>
      <w:r w:rsidRPr="005F62A4">
        <w:rPr>
          <w:rFonts w:eastAsia="Arial Unicode MS" w:cs="Arial Unicode MS"/>
        </w:rPr>
        <w:t>dn</w:t>
      </w:r>
      <w:r w:rsidRPr="005F62A4">
        <w:t>é</w:t>
      </w:r>
      <w:r w:rsidRPr="005F62A4">
        <w:rPr>
          <w:rFonts w:eastAsia="Arial Unicode MS" w:cs="Arial Unicode MS"/>
        </w:rPr>
        <w:t>ho hospod</w:t>
      </w:r>
      <w:r w:rsidRPr="005F62A4">
        <w:t>ář</w:t>
      </w:r>
      <w:r w:rsidRPr="005F62A4">
        <w:rPr>
          <w:rFonts w:eastAsia="Arial Unicode MS" w:cs="Arial Unicode MS"/>
        </w:rPr>
        <w:t>e neu</w:t>
      </w:r>
      <w:r w:rsidRPr="005F62A4">
        <w:t>č</w:t>
      </w:r>
      <w:r w:rsidRPr="005F62A4">
        <w:rPr>
          <w:rFonts w:eastAsia="Arial Unicode MS" w:cs="Arial Unicode MS"/>
        </w:rPr>
        <w:t xml:space="preserve">inili za </w:t>
      </w:r>
      <w:r w:rsidRPr="005F62A4">
        <w:t>úč</w:t>
      </w:r>
      <w:r w:rsidRPr="005F62A4">
        <w:rPr>
          <w:rFonts w:eastAsia="Arial Unicode MS" w:cs="Arial Unicode MS"/>
        </w:rPr>
        <w:t>elem jeho odvr</w:t>
      </w:r>
      <w:r w:rsidRPr="005F62A4">
        <w:t>á</w:t>
      </w:r>
      <w:r w:rsidRPr="005F62A4">
        <w:rPr>
          <w:rFonts w:eastAsia="Arial Unicode MS" w:cs="Arial Unicode MS"/>
        </w:rPr>
        <w:t>cen</w:t>
      </w:r>
      <w:r w:rsidRPr="005F62A4">
        <w:t xml:space="preserve">í </w:t>
      </w:r>
      <w:r w:rsidRPr="005F62A4">
        <w:rPr>
          <w:rFonts w:eastAsia="Arial Unicode MS" w:cs="Arial Unicode MS"/>
        </w:rPr>
        <w:t>v</w:t>
      </w:r>
      <w:r w:rsidRPr="005F62A4">
        <w:t>š</w:t>
      </w:r>
      <w:r w:rsidRPr="005F62A4">
        <w:rPr>
          <w:rFonts w:eastAsia="Arial Unicode MS" w:cs="Arial Unicode MS"/>
        </w:rPr>
        <w:t>e pot</w:t>
      </w:r>
      <w:r w:rsidRPr="005F62A4">
        <w:t>ř</w:t>
      </w:r>
      <w:r w:rsidRPr="005F62A4">
        <w:rPr>
          <w:rFonts w:eastAsia="Arial Unicode MS" w:cs="Arial Unicode MS"/>
        </w:rPr>
        <w:t>ebn</w:t>
      </w:r>
      <w:r w:rsidRPr="005F62A4">
        <w:t xml:space="preserve">é </w:t>
      </w:r>
      <w:r w:rsidRPr="005F62A4">
        <w:rPr>
          <w:rFonts w:eastAsia="Arial Unicode MS" w:cs="Arial Unicode MS"/>
        </w:rPr>
        <w:t>a rozumn</w:t>
      </w:r>
      <w:r w:rsidRPr="005F62A4">
        <w:t xml:space="preserve">ě </w:t>
      </w:r>
      <w:r w:rsidRPr="005F62A4">
        <w:rPr>
          <w:rFonts w:eastAsia="Arial Unicode MS" w:cs="Arial Unicode MS"/>
        </w:rPr>
        <w:t>p</w:t>
      </w:r>
      <w:r w:rsidRPr="005F62A4">
        <w:t>ř</w:t>
      </w:r>
      <w:r w:rsidRPr="005F62A4">
        <w:rPr>
          <w:rFonts w:eastAsia="Arial Unicode MS" w:cs="Arial Unicode MS"/>
        </w:rPr>
        <w:t>edpokl</w:t>
      </w:r>
      <w:r w:rsidRPr="005F62A4">
        <w:t>á</w:t>
      </w:r>
      <w:r w:rsidRPr="005F62A4">
        <w:rPr>
          <w:rFonts w:eastAsia="Arial Unicode MS" w:cs="Arial Unicode MS"/>
        </w:rPr>
        <w:t>dateln</w:t>
      </w:r>
      <w:r w:rsidRPr="005F62A4">
        <w:t>é</w:t>
      </w:r>
      <w:r w:rsidRPr="005F62A4">
        <w:rPr>
          <w:rFonts w:eastAsia="Arial Unicode MS" w:cs="Arial Unicode MS"/>
        </w:rPr>
        <w:t>. Pokud ji</w:t>
      </w:r>
      <w:r w:rsidRPr="005F62A4">
        <w:t xml:space="preserve">ž </w:t>
      </w:r>
      <w:r w:rsidRPr="005F62A4">
        <w:rPr>
          <w:rFonts w:eastAsia="Arial Unicode MS" w:cs="Arial Unicode MS"/>
        </w:rPr>
        <w:t>nen</w:t>
      </w:r>
      <w:r w:rsidRPr="005F62A4">
        <w:t xml:space="preserve">í </w:t>
      </w:r>
      <w:r w:rsidRPr="005F62A4">
        <w:rPr>
          <w:rFonts w:eastAsia="Arial Unicode MS" w:cs="Arial Unicode MS"/>
        </w:rPr>
        <w:t>takov</w:t>
      </w:r>
      <w:r w:rsidRPr="005F62A4">
        <w:t xml:space="preserve">é </w:t>
      </w:r>
      <w:r w:rsidRPr="005F62A4">
        <w:rPr>
          <w:rFonts w:eastAsia="Arial Unicode MS" w:cs="Arial Unicode MS"/>
        </w:rPr>
        <w:t>vyd</w:t>
      </w:r>
      <w:r w:rsidRPr="005F62A4">
        <w:t>á</w:t>
      </w:r>
      <w:r w:rsidRPr="005F62A4">
        <w:rPr>
          <w:rFonts w:eastAsia="Arial Unicode MS" w:cs="Arial Unicode MS"/>
        </w:rPr>
        <w:t>n</w:t>
      </w:r>
      <w:r w:rsidRPr="005F62A4">
        <w:t xml:space="preserve">í </w:t>
      </w:r>
      <w:r w:rsidRPr="005F62A4">
        <w:rPr>
          <w:rFonts w:eastAsia="Arial Unicode MS" w:cs="Arial Unicode MS"/>
        </w:rPr>
        <w:t>mo</w:t>
      </w:r>
      <w:r w:rsidRPr="005F62A4">
        <w:t>ž</w:t>
      </w:r>
      <w:r w:rsidRPr="005F62A4">
        <w:rPr>
          <w:rFonts w:eastAsia="Arial Unicode MS" w:cs="Arial Unicode MS"/>
        </w:rPr>
        <w:t>n</w:t>
      </w:r>
      <w:r w:rsidRPr="005F62A4">
        <w:t>é</w:t>
      </w:r>
      <w:r w:rsidRPr="005F62A4">
        <w:rPr>
          <w:rFonts w:eastAsia="Arial Unicode MS" w:cs="Arial Unicode MS"/>
        </w:rPr>
        <w:t>, nahrad</w:t>
      </w:r>
      <w:r w:rsidRPr="005F62A4">
        <w:t xml:space="preserve">í </w:t>
      </w:r>
      <w:r w:rsidRPr="005F62A4">
        <w:rPr>
          <w:rFonts w:eastAsia="Arial Unicode MS" w:cs="Arial Unicode MS"/>
        </w:rPr>
        <w:t>prosp</w:t>
      </w:r>
      <w:r w:rsidRPr="005F62A4">
        <w:t>ě</w:t>
      </w:r>
      <w:r w:rsidRPr="005F62A4">
        <w:rPr>
          <w:rFonts w:eastAsia="Arial Unicode MS" w:cs="Arial Unicode MS"/>
        </w:rPr>
        <w:t>ch v</w:t>
      </w:r>
      <w:r w:rsidRPr="005F62A4">
        <w:t> </w:t>
      </w:r>
      <w:r w:rsidRPr="005F62A4">
        <w:rPr>
          <w:rFonts w:eastAsia="Arial Unicode MS" w:cs="Arial Unicode MS"/>
        </w:rPr>
        <w:t>pen</w:t>
      </w:r>
      <w:r w:rsidRPr="005F62A4">
        <w:t>ě</w:t>
      </w:r>
      <w:r w:rsidRPr="005F62A4">
        <w:rPr>
          <w:rFonts w:eastAsia="Arial Unicode MS" w:cs="Arial Unicode MS"/>
        </w:rPr>
        <w:t>z</w:t>
      </w:r>
      <w:r w:rsidRPr="005F62A4">
        <w:t>í</w:t>
      </w:r>
      <w:r w:rsidRPr="005F62A4">
        <w:rPr>
          <w:rFonts w:eastAsia="Arial Unicode MS" w:cs="Arial Unicode MS"/>
        </w:rPr>
        <w:t>ch. Toto se pou</w:t>
      </w:r>
      <w:r w:rsidRPr="005F62A4">
        <w:t>ž</w:t>
      </w:r>
      <w:r w:rsidRPr="005F62A4">
        <w:rPr>
          <w:rFonts w:eastAsia="Arial Unicode MS" w:cs="Arial Unicode MS"/>
        </w:rPr>
        <w:t>ije i na b</w:t>
      </w:r>
      <w:r w:rsidRPr="005F62A4">
        <w:t>ý</w:t>
      </w:r>
      <w:r w:rsidRPr="005F62A4">
        <w:rPr>
          <w:rFonts w:eastAsia="Arial Unicode MS" w:cs="Arial Unicode MS"/>
        </w:rPr>
        <w:t>val</w:t>
      </w:r>
      <w:r w:rsidRPr="005F62A4">
        <w:t>é č</w:t>
      </w:r>
      <w:r w:rsidRPr="005F62A4">
        <w:rPr>
          <w:rFonts w:eastAsia="Arial Unicode MS" w:cs="Arial Unicode MS"/>
        </w:rPr>
        <w:t>leny org</w:t>
      </w:r>
      <w:r w:rsidRPr="005F62A4">
        <w:t>á</w:t>
      </w:r>
      <w:r w:rsidRPr="005F62A4">
        <w:rPr>
          <w:rFonts w:eastAsia="Arial Unicode MS" w:cs="Arial Unicode MS"/>
        </w:rPr>
        <w:t>n</w:t>
      </w:r>
      <w:r w:rsidRPr="005F62A4">
        <w:t xml:space="preserve">ů </w:t>
      </w:r>
      <w:r w:rsidRPr="005F62A4">
        <w:rPr>
          <w:rFonts w:eastAsia="Arial Unicode MS" w:cs="Arial Unicode MS"/>
        </w:rPr>
        <w:t xml:space="preserve">OK. (viz ust. </w:t>
      </w:r>
      <w:r w:rsidRPr="005F62A4">
        <w:t xml:space="preserve">§ </w:t>
      </w:r>
      <w:r w:rsidRPr="005F62A4">
        <w:rPr>
          <w:rFonts w:eastAsia="Arial Unicode MS" w:cs="Arial Unicode MS"/>
        </w:rPr>
        <w:t>62 ZOK)</w:t>
      </w:r>
      <w:r>
        <w:rPr>
          <w:rFonts w:eastAsia="Arial Unicode MS" w:hAnsi="Arial Unicode MS" w:cs="Arial Unicode MS"/>
        </w:rPr>
        <w:t xml:space="preserve"> </w:t>
      </w:r>
    </w:p>
  </w:footnote>
  <w:footnote w:id="153">
    <w:p w:rsidR="00E8547E" w:rsidRDefault="00E8547E" w:rsidP="00F73F6E">
      <w:pPr>
        <w:pStyle w:val="Textpoznpodarou"/>
        <w:spacing w:line="240" w:lineRule="auto"/>
      </w:pPr>
      <w:r>
        <w:rPr>
          <w:vertAlign w:val="superscript"/>
        </w:rPr>
        <w:footnoteRef/>
      </w:r>
      <w:r>
        <w:t xml:space="preserve"> Š</w:t>
      </w:r>
      <w:r>
        <w:rPr>
          <w:lang w:val="en-US"/>
        </w:rPr>
        <w:t xml:space="preserve">UK, Petr. In </w:t>
      </w:r>
      <w:r>
        <w:t xml:space="preserve">ŠTENGLOVÁ, Ivana a kol. (ed). </w:t>
      </w:r>
      <w:r>
        <w:rPr>
          <w:i/>
          <w:iCs/>
        </w:rPr>
        <w:t>Zákon o obchodních korporacích...,</w:t>
      </w:r>
      <w:r>
        <w:t xml:space="preserve"> s. 159.</w:t>
      </w:r>
    </w:p>
  </w:footnote>
  <w:footnote w:id="154">
    <w:p w:rsidR="00E8547E" w:rsidRDefault="00E8547E" w:rsidP="00F73F6E">
      <w:pPr>
        <w:pStyle w:val="Textpoznpodarou"/>
        <w:spacing w:line="240" w:lineRule="auto"/>
      </w:pPr>
      <w:r>
        <w:rPr>
          <w:vertAlign w:val="superscript"/>
        </w:rPr>
        <w:footnoteRef/>
      </w:r>
      <w:r>
        <w:t xml:space="preserve"> Š</w:t>
      </w:r>
      <w:r>
        <w:rPr>
          <w:lang w:val="en-US"/>
        </w:rPr>
        <w:t xml:space="preserve">UK, Petr. In </w:t>
      </w:r>
      <w:r>
        <w:t xml:space="preserve">ŠTENGLOVÁ, Ivana a kol. (ed). </w:t>
      </w:r>
      <w:r>
        <w:rPr>
          <w:i/>
          <w:iCs/>
        </w:rPr>
        <w:t>Zákon o obchodních korporacích...,</w:t>
      </w:r>
      <w:r>
        <w:t xml:space="preserve"> s. 161. </w:t>
      </w:r>
    </w:p>
  </w:footnote>
  <w:footnote w:id="155">
    <w:p w:rsidR="00E8547E" w:rsidRDefault="00E8547E" w:rsidP="00F73F6E">
      <w:pPr>
        <w:pStyle w:val="Textpoznpodarou"/>
        <w:spacing w:line="240" w:lineRule="auto"/>
      </w:pPr>
      <w:r>
        <w:rPr>
          <w:vertAlign w:val="superscript"/>
        </w:rPr>
        <w:footnoteRef/>
      </w:r>
      <w:r>
        <w:t xml:space="preserve"> PRIELOŽNÝ, Milan. Diskvalifikace (nejen) člena statutárního orgánu po rekodifikaci. </w:t>
      </w:r>
      <w:r>
        <w:rPr>
          <w:i/>
          <w:iCs/>
        </w:rPr>
        <w:t>Právní rádce</w:t>
      </w:r>
      <w:r>
        <w:t>, 2012, roč. 20, č. 10, s. 24 - 25.</w:t>
      </w:r>
    </w:p>
  </w:footnote>
  <w:footnote w:id="156">
    <w:p w:rsidR="00E8547E" w:rsidRDefault="00E8547E" w:rsidP="00F73F6E">
      <w:pPr>
        <w:pStyle w:val="Textpoznpodarou"/>
        <w:spacing w:line="240" w:lineRule="auto"/>
      </w:pPr>
      <w:r>
        <w:rPr>
          <w:vertAlign w:val="superscript"/>
        </w:rPr>
        <w:footnoteRef/>
      </w:r>
      <w:r>
        <w:t xml:space="preserve"> Ust. § 159 odst. 3 OZ. </w:t>
      </w:r>
    </w:p>
  </w:footnote>
  <w:footnote w:id="157">
    <w:p w:rsidR="00E8547E" w:rsidRDefault="00E8547E" w:rsidP="00F73F6E">
      <w:pPr>
        <w:pStyle w:val="Textpoznpodarou"/>
        <w:spacing w:line="240" w:lineRule="auto"/>
      </w:pPr>
      <w:r>
        <w:rPr>
          <w:vertAlign w:val="superscript"/>
        </w:rPr>
        <w:footnoteRef/>
      </w:r>
      <w:r>
        <w:t xml:space="preserve"> Rozsudek Nejvyššího soudu ČR ze dne 19. 6. 2012, sp. zn. 29 Cdo 3542/2011.</w:t>
      </w:r>
    </w:p>
  </w:footnote>
  <w:footnote w:id="158">
    <w:p w:rsidR="00E8547E" w:rsidRDefault="00E8547E" w:rsidP="00F73F6E">
      <w:pPr>
        <w:pStyle w:val="Textpoznpodarou"/>
        <w:spacing w:line="240" w:lineRule="auto"/>
      </w:pPr>
      <w:r>
        <w:rPr>
          <w:vertAlign w:val="superscript"/>
        </w:rPr>
        <w:footnoteRef/>
      </w:r>
      <w:r>
        <w:t xml:space="preserve"> LASÁ</w:t>
      </w:r>
      <w:r>
        <w:rPr>
          <w:lang w:val="en-US"/>
        </w:rPr>
        <w:t>K, Jan, KOUKAL, Pavel. In  LAVICK</w:t>
      </w:r>
      <w:r>
        <w:t xml:space="preserve">Ý, Petr a kol. (ed). </w:t>
      </w:r>
      <w:r>
        <w:rPr>
          <w:i/>
          <w:iCs/>
        </w:rPr>
        <w:t>Občanský zákoník I...</w:t>
      </w:r>
      <w:r>
        <w:t>s. 826.</w:t>
      </w:r>
    </w:p>
  </w:footnote>
  <w:footnote w:id="159">
    <w:p w:rsidR="00E8547E" w:rsidRDefault="00E8547E" w:rsidP="00F73F6E">
      <w:pPr>
        <w:pStyle w:val="Textpoznpodarou"/>
        <w:spacing w:line="240" w:lineRule="auto"/>
      </w:pPr>
      <w:r>
        <w:rPr>
          <w:vertAlign w:val="superscript"/>
        </w:rPr>
        <w:footnoteRef/>
      </w:r>
      <w:r>
        <w:t xml:space="preserve"> Viz ust. § 194 odst. 6 ObchZ ve spojení s ust. § 135 odst. 2 ObchZ se jednalo o platební neschopnost nebo proto, že společnost zastavila platby. </w:t>
      </w:r>
    </w:p>
  </w:footnote>
  <w:footnote w:id="160">
    <w:p w:rsidR="00E8547E" w:rsidRDefault="00E8547E" w:rsidP="00F73F6E">
      <w:pPr>
        <w:pStyle w:val="Textpoznpodarou"/>
        <w:spacing w:line="240" w:lineRule="auto"/>
      </w:pPr>
      <w:r>
        <w:rPr>
          <w:vertAlign w:val="superscript"/>
        </w:rPr>
        <w:footnoteRef/>
      </w:r>
      <w:r>
        <w:t xml:space="preserve"> VÍTEK, Jindřich. </w:t>
      </w:r>
      <w:r>
        <w:rPr>
          <w:i/>
          <w:iCs/>
        </w:rPr>
        <w:t>Odpovědnost statutárních orgánů obchodních společností</w:t>
      </w:r>
      <w:r>
        <w:rPr>
          <w:lang w:val="nl-NL"/>
        </w:rPr>
        <w:t xml:space="preserve">. Praha: Wolters Kluwer, 2012, s. 246 -247. </w:t>
      </w:r>
    </w:p>
  </w:footnote>
  <w:footnote w:id="161">
    <w:p w:rsidR="00E8547E" w:rsidRDefault="00E8547E" w:rsidP="00F73F6E">
      <w:pPr>
        <w:pStyle w:val="Textpoznpodarou"/>
        <w:spacing w:line="240" w:lineRule="auto"/>
      </w:pPr>
      <w:r>
        <w:rPr>
          <w:vertAlign w:val="superscript"/>
        </w:rPr>
        <w:footnoteRef/>
      </w:r>
      <w:r>
        <w:t xml:space="preserve"> Tamtéž s. 247 a též viz Rozsudek Nejvyššího soudu ČR ze dne 22.1.2009, sp. zn. 23 Cdo 4194/2008.</w:t>
      </w:r>
    </w:p>
  </w:footnote>
  <w:footnote w:id="162">
    <w:p w:rsidR="00E8547E" w:rsidRDefault="00E8547E" w:rsidP="00F73F6E">
      <w:pPr>
        <w:pStyle w:val="Textpoznpodarou"/>
        <w:spacing w:line="240" w:lineRule="auto"/>
      </w:pPr>
      <w:r>
        <w:rPr>
          <w:vertAlign w:val="superscript"/>
        </w:rPr>
        <w:footnoteRef/>
      </w:r>
      <w:r>
        <w:t xml:space="preserve"> Ust. § 66 odst. 2 ZOK.</w:t>
      </w:r>
    </w:p>
  </w:footnote>
  <w:footnote w:id="163">
    <w:p w:rsidR="00E8547E" w:rsidRDefault="00E8547E" w:rsidP="00F73F6E">
      <w:pPr>
        <w:pStyle w:val="Textpoznpodarou"/>
        <w:spacing w:line="240" w:lineRule="auto"/>
      </w:pPr>
      <w:r>
        <w:rPr>
          <w:vertAlign w:val="superscript"/>
        </w:rPr>
        <w:footnoteRef/>
      </w:r>
      <w:r>
        <w:t xml:space="preserve"> JANÍČKOVÁ, Iva. </w:t>
      </w:r>
      <w:r>
        <w:rPr>
          <w:i/>
          <w:iCs/>
        </w:rPr>
        <w:t>Ručení jednatele společnosti s ručením omezeným po 1.1.2014</w:t>
      </w:r>
      <w:r>
        <w:t xml:space="preserve"> [online]. muj-pravnik.cz, 22.4.2014 [28.11.2014]. Dostupné na &lt;http://muj-pravnik.cz/ruceni-jednatele-spolecnosti-s-rucenim-omezenym-po-1-1-2014&gt;.</w:t>
      </w:r>
    </w:p>
  </w:footnote>
  <w:footnote w:id="164">
    <w:p w:rsidR="00E8547E" w:rsidRDefault="00E8547E" w:rsidP="00F73F6E">
      <w:pPr>
        <w:pStyle w:val="Textpoznpodarou"/>
        <w:spacing w:line="240" w:lineRule="auto"/>
      </w:pPr>
      <w:r>
        <w:rPr>
          <w:vertAlign w:val="superscript"/>
        </w:rPr>
        <w:footnoteRef/>
      </w:r>
      <w:r>
        <w:t xml:space="preserve"> Ust. § 68  ZOK. </w:t>
      </w:r>
    </w:p>
  </w:footnote>
  <w:footnote w:id="165">
    <w:p w:rsidR="00E8547E" w:rsidRDefault="00E8547E" w:rsidP="00F73F6E">
      <w:pPr>
        <w:pStyle w:val="Textpoznpodarou"/>
        <w:spacing w:line="240" w:lineRule="auto"/>
      </w:pPr>
      <w:r>
        <w:rPr>
          <w:vertAlign w:val="superscript"/>
        </w:rPr>
        <w:footnoteRef/>
      </w:r>
      <w:r>
        <w:t xml:space="preserve"> Pojem úpadek definuje ust. § 3 odst. 1 - 3 InsZ. </w:t>
      </w:r>
    </w:p>
  </w:footnote>
  <w:footnote w:id="166">
    <w:p w:rsidR="00E8547E" w:rsidRDefault="00E8547E" w:rsidP="00F73F6E">
      <w:pPr>
        <w:pStyle w:val="Textpoznpodarou"/>
        <w:spacing w:line="240" w:lineRule="auto"/>
      </w:pPr>
      <w:r>
        <w:rPr>
          <w:vertAlign w:val="superscript"/>
        </w:rPr>
        <w:footnoteRef/>
      </w:r>
      <w:r>
        <w:t xml:space="preserve"> Pojem hrozící úpadek definuje ust. § 3 odst. 4 InsZ. </w:t>
      </w:r>
    </w:p>
  </w:footnote>
  <w:footnote w:id="167">
    <w:p w:rsidR="00E8547E" w:rsidRDefault="00E8547E" w:rsidP="00F73F6E">
      <w:pPr>
        <w:pStyle w:val="Textpoznpodarou"/>
        <w:spacing w:line="240" w:lineRule="auto"/>
      </w:pPr>
      <w:r>
        <w:rPr>
          <w:vertAlign w:val="superscript"/>
        </w:rPr>
        <w:footnoteRef/>
      </w:r>
      <w:r>
        <w:t xml:space="preserve"> Ust. § 68 odst. 1 ZOK.</w:t>
      </w:r>
    </w:p>
  </w:footnote>
  <w:footnote w:id="168">
    <w:p w:rsidR="00E8547E" w:rsidRDefault="00E8547E" w:rsidP="00F73F6E">
      <w:pPr>
        <w:pStyle w:val="Textpoznpodarou"/>
        <w:spacing w:line="240" w:lineRule="auto"/>
      </w:pPr>
      <w:r>
        <w:rPr>
          <w:vertAlign w:val="superscript"/>
        </w:rPr>
        <w:footnoteRef/>
      </w:r>
      <w:r>
        <w:t xml:space="preserve"> Shodně Š</w:t>
      </w:r>
      <w:r>
        <w:rPr>
          <w:lang w:val="en-US"/>
        </w:rPr>
        <w:t xml:space="preserve">UK, Petr. In </w:t>
      </w:r>
      <w:r>
        <w:t xml:space="preserve">ŠTENGLOVÁ, Ivana a kol. (ed). </w:t>
      </w:r>
      <w:r>
        <w:rPr>
          <w:i/>
          <w:iCs/>
        </w:rPr>
        <w:t>Zákon o obchodních korporacích...,</w:t>
      </w:r>
      <w:r>
        <w:t xml:space="preserve"> s. 165. </w:t>
      </w:r>
    </w:p>
  </w:footnote>
  <w:footnote w:id="169">
    <w:p w:rsidR="00E8547E" w:rsidRDefault="00E8547E" w:rsidP="00F73F6E">
      <w:pPr>
        <w:pStyle w:val="Textpoznpodarou"/>
        <w:spacing w:line="240" w:lineRule="auto"/>
      </w:pPr>
      <w:r>
        <w:rPr>
          <w:vertAlign w:val="superscript"/>
        </w:rPr>
        <w:footnoteRef/>
      </w:r>
      <w:r>
        <w:t xml:space="preserve"> DVOŘÁK, Tomáš. </w:t>
      </w:r>
      <w:r>
        <w:rPr>
          <w:i/>
          <w:iCs/>
        </w:rPr>
        <w:t>Společnost s ručením omezeným</w:t>
      </w:r>
      <w:r>
        <w:rPr>
          <w:lang w:val="nl-NL"/>
        </w:rPr>
        <w:t>. Praha: Wolters Kluwer, 2014, s. 478 - 479.</w:t>
      </w:r>
    </w:p>
  </w:footnote>
  <w:footnote w:id="170">
    <w:p w:rsidR="00E8547E" w:rsidRDefault="00E8547E" w:rsidP="00F73F6E">
      <w:pPr>
        <w:pStyle w:val="Textpoznpodarou"/>
        <w:spacing w:line="240" w:lineRule="auto"/>
      </w:pPr>
      <w:r>
        <w:rPr>
          <w:vertAlign w:val="superscript"/>
        </w:rPr>
        <w:footnoteRef/>
      </w:r>
      <w:r>
        <w:t xml:space="preserve"> Ust. § 127 InsZ. </w:t>
      </w:r>
    </w:p>
  </w:footnote>
  <w:footnote w:id="171">
    <w:p w:rsidR="00E8547E" w:rsidRDefault="00E8547E" w:rsidP="00F73F6E">
      <w:pPr>
        <w:pStyle w:val="Textpoznpodarou"/>
        <w:spacing w:line="240" w:lineRule="auto"/>
      </w:pPr>
      <w:r>
        <w:rPr>
          <w:vertAlign w:val="superscript"/>
        </w:rPr>
        <w:footnoteRef/>
      </w:r>
      <w:r>
        <w:t xml:space="preserve"> Ust. § 147 InsZ. </w:t>
      </w:r>
    </w:p>
  </w:footnote>
  <w:footnote w:id="172">
    <w:p w:rsidR="00E8547E" w:rsidRDefault="00E8547E" w:rsidP="00F73F6E">
      <w:pPr>
        <w:pStyle w:val="Textpoznpodarou"/>
        <w:spacing w:line="240" w:lineRule="auto"/>
      </w:pPr>
      <w:r>
        <w:rPr>
          <w:vertAlign w:val="superscript"/>
        </w:rPr>
        <w:footnoteRef/>
      </w:r>
      <w:r>
        <w:t xml:space="preserve"> JANÍČKOVÁ, Iva. Ručení jednatele společnosti s ručením omezeným po 1.1.2014. [online]. muj-pravnik.cz, 22.4.2014 [cit. 6.2.2015]. Dostupné na &lt;http://muj-pravnik.cz/ruceni-jednatele-spolecnosti-s-rucenim-omezenym-po-1-1-2014/&gt;.</w:t>
      </w:r>
    </w:p>
  </w:footnote>
  <w:footnote w:id="173">
    <w:p w:rsidR="00E8547E" w:rsidRDefault="00E8547E" w:rsidP="00911D39">
      <w:pPr>
        <w:pStyle w:val="Textpoznpodarou"/>
        <w:spacing w:line="240" w:lineRule="auto"/>
      </w:pPr>
      <w:r>
        <w:rPr>
          <w:rStyle w:val="Znakapoznpodarou"/>
        </w:rPr>
        <w:footnoteRef/>
      </w:r>
      <w:r>
        <w:t xml:space="preserve"> Viz </w:t>
      </w:r>
      <w:r w:rsidRPr="007A4E8E">
        <w:rPr>
          <w:i/>
        </w:rPr>
        <w:t>D</w:t>
      </w:r>
      <w:r w:rsidRPr="007A4E8E">
        <w:rPr>
          <w:i/>
          <w:iCs/>
        </w:rPr>
        <w:t>ô</w:t>
      </w:r>
      <w:r w:rsidRPr="007A4E8E">
        <w:rPr>
          <w:i/>
        </w:rPr>
        <w:t xml:space="preserve">vodová správa k zákonu </w:t>
      </w:r>
      <w:r w:rsidRPr="007A4E8E">
        <w:rPr>
          <w:rStyle w:val="ppp-msumm"/>
          <w:i/>
        </w:rPr>
        <w:t>ktorým sa mení a dopĺňa zákon č. 513/1991 Zb. Obchodný zákonník v znení neskorších predpisov a ktorým sa menia a dopĺňajú niektoré zákony</w:t>
      </w:r>
      <w:r>
        <w:rPr>
          <w:rStyle w:val="ppp-msumm"/>
        </w:rPr>
        <w:t xml:space="preserve"> </w:t>
      </w:r>
      <w:r>
        <w:t xml:space="preserve"> [online]. </w:t>
      </w:r>
      <w:r w:rsidRPr="00B9359E">
        <w:t>rokovania.sk</w:t>
      </w:r>
      <w:r>
        <w:t>,  [cit. 22.3.2015]. Dostupné na &lt;</w:t>
      </w:r>
      <w:r w:rsidRPr="00B9359E">
        <w:t>http://www.rokovania.sk/File.aspx/ViewDocumentHtml/Mater-Dokum-166937?prefixFile=m_</w:t>
      </w:r>
      <w:r>
        <w:t xml:space="preserve">&gt; a  též </w:t>
      </w:r>
      <w:r w:rsidRPr="007A4E8E">
        <w:rPr>
          <w:i/>
        </w:rPr>
        <w:t xml:space="preserve">Návrh zákona </w:t>
      </w:r>
      <w:r w:rsidRPr="007A4E8E">
        <w:rPr>
          <w:rStyle w:val="ppp-msumm"/>
          <w:i/>
        </w:rPr>
        <w:t>ktorým sa mení a dopĺňa zákon č. 513/1991 Zb. Obchodný zákonník v znení neskorších predpisov a ktorým sa menia a dopĺňajú niektoré zákony</w:t>
      </w:r>
      <w:r>
        <w:rPr>
          <w:rStyle w:val="ppp-msumm"/>
        </w:rPr>
        <w:t xml:space="preserve"> </w:t>
      </w:r>
      <w:r>
        <w:t>[online].</w:t>
      </w:r>
      <w:r w:rsidRPr="00B9359E">
        <w:t xml:space="preserve"> lt.justice.gov.sk</w:t>
      </w:r>
      <w:r>
        <w:t>, [cit. 22.3.2015]. Dostupné na &lt;</w:t>
      </w:r>
      <w:r w:rsidRPr="00B9359E">
        <w:t>https://lt.justice.gov.sk/Attachment/14</w:t>
      </w:r>
      <w:r>
        <w:t xml:space="preserve">0814_vlast_mat_rtf.pdf?instEID= </w:t>
      </w:r>
      <w:r w:rsidRPr="00B9359E">
        <w:t>1&amp;attEID=69263&amp;docEID=370241&amp;matEID=7314&amp;langEID=1&amp;tStamp=20140819163226303</w:t>
      </w:r>
      <w:r>
        <w:t>&gt;.</w:t>
      </w:r>
    </w:p>
    <w:p w:rsidR="00E8547E" w:rsidRDefault="00E8547E">
      <w:pPr>
        <w:pStyle w:val="Textpoznpod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19A5"/>
    <w:rsid w:val="00006139"/>
    <w:rsid w:val="00006ECC"/>
    <w:rsid w:val="00014AE3"/>
    <w:rsid w:val="000235BB"/>
    <w:rsid w:val="000238B5"/>
    <w:rsid w:val="00024CB6"/>
    <w:rsid w:val="00046680"/>
    <w:rsid w:val="000467FC"/>
    <w:rsid w:val="00050644"/>
    <w:rsid w:val="00051E6F"/>
    <w:rsid w:val="000701D2"/>
    <w:rsid w:val="00085006"/>
    <w:rsid w:val="00086BF7"/>
    <w:rsid w:val="000920AF"/>
    <w:rsid w:val="00092B96"/>
    <w:rsid w:val="00095105"/>
    <w:rsid w:val="0009773A"/>
    <w:rsid w:val="000A207B"/>
    <w:rsid w:val="000A384A"/>
    <w:rsid w:val="000A42A8"/>
    <w:rsid w:val="000A59E1"/>
    <w:rsid w:val="000B084B"/>
    <w:rsid w:val="000B2C8F"/>
    <w:rsid w:val="000C3B97"/>
    <w:rsid w:val="000C4732"/>
    <w:rsid w:val="000C6C50"/>
    <w:rsid w:val="000D00C6"/>
    <w:rsid w:val="000E4894"/>
    <w:rsid w:val="000E5ABA"/>
    <w:rsid w:val="000E68CA"/>
    <w:rsid w:val="000E7207"/>
    <w:rsid w:val="000E73FF"/>
    <w:rsid w:val="000F0340"/>
    <w:rsid w:val="000F6731"/>
    <w:rsid w:val="001005C2"/>
    <w:rsid w:val="0011072E"/>
    <w:rsid w:val="00123726"/>
    <w:rsid w:val="00125905"/>
    <w:rsid w:val="0013239B"/>
    <w:rsid w:val="001351E1"/>
    <w:rsid w:val="00136645"/>
    <w:rsid w:val="00137A1A"/>
    <w:rsid w:val="00137DA3"/>
    <w:rsid w:val="00146A3A"/>
    <w:rsid w:val="00146B60"/>
    <w:rsid w:val="001622A7"/>
    <w:rsid w:val="00162B42"/>
    <w:rsid w:val="001632D9"/>
    <w:rsid w:val="00166F33"/>
    <w:rsid w:val="001672B1"/>
    <w:rsid w:val="00175B1C"/>
    <w:rsid w:val="001775D3"/>
    <w:rsid w:val="00180428"/>
    <w:rsid w:val="00181E25"/>
    <w:rsid w:val="00183CCA"/>
    <w:rsid w:val="001855C6"/>
    <w:rsid w:val="00195C42"/>
    <w:rsid w:val="001B4726"/>
    <w:rsid w:val="001C297B"/>
    <w:rsid w:val="001C2BF0"/>
    <w:rsid w:val="001D6C64"/>
    <w:rsid w:val="001E5D3B"/>
    <w:rsid w:val="001F1804"/>
    <w:rsid w:val="001F19A5"/>
    <w:rsid w:val="001F2287"/>
    <w:rsid w:val="001F47D9"/>
    <w:rsid w:val="00202E0E"/>
    <w:rsid w:val="00203AD5"/>
    <w:rsid w:val="00210C28"/>
    <w:rsid w:val="002127B3"/>
    <w:rsid w:val="00213954"/>
    <w:rsid w:val="002139EA"/>
    <w:rsid w:val="002157AE"/>
    <w:rsid w:val="002202E4"/>
    <w:rsid w:val="0022626D"/>
    <w:rsid w:val="00231179"/>
    <w:rsid w:val="00235AA9"/>
    <w:rsid w:val="00240EDA"/>
    <w:rsid w:val="0024715A"/>
    <w:rsid w:val="00251078"/>
    <w:rsid w:val="00257134"/>
    <w:rsid w:val="002710ED"/>
    <w:rsid w:val="002725EC"/>
    <w:rsid w:val="0027642C"/>
    <w:rsid w:val="00281725"/>
    <w:rsid w:val="00283CD3"/>
    <w:rsid w:val="00294867"/>
    <w:rsid w:val="002A48CC"/>
    <w:rsid w:val="002B69C6"/>
    <w:rsid w:val="002C0999"/>
    <w:rsid w:val="002C1148"/>
    <w:rsid w:val="002C32A2"/>
    <w:rsid w:val="002D2B15"/>
    <w:rsid w:val="002D5AE8"/>
    <w:rsid w:val="002E09CA"/>
    <w:rsid w:val="002E0ED8"/>
    <w:rsid w:val="002E4473"/>
    <w:rsid w:val="002F584D"/>
    <w:rsid w:val="002F60E3"/>
    <w:rsid w:val="002F70ED"/>
    <w:rsid w:val="002F73CF"/>
    <w:rsid w:val="00304B4D"/>
    <w:rsid w:val="0030563A"/>
    <w:rsid w:val="00305F0E"/>
    <w:rsid w:val="0030636D"/>
    <w:rsid w:val="00326D75"/>
    <w:rsid w:val="00332CA9"/>
    <w:rsid w:val="003333CA"/>
    <w:rsid w:val="0034618F"/>
    <w:rsid w:val="00351E9C"/>
    <w:rsid w:val="003577B0"/>
    <w:rsid w:val="003654E9"/>
    <w:rsid w:val="00372E33"/>
    <w:rsid w:val="003761ED"/>
    <w:rsid w:val="00382C33"/>
    <w:rsid w:val="00385422"/>
    <w:rsid w:val="00393019"/>
    <w:rsid w:val="00393224"/>
    <w:rsid w:val="003A06AF"/>
    <w:rsid w:val="003A28E4"/>
    <w:rsid w:val="003A4EB1"/>
    <w:rsid w:val="003B74F2"/>
    <w:rsid w:val="003C083E"/>
    <w:rsid w:val="003C298E"/>
    <w:rsid w:val="003C37BB"/>
    <w:rsid w:val="003C3F90"/>
    <w:rsid w:val="003C44F3"/>
    <w:rsid w:val="003D008C"/>
    <w:rsid w:val="003D0B8E"/>
    <w:rsid w:val="003D2737"/>
    <w:rsid w:val="003E346A"/>
    <w:rsid w:val="003E6789"/>
    <w:rsid w:val="003F2677"/>
    <w:rsid w:val="00400841"/>
    <w:rsid w:val="00404B88"/>
    <w:rsid w:val="00404C1B"/>
    <w:rsid w:val="004105F7"/>
    <w:rsid w:val="00422131"/>
    <w:rsid w:val="00426751"/>
    <w:rsid w:val="004417A2"/>
    <w:rsid w:val="00450B85"/>
    <w:rsid w:val="0045479D"/>
    <w:rsid w:val="00457AEA"/>
    <w:rsid w:val="0046203B"/>
    <w:rsid w:val="00463B9A"/>
    <w:rsid w:val="00465EA3"/>
    <w:rsid w:val="00472BE1"/>
    <w:rsid w:val="00472D87"/>
    <w:rsid w:val="00480280"/>
    <w:rsid w:val="00482E26"/>
    <w:rsid w:val="00483FC7"/>
    <w:rsid w:val="00484FF8"/>
    <w:rsid w:val="0048578F"/>
    <w:rsid w:val="00490AEB"/>
    <w:rsid w:val="00493798"/>
    <w:rsid w:val="00493A7F"/>
    <w:rsid w:val="00493CEA"/>
    <w:rsid w:val="00494762"/>
    <w:rsid w:val="00494962"/>
    <w:rsid w:val="004B289F"/>
    <w:rsid w:val="004C2656"/>
    <w:rsid w:val="004D1207"/>
    <w:rsid w:val="004E3C0A"/>
    <w:rsid w:val="004E6670"/>
    <w:rsid w:val="004E6ADE"/>
    <w:rsid w:val="004F5F18"/>
    <w:rsid w:val="00501CED"/>
    <w:rsid w:val="0050797B"/>
    <w:rsid w:val="005117E8"/>
    <w:rsid w:val="0051414A"/>
    <w:rsid w:val="0051642C"/>
    <w:rsid w:val="00516C7F"/>
    <w:rsid w:val="0052222D"/>
    <w:rsid w:val="00524613"/>
    <w:rsid w:val="005268CF"/>
    <w:rsid w:val="0053126B"/>
    <w:rsid w:val="00540771"/>
    <w:rsid w:val="00552088"/>
    <w:rsid w:val="00552A99"/>
    <w:rsid w:val="00554622"/>
    <w:rsid w:val="00555203"/>
    <w:rsid w:val="0056686E"/>
    <w:rsid w:val="005748B6"/>
    <w:rsid w:val="00590A39"/>
    <w:rsid w:val="005924B3"/>
    <w:rsid w:val="00597150"/>
    <w:rsid w:val="00597341"/>
    <w:rsid w:val="005A33E5"/>
    <w:rsid w:val="005A68F7"/>
    <w:rsid w:val="005B0E22"/>
    <w:rsid w:val="005C2138"/>
    <w:rsid w:val="005C2713"/>
    <w:rsid w:val="005C4437"/>
    <w:rsid w:val="005D4DC7"/>
    <w:rsid w:val="005E3885"/>
    <w:rsid w:val="005E53D2"/>
    <w:rsid w:val="005E7D35"/>
    <w:rsid w:val="005F375F"/>
    <w:rsid w:val="005F5770"/>
    <w:rsid w:val="00603EAB"/>
    <w:rsid w:val="006072C4"/>
    <w:rsid w:val="006116C1"/>
    <w:rsid w:val="0061697E"/>
    <w:rsid w:val="0062124E"/>
    <w:rsid w:val="00630141"/>
    <w:rsid w:val="006311A9"/>
    <w:rsid w:val="00633C5E"/>
    <w:rsid w:val="00645CC8"/>
    <w:rsid w:val="00646B4D"/>
    <w:rsid w:val="00651BA1"/>
    <w:rsid w:val="0065423B"/>
    <w:rsid w:val="00654B44"/>
    <w:rsid w:val="00665152"/>
    <w:rsid w:val="00666BB1"/>
    <w:rsid w:val="006727E5"/>
    <w:rsid w:val="006758C2"/>
    <w:rsid w:val="006816F8"/>
    <w:rsid w:val="006A0C10"/>
    <w:rsid w:val="006B1D07"/>
    <w:rsid w:val="006B429B"/>
    <w:rsid w:val="006B65F5"/>
    <w:rsid w:val="006C31CE"/>
    <w:rsid w:val="006D292E"/>
    <w:rsid w:val="006E25F4"/>
    <w:rsid w:val="006E2C57"/>
    <w:rsid w:val="006E3985"/>
    <w:rsid w:val="006F2B56"/>
    <w:rsid w:val="006F5318"/>
    <w:rsid w:val="0070548E"/>
    <w:rsid w:val="00707ED9"/>
    <w:rsid w:val="00712A1E"/>
    <w:rsid w:val="007133DE"/>
    <w:rsid w:val="00713641"/>
    <w:rsid w:val="007142DE"/>
    <w:rsid w:val="0072176A"/>
    <w:rsid w:val="00734242"/>
    <w:rsid w:val="00760F3A"/>
    <w:rsid w:val="007637DF"/>
    <w:rsid w:val="0077565A"/>
    <w:rsid w:val="0078191D"/>
    <w:rsid w:val="0078292D"/>
    <w:rsid w:val="00786CC1"/>
    <w:rsid w:val="0079302F"/>
    <w:rsid w:val="00794B36"/>
    <w:rsid w:val="00796020"/>
    <w:rsid w:val="007A4E8E"/>
    <w:rsid w:val="007A56C0"/>
    <w:rsid w:val="007B3A47"/>
    <w:rsid w:val="007B4FE3"/>
    <w:rsid w:val="007B6324"/>
    <w:rsid w:val="007C0F5B"/>
    <w:rsid w:val="007C18B3"/>
    <w:rsid w:val="007C35C0"/>
    <w:rsid w:val="007C639E"/>
    <w:rsid w:val="007D0278"/>
    <w:rsid w:val="007D33FC"/>
    <w:rsid w:val="007D4934"/>
    <w:rsid w:val="007D4F03"/>
    <w:rsid w:val="007E0DC6"/>
    <w:rsid w:val="007F16A1"/>
    <w:rsid w:val="007F428A"/>
    <w:rsid w:val="007F6D87"/>
    <w:rsid w:val="007F720C"/>
    <w:rsid w:val="007F7270"/>
    <w:rsid w:val="00800B37"/>
    <w:rsid w:val="00803B35"/>
    <w:rsid w:val="00810DA9"/>
    <w:rsid w:val="0081319C"/>
    <w:rsid w:val="00817D00"/>
    <w:rsid w:val="00832C0E"/>
    <w:rsid w:val="00833023"/>
    <w:rsid w:val="008333FA"/>
    <w:rsid w:val="00856A93"/>
    <w:rsid w:val="0085734C"/>
    <w:rsid w:val="00857A7D"/>
    <w:rsid w:val="0086051F"/>
    <w:rsid w:val="00860D76"/>
    <w:rsid w:val="0086592D"/>
    <w:rsid w:val="00870ECB"/>
    <w:rsid w:val="008740B1"/>
    <w:rsid w:val="00880287"/>
    <w:rsid w:val="00883541"/>
    <w:rsid w:val="00885704"/>
    <w:rsid w:val="008973B3"/>
    <w:rsid w:val="008A51B6"/>
    <w:rsid w:val="008A7124"/>
    <w:rsid w:val="008C4103"/>
    <w:rsid w:val="008C4F77"/>
    <w:rsid w:val="008C51FF"/>
    <w:rsid w:val="008C7B51"/>
    <w:rsid w:val="008D2927"/>
    <w:rsid w:val="008D54C3"/>
    <w:rsid w:val="008E13CF"/>
    <w:rsid w:val="008E4650"/>
    <w:rsid w:val="008F4153"/>
    <w:rsid w:val="008F46F8"/>
    <w:rsid w:val="009033C7"/>
    <w:rsid w:val="00904374"/>
    <w:rsid w:val="00906B5F"/>
    <w:rsid w:val="00911CBC"/>
    <w:rsid w:val="00911D39"/>
    <w:rsid w:val="009153F3"/>
    <w:rsid w:val="00926431"/>
    <w:rsid w:val="00931547"/>
    <w:rsid w:val="00947489"/>
    <w:rsid w:val="009504A8"/>
    <w:rsid w:val="0095106E"/>
    <w:rsid w:val="009648FC"/>
    <w:rsid w:val="00964CD6"/>
    <w:rsid w:val="009652FF"/>
    <w:rsid w:val="00974374"/>
    <w:rsid w:val="00993250"/>
    <w:rsid w:val="009A1060"/>
    <w:rsid w:val="009C205D"/>
    <w:rsid w:val="009C28B5"/>
    <w:rsid w:val="009C75C1"/>
    <w:rsid w:val="009D2D9E"/>
    <w:rsid w:val="009D3A80"/>
    <w:rsid w:val="009D4397"/>
    <w:rsid w:val="009E5BC7"/>
    <w:rsid w:val="009F1692"/>
    <w:rsid w:val="009F62A6"/>
    <w:rsid w:val="009F75C0"/>
    <w:rsid w:val="00A020FC"/>
    <w:rsid w:val="00A02EBB"/>
    <w:rsid w:val="00A04DDF"/>
    <w:rsid w:val="00A06122"/>
    <w:rsid w:val="00A16B0E"/>
    <w:rsid w:val="00A21D7D"/>
    <w:rsid w:val="00A2253F"/>
    <w:rsid w:val="00A240D7"/>
    <w:rsid w:val="00A259B6"/>
    <w:rsid w:val="00A4263C"/>
    <w:rsid w:val="00A604AD"/>
    <w:rsid w:val="00A66176"/>
    <w:rsid w:val="00A733D9"/>
    <w:rsid w:val="00A7440F"/>
    <w:rsid w:val="00A8070F"/>
    <w:rsid w:val="00A8230A"/>
    <w:rsid w:val="00A834FA"/>
    <w:rsid w:val="00A83B6A"/>
    <w:rsid w:val="00A83B9B"/>
    <w:rsid w:val="00A84021"/>
    <w:rsid w:val="00A90A65"/>
    <w:rsid w:val="00AA2D6A"/>
    <w:rsid w:val="00AA554D"/>
    <w:rsid w:val="00AA69B3"/>
    <w:rsid w:val="00AB34DF"/>
    <w:rsid w:val="00AB5C39"/>
    <w:rsid w:val="00AC19A2"/>
    <w:rsid w:val="00AC1BC1"/>
    <w:rsid w:val="00AD16EA"/>
    <w:rsid w:val="00AD4ABB"/>
    <w:rsid w:val="00AD6F9A"/>
    <w:rsid w:val="00AE65DC"/>
    <w:rsid w:val="00AE6A58"/>
    <w:rsid w:val="00AF14B2"/>
    <w:rsid w:val="00AF3F46"/>
    <w:rsid w:val="00B018CF"/>
    <w:rsid w:val="00B02F96"/>
    <w:rsid w:val="00B10550"/>
    <w:rsid w:val="00B1236C"/>
    <w:rsid w:val="00B21547"/>
    <w:rsid w:val="00B35444"/>
    <w:rsid w:val="00B37DB4"/>
    <w:rsid w:val="00B43C6E"/>
    <w:rsid w:val="00B4700C"/>
    <w:rsid w:val="00B47F58"/>
    <w:rsid w:val="00B51E3F"/>
    <w:rsid w:val="00B5207F"/>
    <w:rsid w:val="00B53A76"/>
    <w:rsid w:val="00B5556D"/>
    <w:rsid w:val="00B5665E"/>
    <w:rsid w:val="00B61BEA"/>
    <w:rsid w:val="00B63C4A"/>
    <w:rsid w:val="00B63EEF"/>
    <w:rsid w:val="00B66DEB"/>
    <w:rsid w:val="00B74FBB"/>
    <w:rsid w:val="00B85E60"/>
    <w:rsid w:val="00B86B30"/>
    <w:rsid w:val="00B920A5"/>
    <w:rsid w:val="00B9359E"/>
    <w:rsid w:val="00B94ECD"/>
    <w:rsid w:val="00B974F1"/>
    <w:rsid w:val="00BA2595"/>
    <w:rsid w:val="00BA3EF7"/>
    <w:rsid w:val="00BA7A85"/>
    <w:rsid w:val="00BB16B2"/>
    <w:rsid w:val="00BB41EA"/>
    <w:rsid w:val="00BB4F12"/>
    <w:rsid w:val="00BC446C"/>
    <w:rsid w:val="00BC5AF2"/>
    <w:rsid w:val="00BD065E"/>
    <w:rsid w:val="00BD5104"/>
    <w:rsid w:val="00BE5346"/>
    <w:rsid w:val="00BF03DD"/>
    <w:rsid w:val="00BF287E"/>
    <w:rsid w:val="00BF72F5"/>
    <w:rsid w:val="00C0422D"/>
    <w:rsid w:val="00C062F6"/>
    <w:rsid w:val="00C1379C"/>
    <w:rsid w:val="00C2009B"/>
    <w:rsid w:val="00C2181A"/>
    <w:rsid w:val="00C233B6"/>
    <w:rsid w:val="00C26136"/>
    <w:rsid w:val="00C42141"/>
    <w:rsid w:val="00C60CEB"/>
    <w:rsid w:val="00C61C02"/>
    <w:rsid w:val="00C66278"/>
    <w:rsid w:val="00C720F4"/>
    <w:rsid w:val="00C804CE"/>
    <w:rsid w:val="00C8568E"/>
    <w:rsid w:val="00C870E9"/>
    <w:rsid w:val="00C879E9"/>
    <w:rsid w:val="00C87E7A"/>
    <w:rsid w:val="00C90B80"/>
    <w:rsid w:val="00C90BB1"/>
    <w:rsid w:val="00C90F09"/>
    <w:rsid w:val="00C9202A"/>
    <w:rsid w:val="00CB1683"/>
    <w:rsid w:val="00CB30D4"/>
    <w:rsid w:val="00CC1B60"/>
    <w:rsid w:val="00CC3D88"/>
    <w:rsid w:val="00CC4458"/>
    <w:rsid w:val="00CC640F"/>
    <w:rsid w:val="00CD5D86"/>
    <w:rsid w:val="00CE0B87"/>
    <w:rsid w:val="00CE0D91"/>
    <w:rsid w:val="00CE68E9"/>
    <w:rsid w:val="00CF1594"/>
    <w:rsid w:val="00CF3069"/>
    <w:rsid w:val="00D013C2"/>
    <w:rsid w:val="00D01610"/>
    <w:rsid w:val="00D01CF3"/>
    <w:rsid w:val="00D05102"/>
    <w:rsid w:val="00D119C6"/>
    <w:rsid w:val="00D1283C"/>
    <w:rsid w:val="00D15E92"/>
    <w:rsid w:val="00D16530"/>
    <w:rsid w:val="00D173E0"/>
    <w:rsid w:val="00D20365"/>
    <w:rsid w:val="00D24EC2"/>
    <w:rsid w:val="00D26F37"/>
    <w:rsid w:val="00D43720"/>
    <w:rsid w:val="00D46D97"/>
    <w:rsid w:val="00D578A7"/>
    <w:rsid w:val="00D701FD"/>
    <w:rsid w:val="00D76C84"/>
    <w:rsid w:val="00D77DEB"/>
    <w:rsid w:val="00D80BDE"/>
    <w:rsid w:val="00D813C1"/>
    <w:rsid w:val="00D822CE"/>
    <w:rsid w:val="00D929E8"/>
    <w:rsid w:val="00DA25CB"/>
    <w:rsid w:val="00DA54DB"/>
    <w:rsid w:val="00DB339A"/>
    <w:rsid w:val="00DB4A73"/>
    <w:rsid w:val="00DC1D75"/>
    <w:rsid w:val="00DD2A51"/>
    <w:rsid w:val="00DD2E7D"/>
    <w:rsid w:val="00DD5105"/>
    <w:rsid w:val="00DF19EE"/>
    <w:rsid w:val="00DF4434"/>
    <w:rsid w:val="00E0095F"/>
    <w:rsid w:val="00E01C62"/>
    <w:rsid w:val="00E0687A"/>
    <w:rsid w:val="00E06DB3"/>
    <w:rsid w:val="00E12814"/>
    <w:rsid w:val="00E14A7D"/>
    <w:rsid w:val="00E1567F"/>
    <w:rsid w:val="00E22013"/>
    <w:rsid w:val="00E2685A"/>
    <w:rsid w:val="00E30494"/>
    <w:rsid w:val="00E344DF"/>
    <w:rsid w:val="00E625F8"/>
    <w:rsid w:val="00E64A43"/>
    <w:rsid w:val="00E66029"/>
    <w:rsid w:val="00E711AE"/>
    <w:rsid w:val="00E7478B"/>
    <w:rsid w:val="00E7579C"/>
    <w:rsid w:val="00E8547E"/>
    <w:rsid w:val="00E861B0"/>
    <w:rsid w:val="00E960FA"/>
    <w:rsid w:val="00E9652E"/>
    <w:rsid w:val="00EB145A"/>
    <w:rsid w:val="00EB78A7"/>
    <w:rsid w:val="00EC24B5"/>
    <w:rsid w:val="00EC2C3D"/>
    <w:rsid w:val="00EC4364"/>
    <w:rsid w:val="00EC5CE5"/>
    <w:rsid w:val="00EC61F4"/>
    <w:rsid w:val="00ED13E2"/>
    <w:rsid w:val="00ED2121"/>
    <w:rsid w:val="00ED78C1"/>
    <w:rsid w:val="00EE0EA4"/>
    <w:rsid w:val="00EE57B1"/>
    <w:rsid w:val="00EE61CD"/>
    <w:rsid w:val="00EF142E"/>
    <w:rsid w:val="00EF45E6"/>
    <w:rsid w:val="00EF595F"/>
    <w:rsid w:val="00EF6FEF"/>
    <w:rsid w:val="00F036E0"/>
    <w:rsid w:val="00F068E3"/>
    <w:rsid w:val="00F1179F"/>
    <w:rsid w:val="00F23F55"/>
    <w:rsid w:val="00F30669"/>
    <w:rsid w:val="00F30F82"/>
    <w:rsid w:val="00F440C8"/>
    <w:rsid w:val="00F46E29"/>
    <w:rsid w:val="00F719BC"/>
    <w:rsid w:val="00F734AF"/>
    <w:rsid w:val="00F73C25"/>
    <w:rsid w:val="00F73F6E"/>
    <w:rsid w:val="00F759C0"/>
    <w:rsid w:val="00F826B5"/>
    <w:rsid w:val="00F83975"/>
    <w:rsid w:val="00F93BC7"/>
    <w:rsid w:val="00F96FDD"/>
    <w:rsid w:val="00F97282"/>
    <w:rsid w:val="00F97373"/>
    <w:rsid w:val="00FA35E4"/>
    <w:rsid w:val="00FA7E5B"/>
    <w:rsid w:val="00FB416A"/>
    <w:rsid w:val="00FB7BA4"/>
    <w:rsid w:val="00FC5478"/>
    <w:rsid w:val="00FD0464"/>
    <w:rsid w:val="00FD71DE"/>
    <w:rsid w:val="00FE2712"/>
    <w:rsid w:val="00FE2FAD"/>
    <w:rsid w:val="00FE739F"/>
    <w:rsid w:val="00FF3E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2B1"/>
    <w:pPr>
      <w:spacing w:line="360" w:lineRule="auto"/>
      <w:jc w:val="both"/>
    </w:pPr>
    <w:rPr>
      <w:rFonts w:ascii="Garamond" w:hAnsi="Garamond"/>
      <w:sz w:val="24"/>
      <w:szCs w:val="24"/>
      <w:lang w:eastAsia="en-US" w:bidi="en-US"/>
    </w:rPr>
  </w:style>
  <w:style w:type="paragraph" w:styleId="Nadpis1">
    <w:name w:val="heading 1"/>
    <w:aliases w:val="1. úrovneň"/>
    <w:basedOn w:val="Normln"/>
    <w:next w:val="Normln"/>
    <w:link w:val="Nadpis1Char"/>
    <w:qFormat/>
    <w:rsid w:val="00C26136"/>
    <w:pPr>
      <w:keepNext/>
      <w:spacing w:before="240" w:after="60"/>
      <w:outlineLvl w:val="0"/>
    </w:pPr>
    <w:rPr>
      <w:b/>
      <w:bCs/>
      <w:kern w:val="32"/>
      <w:sz w:val="32"/>
      <w:szCs w:val="32"/>
    </w:rPr>
  </w:style>
  <w:style w:type="paragraph" w:styleId="Nadpis2">
    <w:name w:val="heading 2"/>
    <w:aliases w:val="2. úroveň"/>
    <w:basedOn w:val="Normln"/>
    <w:next w:val="Normln"/>
    <w:link w:val="Nadpis2Char"/>
    <w:unhideWhenUsed/>
    <w:qFormat/>
    <w:rsid w:val="002E09CA"/>
    <w:pPr>
      <w:keepNext/>
      <w:spacing w:before="240" w:after="60"/>
      <w:outlineLvl w:val="1"/>
    </w:pPr>
    <w:rPr>
      <w:b/>
      <w:bCs/>
      <w:iCs/>
      <w:sz w:val="28"/>
      <w:szCs w:val="28"/>
    </w:rPr>
  </w:style>
  <w:style w:type="paragraph" w:styleId="Nadpis3">
    <w:name w:val="heading 3"/>
    <w:basedOn w:val="Normln"/>
    <w:next w:val="Normln"/>
    <w:link w:val="Nadpis3Char"/>
    <w:unhideWhenUsed/>
    <w:qFormat/>
    <w:rsid w:val="002E09CA"/>
    <w:pPr>
      <w:keepNext/>
      <w:spacing w:before="240" w:after="60"/>
      <w:outlineLvl w:val="2"/>
    </w:pPr>
    <w:rPr>
      <w:b/>
      <w:bCs/>
      <w:szCs w:val="26"/>
    </w:rPr>
  </w:style>
  <w:style w:type="paragraph" w:styleId="Nadpis4">
    <w:name w:val="heading 4"/>
    <w:basedOn w:val="Normln"/>
    <w:next w:val="Normln"/>
    <w:link w:val="Nadpis4Char"/>
    <w:uiPriority w:val="9"/>
    <w:semiHidden/>
    <w:unhideWhenUsed/>
    <w:qFormat/>
    <w:rsid w:val="00856A93"/>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856A93"/>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856A93"/>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856A93"/>
    <w:pPr>
      <w:spacing w:before="240" w:after="60"/>
      <w:outlineLvl w:val="6"/>
    </w:pPr>
  </w:style>
  <w:style w:type="paragraph" w:styleId="Nadpis8">
    <w:name w:val="heading 8"/>
    <w:basedOn w:val="Normln"/>
    <w:next w:val="Normln"/>
    <w:link w:val="Nadpis8Char"/>
    <w:uiPriority w:val="9"/>
    <w:semiHidden/>
    <w:unhideWhenUsed/>
    <w:qFormat/>
    <w:rsid w:val="00856A93"/>
    <w:pPr>
      <w:spacing w:before="240" w:after="60"/>
      <w:outlineLvl w:val="7"/>
    </w:pPr>
    <w:rPr>
      <w:i/>
      <w:iCs/>
    </w:rPr>
  </w:style>
  <w:style w:type="paragraph" w:styleId="Nadpis9">
    <w:name w:val="heading 9"/>
    <w:basedOn w:val="Normln"/>
    <w:next w:val="Normln"/>
    <w:link w:val="Nadpis9Char"/>
    <w:uiPriority w:val="9"/>
    <w:semiHidden/>
    <w:unhideWhenUsed/>
    <w:qFormat/>
    <w:rsid w:val="00856A93"/>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úrovneň Char"/>
    <w:basedOn w:val="Standardnpsmoodstavce"/>
    <w:link w:val="Nadpis1"/>
    <w:rsid w:val="00C26136"/>
    <w:rPr>
      <w:rFonts w:ascii="Garamond" w:hAnsi="Garamond"/>
      <w:b/>
      <w:bCs/>
      <w:kern w:val="32"/>
      <w:sz w:val="32"/>
      <w:szCs w:val="32"/>
      <w:lang w:eastAsia="en-US" w:bidi="en-US"/>
    </w:rPr>
  </w:style>
  <w:style w:type="character" w:customStyle="1" w:styleId="Nadpis2Char">
    <w:name w:val="Nadpis 2 Char"/>
    <w:aliases w:val="2. úroveň Char"/>
    <w:basedOn w:val="Standardnpsmoodstavce"/>
    <w:link w:val="Nadpis2"/>
    <w:rsid w:val="002E09CA"/>
    <w:rPr>
      <w:rFonts w:ascii="Garamond" w:hAnsi="Garamond"/>
      <w:b/>
      <w:bCs/>
      <w:iCs/>
      <w:sz w:val="28"/>
      <w:szCs w:val="28"/>
      <w:lang w:eastAsia="en-US" w:bidi="en-US"/>
    </w:rPr>
  </w:style>
  <w:style w:type="character" w:customStyle="1" w:styleId="Nadpis3Char">
    <w:name w:val="Nadpis 3 Char"/>
    <w:basedOn w:val="Standardnpsmoodstavce"/>
    <w:link w:val="Nadpis3"/>
    <w:rsid w:val="002E09CA"/>
    <w:rPr>
      <w:rFonts w:ascii="Garamond" w:hAnsi="Garamond"/>
      <w:b/>
      <w:bCs/>
      <w:sz w:val="24"/>
      <w:szCs w:val="26"/>
      <w:lang w:eastAsia="en-US" w:bidi="en-US"/>
    </w:rPr>
  </w:style>
  <w:style w:type="character" w:customStyle="1" w:styleId="Nadpis4Char">
    <w:name w:val="Nadpis 4 Char"/>
    <w:basedOn w:val="Standardnpsmoodstavce"/>
    <w:link w:val="Nadpis4"/>
    <w:uiPriority w:val="9"/>
    <w:rsid w:val="00856A93"/>
    <w:rPr>
      <w:b/>
      <w:bCs/>
      <w:sz w:val="28"/>
      <w:szCs w:val="28"/>
    </w:rPr>
  </w:style>
  <w:style w:type="character" w:customStyle="1" w:styleId="Nadpis5Char">
    <w:name w:val="Nadpis 5 Char"/>
    <w:basedOn w:val="Standardnpsmoodstavce"/>
    <w:link w:val="Nadpis5"/>
    <w:uiPriority w:val="9"/>
    <w:semiHidden/>
    <w:rsid w:val="00856A93"/>
    <w:rPr>
      <w:b/>
      <w:bCs/>
      <w:i/>
      <w:iCs/>
      <w:sz w:val="26"/>
      <w:szCs w:val="26"/>
    </w:rPr>
  </w:style>
  <w:style w:type="character" w:customStyle="1" w:styleId="Nadpis6Char">
    <w:name w:val="Nadpis 6 Char"/>
    <w:basedOn w:val="Standardnpsmoodstavce"/>
    <w:link w:val="Nadpis6"/>
    <w:uiPriority w:val="9"/>
    <w:semiHidden/>
    <w:rsid w:val="00856A93"/>
    <w:rPr>
      <w:b/>
      <w:bCs/>
    </w:rPr>
  </w:style>
  <w:style w:type="character" w:customStyle="1" w:styleId="Nadpis7Char">
    <w:name w:val="Nadpis 7 Char"/>
    <w:basedOn w:val="Standardnpsmoodstavce"/>
    <w:link w:val="Nadpis7"/>
    <w:uiPriority w:val="9"/>
    <w:semiHidden/>
    <w:rsid w:val="00856A93"/>
    <w:rPr>
      <w:sz w:val="24"/>
      <w:szCs w:val="24"/>
    </w:rPr>
  </w:style>
  <w:style w:type="character" w:customStyle="1" w:styleId="Nadpis8Char">
    <w:name w:val="Nadpis 8 Char"/>
    <w:basedOn w:val="Standardnpsmoodstavce"/>
    <w:link w:val="Nadpis8"/>
    <w:uiPriority w:val="9"/>
    <w:semiHidden/>
    <w:rsid w:val="00856A93"/>
    <w:rPr>
      <w:i/>
      <w:iCs/>
      <w:sz w:val="24"/>
      <w:szCs w:val="24"/>
    </w:rPr>
  </w:style>
  <w:style w:type="character" w:customStyle="1" w:styleId="Nadpis9Char">
    <w:name w:val="Nadpis 9 Char"/>
    <w:basedOn w:val="Standardnpsmoodstavce"/>
    <w:link w:val="Nadpis9"/>
    <w:uiPriority w:val="9"/>
    <w:semiHidden/>
    <w:rsid w:val="00856A93"/>
    <w:rPr>
      <w:rFonts w:ascii="Cambria" w:eastAsia="Times New Roman" w:hAnsi="Cambria"/>
    </w:rPr>
  </w:style>
  <w:style w:type="paragraph" w:styleId="Nzev">
    <w:name w:val="Title"/>
    <w:aliases w:val="3. úroveň"/>
    <w:basedOn w:val="Normln"/>
    <w:next w:val="Normln"/>
    <w:link w:val="NzevChar"/>
    <w:uiPriority w:val="10"/>
    <w:qFormat/>
    <w:rsid w:val="00856A93"/>
    <w:pPr>
      <w:spacing w:before="240" w:after="60"/>
      <w:jc w:val="center"/>
      <w:outlineLvl w:val="0"/>
    </w:pPr>
    <w:rPr>
      <w:rFonts w:ascii="Cambria" w:hAnsi="Cambria"/>
      <w:b/>
      <w:bCs/>
      <w:kern w:val="28"/>
      <w:sz w:val="32"/>
      <w:szCs w:val="32"/>
    </w:rPr>
  </w:style>
  <w:style w:type="character" w:customStyle="1" w:styleId="NzevChar">
    <w:name w:val="Název Char"/>
    <w:aliases w:val="3. úroveň Char"/>
    <w:basedOn w:val="Standardnpsmoodstavce"/>
    <w:link w:val="Nzev"/>
    <w:uiPriority w:val="10"/>
    <w:rsid w:val="00856A93"/>
    <w:rPr>
      <w:rFonts w:ascii="Cambria" w:eastAsia="Times New Roman" w:hAnsi="Cambria"/>
      <w:b/>
      <w:bCs/>
      <w:kern w:val="28"/>
      <w:sz w:val="32"/>
      <w:szCs w:val="32"/>
    </w:rPr>
  </w:style>
  <w:style w:type="paragraph" w:styleId="Podtitul">
    <w:name w:val="Subtitle"/>
    <w:aliases w:val="3. úroveň - dobrá"/>
    <w:basedOn w:val="Normln"/>
    <w:next w:val="Normln"/>
    <w:link w:val="PodtitulChar"/>
    <w:uiPriority w:val="11"/>
    <w:qFormat/>
    <w:rsid w:val="00856A93"/>
    <w:pPr>
      <w:spacing w:after="60"/>
      <w:jc w:val="center"/>
      <w:outlineLvl w:val="1"/>
    </w:pPr>
    <w:rPr>
      <w:rFonts w:ascii="Cambria" w:hAnsi="Cambria"/>
    </w:rPr>
  </w:style>
  <w:style w:type="character" w:customStyle="1" w:styleId="PodtitulChar">
    <w:name w:val="Podtitul Char"/>
    <w:aliases w:val="3. úroveň - dobrá Char"/>
    <w:basedOn w:val="Standardnpsmoodstavce"/>
    <w:link w:val="Podtitul"/>
    <w:uiPriority w:val="11"/>
    <w:rsid w:val="00856A93"/>
    <w:rPr>
      <w:rFonts w:ascii="Cambria" w:eastAsia="Times New Roman" w:hAnsi="Cambria"/>
      <w:sz w:val="24"/>
      <w:szCs w:val="24"/>
    </w:rPr>
  </w:style>
  <w:style w:type="paragraph" w:styleId="Textpoznpodarou">
    <w:name w:val="footnote text"/>
    <w:basedOn w:val="Normln"/>
    <w:link w:val="TextpoznpodarouChar"/>
    <w:unhideWhenUsed/>
    <w:rsid w:val="00F83975"/>
    <w:rPr>
      <w:sz w:val="20"/>
      <w:szCs w:val="20"/>
    </w:rPr>
  </w:style>
  <w:style w:type="character" w:customStyle="1" w:styleId="TextpoznpodarouChar">
    <w:name w:val="Text pozn. pod čarou Char"/>
    <w:basedOn w:val="Standardnpsmoodstavce"/>
    <w:link w:val="Textpoznpodarou"/>
    <w:rsid w:val="00F83975"/>
    <w:rPr>
      <w:rFonts w:ascii="Times New Roman" w:hAnsi="Times New Roman"/>
      <w:lang w:eastAsia="en-US"/>
    </w:rPr>
  </w:style>
  <w:style w:type="character" w:styleId="Znakapoznpodarou">
    <w:name w:val="footnote reference"/>
    <w:basedOn w:val="Standardnpsmoodstavce"/>
    <w:uiPriority w:val="99"/>
    <w:semiHidden/>
    <w:unhideWhenUsed/>
    <w:rsid w:val="00F83975"/>
    <w:rPr>
      <w:vertAlign w:val="superscript"/>
    </w:rPr>
  </w:style>
  <w:style w:type="character" w:customStyle="1" w:styleId="highlight">
    <w:name w:val="highlight"/>
    <w:basedOn w:val="Standardnpsmoodstavce"/>
    <w:rsid w:val="007C35C0"/>
  </w:style>
  <w:style w:type="character" w:styleId="Hypertextovodkaz">
    <w:name w:val="Hyperlink"/>
    <w:basedOn w:val="Standardnpsmoodstavce"/>
    <w:uiPriority w:val="99"/>
    <w:unhideWhenUsed/>
    <w:rsid w:val="003A06AF"/>
    <w:rPr>
      <w:color w:val="0000FF"/>
      <w:u w:val="single"/>
    </w:rPr>
  </w:style>
  <w:style w:type="character" w:styleId="Sledovanodkaz">
    <w:name w:val="FollowedHyperlink"/>
    <w:basedOn w:val="Standardnpsmoodstavce"/>
    <w:uiPriority w:val="99"/>
    <w:semiHidden/>
    <w:unhideWhenUsed/>
    <w:rsid w:val="00552A99"/>
    <w:rPr>
      <w:color w:val="800080"/>
      <w:u w:val="single"/>
    </w:rPr>
  </w:style>
  <w:style w:type="paragraph" w:styleId="Normlnweb">
    <w:name w:val="Normal (Web)"/>
    <w:basedOn w:val="Normln"/>
    <w:uiPriority w:val="99"/>
    <w:unhideWhenUsed/>
    <w:rsid w:val="00C8568E"/>
    <w:pPr>
      <w:spacing w:before="100" w:beforeAutospacing="1" w:after="100" w:afterAutospacing="1" w:line="240" w:lineRule="auto"/>
      <w:jc w:val="left"/>
    </w:pPr>
    <w:rPr>
      <w:lang w:eastAsia="cs-CZ"/>
    </w:rPr>
  </w:style>
  <w:style w:type="character" w:styleId="Siln">
    <w:name w:val="Strong"/>
    <w:basedOn w:val="Standardnpsmoodstavce"/>
    <w:uiPriority w:val="22"/>
    <w:qFormat/>
    <w:rsid w:val="00856A93"/>
    <w:rPr>
      <w:b/>
      <w:bCs/>
    </w:rPr>
  </w:style>
  <w:style w:type="character" w:styleId="Zvraznn">
    <w:name w:val="Emphasis"/>
    <w:basedOn w:val="Standardnpsmoodstavce"/>
    <w:uiPriority w:val="20"/>
    <w:qFormat/>
    <w:rsid w:val="00856A93"/>
    <w:rPr>
      <w:rFonts w:ascii="Calibri" w:hAnsi="Calibri"/>
      <w:b/>
      <w:i/>
      <w:iCs/>
    </w:rPr>
  </w:style>
  <w:style w:type="paragraph" w:styleId="Bezmezer">
    <w:name w:val="No Spacing"/>
    <w:basedOn w:val="Normln"/>
    <w:qFormat/>
    <w:rsid w:val="00856A93"/>
    <w:rPr>
      <w:szCs w:val="32"/>
    </w:rPr>
  </w:style>
  <w:style w:type="paragraph" w:styleId="Odstavecseseznamem">
    <w:name w:val="List Paragraph"/>
    <w:basedOn w:val="Normln"/>
    <w:uiPriority w:val="34"/>
    <w:qFormat/>
    <w:rsid w:val="00856A93"/>
    <w:pPr>
      <w:ind w:left="720"/>
      <w:contextualSpacing/>
    </w:pPr>
  </w:style>
  <w:style w:type="paragraph" w:styleId="Citace">
    <w:name w:val="Quote"/>
    <w:basedOn w:val="Normln"/>
    <w:next w:val="Normln"/>
    <w:link w:val="CitaceChar"/>
    <w:uiPriority w:val="29"/>
    <w:qFormat/>
    <w:rsid w:val="00856A93"/>
    <w:rPr>
      <w:i/>
    </w:rPr>
  </w:style>
  <w:style w:type="character" w:customStyle="1" w:styleId="CitaceChar">
    <w:name w:val="Citace Char"/>
    <w:basedOn w:val="Standardnpsmoodstavce"/>
    <w:link w:val="Citace"/>
    <w:uiPriority w:val="29"/>
    <w:rsid w:val="00856A93"/>
    <w:rPr>
      <w:i/>
      <w:sz w:val="24"/>
      <w:szCs w:val="24"/>
    </w:rPr>
  </w:style>
  <w:style w:type="paragraph" w:styleId="Citaceintenzivn">
    <w:name w:val="Intense Quote"/>
    <w:basedOn w:val="Normln"/>
    <w:next w:val="Normln"/>
    <w:link w:val="CitaceintenzivnChar"/>
    <w:uiPriority w:val="30"/>
    <w:qFormat/>
    <w:rsid w:val="00856A93"/>
    <w:pPr>
      <w:ind w:left="720" w:right="720"/>
    </w:pPr>
    <w:rPr>
      <w:b/>
      <w:i/>
      <w:szCs w:val="22"/>
    </w:rPr>
  </w:style>
  <w:style w:type="character" w:customStyle="1" w:styleId="CitaceintenzivnChar">
    <w:name w:val="Citace – intenzivní Char"/>
    <w:basedOn w:val="Standardnpsmoodstavce"/>
    <w:link w:val="Citaceintenzivn"/>
    <w:uiPriority w:val="30"/>
    <w:rsid w:val="00856A93"/>
    <w:rPr>
      <w:b/>
      <w:i/>
      <w:sz w:val="24"/>
    </w:rPr>
  </w:style>
  <w:style w:type="character" w:styleId="Zdraznnjemn">
    <w:name w:val="Subtle Emphasis"/>
    <w:uiPriority w:val="19"/>
    <w:qFormat/>
    <w:rsid w:val="00856A93"/>
    <w:rPr>
      <w:i/>
      <w:color w:val="5A5A5A"/>
    </w:rPr>
  </w:style>
  <w:style w:type="character" w:styleId="Zdraznnintenzivn">
    <w:name w:val="Intense Emphasis"/>
    <w:basedOn w:val="Standardnpsmoodstavce"/>
    <w:uiPriority w:val="21"/>
    <w:qFormat/>
    <w:rsid w:val="00856A93"/>
    <w:rPr>
      <w:b/>
      <w:i/>
      <w:sz w:val="24"/>
      <w:szCs w:val="24"/>
      <w:u w:val="single"/>
    </w:rPr>
  </w:style>
  <w:style w:type="character" w:styleId="Odkazjemn">
    <w:name w:val="Subtle Reference"/>
    <w:basedOn w:val="Standardnpsmoodstavce"/>
    <w:uiPriority w:val="31"/>
    <w:qFormat/>
    <w:rsid w:val="00856A93"/>
    <w:rPr>
      <w:sz w:val="24"/>
      <w:szCs w:val="24"/>
      <w:u w:val="single"/>
    </w:rPr>
  </w:style>
  <w:style w:type="character" w:styleId="Odkazintenzivn">
    <w:name w:val="Intense Reference"/>
    <w:basedOn w:val="Standardnpsmoodstavce"/>
    <w:uiPriority w:val="32"/>
    <w:qFormat/>
    <w:rsid w:val="00856A93"/>
    <w:rPr>
      <w:b/>
      <w:sz w:val="24"/>
      <w:u w:val="single"/>
    </w:rPr>
  </w:style>
  <w:style w:type="character" w:styleId="Nzevknihy">
    <w:name w:val="Book Title"/>
    <w:basedOn w:val="Standardnpsmoodstavce"/>
    <w:uiPriority w:val="33"/>
    <w:qFormat/>
    <w:rsid w:val="00856A93"/>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856A93"/>
    <w:pPr>
      <w:outlineLvl w:val="9"/>
    </w:pPr>
  </w:style>
  <w:style w:type="paragraph" w:styleId="Zhlav">
    <w:name w:val="header"/>
    <w:basedOn w:val="Normln"/>
    <w:link w:val="ZhlavChar"/>
    <w:uiPriority w:val="99"/>
    <w:semiHidden/>
    <w:unhideWhenUsed/>
    <w:rsid w:val="006D292E"/>
    <w:pPr>
      <w:tabs>
        <w:tab w:val="center" w:pos="4536"/>
        <w:tab w:val="right" w:pos="9072"/>
      </w:tabs>
    </w:pPr>
  </w:style>
  <w:style w:type="character" w:customStyle="1" w:styleId="ZhlavChar">
    <w:name w:val="Záhlaví Char"/>
    <w:basedOn w:val="Standardnpsmoodstavce"/>
    <w:link w:val="Zhlav"/>
    <w:uiPriority w:val="99"/>
    <w:semiHidden/>
    <w:rsid w:val="006D292E"/>
    <w:rPr>
      <w:rFonts w:ascii="Garamond" w:hAnsi="Garamond"/>
      <w:sz w:val="24"/>
      <w:szCs w:val="24"/>
      <w:lang w:eastAsia="en-US" w:bidi="en-US"/>
    </w:rPr>
  </w:style>
  <w:style w:type="paragraph" w:styleId="Zpat">
    <w:name w:val="footer"/>
    <w:basedOn w:val="Normln"/>
    <w:link w:val="ZpatChar"/>
    <w:uiPriority w:val="99"/>
    <w:unhideWhenUsed/>
    <w:rsid w:val="006D292E"/>
    <w:pPr>
      <w:tabs>
        <w:tab w:val="center" w:pos="4536"/>
        <w:tab w:val="right" w:pos="9072"/>
      </w:tabs>
    </w:pPr>
  </w:style>
  <w:style w:type="character" w:customStyle="1" w:styleId="ZpatChar">
    <w:name w:val="Zápatí Char"/>
    <w:basedOn w:val="Standardnpsmoodstavce"/>
    <w:link w:val="Zpat"/>
    <w:uiPriority w:val="99"/>
    <w:rsid w:val="006D292E"/>
    <w:rPr>
      <w:rFonts w:ascii="Garamond" w:hAnsi="Garamond"/>
      <w:sz w:val="24"/>
      <w:szCs w:val="24"/>
      <w:lang w:eastAsia="en-US" w:bidi="en-US"/>
    </w:rPr>
  </w:style>
  <w:style w:type="paragraph" w:styleId="Zkladntext3">
    <w:name w:val="Body Text 3"/>
    <w:basedOn w:val="Normln"/>
    <w:link w:val="Zkladntext3Char"/>
    <w:qFormat/>
    <w:rsid w:val="0024715A"/>
    <w:pPr>
      <w:spacing w:after="240" w:line="240" w:lineRule="auto"/>
    </w:pPr>
    <w:rPr>
      <w:sz w:val="20"/>
      <w:lang w:val="en-US" w:bidi="ar-SA"/>
    </w:rPr>
  </w:style>
  <w:style w:type="character" w:customStyle="1" w:styleId="Zkladntext3Char">
    <w:name w:val="Základní text 3 Char"/>
    <w:basedOn w:val="Standardnpsmoodstavce"/>
    <w:link w:val="Zkladntext3"/>
    <w:rsid w:val="0024715A"/>
    <w:rPr>
      <w:rFonts w:ascii="Garamond" w:hAnsi="Garamond"/>
      <w:szCs w:val="24"/>
      <w:lang w:val="en-US" w:eastAsia="en-US"/>
    </w:rPr>
  </w:style>
  <w:style w:type="paragraph" w:styleId="Obsah1">
    <w:name w:val="toc 1"/>
    <w:basedOn w:val="Normln"/>
    <w:next w:val="Normln"/>
    <w:autoRedefine/>
    <w:uiPriority w:val="39"/>
    <w:unhideWhenUsed/>
    <w:rsid w:val="009D4397"/>
    <w:pPr>
      <w:tabs>
        <w:tab w:val="right" w:leader="dot" w:pos="9061"/>
      </w:tabs>
    </w:pPr>
    <w:rPr>
      <w:b/>
      <w:noProof/>
      <w:lang w:eastAsia="cs-CZ"/>
    </w:rPr>
  </w:style>
  <w:style w:type="paragraph" w:styleId="Obsah2">
    <w:name w:val="toc 2"/>
    <w:basedOn w:val="Normln"/>
    <w:next w:val="Normln"/>
    <w:autoRedefine/>
    <w:uiPriority w:val="39"/>
    <w:unhideWhenUsed/>
    <w:rsid w:val="00794B36"/>
    <w:pPr>
      <w:ind w:left="240"/>
    </w:pPr>
  </w:style>
  <w:style w:type="paragraph" w:styleId="Obsah3">
    <w:name w:val="toc 3"/>
    <w:basedOn w:val="Normln"/>
    <w:next w:val="Normln"/>
    <w:autoRedefine/>
    <w:uiPriority w:val="39"/>
    <w:unhideWhenUsed/>
    <w:rsid w:val="00794B36"/>
    <w:pPr>
      <w:ind w:left="480"/>
    </w:pPr>
  </w:style>
  <w:style w:type="paragraph" w:customStyle="1" w:styleId="center">
    <w:name w:val="center"/>
    <w:basedOn w:val="Normln"/>
    <w:rsid w:val="00E7579C"/>
    <w:pPr>
      <w:spacing w:before="100" w:beforeAutospacing="1" w:after="100" w:afterAutospacing="1"/>
    </w:pPr>
    <w:rPr>
      <w:rFonts w:ascii="Times New Roman" w:hAnsi="Times New Roman"/>
      <w:lang w:eastAsia="cs-CZ" w:bidi="ar-SA"/>
    </w:rPr>
  </w:style>
  <w:style w:type="table" w:customStyle="1" w:styleId="TableNormal">
    <w:name w:val="Table Normal"/>
    <w:rsid w:val="00F73F6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Zhlavazpat">
    <w:name w:val="Záhlaví a zápatí"/>
    <w:rsid w:val="00F73F6E"/>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Vchoz">
    <w:name w:val="Výchozí"/>
    <w:rsid w:val="00F73F6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dn">
    <w:name w:val="Žádný"/>
    <w:rsid w:val="00F73F6E"/>
  </w:style>
  <w:style w:type="character" w:customStyle="1" w:styleId="Hyperlink0">
    <w:name w:val="Hyperlink.0"/>
    <w:basedOn w:val="dn"/>
    <w:rsid w:val="00F73F6E"/>
  </w:style>
  <w:style w:type="character" w:customStyle="1" w:styleId="TextkomenteChar">
    <w:name w:val="Text komentáře Char"/>
    <w:basedOn w:val="Standardnpsmoodstavce"/>
    <w:link w:val="Textkomente"/>
    <w:uiPriority w:val="99"/>
    <w:semiHidden/>
    <w:rsid w:val="00F73F6E"/>
    <w:rPr>
      <w:rFonts w:ascii="Garamond" w:eastAsia="Garamond" w:hAnsi="Garamond" w:cs="Garamond"/>
      <w:color w:val="000000"/>
      <w:u w:color="000000"/>
      <w:bdr w:val="nil"/>
      <w:lang w:eastAsia="en-US"/>
    </w:rPr>
  </w:style>
  <w:style w:type="paragraph" w:styleId="Textkomente">
    <w:name w:val="annotation text"/>
    <w:basedOn w:val="Normln"/>
    <w:link w:val="TextkomenteChar"/>
    <w:uiPriority w:val="99"/>
    <w:semiHidden/>
    <w:unhideWhenUsed/>
    <w:rsid w:val="00F73F6E"/>
    <w:pPr>
      <w:pBdr>
        <w:top w:val="nil"/>
        <w:left w:val="nil"/>
        <w:bottom w:val="nil"/>
        <w:right w:val="nil"/>
        <w:between w:val="nil"/>
        <w:bar w:val="nil"/>
      </w:pBdr>
      <w:spacing w:line="240" w:lineRule="auto"/>
    </w:pPr>
    <w:rPr>
      <w:rFonts w:eastAsia="Garamond" w:cs="Garamond"/>
      <w:color w:val="000000"/>
      <w:sz w:val="20"/>
      <w:szCs w:val="20"/>
      <w:u w:color="000000"/>
      <w:bdr w:val="nil"/>
      <w:lang w:bidi="ar-SA"/>
    </w:rPr>
  </w:style>
  <w:style w:type="character" w:customStyle="1" w:styleId="TextbublinyChar">
    <w:name w:val="Text bubliny Char"/>
    <w:basedOn w:val="Standardnpsmoodstavce"/>
    <w:link w:val="Textbubliny"/>
    <w:uiPriority w:val="99"/>
    <w:semiHidden/>
    <w:rsid w:val="00F73F6E"/>
    <w:rPr>
      <w:rFonts w:ascii="Tahoma" w:eastAsia="Garamond" w:hAnsi="Tahoma" w:cs="Tahoma"/>
      <w:color w:val="000000"/>
      <w:sz w:val="16"/>
      <w:szCs w:val="16"/>
      <w:u w:color="000000"/>
      <w:bdr w:val="nil"/>
      <w:lang w:eastAsia="en-US"/>
    </w:rPr>
  </w:style>
  <w:style w:type="paragraph" w:styleId="Textbubliny">
    <w:name w:val="Balloon Text"/>
    <w:basedOn w:val="Normln"/>
    <w:link w:val="TextbublinyChar"/>
    <w:uiPriority w:val="99"/>
    <w:semiHidden/>
    <w:unhideWhenUsed/>
    <w:rsid w:val="00F73F6E"/>
    <w:pPr>
      <w:pBdr>
        <w:top w:val="nil"/>
        <w:left w:val="nil"/>
        <w:bottom w:val="nil"/>
        <w:right w:val="nil"/>
        <w:between w:val="nil"/>
        <w:bar w:val="nil"/>
      </w:pBdr>
      <w:spacing w:line="240" w:lineRule="auto"/>
    </w:pPr>
    <w:rPr>
      <w:rFonts w:ascii="Tahoma" w:eastAsia="Garamond" w:hAnsi="Tahoma" w:cs="Tahoma"/>
      <w:color w:val="000000"/>
      <w:sz w:val="16"/>
      <w:szCs w:val="16"/>
      <w:u w:color="000000"/>
      <w:bdr w:val="nil"/>
      <w:lang w:bidi="ar-SA"/>
    </w:rPr>
  </w:style>
  <w:style w:type="character" w:customStyle="1" w:styleId="tg5">
    <w:name w:val="tg5"/>
    <w:basedOn w:val="Standardnpsmoodstavce"/>
    <w:rsid w:val="00F73F6E"/>
  </w:style>
  <w:style w:type="character" w:customStyle="1" w:styleId="ppp-msumm">
    <w:name w:val="ppp-msumm"/>
    <w:basedOn w:val="Standardnpsmoodstavce"/>
    <w:rsid w:val="00911D39"/>
  </w:style>
</w:styles>
</file>

<file path=word/webSettings.xml><?xml version="1.0" encoding="utf-8"?>
<w:webSettings xmlns:r="http://schemas.openxmlformats.org/officeDocument/2006/relationships" xmlns:w="http://schemas.openxmlformats.org/wordprocessingml/2006/main">
  <w:divs>
    <w:div w:id="512186050">
      <w:bodyDiv w:val="1"/>
      <w:marLeft w:val="0"/>
      <w:marRight w:val="0"/>
      <w:marTop w:val="0"/>
      <w:marBottom w:val="0"/>
      <w:divBdr>
        <w:top w:val="none" w:sz="0" w:space="0" w:color="auto"/>
        <w:left w:val="none" w:sz="0" w:space="0" w:color="auto"/>
        <w:bottom w:val="none" w:sz="0" w:space="0" w:color="auto"/>
        <w:right w:val="none" w:sz="0" w:space="0" w:color="auto"/>
      </w:divBdr>
    </w:div>
    <w:div w:id="1292663032">
      <w:bodyDiv w:val="1"/>
      <w:marLeft w:val="0"/>
      <w:marRight w:val="0"/>
      <w:marTop w:val="0"/>
      <w:marBottom w:val="0"/>
      <w:divBdr>
        <w:top w:val="none" w:sz="0" w:space="0" w:color="auto"/>
        <w:left w:val="none" w:sz="0" w:space="0" w:color="auto"/>
        <w:bottom w:val="none" w:sz="0" w:space="0" w:color="auto"/>
        <w:right w:val="none" w:sz="0" w:space="0" w:color="auto"/>
      </w:divBdr>
      <w:divsChild>
        <w:div w:id="2035572398">
          <w:marLeft w:val="0"/>
          <w:marRight w:val="0"/>
          <w:marTop w:val="0"/>
          <w:marBottom w:val="0"/>
          <w:divBdr>
            <w:top w:val="none" w:sz="0" w:space="0" w:color="auto"/>
            <w:left w:val="none" w:sz="0" w:space="0" w:color="auto"/>
            <w:bottom w:val="none" w:sz="0" w:space="0" w:color="auto"/>
            <w:right w:val="none" w:sz="0" w:space="0" w:color="auto"/>
          </w:divBdr>
          <w:divsChild>
            <w:div w:id="609430750">
              <w:marLeft w:val="0"/>
              <w:marRight w:val="0"/>
              <w:marTop w:val="0"/>
              <w:marBottom w:val="0"/>
              <w:divBdr>
                <w:top w:val="none" w:sz="0" w:space="0" w:color="auto"/>
                <w:left w:val="none" w:sz="0" w:space="0" w:color="auto"/>
                <w:bottom w:val="none" w:sz="0" w:space="0" w:color="auto"/>
                <w:right w:val="none" w:sz="0" w:space="0" w:color="auto"/>
              </w:divBdr>
            </w:div>
            <w:div w:id="1534539659">
              <w:marLeft w:val="0"/>
              <w:marRight w:val="0"/>
              <w:marTop w:val="0"/>
              <w:marBottom w:val="0"/>
              <w:divBdr>
                <w:top w:val="none" w:sz="0" w:space="0" w:color="auto"/>
                <w:left w:val="none" w:sz="0" w:space="0" w:color="auto"/>
                <w:bottom w:val="none" w:sz="0" w:space="0" w:color="auto"/>
                <w:right w:val="none" w:sz="0" w:space="0" w:color="auto"/>
              </w:divBdr>
            </w:div>
            <w:div w:id="1878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2680">
      <w:bodyDiv w:val="1"/>
      <w:marLeft w:val="0"/>
      <w:marRight w:val="0"/>
      <w:marTop w:val="0"/>
      <w:marBottom w:val="0"/>
      <w:divBdr>
        <w:top w:val="none" w:sz="0" w:space="0" w:color="auto"/>
        <w:left w:val="none" w:sz="0" w:space="0" w:color="auto"/>
        <w:bottom w:val="none" w:sz="0" w:space="0" w:color="auto"/>
        <w:right w:val="none" w:sz="0" w:space="0" w:color="auto"/>
      </w:divBdr>
    </w:div>
    <w:div w:id="1348562411">
      <w:bodyDiv w:val="1"/>
      <w:marLeft w:val="0"/>
      <w:marRight w:val="0"/>
      <w:marTop w:val="0"/>
      <w:marBottom w:val="0"/>
      <w:divBdr>
        <w:top w:val="none" w:sz="0" w:space="0" w:color="auto"/>
        <w:left w:val="none" w:sz="0" w:space="0" w:color="auto"/>
        <w:bottom w:val="none" w:sz="0" w:space="0" w:color="auto"/>
        <w:right w:val="none" w:sz="0" w:space="0" w:color="auto"/>
      </w:divBdr>
    </w:div>
    <w:div w:id="1404371839">
      <w:bodyDiv w:val="1"/>
      <w:marLeft w:val="0"/>
      <w:marRight w:val="0"/>
      <w:marTop w:val="0"/>
      <w:marBottom w:val="0"/>
      <w:divBdr>
        <w:top w:val="none" w:sz="0" w:space="0" w:color="auto"/>
        <w:left w:val="none" w:sz="0" w:space="0" w:color="auto"/>
        <w:bottom w:val="none" w:sz="0" w:space="0" w:color="auto"/>
        <w:right w:val="none" w:sz="0" w:space="0" w:color="auto"/>
      </w:divBdr>
    </w:div>
    <w:div w:id="1440491895">
      <w:bodyDiv w:val="1"/>
      <w:marLeft w:val="0"/>
      <w:marRight w:val="0"/>
      <w:marTop w:val="0"/>
      <w:marBottom w:val="0"/>
      <w:divBdr>
        <w:top w:val="none" w:sz="0" w:space="0" w:color="auto"/>
        <w:left w:val="none" w:sz="0" w:space="0" w:color="auto"/>
        <w:bottom w:val="none" w:sz="0" w:space="0" w:color="auto"/>
        <w:right w:val="none" w:sz="0" w:space="0" w:color="auto"/>
      </w:divBdr>
      <w:divsChild>
        <w:div w:id="457993723">
          <w:marLeft w:val="0"/>
          <w:marRight w:val="0"/>
          <w:marTop w:val="0"/>
          <w:marBottom w:val="0"/>
          <w:divBdr>
            <w:top w:val="none" w:sz="0" w:space="0" w:color="auto"/>
            <w:left w:val="none" w:sz="0" w:space="0" w:color="auto"/>
            <w:bottom w:val="none" w:sz="0" w:space="0" w:color="auto"/>
            <w:right w:val="none" w:sz="0" w:space="0" w:color="auto"/>
          </w:divBdr>
          <w:divsChild>
            <w:div w:id="140274124">
              <w:marLeft w:val="0"/>
              <w:marRight w:val="0"/>
              <w:marTop w:val="0"/>
              <w:marBottom w:val="0"/>
              <w:divBdr>
                <w:top w:val="none" w:sz="0" w:space="0" w:color="auto"/>
                <w:left w:val="none" w:sz="0" w:space="0" w:color="auto"/>
                <w:bottom w:val="none" w:sz="0" w:space="0" w:color="auto"/>
                <w:right w:val="none" w:sz="0" w:space="0" w:color="auto"/>
              </w:divBdr>
            </w:div>
            <w:div w:id="1218324523">
              <w:marLeft w:val="0"/>
              <w:marRight w:val="0"/>
              <w:marTop w:val="0"/>
              <w:marBottom w:val="0"/>
              <w:divBdr>
                <w:top w:val="none" w:sz="0" w:space="0" w:color="auto"/>
                <w:left w:val="none" w:sz="0" w:space="0" w:color="auto"/>
                <w:bottom w:val="none" w:sz="0" w:space="0" w:color="auto"/>
                <w:right w:val="none" w:sz="0" w:space="0" w:color="auto"/>
              </w:divBdr>
            </w:div>
            <w:div w:id="18927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912">
      <w:bodyDiv w:val="1"/>
      <w:marLeft w:val="0"/>
      <w:marRight w:val="0"/>
      <w:marTop w:val="0"/>
      <w:marBottom w:val="0"/>
      <w:divBdr>
        <w:top w:val="none" w:sz="0" w:space="0" w:color="auto"/>
        <w:left w:val="none" w:sz="0" w:space="0" w:color="auto"/>
        <w:bottom w:val="none" w:sz="0" w:space="0" w:color="auto"/>
        <w:right w:val="none" w:sz="0" w:space="0" w:color="auto"/>
      </w:divBdr>
    </w:div>
    <w:div w:id="1498030595">
      <w:bodyDiv w:val="1"/>
      <w:marLeft w:val="0"/>
      <w:marRight w:val="0"/>
      <w:marTop w:val="0"/>
      <w:marBottom w:val="0"/>
      <w:divBdr>
        <w:top w:val="none" w:sz="0" w:space="0" w:color="auto"/>
        <w:left w:val="none" w:sz="0" w:space="0" w:color="auto"/>
        <w:bottom w:val="none" w:sz="0" w:space="0" w:color="auto"/>
        <w:right w:val="none" w:sz="0" w:space="0" w:color="auto"/>
      </w:divBdr>
    </w:div>
    <w:div w:id="1542741423">
      <w:bodyDiv w:val="1"/>
      <w:marLeft w:val="0"/>
      <w:marRight w:val="0"/>
      <w:marTop w:val="0"/>
      <w:marBottom w:val="0"/>
      <w:divBdr>
        <w:top w:val="none" w:sz="0" w:space="0" w:color="auto"/>
        <w:left w:val="none" w:sz="0" w:space="0" w:color="auto"/>
        <w:bottom w:val="none" w:sz="0" w:space="0" w:color="auto"/>
        <w:right w:val="none" w:sz="0" w:space="0" w:color="auto"/>
      </w:divBdr>
    </w:div>
    <w:div w:id="1785464047">
      <w:bodyDiv w:val="1"/>
      <w:marLeft w:val="0"/>
      <w:marRight w:val="0"/>
      <w:marTop w:val="0"/>
      <w:marBottom w:val="0"/>
      <w:divBdr>
        <w:top w:val="none" w:sz="0" w:space="0" w:color="auto"/>
        <w:left w:val="none" w:sz="0" w:space="0" w:color="auto"/>
        <w:bottom w:val="none" w:sz="0" w:space="0" w:color="auto"/>
        <w:right w:val="none" w:sz="0" w:space="0" w:color="auto"/>
      </w:divBdr>
    </w:div>
    <w:div w:id="1936933747">
      <w:bodyDiv w:val="1"/>
      <w:marLeft w:val="0"/>
      <w:marRight w:val="0"/>
      <w:marTop w:val="0"/>
      <w:marBottom w:val="0"/>
      <w:divBdr>
        <w:top w:val="none" w:sz="0" w:space="0" w:color="auto"/>
        <w:left w:val="none" w:sz="0" w:space="0" w:color="auto"/>
        <w:bottom w:val="none" w:sz="0" w:space="0" w:color="auto"/>
        <w:right w:val="none" w:sz="0" w:space="0" w:color="auto"/>
      </w:divBdr>
    </w:div>
    <w:div w:id="21060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slovnik.zoznam.sk/anglicko-slovensky/The-Trades-Licensing-Act"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http://www.rotlaw.com/legal-library/what-is-the-business-judgment-rule/" TargetMode="Externa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layout/>
    </c:title>
    <c:plotArea>
      <c:layout/>
      <c:lineChart>
        <c:grouping val="standard"/>
        <c:ser>
          <c:idx val="0"/>
          <c:order val="0"/>
          <c:tx>
            <c:strRef>
              <c:f>List1!$A$2</c:f>
              <c:strCache>
                <c:ptCount val="1"/>
                <c:pt idx="0">
                  <c:v>S.r.o.</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List1!$B$2:$I$2</c:f>
              <c:numCache>
                <c:formatCode>General</c:formatCode>
                <c:ptCount val="8"/>
                <c:pt idx="0">
                  <c:v>261946</c:v>
                </c:pt>
                <c:pt idx="1">
                  <c:v>280736</c:v>
                </c:pt>
                <c:pt idx="2">
                  <c:v>296787</c:v>
                </c:pt>
                <c:pt idx="3">
                  <c:v>316429</c:v>
                </c:pt>
                <c:pt idx="4">
                  <c:v>332987</c:v>
                </c:pt>
                <c:pt idx="5">
                  <c:v>348334</c:v>
                </c:pt>
                <c:pt idx="6">
                  <c:v>366432</c:v>
                </c:pt>
                <c:pt idx="7">
                  <c:v>385979</c:v>
                </c:pt>
              </c:numCache>
            </c:numRef>
          </c:val>
        </c:ser>
        <c:marker val="1"/>
        <c:axId val="40237696"/>
        <c:axId val="41931520"/>
      </c:lineChart>
      <c:catAx>
        <c:axId val="40237696"/>
        <c:scaling>
          <c:orientation val="minMax"/>
        </c:scaling>
        <c:axPos val="b"/>
        <c:numFmt formatCode="General" sourceLinked="1"/>
        <c:tickLblPos val="nextTo"/>
        <c:crossAx val="41931520"/>
        <c:crosses val="autoZero"/>
        <c:auto val="1"/>
        <c:lblAlgn val="ctr"/>
        <c:lblOffset val="100"/>
      </c:catAx>
      <c:valAx>
        <c:axId val="41931520"/>
        <c:scaling>
          <c:orientation val="minMax"/>
        </c:scaling>
        <c:axPos val="l"/>
        <c:majorGridlines/>
        <c:numFmt formatCode="General" sourceLinked="1"/>
        <c:tickLblPos val="nextTo"/>
        <c:crossAx val="4023769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4"/>
  <c:chart>
    <c:title>
      <c:layout/>
    </c:title>
    <c:plotArea>
      <c:layout/>
      <c:lineChart>
        <c:grouping val="standard"/>
        <c:ser>
          <c:idx val="0"/>
          <c:order val="0"/>
          <c:tx>
            <c:strRef>
              <c:f>List1!$A$3</c:f>
              <c:strCache>
                <c:ptCount val="1"/>
                <c:pt idx="0">
                  <c:v>A.s.</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List1!$B$3:$I$3</c:f>
              <c:numCache>
                <c:formatCode>General</c:formatCode>
                <c:ptCount val="8"/>
                <c:pt idx="0">
                  <c:v>21932</c:v>
                </c:pt>
                <c:pt idx="1">
                  <c:v>22888</c:v>
                </c:pt>
                <c:pt idx="2">
                  <c:v>23221</c:v>
                </c:pt>
                <c:pt idx="3">
                  <c:v>24042</c:v>
                </c:pt>
                <c:pt idx="4">
                  <c:v>24714</c:v>
                </c:pt>
                <c:pt idx="5">
                  <c:v>24937</c:v>
                </c:pt>
                <c:pt idx="6">
                  <c:v>25120</c:v>
                </c:pt>
                <c:pt idx="7">
                  <c:v>25372</c:v>
                </c:pt>
              </c:numCache>
            </c:numRef>
          </c:val>
        </c:ser>
        <c:marker val="1"/>
        <c:axId val="42828160"/>
        <c:axId val="42829696"/>
      </c:lineChart>
      <c:catAx>
        <c:axId val="42828160"/>
        <c:scaling>
          <c:orientation val="minMax"/>
        </c:scaling>
        <c:axPos val="b"/>
        <c:numFmt formatCode="General" sourceLinked="1"/>
        <c:tickLblPos val="nextTo"/>
        <c:crossAx val="42829696"/>
        <c:crosses val="autoZero"/>
        <c:auto val="1"/>
        <c:lblAlgn val="ctr"/>
        <c:lblOffset val="100"/>
      </c:catAx>
      <c:valAx>
        <c:axId val="42829696"/>
        <c:scaling>
          <c:orientation val="minMax"/>
        </c:scaling>
        <c:axPos val="l"/>
        <c:majorGridlines/>
        <c:numFmt formatCode="General" sourceLinked="1"/>
        <c:tickLblPos val="nextTo"/>
        <c:crossAx val="4282816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List1!$A$2</c:f>
              <c:strCache>
                <c:ptCount val="1"/>
                <c:pt idx="0">
                  <c:v>S.r.o.</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List1!$B$2:$I$2</c:f>
              <c:numCache>
                <c:formatCode>General</c:formatCode>
                <c:ptCount val="8"/>
                <c:pt idx="0">
                  <c:v>261946</c:v>
                </c:pt>
                <c:pt idx="1">
                  <c:v>280736</c:v>
                </c:pt>
                <c:pt idx="2">
                  <c:v>296787</c:v>
                </c:pt>
                <c:pt idx="3">
                  <c:v>316429</c:v>
                </c:pt>
                <c:pt idx="4">
                  <c:v>332987</c:v>
                </c:pt>
                <c:pt idx="5">
                  <c:v>348334</c:v>
                </c:pt>
                <c:pt idx="6">
                  <c:v>366432</c:v>
                </c:pt>
                <c:pt idx="7">
                  <c:v>385979</c:v>
                </c:pt>
              </c:numCache>
            </c:numRef>
          </c:val>
        </c:ser>
        <c:ser>
          <c:idx val="1"/>
          <c:order val="1"/>
          <c:tx>
            <c:strRef>
              <c:f>List1!$A$3</c:f>
              <c:strCache>
                <c:ptCount val="1"/>
                <c:pt idx="0">
                  <c:v>A.s.</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List1!$B$3:$I$3</c:f>
              <c:numCache>
                <c:formatCode>General</c:formatCode>
                <c:ptCount val="8"/>
                <c:pt idx="0">
                  <c:v>21932</c:v>
                </c:pt>
                <c:pt idx="1">
                  <c:v>22888</c:v>
                </c:pt>
                <c:pt idx="2">
                  <c:v>23221</c:v>
                </c:pt>
                <c:pt idx="3">
                  <c:v>24042</c:v>
                </c:pt>
                <c:pt idx="4">
                  <c:v>24714</c:v>
                </c:pt>
                <c:pt idx="5">
                  <c:v>24937</c:v>
                </c:pt>
                <c:pt idx="6">
                  <c:v>25120</c:v>
                </c:pt>
                <c:pt idx="7">
                  <c:v>25372</c:v>
                </c:pt>
              </c:numCache>
            </c:numRef>
          </c:val>
        </c:ser>
        <c:axId val="65540864"/>
        <c:axId val="65542400"/>
      </c:barChart>
      <c:catAx>
        <c:axId val="65540864"/>
        <c:scaling>
          <c:orientation val="minMax"/>
        </c:scaling>
        <c:axPos val="b"/>
        <c:numFmt formatCode="General" sourceLinked="1"/>
        <c:tickLblPos val="nextTo"/>
        <c:crossAx val="65542400"/>
        <c:crosses val="autoZero"/>
        <c:auto val="1"/>
        <c:lblAlgn val="ctr"/>
        <c:lblOffset val="100"/>
      </c:catAx>
      <c:valAx>
        <c:axId val="65542400"/>
        <c:scaling>
          <c:orientation val="minMax"/>
        </c:scaling>
        <c:axPos val="l"/>
        <c:majorGridlines/>
        <c:numFmt formatCode="General" sourceLinked="1"/>
        <c:tickLblPos val="nextTo"/>
        <c:crossAx val="6554086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layout/>
    </c:title>
    <c:plotArea>
      <c:layout/>
      <c:lineChart>
        <c:grouping val="standard"/>
        <c:ser>
          <c:idx val="0"/>
          <c:order val="0"/>
          <c:tx>
            <c:strRef>
              <c:f>List1!$A$2</c:f>
              <c:strCache>
                <c:ptCount val="1"/>
                <c:pt idx="0">
                  <c:v>S.r.o.</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List1!$B$2:$I$2</c:f>
              <c:numCache>
                <c:formatCode>General</c:formatCode>
                <c:ptCount val="8"/>
                <c:pt idx="0">
                  <c:v>21063</c:v>
                </c:pt>
                <c:pt idx="1">
                  <c:v>22638</c:v>
                </c:pt>
                <c:pt idx="2">
                  <c:v>21756</c:v>
                </c:pt>
                <c:pt idx="3">
                  <c:v>22460</c:v>
                </c:pt>
                <c:pt idx="4">
                  <c:v>21174</c:v>
                </c:pt>
                <c:pt idx="5">
                  <c:v>21592</c:v>
                </c:pt>
                <c:pt idx="6">
                  <c:v>22227</c:v>
                </c:pt>
                <c:pt idx="7">
                  <c:v>24266</c:v>
                </c:pt>
              </c:numCache>
            </c:numRef>
          </c:val>
        </c:ser>
        <c:marker val="1"/>
        <c:axId val="89791872"/>
        <c:axId val="89798912"/>
      </c:lineChart>
      <c:catAx>
        <c:axId val="89791872"/>
        <c:scaling>
          <c:orientation val="minMax"/>
        </c:scaling>
        <c:axPos val="b"/>
        <c:numFmt formatCode="General" sourceLinked="1"/>
        <c:tickLblPos val="nextTo"/>
        <c:crossAx val="89798912"/>
        <c:crosses val="autoZero"/>
        <c:auto val="1"/>
        <c:lblAlgn val="ctr"/>
        <c:lblOffset val="100"/>
      </c:catAx>
      <c:valAx>
        <c:axId val="89798912"/>
        <c:scaling>
          <c:orientation val="minMax"/>
        </c:scaling>
        <c:axPos val="l"/>
        <c:majorGridlines/>
        <c:numFmt formatCode="General" sourceLinked="1"/>
        <c:tickLblPos val="nextTo"/>
        <c:crossAx val="8979187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4"/>
  <c:chart>
    <c:title>
      <c:layout/>
    </c:title>
    <c:plotArea>
      <c:layout/>
      <c:lineChart>
        <c:grouping val="standard"/>
        <c:ser>
          <c:idx val="0"/>
          <c:order val="0"/>
          <c:tx>
            <c:strRef>
              <c:f>List1!$A$3</c:f>
              <c:strCache>
                <c:ptCount val="1"/>
                <c:pt idx="0">
                  <c:v>A.s.</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List1!$B$3:$I$3</c:f>
              <c:numCache>
                <c:formatCode>General</c:formatCode>
                <c:ptCount val="8"/>
                <c:pt idx="0">
                  <c:v>3967</c:v>
                </c:pt>
                <c:pt idx="1">
                  <c:v>1336</c:v>
                </c:pt>
                <c:pt idx="2">
                  <c:v>1095</c:v>
                </c:pt>
                <c:pt idx="3">
                  <c:v>1174</c:v>
                </c:pt>
                <c:pt idx="4">
                  <c:v>1159</c:v>
                </c:pt>
                <c:pt idx="5">
                  <c:v>862</c:v>
                </c:pt>
                <c:pt idx="6">
                  <c:v>618</c:v>
                </c:pt>
                <c:pt idx="7">
                  <c:v>604</c:v>
                </c:pt>
              </c:numCache>
            </c:numRef>
          </c:val>
        </c:ser>
        <c:marker val="1"/>
        <c:axId val="90047232"/>
        <c:axId val="90221568"/>
      </c:lineChart>
      <c:catAx>
        <c:axId val="90047232"/>
        <c:scaling>
          <c:orientation val="minMax"/>
        </c:scaling>
        <c:axPos val="b"/>
        <c:numFmt formatCode="General" sourceLinked="1"/>
        <c:tickLblPos val="nextTo"/>
        <c:crossAx val="90221568"/>
        <c:crosses val="autoZero"/>
        <c:auto val="1"/>
        <c:lblAlgn val="ctr"/>
        <c:lblOffset val="100"/>
      </c:catAx>
      <c:valAx>
        <c:axId val="90221568"/>
        <c:scaling>
          <c:orientation val="minMax"/>
        </c:scaling>
        <c:axPos val="l"/>
        <c:majorGridlines/>
        <c:numFmt formatCode="General" sourceLinked="1"/>
        <c:tickLblPos val="nextTo"/>
        <c:crossAx val="90047232"/>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List1!$A$2</c:f>
              <c:strCache>
                <c:ptCount val="1"/>
                <c:pt idx="0">
                  <c:v>S.r.o.</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List1!$B$2:$I$2</c:f>
              <c:numCache>
                <c:formatCode>General</c:formatCode>
                <c:ptCount val="8"/>
                <c:pt idx="0">
                  <c:v>21063</c:v>
                </c:pt>
                <c:pt idx="1">
                  <c:v>22638</c:v>
                </c:pt>
                <c:pt idx="2">
                  <c:v>21756</c:v>
                </c:pt>
                <c:pt idx="3">
                  <c:v>22460</c:v>
                </c:pt>
                <c:pt idx="4">
                  <c:v>21174</c:v>
                </c:pt>
                <c:pt idx="5">
                  <c:v>21592</c:v>
                </c:pt>
                <c:pt idx="6">
                  <c:v>22227</c:v>
                </c:pt>
                <c:pt idx="7">
                  <c:v>24266</c:v>
                </c:pt>
              </c:numCache>
            </c:numRef>
          </c:val>
        </c:ser>
        <c:ser>
          <c:idx val="1"/>
          <c:order val="1"/>
          <c:tx>
            <c:strRef>
              <c:f>List1!$A$3</c:f>
              <c:strCache>
                <c:ptCount val="1"/>
                <c:pt idx="0">
                  <c:v>A.s.</c:v>
                </c:pt>
              </c:strCache>
            </c:strRef>
          </c:tx>
          <c:cat>
            <c:numRef>
              <c:f>List1!$B$1:$I$1</c:f>
              <c:numCache>
                <c:formatCode>General</c:formatCode>
                <c:ptCount val="8"/>
                <c:pt idx="0">
                  <c:v>2007</c:v>
                </c:pt>
                <c:pt idx="1">
                  <c:v>2008</c:v>
                </c:pt>
                <c:pt idx="2">
                  <c:v>2009</c:v>
                </c:pt>
                <c:pt idx="3">
                  <c:v>2010</c:v>
                </c:pt>
                <c:pt idx="4">
                  <c:v>2011</c:v>
                </c:pt>
                <c:pt idx="5">
                  <c:v>2012</c:v>
                </c:pt>
                <c:pt idx="6">
                  <c:v>2013</c:v>
                </c:pt>
                <c:pt idx="7">
                  <c:v>2014</c:v>
                </c:pt>
              </c:numCache>
            </c:numRef>
          </c:cat>
          <c:val>
            <c:numRef>
              <c:f>List1!$B$3:$I$3</c:f>
              <c:numCache>
                <c:formatCode>General</c:formatCode>
                <c:ptCount val="8"/>
                <c:pt idx="0">
                  <c:v>3967</c:v>
                </c:pt>
                <c:pt idx="1">
                  <c:v>1336</c:v>
                </c:pt>
                <c:pt idx="2">
                  <c:v>1095</c:v>
                </c:pt>
                <c:pt idx="3">
                  <c:v>1174</c:v>
                </c:pt>
                <c:pt idx="4">
                  <c:v>1159</c:v>
                </c:pt>
                <c:pt idx="5">
                  <c:v>862</c:v>
                </c:pt>
                <c:pt idx="6">
                  <c:v>618</c:v>
                </c:pt>
                <c:pt idx="7">
                  <c:v>604</c:v>
                </c:pt>
              </c:numCache>
            </c:numRef>
          </c:val>
        </c:ser>
        <c:axId val="35005952"/>
        <c:axId val="35007488"/>
      </c:barChart>
      <c:catAx>
        <c:axId val="35005952"/>
        <c:scaling>
          <c:orientation val="minMax"/>
        </c:scaling>
        <c:axPos val="b"/>
        <c:numFmt formatCode="General" sourceLinked="1"/>
        <c:tickLblPos val="nextTo"/>
        <c:crossAx val="35007488"/>
        <c:crosses val="autoZero"/>
        <c:auto val="1"/>
        <c:lblAlgn val="ctr"/>
        <c:lblOffset val="100"/>
      </c:catAx>
      <c:valAx>
        <c:axId val="35007488"/>
        <c:scaling>
          <c:orientation val="minMax"/>
        </c:scaling>
        <c:axPos val="l"/>
        <c:majorGridlines/>
        <c:numFmt formatCode="General" sourceLinked="1"/>
        <c:tickLblPos val="nextTo"/>
        <c:crossAx val="350059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D2142-D448-43D0-B6F1-63251017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74</Pages>
  <Words>20865</Words>
  <Characters>123108</Characters>
  <Application>Microsoft Office Word</Application>
  <DocSecurity>0</DocSecurity>
  <Lines>1025</Lines>
  <Paragraphs>287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143686</CharactersWithSpaces>
  <SharedDoc>false</SharedDoc>
  <HLinks>
    <vt:vector size="348" baseType="variant">
      <vt:variant>
        <vt:i4>3080317</vt:i4>
      </vt:variant>
      <vt:variant>
        <vt:i4>339</vt:i4>
      </vt:variant>
      <vt:variant>
        <vt:i4>0</vt:i4>
      </vt:variant>
      <vt:variant>
        <vt:i4>5</vt:i4>
      </vt:variant>
      <vt:variant>
        <vt:lpwstr>http://is.muni.cz/thesis/prace_na_stejne_tema?lang=en;furl=%2Fth%2F170010%2Fpravf_r%2F;so=nx;ks=business%20judgment%20rule</vt:lpwstr>
      </vt:variant>
      <vt:variant>
        <vt:lpwstr/>
      </vt:variant>
      <vt:variant>
        <vt:i4>3997798</vt:i4>
      </vt:variant>
      <vt:variant>
        <vt:i4>336</vt:i4>
      </vt:variant>
      <vt:variant>
        <vt:i4>0</vt:i4>
      </vt:variant>
      <vt:variant>
        <vt:i4>5</vt:i4>
      </vt:variant>
      <vt:variant>
        <vt:lpwstr>http://webslovnik.zoznam.sk/anglicko-slovensky/The-Trades-Licensing-Act</vt:lpwstr>
      </vt:variant>
      <vt:variant>
        <vt:lpwstr/>
      </vt:variant>
      <vt:variant>
        <vt:i4>6946878</vt:i4>
      </vt:variant>
      <vt:variant>
        <vt:i4>333</vt:i4>
      </vt:variant>
      <vt:variant>
        <vt:i4>0</vt:i4>
      </vt:variant>
      <vt:variant>
        <vt:i4>5</vt:i4>
      </vt:variant>
      <vt:variant>
        <vt:lpwstr>http://www.rotlaw.com/legal-library/what-is-the-business-judgment-rule/</vt:lpwstr>
      </vt:variant>
      <vt:variant>
        <vt:lpwstr/>
      </vt:variant>
      <vt:variant>
        <vt:i4>1048634</vt:i4>
      </vt:variant>
      <vt:variant>
        <vt:i4>326</vt:i4>
      </vt:variant>
      <vt:variant>
        <vt:i4>0</vt:i4>
      </vt:variant>
      <vt:variant>
        <vt:i4>5</vt:i4>
      </vt:variant>
      <vt:variant>
        <vt:lpwstr/>
      </vt:variant>
      <vt:variant>
        <vt:lpwstr>_Toc411181767</vt:lpwstr>
      </vt:variant>
      <vt:variant>
        <vt:i4>1048634</vt:i4>
      </vt:variant>
      <vt:variant>
        <vt:i4>320</vt:i4>
      </vt:variant>
      <vt:variant>
        <vt:i4>0</vt:i4>
      </vt:variant>
      <vt:variant>
        <vt:i4>5</vt:i4>
      </vt:variant>
      <vt:variant>
        <vt:lpwstr/>
      </vt:variant>
      <vt:variant>
        <vt:lpwstr>_Toc411181766</vt:lpwstr>
      </vt:variant>
      <vt:variant>
        <vt:i4>1048634</vt:i4>
      </vt:variant>
      <vt:variant>
        <vt:i4>314</vt:i4>
      </vt:variant>
      <vt:variant>
        <vt:i4>0</vt:i4>
      </vt:variant>
      <vt:variant>
        <vt:i4>5</vt:i4>
      </vt:variant>
      <vt:variant>
        <vt:lpwstr/>
      </vt:variant>
      <vt:variant>
        <vt:lpwstr>_Toc411181765</vt:lpwstr>
      </vt:variant>
      <vt:variant>
        <vt:i4>1048634</vt:i4>
      </vt:variant>
      <vt:variant>
        <vt:i4>308</vt:i4>
      </vt:variant>
      <vt:variant>
        <vt:i4>0</vt:i4>
      </vt:variant>
      <vt:variant>
        <vt:i4>5</vt:i4>
      </vt:variant>
      <vt:variant>
        <vt:lpwstr/>
      </vt:variant>
      <vt:variant>
        <vt:lpwstr>_Toc411181764</vt:lpwstr>
      </vt:variant>
      <vt:variant>
        <vt:i4>1048634</vt:i4>
      </vt:variant>
      <vt:variant>
        <vt:i4>302</vt:i4>
      </vt:variant>
      <vt:variant>
        <vt:i4>0</vt:i4>
      </vt:variant>
      <vt:variant>
        <vt:i4>5</vt:i4>
      </vt:variant>
      <vt:variant>
        <vt:lpwstr/>
      </vt:variant>
      <vt:variant>
        <vt:lpwstr>_Toc411181763</vt:lpwstr>
      </vt:variant>
      <vt:variant>
        <vt:i4>1048634</vt:i4>
      </vt:variant>
      <vt:variant>
        <vt:i4>296</vt:i4>
      </vt:variant>
      <vt:variant>
        <vt:i4>0</vt:i4>
      </vt:variant>
      <vt:variant>
        <vt:i4>5</vt:i4>
      </vt:variant>
      <vt:variant>
        <vt:lpwstr/>
      </vt:variant>
      <vt:variant>
        <vt:lpwstr>_Toc411181762</vt:lpwstr>
      </vt:variant>
      <vt:variant>
        <vt:i4>1048634</vt:i4>
      </vt:variant>
      <vt:variant>
        <vt:i4>290</vt:i4>
      </vt:variant>
      <vt:variant>
        <vt:i4>0</vt:i4>
      </vt:variant>
      <vt:variant>
        <vt:i4>5</vt:i4>
      </vt:variant>
      <vt:variant>
        <vt:lpwstr/>
      </vt:variant>
      <vt:variant>
        <vt:lpwstr>_Toc411181761</vt:lpwstr>
      </vt:variant>
      <vt:variant>
        <vt:i4>1048634</vt:i4>
      </vt:variant>
      <vt:variant>
        <vt:i4>284</vt:i4>
      </vt:variant>
      <vt:variant>
        <vt:i4>0</vt:i4>
      </vt:variant>
      <vt:variant>
        <vt:i4>5</vt:i4>
      </vt:variant>
      <vt:variant>
        <vt:lpwstr/>
      </vt:variant>
      <vt:variant>
        <vt:lpwstr>_Toc411181760</vt:lpwstr>
      </vt:variant>
      <vt:variant>
        <vt:i4>1245242</vt:i4>
      </vt:variant>
      <vt:variant>
        <vt:i4>278</vt:i4>
      </vt:variant>
      <vt:variant>
        <vt:i4>0</vt:i4>
      </vt:variant>
      <vt:variant>
        <vt:i4>5</vt:i4>
      </vt:variant>
      <vt:variant>
        <vt:lpwstr/>
      </vt:variant>
      <vt:variant>
        <vt:lpwstr>_Toc411181759</vt:lpwstr>
      </vt:variant>
      <vt:variant>
        <vt:i4>1245242</vt:i4>
      </vt:variant>
      <vt:variant>
        <vt:i4>272</vt:i4>
      </vt:variant>
      <vt:variant>
        <vt:i4>0</vt:i4>
      </vt:variant>
      <vt:variant>
        <vt:i4>5</vt:i4>
      </vt:variant>
      <vt:variant>
        <vt:lpwstr/>
      </vt:variant>
      <vt:variant>
        <vt:lpwstr>_Toc411181758</vt:lpwstr>
      </vt:variant>
      <vt:variant>
        <vt:i4>1245242</vt:i4>
      </vt:variant>
      <vt:variant>
        <vt:i4>266</vt:i4>
      </vt:variant>
      <vt:variant>
        <vt:i4>0</vt:i4>
      </vt:variant>
      <vt:variant>
        <vt:i4>5</vt:i4>
      </vt:variant>
      <vt:variant>
        <vt:lpwstr/>
      </vt:variant>
      <vt:variant>
        <vt:lpwstr>_Toc411181757</vt:lpwstr>
      </vt:variant>
      <vt:variant>
        <vt:i4>1245242</vt:i4>
      </vt:variant>
      <vt:variant>
        <vt:i4>260</vt:i4>
      </vt:variant>
      <vt:variant>
        <vt:i4>0</vt:i4>
      </vt:variant>
      <vt:variant>
        <vt:i4>5</vt:i4>
      </vt:variant>
      <vt:variant>
        <vt:lpwstr/>
      </vt:variant>
      <vt:variant>
        <vt:lpwstr>_Toc411181756</vt:lpwstr>
      </vt:variant>
      <vt:variant>
        <vt:i4>1245242</vt:i4>
      </vt:variant>
      <vt:variant>
        <vt:i4>254</vt:i4>
      </vt:variant>
      <vt:variant>
        <vt:i4>0</vt:i4>
      </vt:variant>
      <vt:variant>
        <vt:i4>5</vt:i4>
      </vt:variant>
      <vt:variant>
        <vt:lpwstr/>
      </vt:variant>
      <vt:variant>
        <vt:lpwstr>_Toc411181755</vt:lpwstr>
      </vt:variant>
      <vt:variant>
        <vt:i4>1245242</vt:i4>
      </vt:variant>
      <vt:variant>
        <vt:i4>248</vt:i4>
      </vt:variant>
      <vt:variant>
        <vt:i4>0</vt:i4>
      </vt:variant>
      <vt:variant>
        <vt:i4>5</vt:i4>
      </vt:variant>
      <vt:variant>
        <vt:lpwstr/>
      </vt:variant>
      <vt:variant>
        <vt:lpwstr>_Toc411181754</vt:lpwstr>
      </vt:variant>
      <vt:variant>
        <vt:i4>1245242</vt:i4>
      </vt:variant>
      <vt:variant>
        <vt:i4>242</vt:i4>
      </vt:variant>
      <vt:variant>
        <vt:i4>0</vt:i4>
      </vt:variant>
      <vt:variant>
        <vt:i4>5</vt:i4>
      </vt:variant>
      <vt:variant>
        <vt:lpwstr/>
      </vt:variant>
      <vt:variant>
        <vt:lpwstr>_Toc411181753</vt:lpwstr>
      </vt:variant>
      <vt:variant>
        <vt:i4>1245242</vt:i4>
      </vt:variant>
      <vt:variant>
        <vt:i4>236</vt:i4>
      </vt:variant>
      <vt:variant>
        <vt:i4>0</vt:i4>
      </vt:variant>
      <vt:variant>
        <vt:i4>5</vt:i4>
      </vt:variant>
      <vt:variant>
        <vt:lpwstr/>
      </vt:variant>
      <vt:variant>
        <vt:lpwstr>_Toc411181752</vt:lpwstr>
      </vt:variant>
      <vt:variant>
        <vt:i4>1245242</vt:i4>
      </vt:variant>
      <vt:variant>
        <vt:i4>230</vt:i4>
      </vt:variant>
      <vt:variant>
        <vt:i4>0</vt:i4>
      </vt:variant>
      <vt:variant>
        <vt:i4>5</vt:i4>
      </vt:variant>
      <vt:variant>
        <vt:lpwstr/>
      </vt:variant>
      <vt:variant>
        <vt:lpwstr>_Toc411181751</vt:lpwstr>
      </vt:variant>
      <vt:variant>
        <vt:i4>1245242</vt:i4>
      </vt:variant>
      <vt:variant>
        <vt:i4>224</vt:i4>
      </vt:variant>
      <vt:variant>
        <vt:i4>0</vt:i4>
      </vt:variant>
      <vt:variant>
        <vt:i4>5</vt:i4>
      </vt:variant>
      <vt:variant>
        <vt:lpwstr/>
      </vt:variant>
      <vt:variant>
        <vt:lpwstr>_Toc411181750</vt:lpwstr>
      </vt:variant>
      <vt:variant>
        <vt:i4>1179706</vt:i4>
      </vt:variant>
      <vt:variant>
        <vt:i4>218</vt:i4>
      </vt:variant>
      <vt:variant>
        <vt:i4>0</vt:i4>
      </vt:variant>
      <vt:variant>
        <vt:i4>5</vt:i4>
      </vt:variant>
      <vt:variant>
        <vt:lpwstr/>
      </vt:variant>
      <vt:variant>
        <vt:lpwstr>_Toc411181749</vt:lpwstr>
      </vt:variant>
      <vt:variant>
        <vt:i4>1179706</vt:i4>
      </vt:variant>
      <vt:variant>
        <vt:i4>212</vt:i4>
      </vt:variant>
      <vt:variant>
        <vt:i4>0</vt:i4>
      </vt:variant>
      <vt:variant>
        <vt:i4>5</vt:i4>
      </vt:variant>
      <vt:variant>
        <vt:lpwstr/>
      </vt:variant>
      <vt:variant>
        <vt:lpwstr>_Toc411181748</vt:lpwstr>
      </vt:variant>
      <vt:variant>
        <vt:i4>1179706</vt:i4>
      </vt:variant>
      <vt:variant>
        <vt:i4>206</vt:i4>
      </vt:variant>
      <vt:variant>
        <vt:i4>0</vt:i4>
      </vt:variant>
      <vt:variant>
        <vt:i4>5</vt:i4>
      </vt:variant>
      <vt:variant>
        <vt:lpwstr/>
      </vt:variant>
      <vt:variant>
        <vt:lpwstr>_Toc411181747</vt:lpwstr>
      </vt:variant>
      <vt:variant>
        <vt:i4>1179706</vt:i4>
      </vt:variant>
      <vt:variant>
        <vt:i4>200</vt:i4>
      </vt:variant>
      <vt:variant>
        <vt:i4>0</vt:i4>
      </vt:variant>
      <vt:variant>
        <vt:i4>5</vt:i4>
      </vt:variant>
      <vt:variant>
        <vt:lpwstr/>
      </vt:variant>
      <vt:variant>
        <vt:lpwstr>_Toc411181746</vt:lpwstr>
      </vt:variant>
      <vt:variant>
        <vt:i4>1179706</vt:i4>
      </vt:variant>
      <vt:variant>
        <vt:i4>194</vt:i4>
      </vt:variant>
      <vt:variant>
        <vt:i4>0</vt:i4>
      </vt:variant>
      <vt:variant>
        <vt:i4>5</vt:i4>
      </vt:variant>
      <vt:variant>
        <vt:lpwstr/>
      </vt:variant>
      <vt:variant>
        <vt:lpwstr>_Toc411181745</vt:lpwstr>
      </vt:variant>
      <vt:variant>
        <vt:i4>1179706</vt:i4>
      </vt:variant>
      <vt:variant>
        <vt:i4>188</vt:i4>
      </vt:variant>
      <vt:variant>
        <vt:i4>0</vt:i4>
      </vt:variant>
      <vt:variant>
        <vt:i4>5</vt:i4>
      </vt:variant>
      <vt:variant>
        <vt:lpwstr/>
      </vt:variant>
      <vt:variant>
        <vt:lpwstr>_Toc411181744</vt:lpwstr>
      </vt:variant>
      <vt:variant>
        <vt:i4>1179706</vt:i4>
      </vt:variant>
      <vt:variant>
        <vt:i4>182</vt:i4>
      </vt:variant>
      <vt:variant>
        <vt:i4>0</vt:i4>
      </vt:variant>
      <vt:variant>
        <vt:i4>5</vt:i4>
      </vt:variant>
      <vt:variant>
        <vt:lpwstr/>
      </vt:variant>
      <vt:variant>
        <vt:lpwstr>_Toc411181743</vt:lpwstr>
      </vt:variant>
      <vt:variant>
        <vt:i4>1179706</vt:i4>
      </vt:variant>
      <vt:variant>
        <vt:i4>176</vt:i4>
      </vt:variant>
      <vt:variant>
        <vt:i4>0</vt:i4>
      </vt:variant>
      <vt:variant>
        <vt:i4>5</vt:i4>
      </vt:variant>
      <vt:variant>
        <vt:lpwstr/>
      </vt:variant>
      <vt:variant>
        <vt:lpwstr>_Toc411181742</vt:lpwstr>
      </vt:variant>
      <vt:variant>
        <vt:i4>1179706</vt:i4>
      </vt:variant>
      <vt:variant>
        <vt:i4>170</vt:i4>
      </vt:variant>
      <vt:variant>
        <vt:i4>0</vt:i4>
      </vt:variant>
      <vt:variant>
        <vt:i4>5</vt:i4>
      </vt:variant>
      <vt:variant>
        <vt:lpwstr/>
      </vt:variant>
      <vt:variant>
        <vt:lpwstr>_Toc411181741</vt:lpwstr>
      </vt:variant>
      <vt:variant>
        <vt:i4>1179706</vt:i4>
      </vt:variant>
      <vt:variant>
        <vt:i4>164</vt:i4>
      </vt:variant>
      <vt:variant>
        <vt:i4>0</vt:i4>
      </vt:variant>
      <vt:variant>
        <vt:i4>5</vt:i4>
      </vt:variant>
      <vt:variant>
        <vt:lpwstr/>
      </vt:variant>
      <vt:variant>
        <vt:lpwstr>_Toc411181740</vt:lpwstr>
      </vt:variant>
      <vt:variant>
        <vt:i4>1376314</vt:i4>
      </vt:variant>
      <vt:variant>
        <vt:i4>158</vt:i4>
      </vt:variant>
      <vt:variant>
        <vt:i4>0</vt:i4>
      </vt:variant>
      <vt:variant>
        <vt:i4>5</vt:i4>
      </vt:variant>
      <vt:variant>
        <vt:lpwstr/>
      </vt:variant>
      <vt:variant>
        <vt:lpwstr>_Toc411181739</vt:lpwstr>
      </vt:variant>
      <vt:variant>
        <vt:i4>1376314</vt:i4>
      </vt:variant>
      <vt:variant>
        <vt:i4>152</vt:i4>
      </vt:variant>
      <vt:variant>
        <vt:i4>0</vt:i4>
      </vt:variant>
      <vt:variant>
        <vt:i4>5</vt:i4>
      </vt:variant>
      <vt:variant>
        <vt:lpwstr/>
      </vt:variant>
      <vt:variant>
        <vt:lpwstr>_Toc411181738</vt:lpwstr>
      </vt:variant>
      <vt:variant>
        <vt:i4>1376314</vt:i4>
      </vt:variant>
      <vt:variant>
        <vt:i4>146</vt:i4>
      </vt:variant>
      <vt:variant>
        <vt:i4>0</vt:i4>
      </vt:variant>
      <vt:variant>
        <vt:i4>5</vt:i4>
      </vt:variant>
      <vt:variant>
        <vt:lpwstr/>
      </vt:variant>
      <vt:variant>
        <vt:lpwstr>_Toc411181737</vt:lpwstr>
      </vt:variant>
      <vt:variant>
        <vt:i4>1376314</vt:i4>
      </vt:variant>
      <vt:variant>
        <vt:i4>140</vt:i4>
      </vt:variant>
      <vt:variant>
        <vt:i4>0</vt:i4>
      </vt:variant>
      <vt:variant>
        <vt:i4>5</vt:i4>
      </vt:variant>
      <vt:variant>
        <vt:lpwstr/>
      </vt:variant>
      <vt:variant>
        <vt:lpwstr>_Toc411181736</vt:lpwstr>
      </vt:variant>
      <vt:variant>
        <vt:i4>1376314</vt:i4>
      </vt:variant>
      <vt:variant>
        <vt:i4>134</vt:i4>
      </vt:variant>
      <vt:variant>
        <vt:i4>0</vt:i4>
      </vt:variant>
      <vt:variant>
        <vt:i4>5</vt:i4>
      </vt:variant>
      <vt:variant>
        <vt:lpwstr/>
      </vt:variant>
      <vt:variant>
        <vt:lpwstr>_Toc411181735</vt:lpwstr>
      </vt:variant>
      <vt:variant>
        <vt:i4>1376314</vt:i4>
      </vt:variant>
      <vt:variant>
        <vt:i4>128</vt:i4>
      </vt:variant>
      <vt:variant>
        <vt:i4>0</vt:i4>
      </vt:variant>
      <vt:variant>
        <vt:i4>5</vt:i4>
      </vt:variant>
      <vt:variant>
        <vt:lpwstr/>
      </vt:variant>
      <vt:variant>
        <vt:lpwstr>_Toc411181734</vt:lpwstr>
      </vt:variant>
      <vt:variant>
        <vt:i4>1376314</vt:i4>
      </vt:variant>
      <vt:variant>
        <vt:i4>122</vt:i4>
      </vt:variant>
      <vt:variant>
        <vt:i4>0</vt:i4>
      </vt:variant>
      <vt:variant>
        <vt:i4>5</vt:i4>
      </vt:variant>
      <vt:variant>
        <vt:lpwstr/>
      </vt:variant>
      <vt:variant>
        <vt:lpwstr>_Toc411181733</vt:lpwstr>
      </vt:variant>
      <vt:variant>
        <vt:i4>1376314</vt:i4>
      </vt:variant>
      <vt:variant>
        <vt:i4>116</vt:i4>
      </vt:variant>
      <vt:variant>
        <vt:i4>0</vt:i4>
      </vt:variant>
      <vt:variant>
        <vt:i4>5</vt:i4>
      </vt:variant>
      <vt:variant>
        <vt:lpwstr/>
      </vt:variant>
      <vt:variant>
        <vt:lpwstr>_Toc411181732</vt:lpwstr>
      </vt:variant>
      <vt:variant>
        <vt:i4>1376314</vt:i4>
      </vt:variant>
      <vt:variant>
        <vt:i4>110</vt:i4>
      </vt:variant>
      <vt:variant>
        <vt:i4>0</vt:i4>
      </vt:variant>
      <vt:variant>
        <vt:i4>5</vt:i4>
      </vt:variant>
      <vt:variant>
        <vt:lpwstr/>
      </vt:variant>
      <vt:variant>
        <vt:lpwstr>_Toc411181731</vt:lpwstr>
      </vt:variant>
      <vt:variant>
        <vt:i4>1376314</vt:i4>
      </vt:variant>
      <vt:variant>
        <vt:i4>104</vt:i4>
      </vt:variant>
      <vt:variant>
        <vt:i4>0</vt:i4>
      </vt:variant>
      <vt:variant>
        <vt:i4>5</vt:i4>
      </vt:variant>
      <vt:variant>
        <vt:lpwstr/>
      </vt:variant>
      <vt:variant>
        <vt:lpwstr>_Toc411181730</vt:lpwstr>
      </vt:variant>
      <vt:variant>
        <vt:i4>1310778</vt:i4>
      </vt:variant>
      <vt:variant>
        <vt:i4>98</vt:i4>
      </vt:variant>
      <vt:variant>
        <vt:i4>0</vt:i4>
      </vt:variant>
      <vt:variant>
        <vt:i4>5</vt:i4>
      </vt:variant>
      <vt:variant>
        <vt:lpwstr/>
      </vt:variant>
      <vt:variant>
        <vt:lpwstr>_Toc411181729</vt:lpwstr>
      </vt:variant>
      <vt:variant>
        <vt:i4>1310778</vt:i4>
      </vt:variant>
      <vt:variant>
        <vt:i4>92</vt:i4>
      </vt:variant>
      <vt:variant>
        <vt:i4>0</vt:i4>
      </vt:variant>
      <vt:variant>
        <vt:i4>5</vt:i4>
      </vt:variant>
      <vt:variant>
        <vt:lpwstr/>
      </vt:variant>
      <vt:variant>
        <vt:lpwstr>_Toc411181728</vt:lpwstr>
      </vt:variant>
      <vt:variant>
        <vt:i4>1310778</vt:i4>
      </vt:variant>
      <vt:variant>
        <vt:i4>86</vt:i4>
      </vt:variant>
      <vt:variant>
        <vt:i4>0</vt:i4>
      </vt:variant>
      <vt:variant>
        <vt:i4>5</vt:i4>
      </vt:variant>
      <vt:variant>
        <vt:lpwstr/>
      </vt:variant>
      <vt:variant>
        <vt:lpwstr>_Toc411181727</vt:lpwstr>
      </vt:variant>
      <vt:variant>
        <vt:i4>1310778</vt:i4>
      </vt:variant>
      <vt:variant>
        <vt:i4>80</vt:i4>
      </vt:variant>
      <vt:variant>
        <vt:i4>0</vt:i4>
      </vt:variant>
      <vt:variant>
        <vt:i4>5</vt:i4>
      </vt:variant>
      <vt:variant>
        <vt:lpwstr/>
      </vt:variant>
      <vt:variant>
        <vt:lpwstr>_Toc411181726</vt:lpwstr>
      </vt:variant>
      <vt:variant>
        <vt:i4>1310778</vt:i4>
      </vt:variant>
      <vt:variant>
        <vt:i4>74</vt:i4>
      </vt:variant>
      <vt:variant>
        <vt:i4>0</vt:i4>
      </vt:variant>
      <vt:variant>
        <vt:i4>5</vt:i4>
      </vt:variant>
      <vt:variant>
        <vt:lpwstr/>
      </vt:variant>
      <vt:variant>
        <vt:lpwstr>_Toc411181725</vt:lpwstr>
      </vt:variant>
      <vt:variant>
        <vt:i4>1310778</vt:i4>
      </vt:variant>
      <vt:variant>
        <vt:i4>68</vt:i4>
      </vt:variant>
      <vt:variant>
        <vt:i4>0</vt:i4>
      </vt:variant>
      <vt:variant>
        <vt:i4>5</vt:i4>
      </vt:variant>
      <vt:variant>
        <vt:lpwstr/>
      </vt:variant>
      <vt:variant>
        <vt:lpwstr>_Toc411181724</vt:lpwstr>
      </vt:variant>
      <vt:variant>
        <vt:i4>1310778</vt:i4>
      </vt:variant>
      <vt:variant>
        <vt:i4>62</vt:i4>
      </vt:variant>
      <vt:variant>
        <vt:i4>0</vt:i4>
      </vt:variant>
      <vt:variant>
        <vt:i4>5</vt:i4>
      </vt:variant>
      <vt:variant>
        <vt:lpwstr/>
      </vt:variant>
      <vt:variant>
        <vt:lpwstr>_Toc411181723</vt:lpwstr>
      </vt:variant>
      <vt:variant>
        <vt:i4>1310778</vt:i4>
      </vt:variant>
      <vt:variant>
        <vt:i4>56</vt:i4>
      </vt:variant>
      <vt:variant>
        <vt:i4>0</vt:i4>
      </vt:variant>
      <vt:variant>
        <vt:i4>5</vt:i4>
      </vt:variant>
      <vt:variant>
        <vt:lpwstr/>
      </vt:variant>
      <vt:variant>
        <vt:lpwstr>_Toc411181722</vt:lpwstr>
      </vt:variant>
      <vt:variant>
        <vt:i4>1310778</vt:i4>
      </vt:variant>
      <vt:variant>
        <vt:i4>50</vt:i4>
      </vt:variant>
      <vt:variant>
        <vt:i4>0</vt:i4>
      </vt:variant>
      <vt:variant>
        <vt:i4>5</vt:i4>
      </vt:variant>
      <vt:variant>
        <vt:lpwstr/>
      </vt:variant>
      <vt:variant>
        <vt:lpwstr>_Toc411181721</vt:lpwstr>
      </vt:variant>
      <vt:variant>
        <vt:i4>1310778</vt:i4>
      </vt:variant>
      <vt:variant>
        <vt:i4>44</vt:i4>
      </vt:variant>
      <vt:variant>
        <vt:i4>0</vt:i4>
      </vt:variant>
      <vt:variant>
        <vt:i4>5</vt:i4>
      </vt:variant>
      <vt:variant>
        <vt:lpwstr/>
      </vt:variant>
      <vt:variant>
        <vt:lpwstr>_Toc411181720</vt:lpwstr>
      </vt:variant>
      <vt:variant>
        <vt:i4>1507386</vt:i4>
      </vt:variant>
      <vt:variant>
        <vt:i4>38</vt:i4>
      </vt:variant>
      <vt:variant>
        <vt:i4>0</vt:i4>
      </vt:variant>
      <vt:variant>
        <vt:i4>5</vt:i4>
      </vt:variant>
      <vt:variant>
        <vt:lpwstr/>
      </vt:variant>
      <vt:variant>
        <vt:lpwstr>_Toc411181719</vt:lpwstr>
      </vt:variant>
      <vt:variant>
        <vt:i4>1507386</vt:i4>
      </vt:variant>
      <vt:variant>
        <vt:i4>32</vt:i4>
      </vt:variant>
      <vt:variant>
        <vt:i4>0</vt:i4>
      </vt:variant>
      <vt:variant>
        <vt:i4>5</vt:i4>
      </vt:variant>
      <vt:variant>
        <vt:lpwstr/>
      </vt:variant>
      <vt:variant>
        <vt:lpwstr>_Toc411181718</vt:lpwstr>
      </vt:variant>
      <vt:variant>
        <vt:i4>1507386</vt:i4>
      </vt:variant>
      <vt:variant>
        <vt:i4>26</vt:i4>
      </vt:variant>
      <vt:variant>
        <vt:i4>0</vt:i4>
      </vt:variant>
      <vt:variant>
        <vt:i4>5</vt:i4>
      </vt:variant>
      <vt:variant>
        <vt:lpwstr/>
      </vt:variant>
      <vt:variant>
        <vt:lpwstr>_Toc411181717</vt:lpwstr>
      </vt:variant>
      <vt:variant>
        <vt:i4>1507386</vt:i4>
      </vt:variant>
      <vt:variant>
        <vt:i4>20</vt:i4>
      </vt:variant>
      <vt:variant>
        <vt:i4>0</vt:i4>
      </vt:variant>
      <vt:variant>
        <vt:i4>5</vt:i4>
      </vt:variant>
      <vt:variant>
        <vt:lpwstr/>
      </vt:variant>
      <vt:variant>
        <vt:lpwstr>_Toc411181716</vt:lpwstr>
      </vt:variant>
      <vt:variant>
        <vt:i4>1507386</vt:i4>
      </vt:variant>
      <vt:variant>
        <vt:i4>14</vt:i4>
      </vt:variant>
      <vt:variant>
        <vt:i4>0</vt:i4>
      </vt:variant>
      <vt:variant>
        <vt:i4>5</vt:i4>
      </vt:variant>
      <vt:variant>
        <vt:lpwstr/>
      </vt:variant>
      <vt:variant>
        <vt:lpwstr>_Toc411181715</vt:lpwstr>
      </vt:variant>
      <vt:variant>
        <vt:i4>1507386</vt:i4>
      </vt:variant>
      <vt:variant>
        <vt:i4>8</vt:i4>
      </vt:variant>
      <vt:variant>
        <vt:i4>0</vt:i4>
      </vt:variant>
      <vt:variant>
        <vt:i4>5</vt:i4>
      </vt:variant>
      <vt:variant>
        <vt:lpwstr/>
      </vt:variant>
      <vt:variant>
        <vt:lpwstr>_Toc411181714</vt:lpwstr>
      </vt:variant>
      <vt:variant>
        <vt:i4>1507386</vt:i4>
      </vt:variant>
      <vt:variant>
        <vt:i4>2</vt:i4>
      </vt:variant>
      <vt:variant>
        <vt:i4>0</vt:i4>
      </vt:variant>
      <vt:variant>
        <vt:i4>5</vt:i4>
      </vt:variant>
      <vt:variant>
        <vt:lpwstr/>
      </vt:variant>
      <vt:variant>
        <vt:lpwstr>_Toc411181713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3</cp:revision>
  <dcterms:created xsi:type="dcterms:W3CDTF">2015-03-25T15:53:00Z</dcterms:created>
  <dcterms:modified xsi:type="dcterms:W3CDTF">2015-03-25T16:03:00Z</dcterms:modified>
</cp:coreProperties>
</file>