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AB" w:rsidRDefault="009150AB" w:rsidP="009150A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Univerzita Palackého</w:t>
      </w:r>
      <w:r w:rsidR="00942A52">
        <w:rPr>
          <w:b/>
          <w:bCs/>
          <w:sz w:val="44"/>
          <w:szCs w:val="44"/>
        </w:rPr>
        <w:t xml:space="preserve"> v </w:t>
      </w:r>
      <w:r>
        <w:rPr>
          <w:b/>
          <w:bCs/>
          <w:sz w:val="44"/>
          <w:szCs w:val="44"/>
        </w:rPr>
        <w:t>Olomouci</w:t>
      </w:r>
    </w:p>
    <w:p w:rsidR="009150AB" w:rsidRDefault="009150AB" w:rsidP="009150A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Cyrilometodějská teologická fakulta</w:t>
      </w:r>
    </w:p>
    <w:p w:rsidR="009150AB" w:rsidRDefault="009150AB" w:rsidP="009150A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44"/>
          <w:szCs w:val="44"/>
        </w:rPr>
      </w:pPr>
    </w:p>
    <w:p w:rsidR="009150AB" w:rsidRDefault="009150AB" w:rsidP="009150A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44"/>
          <w:szCs w:val="44"/>
        </w:rPr>
        <w:t>Katedra křesťanské sociální práce</w:t>
      </w:r>
    </w:p>
    <w:p w:rsidR="001C6BD2" w:rsidRPr="009150AB" w:rsidRDefault="001C6BD2" w:rsidP="009150A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C6BD2" w:rsidRDefault="000639E3" w:rsidP="009150AB">
      <w:pPr>
        <w:autoSpaceDE w:val="0"/>
        <w:autoSpaceDN w:val="0"/>
        <w:adjustRightInd w:val="0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Charitativní</w:t>
      </w:r>
      <w:r w:rsidR="005D233E">
        <w:rPr>
          <w:i/>
          <w:iCs/>
          <w:sz w:val="44"/>
          <w:szCs w:val="44"/>
        </w:rPr>
        <w:t xml:space="preserve"> a </w:t>
      </w:r>
      <w:r>
        <w:rPr>
          <w:i/>
          <w:iCs/>
          <w:sz w:val="44"/>
          <w:szCs w:val="44"/>
        </w:rPr>
        <w:t>sociální práce</w:t>
      </w:r>
    </w:p>
    <w:p w:rsidR="001C6BD2" w:rsidRDefault="001C6BD2" w:rsidP="001C6BD2">
      <w:pPr>
        <w:autoSpaceDE w:val="0"/>
        <w:autoSpaceDN w:val="0"/>
        <w:adjustRightInd w:val="0"/>
        <w:jc w:val="center"/>
        <w:rPr>
          <w:i/>
          <w:iCs/>
          <w:sz w:val="44"/>
          <w:szCs w:val="44"/>
        </w:rPr>
      </w:pPr>
    </w:p>
    <w:p w:rsidR="00A46F55" w:rsidRPr="001C6BD2" w:rsidRDefault="00A46F55" w:rsidP="001C6BD2">
      <w:pPr>
        <w:autoSpaceDE w:val="0"/>
        <w:autoSpaceDN w:val="0"/>
        <w:adjustRightInd w:val="0"/>
        <w:jc w:val="center"/>
        <w:rPr>
          <w:i/>
          <w:iCs/>
          <w:sz w:val="44"/>
          <w:szCs w:val="44"/>
        </w:rPr>
      </w:pPr>
    </w:p>
    <w:p w:rsidR="001C6BD2" w:rsidRDefault="0026329B" w:rsidP="00A46F55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Lada Kozlíková</w:t>
      </w:r>
    </w:p>
    <w:p w:rsidR="008D1F30" w:rsidRDefault="008D1F30" w:rsidP="001C6BD2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A46F55" w:rsidRDefault="00A46F55" w:rsidP="001C6BD2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9150AB" w:rsidRPr="001C6BD2" w:rsidRDefault="00B42BA5" w:rsidP="00B42BA5">
      <w:pPr>
        <w:tabs>
          <w:tab w:val="left" w:pos="5140"/>
        </w:tabs>
        <w:autoSpaceDE w:val="0"/>
        <w:autoSpaceDN w:val="0"/>
        <w:adjustRightInd w:val="0"/>
        <w:jc w:val="left"/>
        <w:rPr>
          <w:sz w:val="40"/>
          <w:szCs w:val="40"/>
        </w:rPr>
      </w:pPr>
      <w:r>
        <w:rPr>
          <w:sz w:val="40"/>
          <w:szCs w:val="40"/>
        </w:rPr>
        <w:tab/>
      </w:r>
    </w:p>
    <w:p w:rsidR="00F60ACB" w:rsidRPr="00F60ACB" w:rsidRDefault="0026329B" w:rsidP="00F60ACB">
      <w:pPr>
        <w:autoSpaceDE w:val="0"/>
        <w:autoSpaceDN w:val="0"/>
        <w:adjustRightInd w:val="0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Ex-partnerský stalking a sociální práce</w:t>
      </w:r>
      <w:r w:rsidR="000639E3" w:rsidRPr="00F60ACB">
        <w:rPr>
          <w:i/>
          <w:iCs/>
          <w:sz w:val="40"/>
          <w:szCs w:val="40"/>
        </w:rPr>
        <w:t xml:space="preserve"> </w:t>
      </w:r>
    </w:p>
    <w:p w:rsidR="001C6BD2" w:rsidRDefault="009150AB" w:rsidP="009150AB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F60ACB">
        <w:rPr>
          <w:sz w:val="40"/>
          <w:szCs w:val="40"/>
        </w:rPr>
        <w:t>Bakalářská</w:t>
      </w:r>
      <w:r>
        <w:rPr>
          <w:sz w:val="40"/>
          <w:szCs w:val="40"/>
        </w:rPr>
        <w:t xml:space="preserve"> práce</w:t>
      </w:r>
    </w:p>
    <w:p w:rsidR="009150AB" w:rsidRDefault="009150AB" w:rsidP="001C6BD2">
      <w:pPr>
        <w:autoSpaceDE w:val="0"/>
        <w:autoSpaceDN w:val="0"/>
        <w:adjustRightInd w:val="0"/>
        <w:rPr>
          <w:sz w:val="40"/>
          <w:szCs w:val="40"/>
        </w:rPr>
      </w:pPr>
    </w:p>
    <w:p w:rsidR="009150AB" w:rsidRDefault="009150AB" w:rsidP="001C6BD2">
      <w:pPr>
        <w:autoSpaceDE w:val="0"/>
        <w:autoSpaceDN w:val="0"/>
        <w:adjustRightInd w:val="0"/>
        <w:rPr>
          <w:sz w:val="40"/>
          <w:szCs w:val="40"/>
        </w:rPr>
      </w:pPr>
    </w:p>
    <w:p w:rsidR="00A46F55" w:rsidRDefault="00A46F55" w:rsidP="001C6BD2">
      <w:pPr>
        <w:autoSpaceDE w:val="0"/>
        <w:autoSpaceDN w:val="0"/>
        <w:adjustRightInd w:val="0"/>
        <w:rPr>
          <w:sz w:val="40"/>
          <w:szCs w:val="40"/>
        </w:rPr>
      </w:pPr>
    </w:p>
    <w:p w:rsidR="009150AB" w:rsidRPr="001C6BD2" w:rsidRDefault="009150AB" w:rsidP="001C6BD2">
      <w:pPr>
        <w:autoSpaceDE w:val="0"/>
        <w:autoSpaceDN w:val="0"/>
        <w:adjustRightInd w:val="0"/>
        <w:rPr>
          <w:sz w:val="40"/>
          <w:szCs w:val="40"/>
        </w:rPr>
      </w:pPr>
    </w:p>
    <w:p w:rsidR="009150AB" w:rsidRDefault="008D1F30" w:rsidP="009150AB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70B0B">
        <w:rPr>
          <w:sz w:val="40"/>
          <w:szCs w:val="40"/>
        </w:rPr>
        <w:t>V</w:t>
      </w:r>
      <w:r w:rsidR="001C6BD2" w:rsidRPr="00670B0B">
        <w:rPr>
          <w:sz w:val="40"/>
          <w:szCs w:val="40"/>
        </w:rPr>
        <w:t xml:space="preserve">edoucí práce: </w:t>
      </w:r>
      <w:r w:rsidR="007266D7">
        <w:rPr>
          <w:sz w:val="40"/>
          <w:szCs w:val="40"/>
        </w:rPr>
        <w:t xml:space="preserve">Mgr. </w:t>
      </w:r>
      <w:r w:rsidR="00D02076">
        <w:rPr>
          <w:sz w:val="40"/>
          <w:szCs w:val="40"/>
        </w:rPr>
        <w:t xml:space="preserve">Hana </w:t>
      </w:r>
      <w:r w:rsidR="007266D7">
        <w:rPr>
          <w:sz w:val="40"/>
          <w:szCs w:val="40"/>
        </w:rPr>
        <w:t>Krylová,</w:t>
      </w:r>
      <w:r w:rsidR="000639E3" w:rsidRPr="00670B0B">
        <w:rPr>
          <w:sz w:val="40"/>
          <w:szCs w:val="40"/>
        </w:rPr>
        <w:t xml:space="preserve"> Ph.D.</w:t>
      </w:r>
    </w:p>
    <w:p w:rsidR="009150AB" w:rsidRPr="00A46F55" w:rsidRDefault="009150AB" w:rsidP="009150A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23E47" w:rsidRDefault="001C6BD2" w:rsidP="002C170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C6BD2">
        <w:rPr>
          <w:b/>
          <w:bCs/>
          <w:sz w:val="40"/>
          <w:szCs w:val="40"/>
        </w:rPr>
        <w:t>20</w:t>
      </w:r>
      <w:r w:rsidR="0026329B">
        <w:rPr>
          <w:b/>
          <w:bCs/>
          <w:sz w:val="40"/>
          <w:szCs w:val="40"/>
        </w:rPr>
        <w:t>14</w:t>
      </w: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4A54B2" w:rsidRDefault="004A54B2" w:rsidP="00E23E47">
      <w:pPr>
        <w:autoSpaceDE w:val="0"/>
        <w:autoSpaceDN w:val="0"/>
        <w:adjustRightInd w:val="0"/>
      </w:pPr>
    </w:p>
    <w:p w:rsidR="007E6EDA" w:rsidRDefault="007E6EDA" w:rsidP="007E6EDA">
      <w:pPr>
        <w:pStyle w:val="BC"/>
        <w:ind w:firstLine="0"/>
      </w:pPr>
    </w:p>
    <w:p w:rsidR="0026329B" w:rsidRDefault="0026329B" w:rsidP="007E6EDA">
      <w:pPr>
        <w:pStyle w:val="BC"/>
        <w:ind w:firstLine="0"/>
        <w:rPr>
          <w:b/>
        </w:rPr>
      </w:pPr>
    </w:p>
    <w:p w:rsidR="0026329B" w:rsidRDefault="0026329B" w:rsidP="007E6EDA">
      <w:pPr>
        <w:pStyle w:val="BC"/>
        <w:ind w:firstLine="0"/>
        <w:rPr>
          <w:b/>
        </w:rPr>
      </w:pPr>
    </w:p>
    <w:p w:rsidR="0026329B" w:rsidRDefault="0026329B" w:rsidP="007E6EDA">
      <w:pPr>
        <w:pStyle w:val="BC"/>
        <w:ind w:firstLine="0"/>
        <w:rPr>
          <w:b/>
        </w:rPr>
      </w:pPr>
    </w:p>
    <w:p w:rsidR="004A54B2" w:rsidRDefault="004A54B2" w:rsidP="007E6EDA">
      <w:pPr>
        <w:pStyle w:val="BC"/>
        <w:ind w:firstLine="0"/>
        <w:rPr>
          <w:b/>
        </w:rPr>
      </w:pPr>
      <w:r w:rsidRPr="00BC4E50">
        <w:rPr>
          <w:b/>
        </w:rPr>
        <w:t>Prohlášení:</w:t>
      </w:r>
    </w:p>
    <w:p w:rsidR="007E6EDA" w:rsidRPr="00BC4E50" w:rsidRDefault="007E6EDA" w:rsidP="007E6EDA">
      <w:pPr>
        <w:pStyle w:val="BC"/>
        <w:ind w:firstLine="0"/>
        <w:rPr>
          <w:b/>
        </w:rPr>
      </w:pPr>
    </w:p>
    <w:p w:rsidR="0026329B" w:rsidRPr="0026329B" w:rsidRDefault="0026329B" w:rsidP="0026329B">
      <w:pPr>
        <w:pStyle w:val="StylBCPrvndek095cm"/>
      </w:pPr>
      <w:r w:rsidRPr="0026329B">
        <w:t xml:space="preserve">Prohlašuji, že jsem bakalářskou práci </w:t>
      </w:r>
      <w:r>
        <w:t>vypracovala</w:t>
      </w:r>
      <w:r w:rsidRPr="0026329B">
        <w:t xml:space="preserve"> pod vedením vedoucího bakalářské práce samostatně</w:t>
      </w:r>
      <w:r w:rsidR="00BE2816">
        <w:t>,</w:t>
      </w:r>
      <w:r w:rsidRPr="0026329B">
        <w:t xml:space="preserve"> za použití v práci uvedených pramenů a literatury. </w:t>
      </w:r>
    </w:p>
    <w:p w:rsidR="007E6EDA" w:rsidRDefault="007E6EDA" w:rsidP="007E6EDA">
      <w:pPr>
        <w:pStyle w:val="BC"/>
        <w:ind w:firstLine="0"/>
      </w:pPr>
    </w:p>
    <w:p w:rsidR="007E6EDA" w:rsidRDefault="007E6EDA" w:rsidP="007E6EDA">
      <w:pPr>
        <w:pStyle w:val="BC"/>
        <w:ind w:firstLine="0"/>
      </w:pPr>
    </w:p>
    <w:p w:rsidR="008D1F30" w:rsidRDefault="008D1F30" w:rsidP="002C1702">
      <w:pPr>
        <w:pStyle w:val="BC"/>
        <w:ind w:firstLine="0"/>
      </w:pPr>
      <w:r>
        <w:t xml:space="preserve">V Olomouci dne: </w:t>
      </w:r>
      <w:r w:rsidR="00867636">
        <w:t>25</w:t>
      </w:r>
      <w:r w:rsidR="0026329B">
        <w:t xml:space="preserve">. 3. </w:t>
      </w:r>
      <w:proofErr w:type="gramStart"/>
      <w:r w:rsidR="0026329B">
        <w:t>2014</w:t>
      </w:r>
      <w:r>
        <w:tab/>
      </w:r>
      <w:r>
        <w:tab/>
      </w:r>
      <w:r w:rsidR="007E6EDA">
        <w:tab/>
      </w:r>
      <w:r w:rsidR="008B4C43">
        <w:tab/>
      </w:r>
      <w:r w:rsidR="008B4C43">
        <w:tab/>
      </w:r>
      <w:r>
        <w:t>............................................</w:t>
      </w:r>
      <w:proofErr w:type="gramEnd"/>
    </w:p>
    <w:p w:rsidR="008D1F30" w:rsidRPr="004A54B2" w:rsidRDefault="008D1F30" w:rsidP="008D1F30">
      <w:pPr>
        <w:pStyle w:val="BC"/>
        <w:ind w:left="708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65C">
        <w:t xml:space="preserve"> </w:t>
      </w:r>
      <w:r w:rsidR="0026329B">
        <w:t xml:space="preserve">       </w:t>
      </w:r>
      <w:r w:rsidR="00F8665C">
        <w:t xml:space="preserve"> </w:t>
      </w:r>
      <w:r w:rsidR="0026329B">
        <w:t>Lada Kozlíková</w:t>
      </w:r>
    </w:p>
    <w:p w:rsidR="00E23E47" w:rsidRDefault="00E23E47" w:rsidP="009C15F5">
      <w:pPr>
        <w:pStyle w:val="StylBCPrvndek125cm"/>
      </w:pPr>
    </w:p>
    <w:p w:rsidR="008D1F30" w:rsidRPr="008D1F30" w:rsidRDefault="008D1F30" w:rsidP="008D1F30">
      <w:pPr>
        <w:autoSpaceDE w:val="0"/>
        <w:autoSpaceDN w:val="0"/>
        <w:adjustRightInd w:val="0"/>
        <w:rPr>
          <w:bCs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54B2" w:rsidRDefault="004A54B2" w:rsidP="001C6BD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8269F" w:rsidRDefault="0008269F" w:rsidP="00A46F55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3D1F11" w:rsidRDefault="003D1F11" w:rsidP="008D1F30">
      <w:pPr>
        <w:pStyle w:val="BC"/>
        <w:ind w:firstLine="0"/>
        <w:rPr>
          <w:b/>
          <w:bCs/>
        </w:rPr>
      </w:pPr>
    </w:p>
    <w:p w:rsidR="004A54B2" w:rsidRPr="008D1F30" w:rsidRDefault="004A54B2" w:rsidP="008D1F30">
      <w:pPr>
        <w:pStyle w:val="BC"/>
        <w:ind w:firstLine="0"/>
        <w:rPr>
          <w:b/>
          <w:bCs/>
        </w:rPr>
      </w:pPr>
      <w:r w:rsidRPr="008D1F30">
        <w:rPr>
          <w:b/>
          <w:bCs/>
        </w:rPr>
        <w:t>Poděkování:</w:t>
      </w:r>
    </w:p>
    <w:p w:rsidR="00BC4E50" w:rsidRDefault="00BC4E50" w:rsidP="009C15F5">
      <w:pPr>
        <w:pStyle w:val="StylBCPrvndek125cm"/>
      </w:pPr>
    </w:p>
    <w:p w:rsidR="00562349" w:rsidRPr="00014477" w:rsidRDefault="0026329B" w:rsidP="00014477">
      <w:pPr>
        <w:pStyle w:val="StylBCPrvndek095cm"/>
      </w:pPr>
      <w:r>
        <w:t>Ráda bych touto cestou vyjádřila</w:t>
      </w:r>
      <w:r w:rsidRPr="0026329B">
        <w:t xml:space="preserve"> poděkování </w:t>
      </w:r>
      <w:r>
        <w:t xml:space="preserve">paní </w:t>
      </w:r>
      <w:r w:rsidRPr="00BC4E50">
        <w:t>Mgr. Haně Krylové, Ph.D</w:t>
      </w:r>
      <w:r>
        <w:t>., vedoucí práce, za její</w:t>
      </w:r>
      <w:r w:rsidRPr="0026329B">
        <w:t xml:space="preserve"> cenné rady a trpělivost při vedení mé bakalářské práce. Rovněž bych</w:t>
      </w:r>
      <w:r>
        <w:t xml:space="preserve"> chtěla</w:t>
      </w:r>
      <w:r w:rsidRPr="0026329B">
        <w:t xml:space="preserve"> poděkovat </w:t>
      </w:r>
      <w:r>
        <w:t>paní Mgr. Pavlíně Valouchové</w:t>
      </w:r>
      <w:r w:rsidR="00DD0091">
        <w:t>,</w:t>
      </w:r>
      <w:r>
        <w:t xml:space="preserve"> Ph.D.</w:t>
      </w:r>
      <w:r w:rsidR="00DD0091">
        <w:t>,</w:t>
      </w:r>
      <w:r>
        <w:t xml:space="preserve"> </w:t>
      </w:r>
      <w:r w:rsidRPr="0026329B">
        <w:t>za vstřícnost a pomoc při</w:t>
      </w:r>
      <w:r>
        <w:t xml:space="preserve"> tvorbě praktické části</w:t>
      </w:r>
      <w:r w:rsidRPr="0026329B">
        <w:t>.</w:t>
      </w:r>
    </w:p>
    <w:p w:rsidR="001647D9" w:rsidRDefault="005F6BD9" w:rsidP="003D1F11">
      <w:pPr>
        <w:pStyle w:val="BC"/>
        <w:pageBreakBefore/>
        <w:ind w:firstLine="0"/>
        <w:rPr>
          <w:b/>
          <w:sz w:val="28"/>
          <w:szCs w:val="28"/>
        </w:rPr>
      </w:pPr>
      <w:r w:rsidRPr="005F6BD9">
        <w:rPr>
          <w:b/>
          <w:sz w:val="28"/>
          <w:szCs w:val="28"/>
        </w:rPr>
        <w:lastRenderedPageBreak/>
        <w:t>OBSAH</w:t>
      </w:r>
    </w:p>
    <w:p w:rsidR="00BF4073" w:rsidRDefault="00BF4073" w:rsidP="005D0408">
      <w:pPr>
        <w:pStyle w:val="BC"/>
        <w:spacing w:after="240"/>
        <w:ind w:firstLine="0"/>
        <w:rPr>
          <w:b/>
          <w:sz w:val="28"/>
          <w:szCs w:val="28"/>
        </w:rPr>
      </w:pPr>
    </w:p>
    <w:bookmarkStart w:id="0" w:name="_Toc291021913"/>
    <w:bookmarkStart w:id="1" w:name="_Toc292200446"/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r w:rsidRPr="00630994">
        <w:fldChar w:fldCharType="begin"/>
      </w:r>
      <w:r w:rsidR="001F44EB">
        <w:instrText xml:space="preserve"> TOC \o "1-3" \h \z \u </w:instrText>
      </w:r>
      <w:r w:rsidRPr="00630994">
        <w:fldChar w:fldCharType="separate"/>
      </w:r>
      <w:hyperlink w:anchor="_Toc383408589" w:history="1">
        <w:r w:rsidR="002B176B" w:rsidRPr="00271004">
          <w:rPr>
            <w:rStyle w:val="Hypertextovodkaz"/>
          </w:rPr>
          <w:t>Úvod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590" w:history="1">
        <w:r w:rsidR="002B176B" w:rsidRPr="00271004">
          <w:rPr>
            <w:rStyle w:val="Hypertextovodkaz"/>
          </w:rPr>
          <w:t>1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Stručný vhled do problematiky stalkingu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1" w:history="1">
        <w:r w:rsidR="002B176B" w:rsidRPr="00271004">
          <w:rPr>
            <w:rStyle w:val="Hypertextovodkaz"/>
            <w:noProof/>
          </w:rPr>
          <w:t>1.1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Vymezení pojmu stalking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2" w:history="1">
        <w:r w:rsidR="002B176B" w:rsidRPr="00271004">
          <w:rPr>
            <w:rStyle w:val="Hypertextovodkaz"/>
            <w:noProof/>
          </w:rPr>
          <w:t>1.2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Proces změny ve vnímání 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3" w:history="1">
        <w:r w:rsidR="002B176B" w:rsidRPr="00271004">
          <w:rPr>
            <w:rStyle w:val="Hypertextovodkaz"/>
            <w:noProof/>
          </w:rPr>
          <w:t>1.3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Vývoj v oblasti antistalkingových právních předpisů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594" w:history="1">
        <w:r w:rsidR="002B176B" w:rsidRPr="00271004">
          <w:rPr>
            <w:rStyle w:val="Hypertextovodkaz"/>
          </w:rPr>
          <w:t>2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Nejznámější typologie stalkerů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5" w:history="1">
        <w:r w:rsidR="002B176B" w:rsidRPr="00271004">
          <w:rPr>
            <w:rStyle w:val="Hypertextovodkaz"/>
            <w:noProof/>
          </w:rPr>
          <w:t>2.1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Typologie podle Mullena, Pathého a Purcellové (Austrálie, 1999)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6" w:history="1">
        <w:r w:rsidR="002B176B" w:rsidRPr="00271004">
          <w:rPr>
            <w:rStyle w:val="Hypertextovodkaz"/>
            <w:noProof/>
          </w:rPr>
          <w:t>2.2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Typologie podle Boona a Sheridanové (Velká Británie, 2001)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597" w:history="1">
        <w:r w:rsidR="002B176B" w:rsidRPr="00271004">
          <w:rPr>
            <w:rStyle w:val="Hypertextovodkaz"/>
          </w:rPr>
          <w:t>3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Základní informace o ex-partnerském stalkingu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8" w:history="1">
        <w:r w:rsidR="002B176B" w:rsidRPr="00271004">
          <w:rPr>
            <w:rStyle w:val="Hypertextovodkaz"/>
            <w:noProof/>
          </w:rPr>
          <w:t>3.1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Vymezení pojmu ex-partnerský stalking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599" w:history="1">
        <w:r w:rsidR="002B176B" w:rsidRPr="00271004">
          <w:rPr>
            <w:rStyle w:val="Hypertextovodkaz"/>
            <w:noProof/>
          </w:rPr>
          <w:t>3.2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Ex-partnerský stalking a zahraniční studie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0" w:history="1">
        <w:r w:rsidR="002B176B" w:rsidRPr="00271004">
          <w:rPr>
            <w:rStyle w:val="Hypertextovodkaz"/>
            <w:noProof/>
          </w:rPr>
          <w:t>3.3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Aktéři ex-partnerského 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01" w:history="1">
        <w:r w:rsidR="002B176B" w:rsidRPr="00271004">
          <w:rPr>
            <w:rStyle w:val="Hypertextovodkaz"/>
            <w:noProof/>
          </w:rPr>
          <w:t>3.3.1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Charakteristika oběti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02" w:history="1">
        <w:r w:rsidR="002B176B" w:rsidRPr="00271004">
          <w:rPr>
            <w:rStyle w:val="Hypertextovodkaz"/>
            <w:noProof/>
          </w:rPr>
          <w:t>3.3.2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Charakteristika pachatele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3" w:history="1">
        <w:r w:rsidR="002B176B" w:rsidRPr="00271004">
          <w:rPr>
            <w:rStyle w:val="Hypertextovodkaz"/>
            <w:noProof/>
          </w:rPr>
          <w:t>3.4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Techniky ex-partnerského 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04" w:history="1">
        <w:r w:rsidR="002B176B" w:rsidRPr="00271004">
          <w:rPr>
            <w:rStyle w:val="Hypertextovodkaz"/>
          </w:rPr>
          <w:t>4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Dopady ex-partnerského stalkingu na oběť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5" w:history="1">
        <w:r w:rsidR="002B176B" w:rsidRPr="00271004">
          <w:rPr>
            <w:rStyle w:val="Hypertextovodkaz"/>
            <w:noProof/>
          </w:rPr>
          <w:t>4.1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Psychické důsledky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6" w:history="1">
        <w:r w:rsidR="002B176B" w:rsidRPr="00271004">
          <w:rPr>
            <w:rStyle w:val="Hypertextovodkaz"/>
            <w:noProof/>
          </w:rPr>
          <w:t>4.2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Zdravotní důsledky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7" w:history="1">
        <w:r w:rsidR="002B176B" w:rsidRPr="00271004">
          <w:rPr>
            <w:rStyle w:val="Hypertextovodkaz"/>
            <w:noProof/>
          </w:rPr>
          <w:t>4.3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Sociální důsledky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08" w:history="1">
        <w:r w:rsidR="002B176B" w:rsidRPr="00271004">
          <w:rPr>
            <w:rStyle w:val="Hypertextovodkaz"/>
          </w:rPr>
          <w:t>5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Odborná pomoc obětem ex-partnerského stalkingu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09" w:history="1">
        <w:r w:rsidR="002B176B" w:rsidRPr="00271004">
          <w:rPr>
            <w:rStyle w:val="Hypertextovodkaz"/>
            <w:noProof/>
          </w:rPr>
          <w:t>5.1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 xml:space="preserve">Právní normy poskytující ochranu v případech ex-partnerského </w:t>
        </w:r>
        <w:r w:rsidR="002B176B">
          <w:rPr>
            <w:rStyle w:val="Hypertextovodkaz"/>
            <w:noProof/>
          </w:rPr>
          <w:br/>
          <w:t xml:space="preserve">                      </w:t>
        </w:r>
        <w:r w:rsidR="002B176B" w:rsidRPr="00271004">
          <w:rPr>
            <w:rStyle w:val="Hypertextovodkaz"/>
            <w:noProof/>
          </w:rPr>
          <w:t>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10" w:history="1">
        <w:r w:rsidR="002B176B" w:rsidRPr="00271004">
          <w:rPr>
            <w:rStyle w:val="Hypertextovodkaz"/>
            <w:noProof/>
          </w:rPr>
          <w:t>5.2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Formy odborné krizové pomoci v sociálních službách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11" w:history="1">
        <w:r w:rsidR="002B176B" w:rsidRPr="00271004">
          <w:rPr>
            <w:rStyle w:val="Hypertextovodkaz"/>
            <w:noProof/>
          </w:rPr>
          <w:t>5.2.1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Služby ambulantní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12" w:history="1">
        <w:r w:rsidR="002B176B" w:rsidRPr="00271004">
          <w:rPr>
            <w:rStyle w:val="Hypertextovodkaz"/>
            <w:noProof/>
          </w:rPr>
          <w:t>5.2.2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Služby pobytové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13" w:history="1">
        <w:r w:rsidR="002B176B" w:rsidRPr="00271004">
          <w:rPr>
            <w:rStyle w:val="Hypertextovodkaz"/>
            <w:noProof/>
          </w:rPr>
          <w:t>5.2.3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Služby terénní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14" w:history="1">
        <w:r w:rsidR="002B176B" w:rsidRPr="00271004">
          <w:rPr>
            <w:rStyle w:val="Hypertextovodkaz"/>
            <w:noProof/>
          </w:rPr>
          <w:t>5.2.4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Služby v klientově přirozeném prostředí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15" w:history="1">
        <w:r w:rsidR="002B176B" w:rsidRPr="00271004">
          <w:rPr>
            <w:rStyle w:val="Hypertextovodkaz"/>
            <w:noProof/>
          </w:rPr>
          <w:t>5.2.5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Forma telefonické krizové pomoci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16" w:history="1">
        <w:r w:rsidR="002B176B" w:rsidRPr="00271004">
          <w:rPr>
            <w:rStyle w:val="Hypertextovodkaz"/>
            <w:noProof/>
          </w:rPr>
          <w:t>5.3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Možnosti práce s obětí ex-partnerského 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17" w:history="1">
        <w:r w:rsidR="002B176B" w:rsidRPr="00271004">
          <w:rPr>
            <w:rStyle w:val="Hypertextovodkaz"/>
            <w:noProof/>
          </w:rPr>
          <w:t>5.4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Odborná práce se stalkerem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18" w:history="1">
        <w:r w:rsidR="002B176B" w:rsidRPr="00271004">
          <w:rPr>
            <w:rStyle w:val="Hypertextovodkaz"/>
          </w:rPr>
          <w:t>6</w:t>
        </w:r>
        <w:r w:rsidR="002B176B">
          <w:rPr>
            <w:rFonts w:ascii="Calibri" w:hAnsi="Calibri"/>
            <w:b w:val="0"/>
            <w:sz w:val="22"/>
            <w:szCs w:val="22"/>
          </w:rPr>
          <w:tab/>
        </w:r>
        <w:r w:rsidR="002B176B" w:rsidRPr="00271004">
          <w:rPr>
            <w:rStyle w:val="Hypertextovodkaz"/>
          </w:rPr>
          <w:t>Empirický výzkum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19" w:history="1">
        <w:r w:rsidR="002B176B" w:rsidRPr="00271004">
          <w:rPr>
            <w:rStyle w:val="Hypertextovodkaz"/>
            <w:noProof/>
          </w:rPr>
          <w:t>6.1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 xml:space="preserve">Stanovení výzkumného cíle, formulace hypotéz a jejich </w:t>
        </w:r>
        <w:r w:rsidR="002B176B">
          <w:rPr>
            <w:rStyle w:val="Hypertextovodkaz"/>
            <w:noProof/>
          </w:rPr>
          <w:br/>
          <w:t xml:space="preserve">                      </w:t>
        </w:r>
        <w:r w:rsidR="002B176B" w:rsidRPr="00271004">
          <w:rPr>
            <w:rStyle w:val="Hypertextovodkaz"/>
            <w:noProof/>
          </w:rPr>
          <w:t>operacionalizace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20" w:history="1">
        <w:r w:rsidR="002B176B" w:rsidRPr="00271004">
          <w:rPr>
            <w:rStyle w:val="Hypertextovodkaz"/>
            <w:noProof/>
          </w:rPr>
          <w:t>6.2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Metodologie výzkumu a zpracovávání dat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21" w:history="1">
        <w:r w:rsidR="002B176B" w:rsidRPr="00271004">
          <w:rPr>
            <w:rStyle w:val="Hypertextovodkaz"/>
            <w:noProof/>
          </w:rPr>
          <w:t>6.3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Průběh výzkumu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22" w:history="1">
        <w:r w:rsidR="002B176B" w:rsidRPr="00271004">
          <w:rPr>
            <w:rStyle w:val="Hypertextovodkaz"/>
            <w:noProof/>
          </w:rPr>
          <w:t>6.4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Obecná charakteristika výzkumného vzorku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2"/>
        <w:rPr>
          <w:rFonts w:ascii="Calibri" w:hAnsi="Calibri"/>
          <w:noProof/>
          <w:sz w:val="22"/>
          <w:szCs w:val="22"/>
        </w:rPr>
      </w:pPr>
      <w:hyperlink w:anchor="_Toc383408623" w:history="1">
        <w:r w:rsidR="002B176B" w:rsidRPr="00271004">
          <w:rPr>
            <w:rStyle w:val="Hypertextovodkaz"/>
            <w:noProof/>
          </w:rPr>
          <w:t>6.5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Výsledky z analýzy dat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B176B" w:rsidRDefault="00630994">
      <w:pPr>
        <w:pStyle w:val="Obsah3"/>
        <w:tabs>
          <w:tab w:val="left" w:pos="1889"/>
          <w:tab w:val="right" w:leader="dot" w:pos="8777"/>
        </w:tabs>
        <w:rPr>
          <w:rFonts w:ascii="Calibri" w:hAnsi="Calibri"/>
          <w:noProof/>
          <w:sz w:val="22"/>
          <w:szCs w:val="22"/>
        </w:rPr>
      </w:pPr>
      <w:hyperlink w:anchor="_Toc383408624" w:history="1">
        <w:r w:rsidR="002B176B" w:rsidRPr="00271004">
          <w:rPr>
            <w:rStyle w:val="Hypertextovodkaz"/>
            <w:noProof/>
          </w:rPr>
          <w:t>6.5.1</w:t>
        </w:r>
        <w:r w:rsidR="002B176B">
          <w:rPr>
            <w:rFonts w:ascii="Calibri" w:hAnsi="Calibri"/>
            <w:noProof/>
            <w:sz w:val="22"/>
            <w:szCs w:val="22"/>
          </w:rPr>
          <w:tab/>
        </w:r>
        <w:r w:rsidR="002B176B" w:rsidRPr="00271004">
          <w:rPr>
            <w:rStyle w:val="Hypertextovodkaz"/>
            <w:noProof/>
          </w:rPr>
          <w:t>Informovanosti respondentů o ex-partnerském stalkingu</w:t>
        </w:r>
        <w:r w:rsidR="002B17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76B">
          <w:rPr>
            <w:noProof/>
            <w:webHidden/>
          </w:rPr>
          <w:instrText xml:space="preserve"> PAGEREF _Toc383408624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5C0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5D0408" w:rsidRDefault="00630994">
      <w:pPr>
        <w:pStyle w:val="Obsah3"/>
        <w:tabs>
          <w:tab w:val="left" w:pos="1889"/>
          <w:tab w:val="right" w:leader="dot" w:pos="8777"/>
        </w:tabs>
        <w:rPr>
          <w:rStyle w:val="Hypertextovodkaz"/>
          <w:noProof/>
        </w:rPr>
      </w:pPr>
      <w:r w:rsidRPr="00271004">
        <w:rPr>
          <w:rStyle w:val="Hypertextovodkaz"/>
          <w:noProof/>
        </w:rPr>
        <w:fldChar w:fldCharType="begin"/>
      </w:r>
      <w:r w:rsidR="002B176B" w:rsidRPr="00271004">
        <w:rPr>
          <w:rStyle w:val="Hypertextovodkaz"/>
          <w:noProof/>
        </w:rPr>
        <w:instrText xml:space="preserve"> </w:instrText>
      </w:r>
      <w:r w:rsidR="002B176B">
        <w:rPr>
          <w:noProof/>
        </w:rPr>
        <w:instrText>HYPERLINK \l "_Toc383408625"</w:instrText>
      </w:r>
      <w:r w:rsidR="002B176B" w:rsidRPr="00271004">
        <w:rPr>
          <w:rStyle w:val="Hypertextovodkaz"/>
          <w:noProof/>
        </w:rPr>
        <w:instrText xml:space="preserve"> </w:instrText>
      </w:r>
      <w:r w:rsidRPr="00271004">
        <w:rPr>
          <w:rStyle w:val="Hypertextovodkaz"/>
          <w:noProof/>
        </w:rPr>
        <w:fldChar w:fldCharType="separate"/>
      </w:r>
      <w:r w:rsidR="002B176B" w:rsidRPr="00271004">
        <w:rPr>
          <w:rStyle w:val="Hypertextovodkaz"/>
          <w:noProof/>
        </w:rPr>
        <w:t>6.5.2</w:t>
      </w:r>
      <w:r w:rsidR="002B176B">
        <w:rPr>
          <w:rFonts w:ascii="Calibri" w:hAnsi="Calibri"/>
          <w:noProof/>
          <w:sz w:val="22"/>
          <w:szCs w:val="22"/>
        </w:rPr>
        <w:tab/>
      </w:r>
      <w:r w:rsidR="002B176B" w:rsidRPr="00271004">
        <w:rPr>
          <w:rStyle w:val="Hypertextovodkaz"/>
          <w:noProof/>
        </w:rPr>
        <w:t xml:space="preserve">Pohled respondentů </w:t>
      </w:r>
      <w:r w:rsidR="002B176B">
        <w:rPr>
          <w:rStyle w:val="Hypertextovodkaz"/>
          <w:noProof/>
        </w:rPr>
        <w:t>na problematiku ex-partnerského</w:t>
      </w:r>
    </w:p>
    <w:p w:rsidR="002B176B" w:rsidRDefault="005D0408" w:rsidP="005D0408">
      <w:pPr>
        <w:pStyle w:val="Obsah3"/>
        <w:tabs>
          <w:tab w:val="left" w:pos="1889"/>
          <w:tab w:val="right" w:leader="dot" w:pos="8777"/>
        </w:tabs>
        <w:ind w:left="0" w:firstLine="0"/>
        <w:rPr>
          <w:rFonts w:ascii="Calibri" w:hAnsi="Calibri"/>
          <w:noProof/>
          <w:sz w:val="22"/>
          <w:szCs w:val="22"/>
        </w:rPr>
      </w:pPr>
      <w:r>
        <w:rPr>
          <w:rStyle w:val="Hypertextovodkaz"/>
          <w:noProof/>
        </w:rPr>
        <w:t xml:space="preserve">                                </w:t>
      </w:r>
      <w:r w:rsidR="002B176B">
        <w:rPr>
          <w:rStyle w:val="Hypertextovodkaz"/>
          <w:noProof/>
        </w:rPr>
        <w:t xml:space="preserve">stalkingu </w:t>
      </w:r>
      <w:r w:rsidR="002B176B" w:rsidRPr="00271004">
        <w:rPr>
          <w:rStyle w:val="Hypertextovodkaz"/>
          <w:noProof/>
        </w:rPr>
        <w:t>jako jevu, kterým by se sociální práce měla více zabývat</w:t>
      </w:r>
      <w:r w:rsidR="002B176B">
        <w:rPr>
          <w:noProof/>
          <w:webHidden/>
        </w:rPr>
        <w:tab/>
      </w:r>
      <w:r w:rsidR="00630994">
        <w:rPr>
          <w:noProof/>
          <w:webHidden/>
        </w:rPr>
        <w:fldChar w:fldCharType="begin"/>
      </w:r>
      <w:r w:rsidR="002B176B">
        <w:rPr>
          <w:noProof/>
          <w:webHidden/>
        </w:rPr>
        <w:instrText xml:space="preserve"> PAGEREF _Toc383408625 \h </w:instrText>
      </w:r>
      <w:r w:rsidR="00630994">
        <w:rPr>
          <w:noProof/>
          <w:webHidden/>
        </w:rPr>
      </w:r>
      <w:r w:rsidR="00630994">
        <w:rPr>
          <w:noProof/>
          <w:webHidden/>
        </w:rPr>
        <w:fldChar w:fldCharType="separate"/>
      </w:r>
      <w:r w:rsidR="00075C08">
        <w:rPr>
          <w:noProof/>
          <w:webHidden/>
        </w:rPr>
        <w:t>56</w:t>
      </w:r>
      <w:r w:rsidR="00630994">
        <w:rPr>
          <w:noProof/>
          <w:webHidden/>
        </w:rPr>
        <w:fldChar w:fldCharType="end"/>
      </w:r>
      <w:r w:rsidR="00630994" w:rsidRPr="00271004">
        <w:rPr>
          <w:rStyle w:val="Hypertextovodkaz"/>
          <w:noProof/>
        </w:rPr>
        <w:fldChar w:fldCharType="end"/>
      </w:r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26" w:history="1">
        <w:r w:rsidR="002B176B" w:rsidRPr="00271004">
          <w:rPr>
            <w:rStyle w:val="Hypertextovodkaz"/>
          </w:rPr>
          <w:t>Diskuze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27" w:history="1">
        <w:r w:rsidR="002B176B" w:rsidRPr="00271004">
          <w:rPr>
            <w:rStyle w:val="Hypertextovodkaz"/>
          </w:rPr>
          <w:t>Závěry výzkumu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28" w:history="1">
        <w:r w:rsidR="002B176B" w:rsidRPr="00271004">
          <w:rPr>
            <w:rStyle w:val="Hypertextovodkaz"/>
          </w:rPr>
          <w:t>Souhrn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29" w:history="1">
        <w:r w:rsidR="002B176B" w:rsidRPr="00271004">
          <w:rPr>
            <w:rStyle w:val="Hypertextovodkaz"/>
          </w:rPr>
          <w:t>Seznam literatury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0" w:history="1">
        <w:r w:rsidR="002B176B" w:rsidRPr="00271004">
          <w:rPr>
            <w:rStyle w:val="Hypertextovodkaz"/>
          </w:rPr>
          <w:t>Seznam použitých zkratek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1" w:history="1">
        <w:r w:rsidR="002B176B" w:rsidRPr="00271004">
          <w:rPr>
            <w:rStyle w:val="Hypertextovodkaz"/>
          </w:rPr>
          <w:t>Anotace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2" w:history="1">
        <w:r w:rsidR="002B176B" w:rsidRPr="00271004">
          <w:rPr>
            <w:rStyle w:val="Hypertextovodkaz"/>
          </w:rPr>
          <w:t>Seznam příloh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3" w:history="1">
        <w:r w:rsidR="002B176B" w:rsidRPr="00271004">
          <w:rPr>
            <w:rStyle w:val="Hypertextovodkaz"/>
          </w:rPr>
          <w:t>Příloha 1: Průvodní dopis pro tazatele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4" w:history="1">
        <w:r w:rsidR="002B176B" w:rsidRPr="00271004">
          <w:rPr>
            <w:rStyle w:val="Hypertextovodkaz"/>
          </w:rPr>
          <w:t>Příloha 2: Průvodní dopis pro respondenta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2B176B" w:rsidRDefault="00630994">
      <w:pPr>
        <w:pStyle w:val="Obsah1"/>
        <w:rPr>
          <w:rFonts w:ascii="Calibri" w:hAnsi="Calibri"/>
          <w:b w:val="0"/>
          <w:sz w:val="22"/>
          <w:szCs w:val="22"/>
        </w:rPr>
      </w:pPr>
      <w:hyperlink w:anchor="_Toc383408635" w:history="1">
        <w:r w:rsidR="002B176B" w:rsidRPr="00271004">
          <w:rPr>
            <w:rStyle w:val="Hypertextovodkaz"/>
          </w:rPr>
          <w:t>Příloha 3: Kvantitativní dotazník</w:t>
        </w:r>
        <w:r w:rsidR="002B176B">
          <w:rPr>
            <w:webHidden/>
          </w:rPr>
          <w:tab/>
        </w:r>
        <w:r>
          <w:rPr>
            <w:webHidden/>
          </w:rPr>
          <w:fldChar w:fldCharType="begin"/>
        </w:r>
        <w:r w:rsidR="002B176B">
          <w:rPr>
            <w:webHidden/>
          </w:rPr>
          <w:instrText xml:space="preserve"> PAGEREF _Toc383408635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75C08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1F44EB" w:rsidRDefault="00630994">
      <w:r>
        <w:fldChar w:fldCharType="end"/>
      </w:r>
    </w:p>
    <w:p w:rsidR="005963C1" w:rsidRDefault="005963C1" w:rsidP="00213B37">
      <w:pPr>
        <w:pStyle w:val="Nadpis1"/>
        <w:numPr>
          <w:ilvl w:val="0"/>
          <w:numId w:val="0"/>
        </w:numPr>
        <w:sectPr w:rsidR="005963C1" w:rsidSect="005D363A">
          <w:pgSz w:w="11906" w:h="16838"/>
          <w:pgMar w:top="1418" w:right="1418" w:bottom="1618" w:left="1701" w:header="709" w:footer="709" w:gutter="0"/>
          <w:cols w:space="708"/>
          <w:docGrid w:linePitch="360"/>
        </w:sectPr>
      </w:pPr>
    </w:p>
    <w:p w:rsidR="0026329B" w:rsidRDefault="00E60925" w:rsidP="00213B37">
      <w:pPr>
        <w:pStyle w:val="Nadpis1"/>
        <w:numPr>
          <w:ilvl w:val="0"/>
          <w:numId w:val="0"/>
        </w:numPr>
      </w:pPr>
      <w:bookmarkStart w:id="2" w:name="_Toc383408589"/>
      <w:r>
        <w:lastRenderedPageBreak/>
        <w:t>Úvod</w:t>
      </w:r>
      <w:bookmarkStart w:id="3" w:name="_Toc291021914"/>
      <w:bookmarkStart w:id="4" w:name="_Toc292200447"/>
      <w:bookmarkEnd w:id="0"/>
      <w:bookmarkEnd w:id="1"/>
      <w:bookmarkEnd w:id="2"/>
    </w:p>
    <w:bookmarkEnd w:id="3"/>
    <w:bookmarkEnd w:id="4"/>
    <w:p w:rsidR="0075322C" w:rsidRDefault="0075322C" w:rsidP="0075322C">
      <w:r>
        <w:t>Bakalářská práce je zaměřena na problematiku stalkingu. Nebezpečné pronásledování je z pohledu kriminologie poměrně mladým jevem a mnohdy může předznamenat i závažný trestný čin. Současná typologie rozlišuje několik variant stalkingu. Tato práce nás blíže seznamuje již s konkrétním typem, kterým je „ex-partnerský stalking“. Tento typ stalkingu je mezi odborníky považován za nejrozšířenější a v současné</w:t>
      </w:r>
      <w:r w:rsidR="00712B62">
        <w:t xml:space="preserve"> době je </w:t>
      </w:r>
      <w:r>
        <w:t xml:space="preserve">velká pozornost soustředěna právě na něj, o čemž se zmiňuje i Čírtková (2004, s. 234). Ex-partnerský stalking je navíc ve většině případů úzce spjat s domácím násilím, kterému sociální práce věnuje již dlouhé roky pozornost. </w:t>
      </w:r>
    </w:p>
    <w:p w:rsidR="0075322C" w:rsidRDefault="0075322C" w:rsidP="0075322C">
      <w:r>
        <w:t xml:space="preserve">V odborném časopise Sociální práce/Sociálna </w:t>
      </w:r>
      <w:proofErr w:type="spellStart"/>
      <w:r>
        <w:t>práca</w:t>
      </w:r>
      <w:proofErr w:type="spellEnd"/>
      <w:r>
        <w:t xml:space="preserve"> se mi nepodařilo najít žádný specializovaný článek, který by problematice stalkingu věnoval pozornost. Podařilo se mi však pro účel této bakalářské práce využít informace, vztahující se k zavádění alternativních přístupů a k rozvoji sociální práce v trestní justi</w:t>
      </w:r>
      <w:r w:rsidR="00867636">
        <w:t xml:space="preserve">ci (Bajer, 2005, s. 3-4). </w:t>
      </w:r>
      <w:r w:rsidR="00867636" w:rsidRPr="00712B62">
        <w:t>Takové</w:t>
      </w:r>
      <w:r w:rsidRPr="00712B62">
        <w:t xml:space="preserve"> přístup</w:t>
      </w:r>
      <w:r w:rsidR="00867636" w:rsidRPr="00712B62">
        <w:t>y</w:t>
      </w:r>
      <w:r w:rsidR="004E5ABD">
        <w:t xml:space="preserve"> naopak upřednostňují</w:t>
      </w:r>
      <w:r>
        <w:t xml:space="preserve"> stejně indiv</w:t>
      </w:r>
      <w:r w:rsidR="00712B62">
        <w:t>idualizovaný a humánní postoj k </w:t>
      </w:r>
      <w:r>
        <w:t xml:space="preserve">delikventům jako k obětem, a to i v případě ex-partnerského pronásledování (Pažoutová – Růžičková, 2005, 134). </w:t>
      </w:r>
    </w:p>
    <w:p w:rsidR="006830BC" w:rsidRPr="00712B62" w:rsidRDefault="0075322C" w:rsidP="0075322C">
      <w:r>
        <w:t>Bakalářská práce je rozdělena do dvou hlavních celků, teoretického a praktického. Hlavním cílem práce je zjistit, jaká je informovanost sociálních pracovníků a pracovníků v sociálních službách o problematice ex-partnerského stalkingu</w:t>
      </w:r>
      <w:r w:rsidRPr="00712B62">
        <w:t xml:space="preserve">. K jeho naplnění </w:t>
      </w:r>
      <w:r w:rsidR="00867636" w:rsidRPr="00712B62">
        <w:t xml:space="preserve">je </w:t>
      </w:r>
      <w:r w:rsidRPr="00712B62">
        <w:t>po</w:t>
      </w:r>
      <w:r w:rsidR="00867636" w:rsidRPr="00712B62">
        <w:t>užita v teoretické části metoda</w:t>
      </w:r>
      <w:r w:rsidRPr="00712B62">
        <w:t xml:space="preserve"> odborné kompilace (Šanderová, 2009, s. 68</w:t>
      </w:r>
      <w:r w:rsidR="00867636" w:rsidRPr="00712B62">
        <w:t>) a v empirické části pak metoda</w:t>
      </w:r>
      <w:r w:rsidRPr="00712B62">
        <w:t xml:space="preserve"> kvantitativního sběru dat (</w:t>
      </w:r>
      <w:proofErr w:type="spellStart"/>
      <w:r w:rsidRPr="00712B62">
        <w:t>Disman</w:t>
      </w:r>
      <w:proofErr w:type="spellEnd"/>
      <w:r w:rsidRPr="00712B62">
        <w:t xml:space="preserve">, 2008, s. 287). </w:t>
      </w:r>
    </w:p>
    <w:p w:rsidR="0075322C" w:rsidRDefault="0075322C" w:rsidP="006830BC">
      <w:r w:rsidRPr="00712B62">
        <w:t>Teoretická část přináší přehledné informace od n</w:t>
      </w:r>
      <w:r w:rsidR="00193B41" w:rsidRPr="00712B62">
        <w:t>ašich i zahraničních autorů, kteří</w:t>
      </w:r>
      <w:r w:rsidR="008305CC">
        <w:t> </w:t>
      </w:r>
      <w:r w:rsidRPr="00712B62">
        <w:t>se problematikou ex-partnerského pronásledování zabývají.</w:t>
      </w:r>
      <w:r w:rsidR="00193B41" w:rsidRPr="00712B62">
        <w:t xml:space="preserve"> Je tvořena </w:t>
      </w:r>
      <w:r w:rsidR="00712B62">
        <w:t>pěti kapitolami a </w:t>
      </w:r>
      <w:r w:rsidR="00193B41" w:rsidRPr="00712B62">
        <w:t>její úlohou</w:t>
      </w:r>
      <w:r w:rsidRPr="00712B62">
        <w:t xml:space="preserve"> je popsat problematiku ex-partnerského stalkingu, jeho důsledky a </w:t>
      </w:r>
      <w:r w:rsidR="00193B41" w:rsidRPr="00712B62">
        <w:t>reálné možnosti pomoci obětem.</w:t>
      </w:r>
      <w:r>
        <w:t xml:space="preserve"> První kapitola je zaměřena na vymezení pojmu „nebezpečného pronásledování“ neboli „stalkingu“. Dále pak nabí</w:t>
      </w:r>
      <w:r w:rsidR="00712B62">
        <w:t>zí historický přehled postojů a </w:t>
      </w:r>
      <w:r>
        <w:t xml:space="preserve">společenského vnímání, první antistalkingové právní předpisy a současný sociálně právní postoj k této problematice jako kriminálnímu jevu. Následně jsou představeny dvě nejznámější typologie stalkerů. Třetí kapitola </w:t>
      </w:r>
      <w:r w:rsidR="00617829">
        <w:t xml:space="preserve">čtenáře </w:t>
      </w:r>
      <w:r>
        <w:t>blíže seznamuje již s výše zmíněným ex-partnerským pronásledováním. Odhaluje zásadní rysy, možné predikátory a případné techniky ex-partnerského stalkingu. Rovněž představuje</w:t>
      </w:r>
      <w:r w:rsidR="00712B62">
        <w:t xml:space="preserve"> hlavní charakteristiky oběti i </w:t>
      </w:r>
      <w:r>
        <w:t xml:space="preserve">pachatele. Bakalářská práce taktéž odhaluje důsledky ex-partnerského pronásledování </w:t>
      </w:r>
      <w:r>
        <w:lastRenderedPageBreak/>
        <w:t>a</w:t>
      </w:r>
      <w:r w:rsidR="00712B62">
        <w:t> </w:t>
      </w:r>
      <w:r>
        <w:t xml:space="preserve">pojednává i o možnostech krizové pomoci, o sociální práci s obětí a alternativních formách práce s pachatelem trestného činu pronásledování. </w:t>
      </w:r>
    </w:p>
    <w:p w:rsidR="0075322C" w:rsidRDefault="0075322C" w:rsidP="0075322C">
      <w:r w:rsidRPr="00712B62">
        <w:t>Druhá část bakalářské práce věnuje pozornost em</w:t>
      </w:r>
      <w:r w:rsidR="00712B62">
        <w:t>pirickému výzkumu. Tato část je </w:t>
      </w:r>
      <w:r w:rsidRPr="00712B62">
        <w:t xml:space="preserve">tvořena třemi kapitolami, které </w:t>
      </w:r>
      <w:r w:rsidR="00617829" w:rsidRPr="00712B62">
        <w:t xml:space="preserve">čtenáře </w:t>
      </w:r>
      <w:r w:rsidRPr="00712B62">
        <w:t>seznamují s výzkumným cílem, formulací hypotéz a jejich operacionalizací. Dále pak je v této části uvedena metodologie výzkumu, analýza dat a rovněž i závěrečné shrnutí výzkumu.</w:t>
      </w:r>
      <w:r w:rsidR="00867636" w:rsidRPr="00712B62">
        <w:t xml:space="preserve"> K získání empirických dat </w:t>
      </w:r>
      <w:r w:rsidR="00AB2F70" w:rsidRPr="00712B62">
        <w:t>byla využita technika</w:t>
      </w:r>
      <w:r w:rsidR="00867636" w:rsidRPr="00712B62">
        <w:t xml:space="preserve"> kvantitativního dotazníku, který byl určen sociálním pracovníkům a pracovníkům v sociálních službách. Jednalo se o respondenty ze sociálních služeb Jihomoravského kraje, v jejichž zařízeních bylo možné předpokládat zvýšenou pravděpodobnost výskytu jevu ex-partnerského pronásledování. Analyzovaná data jsou přehledně zpřístupněna v koláčových a sloupcových grafech i tabulkách.</w:t>
      </w:r>
    </w:p>
    <w:p w:rsidR="0075322C" w:rsidRDefault="0075322C" w:rsidP="0075322C">
      <w:r>
        <w:t>Podnětem empirického šetření byla skutečnost, že ex-partnerský stalking je jevem, který se v současné době začíná pozvolna dotýkat i po</w:t>
      </w:r>
      <w:r w:rsidR="00712B62">
        <w:t>máhajících profesí. Zajímalo mě </w:t>
      </w:r>
      <w:r>
        <w:t>tedy, jaká je v České republice v sociálních službá</w:t>
      </w:r>
      <w:r w:rsidR="00712B62">
        <w:t>ch informovanost o daném jevu a </w:t>
      </w:r>
      <w:r>
        <w:t>jaký je názor sociálních pracovníků a pracovníků v sociálních službách na danou problematiku. Zda se domnívají, že ex-partnerský st</w:t>
      </w:r>
      <w:r w:rsidR="00712B62">
        <w:t>alking je problémem, kterému by </w:t>
      </w:r>
      <w:r>
        <w:t>sociální práce měla věnovat větší pozornost.</w:t>
      </w:r>
    </w:p>
    <w:p w:rsidR="0075322C" w:rsidRDefault="0075322C" w:rsidP="0075322C">
      <w:r>
        <w:t>V současnosti není v české společnosti obecně o problematice ex-partnerského stalkingu příliš silné povědomí. Dokud se člověk nesetká s lidmi, kteří pronásledování zažili, nebo pokud se sám nestane jeho obětí, jen stěží pocho</w:t>
      </w:r>
      <w:r w:rsidR="00712B62">
        <w:t>pí závažnost tohoto jevu, který </w:t>
      </w:r>
      <w:r>
        <w:t xml:space="preserve">může způsobit i fatální následky. Tuto bakalářskou práci jsem psala nejen s čistým srdcem a jasnou myslí, ale i, žel Bohu, s osobní zkušeností se zločinem jménem „stalking“. </w:t>
      </w:r>
    </w:p>
    <w:p w:rsidR="00213B37" w:rsidRDefault="00213B37" w:rsidP="00213B37">
      <w:pPr>
        <w:pStyle w:val="StylPrvndek125cm"/>
      </w:pPr>
    </w:p>
    <w:p w:rsidR="00213B37" w:rsidRDefault="00213B37" w:rsidP="00213B37">
      <w:pPr>
        <w:pStyle w:val="Nadpis1"/>
      </w:pPr>
      <w:bookmarkStart w:id="5" w:name="_Toc383408590"/>
      <w:r>
        <w:lastRenderedPageBreak/>
        <w:t>Stručný vhled do problematiky stalkingu</w:t>
      </w:r>
      <w:bookmarkEnd w:id="5"/>
      <w:r>
        <w:t xml:space="preserve"> </w:t>
      </w:r>
    </w:p>
    <w:p w:rsidR="00213B37" w:rsidRDefault="00213B37" w:rsidP="00213B37">
      <w:pPr>
        <w:pStyle w:val="StylPrvndek125cm"/>
      </w:pPr>
      <w:r>
        <w:t xml:space="preserve">Nebezpečné </w:t>
      </w:r>
      <w:proofErr w:type="gramStart"/>
      <w:r>
        <w:t>pronásledování</w:t>
      </w:r>
      <w:r w:rsidR="00DD0091">
        <w:t>,</w:t>
      </w:r>
      <w:r>
        <w:t xml:space="preserve"> nebo-li </w:t>
      </w:r>
      <w:r w:rsidRPr="00717E62">
        <w:rPr>
          <w:i/>
        </w:rPr>
        <w:t>„stalking</w:t>
      </w:r>
      <w:proofErr w:type="gramEnd"/>
      <w:r w:rsidRPr="00717E62">
        <w:rPr>
          <w:i/>
        </w:rPr>
        <w:t>“</w:t>
      </w:r>
      <w:r w:rsidR="00DD0091">
        <w:t>, je z právního pohledu nový</w:t>
      </w:r>
      <w:r>
        <w:t xml:space="preserve"> a u nás dlouho dobu opomíjený fenomén. Anglický výraz „stalking“ byl původně používán lovci. V jejich řeči označovalo toto slovo „stopování“, neboli „přiblížení se k lovné zvěři“. Pojem stalking byl tedy přejat a velice rychle se rozšířil do obla</w:t>
      </w:r>
      <w:r w:rsidR="00712B62">
        <w:t>sti psychologie, kriminologie a  </w:t>
      </w:r>
      <w:r>
        <w:t xml:space="preserve">následně i trestního práva (Čírtková, 2004, s. 225). </w:t>
      </w:r>
    </w:p>
    <w:p w:rsidR="00213B37" w:rsidRDefault="00213B37" w:rsidP="00213B37">
      <w:pPr>
        <w:pStyle w:val="StylPrvndek125cm"/>
      </w:pPr>
      <w:r>
        <w:t>První kapitola přináší stručný vhled do problematiky nebezpečného pronásled</w:t>
      </w:r>
      <w:r w:rsidR="004F16EF">
        <w:t xml:space="preserve">ování </w:t>
      </w:r>
      <w:proofErr w:type="gramStart"/>
      <w:r w:rsidR="004F16EF">
        <w:t>nebo-li stalkingu</w:t>
      </w:r>
      <w:proofErr w:type="gramEnd"/>
      <w:r w:rsidR="004F16EF">
        <w:t>. N</w:t>
      </w:r>
      <w:r>
        <w:t>abízí přehled vybraných definic</w:t>
      </w:r>
      <w:r w:rsidR="004F16EF">
        <w:t>í</w:t>
      </w:r>
      <w:r>
        <w:t xml:space="preserve">, </w:t>
      </w:r>
      <w:proofErr w:type="gramStart"/>
      <w:r>
        <w:t>jenž</w:t>
      </w:r>
      <w:proofErr w:type="gramEnd"/>
      <w:r>
        <w:t xml:space="preserve"> </w:t>
      </w:r>
      <w:proofErr w:type="gramStart"/>
      <w:r>
        <w:t>vypovídají</w:t>
      </w:r>
      <w:proofErr w:type="gramEnd"/>
      <w:r>
        <w:t xml:space="preserve"> o charakteru onoho jevu. Dále přináší historický přehled postojů a vnímání stalkingu společností dané doby, první antistalkingové právní předpisy a současný so</w:t>
      </w:r>
      <w:r w:rsidR="00DA1EB8">
        <w:t>ciálně právní postoj k této problematice</w:t>
      </w:r>
      <w:r>
        <w:t xml:space="preserve"> jako kriminálnímu jevu.  </w:t>
      </w:r>
    </w:p>
    <w:p w:rsidR="00213B37" w:rsidRDefault="00213B37" w:rsidP="00213B37">
      <w:pPr>
        <w:pStyle w:val="Nadpis2"/>
      </w:pPr>
      <w:bookmarkStart w:id="6" w:name="_Toc383408591"/>
      <w:r>
        <w:t>Vymezení pojmu stalking</w:t>
      </w:r>
      <w:bookmarkEnd w:id="6"/>
    </w:p>
    <w:p w:rsidR="00225ED9" w:rsidRDefault="00213B37" w:rsidP="00617829">
      <w:pPr>
        <w:pStyle w:val="StylPrvndek125cm"/>
      </w:pPr>
      <w:r>
        <w:t>Vzhledem k tomu, že v současné době se problematika stalkingu a především přístup k ní stále ještě vyvíjí, neexistuje přesná shod</w:t>
      </w:r>
      <w:r w:rsidR="00712B62">
        <w:t>a ve vymezení tohoto pojmu. Pro </w:t>
      </w:r>
      <w:r>
        <w:t>komplexnější pohled přináší první kapitola vybran</w:t>
      </w:r>
      <w:r w:rsidR="004F16EF">
        <w:t>é definice z oblastí vý</w:t>
      </w:r>
      <w:r>
        <w:t>še zmíněných. Právě tyto disciplíny (psychologie</w:t>
      </w:r>
      <w:r w:rsidR="004F16EF">
        <w:t>, kriminologie a trestní právo</w:t>
      </w:r>
      <w:r>
        <w:t xml:space="preserve">) se problematikou daného jevu zabývají nejdéle. </w:t>
      </w:r>
    </w:p>
    <w:p w:rsidR="00213B37" w:rsidRDefault="00213B37" w:rsidP="00213B37">
      <w:pPr>
        <w:pStyle w:val="StylPrvndek125cm"/>
      </w:pPr>
      <w:r>
        <w:t>Nesoulad mezi autory jednotlivých definic</w:t>
      </w:r>
      <w:r w:rsidR="004F16EF">
        <w:t xml:space="preserve">í </w:t>
      </w:r>
      <w:r>
        <w:t>v oblasti psychologie spočívá především ve vymezení rozsahu nebezpečného pronásledování, jenž u oběti vyvolává subjektivní pocit ohrožení. Obecně však platí, že různé definice mají společné prvky a vnímaj</w:t>
      </w:r>
      <w:r w:rsidR="00DA1EB8">
        <w:t>í stalking jako dotěrné chování a</w:t>
      </w:r>
      <w:r>
        <w:t xml:space="preserve"> obtěžování,</w:t>
      </w:r>
      <w:r w:rsidR="007A3CC0">
        <w:t xml:space="preserve"> nesoucí i prvky vyhrožování, je</w:t>
      </w:r>
      <w:r>
        <w:t>ž oběť závažně poznamen</w:t>
      </w:r>
      <w:r w:rsidR="00436FC7">
        <w:t>ávají a ústí ve skutečný strach</w:t>
      </w:r>
      <w:r>
        <w:t xml:space="preserve"> (</w:t>
      </w:r>
      <w:proofErr w:type="spellStart"/>
      <w:r>
        <w:t>Me</w:t>
      </w:r>
      <w:r w:rsidR="00436FC7">
        <w:t>loy</w:t>
      </w:r>
      <w:proofErr w:type="spellEnd"/>
      <w:r w:rsidR="00436FC7">
        <w:t xml:space="preserve"> </w:t>
      </w:r>
      <w:r w:rsidR="00FD3E38">
        <w:t xml:space="preserve">1998, </w:t>
      </w:r>
      <w:r w:rsidR="00436FC7">
        <w:t>podle</w:t>
      </w:r>
      <w:r>
        <w:t xml:space="preserve"> </w:t>
      </w:r>
      <w:proofErr w:type="spellStart"/>
      <w:r>
        <w:t>Kamphuis</w:t>
      </w:r>
      <w:proofErr w:type="spellEnd"/>
      <w:r>
        <w:t xml:space="preserve">, </w:t>
      </w:r>
      <w:proofErr w:type="spellStart"/>
      <w:r>
        <w:t>Emmelkamp</w:t>
      </w:r>
      <w:proofErr w:type="spellEnd"/>
      <w:r>
        <w:t xml:space="preserve"> 2000, s. 206).</w:t>
      </w:r>
    </w:p>
    <w:p w:rsidR="00213B37" w:rsidRDefault="00213B37" w:rsidP="00213B37">
      <w:pPr>
        <w:pStyle w:val="StylPrvndek125cm"/>
      </w:pPr>
      <w:r>
        <w:t xml:space="preserve">V psychologickém smyslu </w:t>
      </w:r>
      <w:r w:rsidRPr="00717E62">
        <w:t>„je stalking obvykle definován jako úmyslné, nebezpečné a opakované pronásledování nebo obtěžování jiné osoby, jenž ohrožuje její bezpečnost</w:t>
      </w:r>
      <w:r w:rsidR="00FD3E38" w:rsidRPr="00717E62">
        <w:t>."</w:t>
      </w:r>
      <w:r w:rsidR="00FD3E38">
        <w:t xml:space="preserve"> (</w:t>
      </w:r>
      <w:proofErr w:type="spellStart"/>
      <w:r w:rsidR="00FD3E38">
        <w:t>Meloy</w:t>
      </w:r>
      <w:proofErr w:type="spellEnd"/>
      <w:r w:rsidR="00FD3E38">
        <w:t xml:space="preserve">, </w:t>
      </w:r>
      <w:proofErr w:type="spellStart"/>
      <w:r>
        <w:t>Goth</w:t>
      </w:r>
      <w:r w:rsidR="005C0511">
        <w:t>ard</w:t>
      </w:r>
      <w:proofErr w:type="spellEnd"/>
      <w:r w:rsidR="00133480">
        <w:t>, 1995</w:t>
      </w:r>
      <w:r>
        <w:t xml:space="preserve">, s. </w:t>
      </w:r>
      <w:proofErr w:type="gramStart"/>
      <w:r>
        <w:t>258 )</w:t>
      </w:r>
      <w:proofErr w:type="gramEnd"/>
    </w:p>
    <w:p w:rsidR="00225ED9" w:rsidRDefault="00213B37" w:rsidP="00225ED9">
      <w:pPr>
        <w:pStyle w:val="StylPrvndek125cm"/>
      </w:pPr>
      <w:r>
        <w:t>Psychologie se snaží o komplexní zmapování stal</w:t>
      </w:r>
      <w:r w:rsidR="00712B62">
        <w:t>kingu. Z definice je patrné, že se </w:t>
      </w:r>
      <w:r>
        <w:t>psychologie v dané situaci zabývá především lidskou</w:t>
      </w:r>
      <w:r w:rsidR="00FD3E38">
        <w:t xml:space="preserve"> subjektivitou a jejími projevy.</w:t>
      </w:r>
    </w:p>
    <w:p w:rsidR="00213B37" w:rsidRDefault="00235D87" w:rsidP="00213B37">
      <w:pPr>
        <w:pStyle w:val="StylPrvndek125cm"/>
      </w:pPr>
      <w:r w:rsidRPr="00712B62">
        <w:lastRenderedPageBreak/>
        <w:t>V</w:t>
      </w:r>
      <w:r w:rsidR="00213B37" w:rsidRPr="00712B62">
        <w:t xml:space="preserve"> kriminologickém</w:t>
      </w:r>
      <w:r w:rsidR="00213B37">
        <w:t xml:space="preserve"> smyslu </w:t>
      </w:r>
      <w:r>
        <w:t xml:space="preserve">je stalking </w:t>
      </w:r>
      <w:r w:rsidR="00213B37">
        <w:t xml:space="preserve">definován </w:t>
      </w:r>
      <w:r w:rsidR="00213B37" w:rsidRPr="00717E62">
        <w:t xml:space="preserve">jako </w:t>
      </w:r>
      <w:r w:rsidR="00717E62">
        <w:t>„</w:t>
      </w:r>
      <w:r w:rsidR="00712B62">
        <w:t>zlovolné pronásledování a </w:t>
      </w:r>
      <w:r w:rsidR="00213B37" w:rsidRPr="00717E62">
        <w:t>obtěžování jiné osoby. Nadměrné a systematické pronásledování výrazně snižuje kvalitu života a ohrožuje bezpečnost postižené osoby. Jde tedy o jistou podob</w:t>
      </w:r>
      <w:r w:rsidR="00712B62">
        <w:t>u agrese, jejíž </w:t>
      </w:r>
      <w:r w:rsidR="00213B37" w:rsidRPr="00717E62">
        <w:t>podstatou je jinými slovy dlouhodobé, opakující se a z normy vybočující obtěžování</w:t>
      </w:r>
      <w:r w:rsidR="007A3CC0" w:rsidRPr="00717E62">
        <w:t>,</w:t>
      </w:r>
      <w:r w:rsidR="00213B37" w:rsidRPr="00717E62">
        <w:t xml:space="preserve"> či pronásledování konkrétní osoby.“</w:t>
      </w:r>
      <w:r w:rsidR="00213B37" w:rsidRPr="009C6167">
        <w:rPr>
          <w:i/>
        </w:rPr>
        <w:t xml:space="preserve"> </w:t>
      </w:r>
      <w:r w:rsidR="00213B37">
        <w:t>(Čírtková</w:t>
      </w:r>
      <w:r w:rsidR="009C6167">
        <w:t xml:space="preserve">, 2004, s. </w:t>
      </w:r>
      <w:r w:rsidR="00213B37">
        <w:t xml:space="preserve">225-226) Obsesní pronásledování může být motivováno zlobou (nenávistí), anebo dokonce skutečným obdivem (láskou). </w:t>
      </w:r>
    </w:p>
    <w:p w:rsidR="00225ED9" w:rsidRDefault="00213B37" w:rsidP="004A6267">
      <w:pPr>
        <w:pStyle w:val="StylPrvndek125cm"/>
      </w:pPr>
      <w:r>
        <w:t xml:space="preserve">Z právního pohledu je nebezpečné pronásledování vnímáno v kontextu závažného narušování soukromí, osobní svobody a lidské důstojnosti oběti. V závažných případech může docházet i k </w:t>
      </w:r>
      <w:r w:rsidRPr="00717E62">
        <w:t>„poškozování duševního a tělesného zdraví oběti, či dokonce ohrožování jejího života“</w:t>
      </w:r>
      <w:r>
        <w:t>, což je vnímáno jako určitý druh agrese. Z tohoto pohledu kriminologie definuje tři základ</w:t>
      </w:r>
      <w:r w:rsidR="007A3CC0">
        <w:t>ní projevy stalkingu, kterými jsou</w:t>
      </w:r>
      <w:r>
        <w:t xml:space="preserve"> obtěžování, pronásledování a vyhrožování (</w:t>
      </w:r>
      <w:r w:rsidR="0030106A">
        <w:t>N</w:t>
      </w:r>
      <w:r w:rsidR="00225ED9">
        <w:t>epublikovaný materiál</w:t>
      </w:r>
      <w:r w:rsidR="005C0511">
        <w:t xml:space="preserve"> P</w:t>
      </w:r>
      <w:r w:rsidR="009C6167">
        <w:t>olicie ČR</w:t>
      </w:r>
      <w:r w:rsidR="00225ED9">
        <w:t>, nedatováno</w:t>
      </w:r>
      <w:r>
        <w:t>).</w:t>
      </w:r>
    </w:p>
    <w:p w:rsidR="00213B37" w:rsidRDefault="00213B37" w:rsidP="00213B37">
      <w:pPr>
        <w:pStyle w:val="StylPrvndek125cm"/>
      </w:pPr>
      <w:r>
        <w:t xml:space="preserve">Poslední uvedená definice vychází z § 354 Trestního zákoníku. Tento zákon vstoupil v platnost 1. 1. 2010.  Právní norma definuje nebezpečné pronásledování následovně: </w:t>
      </w:r>
    </w:p>
    <w:p w:rsidR="00213B37" w:rsidRPr="00717E62" w:rsidRDefault="00213B37" w:rsidP="00213B37">
      <w:pPr>
        <w:pStyle w:val="StylPrvndek125cm"/>
      </w:pPr>
      <w:r w:rsidRPr="00717E62">
        <w:t>„Kdo jiného dlouhodobě pronásleduje tím, že vyh</w:t>
      </w:r>
      <w:r w:rsidR="00712B62">
        <w:t>rožuje ublížením na zdraví nebo </w:t>
      </w:r>
      <w:r w:rsidRPr="00717E62">
        <w:t>jinou újmou jemu nebo jeho osobám blízkým, vyhl</w:t>
      </w:r>
      <w:r w:rsidR="00712B62">
        <w:t>edává jeho osobní blízkost nebo </w:t>
      </w:r>
      <w:r w:rsidR="004D2983">
        <w:t>jej vytrvale sleduje.</w:t>
      </w:r>
      <w:r w:rsidRPr="00717E62">
        <w:t>“</w:t>
      </w:r>
    </w:p>
    <w:p w:rsidR="00213B37" w:rsidRDefault="007A3CC0" w:rsidP="00213B37">
      <w:pPr>
        <w:pStyle w:val="StylPrvndek125cm"/>
      </w:pPr>
      <w:r>
        <w:t>Vý</w:t>
      </w:r>
      <w:r w:rsidR="00213B37">
        <w:t xml:space="preserve">še zmíněný právní předpis dokonce specifikuje některé techniky nebezpečného pronásledování: </w:t>
      </w:r>
      <w:r w:rsidR="00213B37" w:rsidRPr="00717E62">
        <w:t>„prostřednictvím prostředků elektron</w:t>
      </w:r>
      <w:r w:rsidR="00712B62">
        <w:t>ických komunikací, písemně nebo </w:t>
      </w:r>
      <w:r w:rsidR="00213B37" w:rsidRPr="00717E62">
        <w:t>jinak kontaktuje, omezuje jiného v jeho obvyklém způ</w:t>
      </w:r>
      <w:r w:rsidR="00712B62">
        <w:t>sobu života, nebo zneužije jeho </w:t>
      </w:r>
      <w:r w:rsidR="00213B37" w:rsidRPr="00717E62">
        <w:t>osobních údajů za účelem získán</w:t>
      </w:r>
      <w:r w:rsidRPr="00717E62">
        <w:t>í osobního nebo jiného kontaktu</w:t>
      </w:r>
      <w:r w:rsidR="00712B62">
        <w:t xml:space="preserve"> a toto jednání je </w:t>
      </w:r>
      <w:r w:rsidR="00213B37" w:rsidRPr="00717E62">
        <w:t>způsobilé vzbudit v něm důvodnou obavu o jeho život nebo zdraví</w:t>
      </w:r>
      <w:r w:rsidRPr="00717E62">
        <w:t>,</w:t>
      </w:r>
      <w:r w:rsidR="00213B37" w:rsidRPr="00717E62">
        <w:t xml:space="preserve"> nebo o život a zdraví osob jemu blízkých“.</w:t>
      </w:r>
      <w:r w:rsidR="00213B37">
        <w:t xml:space="preserve"> </w:t>
      </w:r>
    </w:p>
    <w:p w:rsidR="00213B37" w:rsidRDefault="00213B37" w:rsidP="00213B37">
      <w:pPr>
        <w:pStyle w:val="StylPrvndek125cm"/>
      </w:pPr>
      <w:r>
        <w:t xml:space="preserve">Z pohledu </w:t>
      </w:r>
      <w:r w:rsidR="009C6167">
        <w:t xml:space="preserve">trestněprávního jde tedy </w:t>
      </w:r>
      <w:r>
        <w:t>o definování</w:t>
      </w:r>
      <w:r w:rsidR="007A3CC0">
        <w:t xml:space="preserve"> nejen</w:t>
      </w:r>
      <w:r>
        <w:t xml:space="preserve"> stalkingu, ale</w:t>
      </w:r>
      <w:r w:rsidR="009C6167">
        <w:t xml:space="preserve"> i konkrétních</w:t>
      </w:r>
      <w:r w:rsidR="007A3CC0">
        <w:t>, typických znaků chování, je</w:t>
      </w:r>
      <w:r w:rsidR="00B807A0">
        <w:t xml:space="preserve">ž vedou k naplnění skutkové podstaty, což s sebou nese jisté právní následky. </w:t>
      </w:r>
    </w:p>
    <w:p w:rsidR="00AF0508" w:rsidRDefault="00AF0508" w:rsidP="00213B37">
      <w:pPr>
        <w:pStyle w:val="StylPrvndek125cm"/>
      </w:pPr>
    </w:p>
    <w:p w:rsidR="00213B37" w:rsidRDefault="00213B37" w:rsidP="00213B37">
      <w:pPr>
        <w:pStyle w:val="StylPrvndek125cm"/>
      </w:pPr>
      <w:r>
        <w:t>Z výše uvedených definic</w:t>
      </w:r>
      <w:r w:rsidR="003F04D8">
        <w:t>í</w:t>
      </w:r>
      <w:r>
        <w:t xml:space="preserve"> lze stručně vymezit základní charakteristik</w:t>
      </w:r>
      <w:r w:rsidR="00B807A0">
        <w:t xml:space="preserve">y nebezpečného pronásledování. </w:t>
      </w:r>
      <w:r>
        <w:t xml:space="preserve">Jednotlivé definice se nepatrně liší, avšak jejich autoři shodně uvádí, že abychom mohli hovořit o stalkingu, </w:t>
      </w:r>
      <w:r w:rsidRPr="00B807A0">
        <w:rPr>
          <w:b/>
        </w:rPr>
        <w:t xml:space="preserve">jednání </w:t>
      </w:r>
      <w:r w:rsidR="00B807A0" w:rsidRPr="00B807A0">
        <w:rPr>
          <w:b/>
        </w:rPr>
        <w:t>dané osoby</w:t>
      </w:r>
      <w:r w:rsidR="00B807A0">
        <w:t xml:space="preserve"> </w:t>
      </w:r>
      <w:r>
        <w:t xml:space="preserve">musí být úmyslné, </w:t>
      </w:r>
      <w:r w:rsidR="002D39E3">
        <w:t>dlouhodobé, opakované,</w:t>
      </w:r>
      <w:r>
        <w:t xml:space="preserve"> ohrožující bezpečnost pronásledované osoby</w:t>
      </w:r>
      <w:r w:rsidR="003F04D8">
        <w:t>,</w:t>
      </w:r>
      <w:r>
        <w:t xml:space="preserve"> či os</w:t>
      </w:r>
      <w:r w:rsidR="00712B62">
        <w:t>ob jí </w:t>
      </w:r>
      <w:r>
        <w:t xml:space="preserve">blízkých. </w:t>
      </w:r>
      <w:r w:rsidRPr="00B807A0">
        <w:rPr>
          <w:b/>
        </w:rPr>
        <w:t>Důsledkem</w:t>
      </w:r>
      <w:r>
        <w:t xml:space="preserve"> takového jednání je to, že oběť se cítí ohrožena, má v</w:t>
      </w:r>
      <w:r w:rsidR="003F04D8">
        <w:t>ážnou obavu o sebe i své blízké a</w:t>
      </w:r>
      <w:r>
        <w:t xml:space="preserve"> dosti nelibě nese narušování soukromí a osobní svobody. V některých </w:t>
      </w:r>
      <w:r>
        <w:lastRenderedPageBreak/>
        <w:t xml:space="preserve">případech se autoři kromě vymezení samotného pojmu stalking zabývají i </w:t>
      </w:r>
      <w:r w:rsidRPr="00B807A0">
        <w:rPr>
          <w:b/>
        </w:rPr>
        <w:t>technikami stalkingu</w:t>
      </w:r>
      <w:r>
        <w:t xml:space="preserve"> - vy</w:t>
      </w:r>
      <w:r w:rsidR="003F04D8">
        <w:t>hrožování, pronásledování osobně</w:t>
      </w:r>
      <w:r>
        <w:t>, písemně</w:t>
      </w:r>
      <w:r w:rsidR="003F04D8">
        <w:t>,</w:t>
      </w:r>
      <w:r>
        <w:t xml:space="preserve"> či prostřednictvím elektronických komunikací, zneužívání osobních údajů, vyhledávání osobního kontaktu</w:t>
      </w:r>
      <w:r w:rsidR="00AF0508">
        <w:t xml:space="preserve"> (Němeček, 2010, s. 11).</w:t>
      </w:r>
    </w:p>
    <w:p w:rsidR="00B807A0" w:rsidRDefault="00213B37" w:rsidP="00B807A0">
      <w:pPr>
        <w:pStyle w:val="StylPrvndek125cm"/>
      </w:pPr>
      <w:r>
        <w:t>Obecně můžeme říci, že stalking je považován za „</w:t>
      </w:r>
      <w:r w:rsidRPr="00B807A0">
        <w:rPr>
          <w:b/>
        </w:rPr>
        <w:t>specifickou variantu násilí</w:t>
      </w:r>
      <w:r>
        <w:t>“, které zahrnuje ohrožování zdraví a života oběti. Pachatel dlouhodobě a systematicky oběť pronásleduje a obtěžuje (Čírtková</w:t>
      </w:r>
      <w:r w:rsidR="00B807A0">
        <w:t>, 2008, s.</w:t>
      </w:r>
      <w:r>
        <w:t xml:space="preserve"> 65). </w:t>
      </w:r>
    </w:p>
    <w:p w:rsidR="00213B37" w:rsidRDefault="00213B37" w:rsidP="00B807A0">
      <w:pPr>
        <w:pStyle w:val="Nadpis2"/>
      </w:pPr>
      <w:bookmarkStart w:id="7" w:name="_Toc383408592"/>
      <w:r>
        <w:t>Proces změny ve vnímání stalkingu</w:t>
      </w:r>
      <w:bookmarkEnd w:id="7"/>
    </w:p>
    <w:p w:rsidR="00E63D03" w:rsidRDefault="00213B37" w:rsidP="00934AD7">
      <w:pPr>
        <w:pStyle w:val="StylPrvndek125cm"/>
      </w:pPr>
      <w:r>
        <w:t xml:space="preserve">Stalking je považován za relativně mladou problematiku, </w:t>
      </w:r>
      <w:r w:rsidR="0002622C">
        <w:t>jak uvádí i sama Čírtková (2004, s.</w:t>
      </w:r>
      <w:r w:rsidR="00C61634">
        <w:t xml:space="preserve"> 225).</w:t>
      </w:r>
      <w:r>
        <w:t xml:space="preserve"> V psychiatrické oblasti se však tento jev </w:t>
      </w:r>
      <w:r w:rsidR="003F04D8">
        <w:t>objevuje již v 18. století, známý</w:t>
      </w:r>
      <w:r>
        <w:t xml:space="preserve"> pod pojmem „erotomanie“. Popisem a objasn</w:t>
      </w:r>
      <w:r w:rsidR="003F04D8">
        <w:t xml:space="preserve">ěním onoho jevu se zabýval </w:t>
      </w:r>
      <w:r>
        <w:t xml:space="preserve">francouzský psychiatr </w:t>
      </w:r>
      <w:proofErr w:type="spellStart"/>
      <w:r>
        <w:t>Pinel</w:t>
      </w:r>
      <w:proofErr w:type="spellEnd"/>
      <w:r>
        <w:t xml:space="preserve"> a později i jeho žák </w:t>
      </w:r>
      <w:proofErr w:type="spellStart"/>
      <w:r>
        <w:t>Esquirol</w:t>
      </w:r>
      <w:proofErr w:type="spellEnd"/>
      <w:r>
        <w:t xml:space="preserve"> (Čírtková</w:t>
      </w:r>
      <w:r w:rsidR="0002622C">
        <w:t>, 2004, s. 226). Anderson (1998, s.</w:t>
      </w:r>
      <w:r w:rsidR="00712B62">
        <w:t> </w:t>
      </w:r>
      <w:r>
        <w:t xml:space="preserve">332) popisuje erotomanii jako </w:t>
      </w:r>
      <w:r w:rsidRPr="00717E62">
        <w:t>„patologickou závislost na jiné osobě, doprovázenou umanutým obdivem či erotickou náklon</w:t>
      </w:r>
      <w:r w:rsidR="00E63D03">
        <w:t>n</w:t>
      </w:r>
      <w:r w:rsidRPr="00717E62">
        <w:t>ostí.“</w:t>
      </w:r>
      <w:r>
        <w:t xml:space="preserve"> Poje</w:t>
      </w:r>
      <w:r w:rsidR="00712B62">
        <w:t>m erotomanie se prvně objevil v </w:t>
      </w:r>
      <w:r>
        <w:t>odborné literatuře v roce 1640, avšak samotný jev je znám již ze spisů p</w:t>
      </w:r>
      <w:r w:rsidR="00712B62">
        <w:t>ocházejících z </w:t>
      </w:r>
      <w:r>
        <w:t>do</w:t>
      </w:r>
      <w:r w:rsidR="0002622C">
        <w:t>b Hippokratových (Anderson, 1998, s.</w:t>
      </w:r>
      <w:r>
        <w:t xml:space="preserve"> 331-332). </w:t>
      </w:r>
      <w:r w:rsidR="00934AD7">
        <w:t>Pohled na tuto problematiku</w:t>
      </w:r>
      <w:r w:rsidR="00E63D03">
        <w:t xml:space="preserve"> </w:t>
      </w:r>
      <w:r w:rsidR="00E63D03" w:rsidRPr="00712B62">
        <w:t>pozměnil</w:t>
      </w:r>
      <w:r w:rsidR="00E63D03">
        <w:t xml:space="preserve"> i dobový případ 53leté Francouzky, která byla přesvědčena, že ji miluje anglický král Jiří IV. Často se potulovala v okolí Buckinghamského paláce a sebemenší podnět (příkladně záchvěv záclony v okně) vnímala jako projev lásky jejího idolu k ní (Čírtková, 2008, s. 54).</w:t>
      </w:r>
    </w:p>
    <w:p w:rsidR="00213B37" w:rsidRDefault="00213B37" w:rsidP="00E63D03">
      <w:pPr>
        <w:pStyle w:val="StylPrvndek125cm"/>
      </w:pPr>
      <w:r>
        <w:t>Počátkem 20. století věnuje tomuto patologic</w:t>
      </w:r>
      <w:r w:rsidR="005E5FC8">
        <w:t>kému jednání velkou pozornost i </w:t>
      </w:r>
      <w:r>
        <w:t xml:space="preserve">psychiatr De </w:t>
      </w:r>
      <w:proofErr w:type="spellStart"/>
      <w:r>
        <w:t>Clerambault</w:t>
      </w:r>
      <w:proofErr w:type="spellEnd"/>
      <w:r>
        <w:t>. Od této doby je</w:t>
      </w:r>
      <w:r w:rsidR="0002622C">
        <w:t xml:space="preserve"> erotomanie rovněž nazývaná „</w:t>
      </w:r>
      <w:r w:rsidR="0002622C" w:rsidRPr="0002622C">
        <w:rPr>
          <w:i/>
        </w:rPr>
        <w:t>De </w:t>
      </w:r>
      <w:proofErr w:type="spellStart"/>
      <w:r w:rsidRPr="0002622C">
        <w:rPr>
          <w:i/>
        </w:rPr>
        <w:t>Clerambaultovým</w:t>
      </w:r>
      <w:proofErr w:type="spellEnd"/>
      <w:r w:rsidRPr="0002622C">
        <w:rPr>
          <w:i/>
        </w:rPr>
        <w:t xml:space="preserve"> syndromem</w:t>
      </w:r>
      <w:r>
        <w:t xml:space="preserve">“. De </w:t>
      </w:r>
      <w:proofErr w:type="spellStart"/>
      <w:r>
        <w:t>Clerambault</w:t>
      </w:r>
      <w:proofErr w:type="spellEnd"/>
      <w:r>
        <w:t xml:space="preserve"> ex</w:t>
      </w:r>
      <w:r w:rsidR="005E5FC8">
        <w:t>plicitně upozorňuje na to, že v </w:t>
      </w:r>
      <w:r>
        <w:t xml:space="preserve">některých případech může být samotná </w:t>
      </w:r>
      <w:r w:rsidR="00AF0508">
        <w:t>erotomanie</w:t>
      </w:r>
      <w:r>
        <w:t xml:space="preserve"> podpořena jinou duševní chorobou (Anderson</w:t>
      </w:r>
      <w:r w:rsidR="0002622C">
        <w:t>, 1998, s.</w:t>
      </w:r>
      <w:r>
        <w:t xml:space="preserve"> 331). </w:t>
      </w:r>
      <w:r w:rsidR="00AF0508">
        <w:t xml:space="preserve"> </w:t>
      </w:r>
      <w:r>
        <w:t>Jako první upozornil přednostně na fakt, že motivem nemusí být nezpracovaná láska, sexuální žádostivost či erotické poblouzněni, ale naopak pýcha, pocit mimořádnosti sebe sama či narušení kontaktu s realitou (Čírtková</w:t>
      </w:r>
      <w:r w:rsidR="0002622C">
        <w:t>, 2008, s.</w:t>
      </w:r>
      <w:r>
        <w:t xml:space="preserve"> 54).</w:t>
      </w:r>
    </w:p>
    <w:p w:rsidR="00213B37" w:rsidRDefault="00E63D03" w:rsidP="00213B37">
      <w:pPr>
        <w:pStyle w:val="StylPrvndek125cm"/>
      </w:pPr>
      <w:r>
        <w:t>Ve 20. století se „</w:t>
      </w:r>
      <w:r w:rsidRPr="0002622C">
        <w:rPr>
          <w:i/>
        </w:rPr>
        <w:t>erotické poblázněnosti</w:t>
      </w:r>
      <w:r>
        <w:t>“ (</w:t>
      </w:r>
      <w:proofErr w:type="spellStart"/>
      <w:r>
        <w:t>Kretschmerův</w:t>
      </w:r>
      <w:proofErr w:type="spellEnd"/>
      <w:r>
        <w:t xml:space="preserve"> výraz z roku 1918) věnovala řada dalších věhlasných psychiatrů. </w:t>
      </w:r>
      <w:r w:rsidR="0002622C">
        <w:t xml:space="preserve">Ještě v první polovině </w:t>
      </w:r>
      <w:r w:rsidR="00213B37">
        <w:t>20.</w:t>
      </w:r>
      <w:r w:rsidR="005C0511">
        <w:t xml:space="preserve"> </w:t>
      </w:r>
      <w:r w:rsidR="00213B37">
        <w:t>století se snaží tehdejší psychiatrie a psychologie o vysvětlení nebezpečné</w:t>
      </w:r>
      <w:r w:rsidR="003F04D8">
        <w:t>ho</w:t>
      </w:r>
      <w:r w:rsidR="00213B37">
        <w:t xml:space="preserve"> pronásledování jako psychop</w:t>
      </w:r>
      <w:r w:rsidR="0002622C">
        <w:t xml:space="preserve">atologického jevu. </w:t>
      </w:r>
      <w:r w:rsidR="00213B37">
        <w:t>Ke změně tohoto pohledu dochází až ve druhé polovi</w:t>
      </w:r>
      <w:r w:rsidR="003F04D8">
        <w:t xml:space="preserve">ně </w:t>
      </w:r>
      <w:r w:rsidR="003F04D8">
        <w:lastRenderedPageBreak/>
        <w:t>20.</w:t>
      </w:r>
      <w:r w:rsidR="005E5FC8">
        <w:t> </w:t>
      </w:r>
      <w:r w:rsidR="003F04D8">
        <w:t>st</w:t>
      </w:r>
      <w:r w:rsidR="00213B37">
        <w:t>oletí, kdy na obsesní pronásledování začíná být pohlíženo jako na sociálně patologický fenomén, jež si vynucuje pozornost i širší veřejnosti. Doposud užívaný psychiatrický pojem „</w:t>
      </w:r>
      <w:r w:rsidR="00213B37" w:rsidRPr="0002622C">
        <w:rPr>
          <w:i/>
        </w:rPr>
        <w:t>erotomanie</w:t>
      </w:r>
      <w:r w:rsidR="00213B37">
        <w:t>“ je nahrazen výrazem „</w:t>
      </w:r>
      <w:r w:rsidR="00213B37" w:rsidRPr="0002622C">
        <w:rPr>
          <w:i/>
        </w:rPr>
        <w:t>stalking</w:t>
      </w:r>
      <w:r w:rsidR="003F04D8">
        <w:t>“, který</w:t>
      </w:r>
      <w:r w:rsidR="00213B37">
        <w:t xml:space="preserve"> zahrnuje širší škálu problémů a zdůrazňuje především spojitost pronásledování se samotným násilím (Čírtková</w:t>
      </w:r>
      <w:r w:rsidR="0002622C">
        <w:t>, 2008, s.</w:t>
      </w:r>
      <w:r w:rsidR="00213B37">
        <w:t xml:space="preserve"> </w:t>
      </w:r>
      <w:proofErr w:type="gramStart"/>
      <w:r w:rsidR="00213B37">
        <w:t>54) (Svoboda</w:t>
      </w:r>
      <w:proofErr w:type="gramEnd"/>
      <w:r w:rsidR="00312714">
        <w:t xml:space="preserve"> a kol.</w:t>
      </w:r>
      <w:r w:rsidR="0002622C">
        <w:t>, 2006, s.</w:t>
      </w:r>
      <w:r w:rsidR="00213B37">
        <w:t xml:space="preserve"> 21).</w:t>
      </w:r>
    </w:p>
    <w:p w:rsidR="00213B37" w:rsidRDefault="00213B37" w:rsidP="00213B37">
      <w:pPr>
        <w:pStyle w:val="StylPrvndek125cm"/>
      </w:pPr>
      <w:r w:rsidRPr="00717E62">
        <w:t>„Z ryze psychiatrického problému se obtěžování druhé osoby nevyžádanou pozorností stává pozvolna problémem pro vědní obory s těsnou vazbou na kriminalitu.“</w:t>
      </w:r>
      <w:r>
        <w:t xml:space="preserve"> (Čírtková</w:t>
      </w:r>
      <w:r w:rsidR="00E63D03">
        <w:t>, 2008, s.</w:t>
      </w:r>
      <w:r>
        <w:t xml:space="preserve"> 54)</w:t>
      </w:r>
    </w:p>
    <w:p w:rsidR="00213B37" w:rsidRPr="005E5FC8" w:rsidRDefault="009818C0" w:rsidP="00E81D41">
      <w:pPr>
        <w:pStyle w:val="Nadpis2"/>
      </w:pPr>
      <w:bookmarkStart w:id="8" w:name="_Toc383408593"/>
      <w:r w:rsidRPr="005E5FC8">
        <w:t xml:space="preserve">Vývoj v oblasti </w:t>
      </w:r>
      <w:proofErr w:type="spellStart"/>
      <w:r w:rsidRPr="005E5FC8">
        <w:t>antistalkingových</w:t>
      </w:r>
      <w:proofErr w:type="spellEnd"/>
      <w:r w:rsidR="00213B37" w:rsidRPr="005E5FC8">
        <w:t xml:space="preserve"> právní</w:t>
      </w:r>
      <w:r w:rsidRPr="005E5FC8">
        <w:t>ch předpisů</w:t>
      </w:r>
      <w:bookmarkEnd w:id="8"/>
      <w:r w:rsidRPr="005E5FC8">
        <w:t xml:space="preserve"> </w:t>
      </w:r>
      <w:r w:rsidR="00213B37" w:rsidRPr="005E5FC8">
        <w:t xml:space="preserve"> </w:t>
      </w:r>
    </w:p>
    <w:p w:rsidR="00213B37" w:rsidRDefault="00213B37" w:rsidP="00213B37">
      <w:pPr>
        <w:pStyle w:val="StylPrvndek125cm"/>
      </w:pPr>
      <w:r>
        <w:t>Charakteristickým projevem stalkingu, jak uvádí i některé definice</w:t>
      </w:r>
      <w:r w:rsidR="003F04D8">
        <w:t>,</w:t>
      </w:r>
      <w:r>
        <w:t xml:space="preserve"> je agrese vůči druhé osobě. Do popředí se začínají dostávat</w:t>
      </w:r>
      <w:r w:rsidR="008D0ACE">
        <w:t>,</w:t>
      </w:r>
      <w:r>
        <w:t xml:space="preserve"> do té doby opomíjená</w:t>
      </w:r>
      <w:r w:rsidR="008D0ACE">
        <w:t>,</w:t>
      </w:r>
      <w:r>
        <w:t xml:space="preserve"> fakta, jako je ochrana obětí či vysoké riziko fyzického násilí (Čírtková</w:t>
      </w:r>
      <w:r w:rsidR="00E81D41">
        <w:t>, 2008, s.</w:t>
      </w:r>
      <w:r>
        <w:t xml:space="preserve"> 54)</w:t>
      </w:r>
      <w:r w:rsidR="005C0511">
        <w:t>.</w:t>
      </w:r>
      <w:r>
        <w:t xml:space="preserve"> </w:t>
      </w:r>
    </w:p>
    <w:p w:rsidR="00213B37" w:rsidRDefault="00213B37" w:rsidP="00213B37">
      <w:pPr>
        <w:pStyle w:val="StylPrvndek125cm"/>
      </w:pPr>
      <w:r>
        <w:t xml:space="preserve">Čírtková </w:t>
      </w:r>
      <w:r w:rsidR="00E81D41">
        <w:t>uvádí (2004, s.</w:t>
      </w:r>
      <w:r>
        <w:t xml:space="preserve"> 229), že původně se většina obětí stalkingu rekrutovala z řad celebrit. Avšak postupně se na základě statistik zjistilo,</w:t>
      </w:r>
      <w:r w:rsidR="005E5FC8">
        <w:t xml:space="preserve"> že pronásledování postihuje ve </w:t>
      </w:r>
      <w:r>
        <w:t>větší míře obyčejné občany a ve skutečnosti jen slabá třetina obětí jsou prominenti. Bylo patrné, že situace vyžadovala legislativní oporu. Nebezpečné pronásledování bylo poprvé prohlášeno za trestný čin v roce 1990 v Kalifornii. Od tohoto okamžiku rázem stouplo i procento ohlášených případů. Většina studií, jež se zabývají problematik</w:t>
      </w:r>
      <w:r w:rsidR="008D0ACE">
        <w:t>ou stalkingu, pochází především</w:t>
      </w:r>
      <w:r>
        <w:t xml:space="preserve"> z USA (Kopecký</w:t>
      </w:r>
      <w:r w:rsidR="00E81D41">
        <w:t>, 2010, s.</w:t>
      </w:r>
      <w:r>
        <w:t xml:space="preserve"> 3).</w:t>
      </w:r>
    </w:p>
    <w:p w:rsidR="00213B37" w:rsidRDefault="008D0ACE" w:rsidP="008D0ACE">
      <w:pPr>
        <w:pStyle w:val="StylPrvndek125cm"/>
        <w:ind w:firstLine="0"/>
      </w:pPr>
      <w:r>
        <w:t>V té době byla</w:t>
      </w:r>
      <w:r w:rsidR="00213B37">
        <w:t xml:space="preserve"> policie i pronásledovaná</w:t>
      </w:r>
      <w:r>
        <w:t xml:space="preserve"> oběť zcela bezradná. Neexistoval</w:t>
      </w:r>
      <w:r w:rsidR="00213B37">
        <w:t xml:space="preserve"> žádný mechanismus, který by dokázal takové chování zastavit. A to se st</w:t>
      </w:r>
      <w:r w:rsidR="00E81D41">
        <w:t xml:space="preserve">alo osudným i </w:t>
      </w:r>
      <w:proofErr w:type="spellStart"/>
      <w:r w:rsidR="00E81D41">
        <w:t>Rebecce</w:t>
      </w:r>
      <w:proofErr w:type="spellEnd"/>
      <w:r w:rsidR="00E81D41">
        <w:t xml:space="preserve"> </w:t>
      </w:r>
      <w:proofErr w:type="spellStart"/>
      <w:r w:rsidR="00E81D41">
        <w:t>Shaeffer</w:t>
      </w:r>
      <w:proofErr w:type="spellEnd"/>
      <w:r w:rsidR="00E81D41">
        <w:t xml:space="preserve">, </w:t>
      </w:r>
      <w:r>
        <w:t xml:space="preserve">která </w:t>
      </w:r>
      <w:r w:rsidR="00213B37">
        <w:t>byla svým pronásledovatelem zavražděna. Stala se tragickým příkladem toho, kam až může nebezpečné pronásledování zajít. Její smrt vyvolala obrovskou vlnu poz</w:t>
      </w:r>
      <w:r>
        <w:t>ornosti. V Kalifornii tak vznikl</w:t>
      </w:r>
      <w:r w:rsidR="00213B37">
        <w:t xml:space="preserve"> v roce 1990 takřka okamžitě první antistalkingový právn</w:t>
      </w:r>
      <w:r>
        <w:t>í předpis a do roku 1992 přijalo</w:t>
      </w:r>
      <w:r w:rsidR="00213B37">
        <w:t xml:space="preserve"> podobné opatření ve Spojených státec</w:t>
      </w:r>
      <w:r w:rsidR="00005FD6">
        <w:t xml:space="preserve">h amerických dalších 27 států. </w:t>
      </w:r>
      <w:r w:rsidR="00213B37">
        <w:t>Americká justice se začala touto problematikou inten</w:t>
      </w:r>
      <w:r w:rsidR="005E5FC8">
        <w:t>zivně zabývat a </w:t>
      </w:r>
      <w:r w:rsidR="00213B37">
        <w:t>vytvořila v tomto ohledu právní systém, jenž se stal vzore</w:t>
      </w:r>
      <w:r w:rsidR="005E5FC8">
        <w:t>m pro celý svět. V roce 1994 se </w:t>
      </w:r>
      <w:r w:rsidR="00213B37">
        <w:t xml:space="preserve">podařilo prosadit novelu zákona (Public </w:t>
      </w:r>
      <w:proofErr w:type="spellStart"/>
      <w:r w:rsidR="00213B37">
        <w:t>Law</w:t>
      </w:r>
      <w:proofErr w:type="spellEnd"/>
      <w:r w:rsidR="00213B37">
        <w:t xml:space="preserve"> 103-322), která věnuje pozornost zločinům jako je domácí násilí, sexuální obtěžování a stalking. Zákon ve své podstatě ustanovuje spolupráci mezi poskytovateli zdravotní, sociální či komunitní péče. Je významnou právní oporou nejen policii, ale i státním zástupcům, preventivním a intervenčním programům</w:t>
      </w:r>
      <w:r>
        <w:t>,</w:t>
      </w:r>
      <w:r w:rsidR="00213B37">
        <w:t xml:space="preserve"> </w:t>
      </w:r>
      <w:r w:rsidR="00213B37">
        <w:lastRenderedPageBreak/>
        <w:t>poskytovaným obětem těchto trestných činů. Velkým benefitem je, že propojený systém dokáže pružněji reagovat na tyto trestné činy (</w:t>
      </w:r>
      <w:proofErr w:type="spellStart"/>
      <w:r w:rsidR="00213B37">
        <w:t>Travis</w:t>
      </w:r>
      <w:proofErr w:type="spellEnd"/>
      <w:r w:rsidR="00E81D41">
        <w:t>, 1996, s.</w:t>
      </w:r>
      <w:r w:rsidR="00213B37">
        <w:t xml:space="preserve"> 1).</w:t>
      </w:r>
    </w:p>
    <w:p w:rsidR="00213B37" w:rsidRDefault="00213B37" w:rsidP="00213B37">
      <w:pPr>
        <w:pStyle w:val="StylPrvndek125cm"/>
      </w:pPr>
      <w:r>
        <w:t>V Rakousku a Německu zaznamenáváme zvyšující se zájem o trestněprávní regulaci nové formy sociálně nežádoucího jednání až v posledních zhruba osmi letech.  Tyto snahy vyvrcholily v Rakousku v roce 2006 a v Německu v roce 2007. V té době došlo k přijetí nových skutkových podstat stalkingu a zajištění kontroly nad dodržováním příslušných zákazů a příkazů v souvisejících</w:t>
      </w:r>
      <w:r w:rsidR="00E53475">
        <w:t xml:space="preserve"> právních předpisech </w:t>
      </w:r>
      <w:r w:rsidR="00E81D41">
        <w:t>(Válková, 2009</w:t>
      </w:r>
      <w:r>
        <w:t>).</w:t>
      </w:r>
    </w:p>
    <w:p w:rsidR="00C67EE4" w:rsidRDefault="00213B37" w:rsidP="00C67EE4">
      <w:pPr>
        <w:pStyle w:val="StylPrvndek125cm"/>
      </w:pPr>
      <w:r>
        <w:t>U nás by</w:t>
      </w:r>
      <w:r w:rsidR="009818C0">
        <w:t>l antistalkingový zákon přijat</w:t>
      </w:r>
      <w:r>
        <w:t xml:space="preserve"> až o pár let</w:t>
      </w:r>
      <w:r w:rsidR="005E5FC8">
        <w:t xml:space="preserve"> později. Během </w:t>
      </w:r>
      <w:r w:rsidR="008351A4">
        <w:t>této doby se </w:t>
      </w:r>
      <w:r w:rsidR="005E5FC8">
        <w:t>na </w:t>
      </w:r>
      <w:r>
        <w:t xml:space="preserve">našem území objevilo několik případů stalkingu, </w:t>
      </w:r>
      <w:r w:rsidR="008D0ACE">
        <w:t>z nichž některé dokonce skončily</w:t>
      </w:r>
      <w:r>
        <w:t xml:space="preserve"> tragickou vraždou. Od 1. 1. 2010 je nebezpečné pronásledování považováno i v České republice za trestný čin. Oběť stalkingu již není zcela bezradná, ale nachází legislativní oporu v § 354 Trestního zákoníku, zákon č. 40/2009 Sb. Právní norma popisuje skutečnost, která je považována za trestný či</w:t>
      </w:r>
      <w:r w:rsidR="008D0ACE">
        <w:t>n a maximální výši trestu, která</w:t>
      </w:r>
      <w:r>
        <w:t xml:space="preserve"> pachateli z</w:t>
      </w:r>
      <w:r w:rsidR="00BE3213">
        <w:t>a obsesní pronásledování hrozí (BKB, 2010).</w:t>
      </w:r>
      <w:r>
        <w:t xml:space="preserve"> </w:t>
      </w:r>
    </w:p>
    <w:p w:rsidR="00213B37" w:rsidRDefault="00C67EE4" w:rsidP="00213B37">
      <w:pPr>
        <w:pStyle w:val="StylPrvndek125cm"/>
      </w:pPr>
      <w:r>
        <w:t>N</w:t>
      </w:r>
      <w:r w:rsidR="00213B37">
        <w:t xml:space="preserve">ejvíce se problematice stalkingu věnuje pozornost ve Spojených státech amerických. </w:t>
      </w:r>
      <w:r>
        <w:t>Jak uvádí i sama Čírtková (2004, s.</w:t>
      </w:r>
      <w:r w:rsidR="00213B37">
        <w:t xml:space="preserve"> 228), ke zviditelnění </w:t>
      </w:r>
      <w:proofErr w:type="spellStart"/>
      <w:r w:rsidR="00213B37">
        <w:t>sociopatologického</w:t>
      </w:r>
      <w:proofErr w:type="spellEnd"/>
      <w:r w:rsidR="00213B37">
        <w:t xml:space="preserve"> jevu došlo právě tam a to na základě výzkumů, jejichž výsledky byly doslova alarmující. Průzkumy odhalily tři níže uvedená důležitá fakta: </w:t>
      </w:r>
      <w:r w:rsidR="00213B37" w:rsidRPr="00C67EE4">
        <w:rPr>
          <w:b/>
        </w:rPr>
        <w:t>poměrně rozšířený výskyt tohoto jevu</w:t>
      </w:r>
      <w:r w:rsidR="00897717">
        <w:t xml:space="preserve"> </w:t>
      </w:r>
      <w:r w:rsidR="00213B37">
        <w:t>(ve Spojených státech ameri</w:t>
      </w:r>
      <w:r>
        <w:t>ckých se přiznává 10% obyvatel,</w:t>
      </w:r>
      <w:r w:rsidR="00213B37">
        <w:t xml:space="preserve"> že se s nebezpečným pronásledováním osobně setkali; experti se domnívají, že není důvod předpokládat zásadní odlišnosti těchto údajů i pro Evropu), </w:t>
      </w:r>
      <w:r w:rsidR="00213B37" w:rsidRPr="00C67EE4">
        <w:rPr>
          <w:b/>
        </w:rPr>
        <w:t>pronásledovaná osoba si odn</w:t>
      </w:r>
      <w:r w:rsidRPr="00C67EE4">
        <w:rPr>
          <w:b/>
        </w:rPr>
        <w:t>áší závažné psychické následky</w:t>
      </w:r>
      <w:r>
        <w:t xml:space="preserve"> </w:t>
      </w:r>
      <w:r w:rsidR="00213B37">
        <w:t xml:space="preserve">(většina obětí stalkingu trpí vážnými poruchami; znepokojující je fakt, že čtvrtina z nich má suicidální myšlenky; jeden empirický výzkum zjistil, že oběti trpí posttraumatickou stresovou reakcí, dokonce až v takovém stupni, který odpovídá osobám, které přežily leteckou katastrofu), </w:t>
      </w:r>
      <w:r w:rsidR="00213B37" w:rsidRPr="00C67EE4">
        <w:rPr>
          <w:b/>
        </w:rPr>
        <w:t>hrozba fyzického násilí</w:t>
      </w:r>
      <w:r w:rsidR="00213B37">
        <w:t xml:space="preserve"> (v rámci nebezpečného pronásledování je riziko přímé agrese následující: 64% pachatelů vyhrožuje, 40% ničí majetek, 36% fyzicky napadá své oběti, 6% dokonce napadá třetí osobu, přibližně 2% případů končí smrtí oběti</w:t>
      </w:r>
      <w:r>
        <w:t>)</w:t>
      </w:r>
      <w:r w:rsidR="00213B37">
        <w:t xml:space="preserve">. </w:t>
      </w:r>
    </w:p>
    <w:p w:rsidR="00213B37" w:rsidRDefault="009F2D03" w:rsidP="009F2D03">
      <w:pPr>
        <w:pStyle w:val="StylPrvndek125cm"/>
      </w:pPr>
      <w:r>
        <w:t>Pod</w:t>
      </w:r>
      <w:r w:rsidR="00213B37">
        <w:t xml:space="preserve">le </w:t>
      </w:r>
      <w:r>
        <w:t xml:space="preserve">odborníků </w:t>
      </w:r>
      <w:r w:rsidR="00213B37">
        <w:t xml:space="preserve">se nebezpečné </w:t>
      </w:r>
      <w:proofErr w:type="gramStart"/>
      <w:r w:rsidR="00213B37">
        <w:t>pronásledování</w:t>
      </w:r>
      <w:r w:rsidR="00930A33">
        <w:t>,</w:t>
      </w:r>
      <w:r w:rsidR="00213B37">
        <w:t xml:space="preserve"> nebo-li stalking</w:t>
      </w:r>
      <w:proofErr w:type="gramEnd"/>
      <w:r w:rsidR="00930A33">
        <w:t>,</w:t>
      </w:r>
      <w:r w:rsidR="00213B37">
        <w:t xml:space="preserve"> stává „</w:t>
      </w:r>
      <w:r w:rsidR="00213B37" w:rsidRPr="001A134E">
        <w:t>kriminálním deliktem</w:t>
      </w:r>
      <w:r w:rsidR="00213B37">
        <w:t>“ a pronásledovaná</w:t>
      </w:r>
      <w:r>
        <w:t xml:space="preserve"> osoba „obětí trestného činu“ (Č</w:t>
      </w:r>
      <w:r w:rsidR="00213B37">
        <w:t>írtková</w:t>
      </w:r>
      <w:r>
        <w:t>, 2004, s.</w:t>
      </w:r>
      <w:r w:rsidR="00213B37">
        <w:t xml:space="preserve"> 228). </w:t>
      </w:r>
    </w:p>
    <w:p w:rsidR="00213B37" w:rsidRDefault="00213B37" w:rsidP="000D4726">
      <w:pPr>
        <w:pStyle w:val="Nadpis1"/>
      </w:pPr>
      <w:bookmarkStart w:id="9" w:name="_Toc383408594"/>
      <w:r>
        <w:lastRenderedPageBreak/>
        <w:t>Nejznámější typologie stalkerů</w:t>
      </w:r>
      <w:bookmarkEnd w:id="9"/>
    </w:p>
    <w:p w:rsidR="00213B37" w:rsidRDefault="00213B37" w:rsidP="001A134E">
      <w:pPr>
        <w:pStyle w:val="StylPrvndek125cm"/>
      </w:pPr>
      <w:r>
        <w:t>I navzdory mladosti stalkingu představili zahraniční odborníci během posledních dvou desetiletí řadu typologií. V této kapitole však zmíním jen dvě z nich, jenž jsou považovány za nejznámější a v odborných profesích nejvíce používané. Posouzení nebezpečnosti konkrétního případu pronásledování se opírá o sběr dat, vyhodnocení dostupných informací a následně pak vypracování postupů intervence. Analýza rizik patří v problematice stalkingu k nejdůležitěj</w:t>
      </w:r>
      <w:r w:rsidR="001A134E">
        <w:t>ším tématům. Za tímto účelem vznikají různé typologie (Čírtková a kol.</w:t>
      </w:r>
      <w:r w:rsidR="000D4726">
        <w:t>, 2007, s.</w:t>
      </w:r>
      <w:r>
        <w:t xml:space="preserve"> 119). </w:t>
      </w:r>
    </w:p>
    <w:p w:rsidR="00213B37" w:rsidRDefault="00213B37" w:rsidP="000D4726">
      <w:pPr>
        <w:pStyle w:val="Nadpis2"/>
      </w:pPr>
      <w:bookmarkStart w:id="10" w:name="_Toc383408595"/>
      <w:r>
        <w:t xml:space="preserve">Typologie podle </w:t>
      </w:r>
      <w:proofErr w:type="spellStart"/>
      <w:r>
        <w:t>Mullena</w:t>
      </w:r>
      <w:proofErr w:type="spellEnd"/>
      <w:r>
        <w:t xml:space="preserve">, </w:t>
      </w:r>
      <w:proofErr w:type="spellStart"/>
      <w:r>
        <w:t>Pathého</w:t>
      </w:r>
      <w:proofErr w:type="spellEnd"/>
      <w:r>
        <w:t xml:space="preserve"> a </w:t>
      </w:r>
      <w:proofErr w:type="spellStart"/>
      <w:r>
        <w:t>Purcellové</w:t>
      </w:r>
      <w:proofErr w:type="spellEnd"/>
      <w:r>
        <w:t xml:space="preserve"> (Austrálie, 1999)</w:t>
      </w:r>
      <w:bookmarkEnd w:id="10"/>
    </w:p>
    <w:p w:rsidR="00213B37" w:rsidRDefault="00930A33" w:rsidP="00213B37">
      <w:pPr>
        <w:pStyle w:val="StylPrvndek125cm"/>
      </w:pPr>
      <w:r>
        <w:t xml:space="preserve">Jedná se o </w:t>
      </w:r>
      <w:r w:rsidR="00213B37">
        <w:t>jednu z nejznámějších typologii nebezpečných pronásledovatelů, kterou představil aust</w:t>
      </w:r>
      <w:r w:rsidR="0063319E">
        <w:t>ralský výzkumný tým v roce 1999</w:t>
      </w:r>
      <w:r w:rsidR="00213B37">
        <w:t>. K této kategorizaci stalkerů s</w:t>
      </w:r>
      <w:r w:rsidR="0063319E">
        <w:t xml:space="preserve">e u nás kloní i </w:t>
      </w:r>
      <w:proofErr w:type="spellStart"/>
      <w:r w:rsidR="0063319E">
        <w:t>Visinger</w:t>
      </w:r>
      <w:proofErr w:type="spellEnd"/>
      <w:r w:rsidR="0063319E">
        <w:t xml:space="preserve"> (2009), Čírtková</w:t>
      </w:r>
      <w:r w:rsidR="00141C7C">
        <w:t xml:space="preserve"> </w:t>
      </w:r>
      <w:r w:rsidR="0063319E">
        <w:t>(2007, s. 119-120),</w:t>
      </w:r>
      <w:r w:rsidR="00213B37">
        <w:t xml:space="preserve"> anebo dokonce i kriminologické odd</w:t>
      </w:r>
      <w:r w:rsidR="0030106A">
        <w:t>ělení Policie České republiky (N</w:t>
      </w:r>
      <w:r w:rsidR="005D32A1">
        <w:t>epublikovaný materiál</w:t>
      </w:r>
      <w:r w:rsidR="0063319E">
        <w:t xml:space="preserve"> Polic</w:t>
      </w:r>
      <w:r w:rsidR="005C0511">
        <w:t>i</w:t>
      </w:r>
      <w:r w:rsidR="0063319E">
        <w:t>e ČR</w:t>
      </w:r>
      <w:r w:rsidR="005D32A1">
        <w:t>, nedatováno</w:t>
      </w:r>
      <w:r w:rsidR="00897717">
        <w:t xml:space="preserve">). </w:t>
      </w:r>
      <w:proofErr w:type="spellStart"/>
      <w:r w:rsidR="00213B37">
        <w:t>Mullen</w:t>
      </w:r>
      <w:proofErr w:type="spellEnd"/>
      <w:r w:rsidR="00213B37">
        <w:t xml:space="preserve"> na základě provedeného výzkumu popsal společně se svým týmem 5 typů pachatelů, </w:t>
      </w:r>
      <w:r w:rsidR="00C92AF8">
        <w:t>a to dle jejich hlavní motivace</w:t>
      </w:r>
      <w:r w:rsidR="00213B37">
        <w:t>:</w:t>
      </w:r>
    </w:p>
    <w:p w:rsidR="00213B37" w:rsidRDefault="00213B37" w:rsidP="00213B37">
      <w:pPr>
        <w:pStyle w:val="StylPrvndek125cm"/>
      </w:pPr>
    </w:p>
    <w:p w:rsidR="00213B37" w:rsidRDefault="00213B37" w:rsidP="00E46FED">
      <w:pPr>
        <w:pStyle w:val="StylPrvndek125cm"/>
        <w:numPr>
          <w:ilvl w:val="0"/>
          <w:numId w:val="2"/>
        </w:numPr>
      </w:pPr>
      <w:r w:rsidRPr="00141C7C">
        <w:rPr>
          <w:b/>
        </w:rPr>
        <w:t>Odmítnutý pronásledovatel</w:t>
      </w:r>
      <w:r>
        <w:t xml:space="preserve"> </w:t>
      </w:r>
      <w:r w:rsidRPr="00141C7C">
        <w:rPr>
          <w:b/>
        </w:rPr>
        <w:t>(</w:t>
      </w:r>
      <w:proofErr w:type="spellStart"/>
      <w:r w:rsidRPr="00141C7C">
        <w:rPr>
          <w:b/>
        </w:rPr>
        <w:t>Rejected</w:t>
      </w:r>
      <w:proofErr w:type="spellEnd"/>
      <w:r w:rsidRPr="00141C7C">
        <w:rPr>
          <w:b/>
        </w:rPr>
        <w:t xml:space="preserve"> Stalker)</w:t>
      </w:r>
      <w:r>
        <w:t>: cílem stalkera je obnovit ukončený vztah či se pomstít za odmítnutí; motivem bývá žárlivost; typickým r</w:t>
      </w:r>
      <w:r w:rsidR="009423C4">
        <w:t>ysem bývá hrubost a vyhrožování.</w:t>
      </w:r>
    </w:p>
    <w:p w:rsidR="00213B37" w:rsidRDefault="00213B37" w:rsidP="00E46FED">
      <w:pPr>
        <w:pStyle w:val="StylPrvndek125cm"/>
        <w:numPr>
          <w:ilvl w:val="0"/>
          <w:numId w:val="2"/>
        </w:numPr>
      </w:pPr>
      <w:r w:rsidRPr="00141C7C">
        <w:rPr>
          <w:b/>
        </w:rPr>
        <w:t>Hledač intimity (</w:t>
      </w:r>
      <w:proofErr w:type="spellStart"/>
      <w:r w:rsidRPr="00141C7C">
        <w:rPr>
          <w:b/>
        </w:rPr>
        <w:t>Intimacy</w:t>
      </w:r>
      <w:proofErr w:type="spellEnd"/>
      <w:r w:rsidRPr="00141C7C">
        <w:rPr>
          <w:b/>
        </w:rPr>
        <w:t xml:space="preserve"> </w:t>
      </w:r>
      <w:proofErr w:type="spellStart"/>
      <w:r w:rsidRPr="00141C7C">
        <w:rPr>
          <w:b/>
        </w:rPr>
        <w:t>Seeker</w:t>
      </w:r>
      <w:proofErr w:type="spellEnd"/>
      <w:r w:rsidRPr="00141C7C">
        <w:rPr>
          <w:b/>
        </w:rPr>
        <w:t>)</w:t>
      </w:r>
      <w:r>
        <w:t>: v důsledku chybějících reálných vztahů dojde k nalez</w:t>
      </w:r>
      <w:r w:rsidR="00141C7C">
        <w:t xml:space="preserve">ení vztahu fiktivního; oběť je </w:t>
      </w:r>
      <w:r w:rsidR="00930A33">
        <w:t>cizí či povrchně známá</w:t>
      </w:r>
      <w:r w:rsidR="005E5FC8">
        <w:t xml:space="preserve"> osoba (celebrita či </w:t>
      </w:r>
      <w:r>
        <w:t>veřejně známá osobnost); stalker touží p</w:t>
      </w:r>
      <w:r w:rsidR="00930A33">
        <w:t>o akceptaci a opětování jejích</w:t>
      </w:r>
      <w:r>
        <w:t xml:space="preserve"> citů</w:t>
      </w:r>
      <w:r w:rsidR="009423C4">
        <w:t>.</w:t>
      </w:r>
    </w:p>
    <w:p w:rsidR="00213B37" w:rsidRDefault="00213B37" w:rsidP="00E46FED">
      <w:pPr>
        <w:pStyle w:val="StylPrvndek125cm"/>
        <w:numPr>
          <w:ilvl w:val="0"/>
          <w:numId w:val="2"/>
        </w:numPr>
      </w:pPr>
      <w:r w:rsidRPr="00141C7C">
        <w:rPr>
          <w:b/>
        </w:rPr>
        <w:t>Nekompetentní nápadník (</w:t>
      </w:r>
      <w:proofErr w:type="spellStart"/>
      <w:r w:rsidRPr="00141C7C">
        <w:rPr>
          <w:b/>
        </w:rPr>
        <w:t>Incompetent</w:t>
      </w:r>
      <w:proofErr w:type="spellEnd"/>
      <w:r w:rsidRPr="00141C7C">
        <w:rPr>
          <w:b/>
        </w:rPr>
        <w:t xml:space="preserve"> </w:t>
      </w:r>
      <w:proofErr w:type="spellStart"/>
      <w:r w:rsidRPr="00141C7C">
        <w:rPr>
          <w:b/>
        </w:rPr>
        <w:t>suitor</w:t>
      </w:r>
      <w:proofErr w:type="spellEnd"/>
      <w:r w:rsidRPr="00141C7C">
        <w:rPr>
          <w:b/>
        </w:rPr>
        <w:t>)</w:t>
      </w:r>
      <w:r w:rsidR="00897717">
        <w:t>: do této skupiny</w:t>
      </w:r>
      <w:r>
        <w:t xml:space="preserve"> patří většinou sociálně a interpersonálně málo způsobilí jedinci, kteří díky své nešikovnosti zažívají častá odmítnutí a zklamání, což následně vede k vyhledání jiného objektu; </w:t>
      </w:r>
      <w:r w:rsidR="009423C4">
        <w:t>primárně jde o intimní sblížení.</w:t>
      </w:r>
    </w:p>
    <w:p w:rsidR="00213B37" w:rsidRDefault="00213B37" w:rsidP="00E46FED">
      <w:pPr>
        <w:pStyle w:val="StylPrvndek125cm"/>
        <w:numPr>
          <w:ilvl w:val="0"/>
          <w:numId w:val="2"/>
        </w:numPr>
      </w:pPr>
      <w:r w:rsidRPr="00141C7C">
        <w:rPr>
          <w:b/>
        </w:rPr>
        <w:t>Nenávistný pronásledovatel</w:t>
      </w:r>
      <w:r w:rsidR="007D3FD2">
        <w:rPr>
          <w:b/>
        </w:rPr>
        <w:t xml:space="preserve"> </w:t>
      </w:r>
      <w:r w:rsidRPr="00141C7C">
        <w:rPr>
          <w:b/>
        </w:rPr>
        <w:t>(</w:t>
      </w:r>
      <w:proofErr w:type="spellStart"/>
      <w:r w:rsidRPr="00141C7C">
        <w:rPr>
          <w:b/>
        </w:rPr>
        <w:t>Resentful</w:t>
      </w:r>
      <w:proofErr w:type="spellEnd"/>
      <w:r w:rsidRPr="00141C7C">
        <w:rPr>
          <w:b/>
        </w:rPr>
        <w:t xml:space="preserve"> Stalker)</w:t>
      </w:r>
      <w:r w:rsidR="00BA56BB">
        <w:t>: představa zdánlivé či skutečné újmy</w:t>
      </w:r>
      <w:r>
        <w:t xml:space="preserve">, jenž pachatel připisuje oběti; stalkeři tohoto typu vynikají ve vydírání </w:t>
      </w:r>
      <w:r>
        <w:lastRenderedPageBreak/>
        <w:t>a</w:t>
      </w:r>
      <w:r w:rsidR="005E5FC8">
        <w:t> </w:t>
      </w:r>
      <w:r>
        <w:t>zastrašování; charakteristickým rysem pronásledování je vytrvalost a rafinovanost stalkera, jenž mu přináší uspokojení</w:t>
      </w:r>
      <w:r w:rsidR="009423C4">
        <w:t>.</w:t>
      </w:r>
    </w:p>
    <w:p w:rsidR="00213B37" w:rsidRDefault="00213B37" w:rsidP="00E46FED">
      <w:pPr>
        <w:pStyle w:val="StylPrvndek125cm"/>
        <w:numPr>
          <w:ilvl w:val="0"/>
          <w:numId w:val="2"/>
        </w:numPr>
      </w:pPr>
      <w:r w:rsidRPr="00141C7C">
        <w:rPr>
          <w:b/>
        </w:rPr>
        <w:t>Predátorský pronásledovatel (</w:t>
      </w:r>
      <w:proofErr w:type="spellStart"/>
      <w:r w:rsidRPr="00141C7C">
        <w:rPr>
          <w:b/>
        </w:rPr>
        <w:t>Predatory</w:t>
      </w:r>
      <w:proofErr w:type="spellEnd"/>
      <w:r w:rsidRPr="00141C7C">
        <w:rPr>
          <w:b/>
        </w:rPr>
        <w:t xml:space="preserve"> Stalker)</w:t>
      </w:r>
      <w:r w:rsidR="005E5FC8">
        <w:t>: vyznačuje se touhou po </w:t>
      </w:r>
      <w:r>
        <w:t>fyzickém násilí páchaném na oběti; většinou se jedná o sexuálního agresora; ovládání a kontro</w:t>
      </w:r>
      <w:r w:rsidR="009423C4">
        <w:t>lování oběti mu přináší požitek.</w:t>
      </w:r>
    </w:p>
    <w:p w:rsidR="00213B37" w:rsidRDefault="00213B37" w:rsidP="00213B37">
      <w:pPr>
        <w:pStyle w:val="StylPrvndek125cm"/>
      </w:pPr>
    </w:p>
    <w:p w:rsidR="00213B37" w:rsidRDefault="00213B37" w:rsidP="00213B37">
      <w:pPr>
        <w:pStyle w:val="StylPrvndek125cm"/>
      </w:pPr>
      <w:r>
        <w:t>Je zřejmé, že uvedená typologie byla sestavena v interakci s určitými diagnózami duševních poruch. Avšak v praxi může konkrétní případ nebezpečného pronásledování vykaz</w:t>
      </w:r>
      <w:r w:rsidR="00141C7C">
        <w:t>ovat i smíšené charakteristiky (Čírtková a kol., 2007, s. 120).</w:t>
      </w:r>
    </w:p>
    <w:p w:rsidR="00213B37" w:rsidRDefault="00213B37" w:rsidP="00141C7C">
      <w:pPr>
        <w:pStyle w:val="Nadpis2"/>
      </w:pPr>
      <w:bookmarkStart w:id="11" w:name="_Toc383408596"/>
      <w:r>
        <w:t xml:space="preserve">Typologie podle </w:t>
      </w:r>
      <w:proofErr w:type="spellStart"/>
      <w:r>
        <w:t>Boona</w:t>
      </w:r>
      <w:proofErr w:type="spellEnd"/>
      <w:r>
        <w:t xml:space="preserve"> a </w:t>
      </w:r>
      <w:proofErr w:type="spellStart"/>
      <w:r>
        <w:t>Sheridanové</w:t>
      </w:r>
      <w:proofErr w:type="spellEnd"/>
      <w:r>
        <w:t xml:space="preserve"> (Velká Británie, 2001)</w:t>
      </w:r>
      <w:bookmarkEnd w:id="11"/>
    </w:p>
    <w:p w:rsidR="00213B37" w:rsidRDefault="00213B37" w:rsidP="00213B37">
      <w:pPr>
        <w:pStyle w:val="StylPrvndek125cm"/>
      </w:pPr>
      <w:r>
        <w:t>Většina typologií se opírá zejména o výzkumy pachatelů</w:t>
      </w:r>
      <w:r w:rsidR="00BA56BB">
        <w:t>,</w:t>
      </w:r>
      <w:r>
        <w:t xml:space="preserve"> podstupující léčebné terapie</w:t>
      </w:r>
      <w:r w:rsidR="00BA56BB">
        <w:t>,</w:t>
      </w:r>
      <w:r>
        <w:t xml:space="preserve"> nebo o analýzu policejních dokumentů. </w:t>
      </w:r>
      <w:r w:rsidR="00BA56BB" w:rsidRPr="005E5FC8">
        <w:t xml:space="preserve">Pro posouzení skutečných případů vytvářejí </w:t>
      </w:r>
      <w:r w:rsidRPr="005E5FC8">
        <w:t>ony typologie mnohdy jen omezené instrukce či poučení.</w:t>
      </w:r>
      <w:r>
        <w:t xml:space="preserve">  Převratný okamžik přináší unikátní projekt ve Velké Británii, jenž na tento handicap zareagoval. Vzniká </w:t>
      </w:r>
      <w:r w:rsidR="00141C7C">
        <w:t>„</w:t>
      </w:r>
      <w:r w:rsidRPr="00141C7C">
        <w:rPr>
          <w:i/>
        </w:rPr>
        <w:t>taxonomie pronásledovatelů</w:t>
      </w:r>
      <w:r w:rsidR="00141C7C">
        <w:t>“</w:t>
      </w:r>
      <w:r w:rsidR="009818C0">
        <w:rPr>
          <w:rStyle w:val="Znakapoznpodarou"/>
        </w:rPr>
        <w:footnoteReference w:id="1"/>
      </w:r>
      <w:r w:rsidR="00141C7C">
        <w:t>.</w:t>
      </w:r>
      <w:r>
        <w:t xml:space="preserve"> </w:t>
      </w:r>
      <w:r w:rsidR="00141C7C">
        <w:t xml:space="preserve">Taxonomie pronásledovatelů </w:t>
      </w:r>
      <w:r>
        <w:t xml:space="preserve">se formuje na základě odborné spolupráce policejních </w:t>
      </w:r>
      <w:proofErr w:type="spellStart"/>
      <w:r>
        <w:t>profilovačů</w:t>
      </w:r>
      <w:proofErr w:type="spellEnd"/>
      <w:r>
        <w:t xml:space="preserve"> s dalšími experty, poprvé jsou využity také informace zí</w:t>
      </w:r>
      <w:r w:rsidR="00DB60E3">
        <w:t xml:space="preserve">skané přímo od obětí stalkingu </w:t>
      </w:r>
      <w:r>
        <w:t>(Čírtková</w:t>
      </w:r>
      <w:r w:rsidR="00141C7C">
        <w:t xml:space="preserve">, 2004, s. </w:t>
      </w:r>
      <w:proofErr w:type="gramStart"/>
      <w:r w:rsidR="00141C7C">
        <w:t xml:space="preserve">232) </w:t>
      </w:r>
      <w:r>
        <w:t>(</w:t>
      </w:r>
      <w:proofErr w:type="spellStart"/>
      <w:r>
        <w:t>Pinals</w:t>
      </w:r>
      <w:proofErr w:type="spellEnd"/>
      <w:proofErr w:type="gramEnd"/>
      <w:r w:rsidR="00141C7C">
        <w:t>, 2007, s.</w:t>
      </w:r>
      <w:r>
        <w:t xml:space="preserve"> 40).</w:t>
      </w:r>
    </w:p>
    <w:p w:rsidR="00213B37" w:rsidRDefault="00213B37" w:rsidP="00213B37">
      <w:pPr>
        <w:pStyle w:val="StylPrvndek125cm"/>
      </w:pPr>
      <w:r>
        <w:t>Cílem projektu bylo vyvinout pro policii přehlednou taxonomii pronásledovatelů, kterou by mohli použít při řešení skutečných případů. Autory této typologie jsou</w:t>
      </w:r>
      <w:r w:rsidR="007D3FD2">
        <w:t xml:space="preserve"> </w:t>
      </w:r>
      <w:proofErr w:type="spellStart"/>
      <w:r w:rsidR="007D3FD2">
        <w:t>Julian</w:t>
      </w:r>
      <w:proofErr w:type="spellEnd"/>
      <w:r>
        <w:t xml:space="preserve"> </w:t>
      </w:r>
      <w:proofErr w:type="spellStart"/>
      <w:r>
        <w:t>Boon</w:t>
      </w:r>
      <w:proofErr w:type="spellEnd"/>
      <w:r>
        <w:t xml:space="preserve"> a </w:t>
      </w:r>
      <w:proofErr w:type="spellStart"/>
      <w:r w:rsidR="007D3FD2">
        <w:t>Lorraine</w:t>
      </w:r>
      <w:proofErr w:type="spellEnd"/>
      <w:r w:rsidR="007D3FD2">
        <w:t xml:space="preserve"> </w:t>
      </w:r>
      <w:proofErr w:type="spellStart"/>
      <w:r>
        <w:t>Sheridan</w:t>
      </w:r>
      <w:proofErr w:type="spellEnd"/>
      <w:r>
        <w:t xml:space="preserve"> (</w:t>
      </w:r>
      <w:proofErr w:type="spellStart"/>
      <w:r>
        <w:t>Pinals</w:t>
      </w:r>
      <w:proofErr w:type="spellEnd"/>
      <w:r w:rsidR="007D3FD2">
        <w:t>,</w:t>
      </w:r>
      <w:r>
        <w:t xml:space="preserve"> </w:t>
      </w:r>
      <w:r w:rsidR="007D3FD2">
        <w:t>2007, s.</w:t>
      </w:r>
      <w:r>
        <w:t xml:space="preserve"> 40). Taxonomie zahrnuje popis čtyř typů pachatelů, </w:t>
      </w:r>
      <w:r w:rsidR="00DB60E3" w:rsidRPr="00DB60E3">
        <w:t xml:space="preserve">četnost </w:t>
      </w:r>
      <w:r w:rsidRPr="00DB60E3">
        <w:t>jejich výskytu</w:t>
      </w:r>
      <w:r>
        <w:t xml:space="preserve"> a postup při řešení těchto případů. Níže uvádím jen stručnou charakteristiku jednotlivých variant pronásledování. Více se popisu </w:t>
      </w:r>
      <w:r w:rsidR="007D3FD2">
        <w:t>taxonomie věnuje Čírtková (2004, s.</w:t>
      </w:r>
      <w:r>
        <w:t xml:space="preserve"> 232-234):</w:t>
      </w:r>
    </w:p>
    <w:p w:rsidR="00213B37" w:rsidRDefault="00213B37" w:rsidP="00213B37">
      <w:pPr>
        <w:pStyle w:val="StylPrvndek125cm"/>
      </w:pPr>
      <w:r>
        <w:t xml:space="preserve"> </w:t>
      </w:r>
    </w:p>
    <w:p w:rsidR="00213B37" w:rsidRDefault="00213B37" w:rsidP="007D3FD2">
      <w:pPr>
        <w:pStyle w:val="StylPrvndek125cm"/>
        <w:ind w:firstLine="0"/>
      </w:pPr>
      <w:r w:rsidRPr="007D3FD2">
        <w:rPr>
          <w:b/>
        </w:rPr>
        <w:t>Typ 1: Ex</w:t>
      </w:r>
      <w:r w:rsidR="00717E62">
        <w:rPr>
          <w:b/>
        </w:rPr>
        <w:t>-partnerský pronásledovatel (50</w:t>
      </w:r>
      <w:r w:rsidRPr="007D3FD2">
        <w:rPr>
          <w:b/>
        </w:rPr>
        <w:t>% případů</w:t>
      </w:r>
      <w:r w:rsidR="005E5FC8">
        <w:t>): v anamnéze vztahu lze ve </w:t>
      </w:r>
      <w:r>
        <w:t>většině případů zjisti</w:t>
      </w:r>
      <w:r w:rsidR="00BA56BB">
        <w:t>t</w:t>
      </w:r>
      <w:r>
        <w:t xml:space="preserve"> domácí násilí; u pachatelů převládá zloba a nenávist; většinou vůbec nereagují na policejní vyšetřování; v těchto případech</w:t>
      </w:r>
      <w:r w:rsidR="005E5FC8">
        <w:t xml:space="preserve"> je riziko fyzického napadení i </w:t>
      </w:r>
      <w:r>
        <w:t>poškozování majet</w:t>
      </w:r>
      <w:r w:rsidR="009423C4">
        <w:t>ku velmi vysoké (</w:t>
      </w:r>
      <w:proofErr w:type="spellStart"/>
      <w:r w:rsidR="009423C4">
        <w:t>Visinger</w:t>
      </w:r>
      <w:proofErr w:type="spellEnd"/>
      <w:r w:rsidR="009423C4">
        <w:t>, 2009).</w:t>
      </w:r>
      <w:r>
        <w:t xml:space="preserve"> Čírtková dodává</w:t>
      </w:r>
      <w:r w:rsidR="009423C4">
        <w:t xml:space="preserve"> (2004, s.</w:t>
      </w:r>
      <w:r w:rsidR="00BA56BB">
        <w:t xml:space="preserve"> 233), je</w:t>
      </w:r>
      <w:r w:rsidR="005E5FC8">
        <w:t> </w:t>
      </w:r>
      <w:r>
        <w:t>vhodné eliminovat kontakt mezi pachatelem a obětí</w:t>
      </w:r>
      <w:r w:rsidR="009423C4">
        <w:t>.</w:t>
      </w:r>
      <w:r>
        <w:t xml:space="preserve"> </w:t>
      </w:r>
    </w:p>
    <w:p w:rsidR="00213B37" w:rsidRDefault="00213B37" w:rsidP="007D3FD2">
      <w:pPr>
        <w:pStyle w:val="StylPrvndek125cm"/>
        <w:ind w:firstLine="0"/>
      </w:pPr>
      <w:r w:rsidRPr="009423C4">
        <w:rPr>
          <w:b/>
        </w:rPr>
        <w:lastRenderedPageBreak/>
        <w:t>Typ</w:t>
      </w:r>
      <w:r w:rsidR="00717E62">
        <w:rPr>
          <w:b/>
        </w:rPr>
        <w:t xml:space="preserve"> 2. Umanutý pronásledovatel (18</w:t>
      </w:r>
      <w:r w:rsidRPr="009423C4">
        <w:rPr>
          <w:b/>
        </w:rPr>
        <w:t>% případů)</w:t>
      </w:r>
      <w:r>
        <w:t>: po jevové stránce je pronásledovaná osoba spíše idolem než obětí; idol tvoří středobod pachatelova prožívání; oběť zcela dominuje i v jeho představách; riziko přímého násilí je u těchto případů většinou nízké (Čírtková</w:t>
      </w:r>
      <w:r w:rsidR="00897717">
        <w:t>, 2004, s.</w:t>
      </w:r>
      <w:r>
        <w:t xml:space="preserve"> 233)</w:t>
      </w:r>
      <w:r w:rsidR="009423C4">
        <w:t>.</w:t>
      </w:r>
    </w:p>
    <w:p w:rsidR="00213B37" w:rsidRDefault="00213B37" w:rsidP="007D3FD2">
      <w:pPr>
        <w:pStyle w:val="StylPrvndek125cm"/>
        <w:ind w:firstLine="0"/>
      </w:pPr>
      <w:r w:rsidRPr="009423C4">
        <w:rPr>
          <w:b/>
        </w:rPr>
        <w:t>Typ 3. Fixovaný pronásledo</w:t>
      </w:r>
      <w:r w:rsidR="00717E62">
        <w:rPr>
          <w:b/>
        </w:rPr>
        <w:t>vatel s psychickou poruchou (20</w:t>
      </w:r>
      <w:r w:rsidRPr="009423C4">
        <w:rPr>
          <w:b/>
        </w:rPr>
        <w:t>% případů)</w:t>
      </w:r>
      <w:r w:rsidR="009423C4">
        <w:t>, rozli</w:t>
      </w:r>
      <w:r w:rsidR="005E5FC8">
        <w:t>šují se </w:t>
      </w:r>
      <w:r>
        <w:t>dva podtypy a to s ohledem na nebezpečnost:</w:t>
      </w:r>
    </w:p>
    <w:p w:rsidR="00213B37" w:rsidRDefault="009423C4" w:rsidP="00E46FED">
      <w:pPr>
        <w:pStyle w:val="StylPrvndek125cm"/>
        <w:numPr>
          <w:ilvl w:val="0"/>
          <w:numId w:val="3"/>
        </w:numPr>
      </w:pPr>
      <w:r>
        <w:rPr>
          <w:b/>
        </w:rPr>
        <w:t>M</w:t>
      </w:r>
      <w:r w:rsidR="00213B37" w:rsidRPr="009423C4">
        <w:rPr>
          <w:b/>
        </w:rPr>
        <w:t>éně nebezpečný fixovaný pronásledovatel</w:t>
      </w:r>
      <w:r w:rsidR="00213B37">
        <w:t xml:space="preserve"> </w:t>
      </w:r>
      <w:r w:rsidR="00DB60E3" w:rsidRPr="005E5FC8">
        <w:t>se vyznačuje poruchami</w:t>
      </w:r>
      <w:r w:rsidR="00DB60E3">
        <w:t xml:space="preserve"> </w:t>
      </w:r>
      <w:r w:rsidR="005E5FC8">
        <w:t>osobnosti a </w:t>
      </w:r>
      <w:r w:rsidR="00213B37">
        <w:t>chování; žije v zajetí iluze o reálnosti vztahu</w:t>
      </w:r>
      <w:r w:rsidR="005E5FC8">
        <w:t>; má však náhled na realitu a k </w:t>
      </w:r>
      <w:r w:rsidR="00213B37">
        <w:t>silným hr</w:t>
      </w:r>
      <w:r>
        <w:t>ozbám se uchyluje jen zřídkakdy.</w:t>
      </w:r>
    </w:p>
    <w:p w:rsidR="00213B37" w:rsidRDefault="009423C4" w:rsidP="00E46FED">
      <w:pPr>
        <w:pStyle w:val="StylPrvndek125cm"/>
        <w:numPr>
          <w:ilvl w:val="0"/>
          <w:numId w:val="3"/>
        </w:numPr>
      </w:pPr>
      <w:r>
        <w:rPr>
          <w:b/>
        </w:rPr>
        <w:t>F</w:t>
      </w:r>
      <w:r w:rsidR="00213B37" w:rsidRPr="009423C4">
        <w:rPr>
          <w:b/>
        </w:rPr>
        <w:t>ixovaný pronásledovatel se zvýšenou nebezpečností</w:t>
      </w:r>
      <w:r w:rsidR="00213B37">
        <w:t xml:space="preserve"> se vyznačuje </w:t>
      </w:r>
      <w:r w:rsidR="00213B37" w:rsidRPr="00717E62">
        <w:t>„vysokým stupně</w:t>
      </w:r>
      <w:r w:rsidR="00BA56BB" w:rsidRPr="00717E62">
        <w:t>m</w:t>
      </w:r>
      <w:r w:rsidR="00213B37" w:rsidRPr="00717E62">
        <w:t xml:space="preserve"> psychického</w:t>
      </w:r>
      <w:r w:rsidRPr="00717E62">
        <w:t xml:space="preserve"> narušení“ </w:t>
      </w:r>
      <w:r>
        <w:t>(Čírtková</w:t>
      </w:r>
      <w:r w:rsidR="00897717">
        <w:t>, 2004, s.</w:t>
      </w:r>
      <w:r w:rsidR="00641365">
        <w:t xml:space="preserve"> 233). </w:t>
      </w:r>
      <w:r>
        <w:t>P</w:t>
      </w:r>
      <w:r w:rsidR="002D4EC0">
        <w:t>ronásledovatel má za </w:t>
      </w:r>
      <w:r w:rsidR="00213B37">
        <w:t>sebou pravděpodobně i kriminální historií či ústavní léčbu; pronásledová</w:t>
      </w:r>
      <w:r w:rsidR="002D4EC0">
        <w:t>ní je </w:t>
      </w:r>
      <w:r>
        <w:t>nevypočitatelné</w:t>
      </w:r>
      <w:r w:rsidR="00213B37">
        <w:t>, nepravidelné a nese různé formy agrese (</w:t>
      </w:r>
      <w:proofErr w:type="spellStart"/>
      <w:r w:rsidR="00213B37">
        <w:t>Visinger</w:t>
      </w:r>
      <w:proofErr w:type="spellEnd"/>
      <w:r>
        <w:t>,</w:t>
      </w:r>
      <w:r w:rsidR="00213B37">
        <w:t xml:space="preserve"> 20</w:t>
      </w:r>
      <w:r>
        <w:t>09</w:t>
      </w:r>
      <w:r w:rsidR="00213B37">
        <w:t>)</w:t>
      </w:r>
      <w:r>
        <w:t>.</w:t>
      </w:r>
    </w:p>
    <w:p w:rsidR="00213B37" w:rsidRDefault="00213B37" w:rsidP="009423C4">
      <w:pPr>
        <w:pStyle w:val="StylPrvndek125cm"/>
        <w:ind w:firstLine="0"/>
      </w:pPr>
      <w:r w:rsidRPr="009423C4">
        <w:rPr>
          <w:b/>
        </w:rPr>
        <w:t>Typ 4.</w:t>
      </w:r>
      <w:r w:rsidR="00717E62">
        <w:rPr>
          <w:b/>
        </w:rPr>
        <w:t xml:space="preserve"> Sadistický pronásledovatel (12</w:t>
      </w:r>
      <w:r w:rsidRPr="009423C4">
        <w:rPr>
          <w:b/>
        </w:rPr>
        <w:t>% případů)</w:t>
      </w:r>
      <w:r>
        <w:t>: p</w:t>
      </w:r>
      <w:r w:rsidR="002D4EC0">
        <w:t>oslední typ pronásledovatele je </w:t>
      </w:r>
      <w:r>
        <w:t>nejvíce nebezpečný; pach</w:t>
      </w:r>
      <w:r w:rsidR="009423C4">
        <w:t>atel je nápadně citově chladný;</w:t>
      </w:r>
      <w:r>
        <w:t xml:space="preserve"> je veden motivem zcela ovládnout život oběti; uch</w:t>
      </w:r>
      <w:r w:rsidR="00FB0062">
        <w:t>yluje</w:t>
      </w:r>
      <w:r>
        <w:t xml:space="preserve"> se k zastrašování, ignoruje policejní nařízení a zákaz</w:t>
      </w:r>
      <w:r w:rsidR="009423C4">
        <w:t>y; dochází k eskalaci stalkingu (</w:t>
      </w:r>
      <w:proofErr w:type="spellStart"/>
      <w:r w:rsidR="009423C4">
        <w:t>Visinger</w:t>
      </w:r>
      <w:proofErr w:type="spellEnd"/>
      <w:r w:rsidR="009423C4">
        <w:t>, 2009). Čírtková (2004, s.</w:t>
      </w:r>
      <w:r>
        <w:t xml:space="preserve"> 234) zdůrazňuje okamž</w:t>
      </w:r>
      <w:r w:rsidR="00FB0062">
        <w:t>itou izolaci oběti od pachatele</w:t>
      </w:r>
      <w:r>
        <w:t xml:space="preserve"> a to i za podmínek, kde je často nutné utajovat pobyt oběti</w:t>
      </w:r>
      <w:r w:rsidR="009423C4">
        <w:t>.</w:t>
      </w:r>
      <w:r>
        <w:t xml:space="preserve">  </w:t>
      </w:r>
    </w:p>
    <w:p w:rsidR="009423C4" w:rsidRDefault="009423C4" w:rsidP="009423C4">
      <w:pPr>
        <w:pStyle w:val="StylPrvndek125cm"/>
        <w:ind w:firstLine="0"/>
      </w:pPr>
    </w:p>
    <w:p w:rsidR="00213B37" w:rsidRDefault="00213B37" w:rsidP="009423C4">
      <w:pPr>
        <w:pStyle w:val="StylPrvndek125cm"/>
      </w:pPr>
      <w:r>
        <w:t>Účelem bakalářské práce však není komplexní zmapo</w:t>
      </w:r>
      <w:r w:rsidR="00641365">
        <w:t xml:space="preserve">vání všech typologií stalkerů. </w:t>
      </w:r>
      <w:r>
        <w:t>Podrobněji se touto pr</w:t>
      </w:r>
      <w:r w:rsidR="007D3FD2">
        <w:t xml:space="preserve">oblematikou zabývá </w:t>
      </w:r>
      <w:proofErr w:type="spellStart"/>
      <w:r w:rsidR="007D3FD2">
        <w:t>Pinals</w:t>
      </w:r>
      <w:proofErr w:type="spellEnd"/>
      <w:r w:rsidR="007D3FD2">
        <w:t xml:space="preserve"> (2007, s.</w:t>
      </w:r>
      <w:r>
        <w:t xml:space="preserve"> 27), který ve své knize představuje řadu dalších typologií. </w:t>
      </w:r>
    </w:p>
    <w:p w:rsidR="00213B37" w:rsidRDefault="00213B37" w:rsidP="009423C4">
      <w:pPr>
        <w:pStyle w:val="Nadpis1"/>
      </w:pPr>
      <w:bookmarkStart w:id="12" w:name="_Toc383408597"/>
      <w:r>
        <w:lastRenderedPageBreak/>
        <w:t>Základní informace o ex-partnerském stalking</w:t>
      </w:r>
      <w:r w:rsidR="00FB0062">
        <w:t>u</w:t>
      </w:r>
      <w:bookmarkEnd w:id="12"/>
    </w:p>
    <w:p w:rsidR="00213B37" w:rsidRDefault="00213B37" w:rsidP="00213B37">
      <w:pPr>
        <w:pStyle w:val="StylPrvndek125cm"/>
      </w:pPr>
      <w:r>
        <w:t>Tato kapitola nás blíže seznamuje j</w:t>
      </w:r>
      <w:r w:rsidR="00FB0062">
        <w:t>iž s konkrétním typem stalkingu</w:t>
      </w:r>
      <w:r w:rsidR="002D4EC0">
        <w:t xml:space="preserve"> a tím je </w:t>
      </w:r>
      <w:r w:rsidR="008351A4">
        <w:br/>
      </w:r>
      <w:r w:rsidR="00641365">
        <w:t>ex-</w:t>
      </w:r>
      <w:r>
        <w:t xml:space="preserve">partnerské pronásledování. Přináší vymezení tohoto pojmu, odhaluje zásadní rysy, možné predikátory </w:t>
      </w:r>
      <w:r w:rsidR="00756206">
        <w:t>ex-</w:t>
      </w:r>
      <w:r>
        <w:t>partnerského stalkin</w:t>
      </w:r>
      <w:r w:rsidR="00FB0062">
        <w:t>gu a případné techniky</w:t>
      </w:r>
      <w:r>
        <w:t>. Kapitola rovněž obsahuje základní charakteristiky oběti a pachatele</w:t>
      </w:r>
      <w:r w:rsidR="00DB60E3">
        <w:t xml:space="preserve">. </w:t>
      </w:r>
      <w:r>
        <w:t>Informace získané v této kapitole</w:t>
      </w:r>
      <w:r w:rsidR="009423C4">
        <w:t xml:space="preserve"> jsou podstatné pro pochopení </w:t>
      </w:r>
      <w:r>
        <w:t>dynamiky ex-partnerského stalk</w:t>
      </w:r>
      <w:r w:rsidR="00641365">
        <w:t>ingu, což je velmi důležité pro </w:t>
      </w:r>
      <w:r>
        <w:t xml:space="preserve">zahájení kvalitní odborné pomoci. </w:t>
      </w:r>
    </w:p>
    <w:p w:rsidR="00213B37" w:rsidRDefault="00213B37" w:rsidP="009423C4">
      <w:pPr>
        <w:pStyle w:val="Nadpis2"/>
      </w:pPr>
      <w:bookmarkStart w:id="13" w:name="_Toc383408598"/>
      <w:r>
        <w:t>Vymezení pojmu ex-partnerský stalking</w:t>
      </w:r>
      <w:bookmarkEnd w:id="13"/>
    </w:p>
    <w:p w:rsidR="00213B37" w:rsidRDefault="00213B37" w:rsidP="00213B37">
      <w:pPr>
        <w:pStyle w:val="StylPrvndek125cm"/>
      </w:pPr>
      <w:r>
        <w:t>Typologie stalkingu poukazuje na skutečnost, že může jít o různé varianty pronásledování. Jednotlivá třídění se vytváří většinou podle motivace stalkera. Většina autorů ve svých studiích směřuje pozornost na pronásledování, kterému předcházelo společné soužití pachatele a oběti (Čírtková</w:t>
      </w:r>
      <w:r w:rsidR="005B19A3">
        <w:t>, 2004, s.</w:t>
      </w:r>
      <w:r>
        <w:t xml:space="preserve"> 234). </w:t>
      </w:r>
    </w:p>
    <w:p w:rsidR="00213B37" w:rsidRDefault="00213B37" w:rsidP="00213B37">
      <w:pPr>
        <w:pStyle w:val="StylPrvndek125cm"/>
      </w:pPr>
      <w:r>
        <w:t>Autoři přichází pro tento typ stalking</w:t>
      </w:r>
      <w:r w:rsidR="005B19A3">
        <w:t>u s nejrůznějšími výrazy. Mezi odborníky se vžil nejvíce p</w:t>
      </w:r>
      <w:r w:rsidR="00DB60E3">
        <w:t xml:space="preserve">ojem </w:t>
      </w:r>
      <w:r w:rsidR="00DB60E3" w:rsidRPr="00717E62">
        <w:rPr>
          <w:i/>
        </w:rPr>
        <w:t>„ex-partnerský stalking“.</w:t>
      </w:r>
      <w:r w:rsidR="00DB60E3">
        <w:t xml:space="preserve"> S t</w:t>
      </w:r>
      <w:r w:rsidR="005B19A3">
        <w:t xml:space="preserve">ímto výrazem přichází </w:t>
      </w:r>
      <w:r w:rsidR="002D4EC0">
        <w:t xml:space="preserve">typologie </w:t>
      </w:r>
      <w:proofErr w:type="spellStart"/>
      <w:r w:rsidR="002D4EC0">
        <w:t>Boona</w:t>
      </w:r>
      <w:proofErr w:type="spellEnd"/>
      <w:r w:rsidR="002D4EC0">
        <w:t xml:space="preserve"> a </w:t>
      </w:r>
      <w:proofErr w:type="spellStart"/>
      <w:r>
        <w:t>Sheridanové</w:t>
      </w:r>
      <w:proofErr w:type="spellEnd"/>
      <w:r>
        <w:t xml:space="preserve"> (</w:t>
      </w:r>
      <w:proofErr w:type="spellStart"/>
      <w:r>
        <w:t>Pinals</w:t>
      </w:r>
      <w:proofErr w:type="spellEnd"/>
      <w:r w:rsidR="005B19A3">
        <w:t>, 2007, s.</w:t>
      </w:r>
      <w:r>
        <w:t xml:space="preserve"> 40). Abychom dokázali vymezit možné</w:t>
      </w:r>
      <w:r w:rsidR="002D4EC0">
        <w:t xml:space="preserve"> příčiny vzniku i </w:t>
      </w:r>
      <w:r>
        <w:t>důsledky ex-partnerského pronásledování, je d</w:t>
      </w:r>
      <w:r w:rsidR="005B19A3">
        <w:t xml:space="preserve">ůležité pojem přesně definovat. </w:t>
      </w:r>
      <w:r>
        <w:t xml:space="preserve">Vymezení pojmu </w:t>
      </w:r>
      <w:r w:rsidR="005B19A3">
        <w:t>„</w:t>
      </w:r>
      <w:r>
        <w:t>stalking</w:t>
      </w:r>
      <w:r w:rsidR="005B19A3">
        <w:t>“</w:t>
      </w:r>
      <w:r>
        <w:t xml:space="preserve"> jsem </w:t>
      </w:r>
      <w:r w:rsidR="005B19A3">
        <w:t>se věnovala již v úvodu. P</w:t>
      </w:r>
      <w:r>
        <w:t xml:space="preserve">ozornost </w:t>
      </w:r>
      <w:r w:rsidR="002D4EC0">
        <w:t>by se však měla zaměřit na </w:t>
      </w:r>
      <w:r>
        <w:t xml:space="preserve">definování </w:t>
      </w:r>
      <w:r w:rsidR="005B19A3">
        <w:t>„</w:t>
      </w:r>
      <w:r>
        <w:t>partnerského vztahu</w:t>
      </w:r>
      <w:r w:rsidR="005B19A3">
        <w:t>“</w:t>
      </w:r>
      <w:r>
        <w:t xml:space="preserve">. </w:t>
      </w:r>
      <w:r w:rsidR="008F3B35" w:rsidRPr="002D4EC0">
        <w:t>Současná doba umožňuje</w:t>
      </w:r>
      <w:r>
        <w:t xml:space="preserve"> několik forem partnerského soužití. Kromě manželství či registrovaného partnerství volí velká část párů v</w:t>
      </w:r>
      <w:r w:rsidR="00FB0062">
        <w:t>ariantu nesezdaného soužití, je</w:t>
      </w:r>
      <w:r>
        <w:t>ž se v poslední době stalo jakýmsi trendem (</w:t>
      </w:r>
      <w:proofErr w:type="spellStart"/>
      <w:r w:rsidR="002D4EC0">
        <w:t>Gillernová</w:t>
      </w:r>
      <w:proofErr w:type="spellEnd"/>
      <w:r w:rsidR="002D4EC0">
        <w:t xml:space="preserve"> a </w:t>
      </w:r>
      <w:r w:rsidR="005B19A3">
        <w:t>kol., 2011, s. 15</w:t>
      </w:r>
      <w:r>
        <w:t xml:space="preserve">). </w:t>
      </w:r>
    </w:p>
    <w:p w:rsidR="00213B37" w:rsidRPr="00897717" w:rsidRDefault="005B19A3" w:rsidP="00213B37">
      <w:pPr>
        <w:pStyle w:val="StylPrvndek125cm"/>
      </w:pPr>
      <w:r>
        <w:t>Šulová (2007)</w:t>
      </w:r>
      <w:r w:rsidR="00213B37">
        <w:t xml:space="preserve"> příkladně </w:t>
      </w:r>
      <w:r w:rsidR="00213B37" w:rsidRPr="00717E62">
        <w:t>„chápe partnerské vztahy jako široký pojem, který se týká soužití dvou jedinců</w:t>
      </w:r>
      <w:r w:rsidR="00FB0062" w:rsidRPr="00717E62">
        <w:t>,</w:t>
      </w:r>
      <w:r w:rsidR="00213B37" w:rsidRPr="00717E62">
        <w:t xml:space="preserve"> včetně jedinců homosexuálních</w:t>
      </w:r>
      <w:r w:rsidR="00897717" w:rsidRPr="00717E62">
        <w:t xml:space="preserve">.“ </w:t>
      </w:r>
      <w:r w:rsidR="00897717">
        <w:t>Šul</w:t>
      </w:r>
      <w:r w:rsidR="00213B37">
        <w:t xml:space="preserve">ová </w:t>
      </w:r>
      <w:r w:rsidR="00897717">
        <w:t xml:space="preserve">(2007) </w:t>
      </w:r>
      <w:r w:rsidR="002D4EC0">
        <w:t>dále uvádí, že za </w:t>
      </w:r>
      <w:r w:rsidR="00213B37">
        <w:t>partnerství je rovn</w:t>
      </w:r>
      <w:r w:rsidR="00FB0062">
        <w:t>ěž považováno i manželství, které</w:t>
      </w:r>
      <w:r w:rsidR="00213B37">
        <w:t xml:space="preserve"> je společností legali</w:t>
      </w:r>
      <w:r w:rsidR="00FB0062">
        <w:t>zováno,</w:t>
      </w:r>
      <w:r w:rsidR="002D4EC0">
        <w:t xml:space="preserve"> a to </w:t>
      </w:r>
      <w:r w:rsidR="00213B37">
        <w:t>příkladně církví, státem</w:t>
      </w:r>
      <w:r w:rsidR="00FB0062">
        <w:t>,</w:t>
      </w:r>
      <w:r w:rsidR="00213B37">
        <w:t xml:space="preserve"> č</w:t>
      </w:r>
      <w:r>
        <w:t>i rituálem. Nemusí být vztahem</w:t>
      </w:r>
      <w:r w:rsidR="00213B37">
        <w:t>,</w:t>
      </w:r>
      <w:r w:rsidR="00897717">
        <w:t xml:space="preserve"> ve kterém jsou přítomny děti. </w:t>
      </w:r>
      <w:r w:rsidR="00213B37">
        <w:t xml:space="preserve">Obecně tedy můžeme říci, že </w:t>
      </w:r>
      <w:r w:rsidR="00213B37" w:rsidRPr="00717E62">
        <w:t>„partnerský vztah je soužití dvou jedinců, které může, avšak nemusí</w:t>
      </w:r>
      <w:r w:rsidR="00FB0062" w:rsidRPr="00717E62">
        <w:t>,</w:t>
      </w:r>
      <w:r w:rsidR="00213B37" w:rsidRPr="00717E62">
        <w:t xml:space="preserve"> být nějakým způsobem legalizováno. Jedinci spolu žijí ve v</w:t>
      </w:r>
      <w:r w:rsidR="00FB0062" w:rsidRPr="00717E62">
        <w:t>zájemné interakci</w:t>
      </w:r>
      <w:r w:rsidR="00213B37" w:rsidRPr="00717E62">
        <w:t xml:space="preserve"> a jsou spjati emocionální vazbou.“</w:t>
      </w:r>
      <w:r w:rsidR="00897717" w:rsidRPr="00717E62">
        <w:t xml:space="preserve"> </w:t>
      </w:r>
      <w:r w:rsidR="00897717">
        <w:t>(Šulová, 2007)</w:t>
      </w:r>
    </w:p>
    <w:p w:rsidR="00213B37" w:rsidRDefault="00213B37" w:rsidP="00213B37">
      <w:pPr>
        <w:pStyle w:val="StylPrvndek125cm"/>
      </w:pPr>
      <w:r>
        <w:lastRenderedPageBreak/>
        <w:t>Ve vztahu k stalkingu přichází s konkrétním vymezením ex-partnersk</w:t>
      </w:r>
      <w:r w:rsidR="00897717">
        <w:t xml:space="preserve">ého pronásledování </w:t>
      </w:r>
      <w:proofErr w:type="spellStart"/>
      <w:r w:rsidR="00897717">
        <w:t>Pinals</w:t>
      </w:r>
      <w:proofErr w:type="spellEnd"/>
      <w:r w:rsidR="00897717">
        <w:t xml:space="preserve"> (2007, s.</w:t>
      </w:r>
      <w:r>
        <w:t xml:space="preserve"> 11). Ten</w:t>
      </w:r>
      <w:r w:rsidR="00FA7BFA">
        <w:t xml:space="preserve"> uvádí</w:t>
      </w:r>
      <w:r>
        <w:t xml:space="preserve">, že </w:t>
      </w:r>
      <w:r w:rsidRPr="00717E62">
        <w:t>„pronásledování tohoto typu nezahrnuje pouze agresory z řad legálně uzavřených sňatků. Důležité je, zda před vznikem stalkingu agresor svoji oběť znal a měl s ní intimní poměr, aneb</w:t>
      </w:r>
      <w:r w:rsidR="002D4EC0">
        <w:t>o zda byli partnerským párem. V </w:t>
      </w:r>
      <w:r w:rsidRPr="00717E62">
        <w:t>případě, kdy je potvrzena skutečnost intimního vztahu, hovoříme o ex-partnerském pronásledování.“</w:t>
      </w:r>
      <w:r>
        <w:t xml:space="preserve"> (</w:t>
      </w:r>
      <w:proofErr w:type="spellStart"/>
      <w:r>
        <w:t>Pinals</w:t>
      </w:r>
      <w:proofErr w:type="spellEnd"/>
      <w:r w:rsidR="00897717">
        <w:t>, 2007, s.</w:t>
      </w:r>
      <w:r>
        <w:t xml:space="preserve"> 11)</w:t>
      </w:r>
    </w:p>
    <w:p w:rsidR="00213B37" w:rsidRDefault="00213B37" w:rsidP="007B47DA">
      <w:pPr>
        <w:pStyle w:val="Nadpis2"/>
      </w:pPr>
      <w:bookmarkStart w:id="14" w:name="_Toc383408599"/>
      <w:r>
        <w:t>Ex-partnerský stalking a zahraniční studie</w:t>
      </w:r>
      <w:bookmarkEnd w:id="14"/>
      <w:r>
        <w:t xml:space="preserve"> </w:t>
      </w:r>
    </w:p>
    <w:p w:rsidR="00213B37" w:rsidRDefault="00213B37" w:rsidP="00213B37">
      <w:pPr>
        <w:pStyle w:val="StylPrvndek125cm"/>
      </w:pPr>
      <w:r>
        <w:t>Zahraniční studie odhalují mimo jiné dvě základní skutečnosti</w:t>
      </w:r>
      <w:r w:rsidR="00FA7BFA">
        <w:t xml:space="preserve">. </w:t>
      </w:r>
      <w:r w:rsidR="00C420FB">
        <w:t>Ex-partnerský stalking je typem, který</w:t>
      </w:r>
      <w:r w:rsidR="00FA7BFA">
        <w:t xml:space="preserve"> </w:t>
      </w:r>
      <w:r w:rsidR="00C420FB">
        <w:t>v případech nebezpečného proná</w:t>
      </w:r>
      <w:r w:rsidR="002D4EC0">
        <w:t>sledování dominuje a uvádí se i </w:t>
      </w:r>
      <w:r w:rsidR="00C420FB">
        <w:t xml:space="preserve">vysoké </w:t>
      </w:r>
      <w:r>
        <w:t>riziko násilí</w:t>
      </w:r>
      <w:r w:rsidR="00C420FB">
        <w:t xml:space="preserve">. </w:t>
      </w:r>
      <w:r>
        <w:t>Eskalující problematika ex-partnerského násilí na sebe upoutala pozornost řady odborníků. Otázkou vztahu oběti a s</w:t>
      </w:r>
      <w:r w:rsidR="00C420FB">
        <w:t xml:space="preserve">talkera se zabývá i </w:t>
      </w:r>
      <w:proofErr w:type="spellStart"/>
      <w:r w:rsidR="00C420FB">
        <w:t>Meloy</w:t>
      </w:r>
      <w:proofErr w:type="spellEnd"/>
      <w:r w:rsidR="00C420FB">
        <w:t xml:space="preserve"> (2002, s. </w:t>
      </w:r>
      <w:r>
        <w:t>107). Ten</w:t>
      </w:r>
      <w:r w:rsidR="00C420FB">
        <w:t xml:space="preserve"> poukazuje na skutečnost</w:t>
      </w:r>
      <w:r>
        <w:t xml:space="preserve">, že ve většině případů nebezpečného pronásledování oběť svého pachatele znala, ba dokonce s ním intimně žila. </w:t>
      </w:r>
    </w:p>
    <w:p w:rsidR="00213B37" w:rsidRDefault="00C420FB" w:rsidP="00213B37">
      <w:pPr>
        <w:pStyle w:val="StylPrvndek125cm"/>
      </w:pPr>
      <w:proofErr w:type="spellStart"/>
      <w:r>
        <w:t>Pinals</w:t>
      </w:r>
      <w:proofErr w:type="spellEnd"/>
      <w:r>
        <w:t xml:space="preserve"> (2007, s.</w:t>
      </w:r>
      <w:r w:rsidR="00213B37">
        <w:t xml:space="preserve"> 11) přináší </w:t>
      </w:r>
      <w:r>
        <w:t>v níže uvedené tabulce (</w:t>
      </w:r>
      <w:r w:rsidR="00142603">
        <w:t>viz</w:t>
      </w:r>
      <w:r w:rsidR="00A41A33">
        <w:t xml:space="preserve"> </w:t>
      </w:r>
      <w:r>
        <w:t>Tab</w:t>
      </w:r>
      <w:r w:rsidR="00897717">
        <w:t>ulka č</w:t>
      </w:r>
      <w:r>
        <w:t>.</w:t>
      </w:r>
      <w:r w:rsidR="00213B37">
        <w:t xml:space="preserve"> 1</w:t>
      </w:r>
      <w:r>
        <w:t>) chronologicky seřazené výzkumy</w:t>
      </w:r>
      <w:r w:rsidR="00213B37">
        <w:t xml:space="preserve"> zabývající se mimo jiné i případy ex-partnerského stalkingu. Počet</w:t>
      </w:r>
      <w:r w:rsidR="00FB0062">
        <w:t xml:space="preserve"> případů je uveden v procentech</w:t>
      </w:r>
      <w:r w:rsidR="00213B37">
        <w:t xml:space="preserve"> a nalezneme jej ve čtvrtém sloupci tabulky. </w:t>
      </w:r>
    </w:p>
    <w:p w:rsidR="00213B37" w:rsidRDefault="00213B37" w:rsidP="00213B37">
      <w:pPr>
        <w:pStyle w:val="StylPrvndek125cm"/>
      </w:pPr>
      <w:r>
        <w:t>S ohledem na prof</w:t>
      </w:r>
      <w:r w:rsidR="00FB0062">
        <w:t>ilaci agresorů</w:t>
      </w:r>
      <w:r>
        <w:t xml:space="preserve"> se postupně zjistilo, že převážná část </w:t>
      </w:r>
      <w:r w:rsidR="00A65BBF">
        <w:t xml:space="preserve">stalkerů </w:t>
      </w:r>
      <w:r>
        <w:t>(76%) jsou skutečně bývalí partneři</w:t>
      </w:r>
      <w:r w:rsidR="00C420FB">
        <w:t xml:space="preserve"> obětí (Dressing a kol., 2005, s.</w:t>
      </w:r>
      <w:r>
        <w:t xml:space="preserve"> 169). </w:t>
      </w:r>
    </w:p>
    <w:p w:rsidR="00213B37" w:rsidRDefault="00213B37" w:rsidP="00213B37">
      <w:pPr>
        <w:pStyle w:val="StylPrvndek125cm"/>
      </w:pPr>
      <w:r>
        <w:t>Jiná americká studie</w:t>
      </w:r>
      <w:r w:rsidR="00FB0062">
        <w:t>,</w:t>
      </w:r>
      <w:r>
        <w:t xml:space="preserve"> zabývající se násilí</w:t>
      </w:r>
      <w:r w:rsidR="00F62C3D">
        <w:t>m</w:t>
      </w:r>
      <w:r w:rsidR="00FB0062">
        <w:t xml:space="preserve"> páchaným</w:t>
      </w:r>
      <w:r>
        <w:t xml:space="preserve"> na ženách</w:t>
      </w:r>
      <w:r w:rsidR="00FB0062">
        <w:t>,</w:t>
      </w:r>
      <w:r w:rsidR="00F62C3D">
        <w:t xml:space="preserve"> </w:t>
      </w:r>
      <w:r>
        <w:t>přináší fakta</w:t>
      </w:r>
      <w:r w:rsidR="00FB0062">
        <w:t>,</w:t>
      </w:r>
      <w:r>
        <w:t xml:space="preserve"> týkající se znásilnění a fyzických napadení současnými</w:t>
      </w:r>
      <w:r w:rsidR="00A65BBF">
        <w:t xml:space="preserve"> i bývalými partnery. P</w:t>
      </w:r>
      <w:r>
        <w:t xml:space="preserve">růzkum odhalil, že počet pronásledovaných žen v uplynulém roce byl pětkrát vyšší, než se původně předpokládalo, což zaskočilo i odbornou veřejnost </w:t>
      </w:r>
      <w:r w:rsidRPr="00D559F0">
        <w:t>(</w:t>
      </w:r>
      <w:proofErr w:type="spellStart"/>
      <w:r w:rsidRPr="00D559F0">
        <w:t>Tjaden</w:t>
      </w:r>
      <w:proofErr w:type="spellEnd"/>
      <w:r w:rsidRPr="00D559F0">
        <w:t xml:space="preserve">, </w:t>
      </w:r>
      <w:proofErr w:type="spellStart"/>
      <w:r w:rsidRPr="00D559F0">
        <w:t>Tho</w:t>
      </w:r>
      <w:r w:rsidR="00B56D18" w:rsidRPr="00D559F0">
        <w:t>e</w:t>
      </w:r>
      <w:r w:rsidRPr="00D559F0">
        <w:t>nnes</w:t>
      </w:r>
      <w:proofErr w:type="spellEnd"/>
      <w:r w:rsidR="00A65BBF" w:rsidRPr="00D559F0">
        <w:t>, 1998</w:t>
      </w:r>
      <w:r w:rsidR="00D559F0" w:rsidRPr="00D559F0">
        <w:t>b</w:t>
      </w:r>
      <w:r w:rsidR="00A65BBF" w:rsidRPr="00D559F0">
        <w:t>, s.</w:t>
      </w:r>
      <w:r w:rsidR="000F2C4C" w:rsidRPr="00D559F0">
        <w:t xml:space="preserve"> 10-</w:t>
      </w:r>
      <w:r w:rsidRPr="00D559F0">
        <w:t>11).</w:t>
      </w:r>
    </w:p>
    <w:p w:rsidR="00213B37" w:rsidRDefault="00F62C3D" w:rsidP="00213B37">
      <w:pPr>
        <w:pStyle w:val="StylPrvndek125cm"/>
      </w:pPr>
      <w:r>
        <w:t>Eskalací partnerského násilí se</w:t>
      </w:r>
      <w:r w:rsidR="00ED07A9">
        <w:t xml:space="preserve"> zabývá</w:t>
      </w:r>
      <w:r>
        <w:t xml:space="preserve"> i </w:t>
      </w:r>
      <w:proofErr w:type="spellStart"/>
      <w:r w:rsidR="00B10174">
        <w:t>Fritz</w:t>
      </w:r>
      <w:proofErr w:type="spellEnd"/>
      <w:r w:rsidR="00B10174">
        <w:t xml:space="preserve"> (1995, podle </w:t>
      </w:r>
      <w:proofErr w:type="spellStart"/>
      <w:r w:rsidR="00213B37">
        <w:t>Kamhuis</w:t>
      </w:r>
      <w:proofErr w:type="spellEnd"/>
      <w:r w:rsidR="00B10174">
        <w:t xml:space="preserve"> a kol., 2000, s.</w:t>
      </w:r>
      <w:r w:rsidR="002D4EC0">
        <w:t> </w:t>
      </w:r>
      <w:r w:rsidR="00213B37">
        <w:t>2</w:t>
      </w:r>
      <w:r>
        <w:t>07)</w:t>
      </w:r>
      <w:r w:rsidR="00FB0062">
        <w:t>. Udává, že v</w:t>
      </w:r>
      <w:r w:rsidR="00213B37">
        <w:t xml:space="preserve"> 90% případů za</w:t>
      </w:r>
      <w:r w:rsidR="00FB0062">
        <w:t>vražděných žen bývalým manželem</w:t>
      </w:r>
      <w:r w:rsidR="00213B37">
        <w:t xml:space="preserve"> předcházelo trestnému činu</w:t>
      </w:r>
      <w:r w:rsidR="00B10174">
        <w:t xml:space="preserve"> pronásledování. </w:t>
      </w:r>
      <w:proofErr w:type="spellStart"/>
      <w:r w:rsidR="00B10174">
        <w:t>Kamphuis</w:t>
      </w:r>
      <w:proofErr w:type="spellEnd"/>
      <w:r w:rsidR="00B10174">
        <w:t xml:space="preserve"> (2000, s.</w:t>
      </w:r>
      <w:r w:rsidR="00213B37">
        <w:t xml:space="preserve"> 207) vš</w:t>
      </w:r>
      <w:r w:rsidR="008351A4">
        <w:t>ak upozorňuje, že tato čísla by </w:t>
      </w:r>
      <w:r w:rsidR="00213B37">
        <w:t>neměla být bezvýhradně vztahována na E</w:t>
      </w:r>
      <w:r w:rsidR="002E403E">
        <w:t xml:space="preserve">vropské </w:t>
      </w:r>
      <w:r w:rsidR="002E403E" w:rsidRPr="002D4EC0">
        <w:t>poměry</w:t>
      </w:r>
      <w:r w:rsidR="00934AD7" w:rsidRPr="002D4EC0">
        <w:t>,</w:t>
      </w:r>
      <w:r w:rsidR="00213B37" w:rsidRPr="002D4EC0">
        <w:t xml:space="preserve"> a to</w:t>
      </w:r>
      <w:r w:rsidR="00213B37">
        <w:t xml:space="preserve"> především s ohled</w:t>
      </w:r>
      <w:r w:rsidR="002D4EC0">
        <w:t>em na </w:t>
      </w:r>
      <w:r w:rsidR="00213B37">
        <w:t>podmínky</w:t>
      </w:r>
      <w:r w:rsidR="002E403E">
        <w:t>,</w:t>
      </w:r>
      <w:r w:rsidR="00213B37">
        <w:t xml:space="preserve"> týkající se dostupnosti a držení střelných zbraní.</w:t>
      </w:r>
    </w:p>
    <w:p w:rsidR="00213B37" w:rsidRDefault="00213B37" w:rsidP="00213B37">
      <w:pPr>
        <w:pStyle w:val="StylPrvndek125cm"/>
      </w:pPr>
      <w:r>
        <w:t>Tato kapitola rozhodně nepřináší vyčerpávající př</w:t>
      </w:r>
      <w:r w:rsidR="002D4EC0">
        <w:t>ehled všech dostupných studií a </w:t>
      </w:r>
      <w:r>
        <w:t>informací, nýbrž poukazuje na nebezpečnost ex-partnerské</w:t>
      </w:r>
      <w:r w:rsidR="002E403E">
        <w:t>ho</w:t>
      </w:r>
      <w:r w:rsidR="002D4EC0">
        <w:t xml:space="preserve"> pronásledování. O tom, že </w:t>
      </w:r>
      <w:r>
        <w:t>je v současné době velká pozornost soustředěna právě na tento typ pronásledov</w:t>
      </w:r>
      <w:r w:rsidR="00B10174">
        <w:t>ání</w:t>
      </w:r>
      <w:r w:rsidR="002E403E">
        <w:t>,</w:t>
      </w:r>
      <w:r w:rsidR="002D4EC0">
        <w:t xml:space="preserve"> se </w:t>
      </w:r>
      <w:r w:rsidR="00B10174">
        <w:t>zmiňuje i Čírtková (2004, s.</w:t>
      </w:r>
      <w:r>
        <w:t xml:space="preserve"> 234). Ex-partnerský stalking je ve většině případů úzce </w:t>
      </w:r>
      <w:r>
        <w:lastRenderedPageBreak/>
        <w:t>spjat s domácím násilím. Pro tento případ byl dokonce ve velké Británii vyvinut posuzovací systém SARA (</w:t>
      </w:r>
      <w:proofErr w:type="spellStart"/>
      <w:r>
        <w:t>Spousal</w:t>
      </w:r>
      <w:proofErr w:type="spellEnd"/>
      <w:r>
        <w:t xml:space="preserve"> </w:t>
      </w:r>
      <w:proofErr w:type="spellStart"/>
      <w:r>
        <w:t>Assault</w:t>
      </w:r>
      <w:proofErr w:type="spellEnd"/>
      <w:r>
        <w:t xml:space="preserve"> Risk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), který napomáhá odhalit </w:t>
      </w:r>
      <w:r w:rsidR="00B10174">
        <w:t>riziko partnerského násilí.</w:t>
      </w:r>
    </w:p>
    <w:p w:rsidR="005C0511" w:rsidRDefault="00213B37" w:rsidP="005C0511">
      <w:pPr>
        <w:pStyle w:val="StylPrvndek125cm"/>
      </w:pPr>
      <w:r>
        <w:t xml:space="preserve">Velmi podrobné zmapování dostupných studií </w:t>
      </w:r>
      <w:r w:rsidR="00B10174">
        <w:t>týkajících se ex-partnerského</w:t>
      </w:r>
      <w:r>
        <w:t xml:space="preserve"> pronásledování na</w:t>
      </w:r>
      <w:r w:rsidR="00B10174">
        <w:t xml:space="preserve">bízí příkladně i </w:t>
      </w:r>
      <w:proofErr w:type="spellStart"/>
      <w:r w:rsidR="00B10174">
        <w:t>Sheridan</w:t>
      </w:r>
      <w:proofErr w:type="spellEnd"/>
      <w:r w:rsidR="00B10174">
        <w:t xml:space="preserve"> (2003, s. 155) nebo </w:t>
      </w:r>
      <w:proofErr w:type="spellStart"/>
      <w:r w:rsidR="00B10174">
        <w:t>Meloy</w:t>
      </w:r>
      <w:proofErr w:type="spellEnd"/>
      <w:r w:rsidR="00B10174">
        <w:t xml:space="preserve"> (2002, s.</w:t>
      </w:r>
      <w:r>
        <w:t xml:space="preserve"> 112).</w:t>
      </w:r>
    </w:p>
    <w:p w:rsidR="00213B37" w:rsidRDefault="005C0511" w:rsidP="008F3B35">
      <w:pPr>
        <w:pStyle w:val="StylPrvndek125cm"/>
        <w:jc w:val="left"/>
      </w:pPr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0"/>
        <w:gridCol w:w="1835"/>
        <w:gridCol w:w="2006"/>
        <w:gridCol w:w="1979"/>
        <w:gridCol w:w="1693"/>
      </w:tblGrid>
      <w:tr w:rsidR="007B47DA" w:rsidRPr="007B47DA" w:rsidTr="00C9568B">
        <w:trPr>
          <w:trHeight w:val="1039"/>
        </w:trPr>
        <w:tc>
          <w:tcPr>
            <w:tcW w:w="8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Studie/Rok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b/>
                <w:sz w:val="20"/>
                <w:szCs w:val="20"/>
                <w:lang w:eastAsia="en-US"/>
              </w:rPr>
              <w:t>Příklad/Metoda</w:t>
            </w:r>
          </w:p>
        </w:tc>
        <w:tc>
          <w:tcPr>
            <w:tcW w:w="11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b/>
                <w:sz w:val="20"/>
                <w:szCs w:val="20"/>
                <w:lang w:eastAsia="en-US"/>
              </w:rPr>
              <w:t>Procenta pronásledovaných obětí</w:t>
            </w:r>
          </w:p>
        </w:tc>
        <w:tc>
          <w:tcPr>
            <w:tcW w:w="109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b/>
                <w:sz w:val="20"/>
                <w:szCs w:val="20"/>
                <w:lang w:eastAsia="en-US"/>
              </w:rPr>
              <w:t>Pronásledovatelé</w:t>
            </w:r>
          </w:p>
        </w:tc>
        <w:tc>
          <w:tcPr>
            <w:tcW w:w="94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b/>
                <w:sz w:val="20"/>
                <w:szCs w:val="20"/>
                <w:lang w:eastAsia="en-US"/>
              </w:rPr>
              <w:t>Trvání pronásledování</w:t>
            </w:r>
          </w:p>
        </w:tc>
      </w:tr>
      <w:tr w:rsidR="007B47DA" w:rsidRPr="007B47DA" w:rsidTr="00C9568B">
        <w:trPr>
          <w:trHeight w:val="1088"/>
        </w:trPr>
        <w:tc>
          <w:tcPr>
            <w:tcW w:w="82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Australský statistický výbor (ABS), 1996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4037E4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="007B47DA" w:rsidRPr="00B10174">
              <w:rPr>
                <w:rFonts w:eastAsia="Calibri"/>
                <w:sz w:val="20"/>
                <w:szCs w:val="20"/>
                <w:lang w:eastAsia="en-US"/>
              </w:rPr>
              <w:t> Austrálii prošlo průzkumem 6 300 žen</w:t>
            </w:r>
          </w:p>
        </w:tc>
        <w:tc>
          <w:tcPr>
            <w:tcW w:w="1114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7DA" w:rsidRPr="00B10174" w:rsidRDefault="007B47DA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Ženy: 15% 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  <w:p w:rsidR="007B47DA" w:rsidRPr="00B10174" w:rsidRDefault="007B47DA" w:rsidP="008F3B35">
            <w:pPr>
              <w:spacing w:before="12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4037E4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Většinou neznámé osoby</w:t>
            </w:r>
          </w:p>
        </w:tc>
        <w:tc>
          <w:tcPr>
            <w:tcW w:w="940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30% &gt; 1měsíc</w:t>
            </w:r>
          </w:p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25% = 6 měsíců až 2 roky</w:t>
            </w:r>
          </w:p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15% &gt; 2 roky</w:t>
            </w:r>
          </w:p>
        </w:tc>
      </w:tr>
      <w:tr w:rsidR="007B47DA" w:rsidRPr="007B47DA" w:rsidTr="00C9568B">
        <w:tc>
          <w:tcPr>
            <w:tcW w:w="8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Národní institut spravedlnosti (NIJ)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i a Centrum pro kontrolu a prevenci nemocí (CDC), 1998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4037E4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t>e Spojených s</w:t>
            </w:r>
            <w:r w:rsidR="007B47DA" w:rsidRPr="00B10174">
              <w:rPr>
                <w:rFonts w:eastAsia="Calibri"/>
                <w:sz w:val="20"/>
                <w:szCs w:val="20"/>
                <w:lang w:eastAsia="en-US"/>
              </w:rPr>
              <w:t>tátech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t xml:space="preserve"> amerických prošlo průzkumem </w:t>
            </w:r>
            <w:r w:rsidR="007B47DA" w:rsidRPr="00B10174">
              <w:rPr>
                <w:rFonts w:eastAsia="Calibri"/>
                <w:sz w:val="20"/>
                <w:szCs w:val="20"/>
                <w:lang w:eastAsia="en-US"/>
              </w:rPr>
              <w:t>8 000 dospělých mužů a 8 000 žen rozhovorem po telefonu.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Ženy: 8% 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t xml:space="preserve">pronásledovaných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Muži: 2% </w:t>
            </w:r>
            <w:r w:rsidR="0067225E">
              <w:rPr>
                <w:rFonts w:eastAsia="Calibri"/>
                <w:sz w:val="20"/>
                <w:szCs w:val="20"/>
                <w:lang w:eastAsia="en-US"/>
              </w:rPr>
              <w:t xml:space="preserve">pronásledovaných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7B47DA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59% 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tvořili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bývalí intimní partneři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8F3B35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50% &gt; 1rok</w:t>
            </w:r>
          </w:p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25% = 2-3 roky</w:t>
            </w:r>
          </w:p>
          <w:p w:rsidR="007B47DA" w:rsidRPr="00B10174" w:rsidRDefault="007B47DA" w:rsidP="008F3B35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10% &gt; 5 roky</w:t>
            </w:r>
          </w:p>
        </w:tc>
      </w:tr>
      <w:tr w:rsidR="007B47DA" w:rsidRPr="007B47DA" w:rsidTr="00C9568B">
        <w:trPr>
          <w:trHeight w:val="1757"/>
        </w:trPr>
        <w:tc>
          <w:tcPr>
            <w:tcW w:w="8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Průzkum kriminality v Británii (BCS), 1998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10 000 mužů a žen prošlo rozhovorem tváří v tvář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Ženy: 16% 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  <w:p w:rsidR="007B47DA" w:rsidRPr="00B10174" w:rsidRDefault="004037E4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Muži: 7% pronásledovaných v </w:t>
            </w:r>
            <w:r w:rsidR="007B47DA" w:rsidRPr="00B10174">
              <w:rPr>
                <w:rFonts w:eastAsia="Calibri"/>
                <w:sz w:val="20"/>
                <w:szCs w:val="20"/>
                <w:lang w:eastAsia="en-US"/>
              </w:rPr>
              <w:t>minulosti;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3% mužů i žen 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předchozím roce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4037E4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33% </w:t>
            </w:r>
            <w:r w:rsidR="007B47DA" w:rsidRPr="00B10174">
              <w:rPr>
                <w:rFonts w:eastAsia="Calibri"/>
                <w:sz w:val="20"/>
                <w:szCs w:val="20"/>
                <w:lang w:eastAsia="en-US"/>
              </w:rPr>
              <w:t>neznámé osoby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29% </w:t>
            </w:r>
            <w:r w:rsidR="0066772A" w:rsidRPr="00B10174">
              <w:rPr>
                <w:rFonts w:eastAsia="Calibri"/>
                <w:sz w:val="20"/>
                <w:szCs w:val="20"/>
                <w:lang w:eastAsia="en-US"/>
              </w:rPr>
              <w:t xml:space="preserve">blízké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26% 1-3 měsíce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19% &gt; 1 rok</w:t>
            </w:r>
          </w:p>
        </w:tc>
      </w:tr>
      <w:tr w:rsidR="007B47DA" w:rsidRPr="007B47DA" w:rsidTr="00C9568B">
        <w:tc>
          <w:tcPr>
            <w:tcW w:w="8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Louisiana, 1998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1 171 žen prošlo rozhovorem po telefonu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Ženy: 15%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 xml:space="preserve"> pronásledovaných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 v minulosti;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2% 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aktuálním roce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51% bývalí intimní partneři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33%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blízké</w:t>
            </w:r>
            <w:r w:rsidR="0066772A" w:rsidRPr="00B101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osoby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13% neznámé osoby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15%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pronásledova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ých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celoživotně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2%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 xml:space="preserve"> pronásledovaných v současnosti</w:t>
            </w:r>
          </w:p>
        </w:tc>
      </w:tr>
      <w:tr w:rsidR="007B47DA" w:rsidRPr="007B47DA" w:rsidTr="00C9568B">
        <w:tc>
          <w:tcPr>
            <w:tcW w:w="8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10174">
              <w:rPr>
                <w:rFonts w:eastAsia="Calibri"/>
                <w:sz w:val="20"/>
                <w:szCs w:val="20"/>
                <w:lang w:eastAsia="en-US"/>
              </w:rPr>
              <w:t>Purcell</w:t>
            </w:r>
            <w:proofErr w:type="spellEnd"/>
            <w:r w:rsidRPr="00B10174">
              <w:rPr>
                <w:rFonts w:eastAsia="Calibri"/>
                <w:sz w:val="20"/>
                <w:szCs w:val="20"/>
                <w:lang w:eastAsia="en-US"/>
              </w:rPr>
              <w:t>, 1999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3 700 dospělých osob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B35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Muži a ženy: 33%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minulosti;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2,9%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  <w:r w:rsidR="004037E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předchozím roce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57%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blízké</w:t>
            </w:r>
            <w:r w:rsidR="0066772A" w:rsidRPr="00B101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10% &gt; 1 rok</w:t>
            </w:r>
          </w:p>
        </w:tc>
      </w:tr>
      <w:tr w:rsidR="007B47DA" w:rsidRPr="007B47DA" w:rsidTr="00C9568B">
        <w:trPr>
          <w:trHeight w:val="1679"/>
        </w:trPr>
        <w:tc>
          <w:tcPr>
            <w:tcW w:w="82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Německo, 2005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1 000 mužů a 1 000 žen;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400 žen a 200 mužů odpovídalo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br/>
              <w:t>e-mailem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Muži a Ženy: 11,6%</w:t>
            </w:r>
          </w:p>
          <w:p w:rsidR="0066772A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Ženy: 17%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pronásledovaných</w:t>
            </w:r>
          </w:p>
          <w:p w:rsidR="007B47DA" w:rsidRPr="00B10174" w:rsidRDefault="007B47DA" w:rsidP="00E343F3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Muži: 4%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 xml:space="preserve">pronásledovaných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v minulosti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 xml:space="preserve">76% </w:t>
            </w:r>
            <w:r w:rsidR="0066772A">
              <w:rPr>
                <w:rFonts w:eastAsia="Calibri"/>
                <w:sz w:val="20"/>
                <w:szCs w:val="20"/>
                <w:lang w:eastAsia="en-US"/>
              </w:rPr>
              <w:t>blízké</w:t>
            </w:r>
            <w:r w:rsidR="0066772A" w:rsidRPr="00B101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0174">
              <w:rPr>
                <w:rFonts w:eastAsia="Calibri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47DA" w:rsidRPr="00B10174" w:rsidRDefault="007B47DA" w:rsidP="00E343F3">
            <w:pPr>
              <w:spacing w:before="12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17% = 1 měsíc</w:t>
            </w:r>
          </w:p>
          <w:p w:rsidR="007B47DA" w:rsidRPr="00B10174" w:rsidRDefault="007B47DA" w:rsidP="00E343F3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0174">
              <w:rPr>
                <w:rFonts w:eastAsia="Calibri"/>
                <w:sz w:val="20"/>
                <w:szCs w:val="20"/>
                <w:lang w:eastAsia="en-US"/>
              </w:rPr>
              <w:t>24% &gt; 1 rok</w:t>
            </w:r>
          </w:p>
        </w:tc>
      </w:tr>
    </w:tbl>
    <w:p w:rsidR="007B47DA" w:rsidRPr="002D6201" w:rsidRDefault="00672A99" w:rsidP="002D6201">
      <w:pPr>
        <w:pStyle w:val="StylPrvndek125cm"/>
        <w:spacing w:before="240"/>
        <w:ind w:firstLine="0"/>
        <w:jc w:val="center"/>
        <w:rPr>
          <w:i/>
        </w:rPr>
      </w:pPr>
      <w:r w:rsidRPr="002D6201">
        <w:rPr>
          <w:i/>
        </w:rPr>
        <w:t>Tab</w:t>
      </w:r>
      <w:r w:rsidR="000F2C4C" w:rsidRPr="002D6201">
        <w:rPr>
          <w:i/>
        </w:rPr>
        <w:t>ulka č.</w:t>
      </w:r>
      <w:r w:rsidRPr="002D6201">
        <w:rPr>
          <w:i/>
        </w:rPr>
        <w:t xml:space="preserve"> 1: Přehled výsledků empirických studí o pronásledování oběti</w:t>
      </w:r>
      <w:r w:rsidR="002D6201" w:rsidRPr="002D6201">
        <w:rPr>
          <w:szCs w:val="24"/>
        </w:rPr>
        <w:t xml:space="preserve"> </w:t>
      </w:r>
      <w:r w:rsidR="002D6201">
        <w:rPr>
          <w:szCs w:val="24"/>
        </w:rPr>
        <w:br/>
        <w:t>(</w:t>
      </w:r>
      <w:proofErr w:type="spellStart"/>
      <w:r w:rsidR="002D6201">
        <w:rPr>
          <w:i/>
        </w:rPr>
        <w:t>Pinals</w:t>
      </w:r>
      <w:proofErr w:type="spellEnd"/>
      <w:r w:rsidR="002D6201">
        <w:rPr>
          <w:i/>
        </w:rPr>
        <w:t xml:space="preserve">, </w:t>
      </w:r>
      <w:r w:rsidR="002D6201" w:rsidRPr="002D6201">
        <w:rPr>
          <w:i/>
        </w:rPr>
        <w:t>2007, s. 11)</w:t>
      </w:r>
      <w:r w:rsidR="00BB5E27">
        <w:rPr>
          <w:i/>
        </w:rPr>
        <w:t>.</w:t>
      </w:r>
    </w:p>
    <w:p w:rsidR="007B47DA" w:rsidRDefault="007B47DA" w:rsidP="00213B37">
      <w:pPr>
        <w:pStyle w:val="StylPrvndek125cm"/>
      </w:pPr>
    </w:p>
    <w:p w:rsidR="00213B37" w:rsidRDefault="00213B37" w:rsidP="007B47DA">
      <w:pPr>
        <w:pStyle w:val="Nadpis2"/>
      </w:pPr>
      <w:bookmarkStart w:id="15" w:name="_Toc383408600"/>
      <w:r>
        <w:lastRenderedPageBreak/>
        <w:t>Aktéři ex-partnerského stalkingu</w:t>
      </w:r>
      <w:bookmarkEnd w:id="15"/>
      <w:r>
        <w:t xml:space="preserve"> </w:t>
      </w:r>
    </w:p>
    <w:p w:rsidR="00213B37" w:rsidRDefault="00213B37" w:rsidP="00213B37">
      <w:pPr>
        <w:pStyle w:val="StylPrvndek125cm"/>
      </w:pPr>
      <w:r>
        <w:t>Stejně</w:t>
      </w:r>
      <w:r w:rsidR="00E312AE">
        <w:t xml:space="preserve"> tak</w:t>
      </w:r>
      <w:r w:rsidR="002E403E">
        <w:t>,</w:t>
      </w:r>
      <w:r>
        <w:t xml:space="preserve"> jako</w:t>
      </w:r>
      <w:r w:rsidR="00E312AE">
        <w:t xml:space="preserve"> není jednoduché rozpoznat potencionální oběť</w:t>
      </w:r>
      <w:r>
        <w:t xml:space="preserve"> stalkingu</w:t>
      </w:r>
      <w:r w:rsidR="00E312AE">
        <w:t>,</w:t>
      </w:r>
      <w:r>
        <w:t xml:space="preserve"> není </w:t>
      </w:r>
      <w:r w:rsidR="00E312AE">
        <w:t xml:space="preserve">jednoduché rozpoznat ani </w:t>
      </w:r>
      <w:r>
        <w:t xml:space="preserve">potenciálního pachatele. Navzdory tomu zachycuje řada studií obdobné </w:t>
      </w:r>
      <w:r w:rsidR="00E312AE">
        <w:t xml:space="preserve">charakteristiky </w:t>
      </w:r>
      <w:r>
        <w:t>u obětí i</w:t>
      </w:r>
      <w:r w:rsidR="00E312AE">
        <w:t xml:space="preserve"> pachatelů</w:t>
      </w:r>
      <w:r>
        <w:t xml:space="preserve">. Dle těchto typických znaků lze lépe rozpoznat možné riziko </w:t>
      </w:r>
      <w:r w:rsidR="00E312AE">
        <w:t xml:space="preserve">vzniku </w:t>
      </w:r>
      <w:r>
        <w:t xml:space="preserve">ex-partnerského pronásledování. </w:t>
      </w:r>
      <w:r w:rsidR="00E312AE">
        <w:t xml:space="preserve">Kapitola přináší kromě stručných charakteristik i velmi důležité informace o technikách stalkera. </w:t>
      </w:r>
      <w:r>
        <w:t>Pro sociální práci</w:t>
      </w:r>
      <w:r w:rsidR="00E312AE">
        <w:t xml:space="preserve"> může být </w:t>
      </w:r>
      <w:r>
        <w:t xml:space="preserve">tento poznatek velmi </w:t>
      </w:r>
      <w:r w:rsidRPr="002D4EC0">
        <w:t>důležitý</w:t>
      </w:r>
      <w:r w:rsidR="00934AD7" w:rsidRPr="002D4EC0">
        <w:t>,</w:t>
      </w:r>
      <w:r w:rsidRPr="002D4EC0">
        <w:t xml:space="preserve"> </w:t>
      </w:r>
      <w:r w:rsidR="00E312AE" w:rsidRPr="002D4EC0">
        <w:t>a to</w:t>
      </w:r>
      <w:r w:rsidR="00E312AE">
        <w:t xml:space="preserve"> zejména </w:t>
      </w:r>
      <w:r>
        <w:t xml:space="preserve">proto, aby došlo ke včasné </w:t>
      </w:r>
      <w:r w:rsidR="00E312AE">
        <w:t xml:space="preserve">identifikaci problému </w:t>
      </w:r>
      <w:r>
        <w:t xml:space="preserve">a </w:t>
      </w:r>
      <w:r w:rsidR="00E312AE">
        <w:t xml:space="preserve">rovněž i zahájení účinné pomoci. </w:t>
      </w:r>
    </w:p>
    <w:p w:rsidR="00213B37" w:rsidRDefault="00213B37" w:rsidP="007B47DA">
      <w:pPr>
        <w:pStyle w:val="Nadpis3"/>
      </w:pPr>
      <w:bookmarkStart w:id="16" w:name="_Toc383408601"/>
      <w:r>
        <w:t>Charakteristika oběti</w:t>
      </w:r>
      <w:bookmarkEnd w:id="16"/>
      <w:r>
        <w:t xml:space="preserve"> </w:t>
      </w:r>
    </w:p>
    <w:p w:rsidR="00213B37" w:rsidRDefault="00213B37" w:rsidP="000F2C4C">
      <w:pPr>
        <w:pStyle w:val="StylPrvndek125cm"/>
      </w:pPr>
      <w:r>
        <w:t>Výzkumy ukazují, že většina obětí ex-partnerského</w:t>
      </w:r>
      <w:r w:rsidR="002D4EC0">
        <w:t xml:space="preserve"> pronásledování jsou ženy (</w:t>
      </w:r>
      <w:proofErr w:type="gramStart"/>
      <w:r w:rsidR="002D4EC0">
        <w:t>62%) </w:t>
      </w:r>
      <w:r>
        <w:t>(Logan</w:t>
      </w:r>
      <w:proofErr w:type="gramEnd"/>
      <w:r w:rsidR="00707D7A">
        <w:t>,</w:t>
      </w:r>
      <w:r>
        <w:t xml:space="preserve"> 2010,</w:t>
      </w:r>
      <w:r w:rsidR="00707D7A">
        <w:t xml:space="preserve"> s.</w:t>
      </w:r>
      <w:r>
        <w:t xml:space="preserve"> 3). Největš</w:t>
      </w:r>
      <w:r w:rsidR="002E403E">
        <w:t>í skupinu pronásledovaných</w:t>
      </w:r>
      <w:r>
        <w:t xml:space="preserve"> tvoří </w:t>
      </w:r>
      <w:r w:rsidR="00707D7A">
        <w:t>osoby mezi 18</w:t>
      </w:r>
      <w:r w:rsidR="002E403E">
        <w:t>.</w:t>
      </w:r>
      <w:r w:rsidR="002D4EC0">
        <w:t> až </w:t>
      </w:r>
      <w:r w:rsidR="00707D7A">
        <w:t>30</w:t>
      </w:r>
      <w:r w:rsidR="002E403E">
        <w:t>.</w:t>
      </w:r>
      <w:r w:rsidR="002D4EC0">
        <w:t> rokem </w:t>
      </w:r>
      <w:r w:rsidR="00707D7A">
        <w:t>(</w:t>
      </w:r>
      <w:proofErr w:type="spellStart"/>
      <w:r w:rsidR="00707D7A">
        <w:t>Hall</w:t>
      </w:r>
      <w:proofErr w:type="spellEnd"/>
      <w:r w:rsidR="00707D7A">
        <w:t xml:space="preserve">, 1998; </w:t>
      </w:r>
      <w:proofErr w:type="spellStart"/>
      <w:r w:rsidR="00707D7A">
        <w:t>Tjaden</w:t>
      </w:r>
      <w:proofErr w:type="spellEnd"/>
      <w:r w:rsidR="00707D7A">
        <w:t xml:space="preserve"> a </w:t>
      </w:r>
      <w:proofErr w:type="spellStart"/>
      <w:r w:rsidR="00707D7A">
        <w:t>Thoennes</w:t>
      </w:r>
      <w:proofErr w:type="spellEnd"/>
      <w:r w:rsidR="00707D7A">
        <w:t>, 1998, podle</w:t>
      </w:r>
      <w:r>
        <w:t xml:space="preserve"> </w:t>
      </w:r>
      <w:proofErr w:type="spellStart"/>
      <w:r>
        <w:t>Sheridan</w:t>
      </w:r>
      <w:proofErr w:type="spellEnd"/>
      <w:r w:rsidR="00707D7A">
        <w:t>, 2003, s. 154</w:t>
      </w:r>
      <w:r w:rsidR="000F2C4C">
        <w:t xml:space="preserve">). V případě </w:t>
      </w:r>
      <w:r>
        <w:t>ex-partnerského stalkingu</w:t>
      </w:r>
      <w:r w:rsidR="00D32172">
        <w:t xml:space="preserve"> však může jít i o osoby starší. </w:t>
      </w:r>
      <w:r w:rsidR="002D4EC0">
        <w:t>Věk není tolik podstatný, neboť </w:t>
      </w:r>
      <w:r>
        <w:t>hlavním motivem k</w:t>
      </w:r>
      <w:r w:rsidR="00D32172">
        <w:t> </w:t>
      </w:r>
      <w:r>
        <w:t xml:space="preserve">pronásledování je </w:t>
      </w:r>
      <w:r w:rsidR="000D4D8C">
        <w:t xml:space="preserve">především </w:t>
      </w:r>
      <w:r>
        <w:t>ukončení partnerského vztahu (</w:t>
      </w:r>
      <w:proofErr w:type="spellStart"/>
      <w:r>
        <w:t>Hall</w:t>
      </w:r>
      <w:proofErr w:type="spellEnd"/>
      <w:r w:rsidR="00D32172">
        <w:t>, 1998, s.</w:t>
      </w:r>
      <w:r>
        <w:t xml:space="preserve"> 122).</w:t>
      </w:r>
    </w:p>
    <w:p w:rsidR="00213B37" w:rsidRDefault="00213B37" w:rsidP="00213B37">
      <w:pPr>
        <w:pStyle w:val="StylPrvndek125cm"/>
      </w:pPr>
      <w:r>
        <w:t xml:space="preserve">Obecně se hovoří o tom, že osoby </w:t>
      </w:r>
      <w:r w:rsidR="00707D7A">
        <w:t xml:space="preserve">zasažené </w:t>
      </w:r>
      <w:r>
        <w:t xml:space="preserve">ex-partnerským </w:t>
      </w:r>
      <w:proofErr w:type="spellStart"/>
      <w:r>
        <w:t>stalkingem</w:t>
      </w:r>
      <w:proofErr w:type="spellEnd"/>
      <w:r>
        <w:t xml:space="preserve"> mají převážně středoškolské či vy</w:t>
      </w:r>
      <w:r w:rsidR="000D4D8C">
        <w:t xml:space="preserve">sokoškolské vzdělání, </w:t>
      </w:r>
      <w:r>
        <w:t>vyšš</w:t>
      </w:r>
      <w:r w:rsidR="002D4EC0">
        <w:t xml:space="preserve">í profesní postavení pak </w:t>
      </w:r>
      <w:proofErr w:type="gramStart"/>
      <w:r w:rsidR="002D4EC0">
        <w:t>ve </w:t>
      </w:r>
      <w:r w:rsidR="000F2C4C">
        <w:t>31%</w:t>
      </w:r>
      <w:proofErr w:type="gramEnd"/>
      <w:r w:rsidR="000F2C4C">
        <w:t> </w:t>
      </w:r>
      <w:r>
        <w:t>případů (</w:t>
      </w:r>
      <w:proofErr w:type="spellStart"/>
      <w:r>
        <w:t>Hall</w:t>
      </w:r>
      <w:proofErr w:type="spellEnd"/>
      <w:r w:rsidR="000D4D8C">
        <w:t>,</w:t>
      </w:r>
      <w:r>
        <w:t xml:space="preserve"> </w:t>
      </w:r>
      <w:r w:rsidR="000D4D8C">
        <w:t>1998, podle</w:t>
      </w:r>
      <w:r>
        <w:t xml:space="preserve"> </w:t>
      </w:r>
      <w:proofErr w:type="spellStart"/>
      <w:r>
        <w:t>Coon</w:t>
      </w:r>
      <w:proofErr w:type="spellEnd"/>
      <w:r w:rsidR="000D4D8C">
        <w:t>, 2007, s.</w:t>
      </w:r>
      <w:r>
        <w:t xml:space="preserve"> 49</w:t>
      </w:r>
      <w:r w:rsidR="000D4D8C">
        <w:t>-50</w:t>
      </w:r>
      <w:r>
        <w:t>). Výzkum</w:t>
      </w:r>
      <w:r w:rsidR="002D4EC0">
        <w:t>y rovněž poukazují na </w:t>
      </w:r>
      <w:r w:rsidR="000D4D8C">
        <w:t>skutečnost, že v řadě případů</w:t>
      </w:r>
      <w:r>
        <w:t xml:space="preserve"> figurovalo ve vztahu oběti a pachatele </w:t>
      </w:r>
      <w:r w:rsidR="000D4D8C">
        <w:t xml:space="preserve">i </w:t>
      </w:r>
      <w:r w:rsidR="000F2C4C">
        <w:t xml:space="preserve">společné dítě </w:t>
      </w:r>
      <w:r>
        <w:t>(</w:t>
      </w:r>
      <w:proofErr w:type="spellStart"/>
      <w:r>
        <w:t>Sheridan</w:t>
      </w:r>
      <w:proofErr w:type="spellEnd"/>
      <w:r w:rsidR="000D4D8C">
        <w:t>, 2003, s.</w:t>
      </w:r>
      <w:r>
        <w:t xml:space="preserve"> 154). </w:t>
      </w:r>
    </w:p>
    <w:p w:rsidR="00213B37" w:rsidRDefault="000D4D8C" w:rsidP="00213B37">
      <w:pPr>
        <w:pStyle w:val="StylPrvndek125cm"/>
      </w:pPr>
      <w:r>
        <w:t>V</w:t>
      </w:r>
      <w:r w:rsidR="00213B37">
        <w:t>e většině přípa</w:t>
      </w:r>
      <w:r w:rsidR="00460ED0">
        <w:t>dů ex-partnerského stalkingu (81</w:t>
      </w:r>
      <w:r w:rsidR="00213B37">
        <w:t>%) je oběť fyzicky</w:t>
      </w:r>
      <w:r w:rsidR="002E403E">
        <w:t xml:space="preserve"> týraná již během trvání vztahu</w:t>
      </w:r>
      <w:r w:rsidR="00460ED0">
        <w:t xml:space="preserve"> a </w:t>
      </w:r>
      <w:proofErr w:type="gramStart"/>
      <w:r w:rsidR="00460ED0">
        <w:t>ve 31</w:t>
      </w:r>
      <w:r w:rsidR="00213B37">
        <w:t>%</w:t>
      </w:r>
      <w:proofErr w:type="gramEnd"/>
      <w:r w:rsidR="00213B37">
        <w:t xml:space="preserve"> případů jsou oběti dokonce sexuálně zneužívané (</w:t>
      </w:r>
      <w:proofErr w:type="spellStart"/>
      <w:r w:rsidR="00213B37">
        <w:t>Tjaden</w:t>
      </w:r>
      <w:proofErr w:type="spellEnd"/>
      <w:r w:rsidR="00213B37">
        <w:t xml:space="preserve">, </w:t>
      </w:r>
      <w:proofErr w:type="spellStart"/>
      <w:r w:rsidR="00213B37">
        <w:t>Thoennes</w:t>
      </w:r>
      <w:proofErr w:type="spellEnd"/>
      <w:r>
        <w:t>, 1998</w:t>
      </w:r>
      <w:r w:rsidR="00D559F0">
        <w:t>a</w:t>
      </w:r>
      <w:r>
        <w:t>, s.</w:t>
      </w:r>
      <w:r w:rsidR="001C1096">
        <w:t xml:space="preserve"> 8</w:t>
      </w:r>
      <w:r w:rsidR="00213B37">
        <w:t xml:space="preserve">).  Anamnéza fyzického týrání se častěji objevuje </w:t>
      </w:r>
      <w:r>
        <w:t xml:space="preserve">u ženských obětí (Logan, 2010, </w:t>
      </w:r>
      <w:proofErr w:type="gramStart"/>
      <w:r>
        <w:t>s. 4)</w:t>
      </w:r>
      <w:r w:rsidR="00213B37">
        <w:t xml:space="preserve"> </w:t>
      </w:r>
      <w:r>
        <w:t>(</w:t>
      </w:r>
      <w:proofErr w:type="spellStart"/>
      <w:r w:rsidR="00213B37">
        <w:t>Sheridan</w:t>
      </w:r>
      <w:proofErr w:type="spellEnd"/>
      <w:proofErr w:type="gramEnd"/>
      <w:r w:rsidR="000F2C4C">
        <w:t xml:space="preserve">, </w:t>
      </w:r>
      <w:r>
        <w:t>2003, s. 154)</w:t>
      </w:r>
      <w:r w:rsidR="00213B37">
        <w:t>.</w:t>
      </w:r>
    </w:p>
    <w:p w:rsidR="00213B37" w:rsidRDefault="000D4D8C" w:rsidP="00213B37">
      <w:pPr>
        <w:pStyle w:val="StylPrvndek125cm"/>
      </w:pPr>
      <w:r>
        <w:t>V</w:t>
      </w:r>
      <w:r w:rsidR="00213B37">
        <w:t>ýzkumy poukazují na skutečnost, že obětí ex-partne</w:t>
      </w:r>
      <w:r w:rsidR="002D4EC0">
        <w:t>rského stalkingu se může stát v </w:t>
      </w:r>
      <w:r w:rsidR="00213B37">
        <w:t>podstatě každý. Častěji se však jedná o ženy, dále pak</w:t>
      </w:r>
      <w:r w:rsidR="002E403E">
        <w:t xml:space="preserve"> o</w:t>
      </w:r>
      <w:r w:rsidR="002D4EC0">
        <w:t xml:space="preserve"> osoby středního věku, osoby s </w:t>
      </w:r>
      <w:r w:rsidR="00213B37">
        <w:t xml:space="preserve">vyšším vzděláním či vyšším postavením. Důležitým predikátorem ex-partnerského pronásledování je domácí násilí, které zvyšuje reálnou </w:t>
      </w:r>
      <w:r w:rsidR="002D4EC0">
        <w:t>hrozbu, že se týraný partner po </w:t>
      </w:r>
      <w:r w:rsidR="00213B37">
        <w:t>rozchodu stane i obětí ex-partnerského násilí (</w:t>
      </w:r>
      <w:proofErr w:type="spellStart"/>
      <w:r w:rsidR="00213B37">
        <w:t>Sheridan</w:t>
      </w:r>
      <w:proofErr w:type="spellEnd"/>
      <w:r>
        <w:t>, 2003, s.</w:t>
      </w:r>
      <w:r w:rsidR="000F2C4C">
        <w:t xml:space="preserve"> 154)</w:t>
      </w:r>
      <w:r w:rsidR="00213B37">
        <w:t xml:space="preserve">. </w:t>
      </w:r>
    </w:p>
    <w:p w:rsidR="00213B37" w:rsidRDefault="00213B37" w:rsidP="00707D7A">
      <w:pPr>
        <w:pStyle w:val="Nadpis3"/>
      </w:pPr>
      <w:bookmarkStart w:id="17" w:name="_Toc383408602"/>
      <w:r>
        <w:lastRenderedPageBreak/>
        <w:t>Charakteristika pachatele</w:t>
      </w:r>
      <w:bookmarkEnd w:id="17"/>
    </w:p>
    <w:p w:rsidR="00213B37" w:rsidRDefault="00213B37" w:rsidP="0092144A">
      <w:pPr>
        <w:pStyle w:val="StylPrvndek125cm"/>
      </w:pPr>
      <w:proofErr w:type="spellStart"/>
      <w:r>
        <w:t>Hall</w:t>
      </w:r>
      <w:proofErr w:type="spellEnd"/>
      <w:r>
        <w:t xml:space="preserve"> </w:t>
      </w:r>
      <w:r w:rsidR="0092144A">
        <w:t>(1998, s.</w:t>
      </w:r>
      <w:r>
        <w:t xml:space="preserve"> 127) uvádí, že většinu pronásledovatelů v ex-partners</w:t>
      </w:r>
      <w:r w:rsidR="00A41A33">
        <w:t>kém stalkingu tvoří muži</w:t>
      </w:r>
      <w:r>
        <w:t>. Odborníci se shodují, že nejčastěji se jedná o os</w:t>
      </w:r>
      <w:r w:rsidR="0092144A">
        <w:t xml:space="preserve">obu středního věku. </w:t>
      </w:r>
      <w:proofErr w:type="spellStart"/>
      <w:r w:rsidR="0092144A">
        <w:t>Meloy</w:t>
      </w:r>
      <w:proofErr w:type="spellEnd"/>
      <w:r w:rsidR="0092144A">
        <w:t xml:space="preserve"> (1996, s.</w:t>
      </w:r>
      <w:r>
        <w:t xml:space="preserve"> 151) uvádí p</w:t>
      </w:r>
      <w:r w:rsidR="000F2C4C">
        <w:t xml:space="preserve">růměrný věk 35 let, </w:t>
      </w:r>
      <w:proofErr w:type="spellStart"/>
      <w:r w:rsidR="0092144A">
        <w:t>Coon</w:t>
      </w:r>
      <w:proofErr w:type="spellEnd"/>
      <w:r w:rsidR="0092144A">
        <w:t xml:space="preserve"> (2007, s.</w:t>
      </w:r>
      <w:r w:rsidR="000F2C4C">
        <w:t xml:space="preserve"> 79) </w:t>
      </w:r>
      <w:r w:rsidR="0092144A">
        <w:t xml:space="preserve">udává </w:t>
      </w:r>
      <w:r>
        <w:t xml:space="preserve">32 - 45 let. </w:t>
      </w:r>
    </w:p>
    <w:p w:rsidR="00213B37" w:rsidRDefault="0092144A" w:rsidP="00213B37">
      <w:pPr>
        <w:pStyle w:val="StylPrvndek125cm"/>
      </w:pPr>
      <w:proofErr w:type="spellStart"/>
      <w:r>
        <w:t>Campbell</w:t>
      </w:r>
      <w:proofErr w:type="spellEnd"/>
      <w:r>
        <w:t xml:space="preserve"> (2003, s.</w:t>
      </w:r>
      <w:r w:rsidR="00213B37">
        <w:t xml:space="preserve"> 1091-1092) </w:t>
      </w:r>
      <w:r>
        <w:t>upozorňuje na fakt, že v</w:t>
      </w:r>
      <w:r w:rsidR="00213B37">
        <w:t xml:space="preserve"> řadě případů </w:t>
      </w:r>
      <w:r w:rsidR="00040C5E">
        <w:t xml:space="preserve">je přítomno </w:t>
      </w:r>
      <w:r w:rsidR="00213B37">
        <w:t xml:space="preserve">fyzické násilí již během trvání partnerského vztahu. Dále pak </w:t>
      </w:r>
      <w:r w:rsidR="00040C5E">
        <w:t xml:space="preserve">zmiňuje </w:t>
      </w:r>
      <w:r w:rsidR="00213B37">
        <w:t>přímou souvislost mezi užíváním návykových látek a násilí ve vztah</w:t>
      </w:r>
      <w:r w:rsidR="00040C5E">
        <w:t xml:space="preserve">u, což potvrzuje i </w:t>
      </w:r>
      <w:proofErr w:type="spellStart"/>
      <w:r w:rsidR="00040C5E">
        <w:t>Mullen</w:t>
      </w:r>
      <w:proofErr w:type="spellEnd"/>
      <w:r w:rsidR="00040C5E">
        <w:t xml:space="preserve"> (2000, s.</w:t>
      </w:r>
      <w:r w:rsidR="00E343F3">
        <w:t xml:space="preserve"> 77). </w:t>
      </w:r>
      <w:r w:rsidR="00BE5E2B">
        <w:t xml:space="preserve">Ten udává, že </w:t>
      </w:r>
      <w:proofErr w:type="gramStart"/>
      <w:r w:rsidR="00BE5E2B">
        <w:t xml:space="preserve">ve </w:t>
      </w:r>
      <w:r w:rsidR="00E343F3" w:rsidRPr="002D4EC0">
        <w:t>29%</w:t>
      </w:r>
      <w:proofErr w:type="gramEnd"/>
      <w:r w:rsidR="00E343F3" w:rsidRPr="002D4EC0">
        <w:t xml:space="preserve"> případů </w:t>
      </w:r>
      <w:r w:rsidR="00213B37" w:rsidRPr="002D4EC0">
        <w:t xml:space="preserve">byla </w:t>
      </w:r>
      <w:r w:rsidR="00E343F3" w:rsidRPr="002D4EC0">
        <w:t xml:space="preserve">zjištěna </w:t>
      </w:r>
      <w:r w:rsidR="00213B37" w:rsidRPr="002D4EC0">
        <w:t>přítomnost návykových látek</w:t>
      </w:r>
      <w:r w:rsidR="00040C5E" w:rsidRPr="002D4EC0">
        <w:t>.</w:t>
      </w:r>
      <w:r w:rsidR="00040C5E">
        <w:t xml:space="preserve"> Z</w:t>
      </w:r>
      <w:r w:rsidR="002D4EC0">
        <w:t>ávislost na </w:t>
      </w:r>
      <w:r w:rsidR="00213B37">
        <w:t>návykových látkách výrazně zvyšuje u pachatele agresivitu a potažmo i riziko partnerské vraždy. Toto se navíc násobí v případech, kdy násilníci vlastní střelnou zbraň (</w:t>
      </w:r>
      <w:proofErr w:type="spellStart"/>
      <w:r w:rsidR="00213B37">
        <w:t>Campbell</w:t>
      </w:r>
      <w:proofErr w:type="spellEnd"/>
      <w:r w:rsidR="00040C5E">
        <w:t xml:space="preserve">, 2003, s. 1092). </w:t>
      </w:r>
      <w:proofErr w:type="spellStart"/>
      <w:r w:rsidR="00040C5E">
        <w:t>Mullen</w:t>
      </w:r>
      <w:proofErr w:type="spellEnd"/>
      <w:r w:rsidR="00040C5E">
        <w:t xml:space="preserve"> (2000, s.</w:t>
      </w:r>
      <w:r w:rsidR="00213B37">
        <w:t xml:space="preserve"> 77)</w:t>
      </w:r>
      <w:r w:rsidR="00040C5E">
        <w:t xml:space="preserve"> dodává</w:t>
      </w:r>
      <w:r w:rsidR="00213B37">
        <w:t>, že 51 % stalkerů mělo v době pronásledování již zázn</w:t>
      </w:r>
      <w:r w:rsidR="00040C5E">
        <w:t>am v trestním rejstříku. V</w:t>
      </w:r>
      <w:r w:rsidR="00213B37">
        <w:t xml:space="preserve"> případě stalkerů, kteří zabili svého bývalého partnera, bylo </w:t>
      </w:r>
      <w:r w:rsidR="00040C5E">
        <w:t xml:space="preserve">navíc </w:t>
      </w:r>
      <w:r w:rsidR="00213B37">
        <w:t xml:space="preserve">vysoké procento nezaměstnaných. </w:t>
      </w:r>
    </w:p>
    <w:p w:rsidR="00213B37" w:rsidRDefault="00EF1C66" w:rsidP="00597F00">
      <w:pPr>
        <w:pStyle w:val="StylPrvndek125cm"/>
      </w:pPr>
      <w:r w:rsidRPr="002D4EC0">
        <w:t>V</w:t>
      </w:r>
      <w:r w:rsidR="00213B37" w:rsidRPr="002D4EC0">
        <w:t xml:space="preserve"> 62% </w:t>
      </w:r>
      <w:proofErr w:type="gramStart"/>
      <w:r w:rsidR="00213B37" w:rsidRPr="002D4EC0">
        <w:t>případů</w:t>
      </w:r>
      <w:proofErr w:type="gramEnd"/>
      <w:r w:rsidR="00213B37" w:rsidRPr="002D4EC0">
        <w:t xml:space="preserve"> byla stalkerům dia</w:t>
      </w:r>
      <w:r w:rsidR="00040C5E" w:rsidRPr="002D4EC0">
        <w:t>gnostikována psychická porucha</w:t>
      </w:r>
      <w:r w:rsidRPr="002D4EC0">
        <w:t>.</w:t>
      </w:r>
      <w:r w:rsidR="00040C5E" w:rsidRPr="002D4EC0">
        <w:t xml:space="preserve"> </w:t>
      </w:r>
      <w:r w:rsidR="00270221">
        <w:t xml:space="preserve">Dle </w:t>
      </w:r>
      <w:proofErr w:type="spellStart"/>
      <w:r w:rsidR="00270221">
        <w:t>Mullena</w:t>
      </w:r>
      <w:proofErr w:type="spellEnd"/>
      <w:r w:rsidR="00270221">
        <w:t xml:space="preserve"> (1999, s. 1246) </w:t>
      </w:r>
      <w:r w:rsidR="00040C5E" w:rsidRPr="002D4EC0">
        <w:t>se jednalo o poruchy psychotické a neurotické, dále pak poruchy</w:t>
      </w:r>
      <w:r w:rsidR="00213B37" w:rsidRPr="002D4EC0">
        <w:t xml:space="preserve"> os</w:t>
      </w:r>
      <w:r w:rsidR="00040C5E" w:rsidRPr="002D4EC0">
        <w:t xml:space="preserve">obnosti nebo </w:t>
      </w:r>
      <w:r w:rsidRPr="002D4EC0">
        <w:t xml:space="preserve">poruchy </w:t>
      </w:r>
      <w:r w:rsidR="00040C5E" w:rsidRPr="002D4EC0">
        <w:t>organicky podmíněné</w:t>
      </w:r>
      <w:r w:rsidR="00E343F3" w:rsidRPr="002D4EC0">
        <w:t xml:space="preserve">. Podle </w:t>
      </w:r>
      <w:proofErr w:type="spellStart"/>
      <w:r w:rsidRPr="002D4EC0">
        <w:t>Meloy</w:t>
      </w:r>
      <w:r w:rsidR="00E343F3" w:rsidRPr="002D4EC0">
        <w:t>e</w:t>
      </w:r>
      <w:proofErr w:type="spellEnd"/>
      <w:r w:rsidRPr="002D4EC0">
        <w:t xml:space="preserve"> (2002, s. </w:t>
      </w:r>
      <w:r w:rsidR="00213B37" w:rsidRPr="002D4EC0">
        <w:t>111)</w:t>
      </w:r>
      <w:r w:rsidR="00E343F3" w:rsidRPr="002D4EC0">
        <w:t xml:space="preserve">se však většinou jedná </w:t>
      </w:r>
      <w:r w:rsidR="002D4EC0">
        <w:t>o </w:t>
      </w:r>
      <w:r w:rsidR="00213B37" w:rsidRPr="002D4EC0">
        <w:t>poruchu osobnosti s narcistickými či paranoidními rysy.</w:t>
      </w:r>
      <w:r w:rsidR="00270221">
        <w:t xml:space="preserve"> </w:t>
      </w:r>
      <w:r w:rsidR="00213B37">
        <w:t>V ně</w:t>
      </w:r>
      <w:r w:rsidR="00270221">
        <w:t>kterých případech může jít i </w:t>
      </w:r>
      <w:r w:rsidR="00213B37">
        <w:t>o kombinované poruchy. Někdy se naopak můž</w:t>
      </w:r>
      <w:r>
        <w:t>e jednat o maladaptivní jedince</w:t>
      </w:r>
      <w:r w:rsidR="00213B37">
        <w:t xml:space="preserve"> se sníženou schopností sociálního učení. Příčinou </w:t>
      </w:r>
      <w:r>
        <w:t xml:space="preserve">stalkerova jednání </w:t>
      </w:r>
      <w:r w:rsidR="00213B37">
        <w:t>může být v ojedinělých případech i por</w:t>
      </w:r>
      <w:r>
        <w:t xml:space="preserve">ucha neurotická či psychotická </w:t>
      </w:r>
      <w:r w:rsidR="00213B37">
        <w:t>(</w:t>
      </w:r>
      <w:proofErr w:type="spellStart"/>
      <w:r w:rsidR="00213B37">
        <w:t>Meloy</w:t>
      </w:r>
      <w:proofErr w:type="spellEnd"/>
      <w:r>
        <w:t>, 1996, s. </w:t>
      </w:r>
      <w:r w:rsidR="00213B37">
        <w:t xml:space="preserve">159-160). </w:t>
      </w:r>
      <w:r w:rsidR="00597F00">
        <w:t xml:space="preserve">Z pohledu psychiatrického je problematika stalkingu velmi komplikovaná. Podrobněji se otázkou duševních poruch ve stalkingu zabývá příkladně </w:t>
      </w:r>
      <w:proofErr w:type="spellStart"/>
      <w:r w:rsidR="00597F00">
        <w:t>Meloy</w:t>
      </w:r>
      <w:proofErr w:type="spellEnd"/>
      <w:r w:rsidR="00597F00">
        <w:t xml:space="preserve"> (1999, s.</w:t>
      </w:r>
      <w:r w:rsidR="00ED3515">
        <w:t> </w:t>
      </w:r>
      <w:r w:rsidR="000F2C4C">
        <w:t xml:space="preserve">159-160), </w:t>
      </w:r>
      <w:proofErr w:type="spellStart"/>
      <w:r w:rsidR="000F2C4C">
        <w:t>Mullen</w:t>
      </w:r>
      <w:proofErr w:type="spellEnd"/>
      <w:r w:rsidR="000F2C4C">
        <w:t xml:space="preserve"> (2006, s.</w:t>
      </w:r>
      <w:r w:rsidR="00597F00">
        <w:t xml:space="preserve"> 444), </w:t>
      </w:r>
      <w:r w:rsidR="00672A99">
        <w:t xml:space="preserve">dále pak </w:t>
      </w:r>
      <w:proofErr w:type="spellStart"/>
      <w:r w:rsidR="00ED3515">
        <w:t>Kamphuis</w:t>
      </w:r>
      <w:proofErr w:type="spellEnd"/>
      <w:r w:rsidR="00ED3515">
        <w:t xml:space="preserve"> a </w:t>
      </w:r>
      <w:proofErr w:type="spellStart"/>
      <w:r w:rsidR="00ED3515">
        <w:t>Emmelkamp</w:t>
      </w:r>
      <w:proofErr w:type="spellEnd"/>
      <w:r w:rsidR="00ED3515">
        <w:t xml:space="preserve"> (2000, s. 208)</w:t>
      </w:r>
      <w:r w:rsidR="00672A99">
        <w:t xml:space="preserve"> nebo </w:t>
      </w:r>
      <w:proofErr w:type="spellStart"/>
      <w:r w:rsidR="00672A99" w:rsidRPr="00672A99">
        <w:t>Blaauw</w:t>
      </w:r>
      <w:proofErr w:type="spellEnd"/>
      <w:r w:rsidR="00672A99" w:rsidRPr="00672A99">
        <w:t xml:space="preserve">, </w:t>
      </w:r>
      <w:proofErr w:type="spellStart"/>
      <w:r w:rsidR="00672A99" w:rsidRPr="00672A99">
        <w:t>Sheridan</w:t>
      </w:r>
      <w:proofErr w:type="spellEnd"/>
      <w:r w:rsidR="00672A99" w:rsidRPr="00672A99">
        <w:t xml:space="preserve"> a </w:t>
      </w:r>
      <w:proofErr w:type="spellStart"/>
      <w:r w:rsidR="00672A99" w:rsidRPr="00672A99">
        <w:t>Winkel</w:t>
      </w:r>
      <w:proofErr w:type="spellEnd"/>
      <w:r w:rsidR="00672A99" w:rsidRPr="00672A99">
        <w:t xml:space="preserve"> (2000</w:t>
      </w:r>
      <w:r w:rsidR="00672A99">
        <w:t xml:space="preserve">, s. </w:t>
      </w:r>
      <w:r w:rsidR="00672A99" w:rsidRPr="00672A99">
        <w:t>139-141)</w:t>
      </w:r>
      <w:r w:rsidR="00672A99">
        <w:t>.</w:t>
      </w:r>
    </w:p>
    <w:p w:rsidR="00213B37" w:rsidRDefault="00EF1C66" w:rsidP="00213B37">
      <w:pPr>
        <w:pStyle w:val="StylPrvndek125cm"/>
      </w:pPr>
      <w:proofErr w:type="spellStart"/>
      <w:r>
        <w:t>Meloy</w:t>
      </w:r>
      <w:proofErr w:type="spellEnd"/>
      <w:r>
        <w:t xml:space="preserve"> (2002, s. </w:t>
      </w:r>
      <w:r w:rsidR="00213B37">
        <w:t>109) uvádí, že v případech, kdy pachatelé napadli nebo zabili osobu blízkou, byli motivováni zejména emocemi, hněvem a zvýšenou potřebou vzrušení. Samotnému útoku však předcházelo dlouhodobé plánování tohoto činu. A právě v této so</w:t>
      </w:r>
      <w:r w:rsidR="00597F00">
        <w:t xml:space="preserve">uvislosti Čírtková (2008, s. </w:t>
      </w:r>
      <w:r w:rsidR="00213B37">
        <w:t>73) zdůrazňuje skutečno</w:t>
      </w:r>
      <w:r w:rsidR="002D4EC0">
        <w:t>st, že bývalí partneři bývají v </w:t>
      </w:r>
      <w:r w:rsidR="00213B37">
        <w:t xml:space="preserve">případě pronásledování daleko </w:t>
      </w:r>
      <w:r w:rsidR="00270221">
        <w:t xml:space="preserve">více násilní a nebezpeční, než </w:t>
      </w:r>
      <w:r w:rsidR="00213B37">
        <w:t xml:space="preserve">stalkeři neznámí. </w:t>
      </w:r>
    </w:p>
    <w:p w:rsidR="00213B37" w:rsidRDefault="00213B37" w:rsidP="00EB1EFB">
      <w:pPr>
        <w:pStyle w:val="Nadpis2"/>
      </w:pPr>
      <w:bookmarkStart w:id="18" w:name="_Toc383408603"/>
      <w:r>
        <w:lastRenderedPageBreak/>
        <w:t>Techniky ex-partnerského stalkingu</w:t>
      </w:r>
      <w:bookmarkEnd w:id="18"/>
      <w:r>
        <w:t xml:space="preserve"> </w:t>
      </w:r>
    </w:p>
    <w:p w:rsidR="00213B37" w:rsidRDefault="00213B37" w:rsidP="00213B37">
      <w:pPr>
        <w:pStyle w:val="StylPrvndek125cm"/>
      </w:pPr>
      <w:r>
        <w:t>Techniky stalkingu zahrnují konkrétní chování stalkera</w:t>
      </w:r>
      <w:r w:rsidR="002D4EC0">
        <w:t>, které cíleně vede k </w:t>
      </w:r>
      <w:r>
        <w:t xml:space="preserve">pronásledování dané oběti. Zahrnuje různou intenzitu lidského jednání, takže je téměř nemožné je zcela vyčerpávajícím způsobem vyjmenovat. </w:t>
      </w:r>
      <w:r w:rsidR="002D4EC0">
        <w:t>Válková (2009) upozorňuje, že i </w:t>
      </w:r>
      <w:r>
        <w:t>prostředky, jenž stalker používá, se mohou lišit. Společným jmenovatelem stalkingových technik přesto zůstává intenzivní obtěžování oběti, které ohrožují psychické i fyzické narušení integrit</w:t>
      </w:r>
      <w:r w:rsidR="001156A2">
        <w:t>y p</w:t>
      </w:r>
      <w:r w:rsidR="00851D03">
        <w:t>ronásledované oběti (Válková,</w:t>
      </w:r>
      <w:r w:rsidR="001156A2">
        <w:t xml:space="preserve"> </w:t>
      </w:r>
      <w:r w:rsidR="00851D03">
        <w:t>2009).</w:t>
      </w:r>
    </w:p>
    <w:p w:rsidR="00213B37" w:rsidRDefault="00213B37" w:rsidP="00213B37">
      <w:pPr>
        <w:pStyle w:val="StylPrvndek125cm"/>
      </w:pPr>
      <w:r>
        <w:t>Válková (2009) dále dodává, že na počátku ex-partner</w:t>
      </w:r>
      <w:r w:rsidR="002D4EC0">
        <w:t>ského stalkingu nemusí jít o na </w:t>
      </w:r>
      <w:r>
        <w:t>první pohled zřejmé patologické, asociáln</w:t>
      </w:r>
      <w:r w:rsidR="001156A2">
        <w:t xml:space="preserve">í chování (e-maily, </w:t>
      </w:r>
      <w:proofErr w:type="spellStart"/>
      <w:r w:rsidR="001156A2">
        <w:t>sms</w:t>
      </w:r>
      <w:proofErr w:type="spellEnd"/>
      <w:r w:rsidR="001156A2">
        <w:t xml:space="preserve"> zprávy</w:t>
      </w:r>
      <w:r>
        <w:t>…). To se může však časem změnit v nepřetržité obtěžování, vedoucí až ke snaze bývalého partnera fyzicky zlikvidovat. V této s</w:t>
      </w:r>
      <w:r w:rsidR="001156A2">
        <w:t>ouvislosti Čírtková uvádí (2004, s.</w:t>
      </w:r>
      <w:r>
        <w:t xml:space="preserve"> 233), že dominantním motivem je nenávist ke svému bývalému partnerovi. Pronásledovatelé jsou vedeni negativními emocemi k oběti. Podobně onu pr</w:t>
      </w:r>
      <w:r w:rsidR="001156A2">
        <w:t xml:space="preserve">oblematiku vnímá i </w:t>
      </w:r>
      <w:proofErr w:type="spellStart"/>
      <w:r w:rsidR="001156A2">
        <w:t>Mullen</w:t>
      </w:r>
      <w:proofErr w:type="spellEnd"/>
      <w:r w:rsidR="001156A2">
        <w:t xml:space="preserve"> (2000, s.</w:t>
      </w:r>
      <w:r w:rsidR="002D4EC0">
        <w:t xml:space="preserve"> 46) a </w:t>
      </w:r>
      <w:r>
        <w:t xml:space="preserve">dodává, že stalker dokáže být až záludně vytrvalý v pronásledování svého bývalého partnera. </w:t>
      </w:r>
    </w:p>
    <w:p w:rsidR="00213B37" w:rsidRDefault="00213B37" w:rsidP="00213B37">
      <w:pPr>
        <w:pStyle w:val="StylPrvndek125cm"/>
      </w:pPr>
      <w:r>
        <w:t xml:space="preserve">Mapuje každodenní aktivity oběti. Pozoruje ji v práci, pří nákupech, v kavárně, dokonce se </w:t>
      </w:r>
      <w:r w:rsidR="004A16BC">
        <w:t>nestraní</w:t>
      </w:r>
      <w:r>
        <w:t xml:space="preserve"> ani takových praktik </w:t>
      </w:r>
      <w:r w:rsidR="002E403E">
        <w:t>jako jsou odposlechy telefonátů a</w:t>
      </w:r>
      <w:r>
        <w:t>nebo čtení dopisů bývalého partnera. Stalkerovo pronásled</w:t>
      </w:r>
      <w:r w:rsidR="002D4EC0">
        <w:t>ování, i přes všechny domluvy a </w:t>
      </w:r>
      <w:r>
        <w:t>vysvětlování</w:t>
      </w:r>
      <w:r w:rsidR="002E403E">
        <w:t>,</w:t>
      </w:r>
      <w:r>
        <w:t xml:space="preserve"> většinou eskaluje. Mnohdy nezabírají ani intervence právníků či policistů (</w:t>
      </w:r>
      <w:proofErr w:type="spellStart"/>
      <w:r>
        <w:t>Mullen</w:t>
      </w:r>
      <w:proofErr w:type="spellEnd"/>
      <w:r w:rsidR="004A16BC">
        <w:t>, 2000, s.</w:t>
      </w:r>
      <w:r>
        <w:t xml:space="preserve"> 46-47).</w:t>
      </w:r>
    </w:p>
    <w:p w:rsidR="00851D03" w:rsidRDefault="00213B37" w:rsidP="00851D03">
      <w:pPr>
        <w:pStyle w:val="StylPrvndek125cm"/>
      </w:pPr>
      <w:r>
        <w:t>Níže uvedená tabulka</w:t>
      </w:r>
      <w:r w:rsidR="000F2C4C">
        <w:t xml:space="preserve"> (Tabulka č. 2)</w:t>
      </w:r>
      <w:r>
        <w:t xml:space="preserve"> přináší na základě vybraných studií stručný přehled nejpoužívanějších stalkingových technik</w:t>
      </w:r>
      <w:r w:rsidR="004A16BC">
        <w:t xml:space="preserve"> (</w:t>
      </w:r>
      <w:proofErr w:type="spellStart"/>
      <w:r w:rsidR="004A16BC">
        <w:t>Blaauw</w:t>
      </w:r>
      <w:proofErr w:type="spellEnd"/>
      <w:r w:rsidR="004A16BC">
        <w:t>, 2002, s. 56)</w:t>
      </w:r>
      <w:r w:rsidR="00851D03">
        <w:t>.</w:t>
      </w:r>
    </w:p>
    <w:p w:rsidR="00213B37" w:rsidRDefault="00851D03" w:rsidP="00851D03">
      <w:pPr>
        <w:pStyle w:val="StylPrvndek125cm"/>
      </w:pPr>
      <w:r>
        <w:br w:type="page"/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1247"/>
        <w:gridCol w:w="1247"/>
        <w:gridCol w:w="1247"/>
        <w:gridCol w:w="1247"/>
      </w:tblGrid>
      <w:tr w:rsidR="00672A99" w:rsidRPr="00672A99" w:rsidTr="00075C08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lastRenderedPageBreak/>
              <w:t>Techniky stalkingu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2A99">
              <w:rPr>
                <w:rFonts w:eastAsia="Calibri"/>
                <w:sz w:val="20"/>
                <w:szCs w:val="20"/>
                <w:lang w:eastAsia="en-US"/>
              </w:rPr>
              <w:t>Blaauw</w:t>
            </w:r>
            <w:proofErr w:type="spellEnd"/>
          </w:p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(2002)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2A99">
              <w:rPr>
                <w:rFonts w:eastAsia="Calibri"/>
                <w:sz w:val="20"/>
                <w:szCs w:val="20"/>
                <w:lang w:eastAsia="en-US"/>
              </w:rPr>
              <w:t>Brewster</w:t>
            </w:r>
            <w:proofErr w:type="spellEnd"/>
          </w:p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(1997)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2A99">
              <w:rPr>
                <w:rFonts w:eastAsia="Calibri"/>
                <w:sz w:val="20"/>
                <w:szCs w:val="20"/>
                <w:lang w:eastAsia="en-US"/>
              </w:rPr>
              <w:t>Hall</w:t>
            </w:r>
            <w:proofErr w:type="spellEnd"/>
          </w:p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(1998)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2A99">
              <w:rPr>
                <w:rFonts w:eastAsia="Calibri"/>
                <w:sz w:val="20"/>
                <w:szCs w:val="20"/>
                <w:lang w:eastAsia="en-US"/>
              </w:rPr>
              <w:t>Pathé</w:t>
            </w:r>
            <w:proofErr w:type="spellEnd"/>
            <w:r w:rsidRPr="00672A99">
              <w:rPr>
                <w:rFonts w:eastAsia="Calibri"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672A99">
              <w:rPr>
                <w:rFonts w:eastAsia="Calibri"/>
                <w:sz w:val="20"/>
                <w:szCs w:val="20"/>
                <w:lang w:eastAsia="en-US"/>
              </w:rPr>
              <w:t>Mullen</w:t>
            </w:r>
            <w:proofErr w:type="spellEnd"/>
          </w:p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(1997)</w:t>
            </w:r>
          </w:p>
        </w:tc>
      </w:tr>
      <w:tr w:rsidR="00672A99" w:rsidRPr="00672A99" w:rsidTr="00075C08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Telefonování oběti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Zasílání dopisů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Pozorování domu oběti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Pronásledování oběti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Protiprávní vniknutí do domu oběti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Ničení a krádež majetku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Nevyžádaný fyzický kontakt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Fyzické napadení oběti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</w:tr>
      <w:tr w:rsidR="00672A99" w:rsidRPr="00672A99" w:rsidTr="00BB5E27">
        <w:trPr>
          <w:jc w:val="center"/>
        </w:trPr>
        <w:tc>
          <w:tcPr>
            <w:tcW w:w="2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Vyhrožování oběti ublížením nebo zabitím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A99" w:rsidRPr="00672A99" w:rsidRDefault="00672A99" w:rsidP="00BB5E2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A99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</w:tr>
    </w:tbl>
    <w:p w:rsidR="00213B37" w:rsidRPr="00BB5E27" w:rsidRDefault="00672A99" w:rsidP="00BB5E27">
      <w:pPr>
        <w:pStyle w:val="StylPrvndek125cm"/>
        <w:spacing w:before="240"/>
        <w:ind w:firstLine="0"/>
        <w:jc w:val="center"/>
        <w:rPr>
          <w:i/>
        </w:rPr>
      </w:pPr>
      <w:r w:rsidRPr="00BB5E27">
        <w:rPr>
          <w:i/>
        </w:rPr>
        <w:t>Tab</w:t>
      </w:r>
      <w:r w:rsidR="000F2C4C" w:rsidRPr="00BB5E27">
        <w:rPr>
          <w:i/>
        </w:rPr>
        <w:t>ulka č. 2</w:t>
      </w:r>
      <w:r w:rsidRPr="00BB5E27">
        <w:rPr>
          <w:i/>
        </w:rPr>
        <w:t>: Techniky stalkingu uvedené v %</w:t>
      </w:r>
      <w:r w:rsidR="00BB5E27" w:rsidRPr="00BB5E27">
        <w:rPr>
          <w:i/>
        </w:rPr>
        <w:t xml:space="preserve"> (</w:t>
      </w:r>
      <w:proofErr w:type="spellStart"/>
      <w:r w:rsidR="00BB5E27" w:rsidRPr="00BB5E27">
        <w:rPr>
          <w:i/>
        </w:rPr>
        <w:t>Blaauw</w:t>
      </w:r>
      <w:proofErr w:type="spellEnd"/>
      <w:r w:rsidR="00BB5E27" w:rsidRPr="00BB5E27">
        <w:rPr>
          <w:i/>
        </w:rPr>
        <w:t>, 2002, s. 56).</w:t>
      </w:r>
    </w:p>
    <w:p w:rsidR="00672A99" w:rsidRDefault="00672A99" w:rsidP="00213B37">
      <w:pPr>
        <w:pStyle w:val="StylPrvndek125cm"/>
      </w:pPr>
    </w:p>
    <w:p w:rsidR="00213B37" w:rsidRDefault="00213B37" w:rsidP="00622048">
      <w:pPr>
        <w:pStyle w:val="StylPrvndek125cm"/>
      </w:pPr>
      <w:r>
        <w:t>Ve více než 50% případů ex-partnerského pronásledování byla zjištěna</w:t>
      </w:r>
      <w:r w:rsidR="006C7E5A">
        <w:t xml:space="preserve">, </w:t>
      </w:r>
      <w:r w:rsidR="002D4EC0">
        <w:t>i mimo výše </w:t>
      </w:r>
      <w:r>
        <w:t>zmíněných technik stalkingu</w:t>
      </w:r>
      <w:r w:rsidR="006C7E5A">
        <w:t>,</w:t>
      </w:r>
      <w:r>
        <w:t xml:space="preserve"> skutečnost, že do pron</w:t>
      </w:r>
      <w:r w:rsidR="002D4EC0">
        <w:t>ásledování bývalého partnera je </w:t>
      </w:r>
      <w:r w:rsidR="00C271FD">
        <w:t xml:space="preserve">stalkerem </w:t>
      </w:r>
      <w:r>
        <w:t xml:space="preserve">zapojena </w:t>
      </w:r>
      <w:r w:rsidR="00C271FD">
        <w:t>třetí osoba.</w:t>
      </w:r>
      <w:r>
        <w:t xml:space="preserve"> Může se jedna</w:t>
      </w:r>
      <w:r w:rsidR="002D4EC0">
        <w:t>t o příbuzného, nového partnera </w:t>
      </w:r>
      <w:r>
        <w:t>pronásledovatele, či dokonce profesionála (s</w:t>
      </w:r>
      <w:r w:rsidR="002D4EC0">
        <w:t>oukromý detektiv). Velké téma v </w:t>
      </w:r>
      <w:r>
        <w:t>případě ex-partnerského stalkingu tvoří pronásledování skrze internet, e-mail či jiné elekt</w:t>
      </w:r>
      <w:r w:rsidR="00C271FD">
        <w:t>ronické komunikační pros</w:t>
      </w:r>
      <w:r w:rsidR="00ED07A9">
        <w:t>tředky</w:t>
      </w:r>
      <w:r w:rsidR="00622048" w:rsidRPr="00622048">
        <w:t xml:space="preserve"> </w:t>
      </w:r>
      <w:r w:rsidR="00622048">
        <w:t>(Logan, 2010, s. 12).</w:t>
      </w:r>
      <w:r w:rsidR="00ED07A9">
        <w:t xml:space="preserve"> Tyto technické vymoženosti umožňují daleko efektivnější pronásledování. Navíc v některých případech bývá pronásledování oběti usnadněno nedostatečnou ochranou osobních údajů (Kopecký, 2010, s. 3</w:t>
      </w:r>
      <w:r w:rsidR="002D4EC0">
        <w:t>).</w:t>
      </w:r>
      <w:r w:rsidR="00622048">
        <w:t xml:space="preserve"> </w:t>
      </w:r>
      <w:r>
        <w:t xml:space="preserve">Využíváním nejmodernějších technologií za účelem </w:t>
      </w:r>
      <w:r w:rsidR="00622048">
        <w:t xml:space="preserve">pronásledování </w:t>
      </w:r>
      <w:r>
        <w:t>bývalého partnera s</w:t>
      </w:r>
      <w:r w:rsidR="00C271FD">
        <w:t>e podrobněji zabývá Logan (2010, s.</w:t>
      </w:r>
      <w:r>
        <w:t xml:space="preserve"> 12). </w:t>
      </w:r>
    </w:p>
    <w:p w:rsidR="004A6267" w:rsidRDefault="004A6267" w:rsidP="00213B37">
      <w:pPr>
        <w:pStyle w:val="StylPrvndek125cm"/>
      </w:pPr>
    </w:p>
    <w:p w:rsidR="00213B37" w:rsidRDefault="00213B37" w:rsidP="00EB1EFB">
      <w:pPr>
        <w:pStyle w:val="Nadpis1"/>
      </w:pPr>
      <w:bookmarkStart w:id="19" w:name="_Toc383408604"/>
      <w:r>
        <w:lastRenderedPageBreak/>
        <w:t>Dopady ex-partnerského stalkingu na oběť</w:t>
      </w:r>
      <w:bookmarkEnd w:id="19"/>
    </w:p>
    <w:p w:rsidR="00213B37" w:rsidRDefault="00213B37" w:rsidP="00213B37">
      <w:pPr>
        <w:pStyle w:val="StylPrvndek125cm"/>
      </w:pPr>
      <w:r>
        <w:t>V případě stalkingu netrpí oběť jen bezprostředním poškozením, ale dalšími zátěžemi, které z nebezpe</w:t>
      </w:r>
      <w:r w:rsidR="00622048">
        <w:t xml:space="preserve">čného pronásledování vyplývají </w:t>
      </w:r>
      <w:r>
        <w:t>(Vágnerová</w:t>
      </w:r>
      <w:r w:rsidR="001E722F">
        <w:t>, 2004, s.</w:t>
      </w:r>
      <w:r w:rsidR="000F2C4C">
        <w:t xml:space="preserve"> 833). </w:t>
      </w:r>
      <w:r>
        <w:t>Útokem na oběť proces viktimizace</w:t>
      </w:r>
      <w:r w:rsidR="001E722F">
        <w:rPr>
          <w:rStyle w:val="Znakapoznpodarou"/>
        </w:rPr>
        <w:footnoteReference w:id="2"/>
      </w:r>
      <w:r>
        <w:t xml:space="preserve"> nekončí, ba naop</w:t>
      </w:r>
      <w:r w:rsidR="001E722F">
        <w:t>ak teprve začíná (Čírtková, 2006, s.</w:t>
      </w:r>
      <w:r w:rsidR="002D4EC0">
        <w:t> </w:t>
      </w:r>
      <w:r>
        <w:t xml:space="preserve">187-189). </w:t>
      </w:r>
    </w:p>
    <w:p w:rsidR="00213B37" w:rsidRDefault="00213B37" w:rsidP="00213B37">
      <w:pPr>
        <w:pStyle w:val="StylPrvndek125cm"/>
      </w:pPr>
      <w:r>
        <w:t xml:space="preserve">Z pohledu </w:t>
      </w:r>
      <w:proofErr w:type="spellStart"/>
      <w:r>
        <w:t>viktimologie</w:t>
      </w:r>
      <w:proofErr w:type="spellEnd"/>
      <w:r w:rsidR="001E722F">
        <w:rPr>
          <w:rStyle w:val="Znakapoznpodarou"/>
        </w:rPr>
        <w:footnoteReference w:id="3"/>
      </w:r>
      <w:r>
        <w:t xml:space="preserve"> jde v případě stalkingu o spe</w:t>
      </w:r>
      <w:r w:rsidR="002D4EC0">
        <w:t>cifickou záležitost, jelikož se </w:t>
      </w:r>
      <w:r>
        <w:t>nejedná o jednorázový čin. Oběť se cítí nepřetržitě ohrožena, jelikož riziko dalších ataků je zřejmé. Většině obětí nezáleží ani tak na trestním stíhání či odškodnění, jejich poz</w:t>
      </w:r>
      <w:r w:rsidR="00BD0BCD">
        <w:t>ornost je upřena jediným směrem</w:t>
      </w:r>
      <w:r>
        <w:t xml:space="preserve"> a to na obnovu nerušeného soukromí</w:t>
      </w:r>
      <w:r w:rsidR="001E722F">
        <w:t>.</w:t>
      </w:r>
      <w:r>
        <w:t xml:space="preserve"> </w:t>
      </w:r>
      <w:r w:rsidR="001E722F">
        <w:t>Aby mohla být zahájena účinná sociál</w:t>
      </w:r>
      <w:r w:rsidR="00F25EF9">
        <w:t xml:space="preserve">ní pomoc, je třeba si uvědomit, </w:t>
      </w:r>
      <w:r w:rsidR="001E722F">
        <w:t>že t</w:t>
      </w:r>
      <w:r>
        <w:t>raumatizující události mají na oběť závažné dopady</w:t>
      </w:r>
      <w:r w:rsidR="00BD0BCD">
        <w:t xml:space="preserve"> nejen</w:t>
      </w:r>
      <w:r>
        <w:t xml:space="preserve"> psychické, sociál</w:t>
      </w:r>
      <w:r w:rsidR="001E722F">
        <w:t>ní, ekonomické, ale i zdravotní</w:t>
      </w:r>
      <w:r w:rsidR="001E722F" w:rsidRPr="001E722F">
        <w:t xml:space="preserve"> </w:t>
      </w:r>
      <w:r w:rsidR="000F2C4C">
        <w:t>(Čírtková, 2008, s. </w:t>
      </w:r>
      <w:r w:rsidR="001E722F">
        <w:t>83).</w:t>
      </w:r>
    </w:p>
    <w:p w:rsidR="00213B37" w:rsidRDefault="00213B37" w:rsidP="00EB1EFB">
      <w:pPr>
        <w:pStyle w:val="Nadpis2"/>
      </w:pPr>
      <w:bookmarkStart w:id="20" w:name="_Toc383408605"/>
      <w:r>
        <w:t>Psychické důsledky</w:t>
      </w:r>
      <w:bookmarkEnd w:id="20"/>
    </w:p>
    <w:p w:rsidR="00213B37" w:rsidRDefault="00213B37" w:rsidP="00213B37">
      <w:pPr>
        <w:pStyle w:val="StylPrvndek125cm"/>
      </w:pPr>
      <w:r>
        <w:t>Pachatel nejrůznějšími technikami proniká do soukromí oběti (Čírtková</w:t>
      </w:r>
      <w:r w:rsidR="00F25EF9">
        <w:t>, 2008, s.</w:t>
      </w:r>
      <w:r>
        <w:t xml:space="preserve"> 76). Není divu, že takové narušení soukromí nese většina obětí velmi těžce. Výzkumy dokonce </w:t>
      </w:r>
      <w:r w:rsidRPr="00717E62">
        <w:t>„poukazují na skutečnost, že dopady tohoto činu na oběť nekopírují rozsah materiální újmy. Největším traumatem je vědomí, že někdo slídil v prostorách, které oběť doposud považovala za místo svého absolutního bezpečí.“</w:t>
      </w:r>
      <w:r w:rsidR="00717E62">
        <w:t xml:space="preserve"> </w:t>
      </w:r>
      <w:r>
        <w:t>(Čírtková</w:t>
      </w:r>
      <w:r w:rsidR="00F25EF9">
        <w:t xml:space="preserve">, 2006, s. </w:t>
      </w:r>
      <w:r>
        <w:t>195)</w:t>
      </w:r>
    </w:p>
    <w:p w:rsidR="00213B37" w:rsidRDefault="00213B37" w:rsidP="00F25EF9">
      <w:pPr>
        <w:pStyle w:val="StylPrvndek125cm"/>
      </w:pPr>
      <w:proofErr w:type="spellStart"/>
      <w:r>
        <w:t>Hall</w:t>
      </w:r>
      <w:proofErr w:type="spellEnd"/>
      <w:r>
        <w:t xml:space="preserve"> (</w:t>
      </w:r>
      <w:r w:rsidR="00F25EF9">
        <w:t xml:space="preserve">1998, podle </w:t>
      </w:r>
      <w:proofErr w:type="spellStart"/>
      <w:r>
        <w:t>Morewitz</w:t>
      </w:r>
      <w:proofErr w:type="spellEnd"/>
      <w:r w:rsidR="00F25EF9">
        <w:t>, 2003, s.</w:t>
      </w:r>
      <w:r>
        <w:t xml:space="preserve"> 43) zjistil, že ve většině případů oběti pociťují změnu v jejich chování i osobnosti: 88% obětí uvedlo, že je nyní opatrnější, 41% se často cítí paranoidní, 52% se velmi snadno vyděsí a 27% vnímá sama sebe jako více agresiv</w:t>
      </w:r>
      <w:r w:rsidR="00F25EF9">
        <w:t>ní. Dopady nebezpečného pronásledování na život oběti</w:t>
      </w:r>
      <w:r>
        <w:t xml:space="preserve"> odhalují i další studie, s </w:t>
      </w:r>
      <w:r w:rsidR="00F25EF9">
        <w:t xml:space="preserve">kterými přichází </w:t>
      </w:r>
      <w:proofErr w:type="spellStart"/>
      <w:r w:rsidR="00F25EF9">
        <w:t>Kamphuis</w:t>
      </w:r>
      <w:proofErr w:type="spellEnd"/>
      <w:r w:rsidR="00F25EF9">
        <w:t xml:space="preserve"> (2000, s. 208), </w:t>
      </w:r>
      <w:proofErr w:type="spellStart"/>
      <w:r w:rsidR="00F25EF9">
        <w:t>Sheridan</w:t>
      </w:r>
      <w:proofErr w:type="spellEnd"/>
      <w:r w:rsidR="00F25EF9">
        <w:t xml:space="preserve"> (2003, s. 153), dále pak </w:t>
      </w:r>
      <w:proofErr w:type="spellStart"/>
      <w:r w:rsidR="00F25EF9">
        <w:t>Blaauw</w:t>
      </w:r>
      <w:proofErr w:type="spellEnd"/>
      <w:r w:rsidR="00F25EF9">
        <w:t xml:space="preserve"> (2002, s. 139), anebo </w:t>
      </w:r>
      <w:proofErr w:type="spellStart"/>
      <w:r w:rsidR="00F25EF9">
        <w:t>Baum</w:t>
      </w:r>
      <w:proofErr w:type="spellEnd"/>
      <w:r w:rsidR="00F25EF9">
        <w:t xml:space="preserve"> (2009, s.</w:t>
      </w:r>
      <w:r>
        <w:t xml:space="preserve"> 6).</w:t>
      </w:r>
    </w:p>
    <w:p w:rsidR="00213B37" w:rsidRDefault="007019FB" w:rsidP="00213B37">
      <w:pPr>
        <w:pStyle w:val="StylPrvndek125cm"/>
      </w:pPr>
      <w:proofErr w:type="spellStart"/>
      <w:r>
        <w:t>Baum</w:t>
      </w:r>
      <w:proofErr w:type="spellEnd"/>
      <w:r>
        <w:t xml:space="preserve"> (2009, s.</w:t>
      </w:r>
      <w:r w:rsidR="00213B37">
        <w:t xml:space="preserve"> 7) přináší ve své studii zajímavá fakta</w:t>
      </w:r>
      <w:r w:rsidR="00D51F41">
        <w:t>,</w:t>
      </w:r>
      <w:r w:rsidR="00213B37">
        <w:t xml:space="preserve"> získaná přímo od obětí stalkingu. Oběti na dotazy</w:t>
      </w:r>
      <w:r w:rsidR="00D51F41">
        <w:t>,</w:t>
      </w:r>
      <w:r w:rsidR="00213B37">
        <w:t xml:space="preserve"> týkající se emocionálních dopadů</w:t>
      </w:r>
      <w:r w:rsidR="00D51F41">
        <w:t>,</w:t>
      </w:r>
      <w:r w:rsidR="00213B37">
        <w:t xml:space="preserve"> </w:t>
      </w:r>
      <w:r>
        <w:t>uvedly, že nejhorší pocit, jenž</w:t>
      </w:r>
      <w:r w:rsidR="00213B37">
        <w:t xml:space="preserve"> nebezpečné pronásledování přináší</w:t>
      </w:r>
      <w:r w:rsidR="00D51F41">
        <w:t>,</w:t>
      </w:r>
      <w:r w:rsidR="00213B37">
        <w:t xml:space="preserve"> je pocit nejistoty, kdy o</w:t>
      </w:r>
      <w:r w:rsidR="00BB5E27">
        <w:t xml:space="preserve">běť netuší, co </w:t>
      </w:r>
      <w:r w:rsidR="006C7E5A" w:rsidRPr="002D4EC0">
        <w:t>se</w:t>
      </w:r>
      <w:r w:rsidR="00BB5E27" w:rsidRPr="002D4EC0">
        <w:t xml:space="preserve"> bude</w:t>
      </w:r>
      <w:r w:rsidR="006C7E5A" w:rsidRPr="002D4EC0">
        <w:t xml:space="preserve"> opět</w:t>
      </w:r>
      <w:r w:rsidR="00BB5E27" w:rsidRPr="002D4EC0">
        <w:t xml:space="preserve"> </w:t>
      </w:r>
      <w:r w:rsidR="00BB5E27" w:rsidRPr="002D4EC0">
        <w:lastRenderedPageBreak/>
        <w:t>dít</w:t>
      </w:r>
      <w:r w:rsidR="00213B37">
        <w:t xml:space="preserve"> (46%), strach z ublížení na zdraví (30%) či ublížení dítěti (13%). Osoby dále pociťovaly ztrátu svobody (10%), strach ze smrti (9</w:t>
      </w:r>
      <w:r w:rsidR="00487CCD">
        <w:t xml:space="preserve">%) a velký strach o život nového </w:t>
      </w:r>
      <w:r w:rsidR="00213B37">
        <w:t>partn</w:t>
      </w:r>
      <w:r>
        <w:t xml:space="preserve">era (6%). Podle </w:t>
      </w:r>
      <w:proofErr w:type="spellStart"/>
      <w:r>
        <w:t>Sheridana</w:t>
      </w:r>
      <w:proofErr w:type="spellEnd"/>
      <w:r>
        <w:t xml:space="preserve"> (2003, s.</w:t>
      </w:r>
      <w:r w:rsidR="00213B37">
        <w:t xml:space="preserve"> 153) pocit strachu zažívá 21% až 57% obětí, strach se více objevuje u ženských než u mužských obětí. Často se objevují stavy deprese (28%) a úzkosti (</w:t>
      </w:r>
      <w:proofErr w:type="gramStart"/>
      <w:r w:rsidR="00213B37">
        <w:t>44%) (Dressin</w:t>
      </w:r>
      <w:r>
        <w:t>g</w:t>
      </w:r>
      <w:proofErr w:type="gramEnd"/>
      <w:r>
        <w:t xml:space="preserve"> a kol., 2005, s.</w:t>
      </w:r>
      <w:r w:rsidR="00213B37">
        <w:t xml:space="preserve"> 169).</w:t>
      </w:r>
    </w:p>
    <w:p w:rsidR="00213B37" w:rsidRDefault="007019FB" w:rsidP="00213B37">
      <w:pPr>
        <w:pStyle w:val="StylPrvndek125cm"/>
      </w:pPr>
      <w:proofErr w:type="spellStart"/>
      <w:r>
        <w:t>Blaauw</w:t>
      </w:r>
      <w:proofErr w:type="spellEnd"/>
      <w:r>
        <w:t xml:space="preserve"> uvádí (2002, s.</w:t>
      </w:r>
      <w:r w:rsidR="00213B37">
        <w:t xml:space="preserve"> 140), že v 37% případů byl</w:t>
      </w:r>
      <w:r>
        <w:t>a</w:t>
      </w:r>
      <w:r w:rsidR="00213B37">
        <w:t xml:space="preserve"> u obětí stalkingu diagnostikována postt</w:t>
      </w:r>
      <w:r>
        <w:t xml:space="preserve">raumatická stresová porucha, dále pak v </w:t>
      </w:r>
      <w:r w:rsidR="00213B37">
        <w:t xml:space="preserve">18% </w:t>
      </w:r>
      <w:proofErr w:type="gramStart"/>
      <w:r w:rsidR="00213B37">
        <w:t>případů</w:t>
      </w:r>
      <w:proofErr w:type="gramEnd"/>
      <w:r w:rsidR="00213B37">
        <w:t xml:space="preserve"> byly zjištěny psychické poruchy</w:t>
      </w:r>
      <w:r w:rsidR="00D51F41">
        <w:t>,</w:t>
      </w:r>
      <w:r w:rsidR="00213B37">
        <w:t xml:space="preserve"> související s vystavením dlouhodobému stresu</w:t>
      </w:r>
      <w:r w:rsidR="00D51F41">
        <w:t>,</w:t>
      </w:r>
      <w:r w:rsidR="00213B37">
        <w:t xml:space="preserve"> spojeného s hrozbami fyzického napadení. </w:t>
      </w:r>
      <w:proofErr w:type="spellStart"/>
      <w:r w:rsidR="00213B37">
        <w:t>P</w:t>
      </w:r>
      <w:r>
        <w:t>athé</w:t>
      </w:r>
      <w:proofErr w:type="spellEnd"/>
      <w:r>
        <w:t xml:space="preserve"> a </w:t>
      </w:r>
      <w:proofErr w:type="spellStart"/>
      <w:r>
        <w:t>Mullen</w:t>
      </w:r>
      <w:proofErr w:type="spellEnd"/>
      <w:r>
        <w:t xml:space="preserve"> (</w:t>
      </w:r>
      <w:r w:rsidR="001252C7">
        <w:t>1997</w:t>
      </w:r>
      <w:r>
        <w:t xml:space="preserve">, podle </w:t>
      </w:r>
      <w:proofErr w:type="spellStart"/>
      <w:r>
        <w:t>Sheriden</w:t>
      </w:r>
      <w:proofErr w:type="spellEnd"/>
      <w:r>
        <w:t>, 2003, s.</w:t>
      </w:r>
      <w:r w:rsidR="00D51F41">
        <w:t xml:space="preserve"> 153) přicházejí</w:t>
      </w:r>
      <w:r w:rsidR="002D4EC0">
        <w:t xml:space="preserve"> s </w:t>
      </w:r>
      <w:r w:rsidR="00213B37">
        <w:t>podobným zjištěním. Jejich studie dokonce odhalila, že příznaky posttraumatické st</w:t>
      </w:r>
      <w:r w:rsidR="001252C7">
        <w:t>resové poruchy se objevují u 55</w:t>
      </w:r>
      <w:r w:rsidR="00213B37">
        <w:t>% obětí</w:t>
      </w:r>
      <w:r w:rsidR="001252C7">
        <w:t xml:space="preserve"> stalkingu</w:t>
      </w:r>
      <w:r w:rsidR="00213B37">
        <w:t xml:space="preserve">. Výzkum realizovaný Technickou univerzitou v Darmstadtu v roce 2005 tuto skutečnost potvrdil: 76% obětí trpělo nejrůznějšími </w:t>
      </w:r>
      <w:r w:rsidR="001252C7">
        <w:t xml:space="preserve">variantami znovuprožívání, 50% </w:t>
      </w:r>
      <w:r w:rsidR="00213B37">
        <w:t xml:space="preserve">obětí popisovalo závažné příznaky vyhýbaní, 90% obětí přiznalo </w:t>
      </w:r>
      <w:proofErr w:type="spellStart"/>
      <w:r w:rsidR="00213B37">
        <w:t>hypervigilanci</w:t>
      </w:r>
      <w:proofErr w:type="spellEnd"/>
      <w:r w:rsidR="001252C7">
        <w:rPr>
          <w:rStyle w:val="Znakapoznpodarou"/>
        </w:rPr>
        <w:footnoteReference w:id="4"/>
      </w:r>
      <w:r w:rsidR="001252C7">
        <w:t xml:space="preserve"> </w:t>
      </w:r>
      <w:r w:rsidR="00213B37">
        <w:t xml:space="preserve"> (Čírtková</w:t>
      </w:r>
      <w:r w:rsidR="001252C7">
        <w:t xml:space="preserve">, 2008, s. </w:t>
      </w:r>
      <w:r w:rsidR="00213B37">
        <w:t>86).</w:t>
      </w:r>
    </w:p>
    <w:p w:rsidR="00213B37" w:rsidRDefault="00213B37" w:rsidP="00EB1EFB">
      <w:pPr>
        <w:pStyle w:val="Nadpis2"/>
      </w:pPr>
      <w:bookmarkStart w:id="21" w:name="_Toc383408606"/>
      <w:r>
        <w:t>Zdravotní důsledky</w:t>
      </w:r>
      <w:bookmarkEnd w:id="21"/>
    </w:p>
    <w:p w:rsidR="00213B37" w:rsidRDefault="00213B37" w:rsidP="00213B37">
      <w:pPr>
        <w:pStyle w:val="StylPrvndek125cm"/>
      </w:pPr>
      <w:r>
        <w:t>V řadě případů se u obětí stalkingu objevují</w:t>
      </w:r>
      <w:r w:rsidR="002D4EC0">
        <w:t xml:space="preserve"> spolu s psychickými problémy i </w:t>
      </w:r>
      <w:r>
        <w:t>pro</w:t>
      </w:r>
      <w:r w:rsidR="001252C7">
        <w:t xml:space="preserve">blémy zdravotní. </w:t>
      </w:r>
      <w:proofErr w:type="spellStart"/>
      <w:r w:rsidR="001252C7">
        <w:t>Sheridan</w:t>
      </w:r>
      <w:proofErr w:type="spellEnd"/>
      <w:r w:rsidR="001252C7">
        <w:t xml:space="preserve"> (2003, s.</w:t>
      </w:r>
      <w:r>
        <w:t xml:space="preserve"> 153) ve své analýze sto</w:t>
      </w:r>
      <w:r w:rsidR="00D51F41">
        <w:t xml:space="preserve"> </w:t>
      </w:r>
      <w:r w:rsidR="002D4EC0">
        <w:t>padesáti studií přichází s </w:t>
      </w:r>
      <w:r>
        <w:t>údaji, které poukazují na zhoršení zdravotního stavu obětí</w:t>
      </w:r>
      <w:r w:rsidR="00D51F41">
        <w:t>,</w:t>
      </w:r>
      <w:r>
        <w:t xml:space="preserve"> právě v důsledku nebezpečného pronásledování. Většina obětí trpěla chronickou poruchou spánku (74%), nadměrnou únavou nebo slabostí (</w:t>
      </w:r>
      <w:proofErr w:type="gramStart"/>
      <w:r>
        <w:t>55%) , poruchou</w:t>
      </w:r>
      <w:proofErr w:type="gramEnd"/>
      <w:r>
        <w:t xml:space="preserve"> chuti k jídlu (48%), častou bolestí hlavy (47 %)  (</w:t>
      </w:r>
      <w:proofErr w:type="spellStart"/>
      <w:r>
        <w:t>Pathé</w:t>
      </w:r>
      <w:proofErr w:type="spellEnd"/>
      <w:r>
        <w:t xml:space="preserve">, </w:t>
      </w:r>
      <w:proofErr w:type="spellStart"/>
      <w:r>
        <w:t>Mullen</w:t>
      </w:r>
      <w:proofErr w:type="spellEnd"/>
      <w:r w:rsidR="001252C7">
        <w:t>,</w:t>
      </w:r>
      <w:r>
        <w:t xml:space="preserve"> </w:t>
      </w:r>
      <w:r w:rsidR="001252C7">
        <w:t>1998, podle</w:t>
      </w:r>
      <w:r>
        <w:t xml:space="preserve"> </w:t>
      </w:r>
      <w:proofErr w:type="spellStart"/>
      <w:r>
        <w:t>Sheridan</w:t>
      </w:r>
      <w:proofErr w:type="spellEnd"/>
      <w:r w:rsidR="001252C7">
        <w:t>, 2003, s.</w:t>
      </w:r>
      <w:r>
        <w:t xml:space="preserve"> 153). </w:t>
      </w:r>
    </w:p>
    <w:p w:rsidR="00213B37" w:rsidRDefault="001252C7" w:rsidP="00213B37">
      <w:pPr>
        <w:pStyle w:val="StylPrvndek125cm"/>
      </w:pPr>
      <w:r>
        <w:t xml:space="preserve">Dressing, </w:t>
      </w:r>
      <w:proofErr w:type="spellStart"/>
      <w:r>
        <w:t>Kuehner</w:t>
      </w:r>
      <w:proofErr w:type="spellEnd"/>
      <w:r>
        <w:t xml:space="preserve"> a </w:t>
      </w:r>
      <w:proofErr w:type="spellStart"/>
      <w:r>
        <w:t>Gass</w:t>
      </w:r>
      <w:proofErr w:type="spellEnd"/>
      <w:r>
        <w:t xml:space="preserve"> (2005, s.</w:t>
      </w:r>
      <w:r w:rsidR="00213B37">
        <w:t xml:space="preserve"> 169) doplňuje výše uvedené zdravotní problémy o žaludeční potíže (35%). Ve svém výzkumu </w:t>
      </w:r>
      <w:r>
        <w:t xml:space="preserve">dále </w:t>
      </w:r>
      <w:r w:rsidR="00213B37">
        <w:t>zjist</w:t>
      </w:r>
      <w:r w:rsidR="002D4EC0">
        <w:t>ili, že velká část obětí není v </w:t>
      </w:r>
      <w:r w:rsidR="00213B37">
        <w:t>důsledku zdravotních potíží schopna běžné pracovní činnosti (18%).</w:t>
      </w:r>
    </w:p>
    <w:p w:rsidR="00213B37" w:rsidRDefault="001252C7" w:rsidP="00213B37">
      <w:pPr>
        <w:pStyle w:val="StylPrvndek125cm"/>
      </w:pPr>
      <w:r>
        <w:t xml:space="preserve">Zdravotní potíže mohou být i důsledkem poranění oběti, neboť takřka u poloviny </w:t>
      </w:r>
      <w:r w:rsidR="00213B37">
        <w:t>případů (43%) byla zaznamenána re</w:t>
      </w:r>
      <w:r>
        <w:t xml:space="preserve">álná hrozba fyzického násilí. Tato agrese byla směřována vůči </w:t>
      </w:r>
      <w:r w:rsidR="00213B37">
        <w:t>oběti stalkingu či osobě jí blízké (</w:t>
      </w:r>
      <w:proofErr w:type="spellStart"/>
      <w:r w:rsidR="00213B37">
        <w:t>Baum</w:t>
      </w:r>
      <w:proofErr w:type="spellEnd"/>
      <w:r>
        <w:t>, 2009, s.</w:t>
      </w:r>
      <w:r w:rsidR="00EB4C1C">
        <w:t xml:space="preserve"> 8). </w:t>
      </w:r>
      <w:proofErr w:type="spellStart"/>
      <w:r w:rsidR="00EB4C1C" w:rsidRPr="00D559F0">
        <w:t>Tjaden</w:t>
      </w:r>
      <w:proofErr w:type="spellEnd"/>
      <w:r w:rsidR="00EB4C1C" w:rsidRPr="00D559F0">
        <w:t xml:space="preserve"> a </w:t>
      </w:r>
      <w:proofErr w:type="spellStart"/>
      <w:r w:rsidR="00EB4C1C" w:rsidRPr="00D559F0">
        <w:t>Thoen</w:t>
      </w:r>
      <w:r w:rsidR="00380F98" w:rsidRPr="00D559F0">
        <w:t>n</w:t>
      </w:r>
      <w:r w:rsidR="00EB4C1C" w:rsidRPr="00D559F0">
        <w:t>es</w:t>
      </w:r>
      <w:proofErr w:type="spellEnd"/>
      <w:r w:rsidR="00EB4C1C" w:rsidRPr="00D559F0">
        <w:t xml:space="preserve"> (1998</w:t>
      </w:r>
      <w:r w:rsidR="00D559F0">
        <w:t>b</w:t>
      </w:r>
      <w:r w:rsidR="00EB4C1C" w:rsidRPr="00D559F0">
        <w:t>, s.</w:t>
      </w:r>
      <w:r w:rsidR="00D51F41" w:rsidRPr="00D559F0">
        <w:t xml:space="preserve"> 9) u</w:t>
      </w:r>
      <w:r w:rsidR="00D51F41">
        <w:t>vádějí</w:t>
      </w:r>
      <w:r w:rsidR="00821836">
        <w:t xml:space="preserve"> ve svém</w:t>
      </w:r>
      <w:r w:rsidR="00D51F41">
        <w:t xml:space="preserve"> výzkumu, který</w:t>
      </w:r>
      <w:r w:rsidR="00213B37">
        <w:t xml:space="preserve"> zahrnuje osm</w:t>
      </w:r>
      <w:r w:rsidR="002D4EC0">
        <w:t xml:space="preserve"> tisíc mužů a osm tisíc žen, že </w:t>
      </w:r>
      <w:r w:rsidR="00213B37">
        <w:t>v případě žen bylo stalkerem fyzicky zraněno 39% obětí</w:t>
      </w:r>
      <w:r w:rsidR="00821836">
        <w:t>, z nichž 30%</w:t>
      </w:r>
      <w:r w:rsidR="00213B37">
        <w:t xml:space="preserve"> bylo nuceno vyhledat lékařskou péči. </w:t>
      </w:r>
      <w:r w:rsidR="00821836">
        <w:t xml:space="preserve">V případě mužů bylo agresorem fyzicky zraněno 25% obětí, </w:t>
      </w:r>
      <w:r w:rsidR="00D161C0">
        <w:lastRenderedPageBreak/>
        <w:t>z </w:t>
      </w:r>
      <w:proofErr w:type="gramStart"/>
      <w:r w:rsidR="00D161C0">
        <w:t>nichž</w:t>
      </w:r>
      <w:proofErr w:type="gramEnd"/>
      <w:r w:rsidR="00D161C0">
        <w:t xml:space="preserve"> 37% muselo vyhledat následnou zdravotní péči. </w:t>
      </w:r>
      <w:r w:rsidR="00213B37">
        <w:t>Zranění v důsledku sexuálního znásilnění utrpěl</w:t>
      </w:r>
      <w:r w:rsidR="00D51F41">
        <w:t>o 32% žen</w:t>
      </w:r>
      <w:r w:rsidR="00D161C0">
        <w:t xml:space="preserve"> a dokonce i </w:t>
      </w:r>
      <w:r w:rsidR="00213B37">
        <w:t>16% mužů. V</w:t>
      </w:r>
      <w:r w:rsidR="00D161C0">
        <w:t>e v</w:t>
      </w:r>
      <w:r w:rsidR="00213B37">
        <w:t xml:space="preserve">íce než osmdesáti procentech </w:t>
      </w:r>
      <w:r w:rsidR="00D161C0">
        <w:t xml:space="preserve">zmíněných </w:t>
      </w:r>
      <w:r w:rsidR="00213B37">
        <w:t xml:space="preserve">případů byla nutná hospitalizace oběti. </w:t>
      </w:r>
    </w:p>
    <w:p w:rsidR="00213B37" w:rsidRDefault="00213B37" w:rsidP="00EB1EFB">
      <w:pPr>
        <w:pStyle w:val="Nadpis2"/>
      </w:pPr>
      <w:bookmarkStart w:id="22" w:name="_Toc383408607"/>
      <w:r>
        <w:t>Sociální důsledky</w:t>
      </w:r>
      <w:bookmarkEnd w:id="22"/>
    </w:p>
    <w:p w:rsidR="00213B37" w:rsidRDefault="00D161C0" w:rsidP="00213B37">
      <w:pPr>
        <w:pStyle w:val="StylPrvndek125cm"/>
      </w:pPr>
      <w:r>
        <w:t xml:space="preserve">Nebezpečné pronásledování má negativní dopady i na oblast sociální. </w:t>
      </w:r>
      <w:r w:rsidR="00213B37">
        <w:t>Oběti se snaží bývalému partnerovi vyhýbat, jsou nuceny vzdát se svých zájmů či přátel. Nejvíce komplikované jsou přípa</w:t>
      </w:r>
      <w:r>
        <w:t>dy, kdy pronásledovatele a oběť</w:t>
      </w:r>
      <w:r w:rsidR="00213B37">
        <w:t xml:space="preserve"> pojí dítě. V těchto případech je naprosté přerušení kontaktů nemožné. V některých případech jsou děti dokonce využívány k</w:t>
      </w:r>
      <w:r w:rsidR="00D51F41">
        <w:t> </w:t>
      </w:r>
      <w:r w:rsidR="00213B37">
        <w:t>manipulaci</w:t>
      </w:r>
      <w:r w:rsidR="00D51F41">
        <w:t>,</w:t>
      </w:r>
      <w:r w:rsidR="00213B37">
        <w:t xml:space="preserve"> či nebezpečnému pronásledování přihlíží (Logan</w:t>
      </w:r>
      <w:r>
        <w:t>, 2010, s.</w:t>
      </w:r>
      <w:r w:rsidR="00213B37">
        <w:t xml:space="preserve"> 12). </w:t>
      </w:r>
    </w:p>
    <w:p w:rsidR="00213B37" w:rsidRDefault="00213B37" w:rsidP="00213B37">
      <w:pPr>
        <w:pStyle w:val="StylPrvndek125cm"/>
      </w:pPr>
      <w:r>
        <w:t xml:space="preserve">Jediným cílem stalkera je oběť zeslabit a demonstrovat svoji moc. Do hry vstupují přátelé, blízcí a </w:t>
      </w:r>
      <w:r w:rsidR="00D161C0">
        <w:t xml:space="preserve">noví partneři obětí. </w:t>
      </w:r>
      <w:proofErr w:type="spellStart"/>
      <w:r w:rsidR="00D161C0">
        <w:t>Baum</w:t>
      </w:r>
      <w:proofErr w:type="spellEnd"/>
      <w:r w:rsidR="00D161C0">
        <w:t xml:space="preserve"> (2009, s.</w:t>
      </w:r>
      <w:r>
        <w:t xml:space="preserve"> 8) dodává, že v řadě případů vyhr</w:t>
      </w:r>
      <w:r w:rsidR="00D161C0">
        <w:t xml:space="preserve">ožuje </w:t>
      </w:r>
      <w:r>
        <w:t>pachatel oběti fyzi</w:t>
      </w:r>
      <w:r w:rsidR="00D161C0">
        <w:t xml:space="preserve">ckým napadením osoby jí blízké. Může se jednat o </w:t>
      </w:r>
      <w:r>
        <w:t>čle</w:t>
      </w:r>
      <w:r w:rsidR="00D161C0">
        <w:t xml:space="preserve">na rodiny, děti, nového partnera, </w:t>
      </w:r>
      <w:r w:rsidR="00736DC4">
        <w:t xml:space="preserve">nebo dokonce i </w:t>
      </w:r>
      <w:r w:rsidR="00D161C0">
        <w:t>domácí</w:t>
      </w:r>
      <w:r w:rsidR="00736DC4">
        <w:t>ho</w:t>
      </w:r>
      <w:r w:rsidR="00D161C0">
        <w:t xml:space="preserve"> mazl</w:t>
      </w:r>
      <w:r w:rsidR="00736DC4">
        <w:t>íčka</w:t>
      </w:r>
      <w:r>
        <w:t>. Tento problém tak může v novém vztahu zcela dominovat. Nový partner se zpravidla stává další obětí stalkingu (</w:t>
      </w:r>
      <w:proofErr w:type="spellStart"/>
      <w:r>
        <w:t>Buskotte</w:t>
      </w:r>
      <w:proofErr w:type="spellEnd"/>
      <w:r w:rsidR="00736DC4">
        <w:t>, 2008, s.</w:t>
      </w:r>
      <w:r>
        <w:t xml:space="preserve"> 53). Což je možná i příčinou, proč většina obětí ex-partner</w:t>
      </w:r>
      <w:r w:rsidR="00736DC4">
        <w:t>ského</w:t>
      </w:r>
      <w:r>
        <w:t xml:space="preserve"> stalkingu zůstává po rozchodu i na</w:t>
      </w:r>
      <w:r w:rsidR="00C675C6">
        <w:t>dále sama (</w:t>
      </w:r>
      <w:proofErr w:type="spellStart"/>
      <w:r w:rsidR="00C675C6">
        <w:t>Campbell</w:t>
      </w:r>
      <w:proofErr w:type="spellEnd"/>
      <w:r w:rsidR="00C675C6">
        <w:t xml:space="preserve"> a kol., 2003, s. </w:t>
      </w:r>
      <w:proofErr w:type="gramStart"/>
      <w:r w:rsidR="00C675C6">
        <w:t xml:space="preserve">1094) </w:t>
      </w:r>
      <w:r w:rsidR="00736DC4">
        <w:t>(</w:t>
      </w:r>
      <w:proofErr w:type="spellStart"/>
      <w:r>
        <w:t>Buskotte</w:t>
      </w:r>
      <w:proofErr w:type="spellEnd"/>
      <w:proofErr w:type="gramEnd"/>
      <w:r w:rsidR="00736DC4">
        <w:t>, 2008, s.</w:t>
      </w:r>
      <w:r>
        <w:t xml:space="preserve"> 47). </w:t>
      </w:r>
    </w:p>
    <w:p w:rsidR="00213B37" w:rsidRDefault="00C675C6" w:rsidP="00213B37">
      <w:pPr>
        <w:pStyle w:val="StylPrvndek125cm"/>
      </w:pPr>
      <w:r>
        <w:t xml:space="preserve">V důsledku ex-partnerského stalkingu je </w:t>
      </w:r>
      <w:r w:rsidR="00213B37">
        <w:t xml:space="preserve">mnoho obětí </w:t>
      </w:r>
      <w:r>
        <w:t>donuceno přijmout životní změny.</w:t>
      </w:r>
      <w:r w:rsidR="001F6962">
        <w:t xml:space="preserve"> Nejčastěji se jedná o změnu</w:t>
      </w:r>
      <w:r w:rsidR="00213B37">
        <w:t xml:space="preserve"> denní</w:t>
      </w:r>
      <w:r w:rsidR="001F6962">
        <w:t>ch činností</w:t>
      </w:r>
      <w:r w:rsidR="00213B37">
        <w:t xml:space="preserve"> (22%), </w:t>
      </w:r>
      <w:r w:rsidR="001F6962">
        <w:t>zdržování se</w:t>
      </w:r>
      <w:r w:rsidR="002D4EC0">
        <w:t xml:space="preserve"> více doma s </w:t>
      </w:r>
      <w:r w:rsidR="00213B37">
        <w:t>rodinou (18%)</w:t>
      </w:r>
      <w:r w:rsidR="001F6962">
        <w:t>, časté čerpání dovolené (18%), změnu cesty do práce (13%), pracovní změnu</w:t>
      </w:r>
      <w:r w:rsidR="00213B37">
        <w:t xml:space="preserve"> č</w:t>
      </w:r>
      <w:r w:rsidR="001F6962">
        <w:t>i naprosté ukončení pracovní činnosti (</w:t>
      </w:r>
      <w:proofErr w:type="gramStart"/>
      <w:r w:rsidR="001F6962">
        <w:t>10%) (</w:t>
      </w:r>
      <w:proofErr w:type="spellStart"/>
      <w:r w:rsidR="001F6962">
        <w:t>Ba</w:t>
      </w:r>
      <w:r w:rsidR="00213B37">
        <w:t>um</w:t>
      </w:r>
      <w:proofErr w:type="spellEnd"/>
      <w:proofErr w:type="gramEnd"/>
      <w:r w:rsidR="001F6962">
        <w:t>, 2009, s.</w:t>
      </w:r>
      <w:r w:rsidR="00213B37">
        <w:t xml:space="preserve"> 6). </w:t>
      </w:r>
      <w:proofErr w:type="spellStart"/>
      <w:r w:rsidR="001F6962">
        <w:t>Baum</w:t>
      </w:r>
      <w:proofErr w:type="spellEnd"/>
      <w:r w:rsidR="001F6962">
        <w:t xml:space="preserve"> (2009, s. 7</w:t>
      </w:r>
      <w:r w:rsidR="00213B37">
        <w:t>) skrze r</w:t>
      </w:r>
      <w:r w:rsidR="00D37A43">
        <w:t>ozsáhlý výzkum</w:t>
      </w:r>
      <w:r w:rsidR="00213B37">
        <w:t xml:space="preserve"> zjistil, že </w:t>
      </w:r>
      <w:r w:rsidR="00D51F41">
        <w:t>z</w:t>
      </w:r>
      <w:r w:rsidR="001F6962">
        <w:t xml:space="preserve"> </w:t>
      </w:r>
      <w:r w:rsidR="00D37A43">
        <w:t xml:space="preserve">6 </w:t>
      </w:r>
      <w:r w:rsidR="001F6962">
        <w:t>miliónů obětí</w:t>
      </w:r>
      <w:r w:rsidR="009E35DE">
        <w:t xml:space="preserve"> jich</w:t>
      </w:r>
      <w:r w:rsidR="001F6962">
        <w:t xml:space="preserve"> </w:t>
      </w:r>
      <w:r w:rsidR="00D37A43">
        <w:t xml:space="preserve">přišlo 130 </w:t>
      </w:r>
      <w:r w:rsidR="009E35DE">
        <w:t>tisíc</w:t>
      </w:r>
      <w:r w:rsidR="00D37A43">
        <w:t xml:space="preserve"> </w:t>
      </w:r>
      <w:r w:rsidR="00213B37">
        <w:t xml:space="preserve">o své zaměstnání právě v důsledku stalkingu. </w:t>
      </w:r>
    </w:p>
    <w:p w:rsidR="00213B37" w:rsidRDefault="00213B37" w:rsidP="00213B37">
      <w:pPr>
        <w:pStyle w:val="StylPrvndek125cm"/>
      </w:pPr>
      <w:proofErr w:type="spellStart"/>
      <w:r>
        <w:t>Sheri</w:t>
      </w:r>
      <w:r w:rsidR="00D37A43">
        <w:t>dan</w:t>
      </w:r>
      <w:proofErr w:type="spellEnd"/>
      <w:r w:rsidR="00D37A43">
        <w:t xml:space="preserve"> (2003, s.</w:t>
      </w:r>
      <w:r>
        <w:t xml:space="preserve"> 153) provedla analýzu </w:t>
      </w:r>
      <w:r w:rsidR="00D37A43">
        <w:t xml:space="preserve">150 </w:t>
      </w:r>
      <w:r>
        <w:t>studií</w:t>
      </w:r>
      <w:r w:rsidR="002D4EC0">
        <w:t xml:space="preserve"> vytvořených od roku 1990, ta </w:t>
      </w:r>
      <w:r>
        <w:t xml:space="preserve">odhaluje skutečnost, že velké procento obětí bylo kvůli nebezpečnému pronásledování nuceno změnit dokonce i svoje současné bydliště (11% - 66%). </w:t>
      </w:r>
    </w:p>
    <w:p w:rsidR="00213B37" w:rsidRDefault="00D37A43" w:rsidP="00213B37">
      <w:pPr>
        <w:pStyle w:val="StylPrvndek125cm"/>
      </w:pPr>
      <w:proofErr w:type="spellStart"/>
      <w:r>
        <w:t>Baum</w:t>
      </w:r>
      <w:proofErr w:type="spellEnd"/>
      <w:r>
        <w:t xml:space="preserve"> (2009, s.</w:t>
      </w:r>
      <w:r w:rsidR="00213B37">
        <w:t xml:space="preserve"> 6) </w:t>
      </w:r>
      <w:r>
        <w:t xml:space="preserve">dále </w:t>
      </w:r>
      <w:r w:rsidR="00213B37">
        <w:t>dodává, že řada obětí byla nucena přijmout ochranná opatření, jako příkladně blokování telefonních hovorů (18</w:t>
      </w:r>
      <w:r w:rsidR="002D4EC0">
        <w:t>%), výměna zámku u </w:t>
      </w:r>
      <w:r w:rsidR="00213B37">
        <w:t xml:space="preserve">vchodových dveří, pořízení zabezpečovacího systému (13%), anebo dokonce pořízení zbraně (3%). </w:t>
      </w:r>
    </w:p>
    <w:p w:rsidR="00213B37" w:rsidRDefault="00213B37" w:rsidP="00213B37">
      <w:pPr>
        <w:pStyle w:val="StylPrvndek125cm"/>
      </w:pPr>
      <w:r>
        <w:t xml:space="preserve">Z výše uvedených průzkumů vyplývá, že většina obětí stalkingu je skutečně nucena přijmout ve svém životě závažné změny. Což má pochopitelně i finanční následky. </w:t>
      </w:r>
      <w:r>
        <w:lastRenderedPageBreak/>
        <w:t>Dochází k mimořádným výdajům, jež jsou spojovány právě s přijímáním nových opatření. Léčebné výlohy, investice do bezpečnostních zařízení</w:t>
      </w:r>
      <w:r w:rsidR="00270221">
        <w:t>, oprava či náhrada věcí, které </w:t>
      </w:r>
      <w:r>
        <w:t xml:space="preserve">pronásledovatel zničil, nebývají zanedbatelnou částkou. Studie uvádí, že </w:t>
      </w:r>
      <w:proofErr w:type="gramStart"/>
      <w:r>
        <w:t>ve 47%</w:t>
      </w:r>
      <w:proofErr w:type="gramEnd"/>
      <w:r>
        <w:t xml:space="preserve"> případů přinesl stalking oběti citelnou materiální ztrátu (Čírtková</w:t>
      </w:r>
      <w:r w:rsidR="00D37A43">
        <w:t>, 2008, s.</w:t>
      </w:r>
      <w:r>
        <w:t xml:space="preserve"> 85).</w:t>
      </w:r>
    </w:p>
    <w:p w:rsidR="00213B37" w:rsidRDefault="00213B37" w:rsidP="00213B37">
      <w:pPr>
        <w:pStyle w:val="StylPrvndek125cm"/>
      </w:pPr>
      <w:r>
        <w:t>Stalking přináší oběti značný stres a nepříjemná očekávání. Praktiky stalkera přivádí oběť ke špatnému</w:t>
      </w:r>
      <w:r w:rsidR="004471BA">
        <w:t xml:space="preserve"> psychickému rozpoložení, což mimo jiné </w:t>
      </w:r>
      <w:r>
        <w:t xml:space="preserve">vede </w:t>
      </w:r>
      <w:r w:rsidR="004471BA">
        <w:t xml:space="preserve">i </w:t>
      </w:r>
      <w:r>
        <w:t>k</w:t>
      </w:r>
      <w:r w:rsidR="004471BA">
        <w:t> tomu, že oběť tráví více času doma a méně chodí do společnosti</w:t>
      </w:r>
      <w:r w:rsidR="00AA5B07">
        <w:t xml:space="preserve">, v důsledku čehož dochází k sociální izolaci oběti </w:t>
      </w:r>
      <w:r>
        <w:t>(Dressing</w:t>
      </w:r>
      <w:r w:rsidR="00D37A43">
        <w:t xml:space="preserve"> a kol., 2005, s.</w:t>
      </w:r>
      <w:r w:rsidR="004471BA">
        <w:t xml:space="preserve"> 1</w:t>
      </w:r>
      <w:r w:rsidR="009E35DE">
        <w:t>69).   K tomuto</w:t>
      </w:r>
      <w:r w:rsidR="00AA5B07">
        <w:t xml:space="preserve"> přispívají i situace</w:t>
      </w:r>
      <w:r>
        <w:t xml:space="preserve">, kdy si </w:t>
      </w:r>
      <w:r w:rsidR="004471BA">
        <w:t xml:space="preserve">přátelé oběti </w:t>
      </w:r>
      <w:r>
        <w:t>neumí představit, co</w:t>
      </w:r>
      <w:r w:rsidR="00AA5B07">
        <w:t xml:space="preserve"> oběť</w:t>
      </w:r>
      <w:r>
        <w:t xml:space="preserve"> </w:t>
      </w:r>
      <w:r w:rsidR="004471BA">
        <w:t xml:space="preserve">právě </w:t>
      </w:r>
      <w:r>
        <w:t>prožívá</w:t>
      </w:r>
      <w:r w:rsidR="00AA5B07">
        <w:t>. N</w:t>
      </w:r>
      <w:r w:rsidR="004471BA">
        <w:t xml:space="preserve">ěkteří se </w:t>
      </w:r>
      <w:r w:rsidR="00AA5B07">
        <w:t>dokonce</w:t>
      </w:r>
      <w:r w:rsidR="004471BA">
        <w:t xml:space="preserve"> mylně domnívají</w:t>
      </w:r>
      <w:r>
        <w:t xml:space="preserve">, že </w:t>
      </w:r>
      <w:r w:rsidR="004471BA">
        <w:t xml:space="preserve">si </w:t>
      </w:r>
      <w:r>
        <w:t xml:space="preserve">oběť za </w:t>
      </w:r>
      <w:r w:rsidR="004471BA">
        <w:t xml:space="preserve">trestný čin může sama. V jiných případech </w:t>
      </w:r>
      <w:r w:rsidR="00AA5B07">
        <w:t xml:space="preserve">naopak </w:t>
      </w:r>
      <w:r>
        <w:t xml:space="preserve">netuší, jak se k oběti </w:t>
      </w:r>
      <w:r w:rsidR="00AA5B07">
        <w:t xml:space="preserve">vlastně </w:t>
      </w:r>
      <w:r>
        <w:t>c</w:t>
      </w:r>
      <w:r w:rsidR="004471BA">
        <w:t xml:space="preserve">hovat, a tak se </w:t>
      </w:r>
      <w:r w:rsidR="00AA5B07">
        <w:t xml:space="preserve">jí </w:t>
      </w:r>
      <w:r w:rsidR="004471BA">
        <w:t>raději vyhýbají</w:t>
      </w:r>
      <w:r w:rsidR="00AA5B07">
        <w:t xml:space="preserve"> </w:t>
      </w:r>
      <w:r>
        <w:t>(Vágnerová</w:t>
      </w:r>
      <w:r w:rsidR="00AA5B07">
        <w:t>, 2004, s.</w:t>
      </w:r>
      <w:r>
        <w:t xml:space="preserve"> 841). </w:t>
      </w:r>
    </w:p>
    <w:p w:rsidR="00213B37" w:rsidRDefault="00213B37" w:rsidP="00213B37">
      <w:pPr>
        <w:pStyle w:val="StylPrvndek125cm"/>
      </w:pPr>
    </w:p>
    <w:p w:rsidR="00213B37" w:rsidRDefault="00213B37" w:rsidP="00EB1EFB">
      <w:pPr>
        <w:pStyle w:val="Nadpis1"/>
      </w:pPr>
      <w:bookmarkStart w:id="23" w:name="_Toc383408608"/>
      <w:r>
        <w:lastRenderedPageBreak/>
        <w:t>Odborná pomoc obětem ex-partnerského stalkingu</w:t>
      </w:r>
      <w:bookmarkEnd w:id="23"/>
      <w:r>
        <w:t xml:space="preserve"> </w:t>
      </w:r>
    </w:p>
    <w:p w:rsidR="00213B37" w:rsidRDefault="00213B37" w:rsidP="00213B37">
      <w:pPr>
        <w:pStyle w:val="StylPrvndek125cm"/>
      </w:pPr>
      <w:r>
        <w:t>Je zřejmé, že dopady onoho jevu nejsou malé. Stalking je navíc vcelku nový typ kriminálního činu a stává se, že oběť neví, kam se o pomoc obrátit. Kritickým může být okamžik, kdy požádá o podporu někoho, kdo danému problému vůbec nerozumí a nechápe celou dynamiku stalkingu, oběť se pak uzavře ještě více do sebe a snaží se danou situaci zvládnout sama (Francis</w:t>
      </w:r>
      <w:r w:rsidR="00C71584">
        <w:t>, 2005, s.</w:t>
      </w:r>
      <w:r>
        <w:t xml:space="preserve"> 338). </w:t>
      </w:r>
    </w:p>
    <w:p w:rsidR="00213B37" w:rsidRDefault="00213B37" w:rsidP="00213B37">
      <w:pPr>
        <w:pStyle w:val="StylPrvndek125cm"/>
      </w:pPr>
      <w:r>
        <w:t>Tato kapitola proto nabízí základní přehled odborné pomoci oběti ex-partnerského násilí. Velmi zjednodušeně bychom mohli říci, že rozhodne-li se oběť svoji situaci řešit, může se obrátit o pomoc na státní, soukromé či neziskové subjekty (</w:t>
      </w:r>
      <w:proofErr w:type="spellStart"/>
      <w:r>
        <w:t>Vodáčková</w:t>
      </w:r>
      <w:proofErr w:type="spellEnd"/>
      <w:r w:rsidR="002427D5">
        <w:t>, 2007, s. </w:t>
      </w:r>
      <w:r>
        <w:t>501).</w:t>
      </w:r>
    </w:p>
    <w:p w:rsidR="00213B37" w:rsidRDefault="00213B37" w:rsidP="00213B37">
      <w:pPr>
        <w:pStyle w:val="StylPrvndek125cm"/>
      </w:pPr>
      <w:r>
        <w:t>Jedná se tedy o Polic</w:t>
      </w:r>
      <w:r w:rsidR="0028433C">
        <w:t>ii České republiky</w:t>
      </w:r>
      <w:r w:rsidR="0028433C" w:rsidRPr="002427D5">
        <w:t>, s</w:t>
      </w:r>
      <w:r w:rsidRPr="002427D5">
        <w:t>tátní</w:t>
      </w:r>
      <w:r>
        <w:t xml:space="preserve"> zastupitelství, advokátní kanceláře, zdravotnická zařízení, psychiatrické a psychologické ambulance, probační a mediační služby, sociálně právní poradny, poradny pro oběti trestných činů, občanské poradny, krizová </w:t>
      </w:r>
      <w:r w:rsidR="00C71584">
        <w:t xml:space="preserve">a </w:t>
      </w:r>
      <w:r>
        <w:t>intervenční centra, telefonické intervenční krizové služby, orgán</w:t>
      </w:r>
      <w:r w:rsidR="00016FEF">
        <w:t>y sociálně právní ochrany dětí</w:t>
      </w:r>
      <w:r>
        <w:t xml:space="preserve"> a v neposlední řadě církevní organizace (Čírtková</w:t>
      </w:r>
      <w:r w:rsidR="00C71584">
        <w:t>, 2007, s.</w:t>
      </w:r>
      <w:r>
        <w:t xml:space="preserve"> </w:t>
      </w:r>
      <w:proofErr w:type="gramStart"/>
      <w:r>
        <w:t>123) (</w:t>
      </w:r>
      <w:proofErr w:type="spellStart"/>
      <w:r>
        <w:t>Vodáčková</w:t>
      </w:r>
      <w:proofErr w:type="spellEnd"/>
      <w:proofErr w:type="gramEnd"/>
      <w:r w:rsidR="00C71584">
        <w:t>, 2013, s.</w:t>
      </w:r>
      <w:r>
        <w:t xml:space="preserve"> 501) (</w:t>
      </w:r>
      <w:proofErr w:type="spellStart"/>
      <w:r>
        <w:t>Vodáčková</w:t>
      </w:r>
      <w:proofErr w:type="spellEnd"/>
      <w:r w:rsidR="00C71584">
        <w:t>, 2007, s.</w:t>
      </w:r>
      <w:r>
        <w:t xml:space="preserve"> 501-515).</w:t>
      </w:r>
    </w:p>
    <w:p w:rsidR="00213B37" w:rsidRDefault="00213B37" w:rsidP="00213B37">
      <w:pPr>
        <w:pStyle w:val="StylPrvndek125cm"/>
      </w:pPr>
      <w:r>
        <w:t xml:space="preserve">Tyto složky nabízí obětem trestných činů pomoc, kterou zahrnuje především poskytování potřebných informací, podání návrhů k soudu, pomoc v průběhu hlavního líčení, dále poskytují psychoterapeutickou intervenci, ubytování, </w:t>
      </w:r>
      <w:r w:rsidR="00C71584">
        <w:t xml:space="preserve">materiální a finanční pomoc, </w:t>
      </w:r>
      <w:r>
        <w:t>stravu či pomoc s vyřízením sociálních dávek (Čírtková</w:t>
      </w:r>
      <w:r w:rsidR="00CA30AA">
        <w:t>, 2007, s.</w:t>
      </w:r>
      <w:r>
        <w:t xml:space="preserve"> </w:t>
      </w:r>
      <w:proofErr w:type="gramStart"/>
      <w:r>
        <w:t>142) (</w:t>
      </w:r>
      <w:r w:rsidR="004A58B7">
        <w:t>§</w:t>
      </w:r>
      <w:r w:rsidR="009C3E7B">
        <w:t xml:space="preserve"> </w:t>
      </w:r>
      <w:r w:rsidR="004A58B7">
        <w:t>35</w:t>
      </w:r>
      <w:proofErr w:type="gramEnd"/>
      <w:r w:rsidR="004A58B7">
        <w:t xml:space="preserve">, </w:t>
      </w:r>
      <w:r>
        <w:t>zákon č.108/2006 Sb.).</w:t>
      </w:r>
    </w:p>
    <w:p w:rsidR="00213B37" w:rsidRDefault="00213B37" w:rsidP="008C68DA">
      <w:pPr>
        <w:pStyle w:val="Nadpis2"/>
      </w:pPr>
      <w:bookmarkStart w:id="24" w:name="_Toc383408609"/>
      <w:r>
        <w:t>Právní normy poskytující ochr</w:t>
      </w:r>
      <w:r w:rsidR="008C68DA">
        <w:t>anu v případech ex-partnerského</w:t>
      </w:r>
      <w:r w:rsidR="008C68DA">
        <w:br/>
      </w:r>
      <w:r>
        <w:t>stalkingu</w:t>
      </w:r>
      <w:bookmarkEnd w:id="24"/>
      <w:r>
        <w:t xml:space="preserve"> </w:t>
      </w:r>
    </w:p>
    <w:p w:rsidR="00213B37" w:rsidRDefault="00213B37" w:rsidP="00213B37">
      <w:pPr>
        <w:pStyle w:val="StylPrvndek125cm"/>
      </w:pPr>
      <w:r>
        <w:t xml:space="preserve">Od 1. 1. 2010 je v České republice podle </w:t>
      </w:r>
      <w:r w:rsidRPr="004A58B7">
        <w:rPr>
          <w:b/>
        </w:rPr>
        <w:t>Zákona č. 40/2009 Sb., trestního zákoníku</w:t>
      </w:r>
      <w:r w:rsidR="004A58B7">
        <w:t xml:space="preserve"> (dále jen </w:t>
      </w:r>
      <w:proofErr w:type="spellStart"/>
      <w:r w:rsidR="004A58B7">
        <w:t>TrZ</w:t>
      </w:r>
      <w:proofErr w:type="spellEnd"/>
      <w:r w:rsidR="004A58B7">
        <w:t>)</w:t>
      </w:r>
      <w:r>
        <w:t>,</w:t>
      </w:r>
      <w:r w:rsidR="009C3E7B">
        <w:t xml:space="preserve"> je</w:t>
      </w:r>
      <w:r>
        <w:t xml:space="preserve"> stalking trest</w:t>
      </w:r>
      <w:r w:rsidR="009C3E7B">
        <w:t xml:space="preserve">ným činem a to přesněji podle § </w:t>
      </w:r>
      <w:r w:rsidR="002427D5">
        <w:t>354 o </w:t>
      </w:r>
      <w:r>
        <w:t>nebezpečném pronásledování. V některých případech může být současně posuzován také podle § 353 jako nebe</w:t>
      </w:r>
      <w:r w:rsidR="009E35DE">
        <w:t>zpečné vyhrožování. Nebezpečné</w:t>
      </w:r>
      <w:r>
        <w:t xml:space="preserve"> pronásledování obvykle doprovázejí i jiné trestné činy. Stalker může být současně stíhán i pro „trestné činy ome</w:t>
      </w:r>
      <w:r w:rsidR="009E35DE">
        <w:t xml:space="preserve">zování osobní svobody (§ 171 </w:t>
      </w:r>
      <w:proofErr w:type="spellStart"/>
      <w:r w:rsidR="009E35DE">
        <w:t>TrZ</w:t>
      </w:r>
      <w:proofErr w:type="spellEnd"/>
      <w:r>
        <w:t xml:space="preserve">), porušování domovní svobody (§ 178 </w:t>
      </w:r>
      <w:proofErr w:type="spellStart"/>
      <w:r>
        <w:t>TrZ</w:t>
      </w:r>
      <w:proofErr w:type="spellEnd"/>
      <w:r>
        <w:t xml:space="preserve">), </w:t>
      </w:r>
      <w:r>
        <w:lastRenderedPageBreak/>
        <w:t xml:space="preserve">porušení tajemství dopravovaných zpráv (§ 182 </w:t>
      </w:r>
      <w:proofErr w:type="spellStart"/>
      <w:r>
        <w:t>TrZ</w:t>
      </w:r>
      <w:proofErr w:type="spellEnd"/>
      <w:r>
        <w:t xml:space="preserve">), poškození cizí věci (§ 228 </w:t>
      </w:r>
      <w:proofErr w:type="spellStart"/>
      <w:r>
        <w:t>TrZ</w:t>
      </w:r>
      <w:proofErr w:type="spellEnd"/>
      <w:r>
        <w:t xml:space="preserve">), výtržnictví (§ 358 </w:t>
      </w:r>
      <w:proofErr w:type="spellStart"/>
      <w:r>
        <w:t>T</w:t>
      </w:r>
      <w:r w:rsidR="00CA30AA">
        <w:t>rZ</w:t>
      </w:r>
      <w:proofErr w:type="spellEnd"/>
      <w:r w:rsidR="00CA30AA">
        <w:t xml:space="preserve">), týrání zvířat (§ 302 </w:t>
      </w:r>
      <w:proofErr w:type="spellStart"/>
      <w:proofErr w:type="gramStart"/>
      <w:r w:rsidR="00CA30AA">
        <w:t>TrZ</w:t>
      </w:r>
      <w:proofErr w:type="spellEnd"/>
      <w:r w:rsidR="00CA30AA">
        <w:t>)</w:t>
      </w:r>
      <w:r>
        <w:t xml:space="preserve"> (</w:t>
      </w:r>
      <w:proofErr w:type="spellStart"/>
      <w:r>
        <w:t>Visinger</w:t>
      </w:r>
      <w:proofErr w:type="spellEnd"/>
      <w:proofErr w:type="gramEnd"/>
      <w:r w:rsidR="009C3E7B">
        <w:t>,</w:t>
      </w:r>
      <w:r>
        <w:t xml:space="preserve"> 2009)</w:t>
      </w:r>
      <w:r w:rsidR="009C3E7B">
        <w:t>.</w:t>
      </w:r>
    </w:p>
    <w:p w:rsidR="00213B37" w:rsidRDefault="00213B37" w:rsidP="0026657A">
      <w:pPr>
        <w:pStyle w:val="StylPrvndek125cm"/>
      </w:pPr>
      <w:r>
        <w:t xml:space="preserve">Nový </w:t>
      </w:r>
      <w:r w:rsidRPr="009C3E7B">
        <w:rPr>
          <w:b/>
        </w:rPr>
        <w:t>zákona č. 45/2013 Sb., o obětech trestných činů</w:t>
      </w:r>
      <w:r w:rsidR="00CA30AA">
        <w:t>, který nabyl účinnosti 1. 8. </w:t>
      </w:r>
      <w:r>
        <w:t>2013, přinesl obětem trestných činů několik pozitivních změn. Jednou z nich je i</w:t>
      </w:r>
      <w:r w:rsidR="002427D5">
        <w:t> </w:t>
      </w:r>
      <w:r>
        <w:t>skutečnost, kdy se podle §</w:t>
      </w:r>
      <w:r w:rsidR="009C3E7B">
        <w:t xml:space="preserve"> </w:t>
      </w:r>
      <w:r>
        <w:t xml:space="preserve">48 písmene d) </w:t>
      </w:r>
      <w:r w:rsidR="009C3E7B">
        <w:t xml:space="preserve">stávají </w:t>
      </w:r>
      <w:r>
        <w:t>střediska Probační</w:t>
      </w:r>
      <w:r w:rsidR="009E35DE">
        <w:t xml:space="preserve"> a mediační služby poskytovateli</w:t>
      </w:r>
      <w:r>
        <w:t xml:space="preserve"> pomoci i obětem trestných činů. Probační služby jsou</w:t>
      </w:r>
      <w:r w:rsidR="00016FEF">
        <w:t xml:space="preserve"> v těchto případech</w:t>
      </w:r>
      <w:r>
        <w:t xml:space="preserve"> bezplatné</w:t>
      </w:r>
      <w:r w:rsidR="0026657A">
        <w:t xml:space="preserve">. </w:t>
      </w:r>
      <w:r w:rsidR="0026657A" w:rsidRPr="00B5442B">
        <w:rPr>
          <w:b/>
        </w:rPr>
        <w:t>Zákon č. 257/2000 Sb., o probační a mediační službě</w:t>
      </w:r>
      <w:r w:rsidR="00CA30AA">
        <w:t>, který nabyl účinnosti 1. </w:t>
      </w:r>
      <w:r w:rsidR="0026657A">
        <w:t>1. 2001, zejména vymezuje probační a mediační čin</w:t>
      </w:r>
      <w:r w:rsidR="002427D5">
        <w:t>nost ve věcech projednávaných v </w:t>
      </w:r>
      <w:r w:rsidR="0026657A">
        <w:t xml:space="preserve">trestním řízení. Probační služba je jednou z alternativních forem práce s pachateli stalkingu </w:t>
      </w:r>
      <w:r w:rsidR="009C3E7B">
        <w:t>(PMSCR, 2013)</w:t>
      </w:r>
      <w:r>
        <w:t xml:space="preserve">.   </w:t>
      </w:r>
    </w:p>
    <w:p w:rsidR="00B5442B" w:rsidRDefault="0026657A" w:rsidP="00B5442B">
      <w:pPr>
        <w:pStyle w:val="StylPrvndek125cm"/>
      </w:pPr>
      <w:r>
        <w:t>V předešlých kapitolách</w:t>
      </w:r>
      <w:r w:rsidR="00213B37">
        <w:t xml:space="preserve"> již</w:t>
      </w:r>
      <w:r w:rsidR="00016FEF">
        <w:t xml:space="preserve"> </w:t>
      </w:r>
      <w:r>
        <w:t xml:space="preserve">bylo </w:t>
      </w:r>
      <w:r w:rsidR="00016FEF">
        <w:t>zmíněno</w:t>
      </w:r>
      <w:r>
        <w:t>, že</w:t>
      </w:r>
      <w:r w:rsidR="00213B37">
        <w:t xml:space="preserve"> ve většině p</w:t>
      </w:r>
      <w:r w:rsidR="002427D5">
        <w:t xml:space="preserve">řípadů předchází </w:t>
      </w:r>
      <w:r w:rsidR="00536396">
        <w:br/>
      </w:r>
      <w:r w:rsidR="002427D5" w:rsidRPr="002427D5">
        <w:t>ex</w:t>
      </w:r>
      <w:r w:rsidR="002427D5">
        <w:t>-</w:t>
      </w:r>
      <w:r w:rsidR="00213B37" w:rsidRPr="002427D5">
        <w:t>partnerskému</w:t>
      </w:r>
      <w:r w:rsidR="00213B37">
        <w:t xml:space="preserve"> pronásledování domácí násilí. Z tohoto pohledu je třeba zmínit</w:t>
      </w:r>
      <w:r w:rsidR="00016FEF">
        <w:t xml:space="preserve"> i</w:t>
      </w:r>
      <w:r w:rsidR="00213B37">
        <w:t xml:space="preserve"> </w:t>
      </w:r>
      <w:r w:rsidR="00C21754">
        <w:rPr>
          <w:b/>
        </w:rPr>
        <w:t>zákon</w:t>
      </w:r>
      <w:r w:rsidR="00213B37" w:rsidRPr="00016FEF">
        <w:rPr>
          <w:b/>
        </w:rPr>
        <w:t xml:space="preserve"> č.135/2006 Sb., kterým se mění některé zákony v oblasti ochrany před domácím násilím</w:t>
      </w:r>
      <w:r w:rsidR="00016FEF">
        <w:rPr>
          <w:b/>
        </w:rPr>
        <w:t xml:space="preserve">, </w:t>
      </w:r>
      <w:r w:rsidR="00213B37">
        <w:t>zákon nabyl účinno</w:t>
      </w:r>
      <w:r w:rsidR="00016FEF">
        <w:t>sti 1. 1. 2007</w:t>
      </w:r>
      <w:r w:rsidR="00213B37">
        <w:t>. Přijetím této právní normy se Česká republika oficiálně přihlásila k řešení problematiky domácího násilí. Podstatou zákona je možnost zásahu příslušných státních orgánů do vzta</w:t>
      </w:r>
      <w:r w:rsidR="009E35DE">
        <w:t>hu dvou osob společně bydlících</w:t>
      </w:r>
      <w:r w:rsidR="00213B37">
        <w:t xml:space="preserve"> a to v případě, kdy je jedna osoba druhou ohrožena. Právním nástrojem je vykázán</w:t>
      </w:r>
      <w:r w:rsidR="002427D5">
        <w:t>í násilné osoby ze </w:t>
      </w:r>
      <w:r w:rsidR="00213B37">
        <w:t>společného obydlí na dobu deseti dnů. Při podání návrhu předběžného opatření je možné tuto dobu prodloužit (</w:t>
      </w:r>
      <w:r w:rsidR="00213B37" w:rsidRPr="00016FEF">
        <w:rPr>
          <w:b/>
        </w:rPr>
        <w:t>zákon č. 273/2008 Sb. o Policii České republiky</w:t>
      </w:r>
      <w:r w:rsidR="00213B37">
        <w:t xml:space="preserve">, § 44 odst. 2). Aby byla pomoc </w:t>
      </w:r>
      <w:r w:rsidR="00016FEF">
        <w:t>komplexní a účinná</w:t>
      </w:r>
      <w:r w:rsidR="00213B37">
        <w:t xml:space="preserve">, je </w:t>
      </w:r>
      <w:r w:rsidR="00016FEF">
        <w:t xml:space="preserve">důležitá </w:t>
      </w:r>
      <w:r w:rsidR="00213B37">
        <w:t xml:space="preserve">návazná činnost dalších institucí, </w:t>
      </w:r>
      <w:r w:rsidR="00016FEF">
        <w:t xml:space="preserve">která </w:t>
      </w:r>
      <w:r w:rsidR="00213B37">
        <w:t>následuje po aktu vykázání provedeném Policií Č</w:t>
      </w:r>
      <w:r w:rsidR="00B5442B">
        <w:t>eské republiky</w:t>
      </w:r>
      <w:r w:rsidR="00016FEF">
        <w:t>. Podle zákona č. 135/2006 Sb.</w:t>
      </w:r>
      <w:r w:rsidR="00213B37">
        <w:t xml:space="preserve"> § 21b odst. 2 mají policisté povinnost informovat o dom</w:t>
      </w:r>
      <w:r w:rsidR="00B5442B">
        <w:t>ácím násilí intervenční centrum</w:t>
      </w:r>
      <w:r w:rsidR="00270221">
        <w:t xml:space="preserve"> (</w:t>
      </w:r>
      <w:r w:rsidR="00BD4649">
        <w:t>Ševčík</w:t>
      </w:r>
      <w:r w:rsidR="00270221">
        <w:t xml:space="preserve"> a kol., 2011, s. 112)</w:t>
      </w:r>
      <w:r w:rsidR="00B5442B">
        <w:t>.</w:t>
      </w:r>
      <w:r w:rsidR="00213B37">
        <w:t xml:space="preserve"> </w:t>
      </w:r>
    </w:p>
    <w:p w:rsidR="00B5442B" w:rsidRDefault="00B5442B" w:rsidP="00B5442B">
      <w:pPr>
        <w:pStyle w:val="StylPrvndek125cm"/>
      </w:pPr>
      <w:r>
        <w:t xml:space="preserve">Tato činnost má právní oporu v </w:t>
      </w:r>
      <w:r w:rsidRPr="00B5442B">
        <w:rPr>
          <w:b/>
        </w:rPr>
        <w:t>zákoně 108/2006 Sb., o sociálních službách</w:t>
      </w:r>
      <w:r>
        <w:t>, který nabyl účinnosti 1. 1. 2007, a to konkrétně v § 60a, kdy je oběť svěřena do kompetence intervenčních center. V době, kdy se oběť domácího násilí či ex-partnerského stalkingu nachází v nepříznivé sociální situaci, kterou není schopna řešit vlastními silami, může se obrátit na službu krizové pomoci, jejíž činnost právně podtrhuje § 60. Tato služba je však poskytována pouze na dobu přechodnou</w:t>
      </w:r>
      <w:r w:rsidRPr="00717E62">
        <w:t>. „Interdisciplinární spolupráce umožňuje pomoc osobám ohroženým domácím násilím nejen ve smyslu vykázání, ale jejím cílem je také vytvoření systému preventivních řešení této problematiky na regionální úrovni podle aktuální situace.“</w:t>
      </w:r>
      <w:r w:rsidRPr="00AB2F70">
        <w:rPr>
          <w:i/>
        </w:rPr>
        <w:t xml:space="preserve"> </w:t>
      </w:r>
      <w:r>
        <w:t>(IC-Brno, nedatováno)</w:t>
      </w:r>
    </w:p>
    <w:p w:rsidR="00213B37" w:rsidRDefault="00B5442B" w:rsidP="00B5442B">
      <w:pPr>
        <w:pStyle w:val="StylPrvndek125cm"/>
      </w:pPr>
      <w:r>
        <w:lastRenderedPageBreak/>
        <w:t>J</w:t>
      </w:r>
      <w:r w:rsidR="00213B37">
        <w:t>e-li přítomna v bytě nezletilá osoba, je třeba informovat také odbor sociálně právní ochrany dětí (</w:t>
      </w:r>
      <w:r w:rsidR="00016FEF">
        <w:t xml:space="preserve">dále jen </w:t>
      </w:r>
      <w:r w:rsidR="00213B37">
        <w:t xml:space="preserve">OSPOD). Podle </w:t>
      </w:r>
      <w:r w:rsidR="00213B37" w:rsidRPr="00016FEF">
        <w:rPr>
          <w:b/>
        </w:rPr>
        <w:t>zá</w:t>
      </w:r>
      <w:r w:rsidR="00BF0DB5">
        <w:rPr>
          <w:b/>
        </w:rPr>
        <w:t xml:space="preserve">kon č. 359/1999 Sb., o sociálně </w:t>
      </w:r>
      <w:r w:rsidR="00213B37" w:rsidRPr="00016FEF">
        <w:rPr>
          <w:b/>
        </w:rPr>
        <w:t>právní ochraně dětí,</w:t>
      </w:r>
      <w:r w:rsidR="00213B37">
        <w:t xml:space="preserve"> se ochrana zaměřuje primárně na blaho dítěte, </w:t>
      </w:r>
      <w:r w:rsidR="009E35DE">
        <w:t>rodičovskou výchovu a péči, při</w:t>
      </w:r>
      <w:r w:rsidR="00213B37">
        <w:t xml:space="preserve">čemž přihlíží </w:t>
      </w:r>
      <w:r>
        <w:t xml:space="preserve">i </w:t>
      </w:r>
      <w:r w:rsidR="00213B37">
        <w:t>k šir</w:t>
      </w:r>
      <w:r w:rsidR="002B4BAC">
        <w:t>šímu sociálnímu prostředí, ve kterém dítě vyrůstá</w:t>
      </w:r>
      <w:r w:rsidR="00213B37">
        <w:t xml:space="preserve">. </w:t>
      </w:r>
      <w:r>
        <w:t>Je třeba si uvědomit,</w:t>
      </w:r>
      <w:r w:rsidR="002427D5">
        <w:t xml:space="preserve"> že </w:t>
      </w:r>
      <w:r>
        <w:t>b</w:t>
      </w:r>
      <w:r w:rsidR="002B4BAC">
        <w:t>laho</w:t>
      </w:r>
      <w:r w:rsidR="009B562F">
        <w:t xml:space="preserve"> dítěte i jeho citový vývoj, mohou</w:t>
      </w:r>
      <w:r w:rsidR="002B4BAC">
        <w:t xml:space="preserve"> být právě v důsledku ex-partnerského stalkingu značně</w:t>
      </w:r>
      <w:r>
        <w:t xml:space="preserve"> poznamenán</w:t>
      </w:r>
      <w:r w:rsidR="009B562F">
        <w:t>y</w:t>
      </w:r>
      <w:r w:rsidR="002B4BAC">
        <w:t xml:space="preserve">. </w:t>
      </w:r>
      <w:r w:rsidR="00CA30AA" w:rsidRPr="00CA30AA">
        <w:t xml:space="preserve">Dle § 924 nového </w:t>
      </w:r>
      <w:r w:rsidR="00BD4649">
        <w:rPr>
          <w:b/>
        </w:rPr>
        <w:t>Občanského zákoníku č. 89/2012</w:t>
      </w:r>
      <w:r w:rsidR="00CA30AA" w:rsidRPr="00CA30AA">
        <w:rPr>
          <w:b/>
        </w:rPr>
        <w:t xml:space="preserve"> Sb.</w:t>
      </w:r>
      <w:r w:rsidR="00CA30AA" w:rsidRPr="00CA30AA">
        <w:t xml:space="preserve"> může soud, je-li to v zájmu dítěte, styk s rodiči upravit.</w:t>
      </w:r>
    </w:p>
    <w:p w:rsidR="00213B37" w:rsidRDefault="00213B37" w:rsidP="00EB1EFB">
      <w:pPr>
        <w:pStyle w:val="Nadpis2"/>
      </w:pPr>
      <w:bookmarkStart w:id="25" w:name="_Toc383408610"/>
      <w:r>
        <w:t>Formy odborné krizové pomoci v sociálních službách</w:t>
      </w:r>
      <w:bookmarkEnd w:id="25"/>
      <w:r>
        <w:t xml:space="preserve"> </w:t>
      </w:r>
    </w:p>
    <w:p w:rsidR="00213B37" w:rsidRDefault="0026657A" w:rsidP="00213B37">
      <w:pPr>
        <w:pStyle w:val="StylPrvndek125cm"/>
      </w:pPr>
      <w:r>
        <w:t>Dle zákona č. 108/2006 Sb.,</w:t>
      </w:r>
      <w:r w:rsidR="00213B37">
        <w:t xml:space="preserve"> zahrnují sociální služby sociální poradenství, služby sociální prevence a služby sociální péče (§ 32), zákon dále rozlišuje </w:t>
      </w:r>
      <w:r w:rsidR="009B562F">
        <w:t>tři formy sociálních služeb</w:t>
      </w:r>
      <w:r>
        <w:t xml:space="preserve"> a to pobytovou, ambulantní a </w:t>
      </w:r>
      <w:r w:rsidR="00213B37">
        <w:t>terénní (§</w:t>
      </w:r>
      <w:r>
        <w:t xml:space="preserve"> </w:t>
      </w:r>
      <w:r w:rsidR="00213B37">
        <w:t>33). Sociální pracovníci poskytují obětem stalkingu pomoc nejčastěji v rámci služeb sociálního poradenství (§</w:t>
      </w:r>
      <w:r>
        <w:t xml:space="preserve"> </w:t>
      </w:r>
      <w:r w:rsidR="00213B37">
        <w:t>37) a sociální prevence (§</w:t>
      </w:r>
      <w:r>
        <w:t xml:space="preserve"> </w:t>
      </w:r>
      <w:r w:rsidR="00213B37">
        <w:t xml:space="preserve">53). </w:t>
      </w:r>
    </w:p>
    <w:p w:rsidR="00213B37" w:rsidRDefault="00213B37" w:rsidP="00213B37">
      <w:pPr>
        <w:pStyle w:val="StylPrvndek125cm"/>
      </w:pPr>
      <w:r>
        <w:t>Služby sociální prevence napomáhají zabránit sociálnímu vyloučení osob v</w:t>
      </w:r>
      <w:r w:rsidR="002427D5">
        <w:t> </w:t>
      </w:r>
      <w:r>
        <w:t>dů</w:t>
      </w:r>
      <w:r w:rsidR="002427D5">
        <w:t>sledku </w:t>
      </w:r>
      <w:r w:rsidR="009B562F">
        <w:t>krizové sociální situace</w:t>
      </w:r>
      <w:r>
        <w:t xml:space="preserve"> a mimo jiné napomáhají i prosaz</w:t>
      </w:r>
      <w:r w:rsidR="009B562F">
        <w:t>ová</w:t>
      </w:r>
      <w:r w:rsidR="002427D5">
        <w:t>ní práv osob, </w:t>
      </w:r>
      <w:proofErr w:type="gramStart"/>
      <w:r w:rsidR="002427D5">
        <w:t>jenž</w:t>
      </w:r>
      <w:proofErr w:type="gramEnd"/>
      <w:r w:rsidR="002427D5">
        <w:t> </w:t>
      </w:r>
      <w:proofErr w:type="gramStart"/>
      <w:r w:rsidR="002427D5" w:rsidRPr="002427D5">
        <w:t>jsou</w:t>
      </w:r>
      <w:r w:rsidR="002427D5">
        <w:t> </w:t>
      </w:r>
      <w:r w:rsidRPr="002427D5">
        <w:t>ohroženy</w:t>
      </w:r>
      <w:proofErr w:type="gramEnd"/>
      <w:r>
        <w:t xml:space="preserve"> trestnou činností jiné fyzické o</w:t>
      </w:r>
      <w:r w:rsidR="002427D5">
        <w:t>soby. Mezi tyto osoby se řadí i </w:t>
      </w:r>
      <w:r>
        <w:t xml:space="preserve">oběti ex-partnerského násilí. </w:t>
      </w:r>
      <w:r w:rsidRPr="00AB2F70">
        <w:t>„Cílem služeb sociální</w:t>
      </w:r>
      <w:r w:rsidR="002427D5">
        <w:t xml:space="preserve"> prevence je napomáhat osobám k </w:t>
      </w:r>
      <w:r w:rsidRPr="00AB2F70">
        <w:t>překonání jejich nepříznivé sociální situace a chránit společnost před vznikem a šířením nežádoucích společenských jevů.“</w:t>
      </w:r>
      <w:r>
        <w:t xml:space="preserve"> (§</w:t>
      </w:r>
      <w:r w:rsidR="0026657A">
        <w:t xml:space="preserve"> </w:t>
      </w:r>
      <w:r>
        <w:t xml:space="preserve">53, zákon č. 108/2006 Sb.) </w:t>
      </w:r>
    </w:p>
    <w:p w:rsidR="00213B37" w:rsidRDefault="00213B37" w:rsidP="00213B37">
      <w:pPr>
        <w:pStyle w:val="StylPrvndek125cm"/>
      </w:pPr>
      <w:r>
        <w:t>Rozhodne-li se oběť stalkingu vyhledat pomoc, jedná se v rámci služeb sociální prevence především o služby krizové pomoci (§</w:t>
      </w:r>
      <w:r w:rsidR="0026657A">
        <w:t xml:space="preserve"> </w:t>
      </w:r>
      <w:r>
        <w:t>60), telefonické krizové pomoci (§</w:t>
      </w:r>
      <w:r w:rsidR="0026657A">
        <w:t xml:space="preserve"> </w:t>
      </w:r>
      <w:r>
        <w:t>55), anebo o služby intervenčního krizového centra (§</w:t>
      </w:r>
      <w:r w:rsidR="0026657A">
        <w:t xml:space="preserve"> </w:t>
      </w:r>
      <w:r>
        <w:t>60a). V rámci těchto služeb je poskytováno i sociální poradenství (§</w:t>
      </w:r>
      <w:r w:rsidR="0026657A">
        <w:t xml:space="preserve"> </w:t>
      </w:r>
      <w:r>
        <w:t>37)</w:t>
      </w:r>
      <w:r w:rsidR="0026657A">
        <w:t>,</w:t>
      </w:r>
      <w:r w:rsidR="009B562F">
        <w:t xml:space="preserve"> které</w:t>
      </w:r>
      <w:r>
        <w:t xml:space="preserve"> je základní činností všech sociálních služeb.</w:t>
      </w:r>
    </w:p>
    <w:p w:rsidR="00213B37" w:rsidRDefault="00213B37" w:rsidP="00213B37">
      <w:pPr>
        <w:pStyle w:val="StylPrvndek125cm"/>
      </w:pPr>
      <w:r>
        <w:t xml:space="preserve">Výše uvedený zákon definuje krizovou pomoc jako </w:t>
      </w:r>
      <w:r w:rsidR="002427D5">
        <w:t>„terénní, ambulantní nebo </w:t>
      </w:r>
      <w:r w:rsidRPr="00AB2F70">
        <w:t>pobytovou službu, poskytovanou na přechodnou do</w:t>
      </w:r>
      <w:r w:rsidR="002427D5">
        <w:t>bu osobám, které se nacházejí v </w:t>
      </w:r>
      <w:r w:rsidRPr="00AB2F70">
        <w:t xml:space="preserve">situaci ohrožení zdraví nebo života, kdy dočasně nemohou řešit svoji nepříznivou sociální situaci vlastními silami.“ </w:t>
      </w:r>
    </w:p>
    <w:p w:rsidR="00213B37" w:rsidRDefault="00717E62" w:rsidP="00213B37">
      <w:pPr>
        <w:pStyle w:val="StylPrvndek125cm"/>
      </w:pPr>
      <w:r>
        <w:t xml:space="preserve"> </w:t>
      </w:r>
      <w:r w:rsidR="004D36E7">
        <w:t xml:space="preserve">Tomeš (2010, s. 346) zdůrazňuje skutečnost, že </w:t>
      </w:r>
      <w:r w:rsidR="004D36E7" w:rsidRPr="004D36E7">
        <w:t xml:space="preserve">zabezpečit pomoc oběti </w:t>
      </w:r>
      <w:r w:rsidR="00213B37" w:rsidRPr="004D36E7">
        <w:t xml:space="preserve">běžným úředním postupem trvá </w:t>
      </w:r>
      <w:r w:rsidR="004D36E7" w:rsidRPr="004D36E7">
        <w:t xml:space="preserve">mnohdy i </w:t>
      </w:r>
      <w:r w:rsidR="004D36E7">
        <w:t>týdny. O</w:t>
      </w:r>
      <w:r w:rsidR="004D36E7" w:rsidRPr="004D36E7">
        <w:t>běť</w:t>
      </w:r>
      <w:r w:rsidR="004D36E7">
        <w:t xml:space="preserve"> však </w:t>
      </w:r>
      <w:r w:rsidR="004D36E7" w:rsidRPr="004D36E7">
        <w:t xml:space="preserve">většinou </w:t>
      </w:r>
      <w:r w:rsidR="00213B37" w:rsidRPr="004D36E7">
        <w:t xml:space="preserve">potřebuje </w:t>
      </w:r>
      <w:r w:rsidR="004D36E7">
        <w:t xml:space="preserve">řešit </w:t>
      </w:r>
      <w:r w:rsidR="00213B37" w:rsidRPr="004D36E7">
        <w:t>onu svízelnou situaci okamžitě</w:t>
      </w:r>
      <w:r w:rsidR="004D36E7" w:rsidRPr="004D36E7">
        <w:t>.</w:t>
      </w:r>
      <w:r w:rsidR="00213B37">
        <w:t xml:space="preserve"> Z tohoto důvodu vznikají intervenční </w:t>
      </w:r>
      <w:r w:rsidR="004D36E7">
        <w:t xml:space="preserve">a </w:t>
      </w:r>
      <w:r w:rsidR="00213B37">
        <w:t xml:space="preserve">krizová centra, která představují </w:t>
      </w:r>
      <w:r w:rsidR="00213B37">
        <w:lastRenderedPageBreak/>
        <w:t>dle zákona o sociálních službách (č.108/2006 Sb.) rychlou a účinnou pomoc lidem v nouzi. Cílem krizové intervence je vrátit</w:t>
      </w:r>
      <w:r w:rsidR="009B562F">
        <w:t>,</w:t>
      </w:r>
      <w:r w:rsidR="00213B37">
        <w:t xml:space="preserve"> co možná nejdříve</w:t>
      </w:r>
      <w:r w:rsidR="009B562F">
        <w:t>, těmto lidem</w:t>
      </w:r>
      <w:r w:rsidR="00213B37">
        <w:t xml:space="preserve"> a tedy i obětem stalkingu, pocit bezpečí a na</w:t>
      </w:r>
      <w:r w:rsidR="009B562F">
        <w:t>děje, která vede ke zvýšení jejich</w:t>
      </w:r>
      <w:r w:rsidR="00213B37">
        <w:t xml:space="preserve"> schopnosti danou situaci zvládnout (</w:t>
      </w:r>
      <w:proofErr w:type="spellStart"/>
      <w:r w:rsidR="00213B37">
        <w:t>Vodáčková</w:t>
      </w:r>
      <w:proofErr w:type="spellEnd"/>
      <w:r w:rsidR="004D36E7">
        <w:t>, 2007, s.</w:t>
      </w:r>
      <w:r w:rsidR="00213B37">
        <w:t xml:space="preserve"> 53).  </w:t>
      </w:r>
    </w:p>
    <w:p w:rsidR="00213B37" w:rsidRDefault="00213B37" w:rsidP="00213B37">
      <w:pPr>
        <w:pStyle w:val="StylPrvndek125cm"/>
      </w:pPr>
      <w:r>
        <w:t xml:space="preserve">Rozhodne-li se oběť stalkingu vyhledat pomoc, může využít sociálních </w:t>
      </w:r>
      <w:r w:rsidR="004D36E7">
        <w:t>služeb organizací, které dokáží</w:t>
      </w:r>
      <w:r w:rsidR="00F547FD">
        <w:t xml:space="preserve"> </w:t>
      </w:r>
      <w:r>
        <w:t>poskytnou</w:t>
      </w:r>
      <w:r w:rsidR="009B562F">
        <w:t>t</w:t>
      </w:r>
      <w:r>
        <w:t xml:space="preserve"> kvalifikovanou pomo</w:t>
      </w:r>
      <w:r w:rsidR="004D36E7">
        <w:t>c. Mezi n</w:t>
      </w:r>
      <w:r>
        <w:t>ejvýznamnější organizace</w:t>
      </w:r>
      <w:r w:rsidR="009B562F">
        <w:t>,</w:t>
      </w:r>
      <w:r>
        <w:t xml:space="preserve"> zabývající se přímo problematikou stalkingu</w:t>
      </w:r>
      <w:r w:rsidR="009B562F">
        <w:t>,</w:t>
      </w:r>
      <w:r w:rsidR="004D36E7">
        <w:t xml:space="preserve"> patří </w:t>
      </w:r>
      <w:r>
        <w:t>Intervenční centrum Brno, Inte</w:t>
      </w:r>
      <w:r w:rsidR="009B562F">
        <w:t>rdisciplinární tým města Brna, N</w:t>
      </w:r>
      <w:r>
        <w:t>ezi</w:t>
      </w:r>
      <w:r w:rsidR="00F547FD">
        <w:t>sková organizace STOP Stalking,</w:t>
      </w:r>
      <w:r>
        <w:t xml:space="preserve"> Poradna ELPIS Ostrava a v neposlední řadě Bílý kruh bezpečí. </w:t>
      </w:r>
    </w:p>
    <w:p w:rsidR="00213B37" w:rsidRDefault="00213B37" w:rsidP="00213B37">
      <w:pPr>
        <w:pStyle w:val="StylPrvndek125cm"/>
      </w:pPr>
      <w:r>
        <w:t>Činnost výše uvedených služ</w:t>
      </w:r>
      <w:r w:rsidR="00F547FD">
        <w:t xml:space="preserve">eb zahrnuje odbornou pomoc, nazývanou </w:t>
      </w:r>
      <w:r w:rsidR="0087241B" w:rsidRPr="0087241B">
        <w:rPr>
          <w:i/>
        </w:rPr>
        <w:t>„</w:t>
      </w:r>
      <w:r w:rsidR="00F547FD" w:rsidRPr="0087241B">
        <w:rPr>
          <w:i/>
        </w:rPr>
        <w:t>krizovou intervencí</w:t>
      </w:r>
      <w:r w:rsidR="0087241B" w:rsidRPr="0087241B">
        <w:rPr>
          <w:i/>
        </w:rPr>
        <w:t>“</w:t>
      </w:r>
      <w:r>
        <w:t>.</w:t>
      </w:r>
      <w:r w:rsidR="00BE62CC">
        <w:t xml:space="preserve"> </w:t>
      </w:r>
      <w:r w:rsidR="00BE62CC" w:rsidRPr="002427D5">
        <w:t xml:space="preserve">Sociální pracovník </w:t>
      </w:r>
      <w:r w:rsidR="00BE62CC" w:rsidRPr="002427D5">
        <w:rPr>
          <w:rFonts w:eastAsia="Calibri"/>
          <w:color w:val="000000"/>
          <w:szCs w:val="22"/>
          <w:lang w:eastAsia="en-US"/>
        </w:rPr>
        <w:t xml:space="preserve">poskytující krizovou intervenci je </w:t>
      </w:r>
      <w:r w:rsidR="00AB2F70" w:rsidRPr="002427D5">
        <w:rPr>
          <w:rFonts w:eastAsia="Calibri"/>
          <w:color w:val="000000"/>
          <w:szCs w:val="22"/>
          <w:lang w:eastAsia="en-US"/>
        </w:rPr>
        <w:t xml:space="preserve">též </w:t>
      </w:r>
      <w:r w:rsidR="00BE62CC" w:rsidRPr="002427D5">
        <w:rPr>
          <w:rFonts w:eastAsia="Calibri"/>
          <w:color w:val="000000"/>
          <w:szCs w:val="22"/>
          <w:lang w:eastAsia="en-US"/>
        </w:rPr>
        <w:t>nazýván</w:t>
      </w:r>
      <w:r w:rsidR="00AB2F70" w:rsidRPr="002427D5">
        <w:rPr>
          <w:rFonts w:eastAsia="Calibri"/>
          <w:color w:val="000000"/>
          <w:szCs w:val="22"/>
          <w:lang w:eastAsia="en-US"/>
        </w:rPr>
        <w:t xml:space="preserve"> </w:t>
      </w:r>
      <w:r w:rsidR="00BE62CC" w:rsidRPr="002427D5">
        <w:rPr>
          <w:rFonts w:eastAsia="Calibri"/>
          <w:i/>
          <w:color w:val="000000"/>
          <w:szCs w:val="22"/>
          <w:lang w:eastAsia="en-US"/>
        </w:rPr>
        <w:t>„krizovým pracovníkem“</w:t>
      </w:r>
      <w:r w:rsidR="00BE62CC" w:rsidRPr="002427D5">
        <w:rPr>
          <w:rFonts w:eastAsia="Calibri"/>
          <w:color w:val="000000"/>
          <w:szCs w:val="22"/>
          <w:lang w:eastAsia="en-US"/>
        </w:rPr>
        <w:t xml:space="preserve">. </w:t>
      </w:r>
      <w:r w:rsidR="00BE62CC" w:rsidRPr="002427D5">
        <w:t xml:space="preserve">Jeho pomoc </w:t>
      </w:r>
      <w:r w:rsidRPr="002427D5">
        <w:t>stojí na</w:t>
      </w:r>
      <w:r w:rsidR="00F547FD" w:rsidRPr="002427D5">
        <w:t xml:space="preserve"> odbornosti a vhodné intervenci, jenž dokáže oběti poskytnout </w:t>
      </w:r>
      <w:r w:rsidRPr="002427D5">
        <w:t>(</w:t>
      </w:r>
      <w:proofErr w:type="spellStart"/>
      <w:r>
        <w:t>Vodáčková</w:t>
      </w:r>
      <w:proofErr w:type="spellEnd"/>
      <w:r w:rsidR="006C7E5A">
        <w:t xml:space="preserve">, 2007, s. 59). </w:t>
      </w:r>
      <w:r w:rsidR="00F547FD">
        <w:t xml:space="preserve">Podle </w:t>
      </w:r>
      <w:proofErr w:type="spellStart"/>
      <w:r w:rsidR="00F547FD">
        <w:t>Vodáčkové</w:t>
      </w:r>
      <w:proofErr w:type="spellEnd"/>
      <w:r w:rsidR="00F547FD">
        <w:t xml:space="preserve"> (2007, s.</w:t>
      </w:r>
      <w:r w:rsidR="00CA30AA">
        <w:t xml:space="preserve"> 55) </w:t>
      </w:r>
      <w:r>
        <w:t xml:space="preserve">je možné v České republice identifikovat pět forem krizové pomoci, </w:t>
      </w:r>
      <w:r w:rsidR="00F547FD" w:rsidRPr="002427D5">
        <w:t xml:space="preserve">které </w:t>
      </w:r>
      <w:r w:rsidR="001A651C" w:rsidRPr="002427D5">
        <w:t>jsem</w:t>
      </w:r>
      <w:r w:rsidRPr="002427D5">
        <w:t xml:space="preserve"> pře</w:t>
      </w:r>
      <w:r w:rsidR="00AA4154" w:rsidRPr="002427D5">
        <w:t>hledně seřadila</w:t>
      </w:r>
      <w:r w:rsidR="002427D5">
        <w:t xml:space="preserve"> v </w:t>
      </w:r>
      <w:r w:rsidR="00F547FD" w:rsidRPr="002427D5">
        <w:t>následující tabulce (</w:t>
      </w:r>
      <w:r w:rsidR="00142603" w:rsidRPr="002427D5">
        <w:t>viz</w:t>
      </w:r>
      <w:r w:rsidR="00AA4154" w:rsidRPr="002427D5">
        <w:t xml:space="preserve"> </w:t>
      </w:r>
      <w:r w:rsidR="00F547FD" w:rsidRPr="002427D5">
        <w:t>Tab</w:t>
      </w:r>
      <w:r w:rsidR="00CA30AA" w:rsidRPr="002427D5">
        <w:t>ulka č</w:t>
      </w:r>
      <w:r w:rsidR="00F547FD" w:rsidRPr="002427D5">
        <w:t>. 3</w:t>
      </w:r>
      <w:r w:rsidRPr="002427D5">
        <w:t>).</w:t>
      </w:r>
      <w:r w:rsidR="00AA4154" w:rsidRPr="002427D5">
        <w:t xml:space="preserve"> Veselský (2011, s. 37) doplňuje výše zmíněné formy krizové pomoci o nově se rozvíjející internetové poradenství.</w:t>
      </w:r>
      <w:r w:rsidR="00AA4154">
        <w:t xml:space="preserve"> </w:t>
      </w:r>
    </w:p>
    <w:p w:rsidR="00F547FD" w:rsidRDefault="00F547FD" w:rsidP="00213B37">
      <w:pPr>
        <w:pStyle w:val="StylPrvndek125cm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4536"/>
      </w:tblGrid>
      <w:tr w:rsidR="00F547FD" w:rsidRPr="00F547FD" w:rsidTr="00AA4154"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b/>
                <w:sz w:val="20"/>
                <w:szCs w:val="20"/>
                <w:lang w:eastAsia="en-US"/>
              </w:rPr>
              <w:t>Formy krizové pomoci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b/>
                <w:sz w:val="20"/>
                <w:szCs w:val="20"/>
                <w:lang w:eastAsia="en-US"/>
              </w:rPr>
              <w:t>Druh kontakt krizového pracovníka s klientem</w:t>
            </w:r>
          </w:p>
        </w:tc>
      </w:tr>
      <w:tr w:rsidR="00F547FD" w:rsidRPr="00F547FD" w:rsidTr="00AA4154"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AA4154" w:rsidRDefault="00AA4154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A415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F547FD" w:rsidRDefault="00F547FD" w:rsidP="00AA4154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Forma ambulantní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Osobní kontakt</w:t>
            </w:r>
          </w:p>
          <w:p w:rsidR="00F547FD" w:rsidRPr="00F547FD" w:rsidRDefault="00F547FD" w:rsidP="00AA4154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„face to face“</w:t>
            </w:r>
          </w:p>
        </w:tc>
      </w:tr>
      <w:tr w:rsidR="00F547FD" w:rsidRPr="00F547FD" w:rsidTr="00AA4154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AA4154" w:rsidRDefault="00AA4154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A415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F547FD" w:rsidRDefault="00F547FD" w:rsidP="00AA4154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Forma pobytová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47FD" w:rsidRPr="00F547FD" w:rsidTr="00AA4154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AA4154" w:rsidRDefault="00AA4154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A415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F547FD" w:rsidRDefault="00F547FD" w:rsidP="00AA4154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Forma terénní služby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47FD" w:rsidRPr="00F547FD" w:rsidTr="00AA4154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AA4154" w:rsidRDefault="00AA4154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A4154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F547FD" w:rsidRDefault="00F547FD" w:rsidP="00AA4154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Forma krizové pomoci a služby v klientově přirozeném prostředí</w:t>
            </w:r>
          </w:p>
          <w:p w:rsidR="00F547FD" w:rsidRPr="00F547FD" w:rsidRDefault="00F547FD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47FD" w:rsidRPr="00F547FD" w:rsidTr="00AA4154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AA4154" w:rsidRDefault="00AA4154" w:rsidP="00AA4154">
            <w:pPr>
              <w:spacing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A4154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47FD" w:rsidRPr="00F547FD" w:rsidRDefault="00F547FD" w:rsidP="00AA4154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Forma telefonické krizové pomoci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7FD" w:rsidRPr="00F547FD" w:rsidRDefault="00F547FD" w:rsidP="00AA4154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547FD">
              <w:rPr>
                <w:rFonts w:eastAsia="Calibri"/>
                <w:sz w:val="20"/>
                <w:szCs w:val="20"/>
                <w:lang w:eastAsia="en-US"/>
              </w:rPr>
              <w:t>Telefonický kontakt</w:t>
            </w:r>
          </w:p>
        </w:tc>
      </w:tr>
    </w:tbl>
    <w:p w:rsidR="00F547FD" w:rsidRPr="001A651C" w:rsidRDefault="00F547FD" w:rsidP="001A651C">
      <w:pPr>
        <w:pStyle w:val="StylPrvndek125cm"/>
        <w:spacing w:before="240"/>
        <w:ind w:firstLine="0"/>
        <w:jc w:val="center"/>
        <w:rPr>
          <w:i/>
        </w:rPr>
      </w:pPr>
      <w:r w:rsidRPr="001A651C">
        <w:rPr>
          <w:i/>
        </w:rPr>
        <w:t>Tab</w:t>
      </w:r>
      <w:r w:rsidR="00CA30AA" w:rsidRPr="001A651C">
        <w:rPr>
          <w:i/>
        </w:rPr>
        <w:t>ulka č</w:t>
      </w:r>
      <w:r w:rsidRPr="001A651C">
        <w:rPr>
          <w:i/>
        </w:rPr>
        <w:t>. 3</w:t>
      </w:r>
      <w:r w:rsidR="00213B37" w:rsidRPr="001A651C">
        <w:rPr>
          <w:i/>
        </w:rPr>
        <w:t>: Formy odborné krizové pomoci</w:t>
      </w:r>
    </w:p>
    <w:p w:rsidR="006B0483" w:rsidRDefault="006B0483" w:rsidP="00F547FD">
      <w:pPr>
        <w:pStyle w:val="StylPrvndek125cm"/>
        <w:spacing w:before="240"/>
        <w:ind w:firstLine="0"/>
      </w:pPr>
    </w:p>
    <w:p w:rsidR="00213B37" w:rsidRDefault="00213B37" w:rsidP="00EB1EFB">
      <w:pPr>
        <w:pStyle w:val="Nadpis3"/>
      </w:pPr>
      <w:bookmarkStart w:id="26" w:name="_Toc383408611"/>
      <w:r>
        <w:t>Služby ambulantní</w:t>
      </w:r>
      <w:bookmarkEnd w:id="26"/>
    </w:p>
    <w:p w:rsidR="00213B37" w:rsidRDefault="00213B37" w:rsidP="00213B37">
      <w:pPr>
        <w:pStyle w:val="StylPrvndek125cm"/>
      </w:pPr>
      <w:r>
        <w:t>Do skupiny ambulantních služeb patří zejména poradny, ve vztahu k nebezpečném</w:t>
      </w:r>
      <w:r w:rsidR="009B562F">
        <w:t>u</w:t>
      </w:r>
      <w:r>
        <w:t xml:space="preserve"> pronásledování hovoříme o poradnách pro oběti trestných činů a domácího násilí, dále pak </w:t>
      </w:r>
      <w:r>
        <w:lastRenderedPageBreak/>
        <w:t xml:space="preserve">o sociálně právních poradnách, poradnách pro rodinu a mezilidské </w:t>
      </w:r>
      <w:r w:rsidR="009B562F">
        <w:t>vztahy, či občanských poradnách. P</w:t>
      </w:r>
      <w:r>
        <w:t>oslední jmenované však neposkytují krizovou intervenci ani psychologi</w:t>
      </w:r>
      <w:r w:rsidR="00F547FD">
        <w:t>cké poradenství (</w:t>
      </w:r>
      <w:proofErr w:type="spellStart"/>
      <w:r w:rsidR="00F547FD">
        <w:t>Vodáčková</w:t>
      </w:r>
      <w:proofErr w:type="spellEnd"/>
      <w:r w:rsidR="00F547FD">
        <w:t>, 2007,</w:t>
      </w:r>
      <w:r>
        <w:t xml:space="preserve"> </w:t>
      </w:r>
      <w:r w:rsidR="00CA30AA">
        <w:t>s. 55 a</w:t>
      </w:r>
      <w:r w:rsidR="00F547FD">
        <w:t xml:space="preserve"> </w:t>
      </w:r>
      <w:r>
        <w:t xml:space="preserve">509). </w:t>
      </w:r>
    </w:p>
    <w:p w:rsidR="00213B37" w:rsidRDefault="00213B37" w:rsidP="00213B37">
      <w:pPr>
        <w:pStyle w:val="StylPrvndek125cm"/>
      </w:pPr>
      <w:r>
        <w:t>Jedná se o zařízení, která se specializují na pomoc lidem v krizi. Mezi tyto osoby se moh</w:t>
      </w:r>
      <w:r w:rsidR="009B562F">
        <w:t>ou řadit i oběti stalkingu. Tato pracoviště nabízejí</w:t>
      </w:r>
      <w:r>
        <w:t xml:space="preserve"> </w:t>
      </w:r>
      <w:r w:rsidR="002427D5">
        <w:t>sociální poradenství základní a odborné</w:t>
      </w:r>
      <w:r>
        <w:t xml:space="preserve"> (§</w:t>
      </w:r>
      <w:r w:rsidR="00646CC4">
        <w:t xml:space="preserve"> </w:t>
      </w:r>
      <w:r>
        <w:t>37, zákon č. 108/2006 Sb.).</w:t>
      </w:r>
    </w:p>
    <w:p w:rsidR="00213B37" w:rsidRDefault="00213B37" w:rsidP="00213B37">
      <w:pPr>
        <w:pStyle w:val="StylPrvndek125cm"/>
      </w:pPr>
      <w:r>
        <w:t>Poradenská služba zahrnuj</w:t>
      </w:r>
      <w:r w:rsidR="009B562F">
        <w:t>e tři základní činnosti. P</w:t>
      </w:r>
      <w:r w:rsidR="00646CC4">
        <w:t xml:space="preserve">ředevším </w:t>
      </w:r>
      <w:r w:rsidRPr="00646CC4">
        <w:t xml:space="preserve">zprostředkování </w:t>
      </w:r>
      <w:r w:rsidR="00646CC4" w:rsidRPr="00646CC4">
        <w:t>potřebných kontaktů</w:t>
      </w:r>
      <w:r w:rsidRPr="00646CC4">
        <w:t xml:space="preserve">, </w:t>
      </w:r>
      <w:r w:rsidR="00646CC4" w:rsidRPr="00646CC4">
        <w:t>poskytnutí sociálně terapeutické</w:t>
      </w:r>
      <w:r w:rsidRPr="00646CC4">
        <w:t xml:space="preserve"> činnost</w:t>
      </w:r>
      <w:r w:rsidR="00646CC4" w:rsidRPr="00646CC4">
        <w:t>i</w:t>
      </w:r>
      <w:r w:rsidRPr="00646CC4">
        <w:t xml:space="preserve"> a</w:t>
      </w:r>
      <w:r w:rsidR="00646CC4" w:rsidRPr="00646CC4">
        <w:t xml:space="preserve"> v neposlední řadě poskytnutí</w:t>
      </w:r>
      <w:r w:rsidRPr="00646CC4">
        <w:t xml:space="preserve"> pomoc</w:t>
      </w:r>
      <w:r w:rsidR="00646CC4" w:rsidRPr="00646CC4">
        <w:t>i</w:t>
      </w:r>
      <w:r w:rsidR="009B562F">
        <w:t xml:space="preserve"> při uplatňování práv oprávněných zájmů</w:t>
      </w:r>
      <w:r w:rsidRPr="00646CC4">
        <w:t xml:space="preserve"> při obstarávání osobních záležitostí</w:t>
      </w:r>
      <w:r>
        <w:t xml:space="preserve"> (§</w:t>
      </w:r>
      <w:r w:rsidR="00646CC4">
        <w:t xml:space="preserve"> </w:t>
      </w:r>
      <w:r>
        <w:t>37, zákon č. 108/2006 Sb.).</w:t>
      </w:r>
    </w:p>
    <w:p w:rsidR="00213B37" w:rsidRDefault="00213B37" w:rsidP="00213B37">
      <w:pPr>
        <w:pStyle w:val="StylPrvndek125cm"/>
      </w:pPr>
      <w:r>
        <w:t>Přesněji řečeno sociální poradenství se zaměřuje na př</w:t>
      </w:r>
      <w:r w:rsidR="002427D5">
        <w:t>edávání informací či </w:t>
      </w:r>
      <w:r>
        <w:t>zkontaktování oběti s potřebným odborníkem. V případě ex-partnerského stalkingu se jedná především o právníky, lékaře, pracovníky OSPOD, psychology a psychiatry (Čírtková</w:t>
      </w:r>
      <w:r w:rsidR="00646CC4">
        <w:t>, 2007, s.</w:t>
      </w:r>
      <w:r>
        <w:t xml:space="preserve"> 123). Některé sociální poradny nabízí i ambulantní </w:t>
      </w:r>
      <w:r w:rsidR="00646CC4">
        <w:t>terapeutické programy, jako například</w:t>
      </w:r>
      <w:r>
        <w:t xml:space="preserve"> poradna Bílého kruhu bezpečí </w:t>
      </w:r>
      <w:r w:rsidR="00646CC4">
        <w:t>(</w:t>
      </w:r>
      <w:r>
        <w:t>Čírtková</w:t>
      </w:r>
      <w:r w:rsidR="00646CC4">
        <w:t>, 2007, s.</w:t>
      </w:r>
      <w:r>
        <w:t xml:space="preserve"> 139). Ambulantní služby poskytující krizovou pomoc obětem t</w:t>
      </w:r>
      <w:r w:rsidR="002427D5">
        <w:t>restných činů je možné nalézt v </w:t>
      </w:r>
      <w:r>
        <w:t>každém kraji. Jejich služba však není nepřetržitá (</w:t>
      </w:r>
      <w:proofErr w:type="spellStart"/>
      <w:r>
        <w:t>Vodáčková</w:t>
      </w:r>
      <w:proofErr w:type="spellEnd"/>
      <w:r w:rsidR="00646CC4">
        <w:t>,</w:t>
      </w:r>
      <w:r w:rsidR="001F5C1D">
        <w:t xml:space="preserve"> 2013, s.</w:t>
      </w:r>
      <w:r>
        <w:t xml:space="preserve"> 261). </w:t>
      </w:r>
    </w:p>
    <w:p w:rsidR="00213B37" w:rsidRDefault="009E13F6" w:rsidP="00EB1EFB">
      <w:pPr>
        <w:pStyle w:val="Nadpis3"/>
      </w:pPr>
      <w:bookmarkStart w:id="27" w:name="_Toc383408612"/>
      <w:r>
        <w:t>Služby</w:t>
      </w:r>
      <w:r w:rsidR="00213B37">
        <w:t xml:space="preserve"> pobytov</w:t>
      </w:r>
      <w:r>
        <w:t>é</w:t>
      </w:r>
      <w:bookmarkEnd w:id="27"/>
    </w:p>
    <w:p w:rsidR="00213B37" w:rsidRDefault="00213B37" w:rsidP="00213B37">
      <w:pPr>
        <w:pStyle w:val="StylPrvndek125cm"/>
      </w:pPr>
      <w:r>
        <w:t>Pobyt je možné nabízet pouze v zařízeních, jež jsou k tomuto</w:t>
      </w:r>
      <w:r w:rsidR="001F5C1D">
        <w:t xml:space="preserve"> účelu zbudována</w:t>
      </w:r>
      <w:r>
        <w:t>. Takovým zařízením jsou krizová a intervenční centra s nepřetržitým provozem a možností krátkého pobytu. Sociální služba poskytuje oběti</w:t>
      </w:r>
      <w:r w:rsidR="001A651C">
        <w:t xml:space="preserve"> stalkingu</w:t>
      </w:r>
      <w:r>
        <w:t xml:space="preserve"> ubytování, stravu nebo pomoc při zajištění stravy (§</w:t>
      </w:r>
      <w:r w:rsidR="001F5C1D">
        <w:t xml:space="preserve"> </w:t>
      </w:r>
      <w:r>
        <w:t xml:space="preserve">60a, zákon č. 108/2006 Sb.).  </w:t>
      </w:r>
    </w:p>
    <w:p w:rsidR="00213B37" w:rsidRDefault="00213B37" w:rsidP="00213B37">
      <w:pPr>
        <w:pStyle w:val="StylPrvndek125cm"/>
      </w:pPr>
      <w:r>
        <w:t>V rámci interven</w:t>
      </w:r>
      <w:r w:rsidR="001F5C1D">
        <w:t xml:space="preserve">čního centra jsou poskytovány také </w:t>
      </w:r>
      <w:r w:rsidR="002427D5">
        <w:t xml:space="preserve">sociální služby ambulantní nebo </w:t>
      </w:r>
      <w:r>
        <w:t>terénní</w:t>
      </w:r>
      <w:r w:rsidR="006C7E5A" w:rsidRPr="002427D5">
        <w:t xml:space="preserve"> a</w:t>
      </w:r>
      <w:r w:rsidRPr="002427D5">
        <w:t xml:space="preserve"> poskytují specializované služby</w:t>
      </w:r>
      <w:r w:rsidR="001A651C" w:rsidRPr="002427D5">
        <w:t xml:space="preserve"> mimo jiné i </w:t>
      </w:r>
      <w:r w:rsidRPr="002427D5">
        <w:t xml:space="preserve">osobám ohroženým </w:t>
      </w:r>
      <w:r w:rsidR="001A651C" w:rsidRPr="002427D5">
        <w:t xml:space="preserve">ex-partnerským </w:t>
      </w:r>
      <w:proofErr w:type="spellStart"/>
      <w:r w:rsidR="001A651C" w:rsidRPr="002427D5">
        <w:t>stalkingem</w:t>
      </w:r>
      <w:proofErr w:type="spellEnd"/>
      <w:r w:rsidRPr="002427D5">
        <w:t>.</w:t>
      </w:r>
      <w:r>
        <w:t xml:space="preserve"> Mezi tyto činnosti patří sociálně terapeutická pomoc, pomoc při uplatňování práva, oprávněných zájmů a při obstarávání osobních záležitostí.</w:t>
      </w:r>
    </w:p>
    <w:p w:rsidR="00213B37" w:rsidRDefault="00213B37" w:rsidP="00213B37">
      <w:pPr>
        <w:pStyle w:val="StylPrvndek125cm"/>
      </w:pPr>
      <w:r>
        <w:t>Krizová a intervenční centra se však nachází jen v n</w:t>
      </w:r>
      <w:r w:rsidR="001F5C1D">
        <w:t xml:space="preserve">ěkolika málo krajských městech. Jedná se příkladně o </w:t>
      </w:r>
      <w:r>
        <w:t xml:space="preserve">Intervenční centrum </w:t>
      </w:r>
      <w:proofErr w:type="spellStart"/>
      <w:r>
        <w:t>Spondea</w:t>
      </w:r>
      <w:proofErr w:type="spellEnd"/>
      <w:r>
        <w:t xml:space="preserve"> v Brně, Krizové centrum v Ostravě, Krizové centrum Spirála v Ústí nad Labem</w:t>
      </w:r>
      <w:r w:rsidR="001F5C1D">
        <w:t>, dále pak</w:t>
      </w:r>
      <w:r>
        <w:t xml:space="preserve"> </w:t>
      </w:r>
      <w:r w:rsidR="00BD4649">
        <w:t>Praha EIAPS a</w:t>
      </w:r>
      <w:r w:rsidR="001F5C1D">
        <w:t xml:space="preserve"> Centrum krizové intervence Bohnice </w:t>
      </w:r>
      <w:r>
        <w:t>(</w:t>
      </w:r>
      <w:proofErr w:type="spellStart"/>
      <w:r>
        <w:t>Vodáčková</w:t>
      </w:r>
      <w:proofErr w:type="spellEnd"/>
      <w:r w:rsidR="001F5C1D">
        <w:t>, 2013, s.</w:t>
      </w:r>
      <w:r>
        <w:t xml:space="preserve"> 261).</w:t>
      </w:r>
    </w:p>
    <w:p w:rsidR="0001792D" w:rsidRDefault="00213B37" w:rsidP="007A3C88">
      <w:pPr>
        <w:pStyle w:val="StylPrvndek125cm"/>
      </w:pPr>
      <w:r>
        <w:lastRenderedPageBreak/>
        <w:t>V regionálních městech, kd</w:t>
      </w:r>
      <w:r w:rsidR="007E3262">
        <w:t>e tato služba chybí, j</w:t>
      </w:r>
      <w:r w:rsidR="001F5C1D">
        <w:t>e obvyklé</w:t>
      </w:r>
      <w:r>
        <w:t xml:space="preserve"> zřizovat </w:t>
      </w:r>
      <w:r w:rsidR="002427D5">
        <w:t>krizová lůžka v </w:t>
      </w:r>
      <w:r>
        <w:t>rámci nemocnic, azylových domů, domů pro matky s dě</w:t>
      </w:r>
      <w:r w:rsidR="002427D5">
        <w:t>tmi, nocleháren či dokonce v </w:t>
      </w:r>
      <w:r w:rsidR="001F5C1D">
        <w:t>c</w:t>
      </w:r>
      <w:r>
        <w:t>haritních zařízeních, klášterech a výjimečně i přímo na faře</w:t>
      </w:r>
      <w:r w:rsidR="0001792D">
        <w:t>.</w:t>
      </w:r>
      <w:r>
        <w:t xml:space="preserve"> </w:t>
      </w:r>
      <w:r w:rsidR="00A20772" w:rsidRPr="002427D5">
        <w:t xml:space="preserve">Některé </w:t>
      </w:r>
      <w:r w:rsidR="009208C3" w:rsidRPr="002427D5">
        <w:t>z azylových domů</w:t>
      </w:r>
      <w:r w:rsidR="0001792D" w:rsidRPr="002427D5">
        <w:t xml:space="preserve"> </w:t>
      </w:r>
      <w:r w:rsidR="009208C3" w:rsidRPr="002427D5">
        <w:t xml:space="preserve">mohou mít </w:t>
      </w:r>
      <w:r w:rsidR="00A20772" w:rsidRPr="002427D5">
        <w:t xml:space="preserve">utajenou adresu </w:t>
      </w:r>
      <w:r w:rsidRPr="002427D5">
        <w:t>(</w:t>
      </w:r>
      <w:proofErr w:type="spellStart"/>
      <w:r>
        <w:t>Vodáčková</w:t>
      </w:r>
      <w:proofErr w:type="spellEnd"/>
      <w:r w:rsidR="001F5C1D">
        <w:t>, 2007, s.</w:t>
      </w:r>
      <w:r>
        <w:t xml:space="preserve"> 56). </w:t>
      </w:r>
    </w:p>
    <w:p w:rsidR="00213B37" w:rsidRDefault="00213B37" w:rsidP="00EB1EFB">
      <w:pPr>
        <w:pStyle w:val="Nadpis3"/>
      </w:pPr>
      <w:bookmarkStart w:id="28" w:name="_Toc383408613"/>
      <w:r>
        <w:t>Služby terénní</w:t>
      </w:r>
      <w:bookmarkEnd w:id="28"/>
    </w:p>
    <w:p w:rsidR="00213B37" w:rsidRDefault="00213B37" w:rsidP="00213B37">
      <w:pPr>
        <w:pStyle w:val="StylPrvndek125cm"/>
      </w:pPr>
      <w:r>
        <w:t>V současné době se začaly terénní krizové služby v České republice zvolna rozvíjet</w:t>
      </w:r>
      <w:r w:rsidR="007C67AA">
        <w:t xml:space="preserve">. </w:t>
      </w:r>
      <w:r>
        <w:t xml:space="preserve">Krizová terénní služba je poskytována </w:t>
      </w:r>
      <w:r w:rsidRPr="00717E62">
        <w:t>„osobám, které se nacházejí momentá</w:t>
      </w:r>
      <w:r w:rsidR="007E3262" w:rsidRPr="00717E62">
        <w:t>lně v ohrožení zdraví či života</w:t>
      </w:r>
      <w:r w:rsidRPr="00717E62">
        <w:t xml:space="preserve"> a přechodně nedokáží vzniklou situaci řešit vlastními silam</w:t>
      </w:r>
      <w:r w:rsidRPr="001F5C1D">
        <w:rPr>
          <w:i/>
        </w:rPr>
        <w:t>i</w:t>
      </w:r>
      <w:r w:rsidR="009208C3">
        <w:rPr>
          <w:i/>
        </w:rPr>
        <w:t>.</w:t>
      </w:r>
      <w:r w:rsidRPr="001F5C1D">
        <w:rPr>
          <w:i/>
        </w:rPr>
        <w:t>“</w:t>
      </w:r>
      <w:r>
        <w:t xml:space="preserve"> (§</w:t>
      </w:r>
      <w:r w:rsidR="001F5C1D">
        <w:t xml:space="preserve"> </w:t>
      </w:r>
      <w:r>
        <w:t>60,</w:t>
      </w:r>
      <w:r w:rsidR="009208C3">
        <w:t xml:space="preserve"> zákon č. 108/2006 Sb.)</w:t>
      </w:r>
      <w:r>
        <w:t xml:space="preserve">   </w:t>
      </w:r>
    </w:p>
    <w:p w:rsidR="00213B37" w:rsidRPr="00F13507" w:rsidRDefault="005D32A1" w:rsidP="00213B37">
      <w:pPr>
        <w:pStyle w:val="StylPrvndek125cm"/>
      </w:pPr>
      <w:r w:rsidRPr="00F13507">
        <w:t xml:space="preserve">Terénní krizová služba může mít podobu </w:t>
      </w:r>
      <w:r w:rsidRPr="00F13507">
        <w:rPr>
          <w:b/>
        </w:rPr>
        <w:t>výjezdu k oběti</w:t>
      </w:r>
      <w:r w:rsidR="002427D5" w:rsidRPr="00F13507">
        <w:t xml:space="preserve"> přímo na místo činu, kde </w:t>
      </w:r>
      <w:r w:rsidRPr="00F13507">
        <w:t xml:space="preserve">došlo k napadení </w:t>
      </w:r>
      <w:r w:rsidR="0001792D" w:rsidRPr="00F13507">
        <w:t>stalkerem</w:t>
      </w:r>
      <w:r w:rsidRPr="00F13507">
        <w:t xml:space="preserve"> (</w:t>
      </w:r>
      <w:proofErr w:type="spellStart"/>
      <w:r w:rsidRPr="00F13507">
        <w:t>Vodáčková</w:t>
      </w:r>
      <w:proofErr w:type="spellEnd"/>
      <w:r w:rsidRPr="00F13507">
        <w:t xml:space="preserve">, 2007, s. 56). </w:t>
      </w:r>
      <w:r w:rsidR="00213B37" w:rsidRPr="00F13507">
        <w:t>V</w:t>
      </w:r>
      <w:r w:rsidRPr="00F13507">
        <w:t> </w:t>
      </w:r>
      <w:r w:rsidR="00213B37" w:rsidRPr="00F13507">
        <w:t>minulosti</w:t>
      </w:r>
      <w:r w:rsidRPr="00F13507">
        <w:t xml:space="preserve"> navíc</w:t>
      </w:r>
      <w:r w:rsidR="00213B37" w:rsidRPr="00F13507">
        <w:t xml:space="preserve"> docházel</w:t>
      </w:r>
      <w:r w:rsidR="002427D5" w:rsidRPr="00F13507">
        <w:t>o k </w:t>
      </w:r>
      <w:r w:rsidR="003B5ED3" w:rsidRPr="00F13507">
        <w:t>sekundární viktimizaci oběti</w:t>
      </w:r>
      <w:r w:rsidR="00213B37" w:rsidRPr="00F13507">
        <w:t>, zejména vlivem deficitu zásadních z</w:t>
      </w:r>
      <w:r w:rsidR="002427D5" w:rsidRPr="00F13507">
        <w:t>nalostí policistů a </w:t>
      </w:r>
      <w:r w:rsidR="00213B37" w:rsidRPr="00F13507">
        <w:t xml:space="preserve">profesní nepřipravenosti na zvládání podobně složitých situací. </w:t>
      </w:r>
      <w:r w:rsidRPr="00F13507">
        <w:t>Oběť stalkingu je b</w:t>
      </w:r>
      <w:r w:rsidR="003B5ED3" w:rsidRPr="00F13507">
        <w:t xml:space="preserve">ezprostředně po napadení ochromena traumatizujícím zážitkem. V </w:t>
      </w:r>
      <w:r w:rsidR="00213B37" w:rsidRPr="00F13507">
        <w:t xml:space="preserve">kritické situaci by </w:t>
      </w:r>
      <w:r w:rsidR="003B5ED3" w:rsidRPr="00F13507">
        <w:t xml:space="preserve">tak </w:t>
      </w:r>
      <w:r w:rsidR="00213B37" w:rsidRPr="00F13507">
        <w:t xml:space="preserve">měl být sociální pracovník pro oběť morální i psychickou oporou. Ve Spojených státech amerických je přítomnost sociálního pracovníka </w:t>
      </w:r>
      <w:r w:rsidR="003B5ED3" w:rsidRPr="00F13507">
        <w:t xml:space="preserve">na místě činu </w:t>
      </w:r>
      <w:r w:rsidR="00213B37" w:rsidRPr="00F13507">
        <w:t xml:space="preserve">zcela </w:t>
      </w:r>
      <w:r w:rsidR="007E3262" w:rsidRPr="00F13507">
        <w:t>běžnou praxí. Sociální pracovník</w:t>
      </w:r>
      <w:r w:rsidR="00213B37" w:rsidRPr="00F13507">
        <w:t xml:space="preserve"> zde úzce spolupra</w:t>
      </w:r>
      <w:r w:rsidR="007E3262" w:rsidRPr="00F13507">
        <w:t>cuje s policií</w:t>
      </w:r>
      <w:r w:rsidR="00213B37" w:rsidRPr="00F13507">
        <w:t xml:space="preserve"> a zastává zejména důležitou roli zprostředkovatele a společníka oběti (Čírtková</w:t>
      </w:r>
      <w:r w:rsidR="003B5ED3" w:rsidRPr="00F13507">
        <w:t>, 2007, s.</w:t>
      </w:r>
      <w:r w:rsidR="0087241B" w:rsidRPr="00F13507">
        <w:t xml:space="preserve"> </w:t>
      </w:r>
      <w:r w:rsidR="00213B37" w:rsidRPr="00F13507">
        <w:t>142-143).</w:t>
      </w:r>
    </w:p>
    <w:p w:rsidR="00A20772" w:rsidRPr="00F13507" w:rsidRDefault="0001792D" w:rsidP="00A20772">
      <w:pPr>
        <w:pStyle w:val="StylPrvndek125cm"/>
      </w:pPr>
      <w:r w:rsidRPr="00F13507">
        <w:t xml:space="preserve">Pronásledování oběti bývalým partnerem může být </w:t>
      </w:r>
      <w:r w:rsidR="00142603" w:rsidRPr="00F13507">
        <w:t xml:space="preserve">docela intenzivní a </w:t>
      </w:r>
      <w:r w:rsidR="00D559F0" w:rsidRPr="00F13507">
        <w:t>vážné</w:t>
      </w:r>
      <w:r w:rsidR="00142603" w:rsidRPr="00F13507">
        <w:t xml:space="preserve">. Oběť se může nacházet ve velmi špatném psychickém i fyzickém stavu. Mohou nastat situace, kdy bude třeba </w:t>
      </w:r>
      <w:r w:rsidRPr="00F13507">
        <w:rPr>
          <w:b/>
        </w:rPr>
        <w:t>zajistit doprovod</w:t>
      </w:r>
      <w:r w:rsidRPr="00F13507">
        <w:t xml:space="preserve"> </w:t>
      </w:r>
      <w:r w:rsidR="00142603" w:rsidRPr="00F13507">
        <w:t xml:space="preserve">oběti </w:t>
      </w:r>
      <w:r w:rsidRPr="00F13507">
        <w:t>na úřad, na policii, k soudu, anebo k lékaři (</w:t>
      </w:r>
      <w:proofErr w:type="spellStart"/>
      <w:r w:rsidRPr="00F13507">
        <w:t>Vodáčková</w:t>
      </w:r>
      <w:proofErr w:type="spellEnd"/>
      <w:r w:rsidRPr="00F13507">
        <w:t>, 2007, s. 56).</w:t>
      </w:r>
      <w:r w:rsidR="00A20772" w:rsidRPr="00F13507">
        <w:t xml:space="preserve"> </w:t>
      </w:r>
      <w:r w:rsidR="00D559F0" w:rsidRPr="00F13507">
        <w:t xml:space="preserve">Nutno </w:t>
      </w:r>
      <w:r w:rsidR="00142603" w:rsidRPr="00F13507">
        <w:t>dodat, že z tohoto pohledu je p</w:t>
      </w:r>
      <w:r w:rsidR="005D32A1" w:rsidRPr="00F13507">
        <w:t xml:space="preserve">rogram </w:t>
      </w:r>
      <w:r w:rsidR="00A20772" w:rsidRPr="00F13507">
        <w:t xml:space="preserve">terénních </w:t>
      </w:r>
      <w:r w:rsidR="005D32A1" w:rsidRPr="00F13507">
        <w:t>služeb velmi individuální. Reaguje vždy na aktuální situaci a potřeby oběti</w:t>
      </w:r>
      <w:r w:rsidR="00A20772" w:rsidRPr="00F13507">
        <w:t xml:space="preserve"> </w:t>
      </w:r>
      <w:r w:rsidR="005D32A1" w:rsidRPr="00F13507">
        <w:t>ex-partnerského stalkingu</w:t>
      </w:r>
      <w:r w:rsidR="00A20772" w:rsidRPr="00F13507">
        <w:t xml:space="preserve"> </w:t>
      </w:r>
      <w:r w:rsidR="005D32A1" w:rsidRPr="00F13507">
        <w:t>(</w:t>
      </w:r>
      <w:proofErr w:type="spellStart"/>
      <w:r w:rsidR="005D32A1" w:rsidRPr="00F13507">
        <w:t>Vodáčková</w:t>
      </w:r>
      <w:proofErr w:type="spellEnd"/>
      <w:r w:rsidR="005D32A1" w:rsidRPr="00F13507">
        <w:t>, 2013, s. 561).</w:t>
      </w:r>
    </w:p>
    <w:p w:rsidR="005D32A1" w:rsidRDefault="00A20772" w:rsidP="00A20772">
      <w:pPr>
        <w:pStyle w:val="StylPrvndek125cm"/>
      </w:pPr>
      <w:proofErr w:type="spellStart"/>
      <w:r w:rsidRPr="00F13507">
        <w:t>Vodáčková</w:t>
      </w:r>
      <w:proofErr w:type="spellEnd"/>
      <w:r w:rsidRPr="00F13507">
        <w:t xml:space="preserve"> (2007, s. 56) uvádí celkem tři podoby terénní krizové služby</w:t>
      </w:r>
      <w:r w:rsidR="002427D5" w:rsidRPr="00F13507">
        <w:t xml:space="preserve">. </w:t>
      </w:r>
      <w:r w:rsidR="009208C3" w:rsidRPr="00F13507">
        <w:t>T</w:t>
      </w:r>
      <w:r w:rsidR="002427D5" w:rsidRPr="00F13507">
        <w:t>ou </w:t>
      </w:r>
      <w:r w:rsidRPr="00F13507">
        <w:t xml:space="preserve">poslední je </w:t>
      </w:r>
      <w:r w:rsidRPr="00F13507">
        <w:rPr>
          <w:b/>
        </w:rPr>
        <w:t>návštěva oběti</w:t>
      </w:r>
      <w:r w:rsidR="00944F8F" w:rsidRPr="00F13507">
        <w:t xml:space="preserve"> například v nemocnici či zařízení jiného typu, kde oběť přechodně pobývá.</w:t>
      </w:r>
      <w:r w:rsidR="00944F8F">
        <w:t xml:space="preserve"> </w:t>
      </w:r>
    </w:p>
    <w:p w:rsidR="00213B37" w:rsidRDefault="00213B37" w:rsidP="00213B37">
      <w:pPr>
        <w:pStyle w:val="StylPrvndek125cm"/>
      </w:pPr>
    </w:p>
    <w:p w:rsidR="00213B37" w:rsidRDefault="009E13F6" w:rsidP="00EB1EFB">
      <w:pPr>
        <w:pStyle w:val="Nadpis3"/>
      </w:pPr>
      <w:bookmarkStart w:id="29" w:name="_Toc383408614"/>
      <w:r>
        <w:lastRenderedPageBreak/>
        <w:t>S</w:t>
      </w:r>
      <w:r w:rsidR="00213B37">
        <w:t>lužby v klientově přirozeném prostředí</w:t>
      </w:r>
      <w:bookmarkEnd w:id="29"/>
    </w:p>
    <w:p w:rsidR="00213B37" w:rsidRPr="00F13507" w:rsidRDefault="0087280A" w:rsidP="00213B37">
      <w:pPr>
        <w:pStyle w:val="StylPrvndek125cm"/>
      </w:pPr>
      <w:r w:rsidRPr="00F13507">
        <w:t>Občas se můžeme setkat</w:t>
      </w:r>
      <w:r w:rsidR="00213B37" w:rsidRPr="00F13507">
        <w:t xml:space="preserve"> se situací, kdy aktuální podmínky nedovolují, aby oběť přišla na krizové pracoviště osobně</w:t>
      </w:r>
      <w:r w:rsidR="00645DC4" w:rsidRPr="00F13507">
        <w:t xml:space="preserve"> (</w:t>
      </w:r>
      <w:proofErr w:type="spellStart"/>
      <w:r w:rsidR="00645DC4" w:rsidRPr="00F13507">
        <w:t>Vodáčková</w:t>
      </w:r>
      <w:proofErr w:type="spellEnd"/>
      <w:r w:rsidR="00645DC4" w:rsidRPr="00F13507">
        <w:t xml:space="preserve">, 2007, s. 56). </w:t>
      </w:r>
      <w:r w:rsidR="00D559F0" w:rsidRPr="00F13507">
        <w:t>Jak již bylo mnohokráte uvedeno, i</w:t>
      </w:r>
      <w:r w:rsidR="00944F8F" w:rsidRPr="00F13507">
        <w:t>ntenzivní obtěžování oběti ex-partnerským stalkerem může být</w:t>
      </w:r>
      <w:r w:rsidR="00142603" w:rsidRPr="00F13507">
        <w:t xml:space="preserve"> za určitých okolností </w:t>
      </w:r>
      <w:r w:rsidR="00944F8F" w:rsidRPr="00F13507">
        <w:t>skutečně</w:t>
      </w:r>
      <w:r w:rsidR="006C37AF" w:rsidRPr="00F13507">
        <w:t xml:space="preserve"> nebezpečné. Dokonce se </w:t>
      </w:r>
      <w:r w:rsidR="009A661E" w:rsidRPr="00F13507">
        <w:t>o</w:t>
      </w:r>
      <w:r w:rsidR="00944F8F" w:rsidRPr="00F13507">
        <w:t>běť</w:t>
      </w:r>
      <w:r w:rsidR="006C37AF" w:rsidRPr="00F13507">
        <w:t xml:space="preserve"> z obavy o svůj život může zcela izolovat ve svém bytě </w:t>
      </w:r>
      <w:r w:rsidR="00645DC4" w:rsidRPr="00F13507">
        <w:t>(</w:t>
      </w:r>
      <w:proofErr w:type="spellStart"/>
      <w:r w:rsidR="00645DC4" w:rsidRPr="00F13507">
        <w:t>Sheridana</w:t>
      </w:r>
      <w:proofErr w:type="spellEnd"/>
      <w:r w:rsidR="00645DC4" w:rsidRPr="00F13507">
        <w:t>, 2</w:t>
      </w:r>
      <w:r w:rsidR="009A661E" w:rsidRPr="00F13507">
        <w:t xml:space="preserve">003, s. 153). Tato forma pomoci, jenž právě </w:t>
      </w:r>
      <w:r w:rsidR="00645DC4" w:rsidRPr="00F13507">
        <w:t>spočívá v jednorázové nebo opakované návštěvě krizového pracovníka oběti v jejím domácím prostředí</w:t>
      </w:r>
      <w:r w:rsidR="009A661E" w:rsidRPr="00F13507">
        <w:t xml:space="preserve">, </w:t>
      </w:r>
      <w:r w:rsidR="006C37AF" w:rsidRPr="00F13507">
        <w:t xml:space="preserve">tak </w:t>
      </w:r>
      <w:r w:rsidR="009A661E" w:rsidRPr="00F13507">
        <w:t xml:space="preserve">může být za daných okolností vhodným způsobem intervence </w:t>
      </w:r>
      <w:r w:rsidR="00645DC4" w:rsidRPr="00F13507">
        <w:t>(</w:t>
      </w:r>
      <w:proofErr w:type="spellStart"/>
      <w:r w:rsidR="00645DC4" w:rsidRPr="00F13507">
        <w:t>Vodáčková</w:t>
      </w:r>
      <w:proofErr w:type="spellEnd"/>
      <w:r w:rsidR="00645DC4" w:rsidRPr="00F13507">
        <w:t xml:space="preserve">, 2007, s. 56). </w:t>
      </w:r>
      <w:r w:rsidRPr="00F13507">
        <w:t xml:space="preserve"> </w:t>
      </w:r>
    </w:p>
    <w:p w:rsidR="00213B37" w:rsidRDefault="00B824B8" w:rsidP="00213B37">
      <w:pPr>
        <w:pStyle w:val="StylPrvndek125cm"/>
      </w:pPr>
      <w:r w:rsidRPr="00F13507">
        <w:t>I když</w:t>
      </w:r>
      <w:r w:rsidR="00213B37" w:rsidRPr="00F13507">
        <w:t xml:space="preserve"> forma krizové pomoci</w:t>
      </w:r>
      <w:r w:rsidRPr="00F13507">
        <w:t xml:space="preserve"> v klientově přirozeném prostředí </w:t>
      </w:r>
      <w:r w:rsidR="009A661E" w:rsidRPr="00F13507">
        <w:t>není</w:t>
      </w:r>
      <w:r w:rsidRPr="00F13507">
        <w:t xml:space="preserve"> u nás</w:t>
      </w:r>
      <w:r w:rsidR="009A661E" w:rsidRPr="00F13507">
        <w:t xml:space="preserve"> v </w:t>
      </w:r>
      <w:r w:rsidR="00213B37" w:rsidRPr="00F13507">
        <w:t xml:space="preserve">současné době </w:t>
      </w:r>
      <w:r w:rsidR="009A661E" w:rsidRPr="00F13507">
        <w:t>příliš rozšířena</w:t>
      </w:r>
      <w:r w:rsidRPr="00F13507">
        <w:t>,</w:t>
      </w:r>
      <w:r w:rsidR="002427D5" w:rsidRPr="00F13507">
        <w:t> </w:t>
      </w:r>
      <w:r w:rsidR="00213B37" w:rsidRPr="00F13507">
        <w:t>poptávka po specializované výjezdové službě trvá.</w:t>
      </w:r>
      <w:r w:rsidR="00213B37">
        <w:t xml:space="preserve"> Tato služba je však značně náročná na personální zajištění, na přípravu, ale i celkový provoz krizového zařízení (</w:t>
      </w:r>
      <w:proofErr w:type="spellStart"/>
      <w:r w:rsidR="00213B37">
        <w:t>Vodáčková</w:t>
      </w:r>
      <w:proofErr w:type="spellEnd"/>
      <w:r w:rsidR="0087280A">
        <w:t>, 2007, s.</w:t>
      </w:r>
      <w:r w:rsidR="00213B37">
        <w:t xml:space="preserve"> 144-145).</w:t>
      </w:r>
    </w:p>
    <w:p w:rsidR="00213B37" w:rsidRDefault="00213B37" w:rsidP="00213B37">
      <w:pPr>
        <w:pStyle w:val="StylPrvndek125cm"/>
      </w:pPr>
      <w:r>
        <w:t>V případě naléhavé krizové situace přijíždí výjezdový tým za obětí do jejího domácího prostředí. Cílem pomoci je skrze vhodně zvole</w:t>
      </w:r>
      <w:r w:rsidR="002427D5">
        <w:t>nou zdravotní, psychologickou a </w:t>
      </w:r>
      <w:r>
        <w:t xml:space="preserve">krizovou intervenci zprostředkovat oběti možnost setrvat ve svém prostředí. Náplní krizového pracovníka je rovněž motivovat oběť k řešení vzniklé situace. Pracovník </w:t>
      </w:r>
      <w:r w:rsidR="0087280A">
        <w:t xml:space="preserve">v některých případech </w:t>
      </w:r>
      <w:r>
        <w:t>nepracuje pouze s obět</w:t>
      </w:r>
      <w:r w:rsidR="0087280A">
        <w:t>í,</w:t>
      </w:r>
      <w:r w:rsidR="009A661E">
        <w:t xml:space="preserve"> ale i ostatními členy rodiny. I z</w:t>
      </w:r>
      <w:r w:rsidR="0087280A">
        <w:t> tohoto pohledu je</w:t>
      </w:r>
      <w:r>
        <w:t xml:space="preserve"> někdy vhodnější navštívit </w:t>
      </w:r>
      <w:r w:rsidR="00205E22">
        <w:t xml:space="preserve">onoho </w:t>
      </w:r>
      <w:r>
        <w:t xml:space="preserve">klienta v jeho přirozeném </w:t>
      </w:r>
      <w:r w:rsidR="00205E22">
        <w:t xml:space="preserve">domácím </w:t>
      </w:r>
      <w:r>
        <w:t>prostředí (</w:t>
      </w:r>
      <w:proofErr w:type="spellStart"/>
      <w:r>
        <w:t>Vodáčková</w:t>
      </w:r>
      <w:proofErr w:type="spellEnd"/>
      <w:r w:rsidR="00205E22">
        <w:t>, 2007, s.</w:t>
      </w:r>
      <w:r>
        <w:t xml:space="preserve"> 143-145).  </w:t>
      </w:r>
    </w:p>
    <w:p w:rsidR="00213B37" w:rsidRDefault="00213B37" w:rsidP="00213B37">
      <w:pPr>
        <w:pStyle w:val="StylPrvndek125cm"/>
      </w:pPr>
      <w:r>
        <w:t>V současnosti se však nabízí otázka, kudy se bude koncept výjezdové služby v naší zemi ubírat. Jistou perspektivu je možné nalézt ve st</w:t>
      </w:r>
      <w:r w:rsidR="002427D5">
        <w:t>ále se rozvíjející spolupráci s </w:t>
      </w:r>
      <w:r>
        <w:t>Integrovaným záchranným systémem (policie, hasiči, záchranná služba). Ve Spojených státech amerických funguje</w:t>
      </w:r>
      <w:r w:rsidR="00706B21">
        <w:t xml:space="preserve"> již řadu let</w:t>
      </w:r>
      <w:r>
        <w:t xml:space="preserve"> podobný </w:t>
      </w:r>
      <w:r w:rsidRPr="00F13507">
        <w:t>systém</w:t>
      </w:r>
      <w:r w:rsidR="00706B21" w:rsidRPr="00F13507">
        <w:t>, nápomoc</w:t>
      </w:r>
      <w:r w:rsidR="00D6212E" w:rsidRPr="00F13507">
        <w:t>n</w:t>
      </w:r>
      <w:r w:rsidR="00706B21" w:rsidRPr="00F13507">
        <w:t>ý</w:t>
      </w:r>
      <w:r w:rsidR="00B824B8" w:rsidRPr="00F13507">
        <w:t xml:space="preserve"> i obětem stalkingu</w:t>
      </w:r>
      <w:r w:rsidR="00205E22">
        <w:t xml:space="preserve"> (Čírtková, 2007, s. </w:t>
      </w:r>
      <w:proofErr w:type="gramStart"/>
      <w:r w:rsidR="00205E22">
        <w:t>138) (</w:t>
      </w:r>
      <w:proofErr w:type="spellStart"/>
      <w:r>
        <w:t>Vodáčková</w:t>
      </w:r>
      <w:proofErr w:type="spellEnd"/>
      <w:proofErr w:type="gramEnd"/>
      <w:r w:rsidR="00205E22">
        <w:t>, 2007, s.</w:t>
      </w:r>
      <w:r>
        <w:t xml:space="preserve"> 145).</w:t>
      </w:r>
    </w:p>
    <w:p w:rsidR="00213B37" w:rsidRDefault="00213B37" w:rsidP="00EB1EFB">
      <w:pPr>
        <w:pStyle w:val="Nadpis3"/>
      </w:pPr>
      <w:bookmarkStart w:id="30" w:name="_Toc383408615"/>
      <w:r>
        <w:t>Forma telefonické krizové pomoci</w:t>
      </w:r>
      <w:bookmarkEnd w:id="30"/>
    </w:p>
    <w:p w:rsidR="00213B37" w:rsidRDefault="00213B37" w:rsidP="00213B37">
      <w:pPr>
        <w:pStyle w:val="StylPrvndek125cm"/>
      </w:pPr>
      <w:r w:rsidRPr="002427D5">
        <w:t>„Telefonická krizová pomoc je terénní služba poskytovaná na přechodnou dobu osobám, které se nacházejí v situaci ohrožení zdraví nebo života nebo v jiné obtížné životní situaci, kterou přechodně nemohou řešit vlastními silami</w:t>
      </w:r>
      <w:r w:rsidR="002427D5">
        <w:t>.</w:t>
      </w:r>
      <w:r w:rsidRPr="002427D5">
        <w:t>“</w:t>
      </w:r>
      <w:r w:rsidR="002427D5">
        <w:t xml:space="preserve"> (§55 zákon č. 108/2006 Sb.)</w:t>
      </w:r>
      <w:r>
        <w:t xml:space="preserve">  </w:t>
      </w:r>
    </w:p>
    <w:p w:rsidR="00213B37" w:rsidRDefault="00982C65" w:rsidP="00213B37">
      <w:pPr>
        <w:pStyle w:val="StylPrvndek125cm"/>
      </w:pPr>
      <w:r w:rsidRPr="00F13507">
        <w:lastRenderedPageBreak/>
        <w:t>Většina obětí stalkingu se za pronásledování stydí a připadá jim nevhodné o daném problému s někým mluvit (Čírtková, 2008, s. 89). Z tohoto pohledu může být anonymní telefonická krizová pomoc vhodným způsobem, jak učinit první krok a s daným problémem se konečně svěřit.</w:t>
      </w:r>
      <w:r w:rsidRPr="00982C65">
        <w:t xml:space="preserve"> </w:t>
      </w:r>
      <w:r w:rsidR="00213B37">
        <w:t>Zakládá se na jednorázovém nebo i opakovaném telefonickém kontaktu s krizovým pracovníkem telef</w:t>
      </w:r>
      <w:r w:rsidR="002427D5">
        <w:t>onické krizové intervence. Tato </w:t>
      </w:r>
      <w:r w:rsidR="00213B37">
        <w:t>služba je založena na principech bezbariérovosti, snadné dostupnosti a okamžité pomoci. Krizová telefonická intervence má v České republice tři základní podoby (</w:t>
      </w:r>
      <w:proofErr w:type="spellStart"/>
      <w:r w:rsidR="00213B37">
        <w:t>Vodáčková</w:t>
      </w:r>
      <w:proofErr w:type="spellEnd"/>
      <w:r w:rsidR="00205E22">
        <w:t>, 2007, s. 57)</w:t>
      </w:r>
      <w:r w:rsidR="00213B37">
        <w:t>:</w:t>
      </w:r>
    </w:p>
    <w:p w:rsidR="00213B37" w:rsidRDefault="00213B37" w:rsidP="00213B37">
      <w:pPr>
        <w:pStyle w:val="StylPrvndek125cm"/>
      </w:pPr>
    </w:p>
    <w:p w:rsidR="00213B37" w:rsidRDefault="00213B37" w:rsidP="00213B37">
      <w:pPr>
        <w:pStyle w:val="StylPrvndek125cm"/>
      </w:pPr>
      <w:r w:rsidRPr="00205E22">
        <w:rPr>
          <w:b/>
        </w:rPr>
        <w:t>Kontaktní link</w:t>
      </w:r>
      <w:r w:rsidR="00205E22">
        <w:rPr>
          <w:b/>
        </w:rPr>
        <w:t>y</w:t>
      </w:r>
      <w:r w:rsidR="00205E22">
        <w:t>,</w:t>
      </w:r>
      <w:r w:rsidR="00205E22">
        <w:rPr>
          <w:b/>
        </w:rPr>
        <w:t xml:space="preserve"> </w:t>
      </w:r>
      <w:r w:rsidR="00205E22">
        <w:t>nemají</w:t>
      </w:r>
      <w:r>
        <w:t xml:space="preserve"> charakter linky dů</w:t>
      </w:r>
      <w:r w:rsidR="00366EE3">
        <w:t>věry, jedná se o telefonní linky, které</w:t>
      </w:r>
      <w:r>
        <w:t xml:space="preserve"> poslouží oběti násilí k navázání prvního kontaktu s danou</w:t>
      </w:r>
      <w:r w:rsidR="002427D5">
        <w:t xml:space="preserve"> organizací. Předpokládá se, že </w:t>
      </w:r>
      <w:r>
        <w:t>po telefonním kontaktu bude následovat osobní setkání (Bílý kruh bezpečí, Stop Stalking, E-bezpečí).</w:t>
      </w:r>
    </w:p>
    <w:p w:rsidR="00213B37" w:rsidRDefault="00205E22" w:rsidP="00213B37">
      <w:pPr>
        <w:pStyle w:val="StylPrvndek125cm"/>
      </w:pPr>
      <w:r>
        <w:rPr>
          <w:b/>
        </w:rPr>
        <w:t>Specializované</w:t>
      </w:r>
      <w:r w:rsidR="00213B37" w:rsidRPr="00205E22">
        <w:rPr>
          <w:b/>
        </w:rPr>
        <w:t xml:space="preserve"> link</w:t>
      </w:r>
      <w:r>
        <w:rPr>
          <w:b/>
        </w:rPr>
        <w:t>y</w:t>
      </w:r>
      <w:r>
        <w:t>, v zahraničí známé</w:t>
      </w:r>
      <w:r w:rsidR="00213B37">
        <w:t xml:space="preserve"> pod názvem „hot line“. Tyto linky jsou zaměřené na konkrétní problematiku, v našem případě se jedná o domácí a partnerské násilí, nebezpečné pronásledování a v ojedinělých případech týrání dětí. Na služby specializované linky, navazují služby konkrétního pracoviště. V případě složitější případů, jako partnerského násilí či nebezpečné</w:t>
      </w:r>
      <w:r w:rsidR="00982C65">
        <w:t>ho</w:t>
      </w:r>
      <w:r w:rsidR="00213B37">
        <w:t xml:space="preserve"> pronásledování se nepředpokládá, že jeden hovor daný problém vyřešit (Linka DONA).  </w:t>
      </w:r>
    </w:p>
    <w:p w:rsidR="00213B37" w:rsidRDefault="00213B37" w:rsidP="00213B37">
      <w:pPr>
        <w:pStyle w:val="StylPrvndek125cm"/>
      </w:pPr>
      <w:r w:rsidRPr="00366EE3">
        <w:rPr>
          <w:b/>
        </w:rPr>
        <w:t>Linky důvěry</w:t>
      </w:r>
      <w:r w:rsidR="00366EE3">
        <w:t>, z</w:t>
      </w:r>
      <w:r>
        <w:t>pravidla se nespecializují na konkrétní problematiku, ale jsou otevřeny široké škále problémů. Krizový pracovník pak obvykle podle po</w:t>
      </w:r>
      <w:r w:rsidR="007E3262">
        <w:t xml:space="preserve">vahy problému doporučí </w:t>
      </w:r>
      <w:r w:rsidR="00982C65">
        <w:t xml:space="preserve">oběti </w:t>
      </w:r>
      <w:r>
        <w:t xml:space="preserve">možná řešení či patřičnou odbornou službu. Z tohoto důvodu linky důvěry disponují velmi dobře propracovanou databází kontaktů z psychosociální a zdravotní oblasti (Linka důvěry RIAPS, LD Ostrava, LD Plzeň, LD </w:t>
      </w:r>
      <w:proofErr w:type="gramStart"/>
      <w:r>
        <w:t>Kladno) (</w:t>
      </w:r>
      <w:proofErr w:type="spellStart"/>
      <w:r>
        <w:t>Vodáčková</w:t>
      </w:r>
      <w:proofErr w:type="spellEnd"/>
      <w:proofErr w:type="gramEnd"/>
      <w:r w:rsidR="00366EE3">
        <w:t>, 2007, s.</w:t>
      </w:r>
      <w:r w:rsidR="002427D5">
        <w:t> </w:t>
      </w:r>
      <w:r>
        <w:t>57).</w:t>
      </w:r>
    </w:p>
    <w:p w:rsidR="00213B37" w:rsidRDefault="00213B37" w:rsidP="00213B37">
      <w:pPr>
        <w:pStyle w:val="StylPrvndek125cm"/>
      </w:pPr>
    </w:p>
    <w:p w:rsidR="00213B37" w:rsidRDefault="00631DD4" w:rsidP="00213B37">
      <w:pPr>
        <w:pStyle w:val="StylPrvndek125cm"/>
      </w:pPr>
      <w:r>
        <w:t>Nově se rozvíjející i</w:t>
      </w:r>
      <w:r w:rsidR="00213B37">
        <w:t>nternetové spojení nám v současné době přináší další formy krizové pomoci. Ve 21. století se využití internetu stává běžně</w:t>
      </w:r>
      <w:r w:rsidR="002427D5">
        <w:t>jší a sofistikovanější, než jak </w:t>
      </w:r>
      <w:r w:rsidR="00213B37">
        <w:t>tomu bylo dříve, a tak lze v prostředí českého internetu v současnosti identifikovat čtyři formy komunikace s klientem, které jsou v pomáhajícím procesu využívány: komunikace přes webové stránky, e-mailová korespondence, chatová komunikace, internetová telefonie (Veselský</w:t>
      </w:r>
      <w:r>
        <w:t>, 2011, s.</w:t>
      </w:r>
      <w:r w:rsidR="00213B37">
        <w:t xml:space="preserve"> 37 – 38). </w:t>
      </w:r>
    </w:p>
    <w:p w:rsidR="00213B37" w:rsidRDefault="00E8359D" w:rsidP="00EB1EFB">
      <w:pPr>
        <w:pStyle w:val="Nadpis2"/>
      </w:pPr>
      <w:bookmarkStart w:id="31" w:name="_Toc383408616"/>
      <w:r>
        <w:lastRenderedPageBreak/>
        <w:t xml:space="preserve">Možnosti </w:t>
      </w:r>
      <w:r w:rsidR="00213B37">
        <w:t>práce s obětí ex-partnerského stalkingu</w:t>
      </w:r>
      <w:bookmarkEnd w:id="31"/>
      <w:r w:rsidR="00213B37">
        <w:t xml:space="preserve"> </w:t>
      </w:r>
    </w:p>
    <w:p w:rsidR="0087241B" w:rsidRPr="0087241B" w:rsidRDefault="00DF4DD9" w:rsidP="0087241B">
      <w:pPr>
        <w:pStyle w:val="StylPrvndek125cm"/>
      </w:pPr>
      <w:r>
        <w:t>O</w:t>
      </w:r>
      <w:r w:rsidR="007E3262">
        <w:t>běť ex-partnerského násilí, která</w:t>
      </w:r>
      <w:r>
        <w:t xml:space="preserve"> se rozhodne obrátit o pomoc v příslušných organizacích</w:t>
      </w:r>
      <w:r w:rsidR="0087241B">
        <w:t>,</w:t>
      </w:r>
      <w:r>
        <w:t xml:space="preserve"> se především zajímá o poskytnutí rady, jak nebezpečnému pronásledování čelit. Je důležité si uvědomit, že oběť se nachází v zoufalé situaci a s ohledem k ní zvolit vhodný přístup i komunikaci. Podstatné je</w:t>
      </w:r>
      <w:r w:rsidR="00C967E8">
        <w:t>,</w:t>
      </w:r>
      <w:r>
        <w:t xml:space="preserve"> ujistit oběť, že řešit onu tíživou situaci je správné rozhodnutí. Je třeba oběti zřetelně vysvětlit, že daná situace sice nevznikla její vinou, ale</w:t>
      </w:r>
      <w:r w:rsidR="007E3262">
        <w:t xml:space="preserve"> je</w:t>
      </w:r>
      <w:r>
        <w:t xml:space="preserve"> nutné plně převzít odpovědnost za svoji bezpečnost. </w:t>
      </w:r>
      <w:r w:rsidR="0087241B" w:rsidRPr="0087241B">
        <w:t>(Čírtková, 2007, s. 125)</w:t>
      </w:r>
      <w:r w:rsidR="0087241B">
        <w:t>.</w:t>
      </w:r>
    </w:p>
    <w:p w:rsidR="0087241B" w:rsidRPr="00F13507" w:rsidRDefault="0087241B" w:rsidP="0087241B">
      <w:pPr>
        <w:pStyle w:val="StylPrvndek125cm"/>
      </w:pPr>
      <w:r w:rsidRPr="00F13507">
        <w:t xml:space="preserve">Při práci s obětí nebezpečného pronásledování jsou klíčové dva body – </w:t>
      </w:r>
      <w:r w:rsidRPr="00F13507">
        <w:rPr>
          <w:b/>
        </w:rPr>
        <w:t>posouzení rizik</w:t>
      </w:r>
      <w:r w:rsidRPr="00F13507">
        <w:t xml:space="preserve">, které oběti v dané situaci hrozí a </w:t>
      </w:r>
      <w:r w:rsidRPr="00F13507">
        <w:rPr>
          <w:b/>
        </w:rPr>
        <w:t>vypracování postupu intervence</w:t>
      </w:r>
      <w:r w:rsidRPr="00F13507">
        <w:t xml:space="preserve"> v tomto konkrétním případě (Čírtková, 2007, s. 119). </w:t>
      </w:r>
      <w:r w:rsidR="00234DD5" w:rsidRPr="00F13507">
        <w:t>Sociální</w:t>
      </w:r>
      <w:r w:rsidRPr="00F13507">
        <w:t xml:space="preserve"> pracovník by měl na základě analýzy rizik vypracovat s obětí stalkingu </w:t>
      </w:r>
      <w:r w:rsidRPr="00F13507">
        <w:rPr>
          <w:b/>
        </w:rPr>
        <w:t>bezpečnostní krizový plán</w:t>
      </w:r>
      <w:r w:rsidR="001A74A1" w:rsidRPr="00F13507">
        <w:rPr>
          <w:i/>
        </w:rPr>
        <w:t xml:space="preserve">, </w:t>
      </w:r>
      <w:r w:rsidR="00B824B8" w:rsidRPr="00F13507">
        <w:t>který</w:t>
      </w:r>
      <w:r w:rsidRPr="00F13507">
        <w:t xml:space="preserve"> by za daných okolností minimalizoval rizika pokračujícího stalkingu</w:t>
      </w:r>
      <w:r w:rsidRPr="00F13507">
        <w:rPr>
          <w:i/>
        </w:rPr>
        <w:t xml:space="preserve"> </w:t>
      </w:r>
      <w:r w:rsidRPr="00F13507">
        <w:t>(</w:t>
      </w:r>
      <w:proofErr w:type="spellStart"/>
      <w:r w:rsidRPr="00F13507">
        <w:t>Čirtková</w:t>
      </w:r>
      <w:proofErr w:type="spellEnd"/>
      <w:r w:rsidRPr="00F13507">
        <w:t>, 2007, s. 125).</w:t>
      </w:r>
    </w:p>
    <w:p w:rsidR="009818C0" w:rsidRPr="00F13507" w:rsidRDefault="009818C0" w:rsidP="009818C0">
      <w:pPr>
        <w:pStyle w:val="StylPrvndek125cm"/>
      </w:pPr>
      <w:proofErr w:type="spellStart"/>
      <w:r w:rsidRPr="00F13507">
        <w:t>Mullen</w:t>
      </w:r>
      <w:proofErr w:type="spellEnd"/>
      <w:r w:rsidRPr="00F13507">
        <w:t xml:space="preserve"> (2006, s. 440) dodává, že v případě posuzování nebezpečnosti stalkingu je třeba posuzovat čtyři základní kritéria: </w:t>
      </w:r>
      <w:r w:rsidRPr="00F13507">
        <w:rPr>
          <w:b/>
        </w:rPr>
        <w:t>eskalaci případu</w:t>
      </w:r>
      <w:r w:rsidRPr="00F13507">
        <w:t xml:space="preserve"> (zda pronásledování má či bude mít stupňující se charakter a hrozí případně sexuální či fyzické napadení), </w:t>
      </w:r>
      <w:r w:rsidRPr="00F13507">
        <w:rPr>
          <w:b/>
        </w:rPr>
        <w:t>intenzitu psychického a sociálního poškození oběti</w:t>
      </w:r>
      <w:r w:rsidRPr="00F13507">
        <w:t xml:space="preserve">, </w:t>
      </w:r>
      <w:r w:rsidRPr="00F13507">
        <w:rPr>
          <w:b/>
        </w:rPr>
        <w:t>znovuobnovení obtěžování oběti</w:t>
      </w:r>
      <w:r w:rsidRPr="00F13507">
        <w:t xml:space="preserve"> a </w:t>
      </w:r>
      <w:r w:rsidRPr="00F13507">
        <w:rPr>
          <w:b/>
        </w:rPr>
        <w:t>délku pronásledování</w:t>
      </w:r>
      <w:r w:rsidRPr="00F13507">
        <w:t xml:space="preserve"> (čím delší průběh, tím horší předpověď, nejdéle pronásledování bývají bývalý partneři).  </w:t>
      </w:r>
    </w:p>
    <w:p w:rsidR="00DF4DD9" w:rsidRDefault="00957806" w:rsidP="002E38D1">
      <w:pPr>
        <w:pStyle w:val="StylPrvndek125cm"/>
      </w:pPr>
      <w:r w:rsidRPr="00F13507">
        <w:t>Čírtková (2007, s.</w:t>
      </w:r>
      <w:r w:rsidR="00213B37" w:rsidRPr="00F13507">
        <w:t xml:space="preserve"> 123)</w:t>
      </w:r>
      <w:r w:rsidR="000B20E6" w:rsidRPr="00F13507">
        <w:t xml:space="preserve"> navíc</w:t>
      </w:r>
      <w:r w:rsidR="00213B37" w:rsidRPr="00F13507">
        <w:t xml:space="preserve"> upozorňuje na fakt, že poskytnout oběti</w:t>
      </w:r>
      <w:r w:rsidR="00213B37">
        <w:t xml:space="preserve"> účinnou pomoc a nalézt řešení, jak zastavit nebezpečné pronásledování</w:t>
      </w:r>
      <w:r w:rsidR="007E3262">
        <w:t>,</w:t>
      </w:r>
      <w:r w:rsidR="00213B37">
        <w:t xml:space="preserve"> není mnohdy vůb</w:t>
      </w:r>
      <w:r w:rsidR="000B20E6">
        <w:t xml:space="preserve">ec snadné. </w:t>
      </w:r>
      <w:r w:rsidR="007D67D3">
        <w:t>Dle </w:t>
      </w:r>
      <w:r w:rsidR="00DF4DD9">
        <w:t>zákona o sociálních službách (§ 2 zákon č.108/2006 Sb.), musí pomoc sociálního pracovníka vycházet zejména z individuálně určených potřeb oběti, důležité je motivovat mimo jin</w:t>
      </w:r>
      <w:r w:rsidR="007E3262">
        <w:t>é oběť k takovým činnostem, které</w:t>
      </w:r>
      <w:r w:rsidR="00DF4DD9">
        <w:t xml:space="preserve"> vedou k řešení n</w:t>
      </w:r>
      <w:r w:rsidR="007D67D3">
        <w:t>epříznivé sociální situace a po </w:t>
      </w:r>
      <w:r w:rsidR="00DF4DD9">
        <w:t xml:space="preserve">kritické události posilovat opětovné začleňování oběti do běžného života.  </w:t>
      </w:r>
    </w:p>
    <w:p w:rsidR="00213B37" w:rsidRDefault="0002245A" w:rsidP="00213B37">
      <w:pPr>
        <w:pStyle w:val="StylPrvndek125cm"/>
      </w:pPr>
      <w:r>
        <w:t>Odborná pomoc oběti ex-partnerského stalkingu</w:t>
      </w:r>
      <w:r w:rsidR="007D67D3">
        <w:t xml:space="preserve"> by měla obsahovat kroky, které </w:t>
      </w:r>
      <w:r>
        <w:t xml:space="preserve">primárně povedou k posílení vlastní zodpovědnosti (Francis, 2005, s. 338). </w:t>
      </w:r>
      <w:r w:rsidR="007D67D3">
        <w:t>Je důležité, aby </w:t>
      </w:r>
      <w:r w:rsidR="00DF4DD9">
        <w:t xml:space="preserve">si oběť uvědomila, že za </w:t>
      </w:r>
      <w:r w:rsidR="00213B37">
        <w:t xml:space="preserve">své bezpečí je přednostně zodpovědná </w:t>
      </w:r>
      <w:r w:rsidR="002E38D1">
        <w:t xml:space="preserve">jen ona </w:t>
      </w:r>
      <w:r w:rsidR="00213B37">
        <w:t>sama. Jde o to, aby oběť změnila svůj přístup a snažila se minimalizovat nebezpečné situace – příkladně se nepohybovala na ulici sama, pořídila si domů bezpečnostní systém, či se spolupodílela na tvorbě bezpečnostního plánu (Francis</w:t>
      </w:r>
      <w:r w:rsidR="002E38D1">
        <w:t>, 2005, s.</w:t>
      </w:r>
      <w:r w:rsidR="00213B37">
        <w:t xml:space="preserve"> 339). </w:t>
      </w:r>
    </w:p>
    <w:p w:rsidR="000A7B8D" w:rsidRDefault="000A7B8D" w:rsidP="002E38D1">
      <w:pPr>
        <w:pStyle w:val="StylPrvndek125cm"/>
      </w:pPr>
      <w:r w:rsidRPr="00F13507">
        <w:t xml:space="preserve">Jenom posílení vlastní zodpovědnosti oběti však daný problém nevyřeší. Mnohdy je nezbytná i odborná </w:t>
      </w:r>
      <w:r w:rsidRPr="00F13507">
        <w:rPr>
          <w:b/>
        </w:rPr>
        <w:t>právní pomoc</w:t>
      </w:r>
      <w:r w:rsidRPr="00F13507">
        <w:t xml:space="preserve">. Důležitý je advokát, ideálně takový, jenž rozumí </w:t>
      </w:r>
      <w:r w:rsidRPr="00F13507">
        <w:lastRenderedPageBreak/>
        <w:t xml:space="preserve">problematice stalkingu. </w:t>
      </w:r>
      <w:r w:rsidR="005C377E" w:rsidRPr="00F13507">
        <w:t xml:space="preserve">V případě, že se rozhodne oběť na </w:t>
      </w:r>
      <w:r w:rsidRPr="00F13507">
        <w:t>stalkera podat trestní oznámení</w:t>
      </w:r>
      <w:r w:rsidR="005C377E" w:rsidRPr="00F13507">
        <w:t>, může jí advokát s tímto pomoci</w:t>
      </w:r>
      <w:r w:rsidRPr="00F13507">
        <w:t xml:space="preserve">. Učinit </w:t>
      </w:r>
      <w:r w:rsidR="005C377E" w:rsidRPr="00F13507">
        <w:t xml:space="preserve">podání může oběť </w:t>
      </w:r>
      <w:r w:rsidRPr="00F13507">
        <w:t>na policii ČR nebo na státním zastupitelství, nejlépe místně příslušném</w:t>
      </w:r>
      <w:r w:rsidR="005C377E" w:rsidRPr="00F13507">
        <w:t xml:space="preserve"> (BKB, nedatováno)</w:t>
      </w:r>
      <w:r w:rsidRPr="00F13507">
        <w:t>.</w:t>
      </w:r>
    </w:p>
    <w:p w:rsidR="002E38D1" w:rsidRDefault="002E38D1" w:rsidP="002E38D1">
      <w:pPr>
        <w:pStyle w:val="StylPrvndek125cm"/>
      </w:pPr>
      <w:r>
        <w:t xml:space="preserve">Nachází-li se oběť po kritické události ve vážném stavu, je </w:t>
      </w:r>
      <w:r w:rsidR="00C967E8">
        <w:t>nutné jí nabídnout pobyt v</w:t>
      </w:r>
      <w:r w:rsidR="0002245A">
        <w:t xml:space="preserve"> krizovém centru. </w:t>
      </w:r>
      <w:r>
        <w:t xml:space="preserve">Účelem </w:t>
      </w:r>
      <w:r w:rsidRPr="008F6FB8">
        <w:t>je „překonat nejtěžší období krize ve specializovaném zařízení.“</w:t>
      </w:r>
      <w:r>
        <w:t xml:space="preserve"> (</w:t>
      </w:r>
      <w:proofErr w:type="spellStart"/>
      <w:r>
        <w:t>Vodáčková</w:t>
      </w:r>
      <w:proofErr w:type="spellEnd"/>
      <w:r>
        <w:t xml:space="preserve">, 2007, s. 130) V tomto období je vnímání a prožívání oběti značně zúženo. Pomocí </w:t>
      </w:r>
      <w:r w:rsidR="0002245A">
        <w:t xml:space="preserve">pobytové služby se </w:t>
      </w:r>
      <w:r>
        <w:t xml:space="preserve">daří </w:t>
      </w:r>
      <w:r w:rsidR="0002245A">
        <w:t xml:space="preserve">lépe </w:t>
      </w:r>
      <w:r>
        <w:t>stabilizovat stav oběti, zajistit</w:t>
      </w:r>
      <w:r w:rsidR="0002245A">
        <w:t xml:space="preserve"> jí</w:t>
      </w:r>
      <w:r>
        <w:t xml:space="preserve"> pocit bezpečí a </w:t>
      </w:r>
      <w:r w:rsidR="003D11E0">
        <w:t xml:space="preserve">minimalizovat stav ohrožení. </w:t>
      </w:r>
      <w:proofErr w:type="spellStart"/>
      <w:r w:rsidR="003D11E0">
        <w:t>Vodáčková</w:t>
      </w:r>
      <w:proofErr w:type="spellEnd"/>
      <w:r w:rsidR="003D11E0">
        <w:t xml:space="preserve"> (2007, s.</w:t>
      </w:r>
      <w:r>
        <w:t xml:space="preserve"> 130) považuje za dostatečnou dob</w:t>
      </w:r>
      <w:r w:rsidR="003D11E0">
        <w:t xml:space="preserve">u </w:t>
      </w:r>
      <w:r w:rsidR="0002245A">
        <w:t xml:space="preserve">strávenou v pobytovém zařízení krizového centra </w:t>
      </w:r>
      <w:r w:rsidR="003D11E0">
        <w:t>pět až sedm dnů</w:t>
      </w:r>
      <w:r>
        <w:t>.</w:t>
      </w:r>
    </w:p>
    <w:p w:rsidR="00213B37" w:rsidRDefault="00213B37" w:rsidP="00213B37">
      <w:pPr>
        <w:pStyle w:val="StylPrvndek125cm"/>
      </w:pPr>
      <w:r>
        <w:t xml:space="preserve">Nedílnou součástí krizové intervence je </w:t>
      </w:r>
      <w:r w:rsidR="003D11E0">
        <w:t xml:space="preserve">i </w:t>
      </w:r>
      <w:r>
        <w:t>psychologická pomoc. V případě obětí trestných činů je velmi důležitá doba bezprostředně po kriti</w:t>
      </w:r>
      <w:r w:rsidR="003D11E0">
        <w:t>cké události</w:t>
      </w:r>
      <w:r>
        <w:t xml:space="preserve">. Psychologie neodkladné péče rozlišuje dvě oblasti </w:t>
      </w:r>
      <w:r w:rsidRPr="003D11E0">
        <w:rPr>
          <w:b/>
        </w:rPr>
        <w:t>psychologickou první pomoc</w:t>
      </w:r>
      <w:r>
        <w:t xml:space="preserve"> a </w:t>
      </w:r>
      <w:r w:rsidRPr="003D11E0">
        <w:rPr>
          <w:b/>
        </w:rPr>
        <w:t>terapii aktuálního traumatu</w:t>
      </w:r>
      <w:r>
        <w:t>. Psychologická první pomoc nastupuje prakticky okamžitě, přímo na místě incidentu. Poskytují ji přivolaní psychologové či ostatní profesionálové, jako lékaři, záchranáři nebo policisté. Zatímco terapie akutního trau</w:t>
      </w:r>
      <w:r w:rsidR="007D67D3">
        <w:t>matu je spíše věcí psychologů a </w:t>
      </w:r>
      <w:r>
        <w:t>psychoterapeutů a nastupuje v průběhu několika následujících dní (Čírtková</w:t>
      </w:r>
      <w:r w:rsidR="003D11E0">
        <w:t>, 2007, s.</w:t>
      </w:r>
      <w:r w:rsidR="007D67D3">
        <w:t> </w:t>
      </w:r>
      <w:r>
        <w:t xml:space="preserve">131). </w:t>
      </w:r>
    </w:p>
    <w:p w:rsidR="00213B37" w:rsidRDefault="00213B37" w:rsidP="00213B37">
      <w:pPr>
        <w:pStyle w:val="StylPrvndek125cm"/>
      </w:pPr>
      <w:r>
        <w:t xml:space="preserve">Následná psychologická péče zahrnuje rozmanité formy pomoci, jenž jsou založeny na opakovaném a dlouhodobějším kontaktu s klientem, ale </w:t>
      </w:r>
      <w:r w:rsidR="003D11E0">
        <w:t xml:space="preserve">může se jednat </w:t>
      </w:r>
      <w:r>
        <w:t>i</w:t>
      </w:r>
      <w:r w:rsidR="003D11E0">
        <w:t xml:space="preserve"> o</w:t>
      </w:r>
      <w:r>
        <w:t xml:space="preserve"> krátkodobé intenzivní reintegrační programy (Čírtková</w:t>
      </w:r>
      <w:r w:rsidR="003D11E0">
        <w:t>, 2007, s.</w:t>
      </w:r>
      <w:r>
        <w:t xml:space="preserve"> 139). </w:t>
      </w:r>
    </w:p>
    <w:p w:rsidR="00213B37" w:rsidRDefault="003D11E0" w:rsidP="00891869">
      <w:pPr>
        <w:pStyle w:val="StylPrvndek125cm"/>
      </w:pPr>
      <w:r>
        <w:t xml:space="preserve">Nutno </w:t>
      </w:r>
      <w:r w:rsidR="00213B37">
        <w:t>si uvědomit, že v mnoha případech</w:t>
      </w:r>
      <w:r>
        <w:t xml:space="preserve"> způsob</w:t>
      </w:r>
      <w:r w:rsidR="0002245A">
        <w:t>uje</w:t>
      </w:r>
      <w:r>
        <w:t xml:space="preserve"> oběti ex-partnerské</w:t>
      </w:r>
      <w:r w:rsidR="00213B37">
        <w:t xml:space="preserve"> nási</w:t>
      </w:r>
      <w:r w:rsidR="007D67D3">
        <w:t>lí i </w:t>
      </w:r>
      <w:r w:rsidR="00213B37">
        <w:t xml:space="preserve">ekonomické potíže. </w:t>
      </w:r>
      <w:r>
        <w:t>K</w:t>
      </w:r>
      <w:r w:rsidR="00213B37">
        <w:t xml:space="preserve">romě výše zmíněných podpor </w:t>
      </w:r>
      <w:r>
        <w:t xml:space="preserve">je někdy </w:t>
      </w:r>
      <w:r w:rsidR="00213B37">
        <w:t>nutné poskytnou</w:t>
      </w:r>
      <w:r>
        <w:t>t</w:t>
      </w:r>
      <w:r w:rsidR="007D67D3">
        <w:t xml:space="preserve"> oběti i </w:t>
      </w:r>
      <w:r w:rsidR="00213B37" w:rsidRPr="00891869">
        <w:rPr>
          <w:b/>
        </w:rPr>
        <w:t>materiální pomoc</w:t>
      </w:r>
      <w:r w:rsidR="00213B37">
        <w:t xml:space="preserve">. </w:t>
      </w:r>
      <w:r w:rsidR="00FA2AAE" w:rsidRPr="00F13507">
        <w:t>Takřka u poloviny případů přinesl stalking obětem také citelnou ztrátu materiální (Čírtková, 2008, s. 85). Dokonce se může o</w:t>
      </w:r>
      <w:r w:rsidR="00213B37" w:rsidRPr="00F13507">
        <w:t>běť nacházet</w:t>
      </w:r>
      <w:r w:rsidR="00FA2AAE" w:rsidRPr="00F13507">
        <w:t xml:space="preserve"> </w:t>
      </w:r>
      <w:r w:rsidR="00213B37" w:rsidRPr="00F13507">
        <w:t>ve stavu</w:t>
      </w:r>
      <w:r w:rsidR="00213B37">
        <w:t xml:space="preserve"> hmotné a sociální nouze, kdy ani s pomocí rodiny není schopna zabezpečit svoje základní životní potřeby. Oběti nemají o spektru</w:t>
      </w:r>
      <w:r w:rsidR="00C967E8">
        <w:t xml:space="preserve"> sociálních</w:t>
      </w:r>
      <w:r w:rsidR="00213B37">
        <w:t xml:space="preserve"> dávek často ani ponětí. Sociální pracovník jim může být v tomto případě velmi nápomocen, dokáže-li oběť dobře poučit nebo nasměrovat tam, kde mohou vyčerpávající informace podat (</w:t>
      </w:r>
      <w:proofErr w:type="spellStart"/>
      <w:r w:rsidR="00213B37">
        <w:t>Vodáčková</w:t>
      </w:r>
      <w:proofErr w:type="spellEnd"/>
      <w:r>
        <w:t>, 2007, s.</w:t>
      </w:r>
      <w:r w:rsidR="00C967E8">
        <w:t xml:space="preserve"> 519-521). S</w:t>
      </w:r>
      <w:r w:rsidR="00213B37">
        <w:t>naží</w:t>
      </w:r>
      <w:r w:rsidR="00C967E8">
        <w:t xml:space="preserve"> se vždy</w:t>
      </w:r>
      <w:r w:rsidR="00213B37">
        <w:t xml:space="preserve"> klien</w:t>
      </w:r>
      <w:r w:rsidR="00C967E8">
        <w:t>ta aktivně zapojit do řešení jeho</w:t>
      </w:r>
      <w:r w:rsidR="00213B37">
        <w:t xml:space="preserve"> situace</w:t>
      </w:r>
      <w:r w:rsidR="007D67D3">
        <w:t>. Primárně podporuje klienta ve </w:t>
      </w:r>
      <w:r w:rsidR="00213B37">
        <w:t>využ</w:t>
      </w:r>
      <w:r w:rsidR="0002245A">
        <w:t>ívání vlastních zdrojů</w:t>
      </w:r>
      <w:r w:rsidR="00213B37">
        <w:t xml:space="preserve">. </w:t>
      </w:r>
      <w:r w:rsidR="0002245A">
        <w:t>Může jít i osoby blízké či rodinu</w:t>
      </w:r>
      <w:r w:rsidR="00213B37">
        <w:t xml:space="preserve"> oběti. Sociální pracovník tedy v některých případech nepracuje pouze s obětí násilí, ale i s ostatními členy rodiny. Pomocí komplexní a dobře zvolené pomoci se postupně profiluje řešení </w:t>
      </w:r>
      <w:r w:rsidR="0002245A">
        <w:t xml:space="preserve">daného </w:t>
      </w:r>
      <w:r w:rsidR="00213B37">
        <w:t>případu (</w:t>
      </w:r>
      <w:proofErr w:type="spellStart"/>
      <w:r w:rsidR="00213B37">
        <w:t>Vodáčková</w:t>
      </w:r>
      <w:proofErr w:type="spellEnd"/>
      <w:r w:rsidR="0002245A">
        <w:t>, 2007, s.</w:t>
      </w:r>
      <w:r w:rsidR="005D7C66">
        <w:t> </w:t>
      </w:r>
      <w:r w:rsidR="00213B37">
        <w:t xml:space="preserve">145). </w:t>
      </w:r>
    </w:p>
    <w:p w:rsidR="00213B37" w:rsidRDefault="00213B37" w:rsidP="003D11E0">
      <w:pPr>
        <w:pStyle w:val="StylPrvndek125cm"/>
      </w:pPr>
      <w:r>
        <w:lastRenderedPageBreak/>
        <w:t>Sociální pracovník rovněž pečlivě dokumentuje celý případ a úzce spolu</w:t>
      </w:r>
      <w:r w:rsidR="007D67D3">
        <w:t>pracuje i s </w:t>
      </w:r>
      <w:r w:rsidR="0002245A">
        <w:t>ostatními subjekty.</w:t>
      </w:r>
      <w:r w:rsidR="0092060E">
        <w:t xml:space="preserve"> </w:t>
      </w:r>
      <w:r>
        <w:t xml:space="preserve">V případě potřeby doporučí oběti návaznou péči, předá potřebné informace a kontakty, či dokonce zprostředkuje odbornou </w:t>
      </w:r>
      <w:r w:rsidR="0092060E">
        <w:t>pomoc jiného subjektu (Čírtková, 2007, s.</w:t>
      </w:r>
      <w:r>
        <w:t xml:space="preserve"> 138). </w:t>
      </w:r>
      <w:r w:rsidR="0092060E">
        <w:t>S</w:t>
      </w:r>
      <w:r w:rsidR="002E38D1">
        <w:t>ociální pracovník má omezené profesní schopnosti a je tedy obzvlášť důležité, vytvořit dokonale propojený systém psychosociální sítě. Vhodně vytvořená síť napomůže pružnějšímu řešení konkrétní</w:t>
      </w:r>
      <w:r w:rsidR="007D67D3">
        <w:t>ch případů (</w:t>
      </w:r>
      <w:proofErr w:type="spellStart"/>
      <w:r w:rsidR="007D67D3">
        <w:t>Vodáčková</w:t>
      </w:r>
      <w:proofErr w:type="spellEnd"/>
      <w:r w:rsidR="007D67D3">
        <w:t>, 2007, s. </w:t>
      </w:r>
      <w:r w:rsidR="002E38D1">
        <w:t xml:space="preserve">502). </w:t>
      </w:r>
    </w:p>
    <w:p w:rsidR="000A7B8D" w:rsidRDefault="00FB3CD2" w:rsidP="003D11E0">
      <w:pPr>
        <w:pStyle w:val="StylPrvndek125cm"/>
      </w:pPr>
      <w:r w:rsidRPr="00F13507">
        <w:t>Tato kapitola přináší</w:t>
      </w:r>
      <w:r w:rsidR="000A7B8D" w:rsidRPr="00F13507">
        <w:t xml:space="preserve"> </w:t>
      </w:r>
      <w:r w:rsidR="00965805" w:rsidRPr="00F13507">
        <w:t xml:space="preserve">jen velmi </w:t>
      </w:r>
      <w:r w:rsidR="000A7B8D" w:rsidRPr="00F13507">
        <w:t xml:space="preserve">stručný přehled </w:t>
      </w:r>
      <w:r w:rsidR="00965805" w:rsidRPr="00F13507">
        <w:t xml:space="preserve">možností </w:t>
      </w:r>
      <w:r w:rsidR="000A7B8D" w:rsidRPr="00F13507">
        <w:t xml:space="preserve">odborné práce s obětí </w:t>
      </w:r>
      <w:r w:rsidR="00536396" w:rsidRPr="00F13507">
        <w:br/>
      </w:r>
      <w:r w:rsidR="000A7B8D" w:rsidRPr="00F13507">
        <w:t>ex-partnerského pronásledování. Celá problematika je ovšem daleko obsáhlejší. Více se tomuto tématu hodlám věnovat ve své absolventské práci.</w:t>
      </w:r>
    </w:p>
    <w:p w:rsidR="00213B37" w:rsidRDefault="00213B37" w:rsidP="00EB1EFB">
      <w:pPr>
        <w:pStyle w:val="Nadpis2"/>
      </w:pPr>
      <w:bookmarkStart w:id="32" w:name="_Toc383408617"/>
      <w:r>
        <w:t>Odborná práce se stalkerem</w:t>
      </w:r>
      <w:bookmarkEnd w:id="32"/>
    </w:p>
    <w:p w:rsidR="00213B37" w:rsidRDefault="00213B37" w:rsidP="00213B37">
      <w:pPr>
        <w:pStyle w:val="StylPrvndek125cm"/>
      </w:pPr>
      <w:r>
        <w:t>Zejména ze zahraničních zdrojů je velmi dobře známo, že adekvátní pomoc obětem stalkingu je založena na spolupráci a to i s institucí, poskytující mediační a probační služby. Pro oběť je zdárně situace vyřešena až tehdy, nem</w:t>
      </w:r>
      <w:r w:rsidR="007D67D3">
        <w:t>usí-li se dále obávat násilí ze </w:t>
      </w:r>
      <w:r>
        <w:t>strany známého útočníka. Nestačí tedy pouze vydat soud</w:t>
      </w:r>
      <w:r w:rsidR="00C967E8">
        <w:t>ní nařízení o zákazu přiblížení, a</w:t>
      </w:r>
      <w:r>
        <w:t>le je třeba současně pracovat i na tom, aby stalker změn</w:t>
      </w:r>
      <w:r w:rsidR="007D67D3">
        <w:t>il své chování, ale především i </w:t>
      </w:r>
      <w:r>
        <w:t>myšlení. Vhodnou formou je kombinace sankce a terapeutického opatření, jež by mělo násilníkovi pomoci hledat novou životní perspektivu (Čírtková</w:t>
      </w:r>
      <w:r w:rsidR="009369EB">
        <w:t>, 2007, s.</w:t>
      </w:r>
      <w:r>
        <w:t xml:space="preserve"> 123). </w:t>
      </w:r>
    </w:p>
    <w:p w:rsidR="00213B37" w:rsidRDefault="00213B37" w:rsidP="00213B37">
      <w:pPr>
        <w:pStyle w:val="StylPrvndek125cm"/>
      </w:pPr>
      <w:r>
        <w:t>Poslední dobou dochází čím dál častěji k uplatňová</w:t>
      </w:r>
      <w:r w:rsidR="007D67D3">
        <w:t>ní alternativních forem práce s </w:t>
      </w:r>
      <w:r>
        <w:t>delikventními jedinci. Jednou z těchto forem je probace a mediace, která má v naší zemi legislati</w:t>
      </w:r>
      <w:r w:rsidR="009369EB">
        <w:t xml:space="preserve">vní oporu v </w:t>
      </w:r>
      <w:r>
        <w:t>zákon</w:t>
      </w:r>
      <w:r w:rsidR="009369EB">
        <w:t>ě</w:t>
      </w:r>
      <w:r>
        <w:t xml:space="preserve"> č. 257/2000 Sb</w:t>
      </w:r>
      <w:r w:rsidR="009369EB">
        <w:t xml:space="preserve">., o probační a mediační službě. </w:t>
      </w:r>
    </w:p>
    <w:p w:rsidR="00213B37" w:rsidRDefault="00213B37" w:rsidP="009369EB">
      <w:pPr>
        <w:pStyle w:val="StylPrvndek125cm"/>
      </w:pPr>
      <w:r>
        <w:t xml:space="preserve"> Práci s pachateli trestných činů je věnována větší pozornost, než jak tomu bývalo kdysi. Odborná práce se stalkerem, či jinou osobou vyznačující se delikventním chováním, je velmi důležitá. V řadě zemí se alternativní model ujal. I přes to se objevují ostré diskuze, které účinnost terapeutické aktivity zpochybňují. Jelikož metodika výzkumu zatím není schopna stoprocentně sdělit, která terapie je pro koho účinná, zůs</w:t>
      </w:r>
      <w:r w:rsidR="001A74A1">
        <w:t xml:space="preserve">tává tato otázka nezodpovězená </w:t>
      </w:r>
      <w:r>
        <w:t>(Fischer</w:t>
      </w:r>
      <w:r w:rsidR="008248E3">
        <w:t>, 2009, s.</w:t>
      </w:r>
      <w:r w:rsidR="00891869">
        <w:t xml:space="preserve"> </w:t>
      </w:r>
      <w:r>
        <w:t>198).</w:t>
      </w:r>
    </w:p>
    <w:p w:rsidR="00213B37" w:rsidRDefault="00213B37" w:rsidP="00213B37">
      <w:pPr>
        <w:pStyle w:val="StylPrvndek125cm"/>
      </w:pPr>
      <w:r>
        <w:t>Případnou odpovědí by nám mohla být probační činnost v</w:t>
      </w:r>
      <w:r w:rsidR="008248E3">
        <w:t>e Spojených státech amerických.</w:t>
      </w:r>
      <w:r>
        <w:t xml:space="preserve"> „Kolébkou boje proti stalkingu“ se stala především Kalifornie. Američtí odborníci zjistili, že propracovaný probační dohled napomáhá sociální rehabilitaci stalkera a účinněji chrání samotou oběť. Uvědomili si, že pachatelé jsou velmi krea</w:t>
      </w:r>
      <w:r w:rsidR="00C967E8">
        <w:t xml:space="preserve">tivní </w:t>
      </w:r>
      <w:r w:rsidR="00C967E8">
        <w:lastRenderedPageBreak/>
        <w:t>při</w:t>
      </w:r>
      <w:r w:rsidR="007D67D3">
        <w:t> </w:t>
      </w:r>
      <w:r w:rsidR="00C967E8">
        <w:t>sledování svých obětí</w:t>
      </w:r>
      <w:r>
        <w:t xml:space="preserve"> a že je nezbytné</w:t>
      </w:r>
      <w:r w:rsidR="00C967E8">
        <w:t>,</w:t>
      </w:r>
      <w:r>
        <w:t xml:space="preserve"> přizpůsobit své pracovní strategie taktice agresorů. U většiny případů bývá udělen dlouholetý probační dohled, jenž zahrnuje pravidelné návštěvy probačního oddělení, povinnou účast na léčebných a terapeutických programech, nebo zákaz vycházení. Nejen policisté, ale i probační úředník může provádět nečekané návštěvy stalkera. V případě, že je zjištěno</w:t>
      </w:r>
      <w:r w:rsidR="00CA6CEE">
        <w:t xml:space="preserve"> porušování podmínek stanovených soudem</w:t>
      </w:r>
      <w:r>
        <w:t>, mohou ho policisté</w:t>
      </w:r>
      <w:r w:rsidR="00CA6CEE">
        <w:t xml:space="preserve"> pachatele</w:t>
      </w:r>
      <w:r>
        <w:t xml:space="preserve"> okamž</w:t>
      </w:r>
      <w:r w:rsidR="00AB7850">
        <w:t xml:space="preserve">itě zatknout. Odborníci pružnou formu spolupráce </w:t>
      </w:r>
      <w:r>
        <w:t>s povděkem kvitují</w:t>
      </w:r>
      <w:r w:rsidR="00AB7850">
        <w:t xml:space="preserve"> (NCFVC, 2003)</w:t>
      </w:r>
      <w:r>
        <w:t xml:space="preserve">. </w:t>
      </w:r>
    </w:p>
    <w:p w:rsidR="00213B37" w:rsidRDefault="00213B37" w:rsidP="00213B37">
      <w:pPr>
        <w:pStyle w:val="StylPrvndek125cm"/>
      </w:pPr>
      <w:r>
        <w:t>U nás došlo k rozvoji probačních a mediačních služeb až v porevol</w:t>
      </w:r>
      <w:r w:rsidR="00AB7850">
        <w:t>učním období. Důležitým se stal</w:t>
      </w:r>
      <w:r>
        <w:t xml:space="preserve"> moment, jenž přichází v roce 1994, kdy </w:t>
      </w:r>
      <w:r w:rsidR="00AB7850">
        <w:t xml:space="preserve">vzniklo </w:t>
      </w:r>
      <w:r w:rsidR="00C967E8">
        <w:t>O</w:t>
      </w:r>
      <w:r>
        <w:t>bčanské sdružení pr</w:t>
      </w:r>
      <w:r w:rsidR="007D67D3">
        <w:t>o </w:t>
      </w:r>
      <w:r>
        <w:t>rozvoj sociální práce v trestní justici. Zavádění těchto institutů mimo jiné úzce souviselo i se zásadní reformou trestního práva. V ČR je probační služba součástí resortu spravedlnosti, ačkoli její řízení je relativně samostatné</w:t>
      </w:r>
      <w:r w:rsidR="00AB7850">
        <w:t xml:space="preserve"> </w:t>
      </w:r>
      <w:r w:rsidR="00AB7850" w:rsidRPr="00AB7850">
        <w:t>(Bajer</w:t>
      </w:r>
      <w:r w:rsidR="00AB7850">
        <w:t>, 2005, s. 3</w:t>
      </w:r>
      <w:r w:rsidR="007B0031">
        <w:t>-4</w:t>
      </w:r>
      <w:r w:rsidR="00AB7850" w:rsidRPr="00AB7850">
        <w:t xml:space="preserve">). </w:t>
      </w:r>
    </w:p>
    <w:p w:rsidR="00213B37" w:rsidRDefault="00213B37" w:rsidP="00213B37">
      <w:pPr>
        <w:pStyle w:val="StylPrvndek125cm"/>
      </w:pPr>
      <w:r>
        <w:t>Sdružení pro rozvoj sociální práce v trestní justici</w:t>
      </w:r>
      <w:r w:rsidR="00756206">
        <w:t xml:space="preserve"> se významnou měrou podílelo na </w:t>
      </w:r>
      <w:r>
        <w:t>zavádění alternativn</w:t>
      </w:r>
      <w:r w:rsidR="007B0031">
        <w:t>ích přístupů</w:t>
      </w:r>
      <w:r>
        <w:t>. Od samého počátku bylo cílem sdružení prosazovat vedle represivních trestů i alternativní přístupy</w:t>
      </w:r>
      <w:r w:rsidR="003A1D74">
        <w:t>,</w:t>
      </w:r>
      <w:r>
        <w:t xml:space="preserve"> stavějící na teoriích o sociální deviaci, </w:t>
      </w:r>
      <w:proofErr w:type="spellStart"/>
      <w:r>
        <w:t>labelingu</w:t>
      </w:r>
      <w:proofErr w:type="spellEnd"/>
      <w:r>
        <w:t xml:space="preserve"> či sociální kontrole. Jednoduše řešeno alternativní pojetí</w:t>
      </w:r>
      <w:r w:rsidR="003A1D74">
        <w:t>,</w:t>
      </w:r>
      <w:r>
        <w:t xml:space="preserve"> uplatňující se v trestní justici</w:t>
      </w:r>
      <w:r w:rsidR="003A1D74">
        <w:t>,</w:t>
      </w:r>
      <w:r>
        <w:t xml:space="preserve"> klade důraz </w:t>
      </w:r>
      <w:r w:rsidRPr="00717E62">
        <w:t>na „výchovné působení komunity a uvědomění si sounáležitosti se svým sociálním okolím.“</w:t>
      </w:r>
      <w:r>
        <w:t xml:space="preserve"> Upřednostňuje stejně individualizovaný a humánní</w:t>
      </w:r>
      <w:r w:rsidR="007D67D3">
        <w:t xml:space="preserve"> přístup k </w:t>
      </w:r>
      <w:r>
        <w:t>delik</w:t>
      </w:r>
      <w:r w:rsidR="008941DA">
        <w:t xml:space="preserve">ventům jako k obětem (Pažoutová </w:t>
      </w:r>
      <w:r w:rsidR="007B0031">
        <w:t>–</w:t>
      </w:r>
      <w:r w:rsidR="008941DA">
        <w:t xml:space="preserve"> </w:t>
      </w:r>
      <w:r>
        <w:t>Růžičková</w:t>
      </w:r>
      <w:r w:rsidR="007B0031">
        <w:t>, 2005,</w:t>
      </w:r>
      <w:r>
        <w:t xml:space="preserve"> </w:t>
      </w:r>
      <w:r w:rsidR="001A74A1">
        <w:t xml:space="preserve">s. </w:t>
      </w:r>
      <w:r>
        <w:t xml:space="preserve">134). </w:t>
      </w:r>
    </w:p>
    <w:p w:rsidR="00063A5A" w:rsidRDefault="00063A5A" w:rsidP="00063A5A">
      <w:pPr>
        <w:pStyle w:val="StylPrvndek125cm"/>
        <w:ind w:firstLine="0"/>
      </w:pPr>
    </w:p>
    <w:p w:rsidR="0075322C" w:rsidRDefault="0075322C" w:rsidP="0075322C">
      <w:pPr>
        <w:pStyle w:val="Nadpis1"/>
      </w:pPr>
      <w:bookmarkStart w:id="33" w:name="_Toc383408618"/>
      <w:r>
        <w:lastRenderedPageBreak/>
        <w:t>Empirický výzkum</w:t>
      </w:r>
      <w:bookmarkEnd w:id="33"/>
    </w:p>
    <w:p w:rsidR="0075322C" w:rsidRDefault="0075322C" w:rsidP="0075322C">
      <w:pPr>
        <w:pStyle w:val="StylBCPrvndek125cm"/>
      </w:pPr>
      <w:r>
        <w:t xml:space="preserve">V teoretické části bakalářské práce jsem věnovala pozornost důležitým aspektům </w:t>
      </w:r>
      <w:r w:rsidR="00536396">
        <w:br/>
      </w:r>
      <w:r>
        <w:t xml:space="preserve">ex-partnerského stalkingu, jeho důsledkům, možnostem krizové pomoci a odborné práci s obětí. </w:t>
      </w:r>
      <w:r w:rsidRPr="00F13507">
        <w:t>Ex-partnerský stalking je</w:t>
      </w:r>
      <w:r w:rsidR="00717E62" w:rsidRPr="00F13507">
        <w:t xml:space="preserve"> jevem, který se pozvolna</w:t>
      </w:r>
      <w:r w:rsidR="00FB3CD2" w:rsidRPr="00F13507">
        <w:t xml:space="preserve"> objevuje v náplních práce</w:t>
      </w:r>
      <w:r w:rsidR="008305CC">
        <w:t xml:space="preserve"> i u </w:t>
      </w:r>
      <w:r w:rsidRPr="00F13507">
        <w:t>pomáhajících profesí.</w:t>
      </w:r>
      <w:r>
        <w:t xml:space="preserve"> Proto jsem se rozhodla zaměřit empirický výzkum</w:t>
      </w:r>
      <w:r w:rsidR="008305CC">
        <w:t xml:space="preserve"> právě na </w:t>
      </w:r>
      <w:r w:rsidR="007D67D3">
        <w:t>sociální pracovníky a </w:t>
      </w:r>
      <w:r>
        <w:t>pracovníky v sociálních službác</w:t>
      </w:r>
      <w:r w:rsidR="008305CC">
        <w:t xml:space="preserve">h s cílem zjistit jejich úroveň </w:t>
      </w:r>
      <w:r>
        <w:t>informovanost</w:t>
      </w:r>
      <w:r w:rsidR="007D67D3">
        <w:t>i o </w:t>
      </w:r>
      <w:r>
        <w:t>problematice ex-partnerského stalkingu. V empirické části se tedy budu věnovat přípravě a realizaci výzkumu, dále pak analýze dat a závěrečnému shrnutí výsledků v souladu s daným cílem.</w:t>
      </w:r>
      <w:r>
        <w:rPr>
          <w:szCs w:val="24"/>
        </w:rPr>
        <w:t xml:space="preserve"> K naplnění výzkumného cíle </w:t>
      </w:r>
      <w:r>
        <w:t>bude použita metoda kvantitativního sběru dat (</w:t>
      </w:r>
      <w:proofErr w:type="spellStart"/>
      <w:r>
        <w:t>Disman</w:t>
      </w:r>
      <w:proofErr w:type="spellEnd"/>
      <w:r>
        <w:t xml:space="preserve">, 2008, s. 287). </w:t>
      </w:r>
      <w:bookmarkStart w:id="34" w:name="_Toc291514015"/>
      <w:bookmarkStart w:id="35" w:name="_Toc292200473"/>
    </w:p>
    <w:p w:rsidR="0075322C" w:rsidRDefault="0075322C" w:rsidP="0075322C">
      <w:pPr>
        <w:pStyle w:val="Nadpis2"/>
        <w:numPr>
          <w:ilvl w:val="1"/>
          <w:numId w:val="18"/>
        </w:numPr>
      </w:pPr>
      <w:bookmarkStart w:id="36" w:name="_Toc383408619"/>
      <w:r>
        <w:t>Stanovení výzkumného</w:t>
      </w:r>
      <w:bookmarkStart w:id="37" w:name="_Toc291514016"/>
      <w:bookmarkEnd w:id="34"/>
      <w:r>
        <w:t xml:space="preserve"> cíle, formulace hypotéz</w:t>
      </w:r>
      <w:bookmarkEnd w:id="35"/>
      <w:bookmarkEnd w:id="37"/>
      <w:r>
        <w:t xml:space="preserve"> a jejich operacionalizace</w:t>
      </w:r>
      <w:bookmarkEnd w:id="36"/>
    </w:p>
    <w:p w:rsidR="0075322C" w:rsidRDefault="0075322C" w:rsidP="0075322C">
      <w:pPr>
        <w:pStyle w:val="StylBCPrvndek125cm"/>
      </w:pPr>
      <w:r>
        <w:t xml:space="preserve">Cílem empirického výzkumu je zjistit, jaká je ve vybraných sociálních službách informovanost sociálních pracovníků a pracovníků v sociálních službách, o problematice ex-partnerského stalkingu. </w:t>
      </w:r>
    </w:p>
    <w:p w:rsidR="0075322C" w:rsidRDefault="0075322C" w:rsidP="0075322C">
      <w:pPr>
        <w:pStyle w:val="StylBCPrvndek125cm"/>
      </w:pPr>
      <w:r>
        <w:t>Výše uvedenou formulaci hlavního cíle jsem si rozděl</w:t>
      </w:r>
      <w:r w:rsidR="00756206">
        <w:t>ila do dvou dílčích cílů, které </w:t>
      </w:r>
      <w:r>
        <w:t xml:space="preserve">jsem dále rozpracovala do jednotlivých hypotéz. Podle </w:t>
      </w:r>
      <w:proofErr w:type="spellStart"/>
      <w:r>
        <w:t>Hendla</w:t>
      </w:r>
      <w:proofErr w:type="spellEnd"/>
      <w:r>
        <w:t xml:space="preserve"> (2012, s. 25) je hypotéza „tvrzením o podstatě určité situace ve zkoum</w:t>
      </w:r>
      <w:r w:rsidR="008305CC">
        <w:t>ané oblasti“. Jde o návrh, nebo </w:t>
      </w:r>
      <w:r>
        <w:t>chceme-li o představu vztahu, mezi uvažovanými proměnnými. Daný návrh se buď výzkumem zamítá, anebo potvrzuje. Pro jednu výzkumn</w:t>
      </w:r>
      <w:r w:rsidR="00756206">
        <w:t>ou otázku je možné formulovat i </w:t>
      </w:r>
      <w:r>
        <w:t>několik hypotéz (</w:t>
      </w:r>
      <w:proofErr w:type="spellStart"/>
      <w:r>
        <w:t>Hendl</w:t>
      </w:r>
      <w:proofErr w:type="spellEnd"/>
      <w:r>
        <w:t xml:space="preserve">, 2012, s. 25). </w:t>
      </w:r>
    </w:p>
    <w:p w:rsidR="0075322C" w:rsidRDefault="0075322C" w:rsidP="0075322C">
      <w:pPr>
        <w:pStyle w:val="StylBCPrvndek125cm"/>
      </w:pPr>
      <w:r>
        <w:t>Hypotézy se stávají základem pro výběr proměnných. Proces, který vede k návrhu proměnné, se nazývá operacionalizace. Samotná operacionalizace představuje určení úkonů, které je třeba provést, aby se empiricky zjistila přítomnost, nebo stupeň přítomnosti, toho, co popisuje daný koncept (</w:t>
      </w:r>
      <w:proofErr w:type="spellStart"/>
      <w:r>
        <w:t>Hendl</w:t>
      </w:r>
      <w:proofErr w:type="spellEnd"/>
      <w:r>
        <w:t>, 2012, s. 27).</w:t>
      </w:r>
    </w:p>
    <w:p w:rsidR="0075322C" w:rsidRDefault="0075322C" w:rsidP="0075322C">
      <w:pPr>
        <w:pStyle w:val="StylBCPrvndek125cm"/>
      </w:pPr>
      <w:r>
        <w:t>Níže uvádím přesnou formulaci dvou dílčích cílů empirického kvantitativního výzkumu, hypotézy a jejich operacionalizaci:</w:t>
      </w:r>
    </w:p>
    <w:p w:rsidR="0075322C" w:rsidRDefault="0075322C" w:rsidP="0075322C">
      <w:pPr>
        <w:pStyle w:val="BC"/>
        <w:ind w:firstLine="0"/>
        <w:rPr>
          <w:szCs w:val="22"/>
        </w:rPr>
      </w:pPr>
    </w:p>
    <w:p w:rsidR="0075322C" w:rsidRDefault="0075322C" w:rsidP="0075322C">
      <w:pPr>
        <w:pStyle w:val="BC"/>
        <w:numPr>
          <w:ilvl w:val="0"/>
          <w:numId w:val="19"/>
        </w:numPr>
        <w:ind w:left="426"/>
        <w:rPr>
          <w:b/>
          <w:i/>
          <w:szCs w:val="22"/>
        </w:rPr>
      </w:pPr>
      <w:r>
        <w:rPr>
          <w:b/>
          <w:i/>
          <w:iCs/>
          <w:szCs w:val="22"/>
        </w:rPr>
        <w:lastRenderedPageBreak/>
        <w:t>Zjistit, jaká je informovanost respondentů o problematice ex-partnerského stalkingu.</w:t>
      </w:r>
    </w:p>
    <w:p w:rsidR="0075322C" w:rsidRDefault="0075322C" w:rsidP="0075322C">
      <w:pPr>
        <w:pStyle w:val="BC"/>
        <w:rPr>
          <w:iCs/>
          <w:szCs w:val="22"/>
        </w:rPr>
      </w:pPr>
      <w:r>
        <w:rPr>
          <w:iCs/>
          <w:szCs w:val="22"/>
        </w:rPr>
        <w:t xml:space="preserve">První dílčí cíl obsahuje jedinou hypotézu, která je zaměřená na informovanost respondentů. Záměrem cíle je, na základě souboru </w:t>
      </w:r>
      <w:r w:rsidR="00756206">
        <w:rPr>
          <w:iCs/>
          <w:szCs w:val="22"/>
        </w:rPr>
        <w:t>otázek zkoumat, informovanost o </w:t>
      </w:r>
      <w:r>
        <w:rPr>
          <w:iCs/>
          <w:szCs w:val="22"/>
        </w:rPr>
        <w:t xml:space="preserve">problematice ex-partnerského stalkingu. </w:t>
      </w:r>
    </w:p>
    <w:p w:rsidR="0075322C" w:rsidRDefault="0075322C" w:rsidP="0075322C">
      <w:pPr>
        <w:pStyle w:val="BC"/>
        <w:rPr>
          <w:iCs/>
          <w:szCs w:val="22"/>
        </w:rPr>
      </w:pPr>
    </w:p>
    <w:p w:rsidR="0075322C" w:rsidRDefault="0075322C" w:rsidP="0075322C">
      <w:pPr>
        <w:pStyle w:val="BC"/>
        <w:spacing w:after="240"/>
        <w:ind w:firstLine="0"/>
        <w:rPr>
          <w:iCs/>
          <w:szCs w:val="22"/>
        </w:rPr>
      </w:pPr>
      <w:r>
        <w:rPr>
          <w:iCs/>
          <w:szCs w:val="22"/>
        </w:rPr>
        <w:t>H1.: Předpokládáme, že u většiny respondentů bude zjištěna střední úroveň informovanosti o ex-partnerském stalkingu.</w:t>
      </w:r>
    </w:p>
    <w:p w:rsidR="0075322C" w:rsidRDefault="0075322C" w:rsidP="0075322C">
      <w:r>
        <w:t>Potvrzení či vyvrácení hypotézy provedeme pomocí sady 10 otázek. U níže uvedených otázek by respondenti měli vybrat pouze jedino</w:t>
      </w:r>
      <w:r w:rsidR="00756206">
        <w:t>u odpověď. Jedná se o otázku č. </w:t>
      </w:r>
      <w:r>
        <w:t>8: „Kdy vstoupila v platnost právní norma o nebezpečném pronásledování (§ 354 Trestního zákoníku, zákon č. 40/2009 Sb.)?“</w:t>
      </w:r>
      <w:r w:rsidR="00EF115A">
        <w:t>, o</w:t>
      </w:r>
      <w:r>
        <w:t>tázku č. 9</w:t>
      </w:r>
      <w:r w:rsidR="00756206">
        <w:t>: „Ve kterém státě USA vznikl v </w:t>
      </w:r>
      <w:r>
        <w:t>roce 1990 první antistalkingový zákon?“</w:t>
      </w:r>
      <w:r w:rsidR="00EF115A">
        <w:t>, o</w:t>
      </w:r>
      <w:r>
        <w:t>táz</w:t>
      </w:r>
      <w:r w:rsidR="00756206">
        <w:t>ku č. 10: „Co podle Vás znamená </w:t>
      </w:r>
      <w:r>
        <w:t>ex-partnerský stalking?“</w:t>
      </w:r>
      <w:r w:rsidR="00EF115A">
        <w:t>, d</w:t>
      </w:r>
      <w:r>
        <w:t>ále pak otázku č. 14: „Domníváte se, že je mo</w:t>
      </w:r>
      <w:r w:rsidR="00756206">
        <w:t>žné u </w:t>
      </w:r>
      <w:r>
        <w:t>obětí ex-partnerského stalkingu zaznamenat příznaky posttraumatické stresové poruchy?“ a otázku č. 17: „Který z pocitů vnímají oběti</w:t>
      </w:r>
      <w:r w:rsidR="00756206">
        <w:t xml:space="preserve"> ex-partnerského stalkingu jako </w:t>
      </w:r>
      <w:r>
        <w:t>nejhorší?“</w:t>
      </w:r>
      <w:r w:rsidR="00EF115A">
        <w:t>.</w:t>
      </w:r>
      <w:r>
        <w:t xml:space="preserve"> Dotazovaní získají za každou správně zodpovězenou otázku 1 bod.</w:t>
      </w:r>
    </w:p>
    <w:p w:rsidR="0075322C" w:rsidRDefault="0075322C" w:rsidP="0075322C">
      <w:pPr>
        <w:pStyle w:val="BC"/>
        <w:rPr>
          <w:iCs/>
          <w:szCs w:val="22"/>
        </w:rPr>
      </w:pPr>
      <w:r>
        <w:rPr>
          <w:iCs/>
          <w:szCs w:val="22"/>
        </w:rPr>
        <w:t>Respondentům bude dále položena otázka č. 12: „Co podle Vás patří mezi tři nejčastěji používané techniky stalkingu?“</w:t>
      </w:r>
      <w:r w:rsidR="00EF115A">
        <w:rPr>
          <w:iCs/>
          <w:szCs w:val="22"/>
        </w:rPr>
        <w:t>.</w:t>
      </w:r>
      <w:r>
        <w:rPr>
          <w:iCs/>
          <w:szCs w:val="22"/>
        </w:rPr>
        <w:t xml:space="preserve"> Za každou správně uvedenou techniku získají respondenti 1bod, maximálně mohou respondenti za tuto odpověď obdržet 3 body.</w:t>
      </w:r>
    </w:p>
    <w:p w:rsidR="0075322C" w:rsidRDefault="0075322C" w:rsidP="0075322C">
      <w:pPr>
        <w:pStyle w:val="BC"/>
        <w:rPr>
          <w:iCs/>
          <w:szCs w:val="22"/>
        </w:rPr>
      </w:pPr>
      <w:r>
        <w:rPr>
          <w:iCs/>
          <w:szCs w:val="22"/>
        </w:rPr>
        <w:t>Dále budou respondentům položeny čtyři otázky otevřené. Otázka č. 11: „Co je hlavní předzvěstí ex-partnerského stalkingu?“</w:t>
      </w:r>
      <w:r w:rsidR="00EF115A">
        <w:rPr>
          <w:iCs/>
          <w:szCs w:val="22"/>
        </w:rPr>
        <w:t>, o</w:t>
      </w:r>
      <w:r>
        <w:rPr>
          <w:iCs/>
          <w:szCs w:val="22"/>
        </w:rPr>
        <w:t>tázka č. 13: „Uveďte alespoň jeden sociální důsledek ex-partnerského stalkingu.“</w:t>
      </w:r>
      <w:r w:rsidR="00EF115A">
        <w:rPr>
          <w:iCs/>
          <w:szCs w:val="22"/>
        </w:rPr>
        <w:t>, d</w:t>
      </w:r>
      <w:r>
        <w:rPr>
          <w:iCs/>
          <w:szCs w:val="22"/>
        </w:rPr>
        <w:t>ále pak otázka č. 15: „Uveďte alespoň jednoho autora nebo publikaci, která se problematikou ex-partnerského stalkingu zabývá.“</w:t>
      </w:r>
      <w:r w:rsidR="00EF115A">
        <w:rPr>
          <w:iCs/>
          <w:szCs w:val="22"/>
        </w:rPr>
        <w:t>, a</w:t>
      </w:r>
      <w:r>
        <w:rPr>
          <w:iCs/>
          <w:szCs w:val="22"/>
        </w:rPr>
        <w:t xml:space="preserve"> otázka č. 16: „Uveďte název alespoň jedné organizace, specializující se na pomoc obětem stalkingu.“</w:t>
      </w:r>
      <w:r w:rsidR="00EF115A">
        <w:rPr>
          <w:iCs/>
          <w:szCs w:val="22"/>
        </w:rPr>
        <w:t>.</w:t>
      </w:r>
      <w:r>
        <w:rPr>
          <w:iCs/>
          <w:szCs w:val="22"/>
        </w:rPr>
        <w:t xml:space="preserve"> Za každou správně zodpovězenou otevřen</w:t>
      </w:r>
      <w:r w:rsidR="00EF115A">
        <w:rPr>
          <w:iCs/>
          <w:szCs w:val="22"/>
        </w:rPr>
        <w:t>ou otázku získají respondenti 2 </w:t>
      </w:r>
      <w:r>
        <w:rPr>
          <w:iCs/>
          <w:szCs w:val="22"/>
        </w:rPr>
        <w:t>body. V případě otázky č. 11: „Co je hlavní předzvěstí ex</w:t>
      </w:r>
      <w:r w:rsidR="00756206">
        <w:rPr>
          <w:iCs/>
          <w:szCs w:val="22"/>
        </w:rPr>
        <w:t>-partnerského stalkingu?“, bude </w:t>
      </w:r>
      <w:r>
        <w:rPr>
          <w:iCs/>
          <w:szCs w:val="22"/>
        </w:rPr>
        <w:t xml:space="preserve">za správnou odpověď považováno, dle </w:t>
      </w:r>
      <w:proofErr w:type="spellStart"/>
      <w:r>
        <w:rPr>
          <w:iCs/>
          <w:szCs w:val="22"/>
        </w:rPr>
        <w:t>Tjaden</w:t>
      </w:r>
      <w:proofErr w:type="spellEnd"/>
      <w:r>
        <w:rPr>
          <w:iCs/>
          <w:szCs w:val="22"/>
        </w:rPr>
        <w:t xml:space="preserve"> a </w:t>
      </w:r>
      <w:proofErr w:type="spellStart"/>
      <w:r>
        <w:rPr>
          <w:iCs/>
          <w:szCs w:val="22"/>
        </w:rPr>
        <w:t>Thoennes</w:t>
      </w:r>
      <w:proofErr w:type="spellEnd"/>
      <w:r>
        <w:rPr>
          <w:iCs/>
          <w:szCs w:val="22"/>
        </w:rPr>
        <w:t xml:space="preserve"> (1998a, s. 8),</w:t>
      </w:r>
      <w:r w:rsidR="00FF2C7E">
        <w:rPr>
          <w:iCs/>
          <w:szCs w:val="22"/>
        </w:rPr>
        <w:t xml:space="preserve"> </w:t>
      </w:r>
      <w:r>
        <w:rPr>
          <w:iCs/>
          <w:szCs w:val="22"/>
        </w:rPr>
        <w:t xml:space="preserve">domácí násilí, dle </w:t>
      </w:r>
      <w:proofErr w:type="spellStart"/>
      <w:r>
        <w:rPr>
          <w:iCs/>
          <w:szCs w:val="22"/>
        </w:rPr>
        <w:t>Meloye</w:t>
      </w:r>
      <w:proofErr w:type="spellEnd"/>
      <w:r>
        <w:rPr>
          <w:iCs/>
          <w:szCs w:val="22"/>
        </w:rPr>
        <w:t xml:space="preserve"> (2002, s. 111), porucha osobnosti nebo rizikové faktory jako nadměrná žárlivost stalkera, fixace stalkera na oběť, anebo odmítnutí stalkera (</w:t>
      </w:r>
      <w:proofErr w:type="spellStart"/>
      <w:r>
        <w:rPr>
          <w:iCs/>
          <w:szCs w:val="22"/>
        </w:rPr>
        <w:t>Hall</w:t>
      </w:r>
      <w:proofErr w:type="spellEnd"/>
      <w:r>
        <w:rPr>
          <w:iCs/>
          <w:szCs w:val="22"/>
        </w:rPr>
        <w:t>, 1998, s. 122).</w:t>
      </w:r>
    </w:p>
    <w:p w:rsidR="0075322C" w:rsidRDefault="0075322C" w:rsidP="0075322C">
      <w:pPr>
        <w:pStyle w:val="BC"/>
        <w:rPr>
          <w:iCs/>
          <w:szCs w:val="22"/>
        </w:rPr>
      </w:pPr>
      <w:r>
        <w:rPr>
          <w:iCs/>
          <w:szCs w:val="22"/>
        </w:rPr>
        <w:t>Celkový maximální počet bodů, který mohou respon</w:t>
      </w:r>
      <w:r w:rsidR="00536396">
        <w:rPr>
          <w:iCs/>
          <w:szCs w:val="22"/>
        </w:rPr>
        <w:t>denti získat, činí 16 bodů;</w:t>
      </w:r>
      <w:r w:rsidR="00536396">
        <w:rPr>
          <w:iCs/>
          <w:szCs w:val="22"/>
        </w:rPr>
        <w:br/>
      </w:r>
      <w:r w:rsidR="00EA0830">
        <w:rPr>
          <w:iCs/>
          <w:szCs w:val="22"/>
        </w:rPr>
        <w:t>0</w:t>
      </w:r>
      <w:r w:rsidR="00536396">
        <w:rPr>
          <w:iCs/>
          <w:szCs w:val="22"/>
        </w:rPr>
        <w:t>-</w:t>
      </w:r>
      <w:r w:rsidR="00756206">
        <w:rPr>
          <w:iCs/>
          <w:szCs w:val="22"/>
        </w:rPr>
        <w:t>5</w:t>
      </w:r>
      <w:r w:rsidR="00536396">
        <w:rPr>
          <w:iCs/>
          <w:szCs w:val="22"/>
        </w:rPr>
        <w:t xml:space="preserve"> </w:t>
      </w:r>
      <w:r>
        <w:rPr>
          <w:iCs/>
          <w:szCs w:val="22"/>
        </w:rPr>
        <w:t>bodů značí nízkou úroveň informovanosti, 6</w:t>
      </w:r>
      <w:r w:rsidR="00EA0830">
        <w:rPr>
          <w:iCs/>
          <w:szCs w:val="22"/>
        </w:rPr>
        <w:t>-</w:t>
      </w:r>
      <w:r>
        <w:rPr>
          <w:iCs/>
          <w:szCs w:val="22"/>
        </w:rPr>
        <w:t>11 bodů zna</w:t>
      </w:r>
      <w:r w:rsidR="00EA0830">
        <w:rPr>
          <w:iCs/>
          <w:szCs w:val="22"/>
        </w:rPr>
        <w:t xml:space="preserve">mená střední informovanost </w:t>
      </w:r>
      <w:r w:rsidR="00EA0830">
        <w:rPr>
          <w:iCs/>
          <w:szCs w:val="22"/>
        </w:rPr>
        <w:lastRenderedPageBreak/>
        <w:t>a</w:t>
      </w:r>
      <w:r w:rsidR="00536396">
        <w:rPr>
          <w:iCs/>
          <w:szCs w:val="22"/>
        </w:rPr>
        <w:t> </w:t>
      </w:r>
      <w:r w:rsidR="00EA0830">
        <w:rPr>
          <w:iCs/>
          <w:szCs w:val="22"/>
        </w:rPr>
        <w:t>12-</w:t>
      </w:r>
      <w:r w:rsidR="00536396">
        <w:rPr>
          <w:iCs/>
          <w:szCs w:val="22"/>
        </w:rPr>
        <w:t>16 </w:t>
      </w:r>
      <w:r>
        <w:rPr>
          <w:iCs/>
          <w:szCs w:val="22"/>
        </w:rPr>
        <w:t>bodů znamená vysokou úroveň informovanosti. Hypotéza se potvrdí, pokud více než polovina respondentů získá celkový počet 6-11 bodů.</w:t>
      </w:r>
    </w:p>
    <w:p w:rsidR="0075322C" w:rsidRDefault="0075322C" w:rsidP="0075322C">
      <w:pPr>
        <w:pStyle w:val="BC"/>
        <w:ind w:firstLine="0"/>
      </w:pPr>
    </w:p>
    <w:p w:rsidR="0075322C" w:rsidRDefault="0075322C" w:rsidP="0075322C">
      <w:pPr>
        <w:pStyle w:val="BC"/>
        <w:numPr>
          <w:ilvl w:val="0"/>
          <w:numId w:val="19"/>
        </w:numPr>
        <w:ind w:left="426"/>
        <w:rPr>
          <w:b/>
          <w:i/>
          <w:szCs w:val="22"/>
        </w:rPr>
      </w:pPr>
      <w:r>
        <w:rPr>
          <w:b/>
          <w:i/>
          <w:iCs/>
          <w:szCs w:val="22"/>
        </w:rPr>
        <w:t>Zjistit, zda je z pohledu respondentů problematika ex-partnerského stalkingu jevem, kterým by se sociální práce měla více zabývat.</w:t>
      </w:r>
    </w:p>
    <w:p w:rsidR="0075322C" w:rsidRDefault="0075322C" w:rsidP="0075322C">
      <w:r>
        <w:t>Druhý dílčí cíl má za úkol získat informace o to</w:t>
      </w:r>
      <w:r w:rsidR="00536396">
        <w:t>m, zda se sociální pracovníci a </w:t>
      </w:r>
      <w:r>
        <w:t>pracovníci v sociálních službách domnívají, že ex-partnerské pronásledování je problematikou, kterou by se měla sociální práce více zabývat</w:t>
      </w:r>
      <w:r w:rsidR="00536396">
        <w:t>. Dílčí cíl je rozpracován do 2 </w:t>
      </w:r>
      <w:r>
        <w:t>hypotéz.</w:t>
      </w:r>
    </w:p>
    <w:p w:rsidR="0075322C" w:rsidRDefault="0075322C" w:rsidP="004F28F8">
      <w:pPr>
        <w:ind w:firstLine="0"/>
      </w:pPr>
    </w:p>
    <w:p w:rsidR="0075322C" w:rsidRDefault="0075322C" w:rsidP="0075322C">
      <w:pPr>
        <w:pStyle w:val="BC"/>
        <w:spacing w:after="240"/>
        <w:ind w:firstLine="0"/>
      </w:pPr>
      <w:r>
        <w:t>H2.: Předpokládáme, že většina respondentů se domnívá, že by se sociální práce měla problematikou ex-partnerského stalkingu více zabývat.</w:t>
      </w:r>
    </w:p>
    <w:p w:rsidR="0075322C" w:rsidRDefault="0075322C" w:rsidP="0075322C">
      <w:r>
        <w:t>Hypotéza bude potvrzena, pokud více než polovina respondentů v otázce č.</w:t>
      </w:r>
      <w:r w:rsidR="008351A4">
        <w:t> 7: </w:t>
      </w:r>
      <w:r>
        <w:t>„Domníváte se, že ex-partnerský stalking je problémem, kterým by se sociální práce měla více zabýv</w:t>
      </w:r>
      <w:r w:rsidR="004F28F8">
        <w:t>at?“</w:t>
      </w:r>
      <w:r w:rsidR="00EF115A">
        <w:t>,</w:t>
      </w:r>
      <w:r w:rsidR="004F28F8">
        <w:t xml:space="preserve"> odpoví: „Určitě ano.“ nebo</w:t>
      </w:r>
      <w:r>
        <w:t xml:space="preserve"> „Spíše ano.“.</w:t>
      </w:r>
    </w:p>
    <w:p w:rsidR="0075322C" w:rsidRDefault="0075322C" w:rsidP="0075322C"/>
    <w:p w:rsidR="0075322C" w:rsidRDefault="0075322C" w:rsidP="0075322C">
      <w:pPr>
        <w:pStyle w:val="BC"/>
        <w:spacing w:after="240"/>
        <w:ind w:firstLine="0"/>
      </w:pPr>
      <w:r>
        <w:t>H3.: Předpokládáme, že většina respondentů, jež se s jevem ex-partnerského stalkingu setkala osobně, bude určitě souhlasit, nebo spíše</w:t>
      </w:r>
      <w:r w:rsidR="008351A4">
        <w:t xml:space="preserve"> souhlasit s tvrzením, že by se </w:t>
      </w:r>
      <w:r>
        <w:t>problematikou ex-partnerského stalkingu měla so</w:t>
      </w:r>
      <w:r w:rsidR="008351A4">
        <w:t>ciální práce více zabývat, a že </w:t>
      </w:r>
      <w:r>
        <w:t>respondenti, jež se s jevem ex-partnerského stalkingu nikdy osobně nesetkali, budou s tímto tvrzením spíše nesouhlasit, nebo určitě nesouhlasit.</w:t>
      </w:r>
    </w:p>
    <w:p w:rsidR="0075322C" w:rsidRDefault="0075322C" w:rsidP="0075322C">
      <w:r>
        <w:t xml:space="preserve">Hypotéza se potvrdí, pokud více než polovina respondentů, která se s jevem </w:t>
      </w:r>
      <w:r w:rsidR="008351A4">
        <w:br/>
      </w:r>
      <w:r>
        <w:t>ex-partnerského stalkingu ve svém okolí setkala</w:t>
      </w:r>
      <w:r w:rsidR="008351A4">
        <w:t>, v otázce č. 7: „Domníváte se,</w:t>
      </w:r>
      <w:r w:rsidR="008351A4">
        <w:br/>
        <w:t xml:space="preserve">že </w:t>
      </w:r>
      <w:r>
        <w:t>ex-partnerský stalking je problémem, kterým by se sociální práce měla více zabývat?“</w:t>
      </w:r>
      <w:r w:rsidR="00EF115A">
        <w:t>,</w:t>
      </w:r>
      <w:r>
        <w:t xml:space="preserve"> odpoví: „Určitě ano.“ nebo „Spíše ano.“, a současně více </w:t>
      </w:r>
      <w:r w:rsidR="008351A4">
        <w:t>než polovina respondentů, která </w:t>
      </w:r>
      <w:r>
        <w:t>se s jevem ex-partnerského stalkingu nikdy nesetkala, odpoví</w:t>
      </w:r>
      <w:r w:rsidR="004F28F8">
        <w:t xml:space="preserve"> na tutéž otázku  „Určitě ne.“ nebo</w:t>
      </w:r>
      <w:r>
        <w:t xml:space="preserve"> „Spíše ne.“ Tuto hypotézu testuje též otázka č. 6</w:t>
      </w:r>
      <w:r w:rsidR="00EF115A">
        <w:t>: „Setkal/a jste se někdy ve </w:t>
      </w:r>
      <w:r>
        <w:t>svém okolí či během profesní praxe s jevem ex-partnerského stalkingu?“.</w:t>
      </w:r>
    </w:p>
    <w:p w:rsidR="0075322C" w:rsidRDefault="0075322C" w:rsidP="0075322C">
      <w:pPr>
        <w:pStyle w:val="Nadpis2"/>
        <w:numPr>
          <w:ilvl w:val="1"/>
          <w:numId w:val="18"/>
        </w:numPr>
        <w:ind w:left="0" w:firstLine="0"/>
        <w:rPr>
          <w:iCs w:val="0"/>
        </w:rPr>
      </w:pPr>
      <w:bookmarkStart w:id="38" w:name="_Toc383408620"/>
      <w:r>
        <w:rPr>
          <w:iCs w:val="0"/>
        </w:rPr>
        <w:lastRenderedPageBreak/>
        <w:t>Metodologie výzkumu a zpracovávání dat</w:t>
      </w:r>
      <w:bookmarkEnd w:id="38"/>
    </w:p>
    <w:p w:rsidR="0075322C" w:rsidRDefault="0075322C" w:rsidP="0075322C">
      <w:pPr>
        <w:pStyle w:val="StylBCPrvndek125cm"/>
      </w:pPr>
      <w:r>
        <w:t xml:space="preserve">Pro realizaci empirického výzkumu jsem zvolila metodu kvantitativního sběru dat. </w:t>
      </w:r>
      <w:proofErr w:type="spellStart"/>
      <w:r>
        <w:t>Disman</w:t>
      </w:r>
      <w:proofErr w:type="spellEnd"/>
      <w:r>
        <w:t xml:space="preserve"> (2008, s. 287) uvádí, že kvantitativní výzkum je</w:t>
      </w:r>
      <w:r w:rsidR="008351A4">
        <w:t xml:space="preserve"> ve své podstatě deduktivní. Na </w:t>
      </w:r>
      <w:r>
        <w:t>počátku je problém existující buď v pouhé teorii, anebo sociální realitě. V předešlé kapitole byl daný problém přeložen do konkrétních hypotéz, které posloužily jako základ pro výběr proměnných. Sebraná data jsou v daném kvantitativním výzkumu použita právě za cílem testování daných hypotéz. Konečným výstupem je pak soubor hypotéz, přijatých nebo zamítnutých (</w:t>
      </w:r>
      <w:proofErr w:type="spellStart"/>
      <w:r>
        <w:t>Disman</w:t>
      </w:r>
      <w:proofErr w:type="spellEnd"/>
      <w:r>
        <w:t xml:space="preserve">, 2008, s. 287). </w:t>
      </w:r>
    </w:p>
    <w:p w:rsidR="0075322C" w:rsidRDefault="0075322C" w:rsidP="0075322C">
      <w:pPr>
        <w:pStyle w:val="StylBCPrvndek125cm"/>
      </w:pPr>
      <w:r>
        <w:t>„V kvantitativním výzkumu sbíráme jen ta data, která nutně potřebujeme.“ (</w:t>
      </w:r>
      <w:proofErr w:type="spellStart"/>
      <w:r>
        <w:t>Disman</w:t>
      </w:r>
      <w:proofErr w:type="spellEnd"/>
      <w:r>
        <w:t>, 2008, s. 287) Tento metodologický výzkum vyžaduje velmi silnou standardizaci, což vede k redukci informací. Prakticky nedává respondentovi prostor, kde by mohl plně popsat svá mínění. Dotazovaný je omezen pouze na jedinou volbu z nabídnutého souboru kategorií, jenž je velmi malý. To vede k poměrně nízké validitě, avšak na</w:t>
      </w:r>
      <w:r w:rsidR="008351A4">
        <w:t xml:space="preserve"> straně druhé nám tato </w:t>
      </w:r>
      <w:r>
        <w:t xml:space="preserve">výzkumná metoda zajišťuje vysokou </w:t>
      </w:r>
      <w:proofErr w:type="spellStart"/>
      <w:r>
        <w:t>reliabilitu</w:t>
      </w:r>
      <w:proofErr w:type="spellEnd"/>
      <w:r>
        <w:t xml:space="preserve"> (</w:t>
      </w:r>
      <w:proofErr w:type="spellStart"/>
      <w:r>
        <w:t>Disman</w:t>
      </w:r>
      <w:proofErr w:type="spellEnd"/>
      <w:r>
        <w:t xml:space="preserve">, 2008, s. 287). </w:t>
      </w:r>
    </w:p>
    <w:p w:rsidR="0075322C" w:rsidRDefault="0075322C" w:rsidP="0075322C">
      <w:pPr>
        <w:pStyle w:val="StylBCPrvndek125cm"/>
      </w:pPr>
      <w:r>
        <w:t>Z pohledu výše zmíněného výzkumného cíle, kterým je</w:t>
      </w:r>
      <w:r>
        <w:rPr>
          <w:szCs w:val="24"/>
        </w:rPr>
        <w:t xml:space="preserve"> </w:t>
      </w:r>
      <w:r>
        <w:t xml:space="preserve">zjistit, jaká je ve vybraných sociálních službách informovanost sociálních pracovníků a pracovníků v sociálních službách o problematice ex-partnerského stalkingu, je kvantitativní sběr dat nejvhodnější metodou. </w:t>
      </w:r>
    </w:p>
    <w:p w:rsidR="0075322C" w:rsidRDefault="0075322C" w:rsidP="0075322C">
      <w:pPr>
        <w:pStyle w:val="StylBCPrvndek125cm"/>
      </w:pPr>
      <w:r>
        <w:t xml:space="preserve">Jako výzkumnou techniku pro sběr dat jsem zvolila v tomto výzkumu dotazník. </w:t>
      </w:r>
      <w:proofErr w:type="spellStart"/>
      <w:r>
        <w:t>Disman</w:t>
      </w:r>
      <w:proofErr w:type="spellEnd"/>
      <w:r>
        <w:t xml:space="preserve"> (2008, s. 126) definuje dotazník jako „tištěný formulář, který je tvořen souborem otázek, na které dotazovaný písemně odpovídá.“ Dotazovanou osobu nazýváme též respondentem. Dotazník má vždy standardizovanou </w:t>
      </w:r>
      <w:r w:rsidR="008351A4">
        <w:t>formu. Koncept standardizace je </w:t>
      </w:r>
      <w:r>
        <w:t xml:space="preserve">důležitý, neboť jak uvádí </w:t>
      </w:r>
      <w:proofErr w:type="spellStart"/>
      <w:r>
        <w:t>Disman</w:t>
      </w:r>
      <w:proofErr w:type="spellEnd"/>
      <w:r>
        <w:t xml:space="preserve"> (2008, s. 126) kvantitativní výzkum si nemůže dovolit žádné vylepšování otázek. Při tvorbě kvantitativní</w:t>
      </w:r>
      <w:r w:rsidR="008351A4">
        <w:t>ho dotazníku nedochází pouze ke </w:t>
      </w:r>
      <w:r>
        <w:t>standardizaci otázek, ale i jejich odpovědí. „Nezbývá nic jiného než standardizovat jednotlivé odpovědi a redukovat množství kategorií, ve kterých budou odpovědi zaznamenány.“ (</w:t>
      </w:r>
      <w:proofErr w:type="spellStart"/>
      <w:r>
        <w:t>Disman</w:t>
      </w:r>
      <w:proofErr w:type="spellEnd"/>
      <w:r>
        <w:t>, 2008, s. 127)</w:t>
      </w:r>
    </w:p>
    <w:p w:rsidR="0075322C" w:rsidRDefault="00AF5648" w:rsidP="0075322C">
      <w:pPr>
        <w:pStyle w:val="StylBCPrvndek125cm"/>
      </w:pPr>
      <w:r>
        <w:t xml:space="preserve">Dotazník, </w:t>
      </w:r>
      <w:proofErr w:type="gramStart"/>
      <w:r>
        <w:t xml:space="preserve">jenž jsem </w:t>
      </w:r>
      <w:r w:rsidR="0075322C">
        <w:t>vytvořila</w:t>
      </w:r>
      <w:proofErr w:type="gramEnd"/>
      <w:r w:rsidR="0075322C">
        <w:t xml:space="preserve"> pro výzkumné š</w:t>
      </w:r>
      <w:r w:rsidR="008351A4">
        <w:t>etření, obsahuje 17 otázek (viz </w:t>
      </w:r>
      <w:r w:rsidR="0075322C">
        <w:t xml:space="preserve">Příloha 3). Prvních 5 otázek ověřovalo charakteristické rysy respondentů. Následující otázky se zaobíraly pohledem, informovaností a povědomím o problematice </w:t>
      </w:r>
      <w:r w:rsidR="008351A4">
        <w:br/>
      </w:r>
      <w:r w:rsidR="0075322C">
        <w:t xml:space="preserve">ex-partnerského stalkingu. Dotazník je tvořen otázkami uzavřenými, otevřenými, dále pak </w:t>
      </w:r>
      <w:r w:rsidR="0075322C">
        <w:lastRenderedPageBreak/>
        <w:t>otázkami kódovanými respondentem (</w:t>
      </w:r>
      <w:proofErr w:type="spellStart"/>
      <w:r w:rsidR="0075322C">
        <w:t>Disman</w:t>
      </w:r>
      <w:proofErr w:type="spellEnd"/>
      <w:r w:rsidR="0075322C">
        <w:t>, 2008, s. 127). Součástí dotazníku b</w:t>
      </w:r>
      <w:r w:rsidR="009B4779">
        <w:t>yl průvodní dopis (viz Příloha 2</w:t>
      </w:r>
      <w:r w:rsidR="0075322C">
        <w:t>). Dopis měl funkci informativní.</w:t>
      </w:r>
    </w:p>
    <w:p w:rsidR="0075322C" w:rsidRDefault="0075322C" w:rsidP="0075322C">
      <w:pPr>
        <w:pStyle w:val="StylBCPrvndek125cm"/>
      </w:pPr>
      <w:r>
        <w:t>V kvantitativním výzkumu většinou získáváme velké množství číselných údajů. Abychom ze shromážděných dat mohli vyčíst potřebné informace, je důležité data nejdříve zp</w:t>
      </w:r>
      <w:r w:rsidR="004F28F8">
        <w:t xml:space="preserve">racovat. </w:t>
      </w:r>
      <w:proofErr w:type="spellStart"/>
      <w:r w:rsidR="004F28F8">
        <w:t>Chráska</w:t>
      </w:r>
      <w:proofErr w:type="spellEnd"/>
      <w:r w:rsidR="004F28F8">
        <w:t xml:space="preserve"> (2007, s. 39)</w:t>
      </w:r>
      <w:r>
        <w:t xml:space="preserve"> uvádí, že zpracování výsledků výzkumu je předně realizováno „uspořádáním dat, sestavením tabulek četností a grafickým znázorněním naměřených dat.“ Jako další metody zmiňuje „měření ústřední tendence a variability“ (</w:t>
      </w:r>
      <w:proofErr w:type="spellStart"/>
      <w:r>
        <w:t>Chráska</w:t>
      </w:r>
      <w:proofErr w:type="spellEnd"/>
      <w:r>
        <w:t xml:space="preserve">, 2007, s. 40), tyto dvě metody jsem však ve své práci nevyužila.  </w:t>
      </w:r>
    </w:p>
    <w:p w:rsidR="0075322C" w:rsidRDefault="0075322C" w:rsidP="0075322C">
      <w:pPr>
        <w:pStyle w:val="StylBCPrvndek125cm"/>
      </w:pPr>
      <w:r>
        <w:t>Základní utřídění získaných dat jsem provedla „čárkovací metodou“. Pro jednotlivé otázky z dotazníku jsem sestavila tabulky a pomocí čárek jsem do nich zaznamenávala odpovědi jednotlivých respondentů. Výsledky čárkovací metody jsem následně převedla do tabulky četností. Počet opovědí, které byly v dané otázce zaznamenány, jsem označila jako „četnost odpovědí“ (</w:t>
      </w:r>
      <w:proofErr w:type="spellStart"/>
      <w:r>
        <w:t>Chráska</w:t>
      </w:r>
      <w:proofErr w:type="spellEnd"/>
      <w:r>
        <w:t xml:space="preserve">, 2007, s. 40).  </w:t>
      </w:r>
    </w:p>
    <w:p w:rsidR="0075322C" w:rsidRDefault="0075322C" w:rsidP="0075322C">
      <w:pPr>
        <w:pStyle w:val="StylBCPrvndek125cm"/>
      </w:pPr>
      <w:r>
        <w:t>Získaná data jsem nezaznamenávala pouze v tabulkác</w:t>
      </w:r>
      <w:r w:rsidR="008351A4">
        <w:t>h, ale i v názorné podobě, a to </w:t>
      </w:r>
      <w:r>
        <w:t>prostřednictvím koláčových a sloupcových grafů.  Sestav</w:t>
      </w:r>
      <w:r w:rsidR="008351A4">
        <w:t>ení tabulek četností i grafů mi </w:t>
      </w:r>
      <w:r>
        <w:t>usnadnila výpočetní technika. Ke zpracování dat jsem využila tabulkový procesor - Microsoft Excel.</w:t>
      </w:r>
    </w:p>
    <w:p w:rsidR="0075322C" w:rsidRDefault="0075322C" w:rsidP="0075322C">
      <w:pPr>
        <w:pStyle w:val="Nadpis2"/>
        <w:numPr>
          <w:ilvl w:val="1"/>
          <w:numId w:val="18"/>
        </w:numPr>
      </w:pPr>
      <w:bookmarkStart w:id="39" w:name="_Toc383408621"/>
      <w:bookmarkStart w:id="40" w:name="_Toc292200477"/>
      <w:bookmarkStart w:id="41" w:name="_Toc291514021"/>
      <w:r>
        <w:t>Průběh výzkumu</w:t>
      </w:r>
      <w:bookmarkEnd w:id="39"/>
    </w:p>
    <w:p w:rsidR="0075322C" w:rsidRDefault="0075322C" w:rsidP="0075322C">
      <w:pPr>
        <w:pStyle w:val="StylBCPrvndek125cm"/>
      </w:pPr>
      <w:r>
        <w:t>V rámci empirického výzkumu jsem se zaměřila na sociální služby Jihomoravského kraje. Z tohoto kraje osobně i pocházím, tudíž pro mě bylo snazší vytvořit tazatelskou síť právě v této lokalitě, kde mám mnoho přátel a známých</w:t>
      </w:r>
      <w:r w:rsidR="008351A4">
        <w:t>. Zaměřila jsem se především na </w:t>
      </w:r>
      <w:r>
        <w:t xml:space="preserve">respondenty, jimiž byly sociální pracovnice a pracovnice v sociálních službách zaměstnané v sociálních organizacích, kde lze předpokládat zvýšenou pravděpodobnost výskytu jevu ex-partnerského pronásledování (azylové domy, intervenční a krizová centra, odborné sociální </w:t>
      </w:r>
      <w:r w:rsidR="00F46108">
        <w:t>poradenství</w:t>
      </w:r>
      <w:r>
        <w:t>, telefonickou krizovou pomoc, kontaktní centra, nízkoprahová denní centra, služby následné péče, rovněž i služby poskytu</w:t>
      </w:r>
      <w:r w:rsidR="008351A4">
        <w:t>jící sociální rehabilitaci nebo </w:t>
      </w:r>
      <w:r>
        <w:t xml:space="preserve">terapeutické komunity).  </w:t>
      </w:r>
    </w:p>
    <w:p w:rsidR="0075322C" w:rsidRDefault="00AF5648" w:rsidP="0075322C">
      <w:pPr>
        <w:pStyle w:val="StylBCPrvndek125cm"/>
      </w:pPr>
      <w:r>
        <w:t>Standardizovaný d</w:t>
      </w:r>
      <w:r w:rsidR="0075322C">
        <w:t>otazník byl mezi respondenty rozeslán elektronickou cestou. Avšak potvrdila se slabá návratnost vyplněných dotazníků (</w:t>
      </w:r>
      <w:proofErr w:type="spellStart"/>
      <w:r w:rsidR="0075322C">
        <w:t>Hendl</w:t>
      </w:r>
      <w:proofErr w:type="spellEnd"/>
      <w:r w:rsidR="0075322C">
        <w:t xml:space="preserve">, 2012, s. 63). Ke sběru dat jsem pak dále využila tazatelskou síť, kterou tvořilo několik mých přátel a známých pracujících v sociální oblasti. Vytištěné dotazníky byly jimi rozneseny do vybraných </w:t>
      </w:r>
      <w:r w:rsidR="0075322C">
        <w:lastRenderedPageBreak/>
        <w:t>organizací sociálních služeb. Na zodpovězení dotazn</w:t>
      </w:r>
      <w:r w:rsidR="008351A4">
        <w:t>íku měli respondenti většinou i </w:t>
      </w:r>
      <w:r w:rsidR="0075322C">
        <w:t xml:space="preserve">několik dní. Dotazníky tazatelé poté vyzvedli v dohodnutém termínu. Řádně vyplněné dotazníky mi pak tazatelé doručili zpět. </w:t>
      </w:r>
      <w:r>
        <w:t>Celkem bylo osl</w:t>
      </w:r>
      <w:r w:rsidR="008351A4">
        <w:t>oveno v Jihomoravském kraji 256 </w:t>
      </w:r>
      <w:r>
        <w:t>sociálních pracovníků a pracovníků v sociálních službách</w:t>
      </w:r>
      <w:r w:rsidR="008351A4">
        <w:t>. Dotazník správně vyplnilo 104 </w:t>
      </w:r>
      <w:r>
        <w:t>respondentů.</w:t>
      </w:r>
    </w:p>
    <w:p w:rsidR="0075322C" w:rsidRDefault="0075322C" w:rsidP="0075322C">
      <w:pPr>
        <w:pStyle w:val="StylBCPrvndek125cm"/>
      </w:pPr>
      <w:r>
        <w:t>Do výzkumu byly účelově zařazeny sociální pracovníci a pracovníci v sociálních službách, přicházející do kontaktu zejména s oběťmi domácího násilí, oběťmi trestných činů či osobami v krizi (více Kapitola 6.4). Tazatelé byli o výběru respondentů informování a drželi se přesně těchto pokyn</w:t>
      </w:r>
      <w:r w:rsidR="009B4779">
        <w:t>ů (viz Příloha 1</w:t>
      </w:r>
      <w:r>
        <w:t xml:space="preserve">).  </w:t>
      </w:r>
    </w:p>
    <w:p w:rsidR="0075322C" w:rsidRDefault="0075322C" w:rsidP="0075322C">
      <w:pPr>
        <w:pStyle w:val="StylBCPrvndek125cm"/>
      </w:pPr>
      <w:r>
        <w:t xml:space="preserve">Výzkumné šetření probíhalo v měsíci lednu a únoru roku 2014 a trvalo tři týdny. Během tohoto období se mi podařilo naplnit potřebný </w:t>
      </w:r>
      <w:r w:rsidR="008351A4">
        <w:t>počet respondentů. Vděčím za to </w:t>
      </w:r>
      <w:r>
        <w:t>zejména mým přátelům, kteří se do získávání respondentů zapojili velmi aktivně. Dotazníkové šetření bylo zcela anonymní a sloužilo jako podklad pro tvorbu mé bakalářské práce.</w:t>
      </w:r>
    </w:p>
    <w:p w:rsidR="0075322C" w:rsidRDefault="0075322C" w:rsidP="0075322C">
      <w:pPr>
        <w:pStyle w:val="Nadpis2"/>
        <w:numPr>
          <w:ilvl w:val="1"/>
          <w:numId w:val="18"/>
        </w:numPr>
      </w:pPr>
      <w:bookmarkStart w:id="42" w:name="_Toc383408622"/>
      <w:r>
        <w:t>Obecná charakteristika výzkumného vzorku</w:t>
      </w:r>
      <w:bookmarkEnd w:id="40"/>
      <w:bookmarkEnd w:id="41"/>
      <w:bookmarkEnd w:id="42"/>
    </w:p>
    <w:p w:rsidR="0075322C" w:rsidRDefault="0075322C" w:rsidP="0075322C">
      <w:pPr>
        <w:pStyle w:val="StylBCPrvndek125cm"/>
      </w:pPr>
      <w:proofErr w:type="spellStart"/>
      <w:r>
        <w:t>Disman</w:t>
      </w:r>
      <w:proofErr w:type="spellEnd"/>
      <w:r>
        <w:t xml:space="preserve"> (2008, s. 93) uvádí, že skupiny, o které se v sociologickém výzkumu zajímáme, nejsou malé. V kvantitativním výzkumu dokážeme zkoumat celou skupinu jen výjimečně. Ve většině případů studujeme pouze některé jedince z dané skupiny a doufáme, že naše závěry budou aplikovatelné i na ostatní nestudov</w:t>
      </w:r>
      <w:r w:rsidR="008351A4">
        <w:t>ané členy. Skupinu členů, které </w:t>
      </w:r>
      <w:r>
        <w:t>opravdu pozorujeme, nazýváme „vzorkem“ (</w:t>
      </w:r>
      <w:proofErr w:type="spellStart"/>
      <w:r>
        <w:t>Disman</w:t>
      </w:r>
      <w:proofErr w:type="spellEnd"/>
      <w:r>
        <w:t xml:space="preserve">, 2008, s. 93). </w:t>
      </w:r>
    </w:p>
    <w:p w:rsidR="0075322C" w:rsidRDefault="0075322C" w:rsidP="0075322C">
      <w:pPr>
        <w:pStyle w:val="StylBCPrvndek125cm"/>
      </w:pPr>
      <w:r>
        <w:t>S ohledem na cíl empirického výzkumu jsem zvolila „účelový výběr“ vzorku (</w:t>
      </w:r>
      <w:proofErr w:type="spellStart"/>
      <w:r>
        <w:t>Disman</w:t>
      </w:r>
      <w:proofErr w:type="spellEnd"/>
      <w:r>
        <w:t>, 2008, s. 113). Oporou výběru patřičného vzorku pro mě byl Registr poskytovatelů sociálních služeb, který je zveřejněn na internetových stránkách Ministerstva práce a sociálních věcí. Při konstrukci výzkumného vzorku jsem vycházela z uvedeného rejstříku poskytovatelů sociálních služeb. Přičemž z registru sociálních služeb jsem účelově vyňala sociální služby, v jejichž zařízeních lze předpokládat zvýšenou pravděpodobnost výskytu jevu ex-partnerského pronásledování. Z jednotlivých skupin sociálních služeb jsem vybrala do zkoumaného vzorku</w:t>
      </w:r>
      <w:r w:rsidR="008351A4">
        <w:t xml:space="preserve"> patřičné množství jedinců (viz </w:t>
      </w:r>
      <w:r>
        <w:t xml:space="preserve">Tabulka č. 4). </w:t>
      </w:r>
    </w:p>
    <w:p w:rsidR="0075322C" w:rsidRDefault="0075322C" w:rsidP="0075322C">
      <w:pPr>
        <w:pStyle w:val="StylBCPrvndek125cm"/>
      </w:pPr>
      <w:r>
        <w:t xml:space="preserve">Dotazník byl určen pro sociální pracovníky a pracovníky v sociálních službách pracující v organizacích, jejichž cílovou skupinou jsou zejména oběti domácího násilí, </w:t>
      </w:r>
      <w:r>
        <w:lastRenderedPageBreak/>
        <w:t>oběti trestných činů, osoby s duševní chorobou, osoby žijící rizikovým způsobem života, dále pak rodiče s dětmi, ale i osoby bez přístřeší. Konkrétně se jednalo o azylové domy, intervenční a krizová c</w:t>
      </w:r>
      <w:r w:rsidR="006176F2">
        <w:t>entra, odborné sociální poraden</w:t>
      </w:r>
      <w:r>
        <w:t xml:space="preserve">ství, telefonickou krizovou pomoc, kontaktní centra, nízkoprahová denní centra, služby následné péče, rovněž i služby poskytující sociální rehabilitaci nebo terapeutické komunity. </w:t>
      </w:r>
    </w:p>
    <w:p w:rsidR="0075322C" w:rsidRDefault="0075322C" w:rsidP="0075322C">
      <w:pPr>
        <w:pStyle w:val="StylBCPrvndek125cm"/>
      </w:pPr>
      <w:r>
        <w:t>Jak jsem již výše uvedla (viz Kapitola 6.3), výzkum byl zaměřen na sociální služby Jihomoravského kraje. Do výzkumného vzorku bylo zahrnuto všech 7 okresů Jihomoravského kraje. Jmenovitě se jednalo o okres Blansko, Brno-město, Brno-venkov, Břeclav, dále pak Hodonín, Vyškov a Znojmo.</w:t>
      </w:r>
    </w:p>
    <w:p w:rsidR="008351A4" w:rsidRDefault="008351A4" w:rsidP="0075322C">
      <w:pPr>
        <w:pStyle w:val="StylBCPrvndek125cm"/>
      </w:pP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985"/>
        <w:gridCol w:w="1984"/>
        <w:gridCol w:w="2091"/>
      </w:tblGrid>
      <w:tr w:rsidR="0075322C" w:rsidTr="00075C08">
        <w:tc>
          <w:tcPr>
            <w:tcW w:w="90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Jihomoravský kraj</w:t>
            </w:r>
          </w:p>
        </w:tc>
      </w:tr>
      <w:tr w:rsidR="0075322C" w:rsidTr="0075322C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Účelově vybrané</w:t>
            </w:r>
          </w:p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sociální služby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Celkový počet zařízení v kraji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Počet vybraných zařízení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Celkový počet respondentů </w:t>
            </w:r>
          </w:p>
        </w:tc>
      </w:tr>
      <w:tr w:rsidR="0075322C" w:rsidTr="0075322C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Pobytové služby</w:t>
            </w:r>
          </w:p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(azylové domy, noclehárny,</w:t>
            </w:r>
          </w:p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chráněné bydlení)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Intervenční centra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Krizová pomoc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Odborné sociální poradenství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Telefonická krizová pomoc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Kontaktní centra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Služby následné péče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22C" w:rsidTr="0075322C"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Sociální rehabilitace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5322C" w:rsidTr="0075322C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Celkový počet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75322C" w:rsidRDefault="0075322C">
            <w:pPr>
              <w:pStyle w:val="StylBCPrvndek125cm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</w:tbl>
    <w:p w:rsidR="0075322C" w:rsidRDefault="0075322C" w:rsidP="0075322C">
      <w:pPr>
        <w:pStyle w:val="StylBCPrvndek125cm"/>
        <w:spacing w:before="240" w:after="240"/>
        <w:ind w:firstLine="0"/>
        <w:jc w:val="center"/>
        <w:rPr>
          <w:i/>
          <w:szCs w:val="24"/>
        </w:rPr>
      </w:pPr>
      <w:r>
        <w:rPr>
          <w:i/>
          <w:szCs w:val="24"/>
        </w:rPr>
        <w:t>Tabulka č. 4: Přehled vybraných sociálních služeb Jihomoravského kraje</w:t>
      </w:r>
    </w:p>
    <w:p w:rsidR="008351A4" w:rsidRDefault="008351A4" w:rsidP="0075322C">
      <w:pPr>
        <w:pStyle w:val="StylBCPrvndek125cm"/>
        <w:spacing w:before="240" w:after="240"/>
        <w:ind w:firstLine="0"/>
        <w:jc w:val="center"/>
        <w:rPr>
          <w:i/>
          <w:szCs w:val="24"/>
        </w:rPr>
      </w:pPr>
    </w:p>
    <w:p w:rsidR="0075322C" w:rsidRDefault="0075322C" w:rsidP="0075322C">
      <w:pPr>
        <w:pStyle w:val="StylBCPrvndek125cm"/>
      </w:pPr>
      <w:r>
        <w:t>V průběhu sběru kvantitativních dat bylo shromážděno 104 dotazníků. Správně vyplněné dotazníky jsem obdržela od 14 mužů a 90 žen. Jednalo se o 46 respondentů mezi 20-35 lety, 27 respondentů mezi 36-45 lety a 31 respondentů mezi 46-60 lety. Výzkumný vzorek tvořilo 40 pracovníků v sociálních službách</w:t>
      </w:r>
      <w:r w:rsidR="008351A4">
        <w:t>, 37 sociálních pracovníků a 27 </w:t>
      </w:r>
      <w:r>
        <w:t>vedoucích sociálních pracovníků. Konkrétně se jednalo o 46 respondentů z azylových domů, nocleháren a chráněného bydlení, dále pak</w:t>
      </w:r>
      <w:r w:rsidR="00FB3CD2">
        <w:t xml:space="preserve"> o </w:t>
      </w:r>
      <w:r>
        <w:t xml:space="preserve">3 respondenty </w:t>
      </w:r>
      <w:r w:rsidR="00FB3CD2">
        <w:t>z intervenčních center</w:t>
      </w:r>
      <w:r w:rsidR="008351A4">
        <w:t>, 14 </w:t>
      </w:r>
      <w:r>
        <w:t>respondentů z krizové pomoci, 19 respondentů z odbo</w:t>
      </w:r>
      <w:r w:rsidR="008351A4">
        <w:t xml:space="preserve">rného sociálního poradenství, </w:t>
      </w:r>
      <w:r w:rsidR="008351A4">
        <w:lastRenderedPageBreak/>
        <w:t>6 </w:t>
      </w:r>
      <w:r>
        <w:t>respondentů z telefonické krizové pomoci, 6 respondentů z k</w:t>
      </w:r>
      <w:r w:rsidR="008351A4">
        <w:t>ontaktních center, 2 </w:t>
      </w:r>
      <w:r w:rsidR="00AF5648" w:rsidRPr="00F13507">
        <w:t>responden</w:t>
      </w:r>
      <w:r w:rsidR="008351A4" w:rsidRPr="00F13507">
        <w:t>t</w:t>
      </w:r>
      <w:r w:rsidR="00FB3CD2" w:rsidRPr="00F13507">
        <w:t>y</w:t>
      </w:r>
      <w:r w:rsidRPr="00F13507">
        <w:t xml:space="preserve"> ze služeb následné péče a 8 respondentů ze sociální rehabilitace. </w:t>
      </w:r>
      <w:r w:rsidR="00AF5648" w:rsidRPr="00F13507">
        <w:t>Celkem tvořilo výzkumný vzorek 46 respondentů z pobytových služeb a 58 respondentů ze služeb ambulantních.</w:t>
      </w:r>
    </w:p>
    <w:p w:rsidR="001C37C9" w:rsidRDefault="0075322C" w:rsidP="001C37C9">
      <w:pPr>
        <w:pStyle w:val="StylBCPrvndek125cm"/>
      </w:pPr>
      <w:r>
        <w:t>Délka pracovní praxe v daném zařízení byla u 22 r</w:t>
      </w:r>
      <w:r w:rsidR="008351A4">
        <w:t>espondentů méně než 1 rok, u 39 </w:t>
      </w:r>
      <w:r>
        <w:t>respondentů 2-5 let, u 37 respondentů 6-10 let a v přípa</w:t>
      </w:r>
      <w:r w:rsidR="008351A4">
        <w:t>dě 6 respondentů se jednalo a </w:t>
      </w:r>
      <w:r>
        <w:t xml:space="preserve">praxi delší než 10 let.  Další charakteristikou, kterou jsem </w:t>
      </w:r>
      <w:r w:rsidR="008351A4">
        <w:t>ověřovala, byla skutečnost, zda </w:t>
      </w:r>
      <w:r>
        <w:t>se respondenti s problematikou ex-partnerského p</w:t>
      </w:r>
      <w:r w:rsidR="008351A4">
        <w:t>ronásledování ve svém okolí, či </w:t>
      </w:r>
      <w:r>
        <w:t>během profesní praxe, již někdy setkali, nebo nikoli. Mezi respondenty převládali ti, kteří se s jevem ex-partnerského pronásledování ještě nikdy n</w:t>
      </w:r>
      <w:r w:rsidR="008351A4">
        <w:t>esetkali. Ti tvořili skupinu 65 </w:t>
      </w:r>
      <w:r>
        <w:t>respondentů. Skupinu sociálních pracovníků a pracovní</w:t>
      </w:r>
      <w:r w:rsidR="008351A4">
        <w:t>ků v sociálních službách, kteří </w:t>
      </w:r>
      <w:r>
        <w:t xml:space="preserve">se s danou problematikou již někdy setkali, tvořilo 39 respondentů.  </w:t>
      </w:r>
    </w:p>
    <w:p w:rsidR="001C37C9" w:rsidRPr="008B4C43" w:rsidRDefault="001C37C9" w:rsidP="001C37C9">
      <w:pPr>
        <w:pStyle w:val="Nadpis2"/>
      </w:pPr>
      <w:bookmarkStart w:id="43" w:name="_Toc291514022"/>
      <w:bookmarkStart w:id="44" w:name="_Toc292200478"/>
      <w:bookmarkStart w:id="45" w:name="_Toc383408623"/>
      <w:r w:rsidRPr="008B4C43">
        <w:t>Výsledky</w:t>
      </w:r>
      <w:r>
        <w:t xml:space="preserve"> z </w:t>
      </w:r>
      <w:r w:rsidRPr="008B4C43">
        <w:t>analýzy dat</w:t>
      </w:r>
      <w:bookmarkEnd w:id="43"/>
      <w:bookmarkEnd w:id="44"/>
      <w:bookmarkEnd w:id="45"/>
    </w:p>
    <w:p w:rsidR="001C37C9" w:rsidRDefault="001C37C9" w:rsidP="001C37C9">
      <w:pPr>
        <w:pStyle w:val="StylBCPrvndek125cm"/>
      </w:pPr>
      <w:r>
        <w:t xml:space="preserve">Následující kapitola empirické části přináší organizaci a popis dat, která byla získána v rámci kvantitativního výzkumu. Nashromážděná data </w:t>
      </w:r>
      <w:r w:rsidR="008351A4">
        <w:t>jsem nejprve musela roztřídit a </w:t>
      </w:r>
      <w:r>
        <w:t>připravit ke zpracování</w:t>
      </w:r>
      <w:r w:rsidR="007C2777">
        <w:t xml:space="preserve"> (</w:t>
      </w:r>
      <w:proofErr w:type="spellStart"/>
      <w:r w:rsidR="007C2777">
        <w:t>Hendl</w:t>
      </w:r>
      <w:proofErr w:type="spellEnd"/>
      <w:r w:rsidR="007C2777">
        <w:t xml:space="preserve">, 2012, s. 81). Analýza </w:t>
      </w:r>
      <w:r>
        <w:t>je rozdělena do jednotlivých kapitol, dle dílčích cílů. Účelem analýzy dat je výše uvedené hypotézy potvrdit nebo vyvrátit. Data získaná v empirickém šetření jsou přehledně zpřístupněna v tabulkách, sloupcových a koláčových grafech (</w:t>
      </w:r>
      <w:proofErr w:type="spellStart"/>
      <w:r>
        <w:t>Hendl</w:t>
      </w:r>
      <w:proofErr w:type="spellEnd"/>
      <w:r>
        <w:t xml:space="preserve">, 2012, s. 91). </w:t>
      </w:r>
      <w:bookmarkStart w:id="46" w:name="_Toc291514025"/>
      <w:bookmarkStart w:id="47" w:name="_Toc292200481"/>
    </w:p>
    <w:p w:rsidR="001C37C9" w:rsidRPr="008B4C43" w:rsidRDefault="001C37C9" w:rsidP="001C37C9">
      <w:pPr>
        <w:pStyle w:val="Nadpis3"/>
      </w:pPr>
      <w:bookmarkStart w:id="48" w:name="_Toc383408624"/>
      <w:r>
        <w:t>I</w:t>
      </w:r>
      <w:r w:rsidRPr="008B4C43">
        <w:t>nformovanosti respondentů</w:t>
      </w:r>
      <w:bookmarkEnd w:id="46"/>
      <w:bookmarkEnd w:id="47"/>
      <w:r>
        <w:t xml:space="preserve"> o ex-partnerském stalkingu</w:t>
      </w:r>
      <w:bookmarkEnd w:id="48"/>
      <w:r>
        <w:t xml:space="preserve"> </w:t>
      </w:r>
    </w:p>
    <w:p w:rsidR="001C37C9" w:rsidRDefault="001C37C9" w:rsidP="001C37C9">
      <w:pPr>
        <w:pStyle w:val="StylBCPrvndek095cm1"/>
        <w:ind w:firstLine="708"/>
      </w:pPr>
      <w:bookmarkStart w:id="49" w:name="_Toc291514026"/>
      <w:bookmarkStart w:id="50" w:name="_Toc292200482"/>
      <w:r>
        <w:t xml:space="preserve">V této části soustředím pozornost na potvrzení či vyvrácení hypotézy, která je zaměřená na informovanost respondentů o problematice ex-partnerského stalkingu. </w:t>
      </w:r>
    </w:p>
    <w:p w:rsidR="001C37C9" w:rsidRDefault="001C37C9" w:rsidP="001C37C9">
      <w:pPr>
        <w:pStyle w:val="StylBCPrvndek095cm1"/>
        <w:ind w:firstLine="708"/>
      </w:pPr>
    </w:p>
    <w:p w:rsidR="001C37C9" w:rsidRDefault="001C37C9" w:rsidP="001C37C9">
      <w:pPr>
        <w:pStyle w:val="StylBCPrvndek095cm1"/>
        <w:ind w:firstLine="708"/>
      </w:pPr>
      <w:r>
        <w:t>První hypotéza: „Předpokládáme, že u většiny respondentů bude zjištěna střední úroveň informovanosti o ex-partnerském stalkingu.“, byla testována sadou deseti otázek. Jednalo se o otázky č. 8–17. Získané o</w:t>
      </w:r>
      <w:r w:rsidRPr="00F04ADA">
        <w:t xml:space="preserve">dpovědi </w:t>
      </w:r>
      <w:r>
        <w:t xml:space="preserve">respondentů </w:t>
      </w:r>
      <w:r w:rsidRPr="00F04ADA">
        <w:t xml:space="preserve">na </w:t>
      </w:r>
      <w:r>
        <w:t>jednotlivé otázky jsou </w:t>
      </w:r>
      <w:r w:rsidRPr="00F04ADA">
        <w:t>zpřístu</w:t>
      </w:r>
      <w:r>
        <w:t>pněny skrze grafy č. 1-5 a tabulky č. 5-10. Správné odpovědi jednotlivých respondentů na otázky č. 8-17 jsem bodově ohodnotila a z</w:t>
      </w:r>
      <w:r w:rsidRPr="00FC3FDB">
        <w:t xml:space="preserve">ískané </w:t>
      </w:r>
      <w:r>
        <w:t>průměry výsledků</w:t>
      </w:r>
      <w:r w:rsidRPr="00FC3FDB">
        <w:t xml:space="preserve"> </w:t>
      </w:r>
      <w:r>
        <w:t>zaznamenala v grafu č. 6 a tabulce</w:t>
      </w:r>
      <w:r w:rsidRPr="00FC3FDB">
        <w:t xml:space="preserve"> </w:t>
      </w:r>
      <w:r>
        <w:t xml:space="preserve">č. 11. </w:t>
      </w:r>
    </w:p>
    <w:p w:rsidR="001C37C9" w:rsidRPr="00F04ADA" w:rsidRDefault="001C37C9" w:rsidP="001C37C9">
      <w:pPr>
        <w:pStyle w:val="StylBCPrvndek095cm1"/>
        <w:ind w:firstLine="708"/>
      </w:pPr>
    </w:p>
    <w:p w:rsidR="001C37C9" w:rsidRDefault="001C37C9" w:rsidP="001C37C9">
      <w:pPr>
        <w:pStyle w:val="StylBCPrvndek125cm"/>
        <w:ind w:firstLine="0"/>
        <w:jc w:val="center"/>
      </w:pPr>
    </w:p>
    <w:p w:rsidR="001C37C9" w:rsidRDefault="007A3C88" w:rsidP="001C37C9">
      <w:pPr>
        <w:pStyle w:val="StylBCPrvndek125cm"/>
        <w:ind w:firstLine="0"/>
        <w:jc w:val="center"/>
      </w:pPr>
      <w:r>
        <w:rPr>
          <w:noProof/>
        </w:rPr>
        <w:drawing>
          <wp:inline distT="0" distB="0" distL="0" distR="0">
            <wp:extent cx="3248025" cy="2473960"/>
            <wp:effectExtent l="0" t="0" r="0" b="0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37C9" w:rsidRDefault="001C37C9" w:rsidP="00AF5648">
      <w:pPr>
        <w:pStyle w:val="StylBCPrvndek125cm"/>
        <w:spacing w:before="240"/>
        <w:ind w:firstLine="0"/>
        <w:jc w:val="center"/>
        <w:rPr>
          <w:i/>
        </w:rPr>
      </w:pPr>
      <w:r>
        <w:rPr>
          <w:i/>
        </w:rPr>
        <w:t>Graf č. 1</w:t>
      </w:r>
      <w:r w:rsidRPr="00D425A0">
        <w:rPr>
          <w:i/>
        </w:rPr>
        <w:t>:</w:t>
      </w:r>
      <w:r w:rsidRPr="00D425A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25A0">
        <w:rPr>
          <w:i/>
        </w:rPr>
        <w:t>Kdy vstoupila v platnost právní norma o nebezpečném pronásledování (§ 354 Trestního zákoníku, zákon č. 40/2009 Sb.)?</w:t>
      </w:r>
    </w:p>
    <w:p w:rsidR="001C37C9" w:rsidRPr="00D425A0" w:rsidRDefault="001C37C9" w:rsidP="001C37C9">
      <w:pPr>
        <w:pStyle w:val="StylBCPrvndek125cm"/>
        <w:spacing w:before="240"/>
        <w:ind w:firstLine="0"/>
        <w:jc w:val="center"/>
        <w:rPr>
          <w:i/>
        </w:rPr>
      </w:pPr>
    </w:p>
    <w:p w:rsidR="008351A4" w:rsidRDefault="001C37C9" w:rsidP="008351A4">
      <w:r>
        <w:t>Z výše uvedeného koláčového grafu č. 1 je patrné, že většina respondentů (61,5%) má povědomí o právní normě, jež pojednává o nebezpečném pronásledování a na otázku: „</w:t>
      </w:r>
      <w:r w:rsidRPr="00056F85">
        <w:t xml:space="preserve">Kdy vstoupila v platnost právní norma </w:t>
      </w:r>
      <w:r>
        <w:t>o nebezpečném pronásledování (§ </w:t>
      </w:r>
      <w:r w:rsidRPr="00056F85">
        <w:t>354 Trestního zákoníku, zákon č. 40/2009 Sb.)?</w:t>
      </w:r>
      <w:r>
        <w:t>“, odpověděla správně, 1. 1. 2010.</w:t>
      </w:r>
    </w:p>
    <w:p w:rsidR="001C37C9" w:rsidRDefault="001C37C9" w:rsidP="001C37C9"/>
    <w:p w:rsidR="001C37C9" w:rsidRDefault="007A3C88" w:rsidP="001C37C9">
      <w:pPr>
        <w:pStyle w:val="StylBCPrvndek095cm1"/>
        <w:ind w:firstLine="0"/>
        <w:jc w:val="center"/>
      </w:pPr>
      <w:r>
        <w:rPr>
          <w:noProof/>
        </w:rPr>
        <w:drawing>
          <wp:inline distT="0" distB="0" distL="0" distR="0">
            <wp:extent cx="4235450" cy="2451735"/>
            <wp:effectExtent l="0" t="0" r="0" b="0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37C9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 w:rsidRPr="00DE6A12">
        <w:rPr>
          <w:i/>
        </w:rPr>
        <w:t>Graf č.</w:t>
      </w:r>
      <w:r>
        <w:rPr>
          <w:i/>
        </w:rPr>
        <w:t xml:space="preserve"> 2</w:t>
      </w:r>
      <w:r w:rsidRPr="00DE6A12">
        <w:rPr>
          <w:i/>
        </w:rPr>
        <w:t>: Ve kterém státě USA vznikl v roce 1990 první antistalkingový zákon?</w:t>
      </w:r>
    </w:p>
    <w:p w:rsidR="001C37C9" w:rsidRDefault="001C37C9" w:rsidP="001C37C9">
      <w:pPr>
        <w:pStyle w:val="StylBCPrvndek095cm1"/>
        <w:ind w:firstLine="0"/>
        <w:jc w:val="center"/>
        <w:rPr>
          <w:i/>
        </w:rPr>
      </w:pPr>
    </w:p>
    <w:p w:rsidR="008351A4" w:rsidRDefault="00AF5648" w:rsidP="008351A4">
      <w:r>
        <w:lastRenderedPageBreak/>
        <w:t>V</w:t>
      </w:r>
      <w:r w:rsidR="001C37C9">
        <w:t> případě další otázky: „</w:t>
      </w:r>
      <w:r w:rsidR="001C37C9" w:rsidRPr="00CC6B98">
        <w:t>Ve kterém státě USA vznikl v roce 1</w:t>
      </w:r>
      <w:r w:rsidR="001C37C9">
        <w:t>990 první antistalkingový zákon?“, která rovněž ověřuje legislativní znalosti, odpovědělo správně pouze 12,5% respondentů (viz Graf č. 2), ostatní nevěděli, anebo zvolili špatnou odpověď.</w:t>
      </w:r>
    </w:p>
    <w:p w:rsidR="001C37C9" w:rsidRDefault="001C37C9" w:rsidP="001C37C9">
      <w:pPr>
        <w:pStyle w:val="StylBCPrvndek125cm"/>
        <w:ind w:firstLine="0"/>
        <w:jc w:val="center"/>
      </w:pPr>
    </w:p>
    <w:tbl>
      <w:tblPr>
        <w:tblW w:w="0" w:type="auto"/>
        <w:jc w:val="center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0"/>
        <w:gridCol w:w="1578"/>
      </w:tblGrid>
      <w:tr w:rsidR="001C37C9" w:rsidTr="001C37C9">
        <w:trPr>
          <w:jc w:val="center"/>
        </w:trPr>
        <w:tc>
          <w:tcPr>
            <w:tcW w:w="5550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odpovědí</w:t>
            </w:r>
          </w:p>
        </w:tc>
      </w:tr>
      <w:tr w:rsidR="001C37C9" w:rsidTr="001C37C9">
        <w:trPr>
          <w:jc w:val="center"/>
        </w:trPr>
        <w:tc>
          <w:tcPr>
            <w:tcW w:w="5550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Neúmyslné, ale dlouhodobé a nebezpečné pronásledování nebo obtěžování osoby jejím bývalým partnerem, jenž ohrožuje její bezpečnost.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0 </w:t>
            </w:r>
          </w:p>
        </w:tc>
      </w:tr>
      <w:tr w:rsidR="001C37C9" w:rsidTr="001C37C9">
        <w:trPr>
          <w:jc w:val="center"/>
        </w:trPr>
        <w:tc>
          <w:tcPr>
            <w:tcW w:w="555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Úmyslné, dlouhodobé a nebezpečné pronásledování nebo obtěžování osoby jejím bývalým partnerem, jenž neohrožuje její bezpečnost.</w:t>
            </w:r>
          </w:p>
        </w:tc>
        <w:tc>
          <w:tcPr>
            <w:tcW w:w="157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7 </w:t>
            </w:r>
          </w:p>
        </w:tc>
      </w:tr>
      <w:tr w:rsidR="001C37C9" w:rsidTr="001C37C9">
        <w:trPr>
          <w:jc w:val="center"/>
        </w:trPr>
        <w:tc>
          <w:tcPr>
            <w:tcW w:w="555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Úmyslné, dlouhodobé a nebezpečné pronásledování nebo obtěžování osoby jejím bývalým partnerem, jenž ohrožuje její bezpečnost.</w:t>
            </w:r>
          </w:p>
        </w:tc>
        <w:tc>
          <w:tcPr>
            <w:tcW w:w="157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97 </w:t>
            </w:r>
          </w:p>
        </w:tc>
      </w:tr>
      <w:tr w:rsidR="001C37C9" w:rsidTr="001C37C9">
        <w:trPr>
          <w:jc w:val="center"/>
        </w:trPr>
        <w:tc>
          <w:tcPr>
            <w:tcW w:w="5550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Nevím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0 </w:t>
            </w:r>
          </w:p>
        </w:tc>
      </w:tr>
      <w:tr w:rsidR="001C37C9" w:rsidTr="004B1AD0">
        <w:trPr>
          <w:gridBefore w:val="1"/>
          <w:jc w:val="center"/>
        </w:trPr>
        <w:tc>
          <w:tcPr>
            <w:tcW w:w="1578" w:type="dxa"/>
            <w:tcBorders>
              <w:top w:val="single" w:sz="12" w:space="0" w:color="auto"/>
            </w:tcBorders>
            <w:vAlign w:val="bottom"/>
          </w:tcPr>
          <w:p w:rsidR="001C37C9" w:rsidRPr="001C37C9" w:rsidRDefault="001C37C9" w:rsidP="004B1AD0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Σ    104</w:t>
            </w:r>
          </w:p>
        </w:tc>
      </w:tr>
    </w:tbl>
    <w:p w:rsidR="001C37C9" w:rsidRPr="00632494" w:rsidRDefault="001C37C9" w:rsidP="001C37C9">
      <w:pPr>
        <w:pStyle w:val="StylBCPrvndek125cm"/>
        <w:spacing w:before="240"/>
        <w:ind w:firstLine="0"/>
        <w:jc w:val="center"/>
        <w:rPr>
          <w:i/>
        </w:rPr>
      </w:pPr>
      <w:r>
        <w:rPr>
          <w:i/>
        </w:rPr>
        <w:t>Tabulka č. 5</w:t>
      </w:r>
      <w:r w:rsidRPr="00632494">
        <w:rPr>
          <w:i/>
        </w:rPr>
        <w:t>: Co podle Vás</w:t>
      </w:r>
      <w:r>
        <w:rPr>
          <w:i/>
        </w:rPr>
        <w:t xml:space="preserve"> znamená ex-partnerský stalking?</w:t>
      </w:r>
    </w:p>
    <w:p w:rsidR="001C37C9" w:rsidRDefault="001C37C9" w:rsidP="001C37C9">
      <w:pPr>
        <w:ind w:firstLine="0"/>
        <w:rPr>
          <w:szCs w:val="20"/>
        </w:rPr>
      </w:pPr>
    </w:p>
    <w:p w:rsidR="001C37C9" w:rsidRDefault="001C37C9" w:rsidP="001C37C9">
      <w:r>
        <w:t xml:space="preserve">Z tabulky č. 5 jasně vyplývá, že téměř všichni respondenti (93,2%; 97 respondentů) dokáží definovat, co znamená ex-partnerský stalking. Pouze sedm respondentů zvolilo špatnou odpověď a nikdo z dotazovaných neodpověděl na otázku: „Co podle Vás znamená ex-partnerský stalking.“, že neví. </w:t>
      </w:r>
    </w:p>
    <w:p w:rsidR="001C37C9" w:rsidRPr="00EF2E31" w:rsidRDefault="001C37C9" w:rsidP="001C37C9">
      <w:pPr>
        <w:pStyle w:val="StylBCPrvndek095cm1"/>
        <w:ind w:firstLine="0"/>
      </w:pPr>
    </w:p>
    <w:p w:rsidR="001C37C9" w:rsidRDefault="007A3C88" w:rsidP="001C37C9">
      <w:pPr>
        <w:pStyle w:val="StylBCPrvndek095cm1"/>
        <w:spacing w:line="240" w:lineRule="auto"/>
        <w:ind w:firstLine="0"/>
        <w:jc w:val="center"/>
        <w:rPr>
          <w:i/>
        </w:rPr>
      </w:pPr>
      <w:r>
        <w:rPr>
          <w:noProof/>
        </w:rPr>
        <w:drawing>
          <wp:inline distT="0" distB="0" distL="0" distR="0">
            <wp:extent cx="4235450" cy="2804795"/>
            <wp:effectExtent l="0" t="0" r="0" b="0"/>
            <wp:docPr id="6" name="objek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37C9" w:rsidRPr="001C219B" w:rsidRDefault="001C37C9" w:rsidP="001C37C9">
      <w:pPr>
        <w:pStyle w:val="StylBCPrvndek095cm1"/>
        <w:spacing w:before="240" w:after="240"/>
        <w:ind w:firstLine="0"/>
        <w:jc w:val="center"/>
        <w:rPr>
          <w:i/>
        </w:rPr>
      </w:pPr>
      <w:r w:rsidRPr="001C219B">
        <w:rPr>
          <w:i/>
        </w:rPr>
        <w:t>Graf č.</w:t>
      </w:r>
      <w:r>
        <w:rPr>
          <w:i/>
        </w:rPr>
        <w:t xml:space="preserve"> 3</w:t>
      </w:r>
      <w:r w:rsidRPr="001C219B">
        <w:rPr>
          <w:i/>
        </w:rPr>
        <w:t>: Co je hlavní předzvěstí ex-partnerského stalkingu?</w:t>
      </w:r>
    </w:p>
    <w:p w:rsidR="001C37C9" w:rsidRPr="00DE6A12" w:rsidRDefault="001C37C9" w:rsidP="001C37C9">
      <w:pPr>
        <w:pStyle w:val="StylBCPrvndek095cm1"/>
        <w:ind w:firstLine="0"/>
        <w:jc w:val="center"/>
        <w:rPr>
          <w:i/>
        </w:rPr>
      </w:pPr>
    </w:p>
    <w:tbl>
      <w:tblPr>
        <w:tblW w:w="0" w:type="auto"/>
        <w:jc w:val="center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3704"/>
        <w:gridCol w:w="1637"/>
      </w:tblGrid>
      <w:tr w:rsidR="001C37C9" w:rsidTr="001C37C9">
        <w:trPr>
          <w:jc w:val="center"/>
        </w:trPr>
        <w:tc>
          <w:tcPr>
            <w:tcW w:w="1332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odpovědí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vMerge w:val="restart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Správné odpovědi</w:t>
            </w:r>
          </w:p>
        </w:tc>
        <w:tc>
          <w:tcPr>
            <w:tcW w:w="3704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Porucha osobnosti 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11 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Žárlivost stalkera</w:t>
            </w:r>
          </w:p>
        </w:tc>
        <w:tc>
          <w:tcPr>
            <w:tcW w:w="163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12 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Fixace stalkera na oběť</w:t>
            </w:r>
          </w:p>
        </w:tc>
        <w:tc>
          <w:tcPr>
            <w:tcW w:w="163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10 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Domácí násilí</w:t>
            </w:r>
          </w:p>
        </w:tc>
        <w:tc>
          <w:tcPr>
            <w:tcW w:w="163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7 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0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Odmítnutí stalkera </w:t>
            </w:r>
          </w:p>
        </w:tc>
        <w:tc>
          <w:tcPr>
            <w:tcW w:w="163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2 </w:t>
            </w:r>
          </w:p>
        </w:tc>
      </w:tr>
      <w:tr w:rsidR="001C37C9" w:rsidTr="001C37C9">
        <w:trPr>
          <w:jc w:val="center"/>
        </w:trPr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Neodpovědělo</w:t>
            </w:r>
          </w:p>
        </w:tc>
        <w:tc>
          <w:tcPr>
            <w:tcW w:w="3704" w:type="dxa"/>
            <w:tcBorders>
              <w:bottom w:val="single" w:sz="12" w:space="0" w:color="auto"/>
            </w:tcBorders>
            <w:vAlign w:val="center"/>
          </w:tcPr>
          <w:p w:rsidR="001C37C9" w:rsidRPr="006176F2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6176F2">
              <w:rPr>
                <w:sz w:val="18"/>
                <w:szCs w:val="18"/>
              </w:rPr>
              <w:t>Nevím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62 </w:t>
            </w:r>
          </w:p>
        </w:tc>
      </w:tr>
      <w:tr w:rsidR="001C37C9" w:rsidTr="001C37C9">
        <w:trPr>
          <w:gridBefore w:val="2"/>
          <w:jc w:val="center"/>
        </w:trPr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Σ    104</w:t>
            </w:r>
          </w:p>
        </w:tc>
      </w:tr>
    </w:tbl>
    <w:p w:rsidR="001C37C9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DE6A12">
        <w:rPr>
          <w:i/>
        </w:rPr>
        <w:t>abulka č.</w:t>
      </w:r>
      <w:r>
        <w:rPr>
          <w:i/>
        </w:rPr>
        <w:t xml:space="preserve"> 6</w:t>
      </w:r>
      <w:r w:rsidRPr="00DE6A12">
        <w:rPr>
          <w:i/>
        </w:rPr>
        <w:t>: Co je hlavní předzvěstí ex-partnerského stalkingu?</w:t>
      </w:r>
    </w:p>
    <w:p w:rsidR="001C37C9" w:rsidRDefault="001C37C9" w:rsidP="001C37C9">
      <w:pPr>
        <w:pStyle w:val="StylBCPrvndek095cm1"/>
        <w:ind w:firstLine="0"/>
        <w:jc w:val="center"/>
        <w:rPr>
          <w:i/>
        </w:rPr>
      </w:pPr>
    </w:p>
    <w:p w:rsidR="001C37C9" w:rsidRPr="00921816" w:rsidRDefault="001C37C9" w:rsidP="001C37C9">
      <w:r>
        <w:t>Graf č. 3 a tabulka č. 6 zprostředkovává odpovědi na otevřenou otázku: „</w:t>
      </w:r>
      <w:r w:rsidRPr="00921816">
        <w:t>Co je hlavní předzvěstí ex-partnerského stalkingu?</w:t>
      </w:r>
      <w:r>
        <w:t xml:space="preserve">“. Mezi hlavní predikátory ex-partnerského pronásledování řadilo 10,6% respondentů poruchu osobnosti, dále pak 11,5% respondentů žárlivost, 9,6% respondentů fixaci stalkera na oběť, domácí násilí zvolilo 6,7% respondentů, anebo odmítnutí stalkera (1,9% respondentů). Většina respondentů (59,7%) odpověděla, že neví. </w:t>
      </w:r>
    </w:p>
    <w:p w:rsidR="001C37C9" w:rsidRPr="00DE6A12" w:rsidRDefault="001C37C9" w:rsidP="001C37C9">
      <w:pPr>
        <w:pStyle w:val="StylBCPrvndek095cm1"/>
        <w:ind w:firstLine="0"/>
        <w:jc w:val="center"/>
        <w:rPr>
          <w:i/>
        </w:rPr>
      </w:pPr>
    </w:p>
    <w:tbl>
      <w:tblPr>
        <w:tblW w:w="0" w:type="auto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1928"/>
      </w:tblGrid>
      <w:tr w:rsidR="001C37C9" w:rsidTr="001C37C9">
        <w:trPr>
          <w:jc w:val="center"/>
        </w:trPr>
        <w:tc>
          <w:tcPr>
            <w:tcW w:w="4766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odpovědí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Únos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0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Telefonování oběti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98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Zasílání nevyžádaných balíčků 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Ničení majetku oběti 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5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Sledování oběti 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97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Default="001C37C9" w:rsidP="001C37C9">
            <w:pPr>
              <w:pStyle w:val="StylBCPrvndek125cm"/>
              <w:ind w:firstLine="0"/>
              <w:jc w:val="left"/>
            </w:pPr>
            <w:r w:rsidRPr="001C37C9">
              <w:rPr>
                <w:sz w:val="18"/>
                <w:szCs w:val="18"/>
              </w:rPr>
              <w:t>Protiprávní vniknutí do domu oběti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0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Pozorování domu oběti </w:t>
            </w:r>
          </w:p>
        </w:tc>
        <w:tc>
          <w:tcPr>
            <w:tcW w:w="1928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84</w:t>
            </w:r>
          </w:p>
        </w:tc>
      </w:tr>
      <w:tr w:rsidR="001C37C9" w:rsidTr="001C37C9">
        <w:trPr>
          <w:jc w:val="center"/>
        </w:trPr>
        <w:tc>
          <w:tcPr>
            <w:tcW w:w="4766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Nevím 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24</w:t>
            </w:r>
          </w:p>
        </w:tc>
      </w:tr>
      <w:tr w:rsidR="001C37C9" w:rsidTr="001C37C9">
        <w:trPr>
          <w:gridBefore w:val="1"/>
          <w:jc w:val="center"/>
        </w:trPr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    Σ    312</w:t>
            </w:r>
          </w:p>
        </w:tc>
      </w:tr>
    </w:tbl>
    <w:p w:rsidR="001C37C9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DE6A12">
        <w:rPr>
          <w:i/>
        </w:rPr>
        <w:t>abulka č.</w:t>
      </w:r>
      <w:r>
        <w:rPr>
          <w:i/>
        </w:rPr>
        <w:t xml:space="preserve"> 7</w:t>
      </w:r>
      <w:r w:rsidRPr="00DE6A12">
        <w:rPr>
          <w:i/>
        </w:rPr>
        <w:t>: Co podle Vás patří mezi tři nejčastěji používané techniky stalkingu?</w:t>
      </w:r>
    </w:p>
    <w:p w:rsidR="001C37C9" w:rsidRDefault="001C37C9" w:rsidP="001C37C9">
      <w:pPr>
        <w:pStyle w:val="StylBCPrvndek095cm1"/>
        <w:ind w:firstLine="0"/>
        <w:jc w:val="center"/>
        <w:rPr>
          <w:i/>
        </w:rPr>
      </w:pPr>
    </w:p>
    <w:p w:rsidR="002E431D" w:rsidRDefault="001C37C9" w:rsidP="002E431D">
      <w:r>
        <w:t xml:space="preserve">Z tabulky četností č. 7 je zřejmé, že znalosti o technikách stalkingu mají takřka všichni respondenti velmi dobré. Mezi tři nejčastěji používané techniky stalkingu patří telefonování oběti, sledování oběti a pozorování oběti. </w:t>
      </w:r>
      <w:r w:rsidRPr="00F13507">
        <w:t xml:space="preserve">Alespoň jednu správnou odpověď vybralo </w:t>
      </w:r>
      <w:r w:rsidR="00242E8F" w:rsidRPr="00F13507">
        <w:t>z celkového počtu 98</w:t>
      </w:r>
      <w:r w:rsidR="008351A4" w:rsidRPr="00F13507">
        <w:t xml:space="preserve"> respondentů</w:t>
      </w:r>
      <w:r w:rsidR="00242E8F" w:rsidRPr="00F13507">
        <w:t>, tedy 94,2% výzkumného vzorku</w:t>
      </w:r>
      <w:r w:rsidRPr="00F13507">
        <w:t xml:space="preserve">, přičemž uvést všechny tři techniky stalkingu umělo </w:t>
      </w:r>
      <w:r w:rsidR="00242E8F" w:rsidRPr="00F13507">
        <w:t>75 respondentů</w:t>
      </w:r>
      <w:r w:rsidR="0008270B" w:rsidRPr="00F13507">
        <w:t xml:space="preserve">, respektive </w:t>
      </w:r>
      <w:r w:rsidR="00242E8F" w:rsidRPr="00F13507">
        <w:t>72,1%</w:t>
      </w:r>
      <w:r w:rsidR="0008270B" w:rsidRPr="00F13507">
        <w:t xml:space="preserve"> výzkumného vzorku</w:t>
      </w:r>
      <w:r w:rsidRPr="00F13507">
        <w:t>.</w:t>
      </w:r>
      <w:r>
        <w:t xml:space="preserve"> </w:t>
      </w:r>
    </w:p>
    <w:p w:rsidR="001C37C9" w:rsidRPr="00D96966" w:rsidRDefault="002E431D" w:rsidP="002E431D">
      <w:r>
        <w:br w:type="page"/>
      </w:r>
    </w:p>
    <w:tbl>
      <w:tblPr>
        <w:tblW w:w="0" w:type="auto"/>
        <w:jc w:val="center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3749"/>
        <w:gridCol w:w="1640"/>
      </w:tblGrid>
      <w:tr w:rsidR="001C37C9" w:rsidTr="001C37C9">
        <w:trPr>
          <w:jc w:val="center"/>
        </w:trPr>
        <w:tc>
          <w:tcPr>
            <w:tcW w:w="1297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Četnost odpovědí 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Správné odpovědi</w:t>
            </w:r>
          </w:p>
        </w:tc>
        <w:tc>
          <w:tcPr>
            <w:tcW w:w="3749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Sociální izolace</w:t>
            </w: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49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Potíže v zaměstnání 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12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Narušení vztahů s osobami blízkými 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7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Finanční problémy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11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Omezení volnočasových aktivit 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8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Default="001C37C9" w:rsidP="001C37C9">
            <w:pPr>
              <w:pStyle w:val="StylBCPrvndek125cm"/>
              <w:ind w:firstLine="0"/>
              <w:jc w:val="left"/>
            </w:pPr>
            <w:r w:rsidRPr="001C37C9">
              <w:rPr>
                <w:sz w:val="18"/>
                <w:szCs w:val="18"/>
              </w:rPr>
              <w:t xml:space="preserve">Změna trvalého bydliště 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7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vMerge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49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Potíže v nových partnerských vztazích</w:t>
            </w:r>
          </w:p>
        </w:tc>
        <w:tc>
          <w:tcPr>
            <w:tcW w:w="1640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12</w:t>
            </w:r>
          </w:p>
        </w:tc>
      </w:tr>
      <w:tr w:rsidR="001C37C9" w:rsidTr="001C37C9">
        <w:trPr>
          <w:jc w:val="center"/>
        </w:trPr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Neodpovědělo</w:t>
            </w:r>
          </w:p>
        </w:tc>
        <w:tc>
          <w:tcPr>
            <w:tcW w:w="3749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Nevím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43</w:t>
            </w:r>
          </w:p>
        </w:tc>
      </w:tr>
      <w:tr w:rsidR="001C37C9" w:rsidTr="001C37C9">
        <w:trPr>
          <w:gridBefore w:val="2"/>
          <w:jc w:val="center"/>
        </w:trPr>
        <w:tc>
          <w:tcPr>
            <w:tcW w:w="1640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</w:t>
            </w:r>
            <w:r w:rsidR="006176F2">
              <w:rPr>
                <w:sz w:val="18"/>
                <w:szCs w:val="18"/>
              </w:rPr>
              <w:t xml:space="preserve"> </w:t>
            </w:r>
            <w:r w:rsidRPr="001C37C9">
              <w:rPr>
                <w:sz w:val="18"/>
                <w:szCs w:val="18"/>
              </w:rPr>
              <w:t xml:space="preserve">    Σ   149</w:t>
            </w:r>
          </w:p>
        </w:tc>
      </w:tr>
    </w:tbl>
    <w:p w:rsidR="001C37C9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DE6A12">
        <w:rPr>
          <w:i/>
        </w:rPr>
        <w:t>abulka č.</w:t>
      </w:r>
      <w:r>
        <w:rPr>
          <w:i/>
        </w:rPr>
        <w:t xml:space="preserve"> 8</w:t>
      </w:r>
      <w:r w:rsidRPr="00DE6A12">
        <w:rPr>
          <w:i/>
        </w:rPr>
        <w:t>: Uveďte aspoň jeden sociální důsledek ex-partnerského stalkingu.</w:t>
      </w:r>
    </w:p>
    <w:p w:rsidR="001C37C9" w:rsidRDefault="001C37C9" w:rsidP="001C37C9">
      <w:pPr>
        <w:pStyle w:val="StylBCPrvndek095cm1"/>
        <w:spacing w:before="240"/>
        <w:ind w:firstLine="0"/>
        <w:jc w:val="center"/>
        <w:rPr>
          <w:i/>
        </w:rPr>
      </w:pPr>
    </w:p>
    <w:p w:rsidR="001C37C9" w:rsidRDefault="007A3C88" w:rsidP="001C37C9">
      <w:pPr>
        <w:pStyle w:val="StylBCPrvndek095cm1"/>
        <w:ind w:firstLine="0"/>
        <w:jc w:val="center"/>
        <w:rPr>
          <w:i/>
        </w:rPr>
      </w:pPr>
      <w:r>
        <w:rPr>
          <w:noProof/>
        </w:rPr>
        <w:drawing>
          <wp:inline distT="0" distB="0" distL="0" distR="0">
            <wp:extent cx="4381500" cy="2485390"/>
            <wp:effectExtent l="0" t="0" r="0" b="0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37C9" w:rsidRDefault="001C37C9" w:rsidP="001C37C9">
      <w:pPr>
        <w:pStyle w:val="StylBCPrvndek095cm1"/>
        <w:spacing w:before="240"/>
        <w:ind w:firstLine="0"/>
        <w:jc w:val="center"/>
        <w:rPr>
          <w:noProof/>
        </w:rPr>
      </w:pPr>
      <w:r w:rsidRPr="00DE6A12">
        <w:rPr>
          <w:i/>
        </w:rPr>
        <w:t>Graf č.</w:t>
      </w:r>
      <w:r>
        <w:rPr>
          <w:i/>
        </w:rPr>
        <w:t xml:space="preserve"> 4:</w:t>
      </w:r>
      <w:r w:rsidRPr="00DE6A12">
        <w:rPr>
          <w:i/>
        </w:rPr>
        <w:t xml:space="preserve"> Domníváte se, že je možné u obětí ex-partnerského stalkingu zaznamenat příznaky posttraumatické stresové poruchy?</w:t>
      </w:r>
    </w:p>
    <w:p w:rsidR="001C37C9" w:rsidRDefault="001C37C9" w:rsidP="001C37C9">
      <w:pPr>
        <w:pStyle w:val="StylBCPrvndek095cm1"/>
        <w:ind w:firstLine="0"/>
        <w:rPr>
          <w:noProof/>
        </w:rPr>
      </w:pPr>
    </w:p>
    <w:p w:rsidR="001C37C9" w:rsidRDefault="001C37C9" w:rsidP="002E431D">
      <w:pPr>
        <w:rPr>
          <w:noProof/>
        </w:rPr>
      </w:pPr>
      <w:r w:rsidRPr="00142D9D">
        <w:rPr>
          <w:noProof/>
        </w:rPr>
        <w:t>Z tabulky č. 8 a grafu č. 4 je zřejmé, že většina res</w:t>
      </w:r>
      <w:r w:rsidR="002E431D">
        <w:rPr>
          <w:noProof/>
        </w:rPr>
        <w:t>pondentů je dobře informována o </w:t>
      </w:r>
      <w:r w:rsidRPr="00142D9D">
        <w:rPr>
          <w:noProof/>
        </w:rPr>
        <w:t>sociálních a psychických důsledcích ex-partnerského stalkingu. Z celkového počtu respondentů na otázku neopovědělo pouze 41,3%, z čehož vypl</w:t>
      </w:r>
      <w:r w:rsidR="002E431D">
        <w:rPr>
          <w:noProof/>
        </w:rPr>
        <w:t>ývá, že více jak polovina </w:t>
      </w:r>
      <w:r w:rsidRPr="00142D9D">
        <w:rPr>
          <w:noProof/>
        </w:rPr>
        <w:t>respondentů (58,6%; 61 respondentů) uvedla alespoň jeden sociální důsledek ex-partnerského stalkingu, přičemž někteří z respondentů dokonce uvedli dva nebo tři sociální důsledky. Nejvíce zmiňovaným sociálním důsledkem ex-partnerského pronásledování byla „sociální izolace“ oběti</w:t>
      </w:r>
      <w:r w:rsidR="002E431D">
        <w:rPr>
          <w:noProof/>
        </w:rPr>
        <w:t xml:space="preserve"> stalkingu. Sloupcový graf č. 4 </w:t>
      </w:r>
      <w:r w:rsidRPr="00142D9D">
        <w:rPr>
          <w:noProof/>
        </w:rPr>
        <w:t>zprostředkovává odpovědi responedntů na</w:t>
      </w:r>
      <w:r w:rsidRPr="00142D9D">
        <w:rPr>
          <w:i/>
        </w:rPr>
        <w:t xml:space="preserve"> </w:t>
      </w:r>
      <w:r w:rsidRPr="00142D9D">
        <w:t>otázku: „</w:t>
      </w:r>
      <w:r w:rsidRPr="00142D9D">
        <w:rPr>
          <w:noProof/>
        </w:rPr>
        <w:t xml:space="preserve">Domníváte se, že je možné u obětí ex-partnerského stalkingu zaznamenat příznaky posttraumatické stresové poruchy?“. </w:t>
      </w:r>
      <w:r w:rsidRPr="00142D9D">
        <w:rPr>
          <w:noProof/>
        </w:rPr>
        <w:lastRenderedPageBreak/>
        <w:t>Odpovědi jsou zaznamenány v procentech. Z grafu je patrném, že většina respondentů, tedy 91,4% (95 respondentů) odpověděla správně, že „Ano.“, přič</w:t>
      </w:r>
      <w:r w:rsidR="0008270B">
        <w:rPr>
          <w:noProof/>
        </w:rPr>
        <w:t>e</w:t>
      </w:r>
      <w:r w:rsidRPr="00142D9D">
        <w:rPr>
          <w:noProof/>
        </w:rPr>
        <w:t>mž špatnou odpověď zvolili pouze 2 respondenti a 7 respondentů odpovědělo, že „Neví.“.</w:t>
      </w:r>
      <w:r>
        <w:rPr>
          <w:noProof/>
        </w:rPr>
        <w:t xml:space="preserve">                     </w:t>
      </w:r>
    </w:p>
    <w:p w:rsidR="001C37C9" w:rsidRPr="00DE6A12" w:rsidRDefault="001C37C9" w:rsidP="001C37C9">
      <w:pPr>
        <w:pStyle w:val="StylBCPrvndek095cm1"/>
        <w:ind w:firstLine="0"/>
        <w:jc w:val="center"/>
        <w:rPr>
          <w:i/>
        </w:rPr>
      </w:pPr>
    </w:p>
    <w:tbl>
      <w:tblPr>
        <w:tblW w:w="0" w:type="auto"/>
        <w:jc w:val="center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3693"/>
        <w:gridCol w:w="1634"/>
      </w:tblGrid>
      <w:tr w:rsidR="001C37C9" w:rsidTr="001C37C9">
        <w:trPr>
          <w:jc w:val="center"/>
        </w:trPr>
        <w:tc>
          <w:tcPr>
            <w:tcW w:w="1346" w:type="dxa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93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odpovědí</w:t>
            </w:r>
          </w:p>
        </w:tc>
      </w:tr>
      <w:tr w:rsidR="001C37C9" w:rsidTr="001C37C9">
        <w:trPr>
          <w:jc w:val="center"/>
        </w:trPr>
        <w:tc>
          <w:tcPr>
            <w:tcW w:w="1346" w:type="dxa"/>
            <w:vMerge w:val="restart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Správné odpovědi</w:t>
            </w:r>
          </w:p>
        </w:tc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Novák T.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</w:t>
            </w:r>
          </w:p>
        </w:tc>
      </w:tr>
      <w:tr w:rsidR="001C37C9" w:rsidTr="001C37C9">
        <w:trPr>
          <w:jc w:val="center"/>
        </w:trPr>
        <w:tc>
          <w:tcPr>
            <w:tcW w:w="1346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Čírtková L.</w:t>
            </w:r>
          </w:p>
        </w:tc>
        <w:tc>
          <w:tcPr>
            <w:tcW w:w="163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12</w:t>
            </w:r>
          </w:p>
        </w:tc>
      </w:tr>
      <w:tr w:rsidR="001C37C9" w:rsidTr="001C37C9">
        <w:trPr>
          <w:jc w:val="center"/>
        </w:trPr>
        <w:tc>
          <w:tcPr>
            <w:tcW w:w="1346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C37C9">
              <w:rPr>
                <w:sz w:val="18"/>
                <w:szCs w:val="18"/>
              </w:rPr>
              <w:t>Meloy</w:t>
            </w:r>
            <w:proofErr w:type="spellEnd"/>
            <w:r w:rsidRPr="001C37C9">
              <w:rPr>
                <w:sz w:val="18"/>
                <w:szCs w:val="18"/>
              </w:rPr>
              <w:t xml:space="preserve"> J. R.</w:t>
            </w:r>
          </w:p>
        </w:tc>
        <w:tc>
          <w:tcPr>
            <w:tcW w:w="163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</w:t>
            </w:r>
          </w:p>
        </w:tc>
      </w:tr>
      <w:tr w:rsidR="001C37C9" w:rsidTr="001C37C9">
        <w:trPr>
          <w:jc w:val="center"/>
        </w:trPr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Neodpovědělo</w:t>
            </w:r>
          </w:p>
        </w:tc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Nevím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89</w:t>
            </w:r>
          </w:p>
        </w:tc>
      </w:tr>
      <w:tr w:rsidR="001C37C9" w:rsidTr="001C37C9">
        <w:trPr>
          <w:gridBefore w:val="2"/>
          <w:jc w:val="center"/>
        </w:trPr>
        <w:tc>
          <w:tcPr>
            <w:tcW w:w="1634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 Σ    104</w:t>
            </w:r>
          </w:p>
        </w:tc>
      </w:tr>
    </w:tbl>
    <w:p w:rsidR="001C37C9" w:rsidRDefault="001C37C9" w:rsidP="001C37C9">
      <w:pPr>
        <w:pStyle w:val="StylBCPrvndek125cm"/>
        <w:spacing w:before="240"/>
        <w:ind w:firstLine="0"/>
        <w:jc w:val="center"/>
        <w:rPr>
          <w:i/>
        </w:rPr>
      </w:pPr>
      <w:r>
        <w:rPr>
          <w:i/>
        </w:rPr>
        <w:t xml:space="preserve">     T</w:t>
      </w:r>
      <w:r w:rsidRPr="00DE5A30">
        <w:rPr>
          <w:i/>
        </w:rPr>
        <w:t>abulka č.</w:t>
      </w:r>
      <w:r>
        <w:rPr>
          <w:i/>
        </w:rPr>
        <w:t xml:space="preserve"> 9</w:t>
      </w:r>
      <w:r w:rsidRPr="00DE5A30">
        <w:rPr>
          <w:i/>
        </w:rPr>
        <w:t>:</w:t>
      </w:r>
      <w:r>
        <w:rPr>
          <w:i/>
        </w:rPr>
        <w:t xml:space="preserve"> </w:t>
      </w:r>
      <w:r w:rsidRPr="00DE5A30">
        <w:rPr>
          <w:i/>
        </w:rPr>
        <w:t>Uveďte a</w:t>
      </w:r>
      <w:r>
        <w:rPr>
          <w:i/>
        </w:rPr>
        <w:t>le</w:t>
      </w:r>
      <w:r w:rsidRPr="00DE5A30">
        <w:rPr>
          <w:i/>
        </w:rPr>
        <w:t>spoň jednoho autora nebo publikaci, která se problematikou ex-partnerského stalkingu zabývá.</w:t>
      </w:r>
    </w:p>
    <w:p w:rsidR="001C37C9" w:rsidRDefault="001C37C9" w:rsidP="001C37C9">
      <w:pPr>
        <w:pStyle w:val="StylBCPrvndek095cm1"/>
        <w:ind w:firstLine="0"/>
        <w:jc w:val="center"/>
        <w:rPr>
          <w:i/>
        </w:rPr>
      </w:pPr>
    </w:p>
    <w:p w:rsidR="001C37C9" w:rsidRDefault="001C37C9" w:rsidP="001C37C9">
      <w:r>
        <w:t>Z tabulky č. 9 vyplývá, že uvést alespoň jednoho autora nebo publikaci, která se problematikou ex-partnerského stalkingu zabývá, dokázalo pouze 15 respondentů (14,4%), přičemž nejčastěji zmiňovaným autorem byla Ludmila Čírtková.</w:t>
      </w:r>
      <w:r w:rsidRPr="0025595C">
        <w:t xml:space="preserve"> </w:t>
      </w:r>
    </w:p>
    <w:p w:rsidR="001C37C9" w:rsidRDefault="001C37C9" w:rsidP="001C37C9">
      <w:pPr>
        <w:pStyle w:val="StylBCPrvndek125cm"/>
        <w:ind w:firstLine="0"/>
        <w:jc w:val="center"/>
      </w:pPr>
    </w:p>
    <w:tbl>
      <w:tblPr>
        <w:tblW w:w="0" w:type="auto"/>
        <w:jc w:val="center"/>
        <w:tblInd w:w="2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3717"/>
        <w:gridCol w:w="1635"/>
      </w:tblGrid>
      <w:tr w:rsidR="001C37C9" w:rsidTr="001C37C9">
        <w:trPr>
          <w:jc w:val="center"/>
        </w:trPr>
        <w:tc>
          <w:tcPr>
            <w:tcW w:w="1315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17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odpovědí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vMerge w:val="restart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Správné odpovědi</w:t>
            </w:r>
          </w:p>
        </w:tc>
        <w:tc>
          <w:tcPr>
            <w:tcW w:w="3717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Intervenční centrum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17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Bílý kruh bezpečí</w:t>
            </w:r>
          </w:p>
        </w:tc>
        <w:tc>
          <w:tcPr>
            <w:tcW w:w="163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58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Persefona</w:t>
            </w:r>
          </w:p>
        </w:tc>
        <w:tc>
          <w:tcPr>
            <w:tcW w:w="163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8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Stop Stalking</w:t>
            </w:r>
          </w:p>
        </w:tc>
        <w:tc>
          <w:tcPr>
            <w:tcW w:w="163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vMerge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ROSA</w:t>
            </w:r>
          </w:p>
        </w:tc>
        <w:tc>
          <w:tcPr>
            <w:tcW w:w="163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</w:t>
            </w:r>
          </w:p>
        </w:tc>
      </w:tr>
      <w:tr w:rsidR="001C37C9" w:rsidTr="001C37C9">
        <w:trPr>
          <w:jc w:val="center"/>
        </w:trPr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Neodpovědělo</w:t>
            </w:r>
          </w:p>
        </w:tc>
        <w:tc>
          <w:tcPr>
            <w:tcW w:w="3717" w:type="dxa"/>
            <w:tcBorders>
              <w:bottom w:val="single" w:sz="12" w:space="0" w:color="auto"/>
            </w:tcBorders>
            <w:vAlign w:val="center"/>
          </w:tcPr>
          <w:p w:rsidR="001C37C9" w:rsidRDefault="001C37C9" w:rsidP="001C37C9">
            <w:pPr>
              <w:pStyle w:val="StylBCPrvndek125cm"/>
              <w:ind w:firstLine="0"/>
              <w:jc w:val="left"/>
            </w:pPr>
            <w:r w:rsidRPr="001C37C9">
              <w:rPr>
                <w:sz w:val="18"/>
                <w:szCs w:val="18"/>
              </w:rPr>
              <w:t>Nevím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35</w:t>
            </w:r>
          </w:p>
        </w:tc>
      </w:tr>
      <w:tr w:rsidR="001C37C9" w:rsidTr="001C37C9">
        <w:trPr>
          <w:gridBefore w:val="2"/>
          <w:jc w:val="center"/>
        </w:trPr>
        <w:tc>
          <w:tcPr>
            <w:tcW w:w="1631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</w:t>
            </w:r>
            <w:r w:rsidR="006176F2">
              <w:rPr>
                <w:sz w:val="18"/>
                <w:szCs w:val="18"/>
              </w:rPr>
              <w:t xml:space="preserve"> </w:t>
            </w:r>
            <w:r w:rsidRPr="001C37C9">
              <w:rPr>
                <w:sz w:val="18"/>
                <w:szCs w:val="18"/>
              </w:rPr>
              <w:t xml:space="preserve">   Σ    121</w:t>
            </w:r>
          </w:p>
        </w:tc>
      </w:tr>
    </w:tbl>
    <w:p w:rsidR="001C37C9" w:rsidRDefault="001C37C9" w:rsidP="001C37C9">
      <w:pPr>
        <w:pStyle w:val="StylBCPrvndek125cm"/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F934B2">
        <w:rPr>
          <w:i/>
        </w:rPr>
        <w:t>abulka č.</w:t>
      </w:r>
      <w:r>
        <w:rPr>
          <w:i/>
        </w:rPr>
        <w:t xml:space="preserve"> 10: </w:t>
      </w:r>
      <w:r w:rsidRPr="00F934B2">
        <w:rPr>
          <w:i/>
        </w:rPr>
        <w:t>Uveďte název a</w:t>
      </w:r>
      <w:r>
        <w:rPr>
          <w:i/>
        </w:rPr>
        <w:t>le</w:t>
      </w:r>
      <w:r w:rsidRPr="00F934B2">
        <w:rPr>
          <w:i/>
        </w:rPr>
        <w:t>spoň jedné organizace</w:t>
      </w:r>
      <w:r>
        <w:rPr>
          <w:i/>
        </w:rPr>
        <w:t>,</w:t>
      </w:r>
      <w:r w:rsidRPr="00F934B2">
        <w:rPr>
          <w:i/>
        </w:rPr>
        <w:t xml:space="preserve"> specializující se na pomoc obětem </w:t>
      </w:r>
      <w:r w:rsidRPr="00142D9D">
        <w:rPr>
          <w:i/>
        </w:rPr>
        <w:t>stalkingu.</w:t>
      </w:r>
    </w:p>
    <w:p w:rsidR="007C67AA" w:rsidRPr="00142D9D" w:rsidRDefault="007C67AA" w:rsidP="001C37C9">
      <w:pPr>
        <w:pStyle w:val="StylBCPrvndek125cm"/>
        <w:ind w:firstLine="0"/>
        <w:jc w:val="center"/>
        <w:rPr>
          <w:i/>
        </w:rPr>
      </w:pPr>
    </w:p>
    <w:p w:rsidR="001C37C9" w:rsidRDefault="001C37C9" w:rsidP="007C67AA">
      <w:r w:rsidRPr="00142D9D">
        <w:t>Tabulka č. 10 uvádí, že z celkového počtu respondentů na otázku</w:t>
      </w:r>
      <w:r w:rsidR="00324220">
        <w:t>: „</w:t>
      </w:r>
      <w:r w:rsidR="00324220" w:rsidRPr="00324220">
        <w:t>Uveďte název alespoň jedné organizace, specializující se na pomoc obětem stalkingu</w:t>
      </w:r>
      <w:r w:rsidR="00324220">
        <w:t>.“,</w:t>
      </w:r>
      <w:r w:rsidR="002E431D">
        <w:t xml:space="preserve"> neodpovědělo 35 </w:t>
      </w:r>
      <w:r w:rsidRPr="00142D9D">
        <w:t>respondentů, tedy 33,6% výzkumného vzorku. Z čehož vyplývá, že většina respondentů (66,3%; 69 respondentů) dokázala zmínit alespoň jednu organ</w:t>
      </w:r>
      <w:r w:rsidR="002E431D">
        <w:t>izaci, která se specializuje na </w:t>
      </w:r>
      <w:r w:rsidRPr="00142D9D">
        <w:t>pomoc obětem ex-partnerského stalkingu, přičemž někteří z respondentů dokonce uvedli dvě nebo tři organizace. Nejvíce zmiňovanou organiz</w:t>
      </w:r>
      <w:r w:rsidR="002E431D">
        <w:t>ací byl Bílý kruh bezpečí, tuto </w:t>
      </w:r>
      <w:r w:rsidRPr="00142D9D">
        <w:t>možnost uvedlo 58 respondentů</w:t>
      </w:r>
      <w:r w:rsidR="0008270B">
        <w:t>, tedy 55,8% výzkumného vzorku</w:t>
      </w:r>
      <w:r w:rsidRPr="00142D9D">
        <w:t>.</w:t>
      </w:r>
      <w:r>
        <w:t xml:space="preserve"> </w:t>
      </w:r>
      <w:r w:rsidRPr="006775BB">
        <w:t xml:space="preserve"> </w:t>
      </w:r>
    </w:p>
    <w:p w:rsidR="001C37C9" w:rsidRPr="00AF5E32" w:rsidRDefault="001C37C9" w:rsidP="001C37C9"/>
    <w:p w:rsidR="001C37C9" w:rsidRDefault="007A3C88" w:rsidP="001C37C9">
      <w:pPr>
        <w:pStyle w:val="StylBCPrvndek095cm1"/>
        <w:ind w:firstLine="0"/>
        <w:jc w:val="center"/>
        <w:rPr>
          <w:i/>
        </w:rPr>
      </w:pPr>
      <w:r>
        <w:rPr>
          <w:noProof/>
        </w:rPr>
        <w:drawing>
          <wp:inline distT="0" distB="0" distL="0" distR="0">
            <wp:extent cx="4241165" cy="2446020"/>
            <wp:effectExtent l="0" t="0" r="0" b="0"/>
            <wp:docPr id="2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37C9" w:rsidRPr="00DE6A12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 w:rsidRPr="00DE6A12">
        <w:rPr>
          <w:i/>
        </w:rPr>
        <w:t>Graf č.</w:t>
      </w:r>
      <w:r>
        <w:rPr>
          <w:i/>
        </w:rPr>
        <w:t xml:space="preserve"> 5</w:t>
      </w:r>
      <w:r w:rsidRPr="00DE6A12">
        <w:rPr>
          <w:i/>
        </w:rPr>
        <w:t>: Který z pocitů vnímají oběti ex-partnerského stalkingu jako nejhorší?</w:t>
      </w:r>
    </w:p>
    <w:p w:rsidR="001C37C9" w:rsidRDefault="001C37C9" w:rsidP="001C37C9">
      <w:pPr>
        <w:pStyle w:val="StylBCPrvndek095cm1"/>
        <w:ind w:firstLine="0"/>
      </w:pPr>
    </w:p>
    <w:p w:rsidR="001C37C9" w:rsidRPr="00142D9D" w:rsidRDefault="001C37C9" w:rsidP="001C37C9">
      <w:pPr>
        <w:pStyle w:val="StylBCPrvndek095cm1"/>
        <w:ind w:firstLine="708"/>
      </w:pPr>
      <w:r w:rsidRPr="00142D9D">
        <w:t>Graf č. 5 se vztahuje k poslední otázce prověřující informovanost respondentů. Z uvedených odpovědí je z</w:t>
      </w:r>
      <w:r w:rsidR="007C1B43">
        <w:t xml:space="preserve">řejmé, že 67 respondentů, tedy </w:t>
      </w:r>
      <w:r w:rsidRPr="00142D9D">
        <w:t>64,4% výzkumného vzorku, dokázala správně uvést, že jako nejhorší vnímají oběti ex-partnerského stalkingu: „Pocit nejistoty, kdy oběť netuší, co se bude opět dít.“</w:t>
      </w:r>
      <w:r w:rsidR="007C1B43">
        <w:t>.</w:t>
      </w:r>
      <w:r w:rsidRPr="00142D9D">
        <w:t xml:space="preserve"> M</w:t>
      </w:r>
      <w:r w:rsidR="002E431D">
        <w:t>imo správnou odpověď zvolilo 37 </w:t>
      </w:r>
      <w:r w:rsidRPr="00142D9D">
        <w:t>respondentů i jiné možnosti, přičemž žádný z respondentů nezvolil odpověď „Nevím</w:t>
      </w:r>
      <w:r w:rsidR="007C1B43">
        <w:t>.</w:t>
      </w:r>
      <w:r w:rsidRPr="00142D9D">
        <w:t>“.</w:t>
      </w:r>
    </w:p>
    <w:p w:rsidR="001C37C9" w:rsidRPr="00142D9D" w:rsidRDefault="001C37C9" w:rsidP="001C37C9">
      <w:pPr>
        <w:pStyle w:val="StylBCPrvndek095cm1"/>
        <w:ind w:firstLine="708"/>
      </w:pPr>
    </w:p>
    <w:p w:rsidR="002E431D" w:rsidRDefault="001C37C9" w:rsidP="002E431D">
      <w:pPr>
        <w:pStyle w:val="StylBCPrvndek095cm1"/>
        <w:ind w:firstLine="708"/>
        <w:rPr>
          <w:b/>
        </w:rPr>
      </w:pPr>
      <w:r w:rsidRPr="00142D9D">
        <w:t>Po přečtení dotazníků jsem odpovědi na otá</w:t>
      </w:r>
      <w:r w:rsidR="002E431D">
        <w:t>zky č. 8-17 bodově ohodnotila a </w:t>
      </w:r>
      <w:r w:rsidRPr="00142D9D">
        <w:t>průměrné výsledky týkající se informovanosti respondentů zapsala. Maximální počet bodů, jež mohli respondenti získat, činil 16 bodů. Nejvyšší b</w:t>
      </w:r>
      <w:r w:rsidR="002E431D">
        <w:t>odové ohodnocení bylo ve </w:t>
      </w:r>
      <w:r w:rsidRPr="00142D9D">
        <w:t xml:space="preserve">skutečnosti 14 bodů a nejnižší 3 body. Průměrné výsledky jsou zpřístupněny v níže uvedeném grafu č. 6 a tabulce č. 11. Z nich je možné vyčíst, že více než polovina respondentů (61,5%) výzkumného vzorku dosáhlo střední úrovně informovanosti, 13,5% respondentů dosáhlo nízké úrovně a 25,0% respondentů dosáhlo vysoké úrovně informovanosti. </w:t>
      </w:r>
      <w:r w:rsidRPr="00142D9D">
        <w:rPr>
          <w:b/>
        </w:rPr>
        <w:t xml:space="preserve">Na základě těchto výsledků je hypotéza, že „u většiny respondentů bude zjištěna střední úroveň informovanosti o ex-partnerském stalkingu,“ </w:t>
      </w:r>
      <w:r w:rsidR="004B1AD0" w:rsidRPr="00142D9D">
        <w:rPr>
          <w:b/>
        </w:rPr>
        <w:t xml:space="preserve">potvrzena </w:t>
      </w:r>
      <w:r w:rsidR="004B1AD0">
        <w:rPr>
          <w:b/>
        </w:rPr>
        <w:t>jako pravdivá</w:t>
      </w:r>
      <w:r w:rsidRPr="00142D9D">
        <w:rPr>
          <w:b/>
        </w:rPr>
        <w:t>.</w:t>
      </w:r>
    </w:p>
    <w:p w:rsidR="001C37C9" w:rsidRPr="002E431D" w:rsidRDefault="002E431D" w:rsidP="002E431D">
      <w:pPr>
        <w:pStyle w:val="StylBCPrvndek095cm1"/>
        <w:ind w:firstLine="708"/>
        <w:rPr>
          <w:b/>
        </w:rPr>
      </w:pPr>
      <w:r>
        <w:rPr>
          <w:b/>
        </w:rPr>
        <w:br w:type="page"/>
      </w:r>
    </w:p>
    <w:p w:rsidR="001C37C9" w:rsidRDefault="007A3C88" w:rsidP="001C37C9">
      <w:pPr>
        <w:pStyle w:val="StylBCPrvndek095cm1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35450" cy="2451735"/>
            <wp:effectExtent l="0" t="0" r="0" b="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37C9" w:rsidRPr="007A147F" w:rsidRDefault="001C37C9" w:rsidP="00075C08">
      <w:pPr>
        <w:pStyle w:val="StylBCPrvndek095cm1"/>
        <w:spacing w:before="240"/>
        <w:ind w:firstLine="0"/>
        <w:jc w:val="center"/>
        <w:rPr>
          <w:i/>
        </w:rPr>
      </w:pPr>
      <w:r w:rsidRPr="007A147F">
        <w:rPr>
          <w:i/>
        </w:rPr>
        <w:t>Graf č.</w:t>
      </w:r>
      <w:r>
        <w:rPr>
          <w:i/>
        </w:rPr>
        <w:t xml:space="preserve"> 6</w:t>
      </w:r>
      <w:r w:rsidRPr="007A147F">
        <w:rPr>
          <w:i/>
        </w:rPr>
        <w:t>: Výsledky informovanosti respondentů.</w:t>
      </w:r>
    </w:p>
    <w:p w:rsidR="001C37C9" w:rsidRDefault="001C37C9" w:rsidP="001C37C9">
      <w:pPr>
        <w:pStyle w:val="StylBCPrvndek095cm1"/>
        <w:ind w:firstLine="0"/>
        <w:jc w:val="center"/>
      </w:pPr>
    </w:p>
    <w:tbl>
      <w:tblPr>
        <w:tblW w:w="6702" w:type="dxa"/>
        <w:jc w:val="center"/>
        <w:tblInd w:w="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1643"/>
        <w:gridCol w:w="1647"/>
      </w:tblGrid>
      <w:tr w:rsidR="001C37C9" w:rsidTr="001C37C9">
        <w:trPr>
          <w:jc w:val="center"/>
        </w:trPr>
        <w:tc>
          <w:tcPr>
            <w:tcW w:w="341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Bodové hodnocení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Počet respondentů </w:t>
            </w:r>
          </w:p>
        </w:tc>
      </w:tr>
      <w:tr w:rsidR="001C37C9" w:rsidTr="001C37C9">
        <w:trPr>
          <w:jc w:val="center"/>
        </w:trPr>
        <w:tc>
          <w:tcPr>
            <w:tcW w:w="3414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Nízká úroveň 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0-5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14</w:t>
            </w:r>
          </w:p>
        </w:tc>
      </w:tr>
      <w:tr w:rsidR="001C37C9" w:rsidTr="001C37C9">
        <w:trPr>
          <w:jc w:val="center"/>
        </w:trPr>
        <w:tc>
          <w:tcPr>
            <w:tcW w:w="341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Střední úroveň </w:t>
            </w:r>
          </w:p>
        </w:tc>
        <w:tc>
          <w:tcPr>
            <w:tcW w:w="1644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6-11</w:t>
            </w:r>
          </w:p>
        </w:tc>
        <w:tc>
          <w:tcPr>
            <w:tcW w:w="1644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64</w:t>
            </w:r>
          </w:p>
        </w:tc>
      </w:tr>
      <w:tr w:rsidR="001C37C9" w:rsidTr="001C37C9">
        <w:trPr>
          <w:jc w:val="center"/>
        </w:trPr>
        <w:tc>
          <w:tcPr>
            <w:tcW w:w="3414" w:type="dxa"/>
            <w:tcBorders>
              <w:bottom w:val="single" w:sz="12" w:space="0" w:color="auto"/>
            </w:tcBorders>
            <w:vAlign w:val="center"/>
          </w:tcPr>
          <w:p w:rsidR="001C37C9" w:rsidRDefault="001C37C9" w:rsidP="001C37C9">
            <w:pPr>
              <w:pStyle w:val="StylBCPrvndek125cm"/>
              <w:ind w:firstLine="0"/>
              <w:jc w:val="left"/>
            </w:pPr>
            <w:r w:rsidRPr="001C37C9">
              <w:rPr>
                <w:sz w:val="18"/>
                <w:szCs w:val="18"/>
              </w:rPr>
              <w:t>Vysoká úroveň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12-16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26</w:t>
            </w:r>
          </w:p>
        </w:tc>
      </w:tr>
      <w:tr w:rsidR="001C37C9" w:rsidTr="001C37C9">
        <w:trPr>
          <w:gridBefore w:val="2"/>
          <w:jc w:val="center"/>
        </w:trPr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 Σ   104</w:t>
            </w:r>
          </w:p>
        </w:tc>
      </w:tr>
    </w:tbl>
    <w:p w:rsidR="001C37C9" w:rsidRPr="00EC6801" w:rsidRDefault="001C37C9" w:rsidP="001C37C9">
      <w:pPr>
        <w:pStyle w:val="StylBCPrvndek095cm1"/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EC6801">
        <w:rPr>
          <w:i/>
        </w:rPr>
        <w:t>abulka č.</w:t>
      </w:r>
      <w:r>
        <w:rPr>
          <w:i/>
        </w:rPr>
        <w:t xml:space="preserve"> 11</w:t>
      </w:r>
      <w:r w:rsidRPr="00EC6801">
        <w:rPr>
          <w:i/>
        </w:rPr>
        <w:t xml:space="preserve">: </w:t>
      </w:r>
      <w:r>
        <w:rPr>
          <w:i/>
        </w:rPr>
        <w:t>Výsledky informovanosti respondentů.</w:t>
      </w:r>
    </w:p>
    <w:p w:rsidR="001C37C9" w:rsidRDefault="001C37C9" w:rsidP="001C37C9">
      <w:pPr>
        <w:pStyle w:val="StylBCPrvndek095cm1"/>
        <w:ind w:firstLine="708"/>
      </w:pPr>
    </w:p>
    <w:bookmarkEnd w:id="49"/>
    <w:bookmarkEnd w:id="50"/>
    <w:p w:rsidR="001C37C9" w:rsidRDefault="001C37C9" w:rsidP="001C37C9">
      <w:r w:rsidRPr="00142D9D">
        <w:t>Ze získaných empirických dat je možné vyčíst i jistou souvislost mezi typem sociálních služeb a mírou informovanosti respondentů.</w:t>
      </w:r>
      <w:r>
        <w:t xml:space="preserve"> </w:t>
      </w:r>
    </w:p>
    <w:p w:rsidR="001C37C9" w:rsidRDefault="001C37C9" w:rsidP="001C37C9">
      <w:pPr>
        <w:ind w:firstLine="0"/>
        <w:jc w:val="center"/>
      </w:pPr>
    </w:p>
    <w:tbl>
      <w:tblPr>
        <w:tblW w:w="8600" w:type="dxa"/>
        <w:jc w:val="center"/>
        <w:tblInd w:w="2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1361"/>
        <w:gridCol w:w="1361"/>
        <w:gridCol w:w="1361"/>
        <w:gridCol w:w="1361"/>
      </w:tblGrid>
      <w:tr w:rsidR="001C37C9" w:rsidTr="0036636F">
        <w:trPr>
          <w:jc w:val="center"/>
        </w:trPr>
        <w:tc>
          <w:tcPr>
            <w:tcW w:w="3156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Nízká úroveň</w:t>
            </w:r>
            <w:r w:rsidRPr="001C37C9">
              <w:rPr>
                <w:sz w:val="18"/>
                <w:szCs w:val="18"/>
              </w:rPr>
              <w:br/>
              <w:t>0-5 bodů</w:t>
            </w: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Střední úroveň</w:t>
            </w:r>
            <w:r w:rsidRPr="001C37C9">
              <w:rPr>
                <w:sz w:val="18"/>
                <w:szCs w:val="18"/>
              </w:rPr>
              <w:br/>
              <w:t>6-11 bodů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Vysoká úroveň</w:t>
            </w:r>
            <w:r w:rsidRPr="001C37C9">
              <w:rPr>
                <w:sz w:val="18"/>
                <w:szCs w:val="18"/>
              </w:rPr>
              <w:br/>
              <w:t>12-16 bodů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Celkem respondentů</w:t>
            </w:r>
          </w:p>
        </w:tc>
      </w:tr>
      <w:tr w:rsidR="001C37C9" w:rsidTr="0036636F">
        <w:trPr>
          <w:jc w:val="center"/>
        </w:trPr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Pobytové sociální služby (azylové domy, noclehárny, chráněné bydlení)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C37C9" w:rsidRPr="001C37C9" w:rsidRDefault="00D96093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</w:t>
            </w:r>
            <w:r w:rsidR="001C37C9" w:rsidRPr="001C37C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8,3</w:t>
            </w:r>
            <w:r w:rsidR="001C37C9" w:rsidRPr="001C37C9">
              <w:rPr>
                <w:sz w:val="18"/>
                <w:szCs w:val="18"/>
              </w:rPr>
              <w:t xml:space="preserve">%) 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C37C9" w:rsidRPr="001C37C9" w:rsidRDefault="00D96093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(50</w:t>
            </w:r>
            <w:r w:rsidR="001C37C9" w:rsidRPr="001C37C9">
              <w:rPr>
                <w:sz w:val="18"/>
                <w:szCs w:val="18"/>
              </w:rPr>
              <w:t>,0%)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D96093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(21,7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(100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</w:tr>
      <w:tr w:rsidR="001C37C9" w:rsidTr="0036636F">
        <w:trPr>
          <w:jc w:val="center"/>
        </w:trPr>
        <w:tc>
          <w:tcPr>
            <w:tcW w:w="3156" w:type="dxa"/>
            <w:vAlign w:val="center"/>
          </w:tcPr>
          <w:p w:rsidR="001C37C9" w:rsidRPr="001C37C9" w:rsidRDefault="001C37C9" w:rsidP="001C37C9">
            <w:pPr>
              <w:pStyle w:val="StylBCPrvndek125cm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Ambulantní služby (intervenční centra, krizová pomoc, odborné sociální poradenství, telefonická krizová pomoc, kontaktní centra, služby následné péče, sociální rehabilitace)</w:t>
            </w:r>
          </w:p>
        </w:tc>
        <w:tc>
          <w:tcPr>
            <w:tcW w:w="1361" w:type="dxa"/>
            <w:vAlign w:val="center"/>
          </w:tcPr>
          <w:p w:rsidR="001C37C9" w:rsidRPr="001C37C9" w:rsidRDefault="00D96093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</w:t>
            </w:r>
            <w:r w:rsidR="001C37C9" w:rsidRPr="001C37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,7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vAlign w:val="center"/>
          </w:tcPr>
          <w:p w:rsidR="001C37C9" w:rsidRPr="001C37C9" w:rsidRDefault="00D96093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(70,7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(27,6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(100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</w:tr>
      <w:tr w:rsidR="001C37C9" w:rsidTr="0036636F">
        <w:trPr>
          <w:jc w:val="center"/>
        </w:trPr>
        <w:tc>
          <w:tcPr>
            <w:tcW w:w="31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Celkem respondentů 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(13,5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(61,5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7C9" w:rsidRPr="001C37C9" w:rsidRDefault="00BE2C7A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(25,0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104 (100%)</w:t>
            </w:r>
          </w:p>
        </w:tc>
      </w:tr>
    </w:tbl>
    <w:p w:rsidR="001C37C9" w:rsidRDefault="001C37C9" w:rsidP="001C37C9"/>
    <w:p w:rsidR="001C37C9" w:rsidRPr="00E74F7C" w:rsidRDefault="001C37C9" w:rsidP="001C37C9">
      <w:pPr>
        <w:ind w:firstLine="0"/>
        <w:jc w:val="center"/>
        <w:rPr>
          <w:i/>
        </w:rPr>
      </w:pPr>
      <w:r>
        <w:rPr>
          <w:i/>
        </w:rPr>
        <w:t>T</w:t>
      </w:r>
      <w:r w:rsidRPr="00E74F7C">
        <w:rPr>
          <w:i/>
        </w:rPr>
        <w:t>abulka č.</w:t>
      </w:r>
      <w:r>
        <w:rPr>
          <w:i/>
        </w:rPr>
        <w:t xml:space="preserve"> 12</w:t>
      </w:r>
      <w:r w:rsidRPr="00E74F7C">
        <w:rPr>
          <w:i/>
        </w:rPr>
        <w:t>: Výsl</w:t>
      </w:r>
      <w:r>
        <w:rPr>
          <w:i/>
        </w:rPr>
        <w:t>edky informovanosti respondentů dle pobytových a ambulantních sociálních služeb.</w:t>
      </w:r>
    </w:p>
    <w:p w:rsidR="001C37C9" w:rsidRDefault="001C37C9" w:rsidP="001C37C9"/>
    <w:p w:rsidR="001C37C9" w:rsidRPr="00142D9D" w:rsidRDefault="001C37C9" w:rsidP="001C37C9">
      <w:r w:rsidRPr="00142D9D">
        <w:lastRenderedPageBreak/>
        <w:t>Z tabulky č. 12, která zprostředkovává průmě</w:t>
      </w:r>
      <w:r w:rsidR="002E431D">
        <w:t>rné výsledky informovanosti dle </w:t>
      </w:r>
      <w:r w:rsidRPr="00142D9D">
        <w:t>pobytových a ambulantních služeb je patrné, že celkově</w:t>
      </w:r>
      <w:r w:rsidR="002E431D">
        <w:t xml:space="preserve"> vyšší míra informovanosti je u </w:t>
      </w:r>
      <w:r w:rsidRPr="00142D9D">
        <w:t>respondentů, pracujících ve službách ambulantn</w:t>
      </w:r>
      <w:r w:rsidR="00BE2C7A">
        <w:t xml:space="preserve">ích. </w:t>
      </w:r>
      <w:r w:rsidR="00BE2C7A" w:rsidRPr="00F13507">
        <w:t>V kategorii ambulantních služeb dosáhli respondenti</w:t>
      </w:r>
      <w:r w:rsidRPr="00F13507">
        <w:t xml:space="preserve">, až na jedinou výjimku, střední, anebo dokonce vysoké úrovně informovanosti. </w:t>
      </w:r>
      <w:r w:rsidR="00BE2C7A" w:rsidRPr="00F13507">
        <w:t xml:space="preserve">Konkrétně </w:t>
      </w:r>
      <w:r w:rsidR="00A34275" w:rsidRPr="00F13507">
        <w:t xml:space="preserve">dosáhlo </w:t>
      </w:r>
      <w:r w:rsidR="00BE2C7A" w:rsidRPr="00F13507">
        <w:t>střední úrovně info</w:t>
      </w:r>
      <w:r w:rsidR="002E431D" w:rsidRPr="00F13507">
        <w:t>rmovanosti 41 respondentů, tedy </w:t>
      </w:r>
      <w:r w:rsidR="00BE2C7A" w:rsidRPr="00F13507">
        <w:t xml:space="preserve">70,7% </w:t>
      </w:r>
      <w:r w:rsidR="002E431D" w:rsidRPr="00F13507">
        <w:t xml:space="preserve">respondentů z </w:t>
      </w:r>
      <w:r w:rsidR="00A34275" w:rsidRPr="00F13507">
        <w:t>kategorie ambulantních sl</w:t>
      </w:r>
      <w:r w:rsidR="00FB3CD2" w:rsidRPr="00F13507">
        <w:t>užeb. V</w:t>
      </w:r>
      <w:r w:rsidR="002E431D" w:rsidRPr="00F13507">
        <w:t> též</w:t>
      </w:r>
      <w:r w:rsidR="00FB3CD2" w:rsidRPr="00F13507">
        <w:t>e</w:t>
      </w:r>
      <w:r w:rsidR="002E431D" w:rsidRPr="00F13507">
        <w:t xml:space="preserve"> kategorii pak dosáhlo vysoké úrovně 17 </w:t>
      </w:r>
      <w:r w:rsidR="00A34275" w:rsidRPr="00F13507">
        <w:t>respondentů, tedy 27,6%</w:t>
      </w:r>
      <w:r w:rsidR="009B4BC9" w:rsidRPr="00F13507">
        <w:t>, zatímco téměř</w:t>
      </w:r>
      <w:r w:rsidR="002E431D" w:rsidRPr="00F13507">
        <w:t xml:space="preserve"> třetina respondentů (28,3%; 13 </w:t>
      </w:r>
      <w:r w:rsidR="009B4BC9" w:rsidRPr="00F13507">
        <w:t xml:space="preserve">respondentů) z kategorie pobytových služeb dosáhla </w:t>
      </w:r>
      <w:r w:rsidR="002E431D" w:rsidRPr="00F13507">
        <w:t xml:space="preserve">pouze </w:t>
      </w:r>
      <w:r w:rsidR="009B4BC9" w:rsidRPr="00F13507">
        <w:t>úrovně nízké</w:t>
      </w:r>
      <w:r w:rsidR="009B4BC9">
        <w:t>.</w:t>
      </w:r>
      <w:r w:rsidRPr="00142D9D">
        <w:t xml:space="preserve"> Výsledky mohou být rovněž ovlivněny skutečností, že výzkumný vzorek byl ve větší míře složen právě z pracovníků ambulan</w:t>
      </w:r>
      <w:r w:rsidR="006C34AB">
        <w:t xml:space="preserve">tních sociálních služeb, avšak </w:t>
      </w:r>
      <w:r w:rsidRPr="00142D9D">
        <w:t xml:space="preserve">vycházel z celkové struktury sociálních služeb Jihomoravského kraje. </w:t>
      </w:r>
    </w:p>
    <w:p w:rsidR="001C37C9" w:rsidRPr="00142D9D" w:rsidRDefault="001C37C9" w:rsidP="001C37C9"/>
    <w:p w:rsidR="001C37C9" w:rsidRDefault="001C37C9" w:rsidP="001C37C9">
      <w:r w:rsidRPr="00142D9D">
        <w:t>Získaná empirická data rovněž odhalují skutečnost, že existuje i jistá souvislost mezi pracovní pozicí respondentů a úrovní informovanosti o ex-partnerském stalkingu.</w:t>
      </w:r>
      <w:r>
        <w:t xml:space="preserve"> </w:t>
      </w:r>
    </w:p>
    <w:p w:rsidR="001C37C9" w:rsidRDefault="001C37C9" w:rsidP="001C37C9">
      <w:pPr>
        <w:ind w:firstLine="0"/>
      </w:pPr>
    </w:p>
    <w:tbl>
      <w:tblPr>
        <w:tblW w:w="8155" w:type="dxa"/>
        <w:jc w:val="center"/>
        <w:tblInd w:w="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1361"/>
        <w:gridCol w:w="1361"/>
        <w:gridCol w:w="1361"/>
        <w:gridCol w:w="1361"/>
      </w:tblGrid>
      <w:tr w:rsidR="001C37C9" w:rsidTr="0036636F">
        <w:trPr>
          <w:jc w:val="center"/>
        </w:trPr>
        <w:tc>
          <w:tcPr>
            <w:tcW w:w="2711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Nízká úroveň</w:t>
            </w:r>
            <w:r w:rsidRPr="001C37C9">
              <w:rPr>
                <w:sz w:val="18"/>
                <w:szCs w:val="18"/>
              </w:rPr>
              <w:br/>
              <w:t>0-5 bodů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Střední úroveň</w:t>
            </w:r>
            <w:r w:rsidRPr="001C37C9">
              <w:rPr>
                <w:sz w:val="18"/>
                <w:szCs w:val="18"/>
              </w:rPr>
              <w:br/>
              <w:t>6-11 bodů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Vysoká úroveň</w:t>
            </w:r>
            <w:r w:rsidRPr="001C37C9">
              <w:rPr>
                <w:sz w:val="18"/>
                <w:szCs w:val="18"/>
              </w:rPr>
              <w:br/>
              <w:t>12-16 bodů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Celkem respondentů</w:t>
            </w:r>
          </w:p>
        </w:tc>
      </w:tr>
      <w:tr w:rsidR="001C37C9" w:rsidTr="0036636F">
        <w:trPr>
          <w:jc w:val="center"/>
        </w:trPr>
        <w:tc>
          <w:tcPr>
            <w:tcW w:w="2711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Pracovník v sociálních službách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1C37C9" w:rsidRPr="001C37C9" w:rsidRDefault="0015265B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(32,5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1C37C9" w:rsidRPr="001C37C9" w:rsidRDefault="0015265B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</w:t>
            </w:r>
            <w:r w:rsidR="001C37C9" w:rsidRPr="001C37C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15265B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(30,0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1C37C9" w:rsidRPr="001C37C9" w:rsidRDefault="0036636F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(100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</w:tr>
      <w:tr w:rsidR="001C37C9" w:rsidTr="0036636F">
        <w:trPr>
          <w:jc w:val="center"/>
        </w:trPr>
        <w:tc>
          <w:tcPr>
            <w:tcW w:w="2711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Sociální pracovník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534E0D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(1,6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534E0D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(76,5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534E0D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(21,9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C37C9" w:rsidRPr="001C37C9" w:rsidRDefault="0036636F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(100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</w:tr>
      <w:tr w:rsidR="001C37C9" w:rsidTr="0036636F">
        <w:trPr>
          <w:jc w:val="center"/>
        </w:trPr>
        <w:tc>
          <w:tcPr>
            <w:tcW w:w="2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Celkem respondentů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37C9" w:rsidRPr="001C37C9" w:rsidRDefault="0036636F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(13,5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37C9" w:rsidRPr="001C37C9" w:rsidRDefault="0036636F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(61,5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7C9" w:rsidRPr="001C37C9" w:rsidRDefault="0036636F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(25,0</w:t>
            </w:r>
            <w:r w:rsidR="001C37C9" w:rsidRPr="001C37C9">
              <w:rPr>
                <w:sz w:val="18"/>
                <w:szCs w:val="18"/>
              </w:rPr>
              <w:t>%)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104 (100%)</w:t>
            </w:r>
          </w:p>
        </w:tc>
      </w:tr>
    </w:tbl>
    <w:p w:rsidR="001C37C9" w:rsidRPr="00E74F7C" w:rsidRDefault="001C37C9" w:rsidP="001C37C9">
      <w:pPr>
        <w:spacing w:before="240"/>
        <w:ind w:firstLine="0"/>
        <w:jc w:val="center"/>
        <w:rPr>
          <w:i/>
        </w:rPr>
      </w:pPr>
      <w:r>
        <w:rPr>
          <w:i/>
        </w:rPr>
        <w:t>T</w:t>
      </w:r>
      <w:r w:rsidRPr="00E74F7C">
        <w:rPr>
          <w:i/>
        </w:rPr>
        <w:t>abulka č.</w:t>
      </w:r>
      <w:r>
        <w:rPr>
          <w:i/>
        </w:rPr>
        <w:t xml:space="preserve"> 13</w:t>
      </w:r>
      <w:r w:rsidRPr="00E74F7C">
        <w:rPr>
          <w:i/>
        </w:rPr>
        <w:t>: Výsl</w:t>
      </w:r>
      <w:r>
        <w:rPr>
          <w:i/>
        </w:rPr>
        <w:t>edky informovanosti respondentů dle pracovní pozice respondentů.</w:t>
      </w:r>
    </w:p>
    <w:p w:rsidR="001C37C9" w:rsidRDefault="001C37C9" w:rsidP="001C37C9">
      <w:pPr>
        <w:ind w:firstLine="0"/>
      </w:pPr>
    </w:p>
    <w:p w:rsidR="001C37C9" w:rsidRPr="00F84842" w:rsidRDefault="001C37C9" w:rsidP="001C37C9">
      <w:pPr>
        <w:rPr>
          <w:b/>
        </w:rPr>
      </w:pPr>
      <w:r w:rsidRPr="00F84842">
        <w:t xml:space="preserve">Z tabulky č. 13 je zřejmé, že až na jedinou výjimku, dosáhli sociální pracovníci střední, anebo vysoké úrovně informovanosti. </w:t>
      </w:r>
      <w:r w:rsidR="00FA7A99" w:rsidRPr="00F13507">
        <w:t xml:space="preserve">Střední úrovně dosáhlo </w:t>
      </w:r>
      <w:r w:rsidR="002E431D" w:rsidRPr="00F13507">
        <w:t>49 respondentů, tedy </w:t>
      </w:r>
      <w:r w:rsidR="00163432" w:rsidRPr="00F13507">
        <w:t>76,5</w:t>
      </w:r>
      <w:r w:rsidRPr="00F13507">
        <w:t xml:space="preserve">% </w:t>
      </w:r>
      <w:r w:rsidR="002E431D" w:rsidRPr="00F13507">
        <w:t xml:space="preserve">respondentů z </w:t>
      </w:r>
      <w:r w:rsidR="00163432" w:rsidRPr="00F13507">
        <w:t>kategorie</w:t>
      </w:r>
      <w:r w:rsidR="00FB3CD2" w:rsidRPr="00F13507">
        <w:t xml:space="preserve"> sociálních pracovníků.</w:t>
      </w:r>
      <w:r w:rsidR="00FA7A99" w:rsidRPr="00F13507">
        <w:t xml:space="preserve"> </w:t>
      </w:r>
      <w:r w:rsidR="00FB3CD2" w:rsidRPr="00F13507">
        <w:t>V</w:t>
      </w:r>
      <w:r w:rsidR="002E431D" w:rsidRPr="00F13507">
        <w:t> též</w:t>
      </w:r>
      <w:r w:rsidR="00FB3CD2" w:rsidRPr="00F13507">
        <w:t>e</w:t>
      </w:r>
      <w:r w:rsidR="002E431D" w:rsidRPr="00F13507">
        <w:t xml:space="preserve"> kategorii </w:t>
      </w:r>
      <w:r w:rsidR="00FA7A99" w:rsidRPr="00F13507">
        <w:t xml:space="preserve">pak vysoké úrovně dosáhlo </w:t>
      </w:r>
      <w:r w:rsidR="00163432" w:rsidRPr="00F13507">
        <w:t>14 respondentů, tedy 21,9</w:t>
      </w:r>
      <w:r w:rsidRPr="00F13507">
        <w:t>%</w:t>
      </w:r>
      <w:r w:rsidR="00FA7A99" w:rsidRPr="00F13507">
        <w:t>, zatímco třetina respondentů (</w:t>
      </w:r>
      <w:r w:rsidR="002E431D" w:rsidRPr="00F13507">
        <w:t>32,5%; 13 </w:t>
      </w:r>
      <w:r w:rsidR="00D50D68" w:rsidRPr="00F13507">
        <w:t>respondentů) z kategorie pracovníků v sociálních službách dosáhla pouze úrovně nízké.</w:t>
      </w:r>
      <w:r w:rsidR="00D50D68">
        <w:t xml:space="preserve"> </w:t>
      </w:r>
      <w:r w:rsidRPr="00F84842">
        <w:t xml:space="preserve">Výsledky mohou být ovlivněny i skutečností, že výzkumný vzorek byl ve větší míře zastoupen sociálními pracovníky, těch bylo 64, zatímco pracovníků v sociálních službách bylo o něco méně, konkrétně se jednalo o 40 respondentů.  </w:t>
      </w:r>
    </w:p>
    <w:p w:rsidR="001C37C9" w:rsidRPr="00F84842" w:rsidRDefault="001C37C9" w:rsidP="001C37C9"/>
    <w:p w:rsidR="001C37C9" w:rsidRPr="00231CFB" w:rsidRDefault="001C37C9" w:rsidP="001C37C9">
      <w:r w:rsidRPr="00F84842">
        <w:t>Z níže uvedené tabulky č. 14 taktéž vyplývá, že nikdo z respondentů, jež pracoval v příslušné sociální službě méně než 1 rok, nedosáhl</w:t>
      </w:r>
      <w:r w:rsidR="002E431D">
        <w:t xml:space="preserve"> vysoké úrovně informovanosti a </w:t>
      </w:r>
      <w:r w:rsidRPr="00F84842">
        <w:t xml:space="preserve">naopak žádný z respondentů, pracující v daném sociálním zařízení déle než deset let, </w:t>
      </w:r>
      <w:r w:rsidRPr="00F84842">
        <w:lastRenderedPageBreak/>
        <w:t>nedosáhl úrovně nízké. Můžeme tedy říci, že existuje i urč</w:t>
      </w:r>
      <w:r w:rsidR="006176F2">
        <w:t>itý vztah mezi informovaností a </w:t>
      </w:r>
      <w:r w:rsidRPr="00F84842">
        <w:t>délkou pracovní praxe v příslušné sociální službě.</w:t>
      </w:r>
      <w:r>
        <w:t xml:space="preserve"> </w:t>
      </w:r>
    </w:p>
    <w:p w:rsidR="001C37C9" w:rsidRDefault="001C37C9" w:rsidP="001C37C9">
      <w:pPr>
        <w:ind w:firstLine="0"/>
      </w:pPr>
    </w:p>
    <w:tbl>
      <w:tblPr>
        <w:tblW w:w="8155" w:type="dxa"/>
        <w:jc w:val="center"/>
        <w:tblInd w:w="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1361"/>
        <w:gridCol w:w="1361"/>
        <w:gridCol w:w="1361"/>
        <w:gridCol w:w="1361"/>
      </w:tblGrid>
      <w:tr w:rsidR="001C37C9" w:rsidTr="00075C08">
        <w:trPr>
          <w:jc w:val="center"/>
        </w:trPr>
        <w:tc>
          <w:tcPr>
            <w:tcW w:w="2711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Nízká úroveň</w:t>
            </w:r>
            <w:r w:rsidRPr="001C37C9">
              <w:rPr>
                <w:sz w:val="18"/>
                <w:szCs w:val="18"/>
              </w:rPr>
              <w:br/>
              <w:t>0-5 bodů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Střední úroveň</w:t>
            </w:r>
            <w:r w:rsidRPr="001C37C9">
              <w:rPr>
                <w:sz w:val="18"/>
                <w:szCs w:val="18"/>
              </w:rPr>
              <w:br/>
              <w:t>6-11 bodů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Vysoká úroveň</w:t>
            </w:r>
            <w:r w:rsidRPr="001C37C9">
              <w:rPr>
                <w:sz w:val="18"/>
                <w:szCs w:val="18"/>
              </w:rPr>
              <w:br/>
              <w:t>12-16 bodů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Celkem respondentů</w:t>
            </w:r>
          </w:p>
        </w:tc>
      </w:tr>
      <w:tr w:rsidR="001C37C9" w:rsidTr="00075C08">
        <w:trPr>
          <w:jc w:val="center"/>
        </w:trPr>
        <w:tc>
          <w:tcPr>
            <w:tcW w:w="2711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Do 1 roku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 (18%)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18 (82%)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0 (0%)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22 (100%)</w:t>
            </w:r>
          </w:p>
        </w:tc>
        <w:bookmarkStart w:id="51" w:name="_GoBack"/>
        <w:bookmarkEnd w:id="51"/>
      </w:tr>
      <w:tr w:rsidR="001C37C9" w:rsidTr="00075C08">
        <w:trPr>
          <w:jc w:val="center"/>
        </w:trPr>
        <w:tc>
          <w:tcPr>
            <w:tcW w:w="2711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2-5 let</w:t>
            </w: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6 (15%)</w:t>
            </w: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23 (59%)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10 (26%)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39 (100%)</w:t>
            </w:r>
          </w:p>
        </w:tc>
      </w:tr>
      <w:tr w:rsidR="001C37C9" w:rsidTr="00075C08">
        <w:trPr>
          <w:jc w:val="center"/>
        </w:trPr>
        <w:tc>
          <w:tcPr>
            <w:tcW w:w="2711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6-9 let</w:t>
            </w: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 (11%)</w:t>
            </w:r>
          </w:p>
        </w:tc>
        <w:tc>
          <w:tcPr>
            <w:tcW w:w="1361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19</w:t>
            </w:r>
            <w:r w:rsidR="00D96093">
              <w:rPr>
                <w:sz w:val="18"/>
                <w:szCs w:val="18"/>
              </w:rPr>
              <w:t xml:space="preserve"> </w:t>
            </w:r>
            <w:r w:rsidRPr="001C37C9">
              <w:rPr>
                <w:sz w:val="18"/>
                <w:szCs w:val="18"/>
              </w:rPr>
              <w:t>(51%)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14 (38%)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37 (100%)</w:t>
            </w:r>
          </w:p>
        </w:tc>
      </w:tr>
      <w:tr w:rsidR="001C37C9" w:rsidTr="00075C08">
        <w:trPr>
          <w:jc w:val="center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10 a více let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0 (0%)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4 (67%)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2 (33%)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6 (100%)</w:t>
            </w:r>
          </w:p>
        </w:tc>
      </w:tr>
    </w:tbl>
    <w:p w:rsidR="001C37C9" w:rsidRDefault="001C37C9" w:rsidP="001C37C9">
      <w:pPr>
        <w:spacing w:before="240"/>
        <w:ind w:firstLine="0"/>
        <w:jc w:val="center"/>
        <w:rPr>
          <w:i/>
        </w:rPr>
      </w:pPr>
      <w:r>
        <w:rPr>
          <w:i/>
        </w:rPr>
        <w:t>Tabulka č. 14</w:t>
      </w:r>
      <w:r w:rsidRPr="00E74F7C">
        <w:rPr>
          <w:i/>
        </w:rPr>
        <w:t>: Výsl</w:t>
      </w:r>
      <w:r>
        <w:rPr>
          <w:i/>
        </w:rPr>
        <w:t>edky informovanosti respondentů dle délky pracovní praxe respondentů.</w:t>
      </w:r>
    </w:p>
    <w:p w:rsidR="001C37C9" w:rsidRDefault="001C37C9" w:rsidP="001C37C9">
      <w:pPr>
        <w:rPr>
          <w:i/>
        </w:rPr>
      </w:pPr>
    </w:p>
    <w:p w:rsidR="001C37C9" w:rsidRDefault="001C37C9" w:rsidP="001C37C9">
      <w:pPr>
        <w:pStyle w:val="Nadpis3"/>
      </w:pPr>
      <w:bookmarkStart w:id="52" w:name="_Toc383408625"/>
      <w:r>
        <w:t>Pohled</w:t>
      </w:r>
      <w:r w:rsidRPr="00FE1DB8">
        <w:t xml:space="preserve"> respondentů </w:t>
      </w:r>
      <w:r>
        <w:t>na problematiku</w:t>
      </w:r>
      <w:r w:rsidR="002B176B">
        <w:t xml:space="preserve"> ex-partnerského stalkingu </w:t>
      </w:r>
      <w:r>
        <w:t>jako jevu</w:t>
      </w:r>
      <w:r w:rsidRPr="00FE1DB8">
        <w:t>, kterým by se sociál</w:t>
      </w:r>
      <w:r>
        <w:t>ní práce měla více zabývat</w:t>
      </w:r>
      <w:bookmarkEnd w:id="52"/>
    </w:p>
    <w:p w:rsidR="001C37C9" w:rsidRDefault="001C37C9" w:rsidP="001C37C9">
      <w:pPr>
        <w:pStyle w:val="BC"/>
        <w:ind w:firstLine="567"/>
      </w:pPr>
      <w:r>
        <w:t>Druhá podkapitola je zaměřena na vyvrácení či potvr</w:t>
      </w:r>
      <w:r w:rsidR="002E431D">
        <w:t>zení hypotéz, zjišťujících, zda </w:t>
      </w:r>
      <w:r>
        <w:t>se respondenti domnívají, že ex-partnerské pronásledování je problematikou, kterou by se měla sociální práce více zabývat.</w:t>
      </w:r>
    </w:p>
    <w:p w:rsidR="001C37C9" w:rsidRDefault="001C37C9" w:rsidP="001C37C9">
      <w:pPr>
        <w:pStyle w:val="BC"/>
        <w:ind w:firstLine="567"/>
      </w:pPr>
    </w:p>
    <w:p w:rsidR="002E431D" w:rsidRDefault="001C37C9" w:rsidP="001C37C9">
      <w:pPr>
        <w:pStyle w:val="BC"/>
        <w:ind w:firstLine="567"/>
      </w:pPr>
      <w:r>
        <w:t>Druhá hypotéza: „Předpokládáme, že většina respondentů se domnívá, že by se sociální práce měla problematikou ex-partnerského stalkingu více zabývat.“, byla testována otázkou č. 7: „Domníváte se, že ex-partnerský stalking je problémem, kterým by se sociální práce měla více zabývat?“. Odpovědi na tuto otázku jsou zpřístupněny skrze graf č. 7</w:t>
      </w:r>
      <w:r w:rsidRPr="00BC6681">
        <w:t>.</w:t>
      </w:r>
    </w:p>
    <w:p w:rsidR="001C37C9" w:rsidRDefault="002E431D" w:rsidP="001C37C9">
      <w:pPr>
        <w:pStyle w:val="BC"/>
        <w:ind w:firstLine="567"/>
      </w:pPr>
      <w:r>
        <w:br w:type="page"/>
      </w:r>
    </w:p>
    <w:p w:rsidR="001C37C9" w:rsidRDefault="007A3C88" w:rsidP="001C37C9">
      <w:pPr>
        <w:pStyle w:val="BC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35450" cy="2451735"/>
            <wp:effectExtent l="0" t="0" r="0" b="0"/>
            <wp:docPr id="4" name="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37C9" w:rsidRPr="00577B78" w:rsidRDefault="001C37C9" w:rsidP="001C37C9">
      <w:pPr>
        <w:pStyle w:val="BC"/>
        <w:spacing w:before="240" w:after="240"/>
        <w:ind w:firstLine="0"/>
        <w:jc w:val="center"/>
        <w:rPr>
          <w:i/>
        </w:rPr>
      </w:pPr>
      <w:r w:rsidRPr="00037FD7">
        <w:rPr>
          <w:i/>
        </w:rPr>
        <w:t xml:space="preserve">Graf </w:t>
      </w:r>
      <w:r>
        <w:rPr>
          <w:i/>
        </w:rPr>
        <w:t>č. 7</w:t>
      </w:r>
      <w:r w:rsidRPr="00037FD7">
        <w:rPr>
          <w:i/>
        </w:rPr>
        <w:t>: Domníváte se, že ex-partnerský stalking je problémem, kterým by se sociální práce měla více zabývat?</w:t>
      </w:r>
    </w:p>
    <w:p w:rsidR="001C37C9" w:rsidRPr="00290582" w:rsidRDefault="001C37C9" w:rsidP="001C37C9">
      <w:pPr>
        <w:pStyle w:val="BC"/>
        <w:ind w:firstLine="567"/>
        <w:rPr>
          <w:b/>
        </w:rPr>
      </w:pPr>
      <w:r>
        <w:t>Sloupcový graf č. 7, zabývající se odpověďmi respondentů na otázku, zda se domnívají</w:t>
      </w:r>
      <w:r w:rsidRPr="008976DB">
        <w:t>, že ex-partnerský stalking je problémem, kterým by se s</w:t>
      </w:r>
      <w:r>
        <w:t>ociální práce měla více zabývat, zřetelně ukazuje, že většina respondentů</w:t>
      </w:r>
      <w:r w:rsidR="006C34AB">
        <w:t xml:space="preserve"> (84,8%) odpověděla: „Spíše ano.“ nebo „U</w:t>
      </w:r>
      <w:r>
        <w:t>rčitě ano.“. Pouze malé procento respondentů (7,8%) zvol</w:t>
      </w:r>
      <w:r w:rsidR="006C34AB">
        <w:t>ilo odpověď: „Určitě ne.“ nebo „S</w:t>
      </w:r>
      <w:r>
        <w:t xml:space="preserve">píše ne.“, přičemž </w:t>
      </w:r>
      <w:r w:rsidRPr="004E29B4">
        <w:t xml:space="preserve">sedm procent respondentů nedokázalo danou skutečnost posoudit. </w:t>
      </w:r>
      <w:r w:rsidRPr="004E29B4">
        <w:rPr>
          <w:b/>
        </w:rPr>
        <w:t>Na základě zjištěných výsledků je druhá hypotéza, že „většina respondentů se domnívá, že by se sociální práce měla problematikou ex-partnerského stalkin</w:t>
      </w:r>
      <w:r w:rsidR="006C34AB">
        <w:rPr>
          <w:b/>
        </w:rPr>
        <w:t xml:space="preserve">gu více zabývat“, </w:t>
      </w:r>
      <w:r w:rsidR="006C34AB" w:rsidRPr="004E29B4">
        <w:rPr>
          <w:b/>
        </w:rPr>
        <w:t>potvrzena</w:t>
      </w:r>
      <w:r w:rsidR="006C34AB">
        <w:rPr>
          <w:b/>
        </w:rPr>
        <w:t xml:space="preserve"> jako pravdivá</w:t>
      </w:r>
      <w:r w:rsidRPr="004E29B4">
        <w:rPr>
          <w:b/>
        </w:rPr>
        <w:t>.</w:t>
      </w:r>
      <w:r w:rsidRPr="00290582">
        <w:rPr>
          <w:b/>
        </w:rPr>
        <w:t xml:space="preserve"> </w:t>
      </w:r>
    </w:p>
    <w:p w:rsidR="001C37C9" w:rsidRDefault="001C37C9" w:rsidP="001C37C9">
      <w:pPr>
        <w:pStyle w:val="BC"/>
        <w:ind w:firstLine="567"/>
      </w:pPr>
    </w:p>
    <w:p w:rsidR="001C37C9" w:rsidRDefault="001C37C9" w:rsidP="001C37C9">
      <w:pPr>
        <w:pStyle w:val="BC"/>
        <w:ind w:firstLine="567"/>
      </w:pPr>
      <w:r>
        <w:t>Třetí hypotéza: „P</w:t>
      </w:r>
      <w:r w:rsidRPr="0060452B">
        <w:t xml:space="preserve">ředpokládáme, že většina respondentů, jež se s jevem </w:t>
      </w:r>
      <w:r w:rsidR="002E431D">
        <w:br/>
      </w:r>
      <w:r w:rsidRPr="0060452B">
        <w:t>ex-partnerského stalkingu setkala osobně, bude určitě souhlasit, nebo spíše souhlasit s tvrzením, že by se problematikou ex-partnerského stalkingu měla sociální práce více zabývat, a že respondenti, jež se s jevem ex-partnerského stalkingu nikdy nesetkali, budou s tímto tvrzením určitě neso</w:t>
      </w:r>
      <w:r>
        <w:t xml:space="preserve">uhlasit, nebo spíše nesouhlasit.“, </w:t>
      </w:r>
      <w:r w:rsidRPr="00BC6681">
        <w:t>byla testována otázkou č.</w:t>
      </w:r>
      <w:r w:rsidR="002E431D">
        <w:t> 6: </w:t>
      </w:r>
      <w:r w:rsidRPr="00BC6681">
        <w:t xml:space="preserve">„Setkal/a jste se někdy </w:t>
      </w:r>
      <w:r>
        <w:t xml:space="preserve">ve svém okolí či během profesní praxe </w:t>
      </w:r>
      <w:r w:rsidRPr="00BC6681">
        <w:t xml:space="preserve">s jevem </w:t>
      </w:r>
      <w:r w:rsidR="002E431D">
        <w:br/>
      </w:r>
      <w:r w:rsidRPr="00BC6681">
        <w:t>ex-partnerského stalkingu</w:t>
      </w:r>
      <w:r>
        <w:t>?“</w:t>
      </w:r>
      <w:r w:rsidR="006176F2">
        <w:t>,</w:t>
      </w:r>
      <w:r>
        <w:t xml:space="preserve"> a otázkou č. </w:t>
      </w:r>
      <w:r w:rsidRPr="00BC6681">
        <w:t>7: „Domníváte se, že ex-partnerský stalking je problémem, kterým by se sociální práce měla více zabývat?“</w:t>
      </w:r>
      <w:r>
        <w:t>. Odpovědi na tyto otázky</w:t>
      </w:r>
      <w:r w:rsidRPr="00BC6681">
        <w:t xml:space="preserve"> jsou zpřístupněny skrze graf</w:t>
      </w:r>
      <w:r>
        <w:t xml:space="preserve"> č. 8 a tabulku č. 15</w:t>
      </w:r>
      <w:r w:rsidRPr="00BC6681">
        <w:t>.</w:t>
      </w:r>
    </w:p>
    <w:p w:rsidR="001C37C9" w:rsidRPr="00BC6681" w:rsidRDefault="001C37C9" w:rsidP="001C37C9">
      <w:pPr>
        <w:pStyle w:val="BC"/>
        <w:ind w:firstLine="567"/>
      </w:pPr>
    </w:p>
    <w:p w:rsidR="001C37C9" w:rsidRDefault="007A3C88" w:rsidP="001C37C9">
      <w:pPr>
        <w:pStyle w:val="BC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35450" cy="3422015"/>
            <wp:effectExtent l="0" t="0" r="0" b="0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37C9" w:rsidRPr="00290582" w:rsidRDefault="001C37C9" w:rsidP="001C37C9">
      <w:pPr>
        <w:pStyle w:val="BC"/>
        <w:spacing w:before="240"/>
        <w:ind w:firstLine="0"/>
        <w:jc w:val="center"/>
        <w:rPr>
          <w:i/>
        </w:rPr>
      </w:pPr>
      <w:r>
        <w:rPr>
          <w:i/>
        </w:rPr>
        <w:t>Graf č. 8</w:t>
      </w:r>
      <w:r w:rsidRPr="00290582">
        <w:rPr>
          <w:i/>
        </w:rPr>
        <w:t>: Domníváte se, že ex-partnerský stalking je problémem, kterým by se sociální práce měla více zabývat? Odpovědi dle zkušenosti respondentů s tímto jevem.</w:t>
      </w:r>
    </w:p>
    <w:p w:rsidR="001C37C9" w:rsidRDefault="001C37C9" w:rsidP="001C37C9">
      <w:pPr>
        <w:pStyle w:val="BC"/>
        <w:ind w:firstLine="0"/>
        <w:jc w:val="center"/>
      </w:pPr>
    </w:p>
    <w:tbl>
      <w:tblPr>
        <w:tblW w:w="6635" w:type="dxa"/>
        <w:jc w:val="center"/>
        <w:tblInd w:w="3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955"/>
        <w:gridCol w:w="1928"/>
      </w:tblGrid>
      <w:tr w:rsidR="001C37C9" w:rsidTr="001C37C9">
        <w:trPr>
          <w:jc w:val="center"/>
        </w:trPr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2"/>
            <w:tcBorders>
              <w:bottom w:val="single" w:sz="4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Četnost opovědí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Ano, setkal/a jsem se.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Ne, nesetkal/a jsem se.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Určitě ano</w:t>
            </w:r>
          </w:p>
        </w:tc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21 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Spíše ano</w:t>
            </w:r>
          </w:p>
        </w:tc>
        <w:tc>
          <w:tcPr>
            <w:tcW w:w="195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928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37 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vAlign w:val="center"/>
          </w:tcPr>
          <w:p w:rsidR="001C37C9" w:rsidRDefault="001C37C9" w:rsidP="001C37C9">
            <w:pPr>
              <w:pStyle w:val="StylBCPrvndek125cm"/>
              <w:ind w:firstLine="0"/>
              <w:jc w:val="left"/>
            </w:pPr>
            <w:r w:rsidRPr="001C37C9">
              <w:rPr>
                <w:sz w:val="18"/>
                <w:szCs w:val="18"/>
              </w:rPr>
              <w:t xml:space="preserve">Spíše ne </w:t>
            </w:r>
          </w:p>
        </w:tc>
        <w:tc>
          <w:tcPr>
            <w:tcW w:w="195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28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0 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Určitě ne </w:t>
            </w:r>
          </w:p>
        </w:tc>
        <w:tc>
          <w:tcPr>
            <w:tcW w:w="1955" w:type="dxa"/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928" w:type="dxa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3 </w:t>
            </w:r>
          </w:p>
        </w:tc>
      </w:tr>
      <w:tr w:rsidR="001C37C9" w:rsidTr="001C37C9">
        <w:trPr>
          <w:jc w:val="center"/>
        </w:trPr>
        <w:tc>
          <w:tcPr>
            <w:tcW w:w="2752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left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>Neumím posoudit</w:t>
            </w:r>
          </w:p>
        </w:tc>
        <w:tc>
          <w:tcPr>
            <w:tcW w:w="1955" w:type="dxa"/>
            <w:tcBorders>
              <w:bottom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jc w:val="center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4 </w:t>
            </w:r>
          </w:p>
        </w:tc>
      </w:tr>
      <w:tr w:rsidR="001C37C9" w:rsidTr="001C37C9">
        <w:trPr>
          <w:gridBefore w:val="1"/>
          <w:jc w:val="center"/>
        </w:trPr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     Σ   39 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:rsidR="001C37C9" w:rsidRPr="001C37C9" w:rsidRDefault="001C37C9" w:rsidP="001C37C9">
            <w:pPr>
              <w:pStyle w:val="StylBCPrvndek125cm"/>
              <w:ind w:firstLine="0"/>
              <w:rPr>
                <w:sz w:val="18"/>
                <w:szCs w:val="18"/>
              </w:rPr>
            </w:pPr>
            <w:r w:rsidRPr="001C37C9">
              <w:rPr>
                <w:sz w:val="18"/>
                <w:szCs w:val="18"/>
              </w:rPr>
              <w:t xml:space="preserve">          Σ   65 </w:t>
            </w:r>
          </w:p>
        </w:tc>
      </w:tr>
    </w:tbl>
    <w:p w:rsidR="001C37C9" w:rsidRDefault="001C37C9" w:rsidP="001C37C9">
      <w:pPr>
        <w:pStyle w:val="BC"/>
        <w:spacing w:before="240"/>
        <w:ind w:firstLine="0"/>
        <w:jc w:val="center"/>
        <w:rPr>
          <w:i/>
        </w:rPr>
      </w:pPr>
      <w:r>
        <w:rPr>
          <w:i/>
        </w:rPr>
        <w:t>Tabulka č. 15</w:t>
      </w:r>
      <w:r w:rsidRPr="0032569F">
        <w:rPr>
          <w:i/>
        </w:rPr>
        <w:t>: Domníváte se, že ex-partnerský stalking je problémem, kterým by se sociální práce měla více za</w:t>
      </w:r>
      <w:r>
        <w:rPr>
          <w:i/>
        </w:rPr>
        <w:t>bývat? Odpovědi dle zkušenosti respondentů s tímto jevem.</w:t>
      </w:r>
    </w:p>
    <w:p w:rsidR="001C37C9" w:rsidRDefault="001C37C9" w:rsidP="001C37C9">
      <w:pPr>
        <w:pStyle w:val="BC"/>
        <w:ind w:firstLine="0"/>
        <w:rPr>
          <w:i/>
        </w:rPr>
      </w:pPr>
    </w:p>
    <w:p w:rsidR="001C37C9" w:rsidRDefault="001C37C9" w:rsidP="001C37C9">
      <w:r>
        <w:t>Graf č. 8 a tabulka č. 15 zprostředkovává odpovědi respondentů na otázku, zda se domnívají</w:t>
      </w:r>
      <w:r w:rsidRPr="008976DB">
        <w:t>, že ex-partnerský stalking je problémem, kterým by se s</w:t>
      </w:r>
      <w:r>
        <w:t>ociální práce měla více zabývat. Odpovědi respondentů jsou rozděleny do dvou sku</w:t>
      </w:r>
      <w:r w:rsidR="00644DAA">
        <w:t>pin závisle na skutečnosti, zda </w:t>
      </w:r>
      <w:r>
        <w:t>se někdy ve svém okolí či během profesní praxe s </w:t>
      </w:r>
      <w:r w:rsidR="00644DAA">
        <w:t>jevem ex-partnerského stalkingu </w:t>
      </w:r>
      <w:r>
        <w:t>setkali či nikoli. S problematikou ex-pa</w:t>
      </w:r>
      <w:r w:rsidR="006176F2">
        <w:t>rtnerského pronásledování se ve </w:t>
      </w:r>
      <w:r w:rsidR="00644DAA">
        <w:t>skutečnosti setkalo </w:t>
      </w:r>
      <w:r>
        <w:t xml:space="preserve">39 respondentů, z čehož jasně vyplývá, že skupina respondentů, </w:t>
      </w:r>
      <w:r>
        <w:lastRenderedPageBreak/>
        <w:t>jež</w:t>
      </w:r>
      <w:r w:rsidR="006176F2">
        <w:t> </w:t>
      </w:r>
      <w:r>
        <w:t xml:space="preserve">se s jevem ex-partnerského pronásledování nikdy nesetkala, tvoří ve zkoumaném vzorku početnější skupinu (65 respondentů). Na otázku, zda se domnívají, </w:t>
      </w:r>
      <w:r w:rsidRPr="00AD0F9B">
        <w:t>že ex-partnerský stalking je problémem, kterým by se s</w:t>
      </w:r>
      <w:r>
        <w:t>ociální práce měla více zabývat, odpověděla většina respondentů, jež se s nebezpečným pronásledováním bývalého partnera ve svém živ</w:t>
      </w:r>
      <w:r w:rsidR="00C373DF">
        <w:t>otě setkala: „Spíše ano.“ nebo „U</w:t>
      </w:r>
      <w:r>
        <w:t>rčitě ano.“</w:t>
      </w:r>
      <w:r w:rsidR="007C1B43">
        <w:t>.</w:t>
      </w:r>
      <w:r>
        <w:t xml:space="preserve"> Respondenti bez osobní zkušenosti s tímto jevem odpověděli taktéž ve většině případů: </w:t>
      </w:r>
      <w:r w:rsidRPr="00360067">
        <w:t>„</w:t>
      </w:r>
      <w:r w:rsidR="00C373DF">
        <w:t>Spíše ano.“ nebo „U</w:t>
      </w:r>
      <w:r>
        <w:t>rčitě ano.“</w:t>
      </w:r>
      <w:r w:rsidR="00CA5AB6">
        <w:t>.</w:t>
      </w:r>
      <w:r>
        <w:t xml:space="preserve"> </w:t>
      </w:r>
      <w:r w:rsidR="006176F2">
        <w:rPr>
          <w:b/>
        </w:rPr>
        <w:t>Poslední hypotéz</w:t>
      </w:r>
      <w:r w:rsidR="00CA5AB6">
        <w:rPr>
          <w:b/>
        </w:rPr>
        <w:t>a</w:t>
      </w:r>
      <w:r w:rsidRPr="00C5145F">
        <w:rPr>
          <w:b/>
        </w:rPr>
        <w:t>, že „většina respondentů, jež se s jevem ex-partnerského stalkingu setkala osobně, bude určitě souhlasit, nebo spíše souhlasit s tvrzením, že by se problematikou ex-partnerského stalkingu měla sociální práce více zabývat, a že respondenti, jež se s jevem ex-partnerského stalkingu nikdy nesetkali, budou s tímto tvrzením určitě nesouhlasit, ne</w:t>
      </w:r>
      <w:r w:rsidR="00CA5AB6">
        <w:rPr>
          <w:b/>
        </w:rPr>
        <w:t xml:space="preserve">bo spíše nesouhlasit“, je </w:t>
      </w:r>
      <w:r w:rsidR="007C1B43" w:rsidRPr="00C5145F">
        <w:rPr>
          <w:b/>
        </w:rPr>
        <w:t>tedy</w:t>
      </w:r>
      <w:r w:rsidR="007C1B43">
        <w:rPr>
          <w:b/>
        </w:rPr>
        <w:t xml:space="preserve"> </w:t>
      </w:r>
      <w:r w:rsidR="00CA5AB6">
        <w:rPr>
          <w:b/>
        </w:rPr>
        <w:t>vyvrácena jako nepravdivá</w:t>
      </w:r>
      <w:r w:rsidRPr="00C5145F">
        <w:rPr>
          <w:b/>
        </w:rPr>
        <w:t xml:space="preserve">. </w:t>
      </w:r>
    </w:p>
    <w:p w:rsidR="001C37C9" w:rsidRDefault="001C37C9" w:rsidP="001C37C9">
      <w:pPr>
        <w:pStyle w:val="Nadpis1"/>
        <w:numPr>
          <w:ilvl w:val="0"/>
          <w:numId w:val="0"/>
        </w:numPr>
        <w:ind w:left="431"/>
      </w:pPr>
      <w:bookmarkStart w:id="53" w:name="_Toc383408626"/>
      <w:r w:rsidRPr="005B5B5D">
        <w:lastRenderedPageBreak/>
        <w:t>Diskuze</w:t>
      </w:r>
      <w:bookmarkEnd w:id="53"/>
      <w:r>
        <w:t xml:space="preserve"> </w:t>
      </w:r>
    </w:p>
    <w:p w:rsidR="001C37C9" w:rsidRDefault="001C37C9" w:rsidP="001C37C9">
      <w:r>
        <w:t>Kvantitativní výzkum, zaměřený na problematiku</w:t>
      </w:r>
      <w:r w:rsidR="00CA5AB6">
        <w:t xml:space="preserve"> ex-partnerského stalkingu, byl </w:t>
      </w:r>
      <w:r>
        <w:t xml:space="preserve">proveden na výzkumném vzorku, který tvořilo 104 sociálních pracovníků a pracovníků v sociálních službách. Jednalo se o respondenty účelově vybraných sociálních služeb Jihomoravského kraje, </w:t>
      </w:r>
      <w:r w:rsidRPr="00F95460">
        <w:t xml:space="preserve">v jejichž zařízeních </w:t>
      </w:r>
      <w:r w:rsidR="00C373DF">
        <w:t>bylo možné</w:t>
      </w:r>
      <w:r w:rsidRPr="00F95460">
        <w:t xml:space="preserve"> předpokládat zvýšenou pravděpodobnost výskytu jevu ex-partnerského pronásledování.</w:t>
      </w:r>
      <w:r>
        <w:t xml:space="preserve"> </w:t>
      </w:r>
    </w:p>
    <w:p w:rsidR="001C37C9" w:rsidRDefault="001C37C9" w:rsidP="001C37C9">
      <w:r>
        <w:t xml:space="preserve">Cílem kvantitativního výzkumu bylo zjistit, jaká je </w:t>
      </w:r>
      <w:r w:rsidRPr="00343C4A">
        <w:t>informovanost sociálních pracovníků a pracovníků v sociálních službách, o problematice ex-partnerského stalkingu</w:t>
      </w:r>
      <w:r>
        <w:t>. Výsledky o informovanosti respondentů, které šetření přineslo, mě mírně překvapily. Předpokládala jsem, že většina respondentů dosáhne střední úrovně informovan</w:t>
      </w:r>
      <w:r w:rsidR="00644DAA">
        <w:t>osti, což se </w:t>
      </w:r>
      <w:r>
        <w:t xml:space="preserve">výzkumem potvrdilo, ale nečekala jsem, že </w:t>
      </w:r>
      <w:proofErr w:type="gramStart"/>
      <w:r>
        <w:t>respondentů</w:t>
      </w:r>
      <w:proofErr w:type="gramEnd"/>
      <w:r>
        <w:t>, je</w:t>
      </w:r>
      <w:r w:rsidR="00C373DF">
        <w:t>n</w:t>
      </w:r>
      <w:r>
        <w:t xml:space="preserve">ž dosáhnou vysoké </w:t>
      </w:r>
      <w:proofErr w:type="gramStart"/>
      <w:r>
        <w:t>úrovně, bude</w:t>
      </w:r>
      <w:proofErr w:type="gramEnd"/>
      <w:r>
        <w:t xml:space="preserve"> více než těch, kteří dosáhnou nízké úrovně informovanosti. </w:t>
      </w:r>
      <w:r w:rsidRPr="004E29B4">
        <w:t>To mohlo být ovlivněno i skutečností, že 6 pracovníků v sociálních službách, kteří dosáhli vysoké úrovně informovanosti, se s problematikou ex-partnerského pronásledování již v minulosti setkali, anebo daný problém aktuálně řešili na svém pracovišti.</w:t>
      </w:r>
      <w:r>
        <w:t xml:space="preserve"> </w:t>
      </w:r>
    </w:p>
    <w:p w:rsidR="001C37C9" w:rsidRDefault="001C37C9" w:rsidP="001C37C9">
      <w:r>
        <w:t xml:space="preserve">Dále </w:t>
      </w:r>
      <w:r w:rsidRPr="002A203C">
        <w:t xml:space="preserve">bylo zjištěno, že </w:t>
      </w:r>
      <w:r>
        <w:t>z celkového</w:t>
      </w:r>
      <w:r w:rsidR="00CA5AB6">
        <w:t xml:space="preserve"> množství všech respondentů, se </w:t>
      </w:r>
      <w:r>
        <w:t>37,5</w:t>
      </w:r>
      <w:r w:rsidR="00644DAA">
        <w:t>% </w:t>
      </w:r>
      <w:r w:rsidRPr="002A203C">
        <w:t xml:space="preserve">s problematikou ex-partnerského pronásledování </w:t>
      </w:r>
      <w:r>
        <w:t xml:space="preserve">již </w:t>
      </w:r>
      <w:r w:rsidRPr="002A203C">
        <w:t xml:space="preserve">setkalo, a to buď </w:t>
      </w:r>
      <w:r>
        <w:t>v blízkém</w:t>
      </w:r>
      <w:r w:rsidRPr="002A203C">
        <w:t xml:space="preserve"> okolí či během</w:t>
      </w:r>
      <w:r>
        <w:t xml:space="preserve"> své</w:t>
      </w:r>
      <w:r w:rsidRPr="002A203C">
        <w:t xml:space="preserve"> profesní praxe.</w:t>
      </w:r>
      <w:r>
        <w:t xml:space="preserve"> Domnívám se, že pr</w:t>
      </w:r>
      <w:r w:rsidR="00644DAA">
        <w:t>ocentuální číslo by mohlo být i </w:t>
      </w:r>
      <w:r>
        <w:t>vyšší, ale je ovlivněno skutečností, že většina obětí stalki</w:t>
      </w:r>
      <w:r w:rsidR="00644DAA">
        <w:t>ngu se za svoji situaci stydí a </w:t>
      </w:r>
      <w:r>
        <w:t>nikdy o pomoc nepožádá (Čírtková, 2008, s. 89</w:t>
      </w:r>
      <w:r w:rsidRPr="004E29B4">
        <w:t>). Výzkumné šetření z roku 2006, zabývající se problematikou stalkingu ve Spojených státech amerických, přineslo mimo jiné zjištění, že na služby určené obětem trestných činů či krizovou telefonickou pomoc se obrátilo pouze 7% obětí zkoumaného vzorku (</w:t>
      </w:r>
      <w:proofErr w:type="spellStart"/>
      <w:r w:rsidRPr="004E29B4">
        <w:t>Baum</w:t>
      </w:r>
      <w:proofErr w:type="spellEnd"/>
      <w:r w:rsidRPr="004E29B4">
        <w:t>, 2009, s. 6).</w:t>
      </w:r>
    </w:p>
    <w:p w:rsidR="001C37C9" w:rsidRDefault="001C37C9" w:rsidP="001C37C9">
      <w:r>
        <w:t>Současně jsem si vědoma i dalších aspektů, které níže uvádím a jež v rámci tohoto výzkumu vedly do jisté míry ke zkreslení výsledků.  Empir</w:t>
      </w:r>
      <w:r w:rsidR="00644DAA">
        <w:t>ické šetření bylo prováděno jen </w:t>
      </w:r>
      <w:r>
        <w:t xml:space="preserve">na velmi malém procentu respondentů a nelze jej tedy vztahovat na jiné kraje nebo celou Českou republiku. </w:t>
      </w:r>
      <w:r w:rsidRPr="0036676B">
        <w:t xml:space="preserve">Výsledky mohou být </w:t>
      </w:r>
      <w:r>
        <w:t xml:space="preserve">navíc </w:t>
      </w:r>
      <w:r w:rsidRPr="0036676B">
        <w:t>ovlivněny skutečností, že výzkumný vzorek byl ve větší míře složen z pracovníků pobytových sociálních služeb a nejméně z pracovníků interv</w:t>
      </w:r>
      <w:r>
        <w:t>enčních center, telefonické krizové pomoci a služeb následné péče. V</w:t>
      </w:r>
      <w:r w:rsidRPr="00E42E6D">
        <w:t>ýzkumný vzorek vycházel z celkové struktury sociáln</w:t>
      </w:r>
      <w:r>
        <w:t xml:space="preserve">ích služeb Jihomoravského kraje, </w:t>
      </w:r>
      <w:r>
        <w:lastRenderedPageBreak/>
        <w:t xml:space="preserve">přičemž nezahrnoval respondenty ze všech typů sociálních služeb a tudíž nelze získané výsledky globálně aplikovat na všechny oblasti sociálních služeb v rámci tohoto kraje. </w:t>
      </w:r>
    </w:p>
    <w:p w:rsidR="001C37C9" w:rsidRDefault="001C37C9" w:rsidP="001C37C9">
      <w:r>
        <w:t>Metoda vyplňování standardizovaných dotazníků pro mě byla jedinou snadnou cestou, jak získat potřebné informace od většího počtu respondentů. Avšak v případě d</w:t>
      </w:r>
      <w:r w:rsidRPr="00C306CD">
        <w:t>otazník</w:t>
      </w:r>
      <w:r>
        <w:t>ů rozeslaných elektronickou cestou se potvrdila slabá návratnost, což vedlo k vytvoření tazatelské sítě</w:t>
      </w:r>
      <w:r w:rsidRPr="00C306CD">
        <w:t>, kterou tvořilo několik mých přátel a známých</w:t>
      </w:r>
      <w:r w:rsidR="00644DAA">
        <w:t xml:space="preserve"> pracujících v </w:t>
      </w:r>
      <w:r>
        <w:t>sociální oblasti. Šířením tištěného dotazníku se v konečném důsledku zvýšila celková návratnost. Znamenalo to však, vytvořit vhodnou organizační strukt</w:t>
      </w:r>
      <w:r w:rsidR="00644DAA">
        <w:t>uru tazatelů a </w:t>
      </w:r>
      <w:r>
        <w:t xml:space="preserve">srozumitelným způsobem je informovat o výběru respondentů. </w:t>
      </w:r>
      <w:r w:rsidRPr="0012780D">
        <w:t>Ve většině případů měli respondenti na vyplnění dotazníku i několik dní, čímž vznikl prostor k nastudování potřebných informací, což přirozeně mohlo výsledky výzkumu taktéž ovlivnit. Výzkumné</w:t>
      </w:r>
      <w:r w:rsidRPr="00440F40">
        <w:t xml:space="preserve"> šetření </w:t>
      </w:r>
      <w:r>
        <w:t xml:space="preserve">proběhlo </w:t>
      </w:r>
      <w:r w:rsidRPr="00440F40">
        <w:t>v</w:t>
      </w:r>
      <w:r>
        <w:t> krátkém časovém horizontu třech týdnů, během nichž se neuskutečnila žádná veřejná událost, která by sběr dat ovlivnila</w:t>
      </w:r>
      <w:r w:rsidRPr="00440F40">
        <w:t>.</w:t>
      </w:r>
    </w:p>
    <w:p w:rsidR="001C37C9" w:rsidRDefault="001C37C9" w:rsidP="001C37C9">
      <w:r>
        <w:t xml:space="preserve"> Jak jsem již uvedla, dle výzkumu většina sociálních pracovníků a pracovníků v sociálních službách dosáhla střední úrovně informovanosti o problematice </w:t>
      </w:r>
      <w:r w:rsidR="00644DAA">
        <w:br/>
      </w:r>
      <w:r>
        <w:t>ex-partnerského stalkingu.  A to i navzdory skutečnosti, že pro současné</w:t>
      </w:r>
      <w:r w:rsidRPr="00710613">
        <w:t xml:space="preserve"> pomáhající</w:t>
      </w:r>
      <w:r>
        <w:t xml:space="preserve"> profese</w:t>
      </w:r>
      <w:r w:rsidRPr="00710613">
        <w:t xml:space="preserve"> </w:t>
      </w:r>
      <w:r>
        <w:t xml:space="preserve">neexistuje dostatečné množství odborných literárních zdrojů, jenž by se </w:t>
      </w:r>
      <w:proofErr w:type="gramStart"/>
      <w:r>
        <w:t>zabývaly</w:t>
      </w:r>
      <w:proofErr w:type="gramEnd"/>
      <w:r w:rsidR="00644DAA">
        <w:t xml:space="preserve"> </w:t>
      </w:r>
      <w:r w:rsidRPr="00710613">
        <w:t>strategií daného problému, řešily podrobněji intervenci a její účinnost, či techniky pomoci</w:t>
      </w:r>
      <w:r>
        <w:t xml:space="preserve"> v případech ex-partnerského pronásledování</w:t>
      </w:r>
      <w:r w:rsidRPr="00710613">
        <w:t xml:space="preserve"> </w:t>
      </w:r>
      <w:r>
        <w:t xml:space="preserve">(Francis, </w:t>
      </w:r>
      <w:r w:rsidRPr="00710613">
        <w:t>2005</w:t>
      </w:r>
      <w:r>
        <w:t>, s.</w:t>
      </w:r>
      <w:r w:rsidRPr="00710613">
        <w:t xml:space="preserve"> 338)</w:t>
      </w:r>
      <w:r w:rsidR="00644DAA">
        <w:t>. Domnívám se, že </w:t>
      </w:r>
      <w:r>
        <w:t xml:space="preserve">kdyby existovalo více odborné literatury a vhodně vypracovaných metodických postupů k danému tématu, byly by dosažené výsledky jistě vyšší (pouze 15 respondentů dokázalo zmínit autora, který se problematikou ex-partnerského pronásledování zabývá). </w:t>
      </w:r>
    </w:p>
    <w:p w:rsidR="001C37C9" w:rsidRDefault="001C37C9" w:rsidP="001C37C9">
      <w:r>
        <w:t xml:space="preserve">Výzkumné šetření navíc přineslo zjištění, že </w:t>
      </w:r>
      <w:r w:rsidR="00644DAA">
        <w:t>většina sociálních pracovníků a </w:t>
      </w:r>
      <w:r>
        <w:t>pracovníků v sociálních službách</w:t>
      </w:r>
      <w:r w:rsidR="00C373DF">
        <w:t xml:space="preserve"> (84,4%)</w:t>
      </w:r>
      <w:r>
        <w:t xml:space="preserve"> se domnívá, že sociální práce by se problematikou ex-partnerského stalkingu měla zabývat</w:t>
      </w:r>
      <w:r w:rsidRPr="0062447B">
        <w:t xml:space="preserve"> </w:t>
      </w:r>
      <w:r>
        <w:t>více. Na základě uvedených skutečností se domnívám, že většina respondentů by uví</w:t>
      </w:r>
      <w:r w:rsidR="00644DAA">
        <w:t>tala více odborných informací o </w:t>
      </w:r>
      <w:r>
        <w:t>ex-partnerském pronásledování. Toto tvrzení by mohlo být zají</w:t>
      </w:r>
      <w:r w:rsidR="00644DAA">
        <w:t>mavým námětem pro </w:t>
      </w:r>
      <w:r>
        <w:t>další výzkumné šetření.</w:t>
      </w:r>
      <w:r w:rsidRPr="00710613">
        <w:t xml:space="preserve"> </w:t>
      </w:r>
    </w:p>
    <w:p w:rsidR="001C37C9" w:rsidRPr="0012780D" w:rsidRDefault="001C37C9" w:rsidP="001C37C9">
      <w:pPr>
        <w:pStyle w:val="Nadpis1"/>
        <w:numPr>
          <w:ilvl w:val="0"/>
          <w:numId w:val="0"/>
        </w:numPr>
      </w:pPr>
      <w:bookmarkStart w:id="54" w:name="_Toc383408627"/>
      <w:r w:rsidRPr="0012780D">
        <w:lastRenderedPageBreak/>
        <w:t>Závěry výzkumu</w:t>
      </w:r>
      <w:bookmarkEnd w:id="54"/>
      <w:r w:rsidRPr="0012780D">
        <w:t xml:space="preserve"> </w:t>
      </w:r>
    </w:p>
    <w:p w:rsidR="001C37C9" w:rsidRPr="0012780D" w:rsidRDefault="001C37C9" w:rsidP="00324220">
      <w:r w:rsidRPr="0012780D">
        <w:t>Závěrem shrnu nejdůležitější výsledky, které kvantitativní šetření, týkající se problematiky ex-partnerského pronásledování, přines</w:t>
      </w:r>
      <w:r w:rsidR="00644DAA">
        <w:t>lo. Výzkumný vzorek tvořilo 104 </w:t>
      </w:r>
      <w:r w:rsidRPr="0012780D">
        <w:t xml:space="preserve">sociálních pracovníků a pracovníků v sociálních službách Jihomoravského kraje. </w:t>
      </w:r>
    </w:p>
    <w:p w:rsidR="00324220" w:rsidRDefault="001C37C9" w:rsidP="00324220">
      <w:r w:rsidRPr="0012780D">
        <w:t xml:space="preserve"> Předně bylo zjištěno, že míra informovanosti o ex-</w:t>
      </w:r>
      <w:r w:rsidR="00644DAA">
        <w:t>partnerském pronásledování je u </w:t>
      </w:r>
      <w:r w:rsidRPr="0012780D">
        <w:t xml:space="preserve">většiny sociálních pracovníků a pracovníků v sociálních službách (61,5%) v rámci Jihomoravského kraje prezentována střední úrovní informovanosti; 13,5% respondentů výzkumného vzorku dosáhlo nízké úrovně informovanosti a 25,0% respondentů potvrdila vysokou míru informovanosti. Na základě těchto výsledků </w:t>
      </w:r>
      <w:r w:rsidR="00644DAA">
        <w:t>se potvrdila první hypotéza, že </w:t>
      </w:r>
      <w:r w:rsidRPr="0012780D">
        <w:t xml:space="preserve">„u většiny respondentů bude zjištěna střední úroveň informovanosti o ex-partnerském stalkingu,“ jako pravdivá. </w:t>
      </w:r>
    </w:p>
    <w:p w:rsidR="001C37C9" w:rsidRPr="0012780D" w:rsidRDefault="00324220" w:rsidP="00324220">
      <w:r w:rsidRPr="0012780D">
        <w:t>Z pohledu jednotlivých odpovědí v dotazníku bylo zjištěno, že pouze patnáct respondentů z výzkumného vzorku uvedlo autora, který se problematikou ex-partnerského pronásledování zabývá, přičemž většina respondentů (61,</w:t>
      </w:r>
      <w:r w:rsidR="00644DAA">
        <w:t>5%) dokázala správně uvést, kdy </w:t>
      </w:r>
      <w:r w:rsidRPr="0012780D">
        <w:t xml:space="preserve">vstoupila v platnost v České republice právní norma o nebezpečném pronásledování, 93,2% respondentů správně definovalo, co znamená ex-partnerský stalking, 94,2% respondentů uvedlo správně alespoň jednu z technik ex-partnerského pronásledovatele. Dále pak většina respondentů, tedy 58,6% výzkumného </w:t>
      </w:r>
      <w:r w:rsidR="00644DAA">
        <w:t>vzorku, dokázala zmínit alespoň </w:t>
      </w:r>
      <w:r w:rsidRPr="0012780D">
        <w:t xml:space="preserve">jeden sociální důsledek, také alespoň jednu organizaci, která se </w:t>
      </w:r>
      <w:proofErr w:type="gramStart"/>
      <w:r w:rsidRPr="0012780D">
        <w:t>zabývá</w:t>
      </w:r>
      <w:proofErr w:type="gramEnd"/>
      <w:r w:rsidRPr="0012780D">
        <w:t xml:space="preserve"> pomocí obětem ex-partnerského pronásledování správně </w:t>
      </w:r>
      <w:proofErr w:type="gramStart"/>
      <w:r w:rsidRPr="0012780D">
        <w:t>uvedlo</w:t>
      </w:r>
      <w:proofErr w:type="gramEnd"/>
      <w:r w:rsidRPr="0012780D">
        <w:t xml:space="preserve"> 66,3% respondentů a 64,4% výzkumného vzorku správně odpovědělo, že nejhorším pocitem pro oběť ex-partnerského stalkingu je pocit nejistoty, kdy oběť netuší, co se zase bude dít.</w:t>
      </w:r>
      <w:r>
        <w:t xml:space="preserve"> </w:t>
      </w:r>
      <w:r w:rsidRPr="00582C92">
        <w:t xml:space="preserve"> </w:t>
      </w:r>
    </w:p>
    <w:p w:rsidR="001C37C9" w:rsidRPr="0012780D" w:rsidRDefault="001C37C9" w:rsidP="001C37C9">
      <w:r w:rsidRPr="0012780D">
        <w:t>Většina sociálních pracovníků a pracovníků v sociálních službách (84,8%) z výzkumného vzorku považuje ex-partnerské pronásledování za problém, kterým by se sociální práce měla více zabývat. S tímto tvrzením spíše nesouhlasilo, nebo vůbec nesouhlasilo, pouze 7,8% respondentů. Přičemž 7,4% respondentů nedokázalo danou skutečnost posoudit. Druhá hypotéza, že „většina respondentů se domnívá, že by se sociální práce měla problematikou ex-partnerského stalkin</w:t>
      </w:r>
      <w:r w:rsidR="00644DAA">
        <w:t>gu více zabývat“, byla tedy, na </w:t>
      </w:r>
      <w:r w:rsidRPr="0012780D">
        <w:t>základě zjištěných výsledků, potvrzena jako pravdivá.</w:t>
      </w:r>
      <w:r w:rsidRPr="0012780D">
        <w:rPr>
          <w:b/>
        </w:rPr>
        <w:t xml:space="preserve"> </w:t>
      </w:r>
      <w:r w:rsidRPr="0012780D">
        <w:t>S tímto tvrzením spíše souhlasila, anebo zcela souhlasila i většina respondentů, přesně 89</w:t>
      </w:r>
      <w:r w:rsidR="00644DAA">
        <w:t>,2% výzkumného vzorku, jež se s </w:t>
      </w:r>
      <w:r w:rsidRPr="0012780D">
        <w:t xml:space="preserve">problematikou ex-partnerského pronásledování ještě nikdy nesetkala. V řadě třetí </w:t>
      </w:r>
      <w:r w:rsidRPr="0012780D">
        <w:lastRenderedPageBreak/>
        <w:t>hypotézu a tudíž i poslední</w:t>
      </w:r>
      <w:r w:rsidRPr="0012780D">
        <w:rPr>
          <w:b/>
        </w:rPr>
        <w:t xml:space="preserve">, </w:t>
      </w:r>
      <w:r w:rsidRPr="0012780D">
        <w:t>že „většina respondentů, jež se s jevem ex-partnerského stalkingu setkala osobně, bude určitě souhlasit, nebo spíše souhlasit s tvrzením, že by se problematikou ex-partnerského stalkingu měla so</w:t>
      </w:r>
      <w:r w:rsidR="00644DAA">
        <w:t>ciální práce více zabývat, a že </w:t>
      </w:r>
      <w:r w:rsidRPr="0012780D">
        <w:t>respondenti, jež se s jevem ex-partnerského stalkingu nikdy nesetkali, budou s tímto tvrzením určitě nesouhlasit, nebo spíše nesouhlasit“, bylo nutné vyvrátit jako nepravdivou.</w:t>
      </w:r>
    </w:p>
    <w:p w:rsidR="001C37C9" w:rsidRPr="005B7736" w:rsidRDefault="001C37C9" w:rsidP="001C37C9"/>
    <w:p w:rsidR="001C37C9" w:rsidRDefault="001C37C9" w:rsidP="001C37C9"/>
    <w:p w:rsidR="001C37C9" w:rsidRPr="004B19BB" w:rsidRDefault="001C37C9" w:rsidP="001C37C9">
      <w:pPr>
        <w:pStyle w:val="Nadpis1"/>
        <w:numPr>
          <w:ilvl w:val="0"/>
          <w:numId w:val="0"/>
        </w:numPr>
      </w:pPr>
      <w:bookmarkStart w:id="55" w:name="_Toc291021959"/>
      <w:bookmarkStart w:id="56" w:name="_Toc292200485"/>
      <w:bookmarkStart w:id="57" w:name="_Toc383408628"/>
      <w:r w:rsidRPr="004B19BB">
        <w:lastRenderedPageBreak/>
        <w:t>Souhrn</w:t>
      </w:r>
      <w:bookmarkEnd w:id="55"/>
      <w:bookmarkEnd w:id="56"/>
      <w:bookmarkEnd w:id="57"/>
    </w:p>
    <w:p w:rsidR="001C37C9" w:rsidRPr="004B19BB" w:rsidRDefault="001C37C9" w:rsidP="001C37C9">
      <w:r w:rsidRPr="004B19BB">
        <w:t>Tato bakalářská práce se vztahuje k problematice „ex-partnerského stalkingu“. Tento typ nebezpečného pronásledování je mezi odborníky považován za nejrozšířenějš</w:t>
      </w:r>
      <w:r w:rsidR="00644DAA">
        <w:t>í a </w:t>
      </w:r>
      <w:r w:rsidRPr="004B19BB">
        <w:t xml:space="preserve">v současné době je velká pozornost soustředěna právě na něj (Čírtková, 2004, s. 234). Ex-partnerské pronásledování je navíc ve většině případů úzce spjato s domácím násilím, kterému sociální práce věnuje již dlouhé roky pozornost. </w:t>
      </w:r>
    </w:p>
    <w:p w:rsidR="001C37C9" w:rsidRPr="004B19BB" w:rsidRDefault="001C37C9" w:rsidP="001C37C9">
      <w:r w:rsidRPr="004B19BB">
        <w:t>Největší pozornost ex-partnerskému pronásledování věnuje v České republice občanské sdružení Bílý kruh bezpečí. To každoročně zařazuje do svého vzdělávacího programu i výcvikový kurz, jehož cílem je zvýšení komp</w:t>
      </w:r>
      <w:r w:rsidR="00644DAA">
        <w:t>etencí krizových interventů při </w:t>
      </w:r>
      <w:r w:rsidRPr="004B19BB">
        <w:t xml:space="preserve">pomoci obětem nebezpečného pronásledování (Výroční zpráva BKB, 2009). </w:t>
      </w:r>
      <w:r w:rsidR="00644DAA">
        <w:br/>
      </w:r>
      <w:r w:rsidRPr="004B19BB">
        <w:t>Ex-partnerský stalking se pozvolna stává jevem, který se začíná dotýkat i pomáhajících profesí. Zajímalo mě tedy, jaká je v České republice v soci</w:t>
      </w:r>
      <w:r w:rsidR="00644DAA">
        <w:t>álních službách informovanost o </w:t>
      </w:r>
      <w:r w:rsidRPr="004B19BB">
        <w:t>daném jevu a jaký je názor sociálních pracovníků a prac</w:t>
      </w:r>
      <w:r w:rsidR="00644DAA">
        <w:t>ovníků v sociálních službách na </w:t>
      </w:r>
      <w:r w:rsidRPr="004B19BB">
        <w:t>danou problematiku.</w:t>
      </w:r>
    </w:p>
    <w:p w:rsidR="001C37C9" w:rsidRPr="004B19BB" w:rsidRDefault="001C37C9" w:rsidP="001C37C9">
      <w:r w:rsidRPr="004B19BB">
        <w:t xml:space="preserve">Bakalářská práce je rozdělena do dvou celků, </w:t>
      </w:r>
      <w:r w:rsidRPr="004B19BB">
        <w:rPr>
          <w:szCs w:val="20"/>
        </w:rPr>
        <w:t>teoretického a praktického.</w:t>
      </w:r>
      <w:r w:rsidRPr="004B19BB">
        <w:t xml:space="preserve"> Teoretická část je tvořena metodou odborné kompilace, která přináší přehledné informace od našich i zahraničních autorů. Dovoluji si podotknout, že nešlo o práci nikterak jednoduchou, neb dané téma ex-partnerského stalkingu se zatím netěší v domácí odborné literatuře příliš velké pozornosti. Při tvorbě bakalářské práce jsem tudíž musela využívat zejména zahraničních literárních zdrojů. Teoretická část nabí</w:t>
      </w:r>
      <w:r w:rsidR="00644DAA">
        <w:t>zí historický přehled postojů a </w:t>
      </w:r>
      <w:r w:rsidRPr="004B19BB">
        <w:t>společenského vnímání, první antistalkingové právní předpisy a současný sociálně právní postoj k této problematice jako kriminálnímu jevu. D</w:t>
      </w:r>
      <w:r w:rsidR="00644DAA">
        <w:t xml:space="preserve">ále představuje dvě nejznámější </w:t>
      </w:r>
      <w:r w:rsidRPr="004B19BB">
        <w:t xml:space="preserve">typologie stalkerů. Odhaluje zásadní rysy, možné predikátory a případné techniky </w:t>
      </w:r>
      <w:r w:rsidR="00644DAA">
        <w:br/>
      </w:r>
      <w:r w:rsidRPr="004B19BB">
        <w:t>ex-partnerského stalkingu. Seznamuje čtenáře s hla</w:t>
      </w:r>
      <w:r w:rsidR="00644DAA">
        <w:t>vními charakteristikami oběti i </w:t>
      </w:r>
      <w:r w:rsidRPr="004B19BB">
        <w:t xml:space="preserve">pachatele, důsledky ex-partnerského pronásledování, dále pojednává o možnostech krizové pomoci, o sociální práci s obětí a alternativních formách práce s pachatelem trestného činu pronásledování. </w:t>
      </w:r>
    </w:p>
    <w:p w:rsidR="001C37C9" w:rsidRPr="004B19BB" w:rsidRDefault="001C37C9" w:rsidP="001C37C9">
      <w:r w:rsidRPr="004B19BB">
        <w:t>Druhou částí bakalářské práce je praktická část, která pojednává o kvantitativním výzkumu. Cílem empirického výzkumu bylo zjistit, jaká je ve vybraných sociálních službách informovanost sociálních pracovníků a prac</w:t>
      </w:r>
      <w:r w:rsidR="00644DAA">
        <w:t>ovníků v sociálních službách, o </w:t>
      </w:r>
      <w:r w:rsidRPr="004B19BB">
        <w:t xml:space="preserve">problematice ex-partnerského stalkingu. Jednalo se o respondenty ze sociálních služeb </w:t>
      </w:r>
      <w:r w:rsidRPr="004B19BB">
        <w:lastRenderedPageBreak/>
        <w:t xml:space="preserve">Jihomoravského kraje, v jejichž zařízeních je možné předpokládat zvýšenou pravděpodobnost výskytu jevu ex-partnerského pronásledování. K získání empirických dat jsem využila techniku kvantitativního dotazníku. Správně vyplněný dotazník jsem obdržela od 104 respondentů. Výzkumný vzorek tvořilo 14 mužů a 90 žen. </w:t>
      </w:r>
    </w:p>
    <w:p w:rsidR="001C37C9" w:rsidRPr="004B19BB" w:rsidRDefault="001C37C9" w:rsidP="001C37C9">
      <w:r w:rsidRPr="004B19BB">
        <w:t xml:space="preserve">Na základě výzkumného šetření bylo zjištěno, že míra informovanosti </w:t>
      </w:r>
      <w:r w:rsidR="00644DAA">
        <w:br/>
      </w:r>
      <w:r w:rsidRPr="004B19BB">
        <w:t xml:space="preserve">o ex-partnerském pronásledování je u většiny sociálních pracovníků a pracovníků v sociálních službách (61,5%) v rámci Jihomoravského kraje prezentována střední úrovní informovanosti. Dále bylo zjištěno, že většina respondentů, tedy 84,8% výzkumného vzorku, považuje ex-partnerské pronásledování za problém, kterým by se sociální práce měla více zabývat. S tímto tvrzením dokonce souhlasila i většina respondentů, přesně 89,2% z výzkumného vzorku, jež uvedla, že se s problematikou ex-partnerského pronásledování ještě nikdy nesetkala. </w:t>
      </w:r>
    </w:p>
    <w:p w:rsidR="00324220" w:rsidRPr="004B19BB" w:rsidRDefault="001C37C9" w:rsidP="00D96093">
      <w:r w:rsidRPr="004B19BB">
        <w:t>Na výzkumnou otázku: „Uveďte alespoň jednoho autora nebo publikaci, která se problematikou ex-partnerského stalkingu zabýv</w:t>
      </w:r>
      <w:r w:rsidR="00644DAA">
        <w:t>á,“ dokázalo dopovědět pouze 15 </w:t>
      </w:r>
      <w:r w:rsidRPr="004B19BB">
        <w:t xml:space="preserve">respondentů výzkumného vzorku. </w:t>
      </w:r>
      <w:r w:rsidRPr="004B19BB">
        <w:rPr>
          <w:szCs w:val="20"/>
        </w:rPr>
        <w:t>Troufám si podotknout, že tím byla potvrzena skutečnost o tom, že neexistuje prakticky žádná odborná literatura, určená sociálním pracovníkům, jež by se danou problematikou a odbornou intervencí zabývala. I navzdory tomu, že většina respondentů (61,5%) výzkumného vzorku dosáhla střední úrovně informovanosti anebo úrovně vysoké (25,0%), však vě</w:t>
      </w:r>
      <w:r w:rsidR="00644DAA">
        <w:rPr>
          <w:szCs w:val="20"/>
        </w:rPr>
        <w:t>tšina respondentů, přesně 59,7% </w:t>
      </w:r>
      <w:r w:rsidRPr="004B19BB">
        <w:rPr>
          <w:szCs w:val="20"/>
        </w:rPr>
        <w:t xml:space="preserve">výzkumného vzorku, nedokázala vůbec uvést, co může být hlavní předzvěstí </w:t>
      </w:r>
      <w:r w:rsidR="00644DAA">
        <w:rPr>
          <w:szCs w:val="20"/>
        </w:rPr>
        <w:br/>
      </w:r>
      <w:r w:rsidRPr="004B19BB">
        <w:rPr>
          <w:szCs w:val="20"/>
        </w:rPr>
        <w:t xml:space="preserve">ex-partnerského pronásledování. </w:t>
      </w:r>
      <w:r w:rsidRPr="004B19BB">
        <w:t>Avšak řada</w:t>
      </w:r>
      <w:r w:rsidR="00644DAA">
        <w:t xml:space="preserve"> výzkumů přichází se zjištěním,</w:t>
      </w:r>
      <w:r w:rsidR="00644DAA">
        <w:br/>
      </w:r>
      <w:r w:rsidRPr="004B19BB">
        <w:t>že ex-partnerský stalking je povětšinou úzce spjat právě s domácím násilím (</w:t>
      </w:r>
      <w:proofErr w:type="spellStart"/>
      <w:r w:rsidRPr="004B19BB">
        <w:t>Campbell</w:t>
      </w:r>
      <w:proofErr w:type="spellEnd"/>
      <w:r w:rsidRPr="004B19BB">
        <w:t>, 2003, s. 1091-</w:t>
      </w:r>
      <w:proofErr w:type="gramStart"/>
      <w:r w:rsidRPr="004B19BB">
        <w:t>1092) (</w:t>
      </w:r>
      <w:proofErr w:type="spellStart"/>
      <w:r w:rsidRPr="004B19BB">
        <w:t>Sheridan</w:t>
      </w:r>
      <w:proofErr w:type="spellEnd"/>
      <w:proofErr w:type="gramEnd"/>
      <w:r w:rsidRPr="004B19BB">
        <w:t>, 2</w:t>
      </w:r>
      <w:r w:rsidR="004D2983">
        <w:t>003, s. 154). Ve výzkumu, který</w:t>
      </w:r>
      <w:r w:rsidRPr="004B19BB">
        <w:t xml:space="preserve"> jsem realizovala, uvedlo však možnost „domácího násilí“ pouze 7 respondentů.</w:t>
      </w:r>
    </w:p>
    <w:p w:rsidR="0075322C" w:rsidRPr="007C67AA" w:rsidRDefault="001C37C9" w:rsidP="007C67AA">
      <w:pPr>
        <w:rPr>
          <w:szCs w:val="20"/>
        </w:rPr>
      </w:pPr>
      <w:r w:rsidRPr="004B19BB">
        <w:rPr>
          <w:szCs w:val="20"/>
        </w:rPr>
        <w:t>Osobně považuji toto zjištění za velmi důležité. Lépe informovaný sociální pracovník dokáže dříve identifikovat daný problém a zahájit i účinnou pomoc. Navíc zvyšování úrovně informovanosti odborné, ale i široké veřejnosti, je jedna z nejúčinnějších forem prevence vzniku ex-partnerského pronásledování. Snad ode mne nebude příliš troufalé konstatovat, že tato bakalářské práce by mohla být za jistých okolností užitečná nejen pro sociální práci, ale i pro samotné oběti ex-partnerského pronásledování.</w:t>
      </w:r>
      <w:r w:rsidRPr="002B6537">
        <w:rPr>
          <w:szCs w:val="20"/>
        </w:rPr>
        <w:t xml:space="preserve"> </w:t>
      </w:r>
    </w:p>
    <w:p w:rsidR="003D2316" w:rsidRDefault="00AE28B2" w:rsidP="003D2316">
      <w:pPr>
        <w:pStyle w:val="Nadpis1"/>
        <w:numPr>
          <w:ilvl w:val="0"/>
          <w:numId w:val="0"/>
        </w:numPr>
      </w:pPr>
      <w:bookmarkStart w:id="58" w:name="_Toc291021960"/>
      <w:bookmarkStart w:id="59" w:name="_Toc292200486"/>
      <w:bookmarkStart w:id="60" w:name="_Toc383408629"/>
      <w:r w:rsidRPr="003E22EE">
        <w:lastRenderedPageBreak/>
        <w:t>Seznam literatur</w:t>
      </w:r>
      <w:bookmarkEnd w:id="58"/>
      <w:r w:rsidR="003D2316">
        <w:t>y</w:t>
      </w:r>
      <w:bookmarkEnd w:id="59"/>
      <w:bookmarkEnd w:id="60"/>
    </w:p>
    <w:p w:rsidR="00F10F4C" w:rsidRPr="00611C08" w:rsidRDefault="00F10F4C" w:rsidP="00611C08">
      <w:pPr>
        <w:spacing w:before="240" w:after="240"/>
        <w:ind w:firstLine="0"/>
        <w:rPr>
          <w:b/>
          <w:sz w:val="28"/>
          <w:szCs w:val="28"/>
        </w:rPr>
      </w:pPr>
      <w:r w:rsidRPr="00611C08">
        <w:rPr>
          <w:b/>
          <w:sz w:val="28"/>
          <w:szCs w:val="28"/>
        </w:rPr>
        <w:t>Knihy</w:t>
      </w:r>
    </w:p>
    <w:p w:rsidR="00BB146C" w:rsidRPr="001721CA" w:rsidRDefault="00BB146C" w:rsidP="00611C08">
      <w:pPr>
        <w:pStyle w:val="BC"/>
        <w:spacing w:before="240" w:after="240"/>
        <w:ind w:firstLine="0"/>
      </w:pPr>
      <w:proofErr w:type="spellStart"/>
      <w:r w:rsidRPr="001721CA">
        <w:t>Baum</w:t>
      </w:r>
      <w:proofErr w:type="spellEnd"/>
      <w:r w:rsidRPr="001721CA">
        <w:t xml:space="preserve">, K., </w:t>
      </w:r>
      <w:proofErr w:type="spellStart"/>
      <w:r w:rsidRPr="001721CA">
        <w:t>Catalano</w:t>
      </w:r>
      <w:proofErr w:type="spellEnd"/>
      <w:r w:rsidRPr="001721CA">
        <w:t>, S., Rand, M. (2009).</w:t>
      </w:r>
      <w:r w:rsidRPr="001721CA">
        <w:rPr>
          <w:i/>
        </w:rPr>
        <w:t xml:space="preserve"> Stalking </w:t>
      </w:r>
      <w:proofErr w:type="spellStart"/>
      <w:r w:rsidRPr="001721CA">
        <w:rPr>
          <w:i/>
        </w:rPr>
        <w:t>Victimization</w:t>
      </w:r>
      <w:proofErr w:type="spellEnd"/>
      <w:r w:rsidRPr="001721CA">
        <w:rPr>
          <w:i/>
        </w:rPr>
        <w:t xml:space="preserve"> in </w:t>
      </w:r>
      <w:proofErr w:type="spellStart"/>
      <w:r w:rsidRPr="001721CA">
        <w:rPr>
          <w:i/>
        </w:rPr>
        <w:t>the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United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States</w:t>
      </w:r>
      <w:proofErr w:type="spellEnd"/>
      <w:r w:rsidRPr="001721CA">
        <w:t xml:space="preserve">. Washington, DC:  </w:t>
      </w:r>
      <w:proofErr w:type="gramStart"/>
      <w:r w:rsidRPr="001721CA">
        <w:t>U.S.</w:t>
      </w:r>
      <w:proofErr w:type="gramEnd"/>
      <w:r w:rsidRPr="001721CA">
        <w:t xml:space="preserve"> Department </w:t>
      </w:r>
      <w:proofErr w:type="spellStart"/>
      <w:r w:rsidRPr="001721CA">
        <w:t>of</w:t>
      </w:r>
      <w:proofErr w:type="spellEnd"/>
      <w:r w:rsidRPr="001721CA">
        <w:t xml:space="preserve"> Justice. </w:t>
      </w:r>
    </w:p>
    <w:p w:rsidR="001721CA" w:rsidRPr="001721CA" w:rsidRDefault="001721CA" w:rsidP="00BB146C">
      <w:pPr>
        <w:pStyle w:val="BC"/>
        <w:spacing w:after="240"/>
        <w:ind w:firstLine="0"/>
      </w:pPr>
      <w:proofErr w:type="spellStart"/>
      <w:r w:rsidRPr="001721CA">
        <w:t>B</w:t>
      </w:r>
      <w:r w:rsidR="00BB146C">
        <w:t>uskotte</w:t>
      </w:r>
      <w:proofErr w:type="spellEnd"/>
      <w:r w:rsidR="00BB146C">
        <w:t>,</w:t>
      </w:r>
      <w:r w:rsidRPr="001721CA">
        <w:t xml:space="preserve"> A. </w:t>
      </w:r>
      <w:r w:rsidR="00BB146C">
        <w:t>(</w:t>
      </w:r>
      <w:r w:rsidRPr="001721CA">
        <w:t>2008</w:t>
      </w:r>
      <w:r w:rsidR="00BB146C">
        <w:t>)</w:t>
      </w:r>
      <w:r w:rsidRPr="001721CA">
        <w:t xml:space="preserve">. </w:t>
      </w:r>
      <w:r w:rsidRPr="001721CA">
        <w:rPr>
          <w:i/>
        </w:rPr>
        <w:t>Z pekla ven. Žena v domácím násilí.</w:t>
      </w:r>
      <w:r w:rsidRPr="001721CA">
        <w:t xml:space="preserve"> Brno: </w:t>
      </w:r>
      <w:proofErr w:type="spellStart"/>
      <w:r w:rsidRPr="001721CA">
        <w:t>Computer</w:t>
      </w:r>
      <w:proofErr w:type="spellEnd"/>
      <w:r w:rsidRPr="001721CA">
        <w:t xml:space="preserve"> </w:t>
      </w:r>
      <w:proofErr w:type="spellStart"/>
      <w:r w:rsidRPr="001721CA">
        <w:t>press</w:t>
      </w:r>
      <w:proofErr w:type="spellEnd"/>
      <w:r w:rsidRPr="001721CA">
        <w:t xml:space="preserve"> a. s.</w:t>
      </w:r>
    </w:p>
    <w:p w:rsidR="001721CA" w:rsidRPr="001721CA" w:rsidRDefault="00BB146C" w:rsidP="00BB146C">
      <w:pPr>
        <w:pStyle w:val="BC"/>
        <w:spacing w:after="240"/>
        <w:ind w:firstLine="0"/>
      </w:pPr>
      <w:proofErr w:type="spellStart"/>
      <w:r>
        <w:t>Coon</w:t>
      </w:r>
      <w:proofErr w:type="spellEnd"/>
      <w:r>
        <w:t>,</w:t>
      </w:r>
      <w:r w:rsidR="001721CA" w:rsidRPr="001721CA">
        <w:t xml:space="preserve"> D. T. </w:t>
      </w:r>
      <w:r>
        <w:t>(</w:t>
      </w:r>
      <w:r w:rsidR="001721CA" w:rsidRPr="001721CA">
        <w:t>2007</w:t>
      </w:r>
      <w:r>
        <w:t>)</w:t>
      </w:r>
      <w:r w:rsidR="001721CA" w:rsidRPr="001721CA">
        <w:t xml:space="preserve">. </w:t>
      </w:r>
      <w:proofErr w:type="spellStart"/>
      <w:r w:rsidR="001721CA" w:rsidRPr="00BB146C">
        <w:rPr>
          <w:i/>
        </w:rPr>
        <w:t>Motivational</w:t>
      </w:r>
      <w:proofErr w:type="spellEnd"/>
      <w:r w:rsidR="001721CA" w:rsidRPr="00BB146C">
        <w:rPr>
          <w:i/>
        </w:rPr>
        <w:t xml:space="preserve">, </w:t>
      </w:r>
      <w:proofErr w:type="spellStart"/>
      <w:r w:rsidR="001721CA" w:rsidRPr="00BB146C">
        <w:rPr>
          <w:i/>
        </w:rPr>
        <w:t>Demographic</w:t>
      </w:r>
      <w:proofErr w:type="spellEnd"/>
      <w:r w:rsidR="001721CA" w:rsidRPr="00BB146C">
        <w:rPr>
          <w:i/>
        </w:rPr>
        <w:t xml:space="preserve">, </w:t>
      </w:r>
      <w:proofErr w:type="spellStart"/>
      <w:r w:rsidR="001721CA" w:rsidRPr="00BB146C">
        <w:rPr>
          <w:i/>
        </w:rPr>
        <w:t>and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Other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Descriptive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Differences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Among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Assaultive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and</w:t>
      </w:r>
      <w:proofErr w:type="spellEnd"/>
      <w:r w:rsidR="001721CA" w:rsidRPr="00BB146C">
        <w:rPr>
          <w:i/>
        </w:rPr>
        <w:t xml:space="preserve"> Non-</w:t>
      </w:r>
      <w:proofErr w:type="spellStart"/>
      <w:r w:rsidR="001721CA" w:rsidRPr="00BB146C">
        <w:rPr>
          <w:i/>
        </w:rPr>
        <w:t>Assaultive</w:t>
      </w:r>
      <w:proofErr w:type="spellEnd"/>
      <w:r w:rsidR="001721CA" w:rsidRPr="00BB146C">
        <w:rPr>
          <w:i/>
        </w:rPr>
        <w:t xml:space="preserve"> </w:t>
      </w:r>
      <w:proofErr w:type="spellStart"/>
      <w:r w:rsidR="001721CA" w:rsidRPr="00BB146C">
        <w:rPr>
          <w:i/>
        </w:rPr>
        <w:t>Stalkers</w:t>
      </w:r>
      <w:proofErr w:type="spellEnd"/>
      <w:r w:rsidR="001721CA" w:rsidRPr="001721CA">
        <w:t xml:space="preserve">. Cincinnati: Union Institute &amp;University.  </w:t>
      </w:r>
    </w:p>
    <w:p w:rsidR="001721CA" w:rsidRPr="001721CA" w:rsidRDefault="001721CA" w:rsidP="00BB146C">
      <w:pPr>
        <w:pStyle w:val="BC"/>
        <w:spacing w:after="240"/>
        <w:ind w:firstLine="0"/>
      </w:pPr>
      <w:r w:rsidRPr="001721CA">
        <w:t>Č</w:t>
      </w:r>
      <w:r w:rsidR="00BB146C">
        <w:t xml:space="preserve">írtková, </w:t>
      </w:r>
      <w:r w:rsidRPr="001721CA">
        <w:t xml:space="preserve">L. </w:t>
      </w:r>
      <w:r w:rsidR="00BB146C">
        <w:t>(</w:t>
      </w:r>
      <w:r w:rsidRPr="001721CA">
        <w:t>2004</w:t>
      </w:r>
      <w:r w:rsidR="00BB146C">
        <w:t>)</w:t>
      </w:r>
      <w:r w:rsidRPr="001721CA">
        <w:t xml:space="preserve">. </w:t>
      </w:r>
      <w:r w:rsidRPr="001721CA">
        <w:rPr>
          <w:i/>
        </w:rPr>
        <w:t>Fore</w:t>
      </w:r>
      <w:r w:rsidR="00723C61">
        <w:rPr>
          <w:i/>
        </w:rPr>
        <w:t>n</w:t>
      </w:r>
      <w:r w:rsidRPr="001721CA">
        <w:rPr>
          <w:i/>
        </w:rPr>
        <w:t>zní psychologie</w:t>
      </w:r>
      <w:r w:rsidRPr="001721CA">
        <w:t>. Praha: Aleš Čeněk.</w:t>
      </w:r>
    </w:p>
    <w:p w:rsidR="001721CA" w:rsidRPr="001721CA" w:rsidRDefault="00BB146C" w:rsidP="00BB146C">
      <w:pPr>
        <w:pStyle w:val="BC"/>
        <w:spacing w:after="240"/>
        <w:ind w:firstLine="0"/>
      </w:pPr>
      <w:r w:rsidRPr="00BB146C">
        <w:t xml:space="preserve">Čírtková, L. </w:t>
      </w:r>
      <w:r>
        <w:t>(</w:t>
      </w:r>
      <w:r w:rsidR="001721CA" w:rsidRPr="001721CA">
        <w:t>2006</w:t>
      </w:r>
      <w:r>
        <w:t>)</w:t>
      </w:r>
      <w:r w:rsidR="001721CA" w:rsidRPr="001721CA">
        <w:t xml:space="preserve">. </w:t>
      </w:r>
      <w:r w:rsidR="001721CA" w:rsidRPr="001721CA">
        <w:rPr>
          <w:i/>
        </w:rPr>
        <w:t>Policejní psychologie</w:t>
      </w:r>
      <w:r w:rsidR="001721CA" w:rsidRPr="001721CA">
        <w:t>. Praha: Aleš Čeněk.</w:t>
      </w:r>
    </w:p>
    <w:p w:rsidR="001721CA" w:rsidRPr="001721CA" w:rsidRDefault="00BB146C" w:rsidP="00BB146C">
      <w:pPr>
        <w:pStyle w:val="BC"/>
        <w:spacing w:after="240"/>
        <w:ind w:firstLine="0"/>
      </w:pPr>
      <w:r w:rsidRPr="00BB146C">
        <w:t xml:space="preserve">Čírtková, L. </w:t>
      </w:r>
      <w:r>
        <w:t>(</w:t>
      </w:r>
      <w:r w:rsidR="001721CA" w:rsidRPr="001721CA">
        <w:t>2008</w:t>
      </w:r>
      <w:r>
        <w:t>)</w:t>
      </w:r>
      <w:r w:rsidR="001721CA" w:rsidRPr="001721CA">
        <w:t xml:space="preserve">. </w:t>
      </w:r>
      <w:r w:rsidR="001721CA" w:rsidRPr="001721CA">
        <w:rPr>
          <w:i/>
        </w:rPr>
        <w:t>Moderní psychologie pro právníky</w:t>
      </w:r>
      <w:r w:rsidR="001721CA" w:rsidRPr="001721CA">
        <w:t xml:space="preserve">. Praha: </w:t>
      </w:r>
      <w:proofErr w:type="spellStart"/>
      <w:r w:rsidR="001721CA" w:rsidRPr="001721CA">
        <w:t>Grada</w:t>
      </w:r>
      <w:proofErr w:type="spellEnd"/>
      <w:r w:rsidR="001721CA" w:rsidRPr="001721CA">
        <w:t xml:space="preserve">. </w:t>
      </w:r>
    </w:p>
    <w:p w:rsidR="001721CA" w:rsidRPr="001721CA" w:rsidRDefault="00BB146C" w:rsidP="00BB146C">
      <w:pPr>
        <w:pStyle w:val="BC"/>
        <w:spacing w:after="240"/>
        <w:ind w:firstLine="0"/>
      </w:pPr>
      <w:r w:rsidRPr="00BB146C">
        <w:t>Čírtková, L.</w:t>
      </w:r>
      <w:r>
        <w:t>,</w:t>
      </w:r>
      <w:r w:rsidRPr="00BB146C">
        <w:t xml:space="preserve"> </w:t>
      </w:r>
      <w:r w:rsidR="001721CA" w:rsidRPr="001721CA">
        <w:t>V</w:t>
      </w:r>
      <w:r>
        <w:t xml:space="preserve">itoušová, </w:t>
      </w:r>
      <w:r w:rsidR="001721CA" w:rsidRPr="001721CA">
        <w:t xml:space="preserve">P. </w:t>
      </w:r>
      <w:r>
        <w:t>(</w:t>
      </w:r>
      <w:r w:rsidR="001721CA" w:rsidRPr="001721CA">
        <w:t>2007</w:t>
      </w:r>
      <w:r>
        <w:t>)</w:t>
      </w:r>
      <w:r w:rsidR="001721CA" w:rsidRPr="001721CA">
        <w:t xml:space="preserve">. </w:t>
      </w:r>
      <w:r w:rsidR="001721CA" w:rsidRPr="001721CA">
        <w:rPr>
          <w:i/>
          <w:iCs/>
        </w:rPr>
        <w:t>Pomoc obětem a svědkům trestných činů</w:t>
      </w:r>
      <w:r w:rsidR="001721CA" w:rsidRPr="001721CA">
        <w:t xml:space="preserve">. Praha: </w:t>
      </w:r>
      <w:proofErr w:type="spellStart"/>
      <w:r w:rsidR="001721CA" w:rsidRPr="001721CA">
        <w:t>Grada</w:t>
      </w:r>
      <w:proofErr w:type="spellEnd"/>
      <w:r w:rsidR="001721CA" w:rsidRPr="001721CA">
        <w:t>.</w:t>
      </w:r>
    </w:p>
    <w:p w:rsidR="00BB146C" w:rsidRPr="0073134D" w:rsidRDefault="00BB146C" w:rsidP="00BB146C">
      <w:pPr>
        <w:pStyle w:val="BC"/>
        <w:spacing w:after="240"/>
        <w:ind w:firstLine="0"/>
        <w:rPr>
          <w:bCs/>
        </w:rPr>
      </w:pPr>
      <w:proofErr w:type="spellStart"/>
      <w:r w:rsidRPr="0073134D">
        <w:rPr>
          <w:bCs/>
        </w:rPr>
        <w:t>Disman</w:t>
      </w:r>
      <w:proofErr w:type="spellEnd"/>
      <w:r w:rsidRPr="0073134D">
        <w:rPr>
          <w:bCs/>
        </w:rPr>
        <w:t>, M. (2008)</w:t>
      </w:r>
      <w:r>
        <w:rPr>
          <w:bCs/>
        </w:rPr>
        <w:t>.</w:t>
      </w:r>
      <w:r w:rsidRPr="0073134D">
        <w:rPr>
          <w:bCs/>
        </w:rPr>
        <w:t xml:space="preserve"> </w:t>
      </w:r>
      <w:r w:rsidRPr="0073134D">
        <w:rPr>
          <w:bCs/>
          <w:i/>
          <w:iCs/>
        </w:rPr>
        <w:t>Jak se vyrábí sociologická znalost: příručka pro uživatele</w:t>
      </w:r>
      <w:r>
        <w:rPr>
          <w:bCs/>
        </w:rPr>
        <w:t>.</w:t>
      </w:r>
      <w:r w:rsidRPr="0073134D">
        <w:rPr>
          <w:bCs/>
        </w:rPr>
        <w:t xml:space="preserve"> Praha: Karolinum.</w:t>
      </w:r>
    </w:p>
    <w:p w:rsidR="001721CA" w:rsidRPr="001721CA" w:rsidRDefault="001721CA" w:rsidP="00BB146C">
      <w:pPr>
        <w:pStyle w:val="BC"/>
        <w:spacing w:after="240"/>
        <w:ind w:firstLine="0"/>
      </w:pPr>
      <w:r w:rsidRPr="001721CA">
        <w:t>F</w:t>
      </w:r>
      <w:r w:rsidR="00BB146C">
        <w:t xml:space="preserve">ischer, </w:t>
      </w:r>
      <w:r w:rsidRPr="001721CA">
        <w:t>S., Š</w:t>
      </w:r>
      <w:r w:rsidR="00BB146C">
        <w:t xml:space="preserve">koda, </w:t>
      </w:r>
      <w:r w:rsidRPr="001721CA">
        <w:t xml:space="preserve">J. </w:t>
      </w:r>
      <w:r w:rsidR="00BB146C">
        <w:t>(</w:t>
      </w:r>
      <w:r w:rsidRPr="001721CA">
        <w:t>2009</w:t>
      </w:r>
      <w:r w:rsidR="00BB146C">
        <w:t>).</w:t>
      </w:r>
      <w:r w:rsidRPr="001721CA">
        <w:t xml:space="preserve"> </w:t>
      </w:r>
      <w:r w:rsidRPr="001721CA">
        <w:rPr>
          <w:i/>
          <w:iCs/>
        </w:rPr>
        <w:t>Sociální patologie</w:t>
      </w:r>
      <w:r w:rsidR="00BB146C">
        <w:t xml:space="preserve">. Praha: </w:t>
      </w:r>
      <w:proofErr w:type="spellStart"/>
      <w:r w:rsidR="00BB146C">
        <w:t>Grada</w:t>
      </w:r>
      <w:proofErr w:type="spellEnd"/>
      <w:r w:rsidRPr="001721CA">
        <w:t>.</w:t>
      </w:r>
    </w:p>
    <w:p w:rsidR="001721CA" w:rsidRPr="001721CA" w:rsidRDefault="001721CA" w:rsidP="00BB146C">
      <w:pPr>
        <w:pStyle w:val="BC"/>
        <w:spacing w:after="240"/>
        <w:ind w:firstLine="0"/>
      </w:pPr>
      <w:r w:rsidRPr="001721CA">
        <w:rPr>
          <w:bCs/>
        </w:rPr>
        <w:t>F</w:t>
      </w:r>
      <w:r w:rsidR="00BB146C">
        <w:rPr>
          <w:bCs/>
        </w:rPr>
        <w:t xml:space="preserve">rancis, </w:t>
      </w:r>
      <w:r w:rsidRPr="001721CA">
        <w:rPr>
          <w:bCs/>
        </w:rPr>
        <w:t xml:space="preserve">J. </w:t>
      </w:r>
      <w:r w:rsidR="00BB146C">
        <w:rPr>
          <w:bCs/>
        </w:rPr>
        <w:t>(</w:t>
      </w:r>
      <w:r w:rsidRPr="001721CA">
        <w:rPr>
          <w:bCs/>
        </w:rPr>
        <w:t>2005</w:t>
      </w:r>
      <w:r w:rsidR="00BB146C">
        <w:rPr>
          <w:bCs/>
        </w:rPr>
        <w:t>)</w:t>
      </w:r>
      <w:r w:rsidRPr="001721CA">
        <w:rPr>
          <w:bCs/>
        </w:rPr>
        <w:t xml:space="preserve">. </w:t>
      </w:r>
      <w:proofErr w:type="spellStart"/>
      <w:r w:rsidRPr="001721CA">
        <w:rPr>
          <w:bCs/>
          <w:i/>
        </w:rPr>
        <w:t>Social</w:t>
      </w:r>
      <w:proofErr w:type="spellEnd"/>
      <w:r w:rsidRPr="001721CA">
        <w:rPr>
          <w:bCs/>
          <w:i/>
        </w:rPr>
        <w:t xml:space="preserve"> </w:t>
      </w:r>
      <w:proofErr w:type="spellStart"/>
      <w:r w:rsidRPr="001721CA">
        <w:rPr>
          <w:bCs/>
          <w:i/>
        </w:rPr>
        <w:t>Work</w:t>
      </w:r>
      <w:proofErr w:type="spellEnd"/>
      <w:r w:rsidRPr="001721CA">
        <w:rPr>
          <w:bCs/>
          <w:i/>
        </w:rPr>
        <w:t xml:space="preserve"> </w:t>
      </w:r>
      <w:proofErr w:type="spellStart"/>
      <w:r w:rsidRPr="001721CA">
        <w:rPr>
          <w:bCs/>
          <w:i/>
        </w:rPr>
        <w:t>Diagnosis</w:t>
      </w:r>
      <w:proofErr w:type="spellEnd"/>
      <w:r w:rsidRPr="001721CA">
        <w:rPr>
          <w:bCs/>
          <w:i/>
        </w:rPr>
        <w:t xml:space="preserve"> in </w:t>
      </w:r>
      <w:proofErr w:type="spellStart"/>
      <w:r w:rsidRPr="001721CA">
        <w:rPr>
          <w:bCs/>
          <w:i/>
        </w:rPr>
        <w:t>Contemporary</w:t>
      </w:r>
      <w:proofErr w:type="spellEnd"/>
      <w:r w:rsidRPr="001721CA">
        <w:rPr>
          <w:bCs/>
          <w:i/>
        </w:rPr>
        <w:t xml:space="preserve"> </w:t>
      </w:r>
      <w:proofErr w:type="spellStart"/>
      <w:r w:rsidRPr="001721CA">
        <w:rPr>
          <w:bCs/>
          <w:i/>
        </w:rPr>
        <w:t>Practice</w:t>
      </w:r>
      <w:proofErr w:type="spellEnd"/>
      <w:r w:rsidRPr="001721CA">
        <w:rPr>
          <w:bCs/>
          <w:i/>
        </w:rPr>
        <w:t xml:space="preserve">. </w:t>
      </w:r>
      <w:r w:rsidRPr="001721CA">
        <w:rPr>
          <w:bCs/>
        </w:rPr>
        <w:t xml:space="preserve">New York: Oxford </w:t>
      </w:r>
      <w:r w:rsidRPr="001721CA">
        <w:t xml:space="preserve">University </w:t>
      </w:r>
      <w:proofErr w:type="spellStart"/>
      <w:r w:rsidRPr="001721CA">
        <w:t>Press</w:t>
      </w:r>
      <w:proofErr w:type="spellEnd"/>
      <w:r w:rsidRPr="001721CA">
        <w:t xml:space="preserve">. </w:t>
      </w:r>
    </w:p>
    <w:p w:rsidR="000F306F" w:rsidRPr="001721CA" w:rsidRDefault="000F306F" w:rsidP="000F306F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Gillernová</w:t>
      </w:r>
      <w:proofErr w:type="spellEnd"/>
      <w:r w:rsidRPr="001721CA">
        <w:rPr>
          <w:bCs/>
          <w:iCs/>
        </w:rPr>
        <w:t xml:space="preserve">, I., </w:t>
      </w:r>
      <w:proofErr w:type="spellStart"/>
      <w:r w:rsidRPr="001721CA">
        <w:rPr>
          <w:bCs/>
          <w:iCs/>
        </w:rPr>
        <w:t>Kebza</w:t>
      </w:r>
      <w:proofErr w:type="spellEnd"/>
      <w:r w:rsidRPr="001721CA">
        <w:rPr>
          <w:bCs/>
          <w:iCs/>
        </w:rPr>
        <w:t xml:space="preserve">, V., </w:t>
      </w:r>
      <w:proofErr w:type="spellStart"/>
      <w:r w:rsidRPr="001721CA">
        <w:rPr>
          <w:bCs/>
          <w:iCs/>
        </w:rPr>
        <w:t>Rymeš</w:t>
      </w:r>
      <w:proofErr w:type="spellEnd"/>
      <w:r w:rsidRPr="001721CA">
        <w:rPr>
          <w:bCs/>
          <w:iCs/>
        </w:rPr>
        <w:t>, M. (2011)</w:t>
      </w:r>
      <w:r w:rsidR="00723C61">
        <w:rPr>
          <w:bCs/>
          <w:iCs/>
        </w:rPr>
        <w:t>.</w:t>
      </w:r>
      <w:r w:rsidRPr="001721CA">
        <w:rPr>
          <w:bCs/>
          <w:iCs/>
        </w:rPr>
        <w:t xml:space="preserve"> </w:t>
      </w:r>
      <w:r w:rsidRPr="00A836C3">
        <w:rPr>
          <w:bCs/>
          <w:i/>
          <w:iCs/>
        </w:rPr>
        <w:t>Psychologické aspekty změn v české společnosti.</w:t>
      </w:r>
      <w:r w:rsidRPr="001721CA">
        <w:rPr>
          <w:bCs/>
          <w:iCs/>
        </w:rPr>
        <w:t xml:space="preserve"> Praha: </w:t>
      </w:r>
      <w:proofErr w:type="spellStart"/>
      <w:r w:rsidRPr="001721CA">
        <w:rPr>
          <w:bCs/>
          <w:iCs/>
        </w:rPr>
        <w:t>Grada</w:t>
      </w:r>
      <w:proofErr w:type="spellEnd"/>
      <w:r w:rsidRPr="001721CA">
        <w:rPr>
          <w:bCs/>
          <w:iCs/>
        </w:rPr>
        <w:t>.</w:t>
      </w:r>
    </w:p>
    <w:p w:rsidR="00E279BE" w:rsidRDefault="00E279BE" w:rsidP="00E279BE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H</w:t>
      </w:r>
      <w:r>
        <w:rPr>
          <w:bCs/>
          <w:iCs/>
        </w:rPr>
        <w:t>all</w:t>
      </w:r>
      <w:proofErr w:type="spellEnd"/>
      <w:r>
        <w:rPr>
          <w:bCs/>
          <w:iCs/>
        </w:rPr>
        <w:t xml:space="preserve">, </w:t>
      </w:r>
      <w:r w:rsidRPr="001721CA">
        <w:rPr>
          <w:bCs/>
          <w:iCs/>
        </w:rPr>
        <w:t xml:space="preserve">D. M. </w:t>
      </w:r>
      <w:r>
        <w:rPr>
          <w:bCs/>
          <w:iCs/>
        </w:rPr>
        <w:t>(</w:t>
      </w:r>
      <w:r w:rsidRPr="001721CA">
        <w:rPr>
          <w:bCs/>
          <w:iCs/>
        </w:rPr>
        <w:t>1998</w:t>
      </w:r>
      <w:r>
        <w:rPr>
          <w:bCs/>
          <w:iCs/>
        </w:rPr>
        <w:t>)</w:t>
      </w:r>
      <w:r w:rsidRPr="001721CA">
        <w:rPr>
          <w:bCs/>
          <w:iCs/>
        </w:rPr>
        <w:t xml:space="preserve">. </w:t>
      </w:r>
      <w:proofErr w:type="spellStart"/>
      <w:r w:rsidRPr="00E279BE">
        <w:rPr>
          <w:bCs/>
          <w:iCs/>
        </w:rPr>
        <w:t>Victims</w:t>
      </w:r>
      <w:proofErr w:type="spellEnd"/>
      <w:r w:rsidRPr="00E279BE">
        <w:rPr>
          <w:bCs/>
          <w:iCs/>
        </w:rPr>
        <w:t xml:space="preserve"> </w:t>
      </w:r>
      <w:proofErr w:type="spellStart"/>
      <w:r w:rsidRPr="00E279BE">
        <w:rPr>
          <w:bCs/>
          <w:iCs/>
        </w:rPr>
        <w:t>of</w:t>
      </w:r>
      <w:proofErr w:type="spellEnd"/>
      <w:r w:rsidRPr="00E279BE">
        <w:rPr>
          <w:bCs/>
          <w:iCs/>
        </w:rPr>
        <w:t xml:space="preserve"> Stalking</w:t>
      </w:r>
      <w:r>
        <w:rPr>
          <w:bCs/>
          <w:iCs/>
        </w:rPr>
        <w:t xml:space="preserve">. In </w:t>
      </w:r>
      <w:proofErr w:type="spellStart"/>
      <w:r>
        <w:rPr>
          <w:bCs/>
          <w:iCs/>
        </w:rPr>
        <w:t>Meloy</w:t>
      </w:r>
      <w:proofErr w:type="spellEnd"/>
      <w:r>
        <w:rPr>
          <w:bCs/>
          <w:iCs/>
        </w:rPr>
        <w:t>, J. R., (</w:t>
      </w:r>
      <w:proofErr w:type="spellStart"/>
      <w:r>
        <w:rPr>
          <w:bCs/>
          <w:iCs/>
        </w:rPr>
        <w:t>Eds</w:t>
      </w:r>
      <w:proofErr w:type="spellEnd"/>
      <w:r>
        <w:rPr>
          <w:bCs/>
          <w:iCs/>
        </w:rPr>
        <w:t xml:space="preserve">.), </w:t>
      </w:r>
      <w:proofErr w:type="spellStart"/>
      <w:r w:rsidRPr="00E279BE">
        <w:rPr>
          <w:bCs/>
          <w:i/>
          <w:iCs/>
        </w:rPr>
        <w:t>The</w:t>
      </w:r>
      <w:proofErr w:type="spellEnd"/>
      <w:r w:rsidRPr="00E279BE">
        <w:rPr>
          <w:bCs/>
          <w:i/>
          <w:iCs/>
        </w:rPr>
        <w:t xml:space="preserve"> Psychology </w:t>
      </w:r>
      <w:proofErr w:type="spellStart"/>
      <w:r w:rsidRPr="00E279BE">
        <w:rPr>
          <w:bCs/>
          <w:i/>
          <w:iCs/>
        </w:rPr>
        <w:t>of</w:t>
      </w:r>
      <w:proofErr w:type="spellEnd"/>
      <w:r w:rsidRPr="00E279BE">
        <w:rPr>
          <w:bCs/>
          <w:i/>
          <w:iCs/>
        </w:rPr>
        <w:t xml:space="preserve"> Stalking: </w:t>
      </w:r>
      <w:proofErr w:type="spellStart"/>
      <w:r w:rsidRPr="00E279BE">
        <w:rPr>
          <w:bCs/>
          <w:i/>
          <w:iCs/>
        </w:rPr>
        <w:t>Clinical</w:t>
      </w:r>
      <w:proofErr w:type="spellEnd"/>
      <w:r w:rsidRPr="00E279BE">
        <w:rPr>
          <w:bCs/>
          <w:i/>
          <w:iCs/>
        </w:rPr>
        <w:t xml:space="preserve"> </w:t>
      </w:r>
      <w:proofErr w:type="spellStart"/>
      <w:r w:rsidRPr="00E279BE">
        <w:rPr>
          <w:bCs/>
          <w:i/>
          <w:iCs/>
        </w:rPr>
        <w:t>and</w:t>
      </w:r>
      <w:proofErr w:type="spellEnd"/>
      <w:r w:rsidRPr="00E279BE">
        <w:rPr>
          <w:bCs/>
          <w:i/>
          <w:iCs/>
        </w:rPr>
        <w:t xml:space="preserve"> </w:t>
      </w:r>
      <w:proofErr w:type="spellStart"/>
      <w:r w:rsidRPr="00E279BE">
        <w:rPr>
          <w:bCs/>
          <w:i/>
          <w:iCs/>
        </w:rPr>
        <w:t>Forensic</w:t>
      </w:r>
      <w:proofErr w:type="spellEnd"/>
      <w:r w:rsidRPr="00E279BE">
        <w:rPr>
          <w:bCs/>
          <w:i/>
          <w:iCs/>
        </w:rPr>
        <w:t xml:space="preserve"> </w:t>
      </w:r>
      <w:proofErr w:type="spellStart"/>
      <w:r w:rsidRPr="00E279BE">
        <w:rPr>
          <w:bCs/>
          <w:i/>
          <w:iCs/>
        </w:rPr>
        <w:t>Perspectives</w:t>
      </w:r>
      <w:proofErr w:type="spellEnd"/>
      <w:r>
        <w:rPr>
          <w:bCs/>
          <w:i/>
          <w:iCs/>
        </w:rPr>
        <w:t xml:space="preserve"> </w:t>
      </w:r>
      <w:r w:rsidRPr="00E279BE">
        <w:rPr>
          <w:bCs/>
          <w:iCs/>
        </w:rPr>
        <w:t>(s.</w:t>
      </w:r>
      <w:r w:rsidR="005D040A">
        <w:rPr>
          <w:bCs/>
          <w:iCs/>
        </w:rPr>
        <w:t xml:space="preserve"> 115-139</w:t>
      </w:r>
      <w:r w:rsidRPr="00E279BE">
        <w:rPr>
          <w:bCs/>
          <w:iCs/>
        </w:rPr>
        <w:t>).</w:t>
      </w:r>
      <w:r w:rsidRPr="001721CA">
        <w:rPr>
          <w:bCs/>
          <w:iCs/>
        </w:rPr>
        <w:t xml:space="preserve"> San </w:t>
      </w:r>
      <w:proofErr w:type="spellStart"/>
      <w:r w:rsidRPr="001721CA">
        <w:rPr>
          <w:bCs/>
          <w:iCs/>
        </w:rPr>
        <w:t>Diego</w:t>
      </w:r>
      <w:proofErr w:type="spellEnd"/>
      <w:r w:rsidRPr="001721CA">
        <w:rPr>
          <w:bCs/>
          <w:iCs/>
        </w:rPr>
        <w:t xml:space="preserve">: </w:t>
      </w:r>
      <w:proofErr w:type="spellStart"/>
      <w:r w:rsidRPr="001721CA">
        <w:rPr>
          <w:bCs/>
          <w:iCs/>
        </w:rPr>
        <w:t>Elsevier</w:t>
      </w:r>
      <w:proofErr w:type="spellEnd"/>
      <w:r w:rsidRPr="001721CA">
        <w:rPr>
          <w:bCs/>
          <w:iCs/>
        </w:rPr>
        <w:t xml:space="preserve">. </w:t>
      </w:r>
    </w:p>
    <w:p w:rsidR="00FA2D15" w:rsidRDefault="00FA2D15" w:rsidP="00E279BE">
      <w:pPr>
        <w:pStyle w:val="BC"/>
        <w:spacing w:after="240"/>
        <w:ind w:firstLine="0"/>
        <w:rPr>
          <w:bCs/>
          <w:iCs/>
        </w:rPr>
      </w:pPr>
      <w:proofErr w:type="spellStart"/>
      <w:r>
        <w:rPr>
          <w:bCs/>
          <w:iCs/>
        </w:rPr>
        <w:t>Hendl</w:t>
      </w:r>
      <w:proofErr w:type="spellEnd"/>
      <w:r>
        <w:rPr>
          <w:bCs/>
          <w:iCs/>
        </w:rPr>
        <w:t xml:space="preserve">, J. (2012). </w:t>
      </w:r>
      <w:r w:rsidRPr="00FA2D15">
        <w:rPr>
          <w:bCs/>
          <w:i/>
          <w:iCs/>
        </w:rPr>
        <w:t xml:space="preserve">Přehled statistických metod. Analýza a </w:t>
      </w:r>
      <w:proofErr w:type="spellStart"/>
      <w:r w:rsidRPr="00FA2D15">
        <w:rPr>
          <w:bCs/>
          <w:i/>
          <w:iCs/>
        </w:rPr>
        <w:t>metaanalýza</w:t>
      </w:r>
      <w:proofErr w:type="spellEnd"/>
      <w:r w:rsidRPr="00FA2D15">
        <w:rPr>
          <w:bCs/>
          <w:i/>
          <w:iCs/>
        </w:rPr>
        <w:t xml:space="preserve"> dat</w:t>
      </w:r>
      <w:r>
        <w:rPr>
          <w:bCs/>
          <w:iCs/>
        </w:rPr>
        <w:t xml:space="preserve">. Praha: Portál. </w:t>
      </w:r>
    </w:p>
    <w:p w:rsidR="002F72A8" w:rsidRPr="001721CA" w:rsidRDefault="002F72A8" w:rsidP="00E279BE">
      <w:pPr>
        <w:pStyle w:val="BC"/>
        <w:spacing w:after="240"/>
        <w:ind w:firstLine="0"/>
      </w:pPr>
      <w:proofErr w:type="spellStart"/>
      <w:r>
        <w:rPr>
          <w:bCs/>
          <w:iCs/>
        </w:rPr>
        <w:t>Chráska</w:t>
      </w:r>
      <w:proofErr w:type="spellEnd"/>
      <w:r>
        <w:rPr>
          <w:bCs/>
          <w:iCs/>
        </w:rPr>
        <w:t xml:space="preserve">, M. (2007). </w:t>
      </w:r>
      <w:r w:rsidRPr="002F72A8">
        <w:rPr>
          <w:bCs/>
          <w:i/>
          <w:iCs/>
        </w:rPr>
        <w:t>Metody pedagogického výzkumu. Základy kvantitativního výzkumu</w:t>
      </w:r>
      <w:r>
        <w:rPr>
          <w:bCs/>
          <w:iCs/>
        </w:rPr>
        <w:t xml:space="preserve">. Praha: </w:t>
      </w:r>
      <w:proofErr w:type="spellStart"/>
      <w:r>
        <w:rPr>
          <w:bCs/>
          <w:iCs/>
        </w:rPr>
        <w:t>Grada</w:t>
      </w:r>
      <w:proofErr w:type="spellEnd"/>
      <w:r>
        <w:rPr>
          <w:bCs/>
          <w:iCs/>
        </w:rPr>
        <w:t>.</w:t>
      </w:r>
    </w:p>
    <w:p w:rsidR="001721CA" w:rsidRPr="001721CA" w:rsidRDefault="001721CA" w:rsidP="00BB146C">
      <w:pPr>
        <w:pStyle w:val="BC"/>
        <w:spacing w:after="240"/>
        <w:ind w:firstLine="0"/>
      </w:pPr>
      <w:r w:rsidRPr="001721CA">
        <w:lastRenderedPageBreak/>
        <w:t>J</w:t>
      </w:r>
      <w:r w:rsidR="00BB146C">
        <w:t xml:space="preserve">ankovský, </w:t>
      </w:r>
      <w:r w:rsidRPr="001721CA">
        <w:t xml:space="preserve">J. </w:t>
      </w:r>
      <w:r w:rsidR="00BB146C">
        <w:t>(</w:t>
      </w:r>
      <w:r w:rsidRPr="001721CA">
        <w:t>2003</w:t>
      </w:r>
      <w:r w:rsidR="00BB146C">
        <w:t>)</w:t>
      </w:r>
      <w:r w:rsidRPr="001721CA">
        <w:t xml:space="preserve">. </w:t>
      </w:r>
      <w:r w:rsidRPr="001721CA">
        <w:rPr>
          <w:i/>
          <w:iCs/>
        </w:rPr>
        <w:t>Etika pro pomáhající profese</w:t>
      </w:r>
      <w:r w:rsidRPr="001721CA">
        <w:t>. Praha: TRITON.</w:t>
      </w:r>
    </w:p>
    <w:p w:rsidR="001721CA" w:rsidRPr="001721CA" w:rsidRDefault="001721CA" w:rsidP="00BB146C">
      <w:pPr>
        <w:pStyle w:val="BC"/>
        <w:spacing w:after="240"/>
        <w:ind w:firstLine="0"/>
      </w:pPr>
      <w:r w:rsidRPr="001721CA">
        <w:t>K</w:t>
      </w:r>
      <w:r w:rsidR="00BB146C">
        <w:t xml:space="preserve">opecký, </w:t>
      </w:r>
      <w:r w:rsidRPr="001721CA">
        <w:t xml:space="preserve">K. </w:t>
      </w:r>
      <w:r w:rsidR="00BB146C">
        <w:t>(</w:t>
      </w:r>
      <w:r w:rsidRPr="001721CA">
        <w:t>2010</w:t>
      </w:r>
      <w:r w:rsidR="00BB146C">
        <w:t>)</w:t>
      </w:r>
      <w:r w:rsidRPr="001721CA">
        <w:t xml:space="preserve">. </w:t>
      </w:r>
      <w:r w:rsidRPr="001721CA">
        <w:rPr>
          <w:i/>
          <w:iCs/>
        </w:rPr>
        <w:t xml:space="preserve">Stalking a </w:t>
      </w:r>
      <w:proofErr w:type="spellStart"/>
      <w:r w:rsidRPr="001721CA">
        <w:rPr>
          <w:i/>
          <w:iCs/>
        </w:rPr>
        <w:t>kyberstalking</w:t>
      </w:r>
      <w:proofErr w:type="spellEnd"/>
      <w:r w:rsidRPr="001721CA">
        <w:rPr>
          <w:i/>
          <w:iCs/>
        </w:rPr>
        <w:t xml:space="preserve"> - Nebezpečné pronásledování (studie). </w:t>
      </w:r>
      <w:r w:rsidRPr="001721CA">
        <w:t>Praha: Net University s.r.o</w:t>
      </w:r>
      <w:r w:rsidR="00BB146C">
        <w:t>.</w:t>
      </w:r>
    </w:p>
    <w:p w:rsidR="000F306F" w:rsidRPr="00A836C3" w:rsidRDefault="000F306F" w:rsidP="000F306F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t xml:space="preserve">Logan, T. (2010). </w:t>
      </w:r>
      <w:proofErr w:type="spellStart"/>
      <w:r w:rsidRPr="001721CA">
        <w:rPr>
          <w:bCs/>
          <w:i/>
          <w:iCs/>
        </w:rPr>
        <w:t>Research</w:t>
      </w:r>
      <w:proofErr w:type="spellEnd"/>
      <w:r w:rsidRPr="001721CA">
        <w:rPr>
          <w:bCs/>
          <w:i/>
          <w:iCs/>
        </w:rPr>
        <w:t xml:space="preserve"> on partner stalking: </w:t>
      </w:r>
      <w:proofErr w:type="spellStart"/>
      <w:r w:rsidRPr="001721CA">
        <w:rPr>
          <w:bCs/>
          <w:i/>
          <w:iCs/>
        </w:rPr>
        <w:t>Putting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the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pieces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together</w:t>
      </w:r>
      <w:proofErr w:type="spellEnd"/>
      <w:r w:rsidRPr="001721CA">
        <w:rPr>
          <w:bCs/>
          <w:iCs/>
        </w:rPr>
        <w:t xml:space="preserve">. </w:t>
      </w:r>
      <w:proofErr w:type="spellStart"/>
      <w:r w:rsidRPr="001721CA">
        <w:rPr>
          <w:bCs/>
          <w:iCs/>
        </w:rPr>
        <w:t>Lexington</w:t>
      </w:r>
      <w:proofErr w:type="spellEnd"/>
      <w:r w:rsidRPr="001721CA">
        <w:rPr>
          <w:bCs/>
          <w:iCs/>
        </w:rPr>
        <w:t xml:space="preserve">, KY: University </w:t>
      </w:r>
      <w:proofErr w:type="spellStart"/>
      <w:r w:rsidRPr="001721CA">
        <w:rPr>
          <w:bCs/>
          <w:iCs/>
        </w:rPr>
        <w:t>of</w:t>
      </w:r>
      <w:proofErr w:type="spellEnd"/>
      <w:r w:rsidRPr="001721CA">
        <w:rPr>
          <w:bCs/>
          <w:iCs/>
        </w:rPr>
        <w:t xml:space="preserve"> Kentucky.</w:t>
      </w:r>
    </w:p>
    <w:p w:rsidR="001721CA" w:rsidRPr="001721CA" w:rsidRDefault="001721CA" w:rsidP="00BB146C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M</w:t>
      </w:r>
      <w:r w:rsidR="00316064">
        <w:rPr>
          <w:bCs/>
          <w:iCs/>
        </w:rPr>
        <w:t>eloy</w:t>
      </w:r>
      <w:proofErr w:type="spellEnd"/>
      <w:r w:rsidR="00316064">
        <w:rPr>
          <w:bCs/>
          <w:iCs/>
        </w:rPr>
        <w:t xml:space="preserve">, </w:t>
      </w:r>
      <w:r w:rsidRPr="001721CA">
        <w:rPr>
          <w:bCs/>
          <w:iCs/>
        </w:rPr>
        <w:t>J.</w:t>
      </w:r>
      <w:r w:rsidR="00316064">
        <w:rPr>
          <w:bCs/>
          <w:iCs/>
        </w:rPr>
        <w:t xml:space="preserve"> R.</w:t>
      </w:r>
      <w:r w:rsidRPr="001721CA">
        <w:rPr>
          <w:bCs/>
          <w:iCs/>
        </w:rPr>
        <w:t xml:space="preserve"> </w:t>
      </w:r>
      <w:r w:rsidR="00316064">
        <w:rPr>
          <w:bCs/>
          <w:iCs/>
        </w:rPr>
        <w:t>(</w:t>
      </w:r>
      <w:r w:rsidRPr="001721CA">
        <w:rPr>
          <w:bCs/>
          <w:iCs/>
        </w:rPr>
        <w:t>1996</w:t>
      </w:r>
      <w:r w:rsidR="00316064"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>Stalking (</w:t>
      </w:r>
      <w:proofErr w:type="spellStart"/>
      <w:r w:rsidRPr="001721CA">
        <w:rPr>
          <w:bCs/>
          <w:i/>
          <w:iCs/>
        </w:rPr>
        <w:t>Obsessional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following</w:t>
      </w:r>
      <w:proofErr w:type="spellEnd"/>
      <w:r w:rsidRPr="001721CA">
        <w:rPr>
          <w:bCs/>
          <w:i/>
          <w:iCs/>
        </w:rPr>
        <w:t xml:space="preserve">): a </w:t>
      </w:r>
      <w:proofErr w:type="spellStart"/>
      <w:r w:rsidRPr="001721CA">
        <w:rPr>
          <w:bCs/>
          <w:i/>
          <w:iCs/>
        </w:rPr>
        <w:t>rewiew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of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some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preliminary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studies</w:t>
      </w:r>
      <w:proofErr w:type="spellEnd"/>
      <w:r w:rsidRPr="001721CA">
        <w:rPr>
          <w:bCs/>
          <w:iCs/>
        </w:rPr>
        <w:t xml:space="preserve">. San </w:t>
      </w:r>
      <w:proofErr w:type="spellStart"/>
      <w:r w:rsidRPr="001721CA">
        <w:rPr>
          <w:bCs/>
          <w:iCs/>
        </w:rPr>
        <w:t>Diego</w:t>
      </w:r>
      <w:proofErr w:type="spellEnd"/>
      <w:r w:rsidRPr="001721CA">
        <w:rPr>
          <w:bCs/>
          <w:iCs/>
        </w:rPr>
        <w:t xml:space="preserve">: University </w:t>
      </w:r>
      <w:proofErr w:type="spellStart"/>
      <w:r w:rsidRPr="001721CA">
        <w:rPr>
          <w:bCs/>
          <w:iCs/>
        </w:rPr>
        <w:t>of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California</w:t>
      </w:r>
      <w:proofErr w:type="spellEnd"/>
      <w:r w:rsidRPr="001721CA">
        <w:rPr>
          <w:bCs/>
          <w:iCs/>
        </w:rPr>
        <w:t xml:space="preserve">, Pergamon. </w:t>
      </w:r>
    </w:p>
    <w:p w:rsidR="00E279BE" w:rsidRPr="001721CA" w:rsidRDefault="00E279BE" w:rsidP="00E279BE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M</w:t>
      </w:r>
      <w:r>
        <w:rPr>
          <w:bCs/>
          <w:iCs/>
        </w:rPr>
        <w:t>eloy</w:t>
      </w:r>
      <w:proofErr w:type="spellEnd"/>
      <w:r>
        <w:rPr>
          <w:bCs/>
          <w:iCs/>
        </w:rPr>
        <w:t>, J. R.</w:t>
      </w:r>
      <w:r w:rsidRPr="001721CA">
        <w:rPr>
          <w:bCs/>
          <w:iCs/>
        </w:rPr>
        <w:t xml:space="preserve"> </w:t>
      </w:r>
      <w:r>
        <w:rPr>
          <w:bCs/>
          <w:iCs/>
        </w:rPr>
        <w:t>(</w:t>
      </w:r>
      <w:r w:rsidRPr="001721CA">
        <w:rPr>
          <w:bCs/>
          <w:iCs/>
        </w:rPr>
        <w:t>2002</w:t>
      </w:r>
      <w:r>
        <w:rPr>
          <w:bCs/>
          <w:iCs/>
        </w:rPr>
        <w:t xml:space="preserve">). </w:t>
      </w:r>
      <w:r w:rsidRPr="00E279BE">
        <w:rPr>
          <w:bCs/>
          <w:iCs/>
        </w:rPr>
        <w:t xml:space="preserve">Stalking </w:t>
      </w:r>
      <w:proofErr w:type="spellStart"/>
      <w:r w:rsidRPr="00E279BE">
        <w:rPr>
          <w:bCs/>
          <w:iCs/>
        </w:rPr>
        <w:t>and</w:t>
      </w:r>
      <w:proofErr w:type="spellEnd"/>
      <w:r w:rsidRPr="00E279BE">
        <w:rPr>
          <w:bCs/>
          <w:iCs/>
        </w:rPr>
        <w:t xml:space="preserve"> </w:t>
      </w:r>
      <w:proofErr w:type="spellStart"/>
      <w:r w:rsidRPr="00E279BE">
        <w:rPr>
          <w:bCs/>
          <w:iCs/>
        </w:rPr>
        <w:t>violence</w:t>
      </w:r>
      <w:proofErr w:type="spellEnd"/>
      <w:r w:rsidRPr="00E279BE">
        <w:rPr>
          <w:bCs/>
          <w:iCs/>
        </w:rPr>
        <w:t>.</w:t>
      </w:r>
      <w:r>
        <w:rPr>
          <w:bCs/>
          <w:i/>
          <w:iCs/>
        </w:rPr>
        <w:t xml:space="preserve"> </w:t>
      </w:r>
      <w:r w:rsidRPr="00E279BE">
        <w:rPr>
          <w:bCs/>
          <w:iCs/>
        </w:rPr>
        <w:t>In</w:t>
      </w:r>
      <w:r w:rsidRPr="001721CA">
        <w:rPr>
          <w:bCs/>
          <w:i/>
          <w:iCs/>
        </w:rPr>
        <w:t xml:space="preserve"> </w:t>
      </w:r>
      <w:proofErr w:type="spellStart"/>
      <w:r w:rsidRPr="00E279BE">
        <w:rPr>
          <w:bCs/>
          <w:iCs/>
        </w:rPr>
        <w:t>Boon</w:t>
      </w:r>
      <w:proofErr w:type="spellEnd"/>
      <w:r>
        <w:rPr>
          <w:bCs/>
          <w:iCs/>
        </w:rPr>
        <w:t>, J.,</w:t>
      </w:r>
      <w:r w:rsidRPr="00E279BE">
        <w:rPr>
          <w:bCs/>
          <w:iCs/>
        </w:rPr>
        <w:t xml:space="preserve"> </w:t>
      </w:r>
      <w:proofErr w:type="spellStart"/>
      <w:r w:rsidRPr="00E279BE">
        <w:rPr>
          <w:bCs/>
          <w:iCs/>
        </w:rPr>
        <w:t>Sheridan</w:t>
      </w:r>
      <w:proofErr w:type="spellEnd"/>
      <w:r>
        <w:rPr>
          <w:bCs/>
          <w:iCs/>
        </w:rPr>
        <w:t>, L., (</w:t>
      </w:r>
      <w:proofErr w:type="spellStart"/>
      <w:r>
        <w:rPr>
          <w:bCs/>
          <w:iCs/>
        </w:rPr>
        <w:t>E</w:t>
      </w:r>
      <w:r w:rsidRPr="00E279BE">
        <w:rPr>
          <w:bCs/>
          <w:iCs/>
        </w:rPr>
        <w:t>ds</w:t>
      </w:r>
      <w:proofErr w:type="spellEnd"/>
      <w:r w:rsidRPr="00E279BE">
        <w:rPr>
          <w:bCs/>
          <w:iCs/>
        </w:rPr>
        <w:t>.)</w:t>
      </w:r>
      <w:r>
        <w:rPr>
          <w:bCs/>
          <w:iCs/>
        </w:rPr>
        <w:t>,</w:t>
      </w:r>
      <w:r w:rsidRPr="001721CA">
        <w:rPr>
          <w:bCs/>
          <w:i/>
          <w:iCs/>
        </w:rPr>
        <w:t xml:space="preserve"> Stalking</w:t>
      </w:r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psychosexual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obsession</w:t>
      </w:r>
      <w:proofErr w:type="spellEnd"/>
      <w:r w:rsidRPr="001721CA">
        <w:rPr>
          <w:bCs/>
          <w:i/>
          <w:iCs/>
        </w:rPr>
        <w:t xml:space="preserve">: </w:t>
      </w:r>
      <w:proofErr w:type="spellStart"/>
      <w:r w:rsidRPr="001721CA">
        <w:rPr>
          <w:bCs/>
          <w:i/>
          <w:iCs/>
        </w:rPr>
        <w:t>Psychological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perspectives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for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prevention</w:t>
      </w:r>
      <w:proofErr w:type="spellEnd"/>
      <w:r w:rsidRPr="001721CA">
        <w:rPr>
          <w:bCs/>
          <w:i/>
          <w:iCs/>
        </w:rPr>
        <w:t xml:space="preserve">, </w:t>
      </w:r>
      <w:proofErr w:type="spellStart"/>
      <w:r w:rsidRPr="001721CA">
        <w:rPr>
          <w:bCs/>
          <w:i/>
          <w:iCs/>
        </w:rPr>
        <w:t>polcing</w:t>
      </w:r>
      <w:proofErr w:type="spellEnd"/>
      <w:r w:rsidRPr="001721CA">
        <w:rPr>
          <w:bCs/>
          <w:i/>
          <w:iCs/>
        </w:rPr>
        <w:t xml:space="preserve">,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/>
          <w:iCs/>
        </w:rPr>
        <w:t>treatment</w:t>
      </w:r>
      <w:proofErr w:type="spellEnd"/>
      <w:r>
        <w:rPr>
          <w:bCs/>
          <w:i/>
          <w:iCs/>
        </w:rPr>
        <w:t xml:space="preserve"> </w:t>
      </w:r>
      <w:r>
        <w:rPr>
          <w:bCs/>
          <w:iCs/>
        </w:rPr>
        <w:t>(s. 105-123)</w:t>
      </w:r>
      <w:r w:rsidRPr="001721CA">
        <w:rPr>
          <w:bCs/>
          <w:iCs/>
        </w:rPr>
        <w:t xml:space="preserve">. </w:t>
      </w:r>
      <w:proofErr w:type="spellStart"/>
      <w:r w:rsidRPr="001721CA">
        <w:rPr>
          <w:bCs/>
          <w:iCs/>
        </w:rPr>
        <w:t>West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Sussex</w:t>
      </w:r>
      <w:proofErr w:type="spellEnd"/>
      <w:r w:rsidRPr="001721CA">
        <w:rPr>
          <w:bCs/>
          <w:iCs/>
        </w:rPr>
        <w:t xml:space="preserve">, UK: John </w:t>
      </w:r>
      <w:proofErr w:type="spellStart"/>
      <w:r w:rsidRPr="001721CA">
        <w:rPr>
          <w:bCs/>
          <w:iCs/>
        </w:rPr>
        <w:t>Wiley</w:t>
      </w:r>
      <w:proofErr w:type="spellEnd"/>
      <w:r w:rsidRPr="001721CA">
        <w:rPr>
          <w:bCs/>
          <w:iCs/>
        </w:rPr>
        <w:t xml:space="preserve"> &amp; </w:t>
      </w:r>
      <w:proofErr w:type="spellStart"/>
      <w:r w:rsidRPr="001721CA">
        <w:rPr>
          <w:bCs/>
          <w:iCs/>
        </w:rPr>
        <w:t>Sons</w:t>
      </w:r>
      <w:proofErr w:type="spellEnd"/>
      <w:r w:rsidRPr="001721CA">
        <w:rPr>
          <w:bCs/>
          <w:iCs/>
        </w:rPr>
        <w:t xml:space="preserve">, Ltd. </w:t>
      </w:r>
    </w:p>
    <w:p w:rsidR="001721CA" w:rsidRPr="001721CA" w:rsidRDefault="001721CA" w:rsidP="00BB146C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M</w:t>
      </w:r>
      <w:r w:rsidR="00316064">
        <w:rPr>
          <w:bCs/>
          <w:iCs/>
        </w:rPr>
        <w:t>orewitz</w:t>
      </w:r>
      <w:proofErr w:type="spellEnd"/>
      <w:r w:rsidR="00316064">
        <w:rPr>
          <w:bCs/>
          <w:iCs/>
        </w:rPr>
        <w:t xml:space="preserve">, </w:t>
      </w:r>
      <w:r w:rsidR="000F306F">
        <w:rPr>
          <w:bCs/>
          <w:iCs/>
        </w:rPr>
        <w:t>S. J.</w:t>
      </w:r>
      <w:r w:rsidRPr="001721CA">
        <w:rPr>
          <w:bCs/>
          <w:iCs/>
        </w:rPr>
        <w:t xml:space="preserve"> </w:t>
      </w:r>
      <w:r w:rsidR="000F306F">
        <w:rPr>
          <w:bCs/>
          <w:iCs/>
        </w:rPr>
        <w:t>(</w:t>
      </w:r>
      <w:r w:rsidRPr="001721CA">
        <w:rPr>
          <w:bCs/>
          <w:iCs/>
        </w:rPr>
        <w:t>2003</w:t>
      </w:r>
      <w:r w:rsidR="000F306F"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 xml:space="preserve">Stalking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Violence</w:t>
      </w:r>
      <w:proofErr w:type="spellEnd"/>
      <w:r w:rsidRPr="001721CA">
        <w:rPr>
          <w:bCs/>
          <w:i/>
          <w:iCs/>
        </w:rPr>
        <w:t xml:space="preserve">. New </w:t>
      </w:r>
      <w:proofErr w:type="spellStart"/>
      <w:r w:rsidRPr="001721CA">
        <w:rPr>
          <w:bCs/>
          <w:i/>
          <w:iCs/>
        </w:rPr>
        <w:t>Patternse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of</w:t>
      </w:r>
      <w:proofErr w:type="spellEnd"/>
      <w:r w:rsidRPr="001721CA">
        <w:rPr>
          <w:bCs/>
          <w:i/>
          <w:iCs/>
        </w:rPr>
        <w:t xml:space="preserve"> Trauma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Obsession</w:t>
      </w:r>
      <w:proofErr w:type="spellEnd"/>
      <w:r w:rsidRPr="001721CA">
        <w:rPr>
          <w:bCs/>
          <w:i/>
          <w:iCs/>
        </w:rPr>
        <w:t>.</w:t>
      </w:r>
      <w:r w:rsidRPr="001721CA">
        <w:rPr>
          <w:bCs/>
          <w:iCs/>
        </w:rPr>
        <w:t xml:space="preserve"> New York: </w:t>
      </w:r>
      <w:proofErr w:type="spellStart"/>
      <w:r w:rsidRPr="001721CA">
        <w:rPr>
          <w:bCs/>
          <w:iCs/>
        </w:rPr>
        <w:t>Kluwer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Academic</w:t>
      </w:r>
      <w:proofErr w:type="spellEnd"/>
      <w:r w:rsidRPr="001721CA">
        <w:rPr>
          <w:bCs/>
          <w:iCs/>
        </w:rPr>
        <w:t>/</w:t>
      </w:r>
      <w:proofErr w:type="spellStart"/>
      <w:r w:rsidRPr="001721CA">
        <w:rPr>
          <w:bCs/>
          <w:iCs/>
        </w:rPr>
        <w:t>Plenum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Publishers</w:t>
      </w:r>
      <w:proofErr w:type="spellEnd"/>
      <w:r w:rsidRPr="001721CA">
        <w:rPr>
          <w:bCs/>
          <w:iCs/>
        </w:rPr>
        <w:t xml:space="preserve">. </w:t>
      </w:r>
    </w:p>
    <w:p w:rsidR="001721CA" w:rsidRPr="001721CA" w:rsidRDefault="001721CA" w:rsidP="00BB146C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M</w:t>
      </w:r>
      <w:r w:rsidR="00E279BE">
        <w:rPr>
          <w:bCs/>
          <w:iCs/>
        </w:rPr>
        <w:t>ullen</w:t>
      </w:r>
      <w:proofErr w:type="spellEnd"/>
      <w:r w:rsidR="00E279BE">
        <w:rPr>
          <w:bCs/>
          <w:iCs/>
        </w:rPr>
        <w:t xml:space="preserve">, </w:t>
      </w:r>
      <w:r w:rsidRPr="001721CA">
        <w:rPr>
          <w:bCs/>
          <w:iCs/>
        </w:rPr>
        <w:t xml:space="preserve">P. E., </w:t>
      </w:r>
      <w:proofErr w:type="spellStart"/>
      <w:r w:rsidRPr="001721CA">
        <w:rPr>
          <w:bCs/>
          <w:iCs/>
        </w:rPr>
        <w:t>P</w:t>
      </w:r>
      <w:r w:rsidR="00E279BE">
        <w:rPr>
          <w:bCs/>
          <w:iCs/>
        </w:rPr>
        <w:t>athé</w:t>
      </w:r>
      <w:proofErr w:type="spellEnd"/>
      <w:r w:rsidR="00E279BE">
        <w:rPr>
          <w:bCs/>
          <w:iCs/>
        </w:rPr>
        <w:t xml:space="preserve">, </w:t>
      </w:r>
      <w:r w:rsidRPr="001721CA">
        <w:rPr>
          <w:bCs/>
          <w:iCs/>
        </w:rPr>
        <w:t>M.,</w:t>
      </w:r>
      <w:r w:rsidR="00E279BE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P</w:t>
      </w:r>
      <w:r w:rsidR="00E279BE">
        <w:rPr>
          <w:bCs/>
          <w:iCs/>
        </w:rPr>
        <w:t>urcell</w:t>
      </w:r>
      <w:proofErr w:type="spellEnd"/>
      <w:r w:rsidR="00E279BE">
        <w:rPr>
          <w:bCs/>
          <w:iCs/>
        </w:rPr>
        <w:t xml:space="preserve">, </w:t>
      </w:r>
      <w:r w:rsidRPr="001721CA">
        <w:rPr>
          <w:bCs/>
          <w:iCs/>
        </w:rPr>
        <w:t xml:space="preserve">R. </w:t>
      </w:r>
      <w:r w:rsidR="00E279BE">
        <w:rPr>
          <w:bCs/>
          <w:iCs/>
        </w:rPr>
        <w:t>(</w:t>
      </w:r>
      <w:r w:rsidRPr="001721CA">
        <w:rPr>
          <w:bCs/>
          <w:iCs/>
        </w:rPr>
        <w:t>2000</w:t>
      </w:r>
      <w:r w:rsidR="00E279BE">
        <w:rPr>
          <w:bCs/>
          <w:iCs/>
        </w:rPr>
        <w:t>)</w:t>
      </w:r>
      <w:r w:rsidRPr="001721CA">
        <w:rPr>
          <w:bCs/>
          <w:i/>
          <w:iCs/>
        </w:rPr>
        <w:t xml:space="preserve">. Stalker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their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victims</w:t>
      </w:r>
      <w:proofErr w:type="spellEnd"/>
      <w:r w:rsidRPr="001721CA">
        <w:rPr>
          <w:bCs/>
          <w:iCs/>
        </w:rPr>
        <w:t xml:space="preserve">. Cambridge: Cambridge University </w:t>
      </w:r>
      <w:proofErr w:type="spellStart"/>
      <w:r w:rsidRPr="001721CA">
        <w:rPr>
          <w:bCs/>
          <w:iCs/>
        </w:rPr>
        <w:t>Press</w:t>
      </w:r>
      <w:proofErr w:type="spellEnd"/>
      <w:r w:rsidRPr="001721CA">
        <w:rPr>
          <w:bCs/>
          <w:iCs/>
        </w:rPr>
        <w:t xml:space="preserve">. </w:t>
      </w:r>
    </w:p>
    <w:p w:rsidR="001721CA" w:rsidRPr="001721CA" w:rsidRDefault="001721CA" w:rsidP="00BB146C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P</w:t>
      </w:r>
      <w:r w:rsidR="0046101B">
        <w:rPr>
          <w:bCs/>
          <w:iCs/>
        </w:rPr>
        <w:t>inals</w:t>
      </w:r>
      <w:proofErr w:type="spellEnd"/>
      <w:r w:rsidR="0046101B">
        <w:rPr>
          <w:bCs/>
          <w:iCs/>
        </w:rPr>
        <w:t>,</w:t>
      </w:r>
      <w:r w:rsidRPr="001721CA">
        <w:rPr>
          <w:bCs/>
          <w:iCs/>
        </w:rPr>
        <w:t xml:space="preserve"> D. A. </w:t>
      </w:r>
      <w:r w:rsidR="0046101B">
        <w:rPr>
          <w:bCs/>
          <w:iCs/>
        </w:rPr>
        <w:t>(</w:t>
      </w:r>
      <w:r w:rsidRPr="001721CA">
        <w:rPr>
          <w:bCs/>
          <w:iCs/>
        </w:rPr>
        <w:t>2007</w:t>
      </w:r>
      <w:r w:rsidR="0046101B"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 xml:space="preserve">Stalking. </w:t>
      </w:r>
      <w:proofErr w:type="spellStart"/>
      <w:r w:rsidRPr="001721CA">
        <w:rPr>
          <w:bCs/>
          <w:i/>
          <w:iCs/>
        </w:rPr>
        <w:t>Psychiatrics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Perspec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Practical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Approaches</w:t>
      </w:r>
      <w:proofErr w:type="spellEnd"/>
      <w:r w:rsidRPr="001721CA">
        <w:rPr>
          <w:bCs/>
          <w:iCs/>
        </w:rPr>
        <w:t xml:space="preserve">. New York: Oxford University </w:t>
      </w:r>
      <w:proofErr w:type="spellStart"/>
      <w:r w:rsidRPr="001721CA">
        <w:rPr>
          <w:bCs/>
          <w:iCs/>
        </w:rPr>
        <w:t>Press</w:t>
      </w:r>
      <w:proofErr w:type="spellEnd"/>
      <w:r w:rsidRPr="001721CA">
        <w:rPr>
          <w:bCs/>
          <w:iCs/>
        </w:rPr>
        <w:t>.</w:t>
      </w:r>
    </w:p>
    <w:p w:rsidR="001721CA" w:rsidRDefault="001721CA" w:rsidP="00BB146C">
      <w:pPr>
        <w:pStyle w:val="BC"/>
        <w:spacing w:after="240"/>
        <w:ind w:firstLine="0"/>
      </w:pPr>
      <w:r w:rsidRPr="001721CA">
        <w:t>S</w:t>
      </w:r>
      <w:r w:rsidR="0071408F">
        <w:t xml:space="preserve">voboda, </w:t>
      </w:r>
      <w:r w:rsidRPr="001721CA">
        <w:t>M.</w:t>
      </w:r>
      <w:r w:rsidR="0071408F">
        <w:t xml:space="preserve">, </w:t>
      </w:r>
      <w:r w:rsidRPr="001721CA">
        <w:t>Č</w:t>
      </w:r>
      <w:r w:rsidR="0071408F">
        <w:t xml:space="preserve">ešková, </w:t>
      </w:r>
      <w:r w:rsidRPr="001721CA">
        <w:t>E., K</w:t>
      </w:r>
      <w:r w:rsidR="0071408F">
        <w:t xml:space="preserve">učerová, </w:t>
      </w:r>
      <w:r w:rsidRPr="001721CA">
        <w:t xml:space="preserve">H. </w:t>
      </w:r>
      <w:r w:rsidR="0071408F">
        <w:t>(</w:t>
      </w:r>
      <w:r w:rsidRPr="001721CA">
        <w:t>2006</w:t>
      </w:r>
      <w:r w:rsidR="0071408F">
        <w:t>)</w:t>
      </w:r>
      <w:r w:rsidRPr="001721CA">
        <w:t xml:space="preserve">. </w:t>
      </w:r>
      <w:r w:rsidRPr="001721CA">
        <w:rPr>
          <w:i/>
        </w:rPr>
        <w:t>Psychopatologie a psychiatrie</w:t>
      </w:r>
      <w:r w:rsidRPr="001721CA">
        <w:t xml:space="preserve">. Praha: Portál. </w:t>
      </w:r>
    </w:p>
    <w:p w:rsidR="002F72A8" w:rsidRDefault="002F72A8" w:rsidP="00BB146C">
      <w:pPr>
        <w:pStyle w:val="BC"/>
        <w:spacing w:after="240"/>
        <w:ind w:firstLine="0"/>
      </w:pPr>
      <w:r>
        <w:t xml:space="preserve">Šanderová, J. (2009). </w:t>
      </w:r>
      <w:r w:rsidRPr="002F72A8">
        <w:rPr>
          <w:i/>
        </w:rPr>
        <w:t>Jak číst a psát odborný text ve společenských vědách</w:t>
      </w:r>
      <w:r>
        <w:t>. Praha: SLON.</w:t>
      </w:r>
    </w:p>
    <w:p w:rsidR="00BD4649" w:rsidRPr="001721CA" w:rsidRDefault="00BD4649" w:rsidP="00BD4649">
      <w:pPr>
        <w:pStyle w:val="BC"/>
        <w:spacing w:after="240"/>
        <w:ind w:firstLine="0"/>
      </w:pPr>
      <w:r>
        <w:t>Ševčík, D., Špatenková, N. (2011). Násilí. In Špatenková, N. (</w:t>
      </w:r>
      <w:proofErr w:type="spellStart"/>
      <w:r>
        <w:t>Eds</w:t>
      </w:r>
      <w:proofErr w:type="spellEnd"/>
      <w:r>
        <w:t xml:space="preserve">.), </w:t>
      </w:r>
      <w:r w:rsidRPr="001721CA">
        <w:rPr>
          <w:i/>
        </w:rPr>
        <w:t>Krizová intervence pro praxi</w:t>
      </w:r>
      <w:r w:rsidRPr="001721CA">
        <w:t xml:space="preserve"> (s.</w:t>
      </w:r>
      <w:r>
        <w:t xml:space="preserve"> 106-135</w:t>
      </w:r>
      <w:r w:rsidRPr="001721CA">
        <w:t>)</w:t>
      </w:r>
      <w:r w:rsidRPr="001721CA">
        <w:rPr>
          <w:i/>
        </w:rPr>
        <w:t>.</w:t>
      </w:r>
      <w:r w:rsidRPr="001721CA">
        <w:t xml:space="preserve"> Praha: </w:t>
      </w:r>
      <w:proofErr w:type="spellStart"/>
      <w:r w:rsidRPr="001721CA">
        <w:t>Grada</w:t>
      </w:r>
      <w:proofErr w:type="spellEnd"/>
      <w:r w:rsidRPr="001721CA">
        <w:t xml:space="preserve">. </w:t>
      </w:r>
    </w:p>
    <w:p w:rsidR="00460ED0" w:rsidRPr="00A836C3" w:rsidRDefault="00460ED0" w:rsidP="00460ED0">
      <w:pPr>
        <w:pStyle w:val="BC"/>
        <w:spacing w:after="240"/>
        <w:ind w:firstLine="0"/>
        <w:rPr>
          <w:bCs/>
          <w:iCs/>
        </w:rPr>
      </w:pPr>
      <w:proofErr w:type="spellStart"/>
      <w:r w:rsidRPr="00460ED0">
        <w:rPr>
          <w:bCs/>
          <w:iCs/>
        </w:rPr>
        <w:t>Tjaden</w:t>
      </w:r>
      <w:proofErr w:type="spellEnd"/>
      <w:r w:rsidRPr="00460ED0">
        <w:rPr>
          <w:bCs/>
          <w:iCs/>
        </w:rPr>
        <w:t xml:space="preserve">, P., </w:t>
      </w:r>
      <w:proofErr w:type="spellStart"/>
      <w:r w:rsidRPr="00460ED0">
        <w:rPr>
          <w:bCs/>
          <w:iCs/>
        </w:rPr>
        <w:t>Tho</w:t>
      </w:r>
      <w:r w:rsidR="00380F98">
        <w:rPr>
          <w:bCs/>
          <w:iCs/>
        </w:rPr>
        <w:t>e</w:t>
      </w:r>
      <w:r w:rsidRPr="00460ED0">
        <w:rPr>
          <w:bCs/>
          <w:iCs/>
        </w:rPr>
        <w:t>nnes</w:t>
      </w:r>
      <w:proofErr w:type="spellEnd"/>
      <w:r w:rsidRPr="00460ED0">
        <w:rPr>
          <w:bCs/>
          <w:iCs/>
        </w:rPr>
        <w:t>, N. (1998</w:t>
      </w:r>
      <w:r w:rsidR="00D559F0">
        <w:rPr>
          <w:bCs/>
          <w:iCs/>
        </w:rPr>
        <w:t>a</w:t>
      </w:r>
      <w:r w:rsidRPr="00460ED0">
        <w:rPr>
          <w:bCs/>
          <w:iCs/>
        </w:rPr>
        <w:t>).</w:t>
      </w:r>
      <w:r>
        <w:rPr>
          <w:bCs/>
          <w:iCs/>
        </w:rPr>
        <w:t xml:space="preserve"> </w:t>
      </w:r>
      <w:r w:rsidRPr="00460ED0">
        <w:rPr>
          <w:bCs/>
          <w:i/>
          <w:iCs/>
        </w:rPr>
        <w:t xml:space="preserve">Stalking in </w:t>
      </w:r>
      <w:proofErr w:type="spellStart"/>
      <w:r w:rsidRPr="00460ED0">
        <w:rPr>
          <w:bCs/>
          <w:i/>
          <w:iCs/>
        </w:rPr>
        <w:t>America</w:t>
      </w:r>
      <w:proofErr w:type="spellEnd"/>
      <w:r w:rsidRPr="00460ED0">
        <w:rPr>
          <w:bCs/>
          <w:i/>
          <w:iCs/>
        </w:rPr>
        <w:t xml:space="preserve">: </w:t>
      </w:r>
      <w:proofErr w:type="spellStart"/>
      <w:r w:rsidRPr="00460ED0">
        <w:rPr>
          <w:bCs/>
          <w:i/>
          <w:iCs/>
        </w:rPr>
        <w:t>Findings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From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the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National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Violence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Against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Women</w:t>
      </w:r>
      <w:proofErr w:type="spellEnd"/>
      <w:r w:rsidRPr="00460ED0">
        <w:rPr>
          <w:bCs/>
          <w:i/>
          <w:iCs/>
        </w:rPr>
        <w:t xml:space="preserve"> </w:t>
      </w:r>
      <w:proofErr w:type="spellStart"/>
      <w:r w:rsidRPr="00460ED0">
        <w:rPr>
          <w:bCs/>
          <w:i/>
          <w:iCs/>
        </w:rPr>
        <w:t>Survey</w:t>
      </w:r>
      <w:proofErr w:type="spellEnd"/>
      <w:r w:rsidRPr="00460ED0">
        <w:rPr>
          <w:bCs/>
          <w:i/>
          <w:iCs/>
        </w:rPr>
        <w:t xml:space="preserve">. </w:t>
      </w:r>
      <w:r w:rsidR="00BD4649">
        <w:rPr>
          <w:bCs/>
          <w:iCs/>
        </w:rPr>
        <w:t>Washington, DC:</w:t>
      </w:r>
      <w:r w:rsidRPr="00460ED0">
        <w:rPr>
          <w:bCs/>
          <w:iCs/>
        </w:rPr>
        <w:t xml:space="preserve"> </w:t>
      </w:r>
      <w:proofErr w:type="gramStart"/>
      <w:r w:rsidRPr="00460ED0">
        <w:rPr>
          <w:bCs/>
          <w:iCs/>
        </w:rPr>
        <w:t>U.S.</w:t>
      </w:r>
      <w:proofErr w:type="gramEnd"/>
      <w:r w:rsidRPr="00460ED0">
        <w:rPr>
          <w:bCs/>
          <w:iCs/>
        </w:rPr>
        <w:t xml:space="preserve"> Department </w:t>
      </w:r>
      <w:proofErr w:type="spellStart"/>
      <w:r w:rsidRPr="00460ED0">
        <w:rPr>
          <w:bCs/>
          <w:iCs/>
        </w:rPr>
        <w:t>of</w:t>
      </w:r>
      <w:proofErr w:type="spellEnd"/>
      <w:r w:rsidRPr="00460ED0">
        <w:rPr>
          <w:bCs/>
          <w:iCs/>
        </w:rPr>
        <w:t xml:space="preserve"> Justice.</w:t>
      </w:r>
    </w:p>
    <w:p w:rsidR="00FD10B4" w:rsidRPr="001721CA" w:rsidRDefault="00FD10B4" w:rsidP="00FD10B4">
      <w:pPr>
        <w:pStyle w:val="BC"/>
        <w:spacing w:after="240"/>
        <w:ind w:firstLine="0"/>
        <w:rPr>
          <w:bCs/>
          <w:iCs/>
        </w:rPr>
      </w:pPr>
      <w:proofErr w:type="spellStart"/>
      <w:r w:rsidRPr="006B1292">
        <w:rPr>
          <w:bCs/>
          <w:iCs/>
        </w:rPr>
        <w:t>Tjaden</w:t>
      </w:r>
      <w:proofErr w:type="spellEnd"/>
      <w:r w:rsidRPr="006B1292">
        <w:rPr>
          <w:bCs/>
          <w:iCs/>
        </w:rPr>
        <w:t xml:space="preserve">, P., </w:t>
      </w:r>
      <w:proofErr w:type="spellStart"/>
      <w:r w:rsidRPr="006B1292">
        <w:rPr>
          <w:bCs/>
          <w:iCs/>
        </w:rPr>
        <w:t>Tho</w:t>
      </w:r>
      <w:r w:rsidR="00380F98" w:rsidRPr="006B1292">
        <w:rPr>
          <w:bCs/>
          <w:iCs/>
        </w:rPr>
        <w:t>e</w:t>
      </w:r>
      <w:r w:rsidRPr="006B1292">
        <w:rPr>
          <w:bCs/>
          <w:iCs/>
        </w:rPr>
        <w:t>nnes</w:t>
      </w:r>
      <w:proofErr w:type="spellEnd"/>
      <w:r w:rsidRPr="006B1292">
        <w:rPr>
          <w:bCs/>
          <w:iCs/>
        </w:rPr>
        <w:t xml:space="preserve">, </w:t>
      </w:r>
      <w:r w:rsidR="00D559F0" w:rsidRPr="006B1292">
        <w:rPr>
          <w:bCs/>
          <w:iCs/>
        </w:rPr>
        <w:t>N. (1998b</w:t>
      </w:r>
      <w:r w:rsidRPr="006B1292">
        <w:rPr>
          <w:bCs/>
          <w:iCs/>
        </w:rPr>
        <w:t xml:space="preserve">). </w:t>
      </w:r>
      <w:r w:rsidRPr="006B1292">
        <w:rPr>
          <w:bCs/>
          <w:i/>
          <w:iCs/>
        </w:rPr>
        <w:t xml:space="preserve">Prevalence, Incidence, </w:t>
      </w:r>
      <w:proofErr w:type="spellStart"/>
      <w:r w:rsidRPr="006B1292">
        <w:rPr>
          <w:bCs/>
          <w:i/>
          <w:iCs/>
        </w:rPr>
        <w:t>and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Consequences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of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Violence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Against</w:t>
      </w:r>
      <w:proofErr w:type="spellEnd"/>
      <w:r w:rsidRPr="006B1292">
        <w:rPr>
          <w:bCs/>
          <w:i/>
          <w:iCs/>
        </w:rPr>
        <w:t xml:space="preserve">. </w:t>
      </w:r>
      <w:proofErr w:type="spellStart"/>
      <w:r w:rsidRPr="006B1292">
        <w:rPr>
          <w:bCs/>
          <w:i/>
          <w:iCs/>
        </w:rPr>
        <w:t>Women</w:t>
      </w:r>
      <w:proofErr w:type="spellEnd"/>
      <w:r w:rsidRPr="006B1292">
        <w:rPr>
          <w:bCs/>
          <w:i/>
          <w:iCs/>
        </w:rPr>
        <w:t xml:space="preserve">: </w:t>
      </w:r>
      <w:proofErr w:type="spellStart"/>
      <w:r w:rsidRPr="006B1292">
        <w:rPr>
          <w:bCs/>
          <w:i/>
          <w:iCs/>
        </w:rPr>
        <w:t>Findings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From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the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National</w:t>
      </w:r>
      <w:proofErr w:type="spellEnd"/>
      <w:r w:rsidRPr="006B1292">
        <w:rPr>
          <w:bCs/>
          <w:i/>
          <w:iCs/>
        </w:rPr>
        <w:t xml:space="preserve">. </w:t>
      </w:r>
      <w:proofErr w:type="spellStart"/>
      <w:r w:rsidRPr="006B1292">
        <w:rPr>
          <w:bCs/>
          <w:i/>
          <w:iCs/>
        </w:rPr>
        <w:t>Violence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Against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Women</w:t>
      </w:r>
      <w:proofErr w:type="spellEnd"/>
      <w:r w:rsidRPr="006B1292">
        <w:rPr>
          <w:bCs/>
          <w:i/>
          <w:iCs/>
        </w:rPr>
        <w:t xml:space="preserve"> </w:t>
      </w:r>
      <w:proofErr w:type="spellStart"/>
      <w:r w:rsidRPr="006B1292">
        <w:rPr>
          <w:bCs/>
          <w:i/>
          <w:iCs/>
        </w:rPr>
        <w:t>Survey</w:t>
      </w:r>
      <w:proofErr w:type="spellEnd"/>
      <w:r w:rsidRPr="006B1292">
        <w:rPr>
          <w:bCs/>
          <w:i/>
          <w:iCs/>
        </w:rPr>
        <w:t>.</w:t>
      </w:r>
      <w:r w:rsidRPr="006B1292">
        <w:rPr>
          <w:bCs/>
          <w:iCs/>
        </w:rPr>
        <w:t xml:space="preserve">  Washington, DC: Department </w:t>
      </w:r>
      <w:proofErr w:type="spellStart"/>
      <w:r w:rsidRPr="006B1292">
        <w:rPr>
          <w:bCs/>
          <w:iCs/>
        </w:rPr>
        <w:t>of</w:t>
      </w:r>
      <w:proofErr w:type="spellEnd"/>
      <w:r w:rsidRPr="006B1292">
        <w:rPr>
          <w:bCs/>
          <w:iCs/>
        </w:rPr>
        <w:t xml:space="preserve"> Justice.</w:t>
      </w:r>
      <w:r w:rsidRPr="001721CA">
        <w:rPr>
          <w:bCs/>
          <w:iCs/>
        </w:rPr>
        <w:t xml:space="preserve"> </w:t>
      </w:r>
    </w:p>
    <w:p w:rsidR="00FD10B4" w:rsidRPr="001721CA" w:rsidRDefault="00FD10B4" w:rsidP="00FD10B4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lastRenderedPageBreak/>
        <w:t>T</w:t>
      </w:r>
      <w:r>
        <w:rPr>
          <w:bCs/>
          <w:iCs/>
        </w:rPr>
        <w:t xml:space="preserve">omeš, </w:t>
      </w:r>
      <w:r w:rsidRPr="001721CA">
        <w:rPr>
          <w:bCs/>
          <w:iCs/>
        </w:rPr>
        <w:t xml:space="preserve">I. </w:t>
      </w:r>
      <w:r>
        <w:rPr>
          <w:bCs/>
          <w:iCs/>
        </w:rPr>
        <w:t>(</w:t>
      </w:r>
      <w:r w:rsidRPr="001721CA">
        <w:rPr>
          <w:bCs/>
          <w:iCs/>
        </w:rPr>
        <w:t>2010</w:t>
      </w:r>
      <w:r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>Úvod do teorie a metodologie sociální politiky</w:t>
      </w:r>
      <w:r w:rsidRPr="001721CA">
        <w:rPr>
          <w:bCs/>
          <w:iCs/>
        </w:rPr>
        <w:t xml:space="preserve">. Praha: Portál. </w:t>
      </w:r>
    </w:p>
    <w:p w:rsidR="001721CA" w:rsidRPr="001721CA" w:rsidRDefault="001721CA" w:rsidP="00BB146C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T</w:t>
      </w:r>
      <w:r w:rsidR="0071408F">
        <w:rPr>
          <w:bCs/>
          <w:iCs/>
        </w:rPr>
        <w:t>ravis</w:t>
      </w:r>
      <w:proofErr w:type="spellEnd"/>
      <w:r w:rsidR="0071408F">
        <w:rPr>
          <w:bCs/>
          <w:iCs/>
        </w:rPr>
        <w:t>, J. (</w:t>
      </w:r>
      <w:r w:rsidRPr="001721CA">
        <w:rPr>
          <w:bCs/>
          <w:iCs/>
        </w:rPr>
        <w:t>1996</w:t>
      </w:r>
      <w:r w:rsidR="0071408F">
        <w:rPr>
          <w:bCs/>
          <w:iCs/>
        </w:rPr>
        <w:t>)</w:t>
      </w:r>
      <w:r w:rsidRPr="001721CA">
        <w:rPr>
          <w:bCs/>
          <w:iCs/>
        </w:rPr>
        <w:t>.</w:t>
      </w:r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Domestic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Violence</w:t>
      </w:r>
      <w:proofErr w:type="spellEnd"/>
      <w:r w:rsidRPr="001721CA">
        <w:rPr>
          <w:bCs/>
          <w:i/>
          <w:iCs/>
        </w:rPr>
        <w:t xml:space="preserve">, Stalking, </w:t>
      </w:r>
      <w:proofErr w:type="spellStart"/>
      <w:r w:rsidRPr="001721CA">
        <w:rPr>
          <w:bCs/>
          <w:i/>
          <w:iCs/>
        </w:rPr>
        <w:t>and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Antistalking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Legislation</w:t>
      </w:r>
      <w:proofErr w:type="spellEnd"/>
      <w:r w:rsidRPr="001721CA">
        <w:rPr>
          <w:bCs/>
          <w:i/>
          <w:iCs/>
        </w:rPr>
        <w:t xml:space="preserve">. </w:t>
      </w:r>
      <w:r w:rsidRPr="001721CA">
        <w:rPr>
          <w:bCs/>
          <w:iCs/>
        </w:rPr>
        <w:t>Washing</w:t>
      </w:r>
      <w:r w:rsidR="0046101B">
        <w:rPr>
          <w:bCs/>
          <w:iCs/>
        </w:rPr>
        <w:t xml:space="preserve">ton, </w:t>
      </w:r>
      <w:r w:rsidRPr="001721CA">
        <w:rPr>
          <w:bCs/>
          <w:iCs/>
        </w:rPr>
        <w:t>DC:</w:t>
      </w:r>
      <w:r w:rsidRPr="001721CA">
        <w:t xml:space="preserve"> </w:t>
      </w:r>
      <w:r w:rsidRPr="001721CA">
        <w:rPr>
          <w:bCs/>
          <w:iCs/>
        </w:rPr>
        <w:t>U.</w:t>
      </w:r>
      <w:r w:rsidR="00234DD5">
        <w:rPr>
          <w:bCs/>
          <w:iCs/>
        </w:rPr>
        <w:t xml:space="preserve"> </w:t>
      </w:r>
      <w:r w:rsidRPr="001721CA">
        <w:rPr>
          <w:bCs/>
          <w:iCs/>
        </w:rPr>
        <w:t xml:space="preserve">S. Department </w:t>
      </w:r>
      <w:proofErr w:type="spellStart"/>
      <w:r w:rsidRPr="001721CA">
        <w:rPr>
          <w:bCs/>
          <w:iCs/>
        </w:rPr>
        <w:t>of</w:t>
      </w:r>
      <w:proofErr w:type="spellEnd"/>
      <w:r w:rsidRPr="001721CA">
        <w:rPr>
          <w:bCs/>
          <w:iCs/>
        </w:rPr>
        <w:t xml:space="preserve"> Justice.</w:t>
      </w:r>
    </w:p>
    <w:p w:rsidR="001721CA" w:rsidRPr="001721CA" w:rsidRDefault="001721CA" w:rsidP="00BB146C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t>V</w:t>
      </w:r>
      <w:r w:rsidR="000F306F">
        <w:rPr>
          <w:bCs/>
          <w:iCs/>
        </w:rPr>
        <w:t xml:space="preserve">ágnerová, </w:t>
      </w:r>
      <w:r w:rsidRPr="001721CA">
        <w:rPr>
          <w:bCs/>
          <w:iCs/>
        </w:rPr>
        <w:t xml:space="preserve">M. </w:t>
      </w:r>
      <w:r w:rsidR="000F306F">
        <w:rPr>
          <w:bCs/>
          <w:iCs/>
        </w:rPr>
        <w:t>(</w:t>
      </w:r>
      <w:r w:rsidRPr="001721CA">
        <w:rPr>
          <w:bCs/>
          <w:iCs/>
        </w:rPr>
        <w:t>2004</w:t>
      </w:r>
      <w:r w:rsidR="000F306F"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>Psychopatologie pro pomáhající profese</w:t>
      </w:r>
      <w:r w:rsidRPr="001721CA">
        <w:rPr>
          <w:bCs/>
          <w:iCs/>
        </w:rPr>
        <w:t>. Praha: Portál.</w:t>
      </w:r>
    </w:p>
    <w:p w:rsidR="0071408F" w:rsidRPr="001721CA" w:rsidRDefault="0071408F" w:rsidP="0071408F">
      <w:pPr>
        <w:pStyle w:val="BC"/>
        <w:spacing w:after="240"/>
        <w:ind w:firstLine="0"/>
      </w:pPr>
      <w:r w:rsidRPr="001721CA">
        <w:t>Veselský, P. (2011). Využití internetu. In Špatenková, N. (</w:t>
      </w:r>
      <w:proofErr w:type="spellStart"/>
      <w:r w:rsidRPr="001721CA">
        <w:t>Eds</w:t>
      </w:r>
      <w:proofErr w:type="spellEnd"/>
      <w:r w:rsidRPr="001721CA">
        <w:t xml:space="preserve">.), </w:t>
      </w:r>
      <w:r w:rsidRPr="001721CA">
        <w:rPr>
          <w:i/>
        </w:rPr>
        <w:t>Krizová intervence pro praxi</w:t>
      </w:r>
      <w:r w:rsidRPr="001721CA">
        <w:t xml:space="preserve"> (s.</w:t>
      </w:r>
      <w:r w:rsidR="00234DD5">
        <w:t xml:space="preserve"> </w:t>
      </w:r>
      <w:r w:rsidRPr="001721CA">
        <w:t>37-43)</w:t>
      </w:r>
      <w:r w:rsidRPr="001721CA">
        <w:rPr>
          <w:i/>
        </w:rPr>
        <w:t>.</w:t>
      </w:r>
      <w:r w:rsidRPr="001721CA">
        <w:t xml:space="preserve"> Praha: </w:t>
      </w:r>
      <w:proofErr w:type="spellStart"/>
      <w:r w:rsidRPr="001721CA">
        <w:t>Grada</w:t>
      </w:r>
      <w:proofErr w:type="spellEnd"/>
      <w:r w:rsidRPr="001721CA">
        <w:t xml:space="preserve">. </w:t>
      </w:r>
    </w:p>
    <w:p w:rsidR="001721CA" w:rsidRPr="001721CA" w:rsidRDefault="001721CA" w:rsidP="00BB146C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V</w:t>
      </w:r>
      <w:r w:rsidR="000F306F">
        <w:rPr>
          <w:bCs/>
          <w:iCs/>
        </w:rPr>
        <w:t>odáčková</w:t>
      </w:r>
      <w:proofErr w:type="spellEnd"/>
      <w:r w:rsidR="000F306F">
        <w:rPr>
          <w:bCs/>
          <w:iCs/>
        </w:rPr>
        <w:t xml:space="preserve">, </w:t>
      </w:r>
      <w:r w:rsidRPr="001721CA">
        <w:rPr>
          <w:bCs/>
          <w:iCs/>
        </w:rPr>
        <w:t xml:space="preserve">D. </w:t>
      </w:r>
      <w:r w:rsidR="000F306F">
        <w:rPr>
          <w:bCs/>
          <w:iCs/>
        </w:rPr>
        <w:t>(</w:t>
      </w:r>
      <w:r w:rsidRPr="001721CA">
        <w:rPr>
          <w:bCs/>
          <w:iCs/>
        </w:rPr>
        <w:t>2007</w:t>
      </w:r>
      <w:r w:rsidR="000F306F">
        <w:rPr>
          <w:bCs/>
          <w:iCs/>
        </w:rPr>
        <w:t>)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>Krizová intervence</w:t>
      </w:r>
      <w:r w:rsidR="000F306F">
        <w:rPr>
          <w:bCs/>
          <w:iCs/>
        </w:rPr>
        <w:t xml:space="preserve">. </w:t>
      </w:r>
      <w:r w:rsidRPr="001721CA">
        <w:rPr>
          <w:bCs/>
          <w:iCs/>
        </w:rPr>
        <w:t>Praha: Portál.</w:t>
      </w:r>
    </w:p>
    <w:p w:rsidR="00F10F4C" w:rsidRDefault="001721CA" w:rsidP="000F306F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V</w:t>
      </w:r>
      <w:r w:rsidR="000F306F">
        <w:rPr>
          <w:bCs/>
          <w:iCs/>
        </w:rPr>
        <w:t>odáčková</w:t>
      </w:r>
      <w:proofErr w:type="spellEnd"/>
      <w:r w:rsidR="000F306F">
        <w:rPr>
          <w:bCs/>
          <w:iCs/>
        </w:rPr>
        <w:t xml:space="preserve">, </w:t>
      </w:r>
      <w:r w:rsidRPr="001721CA">
        <w:rPr>
          <w:bCs/>
          <w:iCs/>
        </w:rPr>
        <w:t>D</w:t>
      </w:r>
      <w:r w:rsidRPr="000F306F">
        <w:rPr>
          <w:bCs/>
          <w:iCs/>
        </w:rPr>
        <w:t>.</w:t>
      </w:r>
      <w:r w:rsidR="000F306F" w:rsidRPr="000F306F">
        <w:rPr>
          <w:bCs/>
          <w:iCs/>
        </w:rPr>
        <w:t xml:space="preserve"> (</w:t>
      </w:r>
      <w:r w:rsidRPr="000F306F">
        <w:rPr>
          <w:bCs/>
          <w:iCs/>
        </w:rPr>
        <w:t>2013</w:t>
      </w:r>
      <w:r w:rsidR="000F306F">
        <w:rPr>
          <w:bCs/>
          <w:iCs/>
        </w:rPr>
        <w:t>)</w:t>
      </w:r>
      <w:r w:rsidR="000F306F">
        <w:rPr>
          <w:bCs/>
          <w:i/>
          <w:iCs/>
        </w:rPr>
        <w:t xml:space="preserve"> </w:t>
      </w:r>
      <w:r w:rsidRPr="0071408F">
        <w:rPr>
          <w:bCs/>
          <w:iCs/>
        </w:rPr>
        <w:t>Krizová intervence</w:t>
      </w:r>
      <w:r w:rsidR="000F306F">
        <w:rPr>
          <w:bCs/>
          <w:iCs/>
        </w:rPr>
        <w:t>. In</w:t>
      </w:r>
      <w:r w:rsidR="00A836C3">
        <w:rPr>
          <w:bCs/>
          <w:iCs/>
        </w:rPr>
        <w:t xml:space="preserve"> M</w:t>
      </w:r>
      <w:r w:rsidR="000F306F">
        <w:rPr>
          <w:bCs/>
          <w:iCs/>
        </w:rPr>
        <w:t>atoušek, O. (</w:t>
      </w:r>
      <w:proofErr w:type="spellStart"/>
      <w:r w:rsidR="000F306F">
        <w:rPr>
          <w:bCs/>
          <w:iCs/>
        </w:rPr>
        <w:t>Eds</w:t>
      </w:r>
      <w:proofErr w:type="spellEnd"/>
      <w:r w:rsidR="00723C61">
        <w:rPr>
          <w:bCs/>
          <w:iCs/>
        </w:rPr>
        <w:t>.</w:t>
      </w:r>
      <w:r w:rsidR="000F306F">
        <w:rPr>
          <w:bCs/>
          <w:iCs/>
        </w:rPr>
        <w:t>),</w:t>
      </w:r>
      <w:r w:rsidRPr="001721CA">
        <w:rPr>
          <w:bCs/>
          <w:iCs/>
        </w:rPr>
        <w:t xml:space="preserve"> </w:t>
      </w:r>
      <w:r w:rsidRPr="001721CA">
        <w:rPr>
          <w:bCs/>
          <w:i/>
          <w:iCs/>
        </w:rPr>
        <w:t>Encyklopedie sociální práce</w:t>
      </w:r>
      <w:r w:rsidR="000F306F" w:rsidRPr="000F306F">
        <w:rPr>
          <w:bCs/>
          <w:iCs/>
        </w:rPr>
        <w:t xml:space="preserve"> </w:t>
      </w:r>
      <w:r w:rsidR="000F306F">
        <w:rPr>
          <w:bCs/>
          <w:iCs/>
        </w:rPr>
        <w:t>(</w:t>
      </w:r>
      <w:r w:rsidR="000F306F" w:rsidRPr="001721CA">
        <w:rPr>
          <w:bCs/>
          <w:iCs/>
        </w:rPr>
        <w:t>s. 259–261</w:t>
      </w:r>
      <w:r w:rsidR="000F306F">
        <w:rPr>
          <w:bCs/>
          <w:iCs/>
        </w:rPr>
        <w:t>)</w:t>
      </w:r>
      <w:r w:rsidRPr="001721CA">
        <w:rPr>
          <w:bCs/>
          <w:i/>
          <w:iCs/>
        </w:rPr>
        <w:t>.</w:t>
      </w:r>
      <w:r w:rsidRPr="001721CA">
        <w:rPr>
          <w:bCs/>
          <w:iCs/>
        </w:rPr>
        <w:t xml:space="preserve"> Praha: Portál. </w:t>
      </w:r>
    </w:p>
    <w:p w:rsidR="00F10F4C" w:rsidRPr="00611C08" w:rsidRDefault="00F10F4C" w:rsidP="00611C08">
      <w:pPr>
        <w:spacing w:before="240" w:after="240"/>
        <w:ind w:firstLine="0"/>
        <w:rPr>
          <w:b/>
          <w:sz w:val="28"/>
          <w:szCs w:val="28"/>
        </w:rPr>
      </w:pPr>
      <w:r w:rsidRPr="00611C08">
        <w:rPr>
          <w:b/>
          <w:sz w:val="28"/>
          <w:szCs w:val="28"/>
        </w:rPr>
        <w:t xml:space="preserve">Odborné </w:t>
      </w:r>
      <w:r w:rsidR="006D6B0C" w:rsidRPr="00611C08">
        <w:rPr>
          <w:b/>
          <w:sz w:val="28"/>
          <w:szCs w:val="28"/>
        </w:rPr>
        <w:t xml:space="preserve">články </w:t>
      </w:r>
    </w:p>
    <w:p w:rsidR="00F8405D" w:rsidRPr="001721CA" w:rsidRDefault="00F8405D" w:rsidP="00611C08">
      <w:pPr>
        <w:pStyle w:val="BC"/>
        <w:spacing w:before="240" w:after="240"/>
        <w:ind w:firstLine="0"/>
      </w:pPr>
      <w:r w:rsidRPr="001721CA">
        <w:t>A</w:t>
      </w:r>
      <w:r>
        <w:t xml:space="preserve">nderson, </w:t>
      </w:r>
      <w:r w:rsidRPr="001721CA">
        <w:t>C. A., C</w:t>
      </w:r>
      <w:r>
        <w:t>amp,</w:t>
      </w:r>
      <w:r w:rsidRPr="001721CA">
        <w:t xml:space="preserve"> J., </w:t>
      </w:r>
      <w:proofErr w:type="spellStart"/>
      <w:r w:rsidRPr="001721CA">
        <w:t>F</w:t>
      </w:r>
      <w:r>
        <w:t>illey</w:t>
      </w:r>
      <w:proofErr w:type="spellEnd"/>
      <w:r>
        <w:t xml:space="preserve">, </w:t>
      </w:r>
      <w:r w:rsidRPr="001721CA">
        <w:t xml:space="preserve">CH. M. </w:t>
      </w:r>
      <w:r>
        <w:t>(</w:t>
      </w:r>
      <w:r w:rsidRPr="001721CA">
        <w:t>1998</w:t>
      </w:r>
      <w:r>
        <w:t>)</w:t>
      </w:r>
      <w:r w:rsidRPr="001721CA">
        <w:t xml:space="preserve">. </w:t>
      </w:r>
      <w:proofErr w:type="spellStart"/>
      <w:r w:rsidRPr="006908B0">
        <w:t>Erotomania</w:t>
      </w:r>
      <w:proofErr w:type="spellEnd"/>
      <w:r w:rsidRPr="006908B0">
        <w:t xml:space="preserve"> </w:t>
      </w:r>
      <w:proofErr w:type="spellStart"/>
      <w:r w:rsidRPr="006908B0">
        <w:t>After</w:t>
      </w:r>
      <w:proofErr w:type="spellEnd"/>
      <w:r w:rsidRPr="006908B0">
        <w:t xml:space="preserve"> </w:t>
      </w:r>
      <w:proofErr w:type="spellStart"/>
      <w:r w:rsidRPr="006908B0">
        <w:t>Aneurysmal</w:t>
      </w:r>
      <w:proofErr w:type="spellEnd"/>
      <w:r w:rsidRPr="006908B0">
        <w:t xml:space="preserve"> </w:t>
      </w:r>
      <w:proofErr w:type="spellStart"/>
      <w:r w:rsidRPr="006908B0">
        <w:t>SubarachnoidHemorrhage</w:t>
      </w:r>
      <w:proofErr w:type="spellEnd"/>
      <w:r w:rsidR="006908B0">
        <w:rPr>
          <w:i/>
        </w:rPr>
        <w:t>.</w:t>
      </w:r>
      <w:r w:rsidRPr="001721CA">
        <w:rPr>
          <w:i/>
        </w:rPr>
        <w:t xml:space="preserve"> Case Report </w:t>
      </w:r>
      <w:proofErr w:type="spellStart"/>
      <w:r w:rsidRPr="001721CA">
        <w:rPr>
          <w:i/>
        </w:rPr>
        <w:t>and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Literature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Review</w:t>
      </w:r>
      <w:proofErr w:type="spellEnd"/>
      <w:r w:rsidRPr="001721CA">
        <w:rPr>
          <w:i/>
        </w:rPr>
        <w:t xml:space="preserve">. </w:t>
      </w:r>
      <w:r w:rsidRPr="001721CA">
        <w:t xml:space="preserve">Denver: </w:t>
      </w:r>
      <w:proofErr w:type="spellStart"/>
      <w:r w:rsidRPr="001721CA">
        <w:t>American</w:t>
      </w:r>
      <w:proofErr w:type="spellEnd"/>
      <w:r w:rsidRPr="001721CA">
        <w:t xml:space="preserve"> </w:t>
      </w:r>
      <w:proofErr w:type="spellStart"/>
      <w:r w:rsidRPr="001721CA">
        <w:t>Psychiatric</w:t>
      </w:r>
      <w:proofErr w:type="spellEnd"/>
      <w:r w:rsidRPr="001721CA">
        <w:t xml:space="preserve"> </w:t>
      </w:r>
      <w:proofErr w:type="spellStart"/>
      <w:r w:rsidRPr="001721CA">
        <w:t>Press</w:t>
      </w:r>
      <w:proofErr w:type="spellEnd"/>
      <w:r w:rsidRPr="001721CA">
        <w:t>, č. 3, s. 330-337.</w:t>
      </w:r>
    </w:p>
    <w:p w:rsidR="00A836C3" w:rsidRPr="001721CA" w:rsidRDefault="00A836C3" w:rsidP="00A836C3">
      <w:pPr>
        <w:pStyle w:val="BC"/>
        <w:spacing w:after="240"/>
        <w:ind w:firstLine="0"/>
        <w:rPr>
          <w:bCs/>
          <w:iCs/>
        </w:rPr>
      </w:pPr>
      <w:r>
        <w:rPr>
          <w:bCs/>
          <w:iCs/>
        </w:rPr>
        <w:t xml:space="preserve">Bajer, P. (2005). </w:t>
      </w:r>
      <w:r w:rsidRPr="001721CA">
        <w:rPr>
          <w:bCs/>
          <w:iCs/>
        </w:rPr>
        <w:t>Zrod Probační a mediační služby souvisí se zavád</w:t>
      </w:r>
      <w:r>
        <w:rPr>
          <w:bCs/>
          <w:iCs/>
        </w:rPr>
        <w:t>ěním alternativních postupů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 xml:space="preserve">Sociální práce/Sociálna </w:t>
      </w:r>
      <w:proofErr w:type="spellStart"/>
      <w:r w:rsidRPr="001721CA">
        <w:rPr>
          <w:bCs/>
          <w:i/>
          <w:iCs/>
        </w:rPr>
        <w:t>práca</w:t>
      </w:r>
      <w:proofErr w:type="spellEnd"/>
      <w:r>
        <w:rPr>
          <w:bCs/>
          <w:iCs/>
        </w:rPr>
        <w:t>, č. 4, s. 3–</w:t>
      </w:r>
      <w:r w:rsidRPr="001721CA">
        <w:rPr>
          <w:bCs/>
          <w:iCs/>
        </w:rPr>
        <w:t>11.</w:t>
      </w:r>
      <w:r w:rsidRPr="001721CA">
        <w:t xml:space="preserve"> </w:t>
      </w:r>
    </w:p>
    <w:p w:rsidR="00BB146C" w:rsidRPr="001721CA" w:rsidRDefault="00BB146C" w:rsidP="00BB146C">
      <w:pPr>
        <w:pStyle w:val="BC"/>
        <w:spacing w:after="240"/>
        <w:ind w:firstLine="0"/>
      </w:pPr>
      <w:proofErr w:type="spellStart"/>
      <w:r w:rsidRPr="001721CA">
        <w:t>Blaauw</w:t>
      </w:r>
      <w:proofErr w:type="spellEnd"/>
      <w:r w:rsidRPr="001721CA">
        <w:t xml:space="preserve">, E., </w:t>
      </w:r>
      <w:proofErr w:type="spellStart"/>
      <w:r w:rsidRPr="001721CA">
        <w:t>Sheridanb</w:t>
      </w:r>
      <w:proofErr w:type="spellEnd"/>
      <w:r w:rsidRPr="001721CA">
        <w:t xml:space="preserve">, L.,  </w:t>
      </w:r>
      <w:proofErr w:type="spellStart"/>
      <w:r w:rsidRPr="001721CA">
        <w:t>Winkelc</w:t>
      </w:r>
      <w:proofErr w:type="spellEnd"/>
      <w:r w:rsidRPr="001721CA">
        <w:t xml:space="preserve">, F. W. (2002). </w:t>
      </w:r>
      <w:proofErr w:type="spellStart"/>
      <w:r w:rsidRPr="001721CA">
        <w:t>Designing</w:t>
      </w:r>
      <w:proofErr w:type="spellEnd"/>
      <w:r w:rsidRPr="001721CA">
        <w:t xml:space="preserve"> </w:t>
      </w:r>
      <w:proofErr w:type="spellStart"/>
      <w:r w:rsidRPr="001721CA">
        <w:t>Anti</w:t>
      </w:r>
      <w:proofErr w:type="spellEnd"/>
      <w:r w:rsidRPr="001721CA">
        <w:t xml:space="preserve">-stalking </w:t>
      </w:r>
      <w:proofErr w:type="spellStart"/>
      <w:r w:rsidRPr="001721CA">
        <w:t>Legislation</w:t>
      </w:r>
      <w:proofErr w:type="spellEnd"/>
      <w:r w:rsidRPr="001721CA">
        <w:t xml:space="preserve"> on </w:t>
      </w:r>
      <w:proofErr w:type="spellStart"/>
      <w:r w:rsidRPr="001721CA">
        <w:t>the</w:t>
      </w:r>
      <w:proofErr w:type="spellEnd"/>
      <w:r w:rsidRPr="001721CA">
        <w:t xml:space="preserve"> Basis </w:t>
      </w:r>
      <w:proofErr w:type="spellStart"/>
      <w:r w:rsidRPr="001721CA">
        <w:t>of</w:t>
      </w:r>
      <w:proofErr w:type="spellEnd"/>
      <w:r w:rsidRPr="001721CA">
        <w:t xml:space="preserve"> </w:t>
      </w:r>
      <w:proofErr w:type="spellStart"/>
      <w:r w:rsidRPr="001721CA">
        <w:t>Victims’</w:t>
      </w:r>
      <w:proofErr w:type="spellEnd"/>
      <w:r w:rsidRPr="001721CA">
        <w:t xml:space="preserve"> </w:t>
      </w:r>
      <w:proofErr w:type="spellStart"/>
      <w:r w:rsidRPr="001721CA">
        <w:t>Experiences</w:t>
      </w:r>
      <w:proofErr w:type="spellEnd"/>
      <w:r w:rsidRPr="001721CA">
        <w:t xml:space="preserve"> </w:t>
      </w:r>
      <w:proofErr w:type="spellStart"/>
      <w:r w:rsidRPr="001721CA">
        <w:t>and</w:t>
      </w:r>
      <w:proofErr w:type="spellEnd"/>
      <w:r w:rsidRPr="001721CA">
        <w:t xml:space="preserve"> </w:t>
      </w:r>
      <w:proofErr w:type="spellStart"/>
      <w:r w:rsidRPr="001721CA">
        <w:t>Psychopathology</w:t>
      </w:r>
      <w:proofErr w:type="spellEnd"/>
      <w:r w:rsidRPr="001721CA">
        <w:t xml:space="preserve">. </w:t>
      </w:r>
      <w:r w:rsidRPr="000F306F">
        <w:rPr>
          <w:i/>
        </w:rPr>
        <w:t>PSYCHIATRY, PSYCHOLOGY AND LAW</w:t>
      </w:r>
      <w:r w:rsidRPr="001721CA">
        <w:t xml:space="preserve">. </w:t>
      </w:r>
      <w:proofErr w:type="gramStart"/>
      <w:r w:rsidRPr="001721CA">
        <w:t>č.</w:t>
      </w:r>
      <w:proofErr w:type="gramEnd"/>
      <w:r w:rsidRPr="001721CA">
        <w:t xml:space="preserve"> 2002, s. 136–145.</w:t>
      </w:r>
    </w:p>
    <w:p w:rsidR="00BB146C" w:rsidRPr="001721CA" w:rsidRDefault="00BB146C" w:rsidP="00BB146C">
      <w:pPr>
        <w:pStyle w:val="BC"/>
        <w:spacing w:after="240"/>
        <w:ind w:firstLine="0"/>
      </w:pPr>
      <w:proofErr w:type="spellStart"/>
      <w:r w:rsidRPr="001721CA">
        <w:t>Campbell</w:t>
      </w:r>
      <w:proofErr w:type="spellEnd"/>
      <w:r w:rsidRPr="001721CA">
        <w:t xml:space="preserve">, C. J., </w:t>
      </w:r>
      <w:proofErr w:type="spellStart"/>
      <w:r w:rsidRPr="001721CA">
        <w:t>Webster</w:t>
      </w:r>
      <w:proofErr w:type="spellEnd"/>
      <w:r w:rsidRPr="001721CA">
        <w:t xml:space="preserve">, D., </w:t>
      </w:r>
      <w:proofErr w:type="spellStart"/>
      <w:r w:rsidRPr="001721CA">
        <w:t>Koziol</w:t>
      </w:r>
      <w:proofErr w:type="spellEnd"/>
      <w:r w:rsidRPr="001721CA">
        <w:t>-</w:t>
      </w:r>
      <w:proofErr w:type="spellStart"/>
      <w:r w:rsidRPr="001721CA">
        <w:t>McLain</w:t>
      </w:r>
      <w:proofErr w:type="spellEnd"/>
      <w:r w:rsidRPr="001721CA">
        <w:t xml:space="preserve">, J., </w:t>
      </w:r>
      <w:proofErr w:type="spellStart"/>
      <w:r w:rsidRPr="001721CA">
        <w:t>Block</w:t>
      </w:r>
      <w:proofErr w:type="spellEnd"/>
      <w:r w:rsidRPr="001721CA">
        <w:t xml:space="preserve">, C., </w:t>
      </w:r>
      <w:proofErr w:type="spellStart"/>
      <w:r w:rsidRPr="001721CA">
        <w:t>Campbell</w:t>
      </w:r>
      <w:proofErr w:type="spellEnd"/>
      <w:r w:rsidRPr="001721CA">
        <w:t xml:space="preserve">, D., </w:t>
      </w:r>
      <w:proofErr w:type="spellStart"/>
      <w:r w:rsidRPr="001721CA">
        <w:t>Ann</w:t>
      </w:r>
      <w:proofErr w:type="spellEnd"/>
      <w:r w:rsidRPr="001721CA">
        <w:t xml:space="preserve">, M…, </w:t>
      </w:r>
      <w:proofErr w:type="spellStart"/>
      <w:r w:rsidRPr="001721CA">
        <w:t>Laughon</w:t>
      </w:r>
      <w:proofErr w:type="spellEnd"/>
      <w:r w:rsidRPr="001721CA">
        <w:t xml:space="preserve">, K. (2003). </w:t>
      </w:r>
      <w:proofErr w:type="spellStart"/>
      <w:r w:rsidRPr="001721CA">
        <w:t>Curry</w:t>
      </w:r>
      <w:proofErr w:type="spellEnd"/>
      <w:r w:rsidRPr="001721CA">
        <w:t xml:space="preserve">, Risk </w:t>
      </w:r>
      <w:proofErr w:type="spellStart"/>
      <w:r w:rsidRPr="001721CA">
        <w:t>Factors</w:t>
      </w:r>
      <w:proofErr w:type="spellEnd"/>
      <w:r w:rsidRPr="001721CA">
        <w:t xml:space="preserve"> </w:t>
      </w:r>
      <w:proofErr w:type="spellStart"/>
      <w:r w:rsidRPr="001721CA">
        <w:t>for</w:t>
      </w:r>
      <w:proofErr w:type="spellEnd"/>
      <w:r w:rsidRPr="001721CA">
        <w:t xml:space="preserve"> </w:t>
      </w:r>
      <w:proofErr w:type="spellStart"/>
      <w:r w:rsidRPr="001721CA">
        <w:t>Femicide</w:t>
      </w:r>
      <w:proofErr w:type="spellEnd"/>
      <w:r w:rsidRPr="001721CA">
        <w:t xml:space="preserve"> in </w:t>
      </w:r>
      <w:proofErr w:type="spellStart"/>
      <w:r w:rsidRPr="001721CA">
        <w:t>Abusive</w:t>
      </w:r>
      <w:proofErr w:type="spellEnd"/>
      <w:r w:rsidRPr="001721CA">
        <w:t xml:space="preserve"> </w:t>
      </w:r>
      <w:proofErr w:type="spellStart"/>
      <w:r w:rsidRPr="001721CA">
        <w:t>Relationships</w:t>
      </w:r>
      <w:proofErr w:type="spellEnd"/>
      <w:r w:rsidRPr="001721CA">
        <w:t xml:space="preserve">: </w:t>
      </w:r>
      <w:proofErr w:type="spellStart"/>
      <w:r w:rsidRPr="001721CA">
        <w:t>Results</w:t>
      </w:r>
      <w:proofErr w:type="spellEnd"/>
      <w:r w:rsidRPr="001721CA">
        <w:t xml:space="preserve"> </w:t>
      </w:r>
      <w:proofErr w:type="spellStart"/>
      <w:r w:rsidRPr="001721CA">
        <w:t>From</w:t>
      </w:r>
      <w:proofErr w:type="spellEnd"/>
      <w:r w:rsidRPr="001721CA">
        <w:t xml:space="preserve"> a </w:t>
      </w:r>
      <w:proofErr w:type="spellStart"/>
      <w:r w:rsidRPr="001721CA">
        <w:t>Multisite</w:t>
      </w:r>
      <w:proofErr w:type="spellEnd"/>
      <w:r w:rsidRPr="001721CA">
        <w:t xml:space="preserve"> Case </w:t>
      </w:r>
      <w:proofErr w:type="spellStart"/>
      <w:r w:rsidRPr="001721CA">
        <w:t>Control</w:t>
      </w:r>
      <w:proofErr w:type="spellEnd"/>
      <w:r w:rsidRPr="001721CA">
        <w:t xml:space="preserve"> Study. </w:t>
      </w:r>
      <w:proofErr w:type="spellStart"/>
      <w:r w:rsidRPr="001721CA">
        <w:rPr>
          <w:i/>
        </w:rPr>
        <w:t>American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Journal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of</w:t>
      </w:r>
      <w:proofErr w:type="spellEnd"/>
      <w:r w:rsidRPr="001721CA">
        <w:rPr>
          <w:i/>
        </w:rPr>
        <w:t xml:space="preserve"> Public </w:t>
      </w:r>
      <w:proofErr w:type="spellStart"/>
      <w:r w:rsidRPr="001721CA">
        <w:rPr>
          <w:i/>
        </w:rPr>
        <w:t>Health</w:t>
      </w:r>
      <w:proofErr w:type="spellEnd"/>
      <w:r w:rsidRPr="001721CA">
        <w:t xml:space="preserve">. č. 7, s. 1089-1097. </w:t>
      </w:r>
    </w:p>
    <w:p w:rsidR="00E279BE" w:rsidRPr="001721CA" w:rsidRDefault="00E279BE" w:rsidP="00E279BE">
      <w:pPr>
        <w:pStyle w:val="BC"/>
        <w:spacing w:after="240"/>
        <w:ind w:firstLine="0"/>
      </w:pPr>
      <w:r w:rsidRPr="001721CA">
        <w:t>Dressi</w:t>
      </w:r>
      <w:r>
        <w:t xml:space="preserve">ng, H., </w:t>
      </w:r>
      <w:proofErr w:type="spellStart"/>
      <w:r>
        <w:t>Kuehner</w:t>
      </w:r>
      <w:proofErr w:type="spellEnd"/>
      <w:r>
        <w:t xml:space="preserve">, Ch., </w:t>
      </w:r>
      <w:proofErr w:type="spellStart"/>
      <w:r>
        <w:t>Gass</w:t>
      </w:r>
      <w:proofErr w:type="spellEnd"/>
      <w:r>
        <w:t xml:space="preserve">, P. </w:t>
      </w:r>
      <w:r w:rsidRPr="001721CA">
        <w:t>(2005)</w:t>
      </w:r>
      <w:r w:rsidR="00723C61">
        <w:t>.</w:t>
      </w:r>
      <w:r w:rsidRPr="001721CA">
        <w:t xml:space="preserve"> </w:t>
      </w:r>
      <w:proofErr w:type="spellStart"/>
      <w:r w:rsidRPr="001721CA">
        <w:t>Lifetime</w:t>
      </w:r>
      <w:proofErr w:type="spellEnd"/>
      <w:r w:rsidRPr="001721CA">
        <w:t xml:space="preserve"> prevalence </w:t>
      </w:r>
      <w:proofErr w:type="spellStart"/>
      <w:r w:rsidRPr="001721CA">
        <w:t>and</w:t>
      </w:r>
      <w:proofErr w:type="spellEnd"/>
      <w:r w:rsidRPr="001721CA">
        <w:t xml:space="preserve"> </w:t>
      </w:r>
      <w:proofErr w:type="spellStart"/>
      <w:r w:rsidRPr="001721CA">
        <w:t>impact</w:t>
      </w:r>
      <w:proofErr w:type="spellEnd"/>
      <w:r w:rsidRPr="001721CA">
        <w:t xml:space="preserve"> </w:t>
      </w:r>
      <w:proofErr w:type="spellStart"/>
      <w:r w:rsidRPr="001721CA">
        <w:t>of</w:t>
      </w:r>
      <w:proofErr w:type="spellEnd"/>
      <w:r w:rsidRPr="001721CA">
        <w:t xml:space="preserve"> stalking in a </w:t>
      </w:r>
      <w:proofErr w:type="spellStart"/>
      <w:r w:rsidRPr="001721CA">
        <w:t>European</w:t>
      </w:r>
      <w:proofErr w:type="spellEnd"/>
      <w:r w:rsidRPr="001721CA">
        <w:t xml:space="preserve"> </w:t>
      </w:r>
      <w:proofErr w:type="spellStart"/>
      <w:r w:rsidRPr="001721CA">
        <w:t>population</w:t>
      </w:r>
      <w:proofErr w:type="spellEnd"/>
      <w:r w:rsidRPr="001721CA">
        <w:t xml:space="preserve">. </w:t>
      </w:r>
      <w:proofErr w:type="spellStart"/>
      <w:r w:rsidRPr="001721CA">
        <w:rPr>
          <w:i/>
        </w:rPr>
        <w:t>British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Journal</w:t>
      </w:r>
      <w:proofErr w:type="spellEnd"/>
      <w:r w:rsidRPr="001721CA">
        <w:rPr>
          <w:i/>
        </w:rPr>
        <w:t xml:space="preserve"> </w:t>
      </w:r>
      <w:proofErr w:type="spellStart"/>
      <w:r w:rsidRPr="001721CA">
        <w:rPr>
          <w:i/>
        </w:rPr>
        <w:t>of</w:t>
      </w:r>
      <w:proofErr w:type="spellEnd"/>
      <w:r w:rsidRPr="001721CA">
        <w:rPr>
          <w:i/>
        </w:rPr>
        <w:t xml:space="preserve"> Psychiatry</w:t>
      </w:r>
      <w:r w:rsidRPr="001721CA">
        <w:t xml:space="preserve">, č. 187, s. 168-172. </w:t>
      </w:r>
    </w:p>
    <w:p w:rsidR="000F306F" w:rsidRPr="001721CA" w:rsidRDefault="000F306F" w:rsidP="000F306F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Kamphuis</w:t>
      </w:r>
      <w:proofErr w:type="spellEnd"/>
      <w:r w:rsidRPr="001721CA">
        <w:rPr>
          <w:bCs/>
          <w:iCs/>
        </w:rPr>
        <w:t xml:space="preserve">, J. H., </w:t>
      </w:r>
      <w:proofErr w:type="spellStart"/>
      <w:r w:rsidRPr="001721CA">
        <w:rPr>
          <w:bCs/>
          <w:iCs/>
        </w:rPr>
        <w:t>Emmelkamp</w:t>
      </w:r>
      <w:proofErr w:type="spellEnd"/>
      <w:r w:rsidRPr="001721CA">
        <w:rPr>
          <w:bCs/>
          <w:iCs/>
        </w:rPr>
        <w:t xml:space="preserve">, P. M. G. (2000). Stalking – a </w:t>
      </w:r>
      <w:proofErr w:type="spellStart"/>
      <w:r w:rsidRPr="001721CA">
        <w:rPr>
          <w:bCs/>
          <w:iCs/>
        </w:rPr>
        <w:t>contemporaty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challenge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for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forensic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clinical</w:t>
      </w:r>
      <w:proofErr w:type="spellEnd"/>
      <w:r w:rsidRPr="001721CA">
        <w:rPr>
          <w:bCs/>
          <w:iCs/>
        </w:rPr>
        <w:t xml:space="preserve"> psychiatry.</w:t>
      </w:r>
      <w:r w:rsidRPr="001721CA">
        <w:t xml:space="preserve"> </w:t>
      </w:r>
      <w:proofErr w:type="spellStart"/>
      <w:r w:rsidRPr="001721CA">
        <w:rPr>
          <w:bCs/>
          <w:i/>
          <w:iCs/>
        </w:rPr>
        <w:t>American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Journal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of</w:t>
      </w:r>
      <w:proofErr w:type="spellEnd"/>
      <w:r w:rsidRPr="001721CA">
        <w:rPr>
          <w:bCs/>
          <w:i/>
          <w:iCs/>
        </w:rPr>
        <w:t xml:space="preserve"> Psychiatry</w:t>
      </w:r>
      <w:r w:rsidRPr="001721CA">
        <w:rPr>
          <w:bCs/>
          <w:iCs/>
        </w:rPr>
        <w:t>, č. 176, s. 206–209.</w:t>
      </w:r>
    </w:p>
    <w:p w:rsidR="000F306F" w:rsidRPr="001721CA" w:rsidRDefault="000F306F" w:rsidP="000F306F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lastRenderedPageBreak/>
        <w:t>Meloy</w:t>
      </w:r>
      <w:proofErr w:type="spellEnd"/>
      <w:r w:rsidRPr="001721CA">
        <w:rPr>
          <w:bCs/>
          <w:iCs/>
        </w:rPr>
        <w:t xml:space="preserve">, J. R., Gothard, S. (1995). </w:t>
      </w:r>
      <w:proofErr w:type="spellStart"/>
      <w:r w:rsidRPr="001721CA">
        <w:rPr>
          <w:bCs/>
          <w:iCs/>
        </w:rPr>
        <w:t>Demographic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clinical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comparison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of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obsessional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followers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offenders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with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mental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disorders</w:t>
      </w:r>
      <w:proofErr w:type="spellEnd"/>
      <w:r w:rsidRPr="001721CA">
        <w:rPr>
          <w:bCs/>
          <w:iCs/>
        </w:rPr>
        <w:t xml:space="preserve">. </w:t>
      </w:r>
      <w:proofErr w:type="spellStart"/>
      <w:r w:rsidRPr="001721CA">
        <w:rPr>
          <w:bCs/>
          <w:i/>
          <w:iCs/>
        </w:rPr>
        <w:t>American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Journal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of</w:t>
      </w:r>
      <w:proofErr w:type="spellEnd"/>
      <w:r w:rsidRPr="001721CA">
        <w:rPr>
          <w:bCs/>
          <w:i/>
          <w:iCs/>
        </w:rPr>
        <w:t xml:space="preserve"> Psychiatry</w:t>
      </w:r>
      <w:r w:rsidRPr="001721CA">
        <w:rPr>
          <w:bCs/>
          <w:iCs/>
        </w:rPr>
        <w:t>, č. 152,</w:t>
      </w:r>
      <w:r w:rsidR="00644DAA">
        <w:rPr>
          <w:bCs/>
          <w:iCs/>
        </w:rPr>
        <w:t xml:space="preserve"> s. </w:t>
      </w:r>
      <w:r w:rsidRPr="001721CA">
        <w:rPr>
          <w:bCs/>
          <w:iCs/>
        </w:rPr>
        <w:t>258–263.</w:t>
      </w:r>
    </w:p>
    <w:p w:rsidR="0071408F" w:rsidRPr="001721CA" w:rsidRDefault="0071408F" w:rsidP="0071408F">
      <w:pPr>
        <w:pStyle w:val="BC"/>
        <w:spacing w:after="240"/>
        <w:ind w:firstLine="0"/>
      </w:pPr>
      <w:proofErr w:type="spellStart"/>
      <w:r w:rsidRPr="001721CA">
        <w:rPr>
          <w:bCs/>
          <w:iCs/>
        </w:rPr>
        <w:t>M</w:t>
      </w:r>
      <w:r>
        <w:rPr>
          <w:bCs/>
          <w:iCs/>
        </w:rPr>
        <w:t>ullen</w:t>
      </w:r>
      <w:proofErr w:type="spellEnd"/>
      <w:r>
        <w:rPr>
          <w:bCs/>
          <w:iCs/>
        </w:rPr>
        <w:t xml:space="preserve">, </w:t>
      </w:r>
      <w:r w:rsidRPr="001721CA">
        <w:rPr>
          <w:bCs/>
          <w:iCs/>
        </w:rPr>
        <w:t xml:space="preserve">P. E. </w:t>
      </w:r>
      <w:r>
        <w:rPr>
          <w:bCs/>
          <w:iCs/>
        </w:rPr>
        <w:t>(</w:t>
      </w:r>
      <w:r w:rsidRPr="001721CA">
        <w:rPr>
          <w:bCs/>
          <w:iCs/>
        </w:rPr>
        <w:t>1999</w:t>
      </w:r>
      <w:r>
        <w:rPr>
          <w:bCs/>
          <w:iCs/>
        </w:rPr>
        <w:t>)</w:t>
      </w:r>
      <w:r w:rsidRPr="001721CA">
        <w:rPr>
          <w:bCs/>
          <w:iCs/>
        </w:rPr>
        <w:t xml:space="preserve">. Study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Stalkers</w:t>
      </w:r>
      <w:proofErr w:type="spellEnd"/>
      <w:r w:rsidRPr="001721CA">
        <w:rPr>
          <w:bCs/>
          <w:iCs/>
        </w:rPr>
        <w:t>.</w:t>
      </w:r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American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Journal</w:t>
      </w:r>
      <w:proofErr w:type="spellEnd"/>
      <w:r w:rsidRPr="001721CA">
        <w:rPr>
          <w:bCs/>
          <w:i/>
          <w:iCs/>
        </w:rPr>
        <w:t xml:space="preserve"> </w:t>
      </w:r>
      <w:proofErr w:type="spellStart"/>
      <w:r w:rsidRPr="001721CA">
        <w:rPr>
          <w:bCs/>
          <w:i/>
          <w:iCs/>
        </w:rPr>
        <w:t>of</w:t>
      </w:r>
      <w:proofErr w:type="spellEnd"/>
      <w:r w:rsidRPr="001721CA">
        <w:rPr>
          <w:bCs/>
          <w:i/>
          <w:iCs/>
        </w:rPr>
        <w:t xml:space="preserve"> Psychiatry.</w:t>
      </w:r>
      <w:r w:rsidRPr="001721CA">
        <w:t xml:space="preserve"> </w:t>
      </w:r>
      <w:proofErr w:type="gramStart"/>
      <w:r w:rsidRPr="001721CA">
        <w:t>č.</w:t>
      </w:r>
      <w:proofErr w:type="gramEnd"/>
      <w:r w:rsidRPr="001721CA">
        <w:t xml:space="preserve"> </w:t>
      </w:r>
      <w:r w:rsidRPr="001721CA">
        <w:rPr>
          <w:bCs/>
          <w:iCs/>
        </w:rPr>
        <w:t>156, s. 1244-1249.</w:t>
      </w:r>
    </w:p>
    <w:p w:rsidR="006A3EE0" w:rsidRPr="001721CA" w:rsidRDefault="00A836C3" w:rsidP="00A836C3">
      <w:pPr>
        <w:pStyle w:val="BC"/>
        <w:spacing w:after="240"/>
        <w:ind w:firstLine="0"/>
        <w:rPr>
          <w:bCs/>
          <w:iCs/>
        </w:rPr>
      </w:pPr>
      <w:proofErr w:type="spellStart"/>
      <w:r>
        <w:rPr>
          <w:bCs/>
          <w:iCs/>
        </w:rPr>
        <w:t>Mullen</w:t>
      </w:r>
      <w:proofErr w:type="spellEnd"/>
      <w:r>
        <w:rPr>
          <w:bCs/>
          <w:iCs/>
        </w:rPr>
        <w:t>, P. E.</w:t>
      </w:r>
      <w:r w:rsidR="006A3EE0" w:rsidRPr="001721CA">
        <w:rPr>
          <w:bCs/>
          <w:iCs/>
        </w:rPr>
        <w:t xml:space="preserve"> (2006).</w:t>
      </w:r>
      <w:r w:rsidR="006A3EE0" w:rsidRPr="001721CA">
        <w:t xml:space="preserve"> </w:t>
      </w:r>
      <w:proofErr w:type="spellStart"/>
      <w:r w:rsidR="006A3EE0" w:rsidRPr="001721CA">
        <w:rPr>
          <w:bCs/>
          <w:iCs/>
        </w:rPr>
        <w:t>Assessing</w:t>
      </w:r>
      <w:proofErr w:type="spellEnd"/>
      <w:r w:rsidR="006A3EE0" w:rsidRPr="001721CA">
        <w:rPr>
          <w:bCs/>
          <w:iCs/>
        </w:rPr>
        <w:t xml:space="preserve"> </w:t>
      </w:r>
      <w:proofErr w:type="spellStart"/>
      <w:r w:rsidR="006A3EE0" w:rsidRPr="001721CA">
        <w:rPr>
          <w:bCs/>
          <w:iCs/>
        </w:rPr>
        <w:t>and</w:t>
      </w:r>
      <w:proofErr w:type="spellEnd"/>
      <w:r w:rsidR="006A3EE0" w:rsidRPr="001721CA">
        <w:rPr>
          <w:bCs/>
          <w:iCs/>
        </w:rPr>
        <w:t xml:space="preserve"> </w:t>
      </w:r>
      <w:proofErr w:type="spellStart"/>
      <w:r w:rsidR="006A3EE0" w:rsidRPr="001721CA">
        <w:rPr>
          <w:bCs/>
          <w:iCs/>
        </w:rPr>
        <w:t>Managing</w:t>
      </w:r>
      <w:proofErr w:type="spellEnd"/>
      <w:r w:rsidR="006A3EE0" w:rsidRPr="001721CA">
        <w:rPr>
          <w:bCs/>
          <w:iCs/>
        </w:rPr>
        <w:t xml:space="preserve"> </w:t>
      </w:r>
      <w:proofErr w:type="spellStart"/>
      <w:r w:rsidR="006A3EE0" w:rsidRPr="001721CA">
        <w:rPr>
          <w:bCs/>
          <w:iCs/>
        </w:rPr>
        <w:t>the</w:t>
      </w:r>
      <w:proofErr w:type="spellEnd"/>
      <w:r w:rsidR="006A3EE0" w:rsidRPr="001721CA">
        <w:rPr>
          <w:bCs/>
          <w:iCs/>
        </w:rPr>
        <w:t xml:space="preserve"> </w:t>
      </w:r>
      <w:proofErr w:type="spellStart"/>
      <w:r w:rsidR="006A3EE0" w:rsidRPr="001721CA">
        <w:rPr>
          <w:bCs/>
          <w:iCs/>
        </w:rPr>
        <w:t>Risks</w:t>
      </w:r>
      <w:proofErr w:type="spellEnd"/>
      <w:r w:rsidR="006A3EE0" w:rsidRPr="001721CA">
        <w:rPr>
          <w:bCs/>
          <w:iCs/>
        </w:rPr>
        <w:t xml:space="preserve"> in </w:t>
      </w:r>
      <w:proofErr w:type="spellStart"/>
      <w:r w:rsidR="006A3EE0" w:rsidRPr="001721CA">
        <w:rPr>
          <w:bCs/>
          <w:iCs/>
        </w:rPr>
        <w:t>the</w:t>
      </w:r>
      <w:proofErr w:type="spellEnd"/>
      <w:r w:rsidR="006A3EE0" w:rsidRPr="001721CA">
        <w:rPr>
          <w:bCs/>
          <w:iCs/>
        </w:rPr>
        <w:t xml:space="preserve"> Stalking </w:t>
      </w:r>
      <w:proofErr w:type="spellStart"/>
      <w:r w:rsidR="006A3EE0" w:rsidRPr="001721CA">
        <w:rPr>
          <w:bCs/>
          <w:iCs/>
        </w:rPr>
        <w:t>Situation</w:t>
      </w:r>
      <w:proofErr w:type="spellEnd"/>
      <w:r w:rsidR="006A3EE0" w:rsidRPr="001721CA">
        <w:rPr>
          <w:bCs/>
          <w:iCs/>
        </w:rPr>
        <w:t xml:space="preserve">. </w:t>
      </w:r>
      <w:proofErr w:type="spellStart"/>
      <w:r w:rsidR="006A3EE0" w:rsidRPr="001721CA">
        <w:rPr>
          <w:bCs/>
          <w:i/>
          <w:iCs/>
        </w:rPr>
        <w:t>The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Journal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of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the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American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Academy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of</w:t>
      </w:r>
      <w:proofErr w:type="spellEnd"/>
      <w:r w:rsidR="006A3EE0" w:rsidRPr="001721CA">
        <w:rPr>
          <w:bCs/>
          <w:i/>
          <w:iCs/>
        </w:rPr>
        <w:t xml:space="preserve"> Psychiatry </w:t>
      </w:r>
      <w:proofErr w:type="spellStart"/>
      <w:r w:rsidR="006A3EE0" w:rsidRPr="001721CA">
        <w:rPr>
          <w:bCs/>
          <w:i/>
          <w:iCs/>
        </w:rPr>
        <w:t>and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the</w:t>
      </w:r>
      <w:proofErr w:type="spellEnd"/>
      <w:r w:rsidR="006A3EE0" w:rsidRPr="001721CA">
        <w:rPr>
          <w:bCs/>
          <w:i/>
          <w:iCs/>
        </w:rPr>
        <w:t xml:space="preserve"> </w:t>
      </w:r>
      <w:proofErr w:type="spellStart"/>
      <w:r w:rsidR="006A3EE0" w:rsidRPr="001721CA">
        <w:rPr>
          <w:bCs/>
          <w:i/>
          <w:iCs/>
        </w:rPr>
        <w:t>Law</w:t>
      </w:r>
      <w:proofErr w:type="spellEnd"/>
      <w:r w:rsidR="006A3EE0" w:rsidRPr="001721CA">
        <w:rPr>
          <w:bCs/>
          <w:i/>
          <w:iCs/>
        </w:rPr>
        <w:t>, č.</w:t>
      </w:r>
      <w:r w:rsidR="006A3EE0" w:rsidRPr="001721CA">
        <w:rPr>
          <w:bCs/>
          <w:iCs/>
        </w:rPr>
        <w:t xml:space="preserve"> 34, s. 439–450.</w:t>
      </w:r>
    </w:p>
    <w:p w:rsidR="00A836C3" w:rsidRPr="001721CA" w:rsidRDefault="00A836C3" w:rsidP="00A836C3">
      <w:pPr>
        <w:pStyle w:val="BC"/>
        <w:spacing w:after="240"/>
        <w:ind w:firstLine="0"/>
        <w:rPr>
          <w:bCs/>
          <w:iCs/>
        </w:rPr>
      </w:pPr>
      <w:proofErr w:type="spellStart"/>
      <w:r>
        <w:rPr>
          <w:bCs/>
          <w:iCs/>
        </w:rPr>
        <w:t>Pažoutová</w:t>
      </w:r>
      <w:proofErr w:type="spellEnd"/>
      <w:r>
        <w:rPr>
          <w:bCs/>
          <w:iCs/>
        </w:rPr>
        <w:t xml:space="preserve">-Růžičková, J. (2005). </w:t>
      </w:r>
      <w:r w:rsidRPr="001721CA">
        <w:rPr>
          <w:bCs/>
          <w:iCs/>
        </w:rPr>
        <w:t>Post</w:t>
      </w:r>
      <w:r>
        <w:rPr>
          <w:bCs/>
          <w:iCs/>
        </w:rPr>
        <w:t>avení mládeže v trestní justici</w:t>
      </w:r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 xml:space="preserve">Sociální práce/Sociálna </w:t>
      </w:r>
      <w:proofErr w:type="spellStart"/>
      <w:r w:rsidRPr="001721CA">
        <w:rPr>
          <w:bCs/>
          <w:i/>
          <w:iCs/>
        </w:rPr>
        <w:t>práca</w:t>
      </w:r>
      <w:proofErr w:type="spellEnd"/>
      <w:r>
        <w:rPr>
          <w:bCs/>
          <w:iCs/>
        </w:rPr>
        <w:t>, č. 4, s. 132–</w:t>
      </w:r>
      <w:r w:rsidRPr="001721CA">
        <w:rPr>
          <w:bCs/>
          <w:iCs/>
        </w:rPr>
        <w:t>143.</w:t>
      </w:r>
    </w:p>
    <w:p w:rsidR="00F8405D" w:rsidRDefault="00A836C3" w:rsidP="00A836C3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Sheridan</w:t>
      </w:r>
      <w:proofErr w:type="spellEnd"/>
      <w:r w:rsidRPr="001721CA">
        <w:rPr>
          <w:bCs/>
          <w:iCs/>
        </w:rPr>
        <w:t xml:space="preserve">, L. P., </w:t>
      </w:r>
      <w:proofErr w:type="spellStart"/>
      <w:r w:rsidRPr="001721CA">
        <w:rPr>
          <w:bCs/>
          <w:iCs/>
        </w:rPr>
        <w:t>Blaauw</w:t>
      </w:r>
      <w:proofErr w:type="spellEnd"/>
      <w:r w:rsidRPr="001721CA">
        <w:rPr>
          <w:bCs/>
          <w:iCs/>
        </w:rPr>
        <w:t xml:space="preserve">, E., </w:t>
      </w:r>
      <w:proofErr w:type="spellStart"/>
      <w:r w:rsidRPr="001721CA">
        <w:rPr>
          <w:bCs/>
          <w:iCs/>
        </w:rPr>
        <w:t>Davies</w:t>
      </w:r>
      <w:proofErr w:type="spellEnd"/>
      <w:r w:rsidRPr="001721CA">
        <w:rPr>
          <w:bCs/>
          <w:iCs/>
        </w:rPr>
        <w:t xml:space="preserve">, G. M. (2003). STALKING - </w:t>
      </w:r>
      <w:proofErr w:type="spellStart"/>
      <w:r w:rsidRPr="001721CA">
        <w:rPr>
          <w:bCs/>
          <w:iCs/>
        </w:rPr>
        <w:t>Knowns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Unknowns</w:t>
      </w:r>
      <w:proofErr w:type="spellEnd"/>
      <w:r w:rsidRPr="001721CA">
        <w:rPr>
          <w:bCs/>
          <w:iCs/>
        </w:rPr>
        <w:t xml:space="preserve">. </w:t>
      </w:r>
      <w:r w:rsidRPr="001721CA">
        <w:rPr>
          <w:bCs/>
          <w:i/>
          <w:iCs/>
        </w:rPr>
        <w:t>TRAUMA, VIOLENCE, &amp; ABUSE</w:t>
      </w:r>
      <w:r>
        <w:rPr>
          <w:bCs/>
          <w:iCs/>
        </w:rPr>
        <w:t xml:space="preserve">, č. 2, </w:t>
      </w:r>
      <w:r w:rsidRPr="001721CA">
        <w:rPr>
          <w:bCs/>
          <w:iCs/>
        </w:rPr>
        <w:t>s. 148-162.</w:t>
      </w:r>
    </w:p>
    <w:p w:rsidR="006D6B0C" w:rsidRPr="00611C08" w:rsidRDefault="006D6B0C" w:rsidP="00611C08">
      <w:pPr>
        <w:spacing w:before="240" w:after="240"/>
        <w:ind w:firstLine="0"/>
        <w:rPr>
          <w:b/>
          <w:sz w:val="28"/>
          <w:szCs w:val="28"/>
        </w:rPr>
      </w:pPr>
      <w:r w:rsidRPr="00611C08">
        <w:rPr>
          <w:b/>
          <w:sz w:val="28"/>
          <w:szCs w:val="28"/>
        </w:rPr>
        <w:t xml:space="preserve">Elektronické zdroje </w:t>
      </w:r>
    </w:p>
    <w:p w:rsidR="00C7603C" w:rsidRDefault="00C7603C" w:rsidP="00611C08">
      <w:pPr>
        <w:pStyle w:val="BC"/>
        <w:spacing w:before="240" w:after="240"/>
        <w:ind w:firstLine="0"/>
        <w:rPr>
          <w:bCs/>
          <w:iCs/>
        </w:rPr>
      </w:pPr>
      <w:r>
        <w:rPr>
          <w:bCs/>
          <w:iCs/>
        </w:rPr>
        <w:t xml:space="preserve">BKB. (nedatováno). </w:t>
      </w:r>
      <w:r w:rsidRPr="00C7603C">
        <w:rPr>
          <w:bCs/>
          <w:iCs/>
        </w:rPr>
        <w:t>Jak podat trestní oznámení</w:t>
      </w:r>
      <w:r>
        <w:rPr>
          <w:bCs/>
          <w:iCs/>
        </w:rPr>
        <w:t xml:space="preserve"> </w:t>
      </w:r>
      <w:r w:rsidR="00716EB3">
        <w:rPr>
          <w:bCs/>
          <w:iCs/>
        </w:rPr>
        <w:t>[on-line]. Dostupné 28. 2. 2014</w:t>
      </w:r>
      <w:r w:rsidRPr="00C7603C">
        <w:rPr>
          <w:bCs/>
          <w:iCs/>
        </w:rPr>
        <w:t xml:space="preserve"> z</w:t>
      </w:r>
      <w:r>
        <w:rPr>
          <w:bCs/>
          <w:iCs/>
        </w:rPr>
        <w:t xml:space="preserve"> </w:t>
      </w:r>
      <w:hyperlink r:id="rId15" w:history="1">
        <w:r w:rsidRPr="00993EAC">
          <w:rPr>
            <w:rStyle w:val="Hypertextovodkaz"/>
            <w:bCs/>
            <w:iCs/>
          </w:rPr>
          <w:t>http://www.bkb.cz/pomoc-obetem/trestni-oznameni/</w:t>
        </w:r>
      </w:hyperlink>
    </w:p>
    <w:p w:rsidR="007064C7" w:rsidRDefault="007064C7" w:rsidP="006A3EE0">
      <w:pPr>
        <w:pStyle w:val="BC"/>
        <w:spacing w:after="240"/>
        <w:ind w:firstLine="0"/>
        <w:rPr>
          <w:bCs/>
          <w:iCs/>
        </w:rPr>
      </w:pPr>
      <w:r>
        <w:rPr>
          <w:bCs/>
          <w:iCs/>
        </w:rPr>
        <w:t xml:space="preserve">BKB. (2009). Výroční zpráva Bílého kruhu bezpečí, o. s./2009 [on-line]. Dostupné 28. 2. 2014 </w:t>
      </w:r>
      <w:r w:rsidRPr="00C7603C">
        <w:rPr>
          <w:bCs/>
          <w:iCs/>
        </w:rPr>
        <w:t>z</w:t>
      </w:r>
      <w:r>
        <w:rPr>
          <w:bCs/>
          <w:iCs/>
        </w:rPr>
        <w:t xml:space="preserve"> </w:t>
      </w:r>
      <w:hyperlink r:id="rId16" w:history="1">
        <w:r w:rsidRPr="007064C7">
          <w:rPr>
            <w:rStyle w:val="Hypertextovodkaz"/>
            <w:bCs/>
            <w:iCs/>
          </w:rPr>
          <w:t>http://www.google.cz/url?sa=t&amp;rct=j&amp;q=&amp;esrc=s&amp;source=web&amp;cd=1&amp;ved=0CDkQFjAA&amp;url=http%3A%2F%2Fwww.bkb.cz%2Ffiles%2Findex.php%3Fid%3D9&amp;ei=OUUtU8b4AsSm4AT20oHgDA&amp;usg=AFQjCNGwgNNQplYb1EDQxkCDc0bruaHABg&amp;sig2=U80kwJ67kofU8f5s-rpGgg&amp;bvm=bv.62922401,d.bGE</w:t>
        </w:r>
      </w:hyperlink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>
        <w:rPr>
          <w:bCs/>
          <w:iCs/>
        </w:rPr>
        <w:t>BKB</w:t>
      </w:r>
      <w:r w:rsidR="00C7603C">
        <w:rPr>
          <w:bCs/>
          <w:iCs/>
        </w:rPr>
        <w:t>.</w:t>
      </w:r>
      <w:r>
        <w:rPr>
          <w:bCs/>
          <w:iCs/>
        </w:rPr>
        <w:t xml:space="preserve"> (2010). </w:t>
      </w:r>
      <w:r w:rsidRPr="001721CA">
        <w:rPr>
          <w:bCs/>
          <w:iCs/>
        </w:rPr>
        <w:t>Pomoc obětem trestných činů. Nebezpečné pronásledování [on-line]. Dostupné 28. 3. 2013 z</w:t>
      </w:r>
      <w:r w:rsidRPr="001721CA">
        <w:t xml:space="preserve"> </w:t>
      </w:r>
      <w:hyperlink r:id="rId17" w:history="1">
        <w:r w:rsidRPr="001721CA">
          <w:rPr>
            <w:rStyle w:val="Hypertextovodkaz"/>
            <w:bCs/>
            <w:iCs/>
          </w:rPr>
          <w:t>http://www.bkb.cz/pomoc-obetem/trestne-ciny/nebezpecne-pronasledovani/</w:t>
        </w:r>
      </w:hyperlink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t xml:space="preserve">IC-Brno. (nedatováno). Co je interdisciplinární tým? [on-line]. Dostupné 7. 10. 2013 z </w:t>
      </w:r>
      <w:hyperlink r:id="rId18" w:history="1">
        <w:r w:rsidRPr="001721CA">
          <w:rPr>
            <w:rStyle w:val="Hypertextovodkaz"/>
            <w:bCs/>
            <w:iCs/>
          </w:rPr>
          <w:t>http://www.icbrno.cz/interdisciplinarni-tym</w:t>
        </w:r>
      </w:hyperlink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t xml:space="preserve">MPSCR. (2013).  Probační a mediační služba pomáhá obětem trestných činů! [on-line]. Dostupné 7. 10. 2013 z  </w:t>
      </w:r>
      <w:hyperlink r:id="rId19" w:history="1">
        <w:r w:rsidRPr="001721CA">
          <w:rPr>
            <w:rStyle w:val="Hypertextovodkaz"/>
            <w:bCs/>
            <w:iCs/>
          </w:rPr>
          <w:t>https://www.pmscr.cz/obeti-trestneho-cinu/</w:t>
        </w:r>
      </w:hyperlink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lastRenderedPageBreak/>
        <w:t xml:space="preserve">NCFVC. (2003). </w:t>
      </w:r>
      <w:proofErr w:type="spellStart"/>
      <w:r w:rsidRPr="001721CA">
        <w:rPr>
          <w:bCs/>
          <w:iCs/>
        </w:rPr>
        <w:t>Using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Probation</w:t>
      </w:r>
      <w:proofErr w:type="spellEnd"/>
      <w:r w:rsidRPr="001721CA">
        <w:rPr>
          <w:bCs/>
          <w:iCs/>
        </w:rPr>
        <w:t xml:space="preserve"> </w:t>
      </w:r>
      <w:proofErr w:type="spellStart"/>
      <w:r w:rsidRPr="001721CA">
        <w:rPr>
          <w:bCs/>
          <w:iCs/>
        </w:rPr>
        <w:t>and</w:t>
      </w:r>
      <w:proofErr w:type="spellEnd"/>
      <w:r w:rsidRPr="001721CA">
        <w:rPr>
          <w:bCs/>
          <w:iCs/>
        </w:rPr>
        <w:t xml:space="preserve"> Parole to Stop </w:t>
      </w:r>
      <w:proofErr w:type="spellStart"/>
      <w:r w:rsidRPr="001721CA">
        <w:rPr>
          <w:bCs/>
          <w:iCs/>
        </w:rPr>
        <w:t>Stalkers</w:t>
      </w:r>
      <w:proofErr w:type="spellEnd"/>
      <w:r w:rsidRPr="001721CA">
        <w:rPr>
          <w:bCs/>
          <w:iCs/>
        </w:rPr>
        <w:t>. [on-line]. Dostupné 1. 10. 2013 z</w:t>
      </w:r>
      <w:r>
        <w:rPr>
          <w:bCs/>
          <w:iCs/>
        </w:rPr>
        <w:t xml:space="preserve"> </w:t>
      </w:r>
      <w:hyperlink r:id="rId20" w:history="1">
        <w:r w:rsidRPr="001721CA">
          <w:rPr>
            <w:rStyle w:val="Hypertextovodkaz"/>
            <w:bCs/>
            <w:iCs/>
          </w:rPr>
          <w:t>http://www.victimsofcrime.org/docs/Information%20Clearinghouse/Using%20Probation%20and%20Parole%20to%20Stop%20Stalkers.pdf?sfvrsn=0</w:t>
        </w:r>
      </w:hyperlink>
      <w:r w:rsidRPr="001721CA">
        <w:rPr>
          <w:bCs/>
          <w:iCs/>
        </w:rPr>
        <w:t xml:space="preserve"> </w:t>
      </w:r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1721CA">
        <w:rPr>
          <w:bCs/>
          <w:iCs/>
        </w:rPr>
        <w:t xml:space="preserve">Válková, H. (2009). Česká podoba stalkingu podle § 354 Trestního zákoníku v širších než jen trestněprávních </w:t>
      </w:r>
      <w:proofErr w:type="gramStart"/>
      <w:r w:rsidRPr="001721CA">
        <w:rPr>
          <w:bCs/>
          <w:iCs/>
        </w:rPr>
        <w:t>souvislostech</w:t>
      </w:r>
      <w:proofErr w:type="gramEnd"/>
      <w:r w:rsidRPr="001721CA">
        <w:t xml:space="preserve"> </w:t>
      </w:r>
      <w:r w:rsidRPr="001721CA">
        <w:rPr>
          <w:bCs/>
          <w:iCs/>
        </w:rPr>
        <w:t xml:space="preserve">[on-line]. Dostupné 7. 9. 2013 z </w:t>
      </w:r>
      <w:hyperlink r:id="rId21" w:history="1">
        <w:r w:rsidRPr="001721CA">
          <w:rPr>
            <w:rStyle w:val="Hypertextovodkaz"/>
            <w:bCs/>
            <w:iCs/>
          </w:rPr>
          <w:t>http://www.ipravnik.cz/cz/clanky/trestni-pravo/art_6562/ceska-podoba-stalkingu-podle-354-trz-v-sirsich-nez-jen-trestnepravnich-souvislostech.aspx</w:t>
        </w:r>
      </w:hyperlink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proofErr w:type="spellStart"/>
      <w:r w:rsidRPr="001721CA">
        <w:rPr>
          <w:bCs/>
          <w:iCs/>
        </w:rPr>
        <w:t>Visinger</w:t>
      </w:r>
      <w:proofErr w:type="spellEnd"/>
      <w:r w:rsidRPr="001721CA">
        <w:rPr>
          <w:bCs/>
          <w:iCs/>
        </w:rPr>
        <w:t>, R. (2009). Jak postihovat stalking? Zamyšlení nad novou právní úpravou [on-line]. Dostupné 10. 10. 2013 z</w:t>
      </w:r>
      <w:r>
        <w:rPr>
          <w:bCs/>
          <w:iCs/>
        </w:rPr>
        <w:t xml:space="preserve"> </w:t>
      </w:r>
      <w:hyperlink r:id="rId22" w:history="1">
        <w:r w:rsidRPr="001721CA">
          <w:rPr>
            <w:rStyle w:val="Hypertextovodkaz"/>
            <w:bCs/>
            <w:iCs/>
          </w:rPr>
          <w:t>http://www.ipravnik.cz/cz/clanky/ap_8/pd_1/txtexpresion_sen%C3%A1tem/art_6587/detail.aspx</w:t>
        </w:r>
      </w:hyperlink>
    </w:p>
    <w:p w:rsidR="00611C08" w:rsidRPr="00611C08" w:rsidRDefault="006A3EE0" w:rsidP="00DE64F6">
      <w:pPr>
        <w:pStyle w:val="BC"/>
        <w:spacing w:after="240"/>
        <w:ind w:firstLine="0"/>
      </w:pPr>
      <w:r w:rsidRPr="001721CA">
        <w:rPr>
          <w:bCs/>
          <w:iCs/>
        </w:rPr>
        <w:t xml:space="preserve">Šulová, L. (2007). Partnerské vztahy, manželství a rodičovství [on-line]. Dostupné 7. 11. 2013 z </w:t>
      </w:r>
      <w:hyperlink r:id="rId23" w:history="1">
        <w:r w:rsidRPr="001721CA">
          <w:rPr>
            <w:rStyle w:val="Hypertextovodkaz"/>
            <w:bCs/>
            <w:iCs/>
          </w:rPr>
          <w:t>http://www.planovanirodiny.cz/view.php?cisloclanku=2008020102</w:t>
        </w:r>
      </w:hyperlink>
    </w:p>
    <w:p w:rsidR="00AF0508" w:rsidRPr="00611C08" w:rsidRDefault="00AF0508" w:rsidP="00611C08">
      <w:pPr>
        <w:spacing w:before="240" w:after="240"/>
        <w:ind w:firstLine="0"/>
        <w:rPr>
          <w:b/>
          <w:sz w:val="28"/>
          <w:szCs w:val="28"/>
        </w:rPr>
      </w:pPr>
      <w:proofErr w:type="spellStart"/>
      <w:r w:rsidRPr="00611C08">
        <w:rPr>
          <w:b/>
          <w:sz w:val="28"/>
          <w:szCs w:val="28"/>
        </w:rPr>
        <w:t>Vnitroorganizační</w:t>
      </w:r>
      <w:proofErr w:type="spellEnd"/>
      <w:r w:rsidRPr="00611C08">
        <w:rPr>
          <w:b/>
          <w:sz w:val="28"/>
          <w:szCs w:val="28"/>
        </w:rPr>
        <w:t xml:space="preserve"> materiály </w:t>
      </w:r>
    </w:p>
    <w:p w:rsidR="00611C08" w:rsidRPr="00AF0508" w:rsidRDefault="007064C7" w:rsidP="00AF0508">
      <w:pPr>
        <w:ind w:firstLine="0"/>
      </w:pPr>
      <w:r>
        <w:t xml:space="preserve">Nepublikovaný </w:t>
      </w:r>
      <w:proofErr w:type="spellStart"/>
      <w:r w:rsidR="00AF0508">
        <w:t>vnitroorganizační</w:t>
      </w:r>
      <w:proofErr w:type="spellEnd"/>
      <w:r w:rsidR="00AF0508">
        <w:t xml:space="preserve"> materiál Policie ČR. (nedatováno). </w:t>
      </w:r>
      <w:r w:rsidR="00AF0508" w:rsidRPr="00AF0508">
        <w:rPr>
          <w:i/>
        </w:rPr>
        <w:t>Stalking – nebezpečné pronásledování.</w:t>
      </w:r>
      <w:r w:rsidR="00AF0508">
        <w:t xml:space="preserve"> </w:t>
      </w:r>
    </w:p>
    <w:p w:rsidR="00225ED9" w:rsidRPr="00611C08" w:rsidRDefault="00225ED9" w:rsidP="00611C08">
      <w:pPr>
        <w:spacing w:before="240" w:after="240"/>
        <w:ind w:firstLine="0"/>
        <w:rPr>
          <w:b/>
          <w:sz w:val="28"/>
          <w:szCs w:val="28"/>
        </w:rPr>
      </w:pPr>
      <w:r w:rsidRPr="00611C08">
        <w:rPr>
          <w:b/>
          <w:sz w:val="28"/>
          <w:szCs w:val="28"/>
        </w:rPr>
        <w:t>Kvalifikační práce</w:t>
      </w:r>
    </w:p>
    <w:p w:rsidR="00611C08" w:rsidRPr="00225ED9" w:rsidRDefault="00AF0508" w:rsidP="00611C08">
      <w:pPr>
        <w:spacing w:before="240" w:after="240"/>
        <w:ind w:firstLine="0"/>
      </w:pPr>
      <w:r>
        <w:t>Němeček, A</w:t>
      </w:r>
      <w:r w:rsidR="00225ED9">
        <w:t xml:space="preserve">. (2010). </w:t>
      </w:r>
      <w:r w:rsidR="00225ED9" w:rsidRPr="00AF0508">
        <w:rPr>
          <w:i/>
        </w:rPr>
        <w:t>Nebezpečné pronásledování – stalking (diplomová práce).</w:t>
      </w:r>
      <w:r>
        <w:t xml:space="preserve"> Brno:</w:t>
      </w:r>
      <w:r w:rsidR="00225ED9">
        <w:t xml:space="preserve"> Masarykova univerzita</w:t>
      </w:r>
      <w:r>
        <w:t>.</w:t>
      </w:r>
    </w:p>
    <w:p w:rsidR="00F8405D" w:rsidRPr="00611C08" w:rsidRDefault="00F8405D" w:rsidP="00611C08">
      <w:pPr>
        <w:spacing w:before="240" w:after="240"/>
        <w:ind w:firstLine="0"/>
        <w:rPr>
          <w:b/>
          <w:sz w:val="28"/>
          <w:szCs w:val="28"/>
        </w:rPr>
      </w:pPr>
      <w:r w:rsidRPr="00611C08">
        <w:rPr>
          <w:b/>
          <w:sz w:val="28"/>
          <w:szCs w:val="28"/>
        </w:rPr>
        <w:t>Zákony</w:t>
      </w:r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Občanský zákoník.</w:t>
      </w:r>
      <w:r>
        <w:rPr>
          <w:bCs/>
          <w:iCs/>
        </w:rPr>
        <w:t xml:space="preserve"> Zákon č. 89/2012 Sb.</w:t>
      </w:r>
      <w:r w:rsidRPr="001721CA">
        <w:rPr>
          <w:bCs/>
          <w:iCs/>
        </w:rPr>
        <w:t xml:space="preserve"> </w:t>
      </w:r>
      <w:r>
        <w:rPr>
          <w:bCs/>
          <w:iCs/>
        </w:rPr>
        <w:t>v účinném znění ke dni 15. 1. 2014.</w:t>
      </w:r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Trestní zákoník</w:t>
      </w:r>
      <w:r>
        <w:rPr>
          <w:bCs/>
          <w:iCs/>
        </w:rPr>
        <w:t xml:space="preserve">. </w:t>
      </w:r>
      <w:r w:rsidRPr="001721CA">
        <w:rPr>
          <w:bCs/>
          <w:iCs/>
        </w:rPr>
        <w:t>Zákon</w:t>
      </w:r>
      <w:r>
        <w:rPr>
          <w:bCs/>
          <w:iCs/>
        </w:rPr>
        <w:t xml:space="preserve"> č. 40/2009 Sb</w:t>
      </w:r>
      <w:r w:rsidRPr="001721CA">
        <w:rPr>
          <w:bCs/>
          <w:iCs/>
        </w:rPr>
        <w:t xml:space="preserve">. </w:t>
      </w:r>
      <w:r w:rsidRPr="006908B0">
        <w:rPr>
          <w:bCs/>
          <w:iCs/>
        </w:rPr>
        <w:t xml:space="preserve">v účinném znění ke dni </w:t>
      </w:r>
      <w:r w:rsidR="00644DAA">
        <w:rPr>
          <w:bCs/>
          <w:iCs/>
        </w:rPr>
        <w:t>10. 1</w:t>
      </w:r>
      <w:r w:rsidRPr="006908B0">
        <w:rPr>
          <w:bCs/>
          <w:iCs/>
        </w:rPr>
        <w:t>. 201</w:t>
      </w:r>
      <w:r w:rsidR="00644DAA">
        <w:rPr>
          <w:bCs/>
          <w:iCs/>
        </w:rPr>
        <w:t>4</w:t>
      </w:r>
      <w:r w:rsidRPr="006908B0">
        <w:rPr>
          <w:bCs/>
          <w:iCs/>
        </w:rPr>
        <w:t>.</w:t>
      </w:r>
    </w:p>
    <w:p w:rsidR="006A3EE0" w:rsidRPr="001721CA" w:rsidRDefault="006A3EE0" w:rsidP="006A3EE0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Zákon</w:t>
      </w:r>
      <w:r w:rsidR="00723C61">
        <w:rPr>
          <w:bCs/>
          <w:i/>
          <w:iCs/>
        </w:rPr>
        <w:t>,</w:t>
      </w:r>
      <w:r w:rsidRPr="006908B0">
        <w:rPr>
          <w:bCs/>
          <w:i/>
          <w:iCs/>
        </w:rPr>
        <w:t xml:space="preserve"> kterým se mění některé zákony v oblasti ochrany před domácím násilím</w:t>
      </w:r>
      <w:r>
        <w:rPr>
          <w:bCs/>
          <w:iCs/>
        </w:rPr>
        <w:t>. Zákon</w:t>
      </w:r>
      <w:r w:rsidRPr="001721CA">
        <w:rPr>
          <w:bCs/>
          <w:iCs/>
        </w:rPr>
        <w:t xml:space="preserve"> </w:t>
      </w:r>
      <w:r>
        <w:rPr>
          <w:bCs/>
          <w:iCs/>
        </w:rPr>
        <w:t>č.135/2006 Sb.</w:t>
      </w:r>
      <w:r w:rsidRPr="006908B0">
        <w:rPr>
          <w:bCs/>
          <w:iCs/>
        </w:rPr>
        <w:t xml:space="preserve"> v účinném znění ke dni </w:t>
      </w:r>
      <w:r w:rsidR="00644DAA">
        <w:rPr>
          <w:bCs/>
          <w:iCs/>
        </w:rPr>
        <w:t>13. 2</w:t>
      </w:r>
      <w:r w:rsidRPr="006908B0">
        <w:rPr>
          <w:bCs/>
          <w:iCs/>
        </w:rPr>
        <w:t>. 201</w:t>
      </w:r>
      <w:r w:rsidR="00644DAA">
        <w:rPr>
          <w:bCs/>
          <w:iCs/>
        </w:rPr>
        <w:t>4</w:t>
      </w:r>
      <w:r w:rsidRPr="006908B0">
        <w:rPr>
          <w:bCs/>
          <w:iCs/>
        </w:rPr>
        <w:t>.</w:t>
      </w:r>
    </w:p>
    <w:p w:rsidR="00FA0C86" w:rsidRPr="001721CA" w:rsidRDefault="00FA0C86" w:rsidP="00FA0C86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Zákon o obětech trestných činů.</w:t>
      </w:r>
      <w:r>
        <w:rPr>
          <w:bCs/>
          <w:iCs/>
        </w:rPr>
        <w:t xml:space="preserve"> Zákon</w:t>
      </w:r>
      <w:r w:rsidRPr="001721CA">
        <w:rPr>
          <w:bCs/>
          <w:iCs/>
        </w:rPr>
        <w:t xml:space="preserve"> </w:t>
      </w:r>
      <w:r>
        <w:rPr>
          <w:bCs/>
          <w:iCs/>
        </w:rPr>
        <w:t xml:space="preserve">č. 45/2013 Sb. </w:t>
      </w:r>
      <w:r w:rsidRPr="006908B0">
        <w:rPr>
          <w:bCs/>
          <w:iCs/>
        </w:rPr>
        <w:t xml:space="preserve">v účinném znění ke dni </w:t>
      </w:r>
      <w:r w:rsidR="00644DAA">
        <w:rPr>
          <w:bCs/>
          <w:iCs/>
        </w:rPr>
        <w:t>13. 2</w:t>
      </w:r>
      <w:r w:rsidRPr="006908B0">
        <w:rPr>
          <w:bCs/>
          <w:iCs/>
        </w:rPr>
        <w:t>. 201</w:t>
      </w:r>
      <w:r w:rsidR="00644DAA">
        <w:rPr>
          <w:bCs/>
          <w:iCs/>
        </w:rPr>
        <w:t>4</w:t>
      </w:r>
      <w:r w:rsidRPr="006908B0">
        <w:rPr>
          <w:bCs/>
          <w:iCs/>
        </w:rPr>
        <w:t>.</w:t>
      </w:r>
    </w:p>
    <w:p w:rsidR="00FA0C86" w:rsidRPr="001721CA" w:rsidRDefault="00FA0C86" w:rsidP="00FA0C86">
      <w:pPr>
        <w:pStyle w:val="BC"/>
        <w:spacing w:after="240"/>
        <w:ind w:firstLine="0"/>
        <w:rPr>
          <w:bCs/>
          <w:iCs/>
        </w:rPr>
      </w:pPr>
      <w:r w:rsidRPr="00FA0C86">
        <w:rPr>
          <w:bCs/>
          <w:i/>
          <w:iCs/>
        </w:rPr>
        <w:lastRenderedPageBreak/>
        <w:t>Zákon o Policii České republiky</w:t>
      </w:r>
      <w:r>
        <w:rPr>
          <w:bCs/>
          <w:iCs/>
        </w:rPr>
        <w:t>.</w:t>
      </w:r>
      <w:r w:rsidRPr="00FA0C86">
        <w:rPr>
          <w:bCs/>
          <w:iCs/>
        </w:rPr>
        <w:t xml:space="preserve"> </w:t>
      </w:r>
      <w:r>
        <w:rPr>
          <w:bCs/>
          <w:iCs/>
        </w:rPr>
        <w:t>Z</w:t>
      </w:r>
      <w:r w:rsidRPr="00FA0C86">
        <w:rPr>
          <w:bCs/>
          <w:iCs/>
        </w:rPr>
        <w:t xml:space="preserve">ákon č. 273/2008 Sb. </w:t>
      </w:r>
      <w:r>
        <w:rPr>
          <w:bCs/>
          <w:iCs/>
        </w:rPr>
        <w:t>v účinném zně</w:t>
      </w:r>
      <w:r w:rsidR="00644DAA">
        <w:rPr>
          <w:bCs/>
          <w:iCs/>
        </w:rPr>
        <w:t>ní ke dni 13. 2. 2014</w:t>
      </w:r>
      <w:r>
        <w:rPr>
          <w:bCs/>
          <w:iCs/>
        </w:rPr>
        <w:t xml:space="preserve">. </w:t>
      </w:r>
    </w:p>
    <w:p w:rsidR="006D6B0C" w:rsidRDefault="006A3EE0" w:rsidP="00A836C3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Zákon o probační a mediační službě</w:t>
      </w:r>
      <w:r>
        <w:rPr>
          <w:bCs/>
          <w:iCs/>
        </w:rPr>
        <w:t>. Zákon</w:t>
      </w:r>
      <w:r w:rsidRPr="001721CA">
        <w:rPr>
          <w:bCs/>
          <w:iCs/>
        </w:rPr>
        <w:t xml:space="preserve"> </w:t>
      </w:r>
      <w:r>
        <w:rPr>
          <w:bCs/>
          <w:iCs/>
        </w:rPr>
        <w:t>č. 257/2000 Sb.</w:t>
      </w:r>
      <w:r w:rsidRPr="006908B0">
        <w:rPr>
          <w:bCs/>
          <w:iCs/>
        </w:rPr>
        <w:t xml:space="preserve"> v účinném znění ke dni </w:t>
      </w:r>
      <w:r w:rsidR="00644DAA">
        <w:rPr>
          <w:bCs/>
          <w:iCs/>
        </w:rPr>
        <w:t>20. 1</w:t>
      </w:r>
      <w:r>
        <w:rPr>
          <w:bCs/>
          <w:iCs/>
        </w:rPr>
        <w:t>. </w:t>
      </w:r>
      <w:r w:rsidRPr="006908B0">
        <w:rPr>
          <w:bCs/>
          <w:iCs/>
        </w:rPr>
        <w:t>201</w:t>
      </w:r>
      <w:r w:rsidR="00644DAA">
        <w:rPr>
          <w:bCs/>
          <w:iCs/>
        </w:rPr>
        <w:t>4</w:t>
      </w:r>
      <w:r w:rsidRPr="006908B0">
        <w:rPr>
          <w:bCs/>
          <w:iCs/>
        </w:rPr>
        <w:t>.</w:t>
      </w:r>
    </w:p>
    <w:p w:rsidR="00FA0C86" w:rsidRPr="00FA0C86" w:rsidRDefault="00FA0C86" w:rsidP="00FA0C86">
      <w:pPr>
        <w:pStyle w:val="BC"/>
        <w:spacing w:after="240"/>
        <w:ind w:firstLine="0"/>
        <w:rPr>
          <w:b/>
          <w:bCs/>
          <w:iCs/>
        </w:rPr>
      </w:pPr>
      <w:r w:rsidRPr="00FA0C86">
        <w:rPr>
          <w:bCs/>
          <w:i/>
          <w:iCs/>
        </w:rPr>
        <w:t>Zákon o sociálně právní ochraně dětí</w:t>
      </w:r>
      <w:r>
        <w:rPr>
          <w:bCs/>
          <w:iCs/>
        </w:rPr>
        <w:t>. Zákon č. 359/1999 Sb.</w:t>
      </w:r>
      <w:r w:rsidRPr="00FA0C86">
        <w:rPr>
          <w:bCs/>
          <w:iCs/>
        </w:rPr>
        <w:t xml:space="preserve"> v </w:t>
      </w:r>
      <w:r w:rsidR="00644DAA">
        <w:rPr>
          <w:bCs/>
          <w:iCs/>
        </w:rPr>
        <w:t>účinném znění ke dni 13. 2. 2014</w:t>
      </w:r>
      <w:r w:rsidRPr="00FA0C86">
        <w:rPr>
          <w:bCs/>
          <w:iCs/>
        </w:rPr>
        <w:t xml:space="preserve">. </w:t>
      </w:r>
    </w:p>
    <w:p w:rsidR="00FA0C86" w:rsidRPr="001721CA" w:rsidRDefault="00FA0C86" w:rsidP="00FA0C86">
      <w:pPr>
        <w:pStyle w:val="BC"/>
        <w:spacing w:after="240"/>
        <w:ind w:firstLine="0"/>
        <w:rPr>
          <w:bCs/>
          <w:iCs/>
        </w:rPr>
      </w:pPr>
      <w:r w:rsidRPr="006908B0">
        <w:rPr>
          <w:bCs/>
          <w:i/>
          <w:iCs/>
        </w:rPr>
        <w:t>Zákon o sociálních službách.</w:t>
      </w:r>
      <w:r>
        <w:rPr>
          <w:bCs/>
          <w:iCs/>
        </w:rPr>
        <w:t xml:space="preserve"> Zákon č.</w:t>
      </w:r>
      <w:r w:rsidRPr="001721CA">
        <w:rPr>
          <w:bCs/>
          <w:iCs/>
        </w:rPr>
        <w:t xml:space="preserve"> </w:t>
      </w:r>
      <w:r>
        <w:rPr>
          <w:bCs/>
          <w:iCs/>
        </w:rPr>
        <w:t>108/2006 Sb.</w:t>
      </w:r>
      <w:r w:rsidRPr="006908B0">
        <w:rPr>
          <w:bCs/>
          <w:iCs/>
        </w:rPr>
        <w:t xml:space="preserve"> v účinném znění ke dni </w:t>
      </w:r>
      <w:r w:rsidR="00644DAA">
        <w:rPr>
          <w:bCs/>
          <w:iCs/>
        </w:rPr>
        <w:t>20. 2</w:t>
      </w:r>
      <w:r w:rsidRPr="006908B0">
        <w:rPr>
          <w:bCs/>
          <w:iCs/>
        </w:rPr>
        <w:t>. 201</w:t>
      </w:r>
      <w:r w:rsidR="00644DAA">
        <w:rPr>
          <w:bCs/>
          <w:iCs/>
        </w:rPr>
        <w:t>4</w:t>
      </w:r>
      <w:r w:rsidRPr="006908B0">
        <w:rPr>
          <w:bCs/>
          <w:iCs/>
        </w:rPr>
        <w:t>.</w:t>
      </w:r>
    </w:p>
    <w:p w:rsidR="00341B57" w:rsidRPr="006B2B44" w:rsidRDefault="00341B57" w:rsidP="00341B57">
      <w:pPr>
        <w:pStyle w:val="Nadpis1"/>
        <w:numPr>
          <w:ilvl w:val="0"/>
          <w:numId w:val="0"/>
        </w:numPr>
      </w:pPr>
      <w:bookmarkStart w:id="61" w:name="_Toc291021961"/>
      <w:bookmarkStart w:id="62" w:name="_Toc292200487"/>
      <w:bookmarkStart w:id="63" w:name="_Toc383408630"/>
      <w:r w:rsidRPr="006B2B44">
        <w:lastRenderedPageBreak/>
        <w:t>Seznam použitých zkratek</w:t>
      </w:r>
      <w:bookmarkEnd w:id="61"/>
      <w:bookmarkEnd w:id="62"/>
      <w:bookmarkEnd w:id="63"/>
    </w:p>
    <w:p w:rsidR="000F2C4C" w:rsidRDefault="000F2C4C" w:rsidP="000F2C4C">
      <w:pPr>
        <w:pStyle w:val="BC"/>
        <w:spacing w:after="240"/>
        <w:ind w:firstLine="0"/>
      </w:pPr>
      <w:r>
        <w:t>BKB – Bílý kruh bezpečí</w:t>
      </w:r>
    </w:p>
    <w:p w:rsidR="001E6F1B" w:rsidRDefault="00005FD6" w:rsidP="000F2C4C">
      <w:pPr>
        <w:pStyle w:val="BC"/>
        <w:spacing w:after="240"/>
        <w:ind w:firstLine="0"/>
      </w:pPr>
      <w:proofErr w:type="gramStart"/>
      <w:r>
        <w:t>H1</w:t>
      </w:r>
      <w:r w:rsidR="002F72A8">
        <w:t>.–H3</w:t>
      </w:r>
      <w:proofErr w:type="gramEnd"/>
      <w:r w:rsidR="002F72A8">
        <w:t>. – Hypotézy 1-3</w:t>
      </w:r>
    </w:p>
    <w:p w:rsidR="00B5442B" w:rsidRDefault="00B5442B" w:rsidP="000F2C4C">
      <w:pPr>
        <w:pStyle w:val="BC"/>
        <w:spacing w:after="240"/>
        <w:ind w:firstLine="0"/>
      </w:pPr>
      <w:r>
        <w:t>IC-Brno – Intervenční centrum Brno</w:t>
      </w:r>
    </w:p>
    <w:p w:rsidR="00AB7850" w:rsidRDefault="000F2C4C" w:rsidP="000F2C4C">
      <w:pPr>
        <w:pStyle w:val="BC"/>
        <w:spacing w:after="240"/>
        <w:ind w:firstLine="0"/>
      </w:pPr>
      <w:r>
        <w:t xml:space="preserve">NCFVC – </w:t>
      </w:r>
      <w:proofErr w:type="spellStart"/>
      <w:r w:rsidR="00AB7850">
        <w:t>T</w:t>
      </w:r>
      <w:r w:rsidR="00AB7850" w:rsidRPr="00AB7850">
        <w:t>he</w:t>
      </w:r>
      <w:proofErr w:type="spellEnd"/>
      <w:r w:rsidR="00AB7850" w:rsidRPr="00AB7850">
        <w:t xml:space="preserve"> </w:t>
      </w:r>
      <w:proofErr w:type="spellStart"/>
      <w:r w:rsidR="00AB7850" w:rsidRPr="00AB7850">
        <w:t>National</w:t>
      </w:r>
      <w:proofErr w:type="spellEnd"/>
      <w:r w:rsidR="00AB7850" w:rsidRPr="00AB7850">
        <w:t xml:space="preserve"> Center </w:t>
      </w:r>
      <w:proofErr w:type="spellStart"/>
      <w:r w:rsidR="00AB7850" w:rsidRPr="00AB7850">
        <w:t>for</w:t>
      </w:r>
      <w:proofErr w:type="spellEnd"/>
      <w:r w:rsidR="00AB7850" w:rsidRPr="00AB7850">
        <w:t xml:space="preserve"> </w:t>
      </w:r>
      <w:proofErr w:type="spellStart"/>
      <w:r w:rsidR="00AB7850" w:rsidRPr="00AB7850">
        <w:t>Victims</w:t>
      </w:r>
      <w:proofErr w:type="spellEnd"/>
      <w:r w:rsidR="00AB7850" w:rsidRPr="00AB7850">
        <w:t xml:space="preserve"> </w:t>
      </w:r>
      <w:proofErr w:type="spellStart"/>
      <w:r w:rsidR="00AB7850" w:rsidRPr="00AB7850">
        <w:t>of</w:t>
      </w:r>
      <w:proofErr w:type="spellEnd"/>
      <w:r w:rsidR="00AB7850" w:rsidRPr="00AB7850">
        <w:t xml:space="preserve"> </w:t>
      </w:r>
      <w:proofErr w:type="spellStart"/>
      <w:r w:rsidR="00AB7850" w:rsidRPr="00AB7850">
        <w:t>Crime</w:t>
      </w:r>
      <w:proofErr w:type="spellEnd"/>
    </w:p>
    <w:p w:rsidR="00016FEF" w:rsidRDefault="00016FEF" w:rsidP="000F2C4C">
      <w:pPr>
        <w:pStyle w:val="BC"/>
        <w:spacing w:after="240"/>
        <w:ind w:firstLine="0"/>
      </w:pPr>
      <w:r w:rsidRPr="00016FEF">
        <w:t>OSPOD</w:t>
      </w:r>
      <w:r>
        <w:t xml:space="preserve"> – Odbor sociálně právní ochrany dětí</w:t>
      </w:r>
    </w:p>
    <w:p w:rsidR="009C3E7B" w:rsidRDefault="000F2C4C" w:rsidP="000F2C4C">
      <w:pPr>
        <w:pStyle w:val="BC"/>
        <w:spacing w:after="240"/>
        <w:ind w:firstLine="0"/>
      </w:pPr>
      <w:r>
        <w:t xml:space="preserve">PMSCR – </w:t>
      </w:r>
      <w:r w:rsidR="009C3E7B">
        <w:t>Probační a mediační služba České republiky</w:t>
      </w:r>
    </w:p>
    <w:p w:rsidR="000F2C4C" w:rsidRDefault="000F2C4C" w:rsidP="000F2C4C">
      <w:pPr>
        <w:pStyle w:val="BC"/>
        <w:spacing w:after="240"/>
        <w:ind w:firstLine="0"/>
      </w:pPr>
      <w:r w:rsidRPr="000F2C4C">
        <w:t xml:space="preserve">SARA </w:t>
      </w:r>
      <w:r>
        <w:t xml:space="preserve">– </w:t>
      </w:r>
      <w:proofErr w:type="spellStart"/>
      <w:r w:rsidRPr="000F2C4C">
        <w:t>Spousal</w:t>
      </w:r>
      <w:proofErr w:type="spellEnd"/>
      <w:r>
        <w:t xml:space="preserve"> </w:t>
      </w:r>
      <w:proofErr w:type="spellStart"/>
      <w:r>
        <w:t>Assault</w:t>
      </w:r>
      <w:proofErr w:type="spellEnd"/>
      <w:r>
        <w:t xml:space="preserve"> Risk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Guide</w:t>
      </w:r>
      <w:proofErr w:type="spellEnd"/>
    </w:p>
    <w:p w:rsidR="00341B57" w:rsidRDefault="004A58B7" w:rsidP="000F2C4C">
      <w:pPr>
        <w:pStyle w:val="BC"/>
        <w:spacing w:after="240"/>
        <w:ind w:firstLine="0"/>
      </w:pPr>
      <w:proofErr w:type="spellStart"/>
      <w:r>
        <w:t>TrZ</w:t>
      </w:r>
      <w:proofErr w:type="spellEnd"/>
      <w:r>
        <w:t xml:space="preserve"> – Trestní zákoník </w:t>
      </w:r>
    </w:p>
    <w:p w:rsidR="00341B57" w:rsidRDefault="005C0511" w:rsidP="000F2C4C">
      <w:pPr>
        <w:pStyle w:val="BC"/>
        <w:spacing w:after="240"/>
        <w:ind w:firstLine="0"/>
      </w:pPr>
      <w:r w:rsidRPr="005C0511">
        <w:t>USA</w:t>
      </w:r>
      <w:r>
        <w:t xml:space="preserve"> – Spojené státy americké </w:t>
      </w:r>
    </w:p>
    <w:p w:rsidR="00341B57" w:rsidRDefault="00341B57" w:rsidP="000F2C4C">
      <w:pPr>
        <w:pStyle w:val="BC"/>
        <w:spacing w:after="240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341B57" w:rsidRDefault="00341B57" w:rsidP="00341B57">
      <w:pPr>
        <w:pStyle w:val="BC"/>
        <w:ind w:firstLine="0"/>
      </w:pPr>
    </w:p>
    <w:p w:rsidR="007064C7" w:rsidRPr="002B176B" w:rsidRDefault="008D55DD" w:rsidP="00BF10B0">
      <w:pPr>
        <w:pStyle w:val="Nadpis1"/>
        <w:numPr>
          <w:ilvl w:val="0"/>
          <w:numId w:val="0"/>
        </w:numPr>
      </w:pPr>
      <w:bookmarkStart w:id="64" w:name="_Toc383408631"/>
      <w:bookmarkStart w:id="65" w:name="_Toc291021962"/>
      <w:bookmarkStart w:id="66" w:name="_Toc292200488"/>
      <w:r w:rsidRPr="002B176B">
        <w:lastRenderedPageBreak/>
        <w:t>Anotace</w:t>
      </w:r>
      <w:bookmarkEnd w:id="64"/>
    </w:p>
    <w:p w:rsidR="007064C7" w:rsidRDefault="007064C7" w:rsidP="007064C7">
      <w:r w:rsidRPr="002B176B">
        <w:t xml:space="preserve">Bakalářská práce je zaměřena na problematiku „ex-partnerského stalkingu“. Práce je rozdělena do dvou hlavních celků, teoretického a praktického. Teoretická část odhaluje zásadní rysy, možné predikátory a případné techniky </w:t>
      </w:r>
      <w:r w:rsidR="00505F66" w:rsidRPr="002B176B">
        <w:t>ex-partnerského pronásledování. </w:t>
      </w:r>
      <w:r w:rsidRPr="002B176B">
        <w:t>Rovněž představuje hlavní charakteristiky oběti i pachatele. Uvádí důsledky ex-partnerského pronásledování a pojednává o možnostech odborné pomoci. Druhá část bakalářské práce je věnována empirickému výzkumu, je</w:t>
      </w:r>
      <w:r w:rsidR="00505F66" w:rsidRPr="002B176B">
        <w:t>hož cílem bylo zjistit, jaká je </w:t>
      </w:r>
      <w:r w:rsidRPr="002B176B">
        <w:t>informovanost sociálních pracovníků</w:t>
      </w:r>
      <w:r w:rsidR="008D55DD" w:rsidRPr="002B176B">
        <w:t xml:space="preserve"> a pracovníků v sociálních službách</w:t>
      </w:r>
      <w:r w:rsidR="00505F66" w:rsidRPr="002B176B">
        <w:t xml:space="preserve"> o </w:t>
      </w:r>
      <w:r w:rsidRPr="002B176B">
        <w:t>problematice ex-partnerského stalkingu. Do výzkumu byly zahrnuty sociální služby Jihomoravského kraje, v jejichž zařízeních bylo možné předpokládat zvýšenou pravděpodobnost výskytu jevu ex-partnerského pronásledování.</w:t>
      </w:r>
    </w:p>
    <w:p w:rsidR="007064C7" w:rsidRDefault="007064C7" w:rsidP="007064C7"/>
    <w:p w:rsidR="007064C7" w:rsidRDefault="007064C7" w:rsidP="007064C7"/>
    <w:p w:rsidR="008D55DD" w:rsidRDefault="008D55DD" w:rsidP="007064C7"/>
    <w:p w:rsidR="008D55DD" w:rsidRDefault="008D55DD" w:rsidP="007064C7"/>
    <w:p w:rsidR="008D55DD" w:rsidRDefault="008D55DD" w:rsidP="007064C7"/>
    <w:p w:rsidR="007064C7" w:rsidRPr="008D55DD" w:rsidRDefault="008D55DD" w:rsidP="008D55DD">
      <w:pPr>
        <w:spacing w:line="480" w:lineRule="auto"/>
        <w:ind w:firstLine="0"/>
        <w:rPr>
          <w:b/>
          <w:sz w:val="32"/>
          <w:szCs w:val="32"/>
        </w:rPr>
      </w:pPr>
      <w:proofErr w:type="spellStart"/>
      <w:r w:rsidRPr="008D55DD">
        <w:rPr>
          <w:b/>
          <w:sz w:val="32"/>
          <w:szCs w:val="32"/>
        </w:rPr>
        <w:t>Annotation</w:t>
      </w:r>
      <w:proofErr w:type="spellEnd"/>
      <w:r w:rsidRPr="008D55DD">
        <w:rPr>
          <w:b/>
          <w:sz w:val="32"/>
          <w:szCs w:val="32"/>
        </w:rPr>
        <w:t xml:space="preserve"> </w:t>
      </w:r>
    </w:p>
    <w:p w:rsidR="007064C7" w:rsidRPr="003A2CD5" w:rsidRDefault="007064C7" w:rsidP="007064C7">
      <w:pPr>
        <w:rPr>
          <w:lang w:val="en-GB"/>
        </w:rPr>
      </w:pPr>
      <w:r w:rsidRPr="003A2CD5">
        <w:rPr>
          <w:lang w:val="en-GB"/>
        </w:rPr>
        <w:t>This Bachelor’s Degree work focuses on the issue of ex-partner stalking. The work is divided into two main whole sections, a theoretical</w:t>
      </w:r>
      <w:r w:rsidR="00505F66">
        <w:rPr>
          <w:lang w:val="en-GB"/>
        </w:rPr>
        <w:t xml:space="preserve"> part and a practical part. The </w:t>
      </w:r>
      <w:r w:rsidRPr="003A2CD5">
        <w:rPr>
          <w:lang w:val="en-GB"/>
        </w:rPr>
        <w:t>theoretical part reveals the basic characteristics, possible predicators and potential techniques of ex-partner stalking. It also presents the main</w:t>
      </w:r>
      <w:r w:rsidR="00B824B8">
        <w:rPr>
          <w:lang w:val="en-GB"/>
        </w:rPr>
        <w:t xml:space="preserve"> characteristics of victims and </w:t>
      </w:r>
      <w:r w:rsidRPr="003A2CD5">
        <w:rPr>
          <w:lang w:val="en-GB"/>
        </w:rPr>
        <w:t>perpetrators. Moreover, it specifies the conseque</w:t>
      </w:r>
      <w:r w:rsidR="00B824B8">
        <w:rPr>
          <w:lang w:val="en-GB"/>
        </w:rPr>
        <w:t>nces of ex-partner stalking and </w:t>
      </w:r>
      <w:r w:rsidRPr="003A2CD5">
        <w:rPr>
          <w:lang w:val="en-GB"/>
        </w:rPr>
        <w:t>examines options for professional help. The second part of the Bachelor’s Degree wor</w:t>
      </w:r>
      <w:r w:rsidR="00B824B8">
        <w:rPr>
          <w:lang w:val="en-GB"/>
        </w:rPr>
        <w:t xml:space="preserve">k </w:t>
      </w:r>
      <w:proofErr w:type="spellStart"/>
      <w:r w:rsidR="00B824B8" w:rsidRPr="00B824B8">
        <w:t>is</w:t>
      </w:r>
      <w:r w:rsidR="00505F66" w:rsidRPr="00B824B8">
        <w:t>devoted</w:t>
      </w:r>
      <w:proofErr w:type="spellEnd"/>
      <w:r w:rsidR="00505F66">
        <w:rPr>
          <w:lang w:val="en-GB"/>
        </w:rPr>
        <w:t xml:space="preserve"> to </w:t>
      </w:r>
      <w:r w:rsidRPr="003A2CD5">
        <w:rPr>
          <w:lang w:val="en-GB"/>
        </w:rPr>
        <w:t>empirical research, the aim of which</w:t>
      </w:r>
      <w:r w:rsidR="00B824B8">
        <w:rPr>
          <w:lang w:val="en-GB"/>
        </w:rPr>
        <w:t xml:space="preserve"> was to determine the extent of </w:t>
      </w:r>
      <w:r w:rsidRPr="003A2CD5">
        <w:rPr>
          <w:lang w:val="en-GB"/>
        </w:rPr>
        <w:t xml:space="preserve">awareness among social workers about the problem of ex-partner stalking. The research included examination of social services in the South Moravian Region, in whose facilities ex-partner stalking can </w:t>
      </w:r>
      <w:r>
        <w:rPr>
          <w:lang w:val="en-GB"/>
        </w:rPr>
        <w:t>more likely be expected to be encountered.</w:t>
      </w:r>
    </w:p>
    <w:p w:rsidR="007064C7" w:rsidRPr="007064C7" w:rsidRDefault="007064C7" w:rsidP="007064C7"/>
    <w:p w:rsidR="004808EE" w:rsidRDefault="006E311D" w:rsidP="00BF10B0">
      <w:pPr>
        <w:pStyle w:val="Nadpis1"/>
        <w:numPr>
          <w:ilvl w:val="0"/>
          <w:numId w:val="0"/>
        </w:numPr>
      </w:pPr>
      <w:bookmarkStart w:id="67" w:name="_Toc383408632"/>
      <w:r>
        <w:lastRenderedPageBreak/>
        <w:t xml:space="preserve">Seznam </w:t>
      </w:r>
      <w:r w:rsidR="00D32DAD">
        <w:t>p</w:t>
      </w:r>
      <w:r w:rsidR="004808EE">
        <w:t>řílo</w:t>
      </w:r>
      <w:r w:rsidR="005E6996">
        <w:t>h</w:t>
      </w:r>
      <w:bookmarkEnd w:id="65"/>
      <w:bookmarkEnd w:id="66"/>
      <w:bookmarkEnd w:id="67"/>
    </w:p>
    <w:p w:rsidR="001721CA" w:rsidRDefault="001721CA" w:rsidP="00005FD6">
      <w:pPr>
        <w:spacing w:after="240"/>
      </w:pPr>
      <w:r>
        <w:t>Příloha 1: Průvodní dopis pro tazatele</w:t>
      </w:r>
    </w:p>
    <w:p w:rsidR="001721CA" w:rsidRDefault="001721CA" w:rsidP="00005FD6">
      <w:pPr>
        <w:spacing w:after="240"/>
      </w:pPr>
      <w:r>
        <w:t>Příloha 2: Průvodní dopis pro respondenta</w:t>
      </w:r>
    </w:p>
    <w:p w:rsidR="001721CA" w:rsidRPr="001721CA" w:rsidRDefault="00F10F4C" w:rsidP="00005FD6">
      <w:pPr>
        <w:spacing w:after="240"/>
      </w:pPr>
      <w:r>
        <w:t>Příloha 3: Kvantitativní d</w:t>
      </w:r>
      <w:r w:rsidR="001721CA">
        <w:t>otazník</w:t>
      </w:r>
    </w:p>
    <w:p w:rsidR="00F9228D" w:rsidRDefault="00F9228D" w:rsidP="001721CA">
      <w:pPr>
        <w:pStyle w:val="Nadpis1"/>
        <w:numPr>
          <w:ilvl w:val="0"/>
          <w:numId w:val="0"/>
        </w:numPr>
        <w:ind w:left="431" w:hanging="431"/>
      </w:pPr>
      <w:bookmarkStart w:id="68" w:name="_Toc291021963"/>
      <w:bookmarkStart w:id="69" w:name="_Toc383408633"/>
      <w:r>
        <w:lastRenderedPageBreak/>
        <w:t>Příloha 1: P</w:t>
      </w:r>
      <w:bookmarkEnd w:id="68"/>
      <w:r w:rsidR="001721CA">
        <w:t>růvodní dopis pro tazatele</w:t>
      </w:r>
      <w:bookmarkEnd w:id="69"/>
    </w:p>
    <w:p w:rsidR="00402CB7" w:rsidRDefault="00402CB7" w:rsidP="007F225F">
      <w:pPr>
        <w:tabs>
          <w:tab w:val="left" w:pos="3213"/>
        </w:tabs>
        <w:spacing w:after="240"/>
      </w:pPr>
      <w:r w:rsidRPr="00402CB7">
        <w:t>Milý</w:t>
      </w:r>
      <w:r w:rsidR="00F10F4C">
        <w:t xml:space="preserve"> tazateli/ Milá </w:t>
      </w:r>
      <w:r w:rsidRPr="00402CB7">
        <w:t>tazatelko.</w:t>
      </w:r>
      <w:r>
        <w:tab/>
      </w:r>
    </w:p>
    <w:p w:rsidR="00402CB7" w:rsidRDefault="00402CB7" w:rsidP="00402CB7">
      <w:r w:rsidRPr="00402CB7">
        <w:t>Jmenuji se Lada Kozlíková, jsem studentkou třetí</w:t>
      </w:r>
      <w:r>
        <w:t>ho ročníku oboru Charitativní a </w:t>
      </w:r>
      <w:r w:rsidRPr="00402CB7">
        <w:t xml:space="preserve">sociální práce na Cyrilometodějské teologické fakultě Univerzity Palackého v Olomouci. V rámci své bakalářské práce uskutečňuji výzkum, jehož cílem </w:t>
      </w:r>
      <w:r>
        <w:t>je zjistit, jaká je ve </w:t>
      </w:r>
      <w:r w:rsidRPr="00402CB7">
        <w:t>vybraných sociálních službách informovanost sociálních pracovníků a pracovníků v sociálních službách, o problematice ex-partnerského stalkingu. V souvislosti s tímto výzkumným šetřením se k Vám dostává i můj dopis, který obsahuj</w:t>
      </w:r>
      <w:r>
        <w:t>e důležité organizační pokyny a </w:t>
      </w:r>
      <w:r w:rsidRPr="00402CB7">
        <w:t>několik předtištěných dotazníků. Standardizovaný d</w:t>
      </w:r>
      <w:r>
        <w:t>otazník slouží jako podklad pro </w:t>
      </w:r>
      <w:r w:rsidRPr="00402CB7">
        <w:t xml:space="preserve">tvorbu mé bakalářské práce na téma „Ex-partnerský stalking a sociální práce“. </w:t>
      </w:r>
    </w:p>
    <w:p w:rsidR="00402CB7" w:rsidRDefault="00402CB7" w:rsidP="00402CB7">
      <w:r w:rsidRPr="00402CB7">
        <w:t>Dotazník je zcela anonymní a každý respondent jej tudíž vyplňuje sám. Pro Vás jako tazatele to znamená, že dotazník respondentovi pouze předáte. Vyplněný dotazník vyzvednete po dohodě s respondentem. Dotaz</w:t>
      </w:r>
      <w:r>
        <w:t>ované osoby prosím informujte o </w:t>
      </w:r>
      <w:r w:rsidRPr="00402CB7">
        <w:t>skutečnosti, že je třeba vyplnit všechny otázky v dotazníku. Je důležité, aby respondenti vybrané odpovědi zakroužkovali či jinak zvýraznili. V případě otázek otevřených odpověď vepíší.</w:t>
      </w:r>
    </w:p>
    <w:p w:rsidR="00402CB7" w:rsidRPr="00402CB7" w:rsidRDefault="00402CB7" w:rsidP="00402CB7">
      <w:r w:rsidRPr="00402CB7">
        <w:t>Dotazník je určen pro sociální pracovníky a pracovníky v sociálních službách Jihomoravského kraje, kteří pracující v organizacích, jejichž cílovou skupinou jsou zejména oběti domácího násilí, oběti trestných činů, osoby s duševní chorobou, osoby žijící rizikovým způsobem života, dále pak rodiče s dětmi, anebo osoby bez přístřeší. Konkrétně se jedná o azylové domy, intervenční a krizová centra, odborné sociální poradentství, telefonickou krizovou pomoc, domovy se zvláštním režimem, kontaktní centra, nízkoprahová denní centra, služby následné péče, rovněž i služby poskytující sociální rehabilitaci nebo terapeutické komunity.</w:t>
      </w:r>
    </w:p>
    <w:p w:rsidR="00402CB7" w:rsidRDefault="00402CB7" w:rsidP="00402CB7">
      <w:r w:rsidRPr="00402CB7">
        <w:t>Vyplněné dotazníky mi prosím zašlete v přiložené obálce do 12. 2. 2014. V případě nejasností mě prosím kontaktujte telefonicky na čísle 606 266 549, anebo e-mailem</w:t>
      </w:r>
      <w:r>
        <w:t xml:space="preserve"> </w:t>
      </w:r>
      <w:hyperlink r:id="rId24" w:history="1">
        <w:r w:rsidRPr="00402CB7">
          <w:rPr>
            <w:rStyle w:val="Hypertextovodkaz"/>
          </w:rPr>
          <w:t>ladakozlikova@centrum.cz</w:t>
        </w:r>
      </w:hyperlink>
      <w:r w:rsidRPr="00402CB7">
        <w:t xml:space="preserve">.  </w:t>
      </w:r>
    </w:p>
    <w:p w:rsidR="00402CB7" w:rsidRPr="00402CB7" w:rsidRDefault="00402CB7" w:rsidP="00402CB7">
      <w:pPr>
        <w:ind w:firstLine="0"/>
      </w:pPr>
    </w:p>
    <w:p w:rsidR="00402CB7" w:rsidRPr="00402CB7" w:rsidRDefault="00402CB7" w:rsidP="00402CB7">
      <w:pPr>
        <w:ind w:firstLine="0"/>
        <w:jc w:val="right"/>
      </w:pPr>
      <w:r w:rsidRPr="00402CB7">
        <w:t>Děkuji Vám za spolupráci</w:t>
      </w:r>
    </w:p>
    <w:p w:rsidR="00402CB7" w:rsidRPr="00402CB7" w:rsidRDefault="00402CB7" w:rsidP="00402CB7">
      <w:pPr>
        <w:jc w:val="right"/>
      </w:pPr>
      <w:r w:rsidRPr="00402CB7">
        <w:t>Lada Kozlíková</w:t>
      </w:r>
    </w:p>
    <w:p w:rsidR="00F9228D" w:rsidRDefault="00F9228D" w:rsidP="001721CA">
      <w:pPr>
        <w:pStyle w:val="Nadpis1"/>
        <w:numPr>
          <w:ilvl w:val="0"/>
          <w:numId w:val="0"/>
        </w:numPr>
        <w:ind w:left="431" w:hanging="431"/>
      </w:pPr>
      <w:bookmarkStart w:id="70" w:name="_Toc291021964"/>
      <w:bookmarkStart w:id="71" w:name="_Toc383408634"/>
      <w:r>
        <w:lastRenderedPageBreak/>
        <w:t>Příloha 2: P</w:t>
      </w:r>
      <w:bookmarkEnd w:id="70"/>
      <w:r w:rsidR="001721CA">
        <w:t>růvodní dopis pro respondenta</w:t>
      </w:r>
      <w:bookmarkEnd w:id="71"/>
    </w:p>
    <w:p w:rsidR="00402CB7" w:rsidRPr="00402CB7" w:rsidRDefault="00402CB7" w:rsidP="00402CB7">
      <w:r w:rsidRPr="00402CB7">
        <w:t>Dobrý den.</w:t>
      </w:r>
    </w:p>
    <w:p w:rsidR="00402CB7" w:rsidRPr="00402CB7" w:rsidRDefault="00402CB7" w:rsidP="00402CB7">
      <w:r w:rsidRPr="00402CB7">
        <w:t>Jmenuji se Lada Kozlíková, jsem studentkou třetí</w:t>
      </w:r>
      <w:r>
        <w:t>ho ročníku oboru Charitativní a </w:t>
      </w:r>
      <w:r w:rsidRPr="00402CB7">
        <w:t>sociální práce na Cyrilometodějské teologické fakultě Univerzity Palackého v Olomouci. Dovoluji si Vás tímto požádat, zda byste si našli pár minut na vyplnění krátkého dotazníku. Dotazník slouží jako podklad pro tvorbu mé bakalářské práce na téma „Ex-partnerský stalking a sociální práce“. Uvědomuji si, že osobní setkání</w:t>
      </w:r>
      <w:r w:rsidR="00505F66">
        <w:t xml:space="preserve"> by bylo jistě vhodnější, avšak </w:t>
      </w:r>
      <w:r w:rsidRPr="00402CB7">
        <w:t xml:space="preserve">vzhledem k náročnosti, časové i finanční, dovoluji si oslovit Vás e-mailovou cestou. Pevně doufám, že tento způsob komunikace nebude překážkou k vyplnění dotazníku. </w:t>
      </w:r>
    </w:p>
    <w:p w:rsidR="00402CB7" w:rsidRPr="00402CB7" w:rsidRDefault="00402CB7" w:rsidP="00402CB7">
      <w:r w:rsidRPr="00402CB7">
        <w:t>Dotazník je určen pro sociální pracovníky a praco</w:t>
      </w:r>
      <w:r w:rsidR="00505F66">
        <w:t>vníky v sociálních službách, je </w:t>
      </w:r>
      <w:r w:rsidRPr="00402CB7">
        <w:t xml:space="preserve">zcela anonymní a jeho vyplnění Vám zabere jen malou chvíli. Odpovědi prosím zvýrazněte, v případě otevřených otázek svoji odpověď vepište. Kompletně vyplněný dotazník prosím zašlete do 12. 2. 2014 na moji e-mailovou adresu </w:t>
      </w:r>
      <w:hyperlink r:id="rId25" w:history="1">
        <w:r w:rsidRPr="00402CB7">
          <w:rPr>
            <w:rStyle w:val="Hypertextovodkaz"/>
          </w:rPr>
          <w:t>ladakozlikova@centrum.cz</w:t>
        </w:r>
      </w:hyperlink>
      <w:r w:rsidR="007F225F">
        <w:t>.</w:t>
      </w:r>
    </w:p>
    <w:p w:rsidR="00402CB7" w:rsidRDefault="00402CB7" w:rsidP="00402CB7"/>
    <w:p w:rsidR="007F225F" w:rsidRDefault="007F225F" w:rsidP="00402CB7"/>
    <w:p w:rsidR="007F225F" w:rsidRPr="007F225F" w:rsidRDefault="007F225F" w:rsidP="007F225F">
      <w:pPr>
        <w:jc w:val="right"/>
      </w:pPr>
      <w:r w:rsidRPr="007F225F">
        <w:t>Velmi pěkně děkuji za Váš čas a spolupráci</w:t>
      </w:r>
    </w:p>
    <w:p w:rsidR="007F225F" w:rsidRPr="007F225F" w:rsidRDefault="007F225F" w:rsidP="007F225F">
      <w:pPr>
        <w:jc w:val="right"/>
      </w:pPr>
      <w:r w:rsidRPr="007F225F">
        <w:t xml:space="preserve">                                                                </w:t>
      </w:r>
      <w:r>
        <w:t xml:space="preserve">                   </w:t>
      </w:r>
      <w:r w:rsidRPr="007F225F">
        <w:t>S</w:t>
      </w:r>
      <w:r>
        <w:t xml:space="preserve"> pozdravem </w:t>
      </w:r>
      <w:r w:rsidRPr="007F225F">
        <w:t>Lada Kozlíková</w:t>
      </w:r>
    </w:p>
    <w:p w:rsidR="007F225F" w:rsidRPr="00402CB7" w:rsidRDefault="007F225F" w:rsidP="00402CB7"/>
    <w:p w:rsidR="00F9228D" w:rsidRPr="006E311D" w:rsidRDefault="00F10F4C" w:rsidP="001721CA">
      <w:pPr>
        <w:pStyle w:val="Nadpis1"/>
        <w:numPr>
          <w:ilvl w:val="0"/>
          <w:numId w:val="0"/>
        </w:numPr>
        <w:ind w:left="431" w:hanging="431"/>
      </w:pPr>
      <w:bookmarkStart w:id="72" w:name="_Toc291021965"/>
      <w:bookmarkStart w:id="73" w:name="_Toc383408635"/>
      <w:r>
        <w:lastRenderedPageBreak/>
        <w:t>Příloha 3: Kvantitativní d</w:t>
      </w:r>
      <w:r w:rsidR="00F9228D">
        <w:t>otazník</w:t>
      </w:r>
      <w:bookmarkEnd w:id="72"/>
      <w:bookmarkEnd w:id="73"/>
    </w:p>
    <w:p w:rsidR="00BD4CC0" w:rsidRPr="00BD4CC0" w:rsidRDefault="00F10F4C" w:rsidP="00BD4CC0">
      <w:pPr>
        <w:rPr>
          <w:u w:val="single"/>
        </w:rPr>
      </w:pPr>
      <w:proofErr w:type="gramStart"/>
      <w:r>
        <w:rPr>
          <w:u w:val="single"/>
        </w:rPr>
        <w:t xml:space="preserve">DOTAZNÍK  </w:t>
      </w:r>
      <w:r w:rsidR="00BD4CC0" w:rsidRPr="00BD4CC0">
        <w:rPr>
          <w:u w:val="single"/>
        </w:rPr>
        <w:t>NA</w:t>
      </w:r>
      <w:proofErr w:type="gramEnd"/>
      <w:r w:rsidR="00BD4CC0" w:rsidRPr="00BD4CC0">
        <w:rPr>
          <w:u w:val="single"/>
        </w:rPr>
        <w:t xml:space="preserve">  TÉMA  „EX-PARTNERSKÝ STALKING“</w:t>
      </w:r>
    </w:p>
    <w:p w:rsidR="00BD4CC0" w:rsidRPr="00BD4CC0" w:rsidRDefault="00BD4CC0" w:rsidP="00BD4CC0"/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Vaše pohlaví</w:t>
      </w:r>
      <w:r w:rsidRPr="00BD4CC0">
        <w:tab/>
      </w:r>
    </w:p>
    <w:p w:rsidR="00BD4CC0" w:rsidRPr="00BD4CC0" w:rsidRDefault="00BD4CC0" w:rsidP="00E46FED">
      <w:pPr>
        <w:numPr>
          <w:ilvl w:val="0"/>
          <w:numId w:val="5"/>
        </w:numPr>
        <w:ind w:left="709"/>
      </w:pPr>
      <w:r w:rsidRPr="00BD4CC0">
        <w:t>Muž</w:t>
      </w:r>
    </w:p>
    <w:p w:rsidR="00BD4CC0" w:rsidRPr="00BD4CC0" w:rsidRDefault="00BD4CC0" w:rsidP="00E46FED">
      <w:pPr>
        <w:numPr>
          <w:ilvl w:val="0"/>
          <w:numId w:val="5"/>
        </w:numPr>
        <w:ind w:left="709"/>
      </w:pPr>
      <w:r w:rsidRPr="00BD4CC0">
        <w:t>Žena</w:t>
      </w:r>
    </w:p>
    <w:p w:rsidR="00BD4CC0" w:rsidRPr="00BD4CC0" w:rsidRDefault="00BD4CC0" w:rsidP="00BD4CC0"/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Váš věk je</w:t>
      </w:r>
      <w:r w:rsidR="00505F66">
        <w:t>:</w:t>
      </w:r>
    </w:p>
    <w:p w:rsidR="00BD4CC0" w:rsidRPr="00BD4CC0" w:rsidRDefault="00BD4CC0" w:rsidP="00E46FED">
      <w:pPr>
        <w:numPr>
          <w:ilvl w:val="0"/>
          <w:numId w:val="6"/>
        </w:numPr>
        <w:ind w:left="709"/>
      </w:pPr>
      <w:r w:rsidRPr="00BD4CC0">
        <w:t>Méně než 20</w:t>
      </w:r>
    </w:p>
    <w:p w:rsidR="00BD4CC0" w:rsidRPr="00BD4CC0" w:rsidRDefault="00BD4CC0" w:rsidP="00E46FED">
      <w:pPr>
        <w:numPr>
          <w:ilvl w:val="0"/>
          <w:numId w:val="6"/>
        </w:numPr>
        <w:ind w:left="709"/>
      </w:pPr>
      <w:r w:rsidRPr="00BD4CC0">
        <w:t xml:space="preserve">20 – 35 let </w:t>
      </w:r>
    </w:p>
    <w:p w:rsidR="00BD4CC0" w:rsidRPr="00BD4CC0" w:rsidRDefault="00BD4CC0" w:rsidP="00E46FED">
      <w:pPr>
        <w:numPr>
          <w:ilvl w:val="0"/>
          <w:numId w:val="5"/>
        </w:numPr>
        <w:ind w:left="709"/>
      </w:pPr>
      <w:r w:rsidRPr="00BD4CC0">
        <w:t>36 – 45 let</w:t>
      </w:r>
    </w:p>
    <w:p w:rsidR="00BD4CC0" w:rsidRPr="00BD4CC0" w:rsidRDefault="00BD4CC0" w:rsidP="00E46FED">
      <w:pPr>
        <w:numPr>
          <w:ilvl w:val="0"/>
          <w:numId w:val="5"/>
        </w:numPr>
        <w:ind w:left="709"/>
      </w:pPr>
      <w:r w:rsidRPr="00BD4CC0">
        <w:t>46 – 60 let</w:t>
      </w:r>
    </w:p>
    <w:p w:rsidR="00BD4CC0" w:rsidRPr="00BD4CC0" w:rsidRDefault="00BD4CC0" w:rsidP="00E46FED">
      <w:pPr>
        <w:numPr>
          <w:ilvl w:val="0"/>
          <w:numId w:val="5"/>
        </w:numPr>
        <w:ind w:left="709"/>
      </w:pPr>
      <w:r w:rsidRPr="00BD4CC0">
        <w:t xml:space="preserve"> 60 let</w:t>
      </w:r>
      <w:r w:rsidR="0009475D">
        <w:t xml:space="preserve"> a více</w:t>
      </w:r>
      <w:r w:rsidRPr="00BD4CC0">
        <w:tab/>
      </w:r>
    </w:p>
    <w:p w:rsidR="00BD4CC0" w:rsidRPr="00BD4CC0" w:rsidRDefault="00BD4CC0" w:rsidP="00BD4CC0">
      <w:pPr>
        <w:ind w:left="426"/>
      </w:pPr>
      <w:r w:rsidRPr="00BD4CC0">
        <w:tab/>
      </w: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 xml:space="preserve">Zařízení, kde pracujete </w:t>
      </w:r>
      <w:proofErr w:type="gramStart"/>
      <w:r w:rsidRPr="00BD4CC0">
        <w:t>je</w:t>
      </w:r>
      <w:proofErr w:type="gramEnd"/>
      <w:r w:rsidR="00505F66">
        <w:t>:</w:t>
      </w:r>
      <w:r w:rsidRPr="00BD4CC0">
        <w:t xml:space="preserve"> 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>Azylový dům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>Odborné sociální poradenství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>Telefonická krizová pomoc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 xml:space="preserve">Intervenční centrum 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>Krizové centrum</w:t>
      </w:r>
    </w:p>
    <w:p w:rsidR="00BD4CC0" w:rsidRPr="00BD4CC0" w:rsidRDefault="00BD4CC0" w:rsidP="00E46FED">
      <w:pPr>
        <w:numPr>
          <w:ilvl w:val="0"/>
          <w:numId w:val="9"/>
        </w:numPr>
        <w:ind w:left="709"/>
      </w:pPr>
      <w:r w:rsidRPr="00BD4CC0">
        <w:t>Sociální aktivizační služba</w:t>
      </w:r>
    </w:p>
    <w:p w:rsidR="00BD4CC0" w:rsidRPr="00BD4CC0" w:rsidRDefault="00F10F4C" w:rsidP="00E46FED">
      <w:pPr>
        <w:numPr>
          <w:ilvl w:val="0"/>
          <w:numId w:val="9"/>
        </w:numPr>
        <w:ind w:left="709"/>
        <w:rPr>
          <w:u w:val="dotted"/>
        </w:rPr>
      </w:pPr>
      <w:r>
        <w:t>Jiné zařízení:</w:t>
      </w:r>
      <w:r w:rsidR="00BD4CC0" w:rsidRPr="00BD4CC0">
        <w:t>…………………………………….</w:t>
      </w:r>
      <w:r w:rsidR="00BD4CC0" w:rsidRPr="00BD4CC0">
        <w:rPr>
          <w:u w:val="dotted"/>
        </w:rPr>
        <w:t xml:space="preserve">                                 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Vaše pracovní pozice je</w:t>
      </w:r>
      <w:r w:rsidR="00505F66">
        <w:t>:</w:t>
      </w:r>
    </w:p>
    <w:p w:rsidR="00BD4CC0" w:rsidRPr="00BD4CC0" w:rsidRDefault="00BD4CC0" w:rsidP="00E46FED">
      <w:pPr>
        <w:numPr>
          <w:ilvl w:val="2"/>
          <w:numId w:val="7"/>
        </w:numPr>
        <w:ind w:left="709"/>
      </w:pPr>
      <w:r w:rsidRPr="00BD4CC0">
        <w:t>Pracovník v sociálních službách</w:t>
      </w:r>
    </w:p>
    <w:p w:rsidR="00BD4CC0" w:rsidRPr="00BD4CC0" w:rsidRDefault="00BD4CC0" w:rsidP="00E46FED">
      <w:pPr>
        <w:numPr>
          <w:ilvl w:val="2"/>
          <w:numId w:val="7"/>
        </w:numPr>
        <w:ind w:left="709"/>
      </w:pPr>
      <w:r w:rsidRPr="00BD4CC0">
        <w:t>Sociální pracovník</w:t>
      </w:r>
    </w:p>
    <w:p w:rsidR="00BD4CC0" w:rsidRPr="00BD4CC0" w:rsidRDefault="00BD4CC0" w:rsidP="00E46FED">
      <w:pPr>
        <w:numPr>
          <w:ilvl w:val="2"/>
          <w:numId w:val="7"/>
        </w:numPr>
        <w:ind w:left="709"/>
      </w:pPr>
      <w:r w:rsidRPr="00BD4CC0">
        <w:t>Vedoucí sociální pracovník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Délka Vaší praxe v tomto zařízení je</w:t>
      </w:r>
      <w:r w:rsidR="00505F66">
        <w:t>:</w:t>
      </w:r>
    </w:p>
    <w:p w:rsidR="00BD4CC0" w:rsidRPr="00BD4CC0" w:rsidRDefault="00BD4CC0" w:rsidP="00E46FED">
      <w:pPr>
        <w:numPr>
          <w:ilvl w:val="0"/>
          <w:numId w:val="8"/>
        </w:numPr>
        <w:ind w:left="709"/>
      </w:pPr>
      <w:r w:rsidRPr="00BD4CC0">
        <w:t>Do 1 roku</w:t>
      </w:r>
    </w:p>
    <w:p w:rsidR="00005FD6" w:rsidRDefault="00BD4CC0" w:rsidP="00E46FED">
      <w:pPr>
        <w:numPr>
          <w:ilvl w:val="0"/>
          <w:numId w:val="8"/>
        </w:numPr>
        <w:ind w:left="709"/>
      </w:pPr>
      <w:r w:rsidRPr="00BD4CC0">
        <w:t>2</w:t>
      </w:r>
      <w:r w:rsidR="00005FD6">
        <w:t xml:space="preserve"> – 5 let</w:t>
      </w:r>
    </w:p>
    <w:p w:rsidR="00BD4CC0" w:rsidRPr="00BD4CC0" w:rsidRDefault="00005FD6" w:rsidP="00E46FED">
      <w:pPr>
        <w:numPr>
          <w:ilvl w:val="0"/>
          <w:numId w:val="8"/>
        </w:numPr>
        <w:ind w:left="709"/>
      </w:pPr>
      <w:r>
        <w:t>6</w:t>
      </w:r>
      <w:r w:rsidR="00BD4CC0" w:rsidRPr="00BD4CC0">
        <w:t xml:space="preserve"> – 9 let</w:t>
      </w:r>
    </w:p>
    <w:p w:rsidR="00BD4CC0" w:rsidRPr="00BD4CC0" w:rsidRDefault="00BD4CC0" w:rsidP="00E46FED">
      <w:pPr>
        <w:numPr>
          <w:ilvl w:val="0"/>
          <w:numId w:val="8"/>
        </w:numPr>
        <w:ind w:left="709"/>
      </w:pPr>
      <w:r w:rsidRPr="00BD4CC0">
        <w:t>10 let</w:t>
      </w:r>
      <w:r w:rsidR="0009475D">
        <w:t xml:space="preserve"> a více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E74E4C" w:rsidP="00E46FED">
      <w:pPr>
        <w:numPr>
          <w:ilvl w:val="0"/>
          <w:numId w:val="4"/>
        </w:numPr>
        <w:ind w:left="426"/>
      </w:pPr>
      <w:r w:rsidRPr="00E74E4C">
        <w:t>Setkal/a jste se někdy ve svém okolí či během profesní praxe s jevem ex-partnerského stalkingu</w:t>
      </w:r>
      <w:r>
        <w:t>?</w:t>
      </w:r>
    </w:p>
    <w:p w:rsidR="00BD4CC0" w:rsidRPr="00BD4CC0" w:rsidRDefault="00BD4CC0" w:rsidP="00E46FED">
      <w:pPr>
        <w:numPr>
          <w:ilvl w:val="0"/>
          <w:numId w:val="10"/>
        </w:numPr>
        <w:ind w:left="709"/>
      </w:pPr>
      <w:r w:rsidRPr="00BD4CC0">
        <w:t>Ano.</w:t>
      </w:r>
    </w:p>
    <w:p w:rsidR="00BD4CC0" w:rsidRPr="00BD4CC0" w:rsidRDefault="00BD4CC0" w:rsidP="00E46FED">
      <w:pPr>
        <w:numPr>
          <w:ilvl w:val="0"/>
          <w:numId w:val="10"/>
        </w:numPr>
        <w:ind w:left="709"/>
      </w:pPr>
      <w:r w:rsidRPr="00BD4CC0">
        <w:t>Ne.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Domníváte se, že ex-partnerský stalking je problémem, kterým by se měla sociální práce více zabývat?</w:t>
      </w:r>
    </w:p>
    <w:p w:rsidR="00BD4CC0" w:rsidRPr="00BD4CC0" w:rsidRDefault="00BD4CC0" w:rsidP="00E46FED">
      <w:pPr>
        <w:numPr>
          <w:ilvl w:val="0"/>
          <w:numId w:val="11"/>
        </w:numPr>
        <w:ind w:left="709"/>
      </w:pPr>
      <w:r w:rsidRPr="00BD4CC0">
        <w:t>Určitě ano.</w:t>
      </w:r>
    </w:p>
    <w:p w:rsidR="00BD4CC0" w:rsidRPr="00BD4CC0" w:rsidRDefault="00BD4CC0" w:rsidP="00E46FED">
      <w:pPr>
        <w:numPr>
          <w:ilvl w:val="0"/>
          <w:numId w:val="11"/>
        </w:numPr>
        <w:ind w:left="709"/>
      </w:pPr>
      <w:r w:rsidRPr="00BD4CC0">
        <w:t>Spíše ano.</w:t>
      </w:r>
    </w:p>
    <w:p w:rsidR="00BD4CC0" w:rsidRPr="00BD4CC0" w:rsidRDefault="00BD4CC0" w:rsidP="00E46FED">
      <w:pPr>
        <w:numPr>
          <w:ilvl w:val="0"/>
          <w:numId w:val="11"/>
        </w:numPr>
        <w:ind w:left="709"/>
      </w:pPr>
      <w:r w:rsidRPr="00BD4CC0">
        <w:t>Spíše ne.</w:t>
      </w:r>
    </w:p>
    <w:p w:rsidR="00BD4CC0" w:rsidRPr="00BD4CC0" w:rsidRDefault="00BD4CC0" w:rsidP="00E46FED">
      <w:pPr>
        <w:numPr>
          <w:ilvl w:val="0"/>
          <w:numId w:val="11"/>
        </w:numPr>
        <w:ind w:left="709"/>
      </w:pPr>
      <w:r w:rsidRPr="00BD4CC0">
        <w:t>Určitě ne.</w:t>
      </w:r>
    </w:p>
    <w:p w:rsidR="00BD4CC0" w:rsidRPr="00BD4CC0" w:rsidRDefault="00BD4CC0" w:rsidP="00E46FED">
      <w:pPr>
        <w:numPr>
          <w:ilvl w:val="0"/>
          <w:numId w:val="11"/>
        </w:numPr>
        <w:ind w:left="709"/>
      </w:pPr>
      <w:r w:rsidRPr="00BD4CC0">
        <w:t>Neumím posoudit.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Kdy vstoupila v platnost právní norma o nebezpečném pronásledování (§ 354 Trestního zákoníku, zákon č. 40/2009 Sb.)?</w:t>
      </w:r>
    </w:p>
    <w:p w:rsidR="00BD4CC0" w:rsidRPr="00BD4CC0" w:rsidRDefault="00BD4CC0" w:rsidP="00E46FED">
      <w:pPr>
        <w:numPr>
          <w:ilvl w:val="0"/>
          <w:numId w:val="12"/>
        </w:numPr>
        <w:ind w:left="709"/>
      </w:pPr>
      <w:r w:rsidRPr="00BD4CC0">
        <w:t>1. 1. 2009</w:t>
      </w:r>
    </w:p>
    <w:p w:rsidR="00BD4CC0" w:rsidRPr="00BD4CC0" w:rsidRDefault="00BD4CC0" w:rsidP="00E46FED">
      <w:pPr>
        <w:numPr>
          <w:ilvl w:val="0"/>
          <w:numId w:val="12"/>
        </w:numPr>
        <w:ind w:left="709"/>
      </w:pPr>
      <w:r w:rsidRPr="00BD4CC0">
        <w:t>1. 1. 2010</w:t>
      </w:r>
    </w:p>
    <w:p w:rsidR="00BD4CC0" w:rsidRPr="00BD4CC0" w:rsidRDefault="00BD4CC0" w:rsidP="00E46FED">
      <w:pPr>
        <w:numPr>
          <w:ilvl w:val="0"/>
          <w:numId w:val="12"/>
        </w:numPr>
        <w:ind w:left="709"/>
      </w:pPr>
      <w:r w:rsidRPr="00BD4CC0">
        <w:t>1. 1. 2011</w:t>
      </w:r>
    </w:p>
    <w:p w:rsidR="00BD4CC0" w:rsidRPr="00BD4CC0" w:rsidRDefault="00BD4CC0" w:rsidP="00E46FED">
      <w:pPr>
        <w:numPr>
          <w:ilvl w:val="0"/>
          <w:numId w:val="12"/>
        </w:numPr>
        <w:ind w:left="709"/>
      </w:pPr>
      <w:r w:rsidRPr="00BD4CC0">
        <w:t>Nevím</w:t>
      </w:r>
    </w:p>
    <w:p w:rsidR="00BD4CC0" w:rsidRDefault="00BD4CC0" w:rsidP="00BD4CC0">
      <w:pPr>
        <w:ind w:left="426"/>
      </w:pPr>
    </w:p>
    <w:p w:rsidR="00402CB7" w:rsidRPr="00BD4CC0" w:rsidRDefault="00402CB7" w:rsidP="00402CB7">
      <w:r>
        <w:br w:type="page"/>
      </w: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lastRenderedPageBreak/>
        <w:t>Ve kterém státě USA vznikl v roce 1990 první antistalkingový zákon?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 xml:space="preserve">Florida 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>Texas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 xml:space="preserve">Kalifornie 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 xml:space="preserve">Washington 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>Nové Mexiko</w:t>
      </w:r>
    </w:p>
    <w:p w:rsidR="00BD4CC0" w:rsidRPr="00BD4CC0" w:rsidRDefault="00BD4CC0" w:rsidP="00E46FED">
      <w:pPr>
        <w:numPr>
          <w:ilvl w:val="0"/>
          <w:numId w:val="13"/>
        </w:numPr>
        <w:ind w:left="709"/>
      </w:pPr>
      <w:r w:rsidRPr="00BD4CC0">
        <w:t>Nevím</w:t>
      </w:r>
    </w:p>
    <w:p w:rsidR="00BD4CC0" w:rsidRDefault="00BD4CC0" w:rsidP="00BD4CC0">
      <w:pPr>
        <w:ind w:left="426"/>
      </w:pPr>
    </w:p>
    <w:p w:rsidR="00402CB7" w:rsidRPr="00BD4CC0" w:rsidRDefault="00402CB7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Co podle Vás znamená ex-partnerský stalking?</w:t>
      </w:r>
    </w:p>
    <w:p w:rsidR="00BD4CC0" w:rsidRPr="00BD4CC0" w:rsidRDefault="00BD4CC0" w:rsidP="00E46FED">
      <w:pPr>
        <w:numPr>
          <w:ilvl w:val="0"/>
          <w:numId w:val="14"/>
        </w:numPr>
        <w:ind w:left="709"/>
      </w:pPr>
      <w:r w:rsidRPr="00BD4CC0">
        <w:t>Neúmyslné, ale dlouhodobé a nebezpečné pronásledování nebo obtěžování osoby jejím bývalým partnerem, jenž ohrožuje její bezpečnost.</w:t>
      </w:r>
    </w:p>
    <w:p w:rsidR="00BD4CC0" w:rsidRPr="00BD4CC0" w:rsidRDefault="00BD4CC0" w:rsidP="00E46FED">
      <w:pPr>
        <w:numPr>
          <w:ilvl w:val="0"/>
          <w:numId w:val="14"/>
        </w:numPr>
        <w:ind w:left="709"/>
      </w:pPr>
      <w:r w:rsidRPr="00BD4CC0">
        <w:t>Úmyslné, dlouhodobé a nebezpečné pronásledování nebo obtěžování osoby jejím bývalým partnerem, jenž neohrožuje její bezpečnost.</w:t>
      </w:r>
    </w:p>
    <w:p w:rsidR="00BD4CC0" w:rsidRPr="00BD4CC0" w:rsidRDefault="00BD4CC0" w:rsidP="00E46FED">
      <w:pPr>
        <w:numPr>
          <w:ilvl w:val="0"/>
          <w:numId w:val="14"/>
        </w:numPr>
        <w:ind w:left="709"/>
      </w:pPr>
      <w:r w:rsidRPr="00BD4CC0">
        <w:t>Úmyslné, dlouhodobé a nebezpečné pronásledování nebo obtěžování osoby jejím bývalým partnerem, jenž ohrožuje její bezpečnost.</w:t>
      </w:r>
    </w:p>
    <w:p w:rsidR="00BD4CC0" w:rsidRPr="00BD4CC0" w:rsidRDefault="00BD4CC0" w:rsidP="00E46FED">
      <w:pPr>
        <w:numPr>
          <w:ilvl w:val="0"/>
          <w:numId w:val="14"/>
        </w:numPr>
        <w:ind w:left="709"/>
      </w:pPr>
      <w:r w:rsidRPr="00BD4CC0">
        <w:t>Nevím</w:t>
      </w:r>
    </w:p>
    <w:p w:rsidR="00BD4CC0" w:rsidRDefault="00BD4CC0" w:rsidP="00BD4CC0">
      <w:pPr>
        <w:ind w:left="426"/>
      </w:pPr>
    </w:p>
    <w:p w:rsidR="00402CB7" w:rsidRPr="00BD4CC0" w:rsidRDefault="00402CB7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 xml:space="preserve">Co je hlavní předzvěstí ex-partnerského stalkingu? </w:t>
      </w:r>
    </w:p>
    <w:p w:rsidR="00BD4CC0" w:rsidRPr="00BD4CC0" w:rsidRDefault="00BD4CC0" w:rsidP="00F10F4C">
      <w:pPr>
        <w:ind w:left="426" w:firstLine="0"/>
      </w:pPr>
      <w:r w:rsidRPr="00BD4CC0">
        <w:t>…………………………………………………………………………………………</w:t>
      </w:r>
      <w:r w:rsidR="00402CB7">
        <w:t>...</w:t>
      </w:r>
    </w:p>
    <w:p w:rsidR="00BD4CC0" w:rsidRDefault="00BD4CC0" w:rsidP="00BD4CC0">
      <w:pPr>
        <w:ind w:left="426"/>
      </w:pPr>
    </w:p>
    <w:p w:rsidR="00402CB7" w:rsidRPr="00BD4CC0" w:rsidRDefault="00402CB7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Co podle Vás patří mezi tři nejčastěji používané techniky stalkingu?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 xml:space="preserve">únos 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>telefonování oběti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>zasílání nevyžádaných balíčků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>ničení majetku oběti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 xml:space="preserve">sledování oběti 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 xml:space="preserve">protiprávní vniknutí do domu oběti </w:t>
      </w:r>
    </w:p>
    <w:p w:rsidR="00BD4CC0" w:rsidRPr="00BD4CC0" w:rsidRDefault="00BD4CC0" w:rsidP="00E46FED">
      <w:pPr>
        <w:numPr>
          <w:ilvl w:val="0"/>
          <w:numId w:val="15"/>
        </w:numPr>
        <w:ind w:left="709"/>
      </w:pPr>
      <w:r w:rsidRPr="00BD4CC0">
        <w:t>pozorování domu oběti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lastRenderedPageBreak/>
        <w:t xml:space="preserve">Uveďte aspoň jeden sociální důsledek ex-partnerského stalkingu. </w:t>
      </w:r>
    </w:p>
    <w:p w:rsidR="00BD4CC0" w:rsidRPr="00BD4CC0" w:rsidRDefault="00BD4CC0" w:rsidP="00F10F4C">
      <w:pPr>
        <w:ind w:left="426" w:firstLine="0"/>
      </w:pPr>
      <w:r w:rsidRPr="00BD4CC0">
        <w:t>……………………………</w:t>
      </w:r>
      <w:r>
        <w:t>…………………………………………………………</w:t>
      </w:r>
      <w:r w:rsidR="00402CB7">
        <w:t>…...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Domníváte se, že je možné u obětí ex-partnerského stalkingu zaznamenat příznaky posttraumatické stresové poruchy?</w:t>
      </w:r>
    </w:p>
    <w:p w:rsidR="00BD4CC0" w:rsidRPr="00BD4CC0" w:rsidRDefault="00BD4CC0" w:rsidP="00E46FED">
      <w:pPr>
        <w:numPr>
          <w:ilvl w:val="0"/>
          <w:numId w:val="16"/>
        </w:numPr>
        <w:ind w:left="709"/>
      </w:pPr>
      <w:r w:rsidRPr="00BD4CC0">
        <w:t>Ano</w:t>
      </w:r>
    </w:p>
    <w:p w:rsidR="00BD4CC0" w:rsidRPr="00BD4CC0" w:rsidRDefault="00BD4CC0" w:rsidP="00E46FED">
      <w:pPr>
        <w:numPr>
          <w:ilvl w:val="0"/>
          <w:numId w:val="16"/>
        </w:numPr>
        <w:ind w:left="709"/>
      </w:pPr>
      <w:r w:rsidRPr="00BD4CC0">
        <w:t>Ne</w:t>
      </w:r>
    </w:p>
    <w:p w:rsidR="00BD4CC0" w:rsidRPr="00BD4CC0" w:rsidRDefault="00BD4CC0" w:rsidP="00E46FED">
      <w:pPr>
        <w:numPr>
          <w:ilvl w:val="0"/>
          <w:numId w:val="16"/>
        </w:numPr>
        <w:ind w:left="709"/>
      </w:pPr>
      <w:r w:rsidRPr="00BD4CC0">
        <w:t>Nevím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 xml:space="preserve">Uveďte aspoň jednoho autora nebo publikaci, která se problematikou ex-partnerského stalkingu zabývá. </w:t>
      </w:r>
    </w:p>
    <w:p w:rsidR="00BD4CC0" w:rsidRPr="00BD4CC0" w:rsidRDefault="00BD4CC0" w:rsidP="00F10F4C">
      <w:pPr>
        <w:ind w:left="426" w:firstLine="0"/>
      </w:pPr>
      <w:r w:rsidRPr="00BD4CC0">
        <w:t>…………………………………………</w:t>
      </w:r>
      <w:r w:rsidR="00402CB7">
        <w:t>………………………………………………...</w:t>
      </w:r>
    </w:p>
    <w:p w:rsidR="00BD4CC0" w:rsidRPr="00BD4CC0" w:rsidRDefault="00BD4CC0" w:rsidP="00BD4CC0">
      <w:pPr>
        <w:ind w:left="426"/>
      </w:pPr>
    </w:p>
    <w:p w:rsidR="00BD4CC0" w:rsidRPr="00BD4CC0" w:rsidRDefault="00BD4CC0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 xml:space="preserve">Uveďte název aspoň jedné organizace specializující se na pomoc obětem stalkingu. </w:t>
      </w:r>
    </w:p>
    <w:p w:rsidR="00BD4CC0" w:rsidRPr="00BD4CC0" w:rsidRDefault="00BD4CC0" w:rsidP="00F10F4C">
      <w:pPr>
        <w:ind w:left="426" w:firstLine="0"/>
      </w:pPr>
      <w:r w:rsidRPr="00BD4CC0">
        <w:t>………………………</w:t>
      </w:r>
      <w:r w:rsidR="00402CB7">
        <w:t>…………………………………………………………………...</w:t>
      </w:r>
    </w:p>
    <w:p w:rsidR="00BD4CC0" w:rsidRDefault="00BD4CC0" w:rsidP="00BD4CC0">
      <w:pPr>
        <w:ind w:left="426"/>
      </w:pPr>
    </w:p>
    <w:p w:rsidR="00402CB7" w:rsidRPr="00BD4CC0" w:rsidRDefault="00402CB7" w:rsidP="00BD4CC0">
      <w:pPr>
        <w:ind w:left="426"/>
      </w:pPr>
    </w:p>
    <w:p w:rsidR="00BD4CC0" w:rsidRPr="00BD4CC0" w:rsidRDefault="00BD4CC0" w:rsidP="00E46FED">
      <w:pPr>
        <w:numPr>
          <w:ilvl w:val="0"/>
          <w:numId w:val="4"/>
        </w:numPr>
        <w:ind w:left="426"/>
      </w:pPr>
      <w:r w:rsidRPr="00BD4CC0">
        <w:t>Který z pocitů vnímají oběti ex-partnerského stalkingu jako nejhorší?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 xml:space="preserve">Strach ze smrti 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>Strach z ublížení na zdraví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>Pocit nejistoty, kdy oběť netuší, co se zase bude dít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>Strach o život nového partnera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 xml:space="preserve">Pociťování ztráty svobody </w:t>
      </w:r>
    </w:p>
    <w:p w:rsidR="00BD4CC0" w:rsidRPr="00BD4CC0" w:rsidRDefault="00BD4CC0" w:rsidP="00E46FED">
      <w:pPr>
        <w:numPr>
          <w:ilvl w:val="0"/>
          <w:numId w:val="17"/>
        </w:numPr>
        <w:ind w:left="709"/>
      </w:pPr>
      <w:r w:rsidRPr="00BD4CC0">
        <w:t>Nevím</w:t>
      </w:r>
    </w:p>
    <w:p w:rsidR="00BD4CC0" w:rsidRPr="00BD4CC0" w:rsidRDefault="00BD4CC0" w:rsidP="00BD4CC0">
      <w:pPr>
        <w:ind w:left="426"/>
      </w:pPr>
    </w:p>
    <w:p w:rsidR="00D56518" w:rsidRPr="00DD166E" w:rsidRDefault="00D56518" w:rsidP="00DD166E"/>
    <w:sectPr w:rsidR="00D56518" w:rsidRPr="00DD166E" w:rsidSect="005D363A">
      <w:footerReference w:type="default" r:id="rId26"/>
      <w:pgSz w:w="11906" w:h="16838"/>
      <w:pgMar w:top="1418" w:right="1418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B5" w:rsidRDefault="00D912B5">
      <w:r>
        <w:separator/>
      </w:r>
    </w:p>
  </w:endnote>
  <w:endnote w:type="continuationSeparator" w:id="0">
    <w:p w:rsidR="00D912B5" w:rsidRDefault="00D9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08" w:rsidRDefault="00630994">
    <w:pPr>
      <w:pStyle w:val="Zpat"/>
      <w:jc w:val="center"/>
    </w:pPr>
    <w:r>
      <w:fldChar w:fldCharType="begin"/>
    </w:r>
    <w:r w:rsidR="005D0408">
      <w:instrText>PAGE   \* MERGEFORMAT</w:instrText>
    </w:r>
    <w:r>
      <w:fldChar w:fldCharType="separate"/>
    </w:r>
    <w:r w:rsidR="007D2E6E">
      <w:rPr>
        <w:noProof/>
      </w:rPr>
      <w:t>58</w:t>
    </w:r>
    <w:r>
      <w:fldChar w:fldCharType="end"/>
    </w:r>
  </w:p>
  <w:p w:rsidR="005D0408" w:rsidRDefault="005D04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B5" w:rsidRDefault="00D912B5">
      <w:r>
        <w:separator/>
      </w:r>
    </w:p>
  </w:footnote>
  <w:footnote w:type="continuationSeparator" w:id="0">
    <w:p w:rsidR="00D912B5" w:rsidRDefault="00D912B5">
      <w:r>
        <w:continuationSeparator/>
      </w:r>
    </w:p>
  </w:footnote>
  <w:footnote w:id="1">
    <w:p w:rsidR="005D0408" w:rsidRDefault="005D0408">
      <w:pPr>
        <w:pStyle w:val="Textpoznpodarou"/>
      </w:pPr>
      <w:r>
        <w:rPr>
          <w:rStyle w:val="Znakapoznpodarou"/>
        </w:rPr>
        <w:footnoteRef/>
      </w:r>
      <w:r>
        <w:t xml:space="preserve"> Ú</w:t>
      </w:r>
      <w:r w:rsidRPr="009818C0">
        <w:t>kolem taxonomie pronásledovatelů je klasifikovat jednotlivé agresory a podle určitých pravidel je roztřídit do příslušných kategorií</w:t>
      </w:r>
      <w:r>
        <w:t>.</w:t>
      </w:r>
    </w:p>
  </w:footnote>
  <w:footnote w:id="2">
    <w:p w:rsidR="005D0408" w:rsidRDefault="005D0408">
      <w:pPr>
        <w:pStyle w:val="Textpoznpodarou"/>
      </w:pPr>
      <w:r>
        <w:rPr>
          <w:rStyle w:val="Znakapoznpodarou"/>
        </w:rPr>
        <w:footnoteRef/>
      </w:r>
      <w:r>
        <w:t xml:space="preserve"> Jedná se o proces, během kterého se člověk stává obětí trestného činu. </w:t>
      </w:r>
    </w:p>
  </w:footnote>
  <w:footnote w:id="3">
    <w:p w:rsidR="005D0408" w:rsidRDefault="005D0408">
      <w:pPr>
        <w:pStyle w:val="Textpoznpodarou"/>
      </w:pPr>
      <w:r>
        <w:rPr>
          <w:rStyle w:val="Znakapoznpodarou"/>
        </w:rPr>
        <w:footnoteRef/>
      </w:r>
      <w:r>
        <w:t xml:space="preserve"> Viktimologie je konkrétní odvětví kriminologie. Jedná se o vědní obor, který se zabývá oběťmi trestných činů.</w:t>
      </w:r>
    </w:p>
  </w:footnote>
  <w:footnote w:id="4">
    <w:p w:rsidR="005D0408" w:rsidRDefault="005D0408">
      <w:pPr>
        <w:pStyle w:val="Textpoznpodarou"/>
      </w:pPr>
      <w:r>
        <w:rPr>
          <w:rStyle w:val="Znakapoznpodarou"/>
        </w:rPr>
        <w:footnoteRef/>
      </w:r>
      <w:r>
        <w:t xml:space="preserve"> Projevuje se jako nadměrná koncentrace pozornosti, zvýšená bdělost a ostražitost.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1624CB5"/>
    <w:multiLevelType w:val="hybridMultilevel"/>
    <w:tmpl w:val="D318CED2"/>
    <w:lvl w:ilvl="0" w:tplc="9E7456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5E87"/>
    <w:multiLevelType w:val="hybridMultilevel"/>
    <w:tmpl w:val="4D88CB76"/>
    <w:lvl w:ilvl="0" w:tplc="0405000F">
      <w:start w:val="1"/>
      <w:numFmt w:val="decimal"/>
      <w:lvlText w:val="%1."/>
      <w:lvlJc w:val="left"/>
      <w:pPr>
        <w:ind w:left="1242" w:hanging="360"/>
      </w:pPr>
    </w:lvl>
    <w:lvl w:ilvl="1" w:tplc="04050019" w:tentative="1">
      <w:start w:val="1"/>
      <w:numFmt w:val="lowerLetter"/>
      <w:lvlText w:val="%2."/>
      <w:lvlJc w:val="left"/>
      <w:pPr>
        <w:ind w:left="1962" w:hanging="360"/>
      </w:pPr>
    </w:lvl>
    <w:lvl w:ilvl="2" w:tplc="0405001B" w:tentative="1">
      <w:start w:val="1"/>
      <w:numFmt w:val="lowerRoman"/>
      <w:lvlText w:val="%3."/>
      <w:lvlJc w:val="right"/>
      <w:pPr>
        <w:ind w:left="2682" w:hanging="180"/>
      </w:pPr>
    </w:lvl>
    <w:lvl w:ilvl="3" w:tplc="0405000F" w:tentative="1">
      <w:start w:val="1"/>
      <w:numFmt w:val="decimal"/>
      <w:lvlText w:val="%4."/>
      <w:lvlJc w:val="left"/>
      <w:pPr>
        <w:ind w:left="3402" w:hanging="360"/>
      </w:pPr>
    </w:lvl>
    <w:lvl w:ilvl="4" w:tplc="04050019" w:tentative="1">
      <w:start w:val="1"/>
      <w:numFmt w:val="lowerLetter"/>
      <w:lvlText w:val="%5."/>
      <w:lvlJc w:val="left"/>
      <w:pPr>
        <w:ind w:left="4122" w:hanging="360"/>
      </w:pPr>
    </w:lvl>
    <w:lvl w:ilvl="5" w:tplc="0405001B" w:tentative="1">
      <w:start w:val="1"/>
      <w:numFmt w:val="lowerRoman"/>
      <w:lvlText w:val="%6."/>
      <w:lvlJc w:val="right"/>
      <w:pPr>
        <w:ind w:left="4842" w:hanging="180"/>
      </w:pPr>
    </w:lvl>
    <w:lvl w:ilvl="6" w:tplc="0405000F" w:tentative="1">
      <w:start w:val="1"/>
      <w:numFmt w:val="decimal"/>
      <w:lvlText w:val="%7."/>
      <w:lvlJc w:val="left"/>
      <w:pPr>
        <w:ind w:left="5562" w:hanging="360"/>
      </w:pPr>
    </w:lvl>
    <w:lvl w:ilvl="7" w:tplc="04050019" w:tentative="1">
      <w:start w:val="1"/>
      <w:numFmt w:val="lowerLetter"/>
      <w:lvlText w:val="%8."/>
      <w:lvlJc w:val="left"/>
      <w:pPr>
        <w:ind w:left="6282" w:hanging="360"/>
      </w:pPr>
    </w:lvl>
    <w:lvl w:ilvl="8" w:tplc="040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>
    <w:nsid w:val="0D44160D"/>
    <w:multiLevelType w:val="hybridMultilevel"/>
    <w:tmpl w:val="28583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27A"/>
    <w:multiLevelType w:val="hybridMultilevel"/>
    <w:tmpl w:val="A9E420D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58338D"/>
    <w:multiLevelType w:val="multilevel"/>
    <w:tmpl w:val="34005C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DC2A1F"/>
    <w:multiLevelType w:val="hybridMultilevel"/>
    <w:tmpl w:val="5FF6EF8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BB4772"/>
    <w:multiLevelType w:val="hybridMultilevel"/>
    <w:tmpl w:val="8452A5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A6D57"/>
    <w:multiLevelType w:val="hybridMultilevel"/>
    <w:tmpl w:val="E09C86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D36C61"/>
    <w:multiLevelType w:val="hybridMultilevel"/>
    <w:tmpl w:val="233625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C4312F"/>
    <w:multiLevelType w:val="hybridMultilevel"/>
    <w:tmpl w:val="1F3810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BD0D8F"/>
    <w:multiLevelType w:val="multilevel"/>
    <w:tmpl w:val="1DAE1EE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5F97664"/>
    <w:multiLevelType w:val="hybridMultilevel"/>
    <w:tmpl w:val="359AB6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B7768"/>
    <w:multiLevelType w:val="hybridMultilevel"/>
    <w:tmpl w:val="54B62BC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0086B"/>
    <w:multiLevelType w:val="multilevel"/>
    <w:tmpl w:val="2CFC4C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6E6E78"/>
    <w:multiLevelType w:val="hybridMultilevel"/>
    <w:tmpl w:val="9B0204F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65D2656"/>
    <w:multiLevelType w:val="hybridMultilevel"/>
    <w:tmpl w:val="B5B8FD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731CE6"/>
    <w:multiLevelType w:val="multilevel"/>
    <w:tmpl w:val="34005C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3E319A"/>
    <w:multiLevelType w:val="hybridMultilevel"/>
    <w:tmpl w:val="27DA186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6"/>
  </w:num>
  <w:num w:numId="7">
    <w:abstractNumId w:val="13"/>
  </w:num>
  <w:num w:numId="8">
    <w:abstractNumId w:val="3"/>
  </w:num>
  <w:num w:numId="9">
    <w:abstractNumId w:val="14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6070D"/>
    <w:rsid w:val="00000467"/>
    <w:rsid w:val="000006C5"/>
    <w:rsid w:val="000019E9"/>
    <w:rsid w:val="0000235D"/>
    <w:rsid w:val="00002F04"/>
    <w:rsid w:val="00003413"/>
    <w:rsid w:val="000034F5"/>
    <w:rsid w:val="0000409A"/>
    <w:rsid w:val="00004AE2"/>
    <w:rsid w:val="0000505D"/>
    <w:rsid w:val="0000592D"/>
    <w:rsid w:val="00005FD6"/>
    <w:rsid w:val="00006415"/>
    <w:rsid w:val="000104AA"/>
    <w:rsid w:val="00010521"/>
    <w:rsid w:val="000109C6"/>
    <w:rsid w:val="00013563"/>
    <w:rsid w:val="00013622"/>
    <w:rsid w:val="00014477"/>
    <w:rsid w:val="000151F2"/>
    <w:rsid w:val="000156D9"/>
    <w:rsid w:val="00016FEF"/>
    <w:rsid w:val="00017321"/>
    <w:rsid w:val="0001792D"/>
    <w:rsid w:val="00020643"/>
    <w:rsid w:val="00020960"/>
    <w:rsid w:val="000210C9"/>
    <w:rsid w:val="00021FAA"/>
    <w:rsid w:val="0002245A"/>
    <w:rsid w:val="00022E22"/>
    <w:rsid w:val="0002416A"/>
    <w:rsid w:val="0002430F"/>
    <w:rsid w:val="0002442C"/>
    <w:rsid w:val="00024633"/>
    <w:rsid w:val="00025C23"/>
    <w:rsid w:val="000260F6"/>
    <w:rsid w:val="0002622C"/>
    <w:rsid w:val="00032660"/>
    <w:rsid w:val="0003341E"/>
    <w:rsid w:val="000334EE"/>
    <w:rsid w:val="00034446"/>
    <w:rsid w:val="00034922"/>
    <w:rsid w:val="000363F2"/>
    <w:rsid w:val="00037225"/>
    <w:rsid w:val="000373B0"/>
    <w:rsid w:val="000376AA"/>
    <w:rsid w:val="00037AA7"/>
    <w:rsid w:val="00040C5E"/>
    <w:rsid w:val="00042CC4"/>
    <w:rsid w:val="000437FD"/>
    <w:rsid w:val="000442EB"/>
    <w:rsid w:val="00044FAB"/>
    <w:rsid w:val="000471C8"/>
    <w:rsid w:val="000471F7"/>
    <w:rsid w:val="000518B8"/>
    <w:rsid w:val="0005196A"/>
    <w:rsid w:val="0005282D"/>
    <w:rsid w:val="0005366D"/>
    <w:rsid w:val="000536E1"/>
    <w:rsid w:val="00055021"/>
    <w:rsid w:val="00056162"/>
    <w:rsid w:val="0005670E"/>
    <w:rsid w:val="000639E3"/>
    <w:rsid w:val="00063A5A"/>
    <w:rsid w:val="00064F08"/>
    <w:rsid w:val="00065460"/>
    <w:rsid w:val="00067A12"/>
    <w:rsid w:val="00067EC2"/>
    <w:rsid w:val="0007055E"/>
    <w:rsid w:val="00070741"/>
    <w:rsid w:val="00071091"/>
    <w:rsid w:val="000716EE"/>
    <w:rsid w:val="000718ED"/>
    <w:rsid w:val="00072ACA"/>
    <w:rsid w:val="000732A5"/>
    <w:rsid w:val="000740D9"/>
    <w:rsid w:val="0007454E"/>
    <w:rsid w:val="00075C08"/>
    <w:rsid w:val="00075D76"/>
    <w:rsid w:val="000804D4"/>
    <w:rsid w:val="00080824"/>
    <w:rsid w:val="000822A5"/>
    <w:rsid w:val="0008269F"/>
    <w:rsid w:val="0008270B"/>
    <w:rsid w:val="00084295"/>
    <w:rsid w:val="00085156"/>
    <w:rsid w:val="000868B1"/>
    <w:rsid w:val="00087743"/>
    <w:rsid w:val="00087EF8"/>
    <w:rsid w:val="00090668"/>
    <w:rsid w:val="00090D94"/>
    <w:rsid w:val="0009182F"/>
    <w:rsid w:val="00092D98"/>
    <w:rsid w:val="00094213"/>
    <w:rsid w:val="000946F4"/>
    <w:rsid w:val="0009475D"/>
    <w:rsid w:val="00095318"/>
    <w:rsid w:val="000954A3"/>
    <w:rsid w:val="00095EC5"/>
    <w:rsid w:val="000A07DE"/>
    <w:rsid w:val="000A0E5D"/>
    <w:rsid w:val="000A2826"/>
    <w:rsid w:val="000A2B22"/>
    <w:rsid w:val="000A2D6A"/>
    <w:rsid w:val="000A3B2B"/>
    <w:rsid w:val="000A4462"/>
    <w:rsid w:val="000A52B2"/>
    <w:rsid w:val="000A56A9"/>
    <w:rsid w:val="000A639B"/>
    <w:rsid w:val="000A7B8D"/>
    <w:rsid w:val="000B16AB"/>
    <w:rsid w:val="000B20E6"/>
    <w:rsid w:val="000B38B3"/>
    <w:rsid w:val="000B5061"/>
    <w:rsid w:val="000B54BE"/>
    <w:rsid w:val="000B614B"/>
    <w:rsid w:val="000B681C"/>
    <w:rsid w:val="000C0E31"/>
    <w:rsid w:val="000C181C"/>
    <w:rsid w:val="000C1FDA"/>
    <w:rsid w:val="000C2438"/>
    <w:rsid w:val="000C2960"/>
    <w:rsid w:val="000C3174"/>
    <w:rsid w:val="000C3507"/>
    <w:rsid w:val="000C3993"/>
    <w:rsid w:val="000C3E69"/>
    <w:rsid w:val="000C565B"/>
    <w:rsid w:val="000C6A38"/>
    <w:rsid w:val="000C7135"/>
    <w:rsid w:val="000D0FE8"/>
    <w:rsid w:val="000D12E4"/>
    <w:rsid w:val="000D17E5"/>
    <w:rsid w:val="000D2B0E"/>
    <w:rsid w:val="000D2B45"/>
    <w:rsid w:val="000D2D92"/>
    <w:rsid w:val="000D32F6"/>
    <w:rsid w:val="000D386B"/>
    <w:rsid w:val="000D4726"/>
    <w:rsid w:val="000D4821"/>
    <w:rsid w:val="000D4C2C"/>
    <w:rsid w:val="000D4D8C"/>
    <w:rsid w:val="000D6223"/>
    <w:rsid w:val="000D7CBD"/>
    <w:rsid w:val="000D7EF3"/>
    <w:rsid w:val="000E06E7"/>
    <w:rsid w:val="000E2EF1"/>
    <w:rsid w:val="000E65B5"/>
    <w:rsid w:val="000F01A3"/>
    <w:rsid w:val="000F055E"/>
    <w:rsid w:val="000F05B6"/>
    <w:rsid w:val="000F2C4C"/>
    <w:rsid w:val="000F306F"/>
    <w:rsid w:val="000F31DB"/>
    <w:rsid w:val="000F36C3"/>
    <w:rsid w:val="000F3EF3"/>
    <w:rsid w:val="000F4E62"/>
    <w:rsid w:val="000F53B5"/>
    <w:rsid w:val="000F57EA"/>
    <w:rsid w:val="000F595A"/>
    <w:rsid w:val="000F67D0"/>
    <w:rsid w:val="0010064C"/>
    <w:rsid w:val="00100D25"/>
    <w:rsid w:val="0010224A"/>
    <w:rsid w:val="00102403"/>
    <w:rsid w:val="00102BDE"/>
    <w:rsid w:val="001049A9"/>
    <w:rsid w:val="0010582C"/>
    <w:rsid w:val="00106594"/>
    <w:rsid w:val="00112DB3"/>
    <w:rsid w:val="00113A3A"/>
    <w:rsid w:val="00114033"/>
    <w:rsid w:val="00114240"/>
    <w:rsid w:val="00114E84"/>
    <w:rsid w:val="00115563"/>
    <w:rsid w:val="001156A2"/>
    <w:rsid w:val="00116445"/>
    <w:rsid w:val="001170B5"/>
    <w:rsid w:val="00120EA4"/>
    <w:rsid w:val="00121652"/>
    <w:rsid w:val="001219BF"/>
    <w:rsid w:val="001224EF"/>
    <w:rsid w:val="00124500"/>
    <w:rsid w:val="00124D93"/>
    <w:rsid w:val="001252C7"/>
    <w:rsid w:val="001265E8"/>
    <w:rsid w:val="00127347"/>
    <w:rsid w:val="00127438"/>
    <w:rsid w:val="00130EF3"/>
    <w:rsid w:val="00132D55"/>
    <w:rsid w:val="00132E5E"/>
    <w:rsid w:val="00132EA3"/>
    <w:rsid w:val="00133128"/>
    <w:rsid w:val="00133480"/>
    <w:rsid w:val="00136C33"/>
    <w:rsid w:val="00137553"/>
    <w:rsid w:val="00140D1A"/>
    <w:rsid w:val="00141C7C"/>
    <w:rsid w:val="00142603"/>
    <w:rsid w:val="00145800"/>
    <w:rsid w:val="00145EAA"/>
    <w:rsid w:val="0014716A"/>
    <w:rsid w:val="0015265B"/>
    <w:rsid w:val="00153174"/>
    <w:rsid w:val="001533D9"/>
    <w:rsid w:val="00154892"/>
    <w:rsid w:val="00155361"/>
    <w:rsid w:val="00156BDB"/>
    <w:rsid w:val="00157819"/>
    <w:rsid w:val="00157C35"/>
    <w:rsid w:val="0016105B"/>
    <w:rsid w:val="0016129C"/>
    <w:rsid w:val="0016229D"/>
    <w:rsid w:val="001627CF"/>
    <w:rsid w:val="001627D9"/>
    <w:rsid w:val="00162DBC"/>
    <w:rsid w:val="00162EC9"/>
    <w:rsid w:val="00163432"/>
    <w:rsid w:val="001634BA"/>
    <w:rsid w:val="00163A79"/>
    <w:rsid w:val="00163A88"/>
    <w:rsid w:val="00163B84"/>
    <w:rsid w:val="00164350"/>
    <w:rsid w:val="001647D9"/>
    <w:rsid w:val="00164AA0"/>
    <w:rsid w:val="0016556E"/>
    <w:rsid w:val="00165BCF"/>
    <w:rsid w:val="001664D3"/>
    <w:rsid w:val="001677DF"/>
    <w:rsid w:val="001721CA"/>
    <w:rsid w:val="00172203"/>
    <w:rsid w:val="00172C87"/>
    <w:rsid w:val="00173587"/>
    <w:rsid w:val="00173D86"/>
    <w:rsid w:val="001740A2"/>
    <w:rsid w:val="001747CB"/>
    <w:rsid w:val="00175479"/>
    <w:rsid w:val="00176845"/>
    <w:rsid w:val="00177EBE"/>
    <w:rsid w:val="001808EF"/>
    <w:rsid w:val="001815F8"/>
    <w:rsid w:val="0018207A"/>
    <w:rsid w:val="0018364A"/>
    <w:rsid w:val="00184C31"/>
    <w:rsid w:val="001853AC"/>
    <w:rsid w:val="0018767F"/>
    <w:rsid w:val="00187FD7"/>
    <w:rsid w:val="00190C03"/>
    <w:rsid w:val="00190DD9"/>
    <w:rsid w:val="00191199"/>
    <w:rsid w:val="00191A3C"/>
    <w:rsid w:val="0019395E"/>
    <w:rsid w:val="00193B41"/>
    <w:rsid w:val="00194178"/>
    <w:rsid w:val="0019511F"/>
    <w:rsid w:val="00196BC9"/>
    <w:rsid w:val="001978AF"/>
    <w:rsid w:val="00197D09"/>
    <w:rsid w:val="001A134E"/>
    <w:rsid w:val="001A1BF3"/>
    <w:rsid w:val="001A27D8"/>
    <w:rsid w:val="001A2DF6"/>
    <w:rsid w:val="001A5D7F"/>
    <w:rsid w:val="001A651C"/>
    <w:rsid w:val="001A74A1"/>
    <w:rsid w:val="001A781E"/>
    <w:rsid w:val="001B0065"/>
    <w:rsid w:val="001B1780"/>
    <w:rsid w:val="001B1EC5"/>
    <w:rsid w:val="001B32A9"/>
    <w:rsid w:val="001B3F17"/>
    <w:rsid w:val="001B45EB"/>
    <w:rsid w:val="001B4CAA"/>
    <w:rsid w:val="001B6ADB"/>
    <w:rsid w:val="001B6E31"/>
    <w:rsid w:val="001B7BC7"/>
    <w:rsid w:val="001C07C7"/>
    <w:rsid w:val="001C1096"/>
    <w:rsid w:val="001C1D6C"/>
    <w:rsid w:val="001C248D"/>
    <w:rsid w:val="001C331F"/>
    <w:rsid w:val="001C37C9"/>
    <w:rsid w:val="001C3AB2"/>
    <w:rsid w:val="001C4026"/>
    <w:rsid w:val="001C4705"/>
    <w:rsid w:val="001C53B8"/>
    <w:rsid w:val="001C5A0A"/>
    <w:rsid w:val="001C5AD8"/>
    <w:rsid w:val="001C65AA"/>
    <w:rsid w:val="001C69AC"/>
    <w:rsid w:val="001C6BD2"/>
    <w:rsid w:val="001C7215"/>
    <w:rsid w:val="001C74A9"/>
    <w:rsid w:val="001D0A93"/>
    <w:rsid w:val="001D28C9"/>
    <w:rsid w:val="001D4908"/>
    <w:rsid w:val="001D61C4"/>
    <w:rsid w:val="001E0205"/>
    <w:rsid w:val="001E1478"/>
    <w:rsid w:val="001E22D6"/>
    <w:rsid w:val="001E352A"/>
    <w:rsid w:val="001E3EDF"/>
    <w:rsid w:val="001E6F1B"/>
    <w:rsid w:val="001E713D"/>
    <w:rsid w:val="001E722F"/>
    <w:rsid w:val="001E745B"/>
    <w:rsid w:val="001E77C5"/>
    <w:rsid w:val="001F0290"/>
    <w:rsid w:val="001F12EF"/>
    <w:rsid w:val="001F244A"/>
    <w:rsid w:val="001F267A"/>
    <w:rsid w:val="001F30F6"/>
    <w:rsid w:val="001F4017"/>
    <w:rsid w:val="001F44EB"/>
    <w:rsid w:val="001F4627"/>
    <w:rsid w:val="001F46A6"/>
    <w:rsid w:val="001F49A7"/>
    <w:rsid w:val="001F49F9"/>
    <w:rsid w:val="001F52E9"/>
    <w:rsid w:val="001F5AEA"/>
    <w:rsid w:val="001F5C1D"/>
    <w:rsid w:val="001F5D83"/>
    <w:rsid w:val="001F6962"/>
    <w:rsid w:val="00200234"/>
    <w:rsid w:val="0020041D"/>
    <w:rsid w:val="00201518"/>
    <w:rsid w:val="00201C67"/>
    <w:rsid w:val="00201D28"/>
    <w:rsid w:val="00205AC6"/>
    <w:rsid w:val="00205D23"/>
    <w:rsid w:val="00205E22"/>
    <w:rsid w:val="00206B65"/>
    <w:rsid w:val="00207D42"/>
    <w:rsid w:val="00210D59"/>
    <w:rsid w:val="00210EB1"/>
    <w:rsid w:val="00211498"/>
    <w:rsid w:val="00213781"/>
    <w:rsid w:val="00213B37"/>
    <w:rsid w:val="00213E97"/>
    <w:rsid w:val="002144A7"/>
    <w:rsid w:val="00214617"/>
    <w:rsid w:val="002156C0"/>
    <w:rsid w:val="00216638"/>
    <w:rsid w:val="0021690F"/>
    <w:rsid w:val="00216948"/>
    <w:rsid w:val="0021746F"/>
    <w:rsid w:val="0022135E"/>
    <w:rsid w:val="00224E8E"/>
    <w:rsid w:val="00224F4E"/>
    <w:rsid w:val="00225C37"/>
    <w:rsid w:val="00225EC8"/>
    <w:rsid w:val="00225ED9"/>
    <w:rsid w:val="00225F9A"/>
    <w:rsid w:val="00227B48"/>
    <w:rsid w:val="002308B8"/>
    <w:rsid w:val="00230A11"/>
    <w:rsid w:val="002311BF"/>
    <w:rsid w:val="00231A34"/>
    <w:rsid w:val="00231AC5"/>
    <w:rsid w:val="002322B7"/>
    <w:rsid w:val="00232BF8"/>
    <w:rsid w:val="00234C44"/>
    <w:rsid w:val="00234DD5"/>
    <w:rsid w:val="00235D87"/>
    <w:rsid w:val="002366CD"/>
    <w:rsid w:val="00237879"/>
    <w:rsid w:val="00237C0C"/>
    <w:rsid w:val="00240709"/>
    <w:rsid w:val="002427D5"/>
    <w:rsid w:val="00242E8F"/>
    <w:rsid w:val="00243DF7"/>
    <w:rsid w:val="00245861"/>
    <w:rsid w:val="00246270"/>
    <w:rsid w:val="00246710"/>
    <w:rsid w:val="002479D4"/>
    <w:rsid w:val="00250270"/>
    <w:rsid w:val="00250EEA"/>
    <w:rsid w:val="00251242"/>
    <w:rsid w:val="00251C1D"/>
    <w:rsid w:val="00251F37"/>
    <w:rsid w:val="002525C7"/>
    <w:rsid w:val="002527BB"/>
    <w:rsid w:val="0025567C"/>
    <w:rsid w:val="002574D9"/>
    <w:rsid w:val="00260C00"/>
    <w:rsid w:val="00260C84"/>
    <w:rsid w:val="00260E87"/>
    <w:rsid w:val="002610FB"/>
    <w:rsid w:val="00262E01"/>
    <w:rsid w:val="0026329B"/>
    <w:rsid w:val="0026421A"/>
    <w:rsid w:val="00264C75"/>
    <w:rsid w:val="00266037"/>
    <w:rsid w:val="0026657A"/>
    <w:rsid w:val="00267ED5"/>
    <w:rsid w:val="00270221"/>
    <w:rsid w:val="00271B8D"/>
    <w:rsid w:val="00273C9F"/>
    <w:rsid w:val="00273F7D"/>
    <w:rsid w:val="00274699"/>
    <w:rsid w:val="00274C63"/>
    <w:rsid w:val="00275607"/>
    <w:rsid w:val="00275658"/>
    <w:rsid w:val="0027719E"/>
    <w:rsid w:val="00280E42"/>
    <w:rsid w:val="00283340"/>
    <w:rsid w:val="00283A41"/>
    <w:rsid w:val="00283CBA"/>
    <w:rsid w:val="0028422B"/>
    <w:rsid w:val="0028433C"/>
    <w:rsid w:val="0028512C"/>
    <w:rsid w:val="0028631A"/>
    <w:rsid w:val="00286844"/>
    <w:rsid w:val="00291008"/>
    <w:rsid w:val="002937DB"/>
    <w:rsid w:val="0029436E"/>
    <w:rsid w:val="00295C82"/>
    <w:rsid w:val="00296615"/>
    <w:rsid w:val="00296C0C"/>
    <w:rsid w:val="00296F60"/>
    <w:rsid w:val="002972BE"/>
    <w:rsid w:val="00297551"/>
    <w:rsid w:val="002A0345"/>
    <w:rsid w:val="002A1B7F"/>
    <w:rsid w:val="002A3759"/>
    <w:rsid w:val="002A3E4E"/>
    <w:rsid w:val="002A41AE"/>
    <w:rsid w:val="002A53E2"/>
    <w:rsid w:val="002A5458"/>
    <w:rsid w:val="002A5884"/>
    <w:rsid w:val="002A5928"/>
    <w:rsid w:val="002A757A"/>
    <w:rsid w:val="002A7A95"/>
    <w:rsid w:val="002B03FA"/>
    <w:rsid w:val="002B176B"/>
    <w:rsid w:val="002B3000"/>
    <w:rsid w:val="002B3B2A"/>
    <w:rsid w:val="002B41F1"/>
    <w:rsid w:val="002B4BAC"/>
    <w:rsid w:val="002B7D04"/>
    <w:rsid w:val="002B7E9F"/>
    <w:rsid w:val="002C03B1"/>
    <w:rsid w:val="002C0720"/>
    <w:rsid w:val="002C14FB"/>
    <w:rsid w:val="002C1702"/>
    <w:rsid w:val="002C172E"/>
    <w:rsid w:val="002C2191"/>
    <w:rsid w:val="002C2809"/>
    <w:rsid w:val="002C315C"/>
    <w:rsid w:val="002C3A36"/>
    <w:rsid w:val="002C3FE1"/>
    <w:rsid w:val="002C4F80"/>
    <w:rsid w:val="002C50A2"/>
    <w:rsid w:val="002C666C"/>
    <w:rsid w:val="002C67F9"/>
    <w:rsid w:val="002D19A9"/>
    <w:rsid w:val="002D2EE7"/>
    <w:rsid w:val="002D2FB7"/>
    <w:rsid w:val="002D32C8"/>
    <w:rsid w:val="002D3355"/>
    <w:rsid w:val="002D39E3"/>
    <w:rsid w:val="002D4EC0"/>
    <w:rsid w:val="002D6201"/>
    <w:rsid w:val="002D6520"/>
    <w:rsid w:val="002D6C42"/>
    <w:rsid w:val="002D7940"/>
    <w:rsid w:val="002E0131"/>
    <w:rsid w:val="002E12EE"/>
    <w:rsid w:val="002E1C98"/>
    <w:rsid w:val="002E31EA"/>
    <w:rsid w:val="002E34D5"/>
    <w:rsid w:val="002E38D1"/>
    <w:rsid w:val="002E403E"/>
    <w:rsid w:val="002E431D"/>
    <w:rsid w:val="002E4531"/>
    <w:rsid w:val="002E5A33"/>
    <w:rsid w:val="002E5E30"/>
    <w:rsid w:val="002E7267"/>
    <w:rsid w:val="002E7782"/>
    <w:rsid w:val="002F1865"/>
    <w:rsid w:val="002F211D"/>
    <w:rsid w:val="002F2B94"/>
    <w:rsid w:val="002F332A"/>
    <w:rsid w:val="002F3627"/>
    <w:rsid w:val="002F47D6"/>
    <w:rsid w:val="002F72A8"/>
    <w:rsid w:val="002F764E"/>
    <w:rsid w:val="002F7F31"/>
    <w:rsid w:val="0030106A"/>
    <w:rsid w:val="0030139B"/>
    <w:rsid w:val="00302D8B"/>
    <w:rsid w:val="003032E2"/>
    <w:rsid w:val="00305485"/>
    <w:rsid w:val="00305C53"/>
    <w:rsid w:val="00306323"/>
    <w:rsid w:val="0030771A"/>
    <w:rsid w:val="003079BE"/>
    <w:rsid w:val="0031014F"/>
    <w:rsid w:val="0031015C"/>
    <w:rsid w:val="00311EA9"/>
    <w:rsid w:val="00312714"/>
    <w:rsid w:val="00314161"/>
    <w:rsid w:val="00314321"/>
    <w:rsid w:val="00316064"/>
    <w:rsid w:val="00317B2D"/>
    <w:rsid w:val="00320254"/>
    <w:rsid w:val="00320DF4"/>
    <w:rsid w:val="003214DE"/>
    <w:rsid w:val="00322EDC"/>
    <w:rsid w:val="00323B68"/>
    <w:rsid w:val="00323C3B"/>
    <w:rsid w:val="00324220"/>
    <w:rsid w:val="00325303"/>
    <w:rsid w:val="003263C3"/>
    <w:rsid w:val="003278CC"/>
    <w:rsid w:val="003302BE"/>
    <w:rsid w:val="00330495"/>
    <w:rsid w:val="00331D4F"/>
    <w:rsid w:val="00332E33"/>
    <w:rsid w:val="003353DF"/>
    <w:rsid w:val="00335460"/>
    <w:rsid w:val="0033562B"/>
    <w:rsid w:val="00335C3E"/>
    <w:rsid w:val="00336AC7"/>
    <w:rsid w:val="00340716"/>
    <w:rsid w:val="0034078C"/>
    <w:rsid w:val="00341B57"/>
    <w:rsid w:val="00342330"/>
    <w:rsid w:val="0034265F"/>
    <w:rsid w:val="00342ADE"/>
    <w:rsid w:val="003441D7"/>
    <w:rsid w:val="00344A87"/>
    <w:rsid w:val="003451EB"/>
    <w:rsid w:val="0034530F"/>
    <w:rsid w:val="00345BCC"/>
    <w:rsid w:val="00347F6F"/>
    <w:rsid w:val="00351C18"/>
    <w:rsid w:val="00353A8D"/>
    <w:rsid w:val="00356AC8"/>
    <w:rsid w:val="00357FC2"/>
    <w:rsid w:val="003608E1"/>
    <w:rsid w:val="00360A3C"/>
    <w:rsid w:val="00361172"/>
    <w:rsid w:val="003627B9"/>
    <w:rsid w:val="00362B21"/>
    <w:rsid w:val="00362B7D"/>
    <w:rsid w:val="00362C40"/>
    <w:rsid w:val="0036431B"/>
    <w:rsid w:val="00364565"/>
    <w:rsid w:val="00364B67"/>
    <w:rsid w:val="0036541D"/>
    <w:rsid w:val="003657B5"/>
    <w:rsid w:val="0036636F"/>
    <w:rsid w:val="003663BF"/>
    <w:rsid w:val="0036695A"/>
    <w:rsid w:val="00366EE3"/>
    <w:rsid w:val="00367129"/>
    <w:rsid w:val="003671DF"/>
    <w:rsid w:val="003705F7"/>
    <w:rsid w:val="00371DB1"/>
    <w:rsid w:val="00371E24"/>
    <w:rsid w:val="00372A0B"/>
    <w:rsid w:val="003730E1"/>
    <w:rsid w:val="003733F9"/>
    <w:rsid w:val="00374427"/>
    <w:rsid w:val="00375DFF"/>
    <w:rsid w:val="0037642F"/>
    <w:rsid w:val="00377013"/>
    <w:rsid w:val="00377C98"/>
    <w:rsid w:val="00380B0F"/>
    <w:rsid w:val="00380F98"/>
    <w:rsid w:val="00381AEA"/>
    <w:rsid w:val="00381E2E"/>
    <w:rsid w:val="00386063"/>
    <w:rsid w:val="00387190"/>
    <w:rsid w:val="003906B3"/>
    <w:rsid w:val="00391412"/>
    <w:rsid w:val="0039161E"/>
    <w:rsid w:val="00391E70"/>
    <w:rsid w:val="00391E80"/>
    <w:rsid w:val="00395304"/>
    <w:rsid w:val="003969FB"/>
    <w:rsid w:val="003973B7"/>
    <w:rsid w:val="003A047D"/>
    <w:rsid w:val="003A160C"/>
    <w:rsid w:val="003A18F0"/>
    <w:rsid w:val="003A1D74"/>
    <w:rsid w:val="003A1D94"/>
    <w:rsid w:val="003A1ED0"/>
    <w:rsid w:val="003A1F0A"/>
    <w:rsid w:val="003A3897"/>
    <w:rsid w:val="003A3AF7"/>
    <w:rsid w:val="003A7B86"/>
    <w:rsid w:val="003B32CC"/>
    <w:rsid w:val="003B4AA5"/>
    <w:rsid w:val="003B4D3F"/>
    <w:rsid w:val="003B587E"/>
    <w:rsid w:val="003B5ED3"/>
    <w:rsid w:val="003B664E"/>
    <w:rsid w:val="003B6E23"/>
    <w:rsid w:val="003C12A7"/>
    <w:rsid w:val="003C175E"/>
    <w:rsid w:val="003C1ACF"/>
    <w:rsid w:val="003C22FF"/>
    <w:rsid w:val="003C2F61"/>
    <w:rsid w:val="003C3B06"/>
    <w:rsid w:val="003C466D"/>
    <w:rsid w:val="003C4BE2"/>
    <w:rsid w:val="003C5D3E"/>
    <w:rsid w:val="003C67DE"/>
    <w:rsid w:val="003C7868"/>
    <w:rsid w:val="003D11E0"/>
    <w:rsid w:val="003D1F11"/>
    <w:rsid w:val="003D1FD7"/>
    <w:rsid w:val="003D21A9"/>
    <w:rsid w:val="003D2316"/>
    <w:rsid w:val="003D2486"/>
    <w:rsid w:val="003D2A06"/>
    <w:rsid w:val="003D32D5"/>
    <w:rsid w:val="003D3854"/>
    <w:rsid w:val="003D3B0B"/>
    <w:rsid w:val="003D4260"/>
    <w:rsid w:val="003D5A01"/>
    <w:rsid w:val="003E22EE"/>
    <w:rsid w:val="003E23A6"/>
    <w:rsid w:val="003E3A3B"/>
    <w:rsid w:val="003E42CB"/>
    <w:rsid w:val="003E4E64"/>
    <w:rsid w:val="003E500F"/>
    <w:rsid w:val="003E7310"/>
    <w:rsid w:val="003E7411"/>
    <w:rsid w:val="003F0015"/>
    <w:rsid w:val="003F04D8"/>
    <w:rsid w:val="003F1F78"/>
    <w:rsid w:val="003F3205"/>
    <w:rsid w:val="003F51B5"/>
    <w:rsid w:val="003F637E"/>
    <w:rsid w:val="003F6A2C"/>
    <w:rsid w:val="003F7CEB"/>
    <w:rsid w:val="00402A62"/>
    <w:rsid w:val="00402CB7"/>
    <w:rsid w:val="004037E4"/>
    <w:rsid w:val="00404E79"/>
    <w:rsid w:val="004056AC"/>
    <w:rsid w:val="00405EE3"/>
    <w:rsid w:val="004063CC"/>
    <w:rsid w:val="00406593"/>
    <w:rsid w:val="004100AB"/>
    <w:rsid w:val="00410CAD"/>
    <w:rsid w:val="00411588"/>
    <w:rsid w:val="00412935"/>
    <w:rsid w:val="004132A6"/>
    <w:rsid w:val="00414062"/>
    <w:rsid w:val="00414648"/>
    <w:rsid w:val="004158E5"/>
    <w:rsid w:val="0041603F"/>
    <w:rsid w:val="004200B3"/>
    <w:rsid w:val="00420DCB"/>
    <w:rsid w:val="00420ECE"/>
    <w:rsid w:val="00421236"/>
    <w:rsid w:val="004212FB"/>
    <w:rsid w:val="0042267B"/>
    <w:rsid w:val="004235A2"/>
    <w:rsid w:val="004237D9"/>
    <w:rsid w:val="00425DA5"/>
    <w:rsid w:val="004309A8"/>
    <w:rsid w:val="004312EB"/>
    <w:rsid w:val="00431791"/>
    <w:rsid w:val="004319A9"/>
    <w:rsid w:val="0043513F"/>
    <w:rsid w:val="00436386"/>
    <w:rsid w:val="00436FC7"/>
    <w:rsid w:val="00436FE5"/>
    <w:rsid w:val="00440E1F"/>
    <w:rsid w:val="00440F08"/>
    <w:rsid w:val="0044144B"/>
    <w:rsid w:val="00442740"/>
    <w:rsid w:val="00442B05"/>
    <w:rsid w:val="004430F6"/>
    <w:rsid w:val="00444533"/>
    <w:rsid w:val="00444FC6"/>
    <w:rsid w:val="004471BA"/>
    <w:rsid w:val="0044789C"/>
    <w:rsid w:val="0045035C"/>
    <w:rsid w:val="00453570"/>
    <w:rsid w:val="00453673"/>
    <w:rsid w:val="00455DAD"/>
    <w:rsid w:val="0045677A"/>
    <w:rsid w:val="0045693A"/>
    <w:rsid w:val="004575F2"/>
    <w:rsid w:val="00460298"/>
    <w:rsid w:val="00460ED0"/>
    <w:rsid w:val="00460FA0"/>
    <w:rsid w:val="0046101B"/>
    <w:rsid w:val="00463117"/>
    <w:rsid w:val="00465AA6"/>
    <w:rsid w:val="0046634D"/>
    <w:rsid w:val="00466ECF"/>
    <w:rsid w:val="00467373"/>
    <w:rsid w:val="00467928"/>
    <w:rsid w:val="00472D53"/>
    <w:rsid w:val="00472D56"/>
    <w:rsid w:val="00473BC2"/>
    <w:rsid w:val="00474420"/>
    <w:rsid w:val="00475CDA"/>
    <w:rsid w:val="00476215"/>
    <w:rsid w:val="00480720"/>
    <w:rsid w:val="004808EE"/>
    <w:rsid w:val="00480E75"/>
    <w:rsid w:val="0048120C"/>
    <w:rsid w:val="004858B4"/>
    <w:rsid w:val="004863C4"/>
    <w:rsid w:val="004866BB"/>
    <w:rsid w:val="004869D5"/>
    <w:rsid w:val="004875C8"/>
    <w:rsid w:val="00487CCD"/>
    <w:rsid w:val="0049003A"/>
    <w:rsid w:val="00490D47"/>
    <w:rsid w:val="00491862"/>
    <w:rsid w:val="00493030"/>
    <w:rsid w:val="00493484"/>
    <w:rsid w:val="00493CCB"/>
    <w:rsid w:val="00494078"/>
    <w:rsid w:val="004944FE"/>
    <w:rsid w:val="004950BF"/>
    <w:rsid w:val="004957CB"/>
    <w:rsid w:val="00495B8B"/>
    <w:rsid w:val="00496C37"/>
    <w:rsid w:val="00497224"/>
    <w:rsid w:val="004977EB"/>
    <w:rsid w:val="004A16BC"/>
    <w:rsid w:val="004A1719"/>
    <w:rsid w:val="004A1D8C"/>
    <w:rsid w:val="004A2BC4"/>
    <w:rsid w:val="004A2C51"/>
    <w:rsid w:val="004A3C89"/>
    <w:rsid w:val="004A44C6"/>
    <w:rsid w:val="004A49E2"/>
    <w:rsid w:val="004A54B2"/>
    <w:rsid w:val="004A58B5"/>
    <w:rsid w:val="004A58B7"/>
    <w:rsid w:val="004A6267"/>
    <w:rsid w:val="004A6E62"/>
    <w:rsid w:val="004B00EE"/>
    <w:rsid w:val="004B0330"/>
    <w:rsid w:val="004B1AD0"/>
    <w:rsid w:val="004B2BDC"/>
    <w:rsid w:val="004B35A3"/>
    <w:rsid w:val="004B443E"/>
    <w:rsid w:val="004B4E40"/>
    <w:rsid w:val="004C0A82"/>
    <w:rsid w:val="004C1670"/>
    <w:rsid w:val="004C2027"/>
    <w:rsid w:val="004C27D5"/>
    <w:rsid w:val="004C434D"/>
    <w:rsid w:val="004C7F81"/>
    <w:rsid w:val="004C7FE2"/>
    <w:rsid w:val="004D182E"/>
    <w:rsid w:val="004D1A93"/>
    <w:rsid w:val="004D2983"/>
    <w:rsid w:val="004D29C9"/>
    <w:rsid w:val="004D3350"/>
    <w:rsid w:val="004D36E7"/>
    <w:rsid w:val="004D5281"/>
    <w:rsid w:val="004D6F03"/>
    <w:rsid w:val="004E22E1"/>
    <w:rsid w:val="004E3A02"/>
    <w:rsid w:val="004E3F70"/>
    <w:rsid w:val="004E3FA6"/>
    <w:rsid w:val="004E4AD7"/>
    <w:rsid w:val="004E52F4"/>
    <w:rsid w:val="004E5390"/>
    <w:rsid w:val="004E57F5"/>
    <w:rsid w:val="004E5ABD"/>
    <w:rsid w:val="004E65BD"/>
    <w:rsid w:val="004F0078"/>
    <w:rsid w:val="004F00E6"/>
    <w:rsid w:val="004F0F58"/>
    <w:rsid w:val="004F16EF"/>
    <w:rsid w:val="004F28F8"/>
    <w:rsid w:val="004F3025"/>
    <w:rsid w:val="004F50BE"/>
    <w:rsid w:val="004F531F"/>
    <w:rsid w:val="004F69F4"/>
    <w:rsid w:val="00500D5F"/>
    <w:rsid w:val="00500DF8"/>
    <w:rsid w:val="0050113D"/>
    <w:rsid w:val="005026BD"/>
    <w:rsid w:val="005034C3"/>
    <w:rsid w:val="005040F1"/>
    <w:rsid w:val="005042A4"/>
    <w:rsid w:val="00504F70"/>
    <w:rsid w:val="00505F66"/>
    <w:rsid w:val="00506646"/>
    <w:rsid w:val="00507409"/>
    <w:rsid w:val="00510B6F"/>
    <w:rsid w:val="00511B80"/>
    <w:rsid w:val="005121A2"/>
    <w:rsid w:val="0051232D"/>
    <w:rsid w:val="005124A4"/>
    <w:rsid w:val="005133C8"/>
    <w:rsid w:val="00513F65"/>
    <w:rsid w:val="00513F9D"/>
    <w:rsid w:val="00513FB8"/>
    <w:rsid w:val="005143C8"/>
    <w:rsid w:val="00514445"/>
    <w:rsid w:val="00515C60"/>
    <w:rsid w:val="0051662C"/>
    <w:rsid w:val="00517C2D"/>
    <w:rsid w:val="005228A1"/>
    <w:rsid w:val="00522B37"/>
    <w:rsid w:val="00525C62"/>
    <w:rsid w:val="00527FCA"/>
    <w:rsid w:val="005317DC"/>
    <w:rsid w:val="00533915"/>
    <w:rsid w:val="00533CB6"/>
    <w:rsid w:val="0053443E"/>
    <w:rsid w:val="00534E0D"/>
    <w:rsid w:val="00536396"/>
    <w:rsid w:val="00536E6B"/>
    <w:rsid w:val="00537A4C"/>
    <w:rsid w:val="00540B4D"/>
    <w:rsid w:val="00540E4C"/>
    <w:rsid w:val="00542E3E"/>
    <w:rsid w:val="005433B0"/>
    <w:rsid w:val="00543416"/>
    <w:rsid w:val="00544622"/>
    <w:rsid w:val="0054590D"/>
    <w:rsid w:val="00545A6F"/>
    <w:rsid w:val="00546A6E"/>
    <w:rsid w:val="00546FCB"/>
    <w:rsid w:val="0055172E"/>
    <w:rsid w:val="00551E22"/>
    <w:rsid w:val="00552660"/>
    <w:rsid w:val="005528C6"/>
    <w:rsid w:val="00552CAB"/>
    <w:rsid w:val="005536AB"/>
    <w:rsid w:val="00554A5F"/>
    <w:rsid w:val="005555FF"/>
    <w:rsid w:val="00555FCB"/>
    <w:rsid w:val="005567D4"/>
    <w:rsid w:val="00556EEB"/>
    <w:rsid w:val="005573AD"/>
    <w:rsid w:val="00561A5A"/>
    <w:rsid w:val="0056215D"/>
    <w:rsid w:val="00562349"/>
    <w:rsid w:val="005654BD"/>
    <w:rsid w:val="005664C0"/>
    <w:rsid w:val="0056670A"/>
    <w:rsid w:val="00566E7F"/>
    <w:rsid w:val="00567100"/>
    <w:rsid w:val="00567829"/>
    <w:rsid w:val="005708CD"/>
    <w:rsid w:val="005718CD"/>
    <w:rsid w:val="00574878"/>
    <w:rsid w:val="00575636"/>
    <w:rsid w:val="00576DC1"/>
    <w:rsid w:val="00581315"/>
    <w:rsid w:val="0058224F"/>
    <w:rsid w:val="00582702"/>
    <w:rsid w:val="00585ADB"/>
    <w:rsid w:val="005906E6"/>
    <w:rsid w:val="00591257"/>
    <w:rsid w:val="005922DB"/>
    <w:rsid w:val="00592B61"/>
    <w:rsid w:val="0059340D"/>
    <w:rsid w:val="00593F53"/>
    <w:rsid w:val="00596140"/>
    <w:rsid w:val="005963C1"/>
    <w:rsid w:val="00596F17"/>
    <w:rsid w:val="00597F00"/>
    <w:rsid w:val="00597FC4"/>
    <w:rsid w:val="005A2C4C"/>
    <w:rsid w:val="005A621B"/>
    <w:rsid w:val="005B06E1"/>
    <w:rsid w:val="005B0A2B"/>
    <w:rsid w:val="005B0A76"/>
    <w:rsid w:val="005B0DD0"/>
    <w:rsid w:val="005B1365"/>
    <w:rsid w:val="005B1997"/>
    <w:rsid w:val="005B19A3"/>
    <w:rsid w:val="005B3A27"/>
    <w:rsid w:val="005B4520"/>
    <w:rsid w:val="005B5315"/>
    <w:rsid w:val="005B66C5"/>
    <w:rsid w:val="005B66F5"/>
    <w:rsid w:val="005B7480"/>
    <w:rsid w:val="005C0338"/>
    <w:rsid w:val="005C0511"/>
    <w:rsid w:val="005C2E13"/>
    <w:rsid w:val="005C2FC6"/>
    <w:rsid w:val="005C340C"/>
    <w:rsid w:val="005C34C4"/>
    <w:rsid w:val="005C377E"/>
    <w:rsid w:val="005C37E7"/>
    <w:rsid w:val="005C4A9F"/>
    <w:rsid w:val="005C61D6"/>
    <w:rsid w:val="005C67B1"/>
    <w:rsid w:val="005C7B87"/>
    <w:rsid w:val="005D0391"/>
    <w:rsid w:val="005D0408"/>
    <w:rsid w:val="005D040A"/>
    <w:rsid w:val="005D1567"/>
    <w:rsid w:val="005D233E"/>
    <w:rsid w:val="005D25F3"/>
    <w:rsid w:val="005D27D4"/>
    <w:rsid w:val="005D32A1"/>
    <w:rsid w:val="005D363A"/>
    <w:rsid w:val="005D396F"/>
    <w:rsid w:val="005D3F43"/>
    <w:rsid w:val="005D5699"/>
    <w:rsid w:val="005D681E"/>
    <w:rsid w:val="005D745B"/>
    <w:rsid w:val="005D7C66"/>
    <w:rsid w:val="005D7CBC"/>
    <w:rsid w:val="005E0602"/>
    <w:rsid w:val="005E0DED"/>
    <w:rsid w:val="005E1F6B"/>
    <w:rsid w:val="005E1F88"/>
    <w:rsid w:val="005E24BC"/>
    <w:rsid w:val="005E3B8C"/>
    <w:rsid w:val="005E4401"/>
    <w:rsid w:val="005E4513"/>
    <w:rsid w:val="005E5362"/>
    <w:rsid w:val="005E5FC8"/>
    <w:rsid w:val="005E6996"/>
    <w:rsid w:val="005E7099"/>
    <w:rsid w:val="005E7A5E"/>
    <w:rsid w:val="005F092B"/>
    <w:rsid w:val="005F0C8E"/>
    <w:rsid w:val="005F0EAE"/>
    <w:rsid w:val="005F137C"/>
    <w:rsid w:val="005F1838"/>
    <w:rsid w:val="005F240C"/>
    <w:rsid w:val="005F48A4"/>
    <w:rsid w:val="005F4A82"/>
    <w:rsid w:val="005F5C51"/>
    <w:rsid w:val="005F6388"/>
    <w:rsid w:val="005F6BD9"/>
    <w:rsid w:val="005F7077"/>
    <w:rsid w:val="005F798F"/>
    <w:rsid w:val="005F7A2E"/>
    <w:rsid w:val="006001FE"/>
    <w:rsid w:val="00601A87"/>
    <w:rsid w:val="00602F5B"/>
    <w:rsid w:val="0060332F"/>
    <w:rsid w:val="00603A30"/>
    <w:rsid w:val="00604044"/>
    <w:rsid w:val="006049C0"/>
    <w:rsid w:val="006056B3"/>
    <w:rsid w:val="00605803"/>
    <w:rsid w:val="00605C98"/>
    <w:rsid w:val="006065F8"/>
    <w:rsid w:val="006067E1"/>
    <w:rsid w:val="00607228"/>
    <w:rsid w:val="006072E2"/>
    <w:rsid w:val="0061018E"/>
    <w:rsid w:val="00611487"/>
    <w:rsid w:val="00611C08"/>
    <w:rsid w:val="00612231"/>
    <w:rsid w:val="00613DE1"/>
    <w:rsid w:val="0061400D"/>
    <w:rsid w:val="006176F2"/>
    <w:rsid w:val="00617829"/>
    <w:rsid w:val="00617AF0"/>
    <w:rsid w:val="00617E0A"/>
    <w:rsid w:val="00620724"/>
    <w:rsid w:val="00620DAC"/>
    <w:rsid w:val="00622048"/>
    <w:rsid w:val="00622ABB"/>
    <w:rsid w:val="0062350F"/>
    <w:rsid w:val="00624F1B"/>
    <w:rsid w:val="0062540E"/>
    <w:rsid w:val="00627238"/>
    <w:rsid w:val="00630994"/>
    <w:rsid w:val="00630A31"/>
    <w:rsid w:val="00631760"/>
    <w:rsid w:val="00631DD4"/>
    <w:rsid w:val="0063265D"/>
    <w:rsid w:val="00632F7E"/>
    <w:rsid w:val="0063319E"/>
    <w:rsid w:val="006337BA"/>
    <w:rsid w:val="00635477"/>
    <w:rsid w:val="006371D6"/>
    <w:rsid w:val="00637579"/>
    <w:rsid w:val="00640D57"/>
    <w:rsid w:val="00641365"/>
    <w:rsid w:val="006418C4"/>
    <w:rsid w:val="00641A54"/>
    <w:rsid w:val="00641B9C"/>
    <w:rsid w:val="00642AE7"/>
    <w:rsid w:val="00642BAC"/>
    <w:rsid w:val="006432F9"/>
    <w:rsid w:val="00643D4B"/>
    <w:rsid w:val="00644336"/>
    <w:rsid w:val="00644815"/>
    <w:rsid w:val="00644DAA"/>
    <w:rsid w:val="00645770"/>
    <w:rsid w:val="00645DC4"/>
    <w:rsid w:val="0064680C"/>
    <w:rsid w:val="00646CC4"/>
    <w:rsid w:val="006470AA"/>
    <w:rsid w:val="00647B1E"/>
    <w:rsid w:val="00651D31"/>
    <w:rsid w:val="006523E2"/>
    <w:rsid w:val="00652527"/>
    <w:rsid w:val="00653742"/>
    <w:rsid w:val="00653840"/>
    <w:rsid w:val="0065392F"/>
    <w:rsid w:val="00655107"/>
    <w:rsid w:val="00656AA0"/>
    <w:rsid w:val="00656DB1"/>
    <w:rsid w:val="0065749B"/>
    <w:rsid w:val="006575AF"/>
    <w:rsid w:val="00657A22"/>
    <w:rsid w:val="006646E9"/>
    <w:rsid w:val="00664993"/>
    <w:rsid w:val="00664AE1"/>
    <w:rsid w:val="00665F72"/>
    <w:rsid w:val="006662DD"/>
    <w:rsid w:val="00666AA1"/>
    <w:rsid w:val="00666E19"/>
    <w:rsid w:val="0066772A"/>
    <w:rsid w:val="00670AB2"/>
    <w:rsid w:val="00670B0B"/>
    <w:rsid w:val="0067151A"/>
    <w:rsid w:val="00671B6A"/>
    <w:rsid w:val="00671C06"/>
    <w:rsid w:val="0067225E"/>
    <w:rsid w:val="00672505"/>
    <w:rsid w:val="00672A99"/>
    <w:rsid w:val="00673816"/>
    <w:rsid w:val="00674027"/>
    <w:rsid w:val="00674C5E"/>
    <w:rsid w:val="00675385"/>
    <w:rsid w:val="00675B4E"/>
    <w:rsid w:val="006765C0"/>
    <w:rsid w:val="00676680"/>
    <w:rsid w:val="00677179"/>
    <w:rsid w:val="006806A7"/>
    <w:rsid w:val="00680B6F"/>
    <w:rsid w:val="00681E18"/>
    <w:rsid w:val="006830BC"/>
    <w:rsid w:val="00683745"/>
    <w:rsid w:val="00683C5E"/>
    <w:rsid w:val="0068463E"/>
    <w:rsid w:val="0068481A"/>
    <w:rsid w:val="00684EBD"/>
    <w:rsid w:val="00685BE4"/>
    <w:rsid w:val="00686C44"/>
    <w:rsid w:val="00687D01"/>
    <w:rsid w:val="00687D40"/>
    <w:rsid w:val="00687E11"/>
    <w:rsid w:val="006908B0"/>
    <w:rsid w:val="00691BE3"/>
    <w:rsid w:val="006945EC"/>
    <w:rsid w:val="00696E41"/>
    <w:rsid w:val="006A0605"/>
    <w:rsid w:val="006A167A"/>
    <w:rsid w:val="006A2988"/>
    <w:rsid w:val="006A37B8"/>
    <w:rsid w:val="006A3CC6"/>
    <w:rsid w:val="006A3EE0"/>
    <w:rsid w:val="006A45ED"/>
    <w:rsid w:val="006A46F3"/>
    <w:rsid w:val="006A6713"/>
    <w:rsid w:val="006A7055"/>
    <w:rsid w:val="006A7595"/>
    <w:rsid w:val="006A78B4"/>
    <w:rsid w:val="006A7B8B"/>
    <w:rsid w:val="006B0483"/>
    <w:rsid w:val="006B0D03"/>
    <w:rsid w:val="006B1292"/>
    <w:rsid w:val="006B1A8E"/>
    <w:rsid w:val="006B2136"/>
    <w:rsid w:val="006B2B44"/>
    <w:rsid w:val="006B341F"/>
    <w:rsid w:val="006B38E7"/>
    <w:rsid w:val="006B43CC"/>
    <w:rsid w:val="006B69EB"/>
    <w:rsid w:val="006B6D2B"/>
    <w:rsid w:val="006C036D"/>
    <w:rsid w:val="006C207B"/>
    <w:rsid w:val="006C34AB"/>
    <w:rsid w:val="006C37AF"/>
    <w:rsid w:val="006C3BAE"/>
    <w:rsid w:val="006C3E2E"/>
    <w:rsid w:val="006C4B56"/>
    <w:rsid w:val="006C4EBF"/>
    <w:rsid w:val="006C4F9A"/>
    <w:rsid w:val="006C4FFF"/>
    <w:rsid w:val="006C7235"/>
    <w:rsid w:val="006C738E"/>
    <w:rsid w:val="006C7E5A"/>
    <w:rsid w:val="006D20C3"/>
    <w:rsid w:val="006D33ED"/>
    <w:rsid w:val="006D3EAA"/>
    <w:rsid w:val="006D61C3"/>
    <w:rsid w:val="006D6B0C"/>
    <w:rsid w:val="006D7175"/>
    <w:rsid w:val="006D724D"/>
    <w:rsid w:val="006D7DD4"/>
    <w:rsid w:val="006E038B"/>
    <w:rsid w:val="006E10FC"/>
    <w:rsid w:val="006E1A60"/>
    <w:rsid w:val="006E311D"/>
    <w:rsid w:val="006E313A"/>
    <w:rsid w:val="006E475D"/>
    <w:rsid w:val="006E4A23"/>
    <w:rsid w:val="006E54B0"/>
    <w:rsid w:val="006F0077"/>
    <w:rsid w:val="006F0295"/>
    <w:rsid w:val="006F0E15"/>
    <w:rsid w:val="006F37D6"/>
    <w:rsid w:val="006F3D5F"/>
    <w:rsid w:val="006F6C86"/>
    <w:rsid w:val="006F6DB6"/>
    <w:rsid w:val="006F6F1A"/>
    <w:rsid w:val="006F7653"/>
    <w:rsid w:val="00700C39"/>
    <w:rsid w:val="007014DC"/>
    <w:rsid w:val="007016D4"/>
    <w:rsid w:val="007019FB"/>
    <w:rsid w:val="00701B3C"/>
    <w:rsid w:val="00701D92"/>
    <w:rsid w:val="0070245F"/>
    <w:rsid w:val="00705BB9"/>
    <w:rsid w:val="00706233"/>
    <w:rsid w:val="007064C7"/>
    <w:rsid w:val="00706B21"/>
    <w:rsid w:val="00706E4E"/>
    <w:rsid w:val="00707CD2"/>
    <w:rsid w:val="00707D7A"/>
    <w:rsid w:val="00710976"/>
    <w:rsid w:val="007127F0"/>
    <w:rsid w:val="00712B62"/>
    <w:rsid w:val="0071408F"/>
    <w:rsid w:val="0071450B"/>
    <w:rsid w:val="0071486B"/>
    <w:rsid w:val="007150EB"/>
    <w:rsid w:val="00716EB3"/>
    <w:rsid w:val="00716FEE"/>
    <w:rsid w:val="0071724A"/>
    <w:rsid w:val="007173B8"/>
    <w:rsid w:val="00717475"/>
    <w:rsid w:val="00717E62"/>
    <w:rsid w:val="00720D3E"/>
    <w:rsid w:val="00723C61"/>
    <w:rsid w:val="007245F7"/>
    <w:rsid w:val="00724846"/>
    <w:rsid w:val="007262D1"/>
    <w:rsid w:val="007266D7"/>
    <w:rsid w:val="00730216"/>
    <w:rsid w:val="00730AEC"/>
    <w:rsid w:val="0073134D"/>
    <w:rsid w:val="00731F6B"/>
    <w:rsid w:val="00732BC3"/>
    <w:rsid w:val="007330A2"/>
    <w:rsid w:val="007338D8"/>
    <w:rsid w:val="0073484F"/>
    <w:rsid w:val="00735B05"/>
    <w:rsid w:val="00736073"/>
    <w:rsid w:val="00736164"/>
    <w:rsid w:val="0073694B"/>
    <w:rsid w:val="00736AA3"/>
    <w:rsid w:val="00736DC4"/>
    <w:rsid w:val="00737140"/>
    <w:rsid w:val="00740149"/>
    <w:rsid w:val="0074102D"/>
    <w:rsid w:val="00741AAB"/>
    <w:rsid w:val="0074243B"/>
    <w:rsid w:val="007429EB"/>
    <w:rsid w:val="00742BC5"/>
    <w:rsid w:val="00743334"/>
    <w:rsid w:val="00745E6C"/>
    <w:rsid w:val="007468AA"/>
    <w:rsid w:val="00746CB9"/>
    <w:rsid w:val="00750400"/>
    <w:rsid w:val="007510DA"/>
    <w:rsid w:val="00751F73"/>
    <w:rsid w:val="0075322C"/>
    <w:rsid w:val="007548A9"/>
    <w:rsid w:val="00756206"/>
    <w:rsid w:val="00756310"/>
    <w:rsid w:val="0075638D"/>
    <w:rsid w:val="007576BF"/>
    <w:rsid w:val="00757864"/>
    <w:rsid w:val="00761339"/>
    <w:rsid w:val="007616D7"/>
    <w:rsid w:val="007617F3"/>
    <w:rsid w:val="00767C2A"/>
    <w:rsid w:val="00767ED2"/>
    <w:rsid w:val="00770484"/>
    <w:rsid w:val="0077170B"/>
    <w:rsid w:val="007722DB"/>
    <w:rsid w:val="0077266E"/>
    <w:rsid w:val="00773B48"/>
    <w:rsid w:val="00774A19"/>
    <w:rsid w:val="00776688"/>
    <w:rsid w:val="00776830"/>
    <w:rsid w:val="00776AF4"/>
    <w:rsid w:val="007805FC"/>
    <w:rsid w:val="00782B28"/>
    <w:rsid w:val="00784C7D"/>
    <w:rsid w:val="0078667A"/>
    <w:rsid w:val="00786D86"/>
    <w:rsid w:val="00791BAE"/>
    <w:rsid w:val="00792B63"/>
    <w:rsid w:val="00792C9C"/>
    <w:rsid w:val="00794826"/>
    <w:rsid w:val="00794A94"/>
    <w:rsid w:val="007A0525"/>
    <w:rsid w:val="007A06AF"/>
    <w:rsid w:val="007A0EAE"/>
    <w:rsid w:val="007A2EE2"/>
    <w:rsid w:val="007A3019"/>
    <w:rsid w:val="007A34B0"/>
    <w:rsid w:val="007A3C88"/>
    <w:rsid w:val="007A3CC0"/>
    <w:rsid w:val="007A40A3"/>
    <w:rsid w:val="007A5EC0"/>
    <w:rsid w:val="007A6466"/>
    <w:rsid w:val="007A6CA5"/>
    <w:rsid w:val="007B0031"/>
    <w:rsid w:val="007B00F5"/>
    <w:rsid w:val="007B0380"/>
    <w:rsid w:val="007B0564"/>
    <w:rsid w:val="007B1182"/>
    <w:rsid w:val="007B187F"/>
    <w:rsid w:val="007B4583"/>
    <w:rsid w:val="007B47DA"/>
    <w:rsid w:val="007B4A3F"/>
    <w:rsid w:val="007B4BF8"/>
    <w:rsid w:val="007B5049"/>
    <w:rsid w:val="007B519E"/>
    <w:rsid w:val="007B583A"/>
    <w:rsid w:val="007B5E9A"/>
    <w:rsid w:val="007B61FD"/>
    <w:rsid w:val="007B6203"/>
    <w:rsid w:val="007B6F98"/>
    <w:rsid w:val="007C008A"/>
    <w:rsid w:val="007C0257"/>
    <w:rsid w:val="007C07B2"/>
    <w:rsid w:val="007C0E9F"/>
    <w:rsid w:val="007C107A"/>
    <w:rsid w:val="007C1B43"/>
    <w:rsid w:val="007C1CD5"/>
    <w:rsid w:val="007C2777"/>
    <w:rsid w:val="007C57DE"/>
    <w:rsid w:val="007C6292"/>
    <w:rsid w:val="007C6504"/>
    <w:rsid w:val="007C67AA"/>
    <w:rsid w:val="007C7207"/>
    <w:rsid w:val="007C79B7"/>
    <w:rsid w:val="007D009C"/>
    <w:rsid w:val="007D02B8"/>
    <w:rsid w:val="007D0642"/>
    <w:rsid w:val="007D0764"/>
    <w:rsid w:val="007D07B3"/>
    <w:rsid w:val="007D0C1B"/>
    <w:rsid w:val="007D2E52"/>
    <w:rsid w:val="007D2E6E"/>
    <w:rsid w:val="007D3EE6"/>
    <w:rsid w:val="007D3FD2"/>
    <w:rsid w:val="007D4660"/>
    <w:rsid w:val="007D53EE"/>
    <w:rsid w:val="007D6310"/>
    <w:rsid w:val="007D67D3"/>
    <w:rsid w:val="007D6AB4"/>
    <w:rsid w:val="007D787B"/>
    <w:rsid w:val="007D7E6D"/>
    <w:rsid w:val="007E05A5"/>
    <w:rsid w:val="007E11BA"/>
    <w:rsid w:val="007E2012"/>
    <w:rsid w:val="007E2412"/>
    <w:rsid w:val="007E3262"/>
    <w:rsid w:val="007E3A00"/>
    <w:rsid w:val="007E432D"/>
    <w:rsid w:val="007E51B7"/>
    <w:rsid w:val="007E6068"/>
    <w:rsid w:val="007E687D"/>
    <w:rsid w:val="007E6EDA"/>
    <w:rsid w:val="007E71EB"/>
    <w:rsid w:val="007E7592"/>
    <w:rsid w:val="007F0153"/>
    <w:rsid w:val="007F0C28"/>
    <w:rsid w:val="007F1D56"/>
    <w:rsid w:val="007F1F70"/>
    <w:rsid w:val="007F225F"/>
    <w:rsid w:val="007F30DD"/>
    <w:rsid w:val="007F7D8D"/>
    <w:rsid w:val="007F7ED6"/>
    <w:rsid w:val="00800B99"/>
    <w:rsid w:val="00801E6D"/>
    <w:rsid w:val="00802169"/>
    <w:rsid w:val="00803205"/>
    <w:rsid w:val="0080345A"/>
    <w:rsid w:val="0080656E"/>
    <w:rsid w:val="008077A3"/>
    <w:rsid w:val="00811CDF"/>
    <w:rsid w:val="00813109"/>
    <w:rsid w:val="00813443"/>
    <w:rsid w:val="00815B64"/>
    <w:rsid w:val="0081667B"/>
    <w:rsid w:val="00816946"/>
    <w:rsid w:val="00816CE0"/>
    <w:rsid w:val="008172A1"/>
    <w:rsid w:val="00820211"/>
    <w:rsid w:val="00820D67"/>
    <w:rsid w:val="00821836"/>
    <w:rsid w:val="00821BDB"/>
    <w:rsid w:val="00823326"/>
    <w:rsid w:val="00823780"/>
    <w:rsid w:val="00824173"/>
    <w:rsid w:val="0082484F"/>
    <w:rsid w:val="008248E3"/>
    <w:rsid w:val="00824C43"/>
    <w:rsid w:val="00825061"/>
    <w:rsid w:val="00825C27"/>
    <w:rsid w:val="00827008"/>
    <w:rsid w:val="00827D81"/>
    <w:rsid w:val="008305CC"/>
    <w:rsid w:val="00830A68"/>
    <w:rsid w:val="00831744"/>
    <w:rsid w:val="008328A2"/>
    <w:rsid w:val="00832E7D"/>
    <w:rsid w:val="00833809"/>
    <w:rsid w:val="00834498"/>
    <w:rsid w:val="00834579"/>
    <w:rsid w:val="00835054"/>
    <w:rsid w:val="008351A4"/>
    <w:rsid w:val="00835D05"/>
    <w:rsid w:val="00842804"/>
    <w:rsid w:val="00842BBF"/>
    <w:rsid w:val="00842DDE"/>
    <w:rsid w:val="008432B1"/>
    <w:rsid w:val="008445E3"/>
    <w:rsid w:val="008446BA"/>
    <w:rsid w:val="00845798"/>
    <w:rsid w:val="00846229"/>
    <w:rsid w:val="008463ED"/>
    <w:rsid w:val="0084693A"/>
    <w:rsid w:val="0084730D"/>
    <w:rsid w:val="00847758"/>
    <w:rsid w:val="00847952"/>
    <w:rsid w:val="00850A86"/>
    <w:rsid w:val="00851D03"/>
    <w:rsid w:val="00851E25"/>
    <w:rsid w:val="0085316C"/>
    <w:rsid w:val="00860471"/>
    <w:rsid w:val="008621B2"/>
    <w:rsid w:val="00865ADF"/>
    <w:rsid w:val="00865FE7"/>
    <w:rsid w:val="008660CB"/>
    <w:rsid w:val="00867636"/>
    <w:rsid w:val="008719BC"/>
    <w:rsid w:val="00871B86"/>
    <w:rsid w:val="00871EFC"/>
    <w:rsid w:val="0087241B"/>
    <w:rsid w:val="0087280A"/>
    <w:rsid w:val="00872935"/>
    <w:rsid w:val="00872BCC"/>
    <w:rsid w:val="00872D4B"/>
    <w:rsid w:val="00873472"/>
    <w:rsid w:val="00873B89"/>
    <w:rsid w:val="00873C13"/>
    <w:rsid w:val="00874442"/>
    <w:rsid w:val="0087583E"/>
    <w:rsid w:val="00875E3E"/>
    <w:rsid w:val="00876175"/>
    <w:rsid w:val="008776CD"/>
    <w:rsid w:val="00877C01"/>
    <w:rsid w:val="0088096A"/>
    <w:rsid w:val="00880E8C"/>
    <w:rsid w:val="00882C7D"/>
    <w:rsid w:val="008835B8"/>
    <w:rsid w:val="00885381"/>
    <w:rsid w:val="008853A6"/>
    <w:rsid w:val="00886C8E"/>
    <w:rsid w:val="00887595"/>
    <w:rsid w:val="0088791E"/>
    <w:rsid w:val="00890BDE"/>
    <w:rsid w:val="00891869"/>
    <w:rsid w:val="00891F77"/>
    <w:rsid w:val="008937B2"/>
    <w:rsid w:val="008941DA"/>
    <w:rsid w:val="00895762"/>
    <w:rsid w:val="00895C3A"/>
    <w:rsid w:val="00896E66"/>
    <w:rsid w:val="0089744A"/>
    <w:rsid w:val="00897717"/>
    <w:rsid w:val="0089779C"/>
    <w:rsid w:val="008A1763"/>
    <w:rsid w:val="008A1AE4"/>
    <w:rsid w:val="008A2EE5"/>
    <w:rsid w:val="008A3786"/>
    <w:rsid w:val="008A551A"/>
    <w:rsid w:val="008A5C40"/>
    <w:rsid w:val="008A772F"/>
    <w:rsid w:val="008A7CBE"/>
    <w:rsid w:val="008B033E"/>
    <w:rsid w:val="008B0511"/>
    <w:rsid w:val="008B0C13"/>
    <w:rsid w:val="008B20B2"/>
    <w:rsid w:val="008B3712"/>
    <w:rsid w:val="008B3973"/>
    <w:rsid w:val="008B3A68"/>
    <w:rsid w:val="008B4267"/>
    <w:rsid w:val="008B4C43"/>
    <w:rsid w:val="008B4CFD"/>
    <w:rsid w:val="008B5F18"/>
    <w:rsid w:val="008C087B"/>
    <w:rsid w:val="008C1728"/>
    <w:rsid w:val="008C22E6"/>
    <w:rsid w:val="008C2A5E"/>
    <w:rsid w:val="008C528B"/>
    <w:rsid w:val="008C672B"/>
    <w:rsid w:val="008C68DA"/>
    <w:rsid w:val="008C7601"/>
    <w:rsid w:val="008D043E"/>
    <w:rsid w:val="008D0ACE"/>
    <w:rsid w:val="008D1AFA"/>
    <w:rsid w:val="008D1E35"/>
    <w:rsid w:val="008D1F30"/>
    <w:rsid w:val="008D2D0D"/>
    <w:rsid w:val="008D4EC3"/>
    <w:rsid w:val="008D55DD"/>
    <w:rsid w:val="008D5BCC"/>
    <w:rsid w:val="008D5CD5"/>
    <w:rsid w:val="008D5DA8"/>
    <w:rsid w:val="008D681A"/>
    <w:rsid w:val="008D7CB7"/>
    <w:rsid w:val="008D7E73"/>
    <w:rsid w:val="008E13E3"/>
    <w:rsid w:val="008E2A18"/>
    <w:rsid w:val="008E2A56"/>
    <w:rsid w:val="008E2F73"/>
    <w:rsid w:val="008E44F9"/>
    <w:rsid w:val="008E4725"/>
    <w:rsid w:val="008E579B"/>
    <w:rsid w:val="008E5957"/>
    <w:rsid w:val="008E6070"/>
    <w:rsid w:val="008E6FDC"/>
    <w:rsid w:val="008E75C7"/>
    <w:rsid w:val="008E7685"/>
    <w:rsid w:val="008E7736"/>
    <w:rsid w:val="008E7B82"/>
    <w:rsid w:val="008F05A7"/>
    <w:rsid w:val="008F09AE"/>
    <w:rsid w:val="008F1292"/>
    <w:rsid w:val="008F382A"/>
    <w:rsid w:val="008F3B35"/>
    <w:rsid w:val="008F5E08"/>
    <w:rsid w:val="008F65EE"/>
    <w:rsid w:val="008F6BE4"/>
    <w:rsid w:val="008F6FB8"/>
    <w:rsid w:val="008F7099"/>
    <w:rsid w:val="008F7C49"/>
    <w:rsid w:val="0090006A"/>
    <w:rsid w:val="00900AC6"/>
    <w:rsid w:val="009010F3"/>
    <w:rsid w:val="00901366"/>
    <w:rsid w:val="009032B8"/>
    <w:rsid w:val="00903609"/>
    <w:rsid w:val="00903CDA"/>
    <w:rsid w:val="0090461E"/>
    <w:rsid w:val="009046DC"/>
    <w:rsid w:val="009049D2"/>
    <w:rsid w:val="0090611A"/>
    <w:rsid w:val="00910CA3"/>
    <w:rsid w:val="009134D5"/>
    <w:rsid w:val="009141C2"/>
    <w:rsid w:val="009150AB"/>
    <w:rsid w:val="00915B6A"/>
    <w:rsid w:val="0092060E"/>
    <w:rsid w:val="00920851"/>
    <w:rsid w:val="009208C3"/>
    <w:rsid w:val="0092144A"/>
    <w:rsid w:val="00921DD2"/>
    <w:rsid w:val="0092283D"/>
    <w:rsid w:val="00922B54"/>
    <w:rsid w:val="00922DFB"/>
    <w:rsid w:val="009236D4"/>
    <w:rsid w:val="009243BB"/>
    <w:rsid w:val="00924772"/>
    <w:rsid w:val="00924EA5"/>
    <w:rsid w:val="00925039"/>
    <w:rsid w:val="00925ECA"/>
    <w:rsid w:val="00926166"/>
    <w:rsid w:val="00927715"/>
    <w:rsid w:val="0093029A"/>
    <w:rsid w:val="00930828"/>
    <w:rsid w:val="00930A33"/>
    <w:rsid w:val="0093157F"/>
    <w:rsid w:val="00931769"/>
    <w:rsid w:val="009327A9"/>
    <w:rsid w:val="00933678"/>
    <w:rsid w:val="00933908"/>
    <w:rsid w:val="00933B59"/>
    <w:rsid w:val="00933F7F"/>
    <w:rsid w:val="00934115"/>
    <w:rsid w:val="009349A8"/>
    <w:rsid w:val="00934AD7"/>
    <w:rsid w:val="00935522"/>
    <w:rsid w:val="009369EB"/>
    <w:rsid w:val="0094236B"/>
    <w:rsid w:val="009423C4"/>
    <w:rsid w:val="0094247C"/>
    <w:rsid w:val="009428D2"/>
    <w:rsid w:val="00942A52"/>
    <w:rsid w:val="00943D82"/>
    <w:rsid w:val="00944C67"/>
    <w:rsid w:val="00944F8F"/>
    <w:rsid w:val="00946419"/>
    <w:rsid w:val="00946810"/>
    <w:rsid w:val="00947799"/>
    <w:rsid w:val="00947DF0"/>
    <w:rsid w:val="00950831"/>
    <w:rsid w:val="00950B58"/>
    <w:rsid w:val="0095168E"/>
    <w:rsid w:val="00952247"/>
    <w:rsid w:val="0095240F"/>
    <w:rsid w:val="009537AB"/>
    <w:rsid w:val="009537CB"/>
    <w:rsid w:val="00954755"/>
    <w:rsid w:val="0095525C"/>
    <w:rsid w:val="009552EE"/>
    <w:rsid w:val="00956029"/>
    <w:rsid w:val="009572BB"/>
    <w:rsid w:val="00957806"/>
    <w:rsid w:val="0096114B"/>
    <w:rsid w:val="00961F9C"/>
    <w:rsid w:val="00962534"/>
    <w:rsid w:val="009629D9"/>
    <w:rsid w:val="00965805"/>
    <w:rsid w:val="0096704A"/>
    <w:rsid w:val="00970D0F"/>
    <w:rsid w:val="00970DB2"/>
    <w:rsid w:val="009717C6"/>
    <w:rsid w:val="00971912"/>
    <w:rsid w:val="00972217"/>
    <w:rsid w:val="00972E0D"/>
    <w:rsid w:val="0097351C"/>
    <w:rsid w:val="009736E4"/>
    <w:rsid w:val="00973F3B"/>
    <w:rsid w:val="009740E3"/>
    <w:rsid w:val="00974468"/>
    <w:rsid w:val="009752F3"/>
    <w:rsid w:val="0097553E"/>
    <w:rsid w:val="00976092"/>
    <w:rsid w:val="00977AEC"/>
    <w:rsid w:val="00980080"/>
    <w:rsid w:val="009809AC"/>
    <w:rsid w:val="00981030"/>
    <w:rsid w:val="009814C9"/>
    <w:rsid w:val="009816EC"/>
    <w:rsid w:val="009818C0"/>
    <w:rsid w:val="00981DAC"/>
    <w:rsid w:val="00981DDC"/>
    <w:rsid w:val="00982C65"/>
    <w:rsid w:val="00983731"/>
    <w:rsid w:val="00983ADE"/>
    <w:rsid w:val="00984750"/>
    <w:rsid w:val="0098689C"/>
    <w:rsid w:val="00987026"/>
    <w:rsid w:val="00987BCE"/>
    <w:rsid w:val="0099069E"/>
    <w:rsid w:val="00990FF8"/>
    <w:rsid w:val="0099101A"/>
    <w:rsid w:val="009924D7"/>
    <w:rsid w:val="00992B0E"/>
    <w:rsid w:val="00993A8A"/>
    <w:rsid w:val="0099711D"/>
    <w:rsid w:val="009972C1"/>
    <w:rsid w:val="00997E16"/>
    <w:rsid w:val="009A073C"/>
    <w:rsid w:val="009A1531"/>
    <w:rsid w:val="009A1F97"/>
    <w:rsid w:val="009A2D8A"/>
    <w:rsid w:val="009A3198"/>
    <w:rsid w:val="009A4233"/>
    <w:rsid w:val="009A4FE7"/>
    <w:rsid w:val="009A51BA"/>
    <w:rsid w:val="009A528C"/>
    <w:rsid w:val="009A661E"/>
    <w:rsid w:val="009A7162"/>
    <w:rsid w:val="009B03CE"/>
    <w:rsid w:val="009B05BC"/>
    <w:rsid w:val="009B25BD"/>
    <w:rsid w:val="009B3C27"/>
    <w:rsid w:val="009B4779"/>
    <w:rsid w:val="009B4BC9"/>
    <w:rsid w:val="009B4BCC"/>
    <w:rsid w:val="009B50AD"/>
    <w:rsid w:val="009B562F"/>
    <w:rsid w:val="009B60D6"/>
    <w:rsid w:val="009B6BF5"/>
    <w:rsid w:val="009B6C43"/>
    <w:rsid w:val="009B7FFA"/>
    <w:rsid w:val="009C15F5"/>
    <w:rsid w:val="009C17E1"/>
    <w:rsid w:val="009C19D8"/>
    <w:rsid w:val="009C3669"/>
    <w:rsid w:val="009C3E7B"/>
    <w:rsid w:val="009C4392"/>
    <w:rsid w:val="009C4936"/>
    <w:rsid w:val="009C4BE2"/>
    <w:rsid w:val="009C5097"/>
    <w:rsid w:val="009C54D5"/>
    <w:rsid w:val="009C56BB"/>
    <w:rsid w:val="009C5B10"/>
    <w:rsid w:val="009C6167"/>
    <w:rsid w:val="009C6D3A"/>
    <w:rsid w:val="009D0134"/>
    <w:rsid w:val="009D0C49"/>
    <w:rsid w:val="009D0E59"/>
    <w:rsid w:val="009D33CB"/>
    <w:rsid w:val="009D50C3"/>
    <w:rsid w:val="009D5592"/>
    <w:rsid w:val="009D5CAD"/>
    <w:rsid w:val="009D660D"/>
    <w:rsid w:val="009D7684"/>
    <w:rsid w:val="009D78CC"/>
    <w:rsid w:val="009E063C"/>
    <w:rsid w:val="009E085A"/>
    <w:rsid w:val="009E1157"/>
    <w:rsid w:val="009E13F6"/>
    <w:rsid w:val="009E15C1"/>
    <w:rsid w:val="009E1EAC"/>
    <w:rsid w:val="009E236C"/>
    <w:rsid w:val="009E2822"/>
    <w:rsid w:val="009E2902"/>
    <w:rsid w:val="009E35DE"/>
    <w:rsid w:val="009E3CC0"/>
    <w:rsid w:val="009E3D29"/>
    <w:rsid w:val="009E47AD"/>
    <w:rsid w:val="009E4C14"/>
    <w:rsid w:val="009E4E84"/>
    <w:rsid w:val="009E576B"/>
    <w:rsid w:val="009E5B83"/>
    <w:rsid w:val="009E6A85"/>
    <w:rsid w:val="009E6C9A"/>
    <w:rsid w:val="009E7308"/>
    <w:rsid w:val="009F0E08"/>
    <w:rsid w:val="009F2D03"/>
    <w:rsid w:val="009F37CC"/>
    <w:rsid w:val="009F5925"/>
    <w:rsid w:val="009F5D8A"/>
    <w:rsid w:val="009F6611"/>
    <w:rsid w:val="009F6C8A"/>
    <w:rsid w:val="00A00000"/>
    <w:rsid w:val="00A00A5B"/>
    <w:rsid w:val="00A01382"/>
    <w:rsid w:val="00A025BE"/>
    <w:rsid w:val="00A035A3"/>
    <w:rsid w:val="00A040DE"/>
    <w:rsid w:val="00A078E8"/>
    <w:rsid w:val="00A1109D"/>
    <w:rsid w:val="00A12939"/>
    <w:rsid w:val="00A14303"/>
    <w:rsid w:val="00A15100"/>
    <w:rsid w:val="00A1752D"/>
    <w:rsid w:val="00A2033B"/>
    <w:rsid w:val="00A20772"/>
    <w:rsid w:val="00A21DEA"/>
    <w:rsid w:val="00A2435D"/>
    <w:rsid w:val="00A24365"/>
    <w:rsid w:val="00A24596"/>
    <w:rsid w:val="00A25CDB"/>
    <w:rsid w:val="00A26AFE"/>
    <w:rsid w:val="00A26D30"/>
    <w:rsid w:val="00A2718A"/>
    <w:rsid w:val="00A30FB9"/>
    <w:rsid w:val="00A32558"/>
    <w:rsid w:val="00A34275"/>
    <w:rsid w:val="00A3444A"/>
    <w:rsid w:val="00A346AB"/>
    <w:rsid w:val="00A35441"/>
    <w:rsid w:val="00A372D2"/>
    <w:rsid w:val="00A376E9"/>
    <w:rsid w:val="00A41A33"/>
    <w:rsid w:val="00A41B17"/>
    <w:rsid w:val="00A4363A"/>
    <w:rsid w:val="00A44365"/>
    <w:rsid w:val="00A44C4B"/>
    <w:rsid w:val="00A44FC0"/>
    <w:rsid w:val="00A455AB"/>
    <w:rsid w:val="00A46A8C"/>
    <w:rsid w:val="00A46AD0"/>
    <w:rsid w:val="00A46BA3"/>
    <w:rsid w:val="00A46F55"/>
    <w:rsid w:val="00A47CC9"/>
    <w:rsid w:val="00A508D6"/>
    <w:rsid w:val="00A50CC7"/>
    <w:rsid w:val="00A5115C"/>
    <w:rsid w:val="00A51A02"/>
    <w:rsid w:val="00A52B5D"/>
    <w:rsid w:val="00A544F2"/>
    <w:rsid w:val="00A546FA"/>
    <w:rsid w:val="00A55122"/>
    <w:rsid w:val="00A5546C"/>
    <w:rsid w:val="00A55986"/>
    <w:rsid w:val="00A55E76"/>
    <w:rsid w:val="00A56E73"/>
    <w:rsid w:val="00A601F3"/>
    <w:rsid w:val="00A6070D"/>
    <w:rsid w:val="00A613FB"/>
    <w:rsid w:val="00A61C4E"/>
    <w:rsid w:val="00A62A31"/>
    <w:rsid w:val="00A630E7"/>
    <w:rsid w:val="00A63932"/>
    <w:rsid w:val="00A63C10"/>
    <w:rsid w:val="00A651A5"/>
    <w:rsid w:val="00A65A4E"/>
    <w:rsid w:val="00A65BBF"/>
    <w:rsid w:val="00A662A6"/>
    <w:rsid w:val="00A66BA3"/>
    <w:rsid w:val="00A67A1D"/>
    <w:rsid w:val="00A67E2E"/>
    <w:rsid w:val="00A718DE"/>
    <w:rsid w:val="00A71EA3"/>
    <w:rsid w:val="00A72777"/>
    <w:rsid w:val="00A74031"/>
    <w:rsid w:val="00A74700"/>
    <w:rsid w:val="00A75423"/>
    <w:rsid w:val="00A75E79"/>
    <w:rsid w:val="00A808EE"/>
    <w:rsid w:val="00A836C3"/>
    <w:rsid w:val="00A83BF6"/>
    <w:rsid w:val="00A842AB"/>
    <w:rsid w:val="00A84D1F"/>
    <w:rsid w:val="00A84E81"/>
    <w:rsid w:val="00A8566D"/>
    <w:rsid w:val="00A85B82"/>
    <w:rsid w:val="00A86EB0"/>
    <w:rsid w:val="00A8757C"/>
    <w:rsid w:val="00A87F27"/>
    <w:rsid w:val="00A9047B"/>
    <w:rsid w:val="00A907CE"/>
    <w:rsid w:val="00A90C4C"/>
    <w:rsid w:val="00A92971"/>
    <w:rsid w:val="00A937D3"/>
    <w:rsid w:val="00A94A9B"/>
    <w:rsid w:val="00A95FEC"/>
    <w:rsid w:val="00A961DA"/>
    <w:rsid w:val="00A965D2"/>
    <w:rsid w:val="00A96D7D"/>
    <w:rsid w:val="00AA0D93"/>
    <w:rsid w:val="00AA220A"/>
    <w:rsid w:val="00AA2E36"/>
    <w:rsid w:val="00AA4154"/>
    <w:rsid w:val="00AA5663"/>
    <w:rsid w:val="00AA5B07"/>
    <w:rsid w:val="00AA6E73"/>
    <w:rsid w:val="00AA7AAB"/>
    <w:rsid w:val="00AA7F44"/>
    <w:rsid w:val="00AB1145"/>
    <w:rsid w:val="00AB2F70"/>
    <w:rsid w:val="00AB515F"/>
    <w:rsid w:val="00AB58E6"/>
    <w:rsid w:val="00AB7850"/>
    <w:rsid w:val="00AC02AC"/>
    <w:rsid w:val="00AC1D02"/>
    <w:rsid w:val="00AC2C29"/>
    <w:rsid w:val="00AC7BD8"/>
    <w:rsid w:val="00AD041B"/>
    <w:rsid w:val="00AD0659"/>
    <w:rsid w:val="00AD0AAB"/>
    <w:rsid w:val="00AD1FA7"/>
    <w:rsid w:val="00AD2353"/>
    <w:rsid w:val="00AD3378"/>
    <w:rsid w:val="00AD6547"/>
    <w:rsid w:val="00AD6BAA"/>
    <w:rsid w:val="00AD75E6"/>
    <w:rsid w:val="00AE28B2"/>
    <w:rsid w:val="00AE3C2C"/>
    <w:rsid w:val="00AE41CA"/>
    <w:rsid w:val="00AE4385"/>
    <w:rsid w:val="00AE46B2"/>
    <w:rsid w:val="00AE49D7"/>
    <w:rsid w:val="00AE62CA"/>
    <w:rsid w:val="00AF0508"/>
    <w:rsid w:val="00AF0E8B"/>
    <w:rsid w:val="00AF106F"/>
    <w:rsid w:val="00AF1726"/>
    <w:rsid w:val="00AF175D"/>
    <w:rsid w:val="00AF2E25"/>
    <w:rsid w:val="00AF364B"/>
    <w:rsid w:val="00AF37FC"/>
    <w:rsid w:val="00AF5648"/>
    <w:rsid w:val="00AF6DE5"/>
    <w:rsid w:val="00AF72D2"/>
    <w:rsid w:val="00B00D54"/>
    <w:rsid w:val="00B03349"/>
    <w:rsid w:val="00B034FB"/>
    <w:rsid w:val="00B05850"/>
    <w:rsid w:val="00B06159"/>
    <w:rsid w:val="00B06A8E"/>
    <w:rsid w:val="00B10174"/>
    <w:rsid w:val="00B140F7"/>
    <w:rsid w:val="00B1428E"/>
    <w:rsid w:val="00B143A6"/>
    <w:rsid w:val="00B145D2"/>
    <w:rsid w:val="00B14787"/>
    <w:rsid w:val="00B2048C"/>
    <w:rsid w:val="00B2061B"/>
    <w:rsid w:val="00B216B9"/>
    <w:rsid w:val="00B219F9"/>
    <w:rsid w:val="00B2206C"/>
    <w:rsid w:val="00B2258C"/>
    <w:rsid w:val="00B23FEC"/>
    <w:rsid w:val="00B24458"/>
    <w:rsid w:val="00B2546C"/>
    <w:rsid w:val="00B26025"/>
    <w:rsid w:val="00B267FC"/>
    <w:rsid w:val="00B26C57"/>
    <w:rsid w:val="00B2746B"/>
    <w:rsid w:val="00B2780F"/>
    <w:rsid w:val="00B303AE"/>
    <w:rsid w:val="00B30909"/>
    <w:rsid w:val="00B32184"/>
    <w:rsid w:val="00B32278"/>
    <w:rsid w:val="00B32BE7"/>
    <w:rsid w:val="00B32F8E"/>
    <w:rsid w:val="00B34E9B"/>
    <w:rsid w:val="00B34F27"/>
    <w:rsid w:val="00B36787"/>
    <w:rsid w:val="00B37474"/>
    <w:rsid w:val="00B37EE7"/>
    <w:rsid w:val="00B4067D"/>
    <w:rsid w:val="00B410C6"/>
    <w:rsid w:val="00B42BA5"/>
    <w:rsid w:val="00B42ECD"/>
    <w:rsid w:val="00B433A4"/>
    <w:rsid w:val="00B442F0"/>
    <w:rsid w:val="00B47CCA"/>
    <w:rsid w:val="00B5014E"/>
    <w:rsid w:val="00B50469"/>
    <w:rsid w:val="00B51FD0"/>
    <w:rsid w:val="00B5442B"/>
    <w:rsid w:val="00B56D18"/>
    <w:rsid w:val="00B57C0E"/>
    <w:rsid w:val="00B60FBB"/>
    <w:rsid w:val="00B611F6"/>
    <w:rsid w:val="00B61C93"/>
    <w:rsid w:val="00B62B66"/>
    <w:rsid w:val="00B63887"/>
    <w:rsid w:val="00B643D0"/>
    <w:rsid w:val="00B64777"/>
    <w:rsid w:val="00B64B15"/>
    <w:rsid w:val="00B65786"/>
    <w:rsid w:val="00B66E84"/>
    <w:rsid w:val="00B67C0F"/>
    <w:rsid w:val="00B7101D"/>
    <w:rsid w:val="00B71DD1"/>
    <w:rsid w:val="00B7244F"/>
    <w:rsid w:val="00B731F7"/>
    <w:rsid w:val="00B7367B"/>
    <w:rsid w:val="00B743AA"/>
    <w:rsid w:val="00B743EE"/>
    <w:rsid w:val="00B756D9"/>
    <w:rsid w:val="00B756F3"/>
    <w:rsid w:val="00B77822"/>
    <w:rsid w:val="00B778F3"/>
    <w:rsid w:val="00B807A0"/>
    <w:rsid w:val="00B80886"/>
    <w:rsid w:val="00B824B8"/>
    <w:rsid w:val="00B8352D"/>
    <w:rsid w:val="00B83CBA"/>
    <w:rsid w:val="00B84EFD"/>
    <w:rsid w:val="00B857B5"/>
    <w:rsid w:val="00B86B2F"/>
    <w:rsid w:val="00B91186"/>
    <w:rsid w:val="00B91B54"/>
    <w:rsid w:val="00B91CE3"/>
    <w:rsid w:val="00B91F5C"/>
    <w:rsid w:val="00B92631"/>
    <w:rsid w:val="00B92643"/>
    <w:rsid w:val="00B92DA2"/>
    <w:rsid w:val="00B93F76"/>
    <w:rsid w:val="00B94696"/>
    <w:rsid w:val="00B94C67"/>
    <w:rsid w:val="00B95154"/>
    <w:rsid w:val="00B95225"/>
    <w:rsid w:val="00B95EE6"/>
    <w:rsid w:val="00BA07CA"/>
    <w:rsid w:val="00BA107C"/>
    <w:rsid w:val="00BA11FD"/>
    <w:rsid w:val="00BA2F9F"/>
    <w:rsid w:val="00BA4055"/>
    <w:rsid w:val="00BA4721"/>
    <w:rsid w:val="00BA4BF7"/>
    <w:rsid w:val="00BA56BB"/>
    <w:rsid w:val="00BA65F3"/>
    <w:rsid w:val="00BA74FF"/>
    <w:rsid w:val="00BB0503"/>
    <w:rsid w:val="00BB146C"/>
    <w:rsid w:val="00BB2880"/>
    <w:rsid w:val="00BB573D"/>
    <w:rsid w:val="00BB5E27"/>
    <w:rsid w:val="00BB624A"/>
    <w:rsid w:val="00BB6F52"/>
    <w:rsid w:val="00BC029A"/>
    <w:rsid w:val="00BC0A43"/>
    <w:rsid w:val="00BC2EF6"/>
    <w:rsid w:val="00BC35D9"/>
    <w:rsid w:val="00BC3F0E"/>
    <w:rsid w:val="00BC4E50"/>
    <w:rsid w:val="00BC5BE5"/>
    <w:rsid w:val="00BC605A"/>
    <w:rsid w:val="00BC661A"/>
    <w:rsid w:val="00BC69B1"/>
    <w:rsid w:val="00BC6D7A"/>
    <w:rsid w:val="00BD033E"/>
    <w:rsid w:val="00BD03E7"/>
    <w:rsid w:val="00BD0A0C"/>
    <w:rsid w:val="00BD0B28"/>
    <w:rsid w:val="00BD0BCD"/>
    <w:rsid w:val="00BD1251"/>
    <w:rsid w:val="00BD1D20"/>
    <w:rsid w:val="00BD2C07"/>
    <w:rsid w:val="00BD4649"/>
    <w:rsid w:val="00BD4CC0"/>
    <w:rsid w:val="00BD4E6A"/>
    <w:rsid w:val="00BD5939"/>
    <w:rsid w:val="00BD6A84"/>
    <w:rsid w:val="00BE01B9"/>
    <w:rsid w:val="00BE0ECC"/>
    <w:rsid w:val="00BE2816"/>
    <w:rsid w:val="00BE2C7A"/>
    <w:rsid w:val="00BE2DBC"/>
    <w:rsid w:val="00BE3213"/>
    <w:rsid w:val="00BE3668"/>
    <w:rsid w:val="00BE37E9"/>
    <w:rsid w:val="00BE43EA"/>
    <w:rsid w:val="00BE5E2B"/>
    <w:rsid w:val="00BE62CC"/>
    <w:rsid w:val="00BE6AA3"/>
    <w:rsid w:val="00BE6EFD"/>
    <w:rsid w:val="00BE7BDA"/>
    <w:rsid w:val="00BF0DB5"/>
    <w:rsid w:val="00BF10B0"/>
    <w:rsid w:val="00BF128E"/>
    <w:rsid w:val="00BF1909"/>
    <w:rsid w:val="00BF2864"/>
    <w:rsid w:val="00BF2CEB"/>
    <w:rsid w:val="00BF2D10"/>
    <w:rsid w:val="00BF4073"/>
    <w:rsid w:val="00BF43EF"/>
    <w:rsid w:val="00BF4CE7"/>
    <w:rsid w:val="00BF7DEB"/>
    <w:rsid w:val="00C0213C"/>
    <w:rsid w:val="00C02A93"/>
    <w:rsid w:val="00C04DC5"/>
    <w:rsid w:val="00C0774D"/>
    <w:rsid w:val="00C10C72"/>
    <w:rsid w:val="00C10F79"/>
    <w:rsid w:val="00C11622"/>
    <w:rsid w:val="00C11C65"/>
    <w:rsid w:val="00C12337"/>
    <w:rsid w:val="00C154DA"/>
    <w:rsid w:val="00C15FCE"/>
    <w:rsid w:val="00C16457"/>
    <w:rsid w:val="00C20CA1"/>
    <w:rsid w:val="00C20F71"/>
    <w:rsid w:val="00C21754"/>
    <w:rsid w:val="00C22507"/>
    <w:rsid w:val="00C231DD"/>
    <w:rsid w:val="00C23228"/>
    <w:rsid w:val="00C2339A"/>
    <w:rsid w:val="00C2436D"/>
    <w:rsid w:val="00C254FB"/>
    <w:rsid w:val="00C254FF"/>
    <w:rsid w:val="00C25F2A"/>
    <w:rsid w:val="00C271FD"/>
    <w:rsid w:val="00C31338"/>
    <w:rsid w:val="00C31ADC"/>
    <w:rsid w:val="00C354C9"/>
    <w:rsid w:val="00C36934"/>
    <w:rsid w:val="00C370E3"/>
    <w:rsid w:val="00C373DF"/>
    <w:rsid w:val="00C37682"/>
    <w:rsid w:val="00C40835"/>
    <w:rsid w:val="00C40C60"/>
    <w:rsid w:val="00C40D3E"/>
    <w:rsid w:val="00C41127"/>
    <w:rsid w:val="00C412A5"/>
    <w:rsid w:val="00C41FEE"/>
    <w:rsid w:val="00C420FB"/>
    <w:rsid w:val="00C43029"/>
    <w:rsid w:val="00C45B6B"/>
    <w:rsid w:val="00C461A9"/>
    <w:rsid w:val="00C47230"/>
    <w:rsid w:val="00C513CD"/>
    <w:rsid w:val="00C514A6"/>
    <w:rsid w:val="00C51B45"/>
    <w:rsid w:val="00C5263A"/>
    <w:rsid w:val="00C54297"/>
    <w:rsid w:val="00C55989"/>
    <w:rsid w:val="00C55CAC"/>
    <w:rsid w:val="00C5657C"/>
    <w:rsid w:val="00C56990"/>
    <w:rsid w:val="00C56D3F"/>
    <w:rsid w:val="00C56D8E"/>
    <w:rsid w:val="00C57184"/>
    <w:rsid w:val="00C57996"/>
    <w:rsid w:val="00C57FDE"/>
    <w:rsid w:val="00C61634"/>
    <w:rsid w:val="00C6206B"/>
    <w:rsid w:val="00C62574"/>
    <w:rsid w:val="00C62FB8"/>
    <w:rsid w:val="00C6300B"/>
    <w:rsid w:val="00C631E6"/>
    <w:rsid w:val="00C639AC"/>
    <w:rsid w:val="00C66E86"/>
    <w:rsid w:val="00C67197"/>
    <w:rsid w:val="00C675C6"/>
    <w:rsid w:val="00C67EE4"/>
    <w:rsid w:val="00C70B4E"/>
    <w:rsid w:val="00C71584"/>
    <w:rsid w:val="00C725B2"/>
    <w:rsid w:val="00C72C34"/>
    <w:rsid w:val="00C73AD4"/>
    <w:rsid w:val="00C75F78"/>
    <w:rsid w:val="00C7603C"/>
    <w:rsid w:val="00C813FB"/>
    <w:rsid w:val="00C81C32"/>
    <w:rsid w:val="00C81D53"/>
    <w:rsid w:val="00C82C33"/>
    <w:rsid w:val="00C83500"/>
    <w:rsid w:val="00C83D6F"/>
    <w:rsid w:val="00C83DF6"/>
    <w:rsid w:val="00C8439A"/>
    <w:rsid w:val="00C84CF4"/>
    <w:rsid w:val="00C85082"/>
    <w:rsid w:val="00C877F7"/>
    <w:rsid w:val="00C87F76"/>
    <w:rsid w:val="00C902FC"/>
    <w:rsid w:val="00C91490"/>
    <w:rsid w:val="00C91B8F"/>
    <w:rsid w:val="00C91C33"/>
    <w:rsid w:val="00C92AF8"/>
    <w:rsid w:val="00C933E2"/>
    <w:rsid w:val="00C9568B"/>
    <w:rsid w:val="00C95D06"/>
    <w:rsid w:val="00C967E8"/>
    <w:rsid w:val="00C97C46"/>
    <w:rsid w:val="00CA1026"/>
    <w:rsid w:val="00CA124F"/>
    <w:rsid w:val="00CA20A3"/>
    <w:rsid w:val="00CA24EC"/>
    <w:rsid w:val="00CA30AA"/>
    <w:rsid w:val="00CA32D2"/>
    <w:rsid w:val="00CA4C2A"/>
    <w:rsid w:val="00CA5291"/>
    <w:rsid w:val="00CA5AB6"/>
    <w:rsid w:val="00CA6CEE"/>
    <w:rsid w:val="00CA70F1"/>
    <w:rsid w:val="00CA7508"/>
    <w:rsid w:val="00CA76C0"/>
    <w:rsid w:val="00CA7729"/>
    <w:rsid w:val="00CB172B"/>
    <w:rsid w:val="00CB1A41"/>
    <w:rsid w:val="00CB29F9"/>
    <w:rsid w:val="00CB3E13"/>
    <w:rsid w:val="00CB4941"/>
    <w:rsid w:val="00CB506B"/>
    <w:rsid w:val="00CB53AD"/>
    <w:rsid w:val="00CB65F5"/>
    <w:rsid w:val="00CB670B"/>
    <w:rsid w:val="00CB6BD7"/>
    <w:rsid w:val="00CB7019"/>
    <w:rsid w:val="00CB7C00"/>
    <w:rsid w:val="00CB7FA8"/>
    <w:rsid w:val="00CC0364"/>
    <w:rsid w:val="00CC34E2"/>
    <w:rsid w:val="00CC3B9A"/>
    <w:rsid w:val="00CC6EA2"/>
    <w:rsid w:val="00CC7062"/>
    <w:rsid w:val="00CD0A65"/>
    <w:rsid w:val="00CD4217"/>
    <w:rsid w:val="00CD45B4"/>
    <w:rsid w:val="00CD6166"/>
    <w:rsid w:val="00CD7009"/>
    <w:rsid w:val="00CE0D0A"/>
    <w:rsid w:val="00CE24FA"/>
    <w:rsid w:val="00CE2C9F"/>
    <w:rsid w:val="00CE434B"/>
    <w:rsid w:val="00CE6261"/>
    <w:rsid w:val="00CE6725"/>
    <w:rsid w:val="00CE76F6"/>
    <w:rsid w:val="00CF0D35"/>
    <w:rsid w:val="00CF0EF2"/>
    <w:rsid w:val="00CF182D"/>
    <w:rsid w:val="00CF1F48"/>
    <w:rsid w:val="00CF248E"/>
    <w:rsid w:val="00CF2C74"/>
    <w:rsid w:val="00CF2D45"/>
    <w:rsid w:val="00CF2E49"/>
    <w:rsid w:val="00CF6837"/>
    <w:rsid w:val="00D007D7"/>
    <w:rsid w:val="00D01ADB"/>
    <w:rsid w:val="00D02076"/>
    <w:rsid w:val="00D034A8"/>
    <w:rsid w:val="00D03620"/>
    <w:rsid w:val="00D068CB"/>
    <w:rsid w:val="00D10525"/>
    <w:rsid w:val="00D12D49"/>
    <w:rsid w:val="00D13179"/>
    <w:rsid w:val="00D13267"/>
    <w:rsid w:val="00D133A2"/>
    <w:rsid w:val="00D161C0"/>
    <w:rsid w:val="00D173A4"/>
    <w:rsid w:val="00D202D4"/>
    <w:rsid w:val="00D20D62"/>
    <w:rsid w:val="00D20EAE"/>
    <w:rsid w:val="00D21F54"/>
    <w:rsid w:val="00D221A5"/>
    <w:rsid w:val="00D22B17"/>
    <w:rsid w:val="00D22F12"/>
    <w:rsid w:val="00D23F0C"/>
    <w:rsid w:val="00D243A0"/>
    <w:rsid w:val="00D248C0"/>
    <w:rsid w:val="00D2689A"/>
    <w:rsid w:val="00D273C4"/>
    <w:rsid w:val="00D30F83"/>
    <w:rsid w:val="00D31CA5"/>
    <w:rsid w:val="00D32172"/>
    <w:rsid w:val="00D32DAD"/>
    <w:rsid w:val="00D35BB9"/>
    <w:rsid w:val="00D363B2"/>
    <w:rsid w:val="00D37A43"/>
    <w:rsid w:val="00D410BC"/>
    <w:rsid w:val="00D41954"/>
    <w:rsid w:val="00D423D7"/>
    <w:rsid w:val="00D42E53"/>
    <w:rsid w:val="00D43436"/>
    <w:rsid w:val="00D45302"/>
    <w:rsid w:val="00D4591C"/>
    <w:rsid w:val="00D46528"/>
    <w:rsid w:val="00D5020F"/>
    <w:rsid w:val="00D50D06"/>
    <w:rsid w:val="00D50D68"/>
    <w:rsid w:val="00D51053"/>
    <w:rsid w:val="00D510E4"/>
    <w:rsid w:val="00D51F41"/>
    <w:rsid w:val="00D51FEA"/>
    <w:rsid w:val="00D533C4"/>
    <w:rsid w:val="00D53B67"/>
    <w:rsid w:val="00D54EC5"/>
    <w:rsid w:val="00D559F0"/>
    <w:rsid w:val="00D56518"/>
    <w:rsid w:val="00D61C46"/>
    <w:rsid w:val="00D61D6B"/>
    <w:rsid w:val="00D6212E"/>
    <w:rsid w:val="00D621AF"/>
    <w:rsid w:val="00D62B1B"/>
    <w:rsid w:val="00D62C83"/>
    <w:rsid w:val="00D6389C"/>
    <w:rsid w:val="00D65B6F"/>
    <w:rsid w:val="00D671A1"/>
    <w:rsid w:val="00D67E64"/>
    <w:rsid w:val="00D70220"/>
    <w:rsid w:val="00D70715"/>
    <w:rsid w:val="00D70825"/>
    <w:rsid w:val="00D708C1"/>
    <w:rsid w:val="00D70B98"/>
    <w:rsid w:val="00D72058"/>
    <w:rsid w:val="00D731BD"/>
    <w:rsid w:val="00D73CC7"/>
    <w:rsid w:val="00D7664A"/>
    <w:rsid w:val="00D800BC"/>
    <w:rsid w:val="00D8085C"/>
    <w:rsid w:val="00D8114E"/>
    <w:rsid w:val="00D82207"/>
    <w:rsid w:val="00D83542"/>
    <w:rsid w:val="00D83C57"/>
    <w:rsid w:val="00D83CEC"/>
    <w:rsid w:val="00D84603"/>
    <w:rsid w:val="00D8497A"/>
    <w:rsid w:val="00D853E6"/>
    <w:rsid w:val="00D85D68"/>
    <w:rsid w:val="00D866F3"/>
    <w:rsid w:val="00D87B2E"/>
    <w:rsid w:val="00D907E2"/>
    <w:rsid w:val="00D91116"/>
    <w:rsid w:val="00D912B5"/>
    <w:rsid w:val="00D927CB"/>
    <w:rsid w:val="00D92BB4"/>
    <w:rsid w:val="00D93F4C"/>
    <w:rsid w:val="00D945EE"/>
    <w:rsid w:val="00D94BF6"/>
    <w:rsid w:val="00D95649"/>
    <w:rsid w:val="00D96093"/>
    <w:rsid w:val="00DA08F2"/>
    <w:rsid w:val="00DA1EB8"/>
    <w:rsid w:val="00DA1FF8"/>
    <w:rsid w:val="00DA2824"/>
    <w:rsid w:val="00DA2D27"/>
    <w:rsid w:val="00DA4396"/>
    <w:rsid w:val="00DA46AB"/>
    <w:rsid w:val="00DA46B5"/>
    <w:rsid w:val="00DA4EAB"/>
    <w:rsid w:val="00DA6914"/>
    <w:rsid w:val="00DA6969"/>
    <w:rsid w:val="00DA7E8C"/>
    <w:rsid w:val="00DB00CA"/>
    <w:rsid w:val="00DB0B8F"/>
    <w:rsid w:val="00DB0DE8"/>
    <w:rsid w:val="00DB10E9"/>
    <w:rsid w:val="00DB1D30"/>
    <w:rsid w:val="00DB1ECC"/>
    <w:rsid w:val="00DB2798"/>
    <w:rsid w:val="00DB3D63"/>
    <w:rsid w:val="00DB4611"/>
    <w:rsid w:val="00DB5D8A"/>
    <w:rsid w:val="00DB60E3"/>
    <w:rsid w:val="00DB6C17"/>
    <w:rsid w:val="00DB74CD"/>
    <w:rsid w:val="00DC0219"/>
    <w:rsid w:val="00DC173D"/>
    <w:rsid w:val="00DC1971"/>
    <w:rsid w:val="00DC2444"/>
    <w:rsid w:val="00DC249F"/>
    <w:rsid w:val="00DC27F9"/>
    <w:rsid w:val="00DC3830"/>
    <w:rsid w:val="00DC3E2D"/>
    <w:rsid w:val="00DC43CE"/>
    <w:rsid w:val="00DC4A5A"/>
    <w:rsid w:val="00DC5416"/>
    <w:rsid w:val="00DC5B20"/>
    <w:rsid w:val="00DC5D19"/>
    <w:rsid w:val="00DC64B4"/>
    <w:rsid w:val="00DC7036"/>
    <w:rsid w:val="00DC770A"/>
    <w:rsid w:val="00DD0091"/>
    <w:rsid w:val="00DD037B"/>
    <w:rsid w:val="00DD0495"/>
    <w:rsid w:val="00DD0620"/>
    <w:rsid w:val="00DD0BC5"/>
    <w:rsid w:val="00DD166E"/>
    <w:rsid w:val="00DD2AB7"/>
    <w:rsid w:val="00DD53A0"/>
    <w:rsid w:val="00DD6182"/>
    <w:rsid w:val="00DE0693"/>
    <w:rsid w:val="00DE0A81"/>
    <w:rsid w:val="00DE1B42"/>
    <w:rsid w:val="00DE1D59"/>
    <w:rsid w:val="00DE22DD"/>
    <w:rsid w:val="00DE2AFF"/>
    <w:rsid w:val="00DE2EA8"/>
    <w:rsid w:val="00DE3756"/>
    <w:rsid w:val="00DE4A85"/>
    <w:rsid w:val="00DE4B82"/>
    <w:rsid w:val="00DE64F6"/>
    <w:rsid w:val="00DE6B75"/>
    <w:rsid w:val="00DE6C0E"/>
    <w:rsid w:val="00DE745E"/>
    <w:rsid w:val="00DE7918"/>
    <w:rsid w:val="00DF000F"/>
    <w:rsid w:val="00DF00E2"/>
    <w:rsid w:val="00DF3219"/>
    <w:rsid w:val="00DF4DD9"/>
    <w:rsid w:val="00DF50A8"/>
    <w:rsid w:val="00DF64FF"/>
    <w:rsid w:val="00DF6992"/>
    <w:rsid w:val="00DF701A"/>
    <w:rsid w:val="00DF70DF"/>
    <w:rsid w:val="00DF7A3F"/>
    <w:rsid w:val="00E01427"/>
    <w:rsid w:val="00E01A07"/>
    <w:rsid w:val="00E0201E"/>
    <w:rsid w:val="00E028A1"/>
    <w:rsid w:val="00E02D68"/>
    <w:rsid w:val="00E03949"/>
    <w:rsid w:val="00E05EB3"/>
    <w:rsid w:val="00E068F4"/>
    <w:rsid w:val="00E0757E"/>
    <w:rsid w:val="00E0782E"/>
    <w:rsid w:val="00E1000A"/>
    <w:rsid w:val="00E110F7"/>
    <w:rsid w:val="00E12EF0"/>
    <w:rsid w:val="00E1305B"/>
    <w:rsid w:val="00E13630"/>
    <w:rsid w:val="00E16029"/>
    <w:rsid w:val="00E16124"/>
    <w:rsid w:val="00E16DDE"/>
    <w:rsid w:val="00E2008D"/>
    <w:rsid w:val="00E20735"/>
    <w:rsid w:val="00E2103C"/>
    <w:rsid w:val="00E2111B"/>
    <w:rsid w:val="00E22620"/>
    <w:rsid w:val="00E2284E"/>
    <w:rsid w:val="00E23B1E"/>
    <w:rsid w:val="00E23C4E"/>
    <w:rsid w:val="00E23E47"/>
    <w:rsid w:val="00E25C7B"/>
    <w:rsid w:val="00E26E44"/>
    <w:rsid w:val="00E279BE"/>
    <w:rsid w:val="00E30CA3"/>
    <w:rsid w:val="00E312AE"/>
    <w:rsid w:val="00E32887"/>
    <w:rsid w:val="00E33DC6"/>
    <w:rsid w:val="00E34058"/>
    <w:rsid w:val="00E343F3"/>
    <w:rsid w:val="00E34869"/>
    <w:rsid w:val="00E36326"/>
    <w:rsid w:val="00E3799F"/>
    <w:rsid w:val="00E40347"/>
    <w:rsid w:val="00E407D0"/>
    <w:rsid w:val="00E40EFA"/>
    <w:rsid w:val="00E418A1"/>
    <w:rsid w:val="00E43E88"/>
    <w:rsid w:val="00E449C1"/>
    <w:rsid w:val="00E45BDE"/>
    <w:rsid w:val="00E463B7"/>
    <w:rsid w:val="00E46FED"/>
    <w:rsid w:val="00E4777D"/>
    <w:rsid w:val="00E500E1"/>
    <w:rsid w:val="00E50527"/>
    <w:rsid w:val="00E50BF5"/>
    <w:rsid w:val="00E527FC"/>
    <w:rsid w:val="00E53116"/>
    <w:rsid w:val="00E53475"/>
    <w:rsid w:val="00E544FF"/>
    <w:rsid w:val="00E55406"/>
    <w:rsid w:val="00E55D14"/>
    <w:rsid w:val="00E575D6"/>
    <w:rsid w:val="00E578B8"/>
    <w:rsid w:val="00E60925"/>
    <w:rsid w:val="00E6105B"/>
    <w:rsid w:val="00E62A71"/>
    <w:rsid w:val="00E63D03"/>
    <w:rsid w:val="00E64758"/>
    <w:rsid w:val="00E66FDD"/>
    <w:rsid w:val="00E678F3"/>
    <w:rsid w:val="00E67B2C"/>
    <w:rsid w:val="00E71315"/>
    <w:rsid w:val="00E713BE"/>
    <w:rsid w:val="00E7261D"/>
    <w:rsid w:val="00E74386"/>
    <w:rsid w:val="00E74E4C"/>
    <w:rsid w:val="00E757BB"/>
    <w:rsid w:val="00E76EB0"/>
    <w:rsid w:val="00E8127F"/>
    <w:rsid w:val="00E81CF7"/>
    <w:rsid w:val="00E81D41"/>
    <w:rsid w:val="00E82A7F"/>
    <w:rsid w:val="00E8359D"/>
    <w:rsid w:val="00E847EA"/>
    <w:rsid w:val="00E87067"/>
    <w:rsid w:val="00E90082"/>
    <w:rsid w:val="00E943F6"/>
    <w:rsid w:val="00E94535"/>
    <w:rsid w:val="00E950A3"/>
    <w:rsid w:val="00E9541A"/>
    <w:rsid w:val="00EA0197"/>
    <w:rsid w:val="00EA0348"/>
    <w:rsid w:val="00EA0830"/>
    <w:rsid w:val="00EA0AEC"/>
    <w:rsid w:val="00EA2026"/>
    <w:rsid w:val="00EA241C"/>
    <w:rsid w:val="00EA2E87"/>
    <w:rsid w:val="00EA375B"/>
    <w:rsid w:val="00EA43C8"/>
    <w:rsid w:val="00EA495F"/>
    <w:rsid w:val="00EA4F84"/>
    <w:rsid w:val="00EA7102"/>
    <w:rsid w:val="00EA7C2B"/>
    <w:rsid w:val="00EB0312"/>
    <w:rsid w:val="00EB1EFB"/>
    <w:rsid w:val="00EB4C1C"/>
    <w:rsid w:val="00EB55BF"/>
    <w:rsid w:val="00EB58B8"/>
    <w:rsid w:val="00EB6BA2"/>
    <w:rsid w:val="00EB6E95"/>
    <w:rsid w:val="00EB7AC9"/>
    <w:rsid w:val="00EC1AB3"/>
    <w:rsid w:val="00EC3058"/>
    <w:rsid w:val="00EC3285"/>
    <w:rsid w:val="00EC4888"/>
    <w:rsid w:val="00EC58EE"/>
    <w:rsid w:val="00EC6CA8"/>
    <w:rsid w:val="00EC79DD"/>
    <w:rsid w:val="00ED02A5"/>
    <w:rsid w:val="00ED07A9"/>
    <w:rsid w:val="00ED1171"/>
    <w:rsid w:val="00ED2D21"/>
    <w:rsid w:val="00ED3321"/>
    <w:rsid w:val="00ED3515"/>
    <w:rsid w:val="00ED3866"/>
    <w:rsid w:val="00ED6969"/>
    <w:rsid w:val="00EE10DB"/>
    <w:rsid w:val="00EE37E6"/>
    <w:rsid w:val="00EE439F"/>
    <w:rsid w:val="00EE6B0B"/>
    <w:rsid w:val="00EE77BC"/>
    <w:rsid w:val="00EE794A"/>
    <w:rsid w:val="00EF115A"/>
    <w:rsid w:val="00EF1C66"/>
    <w:rsid w:val="00EF26EC"/>
    <w:rsid w:val="00EF333F"/>
    <w:rsid w:val="00EF44D5"/>
    <w:rsid w:val="00EF63C2"/>
    <w:rsid w:val="00EF66DA"/>
    <w:rsid w:val="00EF7B69"/>
    <w:rsid w:val="00F00616"/>
    <w:rsid w:val="00F01AAB"/>
    <w:rsid w:val="00F0307F"/>
    <w:rsid w:val="00F04220"/>
    <w:rsid w:val="00F04A23"/>
    <w:rsid w:val="00F04A9D"/>
    <w:rsid w:val="00F062F0"/>
    <w:rsid w:val="00F063E6"/>
    <w:rsid w:val="00F07DD0"/>
    <w:rsid w:val="00F10447"/>
    <w:rsid w:val="00F10E1B"/>
    <w:rsid w:val="00F10EAE"/>
    <w:rsid w:val="00F10F4C"/>
    <w:rsid w:val="00F11162"/>
    <w:rsid w:val="00F1128B"/>
    <w:rsid w:val="00F11C4C"/>
    <w:rsid w:val="00F12930"/>
    <w:rsid w:val="00F12E5F"/>
    <w:rsid w:val="00F13196"/>
    <w:rsid w:val="00F13358"/>
    <w:rsid w:val="00F134ED"/>
    <w:rsid w:val="00F13507"/>
    <w:rsid w:val="00F1475C"/>
    <w:rsid w:val="00F17690"/>
    <w:rsid w:val="00F21B82"/>
    <w:rsid w:val="00F21F47"/>
    <w:rsid w:val="00F22FB5"/>
    <w:rsid w:val="00F23AAF"/>
    <w:rsid w:val="00F23EC7"/>
    <w:rsid w:val="00F23F60"/>
    <w:rsid w:val="00F24386"/>
    <w:rsid w:val="00F24A0D"/>
    <w:rsid w:val="00F2540A"/>
    <w:rsid w:val="00F25EF9"/>
    <w:rsid w:val="00F261B1"/>
    <w:rsid w:val="00F26F6D"/>
    <w:rsid w:val="00F27262"/>
    <w:rsid w:val="00F27567"/>
    <w:rsid w:val="00F27E56"/>
    <w:rsid w:val="00F305A1"/>
    <w:rsid w:val="00F3103E"/>
    <w:rsid w:val="00F31BBA"/>
    <w:rsid w:val="00F321B8"/>
    <w:rsid w:val="00F322DC"/>
    <w:rsid w:val="00F3391B"/>
    <w:rsid w:val="00F3424F"/>
    <w:rsid w:val="00F40001"/>
    <w:rsid w:val="00F405F0"/>
    <w:rsid w:val="00F40EAA"/>
    <w:rsid w:val="00F4239E"/>
    <w:rsid w:val="00F425C2"/>
    <w:rsid w:val="00F425D7"/>
    <w:rsid w:val="00F42927"/>
    <w:rsid w:val="00F435A7"/>
    <w:rsid w:val="00F436B0"/>
    <w:rsid w:val="00F447EB"/>
    <w:rsid w:val="00F44D75"/>
    <w:rsid w:val="00F45AFC"/>
    <w:rsid w:val="00F46108"/>
    <w:rsid w:val="00F46402"/>
    <w:rsid w:val="00F467EF"/>
    <w:rsid w:val="00F47629"/>
    <w:rsid w:val="00F527C5"/>
    <w:rsid w:val="00F52FAA"/>
    <w:rsid w:val="00F53CDC"/>
    <w:rsid w:val="00F54255"/>
    <w:rsid w:val="00F547FD"/>
    <w:rsid w:val="00F54CE5"/>
    <w:rsid w:val="00F54F53"/>
    <w:rsid w:val="00F55042"/>
    <w:rsid w:val="00F56DDC"/>
    <w:rsid w:val="00F57997"/>
    <w:rsid w:val="00F60ACB"/>
    <w:rsid w:val="00F6128D"/>
    <w:rsid w:val="00F62C3D"/>
    <w:rsid w:val="00F64395"/>
    <w:rsid w:val="00F64C3F"/>
    <w:rsid w:val="00F6592C"/>
    <w:rsid w:val="00F665D1"/>
    <w:rsid w:val="00F665E0"/>
    <w:rsid w:val="00F66BB1"/>
    <w:rsid w:val="00F6728B"/>
    <w:rsid w:val="00F675DD"/>
    <w:rsid w:val="00F73C5C"/>
    <w:rsid w:val="00F74BA0"/>
    <w:rsid w:val="00F76D55"/>
    <w:rsid w:val="00F76FA2"/>
    <w:rsid w:val="00F8041B"/>
    <w:rsid w:val="00F80F45"/>
    <w:rsid w:val="00F81287"/>
    <w:rsid w:val="00F8216D"/>
    <w:rsid w:val="00F8405D"/>
    <w:rsid w:val="00F84655"/>
    <w:rsid w:val="00F84CB3"/>
    <w:rsid w:val="00F852A7"/>
    <w:rsid w:val="00F85CCF"/>
    <w:rsid w:val="00F8665C"/>
    <w:rsid w:val="00F86C7E"/>
    <w:rsid w:val="00F86F2C"/>
    <w:rsid w:val="00F87F0E"/>
    <w:rsid w:val="00F906E6"/>
    <w:rsid w:val="00F90D10"/>
    <w:rsid w:val="00F9228D"/>
    <w:rsid w:val="00F92575"/>
    <w:rsid w:val="00F94940"/>
    <w:rsid w:val="00F94B72"/>
    <w:rsid w:val="00F956CC"/>
    <w:rsid w:val="00F957CA"/>
    <w:rsid w:val="00F95DFB"/>
    <w:rsid w:val="00F96C9B"/>
    <w:rsid w:val="00F96D91"/>
    <w:rsid w:val="00FA006D"/>
    <w:rsid w:val="00FA0C86"/>
    <w:rsid w:val="00FA15B9"/>
    <w:rsid w:val="00FA2AAE"/>
    <w:rsid w:val="00FA2D15"/>
    <w:rsid w:val="00FA2E0C"/>
    <w:rsid w:val="00FA3AFE"/>
    <w:rsid w:val="00FA476E"/>
    <w:rsid w:val="00FA4AF6"/>
    <w:rsid w:val="00FA55C7"/>
    <w:rsid w:val="00FA59D5"/>
    <w:rsid w:val="00FA6009"/>
    <w:rsid w:val="00FA7A99"/>
    <w:rsid w:val="00FA7BFA"/>
    <w:rsid w:val="00FB0062"/>
    <w:rsid w:val="00FB016E"/>
    <w:rsid w:val="00FB1EEA"/>
    <w:rsid w:val="00FB23CB"/>
    <w:rsid w:val="00FB3CD2"/>
    <w:rsid w:val="00FB4C10"/>
    <w:rsid w:val="00FB4F34"/>
    <w:rsid w:val="00FB5C56"/>
    <w:rsid w:val="00FB732C"/>
    <w:rsid w:val="00FB7B97"/>
    <w:rsid w:val="00FC0816"/>
    <w:rsid w:val="00FC0906"/>
    <w:rsid w:val="00FC1AB5"/>
    <w:rsid w:val="00FC2CDC"/>
    <w:rsid w:val="00FC3B1D"/>
    <w:rsid w:val="00FC4C5C"/>
    <w:rsid w:val="00FC550D"/>
    <w:rsid w:val="00FC5FBE"/>
    <w:rsid w:val="00FD04DF"/>
    <w:rsid w:val="00FD06E3"/>
    <w:rsid w:val="00FD0B87"/>
    <w:rsid w:val="00FD10B4"/>
    <w:rsid w:val="00FD2CB7"/>
    <w:rsid w:val="00FD3E38"/>
    <w:rsid w:val="00FD5D73"/>
    <w:rsid w:val="00FD7593"/>
    <w:rsid w:val="00FD7661"/>
    <w:rsid w:val="00FE10C6"/>
    <w:rsid w:val="00FE1198"/>
    <w:rsid w:val="00FE1C85"/>
    <w:rsid w:val="00FE203A"/>
    <w:rsid w:val="00FE2242"/>
    <w:rsid w:val="00FE3268"/>
    <w:rsid w:val="00FE34F3"/>
    <w:rsid w:val="00FE4202"/>
    <w:rsid w:val="00FE67A4"/>
    <w:rsid w:val="00FE73F9"/>
    <w:rsid w:val="00FE7D19"/>
    <w:rsid w:val="00FF0871"/>
    <w:rsid w:val="00FF0A59"/>
    <w:rsid w:val="00FF1614"/>
    <w:rsid w:val="00FF1712"/>
    <w:rsid w:val="00FF2C7E"/>
    <w:rsid w:val="00FF30C8"/>
    <w:rsid w:val="00FF318D"/>
    <w:rsid w:val="00FF44A4"/>
    <w:rsid w:val="00FF484E"/>
    <w:rsid w:val="00FF624A"/>
    <w:rsid w:val="00FF629B"/>
    <w:rsid w:val="00FF67C4"/>
    <w:rsid w:val="00FF6F09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B7"/>
    <w:pPr>
      <w:spacing w:line="360" w:lineRule="auto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3B37"/>
    <w:pPr>
      <w:keepNext/>
      <w:pageBreakBefore/>
      <w:numPr>
        <w:numId w:val="1"/>
      </w:numPr>
      <w:spacing w:before="240" w:after="360"/>
      <w:ind w:left="431" w:hanging="431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055E"/>
    <w:pPr>
      <w:keepNext/>
      <w:numPr>
        <w:ilvl w:val="1"/>
        <w:numId w:val="1"/>
      </w:numPr>
      <w:spacing w:before="360" w:after="3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0F055E"/>
    <w:pPr>
      <w:keepNext/>
      <w:numPr>
        <w:ilvl w:val="2"/>
        <w:numId w:val="1"/>
      </w:numPr>
      <w:spacing w:before="360" w:after="360"/>
      <w:jc w:val="left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F05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F05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F05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F055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F05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F05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">
    <w:name w:val="BC"/>
    <w:basedOn w:val="Normln"/>
    <w:rsid w:val="00DF50A8"/>
  </w:style>
  <w:style w:type="character" w:styleId="Siln">
    <w:name w:val="Strong"/>
    <w:qFormat/>
    <w:rsid w:val="00800B99"/>
    <w:rPr>
      <w:b/>
      <w:bCs/>
    </w:rPr>
  </w:style>
  <w:style w:type="paragraph" w:customStyle="1" w:styleId="Styl1">
    <w:name w:val="Styl1"/>
    <w:basedOn w:val="Normln"/>
    <w:rsid w:val="007F0153"/>
    <w:pPr>
      <w:keepNext/>
      <w:ind w:firstLine="567"/>
    </w:pPr>
  </w:style>
  <w:style w:type="paragraph" w:styleId="Obsah1">
    <w:name w:val="toc 1"/>
    <w:basedOn w:val="Normln"/>
    <w:next w:val="Normln"/>
    <w:autoRedefine/>
    <w:uiPriority w:val="39"/>
    <w:qFormat/>
    <w:rsid w:val="00CC7062"/>
    <w:pPr>
      <w:tabs>
        <w:tab w:val="left" w:pos="1100"/>
        <w:tab w:val="right" w:leader="dot" w:pos="8777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E94535"/>
    <w:pPr>
      <w:tabs>
        <w:tab w:val="left" w:pos="1540"/>
        <w:tab w:val="right" w:leader="dot" w:pos="8777"/>
      </w:tabs>
      <w:ind w:left="240"/>
      <w:jc w:val="left"/>
    </w:pPr>
  </w:style>
  <w:style w:type="paragraph" w:styleId="Obsah3">
    <w:name w:val="toc 3"/>
    <w:basedOn w:val="Normln"/>
    <w:next w:val="Normln"/>
    <w:autoRedefine/>
    <w:uiPriority w:val="39"/>
    <w:qFormat/>
    <w:rsid w:val="00A46F55"/>
    <w:pPr>
      <w:ind w:left="480"/>
    </w:pPr>
  </w:style>
  <w:style w:type="character" w:styleId="Hypertextovodkaz">
    <w:name w:val="Hyperlink"/>
    <w:uiPriority w:val="99"/>
    <w:rsid w:val="00A46F5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46F55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rsid w:val="00A46F55"/>
  </w:style>
  <w:style w:type="paragraph" w:styleId="Zhlav">
    <w:name w:val="header"/>
    <w:basedOn w:val="Normln"/>
    <w:rsid w:val="00A46F5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61A5A"/>
    <w:pPr>
      <w:spacing w:line="240" w:lineRule="auto"/>
      <w:jc w:val="left"/>
    </w:pPr>
    <w:rPr>
      <w:sz w:val="20"/>
      <w:szCs w:val="20"/>
    </w:rPr>
  </w:style>
  <w:style w:type="table" w:styleId="Mkatabulky">
    <w:name w:val="Table Grid"/>
    <w:basedOn w:val="Normlntabulka"/>
    <w:rsid w:val="00CB7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B778F3"/>
    <w:pPr>
      <w:spacing w:before="120" w:after="120"/>
    </w:pPr>
    <w:rPr>
      <w:b/>
      <w:bCs/>
      <w:sz w:val="20"/>
      <w:szCs w:val="20"/>
    </w:rPr>
  </w:style>
  <w:style w:type="paragraph" w:customStyle="1" w:styleId="StylBCPrvndek125cm">
    <w:name w:val="Styl BC + První řádek:  125 cm"/>
    <w:basedOn w:val="BC"/>
    <w:rsid w:val="009C15F5"/>
    <w:pPr>
      <w:ind w:firstLine="567"/>
    </w:pPr>
    <w:rPr>
      <w:szCs w:val="20"/>
    </w:rPr>
  </w:style>
  <w:style w:type="paragraph" w:customStyle="1" w:styleId="StylBCPrvndek095cm">
    <w:name w:val="Styl BC + První řádek:  095 cm"/>
    <w:basedOn w:val="BC"/>
    <w:rsid w:val="007B583A"/>
    <w:pPr>
      <w:ind w:firstLine="567"/>
    </w:pPr>
    <w:rPr>
      <w:szCs w:val="20"/>
    </w:rPr>
  </w:style>
  <w:style w:type="paragraph" w:customStyle="1" w:styleId="StylBCPrvndek095cm1">
    <w:name w:val="Styl BC + První řádek:  095 cm1"/>
    <w:basedOn w:val="BC"/>
    <w:rsid w:val="00AB1145"/>
    <w:pPr>
      <w:ind w:firstLine="567"/>
    </w:pPr>
    <w:rPr>
      <w:szCs w:val="20"/>
    </w:rPr>
  </w:style>
  <w:style w:type="paragraph" w:customStyle="1" w:styleId="StylBCPrvndek125cm1">
    <w:name w:val="Styl BC + První řádek:  125 cm1"/>
    <w:basedOn w:val="BC"/>
    <w:rsid w:val="00AB1145"/>
    <w:pPr>
      <w:ind w:firstLine="567"/>
    </w:pPr>
    <w:rPr>
      <w:szCs w:val="20"/>
    </w:rPr>
  </w:style>
  <w:style w:type="paragraph" w:customStyle="1" w:styleId="StylPrvndek125cm">
    <w:name w:val="Styl První řádek:  125 cm"/>
    <w:basedOn w:val="Normln"/>
    <w:rsid w:val="00AB1145"/>
    <w:pPr>
      <w:ind w:firstLine="567"/>
    </w:pPr>
    <w:rPr>
      <w:szCs w:val="20"/>
    </w:rPr>
  </w:style>
  <w:style w:type="paragraph" w:customStyle="1" w:styleId="NormlnVlevo0cm">
    <w:name w:val="Normální + Vlevo:  0 cm"/>
    <w:aliases w:val="První řádek:  0 cm"/>
    <w:basedOn w:val="Nadpis2"/>
    <w:rsid w:val="007B1182"/>
    <w:pPr>
      <w:numPr>
        <w:ilvl w:val="0"/>
        <w:numId w:val="0"/>
      </w:numPr>
    </w:pPr>
  </w:style>
  <w:style w:type="paragraph" w:styleId="Rejstk1">
    <w:name w:val="index 1"/>
    <w:basedOn w:val="Normln"/>
    <w:next w:val="Normln"/>
    <w:autoRedefine/>
    <w:semiHidden/>
    <w:rsid w:val="00F44D75"/>
    <w:pPr>
      <w:ind w:left="240" w:hanging="240"/>
    </w:pPr>
  </w:style>
  <w:style w:type="character" w:customStyle="1" w:styleId="ZpatChar">
    <w:name w:val="Zápatí Char"/>
    <w:link w:val="Zpat"/>
    <w:uiPriority w:val="99"/>
    <w:rsid w:val="00014477"/>
    <w:rPr>
      <w:sz w:val="24"/>
      <w:szCs w:val="24"/>
    </w:rPr>
  </w:style>
  <w:style w:type="table" w:customStyle="1" w:styleId="Styl2">
    <w:name w:val="Styl2"/>
    <w:basedOn w:val="Normlntabulka"/>
    <w:rsid w:val="00672A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1E722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44EB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1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5322C"/>
    <w:rPr>
      <w:rFonts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C37C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B7"/>
    <w:pPr>
      <w:spacing w:line="360" w:lineRule="auto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3B37"/>
    <w:pPr>
      <w:keepNext/>
      <w:pageBreakBefore/>
      <w:numPr>
        <w:numId w:val="1"/>
      </w:numPr>
      <w:spacing w:before="240" w:after="360"/>
      <w:ind w:left="431" w:hanging="431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055E"/>
    <w:pPr>
      <w:keepNext/>
      <w:numPr>
        <w:ilvl w:val="1"/>
        <w:numId w:val="1"/>
      </w:numPr>
      <w:spacing w:before="360" w:after="3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0F055E"/>
    <w:pPr>
      <w:keepNext/>
      <w:numPr>
        <w:ilvl w:val="2"/>
        <w:numId w:val="1"/>
      </w:numPr>
      <w:spacing w:before="360" w:after="360"/>
      <w:jc w:val="left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F05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F05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F05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F055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F05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F05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C">
    <w:name w:val="BC"/>
    <w:basedOn w:val="Normln"/>
    <w:rsid w:val="00DF50A8"/>
  </w:style>
  <w:style w:type="character" w:styleId="Siln">
    <w:name w:val="Strong"/>
    <w:qFormat/>
    <w:rsid w:val="00800B99"/>
    <w:rPr>
      <w:b/>
      <w:bCs/>
    </w:rPr>
  </w:style>
  <w:style w:type="paragraph" w:customStyle="1" w:styleId="Styl1">
    <w:name w:val="Styl1"/>
    <w:basedOn w:val="Normln"/>
    <w:rsid w:val="007F0153"/>
    <w:pPr>
      <w:keepNext/>
      <w:ind w:firstLine="567"/>
    </w:pPr>
  </w:style>
  <w:style w:type="paragraph" w:styleId="Obsah1">
    <w:name w:val="toc 1"/>
    <w:basedOn w:val="Normln"/>
    <w:next w:val="Normln"/>
    <w:autoRedefine/>
    <w:uiPriority w:val="39"/>
    <w:qFormat/>
    <w:rsid w:val="00CC7062"/>
    <w:pPr>
      <w:tabs>
        <w:tab w:val="left" w:pos="1100"/>
        <w:tab w:val="right" w:leader="dot" w:pos="8777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E94535"/>
    <w:pPr>
      <w:tabs>
        <w:tab w:val="left" w:pos="1540"/>
        <w:tab w:val="right" w:leader="dot" w:pos="8777"/>
      </w:tabs>
      <w:ind w:left="240"/>
      <w:jc w:val="left"/>
    </w:pPr>
  </w:style>
  <w:style w:type="paragraph" w:styleId="Obsah3">
    <w:name w:val="toc 3"/>
    <w:basedOn w:val="Normln"/>
    <w:next w:val="Normln"/>
    <w:autoRedefine/>
    <w:uiPriority w:val="39"/>
    <w:qFormat/>
    <w:rsid w:val="00A46F55"/>
    <w:pPr>
      <w:ind w:left="480"/>
    </w:pPr>
  </w:style>
  <w:style w:type="character" w:styleId="Hypertextovodkaz">
    <w:name w:val="Hyperlink"/>
    <w:uiPriority w:val="99"/>
    <w:rsid w:val="00A46F5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46F5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A46F55"/>
  </w:style>
  <w:style w:type="paragraph" w:styleId="Zhlav">
    <w:name w:val="header"/>
    <w:basedOn w:val="Normln"/>
    <w:rsid w:val="00A46F5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61A5A"/>
    <w:pPr>
      <w:spacing w:line="240" w:lineRule="auto"/>
      <w:jc w:val="left"/>
    </w:pPr>
    <w:rPr>
      <w:sz w:val="20"/>
      <w:szCs w:val="20"/>
    </w:rPr>
  </w:style>
  <w:style w:type="table" w:styleId="Mkatabulky">
    <w:name w:val="Table Grid"/>
    <w:basedOn w:val="Normlntabulka"/>
    <w:rsid w:val="00CB7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B778F3"/>
    <w:pPr>
      <w:spacing w:before="120" w:after="120"/>
    </w:pPr>
    <w:rPr>
      <w:b/>
      <w:bCs/>
      <w:sz w:val="20"/>
      <w:szCs w:val="20"/>
    </w:rPr>
  </w:style>
  <w:style w:type="paragraph" w:customStyle="1" w:styleId="StylBCPrvndek125cm">
    <w:name w:val="Styl BC + První řádek:  125 cm"/>
    <w:basedOn w:val="BC"/>
    <w:rsid w:val="009C15F5"/>
    <w:pPr>
      <w:ind w:firstLine="567"/>
    </w:pPr>
    <w:rPr>
      <w:szCs w:val="20"/>
    </w:rPr>
  </w:style>
  <w:style w:type="paragraph" w:customStyle="1" w:styleId="StylBCPrvndek095cm">
    <w:name w:val="Styl BC + První řádek:  095 cm"/>
    <w:basedOn w:val="BC"/>
    <w:rsid w:val="007B583A"/>
    <w:pPr>
      <w:ind w:firstLine="567"/>
    </w:pPr>
    <w:rPr>
      <w:szCs w:val="20"/>
    </w:rPr>
  </w:style>
  <w:style w:type="paragraph" w:customStyle="1" w:styleId="StylBCPrvndek095cm1">
    <w:name w:val="Styl BC + První řádek:  095 cm1"/>
    <w:basedOn w:val="BC"/>
    <w:rsid w:val="00AB1145"/>
    <w:pPr>
      <w:ind w:firstLine="567"/>
    </w:pPr>
    <w:rPr>
      <w:szCs w:val="20"/>
    </w:rPr>
  </w:style>
  <w:style w:type="paragraph" w:customStyle="1" w:styleId="StylBCPrvndek125cm1">
    <w:name w:val="Styl BC + První řádek:  125 cm1"/>
    <w:basedOn w:val="BC"/>
    <w:rsid w:val="00AB1145"/>
    <w:pPr>
      <w:ind w:firstLine="567"/>
    </w:pPr>
    <w:rPr>
      <w:szCs w:val="20"/>
    </w:rPr>
  </w:style>
  <w:style w:type="paragraph" w:customStyle="1" w:styleId="StylPrvndek125cm">
    <w:name w:val="Styl První řádek:  125 cm"/>
    <w:basedOn w:val="Normln"/>
    <w:rsid w:val="00AB1145"/>
    <w:pPr>
      <w:ind w:firstLine="567"/>
    </w:pPr>
    <w:rPr>
      <w:szCs w:val="20"/>
    </w:rPr>
  </w:style>
  <w:style w:type="paragraph" w:customStyle="1" w:styleId="NormlnVlevo0cm">
    <w:name w:val="Normální + Vlevo:  0 cm"/>
    <w:aliases w:val="První řádek:  0 cm"/>
    <w:basedOn w:val="Nadpis2"/>
    <w:rsid w:val="007B1182"/>
    <w:pPr>
      <w:numPr>
        <w:ilvl w:val="0"/>
        <w:numId w:val="0"/>
      </w:numPr>
    </w:pPr>
  </w:style>
  <w:style w:type="paragraph" w:styleId="Rejstk1">
    <w:name w:val="index 1"/>
    <w:basedOn w:val="Normln"/>
    <w:next w:val="Normln"/>
    <w:autoRedefine/>
    <w:semiHidden/>
    <w:rsid w:val="00F44D75"/>
    <w:pPr>
      <w:ind w:left="240" w:hanging="240"/>
    </w:pPr>
  </w:style>
  <w:style w:type="character" w:customStyle="1" w:styleId="ZpatChar">
    <w:name w:val="Zápatí Char"/>
    <w:link w:val="Zpat"/>
    <w:uiPriority w:val="99"/>
    <w:rsid w:val="00014477"/>
    <w:rPr>
      <w:sz w:val="24"/>
      <w:szCs w:val="24"/>
    </w:rPr>
  </w:style>
  <w:style w:type="table" w:customStyle="1" w:styleId="Styl2">
    <w:name w:val="Styl2"/>
    <w:basedOn w:val="Normlntabulka"/>
    <w:rsid w:val="00672A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1E722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44EB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1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5322C"/>
    <w:rPr>
      <w:rFonts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C37C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www.icbrno.cz/interdisciplinarni-ty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ipravnik.cz/cz/clanky/trestni-pravo/art_6562/ceska-podoba-stalkingu-podle-354-trz-v-sirsich-nez-jen-trestnepravnich-souvislostech.aspx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://www.bkb.cz/pomoc-obetem/trestne-ciny/nebezpecne-pronasledovani/" TargetMode="External"/><Relationship Id="rId25" Type="http://schemas.openxmlformats.org/officeDocument/2006/relationships/hyperlink" Target="mailto:ladakozlikova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z/url?sa=t&amp;rct=j&amp;q=&amp;esrc=s&amp;source=web&amp;cd=1&amp;ved=0CDkQFjAA&amp;url=http%3A%2F%2Fwww.bkb.cz%2Ffiles%2Findex.php%3Fid%3D9&amp;ei=OUUtU8b4AsSm4AT20oHgDA&amp;usg=AFQjCNGwgNNQplYb1EDQxkCDc0bruaHABg&amp;sig2=U80kwJ67kofU8f5s-rpGgg&amp;bvm=bv.62922401,d.bGE" TargetMode="External"/><Relationship Id="rId20" Type="http://schemas.openxmlformats.org/officeDocument/2006/relationships/hyperlink" Target="http://www.victimsofcrime.org/docs/Information%20Clearinghouse/Using%20Probation%20and%20Parole%20to%20Stop%20Stalkers.pdf?sfvrsn=0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yperlink" Target="mailto:ladakozlikova@centru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kb.cz/pomoc-obetem/trestni-oznameni/" TargetMode="External"/><Relationship Id="rId23" Type="http://schemas.openxmlformats.org/officeDocument/2006/relationships/hyperlink" Target="http://www.planovanirodiny.cz/view.php?cisloclanku=2008020102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hyperlink" Target="https://www.pmscr.cz/obeti-trestneho-cin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http://www.ipravnik.cz/cz/clanky/ap_8/pd_1/txtexpresion_sen%C3%A1tem/art_6587/detail.aspx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6"/>
              <a:t>Odpovědi respondentů </a:t>
            </a:r>
            <a:r>
              <a:rPr lang="cs-CZ" sz="1196" baseline="0"/>
              <a:t>uvedené v procentech</a:t>
            </a:r>
            <a:endParaRPr lang="cs-CZ" sz="120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</c:dPt>
          <c:dPt>
            <c:idx val="1"/>
            <c:spPr>
              <a:solidFill>
                <a:srgbClr val="9BBB59"/>
              </a:solidFill>
            </c:spPr>
          </c:dPt>
          <c:dPt>
            <c:idx val="2"/>
            <c:spPr>
              <a:solidFill>
                <a:srgbClr val="C0504D"/>
              </a:solidFill>
            </c:spPr>
          </c:dPt>
          <c:dPt>
            <c:idx val="3"/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61</a:t>
                    </a:r>
                    <a:r>
                      <a:rPr lang="cs-CZ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1,9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29,9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showPercent val="1"/>
            <c:showLeaderLines val="1"/>
          </c:dLbls>
          <c:cat>
            <c:strRef>
              <c:f>List1!$A$2:$A$5</c:f>
              <c:strCache>
                <c:ptCount val="4"/>
                <c:pt idx="0">
                  <c:v>1.1.2009</c:v>
                </c:pt>
                <c:pt idx="1">
                  <c:v>1.1.2010</c:v>
                </c:pt>
                <c:pt idx="2">
                  <c:v>1.1.2011</c:v>
                </c:pt>
                <c:pt idx="3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7</c:v>
                </c:pt>
                <c:pt idx="1">
                  <c:v>64</c:v>
                </c:pt>
                <c:pt idx="2">
                  <c:v>2</c:v>
                </c:pt>
                <c:pt idx="3">
                  <c:v>31</c:v>
                </c:pt>
              </c:numCache>
            </c:numRef>
          </c:val>
        </c:ser>
        <c:dLbls>
          <c:showPercent val="1"/>
        </c:dLbls>
      </c:pie3DChart>
      <c:spPr>
        <a:noFill/>
        <a:ln w="25326">
          <a:noFill/>
        </a:ln>
      </c:spPr>
    </c:plotArea>
    <c:legend>
      <c:legendPos val="t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6"/>
              <a:t>Odpovědi respondentů uvedené v procentech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12,5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dLbl>
              <c:idx val="4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1,9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pPr/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85,6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List1!$A$2:$A$7</c:f>
              <c:strCache>
                <c:ptCount val="6"/>
                <c:pt idx="0">
                  <c:v>Florida</c:v>
                </c:pt>
                <c:pt idx="1">
                  <c:v>Texas</c:v>
                </c:pt>
                <c:pt idx="2">
                  <c:v>Kalifornie</c:v>
                </c:pt>
                <c:pt idx="3">
                  <c:v>Washington</c:v>
                </c:pt>
                <c:pt idx="4">
                  <c:v>Nové Mexiko</c:v>
                </c:pt>
                <c:pt idx="5">
                  <c:v>Nevím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0</c:v>
                </c:pt>
                <c:pt idx="4">
                  <c:v>1.9000000000000001</c:v>
                </c:pt>
                <c:pt idx="5">
                  <c:v>85.6</c:v>
                </c:pt>
              </c:numCache>
            </c:numRef>
          </c:val>
        </c:ser>
        <c:dLbls/>
        <c:gapWidth val="100"/>
        <c:axId val="70084096"/>
        <c:axId val="70085632"/>
      </c:barChart>
      <c:catAx>
        <c:axId val="70084096"/>
        <c:scaling>
          <c:orientation val="minMax"/>
        </c:scaling>
        <c:axPos val="b"/>
        <c:numFmt formatCode="General" sourceLinked="1"/>
        <c:tickLblPos val="nextTo"/>
        <c:crossAx val="70085632"/>
        <c:crosses val="autoZero"/>
        <c:auto val="1"/>
        <c:lblAlgn val="ctr"/>
        <c:lblOffset val="100"/>
      </c:catAx>
      <c:valAx>
        <c:axId val="70085632"/>
        <c:scaling>
          <c:orientation val="minMax"/>
          <c:max val="100"/>
          <c:min val="0"/>
        </c:scaling>
        <c:axPos val="l"/>
        <c:majorGridlines/>
        <c:numFmt formatCode="0\%" sourceLinked="0"/>
        <c:tickLblPos val="nextTo"/>
        <c:crossAx val="70084096"/>
        <c:crosses val="autoZero"/>
        <c:crossBetween val="between"/>
        <c:majorUnit val="10"/>
        <c:minorUnit val="2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795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96" b="1" i="0" baseline="0">
                <a:effectLst/>
              </a:rPr>
              <a:t>Odpovědi respondentů uvedené v procentech</a:t>
            </a:r>
            <a:endParaRPr lang="cs-CZ" sz="1200">
              <a:effectLst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</a:t>
                    </a:r>
                    <a:r>
                      <a:rPr lang="cs-CZ"/>
                      <a:t>,6%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cs-CZ"/>
                      <a:t>1,5%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9,6%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6,7%</a:t>
                    </a:r>
                    <a:endParaRPr lang="en-US"/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1,9%</a:t>
                    </a:r>
                    <a:endParaRPr lang="en-US"/>
                  </a:p>
                </c:rich>
              </c:tx>
              <c:spPr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59</a:t>
                    </a:r>
                    <a:r>
                      <a:rPr lang="cs-CZ"/>
                      <a:t>,7%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List1!$A$2:$A$7</c:f>
              <c:strCache>
                <c:ptCount val="6"/>
                <c:pt idx="0">
                  <c:v>Porucha osobnosti</c:v>
                </c:pt>
                <c:pt idx="1">
                  <c:v>Žárlivost stalkera</c:v>
                </c:pt>
                <c:pt idx="2">
                  <c:v>Fixace stalkera na oběť</c:v>
                </c:pt>
                <c:pt idx="3">
                  <c:v>Domácí násilí</c:v>
                </c:pt>
                <c:pt idx="4">
                  <c:v>Odmítnutí stalkera</c:v>
                </c:pt>
                <c:pt idx="5">
                  <c:v>Neodpovědlo 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11</c:v>
                </c:pt>
                <c:pt idx="1">
                  <c:v>12</c:v>
                </c:pt>
                <c:pt idx="2">
                  <c:v>10</c:v>
                </c:pt>
                <c:pt idx="3">
                  <c:v>7</c:v>
                </c:pt>
                <c:pt idx="4">
                  <c:v>2</c:v>
                </c:pt>
                <c:pt idx="5">
                  <c:v>59</c:v>
                </c:pt>
              </c:numCache>
            </c:numRef>
          </c:val>
        </c:ser>
        <c:dLbls/>
        <c:gapWidth val="100"/>
        <c:axId val="70042752"/>
        <c:axId val="70044288"/>
      </c:barChart>
      <c:catAx>
        <c:axId val="70042752"/>
        <c:scaling>
          <c:orientation val="minMax"/>
        </c:scaling>
        <c:axPos val="b"/>
        <c:numFmt formatCode="General" sourceLinked="1"/>
        <c:tickLblPos val="nextTo"/>
        <c:crossAx val="70044288"/>
        <c:crosses val="autoZero"/>
        <c:auto val="1"/>
        <c:lblAlgn val="ctr"/>
        <c:lblOffset val="100"/>
      </c:catAx>
      <c:valAx>
        <c:axId val="70044288"/>
        <c:scaling>
          <c:orientation val="minMax"/>
          <c:max val="70"/>
          <c:min val="0"/>
        </c:scaling>
        <c:axPos val="l"/>
        <c:majorGridlines/>
        <c:numFmt formatCode="0\%" sourceLinked="0"/>
        <c:tickLblPos val="nextTo"/>
        <c:crossAx val="70042752"/>
        <c:crosses val="autoZero"/>
        <c:crossBetween val="between"/>
        <c:majorUnit val="10"/>
        <c:minorUnit val="2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7"/>
              <a:t>Odpovědi respondentů uvedené v procentech 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rgbClr val="4F81BD"/>
            </a:soli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</a:t>
                    </a:r>
                    <a:r>
                      <a:rPr lang="cs-CZ"/>
                      <a:t>1,4%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1,9%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6,7%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List1!$A$2:$A$4</c:f>
              <c:strCache>
                <c:ptCount val="3"/>
                <c:pt idx="0">
                  <c:v>Ano </c:v>
                </c:pt>
                <c:pt idx="1">
                  <c:v>Ne </c:v>
                </c:pt>
                <c:pt idx="2">
                  <c:v>Nevím 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95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dLbls/>
        <c:gapWidth val="100"/>
        <c:axId val="70075136"/>
        <c:axId val="70076672"/>
      </c:barChart>
      <c:catAx>
        <c:axId val="70075136"/>
        <c:scaling>
          <c:orientation val="minMax"/>
        </c:scaling>
        <c:axPos val="b"/>
        <c:numFmt formatCode="General" sourceLinked="1"/>
        <c:tickLblPos val="nextTo"/>
        <c:crossAx val="70076672"/>
        <c:crosses val="autoZero"/>
        <c:auto val="1"/>
        <c:lblAlgn val="ctr"/>
        <c:lblOffset val="100"/>
      </c:catAx>
      <c:valAx>
        <c:axId val="70076672"/>
        <c:scaling>
          <c:orientation val="minMax"/>
        </c:scaling>
        <c:axPos val="l"/>
        <c:majorGridlines/>
        <c:numFmt formatCode="0\%" sourceLinked="0"/>
        <c:tickLblPos val="nextTo"/>
        <c:crossAx val="70075136"/>
        <c:crosses val="autoZero"/>
        <c:crossBetween val="between"/>
        <c:majorUnit val="10"/>
        <c:minorUnit val="2"/>
      </c:valAx>
    </c:plotArea>
    <c:plotVisOnly val="1"/>
    <c:dispBlanksAs val="gap"/>
  </c:chart>
  <c:spPr>
    <a:solidFill>
      <a:sysClr val="window" lastClr="FFFFFF"/>
    </a:solidFill>
    <a:ln w="9504" cap="flat" cmpd="sng" algn="ctr">
      <a:solidFill>
        <a:sysClr val="windowText" lastClr="000000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cs-CZ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8"/>
              <a:t>Odpovědi respondentů uvedené v procentech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5,8%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6,7%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r>
                      <a:rPr lang="cs-CZ"/>
                      <a:t>4,4%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3,8%</a:t>
                    </a:r>
                    <a:endParaRPr lang="en-US"/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cs-CZ"/>
                      <a:t>8,3%</a:t>
                    </a:r>
                    <a:endParaRPr lang="en-US"/>
                  </a:p>
                </c:rich>
              </c:tx>
              <c:spPr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List1!$A$2:$A$7</c:f>
              <c:strCache>
                <c:ptCount val="6"/>
                <c:pt idx="0">
                  <c:v>Strach ze smrti</c:v>
                </c:pt>
                <c:pt idx="1">
                  <c:v>Strach z ublížení na zdraví</c:v>
                </c:pt>
                <c:pt idx="2">
                  <c:v>Pocit nejistoty, kdy …</c:v>
                </c:pt>
                <c:pt idx="3">
                  <c:v>Strach o život nového …</c:v>
                </c:pt>
                <c:pt idx="4">
                  <c:v>Pociťování ztráty svobody</c:v>
                </c:pt>
                <c:pt idx="5">
                  <c:v>Nevím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67</c:v>
                </c:pt>
                <c:pt idx="3">
                  <c:v>4</c:v>
                </c:pt>
                <c:pt idx="4">
                  <c:v>19</c:v>
                </c:pt>
                <c:pt idx="5">
                  <c:v>0</c:v>
                </c:pt>
              </c:numCache>
            </c:numRef>
          </c:val>
        </c:ser>
        <c:dLbls/>
        <c:gapWidth val="100"/>
        <c:axId val="70200320"/>
        <c:axId val="71832320"/>
      </c:barChart>
      <c:catAx>
        <c:axId val="70200320"/>
        <c:scaling>
          <c:orientation val="minMax"/>
        </c:scaling>
        <c:axPos val="b"/>
        <c:numFmt formatCode="General" sourceLinked="1"/>
        <c:tickLblPos val="nextTo"/>
        <c:crossAx val="71832320"/>
        <c:crosses val="autoZero"/>
        <c:auto val="1"/>
        <c:lblAlgn val="ctr"/>
        <c:lblOffset val="100"/>
      </c:catAx>
      <c:valAx>
        <c:axId val="71832320"/>
        <c:scaling>
          <c:orientation val="minMax"/>
          <c:max val="80"/>
          <c:min val="0"/>
        </c:scaling>
        <c:axPos val="l"/>
        <c:majorGridlines/>
        <c:numFmt formatCode="0\%" sourceLinked="0"/>
        <c:tickLblPos val="nextTo"/>
        <c:crossAx val="70200320"/>
        <c:crosses val="autoZero"/>
        <c:crossBetween val="between"/>
        <c:majorUnit val="10"/>
        <c:minorUnit val="2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</a:t>
                    </a:r>
                    <a:r>
                      <a:rPr lang="cs-CZ"/>
                      <a:t>,5%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r>
                      <a:rPr lang="cs-CZ"/>
                      <a:t>1,5%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</a:t>
                    </a:r>
                    <a:r>
                      <a:rPr lang="cs-CZ"/>
                      <a:t>,0%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List1!$A$2:$A$4</c:f>
              <c:strCache>
                <c:ptCount val="3"/>
                <c:pt idx="0">
                  <c:v>Nízká úroveň</c:v>
                </c:pt>
                <c:pt idx="1">
                  <c:v>Střední úroveň</c:v>
                </c:pt>
                <c:pt idx="2">
                  <c:v>Vysoká úroveň 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13</c:v>
                </c:pt>
                <c:pt idx="1">
                  <c:v>62</c:v>
                </c:pt>
                <c:pt idx="2">
                  <c:v>25</c:v>
                </c:pt>
              </c:numCache>
            </c:numRef>
          </c:val>
        </c:ser>
        <c:dLbls/>
        <c:gapWidth val="100"/>
        <c:axId val="71869952"/>
        <c:axId val="71871488"/>
      </c:barChart>
      <c:catAx>
        <c:axId val="71869952"/>
        <c:scaling>
          <c:orientation val="minMax"/>
        </c:scaling>
        <c:axPos val="b"/>
        <c:numFmt formatCode="General" sourceLinked="1"/>
        <c:tickLblPos val="nextTo"/>
        <c:crossAx val="71871488"/>
        <c:crosses val="autoZero"/>
        <c:auto val="1"/>
        <c:lblAlgn val="ctr"/>
        <c:lblOffset val="100"/>
      </c:catAx>
      <c:valAx>
        <c:axId val="71871488"/>
        <c:scaling>
          <c:orientation val="minMax"/>
        </c:scaling>
        <c:axPos val="l"/>
        <c:majorGridlines/>
        <c:numFmt formatCode="0\%" sourceLinked="0"/>
        <c:tickLblPos val="nextTo"/>
        <c:crossAx val="71869952"/>
        <c:crosses val="autoZero"/>
        <c:crossBetween val="between"/>
        <c:majorUnit val="10"/>
        <c:minorUnit val="2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6"/>
              <a:t>Odpovědi respondentů uvedené v procentech 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rgbClr val="4F81BD"/>
            </a:soli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cs-CZ"/>
                      <a:t>2,8%</a:t>
                    </a: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r>
                      <a:rPr lang="cs-CZ"/>
                      <a:t>2,0%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4,9%</a:t>
                    </a:r>
                    <a:endParaRPr lang="en-US"/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2,9%</a:t>
                    </a:r>
                    <a:endParaRPr lang="en-US"/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cs-CZ"/>
                      <a:t>7,4%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List1!$A$2:$A$6</c:f>
              <c:strCache>
                <c:ptCount val="5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 </c:v>
                </c:pt>
                <c:pt idx="4">
                  <c:v>Neumím posoudit 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34</c:v>
                </c:pt>
                <c:pt idx="1">
                  <c:v>54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dLbls/>
        <c:gapWidth val="100"/>
        <c:axId val="73081216"/>
        <c:axId val="73082752"/>
      </c:barChart>
      <c:catAx>
        <c:axId val="73081216"/>
        <c:scaling>
          <c:orientation val="minMax"/>
        </c:scaling>
        <c:axPos val="b"/>
        <c:numFmt formatCode="General" sourceLinked="1"/>
        <c:tickLblPos val="nextTo"/>
        <c:crossAx val="73082752"/>
        <c:crosses val="autoZero"/>
        <c:auto val="1"/>
        <c:lblAlgn val="ctr"/>
        <c:lblOffset val="100"/>
      </c:catAx>
      <c:valAx>
        <c:axId val="73082752"/>
        <c:scaling>
          <c:orientation val="minMax"/>
        </c:scaling>
        <c:axPos val="l"/>
        <c:majorGridlines/>
        <c:numFmt formatCode="0\%" sourceLinked="0"/>
        <c:tickLblPos val="nextTo"/>
        <c:crossAx val="73081216"/>
        <c:crosses val="autoZero"/>
        <c:crossBetween val="between"/>
        <c:majorUnit val="10"/>
        <c:minorUnit val="2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196"/>
              <a:t>Odpovědi</a:t>
            </a:r>
            <a:r>
              <a:rPr lang="cs-CZ" sz="1196" baseline="0"/>
              <a:t> respondentů uvedené v procentech</a:t>
            </a:r>
            <a:endParaRPr lang="cs-CZ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Respondenti, jež se s jevem ex-partnerského pronásledování setkali. </c:v>
                </c:pt>
              </c:strCache>
            </c:strRef>
          </c:tx>
          <c:spPr>
            <a:solidFill>
              <a:srgbClr val="4F81BD"/>
            </a:solidFill>
          </c:spPr>
          <c:dLbls>
            <c:dLbl>
              <c:idx val="0"/>
              <c:layout>
                <c:manualLayout>
                  <c:x val="-5.98219237929925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cs-CZ" sz="798"/>
                      <a:t>35,8%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layout>
                <c:manualLayout>
                  <c:x val="-5.98219237929925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43,6%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tx>
                <c:rich>
                  <a:bodyPr/>
                  <a:lstStyle/>
                  <a:p>
                    <a:r>
                      <a:rPr lang="cs-CZ"/>
                      <a:t>10,3%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layout>
                <c:manualLayout>
                  <c:x val="-5.98219237929925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10,3%</a:t>
                    </a:r>
                    <a:endParaRPr lang="en-US"/>
                  </a:p>
                </c:rich>
              </c:tx>
              <c:dLblPos val="outEnd"/>
            </c:dLbl>
            <c:txPr>
              <a:bodyPr/>
              <a:lstStyle/>
              <a:p>
                <a:pPr>
                  <a:defRPr sz="798"/>
                </a:pPr>
                <a:endParaRPr lang="cs-CZ"/>
              </a:p>
            </c:txPr>
            <c:dLblPos val="outEnd"/>
            <c:showVal val="1"/>
          </c:dLbls>
          <c:cat>
            <c:strRef>
              <c:f>List1!$A$2:$A$6</c:f>
              <c:strCache>
                <c:ptCount val="5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 </c:v>
                </c:pt>
                <c:pt idx="4">
                  <c:v>Neumím posoudit 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34</c:v>
                </c:pt>
                <c:pt idx="1">
                  <c:v>44</c:v>
                </c:pt>
                <c:pt idx="2">
                  <c:v>11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Respondenti, jež  se s jevem ex-partnerského pronásledování nikdy nesetkali. </c:v>
                </c:pt>
              </c:strCache>
            </c:strRef>
          </c:tx>
          <c:dLbls>
            <c:dLbl>
              <c:idx val="0"/>
              <c:layout>
                <c:manualLayout>
                  <c:x val="8.973288568948899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32,3%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tx>
                <c:rich>
                  <a:bodyPr/>
                  <a:lstStyle/>
                  <a:p>
                    <a:r>
                      <a:rPr lang="cs-CZ"/>
                      <a:t>56,9%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tx>
                <c:rich>
                  <a:bodyPr/>
                  <a:lstStyle/>
                  <a:p>
                    <a:r>
                      <a:rPr lang="cs-CZ"/>
                      <a:t>4,6%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tx>
                <c:rich>
                  <a:bodyPr/>
                  <a:lstStyle/>
                  <a:p>
                    <a:r>
                      <a:rPr lang="cs-CZ"/>
                      <a:t>6,2%</a:t>
                    </a:r>
                    <a:endParaRPr lang="en-US"/>
                  </a:p>
                </c:rich>
              </c:tx>
              <c:dLblPos val="outEnd"/>
            </c:dLbl>
            <c:txPr>
              <a:bodyPr/>
              <a:lstStyle/>
              <a:p>
                <a:pPr>
                  <a:defRPr sz="798"/>
                </a:pPr>
                <a:endParaRPr lang="cs-CZ"/>
              </a:p>
            </c:txPr>
            <c:dLblPos val="outEnd"/>
            <c:showVal val="1"/>
          </c:dLbls>
          <c:cat>
            <c:strRef>
              <c:f>List1!$A$2:$A$6</c:f>
              <c:strCache>
                <c:ptCount val="5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 </c:v>
                </c:pt>
                <c:pt idx="4">
                  <c:v>Neumím posoudit 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33</c:v>
                </c:pt>
                <c:pt idx="1">
                  <c:v>58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>
          <c:showVal val="1"/>
        </c:dLbls>
        <c:axId val="73224192"/>
        <c:axId val="73225728"/>
      </c:barChart>
      <c:catAx>
        <c:axId val="73224192"/>
        <c:scaling>
          <c:orientation val="minMax"/>
        </c:scaling>
        <c:axPos val="b"/>
        <c:numFmt formatCode="General" sourceLinked="1"/>
        <c:tickLblPos val="nextTo"/>
        <c:crossAx val="73225728"/>
        <c:crossesAt val="0"/>
        <c:auto val="1"/>
        <c:lblAlgn val="ctr"/>
        <c:lblOffset val="100"/>
      </c:catAx>
      <c:valAx>
        <c:axId val="73225728"/>
        <c:scaling>
          <c:orientation val="minMax"/>
          <c:max val="70"/>
        </c:scaling>
        <c:axPos val="l"/>
        <c:majorGridlines/>
        <c:numFmt formatCode="0%" sourceLinked="0"/>
        <c:tickLblPos val="nextTo"/>
        <c:crossAx val="73224192"/>
        <c:crosses val="autoZero"/>
        <c:crossBetween val="between"/>
        <c:majorUnit val="10"/>
        <c:minorUnit val="2"/>
        <c:dispUnits>
          <c:builtInUnit val="hundreds"/>
        </c:dispUnits>
      </c:valAx>
    </c:plotArea>
    <c:legend>
      <c:legendPos val="t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80</Pages>
  <Words>18594</Words>
  <Characters>118241</Characters>
  <Application>Microsoft Office Word</Application>
  <DocSecurity>0</DocSecurity>
  <Lines>985</Lines>
  <Paragraphs>273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Bakalářská práce</vt:lpstr>
    </vt:vector>
  </TitlesOfParts>
  <Company/>
  <LinksUpToDate>false</LinksUpToDate>
  <CharactersWithSpaces>136562</CharactersWithSpaces>
  <SharedDoc>false</SharedDoc>
  <HLinks>
    <vt:vector size="348" baseType="variant">
      <vt:variant>
        <vt:i4>7143518</vt:i4>
      </vt:variant>
      <vt:variant>
        <vt:i4>339</vt:i4>
      </vt:variant>
      <vt:variant>
        <vt:i4>0</vt:i4>
      </vt:variant>
      <vt:variant>
        <vt:i4>5</vt:i4>
      </vt:variant>
      <vt:variant>
        <vt:lpwstr>mailto:ladakozlikova@centrum.cz</vt:lpwstr>
      </vt:variant>
      <vt:variant>
        <vt:lpwstr/>
      </vt:variant>
      <vt:variant>
        <vt:i4>7143518</vt:i4>
      </vt:variant>
      <vt:variant>
        <vt:i4>336</vt:i4>
      </vt:variant>
      <vt:variant>
        <vt:i4>0</vt:i4>
      </vt:variant>
      <vt:variant>
        <vt:i4>5</vt:i4>
      </vt:variant>
      <vt:variant>
        <vt:lpwstr>mailto:ladakozlikova@centrum.cz</vt:lpwstr>
      </vt:variant>
      <vt:variant>
        <vt:lpwstr/>
      </vt:variant>
      <vt:variant>
        <vt:i4>4849750</vt:i4>
      </vt:variant>
      <vt:variant>
        <vt:i4>333</vt:i4>
      </vt:variant>
      <vt:variant>
        <vt:i4>0</vt:i4>
      </vt:variant>
      <vt:variant>
        <vt:i4>5</vt:i4>
      </vt:variant>
      <vt:variant>
        <vt:lpwstr>http://www.planovanirodiny.cz/view.php?cisloclanku=2008020102</vt:lpwstr>
      </vt:variant>
      <vt:variant>
        <vt:lpwstr/>
      </vt:variant>
      <vt:variant>
        <vt:i4>458840</vt:i4>
      </vt:variant>
      <vt:variant>
        <vt:i4>330</vt:i4>
      </vt:variant>
      <vt:variant>
        <vt:i4>0</vt:i4>
      </vt:variant>
      <vt:variant>
        <vt:i4>5</vt:i4>
      </vt:variant>
      <vt:variant>
        <vt:lpwstr>http://www.ipravnik.cz/cz/clanky/ap_8/pd_1/txtexpresion_sen%C3%A1tem/art_6587/detail.aspx</vt:lpwstr>
      </vt:variant>
      <vt:variant>
        <vt:lpwstr/>
      </vt:variant>
      <vt:variant>
        <vt:i4>5439591</vt:i4>
      </vt:variant>
      <vt:variant>
        <vt:i4>327</vt:i4>
      </vt:variant>
      <vt:variant>
        <vt:i4>0</vt:i4>
      </vt:variant>
      <vt:variant>
        <vt:i4>5</vt:i4>
      </vt:variant>
      <vt:variant>
        <vt:lpwstr>http://www.ipravnik.cz/cz/clanky/trestni-pravo/art_6562/ceska-podoba-stalkingu-podle-354-trz-v-sirsich-nez-jen-trestnepravnich-souvislostech.aspx</vt:lpwstr>
      </vt:variant>
      <vt:variant>
        <vt:lpwstr/>
      </vt:variant>
      <vt:variant>
        <vt:i4>131072</vt:i4>
      </vt:variant>
      <vt:variant>
        <vt:i4>324</vt:i4>
      </vt:variant>
      <vt:variant>
        <vt:i4>0</vt:i4>
      </vt:variant>
      <vt:variant>
        <vt:i4>5</vt:i4>
      </vt:variant>
      <vt:variant>
        <vt:lpwstr>http://www.victimsofcrime.org/docs/Information Clearinghouse/Using Probation and Parole to Stop Stalkers.pdf?sfvrsn=0</vt:lpwstr>
      </vt:variant>
      <vt:variant>
        <vt:lpwstr/>
      </vt:variant>
      <vt:variant>
        <vt:i4>3932272</vt:i4>
      </vt:variant>
      <vt:variant>
        <vt:i4>321</vt:i4>
      </vt:variant>
      <vt:variant>
        <vt:i4>0</vt:i4>
      </vt:variant>
      <vt:variant>
        <vt:i4>5</vt:i4>
      </vt:variant>
      <vt:variant>
        <vt:lpwstr>https://www.pmscr.cz/obeti-trestneho-cinu/</vt:lpwstr>
      </vt:variant>
      <vt:variant>
        <vt:lpwstr/>
      </vt:variant>
      <vt:variant>
        <vt:i4>3997818</vt:i4>
      </vt:variant>
      <vt:variant>
        <vt:i4>318</vt:i4>
      </vt:variant>
      <vt:variant>
        <vt:i4>0</vt:i4>
      </vt:variant>
      <vt:variant>
        <vt:i4>5</vt:i4>
      </vt:variant>
      <vt:variant>
        <vt:lpwstr>http://www.icbrno.cz/interdisciplinarni-tym</vt:lpwstr>
      </vt:variant>
      <vt:variant>
        <vt:lpwstr/>
      </vt:variant>
      <vt:variant>
        <vt:i4>2359358</vt:i4>
      </vt:variant>
      <vt:variant>
        <vt:i4>315</vt:i4>
      </vt:variant>
      <vt:variant>
        <vt:i4>0</vt:i4>
      </vt:variant>
      <vt:variant>
        <vt:i4>5</vt:i4>
      </vt:variant>
      <vt:variant>
        <vt:lpwstr>http://www.bkb.cz/pomoc-obetem/trestne-ciny/nebezpecne-pronasledovani/</vt:lpwstr>
      </vt:variant>
      <vt:variant>
        <vt:lpwstr/>
      </vt:variant>
      <vt:variant>
        <vt:i4>3538982</vt:i4>
      </vt:variant>
      <vt:variant>
        <vt:i4>312</vt:i4>
      </vt:variant>
      <vt:variant>
        <vt:i4>0</vt:i4>
      </vt:variant>
      <vt:variant>
        <vt:i4>5</vt:i4>
      </vt:variant>
      <vt:variant>
        <vt:lpwstr>http://www.google.cz/url?sa=t&amp;rct=j&amp;q=&amp;esrc=s&amp;source=web&amp;cd=1&amp;ved=0CDkQFjAA&amp;url=http%3A%2F%2Fwww.bkb.cz%2Ffiles%2Findex.php%3Fid%3D9&amp;ei=OUUtU8b4AsSm4AT20oHgDA&amp;usg=AFQjCNGwgNNQplYb1EDQxkCDc0bruaHABg&amp;sig2=U80kwJ67kofU8f5s-rpGgg&amp;bvm=bv.62922401,d.bGE</vt:lpwstr>
      </vt:variant>
      <vt:variant>
        <vt:lpwstr/>
      </vt:variant>
      <vt:variant>
        <vt:i4>1048580</vt:i4>
      </vt:variant>
      <vt:variant>
        <vt:i4>309</vt:i4>
      </vt:variant>
      <vt:variant>
        <vt:i4>0</vt:i4>
      </vt:variant>
      <vt:variant>
        <vt:i4>5</vt:i4>
      </vt:variant>
      <vt:variant>
        <vt:lpwstr>http://www.bkb.cz/pomoc-obetem/trestni-oznameni/</vt:lpwstr>
      </vt:variant>
      <vt:variant>
        <vt:lpwstr/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_Toc383408635</vt:lpwstr>
      </vt:variant>
      <vt:variant>
        <vt:i4>1048630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_Toc383408634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_Toc383408633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_Toc383408632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_Toc383408631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_Toc383408630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_Toc383408629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_Toc383408628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_Toc383408627</vt:lpwstr>
      </vt:variant>
      <vt:variant>
        <vt:i4>1114166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_Toc383408626</vt:lpwstr>
      </vt:variant>
      <vt:variant>
        <vt:i4>1114166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_Toc383408625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_Toc383408624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_Toc383408623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_Toc383408622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_Toc383408621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_Toc383408620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_Toc383408619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_Toc383408618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_Toc383408617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_Toc383408616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_Toc383408615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_Toc383408614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_Toc383408613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_Toc383408612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_Toc383408611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_Toc383408610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_Toc383408609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_Toc383408608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_Toc383408607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_Toc383408606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_Toc383408605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_Toc383408604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_Toc383408603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_Toc383408602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_Toc383408601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_Toc383408600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_Toc383408599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_Toc383408598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_Toc383408597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_Toc383408596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_Toc383408595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_Toc383408594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_Toc383408593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_Toc383408592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_Toc383408591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_Toc383408590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_Toc383408589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Bakalářská práce</dc:title>
  <dc:creator>ntb</dc:creator>
  <cp:lastModifiedBy>PC</cp:lastModifiedBy>
  <cp:revision>6</cp:revision>
  <cp:lastPrinted>2014-03-24T11:28:00Z</cp:lastPrinted>
  <dcterms:created xsi:type="dcterms:W3CDTF">2014-03-24T11:26:00Z</dcterms:created>
  <dcterms:modified xsi:type="dcterms:W3CDTF">2014-03-25T18:11:00Z</dcterms:modified>
</cp:coreProperties>
</file>