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E285C" w14:textId="77777777" w:rsidR="009D71CC" w:rsidRDefault="00CB7CE8">
      <w:pPr>
        <w:pStyle w:val="TitulUP"/>
      </w:pPr>
      <w:bookmarkStart w:id="0" w:name="_Hlk133961954"/>
      <w:bookmarkEnd w:id="0"/>
      <w:r>
        <w:t xml:space="preserve"> Univerzita Palackého v Olomouci</w:t>
      </w:r>
    </w:p>
    <w:p w14:paraId="1D4F438A" w14:textId="77777777" w:rsidR="009D71CC" w:rsidRDefault="00CB7CE8">
      <w:pPr>
        <w:pStyle w:val="TitulUP"/>
      </w:pPr>
      <w:r>
        <w:t>Přírodovědecká fakulta</w:t>
      </w:r>
    </w:p>
    <w:p w14:paraId="04DED130" w14:textId="77777777" w:rsidR="009D71CC" w:rsidRDefault="00CB7CE8">
      <w:pPr>
        <w:pStyle w:val="TitulUP"/>
      </w:pPr>
      <w:r>
        <w:t>Katedra geoinformatiky</w:t>
      </w:r>
    </w:p>
    <w:p w14:paraId="730BDFEC" w14:textId="77777777" w:rsidR="009D71CC" w:rsidRDefault="009D71CC">
      <w:pPr>
        <w:pStyle w:val="TitulUP"/>
      </w:pPr>
    </w:p>
    <w:p w14:paraId="299A577F" w14:textId="77777777" w:rsidR="009D71CC" w:rsidRDefault="009D71CC">
      <w:pPr>
        <w:pStyle w:val="TitulUP"/>
      </w:pPr>
    </w:p>
    <w:p w14:paraId="211B793B" w14:textId="77777777" w:rsidR="009D71CC" w:rsidRDefault="009D71CC">
      <w:pPr>
        <w:pStyle w:val="NormlnOdstavec"/>
      </w:pPr>
    </w:p>
    <w:p w14:paraId="36069AF6" w14:textId="77777777" w:rsidR="009D71CC" w:rsidRDefault="009D71CC">
      <w:pPr>
        <w:pStyle w:val="NormlnOdstavec"/>
      </w:pPr>
    </w:p>
    <w:p w14:paraId="367390A1" w14:textId="77777777" w:rsidR="009D71CC" w:rsidRDefault="009D71CC">
      <w:pPr>
        <w:pStyle w:val="NormlnOdstavec"/>
      </w:pPr>
    </w:p>
    <w:p w14:paraId="0A805259" w14:textId="77777777" w:rsidR="009D71CC" w:rsidRDefault="00CB7CE8">
      <w:pPr>
        <w:pStyle w:val="TitulDPPrilohy"/>
      </w:pPr>
      <w:r>
        <w:t>Role urbánních sítí ve struktuře a vývoji měst</w:t>
      </w:r>
    </w:p>
    <w:p w14:paraId="77E3DC59" w14:textId="77777777" w:rsidR="009D71CC" w:rsidRDefault="009D71CC">
      <w:pPr>
        <w:pStyle w:val="NormlnOdstavec"/>
      </w:pPr>
    </w:p>
    <w:p w14:paraId="7B892F20" w14:textId="77777777" w:rsidR="009D71CC" w:rsidRDefault="009D71CC">
      <w:pPr>
        <w:pStyle w:val="NormlnOdstavec"/>
      </w:pPr>
    </w:p>
    <w:p w14:paraId="58E1D4F0" w14:textId="77777777" w:rsidR="009D71CC" w:rsidRDefault="00CB7CE8">
      <w:pPr>
        <w:pStyle w:val="TitulUP"/>
      </w:pPr>
      <w:r>
        <w:t>Diplomová práce</w:t>
      </w:r>
    </w:p>
    <w:p w14:paraId="6AB2CDD5" w14:textId="77777777" w:rsidR="009D71CC" w:rsidRDefault="009D71CC"/>
    <w:p w14:paraId="688F4BA1" w14:textId="77777777" w:rsidR="009D71CC" w:rsidRDefault="009D71CC">
      <w:pPr>
        <w:pStyle w:val="TitulUP"/>
      </w:pPr>
    </w:p>
    <w:p w14:paraId="5C5544DD" w14:textId="77777777" w:rsidR="009D71CC" w:rsidRDefault="00CB7CE8">
      <w:pPr>
        <w:pStyle w:val="TitulUP"/>
      </w:pPr>
      <w:r>
        <w:t>Lukáš PŘÍLESKÝ</w:t>
      </w:r>
    </w:p>
    <w:p w14:paraId="4E3FC945" w14:textId="77777777" w:rsidR="009D71CC" w:rsidRDefault="009D71CC"/>
    <w:p w14:paraId="001946FE" w14:textId="77777777" w:rsidR="009D71CC" w:rsidRDefault="009D71CC">
      <w:pPr>
        <w:pStyle w:val="NormlnOdstavec"/>
      </w:pPr>
    </w:p>
    <w:p w14:paraId="64C53977" w14:textId="77777777" w:rsidR="009D71CC" w:rsidRDefault="009D71CC">
      <w:pPr>
        <w:pStyle w:val="NormlnOdstavec"/>
      </w:pPr>
    </w:p>
    <w:p w14:paraId="7D3A7719" w14:textId="77777777" w:rsidR="009D71CC" w:rsidRDefault="009D71CC">
      <w:pPr>
        <w:pStyle w:val="NormlnOdstavec"/>
      </w:pPr>
    </w:p>
    <w:p w14:paraId="46F80500" w14:textId="77777777" w:rsidR="009D71CC" w:rsidRDefault="009D71CC">
      <w:pPr>
        <w:pStyle w:val="NormlnOdstavec"/>
      </w:pPr>
    </w:p>
    <w:p w14:paraId="33E4A1D9" w14:textId="77777777" w:rsidR="009D71CC" w:rsidRDefault="009D71CC">
      <w:pPr>
        <w:pStyle w:val="NormlnOdstavec"/>
      </w:pPr>
    </w:p>
    <w:p w14:paraId="6521DB4B" w14:textId="77777777" w:rsidR="009D71CC" w:rsidRDefault="009D71CC">
      <w:pPr>
        <w:pStyle w:val="NormlnOdstavec"/>
      </w:pPr>
    </w:p>
    <w:p w14:paraId="5EE6C7CD" w14:textId="77777777" w:rsidR="009D71CC" w:rsidRDefault="009D71CC">
      <w:pPr>
        <w:pStyle w:val="NormlnOdstavec"/>
      </w:pPr>
    </w:p>
    <w:p w14:paraId="568BF177" w14:textId="77777777" w:rsidR="009D71CC" w:rsidRDefault="00CB7CE8">
      <w:pPr>
        <w:pStyle w:val="TitulUP"/>
      </w:pPr>
      <w:r>
        <w:t>Vedoucí práce Mgr. Vít PÁSZTO, Ph.D.</w:t>
      </w:r>
    </w:p>
    <w:p w14:paraId="51BB54F2" w14:textId="77777777" w:rsidR="009D71CC" w:rsidRDefault="009D71CC">
      <w:pPr>
        <w:pStyle w:val="NormlnOdstavec"/>
      </w:pPr>
    </w:p>
    <w:p w14:paraId="1AB6A547" w14:textId="77777777" w:rsidR="009D71CC" w:rsidRDefault="009D71CC">
      <w:pPr>
        <w:pStyle w:val="NormlnOdstavec"/>
      </w:pPr>
    </w:p>
    <w:p w14:paraId="6BEF54B4" w14:textId="77777777" w:rsidR="009D71CC" w:rsidRDefault="009D71CC">
      <w:pPr>
        <w:pStyle w:val="NormlnOdstavec"/>
      </w:pPr>
    </w:p>
    <w:p w14:paraId="57917B45" w14:textId="77777777" w:rsidR="009D71CC" w:rsidRDefault="009D71CC">
      <w:pPr>
        <w:pStyle w:val="NormlnOdstavec"/>
      </w:pPr>
    </w:p>
    <w:p w14:paraId="0332E5E7" w14:textId="77777777" w:rsidR="009D71CC" w:rsidRDefault="009D71CC">
      <w:pPr>
        <w:pStyle w:val="TitulUP"/>
      </w:pPr>
    </w:p>
    <w:p w14:paraId="52AA8E9B" w14:textId="77777777" w:rsidR="009D71CC" w:rsidRDefault="00CB7CE8">
      <w:pPr>
        <w:pStyle w:val="TitulUP"/>
      </w:pPr>
      <w:r>
        <w:t>Olomouc 2023</w:t>
      </w:r>
    </w:p>
    <w:p w14:paraId="742DB948" w14:textId="77777777" w:rsidR="009D71CC" w:rsidRDefault="00CB7CE8">
      <w:pPr>
        <w:pStyle w:val="TitulUP"/>
      </w:pPr>
      <w:r>
        <w:t>Geoinformatika a kartografie</w:t>
      </w:r>
    </w:p>
    <w:p w14:paraId="192A025C" w14:textId="77777777" w:rsidR="009D71CC" w:rsidRDefault="00CB7CE8">
      <w:pPr>
        <w:pStyle w:val="ObsahUvodSeznamy"/>
      </w:pPr>
      <w:r>
        <w:t xml:space="preserve"> </w:t>
      </w:r>
      <w:r>
        <w:br w:type="page"/>
      </w:r>
    </w:p>
    <w:p w14:paraId="7BA938FE" w14:textId="77777777" w:rsidR="009D71CC" w:rsidRDefault="00CB7CE8">
      <w:pPr>
        <w:pStyle w:val="ObsahUvodSeznamy"/>
      </w:pPr>
      <w:r>
        <w:lastRenderedPageBreak/>
        <w:t>anotace</w:t>
      </w:r>
    </w:p>
    <w:p w14:paraId="25FC639B" w14:textId="77777777" w:rsidR="009D71CC" w:rsidRDefault="00CB7CE8">
      <w:pPr>
        <w:pStyle w:val="NormlnOdstavec"/>
        <w:ind w:firstLine="0"/>
      </w:pPr>
      <w:r>
        <w:rPr>
          <w:szCs w:val="20"/>
        </w:rPr>
        <w:t>Diplomová práce se zaměřuje na roli urbánních sítí v moderních městech. Cílem práce je posoudit tuto roli v rámci struktury a vývoje měst. V první části práce jsou zkoumány jak kvantitativní, tak kvalitativní charakteristiky vybraných urbánních sítí, jako je hierarchie, obecná morfologie, nodalita, komplexnost a polycentricita. Tyto charakteristiky budou analyzovány pomocí několika geokomputačních metod. Získané poznatky budou následně aplikovány v kontextu ekonomické aktivity v městských oblastech. V rámci analýzy zastávek MHD jsou vytvořeny polygony obslužnosti, které zkoumají jejich dostupnost. Pro účely výzkumu je vybrána sada měst, zahrnující jak historické (staré) sítě, tak i sítě s pravidelnou geometrickou strukturou. Výsledkem je klasifikace měst podle podobných charakteristik získaných v průběhu výzkumu. Výstupem diplomové práce je poster, text práce, sada scriptů a návod k instalaci.</w:t>
      </w:r>
    </w:p>
    <w:p w14:paraId="5E860A8C" w14:textId="77777777" w:rsidR="009D71CC" w:rsidRDefault="009D71CC">
      <w:pPr>
        <w:pStyle w:val="NormlnOdstavec"/>
      </w:pPr>
    </w:p>
    <w:p w14:paraId="574F8383" w14:textId="77777777" w:rsidR="009D71CC" w:rsidRDefault="009D71CC">
      <w:pPr>
        <w:pStyle w:val="NormlnOdstavec"/>
      </w:pPr>
    </w:p>
    <w:p w14:paraId="20750C96" w14:textId="77777777" w:rsidR="009D71CC" w:rsidRDefault="009D71CC">
      <w:pPr>
        <w:pStyle w:val="NormlnOdstavec"/>
      </w:pPr>
    </w:p>
    <w:p w14:paraId="4570A1B8" w14:textId="77777777" w:rsidR="009D71CC" w:rsidRDefault="009D71CC">
      <w:pPr>
        <w:pStyle w:val="NormlnOdstavec"/>
      </w:pPr>
    </w:p>
    <w:p w14:paraId="0CF8F7C6" w14:textId="77777777" w:rsidR="009D71CC" w:rsidRDefault="009D71CC">
      <w:pPr>
        <w:pStyle w:val="NormlnOdstavec"/>
      </w:pPr>
    </w:p>
    <w:p w14:paraId="464617EF" w14:textId="77777777" w:rsidR="009D71CC" w:rsidRDefault="009D71CC">
      <w:pPr>
        <w:pStyle w:val="NormlnOdstavec"/>
      </w:pPr>
    </w:p>
    <w:p w14:paraId="0A10FDB9" w14:textId="77777777" w:rsidR="009D71CC" w:rsidRDefault="009D71CC">
      <w:pPr>
        <w:pStyle w:val="NormlnOdstavec"/>
      </w:pPr>
    </w:p>
    <w:p w14:paraId="48E26A23" w14:textId="77777777" w:rsidR="009D71CC" w:rsidRDefault="009D71CC">
      <w:pPr>
        <w:pStyle w:val="NormlnOdstavec"/>
      </w:pPr>
    </w:p>
    <w:p w14:paraId="310EA8F1" w14:textId="77777777" w:rsidR="009D71CC" w:rsidRDefault="009D71CC">
      <w:pPr>
        <w:pStyle w:val="NormlnOdstavec"/>
      </w:pPr>
    </w:p>
    <w:p w14:paraId="1A73F26E" w14:textId="77777777" w:rsidR="009D71CC" w:rsidRDefault="009D71CC">
      <w:pPr>
        <w:pStyle w:val="NormlnOdstavec"/>
      </w:pPr>
    </w:p>
    <w:p w14:paraId="6D28275F" w14:textId="77777777" w:rsidR="009D71CC" w:rsidRDefault="009D71CC">
      <w:pPr>
        <w:pStyle w:val="NormlnOdstavec"/>
      </w:pPr>
    </w:p>
    <w:p w14:paraId="387B574E" w14:textId="77777777" w:rsidR="009D71CC" w:rsidRDefault="009D71CC">
      <w:pPr>
        <w:pStyle w:val="NormlnOdstavec"/>
      </w:pPr>
    </w:p>
    <w:p w14:paraId="6ED12579" w14:textId="77777777" w:rsidR="009D71CC" w:rsidRDefault="009D71CC">
      <w:pPr>
        <w:pStyle w:val="NormlnOdstavec"/>
      </w:pPr>
    </w:p>
    <w:p w14:paraId="68978080" w14:textId="77777777" w:rsidR="009D71CC" w:rsidRDefault="009D71CC">
      <w:pPr>
        <w:pStyle w:val="NormlnOdstavec"/>
      </w:pPr>
    </w:p>
    <w:p w14:paraId="17299DEC" w14:textId="77777777" w:rsidR="009D71CC" w:rsidRDefault="009D71CC">
      <w:pPr>
        <w:pStyle w:val="NormlnOdstavec"/>
      </w:pPr>
    </w:p>
    <w:p w14:paraId="329C1E08" w14:textId="77777777" w:rsidR="009D71CC" w:rsidRDefault="009D71CC">
      <w:pPr>
        <w:pStyle w:val="NormlnOdstavec"/>
      </w:pPr>
    </w:p>
    <w:p w14:paraId="2A38F4B2" w14:textId="77777777" w:rsidR="009D71CC" w:rsidRDefault="009D71CC">
      <w:pPr>
        <w:pStyle w:val="NormlnOdstavec"/>
      </w:pPr>
    </w:p>
    <w:p w14:paraId="661017B2" w14:textId="77777777" w:rsidR="009D71CC" w:rsidRDefault="009D71CC">
      <w:pPr>
        <w:pStyle w:val="NormlnOdstavec"/>
      </w:pPr>
    </w:p>
    <w:p w14:paraId="1269E900" w14:textId="77777777" w:rsidR="009D71CC" w:rsidRDefault="009D71CC">
      <w:pPr>
        <w:pStyle w:val="NormlnOdstavec"/>
      </w:pPr>
    </w:p>
    <w:p w14:paraId="041C569B" w14:textId="77777777" w:rsidR="009D71CC" w:rsidRDefault="009D71CC">
      <w:pPr>
        <w:pStyle w:val="NormlnOdstavec"/>
      </w:pPr>
    </w:p>
    <w:p w14:paraId="4E33353A" w14:textId="77777777" w:rsidR="009D71CC" w:rsidRDefault="009D71CC">
      <w:pPr>
        <w:pStyle w:val="NormlnOdstavec"/>
      </w:pPr>
    </w:p>
    <w:p w14:paraId="1D8DBF66" w14:textId="77777777" w:rsidR="009D71CC" w:rsidRDefault="009D71CC">
      <w:pPr>
        <w:pStyle w:val="NormlnOdstavec"/>
      </w:pPr>
    </w:p>
    <w:p w14:paraId="61F470E9" w14:textId="77777777" w:rsidR="009D71CC" w:rsidRDefault="009D71CC">
      <w:pPr>
        <w:pStyle w:val="NormlnOdstavec"/>
      </w:pPr>
    </w:p>
    <w:p w14:paraId="799C9812" w14:textId="77777777" w:rsidR="009D71CC" w:rsidRDefault="009D71CC">
      <w:pPr>
        <w:pStyle w:val="NormlnOdstavec"/>
      </w:pPr>
    </w:p>
    <w:p w14:paraId="0782ED4B" w14:textId="77777777" w:rsidR="009D71CC" w:rsidRDefault="009D71CC">
      <w:pPr>
        <w:pStyle w:val="NormlnOdstavec"/>
      </w:pPr>
    </w:p>
    <w:p w14:paraId="44D60860" w14:textId="77777777" w:rsidR="009D71CC" w:rsidRDefault="00CB7CE8">
      <w:pPr>
        <w:pStyle w:val="ObsahUvodSeznamy"/>
      </w:pPr>
      <w:r>
        <w:t>Klíčová slova</w:t>
      </w:r>
    </w:p>
    <w:p w14:paraId="620C1234" w14:textId="77777777" w:rsidR="009D71CC" w:rsidRDefault="00CB7CE8">
      <w:pPr>
        <w:pStyle w:val="NormlnOdstavec"/>
        <w:ind w:firstLine="0"/>
      </w:pPr>
      <w:r>
        <w:t>Urbánní sítě, městské sítě, města, ekonomická aktivita</w:t>
      </w:r>
    </w:p>
    <w:p w14:paraId="0423521A" w14:textId="77777777" w:rsidR="009D71CC" w:rsidRDefault="009D71CC">
      <w:pPr>
        <w:pStyle w:val="NormlnOdstavec"/>
      </w:pPr>
    </w:p>
    <w:p w14:paraId="5A115090" w14:textId="77777777" w:rsidR="009D71CC" w:rsidRDefault="009D71CC">
      <w:pPr>
        <w:pStyle w:val="NormlnOdstavec"/>
      </w:pPr>
    </w:p>
    <w:p w14:paraId="654C8917" w14:textId="58F17038" w:rsidR="009D71CC" w:rsidRDefault="00CB7CE8">
      <w:r>
        <w:t xml:space="preserve">Počet stran práce: </w:t>
      </w:r>
      <w:r w:rsidR="00222D2B">
        <w:t>5</w:t>
      </w:r>
      <w:r>
        <w:t xml:space="preserve">0 </w:t>
      </w:r>
    </w:p>
    <w:p w14:paraId="44341CF5" w14:textId="3E72BE61" w:rsidR="009D71CC" w:rsidRDefault="00CB7CE8">
      <w:r>
        <w:t xml:space="preserve">Počet příloh: </w:t>
      </w:r>
      <w:r w:rsidR="00222D2B">
        <w:t>1</w:t>
      </w:r>
      <w:r w:rsidR="00865FD0">
        <w:t>6</w:t>
      </w:r>
      <w:r>
        <w:br w:type="page"/>
      </w:r>
    </w:p>
    <w:p w14:paraId="1E47C889" w14:textId="77777777" w:rsidR="009D71CC" w:rsidRDefault="00CB7CE8">
      <w:pPr>
        <w:pStyle w:val="ObsahUvodSeznamy"/>
      </w:pPr>
      <w:r>
        <w:lastRenderedPageBreak/>
        <w:t>anotation</w:t>
      </w:r>
    </w:p>
    <w:p w14:paraId="42E4E7F7" w14:textId="77777777" w:rsidR="009D71CC" w:rsidRDefault="00CB7CE8">
      <w:pPr>
        <w:pStyle w:val="NormlnOdstavec"/>
        <w:ind w:firstLine="0"/>
      </w:pPr>
      <w:r>
        <w:t>The thesis focuses on the role of urban networks in modern cities. The aim of the thesis is to assess this role within the structure and development of cities. In the first part of the thesis, both quantitative and qualitative characteristics of selected urban networks are examined, such as hierarchy, general morphology, nodality, complexity and polycentricity. These characteristics will be analyzed using several geocomputational methods. The findings will then be applied in the context of economic activity in urban areas. In the analysis of public transport stops, serviceability polygons are created to investigate their accessibility. For the purpose of the research, a set of cities is selected, including both historical (old) networks and networks with a regular geometric structure. The result is a classification of cities according to similar characteristics obtained during the research. The output of the thesis is a poster, thesis text, a set of scripts and installation instructions.</w:t>
      </w:r>
    </w:p>
    <w:p w14:paraId="62A3D169" w14:textId="77777777" w:rsidR="009D71CC" w:rsidRDefault="009D71CC">
      <w:pPr>
        <w:pStyle w:val="NormlnOdstavec"/>
      </w:pPr>
    </w:p>
    <w:p w14:paraId="41A58B73" w14:textId="77777777" w:rsidR="009D71CC" w:rsidRDefault="009D71CC">
      <w:pPr>
        <w:pStyle w:val="NormlnOdstavec"/>
      </w:pPr>
    </w:p>
    <w:p w14:paraId="06E3A09C" w14:textId="77777777" w:rsidR="009D71CC" w:rsidRDefault="009D71CC">
      <w:pPr>
        <w:pStyle w:val="NormlnOdstavec"/>
      </w:pPr>
    </w:p>
    <w:p w14:paraId="65952E60" w14:textId="77777777" w:rsidR="009D71CC" w:rsidRDefault="009D71CC">
      <w:pPr>
        <w:pStyle w:val="NormlnOdstavec"/>
      </w:pPr>
    </w:p>
    <w:p w14:paraId="27211170" w14:textId="77777777" w:rsidR="009D71CC" w:rsidRDefault="009D71CC">
      <w:pPr>
        <w:pStyle w:val="NormlnOdstavec"/>
      </w:pPr>
    </w:p>
    <w:p w14:paraId="3AA6B321" w14:textId="77777777" w:rsidR="009D71CC" w:rsidRDefault="009D71CC">
      <w:pPr>
        <w:pStyle w:val="NormlnOdstavec"/>
      </w:pPr>
    </w:p>
    <w:p w14:paraId="2832D0BB" w14:textId="77777777" w:rsidR="009D71CC" w:rsidRDefault="009D71CC">
      <w:pPr>
        <w:pStyle w:val="NormlnOdstavec"/>
      </w:pPr>
    </w:p>
    <w:p w14:paraId="407E644F" w14:textId="77777777" w:rsidR="009D71CC" w:rsidRDefault="009D71CC">
      <w:pPr>
        <w:pStyle w:val="NormlnOdstavec"/>
      </w:pPr>
    </w:p>
    <w:p w14:paraId="4BDB0463" w14:textId="77777777" w:rsidR="009D71CC" w:rsidRDefault="009D71CC">
      <w:pPr>
        <w:pStyle w:val="NormlnOdstavec"/>
      </w:pPr>
    </w:p>
    <w:p w14:paraId="2C443411" w14:textId="77777777" w:rsidR="009D71CC" w:rsidRDefault="009D71CC">
      <w:pPr>
        <w:pStyle w:val="NormlnOdstavec"/>
      </w:pPr>
    </w:p>
    <w:p w14:paraId="4F8E2B72" w14:textId="77777777" w:rsidR="009D71CC" w:rsidRDefault="009D71CC">
      <w:pPr>
        <w:pStyle w:val="NormlnOdstavec"/>
      </w:pPr>
    </w:p>
    <w:p w14:paraId="1C2581E4" w14:textId="77777777" w:rsidR="009D71CC" w:rsidRDefault="009D71CC">
      <w:pPr>
        <w:pStyle w:val="NormlnOdstavec"/>
      </w:pPr>
    </w:p>
    <w:p w14:paraId="65F4DA9F" w14:textId="77777777" w:rsidR="009D71CC" w:rsidRDefault="009D71CC">
      <w:pPr>
        <w:pStyle w:val="NormlnOdstavec"/>
      </w:pPr>
    </w:p>
    <w:p w14:paraId="7D73FAF2" w14:textId="77777777" w:rsidR="009D71CC" w:rsidRDefault="009D71CC">
      <w:pPr>
        <w:pStyle w:val="NormlnOdstavec"/>
      </w:pPr>
    </w:p>
    <w:p w14:paraId="656F1969" w14:textId="77777777" w:rsidR="009D71CC" w:rsidRDefault="009D71CC">
      <w:pPr>
        <w:pStyle w:val="NormlnOdstavec"/>
      </w:pPr>
    </w:p>
    <w:p w14:paraId="722EC8F4" w14:textId="77777777" w:rsidR="009D71CC" w:rsidRDefault="009D71CC">
      <w:pPr>
        <w:pStyle w:val="NormlnOdstavec"/>
      </w:pPr>
    </w:p>
    <w:p w14:paraId="07E0237E" w14:textId="77777777" w:rsidR="009D71CC" w:rsidRDefault="009D71CC">
      <w:pPr>
        <w:pStyle w:val="NormlnOdstavec"/>
      </w:pPr>
    </w:p>
    <w:p w14:paraId="3CBE4D26" w14:textId="77777777" w:rsidR="009D71CC" w:rsidRDefault="009D71CC">
      <w:pPr>
        <w:pStyle w:val="NormlnOdstavec"/>
      </w:pPr>
    </w:p>
    <w:p w14:paraId="6BA2835E" w14:textId="77777777" w:rsidR="009D71CC" w:rsidRDefault="009D71CC">
      <w:pPr>
        <w:pStyle w:val="NormlnOdstavec"/>
      </w:pPr>
    </w:p>
    <w:p w14:paraId="5496A1D0" w14:textId="77777777" w:rsidR="009D71CC" w:rsidRDefault="009D71CC">
      <w:pPr>
        <w:pStyle w:val="NormlnOdstavec"/>
      </w:pPr>
    </w:p>
    <w:p w14:paraId="31CA7B5C" w14:textId="77777777" w:rsidR="009D71CC" w:rsidRDefault="009D71CC">
      <w:pPr>
        <w:pStyle w:val="NormlnOdstavec"/>
      </w:pPr>
    </w:p>
    <w:p w14:paraId="3FEB473F" w14:textId="77777777" w:rsidR="009D71CC" w:rsidRDefault="009D71CC">
      <w:pPr>
        <w:pStyle w:val="NormlnOdstavec"/>
      </w:pPr>
    </w:p>
    <w:p w14:paraId="40191906" w14:textId="77777777" w:rsidR="009D71CC" w:rsidRDefault="009D71CC">
      <w:pPr>
        <w:pStyle w:val="NormlnOdstavec"/>
      </w:pPr>
    </w:p>
    <w:p w14:paraId="1DE1CC8E" w14:textId="77777777" w:rsidR="009D71CC" w:rsidRDefault="009D71CC">
      <w:pPr>
        <w:pStyle w:val="NormlnOdstavec"/>
      </w:pPr>
    </w:p>
    <w:p w14:paraId="7A712119" w14:textId="77777777" w:rsidR="009D71CC" w:rsidRDefault="009D71CC">
      <w:pPr>
        <w:pStyle w:val="NormlnOdstavec"/>
      </w:pPr>
    </w:p>
    <w:p w14:paraId="610FC127" w14:textId="77777777" w:rsidR="009D71CC" w:rsidRDefault="00CB7CE8">
      <w:pPr>
        <w:pStyle w:val="ObsahUvodSeznamy"/>
      </w:pPr>
      <w:r>
        <w:t>Keywords</w:t>
      </w:r>
    </w:p>
    <w:p w14:paraId="3471E5C9" w14:textId="77777777" w:rsidR="009D71CC" w:rsidRDefault="00CB7CE8">
      <w:pPr>
        <w:pStyle w:val="NormlnOdstavec"/>
        <w:ind w:firstLine="0"/>
      </w:pPr>
      <w:r>
        <w:t>Urban networks, urban networks, cities, economic aktivity</w:t>
      </w:r>
    </w:p>
    <w:p w14:paraId="10892A16" w14:textId="77777777" w:rsidR="009D71CC" w:rsidRDefault="009D71CC">
      <w:pPr>
        <w:pStyle w:val="NormlnOdstavec"/>
        <w:ind w:firstLine="0"/>
      </w:pPr>
    </w:p>
    <w:p w14:paraId="79204E34" w14:textId="77777777" w:rsidR="009D71CC" w:rsidRDefault="009D71CC">
      <w:pPr>
        <w:pStyle w:val="NormlnOdstavec"/>
        <w:ind w:firstLine="0"/>
      </w:pPr>
    </w:p>
    <w:p w14:paraId="67651447" w14:textId="7544B6E2" w:rsidR="009D71CC" w:rsidRDefault="00CB7CE8">
      <w:pPr>
        <w:pStyle w:val="NormalniSummary"/>
      </w:pPr>
      <w:r>
        <w:t xml:space="preserve">Number of pages: </w:t>
      </w:r>
      <w:r w:rsidR="00222D2B">
        <w:t>5</w:t>
      </w:r>
      <w:r>
        <w:t>0</w:t>
      </w:r>
    </w:p>
    <w:p w14:paraId="2BC7DD82" w14:textId="38C533A8" w:rsidR="009D71CC" w:rsidRDefault="00CB7CE8">
      <w:pPr>
        <w:pStyle w:val="NormalniSummary"/>
      </w:pPr>
      <w:r>
        <w:t xml:space="preserve">Number of appendixes: </w:t>
      </w:r>
      <w:r w:rsidR="00222D2B">
        <w:t>1</w:t>
      </w:r>
      <w:r w:rsidR="006268DC">
        <w:t>6</w:t>
      </w:r>
      <w:r>
        <w:br w:type="page"/>
      </w:r>
    </w:p>
    <w:p w14:paraId="2D89856A" w14:textId="77777777" w:rsidR="009D71CC" w:rsidRDefault="00CB7CE8">
      <w:pPr>
        <w:pStyle w:val="NormlnOdstavec"/>
      </w:pPr>
      <w:r>
        <w:lastRenderedPageBreak/>
        <w:t xml:space="preserve">Autorským prohlášením se student explicitně přihlašuje k výhradnímu autorství práce a současně vyjadřuje znalost práv UP Olomouc k tomuto dílu. Odevzdáním práce v digitální podobě do evidence STAG student autentizuje toto prohlášení. V případě, že autor v práci navázal na cizí autorské dílo, musí být tato skutečnost v prohlášení výslovně uvedena. </w:t>
      </w:r>
    </w:p>
    <w:p w14:paraId="0FD00E66" w14:textId="77777777" w:rsidR="009D71CC" w:rsidRDefault="00CB7CE8">
      <w:pPr>
        <w:pStyle w:val="NormlnOdstavec"/>
      </w:pPr>
      <w:r>
        <w:t xml:space="preserve"> </w:t>
      </w:r>
    </w:p>
    <w:p w14:paraId="3BC51F32" w14:textId="77777777" w:rsidR="009D71CC" w:rsidRDefault="00CB7CE8">
      <w:pPr>
        <w:pStyle w:val="NormlnOdstavec"/>
        <w:rPr>
          <w:rStyle w:val="NormalniTucne"/>
        </w:rPr>
      </w:pPr>
      <w:r>
        <w:rPr>
          <w:rStyle w:val="NormalniTucne"/>
        </w:rPr>
        <w:t>Prohlašuji, že</w:t>
      </w:r>
    </w:p>
    <w:p w14:paraId="144A873A" w14:textId="77777777" w:rsidR="009D71CC" w:rsidRDefault="00CB7CE8">
      <w:pPr>
        <w:pStyle w:val="NormlnOdstavec"/>
        <w:rPr>
          <w:i/>
        </w:rPr>
      </w:pPr>
      <w:r>
        <w:t>- bakalářskou/diplomovou práci včetně příloh, jsem vypracoval(a) samostatně a uvedl(a) jsem všechny použité podklady a literaturu</w:t>
      </w:r>
      <w:r>
        <w:rPr>
          <w:i/>
        </w:rPr>
        <w:t xml:space="preserve">. </w:t>
      </w:r>
    </w:p>
    <w:p w14:paraId="0A32692E" w14:textId="77777777" w:rsidR="009D71CC" w:rsidRDefault="00CB7CE8">
      <w:pPr>
        <w:pStyle w:val="NormlnOdstavec"/>
      </w:pPr>
      <w:r>
        <w:t>- jsem si vědom(a), že na moji bakalářskou/diplomovou práci se plně vztahuje zákon č.121/2000 Sb. - autorský zákon, zejména § 35 – využití díla v rámci občanských a náboženských obřadů, v rámci školních představení a využití díla školního a § 60 – školní dílo,</w:t>
      </w:r>
    </w:p>
    <w:p w14:paraId="4AF9CA86" w14:textId="77777777" w:rsidR="009D71CC" w:rsidRDefault="00CB7CE8">
      <w:pPr>
        <w:pStyle w:val="NormlnOdstavec"/>
      </w:pPr>
      <w:r>
        <w:t xml:space="preserve">- beru na vědomí, že Univerzita Palackého v Olomouci (dále UP Olomouc) má právo nevýdělečně, ke své vnitřní potřebě, bakalářskou/diplomovou práci užívat (§ 35 odst. 3), </w:t>
      </w:r>
    </w:p>
    <w:p w14:paraId="6BDB5516" w14:textId="77777777" w:rsidR="009D71CC" w:rsidRDefault="00CB7CE8">
      <w:pPr>
        <w:pStyle w:val="NormlnOdstavec"/>
      </w:pPr>
      <w:r>
        <w:t xml:space="preserve">- souhlasím, že údaje o mé bakalářské/diplomové práci budou zveřejněny ve Studijním informačním systému UP, </w:t>
      </w:r>
    </w:p>
    <w:p w14:paraId="585C2819" w14:textId="77777777" w:rsidR="009D71CC" w:rsidRDefault="00CB7CE8">
      <w:pPr>
        <w:pStyle w:val="NormlnOdstavec"/>
      </w:pPr>
      <w:r>
        <w:t>- v případě zájmu UP Olomouc uzavřu licenční smlouvu s oprávněním užít výsledky a výstupy mé bakalářské/diplomové práce v rozsahu § 12 odst. 4 autorského zákona,</w:t>
      </w:r>
    </w:p>
    <w:p w14:paraId="627B31B4" w14:textId="77777777" w:rsidR="009D71CC" w:rsidRDefault="00CB7CE8">
      <w:pPr>
        <w:pStyle w:val="NormlnOdstavec"/>
      </w:pPr>
      <w:r>
        <w:t>- použít výsledky a výstupy mé bakalářské/diplomové práce nebo poskytnout licenci k jejímu využití mohu jen se souhlasem UP Olomouc, která je oprávněna v takovém případě ode mne požadovat přiměřený příspěvek na úhradu nákladů, které byly UP Olomouc na vytvoření díla vynaloženy (až do jejich skutečné výše).</w:t>
      </w:r>
    </w:p>
    <w:p w14:paraId="2B2EB270" w14:textId="77777777" w:rsidR="009D71CC" w:rsidRDefault="009D71CC">
      <w:pPr>
        <w:pStyle w:val="NormlnOdstavec"/>
      </w:pPr>
    </w:p>
    <w:p w14:paraId="398049AE" w14:textId="77777777" w:rsidR="009D71CC" w:rsidRDefault="009D71CC">
      <w:pPr>
        <w:pStyle w:val="NormlnOdstavec"/>
      </w:pPr>
    </w:p>
    <w:p w14:paraId="09976DA2" w14:textId="77777777" w:rsidR="009D71CC" w:rsidRDefault="00CB7CE8">
      <w:pPr>
        <w:pStyle w:val="NormlnOdstavec"/>
      </w:pPr>
      <w:r>
        <w:br w:type="page"/>
      </w:r>
    </w:p>
    <w:p w14:paraId="11559607" w14:textId="77777777" w:rsidR="009D71CC" w:rsidRDefault="00CB7CE8">
      <w:pPr>
        <w:pStyle w:val="NormlnOdstavec"/>
      </w:pPr>
      <w:r>
        <w:lastRenderedPageBreak/>
        <w:t>Děkuji vedoucímu práce Mgr. Vítu Pásztovi, Ph.D. za podněty a připomínky při vypracování práce. Dále děkuji mé manželce a rodině za připomínky a podporu.</w:t>
      </w:r>
    </w:p>
    <w:p w14:paraId="1B694A89" w14:textId="77777777" w:rsidR="009D71CC" w:rsidRDefault="00CB7CE8">
      <w:pPr>
        <w:spacing w:before="0" w:after="0" w:line="240" w:lineRule="auto"/>
        <w:jc w:val="left"/>
      </w:pPr>
      <w:r>
        <w:br w:type="page"/>
      </w:r>
    </w:p>
    <w:p w14:paraId="315D21E4" w14:textId="77777777" w:rsidR="009D71CC" w:rsidRDefault="00CB7CE8">
      <w:pPr>
        <w:spacing w:before="0" w:after="0" w:line="240" w:lineRule="auto"/>
        <w:jc w:val="left"/>
      </w:pPr>
      <w:r>
        <w:rPr>
          <w:noProof/>
        </w:rPr>
        <w:lastRenderedPageBreak/>
        <w:drawing>
          <wp:inline distT="0" distB="0" distL="0" distR="0" wp14:anchorId="07F7535B" wp14:editId="36458F5E">
            <wp:extent cx="5570855" cy="7820025"/>
            <wp:effectExtent l="0" t="0" r="0" b="0"/>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4"/>
                    <pic:cNvPicPr>
                      <a:picLocks noChangeAspect="1" noChangeArrowheads="1"/>
                    </pic:cNvPicPr>
                  </pic:nvPicPr>
                  <pic:blipFill>
                    <a:blip r:embed="rId11"/>
                    <a:stretch>
                      <a:fillRect/>
                    </a:stretch>
                  </pic:blipFill>
                  <pic:spPr bwMode="auto">
                    <a:xfrm>
                      <a:off x="0" y="0"/>
                      <a:ext cx="5570855" cy="7820025"/>
                    </a:xfrm>
                    <a:prstGeom prst="rect">
                      <a:avLst/>
                    </a:prstGeom>
                  </pic:spPr>
                </pic:pic>
              </a:graphicData>
            </a:graphic>
          </wp:inline>
        </w:drawing>
      </w:r>
    </w:p>
    <w:p w14:paraId="5CEA038A" w14:textId="77777777" w:rsidR="009D71CC" w:rsidRDefault="00CB7CE8">
      <w:pPr>
        <w:pStyle w:val="NormlnOdstavec"/>
        <w:jc w:val="center"/>
      </w:pPr>
      <w:r>
        <w:rPr>
          <w:noProof/>
        </w:rPr>
        <w:lastRenderedPageBreak/>
        <w:drawing>
          <wp:inline distT="0" distB="0" distL="0" distR="0" wp14:anchorId="2599E3AA" wp14:editId="1BBFB46C">
            <wp:extent cx="5570855" cy="77698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noChangeArrowheads="1"/>
                    </pic:cNvPicPr>
                  </pic:nvPicPr>
                  <pic:blipFill>
                    <a:blip r:embed="rId12"/>
                    <a:stretch>
                      <a:fillRect/>
                    </a:stretch>
                  </pic:blipFill>
                  <pic:spPr bwMode="auto">
                    <a:xfrm>
                      <a:off x="0" y="0"/>
                      <a:ext cx="5570855" cy="7769860"/>
                    </a:xfrm>
                    <a:prstGeom prst="rect">
                      <a:avLst/>
                    </a:prstGeom>
                  </pic:spPr>
                </pic:pic>
              </a:graphicData>
            </a:graphic>
          </wp:inline>
        </w:drawing>
      </w:r>
      <w:r>
        <w:br w:type="page"/>
      </w:r>
    </w:p>
    <w:p w14:paraId="1896AB90" w14:textId="77777777" w:rsidR="009D71CC" w:rsidRDefault="00CB7CE8">
      <w:pPr>
        <w:pStyle w:val="ObsahUvodSeznamy"/>
      </w:pPr>
      <w:r>
        <w:lastRenderedPageBreak/>
        <w:t>Obsah</w:t>
      </w:r>
    </w:p>
    <w:p w14:paraId="67407266" w14:textId="77777777" w:rsidR="009D71CC" w:rsidRDefault="00CB7CE8">
      <w:pPr>
        <w:pStyle w:val="NormlnOdstavec"/>
        <w:tabs>
          <w:tab w:val="right" w:pos="8640"/>
        </w:tabs>
        <w:rPr>
          <w:rStyle w:val="NormalniTucne"/>
        </w:rPr>
      </w:pPr>
      <w:r>
        <w:rPr>
          <w:rStyle w:val="NormalniVsechnaVelka"/>
          <w:b/>
          <w:bCs/>
        </w:rPr>
        <w:t>Seznam použitých zkratek</w:t>
      </w:r>
      <w:r>
        <w:rPr>
          <w:rStyle w:val="NormalniTucne"/>
        </w:rPr>
        <w:t xml:space="preserve"> …………………………………...………………………. X</w:t>
      </w:r>
    </w:p>
    <w:p w14:paraId="2E71B103" w14:textId="77777777" w:rsidR="009D71CC" w:rsidRDefault="00CB7CE8">
      <w:pPr>
        <w:pStyle w:val="NormlnOdstavec"/>
        <w:tabs>
          <w:tab w:val="right" w:pos="8640"/>
        </w:tabs>
        <w:rPr>
          <w:rStyle w:val="NormalniTucne"/>
        </w:rPr>
      </w:pPr>
      <w:r>
        <w:rPr>
          <w:rStyle w:val="NormalniVsechnaVelka"/>
          <w:b/>
          <w:bCs/>
        </w:rPr>
        <w:t>Úvod ...</w:t>
      </w:r>
      <w:r>
        <w:rPr>
          <w:rStyle w:val="NormalniTucne"/>
        </w:rPr>
        <w:t>………….......…………………………………………..………….………………….... X</w:t>
      </w:r>
    </w:p>
    <w:sdt>
      <w:sdtPr>
        <w:id w:val="-1058549118"/>
        <w:docPartObj>
          <w:docPartGallery w:val="Table of Contents"/>
          <w:docPartUnique/>
        </w:docPartObj>
      </w:sdtPr>
      <w:sdtContent>
        <w:p w14:paraId="74A5A23A" w14:textId="2FA58B75" w:rsidR="00602948" w:rsidRDefault="00CB7CE8">
          <w:pPr>
            <w:pStyle w:val="Obsah1"/>
            <w:rPr>
              <w:rFonts w:asciiTheme="minorHAnsi" w:eastAsiaTheme="minorEastAsia" w:hAnsiTheme="minorHAnsi" w:cstheme="minorBidi"/>
              <w:b w:val="0"/>
              <w:bCs w:val="0"/>
              <w:caps w:val="0"/>
              <w:noProof/>
              <w:kern w:val="2"/>
              <w:sz w:val="22"/>
              <w:szCs w:val="22"/>
              <w:lang w:val="en-US" w:eastAsia="en-US"/>
              <w14:ligatures w14:val="standardContextual"/>
            </w:rPr>
          </w:pPr>
          <w:r>
            <w:fldChar w:fldCharType="begin"/>
          </w:r>
          <w:r>
            <w:rPr>
              <w:rStyle w:val="IndexLink"/>
              <w:webHidden/>
            </w:rPr>
            <w:instrText xml:space="preserve"> TOC \z \o "1-3" \u \h</w:instrText>
          </w:r>
          <w:r>
            <w:rPr>
              <w:rStyle w:val="IndexLink"/>
            </w:rPr>
            <w:fldChar w:fldCharType="separate"/>
          </w:r>
          <w:hyperlink w:anchor="_Toc143013730" w:history="1">
            <w:r w:rsidR="00602948" w:rsidRPr="00CE1AE2">
              <w:rPr>
                <w:rStyle w:val="Hypertextovodkaz"/>
                <w:noProof/>
              </w:rPr>
              <w:t>1</w:t>
            </w:r>
            <w:r w:rsidR="00602948">
              <w:rPr>
                <w:rFonts w:asciiTheme="minorHAnsi" w:eastAsiaTheme="minorEastAsia" w:hAnsiTheme="minorHAnsi" w:cstheme="minorBidi"/>
                <w:b w:val="0"/>
                <w:bCs w:val="0"/>
                <w:caps w:val="0"/>
                <w:noProof/>
                <w:kern w:val="2"/>
                <w:sz w:val="22"/>
                <w:szCs w:val="22"/>
                <w:lang w:val="en-US" w:eastAsia="en-US"/>
                <w14:ligatures w14:val="standardContextual"/>
              </w:rPr>
              <w:tab/>
            </w:r>
            <w:r w:rsidR="00602948" w:rsidRPr="00CE1AE2">
              <w:rPr>
                <w:rStyle w:val="Hypertextovodkaz"/>
                <w:noProof/>
              </w:rPr>
              <w:t>Cíle práce</w:t>
            </w:r>
            <w:r w:rsidR="00602948">
              <w:rPr>
                <w:noProof/>
                <w:webHidden/>
              </w:rPr>
              <w:tab/>
            </w:r>
            <w:r w:rsidR="00602948">
              <w:rPr>
                <w:noProof/>
                <w:webHidden/>
              </w:rPr>
              <w:fldChar w:fldCharType="begin"/>
            </w:r>
            <w:r w:rsidR="00602948">
              <w:rPr>
                <w:noProof/>
                <w:webHidden/>
              </w:rPr>
              <w:instrText xml:space="preserve"> PAGEREF _Toc143013730 \h </w:instrText>
            </w:r>
            <w:r w:rsidR="00602948">
              <w:rPr>
                <w:noProof/>
                <w:webHidden/>
              </w:rPr>
            </w:r>
            <w:r w:rsidR="00602948">
              <w:rPr>
                <w:noProof/>
                <w:webHidden/>
              </w:rPr>
              <w:fldChar w:fldCharType="separate"/>
            </w:r>
            <w:r w:rsidR="00602948">
              <w:rPr>
                <w:noProof/>
                <w:webHidden/>
              </w:rPr>
              <w:t>12</w:t>
            </w:r>
            <w:r w:rsidR="00602948">
              <w:rPr>
                <w:noProof/>
                <w:webHidden/>
              </w:rPr>
              <w:fldChar w:fldCharType="end"/>
            </w:r>
          </w:hyperlink>
        </w:p>
        <w:p w14:paraId="114D7A58" w14:textId="53A49BCD" w:rsidR="00602948" w:rsidRDefault="00000000">
          <w:pPr>
            <w:pStyle w:val="Obsah1"/>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43013731" w:history="1">
            <w:r w:rsidR="00602948" w:rsidRPr="00CE1AE2">
              <w:rPr>
                <w:rStyle w:val="Hypertextovodkaz"/>
                <w:noProof/>
              </w:rPr>
              <w:t>2</w:t>
            </w:r>
            <w:r w:rsidR="00602948">
              <w:rPr>
                <w:rFonts w:asciiTheme="minorHAnsi" w:eastAsiaTheme="minorEastAsia" w:hAnsiTheme="minorHAnsi" w:cstheme="minorBidi"/>
                <w:b w:val="0"/>
                <w:bCs w:val="0"/>
                <w:caps w:val="0"/>
                <w:noProof/>
                <w:kern w:val="2"/>
                <w:sz w:val="22"/>
                <w:szCs w:val="22"/>
                <w:lang w:val="en-US" w:eastAsia="en-US"/>
                <w14:ligatures w14:val="standardContextual"/>
              </w:rPr>
              <w:tab/>
            </w:r>
            <w:r w:rsidR="00602948" w:rsidRPr="00CE1AE2">
              <w:rPr>
                <w:rStyle w:val="Hypertextovodkaz"/>
                <w:noProof/>
              </w:rPr>
              <w:t>Současný stav řešené problematiky</w:t>
            </w:r>
            <w:r w:rsidR="00602948">
              <w:rPr>
                <w:noProof/>
                <w:webHidden/>
              </w:rPr>
              <w:tab/>
            </w:r>
            <w:r w:rsidR="00602948">
              <w:rPr>
                <w:noProof/>
                <w:webHidden/>
              </w:rPr>
              <w:fldChar w:fldCharType="begin"/>
            </w:r>
            <w:r w:rsidR="00602948">
              <w:rPr>
                <w:noProof/>
                <w:webHidden/>
              </w:rPr>
              <w:instrText xml:space="preserve"> PAGEREF _Toc143013731 \h </w:instrText>
            </w:r>
            <w:r w:rsidR="00602948">
              <w:rPr>
                <w:noProof/>
                <w:webHidden/>
              </w:rPr>
            </w:r>
            <w:r w:rsidR="00602948">
              <w:rPr>
                <w:noProof/>
                <w:webHidden/>
              </w:rPr>
              <w:fldChar w:fldCharType="separate"/>
            </w:r>
            <w:r w:rsidR="00602948">
              <w:rPr>
                <w:noProof/>
                <w:webHidden/>
              </w:rPr>
              <w:t>13</w:t>
            </w:r>
            <w:r w:rsidR="00602948">
              <w:rPr>
                <w:noProof/>
                <w:webHidden/>
              </w:rPr>
              <w:fldChar w:fldCharType="end"/>
            </w:r>
          </w:hyperlink>
        </w:p>
        <w:p w14:paraId="645B2B67" w14:textId="2CFF3B62"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32" w:history="1">
            <w:r w:rsidR="00602948" w:rsidRPr="00CE1AE2">
              <w:rPr>
                <w:rStyle w:val="Hypertextovodkaz"/>
                <w:noProof/>
              </w:rPr>
              <w:t>2.1</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Urbánní sítě v historii</w:t>
            </w:r>
            <w:r w:rsidR="00602948">
              <w:rPr>
                <w:noProof/>
                <w:webHidden/>
              </w:rPr>
              <w:tab/>
            </w:r>
            <w:r w:rsidR="00602948">
              <w:rPr>
                <w:noProof/>
                <w:webHidden/>
              </w:rPr>
              <w:fldChar w:fldCharType="begin"/>
            </w:r>
            <w:r w:rsidR="00602948">
              <w:rPr>
                <w:noProof/>
                <w:webHidden/>
              </w:rPr>
              <w:instrText xml:space="preserve"> PAGEREF _Toc143013732 \h </w:instrText>
            </w:r>
            <w:r w:rsidR="00602948">
              <w:rPr>
                <w:noProof/>
                <w:webHidden/>
              </w:rPr>
            </w:r>
            <w:r w:rsidR="00602948">
              <w:rPr>
                <w:noProof/>
                <w:webHidden/>
              </w:rPr>
              <w:fldChar w:fldCharType="separate"/>
            </w:r>
            <w:r w:rsidR="00602948">
              <w:rPr>
                <w:noProof/>
                <w:webHidden/>
              </w:rPr>
              <w:t>14</w:t>
            </w:r>
            <w:r w:rsidR="00602948">
              <w:rPr>
                <w:noProof/>
                <w:webHidden/>
              </w:rPr>
              <w:fldChar w:fldCharType="end"/>
            </w:r>
          </w:hyperlink>
        </w:p>
        <w:p w14:paraId="189CF96B" w14:textId="64799E6B"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33" w:history="1">
            <w:r w:rsidR="00602948" w:rsidRPr="00CE1AE2">
              <w:rPr>
                <w:rStyle w:val="Hypertextovodkaz"/>
                <w:noProof/>
              </w:rPr>
              <w:t>2.2</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Města jako urbánní sítě</w:t>
            </w:r>
            <w:r w:rsidR="00602948">
              <w:rPr>
                <w:noProof/>
                <w:webHidden/>
              </w:rPr>
              <w:tab/>
            </w:r>
            <w:r w:rsidR="00602948">
              <w:rPr>
                <w:noProof/>
                <w:webHidden/>
              </w:rPr>
              <w:fldChar w:fldCharType="begin"/>
            </w:r>
            <w:r w:rsidR="00602948">
              <w:rPr>
                <w:noProof/>
                <w:webHidden/>
              </w:rPr>
              <w:instrText xml:space="preserve"> PAGEREF _Toc143013733 \h </w:instrText>
            </w:r>
            <w:r w:rsidR="00602948">
              <w:rPr>
                <w:noProof/>
                <w:webHidden/>
              </w:rPr>
            </w:r>
            <w:r w:rsidR="00602948">
              <w:rPr>
                <w:noProof/>
                <w:webHidden/>
              </w:rPr>
              <w:fldChar w:fldCharType="separate"/>
            </w:r>
            <w:r w:rsidR="00602948">
              <w:rPr>
                <w:noProof/>
                <w:webHidden/>
              </w:rPr>
              <w:t>14</w:t>
            </w:r>
            <w:r w:rsidR="00602948">
              <w:rPr>
                <w:noProof/>
                <w:webHidden/>
              </w:rPr>
              <w:fldChar w:fldCharType="end"/>
            </w:r>
          </w:hyperlink>
        </w:p>
        <w:p w14:paraId="59194008" w14:textId="1D5757DF"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34" w:history="1">
            <w:r w:rsidR="00602948" w:rsidRPr="00CE1AE2">
              <w:rPr>
                <w:rStyle w:val="Hypertextovodkaz"/>
                <w:noProof/>
              </w:rPr>
              <w:t>2.3</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Typy městských sítí</w:t>
            </w:r>
            <w:r w:rsidR="00602948">
              <w:rPr>
                <w:noProof/>
                <w:webHidden/>
              </w:rPr>
              <w:tab/>
            </w:r>
            <w:r w:rsidR="00602948">
              <w:rPr>
                <w:noProof/>
                <w:webHidden/>
              </w:rPr>
              <w:fldChar w:fldCharType="begin"/>
            </w:r>
            <w:r w:rsidR="00602948">
              <w:rPr>
                <w:noProof/>
                <w:webHidden/>
              </w:rPr>
              <w:instrText xml:space="preserve"> PAGEREF _Toc143013734 \h </w:instrText>
            </w:r>
            <w:r w:rsidR="00602948">
              <w:rPr>
                <w:noProof/>
                <w:webHidden/>
              </w:rPr>
            </w:r>
            <w:r w:rsidR="00602948">
              <w:rPr>
                <w:noProof/>
                <w:webHidden/>
              </w:rPr>
              <w:fldChar w:fldCharType="separate"/>
            </w:r>
            <w:r w:rsidR="00602948">
              <w:rPr>
                <w:noProof/>
                <w:webHidden/>
              </w:rPr>
              <w:t>14</w:t>
            </w:r>
            <w:r w:rsidR="00602948">
              <w:rPr>
                <w:noProof/>
                <w:webHidden/>
              </w:rPr>
              <w:fldChar w:fldCharType="end"/>
            </w:r>
          </w:hyperlink>
        </w:p>
        <w:p w14:paraId="38BA5BA8" w14:textId="771E0A71"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35" w:history="1">
            <w:r w:rsidR="00602948" w:rsidRPr="00CE1AE2">
              <w:rPr>
                <w:rStyle w:val="Hypertextovodkaz"/>
                <w:noProof/>
              </w:rPr>
              <w:t>2.3.1</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Silniční síť</w:t>
            </w:r>
            <w:r w:rsidR="00602948">
              <w:rPr>
                <w:noProof/>
                <w:webHidden/>
              </w:rPr>
              <w:tab/>
            </w:r>
            <w:r w:rsidR="00602948">
              <w:rPr>
                <w:noProof/>
                <w:webHidden/>
              </w:rPr>
              <w:fldChar w:fldCharType="begin"/>
            </w:r>
            <w:r w:rsidR="00602948">
              <w:rPr>
                <w:noProof/>
                <w:webHidden/>
              </w:rPr>
              <w:instrText xml:space="preserve"> PAGEREF _Toc143013735 \h </w:instrText>
            </w:r>
            <w:r w:rsidR="00602948">
              <w:rPr>
                <w:noProof/>
                <w:webHidden/>
              </w:rPr>
            </w:r>
            <w:r w:rsidR="00602948">
              <w:rPr>
                <w:noProof/>
                <w:webHidden/>
              </w:rPr>
              <w:fldChar w:fldCharType="separate"/>
            </w:r>
            <w:r w:rsidR="00602948">
              <w:rPr>
                <w:noProof/>
                <w:webHidden/>
              </w:rPr>
              <w:t>15</w:t>
            </w:r>
            <w:r w:rsidR="00602948">
              <w:rPr>
                <w:noProof/>
                <w:webHidden/>
              </w:rPr>
              <w:fldChar w:fldCharType="end"/>
            </w:r>
          </w:hyperlink>
        </w:p>
        <w:p w14:paraId="605B1352" w14:textId="689267D6"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36" w:history="1">
            <w:r w:rsidR="00602948" w:rsidRPr="00CE1AE2">
              <w:rPr>
                <w:rStyle w:val="Hypertextovodkaz"/>
                <w:noProof/>
                <w:lang w:eastAsia="en-US"/>
              </w:rPr>
              <w:t>2.3.2</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lang w:eastAsia="en-US"/>
              </w:rPr>
              <w:t>Železniční síť</w:t>
            </w:r>
            <w:r w:rsidR="00602948">
              <w:rPr>
                <w:noProof/>
                <w:webHidden/>
              </w:rPr>
              <w:tab/>
            </w:r>
            <w:r w:rsidR="00602948">
              <w:rPr>
                <w:noProof/>
                <w:webHidden/>
              </w:rPr>
              <w:fldChar w:fldCharType="begin"/>
            </w:r>
            <w:r w:rsidR="00602948">
              <w:rPr>
                <w:noProof/>
                <w:webHidden/>
              </w:rPr>
              <w:instrText xml:space="preserve"> PAGEREF _Toc143013736 \h </w:instrText>
            </w:r>
            <w:r w:rsidR="00602948">
              <w:rPr>
                <w:noProof/>
                <w:webHidden/>
              </w:rPr>
            </w:r>
            <w:r w:rsidR="00602948">
              <w:rPr>
                <w:noProof/>
                <w:webHidden/>
              </w:rPr>
              <w:fldChar w:fldCharType="separate"/>
            </w:r>
            <w:r w:rsidR="00602948">
              <w:rPr>
                <w:noProof/>
                <w:webHidden/>
              </w:rPr>
              <w:t>16</w:t>
            </w:r>
            <w:r w:rsidR="00602948">
              <w:rPr>
                <w:noProof/>
                <w:webHidden/>
              </w:rPr>
              <w:fldChar w:fldCharType="end"/>
            </w:r>
          </w:hyperlink>
        </w:p>
        <w:p w14:paraId="21012215" w14:textId="50E3F628"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37" w:history="1">
            <w:r w:rsidR="00602948" w:rsidRPr="00CE1AE2">
              <w:rPr>
                <w:rStyle w:val="Hypertextovodkaz"/>
                <w:noProof/>
              </w:rPr>
              <w:t>2.3.3</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Potrubní sítě</w:t>
            </w:r>
            <w:r w:rsidR="00602948">
              <w:rPr>
                <w:noProof/>
                <w:webHidden/>
              </w:rPr>
              <w:tab/>
            </w:r>
            <w:r w:rsidR="00602948">
              <w:rPr>
                <w:noProof/>
                <w:webHidden/>
              </w:rPr>
              <w:fldChar w:fldCharType="begin"/>
            </w:r>
            <w:r w:rsidR="00602948">
              <w:rPr>
                <w:noProof/>
                <w:webHidden/>
              </w:rPr>
              <w:instrText xml:space="preserve"> PAGEREF _Toc143013737 \h </w:instrText>
            </w:r>
            <w:r w:rsidR="00602948">
              <w:rPr>
                <w:noProof/>
                <w:webHidden/>
              </w:rPr>
            </w:r>
            <w:r w:rsidR="00602948">
              <w:rPr>
                <w:noProof/>
                <w:webHidden/>
              </w:rPr>
              <w:fldChar w:fldCharType="separate"/>
            </w:r>
            <w:r w:rsidR="00602948">
              <w:rPr>
                <w:noProof/>
                <w:webHidden/>
              </w:rPr>
              <w:t>17</w:t>
            </w:r>
            <w:r w:rsidR="00602948">
              <w:rPr>
                <w:noProof/>
                <w:webHidden/>
              </w:rPr>
              <w:fldChar w:fldCharType="end"/>
            </w:r>
          </w:hyperlink>
        </w:p>
        <w:p w14:paraId="43854BAE" w14:textId="419E0DD4"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38" w:history="1">
            <w:r w:rsidR="00602948" w:rsidRPr="00CE1AE2">
              <w:rPr>
                <w:rStyle w:val="Hypertextovodkaz"/>
                <w:noProof/>
                <w:lang w:eastAsia="en-US"/>
              </w:rPr>
              <w:t>2.3.4</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lang w:eastAsia="en-US"/>
              </w:rPr>
              <w:t>Vodní doprava</w:t>
            </w:r>
            <w:r w:rsidR="00602948">
              <w:rPr>
                <w:noProof/>
                <w:webHidden/>
              </w:rPr>
              <w:tab/>
            </w:r>
            <w:r w:rsidR="00602948">
              <w:rPr>
                <w:noProof/>
                <w:webHidden/>
              </w:rPr>
              <w:fldChar w:fldCharType="begin"/>
            </w:r>
            <w:r w:rsidR="00602948">
              <w:rPr>
                <w:noProof/>
                <w:webHidden/>
              </w:rPr>
              <w:instrText xml:space="preserve"> PAGEREF _Toc143013738 \h </w:instrText>
            </w:r>
            <w:r w:rsidR="00602948">
              <w:rPr>
                <w:noProof/>
                <w:webHidden/>
              </w:rPr>
            </w:r>
            <w:r w:rsidR="00602948">
              <w:rPr>
                <w:noProof/>
                <w:webHidden/>
              </w:rPr>
              <w:fldChar w:fldCharType="separate"/>
            </w:r>
            <w:r w:rsidR="00602948">
              <w:rPr>
                <w:noProof/>
                <w:webHidden/>
              </w:rPr>
              <w:t>17</w:t>
            </w:r>
            <w:r w:rsidR="00602948">
              <w:rPr>
                <w:noProof/>
                <w:webHidden/>
              </w:rPr>
              <w:fldChar w:fldCharType="end"/>
            </w:r>
          </w:hyperlink>
        </w:p>
        <w:p w14:paraId="6BB53A0F" w14:textId="37F7B490"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39" w:history="1">
            <w:r w:rsidR="00602948" w:rsidRPr="00CE1AE2">
              <w:rPr>
                <w:rStyle w:val="Hypertextovodkaz"/>
                <w:noProof/>
              </w:rPr>
              <w:t>2.4</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Analýza urbánních sítí</w:t>
            </w:r>
            <w:r w:rsidR="00602948">
              <w:rPr>
                <w:noProof/>
                <w:webHidden/>
              </w:rPr>
              <w:tab/>
            </w:r>
            <w:r w:rsidR="00602948">
              <w:rPr>
                <w:noProof/>
                <w:webHidden/>
              </w:rPr>
              <w:fldChar w:fldCharType="begin"/>
            </w:r>
            <w:r w:rsidR="00602948">
              <w:rPr>
                <w:noProof/>
                <w:webHidden/>
              </w:rPr>
              <w:instrText xml:space="preserve"> PAGEREF _Toc143013739 \h </w:instrText>
            </w:r>
            <w:r w:rsidR="00602948">
              <w:rPr>
                <w:noProof/>
                <w:webHidden/>
              </w:rPr>
            </w:r>
            <w:r w:rsidR="00602948">
              <w:rPr>
                <w:noProof/>
                <w:webHidden/>
              </w:rPr>
              <w:fldChar w:fldCharType="separate"/>
            </w:r>
            <w:r w:rsidR="00602948">
              <w:rPr>
                <w:noProof/>
                <w:webHidden/>
              </w:rPr>
              <w:t>19</w:t>
            </w:r>
            <w:r w:rsidR="00602948">
              <w:rPr>
                <w:noProof/>
                <w:webHidden/>
              </w:rPr>
              <w:fldChar w:fldCharType="end"/>
            </w:r>
          </w:hyperlink>
        </w:p>
        <w:p w14:paraId="22814836" w14:textId="73CC7216" w:rsidR="00602948" w:rsidRDefault="00000000">
          <w:pPr>
            <w:pStyle w:val="Obsah1"/>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43013740" w:history="1">
            <w:r w:rsidR="00602948" w:rsidRPr="00CE1AE2">
              <w:rPr>
                <w:rStyle w:val="Hypertextovodkaz"/>
                <w:noProof/>
              </w:rPr>
              <w:t>3</w:t>
            </w:r>
            <w:r w:rsidR="00602948">
              <w:rPr>
                <w:rFonts w:asciiTheme="minorHAnsi" w:eastAsiaTheme="minorEastAsia" w:hAnsiTheme="minorHAnsi" w:cstheme="minorBidi"/>
                <w:b w:val="0"/>
                <w:bCs w:val="0"/>
                <w:caps w:val="0"/>
                <w:noProof/>
                <w:kern w:val="2"/>
                <w:sz w:val="22"/>
                <w:szCs w:val="22"/>
                <w:lang w:val="en-US" w:eastAsia="en-US"/>
                <w14:ligatures w14:val="standardContextual"/>
              </w:rPr>
              <w:tab/>
            </w:r>
            <w:r w:rsidR="00602948" w:rsidRPr="00CE1AE2">
              <w:rPr>
                <w:rStyle w:val="Hypertextovodkaz"/>
                <w:noProof/>
              </w:rPr>
              <w:t>METODY A POSTUP ZPRACOVÁNÍ</w:t>
            </w:r>
            <w:r w:rsidR="00602948">
              <w:rPr>
                <w:noProof/>
                <w:webHidden/>
              </w:rPr>
              <w:tab/>
            </w:r>
            <w:r w:rsidR="00602948">
              <w:rPr>
                <w:noProof/>
                <w:webHidden/>
              </w:rPr>
              <w:fldChar w:fldCharType="begin"/>
            </w:r>
            <w:r w:rsidR="00602948">
              <w:rPr>
                <w:noProof/>
                <w:webHidden/>
              </w:rPr>
              <w:instrText xml:space="preserve"> PAGEREF _Toc143013740 \h </w:instrText>
            </w:r>
            <w:r w:rsidR="00602948">
              <w:rPr>
                <w:noProof/>
                <w:webHidden/>
              </w:rPr>
            </w:r>
            <w:r w:rsidR="00602948">
              <w:rPr>
                <w:noProof/>
                <w:webHidden/>
              </w:rPr>
              <w:fldChar w:fldCharType="separate"/>
            </w:r>
            <w:r w:rsidR="00602948">
              <w:rPr>
                <w:noProof/>
                <w:webHidden/>
              </w:rPr>
              <w:t>20</w:t>
            </w:r>
            <w:r w:rsidR="00602948">
              <w:rPr>
                <w:noProof/>
                <w:webHidden/>
              </w:rPr>
              <w:fldChar w:fldCharType="end"/>
            </w:r>
          </w:hyperlink>
        </w:p>
        <w:p w14:paraId="54BC15B5" w14:textId="00E2A6CC"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41" w:history="1">
            <w:r w:rsidR="00602948" w:rsidRPr="00CE1AE2">
              <w:rPr>
                <w:rStyle w:val="Hypertextovodkaz"/>
                <w:noProof/>
              </w:rPr>
              <w:t>3.1</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Postup zpracování</w:t>
            </w:r>
            <w:r w:rsidR="00602948">
              <w:rPr>
                <w:noProof/>
                <w:webHidden/>
              </w:rPr>
              <w:tab/>
            </w:r>
            <w:r w:rsidR="00602948">
              <w:rPr>
                <w:noProof/>
                <w:webHidden/>
              </w:rPr>
              <w:fldChar w:fldCharType="begin"/>
            </w:r>
            <w:r w:rsidR="00602948">
              <w:rPr>
                <w:noProof/>
                <w:webHidden/>
              </w:rPr>
              <w:instrText xml:space="preserve"> PAGEREF _Toc143013741 \h </w:instrText>
            </w:r>
            <w:r w:rsidR="00602948">
              <w:rPr>
                <w:noProof/>
                <w:webHidden/>
              </w:rPr>
            </w:r>
            <w:r w:rsidR="00602948">
              <w:rPr>
                <w:noProof/>
                <w:webHidden/>
              </w:rPr>
              <w:fldChar w:fldCharType="separate"/>
            </w:r>
            <w:r w:rsidR="00602948">
              <w:rPr>
                <w:noProof/>
                <w:webHidden/>
              </w:rPr>
              <w:t>20</w:t>
            </w:r>
            <w:r w:rsidR="00602948">
              <w:rPr>
                <w:noProof/>
                <w:webHidden/>
              </w:rPr>
              <w:fldChar w:fldCharType="end"/>
            </w:r>
          </w:hyperlink>
        </w:p>
        <w:p w14:paraId="4E99B5A4" w14:textId="584250BE"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42" w:history="1">
            <w:r w:rsidR="00602948" w:rsidRPr="00CE1AE2">
              <w:rPr>
                <w:rStyle w:val="Hypertextovodkaz"/>
                <w:noProof/>
              </w:rPr>
              <w:t>3.2</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Města</w:t>
            </w:r>
            <w:r w:rsidR="00602948">
              <w:rPr>
                <w:noProof/>
                <w:webHidden/>
              </w:rPr>
              <w:tab/>
            </w:r>
            <w:r w:rsidR="00602948">
              <w:rPr>
                <w:noProof/>
                <w:webHidden/>
              </w:rPr>
              <w:fldChar w:fldCharType="begin"/>
            </w:r>
            <w:r w:rsidR="00602948">
              <w:rPr>
                <w:noProof/>
                <w:webHidden/>
              </w:rPr>
              <w:instrText xml:space="preserve"> PAGEREF _Toc143013742 \h </w:instrText>
            </w:r>
            <w:r w:rsidR="00602948">
              <w:rPr>
                <w:noProof/>
                <w:webHidden/>
              </w:rPr>
            </w:r>
            <w:r w:rsidR="00602948">
              <w:rPr>
                <w:noProof/>
                <w:webHidden/>
              </w:rPr>
              <w:fldChar w:fldCharType="separate"/>
            </w:r>
            <w:r w:rsidR="00602948">
              <w:rPr>
                <w:noProof/>
                <w:webHidden/>
              </w:rPr>
              <w:t>20</w:t>
            </w:r>
            <w:r w:rsidR="00602948">
              <w:rPr>
                <w:noProof/>
                <w:webHidden/>
              </w:rPr>
              <w:fldChar w:fldCharType="end"/>
            </w:r>
          </w:hyperlink>
        </w:p>
        <w:p w14:paraId="79DA3C33" w14:textId="52AACAE3"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43" w:history="1">
            <w:r w:rsidR="00602948" w:rsidRPr="00CE1AE2">
              <w:rPr>
                <w:rStyle w:val="Hypertextovodkaz"/>
                <w:noProof/>
              </w:rPr>
              <w:t>3.3</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Datové zdroje</w:t>
            </w:r>
            <w:r w:rsidR="00602948">
              <w:rPr>
                <w:noProof/>
                <w:webHidden/>
              </w:rPr>
              <w:tab/>
            </w:r>
            <w:r w:rsidR="00602948">
              <w:rPr>
                <w:noProof/>
                <w:webHidden/>
              </w:rPr>
              <w:fldChar w:fldCharType="begin"/>
            </w:r>
            <w:r w:rsidR="00602948">
              <w:rPr>
                <w:noProof/>
                <w:webHidden/>
              </w:rPr>
              <w:instrText xml:space="preserve"> PAGEREF _Toc143013743 \h </w:instrText>
            </w:r>
            <w:r w:rsidR="00602948">
              <w:rPr>
                <w:noProof/>
                <w:webHidden/>
              </w:rPr>
            </w:r>
            <w:r w:rsidR="00602948">
              <w:rPr>
                <w:noProof/>
                <w:webHidden/>
              </w:rPr>
              <w:fldChar w:fldCharType="separate"/>
            </w:r>
            <w:r w:rsidR="00602948">
              <w:rPr>
                <w:noProof/>
                <w:webHidden/>
              </w:rPr>
              <w:t>21</w:t>
            </w:r>
            <w:r w:rsidR="00602948">
              <w:rPr>
                <w:noProof/>
                <w:webHidden/>
              </w:rPr>
              <w:fldChar w:fldCharType="end"/>
            </w:r>
          </w:hyperlink>
        </w:p>
        <w:p w14:paraId="444478BF" w14:textId="4CEA3AFC"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44" w:history="1">
            <w:r w:rsidR="00602948" w:rsidRPr="00CE1AE2">
              <w:rPr>
                <w:rStyle w:val="Hypertextovodkaz"/>
                <w:noProof/>
              </w:rPr>
              <w:t>3.3.1</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OpenStreetMap</w:t>
            </w:r>
            <w:r w:rsidR="00602948">
              <w:rPr>
                <w:noProof/>
                <w:webHidden/>
              </w:rPr>
              <w:tab/>
            </w:r>
            <w:r w:rsidR="00602948">
              <w:rPr>
                <w:noProof/>
                <w:webHidden/>
              </w:rPr>
              <w:fldChar w:fldCharType="begin"/>
            </w:r>
            <w:r w:rsidR="00602948">
              <w:rPr>
                <w:noProof/>
                <w:webHidden/>
              </w:rPr>
              <w:instrText xml:space="preserve"> PAGEREF _Toc143013744 \h </w:instrText>
            </w:r>
            <w:r w:rsidR="00602948">
              <w:rPr>
                <w:noProof/>
                <w:webHidden/>
              </w:rPr>
            </w:r>
            <w:r w:rsidR="00602948">
              <w:rPr>
                <w:noProof/>
                <w:webHidden/>
              </w:rPr>
              <w:fldChar w:fldCharType="separate"/>
            </w:r>
            <w:r w:rsidR="00602948">
              <w:rPr>
                <w:noProof/>
                <w:webHidden/>
              </w:rPr>
              <w:t>22</w:t>
            </w:r>
            <w:r w:rsidR="00602948">
              <w:rPr>
                <w:noProof/>
                <w:webHidden/>
              </w:rPr>
              <w:fldChar w:fldCharType="end"/>
            </w:r>
          </w:hyperlink>
        </w:p>
        <w:p w14:paraId="11D919EC" w14:textId="0F62815E"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45" w:history="1">
            <w:r w:rsidR="00602948" w:rsidRPr="00CE1AE2">
              <w:rPr>
                <w:rStyle w:val="Hypertextovodkaz"/>
                <w:noProof/>
              </w:rPr>
              <w:t>3.3.2</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Urban Atlas</w:t>
            </w:r>
            <w:r w:rsidR="00602948">
              <w:rPr>
                <w:noProof/>
                <w:webHidden/>
              </w:rPr>
              <w:tab/>
            </w:r>
            <w:r w:rsidR="00602948">
              <w:rPr>
                <w:noProof/>
                <w:webHidden/>
              </w:rPr>
              <w:fldChar w:fldCharType="begin"/>
            </w:r>
            <w:r w:rsidR="00602948">
              <w:rPr>
                <w:noProof/>
                <w:webHidden/>
              </w:rPr>
              <w:instrText xml:space="preserve"> PAGEREF _Toc143013745 \h </w:instrText>
            </w:r>
            <w:r w:rsidR="00602948">
              <w:rPr>
                <w:noProof/>
                <w:webHidden/>
              </w:rPr>
            </w:r>
            <w:r w:rsidR="00602948">
              <w:rPr>
                <w:noProof/>
                <w:webHidden/>
              </w:rPr>
              <w:fldChar w:fldCharType="separate"/>
            </w:r>
            <w:r w:rsidR="00602948">
              <w:rPr>
                <w:noProof/>
                <w:webHidden/>
              </w:rPr>
              <w:t>22</w:t>
            </w:r>
            <w:r w:rsidR="00602948">
              <w:rPr>
                <w:noProof/>
                <w:webHidden/>
              </w:rPr>
              <w:fldChar w:fldCharType="end"/>
            </w:r>
          </w:hyperlink>
        </w:p>
        <w:p w14:paraId="50C420BD" w14:textId="1928BF4A"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46" w:history="1">
            <w:r w:rsidR="00602948" w:rsidRPr="00CE1AE2">
              <w:rPr>
                <w:rStyle w:val="Hypertextovodkaz"/>
                <w:noProof/>
              </w:rPr>
              <w:t>3.3.3</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Ostatní datové zdroje</w:t>
            </w:r>
            <w:r w:rsidR="00602948">
              <w:rPr>
                <w:noProof/>
                <w:webHidden/>
              </w:rPr>
              <w:tab/>
            </w:r>
            <w:r w:rsidR="00602948">
              <w:rPr>
                <w:noProof/>
                <w:webHidden/>
              </w:rPr>
              <w:fldChar w:fldCharType="begin"/>
            </w:r>
            <w:r w:rsidR="00602948">
              <w:rPr>
                <w:noProof/>
                <w:webHidden/>
              </w:rPr>
              <w:instrText xml:space="preserve"> PAGEREF _Toc143013746 \h </w:instrText>
            </w:r>
            <w:r w:rsidR="00602948">
              <w:rPr>
                <w:noProof/>
                <w:webHidden/>
              </w:rPr>
            </w:r>
            <w:r w:rsidR="00602948">
              <w:rPr>
                <w:noProof/>
                <w:webHidden/>
              </w:rPr>
              <w:fldChar w:fldCharType="separate"/>
            </w:r>
            <w:r w:rsidR="00602948">
              <w:rPr>
                <w:noProof/>
                <w:webHidden/>
              </w:rPr>
              <w:t>22</w:t>
            </w:r>
            <w:r w:rsidR="00602948">
              <w:rPr>
                <w:noProof/>
                <w:webHidden/>
              </w:rPr>
              <w:fldChar w:fldCharType="end"/>
            </w:r>
          </w:hyperlink>
        </w:p>
        <w:p w14:paraId="0F28E0BC" w14:textId="262DD4DF"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47" w:history="1">
            <w:r w:rsidR="00602948" w:rsidRPr="00CE1AE2">
              <w:rPr>
                <w:rStyle w:val="Hypertextovodkaz"/>
                <w:noProof/>
              </w:rPr>
              <w:t>3.4</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Použitý software</w:t>
            </w:r>
            <w:r w:rsidR="00602948">
              <w:rPr>
                <w:noProof/>
                <w:webHidden/>
              </w:rPr>
              <w:tab/>
            </w:r>
            <w:r w:rsidR="00602948">
              <w:rPr>
                <w:noProof/>
                <w:webHidden/>
              </w:rPr>
              <w:fldChar w:fldCharType="begin"/>
            </w:r>
            <w:r w:rsidR="00602948">
              <w:rPr>
                <w:noProof/>
                <w:webHidden/>
              </w:rPr>
              <w:instrText xml:space="preserve"> PAGEREF _Toc143013747 \h </w:instrText>
            </w:r>
            <w:r w:rsidR="00602948">
              <w:rPr>
                <w:noProof/>
                <w:webHidden/>
              </w:rPr>
            </w:r>
            <w:r w:rsidR="00602948">
              <w:rPr>
                <w:noProof/>
                <w:webHidden/>
              </w:rPr>
              <w:fldChar w:fldCharType="separate"/>
            </w:r>
            <w:r w:rsidR="00602948">
              <w:rPr>
                <w:noProof/>
                <w:webHidden/>
              </w:rPr>
              <w:t>22</w:t>
            </w:r>
            <w:r w:rsidR="00602948">
              <w:rPr>
                <w:noProof/>
                <w:webHidden/>
              </w:rPr>
              <w:fldChar w:fldCharType="end"/>
            </w:r>
          </w:hyperlink>
        </w:p>
        <w:p w14:paraId="2E423941" w14:textId="161FF6BD"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48" w:history="1">
            <w:r w:rsidR="00602948" w:rsidRPr="00CE1AE2">
              <w:rPr>
                <w:rStyle w:val="Hypertextovodkaz"/>
                <w:noProof/>
              </w:rPr>
              <w:t>3.5</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Použité metody a nástroje</w:t>
            </w:r>
            <w:r w:rsidR="00602948">
              <w:rPr>
                <w:noProof/>
                <w:webHidden/>
              </w:rPr>
              <w:tab/>
            </w:r>
            <w:r w:rsidR="00602948">
              <w:rPr>
                <w:noProof/>
                <w:webHidden/>
              </w:rPr>
              <w:fldChar w:fldCharType="begin"/>
            </w:r>
            <w:r w:rsidR="00602948">
              <w:rPr>
                <w:noProof/>
                <w:webHidden/>
              </w:rPr>
              <w:instrText xml:space="preserve"> PAGEREF _Toc143013748 \h </w:instrText>
            </w:r>
            <w:r w:rsidR="00602948">
              <w:rPr>
                <w:noProof/>
                <w:webHidden/>
              </w:rPr>
            </w:r>
            <w:r w:rsidR="00602948">
              <w:rPr>
                <w:noProof/>
                <w:webHidden/>
              </w:rPr>
              <w:fldChar w:fldCharType="separate"/>
            </w:r>
            <w:r w:rsidR="00602948">
              <w:rPr>
                <w:noProof/>
                <w:webHidden/>
              </w:rPr>
              <w:t>23</w:t>
            </w:r>
            <w:r w:rsidR="00602948">
              <w:rPr>
                <w:noProof/>
                <w:webHidden/>
              </w:rPr>
              <w:fldChar w:fldCharType="end"/>
            </w:r>
          </w:hyperlink>
        </w:p>
        <w:p w14:paraId="3D9B4BDA" w14:textId="6658CDD2"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49" w:history="1">
            <w:r w:rsidR="00602948" w:rsidRPr="00CE1AE2">
              <w:rPr>
                <w:rStyle w:val="Hypertextovodkaz"/>
                <w:noProof/>
              </w:rPr>
              <w:t>3.6</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Souřadnicový systém</w:t>
            </w:r>
            <w:r w:rsidR="00602948">
              <w:rPr>
                <w:noProof/>
                <w:webHidden/>
              </w:rPr>
              <w:tab/>
            </w:r>
            <w:r w:rsidR="00602948">
              <w:rPr>
                <w:noProof/>
                <w:webHidden/>
              </w:rPr>
              <w:fldChar w:fldCharType="begin"/>
            </w:r>
            <w:r w:rsidR="00602948">
              <w:rPr>
                <w:noProof/>
                <w:webHidden/>
              </w:rPr>
              <w:instrText xml:space="preserve"> PAGEREF _Toc143013749 \h </w:instrText>
            </w:r>
            <w:r w:rsidR="00602948">
              <w:rPr>
                <w:noProof/>
                <w:webHidden/>
              </w:rPr>
            </w:r>
            <w:r w:rsidR="00602948">
              <w:rPr>
                <w:noProof/>
                <w:webHidden/>
              </w:rPr>
              <w:fldChar w:fldCharType="separate"/>
            </w:r>
            <w:r w:rsidR="00602948">
              <w:rPr>
                <w:noProof/>
                <w:webHidden/>
              </w:rPr>
              <w:t>24</w:t>
            </w:r>
            <w:r w:rsidR="00602948">
              <w:rPr>
                <w:noProof/>
                <w:webHidden/>
              </w:rPr>
              <w:fldChar w:fldCharType="end"/>
            </w:r>
          </w:hyperlink>
        </w:p>
        <w:p w14:paraId="09B9D0DA" w14:textId="1639062D" w:rsidR="00602948" w:rsidRDefault="00000000">
          <w:pPr>
            <w:pStyle w:val="Obsah1"/>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43013750" w:history="1">
            <w:r w:rsidR="00602948" w:rsidRPr="00CE1AE2">
              <w:rPr>
                <w:rStyle w:val="Hypertextovodkaz"/>
                <w:noProof/>
              </w:rPr>
              <w:t>4</w:t>
            </w:r>
            <w:r w:rsidR="00602948">
              <w:rPr>
                <w:rFonts w:asciiTheme="minorHAnsi" w:eastAsiaTheme="minorEastAsia" w:hAnsiTheme="minorHAnsi" w:cstheme="minorBidi"/>
                <w:b w:val="0"/>
                <w:bCs w:val="0"/>
                <w:caps w:val="0"/>
                <w:noProof/>
                <w:kern w:val="2"/>
                <w:sz w:val="22"/>
                <w:szCs w:val="22"/>
                <w:lang w:val="en-US" w:eastAsia="en-US"/>
                <w14:ligatures w14:val="standardContextual"/>
              </w:rPr>
              <w:tab/>
            </w:r>
            <w:r w:rsidR="00602948" w:rsidRPr="00CE1AE2">
              <w:rPr>
                <w:rStyle w:val="Hypertextovodkaz"/>
                <w:noProof/>
              </w:rPr>
              <w:t>Urbánní sítě</w:t>
            </w:r>
            <w:r w:rsidR="00602948">
              <w:rPr>
                <w:noProof/>
                <w:webHidden/>
              </w:rPr>
              <w:tab/>
            </w:r>
            <w:r w:rsidR="00602948">
              <w:rPr>
                <w:noProof/>
                <w:webHidden/>
              </w:rPr>
              <w:fldChar w:fldCharType="begin"/>
            </w:r>
            <w:r w:rsidR="00602948">
              <w:rPr>
                <w:noProof/>
                <w:webHidden/>
              </w:rPr>
              <w:instrText xml:space="preserve"> PAGEREF _Toc143013750 \h </w:instrText>
            </w:r>
            <w:r w:rsidR="00602948">
              <w:rPr>
                <w:noProof/>
                <w:webHidden/>
              </w:rPr>
            </w:r>
            <w:r w:rsidR="00602948">
              <w:rPr>
                <w:noProof/>
                <w:webHidden/>
              </w:rPr>
              <w:fldChar w:fldCharType="separate"/>
            </w:r>
            <w:r w:rsidR="00602948">
              <w:rPr>
                <w:noProof/>
                <w:webHidden/>
              </w:rPr>
              <w:t>24</w:t>
            </w:r>
            <w:r w:rsidR="00602948">
              <w:rPr>
                <w:noProof/>
                <w:webHidden/>
              </w:rPr>
              <w:fldChar w:fldCharType="end"/>
            </w:r>
          </w:hyperlink>
        </w:p>
        <w:p w14:paraId="388DE8D4" w14:textId="1F8291B4"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51" w:history="1">
            <w:r w:rsidR="00602948" w:rsidRPr="00CE1AE2">
              <w:rPr>
                <w:rStyle w:val="Hypertextovodkaz"/>
                <w:noProof/>
              </w:rPr>
              <w:t>4.1</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Vymezení hranic města</w:t>
            </w:r>
            <w:r w:rsidR="00602948">
              <w:rPr>
                <w:noProof/>
                <w:webHidden/>
              </w:rPr>
              <w:tab/>
            </w:r>
            <w:r w:rsidR="00602948">
              <w:rPr>
                <w:noProof/>
                <w:webHidden/>
              </w:rPr>
              <w:fldChar w:fldCharType="begin"/>
            </w:r>
            <w:r w:rsidR="00602948">
              <w:rPr>
                <w:noProof/>
                <w:webHidden/>
              </w:rPr>
              <w:instrText xml:space="preserve"> PAGEREF _Toc143013751 \h </w:instrText>
            </w:r>
            <w:r w:rsidR="00602948">
              <w:rPr>
                <w:noProof/>
                <w:webHidden/>
              </w:rPr>
            </w:r>
            <w:r w:rsidR="00602948">
              <w:rPr>
                <w:noProof/>
                <w:webHidden/>
              </w:rPr>
              <w:fldChar w:fldCharType="separate"/>
            </w:r>
            <w:r w:rsidR="00602948">
              <w:rPr>
                <w:noProof/>
                <w:webHidden/>
              </w:rPr>
              <w:t>24</w:t>
            </w:r>
            <w:r w:rsidR="00602948">
              <w:rPr>
                <w:noProof/>
                <w:webHidden/>
              </w:rPr>
              <w:fldChar w:fldCharType="end"/>
            </w:r>
          </w:hyperlink>
        </w:p>
        <w:p w14:paraId="3729D83F" w14:textId="1F31AAFD"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52" w:history="1">
            <w:r w:rsidR="00602948" w:rsidRPr="00CE1AE2">
              <w:rPr>
                <w:rStyle w:val="Hypertextovodkaz"/>
                <w:noProof/>
              </w:rPr>
              <w:t>4.2</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Městská hromadná doprava</w:t>
            </w:r>
            <w:r w:rsidR="00602948">
              <w:rPr>
                <w:noProof/>
                <w:webHidden/>
              </w:rPr>
              <w:tab/>
            </w:r>
            <w:r w:rsidR="00602948">
              <w:rPr>
                <w:noProof/>
                <w:webHidden/>
              </w:rPr>
              <w:fldChar w:fldCharType="begin"/>
            </w:r>
            <w:r w:rsidR="00602948">
              <w:rPr>
                <w:noProof/>
                <w:webHidden/>
              </w:rPr>
              <w:instrText xml:space="preserve"> PAGEREF _Toc143013752 \h </w:instrText>
            </w:r>
            <w:r w:rsidR="00602948">
              <w:rPr>
                <w:noProof/>
                <w:webHidden/>
              </w:rPr>
            </w:r>
            <w:r w:rsidR="00602948">
              <w:rPr>
                <w:noProof/>
                <w:webHidden/>
              </w:rPr>
              <w:fldChar w:fldCharType="separate"/>
            </w:r>
            <w:r w:rsidR="00602948">
              <w:rPr>
                <w:noProof/>
                <w:webHidden/>
              </w:rPr>
              <w:t>25</w:t>
            </w:r>
            <w:r w:rsidR="00602948">
              <w:rPr>
                <w:noProof/>
                <w:webHidden/>
              </w:rPr>
              <w:fldChar w:fldCharType="end"/>
            </w:r>
          </w:hyperlink>
        </w:p>
        <w:p w14:paraId="5B59AA73" w14:textId="70CDF711"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53" w:history="1">
            <w:r w:rsidR="00602948" w:rsidRPr="00CE1AE2">
              <w:rPr>
                <w:rStyle w:val="Hypertextovodkaz"/>
                <w:noProof/>
              </w:rPr>
              <w:t>4.2.1</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Typy hromadné dopravy</w:t>
            </w:r>
            <w:r w:rsidR="00602948">
              <w:rPr>
                <w:noProof/>
                <w:webHidden/>
              </w:rPr>
              <w:tab/>
            </w:r>
            <w:r w:rsidR="00602948">
              <w:rPr>
                <w:noProof/>
                <w:webHidden/>
              </w:rPr>
              <w:fldChar w:fldCharType="begin"/>
            </w:r>
            <w:r w:rsidR="00602948">
              <w:rPr>
                <w:noProof/>
                <w:webHidden/>
              </w:rPr>
              <w:instrText xml:space="preserve"> PAGEREF _Toc143013753 \h </w:instrText>
            </w:r>
            <w:r w:rsidR="00602948">
              <w:rPr>
                <w:noProof/>
                <w:webHidden/>
              </w:rPr>
            </w:r>
            <w:r w:rsidR="00602948">
              <w:rPr>
                <w:noProof/>
                <w:webHidden/>
              </w:rPr>
              <w:fldChar w:fldCharType="separate"/>
            </w:r>
            <w:r w:rsidR="00602948">
              <w:rPr>
                <w:noProof/>
                <w:webHidden/>
              </w:rPr>
              <w:t>25</w:t>
            </w:r>
            <w:r w:rsidR="00602948">
              <w:rPr>
                <w:noProof/>
                <w:webHidden/>
              </w:rPr>
              <w:fldChar w:fldCharType="end"/>
            </w:r>
          </w:hyperlink>
        </w:p>
        <w:p w14:paraId="19ECD525" w14:textId="7855608B"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54" w:history="1">
            <w:r w:rsidR="00602948" w:rsidRPr="00CE1AE2">
              <w:rPr>
                <w:rStyle w:val="Hypertextovodkaz"/>
                <w:noProof/>
              </w:rPr>
              <w:t>4.2.2</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Obslužné zóny</w:t>
            </w:r>
            <w:r w:rsidR="00602948">
              <w:rPr>
                <w:noProof/>
                <w:webHidden/>
              </w:rPr>
              <w:tab/>
            </w:r>
            <w:r w:rsidR="00602948">
              <w:rPr>
                <w:noProof/>
                <w:webHidden/>
              </w:rPr>
              <w:fldChar w:fldCharType="begin"/>
            </w:r>
            <w:r w:rsidR="00602948">
              <w:rPr>
                <w:noProof/>
                <w:webHidden/>
              </w:rPr>
              <w:instrText xml:space="preserve"> PAGEREF _Toc143013754 \h </w:instrText>
            </w:r>
            <w:r w:rsidR="00602948">
              <w:rPr>
                <w:noProof/>
                <w:webHidden/>
              </w:rPr>
            </w:r>
            <w:r w:rsidR="00602948">
              <w:rPr>
                <w:noProof/>
                <w:webHidden/>
              </w:rPr>
              <w:fldChar w:fldCharType="separate"/>
            </w:r>
            <w:r w:rsidR="00602948">
              <w:rPr>
                <w:noProof/>
                <w:webHidden/>
              </w:rPr>
              <w:t>26</w:t>
            </w:r>
            <w:r w:rsidR="00602948">
              <w:rPr>
                <w:noProof/>
                <w:webHidden/>
              </w:rPr>
              <w:fldChar w:fldCharType="end"/>
            </w:r>
          </w:hyperlink>
        </w:p>
        <w:p w14:paraId="2DB9BE57" w14:textId="591B2C35" w:rsidR="00602948" w:rsidRDefault="00000000">
          <w:pPr>
            <w:pStyle w:val="Obsah3"/>
            <w:rPr>
              <w:rFonts w:asciiTheme="minorHAnsi" w:eastAsiaTheme="minorEastAsia" w:hAnsiTheme="minorHAnsi" w:cstheme="minorBidi"/>
              <w:noProof/>
              <w:kern w:val="2"/>
              <w:sz w:val="22"/>
              <w:szCs w:val="22"/>
              <w:lang w:val="en-US" w:eastAsia="en-US"/>
              <w14:ligatures w14:val="standardContextual"/>
            </w:rPr>
          </w:pPr>
          <w:hyperlink w:anchor="_Toc143013755" w:history="1">
            <w:r w:rsidR="00602948" w:rsidRPr="00CE1AE2">
              <w:rPr>
                <w:rStyle w:val="Hypertextovodkaz"/>
                <w:noProof/>
              </w:rPr>
              <w:t>4.2.3</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Strukturní analýza</w:t>
            </w:r>
            <w:r w:rsidR="00602948">
              <w:rPr>
                <w:noProof/>
                <w:webHidden/>
              </w:rPr>
              <w:tab/>
            </w:r>
            <w:r w:rsidR="00602948">
              <w:rPr>
                <w:noProof/>
                <w:webHidden/>
              </w:rPr>
              <w:fldChar w:fldCharType="begin"/>
            </w:r>
            <w:r w:rsidR="00602948">
              <w:rPr>
                <w:noProof/>
                <w:webHidden/>
              </w:rPr>
              <w:instrText xml:space="preserve"> PAGEREF _Toc143013755 \h </w:instrText>
            </w:r>
            <w:r w:rsidR="00602948">
              <w:rPr>
                <w:noProof/>
                <w:webHidden/>
              </w:rPr>
            </w:r>
            <w:r w:rsidR="00602948">
              <w:rPr>
                <w:noProof/>
                <w:webHidden/>
              </w:rPr>
              <w:fldChar w:fldCharType="separate"/>
            </w:r>
            <w:r w:rsidR="00602948">
              <w:rPr>
                <w:noProof/>
                <w:webHidden/>
              </w:rPr>
              <w:t>27</w:t>
            </w:r>
            <w:r w:rsidR="00602948">
              <w:rPr>
                <w:noProof/>
                <w:webHidden/>
              </w:rPr>
              <w:fldChar w:fldCharType="end"/>
            </w:r>
          </w:hyperlink>
        </w:p>
        <w:p w14:paraId="49C7D789" w14:textId="1FFCC8BE"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56" w:history="1">
            <w:r w:rsidR="00602948" w:rsidRPr="00CE1AE2">
              <w:rPr>
                <w:rStyle w:val="Hypertextovodkaz"/>
                <w:noProof/>
              </w:rPr>
              <w:t>4.3</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Silniční síť</w:t>
            </w:r>
            <w:r w:rsidR="00602948">
              <w:rPr>
                <w:noProof/>
                <w:webHidden/>
              </w:rPr>
              <w:tab/>
            </w:r>
            <w:r w:rsidR="00602948">
              <w:rPr>
                <w:noProof/>
                <w:webHidden/>
              </w:rPr>
              <w:fldChar w:fldCharType="begin"/>
            </w:r>
            <w:r w:rsidR="00602948">
              <w:rPr>
                <w:noProof/>
                <w:webHidden/>
              </w:rPr>
              <w:instrText xml:space="preserve"> PAGEREF _Toc143013756 \h </w:instrText>
            </w:r>
            <w:r w:rsidR="00602948">
              <w:rPr>
                <w:noProof/>
                <w:webHidden/>
              </w:rPr>
            </w:r>
            <w:r w:rsidR="00602948">
              <w:rPr>
                <w:noProof/>
                <w:webHidden/>
              </w:rPr>
              <w:fldChar w:fldCharType="separate"/>
            </w:r>
            <w:r w:rsidR="00602948">
              <w:rPr>
                <w:noProof/>
                <w:webHidden/>
              </w:rPr>
              <w:t>28</w:t>
            </w:r>
            <w:r w:rsidR="00602948">
              <w:rPr>
                <w:noProof/>
                <w:webHidden/>
              </w:rPr>
              <w:fldChar w:fldCharType="end"/>
            </w:r>
          </w:hyperlink>
        </w:p>
        <w:p w14:paraId="12A48AFF" w14:textId="5E12F6D3" w:rsidR="00602948" w:rsidRDefault="00000000">
          <w:pPr>
            <w:pStyle w:val="Obsah1"/>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43013757" w:history="1">
            <w:r w:rsidR="00602948" w:rsidRPr="00CE1AE2">
              <w:rPr>
                <w:rStyle w:val="Hypertextovodkaz"/>
                <w:noProof/>
              </w:rPr>
              <w:t>5</w:t>
            </w:r>
            <w:r w:rsidR="00602948">
              <w:rPr>
                <w:rFonts w:asciiTheme="minorHAnsi" w:eastAsiaTheme="minorEastAsia" w:hAnsiTheme="minorHAnsi" w:cstheme="minorBidi"/>
                <w:b w:val="0"/>
                <w:bCs w:val="0"/>
                <w:caps w:val="0"/>
                <w:noProof/>
                <w:kern w:val="2"/>
                <w:sz w:val="22"/>
                <w:szCs w:val="22"/>
                <w:lang w:val="en-US" w:eastAsia="en-US"/>
                <w14:ligatures w14:val="standardContextual"/>
              </w:rPr>
              <w:tab/>
            </w:r>
            <w:r w:rsidR="00602948" w:rsidRPr="00CE1AE2">
              <w:rPr>
                <w:rStyle w:val="Hypertextovodkaz"/>
                <w:noProof/>
              </w:rPr>
              <w:t>Ekonomická aktivita</w:t>
            </w:r>
            <w:r w:rsidR="00602948">
              <w:rPr>
                <w:noProof/>
                <w:webHidden/>
              </w:rPr>
              <w:tab/>
            </w:r>
            <w:r w:rsidR="00602948">
              <w:rPr>
                <w:noProof/>
                <w:webHidden/>
              </w:rPr>
              <w:fldChar w:fldCharType="begin"/>
            </w:r>
            <w:r w:rsidR="00602948">
              <w:rPr>
                <w:noProof/>
                <w:webHidden/>
              </w:rPr>
              <w:instrText xml:space="preserve"> PAGEREF _Toc143013757 \h </w:instrText>
            </w:r>
            <w:r w:rsidR="00602948">
              <w:rPr>
                <w:noProof/>
                <w:webHidden/>
              </w:rPr>
            </w:r>
            <w:r w:rsidR="00602948">
              <w:rPr>
                <w:noProof/>
                <w:webHidden/>
              </w:rPr>
              <w:fldChar w:fldCharType="separate"/>
            </w:r>
            <w:r w:rsidR="00602948">
              <w:rPr>
                <w:noProof/>
                <w:webHidden/>
              </w:rPr>
              <w:t>35</w:t>
            </w:r>
            <w:r w:rsidR="00602948">
              <w:rPr>
                <w:noProof/>
                <w:webHidden/>
              </w:rPr>
              <w:fldChar w:fldCharType="end"/>
            </w:r>
          </w:hyperlink>
        </w:p>
        <w:p w14:paraId="4D752583" w14:textId="5256FE09"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58" w:history="1">
            <w:r w:rsidR="00602948" w:rsidRPr="00CE1AE2">
              <w:rPr>
                <w:rStyle w:val="Hypertextovodkaz"/>
                <w:noProof/>
              </w:rPr>
              <w:t>5.1</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Urban Atlas</w:t>
            </w:r>
            <w:r w:rsidR="00602948">
              <w:rPr>
                <w:noProof/>
                <w:webHidden/>
              </w:rPr>
              <w:tab/>
            </w:r>
            <w:r w:rsidR="00602948">
              <w:rPr>
                <w:noProof/>
                <w:webHidden/>
              </w:rPr>
              <w:fldChar w:fldCharType="begin"/>
            </w:r>
            <w:r w:rsidR="00602948">
              <w:rPr>
                <w:noProof/>
                <w:webHidden/>
              </w:rPr>
              <w:instrText xml:space="preserve"> PAGEREF _Toc143013758 \h </w:instrText>
            </w:r>
            <w:r w:rsidR="00602948">
              <w:rPr>
                <w:noProof/>
                <w:webHidden/>
              </w:rPr>
            </w:r>
            <w:r w:rsidR="00602948">
              <w:rPr>
                <w:noProof/>
                <w:webHidden/>
              </w:rPr>
              <w:fldChar w:fldCharType="separate"/>
            </w:r>
            <w:r w:rsidR="00602948">
              <w:rPr>
                <w:noProof/>
                <w:webHidden/>
              </w:rPr>
              <w:t>35</w:t>
            </w:r>
            <w:r w:rsidR="00602948">
              <w:rPr>
                <w:noProof/>
                <w:webHidden/>
              </w:rPr>
              <w:fldChar w:fldCharType="end"/>
            </w:r>
          </w:hyperlink>
        </w:p>
        <w:p w14:paraId="222CFA5E" w14:textId="6E404FF4"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59" w:history="1">
            <w:r w:rsidR="00602948" w:rsidRPr="00CE1AE2">
              <w:rPr>
                <w:rStyle w:val="Hypertextovodkaz"/>
                <w:noProof/>
              </w:rPr>
              <w:t>5.2</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Retail z OpenStreetMap</w:t>
            </w:r>
            <w:r w:rsidR="00602948">
              <w:rPr>
                <w:noProof/>
                <w:webHidden/>
              </w:rPr>
              <w:tab/>
            </w:r>
            <w:r w:rsidR="00602948">
              <w:rPr>
                <w:noProof/>
                <w:webHidden/>
              </w:rPr>
              <w:fldChar w:fldCharType="begin"/>
            </w:r>
            <w:r w:rsidR="00602948">
              <w:rPr>
                <w:noProof/>
                <w:webHidden/>
              </w:rPr>
              <w:instrText xml:space="preserve"> PAGEREF _Toc143013759 \h </w:instrText>
            </w:r>
            <w:r w:rsidR="00602948">
              <w:rPr>
                <w:noProof/>
                <w:webHidden/>
              </w:rPr>
            </w:r>
            <w:r w:rsidR="00602948">
              <w:rPr>
                <w:noProof/>
                <w:webHidden/>
              </w:rPr>
              <w:fldChar w:fldCharType="separate"/>
            </w:r>
            <w:r w:rsidR="00602948">
              <w:rPr>
                <w:noProof/>
                <w:webHidden/>
              </w:rPr>
              <w:t>36</w:t>
            </w:r>
            <w:r w:rsidR="00602948">
              <w:rPr>
                <w:noProof/>
                <w:webHidden/>
              </w:rPr>
              <w:fldChar w:fldCharType="end"/>
            </w:r>
          </w:hyperlink>
        </w:p>
        <w:p w14:paraId="328DB194" w14:textId="0BB40D84"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60" w:history="1">
            <w:r w:rsidR="00602948" w:rsidRPr="00CE1AE2">
              <w:rPr>
                <w:rStyle w:val="Hypertextovodkaz"/>
                <w:noProof/>
              </w:rPr>
              <w:t>5.3</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Hexagony</w:t>
            </w:r>
            <w:r w:rsidR="00602948">
              <w:rPr>
                <w:noProof/>
                <w:webHidden/>
              </w:rPr>
              <w:tab/>
            </w:r>
            <w:r w:rsidR="00602948">
              <w:rPr>
                <w:noProof/>
                <w:webHidden/>
              </w:rPr>
              <w:fldChar w:fldCharType="begin"/>
            </w:r>
            <w:r w:rsidR="00602948">
              <w:rPr>
                <w:noProof/>
                <w:webHidden/>
              </w:rPr>
              <w:instrText xml:space="preserve"> PAGEREF _Toc143013760 \h </w:instrText>
            </w:r>
            <w:r w:rsidR="00602948">
              <w:rPr>
                <w:noProof/>
                <w:webHidden/>
              </w:rPr>
            </w:r>
            <w:r w:rsidR="00602948">
              <w:rPr>
                <w:noProof/>
                <w:webHidden/>
              </w:rPr>
              <w:fldChar w:fldCharType="separate"/>
            </w:r>
            <w:r w:rsidR="00602948">
              <w:rPr>
                <w:noProof/>
                <w:webHidden/>
              </w:rPr>
              <w:t>38</w:t>
            </w:r>
            <w:r w:rsidR="00602948">
              <w:rPr>
                <w:noProof/>
                <w:webHidden/>
              </w:rPr>
              <w:fldChar w:fldCharType="end"/>
            </w:r>
          </w:hyperlink>
        </w:p>
        <w:p w14:paraId="00E254E9" w14:textId="1024A525" w:rsidR="00602948" w:rsidRDefault="00000000">
          <w:pPr>
            <w:pStyle w:val="Obsah1"/>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43013761" w:history="1">
            <w:r w:rsidR="00602948" w:rsidRPr="00CE1AE2">
              <w:rPr>
                <w:rStyle w:val="Hypertextovodkaz"/>
                <w:noProof/>
              </w:rPr>
              <w:t>6</w:t>
            </w:r>
            <w:r w:rsidR="00602948">
              <w:rPr>
                <w:rFonts w:asciiTheme="minorHAnsi" w:eastAsiaTheme="minorEastAsia" w:hAnsiTheme="minorHAnsi" w:cstheme="minorBidi"/>
                <w:b w:val="0"/>
                <w:bCs w:val="0"/>
                <w:caps w:val="0"/>
                <w:noProof/>
                <w:kern w:val="2"/>
                <w:sz w:val="22"/>
                <w:szCs w:val="22"/>
                <w:lang w:val="en-US" w:eastAsia="en-US"/>
                <w14:ligatures w14:val="standardContextual"/>
              </w:rPr>
              <w:tab/>
            </w:r>
            <w:r w:rsidR="00602948" w:rsidRPr="00CE1AE2">
              <w:rPr>
                <w:rStyle w:val="Hypertextovodkaz"/>
                <w:noProof/>
              </w:rPr>
              <w:t>Výsledky</w:t>
            </w:r>
            <w:r w:rsidR="00602948">
              <w:rPr>
                <w:noProof/>
                <w:webHidden/>
              </w:rPr>
              <w:tab/>
            </w:r>
            <w:r w:rsidR="00602948">
              <w:rPr>
                <w:noProof/>
                <w:webHidden/>
              </w:rPr>
              <w:fldChar w:fldCharType="begin"/>
            </w:r>
            <w:r w:rsidR="00602948">
              <w:rPr>
                <w:noProof/>
                <w:webHidden/>
              </w:rPr>
              <w:instrText xml:space="preserve"> PAGEREF _Toc143013761 \h </w:instrText>
            </w:r>
            <w:r w:rsidR="00602948">
              <w:rPr>
                <w:noProof/>
                <w:webHidden/>
              </w:rPr>
            </w:r>
            <w:r w:rsidR="00602948">
              <w:rPr>
                <w:noProof/>
                <w:webHidden/>
              </w:rPr>
              <w:fldChar w:fldCharType="separate"/>
            </w:r>
            <w:r w:rsidR="00602948">
              <w:rPr>
                <w:noProof/>
                <w:webHidden/>
              </w:rPr>
              <w:t>39</w:t>
            </w:r>
            <w:r w:rsidR="00602948">
              <w:rPr>
                <w:noProof/>
                <w:webHidden/>
              </w:rPr>
              <w:fldChar w:fldCharType="end"/>
            </w:r>
          </w:hyperlink>
        </w:p>
        <w:p w14:paraId="05E00F78" w14:textId="5F48B5DE"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62" w:history="1">
            <w:r w:rsidR="00602948" w:rsidRPr="00CE1AE2">
              <w:rPr>
                <w:rStyle w:val="Hypertextovodkaz"/>
                <w:noProof/>
              </w:rPr>
              <w:t>6.1</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Města s radiálním tvarem urbánních sítí</w:t>
            </w:r>
            <w:r w:rsidR="00602948">
              <w:rPr>
                <w:noProof/>
                <w:webHidden/>
              </w:rPr>
              <w:tab/>
            </w:r>
            <w:r w:rsidR="00602948">
              <w:rPr>
                <w:noProof/>
                <w:webHidden/>
              </w:rPr>
              <w:fldChar w:fldCharType="begin"/>
            </w:r>
            <w:r w:rsidR="00602948">
              <w:rPr>
                <w:noProof/>
                <w:webHidden/>
              </w:rPr>
              <w:instrText xml:space="preserve"> PAGEREF _Toc143013762 \h </w:instrText>
            </w:r>
            <w:r w:rsidR="00602948">
              <w:rPr>
                <w:noProof/>
                <w:webHidden/>
              </w:rPr>
            </w:r>
            <w:r w:rsidR="00602948">
              <w:rPr>
                <w:noProof/>
                <w:webHidden/>
              </w:rPr>
              <w:fldChar w:fldCharType="separate"/>
            </w:r>
            <w:r w:rsidR="00602948">
              <w:rPr>
                <w:noProof/>
                <w:webHidden/>
              </w:rPr>
              <w:t>39</w:t>
            </w:r>
            <w:r w:rsidR="00602948">
              <w:rPr>
                <w:noProof/>
                <w:webHidden/>
              </w:rPr>
              <w:fldChar w:fldCharType="end"/>
            </w:r>
          </w:hyperlink>
        </w:p>
        <w:p w14:paraId="7FBE1122" w14:textId="3C722E66"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63" w:history="1">
            <w:r w:rsidR="00602948" w:rsidRPr="00CE1AE2">
              <w:rPr>
                <w:rStyle w:val="Hypertextovodkaz"/>
                <w:noProof/>
              </w:rPr>
              <w:t>6.2</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Města s podlouhlým tvarem</w:t>
            </w:r>
            <w:r w:rsidR="00602948">
              <w:rPr>
                <w:noProof/>
                <w:webHidden/>
              </w:rPr>
              <w:tab/>
            </w:r>
            <w:r w:rsidR="00602948">
              <w:rPr>
                <w:noProof/>
                <w:webHidden/>
              </w:rPr>
              <w:fldChar w:fldCharType="begin"/>
            </w:r>
            <w:r w:rsidR="00602948">
              <w:rPr>
                <w:noProof/>
                <w:webHidden/>
              </w:rPr>
              <w:instrText xml:space="preserve"> PAGEREF _Toc143013763 \h </w:instrText>
            </w:r>
            <w:r w:rsidR="00602948">
              <w:rPr>
                <w:noProof/>
                <w:webHidden/>
              </w:rPr>
            </w:r>
            <w:r w:rsidR="00602948">
              <w:rPr>
                <w:noProof/>
                <w:webHidden/>
              </w:rPr>
              <w:fldChar w:fldCharType="separate"/>
            </w:r>
            <w:r w:rsidR="00602948">
              <w:rPr>
                <w:noProof/>
                <w:webHidden/>
              </w:rPr>
              <w:t>43</w:t>
            </w:r>
            <w:r w:rsidR="00602948">
              <w:rPr>
                <w:noProof/>
                <w:webHidden/>
              </w:rPr>
              <w:fldChar w:fldCharType="end"/>
            </w:r>
          </w:hyperlink>
        </w:p>
        <w:p w14:paraId="39A446F0" w14:textId="42496182" w:rsidR="00602948" w:rsidRDefault="00000000">
          <w:pPr>
            <w:pStyle w:val="Obsah2"/>
            <w:rPr>
              <w:rFonts w:asciiTheme="minorHAnsi" w:eastAsiaTheme="minorEastAsia" w:hAnsiTheme="minorHAnsi" w:cstheme="minorBidi"/>
              <w:noProof/>
              <w:kern w:val="2"/>
              <w:sz w:val="22"/>
              <w:szCs w:val="22"/>
              <w:lang w:val="en-US" w:eastAsia="en-US"/>
              <w14:ligatures w14:val="standardContextual"/>
            </w:rPr>
          </w:pPr>
          <w:hyperlink w:anchor="_Toc143013764" w:history="1">
            <w:r w:rsidR="00602948" w:rsidRPr="00CE1AE2">
              <w:rPr>
                <w:rStyle w:val="Hypertextovodkaz"/>
                <w:noProof/>
              </w:rPr>
              <w:t>6.3</w:t>
            </w:r>
            <w:r w:rsidR="00602948">
              <w:rPr>
                <w:rFonts w:asciiTheme="minorHAnsi" w:eastAsiaTheme="minorEastAsia" w:hAnsiTheme="minorHAnsi" w:cstheme="minorBidi"/>
                <w:noProof/>
                <w:kern w:val="2"/>
                <w:sz w:val="22"/>
                <w:szCs w:val="22"/>
                <w:lang w:val="en-US" w:eastAsia="en-US"/>
                <w14:ligatures w14:val="standardContextual"/>
              </w:rPr>
              <w:tab/>
            </w:r>
            <w:r w:rsidR="00602948" w:rsidRPr="00CE1AE2">
              <w:rPr>
                <w:rStyle w:val="Hypertextovodkaz"/>
                <w:noProof/>
              </w:rPr>
              <w:t>Ostatní města</w:t>
            </w:r>
            <w:r w:rsidR="00602948">
              <w:rPr>
                <w:noProof/>
                <w:webHidden/>
              </w:rPr>
              <w:tab/>
            </w:r>
            <w:r w:rsidR="00602948">
              <w:rPr>
                <w:noProof/>
                <w:webHidden/>
              </w:rPr>
              <w:fldChar w:fldCharType="begin"/>
            </w:r>
            <w:r w:rsidR="00602948">
              <w:rPr>
                <w:noProof/>
                <w:webHidden/>
              </w:rPr>
              <w:instrText xml:space="preserve"> PAGEREF _Toc143013764 \h </w:instrText>
            </w:r>
            <w:r w:rsidR="00602948">
              <w:rPr>
                <w:noProof/>
                <w:webHidden/>
              </w:rPr>
            </w:r>
            <w:r w:rsidR="00602948">
              <w:rPr>
                <w:noProof/>
                <w:webHidden/>
              </w:rPr>
              <w:fldChar w:fldCharType="separate"/>
            </w:r>
            <w:r w:rsidR="00602948">
              <w:rPr>
                <w:noProof/>
                <w:webHidden/>
              </w:rPr>
              <w:t>44</w:t>
            </w:r>
            <w:r w:rsidR="00602948">
              <w:rPr>
                <w:noProof/>
                <w:webHidden/>
              </w:rPr>
              <w:fldChar w:fldCharType="end"/>
            </w:r>
          </w:hyperlink>
        </w:p>
        <w:p w14:paraId="6E4229E5" w14:textId="5C5B3B4E" w:rsidR="00602948" w:rsidRDefault="00000000">
          <w:pPr>
            <w:pStyle w:val="Obsah1"/>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43013765" w:history="1">
            <w:r w:rsidR="00602948" w:rsidRPr="00CE1AE2">
              <w:rPr>
                <w:rStyle w:val="Hypertextovodkaz"/>
                <w:noProof/>
              </w:rPr>
              <w:t>7</w:t>
            </w:r>
            <w:r w:rsidR="00602948">
              <w:rPr>
                <w:rFonts w:asciiTheme="minorHAnsi" w:eastAsiaTheme="minorEastAsia" w:hAnsiTheme="minorHAnsi" w:cstheme="minorBidi"/>
                <w:b w:val="0"/>
                <w:bCs w:val="0"/>
                <w:caps w:val="0"/>
                <w:noProof/>
                <w:kern w:val="2"/>
                <w:sz w:val="22"/>
                <w:szCs w:val="22"/>
                <w:lang w:val="en-US" w:eastAsia="en-US"/>
                <w14:ligatures w14:val="standardContextual"/>
              </w:rPr>
              <w:tab/>
            </w:r>
            <w:r w:rsidR="00602948" w:rsidRPr="00CE1AE2">
              <w:rPr>
                <w:rStyle w:val="Hypertextovodkaz"/>
                <w:noProof/>
              </w:rPr>
              <w:t>Diskuze</w:t>
            </w:r>
            <w:r w:rsidR="00602948">
              <w:rPr>
                <w:noProof/>
                <w:webHidden/>
              </w:rPr>
              <w:tab/>
            </w:r>
            <w:r w:rsidR="00602948">
              <w:rPr>
                <w:noProof/>
                <w:webHidden/>
              </w:rPr>
              <w:fldChar w:fldCharType="begin"/>
            </w:r>
            <w:r w:rsidR="00602948">
              <w:rPr>
                <w:noProof/>
                <w:webHidden/>
              </w:rPr>
              <w:instrText xml:space="preserve"> PAGEREF _Toc143013765 \h </w:instrText>
            </w:r>
            <w:r w:rsidR="00602948">
              <w:rPr>
                <w:noProof/>
                <w:webHidden/>
              </w:rPr>
            </w:r>
            <w:r w:rsidR="00602948">
              <w:rPr>
                <w:noProof/>
                <w:webHidden/>
              </w:rPr>
              <w:fldChar w:fldCharType="separate"/>
            </w:r>
            <w:r w:rsidR="00602948">
              <w:rPr>
                <w:noProof/>
                <w:webHidden/>
              </w:rPr>
              <w:t>48</w:t>
            </w:r>
            <w:r w:rsidR="00602948">
              <w:rPr>
                <w:noProof/>
                <w:webHidden/>
              </w:rPr>
              <w:fldChar w:fldCharType="end"/>
            </w:r>
          </w:hyperlink>
        </w:p>
        <w:p w14:paraId="7B4E25AE" w14:textId="379ADFA5" w:rsidR="00602948" w:rsidRDefault="00000000">
          <w:pPr>
            <w:pStyle w:val="Obsah1"/>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43013766" w:history="1">
            <w:r w:rsidR="00602948" w:rsidRPr="00CE1AE2">
              <w:rPr>
                <w:rStyle w:val="Hypertextovodkaz"/>
                <w:noProof/>
              </w:rPr>
              <w:t>8</w:t>
            </w:r>
            <w:r w:rsidR="00602948">
              <w:rPr>
                <w:rFonts w:asciiTheme="minorHAnsi" w:eastAsiaTheme="minorEastAsia" w:hAnsiTheme="minorHAnsi" w:cstheme="minorBidi"/>
                <w:b w:val="0"/>
                <w:bCs w:val="0"/>
                <w:caps w:val="0"/>
                <w:noProof/>
                <w:kern w:val="2"/>
                <w:sz w:val="22"/>
                <w:szCs w:val="22"/>
                <w:lang w:val="en-US" w:eastAsia="en-US"/>
                <w14:ligatures w14:val="standardContextual"/>
              </w:rPr>
              <w:tab/>
            </w:r>
            <w:r w:rsidR="00602948" w:rsidRPr="00CE1AE2">
              <w:rPr>
                <w:rStyle w:val="Hypertextovodkaz"/>
                <w:noProof/>
              </w:rPr>
              <w:t>ZÁVĚR</w:t>
            </w:r>
            <w:r w:rsidR="00602948">
              <w:rPr>
                <w:noProof/>
                <w:webHidden/>
              </w:rPr>
              <w:tab/>
            </w:r>
            <w:r w:rsidR="00602948">
              <w:rPr>
                <w:noProof/>
                <w:webHidden/>
              </w:rPr>
              <w:fldChar w:fldCharType="begin"/>
            </w:r>
            <w:r w:rsidR="00602948">
              <w:rPr>
                <w:noProof/>
                <w:webHidden/>
              </w:rPr>
              <w:instrText xml:space="preserve"> PAGEREF _Toc143013766 \h </w:instrText>
            </w:r>
            <w:r w:rsidR="00602948">
              <w:rPr>
                <w:noProof/>
                <w:webHidden/>
              </w:rPr>
            </w:r>
            <w:r w:rsidR="00602948">
              <w:rPr>
                <w:noProof/>
                <w:webHidden/>
              </w:rPr>
              <w:fldChar w:fldCharType="separate"/>
            </w:r>
            <w:r w:rsidR="00602948">
              <w:rPr>
                <w:noProof/>
                <w:webHidden/>
              </w:rPr>
              <w:t>50</w:t>
            </w:r>
            <w:r w:rsidR="00602948">
              <w:rPr>
                <w:noProof/>
                <w:webHidden/>
              </w:rPr>
              <w:fldChar w:fldCharType="end"/>
            </w:r>
          </w:hyperlink>
        </w:p>
        <w:p w14:paraId="3029DAE0" w14:textId="00088F35" w:rsidR="009D71CC" w:rsidRDefault="00CB7CE8">
          <w:pPr>
            <w:pStyle w:val="Obsah1"/>
            <w:tabs>
              <w:tab w:val="clear" w:pos="340"/>
              <w:tab w:val="clear" w:pos="8647"/>
              <w:tab w:val="right" w:leader="dot" w:pos="8787"/>
            </w:tabs>
          </w:pPr>
          <w:r>
            <w:rPr>
              <w:rStyle w:val="IndexLink"/>
            </w:rPr>
            <w:fldChar w:fldCharType="end"/>
          </w:r>
        </w:p>
      </w:sdtContent>
    </w:sdt>
    <w:p w14:paraId="50BE7FC4" w14:textId="77777777" w:rsidR="009D71CC" w:rsidRDefault="009D71CC">
      <w:pPr>
        <w:pStyle w:val="Obsah1"/>
        <w:rPr>
          <w:rFonts w:asciiTheme="minorHAnsi" w:eastAsiaTheme="minorEastAsia" w:hAnsiTheme="minorHAnsi" w:cstheme="minorBidi"/>
          <w:b w:val="0"/>
          <w:bCs w:val="0"/>
          <w:caps w:val="0"/>
          <w:sz w:val="22"/>
          <w:szCs w:val="22"/>
          <w:lang w:val="en-US" w:eastAsia="en-US"/>
        </w:rPr>
      </w:pPr>
    </w:p>
    <w:p w14:paraId="37386B7A" w14:textId="77777777" w:rsidR="009D71CC" w:rsidRDefault="009D71CC">
      <w:pPr>
        <w:pStyle w:val="Obsah1"/>
        <w:rPr>
          <w:rFonts w:asciiTheme="minorHAnsi" w:eastAsiaTheme="minorEastAsia" w:hAnsiTheme="minorHAnsi" w:cstheme="minorBidi"/>
          <w:b w:val="0"/>
          <w:bCs w:val="0"/>
          <w:caps w:val="0"/>
          <w:sz w:val="22"/>
          <w:szCs w:val="22"/>
          <w:lang w:val="en-US" w:eastAsia="en-US"/>
        </w:rPr>
      </w:pPr>
    </w:p>
    <w:p w14:paraId="0A800908" w14:textId="77777777" w:rsidR="009D71CC" w:rsidRDefault="009D71CC">
      <w:pPr>
        <w:pStyle w:val="Obsah1"/>
        <w:rPr>
          <w:rFonts w:asciiTheme="minorHAnsi" w:eastAsiaTheme="minorEastAsia" w:hAnsiTheme="minorHAnsi" w:cstheme="minorBidi"/>
          <w:b w:val="0"/>
          <w:bCs w:val="0"/>
          <w:caps w:val="0"/>
          <w:sz w:val="22"/>
          <w:szCs w:val="22"/>
          <w:lang w:val="en-US" w:eastAsia="en-US"/>
        </w:rPr>
      </w:pPr>
    </w:p>
    <w:p w14:paraId="6CE725FC" w14:textId="77777777" w:rsidR="009D71CC" w:rsidRDefault="00CB7CE8">
      <w:pPr>
        <w:pStyle w:val="NormlnOdstavec"/>
        <w:rPr>
          <w:b/>
          <w:bCs/>
        </w:rPr>
      </w:pPr>
      <w:r>
        <w:rPr>
          <w:rStyle w:val="NormalniVsechnaVelka"/>
          <w:b/>
          <w:bCs/>
        </w:rPr>
        <w:t>Použitá literatura a informační zdroje</w:t>
      </w:r>
    </w:p>
    <w:p w14:paraId="7AA92995" w14:textId="77777777" w:rsidR="009D71CC" w:rsidRDefault="00CB7CE8">
      <w:pPr>
        <w:pStyle w:val="NormlnOdstavec"/>
        <w:rPr>
          <w:rStyle w:val="NormalniVsechnaVelka"/>
          <w:b/>
          <w:bCs/>
        </w:rPr>
      </w:pPr>
      <w:r>
        <w:rPr>
          <w:rStyle w:val="NormalniVsechnaVelka"/>
          <w:b/>
          <w:bCs/>
        </w:rPr>
        <w:t>Přílohy</w:t>
      </w:r>
      <w:r>
        <w:br w:type="page"/>
      </w:r>
    </w:p>
    <w:p w14:paraId="46AD2ED7" w14:textId="77777777" w:rsidR="009D71CC" w:rsidRDefault="00CB7CE8">
      <w:pPr>
        <w:pStyle w:val="ObsahUvodSeznamy"/>
      </w:pPr>
      <w:r>
        <w:lastRenderedPageBreak/>
        <w:t>Seznam použitých zkratek</w:t>
      </w:r>
    </w:p>
    <w:p w14:paraId="7CEAD5BA" w14:textId="77777777" w:rsidR="009D71CC" w:rsidRDefault="009D71CC">
      <w:pPr>
        <w:pStyle w:val="NormlnOdstavec"/>
      </w:pPr>
    </w:p>
    <w:tbl>
      <w:tblPr>
        <w:tblW w:w="8640" w:type="dxa"/>
        <w:tblInd w:w="216" w:type="dxa"/>
        <w:tblLayout w:type="fixed"/>
        <w:tblLook w:val="0000" w:firstRow="0" w:lastRow="0" w:firstColumn="0" w:lastColumn="0" w:noHBand="0" w:noVBand="0"/>
      </w:tblPr>
      <w:tblGrid>
        <w:gridCol w:w="2064"/>
        <w:gridCol w:w="6576"/>
      </w:tblGrid>
      <w:tr w:rsidR="009D71CC" w14:paraId="364D9861" w14:textId="77777777">
        <w:tc>
          <w:tcPr>
            <w:tcW w:w="2064" w:type="dxa"/>
            <w:vAlign w:val="center"/>
          </w:tcPr>
          <w:p w14:paraId="581648CA" w14:textId="77777777" w:rsidR="009D71CC" w:rsidRDefault="00CB7CE8">
            <w:pPr>
              <w:pStyle w:val="TabulkaZahlavi"/>
              <w:widowControl w:val="0"/>
              <w:ind w:firstLine="0"/>
              <w:jc w:val="both"/>
            </w:pPr>
            <w:r>
              <w:t>Zkratka</w:t>
            </w:r>
          </w:p>
        </w:tc>
        <w:tc>
          <w:tcPr>
            <w:tcW w:w="6575" w:type="dxa"/>
            <w:vAlign w:val="center"/>
          </w:tcPr>
          <w:p w14:paraId="69F34FE9" w14:textId="77777777" w:rsidR="009D71CC" w:rsidRDefault="00CB7CE8">
            <w:pPr>
              <w:pStyle w:val="TabulkaZahlavi"/>
              <w:widowControl w:val="0"/>
              <w:ind w:firstLine="0"/>
              <w:jc w:val="both"/>
            </w:pPr>
            <w:r>
              <w:t>Význam</w:t>
            </w:r>
          </w:p>
        </w:tc>
      </w:tr>
      <w:tr w:rsidR="009D71CC" w14:paraId="5E1AFA09" w14:textId="77777777">
        <w:tc>
          <w:tcPr>
            <w:tcW w:w="2064" w:type="dxa"/>
            <w:vAlign w:val="center"/>
          </w:tcPr>
          <w:p w14:paraId="59DB88F2" w14:textId="77777777" w:rsidR="009D71CC" w:rsidRDefault="00CB7CE8">
            <w:pPr>
              <w:pStyle w:val="TabulkaObsah"/>
              <w:widowControl w:val="0"/>
              <w:snapToGrid w:val="0"/>
              <w:textAlignment w:val="baseline"/>
            </w:pPr>
            <w:r>
              <w:t>MHD</w:t>
            </w:r>
          </w:p>
        </w:tc>
        <w:tc>
          <w:tcPr>
            <w:tcW w:w="6575" w:type="dxa"/>
            <w:vAlign w:val="center"/>
          </w:tcPr>
          <w:p w14:paraId="56217F3C" w14:textId="77777777" w:rsidR="009D71CC" w:rsidRDefault="00CB7CE8">
            <w:pPr>
              <w:pStyle w:val="TabulkaObsah"/>
              <w:widowControl w:val="0"/>
              <w:snapToGrid w:val="0"/>
              <w:textAlignment w:val="baseline"/>
              <w:rPr>
                <w:lang w:val="en-US"/>
              </w:rPr>
            </w:pPr>
            <w:r>
              <w:rPr>
                <w:lang w:val="en-US"/>
              </w:rPr>
              <w:t>Městská hromadná doprava</w:t>
            </w:r>
          </w:p>
        </w:tc>
      </w:tr>
      <w:tr w:rsidR="009D71CC" w14:paraId="5E79F729" w14:textId="77777777">
        <w:tc>
          <w:tcPr>
            <w:tcW w:w="2064" w:type="dxa"/>
            <w:vAlign w:val="center"/>
          </w:tcPr>
          <w:p w14:paraId="22D70593" w14:textId="77777777" w:rsidR="008A4915" w:rsidRDefault="00CB7CE8">
            <w:pPr>
              <w:pStyle w:val="TabulkaObsah"/>
              <w:widowControl w:val="0"/>
              <w:snapToGrid w:val="0"/>
              <w:textAlignment w:val="baseline"/>
            </w:pPr>
            <w:r>
              <w:t>OSMnx</w:t>
            </w:r>
          </w:p>
          <w:p w14:paraId="7E71B235" w14:textId="77777777" w:rsidR="008A4915" w:rsidRDefault="008A4915">
            <w:pPr>
              <w:pStyle w:val="TabulkaObsah"/>
              <w:widowControl w:val="0"/>
              <w:snapToGrid w:val="0"/>
              <w:textAlignment w:val="baseline"/>
            </w:pPr>
            <w:r>
              <w:t>OSM</w:t>
            </w:r>
          </w:p>
          <w:p w14:paraId="4BF711EC" w14:textId="10CEC94E" w:rsidR="00084C4D" w:rsidRDefault="00084C4D">
            <w:pPr>
              <w:pStyle w:val="TabulkaObsah"/>
              <w:widowControl w:val="0"/>
              <w:snapToGrid w:val="0"/>
              <w:textAlignment w:val="baseline"/>
            </w:pPr>
            <w:r>
              <w:t xml:space="preserve">UTM </w:t>
            </w:r>
          </w:p>
        </w:tc>
        <w:tc>
          <w:tcPr>
            <w:tcW w:w="6575" w:type="dxa"/>
            <w:vAlign w:val="center"/>
          </w:tcPr>
          <w:p w14:paraId="301DE048" w14:textId="77777777" w:rsidR="008A4915" w:rsidRDefault="00CB7CE8">
            <w:pPr>
              <w:pStyle w:val="TabulkaObsah"/>
              <w:widowControl w:val="0"/>
              <w:snapToGrid w:val="0"/>
              <w:textAlignment w:val="baseline"/>
              <w:rPr>
                <w:lang w:val="en-US"/>
              </w:rPr>
            </w:pPr>
            <w:r>
              <w:rPr>
                <w:lang w:val="en-US"/>
              </w:rPr>
              <w:t>Python knihovna</w:t>
            </w:r>
          </w:p>
          <w:p w14:paraId="246EA830" w14:textId="77777777" w:rsidR="00084C4D" w:rsidRDefault="008A4915">
            <w:pPr>
              <w:pStyle w:val="TabulkaObsah"/>
              <w:widowControl w:val="0"/>
              <w:snapToGrid w:val="0"/>
              <w:textAlignment w:val="baseline"/>
              <w:rPr>
                <w:lang w:val="en-US"/>
              </w:rPr>
            </w:pPr>
            <w:r>
              <w:rPr>
                <w:lang w:val="en-US"/>
              </w:rPr>
              <w:t>OpenStreetMap</w:t>
            </w:r>
          </w:p>
          <w:p w14:paraId="495C28F8" w14:textId="77777777" w:rsidR="00084C4D" w:rsidRDefault="00084C4D">
            <w:pPr>
              <w:pStyle w:val="TabulkaObsah"/>
              <w:widowControl w:val="0"/>
              <w:snapToGrid w:val="0"/>
              <w:textAlignment w:val="baseline"/>
              <w:rPr>
                <w:lang w:val="en-US"/>
              </w:rPr>
            </w:pPr>
            <w:r>
              <w:rPr>
                <w:lang w:val="en-US"/>
              </w:rPr>
              <w:t>Universal Transverse Mercator</w:t>
            </w:r>
          </w:p>
          <w:p w14:paraId="60775EBA" w14:textId="177C490D" w:rsidR="00084C4D" w:rsidRDefault="00084C4D">
            <w:pPr>
              <w:pStyle w:val="TabulkaObsah"/>
              <w:widowControl w:val="0"/>
              <w:snapToGrid w:val="0"/>
              <w:textAlignment w:val="baseline"/>
              <w:rPr>
                <w:lang w:val="en-US"/>
              </w:rPr>
            </w:pPr>
          </w:p>
        </w:tc>
      </w:tr>
    </w:tbl>
    <w:p w14:paraId="080BC7D3" w14:textId="77777777" w:rsidR="009D71CC" w:rsidRDefault="00CB7CE8">
      <w:pPr>
        <w:pStyle w:val="ObsahUvodSeznamy"/>
      </w:pPr>
      <w:r>
        <w:br w:type="page"/>
      </w:r>
      <w:r>
        <w:lastRenderedPageBreak/>
        <w:t>Úvod</w:t>
      </w:r>
    </w:p>
    <w:p w14:paraId="46FD9AA8" w14:textId="77777777" w:rsidR="009D71CC" w:rsidRDefault="00CB7CE8">
      <w:pPr>
        <w:pStyle w:val="NormlnOdstavec"/>
        <w:ind w:firstLine="0"/>
      </w:pPr>
      <w:r>
        <w:t>Urbánní sítě v posledních letech zaznamenávají více a více pozornosti v geografii a plánování. Geografové a urbanisté studovali urbánní sítě z různých pohledů, avšak byli většinou limitováni technologicky a datově (Burger, de Goei, van der Laan, &amp; Huisman, 2011). Pokrok v oblasti GIS (geografických informačních systémů) výrazně zlepšil kvalitu a dostupnost prostorových dat v mnoha městech a regionech, což umožňuje provádět kvalitnější analýzy (Cheng 2011, a kol.).</w:t>
      </w:r>
    </w:p>
    <w:p w14:paraId="0A22F0EE" w14:textId="77777777" w:rsidR="009D71CC" w:rsidRDefault="00CB7CE8">
      <w:pPr>
        <w:pStyle w:val="NormlnOdstavec"/>
      </w:pPr>
      <w:r>
        <w:t>Ulice, cesty a dopravní linky, označované jako „prostorové sítě“ ("spatial networks"), organizují dynamiku člověka v složitých městských systémech. Tyto sítě utvářejí cestovní chování, rozhodování o umístění a strukturu městského prostředí (Jacobs 1995; Levinson a El Geneidy 2009; Parthasarathi et al. 2015). Vědci proto v poslední době věnují velkou pozornost vzorům, složitosti, výkonnosti a konfiguraci uličních sítí (Barthelemy et al. 2013; Batty 2005a; Boeing 2018a; Buhl et al. 2006; Chan et al. 2011; Ducruet a Beauguitte 2014; Jiang et al. 2014; Jiang a Claramunt 2004; Marshall 2004; Masucci et al. 2013; Nilsson a Gil 2019; Tsiotas a Polyzos 2018; Wang 2015).</w:t>
      </w:r>
    </w:p>
    <w:p w14:paraId="7981A264" w14:textId="77777777" w:rsidR="009D71CC" w:rsidRDefault="00CB7CE8">
      <w:pPr>
        <w:pStyle w:val="NormlnOdstavec"/>
      </w:pPr>
      <w:r>
        <w:t>Měření síťových vzorů, tvarů a orientace pomáhá výzkumným pracovníkům, architektům a zainteresovaným osobám porozumět místní historii městského designu, dopravního plánování a morfologie, vyhodnotit stávající tvary dopravního systému a prozkoumat nové možnosti, testovat a hledat alternativy městské infrastruktury (Boeing, 2009). Taktéž přispívá k rozvoji vědy o městech tím, že umožňuje lépe porozumět městským vzorům a jakou roli hrají v rámci většího celku.</w:t>
      </w:r>
      <w:r>
        <w:br w:type="page"/>
      </w:r>
    </w:p>
    <w:p w14:paraId="7D3FBE8D" w14:textId="77777777" w:rsidR="009D71CC" w:rsidRDefault="00CB7CE8">
      <w:pPr>
        <w:pStyle w:val="Nadpis1"/>
      </w:pPr>
      <w:bookmarkStart w:id="1" w:name="_Toc133611802"/>
      <w:bookmarkStart w:id="2" w:name="_Toc277157872"/>
      <w:bookmarkStart w:id="3" w:name="_Toc133957918"/>
      <w:bookmarkStart w:id="4" w:name="_Toc126159403"/>
      <w:bookmarkStart w:id="5" w:name="_Toc143013730"/>
      <w:r>
        <w:lastRenderedPageBreak/>
        <w:t>Cíle práce</w:t>
      </w:r>
      <w:bookmarkEnd w:id="1"/>
      <w:bookmarkEnd w:id="2"/>
      <w:bookmarkEnd w:id="3"/>
      <w:bookmarkEnd w:id="4"/>
      <w:bookmarkEnd w:id="5"/>
    </w:p>
    <w:p w14:paraId="117E1A8A" w14:textId="77777777" w:rsidR="009D71CC" w:rsidRDefault="00CB7CE8">
      <w:pPr>
        <w:pStyle w:val="NormlnOdstavec"/>
        <w:ind w:firstLine="0"/>
      </w:pPr>
      <w:r>
        <w:t>Cílem diplomové práce je zhodnotit roli urbánních sítí ve struktuře a vývoji města. V průběhu práce jsou zhodnoceny kvantitativní i kvalitativní charakteristiky vybraných urbánních sítí (například hierarchie, obecná morfologie, nodalita, komplexnost, polycentricita). Charakteristiky bylo zkoumány pomocí několika geocomputation metod.</w:t>
      </w:r>
    </w:p>
    <w:p w14:paraId="2DCCE897" w14:textId="77777777" w:rsidR="009D71CC" w:rsidRDefault="00CB7CE8">
      <w:pPr>
        <w:pStyle w:val="NormlnOdstavec"/>
      </w:pPr>
      <w:r>
        <w:t>Následně byly tyto poznatky aplikované v souvislosti s ekonomickou aktivitou ve městech a jeho částech. Z tohoto důvodu byla vybrána sada měst se zastoupením historických (starých) struktur sítí i pravidelných geometrických struktur.</w:t>
      </w:r>
    </w:p>
    <w:p w14:paraId="2903B522" w14:textId="77777777" w:rsidR="009D71CC" w:rsidRDefault="00CB7CE8">
      <w:pPr>
        <w:pStyle w:val="NormlnOdstavec"/>
      </w:pPr>
      <w:r>
        <w:t>Vedlejšími cíli je vytvoření posteru ve formátu A2 a webových stránek. K diplomové práci jsou i dostupné Python scripty.</w:t>
      </w:r>
      <w:r>
        <w:br w:type="page"/>
      </w:r>
    </w:p>
    <w:p w14:paraId="0E48AFBF" w14:textId="77777777" w:rsidR="009D71CC" w:rsidRDefault="00CB7CE8">
      <w:pPr>
        <w:pStyle w:val="Nadpis1"/>
      </w:pPr>
      <w:bookmarkStart w:id="6" w:name="_Toc133957919"/>
      <w:bookmarkStart w:id="7" w:name="_Toc126159404"/>
      <w:bookmarkStart w:id="8" w:name="_Toc133611803"/>
      <w:bookmarkStart w:id="9" w:name="_Toc277157877"/>
      <w:bookmarkStart w:id="10" w:name="_Toc143013731"/>
      <w:r>
        <w:lastRenderedPageBreak/>
        <w:t>Současný stav řešené problematiky</w:t>
      </w:r>
      <w:bookmarkEnd w:id="6"/>
      <w:bookmarkEnd w:id="7"/>
      <w:bookmarkEnd w:id="8"/>
      <w:bookmarkEnd w:id="9"/>
      <w:bookmarkEnd w:id="10"/>
    </w:p>
    <w:p w14:paraId="158AF66D" w14:textId="77777777" w:rsidR="009D71CC" w:rsidRDefault="00CB7CE8">
      <w:pPr>
        <w:pStyle w:val="NormlnOdstavec"/>
        <w:ind w:firstLine="0"/>
      </w:pPr>
      <w:r>
        <w:t>Sítě mohou popisovat mnoho komplexních systémů, v nichž jsou jednotlivé složky reprezentovány vrcholy a spojení mezi složkami jsou reprezentována hranami mezi odpovídajícími vrcholy. Za specifický typ komplexních sítí můžeme považovat urbánní sítě.</w:t>
      </w:r>
    </w:p>
    <w:p w14:paraId="0F1C6461" w14:textId="77777777" w:rsidR="009D71CC" w:rsidRDefault="00CB7CE8">
      <w:pPr>
        <w:pStyle w:val="NormlnOdstavec"/>
      </w:pPr>
      <w:r>
        <w:t>Podle Scotta (2001) označují urbánní sítě (městské sítě) vzájemně propojené vztahy mezi městy a jejich okolními regiony, jakož i instituce a aktéry zapojené do rozvoje a řízení těchto vztahů. Tyto sítě mohou mít různé formy, například ekonomické, kulturní, sociální nebo politické, a zahrnují jak formální, tak neformální vazby mezi městskými centry. Jak poznamenává Zachary (2021), mohou však zahrnovat také citové vztahy (např. přátelství), biologické vztahy (např. příbuzenství) a další. Již vymezení vztahu, který má síť zachycovat, do značné míry určuje, o jaký typ sítě se jedná.</w:t>
      </w:r>
    </w:p>
    <w:p w14:paraId="4F439A3B" w14:textId="7E361211" w:rsidR="009D71CC" w:rsidRDefault="00CB7CE8">
      <w:pPr>
        <w:pStyle w:val="NormlnOdstavec"/>
      </w:pPr>
      <w:r>
        <w:t>Nejběžnějším přístupem k převodu reálné uliční sítě na abstraktní matematickou strukturu (komplexní síť nebo graf) je reprezentace křižovatek jako uzlů a ulic jako hran spojujících tyto uzly (</w:t>
      </w:r>
      <w:r w:rsidR="000B2875">
        <w:fldChar w:fldCharType="begin"/>
      </w:r>
      <w:r w:rsidR="000B2875">
        <w:instrText xml:space="preserve"> REF _Ref142913099 \h </w:instrText>
      </w:r>
      <w:r w:rsidR="000B2875">
        <w:fldChar w:fldCharType="separate"/>
      </w:r>
      <w:r w:rsidR="000B2875">
        <w:t>Obr. 1</w:t>
      </w:r>
      <w:r w:rsidR="000B2875">
        <w:fldChar w:fldCharType="end"/>
      </w:r>
      <w:r>
        <w:t>) (Cheng 2011, a kol.). Jedná se o</w:t>
      </w:r>
      <w:r w:rsidR="000B2875">
        <w:t> </w:t>
      </w:r>
      <w:r>
        <w:t>nejznámější přístup vycházející z metriky geografických sítí a je to přirozený způsob reprezentace sítě v geografických informačních systémech (GIS).</w:t>
      </w:r>
    </w:p>
    <w:p w14:paraId="6F809DBA" w14:textId="77777777" w:rsidR="009D71CC" w:rsidRDefault="00CB7CE8">
      <w:pPr>
        <w:pStyle w:val="NormlnOdstavec"/>
        <w:keepNext/>
        <w:jc w:val="center"/>
      </w:pPr>
      <w:r>
        <w:rPr>
          <w:noProof/>
        </w:rPr>
        <w:drawing>
          <wp:inline distT="0" distB="0" distL="0" distR="0" wp14:anchorId="24794789" wp14:editId="5BBA245D">
            <wp:extent cx="4736465" cy="3629025"/>
            <wp:effectExtent l="0" t="0" r="0" b="0"/>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5"/>
                    <pic:cNvPicPr>
                      <a:picLocks noChangeAspect="1" noChangeArrowheads="1"/>
                    </pic:cNvPicPr>
                  </pic:nvPicPr>
                  <pic:blipFill>
                    <a:blip r:embed="rId13"/>
                    <a:stretch>
                      <a:fillRect/>
                    </a:stretch>
                  </pic:blipFill>
                  <pic:spPr bwMode="auto">
                    <a:xfrm>
                      <a:off x="0" y="0"/>
                      <a:ext cx="4736465" cy="3629025"/>
                    </a:xfrm>
                    <a:prstGeom prst="rect">
                      <a:avLst/>
                    </a:prstGeom>
                  </pic:spPr>
                </pic:pic>
              </a:graphicData>
            </a:graphic>
          </wp:inline>
        </w:drawing>
      </w:r>
    </w:p>
    <w:p w14:paraId="342FCFAC" w14:textId="50DFB56F" w:rsidR="009D71CC" w:rsidRDefault="00CB7CE8">
      <w:pPr>
        <w:pStyle w:val="Obrazek"/>
      </w:pPr>
      <w:bookmarkStart w:id="11" w:name="_Ref142913099"/>
      <w:r>
        <w:t xml:space="preserve">Obr. </w:t>
      </w:r>
      <w:fldSimple w:instr=" SEQ Obr. \* ARABIC ">
        <w:r w:rsidR="00865999">
          <w:rPr>
            <w:noProof/>
          </w:rPr>
          <w:t>1</w:t>
        </w:r>
      </w:fldSimple>
      <w:bookmarkEnd w:id="11"/>
      <w:r>
        <w:t xml:space="preserve"> Silniční síť jako uzly a hrany</w:t>
      </w:r>
      <w:r>
        <w:br/>
        <w:t>Zdroj: https://www.researchgate.net/publication/326709150_Framework_for_improving_the_resilience_and_recovery_of_transportation_networks_under_geohazard_risks</w:t>
      </w:r>
    </w:p>
    <w:p w14:paraId="670835C7" w14:textId="5E363701" w:rsidR="00BE50DB" w:rsidRDefault="00CB7CE8" w:rsidP="00E82725">
      <w:pPr>
        <w:tabs>
          <w:tab w:val="left" w:pos="358"/>
        </w:tabs>
      </w:pPr>
      <w:r>
        <w:tab/>
        <w:t>Urbánní sítě lze morfologicky popsat jako hlavní uzly nebo koncentrace aktivit a fyzické nebo funkční propojení mezi nimi v geografické oblasti. Kromě tohoto morfologického popisu mohou být místa v oblasti také charakterizována množstvím a rozmanitostí aktivit, ke kterým se lze dostat prostřednictvím dopravní sítě (Cheng 2011,</w:t>
      </w:r>
      <w:r w:rsidR="00590A11">
        <w:t> </w:t>
      </w:r>
      <w:r>
        <w:t>a kol.)</w:t>
      </w:r>
      <w:r w:rsidR="00E82725">
        <w:t>.</w:t>
      </w:r>
    </w:p>
    <w:p w14:paraId="69E1ECF6" w14:textId="77777777" w:rsidR="009D71CC" w:rsidRDefault="00CB7CE8">
      <w:pPr>
        <w:pStyle w:val="Nadpis2"/>
        <w:tabs>
          <w:tab w:val="clear" w:pos="360"/>
          <w:tab w:val="left" w:pos="358"/>
        </w:tabs>
      </w:pPr>
      <w:bookmarkStart w:id="12" w:name="_Toc133611804"/>
      <w:bookmarkStart w:id="13" w:name="_Toc133957920"/>
      <w:bookmarkStart w:id="14" w:name="_Toc143013732"/>
      <w:r>
        <w:lastRenderedPageBreak/>
        <w:t>Urbánní sítě v historii</w:t>
      </w:r>
      <w:bookmarkEnd w:id="12"/>
      <w:bookmarkEnd w:id="13"/>
      <w:bookmarkEnd w:id="14"/>
    </w:p>
    <w:p w14:paraId="1B4C838B" w14:textId="4515CDB4" w:rsidR="009D71CC" w:rsidRDefault="00CB7CE8">
      <w:pPr>
        <w:tabs>
          <w:tab w:val="left" w:pos="358"/>
        </w:tabs>
      </w:pPr>
      <w:r>
        <w:tab/>
        <w:t>Z historické perspektivy lze pohlížet na urbánní sítě jako na zvláštní formu organizace, jež překračuje politické hranice díky své kulturní a ekonomické povaze. Mezi nejcitovanější příklady patří italské městské státy (9. až 15. století), Hanzovní liga (14.</w:t>
      </w:r>
      <w:r w:rsidR="00590A11">
        <w:t> </w:t>
      </w:r>
      <w:r>
        <w:t>až 17. století) v severní Evropě a asijská přístavní města spojená s čínskou diasporou a dalšími vektory výměny (Gipouloux, 2014).</w:t>
      </w:r>
    </w:p>
    <w:p w14:paraId="615F2DBB" w14:textId="77777777" w:rsidR="009D71CC" w:rsidRDefault="00CB7CE8">
      <w:pPr>
        <w:tabs>
          <w:tab w:val="left" w:pos="358"/>
        </w:tabs>
      </w:pPr>
      <w:r>
        <w:tab/>
        <w:t>V posledních 30 letech se zvyšuje počet studií zaměřených na městské sítě založené na perspektivě podnikových sítí (Rozenblat, 2010; Sheng, 2020). V tomto systému existují velmi složité interakce mezi materiálem, energií a informacemi, které tvoří různé "prostory toků" (</w:t>
      </w:r>
      <w:r>
        <w:rPr>
          <w:i/>
          <w:iCs/>
        </w:rPr>
        <w:t>space of flows</w:t>
      </w:r>
      <w:r>
        <w:t>). V "prostoru toků" (</w:t>
      </w:r>
      <w:r>
        <w:rPr>
          <w:i/>
          <w:iCs/>
        </w:rPr>
        <w:t>space of flows</w:t>
      </w:r>
      <w:r>
        <w:t>) jsou dokončovány různé kritické lidské aktivity v "prostorovém nosiči" prostřednictvím "aktérských nosičů" v podobě různých faktorových toků (Castells, 2007).</w:t>
      </w:r>
    </w:p>
    <w:p w14:paraId="1B6A4EA7" w14:textId="77777777" w:rsidR="009D71CC" w:rsidRDefault="00CB7CE8">
      <w:pPr>
        <w:pStyle w:val="Nadpis2"/>
        <w:tabs>
          <w:tab w:val="clear" w:pos="360"/>
          <w:tab w:val="left" w:pos="358"/>
        </w:tabs>
      </w:pPr>
      <w:bookmarkStart w:id="15" w:name="_Toc133957921"/>
      <w:bookmarkStart w:id="16" w:name="_Toc133611805"/>
      <w:bookmarkStart w:id="17" w:name="_Toc143013733"/>
      <w:r>
        <w:t>Města jako urbánní sítě</w:t>
      </w:r>
      <w:bookmarkEnd w:id="15"/>
      <w:bookmarkEnd w:id="16"/>
      <w:bookmarkEnd w:id="17"/>
    </w:p>
    <w:p w14:paraId="58582FD6" w14:textId="77777777" w:rsidR="009D71CC" w:rsidRDefault="00CB7CE8">
      <w:pPr>
        <w:tabs>
          <w:tab w:val="left" w:pos="358"/>
        </w:tabs>
      </w:pPr>
      <w:r>
        <w:t>Tématu utbánních sítí se v geografických studiích a plánovací praxi věnuje stále více pozornosti. Debata o rozvoji měst se přesunula od města k městskému regionu jako primární jednotce analýzy (Burger, de Goei, van der Laan, &amp; Huisman, 2011).</w:t>
      </w:r>
    </w:p>
    <w:p w14:paraId="4A301668" w14:textId="312C03F3" w:rsidR="009D71CC" w:rsidRDefault="00CB7CE8">
      <w:pPr>
        <w:tabs>
          <w:tab w:val="left" w:pos="358"/>
        </w:tabs>
      </w:pPr>
      <w:r>
        <w:tab/>
        <w:t>Očekává se, že proces koncentrace obyvatelstva a činností v městských oblastech –</w:t>
      </w:r>
      <w:r w:rsidR="00654B7B">
        <w:t> </w:t>
      </w:r>
      <w:r>
        <w:t>a tím i sociální a ekonomické toky – bude nadále růst (Fontana, 2017). Město představuje složitý a samo organizující se systém, jehož jednotlivé podsystémy vzájemně interagují a vytvářejí tak vyšší úroveň městského systému, konkrétně město v rámci urbanistického systému (Berry, 1964; Li, 2012). V rámci tohoto systému se odehrávají značně komplexní interakce mezi materiálem, energií a informacemi, jež vytvářejí různé prostory toků. V těchto prostorech pak dochází k realizaci kritických lidských aktivit, a to v rámci "prostorového nosiče" prostřednictvím "aktérských nosičů" ve formě faktorových toků (Castells, 2007).</w:t>
      </w:r>
    </w:p>
    <w:p w14:paraId="31D882AD" w14:textId="2144FF63" w:rsidR="009D71CC" w:rsidRDefault="00CB7CE8">
      <w:pPr>
        <w:tabs>
          <w:tab w:val="left" w:pos="358"/>
        </w:tabs>
      </w:pPr>
      <w:r>
        <w:tab/>
        <w:t>Města pak představují nejdůležitější "prostorové nosiče" pro různé sociální a ekonomické aktivity. V městském regionu funguje těsné rozdělení práce a spolupráce, které skrze průmyslový řetězec vyúsťuje v kooperativní a doplňkový vztah, jenž tvoří propojenou výrobní a městskou síť (Ren</w:t>
      </w:r>
      <w:r w:rsidR="00AE4985">
        <w:t xml:space="preserve"> a kol</w:t>
      </w:r>
      <w:r>
        <w:t>., 2009).</w:t>
      </w:r>
    </w:p>
    <w:p w14:paraId="5A19FA17" w14:textId="77777777" w:rsidR="009D71CC" w:rsidRDefault="00CB7CE8">
      <w:pPr>
        <w:pStyle w:val="Nadpis2"/>
      </w:pPr>
      <w:bookmarkStart w:id="18" w:name="_Toc133611806"/>
      <w:bookmarkStart w:id="19" w:name="_Toc133957922"/>
      <w:bookmarkStart w:id="20" w:name="_Toc143013734"/>
      <w:r>
        <w:t>Typy městských sítí</w:t>
      </w:r>
      <w:bookmarkEnd w:id="18"/>
      <w:bookmarkEnd w:id="19"/>
      <w:bookmarkEnd w:id="20"/>
    </w:p>
    <w:p w14:paraId="319C3CFE" w14:textId="77777777" w:rsidR="009D71CC" w:rsidRDefault="00CB7CE8">
      <w:r>
        <w:t xml:space="preserve">Koncept sítě má dvojí hlavní význam: první (fyzický) se týká infrastrukturních systémů, jako jsou dálniční a železniční sítě a kanalizační sítě; druhý (funkční) se vztahuje k prostorové interakci mezi městskými oblastmi, ekonomickými aktivitami a lidmi (Camagni, 1993). Dalším přístupem je dělení podle prostorového měřítka, podle kterého lze městské sítě rozdělit na: </w:t>
      </w:r>
    </w:p>
    <w:p w14:paraId="51DCA0AF" w14:textId="77777777" w:rsidR="009D71CC" w:rsidRDefault="00CB7CE8">
      <w:pPr>
        <w:numPr>
          <w:ilvl w:val="0"/>
          <w:numId w:val="14"/>
        </w:numPr>
      </w:pPr>
      <w:r>
        <w:t>vnitroměstské – jedná se o urbánní sítě, které existují v rámci města nebo metropolitní oblasti a jsou zaměřeny především na lokální ekonomické, sociální a kulturní vazby. Místní městské sítě mohou být soustředěny kolem konkrétních čtvrtí, průmyslových odvětví nebo komunit ve městě a mohou hrát klíčovou roli při podpoře místní odolnosti a rozvoje komunit. (Amin a Thrift, 2002; Castells, 1983).</w:t>
      </w:r>
    </w:p>
    <w:p w14:paraId="180D2D32" w14:textId="77777777" w:rsidR="009D71CC" w:rsidRDefault="00CB7CE8">
      <w:pPr>
        <w:numPr>
          <w:ilvl w:val="0"/>
          <w:numId w:val="14"/>
        </w:numPr>
      </w:pPr>
      <w:r>
        <w:t xml:space="preserve">meziměstské – rozprostírají se napříč více městy nebo metropolitními oblastmi v rámci určitého regionu a často jsou poháněny vzájemnou ekonomickou závislostí a obchodními toky mezi městskými centry. Regionální městské sítě mohou být soustředěny kolem konkrétních průmyslových odvětví nebo hospodářských </w:t>
      </w:r>
      <w:r>
        <w:lastRenderedPageBreak/>
        <w:t>uskupení a mohou hrát významnou roli při utváření regionálního hospodářského rozvoje a konkurenceschopnosti. (Cooke a Morgan, 1998; Malecki, 2018)</w:t>
      </w:r>
    </w:p>
    <w:p w14:paraId="4C8BA5EA" w14:textId="77777777" w:rsidR="009D71CC" w:rsidRDefault="00CB7CE8">
      <w:pPr>
        <w:numPr>
          <w:ilvl w:val="0"/>
          <w:numId w:val="14"/>
        </w:numPr>
      </w:pPr>
      <w:r>
        <w:t>meziregionální (globální) – rozprostírají se na území více zemí nebo kontinentů a jsou poháněny globálními ekonomickými, politickými a kulturními vazbami. Meziregionální městské sítě mohou být soustředěny kolem globálních finančních center nebo jiných velkých měst, která slouží jako centra globálního obchodu a inovací a mohou hrát významnou roli při utváření globálních ekonomických a politických trendů. (Sassen, 1991; Taylor, 2004)</w:t>
      </w:r>
    </w:p>
    <w:p w14:paraId="2468D82D" w14:textId="77777777" w:rsidR="009D71CC" w:rsidRDefault="00CB7CE8">
      <w:r>
        <w:t>Koncept sítě se využívá zejména v územním plánování a dopravním plánování, avšak s různými perspektivami a oddělenými procesy.</w:t>
      </w:r>
    </w:p>
    <w:p w14:paraId="653A0BD7" w14:textId="77777777" w:rsidR="009D71CC" w:rsidRDefault="00CB7CE8">
      <w:pPr>
        <w:tabs>
          <w:tab w:val="left" w:pos="364"/>
        </w:tabs>
      </w:pPr>
      <w:r>
        <w:tab/>
        <w:t>Různé funkce urbánních sítí jsou vnímány a prezentovány různými jazyky a používají se různé nástroje. V územním plánování používají přímou vzdálenost k měření prostorové interakce a hustotu k měření sociální a ekonomické koncentrace, zatímco v plánování dopravy raději využívají cestovní čas a prvky dopravních sítí pro stejné účely. Skuteční uživatelé vnímají městské sítě jako rozptýlená místa aktivit a spojení mezi nimi. Tyhle pohledy můžeme rozdělit třech kategorií (Cheng, Bertolini, Clercq, Kapoen, 2013):</w:t>
      </w:r>
    </w:p>
    <w:p w14:paraId="7EE51A9B" w14:textId="77777777" w:rsidR="009D71CC" w:rsidRDefault="00CB7CE8">
      <w:pPr>
        <w:numPr>
          <w:ilvl w:val="0"/>
          <w:numId w:val="15"/>
        </w:numPr>
        <w:tabs>
          <w:tab w:val="clear" w:pos="720"/>
          <w:tab w:val="left" w:pos="364"/>
        </w:tabs>
      </w:pPr>
      <w:r>
        <w:t>Dopravní uzly – Obvykle se veřejnost zaměřuje na hlavní dopravní uzly, jako jsou železniční stanice, stanice metra nebo dálniční výpadovky, a fyzické sítě, které je propojují. Sociální a ekonomické aktivity v okolí těchto uzlů tvoří prostorový vzorec, který popisuje fyzickou městskou síť.</w:t>
      </w:r>
    </w:p>
    <w:p w14:paraId="363AB4E7" w14:textId="77777777" w:rsidR="009D71CC" w:rsidRDefault="00CB7CE8">
      <w:pPr>
        <w:numPr>
          <w:ilvl w:val="0"/>
          <w:numId w:val="15"/>
        </w:numPr>
        <w:tabs>
          <w:tab w:val="clear" w:pos="720"/>
          <w:tab w:val="left" w:pos="364"/>
        </w:tabs>
      </w:pPr>
      <w:r>
        <w:t>Hustota ekonomické aktivity</w:t>
      </w:r>
      <w:r>
        <w:tab/>
        <w:t xml:space="preserve"> - tento pohled je reprezentován jako oblasti s vysokou hustotou pracovních příležitostí, obyvatel nebo kombinací obou zmiňovaných.</w:t>
      </w:r>
    </w:p>
    <w:p w14:paraId="053AE0DB" w14:textId="77777777" w:rsidR="009D71CC" w:rsidRDefault="00CB7CE8">
      <w:pPr>
        <w:numPr>
          <w:ilvl w:val="0"/>
          <w:numId w:val="15"/>
        </w:numPr>
        <w:tabs>
          <w:tab w:val="clear" w:pos="720"/>
          <w:tab w:val="left" w:pos="364"/>
        </w:tabs>
      </w:pPr>
      <w:r>
        <w:t xml:space="preserve">Dostupnost – rozhraní mezi interakcí dopravy a územního plánování (Bertolini, Le Clercq &amp; Kapoen, 2005). Zlepšení dostupnosti se v poslední době znovu stalo hlavním cílem urbanistů a souvisejících oborů (Lacono, Krizek, &amp; El-Geneidy, 2010). </w:t>
      </w:r>
    </w:p>
    <w:p w14:paraId="3ED0EA5B" w14:textId="77777777" w:rsidR="009D71CC" w:rsidRDefault="00CB7CE8">
      <w:pPr>
        <w:pStyle w:val="Nadpis3"/>
      </w:pPr>
      <w:bookmarkStart w:id="21" w:name="_Toc143013735"/>
      <w:r>
        <w:t>Silniční síť</w:t>
      </w:r>
      <w:bookmarkEnd w:id="21"/>
    </w:p>
    <w:p w14:paraId="6FBB72C2" w14:textId="54F1A18B" w:rsidR="009D71CC" w:rsidRDefault="00CB7CE8">
      <w:r>
        <w:t>Jednou z nejčastěji zkoumaných urbánních sítí je silniční síť. S rozvojem měst v průběhu času došlo k nárůstu jejich strukturální a funkční složitosti. Tento fakt způsobil, že</w:t>
      </w:r>
      <w:r w:rsidR="00654B7B">
        <w:t> </w:t>
      </w:r>
      <w:r>
        <w:t>manipulace s těmito systémy a jejich plánování se staly velkou výzvou jak pro</w:t>
      </w:r>
      <w:r w:rsidR="00654B7B">
        <w:t xml:space="preserve"> </w:t>
      </w:r>
      <w:r>
        <w:t>každodenní tvorbu politik, tak pro akademický výzkum (Strano a kol., 2012; Polyzos, 2015).</w:t>
      </w:r>
    </w:p>
    <w:p w14:paraId="052E642E" w14:textId="77777777" w:rsidR="009D71CC" w:rsidRDefault="00CB7CE8">
      <w:pPr>
        <w:ind w:firstLine="357"/>
      </w:pPr>
      <w:r>
        <w:t xml:space="preserve">S rozvojem měst se mobilita obyvatel stává stále složitějším procesem, který se odehrává v rámci strukturovaného prostředí. Volba dopravního prostředku, doba realizace přepravy a její náklady jsou jen některé z aspektů, které ilustrují tuto složitost. Z tohoto důvodu se čím dál častěji skloňuje </w:t>
      </w:r>
      <w:r>
        <w:rPr>
          <w:i/>
          <w:iCs/>
        </w:rPr>
        <w:t>urban road network analysis</w:t>
      </w:r>
      <w:r>
        <w:t>, čím dál tím více plánovačů a urbanistů zkoumá městskou silniční síť (Chowell a kol., 2003; Van Ommeren a Fosgerau, 2009; Barthelemy, 2011; Polyzos a kol., 2013, 2014).</w:t>
      </w:r>
    </w:p>
    <w:p w14:paraId="5FC5FB2C" w14:textId="3FFF05F5" w:rsidR="009D71CC" w:rsidRDefault="00CB7CE8">
      <w:pPr>
        <w:ind w:firstLine="357"/>
      </w:pPr>
      <w:r>
        <w:t>Městská silniční síť je vzhledem ke svým geografickým faktorům typickou prostorovou sítí, kde uzly a hrany jsou prostorově propojeny. Model městské silniční sítě je založen na křižovatkách jako uzlech a úsecích silnic mezi nimi jako hranách. Analyzování topologie městské silniční sítě je častým tématem výzkumu pro mnoho odborníků (Jiang a</w:t>
      </w:r>
      <w:r w:rsidR="00654B7B">
        <w:t> </w:t>
      </w:r>
      <w:r>
        <w:t>kol.</w:t>
      </w:r>
      <w:r w:rsidR="00654B7B">
        <w:t> </w:t>
      </w:r>
      <w:r>
        <w:t>2004).</w:t>
      </w:r>
    </w:p>
    <w:p w14:paraId="4941A53E" w14:textId="77777777" w:rsidR="009D71CC" w:rsidRDefault="00CB7CE8">
      <w:pPr>
        <w:pStyle w:val="Nadpis4"/>
      </w:pPr>
      <w:r>
        <w:t>Aplikace analýz silniční sítě</w:t>
      </w:r>
    </w:p>
    <w:p w14:paraId="766D28B1" w14:textId="43FAF10A" w:rsidR="009D71CC" w:rsidRDefault="00CB7CE8">
      <w:r>
        <w:t>De Montis a kol.</w:t>
      </w:r>
      <w:r w:rsidR="008B0BF9">
        <w:t xml:space="preserve"> 2019</w:t>
      </w:r>
      <w:r>
        <w:t xml:space="preserve"> použili vážený síťový model pro studium struktury silniční sítě v</w:t>
      </w:r>
      <w:r w:rsidR="008A4915">
        <w:t> </w:t>
      </w:r>
      <w:r>
        <w:t xml:space="preserve">regionu Sardinie, která reprezentuje meziměstskou dopravu. Výslednou síť kvantitativně </w:t>
      </w:r>
      <w:r>
        <w:lastRenderedPageBreak/>
        <w:t>analyzovali z hlediska topologických i vážených vlastností a diskutovali o vztahu mezi těmito vlastnostmi a sociodemografickými proměnnými, jako je počet obyvatel a měsíční příjem. Dále také diskutovali o vztahu mezi topologickými a dynamickými vlastnostmi sítě.</w:t>
      </w:r>
    </w:p>
    <w:p w14:paraId="54BF0117" w14:textId="6284C529" w:rsidR="009D71CC" w:rsidRDefault="00CB7CE8">
      <w:pPr>
        <w:pStyle w:val="Nadpis3"/>
        <w:rPr>
          <w:lang w:eastAsia="en-US"/>
        </w:rPr>
      </w:pPr>
      <w:bookmarkStart w:id="22" w:name="_Toc143013736"/>
      <w:r>
        <w:rPr>
          <w:lang w:eastAsia="en-US"/>
        </w:rPr>
        <w:t>Železniční síť</w:t>
      </w:r>
      <w:bookmarkEnd w:id="22"/>
    </w:p>
    <w:p w14:paraId="7D59A658" w14:textId="64388F06" w:rsidR="00254E90" w:rsidRPr="00254E90" w:rsidRDefault="004E241C" w:rsidP="00254E90">
      <w:pPr>
        <w:rPr>
          <w:lang w:eastAsia="en-US"/>
        </w:rPr>
      </w:pPr>
      <w:r w:rsidRPr="00254E90">
        <w:rPr>
          <w:lang w:eastAsia="en-US"/>
        </w:rPr>
        <w:t>Železniční doprava vyniká svou silnou ekonomickou oprávněností, což jí dává konkurenční výhodu jako vhodnou volbu pro pohyb cestujících a nákladu. Nicméně, rozvoj železniční infrastruktury je náročný na kapitál, neboť efektivnost železničních sítí spíše závisí na ekonomické hustotě než na hustotě obyvatelstva. Klíčovým aspektem vlakové dopravy je její schopnost přepravovat velká množství nákladu a značný počet cestujících na dlouhé vzdálenosti, což představuje její hlavní výhodu.</w:t>
      </w:r>
      <w:r>
        <w:rPr>
          <w:lang w:eastAsia="en-US"/>
        </w:rPr>
        <w:t xml:space="preserve"> (Rodrigue a Slack 2020)</w:t>
      </w:r>
    </w:p>
    <w:p w14:paraId="0EC0B888" w14:textId="77777777" w:rsidR="005D3E2A" w:rsidRPr="000363A8" w:rsidRDefault="005D3E2A" w:rsidP="004D314C">
      <w:pPr>
        <w:pStyle w:val="Nadpis4"/>
        <w:rPr>
          <w:lang w:eastAsia="en-US"/>
        </w:rPr>
      </w:pPr>
      <w:r>
        <w:rPr>
          <w:lang w:eastAsia="en-US"/>
        </w:rPr>
        <w:t>Historie železniční dopravy</w:t>
      </w:r>
    </w:p>
    <w:p w14:paraId="1273F99F" w14:textId="1C13CEA0" w:rsidR="005D3E2A" w:rsidRPr="005D3E2A" w:rsidRDefault="005D3E2A" w:rsidP="004D314C">
      <w:pPr>
        <w:pStyle w:val="NormlnOdstavec"/>
        <w:rPr>
          <w:lang w:eastAsia="en-US"/>
        </w:rPr>
      </w:pPr>
      <w:r>
        <w:rPr>
          <w:lang w:eastAsia="en-US"/>
        </w:rPr>
        <w:t>První primitivní železniční systémy existují, jíž od 17. století a sloužily k přepravě materiálu v lomech a dolech, první rozsáhlé systémy železniční dopravy vznikly až na počátku 19. století. Hlavní roli hrála železniční síť během průmyslové revoluce a hrála klíčovou úlohu v ekonomickém rozvoji západní Evropy, Severní Ameriky a Japonska, kde byla tato infrastruktura poprvé masivně zavedena. Tento druh dopravy představoval významný technologický pokrok v oblasti pozemní dopravy a měl hluboký dopad na pohyb nákladu i osob. (Rodrigue a Slack 2020)</w:t>
      </w:r>
    </w:p>
    <w:p w14:paraId="063C15CB" w14:textId="77777777" w:rsidR="005D3E2A" w:rsidRDefault="005D3E2A" w:rsidP="004D314C">
      <w:pPr>
        <w:ind w:firstLine="340"/>
        <w:rPr>
          <w:lang w:eastAsia="en-US"/>
        </w:rPr>
      </w:pPr>
      <w:r w:rsidRPr="003D19B4">
        <w:rPr>
          <w:lang w:eastAsia="en-US"/>
        </w:rPr>
        <w:t>Důležitost železniční dopravy nespočívala pouze ve schopnosti přepravovat těžké náklady, ale zejména v její všudypřítomnosti a rychlosti. Tyto železniční systémy výrazně zkrátily dobu cestování a umožnily zavést spolehlivé a konzistentní jízdní řády, které bylo možné zahrnout do ekonomického plánování, včetně výroby a distribuce zboží. Tím došlo k výraznému propojení hospodářských činností a sociálních interakcí. Železniční doprava se stala prvním druhem dopravy, který přinesl plánování a spolehlivost do dopravních systémů, neboť bylo třeba pečlivě plánovat využití prostředků a služeb a rozložit je geograficky. (Rodrigue a Slack 2020)</w:t>
      </w:r>
    </w:p>
    <w:p w14:paraId="51DBCB25" w14:textId="77777777" w:rsidR="000B06D5" w:rsidRDefault="000B06D5" w:rsidP="000B06D5">
      <w:pPr>
        <w:pStyle w:val="Nadpis4"/>
        <w:rPr>
          <w:lang w:eastAsia="en-US"/>
        </w:rPr>
      </w:pPr>
      <w:r>
        <w:rPr>
          <w:lang w:eastAsia="en-US"/>
        </w:rPr>
        <w:t>Charakteristika železniční sítě</w:t>
      </w:r>
    </w:p>
    <w:p w14:paraId="780D2344" w14:textId="5FC406E8" w:rsidR="000B06D5" w:rsidRDefault="000B06D5" w:rsidP="000B06D5">
      <w:pPr>
        <w:rPr>
          <w:lang w:eastAsia="en-US"/>
        </w:rPr>
      </w:pPr>
      <w:r>
        <w:rPr>
          <w:lang w:eastAsia="en-US"/>
        </w:rPr>
        <w:t>Železniční doprava se stejně jako silniční doprava váže k prostoru,</w:t>
      </w:r>
      <w:r w:rsidRPr="00260DA5">
        <w:rPr>
          <w:lang w:eastAsia="en-US"/>
        </w:rPr>
        <w:t xml:space="preserve"> </w:t>
      </w:r>
      <w:r w:rsidRPr="000363A8">
        <w:rPr>
          <w:lang w:eastAsia="en-US"/>
        </w:rPr>
        <w:t xml:space="preserve">protože je to druh dopravy, který je nejvíce omezen fyziografií. </w:t>
      </w:r>
      <w:r>
        <w:rPr>
          <w:lang w:eastAsia="en-US"/>
        </w:rPr>
        <w:t>Rodrigue a Slack</w:t>
      </w:r>
      <w:r w:rsidR="00E855BF">
        <w:rPr>
          <w:lang w:eastAsia="en-US"/>
        </w:rPr>
        <w:t xml:space="preserve"> (2020)</w:t>
      </w:r>
      <w:r>
        <w:rPr>
          <w:lang w:eastAsia="en-US"/>
        </w:rPr>
        <w:t xml:space="preserve"> definují</w:t>
      </w:r>
      <w:r w:rsidRPr="000363A8">
        <w:rPr>
          <w:lang w:eastAsia="en-US"/>
        </w:rPr>
        <w:t xml:space="preserve"> omezen</w:t>
      </w:r>
      <w:r>
        <w:rPr>
          <w:lang w:eastAsia="en-US"/>
        </w:rPr>
        <w:t>í</w:t>
      </w:r>
      <w:r w:rsidRPr="000363A8">
        <w:rPr>
          <w:lang w:eastAsia="en-US"/>
        </w:rPr>
        <w:t xml:space="preserve"> především technická a provozní:</w:t>
      </w:r>
    </w:p>
    <w:p w14:paraId="2E5804AB" w14:textId="43F74106" w:rsidR="000B06D5" w:rsidRDefault="000B06D5" w:rsidP="001D5C10">
      <w:pPr>
        <w:pStyle w:val="Odstavecseseznamem"/>
        <w:numPr>
          <w:ilvl w:val="2"/>
          <w:numId w:val="15"/>
        </w:numPr>
        <w:rPr>
          <w:lang w:eastAsia="en-US"/>
        </w:rPr>
      </w:pPr>
      <w:r>
        <w:rPr>
          <w:lang w:eastAsia="en-US"/>
        </w:rPr>
        <w:t xml:space="preserve">Stopa </w:t>
      </w:r>
      <w:r w:rsidR="00731D3F">
        <w:rPr>
          <w:lang w:eastAsia="en-US"/>
        </w:rPr>
        <w:t>–</w:t>
      </w:r>
      <w:r>
        <w:rPr>
          <w:lang w:eastAsia="en-US"/>
        </w:rPr>
        <w:t xml:space="preserve"> </w:t>
      </w:r>
      <w:r w:rsidR="00731D3F">
        <w:rPr>
          <w:lang w:eastAsia="en-US"/>
        </w:rPr>
        <w:t xml:space="preserve">železniční doprava má </w:t>
      </w:r>
      <w:r w:rsidR="00301034">
        <w:rPr>
          <w:lang w:eastAsia="en-US"/>
        </w:rPr>
        <w:t>tratěmi</w:t>
      </w:r>
      <w:r w:rsidR="001D5C10">
        <w:rPr>
          <w:lang w:eastAsia="en-US"/>
        </w:rPr>
        <w:t xml:space="preserve"> pouze </w:t>
      </w:r>
      <w:r w:rsidR="00301034">
        <w:rPr>
          <w:lang w:eastAsia="en-US"/>
        </w:rPr>
        <w:t>nepatrnou</w:t>
      </w:r>
      <w:r w:rsidR="001D5C10">
        <w:rPr>
          <w:lang w:eastAsia="en-US"/>
        </w:rPr>
        <w:t xml:space="preserve"> stopu, avšak terminály a stanice </w:t>
      </w:r>
      <w:r w:rsidR="001D5C10" w:rsidRPr="00731D3F">
        <w:rPr>
          <w:lang w:eastAsia="en-US"/>
        </w:rPr>
        <w:t>terminály mohou zabírat velké části nemovitostí, zejména v městských oblastech</w:t>
      </w:r>
      <w:r w:rsidR="00301034">
        <w:rPr>
          <w:lang w:eastAsia="en-US"/>
        </w:rPr>
        <w:t xml:space="preserve">. Stanice bývají často umístěné efektivně v centrech ekonomické aktivity. Velkou nevýhodou je nákladnost </w:t>
      </w:r>
    </w:p>
    <w:p w14:paraId="5713AA84" w14:textId="53AE0C17" w:rsidR="00E24215" w:rsidRDefault="00912553" w:rsidP="001D5C10">
      <w:pPr>
        <w:pStyle w:val="Odstavecseseznamem"/>
        <w:numPr>
          <w:ilvl w:val="2"/>
          <w:numId w:val="15"/>
        </w:numPr>
        <w:rPr>
          <w:lang w:eastAsia="en-US"/>
        </w:rPr>
      </w:pPr>
      <w:r>
        <w:rPr>
          <w:lang w:eastAsia="en-US"/>
        </w:rPr>
        <w:t>Terén a zatáčky – Železniční</w:t>
      </w:r>
      <w:r w:rsidR="00E24215" w:rsidRPr="00E24215">
        <w:rPr>
          <w:lang w:eastAsia="en-US"/>
        </w:rPr>
        <w:t xml:space="preserve"> doprava </w:t>
      </w:r>
      <w:r>
        <w:rPr>
          <w:lang w:eastAsia="en-US"/>
        </w:rPr>
        <w:t xml:space="preserve">velmi </w:t>
      </w:r>
      <w:r w:rsidRPr="00E24215">
        <w:rPr>
          <w:lang w:eastAsia="en-US"/>
        </w:rPr>
        <w:t>citlivá</w:t>
      </w:r>
      <w:r w:rsidR="00E24215" w:rsidRPr="00E24215">
        <w:rPr>
          <w:lang w:eastAsia="en-US"/>
        </w:rPr>
        <w:t xml:space="preserve"> na heterogenitu </w:t>
      </w:r>
      <w:r w:rsidR="00E24215">
        <w:rPr>
          <w:lang w:eastAsia="en-US"/>
        </w:rPr>
        <w:t>krajiny</w:t>
      </w:r>
      <w:r w:rsidR="00E24215" w:rsidRPr="00E24215">
        <w:rPr>
          <w:lang w:eastAsia="en-US"/>
        </w:rPr>
        <w:t>.</w:t>
      </w:r>
      <w:r w:rsidR="00E24215">
        <w:rPr>
          <w:lang w:eastAsia="en-US"/>
        </w:rPr>
        <w:t xml:space="preserve"> Zde hra</w:t>
      </w:r>
      <w:r w:rsidR="006B2C85">
        <w:rPr>
          <w:lang w:eastAsia="en-US"/>
        </w:rPr>
        <w:t>je velkou roli sklon terénu.</w:t>
      </w:r>
      <w:r w:rsidR="00E24215" w:rsidRPr="00E24215">
        <w:rPr>
          <w:lang w:eastAsia="en-US"/>
        </w:rPr>
        <w:t xml:space="preserve"> Železniční doprava</w:t>
      </w:r>
      <w:r w:rsidR="006B2C85">
        <w:rPr>
          <w:lang w:eastAsia="en-US"/>
        </w:rPr>
        <w:t xml:space="preserve"> </w:t>
      </w:r>
      <w:r>
        <w:rPr>
          <w:lang w:eastAsia="en-US"/>
        </w:rPr>
        <w:t xml:space="preserve">zvládne </w:t>
      </w:r>
      <w:r w:rsidRPr="00E24215">
        <w:rPr>
          <w:lang w:eastAsia="en-US"/>
        </w:rPr>
        <w:t>stoupání</w:t>
      </w:r>
      <w:r w:rsidR="00E24215" w:rsidRPr="00E24215">
        <w:rPr>
          <w:lang w:eastAsia="en-US"/>
        </w:rPr>
        <w:t xml:space="preserve"> až 4 % (asi 40 metrů na kilometr), ale nákladní vlaky zřídka tolerují více než 1 %.</w:t>
      </w:r>
    </w:p>
    <w:p w14:paraId="036F04F5" w14:textId="5C144134" w:rsidR="00912553" w:rsidRDefault="005421AC" w:rsidP="001D5C10">
      <w:pPr>
        <w:pStyle w:val="Odstavecseseznamem"/>
        <w:numPr>
          <w:ilvl w:val="2"/>
          <w:numId w:val="15"/>
        </w:numPr>
        <w:rPr>
          <w:lang w:eastAsia="en-US"/>
        </w:rPr>
      </w:pPr>
      <w:r w:rsidRPr="00FD765B">
        <w:rPr>
          <w:lang w:eastAsia="en-US"/>
        </w:rPr>
        <w:t>Vozidla</w:t>
      </w:r>
      <w:r>
        <w:rPr>
          <w:lang w:eastAsia="en-US"/>
        </w:rPr>
        <w:t xml:space="preserve"> – Železniční</w:t>
      </w:r>
      <w:r w:rsidR="00FD765B" w:rsidRPr="00FD765B">
        <w:rPr>
          <w:lang w:eastAsia="en-US"/>
        </w:rPr>
        <w:t xml:space="preserve"> doprava je velmi flexibilní, pokud jde o vozidla, a</w:t>
      </w:r>
      <w:r w:rsidR="008A4915">
        <w:rPr>
          <w:lang w:eastAsia="en-US"/>
        </w:rPr>
        <w:t> </w:t>
      </w:r>
      <w:r w:rsidR="00FD765B" w:rsidRPr="00FD765B">
        <w:rPr>
          <w:lang w:eastAsia="en-US"/>
        </w:rPr>
        <w:t>široká škála z nich plní různé účely. Mezi nejběžnější vozidla patří otevřené vagony (násypné vozy) používané pro hromadný náklad (např. nerosty), nákladní vozy pro přepravu běžného a chlazeného zboží a</w:t>
      </w:r>
      <w:r w:rsidR="008A4915">
        <w:rPr>
          <w:lang w:eastAsia="en-US"/>
        </w:rPr>
        <w:t> </w:t>
      </w:r>
      <w:r w:rsidR="00FD765B" w:rsidRPr="00FD765B">
        <w:rPr>
          <w:lang w:eastAsia="en-US"/>
        </w:rPr>
        <w:t>cisternové vozy pro přepravu kapalin. Intermodální přeprava také umožnila vývoj nové třídy plochých železničních vozů, které mohou přepravovat kontejnery a</w:t>
      </w:r>
      <w:r w:rsidR="00415088">
        <w:rPr>
          <w:lang w:eastAsia="en-US"/>
        </w:rPr>
        <w:t> </w:t>
      </w:r>
      <w:r w:rsidR="00FD765B" w:rsidRPr="00FD765B">
        <w:rPr>
          <w:lang w:eastAsia="en-US"/>
        </w:rPr>
        <w:t>přívěsy (méně běžné).</w:t>
      </w:r>
    </w:p>
    <w:p w14:paraId="4EEA5ABF" w14:textId="4605116A" w:rsidR="00F061B2" w:rsidRDefault="00F061B2" w:rsidP="001D5C10">
      <w:pPr>
        <w:pStyle w:val="Odstavecseseznamem"/>
        <w:numPr>
          <w:ilvl w:val="2"/>
          <w:numId w:val="15"/>
        </w:numPr>
        <w:rPr>
          <w:lang w:eastAsia="en-US"/>
        </w:rPr>
      </w:pPr>
      <w:r>
        <w:rPr>
          <w:lang w:eastAsia="en-US"/>
        </w:rPr>
        <w:t>Rozchod – Standardní</w:t>
      </w:r>
      <w:r w:rsidR="005421AC" w:rsidRPr="005421AC">
        <w:rPr>
          <w:lang w:eastAsia="en-US"/>
        </w:rPr>
        <w:t xml:space="preserve"> rozchod 1,435 metru byl přijat v mnoha částech světa, v Severní Americe a většině západní Evropy. Tvoří asi 60 % najetých </w:t>
      </w:r>
      <w:r w:rsidR="005421AC" w:rsidRPr="005421AC">
        <w:rPr>
          <w:lang w:eastAsia="en-US"/>
        </w:rPr>
        <w:lastRenderedPageBreak/>
        <w:t>kilometrů.</w:t>
      </w:r>
      <w:r w:rsidR="005421AC">
        <w:rPr>
          <w:lang w:eastAsia="en-US"/>
        </w:rPr>
        <w:t xml:space="preserve"> A</w:t>
      </w:r>
      <w:r w:rsidR="00AE15DE">
        <w:rPr>
          <w:lang w:eastAsia="en-US"/>
        </w:rPr>
        <w:t>však</w:t>
      </w:r>
      <w:r w:rsidR="005421AC">
        <w:rPr>
          <w:lang w:eastAsia="en-US"/>
        </w:rPr>
        <w:t xml:space="preserve"> v některých </w:t>
      </w:r>
      <w:r w:rsidR="00AE15DE">
        <w:rPr>
          <w:lang w:eastAsia="en-US"/>
        </w:rPr>
        <w:t xml:space="preserve">může být rozchod větší, čí menší (Rusko </w:t>
      </w:r>
      <w:r w:rsidR="00415088">
        <w:rPr>
          <w:lang w:eastAsia="en-US"/>
        </w:rPr>
        <w:t>–</w:t>
      </w:r>
      <w:r w:rsidRPr="00F061B2">
        <w:t xml:space="preserve"> </w:t>
      </w:r>
      <w:r w:rsidRPr="00F061B2">
        <w:rPr>
          <w:lang w:eastAsia="en-US"/>
        </w:rPr>
        <w:t>1</w:t>
      </w:r>
      <w:r w:rsidR="00415088">
        <w:rPr>
          <w:lang w:eastAsia="en-US"/>
        </w:rPr>
        <w:t> </w:t>
      </w:r>
      <w:r w:rsidRPr="00F061B2">
        <w:rPr>
          <w:lang w:eastAsia="en-US"/>
        </w:rPr>
        <w:t>520 metrů</w:t>
      </w:r>
      <w:r>
        <w:rPr>
          <w:lang w:eastAsia="en-US"/>
        </w:rPr>
        <w:t>)</w:t>
      </w:r>
    </w:p>
    <w:p w14:paraId="5099325C" w14:textId="7020F15F" w:rsidR="00FD765B" w:rsidRDefault="00AE15DE" w:rsidP="001D5C10">
      <w:pPr>
        <w:pStyle w:val="Odstavecseseznamem"/>
        <w:numPr>
          <w:ilvl w:val="2"/>
          <w:numId w:val="15"/>
        </w:numPr>
        <w:rPr>
          <w:lang w:eastAsia="en-US"/>
        </w:rPr>
      </w:pPr>
      <w:r>
        <w:rPr>
          <w:lang w:eastAsia="en-US"/>
        </w:rPr>
        <w:t xml:space="preserve"> </w:t>
      </w:r>
      <w:r w:rsidR="006E4923">
        <w:rPr>
          <w:lang w:eastAsia="en-US"/>
        </w:rPr>
        <w:t>Vlastnictví – vlastnictví</w:t>
      </w:r>
      <w:r w:rsidR="006E4923" w:rsidRPr="006E4923">
        <w:rPr>
          <w:lang w:eastAsia="en-US"/>
        </w:rPr>
        <w:t xml:space="preserve"> kolejí a vozového parku, maximální délky vlaku, signalizačního zařízení, plánu údržby a dopravního mixu. Vertikálně integrovaná železnice zahrnuje vlastnictví a provozování dráhy stejným provozovatelem.</w:t>
      </w:r>
    </w:p>
    <w:p w14:paraId="27B9DA82" w14:textId="537C824D" w:rsidR="006E4923" w:rsidRDefault="006E4923" w:rsidP="00373015">
      <w:pPr>
        <w:pStyle w:val="Nadpis4"/>
        <w:rPr>
          <w:lang w:eastAsia="en-US"/>
        </w:rPr>
      </w:pPr>
      <w:r>
        <w:rPr>
          <w:lang w:eastAsia="en-US"/>
        </w:rPr>
        <w:t>Dělené železniční sítě podle velikosti</w:t>
      </w:r>
    </w:p>
    <w:p w14:paraId="4B2204DC" w14:textId="0BBB4479" w:rsidR="00373015" w:rsidRDefault="00373015" w:rsidP="00373015">
      <w:pPr>
        <w:rPr>
          <w:lang w:eastAsia="en-US"/>
        </w:rPr>
      </w:pPr>
      <w:r w:rsidRPr="003D19B4">
        <w:rPr>
          <w:lang w:eastAsia="en-US"/>
        </w:rPr>
        <w:t>Rodrigue a Slack</w:t>
      </w:r>
      <w:r>
        <w:rPr>
          <w:lang w:eastAsia="en-US"/>
        </w:rPr>
        <w:t xml:space="preserve"> (2020) dělí železniční dopravu na </w:t>
      </w:r>
      <w:r w:rsidR="007A05D6">
        <w:rPr>
          <w:lang w:eastAsia="en-US"/>
        </w:rPr>
        <w:t xml:space="preserve">podle velikosti: </w:t>
      </w:r>
    </w:p>
    <w:p w14:paraId="0088CAAF" w14:textId="241CEA05" w:rsidR="00375D60" w:rsidRPr="00375D60" w:rsidRDefault="003C59DA" w:rsidP="00375D60">
      <w:pPr>
        <w:pStyle w:val="Odstavecseseznamem"/>
        <w:numPr>
          <w:ilvl w:val="3"/>
          <w:numId w:val="15"/>
        </w:numPr>
        <w:rPr>
          <w:i/>
          <w:iCs/>
          <w:lang w:eastAsia="en-US"/>
        </w:rPr>
      </w:pPr>
      <w:r w:rsidRPr="003C59DA">
        <w:rPr>
          <w:lang w:eastAsia="en-US"/>
        </w:rPr>
        <w:t xml:space="preserve"> </w:t>
      </w:r>
      <w:r w:rsidR="00366729" w:rsidRPr="00366729">
        <w:rPr>
          <w:i/>
          <w:iCs/>
          <w:lang w:eastAsia="en-US"/>
        </w:rPr>
        <w:t xml:space="preserve">Penetration </w:t>
      </w:r>
      <w:r w:rsidR="00375D60" w:rsidRPr="00366729">
        <w:rPr>
          <w:i/>
          <w:iCs/>
          <w:lang w:eastAsia="en-US"/>
        </w:rPr>
        <w:t>lines</w:t>
      </w:r>
      <w:r w:rsidR="00375D60">
        <w:rPr>
          <w:lang w:eastAsia="en-US"/>
        </w:rPr>
        <w:t xml:space="preserve"> – Jejich</w:t>
      </w:r>
      <w:r w:rsidR="00375D60" w:rsidRPr="00375D60">
        <w:rPr>
          <w:lang w:eastAsia="en-US"/>
        </w:rPr>
        <w:t xml:space="preserve"> hlavním účelem je spojit přístavní město s</w:t>
      </w:r>
      <w:r w:rsidR="00415088">
        <w:rPr>
          <w:lang w:eastAsia="en-US"/>
        </w:rPr>
        <w:t> </w:t>
      </w:r>
      <w:r w:rsidR="00375D60" w:rsidRPr="00375D60">
        <w:rPr>
          <w:lang w:eastAsia="en-US"/>
        </w:rPr>
        <w:t>jeho vnitrozemím, zejména za účelem přístupu k přírodním zdrojům, jako jsou nerostné suroviny, zemědělské produkty. a dřevěné výrobky</w:t>
      </w:r>
    </w:p>
    <w:p w14:paraId="0B724BAD" w14:textId="0DD4CBF9" w:rsidR="00375D60" w:rsidRPr="00A17829" w:rsidRDefault="00813179" w:rsidP="00375D60">
      <w:pPr>
        <w:pStyle w:val="Odstavecseseznamem"/>
        <w:numPr>
          <w:ilvl w:val="3"/>
          <w:numId w:val="15"/>
        </w:numPr>
        <w:rPr>
          <w:i/>
          <w:iCs/>
          <w:lang w:eastAsia="en-US"/>
        </w:rPr>
      </w:pPr>
      <w:r w:rsidRPr="00813179">
        <w:rPr>
          <w:i/>
          <w:iCs/>
          <w:lang w:eastAsia="en-US"/>
        </w:rPr>
        <w:t>Regional networks</w:t>
      </w:r>
      <w:r>
        <w:rPr>
          <w:lang w:eastAsia="en-US"/>
        </w:rPr>
        <w:t xml:space="preserve"> – </w:t>
      </w:r>
      <w:r w:rsidR="00A17829">
        <w:rPr>
          <w:lang w:eastAsia="en-US"/>
        </w:rPr>
        <w:t>Regionální</w:t>
      </w:r>
      <w:r>
        <w:rPr>
          <w:lang w:eastAsia="en-US"/>
        </w:rPr>
        <w:t xml:space="preserve"> síť spojuje malé oblasti světa</w:t>
      </w:r>
      <w:r w:rsidR="00A17829">
        <w:rPr>
          <w:lang w:eastAsia="en-US"/>
        </w:rPr>
        <w:t>. Většinou na statní úrovni</w:t>
      </w:r>
    </w:p>
    <w:p w14:paraId="55E243EC" w14:textId="5ED7C807" w:rsidR="00A17829" w:rsidRPr="00375D60" w:rsidRDefault="00A17829" w:rsidP="00375D60">
      <w:pPr>
        <w:pStyle w:val="Odstavecseseznamem"/>
        <w:numPr>
          <w:ilvl w:val="3"/>
          <w:numId w:val="15"/>
        </w:numPr>
        <w:rPr>
          <w:i/>
          <w:iCs/>
          <w:lang w:eastAsia="en-US"/>
        </w:rPr>
      </w:pPr>
      <w:r>
        <w:rPr>
          <w:i/>
          <w:iCs/>
          <w:lang w:eastAsia="en-US"/>
        </w:rPr>
        <w:t>Transcontinetal</w:t>
      </w:r>
      <w:r w:rsidR="00B77739">
        <w:rPr>
          <w:i/>
          <w:iCs/>
          <w:lang w:eastAsia="en-US"/>
        </w:rPr>
        <w:t xml:space="preserve"> networks</w:t>
      </w:r>
      <w:r w:rsidR="00B77739">
        <w:rPr>
          <w:lang w:eastAsia="en-US"/>
        </w:rPr>
        <w:t xml:space="preserve"> – Mezi kontinentální, státní linky pro přepravu</w:t>
      </w:r>
      <w:r w:rsidR="00296CF5">
        <w:rPr>
          <w:lang w:eastAsia="en-US"/>
        </w:rPr>
        <w:t xml:space="preserve"> osob, materiálů.</w:t>
      </w:r>
    </w:p>
    <w:p w14:paraId="790C69F6" w14:textId="6F366912" w:rsidR="00654B7B" w:rsidRPr="00654B7B" w:rsidRDefault="00296CF5" w:rsidP="00654B7B">
      <w:pPr>
        <w:pStyle w:val="Nadpis4"/>
        <w:rPr>
          <w:lang w:eastAsia="en-US"/>
        </w:rPr>
      </w:pPr>
      <w:r>
        <w:rPr>
          <w:lang w:eastAsia="en-US"/>
        </w:rPr>
        <w:t>Městká síť a plánování</w:t>
      </w:r>
    </w:p>
    <w:p w14:paraId="32500C7E" w14:textId="7CE621B0" w:rsidR="00415088" w:rsidRDefault="001C7783" w:rsidP="00415088">
      <w:pPr>
        <w:pStyle w:val="NormlnOdstavec"/>
      </w:pPr>
      <w:r w:rsidRPr="001C7783">
        <w:t>Železniční doprava hraje v moderní městské dopravě stále důležitější roli, protože její předností je velká kapacita, přesnost, vysoká bezpečnost, šetrnost k životnímu prostředí a nízké náklady, a stala se páteří a důležitou podporou moderní dopravy. Přestože bezpečnost železniční tranzitní dopravy je vyšší než bezpečnost konvenční silniční dopravy, vzhledem k velkému rozsahu železniční tranzitní sítě, těžkým přepravním úkolům a těsnému spojení mezi tratěmi, jakmile dojde k poruše nebo bezpečnostní nehodě, bude to mít velký dopad na městskou dopravu.</w:t>
      </w:r>
      <w:r w:rsidR="00E855BF">
        <w:t xml:space="preserve"> </w:t>
      </w:r>
      <w:r w:rsidR="00E855BF" w:rsidRPr="003D19B4">
        <w:rPr>
          <w:lang w:eastAsia="en-US"/>
        </w:rPr>
        <w:t>(Rodrigue a Slack 2020)</w:t>
      </w:r>
    </w:p>
    <w:p w14:paraId="1C1913C3" w14:textId="186153DF" w:rsidR="00E855BF" w:rsidRDefault="00E855BF" w:rsidP="00415088">
      <w:pPr>
        <w:pStyle w:val="NormlnOdstavec"/>
      </w:pPr>
      <w:r w:rsidRPr="00E855BF">
        <w:t>Trasy ropovodů obvykle spojují izolované těžební oblasti s velkými rafinérskými a</w:t>
      </w:r>
      <w:r w:rsidR="008A4915">
        <w:t> </w:t>
      </w:r>
      <w:r w:rsidRPr="00E855BF">
        <w:t>výrobními centry v případě ropy nebo s velkými obydlenými oblastmi v případě zemního plynu.</w:t>
      </w:r>
      <w:r w:rsidR="004253C6" w:rsidRPr="004253C6">
        <w:rPr>
          <w:lang w:eastAsia="en-US"/>
        </w:rPr>
        <w:t xml:space="preserve"> </w:t>
      </w:r>
      <w:r w:rsidR="004253C6" w:rsidRPr="003D19B4">
        <w:rPr>
          <w:lang w:eastAsia="en-US"/>
        </w:rPr>
        <w:t>(Rodrigue a Slack 2020)</w:t>
      </w:r>
    </w:p>
    <w:p w14:paraId="62A05333" w14:textId="3545D6B1" w:rsidR="00E663AE" w:rsidRDefault="009112D8" w:rsidP="009112D8">
      <w:pPr>
        <w:pStyle w:val="Nadpis3"/>
      </w:pPr>
      <w:bookmarkStart w:id="23" w:name="_Toc143013737"/>
      <w:r>
        <w:t>Potrubní sítě</w:t>
      </w:r>
      <w:bookmarkEnd w:id="23"/>
    </w:p>
    <w:p w14:paraId="3848B361" w14:textId="2E934F8A" w:rsidR="009112D8" w:rsidRPr="009112D8" w:rsidRDefault="00D27AB1" w:rsidP="009112D8">
      <w:r>
        <w:t>Potrubí a potrubní systémy</w:t>
      </w:r>
      <w:r w:rsidR="00BF15F3" w:rsidRPr="00BF15F3">
        <w:t xml:space="preserve"> jsou nesmírně důležitým a rozsáhlým druhem pozemní dopravy, ačkoli je široká veřejnost zná jen velmi zřídka, především proto, že jsou uloženy pod zemí nebo pod mořem, jako je tomu v případě </w:t>
      </w:r>
      <w:r w:rsidR="00E65A28">
        <w:t xml:space="preserve">potrubí </w:t>
      </w:r>
      <w:r w:rsidR="00E65A28" w:rsidRPr="00BF15F3">
        <w:t>ze</w:t>
      </w:r>
      <w:r w:rsidR="00BF15F3" w:rsidRPr="00BF15F3">
        <w:t xml:space="preserve"> severní Afriky do Evropy.</w:t>
      </w:r>
      <w:r w:rsidR="00E65A28">
        <w:t xml:space="preserve"> </w:t>
      </w:r>
      <w:r w:rsidR="00E65A28" w:rsidRPr="00E65A28">
        <w:t>Potrubní dopravě dominují dva hlavní produkty: ropa a plyn. Místní plynovody jsou sice významné pro přepravu vody a v ojedinělých případech i pro přepravu sypkých komodit, jako je uhlí ve formě kalů.</w:t>
      </w:r>
      <w:r w:rsidR="004253C6" w:rsidRPr="004253C6">
        <w:rPr>
          <w:lang w:eastAsia="en-US"/>
        </w:rPr>
        <w:t xml:space="preserve"> </w:t>
      </w:r>
      <w:r w:rsidR="004253C6" w:rsidRPr="003D19B4">
        <w:rPr>
          <w:lang w:eastAsia="en-US"/>
        </w:rPr>
        <w:t>(Rodrigue a Slack 2020)</w:t>
      </w:r>
    </w:p>
    <w:p w14:paraId="54A527CB" w14:textId="77777777" w:rsidR="009D71CC" w:rsidRPr="001C7783" w:rsidRDefault="00CB7CE8">
      <w:pPr>
        <w:pStyle w:val="Nadpis3"/>
        <w:rPr>
          <w:lang w:eastAsia="en-US"/>
        </w:rPr>
      </w:pPr>
      <w:bookmarkStart w:id="24" w:name="_Toc143013738"/>
      <w:r>
        <w:rPr>
          <w:lang w:eastAsia="en-US"/>
        </w:rPr>
        <w:t>Vodní doprava</w:t>
      </w:r>
      <w:bookmarkEnd w:id="24"/>
      <w:r w:rsidRPr="001C7783">
        <w:rPr>
          <w:lang w:eastAsia="en-US"/>
        </w:rPr>
        <w:t> </w:t>
      </w:r>
    </w:p>
    <w:p w14:paraId="5EF47CDF" w14:textId="21641816" w:rsidR="009D71CC" w:rsidRDefault="00CB7CE8">
      <w:r>
        <w:t>Vodní doprava je často označovaná za páteř světového obchodu, je zodpovědná za</w:t>
      </w:r>
      <w:r w:rsidR="00590A11">
        <w:t> </w:t>
      </w:r>
      <w:r>
        <w:t>přepravu většiny surovin, komponentů a hotových výrobků, které jsou motorem ekonomiky</w:t>
      </w:r>
      <w:r w:rsidR="00E840D2">
        <w:t xml:space="preserve"> (Christiansen a kol. </w:t>
      </w:r>
      <w:r w:rsidR="00C37E9D">
        <w:t>2007</w:t>
      </w:r>
      <w:r w:rsidR="00E840D2">
        <w:t>)</w:t>
      </w:r>
      <w:r>
        <w:t>. </w:t>
      </w:r>
    </w:p>
    <w:p w14:paraId="646766F4" w14:textId="4CA90671" w:rsidR="009D71CC" w:rsidRDefault="00CB7CE8">
      <w:pPr>
        <w:ind w:firstLine="432"/>
      </w:pPr>
      <w:r>
        <w:t>Efektivní a relativně levná transoceánská lodní doprava umožňuje efektivní dovoz a</w:t>
      </w:r>
      <w:r w:rsidR="00590A11">
        <w:t> </w:t>
      </w:r>
      <w:r>
        <w:t>vývoz zboží a podporuje živobytí miliard lidí. V první čtvrtině 21. století přepravovala celosvětová flotila kontejnerových lodí, tankerů a lodí pro přepravu sypkých materiálů přibližně 80 % objemu světového obchodu a přibližně 70 % hodnoty obchodu (Britannica, T. Editoři, 2022). </w:t>
      </w:r>
    </w:p>
    <w:p w14:paraId="10B2F3EB" w14:textId="3AB309D6" w:rsidR="00D656D7" w:rsidRDefault="00D656D7">
      <w:pPr>
        <w:ind w:firstLine="432"/>
      </w:pPr>
      <w:r w:rsidRPr="00D656D7">
        <w:t xml:space="preserve">Růst populace, zvyšující se životní úroveň, rychlá industrializace, vyčerpání místních zdrojů, přetížení silnic a odstraňování obchodních bariér, to vše přispívá k neustálému růstu námořní dopravy. V zemích s dlouhým pobřežím nebo splavnými řekami nebo </w:t>
      </w:r>
      <w:r w:rsidRPr="00D656D7">
        <w:lastRenderedPageBreak/>
        <w:t>v</w:t>
      </w:r>
      <w:r w:rsidR="00415088">
        <w:t> </w:t>
      </w:r>
      <w:r w:rsidRPr="00D656D7">
        <w:t>zemích, které se skládají z více ostrovů, může hrát vodní doprava významnou roli i</w:t>
      </w:r>
      <w:r w:rsidR="00415088">
        <w:t> </w:t>
      </w:r>
      <w:r w:rsidRPr="00D656D7">
        <w:t>ve</w:t>
      </w:r>
      <w:r w:rsidR="00415088">
        <w:t> </w:t>
      </w:r>
      <w:r w:rsidRPr="00D656D7">
        <w:t>vnitrostátním obchodě, např. v Řecku, Indonésii, Japonsku, Norsku, na Filipínách a</w:t>
      </w:r>
      <w:r w:rsidR="005F368D">
        <w:t> </w:t>
      </w:r>
      <w:r w:rsidRPr="00D656D7">
        <w:t>v</w:t>
      </w:r>
      <w:r w:rsidR="006357BC">
        <w:t> </w:t>
      </w:r>
      <w:r w:rsidRPr="00D656D7">
        <w:t>USA</w:t>
      </w:r>
      <w:r w:rsidR="006357BC">
        <w:t xml:space="preserve"> (Christiansen a kol. 2007)</w:t>
      </w:r>
      <w:r w:rsidRPr="00D656D7">
        <w:t>.</w:t>
      </w:r>
      <w:r>
        <w:t xml:space="preserve"> </w:t>
      </w:r>
      <w:r w:rsidRPr="00D656D7">
        <w:t>ukazuje růst mezinárodního námořního obchodu v</w:t>
      </w:r>
      <w:r w:rsidR="005F368D">
        <w:t> </w:t>
      </w:r>
      <w:r w:rsidRPr="00D656D7">
        <w:t>posledních několika desetiletích (UNCTAD, 2003, 2004).</w:t>
      </w:r>
    </w:p>
    <w:p w14:paraId="3D5D671E" w14:textId="3DC47F75" w:rsidR="00CB7CE8" w:rsidRPr="00B24CC3" w:rsidRDefault="00F751B9" w:rsidP="00CB7CE8">
      <w:pPr>
        <w:ind w:firstLine="432"/>
      </w:pPr>
      <w:r w:rsidRPr="00F751B9">
        <w:t>Lodě zajišťují přepravu obrovského množství různorodého zboží. Toto zboží zahrnuje škálu produktů, jako je spotřební zboží, neupravené ovoce a zelenina, zpracované potraviny, hospodářská zvířata, meziprodukty, průmyslová zařízení, zpracované materiály a suroviny. Tyto produkty mohou být různě baleny, například v krabicích, pytlích, sudech, obalech a rolích, nebo mohou být přepravovány i nezabalené či volně uspořádané. V některých případech jsou náklady rozděleny do větších standardizovaných jednotek, jako jsou palety, kontejnery nebo jiné přepravní jednotky</w:t>
      </w:r>
      <w:r w:rsidR="00566DC0">
        <w:t>.</w:t>
      </w:r>
      <w:r>
        <w:t xml:space="preserve"> (Christiansen a kol. 2007)</w:t>
      </w:r>
      <w:r w:rsidR="00CB7CE8">
        <w:t>.</w:t>
      </w:r>
    </w:p>
    <w:p w14:paraId="4F1C2F99" w14:textId="3118B733" w:rsidR="00E45C53" w:rsidRDefault="00590A11" w:rsidP="003D0B69">
      <w:pPr>
        <w:pStyle w:val="Obrazek"/>
        <w:jc w:val="left"/>
      </w:pPr>
      <w:r>
        <w:t xml:space="preserve">Tab. </w:t>
      </w:r>
      <w:fldSimple w:instr=" SEQ Tab. \* ARABIC ">
        <w:r w:rsidR="00005BBA">
          <w:rPr>
            <w:noProof/>
          </w:rPr>
          <w:t>1</w:t>
        </w:r>
      </w:fldSimple>
      <w:r>
        <w:t xml:space="preserve"> </w:t>
      </w:r>
      <w:r w:rsidRPr="009A0281">
        <w:t>Porovnání přepravených komodit námořní dopravou</w:t>
      </w:r>
      <w:r w:rsidR="00173ED2" w:rsidRPr="00590A11">
        <w:rPr>
          <w:noProof/>
        </w:rPr>
        <w:drawing>
          <wp:inline distT="0" distB="0" distL="0" distR="0" wp14:anchorId="3C3D3A3D" wp14:editId="13F00523">
            <wp:extent cx="4153765" cy="1741017"/>
            <wp:effectExtent l="0" t="0" r="0" b="0"/>
            <wp:docPr id="203770830"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0830" name="Obrázek 1" descr="Obsah obrázku text, snímek obrazovky, číslo, Písmo&#10;&#10;Popis byl vytvořen automaticky"/>
                    <pic:cNvPicPr/>
                  </pic:nvPicPr>
                  <pic:blipFill>
                    <a:blip r:embed="rId14"/>
                    <a:stretch>
                      <a:fillRect/>
                    </a:stretch>
                  </pic:blipFill>
                  <pic:spPr>
                    <a:xfrm>
                      <a:off x="0" y="0"/>
                      <a:ext cx="4173835" cy="1749429"/>
                    </a:xfrm>
                    <a:prstGeom prst="rect">
                      <a:avLst/>
                    </a:prstGeom>
                  </pic:spPr>
                </pic:pic>
              </a:graphicData>
            </a:graphic>
          </wp:inline>
        </w:drawing>
      </w:r>
    </w:p>
    <w:p w14:paraId="46E0337D" w14:textId="6E69FA6D" w:rsidR="00CB7CE8" w:rsidRDefault="00CB7CE8" w:rsidP="00CB7CE8">
      <w:pPr>
        <w:pStyle w:val="NormlnOdstavec"/>
      </w:pPr>
      <w:r w:rsidRPr="00CB7CE8">
        <w:t xml:space="preserve">Město, které disponuje přístavem, sloužícím jako spojení mezi vodní a pozemní dopravou, se označuje jako přístavní město. Termín </w:t>
      </w:r>
      <w:r>
        <w:t>„</w:t>
      </w:r>
      <w:r w:rsidRPr="00CB7CE8">
        <w:t>město</w:t>
      </w:r>
      <w:r>
        <w:t>“</w:t>
      </w:r>
      <w:r w:rsidRPr="00CB7CE8">
        <w:t>, užívaný v tomto textu, zahrnuje různé typy osídlení, jako jsou obce, města a městyse, které byly založeny státem podle příslušného správního uspořádání. To zahrnuje oblasti ve městských zónách, předměstích a územních jednotkách s městskou samosprávou, které podléhají územní regulaci kvůli urbanistickému vývoji a růstu.</w:t>
      </w:r>
      <w:r w:rsidR="000C4B25">
        <w:t xml:space="preserve"> (Cong a kol. 2020)</w:t>
      </w:r>
    </w:p>
    <w:p w14:paraId="64268062" w14:textId="66E86DC6" w:rsidR="005B19EF" w:rsidRDefault="005B19EF" w:rsidP="00173ED2">
      <w:pPr>
        <w:pStyle w:val="Nadpis4"/>
      </w:pPr>
      <w:r>
        <w:t>Role přístavu v městech a měs</w:t>
      </w:r>
      <w:r w:rsidR="00173ED2">
        <w:t>tských oblastech</w:t>
      </w:r>
    </w:p>
    <w:p w14:paraId="6C9BCA81" w14:textId="1DA67904" w:rsidR="00564D6E" w:rsidRDefault="008D6C51" w:rsidP="00E14550">
      <w:pPr>
        <w:pStyle w:val="NormlnOdstavec"/>
      </w:pPr>
      <w:r w:rsidRPr="008D6C51">
        <w:t>Přístavy jsou klíčovými dopravními uzly umístěnými na moři a řekách, vybavenými intermodálními zařízeními pro bezpečný vstup a výstup lodí. Jako centra spojující vodní a</w:t>
      </w:r>
      <w:r w:rsidR="005F368D">
        <w:t> </w:t>
      </w:r>
      <w:r w:rsidRPr="008D6C51">
        <w:t>pozemní dopravu se stávají přístavy distribučními středisky pro průmyslové a</w:t>
      </w:r>
      <w:r w:rsidR="005F368D">
        <w:t> </w:t>
      </w:r>
      <w:r w:rsidRPr="008D6C51">
        <w:t>zemědělské produkty v rámci obchodního systému</w:t>
      </w:r>
      <w:r w:rsidR="002F5D43">
        <w:t xml:space="preserve"> (Cong a kol. </w:t>
      </w:r>
      <w:r w:rsidR="00FB2597">
        <w:t>2020)</w:t>
      </w:r>
      <w:r w:rsidRPr="008D6C51">
        <w:t>.</w:t>
      </w:r>
      <w:r>
        <w:t xml:space="preserve"> </w:t>
      </w:r>
      <w:r w:rsidR="00E14550" w:rsidRPr="00E14550">
        <w:t>Přístavy fungují jako ekonomické katalyzátory pro města, která jim slouží, a podporují integraci různých hospodářských odvětví a koncentraci služeb, čímž vytvářejí pozitivní společenské a</w:t>
      </w:r>
      <w:r w:rsidR="005F368D">
        <w:t> </w:t>
      </w:r>
      <w:r w:rsidR="00E14550" w:rsidRPr="00E14550">
        <w:t xml:space="preserve">ekonomické vlivy (Funke a Yu, 2011; Yu et al., 2017). </w:t>
      </w:r>
      <w:r w:rsidR="00C31642">
        <w:t>Podle</w:t>
      </w:r>
      <w:r w:rsidR="00E14550" w:rsidRPr="00E14550">
        <w:t xml:space="preserve"> Merka </w:t>
      </w:r>
      <w:r w:rsidR="00C31642">
        <w:t>a kol.</w:t>
      </w:r>
      <w:r w:rsidR="00E14550" w:rsidRPr="00E14550">
        <w:t xml:space="preserve"> (2011) vydělaly přístavy v Rouenu v roce 2007 více než 21 % regionálního HDP.</w:t>
      </w:r>
    </w:p>
    <w:p w14:paraId="5D66BD11" w14:textId="551FE181" w:rsidR="003D0B69" w:rsidRPr="00E45C53" w:rsidRDefault="003D0B69" w:rsidP="00564D6E">
      <w:pPr>
        <w:pStyle w:val="NormlnOdstavec"/>
      </w:pPr>
      <w:r>
        <w:t>Politici</w:t>
      </w:r>
      <w:r w:rsidR="00E14550" w:rsidRPr="00E14550">
        <w:t xml:space="preserve"> zaměřují svou pozornost na dopravní infrastrukturu, zejména přístavy, jako na klíčový faktor schopný posilovat územní soudržnost, vyrovnávat ekonomické rozdíly, podporovat hospodářský růst a</w:t>
      </w:r>
      <w:r w:rsidR="00572B10">
        <w:t> </w:t>
      </w:r>
      <w:r w:rsidR="00E14550" w:rsidRPr="00E14550">
        <w:t>konvergenci (Bottasso et al., 2014).</w:t>
      </w:r>
    </w:p>
    <w:p w14:paraId="2BFA8BAD" w14:textId="77777777" w:rsidR="009D71CC" w:rsidRDefault="00CB7CE8">
      <w:pPr>
        <w:pStyle w:val="Nadpis2"/>
      </w:pPr>
      <w:bookmarkStart w:id="25" w:name="_Toc133611807"/>
      <w:bookmarkStart w:id="26" w:name="_Toc133957923"/>
      <w:bookmarkStart w:id="27" w:name="_Toc143013739"/>
      <w:r>
        <w:t>Analýza urbánních sítí</w:t>
      </w:r>
      <w:bookmarkEnd w:id="25"/>
      <w:bookmarkEnd w:id="26"/>
      <w:bookmarkEnd w:id="27"/>
    </w:p>
    <w:p w14:paraId="45CD3487" w14:textId="77777777" w:rsidR="009D71CC" w:rsidRDefault="00CB7CE8">
      <w:r>
        <w:t>Koncept sítě se používá nejen v urbánní geografii a ekonomii, kde má většinou analytickou funkci, ale také v územním plánování. Zejména územní plánování a dopravní plánování pracují s</w:t>
      </w:r>
      <w:r>
        <w:rPr>
          <w:rFonts w:ascii="Times New Roman" w:hAnsi="Times New Roman"/>
        </w:rPr>
        <w:t> </w:t>
      </w:r>
      <w:r>
        <w:t>konceptem urb</w:t>
      </w:r>
      <w:r>
        <w:rPr>
          <w:rFonts w:cs="Bookman Old Style"/>
        </w:rPr>
        <w:t>á</w:t>
      </w:r>
      <w:r>
        <w:t>nních sítí, avšak odlišnými způsoby v</w:t>
      </w:r>
      <w:r>
        <w:rPr>
          <w:rFonts w:ascii="Times New Roman" w:hAnsi="Times New Roman"/>
        </w:rPr>
        <w:t> </w:t>
      </w:r>
      <w:r>
        <w:t>z</w:t>
      </w:r>
      <w:r>
        <w:rPr>
          <w:rFonts w:cs="Bookman Old Style"/>
        </w:rPr>
        <w:t>á</w:t>
      </w:r>
      <w:r>
        <w:t>vislosti na specializaci. Nap</w:t>
      </w:r>
      <w:r>
        <w:rPr>
          <w:rFonts w:cs="Bookman Old Style"/>
        </w:rPr>
        <w:t>ří</w:t>
      </w:r>
      <w:r>
        <w:t>klad maj</w:t>
      </w:r>
      <w:r>
        <w:rPr>
          <w:rFonts w:cs="Bookman Old Style"/>
        </w:rPr>
        <w:t>í</w:t>
      </w:r>
      <w:r>
        <w:t xml:space="preserve"> tendenci pou</w:t>
      </w:r>
      <w:r>
        <w:rPr>
          <w:rFonts w:cs="Bookman Old Style"/>
        </w:rPr>
        <w:t>ží</w:t>
      </w:r>
      <w:r>
        <w:t>vat p</w:t>
      </w:r>
      <w:r>
        <w:rPr>
          <w:rFonts w:cs="Bookman Old Style"/>
        </w:rPr>
        <w:t>ří</w:t>
      </w:r>
      <w:r>
        <w:t>mou vzd</w:t>
      </w:r>
      <w:r>
        <w:rPr>
          <w:rFonts w:cs="Bookman Old Style"/>
        </w:rPr>
        <w:t>á</w:t>
      </w:r>
      <w:r>
        <w:t>lenost k m</w:t>
      </w:r>
      <w:r>
        <w:rPr>
          <w:rFonts w:cs="Bookman Old Style"/>
        </w:rPr>
        <w:t>ěř</w:t>
      </w:r>
      <w:r>
        <w:t>en</w:t>
      </w:r>
      <w:r>
        <w:rPr>
          <w:rFonts w:cs="Bookman Old Style"/>
        </w:rPr>
        <w:t>í</w:t>
      </w:r>
      <w:r>
        <w:t xml:space="preserve"> prostorov</w:t>
      </w:r>
      <w:r>
        <w:rPr>
          <w:rFonts w:cs="Bookman Old Style"/>
        </w:rPr>
        <w:t>é</w:t>
      </w:r>
      <w:r>
        <w:t xml:space="preserve"> interakce a hustotu k m</w:t>
      </w:r>
      <w:r>
        <w:rPr>
          <w:rFonts w:cs="Bookman Old Style"/>
        </w:rPr>
        <w:t>ěř</w:t>
      </w:r>
      <w:r>
        <w:t>en</w:t>
      </w:r>
      <w:r>
        <w:rPr>
          <w:rFonts w:cs="Bookman Old Style"/>
        </w:rPr>
        <w:t>í</w:t>
      </w:r>
      <w:r>
        <w:t xml:space="preserve"> prostorov</w:t>
      </w:r>
      <w:r>
        <w:rPr>
          <w:rFonts w:cs="Bookman Old Style"/>
        </w:rPr>
        <w:t>é</w:t>
      </w:r>
      <w:r>
        <w:t xml:space="preserve"> koncentrace soci</w:t>
      </w:r>
      <w:r>
        <w:rPr>
          <w:rFonts w:cs="Bookman Old Style"/>
        </w:rPr>
        <w:t>á</w:t>
      </w:r>
      <w:r>
        <w:t>ln</w:t>
      </w:r>
      <w:r>
        <w:rPr>
          <w:rFonts w:cs="Bookman Old Style"/>
        </w:rPr>
        <w:t>í</w:t>
      </w:r>
      <w:r>
        <w:t>ch a ekonomick</w:t>
      </w:r>
      <w:r>
        <w:rPr>
          <w:rFonts w:cs="Bookman Old Style"/>
        </w:rPr>
        <w:t>ý</w:t>
      </w:r>
      <w:r>
        <w:t>ch aktivit.</w:t>
      </w:r>
    </w:p>
    <w:p w14:paraId="6C650039" w14:textId="4ABF7CAA" w:rsidR="009D71CC" w:rsidRDefault="00CB7CE8">
      <w:pPr>
        <w:ind w:firstLine="432"/>
      </w:pPr>
      <w:r>
        <w:lastRenderedPageBreak/>
        <w:t>V</w:t>
      </w:r>
      <w:r>
        <w:rPr>
          <w:rFonts w:ascii="Times New Roman" w:hAnsi="Times New Roman"/>
        </w:rPr>
        <w:t> </w:t>
      </w:r>
      <w:r>
        <w:t>dopravn</w:t>
      </w:r>
      <w:r>
        <w:rPr>
          <w:rFonts w:cs="Bookman Old Style"/>
        </w:rPr>
        <w:t>í</w:t>
      </w:r>
      <w:r>
        <w:t>m pl</w:t>
      </w:r>
      <w:r>
        <w:rPr>
          <w:rFonts w:cs="Bookman Old Style"/>
        </w:rPr>
        <w:t>á</w:t>
      </w:r>
      <w:r>
        <w:t>nov</w:t>
      </w:r>
      <w:r>
        <w:rPr>
          <w:rFonts w:cs="Bookman Old Style"/>
        </w:rPr>
        <w:t>á</w:t>
      </w:r>
      <w:r>
        <w:t>n</w:t>
      </w:r>
      <w:r>
        <w:rPr>
          <w:rFonts w:cs="Bookman Old Style"/>
        </w:rPr>
        <w:t>í</w:t>
      </w:r>
      <w:r>
        <w:t xml:space="preserve"> m</w:t>
      </w:r>
      <w:r>
        <w:rPr>
          <w:rFonts w:cs="Bookman Old Style"/>
        </w:rPr>
        <w:t>í</w:t>
      </w:r>
      <w:r>
        <w:t>sto toho pro stejné účely raději využívají cestovní čas a</w:t>
      </w:r>
      <w:r w:rsidR="005F368D">
        <w:t> </w:t>
      </w:r>
      <w:r>
        <w:t>prvky dopravních sítí. Naproti tomu skuteční uživatelé vnímají urbánní sítě jako prostorově rozptýlená místa s</w:t>
      </w:r>
      <w:r>
        <w:rPr>
          <w:rFonts w:ascii="Times New Roman" w:hAnsi="Times New Roman"/>
        </w:rPr>
        <w:t> </w:t>
      </w:r>
      <w:r>
        <w:t>ekonomickou aktivitou a vztahy mezi nimi.</w:t>
      </w:r>
    </w:p>
    <w:p w14:paraId="79C67B19" w14:textId="77777777" w:rsidR="009D71CC" w:rsidRDefault="00CB7CE8">
      <w:r>
        <w:t>Analýzy sítí se využívají při návrhu a plánování měst již několik desetiletí. Nicméně, do nedávné doby se vyskytovaly pouze v extrémně specializovaných aplikacích – jako jsou plánování řešení krizových situací, umístění kritických zařízení a nákladné projekty infrastruktury pro dopravu a služby. Snažení o použití analýzy sítí pro návrh běžných budov, veřejných prostranství a městských čtvrtí sahají až do 60. let, nicméně pouze v posledním desetiletí se architektům a plánovačům dostaly k dispozici nezbytné nástroje a data pro jejich široké využití. (Sevtsuk, 2018)</w:t>
      </w:r>
    </w:p>
    <w:p w14:paraId="4E6D599B" w14:textId="3D7B6ABA" w:rsidR="009D71CC" w:rsidRDefault="00CB7CE8">
      <w:pPr>
        <w:tabs>
          <w:tab w:val="left" w:pos="364"/>
        </w:tabs>
      </w:pPr>
      <w:r>
        <w:tab/>
        <w:t>V oblasti plánování urbánních sítí se často využívají koncepty z analýzy sociálních sítí, ale při jejich aplikaci na prostor města dochází k důležitým úpravám. Sociální sítě obvykle popisují vztahy mezi prvky sítě topologicky, zatímco v designu městského prostoru jsou pro popis vztahů mezi místy důležité geografické a geometrické faktory. Na Narozdíl od sociálních sítí, městské sítě využívají váhy pro jednotlivé charakteristiky. To vedlo výzkumníky k přizpůsobení reprezentace městských sítí a metrik, které se na ně aplikují. Upravené metody se pak staly základem pro urbanisty a architekty (Sevtsuk,</w:t>
      </w:r>
      <w:r w:rsidR="00084C4D">
        <w:t> </w:t>
      </w:r>
      <w:r>
        <w:t>2018).</w:t>
      </w:r>
    </w:p>
    <w:p w14:paraId="54135BF6" w14:textId="77777777" w:rsidR="009D71CC" w:rsidRDefault="00CB7CE8">
      <w:pPr>
        <w:tabs>
          <w:tab w:val="left" w:pos="364"/>
        </w:tabs>
      </w:pPr>
      <w:r>
        <w:t>Častými metodami využívaných při analýze urbánních sítí jsou:</w:t>
      </w:r>
    </w:p>
    <w:p w14:paraId="05BBBF3E" w14:textId="77777777" w:rsidR="009D71CC" w:rsidRDefault="00CB7CE8">
      <w:pPr>
        <w:tabs>
          <w:tab w:val="left" w:pos="364"/>
        </w:tabs>
      </w:pPr>
      <w:r>
        <w:tab/>
        <w:t>- dopravní dostupnost</w:t>
      </w:r>
    </w:p>
    <w:p w14:paraId="0EA45CF5" w14:textId="77777777" w:rsidR="009D71CC" w:rsidRDefault="00CB7CE8">
      <w:pPr>
        <w:tabs>
          <w:tab w:val="left" w:pos="364"/>
        </w:tabs>
      </w:pPr>
      <w:r>
        <w:tab/>
        <w:t>- propojení</w:t>
      </w:r>
    </w:p>
    <w:p w14:paraId="528ED5A8" w14:textId="77777777" w:rsidR="009D71CC" w:rsidRDefault="00CB7CE8">
      <w:pPr>
        <w:tabs>
          <w:tab w:val="left" w:pos="364"/>
        </w:tabs>
      </w:pPr>
      <w:r>
        <w:tab/>
        <w:t>- hierarchie</w:t>
      </w:r>
    </w:p>
    <w:p w14:paraId="4CA75FC7" w14:textId="77777777" w:rsidR="009D71CC" w:rsidRDefault="00CB7CE8">
      <w:pPr>
        <w:tabs>
          <w:tab w:val="left" w:pos="364"/>
        </w:tabs>
      </w:pPr>
      <w:r>
        <w:tab/>
        <w:t>- morfologie</w:t>
      </w:r>
    </w:p>
    <w:p w14:paraId="4C1235A6" w14:textId="77777777" w:rsidR="009D71CC" w:rsidRDefault="00CB7CE8">
      <w:pPr>
        <w:tabs>
          <w:tab w:val="left" w:pos="364"/>
        </w:tabs>
      </w:pPr>
      <w:r>
        <w:tab/>
        <w:t>- hustota ekonomické aktivity</w:t>
      </w:r>
    </w:p>
    <w:p w14:paraId="71A111C5" w14:textId="77777777" w:rsidR="009D71CC" w:rsidRDefault="00CB7CE8">
      <w:pPr>
        <w:tabs>
          <w:tab w:val="left" w:pos="364"/>
        </w:tabs>
      </w:pPr>
      <w:r>
        <w:tab/>
        <w:t>- geometrické a tvarové metriky sítí (tvar uliční sítě, centrálnost, …)</w:t>
      </w:r>
    </w:p>
    <w:p w14:paraId="4B33A50E" w14:textId="0302D32E" w:rsidR="001B4C28" w:rsidRDefault="00CB7CE8">
      <w:pPr>
        <w:tabs>
          <w:tab w:val="left" w:pos="364"/>
        </w:tabs>
      </w:pPr>
      <w:r>
        <w:t>tyto metody a techniky umožňují provést rozsáhlou analýzu urbánních sítí a identifikovat oblasti, které mohou být optimalizovány pro zlepšení dostupnosti, efektivity a bezpečnosti.</w:t>
      </w:r>
    </w:p>
    <w:p w14:paraId="1E6C2C02" w14:textId="77777777" w:rsidR="001B4C28" w:rsidRDefault="001B4C28">
      <w:pPr>
        <w:spacing w:before="0" w:after="0" w:line="240" w:lineRule="auto"/>
        <w:jc w:val="left"/>
      </w:pPr>
      <w:r>
        <w:br w:type="page"/>
      </w:r>
    </w:p>
    <w:p w14:paraId="2C278415" w14:textId="77777777" w:rsidR="009D71CC" w:rsidRDefault="009D71CC">
      <w:pPr>
        <w:tabs>
          <w:tab w:val="left" w:pos="364"/>
        </w:tabs>
      </w:pPr>
    </w:p>
    <w:p w14:paraId="174FF8E8" w14:textId="77777777" w:rsidR="009D71CC" w:rsidRDefault="00CB7CE8">
      <w:pPr>
        <w:pStyle w:val="Nadpis1"/>
        <w:tabs>
          <w:tab w:val="clear" w:pos="360"/>
          <w:tab w:val="left" w:pos="358"/>
        </w:tabs>
      </w:pPr>
      <w:bookmarkStart w:id="28" w:name="_Ref126663904"/>
      <w:bookmarkStart w:id="29" w:name="_Toc133957924"/>
      <w:bookmarkStart w:id="30" w:name="_Toc133611808"/>
      <w:bookmarkStart w:id="31" w:name="_Toc143013740"/>
      <w:r>
        <w:t>METODY A POSTUP ZPRACOVÁNÍ</w:t>
      </w:r>
      <w:bookmarkEnd w:id="28"/>
      <w:bookmarkEnd w:id="29"/>
      <w:bookmarkEnd w:id="30"/>
      <w:bookmarkEnd w:id="31"/>
    </w:p>
    <w:p w14:paraId="720CA88E" w14:textId="77777777" w:rsidR="009D71CC" w:rsidRDefault="00CB7CE8">
      <w:pPr>
        <w:tabs>
          <w:tab w:val="left" w:pos="358"/>
        </w:tabs>
      </w:pPr>
      <w:r>
        <w:t>V následující kapitole jsou popsány metody, postupy zpracování, data a software použité při tvorbě diplomové práce.</w:t>
      </w:r>
    </w:p>
    <w:p w14:paraId="6AAB4C57" w14:textId="77777777" w:rsidR="009D71CC" w:rsidRDefault="00CB7CE8">
      <w:pPr>
        <w:pStyle w:val="Nadpis2"/>
      </w:pPr>
      <w:bookmarkStart w:id="32" w:name="_Toc133611809"/>
      <w:bookmarkStart w:id="33" w:name="_Toc133957925"/>
      <w:bookmarkStart w:id="34" w:name="_Toc143013741"/>
      <w:r>
        <w:t>Postup zpracování</w:t>
      </w:r>
      <w:bookmarkEnd w:id="32"/>
      <w:bookmarkEnd w:id="33"/>
      <w:bookmarkEnd w:id="34"/>
    </w:p>
    <w:p w14:paraId="489C9014" w14:textId="77777777" w:rsidR="009D71CC" w:rsidRDefault="00CB7CE8">
      <w:pPr>
        <w:tabs>
          <w:tab w:val="left" w:pos="358"/>
        </w:tabs>
      </w:pPr>
      <w:r>
        <w:t>Postup práce byl zvolen na základě rešerše existujících prací a studia odborné literatury. Urbánní sítě byly diskutovány a vybrány tak, aby co nejlépe reflektovaly problematiku diplomové práce (</w:t>
      </w:r>
      <w:r>
        <w:fldChar w:fldCharType="begin"/>
      </w:r>
      <w:r>
        <w:instrText xml:space="preserve"> REF _Ref133958364 \h </w:instrText>
      </w:r>
      <w:r>
        <w:fldChar w:fldCharType="separate"/>
      </w:r>
      <w:r>
        <w:t>Obr. 2</w:t>
      </w:r>
      <w:r>
        <w:fldChar w:fldCharType="end"/>
      </w:r>
      <w:r>
        <w:t>). Zároveň byla brána v úvahu dostupnost a kvalita vstupních dat. Na základě získaných informací byly následně vybrány analýzy pro dané urbánní sítě, jako například hierarchie, obecná morfologie, nodalita, komplexnost a polycentricita.</w:t>
      </w:r>
    </w:p>
    <w:p w14:paraId="39502D60" w14:textId="77777777" w:rsidR="009D71CC" w:rsidRDefault="00CB7CE8">
      <w:pPr>
        <w:keepNext/>
        <w:tabs>
          <w:tab w:val="left" w:pos="358"/>
        </w:tabs>
        <w:jc w:val="center"/>
      </w:pPr>
      <w:r>
        <w:rPr>
          <w:noProof/>
        </w:rPr>
        <w:drawing>
          <wp:inline distT="0" distB="0" distL="0" distR="0" wp14:anchorId="0F11FC93" wp14:editId="40133F63">
            <wp:extent cx="5222240" cy="158686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5"/>
                    <a:stretch>
                      <a:fillRect/>
                    </a:stretch>
                  </pic:blipFill>
                  <pic:spPr bwMode="auto">
                    <a:xfrm>
                      <a:off x="0" y="0"/>
                      <a:ext cx="5222240" cy="1586865"/>
                    </a:xfrm>
                    <a:prstGeom prst="rect">
                      <a:avLst/>
                    </a:prstGeom>
                  </pic:spPr>
                </pic:pic>
              </a:graphicData>
            </a:graphic>
          </wp:inline>
        </w:drawing>
      </w:r>
    </w:p>
    <w:p w14:paraId="53E99B1C" w14:textId="4914B2F8" w:rsidR="009D71CC" w:rsidRDefault="00CB7CE8">
      <w:pPr>
        <w:pStyle w:val="Obrazek"/>
      </w:pPr>
      <w:bookmarkStart w:id="35" w:name="_Ref133958364"/>
      <w:r>
        <w:t xml:space="preserve">Obr. </w:t>
      </w:r>
      <w:fldSimple w:instr=" SEQ Obr. \* ARABIC ">
        <w:r w:rsidR="00865999">
          <w:rPr>
            <w:noProof/>
          </w:rPr>
          <w:t>2</w:t>
        </w:r>
      </w:fldSimple>
      <w:bookmarkEnd w:id="35"/>
      <w:r>
        <w:t xml:space="preserve"> Postup práce</w:t>
      </w:r>
    </w:p>
    <w:p w14:paraId="43F055D7" w14:textId="77777777" w:rsidR="009D71CC" w:rsidRDefault="00CB7CE8">
      <w:pPr>
        <w:tabs>
          <w:tab w:val="left" w:pos="358"/>
        </w:tabs>
      </w:pPr>
      <w:r>
        <w:tab/>
        <w:t>Analýzy byly prováděny chronologicky, podle postupu, který autor použil při výzkumu. Urbánní sítě byly zkoumány od nejmenšího měřítka (města) až po největší (nody). Socioekonomické aktivity byly zpracovány až jako poslední, ale částečná analýza byla provedena již při zkoumání samotných urbánních sítí.</w:t>
      </w:r>
    </w:p>
    <w:p w14:paraId="7619FCAF" w14:textId="77777777" w:rsidR="009D71CC" w:rsidRDefault="00CB7CE8">
      <w:pPr>
        <w:tabs>
          <w:tab w:val="left" w:pos="358"/>
        </w:tabs>
      </w:pPr>
      <w:r>
        <w:tab/>
        <w:t>Některé metody využívají Python skripty pro zpracování nebo analýzu dat. Proto byl postup práce zkrácen pouze na nezbytné informace. Podrobné informace týkající se knihoven, balíčků a nastavení jsou k dispozici v příloze. Posledním krokem diplomové práce bylo vyhodnocení výsledků a tvorba povinných výstupů.</w:t>
      </w:r>
    </w:p>
    <w:p w14:paraId="5DFFAEC6" w14:textId="77777777" w:rsidR="009D71CC" w:rsidRDefault="00CB7CE8">
      <w:pPr>
        <w:pStyle w:val="Nadpis2"/>
      </w:pPr>
      <w:bookmarkStart w:id="36" w:name="_Toc133611810"/>
      <w:bookmarkStart w:id="37" w:name="_Toc133957926"/>
      <w:bookmarkStart w:id="38" w:name="_Toc143013742"/>
      <w:r>
        <w:t>Města</w:t>
      </w:r>
      <w:bookmarkEnd w:id="36"/>
      <w:bookmarkEnd w:id="37"/>
      <w:bookmarkEnd w:id="38"/>
    </w:p>
    <w:p w14:paraId="34E0BCAB" w14:textId="77777777" w:rsidR="009D71CC" w:rsidRDefault="00CB7CE8">
      <w:pPr>
        <w:tabs>
          <w:tab w:val="left" w:pos="358"/>
        </w:tabs>
      </w:pPr>
      <w:r>
        <w:t>V diplomové práci bylo zkoumáno a hodnoceno celkem 29 velkých evropských měst. Výběr měst se snažil co nejvíce přiblížit strategii Loufa a Barthelemyho (2014), kteří vybírají města na základě rovnováhy mezi vysokým počtem obyvatel, regionálním významem a určitým rozvrstvením, aby byla zajištěna geografická rozmanitost v rámci Evropy. I když mají některé státy více zastoupení, neznamená to, že jsou města stejná nebo podobná, protože jejich historický nebo ekonomický vývoj může být zcela odlišný.</w:t>
      </w:r>
    </w:p>
    <w:p w14:paraId="7B8EC1CA" w14:textId="77777777" w:rsidR="00590A11" w:rsidRDefault="00590A11">
      <w:pPr>
        <w:spacing w:before="0" w:after="0" w:line="240" w:lineRule="auto"/>
        <w:jc w:val="left"/>
        <w:rPr>
          <w:sz w:val="18"/>
          <w:szCs w:val="22"/>
        </w:rPr>
      </w:pPr>
      <w:r>
        <w:br w:type="page"/>
      </w:r>
    </w:p>
    <w:p w14:paraId="5A50629A" w14:textId="34BF9310" w:rsidR="00590A11" w:rsidRDefault="00590A11" w:rsidP="00590A11">
      <w:pPr>
        <w:pStyle w:val="Obrazek"/>
        <w:jc w:val="left"/>
      </w:pPr>
      <w:r>
        <w:lastRenderedPageBreak/>
        <w:t xml:space="preserve">Tab. </w:t>
      </w:r>
      <w:fldSimple w:instr=" SEQ Tab. \* ARABIC ">
        <w:r w:rsidR="00005BBA">
          <w:rPr>
            <w:noProof/>
          </w:rPr>
          <w:t>2</w:t>
        </w:r>
      </w:fldSimple>
      <w:r>
        <w:t xml:space="preserve"> </w:t>
      </w:r>
      <w:r w:rsidRPr="001C2AA7">
        <w:t>Města analyzovaná v diplomové práci</w:t>
      </w:r>
    </w:p>
    <w:tbl>
      <w:tblPr>
        <w:tblW w:w="8285" w:type="dxa"/>
        <w:jc w:val="center"/>
        <w:tblLayout w:type="fixed"/>
        <w:tblCellMar>
          <w:left w:w="30" w:type="dxa"/>
          <w:right w:w="30" w:type="dxa"/>
        </w:tblCellMar>
        <w:tblLook w:val="04A0" w:firstRow="1" w:lastRow="0" w:firstColumn="1" w:lastColumn="0" w:noHBand="0" w:noVBand="1"/>
      </w:tblPr>
      <w:tblGrid>
        <w:gridCol w:w="1614"/>
        <w:gridCol w:w="1628"/>
        <w:gridCol w:w="2517"/>
        <w:gridCol w:w="2526"/>
      </w:tblGrid>
      <w:tr w:rsidR="009D71CC" w14:paraId="64FF9942"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2CB2C4B0" w14:textId="77777777" w:rsidR="009D71CC" w:rsidRDefault="00CB7CE8">
            <w:pPr>
              <w:keepNext/>
              <w:widowControl w:val="0"/>
              <w:suppressAutoHyphens w:val="0"/>
              <w:jc w:val="left"/>
              <w:rPr>
                <w:b/>
                <w:bCs/>
              </w:rPr>
            </w:pPr>
            <w:r>
              <w:rPr>
                <w:b/>
                <w:bCs/>
              </w:rPr>
              <w:t>Město</w:t>
            </w:r>
          </w:p>
        </w:tc>
        <w:tc>
          <w:tcPr>
            <w:tcW w:w="1628" w:type="dxa"/>
            <w:tcBorders>
              <w:top w:val="single" w:sz="4" w:space="0" w:color="000000"/>
              <w:left w:val="single" w:sz="4" w:space="0" w:color="000000"/>
              <w:bottom w:val="single" w:sz="4" w:space="0" w:color="000000"/>
              <w:right w:val="single" w:sz="4" w:space="0" w:color="000000"/>
            </w:tcBorders>
            <w:vAlign w:val="center"/>
          </w:tcPr>
          <w:p w14:paraId="6130623C" w14:textId="77777777" w:rsidR="009D71CC" w:rsidRDefault="00CB7CE8">
            <w:pPr>
              <w:keepNext/>
              <w:widowControl w:val="0"/>
              <w:suppressAutoHyphens w:val="0"/>
              <w:jc w:val="center"/>
              <w:rPr>
                <w:b/>
                <w:bCs/>
              </w:rPr>
            </w:pPr>
            <w:r>
              <w:rPr>
                <w:b/>
                <w:bCs/>
              </w:rPr>
              <w:t>Plocha v km</w:t>
            </w:r>
            <w:r>
              <w:rPr>
                <w:b/>
                <w:bCs/>
                <w:vertAlign w:val="superscript"/>
              </w:rPr>
              <w:t>2</w:t>
            </w:r>
          </w:p>
        </w:tc>
        <w:tc>
          <w:tcPr>
            <w:tcW w:w="2517" w:type="dxa"/>
            <w:tcBorders>
              <w:top w:val="single" w:sz="4" w:space="0" w:color="000000"/>
              <w:left w:val="single" w:sz="4" w:space="0" w:color="000000"/>
              <w:bottom w:val="single" w:sz="4" w:space="0" w:color="000000"/>
              <w:right w:val="single" w:sz="4" w:space="0" w:color="000000"/>
            </w:tcBorders>
            <w:vAlign w:val="center"/>
          </w:tcPr>
          <w:p w14:paraId="183590E2" w14:textId="77777777" w:rsidR="009D71CC" w:rsidRDefault="00CB7CE8">
            <w:pPr>
              <w:keepNext/>
              <w:widowControl w:val="0"/>
              <w:suppressAutoHyphens w:val="0"/>
              <w:jc w:val="center"/>
              <w:rPr>
                <w:b/>
                <w:bCs/>
              </w:rPr>
            </w:pPr>
            <w:r>
              <w:rPr>
                <w:b/>
                <w:bCs/>
              </w:rPr>
              <w:t>Počet obyvatel v mil.</w:t>
            </w:r>
          </w:p>
        </w:tc>
        <w:tc>
          <w:tcPr>
            <w:tcW w:w="2526" w:type="dxa"/>
            <w:tcBorders>
              <w:top w:val="single" w:sz="4" w:space="0" w:color="000000"/>
              <w:left w:val="single" w:sz="4" w:space="0" w:color="000000"/>
              <w:bottom w:val="single" w:sz="4" w:space="0" w:color="000000"/>
              <w:right w:val="single" w:sz="4" w:space="0" w:color="000000"/>
            </w:tcBorders>
            <w:vAlign w:val="center"/>
          </w:tcPr>
          <w:p w14:paraId="5A03F5F5" w14:textId="77777777" w:rsidR="009D71CC" w:rsidRDefault="00CB7CE8">
            <w:pPr>
              <w:keepNext/>
              <w:widowControl w:val="0"/>
              <w:suppressAutoHyphens w:val="0"/>
              <w:jc w:val="center"/>
              <w:rPr>
                <w:b/>
                <w:bCs/>
              </w:rPr>
            </w:pPr>
            <w:r>
              <w:rPr>
                <w:b/>
                <w:bCs/>
              </w:rPr>
              <w:t>Hustota zalidnění</w:t>
            </w:r>
          </w:p>
        </w:tc>
      </w:tr>
      <w:tr w:rsidR="009D71CC" w14:paraId="056F5996"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3CA77056" w14:textId="77777777" w:rsidR="009D71CC" w:rsidRDefault="00CB7CE8">
            <w:pPr>
              <w:keepNext/>
              <w:widowControl w:val="0"/>
              <w:suppressAutoHyphens w:val="0"/>
              <w:jc w:val="left"/>
            </w:pPr>
            <w:r>
              <w:t>Amsterdam</w:t>
            </w:r>
          </w:p>
        </w:tc>
        <w:tc>
          <w:tcPr>
            <w:tcW w:w="1628" w:type="dxa"/>
            <w:tcBorders>
              <w:top w:val="single" w:sz="4" w:space="0" w:color="000000"/>
              <w:left w:val="single" w:sz="4" w:space="0" w:color="000000"/>
              <w:bottom w:val="single" w:sz="4" w:space="0" w:color="000000"/>
              <w:right w:val="single" w:sz="4" w:space="0" w:color="000000"/>
            </w:tcBorders>
            <w:vAlign w:val="center"/>
          </w:tcPr>
          <w:p w14:paraId="7E8D7AA4" w14:textId="77777777" w:rsidR="009D71CC" w:rsidRDefault="00CB7CE8">
            <w:pPr>
              <w:keepNext/>
              <w:widowControl w:val="0"/>
              <w:suppressAutoHyphens w:val="0"/>
              <w:jc w:val="center"/>
            </w:pPr>
            <w:r>
              <w:t>570.18</w:t>
            </w:r>
          </w:p>
        </w:tc>
        <w:tc>
          <w:tcPr>
            <w:tcW w:w="2517" w:type="dxa"/>
            <w:tcBorders>
              <w:top w:val="single" w:sz="4" w:space="0" w:color="000000"/>
              <w:left w:val="single" w:sz="4" w:space="0" w:color="000000"/>
              <w:bottom w:val="single" w:sz="4" w:space="0" w:color="000000"/>
              <w:right w:val="single" w:sz="4" w:space="0" w:color="000000"/>
            </w:tcBorders>
            <w:vAlign w:val="center"/>
          </w:tcPr>
          <w:p w14:paraId="14A6D8E5" w14:textId="77777777" w:rsidR="009D71CC" w:rsidRDefault="00CB7CE8">
            <w:pPr>
              <w:keepNext/>
              <w:widowControl w:val="0"/>
              <w:suppressAutoHyphens w:val="0"/>
              <w:jc w:val="center"/>
            </w:pPr>
            <w:r>
              <w:t>1.28</w:t>
            </w:r>
          </w:p>
        </w:tc>
        <w:tc>
          <w:tcPr>
            <w:tcW w:w="2526" w:type="dxa"/>
            <w:tcBorders>
              <w:top w:val="single" w:sz="4" w:space="0" w:color="000000"/>
              <w:left w:val="single" w:sz="4" w:space="0" w:color="000000"/>
              <w:bottom w:val="single" w:sz="4" w:space="0" w:color="000000"/>
              <w:right w:val="single" w:sz="4" w:space="0" w:color="000000"/>
            </w:tcBorders>
            <w:vAlign w:val="center"/>
          </w:tcPr>
          <w:p w14:paraId="5FDB91A5" w14:textId="77777777" w:rsidR="009D71CC" w:rsidRDefault="00CB7CE8">
            <w:pPr>
              <w:keepNext/>
              <w:widowControl w:val="0"/>
              <w:suppressAutoHyphens w:val="0"/>
              <w:jc w:val="center"/>
            </w:pPr>
            <w:r>
              <w:t>2251.01</w:t>
            </w:r>
          </w:p>
        </w:tc>
      </w:tr>
      <w:tr w:rsidR="009D71CC" w14:paraId="05165032"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1BCC7F86" w14:textId="77777777" w:rsidR="009D71CC" w:rsidRDefault="00CB7CE8">
            <w:pPr>
              <w:keepNext/>
              <w:widowControl w:val="0"/>
              <w:suppressAutoHyphens w:val="0"/>
              <w:jc w:val="left"/>
            </w:pPr>
            <w:r>
              <w:t>Antverpy</w:t>
            </w:r>
          </w:p>
        </w:tc>
        <w:tc>
          <w:tcPr>
            <w:tcW w:w="1628" w:type="dxa"/>
            <w:tcBorders>
              <w:top w:val="single" w:sz="4" w:space="0" w:color="000000"/>
              <w:left w:val="single" w:sz="4" w:space="0" w:color="000000"/>
              <w:bottom w:val="single" w:sz="4" w:space="0" w:color="000000"/>
              <w:right w:val="single" w:sz="4" w:space="0" w:color="000000"/>
            </w:tcBorders>
            <w:vAlign w:val="center"/>
          </w:tcPr>
          <w:p w14:paraId="0F44FBB8" w14:textId="77777777" w:rsidR="009D71CC" w:rsidRDefault="00CB7CE8">
            <w:pPr>
              <w:keepNext/>
              <w:widowControl w:val="0"/>
              <w:suppressAutoHyphens w:val="0"/>
              <w:jc w:val="center"/>
            </w:pPr>
            <w:r>
              <w:t>347.71</w:t>
            </w:r>
          </w:p>
        </w:tc>
        <w:tc>
          <w:tcPr>
            <w:tcW w:w="2517" w:type="dxa"/>
            <w:tcBorders>
              <w:top w:val="single" w:sz="4" w:space="0" w:color="000000"/>
              <w:left w:val="single" w:sz="4" w:space="0" w:color="000000"/>
              <w:bottom w:val="single" w:sz="4" w:space="0" w:color="000000"/>
              <w:right w:val="single" w:sz="4" w:space="0" w:color="000000"/>
            </w:tcBorders>
            <w:vAlign w:val="center"/>
          </w:tcPr>
          <w:p w14:paraId="6479729F" w14:textId="77777777" w:rsidR="009D71CC" w:rsidRDefault="00CB7CE8">
            <w:pPr>
              <w:keepNext/>
              <w:widowControl w:val="0"/>
              <w:suppressAutoHyphens w:val="0"/>
              <w:jc w:val="center"/>
            </w:pPr>
            <w:r>
              <w:t>0.70</w:t>
            </w:r>
          </w:p>
        </w:tc>
        <w:tc>
          <w:tcPr>
            <w:tcW w:w="2526" w:type="dxa"/>
            <w:tcBorders>
              <w:top w:val="single" w:sz="4" w:space="0" w:color="000000"/>
              <w:left w:val="single" w:sz="4" w:space="0" w:color="000000"/>
              <w:bottom w:val="single" w:sz="4" w:space="0" w:color="000000"/>
              <w:right w:val="single" w:sz="4" w:space="0" w:color="000000"/>
            </w:tcBorders>
            <w:vAlign w:val="center"/>
          </w:tcPr>
          <w:p w14:paraId="222F211E" w14:textId="77777777" w:rsidR="009D71CC" w:rsidRDefault="00CB7CE8">
            <w:pPr>
              <w:keepNext/>
              <w:widowControl w:val="0"/>
              <w:suppressAutoHyphens w:val="0"/>
              <w:jc w:val="center"/>
            </w:pPr>
            <w:r>
              <w:t>2000.86</w:t>
            </w:r>
          </w:p>
        </w:tc>
      </w:tr>
      <w:tr w:rsidR="009D71CC" w14:paraId="4FE6C9FA"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440F4EE7" w14:textId="77777777" w:rsidR="009D71CC" w:rsidRDefault="00CB7CE8">
            <w:pPr>
              <w:keepNext/>
              <w:widowControl w:val="0"/>
              <w:suppressAutoHyphens w:val="0"/>
              <w:jc w:val="left"/>
            </w:pPr>
            <w:r>
              <w:t>Atény</w:t>
            </w:r>
          </w:p>
        </w:tc>
        <w:tc>
          <w:tcPr>
            <w:tcW w:w="1628" w:type="dxa"/>
            <w:tcBorders>
              <w:top w:val="single" w:sz="4" w:space="0" w:color="000000"/>
              <w:left w:val="single" w:sz="4" w:space="0" w:color="000000"/>
              <w:bottom w:val="single" w:sz="4" w:space="0" w:color="000000"/>
              <w:right w:val="single" w:sz="4" w:space="0" w:color="000000"/>
            </w:tcBorders>
            <w:vAlign w:val="center"/>
          </w:tcPr>
          <w:p w14:paraId="1A52CB5D" w14:textId="77777777" w:rsidR="009D71CC" w:rsidRDefault="00CB7CE8">
            <w:pPr>
              <w:keepNext/>
              <w:widowControl w:val="0"/>
              <w:suppressAutoHyphens w:val="0"/>
              <w:jc w:val="center"/>
            </w:pPr>
            <w:r>
              <w:t>584.90</w:t>
            </w:r>
          </w:p>
        </w:tc>
        <w:tc>
          <w:tcPr>
            <w:tcW w:w="2517" w:type="dxa"/>
            <w:tcBorders>
              <w:top w:val="single" w:sz="4" w:space="0" w:color="000000"/>
              <w:left w:val="single" w:sz="4" w:space="0" w:color="000000"/>
              <w:bottom w:val="single" w:sz="4" w:space="0" w:color="000000"/>
              <w:right w:val="single" w:sz="4" w:space="0" w:color="000000"/>
            </w:tcBorders>
            <w:vAlign w:val="center"/>
          </w:tcPr>
          <w:p w14:paraId="75506149" w14:textId="77777777" w:rsidR="009D71CC" w:rsidRDefault="00CB7CE8">
            <w:pPr>
              <w:keepNext/>
              <w:widowControl w:val="0"/>
              <w:suppressAutoHyphens w:val="0"/>
              <w:jc w:val="center"/>
            </w:pPr>
            <w:r>
              <w:t>3.25</w:t>
            </w:r>
          </w:p>
        </w:tc>
        <w:tc>
          <w:tcPr>
            <w:tcW w:w="2526" w:type="dxa"/>
            <w:tcBorders>
              <w:top w:val="single" w:sz="4" w:space="0" w:color="000000"/>
              <w:left w:val="single" w:sz="4" w:space="0" w:color="000000"/>
              <w:bottom w:val="single" w:sz="4" w:space="0" w:color="000000"/>
              <w:right w:val="single" w:sz="4" w:space="0" w:color="000000"/>
            </w:tcBorders>
            <w:vAlign w:val="center"/>
          </w:tcPr>
          <w:p w14:paraId="27B117B2" w14:textId="77777777" w:rsidR="009D71CC" w:rsidRDefault="00CB7CE8">
            <w:pPr>
              <w:keepNext/>
              <w:widowControl w:val="0"/>
              <w:suppressAutoHyphens w:val="0"/>
              <w:jc w:val="center"/>
            </w:pPr>
            <w:r>
              <w:t>5562.00</w:t>
            </w:r>
          </w:p>
        </w:tc>
      </w:tr>
      <w:tr w:rsidR="009D71CC" w14:paraId="1CF564CF"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63DF4C24" w14:textId="77777777" w:rsidR="009D71CC" w:rsidRDefault="00CB7CE8">
            <w:pPr>
              <w:keepNext/>
              <w:widowControl w:val="0"/>
              <w:suppressAutoHyphens w:val="0"/>
              <w:jc w:val="left"/>
            </w:pPr>
            <w:r>
              <w:t>Barcelona</w:t>
            </w:r>
          </w:p>
        </w:tc>
        <w:tc>
          <w:tcPr>
            <w:tcW w:w="1628" w:type="dxa"/>
            <w:tcBorders>
              <w:top w:val="single" w:sz="4" w:space="0" w:color="000000"/>
              <w:left w:val="single" w:sz="4" w:space="0" w:color="000000"/>
              <w:bottom w:val="single" w:sz="4" w:space="0" w:color="000000"/>
              <w:right w:val="single" w:sz="4" w:space="0" w:color="000000"/>
            </w:tcBorders>
            <w:vAlign w:val="center"/>
          </w:tcPr>
          <w:p w14:paraId="0878F67F" w14:textId="77777777" w:rsidR="009D71CC" w:rsidRDefault="00CB7CE8">
            <w:pPr>
              <w:keepNext/>
              <w:widowControl w:val="0"/>
              <w:suppressAutoHyphens w:val="0"/>
              <w:jc w:val="center"/>
            </w:pPr>
            <w:r>
              <w:t>694.32</w:t>
            </w:r>
          </w:p>
        </w:tc>
        <w:tc>
          <w:tcPr>
            <w:tcW w:w="2517" w:type="dxa"/>
            <w:tcBorders>
              <w:top w:val="single" w:sz="4" w:space="0" w:color="000000"/>
              <w:left w:val="single" w:sz="4" w:space="0" w:color="000000"/>
              <w:bottom w:val="single" w:sz="4" w:space="0" w:color="000000"/>
              <w:right w:val="single" w:sz="4" w:space="0" w:color="000000"/>
            </w:tcBorders>
            <w:vAlign w:val="center"/>
          </w:tcPr>
          <w:p w14:paraId="23950B74" w14:textId="77777777" w:rsidR="009D71CC" w:rsidRDefault="00CB7CE8">
            <w:pPr>
              <w:keepNext/>
              <w:widowControl w:val="0"/>
              <w:suppressAutoHyphens w:val="0"/>
              <w:jc w:val="center"/>
            </w:pPr>
            <w:r>
              <w:t>3.53</w:t>
            </w:r>
          </w:p>
        </w:tc>
        <w:tc>
          <w:tcPr>
            <w:tcW w:w="2526" w:type="dxa"/>
            <w:tcBorders>
              <w:top w:val="single" w:sz="4" w:space="0" w:color="000000"/>
              <w:left w:val="single" w:sz="4" w:space="0" w:color="000000"/>
              <w:bottom w:val="single" w:sz="4" w:space="0" w:color="000000"/>
              <w:right w:val="single" w:sz="4" w:space="0" w:color="000000"/>
            </w:tcBorders>
            <w:vAlign w:val="center"/>
          </w:tcPr>
          <w:p w14:paraId="27E52627" w14:textId="77777777" w:rsidR="009D71CC" w:rsidRDefault="00CB7CE8">
            <w:pPr>
              <w:keepNext/>
              <w:widowControl w:val="0"/>
              <w:suppressAutoHyphens w:val="0"/>
              <w:jc w:val="center"/>
            </w:pPr>
            <w:r>
              <w:t>5087.60</w:t>
            </w:r>
          </w:p>
        </w:tc>
      </w:tr>
      <w:tr w:rsidR="009D71CC" w14:paraId="5102EFB0"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0D292D59" w14:textId="77777777" w:rsidR="009D71CC" w:rsidRDefault="00CB7CE8">
            <w:pPr>
              <w:keepNext/>
              <w:widowControl w:val="0"/>
              <w:suppressAutoHyphens w:val="0"/>
              <w:jc w:val="left"/>
            </w:pPr>
            <w:r>
              <w:t>Berlín</w:t>
            </w:r>
          </w:p>
        </w:tc>
        <w:tc>
          <w:tcPr>
            <w:tcW w:w="1628" w:type="dxa"/>
            <w:tcBorders>
              <w:top w:val="single" w:sz="4" w:space="0" w:color="000000"/>
              <w:left w:val="single" w:sz="4" w:space="0" w:color="000000"/>
              <w:bottom w:val="single" w:sz="4" w:space="0" w:color="000000"/>
              <w:right w:val="single" w:sz="4" w:space="0" w:color="000000"/>
            </w:tcBorders>
            <w:vAlign w:val="center"/>
          </w:tcPr>
          <w:p w14:paraId="7FBD6221" w14:textId="77777777" w:rsidR="009D71CC" w:rsidRDefault="00CB7CE8">
            <w:pPr>
              <w:keepNext/>
              <w:widowControl w:val="0"/>
              <w:suppressAutoHyphens w:val="0"/>
              <w:jc w:val="center"/>
            </w:pPr>
            <w:r>
              <w:t>1271.18</w:t>
            </w:r>
          </w:p>
        </w:tc>
        <w:tc>
          <w:tcPr>
            <w:tcW w:w="2517" w:type="dxa"/>
            <w:tcBorders>
              <w:top w:val="single" w:sz="4" w:space="0" w:color="000000"/>
              <w:left w:val="single" w:sz="4" w:space="0" w:color="000000"/>
              <w:bottom w:val="single" w:sz="4" w:space="0" w:color="000000"/>
              <w:right w:val="single" w:sz="4" w:space="0" w:color="000000"/>
            </w:tcBorders>
            <w:vAlign w:val="center"/>
          </w:tcPr>
          <w:p w14:paraId="1F6A920A" w14:textId="77777777" w:rsidR="009D71CC" w:rsidRDefault="00CB7CE8">
            <w:pPr>
              <w:keepNext/>
              <w:widowControl w:val="0"/>
              <w:suppressAutoHyphens w:val="0"/>
              <w:jc w:val="center"/>
            </w:pPr>
            <w:r>
              <w:t>3.94</w:t>
            </w:r>
          </w:p>
        </w:tc>
        <w:tc>
          <w:tcPr>
            <w:tcW w:w="2526" w:type="dxa"/>
            <w:tcBorders>
              <w:top w:val="single" w:sz="4" w:space="0" w:color="000000"/>
              <w:left w:val="single" w:sz="4" w:space="0" w:color="000000"/>
              <w:bottom w:val="single" w:sz="4" w:space="0" w:color="000000"/>
              <w:right w:val="single" w:sz="4" w:space="0" w:color="000000"/>
            </w:tcBorders>
            <w:vAlign w:val="center"/>
          </w:tcPr>
          <w:p w14:paraId="56713B76" w14:textId="77777777" w:rsidR="009D71CC" w:rsidRDefault="00CB7CE8">
            <w:pPr>
              <w:keepNext/>
              <w:widowControl w:val="0"/>
              <w:suppressAutoHyphens w:val="0"/>
              <w:jc w:val="center"/>
            </w:pPr>
            <w:r>
              <w:t>3095.88</w:t>
            </w:r>
          </w:p>
        </w:tc>
      </w:tr>
      <w:tr w:rsidR="009D71CC" w14:paraId="76D9105D"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78B21A43" w14:textId="77777777" w:rsidR="009D71CC" w:rsidRDefault="00CB7CE8">
            <w:pPr>
              <w:keepNext/>
              <w:widowControl w:val="0"/>
              <w:suppressAutoHyphens w:val="0"/>
              <w:jc w:val="left"/>
            </w:pPr>
            <w:r>
              <w:t>Bratislava</w:t>
            </w:r>
          </w:p>
        </w:tc>
        <w:tc>
          <w:tcPr>
            <w:tcW w:w="1628" w:type="dxa"/>
            <w:tcBorders>
              <w:top w:val="single" w:sz="4" w:space="0" w:color="000000"/>
              <w:left w:val="single" w:sz="4" w:space="0" w:color="000000"/>
              <w:bottom w:val="single" w:sz="4" w:space="0" w:color="000000"/>
              <w:right w:val="single" w:sz="4" w:space="0" w:color="000000"/>
            </w:tcBorders>
            <w:vAlign w:val="center"/>
          </w:tcPr>
          <w:p w14:paraId="63A668AF" w14:textId="77777777" w:rsidR="009D71CC" w:rsidRDefault="00CB7CE8">
            <w:pPr>
              <w:keepNext/>
              <w:widowControl w:val="0"/>
              <w:suppressAutoHyphens w:val="0"/>
              <w:jc w:val="center"/>
            </w:pPr>
            <w:r>
              <w:t>483.64</w:t>
            </w:r>
          </w:p>
        </w:tc>
        <w:tc>
          <w:tcPr>
            <w:tcW w:w="2517" w:type="dxa"/>
            <w:tcBorders>
              <w:top w:val="single" w:sz="4" w:space="0" w:color="000000"/>
              <w:left w:val="single" w:sz="4" w:space="0" w:color="000000"/>
              <w:bottom w:val="single" w:sz="4" w:space="0" w:color="000000"/>
              <w:right w:val="single" w:sz="4" w:space="0" w:color="000000"/>
            </w:tcBorders>
            <w:vAlign w:val="center"/>
          </w:tcPr>
          <w:p w14:paraId="020AF498" w14:textId="77777777" w:rsidR="009D71CC" w:rsidRDefault="00CB7CE8">
            <w:pPr>
              <w:keepNext/>
              <w:widowControl w:val="0"/>
              <w:suppressAutoHyphens w:val="0"/>
              <w:jc w:val="center"/>
            </w:pPr>
            <w:r>
              <w:t>0.45</w:t>
            </w:r>
          </w:p>
        </w:tc>
        <w:tc>
          <w:tcPr>
            <w:tcW w:w="2526" w:type="dxa"/>
            <w:tcBorders>
              <w:top w:val="single" w:sz="4" w:space="0" w:color="000000"/>
              <w:left w:val="single" w:sz="4" w:space="0" w:color="000000"/>
              <w:bottom w:val="single" w:sz="4" w:space="0" w:color="000000"/>
              <w:right w:val="single" w:sz="4" w:space="0" w:color="000000"/>
            </w:tcBorders>
            <w:vAlign w:val="center"/>
          </w:tcPr>
          <w:p w14:paraId="795617B9" w14:textId="77777777" w:rsidR="009D71CC" w:rsidRDefault="00CB7CE8">
            <w:pPr>
              <w:keepNext/>
              <w:widowControl w:val="0"/>
              <w:suppressAutoHyphens w:val="0"/>
              <w:jc w:val="center"/>
            </w:pPr>
            <w:r>
              <w:t>935.86</w:t>
            </w:r>
          </w:p>
        </w:tc>
      </w:tr>
      <w:tr w:rsidR="009D71CC" w14:paraId="0A7356EC"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0055AFCF" w14:textId="77777777" w:rsidR="009D71CC" w:rsidRDefault="00CB7CE8">
            <w:pPr>
              <w:keepNext/>
              <w:widowControl w:val="0"/>
              <w:suppressAutoHyphens w:val="0"/>
              <w:jc w:val="left"/>
            </w:pPr>
            <w:r>
              <w:t>Brémy</w:t>
            </w:r>
          </w:p>
        </w:tc>
        <w:tc>
          <w:tcPr>
            <w:tcW w:w="1628" w:type="dxa"/>
            <w:tcBorders>
              <w:top w:val="single" w:sz="4" w:space="0" w:color="000000"/>
              <w:left w:val="single" w:sz="4" w:space="0" w:color="000000"/>
              <w:bottom w:val="single" w:sz="4" w:space="0" w:color="000000"/>
              <w:right w:val="single" w:sz="4" w:space="0" w:color="000000"/>
            </w:tcBorders>
            <w:vAlign w:val="center"/>
          </w:tcPr>
          <w:p w14:paraId="72463A97" w14:textId="77777777" w:rsidR="009D71CC" w:rsidRDefault="00CB7CE8">
            <w:pPr>
              <w:keepNext/>
              <w:widowControl w:val="0"/>
              <w:suppressAutoHyphens w:val="0"/>
              <w:jc w:val="center"/>
            </w:pPr>
            <w:r>
              <w:t>508.59</w:t>
            </w:r>
          </w:p>
        </w:tc>
        <w:tc>
          <w:tcPr>
            <w:tcW w:w="2517" w:type="dxa"/>
            <w:tcBorders>
              <w:top w:val="single" w:sz="4" w:space="0" w:color="000000"/>
              <w:left w:val="single" w:sz="4" w:space="0" w:color="000000"/>
              <w:bottom w:val="single" w:sz="4" w:space="0" w:color="000000"/>
              <w:right w:val="single" w:sz="4" w:space="0" w:color="000000"/>
            </w:tcBorders>
            <w:vAlign w:val="center"/>
          </w:tcPr>
          <w:p w14:paraId="0B429B03" w14:textId="77777777" w:rsidR="009D71CC" w:rsidRDefault="00CB7CE8">
            <w:pPr>
              <w:keepNext/>
              <w:widowControl w:val="0"/>
              <w:suppressAutoHyphens w:val="0"/>
              <w:jc w:val="center"/>
            </w:pPr>
            <w:r>
              <w:t>0.64</w:t>
            </w:r>
          </w:p>
        </w:tc>
        <w:tc>
          <w:tcPr>
            <w:tcW w:w="2526" w:type="dxa"/>
            <w:tcBorders>
              <w:top w:val="single" w:sz="4" w:space="0" w:color="000000"/>
              <w:left w:val="single" w:sz="4" w:space="0" w:color="000000"/>
              <w:bottom w:val="single" w:sz="4" w:space="0" w:color="000000"/>
              <w:right w:val="single" w:sz="4" w:space="0" w:color="000000"/>
            </w:tcBorders>
            <w:vAlign w:val="center"/>
          </w:tcPr>
          <w:p w14:paraId="15417006" w14:textId="77777777" w:rsidR="009D71CC" w:rsidRDefault="00CB7CE8">
            <w:pPr>
              <w:keepNext/>
              <w:widowControl w:val="0"/>
              <w:suppressAutoHyphens w:val="0"/>
              <w:jc w:val="center"/>
            </w:pPr>
            <w:r>
              <w:t>1256.81</w:t>
            </w:r>
          </w:p>
        </w:tc>
      </w:tr>
      <w:tr w:rsidR="009D71CC" w14:paraId="7B12C7F9"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05DA4CD1" w14:textId="77777777" w:rsidR="009D71CC" w:rsidRDefault="00CB7CE8">
            <w:pPr>
              <w:keepNext/>
              <w:widowControl w:val="0"/>
              <w:suppressAutoHyphens w:val="0"/>
              <w:jc w:val="left"/>
            </w:pPr>
            <w:r>
              <w:t>Budapešť</w:t>
            </w:r>
          </w:p>
        </w:tc>
        <w:tc>
          <w:tcPr>
            <w:tcW w:w="1628" w:type="dxa"/>
            <w:tcBorders>
              <w:top w:val="single" w:sz="4" w:space="0" w:color="000000"/>
              <w:left w:val="single" w:sz="4" w:space="0" w:color="000000"/>
              <w:bottom w:val="single" w:sz="4" w:space="0" w:color="000000"/>
              <w:right w:val="single" w:sz="4" w:space="0" w:color="000000"/>
            </w:tcBorders>
            <w:vAlign w:val="center"/>
          </w:tcPr>
          <w:p w14:paraId="22C1A06E" w14:textId="77777777" w:rsidR="009D71CC" w:rsidRDefault="00CB7CE8">
            <w:pPr>
              <w:keepNext/>
              <w:widowControl w:val="0"/>
              <w:suppressAutoHyphens w:val="0"/>
              <w:jc w:val="center"/>
            </w:pPr>
            <w:r>
              <w:t>769.97</w:t>
            </w:r>
          </w:p>
        </w:tc>
        <w:tc>
          <w:tcPr>
            <w:tcW w:w="2517" w:type="dxa"/>
            <w:tcBorders>
              <w:top w:val="single" w:sz="4" w:space="0" w:color="000000"/>
              <w:left w:val="single" w:sz="4" w:space="0" w:color="000000"/>
              <w:bottom w:val="single" w:sz="4" w:space="0" w:color="000000"/>
              <w:right w:val="single" w:sz="4" w:space="0" w:color="000000"/>
            </w:tcBorders>
            <w:vAlign w:val="center"/>
          </w:tcPr>
          <w:p w14:paraId="79345FC5" w14:textId="77777777" w:rsidR="009D71CC" w:rsidRDefault="00CB7CE8">
            <w:pPr>
              <w:keepNext/>
              <w:widowControl w:val="0"/>
              <w:suppressAutoHyphens w:val="0"/>
              <w:jc w:val="center"/>
            </w:pPr>
            <w:r>
              <w:t>1.94</w:t>
            </w:r>
          </w:p>
        </w:tc>
        <w:tc>
          <w:tcPr>
            <w:tcW w:w="2526" w:type="dxa"/>
            <w:tcBorders>
              <w:top w:val="single" w:sz="4" w:space="0" w:color="000000"/>
              <w:left w:val="single" w:sz="4" w:space="0" w:color="000000"/>
              <w:bottom w:val="single" w:sz="4" w:space="0" w:color="000000"/>
              <w:right w:val="single" w:sz="4" w:space="0" w:color="000000"/>
            </w:tcBorders>
            <w:vAlign w:val="center"/>
          </w:tcPr>
          <w:p w14:paraId="694AF12A" w14:textId="77777777" w:rsidR="009D71CC" w:rsidRDefault="00CB7CE8">
            <w:pPr>
              <w:keepNext/>
              <w:widowControl w:val="0"/>
              <w:suppressAutoHyphens w:val="0"/>
              <w:jc w:val="center"/>
            </w:pPr>
            <w:r>
              <w:t>2520.61</w:t>
            </w:r>
          </w:p>
        </w:tc>
      </w:tr>
      <w:tr w:rsidR="009D71CC" w14:paraId="09B5E2FB"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1A8E94FE" w14:textId="77777777" w:rsidR="009D71CC" w:rsidRDefault="00CB7CE8">
            <w:pPr>
              <w:keepNext/>
              <w:widowControl w:val="0"/>
              <w:suppressAutoHyphens w:val="0"/>
              <w:jc w:val="left"/>
            </w:pPr>
            <w:r>
              <w:t>Bukurešť</w:t>
            </w:r>
          </w:p>
        </w:tc>
        <w:tc>
          <w:tcPr>
            <w:tcW w:w="1628" w:type="dxa"/>
            <w:tcBorders>
              <w:top w:val="single" w:sz="4" w:space="0" w:color="000000"/>
              <w:left w:val="single" w:sz="4" w:space="0" w:color="000000"/>
              <w:bottom w:val="single" w:sz="4" w:space="0" w:color="000000"/>
              <w:right w:val="single" w:sz="4" w:space="0" w:color="000000"/>
            </w:tcBorders>
            <w:vAlign w:val="center"/>
          </w:tcPr>
          <w:p w14:paraId="6AF69FB9" w14:textId="77777777" w:rsidR="009D71CC" w:rsidRDefault="00CB7CE8">
            <w:pPr>
              <w:keepNext/>
              <w:widowControl w:val="0"/>
              <w:suppressAutoHyphens w:val="0"/>
              <w:jc w:val="center"/>
            </w:pPr>
            <w:r>
              <w:t>416.92</w:t>
            </w:r>
          </w:p>
        </w:tc>
        <w:tc>
          <w:tcPr>
            <w:tcW w:w="2517" w:type="dxa"/>
            <w:tcBorders>
              <w:top w:val="single" w:sz="4" w:space="0" w:color="000000"/>
              <w:left w:val="single" w:sz="4" w:space="0" w:color="000000"/>
              <w:bottom w:val="single" w:sz="4" w:space="0" w:color="000000"/>
              <w:right w:val="single" w:sz="4" w:space="0" w:color="000000"/>
            </w:tcBorders>
            <w:vAlign w:val="center"/>
          </w:tcPr>
          <w:p w14:paraId="125A790A" w14:textId="77777777" w:rsidR="009D71CC" w:rsidRDefault="00CB7CE8">
            <w:pPr>
              <w:keepNext/>
              <w:widowControl w:val="0"/>
              <w:suppressAutoHyphens w:val="0"/>
              <w:jc w:val="center"/>
            </w:pPr>
            <w:r>
              <w:t>2.03</w:t>
            </w:r>
          </w:p>
        </w:tc>
        <w:tc>
          <w:tcPr>
            <w:tcW w:w="2526" w:type="dxa"/>
            <w:tcBorders>
              <w:top w:val="single" w:sz="4" w:space="0" w:color="000000"/>
              <w:left w:val="single" w:sz="4" w:space="0" w:color="000000"/>
              <w:bottom w:val="single" w:sz="4" w:space="0" w:color="000000"/>
              <w:right w:val="single" w:sz="4" w:space="0" w:color="000000"/>
            </w:tcBorders>
            <w:vAlign w:val="center"/>
          </w:tcPr>
          <w:p w14:paraId="33E23FC9" w14:textId="77777777" w:rsidR="009D71CC" w:rsidRDefault="00CB7CE8">
            <w:pPr>
              <w:keepNext/>
              <w:widowControl w:val="0"/>
              <w:suppressAutoHyphens w:val="0"/>
              <w:jc w:val="center"/>
            </w:pPr>
            <w:r>
              <w:t>4880.14</w:t>
            </w:r>
          </w:p>
        </w:tc>
      </w:tr>
      <w:tr w:rsidR="009D71CC" w14:paraId="11ABC3AA"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21D16C4F" w14:textId="77777777" w:rsidR="009D71CC" w:rsidRDefault="00CB7CE8">
            <w:pPr>
              <w:keepNext/>
              <w:widowControl w:val="0"/>
              <w:suppressAutoHyphens w:val="0"/>
              <w:jc w:val="left"/>
            </w:pPr>
            <w:r>
              <w:t>Drážďany</w:t>
            </w:r>
          </w:p>
        </w:tc>
        <w:tc>
          <w:tcPr>
            <w:tcW w:w="1628" w:type="dxa"/>
            <w:tcBorders>
              <w:top w:val="single" w:sz="4" w:space="0" w:color="000000"/>
              <w:left w:val="single" w:sz="4" w:space="0" w:color="000000"/>
              <w:bottom w:val="single" w:sz="4" w:space="0" w:color="000000"/>
              <w:right w:val="single" w:sz="4" w:space="0" w:color="000000"/>
            </w:tcBorders>
            <w:vAlign w:val="center"/>
          </w:tcPr>
          <w:p w14:paraId="7A34E438" w14:textId="77777777" w:rsidR="009D71CC" w:rsidRDefault="00CB7CE8">
            <w:pPr>
              <w:keepNext/>
              <w:widowControl w:val="0"/>
              <w:suppressAutoHyphens w:val="0"/>
              <w:jc w:val="center"/>
            </w:pPr>
            <w:r>
              <w:t>533.46</w:t>
            </w:r>
          </w:p>
        </w:tc>
        <w:tc>
          <w:tcPr>
            <w:tcW w:w="2517" w:type="dxa"/>
            <w:tcBorders>
              <w:top w:val="single" w:sz="4" w:space="0" w:color="000000"/>
              <w:left w:val="single" w:sz="4" w:space="0" w:color="000000"/>
              <w:bottom w:val="single" w:sz="4" w:space="0" w:color="000000"/>
              <w:right w:val="single" w:sz="4" w:space="0" w:color="000000"/>
            </w:tcBorders>
            <w:vAlign w:val="center"/>
          </w:tcPr>
          <w:p w14:paraId="5A242A29" w14:textId="77777777" w:rsidR="009D71CC" w:rsidRDefault="00CB7CE8">
            <w:pPr>
              <w:keepNext/>
              <w:widowControl w:val="0"/>
              <w:suppressAutoHyphens w:val="0"/>
              <w:jc w:val="center"/>
            </w:pPr>
            <w:r>
              <w:t>0.67</w:t>
            </w:r>
          </w:p>
        </w:tc>
        <w:tc>
          <w:tcPr>
            <w:tcW w:w="2526" w:type="dxa"/>
            <w:tcBorders>
              <w:top w:val="single" w:sz="4" w:space="0" w:color="000000"/>
              <w:left w:val="single" w:sz="4" w:space="0" w:color="000000"/>
              <w:bottom w:val="single" w:sz="4" w:space="0" w:color="000000"/>
              <w:right w:val="single" w:sz="4" w:space="0" w:color="000000"/>
            </w:tcBorders>
            <w:vAlign w:val="center"/>
          </w:tcPr>
          <w:p w14:paraId="38723D70" w14:textId="77777777" w:rsidR="009D71CC" w:rsidRDefault="00CB7CE8">
            <w:pPr>
              <w:keepNext/>
              <w:widowControl w:val="0"/>
              <w:suppressAutoHyphens w:val="0"/>
              <w:jc w:val="center"/>
            </w:pPr>
            <w:r>
              <w:t>1254.74</w:t>
            </w:r>
          </w:p>
        </w:tc>
      </w:tr>
      <w:tr w:rsidR="009D71CC" w14:paraId="4DAF13CF"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057DF94C" w14:textId="77777777" w:rsidR="009D71CC" w:rsidRDefault="00CB7CE8">
            <w:pPr>
              <w:keepNext/>
              <w:widowControl w:val="0"/>
              <w:suppressAutoHyphens w:val="0"/>
              <w:jc w:val="left"/>
            </w:pPr>
            <w:r>
              <w:t>Dublin</w:t>
            </w:r>
          </w:p>
        </w:tc>
        <w:tc>
          <w:tcPr>
            <w:tcW w:w="1628" w:type="dxa"/>
            <w:tcBorders>
              <w:top w:val="single" w:sz="4" w:space="0" w:color="000000"/>
              <w:left w:val="single" w:sz="4" w:space="0" w:color="000000"/>
              <w:bottom w:val="single" w:sz="4" w:space="0" w:color="000000"/>
              <w:right w:val="single" w:sz="4" w:space="0" w:color="000000"/>
            </w:tcBorders>
            <w:vAlign w:val="center"/>
          </w:tcPr>
          <w:p w14:paraId="4CD1965A" w14:textId="77777777" w:rsidR="009D71CC" w:rsidRDefault="00CB7CE8">
            <w:pPr>
              <w:keepNext/>
              <w:widowControl w:val="0"/>
              <w:suppressAutoHyphens w:val="0"/>
              <w:jc w:val="center"/>
            </w:pPr>
            <w:r>
              <w:t>1187.05</w:t>
            </w:r>
          </w:p>
        </w:tc>
        <w:tc>
          <w:tcPr>
            <w:tcW w:w="2517" w:type="dxa"/>
            <w:tcBorders>
              <w:top w:val="single" w:sz="4" w:space="0" w:color="000000"/>
              <w:left w:val="single" w:sz="4" w:space="0" w:color="000000"/>
              <w:bottom w:val="single" w:sz="4" w:space="0" w:color="000000"/>
              <w:right w:val="single" w:sz="4" w:space="0" w:color="000000"/>
            </w:tcBorders>
            <w:vAlign w:val="center"/>
          </w:tcPr>
          <w:p w14:paraId="1F81C7F3" w14:textId="77777777" w:rsidR="009D71CC" w:rsidRDefault="00CB7CE8">
            <w:pPr>
              <w:keepNext/>
              <w:widowControl w:val="0"/>
              <w:suppressAutoHyphens w:val="0"/>
              <w:jc w:val="center"/>
            </w:pPr>
            <w:r>
              <w:t>1.43</w:t>
            </w:r>
          </w:p>
        </w:tc>
        <w:tc>
          <w:tcPr>
            <w:tcW w:w="2526" w:type="dxa"/>
            <w:tcBorders>
              <w:top w:val="single" w:sz="4" w:space="0" w:color="000000"/>
              <w:left w:val="single" w:sz="4" w:space="0" w:color="000000"/>
              <w:bottom w:val="single" w:sz="4" w:space="0" w:color="000000"/>
              <w:right w:val="single" w:sz="4" w:space="0" w:color="000000"/>
            </w:tcBorders>
            <w:vAlign w:val="center"/>
          </w:tcPr>
          <w:p w14:paraId="50E0732B" w14:textId="77777777" w:rsidR="009D71CC" w:rsidRDefault="00CB7CE8">
            <w:pPr>
              <w:keepNext/>
              <w:widowControl w:val="0"/>
              <w:suppressAutoHyphens w:val="0"/>
              <w:jc w:val="center"/>
            </w:pPr>
            <w:r>
              <w:t>1202.23</w:t>
            </w:r>
          </w:p>
        </w:tc>
      </w:tr>
      <w:tr w:rsidR="009D71CC" w14:paraId="7363688F"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5097C836" w14:textId="77777777" w:rsidR="009D71CC" w:rsidRDefault="00CB7CE8">
            <w:pPr>
              <w:keepNext/>
              <w:widowControl w:val="0"/>
              <w:suppressAutoHyphens w:val="0"/>
              <w:jc w:val="left"/>
            </w:pPr>
            <w:r>
              <w:t>Düsseldorf</w:t>
            </w:r>
          </w:p>
        </w:tc>
        <w:tc>
          <w:tcPr>
            <w:tcW w:w="1628" w:type="dxa"/>
            <w:tcBorders>
              <w:top w:val="single" w:sz="4" w:space="0" w:color="000000"/>
              <w:left w:val="single" w:sz="4" w:space="0" w:color="000000"/>
              <w:bottom w:val="single" w:sz="4" w:space="0" w:color="000000"/>
              <w:right w:val="single" w:sz="4" w:space="0" w:color="000000"/>
            </w:tcBorders>
            <w:vAlign w:val="center"/>
          </w:tcPr>
          <w:p w14:paraId="69E89B8D" w14:textId="77777777" w:rsidR="009D71CC" w:rsidRDefault="00CB7CE8">
            <w:pPr>
              <w:keepNext/>
              <w:widowControl w:val="0"/>
              <w:suppressAutoHyphens w:val="0"/>
              <w:jc w:val="center"/>
            </w:pPr>
            <w:r>
              <w:t>394.74</w:t>
            </w:r>
          </w:p>
        </w:tc>
        <w:tc>
          <w:tcPr>
            <w:tcW w:w="2517" w:type="dxa"/>
            <w:tcBorders>
              <w:top w:val="single" w:sz="4" w:space="0" w:color="000000"/>
              <w:left w:val="single" w:sz="4" w:space="0" w:color="000000"/>
              <w:bottom w:val="single" w:sz="4" w:space="0" w:color="000000"/>
              <w:right w:val="single" w:sz="4" w:space="0" w:color="000000"/>
            </w:tcBorders>
            <w:vAlign w:val="center"/>
          </w:tcPr>
          <w:p w14:paraId="1BA46B8F" w14:textId="77777777" w:rsidR="009D71CC" w:rsidRDefault="00CB7CE8">
            <w:pPr>
              <w:keepNext/>
              <w:widowControl w:val="0"/>
              <w:suppressAutoHyphens w:val="0"/>
              <w:jc w:val="center"/>
            </w:pPr>
            <w:r>
              <w:t>0.85</w:t>
            </w:r>
          </w:p>
        </w:tc>
        <w:tc>
          <w:tcPr>
            <w:tcW w:w="2526" w:type="dxa"/>
            <w:tcBorders>
              <w:top w:val="single" w:sz="4" w:space="0" w:color="000000"/>
              <w:left w:val="single" w:sz="4" w:space="0" w:color="000000"/>
              <w:bottom w:val="single" w:sz="4" w:space="0" w:color="000000"/>
              <w:right w:val="single" w:sz="4" w:space="0" w:color="000000"/>
            </w:tcBorders>
            <w:vAlign w:val="center"/>
          </w:tcPr>
          <w:p w14:paraId="0DBEFFAE" w14:textId="77777777" w:rsidR="009D71CC" w:rsidRDefault="00CB7CE8">
            <w:pPr>
              <w:keepNext/>
              <w:widowControl w:val="0"/>
              <w:suppressAutoHyphens w:val="0"/>
              <w:jc w:val="center"/>
            </w:pPr>
            <w:r>
              <w:t>2163.70</w:t>
            </w:r>
          </w:p>
        </w:tc>
      </w:tr>
      <w:tr w:rsidR="009D71CC" w14:paraId="7CF0719F"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47AF388D" w14:textId="77777777" w:rsidR="009D71CC" w:rsidRDefault="00CB7CE8">
            <w:pPr>
              <w:keepNext/>
              <w:widowControl w:val="0"/>
              <w:suppressAutoHyphens w:val="0"/>
              <w:jc w:val="left"/>
            </w:pPr>
            <w:r>
              <w:t>Hamburg</w:t>
            </w:r>
          </w:p>
        </w:tc>
        <w:tc>
          <w:tcPr>
            <w:tcW w:w="1628" w:type="dxa"/>
            <w:tcBorders>
              <w:top w:val="single" w:sz="4" w:space="0" w:color="000000"/>
              <w:left w:val="single" w:sz="4" w:space="0" w:color="000000"/>
              <w:bottom w:val="single" w:sz="4" w:space="0" w:color="000000"/>
              <w:right w:val="single" w:sz="4" w:space="0" w:color="000000"/>
            </w:tcBorders>
            <w:vAlign w:val="center"/>
          </w:tcPr>
          <w:p w14:paraId="281943C7" w14:textId="77777777" w:rsidR="009D71CC" w:rsidRDefault="00CB7CE8">
            <w:pPr>
              <w:keepNext/>
              <w:widowControl w:val="0"/>
              <w:suppressAutoHyphens w:val="0"/>
              <w:jc w:val="center"/>
            </w:pPr>
            <w:r>
              <w:t>1094.33</w:t>
            </w:r>
          </w:p>
        </w:tc>
        <w:tc>
          <w:tcPr>
            <w:tcW w:w="2517" w:type="dxa"/>
            <w:tcBorders>
              <w:top w:val="single" w:sz="4" w:space="0" w:color="000000"/>
              <w:left w:val="single" w:sz="4" w:space="0" w:color="000000"/>
              <w:bottom w:val="single" w:sz="4" w:space="0" w:color="000000"/>
              <w:right w:val="single" w:sz="4" w:space="0" w:color="000000"/>
            </w:tcBorders>
            <w:vAlign w:val="center"/>
          </w:tcPr>
          <w:p w14:paraId="6C49F8DD" w14:textId="77777777" w:rsidR="009D71CC" w:rsidRDefault="00CB7CE8">
            <w:pPr>
              <w:keepNext/>
              <w:widowControl w:val="0"/>
              <w:suppressAutoHyphens w:val="0"/>
              <w:jc w:val="center"/>
            </w:pPr>
            <w:r>
              <w:t>2.07</w:t>
            </w:r>
          </w:p>
        </w:tc>
        <w:tc>
          <w:tcPr>
            <w:tcW w:w="2526" w:type="dxa"/>
            <w:tcBorders>
              <w:top w:val="single" w:sz="4" w:space="0" w:color="000000"/>
              <w:left w:val="single" w:sz="4" w:space="0" w:color="000000"/>
              <w:bottom w:val="single" w:sz="4" w:space="0" w:color="000000"/>
              <w:right w:val="single" w:sz="4" w:space="0" w:color="000000"/>
            </w:tcBorders>
            <w:vAlign w:val="center"/>
          </w:tcPr>
          <w:p w14:paraId="6CDD32BD" w14:textId="77777777" w:rsidR="009D71CC" w:rsidRDefault="00CB7CE8">
            <w:pPr>
              <w:keepNext/>
              <w:widowControl w:val="0"/>
              <w:suppressAutoHyphens w:val="0"/>
              <w:jc w:val="center"/>
            </w:pPr>
            <w:r>
              <w:t>1892.78</w:t>
            </w:r>
          </w:p>
        </w:tc>
      </w:tr>
      <w:tr w:rsidR="009D71CC" w14:paraId="3CE9CD49"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2F43CF6F" w14:textId="77777777" w:rsidR="009D71CC" w:rsidRDefault="00CB7CE8">
            <w:pPr>
              <w:keepNext/>
              <w:widowControl w:val="0"/>
              <w:suppressAutoHyphens w:val="0"/>
              <w:jc w:val="left"/>
            </w:pPr>
            <w:r>
              <w:t>Kodaň</w:t>
            </w:r>
          </w:p>
        </w:tc>
        <w:tc>
          <w:tcPr>
            <w:tcW w:w="1628" w:type="dxa"/>
            <w:tcBorders>
              <w:top w:val="single" w:sz="4" w:space="0" w:color="000000"/>
              <w:left w:val="single" w:sz="4" w:space="0" w:color="000000"/>
              <w:bottom w:val="single" w:sz="4" w:space="0" w:color="000000"/>
              <w:right w:val="single" w:sz="4" w:space="0" w:color="000000"/>
            </w:tcBorders>
            <w:vAlign w:val="center"/>
          </w:tcPr>
          <w:p w14:paraId="577993BD" w14:textId="77777777" w:rsidR="009D71CC" w:rsidRDefault="00CB7CE8">
            <w:pPr>
              <w:keepNext/>
              <w:widowControl w:val="0"/>
              <w:suppressAutoHyphens w:val="0"/>
              <w:jc w:val="center"/>
            </w:pPr>
            <w:r>
              <w:t>673.28</w:t>
            </w:r>
          </w:p>
        </w:tc>
        <w:tc>
          <w:tcPr>
            <w:tcW w:w="2517" w:type="dxa"/>
            <w:tcBorders>
              <w:top w:val="single" w:sz="4" w:space="0" w:color="000000"/>
              <w:left w:val="single" w:sz="4" w:space="0" w:color="000000"/>
              <w:bottom w:val="single" w:sz="4" w:space="0" w:color="000000"/>
              <w:right w:val="single" w:sz="4" w:space="0" w:color="000000"/>
            </w:tcBorders>
            <w:vAlign w:val="center"/>
          </w:tcPr>
          <w:p w14:paraId="6E259F43" w14:textId="77777777" w:rsidR="009D71CC" w:rsidRDefault="00CB7CE8">
            <w:pPr>
              <w:keepNext/>
              <w:widowControl w:val="0"/>
              <w:suppressAutoHyphens w:val="0"/>
              <w:jc w:val="center"/>
            </w:pPr>
            <w:r>
              <w:t>1.12</w:t>
            </w:r>
          </w:p>
        </w:tc>
        <w:tc>
          <w:tcPr>
            <w:tcW w:w="2526" w:type="dxa"/>
            <w:tcBorders>
              <w:top w:val="single" w:sz="4" w:space="0" w:color="000000"/>
              <w:left w:val="single" w:sz="4" w:space="0" w:color="000000"/>
              <w:bottom w:val="single" w:sz="4" w:space="0" w:color="000000"/>
              <w:right w:val="single" w:sz="4" w:space="0" w:color="000000"/>
            </w:tcBorders>
            <w:vAlign w:val="center"/>
          </w:tcPr>
          <w:p w14:paraId="345BB2DE" w14:textId="77777777" w:rsidR="009D71CC" w:rsidRDefault="00CB7CE8">
            <w:pPr>
              <w:keepNext/>
              <w:widowControl w:val="0"/>
              <w:suppressAutoHyphens w:val="0"/>
              <w:jc w:val="center"/>
            </w:pPr>
            <w:r>
              <w:t>1666.44</w:t>
            </w:r>
          </w:p>
        </w:tc>
      </w:tr>
      <w:tr w:rsidR="009D71CC" w14:paraId="7AD380A0"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70752CCD" w14:textId="77777777" w:rsidR="009D71CC" w:rsidRDefault="00CB7CE8">
            <w:pPr>
              <w:keepNext/>
              <w:widowControl w:val="0"/>
              <w:suppressAutoHyphens w:val="0"/>
              <w:jc w:val="left"/>
            </w:pPr>
            <w:r>
              <w:t>Lisabon</w:t>
            </w:r>
          </w:p>
        </w:tc>
        <w:tc>
          <w:tcPr>
            <w:tcW w:w="1628" w:type="dxa"/>
            <w:tcBorders>
              <w:top w:val="single" w:sz="4" w:space="0" w:color="000000"/>
              <w:left w:val="single" w:sz="4" w:space="0" w:color="000000"/>
              <w:bottom w:val="single" w:sz="4" w:space="0" w:color="000000"/>
              <w:right w:val="single" w:sz="4" w:space="0" w:color="000000"/>
            </w:tcBorders>
            <w:vAlign w:val="center"/>
          </w:tcPr>
          <w:p w14:paraId="5A44B905" w14:textId="77777777" w:rsidR="009D71CC" w:rsidRDefault="00CB7CE8">
            <w:pPr>
              <w:keepNext/>
              <w:widowControl w:val="0"/>
              <w:suppressAutoHyphens w:val="0"/>
              <w:jc w:val="center"/>
            </w:pPr>
            <w:r>
              <w:t>622.52</w:t>
            </w:r>
          </w:p>
        </w:tc>
        <w:tc>
          <w:tcPr>
            <w:tcW w:w="2517" w:type="dxa"/>
            <w:tcBorders>
              <w:top w:val="single" w:sz="4" w:space="0" w:color="000000"/>
              <w:left w:val="single" w:sz="4" w:space="0" w:color="000000"/>
              <w:bottom w:val="single" w:sz="4" w:space="0" w:color="000000"/>
              <w:right w:val="single" w:sz="4" w:space="0" w:color="000000"/>
            </w:tcBorders>
            <w:vAlign w:val="center"/>
          </w:tcPr>
          <w:p w14:paraId="197ADB19" w14:textId="77777777" w:rsidR="009D71CC" w:rsidRDefault="00CB7CE8">
            <w:pPr>
              <w:keepNext/>
              <w:widowControl w:val="0"/>
              <w:suppressAutoHyphens w:val="0"/>
              <w:jc w:val="center"/>
            </w:pPr>
            <w:r>
              <w:t>1.68</w:t>
            </w:r>
          </w:p>
        </w:tc>
        <w:tc>
          <w:tcPr>
            <w:tcW w:w="2526" w:type="dxa"/>
            <w:tcBorders>
              <w:top w:val="single" w:sz="4" w:space="0" w:color="000000"/>
              <w:left w:val="single" w:sz="4" w:space="0" w:color="000000"/>
              <w:bottom w:val="single" w:sz="4" w:space="0" w:color="000000"/>
              <w:right w:val="single" w:sz="4" w:space="0" w:color="000000"/>
            </w:tcBorders>
            <w:vAlign w:val="center"/>
          </w:tcPr>
          <w:p w14:paraId="1933FF3D" w14:textId="77777777" w:rsidR="009D71CC" w:rsidRDefault="00CB7CE8">
            <w:pPr>
              <w:keepNext/>
              <w:widowControl w:val="0"/>
              <w:suppressAutoHyphens w:val="0"/>
              <w:jc w:val="center"/>
            </w:pPr>
            <w:r>
              <w:t>2705.82</w:t>
            </w:r>
          </w:p>
        </w:tc>
      </w:tr>
      <w:tr w:rsidR="009D71CC" w14:paraId="458BBAD4"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1EFA868B" w14:textId="77777777" w:rsidR="009D71CC" w:rsidRDefault="00CB7CE8">
            <w:pPr>
              <w:keepNext/>
              <w:widowControl w:val="0"/>
              <w:suppressAutoHyphens w:val="0"/>
              <w:jc w:val="left"/>
            </w:pPr>
            <w:r>
              <w:t>Londýn</w:t>
            </w:r>
          </w:p>
        </w:tc>
        <w:tc>
          <w:tcPr>
            <w:tcW w:w="1628" w:type="dxa"/>
            <w:tcBorders>
              <w:top w:val="single" w:sz="4" w:space="0" w:color="000000"/>
              <w:left w:val="single" w:sz="4" w:space="0" w:color="000000"/>
              <w:bottom w:val="single" w:sz="4" w:space="0" w:color="000000"/>
              <w:right w:val="single" w:sz="4" w:space="0" w:color="000000"/>
            </w:tcBorders>
            <w:vAlign w:val="center"/>
          </w:tcPr>
          <w:p w14:paraId="0C084543" w14:textId="77777777" w:rsidR="009D71CC" w:rsidRDefault="00CB7CE8">
            <w:pPr>
              <w:keepNext/>
              <w:widowControl w:val="0"/>
              <w:suppressAutoHyphens w:val="0"/>
              <w:jc w:val="center"/>
            </w:pPr>
            <w:r>
              <w:t>2004.84</w:t>
            </w:r>
          </w:p>
        </w:tc>
        <w:tc>
          <w:tcPr>
            <w:tcW w:w="2517" w:type="dxa"/>
            <w:tcBorders>
              <w:top w:val="single" w:sz="4" w:space="0" w:color="000000"/>
              <w:left w:val="single" w:sz="4" w:space="0" w:color="000000"/>
              <w:bottom w:val="single" w:sz="4" w:space="0" w:color="000000"/>
              <w:right w:val="single" w:sz="4" w:space="0" w:color="000000"/>
            </w:tcBorders>
            <w:vAlign w:val="center"/>
          </w:tcPr>
          <w:p w14:paraId="3455C8BF" w14:textId="77777777" w:rsidR="009D71CC" w:rsidRDefault="00CB7CE8">
            <w:pPr>
              <w:keepNext/>
              <w:widowControl w:val="0"/>
              <w:suppressAutoHyphens w:val="0"/>
              <w:jc w:val="center"/>
            </w:pPr>
            <w:r>
              <w:t>8.85</w:t>
            </w:r>
          </w:p>
        </w:tc>
        <w:tc>
          <w:tcPr>
            <w:tcW w:w="2526" w:type="dxa"/>
            <w:tcBorders>
              <w:top w:val="single" w:sz="4" w:space="0" w:color="000000"/>
              <w:left w:val="single" w:sz="4" w:space="0" w:color="000000"/>
              <w:bottom w:val="single" w:sz="4" w:space="0" w:color="000000"/>
              <w:right w:val="single" w:sz="4" w:space="0" w:color="000000"/>
            </w:tcBorders>
            <w:vAlign w:val="center"/>
          </w:tcPr>
          <w:p w14:paraId="5A032412" w14:textId="77777777" w:rsidR="009D71CC" w:rsidRDefault="00CB7CE8">
            <w:pPr>
              <w:keepNext/>
              <w:widowControl w:val="0"/>
              <w:suppressAutoHyphens w:val="0"/>
              <w:jc w:val="center"/>
            </w:pPr>
            <w:r>
              <w:t>4415.42</w:t>
            </w:r>
          </w:p>
        </w:tc>
      </w:tr>
      <w:tr w:rsidR="009D71CC" w14:paraId="4156ECC7"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1C8B2D43" w14:textId="77777777" w:rsidR="009D71CC" w:rsidRDefault="00CB7CE8">
            <w:pPr>
              <w:keepNext/>
              <w:widowControl w:val="0"/>
              <w:suppressAutoHyphens w:val="0"/>
              <w:jc w:val="left"/>
            </w:pPr>
            <w:r>
              <w:t>Lyon</w:t>
            </w:r>
          </w:p>
        </w:tc>
        <w:tc>
          <w:tcPr>
            <w:tcW w:w="1628" w:type="dxa"/>
            <w:tcBorders>
              <w:top w:val="single" w:sz="4" w:space="0" w:color="000000"/>
              <w:left w:val="single" w:sz="4" w:space="0" w:color="000000"/>
              <w:bottom w:val="single" w:sz="4" w:space="0" w:color="000000"/>
              <w:right w:val="single" w:sz="4" w:space="0" w:color="000000"/>
            </w:tcBorders>
            <w:vAlign w:val="center"/>
          </w:tcPr>
          <w:p w14:paraId="22541971" w14:textId="77777777" w:rsidR="009D71CC" w:rsidRDefault="00CB7CE8">
            <w:pPr>
              <w:keepNext/>
              <w:widowControl w:val="0"/>
              <w:suppressAutoHyphens w:val="0"/>
              <w:jc w:val="center"/>
            </w:pPr>
            <w:r>
              <w:t>838.94</w:t>
            </w:r>
          </w:p>
        </w:tc>
        <w:tc>
          <w:tcPr>
            <w:tcW w:w="2517" w:type="dxa"/>
            <w:tcBorders>
              <w:top w:val="single" w:sz="4" w:space="0" w:color="000000"/>
              <w:left w:val="single" w:sz="4" w:space="0" w:color="000000"/>
              <w:bottom w:val="single" w:sz="4" w:space="0" w:color="000000"/>
              <w:right w:val="single" w:sz="4" w:space="0" w:color="000000"/>
            </w:tcBorders>
            <w:vAlign w:val="center"/>
          </w:tcPr>
          <w:p w14:paraId="0F60BD13" w14:textId="77777777" w:rsidR="009D71CC" w:rsidRDefault="00CB7CE8">
            <w:pPr>
              <w:keepNext/>
              <w:widowControl w:val="0"/>
              <w:suppressAutoHyphens w:val="0"/>
              <w:jc w:val="center"/>
            </w:pPr>
            <w:r>
              <w:t>1.50</w:t>
            </w:r>
          </w:p>
        </w:tc>
        <w:tc>
          <w:tcPr>
            <w:tcW w:w="2526" w:type="dxa"/>
            <w:tcBorders>
              <w:top w:val="single" w:sz="4" w:space="0" w:color="000000"/>
              <w:left w:val="single" w:sz="4" w:space="0" w:color="000000"/>
              <w:bottom w:val="single" w:sz="4" w:space="0" w:color="000000"/>
              <w:right w:val="single" w:sz="4" w:space="0" w:color="000000"/>
            </w:tcBorders>
            <w:vAlign w:val="center"/>
          </w:tcPr>
          <w:p w14:paraId="0D423E26" w14:textId="77777777" w:rsidR="009D71CC" w:rsidRDefault="00CB7CE8">
            <w:pPr>
              <w:keepNext/>
              <w:widowControl w:val="0"/>
              <w:suppressAutoHyphens w:val="0"/>
              <w:jc w:val="center"/>
            </w:pPr>
            <w:r>
              <w:t>1791.49</w:t>
            </w:r>
          </w:p>
        </w:tc>
      </w:tr>
      <w:tr w:rsidR="009D71CC" w14:paraId="0A89E0CB"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3EC6783E" w14:textId="77777777" w:rsidR="009D71CC" w:rsidRDefault="00CB7CE8">
            <w:pPr>
              <w:keepNext/>
              <w:widowControl w:val="0"/>
              <w:suppressAutoHyphens w:val="0"/>
              <w:jc w:val="left"/>
            </w:pPr>
            <w:r>
              <w:t>Madrid</w:t>
            </w:r>
          </w:p>
        </w:tc>
        <w:tc>
          <w:tcPr>
            <w:tcW w:w="1628" w:type="dxa"/>
            <w:tcBorders>
              <w:top w:val="single" w:sz="4" w:space="0" w:color="000000"/>
              <w:left w:val="single" w:sz="4" w:space="0" w:color="000000"/>
              <w:bottom w:val="single" w:sz="4" w:space="0" w:color="000000"/>
              <w:right w:val="single" w:sz="4" w:space="0" w:color="000000"/>
            </w:tcBorders>
            <w:vAlign w:val="center"/>
          </w:tcPr>
          <w:p w14:paraId="5EFFB637" w14:textId="77777777" w:rsidR="009D71CC" w:rsidRDefault="00CB7CE8">
            <w:pPr>
              <w:keepNext/>
              <w:widowControl w:val="0"/>
              <w:suppressAutoHyphens w:val="0"/>
              <w:jc w:val="center"/>
            </w:pPr>
            <w:r>
              <w:t>927.97</w:t>
            </w:r>
          </w:p>
        </w:tc>
        <w:tc>
          <w:tcPr>
            <w:tcW w:w="2517" w:type="dxa"/>
            <w:tcBorders>
              <w:top w:val="single" w:sz="4" w:space="0" w:color="000000"/>
              <w:left w:val="single" w:sz="4" w:space="0" w:color="000000"/>
              <w:bottom w:val="single" w:sz="4" w:space="0" w:color="000000"/>
              <w:right w:val="single" w:sz="4" w:space="0" w:color="000000"/>
            </w:tcBorders>
            <w:vAlign w:val="center"/>
          </w:tcPr>
          <w:p w14:paraId="12FE5811" w14:textId="77777777" w:rsidR="009D71CC" w:rsidRDefault="00CB7CE8">
            <w:pPr>
              <w:keepNext/>
              <w:widowControl w:val="0"/>
              <w:suppressAutoHyphens w:val="0"/>
              <w:jc w:val="center"/>
            </w:pPr>
            <w:r>
              <w:t>3.85</w:t>
            </w:r>
          </w:p>
        </w:tc>
        <w:tc>
          <w:tcPr>
            <w:tcW w:w="2526" w:type="dxa"/>
            <w:tcBorders>
              <w:top w:val="single" w:sz="4" w:space="0" w:color="000000"/>
              <w:left w:val="single" w:sz="4" w:space="0" w:color="000000"/>
              <w:bottom w:val="single" w:sz="4" w:space="0" w:color="000000"/>
              <w:right w:val="single" w:sz="4" w:space="0" w:color="000000"/>
            </w:tcBorders>
            <w:vAlign w:val="center"/>
          </w:tcPr>
          <w:p w14:paraId="42852FDC" w14:textId="77777777" w:rsidR="009D71CC" w:rsidRDefault="00CB7CE8">
            <w:pPr>
              <w:keepNext/>
              <w:widowControl w:val="0"/>
              <w:suppressAutoHyphens w:val="0"/>
              <w:jc w:val="center"/>
            </w:pPr>
            <w:r>
              <w:t>4153.96</w:t>
            </w:r>
          </w:p>
        </w:tc>
      </w:tr>
      <w:tr w:rsidR="009D71CC" w14:paraId="6562177D"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6681855D" w14:textId="77777777" w:rsidR="009D71CC" w:rsidRDefault="00CB7CE8">
            <w:pPr>
              <w:keepNext/>
              <w:widowControl w:val="0"/>
              <w:suppressAutoHyphens w:val="0"/>
              <w:jc w:val="left"/>
            </w:pPr>
            <w:r>
              <w:t>Milán</w:t>
            </w:r>
          </w:p>
        </w:tc>
        <w:tc>
          <w:tcPr>
            <w:tcW w:w="1628" w:type="dxa"/>
            <w:tcBorders>
              <w:top w:val="single" w:sz="4" w:space="0" w:color="000000"/>
              <w:left w:val="single" w:sz="4" w:space="0" w:color="000000"/>
              <w:bottom w:val="single" w:sz="4" w:space="0" w:color="000000"/>
              <w:right w:val="single" w:sz="4" w:space="0" w:color="000000"/>
            </w:tcBorders>
            <w:vAlign w:val="center"/>
          </w:tcPr>
          <w:p w14:paraId="11E634C7" w14:textId="77777777" w:rsidR="009D71CC" w:rsidRDefault="00CB7CE8">
            <w:pPr>
              <w:keepNext/>
              <w:widowControl w:val="0"/>
              <w:suppressAutoHyphens w:val="0"/>
              <w:jc w:val="center"/>
            </w:pPr>
            <w:r>
              <w:t>1819.49</w:t>
            </w:r>
          </w:p>
        </w:tc>
        <w:tc>
          <w:tcPr>
            <w:tcW w:w="2517" w:type="dxa"/>
            <w:tcBorders>
              <w:top w:val="single" w:sz="4" w:space="0" w:color="000000"/>
              <w:left w:val="single" w:sz="4" w:space="0" w:color="000000"/>
              <w:bottom w:val="single" w:sz="4" w:space="0" w:color="000000"/>
              <w:right w:val="single" w:sz="4" w:space="0" w:color="000000"/>
            </w:tcBorders>
            <w:vAlign w:val="center"/>
          </w:tcPr>
          <w:p w14:paraId="478370A9" w14:textId="77777777" w:rsidR="009D71CC" w:rsidRDefault="00CB7CE8">
            <w:pPr>
              <w:keepNext/>
              <w:widowControl w:val="0"/>
              <w:suppressAutoHyphens w:val="0"/>
              <w:jc w:val="center"/>
            </w:pPr>
            <w:r>
              <w:t>3.74</w:t>
            </w:r>
          </w:p>
        </w:tc>
        <w:tc>
          <w:tcPr>
            <w:tcW w:w="2526" w:type="dxa"/>
            <w:tcBorders>
              <w:top w:val="single" w:sz="4" w:space="0" w:color="000000"/>
              <w:left w:val="single" w:sz="4" w:space="0" w:color="000000"/>
              <w:bottom w:val="single" w:sz="4" w:space="0" w:color="000000"/>
              <w:right w:val="single" w:sz="4" w:space="0" w:color="000000"/>
            </w:tcBorders>
            <w:vAlign w:val="center"/>
          </w:tcPr>
          <w:p w14:paraId="1885F058" w14:textId="77777777" w:rsidR="009D71CC" w:rsidRDefault="00CB7CE8">
            <w:pPr>
              <w:keepNext/>
              <w:widowControl w:val="0"/>
              <w:suppressAutoHyphens w:val="0"/>
              <w:jc w:val="center"/>
            </w:pPr>
            <w:r>
              <w:t>2057.15</w:t>
            </w:r>
          </w:p>
        </w:tc>
      </w:tr>
      <w:tr w:rsidR="009D71CC" w14:paraId="1CC43463"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7F2C0719" w14:textId="77777777" w:rsidR="009D71CC" w:rsidRDefault="00CB7CE8">
            <w:pPr>
              <w:keepNext/>
              <w:widowControl w:val="0"/>
              <w:suppressAutoHyphens w:val="0"/>
              <w:jc w:val="left"/>
            </w:pPr>
            <w:r>
              <w:t>Paříž</w:t>
            </w:r>
          </w:p>
        </w:tc>
        <w:tc>
          <w:tcPr>
            <w:tcW w:w="1628" w:type="dxa"/>
            <w:tcBorders>
              <w:top w:val="single" w:sz="4" w:space="0" w:color="000000"/>
              <w:left w:val="single" w:sz="4" w:space="0" w:color="000000"/>
              <w:bottom w:val="single" w:sz="4" w:space="0" w:color="000000"/>
              <w:right w:val="single" w:sz="4" w:space="0" w:color="000000"/>
            </w:tcBorders>
            <w:vAlign w:val="center"/>
          </w:tcPr>
          <w:p w14:paraId="5719517A" w14:textId="77777777" w:rsidR="009D71CC" w:rsidRDefault="00CB7CE8">
            <w:pPr>
              <w:keepNext/>
              <w:widowControl w:val="0"/>
              <w:suppressAutoHyphens w:val="0"/>
              <w:jc w:val="center"/>
            </w:pPr>
            <w:r>
              <w:t>1050.43</w:t>
            </w:r>
          </w:p>
        </w:tc>
        <w:tc>
          <w:tcPr>
            <w:tcW w:w="2517" w:type="dxa"/>
            <w:tcBorders>
              <w:top w:val="single" w:sz="4" w:space="0" w:color="000000"/>
              <w:left w:val="single" w:sz="4" w:space="0" w:color="000000"/>
              <w:bottom w:val="single" w:sz="4" w:space="0" w:color="000000"/>
              <w:right w:val="single" w:sz="4" w:space="0" w:color="000000"/>
            </w:tcBorders>
            <w:vAlign w:val="center"/>
          </w:tcPr>
          <w:p w14:paraId="015797DB" w14:textId="77777777" w:rsidR="009D71CC" w:rsidRDefault="00CB7CE8">
            <w:pPr>
              <w:keepNext/>
              <w:widowControl w:val="0"/>
              <w:suppressAutoHyphens w:val="0"/>
              <w:jc w:val="center"/>
            </w:pPr>
            <w:r>
              <w:t>7.70</w:t>
            </w:r>
          </w:p>
        </w:tc>
        <w:tc>
          <w:tcPr>
            <w:tcW w:w="2526" w:type="dxa"/>
            <w:tcBorders>
              <w:top w:val="single" w:sz="4" w:space="0" w:color="000000"/>
              <w:left w:val="single" w:sz="4" w:space="0" w:color="000000"/>
              <w:bottom w:val="single" w:sz="4" w:space="0" w:color="000000"/>
              <w:right w:val="single" w:sz="4" w:space="0" w:color="000000"/>
            </w:tcBorders>
            <w:vAlign w:val="center"/>
          </w:tcPr>
          <w:p w14:paraId="18695A91" w14:textId="77777777" w:rsidR="009D71CC" w:rsidRDefault="00CB7CE8">
            <w:pPr>
              <w:keepNext/>
              <w:widowControl w:val="0"/>
              <w:suppressAutoHyphens w:val="0"/>
              <w:jc w:val="center"/>
            </w:pPr>
            <w:r>
              <w:t>7332.90</w:t>
            </w:r>
          </w:p>
        </w:tc>
      </w:tr>
      <w:tr w:rsidR="009D71CC" w14:paraId="1D56A10F"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2E1A726D" w14:textId="77777777" w:rsidR="009D71CC" w:rsidRDefault="00CB7CE8">
            <w:pPr>
              <w:keepNext/>
              <w:widowControl w:val="0"/>
              <w:suppressAutoHyphens w:val="0"/>
              <w:jc w:val="left"/>
            </w:pPr>
            <w:r>
              <w:t>Porto</w:t>
            </w:r>
          </w:p>
        </w:tc>
        <w:tc>
          <w:tcPr>
            <w:tcW w:w="1628" w:type="dxa"/>
            <w:tcBorders>
              <w:top w:val="single" w:sz="4" w:space="0" w:color="000000"/>
              <w:left w:val="single" w:sz="4" w:space="0" w:color="000000"/>
              <w:bottom w:val="single" w:sz="4" w:space="0" w:color="000000"/>
              <w:right w:val="single" w:sz="4" w:space="0" w:color="000000"/>
            </w:tcBorders>
            <w:vAlign w:val="center"/>
          </w:tcPr>
          <w:p w14:paraId="47A4811F" w14:textId="77777777" w:rsidR="009D71CC" w:rsidRDefault="00CB7CE8">
            <w:pPr>
              <w:keepNext/>
              <w:widowControl w:val="0"/>
              <w:suppressAutoHyphens w:val="0"/>
              <w:jc w:val="center"/>
            </w:pPr>
            <w:r>
              <w:t>612.29</w:t>
            </w:r>
          </w:p>
        </w:tc>
        <w:tc>
          <w:tcPr>
            <w:tcW w:w="2517" w:type="dxa"/>
            <w:tcBorders>
              <w:top w:val="single" w:sz="4" w:space="0" w:color="000000"/>
              <w:left w:val="single" w:sz="4" w:space="0" w:color="000000"/>
              <w:bottom w:val="single" w:sz="4" w:space="0" w:color="000000"/>
              <w:right w:val="single" w:sz="4" w:space="0" w:color="000000"/>
            </w:tcBorders>
            <w:vAlign w:val="center"/>
          </w:tcPr>
          <w:p w14:paraId="0CFA6954" w14:textId="77777777" w:rsidR="009D71CC" w:rsidRDefault="00CB7CE8">
            <w:pPr>
              <w:keepNext/>
              <w:widowControl w:val="0"/>
              <w:suppressAutoHyphens w:val="0"/>
              <w:jc w:val="center"/>
            </w:pPr>
            <w:r>
              <w:t>1.10</w:t>
            </w:r>
          </w:p>
        </w:tc>
        <w:tc>
          <w:tcPr>
            <w:tcW w:w="2526" w:type="dxa"/>
            <w:tcBorders>
              <w:top w:val="single" w:sz="4" w:space="0" w:color="000000"/>
              <w:left w:val="single" w:sz="4" w:space="0" w:color="000000"/>
              <w:bottom w:val="single" w:sz="4" w:space="0" w:color="000000"/>
              <w:right w:val="single" w:sz="4" w:space="0" w:color="000000"/>
            </w:tcBorders>
            <w:vAlign w:val="center"/>
          </w:tcPr>
          <w:p w14:paraId="7DA77C40" w14:textId="77777777" w:rsidR="009D71CC" w:rsidRDefault="00CB7CE8">
            <w:pPr>
              <w:keepNext/>
              <w:widowControl w:val="0"/>
              <w:suppressAutoHyphens w:val="0"/>
              <w:jc w:val="center"/>
            </w:pPr>
            <w:r>
              <w:t>1801.49</w:t>
            </w:r>
          </w:p>
        </w:tc>
      </w:tr>
      <w:tr w:rsidR="009D71CC" w14:paraId="2D4AF1C2"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1F6D6F07" w14:textId="77777777" w:rsidR="009D71CC" w:rsidRDefault="00CB7CE8">
            <w:pPr>
              <w:keepNext/>
              <w:widowControl w:val="0"/>
              <w:suppressAutoHyphens w:val="0"/>
              <w:jc w:val="left"/>
            </w:pPr>
            <w:r>
              <w:t>Praha</w:t>
            </w:r>
          </w:p>
        </w:tc>
        <w:tc>
          <w:tcPr>
            <w:tcW w:w="1628" w:type="dxa"/>
            <w:tcBorders>
              <w:top w:val="single" w:sz="4" w:space="0" w:color="000000"/>
              <w:left w:val="single" w:sz="4" w:space="0" w:color="000000"/>
              <w:bottom w:val="single" w:sz="4" w:space="0" w:color="000000"/>
              <w:right w:val="single" w:sz="4" w:space="0" w:color="000000"/>
            </w:tcBorders>
            <w:vAlign w:val="center"/>
          </w:tcPr>
          <w:p w14:paraId="44492A52" w14:textId="77777777" w:rsidR="009D71CC" w:rsidRDefault="00CB7CE8">
            <w:pPr>
              <w:keepNext/>
              <w:widowControl w:val="0"/>
              <w:suppressAutoHyphens w:val="0"/>
              <w:jc w:val="center"/>
            </w:pPr>
            <w:r>
              <w:t>748.15</w:t>
            </w:r>
          </w:p>
        </w:tc>
        <w:tc>
          <w:tcPr>
            <w:tcW w:w="2517" w:type="dxa"/>
            <w:tcBorders>
              <w:top w:val="single" w:sz="4" w:space="0" w:color="000000"/>
              <w:left w:val="single" w:sz="4" w:space="0" w:color="000000"/>
              <w:bottom w:val="single" w:sz="4" w:space="0" w:color="000000"/>
              <w:right w:val="single" w:sz="4" w:space="0" w:color="000000"/>
            </w:tcBorders>
            <w:vAlign w:val="center"/>
          </w:tcPr>
          <w:p w14:paraId="45E97045" w14:textId="77777777" w:rsidR="009D71CC" w:rsidRDefault="00CB7CE8">
            <w:pPr>
              <w:keepNext/>
              <w:widowControl w:val="0"/>
              <w:suppressAutoHyphens w:val="0"/>
              <w:jc w:val="center"/>
            </w:pPr>
            <w:r>
              <w:t>1.41</w:t>
            </w:r>
          </w:p>
        </w:tc>
        <w:tc>
          <w:tcPr>
            <w:tcW w:w="2526" w:type="dxa"/>
            <w:tcBorders>
              <w:top w:val="single" w:sz="4" w:space="0" w:color="000000"/>
              <w:left w:val="single" w:sz="4" w:space="0" w:color="000000"/>
              <w:bottom w:val="single" w:sz="4" w:space="0" w:color="000000"/>
              <w:right w:val="single" w:sz="4" w:space="0" w:color="000000"/>
            </w:tcBorders>
            <w:vAlign w:val="center"/>
          </w:tcPr>
          <w:p w14:paraId="2784D0CC" w14:textId="77777777" w:rsidR="009D71CC" w:rsidRDefault="00CB7CE8">
            <w:pPr>
              <w:keepNext/>
              <w:widowControl w:val="0"/>
              <w:suppressAutoHyphens w:val="0"/>
              <w:jc w:val="center"/>
            </w:pPr>
            <w:r>
              <w:t>1879.67</w:t>
            </w:r>
          </w:p>
        </w:tc>
      </w:tr>
      <w:tr w:rsidR="009D71CC" w14:paraId="58A41DB1"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2F297C8A" w14:textId="77777777" w:rsidR="009D71CC" w:rsidRDefault="00CB7CE8">
            <w:pPr>
              <w:keepNext/>
              <w:widowControl w:val="0"/>
              <w:suppressAutoHyphens w:val="0"/>
              <w:jc w:val="left"/>
            </w:pPr>
            <w:r>
              <w:t>Rotterdam</w:t>
            </w:r>
          </w:p>
        </w:tc>
        <w:tc>
          <w:tcPr>
            <w:tcW w:w="1628" w:type="dxa"/>
            <w:tcBorders>
              <w:top w:val="single" w:sz="4" w:space="0" w:color="000000"/>
              <w:left w:val="single" w:sz="4" w:space="0" w:color="000000"/>
              <w:bottom w:val="single" w:sz="4" w:space="0" w:color="000000"/>
              <w:right w:val="single" w:sz="4" w:space="0" w:color="000000"/>
            </w:tcBorders>
            <w:vAlign w:val="center"/>
          </w:tcPr>
          <w:p w14:paraId="659B8489" w14:textId="77777777" w:rsidR="009D71CC" w:rsidRDefault="00CB7CE8">
            <w:pPr>
              <w:keepNext/>
              <w:widowControl w:val="0"/>
              <w:suppressAutoHyphens w:val="0"/>
              <w:jc w:val="center"/>
            </w:pPr>
            <w:r>
              <w:t>622.76</w:t>
            </w:r>
          </w:p>
        </w:tc>
        <w:tc>
          <w:tcPr>
            <w:tcW w:w="2517" w:type="dxa"/>
            <w:tcBorders>
              <w:top w:val="single" w:sz="4" w:space="0" w:color="000000"/>
              <w:left w:val="single" w:sz="4" w:space="0" w:color="000000"/>
              <w:bottom w:val="single" w:sz="4" w:space="0" w:color="000000"/>
              <w:right w:val="single" w:sz="4" w:space="0" w:color="000000"/>
            </w:tcBorders>
            <w:vAlign w:val="center"/>
          </w:tcPr>
          <w:p w14:paraId="1A3863C6" w14:textId="77777777" w:rsidR="009D71CC" w:rsidRDefault="00CB7CE8">
            <w:pPr>
              <w:keepNext/>
              <w:widowControl w:val="0"/>
              <w:suppressAutoHyphens w:val="0"/>
              <w:jc w:val="center"/>
            </w:pPr>
            <w:r>
              <w:t>1.21</w:t>
            </w:r>
          </w:p>
        </w:tc>
        <w:tc>
          <w:tcPr>
            <w:tcW w:w="2526" w:type="dxa"/>
            <w:tcBorders>
              <w:top w:val="single" w:sz="4" w:space="0" w:color="000000"/>
              <w:left w:val="single" w:sz="4" w:space="0" w:color="000000"/>
              <w:bottom w:val="single" w:sz="4" w:space="0" w:color="000000"/>
              <w:right w:val="single" w:sz="4" w:space="0" w:color="000000"/>
            </w:tcBorders>
            <w:vAlign w:val="center"/>
          </w:tcPr>
          <w:p w14:paraId="00585AE8" w14:textId="77777777" w:rsidR="009D71CC" w:rsidRDefault="00CB7CE8">
            <w:pPr>
              <w:keepNext/>
              <w:widowControl w:val="0"/>
              <w:suppressAutoHyphens w:val="0"/>
              <w:jc w:val="center"/>
            </w:pPr>
            <w:r>
              <w:t>1937.84</w:t>
            </w:r>
          </w:p>
        </w:tc>
      </w:tr>
      <w:tr w:rsidR="009D71CC" w14:paraId="10C9289B"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2B13FDF9" w14:textId="77777777" w:rsidR="009D71CC" w:rsidRDefault="00CB7CE8">
            <w:pPr>
              <w:keepNext/>
              <w:widowControl w:val="0"/>
              <w:suppressAutoHyphens w:val="0"/>
              <w:jc w:val="left"/>
            </w:pPr>
            <w:r>
              <w:t>Sevilla</w:t>
            </w:r>
          </w:p>
        </w:tc>
        <w:tc>
          <w:tcPr>
            <w:tcW w:w="1628" w:type="dxa"/>
            <w:tcBorders>
              <w:top w:val="single" w:sz="4" w:space="0" w:color="000000"/>
              <w:left w:val="single" w:sz="4" w:space="0" w:color="000000"/>
              <w:bottom w:val="single" w:sz="4" w:space="0" w:color="000000"/>
              <w:right w:val="single" w:sz="4" w:space="0" w:color="000000"/>
            </w:tcBorders>
            <w:vAlign w:val="center"/>
          </w:tcPr>
          <w:p w14:paraId="3903062F" w14:textId="77777777" w:rsidR="009D71CC" w:rsidRDefault="00CB7CE8">
            <w:pPr>
              <w:keepNext/>
              <w:widowControl w:val="0"/>
              <w:suppressAutoHyphens w:val="0"/>
              <w:jc w:val="center"/>
            </w:pPr>
            <w:r>
              <w:t>287.13</w:t>
            </w:r>
          </w:p>
        </w:tc>
        <w:tc>
          <w:tcPr>
            <w:tcW w:w="2517" w:type="dxa"/>
            <w:tcBorders>
              <w:top w:val="single" w:sz="4" w:space="0" w:color="000000"/>
              <w:left w:val="single" w:sz="4" w:space="0" w:color="000000"/>
              <w:bottom w:val="single" w:sz="4" w:space="0" w:color="000000"/>
              <w:right w:val="single" w:sz="4" w:space="0" w:color="000000"/>
            </w:tcBorders>
            <w:vAlign w:val="center"/>
          </w:tcPr>
          <w:p w14:paraId="441112EA" w14:textId="77777777" w:rsidR="009D71CC" w:rsidRDefault="00CB7CE8">
            <w:pPr>
              <w:keepNext/>
              <w:widowControl w:val="0"/>
              <w:suppressAutoHyphens w:val="0"/>
              <w:jc w:val="center"/>
            </w:pPr>
            <w:r>
              <w:t>0.83</w:t>
            </w:r>
          </w:p>
        </w:tc>
        <w:tc>
          <w:tcPr>
            <w:tcW w:w="2526" w:type="dxa"/>
            <w:tcBorders>
              <w:top w:val="single" w:sz="4" w:space="0" w:color="000000"/>
              <w:left w:val="single" w:sz="4" w:space="0" w:color="000000"/>
              <w:bottom w:val="single" w:sz="4" w:space="0" w:color="000000"/>
              <w:right w:val="single" w:sz="4" w:space="0" w:color="000000"/>
            </w:tcBorders>
            <w:vAlign w:val="center"/>
          </w:tcPr>
          <w:p w14:paraId="5E0F6CAE" w14:textId="77777777" w:rsidR="009D71CC" w:rsidRDefault="00CB7CE8">
            <w:pPr>
              <w:keepNext/>
              <w:widowControl w:val="0"/>
              <w:suppressAutoHyphens w:val="0"/>
              <w:jc w:val="center"/>
            </w:pPr>
            <w:r>
              <w:t>2904.99</w:t>
            </w:r>
          </w:p>
        </w:tc>
      </w:tr>
      <w:tr w:rsidR="009D71CC" w14:paraId="232CF09A"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10276A2C" w14:textId="77777777" w:rsidR="009D71CC" w:rsidRDefault="00CB7CE8">
            <w:pPr>
              <w:keepNext/>
              <w:widowControl w:val="0"/>
              <w:suppressAutoHyphens w:val="0"/>
              <w:jc w:val="left"/>
            </w:pPr>
            <w:r>
              <w:t>Sofie</w:t>
            </w:r>
          </w:p>
        </w:tc>
        <w:tc>
          <w:tcPr>
            <w:tcW w:w="1628" w:type="dxa"/>
            <w:tcBorders>
              <w:top w:val="single" w:sz="4" w:space="0" w:color="000000"/>
              <w:left w:val="single" w:sz="4" w:space="0" w:color="000000"/>
              <w:bottom w:val="single" w:sz="4" w:space="0" w:color="000000"/>
              <w:right w:val="single" w:sz="4" w:space="0" w:color="000000"/>
            </w:tcBorders>
            <w:vAlign w:val="center"/>
          </w:tcPr>
          <w:p w14:paraId="5320E5BC" w14:textId="77777777" w:rsidR="009D71CC" w:rsidRDefault="00CB7CE8">
            <w:pPr>
              <w:keepNext/>
              <w:widowControl w:val="0"/>
              <w:suppressAutoHyphens w:val="0"/>
              <w:jc w:val="center"/>
            </w:pPr>
            <w:r>
              <w:t>748.17</w:t>
            </w:r>
          </w:p>
        </w:tc>
        <w:tc>
          <w:tcPr>
            <w:tcW w:w="2517" w:type="dxa"/>
            <w:tcBorders>
              <w:top w:val="single" w:sz="4" w:space="0" w:color="000000"/>
              <w:left w:val="single" w:sz="4" w:space="0" w:color="000000"/>
              <w:bottom w:val="single" w:sz="4" w:space="0" w:color="000000"/>
              <w:right w:val="single" w:sz="4" w:space="0" w:color="000000"/>
            </w:tcBorders>
            <w:vAlign w:val="center"/>
          </w:tcPr>
          <w:p w14:paraId="301A4FA4" w14:textId="77777777" w:rsidR="009D71CC" w:rsidRDefault="00CB7CE8">
            <w:pPr>
              <w:keepNext/>
              <w:widowControl w:val="0"/>
              <w:suppressAutoHyphens w:val="0"/>
              <w:jc w:val="center"/>
            </w:pPr>
            <w:r>
              <w:t>1.28</w:t>
            </w:r>
          </w:p>
        </w:tc>
        <w:tc>
          <w:tcPr>
            <w:tcW w:w="2526" w:type="dxa"/>
            <w:tcBorders>
              <w:top w:val="single" w:sz="4" w:space="0" w:color="000000"/>
              <w:left w:val="single" w:sz="4" w:space="0" w:color="000000"/>
              <w:bottom w:val="single" w:sz="4" w:space="0" w:color="000000"/>
              <w:right w:val="single" w:sz="4" w:space="0" w:color="000000"/>
            </w:tcBorders>
            <w:vAlign w:val="center"/>
          </w:tcPr>
          <w:p w14:paraId="7C6E0118" w14:textId="77777777" w:rsidR="009D71CC" w:rsidRDefault="00CB7CE8">
            <w:pPr>
              <w:keepNext/>
              <w:widowControl w:val="0"/>
              <w:suppressAutoHyphens w:val="0"/>
              <w:jc w:val="center"/>
            </w:pPr>
            <w:r>
              <w:t>1709.84</w:t>
            </w:r>
          </w:p>
        </w:tc>
      </w:tr>
      <w:tr w:rsidR="009D71CC" w14:paraId="70A06221"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0E171997" w14:textId="77777777" w:rsidR="009D71CC" w:rsidRDefault="00CB7CE8">
            <w:pPr>
              <w:keepNext/>
              <w:widowControl w:val="0"/>
              <w:suppressAutoHyphens w:val="0"/>
              <w:jc w:val="left"/>
            </w:pPr>
            <w:r>
              <w:t>Stockholm</w:t>
            </w:r>
          </w:p>
        </w:tc>
        <w:tc>
          <w:tcPr>
            <w:tcW w:w="1628" w:type="dxa"/>
            <w:tcBorders>
              <w:top w:val="single" w:sz="4" w:space="0" w:color="000000"/>
              <w:left w:val="single" w:sz="4" w:space="0" w:color="000000"/>
              <w:bottom w:val="single" w:sz="4" w:space="0" w:color="000000"/>
              <w:right w:val="single" w:sz="4" w:space="0" w:color="000000"/>
            </w:tcBorders>
            <w:vAlign w:val="center"/>
          </w:tcPr>
          <w:p w14:paraId="273D80EF" w14:textId="77777777" w:rsidR="009D71CC" w:rsidRDefault="00CB7CE8">
            <w:pPr>
              <w:keepNext/>
              <w:widowControl w:val="0"/>
              <w:suppressAutoHyphens w:val="0"/>
              <w:jc w:val="center"/>
            </w:pPr>
            <w:r>
              <w:t>1532.34</w:t>
            </w:r>
          </w:p>
        </w:tc>
        <w:tc>
          <w:tcPr>
            <w:tcW w:w="2517" w:type="dxa"/>
            <w:tcBorders>
              <w:top w:val="single" w:sz="4" w:space="0" w:color="000000"/>
              <w:left w:val="single" w:sz="4" w:space="0" w:color="000000"/>
              <w:bottom w:val="single" w:sz="4" w:space="0" w:color="000000"/>
              <w:right w:val="single" w:sz="4" w:space="0" w:color="000000"/>
            </w:tcBorders>
            <w:vAlign w:val="center"/>
          </w:tcPr>
          <w:p w14:paraId="7D882ACF" w14:textId="77777777" w:rsidR="009D71CC" w:rsidRDefault="00CB7CE8">
            <w:pPr>
              <w:keepNext/>
              <w:widowControl w:val="0"/>
              <w:suppressAutoHyphens w:val="0"/>
              <w:jc w:val="center"/>
            </w:pPr>
            <w:r>
              <w:t>1.86</w:t>
            </w:r>
          </w:p>
        </w:tc>
        <w:tc>
          <w:tcPr>
            <w:tcW w:w="2526" w:type="dxa"/>
            <w:tcBorders>
              <w:top w:val="single" w:sz="4" w:space="0" w:color="000000"/>
              <w:left w:val="single" w:sz="4" w:space="0" w:color="000000"/>
              <w:bottom w:val="single" w:sz="4" w:space="0" w:color="000000"/>
              <w:right w:val="single" w:sz="4" w:space="0" w:color="000000"/>
            </w:tcBorders>
            <w:vAlign w:val="center"/>
          </w:tcPr>
          <w:p w14:paraId="6BDF4D2B" w14:textId="77777777" w:rsidR="009D71CC" w:rsidRDefault="00CB7CE8">
            <w:pPr>
              <w:keepNext/>
              <w:widowControl w:val="0"/>
              <w:suppressAutoHyphens w:val="0"/>
              <w:jc w:val="center"/>
            </w:pPr>
            <w:r>
              <w:t>1212.58</w:t>
            </w:r>
          </w:p>
        </w:tc>
      </w:tr>
      <w:tr w:rsidR="009D71CC" w14:paraId="5A52A4C5"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53E18166" w14:textId="77777777" w:rsidR="009D71CC" w:rsidRDefault="00CB7CE8">
            <w:pPr>
              <w:keepNext/>
              <w:widowControl w:val="0"/>
              <w:suppressAutoHyphens w:val="0"/>
              <w:jc w:val="left"/>
            </w:pPr>
            <w:r>
              <w:t>Turín</w:t>
            </w:r>
          </w:p>
        </w:tc>
        <w:tc>
          <w:tcPr>
            <w:tcW w:w="1628" w:type="dxa"/>
            <w:tcBorders>
              <w:top w:val="single" w:sz="4" w:space="0" w:color="000000"/>
              <w:left w:val="single" w:sz="4" w:space="0" w:color="000000"/>
              <w:bottom w:val="single" w:sz="4" w:space="0" w:color="000000"/>
              <w:right w:val="single" w:sz="4" w:space="0" w:color="000000"/>
            </w:tcBorders>
            <w:vAlign w:val="center"/>
          </w:tcPr>
          <w:p w14:paraId="0D2E182D" w14:textId="77777777" w:rsidR="009D71CC" w:rsidRDefault="00CB7CE8">
            <w:pPr>
              <w:keepNext/>
              <w:widowControl w:val="0"/>
              <w:suppressAutoHyphens w:val="0"/>
              <w:jc w:val="center"/>
            </w:pPr>
            <w:r>
              <w:t>255.77</w:t>
            </w:r>
          </w:p>
        </w:tc>
        <w:tc>
          <w:tcPr>
            <w:tcW w:w="2517" w:type="dxa"/>
            <w:tcBorders>
              <w:top w:val="single" w:sz="4" w:space="0" w:color="000000"/>
              <w:left w:val="single" w:sz="4" w:space="0" w:color="000000"/>
              <w:bottom w:val="single" w:sz="4" w:space="0" w:color="000000"/>
              <w:right w:val="single" w:sz="4" w:space="0" w:color="000000"/>
            </w:tcBorders>
            <w:vAlign w:val="center"/>
          </w:tcPr>
          <w:p w14:paraId="3C621BF6" w14:textId="77777777" w:rsidR="009D71CC" w:rsidRDefault="00CB7CE8">
            <w:pPr>
              <w:keepNext/>
              <w:widowControl w:val="0"/>
              <w:suppressAutoHyphens w:val="0"/>
              <w:jc w:val="center"/>
            </w:pPr>
            <w:r>
              <w:t>1.12</w:t>
            </w:r>
          </w:p>
        </w:tc>
        <w:tc>
          <w:tcPr>
            <w:tcW w:w="2526" w:type="dxa"/>
            <w:tcBorders>
              <w:top w:val="single" w:sz="4" w:space="0" w:color="000000"/>
              <w:left w:val="single" w:sz="4" w:space="0" w:color="000000"/>
              <w:bottom w:val="single" w:sz="4" w:space="0" w:color="000000"/>
              <w:right w:val="single" w:sz="4" w:space="0" w:color="000000"/>
            </w:tcBorders>
            <w:vAlign w:val="center"/>
          </w:tcPr>
          <w:p w14:paraId="1AD78D41" w14:textId="77777777" w:rsidR="009D71CC" w:rsidRDefault="00CB7CE8">
            <w:pPr>
              <w:keepNext/>
              <w:widowControl w:val="0"/>
              <w:suppressAutoHyphens w:val="0"/>
              <w:jc w:val="center"/>
            </w:pPr>
            <w:r>
              <w:t>4379.42</w:t>
            </w:r>
          </w:p>
        </w:tc>
      </w:tr>
      <w:tr w:rsidR="009D71CC" w14:paraId="0F11C1F2"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2F87EF36" w14:textId="77777777" w:rsidR="009D71CC" w:rsidRDefault="00CB7CE8">
            <w:pPr>
              <w:keepNext/>
              <w:widowControl w:val="0"/>
              <w:suppressAutoHyphens w:val="0"/>
              <w:jc w:val="left"/>
            </w:pPr>
            <w:r>
              <w:t>Vídeň</w:t>
            </w:r>
          </w:p>
        </w:tc>
        <w:tc>
          <w:tcPr>
            <w:tcW w:w="1628" w:type="dxa"/>
            <w:tcBorders>
              <w:top w:val="single" w:sz="4" w:space="0" w:color="000000"/>
              <w:left w:val="single" w:sz="4" w:space="0" w:color="000000"/>
              <w:bottom w:val="single" w:sz="4" w:space="0" w:color="000000"/>
              <w:right w:val="single" w:sz="4" w:space="0" w:color="000000"/>
            </w:tcBorders>
            <w:vAlign w:val="center"/>
          </w:tcPr>
          <w:p w14:paraId="0CF0B5B3" w14:textId="77777777" w:rsidR="009D71CC" w:rsidRDefault="00CB7CE8">
            <w:pPr>
              <w:keepNext/>
              <w:widowControl w:val="0"/>
              <w:suppressAutoHyphens w:val="0"/>
              <w:jc w:val="center"/>
            </w:pPr>
            <w:r>
              <w:t>643.63</w:t>
            </w:r>
          </w:p>
        </w:tc>
        <w:tc>
          <w:tcPr>
            <w:tcW w:w="2517" w:type="dxa"/>
            <w:tcBorders>
              <w:top w:val="single" w:sz="4" w:space="0" w:color="000000"/>
              <w:left w:val="single" w:sz="4" w:space="0" w:color="000000"/>
              <w:bottom w:val="single" w:sz="4" w:space="0" w:color="000000"/>
              <w:right w:val="single" w:sz="4" w:space="0" w:color="000000"/>
            </w:tcBorders>
            <w:vAlign w:val="center"/>
          </w:tcPr>
          <w:p w14:paraId="097747A8" w14:textId="77777777" w:rsidR="009D71CC" w:rsidRDefault="00CB7CE8">
            <w:pPr>
              <w:keepNext/>
              <w:widowControl w:val="0"/>
              <w:suppressAutoHyphens w:val="0"/>
              <w:jc w:val="center"/>
            </w:pPr>
            <w:r>
              <w:t>2.00</w:t>
            </w:r>
          </w:p>
        </w:tc>
        <w:tc>
          <w:tcPr>
            <w:tcW w:w="2526" w:type="dxa"/>
            <w:tcBorders>
              <w:top w:val="single" w:sz="4" w:space="0" w:color="000000"/>
              <w:left w:val="single" w:sz="4" w:space="0" w:color="000000"/>
              <w:bottom w:val="single" w:sz="4" w:space="0" w:color="000000"/>
              <w:right w:val="single" w:sz="4" w:space="0" w:color="000000"/>
            </w:tcBorders>
            <w:vAlign w:val="center"/>
          </w:tcPr>
          <w:p w14:paraId="4004B147" w14:textId="77777777" w:rsidR="009D71CC" w:rsidRDefault="00CB7CE8">
            <w:pPr>
              <w:keepNext/>
              <w:widowControl w:val="0"/>
              <w:suppressAutoHyphens w:val="0"/>
              <w:jc w:val="center"/>
            </w:pPr>
            <w:r>
              <w:t>3111.21</w:t>
            </w:r>
          </w:p>
        </w:tc>
      </w:tr>
      <w:tr w:rsidR="009D71CC" w14:paraId="6F6933D5" w14:textId="77777777" w:rsidTr="00590A11">
        <w:trPr>
          <w:cantSplit/>
          <w:trHeight w:val="256"/>
          <w:jc w:val="center"/>
        </w:trPr>
        <w:tc>
          <w:tcPr>
            <w:tcW w:w="1614" w:type="dxa"/>
            <w:tcBorders>
              <w:top w:val="single" w:sz="4" w:space="0" w:color="000000"/>
              <w:left w:val="single" w:sz="4" w:space="0" w:color="000000"/>
              <w:bottom w:val="single" w:sz="4" w:space="0" w:color="000000"/>
              <w:right w:val="single" w:sz="4" w:space="0" w:color="000000"/>
            </w:tcBorders>
            <w:vAlign w:val="center"/>
          </w:tcPr>
          <w:p w14:paraId="374A0987" w14:textId="77777777" w:rsidR="009D71CC" w:rsidRDefault="00CB7CE8">
            <w:pPr>
              <w:keepNext/>
              <w:widowControl w:val="0"/>
              <w:suppressAutoHyphens w:val="0"/>
              <w:jc w:val="left"/>
            </w:pPr>
            <w:r>
              <w:t>Záhřeb</w:t>
            </w:r>
          </w:p>
        </w:tc>
        <w:tc>
          <w:tcPr>
            <w:tcW w:w="1628" w:type="dxa"/>
            <w:tcBorders>
              <w:top w:val="single" w:sz="4" w:space="0" w:color="000000"/>
              <w:left w:val="single" w:sz="4" w:space="0" w:color="000000"/>
              <w:bottom w:val="single" w:sz="4" w:space="0" w:color="000000"/>
              <w:right w:val="single" w:sz="4" w:space="0" w:color="000000"/>
            </w:tcBorders>
            <w:vAlign w:val="center"/>
          </w:tcPr>
          <w:p w14:paraId="2E5C44C1" w14:textId="77777777" w:rsidR="009D71CC" w:rsidRDefault="00CB7CE8">
            <w:pPr>
              <w:keepNext/>
              <w:widowControl w:val="0"/>
              <w:suppressAutoHyphens w:val="0"/>
              <w:jc w:val="center"/>
            </w:pPr>
            <w:r>
              <w:t>936.05</w:t>
            </w:r>
          </w:p>
        </w:tc>
        <w:tc>
          <w:tcPr>
            <w:tcW w:w="2517" w:type="dxa"/>
            <w:tcBorders>
              <w:top w:val="single" w:sz="4" w:space="0" w:color="000000"/>
              <w:left w:val="single" w:sz="4" w:space="0" w:color="000000"/>
              <w:bottom w:val="single" w:sz="4" w:space="0" w:color="000000"/>
              <w:right w:val="single" w:sz="4" w:space="0" w:color="000000"/>
            </w:tcBorders>
            <w:vAlign w:val="center"/>
          </w:tcPr>
          <w:p w14:paraId="24C6693F" w14:textId="77777777" w:rsidR="009D71CC" w:rsidRDefault="00CB7CE8">
            <w:pPr>
              <w:keepNext/>
              <w:widowControl w:val="0"/>
              <w:suppressAutoHyphens w:val="0"/>
              <w:jc w:val="center"/>
            </w:pPr>
            <w:r>
              <w:t>0.85</w:t>
            </w:r>
          </w:p>
        </w:tc>
        <w:tc>
          <w:tcPr>
            <w:tcW w:w="2526" w:type="dxa"/>
            <w:tcBorders>
              <w:top w:val="single" w:sz="4" w:space="0" w:color="000000"/>
              <w:left w:val="single" w:sz="4" w:space="0" w:color="000000"/>
              <w:bottom w:val="single" w:sz="4" w:space="0" w:color="000000"/>
              <w:right w:val="single" w:sz="4" w:space="0" w:color="000000"/>
            </w:tcBorders>
            <w:vAlign w:val="center"/>
          </w:tcPr>
          <w:p w14:paraId="6AC05426" w14:textId="77777777" w:rsidR="009D71CC" w:rsidRDefault="00CB7CE8">
            <w:pPr>
              <w:keepNext/>
              <w:widowControl w:val="0"/>
              <w:suppressAutoHyphens w:val="0"/>
              <w:jc w:val="center"/>
            </w:pPr>
            <w:r>
              <w:t>907.87</w:t>
            </w:r>
          </w:p>
        </w:tc>
      </w:tr>
    </w:tbl>
    <w:p w14:paraId="53D36FB0" w14:textId="066FF85F" w:rsidR="009D71CC" w:rsidRDefault="00CB7CE8">
      <w:pPr>
        <w:tabs>
          <w:tab w:val="left" w:pos="358"/>
        </w:tabs>
      </w:pPr>
      <w:r>
        <w:tab/>
        <w:t>Jedním z důležitých kritérií pro výběr měst byla dostupnost datových sad pro vybraná města. Seznam měst (</w:t>
      </w:r>
      <w:r>
        <w:fldChar w:fldCharType="begin"/>
      </w:r>
      <w:r>
        <w:instrText xml:space="preserve"> REF _Ref133340788 \h </w:instrText>
      </w:r>
      <w:r>
        <w:fldChar w:fldCharType="separate"/>
      </w:r>
      <w:r w:rsidR="00566DC0">
        <w:rPr>
          <w:rStyle w:val="Bullets"/>
          <w:rFonts w:cs="Times New Roman"/>
        </w:rPr>
        <w:t xml:space="preserve">Tab. </w:t>
      </w:r>
      <w:r w:rsidR="00566DC0">
        <w:rPr>
          <w:rStyle w:val="Bullets"/>
          <w:rFonts w:cs="Times New Roman"/>
          <w:noProof/>
        </w:rPr>
        <w:t>2</w:t>
      </w:r>
      <w:r>
        <w:fldChar w:fldCharType="end"/>
      </w:r>
      <w:r>
        <w:t>) byl několikrát měněn a diskutován s vedoucím práce, aby měl výsledek výzkumu plnohodnotnou váhu.</w:t>
      </w:r>
    </w:p>
    <w:p w14:paraId="17922EC5" w14:textId="0627F3F1" w:rsidR="00707F8F" w:rsidRPr="00707F8F" w:rsidRDefault="00CB7CE8" w:rsidP="00707F8F">
      <w:pPr>
        <w:pStyle w:val="Nadpis2"/>
      </w:pPr>
      <w:bookmarkStart w:id="39" w:name="_Toc133957927"/>
      <w:bookmarkStart w:id="40" w:name="_Toc133611811"/>
      <w:bookmarkStart w:id="41" w:name="_Toc143013743"/>
      <w:r>
        <w:t>Datové zdroje</w:t>
      </w:r>
      <w:bookmarkEnd w:id="39"/>
      <w:bookmarkEnd w:id="40"/>
      <w:bookmarkEnd w:id="41"/>
    </w:p>
    <w:p w14:paraId="09423886" w14:textId="56F86658" w:rsidR="009D71CC" w:rsidRDefault="00CB7CE8">
      <w:r>
        <w:t>V této diplomové práci byly využity různé datové zdroje, které sloužily jako výchozí materiál pro analýzy a vizualizace. Hlavním zdrojem prostorových dat byla open-source platforma OpenStreetMap (OSM), která poskytuje detailní geografické informace o městských prostředích v různých měřítcích.</w:t>
      </w:r>
    </w:p>
    <w:p w14:paraId="4C7F28D9" w14:textId="77777777" w:rsidR="009D71CC" w:rsidRDefault="00CB7CE8">
      <w:pPr>
        <w:pStyle w:val="Nadpis3"/>
      </w:pPr>
      <w:bookmarkStart w:id="42" w:name="_Toc133957928"/>
      <w:bookmarkStart w:id="43" w:name="_Toc133611812"/>
      <w:bookmarkStart w:id="44" w:name="_Toc143013744"/>
      <w:r>
        <w:lastRenderedPageBreak/>
        <w:t>OpenStreetMap</w:t>
      </w:r>
      <w:bookmarkEnd w:id="42"/>
      <w:bookmarkEnd w:id="43"/>
      <w:bookmarkEnd w:id="44"/>
    </w:p>
    <w:p w14:paraId="454EE134" w14:textId="22533BED" w:rsidR="009D71CC" w:rsidRDefault="00CB7CE8">
      <w:pPr>
        <w:tabs>
          <w:tab w:val="left" w:pos="358"/>
        </w:tabs>
      </w:pPr>
      <w:r>
        <w:t>OpenStreetMap (OSM) je projekt zaměřený na tvorbu a sdílení volných geografických dat, jako jsou například mapové podklady, body zájmu, cesty a budovy. Data jsou sbírána a aktualizována komunitou uživatelů, kteří používají speciální aplikace a GPS zařízení pro sběr dat. OSM je open-source a založen na licenci ODbL, což znamená, že data jsou volně k dispozici pro jakýkoliv účel a mohou být volně redistribuována i upravována</w:t>
      </w:r>
      <w:r w:rsidR="00B836C4">
        <w:t xml:space="preserve"> (OpenStreetMap 2023)</w:t>
      </w:r>
      <w:r>
        <w:t>.</w:t>
      </w:r>
    </w:p>
    <w:p w14:paraId="7E224F98" w14:textId="192D5010" w:rsidR="009D71CC" w:rsidRDefault="00CB7CE8">
      <w:pPr>
        <w:tabs>
          <w:tab w:val="left" w:pos="358"/>
        </w:tabs>
      </w:pPr>
      <w:r>
        <w:tab/>
        <w:t>OSM nabízí mnoho výhod oproti komerčním mapovým službám, jako jsou například Google Maps nebo Bing Maps. OSM je dostupné zdarma, obsahuje velké množství detailních dat, které mohou být upravovány a využívány bez omezení, a také nabízí širokou podporu pro vývojáře, kteří mohou využívat rozhraní API pro integraci OSM dat do svých aplikací.</w:t>
      </w:r>
      <w:r w:rsidR="00B836C4" w:rsidRPr="00B836C4">
        <w:t xml:space="preserve"> </w:t>
      </w:r>
      <w:r w:rsidR="00B836C4">
        <w:t>(OpenStreetMap 2023).</w:t>
      </w:r>
    </w:p>
    <w:p w14:paraId="055473E8" w14:textId="77777777" w:rsidR="009D71CC" w:rsidRDefault="00CB7CE8">
      <w:pPr>
        <w:pStyle w:val="Nadpis3"/>
      </w:pPr>
      <w:bookmarkStart w:id="45" w:name="_Toc133611813"/>
      <w:bookmarkStart w:id="46" w:name="_Toc133957929"/>
      <w:bookmarkStart w:id="47" w:name="_Toc143013745"/>
      <w:r>
        <w:t>Urban Atlas</w:t>
      </w:r>
      <w:bookmarkEnd w:id="45"/>
      <w:bookmarkEnd w:id="46"/>
      <w:bookmarkEnd w:id="47"/>
    </w:p>
    <w:p w14:paraId="13EF3E29" w14:textId="77777777" w:rsidR="009D71CC" w:rsidRDefault="00CB7CE8">
      <w:pPr>
        <w:tabs>
          <w:tab w:val="left" w:pos="358"/>
        </w:tabs>
      </w:pPr>
      <w:r>
        <w:t>Atlas měst poskytuje celoevropsky srovnatelná data o půdním pokryvu a využití půdy v funkčních městských oblastech (FUA). Urban Atlas 2018 obsahuje celkem 788 FUA zahrnující EU27, země ESVO, západní Balkán, Turecko a Spojené království. V době vydání diplomové práce byla datová sada Urban Atlas 2018 částečně ověřena, což znamená, že ne všechny FUA byly validovány. Nicméně přesnost nevalidovaných FUA je v oblastech s městským charakterem přes 80 % a v otevřené krajině 66 %.</w:t>
      </w:r>
    </w:p>
    <w:p w14:paraId="5C306B2E" w14:textId="77777777" w:rsidR="009D71CC" w:rsidRDefault="00CB7CE8">
      <w:pPr>
        <w:tabs>
          <w:tab w:val="left" w:pos="358"/>
        </w:tabs>
      </w:pPr>
      <w:r>
        <w:tab/>
        <w:t>Pro účely této práce bylo staženo celkem 29 FUA z Urban Atlasu (viz Tab. 2). Pro každé město je k dispozici ZIP soubor obsahující metadata, symbologii a samotná data uložená v kontejneru GeoPackage.</w:t>
      </w:r>
    </w:p>
    <w:p w14:paraId="488CBE12" w14:textId="77777777" w:rsidR="009D71CC" w:rsidRDefault="00CB7CE8">
      <w:pPr>
        <w:pStyle w:val="Nadpis3"/>
      </w:pPr>
      <w:bookmarkStart w:id="48" w:name="_Toc133611814"/>
      <w:bookmarkStart w:id="49" w:name="_Toc133957930"/>
      <w:bookmarkStart w:id="50" w:name="_Toc143013746"/>
      <w:r>
        <w:t>Ostatní datové zdroje</w:t>
      </w:r>
      <w:bookmarkEnd w:id="48"/>
      <w:bookmarkEnd w:id="49"/>
      <w:bookmarkEnd w:id="50"/>
    </w:p>
    <w:p w14:paraId="05E0F4C8" w14:textId="77777777" w:rsidR="0059499A" w:rsidRDefault="0059499A" w:rsidP="0059499A">
      <w:pPr>
        <w:pStyle w:val="Nadpis4"/>
      </w:pPr>
      <w:r>
        <w:t>Eurostat</w:t>
      </w:r>
    </w:p>
    <w:p w14:paraId="5A6483C4" w14:textId="0E096E4E" w:rsidR="009D71CC" w:rsidRDefault="0059499A" w:rsidP="0059499A">
      <w:r>
        <w:t>„</w:t>
      </w:r>
      <w:r w:rsidRPr="00F574B5">
        <w:rPr>
          <w:i/>
          <w:iCs/>
        </w:rPr>
        <w:t>Eurostat neboli Statistický úřad Evropské unie je odpovědný za zveřejňování vysoce kvalitních celoevropských statistik a ukazatelů, které umožňují provádět srovnání mezi jednotlivými zeměmi a regiony</w:t>
      </w:r>
      <w:r>
        <w:rPr>
          <w:i/>
          <w:iCs/>
        </w:rPr>
        <w:t xml:space="preserve">“ </w:t>
      </w:r>
      <w:r>
        <w:t>(Eurostat, 2023). V diplomové práci bylo využito ekonomických ukazatelů dostupných za města a městské oblasti</w:t>
      </w:r>
      <w:r w:rsidR="00CB7CE8">
        <w:t>. Informace o historii a</w:t>
      </w:r>
      <w:r w:rsidR="00994723">
        <w:t> </w:t>
      </w:r>
      <w:r w:rsidR="00CB7CE8">
        <w:t>ekonomické situaci jsou uvedeny na konci práce v citacích a mají vždy platný odkaz v</w:t>
      </w:r>
      <w:r w:rsidR="00994723">
        <w:t> </w:t>
      </w:r>
      <w:r w:rsidR="00CB7CE8">
        <w:t>textu.</w:t>
      </w:r>
    </w:p>
    <w:p w14:paraId="71F73FAB" w14:textId="60D175C9" w:rsidR="0098490E" w:rsidRDefault="0098490E" w:rsidP="0098490E">
      <w:pPr>
        <w:pStyle w:val="Nadpis4"/>
      </w:pPr>
      <w:r>
        <w:t>Ekonomická aktivita</w:t>
      </w:r>
    </w:p>
    <w:p w14:paraId="64541C3C" w14:textId="59CC056E" w:rsidR="0059499A" w:rsidRDefault="0098490E" w:rsidP="0059499A">
      <w:r>
        <w:t xml:space="preserve">K analýze ekonomické aktivity byly </w:t>
      </w:r>
      <w:r w:rsidR="00D02D68">
        <w:t xml:space="preserve">použity i online zdroje, </w:t>
      </w:r>
      <w:r w:rsidR="00C60BF7">
        <w:t>články či prezentace.</w:t>
      </w:r>
    </w:p>
    <w:p w14:paraId="5D1FDE21" w14:textId="77777777" w:rsidR="009D71CC" w:rsidRDefault="00CB7CE8">
      <w:pPr>
        <w:pStyle w:val="Nadpis2"/>
      </w:pPr>
      <w:bookmarkStart w:id="51" w:name="_Toc133611815"/>
      <w:bookmarkStart w:id="52" w:name="_Toc133957931"/>
      <w:bookmarkStart w:id="53" w:name="_Toc143013747"/>
      <w:r>
        <w:t>Použitý software</w:t>
      </w:r>
      <w:bookmarkEnd w:id="51"/>
      <w:bookmarkEnd w:id="52"/>
      <w:bookmarkEnd w:id="53"/>
    </w:p>
    <w:p w14:paraId="2A996F5B" w14:textId="77777777" w:rsidR="009D71CC" w:rsidRDefault="00CB7CE8">
      <w:pPr>
        <w:pStyle w:val="Nadpis4"/>
      </w:pPr>
      <w:r>
        <w:t>ArcGIS Pro</w:t>
      </w:r>
    </w:p>
    <w:p w14:paraId="5B51C7F4" w14:textId="77777777" w:rsidR="009D71CC" w:rsidRDefault="00CB7CE8">
      <w:r>
        <w:t>ArcGIS Pro je profesionální geografický informační systém (GIS) vyvinutý společností Esri, který slouží k vytváření, analýze a vizualizaci prostorových dat. Jedná se o nástupce aplikace ArcMap a je součástí širší platformy ArcGIS, která nabízí řadu nástrojů pro práci s prostorovými daty a jejich publikování na webu. ArcGIS Pro umožňuje uživatelům vytvářet a editovat mapy, provádět geoprostorové analýzy, publikovat data na server a přistupovat k nim z různých zařízení. Díky pokročilé 3D vizualizaci a podpoře velkých datových souborů je ArcGIS Pro oblíbeným nástrojem pro práci s prostorovými daty v oblastech jako jsou urbanismus, životní prostředí, doprava a mnoho dalších.</w:t>
      </w:r>
    </w:p>
    <w:p w14:paraId="6B70C9EF" w14:textId="77777777" w:rsidR="009D71CC" w:rsidRDefault="00CB7CE8">
      <w:pPr>
        <w:pStyle w:val="Nadpis4"/>
      </w:pPr>
      <w:r>
        <w:lastRenderedPageBreak/>
        <w:t>Python 3</w:t>
      </w:r>
    </w:p>
    <w:p w14:paraId="60FFBE0C" w14:textId="5A77AB06" w:rsidR="009D71CC" w:rsidRDefault="00CB7CE8">
      <w:r>
        <w:t>Python 3 je vysokoúrovňový programovací jazyk, který se stal velmi populárním pro vývoj webových aplikací, datové analýzy, strojového učení a mnoha dalších oblastí. Python</w:t>
      </w:r>
      <w:r w:rsidR="0076789F">
        <w:t> </w:t>
      </w:r>
      <w:r>
        <w:t>3</w:t>
      </w:r>
      <w:r w:rsidR="0076789F">
        <w:t> </w:t>
      </w:r>
      <w:r>
        <w:t>nabízí mnoho výhod, včetně jednoduché syntaxe, rozšiřitelnosti, široké škály knihoven a frameworků a podporu pro mnoho operačních systémů. Díky své všestrannosti se Python 3 stal jedním z nejpopulárnějších programovacích jazyků na světě.</w:t>
      </w:r>
    </w:p>
    <w:p w14:paraId="4E2AC5AC" w14:textId="77777777" w:rsidR="009D71CC" w:rsidRDefault="00CB7CE8">
      <w:pPr>
        <w:pStyle w:val="Nadpis4"/>
      </w:pPr>
      <w:r>
        <w:t>Další software</w:t>
      </w:r>
    </w:p>
    <w:p w14:paraId="59EE463A" w14:textId="6387B5C7" w:rsidR="009D71CC" w:rsidRDefault="00CB7CE8">
      <w:r>
        <w:t>Kromě výše zmíněných byl použit program Orange,</w:t>
      </w:r>
      <w:r w:rsidR="00B054ED">
        <w:t xml:space="preserve"> </w:t>
      </w:r>
      <w:r w:rsidR="00770BAB">
        <w:t xml:space="preserve">což je open-source </w:t>
      </w:r>
      <w:r w:rsidR="00770BAB" w:rsidRPr="00770BAB">
        <w:rPr>
          <w:i/>
          <w:iCs/>
        </w:rPr>
        <w:t xml:space="preserve">machine learning </w:t>
      </w:r>
      <w:r w:rsidR="00770BAB">
        <w:t>a</w:t>
      </w:r>
      <w:r w:rsidR="008A4915">
        <w:t> </w:t>
      </w:r>
      <w:r w:rsidR="00770BAB">
        <w:t>vizualizační software.</w:t>
      </w:r>
      <w:r w:rsidR="00E117D7" w:rsidRPr="00E117D7">
        <w:t xml:space="preserve"> Jedná se o skupinu modulů založených na jazyku </w:t>
      </w:r>
      <w:r w:rsidR="00E117D7">
        <w:t>P</w:t>
      </w:r>
      <w:r w:rsidR="00E117D7" w:rsidRPr="00E117D7">
        <w:t>ython, které existují v základní knihovně.</w:t>
      </w:r>
      <w:r w:rsidR="002C6AF6">
        <w:t xml:space="preserve"> </w:t>
      </w:r>
      <w:r w:rsidR="00770BAB">
        <w:t>Dalšími</w:t>
      </w:r>
      <w:r w:rsidR="00B054ED">
        <w:t xml:space="preserve"> byly </w:t>
      </w:r>
      <w:r>
        <w:t xml:space="preserve">Adobe </w:t>
      </w:r>
      <w:r w:rsidR="0076789F">
        <w:t>Ilustrator</w:t>
      </w:r>
      <w:r>
        <w:t xml:space="preserve"> a nástroje z balíčku Office 365.</w:t>
      </w:r>
    </w:p>
    <w:p w14:paraId="25090ABF" w14:textId="77777777" w:rsidR="009D71CC" w:rsidRDefault="00CB7CE8">
      <w:pPr>
        <w:pStyle w:val="Nadpis2"/>
      </w:pPr>
      <w:bookmarkStart w:id="54" w:name="_Toc133611816"/>
      <w:bookmarkStart w:id="55" w:name="_Toc133957932"/>
      <w:bookmarkStart w:id="56" w:name="_Toc143013748"/>
      <w:r>
        <w:t>Použité metody a nástroje</w:t>
      </w:r>
      <w:bookmarkEnd w:id="54"/>
      <w:bookmarkEnd w:id="55"/>
      <w:bookmarkEnd w:id="56"/>
    </w:p>
    <w:p w14:paraId="66EDF589" w14:textId="77777777" w:rsidR="009D71CC" w:rsidRDefault="00CB7CE8">
      <w:pPr>
        <w:tabs>
          <w:tab w:val="left" w:pos="335"/>
          <w:tab w:val="left" w:pos="358"/>
        </w:tabs>
      </w:pPr>
      <w:r>
        <w:t>V následující kapitole jsou nastíněny metody a nástroje použité v diplomové práci. Autor se snažil co nejvíce využívat programovacího jazyka Python. Podrobný postup a nastavení jsou popsány v kapitole 4.</w:t>
      </w:r>
    </w:p>
    <w:p w14:paraId="51F172CB" w14:textId="77777777" w:rsidR="009D71CC" w:rsidRDefault="00CB7CE8">
      <w:pPr>
        <w:tabs>
          <w:tab w:val="left" w:pos="335"/>
          <w:tab w:val="left" w:pos="358"/>
        </w:tabs>
      </w:pPr>
      <w:r>
        <w:tab/>
        <w:t>První metodou použitou v rámci diplomové práce byla síťová analýza. V knihovně "</w:t>
      </w:r>
      <w:r>
        <w:rPr>
          <w:i/>
          <w:iCs/>
        </w:rPr>
        <w:t>arcpy</w:t>
      </w:r>
      <w:r>
        <w:t>" byly vypočítány obslužné zóny zastávek MHD a vztaženy k ekonomické aktivitě a využití krajiny. Kromě obslužných zón MHD byly statisticky zkoumány jednotlivé druhy dopravy ve městě.</w:t>
      </w:r>
    </w:p>
    <w:p w14:paraId="36CDB069" w14:textId="77777777" w:rsidR="009D71CC" w:rsidRDefault="00CB7CE8">
      <w:pPr>
        <w:tabs>
          <w:tab w:val="left" w:pos="335"/>
          <w:tab w:val="left" w:pos="358"/>
        </w:tabs>
      </w:pPr>
      <w:r>
        <w:t>Při analýze silniční sítě byly využity nástroje z knihovny OSMnx:</w:t>
      </w:r>
    </w:p>
    <w:p w14:paraId="0BF57DBF" w14:textId="77777777" w:rsidR="009D71CC" w:rsidRDefault="00CB7CE8">
      <w:pPr>
        <w:numPr>
          <w:ilvl w:val="0"/>
          <w:numId w:val="10"/>
        </w:numPr>
        <w:tabs>
          <w:tab w:val="clear" w:pos="720"/>
          <w:tab w:val="left" w:pos="335"/>
          <w:tab w:val="left" w:pos="358"/>
        </w:tabs>
        <w:jc w:val="left"/>
      </w:pPr>
      <w:r>
        <w:t>Orientace sítě (</w:t>
      </w:r>
      <w:r>
        <w:rPr>
          <w:i/>
          <w:iCs/>
        </w:rPr>
        <w:t>osmnx.bearing.plot_orientation</w:t>
      </w:r>
      <w:r>
        <w:t>) – orientace vybraného typu sítě</w:t>
      </w:r>
    </w:p>
    <w:p w14:paraId="63E5B471" w14:textId="77777777" w:rsidR="009D71CC" w:rsidRDefault="00CB7CE8">
      <w:pPr>
        <w:numPr>
          <w:ilvl w:val="0"/>
          <w:numId w:val="10"/>
        </w:numPr>
        <w:tabs>
          <w:tab w:val="clear" w:pos="720"/>
          <w:tab w:val="left" w:pos="335"/>
          <w:tab w:val="left" w:pos="358"/>
        </w:tabs>
        <w:jc w:val="left"/>
      </w:pPr>
      <w:r>
        <w:t>Základní statistiky (</w:t>
      </w:r>
      <w:r>
        <w:rPr>
          <w:i/>
          <w:iCs/>
        </w:rPr>
        <w:t>osmnx.stats.basic_stats</w:t>
      </w:r>
      <w:r>
        <w:t>) – výpočet geometrických a topologických měr</w:t>
      </w:r>
    </w:p>
    <w:p w14:paraId="7E484BC2" w14:textId="77777777" w:rsidR="009D71CC" w:rsidRDefault="00CB7CE8">
      <w:pPr>
        <w:tabs>
          <w:tab w:val="left" w:pos="335"/>
          <w:tab w:val="left" w:pos="358"/>
        </w:tabs>
      </w:pPr>
      <w:r>
        <w:t>OSMNx umožňuje snadno a efektivně stáhnout geografická data o silnicích a dalších dopravních prvcích z OpenStreetMap. S pomocí OSMNx lze například vytvořit graf silniční sítě, který umožňuje vizuální analýzu propojení jednotlivých silnic a identifikaci klíčových křižovatek a uzlů. Dálšími nástroji jsou výpočet nejkratší cesty mezi dvěma body nebo analýzu vzdálenosti mezi jednotlivými silnicemi atd. Dále bylo využito nástrojů z knihovny Networkx:</w:t>
      </w:r>
    </w:p>
    <w:p w14:paraId="368F4338" w14:textId="77777777" w:rsidR="009D71CC" w:rsidRDefault="00CB7CE8">
      <w:pPr>
        <w:numPr>
          <w:ilvl w:val="0"/>
          <w:numId w:val="11"/>
        </w:numPr>
        <w:tabs>
          <w:tab w:val="clear" w:pos="720"/>
          <w:tab w:val="left" w:pos="335"/>
          <w:tab w:val="left" w:pos="358"/>
        </w:tabs>
      </w:pPr>
      <w:r>
        <w:t>Blízkost (</w:t>
      </w:r>
      <w:r>
        <w:rPr>
          <w:i/>
          <w:iCs/>
        </w:rPr>
        <w:t>networkx.closeness_centrality</w:t>
      </w:r>
      <w:r>
        <w:t>) – výpočet blízkosti nodů a hran grafu vybrané sítě</w:t>
      </w:r>
    </w:p>
    <w:p w14:paraId="31128AFE" w14:textId="77777777" w:rsidR="009D71CC" w:rsidRDefault="00CB7CE8">
      <w:pPr>
        <w:numPr>
          <w:ilvl w:val="0"/>
          <w:numId w:val="11"/>
        </w:numPr>
        <w:tabs>
          <w:tab w:val="clear" w:pos="720"/>
          <w:tab w:val="left" w:pos="335"/>
          <w:tab w:val="left" w:pos="358"/>
        </w:tabs>
      </w:pPr>
      <w:r>
        <w:t>Středová mezipoloha (</w:t>
      </w:r>
      <w:r>
        <w:rPr>
          <w:i/>
          <w:iCs/>
        </w:rPr>
        <w:t>networkx.betweenness_centrality</w:t>
      </w:r>
      <w:r>
        <w:t>) – výpočet středové meziplohy nodů a hran grafu vybrané sítě</w:t>
      </w:r>
    </w:p>
    <w:p w14:paraId="2F6B0F56" w14:textId="77777777" w:rsidR="009D71CC" w:rsidRDefault="00CB7CE8">
      <w:pPr>
        <w:numPr>
          <w:ilvl w:val="0"/>
          <w:numId w:val="11"/>
        </w:numPr>
        <w:tabs>
          <w:tab w:val="clear" w:pos="720"/>
          <w:tab w:val="left" w:pos="335"/>
          <w:tab w:val="left" w:pos="358"/>
        </w:tabs>
      </w:pPr>
      <w:r>
        <w:t>Stupeň centrality (</w:t>
      </w:r>
      <w:r>
        <w:rPr>
          <w:i/>
          <w:iCs/>
        </w:rPr>
        <w:t>networkx.betweenness_centrality</w:t>
      </w:r>
      <w:r>
        <w:t>) – výpočet stupně nodu nebo hrany  vybrané sítě</w:t>
      </w:r>
    </w:p>
    <w:p w14:paraId="393820A6" w14:textId="77777777" w:rsidR="009D71CC" w:rsidRDefault="00CB7CE8">
      <w:pPr>
        <w:tabs>
          <w:tab w:val="left" w:pos="335"/>
          <w:tab w:val="left" w:pos="358"/>
        </w:tabs>
      </w:pPr>
      <w:r>
        <w:t>NetworkX je pythonová knihovna pro práci s grafy. Poskytuje mnoho funkcí pro vytváření, manipulaci a analýzu různých typů grafů, včetně orientovaných, neorientovaných, vážených a nevážených grafů.</w:t>
      </w:r>
    </w:p>
    <w:p w14:paraId="394941F1" w14:textId="77777777" w:rsidR="009D71CC" w:rsidRDefault="00CB7CE8" w:rsidP="00D00040">
      <w:pPr>
        <w:pStyle w:val="NormlnOdstavec"/>
      </w:pPr>
      <w:r>
        <w:t>Ekonomická aktivita ve městech byla analyzována pomocí arcpy nástroje „</w:t>
      </w:r>
      <w:r>
        <w:rPr>
          <w:i/>
          <w:iCs/>
        </w:rPr>
        <w:t>Kernel Density</w:t>
      </w:r>
      <w:r>
        <w:t>“. Výsledky vypočítaných statistik byly vztaženy k hexagonální síti. Knihovna arcpy umožňuje vytvářet hexagony pomocí funkce Generate Tessellation. Tato funkce generuje grid polygonů v zadané rozloze.</w:t>
      </w:r>
    </w:p>
    <w:p w14:paraId="21DE1523" w14:textId="34A15E54" w:rsidR="00994723" w:rsidRDefault="00D00040">
      <w:pPr>
        <w:tabs>
          <w:tab w:val="left" w:pos="335"/>
          <w:tab w:val="left" w:pos="358"/>
        </w:tabs>
      </w:pPr>
      <w:r>
        <w:tab/>
        <w:t xml:space="preserve">Podobnost statistických </w:t>
      </w:r>
      <w:r w:rsidR="00862F53">
        <w:t xml:space="preserve">a vizuálních výsledků byly hodnoceny pomocí software Orange. Do programu byla stažena extenze </w:t>
      </w:r>
      <w:r w:rsidR="002935F8">
        <w:t>„</w:t>
      </w:r>
      <w:r w:rsidR="002935F8" w:rsidRPr="002935F8">
        <w:rPr>
          <w:i/>
          <w:iCs/>
        </w:rPr>
        <w:t>Image Analytics</w:t>
      </w:r>
      <w:r w:rsidR="002935F8">
        <w:t>“.</w:t>
      </w:r>
      <w:r w:rsidR="00A1728F">
        <w:t xml:space="preserve"> </w:t>
      </w:r>
      <w:r w:rsidR="002C6AF6">
        <w:t xml:space="preserve">Všechny </w:t>
      </w:r>
      <w:r w:rsidR="005D7667">
        <w:t>vstupní soubory do</w:t>
      </w:r>
      <w:r w:rsidR="00A92D58">
        <w:t xml:space="preserve"> software Orange jsou dostupné ve </w:t>
      </w:r>
      <w:r w:rsidR="0078635D">
        <w:t>složce uložené na Teams.</w:t>
      </w:r>
      <w:r w:rsidR="00A92D58">
        <w:t xml:space="preserve"> </w:t>
      </w:r>
    </w:p>
    <w:p w14:paraId="4A7398E3" w14:textId="77777777" w:rsidR="009D71CC" w:rsidRDefault="00CB7CE8">
      <w:pPr>
        <w:pStyle w:val="Nadpis2"/>
      </w:pPr>
      <w:bookmarkStart w:id="57" w:name="_Toc133611817"/>
      <w:bookmarkStart w:id="58" w:name="_Toc133957933"/>
      <w:bookmarkStart w:id="59" w:name="_Toc143013749"/>
      <w:r>
        <w:lastRenderedPageBreak/>
        <w:t>Souřadnicový systém</w:t>
      </w:r>
      <w:bookmarkEnd w:id="57"/>
      <w:bookmarkEnd w:id="58"/>
      <w:bookmarkEnd w:id="59"/>
    </w:p>
    <w:p w14:paraId="4FBD0A3D" w14:textId="446B863E" w:rsidR="009D71CC" w:rsidRDefault="00CB7CE8">
      <w:pPr>
        <w:tabs>
          <w:tab w:val="left" w:pos="358"/>
        </w:tabs>
      </w:pPr>
      <w:r>
        <w:t>Před samotným zpracováním dat a tvorbou výstupů byla pro každé město vytvořena analýza "ideálních" souřadnicových systémů. Na základě odborného posouzení byl jako nejlepší souřadnicový systém zvolen Univerzální transverzální Mercatorův systém souřadnic (UTM). Tento systém se ale nevztahuje pouze na jedno mapové zobrazení, ale na skupinu 60 poledníkových zón. Z tohoto důvodu byla vytvořena tabulka (příloha 1) s</w:t>
      </w:r>
      <w:r w:rsidR="006C47F4">
        <w:t> </w:t>
      </w:r>
      <w:r>
        <w:t>městy a pro každé z nich byla určena nejvhodnější UTM zóna podle www.epsg.io.</w:t>
      </w:r>
    </w:p>
    <w:p w14:paraId="223EB4D5" w14:textId="77777777" w:rsidR="009D71CC" w:rsidRDefault="00CB7CE8">
      <w:pPr>
        <w:pStyle w:val="Nadpis1"/>
      </w:pPr>
      <w:bookmarkStart w:id="60" w:name="_Toc133611818"/>
      <w:bookmarkStart w:id="61" w:name="_Toc133957934"/>
      <w:bookmarkStart w:id="62" w:name="_Toc143013750"/>
      <w:r>
        <w:t>Urbánní sítě</w:t>
      </w:r>
      <w:bookmarkEnd w:id="60"/>
      <w:bookmarkEnd w:id="61"/>
      <w:bookmarkEnd w:id="62"/>
    </w:p>
    <w:p w14:paraId="5AAC0DB8" w14:textId="77777777" w:rsidR="009D71CC" w:rsidRDefault="00CB7CE8">
      <w:pPr>
        <w:pStyle w:val="Nadpis2"/>
      </w:pPr>
      <w:bookmarkStart w:id="63" w:name="_Toc133611819"/>
      <w:bookmarkStart w:id="64" w:name="_Toc133957935"/>
      <w:bookmarkStart w:id="65" w:name="_Toc143013751"/>
      <w:r>
        <w:t>Vymezení hranic města</w:t>
      </w:r>
      <w:bookmarkEnd w:id="63"/>
      <w:bookmarkEnd w:id="64"/>
      <w:bookmarkEnd w:id="65"/>
    </w:p>
    <w:p w14:paraId="15972A7B" w14:textId="77777777" w:rsidR="009D71CC" w:rsidRDefault="00CB7CE8">
      <w:pPr>
        <w:tabs>
          <w:tab w:val="left" w:pos="364"/>
        </w:tabs>
      </w:pPr>
      <w:r>
        <w:t xml:space="preserve">Pro určení hranic měst byla použita vrstva </w:t>
      </w:r>
      <w:r w:rsidRPr="00084C4D">
        <w:rPr>
          <w:i/>
          <w:iCs/>
        </w:rPr>
        <w:t>Urban Core</w:t>
      </w:r>
      <w:r>
        <w:t>. Nicméně, tato vrstva musela být upravena, neboť polygony hranic byly příliš vzdálené od sebe (</w:t>
      </w:r>
      <w:r>
        <w:fldChar w:fldCharType="begin"/>
      </w:r>
      <w:r>
        <w:instrText xml:space="preserve"> REF _Ref133959016 \h </w:instrText>
      </w:r>
      <w:r>
        <w:fldChar w:fldCharType="separate"/>
      </w:r>
      <w:r>
        <w:t>Obr. 3</w:t>
      </w:r>
      <w:r>
        <w:fldChar w:fldCharType="end"/>
      </w:r>
      <w:r>
        <w:t xml:space="preserve">). Například některá města, jako je Amsterdam, mají hranice definovány jako dva polygony vzdálené od sebe asi 800 metrů. Na druhé straně města jako Hamburg nebo Brémy mají polygony hranic vzdálené několik desítek kilometrů. Z tohoto důvodu byl vytvořen skript filtrující hraniční polygony. Okolo hranic byl vytvořen </w:t>
      </w:r>
      <w:r>
        <w:rPr>
          <w:i/>
          <w:iCs/>
        </w:rPr>
        <w:t>buffer</w:t>
      </w:r>
      <w:r>
        <w:t xml:space="preserve"> s poloměrem dvou kilometrů a s nastavením </w:t>
      </w:r>
      <w:r w:rsidRPr="00566DC0">
        <w:rPr>
          <w:i/>
          <w:iCs/>
        </w:rPr>
        <w:t>dissolve</w:t>
      </w:r>
      <w:r>
        <w:t>, který sloučí polygony, pokud se dotýkají. Následně byly vyfiltrovány polygony, které se do zkoumané vzdálenosti čtyř kilometrů nespojily, a tyto byly odstraněny. Zároveň byl polygon hranic ořezán tak, aby nebyl větší než vrstva Urban Atlas. Kvůli analýze silniční sítě byly vyřazeny ostrovy u Stockholmu, které nejsou spojeny s pevninskou částí města. Z vrstvy byly vyřazeny oceány, aby neovlivňovaly výsledky statistických výpočtů.</w:t>
      </w:r>
    </w:p>
    <w:p w14:paraId="634573F8" w14:textId="77777777" w:rsidR="009D71CC" w:rsidRDefault="00CB7CE8">
      <w:pPr>
        <w:keepNext/>
        <w:jc w:val="center"/>
      </w:pPr>
      <w:r>
        <w:rPr>
          <w:noProof/>
        </w:rPr>
        <w:drawing>
          <wp:inline distT="0" distB="0" distL="0" distR="0" wp14:anchorId="3D738458" wp14:editId="13A8F378">
            <wp:extent cx="3409950" cy="3746500"/>
            <wp:effectExtent l="0" t="0" r="0" b="0"/>
            <wp:docPr id="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
                    <pic:cNvPicPr>
                      <a:picLocks noChangeAspect="1" noChangeArrowheads="1"/>
                    </pic:cNvPicPr>
                  </pic:nvPicPr>
                  <pic:blipFill>
                    <a:blip r:embed="rId16"/>
                    <a:stretch>
                      <a:fillRect/>
                    </a:stretch>
                  </pic:blipFill>
                  <pic:spPr bwMode="auto">
                    <a:xfrm>
                      <a:off x="0" y="0"/>
                      <a:ext cx="3409950" cy="3746500"/>
                    </a:xfrm>
                    <a:prstGeom prst="rect">
                      <a:avLst/>
                    </a:prstGeom>
                  </pic:spPr>
                </pic:pic>
              </a:graphicData>
            </a:graphic>
          </wp:inline>
        </w:drawing>
      </w:r>
    </w:p>
    <w:p w14:paraId="7A7ECF46" w14:textId="1815D87A" w:rsidR="009D71CC" w:rsidRDefault="00CB7CE8">
      <w:pPr>
        <w:pStyle w:val="Obrazek"/>
      </w:pPr>
      <w:bookmarkStart w:id="66" w:name="_Ref133959016"/>
      <w:r>
        <w:t xml:space="preserve">Obr. </w:t>
      </w:r>
      <w:fldSimple w:instr=" SEQ Obr. \* ARABIC ">
        <w:r w:rsidR="00865999">
          <w:rPr>
            <w:noProof/>
          </w:rPr>
          <w:t>3</w:t>
        </w:r>
      </w:fldSimple>
      <w:bookmarkEnd w:id="66"/>
      <w:r>
        <w:t xml:space="preserve"> Původní hranice města (fialová) v porovnání s upravenými (červená)</w:t>
      </w:r>
    </w:p>
    <w:p w14:paraId="6DE2BCFE" w14:textId="77777777" w:rsidR="009D71CC" w:rsidRDefault="00CB7CE8">
      <w:pPr>
        <w:tabs>
          <w:tab w:val="left" w:pos="364"/>
        </w:tabs>
      </w:pPr>
      <w:r>
        <w:tab/>
        <w:t xml:space="preserve">Výsledná očištěná vrstva byla použita jako hranice města ve všech analýzách. Zvětšení hranic města nemělo a nemá zásadní vliv na výsledky, jelikož v reálném světě hranice </w:t>
      </w:r>
      <w:r>
        <w:lastRenderedPageBreak/>
        <w:t>nejsou tak přesně definovány jako v geometrických datech setů Urban Atlas. Zvětšení hranic města pomocí nástroje buffer bylo aplikováno na všechna města.</w:t>
      </w:r>
    </w:p>
    <w:p w14:paraId="2E795330" w14:textId="77777777" w:rsidR="009D71CC" w:rsidRDefault="00CB7CE8">
      <w:pPr>
        <w:pStyle w:val="Nadpis2"/>
      </w:pPr>
      <w:bookmarkStart w:id="67" w:name="_Toc133611820"/>
      <w:bookmarkStart w:id="68" w:name="_Toc133957936"/>
      <w:bookmarkStart w:id="69" w:name="_Ref133960129"/>
      <w:bookmarkStart w:id="70" w:name="_Ref133960137"/>
      <w:bookmarkStart w:id="71" w:name="_Ref133960143"/>
      <w:bookmarkStart w:id="72" w:name="_Toc143013752"/>
      <w:r>
        <w:t>Městská hromadná doprava</w:t>
      </w:r>
      <w:bookmarkEnd w:id="67"/>
      <w:bookmarkEnd w:id="68"/>
      <w:bookmarkEnd w:id="69"/>
      <w:bookmarkEnd w:id="70"/>
      <w:bookmarkEnd w:id="71"/>
      <w:bookmarkEnd w:id="72"/>
    </w:p>
    <w:p w14:paraId="7F79161A" w14:textId="77777777" w:rsidR="009D71CC" w:rsidRDefault="00CB7CE8">
      <w:r>
        <w:t>První skupinou urbánních sítí byla městská hromadná doprava. V rámci studie byly vybrány následující zájmové sítě: autobusová, tramvajová, vlaková a metro. V první části byly zhodnoceny jak kvantitativní, tak kvalitativní charakteristiky MHD. Získané poznatky byly aplikovány v souvislosti s ekonomickou aktivitou v městech a jejich částech.</w:t>
      </w:r>
    </w:p>
    <w:p w14:paraId="6351D017" w14:textId="77777777" w:rsidR="009D71CC" w:rsidRDefault="00CB7CE8">
      <w:pPr>
        <w:pStyle w:val="Nadpis3"/>
      </w:pPr>
      <w:bookmarkStart w:id="73" w:name="_Toc133611821"/>
      <w:bookmarkStart w:id="74" w:name="_Toc133957937"/>
      <w:bookmarkStart w:id="75" w:name="_Toc143013753"/>
      <w:r>
        <w:t>Typy hromadné dopravy</w:t>
      </w:r>
      <w:bookmarkEnd w:id="73"/>
      <w:bookmarkEnd w:id="74"/>
      <w:bookmarkEnd w:id="75"/>
    </w:p>
    <w:p w14:paraId="54A8EAE1" w14:textId="3AE87FFF" w:rsidR="009D71CC" w:rsidRDefault="00CB7CE8">
      <w:r>
        <w:t xml:space="preserve">Typologie městské hromadné dopravy byla hodnocena na základě dat z OpenStreetMap. Vybrány byly dopravní prostředky s tagy </w:t>
      </w:r>
      <w:r>
        <w:rPr>
          <w:i/>
          <w:iCs/>
        </w:rPr>
        <w:t>tram</w:t>
      </w:r>
      <w:r>
        <w:t xml:space="preserve"> a </w:t>
      </w:r>
      <w:r>
        <w:rPr>
          <w:i/>
          <w:iCs/>
        </w:rPr>
        <w:t>light_rail</w:t>
      </w:r>
      <w:r>
        <w:t>, protože tyto označení se téměř shodují a poskytují více detailů o daném dopravním prostředku (viz.</w:t>
      </w:r>
      <w:r w:rsidR="00084C4D">
        <w:t> </w:t>
      </w:r>
      <w:hyperlink r:id="rId17" w:history="1">
        <w:r w:rsidR="002B6C83" w:rsidRPr="005A6D89">
          <w:rPr>
            <w:rStyle w:val="Hypertextovodkaz"/>
          </w:rPr>
          <w:t>https://wiki.openstreetmap.org/wiki/Tag:railway=light_rail</w:t>
        </w:r>
      </w:hyperlink>
      <w:r>
        <w:t>). Všechny ostatní dopravní prostředky, které jsou spíše speciální a hrají převážně minoritní roli v městské hromadné dopravě byly vyloučeny z hodnocení.</w:t>
      </w:r>
    </w:p>
    <w:p w14:paraId="6F47A27C" w14:textId="77777777" w:rsidR="009D71CC" w:rsidRDefault="00CB7CE8">
      <w:pPr>
        <w:tabs>
          <w:tab w:val="left" w:pos="364"/>
        </w:tabs>
      </w:pPr>
      <w:r>
        <w:tab/>
        <w:t xml:space="preserve">Data o hromadné dopravě byla stažena pomocí Overpass API, což je </w:t>
      </w:r>
      <w:r>
        <w:rPr>
          <w:i/>
          <w:iCs/>
        </w:rPr>
        <w:t>read-only</w:t>
      </w:r>
      <w:r>
        <w:t xml:space="preserve"> rozhraní API, které slouží k zobrazení vybraných částí mapových dat OpenStreetMap. Funguje jako databáze přes web: klient odešle dotaz do rozhraní API a získá zpět sadu dat, která odpovídá dotazu. Pro každé město byl automaticky vypočten </w:t>
      </w:r>
      <w:r>
        <w:rPr>
          <w:i/>
          <w:iCs/>
        </w:rPr>
        <w:t>bounding box</w:t>
      </w:r>
      <w:r>
        <w:t xml:space="preserve">, složen filtr a odeslán dotaz. Odpověď databáze byla uložena ve formátu </w:t>
      </w:r>
      <w:r>
        <w:rPr>
          <w:i/>
          <w:iCs/>
        </w:rPr>
        <w:t>OSM</w:t>
      </w:r>
      <w:r>
        <w:t xml:space="preserve">. Pokud API nenalezlo data v zadaném polygonu, byl stažen prázdný </w:t>
      </w:r>
      <w:r>
        <w:rPr>
          <w:i/>
          <w:iCs/>
        </w:rPr>
        <w:t>OSM</w:t>
      </w:r>
      <w:r>
        <w:t xml:space="preserve"> soubor.</w:t>
      </w:r>
    </w:p>
    <w:p w14:paraId="2A316CB4" w14:textId="06A30545" w:rsidR="009D71CC" w:rsidRDefault="00CB7CE8">
      <w:pPr>
        <w:tabs>
          <w:tab w:val="left" w:pos="364"/>
        </w:tabs>
      </w:pPr>
      <w:r>
        <w:tab/>
        <w:t xml:space="preserve">Problém s prázdnými datovými soubory byl vyřešen v následujícím kroku, kdy byl použit nástroj o2g. Tento nástroj přijímá soubor </w:t>
      </w:r>
      <w:r>
        <w:rPr>
          <w:i/>
          <w:iCs/>
        </w:rPr>
        <w:t>OSM</w:t>
      </w:r>
      <w:r>
        <w:t xml:space="preserve"> nebo URI a díky knihovně </w:t>
      </w:r>
      <w:r>
        <w:rPr>
          <w:i/>
          <w:iCs/>
        </w:rPr>
        <w:t>osmium</w:t>
      </w:r>
      <w:r>
        <w:t xml:space="preserve"> jej převádí na částečný zdroj GTFS. Systém GTFS je de facto standardem pro sdílení informací o veřejné</w:t>
      </w:r>
      <w:r w:rsidR="00EA3B31">
        <w:t xml:space="preserve"> </w:t>
      </w:r>
      <w:r w:rsidR="00A95E99">
        <w:t>dopravě</w:t>
      </w:r>
      <w:r>
        <w:t>. O2g vytváří deset textových souborů:</w:t>
      </w:r>
    </w:p>
    <w:p w14:paraId="45240065" w14:textId="77777777" w:rsidR="009D71CC" w:rsidRDefault="00CB7CE8">
      <w:pPr>
        <w:numPr>
          <w:ilvl w:val="0"/>
          <w:numId w:val="16"/>
        </w:numPr>
        <w:tabs>
          <w:tab w:val="clear" w:pos="720"/>
          <w:tab w:val="left" w:pos="364"/>
        </w:tabs>
      </w:pPr>
      <w:r>
        <w:rPr>
          <w:i/>
          <w:iCs/>
        </w:rPr>
        <w:t>LICENSE</w:t>
      </w:r>
      <w:r>
        <w:t xml:space="preserve"> – licenční soubor</w:t>
      </w:r>
    </w:p>
    <w:p w14:paraId="112FF5B7" w14:textId="77777777" w:rsidR="009D71CC" w:rsidRDefault="00CB7CE8">
      <w:pPr>
        <w:numPr>
          <w:ilvl w:val="0"/>
          <w:numId w:val="16"/>
        </w:numPr>
        <w:tabs>
          <w:tab w:val="clear" w:pos="720"/>
          <w:tab w:val="left" w:pos="364"/>
        </w:tabs>
      </w:pPr>
      <w:r>
        <w:rPr>
          <w:i/>
          <w:iCs/>
        </w:rPr>
        <w:t>agency.txt</w:t>
      </w:r>
      <w:r>
        <w:t xml:space="preserve"> – firmy provozující službu</w:t>
      </w:r>
    </w:p>
    <w:p w14:paraId="77F22AD8" w14:textId="77777777" w:rsidR="009D71CC" w:rsidRDefault="00CB7CE8">
      <w:pPr>
        <w:numPr>
          <w:ilvl w:val="0"/>
          <w:numId w:val="16"/>
        </w:numPr>
        <w:tabs>
          <w:tab w:val="clear" w:pos="720"/>
          <w:tab w:val="left" w:pos="364"/>
        </w:tabs>
      </w:pPr>
      <w:r>
        <w:rPr>
          <w:i/>
          <w:iCs/>
        </w:rPr>
        <w:t>calendar.txt</w:t>
      </w:r>
      <w:r>
        <w:t xml:space="preserve"> – kalendář kdy je služba v provozu</w:t>
      </w:r>
    </w:p>
    <w:p w14:paraId="2062979B" w14:textId="77777777" w:rsidR="009D71CC" w:rsidRDefault="00CB7CE8">
      <w:pPr>
        <w:numPr>
          <w:ilvl w:val="0"/>
          <w:numId w:val="16"/>
        </w:numPr>
        <w:tabs>
          <w:tab w:val="clear" w:pos="720"/>
          <w:tab w:val="left" w:pos="364"/>
        </w:tabs>
      </w:pPr>
      <w:r>
        <w:rPr>
          <w:i/>
          <w:iCs/>
        </w:rPr>
        <w:t>frequencies.txt</w:t>
      </w:r>
      <w:r>
        <w:t xml:space="preserve"> – trvání dané služby</w:t>
      </w:r>
    </w:p>
    <w:p w14:paraId="015EE7F5" w14:textId="77777777" w:rsidR="009D71CC" w:rsidRDefault="00CB7CE8">
      <w:pPr>
        <w:numPr>
          <w:ilvl w:val="0"/>
          <w:numId w:val="16"/>
        </w:numPr>
        <w:tabs>
          <w:tab w:val="clear" w:pos="720"/>
          <w:tab w:val="left" w:pos="364"/>
        </w:tabs>
      </w:pPr>
      <w:r>
        <w:rPr>
          <w:i/>
          <w:iCs/>
        </w:rPr>
        <w:t>logs.txt</w:t>
      </w:r>
      <w:r>
        <w:t xml:space="preserve"> – logy</w:t>
      </w:r>
    </w:p>
    <w:p w14:paraId="30F562E5" w14:textId="77777777" w:rsidR="009D71CC" w:rsidRDefault="00CB7CE8">
      <w:pPr>
        <w:numPr>
          <w:ilvl w:val="0"/>
          <w:numId w:val="16"/>
        </w:numPr>
        <w:tabs>
          <w:tab w:val="clear" w:pos="720"/>
          <w:tab w:val="left" w:pos="364"/>
        </w:tabs>
      </w:pPr>
      <w:r>
        <w:rPr>
          <w:i/>
          <w:iCs/>
        </w:rPr>
        <w:t>routes.txt</w:t>
      </w:r>
      <w:r>
        <w:t xml:space="preserve"> – trasy služby</w:t>
      </w:r>
    </w:p>
    <w:p w14:paraId="50DFAA35" w14:textId="77777777" w:rsidR="009D71CC" w:rsidRDefault="00CB7CE8">
      <w:pPr>
        <w:numPr>
          <w:ilvl w:val="0"/>
          <w:numId w:val="16"/>
        </w:numPr>
        <w:tabs>
          <w:tab w:val="clear" w:pos="720"/>
          <w:tab w:val="left" w:pos="364"/>
        </w:tabs>
      </w:pPr>
      <w:r>
        <w:rPr>
          <w:i/>
          <w:iCs/>
        </w:rPr>
        <w:t>shapes.txt</w:t>
      </w:r>
      <w:r>
        <w:t xml:space="preserve"> – tvary (zastávky, linky)</w:t>
      </w:r>
    </w:p>
    <w:p w14:paraId="2F918F61" w14:textId="77777777" w:rsidR="009D71CC" w:rsidRDefault="00CB7CE8">
      <w:pPr>
        <w:numPr>
          <w:ilvl w:val="0"/>
          <w:numId w:val="16"/>
        </w:numPr>
        <w:tabs>
          <w:tab w:val="clear" w:pos="720"/>
          <w:tab w:val="left" w:pos="364"/>
        </w:tabs>
      </w:pPr>
      <w:r>
        <w:rPr>
          <w:i/>
          <w:iCs/>
        </w:rPr>
        <w:t>stops.txt</w:t>
      </w:r>
      <w:r>
        <w:t xml:space="preserve"> – zastávky</w:t>
      </w:r>
    </w:p>
    <w:p w14:paraId="7E364F68" w14:textId="77777777" w:rsidR="009D71CC" w:rsidRDefault="00CB7CE8">
      <w:pPr>
        <w:numPr>
          <w:ilvl w:val="0"/>
          <w:numId w:val="16"/>
        </w:numPr>
        <w:tabs>
          <w:tab w:val="clear" w:pos="720"/>
          <w:tab w:val="left" w:pos="364"/>
        </w:tabs>
      </w:pPr>
      <w:r>
        <w:rPr>
          <w:i/>
          <w:iCs/>
        </w:rPr>
        <w:t>stop_times.txt</w:t>
      </w:r>
      <w:r>
        <w:t xml:space="preserve"> – čas zastávek</w:t>
      </w:r>
    </w:p>
    <w:p w14:paraId="04913A74" w14:textId="77777777" w:rsidR="009D71CC" w:rsidRDefault="00CB7CE8">
      <w:pPr>
        <w:numPr>
          <w:ilvl w:val="0"/>
          <w:numId w:val="16"/>
        </w:numPr>
        <w:tabs>
          <w:tab w:val="clear" w:pos="720"/>
          <w:tab w:val="left" w:pos="364"/>
        </w:tabs>
      </w:pPr>
      <w:r>
        <w:rPr>
          <w:i/>
          <w:iCs/>
        </w:rPr>
        <w:t>trips.txt</w:t>
      </w:r>
      <w:r>
        <w:t xml:space="preserve"> – cesty</w:t>
      </w:r>
    </w:p>
    <w:p w14:paraId="23271B5D" w14:textId="59A45D4E" w:rsidR="00100D98" w:rsidRDefault="00CB7CE8">
      <w:pPr>
        <w:tabs>
          <w:tab w:val="left" w:pos="364"/>
        </w:tabs>
      </w:pPr>
      <w:r>
        <w:t xml:space="preserve">Každý soubor reportuje nebo ukládá jiný záznam. Stěžejními soubory jsou </w:t>
      </w:r>
      <w:r>
        <w:rPr>
          <w:i/>
          <w:iCs/>
        </w:rPr>
        <w:t>stops.txt</w:t>
      </w:r>
      <w:r>
        <w:t xml:space="preserve"> a </w:t>
      </w:r>
      <w:r>
        <w:rPr>
          <w:i/>
          <w:iCs/>
        </w:rPr>
        <w:t>routes.txt</w:t>
      </w:r>
      <w:r>
        <w:t xml:space="preserve">. Prvně jmenovaný soubor reportuje zastávky v staženém. osm souboru. Druhý soubor obsahuje všechny linky, které vedou do nebo z města. Stažení dat z OpenStreetMap pomocí </w:t>
      </w:r>
      <w:r>
        <w:rPr>
          <w:i/>
          <w:iCs/>
        </w:rPr>
        <w:t>bounding boxu</w:t>
      </w:r>
      <w:r>
        <w:t xml:space="preserve"> vytvořilo dva problémy: prázdná data sety a data mimo </w:t>
      </w:r>
      <w:r>
        <w:rPr>
          <w:i/>
          <w:iCs/>
        </w:rPr>
        <w:t>bounding box</w:t>
      </w:r>
      <w:r>
        <w:t>. Z tohoto důvodu byla vrstva zastávek (</w:t>
      </w:r>
      <w:r>
        <w:rPr>
          <w:i/>
          <w:iCs/>
        </w:rPr>
        <w:t>stops.txt</w:t>
      </w:r>
      <w:r>
        <w:t xml:space="preserve">) načtena a ořezána. Data, která neobsahovala informace, byla smazána. Očištěné vrstvy byly použity jako podklad pro další analýzy. Zastávky hromadné dopravy byly staženy také pomocí knihovny </w:t>
      </w:r>
      <w:r>
        <w:rPr>
          <w:i/>
          <w:iCs/>
        </w:rPr>
        <w:t>OSMnx</w:t>
      </w:r>
      <w:r>
        <w:t xml:space="preserve">. Důvodem bylo ověření validity upravených dat nástrojem </w:t>
      </w:r>
      <w:r>
        <w:rPr>
          <w:i/>
          <w:iCs/>
        </w:rPr>
        <w:t>o2g</w:t>
      </w:r>
      <w:r>
        <w:t>.</w:t>
      </w:r>
    </w:p>
    <w:tbl>
      <w:tblPr>
        <w:tblStyle w:val="Mkatabulky"/>
        <w:tblW w:w="6002" w:type="dxa"/>
        <w:jc w:val="center"/>
        <w:tblLayout w:type="fixed"/>
        <w:tblLook w:val="04A0" w:firstRow="1" w:lastRow="0" w:firstColumn="1" w:lastColumn="0" w:noHBand="0" w:noVBand="1"/>
      </w:tblPr>
      <w:tblGrid>
        <w:gridCol w:w="3003"/>
        <w:gridCol w:w="2999"/>
      </w:tblGrid>
      <w:tr w:rsidR="009D71CC" w14:paraId="542E2B13" w14:textId="77777777" w:rsidTr="00100D98">
        <w:trPr>
          <w:cantSplit/>
          <w:jc w:val="center"/>
        </w:trPr>
        <w:tc>
          <w:tcPr>
            <w:tcW w:w="6001" w:type="dxa"/>
            <w:gridSpan w:val="2"/>
          </w:tcPr>
          <w:p w14:paraId="7D7387D0" w14:textId="77777777" w:rsidR="009D71CC" w:rsidRDefault="00CB7CE8">
            <w:pPr>
              <w:pStyle w:val="TableHeading"/>
            </w:pPr>
            <w:r>
              <w:t>Typy hromadné dopravy podle OpenStreetMap</w:t>
            </w:r>
          </w:p>
        </w:tc>
      </w:tr>
      <w:tr w:rsidR="009D71CC" w14:paraId="09E299B2" w14:textId="77777777" w:rsidTr="00100D98">
        <w:trPr>
          <w:cantSplit/>
          <w:jc w:val="center"/>
        </w:trPr>
        <w:tc>
          <w:tcPr>
            <w:tcW w:w="6001" w:type="dxa"/>
            <w:gridSpan w:val="2"/>
            <w:shd w:val="clear" w:color="auto" w:fill="E2EFD9" w:themeFill="accent6" w:themeFillTint="33"/>
          </w:tcPr>
          <w:p w14:paraId="0A376321" w14:textId="77777777" w:rsidR="009D71CC" w:rsidRDefault="00CB7CE8">
            <w:pPr>
              <w:widowControl w:val="0"/>
            </w:pPr>
            <w:r>
              <w:t>Bus</w:t>
            </w:r>
          </w:p>
        </w:tc>
      </w:tr>
      <w:tr w:rsidR="009D71CC" w14:paraId="21E4AA6D" w14:textId="77777777" w:rsidTr="00100D98">
        <w:trPr>
          <w:cantSplit/>
          <w:jc w:val="center"/>
        </w:trPr>
        <w:tc>
          <w:tcPr>
            <w:tcW w:w="3002" w:type="dxa"/>
            <w:vMerge w:val="restart"/>
            <w:vAlign w:val="center"/>
          </w:tcPr>
          <w:p w14:paraId="552EF7B0" w14:textId="77777777" w:rsidR="009D71CC" w:rsidRDefault="00CB7CE8">
            <w:pPr>
              <w:widowControl w:val="0"/>
              <w:jc w:val="left"/>
            </w:pPr>
            <w:r>
              <w:lastRenderedPageBreak/>
              <w:t>Railways</w:t>
            </w:r>
          </w:p>
        </w:tc>
        <w:tc>
          <w:tcPr>
            <w:tcW w:w="2999" w:type="dxa"/>
            <w:shd w:val="clear" w:color="auto" w:fill="E2EFD9" w:themeFill="accent6" w:themeFillTint="33"/>
          </w:tcPr>
          <w:p w14:paraId="05E0F35B" w14:textId="77777777" w:rsidR="009D71CC" w:rsidRDefault="00CB7CE8">
            <w:pPr>
              <w:widowControl w:val="0"/>
            </w:pPr>
            <w:r>
              <w:t>Mainline</w:t>
            </w:r>
          </w:p>
        </w:tc>
      </w:tr>
      <w:tr w:rsidR="009D71CC" w14:paraId="15E83A28" w14:textId="77777777" w:rsidTr="00100D98">
        <w:trPr>
          <w:cantSplit/>
          <w:jc w:val="center"/>
        </w:trPr>
        <w:tc>
          <w:tcPr>
            <w:tcW w:w="3002" w:type="dxa"/>
            <w:vMerge/>
          </w:tcPr>
          <w:p w14:paraId="5C6ACC32" w14:textId="77777777" w:rsidR="009D71CC" w:rsidRDefault="009D71CC">
            <w:pPr>
              <w:widowControl w:val="0"/>
            </w:pPr>
          </w:p>
        </w:tc>
        <w:tc>
          <w:tcPr>
            <w:tcW w:w="2999" w:type="dxa"/>
            <w:shd w:val="clear" w:color="auto" w:fill="E2EFD9" w:themeFill="accent6" w:themeFillTint="33"/>
          </w:tcPr>
          <w:p w14:paraId="082887A3" w14:textId="77777777" w:rsidR="009D71CC" w:rsidRDefault="00CB7CE8">
            <w:pPr>
              <w:widowControl w:val="0"/>
            </w:pPr>
            <w:r>
              <w:t>Subway</w:t>
            </w:r>
          </w:p>
        </w:tc>
      </w:tr>
      <w:tr w:rsidR="009D71CC" w14:paraId="7143D530" w14:textId="77777777" w:rsidTr="00100D98">
        <w:trPr>
          <w:cantSplit/>
          <w:jc w:val="center"/>
        </w:trPr>
        <w:tc>
          <w:tcPr>
            <w:tcW w:w="3002" w:type="dxa"/>
            <w:vMerge/>
          </w:tcPr>
          <w:p w14:paraId="090BBE04" w14:textId="77777777" w:rsidR="009D71CC" w:rsidRDefault="009D71CC">
            <w:pPr>
              <w:widowControl w:val="0"/>
            </w:pPr>
          </w:p>
        </w:tc>
        <w:tc>
          <w:tcPr>
            <w:tcW w:w="2999" w:type="dxa"/>
            <w:shd w:val="clear" w:color="auto" w:fill="E2EFD9" w:themeFill="accent6" w:themeFillTint="33"/>
          </w:tcPr>
          <w:p w14:paraId="22855CBF" w14:textId="77777777" w:rsidR="009D71CC" w:rsidRDefault="00CB7CE8">
            <w:pPr>
              <w:widowControl w:val="0"/>
            </w:pPr>
            <w:r>
              <w:t>Tram/Light rail</w:t>
            </w:r>
          </w:p>
        </w:tc>
      </w:tr>
      <w:tr w:rsidR="009D71CC" w14:paraId="7C98FA56" w14:textId="77777777" w:rsidTr="00100D98">
        <w:trPr>
          <w:cantSplit/>
          <w:jc w:val="center"/>
        </w:trPr>
        <w:tc>
          <w:tcPr>
            <w:tcW w:w="3002" w:type="dxa"/>
            <w:vMerge/>
          </w:tcPr>
          <w:p w14:paraId="52568F6B" w14:textId="77777777" w:rsidR="009D71CC" w:rsidRDefault="009D71CC">
            <w:pPr>
              <w:widowControl w:val="0"/>
            </w:pPr>
          </w:p>
        </w:tc>
        <w:tc>
          <w:tcPr>
            <w:tcW w:w="2999" w:type="dxa"/>
            <w:shd w:val="clear" w:color="auto" w:fill="FBE4D5" w:themeFill="accent2" w:themeFillTint="33"/>
          </w:tcPr>
          <w:p w14:paraId="5DC8D4CF" w14:textId="77777777" w:rsidR="009D71CC" w:rsidRDefault="00CB7CE8">
            <w:pPr>
              <w:widowControl w:val="0"/>
            </w:pPr>
            <w:r>
              <w:t>Narrow-gauge</w:t>
            </w:r>
          </w:p>
        </w:tc>
      </w:tr>
      <w:tr w:rsidR="009D71CC" w14:paraId="517FC9BA" w14:textId="77777777" w:rsidTr="00100D98">
        <w:trPr>
          <w:cantSplit/>
          <w:jc w:val="center"/>
        </w:trPr>
        <w:tc>
          <w:tcPr>
            <w:tcW w:w="3002" w:type="dxa"/>
            <w:vMerge/>
          </w:tcPr>
          <w:p w14:paraId="13C8C016" w14:textId="77777777" w:rsidR="009D71CC" w:rsidRDefault="009D71CC">
            <w:pPr>
              <w:widowControl w:val="0"/>
            </w:pPr>
          </w:p>
        </w:tc>
        <w:tc>
          <w:tcPr>
            <w:tcW w:w="2999" w:type="dxa"/>
            <w:shd w:val="clear" w:color="auto" w:fill="FBE4D5" w:themeFill="accent2" w:themeFillTint="33"/>
          </w:tcPr>
          <w:p w14:paraId="177DD5CD" w14:textId="77777777" w:rsidR="009D71CC" w:rsidRDefault="00CB7CE8">
            <w:pPr>
              <w:widowControl w:val="0"/>
            </w:pPr>
            <w:r>
              <w:t>Monorail</w:t>
            </w:r>
          </w:p>
        </w:tc>
      </w:tr>
      <w:tr w:rsidR="009D71CC" w14:paraId="08419BA2" w14:textId="77777777" w:rsidTr="00100D98">
        <w:trPr>
          <w:cantSplit/>
          <w:jc w:val="center"/>
        </w:trPr>
        <w:tc>
          <w:tcPr>
            <w:tcW w:w="3002" w:type="dxa"/>
            <w:vMerge/>
          </w:tcPr>
          <w:p w14:paraId="2E6ABD83" w14:textId="77777777" w:rsidR="009D71CC" w:rsidRDefault="009D71CC">
            <w:pPr>
              <w:widowControl w:val="0"/>
            </w:pPr>
          </w:p>
        </w:tc>
        <w:tc>
          <w:tcPr>
            <w:tcW w:w="2999" w:type="dxa"/>
            <w:shd w:val="clear" w:color="auto" w:fill="FBE4D5" w:themeFill="accent2" w:themeFillTint="33"/>
          </w:tcPr>
          <w:p w14:paraId="4FF5155E" w14:textId="77777777" w:rsidR="009D71CC" w:rsidRDefault="00CB7CE8">
            <w:pPr>
              <w:widowControl w:val="0"/>
            </w:pPr>
            <w:r>
              <w:t>Preserved</w:t>
            </w:r>
          </w:p>
        </w:tc>
      </w:tr>
      <w:tr w:rsidR="009D71CC" w14:paraId="69963555" w14:textId="77777777" w:rsidTr="00100D98">
        <w:trPr>
          <w:cantSplit/>
          <w:jc w:val="center"/>
        </w:trPr>
        <w:tc>
          <w:tcPr>
            <w:tcW w:w="3002" w:type="dxa"/>
            <w:vMerge/>
          </w:tcPr>
          <w:p w14:paraId="57FC3937" w14:textId="77777777" w:rsidR="009D71CC" w:rsidRDefault="009D71CC">
            <w:pPr>
              <w:widowControl w:val="0"/>
            </w:pPr>
          </w:p>
        </w:tc>
        <w:tc>
          <w:tcPr>
            <w:tcW w:w="2999" w:type="dxa"/>
            <w:shd w:val="clear" w:color="auto" w:fill="FBE4D5" w:themeFill="accent2" w:themeFillTint="33"/>
          </w:tcPr>
          <w:p w14:paraId="022BE8FF" w14:textId="77777777" w:rsidR="009D71CC" w:rsidRDefault="00CB7CE8">
            <w:pPr>
              <w:widowControl w:val="0"/>
            </w:pPr>
            <w:r>
              <w:t>Miniature</w:t>
            </w:r>
          </w:p>
        </w:tc>
      </w:tr>
      <w:tr w:rsidR="009D71CC" w14:paraId="786DCF2E" w14:textId="77777777" w:rsidTr="00100D98">
        <w:trPr>
          <w:cantSplit/>
          <w:jc w:val="center"/>
        </w:trPr>
        <w:tc>
          <w:tcPr>
            <w:tcW w:w="3002" w:type="dxa"/>
            <w:vMerge/>
          </w:tcPr>
          <w:p w14:paraId="4288EEA6" w14:textId="77777777" w:rsidR="009D71CC" w:rsidRDefault="009D71CC">
            <w:pPr>
              <w:widowControl w:val="0"/>
            </w:pPr>
          </w:p>
        </w:tc>
        <w:tc>
          <w:tcPr>
            <w:tcW w:w="2999" w:type="dxa"/>
            <w:shd w:val="clear" w:color="auto" w:fill="FBE4D5" w:themeFill="accent2" w:themeFillTint="33"/>
          </w:tcPr>
          <w:p w14:paraId="1A382EF3" w14:textId="77777777" w:rsidR="009D71CC" w:rsidRDefault="00CB7CE8">
            <w:pPr>
              <w:widowControl w:val="0"/>
            </w:pPr>
            <w:r>
              <w:t>Funicular</w:t>
            </w:r>
          </w:p>
        </w:tc>
      </w:tr>
      <w:tr w:rsidR="009D71CC" w14:paraId="749D1127" w14:textId="77777777" w:rsidTr="00100D98">
        <w:trPr>
          <w:cantSplit/>
          <w:jc w:val="center"/>
        </w:trPr>
        <w:tc>
          <w:tcPr>
            <w:tcW w:w="6001" w:type="dxa"/>
            <w:gridSpan w:val="2"/>
            <w:shd w:val="clear" w:color="auto" w:fill="E2EFD9" w:themeFill="accent6" w:themeFillTint="33"/>
          </w:tcPr>
          <w:p w14:paraId="27B20CAD" w14:textId="77777777" w:rsidR="009D71CC" w:rsidRDefault="00CB7CE8">
            <w:pPr>
              <w:widowControl w:val="0"/>
            </w:pPr>
            <w:r>
              <w:t>Trams</w:t>
            </w:r>
          </w:p>
        </w:tc>
      </w:tr>
      <w:tr w:rsidR="009D71CC" w14:paraId="6CC3EEA5" w14:textId="77777777" w:rsidTr="00100D98">
        <w:trPr>
          <w:cantSplit/>
          <w:jc w:val="center"/>
        </w:trPr>
        <w:tc>
          <w:tcPr>
            <w:tcW w:w="6001" w:type="dxa"/>
            <w:gridSpan w:val="2"/>
            <w:shd w:val="clear" w:color="auto" w:fill="FBE4D5" w:themeFill="accent2" w:themeFillTint="33"/>
          </w:tcPr>
          <w:p w14:paraId="48A7E9DF" w14:textId="77777777" w:rsidR="009D71CC" w:rsidRDefault="00CB7CE8">
            <w:pPr>
              <w:widowControl w:val="0"/>
            </w:pPr>
            <w:r>
              <w:t>Aircraft</w:t>
            </w:r>
          </w:p>
        </w:tc>
      </w:tr>
      <w:tr w:rsidR="009D71CC" w14:paraId="2C8D9431" w14:textId="77777777" w:rsidTr="00100D98">
        <w:trPr>
          <w:cantSplit/>
          <w:jc w:val="center"/>
        </w:trPr>
        <w:tc>
          <w:tcPr>
            <w:tcW w:w="6001" w:type="dxa"/>
            <w:gridSpan w:val="2"/>
            <w:shd w:val="clear" w:color="auto" w:fill="FBE4D5" w:themeFill="accent2" w:themeFillTint="33"/>
          </w:tcPr>
          <w:p w14:paraId="33A71997" w14:textId="77777777" w:rsidR="009D71CC" w:rsidRDefault="00CB7CE8">
            <w:pPr>
              <w:widowControl w:val="0"/>
            </w:pPr>
            <w:r>
              <w:t>Ferries</w:t>
            </w:r>
          </w:p>
        </w:tc>
      </w:tr>
      <w:tr w:rsidR="009D71CC" w14:paraId="5C5F9B12" w14:textId="77777777" w:rsidTr="00100D98">
        <w:trPr>
          <w:cantSplit/>
          <w:jc w:val="center"/>
        </w:trPr>
        <w:tc>
          <w:tcPr>
            <w:tcW w:w="6001" w:type="dxa"/>
            <w:gridSpan w:val="2"/>
            <w:shd w:val="clear" w:color="auto" w:fill="FBE4D5" w:themeFill="accent2" w:themeFillTint="33"/>
          </w:tcPr>
          <w:p w14:paraId="4E7AE993" w14:textId="77777777" w:rsidR="009D71CC" w:rsidRDefault="00CB7CE8">
            <w:pPr>
              <w:keepNext/>
              <w:widowControl w:val="0"/>
            </w:pPr>
            <w:r>
              <w:t>Other</w:t>
            </w:r>
          </w:p>
        </w:tc>
      </w:tr>
    </w:tbl>
    <w:p w14:paraId="5ACCE63E" w14:textId="4B34E31F" w:rsidR="009D71CC" w:rsidRDefault="00CB7CE8">
      <w:pPr>
        <w:pStyle w:val="Obrazek"/>
      </w:pPr>
      <w:r>
        <w:t xml:space="preserve">Tab. </w:t>
      </w:r>
      <w:fldSimple w:instr=" SEQ Tab. \* ARABIC ">
        <w:r w:rsidR="00005BBA">
          <w:rPr>
            <w:noProof/>
          </w:rPr>
          <w:t>3</w:t>
        </w:r>
      </w:fldSimple>
      <w:r>
        <w:t xml:space="preserve"> Typy hromadné dopravy podle OpenStreetMap. Zolené prostředky jsou označeny zeleně.</w:t>
      </w:r>
    </w:p>
    <w:p w14:paraId="01A9B729" w14:textId="77777777" w:rsidR="009D71CC" w:rsidRDefault="00CB7CE8">
      <w:pPr>
        <w:pStyle w:val="Nadpis3"/>
      </w:pPr>
      <w:bookmarkStart w:id="76" w:name="_Toc133611822"/>
      <w:bookmarkStart w:id="77" w:name="_Toc133957938"/>
      <w:bookmarkStart w:id="78" w:name="_Toc143013754"/>
      <w:r>
        <w:t>Obslužné zóny</w:t>
      </w:r>
      <w:bookmarkEnd w:id="76"/>
      <w:bookmarkEnd w:id="77"/>
      <w:bookmarkEnd w:id="78"/>
    </w:p>
    <w:p w14:paraId="66E4632E" w14:textId="5BA2880C" w:rsidR="009D71CC" w:rsidRDefault="00CB7CE8">
      <w:pPr>
        <w:tabs>
          <w:tab w:val="left" w:pos="358"/>
        </w:tabs>
      </w:pPr>
      <w:r>
        <w:t>Analýza obslužných zón se zaměřuje na určení oblastí, které jsou dostupné z určitého bodu nebo oblasti v určitém čase nebo vzdálenosti. Tato analýza je důležitá pro plánování infrastruktury a dopravních systémů, protože umožňuje identifikovat oblasti s</w:t>
      </w:r>
      <w:r w:rsidR="002B6C83">
        <w:t> </w:t>
      </w:r>
      <w:r>
        <w:t>nedostatečnou dostupností a zlepšit jejich přístupnost.</w:t>
      </w:r>
    </w:p>
    <w:p w14:paraId="62BDB9E5" w14:textId="77777777" w:rsidR="009D71CC" w:rsidRDefault="00CB7CE8">
      <w:pPr>
        <w:tabs>
          <w:tab w:val="left" w:pos="358"/>
        </w:tabs>
      </w:pPr>
      <w:r>
        <w:tab/>
        <w:t>Existuje několik metod pro analýzu obslužných zón, včetně metody isochron, která umožňuje vytvořit zóny s konstantním časem nebo vzdáleností od daného bodu nebo oblasti. Tyto zóny jsou vytvořeny pomocí výpočtu nejkratších tras z daného bodu nebo oblasti do okolních oblastí a výpočtu času nebo vzdálenosti potřebné k dosažení těchto oblastí.</w:t>
      </w:r>
    </w:p>
    <w:p w14:paraId="239177DC" w14:textId="47F2307F" w:rsidR="009D71CC" w:rsidRDefault="00CB7CE8">
      <w:pPr>
        <w:tabs>
          <w:tab w:val="left" w:pos="358"/>
        </w:tabs>
      </w:pPr>
      <w:r>
        <w:tab/>
        <w:t>Analýza obslužných zón je důležitá pro plánování dopravní infrastruktury a služeb v</w:t>
      </w:r>
      <w:r w:rsidR="002B6C83">
        <w:t> </w:t>
      </w:r>
      <w:r>
        <w:t>oblastech s různou hustotou obyvatelstva a potřebami. Pomáhá identifikovat oblasti s</w:t>
      </w:r>
      <w:r w:rsidR="002B6C83">
        <w:t> </w:t>
      </w:r>
      <w:r>
        <w:t>nedostatečnou přístupností a zlepšit dostupnost těchto oblastí pro obyvatele.</w:t>
      </w:r>
    </w:p>
    <w:p w14:paraId="1EAFFB74" w14:textId="2040405B" w:rsidR="009D71CC" w:rsidRDefault="00CB7CE8">
      <w:pPr>
        <w:tabs>
          <w:tab w:val="left" w:pos="358"/>
        </w:tabs>
      </w:pPr>
      <w:r>
        <w:tab/>
        <w:t xml:space="preserve">V rámci diplomové práce byly vytvořeny zóny obslužnosti pro zastávky hromadné dopravy. Python knihovnou </w:t>
      </w:r>
      <w:r>
        <w:rPr>
          <w:i/>
          <w:iCs/>
        </w:rPr>
        <w:t>OSMnx</w:t>
      </w:r>
      <w:r>
        <w:t xml:space="preserve"> a nástrojem </w:t>
      </w:r>
      <w:r>
        <w:rPr>
          <w:i/>
          <w:iCs/>
        </w:rPr>
        <w:t>graph_from_polygon</w:t>
      </w:r>
      <w:r>
        <w:t xml:space="preserve"> byla stažena urbánní síť </w:t>
      </w:r>
      <w:r>
        <w:rPr>
          <w:i/>
          <w:iCs/>
        </w:rPr>
        <w:t>walk</w:t>
      </w:r>
      <w:r>
        <w:t xml:space="preserve">. Následné byly nástrojem </w:t>
      </w:r>
      <w:r>
        <w:rPr>
          <w:i/>
          <w:iCs/>
        </w:rPr>
        <w:t>service_area</w:t>
      </w:r>
      <w:r>
        <w:t xml:space="preserve"> z knihovny </w:t>
      </w:r>
      <w:r>
        <w:rPr>
          <w:i/>
          <w:iCs/>
        </w:rPr>
        <w:t>arcpy</w:t>
      </w:r>
      <w:r>
        <w:t xml:space="preserve"> vytvořeny oblasti obslužnosti. Tyto vytvořené oblasti byly spojeny a byla spočítána celková plocha obslužnosti</w:t>
      </w:r>
      <w:r w:rsidR="002B6C83">
        <w:t xml:space="preserve"> </w:t>
      </w:r>
      <w:r w:rsidR="002B6C83">
        <w:fldChar w:fldCharType="begin"/>
      </w:r>
      <w:r w:rsidR="002B6C83">
        <w:instrText xml:space="preserve"> REF _Ref143015922 \h </w:instrText>
      </w:r>
      <w:r w:rsidR="002B6C83">
        <w:fldChar w:fldCharType="separate"/>
      </w:r>
      <w:r w:rsidR="002B6C83">
        <w:t xml:space="preserve">Tab. </w:t>
      </w:r>
      <w:r w:rsidR="002B6C83">
        <w:rPr>
          <w:noProof/>
        </w:rPr>
        <w:t>4</w:t>
      </w:r>
      <w:r w:rsidR="002B6C83">
        <w:fldChar w:fldCharType="end"/>
      </w:r>
      <w:r>
        <w:t>. Dále byl vytvořen histogram četnosti rozlohy obslužných zón. Kromě toho byly oblasti obslužnosti aplikovány na:</w:t>
      </w:r>
    </w:p>
    <w:p w14:paraId="604E6462" w14:textId="77777777" w:rsidR="009D71CC" w:rsidRDefault="00CB7CE8">
      <w:pPr>
        <w:numPr>
          <w:ilvl w:val="0"/>
          <w:numId w:val="6"/>
        </w:numPr>
        <w:tabs>
          <w:tab w:val="clear" w:pos="720"/>
          <w:tab w:val="left" w:pos="358"/>
        </w:tabs>
      </w:pPr>
      <w:r>
        <w:t>Bodovou vrstvu obchodů</w:t>
      </w:r>
    </w:p>
    <w:p w14:paraId="3A6DFC3D" w14:textId="77777777" w:rsidR="009D71CC" w:rsidRDefault="00CB7CE8">
      <w:pPr>
        <w:numPr>
          <w:ilvl w:val="0"/>
          <w:numId w:val="6"/>
        </w:numPr>
        <w:tabs>
          <w:tab w:val="clear" w:pos="720"/>
          <w:tab w:val="left" w:pos="358"/>
        </w:tabs>
      </w:pPr>
      <w:r>
        <w:t>Polygonovou vrstvu Urban Atlas</w:t>
      </w:r>
    </w:p>
    <w:p w14:paraId="28727492" w14:textId="77777777" w:rsidR="009D71CC" w:rsidRDefault="00CB7CE8">
      <w:pPr>
        <w:numPr>
          <w:ilvl w:val="1"/>
          <w:numId w:val="6"/>
        </w:numPr>
        <w:tabs>
          <w:tab w:val="left" w:pos="358"/>
        </w:tabs>
      </w:pPr>
      <w:r>
        <w:t>Komerční a průmyslové zóny (kód č. 12100)</w:t>
      </w:r>
    </w:p>
    <w:p w14:paraId="49EED8A9" w14:textId="77777777" w:rsidR="009D71CC" w:rsidRDefault="00CB7CE8">
      <w:pPr>
        <w:numPr>
          <w:ilvl w:val="1"/>
          <w:numId w:val="6"/>
        </w:numPr>
        <w:tabs>
          <w:tab w:val="left" w:pos="358"/>
        </w:tabs>
      </w:pPr>
      <w:r>
        <w:t>Zóny s vysokou hustotou zalidnění (kód &lt;11240)</w:t>
      </w:r>
    </w:p>
    <w:p w14:paraId="6AFA9A24" w14:textId="77777777" w:rsidR="009D71CC" w:rsidRDefault="00CB7CE8">
      <w:pPr>
        <w:numPr>
          <w:ilvl w:val="0"/>
          <w:numId w:val="6"/>
        </w:numPr>
        <w:tabs>
          <w:tab w:val="clear" w:pos="720"/>
          <w:tab w:val="left" w:pos="358"/>
        </w:tabs>
      </w:pPr>
      <w:r>
        <w:t>Polygonovou vrstvu budov</w:t>
      </w:r>
    </w:p>
    <w:p w14:paraId="4A26C81D" w14:textId="77777777" w:rsidR="002B6C83" w:rsidRDefault="002B6C83">
      <w:pPr>
        <w:spacing w:before="0" w:after="0" w:line="240" w:lineRule="auto"/>
        <w:jc w:val="left"/>
        <w:rPr>
          <w:sz w:val="18"/>
          <w:szCs w:val="22"/>
        </w:rPr>
      </w:pPr>
      <w:r>
        <w:br w:type="page"/>
      </w:r>
    </w:p>
    <w:p w14:paraId="0178452A" w14:textId="313B4730" w:rsidR="00005BBA" w:rsidRDefault="00005BBA" w:rsidP="00005BBA">
      <w:pPr>
        <w:pStyle w:val="Obrazek"/>
        <w:jc w:val="left"/>
      </w:pPr>
      <w:bookmarkStart w:id="79" w:name="_Ref143015922"/>
      <w:r>
        <w:lastRenderedPageBreak/>
        <w:t xml:space="preserve">Tab. </w:t>
      </w:r>
      <w:fldSimple w:instr=" SEQ Tab. \* ARABIC ">
        <w:r>
          <w:rPr>
            <w:noProof/>
          </w:rPr>
          <w:t>4</w:t>
        </w:r>
      </w:fldSimple>
      <w:bookmarkEnd w:id="79"/>
      <w:r>
        <w:t xml:space="preserve"> </w:t>
      </w:r>
      <w:r w:rsidRPr="002D62E3">
        <w:t>Dosažitelnost ekonomické aktivity (POI)</w:t>
      </w:r>
      <w:r w:rsidR="00104753">
        <w:t xml:space="preserve"> v procentech</w:t>
      </w:r>
      <w:r w:rsidRPr="002D62E3">
        <w:t xml:space="preserve"> ve městech</w:t>
      </w:r>
      <w:r w:rsidR="00104753">
        <w:t xml:space="preserve"> v různých typech dopravy</w:t>
      </w:r>
    </w:p>
    <w:tbl>
      <w:tblPr>
        <w:tblW w:w="5207" w:type="dxa"/>
        <w:tblInd w:w="113" w:type="dxa"/>
        <w:tblLook w:val="04A0" w:firstRow="1" w:lastRow="0" w:firstColumn="1" w:lastColumn="0" w:noHBand="0" w:noVBand="1"/>
      </w:tblPr>
      <w:tblGrid>
        <w:gridCol w:w="1341"/>
        <w:gridCol w:w="1425"/>
        <w:gridCol w:w="1662"/>
        <w:gridCol w:w="1120"/>
      </w:tblGrid>
      <w:tr w:rsidR="00104753" w:rsidRPr="00104753" w14:paraId="7799059C" w14:textId="77777777" w:rsidTr="00104753">
        <w:trPr>
          <w:trHeight w:val="48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4F161" w14:textId="77777777" w:rsidR="00104753" w:rsidRPr="00104753" w:rsidRDefault="00104753" w:rsidP="00104753">
            <w:pPr>
              <w:pStyle w:val="TableHeading"/>
              <w:rPr>
                <w:lang w:val="en-US" w:eastAsia="en-US"/>
              </w:rPr>
            </w:pPr>
            <w:r w:rsidRPr="00104753">
              <w:rPr>
                <w:lang w:val="en-US" w:eastAsia="en-US"/>
              </w:rPr>
              <w:t>Město</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14:paraId="045CF986" w14:textId="77777777" w:rsidR="00104753" w:rsidRPr="00104753" w:rsidRDefault="00104753" w:rsidP="00104753">
            <w:pPr>
              <w:pStyle w:val="TableHeading"/>
              <w:rPr>
                <w:lang w:val="en-US" w:eastAsia="en-US"/>
              </w:rPr>
            </w:pPr>
            <w:r w:rsidRPr="00104753">
              <w:rPr>
                <w:lang w:val="en-US" w:eastAsia="en-US"/>
              </w:rPr>
              <w:t>Autobusová</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7DDD30A4" w14:textId="77777777" w:rsidR="00104753" w:rsidRPr="00104753" w:rsidRDefault="00104753" w:rsidP="00104753">
            <w:pPr>
              <w:pStyle w:val="TableHeading"/>
              <w:rPr>
                <w:lang w:val="en-US" w:eastAsia="en-US"/>
              </w:rPr>
            </w:pPr>
            <w:r w:rsidRPr="00104753">
              <w:rPr>
                <w:lang w:val="en-US" w:eastAsia="en-US"/>
              </w:rPr>
              <w:t xml:space="preserve">Tramvajová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99FEECD" w14:textId="77777777" w:rsidR="00104753" w:rsidRPr="00104753" w:rsidRDefault="00104753" w:rsidP="00104753">
            <w:pPr>
              <w:pStyle w:val="TableHeading"/>
              <w:rPr>
                <w:lang w:val="en-US" w:eastAsia="en-US"/>
              </w:rPr>
            </w:pPr>
            <w:r w:rsidRPr="00104753">
              <w:rPr>
                <w:lang w:val="en-US" w:eastAsia="en-US"/>
              </w:rPr>
              <w:t>Metro</w:t>
            </w:r>
          </w:p>
        </w:tc>
      </w:tr>
      <w:tr w:rsidR="00104753" w:rsidRPr="00104753" w14:paraId="46C05E95"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4793B64" w14:textId="77777777" w:rsidR="00104753" w:rsidRPr="00104753" w:rsidRDefault="00104753" w:rsidP="00104753">
            <w:pPr>
              <w:rPr>
                <w:szCs w:val="20"/>
                <w:lang w:val="en-US" w:eastAsia="en-US"/>
              </w:rPr>
            </w:pPr>
            <w:r w:rsidRPr="00104753">
              <w:rPr>
                <w:szCs w:val="20"/>
                <w:lang w:val="en-US" w:eastAsia="en-US"/>
              </w:rPr>
              <w:t>Amsterdam</w:t>
            </w:r>
          </w:p>
        </w:tc>
        <w:tc>
          <w:tcPr>
            <w:tcW w:w="1258" w:type="dxa"/>
            <w:tcBorders>
              <w:top w:val="nil"/>
              <w:left w:val="nil"/>
              <w:bottom w:val="single" w:sz="4" w:space="0" w:color="auto"/>
              <w:right w:val="single" w:sz="4" w:space="0" w:color="auto"/>
            </w:tcBorders>
            <w:shd w:val="clear" w:color="auto" w:fill="auto"/>
            <w:noWrap/>
            <w:vAlign w:val="bottom"/>
            <w:hideMark/>
          </w:tcPr>
          <w:p w14:paraId="79E83FC5" w14:textId="50A890A8" w:rsidR="00104753" w:rsidRPr="00104753" w:rsidRDefault="00104753" w:rsidP="00104753">
            <w:pPr>
              <w:rPr>
                <w:szCs w:val="20"/>
                <w:lang w:val="en-US" w:eastAsia="en-US"/>
              </w:rPr>
            </w:pPr>
            <w:r w:rsidRPr="00104753">
              <w:rPr>
                <w:szCs w:val="20"/>
                <w:lang w:val="en-US" w:eastAsia="en-US"/>
              </w:rPr>
              <w:t>93.8</w:t>
            </w:r>
          </w:p>
        </w:tc>
        <w:tc>
          <w:tcPr>
            <w:tcW w:w="1662" w:type="dxa"/>
            <w:tcBorders>
              <w:top w:val="nil"/>
              <w:left w:val="nil"/>
              <w:bottom w:val="single" w:sz="4" w:space="0" w:color="auto"/>
              <w:right w:val="single" w:sz="4" w:space="0" w:color="auto"/>
            </w:tcBorders>
            <w:shd w:val="clear" w:color="auto" w:fill="auto"/>
            <w:noWrap/>
            <w:vAlign w:val="bottom"/>
            <w:hideMark/>
          </w:tcPr>
          <w:p w14:paraId="5DE35D9A" w14:textId="77777777" w:rsidR="00104753" w:rsidRPr="00104753" w:rsidRDefault="00104753" w:rsidP="00104753">
            <w:pPr>
              <w:rPr>
                <w:szCs w:val="20"/>
                <w:lang w:val="en-US" w:eastAsia="en-US"/>
              </w:rPr>
            </w:pPr>
            <w:r w:rsidRPr="00104753">
              <w:rPr>
                <w:szCs w:val="20"/>
                <w:lang w:val="en-US" w:eastAsia="en-US"/>
              </w:rPr>
              <w:t>68.7</w:t>
            </w:r>
          </w:p>
        </w:tc>
        <w:tc>
          <w:tcPr>
            <w:tcW w:w="1120" w:type="dxa"/>
            <w:tcBorders>
              <w:top w:val="nil"/>
              <w:left w:val="nil"/>
              <w:bottom w:val="single" w:sz="4" w:space="0" w:color="auto"/>
              <w:right w:val="single" w:sz="4" w:space="0" w:color="auto"/>
            </w:tcBorders>
            <w:shd w:val="clear" w:color="auto" w:fill="auto"/>
            <w:noWrap/>
            <w:vAlign w:val="bottom"/>
            <w:hideMark/>
          </w:tcPr>
          <w:p w14:paraId="768AD2A8" w14:textId="77777777" w:rsidR="00104753" w:rsidRPr="00104753" w:rsidRDefault="00104753" w:rsidP="00104753">
            <w:pPr>
              <w:rPr>
                <w:szCs w:val="20"/>
                <w:lang w:val="en-US" w:eastAsia="en-US"/>
              </w:rPr>
            </w:pPr>
            <w:r w:rsidRPr="00104753">
              <w:rPr>
                <w:szCs w:val="20"/>
                <w:lang w:val="en-US" w:eastAsia="en-US"/>
              </w:rPr>
              <w:t>25.3</w:t>
            </w:r>
          </w:p>
        </w:tc>
      </w:tr>
      <w:tr w:rsidR="00104753" w:rsidRPr="00104753" w14:paraId="7DB81A11"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CF9552A" w14:textId="77777777" w:rsidR="00104753" w:rsidRPr="00104753" w:rsidRDefault="00104753" w:rsidP="00104753">
            <w:pPr>
              <w:rPr>
                <w:szCs w:val="20"/>
                <w:lang w:val="en-US" w:eastAsia="en-US"/>
              </w:rPr>
            </w:pPr>
            <w:r w:rsidRPr="00104753">
              <w:rPr>
                <w:szCs w:val="20"/>
                <w:lang w:val="en-US" w:eastAsia="en-US"/>
              </w:rPr>
              <w:t>Antverpy</w:t>
            </w:r>
          </w:p>
        </w:tc>
        <w:tc>
          <w:tcPr>
            <w:tcW w:w="1258" w:type="dxa"/>
            <w:tcBorders>
              <w:top w:val="nil"/>
              <w:left w:val="nil"/>
              <w:bottom w:val="single" w:sz="4" w:space="0" w:color="auto"/>
              <w:right w:val="single" w:sz="4" w:space="0" w:color="auto"/>
            </w:tcBorders>
            <w:shd w:val="clear" w:color="auto" w:fill="auto"/>
            <w:noWrap/>
            <w:vAlign w:val="bottom"/>
            <w:hideMark/>
          </w:tcPr>
          <w:p w14:paraId="644520B2" w14:textId="53633C7E" w:rsidR="00104753" w:rsidRPr="00104753" w:rsidRDefault="00104753" w:rsidP="00104753">
            <w:pPr>
              <w:rPr>
                <w:szCs w:val="20"/>
                <w:lang w:val="en-US" w:eastAsia="en-US"/>
              </w:rPr>
            </w:pPr>
            <w:r w:rsidRPr="00104753">
              <w:rPr>
                <w:szCs w:val="20"/>
                <w:lang w:val="en-US" w:eastAsia="en-US"/>
              </w:rPr>
              <w:t>98.3</w:t>
            </w:r>
          </w:p>
        </w:tc>
        <w:tc>
          <w:tcPr>
            <w:tcW w:w="1662" w:type="dxa"/>
            <w:tcBorders>
              <w:top w:val="nil"/>
              <w:left w:val="nil"/>
              <w:bottom w:val="single" w:sz="4" w:space="0" w:color="auto"/>
              <w:right w:val="single" w:sz="4" w:space="0" w:color="auto"/>
            </w:tcBorders>
            <w:shd w:val="clear" w:color="auto" w:fill="auto"/>
            <w:noWrap/>
            <w:vAlign w:val="bottom"/>
            <w:hideMark/>
          </w:tcPr>
          <w:p w14:paraId="4B0430D8" w14:textId="77777777" w:rsidR="00104753" w:rsidRPr="00104753" w:rsidRDefault="00104753" w:rsidP="00104753">
            <w:pPr>
              <w:rPr>
                <w:szCs w:val="20"/>
                <w:lang w:val="en-US" w:eastAsia="en-US"/>
              </w:rPr>
            </w:pPr>
            <w:r w:rsidRPr="00104753">
              <w:rPr>
                <w:szCs w:val="20"/>
                <w:lang w:val="en-US" w:eastAsia="en-US"/>
              </w:rPr>
              <w:t>88.1</w:t>
            </w:r>
          </w:p>
        </w:tc>
        <w:tc>
          <w:tcPr>
            <w:tcW w:w="1120" w:type="dxa"/>
            <w:tcBorders>
              <w:top w:val="nil"/>
              <w:left w:val="nil"/>
              <w:bottom w:val="single" w:sz="4" w:space="0" w:color="auto"/>
              <w:right w:val="single" w:sz="4" w:space="0" w:color="auto"/>
            </w:tcBorders>
            <w:shd w:val="clear" w:color="auto" w:fill="auto"/>
            <w:noWrap/>
            <w:vAlign w:val="bottom"/>
            <w:hideMark/>
          </w:tcPr>
          <w:p w14:paraId="7AD2A2AF" w14:textId="77777777" w:rsidR="00104753" w:rsidRPr="00104753" w:rsidRDefault="00104753" w:rsidP="00104753">
            <w:pPr>
              <w:rPr>
                <w:szCs w:val="20"/>
                <w:lang w:val="en-US" w:eastAsia="en-US"/>
              </w:rPr>
            </w:pPr>
            <w:r w:rsidRPr="00104753">
              <w:rPr>
                <w:szCs w:val="20"/>
                <w:lang w:val="en-US" w:eastAsia="en-US"/>
              </w:rPr>
              <w:t>0.0</w:t>
            </w:r>
          </w:p>
        </w:tc>
      </w:tr>
      <w:tr w:rsidR="00104753" w:rsidRPr="00104753" w14:paraId="330983F3"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ACD002E" w14:textId="77777777" w:rsidR="00104753" w:rsidRPr="00104753" w:rsidRDefault="00104753" w:rsidP="00104753">
            <w:pPr>
              <w:rPr>
                <w:szCs w:val="20"/>
                <w:lang w:val="en-US" w:eastAsia="en-US"/>
              </w:rPr>
            </w:pPr>
            <w:r w:rsidRPr="00104753">
              <w:rPr>
                <w:szCs w:val="20"/>
                <w:lang w:val="en-US" w:eastAsia="en-US"/>
              </w:rPr>
              <w:t>Atény</w:t>
            </w:r>
          </w:p>
        </w:tc>
        <w:tc>
          <w:tcPr>
            <w:tcW w:w="1258" w:type="dxa"/>
            <w:tcBorders>
              <w:top w:val="nil"/>
              <w:left w:val="nil"/>
              <w:bottom w:val="single" w:sz="4" w:space="0" w:color="auto"/>
              <w:right w:val="single" w:sz="4" w:space="0" w:color="auto"/>
            </w:tcBorders>
            <w:shd w:val="clear" w:color="auto" w:fill="auto"/>
            <w:noWrap/>
            <w:vAlign w:val="bottom"/>
            <w:hideMark/>
          </w:tcPr>
          <w:p w14:paraId="458C9DE2" w14:textId="2E77C31E" w:rsidR="00104753" w:rsidRPr="00104753" w:rsidRDefault="00104753" w:rsidP="00104753">
            <w:pPr>
              <w:rPr>
                <w:szCs w:val="20"/>
                <w:lang w:val="en-US" w:eastAsia="en-US"/>
              </w:rPr>
            </w:pPr>
            <w:r w:rsidRPr="00104753">
              <w:rPr>
                <w:szCs w:val="20"/>
                <w:lang w:val="en-US" w:eastAsia="en-US"/>
              </w:rPr>
              <w:t>99.8</w:t>
            </w:r>
          </w:p>
        </w:tc>
        <w:tc>
          <w:tcPr>
            <w:tcW w:w="1662" w:type="dxa"/>
            <w:tcBorders>
              <w:top w:val="nil"/>
              <w:left w:val="nil"/>
              <w:bottom w:val="single" w:sz="4" w:space="0" w:color="auto"/>
              <w:right w:val="single" w:sz="4" w:space="0" w:color="auto"/>
            </w:tcBorders>
            <w:shd w:val="clear" w:color="auto" w:fill="auto"/>
            <w:noWrap/>
            <w:vAlign w:val="bottom"/>
            <w:hideMark/>
          </w:tcPr>
          <w:p w14:paraId="3E91B148" w14:textId="77777777" w:rsidR="00104753" w:rsidRPr="00104753" w:rsidRDefault="00104753" w:rsidP="00104753">
            <w:pPr>
              <w:rPr>
                <w:szCs w:val="20"/>
                <w:lang w:val="en-US" w:eastAsia="en-US"/>
              </w:rPr>
            </w:pPr>
            <w:r w:rsidRPr="00104753">
              <w:rPr>
                <w:szCs w:val="20"/>
                <w:lang w:val="en-US" w:eastAsia="en-US"/>
              </w:rPr>
              <w:t>19.1</w:t>
            </w:r>
          </w:p>
        </w:tc>
        <w:tc>
          <w:tcPr>
            <w:tcW w:w="1120" w:type="dxa"/>
            <w:tcBorders>
              <w:top w:val="nil"/>
              <w:left w:val="nil"/>
              <w:bottom w:val="single" w:sz="4" w:space="0" w:color="auto"/>
              <w:right w:val="single" w:sz="4" w:space="0" w:color="auto"/>
            </w:tcBorders>
            <w:shd w:val="clear" w:color="auto" w:fill="auto"/>
            <w:noWrap/>
            <w:vAlign w:val="bottom"/>
            <w:hideMark/>
          </w:tcPr>
          <w:p w14:paraId="764AEA40" w14:textId="77777777" w:rsidR="00104753" w:rsidRPr="00104753" w:rsidRDefault="00104753" w:rsidP="00104753">
            <w:pPr>
              <w:rPr>
                <w:szCs w:val="20"/>
                <w:lang w:val="en-US" w:eastAsia="en-US"/>
              </w:rPr>
            </w:pPr>
            <w:r w:rsidRPr="00104753">
              <w:rPr>
                <w:szCs w:val="20"/>
                <w:lang w:val="en-US" w:eastAsia="en-US"/>
              </w:rPr>
              <w:t>50.6</w:t>
            </w:r>
          </w:p>
        </w:tc>
      </w:tr>
      <w:tr w:rsidR="00104753" w:rsidRPr="00104753" w14:paraId="4023333F"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F17CDEF" w14:textId="77777777" w:rsidR="00104753" w:rsidRPr="00104753" w:rsidRDefault="00104753" w:rsidP="00104753">
            <w:pPr>
              <w:rPr>
                <w:szCs w:val="20"/>
                <w:lang w:val="en-US" w:eastAsia="en-US"/>
              </w:rPr>
            </w:pPr>
            <w:r w:rsidRPr="00104753">
              <w:rPr>
                <w:szCs w:val="20"/>
                <w:lang w:val="en-US" w:eastAsia="en-US"/>
              </w:rPr>
              <w:t>Barcelona</w:t>
            </w:r>
          </w:p>
        </w:tc>
        <w:tc>
          <w:tcPr>
            <w:tcW w:w="1258" w:type="dxa"/>
            <w:tcBorders>
              <w:top w:val="nil"/>
              <w:left w:val="nil"/>
              <w:bottom w:val="single" w:sz="4" w:space="0" w:color="auto"/>
              <w:right w:val="single" w:sz="4" w:space="0" w:color="auto"/>
            </w:tcBorders>
            <w:shd w:val="clear" w:color="auto" w:fill="auto"/>
            <w:noWrap/>
            <w:vAlign w:val="bottom"/>
            <w:hideMark/>
          </w:tcPr>
          <w:p w14:paraId="1F43F655" w14:textId="670C7CC3" w:rsidR="00104753" w:rsidRPr="00104753" w:rsidRDefault="00104753" w:rsidP="00104753">
            <w:pPr>
              <w:rPr>
                <w:szCs w:val="20"/>
                <w:lang w:val="en-US" w:eastAsia="en-US"/>
              </w:rPr>
            </w:pPr>
            <w:r w:rsidRPr="00104753">
              <w:rPr>
                <w:szCs w:val="20"/>
                <w:lang w:val="en-US" w:eastAsia="en-US"/>
              </w:rPr>
              <w:t>99.3</w:t>
            </w:r>
          </w:p>
        </w:tc>
        <w:tc>
          <w:tcPr>
            <w:tcW w:w="1662" w:type="dxa"/>
            <w:tcBorders>
              <w:top w:val="nil"/>
              <w:left w:val="nil"/>
              <w:bottom w:val="single" w:sz="4" w:space="0" w:color="auto"/>
              <w:right w:val="single" w:sz="4" w:space="0" w:color="auto"/>
            </w:tcBorders>
            <w:shd w:val="clear" w:color="auto" w:fill="auto"/>
            <w:noWrap/>
            <w:vAlign w:val="bottom"/>
            <w:hideMark/>
          </w:tcPr>
          <w:p w14:paraId="0D4DF0AD" w14:textId="77777777" w:rsidR="00104753" w:rsidRPr="00104753" w:rsidRDefault="00104753" w:rsidP="00104753">
            <w:pPr>
              <w:rPr>
                <w:szCs w:val="20"/>
                <w:lang w:val="en-US" w:eastAsia="en-US"/>
              </w:rPr>
            </w:pPr>
            <w:r w:rsidRPr="00104753">
              <w:rPr>
                <w:szCs w:val="20"/>
                <w:lang w:val="en-US" w:eastAsia="en-US"/>
              </w:rPr>
              <w:t>9.6</w:t>
            </w:r>
          </w:p>
        </w:tc>
        <w:tc>
          <w:tcPr>
            <w:tcW w:w="1120" w:type="dxa"/>
            <w:tcBorders>
              <w:top w:val="nil"/>
              <w:left w:val="nil"/>
              <w:bottom w:val="single" w:sz="4" w:space="0" w:color="auto"/>
              <w:right w:val="single" w:sz="4" w:space="0" w:color="auto"/>
            </w:tcBorders>
            <w:shd w:val="clear" w:color="auto" w:fill="auto"/>
            <w:noWrap/>
            <w:vAlign w:val="bottom"/>
            <w:hideMark/>
          </w:tcPr>
          <w:p w14:paraId="0216CF81" w14:textId="77777777" w:rsidR="00104753" w:rsidRPr="00104753" w:rsidRDefault="00104753" w:rsidP="00104753">
            <w:pPr>
              <w:rPr>
                <w:szCs w:val="20"/>
                <w:lang w:val="en-US" w:eastAsia="en-US"/>
              </w:rPr>
            </w:pPr>
            <w:r w:rsidRPr="00104753">
              <w:rPr>
                <w:szCs w:val="20"/>
                <w:lang w:val="en-US" w:eastAsia="en-US"/>
              </w:rPr>
              <w:t>71.3</w:t>
            </w:r>
          </w:p>
        </w:tc>
      </w:tr>
      <w:tr w:rsidR="00104753" w:rsidRPr="00104753" w14:paraId="730FBCE6"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171D840" w14:textId="77777777" w:rsidR="00104753" w:rsidRPr="00104753" w:rsidRDefault="00104753" w:rsidP="00104753">
            <w:pPr>
              <w:rPr>
                <w:szCs w:val="20"/>
                <w:lang w:val="en-US" w:eastAsia="en-US"/>
              </w:rPr>
            </w:pPr>
            <w:r w:rsidRPr="00104753">
              <w:rPr>
                <w:szCs w:val="20"/>
                <w:lang w:val="en-US" w:eastAsia="en-US"/>
              </w:rPr>
              <w:t>Berlín</w:t>
            </w:r>
          </w:p>
        </w:tc>
        <w:tc>
          <w:tcPr>
            <w:tcW w:w="1258" w:type="dxa"/>
            <w:tcBorders>
              <w:top w:val="nil"/>
              <w:left w:val="nil"/>
              <w:bottom w:val="single" w:sz="4" w:space="0" w:color="auto"/>
              <w:right w:val="single" w:sz="4" w:space="0" w:color="auto"/>
            </w:tcBorders>
            <w:shd w:val="clear" w:color="auto" w:fill="auto"/>
            <w:noWrap/>
            <w:vAlign w:val="bottom"/>
            <w:hideMark/>
          </w:tcPr>
          <w:p w14:paraId="2781C9FF" w14:textId="5F54A9C6" w:rsidR="00104753" w:rsidRPr="00104753" w:rsidRDefault="00104753" w:rsidP="00104753">
            <w:pPr>
              <w:rPr>
                <w:szCs w:val="20"/>
                <w:lang w:val="en-US" w:eastAsia="en-US"/>
              </w:rPr>
            </w:pPr>
            <w:r w:rsidRPr="00104753">
              <w:rPr>
                <w:szCs w:val="20"/>
                <w:lang w:val="en-US" w:eastAsia="en-US"/>
              </w:rPr>
              <w:t>96.5</w:t>
            </w:r>
          </w:p>
        </w:tc>
        <w:tc>
          <w:tcPr>
            <w:tcW w:w="1662" w:type="dxa"/>
            <w:tcBorders>
              <w:top w:val="nil"/>
              <w:left w:val="nil"/>
              <w:bottom w:val="single" w:sz="4" w:space="0" w:color="auto"/>
              <w:right w:val="single" w:sz="4" w:space="0" w:color="auto"/>
            </w:tcBorders>
            <w:shd w:val="clear" w:color="auto" w:fill="auto"/>
            <w:noWrap/>
            <w:vAlign w:val="bottom"/>
            <w:hideMark/>
          </w:tcPr>
          <w:p w14:paraId="392EFEB3" w14:textId="77777777" w:rsidR="00104753" w:rsidRPr="00104753" w:rsidRDefault="00104753" w:rsidP="00104753">
            <w:pPr>
              <w:rPr>
                <w:szCs w:val="20"/>
                <w:lang w:val="en-US" w:eastAsia="en-US"/>
              </w:rPr>
            </w:pPr>
            <w:r w:rsidRPr="00104753">
              <w:rPr>
                <w:szCs w:val="20"/>
                <w:lang w:val="en-US" w:eastAsia="en-US"/>
              </w:rPr>
              <w:t>34.6</w:t>
            </w:r>
          </w:p>
        </w:tc>
        <w:tc>
          <w:tcPr>
            <w:tcW w:w="1120" w:type="dxa"/>
            <w:tcBorders>
              <w:top w:val="nil"/>
              <w:left w:val="nil"/>
              <w:bottom w:val="single" w:sz="4" w:space="0" w:color="auto"/>
              <w:right w:val="single" w:sz="4" w:space="0" w:color="auto"/>
            </w:tcBorders>
            <w:shd w:val="clear" w:color="auto" w:fill="auto"/>
            <w:noWrap/>
            <w:vAlign w:val="bottom"/>
            <w:hideMark/>
          </w:tcPr>
          <w:p w14:paraId="5AEDE24E" w14:textId="77777777" w:rsidR="00104753" w:rsidRPr="00104753" w:rsidRDefault="00104753" w:rsidP="00104753">
            <w:pPr>
              <w:rPr>
                <w:szCs w:val="20"/>
                <w:lang w:val="en-US" w:eastAsia="en-US"/>
              </w:rPr>
            </w:pPr>
            <w:r w:rsidRPr="00104753">
              <w:rPr>
                <w:szCs w:val="20"/>
                <w:lang w:val="en-US" w:eastAsia="en-US"/>
              </w:rPr>
              <w:t>56.7</w:t>
            </w:r>
          </w:p>
        </w:tc>
      </w:tr>
      <w:tr w:rsidR="00104753" w:rsidRPr="00104753" w14:paraId="36D03DDE"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3DCEB958" w14:textId="77777777" w:rsidR="00104753" w:rsidRPr="00104753" w:rsidRDefault="00104753" w:rsidP="00104753">
            <w:pPr>
              <w:rPr>
                <w:szCs w:val="20"/>
                <w:lang w:val="en-US" w:eastAsia="en-US"/>
              </w:rPr>
            </w:pPr>
            <w:r w:rsidRPr="00104753">
              <w:rPr>
                <w:szCs w:val="20"/>
                <w:lang w:val="en-US" w:eastAsia="en-US"/>
              </w:rPr>
              <w:t>Bratislava</w:t>
            </w:r>
          </w:p>
        </w:tc>
        <w:tc>
          <w:tcPr>
            <w:tcW w:w="1258" w:type="dxa"/>
            <w:tcBorders>
              <w:top w:val="nil"/>
              <w:left w:val="nil"/>
              <w:bottom w:val="single" w:sz="4" w:space="0" w:color="auto"/>
              <w:right w:val="single" w:sz="4" w:space="0" w:color="auto"/>
            </w:tcBorders>
            <w:shd w:val="clear" w:color="auto" w:fill="auto"/>
            <w:noWrap/>
            <w:vAlign w:val="bottom"/>
            <w:hideMark/>
          </w:tcPr>
          <w:p w14:paraId="3EA92D20" w14:textId="3D66F8E8" w:rsidR="00104753" w:rsidRPr="00104753" w:rsidRDefault="00104753" w:rsidP="00104753">
            <w:pPr>
              <w:rPr>
                <w:szCs w:val="20"/>
                <w:lang w:val="en-US" w:eastAsia="en-US"/>
              </w:rPr>
            </w:pPr>
            <w:r w:rsidRPr="00104753">
              <w:rPr>
                <w:szCs w:val="20"/>
                <w:lang w:val="en-US" w:eastAsia="en-US"/>
              </w:rPr>
              <w:t>98.5</w:t>
            </w:r>
          </w:p>
        </w:tc>
        <w:tc>
          <w:tcPr>
            <w:tcW w:w="1662" w:type="dxa"/>
            <w:tcBorders>
              <w:top w:val="nil"/>
              <w:left w:val="nil"/>
              <w:bottom w:val="single" w:sz="4" w:space="0" w:color="auto"/>
              <w:right w:val="single" w:sz="4" w:space="0" w:color="auto"/>
            </w:tcBorders>
            <w:shd w:val="clear" w:color="auto" w:fill="auto"/>
            <w:noWrap/>
            <w:vAlign w:val="bottom"/>
            <w:hideMark/>
          </w:tcPr>
          <w:p w14:paraId="7B34FB64" w14:textId="77777777" w:rsidR="00104753" w:rsidRPr="00104753" w:rsidRDefault="00104753" w:rsidP="00104753">
            <w:pPr>
              <w:rPr>
                <w:szCs w:val="20"/>
                <w:lang w:val="en-US" w:eastAsia="en-US"/>
              </w:rPr>
            </w:pPr>
            <w:r w:rsidRPr="00104753">
              <w:rPr>
                <w:szCs w:val="20"/>
                <w:lang w:val="en-US" w:eastAsia="en-US"/>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3A9D1235" w14:textId="77777777" w:rsidR="00104753" w:rsidRPr="00104753" w:rsidRDefault="00104753" w:rsidP="00104753">
            <w:pPr>
              <w:rPr>
                <w:szCs w:val="20"/>
                <w:lang w:val="en-US" w:eastAsia="en-US"/>
              </w:rPr>
            </w:pPr>
            <w:r w:rsidRPr="00104753">
              <w:rPr>
                <w:szCs w:val="20"/>
                <w:lang w:val="en-US" w:eastAsia="en-US"/>
              </w:rPr>
              <w:t>0.0</w:t>
            </w:r>
          </w:p>
        </w:tc>
      </w:tr>
      <w:tr w:rsidR="00104753" w:rsidRPr="00104753" w14:paraId="4B79C144"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DE2337B" w14:textId="77777777" w:rsidR="00104753" w:rsidRPr="00104753" w:rsidRDefault="00104753" w:rsidP="00104753">
            <w:pPr>
              <w:rPr>
                <w:szCs w:val="20"/>
                <w:lang w:val="en-US" w:eastAsia="en-US"/>
              </w:rPr>
            </w:pPr>
            <w:r w:rsidRPr="00104753">
              <w:rPr>
                <w:szCs w:val="20"/>
                <w:lang w:val="en-US" w:eastAsia="en-US"/>
              </w:rPr>
              <w:t>Brémy</w:t>
            </w:r>
          </w:p>
        </w:tc>
        <w:tc>
          <w:tcPr>
            <w:tcW w:w="1258" w:type="dxa"/>
            <w:tcBorders>
              <w:top w:val="nil"/>
              <w:left w:val="nil"/>
              <w:bottom w:val="single" w:sz="4" w:space="0" w:color="auto"/>
              <w:right w:val="single" w:sz="4" w:space="0" w:color="auto"/>
            </w:tcBorders>
            <w:shd w:val="clear" w:color="auto" w:fill="auto"/>
            <w:noWrap/>
            <w:vAlign w:val="bottom"/>
            <w:hideMark/>
          </w:tcPr>
          <w:p w14:paraId="19DDDA9D" w14:textId="50860C24" w:rsidR="00104753" w:rsidRPr="00104753" w:rsidRDefault="00104753" w:rsidP="00104753">
            <w:pPr>
              <w:rPr>
                <w:szCs w:val="20"/>
                <w:lang w:val="en-US" w:eastAsia="en-US"/>
              </w:rPr>
            </w:pPr>
            <w:r w:rsidRPr="00104753">
              <w:rPr>
                <w:szCs w:val="20"/>
                <w:lang w:val="en-US" w:eastAsia="en-US"/>
              </w:rPr>
              <w:t>88.4</w:t>
            </w:r>
          </w:p>
        </w:tc>
        <w:tc>
          <w:tcPr>
            <w:tcW w:w="1662" w:type="dxa"/>
            <w:tcBorders>
              <w:top w:val="nil"/>
              <w:left w:val="nil"/>
              <w:bottom w:val="single" w:sz="4" w:space="0" w:color="auto"/>
              <w:right w:val="single" w:sz="4" w:space="0" w:color="auto"/>
            </w:tcBorders>
            <w:shd w:val="clear" w:color="auto" w:fill="auto"/>
            <w:noWrap/>
            <w:vAlign w:val="bottom"/>
            <w:hideMark/>
          </w:tcPr>
          <w:p w14:paraId="6F188649" w14:textId="77777777" w:rsidR="00104753" w:rsidRPr="00104753" w:rsidRDefault="00104753" w:rsidP="00104753">
            <w:pPr>
              <w:rPr>
                <w:szCs w:val="20"/>
                <w:lang w:val="en-US" w:eastAsia="en-US"/>
              </w:rPr>
            </w:pPr>
            <w:r w:rsidRPr="00104753">
              <w:rPr>
                <w:szCs w:val="20"/>
                <w:lang w:val="en-US" w:eastAsia="en-US"/>
              </w:rPr>
              <w:t>68.2</w:t>
            </w:r>
          </w:p>
        </w:tc>
        <w:tc>
          <w:tcPr>
            <w:tcW w:w="1120" w:type="dxa"/>
            <w:tcBorders>
              <w:top w:val="nil"/>
              <w:left w:val="nil"/>
              <w:bottom w:val="single" w:sz="4" w:space="0" w:color="auto"/>
              <w:right w:val="single" w:sz="4" w:space="0" w:color="auto"/>
            </w:tcBorders>
            <w:shd w:val="clear" w:color="auto" w:fill="auto"/>
            <w:noWrap/>
            <w:vAlign w:val="bottom"/>
            <w:hideMark/>
          </w:tcPr>
          <w:p w14:paraId="1AE482C7" w14:textId="77777777" w:rsidR="00104753" w:rsidRPr="00104753" w:rsidRDefault="00104753" w:rsidP="00104753">
            <w:pPr>
              <w:rPr>
                <w:szCs w:val="20"/>
                <w:lang w:val="en-US" w:eastAsia="en-US"/>
              </w:rPr>
            </w:pPr>
            <w:r w:rsidRPr="00104753">
              <w:rPr>
                <w:szCs w:val="20"/>
                <w:lang w:val="en-US" w:eastAsia="en-US"/>
              </w:rPr>
              <w:t>0.0</w:t>
            </w:r>
          </w:p>
        </w:tc>
      </w:tr>
      <w:tr w:rsidR="00104753" w:rsidRPr="00104753" w14:paraId="2ACA6497"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8F837A8" w14:textId="77777777" w:rsidR="00104753" w:rsidRPr="00104753" w:rsidRDefault="00104753" w:rsidP="00104753">
            <w:pPr>
              <w:rPr>
                <w:szCs w:val="20"/>
                <w:lang w:val="en-US" w:eastAsia="en-US"/>
              </w:rPr>
            </w:pPr>
            <w:r w:rsidRPr="00104753">
              <w:rPr>
                <w:szCs w:val="20"/>
                <w:lang w:val="en-US" w:eastAsia="en-US"/>
              </w:rPr>
              <w:t>Budapešť</w:t>
            </w:r>
          </w:p>
        </w:tc>
        <w:tc>
          <w:tcPr>
            <w:tcW w:w="1258" w:type="dxa"/>
            <w:tcBorders>
              <w:top w:val="nil"/>
              <w:left w:val="nil"/>
              <w:bottom w:val="single" w:sz="4" w:space="0" w:color="auto"/>
              <w:right w:val="single" w:sz="4" w:space="0" w:color="auto"/>
            </w:tcBorders>
            <w:shd w:val="clear" w:color="auto" w:fill="auto"/>
            <w:noWrap/>
            <w:vAlign w:val="bottom"/>
            <w:hideMark/>
          </w:tcPr>
          <w:p w14:paraId="057BD55E" w14:textId="484E4FFE" w:rsidR="00104753" w:rsidRPr="00104753" w:rsidRDefault="00104753" w:rsidP="00104753">
            <w:pPr>
              <w:rPr>
                <w:szCs w:val="20"/>
                <w:lang w:val="en-US" w:eastAsia="en-US"/>
              </w:rPr>
            </w:pPr>
            <w:r w:rsidRPr="00104753">
              <w:rPr>
                <w:szCs w:val="20"/>
                <w:lang w:val="en-US" w:eastAsia="en-US"/>
              </w:rPr>
              <w:t>98.5</w:t>
            </w:r>
          </w:p>
        </w:tc>
        <w:tc>
          <w:tcPr>
            <w:tcW w:w="1662" w:type="dxa"/>
            <w:tcBorders>
              <w:top w:val="nil"/>
              <w:left w:val="nil"/>
              <w:bottom w:val="single" w:sz="4" w:space="0" w:color="auto"/>
              <w:right w:val="single" w:sz="4" w:space="0" w:color="auto"/>
            </w:tcBorders>
            <w:shd w:val="clear" w:color="auto" w:fill="auto"/>
            <w:noWrap/>
            <w:vAlign w:val="bottom"/>
            <w:hideMark/>
          </w:tcPr>
          <w:p w14:paraId="7AB52680" w14:textId="77777777" w:rsidR="00104753" w:rsidRPr="00104753" w:rsidRDefault="00104753" w:rsidP="00104753">
            <w:pPr>
              <w:rPr>
                <w:szCs w:val="20"/>
                <w:lang w:val="en-US" w:eastAsia="en-US"/>
              </w:rPr>
            </w:pPr>
            <w:r w:rsidRPr="00104753">
              <w:rPr>
                <w:szCs w:val="20"/>
                <w:lang w:val="en-US" w:eastAsia="en-US"/>
              </w:rPr>
              <w:t>60.9</w:t>
            </w:r>
          </w:p>
        </w:tc>
        <w:tc>
          <w:tcPr>
            <w:tcW w:w="1120" w:type="dxa"/>
            <w:tcBorders>
              <w:top w:val="nil"/>
              <w:left w:val="nil"/>
              <w:bottom w:val="single" w:sz="4" w:space="0" w:color="auto"/>
              <w:right w:val="single" w:sz="4" w:space="0" w:color="auto"/>
            </w:tcBorders>
            <w:shd w:val="clear" w:color="auto" w:fill="auto"/>
            <w:noWrap/>
            <w:vAlign w:val="bottom"/>
            <w:hideMark/>
          </w:tcPr>
          <w:p w14:paraId="1292F4EA" w14:textId="77777777" w:rsidR="00104753" w:rsidRPr="00104753" w:rsidRDefault="00104753" w:rsidP="00104753">
            <w:pPr>
              <w:rPr>
                <w:szCs w:val="20"/>
                <w:lang w:val="en-US" w:eastAsia="en-US"/>
              </w:rPr>
            </w:pPr>
            <w:r w:rsidRPr="00104753">
              <w:rPr>
                <w:szCs w:val="20"/>
                <w:lang w:val="en-US" w:eastAsia="en-US"/>
              </w:rPr>
              <w:t>40.2</w:t>
            </w:r>
          </w:p>
        </w:tc>
      </w:tr>
      <w:tr w:rsidR="00104753" w:rsidRPr="00104753" w14:paraId="6AFC28AA"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3181B572" w14:textId="77777777" w:rsidR="00104753" w:rsidRPr="00104753" w:rsidRDefault="00104753" w:rsidP="00104753">
            <w:pPr>
              <w:rPr>
                <w:szCs w:val="20"/>
                <w:lang w:val="en-US" w:eastAsia="en-US"/>
              </w:rPr>
            </w:pPr>
            <w:r w:rsidRPr="00104753">
              <w:rPr>
                <w:szCs w:val="20"/>
                <w:lang w:val="en-US" w:eastAsia="en-US"/>
              </w:rPr>
              <w:t>Bukurešť</w:t>
            </w:r>
          </w:p>
        </w:tc>
        <w:tc>
          <w:tcPr>
            <w:tcW w:w="1258" w:type="dxa"/>
            <w:tcBorders>
              <w:top w:val="nil"/>
              <w:left w:val="nil"/>
              <w:bottom w:val="single" w:sz="4" w:space="0" w:color="auto"/>
              <w:right w:val="single" w:sz="4" w:space="0" w:color="auto"/>
            </w:tcBorders>
            <w:shd w:val="clear" w:color="auto" w:fill="auto"/>
            <w:noWrap/>
            <w:vAlign w:val="bottom"/>
            <w:hideMark/>
          </w:tcPr>
          <w:p w14:paraId="581A9FEB" w14:textId="145A1958" w:rsidR="00104753" w:rsidRPr="00104753" w:rsidRDefault="00104753" w:rsidP="00104753">
            <w:pPr>
              <w:rPr>
                <w:szCs w:val="20"/>
                <w:lang w:val="en-US" w:eastAsia="en-US"/>
              </w:rPr>
            </w:pPr>
            <w:r w:rsidRPr="00104753">
              <w:rPr>
                <w:szCs w:val="20"/>
                <w:lang w:val="en-US" w:eastAsia="en-US"/>
              </w:rPr>
              <w:t>95.8</w:t>
            </w:r>
          </w:p>
        </w:tc>
        <w:tc>
          <w:tcPr>
            <w:tcW w:w="1662" w:type="dxa"/>
            <w:tcBorders>
              <w:top w:val="nil"/>
              <w:left w:val="nil"/>
              <w:bottom w:val="single" w:sz="4" w:space="0" w:color="auto"/>
              <w:right w:val="single" w:sz="4" w:space="0" w:color="auto"/>
            </w:tcBorders>
            <w:shd w:val="clear" w:color="auto" w:fill="auto"/>
            <w:noWrap/>
            <w:vAlign w:val="bottom"/>
            <w:hideMark/>
          </w:tcPr>
          <w:p w14:paraId="1075DB7B" w14:textId="77777777" w:rsidR="00104753" w:rsidRPr="00104753" w:rsidRDefault="00104753" w:rsidP="00104753">
            <w:pPr>
              <w:rPr>
                <w:szCs w:val="20"/>
                <w:lang w:val="en-US" w:eastAsia="en-US"/>
              </w:rPr>
            </w:pPr>
            <w:r w:rsidRPr="00104753">
              <w:rPr>
                <w:szCs w:val="20"/>
                <w:lang w:val="en-US" w:eastAsia="en-US"/>
              </w:rPr>
              <w:t>64.0</w:t>
            </w:r>
          </w:p>
        </w:tc>
        <w:tc>
          <w:tcPr>
            <w:tcW w:w="1120" w:type="dxa"/>
            <w:tcBorders>
              <w:top w:val="nil"/>
              <w:left w:val="nil"/>
              <w:bottom w:val="single" w:sz="4" w:space="0" w:color="auto"/>
              <w:right w:val="single" w:sz="4" w:space="0" w:color="auto"/>
            </w:tcBorders>
            <w:shd w:val="clear" w:color="auto" w:fill="auto"/>
            <w:noWrap/>
            <w:vAlign w:val="bottom"/>
            <w:hideMark/>
          </w:tcPr>
          <w:p w14:paraId="1471C0BF" w14:textId="77777777" w:rsidR="00104753" w:rsidRPr="00104753" w:rsidRDefault="00104753" w:rsidP="00104753">
            <w:pPr>
              <w:rPr>
                <w:szCs w:val="20"/>
                <w:lang w:val="en-US" w:eastAsia="en-US"/>
              </w:rPr>
            </w:pPr>
            <w:r w:rsidRPr="00104753">
              <w:rPr>
                <w:szCs w:val="20"/>
                <w:lang w:val="en-US" w:eastAsia="en-US"/>
              </w:rPr>
              <w:t>32.9</w:t>
            </w:r>
          </w:p>
        </w:tc>
      </w:tr>
      <w:tr w:rsidR="00104753" w:rsidRPr="00104753" w14:paraId="45541594"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6B0F452" w14:textId="77777777" w:rsidR="00104753" w:rsidRPr="00104753" w:rsidRDefault="00104753" w:rsidP="00104753">
            <w:pPr>
              <w:rPr>
                <w:szCs w:val="20"/>
                <w:lang w:val="en-US" w:eastAsia="en-US"/>
              </w:rPr>
            </w:pPr>
            <w:r w:rsidRPr="00104753">
              <w:rPr>
                <w:szCs w:val="20"/>
                <w:lang w:val="en-US" w:eastAsia="en-US"/>
              </w:rPr>
              <w:t>Drážďany</w:t>
            </w:r>
          </w:p>
        </w:tc>
        <w:tc>
          <w:tcPr>
            <w:tcW w:w="1258" w:type="dxa"/>
            <w:tcBorders>
              <w:top w:val="nil"/>
              <w:left w:val="nil"/>
              <w:bottom w:val="single" w:sz="4" w:space="0" w:color="auto"/>
              <w:right w:val="single" w:sz="4" w:space="0" w:color="auto"/>
            </w:tcBorders>
            <w:shd w:val="clear" w:color="auto" w:fill="auto"/>
            <w:noWrap/>
            <w:vAlign w:val="bottom"/>
            <w:hideMark/>
          </w:tcPr>
          <w:p w14:paraId="2D99E3A7" w14:textId="74555D75" w:rsidR="00104753" w:rsidRPr="00104753" w:rsidRDefault="00104753" w:rsidP="00104753">
            <w:pPr>
              <w:rPr>
                <w:szCs w:val="20"/>
                <w:lang w:val="en-US" w:eastAsia="en-US"/>
              </w:rPr>
            </w:pPr>
            <w:r w:rsidRPr="00104753">
              <w:rPr>
                <w:szCs w:val="20"/>
                <w:lang w:val="en-US" w:eastAsia="en-US"/>
              </w:rPr>
              <w:t>87.0</w:t>
            </w:r>
          </w:p>
        </w:tc>
        <w:tc>
          <w:tcPr>
            <w:tcW w:w="1662" w:type="dxa"/>
            <w:tcBorders>
              <w:top w:val="nil"/>
              <w:left w:val="nil"/>
              <w:bottom w:val="single" w:sz="4" w:space="0" w:color="auto"/>
              <w:right w:val="single" w:sz="4" w:space="0" w:color="auto"/>
            </w:tcBorders>
            <w:shd w:val="clear" w:color="auto" w:fill="auto"/>
            <w:noWrap/>
            <w:vAlign w:val="bottom"/>
            <w:hideMark/>
          </w:tcPr>
          <w:p w14:paraId="03BF4CCC" w14:textId="77777777" w:rsidR="00104753" w:rsidRPr="00104753" w:rsidRDefault="00104753" w:rsidP="00104753">
            <w:pPr>
              <w:rPr>
                <w:szCs w:val="20"/>
                <w:lang w:val="en-US" w:eastAsia="en-US"/>
              </w:rPr>
            </w:pPr>
            <w:r w:rsidRPr="00104753">
              <w:rPr>
                <w:szCs w:val="20"/>
                <w:lang w:val="en-US" w:eastAsia="en-US"/>
              </w:rPr>
              <w:t>80.3</w:t>
            </w:r>
          </w:p>
        </w:tc>
        <w:tc>
          <w:tcPr>
            <w:tcW w:w="1120" w:type="dxa"/>
            <w:tcBorders>
              <w:top w:val="nil"/>
              <w:left w:val="nil"/>
              <w:bottom w:val="single" w:sz="4" w:space="0" w:color="auto"/>
              <w:right w:val="single" w:sz="4" w:space="0" w:color="auto"/>
            </w:tcBorders>
            <w:shd w:val="clear" w:color="auto" w:fill="auto"/>
            <w:noWrap/>
            <w:vAlign w:val="bottom"/>
            <w:hideMark/>
          </w:tcPr>
          <w:p w14:paraId="5CF1DA64" w14:textId="77777777" w:rsidR="00104753" w:rsidRPr="00104753" w:rsidRDefault="00104753" w:rsidP="00104753">
            <w:pPr>
              <w:rPr>
                <w:szCs w:val="20"/>
                <w:lang w:val="en-US" w:eastAsia="en-US"/>
              </w:rPr>
            </w:pPr>
            <w:r w:rsidRPr="00104753">
              <w:rPr>
                <w:szCs w:val="20"/>
                <w:lang w:val="en-US" w:eastAsia="en-US"/>
              </w:rPr>
              <w:t>0.0</w:t>
            </w:r>
          </w:p>
        </w:tc>
      </w:tr>
      <w:tr w:rsidR="00104753" w:rsidRPr="00104753" w14:paraId="59E1E111"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5CCB425" w14:textId="77777777" w:rsidR="00104753" w:rsidRPr="00104753" w:rsidRDefault="00104753" w:rsidP="00104753">
            <w:pPr>
              <w:rPr>
                <w:szCs w:val="20"/>
                <w:lang w:val="en-US" w:eastAsia="en-US"/>
              </w:rPr>
            </w:pPr>
            <w:r w:rsidRPr="00104753">
              <w:rPr>
                <w:szCs w:val="20"/>
                <w:lang w:val="en-US" w:eastAsia="en-US"/>
              </w:rPr>
              <w:t>Dusseldorf</w:t>
            </w:r>
          </w:p>
        </w:tc>
        <w:tc>
          <w:tcPr>
            <w:tcW w:w="1258" w:type="dxa"/>
            <w:tcBorders>
              <w:top w:val="nil"/>
              <w:left w:val="nil"/>
              <w:bottom w:val="single" w:sz="4" w:space="0" w:color="auto"/>
              <w:right w:val="single" w:sz="4" w:space="0" w:color="auto"/>
            </w:tcBorders>
            <w:shd w:val="clear" w:color="auto" w:fill="auto"/>
            <w:noWrap/>
            <w:vAlign w:val="bottom"/>
            <w:hideMark/>
          </w:tcPr>
          <w:p w14:paraId="5927C010" w14:textId="3D749A9F" w:rsidR="00104753" w:rsidRPr="00104753" w:rsidRDefault="00104753" w:rsidP="00104753">
            <w:pPr>
              <w:rPr>
                <w:szCs w:val="20"/>
                <w:lang w:val="en-US" w:eastAsia="en-US"/>
              </w:rPr>
            </w:pPr>
            <w:r w:rsidRPr="00104753">
              <w:rPr>
                <w:szCs w:val="20"/>
                <w:lang w:val="en-US" w:eastAsia="en-US"/>
              </w:rPr>
              <w:t>99.0</w:t>
            </w:r>
          </w:p>
        </w:tc>
        <w:tc>
          <w:tcPr>
            <w:tcW w:w="1662" w:type="dxa"/>
            <w:tcBorders>
              <w:top w:val="nil"/>
              <w:left w:val="nil"/>
              <w:bottom w:val="single" w:sz="4" w:space="0" w:color="auto"/>
              <w:right w:val="single" w:sz="4" w:space="0" w:color="auto"/>
            </w:tcBorders>
            <w:shd w:val="clear" w:color="auto" w:fill="auto"/>
            <w:noWrap/>
            <w:vAlign w:val="bottom"/>
            <w:hideMark/>
          </w:tcPr>
          <w:p w14:paraId="650010BC" w14:textId="77777777" w:rsidR="00104753" w:rsidRPr="00104753" w:rsidRDefault="00104753" w:rsidP="00104753">
            <w:pPr>
              <w:rPr>
                <w:szCs w:val="20"/>
                <w:lang w:val="en-US" w:eastAsia="en-US"/>
              </w:rPr>
            </w:pPr>
            <w:r w:rsidRPr="00104753">
              <w:rPr>
                <w:szCs w:val="20"/>
                <w:lang w:val="en-US" w:eastAsia="en-US"/>
              </w:rPr>
              <w:t>54.4</w:t>
            </w:r>
          </w:p>
        </w:tc>
        <w:tc>
          <w:tcPr>
            <w:tcW w:w="1120" w:type="dxa"/>
            <w:tcBorders>
              <w:top w:val="nil"/>
              <w:left w:val="nil"/>
              <w:bottom w:val="single" w:sz="4" w:space="0" w:color="auto"/>
              <w:right w:val="single" w:sz="4" w:space="0" w:color="auto"/>
            </w:tcBorders>
            <w:shd w:val="clear" w:color="auto" w:fill="auto"/>
            <w:noWrap/>
            <w:vAlign w:val="bottom"/>
            <w:hideMark/>
          </w:tcPr>
          <w:p w14:paraId="4E8EDDDA" w14:textId="77777777" w:rsidR="00104753" w:rsidRPr="00104753" w:rsidRDefault="00104753" w:rsidP="00104753">
            <w:pPr>
              <w:rPr>
                <w:szCs w:val="20"/>
                <w:lang w:val="en-US" w:eastAsia="en-US"/>
              </w:rPr>
            </w:pPr>
            <w:r w:rsidRPr="00104753">
              <w:rPr>
                <w:szCs w:val="20"/>
                <w:lang w:val="en-US" w:eastAsia="en-US"/>
              </w:rPr>
              <w:t>61.2</w:t>
            </w:r>
          </w:p>
        </w:tc>
      </w:tr>
      <w:tr w:rsidR="00104753" w:rsidRPr="00104753" w14:paraId="0F507151"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9842018" w14:textId="77777777" w:rsidR="00104753" w:rsidRPr="00104753" w:rsidRDefault="00104753" w:rsidP="00104753">
            <w:pPr>
              <w:rPr>
                <w:szCs w:val="20"/>
                <w:lang w:val="en-US" w:eastAsia="en-US"/>
              </w:rPr>
            </w:pPr>
            <w:r w:rsidRPr="00104753">
              <w:rPr>
                <w:szCs w:val="20"/>
                <w:lang w:val="en-US" w:eastAsia="en-US"/>
              </w:rPr>
              <w:t>Dublin</w:t>
            </w:r>
          </w:p>
        </w:tc>
        <w:tc>
          <w:tcPr>
            <w:tcW w:w="1258" w:type="dxa"/>
            <w:tcBorders>
              <w:top w:val="nil"/>
              <w:left w:val="nil"/>
              <w:bottom w:val="single" w:sz="4" w:space="0" w:color="auto"/>
              <w:right w:val="single" w:sz="4" w:space="0" w:color="auto"/>
            </w:tcBorders>
            <w:shd w:val="clear" w:color="auto" w:fill="auto"/>
            <w:noWrap/>
            <w:vAlign w:val="bottom"/>
            <w:hideMark/>
          </w:tcPr>
          <w:p w14:paraId="6CD0072B" w14:textId="25160C1C" w:rsidR="00104753" w:rsidRPr="00104753" w:rsidRDefault="00104753" w:rsidP="00104753">
            <w:pPr>
              <w:rPr>
                <w:szCs w:val="20"/>
                <w:lang w:val="en-US" w:eastAsia="en-US"/>
              </w:rPr>
            </w:pPr>
            <w:r w:rsidRPr="00104753">
              <w:rPr>
                <w:szCs w:val="20"/>
                <w:lang w:val="en-US" w:eastAsia="en-US"/>
              </w:rPr>
              <w:t>91.6</w:t>
            </w:r>
          </w:p>
        </w:tc>
        <w:tc>
          <w:tcPr>
            <w:tcW w:w="1662" w:type="dxa"/>
            <w:tcBorders>
              <w:top w:val="nil"/>
              <w:left w:val="nil"/>
              <w:bottom w:val="single" w:sz="4" w:space="0" w:color="auto"/>
              <w:right w:val="single" w:sz="4" w:space="0" w:color="auto"/>
            </w:tcBorders>
            <w:shd w:val="clear" w:color="auto" w:fill="auto"/>
            <w:noWrap/>
            <w:vAlign w:val="bottom"/>
            <w:hideMark/>
          </w:tcPr>
          <w:p w14:paraId="03AFDD48" w14:textId="77777777" w:rsidR="00104753" w:rsidRPr="00104753" w:rsidRDefault="00104753" w:rsidP="00104753">
            <w:pPr>
              <w:rPr>
                <w:szCs w:val="20"/>
                <w:lang w:val="en-US" w:eastAsia="en-US"/>
              </w:rPr>
            </w:pPr>
            <w:r w:rsidRPr="00104753">
              <w:rPr>
                <w:szCs w:val="20"/>
                <w:lang w:val="en-US" w:eastAsia="en-US"/>
              </w:rPr>
              <w:t>31.6</w:t>
            </w:r>
          </w:p>
        </w:tc>
        <w:tc>
          <w:tcPr>
            <w:tcW w:w="1120" w:type="dxa"/>
            <w:tcBorders>
              <w:top w:val="nil"/>
              <w:left w:val="nil"/>
              <w:bottom w:val="single" w:sz="4" w:space="0" w:color="auto"/>
              <w:right w:val="single" w:sz="4" w:space="0" w:color="auto"/>
            </w:tcBorders>
            <w:shd w:val="clear" w:color="auto" w:fill="auto"/>
            <w:noWrap/>
            <w:vAlign w:val="bottom"/>
            <w:hideMark/>
          </w:tcPr>
          <w:p w14:paraId="0CC8D2EC" w14:textId="77777777" w:rsidR="00104753" w:rsidRPr="00104753" w:rsidRDefault="00104753" w:rsidP="00104753">
            <w:pPr>
              <w:rPr>
                <w:szCs w:val="20"/>
                <w:lang w:val="en-US" w:eastAsia="en-US"/>
              </w:rPr>
            </w:pPr>
            <w:r w:rsidRPr="00104753">
              <w:rPr>
                <w:szCs w:val="20"/>
                <w:lang w:val="en-US" w:eastAsia="en-US"/>
              </w:rPr>
              <w:t>0.0</w:t>
            </w:r>
          </w:p>
        </w:tc>
      </w:tr>
      <w:tr w:rsidR="00104753" w:rsidRPr="00104753" w14:paraId="3047278C"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C17F224" w14:textId="77777777" w:rsidR="00104753" w:rsidRPr="00104753" w:rsidRDefault="00104753" w:rsidP="00104753">
            <w:pPr>
              <w:rPr>
                <w:szCs w:val="20"/>
                <w:lang w:val="en-US" w:eastAsia="en-US"/>
              </w:rPr>
            </w:pPr>
            <w:r w:rsidRPr="00104753">
              <w:rPr>
                <w:szCs w:val="20"/>
                <w:lang w:val="en-US" w:eastAsia="en-US"/>
              </w:rPr>
              <w:t>Kodaň</w:t>
            </w:r>
          </w:p>
        </w:tc>
        <w:tc>
          <w:tcPr>
            <w:tcW w:w="1258" w:type="dxa"/>
            <w:tcBorders>
              <w:top w:val="nil"/>
              <w:left w:val="nil"/>
              <w:bottom w:val="single" w:sz="4" w:space="0" w:color="auto"/>
              <w:right w:val="single" w:sz="4" w:space="0" w:color="auto"/>
            </w:tcBorders>
            <w:shd w:val="clear" w:color="auto" w:fill="auto"/>
            <w:noWrap/>
            <w:vAlign w:val="bottom"/>
            <w:hideMark/>
          </w:tcPr>
          <w:p w14:paraId="5DB10E04" w14:textId="508E3422" w:rsidR="00104753" w:rsidRPr="00104753" w:rsidRDefault="00104753" w:rsidP="00104753">
            <w:pPr>
              <w:rPr>
                <w:szCs w:val="20"/>
                <w:lang w:val="en-US" w:eastAsia="en-US"/>
              </w:rPr>
            </w:pPr>
            <w:r w:rsidRPr="00104753">
              <w:rPr>
                <w:szCs w:val="20"/>
                <w:lang w:val="en-US" w:eastAsia="en-US"/>
              </w:rPr>
              <w:t>90.9</w:t>
            </w:r>
          </w:p>
        </w:tc>
        <w:tc>
          <w:tcPr>
            <w:tcW w:w="1662" w:type="dxa"/>
            <w:tcBorders>
              <w:top w:val="nil"/>
              <w:left w:val="nil"/>
              <w:bottom w:val="single" w:sz="4" w:space="0" w:color="auto"/>
              <w:right w:val="single" w:sz="4" w:space="0" w:color="auto"/>
            </w:tcBorders>
            <w:shd w:val="clear" w:color="auto" w:fill="auto"/>
            <w:noWrap/>
            <w:vAlign w:val="bottom"/>
            <w:hideMark/>
          </w:tcPr>
          <w:p w14:paraId="6C739F78" w14:textId="77777777" w:rsidR="00104753" w:rsidRPr="00104753" w:rsidRDefault="00104753" w:rsidP="00104753">
            <w:pPr>
              <w:rPr>
                <w:szCs w:val="20"/>
                <w:lang w:val="en-US" w:eastAsia="en-US"/>
              </w:rPr>
            </w:pPr>
            <w:r w:rsidRPr="00104753">
              <w:rPr>
                <w:szCs w:val="20"/>
                <w:lang w:val="en-US" w:eastAsia="en-U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2AB9ADA4" w14:textId="77777777" w:rsidR="00104753" w:rsidRPr="00104753" w:rsidRDefault="00104753" w:rsidP="00104753">
            <w:pPr>
              <w:rPr>
                <w:szCs w:val="20"/>
                <w:lang w:val="en-US" w:eastAsia="en-US"/>
              </w:rPr>
            </w:pPr>
            <w:r w:rsidRPr="00104753">
              <w:rPr>
                <w:szCs w:val="20"/>
                <w:lang w:val="en-US" w:eastAsia="en-US"/>
              </w:rPr>
              <w:t>44.0</w:t>
            </w:r>
          </w:p>
        </w:tc>
      </w:tr>
      <w:tr w:rsidR="00104753" w:rsidRPr="00104753" w14:paraId="6A350C9B"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34C4FDD4" w14:textId="77777777" w:rsidR="00104753" w:rsidRPr="00104753" w:rsidRDefault="00104753" w:rsidP="00104753">
            <w:pPr>
              <w:rPr>
                <w:szCs w:val="20"/>
                <w:lang w:val="en-US" w:eastAsia="en-US"/>
              </w:rPr>
            </w:pPr>
            <w:r w:rsidRPr="00104753">
              <w:rPr>
                <w:szCs w:val="20"/>
                <w:lang w:val="en-US" w:eastAsia="en-US"/>
              </w:rPr>
              <w:t>Hamburg</w:t>
            </w:r>
          </w:p>
        </w:tc>
        <w:tc>
          <w:tcPr>
            <w:tcW w:w="1258" w:type="dxa"/>
            <w:tcBorders>
              <w:top w:val="nil"/>
              <w:left w:val="nil"/>
              <w:bottom w:val="single" w:sz="4" w:space="0" w:color="auto"/>
              <w:right w:val="single" w:sz="4" w:space="0" w:color="auto"/>
            </w:tcBorders>
            <w:shd w:val="clear" w:color="auto" w:fill="auto"/>
            <w:noWrap/>
            <w:vAlign w:val="bottom"/>
            <w:hideMark/>
          </w:tcPr>
          <w:p w14:paraId="044A6AF0" w14:textId="2333C01A" w:rsidR="00104753" w:rsidRPr="00104753" w:rsidRDefault="00104753" w:rsidP="00104753">
            <w:pPr>
              <w:rPr>
                <w:szCs w:val="20"/>
                <w:lang w:val="en-US" w:eastAsia="en-US"/>
              </w:rPr>
            </w:pPr>
            <w:r w:rsidRPr="00104753">
              <w:rPr>
                <w:szCs w:val="20"/>
                <w:lang w:val="en-US" w:eastAsia="en-US"/>
              </w:rPr>
              <w:t>99.6</w:t>
            </w:r>
          </w:p>
        </w:tc>
        <w:tc>
          <w:tcPr>
            <w:tcW w:w="1662" w:type="dxa"/>
            <w:tcBorders>
              <w:top w:val="nil"/>
              <w:left w:val="nil"/>
              <w:bottom w:val="single" w:sz="4" w:space="0" w:color="auto"/>
              <w:right w:val="single" w:sz="4" w:space="0" w:color="auto"/>
            </w:tcBorders>
            <w:shd w:val="clear" w:color="auto" w:fill="auto"/>
            <w:noWrap/>
            <w:vAlign w:val="bottom"/>
            <w:hideMark/>
          </w:tcPr>
          <w:p w14:paraId="35F52027" w14:textId="77777777" w:rsidR="00104753" w:rsidRPr="00104753" w:rsidRDefault="00104753" w:rsidP="00104753">
            <w:pPr>
              <w:rPr>
                <w:szCs w:val="20"/>
                <w:lang w:val="en-US" w:eastAsia="en-US"/>
              </w:rPr>
            </w:pPr>
            <w:r w:rsidRPr="00104753">
              <w:rPr>
                <w:szCs w:val="20"/>
                <w:lang w:val="en-US" w:eastAsia="en-U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7DF3D08" w14:textId="77777777" w:rsidR="00104753" w:rsidRPr="00104753" w:rsidRDefault="00104753" w:rsidP="00104753">
            <w:pPr>
              <w:rPr>
                <w:szCs w:val="20"/>
                <w:lang w:val="en-US" w:eastAsia="en-US"/>
              </w:rPr>
            </w:pPr>
            <w:r w:rsidRPr="00104753">
              <w:rPr>
                <w:szCs w:val="20"/>
                <w:lang w:val="en-US" w:eastAsia="en-US"/>
              </w:rPr>
              <w:t>43.3</w:t>
            </w:r>
          </w:p>
        </w:tc>
      </w:tr>
      <w:tr w:rsidR="00104753" w:rsidRPr="00104753" w14:paraId="079B7F32"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0319910" w14:textId="77777777" w:rsidR="00104753" w:rsidRPr="00104753" w:rsidRDefault="00104753" w:rsidP="00104753">
            <w:pPr>
              <w:rPr>
                <w:szCs w:val="20"/>
                <w:lang w:val="en-US" w:eastAsia="en-US"/>
              </w:rPr>
            </w:pPr>
            <w:r w:rsidRPr="00104753">
              <w:rPr>
                <w:szCs w:val="20"/>
                <w:lang w:val="en-US" w:eastAsia="en-US"/>
              </w:rPr>
              <w:t>Lisabon</w:t>
            </w:r>
          </w:p>
        </w:tc>
        <w:tc>
          <w:tcPr>
            <w:tcW w:w="1258" w:type="dxa"/>
            <w:tcBorders>
              <w:top w:val="nil"/>
              <w:left w:val="nil"/>
              <w:bottom w:val="single" w:sz="4" w:space="0" w:color="auto"/>
              <w:right w:val="single" w:sz="4" w:space="0" w:color="auto"/>
            </w:tcBorders>
            <w:shd w:val="clear" w:color="auto" w:fill="auto"/>
            <w:noWrap/>
            <w:vAlign w:val="bottom"/>
            <w:hideMark/>
          </w:tcPr>
          <w:p w14:paraId="59C9ACDD" w14:textId="04256DFD" w:rsidR="00104753" w:rsidRPr="00104753" w:rsidRDefault="00104753" w:rsidP="00104753">
            <w:pPr>
              <w:rPr>
                <w:szCs w:val="20"/>
                <w:lang w:val="en-US" w:eastAsia="en-US"/>
              </w:rPr>
            </w:pPr>
            <w:r w:rsidRPr="00104753">
              <w:rPr>
                <w:szCs w:val="20"/>
                <w:lang w:val="en-US" w:eastAsia="en-US"/>
              </w:rPr>
              <w:t>72.3</w:t>
            </w:r>
          </w:p>
        </w:tc>
        <w:tc>
          <w:tcPr>
            <w:tcW w:w="1662" w:type="dxa"/>
            <w:tcBorders>
              <w:top w:val="nil"/>
              <w:left w:val="nil"/>
              <w:bottom w:val="single" w:sz="4" w:space="0" w:color="auto"/>
              <w:right w:val="single" w:sz="4" w:space="0" w:color="auto"/>
            </w:tcBorders>
            <w:shd w:val="clear" w:color="auto" w:fill="auto"/>
            <w:noWrap/>
            <w:vAlign w:val="bottom"/>
            <w:hideMark/>
          </w:tcPr>
          <w:p w14:paraId="28F98103" w14:textId="77777777" w:rsidR="00104753" w:rsidRPr="00104753" w:rsidRDefault="00104753" w:rsidP="00104753">
            <w:pPr>
              <w:rPr>
                <w:szCs w:val="20"/>
                <w:lang w:val="en-US" w:eastAsia="en-US"/>
              </w:rPr>
            </w:pPr>
            <w:r w:rsidRPr="00104753">
              <w:rPr>
                <w:szCs w:val="20"/>
                <w:lang w:val="en-US" w:eastAsia="en-US"/>
              </w:rPr>
              <w:t>24.6</w:t>
            </w:r>
          </w:p>
        </w:tc>
        <w:tc>
          <w:tcPr>
            <w:tcW w:w="1120" w:type="dxa"/>
            <w:tcBorders>
              <w:top w:val="nil"/>
              <w:left w:val="nil"/>
              <w:bottom w:val="single" w:sz="4" w:space="0" w:color="auto"/>
              <w:right w:val="single" w:sz="4" w:space="0" w:color="auto"/>
            </w:tcBorders>
            <w:shd w:val="clear" w:color="auto" w:fill="auto"/>
            <w:noWrap/>
            <w:vAlign w:val="bottom"/>
            <w:hideMark/>
          </w:tcPr>
          <w:p w14:paraId="06D72B0E" w14:textId="77777777" w:rsidR="00104753" w:rsidRPr="00104753" w:rsidRDefault="00104753" w:rsidP="00104753">
            <w:pPr>
              <w:rPr>
                <w:szCs w:val="20"/>
                <w:lang w:val="en-US" w:eastAsia="en-US"/>
              </w:rPr>
            </w:pPr>
            <w:r w:rsidRPr="00104753">
              <w:rPr>
                <w:szCs w:val="20"/>
                <w:lang w:val="en-US" w:eastAsia="en-US"/>
              </w:rPr>
              <w:t>35.2</w:t>
            </w:r>
          </w:p>
        </w:tc>
      </w:tr>
      <w:tr w:rsidR="00104753" w:rsidRPr="00104753" w14:paraId="3E0E0C91"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36B6319" w14:textId="77777777" w:rsidR="00104753" w:rsidRPr="00104753" w:rsidRDefault="00104753" w:rsidP="00104753">
            <w:pPr>
              <w:rPr>
                <w:szCs w:val="20"/>
                <w:lang w:val="en-US" w:eastAsia="en-US"/>
              </w:rPr>
            </w:pPr>
            <w:r w:rsidRPr="00104753">
              <w:rPr>
                <w:szCs w:val="20"/>
                <w:lang w:val="en-US" w:eastAsia="en-US"/>
              </w:rPr>
              <w:t>Londýn</w:t>
            </w:r>
          </w:p>
        </w:tc>
        <w:tc>
          <w:tcPr>
            <w:tcW w:w="1258" w:type="dxa"/>
            <w:tcBorders>
              <w:top w:val="nil"/>
              <w:left w:val="nil"/>
              <w:bottom w:val="single" w:sz="4" w:space="0" w:color="auto"/>
              <w:right w:val="single" w:sz="4" w:space="0" w:color="auto"/>
            </w:tcBorders>
            <w:shd w:val="clear" w:color="auto" w:fill="auto"/>
            <w:noWrap/>
            <w:vAlign w:val="bottom"/>
            <w:hideMark/>
          </w:tcPr>
          <w:p w14:paraId="79C5B049" w14:textId="3757723D" w:rsidR="00104753" w:rsidRPr="00104753" w:rsidRDefault="00104753" w:rsidP="00104753">
            <w:pPr>
              <w:rPr>
                <w:szCs w:val="20"/>
                <w:lang w:val="en-US" w:eastAsia="en-US"/>
              </w:rPr>
            </w:pPr>
            <w:r w:rsidRPr="00104753">
              <w:rPr>
                <w:szCs w:val="20"/>
                <w:lang w:val="en-US" w:eastAsia="en-US"/>
              </w:rPr>
              <w:t>99.4</w:t>
            </w:r>
          </w:p>
        </w:tc>
        <w:tc>
          <w:tcPr>
            <w:tcW w:w="1662" w:type="dxa"/>
            <w:tcBorders>
              <w:top w:val="nil"/>
              <w:left w:val="nil"/>
              <w:bottom w:val="single" w:sz="4" w:space="0" w:color="auto"/>
              <w:right w:val="single" w:sz="4" w:space="0" w:color="auto"/>
            </w:tcBorders>
            <w:shd w:val="clear" w:color="auto" w:fill="auto"/>
            <w:noWrap/>
            <w:vAlign w:val="bottom"/>
            <w:hideMark/>
          </w:tcPr>
          <w:p w14:paraId="3008EA9D" w14:textId="77777777" w:rsidR="00104753" w:rsidRPr="00104753" w:rsidRDefault="00104753" w:rsidP="00104753">
            <w:pPr>
              <w:rPr>
                <w:szCs w:val="20"/>
                <w:lang w:val="en-US" w:eastAsia="en-US"/>
              </w:rPr>
            </w:pPr>
            <w:r w:rsidRPr="00104753">
              <w:rPr>
                <w:szCs w:val="20"/>
                <w:lang w:val="en-US" w:eastAsia="en-U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611D59E2" w14:textId="77777777" w:rsidR="00104753" w:rsidRPr="00104753" w:rsidRDefault="00104753" w:rsidP="00104753">
            <w:pPr>
              <w:rPr>
                <w:szCs w:val="20"/>
                <w:lang w:val="en-US" w:eastAsia="en-US"/>
              </w:rPr>
            </w:pPr>
            <w:r w:rsidRPr="00104753">
              <w:rPr>
                <w:szCs w:val="20"/>
                <w:lang w:val="en-US" w:eastAsia="en-US"/>
              </w:rPr>
              <w:t>45.7</w:t>
            </w:r>
          </w:p>
        </w:tc>
      </w:tr>
      <w:tr w:rsidR="00104753" w:rsidRPr="00104753" w14:paraId="34AD9DBD"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3C04EBDF" w14:textId="77777777" w:rsidR="00104753" w:rsidRPr="00104753" w:rsidRDefault="00104753" w:rsidP="00104753">
            <w:pPr>
              <w:rPr>
                <w:szCs w:val="20"/>
                <w:lang w:val="en-US" w:eastAsia="en-US"/>
              </w:rPr>
            </w:pPr>
            <w:r w:rsidRPr="00104753">
              <w:rPr>
                <w:szCs w:val="20"/>
                <w:lang w:val="en-US" w:eastAsia="en-US"/>
              </w:rPr>
              <w:t>Lyon</w:t>
            </w:r>
          </w:p>
        </w:tc>
        <w:tc>
          <w:tcPr>
            <w:tcW w:w="1258" w:type="dxa"/>
            <w:tcBorders>
              <w:top w:val="nil"/>
              <w:left w:val="nil"/>
              <w:bottom w:val="single" w:sz="4" w:space="0" w:color="auto"/>
              <w:right w:val="single" w:sz="4" w:space="0" w:color="auto"/>
            </w:tcBorders>
            <w:shd w:val="clear" w:color="auto" w:fill="auto"/>
            <w:noWrap/>
            <w:vAlign w:val="bottom"/>
            <w:hideMark/>
          </w:tcPr>
          <w:p w14:paraId="23D991A5" w14:textId="45D8A1F3" w:rsidR="00104753" w:rsidRPr="00104753" w:rsidRDefault="00104753" w:rsidP="00104753">
            <w:pPr>
              <w:rPr>
                <w:szCs w:val="20"/>
                <w:lang w:val="en-US" w:eastAsia="en-US"/>
              </w:rPr>
            </w:pPr>
            <w:r w:rsidRPr="00104753">
              <w:rPr>
                <w:szCs w:val="20"/>
                <w:lang w:val="en-US" w:eastAsia="en-US"/>
              </w:rPr>
              <w:t>98.8</w:t>
            </w:r>
          </w:p>
        </w:tc>
        <w:tc>
          <w:tcPr>
            <w:tcW w:w="1662" w:type="dxa"/>
            <w:tcBorders>
              <w:top w:val="nil"/>
              <w:left w:val="nil"/>
              <w:bottom w:val="single" w:sz="4" w:space="0" w:color="auto"/>
              <w:right w:val="single" w:sz="4" w:space="0" w:color="auto"/>
            </w:tcBorders>
            <w:shd w:val="clear" w:color="auto" w:fill="auto"/>
            <w:noWrap/>
            <w:vAlign w:val="bottom"/>
            <w:hideMark/>
          </w:tcPr>
          <w:p w14:paraId="6CB5334A" w14:textId="77777777" w:rsidR="00104753" w:rsidRPr="00104753" w:rsidRDefault="00104753" w:rsidP="00104753">
            <w:pPr>
              <w:rPr>
                <w:szCs w:val="20"/>
                <w:lang w:val="en-US" w:eastAsia="en-US"/>
              </w:rPr>
            </w:pPr>
            <w:r w:rsidRPr="00104753">
              <w:rPr>
                <w:szCs w:val="20"/>
                <w:lang w:val="en-US" w:eastAsia="en-US"/>
              </w:rPr>
              <w:t>23.8</w:t>
            </w:r>
          </w:p>
        </w:tc>
        <w:tc>
          <w:tcPr>
            <w:tcW w:w="1120" w:type="dxa"/>
            <w:tcBorders>
              <w:top w:val="nil"/>
              <w:left w:val="nil"/>
              <w:bottom w:val="single" w:sz="4" w:space="0" w:color="auto"/>
              <w:right w:val="single" w:sz="4" w:space="0" w:color="auto"/>
            </w:tcBorders>
            <w:shd w:val="clear" w:color="auto" w:fill="auto"/>
            <w:noWrap/>
            <w:vAlign w:val="bottom"/>
            <w:hideMark/>
          </w:tcPr>
          <w:p w14:paraId="7E7DA19A" w14:textId="77777777" w:rsidR="00104753" w:rsidRPr="00104753" w:rsidRDefault="00104753" w:rsidP="00104753">
            <w:pPr>
              <w:rPr>
                <w:szCs w:val="20"/>
                <w:lang w:val="en-US" w:eastAsia="en-US"/>
              </w:rPr>
            </w:pPr>
            <w:r w:rsidRPr="00104753">
              <w:rPr>
                <w:szCs w:val="20"/>
                <w:lang w:val="en-US" w:eastAsia="en-US"/>
              </w:rPr>
              <w:t>66.2</w:t>
            </w:r>
          </w:p>
        </w:tc>
      </w:tr>
      <w:tr w:rsidR="00104753" w:rsidRPr="00104753" w14:paraId="7033FCD5"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3891AD4" w14:textId="77777777" w:rsidR="00104753" w:rsidRPr="00104753" w:rsidRDefault="00104753" w:rsidP="00104753">
            <w:pPr>
              <w:rPr>
                <w:szCs w:val="20"/>
                <w:lang w:val="en-US" w:eastAsia="en-US"/>
              </w:rPr>
            </w:pPr>
            <w:r w:rsidRPr="00104753">
              <w:rPr>
                <w:szCs w:val="20"/>
                <w:lang w:val="en-US" w:eastAsia="en-US"/>
              </w:rPr>
              <w:t>Madrid</w:t>
            </w:r>
          </w:p>
        </w:tc>
        <w:tc>
          <w:tcPr>
            <w:tcW w:w="1258" w:type="dxa"/>
            <w:tcBorders>
              <w:top w:val="nil"/>
              <w:left w:val="nil"/>
              <w:bottom w:val="single" w:sz="4" w:space="0" w:color="auto"/>
              <w:right w:val="single" w:sz="4" w:space="0" w:color="auto"/>
            </w:tcBorders>
            <w:shd w:val="clear" w:color="auto" w:fill="auto"/>
            <w:noWrap/>
            <w:vAlign w:val="bottom"/>
            <w:hideMark/>
          </w:tcPr>
          <w:p w14:paraId="3DD6EF36" w14:textId="303936A0" w:rsidR="00104753" w:rsidRPr="00104753" w:rsidRDefault="00104753" w:rsidP="00104753">
            <w:pPr>
              <w:rPr>
                <w:szCs w:val="20"/>
                <w:lang w:val="en-US" w:eastAsia="en-US"/>
              </w:rPr>
            </w:pPr>
            <w:r w:rsidRPr="00104753">
              <w:rPr>
                <w:szCs w:val="20"/>
                <w:lang w:val="en-US" w:eastAsia="en-US"/>
              </w:rPr>
              <w:t>96.8</w:t>
            </w:r>
          </w:p>
        </w:tc>
        <w:tc>
          <w:tcPr>
            <w:tcW w:w="1662" w:type="dxa"/>
            <w:tcBorders>
              <w:top w:val="nil"/>
              <w:left w:val="nil"/>
              <w:bottom w:val="single" w:sz="4" w:space="0" w:color="auto"/>
              <w:right w:val="single" w:sz="4" w:space="0" w:color="auto"/>
            </w:tcBorders>
            <w:shd w:val="clear" w:color="auto" w:fill="auto"/>
            <w:noWrap/>
            <w:vAlign w:val="bottom"/>
            <w:hideMark/>
          </w:tcPr>
          <w:p w14:paraId="79A3CD4B" w14:textId="77777777" w:rsidR="00104753" w:rsidRPr="00104753" w:rsidRDefault="00104753" w:rsidP="00104753">
            <w:pPr>
              <w:rPr>
                <w:szCs w:val="20"/>
                <w:lang w:val="en-US" w:eastAsia="en-US"/>
              </w:rPr>
            </w:pPr>
            <w:r w:rsidRPr="00104753">
              <w:rPr>
                <w:szCs w:val="20"/>
                <w:lang w:val="en-US" w:eastAsia="en-US"/>
              </w:rPr>
              <w:t>0.0</w:t>
            </w:r>
          </w:p>
        </w:tc>
        <w:tc>
          <w:tcPr>
            <w:tcW w:w="1120" w:type="dxa"/>
            <w:tcBorders>
              <w:top w:val="nil"/>
              <w:left w:val="nil"/>
              <w:bottom w:val="single" w:sz="4" w:space="0" w:color="auto"/>
              <w:right w:val="single" w:sz="4" w:space="0" w:color="auto"/>
            </w:tcBorders>
            <w:shd w:val="clear" w:color="auto" w:fill="auto"/>
            <w:noWrap/>
            <w:vAlign w:val="bottom"/>
            <w:hideMark/>
          </w:tcPr>
          <w:p w14:paraId="1C07BEEB" w14:textId="77777777" w:rsidR="00104753" w:rsidRPr="00104753" w:rsidRDefault="00104753" w:rsidP="00104753">
            <w:pPr>
              <w:rPr>
                <w:szCs w:val="20"/>
                <w:lang w:val="en-US" w:eastAsia="en-US"/>
              </w:rPr>
            </w:pPr>
            <w:r w:rsidRPr="00104753">
              <w:rPr>
                <w:szCs w:val="20"/>
                <w:lang w:val="en-US" w:eastAsia="en-US"/>
              </w:rPr>
              <w:t>76.5</w:t>
            </w:r>
          </w:p>
        </w:tc>
      </w:tr>
      <w:tr w:rsidR="00104753" w:rsidRPr="00104753" w14:paraId="7551BB55"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57771D1" w14:textId="77777777" w:rsidR="00104753" w:rsidRPr="00104753" w:rsidRDefault="00104753" w:rsidP="00104753">
            <w:pPr>
              <w:rPr>
                <w:szCs w:val="20"/>
                <w:lang w:val="en-US" w:eastAsia="en-US"/>
              </w:rPr>
            </w:pPr>
            <w:r w:rsidRPr="00104753">
              <w:rPr>
                <w:szCs w:val="20"/>
                <w:lang w:val="en-US" w:eastAsia="en-US"/>
              </w:rPr>
              <w:t>Milán</w:t>
            </w:r>
          </w:p>
        </w:tc>
        <w:tc>
          <w:tcPr>
            <w:tcW w:w="1258" w:type="dxa"/>
            <w:tcBorders>
              <w:top w:val="nil"/>
              <w:left w:val="nil"/>
              <w:bottom w:val="single" w:sz="4" w:space="0" w:color="auto"/>
              <w:right w:val="single" w:sz="4" w:space="0" w:color="auto"/>
            </w:tcBorders>
            <w:shd w:val="clear" w:color="auto" w:fill="auto"/>
            <w:noWrap/>
            <w:vAlign w:val="bottom"/>
            <w:hideMark/>
          </w:tcPr>
          <w:p w14:paraId="22560AE9" w14:textId="4FD982FE" w:rsidR="00104753" w:rsidRPr="00104753" w:rsidRDefault="00104753" w:rsidP="00104753">
            <w:pPr>
              <w:rPr>
                <w:szCs w:val="20"/>
                <w:lang w:val="en-US" w:eastAsia="en-US"/>
              </w:rPr>
            </w:pPr>
            <w:r w:rsidRPr="00104753">
              <w:rPr>
                <w:szCs w:val="20"/>
                <w:lang w:val="en-US" w:eastAsia="en-US"/>
              </w:rPr>
              <w:t>71.0</w:t>
            </w:r>
          </w:p>
        </w:tc>
        <w:tc>
          <w:tcPr>
            <w:tcW w:w="1662" w:type="dxa"/>
            <w:tcBorders>
              <w:top w:val="nil"/>
              <w:left w:val="nil"/>
              <w:bottom w:val="single" w:sz="4" w:space="0" w:color="auto"/>
              <w:right w:val="single" w:sz="4" w:space="0" w:color="auto"/>
            </w:tcBorders>
            <w:shd w:val="clear" w:color="auto" w:fill="auto"/>
            <w:noWrap/>
            <w:vAlign w:val="bottom"/>
            <w:hideMark/>
          </w:tcPr>
          <w:p w14:paraId="59ED5805" w14:textId="77777777" w:rsidR="00104753" w:rsidRPr="00104753" w:rsidRDefault="00104753" w:rsidP="00104753">
            <w:pPr>
              <w:rPr>
                <w:szCs w:val="20"/>
                <w:lang w:val="en-US" w:eastAsia="en-US"/>
              </w:rPr>
            </w:pPr>
            <w:r w:rsidRPr="00104753">
              <w:rPr>
                <w:szCs w:val="20"/>
                <w:lang w:val="en-US" w:eastAsia="en-US"/>
              </w:rPr>
              <w:t>49.8</w:t>
            </w:r>
          </w:p>
        </w:tc>
        <w:tc>
          <w:tcPr>
            <w:tcW w:w="1120" w:type="dxa"/>
            <w:tcBorders>
              <w:top w:val="nil"/>
              <w:left w:val="nil"/>
              <w:bottom w:val="single" w:sz="4" w:space="0" w:color="auto"/>
              <w:right w:val="single" w:sz="4" w:space="0" w:color="auto"/>
            </w:tcBorders>
            <w:shd w:val="clear" w:color="auto" w:fill="auto"/>
            <w:noWrap/>
            <w:vAlign w:val="bottom"/>
            <w:hideMark/>
          </w:tcPr>
          <w:p w14:paraId="0156ADAF" w14:textId="77777777" w:rsidR="00104753" w:rsidRPr="00104753" w:rsidRDefault="00104753" w:rsidP="00104753">
            <w:pPr>
              <w:rPr>
                <w:szCs w:val="20"/>
                <w:lang w:val="en-US" w:eastAsia="en-US"/>
              </w:rPr>
            </w:pPr>
            <w:r w:rsidRPr="00104753">
              <w:rPr>
                <w:szCs w:val="20"/>
                <w:lang w:val="en-US" w:eastAsia="en-US"/>
              </w:rPr>
              <w:t>43.2</w:t>
            </w:r>
          </w:p>
        </w:tc>
      </w:tr>
      <w:tr w:rsidR="00104753" w:rsidRPr="00104753" w14:paraId="7F6D0AD8"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B8CA4E3" w14:textId="77777777" w:rsidR="00104753" w:rsidRPr="00104753" w:rsidRDefault="00104753" w:rsidP="00104753">
            <w:pPr>
              <w:rPr>
                <w:szCs w:val="20"/>
                <w:lang w:val="en-US" w:eastAsia="en-US"/>
              </w:rPr>
            </w:pPr>
            <w:r w:rsidRPr="00104753">
              <w:rPr>
                <w:szCs w:val="20"/>
                <w:lang w:val="en-US" w:eastAsia="en-US"/>
              </w:rPr>
              <w:t>Paříž</w:t>
            </w:r>
          </w:p>
        </w:tc>
        <w:tc>
          <w:tcPr>
            <w:tcW w:w="1258" w:type="dxa"/>
            <w:tcBorders>
              <w:top w:val="nil"/>
              <w:left w:val="nil"/>
              <w:bottom w:val="single" w:sz="4" w:space="0" w:color="auto"/>
              <w:right w:val="single" w:sz="4" w:space="0" w:color="auto"/>
            </w:tcBorders>
            <w:shd w:val="clear" w:color="auto" w:fill="auto"/>
            <w:noWrap/>
            <w:vAlign w:val="bottom"/>
            <w:hideMark/>
          </w:tcPr>
          <w:p w14:paraId="3D9E8B55" w14:textId="50637A54" w:rsidR="00104753" w:rsidRPr="00104753" w:rsidRDefault="00104753" w:rsidP="00104753">
            <w:pPr>
              <w:rPr>
                <w:szCs w:val="20"/>
                <w:lang w:val="en-US" w:eastAsia="en-US"/>
              </w:rPr>
            </w:pPr>
            <w:r w:rsidRPr="00104753">
              <w:rPr>
                <w:szCs w:val="20"/>
                <w:lang w:val="en-US" w:eastAsia="en-US"/>
              </w:rPr>
              <w:t>99.7</w:t>
            </w:r>
          </w:p>
        </w:tc>
        <w:tc>
          <w:tcPr>
            <w:tcW w:w="1662" w:type="dxa"/>
            <w:tcBorders>
              <w:top w:val="nil"/>
              <w:left w:val="nil"/>
              <w:bottom w:val="single" w:sz="4" w:space="0" w:color="auto"/>
              <w:right w:val="single" w:sz="4" w:space="0" w:color="auto"/>
            </w:tcBorders>
            <w:shd w:val="clear" w:color="auto" w:fill="auto"/>
            <w:noWrap/>
            <w:vAlign w:val="bottom"/>
            <w:hideMark/>
          </w:tcPr>
          <w:p w14:paraId="065400D1" w14:textId="77777777" w:rsidR="00104753" w:rsidRPr="00104753" w:rsidRDefault="00104753" w:rsidP="00104753">
            <w:pPr>
              <w:rPr>
                <w:szCs w:val="20"/>
                <w:lang w:val="en-US" w:eastAsia="en-US"/>
              </w:rPr>
            </w:pPr>
            <w:r w:rsidRPr="00104753">
              <w:rPr>
                <w:szCs w:val="20"/>
                <w:lang w:val="en-US" w:eastAsia="en-US"/>
              </w:rPr>
              <w:t>6.4</w:t>
            </w:r>
          </w:p>
        </w:tc>
        <w:tc>
          <w:tcPr>
            <w:tcW w:w="1120" w:type="dxa"/>
            <w:tcBorders>
              <w:top w:val="nil"/>
              <w:left w:val="nil"/>
              <w:bottom w:val="single" w:sz="4" w:space="0" w:color="auto"/>
              <w:right w:val="single" w:sz="4" w:space="0" w:color="auto"/>
            </w:tcBorders>
            <w:shd w:val="clear" w:color="auto" w:fill="auto"/>
            <w:noWrap/>
            <w:vAlign w:val="bottom"/>
            <w:hideMark/>
          </w:tcPr>
          <w:p w14:paraId="5FB00999" w14:textId="77777777" w:rsidR="00104753" w:rsidRPr="00104753" w:rsidRDefault="00104753" w:rsidP="00104753">
            <w:pPr>
              <w:rPr>
                <w:szCs w:val="20"/>
                <w:lang w:val="en-US" w:eastAsia="en-US"/>
              </w:rPr>
            </w:pPr>
            <w:r w:rsidRPr="00104753">
              <w:rPr>
                <w:szCs w:val="20"/>
                <w:lang w:val="en-US" w:eastAsia="en-US"/>
              </w:rPr>
              <w:t>72.6</w:t>
            </w:r>
          </w:p>
        </w:tc>
      </w:tr>
      <w:tr w:rsidR="00104753" w:rsidRPr="00104753" w14:paraId="5AC09828"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545FFA0" w14:textId="77777777" w:rsidR="00104753" w:rsidRPr="00104753" w:rsidRDefault="00104753" w:rsidP="00104753">
            <w:pPr>
              <w:rPr>
                <w:szCs w:val="20"/>
                <w:lang w:val="en-US" w:eastAsia="en-US"/>
              </w:rPr>
            </w:pPr>
            <w:r w:rsidRPr="00104753">
              <w:rPr>
                <w:szCs w:val="20"/>
                <w:lang w:val="en-US" w:eastAsia="en-US"/>
              </w:rPr>
              <w:t>Porto</w:t>
            </w:r>
          </w:p>
        </w:tc>
        <w:tc>
          <w:tcPr>
            <w:tcW w:w="1258" w:type="dxa"/>
            <w:tcBorders>
              <w:top w:val="nil"/>
              <w:left w:val="nil"/>
              <w:bottom w:val="single" w:sz="4" w:space="0" w:color="auto"/>
              <w:right w:val="single" w:sz="4" w:space="0" w:color="auto"/>
            </w:tcBorders>
            <w:shd w:val="clear" w:color="auto" w:fill="auto"/>
            <w:noWrap/>
            <w:vAlign w:val="bottom"/>
            <w:hideMark/>
          </w:tcPr>
          <w:p w14:paraId="396C5A0B" w14:textId="4DCBFE40" w:rsidR="00104753" w:rsidRPr="00104753" w:rsidRDefault="00104753" w:rsidP="00104753">
            <w:pPr>
              <w:rPr>
                <w:szCs w:val="20"/>
                <w:lang w:val="en-US" w:eastAsia="en-US"/>
              </w:rPr>
            </w:pPr>
            <w:r w:rsidRPr="00104753">
              <w:rPr>
                <w:szCs w:val="20"/>
                <w:lang w:val="en-US" w:eastAsia="en-US"/>
              </w:rPr>
              <w:t>88.9</w:t>
            </w:r>
          </w:p>
        </w:tc>
        <w:tc>
          <w:tcPr>
            <w:tcW w:w="1662" w:type="dxa"/>
            <w:tcBorders>
              <w:top w:val="nil"/>
              <w:left w:val="nil"/>
              <w:bottom w:val="single" w:sz="4" w:space="0" w:color="auto"/>
              <w:right w:val="single" w:sz="4" w:space="0" w:color="auto"/>
            </w:tcBorders>
            <w:shd w:val="clear" w:color="auto" w:fill="auto"/>
            <w:noWrap/>
            <w:vAlign w:val="bottom"/>
            <w:hideMark/>
          </w:tcPr>
          <w:p w14:paraId="0CC72553" w14:textId="77777777" w:rsidR="00104753" w:rsidRPr="00104753" w:rsidRDefault="00104753" w:rsidP="00104753">
            <w:pPr>
              <w:rPr>
                <w:szCs w:val="20"/>
                <w:lang w:val="en-US" w:eastAsia="en-US"/>
              </w:rPr>
            </w:pPr>
            <w:r w:rsidRPr="00104753">
              <w:rPr>
                <w:szCs w:val="20"/>
                <w:lang w:val="en-US" w:eastAsia="en-US"/>
              </w:rPr>
              <w:t>29.9</w:t>
            </w:r>
          </w:p>
        </w:tc>
        <w:tc>
          <w:tcPr>
            <w:tcW w:w="1120" w:type="dxa"/>
            <w:tcBorders>
              <w:top w:val="nil"/>
              <w:left w:val="nil"/>
              <w:bottom w:val="single" w:sz="4" w:space="0" w:color="auto"/>
              <w:right w:val="single" w:sz="4" w:space="0" w:color="auto"/>
            </w:tcBorders>
            <w:shd w:val="clear" w:color="auto" w:fill="auto"/>
            <w:noWrap/>
            <w:vAlign w:val="bottom"/>
            <w:hideMark/>
          </w:tcPr>
          <w:p w14:paraId="4EEFA603" w14:textId="77777777" w:rsidR="00104753" w:rsidRPr="00104753" w:rsidRDefault="00104753" w:rsidP="00104753">
            <w:pPr>
              <w:rPr>
                <w:szCs w:val="20"/>
                <w:lang w:val="en-US" w:eastAsia="en-US"/>
              </w:rPr>
            </w:pPr>
            <w:r w:rsidRPr="00104753">
              <w:rPr>
                <w:szCs w:val="20"/>
                <w:lang w:val="en-US" w:eastAsia="en-US"/>
              </w:rPr>
              <w:t>0.0</w:t>
            </w:r>
          </w:p>
        </w:tc>
      </w:tr>
      <w:tr w:rsidR="00104753" w:rsidRPr="00104753" w14:paraId="186E7FF4"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99A12EB" w14:textId="77777777" w:rsidR="00104753" w:rsidRPr="00104753" w:rsidRDefault="00104753" w:rsidP="00104753">
            <w:pPr>
              <w:rPr>
                <w:szCs w:val="20"/>
                <w:lang w:val="en-US" w:eastAsia="en-US"/>
              </w:rPr>
            </w:pPr>
            <w:r w:rsidRPr="00104753">
              <w:rPr>
                <w:szCs w:val="20"/>
                <w:lang w:val="en-US" w:eastAsia="en-US"/>
              </w:rPr>
              <w:t>Praha</w:t>
            </w:r>
          </w:p>
        </w:tc>
        <w:tc>
          <w:tcPr>
            <w:tcW w:w="1258" w:type="dxa"/>
            <w:tcBorders>
              <w:top w:val="nil"/>
              <w:left w:val="nil"/>
              <w:bottom w:val="single" w:sz="4" w:space="0" w:color="auto"/>
              <w:right w:val="single" w:sz="4" w:space="0" w:color="auto"/>
            </w:tcBorders>
            <w:shd w:val="clear" w:color="auto" w:fill="auto"/>
            <w:noWrap/>
            <w:vAlign w:val="bottom"/>
            <w:hideMark/>
          </w:tcPr>
          <w:p w14:paraId="16D499CA" w14:textId="77FB870B" w:rsidR="00104753" w:rsidRPr="00104753" w:rsidRDefault="00104753" w:rsidP="00104753">
            <w:pPr>
              <w:rPr>
                <w:szCs w:val="20"/>
                <w:lang w:val="en-US" w:eastAsia="en-US"/>
              </w:rPr>
            </w:pPr>
            <w:r w:rsidRPr="00104753">
              <w:rPr>
                <w:szCs w:val="20"/>
                <w:lang w:val="en-US" w:eastAsia="en-US"/>
              </w:rPr>
              <w:t>91.7</w:t>
            </w:r>
          </w:p>
        </w:tc>
        <w:tc>
          <w:tcPr>
            <w:tcW w:w="1662" w:type="dxa"/>
            <w:tcBorders>
              <w:top w:val="nil"/>
              <w:left w:val="nil"/>
              <w:bottom w:val="single" w:sz="4" w:space="0" w:color="auto"/>
              <w:right w:val="single" w:sz="4" w:space="0" w:color="auto"/>
            </w:tcBorders>
            <w:shd w:val="clear" w:color="auto" w:fill="auto"/>
            <w:noWrap/>
            <w:vAlign w:val="bottom"/>
            <w:hideMark/>
          </w:tcPr>
          <w:p w14:paraId="751C9ABE" w14:textId="77777777" w:rsidR="00104753" w:rsidRPr="00104753" w:rsidRDefault="00104753" w:rsidP="00104753">
            <w:pPr>
              <w:rPr>
                <w:szCs w:val="20"/>
                <w:lang w:val="en-US" w:eastAsia="en-US"/>
              </w:rPr>
            </w:pPr>
            <w:r w:rsidRPr="00104753">
              <w:rPr>
                <w:szCs w:val="20"/>
                <w:lang w:val="en-US" w:eastAsia="en-US"/>
              </w:rPr>
              <w:t>71.4</w:t>
            </w:r>
          </w:p>
        </w:tc>
        <w:tc>
          <w:tcPr>
            <w:tcW w:w="1120" w:type="dxa"/>
            <w:tcBorders>
              <w:top w:val="nil"/>
              <w:left w:val="nil"/>
              <w:bottom w:val="single" w:sz="4" w:space="0" w:color="auto"/>
              <w:right w:val="single" w:sz="4" w:space="0" w:color="auto"/>
            </w:tcBorders>
            <w:shd w:val="clear" w:color="auto" w:fill="auto"/>
            <w:noWrap/>
            <w:vAlign w:val="bottom"/>
            <w:hideMark/>
          </w:tcPr>
          <w:p w14:paraId="65696C59" w14:textId="77777777" w:rsidR="00104753" w:rsidRPr="00104753" w:rsidRDefault="00104753" w:rsidP="00104753">
            <w:pPr>
              <w:rPr>
                <w:szCs w:val="20"/>
                <w:lang w:val="en-US" w:eastAsia="en-US"/>
              </w:rPr>
            </w:pPr>
            <w:r w:rsidRPr="00104753">
              <w:rPr>
                <w:szCs w:val="20"/>
                <w:lang w:val="en-US" w:eastAsia="en-US"/>
              </w:rPr>
              <w:t>52.3</w:t>
            </w:r>
          </w:p>
        </w:tc>
      </w:tr>
      <w:tr w:rsidR="00104753" w:rsidRPr="00104753" w14:paraId="6E636909"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22F8383" w14:textId="77777777" w:rsidR="00104753" w:rsidRPr="00104753" w:rsidRDefault="00104753" w:rsidP="00104753">
            <w:pPr>
              <w:rPr>
                <w:szCs w:val="20"/>
                <w:lang w:val="en-US" w:eastAsia="en-US"/>
              </w:rPr>
            </w:pPr>
            <w:r w:rsidRPr="00104753">
              <w:rPr>
                <w:szCs w:val="20"/>
                <w:lang w:val="en-US" w:eastAsia="en-US"/>
              </w:rPr>
              <w:t>Rotterdam</w:t>
            </w:r>
          </w:p>
        </w:tc>
        <w:tc>
          <w:tcPr>
            <w:tcW w:w="1258" w:type="dxa"/>
            <w:tcBorders>
              <w:top w:val="nil"/>
              <w:left w:val="nil"/>
              <w:bottom w:val="single" w:sz="4" w:space="0" w:color="auto"/>
              <w:right w:val="single" w:sz="4" w:space="0" w:color="auto"/>
            </w:tcBorders>
            <w:shd w:val="clear" w:color="auto" w:fill="auto"/>
            <w:noWrap/>
            <w:vAlign w:val="bottom"/>
            <w:hideMark/>
          </w:tcPr>
          <w:p w14:paraId="53D52A8E" w14:textId="3A2D5A8E" w:rsidR="00104753" w:rsidRPr="00104753" w:rsidRDefault="00104753" w:rsidP="00104753">
            <w:pPr>
              <w:rPr>
                <w:szCs w:val="20"/>
                <w:lang w:val="en-US" w:eastAsia="en-US"/>
              </w:rPr>
            </w:pPr>
            <w:r w:rsidRPr="00104753">
              <w:rPr>
                <w:szCs w:val="20"/>
                <w:lang w:val="en-US" w:eastAsia="en-US"/>
              </w:rPr>
              <w:t>90.4</w:t>
            </w:r>
          </w:p>
        </w:tc>
        <w:tc>
          <w:tcPr>
            <w:tcW w:w="1662" w:type="dxa"/>
            <w:tcBorders>
              <w:top w:val="nil"/>
              <w:left w:val="nil"/>
              <w:bottom w:val="single" w:sz="4" w:space="0" w:color="auto"/>
              <w:right w:val="single" w:sz="4" w:space="0" w:color="auto"/>
            </w:tcBorders>
            <w:shd w:val="clear" w:color="auto" w:fill="auto"/>
            <w:noWrap/>
            <w:vAlign w:val="bottom"/>
            <w:hideMark/>
          </w:tcPr>
          <w:p w14:paraId="33CE6DFE" w14:textId="77777777" w:rsidR="00104753" w:rsidRPr="00104753" w:rsidRDefault="00104753" w:rsidP="00104753">
            <w:pPr>
              <w:rPr>
                <w:szCs w:val="20"/>
                <w:lang w:val="en-US" w:eastAsia="en-US"/>
              </w:rPr>
            </w:pPr>
            <w:r w:rsidRPr="00104753">
              <w:rPr>
                <w:szCs w:val="20"/>
                <w:lang w:val="en-US" w:eastAsia="en-US"/>
              </w:rPr>
              <w:t>47.1</w:t>
            </w:r>
          </w:p>
        </w:tc>
        <w:tc>
          <w:tcPr>
            <w:tcW w:w="1120" w:type="dxa"/>
            <w:tcBorders>
              <w:top w:val="nil"/>
              <w:left w:val="nil"/>
              <w:bottom w:val="single" w:sz="4" w:space="0" w:color="auto"/>
              <w:right w:val="single" w:sz="4" w:space="0" w:color="auto"/>
            </w:tcBorders>
            <w:shd w:val="clear" w:color="auto" w:fill="auto"/>
            <w:noWrap/>
            <w:vAlign w:val="bottom"/>
            <w:hideMark/>
          </w:tcPr>
          <w:p w14:paraId="115E6C0A" w14:textId="77777777" w:rsidR="00104753" w:rsidRPr="00104753" w:rsidRDefault="00104753" w:rsidP="00104753">
            <w:pPr>
              <w:rPr>
                <w:szCs w:val="20"/>
                <w:lang w:val="en-US" w:eastAsia="en-US"/>
              </w:rPr>
            </w:pPr>
            <w:r w:rsidRPr="00104753">
              <w:rPr>
                <w:szCs w:val="20"/>
                <w:lang w:val="en-US" w:eastAsia="en-US"/>
              </w:rPr>
              <w:t>44.2</w:t>
            </w:r>
          </w:p>
        </w:tc>
      </w:tr>
      <w:tr w:rsidR="00104753" w:rsidRPr="00104753" w14:paraId="3F44D078"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6C18151" w14:textId="77777777" w:rsidR="00104753" w:rsidRPr="00104753" w:rsidRDefault="00104753" w:rsidP="00104753">
            <w:pPr>
              <w:rPr>
                <w:szCs w:val="20"/>
                <w:lang w:val="en-US" w:eastAsia="en-US"/>
              </w:rPr>
            </w:pPr>
            <w:r w:rsidRPr="00104753">
              <w:rPr>
                <w:szCs w:val="20"/>
                <w:lang w:val="en-US" w:eastAsia="en-US"/>
              </w:rPr>
              <w:t>Sevilla</w:t>
            </w:r>
          </w:p>
        </w:tc>
        <w:tc>
          <w:tcPr>
            <w:tcW w:w="1258" w:type="dxa"/>
            <w:tcBorders>
              <w:top w:val="nil"/>
              <w:left w:val="nil"/>
              <w:bottom w:val="single" w:sz="4" w:space="0" w:color="auto"/>
              <w:right w:val="single" w:sz="4" w:space="0" w:color="auto"/>
            </w:tcBorders>
            <w:shd w:val="clear" w:color="auto" w:fill="auto"/>
            <w:noWrap/>
            <w:vAlign w:val="bottom"/>
            <w:hideMark/>
          </w:tcPr>
          <w:p w14:paraId="788AF4C9" w14:textId="539F8EFD" w:rsidR="00104753" w:rsidRPr="00104753" w:rsidRDefault="00104753" w:rsidP="00104753">
            <w:pPr>
              <w:rPr>
                <w:szCs w:val="20"/>
                <w:lang w:val="en-US" w:eastAsia="en-US"/>
              </w:rPr>
            </w:pPr>
            <w:r w:rsidRPr="00104753">
              <w:rPr>
                <w:szCs w:val="20"/>
                <w:lang w:val="en-US" w:eastAsia="en-US"/>
              </w:rPr>
              <w:t>98.1</w:t>
            </w:r>
          </w:p>
        </w:tc>
        <w:tc>
          <w:tcPr>
            <w:tcW w:w="1662" w:type="dxa"/>
            <w:tcBorders>
              <w:top w:val="nil"/>
              <w:left w:val="nil"/>
              <w:bottom w:val="single" w:sz="4" w:space="0" w:color="auto"/>
              <w:right w:val="single" w:sz="4" w:space="0" w:color="auto"/>
            </w:tcBorders>
            <w:shd w:val="clear" w:color="auto" w:fill="auto"/>
            <w:noWrap/>
            <w:vAlign w:val="bottom"/>
            <w:hideMark/>
          </w:tcPr>
          <w:p w14:paraId="05DDC6AC" w14:textId="77777777" w:rsidR="00104753" w:rsidRPr="00104753" w:rsidRDefault="00104753" w:rsidP="00104753">
            <w:pPr>
              <w:rPr>
                <w:szCs w:val="20"/>
                <w:lang w:val="en-US" w:eastAsia="en-US"/>
              </w:rPr>
            </w:pPr>
            <w:r w:rsidRPr="00104753">
              <w:rPr>
                <w:szCs w:val="20"/>
                <w:lang w:val="en-US" w:eastAsia="en-US"/>
              </w:rPr>
              <w:t>16.2</w:t>
            </w:r>
          </w:p>
        </w:tc>
        <w:tc>
          <w:tcPr>
            <w:tcW w:w="1120" w:type="dxa"/>
            <w:tcBorders>
              <w:top w:val="nil"/>
              <w:left w:val="nil"/>
              <w:bottom w:val="single" w:sz="4" w:space="0" w:color="auto"/>
              <w:right w:val="single" w:sz="4" w:space="0" w:color="auto"/>
            </w:tcBorders>
            <w:shd w:val="clear" w:color="auto" w:fill="auto"/>
            <w:noWrap/>
            <w:vAlign w:val="bottom"/>
            <w:hideMark/>
          </w:tcPr>
          <w:p w14:paraId="281B6D82" w14:textId="77777777" w:rsidR="00104753" w:rsidRPr="00104753" w:rsidRDefault="00104753" w:rsidP="00104753">
            <w:pPr>
              <w:rPr>
                <w:szCs w:val="20"/>
                <w:lang w:val="en-US" w:eastAsia="en-US"/>
              </w:rPr>
            </w:pPr>
            <w:r w:rsidRPr="00104753">
              <w:rPr>
                <w:szCs w:val="20"/>
                <w:lang w:val="en-US" w:eastAsia="en-US"/>
              </w:rPr>
              <w:t>23.4</w:t>
            </w:r>
          </w:p>
        </w:tc>
      </w:tr>
      <w:tr w:rsidR="00104753" w:rsidRPr="00104753" w14:paraId="79C59AB2"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DFE66EE" w14:textId="77777777" w:rsidR="00104753" w:rsidRPr="00104753" w:rsidRDefault="00104753" w:rsidP="00104753">
            <w:pPr>
              <w:rPr>
                <w:szCs w:val="20"/>
                <w:lang w:val="en-US" w:eastAsia="en-US"/>
              </w:rPr>
            </w:pPr>
            <w:r w:rsidRPr="00104753">
              <w:rPr>
                <w:szCs w:val="20"/>
                <w:lang w:val="en-US" w:eastAsia="en-US"/>
              </w:rPr>
              <w:t>Sofie</w:t>
            </w:r>
          </w:p>
        </w:tc>
        <w:tc>
          <w:tcPr>
            <w:tcW w:w="1258" w:type="dxa"/>
            <w:tcBorders>
              <w:top w:val="nil"/>
              <w:left w:val="nil"/>
              <w:bottom w:val="single" w:sz="4" w:space="0" w:color="auto"/>
              <w:right w:val="single" w:sz="4" w:space="0" w:color="auto"/>
            </w:tcBorders>
            <w:shd w:val="clear" w:color="auto" w:fill="auto"/>
            <w:noWrap/>
            <w:vAlign w:val="bottom"/>
            <w:hideMark/>
          </w:tcPr>
          <w:p w14:paraId="33BFA269" w14:textId="6CA0214C" w:rsidR="00104753" w:rsidRPr="00104753" w:rsidRDefault="00104753" w:rsidP="00104753">
            <w:pPr>
              <w:rPr>
                <w:szCs w:val="20"/>
                <w:lang w:val="en-US" w:eastAsia="en-US"/>
              </w:rPr>
            </w:pPr>
            <w:r w:rsidRPr="00104753">
              <w:rPr>
                <w:szCs w:val="20"/>
                <w:lang w:val="en-US" w:eastAsia="en-US"/>
              </w:rPr>
              <w:t>80.6</w:t>
            </w:r>
          </w:p>
        </w:tc>
        <w:tc>
          <w:tcPr>
            <w:tcW w:w="1662" w:type="dxa"/>
            <w:tcBorders>
              <w:top w:val="nil"/>
              <w:left w:val="nil"/>
              <w:bottom w:val="single" w:sz="4" w:space="0" w:color="auto"/>
              <w:right w:val="single" w:sz="4" w:space="0" w:color="auto"/>
            </w:tcBorders>
            <w:shd w:val="clear" w:color="auto" w:fill="auto"/>
            <w:noWrap/>
            <w:vAlign w:val="bottom"/>
            <w:hideMark/>
          </w:tcPr>
          <w:p w14:paraId="59C669D7" w14:textId="77777777" w:rsidR="00104753" w:rsidRPr="00104753" w:rsidRDefault="00104753" w:rsidP="00104753">
            <w:pPr>
              <w:rPr>
                <w:szCs w:val="20"/>
                <w:lang w:val="en-US" w:eastAsia="en-US"/>
              </w:rPr>
            </w:pPr>
            <w:r w:rsidRPr="00104753">
              <w:rPr>
                <w:szCs w:val="20"/>
                <w:lang w:val="en-US" w:eastAsia="en-US"/>
              </w:rPr>
              <w:t>73.2</w:t>
            </w:r>
          </w:p>
        </w:tc>
        <w:tc>
          <w:tcPr>
            <w:tcW w:w="1120" w:type="dxa"/>
            <w:tcBorders>
              <w:top w:val="nil"/>
              <w:left w:val="nil"/>
              <w:bottom w:val="single" w:sz="4" w:space="0" w:color="auto"/>
              <w:right w:val="single" w:sz="4" w:space="0" w:color="auto"/>
            </w:tcBorders>
            <w:shd w:val="clear" w:color="auto" w:fill="auto"/>
            <w:noWrap/>
            <w:vAlign w:val="bottom"/>
            <w:hideMark/>
          </w:tcPr>
          <w:p w14:paraId="2BD732D3" w14:textId="77777777" w:rsidR="00104753" w:rsidRPr="00104753" w:rsidRDefault="00104753" w:rsidP="00104753">
            <w:pPr>
              <w:rPr>
                <w:szCs w:val="20"/>
                <w:lang w:val="en-US" w:eastAsia="en-US"/>
              </w:rPr>
            </w:pPr>
            <w:r w:rsidRPr="00104753">
              <w:rPr>
                <w:szCs w:val="20"/>
                <w:lang w:val="en-US" w:eastAsia="en-US"/>
              </w:rPr>
              <w:t>47.7</w:t>
            </w:r>
          </w:p>
        </w:tc>
      </w:tr>
      <w:tr w:rsidR="00104753" w:rsidRPr="00104753" w14:paraId="49595DCA"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CCC9AE6" w14:textId="77777777" w:rsidR="00104753" w:rsidRPr="00104753" w:rsidRDefault="00104753" w:rsidP="00104753">
            <w:pPr>
              <w:rPr>
                <w:szCs w:val="20"/>
                <w:lang w:val="en-US" w:eastAsia="en-US"/>
              </w:rPr>
            </w:pPr>
            <w:r w:rsidRPr="00104753">
              <w:rPr>
                <w:szCs w:val="20"/>
                <w:lang w:val="en-US" w:eastAsia="en-US"/>
              </w:rPr>
              <w:t>Stockholm</w:t>
            </w:r>
          </w:p>
        </w:tc>
        <w:tc>
          <w:tcPr>
            <w:tcW w:w="1258" w:type="dxa"/>
            <w:tcBorders>
              <w:top w:val="nil"/>
              <w:left w:val="nil"/>
              <w:bottom w:val="single" w:sz="4" w:space="0" w:color="auto"/>
              <w:right w:val="single" w:sz="4" w:space="0" w:color="auto"/>
            </w:tcBorders>
            <w:shd w:val="clear" w:color="auto" w:fill="auto"/>
            <w:noWrap/>
            <w:vAlign w:val="bottom"/>
            <w:hideMark/>
          </w:tcPr>
          <w:p w14:paraId="405F2353" w14:textId="3160EDDD" w:rsidR="00104753" w:rsidRPr="00104753" w:rsidRDefault="00104753" w:rsidP="00104753">
            <w:pPr>
              <w:rPr>
                <w:szCs w:val="20"/>
                <w:lang w:val="en-US" w:eastAsia="en-US"/>
              </w:rPr>
            </w:pPr>
            <w:r w:rsidRPr="00104753">
              <w:rPr>
                <w:szCs w:val="20"/>
                <w:lang w:val="en-US" w:eastAsia="en-US"/>
              </w:rPr>
              <w:t>98.7</w:t>
            </w:r>
          </w:p>
        </w:tc>
        <w:tc>
          <w:tcPr>
            <w:tcW w:w="1662" w:type="dxa"/>
            <w:tcBorders>
              <w:top w:val="nil"/>
              <w:left w:val="nil"/>
              <w:bottom w:val="single" w:sz="4" w:space="0" w:color="auto"/>
              <w:right w:val="single" w:sz="4" w:space="0" w:color="auto"/>
            </w:tcBorders>
            <w:shd w:val="clear" w:color="auto" w:fill="auto"/>
            <w:noWrap/>
            <w:vAlign w:val="bottom"/>
            <w:hideMark/>
          </w:tcPr>
          <w:p w14:paraId="1CDB02B8" w14:textId="77777777" w:rsidR="00104753" w:rsidRPr="00104753" w:rsidRDefault="00104753" w:rsidP="00104753">
            <w:pPr>
              <w:rPr>
                <w:szCs w:val="20"/>
                <w:lang w:val="en-US" w:eastAsia="en-US"/>
              </w:rPr>
            </w:pPr>
            <w:r w:rsidRPr="00104753">
              <w:rPr>
                <w:szCs w:val="20"/>
                <w:lang w:val="en-US" w:eastAsia="en-US"/>
              </w:rPr>
              <w:t>15.3</w:t>
            </w:r>
          </w:p>
        </w:tc>
        <w:tc>
          <w:tcPr>
            <w:tcW w:w="1120" w:type="dxa"/>
            <w:tcBorders>
              <w:top w:val="nil"/>
              <w:left w:val="nil"/>
              <w:bottom w:val="single" w:sz="4" w:space="0" w:color="auto"/>
              <w:right w:val="single" w:sz="4" w:space="0" w:color="auto"/>
            </w:tcBorders>
            <w:shd w:val="clear" w:color="auto" w:fill="auto"/>
            <w:noWrap/>
            <w:vAlign w:val="bottom"/>
            <w:hideMark/>
          </w:tcPr>
          <w:p w14:paraId="1903FEF9" w14:textId="77777777" w:rsidR="00104753" w:rsidRPr="00104753" w:rsidRDefault="00104753" w:rsidP="00104753">
            <w:pPr>
              <w:rPr>
                <w:szCs w:val="20"/>
                <w:lang w:val="en-US" w:eastAsia="en-US"/>
              </w:rPr>
            </w:pPr>
            <w:r w:rsidRPr="00104753">
              <w:rPr>
                <w:szCs w:val="20"/>
                <w:lang w:val="en-US" w:eastAsia="en-US"/>
              </w:rPr>
              <w:t>53.1</w:t>
            </w:r>
          </w:p>
        </w:tc>
      </w:tr>
      <w:tr w:rsidR="00104753" w:rsidRPr="00104753" w14:paraId="389E2D79"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46FE53B" w14:textId="77777777" w:rsidR="00104753" w:rsidRPr="00104753" w:rsidRDefault="00104753" w:rsidP="00104753">
            <w:pPr>
              <w:rPr>
                <w:szCs w:val="20"/>
                <w:lang w:val="en-US" w:eastAsia="en-US"/>
              </w:rPr>
            </w:pPr>
            <w:r w:rsidRPr="00104753">
              <w:rPr>
                <w:szCs w:val="20"/>
                <w:lang w:val="en-US" w:eastAsia="en-US"/>
              </w:rPr>
              <w:t>Turín</w:t>
            </w:r>
          </w:p>
        </w:tc>
        <w:tc>
          <w:tcPr>
            <w:tcW w:w="1258" w:type="dxa"/>
            <w:tcBorders>
              <w:top w:val="nil"/>
              <w:left w:val="nil"/>
              <w:bottom w:val="single" w:sz="4" w:space="0" w:color="auto"/>
              <w:right w:val="single" w:sz="4" w:space="0" w:color="auto"/>
            </w:tcBorders>
            <w:shd w:val="clear" w:color="auto" w:fill="auto"/>
            <w:noWrap/>
            <w:vAlign w:val="bottom"/>
            <w:hideMark/>
          </w:tcPr>
          <w:p w14:paraId="53B9A98D" w14:textId="7431EF99" w:rsidR="00104753" w:rsidRPr="00104753" w:rsidRDefault="00104753" w:rsidP="00104753">
            <w:pPr>
              <w:rPr>
                <w:szCs w:val="20"/>
                <w:lang w:val="en-US" w:eastAsia="en-US"/>
              </w:rPr>
            </w:pPr>
            <w:r w:rsidRPr="00104753">
              <w:rPr>
                <w:szCs w:val="20"/>
                <w:lang w:val="en-US" w:eastAsia="en-US"/>
              </w:rPr>
              <w:t>98.0</w:t>
            </w:r>
          </w:p>
        </w:tc>
        <w:tc>
          <w:tcPr>
            <w:tcW w:w="1662" w:type="dxa"/>
            <w:tcBorders>
              <w:top w:val="nil"/>
              <w:left w:val="nil"/>
              <w:bottom w:val="single" w:sz="4" w:space="0" w:color="auto"/>
              <w:right w:val="single" w:sz="4" w:space="0" w:color="auto"/>
            </w:tcBorders>
            <w:shd w:val="clear" w:color="auto" w:fill="auto"/>
            <w:noWrap/>
            <w:vAlign w:val="bottom"/>
            <w:hideMark/>
          </w:tcPr>
          <w:p w14:paraId="14AA6B01" w14:textId="77777777" w:rsidR="00104753" w:rsidRPr="00104753" w:rsidRDefault="00104753" w:rsidP="00104753">
            <w:pPr>
              <w:rPr>
                <w:szCs w:val="20"/>
                <w:lang w:val="en-US" w:eastAsia="en-US"/>
              </w:rPr>
            </w:pPr>
            <w:r w:rsidRPr="00104753">
              <w:rPr>
                <w:szCs w:val="20"/>
                <w:lang w:val="en-US" w:eastAsia="en-US"/>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68D7C49A" w14:textId="77777777" w:rsidR="00104753" w:rsidRPr="00104753" w:rsidRDefault="00104753" w:rsidP="00104753">
            <w:pPr>
              <w:rPr>
                <w:szCs w:val="20"/>
                <w:lang w:val="en-US" w:eastAsia="en-US"/>
              </w:rPr>
            </w:pPr>
            <w:r w:rsidRPr="00104753">
              <w:rPr>
                <w:szCs w:val="20"/>
                <w:lang w:val="en-US" w:eastAsia="en-US"/>
              </w:rPr>
              <w:t>22.5</w:t>
            </w:r>
          </w:p>
        </w:tc>
      </w:tr>
      <w:tr w:rsidR="00104753" w:rsidRPr="00104753" w14:paraId="067F9D7F"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7435985" w14:textId="77777777" w:rsidR="00104753" w:rsidRPr="00104753" w:rsidRDefault="00104753" w:rsidP="00104753">
            <w:pPr>
              <w:rPr>
                <w:szCs w:val="20"/>
                <w:lang w:val="en-US" w:eastAsia="en-US"/>
              </w:rPr>
            </w:pPr>
            <w:r w:rsidRPr="00104753">
              <w:rPr>
                <w:szCs w:val="20"/>
                <w:lang w:val="en-US" w:eastAsia="en-US"/>
              </w:rPr>
              <w:t>Vídeň</w:t>
            </w:r>
          </w:p>
        </w:tc>
        <w:tc>
          <w:tcPr>
            <w:tcW w:w="1258" w:type="dxa"/>
            <w:tcBorders>
              <w:top w:val="nil"/>
              <w:left w:val="nil"/>
              <w:bottom w:val="single" w:sz="4" w:space="0" w:color="auto"/>
              <w:right w:val="single" w:sz="4" w:space="0" w:color="auto"/>
            </w:tcBorders>
            <w:shd w:val="clear" w:color="auto" w:fill="auto"/>
            <w:noWrap/>
            <w:vAlign w:val="bottom"/>
            <w:hideMark/>
          </w:tcPr>
          <w:p w14:paraId="5DCDFFA2" w14:textId="329298DC" w:rsidR="00104753" w:rsidRPr="00104753" w:rsidRDefault="00104753" w:rsidP="00104753">
            <w:pPr>
              <w:rPr>
                <w:szCs w:val="20"/>
                <w:lang w:val="en-US" w:eastAsia="en-US"/>
              </w:rPr>
            </w:pPr>
            <w:r w:rsidRPr="00104753">
              <w:rPr>
                <w:szCs w:val="20"/>
                <w:lang w:val="en-US" w:eastAsia="en-US"/>
              </w:rPr>
              <w:t>99.4</w:t>
            </w:r>
          </w:p>
        </w:tc>
        <w:tc>
          <w:tcPr>
            <w:tcW w:w="1662" w:type="dxa"/>
            <w:tcBorders>
              <w:top w:val="nil"/>
              <w:left w:val="nil"/>
              <w:bottom w:val="single" w:sz="4" w:space="0" w:color="auto"/>
              <w:right w:val="single" w:sz="4" w:space="0" w:color="auto"/>
            </w:tcBorders>
            <w:shd w:val="clear" w:color="auto" w:fill="auto"/>
            <w:noWrap/>
            <w:vAlign w:val="bottom"/>
            <w:hideMark/>
          </w:tcPr>
          <w:p w14:paraId="42D4CC28" w14:textId="77777777" w:rsidR="00104753" w:rsidRPr="00104753" w:rsidRDefault="00104753" w:rsidP="00104753">
            <w:pPr>
              <w:rPr>
                <w:szCs w:val="20"/>
                <w:lang w:val="en-US" w:eastAsia="en-US"/>
              </w:rPr>
            </w:pPr>
            <w:r w:rsidRPr="00104753">
              <w:rPr>
                <w:szCs w:val="20"/>
                <w:lang w:val="en-US" w:eastAsia="en-US"/>
              </w:rPr>
              <w:t>73.6</w:t>
            </w:r>
          </w:p>
        </w:tc>
        <w:tc>
          <w:tcPr>
            <w:tcW w:w="1120" w:type="dxa"/>
            <w:tcBorders>
              <w:top w:val="nil"/>
              <w:left w:val="nil"/>
              <w:bottom w:val="single" w:sz="4" w:space="0" w:color="auto"/>
              <w:right w:val="single" w:sz="4" w:space="0" w:color="auto"/>
            </w:tcBorders>
            <w:shd w:val="clear" w:color="auto" w:fill="auto"/>
            <w:noWrap/>
            <w:vAlign w:val="bottom"/>
            <w:hideMark/>
          </w:tcPr>
          <w:p w14:paraId="78A9005B" w14:textId="77777777" w:rsidR="00104753" w:rsidRPr="00104753" w:rsidRDefault="00104753" w:rsidP="00104753">
            <w:pPr>
              <w:rPr>
                <w:szCs w:val="20"/>
                <w:lang w:val="en-US" w:eastAsia="en-US"/>
              </w:rPr>
            </w:pPr>
            <w:r w:rsidRPr="00104753">
              <w:rPr>
                <w:szCs w:val="20"/>
                <w:lang w:val="en-US" w:eastAsia="en-US"/>
              </w:rPr>
              <w:t>56.8</w:t>
            </w:r>
          </w:p>
        </w:tc>
      </w:tr>
      <w:tr w:rsidR="00104753" w:rsidRPr="00104753" w14:paraId="5E74DCF9" w14:textId="77777777" w:rsidTr="00104753">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8C9BD1E" w14:textId="77777777" w:rsidR="00104753" w:rsidRPr="00104753" w:rsidRDefault="00104753" w:rsidP="00104753">
            <w:pPr>
              <w:rPr>
                <w:szCs w:val="20"/>
                <w:lang w:val="en-US" w:eastAsia="en-US"/>
              </w:rPr>
            </w:pPr>
            <w:r w:rsidRPr="00104753">
              <w:rPr>
                <w:szCs w:val="20"/>
                <w:lang w:val="en-US" w:eastAsia="en-US"/>
              </w:rPr>
              <w:t>Záhřeb</w:t>
            </w:r>
          </w:p>
        </w:tc>
        <w:tc>
          <w:tcPr>
            <w:tcW w:w="1258" w:type="dxa"/>
            <w:tcBorders>
              <w:top w:val="nil"/>
              <w:left w:val="nil"/>
              <w:bottom w:val="single" w:sz="4" w:space="0" w:color="auto"/>
              <w:right w:val="single" w:sz="4" w:space="0" w:color="auto"/>
            </w:tcBorders>
            <w:shd w:val="clear" w:color="auto" w:fill="auto"/>
            <w:noWrap/>
            <w:vAlign w:val="bottom"/>
            <w:hideMark/>
          </w:tcPr>
          <w:p w14:paraId="1E6919A4" w14:textId="1C1B5290" w:rsidR="00104753" w:rsidRPr="00104753" w:rsidRDefault="00104753" w:rsidP="00104753">
            <w:pPr>
              <w:rPr>
                <w:szCs w:val="20"/>
                <w:lang w:val="en-US" w:eastAsia="en-US"/>
              </w:rPr>
            </w:pPr>
            <w:r w:rsidRPr="00104753">
              <w:rPr>
                <w:szCs w:val="20"/>
                <w:lang w:val="en-US" w:eastAsia="en-US"/>
              </w:rPr>
              <w:t>83.7</w:t>
            </w:r>
          </w:p>
        </w:tc>
        <w:tc>
          <w:tcPr>
            <w:tcW w:w="1662" w:type="dxa"/>
            <w:tcBorders>
              <w:top w:val="nil"/>
              <w:left w:val="nil"/>
              <w:bottom w:val="single" w:sz="4" w:space="0" w:color="auto"/>
              <w:right w:val="single" w:sz="4" w:space="0" w:color="auto"/>
            </w:tcBorders>
            <w:shd w:val="clear" w:color="auto" w:fill="auto"/>
            <w:noWrap/>
            <w:vAlign w:val="bottom"/>
            <w:hideMark/>
          </w:tcPr>
          <w:p w14:paraId="41097814" w14:textId="77777777" w:rsidR="00104753" w:rsidRPr="00104753" w:rsidRDefault="00104753" w:rsidP="00104753">
            <w:pPr>
              <w:rPr>
                <w:szCs w:val="20"/>
                <w:lang w:val="en-US" w:eastAsia="en-US"/>
              </w:rPr>
            </w:pPr>
            <w:r w:rsidRPr="00104753">
              <w:rPr>
                <w:szCs w:val="20"/>
                <w:lang w:val="en-US" w:eastAsia="en-US"/>
              </w:rPr>
              <w:t>62.0</w:t>
            </w:r>
          </w:p>
        </w:tc>
        <w:tc>
          <w:tcPr>
            <w:tcW w:w="1120" w:type="dxa"/>
            <w:tcBorders>
              <w:top w:val="nil"/>
              <w:left w:val="nil"/>
              <w:bottom w:val="single" w:sz="4" w:space="0" w:color="auto"/>
              <w:right w:val="single" w:sz="4" w:space="0" w:color="auto"/>
            </w:tcBorders>
            <w:shd w:val="clear" w:color="auto" w:fill="auto"/>
            <w:noWrap/>
            <w:vAlign w:val="bottom"/>
            <w:hideMark/>
          </w:tcPr>
          <w:p w14:paraId="23506664" w14:textId="77777777" w:rsidR="00104753" w:rsidRPr="00104753" w:rsidRDefault="00104753" w:rsidP="00104753">
            <w:pPr>
              <w:rPr>
                <w:szCs w:val="20"/>
                <w:lang w:val="en-US" w:eastAsia="en-US"/>
              </w:rPr>
            </w:pPr>
            <w:r w:rsidRPr="00104753">
              <w:rPr>
                <w:szCs w:val="20"/>
                <w:lang w:val="en-US" w:eastAsia="en-US"/>
              </w:rPr>
              <w:t>0.0</w:t>
            </w:r>
          </w:p>
        </w:tc>
      </w:tr>
    </w:tbl>
    <w:p w14:paraId="0A518130" w14:textId="14892315" w:rsidR="00D55994" w:rsidRDefault="00D55994" w:rsidP="00005BBA">
      <w:pPr>
        <w:pStyle w:val="Titulek"/>
      </w:pPr>
    </w:p>
    <w:p w14:paraId="2AF8539C" w14:textId="77777777" w:rsidR="009D71CC" w:rsidRDefault="00CB7CE8">
      <w:pPr>
        <w:tabs>
          <w:tab w:val="left" w:pos="358"/>
        </w:tabs>
      </w:pPr>
      <w:r>
        <w:t xml:space="preserve">Výsledkem analýzy obslužnosti jsou procentuální dosahy jednotlivých typů městské hromadné dopravy. Byly také vytvořeny histogramy ploch obslužnosti. Výsledné histogramy byly hodnoceny v software Orange pomocí </w:t>
      </w:r>
      <w:r>
        <w:rPr>
          <w:i/>
          <w:iCs/>
        </w:rPr>
        <w:t xml:space="preserve">Image Analytics </w:t>
      </w:r>
      <w:r>
        <w:t>(</w:t>
      </w:r>
      <w:r>
        <w:fldChar w:fldCharType="begin"/>
      </w:r>
      <w:r>
        <w:instrText xml:space="preserve"> REF _Ref133960057 \h </w:instrText>
      </w:r>
      <w:r>
        <w:fldChar w:fldCharType="separate"/>
      </w:r>
      <w:r>
        <w:t>Obr. 5</w:t>
      </w:r>
      <w:r>
        <w:fldChar w:fldCharType="end"/>
      </w:r>
      <w:r>
        <w:t>). Histogramy jsou uloženy jako přílohy zabalené ve formátu ZIP. Grafy nemají titul, protože by to mohlo ovlivnit výsledek analýzy. Jejich anotace (jméno) je uloženo v názvu souboru.</w:t>
      </w:r>
    </w:p>
    <w:p w14:paraId="13AC5D51" w14:textId="77777777" w:rsidR="009D71CC" w:rsidRDefault="00CB7CE8">
      <w:pPr>
        <w:pStyle w:val="Nadpis3"/>
      </w:pPr>
      <w:bookmarkStart w:id="80" w:name="_Toc133611823"/>
      <w:bookmarkStart w:id="81" w:name="_Toc133957939"/>
      <w:bookmarkStart w:id="82" w:name="_Toc143013755"/>
      <w:r>
        <w:lastRenderedPageBreak/>
        <w:t>Strukturní analýza</w:t>
      </w:r>
      <w:bookmarkEnd w:id="80"/>
      <w:bookmarkEnd w:id="81"/>
      <w:bookmarkEnd w:id="82"/>
    </w:p>
    <w:p w14:paraId="62ACB32D" w14:textId="77777777" w:rsidR="00A06CA4" w:rsidRDefault="00A06CA4" w:rsidP="00A06CA4">
      <w:pPr>
        <w:pStyle w:val="NormlnOdstavec"/>
        <w:ind w:firstLine="0"/>
      </w:pPr>
      <w:r w:rsidRPr="00A06CA4">
        <w:t>Strukturní analýza železniční sítě měla za úkol zkoumat a posuzovat různé faktory týkající se železniční infrastruktury, tratí a provozu. Hlavním cílem této analýzy bylo odhalit charakteristiku a uspořádání železniční sítě v rámci města a zhodnotit, jak efektivně tato síť funguje.</w:t>
      </w:r>
    </w:p>
    <w:p w14:paraId="5684B781" w14:textId="0E90C39A" w:rsidR="009D71CC" w:rsidRDefault="00CB7CE8" w:rsidP="00D977AE">
      <w:pPr>
        <w:pStyle w:val="NormlnOdstavec"/>
      </w:pPr>
      <w:r>
        <w:t xml:space="preserve">Z důvodu nedostatku kvalitních statistických zdrojů informací o městské hromadné dopravě, byla stažena data z databáze OpenStreetMap pomocí Python knihovny </w:t>
      </w:r>
      <w:r>
        <w:rPr>
          <w:i/>
          <w:iCs/>
        </w:rPr>
        <w:t>OSMnx</w:t>
      </w:r>
      <w:r>
        <w:t xml:space="preserve"> a nástroje </w:t>
      </w:r>
      <w:r>
        <w:rPr>
          <w:i/>
          <w:iCs/>
        </w:rPr>
        <w:t>geometries_from_polygon</w:t>
      </w:r>
      <w:r>
        <w:t>. Pro stažené data sety byly vypočítány následující statistické míry:</w:t>
      </w:r>
    </w:p>
    <w:p w14:paraId="3C80A9DA" w14:textId="77777777" w:rsidR="009D71CC" w:rsidRDefault="00CB7CE8">
      <w:pPr>
        <w:numPr>
          <w:ilvl w:val="0"/>
          <w:numId w:val="7"/>
        </w:numPr>
        <w:tabs>
          <w:tab w:val="clear" w:pos="720"/>
          <w:tab w:val="left" w:pos="358"/>
        </w:tabs>
      </w:pPr>
      <w:r>
        <w:t>Poměr počtu zastávek a počtu obyvatel ve městě</w:t>
      </w:r>
    </w:p>
    <w:p w14:paraId="2F00EFCE" w14:textId="77777777" w:rsidR="009D71CC" w:rsidRDefault="00CB7CE8">
      <w:pPr>
        <w:numPr>
          <w:ilvl w:val="0"/>
          <w:numId w:val="7"/>
        </w:numPr>
        <w:tabs>
          <w:tab w:val="clear" w:pos="720"/>
          <w:tab w:val="left" w:pos="358"/>
        </w:tabs>
      </w:pPr>
      <w:r>
        <w:t>Délku tratí přepočítána na počet obyvatel</w:t>
      </w:r>
    </w:p>
    <w:p w14:paraId="51FC82FC" w14:textId="77777777" w:rsidR="009D71CC" w:rsidRDefault="00CB7CE8">
      <w:pPr>
        <w:numPr>
          <w:ilvl w:val="0"/>
          <w:numId w:val="7"/>
        </w:numPr>
        <w:tabs>
          <w:tab w:val="clear" w:pos="720"/>
          <w:tab w:val="left" w:pos="358"/>
        </w:tabs>
      </w:pPr>
      <w:r>
        <w:t>Délku tratí přepočítána na plochu města</w:t>
      </w:r>
    </w:p>
    <w:p w14:paraId="5F39CC85" w14:textId="77777777" w:rsidR="009D71CC" w:rsidRDefault="00CB7CE8">
      <w:pPr>
        <w:numPr>
          <w:ilvl w:val="0"/>
          <w:numId w:val="7"/>
        </w:numPr>
        <w:tabs>
          <w:tab w:val="clear" w:pos="720"/>
          <w:tab w:val="left" w:pos="358"/>
        </w:tabs>
      </w:pPr>
      <w:r>
        <w:t>Poměr počtu linek a počtu obyvatel ve městě</w:t>
      </w:r>
    </w:p>
    <w:p w14:paraId="4767F564" w14:textId="77777777" w:rsidR="009D71CC" w:rsidRDefault="00CB7CE8">
      <w:pPr>
        <w:tabs>
          <w:tab w:val="left" w:pos="358"/>
        </w:tabs>
      </w:pPr>
      <w:r>
        <w:t>Výsledkem strukturní analýzy jsou grafy zobrazující srovnání městské hromadné dopravy v jednotlivých městech a tabulka zkoumaných atributů.</w:t>
      </w:r>
    </w:p>
    <w:p w14:paraId="7A3DC674" w14:textId="77777777" w:rsidR="009D71CC" w:rsidRDefault="00CB7CE8">
      <w:pPr>
        <w:pStyle w:val="Nadpis2"/>
      </w:pPr>
      <w:bookmarkStart w:id="83" w:name="_Toc133611824"/>
      <w:bookmarkStart w:id="84" w:name="_Toc133957940"/>
      <w:bookmarkStart w:id="85" w:name="_Toc143013756"/>
      <w:r>
        <w:t>Silniční síť</w:t>
      </w:r>
      <w:bookmarkEnd w:id="83"/>
      <w:bookmarkEnd w:id="84"/>
      <w:bookmarkEnd w:id="85"/>
    </w:p>
    <w:p w14:paraId="44E76261" w14:textId="798D8766" w:rsidR="004D2494" w:rsidRDefault="00CB7CE8">
      <w:r>
        <w:t>Analýza silniční sítě je důležitým prvkem plánování a správy dopravy. Tato studie se zaměřuje na posouzení hierarchie, nodality a tvarových metrik silniční sítě a umožňuje identifikovat důležité oblasti. Jedním z nejdůležitějších aspektů analýzy silniční sítě je určení propojenosti a centrality jednotlivých silnic.</w:t>
      </w:r>
    </w:p>
    <w:p w14:paraId="48FBFF18" w14:textId="77777777" w:rsidR="009D71CC" w:rsidRDefault="00CB7CE8">
      <w:pPr>
        <w:pStyle w:val="Nadpis4"/>
      </w:pPr>
      <w:r>
        <w:t>Hierarchie</w:t>
      </w:r>
    </w:p>
    <w:p w14:paraId="06760A19" w14:textId="77777777" w:rsidR="009D71CC" w:rsidRDefault="00CB7CE8">
      <w:pPr>
        <w:tabs>
          <w:tab w:val="left" w:pos="358"/>
        </w:tabs>
      </w:pPr>
      <w:r>
        <w:t>Dobře naplánované město má efektivní dopravní systém, což lze dosáhnout pouze tehdy, když je urbanista obeznámen s hierarchií různých komunikací. Urbanista a architekt tak musí znát hierarchii silnic v městských i venkovských oblastech.</w:t>
      </w:r>
    </w:p>
    <w:tbl>
      <w:tblPr>
        <w:tblStyle w:val="Mkatabulky"/>
        <w:tblW w:w="8735" w:type="dxa"/>
        <w:tblLayout w:type="fixed"/>
        <w:tblLook w:val="04A0" w:firstRow="1" w:lastRow="0" w:firstColumn="1" w:lastColumn="0" w:noHBand="0" w:noVBand="1"/>
      </w:tblPr>
      <w:tblGrid>
        <w:gridCol w:w="1636"/>
        <w:gridCol w:w="7099"/>
      </w:tblGrid>
      <w:tr w:rsidR="009D71CC" w14:paraId="3794705F" w14:textId="77777777">
        <w:trPr>
          <w:trHeight w:val="450"/>
        </w:trPr>
        <w:tc>
          <w:tcPr>
            <w:tcW w:w="1636" w:type="dxa"/>
          </w:tcPr>
          <w:p w14:paraId="796E1468" w14:textId="77777777" w:rsidR="009D71CC" w:rsidRDefault="00CB7CE8">
            <w:pPr>
              <w:widowControl w:val="0"/>
              <w:ind w:left="89"/>
              <w:rPr>
                <w:b/>
                <w:bCs/>
              </w:rPr>
            </w:pPr>
            <w:r>
              <w:rPr>
                <w:b/>
                <w:bCs/>
              </w:rPr>
              <w:t>Typ silnice</w:t>
            </w:r>
          </w:p>
        </w:tc>
        <w:tc>
          <w:tcPr>
            <w:tcW w:w="7098" w:type="dxa"/>
          </w:tcPr>
          <w:p w14:paraId="0F11C3E2" w14:textId="77777777" w:rsidR="009D71CC" w:rsidRDefault="00CB7CE8">
            <w:pPr>
              <w:widowControl w:val="0"/>
              <w:ind w:left="89" w:right="89"/>
              <w:rPr>
                <w:b/>
                <w:bCs/>
              </w:rPr>
            </w:pPr>
            <w:r>
              <w:rPr>
                <w:b/>
                <w:bCs/>
              </w:rPr>
              <w:t>Popis typu silnice</w:t>
            </w:r>
          </w:p>
        </w:tc>
      </w:tr>
      <w:tr w:rsidR="009D71CC" w14:paraId="56C37B94" w14:textId="77777777">
        <w:trPr>
          <w:trHeight w:val="706"/>
        </w:trPr>
        <w:tc>
          <w:tcPr>
            <w:tcW w:w="1636" w:type="dxa"/>
          </w:tcPr>
          <w:p w14:paraId="54A7B9FD" w14:textId="77777777" w:rsidR="009D71CC" w:rsidRDefault="00CB7CE8">
            <w:pPr>
              <w:widowControl w:val="0"/>
              <w:ind w:left="89"/>
            </w:pPr>
            <w:r>
              <w:t>Motorway</w:t>
            </w:r>
          </w:p>
        </w:tc>
        <w:tc>
          <w:tcPr>
            <w:tcW w:w="7098" w:type="dxa"/>
          </w:tcPr>
          <w:p w14:paraId="4196F1B5" w14:textId="77777777" w:rsidR="009D71CC" w:rsidRDefault="00CB7CE8">
            <w:pPr>
              <w:widowControl w:val="0"/>
              <w:ind w:left="89" w:right="89"/>
            </w:pPr>
            <w:r>
              <w:t>Hlavní rozdělená dálnice s omezeným přístupem, obvykle se dvěma nebo více jízdními pruhy a nouzovou zpevněnou krajnicí.</w:t>
            </w:r>
          </w:p>
        </w:tc>
      </w:tr>
      <w:tr w:rsidR="009D71CC" w14:paraId="739B8EC2" w14:textId="77777777">
        <w:trPr>
          <w:trHeight w:val="490"/>
        </w:trPr>
        <w:tc>
          <w:tcPr>
            <w:tcW w:w="1636" w:type="dxa"/>
          </w:tcPr>
          <w:p w14:paraId="2468B9E7" w14:textId="77777777" w:rsidR="009D71CC" w:rsidRDefault="00CB7CE8">
            <w:pPr>
              <w:widowControl w:val="0"/>
              <w:ind w:left="89"/>
            </w:pPr>
            <w:r>
              <w:t>Trunk</w:t>
            </w:r>
          </w:p>
        </w:tc>
        <w:tc>
          <w:tcPr>
            <w:tcW w:w="7098" w:type="dxa"/>
          </w:tcPr>
          <w:p w14:paraId="60B0A44A" w14:textId="77777777" w:rsidR="009D71CC" w:rsidRDefault="00CB7CE8">
            <w:pPr>
              <w:widowControl w:val="0"/>
              <w:ind w:left="89" w:right="89"/>
            </w:pPr>
            <w:r>
              <w:t>Nejdůležitější silnice v systému země, které nejsou dálnicemi.</w:t>
            </w:r>
          </w:p>
        </w:tc>
      </w:tr>
      <w:tr w:rsidR="009D71CC" w14:paraId="62545662" w14:textId="77777777">
        <w:trPr>
          <w:trHeight w:val="469"/>
        </w:trPr>
        <w:tc>
          <w:tcPr>
            <w:tcW w:w="1636" w:type="dxa"/>
          </w:tcPr>
          <w:p w14:paraId="31C0AD8D" w14:textId="77777777" w:rsidR="009D71CC" w:rsidRDefault="00CB7CE8">
            <w:pPr>
              <w:widowControl w:val="0"/>
              <w:ind w:left="89"/>
            </w:pPr>
            <w:r>
              <w:t>Primary</w:t>
            </w:r>
          </w:p>
        </w:tc>
        <w:tc>
          <w:tcPr>
            <w:tcW w:w="7098" w:type="dxa"/>
          </w:tcPr>
          <w:p w14:paraId="47CEC47A" w14:textId="77777777" w:rsidR="009D71CC" w:rsidRDefault="00CB7CE8">
            <w:pPr>
              <w:widowControl w:val="0"/>
              <w:ind w:left="89" w:right="89"/>
            </w:pPr>
            <w:r>
              <w:t>3. nejdůležitější silnice v systému země.</w:t>
            </w:r>
          </w:p>
        </w:tc>
      </w:tr>
      <w:tr w:rsidR="009D71CC" w14:paraId="1ED2E303" w14:textId="77777777">
        <w:trPr>
          <w:trHeight w:val="460"/>
        </w:trPr>
        <w:tc>
          <w:tcPr>
            <w:tcW w:w="1636" w:type="dxa"/>
          </w:tcPr>
          <w:p w14:paraId="5882D42D" w14:textId="77777777" w:rsidR="009D71CC" w:rsidRDefault="00CB7CE8">
            <w:pPr>
              <w:widowControl w:val="0"/>
              <w:ind w:left="89"/>
            </w:pPr>
            <w:r>
              <w:t>Secondary</w:t>
            </w:r>
          </w:p>
        </w:tc>
        <w:tc>
          <w:tcPr>
            <w:tcW w:w="7098" w:type="dxa"/>
          </w:tcPr>
          <w:p w14:paraId="2E12B5BD" w14:textId="77777777" w:rsidR="009D71CC" w:rsidRDefault="00CB7CE8">
            <w:pPr>
              <w:widowControl w:val="0"/>
              <w:ind w:left="89" w:right="89"/>
            </w:pPr>
            <w:r>
              <w:t>4. nejdůležitější silnice v systému země.</w:t>
            </w:r>
          </w:p>
        </w:tc>
      </w:tr>
      <w:tr w:rsidR="009D71CC" w14:paraId="2C9C02B7" w14:textId="77777777">
        <w:trPr>
          <w:trHeight w:val="440"/>
        </w:trPr>
        <w:tc>
          <w:tcPr>
            <w:tcW w:w="1636" w:type="dxa"/>
          </w:tcPr>
          <w:p w14:paraId="1B5BAB48" w14:textId="77777777" w:rsidR="009D71CC" w:rsidRDefault="00CB7CE8">
            <w:pPr>
              <w:widowControl w:val="0"/>
              <w:ind w:left="89"/>
            </w:pPr>
            <w:r>
              <w:t>Tertiary</w:t>
            </w:r>
          </w:p>
        </w:tc>
        <w:tc>
          <w:tcPr>
            <w:tcW w:w="7098" w:type="dxa"/>
          </w:tcPr>
          <w:p w14:paraId="26C69DAF" w14:textId="77777777" w:rsidR="009D71CC" w:rsidRDefault="00CB7CE8">
            <w:pPr>
              <w:widowControl w:val="0"/>
              <w:ind w:left="89" w:right="89"/>
            </w:pPr>
            <w:r>
              <w:t>5. nejdůležitější silnice v systému země.</w:t>
            </w:r>
          </w:p>
        </w:tc>
      </w:tr>
      <w:tr w:rsidR="009D71CC" w14:paraId="238B2446" w14:textId="77777777">
        <w:trPr>
          <w:trHeight w:val="511"/>
        </w:trPr>
        <w:tc>
          <w:tcPr>
            <w:tcW w:w="1636" w:type="dxa"/>
          </w:tcPr>
          <w:p w14:paraId="7820EC89" w14:textId="77777777" w:rsidR="009D71CC" w:rsidRDefault="00CB7CE8">
            <w:pPr>
              <w:widowControl w:val="0"/>
              <w:ind w:left="89"/>
            </w:pPr>
            <w:r>
              <w:t>Unclassified</w:t>
            </w:r>
          </w:p>
        </w:tc>
        <w:tc>
          <w:tcPr>
            <w:tcW w:w="7098" w:type="dxa"/>
          </w:tcPr>
          <w:p w14:paraId="221F3D9B" w14:textId="77777777" w:rsidR="009D71CC" w:rsidRDefault="00CB7CE8">
            <w:pPr>
              <w:widowControl w:val="0"/>
              <w:ind w:left="89" w:right="89"/>
            </w:pPr>
            <w:r>
              <w:t>Nejméně důležitá silnice v</w:t>
            </w:r>
            <w:r>
              <w:rPr>
                <w:rFonts w:ascii="Times New Roman" w:hAnsi="Times New Roman"/>
              </w:rPr>
              <w:t> </w:t>
            </w:r>
            <w:r>
              <w:t>syst</w:t>
            </w:r>
            <w:r>
              <w:rPr>
                <w:rFonts w:cs="Bookman Old Style"/>
              </w:rPr>
              <w:t>é</w:t>
            </w:r>
            <w:r>
              <w:t>mu zem</w:t>
            </w:r>
            <w:r>
              <w:rPr>
                <w:rFonts w:cs="Bookman Old Style"/>
              </w:rPr>
              <w:t>ě</w:t>
            </w:r>
            <w:r>
              <w:t>.</w:t>
            </w:r>
          </w:p>
        </w:tc>
      </w:tr>
      <w:tr w:rsidR="009D71CC" w14:paraId="37051A06" w14:textId="77777777">
        <w:trPr>
          <w:trHeight w:val="789"/>
        </w:trPr>
        <w:tc>
          <w:tcPr>
            <w:tcW w:w="1636" w:type="dxa"/>
          </w:tcPr>
          <w:p w14:paraId="2BFB576A" w14:textId="77777777" w:rsidR="009D71CC" w:rsidRDefault="00CB7CE8">
            <w:pPr>
              <w:widowControl w:val="0"/>
              <w:ind w:left="89"/>
            </w:pPr>
            <w:r>
              <w:t>Residental</w:t>
            </w:r>
          </w:p>
        </w:tc>
        <w:tc>
          <w:tcPr>
            <w:tcW w:w="7098" w:type="dxa"/>
          </w:tcPr>
          <w:p w14:paraId="64554A02" w14:textId="77777777" w:rsidR="009D71CC" w:rsidRDefault="00CB7CE8">
            <w:pPr>
              <w:keepNext/>
              <w:widowControl w:val="0"/>
              <w:ind w:left="89" w:right="89"/>
            </w:pPr>
            <w:r>
              <w:t>Komunikace, které slouží jako přístup k bydlení, bez funkce spojování sídel. Často lemované bydlením.</w:t>
            </w:r>
          </w:p>
        </w:tc>
      </w:tr>
    </w:tbl>
    <w:p w14:paraId="59C43637" w14:textId="1F0D4526" w:rsidR="009D71CC" w:rsidRDefault="00CB7CE8">
      <w:pPr>
        <w:pStyle w:val="Obrazek"/>
      </w:pPr>
      <w:r>
        <w:t xml:space="preserve">Tab. </w:t>
      </w:r>
      <w:fldSimple w:instr=" SEQ Tab. \* ARABIC ">
        <w:r w:rsidR="00005BBA">
          <w:rPr>
            <w:noProof/>
          </w:rPr>
          <w:t>5</w:t>
        </w:r>
      </w:fldSimple>
      <w:r>
        <w:t xml:space="preserve"> Hierarchie silniční sítě podle OpenStreetmap</w:t>
      </w:r>
    </w:p>
    <w:p w14:paraId="5760B43F" w14:textId="77777777" w:rsidR="009D71CC" w:rsidRDefault="00CB7CE8">
      <w:pPr>
        <w:tabs>
          <w:tab w:val="left" w:pos="358"/>
        </w:tabs>
        <w:jc w:val="left"/>
      </w:pPr>
      <w:r>
        <w:tab/>
        <w:t>Hierarchie silnic je schéma pro kategorizaci silnic do skupin na základě řady faktorů, jako je například vytíženost, kapacita, účel nebo typ povrchu. V diplomové práci byla použita hierarchie silnic podle OpenStreetMap.</w:t>
      </w:r>
    </w:p>
    <w:p w14:paraId="33EFADAE" w14:textId="77777777" w:rsidR="009D71CC" w:rsidRDefault="00CB7CE8">
      <w:pPr>
        <w:pStyle w:val="Nadpis4"/>
      </w:pPr>
      <w:r>
        <w:lastRenderedPageBreak/>
        <w:t>Geometrické a topologické míry silniční sítě</w:t>
      </w:r>
    </w:p>
    <w:p w14:paraId="0CE6A90E" w14:textId="77777777" w:rsidR="009D71CC" w:rsidRDefault="00CB7CE8">
      <w:r>
        <w:t>Důležitým aspektem silniční sítě jsou geometrické a topologické metriky. Nástroj OSMnX počítá všechny metriky, tedy i ty, které udávají absolutní hodnotu a jsou tedy ovlivněny počtem obyvatel nebo rozlohou. Z tohoto důvodu byly vybrány pouze metriky vztažené.</w:t>
      </w:r>
    </w:p>
    <w:p w14:paraId="07F04473" w14:textId="77777777" w:rsidR="009D71CC" w:rsidRDefault="00CB7CE8">
      <w:pPr>
        <w:tabs>
          <w:tab w:val="left" w:pos="364"/>
        </w:tabs>
      </w:pPr>
      <w:r>
        <w:tab/>
        <w:t>Nástroj OSMnX uvažuje silniční síť jako reprezentaci hran v neorientovaném grafu. Použití neorientovaných hran grafu zabraňuje dvojímu započítávání obousměrných hran obousměrné ulice, ale může dvojnásobně započítávat samostatné osy rozdělených silnic s různými koncovými uzly. V rámci diplomové práce byly počítány následující metriky:</w:t>
      </w:r>
    </w:p>
    <w:p w14:paraId="277E9265" w14:textId="77777777" w:rsidR="009D71CC" w:rsidRDefault="00CB7CE8">
      <w:pPr>
        <w:numPr>
          <w:ilvl w:val="0"/>
          <w:numId w:val="12"/>
        </w:numPr>
        <w:tabs>
          <w:tab w:val="clear" w:pos="720"/>
          <w:tab w:val="left" w:pos="364"/>
        </w:tabs>
      </w:pPr>
      <w:r>
        <w:rPr>
          <w:i/>
          <w:iCs/>
        </w:rPr>
        <w:t>circuity_avg</w:t>
      </w:r>
      <w:r>
        <w:t xml:space="preserve"> – Výpočet průměrného okruhu ulic pomocí hran neorientovaného grafu. Kruhovitost je součet délek hran dělený součtem přímých vzdáleností mezi koncovými body hran. Přímá vzdálenost se vypočítá jako euklidovská vzdálenost, pokud se promítá, nebo jako vzdálenost velkých kružnic, pokud se nepromítá. </w:t>
      </w:r>
    </w:p>
    <w:p w14:paraId="3DC30362" w14:textId="77777777" w:rsidR="009D71CC" w:rsidRDefault="00CB7CE8">
      <w:pPr>
        <w:numPr>
          <w:ilvl w:val="0"/>
          <w:numId w:val="12"/>
        </w:numPr>
        <w:tabs>
          <w:tab w:val="clear" w:pos="720"/>
          <w:tab w:val="left" w:pos="364"/>
        </w:tabs>
      </w:pPr>
      <w:r>
        <w:rPr>
          <w:i/>
          <w:iCs/>
        </w:rPr>
        <w:t>edge_length_avg</w:t>
      </w:r>
      <w:r>
        <w:t xml:space="preserve"> – Průměrná délka linie grafu v metrech. </w:t>
      </w:r>
    </w:p>
    <w:p w14:paraId="7D65A682" w14:textId="77777777" w:rsidR="009D71CC" w:rsidRDefault="00CB7CE8">
      <w:pPr>
        <w:numPr>
          <w:ilvl w:val="0"/>
          <w:numId w:val="12"/>
        </w:numPr>
        <w:tabs>
          <w:tab w:val="clear" w:pos="720"/>
          <w:tab w:val="left" w:pos="364"/>
        </w:tabs>
      </w:pPr>
      <w:r>
        <w:rPr>
          <w:i/>
          <w:iCs/>
        </w:rPr>
        <w:t>k_avg</w:t>
      </w:r>
      <w:r>
        <w:t xml:space="preserve"> – Průměrný stupeň nodu. </w:t>
      </w:r>
    </w:p>
    <w:p w14:paraId="3FB1B63F" w14:textId="77777777" w:rsidR="009D71CC" w:rsidRDefault="00CB7CE8">
      <w:pPr>
        <w:numPr>
          <w:ilvl w:val="0"/>
          <w:numId w:val="12"/>
        </w:numPr>
        <w:tabs>
          <w:tab w:val="clear" w:pos="720"/>
          <w:tab w:val="left" w:pos="364"/>
        </w:tabs>
      </w:pPr>
      <w:r>
        <w:rPr>
          <w:i/>
          <w:iCs/>
        </w:rPr>
        <w:t>self_loop_proportion</w:t>
      </w:r>
      <w:r>
        <w:t xml:space="preserve"> – Procentuální počet hran, které jsou v grafu samo-smyčkami. Samo-smyčka je definována jako hrana z uzlu u do uzlu v, kde </w:t>
      </w:r>
      <w:r>
        <w:rPr>
          <w:i/>
          <w:iCs/>
        </w:rPr>
        <w:t>u==v</w:t>
      </w:r>
      <w:r>
        <w:t xml:space="preserve">. </w:t>
      </w:r>
    </w:p>
    <w:p w14:paraId="1FA973D1" w14:textId="77777777" w:rsidR="009D71CC" w:rsidRDefault="00CB7CE8">
      <w:pPr>
        <w:numPr>
          <w:ilvl w:val="0"/>
          <w:numId w:val="12"/>
        </w:numPr>
        <w:tabs>
          <w:tab w:val="clear" w:pos="720"/>
          <w:tab w:val="left" w:pos="364"/>
        </w:tabs>
      </w:pPr>
      <w:r>
        <w:rPr>
          <w:i/>
          <w:iCs/>
        </w:rPr>
        <w:t>street_length_avg</w:t>
      </w:r>
      <w:r>
        <w:t xml:space="preserve"> – Průměrná délka ulic. </w:t>
      </w:r>
    </w:p>
    <w:p w14:paraId="42CCE61A" w14:textId="77777777" w:rsidR="009D71CC" w:rsidRDefault="00CB7CE8">
      <w:pPr>
        <w:numPr>
          <w:ilvl w:val="0"/>
          <w:numId w:val="12"/>
        </w:numPr>
        <w:tabs>
          <w:tab w:val="clear" w:pos="720"/>
          <w:tab w:val="left" w:pos="364"/>
        </w:tabs>
      </w:pPr>
      <w:r>
        <w:rPr>
          <w:i/>
          <w:iCs/>
        </w:rPr>
        <w:t>streets_per_node_avg</w:t>
      </w:r>
      <w:r>
        <w:t xml:space="preserve"> – Průměrný počet ulic na uzel grafu. </w:t>
      </w:r>
    </w:p>
    <w:p w14:paraId="49A450BB" w14:textId="77777777" w:rsidR="009D71CC" w:rsidRDefault="00CB7CE8">
      <w:pPr>
        <w:tabs>
          <w:tab w:val="left" w:pos="364"/>
        </w:tabs>
      </w:pPr>
      <w:r>
        <w:tab/>
        <w:t>Geometrické a topologické míry silniční sítě poskytují odborníkům přehled o městě jako celku. Pomocí statistických nástrojů mohou města rozdělit do několika kategorií a následně hodnotit podobnost na úrovni městských částí.</w:t>
      </w:r>
    </w:p>
    <w:p w14:paraId="3FB9F53E" w14:textId="77777777" w:rsidR="009D71CC" w:rsidRDefault="00CB7CE8">
      <w:pPr>
        <w:pStyle w:val="Nadpis4"/>
      </w:pPr>
      <w:r>
        <w:t>Orientace silniční sítě</w:t>
      </w:r>
    </w:p>
    <w:p w14:paraId="5C022729" w14:textId="77777777" w:rsidR="009D71CC" w:rsidRDefault="00CB7CE8">
      <w:r>
        <w:t>Orientace a geometrie sítí hraje v městském plánování od jeho počátků nadstandardní roli (Smith, 2007). Uliční sítě organizují a omezují dynamiku dopravy ve městě podle určité prostorové logiky – plánované či neplánované, uspořádané či neuspořádané. Dřívější studie tohoto prostorového uspořádání byly zpochybňovány malými vzorky, omezenými geografickými oblastmi a abstraktními ukazateli entropie.</w:t>
      </w:r>
    </w:p>
    <w:p w14:paraId="59A52F5A" w14:textId="77777777" w:rsidR="009D71CC" w:rsidRDefault="00CB7CE8">
      <w:pPr>
        <w:tabs>
          <w:tab w:val="left" w:pos="364"/>
        </w:tabs>
      </w:pPr>
      <w:r>
        <w:tab/>
        <w:t>Studie Geoffa Boeinga z roku 2019 „</w:t>
      </w:r>
      <w:r>
        <w:rPr>
          <w:i/>
          <w:iCs/>
        </w:rPr>
        <w:t>Urban spatial order: street network orientation, configuration, and entropy</w:t>
      </w:r>
      <w:r>
        <w:t>“ zjistila významnou korelaci mezi entropií a dalšími ukazateli prostorového uspořádání, včetně obvodu ulic a míry propojenosti. Empiricky potvrdila, že města v USA a Kanadě jsou více pravidelně uspořádána, než bylo typické jinde.</w:t>
      </w:r>
    </w:p>
    <w:p w14:paraId="31167945" w14:textId="77777777" w:rsidR="009D71CC" w:rsidRDefault="00CB7CE8">
      <w:pPr>
        <w:keepNext/>
        <w:tabs>
          <w:tab w:val="left" w:pos="364"/>
        </w:tabs>
        <w:jc w:val="center"/>
      </w:pPr>
      <w:r>
        <w:rPr>
          <w:noProof/>
        </w:rPr>
        <w:lastRenderedPageBreak/>
        <w:drawing>
          <wp:inline distT="0" distB="0" distL="0" distR="0" wp14:anchorId="539111B8" wp14:editId="7F61927C">
            <wp:extent cx="4967605" cy="3282950"/>
            <wp:effectExtent l="0" t="0" r="0" b="0"/>
            <wp:docPr id="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
                    <pic:cNvPicPr>
                      <a:picLocks noChangeAspect="1" noChangeArrowheads="1"/>
                    </pic:cNvPicPr>
                  </pic:nvPicPr>
                  <pic:blipFill>
                    <a:blip r:embed="rId18"/>
                    <a:stretch>
                      <a:fillRect/>
                    </a:stretch>
                  </pic:blipFill>
                  <pic:spPr bwMode="auto">
                    <a:xfrm>
                      <a:off x="0" y="0"/>
                      <a:ext cx="4967605" cy="3282950"/>
                    </a:xfrm>
                    <a:prstGeom prst="rect">
                      <a:avLst/>
                    </a:prstGeom>
                  </pic:spPr>
                </pic:pic>
              </a:graphicData>
            </a:graphic>
          </wp:inline>
        </w:drawing>
      </w:r>
    </w:p>
    <w:p w14:paraId="46372348" w14:textId="0E8CDC3F" w:rsidR="009D71CC" w:rsidRDefault="00CB7CE8">
      <w:pPr>
        <w:pStyle w:val="Obrazek"/>
      </w:pPr>
      <w:r>
        <w:t xml:space="preserve">Obr. </w:t>
      </w:r>
      <w:fldSimple w:instr=" SEQ Obr. \* ARABIC ">
        <w:r w:rsidR="00865999">
          <w:rPr>
            <w:noProof/>
          </w:rPr>
          <w:t>4</w:t>
        </w:r>
      </w:fldSimple>
      <w:r>
        <w:t xml:space="preserve"> Graf orientace Bostonu a Manhattonu</w:t>
      </w:r>
      <w:r>
        <w:br/>
        <w:t>Zdroj: https://appliednetsci.springeropen.com/articles/10.1007/s41109-019-0189-1/figures/3</w:t>
      </w:r>
    </w:p>
    <w:p w14:paraId="4C516B7B" w14:textId="77777777" w:rsidR="009D71CC" w:rsidRDefault="00CB7CE8">
      <w:pPr>
        <w:tabs>
          <w:tab w:val="left" w:pos="364"/>
        </w:tabs>
      </w:pPr>
      <w:r>
        <w:t>Nástroje na analýzu orientace uliční sítě nám můžou dát obecný náhled na tvar a uspořádání městských dopravních systémů po celém světě (Obr. 4). Jedním z nástrojů je i </w:t>
      </w:r>
      <w:r>
        <w:rPr>
          <w:i/>
          <w:iCs/>
        </w:rPr>
        <w:t>osmnx.bearing.plot_orientation</w:t>
      </w:r>
      <w:r>
        <w:t xml:space="preserve"> z Python balíčku </w:t>
      </w:r>
      <w:r>
        <w:rPr>
          <w:i/>
          <w:iCs/>
        </w:rPr>
        <w:t>OSMnx</w:t>
      </w:r>
      <w:r>
        <w:t xml:space="preserve">, který na základě dat z OpenStreetMap vytvoří graf orientace uliční sítě definovatelnou uživatelem. </w:t>
      </w:r>
    </w:p>
    <w:p w14:paraId="6A951DDB" w14:textId="77777777" w:rsidR="009D71CC" w:rsidRDefault="00CB7CE8">
      <w:pPr>
        <w:tabs>
          <w:tab w:val="left" w:pos="364"/>
        </w:tabs>
      </w:pPr>
      <w:r>
        <w:tab/>
        <w:t xml:space="preserve">Pro hodnocení orientace uliční sítě byl vytvořen zcela automatický Python script. Prvním krokem bylo stažení a načtení do proměnné silniční síť pomocí modulu: </w:t>
      </w:r>
      <w:r>
        <w:rPr>
          <w:i/>
          <w:iCs/>
        </w:rPr>
        <w:t>osmnx.graph.graph_from_polygon</w:t>
      </w:r>
      <w:r>
        <w:t xml:space="preserve"> z</w:t>
      </w:r>
      <w:r>
        <w:rPr>
          <w:rFonts w:ascii="Times New Roman" w:hAnsi="Times New Roman"/>
        </w:rPr>
        <w:t> </w:t>
      </w:r>
      <w:r>
        <w:t>bal</w:t>
      </w:r>
      <w:r>
        <w:rPr>
          <w:rFonts w:cs="Bookman Old Style"/>
        </w:rPr>
        <w:t>íč</w:t>
      </w:r>
      <w:r>
        <w:t xml:space="preserve">ku </w:t>
      </w:r>
      <w:r>
        <w:rPr>
          <w:i/>
          <w:iCs/>
        </w:rPr>
        <w:t>OSMnx</w:t>
      </w:r>
      <w:r>
        <w:t xml:space="preserve"> za </w:t>
      </w:r>
      <w:r>
        <w:rPr>
          <w:i/>
          <w:iCs/>
        </w:rPr>
        <w:t>Urban Core</w:t>
      </w:r>
      <w:r>
        <w:t xml:space="preserve"> zvolen</w:t>
      </w:r>
      <w:r>
        <w:rPr>
          <w:rFonts w:cs="Bookman Old Style"/>
        </w:rPr>
        <w:t>é</w:t>
      </w:r>
      <w:r>
        <w:t>ho m</w:t>
      </w:r>
      <w:r>
        <w:rPr>
          <w:rFonts w:cs="Bookman Old Style"/>
        </w:rPr>
        <w:t>ě</w:t>
      </w:r>
      <w:r>
        <w:t xml:space="preserve">sta.  </w:t>
      </w:r>
    </w:p>
    <w:p w14:paraId="75A74208" w14:textId="77777777" w:rsidR="009D71CC" w:rsidRDefault="00CB7CE8">
      <w:pPr>
        <w:tabs>
          <w:tab w:val="left" w:pos="364"/>
        </w:tabs>
      </w:pPr>
      <w:r>
        <w:tab/>
        <w:t xml:space="preserve">Následně modul: </w:t>
      </w:r>
      <w:r>
        <w:rPr>
          <w:i/>
          <w:iCs/>
        </w:rPr>
        <w:t xml:space="preserve">osmnx.bearing.add_edge_bearings </w:t>
      </w:r>
      <w:r>
        <w:t xml:space="preserve">vypočítal azimut z výchozího uzlu do cílového uzlu pro každou hranu v neprojektovaném směrovaném grafu. Vypočtené hodnoty pak byly uloženy do hran jako nový atribut a vytvořen polární histogram modulem: </w:t>
      </w:r>
      <w:r>
        <w:rPr>
          <w:i/>
          <w:iCs/>
        </w:rPr>
        <w:t>osmnx.bearing.plot_orientation</w:t>
      </w:r>
      <w:r>
        <w:t>. Obrázky histogramu orientace uliční sítě všech měst pak byly naimportovány do software Orange. Pro statistické účely byl vytvořen model (</w:t>
      </w:r>
      <w:r>
        <w:fldChar w:fldCharType="begin"/>
      </w:r>
      <w:r>
        <w:instrText xml:space="preserve"> REF _Ref133960057 \h </w:instrText>
      </w:r>
      <w:r>
        <w:fldChar w:fldCharType="separate"/>
      </w:r>
      <w:r>
        <w:t>Obr. 5</w:t>
      </w:r>
      <w:r>
        <w:fldChar w:fldCharType="end"/>
      </w:r>
      <w:r>
        <w:t>)., který porovnával podobnost měst a rozřadil jednotlivá města do čtyř kategorií na základě podobnosti. Grafy jsou jako přílohy zabalené ve formátu ZIP. Grafy nemají titul, protože by to mohlo ovlivnit výsledek analýzy. Jejich anotace (jméno) je uloženo v názvu souboru.</w:t>
      </w:r>
    </w:p>
    <w:p w14:paraId="2C9D2731" w14:textId="77777777" w:rsidR="009D71CC" w:rsidRDefault="00CB7CE8">
      <w:pPr>
        <w:keepNext/>
        <w:tabs>
          <w:tab w:val="left" w:pos="364"/>
        </w:tabs>
        <w:jc w:val="center"/>
      </w:pPr>
      <w:r>
        <w:rPr>
          <w:noProof/>
        </w:rPr>
        <w:lastRenderedPageBreak/>
        <w:drawing>
          <wp:inline distT="0" distB="0" distL="0" distR="0" wp14:anchorId="5D3DACA9" wp14:editId="2215B4ED">
            <wp:extent cx="4566285" cy="2510155"/>
            <wp:effectExtent l="0" t="0" r="0" b="0"/>
            <wp:docPr id="7" name="Image3"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Obsah obrázku diagram&#10;&#10;Popis byl vytvořen automaticky"/>
                    <pic:cNvPicPr>
                      <a:picLocks noChangeAspect="1" noChangeArrowheads="1"/>
                    </pic:cNvPicPr>
                  </pic:nvPicPr>
                  <pic:blipFill>
                    <a:blip r:embed="rId19"/>
                    <a:stretch>
                      <a:fillRect/>
                    </a:stretch>
                  </pic:blipFill>
                  <pic:spPr bwMode="auto">
                    <a:xfrm>
                      <a:off x="0" y="0"/>
                      <a:ext cx="4566285" cy="2510155"/>
                    </a:xfrm>
                    <a:prstGeom prst="rect">
                      <a:avLst/>
                    </a:prstGeom>
                  </pic:spPr>
                </pic:pic>
              </a:graphicData>
            </a:graphic>
          </wp:inline>
        </w:drawing>
      </w:r>
    </w:p>
    <w:p w14:paraId="23F54710" w14:textId="2D9F56B1" w:rsidR="009D71CC" w:rsidRDefault="00CB7CE8">
      <w:pPr>
        <w:pStyle w:val="Obrazek"/>
      </w:pPr>
      <w:bookmarkStart w:id="86" w:name="_Ref133960057"/>
      <w:r>
        <w:t xml:space="preserve">Obr. </w:t>
      </w:r>
      <w:fldSimple w:instr=" SEQ Obr. \* ARABIC ">
        <w:r w:rsidR="00865999">
          <w:rPr>
            <w:noProof/>
          </w:rPr>
          <w:t>5</w:t>
        </w:r>
      </w:fldSimple>
      <w:bookmarkEnd w:id="86"/>
      <w:r>
        <w:t xml:space="preserve"> Model analýzy podobnosti</w:t>
      </w:r>
    </w:p>
    <w:p w14:paraId="13B3F680" w14:textId="77777777" w:rsidR="009D71CC" w:rsidRDefault="00CB7CE8">
      <w:pPr>
        <w:pStyle w:val="Nadpis4"/>
      </w:pPr>
      <w:r>
        <w:t>Morfologie</w:t>
      </w:r>
    </w:p>
    <w:p w14:paraId="7A043D20" w14:textId="77777777" w:rsidR="009D71CC" w:rsidRDefault="00CB7CE8">
      <w:pPr>
        <w:tabs>
          <w:tab w:val="left" w:pos="358"/>
        </w:tabs>
      </w:pPr>
      <w:r>
        <w:t>Z hlediska teorie grafů můžeme silniční síť považovat za rovinný graf. R</w:t>
      </w:r>
      <w:r>
        <w:rPr>
          <w:i/>
          <w:iCs/>
        </w:rPr>
        <w:t>ovinný graf je graf, který můžeme nakreslit do roviny bez křížení hran. To znamená, že vrcholům přiřadíme vhodné body a hrany nakreslíme jako křivky spojující příslušné body tak, že se žádné dvě křivky neprotínají mimo své krajní body</w:t>
      </w:r>
      <w:r>
        <w:t>. (Pavel Veselý a kol. 2016).</w:t>
      </w:r>
    </w:p>
    <w:p w14:paraId="0FA9F069" w14:textId="77777777" w:rsidR="009D71CC" w:rsidRDefault="00CB7CE8">
      <w:r>
        <w:t xml:space="preserve">Pro hodnocení silničních sítí existují dva hlavní indexy založené na teorii grafů: </w:t>
      </w:r>
    </w:p>
    <w:p w14:paraId="0578A252" w14:textId="77777777" w:rsidR="009D71CC" w:rsidRDefault="00CB7CE8">
      <w:pPr>
        <w:numPr>
          <w:ilvl w:val="0"/>
          <w:numId w:val="8"/>
        </w:numPr>
      </w:pPr>
      <w:r>
        <w:t xml:space="preserve">alfa </w:t>
      </w:r>
    </w:p>
    <w:p w14:paraId="7FF7E3C6" w14:textId="77777777" w:rsidR="009D71CC" w:rsidRDefault="00CB7CE8">
      <w:pPr>
        <w:numPr>
          <w:ilvl w:val="0"/>
          <w:numId w:val="8"/>
        </w:numPr>
      </w:pPr>
      <w:r>
        <w:t>gama</w:t>
      </w:r>
    </w:p>
    <w:p w14:paraId="63EA27C7" w14:textId="77777777" w:rsidR="009D71CC" w:rsidRDefault="00CB7CE8">
      <w:pPr>
        <w:tabs>
          <w:tab w:val="left" w:pos="358"/>
        </w:tabs>
      </w:pPr>
      <w:r>
        <w:tab/>
        <w:t>Tyto indexy jsou uváděny pro použití v oboru kvantitativní geografie. Noda (1996), navíc navrhuje grid-tree-proportion index (GTP), který je rozšířením těchto dvou indexů.</w:t>
      </w:r>
    </w:p>
    <w:p w14:paraId="2904D915" w14:textId="77777777" w:rsidR="009D71CC" w:rsidRDefault="00CB7CE8">
      <w:pPr>
        <w:keepNext/>
        <w:tabs>
          <w:tab w:val="left" w:pos="358"/>
        </w:tabs>
        <w:jc w:val="center"/>
      </w:pPr>
      <w:r>
        <w:rPr>
          <w:noProof/>
        </w:rPr>
        <w:drawing>
          <wp:inline distT="0" distB="0" distL="0" distR="0" wp14:anchorId="35CAA04B" wp14:editId="39743FED">
            <wp:extent cx="3144520" cy="1029970"/>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20"/>
                    <a:stretch>
                      <a:fillRect/>
                    </a:stretch>
                  </pic:blipFill>
                  <pic:spPr bwMode="auto">
                    <a:xfrm>
                      <a:off x="0" y="0"/>
                      <a:ext cx="3144520" cy="1029970"/>
                    </a:xfrm>
                    <a:prstGeom prst="rect">
                      <a:avLst/>
                    </a:prstGeom>
                  </pic:spPr>
                </pic:pic>
              </a:graphicData>
            </a:graphic>
          </wp:inline>
        </w:drawing>
      </w:r>
    </w:p>
    <w:p w14:paraId="3A08C1A9" w14:textId="37915C5A" w:rsidR="009D71CC" w:rsidRDefault="00CB7CE8">
      <w:pPr>
        <w:pStyle w:val="Obrazek"/>
      </w:pPr>
      <w:r>
        <w:t xml:space="preserve">Obr. </w:t>
      </w:r>
      <w:fldSimple w:instr=" SEQ Obr. \* ARABIC ">
        <w:r w:rsidR="00865999">
          <w:rPr>
            <w:noProof/>
          </w:rPr>
          <w:t>6</w:t>
        </w:r>
      </w:fldSimple>
      <w:r>
        <w:t xml:space="preserve"> planární (vlevo) and neplanární (vpravo)</w:t>
      </w:r>
      <w:r>
        <w:br/>
      </w:r>
      <w:r>
        <w:rPr>
          <w:rStyle w:val="normaltextrun"/>
        </w:rPr>
        <w:t>Zdroj: https://journals.openedition.org/cybergeo/23825</w:t>
      </w:r>
      <w:r>
        <w:rPr>
          <w:rStyle w:val="eop"/>
        </w:rPr>
        <w:t> </w:t>
      </w:r>
    </w:p>
    <w:p w14:paraId="7CFA51B9" w14:textId="77777777" w:rsidR="009D71CC" w:rsidRDefault="00CB7CE8">
      <w:pPr>
        <w:tabs>
          <w:tab w:val="left" w:pos="358"/>
        </w:tabs>
      </w:pPr>
      <w:r>
        <w:tab/>
        <w:t>Alfa index je poměr počtu bloků (v kontextu urbánního plánování) „faces“ (v teorii grafu) k maximálnímu počtu bloků, které je možné vytvořit z celkového počtu nodů. Blok je definován jako oblast obklopena liniemi grafu (Jonathan &amp; Jay (2004)).</w:t>
      </w:r>
    </w:p>
    <w:p w14:paraId="2A1E248A" w14:textId="77777777" w:rsidR="009D71CC" w:rsidRDefault="00CB7CE8">
      <w:pPr>
        <w:keepNext/>
        <w:tabs>
          <w:tab w:val="left" w:pos="358"/>
        </w:tabs>
        <w:jc w:val="center"/>
      </w:pPr>
      <w:r>
        <w:rPr>
          <w:noProof/>
        </w:rPr>
        <w:drawing>
          <wp:inline distT="0" distB="0" distL="0" distR="0" wp14:anchorId="3BC54967" wp14:editId="1A9DDA40">
            <wp:extent cx="2814955" cy="1604645"/>
            <wp:effectExtent l="0" t="0" r="0" b="0"/>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21"/>
                    <a:stretch>
                      <a:fillRect/>
                    </a:stretch>
                  </pic:blipFill>
                  <pic:spPr bwMode="auto">
                    <a:xfrm>
                      <a:off x="0" y="0"/>
                      <a:ext cx="2814955" cy="1604645"/>
                    </a:xfrm>
                    <a:prstGeom prst="rect">
                      <a:avLst/>
                    </a:prstGeom>
                  </pic:spPr>
                </pic:pic>
              </a:graphicData>
            </a:graphic>
          </wp:inline>
        </w:drawing>
      </w:r>
    </w:p>
    <w:p w14:paraId="616C7F33" w14:textId="707B37E3" w:rsidR="009D71CC" w:rsidRDefault="00CB7CE8">
      <w:pPr>
        <w:pStyle w:val="Obrazek"/>
      </w:pPr>
      <w:r>
        <w:t xml:space="preserve">Obr. </w:t>
      </w:r>
      <w:fldSimple w:instr=" SEQ Obr. \* ARABIC ">
        <w:r w:rsidR="00865999">
          <w:rPr>
            <w:noProof/>
          </w:rPr>
          <w:t>7</w:t>
        </w:r>
      </w:fldSimple>
      <w:r>
        <w:t xml:space="preserve"> Blok silniční sítě</w:t>
      </w:r>
      <w:r>
        <w:br/>
      </w:r>
      <w:r>
        <w:lastRenderedPageBreak/>
        <w:t>Zdroj: https://journals.openedition.org/cybergeo/23825</w:t>
      </w:r>
    </w:p>
    <w:p w14:paraId="1A58A2CB" w14:textId="77777777" w:rsidR="009D71CC" w:rsidRDefault="00CB7CE8">
      <w:pPr>
        <w:tabs>
          <w:tab w:val="left" w:pos="358"/>
        </w:tabs>
      </w:pPr>
      <w:r>
        <w:t>Alfa index je definován jako:</w:t>
      </w:r>
    </w:p>
    <w:p w14:paraId="556A025D" w14:textId="77777777" w:rsidR="009D71CC" w:rsidRDefault="00CB7CE8">
      <w:pPr>
        <w:keepNext/>
        <w:tabs>
          <w:tab w:val="left" w:pos="358"/>
        </w:tabs>
        <w:jc w:val="center"/>
      </w:pPr>
      <w:r>
        <w:rPr>
          <w:noProof/>
        </w:rPr>
        <w:drawing>
          <wp:inline distT="0" distB="0" distL="0" distR="0" wp14:anchorId="34CA76F5" wp14:editId="56426733">
            <wp:extent cx="3029585" cy="506095"/>
            <wp:effectExtent l="0" t="0" r="0" b="0"/>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22"/>
                    <a:stretch>
                      <a:fillRect/>
                    </a:stretch>
                  </pic:blipFill>
                  <pic:spPr bwMode="auto">
                    <a:xfrm>
                      <a:off x="0" y="0"/>
                      <a:ext cx="3029585" cy="506095"/>
                    </a:xfrm>
                    <a:prstGeom prst="rect">
                      <a:avLst/>
                    </a:prstGeom>
                  </pic:spPr>
                </pic:pic>
              </a:graphicData>
            </a:graphic>
          </wp:inline>
        </w:drawing>
      </w:r>
    </w:p>
    <w:p w14:paraId="5EE98199" w14:textId="77777777" w:rsidR="009D71CC" w:rsidRDefault="00CB7CE8">
      <w:pPr>
        <w:pStyle w:val="Obrazek"/>
      </w:pPr>
      <w:r>
        <w:t xml:space="preserve">Rov. </w:t>
      </w:r>
      <w:fldSimple w:instr=" SEQ Rov. \* ARABIC ">
        <w:r>
          <w:t>1</w:t>
        </w:r>
      </w:fldSimple>
      <w:r>
        <w:t xml:space="preserve"> </w:t>
      </w:r>
      <w:r>
        <w:rPr>
          <w:rStyle w:val="normaltextrun"/>
        </w:rPr>
        <w:t>Alfa index</w:t>
      </w:r>
      <w:r>
        <w:rPr>
          <w:rStyle w:val="normaltextrun"/>
        </w:rPr>
        <w:br/>
        <w:t>Zdroj: https://journals.openedition.org/cybergeo/23825</w:t>
      </w:r>
    </w:p>
    <w:p w14:paraId="3F1DC64A" w14:textId="5BF2963A" w:rsidR="009D71CC" w:rsidRDefault="00CB7CE8">
      <w:pPr>
        <w:tabs>
          <w:tab w:val="left" w:pos="358"/>
        </w:tabs>
      </w:pPr>
      <w:r>
        <w:t xml:space="preserve">kde e je počet linií, v počet nodů a p počet nespojených vazeb. Maximální počet bloků je vypočítán jako 2v-5 a skutečný počet bloků je vypočítán jako </w:t>
      </w:r>
      <w:r>
        <w:rPr>
          <w:rStyle w:val="Zdraznn"/>
        </w:rPr>
        <w:t>e-v+p</w:t>
      </w:r>
      <w:r>
        <w:t>. Obecně tedy platí, že oblasti s vyšší hodnotou alfa budou obsahovat větší počet bloků, jelikož bloky přímo odpovídají „faces“ grafu.</w:t>
      </w:r>
      <w:r w:rsidR="009140B3">
        <w:t xml:space="preserve"> (Okuno 1977)</w:t>
      </w:r>
    </w:p>
    <w:p w14:paraId="744CDA73" w14:textId="77777777" w:rsidR="009D71CC" w:rsidRDefault="00CB7CE8">
      <w:pPr>
        <w:tabs>
          <w:tab w:val="left" w:pos="358"/>
        </w:tabs>
      </w:pPr>
      <w:r>
        <w:tab/>
        <w:t>Gama index udává hodnotu propojenosti silniční sítě. Gama index je poměr skutečného počtu vazeb k maximálnímu počtu vazeb, které lze vytvořit podle počtu uzlů v grafu. Index gama je tedy definován následovně:</w:t>
      </w:r>
    </w:p>
    <w:p w14:paraId="43655840" w14:textId="77777777" w:rsidR="009D71CC" w:rsidRDefault="00CB7CE8">
      <w:pPr>
        <w:keepNext/>
        <w:tabs>
          <w:tab w:val="left" w:pos="358"/>
        </w:tabs>
        <w:jc w:val="center"/>
      </w:pPr>
      <w:r>
        <w:rPr>
          <w:noProof/>
        </w:rPr>
        <w:drawing>
          <wp:inline distT="0" distB="0" distL="0" distR="0" wp14:anchorId="4C7DF355" wp14:editId="16ECDB9F">
            <wp:extent cx="3005455" cy="536575"/>
            <wp:effectExtent l="0" t="0" r="0" b="0"/>
            <wp:docPr id="1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pic:cNvPicPr>
                      <a:picLocks noChangeAspect="1" noChangeArrowheads="1"/>
                    </pic:cNvPicPr>
                  </pic:nvPicPr>
                  <pic:blipFill>
                    <a:blip r:embed="rId23"/>
                    <a:stretch>
                      <a:fillRect/>
                    </a:stretch>
                  </pic:blipFill>
                  <pic:spPr bwMode="auto">
                    <a:xfrm>
                      <a:off x="0" y="0"/>
                      <a:ext cx="3005455" cy="536575"/>
                    </a:xfrm>
                    <a:prstGeom prst="rect">
                      <a:avLst/>
                    </a:prstGeom>
                  </pic:spPr>
                </pic:pic>
              </a:graphicData>
            </a:graphic>
          </wp:inline>
        </w:drawing>
      </w:r>
    </w:p>
    <w:p w14:paraId="21F76D70" w14:textId="77777777" w:rsidR="009D71CC" w:rsidRDefault="00CB7CE8">
      <w:pPr>
        <w:pStyle w:val="Obrazek"/>
      </w:pPr>
      <w:r>
        <w:t xml:space="preserve">Rov. </w:t>
      </w:r>
      <w:fldSimple w:instr=" SEQ Rov. \* ARABIC ">
        <w:r>
          <w:t>2</w:t>
        </w:r>
      </w:fldSimple>
      <w:r>
        <w:t xml:space="preserve"> Gama index</w:t>
      </w:r>
      <w:r>
        <w:br/>
        <w:t>Zdroj: https://journals.openedition.org/cybergeo/23825</w:t>
      </w:r>
    </w:p>
    <w:p w14:paraId="2C2E2187" w14:textId="77777777" w:rsidR="009D71CC" w:rsidRDefault="00CB7CE8">
      <w:pPr>
        <w:tabs>
          <w:tab w:val="left" w:pos="358"/>
        </w:tabs>
      </w:pPr>
      <w:r>
        <w:t>kde e je počet linií, v počet nodů. Maximální počet vazeb je vypočítán jako 3(v-2). V urbánním plánován jsou silniční sítě s vysokou hodnotou gama indexu dobře rozvrženy z hlediska množství silnic, ze kterých může účastník provozu vybírat.</w:t>
      </w:r>
    </w:p>
    <w:p w14:paraId="00C90898" w14:textId="77777777" w:rsidR="009D71CC" w:rsidRDefault="00CB7CE8">
      <w:pPr>
        <w:tabs>
          <w:tab w:val="left" w:pos="358"/>
        </w:tabs>
      </w:pPr>
      <w:r>
        <w:tab/>
        <w:t>Rozdíl mezi alfa a gama indexem spočívá v tom, že první klade důraz na počet bloků a druhý na propojenost silniční sítě. Podle Okuno (1977) gama index překonává nevýhodu alfa indexu tím, že bere v úvahu sílu propojení silniční sítě.</w:t>
      </w:r>
    </w:p>
    <w:p w14:paraId="3B5B6CCF" w14:textId="77777777" w:rsidR="009D71CC" w:rsidRDefault="00CB7CE8">
      <w:pPr>
        <w:tabs>
          <w:tab w:val="left" w:pos="358"/>
        </w:tabs>
      </w:pPr>
      <w:r>
        <w:tab/>
        <w:t>Grid-tree-proportion index (GTP) je odvozen z tří typických vzorů silniční sítě: mřížka (grid), strom (tree), obecný vzor silniční sítě. Výpočtem alfa i gama indexu obecných silničních sítí Noda (1996) poukazuje na dvě následující vlastnosti:</w:t>
      </w:r>
    </w:p>
    <w:p w14:paraId="3D6A26E1" w14:textId="77777777" w:rsidR="009D71CC" w:rsidRDefault="00CB7CE8">
      <w:pPr>
        <w:numPr>
          <w:ilvl w:val="0"/>
          <w:numId w:val="9"/>
        </w:numPr>
        <w:tabs>
          <w:tab w:val="clear" w:pos="720"/>
          <w:tab w:val="left" w:pos="358"/>
        </w:tabs>
      </w:pPr>
      <w:r>
        <w:t>Hodnota indexu alfa i indexu gama obecných silničních sítí je obvykle nižší než u silničních sítí se čtvercovým mřížovým vzorem se stejným počtem uzlů, jaký má obecná silniční síť.</w:t>
      </w:r>
    </w:p>
    <w:p w14:paraId="2C625756" w14:textId="77777777" w:rsidR="009D71CC" w:rsidRDefault="00CB7CE8">
      <w:pPr>
        <w:numPr>
          <w:ilvl w:val="0"/>
          <w:numId w:val="9"/>
        </w:numPr>
        <w:tabs>
          <w:tab w:val="clear" w:pos="720"/>
          <w:tab w:val="left" w:pos="358"/>
        </w:tabs>
      </w:pPr>
      <w:r>
        <w:t>Hodnota indexu alfa i indexu gama obecných silničních sítí je vyšší než hodnota stromových vzorů silničních sítí se stejným počtem uzlů, jaký je v obecné silniční síti.</w:t>
      </w:r>
    </w:p>
    <w:p w14:paraId="53BD50AA" w14:textId="77777777" w:rsidR="009D71CC" w:rsidRDefault="00CB7CE8">
      <w:pPr>
        <w:tabs>
          <w:tab w:val="left" w:pos="358"/>
        </w:tabs>
      </w:pPr>
      <w:r>
        <w:t>Na základě těchto charakteristik je GTP index definován jako:</w:t>
      </w:r>
    </w:p>
    <w:p w14:paraId="20CC5C1B" w14:textId="77777777" w:rsidR="009D71CC" w:rsidRDefault="00CB7CE8">
      <w:pPr>
        <w:keepNext/>
        <w:tabs>
          <w:tab w:val="left" w:pos="358"/>
        </w:tabs>
        <w:jc w:val="center"/>
      </w:pPr>
      <w:r>
        <w:rPr>
          <w:noProof/>
        </w:rPr>
        <w:drawing>
          <wp:inline distT="0" distB="0" distL="0" distR="0" wp14:anchorId="17B23124" wp14:editId="2A13E568">
            <wp:extent cx="2225040" cy="493395"/>
            <wp:effectExtent l="0" t="0" r="0" b="0"/>
            <wp:docPr id="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noChangeArrowheads="1"/>
                    </pic:cNvPicPr>
                  </pic:nvPicPr>
                  <pic:blipFill>
                    <a:blip r:embed="rId24"/>
                    <a:stretch>
                      <a:fillRect/>
                    </a:stretch>
                  </pic:blipFill>
                  <pic:spPr bwMode="auto">
                    <a:xfrm>
                      <a:off x="0" y="0"/>
                      <a:ext cx="2225040" cy="493395"/>
                    </a:xfrm>
                    <a:prstGeom prst="rect">
                      <a:avLst/>
                    </a:prstGeom>
                  </pic:spPr>
                </pic:pic>
              </a:graphicData>
            </a:graphic>
          </wp:inline>
        </w:drawing>
      </w:r>
    </w:p>
    <w:p w14:paraId="5AF6432F" w14:textId="77777777" w:rsidR="009D71CC" w:rsidRDefault="00CB7CE8">
      <w:pPr>
        <w:pStyle w:val="Obrazek"/>
      </w:pPr>
      <w:r>
        <w:t xml:space="preserve">Rov. </w:t>
      </w:r>
      <w:fldSimple w:instr=" SEQ Rov. \* ARABIC ">
        <w:r>
          <w:t>3</w:t>
        </w:r>
      </w:fldSimple>
      <w:r>
        <w:t xml:space="preserve"> GTP index</w:t>
      </w:r>
      <w:r>
        <w:br/>
        <w:t>Zdroj: https://journals.openedition.org/cybergeo/23825</w:t>
      </w:r>
    </w:p>
    <w:p w14:paraId="347C57F0" w14:textId="77777777" w:rsidR="009D71CC" w:rsidRDefault="00CB7CE8">
      <w:pPr>
        <w:tabs>
          <w:tab w:val="left" w:pos="358"/>
        </w:tabs>
      </w:pPr>
      <w:r>
        <w:t>kde xG je hodnota každé indexu čtvercové mřížové struktury silničních sítí, xT je hodnota každého indexu stromové struktury silničních sítí a xS je hodnota indexu skutečné silničních sítí.</w:t>
      </w:r>
    </w:p>
    <w:p w14:paraId="21466150" w14:textId="77777777" w:rsidR="009D71CC" w:rsidRDefault="00CB7CE8">
      <w:pPr>
        <w:tabs>
          <w:tab w:val="left" w:pos="358"/>
        </w:tabs>
      </w:pPr>
      <w:r>
        <w:lastRenderedPageBreak/>
        <w:tab/>
        <w:t>GTP index můžeme vyjádřit jako funkci xS:f(xS). Pokud je vzor silniční sítě čistě stromový, pak xS = xT a GTP = 0. Naopak pokud je vzor sítě čtvercovým mřížovým vzorem xS = xG a GTP = 1. Avšak ve skutečnosti se hodnota indexu GTP pohybuje mezi 0 a 1. Jednou z vlastností GTP je to, že pokud do rovnice (Rov. 3) dosadíme za xS, xG, xT hodnotu v dostaneme následující rovnici:</w:t>
      </w:r>
    </w:p>
    <w:p w14:paraId="24100CB6" w14:textId="77777777" w:rsidR="009D71CC" w:rsidRDefault="00CB7CE8">
      <w:pPr>
        <w:keepNext/>
        <w:tabs>
          <w:tab w:val="left" w:pos="358"/>
        </w:tabs>
        <w:jc w:val="center"/>
      </w:pPr>
      <w:r>
        <w:rPr>
          <w:noProof/>
        </w:rPr>
        <w:drawing>
          <wp:inline distT="0" distB="0" distL="0" distR="0" wp14:anchorId="58548A84" wp14:editId="3E52CB96">
            <wp:extent cx="2389505" cy="530225"/>
            <wp:effectExtent l="0" t="0" r="0" b="0"/>
            <wp:docPr id="1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pic:cNvPicPr>
                      <a:picLocks noChangeAspect="1" noChangeArrowheads="1"/>
                    </pic:cNvPicPr>
                  </pic:nvPicPr>
                  <pic:blipFill>
                    <a:blip r:embed="rId25"/>
                    <a:stretch>
                      <a:fillRect/>
                    </a:stretch>
                  </pic:blipFill>
                  <pic:spPr bwMode="auto">
                    <a:xfrm>
                      <a:off x="0" y="0"/>
                      <a:ext cx="2389505" cy="530225"/>
                    </a:xfrm>
                    <a:prstGeom prst="rect">
                      <a:avLst/>
                    </a:prstGeom>
                  </pic:spPr>
                </pic:pic>
              </a:graphicData>
            </a:graphic>
          </wp:inline>
        </w:drawing>
      </w:r>
    </w:p>
    <w:p w14:paraId="16C46302" w14:textId="77777777" w:rsidR="009D71CC" w:rsidRDefault="00CB7CE8">
      <w:pPr>
        <w:pStyle w:val="Obrazek"/>
      </w:pPr>
      <w:r>
        <w:t xml:space="preserve">Rov. </w:t>
      </w:r>
      <w:fldSimple w:instr=" SEQ Rov. \* ARABIC ">
        <w:r>
          <w:t>4</w:t>
        </w:r>
      </w:fldSimple>
      <w:r>
        <w:t xml:space="preserve"> GTP index s</w:t>
      </w:r>
      <w:r>
        <w:rPr>
          <w:rFonts w:ascii="Times New Roman" w:hAnsi="Times New Roman"/>
        </w:rPr>
        <w:t> </w:t>
      </w:r>
      <w:r>
        <w:t>dosazen</w:t>
      </w:r>
      <w:r>
        <w:rPr>
          <w:rFonts w:cs="Bookman Old Style"/>
        </w:rPr>
        <w:t>ý</w:t>
      </w:r>
      <w:r>
        <w:t>m v</w:t>
      </w:r>
      <w:r>
        <w:br/>
      </w:r>
      <w:r>
        <w:rPr>
          <w:rStyle w:val="normaltextrun"/>
        </w:rPr>
        <w:t>Zdroj: https://journals.openedition.org/cybergeo/23825</w:t>
      </w:r>
      <w:r>
        <w:rPr>
          <w:rStyle w:val="eop"/>
        </w:rPr>
        <w:t> </w:t>
      </w:r>
    </w:p>
    <w:p w14:paraId="071702BF" w14:textId="77777777" w:rsidR="009D71CC" w:rsidRDefault="00CB7CE8">
      <w:pPr>
        <w:tabs>
          <w:tab w:val="left" w:pos="358"/>
        </w:tabs>
      </w:pPr>
      <w:r>
        <w:t xml:space="preserve">kde jmenovatel GTP indexu je počet ploch v síti se čtvercovým mřížkovým vzorem. GTP je pak nový index, který kombinuje alfa a gama index. Před výpočtem indexu GTP je třeba zvážit fakt, že čtvercový mřížový vzor je považován za ideální vzor. </w:t>
      </w:r>
    </w:p>
    <w:p w14:paraId="18D103A6" w14:textId="77777777" w:rsidR="009D71CC" w:rsidRDefault="00CB7CE8">
      <w:pPr>
        <w:tabs>
          <w:tab w:val="left" w:pos="358"/>
        </w:tabs>
      </w:pPr>
      <w:r>
        <w:tab/>
        <w:t xml:space="preserve">Vzhledem ke skutečnosti, že jsme v diplomové práci nehodnotili, jestli je čtvercový mřížový vzor ideálním vzorem pro silniční síť, ale snažili jsme se pouze klasifikovat jaký vzor má silniční síť v daném městě vzor byl GTP index pro ideální. </w:t>
      </w:r>
    </w:p>
    <w:p w14:paraId="2585BBDE" w14:textId="77777777" w:rsidR="009D71CC" w:rsidRDefault="00CB7CE8">
      <w:pPr>
        <w:tabs>
          <w:tab w:val="left" w:pos="358"/>
        </w:tabs>
      </w:pPr>
      <w:r>
        <w:tab/>
        <w:t>Hodnocení vzorů silniční sítě je potřeba nejen indexu, ale také kritéria pro posouzení, zda jsou vzory silniční sítě dobře nastaveny. Podle Okuno (1977) jsou základními vzory silniční sítě tři typy vzorů. Tyto základní vzory se často používají v oblasti dopravního inženýrství.</w:t>
      </w:r>
    </w:p>
    <w:p w14:paraId="1684EED8" w14:textId="77777777" w:rsidR="009D71CC" w:rsidRDefault="00CB7CE8">
      <w:pPr>
        <w:pStyle w:val="Obrazek"/>
      </w:pPr>
      <w:r>
        <w:rPr>
          <w:noProof/>
        </w:rPr>
        <w:drawing>
          <wp:inline distT="0" distB="0" distL="0" distR="0" wp14:anchorId="095906F9" wp14:editId="376D2AE4">
            <wp:extent cx="3192145" cy="1863090"/>
            <wp:effectExtent l="0" t="0" r="0" b="0"/>
            <wp:docPr id="1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pic:cNvPicPr>
                      <a:picLocks noChangeAspect="1" noChangeArrowheads="1"/>
                    </pic:cNvPicPr>
                  </pic:nvPicPr>
                  <pic:blipFill>
                    <a:blip r:embed="rId26"/>
                    <a:stretch>
                      <a:fillRect/>
                    </a:stretch>
                  </pic:blipFill>
                  <pic:spPr bwMode="auto">
                    <a:xfrm>
                      <a:off x="0" y="0"/>
                      <a:ext cx="3192145" cy="1863090"/>
                    </a:xfrm>
                    <a:prstGeom prst="rect">
                      <a:avLst/>
                    </a:prstGeom>
                  </pic:spPr>
                </pic:pic>
              </a:graphicData>
            </a:graphic>
          </wp:inline>
        </w:drawing>
      </w:r>
    </w:p>
    <w:p w14:paraId="04CB9AFB" w14:textId="420EFE31" w:rsidR="009D71CC" w:rsidRDefault="00CB7CE8">
      <w:pPr>
        <w:pStyle w:val="Obrazek"/>
      </w:pPr>
      <w:r>
        <w:t xml:space="preserve">Obr. </w:t>
      </w:r>
      <w:fldSimple w:instr=" SEQ Obr. \* ARABIC ">
        <w:r w:rsidR="00865999">
          <w:rPr>
            <w:noProof/>
          </w:rPr>
          <w:t>8</w:t>
        </w:r>
      </w:fldSimple>
      <w:r>
        <w:t xml:space="preserve"> </w:t>
      </w:r>
      <w:r>
        <w:rPr>
          <w:rStyle w:val="normaltextrun"/>
        </w:rPr>
        <w:t>Základní vzory podle Okuno (1977) (zleva): stromový vzor, síťový vzor a delta vzor.</w:t>
      </w:r>
      <w:r>
        <w:rPr>
          <w:rStyle w:val="eop"/>
        </w:rPr>
        <w:t> </w:t>
      </w:r>
      <w:r>
        <w:br/>
      </w:r>
      <w:r>
        <w:rPr>
          <w:rStyle w:val="normaltextrun"/>
        </w:rPr>
        <w:t>Zdroj: https://journals.openedition.org/cybergeo/23825</w:t>
      </w:r>
    </w:p>
    <w:p w14:paraId="12053FBE" w14:textId="77777777" w:rsidR="009D71CC" w:rsidRDefault="00CB7CE8">
      <w:pPr>
        <w:tabs>
          <w:tab w:val="left" w:pos="358"/>
        </w:tabs>
      </w:pPr>
      <w:r>
        <w:tab/>
        <w:t>Tabulka zobrazuje kritické hodnoty pro základní vzory silniční sítě. Pokud je dosaženo ideálních podmínek a pokud bude splněna více než jedna z následujících tří tvrzení: hodnota indexu alfa je mezi 1/4 a 1/2, hodnota indexu gama je mezi 1/2 a 2/3 a hodnota indexu GTP je mezi 0 a 1. V tomto případě pak má silniční síť tvar „gridu“ tedy pravidelného síťového vzoru.</w:t>
      </w:r>
    </w:p>
    <w:p w14:paraId="6E6B041C" w14:textId="77777777" w:rsidR="009D71CC" w:rsidRDefault="00CB7CE8">
      <w:pPr>
        <w:keepNext/>
        <w:tabs>
          <w:tab w:val="left" w:pos="358"/>
        </w:tabs>
        <w:jc w:val="center"/>
      </w:pPr>
      <w:r>
        <w:rPr>
          <w:noProof/>
        </w:rPr>
        <w:drawing>
          <wp:inline distT="0" distB="0" distL="0" distR="0" wp14:anchorId="72133BA6" wp14:editId="66E452CD">
            <wp:extent cx="4009390" cy="802005"/>
            <wp:effectExtent l="0" t="0" r="0" b="0"/>
            <wp:docPr id="1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pic:cNvPicPr>
                      <a:picLocks noChangeAspect="1" noChangeArrowheads="1"/>
                    </pic:cNvPicPr>
                  </pic:nvPicPr>
                  <pic:blipFill>
                    <a:blip r:embed="rId27"/>
                    <a:stretch>
                      <a:fillRect/>
                    </a:stretch>
                  </pic:blipFill>
                  <pic:spPr bwMode="auto">
                    <a:xfrm>
                      <a:off x="0" y="0"/>
                      <a:ext cx="4009390" cy="802005"/>
                    </a:xfrm>
                    <a:prstGeom prst="rect">
                      <a:avLst/>
                    </a:prstGeom>
                  </pic:spPr>
                </pic:pic>
              </a:graphicData>
            </a:graphic>
          </wp:inline>
        </w:drawing>
      </w:r>
    </w:p>
    <w:p w14:paraId="1A8986D5" w14:textId="634F3324" w:rsidR="009D71CC" w:rsidRDefault="00CB7CE8">
      <w:pPr>
        <w:pStyle w:val="Obrazek"/>
      </w:pPr>
      <w:r>
        <w:t xml:space="preserve">Tab. </w:t>
      </w:r>
      <w:fldSimple w:instr=" SEQ Tab. \* ARABIC ">
        <w:r w:rsidR="00005BBA">
          <w:rPr>
            <w:noProof/>
          </w:rPr>
          <w:t>6</w:t>
        </w:r>
      </w:fldSimple>
      <w:r>
        <w:t xml:space="preserve"> Kritické hodnoty pro základní vzory podle Okuno (1977)</w:t>
      </w:r>
      <w:r>
        <w:br/>
      </w:r>
      <w:r>
        <w:rPr>
          <w:rStyle w:val="normaltextrun"/>
        </w:rPr>
        <w:t>Zdroj: https://journals.openedition.org/cybergeo/23825</w:t>
      </w:r>
      <w:r>
        <w:t xml:space="preserve"> </w:t>
      </w:r>
    </w:p>
    <w:p w14:paraId="29065925" w14:textId="77777777" w:rsidR="009D71CC" w:rsidRDefault="00CB7CE8">
      <w:r>
        <w:lastRenderedPageBreak/>
        <w:t xml:space="preserve">V rámci diplomové práce byla použita stažená data z OpenStreetMap pomocí nástroje </w:t>
      </w:r>
      <w:r w:rsidRPr="00D5708D">
        <w:rPr>
          <w:i/>
          <w:iCs/>
        </w:rPr>
        <w:t>graph_from_polygon</w:t>
      </w:r>
      <w:r>
        <w:t>. V první části byla morfologie hodnocena v rámci celého města. Nicméně, bylo zjištěno, že tak velké území ovlivňuje výsledky. Proto v druhé fázi byly vypočítány indexy pro hexagonální síť.</w:t>
      </w:r>
    </w:p>
    <w:p w14:paraId="7396AA05" w14:textId="4575EF2D" w:rsidR="009D71CC" w:rsidRDefault="00CB7CE8">
      <w:pPr>
        <w:ind w:firstLine="432"/>
      </w:pPr>
      <w:r>
        <w:t xml:space="preserve">Pro připojení bodové vrstvy hran byl použit nástroj </w:t>
      </w:r>
      <w:r w:rsidRPr="00D5708D">
        <w:rPr>
          <w:i/>
          <w:iCs/>
        </w:rPr>
        <w:t>spatial join</w:t>
      </w:r>
      <w:r>
        <w:t xml:space="preserve">. Poté byly hrany grafu ořezány a připojeny. Byly vypočítány hodnoty indexu a zároveň byly vyhodnoceny typy </w:t>
      </w:r>
      <w:r w:rsidR="00D5708D">
        <w:t>vzory</w:t>
      </w:r>
      <w:r>
        <w:t xml:space="preserve"> vyskytující se v polygonu. Následně byl většinou zvolen určitý typ </w:t>
      </w:r>
      <w:r w:rsidR="00D5708D">
        <w:t>vzoru</w:t>
      </w:r>
      <w:r>
        <w:t>. Pokud se hodnota opakovala třikrát, rozhodl se GTP index.</w:t>
      </w:r>
    </w:p>
    <w:p w14:paraId="760569E4" w14:textId="77777777" w:rsidR="009D71CC" w:rsidRDefault="00CB7CE8">
      <w:pPr>
        <w:pStyle w:val="Nadpis4"/>
      </w:pPr>
      <w:r>
        <w:t>Centralita</w:t>
      </w:r>
    </w:p>
    <w:p w14:paraId="48BC3535" w14:textId="25DA5FF2" w:rsidR="009D71CC" w:rsidRDefault="00CB7CE8">
      <w:r>
        <w:t>Koncept centrality pochází ze sociologie a popisuje jev, kdy lidé nebo organizace v sociálních sítích mají výhodu přístupu k informacím (De Nooy, Mrvar, &amp; Batagelj,</w:t>
      </w:r>
      <w:r w:rsidR="003A7220">
        <w:t xml:space="preserve"> 2018</w:t>
      </w:r>
      <w:r>
        <w:t xml:space="preserve">). </w:t>
      </w:r>
      <w:r w:rsidR="00B97CF5" w:rsidRPr="00B97CF5">
        <w:t xml:space="preserve">Síťový přístup má dlouhou tradici také v ekonomické geografii a územním plánování, kde se používá ke zkoumání územních vztahů mezi komunikačními toky, obyvatelstvem, bohatstvím a využitím </w:t>
      </w:r>
      <w:r w:rsidR="0027273B" w:rsidRPr="00B97CF5">
        <w:t>území</w:t>
      </w:r>
      <w:r w:rsidR="0027273B">
        <w:t>.</w:t>
      </w:r>
      <w:r w:rsidR="00B97CF5" w:rsidRPr="00B97CF5">
        <w:t xml:space="preserve"> Při řešení městských uličních vzorců se však centralita studovala pouze v relačních sítích 11-13, přičemž se zanedbával tak zásadní aspekt, jako je geografie.</w:t>
      </w:r>
      <w:r w:rsidR="00B97CF5">
        <w:t xml:space="preserve"> </w:t>
      </w:r>
      <w:r>
        <w:t>Ke kvantifikaci centrality byla vyvinuta řada měřítek. Mezi těmito mírami jsou nejoblíbenější stupeň centrality, středová mezipoloha (betweenness centrality) a blízkost polohy ve středu (closeness centrality) (Freeman, 1978).</w:t>
      </w:r>
    </w:p>
    <w:p w14:paraId="775202F3" w14:textId="77777777" w:rsidR="009D71CC" w:rsidRDefault="00CB7CE8">
      <w:pPr>
        <w:tabs>
          <w:tab w:val="left" w:pos="360"/>
        </w:tabs>
      </w:pPr>
      <w:r>
        <w:tab/>
        <w:t>Betweenness centrality (index středová mezipoloha) popisuje důležitost každého uzlu nebo hrany pro cestování po síti. Měří, kolikrát je každý uzel/hrana použit, pokud procházíme nejkratšími cestami z každého uzlu do každého jiného:</w:t>
      </w:r>
    </w:p>
    <w:p w14:paraId="2048162C" w14:textId="77777777" w:rsidR="009D71CC" w:rsidRDefault="00CB7CE8">
      <w:pPr>
        <w:keepNext/>
        <w:tabs>
          <w:tab w:val="left" w:pos="360"/>
        </w:tabs>
        <w:jc w:val="center"/>
      </w:pPr>
      <w:r>
        <w:rPr>
          <w:noProof/>
        </w:rPr>
        <w:drawing>
          <wp:inline distT="0" distB="0" distL="0" distR="0" wp14:anchorId="60497A48" wp14:editId="7DE50700">
            <wp:extent cx="1678305" cy="865505"/>
            <wp:effectExtent l="0" t="0" r="0" b="0"/>
            <wp:docPr id="1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pic:cNvPicPr>
                      <a:picLocks noChangeAspect="1" noChangeArrowheads="1"/>
                    </pic:cNvPicPr>
                  </pic:nvPicPr>
                  <pic:blipFill>
                    <a:blip r:embed="rId28"/>
                    <a:stretch>
                      <a:fillRect/>
                    </a:stretch>
                  </pic:blipFill>
                  <pic:spPr bwMode="auto">
                    <a:xfrm>
                      <a:off x="0" y="0"/>
                      <a:ext cx="1678305" cy="865505"/>
                    </a:xfrm>
                    <a:prstGeom prst="rect">
                      <a:avLst/>
                    </a:prstGeom>
                  </pic:spPr>
                </pic:pic>
              </a:graphicData>
            </a:graphic>
          </wp:inline>
        </w:drawing>
      </w:r>
    </w:p>
    <w:p w14:paraId="08874D0F" w14:textId="77777777" w:rsidR="009D71CC" w:rsidRDefault="00CB7CE8">
      <w:pPr>
        <w:pStyle w:val="Obrazek"/>
      </w:pPr>
      <w:r>
        <w:t xml:space="preserve">Rov. </w:t>
      </w:r>
      <w:fldSimple w:instr=" SEQ Rov. \* ARABIC ">
        <w:r>
          <w:t>5</w:t>
        </w:r>
      </w:fldSimple>
      <w:r>
        <w:t xml:space="preserve"> Středová mezipoloha</w:t>
      </w:r>
    </w:p>
    <w:p w14:paraId="49A3FF55" w14:textId="77777777" w:rsidR="009D71CC" w:rsidRDefault="00CB7CE8">
      <w:pPr>
        <w:tabs>
          <w:tab w:val="left" w:pos="360"/>
        </w:tabs>
      </w:pPr>
      <w:r>
        <w:t xml:space="preserve">kde </w:t>
      </w:r>
      <w:r>
        <w:rPr>
          <w:i/>
          <w:iCs/>
        </w:rPr>
        <w:t>g</w:t>
      </w:r>
      <w:r>
        <w:rPr>
          <w:i/>
          <w:iCs/>
          <w:vertAlign w:val="subscript"/>
        </w:rPr>
        <w:t>st</w:t>
      </w:r>
      <w:r>
        <w:t xml:space="preserve"> je počet nejkratších cest z uzlu</w:t>
      </w:r>
      <w:r>
        <w:rPr>
          <w:i/>
          <w:iCs/>
        </w:rPr>
        <w:t xml:space="preserve"> s </w:t>
      </w:r>
      <w:r>
        <w:t>do uzlu</w:t>
      </w:r>
      <w:r>
        <w:rPr>
          <w:i/>
          <w:iCs/>
        </w:rPr>
        <w:t xml:space="preserve"> t</w:t>
      </w:r>
      <w:r>
        <w:t xml:space="preserve">, </w:t>
      </w:r>
      <w:r>
        <w:rPr>
          <w:i/>
          <w:iCs/>
        </w:rPr>
        <w:t>n</w:t>
      </w:r>
      <w:r>
        <w:rPr>
          <w:i/>
          <w:iCs/>
          <w:vertAlign w:val="superscript"/>
        </w:rPr>
        <w:t>i</w:t>
      </w:r>
      <w:r>
        <w:rPr>
          <w:i/>
          <w:iCs/>
          <w:vertAlign w:val="subscript"/>
        </w:rPr>
        <w:t>st</w:t>
      </w:r>
      <w:r>
        <w:t xml:space="preserve"> je počet nejkratších cest z uzlu</w:t>
      </w:r>
      <w:r>
        <w:rPr>
          <w:i/>
          <w:iCs/>
        </w:rPr>
        <w:t xml:space="preserve"> s </w:t>
      </w:r>
      <w:r>
        <w:t xml:space="preserve">do uzlu </w:t>
      </w:r>
      <w:r>
        <w:rPr>
          <w:i/>
          <w:iCs/>
        </w:rPr>
        <w:t>t</w:t>
      </w:r>
      <w:r>
        <w:t xml:space="preserve">, které procházejí uzlem </w:t>
      </w:r>
      <w:r>
        <w:rPr>
          <w:i/>
          <w:iCs/>
        </w:rPr>
        <w:t>i</w:t>
      </w:r>
      <w:r>
        <w:t xml:space="preserve">, </w:t>
      </w:r>
      <w:r>
        <w:rPr>
          <w:i/>
          <w:iCs/>
        </w:rPr>
        <w:t>B</w:t>
      </w:r>
      <w:r>
        <w:rPr>
          <w:i/>
          <w:iCs/>
          <w:vertAlign w:val="subscript"/>
        </w:rPr>
        <w:t>i</w:t>
      </w:r>
      <w:r>
        <w:t xml:space="preserve"> je pak hodnota </w:t>
      </w:r>
      <w:r>
        <w:rPr>
          <w:i/>
          <w:iCs/>
        </w:rPr>
        <w:t>betweenness centrality</w:t>
      </w:r>
      <w:r>
        <w:t xml:space="preserve"> uzlu </w:t>
      </w:r>
      <w:r>
        <w:rPr>
          <w:i/>
          <w:iCs/>
        </w:rPr>
        <w:t>i</w:t>
      </w:r>
      <w:r>
        <w:t>.</w:t>
      </w:r>
    </w:p>
    <w:p w14:paraId="33873346" w14:textId="77777777" w:rsidR="009D71CC" w:rsidRDefault="00CB7CE8">
      <w:pPr>
        <w:tabs>
          <w:tab w:val="left" w:pos="360"/>
        </w:tabs>
      </w:pPr>
      <w:r>
        <w:tab/>
        <w:t>Blízkost polohy ve středu (closeness centrality) určuje, jak blízko je uzel ke všem ostatním uzlům v síti. Vypočítá se jako průměr délky nejkratší cesty od uzlu ke každému jinému uzlu v síti:</w:t>
      </w:r>
    </w:p>
    <w:p w14:paraId="64C6E4A3" w14:textId="77777777" w:rsidR="009D71CC" w:rsidRDefault="00CB7CE8">
      <w:pPr>
        <w:keepNext/>
        <w:tabs>
          <w:tab w:val="left" w:pos="360"/>
        </w:tabs>
        <w:jc w:val="center"/>
      </w:pPr>
      <w:r>
        <w:rPr>
          <w:noProof/>
        </w:rPr>
        <w:drawing>
          <wp:inline distT="0" distB="0" distL="0" distR="0" wp14:anchorId="564A8BF3" wp14:editId="04E7DA59">
            <wp:extent cx="1717040" cy="922655"/>
            <wp:effectExtent l="0" t="0" r="0" b="0"/>
            <wp:docPr id="1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pic:cNvPicPr>
                      <a:picLocks noChangeAspect="1" noChangeArrowheads="1"/>
                    </pic:cNvPicPr>
                  </pic:nvPicPr>
                  <pic:blipFill>
                    <a:blip r:embed="rId29"/>
                    <a:stretch>
                      <a:fillRect/>
                    </a:stretch>
                  </pic:blipFill>
                  <pic:spPr bwMode="auto">
                    <a:xfrm>
                      <a:off x="0" y="0"/>
                      <a:ext cx="1717040" cy="922655"/>
                    </a:xfrm>
                    <a:prstGeom prst="rect">
                      <a:avLst/>
                    </a:prstGeom>
                  </pic:spPr>
                </pic:pic>
              </a:graphicData>
            </a:graphic>
          </wp:inline>
        </w:drawing>
      </w:r>
    </w:p>
    <w:p w14:paraId="3D3E23BF" w14:textId="77777777" w:rsidR="009D71CC" w:rsidRDefault="00CB7CE8">
      <w:pPr>
        <w:pStyle w:val="Obrazek"/>
      </w:pPr>
      <w:r>
        <w:t xml:space="preserve">Rov. </w:t>
      </w:r>
      <w:fldSimple w:instr=" SEQ Rov. \* ARABIC ">
        <w:r>
          <w:t>6</w:t>
        </w:r>
      </w:fldSimple>
      <w:r>
        <w:t xml:space="preserve"> Blízkost polohy</w:t>
      </w:r>
    </w:p>
    <w:p w14:paraId="13EE2AC2" w14:textId="77777777" w:rsidR="009D71CC" w:rsidRDefault="00CB7CE8">
      <w:pPr>
        <w:tabs>
          <w:tab w:val="left" w:pos="360"/>
        </w:tabs>
      </w:pPr>
      <w:r>
        <w:t>kde</w:t>
      </w:r>
      <w:r>
        <w:rPr>
          <w:i/>
          <w:iCs/>
        </w:rPr>
        <w:t xml:space="preserve"> n </w:t>
      </w:r>
      <w:r>
        <w:t xml:space="preserve">označuje počet uzlů v grafu, </w:t>
      </w:r>
      <w:r>
        <w:rPr>
          <w:i/>
          <w:iCs/>
        </w:rPr>
        <w:t>d</w:t>
      </w:r>
      <w:r>
        <w:rPr>
          <w:i/>
          <w:iCs/>
          <w:vertAlign w:val="subscript"/>
        </w:rPr>
        <w:t>ij</w:t>
      </w:r>
      <w:r>
        <w:t xml:space="preserve"> je délka nejkratší cesty mezi uzlem</w:t>
      </w:r>
      <w:r>
        <w:rPr>
          <w:i/>
          <w:iCs/>
        </w:rPr>
        <w:t xml:space="preserve"> i </w:t>
      </w:r>
      <w:r>
        <w:t>a uzlem</w:t>
      </w:r>
      <w:r>
        <w:rPr>
          <w:i/>
          <w:iCs/>
        </w:rPr>
        <w:t xml:space="preserve"> j</w:t>
      </w:r>
      <w:r>
        <w:t xml:space="preserve">, </w:t>
      </w:r>
      <w:r>
        <w:rPr>
          <w:i/>
          <w:iCs/>
        </w:rPr>
        <w:t>C</w:t>
      </w:r>
      <w:r>
        <w:rPr>
          <w:i/>
          <w:iCs/>
          <w:vertAlign w:val="subscript"/>
        </w:rPr>
        <w:t>i</w:t>
      </w:r>
      <w:r>
        <w:t xml:space="preserve"> odkazuje na centralitu blízkosti uzlu.</w:t>
      </w:r>
    </w:p>
    <w:p w14:paraId="32EB1C2F" w14:textId="24DA7B50" w:rsidR="009D71CC" w:rsidRDefault="00CB7CE8">
      <w:pPr>
        <w:tabs>
          <w:tab w:val="left" w:pos="360"/>
        </w:tabs>
      </w:pPr>
      <w:r>
        <w:lastRenderedPageBreak/>
        <w:tab/>
        <w:t xml:space="preserve">Stupeň centrality nodu grafu označuje počet uzlů, které jsou s ním přímo propojeny. Matematicky je </w:t>
      </w:r>
      <w:r>
        <w:rPr>
          <w:i/>
          <w:iCs/>
        </w:rPr>
        <w:t>degree centrality</w:t>
      </w:r>
      <w:r>
        <w:rPr>
          <w:noProof/>
        </w:rPr>
        <w:drawing>
          <wp:anchor distT="0" distB="0" distL="0" distR="0" simplePos="0" relativeHeight="251654656" behindDoc="0" locked="0" layoutInCell="0" allowOverlap="1" wp14:anchorId="4DB03F7B" wp14:editId="13C14E2E">
            <wp:simplePos x="0" y="0"/>
            <wp:positionH relativeFrom="column">
              <wp:align>center</wp:align>
            </wp:positionH>
            <wp:positionV relativeFrom="paragraph">
              <wp:posOffset>635</wp:posOffset>
            </wp:positionV>
            <wp:extent cx="5170170" cy="1478915"/>
            <wp:effectExtent l="0" t="0" r="0" b="0"/>
            <wp:wrapSquare wrapText="largest"/>
            <wp:docPr id="1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
                    <pic:cNvPicPr>
                      <a:picLocks noChangeAspect="1" noChangeArrowheads="1"/>
                    </pic:cNvPicPr>
                  </pic:nvPicPr>
                  <pic:blipFill>
                    <a:blip r:embed="rId30"/>
                    <a:stretch>
                      <a:fillRect/>
                    </a:stretch>
                  </pic:blipFill>
                  <pic:spPr bwMode="auto">
                    <a:xfrm>
                      <a:off x="0" y="0"/>
                      <a:ext cx="5170170" cy="1478915"/>
                    </a:xfrm>
                    <a:prstGeom prst="rect">
                      <a:avLst/>
                    </a:prstGeom>
                  </pic:spPr>
                </pic:pic>
              </a:graphicData>
            </a:graphic>
          </wp:anchor>
        </w:drawing>
      </w:r>
      <w:r w:rsidR="00A94081">
        <w:rPr>
          <w:noProof/>
        </w:rPr>
        <mc:AlternateContent>
          <mc:Choice Requires="wps">
            <w:drawing>
              <wp:anchor distT="0" distB="0" distL="114300" distR="114300" simplePos="0" relativeHeight="251660288" behindDoc="0" locked="0" layoutInCell="0" allowOverlap="1" wp14:anchorId="1E92A3BE" wp14:editId="4AD33D10">
                <wp:simplePos x="0" y="0"/>
                <wp:positionH relativeFrom="column">
                  <wp:posOffset>205105</wp:posOffset>
                </wp:positionH>
                <wp:positionV relativeFrom="paragraph">
                  <wp:posOffset>1536700</wp:posOffset>
                </wp:positionV>
                <wp:extent cx="5170170" cy="213360"/>
                <wp:effectExtent l="0" t="0" r="0" b="0"/>
                <wp:wrapSquare wrapText="bothSides"/>
                <wp:docPr id="1443594159"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0170" cy="213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AAA2CBA" w14:textId="77777777" w:rsidR="009D71CC" w:rsidRDefault="00CB7CE8">
                            <w:pPr>
                              <w:pStyle w:val="Obrazek"/>
                              <w:rPr>
                                <w:sz w:val="20"/>
                                <w:szCs w:val="24"/>
                              </w:rPr>
                            </w:pPr>
                            <w:r>
                              <w:rPr>
                                <w:color w:val="000000"/>
                              </w:rPr>
                              <w:t xml:space="preserve">Rov. </w:t>
                            </w:r>
                            <w:r>
                              <w:rPr>
                                <w:color w:val="000000"/>
                              </w:rPr>
                              <w:fldChar w:fldCharType="begin"/>
                            </w:r>
                            <w:r>
                              <w:rPr>
                                <w:color w:val="000000"/>
                              </w:rPr>
                              <w:instrText xml:space="preserve"> SEQ Rov. \* ARABIC </w:instrText>
                            </w:r>
                            <w:r>
                              <w:rPr>
                                <w:color w:val="000000"/>
                              </w:rPr>
                              <w:fldChar w:fldCharType="separate"/>
                            </w:r>
                            <w:r>
                              <w:rPr>
                                <w:color w:val="000000"/>
                              </w:rPr>
                              <w:t>7</w:t>
                            </w:r>
                            <w:r>
                              <w:rPr>
                                <w:color w:val="000000"/>
                              </w:rPr>
                              <w:fldChar w:fldCharType="end"/>
                            </w:r>
                            <w:r>
                              <w:rPr>
                                <w:color w:val="000000"/>
                              </w:rPr>
                              <w:t xml:space="preserve"> Stupeň nodu</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rect w14:anchorId="1E92A3BE" id="Obdélník 1" o:spid="_x0000_s1026" style="position:absolute;left:0;text-align:left;margin-left:16.15pt;margin-top:121pt;width:407.1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yh5QEAAD4EAAAOAAAAZHJzL2Uyb0RvYy54bWysU1Fr2zAQfh/sPwi9L3ZS1g0Tp5SVjEHZ&#10;ytr9AFmWYlFZJyQ1dv79ThfbDdtTx4wRJ+m+u/u+O21vxt6yowrRgKv5elVyppyE1rhDzX897T98&#10;5iwm4Vphwaman1TkN7v377aDr9QGOrCtCgyDuFgNvuZdSr4qiig71Yu4Aq8cXmoIvUi4DYeiDWLA&#10;6L0tNmV5XQwQWh9Aqhjx9O58yXcUX2sl0w+to0rM1hxrS7QGWpu8FrutqA5B+M7IqQzxD1X0wjhM&#10;uoS6E0mwl2D+CtUbGSCCTisJfQFaG6mIA7JZl3+weeyEV8QFxYl+kSn+v7Dy+/HRP4RcevT3IJ8j&#10;KlIMPlbLTd7EyWfUoc++WDgbScXToqIaE5N4+HH9qcSfM4l3m/XV1TXJXIhqRvsQ01cFPctGzQN2&#10;icQTx/uYcn5RzS5UGFjT7o21tAmH5osN7Ciwo3v6chMREi/drGNDrixDHGTw2cm6id6ZEXFLJ6uy&#10;n3U/lWamJWKUS07JzgODE42s5rHBjATIjhrjvxE7QTJa0Zy+Eb+AKD+4tOB74yCQJhfsspnGZkQV&#10;stlAe3oIzH5zOEv5XcxGmI1mNoSTHaAA5xY5uH1JoA216TXSJCoOKbVielD5FVzuyev12e9+AwAA&#10;//8DAFBLAwQUAAYACAAAACEATHaqQ+AAAAAKAQAADwAAAGRycy9kb3ducmV2LnhtbEyPwU7DMAyG&#10;70i8Q2Qkbiwl27qqNJ0mpIlxG2vFOWuyptA4VZNt5e0xp3G0/en39xfryfXsYsbQeZTwPEuAGWy8&#10;7rCVUFfbpwxYiAq16j0aCT8mwLq8vytUrv0VP8zlEFtGIRhyJcHGOOSch8Yap8LMDwbpdvKjU5HG&#10;seV6VFcKdz0XSZJypzqkD1YN5tWa5vtwdhJWG199it37bm/3J5XW2dfbtq6kfHyYNi/AopniDYY/&#10;fVKHkpyO/ow6sF7CXMyJlCAWgjoRkC3SJbAjbVbLFHhZ8P8Vyl8AAAD//wMAUEsBAi0AFAAGAAgA&#10;AAAhALaDOJL+AAAA4QEAABMAAAAAAAAAAAAAAAAAAAAAAFtDb250ZW50X1R5cGVzXS54bWxQSwEC&#10;LQAUAAYACAAAACEAOP0h/9YAAACUAQAACwAAAAAAAAAAAAAAAAAvAQAAX3JlbHMvLnJlbHNQSwEC&#10;LQAUAAYACAAAACEAU6msoeUBAAA+BAAADgAAAAAAAAAAAAAAAAAuAgAAZHJzL2Uyb0RvYy54bWxQ&#10;SwECLQAUAAYACAAAACEATHaqQ+AAAAAKAQAADwAAAAAAAAAAAAAAAAA/BAAAZHJzL2Rvd25yZXYu&#10;eG1sUEsFBgAAAAAEAAQA8wAAAEwFAAAAAA==&#10;" o:allowincell="f" stroked="f" strokeweight="0">
                <v:textbox inset="0,0,0,0">
                  <w:txbxContent>
                    <w:p w14:paraId="0AAA2CBA" w14:textId="77777777" w:rsidR="009D71CC" w:rsidRDefault="00CB7CE8">
                      <w:pPr>
                        <w:pStyle w:val="Obrazek"/>
                        <w:rPr>
                          <w:sz w:val="20"/>
                          <w:szCs w:val="24"/>
                        </w:rPr>
                      </w:pPr>
                      <w:r>
                        <w:rPr>
                          <w:color w:val="000000"/>
                        </w:rPr>
                        <w:t xml:space="preserve">Rov. </w:t>
                      </w:r>
                      <w:r>
                        <w:rPr>
                          <w:color w:val="000000"/>
                        </w:rPr>
                        <w:fldChar w:fldCharType="begin"/>
                      </w:r>
                      <w:r>
                        <w:rPr>
                          <w:color w:val="000000"/>
                        </w:rPr>
                        <w:instrText xml:space="preserve"> SEQ Rov. \* ARABIC </w:instrText>
                      </w:r>
                      <w:r>
                        <w:rPr>
                          <w:color w:val="000000"/>
                        </w:rPr>
                        <w:fldChar w:fldCharType="separate"/>
                      </w:r>
                      <w:r>
                        <w:rPr>
                          <w:color w:val="000000"/>
                        </w:rPr>
                        <w:t>7</w:t>
                      </w:r>
                      <w:r>
                        <w:rPr>
                          <w:color w:val="000000"/>
                        </w:rPr>
                        <w:fldChar w:fldCharType="end"/>
                      </w:r>
                      <w:r>
                        <w:rPr>
                          <w:color w:val="000000"/>
                        </w:rPr>
                        <w:t xml:space="preserve"> Stupeň nodu</w:t>
                      </w:r>
                    </w:p>
                  </w:txbxContent>
                </v:textbox>
                <w10:wrap type="square"/>
              </v:rect>
            </w:pict>
          </mc:Fallback>
        </mc:AlternateContent>
      </w:r>
      <w:r>
        <w:t xml:space="preserve"> definována jako:</w:t>
      </w:r>
    </w:p>
    <w:p w14:paraId="00A50A66" w14:textId="77777777" w:rsidR="009D71CC" w:rsidRDefault="00CB7CE8">
      <w:pPr>
        <w:tabs>
          <w:tab w:val="left" w:pos="360"/>
        </w:tabs>
      </w:pPr>
      <w:r>
        <w:t>kde</w:t>
      </w:r>
      <w:r>
        <w:rPr>
          <w:i/>
          <w:iCs/>
        </w:rPr>
        <w:t xml:space="preserve"> i </w:t>
      </w:r>
      <w:r>
        <w:t>a</w:t>
      </w:r>
      <w:r>
        <w:rPr>
          <w:i/>
          <w:iCs/>
        </w:rPr>
        <w:t xml:space="preserve"> j </w:t>
      </w:r>
      <w:r>
        <w:t xml:space="preserve">jsou proměnné odkazující na identifikační číslo uzlů, </w:t>
      </w:r>
      <w:r>
        <w:rPr>
          <w:i/>
          <w:iCs/>
        </w:rPr>
        <w:t>e</w:t>
      </w:r>
      <w:r>
        <w:rPr>
          <w:i/>
          <w:iCs/>
          <w:vertAlign w:val="subscript"/>
        </w:rPr>
        <w:t>ij</w:t>
      </w:r>
      <w:r>
        <w:t xml:space="preserve"> je proměnná označující vztah spojení mezi uzlem</w:t>
      </w:r>
      <w:r>
        <w:rPr>
          <w:i/>
          <w:iCs/>
        </w:rPr>
        <w:t xml:space="preserve"> i </w:t>
      </w:r>
      <w:r>
        <w:t>a</w:t>
      </w:r>
      <w:r>
        <w:rPr>
          <w:i/>
          <w:iCs/>
        </w:rPr>
        <w:t xml:space="preserve"> j </w:t>
      </w:r>
      <w:r>
        <w:t>uzlem,</w:t>
      </w:r>
      <w:r>
        <w:rPr>
          <w:i/>
          <w:iCs/>
        </w:rPr>
        <w:t xml:space="preserve"> D</w:t>
      </w:r>
      <w:r>
        <w:rPr>
          <w:i/>
          <w:iCs/>
          <w:vertAlign w:val="subscript"/>
        </w:rPr>
        <w:t>i</w:t>
      </w:r>
      <w:r>
        <w:rPr>
          <w:i/>
          <w:iCs/>
        </w:rPr>
        <w:t xml:space="preserve"> </w:t>
      </w:r>
      <w:r>
        <w:t>odkazuje na hodnotu stupně uzlu.</w:t>
      </w:r>
    </w:p>
    <w:p w14:paraId="568C9DEE" w14:textId="38A5A6FB" w:rsidR="009D71CC" w:rsidRDefault="00CB7CE8">
      <w:pPr>
        <w:tabs>
          <w:tab w:val="left" w:pos="360"/>
        </w:tabs>
      </w:pPr>
      <w:r>
        <w:tab/>
        <w:t xml:space="preserve">Výpočet centrality se v průběhu práce měnil. V první fázi byl použit toolbox Urban Network Analysis, ale tento nástroj často </w:t>
      </w:r>
      <w:r w:rsidR="00523E94">
        <w:t xml:space="preserve">selhával </w:t>
      </w:r>
      <w:r>
        <w:t>a fungoval pouze v programu ArcMap. Z</w:t>
      </w:r>
      <w:r w:rsidR="00A30A48">
        <w:t> </w:t>
      </w:r>
      <w:r>
        <w:t xml:space="preserve">tohoto důvodu byl zvolen nástroj sDNA od Cardifské univerzity, který podporuje použití v ArcGIS Pro. Nicméně tento nástroj má omezenou podporu </w:t>
      </w:r>
      <w:r w:rsidRPr="00523E94">
        <w:rPr>
          <w:i/>
          <w:iCs/>
        </w:rPr>
        <w:t>command line</w:t>
      </w:r>
      <w:r>
        <w:t xml:space="preserve"> a vyžaduje vysoké nároky na paměť RAM.</w:t>
      </w:r>
    </w:p>
    <w:p w14:paraId="6B939A1D" w14:textId="77777777" w:rsidR="009D71CC" w:rsidRDefault="00CB7CE8">
      <w:pPr>
        <w:tabs>
          <w:tab w:val="left" w:pos="360"/>
        </w:tabs>
      </w:pPr>
      <w:r>
        <w:tab/>
        <w:t>Proto byla zvolena knihovna OSMnx a nástroje pro výpočet centrality. Výpočet centrality byl i tak náročný, protože Python využívá pouze jedno jádro procesoru. Aby bylo možné tento proces paralelizovat, byla použita paralelní zpracování. Bohužel, tento krok se příliš neosvědčil kvůli vysokým nárokům na paměť RAM. Z tohoto důvodu byl zakoupen server od společnosti Azure, na kterém byly výpočty provedeny.</w:t>
      </w:r>
    </w:p>
    <w:p w14:paraId="188C29FF" w14:textId="77777777" w:rsidR="009D71CC" w:rsidRDefault="00CB7CE8">
      <w:pPr>
        <w:tabs>
          <w:tab w:val="left" w:pos="360"/>
        </w:tabs>
      </w:pPr>
      <w:r>
        <w:tab/>
        <w:t>V prvním kroku byla načtená stažená data silniční sítě a spojena do grafu. Následně byly hodnoty vypočítány jednotlivé metriky. Výsledná data byla uložena do databáze geopackage a vizualizována.</w:t>
      </w:r>
    </w:p>
    <w:p w14:paraId="5433DEFF" w14:textId="77777777" w:rsidR="009D71CC" w:rsidRDefault="00CB7CE8">
      <w:pPr>
        <w:pStyle w:val="Nadpis1"/>
      </w:pPr>
      <w:bookmarkStart w:id="87" w:name="_Toc133611825"/>
      <w:bookmarkStart w:id="88" w:name="_Toc133957941"/>
      <w:bookmarkStart w:id="89" w:name="_Toc143013757"/>
      <w:r>
        <w:t>Ekonomická aktivita</w:t>
      </w:r>
      <w:bookmarkEnd w:id="87"/>
      <w:bookmarkEnd w:id="88"/>
      <w:bookmarkEnd w:id="89"/>
    </w:p>
    <w:p w14:paraId="64FEC1CA" w14:textId="77777777" w:rsidR="009D71CC" w:rsidRDefault="00CB7CE8">
      <w:r>
        <w:t>V rámci diplomové práce byla zkoumána ekonomická aktivita na základě dvou datových zdrojů. V následujících podkapitolách budou dopodrobna popsány zdroje a vybrané ekonomické kategorie.</w:t>
      </w:r>
    </w:p>
    <w:p w14:paraId="1C5D4477" w14:textId="77777777" w:rsidR="009D71CC" w:rsidRDefault="00CB7CE8">
      <w:pPr>
        <w:pStyle w:val="Nadpis2"/>
      </w:pPr>
      <w:bookmarkStart w:id="90" w:name="_Toc133611826"/>
      <w:bookmarkStart w:id="91" w:name="_Toc133957942"/>
      <w:bookmarkStart w:id="92" w:name="_Toc143013758"/>
      <w:r>
        <w:t>Urban Atlas</w:t>
      </w:r>
      <w:bookmarkEnd w:id="90"/>
      <w:bookmarkEnd w:id="91"/>
      <w:bookmarkEnd w:id="92"/>
    </w:p>
    <w:p w14:paraId="41185A27" w14:textId="77777777" w:rsidR="009D71CC" w:rsidRDefault="00CB7CE8">
      <w:r>
        <w:t>Vrstva "industrial, commercial, public, military &amp; private units" z Urban Atlasu poskytuje informace o různých typech budov v městských oblastech, včetně průmyslových, obchodních, veřejných, vojenských a soukromých jednotek. Tato vrstva je užitečná pro analýzu ekonomické aktivity v dané oblasti.</w:t>
      </w:r>
    </w:p>
    <w:p w14:paraId="5E476A99" w14:textId="77777777" w:rsidR="009D71CC" w:rsidRDefault="00CB7CE8">
      <w:pPr>
        <w:tabs>
          <w:tab w:val="left" w:pos="317"/>
        </w:tabs>
      </w:pPr>
      <w:r>
        <w:tab/>
        <w:t xml:space="preserve">Průmyslové budovy mohou být spojeny s výrobou, skladováním nebo distribucí zboží, zatímco komerční budovy se obvykle používají pro prodej nebo služby. Veřejné budovy mohou zahrnovat školy, nemocnice, úřady atd. Vojenské budovy mohou být součástí vojenských zařízení, jako jsou kasárna, základny nebo cvičiště. Soukromé budovy zahrnují budovy, které jsou vlastněny a používány soukromými osobami. Vrstva </w:t>
      </w:r>
      <w:r>
        <w:rPr>
          <w:i/>
          <w:iCs/>
        </w:rPr>
        <w:t xml:space="preserve">industrial, commercial, public, military &amp; private </w:t>
      </w:r>
      <w:r>
        <w:t>units zahrnuje následující ekonomické jednotky v městských oblastech:</w:t>
      </w:r>
    </w:p>
    <w:p w14:paraId="74D16704" w14:textId="77777777" w:rsidR="009D71CC" w:rsidRDefault="00CB7CE8">
      <w:pPr>
        <w:numPr>
          <w:ilvl w:val="0"/>
          <w:numId w:val="13"/>
        </w:numPr>
      </w:pPr>
      <w:r>
        <w:t>Výrobní areály</w:t>
      </w:r>
    </w:p>
    <w:p w14:paraId="2069F2D3" w14:textId="77777777" w:rsidR="009D71CC" w:rsidRDefault="00CB7CE8">
      <w:pPr>
        <w:numPr>
          <w:ilvl w:val="0"/>
          <w:numId w:val="13"/>
        </w:numPr>
      </w:pPr>
      <w:r>
        <w:t>Energetické závody</w:t>
      </w:r>
    </w:p>
    <w:p w14:paraId="1B95518F" w14:textId="77777777" w:rsidR="009D71CC" w:rsidRDefault="00CB7CE8">
      <w:pPr>
        <w:ind w:left="720"/>
      </w:pPr>
      <w:r>
        <w:lastRenderedPageBreak/>
        <w:t xml:space="preserve">- jaderné, solární, vodní, tepelné, elektrické a větrné elektrárny </w:t>
      </w:r>
    </w:p>
    <w:p w14:paraId="4A66AAAC" w14:textId="77777777" w:rsidR="009D71CC" w:rsidRDefault="00CB7CE8">
      <w:pPr>
        <w:numPr>
          <w:ilvl w:val="0"/>
          <w:numId w:val="13"/>
        </w:numPr>
      </w:pPr>
      <w:r>
        <w:t>Čistírny odpadních vod</w:t>
      </w:r>
    </w:p>
    <w:p w14:paraId="5FAE6C83" w14:textId="77777777" w:rsidR="009D71CC" w:rsidRDefault="00CB7CE8">
      <w:pPr>
        <w:numPr>
          <w:ilvl w:val="0"/>
          <w:numId w:val="13"/>
        </w:numPr>
      </w:pPr>
      <w:r>
        <w:t>Zemědělská odvětví (farmy s velkými budovami a/nebo skleníky)</w:t>
      </w:r>
    </w:p>
    <w:p w14:paraId="4185CA3C" w14:textId="77777777" w:rsidR="009D71CC" w:rsidRDefault="00CB7CE8">
      <w:pPr>
        <w:numPr>
          <w:ilvl w:val="0"/>
          <w:numId w:val="13"/>
        </w:numPr>
      </w:pPr>
      <w:r>
        <w:t>Antény, a to i s převažující vegetací</w:t>
      </w:r>
    </w:p>
    <w:p w14:paraId="44AC482C" w14:textId="77777777" w:rsidR="009D71CC" w:rsidRDefault="00CB7CE8">
      <w:pPr>
        <w:numPr>
          <w:ilvl w:val="0"/>
          <w:numId w:val="13"/>
        </w:numPr>
      </w:pPr>
      <w:r>
        <w:t>Vegetační plochy mohou být převažující, ale půda není určena pro lesnictví nebo zemědělství</w:t>
      </w:r>
    </w:p>
    <w:p w14:paraId="20599ACD" w14:textId="77777777" w:rsidR="009D71CC" w:rsidRDefault="00CB7CE8">
      <w:pPr>
        <w:numPr>
          <w:ilvl w:val="0"/>
          <w:numId w:val="13"/>
        </w:numPr>
      </w:pPr>
      <w:r>
        <w:t>Úpravny vody</w:t>
      </w:r>
    </w:p>
    <w:p w14:paraId="289463A5" w14:textId="77777777" w:rsidR="009D71CC" w:rsidRDefault="00CB7CE8">
      <w:pPr>
        <w:numPr>
          <w:ilvl w:val="0"/>
          <w:numId w:val="13"/>
        </w:numPr>
      </w:pPr>
      <w:r>
        <w:t>Čistírny odpadních vod</w:t>
      </w:r>
    </w:p>
    <w:p w14:paraId="5FBF7B1E" w14:textId="77777777" w:rsidR="009D71CC" w:rsidRDefault="00CB7CE8">
      <w:pPr>
        <w:numPr>
          <w:ilvl w:val="0"/>
          <w:numId w:val="13"/>
        </w:numPr>
      </w:pPr>
      <w:r>
        <w:t>Zařízení na odsolování mořské vody</w:t>
      </w:r>
    </w:p>
    <w:p w14:paraId="4FE3275B" w14:textId="77777777" w:rsidR="009D71CC" w:rsidRDefault="00CB7CE8">
      <w:r>
        <w:t xml:space="preserve">V první části analýzy byl zkoumán procentuální podíl vybraných typů </w:t>
      </w:r>
      <w:r>
        <w:rPr>
          <w:i/>
          <w:iCs/>
        </w:rPr>
        <w:t>Urban Atlas</w:t>
      </w:r>
      <w:r>
        <w:t xml:space="preserve">. Nové vytvořenou hranicí byla vrstva </w:t>
      </w:r>
      <w:r>
        <w:rPr>
          <w:i/>
          <w:iCs/>
        </w:rPr>
        <w:t>Urban Atlas</w:t>
      </w:r>
      <w:r>
        <w:t xml:space="preserve"> ořezána a vypočteny statistické hodnoty. Pro analýzu byly vybrány následující typy:</w:t>
      </w:r>
    </w:p>
    <w:p w14:paraId="5869B8C1" w14:textId="77777777" w:rsidR="009D71CC" w:rsidRDefault="00CB7CE8">
      <w:pPr>
        <w:pStyle w:val="Odstavecseseznamem"/>
        <w:numPr>
          <w:ilvl w:val="0"/>
          <w:numId w:val="21"/>
        </w:numPr>
      </w:pPr>
      <w:r>
        <w:t>Železniční síť</w:t>
      </w:r>
    </w:p>
    <w:p w14:paraId="6AE1B720" w14:textId="77777777" w:rsidR="009D71CC" w:rsidRDefault="00CB7CE8">
      <w:pPr>
        <w:pStyle w:val="Odstavecseseznamem"/>
        <w:numPr>
          <w:ilvl w:val="0"/>
          <w:numId w:val="21"/>
        </w:numPr>
      </w:pPr>
      <w:r>
        <w:t>Přístavní síť</w:t>
      </w:r>
    </w:p>
    <w:p w14:paraId="703B3FDB" w14:textId="77777777" w:rsidR="009D71CC" w:rsidRDefault="00CB7CE8">
      <w:pPr>
        <w:pStyle w:val="Odstavecseseznamem"/>
        <w:numPr>
          <w:ilvl w:val="0"/>
          <w:numId w:val="21"/>
        </w:numPr>
      </w:pPr>
      <w:r>
        <w:t>Letištní plocha</w:t>
      </w:r>
    </w:p>
    <w:p w14:paraId="2C0DB0DE" w14:textId="77777777" w:rsidR="009D71CC" w:rsidRDefault="00CB7CE8">
      <w:pPr>
        <w:pStyle w:val="Odstavecseseznamem"/>
        <w:numPr>
          <w:ilvl w:val="0"/>
          <w:numId w:val="21"/>
        </w:numPr>
      </w:pPr>
      <w:r>
        <w:t>Průmyslové/Komerční plochy</w:t>
      </w:r>
    </w:p>
    <w:p w14:paraId="2446F550" w14:textId="77777777" w:rsidR="009D71CC" w:rsidRDefault="00CB7CE8">
      <w:pPr>
        <w:pStyle w:val="Odstavecseseznamem"/>
        <w:numPr>
          <w:ilvl w:val="0"/>
          <w:numId w:val="21"/>
        </w:numPr>
      </w:pPr>
      <w:r>
        <w:t>Středně a nízce zalidněná oblast</w:t>
      </w:r>
    </w:p>
    <w:p w14:paraId="513DCE89" w14:textId="77777777" w:rsidR="009D71CC" w:rsidRDefault="00CB7CE8">
      <w:pPr>
        <w:pStyle w:val="Odstavecseseznamem"/>
        <w:numPr>
          <w:ilvl w:val="0"/>
          <w:numId w:val="21"/>
        </w:numPr>
      </w:pPr>
      <w:r>
        <w:t>Hustě zalidněná oblast</w:t>
      </w:r>
    </w:p>
    <w:p w14:paraId="4B293AC1" w14:textId="77777777" w:rsidR="009D71CC" w:rsidRDefault="00CB7CE8">
      <w:r>
        <w:t>Výsledné hodnoty byly analyzovány v programu Orange, kde byly vytvořeny statistické výstupy. Na základě vypočítaných ploch obslužnosti MHD byla vrstva ekonomické aktivity ořezána a spočítán procentuální podíl plochy, kterou lze dosáhnout díky hromadné dopravě. Tato analýza byla provedena pro každé město a typ dopravy. Výsledná statistická data byla zkoumána a porovnávána v programu Orange.</w:t>
      </w:r>
      <w:bookmarkStart w:id="93" w:name="_Toc133611827"/>
      <w:bookmarkStart w:id="94" w:name="_Toc133957943"/>
    </w:p>
    <w:p w14:paraId="07BFE7EA" w14:textId="77777777" w:rsidR="009D71CC" w:rsidRDefault="00CB7CE8">
      <w:pPr>
        <w:ind w:firstLine="357"/>
      </w:pPr>
      <w:r>
        <w:t xml:space="preserve">V diplomové práci byla také zkoumána podobnost využití půdy pomocí </w:t>
      </w:r>
      <w:r>
        <w:rPr>
          <w:i/>
          <w:iCs/>
        </w:rPr>
        <w:t>Image Analytics</w:t>
      </w:r>
      <w:r>
        <w:t xml:space="preserve"> v programu Orange. Nejprve byl pomocí knihovny </w:t>
      </w:r>
      <w:r>
        <w:rPr>
          <w:i/>
          <w:iCs/>
        </w:rPr>
        <w:t>geopandas</w:t>
      </w:r>
      <w:r>
        <w:t xml:space="preserve"> vytvořen </w:t>
      </w:r>
      <w:r>
        <w:rPr>
          <w:i/>
          <w:iCs/>
        </w:rPr>
        <w:t>centroid</w:t>
      </w:r>
      <w:r>
        <w:t xml:space="preserve"> polygonu města a následně vypočten jeho obvod, který vstupoval jako hodnota distance do nástroje "buffer". Tento buffer byl poté použit k oříznutí vstupních dat z Urban Altasu. Avšak tato metoda byla opuštěna, protože byly příliš velké rozdíly ve velikosti měst, což způsobovalo znehodnocení výsledků.</w:t>
      </w:r>
    </w:p>
    <w:p w14:paraId="6830C1C4" w14:textId="77777777" w:rsidR="009D71CC" w:rsidRDefault="00CB7CE8">
      <w:pPr>
        <w:pStyle w:val="Nadpis2"/>
      </w:pPr>
      <w:bookmarkStart w:id="95" w:name="_Toc143013759"/>
      <w:r>
        <w:t>Retail z OpenStreetMap</w:t>
      </w:r>
      <w:bookmarkEnd w:id="93"/>
      <w:bookmarkEnd w:id="94"/>
      <w:bookmarkEnd w:id="95"/>
    </w:p>
    <w:p w14:paraId="31865A2A" w14:textId="77777777" w:rsidR="009D71CC" w:rsidRDefault="00CB7CE8">
      <w:r>
        <w:t>Retail je obecně považován za kvalitní ukazatel ekonomické aktivity ve městech. Toto odvětví vytváří velkou část celkové zaměstnanosti a výdajů na soukromou konečnou spotřebu, které představují přibližně 60 % celkového HDP členských zemí OECD. Statistiky maloobchodu jsou proto velmi užitečným ukazatelem krátkodobého vývoje celé ekonomiky.</w:t>
      </w:r>
    </w:p>
    <w:p w14:paraId="0A3DCE8F" w14:textId="1609D2A0" w:rsidR="009D71CC" w:rsidRDefault="00CB7CE8">
      <w:pPr>
        <w:ind w:firstLine="357"/>
      </w:pPr>
      <w:r>
        <w:t>Kromě toho mohou data z retailu pomoci v plánování a rozhodování o městském rozvoji, jako je například plánování nových nákupních center, umístění nových obchodů a stanovení daňových sazeb a poplatků. Analyzování dat z retailu může být také užitečné pro sledování trendů v oblasti spotřeby, změny v preferencích zákazníků a vývoje trhu v</w:t>
      </w:r>
      <w:r w:rsidR="00523E94">
        <w:t> </w:t>
      </w:r>
      <w:r>
        <w:t>různých sektorech.</w:t>
      </w:r>
    </w:p>
    <w:p w14:paraId="0029FA80" w14:textId="77777777" w:rsidR="009D71CC" w:rsidRDefault="00CB7CE8">
      <w:pPr>
        <w:ind w:firstLine="357"/>
      </w:pPr>
      <w:r>
        <w:t>V městských oblastech se obvykle shlukují různé typy retailu, aby zajistily přístupnost zboží pro co nejvíce zákazníků a aby vytvořily ekonomickou synergií. Na základě expertní analýzy dat z OpenStreetMap byly vybrány typy retailu:</w:t>
      </w:r>
    </w:p>
    <w:p w14:paraId="657BBCF7" w14:textId="77777777" w:rsidR="009D71CC" w:rsidRDefault="00CB7CE8">
      <w:pPr>
        <w:pStyle w:val="Odstavecseseznamem"/>
        <w:numPr>
          <w:ilvl w:val="1"/>
          <w:numId w:val="13"/>
        </w:numPr>
      </w:pPr>
      <w:r w:rsidRPr="00705888">
        <w:rPr>
          <w:i/>
          <w:iCs/>
        </w:rPr>
        <w:t xml:space="preserve">Supermarkety a hypermarkety </w:t>
      </w:r>
      <w:r>
        <w:t>– tyto obchody nabízejí široký sortiment potravin a dalších zboží a jsou často umístěny v obchodních centrech.</w:t>
      </w:r>
    </w:p>
    <w:p w14:paraId="570D3FF9" w14:textId="0A9758C8" w:rsidR="009D71CC" w:rsidRDefault="00CB7CE8">
      <w:pPr>
        <w:pStyle w:val="Odstavecseseznamem"/>
        <w:numPr>
          <w:ilvl w:val="1"/>
          <w:numId w:val="13"/>
        </w:numPr>
      </w:pPr>
      <w:r w:rsidRPr="00705888">
        <w:rPr>
          <w:i/>
          <w:iCs/>
        </w:rPr>
        <w:lastRenderedPageBreak/>
        <w:t>Módní butiky</w:t>
      </w:r>
      <w:r>
        <w:t xml:space="preserve"> – specializují se na prodej oblečení, obuvi a doplňků. Mnohé z</w:t>
      </w:r>
      <w:r w:rsidR="00523E94">
        <w:t> </w:t>
      </w:r>
      <w:r>
        <w:t>nich nabízejí značkové zboží a jsou umístěny v centru města nebo v</w:t>
      </w:r>
      <w:r w:rsidR="00523E94">
        <w:t> </w:t>
      </w:r>
      <w:r>
        <w:t>nákupních centrech.</w:t>
      </w:r>
    </w:p>
    <w:p w14:paraId="325C1F6E" w14:textId="064502BD" w:rsidR="009D71CC" w:rsidRDefault="00705888">
      <w:pPr>
        <w:pStyle w:val="Odstavecseseznamem"/>
        <w:numPr>
          <w:ilvl w:val="1"/>
          <w:numId w:val="13"/>
        </w:numPr>
      </w:pPr>
      <w:r w:rsidRPr="00705888">
        <w:rPr>
          <w:i/>
          <w:iCs/>
        </w:rPr>
        <w:t>Obchody s elektronikou</w:t>
      </w:r>
      <w:r w:rsidR="00CB7CE8">
        <w:t xml:space="preserve"> – specializují se na prodej elektroniky a technologií. Tyto obchody jsou často umístěny v obchodních centrech nebo na ulicích s</w:t>
      </w:r>
      <w:r w:rsidR="00523E94">
        <w:t> </w:t>
      </w:r>
      <w:r w:rsidR="00CB7CE8">
        <w:t>vysokým provozem.</w:t>
      </w:r>
    </w:p>
    <w:p w14:paraId="132E8EFD" w14:textId="77777777" w:rsidR="009D71CC" w:rsidRDefault="00CB7CE8">
      <w:pPr>
        <w:pStyle w:val="Odstavecseseznamem"/>
        <w:numPr>
          <w:ilvl w:val="1"/>
          <w:numId w:val="13"/>
        </w:numPr>
      </w:pPr>
      <w:r w:rsidRPr="00705888">
        <w:rPr>
          <w:i/>
          <w:iCs/>
        </w:rPr>
        <w:t>Domácí</w:t>
      </w:r>
      <w:r>
        <w:t xml:space="preserve"> potřeby – specializují se na prodej nábytku, dekorací a dalších domácích potřeb. Tyto obchody jsou často umístěny v obchodních centrech nebo na ulicích s vysokým provozem.</w:t>
      </w:r>
    </w:p>
    <w:p w14:paraId="7C303315" w14:textId="77777777" w:rsidR="009D71CC" w:rsidRDefault="00CB7CE8">
      <w:pPr>
        <w:pStyle w:val="Odstavecseseznamem"/>
        <w:numPr>
          <w:ilvl w:val="1"/>
          <w:numId w:val="13"/>
        </w:numPr>
      </w:pPr>
      <w:r w:rsidRPr="00705888">
        <w:rPr>
          <w:i/>
          <w:iCs/>
        </w:rPr>
        <w:t>Knihkupectví</w:t>
      </w:r>
      <w:r>
        <w:t xml:space="preserve"> – specializují se na prodej knih a dalšího tiskového materiálu. Tyto obchody jsou často umístěny v centru města.</w:t>
      </w:r>
    </w:p>
    <w:p w14:paraId="6024AF27" w14:textId="77777777" w:rsidR="009D71CC" w:rsidRDefault="00CB7CE8">
      <w:pPr>
        <w:pStyle w:val="Odstavecseseznamem"/>
        <w:numPr>
          <w:ilvl w:val="1"/>
          <w:numId w:val="13"/>
        </w:numPr>
      </w:pPr>
      <w:r w:rsidRPr="00705888">
        <w:rPr>
          <w:i/>
          <w:iCs/>
        </w:rPr>
        <w:t>Sport</w:t>
      </w:r>
      <w:r>
        <w:t xml:space="preserve"> – obchody se sportovním oblečením a nářadím. Tyto obchody jsou často umístěny v obchodních centrech nebo na ulicích s vysokou aktivitou občanů.</w:t>
      </w:r>
    </w:p>
    <w:p w14:paraId="7A605530" w14:textId="77777777" w:rsidR="009D71CC" w:rsidRDefault="00CB7CE8">
      <w:r>
        <w:t>V závislosti na velikosti města a jeho demografickém složení se mohou jednotlivé typy retailu vyskytovat v různých poměrech.</w:t>
      </w:r>
    </w:p>
    <w:p w14:paraId="5CB11376" w14:textId="77777777" w:rsidR="009D71CC" w:rsidRDefault="00CB7CE8">
      <w:pPr>
        <w:ind w:firstLine="432"/>
      </w:pPr>
      <w:r>
        <w:t xml:space="preserve">Analýza ekonomické aktivity lze zkoumat pomocí několika metod jednou z nich je </w:t>
      </w:r>
      <w:r>
        <w:rPr>
          <w:i/>
          <w:iCs/>
        </w:rPr>
        <w:t xml:space="preserve">kernel density </w:t>
      </w:r>
      <w:r>
        <w:t>(tedy hustoty jádra), Tato metoda umožňuje získat obraz o rozložení dané aktivity v prostoru. Využívá například při analýze rozložení obchodů, kancelářských center, průmyslových zón nebo restaurací v určitém městském prostoru.  Výsledkem je pak raster s hodnotami hustoty ekonomické aktivity.</w:t>
      </w:r>
    </w:p>
    <w:p w14:paraId="10448DFB" w14:textId="77777777" w:rsidR="009D71CC" w:rsidRDefault="00CB7CE8">
      <w:pPr>
        <w:ind w:firstLine="432"/>
      </w:pPr>
      <w:r>
        <w:t xml:space="preserve">V rámci diplomové práce byl použit nástroj </w:t>
      </w:r>
      <w:r>
        <w:rPr>
          <w:i/>
          <w:iCs/>
        </w:rPr>
        <w:t>kernel density</w:t>
      </w:r>
      <w:r>
        <w:t xml:space="preserve"> s vzdáleností 1 km na bodech zájmu k nalezení socioekonomických jader. Tento nástroj byl také použit na bodové vrstvě křižovatek. Výsledná data byla normalizována a vytvořena polygonová vrstva jader. Z vrstvy byly vyfiltrované polygony menší než 2 km2, neboť se v diplomové práci hodnotily pouze signifikantní jádra. Na základě filtrovaných jader byla hodnocena koncentrace ekonomické aktivity. Následně byla pomocí expertní analýzy hodnocena podobnost s ostatními městy.</w:t>
      </w:r>
    </w:p>
    <w:p w14:paraId="18B6690B" w14:textId="366823D8" w:rsidR="00FA79EA" w:rsidRDefault="00FA79EA" w:rsidP="00FA79EA">
      <w:pPr>
        <w:pStyle w:val="Obrazek"/>
        <w:jc w:val="left"/>
      </w:pPr>
      <w:r>
        <w:t xml:space="preserve">Tab. </w:t>
      </w:r>
      <w:fldSimple w:instr=" SEQ Tab. \* ARABIC ">
        <w:r w:rsidR="00005BBA">
          <w:rPr>
            <w:noProof/>
          </w:rPr>
          <w:t>7</w:t>
        </w:r>
      </w:fldSimple>
      <w:r>
        <w:t xml:space="preserve"> </w:t>
      </w:r>
      <w:r w:rsidRPr="00332EF5">
        <w:t>Vrstvy retailu z databáze OpenStreetMap</w:t>
      </w:r>
    </w:p>
    <w:tbl>
      <w:tblPr>
        <w:tblStyle w:val="Mkatabulky"/>
        <w:tblW w:w="6221" w:type="dxa"/>
        <w:jc w:val="center"/>
        <w:tblLayout w:type="fixed"/>
        <w:tblLook w:val="04A0" w:firstRow="1" w:lastRow="0" w:firstColumn="1" w:lastColumn="0" w:noHBand="0" w:noVBand="1"/>
      </w:tblPr>
      <w:tblGrid>
        <w:gridCol w:w="1514"/>
        <w:gridCol w:w="2517"/>
        <w:gridCol w:w="2190"/>
      </w:tblGrid>
      <w:tr w:rsidR="009D71CC" w14:paraId="0A32FED2" w14:textId="77777777" w:rsidTr="00EF34AA">
        <w:trPr>
          <w:cantSplit/>
          <w:jc w:val="center"/>
        </w:trPr>
        <w:tc>
          <w:tcPr>
            <w:tcW w:w="6221" w:type="dxa"/>
            <w:gridSpan w:val="3"/>
          </w:tcPr>
          <w:p w14:paraId="3107902E" w14:textId="77777777" w:rsidR="009D71CC" w:rsidRDefault="00CB7CE8">
            <w:pPr>
              <w:pStyle w:val="TableHeading"/>
            </w:pPr>
            <w:r>
              <w:t>Retail ve městech</w:t>
            </w:r>
          </w:p>
        </w:tc>
      </w:tr>
      <w:tr w:rsidR="009D71CC" w14:paraId="5F0D3F52" w14:textId="77777777" w:rsidTr="00EF34AA">
        <w:trPr>
          <w:cantSplit/>
          <w:jc w:val="center"/>
        </w:trPr>
        <w:tc>
          <w:tcPr>
            <w:tcW w:w="1514" w:type="dxa"/>
          </w:tcPr>
          <w:p w14:paraId="6166640D" w14:textId="77777777" w:rsidR="009D71CC" w:rsidRDefault="00CB7CE8">
            <w:pPr>
              <w:pStyle w:val="TabulkaNazev"/>
              <w:widowControl w:val="0"/>
            </w:pPr>
            <w:r>
              <w:t>Tag</w:t>
            </w:r>
          </w:p>
        </w:tc>
        <w:tc>
          <w:tcPr>
            <w:tcW w:w="2517" w:type="dxa"/>
          </w:tcPr>
          <w:p w14:paraId="3019358B" w14:textId="77777777" w:rsidR="009D71CC" w:rsidRDefault="00CB7CE8">
            <w:pPr>
              <w:pStyle w:val="TabulkaNazev"/>
              <w:widowControl w:val="0"/>
            </w:pPr>
            <w:r>
              <w:t>Kategorie bodu zájmu</w:t>
            </w:r>
          </w:p>
        </w:tc>
        <w:tc>
          <w:tcPr>
            <w:tcW w:w="2190" w:type="dxa"/>
          </w:tcPr>
          <w:p w14:paraId="5227E1C6" w14:textId="77777777" w:rsidR="009D71CC" w:rsidRDefault="00CB7CE8">
            <w:pPr>
              <w:pStyle w:val="TabulkaNazev"/>
              <w:widowControl w:val="0"/>
            </w:pPr>
            <w:r>
              <w:t>Subtag</w:t>
            </w:r>
          </w:p>
        </w:tc>
      </w:tr>
      <w:tr w:rsidR="009D71CC" w14:paraId="123E618F" w14:textId="77777777" w:rsidTr="00EF34AA">
        <w:trPr>
          <w:cantSplit/>
          <w:jc w:val="center"/>
        </w:trPr>
        <w:tc>
          <w:tcPr>
            <w:tcW w:w="1514" w:type="dxa"/>
            <w:vMerge w:val="restart"/>
          </w:tcPr>
          <w:p w14:paraId="1A431731" w14:textId="77777777" w:rsidR="009D71CC" w:rsidRDefault="00CB7CE8">
            <w:pPr>
              <w:pStyle w:val="TableContents"/>
            </w:pPr>
            <w:r>
              <w:t>shops</w:t>
            </w:r>
          </w:p>
        </w:tc>
        <w:tc>
          <w:tcPr>
            <w:tcW w:w="2517" w:type="dxa"/>
            <w:vMerge w:val="restart"/>
          </w:tcPr>
          <w:p w14:paraId="1ADD6395" w14:textId="77777777" w:rsidR="009D71CC" w:rsidRDefault="00CB7CE8">
            <w:pPr>
              <w:pStyle w:val="TableContents"/>
            </w:pPr>
            <w:r>
              <w:t>mall</w:t>
            </w:r>
          </w:p>
        </w:tc>
        <w:tc>
          <w:tcPr>
            <w:tcW w:w="2190" w:type="dxa"/>
          </w:tcPr>
          <w:p w14:paraId="3A42081F" w14:textId="77777777" w:rsidR="009D71CC" w:rsidRDefault="00CB7CE8">
            <w:pPr>
              <w:pStyle w:val="TableContents"/>
            </w:pPr>
            <w:r>
              <w:t>deployment store</w:t>
            </w:r>
          </w:p>
        </w:tc>
      </w:tr>
      <w:tr w:rsidR="009D71CC" w14:paraId="16868F7E" w14:textId="77777777" w:rsidTr="00EF34AA">
        <w:trPr>
          <w:cantSplit/>
          <w:jc w:val="center"/>
        </w:trPr>
        <w:tc>
          <w:tcPr>
            <w:tcW w:w="1514" w:type="dxa"/>
            <w:vMerge/>
          </w:tcPr>
          <w:p w14:paraId="7E316BAF" w14:textId="77777777" w:rsidR="009D71CC" w:rsidRDefault="009D71CC">
            <w:pPr>
              <w:pStyle w:val="TableContents"/>
              <w:rPr>
                <w:sz w:val="4"/>
                <w:szCs w:val="4"/>
              </w:rPr>
            </w:pPr>
          </w:p>
        </w:tc>
        <w:tc>
          <w:tcPr>
            <w:tcW w:w="2517" w:type="dxa"/>
            <w:vMerge/>
          </w:tcPr>
          <w:p w14:paraId="48FD1661" w14:textId="77777777" w:rsidR="009D71CC" w:rsidRDefault="009D71CC">
            <w:pPr>
              <w:pStyle w:val="TableContents"/>
              <w:rPr>
                <w:sz w:val="4"/>
                <w:szCs w:val="4"/>
              </w:rPr>
            </w:pPr>
          </w:p>
        </w:tc>
        <w:tc>
          <w:tcPr>
            <w:tcW w:w="2190" w:type="dxa"/>
          </w:tcPr>
          <w:p w14:paraId="3050602E" w14:textId="77777777" w:rsidR="009D71CC" w:rsidRDefault="00CB7CE8">
            <w:pPr>
              <w:pStyle w:val="TableContents"/>
            </w:pPr>
            <w:r>
              <w:t>supermarket</w:t>
            </w:r>
          </w:p>
        </w:tc>
      </w:tr>
      <w:tr w:rsidR="009D71CC" w14:paraId="49DD61A5" w14:textId="77777777" w:rsidTr="00EF34AA">
        <w:trPr>
          <w:cantSplit/>
          <w:jc w:val="center"/>
        </w:trPr>
        <w:tc>
          <w:tcPr>
            <w:tcW w:w="1514" w:type="dxa"/>
            <w:vMerge/>
          </w:tcPr>
          <w:p w14:paraId="433B92E4" w14:textId="77777777" w:rsidR="009D71CC" w:rsidRDefault="009D71CC">
            <w:pPr>
              <w:pStyle w:val="TableContents"/>
              <w:rPr>
                <w:sz w:val="4"/>
                <w:szCs w:val="4"/>
              </w:rPr>
            </w:pPr>
          </w:p>
        </w:tc>
        <w:tc>
          <w:tcPr>
            <w:tcW w:w="2517" w:type="dxa"/>
            <w:vMerge/>
          </w:tcPr>
          <w:p w14:paraId="5F7EFE8E" w14:textId="77777777" w:rsidR="009D71CC" w:rsidRDefault="009D71CC">
            <w:pPr>
              <w:pStyle w:val="TableContents"/>
              <w:rPr>
                <w:sz w:val="4"/>
                <w:szCs w:val="4"/>
              </w:rPr>
            </w:pPr>
          </w:p>
        </w:tc>
        <w:tc>
          <w:tcPr>
            <w:tcW w:w="2190" w:type="dxa"/>
          </w:tcPr>
          <w:p w14:paraId="25F8839A" w14:textId="77777777" w:rsidR="009D71CC" w:rsidRDefault="00CB7CE8">
            <w:pPr>
              <w:pStyle w:val="TableContents"/>
            </w:pPr>
            <w:r>
              <w:t>mall</w:t>
            </w:r>
          </w:p>
        </w:tc>
      </w:tr>
      <w:tr w:rsidR="009D71CC" w14:paraId="3F9005BD" w14:textId="77777777" w:rsidTr="00EF34AA">
        <w:trPr>
          <w:cantSplit/>
          <w:jc w:val="center"/>
        </w:trPr>
        <w:tc>
          <w:tcPr>
            <w:tcW w:w="1514" w:type="dxa"/>
            <w:vMerge/>
          </w:tcPr>
          <w:p w14:paraId="4CF7C158" w14:textId="77777777" w:rsidR="009D71CC" w:rsidRDefault="009D71CC">
            <w:pPr>
              <w:pStyle w:val="TableContents"/>
              <w:rPr>
                <w:sz w:val="4"/>
                <w:szCs w:val="4"/>
              </w:rPr>
            </w:pPr>
          </w:p>
        </w:tc>
        <w:tc>
          <w:tcPr>
            <w:tcW w:w="2517" w:type="dxa"/>
            <w:vMerge w:val="restart"/>
          </w:tcPr>
          <w:p w14:paraId="57C134F8" w14:textId="77777777" w:rsidR="009D71CC" w:rsidRDefault="00CB7CE8">
            <w:pPr>
              <w:pStyle w:val="TableContents"/>
            </w:pPr>
            <w:r>
              <w:t>fashion</w:t>
            </w:r>
          </w:p>
        </w:tc>
        <w:tc>
          <w:tcPr>
            <w:tcW w:w="2190" w:type="dxa"/>
          </w:tcPr>
          <w:p w14:paraId="2A19EC6E" w14:textId="77777777" w:rsidR="009D71CC" w:rsidRDefault="00CB7CE8">
            <w:pPr>
              <w:pStyle w:val="TableContents"/>
            </w:pPr>
            <w:r>
              <w:t>bag</w:t>
            </w:r>
          </w:p>
        </w:tc>
      </w:tr>
      <w:tr w:rsidR="009D71CC" w14:paraId="2914DFA8" w14:textId="77777777" w:rsidTr="00EF34AA">
        <w:trPr>
          <w:cantSplit/>
          <w:jc w:val="center"/>
        </w:trPr>
        <w:tc>
          <w:tcPr>
            <w:tcW w:w="1514" w:type="dxa"/>
            <w:vMerge/>
          </w:tcPr>
          <w:p w14:paraId="1338EBF8" w14:textId="77777777" w:rsidR="009D71CC" w:rsidRDefault="009D71CC">
            <w:pPr>
              <w:pStyle w:val="TableContents"/>
              <w:rPr>
                <w:sz w:val="4"/>
                <w:szCs w:val="4"/>
              </w:rPr>
            </w:pPr>
          </w:p>
        </w:tc>
        <w:tc>
          <w:tcPr>
            <w:tcW w:w="2517" w:type="dxa"/>
            <w:vMerge/>
          </w:tcPr>
          <w:p w14:paraId="09C14770" w14:textId="77777777" w:rsidR="009D71CC" w:rsidRDefault="009D71CC">
            <w:pPr>
              <w:pStyle w:val="TableContents"/>
              <w:rPr>
                <w:sz w:val="4"/>
                <w:szCs w:val="4"/>
              </w:rPr>
            </w:pPr>
          </w:p>
        </w:tc>
        <w:tc>
          <w:tcPr>
            <w:tcW w:w="2190" w:type="dxa"/>
          </w:tcPr>
          <w:p w14:paraId="56DE4BF5" w14:textId="77777777" w:rsidR="009D71CC" w:rsidRDefault="00CB7CE8">
            <w:pPr>
              <w:pStyle w:val="TableContents"/>
            </w:pPr>
            <w:r>
              <w:t>clothes</w:t>
            </w:r>
          </w:p>
        </w:tc>
      </w:tr>
      <w:tr w:rsidR="009D71CC" w14:paraId="278368E7" w14:textId="77777777" w:rsidTr="00EF34AA">
        <w:trPr>
          <w:cantSplit/>
          <w:jc w:val="center"/>
        </w:trPr>
        <w:tc>
          <w:tcPr>
            <w:tcW w:w="1514" w:type="dxa"/>
            <w:vMerge/>
          </w:tcPr>
          <w:p w14:paraId="20D4E7DB" w14:textId="77777777" w:rsidR="009D71CC" w:rsidRDefault="009D71CC">
            <w:pPr>
              <w:pStyle w:val="TableContents"/>
              <w:rPr>
                <w:sz w:val="4"/>
                <w:szCs w:val="4"/>
              </w:rPr>
            </w:pPr>
          </w:p>
        </w:tc>
        <w:tc>
          <w:tcPr>
            <w:tcW w:w="2517" w:type="dxa"/>
            <w:vMerge/>
          </w:tcPr>
          <w:p w14:paraId="22CF7C66" w14:textId="77777777" w:rsidR="009D71CC" w:rsidRDefault="009D71CC">
            <w:pPr>
              <w:pStyle w:val="TableContents"/>
              <w:rPr>
                <w:sz w:val="4"/>
                <w:szCs w:val="4"/>
              </w:rPr>
            </w:pPr>
          </w:p>
        </w:tc>
        <w:tc>
          <w:tcPr>
            <w:tcW w:w="2190" w:type="dxa"/>
          </w:tcPr>
          <w:p w14:paraId="0CE4259B" w14:textId="77777777" w:rsidR="009D71CC" w:rsidRDefault="00CB7CE8">
            <w:pPr>
              <w:pStyle w:val="TableContents"/>
            </w:pPr>
            <w:r>
              <w:t>fashion accessories</w:t>
            </w:r>
          </w:p>
        </w:tc>
      </w:tr>
      <w:tr w:rsidR="009D71CC" w14:paraId="5229229C" w14:textId="77777777" w:rsidTr="00EF34AA">
        <w:trPr>
          <w:cantSplit/>
          <w:jc w:val="center"/>
        </w:trPr>
        <w:tc>
          <w:tcPr>
            <w:tcW w:w="1514" w:type="dxa"/>
            <w:vMerge/>
          </w:tcPr>
          <w:p w14:paraId="775C253B" w14:textId="77777777" w:rsidR="009D71CC" w:rsidRDefault="009D71CC">
            <w:pPr>
              <w:pStyle w:val="TableContents"/>
              <w:rPr>
                <w:sz w:val="4"/>
                <w:szCs w:val="4"/>
              </w:rPr>
            </w:pPr>
          </w:p>
        </w:tc>
        <w:tc>
          <w:tcPr>
            <w:tcW w:w="2517" w:type="dxa"/>
            <w:vMerge/>
          </w:tcPr>
          <w:p w14:paraId="250D34EF" w14:textId="77777777" w:rsidR="009D71CC" w:rsidRDefault="009D71CC">
            <w:pPr>
              <w:pStyle w:val="TableContents"/>
              <w:rPr>
                <w:sz w:val="4"/>
                <w:szCs w:val="4"/>
              </w:rPr>
            </w:pPr>
          </w:p>
        </w:tc>
        <w:tc>
          <w:tcPr>
            <w:tcW w:w="2190" w:type="dxa"/>
          </w:tcPr>
          <w:p w14:paraId="06B468E7" w14:textId="77777777" w:rsidR="009D71CC" w:rsidRDefault="00CB7CE8">
            <w:pPr>
              <w:pStyle w:val="TableContents"/>
            </w:pPr>
            <w:r>
              <w:t>jewerly</w:t>
            </w:r>
          </w:p>
        </w:tc>
      </w:tr>
      <w:tr w:rsidR="009D71CC" w14:paraId="4381278B" w14:textId="77777777" w:rsidTr="00EF34AA">
        <w:trPr>
          <w:cantSplit/>
          <w:jc w:val="center"/>
        </w:trPr>
        <w:tc>
          <w:tcPr>
            <w:tcW w:w="1514" w:type="dxa"/>
            <w:vMerge/>
          </w:tcPr>
          <w:p w14:paraId="0F219976" w14:textId="77777777" w:rsidR="009D71CC" w:rsidRDefault="009D71CC">
            <w:pPr>
              <w:pStyle w:val="TableContents"/>
              <w:rPr>
                <w:sz w:val="4"/>
                <w:szCs w:val="4"/>
              </w:rPr>
            </w:pPr>
          </w:p>
        </w:tc>
        <w:tc>
          <w:tcPr>
            <w:tcW w:w="2517" w:type="dxa"/>
            <w:vMerge/>
          </w:tcPr>
          <w:p w14:paraId="1708EEBB" w14:textId="77777777" w:rsidR="009D71CC" w:rsidRDefault="009D71CC">
            <w:pPr>
              <w:pStyle w:val="TableContents"/>
              <w:rPr>
                <w:sz w:val="4"/>
                <w:szCs w:val="4"/>
              </w:rPr>
            </w:pPr>
          </w:p>
        </w:tc>
        <w:tc>
          <w:tcPr>
            <w:tcW w:w="2190" w:type="dxa"/>
          </w:tcPr>
          <w:p w14:paraId="4CBB2B83" w14:textId="77777777" w:rsidR="009D71CC" w:rsidRDefault="00CB7CE8">
            <w:pPr>
              <w:pStyle w:val="TableContents"/>
            </w:pPr>
            <w:r>
              <w:t>shoes</w:t>
            </w:r>
          </w:p>
        </w:tc>
      </w:tr>
      <w:tr w:rsidR="009D71CC" w14:paraId="0B105E15" w14:textId="77777777" w:rsidTr="00EF34AA">
        <w:trPr>
          <w:cantSplit/>
          <w:jc w:val="center"/>
        </w:trPr>
        <w:tc>
          <w:tcPr>
            <w:tcW w:w="1514" w:type="dxa"/>
            <w:vMerge/>
          </w:tcPr>
          <w:p w14:paraId="4CD6C900" w14:textId="77777777" w:rsidR="009D71CC" w:rsidRDefault="009D71CC">
            <w:pPr>
              <w:pStyle w:val="TableContents"/>
              <w:rPr>
                <w:sz w:val="4"/>
                <w:szCs w:val="4"/>
              </w:rPr>
            </w:pPr>
          </w:p>
        </w:tc>
        <w:tc>
          <w:tcPr>
            <w:tcW w:w="2517" w:type="dxa"/>
            <w:vMerge/>
          </w:tcPr>
          <w:p w14:paraId="66E9E61B" w14:textId="77777777" w:rsidR="009D71CC" w:rsidRDefault="009D71CC">
            <w:pPr>
              <w:pStyle w:val="TableContents"/>
              <w:rPr>
                <w:sz w:val="4"/>
                <w:szCs w:val="4"/>
              </w:rPr>
            </w:pPr>
          </w:p>
        </w:tc>
        <w:tc>
          <w:tcPr>
            <w:tcW w:w="2190" w:type="dxa"/>
          </w:tcPr>
          <w:p w14:paraId="362D833C" w14:textId="77777777" w:rsidR="009D71CC" w:rsidRDefault="00CB7CE8">
            <w:pPr>
              <w:pStyle w:val="TableContents"/>
            </w:pPr>
            <w:r>
              <w:t>watches</w:t>
            </w:r>
          </w:p>
        </w:tc>
      </w:tr>
      <w:tr w:rsidR="009D71CC" w14:paraId="7A484A39" w14:textId="77777777" w:rsidTr="00EF34AA">
        <w:trPr>
          <w:cantSplit/>
          <w:jc w:val="center"/>
        </w:trPr>
        <w:tc>
          <w:tcPr>
            <w:tcW w:w="1514" w:type="dxa"/>
            <w:vMerge/>
          </w:tcPr>
          <w:p w14:paraId="0DF5F179" w14:textId="77777777" w:rsidR="009D71CC" w:rsidRDefault="009D71CC">
            <w:pPr>
              <w:pStyle w:val="TableContents"/>
              <w:rPr>
                <w:sz w:val="4"/>
                <w:szCs w:val="4"/>
              </w:rPr>
            </w:pPr>
          </w:p>
        </w:tc>
        <w:tc>
          <w:tcPr>
            <w:tcW w:w="2517" w:type="dxa"/>
            <w:vMerge w:val="restart"/>
          </w:tcPr>
          <w:p w14:paraId="2F3D5805" w14:textId="77777777" w:rsidR="009D71CC" w:rsidRDefault="00CB7CE8">
            <w:pPr>
              <w:pStyle w:val="TableContents"/>
            </w:pPr>
            <w:r>
              <w:t>hardware</w:t>
            </w:r>
          </w:p>
        </w:tc>
        <w:tc>
          <w:tcPr>
            <w:tcW w:w="2190" w:type="dxa"/>
          </w:tcPr>
          <w:p w14:paraId="5F667FF9" w14:textId="77777777" w:rsidR="009D71CC" w:rsidRDefault="00CB7CE8">
            <w:pPr>
              <w:pStyle w:val="TableContents"/>
            </w:pPr>
            <w:r>
              <w:t>hardware</w:t>
            </w:r>
          </w:p>
        </w:tc>
      </w:tr>
      <w:tr w:rsidR="009D71CC" w14:paraId="5A78E981" w14:textId="77777777" w:rsidTr="00EF34AA">
        <w:trPr>
          <w:cantSplit/>
          <w:jc w:val="center"/>
        </w:trPr>
        <w:tc>
          <w:tcPr>
            <w:tcW w:w="1514" w:type="dxa"/>
            <w:vMerge/>
          </w:tcPr>
          <w:p w14:paraId="42545395" w14:textId="77777777" w:rsidR="009D71CC" w:rsidRDefault="009D71CC">
            <w:pPr>
              <w:pStyle w:val="TableContents"/>
              <w:rPr>
                <w:sz w:val="4"/>
                <w:szCs w:val="4"/>
              </w:rPr>
            </w:pPr>
          </w:p>
        </w:tc>
        <w:tc>
          <w:tcPr>
            <w:tcW w:w="2517" w:type="dxa"/>
            <w:vMerge/>
          </w:tcPr>
          <w:p w14:paraId="3817641B" w14:textId="77777777" w:rsidR="009D71CC" w:rsidRDefault="009D71CC">
            <w:pPr>
              <w:pStyle w:val="TableContents"/>
              <w:rPr>
                <w:sz w:val="4"/>
                <w:szCs w:val="4"/>
              </w:rPr>
            </w:pPr>
          </w:p>
        </w:tc>
        <w:tc>
          <w:tcPr>
            <w:tcW w:w="2190" w:type="dxa"/>
          </w:tcPr>
          <w:p w14:paraId="746825A4" w14:textId="77777777" w:rsidR="009D71CC" w:rsidRDefault="00CB7CE8">
            <w:pPr>
              <w:pStyle w:val="TableContents"/>
            </w:pPr>
            <w:r>
              <w:t>houseware</w:t>
            </w:r>
          </w:p>
        </w:tc>
      </w:tr>
      <w:tr w:rsidR="009D71CC" w14:paraId="01AD839D" w14:textId="77777777" w:rsidTr="00EF34AA">
        <w:trPr>
          <w:cantSplit/>
          <w:jc w:val="center"/>
        </w:trPr>
        <w:tc>
          <w:tcPr>
            <w:tcW w:w="1514" w:type="dxa"/>
            <w:vMerge/>
          </w:tcPr>
          <w:p w14:paraId="6BA2ED7A" w14:textId="77777777" w:rsidR="009D71CC" w:rsidRDefault="009D71CC">
            <w:pPr>
              <w:pStyle w:val="TableContents"/>
              <w:rPr>
                <w:sz w:val="4"/>
                <w:szCs w:val="4"/>
              </w:rPr>
            </w:pPr>
          </w:p>
        </w:tc>
        <w:tc>
          <w:tcPr>
            <w:tcW w:w="2517" w:type="dxa"/>
          </w:tcPr>
          <w:p w14:paraId="647D4593" w14:textId="77777777" w:rsidR="009D71CC" w:rsidRDefault="00CB7CE8">
            <w:pPr>
              <w:pStyle w:val="TableContents"/>
            </w:pPr>
            <w:r>
              <w:t>electronics</w:t>
            </w:r>
          </w:p>
        </w:tc>
        <w:tc>
          <w:tcPr>
            <w:tcW w:w="2190" w:type="dxa"/>
          </w:tcPr>
          <w:p w14:paraId="34E2F3BE" w14:textId="77777777" w:rsidR="009D71CC" w:rsidRDefault="00CB7CE8">
            <w:pPr>
              <w:pStyle w:val="TableContents"/>
            </w:pPr>
            <w:r>
              <w:t>electronics</w:t>
            </w:r>
          </w:p>
        </w:tc>
      </w:tr>
      <w:tr w:rsidR="009D71CC" w14:paraId="0CF252C7" w14:textId="77777777" w:rsidTr="00EF34AA">
        <w:trPr>
          <w:cantSplit/>
          <w:jc w:val="center"/>
        </w:trPr>
        <w:tc>
          <w:tcPr>
            <w:tcW w:w="1514" w:type="dxa"/>
            <w:vMerge/>
          </w:tcPr>
          <w:p w14:paraId="789ECB5D" w14:textId="77777777" w:rsidR="009D71CC" w:rsidRDefault="009D71CC">
            <w:pPr>
              <w:pStyle w:val="TableContents"/>
              <w:rPr>
                <w:sz w:val="4"/>
                <w:szCs w:val="4"/>
              </w:rPr>
            </w:pPr>
          </w:p>
        </w:tc>
        <w:tc>
          <w:tcPr>
            <w:tcW w:w="2517" w:type="dxa"/>
            <w:vMerge w:val="restart"/>
          </w:tcPr>
          <w:p w14:paraId="7EECAADE" w14:textId="77777777" w:rsidR="009D71CC" w:rsidRDefault="00CB7CE8">
            <w:pPr>
              <w:pStyle w:val="TableContents"/>
            </w:pPr>
            <w:r>
              <w:t>sport</w:t>
            </w:r>
          </w:p>
        </w:tc>
        <w:tc>
          <w:tcPr>
            <w:tcW w:w="2190" w:type="dxa"/>
          </w:tcPr>
          <w:p w14:paraId="5863EFC6" w14:textId="77777777" w:rsidR="009D71CC" w:rsidRDefault="00CB7CE8">
            <w:pPr>
              <w:pStyle w:val="TableContents"/>
            </w:pPr>
            <w:r>
              <w:t>mobile phone</w:t>
            </w:r>
          </w:p>
        </w:tc>
      </w:tr>
      <w:tr w:rsidR="009D71CC" w14:paraId="14C2BD03" w14:textId="77777777" w:rsidTr="00EF34AA">
        <w:trPr>
          <w:cantSplit/>
          <w:jc w:val="center"/>
        </w:trPr>
        <w:tc>
          <w:tcPr>
            <w:tcW w:w="1514" w:type="dxa"/>
            <w:vMerge/>
          </w:tcPr>
          <w:p w14:paraId="475E5996" w14:textId="77777777" w:rsidR="009D71CC" w:rsidRDefault="009D71CC">
            <w:pPr>
              <w:pStyle w:val="TableContents"/>
              <w:rPr>
                <w:sz w:val="4"/>
                <w:szCs w:val="4"/>
              </w:rPr>
            </w:pPr>
          </w:p>
        </w:tc>
        <w:tc>
          <w:tcPr>
            <w:tcW w:w="2517" w:type="dxa"/>
            <w:vMerge/>
          </w:tcPr>
          <w:p w14:paraId="099F994D" w14:textId="77777777" w:rsidR="009D71CC" w:rsidRDefault="009D71CC">
            <w:pPr>
              <w:pStyle w:val="TableContents"/>
              <w:rPr>
                <w:sz w:val="4"/>
                <w:szCs w:val="4"/>
              </w:rPr>
            </w:pPr>
          </w:p>
        </w:tc>
        <w:tc>
          <w:tcPr>
            <w:tcW w:w="2190" w:type="dxa"/>
          </w:tcPr>
          <w:p w14:paraId="4AC8CF3A" w14:textId="77777777" w:rsidR="009D71CC" w:rsidRDefault="00CB7CE8">
            <w:pPr>
              <w:pStyle w:val="TableContents"/>
            </w:pPr>
            <w:r>
              <w:t>video games</w:t>
            </w:r>
          </w:p>
        </w:tc>
      </w:tr>
      <w:tr w:rsidR="009D71CC" w14:paraId="27D0007F" w14:textId="77777777" w:rsidTr="00EF34AA">
        <w:trPr>
          <w:cantSplit/>
          <w:jc w:val="center"/>
        </w:trPr>
        <w:tc>
          <w:tcPr>
            <w:tcW w:w="1514" w:type="dxa"/>
            <w:vMerge/>
          </w:tcPr>
          <w:p w14:paraId="0DD9E6DF" w14:textId="77777777" w:rsidR="009D71CC" w:rsidRDefault="009D71CC">
            <w:pPr>
              <w:pStyle w:val="TableContents"/>
              <w:rPr>
                <w:sz w:val="4"/>
                <w:szCs w:val="4"/>
              </w:rPr>
            </w:pPr>
          </w:p>
        </w:tc>
        <w:tc>
          <w:tcPr>
            <w:tcW w:w="2517" w:type="dxa"/>
            <w:vMerge/>
          </w:tcPr>
          <w:p w14:paraId="7B7AB720" w14:textId="77777777" w:rsidR="009D71CC" w:rsidRDefault="009D71CC">
            <w:pPr>
              <w:pStyle w:val="TableContents"/>
              <w:rPr>
                <w:sz w:val="4"/>
                <w:szCs w:val="4"/>
              </w:rPr>
            </w:pPr>
          </w:p>
        </w:tc>
        <w:tc>
          <w:tcPr>
            <w:tcW w:w="2190" w:type="dxa"/>
          </w:tcPr>
          <w:p w14:paraId="2DD036B8" w14:textId="77777777" w:rsidR="009D71CC" w:rsidRDefault="00CB7CE8">
            <w:pPr>
              <w:pStyle w:val="TableContents"/>
            </w:pPr>
            <w:r>
              <w:t>sports</w:t>
            </w:r>
          </w:p>
        </w:tc>
      </w:tr>
      <w:tr w:rsidR="009D71CC" w14:paraId="6569E654" w14:textId="77777777" w:rsidTr="00EF34AA">
        <w:trPr>
          <w:cantSplit/>
          <w:jc w:val="center"/>
        </w:trPr>
        <w:tc>
          <w:tcPr>
            <w:tcW w:w="1514" w:type="dxa"/>
            <w:vMerge/>
          </w:tcPr>
          <w:p w14:paraId="71AFBED5" w14:textId="77777777" w:rsidR="009D71CC" w:rsidRDefault="009D71CC">
            <w:pPr>
              <w:pStyle w:val="TableContents"/>
              <w:rPr>
                <w:sz w:val="4"/>
                <w:szCs w:val="4"/>
              </w:rPr>
            </w:pPr>
          </w:p>
        </w:tc>
        <w:tc>
          <w:tcPr>
            <w:tcW w:w="2517" w:type="dxa"/>
            <w:vMerge w:val="restart"/>
          </w:tcPr>
          <w:p w14:paraId="7E38E224" w14:textId="77777777" w:rsidR="009D71CC" w:rsidRDefault="00CB7CE8">
            <w:pPr>
              <w:pStyle w:val="TableContents"/>
            </w:pPr>
            <w:r>
              <w:t>car</w:t>
            </w:r>
          </w:p>
        </w:tc>
        <w:tc>
          <w:tcPr>
            <w:tcW w:w="2190" w:type="dxa"/>
          </w:tcPr>
          <w:p w14:paraId="67488D84" w14:textId="77777777" w:rsidR="009D71CC" w:rsidRDefault="00CB7CE8">
            <w:pPr>
              <w:pStyle w:val="TableContents"/>
            </w:pPr>
            <w:r>
              <w:t>car</w:t>
            </w:r>
          </w:p>
        </w:tc>
      </w:tr>
      <w:tr w:rsidR="009D71CC" w14:paraId="46692A41" w14:textId="77777777" w:rsidTr="00EF34AA">
        <w:trPr>
          <w:cantSplit/>
          <w:jc w:val="center"/>
        </w:trPr>
        <w:tc>
          <w:tcPr>
            <w:tcW w:w="1514" w:type="dxa"/>
            <w:vMerge/>
          </w:tcPr>
          <w:p w14:paraId="2AB61B81" w14:textId="77777777" w:rsidR="009D71CC" w:rsidRDefault="009D71CC">
            <w:pPr>
              <w:pStyle w:val="TableContents"/>
              <w:rPr>
                <w:sz w:val="4"/>
                <w:szCs w:val="4"/>
              </w:rPr>
            </w:pPr>
          </w:p>
        </w:tc>
        <w:tc>
          <w:tcPr>
            <w:tcW w:w="2517" w:type="dxa"/>
            <w:vMerge/>
          </w:tcPr>
          <w:p w14:paraId="2749E86D" w14:textId="77777777" w:rsidR="009D71CC" w:rsidRDefault="009D71CC">
            <w:pPr>
              <w:pStyle w:val="TableContents"/>
              <w:rPr>
                <w:sz w:val="4"/>
                <w:szCs w:val="4"/>
              </w:rPr>
            </w:pPr>
          </w:p>
        </w:tc>
        <w:tc>
          <w:tcPr>
            <w:tcW w:w="2190" w:type="dxa"/>
          </w:tcPr>
          <w:p w14:paraId="596658CA" w14:textId="77777777" w:rsidR="009D71CC" w:rsidRDefault="00CB7CE8">
            <w:pPr>
              <w:pStyle w:val="TableContents"/>
            </w:pPr>
            <w:r>
              <w:t>car parts</w:t>
            </w:r>
          </w:p>
        </w:tc>
      </w:tr>
      <w:tr w:rsidR="009D71CC" w14:paraId="53ADE2F5" w14:textId="77777777" w:rsidTr="00EF34AA">
        <w:trPr>
          <w:cantSplit/>
          <w:jc w:val="center"/>
        </w:trPr>
        <w:tc>
          <w:tcPr>
            <w:tcW w:w="1514" w:type="dxa"/>
            <w:vMerge/>
          </w:tcPr>
          <w:p w14:paraId="4B86D688" w14:textId="77777777" w:rsidR="009D71CC" w:rsidRDefault="009D71CC">
            <w:pPr>
              <w:pStyle w:val="TableContents"/>
              <w:rPr>
                <w:sz w:val="4"/>
                <w:szCs w:val="4"/>
              </w:rPr>
            </w:pPr>
          </w:p>
        </w:tc>
        <w:tc>
          <w:tcPr>
            <w:tcW w:w="2517" w:type="dxa"/>
            <w:vMerge w:val="restart"/>
          </w:tcPr>
          <w:p w14:paraId="0EE0EDDC" w14:textId="77777777" w:rsidR="009D71CC" w:rsidRDefault="00CB7CE8">
            <w:pPr>
              <w:pStyle w:val="TableContents"/>
            </w:pPr>
            <w:r>
              <w:t>office</w:t>
            </w:r>
          </w:p>
        </w:tc>
        <w:tc>
          <w:tcPr>
            <w:tcW w:w="2190" w:type="dxa"/>
          </w:tcPr>
          <w:p w14:paraId="6611CB37" w14:textId="77777777" w:rsidR="009D71CC" w:rsidRDefault="00CB7CE8">
            <w:pPr>
              <w:pStyle w:val="TableContents"/>
            </w:pPr>
            <w:r>
              <w:t>books</w:t>
            </w:r>
          </w:p>
        </w:tc>
      </w:tr>
      <w:tr w:rsidR="009D71CC" w14:paraId="07B777ED" w14:textId="77777777" w:rsidTr="00EF34AA">
        <w:trPr>
          <w:cantSplit/>
          <w:jc w:val="center"/>
        </w:trPr>
        <w:tc>
          <w:tcPr>
            <w:tcW w:w="1514" w:type="dxa"/>
            <w:vMerge/>
          </w:tcPr>
          <w:p w14:paraId="50E8B302" w14:textId="77777777" w:rsidR="009D71CC" w:rsidRDefault="009D71CC">
            <w:pPr>
              <w:pStyle w:val="TableContents"/>
              <w:rPr>
                <w:sz w:val="4"/>
                <w:szCs w:val="4"/>
              </w:rPr>
            </w:pPr>
          </w:p>
        </w:tc>
        <w:tc>
          <w:tcPr>
            <w:tcW w:w="2517" w:type="dxa"/>
            <w:vMerge/>
          </w:tcPr>
          <w:p w14:paraId="0A28440C" w14:textId="77777777" w:rsidR="009D71CC" w:rsidRDefault="009D71CC">
            <w:pPr>
              <w:pStyle w:val="TableContents"/>
              <w:rPr>
                <w:sz w:val="4"/>
                <w:szCs w:val="4"/>
              </w:rPr>
            </w:pPr>
          </w:p>
        </w:tc>
        <w:tc>
          <w:tcPr>
            <w:tcW w:w="2190" w:type="dxa"/>
          </w:tcPr>
          <w:p w14:paraId="45C73E8D" w14:textId="77777777" w:rsidR="009D71CC" w:rsidRDefault="00CB7CE8">
            <w:pPr>
              <w:pStyle w:val="TableContents"/>
            </w:pPr>
            <w:r>
              <w:t>lottery</w:t>
            </w:r>
          </w:p>
        </w:tc>
      </w:tr>
      <w:tr w:rsidR="009D71CC" w14:paraId="436B79E5" w14:textId="77777777" w:rsidTr="00EF34AA">
        <w:trPr>
          <w:cantSplit/>
          <w:jc w:val="center"/>
        </w:trPr>
        <w:tc>
          <w:tcPr>
            <w:tcW w:w="1514" w:type="dxa"/>
            <w:vMerge/>
          </w:tcPr>
          <w:p w14:paraId="24806444" w14:textId="77777777" w:rsidR="009D71CC" w:rsidRDefault="009D71CC">
            <w:pPr>
              <w:pStyle w:val="TableContents"/>
              <w:rPr>
                <w:sz w:val="4"/>
                <w:szCs w:val="4"/>
              </w:rPr>
            </w:pPr>
          </w:p>
        </w:tc>
        <w:tc>
          <w:tcPr>
            <w:tcW w:w="2517" w:type="dxa"/>
            <w:vMerge/>
          </w:tcPr>
          <w:p w14:paraId="6C933BC6" w14:textId="77777777" w:rsidR="009D71CC" w:rsidRDefault="009D71CC">
            <w:pPr>
              <w:pStyle w:val="TableContents"/>
              <w:rPr>
                <w:sz w:val="4"/>
                <w:szCs w:val="4"/>
              </w:rPr>
            </w:pPr>
          </w:p>
        </w:tc>
        <w:tc>
          <w:tcPr>
            <w:tcW w:w="2190" w:type="dxa"/>
          </w:tcPr>
          <w:p w14:paraId="6769082C" w14:textId="77777777" w:rsidR="009D71CC" w:rsidRDefault="00CB7CE8">
            <w:pPr>
              <w:pStyle w:val="TableContents"/>
            </w:pPr>
            <w:r>
              <w:t>stationary</w:t>
            </w:r>
          </w:p>
        </w:tc>
      </w:tr>
      <w:tr w:rsidR="009D71CC" w14:paraId="5CE49AE3" w14:textId="77777777" w:rsidTr="00EF34AA">
        <w:trPr>
          <w:cantSplit/>
          <w:jc w:val="center"/>
        </w:trPr>
        <w:tc>
          <w:tcPr>
            <w:tcW w:w="1514" w:type="dxa"/>
            <w:vMerge/>
          </w:tcPr>
          <w:p w14:paraId="0D300DFA" w14:textId="77777777" w:rsidR="009D71CC" w:rsidRDefault="009D71CC">
            <w:pPr>
              <w:pStyle w:val="TableContents"/>
              <w:rPr>
                <w:sz w:val="4"/>
                <w:szCs w:val="4"/>
              </w:rPr>
            </w:pPr>
          </w:p>
        </w:tc>
        <w:tc>
          <w:tcPr>
            <w:tcW w:w="2517" w:type="dxa"/>
            <w:vMerge w:val="restart"/>
          </w:tcPr>
          <w:p w14:paraId="0794E3C0" w14:textId="77777777" w:rsidR="009D71CC" w:rsidRDefault="00CB7CE8">
            <w:pPr>
              <w:pStyle w:val="TableContents"/>
            </w:pPr>
            <w:r>
              <w:t>other</w:t>
            </w:r>
          </w:p>
        </w:tc>
        <w:tc>
          <w:tcPr>
            <w:tcW w:w="2190" w:type="dxa"/>
          </w:tcPr>
          <w:p w14:paraId="75F1EB81" w14:textId="77777777" w:rsidR="009D71CC" w:rsidRDefault="00CB7CE8">
            <w:pPr>
              <w:pStyle w:val="TableContents"/>
            </w:pPr>
            <w:r>
              <w:t>pet</w:t>
            </w:r>
          </w:p>
        </w:tc>
      </w:tr>
      <w:tr w:rsidR="009D71CC" w14:paraId="6E4FCBCB" w14:textId="77777777" w:rsidTr="00EF34AA">
        <w:trPr>
          <w:cantSplit/>
          <w:jc w:val="center"/>
        </w:trPr>
        <w:tc>
          <w:tcPr>
            <w:tcW w:w="1514" w:type="dxa"/>
            <w:vMerge/>
          </w:tcPr>
          <w:p w14:paraId="4916ED60" w14:textId="77777777" w:rsidR="009D71CC" w:rsidRDefault="009D71CC">
            <w:pPr>
              <w:pStyle w:val="TableContents"/>
              <w:rPr>
                <w:sz w:val="4"/>
                <w:szCs w:val="4"/>
              </w:rPr>
            </w:pPr>
          </w:p>
        </w:tc>
        <w:tc>
          <w:tcPr>
            <w:tcW w:w="2517" w:type="dxa"/>
            <w:vMerge/>
          </w:tcPr>
          <w:p w14:paraId="0F9D5FD5" w14:textId="77777777" w:rsidR="009D71CC" w:rsidRDefault="009D71CC">
            <w:pPr>
              <w:pStyle w:val="TableContents"/>
              <w:rPr>
                <w:sz w:val="4"/>
                <w:szCs w:val="4"/>
              </w:rPr>
            </w:pPr>
          </w:p>
        </w:tc>
        <w:tc>
          <w:tcPr>
            <w:tcW w:w="2190" w:type="dxa"/>
          </w:tcPr>
          <w:p w14:paraId="23722DB2" w14:textId="77777777" w:rsidR="009D71CC" w:rsidRDefault="00CB7CE8">
            <w:pPr>
              <w:pStyle w:val="TableContents"/>
            </w:pPr>
            <w:r>
              <w:t>tobacco</w:t>
            </w:r>
          </w:p>
        </w:tc>
      </w:tr>
      <w:tr w:rsidR="009D71CC" w14:paraId="3A1FD5DC" w14:textId="77777777" w:rsidTr="00EF34AA">
        <w:trPr>
          <w:cantSplit/>
          <w:jc w:val="center"/>
        </w:trPr>
        <w:tc>
          <w:tcPr>
            <w:tcW w:w="1514" w:type="dxa"/>
            <w:vMerge/>
          </w:tcPr>
          <w:p w14:paraId="064A2B8D" w14:textId="77777777" w:rsidR="009D71CC" w:rsidRDefault="009D71CC">
            <w:pPr>
              <w:pStyle w:val="TableContents"/>
              <w:rPr>
                <w:sz w:val="4"/>
                <w:szCs w:val="4"/>
              </w:rPr>
            </w:pPr>
          </w:p>
        </w:tc>
        <w:tc>
          <w:tcPr>
            <w:tcW w:w="2517" w:type="dxa"/>
            <w:vMerge/>
          </w:tcPr>
          <w:p w14:paraId="66757CFD" w14:textId="77777777" w:rsidR="009D71CC" w:rsidRDefault="009D71CC">
            <w:pPr>
              <w:pStyle w:val="TableContents"/>
              <w:rPr>
                <w:sz w:val="4"/>
                <w:szCs w:val="4"/>
              </w:rPr>
            </w:pPr>
          </w:p>
        </w:tc>
        <w:tc>
          <w:tcPr>
            <w:tcW w:w="2190" w:type="dxa"/>
          </w:tcPr>
          <w:p w14:paraId="4448DBAA" w14:textId="77777777" w:rsidR="009D71CC" w:rsidRDefault="00CB7CE8">
            <w:pPr>
              <w:pStyle w:val="TableContents"/>
              <w:keepNext/>
            </w:pPr>
            <w:r>
              <w:t>toys</w:t>
            </w:r>
          </w:p>
        </w:tc>
      </w:tr>
    </w:tbl>
    <w:p w14:paraId="725C2F3D" w14:textId="66030BAD" w:rsidR="009D71CC" w:rsidRDefault="009D71CC" w:rsidP="00FA79EA">
      <w:pPr>
        <w:pStyle w:val="Obrazek"/>
        <w:jc w:val="both"/>
      </w:pPr>
    </w:p>
    <w:p w14:paraId="558D1A97" w14:textId="77777777" w:rsidR="009D71CC" w:rsidRDefault="00CB7CE8">
      <w:pPr>
        <w:pStyle w:val="Nadpis2"/>
      </w:pPr>
      <w:bookmarkStart w:id="96" w:name="_Toc133611828"/>
      <w:bookmarkStart w:id="97" w:name="_Toc133957944"/>
      <w:bookmarkStart w:id="98" w:name="_Toc143013760"/>
      <w:r>
        <w:t>Hexagony</w:t>
      </w:r>
      <w:bookmarkEnd w:id="96"/>
      <w:bookmarkEnd w:id="97"/>
      <w:bookmarkEnd w:id="98"/>
    </w:p>
    <w:p w14:paraId="2141EE32" w14:textId="77777777" w:rsidR="009D71CC" w:rsidRDefault="00CB7CE8">
      <w:r>
        <w:t>Hexagonální síť je často využívána při analýze ekonomické aktivity, protože poskytuje homogenní a přesně definovanou prostorovou jednotku, která usnadňuje srovnávání výsledků mezi různými oblastmi. Tento typ sítě využívá hexagonální tvary namísto tradičních obdélníků, což zajišťuje rovnoměrné rozložení ploch a minimalizuje vliv hranic mezi jednotlivými polygonálními oblastmi.</w:t>
      </w:r>
    </w:p>
    <w:p w14:paraId="795BB7BF" w14:textId="118D1021" w:rsidR="009D71CC" w:rsidRDefault="00CB7CE8">
      <w:pPr>
        <w:tabs>
          <w:tab w:val="left" w:pos="358"/>
        </w:tabs>
      </w:pPr>
      <w:r>
        <w:tab/>
        <w:t>Použití hexagonální sítě umožňuje přesně určit ekonomické jednotky a analýzou různých ukazatelů lze zkoumat jejich ekonomickou aktivitu. Mezi důležité ukazatele patří například míra zaměstnanosti, průměrná výše mezd, míra podnikatelské aktivity nebo počet podniků v dané oblasti. Výsledky analýzy mohou být následně využity k lepšímu porozumění ekonomické situace v dané oblasti a ke zlepšení plánování a rozhodování v</w:t>
      </w:r>
      <w:r w:rsidR="001639CA">
        <w:t> </w:t>
      </w:r>
      <w:r>
        <w:t>oblasti ekonomického rozvoje.</w:t>
      </w:r>
    </w:p>
    <w:p w14:paraId="4EA51472" w14:textId="77777777" w:rsidR="009D71CC" w:rsidRDefault="00CB7CE8">
      <w:pPr>
        <w:tabs>
          <w:tab w:val="left" w:pos="358"/>
        </w:tabs>
        <w:rPr>
          <w:rFonts w:ascii="Courier New" w:hAnsi="Courier New" w:cs="Courier New"/>
          <w:szCs w:val="20"/>
        </w:rPr>
      </w:pPr>
      <w:r>
        <w:tab/>
        <w:t>V rámci diplomové práce byla vytvořena hexagonální síť o velikosti 4,3 km</w:t>
      </w:r>
      <w:r>
        <w:rPr>
          <w:vertAlign w:val="superscript"/>
        </w:rPr>
        <w:t>2</w:t>
      </w:r>
      <w:r>
        <w:t>, ke které byly vztaženy vybrané analýzy a statistické výstupy. K vytvoření hexagonů byl použit nástroj „</w:t>
      </w:r>
      <w:r>
        <w:rPr>
          <w:i/>
          <w:iCs/>
        </w:rPr>
        <w:t>Generate Tessellation</w:t>
      </w:r>
      <w:r>
        <w:t>“ z Python knihovny arcpy. V prvním kroku byly vypočítány hranice upravené vrsty „Urban Core“ v souřadnicovém systému, který byl zvolen pro každé město.</w:t>
      </w:r>
      <w:r>
        <w:rPr>
          <w:rFonts w:ascii="Courier New" w:hAnsi="Courier New" w:cs="Courier New"/>
          <w:szCs w:val="20"/>
        </w:rPr>
        <w:t xml:space="preserve"> </w:t>
      </w:r>
      <w:r>
        <w:t>V druhém kroku byl použit nástroj „</w:t>
      </w:r>
      <w:r>
        <w:rPr>
          <w:i/>
          <w:iCs/>
        </w:rPr>
        <w:t>Generate Tessellation</w:t>
      </w:r>
      <w:r>
        <w:t>“ s nastavením:</w:t>
      </w:r>
    </w:p>
    <w:p w14:paraId="2E0E2F35" w14:textId="77777777" w:rsidR="009D71CC" w:rsidRDefault="00CB7CE8">
      <w:pPr>
        <w:pStyle w:val="Odstavecseseznamem"/>
        <w:numPr>
          <w:ilvl w:val="1"/>
          <w:numId w:val="11"/>
        </w:numPr>
      </w:pPr>
      <w:r>
        <w:rPr>
          <w:i/>
          <w:iCs/>
        </w:rPr>
        <w:t>Extent</w:t>
      </w:r>
      <w:r>
        <w:t>: vypočítán z „</w:t>
      </w:r>
      <w:r>
        <w:rPr>
          <w:i/>
          <w:iCs/>
        </w:rPr>
        <w:t>Urban Core</w:t>
      </w:r>
      <w:r>
        <w:t>“</w:t>
      </w:r>
    </w:p>
    <w:p w14:paraId="7135DD44" w14:textId="77777777" w:rsidR="009D71CC" w:rsidRDefault="00CB7CE8">
      <w:pPr>
        <w:pStyle w:val="Odstavecseseznamem"/>
        <w:numPr>
          <w:ilvl w:val="1"/>
          <w:numId w:val="11"/>
        </w:numPr>
      </w:pPr>
      <w:r>
        <w:rPr>
          <w:i/>
          <w:iCs/>
        </w:rPr>
        <w:t>Shape type</w:t>
      </w:r>
      <w:r>
        <w:t>: Hexagon</w:t>
      </w:r>
    </w:p>
    <w:p w14:paraId="3A7671D0" w14:textId="77777777" w:rsidR="009D71CC" w:rsidRDefault="00CB7CE8">
      <w:pPr>
        <w:pStyle w:val="Odstavecseseznamem"/>
        <w:numPr>
          <w:ilvl w:val="1"/>
          <w:numId w:val="11"/>
        </w:numPr>
      </w:pPr>
      <w:r>
        <w:rPr>
          <w:i/>
          <w:iCs/>
        </w:rPr>
        <w:t>Size</w:t>
      </w:r>
      <w:r>
        <w:t>: 4,3 km</w:t>
      </w:r>
      <w:r>
        <w:rPr>
          <w:vertAlign w:val="superscript"/>
        </w:rPr>
        <w:t>2</w:t>
      </w:r>
    </w:p>
    <w:p w14:paraId="6CF918FE" w14:textId="77777777" w:rsidR="009D71CC" w:rsidRDefault="00CB7CE8">
      <w:pPr>
        <w:pStyle w:val="Odstavecseseznamem"/>
        <w:numPr>
          <w:ilvl w:val="1"/>
          <w:numId w:val="11"/>
        </w:numPr>
        <w:rPr>
          <w:rStyle w:val="ProgramovyKod"/>
          <w:rFonts w:ascii="Bookman Old Style" w:hAnsi="Bookman Old Style" w:cs="Times New Roman"/>
          <w:szCs w:val="24"/>
        </w:rPr>
      </w:pPr>
      <w:r>
        <w:rPr>
          <w:i/>
          <w:iCs/>
        </w:rPr>
        <w:t>Spatial Reference</w:t>
      </w:r>
      <w:r>
        <w:t>: z tabulky č. X</w:t>
      </w:r>
    </w:p>
    <w:p w14:paraId="2B40BFB6" w14:textId="77777777" w:rsidR="009D71CC" w:rsidRDefault="00CB7CE8">
      <w:r>
        <w:t>Výsledný hexagon byl uložen do databáze projektu.</w:t>
      </w:r>
    </w:p>
    <w:p w14:paraId="6E077145" w14:textId="6E62FAEB" w:rsidR="009D71CC" w:rsidRDefault="00CB7CE8">
      <w:pPr>
        <w:tabs>
          <w:tab w:val="left" w:pos="358"/>
        </w:tabs>
      </w:pPr>
      <w:r>
        <w:tab/>
        <w:t>Pokaždé, kdy byly provedeny dílčí analýzy, byly výsledky vztaženy k hexagonům, což umožnilo detailní a srozumitelnou vizualizaci výsledků a porovnání v různých částech města. Tímto způsobem bylo možné získat podrobné informace o ekonomické aktivitě v</w:t>
      </w:r>
      <w:r w:rsidR="00523E94">
        <w:t> </w:t>
      </w:r>
      <w:r>
        <w:t>jednotlivých hexagonech a identifikovat oblasti s vysokou nebo nízkou koncentrací ekonomické aktivity. Tyto informace byly dále využity při porovnávání a klasifikaci měst a</w:t>
      </w:r>
      <w:r w:rsidR="001639CA">
        <w:t> </w:t>
      </w:r>
      <w:r>
        <w:t>městských oblastí na základě úrovně a charakteru ekonomické aktivity.</w:t>
      </w:r>
      <w:r>
        <w:br w:type="page"/>
      </w:r>
    </w:p>
    <w:p w14:paraId="2E916133" w14:textId="77777777" w:rsidR="009D71CC" w:rsidRDefault="00CB7CE8">
      <w:pPr>
        <w:pStyle w:val="Nadpis1"/>
      </w:pPr>
      <w:bookmarkStart w:id="99" w:name="_Toc126159424"/>
      <w:bookmarkStart w:id="100" w:name="_Toc277157893"/>
      <w:bookmarkStart w:id="101" w:name="_Toc133611829"/>
      <w:bookmarkStart w:id="102" w:name="_Toc133957945"/>
      <w:bookmarkStart w:id="103" w:name="_Toc143013761"/>
      <w:r>
        <w:lastRenderedPageBreak/>
        <w:t>Výsledky</w:t>
      </w:r>
      <w:bookmarkEnd w:id="99"/>
      <w:bookmarkEnd w:id="100"/>
      <w:bookmarkEnd w:id="101"/>
      <w:bookmarkEnd w:id="102"/>
      <w:bookmarkEnd w:id="103"/>
    </w:p>
    <w:p w14:paraId="1A4AA231" w14:textId="633F5604" w:rsidR="009D71CC" w:rsidRDefault="00CB7CE8">
      <w:pPr>
        <w:pStyle w:val="NormlnOdstavec"/>
        <w:ind w:firstLine="0"/>
      </w:pPr>
      <w:bookmarkStart w:id="104" w:name="_Hlk133943285"/>
      <w:r>
        <w:t>Cílem diplomové práce bylo zhodnotit roli urbánních sítí ve struktuře a vývoji města. V</w:t>
      </w:r>
      <w:r w:rsidR="00523E94">
        <w:t> </w:t>
      </w:r>
      <w:r>
        <w:t>první části byly hodnoceny vybrané urbánní sítě. V druhé části pak byly městské sítě vztaženy k ekonomické aktivitě ve vybraných městech. V diplomové práci bylo hodnoceno celkem 29 měst, které zastupovaly jak historické, tak plánovaná města, vnitrozemská/ přímořská.</w:t>
      </w:r>
    </w:p>
    <w:p w14:paraId="3C3D0246" w14:textId="381DAABC" w:rsidR="009D71CC" w:rsidRDefault="00CB7CE8">
      <w:pPr>
        <w:pStyle w:val="NormlnOdstavec"/>
        <w:ind w:firstLine="357"/>
      </w:pPr>
      <w:r>
        <w:t>Na základě výsledků jednotlivých analýz byla města klasifikována do několika kategorií. Tyto kategorie byly vybrány na základě expertní analýzy autora a výsledků z dílčích studií. Klasifikaci napomohla i rešerše existujících prací, které dělí urbánní sítě.</w:t>
      </w:r>
      <w:r w:rsidR="00284C92">
        <w:t xml:space="preserve"> </w:t>
      </w:r>
      <w:r w:rsidR="00C779E0">
        <w:t>K výsledkům analýz byl</w:t>
      </w:r>
      <w:r w:rsidR="00312444">
        <w:t>a</w:t>
      </w:r>
      <w:r w:rsidR="00C779E0">
        <w:t xml:space="preserve"> vztažen</w:t>
      </w:r>
      <w:r w:rsidR="00312444">
        <w:t>a</w:t>
      </w:r>
      <w:r w:rsidR="00C779E0">
        <w:t xml:space="preserve"> </w:t>
      </w:r>
      <w:r w:rsidR="00312444">
        <w:t>i rešerše ekonomické aktivity u vybraných měst z dostupných online zdrojů.</w:t>
      </w:r>
      <w:r w:rsidR="008D5034">
        <w:t xml:space="preserve"> </w:t>
      </w:r>
      <w:r>
        <w:t>Na základě výsledků byly vytvořeny:</w:t>
      </w:r>
    </w:p>
    <w:p w14:paraId="0B8D146B" w14:textId="77777777" w:rsidR="009D71CC" w:rsidRDefault="00CB7CE8">
      <w:pPr>
        <w:pStyle w:val="NormlnOdstavec"/>
        <w:numPr>
          <w:ilvl w:val="0"/>
          <w:numId w:val="20"/>
        </w:numPr>
      </w:pPr>
      <w:r>
        <w:t>story mapy:</w:t>
      </w:r>
      <w:bookmarkStart w:id="105" w:name="_Toc133957946"/>
    </w:p>
    <w:p w14:paraId="3E55104F" w14:textId="77777777" w:rsidR="009D71CC" w:rsidRDefault="00CB7CE8">
      <w:pPr>
        <w:pStyle w:val="NormlnOdstavec"/>
        <w:numPr>
          <w:ilvl w:val="1"/>
          <w:numId w:val="20"/>
        </w:numPr>
      </w:pPr>
      <w:r>
        <w:t>Města s radiálním tvarem urbánních sítí</w:t>
      </w:r>
    </w:p>
    <w:p w14:paraId="605F6C75" w14:textId="77777777" w:rsidR="009D71CC" w:rsidRDefault="00CB7CE8">
      <w:pPr>
        <w:pStyle w:val="Odstavecseseznamem"/>
        <w:numPr>
          <w:ilvl w:val="1"/>
          <w:numId w:val="20"/>
        </w:numPr>
      </w:pPr>
      <w:r>
        <w:t>Města s podlouhlým tvarem</w:t>
      </w:r>
    </w:p>
    <w:p w14:paraId="47D0A277" w14:textId="77777777" w:rsidR="009D71CC" w:rsidRDefault="00CB7CE8">
      <w:pPr>
        <w:pStyle w:val="NormlnOdstavec"/>
        <w:numPr>
          <w:ilvl w:val="1"/>
          <w:numId w:val="20"/>
        </w:numPr>
      </w:pPr>
      <w:r>
        <w:t>Ostatní města</w:t>
      </w:r>
    </w:p>
    <w:p w14:paraId="29F58088" w14:textId="77777777" w:rsidR="009D71CC" w:rsidRDefault="00CB7CE8">
      <w:pPr>
        <w:pStyle w:val="NormlnOdstavec"/>
        <w:numPr>
          <w:ilvl w:val="0"/>
          <w:numId w:val="20"/>
        </w:numPr>
      </w:pPr>
      <w:r>
        <w:t>grafy orientace silniční sítě</w:t>
      </w:r>
    </w:p>
    <w:p w14:paraId="4A5097F4" w14:textId="77777777" w:rsidR="009D71CC" w:rsidRDefault="00CB7CE8">
      <w:pPr>
        <w:pStyle w:val="NormlnOdstavec"/>
        <w:numPr>
          <w:ilvl w:val="0"/>
          <w:numId w:val="20"/>
        </w:numPr>
      </w:pPr>
      <w:r>
        <w:t>statistické výstupy</w:t>
      </w:r>
    </w:p>
    <w:p w14:paraId="10E24E79" w14:textId="77777777" w:rsidR="009D71CC" w:rsidRDefault="00CB7CE8">
      <w:pPr>
        <w:pStyle w:val="NormlnOdstavec"/>
        <w:numPr>
          <w:ilvl w:val="0"/>
          <w:numId w:val="20"/>
        </w:numPr>
      </w:pPr>
      <w:r>
        <w:t>grafy uliční sítě</w:t>
      </w:r>
    </w:p>
    <w:p w14:paraId="54E941D6" w14:textId="77777777" w:rsidR="009D71CC" w:rsidRDefault="00CB7CE8">
      <w:pPr>
        <w:pStyle w:val="NormlnOdstavec"/>
        <w:numPr>
          <w:ilvl w:val="0"/>
          <w:numId w:val="20"/>
        </w:numPr>
      </w:pPr>
      <w:r>
        <w:t>histogramy ploch obslužnosti</w:t>
      </w:r>
    </w:p>
    <w:p w14:paraId="138F8C55" w14:textId="77777777" w:rsidR="009D71CC" w:rsidRDefault="00CB7CE8">
      <w:pPr>
        <w:pStyle w:val="Nadpis2"/>
        <w:rPr>
          <w:rStyle w:val="eop"/>
        </w:rPr>
      </w:pPr>
      <w:bookmarkStart w:id="106" w:name="_Toc143013762"/>
      <w:r>
        <w:rPr>
          <w:rStyle w:val="eop"/>
        </w:rPr>
        <w:t>Města s radiálním tvarem urbánních sítí</w:t>
      </w:r>
      <w:bookmarkEnd w:id="105"/>
      <w:bookmarkEnd w:id="106"/>
    </w:p>
    <w:p w14:paraId="05074757" w14:textId="77777777" w:rsidR="009D71CC" w:rsidRDefault="00CB7CE8">
      <w:pPr>
        <w:pStyle w:val="NormlnOdstavec"/>
        <w:ind w:firstLine="0"/>
      </w:pPr>
      <w:r>
        <w:t>Charakterizovány jsou tím, že centrum města je obklopeno koncentrickými kruhy nebo radiálními silnicemi, které se šíří jako paprsky z centra ven. Tyto sítě jsou běžné v mnoha městech po celém světě a jsou často spojeny s historickým vývojem města.</w:t>
      </w:r>
    </w:p>
    <w:p w14:paraId="03487966" w14:textId="77777777" w:rsidR="009D71CC" w:rsidRDefault="00CB7CE8">
      <w:pPr>
        <w:pStyle w:val="NormlnOdstavec"/>
        <w:ind w:firstLine="432"/>
      </w:pPr>
      <w:r>
        <w:t>Jednou z hlavních charakteristik měst s radiálním tvarem je vysoká centralita na obchvatech a hlavních radiálách měst.  Obchvat města potom obvykle obepíná celou městskou aglomeraci a slouží jako hlavní dopravní tepna pro průjezd aut a nákladních vozidel kolem města. V důsledku toho to vede k výraznému zahuštění dopravy a zvýšenému provozu v centru města. Tohle dělení bylo však vyhodnoceno jak příliš obecné a byla kategorie radiálních měst členěna dále. První kategorií byla zvolena přístavní města s radiálním tvarem.</w:t>
      </w:r>
    </w:p>
    <w:p w14:paraId="0E65F8A7" w14:textId="77777777" w:rsidR="009D71CC" w:rsidRDefault="00CB7CE8">
      <w:pPr>
        <w:pStyle w:val="NormlnOdstavec"/>
        <w:keepNext/>
        <w:ind w:firstLine="432"/>
        <w:jc w:val="center"/>
      </w:pPr>
      <w:r>
        <w:rPr>
          <w:noProof/>
        </w:rPr>
        <w:lastRenderedPageBreak/>
        <w:drawing>
          <wp:inline distT="0" distB="0" distL="0" distR="0" wp14:anchorId="03746485" wp14:editId="2340F9D7">
            <wp:extent cx="4208145" cy="3236595"/>
            <wp:effectExtent l="0" t="0" r="0" b="0"/>
            <wp:docPr id="21" name="Obrázek 3"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3" descr="Obsah obrázku diagram&#10;&#10;Popis byl vytvořen automaticky"/>
                    <pic:cNvPicPr>
                      <a:picLocks noChangeAspect="1" noChangeArrowheads="1"/>
                    </pic:cNvPicPr>
                  </pic:nvPicPr>
                  <pic:blipFill>
                    <a:blip r:embed="rId31"/>
                    <a:stretch>
                      <a:fillRect/>
                    </a:stretch>
                  </pic:blipFill>
                  <pic:spPr bwMode="auto">
                    <a:xfrm>
                      <a:off x="0" y="0"/>
                      <a:ext cx="4208145" cy="3236595"/>
                    </a:xfrm>
                    <a:prstGeom prst="rect">
                      <a:avLst/>
                    </a:prstGeom>
                  </pic:spPr>
                </pic:pic>
              </a:graphicData>
            </a:graphic>
          </wp:inline>
        </w:drawing>
      </w:r>
    </w:p>
    <w:p w14:paraId="7900D3CB" w14:textId="7B1952F6" w:rsidR="009D71CC" w:rsidRDefault="00CB7CE8">
      <w:pPr>
        <w:pStyle w:val="Obrazek"/>
      </w:pPr>
      <w:r>
        <w:t xml:space="preserve">Obr. </w:t>
      </w:r>
      <w:fldSimple w:instr=" SEQ Obr. \* ARABIC ">
        <w:r w:rsidR="00865999">
          <w:rPr>
            <w:noProof/>
          </w:rPr>
          <w:t>9</w:t>
        </w:r>
      </w:fldSimple>
      <w:r>
        <w:t xml:space="preserve"> Silniční síť v Amsterdamu</w:t>
      </w:r>
    </w:p>
    <w:p w14:paraId="2FC9FB46" w14:textId="10931360" w:rsidR="009D71CC" w:rsidRDefault="00C72214">
      <w:pPr>
        <w:pStyle w:val="Nadpis4"/>
      </w:pPr>
      <w:r>
        <w:t>Přímořská</w:t>
      </w:r>
      <w:r w:rsidR="00CB7CE8">
        <w:t xml:space="preserve"> města</w:t>
      </w:r>
    </w:p>
    <w:p w14:paraId="72B96EE3" w14:textId="77777777" w:rsidR="009D71CC" w:rsidRDefault="00CB7CE8">
      <w:r>
        <w:t>Na rozdíl od vnitrozemských měst mají přímořská města tvar půlkruhu s radiálami. Tuto kategorii můžeme charakterizovat následovně:</w:t>
      </w:r>
    </w:p>
    <w:p w14:paraId="4EDFFF16" w14:textId="77777777" w:rsidR="009D71CC" w:rsidRDefault="00CB7CE8">
      <w:pPr>
        <w:pStyle w:val="Odstavecseseznamem"/>
        <w:numPr>
          <w:ilvl w:val="0"/>
          <w:numId w:val="19"/>
        </w:numPr>
      </w:pPr>
      <w:r>
        <w:t>Centralita je nejvyšší na obchvatech a radiálách.</w:t>
      </w:r>
    </w:p>
    <w:p w14:paraId="0249DC51" w14:textId="77777777" w:rsidR="009D71CC" w:rsidRDefault="00CB7CE8">
      <w:pPr>
        <w:pStyle w:val="Odstavecseseznamem"/>
        <w:numPr>
          <w:ilvl w:val="0"/>
          <w:numId w:val="19"/>
        </w:numPr>
      </w:pPr>
      <w:r>
        <w:t>Jedná se převážně o historická města.</w:t>
      </w:r>
    </w:p>
    <w:p w14:paraId="6695C36D" w14:textId="77777777" w:rsidR="009D71CC" w:rsidRDefault="00CB7CE8">
      <w:pPr>
        <w:pStyle w:val="Odstavecseseznamem"/>
        <w:numPr>
          <w:ilvl w:val="0"/>
          <w:numId w:val="19"/>
        </w:numPr>
      </w:pPr>
      <w:r>
        <w:t>Silná autobusová doprava a spíše slabší železniční doprava jsou typické pro tato města.</w:t>
      </w:r>
    </w:p>
    <w:p w14:paraId="1A7708B1" w14:textId="77777777" w:rsidR="009D71CC" w:rsidRDefault="00CB7CE8">
      <w:pPr>
        <w:pStyle w:val="Odstavecseseznamem"/>
        <w:numPr>
          <w:ilvl w:val="0"/>
          <w:numId w:val="19"/>
        </w:numPr>
      </w:pPr>
      <w:r>
        <w:t>Dominantou je přístav, kolem kterého se shlukuje průmyslová výroba.</w:t>
      </w:r>
    </w:p>
    <w:p w14:paraId="63951B7B" w14:textId="77777777" w:rsidR="009D71CC" w:rsidRDefault="00CB7CE8">
      <w:pPr>
        <w:pStyle w:val="Odstavecseseznamem"/>
        <w:numPr>
          <w:ilvl w:val="0"/>
          <w:numId w:val="19"/>
        </w:numPr>
      </w:pPr>
      <w:r>
        <w:t>Retailová centra se nacházejí v centru města. V blízkosti obchvatů se nachází supermarkety a velké obchodní domy.</w:t>
      </w:r>
    </w:p>
    <w:p w14:paraId="6A4C2BD3" w14:textId="77777777" w:rsidR="009D71CC" w:rsidRDefault="00CB7CE8">
      <w:pPr>
        <w:pStyle w:val="Odstavecseseznamem"/>
        <w:numPr>
          <w:ilvl w:val="0"/>
          <w:numId w:val="19"/>
        </w:numPr>
      </w:pPr>
      <w:r>
        <w:t>Železniční doprava má také radiální tvar a hraje důležitou roli v propojení přístavu.</w:t>
      </w:r>
    </w:p>
    <w:p w14:paraId="6C7FB665" w14:textId="787C6EBA" w:rsidR="00A75B3F" w:rsidRPr="000601F2" w:rsidRDefault="00CB7CE8">
      <w:pPr>
        <w:pStyle w:val="NormlnOdstavec"/>
        <w:ind w:firstLine="0"/>
        <w:rPr>
          <w:b/>
        </w:rPr>
      </w:pPr>
      <w:r>
        <w:t>Porto a Dublin nemají metro, což se odlišuje od ostatních měst. Amsterdam a Porto mají okruh středem města, takže by bylo možné je zařadit do kategorie vnitrozemských radiálních měst. Důvodem pro umístění do této kategorie však je dominance přístavu. Všechna tato města jsou turisticky a ekonomicky atraktivní, a proto existuje vysoký počet meziměstských a mezinárodních autobusových linek, které sem vedou nebo sem odjíždějí.</w:t>
      </w:r>
      <w:r w:rsidR="00A75B3F">
        <w:t xml:space="preserve"> Nejvýkonnějším ekonomickým městem této skupiny je </w:t>
      </w:r>
      <w:r w:rsidR="0019084C">
        <w:t>Amsterdam,</w:t>
      </w:r>
      <w:r w:rsidR="00A75B3F">
        <w:t xml:space="preserve"> </w:t>
      </w:r>
      <w:r w:rsidR="00614E4B">
        <w:t>protože</w:t>
      </w:r>
      <w:r w:rsidR="000601F2">
        <w:t xml:space="preserve"> jeho přístav patří k nejdůležitějším v Evropě. </w:t>
      </w:r>
      <w:r w:rsidR="000601F2" w:rsidRPr="000601F2">
        <w:t>V roce 2020 dosáhl přístav Amsterdam N.V. obratu 158,4 milionu eur.</w:t>
      </w:r>
    </w:p>
    <w:p w14:paraId="4A9555C4" w14:textId="77777777" w:rsidR="00523E94" w:rsidRDefault="00523E94">
      <w:pPr>
        <w:spacing w:before="0" w:after="0" w:line="240" w:lineRule="auto"/>
        <w:jc w:val="left"/>
        <w:rPr>
          <w:sz w:val="18"/>
          <w:szCs w:val="22"/>
        </w:rPr>
      </w:pPr>
      <w:r>
        <w:br w:type="page"/>
      </w:r>
    </w:p>
    <w:p w14:paraId="44D515EA" w14:textId="0FD3C766" w:rsidR="00FA79EA" w:rsidRDefault="00FA79EA" w:rsidP="00FA79EA">
      <w:pPr>
        <w:pStyle w:val="TabulkaNazev"/>
      </w:pPr>
      <w:r>
        <w:lastRenderedPageBreak/>
        <w:t xml:space="preserve">Tab. </w:t>
      </w:r>
      <w:fldSimple w:instr=" SEQ Tab. \* ARABIC ">
        <w:r w:rsidR="00005BBA">
          <w:rPr>
            <w:noProof/>
          </w:rPr>
          <w:t>8</w:t>
        </w:r>
      </w:fldSimple>
      <w:r>
        <w:t xml:space="preserve"> </w:t>
      </w:r>
      <w:r w:rsidRPr="00644888">
        <w:t>Přímořská města</w:t>
      </w:r>
    </w:p>
    <w:tbl>
      <w:tblPr>
        <w:tblW w:w="3235" w:type="dxa"/>
        <w:tblLayout w:type="fixed"/>
        <w:tblCellMar>
          <w:top w:w="15" w:type="dxa"/>
          <w:bottom w:w="15" w:type="dxa"/>
        </w:tblCellMar>
        <w:tblLook w:val="04A0" w:firstRow="1" w:lastRow="0" w:firstColumn="1" w:lastColumn="0" w:noHBand="0" w:noVBand="1"/>
      </w:tblPr>
      <w:tblGrid>
        <w:gridCol w:w="3235"/>
      </w:tblGrid>
      <w:tr w:rsidR="009D71CC" w14:paraId="0545482C" w14:textId="77777777" w:rsidTr="00FA79EA">
        <w:trPr>
          <w:trHeight w:val="585"/>
        </w:trPr>
        <w:tc>
          <w:tcPr>
            <w:tcW w:w="3235" w:type="dxa"/>
            <w:tcBorders>
              <w:top w:val="single" w:sz="4" w:space="0" w:color="000000"/>
              <w:left w:val="single" w:sz="4" w:space="0" w:color="000000"/>
              <w:bottom w:val="single" w:sz="4" w:space="0" w:color="000000"/>
              <w:right w:val="single" w:sz="4" w:space="0" w:color="000000"/>
            </w:tcBorders>
            <w:vAlign w:val="bottom"/>
          </w:tcPr>
          <w:p w14:paraId="60750B74" w14:textId="77777777" w:rsidR="009D71CC" w:rsidRDefault="00CB7CE8">
            <w:pPr>
              <w:pStyle w:val="Table"/>
              <w:keepNext/>
              <w:widowControl w:val="0"/>
              <w:jc w:val="left"/>
              <w:rPr>
                <w:rFonts w:ascii="Calibri" w:hAnsi="Calibri" w:cs="Calibri"/>
                <w:color w:val="000000"/>
                <w:sz w:val="22"/>
                <w:szCs w:val="22"/>
                <w:lang w:val="pt-PT" w:eastAsia="en-US"/>
              </w:rPr>
            </w:pPr>
            <w:r>
              <w:rPr>
                <w:lang w:val="pt-PT" w:eastAsia="en-US"/>
              </w:rPr>
              <w:t>Přímořská města s radiálním tvarem urbánních sítí</w:t>
            </w:r>
          </w:p>
        </w:tc>
      </w:tr>
      <w:tr w:rsidR="009D71CC" w14:paraId="4E68F7B4" w14:textId="77777777" w:rsidTr="00FA79EA">
        <w:trPr>
          <w:trHeight w:val="285"/>
        </w:trPr>
        <w:tc>
          <w:tcPr>
            <w:tcW w:w="3235" w:type="dxa"/>
            <w:tcBorders>
              <w:top w:val="single" w:sz="4" w:space="0" w:color="000000"/>
              <w:left w:val="single" w:sz="4" w:space="0" w:color="000000"/>
              <w:bottom w:val="single" w:sz="4" w:space="0" w:color="000000"/>
              <w:right w:val="single" w:sz="4" w:space="0" w:color="000000"/>
            </w:tcBorders>
            <w:vAlign w:val="bottom"/>
          </w:tcPr>
          <w:p w14:paraId="4DEE6A18" w14:textId="77777777" w:rsidR="009D71CC" w:rsidRDefault="00CB7CE8">
            <w:pPr>
              <w:pStyle w:val="TableContents"/>
              <w:keepNext/>
              <w:rPr>
                <w:lang w:val="en-US" w:eastAsia="en-US"/>
              </w:rPr>
            </w:pPr>
            <w:r>
              <w:rPr>
                <w:lang w:val="en-US" w:eastAsia="en-US"/>
              </w:rPr>
              <w:t>Amsterdam</w:t>
            </w:r>
          </w:p>
        </w:tc>
      </w:tr>
      <w:tr w:rsidR="009D71CC" w14:paraId="3C08838F" w14:textId="77777777" w:rsidTr="00FA79EA">
        <w:trPr>
          <w:trHeight w:val="300"/>
        </w:trPr>
        <w:tc>
          <w:tcPr>
            <w:tcW w:w="3235" w:type="dxa"/>
            <w:tcBorders>
              <w:top w:val="single" w:sz="4" w:space="0" w:color="000000"/>
              <w:left w:val="single" w:sz="4" w:space="0" w:color="000000"/>
              <w:bottom w:val="single" w:sz="4" w:space="0" w:color="000000"/>
              <w:right w:val="single" w:sz="4" w:space="0" w:color="000000"/>
            </w:tcBorders>
            <w:vAlign w:val="bottom"/>
          </w:tcPr>
          <w:p w14:paraId="2BF39E31" w14:textId="77777777" w:rsidR="009D71CC" w:rsidRDefault="00CB7CE8">
            <w:pPr>
              <w:pStyle w:val="TableContents"/>
              <w:keepNext/>
              <w:rPr>
                <w:lang w:val="en-US" w:eastAsia="en-US"/>
              </w:rPr>
            </w:pPr>
            <w:r>
              <w:rPr>
                <w:lang w:val="en-US" w:eastAsia="en-US"/>
              </w:rPr>
              <w:t>Athény</w:t>
            </w:r>
          </w:p>
        </w:tc>
      </w:tr>
      <w:tr w:rsidR="009D71CC" w14:paraId="362CD5F1" w14:textId="77777777" w:rsidTr="00FA79EA">
        <w:trPr>
          <w:trHeight w:val="300"/>
        </w:trPr>
        <w:tc>
          <w:tcPr>
            <w:tcW w:w="3235" w:type="dxa"/>
            <w:tcBorders>
              <w:top w:val="single" w:sz="4" w:space="0" w:color="000000"/>
              <w:left w:val="single" w:sz="4" w:space="0" w:color="000000"/>
              <w:bottom w:val="single" w:sz="4" w:space="0" w:color="000000"/>
              <w:right w:val="single" w:sz="4" w:space="0" w:color="000000"/>
            </w:tcBorders>
            <w:vAlign w:val="bottom"/>
          </w:tcPr>
          <w:p w14:paraId="2DABE2E9" w14:textId="77777777" w:rsidR="009D71CC" w:rsidRDefault="00CB7CE8">
            <w:pPr>
              <w:pStyle w:val="TableContents"/>
              <w:keepNext/>
              <w:rPr>
                <w:lang w:val="en-US" w:eastAsia="en-US"/>
              </w:rPr>
            </w:pPr>
            <w:r>
              <w:rPr>
                <w:lang w:val="en-US" w:eastAsia="en-US"/>
              </w:rPr>
              <w:t>Kodaň</w:t>
            </w:r>
          </w:p>
        </w:tc>
      </w:tr>
      <w:tr w:rsidR="009D71CC" w14:paraId="4E79A0B2" w14:textId="77777777" w:rsidTr="00FA79EA">
        <w:trPr>
          <w:trHeight w:val="300"/>
        </w:trPr>
        <w:tc>
          <w:tcPr>
            <w:tcW w:w="3235" w:type="dxa"/>
            <w:tcBorders>
              <w:top w:val="single" w:sz="4" w:space="0" w:color="000000"/>
              <w:left w:val="single" w:sz="4" w:space="0" w:color="000000"/>
              <w:bottom w:val="single" w:sz="4" w:space="0" w:color="000000"/>
              <w:right w:val="single" w:sz="4" w:space="0" w:color="000000"/>
            </w:tcBorders>
            <w:vAlign w:val="bottom"/>
          </w:tcPr>
          <w:p w14:paraId="71185B76" w14:textId="77777777" w:rsidR="009D71CC" w:rsidRDefault="00CB7CE8">
            <w:pPr>
              <w:pStyle w:val="TableContents"/>
              <w:keepNext/>
              <w:rPr>
                <w:lang w:val="en-US" w:eastAsia="en-US"/>
              </w:rPr>
            </w:pPr>
            <w:r>
              <w:rPr>
                <w:lang w:val="en-US" w:eastAsia="en-US"/>
              </w:rPr>
              <w:t>Dublin</w:t>
            </w:r>
          </w:p>
        </w:tc>
      </w:tr>
      <w:tr w:rsidR="009D71CC" w14:paraId="225CCDBD" w14:textId="77777777" w:rsidTr="00FA79EA">
        <w:trPr>
          <w:trHeight w:val="300"/>
        </w:trPr>
        <w:tc>
          <w:tcPr>
            <w:tcW w:w="3235" w:type="dxa"/>
            <w:tcBorders>
              <w:top w:val="single" w:sz="4" w:space="0" w:color="000000"/>
              <w:left w:val="single" w:sz="4" w:space="0" w:color="000000"/>
              <w:bottom w:val="single" w:sz="4" w:space="0" w:color="000000"/>
              <w:right w:val="single" w:sz="4" w:space="0" w:color="000000"/>
            </w:tcBorders>
            <w:vAlign w:val="bottom"/>
          </w:tcPr>
          <w:p w14:paraId="2B16BCFC" w14:textId="77777777" w:rsidR="009D71CC" w:rsidRDefault="00CB7CE8">
            <w:pPr>
              <w:pStyle w:val="TableContents"/>
              <w:keepNext/>
              <w:rPr>
                <w:lang w:val="en-US" w:eastAsia="en-US"/>
              </w:rPr>
            </w:pPr>
            <w:r>
              <w:rPr>
                <w:lang w:val="en-US" w:eastAsia="en-US"/>
              </w:rPr>
              <w:t>Lisabon</w:t>
            </w:r>
          </w:p>
        </w:tc>
      </w:tr>
      <w:tr w:rsidR="009D71CC" w14:paraId="057440F4" w14:textId="77777777" w:rsidTr="00FA79EA">
        <w:trPr>
          <w:trHeight w:val="300"/>
        </w:trPr>
        <w:tc>
          <w:tcPr>
            <w:tcW w:w="3235" w:type="dxa"/>
            <w:tcBorders>
              <w:top w:val="single" w:sz="4" w:space="0" w:color="000000"/>
              <w:left w:val="single" w:sz="4" w:space="0" w:color="000000"/>
              <w:bottom w:val="single" w:sz="4" w:space="0" w:color="000000"/>
              <w:right w:val="single" w:sz="4" w:space="0" w:color="000000"/>
            </w:tcBorders>
            <w:vAlign w:val="bottom"/>
          </w:tcPr>
          <w:p w14:paraId="5D4D9C5B" w14:textId="77777777" w:rsidR="009D71CC" w:rsidRDefault="00CB7CE8">
            <w:pPr>
              <w:pStyle w:val="TableContents"/>
              <w:keepNext/>
              <w:rPr>
                <w:lang w:val="en-US" w:eastAsia="en-US"/>
              </w:rPr>
            </w:pPr>
            <w:r>
              <w:rPr>
                <w:lang w:val="en-US" w:eastAsia="en-US"/>
              </w:rPr>
              <w:t>Porto</w:t>
            </w:r>
          </w:p>
        </w:tc>
      </w:tr>
      <w:tr w:rsidR="009D71CC" w14:paraId="281F3E5D" w14:textId="77777777" w:rsidTr="00FA79EA">
        <w:trPr>
          <w:trHeight w:val="300"/>
        </w:trPr>
        <w:tc>
          <w:tcPr>
            <w:tcW w:w="3235" w:type="dxa"/>
            <w:tcBorders>
              <w:top w:val="single" w:sz="4" w:space="0" w:color="000000"/>
              <w:left w:val="single" w:sz="4" w:space="0" w:color="000000"/>
              <w:bottom w:val="single" w:sz="4" w:space="0" w:color="000000"/>
              <w:right w:val="single" w:sz="4" w:space="0" w:color="000000"/>
            </w:tcBorders>
            <w:vAlign w:val="bottom"/>
          </w:tcPr>
          <w:p w14:paraId="57EC87B6" w14:textId="77777777" w:rsidR="009D71CC" w:rsidRDefault="00CB7CE8">
            <w:pPr>
              <w:pStyle w:val="TableContents"/>
              <w:keepNext/>
              <w:rPr>
                <w:lang w:val="en-US" w:eastAsia="en-US"/>
              </w:rPr>
            </w:pPr>
            <w:r>
              <w:rPr>
                <w:lang w:val="en-US" w:eastAsia="en-US"/>
              </w:rPr>
              <w:t>Stockholm</w:t>
            </w:r>
          </w:p>
        </w:tc>
      </w:tr>
    </w:tbl>
    <w:p w14:paraId="400C49EB" w14:textId="77777777" w:rsidR="009D71CC" w:rsidRDefault="00CB7CE8">
      <w:pPr>
        <w:pStyle w:val="Nadpis4"/>
      </w:pPr>
      <w:r>
        <w:t>Vnitrozemská města</w:t>
      </w:r>
    </w:p>
    <w:p w14:paraId="327C9EE7" w14:textId="7F176A63" w:rsidR="009D71CC" w:rsidRDefault="00CB7CE8">
      <w:r>
        <w:t>Tyto města jsou obvykle organizována kolem jednoho nebo více radiálních tahů, které vycházejí z centra města a vedou směrem k okrajům. Vnitrozemská radiální města</w:t>
      </w:r>
      <w:r w:rsidR="00523E94">
        <w:t xml:space="preserve"> </w:t>
      </w:r>
      <w:r w:rsidR="00523E94">
        <w:fldChar w:fldCharType="begin"/>
      </w:r>
      <w:r w:rsidR="00523E94">
        <w:instrText xml:space="preserve"> REF _Ref143016950 \h </w:instrText>
      </w:r>
      <w:r w:rsidR="00523E94">
        <w:fldChar w:fldCharType="separate"/>
      </w:r>
      <w:r w:rsidR="00523E94">
        <w:t xml:space="preserve">Tab. </w:t>
      </w:r>
      <w:r w:rsidR="00523E94">
        <w:rPr>
          <w:noProof/>
        </w:rPr>
        <w:t>9</w:t>
      </w:r>
      <w:r w:rsidR="00523E94">
        <w:fldChar w:fldCharType="end"/>
      </w:r>
      <w:r>
        <w:t xml:space="preserve"> můžeme charakterizovat:</w:t>
      </w:r>
    </w:p>
    <w:p w14:paraId="24536809" w14:textId="397C6284" w:rsidR="009D71CC" w:rsidRDefault="001F137F">
      <w:pPr>
        <w:pStyle w:val="Odstavecseseznamem"/>
        <w:numPr>
          <w:ilvl w:val="0"/>
          <w:numId w:val="18"/>
        </w:numPr>
      </w:pPr>
      <w:r w:rsidRPr="001F137F">
        <w:t xml:space="preserve">Tyto města jsou obvykle organizována kolem jednoho nebo více radiálních tahů, které vycházejí z centra města a vedou směrem k okrajům </w:t>
      </w:r>
      <w:r w:rsidR="00CB7CE8">
        <w:t>Průmyslová výroba se vyskytuje na okrajích měst.</w:t>
      </w:r>
    </w:p>
    <w:p w14:paraId="2ECAF5B7" w14:textId="77777777" w:rsidR="009D71CC" w:rsidRDefault="00CB7CE8">
      <w:pPr>
        <w:pStyle w:val="Odstavecseseznamem"/>
        <w:numPr>
          <w:ilvl w:val="0"/>
          <w:numId w:val="18"/>
        </w:numPr>
      </w:pPr>
      <w:r>
        <w:t>Města jsou významné železniční spoje.</w:t>
      </w:r>
    </w:p>
    <w:p w14:paraId="3B413C28" w14:textId="77777777" w:rsidR="009D71CC" w:rsidRDefault="00CB7CE8">
      <w:pPr>
        <w:pStyle w:val="Odstavecseseznamem"/>
        <w:numPr>
          <w:ilvl w:val="0"/>
          <w:numId w:val="18"/>
        </w:numPr>
      </w:pPr>
      <w:r>
        <w:t>Ve vědeckých pracích se vyskytují jako vzorová.</w:t>
      </w:r>
    </w:p>
    <w:p w14:paraId="50AD99BB" w14:textId="77777777" w:rsidR="009D71CC" w:rsidRDefault="00CB7CE8">
      <w:pPr>
        <w:pStyle w:val="Odstavecseseznamem"/>
        <w:numPr>
          <w:ilvl w:val="0"/>
          <w:numId w:val="18"/>
        </w:numPr>
      </w:pPr>
      <w:r>
        <w:t>Ekonomický a turistická centra.</w:t>
      </w:r>
    </w:p>
    <w:p w14:paraId="335701FE" w14:textId="7993B5E1" w:rsidR="009D71CC" w:rsidRDefault="00CB7CE8">
      <w:r>
        <w:t>Podobně jako přístavní města, i tato města jsou turisticky a ekonomicky atraktivní a</w:t>
      </w:r>
      <w:r w:rsidR="00523E94">
        <w:t> </w:t>
      </w:r>
      <w:r>
        <w:t>existuje zde vysoký počet meziměstských a mezinárodních autobusových a vlakových linek. Důležitá je také letecká síť, protože tyto města ročně navštíví miliony lidí. Letiště se obvykle nachází na okraji nebo mimo město.</w:t>
      </w:r>
    </w:p>
    <w:p w14:paraId="157708FE" w14:textId="311ADA04" w:rsidR="00270FC4" w:rsidRDefault="00475A08">
      <w:r>
        <w:t>Z ekonomického hlediska se zde nachází nejvýkonnější ekonomická města Evropy</w:t>
      </w:r>
      <w:r w:rsidR="00CB3D9D">
        <w:t xml:space="preserve"> podle HD</w:t>
      </w:r>
      <w:r w:rsidR="00F85F05">
        <w:t xml:space="preserve">P. </w:t>
      </w:r>
      <w:r w:rsidR="00563580">
        <w:t>Klasickým představitel této skupiny je Milán, který byl zkoumán i v</w:t>
      </w:r>
      <w:r w:rsidR="001D65B7">
        <w:t xml:space="preserve"> jiných </w:t>
      </w:r>
      <w:r w:rsidR="005B006D">
        <w:t>pracích</w:t>
      </w:r>
      <w:r w:rsidR="00F951AF">
        <w:t>.</w:t>
      </w:r>
    </w:p>
    <w:p w14:paraId="37C4839D" w14:textId="2E274677" w:rsidR="00270FC4" w:rsidRDefault="00270FC4" w:rsidP="00270FC4">
      <w:pPr>
        <w:pStyle w:val="Nadpis4"/>
      </w:pPr>
      <w:r>
        <w:t>Londýn a Paříž</w:t>
      </w:r>
    </w:p>
    <w:p w14:paraId="62A969A5" w14:textId="085A3E44" w:rsidR="00604466" w:rsidRDefault="00F67846" w:rsidP="00F13410">
      <w:r>
        <w:t>J</w:t>
      </w:r>
      <w:r w:rsidR="00F85F05">
        <w:t>sou ekonomicky nejvíce vyspělá města Evropy</w:t>
      </w:r>
      <w:r w:rsidR="00270FC4">
        <w:t xml:space="preserve"> a při hodnocení </w:t>
      </w:r>
      <w:r w:rsidR="00963A42">
        <w:t xml:space="preserve">je </w:t>
      </w:r>
      <w:r>
        <w:t xml:space="preserve">bylo velmi těžké přiřadit do nějaké skupiny. Jejich tvar </w:t>
      </w:r>
      <w:r w:rsidR="00FE3A86">
        <w:t>a urbánní</w:t>
      </w:r>
      <w:r w:rsidR="00717369">
        <w:t xml:space="preserve"> sítě se podobají ostatním městům ze skupiny, avšak se ne</w:t>
      </w:r>
      <w:r w:rsidR="005812AE">
        <w:t>dají srovnávat v ekonomickém výkonu.</w:t>
      </w:r>
      <w:r w:rsidR="00865999">
        <w:t xml:space="preserve"> Z </w:t>
      </w:r>
      <w:r w:rsidR="00865999">
        <w:fldChar w:fldCharType="begin"/>
      </w:r>
      <w:r w:rsidR="00865999">
        <w:instrText xml:space="preserve"> REF _Ref142981629 \h </w:instrText>
      </w:r>
      <w:r w:rsidR="00865999">
        <w:fldChar w:fldCharType="separate"/>
      </w:r>
      <w:r w:rsidR="00865999">
        <w:t xml:space="preserve">Obr. </w:t>
      </w:r>
      <w:r w:rsidR="00865999">
        <w:rPr>
          <w:noProof/>
        </w:rPr>
        <w:t>11</w:t>
      </w:r>
      <w:r w:rsidR="00865999">
        <w:fldChar w:fldCharType="end"/>
      </w:r>
      <w:r w:rsidR="00865999">
        <w:t xml:space="preserve"> je patrné, že </w:t>
      </w:r>
      <w:r w:rsidR="00F4091F">
        <w:t xml:space="preserve">obě města několika násobně převyšují ostatní. Toto tvrzení potvrzuje i analýza ekonomické aktivity </w:t>
      </w:r>
      <w:r w:rsidR="000B0000">
        <w:t xml:space="preserve">z dat OSM. Obě města měly jak největší počet ekonomických </w:t>
      </w:r>
      <w:r w:rsidR="00BA7FFA">
        <w:t>subjektů,</w:t>
      </w:r>
      <w:r w:rsidR="000B0000">
        <w:t xml:space="preserve"> tak </w:t>
      </w:r>
      <w:r w:rsidR="00BA7FFA">
        <w:t>největší ekonomická</w:t>
      </w:r>
      <w:r w:rsidR="000B0000">
        <w:t xml:space="preserve"> </w:t>
      </w:r>
      <w:r w:rsidR="00CA173D">
        <w:t>jádra</w:t>
      </w:r>
      <w:r w:rsidR="00BA7FFA">
        <w:t>.</w:t>
      </w:r>
    </w:p>
    <w:p w14:paraId="0391DABC" w14:textId="64061FD6" w:rsidR="00F13410" w:rsidRDefault="008E13AE" w:rsidP="008E13AE">
      <w:pPr>
        <w:jc w:val="center"/>
      </w:pPr>
      <w:r w:rsidRPr="008E13AE">
        <w:rPr>
          <w:noProof/>
        </w:rPr>
        <w:lastRenderedPageBreak/>
        <w:drawing>
          <wp:inline distT="0" distB="0" distL="0" distR="0" wp14:anchorId="5A002F67" wp14:editId="25285744">
            <wp:extent cx="4270075" cy="4023697"/>
            <wp:effectExtent l="0" t="0" r="0" b="0"/>
            <wp:docPr id="1885287840" name="Obrázek 1"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87840" name="Obrázek 1" descr="Obsah obrázku text, snímek obrazovky, číslo, Paralelní&#10;&#10;Popis byl vytvořen automaticky"/>
                    <pic:cNvPicPr/>
                  </pic:nvPicPr>
                  <pic:blipFill>
                    <a:blip r:embed="rId32"/>
                    <a:stretch>
                      <a:fillRect/>
                    </a:stretch>
                  </pic:blipFill>
                  <pic:spPr>
                    <a:xfrm>
                      <a:off x="0" y="0"/>
                      <a:ext cx="4278745" cy="4031867"/>
                    </a:xfrm>
                    <a:prstGeom prst="rect">
                      <a:avLst/>
                    </a:prstGeom>
                  </pic:spPr>
                </pic:pic>
              </a:graphicData>
            </a:graphic>
          </wp:inline>
        </w:drawing>
      </w:r>
    </w:p>
    <w:p w14:paraId="7E68F735" w14:textId="7B6815A2" w:rsidR="008E13AE" w:rsidRDefault="00F13410" w:rsidP="00E21C67">
      <w:pPr>
        <w:pStyle w:val="Obrazek"/>
      </w:pPr>
      <w:bookmarkStart w:id="107" w:name="_Ref142981629"/>
      <w:bookmarkStart w:id="108" w:name="_Ref142981616"/>
      <w:r>
        <w:t xml:space="preserve">Obr. </w:t>
      </w:r>
      <w:fldSimple w:instr=" SEQ Obr. \* ARABIC ">
        <w:r>
          <w:rPr>
            <w:noProof/>
          </w:rPr>
          <w:t>11</w:t>
        </w:r>
      </w:fldSimple>
      <w:bookmarkEnd w:id="107"/>
      <w:r>
        <w:t xml:space="preserve"> HDP největších Evropských měst</w:t>
      </w:r>
      <w:bookmarkEnd w:id="108"/>
      <w:r w:rsidR="008E13AE">
        <w:t xml:space="preserve"> v miliónech euro</w:t>
      </w:r>
      <w:r w:rsidR="008E13AE">
        <w:br/>
        <w:t xml:space="preserve">Zdroj: </w:t>
      </w:r>
      <w:r w:rsidR="009C0D22" w:rsidRPr="009C0D22">
        <w:t>https://www.statista.com/statistics/923781/european-cities-by-gdp/</w:t>
      </w:r>
    </w:p>
    <w:p w14:paraId="0F3973F2" w14:textId="2190FE3A" w:rsidR="00E21C67" w:rsidRDefault="00E21C67" w:rsidP="00E21C67">
      <w:pPr>
        <w:pStyle w:val="Obrazek"/>
        <w:jc w:val="left"/>
      </w:pPr>
      <w:bookmarkStart w:id="109" w:name="_Ref143016950"/>
      <w:r>
        <w:t xml:space="preserve">Tab. </w:t>
      </w:r>
      <w:fldSimple w:instr=" SEQ Tab. \* ARABIC ">
        <w:r w:rsidR="00005BBA">
          <w:rPr>
            <w:noProof/>
          </w:rPr>
          <w:t>9</w:t>
        </w:r>
      </w:fldSimple>
      <w:bookmarkEnd w:id="109"/>
      <w:r>
        <w:t xml:space="preserve"> </w:t>
      </w:r>
      <w:r w:rsidRPr="005273AA">
        <w:t>města s radiálním tvarem urbánních sítí</w:t>
      </w:r>
    </w:p>
    <w:tbl>
      <w:tblPr>
        <w:tblW w:w="3600" w:type="dxa"/>
        <w:tblInd w:w="-352" w:type="dxa"/>
        <w:tblCellMar>
          <w:left w:w="0" w:type="dxa"/>
          <w:right w:w="0" w:type="dxa"/>
        </w:tblCellMar>
        <w:tblLook w:val="04A0" w:firstRow="1" w:lastRow="0" w:firstColumn="1" w:lastColumn="0" w:noHBand="0" w:noVBand="1"/>
      </w:tblPr>
      <w:tblGrid>
        <w:gridCol w:w="3600"/>
      </w:tblGrid>
      <w:tr w:rsidR="00E21C67" w:rsidRPr="00E21C67" w14:paraId="74F3693B" w14:textId="77777777" w:rsidTr="00E21C67">
        <w:trPr>
          <w:trHeight w:val="315"/>
        </w:trPr>
        <w:tc>
          <w:tcPr>
            <w:tcW w:w="3600" w:type="dxa"/>
            <w:tcBorders>
              <w:top w:val="single" w:sz="6" w:space="0" w:color="000000"/>
              <w:left w:val="single" w:sz="6" w:space="0" w:color="000000"/>
              <w:bottom w:val="single" w:sz="6" w:space="0" w:color="000000"/>
              <w:right w:val="single" w:sz="6" w:space="0" w:color="CCCCCC"/>
            </w:tcBorders>
            <w:tcMar>
              <w:top w:w="30" w:type="dxa"/>
              <w:left w:w="0" w:type="dxa"/>
              <w:bottom w:w="30" w:type="dxa"/>
              <w:right w:w="0" w:type="dxa"/>
            </w:tcMar>
            <w:vAlign w:val="bottom"/>
            <w:hideMark/>
          </w:tcPr>
          <w:p w14:paraId="40CF8A24" w14:textId="77777777" w:rsidR="00E21C67" w:rsidRPr="00E21C67" w:rsidRDefault="00E21C67" w:rsidP="00E21C67">
            <w:pPr>
              <w:suppressAutoHyphens w:val="0"/>
              <w:spacing w:before="0" w:after="0" w:line="240" w:lineRule="auto"/>
              <w:jc w:val="left"/>
              <w:rPr>
                <w:rFonts w:cs="Arial"/>
                <w:b/>
                <w:bCs/>
                <w:szCs w:val="20"/>
                <w:lang w:eastAsia="en-US"/>
              </w:rPr>
            </w:pPr>
            <w:r w:rsidRPr="00E21C67">
              <w:rPr>
                <w:rFonts w:cs="Arial"/>
                <w:b/>
                <w:bCs/>
                <w:szCs w:val="20"/>
                <w:lang w:eastAsia="en-US"/>
              </w:rPr>
              <w:t>Vnitrozemská města s radiálním tvarem urbánních sítí</w:t>
            </w:r>
          </w:p>
        </w:tc>
      </w:tr>
      <w:tr w:rsidR="00E21C67" w:rsidRPr="00E21C67" w14:paraId="0E560E54"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18FAB0"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Berlín</w:t>
            </w:r>
          </w:p>
        </w:tc>
      </w:tr>
      <w:tr w:rsidR="00E21C67" w:rsidRPr="00E21C67" w14:paraId="6FE8C766"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705E92"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Bukurešť</w:t>
            </w:r>
          </w:p>
        </w:tc>
      </w:tr>
      <w:tr w:rsidR="00E21C67" w:rsidRPr="00E21C67" w14:paraId="590D97DB"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369561"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Budapešť</w:t>
            </w:r>
          </w:p>
        </w:tc>
      </w:tr>
      <w:tr w:rsidR="00E21C67" w:rsidRPr="00E21C67" w14:paraId="637D37B6"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87A2CB"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Lyon</w:t>
            </w:r>
          </w:p>
        </w:tc>
      </w:tr>
      <w:tr w:rsidR="00E21C67" w:rsidRPr="00E21C67" w14:paraId="06E22851"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CF2598"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Londýn</w:t>
            </w:r>
          </w:p>
        </w:tc>
      </w:tr>
      <w:tr w:rsidR="00E21C67" w:rsidRPr="00E21C67" w14:paraId="588BA72D"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3154B6"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Madrid</w:t>
            </w:r>
          </w:p>
        </w:tc>
      </w:tr>
      <w:tr w:rsidR="00E21C67" w:rsidRPr="00E21C67" w14:paraId="1622F28A"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995A1E"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Milán</w:t>
            </w:r>
          </w:p>
        </w:tc>
      </w:tr>
      <w:tr w:rsidR="00E21C67" w:rsidRPr="00E21C67" w14:paraId="2770F516"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BF501B"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Paříž</w:t>
            </w:r>
          </w:p>
        </w:tc>
      </w:tr>
      <w:tr w:rsidR="00E21C67" w:rsidRPr="00E21C67" w14:paraId="7CA97017"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7723E9"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Praha</w:t>
            </w:r>
          </w:p>
        </w:tc>
      </w:tr>
      <w:tr w:rsidR="00E21C67" w:rsidRPr="00E21C67" w14:paraId="6AC62E00"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3E2961"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Sevilla</w:t>
            </w:r>
          </w:p>
        </w:tc>
      </w:tr>
      <w:tr w:rsidR="00E21C67" w:rsidRPr="00E21C67" w14:paraId="51EDF6C6"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DFA5F1"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Sofia</w:t>
            </w:r>
          </w:p>
        </w:tc>
      </w:tr>
      <w:tr w:rsidR="00E21C67" w:rsidRPr="00E21C67" w14:paraId="599D4265" w14:textId="77777777" w:rsidTr="00E21C67">
        <w:trPr>
          <w:trHeight w:val="315"/>
        </w:trPr>
        <w:tc>
          <w:tcPr>
            <w:tcW w:w="36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20FD2C" w14:textId="77777777" w:rsidR="00E21C67" w:rsidRPr="00E21C67" w:rsidRDefault="00E21C67" w:rsidP="00E21C67">
            <w:pPr>
              <w:suppressAutoHyphens w:val="0"/>
              <w:spacing w:before="0" w:after="0" w:line="240" w:lineRule="auto"/>
              <w:jc w:val="left"/>
              <w:rPr>
                <w:rFonts w:cs="Arial"/>
                <w:szCs w:val="20"/>
                <w:lang w:val="en-US" w:eastAsia="en-US"/>
              </w:rPr>
            </w:pPr>
            <w:r w:rsidRPr="00E21C67">
              <w:rPr>
                <w:rFonts w:cs="Arial"/>
                <w:szCs w:val="20"/>
                <w:lang w:val="en-US" w:eastAsia="en-US"/>
              </w:rPr>
              <w:t>Vídeň</w:t>
            </w:r>
          </w:p>
        </w:tc>
      </w:tr>
    </w:tbl>
    <w:p w14:paraId="64DDEE43" w14:textId="77777777" w:rsidR="00E21C67" w:rsidRDefault="00E21C67" w:rsidP="00E21C67">
      <w:pPr>
        <w:pStyle w:val="Obrazek"/>
        <w:jc w:val="both"/>
      </w:pPr>
    </w:p>
    <w:p w14:paraId="4A9E27E7" w14:textId="77777777" w:rsidR="009D71CC" w:rsidRDefault="00CB7CE8">
      <w:pPr>
        <w:pStyle w:val="Nadpis2"/>
      </w:pPr>
      <w:bookmarkStart w:id="110" w:name="_Toc143013763"/>
      <w:r>
        <w:lastRenderedPageBreak/>
        <w:t>Města s podlouhlým tvarem</w:t>
      </w:r>
      <w:bookmarkEnd w:id="110"/>
    </w:p>
    <w:p w14:paraId="306D97E5" w14:textId="2FB083CF" w:rsidR="009D71CC" w:rsidRDefault="00CB7CE8">
      <w:r>
        <w:t>Města s podlouhlým tvarem jsou obvykle organizována podél nějaké přirozené hranice, jako jsou řeky, mořské pobřeží nebo hory. Tyto města</w:t>
      </w:r>
      <w:r w:rsidR="00523E94">
        <w:t xml:space="preserve"> </w:t>
      </w:r>
      <w:r w:rsidR="00523E94">
        <w:fldChar w:fldCharType="begin"/>
      </w:r>
      <w:r w:rsidR="00523E94">
        <w:instrText xml:space="preserve"> REF _Ref143016979 \h </w:instrText>
      </w:r>
      <w:r w:rsidR="00523E94">
        <w:fldChar w:fldCharType="separate"/>
      </w:r>
      <w:r w:rsidR="00523E94">
        <w:t xml:space="preserve">Tab. </w:t>
      </w:r>
      <w:r w:rsidR="00523E94">
        <w:rPr>
          <w:noProof/>
        </w:rPr>
        <w:t>10</w:t>
      </w:r>
      <w:r w:rsidR="00523E94">
        <w:fldChar w:fldCharType="end"/>
      </w:r>
      <w:r>
        <w:t xml:space="preserve"> se často dělí na různé části, které se táhnou podél této hranice. Mezi hlavní charakteristiky měst s podlouhlým tvarem patří:</w:t>
      </w:r>
    </w:p>
    <w:p w14:paraId="7768F0E6" w14:textId="77777777" w:rsidR="009D71CC" w:rsidRDefault="00CB7CE8">
      <w:pPr>
        <w:pStyle w:val="Odstavecseseznamem"/>
        <w:numPr>
          <w:ilvl w:val="0"/>
          <w:numId w:val="17"/>
        </w:numPr>
      </w:pPr>
      <w:r>
        <w:t>Pravidelný tvar uliční sítě (grid)</w:t>
      </w:r>
    </w:p>
    <w:p w14:paraId="0FEE970D" w14:textId="77777777" w:rsidR="009D71CC" w:rsidRDefault="00CB7CE8">
      <w:pPr>
        <w:pStyle w:val="Odstavecseseznamem"/>
        <w:numPr>
          <w:ilvl w:val="0"/>
          <w:numId w:val="17"/>
        </w:numPr>
      </w:pPr>
      <w:r>
        <w:t>Středem města vede hlavní dopravní uzel</w:t>
      </w:r>
    </w:p>
    <w:p w14:paraId="4F258BFD" w14:textId="77777777" w:rsidR="009D71CC" w:rsidRDefault="00CB7CE8">
      <w:pPr>
        <w:pStyle w:val="Odstavecseseznamem"/>
        <w:numPr>
          <w:ilvl w:val="0"/>
          <w:numId w:val="17"/>
        </w:numPr>
      </w:pPr>
      <w:r>
        <w:t>Centralita nejvyšší středem města</w:t>
      </w:r>
    </w:p>
    <w:p w14:paraId="6E784093" w14:textId="77777777" w:rsidR="009D71CC" w:rsidRDefault="00CB7CE8">
      <w:pPr>
        <w:pStyle w:val="Odstavecseseznamem"/>
        <w:numPr>
          <w:ilvl w:val="0"/>
          <w:numId w:val="17"/>
        </w:numPr>
      </w:pPr>
      <w:r>
        <w:t>Průmysl se vyskytuje na okrajích měst</w:t>
      </w:r>
    </w:p>
    <w:p w14:paraId="1652352D" w14:textId="77777777" w:rsidR="009D71CC" w:rsidRDefault="00CB7CE8">
      <w:pPr>
        <w:pStyle w:val="Odstavecseseznamem"/>
        <w:numPr>
          <w:ilvl w:val="0"/>
          <w:numId w:val="17"/>
        </w:numPr>
      </w:pPr>
      <w:r>
        <w:t>Retail kopíruje hlavní uzel</w:t>
      </w:r>
    </w:p>
    <w:p w14:paraId="4E732A50" w14:textId="388CE376" w:rsidR="00104F46" w:rsidRDefault="00CB7CE8">
      <w:r>
        <w:t>Města s podlouhlým tvarem lze dále dělit na přístavní a vnitrozemská. Společnou charakteristikou je velké průmyslové centrum na okraji města. V přístavních městech se obvykle přístav na okraji a průmyslové zóny okolo něj.</w:t>
      </w:r>
      <w:r w:rsidR="00C0214E">
        <w:t xml:space="preserve"> V Barceloně dominuje c</w:t>
      </w:r>
      <w:r w:rsidR="00C0214E" w:rsidRPr="00C0214E">
        <w:t xml:space="preserve">hemický průmysl a výroba plastů jsou v katalánské ekonomice odvětvím číslo 1, které se na hrubé přidané hodnotě průmyslu podílí 16,9 %. Katalánsko je ve skutečnosti největším chemickým centrem v jižní Evropě, kde působí nadnárodní společnosti jako </w:t>
      </w:r>
      <w:r w:rsidR="00C0214E" w:rsidRPr="0044000F">
        <w:rPr>
          <w:i/>
          <w:iCs/>
        </w:rPr>
        <w:t>BASF, Dow, Kao, Covestro, Puig a Repsol</w:t>
      </w:r>
      <w:r w:rsidR="00C0214E" w:rsidRPr="00C0214E">
        <w:t>.</w:t>
      </w:r>
      <w:r w:rsidR="002F0DE3">
        <w:t xml:space="preserve"> </w:t>
      </w:r>
      <w:r w:rsidR="00104F46" w:rsidRPr="00104F46">
        <w:t>Přibližně pětina všech pracovních míst ve spolkové zemi Brémy je spojena s přístavy, které se rovněž podílejí na pětině příjmů a čtvrtině přidané hodnoty. Na přístavech závisí také přibližně 10 000 pracovních míst v okolních oblastech Dolního Saska</w:t>
      </w:r>
      <w:r w:rsidR="00F82080">
        <w:t xml:space="preserve"> (</w:t>
      </w:r>
      <w:r w:rsidR="00F82080">
        <w:t>Catalunia</w:t>
      </w:r>
      <w:r w:rsidR="00F82080">
        <w:t>, 2023)</w:t>
      </w:r>
      <w:r w:rsidR="00104F46" w:rsidRPr="00104F46">
        <w:t>.</w:t>
      </w:r>
      <w:r>
        <w:t xml:space="preserve"> </w:t>
      </w:r>
    </w:p>
    <w:p w14:paraId="667A44A5" w14:textId="3995BC60" w:rsidR="007A4EBD" w:rsidRDefault="00FF4FC6" w:rsidP="00E21C67">
      <w:pPr>
        <w:pStyle w:val="NormlnOdstavec"/>
      </w:pPr>
      <w:r>
        <w:t>U vnitrozemských měst domin</w:t>
      </w:r>
      <w:r w:rsidR="008C0B68">
        <w:t>ují</w:t>
      </w:r>
      <w:r>
        <w:t xml:space="preserve"> </w:t>
      </w:r>
      <w:r w:rsidR="008C0B68">
        <w:t>velké</w:t>
      </w:r>
      <w:r>
        <w:t xml:space="preserve"> průmyslové podniky</w:t>
      </w:r>
      <w:r w:rsidR="00640C5E">
        <w:t xml:space="preserve">. </w:t>
      </w:r>
      <w:r w:rsidR="00E518DE">
        <w:t xml:space="preserve">V Turíně je to </w:t>
      </w:r>
      <w:r w:rsidR="008C6CC1">
        <w:t>automobilka Fiat. K</w:t>
      </w:r>
      <w:r w:rsidR="008C6CC1" w:rsidRPr="008C6CC1">
        <w:t xml:space="preserve">omplex zaměstnává přibližně 20 000 lidí ve výrobě a v souvisejících oblastech konstrukce a designu, prodeje, finančních služeb a náhradních dílů, což z něj činí největší provozovnu </w:t>
      </w:r>
      <w:r w:rsidR="0087080A">
        <w:t xml:space="preserve">automobilku </w:t>
      </w:r>
      <w:r w:rsidR="0087080A" w:rsidRPr="008C6CC1">
        <w:t>na</w:t>
      </w:r>
      <w:r w:rsidR="008C6CC1" w:rsidRPr="008C6CC1">
        <w:t xml:space="preserve"> světě.</w:t>
      </w:r>
      <w:r w:rsidR="008C0B68">
        <w:t xml:space="preserve"> </w:t>
      </w:r>
      <w:r w:rsidR="00974DCC" w:rsidRPr="00974DCC">
        <w:t>Významnými průmyslovými odvětvími v Záhřebu jsou chemický, farmaceutický, textilní, potravinářský a nápojový průmysl, výroba elektrických strojů a zařízení atd.</w:t>
      </w:r>
    </w:p>
    <w:p w14:paraId="4C377D54" w14:textId="3780A1F9" w:rsidR="008E13AE" w:rsidRDefault="008E13AE" w:rsidP="00E21C67">
      <w:pPr>
        <w:pStyle w:val="Obrazek"/>
        <w:jc w:val="both"/>
      </w:pPr>
      <w:bookmarkStart w:id="111" w:name="_Ref143016979"/>
      <w:r>
        <w:t xml:space="preserve">Tab. </w:t>
      </w:r>
      <w:fldSimple w:instr=" SEQ Tab. \* ARABIC ">
        <w:r w:rsidR="00005BBA">
          <w:rPr>
            <w:noProof/>
          </w:rPr>
          <w:t>10</w:t>
        </w:r>
      </w:fldSimple>
      <w:bookmarkEnd w:id="111"/>
      <w:r>
        <w:t xml:space="preserve"> </w:t>
      </w:r>
      <w:r w:rsidRPr="00930D6A">
        <w:t>Města s protáhlým tvarem</w:t>
      </w:r>
    </w:p>
    <w:tbl>
      <w:tblPr>
        <w:tblW w:w="2515" w:type="dxa"/>
        <w:tblLayout w:type="fixed"/>
        <w:tblCellMar>
          <w:top w:w="15" w:type="dxa"/>
          <w:bottom w:w="15" w:type="dxa"/>
        </w:tblCellMar>
        <w:tblLook w:val="04A0" w:firstRow="1" w:lastRow="0" w:firstColumn="1" w:lastColumn="0" w:noHBand="0" w:noVBand="1"/>
      </w:tblPr>
      <w:tblGrid>
        <w:gridCol w:w="2515"/>
      </w:tblGrid>
      <w:tr w:rsidR="009D71CC" w14:paraId="196C11A4" w14:textId="77777777" w:rsidTr="008E13AE">
        <w:trPr>
          <w:cantSplit/>
          <w:trHeight w:val="300"/>
        </w:trPr>
        <w:tc>
          <w:tcPr>
            <w:tcW w:w="2515" w:type="dxa"/>
            <w:tcBorders>
              <w:top w:val="single" w:sz="4" w:space="0" w:color="000000"/>
              <w:left w:val="single" w:sz="4" w:space="0" w:color="000000"/>
              <w:bottom w:val="single" w:sz="4" w:space="0" w:color="000000"/>
              <w:right w:val="single" w:sz="4" w:space="0" w:color="000000"/>
            </w:tcBorders>
            <w:vAlign w:val="bottom"/>
          </w:tcPr>
          <w:p w14:paraId="174A5358" w14:textId="77777777" w:rsidR="009D71CC" w:rsidRDefault="00CB7CE8">
            <w:pPr>
              <w:pStyle w:val="TableHeading"/>
              <w:rPr>
                <w:lang w:val="pt-PT" w:eastAsia="en-US"/>
              </w:rPr>
            </w:pPr>
            <w:r>
              <w:rPr>
                <w:lang w:val="pt-PT" w:eastAsia="en-US"/>
              </w:rPr>
              <w:t>Města protáhlým tvarem urbánních sítí</w:t>
            </w:r>
          </w:p>
        </w:tc>
      </w:tr>
      <w:tr w:rsidR="009D71CC" w14:paraId="6ED49FE2" w14:textId="77777777" w:rsidTr="008E13AE">
        <w:trPr>
          <w:cantSplit/>
          <w:trHeight w:val="300"/>
        </w:trPr>
        <w:tc>
          <w:tcPr>
            <w:tcW w:w="2515" w:type="dxa"/>
            <w:tcBorders>
              <w:top w:val="single" w:sz="4" w:space="0" w:color="000000"/>
              <w:left w:val="single" w:sz="4" w:space="0" w:color="000000"/>
              <w:bottom w:val="single" w:sz="4" w:space="0" w:color="000000"/>
              <w:right w:val="single" w:sz="4" w:space="0" w:color="000000"/>
            </w:tcBorders>
            <w:vAlign w:val="bottom"/>
          </w:tcPr>
          <w:p w14:paraId="61ED7CAB" w14:textId="77777777" w:rsidR="009D71CC" w:rsidRDefault="00CB7CE8">
            <w:pPr>
              <w:pStyle w:val="TableContents"/>
              <w:rPr>
                <w:lang w:val="en-US" w:eastAsia="en-US"/>
              </w:rPr>
            </w:pPr>
            <w:r>
              <w:rPr>
                <w:lang w:val="en-US" w:eastAsia="en-US"/>
              </w:rPr>
              <w:t>Brémy</w:t>
            </w:r>
          </w:p>
        </w:tc>
      </w:tr>
      <w:tr w:rsidR="009D71CC" w14:paraId="0D4D7732" w14:textId="77777777" w:rsidTr="008E13AE">
        <w:trPr>
          <w:cantSplit/>
          <w:trHeight w:val="300"/>
        </w:trPr>
        <w:tc>
          <w:tcPr>
            <w:tcW w:w="2515" w:type="dxa"/>
            <w:tcBorders>
              <w:top w:val="single" w:sz="4" w:space="0" w:color="000000"/>
              <w:left w:val="single" w:sz="4" w:space="0" w:color="000000"/>
              <w:bottom w:val="single" w:sz="4" w:space="0" w:color="000000"/>
              <w:right w:val="single" w:sz="4" w:space="0" w:color="000000"/>
            </w:tcBorders>
            <w:vAlign w:val="bottom"/>
          </w:tcPr>
          <w:p w14:paraId="6E06934A" w14:textId="77777777" w:rsidR="009D71CC" w:rsidRDefault="00CB7CE8">
            <w:pPr>
              <w:pStyle w:val="TableContents"/>
              <w:rPr>
                <w:lang w:val="en-US" w:eastAsia="en-US"/>
              </w:rPr>
            </w:pPr>
            <w:r>
              <w:rPr>
                <w:lang w:val="en-US" w:eastAsia="en-US"/>
              </w:rPr>
              <w:t>Turín</w:t>
            </w:r>
          </w:p>
        </w:tc>
      </w:tr>
      <w:tr w:rsidR="009D71CC" w14:paraId="5CE19C13" w14:textId="77777777" w:rsidTr="008E13AE">
        <w:trPr>
          <w:cantSplit/>
          <w:trHeight w:val="300"/>
        </w:trPr>
        <w:tc>
          <w:tcPr>
            <w:tcW w:w="2515" w:type="dxa"/>
            <w:tcBorders>
              <w:top w:val="single" w:sz="4" w:space="0" w:color="000000"/>
              <w:left w:val="single" w:sz="4" w:space="0" w:color="000000"/>
              <w:bottom w:val="single" w:sz="4" w:space="0" w:color="000000"/>
              <w:right w:val="single" w:sz="4" w:space="0" w:color="000000"/>
            </w:tcBorders>
            <w:vAlign w:val="bottom"/>
          </w:tcPr>
          <w:p w14:paraId="6FE26FA2" w14:textId="77777777" w:rsidR="009D71CC" w:rsidRDefault="00CB7CE8">
            <w:pPr>
              <w:pStyle w:val="TableContents"/>
              <w:rPr>
                <w:lang w:val="en-US" w:eastAsia="en-US"/>
              </w:rPr>
            </w:pPr>
            <w:r>
              <w:rPr>
                <w:lang w:val="en-US" w:eastAsia="en-US"/>
              </w:rPr>
              <w:t>Barcelona</w:t>
            </w:r>
          </w:p>
        </w:tc>
      </w:tr>
      <w:tr w:rsidR="009D71CC" w14:paraId="2997C2A8" w14:textId="77777777" w:rsidTr="008E13AE">
        <w:trPr>
          <w:cantSplit/>
          <w:trHeight w:val="300"/>
        </w:trPr>
        <w:tc>
          <w:tcPr>
            <w:tcW w:w="2515" w:type="dxa"/>
            <w:tcBorders>
              <w:top w:val="single" w:sz="4" w:space="0" w:color="000000"/>
              <w:left w:val="single" w:sz="4" w:space="0" w:color="000000"/>
              <w:bottom w:val="single" w:sz="4" w:space="0" w:color="000000"/>
              <w:right w:val="single" w:sz="4" w:space="0" w:color="000000"/>
            </w:tcBorders>
            <w:vAlign w:val="bottom"/>
          </w:tcPr>
          <w:p w14:paraId="562D796A" w14:textId="77777777" w:rsidR="009D71CC" w:rsidRDefault="00CB7CE8">
            <w:pPr>
              <w:pStyle w:val="TableContents"/>
              <w:keepNext/>
              <w:rPr>
                <w:lang w:val="en-US" w:eastAsia="en-US"/>
              </w:rPr>
            </w:pPr>
            <w:r>
              <w:rPr>
                <w:lang w:val="en-US" w:eastAsia="en-US"/>
              </w:rPr>
              <w:t>Záhřeb</w:t>
            </w:r>
          </w:p>
        </w:tc>
      </w:tr>
    </w:tbl>
    <w:p w14:paraId="3E137721" w14:textId="2FA93A78" w:rsidR="009D71CC" w:rsidRDefault="009D71CC" w:rsidP="008E13AE">
      <w:pPr>
        <w:pStyle w:val="Obrazek"/>
        <w:jc w:val="left"/>
      </w:pPr>
    </w:p>
    <w:p w14:paraId="7AE8992D" w14:textId="77777777" w:rsidR="009D71CC" w:rsidRDefault="00CB7CE8">
      <w:pPr>
        <w:keepNext/>
        <w:spacing w:before="0" w:after="0" w:line="240" w:lineRule="auto"/>
        <w:jc w:val="center"/>
      </w:pPr>
      <w:r>
        <w:rPr>
          <w:noProof/>
        </w:rPr>
        <w:lastRenderedPageBreak/>
        <w:drawing>
          <wp:inline distT="0" distB="0" distL="0" distR="0" wp14:anchorId="0EBD7770" wp14:editId="159BBE5C">
            <wp:extent cx="2578735" cy="1935480"/>
            <wp:effectExtent l="0" t="0" r="0" b="0"/>
            <wp:docPr id="22"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
                    <pic:cNvPicPr>
                      <a:picLocks noChangeAspect="1" noChangeArrowheads="1"/>
                    </pic:cNvPicPr>
                  </pic:nvPicPr>
                  <pic:blipFill>
                    <a:blip r:embed="rId33"/>
                    <a:stretch>
                      <a:fillRect/>
                    </a:stretch>
                  </pic:blipFill>
                  <pic:spPr bwMode="auto">
                    <a:xfrm>
                      <a:off x="0" y="0"/>
                      <a:ext cx="2578735" cy="1935480"/>
                    </a:xfrm>
                    <a:prstGeom prst="rect">
                      <a:avLst/>
                    </a:prstGeom>
                  </pic:spPr>
                </pic:pic>
              </a:graphicData>
            </a:graphic>
          </wp:inline>
        </w:drawing>
      </w:r>
      <w:r>
        <w:rPr>
          <w:noProof/>
        </w:rPr>
        <w:drawing>
          <wp:inline distT="0" distB="0" distL="0" distR="0" wp14:anchorId="12E28B84" wp14:editId="180F145B">
            <wp:extent cx="2609215" cy="1957705"/>
            <wp:effectExtent l="0" t="0" r="0" b="0"/>
            <wp:docPr id="23" name="Obrázek 2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1" descr="Obsah obrázku tabulka&#10;&#10;Popis byl vytvořen automaticky"/>
                    <pic:cNvPicPr>
                      <a:picLocks noChangeAspect="1" noChangeArrowheads="1"/>
                    </pic:cNvPicPr>
                  </pic:nvPicPr>
                  <pic:blipFill>
                    <a:blip r:embed="rId34"/>
                    <a:stretch>
                      <a:fillRect/>
                    </a:stretch>
                  </pic:blipFill>
                  <pic:spPr bwMode="auto">
                    <a:xfrm>
                      <a:off x="0" y="0"/>
                      <a:ext cx="2609215" cy="1957705"/>
                    </a:xfrm>
                    <a:prstGeom prst="rect">
                      <a:avLst/>
                    </a:prstGeom>
                  </pic:spPr>
                </pic:pic>
              </a:graphicData>
            </a:graphic>
          </wp:inline>
        </w:drawing>
      </w:r>
    </w:p>
    <w:p w14:paraId="48493D99" w14:textId="574C8289" w:rsidR="009D71CC" w:rsidRDefault="00CB7CE8">
      <w:pPr>
        <w:pStyle w:val="Obrazek"/>
      </w:pPr>
      <w:r>
        <w:t xml:space="preserve">Obr. </w:t>
      </w:r>
      <w:fldSimple w:instr=" SEQ Obr. \* ARABIC ">
        <w:r w:rsidR="00865999">
          <w:rPr>
            <w:noProof/>
          </w:rPr>
          <w:t>13</w:t>
        </w:r>
      </w:fldSimple>
      <w:r>
        <w:t xml:space="preserve"> Histogram rozložení ploch v Záhřebu (vlevo) a Turínu (vpravo).</w:t>
      </w:r>
    </w:p>
    <w:p w14:paraId="3CCCDFF0" w14:textId="77777777" w:rsidR="009D71CC" w:rsidRDefault="00CB7CE8">
      <w:pPr>
        <w:pStyle w:val="Nadpis2"/>
      </w:pPr>
      <w:bookmarkStart w:id="112" w:name="_Toc133957948"/>
      <w:bookmarkStart w:id="113" w:name="_Toc143013764"/>
      <w:r>
        <w:t>Ostatní města</w:t>
      </w:r>
      <w:bookmarkEnd w:id="112"/>
      <w:bookmarkEnd w:id="113"/>
    </w:p>
    <w:p w14:paraId="215AA296" w14:textId="28535C4B" w:rsidR="000745F0" w:rsidRDefault="00CB7CE8">
      <w:r>
        <w:t xml:space="preserve">Zbylá města tvoří buď samostatnou skupinu nebo pár. První z těchto menších kategorií jsou přístavní města </w:t>
      </w:r>
      <w:r>
        <w:rPr>
          <w:rStyle w:val="NormalniTucne"/>
        </w:rPr>
        <w:t>Rotterdam a Antverpy</w:t>
      </w:r>
      <w:r>
        <w:t>. Urbánní sítě v těchto městech byly téměř identické. V obou městech dominuje přístav, který dosahuje až 20% celé plochy města.</w:t>
      </w:r>
    </w:p>
    <w:p w14:paraId="10FBCC64" w14:textId="4856EA09" w:rsidR="00DC69F5" w:rsidRDefault="00332CB8">
      <w:r>
        <w:t xml:space="preserve">Rotterdamský přístav </w:t>
      </w:r>
      <w:r w:rsidR="00DC69F5">
        <w:t>je největší v Evropě</w:t>
      </w:r>
      <w:r w:rsidR="00DC69F5" w:rsidRPr="00DC69F5">
        <w:t>. Je to také jeden z nejrušnějších přístavů na světě. Je jedním ze zásadních hráčů v oblasti sledování kontejnerů a evropské lodní dopravy.</w:t>
      </w:r>
      <w:r w:rsidR="00DC69F5">
        <w:t xml:space="preserve"> V roce 2022</w:t>
      </w:r>
      <w:r w:rsidR="00811327">
        <w:t xml:space="preserve"> (Zdroj: ShipsGO 2022)</w:t>
      </w:r>
      <w:r w:rsidR="00DC69F5">
        <w:t>:</w:t>
      </w:r>
    </w:p>
    <w:p w14:paraId="02D0AD0C" w14:textId="63D3BB24" w:rsidR="00DC69F5" w:rsidRPr="000120C4" w:rsidRDefault="00F62C38" w:rsidP="000120C4">
      <w:pPr>
        <w:pStyle w:val="Odstavecseseznamem"/>
        <w:numPr>
          <w:ilvl w:val="2"/>
          <w:numId w:val="27"/>
        </w:numPr>
        <w:jc w:val="left"/>
        <w:rPr>
          <w:rStyle w:val="Bullets"/>
        </w:rPr>
      </w:pPr>
      <w:r w:rsidRPr="000120C4">
        <w:rPr>
          <w:rStyle w:val="Bullets"/>
        </w:rPr>
        <w:t>O</w:t>
      </w:r>
      <w:r w:rsidR="006331DB" w:rsidRPr="000120C4">
        <w:rPr>
          <w:rStyle w:val="Bullets"/>
        </w:rPr>
        <w:t>dbavil 15,9 milionu dvacetistopých ekvivalentních jednotek (TEU), což představuje 10,9% nárůst oproti roku 2021.</w:t>
      </w:r>
    </w:p>
    <w:p w14:paraId="2531B89F" w14:textId="12F3673A" w:rsidR="006331DB" w:rsidRPr="000120C4" w:rsidRDefault="00F62C38" w:rsidP="000120C4">
      <w:pPr>
        <w:pStyle w:val="Odstavecseseznamem"/>
        <w:numPr>
          <w:ilvl w:val="2"/>
          <w:numId w:val="27"/>
        </w:numPr>
        <w:jc w:val="left"/>
        <w:rPr>
          <w:rStyle w:val="Bullets"/>
        </w:rPr>
      </w:pPr>
      <w:r w:rsidRPr="000120C4">
        <w:rPr>
          <w:rStyle w:val="Bullets"/>
        </w:rPr>
        <w:t>Celkový náklad přístavu v roce 2022 činil 516,8 milionu tun, což je o 5,7 % více než v roce 2021.</w:t>
      </w:r>
    </w:p>
    <w:p w14:paraId="0B1CC896" w14:textId="3B3B0431" w:rsidR="00F62C38" w:rsidRPr="000120C4" w:rsidRDefault="006179E4" w:rsidP="000120C4">
      <w:pPr>
        <w:pStyle w:val="Odstavecseseznamem"/>
        <w:numPr>
          <w:ilvl w:val="2"/>
          <w:numId w:val="27"/>
        </w:numPr>
        <w:jc w:val="left"/>
        <w:rPr>
          <w:rStyle w:val="Bullets"/>
        </w:rPr>
      </w:pPr>
      <w:r w:rsidRPr="000120C4">
        <w:rPr>
          <w:rStyle w:val="Bullets"/>
        </w:rPr>
        <w:t>Ročně odbaví více než 13 000 kontejnerových lodí.</w:t>
      </w:r>
    </w:p>
    <w:p w14:paraId="464C19F5" w14:textId="160E2E5C" w:rsidR="000120C4" w:rsidRDefault="004A7676" w:rsidP="000120C4">
      <w:r>
        <w:t>Antverpský přístav je druhý největší přístav v</w:t>
      </w:r>
      <w:r w:rsidR="00FA0CDE">
        <w:t> </w:t>
      </w:r>
      <w:r>
        <w:t>Evropě</w:t>
      </w:r>
      <w:r w:rsidR="00FA0CDE">
        <w:t xml:space="preserve"> podle počtu odbavených lodí</w:t>
      </w:r>
      <w:r w:rsidR="000120C4">
        <w:t>.</w:t>
      </w:r>
      <w:r w:rsidR="00FA0CDE">
        <w:t xml:space="preserve"> </w:t>
      </w:r>
      <w:r w:rsidR="000120C4">
        <w:t>V roce 2022</w:t>
      </w:r>
      <w:r w:rsidR="00811327">
        <w:t xml:space="preserve">  (Zdroj: ShipsGO 2022)</w:t>
      </w:r>
      <w:r w:rsidR="000120C4">
        <w:t>:</w:t>
      </w:r>
    </w:p>
    <w:p w14:paraId="5A38754C" w14:textId="7C708961" w:rsidR="00C50AC7" w:rsidRDefault="00C50AC7" w:rsidP="000120C4">
      <w:pPr>
        <w:pStyle w:val="Odstavecseseznamem"/>
        <w:numPr>
          <w:ilvl w:val="2"/>
          <w:numId w:val="27"/>
        </w:numPr>
        <w:jc w:val="left"/>
        <w:rPr>
          <w:rStyle w:val="Bullets"/>
        </w:rPr>
      </w:pPr>
      <w:r>
        <w:rPr>
          <w:rStyle w:val="Bullets"/>
        </w:rPr>
        <w:t xml:space="preserve">Bylo </w:t>
      </w:r>
      <w:r w:rsidRPr="00C50AC7">
        <w:rPr>
          <w:rStyle w:val="Bullets"/>
        </w:rPr>
        <w:t>odbaveno 13,1 milionu dvacetistopých ekvivalentních jednotek (TEU), což představuje 6,8% nárůst oproti roku 2021.</w:t>
      </w:r>
    </w:p>
    <w:p w14:paraId="3CA4F03D" w14:textId="70CCD7B0" w:rsidR="00E044C5" w:rsidRDefault="00480DE4" w:rsidP="000120C4">
      <w:pPr>
        <w:pStyle w:val="Odstavecseseznamem"/>
        <w:numPr>
          <w:ilvl w:val="2"/>
          <w:numId w:val="27"/>
        </w:numPr>
        <w:jc w:val="left"/>
        <w:rPr>
          <w:rStyle w:val="Bullets"/>
        </w:rPr>
      </w:pPr>
      <w:r w:rsidRPr="00480DE4">
        <w:rPr>
          <w:rStyle w:val="Bullets"/>
        </w:rPr>
        <w:t>Celkový náklad přístavu v roce 2022 činil 230,8 milionu tun, což je o 7,7 % více než v roce 2021</w:t>
      </w:r>
      <w:r w:rsidR="000120C4" w:rsidRPr="000120C4">
        <w:rPr>
          <w:rStyle w:val="Bullets"/>
        </w:rPr>
        <w:t>.</w:t>
      </w:r>
    </w:p>
    <w:p w14:paraId="46CA9B95" w14:textId="32E39C75" w:rsidR="00AB0B3D" w:rsidRDefault="00E044C5" w:rsidP="000120C4">
      <w:pPr>
        <w:pStyle w:val="Odstavecseseznamem"/>
        <w:numPr>
          <w:ilvl w:val="2"/>
          <w:numId w:val="27"/>
        </w:numPr>
        <w:jc w:val="left"/>
        <w:rPr>
          <w:rStyle w:val="Bullets"/>
        </w:rPr>
      </w:pPr>
      <w:r>
        <w:rPr>
          <w:rStyle w:val="Bullets"/>
        </w:rPr>
        <w:t xml:space="preserve">Odbaveno </w:t>
      </w:r>
      <w:r w:rsidRPr="00E044C5">
        <w:rPr>
          <w:rStyle w:val="Bullets"/>
        </w:rPr>
        <w:t>9 000 kontejnerových lodí ročně</w:t>
      </w:r>
    </w:p>
    <w:p w14:paraId="07D800CC" w14:textId="5D946279" w:rsidR="005E6EC7" w:rsidRDefault="00CB7CE8" w:rsidP="005E6EC7">
      <w:pPr>
        <w:ind w:firstLine="357"/>
      </w:pPr>
      <w:r>
        <w:t>Velkou roli hraje i plocha železniční dopravy, která je v obou městech vysoká.</w:t>
      </w:r>
      <w:r w:rsidR="00480DE4">
        <w:t xml:space="preserve"> Důvodem je </w:t>
      </w:r>
      <w:r w:rsidR="00F92801">
        <w:t>důležitost přístavů</w:t>
      </w:r>
      <w:r w:rsidR="00DB19A0">
        <w:t xml:space="preserve">, protože </w:t>
      </w:r>
      <w:r w:rsidR="00694A53">
        <w:t>Antverpský i Rotterdamský port vyváží náklad do největších měst Evropy</w:t>
      </w:r>
      <w:r w:rsidR="00D919EA">
        <w:t xml:space="preserve"> </w:t>
      </w:r>
      <w:r w:rsidR="00B97136">
        <w:fldChar w:fldCharType="begin"/>
      </w:r>
      <w:r w:rsidR="00B97136">
        <w:instrText xml:space="preserve"> REF _Ref142935620 \h </w:instrText>
      </w:r>
      <w:r w:rsidR="00B97136">
        <w:fldChar w:fldCharType="separate"/>
      </w:r>
      <w:r w:rsidR="00B97136">
        <w:t xml:space="preserve">Obr. </w:t>
      </w:r>
      <w:r w:rsidR="00B97136">
        <w:rPr>
          <w:noProof/>
        </w:rPr>
        <w:t>14</w:t>
      </w:r>
      <w:r w:rsidR="00B97136">
        <w:fldChar w:fldCharType="end"/>
      </w:r>
      <w:r w:rsidR="005B5DBB">
        <w:t>. I když uliční sít</w:t>
      </w:r>
      <w:r w:rsidR="00876175">
        <w:t>ě</w:t>
      </w:r>
      <w:r w:rsidR="005B5DBB">
        <w:t xml:space="preserve"> s</w:t>
      </w:r>
      <w:r w:rsidR="00876175">
        <w:t>i navzájem</w:t>
      </w:r>
      <w:r w:rsidR="005B5DBB">
        <w:t xml:space="preserve"> nepodobají, tak mají podobn</w:t>
      </w:r>
      <w:r w:rsidR="00984D1A">
        <w:t>ou</w:t>
      </w:r>
      <w:r w:rsidR="005B5DBB">
        <w:t xml:space="preserve"> stavbu silniční sítě.</w:t>
      </w:r>
      <w:r w:rsidR="00876175">
        <w:t xml:space="preserve"> </w:t>
      </w:r>
    </w:p>
    <w:p w14:paraId="551A2B76" w14:textId="5D32FB1A" w:rsidR="005B5DBB" w:rsidRDefault="00876175" w:rsidP="005E6EC7">
      <w:pPr>
        <w:ind w:firstLine="357"/>
      </w:pPr>
      <w:r>
        <w:t xml:space="preserve">Hlavní dominantou </w:t>
      </w:r>
      <w:r w:rsidR="008855A9">
        <w:t>obou měst je okruh, který vede středem</w:t>
      </w:r>
      <w:r w:rsidR="00471B26">
        <w:t xml:space="preserve"> </w:t>
      </w:r>
      <w:r w:rsidR="005E6EC7">
        <w:t>města.</w:t>
      </w:r>
      <w:r w:rsidR="005E6EC7" w:rsidRPr="005E6EC7">
        <w:t xml:space="preserve"> </w:t>
      </w:r>
      <w:r w:rsidR="005E6EC7">
        <w:t>Na rozdíl od ostatních městem městský okruh je nepravidelný a nevede geometricky městem. Ekonomická aktivita služeb se nachází v centru města, kde je i vysoká zástavba. Naopak průmyslová výroba se nachází na okraji v blízkosti dálnice a přístavu. Podobnost měst se pak i od geografické polohy, protože se obě města od sebe nachází pouze 75 km.</w:t>
      </w:r>
    </w:p>
    <w:p w14:paraId="3403964A" w14:textId="77777777" w:rsidR="00694A53" w:rsidRDefault="005B5DBB" w:rsidP="00694A53">
      <w:pPr>
        <w:keepNext/>
        <w:jc w:val="center"/>
      </w:pPr>
      <w:r>
        <w:rPr>
          <w:noProof/>
        </w:rPr>
        <w:lastRenderedPageBreak/>
        <w:drawing>
          <wp:inline distT="0" distB="0" distL="0" distR="0" wp14:anchorId="3C684AEE" wp14:editId="7FF79A63">
            <wp:extent cx="5011431" cy="3286664"/>
            <wp:effectExtent l="0" t="0" r="0" b="0"/>
            <wp:docPr id="11453494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252" cy="3305566"/>
                    </a:xfrm>
                    <a:prstGeom prst="rect">
                      <a:avLst/>
                    </a:prstGeom>
                    <a:noFill/>
                  </pic:spPr>
                </pic:pic>
              </a:graphicData>
            </a:graphic>
          </wp:inline>
        </w:drawing>
      </w:r>
    </w:p>
    <w:p w14:paraId="02A93795" w14:textId="1FB14F25" w:rsidR="00694A53" w:rsidRDefault="00694A53" w:rsidP="00694A53">
      <w:pPr>
        <w:pStyle w:val="Obrazek"/>
      </w:pPr>
      <w:bookmarkStart w:id="114" w:name="_Ref142935620"/>
      <w:r>
        <w:t xml:space="preserve">Obr. </w:t>
      </w:r>
      <w:fldSimple w:instr=" SEQ Obr. \* ARABIC ">
        <w:r w:rsidR="00865999">
          <w:rPr>
            <w:noProof/>
          </w:rPr>
          <w:t>14</w:t>
        </w:r>
      </w:fldSimple>
      <w:bookmarkEnd w:id="114"/>
      <w:r>
        <w:t xml:space="preserve"> Mapa distribuce surovin z přístavu v Antverpách po železnici</w:t>
      </w:r>
      <w:r>
        <w:br/>
        <w:t xml:space="preserve">Zdroj: </w:t>
      </w:r>
      <w:r w:rsidRPr="00694A53">
        <w:t>https://www.portofantwerpbruges.com/en/business/transport/rail-transport</w:t>
      </w:r>
    </w:p>
    <w:p w14:paraId="0571611B" w14:textId="77777777" w:rsidR="009D71CC" w:rsidRDefault="00CB7CE8">
      <w:pPr>
        <w:ind w:firstLine="357"/>
      </w:pPr>
      <w:r>
        <w:t xml:space="preserve">Nejmenší skupinu tvoří </w:t>
      </w:r>
      <w:r>
        <w:rPr>
          <w:rStyle w:val="NormalniTucne"/>
        </w:rPr>
        <w:t>Hamburg</w:t>
      </w:r>
      <w:r>
        <w:t>. Uliční sítí je to hybrid radiálního přímořského typu. Město má kvalitní autobusovou dopravu, ale žádnou tramvajovou a poměrně špatnou podzemní dopravu. Důležitou urbánní sítí je lodní doprava, která má v městě velké zastoupení.</w:t>
      </w:r>
    </w:p>
    <w:p w14:paraId="69A6F5B0" w14:textId="77777777" w:rsidR="009D71CC" w:rsidRDefault="00CB7CE8">
      <w:pPr>
        <w:keepNext/>
        <w:ind w:firstLine="357"/>
        <w:jc w:val="center"/>
      </w:pPr>
      <w:r>
        <w:rPr>
          <w:noProof/>
        </w:rPr>
        <w:drawing>
          <wp:inline distT="0" distB="0" distL="0" distR="0" wp14:anchorId="158CB2E4" wp14:editId="51B78169">
            <wp:extent cx="5236845" cy="2507615"/>
            <wp:effectExtent l="0" t="0" r="0" b="0"/>
            <wp:docPr id="2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2"/>
                    <pic:cNvPicPr>
                      <a:picLocks noChangeAspect="1" noChangeArrowheads="1"/>
                    </pic:cNvPicPr>
                  </pic:nvPicPr>
                  <pic:blipFill>
                    <a:blip r:embed="rId36"/>
                    <a:stretch>
                      <a:fillRect/>
                    </a:stretch>
                  </pic:blipFill>
                  <pic:spPr bwMode="auto">
                    <a:xfrm>
                      <a:off x="0" y="0"/>
                      <a:ext cx="5236845" cy="2507615"/>
                    </a:xfrm>
                    <a:prstGeom prst="rect">
                      <a:avLst/>
                    </a:prstGeom>
                  </pic:spPr>
                </pic:pic>
              </a:graphicData>
            </a:graphic>
          </wp:inline>
        </w:drawing>
      </w:r>
    </w:p>
    <w:p w14:paraId="452C5992" w14:textId="05861334" w:rsidR="009D71CC" w:rsidRDefault="00CB7CE8">
      <w:pPr>
        <w:pStyle w:val="Obrazek"/>
      </w:pPr>
      <w:r>
        <w:t xml:space="preserve">Obr. </w:t>
      </w:r>
      <w:fldSimple w:instr=" SEQ Obr. \* ARABIC ">
        <w:r w:rsidR="00865999">
          <w:rPr>
            <w:noProof/>
          </w:rPr>
          <w:t>15</w:t>
        </w:r>
      </w:fldSimple>
      <w:r>
        <w:t xml:space="preserve"> Procentuální zastoupení přístavní plochy ve městě.</w:t>
      </w:r>
    </w:p>
    <w:p w14:paraId="04B1B430" w14:textId="012EBFC4" w:rsidR="005E6EC7" w:rsidRDefault="00500373" w:rsidP="005E6EC7">
      <w:pPr>
        <w:pStyle w:val="NormlnOdstavec"/>
      </w:pPr>
      <w:r>
        <w:t xml:space="preserve">Hamburský přístav </w:t>
      </w:r>
      <w:r w:rsidRPr="00500373">
        <w:t>je jedním z největších a nejrušnějších přístavů v Evropě i na světě. Je známý jako "</w:t>
      </w:r>
      <w:r w:rsidRPr="00500373">
        <w:rPr>
          <w:i/>
          <w:iCs/>
        </w:rPr>
        <w:t>brána do světa</w:t>
      </w:r>
      <w:r w:rsidRPr="00500373">
        <w:t>" a objemově největší německý námořní přístav.</w:t>
      </w:r>
      <w:r>
        <w:t xml:space="preserve"> V roce 2022</w:t>
      </w:r>
      <w:r w:rsidR="00086BF5">
        <w:t xml:space="preserve"> (Zdroj</w:t>
      </w:r>
      <w:r w:rsidR="0032617A">
        <w:t xml:space="preserve">: </w:t>
      </w:r>
      <w:r w:rsidR="009D2BE5">
        <w:t>ShipsGO 202</w:t>
      </w:r>
      <w:r w:rsidR="00811327">
        <w:t>2</w:t>
      </w:r>
      <w:r w:rsidR="009D2BE5">
        <w:t>)</w:t>
      </w:r>
      <w:r>
        <w:t>:</w:t>
      </w:r>
    </w:p>
    <w:p w14:paraId="44DB833A" w14:textId="77777777" w:rsidR="00641DA0" w:rsidRDefault="00641DA0" w:rsidP="00500373">
      <w:pPr>
        <w:pStyle w:val="Odstavecseseznamem"/>
        <w:numPr>
          <w:ilvl w:val="2"/>
          <w:numId w:val="27"/>
        </w:numPr>
        <w:jc w:val="left"/>
        <w:rPr>
          <w:rStyle w:val="Bullets"/>
        </w:rPr>
      </w:pPr>
      <w:r w:rsidRPr="00641DA0">
        <w:rPr>
          <w:rStyle w:val="Bullets"/>
        </w:rPr>
        <w:t>V roce 2022 bylo v hamburském přístavu odbaveno 9,3 milionu dvacetistopých ekvivalentních jednotek (TEU), což představuje 6,6% nárůst oproti roku 2021.</w:t>
      </w:r>
    </w:p>
    <w:p w14:paraId="18772DC8" w14:textId="77777777" w:rsidR="00A97B43" w:rsidRDefault="00A97B43" w:rsidP="00500373">
      <w:pPr>
        <w:pStyle w:val="Odstavecseseznamem"/>
        <w:numPr>
          <w:ilvl w:val="2"/>
          <w:numId w:val="27"/>
        </w:numPr>
        <w:jc w:val="left"/>
        <w:rPr>
          <w:rStyle w:val="Bullets"/>
        </w:rPr>
      </w:pPr>
      <w:r w:rsidRPr="00A97B43">
        <w:rPr>
          <w:rStyle w:val="Bullets"/>
        </w:rPr>
        <w:t>Celkový náklad přístavu v roce 2021 činil 123,5 milionu tun, což je o 5,1 % více než v roce 2021.</w:t>
      </w:r>
    </w:p>
    <w:p w14:paraId="6D922205" w14:textId="1874C685" w:rsidR="00500373" w:rsidRPr="00500373" w:rsidRDefault="00500373" w:rsidP="00500373">
      <w:pPr>
        <w:pStyle w:val="Odstavecseseznamem"/>
        <w:numPr>
          <w:ilvl w:val="2"/>
          <w:numId w:val="27"/>
        </w:numPr>
        <w:jc w:val="left"/>
        <w:rPr>
          <w:rFonts w:ascii="OpenSymbol" w:eastAsia="OpenSymbol" w:hAnsi="OpenSymbol" w:cs="OpenSymbol"/>
        </w:rPr>
      </w:pPr>
      <w:r>
        <w:rPr>
          <w:rStyle w:val="Bullets"/>
        </w:rPr>
        <w:lastRenderedPageBreak/>
        <w:t xml:space="preserve">Odbaveno </w:t>
      </w:r>
      <w:r w:rsidR="00A97B43">
        <w:rPr>
          <w:rStyle w:val="Bullets"/>
        </w:rPr>
        <w:t>8</w:t>
      </w:r>
      <w:r w:rsidRPr="00E044C5">
        <w:rPr>
          <w:rStyle w:val="Bullets"/>
        </w:rPr>
        <w:t xml:space="preserve"> 000 kontejnerových lodí ročně</w:t>
      </w:r>
    </w:p>
    <w:p w14:paraId="517520D0" w14:textId="29E991E6" w:rsidR="009D71CC" w:rsidRDefault="00CB7CE8">
      <w:r>
        <w:t>Retail se ve městě vyskytuje primárně v severní polovině města. Přes řeku se už nachází pouze lokální centrum. Industriální plochy se obklopují přístav.</w:t>
      </w:r>
      <w:r w:rsidR="00A34FE2">
        <w:t xml:space="preserve"> HDP Hamburgu patří mezi nejvy</w:t>
      </w:r>
      <w:r w:rsidR="00BE79CB">
        <w:t>šší v celém Německu</w:t>
      </w:r>
      <w:r w:rsidR="00D271B0">
        <w:t xml:space="preserve"> a trend </w:t>
      </w:r>
      <w:r w:rsidR="00BE79CB">
        <w:t xml:space="preserve">byl v roce 2022 </w:t>
      </w:r>
      <w:r w:rsidR="00473247">
        <w:t>rostoucí,</w:t>
      </w:r>
      <w:r w:rsidR="00BE79CB">
        <w:t xml:space="preserve"> jak znázorňuje </w:t>
      </w:r>
      <w:r w:rsidR="0071732B">
        <w:fldChar w:fldCharType="begin"/>
      </w:r>
      <w:r w:rsidR="0071732B">
        <w:instrText xml:space="preserve"> REF _Ref142936442 \h </w:instrText>
      </w:r>
      <w:r w:rsidR="0071732B">
        <w:fldChar w:fldCharType="separate"/>
      </w:r>
      <w:r w:rsidR="0071732B">
        <w:t xml:space="preserve">Obr. </w:t>
      </w:r>
      <w:r w:rsidR="0071732B">
        <w:rPr>
          <w:noProof/>
        </w:rPr>
        <w:t>16</w:t>
      </w:r>
      <w:r w:rsidR="0071732B">
        <w:fldChar w:fldCharType="end"/>
      </w:r>
      <w:r w:rsidR="00541AAF">
        <w:t xml:space="preserve">. Hamburg zažil menší úpadek pouze v roce 2020 v období </w:t>
      </w:r>
      <w:r w:rsidR="00874B06">
        <w:t>pandemie Covid-19.</w:t>
      </w:r>
    </w:p>
    <w:p w14:paraId="57B9774F" w14:textId="17749A65" w:rsidR="00473247" w:rsidRDefault="002D286A" w:rsidP="00473247">
      <w:pPr>
        <w:keepNext/>
      </w:pPr>
      <w:r w:rsidRPr="002D286A">
        <w:rPr>
          <w:noProof/>
        </w:rPr>
        <w:drawing>
          <wp:inline distT="0" distB="0" distL="0" distR="0" wp14:anchorId="6F53C997" wp14:editId="3E526A00">
            <wp:extent cx="5579745" cy="3594100"/>
            <wp:effectExtent l="0" t="0" r="0" b="0"/>
            <wp:docPr id="348334242" name="Obrázek 1" descr="Obsah obrázku text, snímek obrazovky,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4242" name="Obrázek 1" descr="Obsah obrázku text, snímek obrazovky, řada/pruh, Vykreslený graf&#10;&#10;Popis byl vytvořen automaticky"/>
                    <pic:cNvPicPr/>
                  </pic:nvPicPr>
                  <pic:blipFill>
                    <a:blip r:embed="rId37"/>
                    <a:stretch>
                      <a:fillRect/>
                    </a:stretch>
                  </pic:blipFill>
                  <pic:spPr>
                    <a:xfrm>
                      <a:off x="0" y="0"/>
                      <a:ext cx="5579745" cy="3594100"/>
                    </a:xfrm>
                    <a:prstGeom prst="rect">
                      <a:avLst/>
                    </a:prstGeom>
                  </pic:spPr>
                </pic:pic>
              </a:graphicData>
            </a:graphic>
          </wp:inline>
        </w:drawing>
      </w:r>
    </w:p>
    <w:p w14:paraId="4FC65FA0" w14:textId="5E442822" w:rsidR="00473247" w:rsidRDefault="00473247" w:rsidP="00473247">
      <w:pPr>
        <w:pStyle w:val="Obrazek"/>
      </w:pPr>
      <w:bookmarkStart w:id="115" w:name="_Ref142936442"/>
      <w:r>
        <w:t xml:space="preserve">Obr. </w:t>
      </w:r>
      <w:fldSimple w:instr=" SEQ Obr. \* ARABIC ">
        <w:r w:rsidR="00865999">
          <w:rPr>
            <w:noProof/>
          </w:rPr>
          <w:t>16</w:t>
        </w:r>
      </w:fldSimple>
      <w:bookmarkEnd w:id="115"/>
      <w:r>
        <w:t xml:space="preserve"> HDP města Hamburg</w:t>
      </w:r>
      <w:r w:rsidR="002D286A">
        <w:t xml:space="preserve"> v</w:t>
      </w:r>
      <w:r w:rsidR="00385553">
        <w:t> miliónech euro</w:t>
      </w:r>
      <w:r>
        <w:br/>
        <w:t xml:space="preserve">Zdroj: </w:t>
      </w:r>
      <w:r w:rsidR="00761D15" w:rsidRPr="00761D15">
        <w:t>https://www.statista.com/statistics/1107516/gross-domestic-product-hamburg-germany/</w:t>
      </w:r>
    </w:p>
    <w:p w14:paraId="7EB6E577" w14:textId="75DFA0E4" w:rsidR="00E81AF3" w:rsidRDefault="00CB7CE8" w:rsidP="00E01F29">
      <w:pPr>
        <w:ind w:firstLine="357"/>
      </w:pPr>
      <w:r>
        <w:t xml:space="preserve">Poslední skupinou měst jsou </w:t>
      </w:r>
      <w:bookmarkStart w:id="116" w:name="_Hlk133938840"/>
      <w:r>
        <w:rPr>
          <w:rStyle w:val="NormalniTucne"/>
        </w:rPr>
        <w:t xml:space="preserve">Düsseldorf </w:t>
      </w:r>
      <w:bookmarkEnd w:id="116"/>
      <w:r>
        <w:rPr>
          <w:rStyle w:val="NormalniTucne"/>
          <w:b w:val="0"/>
          <w:bCs w:val="0"/>
        </w:rPr>
        <w:t>a</w:t>
      </w:r>
      <w:r>
        <w:rPr>
          <w:rStyle w:val="NormalniTucne"/>
        </w:rPr>
        <w:t xml:space="preserve"> Bratislava</w:t>
      </w:r>
      <w:r>
        <w:t>. Obě města můžeme označit za průmyslová. V Bratislavě primárně kvůli továrně Volkswagen.</w:t>
      </w:r>
      <w:r w:rsidR="00BF44AD">
        <w:t xml:space="preserve"> </w:t>
      </w:r>
      <w:r w:rsidR="00BF44AD" w:rsidRPr="00BF44AD">
        <w:t>Loni z výrobních linek slovenského závodu Volkswagenu sjelo 308.990 vozidel. V roce předchozím to bylo 309.348 automobilů při meziročním poklesu výroby o 18 procent</w:t>
      </w:r>
      <w:r w:rsidR="00F82080">
        <w:t xml:space="preserve"> (ČTK, 2022)</w:t>
      </w:r>
      <w:r w:rsidR="00BF44AD" w:rsidRPr="00BF44AD">
        <w:t>.</w:t>
      </w:r>
      <w:r w:rsidR="00E81AF3">
        <w:t xml:space="preserve"> </w:t>
      </w:r>
      <w:r w:rsidR="00E01F29">
        <w:t xml:space="preserve">Kromě </w:t>
      </w:r>
      <w:r w:rsidR="00801B8D">
        <w:t>průmyslu je Bratislava sídlem mnoha IT firem</w:t>
      </w:r>
      <w:r w:rsidR="008C031B">
        <w:t>.</w:t>
      </w:r>
    </w:p>
    <w:p w14:paraId="6D881DDE" w14:textId="15D5342C" w:rsidR="008C031B" w:rsidRDefault="008C031B" w:rsidP="0011387E">
      <w:pPr>
        <w:pStyle w:val="TabulkaNazev"/>
        <w:jc w:val="left"/>
      </w:pPr>
      <w:r>
        <w:t xml:space="preserve">Tab. </w:t>
      </w:r>
      <w:fldSimple w:instr=" SEQ Tab. \* ARABIC ">
        <w:r w:rsidR="00005BBA">
          <w:rPr>
            <w:noProof/>
          </w:rPr>
          <w:t>11</w:t>
        </w:r>
      </w:fldSimple>
      <w:r>
        <w:t xml:space="preserve"> Největší Bratislavské IT firm</w:t>
      </w:r>
      <w:r w:rsidR="00C4668B">
        <w:t>y</w:t>
      </w:r>
      <w:r w:rsidR="0011387E">
        <w:t xml:space="preserve"> v roce 2015</w:t>
      </w:r>
      <w:r w:rsidR="00C4668B">
        <w:t>.</w:t>
      </w:r>
      <w:r w:rsidR="0011387E">
        <w:br/>
      </w:r>
      <w:r w:rsidR="00C4668B">
        <w:t xml:space="preserve">Zdroj: </w:t>
      </w:r>
      <w:r w:rsidR="0011387E" w:rsidRPr="0011387E">
        <w:t>https://www.trend.sk/trend-archiv/najvacsie-it-firmy-slovensku</w:t>
      </w:r>
      <w:r w:rsidR="00C4668B">
        <w:t xml:space="preserve"> </w:t>
      </w:r>
    </w:p>
    <w:tbl>
      <w:tblPr>
        <w:tblW w:w="7012" w:type="dxa"/>
        <w:tblCellMar>
          <w:left w:w="0" w:type="dxa"/>
          <w:right w:w="0" w:type="dxa"/>
        </w:tblCellMar>
        <w:tblLook w:val="04A0" w:firstRow="1" w:lastRow="0" w:firstColumn="1" w:lastColumn="0" w:noHBand="0" w:noVBand="1"/>
      </w:tblPr>
      <w:tblGrid>
        <w:gridCol w:w="5146"/>
        <w:gridCol w:w="1866"/>
      </w:tblGrid>
      <w:tr w:rsidR="00522EBB" w:rsidRPr="00522EBB" w14:paraId="6B4654F0" w14:textId="77777777" w:rsidTr="008C031B">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ABACB3" w14:textId="77777777" w:rsidR="00522EBB" w:rsidRPr="00522EBB" w:rsidRDefault="00522EBB" w:rsidP="008C031B">
            <w:pPr>
              <w:pStyle w:val="TableContents"/>
              <w:rPr>
                <w:lang w:val="en-US" w:eastAsia="en-US"/>
              </w:rPr>
            </w:pPr>
            <w:r w:rsidRPr="00522EBB">
              <w:rPr>
                <w:lang w:val="en-US" w:eastAsia="en-US"/>
              </w:rPr>
              <w:t>Název firmy</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D536E" w14:textId="77777777" w:rsidR="00522EBB" w:rsidRPr="00522EBB" w:rsidRDefault="00522EBB" w:rsidP="008C031B">
            <w:pPr>
              <w:pStyle w:val="TableContents"/>
              <w:rPr>
                <w:lang w:val="en-US" w:eastAsia="en-US"/>
              </w:rPr>
            </w:pPr>
            <w:r w:rsidRPr="00522EBB">
              <w:rPr>
                <w:lang w:val="en-US" w:eastAsia="en-US"/>
              </w:rPr>
              <w:t>Tržby 2015 (tis. €)</w:t>
            </w:r>
          </w:p>
        </w:tc>
      </w:tr>
      <w:tr w:rsidR="00522EBB" w:rsidRPr="00522EBB" w14:paraId="1E73E77A" w14:textId="77777777" w:rsidTr="008C03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4355AF3" w14:textId="77777777" w:rsidR="00522EBB" w:rsidRPr="00522EBB" w:rsidRDefault="00522EBB" w:rsidP="008C031B">
            <w:pPr>
              <w:pStyle w:val="TableContents"/>
              <w:rPr>
                <w:lang w:val="it-IT" w:eastAsia="en-US"/>
              </w:rPr>
            </w:pPr>
            <w:r w:rsidRPr="00522EBB">
              <w:rPr>
                <w:lang w:val="it-IT" w:eastAsia="en-US"/>
              </w:rPr>
              <w:t>Eset, s.r.o., Bratislava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ED527" w14:textId="77777777" w:rsidR="00522EBB" w:rsidRPr="00522EBB" w:rsidRDefault="00522EBB" w:rsidP="008C031B">
            <w:pPr>
              <w:pStyle w:val="TableContents"/>
              <w:rPr>
                <w:lang w:val="en-US" w:eastAsia="en-US"/>
              </w:rPr>
            </w:pPr>
            <w:r w:rsidRPr="00522EBB">
              <w:rPr>
                <w:lang w:val="en-US" w:eastAsia="en-US"/>
              </w:rPr>
              <w:t>371 553</w:t>
            </w:r>
          </w:p>
        </w:tc>
      </w:tr>
      <w:tr w:rsidR="00522EBB" w:rsidRPr="00522EBB" w14:paraId="63BF24D4" w14:textId="77777777" w:rsidTr="008C03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83F089" w14:textId="77777777" w:rsidR="00522EBB" w:rsidRPr="00522EBB" w:rsidRDefault="00522EBB" w:rsidP="008C031B">
            <w:pPr>
              <w:pStyle w:val="TableContents"/>
              <w:rPr>
                <w:lang w:val="en-US" w:eastAsia="en-US"/>
              </w:rPr>
            </w:pPr>
            <w:r w:rsidRPr="00522EBB">
              <w:rPr>
                <w:lang w:val="en-US" w:eastAsia="en-US"/>
              </w:rPr>
              <w:t>Asbis Sk, s.r.o., Bratislava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FA0F8" w14:textId="77777777" w:rsidR="00522EBB" w:rsidRPr="00522EBB" w:rsidRDefault="00522EBB" w:rsidP="008C031B">
            <w:pPr>
              <w:pStyle w:val="TableContents"/>
              <w:rPr>
                <w:lang w:val="en-US" w:eastAsia="en-US"/>
              </w:rPr>
            </w:pPr>
            <w:r w:rsidRPr="00522EBB">
              <w:rPr>
                <w:lang w:val="en-US" w:eastAsia="en-US"/>
              </w:rPr>
              <w:t>254 283</w:t>
            </w:r>
          </w:p>
        </w:tc>
      </w:tr>
      <w:tr w:rsidR="00522EBB" w:rsidRPr="00522EBB" w14:paraId="168C69B4" w14:textId="77777777" w:rsidTr="008C03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F4D7F2" w14:textId="77777777" w:rsidR="00522EBB" w:rsidRPr="00522EBB" w:rsidRDefault="00522EBB" w:rsidP="008C031B">
            <w:pPr>
              <w:pStyle w:val="TableContents"/>
              <w:rPr>
                <w:lang w:val="en-US" w:eastAsia="en-US"/>
              </w:rPr>
            </w:pPr>
            <w:r w:rsidRPr="00522EBB">
              <w:rPr>
                <w:lang w:val="en-US" w:eastAsia="en-US"/>
              </w:rPr>
              <w:t>IBM International Services Centre, s.r.o., Bratislava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0D2D36" w14:textId="77777777" w:rsidR="00522EBB" w:rsidRPr="00522EBB" w:rsidRDefault="00522EBB" w:rsidP="008C031B">
            <w:pPr>
              <w:pStyle w:val="TableContents"/>
              <w:rPr>
                <w:lang w:val="en-US" w:eastAsia="en-US"/>
              </w:rPr>
            </w:pPr>
            <w:r w:rsidRPr="00522EBB">
              <w:rPr>
                <w:lang w:val="en-US" w:eastAsia="en-US"/>
              </w:rPr>
              <w:t>195 947</w:t>
            </w:r>
          </w:p>
        </w:tc>
      </w:tr>
      <w:tr w:rsidR="00522EBB" w:rsidRPr="00522EBB" w14:paraId="1AD3BC71" w14:textId="77777777" w:rsidTr="008C03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BFE640" w14:textId="77777777" w:rsidR="00522EBB" w:rsidRPr="00522EBB" w:rsidRDefault="00522EBB" w:rsidP="008C031B">
            <w:pPr>
              <w:pStyle w:val="TableContents"/>
              <w:rPr>
                <w:lang w:val="en-US" w:eastAsia="en-US"/>
              </w:rPr>
            </w:pPr>
            <w:r w:rsidRPr="00522EBB">
              <w:rPr>
                <w:lang w:val="en-US" w:eastAsia="en-US"/>
              </w:rPr>
              <w:t>Hewlett-Packard Slovakia, s.r.o., Bratislava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0E026" w14:textId="77777777" w:rsidR="00522EBB" w:rsidRPr="00522EBB" w:rsidRDefault="00522EBB" w:rsidP="008C031B">
            <w:pPr>
              <w:pStyle w:val="TableContents"/>
              <w:rPr>
                <w:lang w:val="en-US" w:eastAsia="en-US"/>
              </w:rPr>
            </w:pPr>
            <w:r w:rsidRPr="00522EBB">
              <w:rPr>
                <w:lang w:val="en-US" w:eastAsia="en-US"/>
              </w:rPr>
              <w:t>167 352</w:t>
            </w:r>
          </w:p>
        </w:tc>
      </w:tr>
      <w:tr w:rsidR="00522EBB" w:rsidRPr="00522EBB" w14:paraId="439B5E14" w14:textId="77777777" w:rsidTr="008C031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F0FC17" w14:textId="77777777" w:rsidR="00522EBB" w:rsidRPr="00522EBB" w:rsidRDefault="00522EBB" w:rsidP="008C031B">
            <w:pPr>
              <w:pStyle w:val="TableContents"/>
              <w:rPr>
                <w:lang w:val="en-US" w:eastAsia="en-US"/>
              </w:rPr>
            </w:pPr>
            <w:r w:rsidRPr="00522EBB">
              <w:rPr>
                <w:lang w:val="en-US" w:eastAsia="en-US"/>
              </w:rPr>
              <w:t>Asseco Central Europe, a.s., Bratislava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3CB50" w14:textId="77777777" w:rsidR="00522EBB" w:rsidRPr="00522EBB" w:rsidRDefault="00522EBB" w:rsidP="008C031B">
            <w:pPr>
              <w:pStyle w:val="TableContents"/>
              <w:rPr>
                <w:lang w:val="en-US" w:eastAsia="en-US"/>
              </w:rPr>
            </w:pPr>
            <w:r w:rsidRPr="00522EBB">
              <w:rPr>
                <w:lang w:val="en-US" w:eastAsia="en-US"/>
              </w:rPr>
              <w:t>155 147</w:t>
            </w:r>
          </w:p>
        </w:tc>
      </w:tr>
    </w:tbl>
    <w:p w14:paraId="7C643972" w14:textId="77777777" w:rsidR="00522EBB" w:rsidRDefault="00522EBB" w:rsidP="00FA79EA"/>
    <w:p w14:paraId="15789F2F" w14:textId="387AA5E7" w:rsidR="009D71CC" w:rsidRDefault="00CB7CE8">
      <w:pPr>
        <w:ind w:firstLine="357"/>
      </w:pPr>
      <w:r>
        <w:t xml:space="preserve">Düsseldorf leží v Porůří, nejvíce průmyslové částí Německa. </w:t>
      </w:r>
      <w:bookmarkStart w:id="117" w:name="_Toc133611832"/>
      <w:bookmarkStart w:id="118" w:name="_Toc126159427"/>
      <w:bookmarkStart w:id="119" w:name="_Toc277157896"/>
      <w:bookmarkEnd w:id="104"/>
      <w:r w:rsidR="0068300F">
        <w:t xml:space="preserve">V Düsseldorfu se nachází třetí </w:t>
      </w:r>
      <w:r w:rsidR="0068300F" w:rsidRPr="0068300F">
        <w:t xml:space="preserve">největší vnitrozemský přístav v Německu s více než 7 miliony tun překládaného nákladu. V roce 2022 bylo odbaveno celkem přibližně 650 000 kontejnerů. Přístav </w:t>
      </w:r>
      <w:r w:rsidR="0068300F" w:rsidRPr="0068300F">
        <w:lastRenderedPageBreak/>
        <w:t>Düsseldorf je přímo spojen s přístavy Zeebrugge, Amsterdam, Rotterdam a Antverpy prostřednictvím Rýna, nejdůležitější evropské lodní spojnice</w:t>
      </w:r>
      <w:r w:rsidR="00B87AB6">
        <w:t>. „</w:t>
      </w:r>
      <w:r w:rsidR="00B87AB6" w:rsidRPr="000C67EC">
        <w:rPr>
          <w:i/>
          <w:iCs/>
        </w:rPr>
        <w:t xml:space="preserve">Düsseldorf je nazýván městem oceli, ale také městem těžkého strojírenství, chemickým městem, městem mobilních zařízení a městem </w:t>
      </w:r>
      <w:r w:rsidR="000C67EC" w:rsidRPr="000C67EC">
        <w:rPr>
          <w:i/>
          <w:iCs/>
        </w:rPr>
        <w:t>poradenství – a</w:t>
      </w:r>
      <w:r w:rsidR="00B87AB6" w:rsidRPr="000C67EC">
        <w:rPr>
          <w:i/>
          <w:iCs/>
        </w:rPr>
        <w:t xml:space="preserve"> to se daří, protože se snažíme tato odvětví integrovat. Všechna tato odvětví jsou propojena do jakési sítě, která je pro nás opravdu šťastná</w:t>
      </w:r>
      <w:r w:rsidR="00B87AB6">
        <w:t>“</w:t>
      </w:r>
      <w:r w:rsidR="00293ECD">
        <w:t xml:space="preserve">. </w:t>
      </w:r>
      <w:r w:rsidR="002F7F5D">
        <w:t>(</w:t>
      </w:r>
      <w:r w:rsidR="00293ECD" w:rsidRPr="00293ECD">
        <w:t>Uwe Kerkmann</w:t>
      </w:r>
      <w:r w:rsidR="00293ECD">
        <w:t xml:space="preserve"> </w:t>
      </w:r>
      <w:r w:rsidR="002F7F5D">
        <w:t>2019)</w:t>
      </w:r>
      <w:r w:rsidR="00002A9E">
        <w:t>.</w:t>
      </w:r>
    </w:p>
    <w:p w14:paraId="1C3C0407" w14:textId="125BB9A2" w:rsidR="000D4E71" w:rsidRDefault="000D4E71" w:rsidP="008502AC">
      <w:pPr>
        <w:ind w:firstLine="357"/>
      </w:pPr>
      <w:r w:rsidRPr="000D4E71">
        <w:t xml:space="preserve">Obě tato města sdílejí společný </w:t>
      </w:r>
      <w:r w:rsidR="00537DDB" w:rsidRPr="000D4E71">
        <w:t>znak – silniční</w:t>
      </w:r>
      <w:r w:rsidRPr="000D4E71">
        <w:t xml:space="preserve"> dopravu. I když v obou případech není pravidelná, je pečlivě navržena tak, aby propojovala průmyslová centra. Dalším klíčovým prvkem je přístav.</w:t>
      </w:r>
      <w:r>
        <w:t xml:space="preserve"> Obě města mají slabší retail</w:t>
      </w:r>
      <w:r w:rsidR="00AB32ED">
        <w:t xml:space="preserve"> v porovnání s ostatními městy.</w:t>
      </w:r>
    </w:p>
    <w:p w14:paraId="1CFBE7DB" w14:textId="2B37F197" w:rsidR="00AC0625" w:rsidRDefault="00CB7CE8" w:rsidP="008502AC">
      <w:pPr>
        <w:ind w:firstLine="357"/>
      </w:pPr>
      <w:r>
        <w:t>Klíčovým faktorem při hodnocení urbánních sítí je tvar uliční sítě. Z výsledků diplomové práce je patrné, že tvar uliční sítě ovlivňuje tvar sítí ostatních. Analýza centrality a tvaru dokážou nastínit, kde se ekonomický aktivita ve městech bude nacházet. Kvalitním ukazatelem výkonnosti urbánních sítí jsou i obslužné oblasti. Díky nim lze zhodnotit kvalitu a dosah jednotlivých sítí.</w:t>
      </w:r>
      <w:r w:rsidR="00004849">
        <w:t xml:space="preserve"> </w:t>
      </w:r>
    </w:p>
    <w:p w14:paraId="4F7F9CD3" w14:textId="129EE09E" w:rsidR="009D71CC" w:rsidRDefault="00CB7CE8" w:rsidP="00004849">
      <w:r>
        <w:br w:type="page"/>
      </w:r>
    </w:p>
    <w:p w14:paraId="6DB020D1" w14:textId="77777777" w:rsidR="009D71CC" w:rsidRDefault="00CB7CE8">
      <w:pPr>
        <w:pStyle w:val="Nadpis1"/>
      </w:pPr>
      <w:bookmarkStart w:id="120" w:name="_Toc133957949"/>
      <w:bookmarkStart w:id="121" w:name="_Toc143013765"/>
      <w:r>
        <w:lastRenderedPageBreak/>
        <w:t>Diskuze</w:t>
      </w:r>
      <w:bookmarkEnd w:id="117"/>
      <w:bookmarkEnd w:id="118"/>
      <w:bookmarkEnd w:id="119"/>
      <w:bookmarkEnd w:id="120"/>
      <w:bookmarkEnd w:id="121"/>
    </w:p>
    <w:p w14:paraId="18E7EDC9" w14:textId="77777777" w:rsidR="009D71CC" w:rsidRDefault="00CB7CE8">
      <w:r>
        <w:t>Urbánní sítě v posledních letech láká více a více urbanistů. Snaha neustále rozvíjet a přizpůsobovat urbánní sítě novým trendům a výzvám. Urbanizace a růst městské populace jsou jedním z hlavních faktorů, které ovlivňují vývoj urbánních sítí. S tím souvisí také potřeba zlepšovat dopravní infrastrukturu, aby bylo možné zajistit efektivní a rychlou dopravu mezi jednotlivými městskými oblastmi.</w:t>
      </w:r>
    </w:p>
    <w:p w14:paraId="1499F53D" w14:textId="77777777" w:rsidR="009D71CC" w:rsidRDefault="00CB7CE8">
      <w:pPr>
        <w:pStyle w:val="NormlnOdstavec"/>
      </w:pPr>
      <w:r>
        <w:t>Fyzické prvky urbánních sítí zahrnují dopravní infrastrukturu, např. silnice, železnice, cyklostezky a městskou hromadnou dopravu, ale také zelené plochy, vodní plochy a městskou architekturu. Tyto prvky jsou propojeny a tvoří síť, která ovlivňuje mobilitu, pohyb a interakce v městském prostoru.</w:t>
      </w:r>
    </w:p>
    <w:p w14:paraId="7161E7FE" w14:textId="77777777" w:rsidR="009D71CC" w:rsidRDefault="00CB7CE8">
      <w:pPr>
        <w:pStyle w:val="NormlnOdstavec"/>
      </w:pPr>
      <w:r>
        <w:t>Sociální prvky urbánních sítí zahrnují sítě vztahů a sociálních interakcí mezi obyvateli města, jako jsou komunity, skupiny a společenství. Tyto sítě mohou být utvářeny na základě společných zájmů, kultury a zkušeností a mohou být podporovány různými institucemi a organizacemi v městě.</w:t>
      </w:r>
    </w:p>
    <w:p w14:paraId="540DFC60" w14:textId="77777777" w:rsidR="009D71CC" w:rsidRDefault="00CB7CE8">
      <w:pPr>
        <w:ind w:firstLine="432"/>
      </w:pPr>
      <w:r>
        <w:t>Dalším významným trendem v posledních letech je rozvoj inteligentních a udržitelných měst. To se projevuje například využitím nových technologií v oblasti dopravy a energetiky, snahou o snižování emisí a efektivnějším využívání zdrojů. Tyto trendy ovlivňují i vývoj urbánních sítí, protože vytvářejí potřebu nových a inovativních řešení, které jsou přizpůsobeny moderním požadavkům a potřebám.</w:t>
      </w:r>
    </w:p>
    <w:p w14:paraId="30313E2C" w14:textId="2D9F36A0" w:rsidR="00BF4610" w:rsidRDefault="00CB7CE8" w:rsidP="00BF4610">
      <w:pPr>
        <w:ind w:firstLine="432"/>
      </w:pPr>
      <w:r>
        <w:t>Tyto trendy však často narážejí na nedostatek kvalitních datových zdrojů, což může ovlivnit kvalitu vytvořených prací. V diplomové práci se zkoumaly zejména dopravní sítě, které mají velký vliv na vývoj městských oblastí, ale i jiné typy sítí, jako jsou informační, ekonomické nebo infrastrukturní, mají svůj význam. S rozvojem geografických informačních systémů se kvalita dat vylepšila, ale stále existují limity, jako jsou neověřené informace nebo omezení kvůli licencím. Je tedy důležité hledat nové a inovativní způsoby, jak získat kvalitní datové zdroje, aby bylo možné vytvářet lepší a účinnější plány pro rozvoj urbánních sítí.</w:t>
      </w:r>
    </w:p>
    <w:p w14:paraId="54CDE838" w14:textId="77777777" w:rsidR="009D71CC" w:rsidRDefault="00CB7CE8">
      <w:pPr>
        <w:ind w:firstLine="432"/>
      </w:pPr>
      <w:r>
        <w:t>Ekonomická aktivita byla analyzována na datech z OpenStreetMap a Urban Atlas. Tyto datové zdroje dokážou pouze nastínit ekonomickou aktivitu ve městě. V diplomové práci je zkoumáno celkem 29 měst se zastoupením jak historických, tak plánovaných města nebo vnitrozemských a přímořských.</w:t>
      </w:r>
    </w:p>
    <w:p w14:paraId="7A52A14E" w14:textId="782C63F9" w:rsidR="009D71CC" w:rsidRDefault="00CB7CE8">
      <w:pPr>
        <w:ind w:firstLine="432"/>
      </w:pPr>
      <w:r>
        <w:t>Podle Boeinga je orientace uliční sítě klíčovým faktorem při analýze městských sítí, ale je důležité zvolit kvalitní a reprezentativní vzorek měst, aby klasifikace poskytovala nepřekroucené výsledky. V porovnání s předchozí prací se zaměřením na orientaci, autor práce Boeinga použil širší a reprezentativnější vzorek, což vedlo k odlišným výsledkům. Na druhé straně diplomová práce</w:t>
      </w:r>
      <w:r w:rsidR="004F104E">
        <w:t xml:space="preserve"> Bc.</w:t>
      </w:r>
      <w:r w:rsidR="002F7EEB">
        <w:t xml:space="preserve"> Lukáše</w:t>
      </w:r>
      <w:r>
        <w:t xml:space="preserve"> Příleského poskytuje jen minimální náhled na kategorie orientace.</w:t>
      </w:r>
    </w:p>
    <w:p w14:paraId="4F031BEE" w14:textId="77777777" w:rsidR="009D71CC" w:rsidRDefault="00CB7CE8">
      <w:pPr>
        <w:ind w:firstLine="432"/>
      </w:pPr>
      <w:r>
        <w:t>Při tvorbě grafů orientace je důležité stanovit hranice města, které by měly být stejné pro všechna města, ačkoli to může být složité vzhledem k rozdílnému administrativnímu rozdělení v různých zemích světa. Autor správně zvolil pravidla pro stanovení hranic, aby byly reprezentativní pro Urban Core, Urban Atlas a FUA, což by mělo být stejně relevantní pro všechna města.</w:t>
      </w:r>
    </w:p>
    <w:p w14:paraId="45535732" w14:textId="77777777" w:rsidR="009D71CC" w:rsidRDefault="00CB7CE8">
      <w:pPr>
        <w:ind w:firstLine="432"/>
      </w:pPr>
      <w:r>
        <w:t>Diplomová práce by získala na hodnotě, kdyby zahrnovala diskusi s odborníkem na urbánní sítě. Bohužel v rámci diplomové práce nebyl dostatečný časový prostor pro konzultace s odborníkem. Diplomová práce má spíše strukturu disertační práce, jelikož zkoumá velký objem informací. Tento fakt snižuje kvalitu práce, jelikož se autor nemůže pustit do podrobné analýzy jednotlivých sítí, a tak pouze nastiňuje její reálnou roli.</w:t>
      </w:r>
    </w:p>
    <w:p w14:paraId="2944FBEC" w14:textId="77777777" w:rsidR="009D71CC" w:rsidRDefault="00CB7CE8">
      <w:pPr>
        <w:ind w:firstLine="432"/>
      </w:pPr>
      <w:r>
        <w:lastRenderedPageBreak/>
        <w:t xml:space="preserve">Velkým potenciálem při hodnocení urbánních sítí je analýza centrality, která dokáže nastínit, kde se nachází důležité nody a hrany. Použití těchto analýz není v Česku tak populární jako třeba v zahraničí, kde existuje několik kvalitních prací. Další důležitou analýzou je dopravní obslužnost. Pomocí nástroje </w:t>
      </w:r>
      <w:r>
        <w:rPr>
          <w:i/>
          <w:iCs/>
        </w:rPr>
        <w:t>Service Area</w:t>
      </w:r>
      <w:r>
        <w:t xml:space="preserve"> je možné vypočítat výkonost urbánních sítí, obzvlášť sítě městské hromadné dopravy.</w:t>
      </w:r>
    </w:p>
    <w:p w14:paraId="23B305F9" w14:textId="56987B5C" w:rsidR="00BC4B37" w:rsidRDefault="00CB7CE8" w:rsidP="009A7D46">
      <w:pPr>
        <w:ind w:firstLine="432"/>
      </w:pPr>
      <w:r>
        <w:t xml:space="preserve">Autor vidí velkou slabinu i ve výpočetní technice. Analýzy, jako je centralita nebo obslužnost, vyžadují velké množství zdrojů. Při výpočtech těchto metrik se využívá pouze jednoho jádra procesoru a případný </w:t>
      </w:r>
      <w:r>
        <w:rPr>
          <w:i/>
          <w:iCs/>
        </w:rPr>
        <w:t>multiprocessing</w:t>
      </w:r>
      <w:r>
        <w:t xml:space="preserve"> nejde příliš škálovat, jelikož výpočty potřebují velké množství operační paměti. Autor sám využíval pro výpočty servery od firem Azure a Google, neboť je obtížné tak velká města zpracovávat na lokálním zařízení.</w:t>
      </w:r>
    </w:p>
    <w:p w14:paraId="39D94EA6" w14:textId="77777777" w:rsidR="009D71CC" w:rsidRDefault="00CB7CE8">
      <w:pPr>
        <w:ind w:firstLine="432"/>
      </w:pPr>
      <w:r>
        <w:t xml:space="preserve">Výsledky této práce poskytují užitečné informace pro urbanisty, městské plánovače a odborníky zabývající se rozvojem měst. Vzhledem k tomu, že se města neustále mění a vyvíjejí, mohou být výsledky této práce použity jako východisko pro další výzkum a plánování urbanistických opatření pro budoucnost. </w:t>
      </w:r>
      <w:r>
        <w:br w:type="page"/>
      </w:r>
    </w:p>
    <w:p w14:paraId="60AB0ABF" w14:textId="77777777" w:rsidR="009D71CC" w:rsidRDefault="00CB7CE8">
      <w:pPr>
        <w:pStyle w:val="Nadpis1"/>
        <w:tabs>
          <w:tab w:val="left" w:pos="454"/>
        </w:tabs>
        <w:ind w:left="0" w:firstLine="0"/>
      </w:pPr>
      <w:bookmarkStart w:id="122" w:name="_Toc133611833"/>
      <w:bookmarkStart w:id="123" w:name="_Toc133957950"/>
      <w:bookmarkStart w:id="124" w:name="_Toc143013766"/>
      <w:r>
        <w:lastRenderedPageBreak/>
        <w:t>ZÁVĚR</w:t>
      </w:r>
      <w:bookmarkEnd w:id="122"/>
      <w:bookmarkEnd w:id="123"/>
      <w:bookmarkEnd w:id="124"/>
    </w:p>
    <w:p w14:paraId="1CC8366D" w14:textId="77777777" w:rsidR="009D71CC" w:rsidRDefault="00CB7CE8">
      <w:pPr>
        <w:pStyle w:val="NormlnOdstavec"/>
        <w:spacing w:before="0"/>
      </w:pPr>
      <w:r>
        <w:t>Cílem diplomové práce bylo zhodnotit roli urbánních sítí ve struktuře a vývoji města. V průběhu práce byly zhodnoceny kvantitativní i kvalitativní charakteristiky vybraných urbánních sítí (například hierarchie, obecná morfologie, nodalita, komplexnost, polycentricita). Charakteristiky bylo zkoumány pomocí několika geocomputation metod.</w:t>
      </w:r>
    </w:p>
    <w:p w14:paraId="47DCC2CC" w14:textId="77777777" w:rsidR="009D71CC" w:rsidRDefault="00CB7CE8">
      <w:pPr>
        <w:pStyle w:val="NormlnOdstavec"/>
        <w:spacing w:before="0"/>
      </w:pPr>
      <w:r>
        <w:t>Následně byly tyto poznatky aplikované v souvislosti s ekonomickou aktivitou ve městech a jejích částech. Z</w:t>
      </w:r>
      <w:r>
        <w:rPr>
          <w:rFonts w:ascii="Times New Roman" w:hAnsi="Times New Roman"/>
        </w:rPr>
        <w:t> </w:t>
      </w:r>
      <w:r>
        <w:t>tohoto d</w:t>
      </w:r>
      <w:r>
        <w:rPr>
          <w:rFonts w:cs="Bookman Old Style"/>
        </w:rPr>
        <w:t>ů</w:t>
      </w:r>
      <w:r>
        <w:t>vodu byla vybr</w:t>
      </w:r>
      <w:r>
        <w:rPr>
          <w:rFonts w:cs="Bookman Old Style"/>
        </w:rPr>
        <w:t>á</w:t>
      </w:r>
      <w:r>
        <w:t>na sada m</w:t>
      </w:r>
      <w:r>
        <w:rPr>
          <w:rFonts w:cs="Bookman Old Style"/>
        </w:rPr>
        <w:t>ě</w:t>
      </w:r>
      <w:r>
        <w:t>st se zastoupen</w:t>
      </w:r>
      <w:r>
        <w:rPr>
          <w:rFonts w:cs="Bookman Old Style"/>
        </w:rPr>
        <w:t>í</w:t>
      </w:r>
      <w:r>
        <w:t>m historick</w:t>
      </w:r>
      <w:r>
        <w:rPr>
          <w:rFonts w:cs="Bookman Old Style"/>
        </w:rPr>
        <w:t>ý</w:t>
      </w:r>
      <w:r>
        <w:t>ch (star</w:t>
      </w:r>
      <w:r>
        <w:rPr>
          <w:rFonts w:cs="Bookman Old Style"/>
        </w:rPr>
        <w:t>ý</w:t>
      </w:r>
      <w:r>
        <w:t>ch) struktur s</w:t>
      </w:r>
      <w:r>
        <w:rPr>
          <w:rFonts w:cs="Bookman Old Style"/>
        </w:rPr>
        <w:t>í</w:t>
      </w:r>
      <w:r>
        <w:t>t</w:t>
      </w:r>
      <w:r>
        <w:rPr>
          <w:rFonts w:cs="Bookman Old Style"/>
        </w:rPr>
        <w:t>í</w:t>
      </w:r>
      <w:r>
        <w:t xml:space="preserve"> i pravideln</w:t>
      </w:r>
      <w:r>
        <w:rPr>
          <w:rFonts w:cs="Bookman Old Style"/>
        </w:rPr>
        <w:t>ý</w:t>
      </w:r>
      <w:r>
        <w:t>ch geometrick</w:t>
      </w:r>
      <w:r>
        <w:rPr>
          <w:rFonts w:cs="Bookman Old Style"/>
        </w:rPr>
        <w:t>ý</w:t>
      </w:r>
      <w:r>
        <w:t>ch struktur. Vedlejšími cíli bylo vytvoření posteru ve formátu A2 a webových stránek.</w:t>
      </w:r>
    </w:p>
    <w:p w14:paraId="7B29E5B8" w14:textId="77777777" w:rsidR="009D71CC" w:rsidRDefault="00CB7CE8">
      <w:pPr>
        <w:pStyle w:val="NormlnOdstavec"/>
      </w:pPr>
      <w:r>
        <w:t>Výzkum provedený v této diplomové práci ukázal, že urbánní sítě hrají klíčovou roli ve struktuře a vývoji měst. Výsledky analýz naznačují, že existuje několik kategorií měst v závislosti na jejich konkrétních urbanistických charakteristikách. V práci bylo hodnoceno 29 měst, které zastupovaly různé typy městských uspořádání, včetně historických, plánovaných, přímořských a vnitrozemských měst.</w:t>
      </w:r>
    </w:p>
    <w:p w14:paraId="2CB4A02E" w14:textId="77777777" w:rsidR="00120B78" w:rsidRDefault="00120B78">
      <w:pPr>
        <w:pStyle w:val="NormlnOdstavec"/>
      </w:pPr>
      <w:r w:rsidRPr="00120B78">
        <w:t>Radiální urbanistické sítě jsou jedním z nejčastěji zkoumaných typů městských uspořádání a byly předmětem opakovaného zkoumání. V těchto městech je obvykle maloobchodní sektor umístěn v centrálních částech města a také na klíčových odbočkách hlavních komunikací a tras. Města jako Paříž a Londýn sdílí podobnou strukturu s menšími městy jako Milán či Berlín, ale jejich ekonomická vitalita výrazně přesahuje ostatní města. V případě radiálního města ležícího u moře je hlavním prvkem přístav, který je dosažitelný skrze hlavní radiální cesty.</w:t>
      </w:r>
    </w:p>
    <w:p w14:paraId="7CF84211" w14:textId="1357DC8C" w:rsidR="009D71CC" w:rsidRDefault="00CB7CE8">
      <w:pPr>
        <w:pStyle w:val="NormlnOdstavec"/>
      </w:pPr>
      <w:r>
        <w:t>Města s podlouhlým tvarem charakterizuje důležitý silniční tah středem města. Na okrajích měst se pak vyskytuje průmyslová výroba. Retail se nachází uprostřed města podél hlavní silnice. U přímořských měst vede hlavní tah k přístavu u vnitrozemských to spojuje nějaké velké průmyslové centrum viz. Turínská továrna Fiatu. Velkou roli zde hraje i geografická poloha, jelikož jsou obvykle organizována podél nějaké přirozené hranice, jako jsou řeky, mořské pobřeží nebo hory.</w:t>
      </w:r>
    </w:p>
    <w:p w14:paraId="5D685712" w14:textId="0A499C4C" w:rsidR="00E47DF9" w:rsidRDefault="00CB7CE8" w:rsidP="000F6A62">
      <w:pPr>
        <w:pStyle w:val="NormlnOdstavec"/>
      </w:pPr>
      <w:r>
        <w:t>Tvar uliční sítě je klíčovým faktorem při hodnocení urbánních sítí. Výsledky diplomové práce ukazují, že tvar uliční sítě má vliv na tvar sítí ostatních. Analyzovat centrality a tvar sítí umožňuje předpovědět, kde bude nejvíce ekonomické aktivity ve městech. Obslužné oblasti jsou kvalitním ukazatelem výkonnosti urbánních sítí, díky nim lze zhodnotit dosah a kvalitu jednotlivých sítí. Tyto informace mohou sloužit jako východisko pro další výzkum a plánování urbanistických opatření pro budoucnost, protože se města neustále mění a vyvíjejí</w:t>
      </w:r>
      <w:r w:rsidR="000A1A63">
        <w:t>.</w:t>
      </w:r>
    </w:p>
    <w:p w14:paraId="518B5B50" w14:textId="007E59D9" w:rsidR="000A1A63" w:rsidRDefault="000A1A63" w:rsidP="00C63D23">
      <w:pPr>
        <w:pStyle w:val="NormlnOdstavec"/>
      </w:pPr>
      <w:r>
        <w:t>Výs</w:t>
      </w:r>
      <w:r w:rsidRPr="000A1A63">
        <w:t>ledky</w:t>
      </w:r>
      <w:r>
        <w:t xml:space="preserve"> </w:t>
      </w:r>
      <w:r w:rsidRPr="000A1A63">
        <w:t>diplomové práce ukázaly přístav jako klíčový prvek ve městě. Přístavy mají významný vliv na města nacházející se u pobřeží moří a oceánů, stejně jako u vodních toků. Když je v městě vybudován přístav, začíná se kolem něj soustřeďovat průmyslová výroba. Navíc přístav ovlivňuje strukturu silniční a železniční sítě. Rozměr přístavu a jeho propustnost pro nákladní dopravu jsou faktory, které určují směr a intenzitu rozvoje železničních a silničních spojení směrem k němu.</w:t>
      </w:r>
    </w:p>
    <w:p w14:paraId="6351B304" w14:textId="145D1215" w:rsidR="009D71CC" w:rsidRDefault="00CB7CE8" w:rsidP="00C63D23">
      <w:pPr>
        <w:pStyle w:val="NormlnOdstavec"/>
        <w:sectPr w:rsidR="009D71CC">
          <w:footerReference w:type="default" r:id="rId38"/>
          <w:pgSz w:w="11906" w:h="16838"/>
          <w:pgMar w:top="1418" w:right="1418" w:bottom="1418" w:left="1701" w:header="0" w:footer="709" w:gutter="0"/>
          <w:cols w:space="720"/>
          <w:formProt w:val="0"/>
          <w:docGrid w:linePitch="360" w:charSpace="73728"/>
        </w:sectPr>
      </w:pPr>
      <w:r>
        <w:t>V závěru lze říct, že výsledky této práce poskytují užitečné informace pro urbanisty, plánovače měst a odborníky zabývající se rozvojem měst. Vzhledem k tomu, že se města v průběhu času stále mění a vyvíjejí, mohou být výsledky této práce použity jako východisko pro další výzkum a plánování urbanistických opatření pro budoucnost.</w:t>
      </w:r>
    </w:p>
    <w:p w14:paraId="504D9232" w14:textId="77777777" w:rsidR="009D71CC" w:rsidRDefault="00CB7CE8">
      <w:pPr>
        <w:pStyle w:val="ObsahUvodSeznamy"/>
      </w:pPr>
      <w:bookmarkStart w:id="125" w:name="_Toc277157898"/>
      <w:r>
        <w:lastRenderedPageBreak/>
        <w:t>Použitá literatura a informační zdroje</w:t>
      </w:r>
      <w:bookmarkEnd w:id="125"/>
    </w:p>
    <w:p w14:paraId="4AEE57AA" w14:textId="77777777" w:rsidR="009D71CC" w:rsidRDefault="00CB7CE8">
      <w:pPr>
        <w:pStyle w:val="NormalniLiteratura"/>
      </w:pPr>
      <w:r>
        <w:t xml:space="preserve">AMIN, Ash a Nigel THRIFT, 2002. Cities and ethnicities. </w:t>
      </w:r>
      <w:r>
        <w:rPr>
          <w:i/>
          <w:iCs/>
        </w:rPr>
        <w:t>Ethnicities</w:t>
      </w:r>
      <w:r>
        <w:t xml:space="preserve"> [online]. 2(3), 291-300 [cit. 2023-05-02]. ISSN 1468-7968. Dostupné z: doi:10.1177/14687968020020030101</w:t>
      </w:r>
    </w:p>
    <w:p w14:paraId="34A5E3E2" w14:textId="77777777" w:rsidR="009D71CC" w:rsidRDefault="009D71CC">
      <w:pPr>
        <w:pStyle w:val="NormalniLiteratura"/>
      </w:pPr>
    </w:p>
    <w:p w14:paraId="0B2B0C16" w14:textId="66E1A765" w:rsidR="00F82080" w:rsidRPr="00F82080" w:rsidRDefault="00F82080">
      <w:pPr>
        <w:pStyle w:val="NormalniLiteratura"/>
        <w:rPr>
          <w:color w:val="0000FF"/>
          <w:u w:val="single"/>
        </w:rPr>
      </w:pPr>
      <w:r>
        <w:t>ČTK</w:t>
      </w:r>
      <w:r>
        <w:t>,</w:t>
      </w:r>
      <w:r w:rsidRPr="00F76C49">
        <w:t xml:space="preserve"> </w:t>
      </w:r>
      <w:r w:rsidRPr="00F82080">
        <w:rPr>
          <w:i/>
          <w:iCs/>
        </w:rPr>
        <w:t>VW na Slovensku nepatrně snížil výrobu a ukončil produkci dvou modelů</w:t>
      </w:r>
      <w:r w:rsidRPr="00F82080">
        <w:rPr>
          <w:i/>
          <w:iCs/>
        </w:rPr>
        <w:t xml:space="preserve"> </w:t>
      </w:r>
      <w:r>
        <w:t xml:space="preserve">[online]. </w:t>
      </w:r>
      <w:r>
        <w:t>2022</w:t>
      </w:r>
      <w:r>
        <w:t>, Dostupné z: </w:t>
      </w:r>
      <w:hyperlink r:id="rId39" w:history="1">
        <w:r w:rsidRPr="00ED75C7">
          <w:rPr>
            <w:rStyle w:val="Hypertextovodkaz"/>
          </w:rPr>
          <w:t>https://www.auto.cz/vw-na-slovensku-nepatrne-snizil-vyrobu-a-ukoncil-produkci-dvou-modelu-143707</w:t>
        </w:r>
      </w:hyperlink>
      <w:r>
        <w:t xml:space="preserve"> </w:t>
      </w:r>
    </w:p>
    <w:p w14:paraId="50CCD820" w14:textId="77777777" w:rsidR="00F82080" w:rsidRDefault="00F82080">
      <w:pPr>
        <w:pStyle w:val="NormalniLiteratura"/>
      </w:pPr>
    </w:p>
    <w:p w14:paraId="5B2427BF" w14:textId="77777777" w:rsidR="009D71CC" w:rsidRDefault="00CB7CE8">
      <w:pPr>
        <w:pStyle w:val="NormalniLiteratura"/>
      </w:pPr>
      <w:r>
        <w:t xml:space="preserve">BATTY, M. Network geography: relations, interactions, scaling and spatial processes in GIS. </w:t>
      </w:r>
      <w:r>
        <w:rPr>
          <w:i/>
          <w:iCs/>
        </w:rPr>
        <w:t>Re-presenting GIS. Wiley, Chichester</w:t>
      </w:r>
      <w:r>
        <w:t>,. 2005A, 149-170.</w:t>
      </w:r>
    </w:p>
    <w:p w14:paraId="1515B1A4" w14:textId="77777777" w:rsidR="009D71CC" w:rsidRDefault="009D71CC">
      <w:pPr>
        <w:pStyle w:val="NormalniLiteratura"/>
      </w:pPr>
    </w:p>
    <w:p w14:paraId="7C4C9F97" w14:textId="77777777" w:rsidR="009D71CC" w:rsidRDefault="00CB7CE8">
      <w:pPr>
        <w:pStyle w:val="NormalniLiteratura"/>
      </w:pPr>
      <w:r>
        <w:t>BARTHELEMY, Marc, Patricia BORDIN, Henri BERESTYCKI a Maurizio GRIBAUDI, 2013. Self-organization versus top-down planning in the evolution of a city. </w:t>
      </w:r>
      <w:r>
        <w:rPr>
          <w:i/>
          <w:iCs/>
        </w:rPr>
        <w:t>Scientific Reports</w:t>
      </w:r>
      <w:r>
        <w:t> [online]. </w:t>
      </w:r>
      <w:r>
        <w:rPr>
          <w:b/>
          <w:bCs/>
        </w:rPr>
        <w:t>3</w:t>
      </w:r>
      <w:r>
        <w:t>(1) [cit. 2023-05-02]. ISSN 2045-2322. Dostupné z: doi:10.1038/srep02153</w:t>
      </w:r>
    </w:p>
    <w:p w14:paraId="22935AD8" w14:textId="77777777" w:rsidR="009D71CC" w:rsidRDefault="009D71CC">
      <w:pPr>
        <w:pStyle w:val="NormalniLiteratura"/>
      </w:pPr>
    </w:p>
    <w:p w14:paraId="0A10D508" w14:textId="77777777" w:rsidR="009D71CC" w:rsidRDefault="00CB7CE8">
      <w:pPr>
        <w:pStyle w:val="NormalniLiteratura"/>
      </w:pPr>
      <w:r>
        <w:t xml:space="preserve">BOEING, Geoff, 2019. The Morphology and Circuity of Walkable and Drivable Street Networks. In: D'ACCI, Luca, ed. </w:t>
      </w:r>
      <w:r>
        <w:rPr>
          <w:i/>
          <w:iCs/>
        </w:rPr>
        <w:t>The Mathematics of Urban Morphology</w:t>
      </w:r>
      <w:r>
        <w:t xml:space="preserve"> [online]. Cham: Springer International Publishing, 2019-03-24, s. 271-287 [cit. 2023-05-02]. Modeling and Simulation in Science, Engineering and Technology. ISBN 978-3-030-12380-2. Dostupné z: doi:10.1007/978-3-030-12381-9_12</w:t>
      </w:r>
    </w:p>
    <w:p w14:paraId="42C94F1A" w14:textId="77777777" w:rsidR="009D71CC" w:rsidRDefault="009D71CC">
      <w:pPr>
        <w:pStyle w:val="NormalniLiteratura"/>
      </w:pPr>
    </w:p>
    <w:p w14:paraId="3FEC5EF4" w14:textId="77777777" w:rsidR="009D71CC" w:rsidRDefault="00CB7CE8">
      <w:pPr>
        <w:pStyle w:val="NormalniLiteratura"/>
      </w:pPr>
      <w:r>
        <w:t xml:space="preserve">BOEING, G., 2018a. Measuring the complexity of urban form and design. [online]. </w:t>
      </w:r>
      <w:r>
        <w:rPr>
          <w:i/>
          <w:iCs/>
        </w:rPr>
        <w:t>Urban Des Int</w:t>
      </w:r>
      <w:r>
        <w:t xml:space="preserve"> 23:281–292.  [cit. 2023-05-02]. Dostupné z: https://doi.org/10.1 057/s41289-018-0072-1 </w:t>
      </w:r>
    </w:p>
    <w:p w14:paraId="6A038D8E" w14:textId="77777777" w:rsidR="009D71CC" w:rsidRDefault="009D71CC">
      <w:pPr>
        <w:pStyle w:val="NormalniLiteratura"/>
      </w:pPr>
    </w:p>
    <w:p w14:paraId="2F0D8EB3" w14:textId="1F7ABEE3" w:rsidR="00405BE2" w:rsidRDefault="00405BE2">
      <w:pPr>
        <w:pStyle w:val="NormalniLiteratura"/>
      </w:pPr>
      <w:r w:rsidRPr="00405BE2">
        <w:t xml:space="preserve">BOTTASSO, Anna, Maurizio CONTI, Claudio FERRARI a Alessio TEI. Ports and regional development: A spatial analysis on a panel of European regions. </w:t>
      </w:r>
      <w:r w:rsidRPr="00405BE2">
        <w:rPr>
          <w:i/>
          <w:iCs/>
        </w:rPr>
        <w:t>Transportation Research Part A: Policy and Practice</w:t>
      </w:r>
      <w:r w:rsidRPr="00405BE2">
        <w:t xml:space="preserve"> [online]. 2014, 65, 44-55 [cit. 2023-08-15]. ISSN 09658564. Dostupné z: doi:10.1016/j.tra.2014.04.006</w:t>
      </w:r>
    </w:p>
    <w:p w14:paraId="4007A26D" w14:textId="77777777" w:rsidR="00405BE2" w:rsidRDefault="00405BE2">
      <w:pPr>
        <w:pStyle w:val="NormalniLiteratura"/>
      </w:pPr>
    </w:p>
    <w:p w14:paraId="255A7567" w14:textId="77777777" w:rsidR="009D71CC" w:rsidRDefault="00CB7CE8">
      <w:pPr>
        <w:pStyle w:val="NormalniLiteratura"/>
      </w:pPr>
      <w:r>
        <w:t>BUHL, J., J. GAUTRAIS, N. REEVES, R. V. SOLÉ, S. VALVERDE, P. KUNTZ a G. THERAULAZ, 2006. Topological patterns in street networks of self-organized urban settlements. </w:t>
      </w:r>
      <w:r>
        <w:rPr>
          <w:i/>
          <w:iCs/>
        </w:rPr>
        <w:t>The European Physical Journal B - Condensed Matter and Complex Systems</w:t>
      </w:r>
      <w:r>
        <w:t> [online]. </w:t>
      </w:r>
      <w:r>
        <w:rPr>
          <w:b/>
          <w:bCs/>
        </w:rPr>
        <w:t>49</w:t>
      </w:r>
      <w:r>
        <w:t>(4), 513-522 [cit. 2023-05-02]. ISSN 1434-6028. Dostupné z: doi:10.1140/epjb/e2006-00085-1</w:t>
      </w:r>
    </w:p>
    <w:p w14:paraId="1A56AAB7" w14:textId="77777777" w:rsidR="009D71CC" w:rsidRDefault="009D71CC">
      <w:pPr>
        <w:pStyle w:val="NormalniLiteratura"/>
      </w:pPr>
    </w:p>
    <w:p w14:paraId="09DFEE19" w14:textId="77777777" w:rsidR="009D71CC" w:rsidRDefault="00CB7CE8">
      <w:pPr>
        <w:pStyle w:val="NormalniLiteratura"/>
      </w:pPr>
      <w:r>
        <w:t xml:space="preserve">BURGER, M.J., B. DE GOEI, L. VAN DER LAAN a F.J.M. HUISMAN. Heterogeneous development of metropolitan spatial structure: Evidence from commuting patterns in English and Welsh city-regions, 1981–2001. </w:t>
      </w:r>
      <w:r>
        <w:rPr>
          <w:i/>
          <w:iCs/>
        </w:rPr>
        <w:t>Cities</w:t>
      </w:r>
      <w:r>
        <w:t xml:space="preserve"> [online]. 2011, 28(2), 160-170 [cit. 2023-05-02]. ISSN 02642751. Dostupné z: doi:10.1016/j.cities.2010.11.006</w:t>
      </w:r>
    </w:p>
    <w:p w14:paraId="6EBDF0B9" w14:textId="77777777" w:rsidR="009D71CC" w:rsidRDefault="009D71CC">
      <w:pPr>
        <w:pStyle w:val="NormalniLiteratura"/>
      </w:pPr>
    </w:p>
    <w:p w14:paraId="07C8D987" w14:textId="77777777" w:rsidR="009D71CC" w:rsidRDefault="00CB7CE8">
      <w:pPr>
        <w:pStyle w:val="NormalniLiteratura"/>
      </w:pPr>
      <w:r>
        <w:t xml:space="preserve">MILLER, BYRON, 2006. Castells' The City and the Grassroots: 1983 and Today. </w:t>
      </w:r>
      <w:r>
        <w:rPr>
          <w:i/>
          <w:iCs/>
        </w:rPr>
        <w:t>International Journal of Urban and Regional Research</w:t>
      </w:r>
      <w:r>
        <w:t xml:space="preserve"> [online]. 30(1), 207-211 [cit. 2023-05-02]. ISSN 0309-1317. Dostupné z: doi:10.1111/j.1468-2427.2006.00653.x</w:t>
      </w:r>
    </w:p>
    <w:p w14:paraId="3F4DCE4F" w14:textId="77777777" w:rsidR="009D71CC" w:rsidRDefault="009D71CC">
      <w:pPr>
        <w:pStyle w:val="NormalniLiteratura"/>
      </w:pPr>
    </w:p>
    <w:p w14:paraId="26F0845E" w14:textId="77777777" w:rsidR="009D71CC" w:rsidRDefault="00CB7CE8">
      <w:pPr>
        <w:pStyle w:val="NormalniLiteratura"/>
      </w:pPr>
      <w:r>
        <w:lastRenderedPageBreak/>
        <w:t xml:space="preserve">CAMAGNI, Roberto P., 1993. From City Hierarchy to City Network: Reflections about an Emerging Paradigm. In: LAKSHMANAN, T. R. a Peter NIJKAMP, ed. </w:t>
      </w:r>
      <w:r>
        <w:rPr>
          <w:i/>
          <w:iCs/>
        </w:rPr>
        <w:t xml:space="preserve">Structure and Change in the Space Economy </w:t>
      </w:r>
      <w:r>
        <w:t>[online]. Berlin, Heidelberg: Springer Berlin Heidelberg, 1993, s. 66-87 [cit. 2023-05-02]. ISBN 978-3-642-78096-7. Dostupné z: doi:10.1007/978-3-642-78094-3_6</w:t>
      </w:r>
    </w:p>
    <w:p w14:paraId="7412D18D" w14:textId="77777777" w:rsidR="009D71CC" w:rsidRDefault="009D71CC">
      <w:pPr>
        <w:pStyle w:val="NormalniLiteratura"/>
      </w:pPr>
    </w:p>
    <w:p w14:paraId="10FE1266" w14:textId="77777777" w:rsidR="009D71CC" w:rsidRDefault="00CB7CE8">
      <w:pPr>
        <w:pStyle w:val="NormalniLiteratura"/>
      </w:pPr>
      <w:r>
        <w:t xml:space="preserve">CASTELLS, M. 2007. </w:t>
      </w:r>
      <w:r>
        <w:rPr>
          <w:i/>
          <w:iCs/>
        </w:rPr>
        <w:t>Communication, Power and Counter-Power in the Network Society</w:t>
      </w:r>
      <w:r>
        <w:t>. International Journal of Communication, 1, 238-266.</w:t>
      </w:r>
    </w:p>
    <w:p w14:paraId="04E3D0EC" w14:textId="77777777" w:rsidR="007D3A72" w:rsidRDefault="007D3A72">
      <w:pPr>
        <w:pStyle w:val="NormalniLiteratura"/>
      </w:pPr>
    </w:p>
    <w:p w14:paraId="6EE7C333" w14:textId="285C421B" w:rsidR="00CA72E8" w:rsidRPr="00CA72E8" w:rsidRDefault="005F1911">
      <w:pPr>
        <w:pStyle w:val="NormalniLiteratura"/>
        <w:rPr>
          <w:color w:val="0000FF"/>
          <w:u w:val="single"/>
        </w:rPr>
      </w:pPr>
      <w:r>
        <w:t>Catalunia</w:t>
      </w:r>
      <w:r w:rsidR="00CA72E8">
        <w:t>,</w:t>
      </w:r>
      <w:r w:rsidR="00CA72E8" w:rsidRPr="00F76C49">
        <w:t xml:space="preserve"> </w:t>
      </w:r>
      <w:r>
        <w:rPr>
          <w:i/>
          <w:iCs/>
        </w:rPr>
        <w:t>C</w:t>
      </w:r>
      <w:r w:rsidRPr="005F1911">
        <w:rPr>
          <w:i/>
          <w:iCs/>
        </w:rPr>
        <w:t xml:space="preserve">atalonia's powerful industrial base </w:t>
      </w:r>
      <w:r w:rsidR="00CA72E8">
        <w:t>[online]. 2023, Dostupné z: </w:t>
      </w:r>
      <w:r w:rsidRPr="005F1911">
        <w:t>https://catalonia.com/why-catalonia/industrial-ecosystem</w:t>
      </w:r>
    </w:p>
    <w:p w14:paraId="2DE40733" w14:textId="77777777" w:rsidR="00CA72E8" w:rsidRDefault="00CA72E8">
      <w:pPr>
        <w:pStyle w:val="NormalniLiteratura"/>
      </w:pPr>
    </w:p>
    <w:p w14:paraId="7E149669" w14:textId="69E77105" w:rsidR="009D71CC" w:rsidRDefault="007D3A72">
      <w:pPr>
        <w:pStyle w:val="NormalniLiteratura"/>
      </w:pPr>
      <w:r w:rsidRPr="007D3A72">
        <w:t xml:space="preserve">CHRISTIANSEN, Marielle, Kjetil FAGERHOLT, Bjørn NYGREEN a David RONEN. Chapter 4 Maritime Transportation. In: </w:t>
      </w:r>
      <w:r w:rsidRPr="00CB0E6F">
        <w:rPr>
          <w:i/>
          <w:iCs/>
        </w:rPr>
        <w:t>Transportation</w:t>
      </w:r>
      <w:r w:rsidRPr="007D3A72">
        <w:t xml:space="preserve"> [online]. Elsevier, 2007, s. 189-284 [cit. 2023-08-14]. Handbooks in Operations Research and Management Science. ISBN 9780444513465. Dostupné z: doi:10.1016/S0927-0507(06)14004-9</w:t>
      </w:r>
    </w:p>
    <w:p w14:paraId="76DB45A8" w14:textId="77777777" w:rsidR="009D71CC" w:rsidRDefault="009D71CC">
      <w:pPr>
        <w:pStyle w:val="NormalniLiteratura"/>
      </w:pPr>
    </w:p>
    <w:p w14:paraId="1CD6211F" w14:textId="134781B6" w:rsidR="00647BD2" w:rsidRDefault="00647BD2">
      <w:pPr>
        <w:pStyle w:val="NormalniLiteratura"/>
      </w:pPr>
      <w:r w:rsidRPr="00647BD2">
        <w:t xml:space="preserve">CONG, Long-ze, Dong ZHANG, Ming-li WANG, Hong-feng XU a Li LI. The role of ports in the economic development of port cities: Panel evidence from China. </w:t>
      </w:r>
      <w:r w:rsidRPr="00647BD2">
        <w:rPr>
          <w:i/>
          <w:iCs/>
        </w:rPr>
        <w:t>Transport Policy</w:t>
      </w:r>
      <w:r w:rsidRPr="00647BD2">
        <w:t xml:space="preserve"> [online]. 2020, 90, 13-21 [cit. 2023-08-15]. ISSN 0967070X. Dostupné z: doi:10.1016/j.tranpol.2020.02.003</w:t>
      </w:r>
    </w:p>
    <w:p w14:paraId="5833C4F8" w14:textId="77777777" w:rsidR="00647BD2" w:rsidRDefault="00647BD2">
      <w:pPr>
        <w:pStyle w:val="NormalniLiteratura"/>
      </w:pPr>
    </w:p>
    <w:p w14:paraId="550C46A0" w14:textId="77777777" w:rsidR="009D71CC" w:rsidRDefault="00CB7CE8">
      <w:pPr>
        <w:pStyle w:val="NormalniLiteratura"/>
      </w:pPr>
      <w:r>
        <w:t xml:space="preserve">COOKE, Philip a Kevin MORGAN, 1998. </w:t>
      </w:r>
      <w:r>
        <w:rPr>
          <w:i/>
          <w:iCs/>
        </w:rPr>
        <w:t>The Associational Economy</w:t>
      </w:r>
      <w:r>
        <w:t xml:space="preserve"> [online]. Oxford University Press [cit. 2023-05-02]. ISBN 9780198290186. Dostupné z: doi:10.1093/acprof:oso/9780198290186.001.0001</w:t>
      </w:r>
    </w:p>
    <w:p w14:paraId="52FE470F" w14:textId="77777777" w:rsidR="009D71CC" w:rsidRDefault="009D71CC">
      <w:pPr>
        <w:pStyle w:val="NormalniLiteratura"/>
      </w:pPr>
    </w:p>
    <w:p w14:paraId="69B8FA25" w14:textId="06052AB6" w:rsidR="00835197" w:rsidRDefault="00835197">
      <w:pPr>
        <w:pStyle w:val="NormalniLiteratura"/>
      </w:pPr>
      <w:r w:rsidRPr="00835197">
        <w:t xml:space="preserve">DE MONTIS, Andrea, Amedeo GANCIU, Matteo CABRAS, Antonietta BARDI a Maurizio MULAS. Comparative ecological network analysis: An application to Italy. </w:t>
      </w:r>
      <w:r w:rsidRPr="00835197">
        <w:rPr>
          <w:i/>
          <w:iCs/>
        </w:rPr>
        <w:t>Land Use Policy</w:t>
      </w:r>
      <w:r w:rsidRPr="00835197">
        <w:t xml:space="preserve"> [online]. 2019, 81, 714-724 [cit. 2023-08-15]. ISSN 02648377. Dostupné z: doi:10.1016/j.landusepol.2018.11.043</w:t>
      </w:r>
    </w:p>
    <w:p w14:paraId="44F7324D" w14:textId="77777777" w:rsidR="00835197" w:rsidRDefault="00835197">
      <w:pPr>
        <w:pStyle w:val="NormalniLiteratura"/>
      </w:pPr>
    </w:p>
    <w:p w14:paraId="1D8341FC" w14:textId="40167E6A" w:rsidR="005E3AE2" w:rsidRDefault="005E3AE2">
      <w:pPr>
        <w:pStyle w:val="NormalniLiteratura"/>
      </w:pPr>
      <w:r w:rsidRPr="005E3AE2">
        <w:t>DE NOOY, Wouter, Andrej MRVAR a Vladimir BATAGELJ</w:t>
      </w:r>
      <w:r w:rsidRPr="005E3AE2">
        <w:rPr>
          <w:i/>
          <w:iCs/>
        </w:rPr>
        <w:t>. Exploratory Social Network Analysis with Pajek</w:t>
      </w:r>
      <w:r w:rsidRPr="005E3AE2">
        <w:t xml:space="preserve"> [online]. Cambridge University Press, 2018 [cit. 2023-08-15]. ISBN 9781108565691. Dostupné z: doi:10.1017/9781108565691</w:t>
      </w:r>
    </w:p>
    <w:p w14:paraId="252498E6" w14:textId="77777777" w:rsidR="005E3AE2" w:rsidRDefault="005E3AE2">
      <w:pPr>
        <w:pStyle w:val="NormalniLiteratura"/>
      </w:pPr>
    </w:p>
    <w:p w14:paraId="747835F1" w14:textId="2EA9C923" w:rsidR="004A5BD0" w:rsidRPr="004A5BD0" w:rsidRDefault="005512D3">
      <w:pPr>
        <w:pStyle w:val="NormalniLiteratura"/>
        <w:rPr>
          <w:color w:val="0000FF"/>
          <w:u w:val="single"/>
        </w:rPr>
      </w:pPr>
      <w:r>
        <w:t xml:space="preserve">SOUTH CHINE MORNING POST, </w:t>
      </w:r>
      <w:r w:rsidR="00653B41" w:rsidRPr="00653B41">
        <w:rPr>
          <w:i/>
          <w:iCs/>
        </w:rPr>
        <w:t xml:space="preserve">Düsseldorf: Asia’s business gateway to European industries </w:t>
      </w:r>
      <w:r w:rsidR="004A5BD0">
        <w:t>[online]. Dostupné z: </w:t>
      </w:r>
      <w:r w:rsidR="00653B41" w:rsidRPr="00653B41">
        <w:t>https://www.scmp.com/country-reports/country-reports/topics/germany-business-report-april-2019/article/3005187</w:t>
      </w:r>
    </w:p>
    <w:p w14:paraId="01BDF048" w14:textId="77777777" w:rsidR="004A5BD0" w:rsidRDefault="004A5BD0">
      <w:pPr>
        <w:pStyle w:val="NormalniLiteratura"/>
      </w:pPr>
    </w:p>
    <w:p w14:paraId="09969708" w14:textId="6592818C" w:rsidR="00945D17" w:rsidRPr="00945D17" w:rsidRDefault="00F76C49">
      <w:pPr>
        <w:pStyle w:val="NormalniLiteratura"/>
        <w:rPr>
          <w:color w:val="0000FF"/>
          <w:u w:val="single"/>
        </w:rPr>
      </w:pPr>
      <w:r w:rsidRPr="00F76C49">
        <w:t>Eurostat</w:t>
      </w:r>
      <w:r>
        <w:t>,</w:t>
      </w:r>
      <w:r w:rsidRPr="00F76C49">
        <w:t xml:space="preserve"> </w:t>
      </w:r>
      <w:r w:rsidRPr="00F76C49">
        <w:rPr>
          <w:i/>
          <w:iCs/>
        </w:rPr>
        <w:t>Evropské statistiky</w:t>
      </w:r>
      <w:r w:rsidRPr="00F76C49">
        <w:t xml:space="preserve"> </w:t>
      </w:r>
      <w:r w:rsidR="00945D17">
        <w:t xml:space="preserve">[online]. </w:t>
      </w:r>
      <w:r w:rsidR="00480494">
        <w:t xml:space="preserve">2023, </w:t>
      </w:r>
      <w:r w:rsidR="00945D17">
        <w:t>Dostupné z: </w:t>
      </w:r>
      <w:hyperlink r:id="rId40" w:history="1">
        <w:r w:rsidRPr="005A6D89">
          <w:rPr>
            <w:rStyle w:val="Hypertextovodkaz"/>
          </w:rPr>
          <w:t>https://commission.europa.eu/about-european-commission/departments-and-executive-agencies/eurostat-european-statistics_cs</w:t>
        </w:r>
      </w:hyperlink>
      <w:r>
        <w:t xml:space="preserve"> </w:t>
      </w:r>
    </w:p>
    <w:p w14:paraId="5D8D9810" w14:textId="77777777" w:rsidR="00945D17" w:rsidRDefault="00945D17">
      <w:pPr>
        <w:pStyle w:val="NormalniLiteratura"/>
      </w:pPr>
    </w:p>
    <w:p w14:paraId="4FEE9C29" w14:textId="499A657A" w:rsidR="00A15A5B" w:rsidRPr="00A15A5B" w:rsidRDefault="00CB7CE8">
      <w:pPr>
        <w:pStyle w:val="NormalniLiteratura"/>
      </w:pPr>
      <w:r>
        <w:t>FONTANA, Federico, 2017. City Networking in Urban Strategic Planning. In: KARAKITSIOU, Athanasia, Athanasios MIGDALAS, Stamatina Th. RASSIA a Panos M. PARDALOS, ed. </w:t>
      </w:r>
      <w:r>
        <w:rPr>
          <w:i/>
          <w:iCs/>
        </w:rPr>
        <w:t>City Networks</w:t>
      </w:r>
      <w:r>
        <w:t> [online]. Cham: Springer International Publishing, 2017-</w:t>
      </w:r>
      <w:r>
        <w:lastRenderedPageBreak/>
        <w:t>12-06, s. 17-38 [cit. 2023-05-02]. Springer Optimization and Its Applications. ISBN 978-3-319-65336-5. Dostupné z: doi:10.1007/978-3-319-65338-9_2</w:t>
      </w:r>
    </w:p>
    <w:p w14:paraId="544762F1" w14:textId="77777777" w:rsidR="00A15A5B" w:rsidRDefault="00A15A5B">
      <w:pPr>
        <w:pStyle w:val="NormalniLiteratura"/>
      </w:pPr>
    </w:p>
    <w:p w14:paraId="10CD1C94" w14:textId="42E6327E" w:rsidR="00B43884" w:rsidRDefault="00B43884">
      <w:pPr>
        <w:pStyle w:val="NormalniLiteratura"/>
      </w:pPr>
      <w:r w:rsidRPr="00B43884">
        <w:t>FUNKE, Michael a Hao YU. The emergence and spatial distribution of Chinese seaport cities</w:t>
      </w:r>
      <w:r w:rsidRPr="00264519">
        <w:t>. China Economic Review</w:t>
      </w:r>
      <w:r w:rsidRPr="00B43884">
        <w:t xml:space="preserve"> [online]. 2011, 22(2), 196-209 [cit. 2023-08-14]. ISSN 1043951X. Dostupné z: doi:10.1016/j.chieco.2011.01.002</w:t>
      </w:r>
    </w:p>
    <w:p w14:paraId="2A31AEEB" w14:textId="77777777" w:rsidR="00B43884" w:rsidRDefault="00B43884">
      <w:pPr>
        <w:pStyle w:val="NormalniLiteratura"/>
      </w:pPr>
    </w:p>
    <w:p w14:paraId="355E2765" w14:textId="1548B81A" w:rsidR="00A15A5B" w:rsidRDefault="00A15A5B">
      <w:pPr>
        <w:pStyle w:val="NormalniLiteratura"/>
      </w:pPr>
      <w:r w:rsidRPr="00A15A5B">
        <w:t>FREEMAN, Linton C. Centrality in social networks conceptual clarification</w:t>
      </w:r>
      <w:r w:rsidRPr="00A15A5B">
        <w:rPr>
          <w:i/>
          <w:iCs/>
        </w:rPr>
        <w:t>. Social Networks</w:t>
      </w:r>
      <w:r w:rsidRPr="00A15A5B">
        <w:t xml:space="preserve"> [online]. 1978, 1(3), 215-239 [cit. 2023-08-15]. ISSN 03788733. Dostupné z: doi:10.1016/0378-8733(78)90021-7</w:t>
      </w:r>
    </w:p>
    <w:p w14:paraId="1F4B93FE" w14:textId="77777777" w:rsidR="00A15A5B" w:rsidRDefault="00A15A5B">
      <w:pPr>
        <w:pStyle w:val="NormalniLiteratura"/>
      </w:pPr>
    </w:p>
    <w:p w14:paraId="4C70CCA3" w14:textId="6F3ED09B" w:rsidR="00624FA6" w:rsidRDefault="00624FA6">
      <w:pPr>
        <w:pStyle w:val="NormalniLiteratura"/>
      </w:pPr>
      <w:r w:rsidRPr="00624FA6">
        <w:t xml:space="preserve">GROSS, Jonathan L., Jay YELLEN a Ping ZHANG, ed. </w:t>
      </w:r>
      <w:r w:rsidRPr="00624FA6">
        <w:rPr>
          <w:i/>
          <w:iCs/>
        </w:rPr>
        <w:t>Handbook of graph theory</w:t>
      </w:r>
      <w:r w:rsidRPr="00624FA6">
        <w:t>. 2nd ed. Boca Raton, Fla.: CRC Press, c2014, xix, 1610 s. Discrete mathematics and its applications. ISBN 978-1-4398-8018-0.</w:t>
      </w:r>
    </w:p>
    <w:p w14:paraId="7D7876F7" w14:textId="77777777" w:rsidR="00624FA6" w:rsidRDefault="00624FA6">
      <w:pPr>
        <w:pStyle w:val="NormalniLiteratura"/>
      </w:pPr>
    </w:p>
    <w:p w14:paraId="6B87CB49" w14:textId="77777777" w:rsidR="009D71CC" w:rsidRDefault="00CB7CE8">
      <w:pPr>
        <w:pStyle w:val="NormalniLiteratura"/>
      </w:pPr>
      <w:r>
        <w:t xml:space="preserve">JACOBS, A. </w:t>
      </w:r>
      <w:r>
        <w:rPr>
          <w:i/>
          <w:iCs/>
        </w:rPr>
        <w:t>Great streets</w:t>
      </w:r>
      <w:r>
        <w:t>. Cambridge: The MIT Press, 1995. ISBN 9780262600231.</w:t>
      </w:r>
    </w:p>
    <w:p w14:paraId="538E9F50" w14:textId="77777777" w:rsidR="009D71CC" w:rsidRDefault="009D71CC">
      <w:pPr>
        <w:pStyle w:val="NormalniLiteratura"/>
      </w:pPr>
    </w:p>
    <w:p w14:paraId="21829A34" w14:textId="77777777" w:rsidR="009D71CC" w:rsidRDefault="00CB7CE8">
      <w:pPr>
        <w:pStyle w:val="NormalniLiteratura"/>
      </w:pPr>
      <w:r>
        <w:t>CHENG, Jianquan, Luca BERTOLINI, Frank le CLERCQ a Loek KAPOEN, 2013. Understanding urban networks: Comparing a node-, a density- and an accessibility-based view. </w:t>
      </w:r>
      <w:r>
        <w:rPr>
          <w:i/>
          <w:iCs/>
        </w:rPr>
        <w:t>Cities</w:t>
      </w:r>
      <w:r>
        <w:t> [online]. </w:t>
      </w:r>
      <w:r>
        <w:rPr>
          <w:b/>
          <w:bCs/>
        </w:rPr>
        <w:t>31</w:t>
      </w:r>
      <w:r>
        <w:t>, 165-176 [cit. 2023-05-02]. ISSN 02642751. Dostupné z: doi:10.1016/j.cities.2012.04.005</w:t>
      </w:r>
    </w:p>
    <w:p w14:paraId="2A628413" w14:textId="77777777" w:rsidR="009D71CC" w:rsidRDefault="009D71CC">
      <w:pPr>
        <w:pStyle w:val="NormalniLiteratura"/>
      </w:pPr>
    </w:p>
    <w:p w14:paraId="207195CF" w14:textId="77777777" w:rsidR="009D71CC" w:rsidRDefault="00CB7CE8">
      <w:pPr>
        <w:pStyle w:val="NormalniLiteratura"/>
      </w:pPr>
      <w:r>
        <w:t xml:space="preserve">IACONO, Michael, Kevin J. KRIZEK a Ahmed EL-GENEIDY, 2010. Measuring non-motorized accessibility: issues, alternatives, and execution. </w:t>
      </w:r>
      <w:r>
        <w:rPr>
          <w:i/>
          <w:iCs/>
        </w:rPr>
        <w:t>Journal of Transport Geography</w:t>
      </w:r>
      <w:r>
        <w:t xml:space="preserve"> [online]. 18(1), 133-140 [cit. 2023-05-02]. ISSN 09666923. Dostupné z: doi:10.1016/j.jtrangeo.2009.02.002</w:t>
      </w:r>
    </w:p>
    <w:p w14:paraId="408CF5EC" w14:textId="77777777" w:rsidR="009D71CC" w:rsidRDefault="009D71CC">
      <w:pPr>
        <w:pStyle w:val="NormalniLiteratura"/>
      </w:pPr>
    </w:p>
    <w:p w14:paraId="7AC342C3" w14:textId="77777777" w:rsidR="009D71CC" w:rsidRDefault="00CB7CE8">
      <w:pPr>
        <w:pStyle w:val="NormalniLiteratura"/>
      </w:pPr>
      <w:r>
        <w:t>JIANG, Bin a Christophe CLARAMUNT, 2004. Topological Analysis of Urban Street Networks. Environment and Planning B: Planning and Design [online]. 31(1), 151-162 [cit. 2023-05-02]. ISSN 0265-8135. Dostupné z: doi:10.1068/b306</w:t>
      </w:r>
    </w:p>
    <w:p w14:paraId="2FE51F7D" w14:textId="77777777" w:rsidR="009D71CC" w:rsidRDefault="009D71CC">
      <w:pPr>
        <w:pStyle w:val="NormalniLiteratura"/>
      </w:pPr>
    </w:p>
    <w:p w14:paraId="5E5F9AB4" w14:textId="77777777" w:rsidR="0093584E" w:rsidRDefault="00CB7CE8">
      <w:pPr>
        <w:pStyle w:val="NormalniLiteratura"/>
      </w:pPr>
      <w:r>
        <w:t>LÄMMER, 2011. Urban road networks — spatial networks with universal geometric features?. </w:t>
      </w:r>
      <w:r>
        <w:rPr>
          <w:i/>
          <w:iCs/>
        </w:rPr>
        <w:t>The European Physical Journal B</w:t>
      </w:r>
      <w:r>
        <w:t> [online]. </w:t>
      </w:r>
      <w:r>
        <w:rPr>
          <w:b/>
          <w:bCs/>
        </w:rPr>
        <w:t>84</w:t>
      </w:r>
      <w:r>
        <w:t xml:space="preserve">(4), 563-577 [cit. 2023-05-02]. ISSN 1434-6028. Dostupné z: doi:10.1140/epjb/e2011-10889-3DUCRUET, César a </w:t>
      </w:r>
    </w:p>
    <w:p w14:paraId="79C30A83" w14:textId="77777777" w:rsidR="0093584E" w:rsidRDefault="0093584E">
      <w:pPr>
        <w:pStyle w:val="NormalniLiteratura"/>
      </w:pPr>
    </w:p>
    <w:p w14:paraId="03F5C093" w14:textId="14BEE0CE" w:rsidR="009D71CC" w:rsidRDefault="00CB7CE8">
      <w:pPr>
        <w:pStyle w:val="NormalniLiteratura"/>
      </w:pPr>
      <w:r>
        <w:t>Laurent BEAUGUITTE, 2014. Spatial Science and Network Science: Review and Outcomes of a Complex Relationship. </w:t>
      </w:r>
      <w:r>
        <w:rPr>
          <w:i/>
          <w:iCs/>
        </w:rPr>
        <w:t>Networks and Spatial Economics</w:t>
      </w:r>
      <w:r>
        <w:t> [online]. </w:t>
      </w:r>
      <w:r>
        <w:rPr>
          <w:b/>
          <w:bCs/>
        </w:rPr>
        <w:t>14</w:t>
      </w:r>
      <w:r>
        <w:t>(3-4), 297-316 [cit. 2023-05-02]. ISSN 1566-113X. Dostupné z: doi:10.1007/s11067-013-9222-6</w:t>
      </w:r>
    </w:p>
    <w:p w14:paraId="05E989CB" w14:textId="77777777" w:rsidR="009D71CC" w:rsidRDefault="009D71CC">
      <w:pPr>
        <w:pStyle w:val="NormalniLiteratura"/>
      </w:pPr>
    </w:p>
    <w:p w14:paraId="6B57E1AC" w14:textId="77777777" w:rsidR="009D71CC" w:rsidRDefault="00CB7CE8">
      <w:pPr>
        <w:pStyle w:val="NormalniLiteratura"/>
      </w:pPr>
      <w:r>
        <w:t>LEVINSON, David a Ahmed EL-GENEIDY, 2009. The minimum circuity frontier and the journey to work. </w:t>
      </w:r>
      <w:r>
        <w:rPr>
          <w:i/>
          <w:iCs/>
        </w:rPr>
        <w:t>Regional Science and Urban Economics</w:t>
      </w:r>
      <w:r>
        <w:t> [online]. </w:t>
      </w:r>
      <w:r>
        <w:rPr>
          <w:b/>
          <w:bCs/>
        </w:rPr>
        <w:t>39</w:t>
      </w:r>
      <w:r>
        <w:t>(6), 732-738 [cit. 2023-05-02]. ISSN 01660462. Dostupné z: doi:10.1016/j.regsciurbeco.2009.07.003</w:t>
      </w:r>
    </w:p>
    <w:p w14:paraId="257974C7" w14:textId="77777777" w:rsidR="009D71CC" w:rsidRDefault="009D71CC">
      <w:pPr>
        <w:pStyle w:val="NormalniLiteratura"/>
      </w:pPr>
    </w:p>
    <w:p w14:paraId="3F81C258" w14:textId="77777777" w:rsidR="009D71CC" w:rsidRDefault="00CB7CE8">
      <w:pPr>
        <w:pStyle w:val="NormalniLiteratura"/>
      </w:pPr>
      <w:r>
        <w:t>MASUCCI, A. Paolo, Kiril STANILOV, Michael BATTY a César A. HIDALGO, 2013. Limited Urban Growth: London's Street Network Dynamics since the 18th Century. </w:t>
      </w:r>
      <w:r>
        <w:rPr>
          <w:i/>
          <w:iCs/>
        </w:rPr>
        <w:t xml:space="preserve">PLoS </w:t>
      </w:r>
      <w:r>
        <w:rPr>
          <w:i/>
          <w:iCs/>
        </w:rPr>
        <w:lastRenderedPageBreak/>
        <w:t>ONE</w:t>
      </w:r>
      <w:r>
        <w:t> [online]. </w:t>
      </w:r>
      <w:r>
        <w:rPr>
          <w:b/>
          <w:bCs/>
        </w:rPr>
        <w:t>8</w:t>
      </w:r>
      <w:r>
        <w:t>(8) [cit. 2023-05-02]. ISSN 1932-6203. Dostupné z: doi:10.1371/journal.pone.0069469</w:t>
      </w:r>
    </w:p>
    <w:p w14:paraId="700991D1" w14:textId="77777777" w:rsidR="009D71CC" w:rsidRDefault="009D71CC">
      <w:pPr>
        <w:pStyle w:val="NormalniLiteratura"/>
      </w:pPr>
    </w:p>
    <w:p w14:paraId="3A2BF5B0" w14:textId="77777777" w:rsidR="009D71CC" w:rsidRDefault="00CB7CE8">
      <w:pPr>
        <w:pStyle w:val="NormalniLiteratura"/>
      </w:pPr>
      <w:r>
        <w:t xml:space="preserve">MARSHAL, S. </w:t>
      </w:r>
      <w:r>
        <w:rPr>
          <w:i/>
          <w:iCs/>
        </w:rPr>
        <w:t>Streets and patterns</w:t>
      </w:r>
      <w:r>
        <w:t>. New York: Spon Press, 2004. ISBN 9780415317504.</w:t>
      </w:r>
    </w:p>
    <w:p w14:paraId="437D3708" w14:textId="77777777" w:rsidR="009D71CC" w:rsidRDefault="009D71CC">
      <w:pPr>
        <w:pStyle w:val="NormalniLiteratura"/>
      </w:pPr>
    </w:p>
    <w:p w14:paraId="35B4FC6F" w14:textId="77777777" w:rsidR="009D71CC" w:rsidRDefault="00CB7CE8">
      <w:pPr>
        <w:pStyle w:val="NormalniLiteratura"/>
      </w:pPr>
      <w:r>
        <w:t xml:space="preserve">NILSSON, L, GIL, J., 2019. The signature of organic urban growth: degree distribution patterns of the City’s street network structure. In: </w:t>
      </w:r>
      <w:r>
        <w:rPr>
          <w:i/>
          <w:iCs/>
        </w:rPr>
        <w:t>D’Acci L (ed) The mathematics of urban morphology</w:t>
      </w:r>
      <w:r>
        <w:t>.  [online] Springer, Cham, 93–121. [cit. 2023-05-02].  Dostupné z: https://doi.org/10.1007/ 978-3-030-12381-9_5</w:t>
      </w:r>
    </w:p>
    <w:p w14:paraId="7B44EF95" w14:textId="77777777" w:rsidR="009D71CC" w:rsidRDefault="009D71CC">
      <w:pPr>
        <w:pStyle w:val="NormalniLiteratura"/>
      </w:pPr>
    </w:p>
    <w:p w14:paraId="5F5DAC02" w14:textId="2A40907F" w:rsidR="00F42BEC" w:rsidRDefault="00CB7CE8">
      <w:pPr>
        <w:pStyle w:val="NormalniLiteratura"/>
        <w:rPr>
          <w:rStyle w:val="Hypertextovodkaz"/>
        </w:rPr>
      </w:pPr>
      <w:r>
        <w:t>About OpenStreetMap - OpenStreetMap Wiki. </w:t>
      </w:r>
      <w:r>
        <w:rPr>
          <w:i/>
          <w:iCs/>
        </w:rPr>
        <w:t>301 Moved Permanently</w:t>
      </w:r>
      <w:r>
        <w:t> [online]. Dostupné z: </w:t>
      </w:r>
      <w:hyperlink r:id="rId41">
        <w:r>
          <w:rPr>
            <w:rStyle w:val="Hypertextovodkaz"/>
          </w:rPr>
          <w:t>https://wiki.openstreetmap.org/wiki/About_OpenStreetMap</w:t>
        </w:r>
      </w:hyperlink>
    </w:p>
    <w:p w14:paraId="760ECDEF" w14:textId="77777777" w:rsidR="00F42BEC" w:rsidRDefault="00F42BEC">
      <w:pPr>
        <w:pStyle w:val="NormalniLiteratura"/>
        <w:rPr>
          <w:rStyle w:val="Hypertextovodkaz"/>
        </w:rPr>
      </w:pPr>
    </w:p>
    <w:p w14:paraId="48B44F29" w14:textId="293FC50E" w:rsidR="00F42BEC" w:rsidRPr="00F42BEC" w:rsidRDefault="00B836C4">
      <w:pPr>
        <w:pStyle w:val="NormalniLiteratura"/>
      </w:pPr>
      <w:r>
        <w:t>MERKI Olaf</w:t>
      </w:r>
      <w:r w:rsidRPr="00B836C4">
        <w:t>, DUCRUETII</w:t>
      </w:r>
      <w:r>
        <w:t xml:space="preserve"> </w:t>
      </w:r>
      <w:r w:rsidRPr="00B836C4">
        <w:t>César, DUBARLE</w:t>
      </w:r>
      <w:r>
        <w:t xml:space="preserve"> </w:t>
      </w:r>
      <w:r w:rsidRPr="00B836C4">
        <w:t>Patrick, Elvira HAEZENDONCKIII and Michael Dooms</w:t>
      </w:r>
      <w:r>
        <w:t xml:space="preserve">, </w:t>
      </w:r>
      <w:r w:rsidR="007559C1" w:rsidRPr="007559C1">
        <w:t>The Competitiveness of Global Port-Cities: The Case of the Seine Axis (Le Havre, Rouen, Paris, Caen), France</w:t>
      </w:r>
      <w:r w:rsidR="007559C1">
        <w:t xml:space="preserve"> </w:t>
      </w:r>
      <w:r w:rsidR="007559C1" w:rsidRPr="007559C1">
        <w:rPr>
          <w:i/>
          <w:iCs/>
        </w:rPr>
        <w:t xml:space="preserve">OECD Regional Development Working Papers </w:t>
      </w:r>
      <w:r w:rsidR="00F42BEC">
        <w:t>[online]. Dostupné z: </w:t>
      </w:r>
      <w:r w:rsidRPr="00B836C4">
        <w:t>https://doi.org/10.1787/5kg58xppgc0n-en</w:t>
      </w:r>
    </w:p>
    <w:p w14:paraId="352D4BDD" w14:textId="77777777" w:rsidR="009D71CC" w:rsidRDefault="009D71CC">
      <w:pPr>
        <w:pStyle w:val="NormalniLiteratura"/>
      </w:pPr>
    </w:p>
    <w:p w14:paraId="25C431A8" w14:textId="77777777" w:rsidR="009D71CC" w:rsidRDefault="00CB7CE8">
      <w:pPr>
        <w:pStyle w:val="NormalniLiteratura"/>
      </w:pPr>
      <w:r>
        <w:t>PARTHASARATHI, Pavithra, Hartwig HOCHMAIR a David LEVINSON, 2015. Street network structure and household activity spaces. </w:t>
      </w:r>
      <w:r>
        <w:rPr>
          <w:i/>
          <w:iCs/>
        </w:rPr>
        <w:t>Urban Studies</w:t>
      </w:r>
      <w:r>
        <w:t> [online]. </w:t>
      </w:r>
      <w:r>
        <w:rPr>
          <w:b/>
          <w:bCs/>
        </w:rPr>
        <w:t>52</w:t>
      </w:r>
      <w:r>
        <w:t>(6), 1090-1112 [cit. 2023-05-02]. ISSN 0042-0980. Dostupné z: doi:10.1177/0042098014537956</w:t>
      </w:r>
    </w:p>
    <w:p w14:paraId="72B1C1BC" w14:textId="77777777" w:rsidR="009D71CC" w:rsidRDefault="009D71CC">
      <w:pPr>
        <w:pStyle w:val="NormalniLiteratura"/>
      </w:pPr>
    </w:p>
    <w:p w14:paraId="286242FB" w14:textId="77777777" w:rsidR="009D71CC" w:rsidRDefault="00CB7CE8">
      <w:pPr>
        <w:pStyle w:val="NormalniLiteratura"/>
      </w:pPr>
      <w:r>
        <w:t xml:space="preserve">MACCHIAROLA, Frank J. a Saskia SASSEN, 1992. The Global City: New York, London, Tokyo. </w:t>
      </w:r>
      <w:r>
        <w:rPr>
          <w:i/>
          <w:iCs/>
        </w:rPr>
        <w:t>Political Science Quarterly</w:t>
      </w:r>
      <w:r>
        <w:t xml:space="preserve"> [online]. 107(2) [cit. 2023-05-02]. ISSN 00323195. Dostupné z: doi:10.2307/2152688</w:t>
      </w:r>
    </w:p>
    <w:p w14:paraId="5CB0706C" w14:textId="77777777" w:rsidR="009D71CC" w:rsidRDefault="009D71CC">
      <w:pPr>
        <w:pStyle w:val="NormalniLiteratura"/>
      </w:pPr>
    </w:p>
    <w:p w14:paraId="23CBC6D8" w14:textId="78167AC4" w:rsidR="00F34016" w:rsidRDefault="00F34016">
      <w:pPr>
        <w:pStyle w:val="NormalniLiteratura"/>
      </w:pPr>
      <w:r>
        <w:t>NODA</w:t>
      </w:r>
      <w:r w:rsidRPr="00F34016">
        <w:t xml:space="preserve"> H., 1996, “A quantitative analysis on the patterns of street networks using mesh data system”, </w:t>
      </w:r>
      <w:r>
        <w:t>Dostupné z</w:t>
      </w:r>
      <w:r w:rsidRPr="00F34016">
        <w:t xml:space="preserve"> </w:t>
      </w:r>
      <w:r w:rsidRPr="00F34016">
        <w:rPr>
          <w:i/>
          <w:iCs/>
        </w:rPr>
        <w:t>: City Planning Review</w:t>
      </w:r>
      <w:r w:rsidRPr="00F34016">
        <w:t>, Vol.202, 64-72</w:t>
      </w:r>
      <w:r>
        <w:t>.</w:t>
      </w:r>
    </w:p>
    <w:p w14:paraId="2736881A" w14:textId="77777777" w:rsidR="00100D98" w:rsidRDefault="00100D98">
      <w:pPr>
        <w:pStyle w:val="NormalniLiteratura"/>
      </w:pPr>
    </w:p>
    <w:p w14:paraId="6FB1B958" w14:textId="2C76303B" w:rsidR="00100D98" w:rsidRPr="00100D98" w:rsidRDefault="00100D98">
      <w:pPr>
        <w:pStyle w:val="NormalniLiteratura"/>
      </w:pPr>
      <w:r>
        <w:t>OKUNO</w:t>
      </w:r>
      <w:r w:rsidRPr="00100D98">
        <w:t xml:space="preserve"> T., 1977, </w:t>
      </w:r>
      <w:r w:rsidRPr="00100D98">
        <w:rPr>
          <w:i/>
          <w:iCs/>
        </w:rPr>
        <w:t>Keiryochirigaku no kiso</w:t>
      </w:r>
      <w:r w:rsidRPr="00100D98">
        <w:t>, Tokyo, Taimeidou.</w:t>
      </w:r>
    </w:p>
    <w:p w14:paraId="74E04EF1" w14:textId="77777777" w:rsidR="00F34016" w:rsidRDefault="00F34016">
      <w:pPr>
        <w:pStyle w:val="NormalniLiteratura"/>
      </w:pPr>
    </w:p>
    <w:p w14:paraId="77D5C5E2" w14:textId="77777777" w:rsidR="009D71CC" w:rsidRDefault="00CB7CE8">
      <w:pPr>
        <w:pStyle w:val="NormalniLiteratura"/>
      </w:pPr>
      <w:r>
        <w:t>SEVTSUK, Andres, 2018. Analysis and Planning of Urban Networks. In: ALHAJJ, Reda a Jon ROKNE, ed. </w:t>
      </w:r>
      <w:r>
        <w:rPr>
          <w:i/>
          <w:iCs/>
        </w:rPr>
        <w:t>Encyclopedia of Social Network Analysis and Mining</w:t>
      </w:r>
      <w:r>
        <w:t> [online]. New York, NY: Springer New York, 2018-6-12, s. 46-58 [cit. 2023-05-02]. ISBN 978-1-4939-7130-5. Dostupné z: doi:10.1007/978-1-4939-7131-2_43</w:t>
      </w:r>
    </w:p>
    <w:p w14:paraId="5F156975" w14:textId="77777777" w:rsidR="009D71CC" w:rsidRDefault="009D71CC">
      <w:pPr>
        <w:pStyle w:val="NormalniLiteratura"/>
      </w:pPr>
    </w:p>
    <w:p w14:paraId="537B9F2B" w14:textId="77777777" w:rsidR="009D71CC" w:rsidRDefault="00CB7CE8">
      <w:pPr>
        <w:pStyle w:val="NormalniLiteratura"/>
      </w:pPr>
      <w:r>
        <w:t>SCHOTTENHAMMER, Angela, 2014. François Gipouloux, The Asian Mediterranean: Port Cities and Trading Networks in China, Japan and Southeast Asia, 13th-21st Century. </w:t>
      </w:r>
      <w:r>
        <w:rPr>
          <w:i/>
          <w:iCs/>
        </w:rPr>
        <w:t>China Perspectives</w:t>
      </w:r>
      <w:r>
        <w:t> [online]. </w:t>
      </w:r>
      <w:r>
        <w:rPr>
          <w:b/>
          <w:bCs/>
        </w:rPr>
        <w:t>2014</w:t>
      </w:r>
      <w:r>
        <w:t xml:space="preserve">(2), 78-79 [cit. 2023-05-02]. ISSN 2070-3449. Dostupné z: doi:10.4000/chinaperspectives.6492CHAN, S. H. Y., R. V. DONNER a S. </w:t>
      </w:r>
    </w:p>
    <w:p w14:paraId="48962384" w14:textId="77777777" w:rsidR="009D71CC" w:rsidRDefault="009D71CC">
      <w:pPr>
        <w:pStyle w:val="NormalniLiteratura"/>
      </w:pPr>
    </w:p>
    <w:p w14:paraId="42DD5233" w14:textId="77777777" w:rsidR="009D71CC" w:rsidRDefault="00CB7CE8">
      <w:pPr>
        <w:pStyle w:val="NormalniLiteratura"/>
      </w:pPr>
      <w:r>
        <w:t xml:space="preserve">SCOTT, Allen J. (ed.). </w:t>
      </w:r>
      <w:r>
        <w:rPr>
          <w:i/>
          <w:iCs/>
        </w:rPr>
        <w:t>Global city-regions: trends, theory, policy</w:t>
      </w:r>
      <w:r>
        <w:t>. Oxford: Oxford University Press, 2001.</w:t>
      </w:r>
    </w:p>
    <w:p w14:paraId="20171480" w14:textId="77777777" w:rsidR="000A6AAA" w:rsidRDefault="000A6AAA">
      <w:pPr>
        <w:pStyle w:val="NormalniLiteratura"/>
      </w:pPr>
    </w:p>
    <w:p w14:paraId="4EE706D2" w14:textId="51FC6B79" w:rsidR="00051A8A" w:rsidRPr="00051A8A" w:rsidRDefault="002109EA">
      <w:pPr>
        <w:pStyle w:val="NormalniLiteratura"/>
        <w:rPr>
          <w:color w:val="0000FF"/>
          <w:u w:val="single"/>
        </w:rPr>
      </w:pPr>
      <w:r w:rsidRPr="002109EA">
        <w:rPr>
          <w:i/>
          <w:iCs/>
        </w:rPr>
        <w:t>Top 5 European Ports by Size and Activity in 2022</w:t>
      </w:r>
      <w:r w:rsidRPr="002109EA">
        <w:t xml:space="preserve"> </w:t>
      </w:r>
      <w:r w:rsidR="00051A8A">
        <w:t>[online]. Dostupné z: </w:t>
      </w:r>
      <w:r w:rsidRPr="002109EA">
        <w:t>https://blog.shipsgo.com/european-ports-information/</w:t>
      </w:r>
    </w:p>
    <w:p w14:paraId="0DD28503" w14:textId="77777777" w:rsidR="00051A8A" w:rsidRDefault="00051A8A">
      <w:pPr>
        <w:pStyle w:val="NormalniLiteratura"/>
      </w:pPr>
    </w:p>
    <w:p w14:paraId="5DEF415D" w14:textId="6B92613E" w:rsidR="000A6AAA" w:rsidRDefault="000A6AAA">
      <w:pPr>
        <w:pStyle w:val="NormalniLiteratura"/>
      </w:pPr>
      <w:r w:rsidRPr="000A6AAA">
        <w:t xml:space="preserve">SMITH, Michael E. Form and Meaning in the Earliest Cities: A New Approach to Ancient Urban Planning. </w:t>
      </w:r>
      <w:r w:rsidRPr="000A6AAA">
        <w:rPr>
          <w:i/>
          <w:iCs/>
        </w:rPr>
        <w:t>Journal of Planning History</w:t>
      </w:r>
      <w:r w:rsidRPr="000A6AAA">
        <w:t xml:space="preserve"> [online]. 2007, 6(1), 3-47 [cit. 2023-08-15]. ISSN 1538-5132. Dostupné z: doi:10.1177/1538513206293713</w:t>
      </w:r>
    </w:p>
    <w:p w14:paraId="3FA740CD" w14:textId="77777777" w:rsidR="009D71CC" w:rsidRDefault="009D71CC">
      <w:pPr>
        <w:pStyle w:val="NormalniLiteratura"/>
      </w:pPr>
    </w:p>
    <w:p w14:paraId="0E6DBCE3" w14:textId="77777777" w:rsidR="009D71CC" w:rsidRDefault="00CB7CE8">
      <w:pPr>
        <w:pStyle w:val="NormalniLiteratura"/>
      </w:pPr>
      <w:r>
        <w:t xml:space="preserve">TAYLOR, Peter a Ben DERUDDER, 2004. </w:t>
      </w:r>
      <w:r>
        <w:rPr>
          <w:i/>
          <w:iCs/>
        </w:rPr>
        <w:t>World City Network</w:t>
      </w:r>
      <w:r>
        <w:t xml:space="preserve"> [online]. Routledge [cit. 2023-05-02]. ISBN 9781134415007. Dostupné z: doi:10.4324/9780203634059</w:t>
      </w:r>
    </w:p>
    <w:p w14:paraId="22F3FDB9" w14:textId="77777777" w:rsidR="009D71CC" w:rsidRDefault="009D71CC">
      <w:pPr>
        <w:pStyle w:val="NormalniLiteratura"/>
      </w:pPr>
    </w:p>
    <w:p w14:paraId="055970F6" w14:textId="77777777" w:rsidR="009D71CC" w:rsidRDefault="00CB7CE8">
      <w:pPr>
        <w:pStyle w:val="NormalniLiteratura"/>
      </w:pPr>
      <w:r>
        <w:t>TSIOTAS, Dimitrios a Serafeim POLYZOS, 2018. The Complexity in the Study of Spatial Networks: an Epistemological Approach. </w:t>
      </w:r>
      <w:r>
        <w:rPr>
          <w:i/>
          <w:iCs/>
        </w:rPr>
        <w:t>Networks and Spatial Economics</w:t>
      </w:r>
      <w:r>
        <w:t> [online]. </w:t>
      </w:r>
      <w:r>
        <w:rPr>
          <w:b/>
          <w:bCs/>
        </w:rPr>
        <w:t>18</w:t>
      </w:r>
      <w:r>
        <w:t>(1), 1-32 [cit. 2023-05-02]. ISSN 1566-113X. Dostupné z: doi:10.1007/s11067-017-9354-1</w:t>
      </w:r>
    </w:p>
    <w:p w14:paraId="534F3D2C" w14:textId="77777777" w:rsidR="009D71CC" w:rsidRDefault="009D71CC">
      <w:pPr>
        <w:pStyle w:val="NormalniLiteratura"/>
      </w:pPr>
    </w:p>
    <w:p w14:paraId="21EA967B" w14:textId="77777777" w:rsidR="009D71CC" w:rsidRDefault="00CB7CE8">
      <w:pPr>
        <w:pStyle w:val="NormalniLiteratura"/>
      </w:pPr>
      <w:r>
        <w:t>WANG, Jiaqiu a Daqing LI, 2015. Resilience of Self-Organised and Top-Down Planned Cities—</w:t>
      </w:r>
      <w:r>
        <w:rPr>
          <w:i/>
          <w:iCs/>
        </w:rPr>
        <w:t>A Case Study on London and Beijing Street Networks</w:t>
      </w:r>
      <w:r>
        <w:t>. </w:t>
      </w:r>
      <w:r>
        <w:rPr>
          <w:i/>
          <w:iCs/>
        </w:rPr>
        <w:t>PLOS ONE</w:t>
      </w:r>
      <w:r>
        <w:t> [online]. </w:t>
      </w:r>
      <w:r>
        <w:rPr>
          <w:b/>
          <w:bCs/>
        </w:rPr>
        <w:t>10</w:t>
      </w:r>
      <w:r>
        <w:t>(12) [cit. 2023-05-02]. ISSN 1932-6203. Dostupné z: doi:10.1371/journal.pone.0141736</w:t>
      </w:r>
    </w:p>
    <w:p w14:paraId="3F9BA9D3" w14:textId="77777777" w:rsidR="009D71CC" w:rsidRDefault="009D71CC">
      <w:pPr>
        <w:pStyle w:val="NormalniLiteratura"/>
      </w:pPr>
    </w:p>
    <w:p w14:paraId="641AC7F5" w14:textId="77777777" w:rsidR="006278A4" w:rsidRDefault="00CB7CE8">
      <w:pPr>
        <w:pStyle w:val="NormalniLiteratura"/>
      </w:pPr>
      <w:r>
        <w:t xml:space="preserve">PFLIEGER, Géraldine a Céline ROZENBLAT, 2010. Introduction. Urban Networks and Network Theory: The City as the Connector of Multiple Networks. </w:t>
      </w:r>
      <w:r>
        <w:rPr>
          <w:i/>
          <w:iCs/>
        </w:rPr>
        <w:t>Urban Studies</w:t>
      </w:r>
      <w:r>
        <w:t xml:space="preserve"> [online]. 47(13), 2723-2735 [cit. 2023-05-02]. ISSN 0042-0980. Dostupné z: doi:10.1177/0042098010377368</w:t>
      </w:r>
    </w:p>
    <w:p w14:paraId="2E773688" w14:textId="77777777" w:rsidR="006278A4" w:rsidRDefault="006278A4">
      <w:pPr>
        <w:pStyle w:val="NormalniLiteratura"/>
      </w:pPr>
    </w:p>
    <w:p w14:paraId="45EE25FA" w14:textId="3284DC0E" w:rsidR="00355806" w:rsidRDefault="00355806">
      <w:pPr>
        <w:pStyle w:val="NormalniLiteratura"/>
      </w:pPr>
      <w:r w:rsidRPr="00355806">
        <w:t xml:space="preserve">REN, Chao, Edward Yan-yung NG a Lutz KATZSCHNER. Urban climatic map studies: a review. </w:t>
      </w:r>
      <w:r w:rsidRPr="00355806">
        <w:rPr>
          <w:i/>
          <w:iCs/>
        </w:rPr>
        <w:t>International Journal of Climatology</w:t>
      </w:r>
      <w:r w:rsidRPr="00355806">
        <w:t xml:space="preserve"> [online]. 2011, 31(15), 2213-2233 [cit. 2023-08-15]. ISSN 08998418. Dostupné z: doi:10.1002/joc.2237</w:t>
      </w:r>
    </w:p>
    <w:p w14:paraId="49CFB419" w14:textId="77777777" w:rsidR="00355806" w:rsidRDefault="00355806">
      <w:pPr>
        <w:pStyle w:val="NormalniLiteratura"/>
      </w:pPr>
    </w:p>
    <w:p w14:paraId="5B57C9C4" w14:textId="77777777" w:rsidR="00D5131D" w:rsidRDefault="006278A4">
      <w:pPr>
        <w:pStyle w:val="NormalniLiteratura"/>
      </w:pPr>
      <w:r w:rsidRPr="006278A4">
        <w:t xml:space="preserve">RODRIGUE, Jean-Paul. </w:t>
      </w:r>
      <w:r w:rsidRPr="00BB5377">
        <w:rPr>
          <w:i/>
          <w:iCs/>
        </w:rPr>
        <w:t>The Geography of Transport Systems</w:t>
      </w:r>
      <w:r w:rsidRPr="006278A4">
        <w:t xml:space="preserve"> [online]. Fifth edition. | Abingdon, Oxon ; New York, NY: Routledge: Routledge, 2020 [cit. 2023-08-14]. ISBN 9780429346323. Dostupné z: doi:10.4324/9780429346323</w:t>
      </w:r>
    </w:p>
    <w:p w14:paraId="3BA02401" w14:textId="77777777" w:rsidR="00D5131D" w:rsidRDefault="00D5131D">
      <w:pPr>
        <w:pStyle w:val="NormalniLiteratura"/>
      </w:pPr>
    </w:p>
    <w:p w14:paraId="51CEE5E2" w14:textId="7E572574" w:rsidR="009D71CC" w:rsidRDefault="00D5131D">
      <w:pPr>
        <w:pStyle w:val="NormalniLiteratura"/>
      </w:pPr>
      <w:r w:rsidRPr="00D5131D">
        <w:t xml:space="preserve">NEAL, Zachary, Ben DERUDDER a Xingjian LIU. Using urban networks to gain new insight into old questions: Community, economy, bureaucracy. </w:t>
      </w:r>
      <w:r w:rsidRPr="00D5131D">
        <w:rPr>
          <w:i/>
          <w:iCs/>
        </w:rPr>
        <w:t>Journal of Urban Affairs</w:t>
      </w:r>
      <w:r w:rsidRPr="00D5131D">
        <w:t xml:space="preserve"> [online]. 2021, 2021-01-02, 43(1), 2-15 [cit. 2023-08-15]. ISSN 0735-2166. Dostupné z: doi:10.1080/07352166.2020.1770606</w:t>
      </w:r>
      <w:r w:rsidR="00CB7CE8">
        <w:br w:type="page"/>
      </w:r>
    </w:p>
    <w:p w14:paraId="0955EDF7" w14:textId="77777777" w:rsidR="009D71CC" w:rsidRDefault="009D71CC">
      <w:pPr>
        <w:pStyle w:val="NormlnOdstavec"/>
      </w:pPr>
    </w:p>
    <w:p w14:paraId="4096CE8F" w14:textId="77777777" w:rsidR="009D71CC" w:rsidRDefault="009D71CC">
      <w:pPr>
        <w:pStyle w:val="NormlnOdstavec"/>
      </w:pPr>
    </w:p>
    <w:p w14:paraId="747F15C5" w14:textId="77777777" w:rsidR="009D71CC" w:rsidRDefault="009D71CC">
      <w:pPr>
        <w:pStyle w:val="NormlnOdstavec"/>
      </w:pPr>
    </w:p>
    <w:p w14:paraId="4A730DE4" w14:textId="77777777" w:rsidR="009D71CC" w:rsidRDefault="009D71CC">
      <w:pPr>
        <w:pStyle w:val="NormlnOdstavec"/>
      </w:pPr>
    </w:p>
    <w:p w14:paraId="3AE8D040" w14:textId="77777777" w:rsidR="009D71CC" w:rsidRDefault="009D71CC">
      <w:pPr>
        <w:pStyle w:val="NormlnOdstavec"/>
      </w:pPr>
    </w:p>
    <w:p w14:paraId="1089FAB9" w14:textId="77777777" w:rsidR="009D71CC" w:rsidRDefault="009D71CC">
      <w:pPr>
        <w:pStyle w:val="NormlnOdstavec"/>
      </w:pPr>
    </w:p>
    <w:p w14:paraId="18644C06" w14:textId="77777777" w:rsidR="009D71CC" w:rsidRDefault="009D71CC">
      <w:pPr>
        <w:pStyle w:val="NormlnOdstavec"/>
      </w:pPr>
    </w:p>
    <w:p w14:paraId="5AC53A3A" w14:textId="77777777" w:rsidR="009D71CC" w:rsidRDefault="009D71CC">
      <w:pPr>
        <w:pStyle w:val="NormlnOdstavec"/>
      </w:pPr>
    </w:p>
    <w:p w14:paraId="5B5797D0" w14:textId="77777777" w:rsidR="009D71CC" w:rsidRDefault="009D71CC">
      <w:pPr>
        <w:pStyle w:val="NormlnOdstavec"/>
      </w:pPr>
    </w:p>
    <w:p w14:paraId="4A67F11C" w14:textId="77777777" w:rsidR="009D71CC" w:rsidRDefault="009D71CC">
      <w:pPr>
        <w:pStyle w:val="NormlnOdstavec"/>
      </w:pPr>
    </w:p>
    <w:p w14:paraId="1099A441" w14:textId="77777777" w:rsidR="009D71CC" w:rsidRDefault="009D71CC">
      <w:pPr>
        <w:pStyle w:val="NormlnOdstavec"/>
      </w:pPr>
    </w:p>
    <w:p w14:paraId="713F065C" w14:textId="77777777" w:rsidR="009D71CC" w:rsidRDefault="009D71CC">
      <w:pPr>
        <w:pStyle w:val="NormlnOdstavec"/>
      </w:pPr>
    </w:p>
    <w:p w14:paraId="19E3F2D5" w14:textId="77777777" w:rsidR="009D71CC" w:rsidRDefault="00CB7CE8">
      <w:pPr>
        <w:pStyle w:val="TitulDPPrilohy"/>
      </w:pPr>
      <w:r>
        <w:t>Přílohy</w:t>
      </w:r>
    </w:p>
    <w:p w14:paraId="58E78F26" w14:textId="77777777" w:rsidR="009D71CC" w:rsidRDefault="009D71CC"/>
    <w:p w14:paraId="466B805E" w14:textId="77777777" w:rsidR="009D71CC" w:rsidRDefault="00CB7CE8">
      <w:pPr>
        <w:spacing w:before="0" w:after="0" w:line="240" w:lineRule="auto"/>
        <w:jc w:val="left"/>
      </w:pPr>
      <w:r>
        <w:br w:type="page"/>
      </w:r>
    </w:p>
    <w:p w14:paraId="25286EA4" w14:textId="77777777" w:rsidR="009D71CC" w:rsidRDefault="00CB7CE8">
      <w:pPr>
        <w:pStyle w:val="ObsahUvodSeznamy"/>
      </w:pPr>
      <w:r>
        <w:lastRenderedPageBreak/>
        <w:t xml:space="preserve">Seznam příloh </w:t>
      </w:r>
    </w:p>
    <w:p w14:paraId="1B2950EA" w14:textId="77777777" w:rsidR="009D71CC" w:rsidRDefault="00CB7CE8">
      <w:pPr>
        <w:pStyle w:val="Nadpis4"/>
      </w:pPr>
      <w:r>
        <w:t>Vázané přílohy:</w:t>
      </w:r>
    </w:p>
    <w:p w14:paraId="1B11D17D" w14:textId="77777777" w:rsidR="009D71CC" w:rsidRDefault="00CB7CE8">
      <w:r>
        <w:t>Příloha 1     Tabulka zvolených souřadnicových systémů</w:t>
      </w:r>
    </w:p>
    <w:p w14:paraId="159E6FE5" w14:textId="77777777" w:rsidR="009D71CC" w:rsidRDefault="00CB7CE8">
      <w:r>
        <w:t>Příloha 2     Procentuální zastoupení vrstvy Industrial&amp;Commercial ve městě.</w:t>
      </w:r>
    </w:p>
    <w:p w14:paraId="7A37629A" w14:textId="77777777" w:rsidR="009D71CC" w:rsidRDefault="00CB7CE8">
      <w:r>
        <w:t>Příloha 3     Procentuální zastoupení vrstvy High density ve městě.</w:t>
      </w:r>
    </w:p>
    <w:p w14:paraId="38C5A3D7" w14:textId="0DA6A7EF" w:rsidR="00384ED0" w:rsidRDefault="00CB7CE8">
      <w:r>
        <w:t>Příloha 4     Průměrná hodnota stupně nodu ve městě.</w:t>
      </w:r>
    </w:p>
    <w:p w14:paraId="7635A8E8" w14:textId="26AE2247" w:rsidR="00210C6A" w:rsidRDefault="00210C6A">
      <w:r>
        <w:t>Příloha 7     Průměrná hodnota stupně nodu ve městě.</w:t>
      </w:r>
    </w:p>
    <w:p w14:paraId="24FB86A9" w14:textId="3AA0F870" w:rsidR="00210C6A" w:rsidRDefault="00210C6A">
      <w:r>
        <w:t>Příloha 8     Průměrná hodnota stupně nodu ve městě.</w:t>
      </w:r>
    </w:p>
    <w:p w14:paraId="365C338F" w14:textId="42D32586" w:rsidR="00384ED0" w:rsidRDefault="00384ED0" w:rsidP="00384ED0">
      <w:r>
        <w:t>Příloha</w:t>
      </w:r>
      <w:r w:rsidR="00A15F4A">
        <w:t xml:space="preserve"> </w:t>
      </w:r>
      <w:r w:rsidR="00210C6A">
        <w:t>9</w:t>
      </w:r>
      <w:r>
        <w:t xml:space="preserve">     Storymapa</w:t>
      </w:r>
      <w:r w:rsidR="00A15F4A">
        <w:t>:</w:t>
      </w:r>
      <w:r>
        <w:t xml:space="preserve"> </w:t>
      </w:r>
      <w:r w:rsidR="00A15F4A" w:rsidRPr="00A15F4A">
        <w:t>Města s radiálním tvarem urbánních sítí</w:t>
      </w:r>
    </w:p>
    <w:p w14:paraId="2AC14F91" w14:textId="08FFA60B" w:rsidR="00303B0E" w:rsidRDefault="00303B0E" w:rsidP="00303B0E">
      <w:r>
        <w:t xml:space="preserve">Příloha </w:t>
      </w:r>
      <w:r w:rsidR="00210C6A">
        <w:t>10</w:t>
      </w:r>
      <w:r>
        <w:t xml:space="preserve">    Storymapa: </w:t>
      </w:r>
      <w:r w:rsidRPr="00A15F4A">
        <w:t>Města s</w:t>
      </w:r>
      <w:r>
        <w:t> podlouhl</w:t>
      </w:r>
      <w:r w:rsidR="009A0A03">
        <w:t>ým</w:t>
      </w:r>
      <w:r w:rsidRPr="00A15F4A">
        <w:t xml:space="preserve"> tvarem urbánních sítí</w:t>
      </w:r>
    </w:p>
    <w:p w14:paraId="5B56C49B" w14:textId="4194EAC7" w:rsidR="00303B0E" w:rsidRDefault="00303B0E" w:rsidP="00384ED0">
      <w:r>
        <w:t xml:space="preserve">Příloha </w:t>
      </w:r>
      <w:r w:rsidR="00210C6A">
        <w:t>11</w:t>
      </w:r>
      <w:r>
        <w:t xml:space="preserve">    Storymapa: </w:t>
      </w:r>
      <w:r w:rsidR="009A0A03">
        <w:t>Ostatní města</w:t>
      </w:r>
    </w:p>
    <w:p w14:paraId="12B0823A" w14:textId="2CF1569F" w:rsidR="00771A12" w:rsidRPr="000A6E63" w:rsidRDefault="00771A12" w:rsidP="000A6E63">
      <w:r w:rsidRPr="000A6E63">
        <w:t>Příloha 12</w:t>
      </w:r>
      <w:r w:rsidR="00E81005" w:rsidRPr="000A6E63">
        <w:t xml:space="preserve"> </w:t>
      </w:r>
      <w:r w:rsidRPr="000A6E63">
        <w:t>Dendogram podobnosti měst na základě ploch dostupnosti autobusové dopravy</w:t>
      </w:r>
    </w:p>
    <w:p w14:paraId="61733FE4" w14:textId="77777777" w:rsidR="000A6E63" w:rsidRPr="000A6E63" w:rsidRDefault="000A6E63" w:rsidP="000A6E63">
      <w:r w:rsidRPr="000A6E63">
        <w:t>Příloha 13</w:t>
      </w:r>
      <w:r w:rsidRPr="000A6E63">
        <w:tab/>
        <w:t>Dendogram podobnosti měst na základě tvaru budov a města</w:t>
      </w:r>
    </w:p>
    <w:p w14:paraId="175E0885" w14:textId="799CA82B" w:rsidR="00771A12" w:rsidRPr="000A6E63" w:rsidRDefault="000A6E63" w:rsidP="00384ED0">
      <w:r w:rsidRPr="000A6E63">
        <w:t>Příloha 14</w:t>
      </w:r>
      <w:r w:rsidRPr="000A6E63">
        <w:tab/>
        <w:t>Dendogram podobnosti měst na základě vrstev Urban Atlasu</w:t>
      </w:r>
    </w:p>
    <w:p w14:paraId="4ABF052C" w14:textId="77777777" w:rsidR="009D71CC" w:rsidRDefault="009D71CC"/>
    <w:p w14:paraId="1D36478C" w14:textId="77777777" w:rsidR="009D71CC" w:rsidRDefault="009D71CC"/>
    <w:p w14:paraId="4663822D" w14:textId="77777777" w:rsidR="009D71CC" w:rsidRDefault="009D71CC">
      <w:pPr>
        <w:pStyle w:val="NormlnOdstavec"/>
      </w:pPr>
    </w:p>
    <w:p w14:paraId="7285DAA7" w14:textId="77777777" w:rsidR="009D71CC" w:rsidRDefault="00CB7CE8">
      <w:pPr>
        <w:pStyle w:val="Nadpis4"/>
      </w:pPr>
      <w:r>
        <w:t>Volné přílohy</w:t>
      </w:r>
    </w:p>
    <w:p w14:paraId="7BF8C247" w14:textId="6E05ACA4" w:rsidR="009D71CC" w:rsidRDefault="00CB7CE8" w:rsidP="00B80C26">
      <w:r>
        <w:t xml:space="preserve">Příloha </w:t>
      </w:r>
      <w:r w:rsidR="00B80C26">
        <w:t>5</w:t>
      </w:r>
      <w:r>
        <w:t xml:space="preserve">     Poster</w:t>
      </w:r>
    </w:p>
    <w:p w14:paraId="0FECF1F2" w14:textId="3CC2AD41" w:rsidR="007A1DE1" w:rsidRDefault="00AA1582" w:rsidP="00384ED0">
      <w:r>
        <w:t xml:space="preserve">Příloha 6     </w:t>
      </w:r>
      <w:r w:rsidR="007A1DE1">
        <w:t>Mapy silničních sítí</w:t>
      </w:r>
      <w:r w:rsidR="00CA4031">
        <w:t>:</w:t>
      </w:r>
      <w:r w:rsidR="00117079">
        <w:t xml:space="preserve"> silnice_morfologie.pdf</w:t>
      </w:r>
    </w:p>
    <w:p w14:paraId="7ECEE0F7" w14:textId="3D4C8CCF" w:rsidR="000A6E63" w:rsidRDefault="000A6E63" w:rsidP="00384ED0">
      <w:r>
        <w:t>Příloha 15   Mapy orientace uliční sítě</w:t>
      </w:r>
      <w:r w:rsidR="00CA4031">
        <w:t>:</w:t>
      </w:r>
      <w:r w:rsidR="00C212BD">
        <w:t xml:space="preserve"> </w:t>
      </w:r>
      <w:r w:rsidR="00CA4031">
        <w:t>podobnost_service_area</w:t>
      </w:r>
      <w:r w:rsidR="00C212BD">
        <w:t>.zip file</w:t>
      </w:r>
    </w:p>
    <w:p w14:paraId="45DAFEDC" w14:textId="626E64B7" w:rsidR="00513229" w:rsidRDefault="00513229" w:rsidP="00384ED0">
      <w:r>
        <w:t>Příloha 16   Web výsledků diplomové práce</w:t>
      </w:r>
    </w:p>
    <w:p w14:paraId="265C187F" w14:textId="77777777" w:rsidR="00210C6A" w:rsidRDefault="00210C6A" w:rsidP="00384ED0"/>
    <w:p w14:paraId="11421D53" w14:textId="77777777" w:rsidR="009D71CC" w:rsidRDefault="009D71CC"/>
    <w:p w14:paraId="306BB2A0" w14:textId="77777777" w:rsidR="009D71CC" w:rsidRDefault="009D71CC">
      <w:pPr>
        <w:spacing w:before="0" w:after="0" w:line="240" w:lineRule="auto"/>
        <w:jc w:val="left"/>
      </w:pPr>
    </w:p>
    <w:tbl>
      <w:tblPr>
        <w:tblpPr w:leftFromText="180" w:rightFromText="180" w:vertAnchor="page" w:horzAnchor="margin" w:tblpXSpec="center" w:tblpY="1798"/>
        <w:tblW w:w="4689" w:type="dxa"/>
        <w:jc w:val="center"/>
        <w:tblLayout w:type="fixed"/>
        <w:tblCellMar>
          <w:left w:w="7" w:type="dxa"/>
          <w:right w:w="7" w:type="dxa"/>
        </w:tblCellMar>
        <w:tblLook w:val="04A0" w:firstRow="1" w:lastRow="0" w:firstColumn="1" w:lastColumn="0" w:noHBand="0" w:noVBand="1"/>
      </w:tblPr>
      <w:tblGrid>
        <w:gridCol w:w="1560"/>
        <w:gridCol w:w="1650"/>
        <w:gridCol w:w="1479"/>
      </w:tblGrid>
      <w:tr w:rsidR="009D71CC" w14:paraId="099452AA" w14:textId="77777777">
        <w:trPr>
          <w:trHeight w:val="300"/>
          <w:jc w:val="center"/>
        </w:trPr>
        <w:tc>
          <w:tcPr>
            <w:tcW w:w="1560" w:type="dxa"/>
            <w:tcBorders>
              <w:top w:val="single" w:sz="6" w:space="0" w:color="000000"/>
              <w:left w:val="single" w:sz="6" w:space="0" w:color="000000"/>
              <w:bottom w:val="single" w:sz="6" w:space="0" w:color="000000"/>
              <w:right w:val="single" w:sz="6" w:space="0" w:color="000000"/>
            </w:tcBorders>
            <w:shd w:val="clear" w:color="auto" w:fill="AEAAAA"/>
            <w:vAlign w:val="center"/>
          </w:tcPr>
          <w:p w14:paraId="2EB063D1" w14:textId="77777777" w:rsidR="009D71CC" w:rsidRDefault="00CB7CE8">
            <w:pPr>
              <w:pStyle w:val="TableHeading"/>
              <w:pageBreakBefore/>
              <w:rPr>
                <w:rFonts w:ascii="Segoe UI" w:hAnsi="Segoe UI" w:cs="Segoe UI"/>
                <w:sz w:val="18"/>
                <w:szCs w:val="18"/>
                <w:lang w:val="en-US" w:eastAsia="en-US"/>
              </w:rPr>
            </w:pPr>
            <w:r>
              <w:rPr>
                <w:lang w:eastAsia="en-US"/>
              </w:rPr>
              <w:lastRenderedPageBreak/>
              <w:t>město</w:t>
            </w:r>
          </w:p>
        </w:tc>
        <w:tc>
          <w:tcPr>
            <w:tcW w:w="1650" w:type="dxa"/>
            <w:tcBorders>
              <w:top w:val="single" w:sz="6" w:space="0" w:color="000000"/>
              <w:bottom w:val="single" w:sz="6" w:space="0" w:color="000000"/>
              <w:right w:val="single" w:sz="6" w:space="0" w:color="000000"/>
            </w:tcBorders>
            <w:shd w:val="clear" w:color="auto" w:fill="AEAAAA"/>
            <w:vAlign w:val="center"/>
          </w:tcPr>
          <w:p w14:paraId="3FF20B8A" w14:textId="77777777" w:rsidR="009D71CC" w:rsidRDefault="00CB7CE8">
            <w:pPr>
              <w:pStyle w:val="TableHeading"/>
              <w:rPr>
                <w:rFonts w:ascii="Segoe UI" w:hAnsi="Segoe UI" w:cs="Segoe UI"/>
                <w:sz w:val="18"/>
                <w:szCs w:val="18"/>
                <w:lang w:val="en-US" w:eastAsia="en-US"/>
              </w:rPr>
            </w:pPr>
            <w:r>
              <w:rPr>
                <w:lang w:eastAsia="en-US"/>
              </w:rPr>
              <w:t>stát</w:t>
            </w:r>
          </w:p>
        </w:tc>
        <w:tc>
          <w:tcPr>
            <w:tcW w:w="1479" w:type="dxa"/>
            <w:tcBorders>
              <w:top w:val="single" w:sz="6" w:space="0" w:color="000000"/>
              <w:bottom w:val="single" w:sz="6" w:space="0" w:color="000000"/>
              <w:right w:val="single" w:sz="6" w:space="0" w:color="000000"/>
            </w:tcBorders>
            <w:shd w:val="clear" w:color="auto" w:fill="AEAAAA"/>
            <w:vAlign w:val="center"/>
          </w:tcPr>
          <w:p w14:paraId="43B172F7" w14:textId="77777777" w:rsidR="009D71CC" w:rsidRDefault="00CB7CE8">
            <w:pPr>
              <w:pStyle w:val="TableHeading"/>
              <w:rPr>
                <w:rFonts w:ascii="Segoe UI" w:hAnsi="Segoe UI" w:cs="Segoe UI"/>
                <w:sz w:val="18"/>
                <w:szCs w:val="18"/>
                <w:lang w:val="en-US" w:eastAsia="en-US"/>
              </w:rPr>
            </w:pPr>
            <w:r>
              <w:rPr>
                <w:lang w:eastAsia="en-US"/>
              </w:rPr>
              <w:t>UTM zóna</w:t>
            </w:r>
          </w:p>
        </w:tc>
      </w:tr>
      <w:tr w:rsidR="009D71CC" w14:paraId="5B6AFD81"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1A33EA93" w14:textId="77777777" w:rsidR="009D71CC" w:rsidRDefault="00CB7CE8">
            <w:pPr>
              <w:pStyle w:val="TableContents"/>
              <w:rPr>
                <w:rFonts w:ascii="Segoe UI" w:hAnsi="Segoe UI" w:cs="Segoe UI"/>
                <w:sz w:val="18"/>
                <w:szCs w:val="18"/>
                <w:lang w:val="en-US" w:eastAsia="en-US"/>
              </w:rPr>
            </w:pPr>
            <w:r>
              <w:rPr>
                <w:lang w:eastAsia="en-US"/>
              </w:rPr>
              <w:t>Amsterdam</w:t>
            </w:r>
          </w:p>
        </w:tc>
        <w:tc>
          <w:tcPr>
            <w:tcW w:w="1650" w:type="dxa"/>
            <w:tcBorders>
              <w:bottom w:val="single" w:sz="6" w:space="0" w:color="000000"/>
              <w:right w:val="single" w:sz="6" w:space="0" w:color="000000"/>
            </w:tcBorders>
            <w:shd w:val="clear" w:color="auto" w:fill="auto"/>
            <w:vAlign w:val="bottom"/>
          </w:tcPr>
          <w:p w14:paraId="54BAC053" w14:textId="77777777" w:rsidR="009D71CC" w:rsidRDefault="00CB7CE8">
            <w:pPr>
              <w:pStyle w:val="TableContents"/>
              <w:rPr>
                <w:rFonts w:ascii="Segoe UI" w:hAnsi="Segoe UI" w:cs="Segoe UI"/>
                <w:sz w:val="18"/>
                <w:szCs w:val="18"/>
                <w:lang w:val="en-US" w:eastAsia="en-US"/>
              </w:rPr>
            </w:pPr>
            <w:r>
              <w:rPr>
                <w:lang w:eastAsia="en-US"/>
              </w:rPr>
              <w:t>Nizozemsko</w:t>
            </w:r>
          </w:p>
        </w:tc>
        <w:tc>
          <w:tcPr>
            <w:tcW w:w="1479" w:type="dxa"/>
            <w:tcBorders>
              <w:bottom w:val="single" w:sz="6" w:space="0" w:color="000000"/>
              <w:right w:val="single" w:sz="6" w:space="0" w:color="000000"/>
            </w:tcBorders>
            <w:shd w:val="clear" w:color="auto" w:fill="auto"/>
            <w:vAlign w:val="bottom"/>
          </w:tcPr>
          <w:p w14:paraId="1B710F77" w14:textId="77777777" w:rsidR="009D71CC" w:rsidRDefault="00CB7CE8">
            <w:pPr>
              <w:pStyle w:val="TableContents"/>
              <w:rPr>
                <w:rFonts w:ascii="Segoe UI" w:hAnsi="Segoe UI" w:cs="Segoe UI"/>
                <w:sz w:val="18"/>
                <w:szCs w:val="18"/>
                <w:lang w:val="en-US" w:eastAsia="en-US"/>
              </w:rPr>
            </w:pPr>
            <w:r>
              <w:rPr>
                <w:lang w:eastAsia="en-US"/>
              </w:rPr>
              <w:t>31</w:t>
            </w:r>
          </w:p>
        </w:tc>
      </w:tr>
      <w:tr w:rsidR="009D71CC" w14:paraId="3625D153"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328C1D53" w14:textId="77777777" w:rsidR="009D71CC" w:rsidRDefault="00CB7CE8">
            <w:pPr>
              <w:pStyle w:val="TableContents"/>
              <w:rPr>
                <w:rFonts w:ascii="Segoe UI" w:hAnsi="Segoe UI" w:cs="Segoe UI"/>
                <w:sz w:val="18"/>
                <w:szCs w:val="18"/>
                <w:lang w:val="en-US" w:eastAsia="en-US"/>
              </w:rPr>
            </w:pPr>
            <w:r>
              <w:rPr>
                <w:lang w:eastAsia="en-US"/>
              </w:rPr>
              <w:t>Antverpy</w:t>
            </w:r>
          </w:p>
        </w:tc>
        <w:tc>
          <w:tcPr>
            <w:tcW w:w="1650" w:type="dxa"/>
            <w:tcBorders>
              <w:bottom w:val="single" w:sz="6" w:space="0" w:color="000000"/>
              <w:right w:val="single" w:sz="6" w:space="0" w:color="000000"/>
            </w:tcBorders>
            <w:shd w:val="clear" w:color="auto" w:fill="auto"/>
            <w:vAlign w:val="bottom"/>
          </w:tcPr>
          <w:p w14:paraId="444DBC5D" w14:textId="77777777" w:rsidR="009D71CC" w:rsidRDefault="00CB7CE8">
            <w:pPr>
              <w:pStyle w:val="TableContents"/>
              <w:rPr>
                <w:rFonts w:ascii="Segoe UI" w:hAnsi="Segoe UI" w:cs="Segoe UI"/>
                <w:sz w:val="18"/>
                <w:szCs w:val="18"/>
                <w:lang w:val="en-US" w:eastAsia="en-US"/>
              </w:rPr>
            </w:pPr>
            <w:r>
              <w:rPr>
                <w:lang w:eastAsia="en-US"/>
              </w:rPr>
              <w:t>Belgie</w:t>
            </w:r>
          </w:p>
        </w:tc>
        <w:tc>
          <w:tcPr>
            <w:tcW w:w="1479" w:type="dxa"/>
            <w:tcBorders>
              <w:bottom w:val="single" w:sz="6" w:space="0" w:color="000000"/>
              <w:right w:val="single" w:sz="6" w:space="0" w:color="000000"/>
            </w:tcBorders>
            <w:shd w:val="clear" w:color="auto" w:fill="auto"/>
            <w:vAlign w:val="bottom"/>
          </w:tcPr>
          <w:p w14:paraId="75401300" w14:textId="77777777" w:rsidR="009D71CC" w:rsidRDefault="00CB7CE8">
            <w:pPr>
              <w:pStyle w:val="TableContents"/>
              <w:rPr>
                <w:rFonts w:ascii="Segoe UI" w:hAnsi="Segoe UI" w:cs="Segoe UI"/>
                <w:sz w:val="18"/>
                <w:szCs w:val="18"/>
                <w:lang w:val="en-US" w:eastAsia="en-US"/>
              </w:rPr>
            </w:pPr>
            <w:r>
              <w:rPr>
                <w:lang w:eastAsia="en-US"/>
              </w:rPr>
              <w:t>31</w:t>
            </w:r>
          </w:p>
        </w:tc>
      </w:tr>
      <w:tr w:rsidR="009D71CC" w14:paraId="69A2A49B"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63DC2D66" w14:textId="77777777" w:rsidR="009D71CC" w:rsidRDefault="00CB7CE8">
            <w:pPr>
              <w:pStyle w:val="TableContents"/>
              <w:rPr>
                <w:rFonts w:ascii="Segoe UI" w:hAnsi="Segoe UI" w:cs="Segoe UI"/>
                <w:sz w:val="18"/>
                <w:szCs w:val="18"/>
                <w:lang w:val="en-US" w:eastAsia="en-US"/>
              </w:rPr>
            </w:pPr>
            <w:r>
              <w:rPr>
                <w:lang w:eastAsia="en-US"/>
              </w:rPr>
              <w:t>Athény</w:t>
            </w:r>
          </w:p>
        </w:tc>
        <w:tc>
          <w:tcPr>
            <w:tcW w:w="1650" w:type="dxa"/>
            <w:tcBorders>
              <w:bottom w:val="single" w:sz="6" w:space="0" w:color="000000"/>
              <w:right w:val="single" w:sz="6" w:space="0" w:color="000000"/>
            </w:tcBorders>
            <w:shd w:val="clear" w:color="auto" w:fill="auto"/>
            <w:vAlign w:val="bottom"/>
          </w:tcPr>
          <w:p w14:paraId="10C69081" w14:textId="77777777" w:rsidR="009D71CC" w:rsidRDefault="00CB7CE8">
            <w:pPr>
              <w:pStyle w:val="TableContents"/>
              <w:rPr>
                <w:rFonts w:ascii="Segoe UI" w:hAnsi="Segoe UI" w:cs="Segoe UI"/>
                <w:sz w:val="18"/>
                <w:szCs w:val="18"/>
                <w:lang w:val="en-US" w:eastAsia="en-US"/>
              </w:rPr>
            </w:pPr>
            <w:r>
              <w:rPr>
                <w:lang w:eastAsia="en-US"/>
              </w:rPr>
              <w:t>Řecko</w:t>
            </w:r>
          </w:p>
        </w:tc>
        <w:tc>
          <w:tcPr>
            <w:tcW w:w="1479" w:type="dxa"/>
            <w:tcBorders>
              <w:bottom w:val="single" w:sz="6" w:space="0" w:color="000000"/>
              <w:right w:val="single" w:sz="6" w:space="0" w:color="000000"/>
            </w:tcBorders>
            <w:shd w:val="clear" w:color="auto" w:fill="auto"/>
            <w:vAlign w:val="bottom"/>
          </w:tcPr>
          <w:p w14:paraId="2CA24E4D" w14:textId="77777777" w:rsidR="009D71CC" w:rsidRDefault="00CB7CE8">
            <w:pPr>
              <w:pStyle w:val="TableContents"/>
              <w:rPr>
                <w:rFonts w:ascii="Segoe UI" w:hAnsi="Segoe UI" w:cs="Segoe UI"/>
                <w:sz w:val="18"/>
                <w:szCs w:val="18"/>
                <w:lang w:val="en-US" w:eastAsia="en-US"/>
              </w:rPr>
            </w:pPr>
            <w:r>
              <w:rPr>
                <w:lang w:eastAsia="en-US"/>
              </w:rPr>
              <w:t>34</w:t>
            </w:r>
          </w:p>
        </w:tc>
      </w:tr>
      <w:tr w:rsidR="009D71CC" w14:paraId="25229C16"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1F91B6D6" w14:textId="77777777" w:rsidR="009D71CC" w:rsidRDefault="00CB7CE8">
            <w:pPr>
              <w:pStyle w:val="TableContents"/>
              <w:rPr>
                <w:rFonts w:ascii="Segoe UI" w:hAnsi="Segoe UI" w:cs="Segoe UI"/>
                <w:sz w:val="18"/>
                <w:szCs w:val="18"/>
                <w:lang w:val="en-US" w:eastAsia="en-US"/>
              </w:rPr>
            </w:pPr>
            <w:r>
              <w:rPr>
                <w:lang w:eastAsia="en-US"/>
              </w:rPr>
              <w:t>Barcelona</w:t>
            </w:r>
          </w:p>
        </w:tc>
        <w:tc>
          <w:tcPr>
            <w:tcW w:w="1650" w:type="dxa"/>
            <w:tcBorders>
              <w:bottom w:val="single" w:sz="6" w:space="0" w:color="000000"/>
              <w:right w:val="single" w:sz="6" w:space="0" w:color="000000"/>
            </w:tcBorders>
            <w:shd w:val="clear" w:color="auto" w:fill="auto"/>
            <w:vAlign w:val="bottom"/>
          </w:tcPr>
          <w:p w14:paraId="341FF221" w14:textId="77777777" w:rsidR="009D71CC" w:rsidRDefault="00CB7CE8">
            <w:pPr>
              <w:pStyle w:val="TableContents"/>
              <w:rPr>
                <w:rFonts w:ascii="Segoe UI" w:hAnsi="Segoe UI" w:cs="Segoe UI"/>
                <w:sz w:val="18"/>
                <w:szCs w:val="18"/>
                <w:lang w:val="en-US" w:eastAsia="en-US"/>
              </w:rPr>
            </w:pPr>
            <w:r>
              <w:rPr>
                <w:lang w:eastAsia="en-US"/>
              </w:rPr>
              <w:t>Španělsko</w:t>
            </w:r>
          </w:p>
        </w:tc>
        <w:tc>
          <w:tcPr>
            <w:tcW w:w="1479" w:type="dxa"/>
            <w:tcBorders>
              <w:bottom w:val="single" w:sz="6" w:space="0" w:color="000000"/>
              <w:right w:val="single" w:sz="6" w:space="0" w:color="000000"/>
            </w:tcBorders>
            <w:shd w:val="clear" w:color="auto" w:fill="auto"/>
            <w:vAlign w:val="bottom"/>
          </w:tcPr>
          <w:p w14:paraId="4898B348" w14:textId="77777777" w:rsidR="009D71CC" w:rsidRDefault="00CB7CE8">
            <w:pPr>
              <w:pStyle w:val="TableContents"/>
              <w:rPr>
                <w:rFonts w:ascii="Segoe UI" w:hAnsi="Segoe UI" w:cs="Segoe UI"/>
                <w:sz w:val="18"/>
                <w:szCs w:val="18"/>
                <w:lang w:val="en-US" w:eastAsia="en-US"/>
              </w:rPr>
            </w:pPr>
            <w:r>
              <w:rPr>
                <w:lang w:eastAsia="en-US"/>
              </w:rPr>
              <w:t>31</w:t>
            </w:r>
          </w:p>
        </w:tc>
      </w:tr>
      <w:tr w:rsidR="009D71CC" w14:paraId="04C71788"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3BCAC40C" w14:textId="77777777" w:rsidR="009D71CC" w:rsidRDefault="00CB7CE8">
            <w:pPr>
              <w:pStyle w:val="TableContents"/>
              <w:rPr>
                <w:rFonts w:ascii="Segoe UI" w:hAnsi="Segoe UI" w:cs="Segoe UI"/>
                <w:sz w:val="18"/>
                <w:szCs w:val="18"/>
                <w:lang w:val="en-US" w:eastAsia="en-US"/>
              </w:rPr>
            </w:pPr>
            <w:r>
              <w:rPr>
                <w:lang w:eastAsia="en-US"/>
              </w:rPr>
              <w:t>Berlín</w:t>
            </w:r>
          </w:p>
        </w:tc>
        <w:tc>
          <w:tcPr>
            <w:tcW w:w="1650" w:type="dxa"/>
            <w:tcBorders>
              <w:bottom w:val="single" w:sz="6" w:space="0" w:color="000000"/>
              <w:right w:val="single" w:sz="6" w:space="0" w:color="000000"/>
            </w:tcBorders>
            <w:shd w:val="clear" w:color="auto" w:fill="auto"/>
            <w:vAlign w:val="bottom"/>
          </w:tcPr>
          <w:p w14:paraId="6CCFC1D8" w14:textId="77777777" w:rsidR="009D71CC" w:rsidRDefault="00CB7CE8">
            <w:pPr>
              <w:pStyle w:val="TableContents"/>
              <w:rPr>
                <w:rFonts w:ascii="Segoe UI" w:hAnsi="Segoe UI" w:cs="Segoe UI"/>
                <w:sz w:val="18"/>
                <w:szCs w:val="18"/>
                <w:lang w:val="en-US" w:eastAsia="en-US"/>
              </w:rPr>
            </w:pPr>
            <w:r>
              <w:rPr>
                <w:lang w:eastAsia="en-US"/>
              </w:rPr>
              <w:t>Německo</w:t>
            </w:r>
          </w:p>
        </w:tc>
        <w:tc>
          <w:tcPr>
            <w:tcW w:w="1479" w:type="dxa"/>
            <w:tcBorders>
              <w:bottom w:val="single" w:sz="6" w:space="0" w:color="000000"/>
              <w:right w:val="single" w:sz="6" w:space="0" w:color="000000"/>
            </w:tcBorders>
            <w:shd w:val="clear" w:color="auto" w:fill="auto"/>
            <w:vAlign w:val="bottom"/>
          </w:tcPr>
          <w:p w14:paraId="794C723A" w14:textId="77777777" w:rsidR="009D71CC" w:rsidRDefault="00CB7CE8">
            <w:pPr>
              <w:pStyle w:val="TableContents"/>
              <w:rPr>
                <w:rFonts w:ascii="Segoe UI" w:hAnsi="Segoe UI" w:cs="Segoe UI"/>
                <w:sz w:val="18"/>
                <w:szCs w:val="18"/>
                <w:lang w:val="en-US" w:eastAsia="en-US"/>
              </w:rPr>
            </w:pPr>
            <w:r>
              <w:rPr>
                <w:lang w:eastAsia="en-US"/>
              </w:rPr>
              <w:t>33</w:t>
            </w:r>
          </w:p>
        </w:tc>
      </w:tr>
      <w:tr w:rsidR="009D71CC" w14:paraId="767CFC99"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64DE64A4" w14:textId="77777777" w:rsidR="009D71CC" w:rsidRDefault="00CB7CE8">
            <w:pPr>
              <w:pStyle w:val="TableContents"/>
              <w:rPr>
                <w:rFonts w:ascii="Segoe UI" w:hAnsi="Segoe UI" w:cs="Segoe UI"/>
                <w:sz w:val="18"/>
                <w:szCs w:val="18"/>
                <w:lang w:val="en-US" w:eastAsia="en-US"/>
              </w:rPr>
            </w:pPr>
            <w:r>
              <w:rPr>
                <w:lang w:eastAsia="en-US"/>
              </w:rPr>
              <w:t>Bratislava</w:t>
            </w:r>
          </w:p>
        </w:tc>
        <w:tc>
          <w:tcPr>
            <w:tcW w:w="1650" w:type="dxa"/>
            <w:tcBorders>
              <w:bottom w:val="single" w:sz="6" w:space="0" w:color="000000"/>
              <w:right w:val="single" w:sz="6" w:space="0" w:color="000000"/>
            </w:tcBorders>
            <w:shd w:val="clear" w:color="auto" w:fill="auto"/>
            <w:vAlign w:val="bottom"/>
          </w:tcPr>
          <w:p w14:paraId="42C7D62C" w14:textId="77777777" w:rsidR="009D71CC" w:rsidRDefault="00CB7CE8">
            <w:pPr>
              <w:pStyle w:val="TableContents"/>
              <w:rPr>
                <w:rFonts w:ascii="Segoe UI" w:hAnsi="Segoe UI" w:cs="Segoe UI"/>
                <w:sz w:val="18"/>
                <w:szCs w:val="18"/>
                <w:lang w:val="en-US" w:eastAsia="en-US"/>
              </w:rPr>
            </w:pPr>
            <w:r>
              <w:rPr>
                <w:lang w:eastAsia="en-US"/>
              </w:rPr>
              <w:t>Slovensko</w:t>
            </w:r>
          </w:p>
        </w:tc>
        <w:tc>
          <w:tcPr>
            <w:tcW w:w="1479" w:type="dxa"/>
            <w:tcBorders>
              <w:bottom w:val="single" w:sz="6" w:space="0" w:color="000000"/>
              <w:right w:val="single" w:sz="6" w:space="0" w:color="000000"/>
            </w:tcBorders>
            <w:shd w:val="clear" w:color="auto" w:fill="auto"/>
            <w:vAlign w:val="bottom"/>
          </w:tcPr>
          <w:p w14:paraId="077033B9" w14:textId="77777777" w:rsidR="009D71CC" w:rsidRDefault="00CB7CE8">
            <w:pPr>
              <w:pStyle w:val="TableContents"/>
              <w:rPr>
                <w:rFonts w:ascii="Segoe UI" w:hAnsi="Segoe UI" w:cs="Segoe UI"/>
                <w:sz w:val="18"/>
                <w:szCs w:val="18"/>
                <w:lang w:val="en-US" w:eastAsia="en-US"/>
              </w:rPr>
            </w:pPr>
            <w:r>
              <w:rPr>
                <w:lang w:eastAsia="en-US"/>
              </w:rPr>
              <w:t>33</w:t>
            </w:r>
          </w:p>
        </w:tc>
      </w:tr>
      <w:tr w:rsidR="009D71CC" w14:paraId="5ACD305E"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33F362DB" w14:textId="77777777" w:rsidR="009D71CC" w:rsidRDefault="00CB7CE8">
            <w:pPr>
              <w:pStyle w:val="TableContents"/>
              <w:rPr>
                <w:rFonts w:ascii="Segoe UI" w:hAnsi="Segoe UI" w:cs="Segoe UI"/>
                <w:sz w:val="18"/>
                <w:szCs w:val="18"/>
                <w:lang w:val="en-US" w:eastAsia="en-US"/>
              </w:rPr>
            </w:pPr>
            <w:r>
              <w:rPr>
                <w:lang w:eastAsia="en-US"/>
              </w:rPr>
              <w:t>Brémy</w:t>
            </w:r>
          </w:p>
        </w:tc>
        <w:tc>
          <w:tcPr>
            <w:tcW w:w="1650" w:type="dxa"/>
            <w:tcBorders>
              <w:bottom w:val="single" w:sz="6" w:space="0" w:color="000000"/>
              <w:right w:val="single" w:sz="6" w:space="0" w:color="000000"/>
            </w:tcBorders>
            <w:shd w:val="clear" w:color="auto" w:fill="auto"/>
            <w:vAlign w:val="bottom"/>
          </w:tcPr>
          <w:p w14:paraId="1B244D58" w14:textId="77777777" w:rsidR="009D71CC" w:rsidRDefault="00CB7CE8">
            <w:pPr>
              <w:pStyle w:val="TableContents"/>
              <w:rPr>
                <w:rFonts w:ascii="Segoe UI" w:hAnsi="Segoe UI" w:cs="Segoe UI"/>
                <w:sz w:val="18"/>
                <w:szCs w:val="18"/>
                <w:lang w:val="en-US" w:eastAsia="en-US"/>
              </w:rPr>
            </w:pPr>
            <w:r>
              <w:rPr>
                <w:lang w:eastAsia="en-US"/>
              </w:rPr>
              <w:t>Německo</w:t>
            </w:r>
          </w:p>
        </w:tc>
        <w:tc>
          <w:tcPr>
            <w:tcW w:w="1479" w:type="dxa"/>
            <w:tcBorders>
              <w:bottom w:val="single" w:sz="6" w:space="0" w:color="000000"/>
              <w:right w:val="single" w:sz="6" w:space="0" w:color="000000"/>
            </w:tcBorders>
            <w:shd w:val="clear" w:color="auto" w:fill="auto"/>
            <w:vAlign w:val="bottom"/>
          </w:tcPr>
          <w:p w14:paraId="5AB7DE04" w14:textId="77777777" w:rsidR="009D71CC" w:rsidRDefault="00CB7CE8">
            <w:pPr>
              <w:pStyle w:val="TableContents"/>
              <w:rPr>
                <w:rFonts w:ascii="Segoe UI" w:hAnsi="Segoe UI" w:cs="Segoe UI"/>
                <w:sz w:val="18"/>
                <w:szCs w:val="18"/>
                <w:lang w:val="en-US" w:eastAsia="en-US"/>
              </w:rPr>
            </w:pPr>
            <w:r>
              <w:rPr>
                <w:lang w:eastAsia="en-US"/>
              </w:rPr>
              <w:t>32</w:t>
            </w:r>
          </w:p>
        </w:tc>
      </w:tr>
      <w:tr w:rsidR="009D71CC" w14:paraId="17563F95"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0CC57C17" w14:textId="77777777" w:rsidR="009D71CC" w:rsidRDefault="00CB7CE8">
            <w:pPr>
              <w:pStyle w:val="TableContents"/>
              <w:rPr>
                <w:rFonts w:ascii="Segoe UI" w:hAnsi="Segoe UI" w:cs="Segoe UI"/>
                <w:sz w:val="18"/>
                <w:szCs w:val="18"/>
                <w:lang w:val="en-US" w:eastAsia="en-US"/>
              </w:rPr>
            </w:pPr>
            <w:r>
              <w:rPr>
                <w:lang w:eastAsia="en-US"/>
              </w:rPr>
              <w:t>Budapešť</w:t>
            </w:r>
          </w:p>
        </w:tc>
        <w:tc>
          <w:tcPr>
            <w:tcW w:w="1650" w:type="dxa"/>
            <w:tcBorders>
              <w:bottom w:val="single" w:sz="6" w:space="0" w:color="000000"/>
              <w:right w:val="single" w:sz="6" w:space="0" w:color="000000"/>
            </w:tcBorders>
            <w:shd w:val="clear" w:color="auto" w:fill="auto"/>
            <w:vAlign w:val="bottom"/>
          </w:tcPr>
          <w:p w14:paraId="0F362E17" w14:textId="77777777" w:rsidR="009D71CC" w:rsidRDefault="00CB7CE8">
            <w:pPr>
              <w:pStyle w:val="TableContents"/>
              <w:rPr>
                <w:rFonts w:ascii="Segoe UI" w:hAnsi="Segoe UI" w:cs="Segoe UI"/>
                <w:sz w:val="18"/>
                <w:szCs w:val="18"/>
                <w:lang w:val="en-US" w:eastAsia="en-US"/>
              </w:rPr>
            </w:pPr>
            <w:r>
              <w:rPr>
                <w:lang w:eastAsia="en-US"/>
              </w:rPr>
              <w:t>Maďarsko</w:t>
            </w:r>
          </w:p>
        </w:tc>
        <w:tc>
          <w:tcPr>
            <w:tcW w:w="1479" w:type="dxa"/>
            <w:tcBorders>
              <w:bottom w:val="single" w:sz="6" w:space="0" w:color="000000"/>
              <w:right w:val="single" w:sz="6" w:space="0" w:color="000000"/>
            </w:tcBorders>
            <w:shd w:val="clear" w:color="auto" w:fill="auto"/>
            <w:vAlign w:val="bottom"/>
          </w:tcPr>
          <w:p w14:paraId="2C92D085" w14:textId="77777777" w:rsidR="009D71CC" w:rsidRDefault="00CB7CE8">
            <w:pPr>
              <w:pStyle w:val="TableContents"/>
              <w:rPr>
                <w:rFonts w:ascii="Segoe UI" w:hAnsi="Segoe UI" w:cs="Segoe UI"/>
                <w:sz w:val="18"/>
                <w:szCs w:val="18"/>
                <w:lang w:val="en-US" w:eastAsia="en-US"/>
              </w:rPr>
            </w:pPr>
            <w:r>
              <w:rPr>
                <w:lang w:eastAsia="en-US"/>
              </w:rPr>
              <w:t>34</w:t>
            </w:r>
          </w:p>
        </w:tc>
      </w:tr>
      <w:tr w:rsidR="009D71CC" w14:paraId="46366E53"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62D1F29F" w14:textId="77777777" w:rsidR="009D71CC" w:rsidRDefault="00CB7CE8">
            <w:pPr>
              <w:pStyle w:val="TableContents"/>
              <w:rPr>
                <w:rFonts w:ascii="Segoe UI" w:hAnsi="Segoe UI" w:cs="Segoe UI"/>
                <w:sz w:val="18"/>
                <w:szCs w:val="18"/>
                <w:lang w:val="en-US" w:eastAsia="en-US"/>
              </w:rPr>
            </w:pPr>
            <w:r>
              <w:rPr>
                <w:lang w:eastAsia="en-US"/>
              </w:rPr>
              <w:t>Bukurešť</w:t>
            </w:r>
          </w:p>
        </w:tc>
        <w:tc>
          <w:tcPr>
            <w:tcW w:w="1650" w:type="dxa"/>
            <w:tcBorders>
              <w:bottom w:val="single" w:sz="6" w:space="0" w:color="000000"/>
              <w:right w:val="single" w:sz="6" w:space="0" w:color="000000"/>
            </w:tcBorders>
            <w:shd w:val="clear" w:color="auto" w:fill="auto"/>
            <w:vAlign w:val="bottom"/>
          </w:tcPr>
          <w:p w14:paraId="2B55A025" w14:textId="77777777" w:rsidR="009D71CC" w:rsidRDefault="00CB7CE8">
            <w:pPr>
              <w:pStyle w:val="TableContents"/>
              <w:rPr>
                <w:rFonts w:ascii="Segoe UI" w:hAnsi="Segoe UI" w:cs="Segoe UI"/>
                <w:sz w:val="18"/>
                <w:szCs w:val="18"/>
                <w:lang w:val="en-US" w:eastAsia="en-US"/>
              </w:rPr>
            </w:pPr>
            <w:r>
              <w:rPr>
                <w:lang w:eastAsia="en-US"/>
              </w:rPr>
              <w:t>Rumunsko</w:t>
            </w:r>
          </w:p>
        </w:tc>
        <w:tc>
          <w:tcPr>
            <w:tcW w:w="1479" w:type="dxa"/>
            <w:tcBorders>
              <w:bottom w:val="single" w:sz="6" w:space="0" w:color="000000"/>
              <w:right w:val="single" w:sz="6" w:space="0" w:color="000000"/>
            </w:tcBorders>
            <w:shd w:val="clear" w:color="auto" w:fill="auto"/>
            <w:vAlign w:val="bottom"/>
          </w:tcPr>
          <w:p w14:paraId="0EED71E1" w14:textId="77777777" w:rsidR="009D71CC" w:rsidRDefault="00CB7CE8">
            <w:pPr>
              <w:pStyle w:val="TableContents"/>
              <w:rPr>
                <w:rFonts w:ascii="Segoe UI" w:hAnsi="Segoe UI" w:cs="Segoe UI"/>
                <w:sz w:val="18"/>
                <w:szCs w:val="18"/>
                <w:lang w:val="en-US" w:eastAsia="en-US"/>
              </w:rPr>
            </w:pPr>
            <w:r>
              <w:rPr>
                <w:lang w:eastAsia="en-US"/>
              </w:rPr>
              <w:t>35</w:t>
            </w:r>
          </w:p>
        </w:tc>
      </w:tr>
      <w:tr w:rsidR="009D71CC" w14:paraId="3C9B87E5"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313338B9" w14:textId="77777777" w:rsidR="009D71CC" w:rsidRDefault="00CB7CE8">
            <w:pPr>
              <w:pStyle w:val="TableContents"/>
              <w:rPr>
                <w:rFonts w:ascii="Segoe UI" w:hAnsi="Segoe UI" w:cs="Segoe UI"/>
                <w:sz w:val="18"/>
                <w:szCs w:val="18"/>
                <w:lang w:val="en-US" w:eastAsia="en-US"/>
              </w:rPr>
            </w:pPr>
            <w:r>
              <w:rPr>
                <w:lang w:eastAsia="en-US"/>
              </w:rPr>
              <w:t>Drážďany</w:t>
            </w:r>
          </w:p>
        </w:tc>
        <w:tc>
          <w:tcPr>
            <w:tcW w:w="1650" w:type="dxa"/>
            <w:tcBorders>
              <w:bottom w:val="single" w:sz="6" w:space="0" w:color="000000"/>
              <w:right w:val="single" w:sz="6" w:space="0" w:color="000000"/>
            </w:tcBorders>
            <w:shd w:val="clear" w:color="auto" w:fill="auto"/>
            <w:vAlign w:val="bottom"/>
          </w:tcPr>
          <w:p w14:paraId="1513F17E" w14:textId="77777777" w:rsidR="009D71CC" w:rsidRDefault="00CB7CE8">
            <w:pPr>
              <w:pStyle w:val="TableContents"/>
              <w:rPr>
                <w:rFonts w:ascii="Segoe UI" w:hAnsi="Segoe UI" w:cs="Segoe UI"/>
                <w:sz w:val="18"/>
                <w:szCs w:val="18"/>
                <w:lang w:val="en-US" w:eastAsia="en-US"/>
              </w:rPr>
            </w:pPr>
            <w:r>
              <w:rPr>
                <w:lang w:eastAsia="en-US"/>
              </w:rPr>
              <w:t>Německo</w:t>
            </w:r>
          </w:p>
        </w:tc>
        <w:tc>
          <w:tcPr>
            <w:tcW w:w="1479" w:type="dxa"/>
            <w:tcBorders>
              <w:bottom w:val="single" w:sz="6" w:space="0" w:color="000000"/>
              <w:right w:val="single" w:sz="6" w:space="0" w:color="000000"/>
            </w:tcBorders>
            <w:shd w:val="clear" w:color="auto" w:fill="auto"/>
            <w:vAlign w:val="bottom"/>
          </w:tcPr>
          <w:p w14:paraId="392431E9" w14:textId="77777777" w:rsidR="009D71CC" w:rsidRDefault="00CB7CE8">
            <w:pPr>
              <w:pStyle w:val="TableContents"/>
              <w:rPr>
                <w:rFonts w:ascii="Segoe UI" w:hAnsi="Segoe UI" w:cs="Segoe UI"/>
                <w:sz w:val="18"/>
                <w:szCs w:val="18"/>
                <w:lang w:val="en-US" w:eastAsia="en-US"/>
              </w:rPr>
            </w:pPr>
            <w:r>
              <w:rPr>
                <w:lang w:eastAsia="en-US"/>
              </w:rPr>
              <w:t>33</w:t>
            </w:r>
          </w:p>
        </w:tc>
      </w:tr>
      <w:tr w:rsidR="009D71CC" w14:paraId="6FF349B3"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35B92446" w14:textId="77777777" w:rsidR="009D71CC" w:rsidRDefault="00CB7CE8">
            <w:pPr>
              <w:pStyle w:val="TableContents"/>
              <w:rPr>
                <w:rFonts w:ascii="Segoe UI" w:hAnsi="Segoe UI" w:cs="Segoe UI"/>
                <w:sz w:val="18"/>
                <w:szCs w:val="18"/>
                <w:lang w:val="en-US" w:eastAsia="en-US"/>
              </w:rPr>
            </w:pPr>
            <w:r>
              <w:rPr>
                <w:lang w:eastAsia="en-US"/>
              </w:rPr>
              <w:t>Dublin</w:t>
            </w:r>
          </w:p>
        </w:tc>
        <w:tc>
          <w:tcPr>
            <w:tcW w:w="1650" w:type="dxa"/>
            <w:tcBorders>
              <w:bottom w:val="single" w:sz="6" w:space="0" w:color="000000"/>
              <w:right w:val="single" w:sz="6" w:space="0" w:color="000000"/>
            </w:tcBorders>
            <w:shd w:val="clear" w:color="auto" w:fill="auto"/>
            <w:vAlign w:val="bottom"/>
          </w:tcPr>
          <w:p w14:paraId="1AB1613B" w14:textId="77777777" w:rsidR="009D71CC" w:rsidRDefault="00CB7CE8">
            <w:pPr>
              <w:pStyle w:val="TableContents"/>
              <w:rPr>
                <w:rFonts w:ascii="Segoe UI" w:hAnsi="Segoe UI" w:cs="Segoe UI"/>
                <w:sz w:val="18"/>
                <w:szCs w:val="18"/>
                <w:lang w:val="en-US" w:eastAsia="en-US"/>
              </w:rPr>
            </w:pPr>
            <w:r>
              <w:rPr>
                <w:lang w:eastAsia="en-US"/>
              </w:rPr>
              <w:t>Irsko</w:t>
            </w:r>
          </w:p>
        </w:tc>
        <w:tc>
          <w:tcPr>
            <w:tcW w:w="1479" w:type="dxa"/>
            <w:tcBorders>
              <w:bottom w:val="single" w:sz="6" w:space="0" w:color="000000"/>
              <w:right w:val="single" w:sz="6" w:space="0" w:color="000000"/>
            </w:tcBorders>
            <w:shd w:val="clear" w:color="auto" w:fill="auto"/>
            <w:vAlign w:val="bottom"/>
          </w:tcPr>
          <w:p w14:paraId="21EBD912" w14:textId="77777777" w:rsidR="009D71CC" w:rsidRDefault="00CB7CE8">
            <w:pPr>
              <w:pStyle w:val="TableContents"/>
              <w:rPr>
                <w:rFonts w:ascii="Segoe UI" w:hAnsi="Segoe UI" w:cs="Segoe UI"/>
                <w:sz w:val="18"/>
                <w:szCs w:val="18"/>
                <w:lang w:val="en-US" w:eastAsia="en-US"/>
              </w:rPr>
            </w:pPr>
            <w:r>
              <w:rPr>
                <w:lang w:eastAsia="en-US"/>
              </w:rPr>
              <w:t>29</w:t>
            </w:r>
          </w:p>
        </w:tc>
      </w:tr>
      <w:tr w:rsidR="009D71CC" w14:paraId="14D7D112"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635F40C6" w14:textId="77777777" w:rsidR="009D71CC" w:rsidRDefault="00CB7CE8">
            <w:pPr>
              <w:pStyle w:val="TableContents"/>
              <w:rPr>
                <w:rFonts w:ascii="Segoe UI" w:hAnsi="Segoe UI" w:cs="Segoe UI"/>
                <w:sz w:val="18"/>
                <w:szCs w:val="18"/>
                <w:lang w:val="en-US" w:eastAsia="en-US"/>
              </w:rPr>
            </w:pPr>
            <w:r>
              <w:rPr>
                <w:lang w:eastAsia="en-US"/>
              </w:rPr>
              <w:t>Düsseldorf</w:t>
            </w:r>
          </w:p>
        </w:tc>
        <w:tc>
          <w:tcPr>
            <w:tcW w:w="1650" w:type="dxa"/>
            <w:tcBorders>
              <w:bottom w:val="single" w:sz="6" w:space="0" w:color="000000"/>
              <w:right w:val="single" w:sz="6" w:space="0" w:color="000000"/>
            </w:tcBorders>
            <w:shd w:val="clear" w:color="auto" w:fill="auto"/>
            <w:vAlign w:val="bottom"/>
          </w:tcPr>
          <w:p w14:paraId="5844E9BC" w14:textId="77777777" w:rsidR="009D71CC" w:rsidRDefault="00CB7CE8">
            <w:pPr>
              <w:pStyle w:val="TableContents"/>
              <w:rPr>
                <w:rFonts w:ascii="Segoe UI" w:hAnsi="Segoe UI" w:cs="Segoe UI"/>
                <w:sz w:val="18"/>
                <w:szCs w:val="18"/>
                <w:lang w:val="en-US" w:eastAsia="en-US"/>
              </w:rPr>
            </w:pPr>
            <w:r>
              <w:rPr>
                <w:lang w:eastAsia="en-US"/>
              </w:rPr>
              <w:t>Německo</w:t>
            </w:r>
          </w:p>
        </w:tc>
        <w:tc>
          <w:tcPr>
            <w:tcW w:w="1479" w:type="dxa"/>
            <w:tcBorders>
              <w:bottom w:val="single" w:sz="6" w:space="0" w:color="000000"/>
              <w:right w:val="single" w:sz="6" w:space="0" w:color="000000"/>
            </w:tcBorders>
            <w:shd w:val="clear" w:color="auto" w:fill="auto"/>
            <w:vAlign w:val="bottom"/>
          </w:tcPr>
          <w:p w14:paraId="66C7AA29" w14:textId="77777777" w:rsidR="009D71CC" w:rsidRDefault="00CB7CE8">
            <w:pPr>
              <w:pStyle w:val="TableContents"/>
              <w:rPr>
                <w:rFonts w:ascii="Segoe UI" w:hAnsi="Segoe UI" w:cs="Segoe UI"/>
                <w:sz w:val="18"/>
                <w:szCs w:val="18"/>
                <w:lang w:val="en-US" w:eastAsia="en-US"/>
              </w:rPr>
            </w:pPr>
            <w:r>
              <w:rPr>
                <w:lang w:eastAsia="en-US"/>
              </w:rPr>
              <w:t>32</w:t>
            </w:r>
          </w:p>
        </w:tc>
      </w:tr>
      <w:tr w:rsidR="009D71CC" w14:paraId="2D7BB2A0"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367C61C7" w14:textId="77777777" w:rsidR="009D71CC" w:rsidRDefault="00CB7CE8">
            <w:pPr>
              <w:pStyle w:val="TableContents"/>
              <w:rPr>
                <w:rFonts w:ascii="Segoe UI" w:hAnsi="Segoe UI" w:cs="Segoe UI"/>
                <w:sz w:val="18"/>
                <w:szCs w:val="18"/>
                <w:lang w:val="en-US" w:eastAsia="en-US"/>
              </w:rPr>
            </w:pPr>
            <w:r>
              <w:rPr>
                <w:lang w:eastAsia="en-US"/>
              </w:rPr>
              <w:t>Hamburg</w:t>
            </w:r>
          </w:p>
        </w:tc>
        <w:tc>
          <w:tcPr>
            <w:tcW w:w="1650" w:type="dxa"/>
            <w:tcBorders>
              <w:bottom w:val="single" w:sz="6" w:space="0" w:color="000000"/>
              <w:right w:val="single" w:sz="6" w:space="0" w:color="000000"/>
            </w:tcBorders>
            <w:shd w:val="clear" w:color="auto" w:fill="auto"/>
            <w:vAlign w:val="bottom"/>
          </w:tcPr>
          <w:p w14:paraId="5CBFD8A5" w14:textId="77777777" w:rsidR="009D71CC" w:rsidRDefault="00CB7CE8">
            <w:pPr>
              <w:pStyle w:val="TableContents"/>
              <w:rPr>
                <w:rFonts w:ascii="Segoe UI" w:hAnsi="Segoe UI" w:cs="Segoe UI"/>
                <w:sz w:val="18"/>
                <w:szCs w:val="18"/>
                <w:lang w:val="en-US" w:eastAsia="en-US"/>
              </w:rPr>
            </w:pPr>
            <w:r>
              <w:rPr>
                <w:lang w:eastAsia="en-US"/>
              </w:rPr>
              <w:t>Německo</w:t>
            </w:r>
          </w:p>
        </w:tc>
        <w:tc>
          <w:tcPr>
            <w:tcW w:w="1479" w:type="dxa"/>
            <w:tcBorders>
              <w:bottom w:val="single" w:sz="6" w:space="0" w:color="000000"/>
              <w:right w:val="single" w:sz="6" w:space="0" w:color="000000"/>
            </w:tcBorders>
            <w:shd w:val="clear" w:color="auto" w:fill="auto"/>
            <w:vAlign w:val="bottom"/>
          </w:tcPr>
          <w:p w14:paraId="46E72B7A" w14:textId="77777777" w:rsidR="009D71CC" w:rsidRDefault="00CB7CE8">
            <w:pPr>
              <w:pStyle w:val="TableContents"/>
              <w:rPr>
                <w:rFonts w:ascii="Segoe UI" w:hAnsi="Segoe UI" w:cs="Segoe UI"/>
                <w:sz w:val="18"/>
                <w:szCs w:val="18"/>
                <w:lang w:val="en-US" w:eastAsia="en-US"/>
              </w:rPr>
            </w:pPr>
            <w:r>
              <w:rPr>
                <w:lang w:eastAsia="en-US"/>
              </w:rPr>
              <w:t>32</w:t>
            </w:r>
          </w:p>
        </w:tc>
      </w:tr>
      <w:tr w:rsidR="009D71CC" w14:paraId="18D42A75"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7D806CA7" w14:textId="77777777" w:rsidR="009D71CC" w:rsidRDefault="00CB7CE8">
            <w:pPr>
              <w:pStyle w:val="TableContents"/>
              <w:rPr>
                <w:rFonts w:ascii="Segoe UI" w:hAnsi="Segoe UI" w:cs="Segoe UI"/>
                <w:sz w:val="18"/>
                <w:szCs w:val="18"/>
                <w:lang w:val="en-US" w:eastAsia="en-US"/>
              </w:rPr>
            </w:pPr>
            <w:r>
              <w:rPr>
                <w:lang w:eastAsia="en-US"/>
              </w:rPr>
              <w:t>Kodaň</w:t>
            </w:r>
          </w:p>
        </w:tc>
        <w:tc>
          <w:tcPr>
            <w:tcW w:w="1650" w:type="dxa"/>
            <w:tcBorders>
              <w:bottom w:val="single" w:sz="6" w:space="0" w:color="000000"/>
              <w:right w:val="single" w:sz="6" w:space="0" w:color="000000"/>
            </w:tcBorders>
            <w:shd w:val="clear" w:color="auto" w:fill="auto"/>
            <w:vAlign w:val="bottom"/>
          </w:tcPr>
          <w:p w14:paraId="42D53C47" w14:textId="77777777" w:rsidR="009D71CC" w:rsidRDefault="00CB7CE8">
            <w:pPr>
              <w:pStyle w:val="TableContents"/>
              <w:rPr>
                <w:rFonts w:ascii="Segoe UI" w:hAnsi="Segoe UI" w:cs="Segoe UI"/>
                <w:sz w:val="18"/>
                <w:szCs w:val="18"/>
                <w:lang w:val="en-US" w:eastAsia="en-US"/>
              </w:rPr>
            </w:pPr>
            <w:r>
              <w:rPr>
                <w:lang w:eastAsia="en-US"/>
              </w:rPr>
              <w:t>Dánsko</w:t>
            </w:r>
          </w:p>
        </w:tc>
        <w:tc>
          <w:tcPr>
            <w:tcW w:w="1479" w:type="dxa"/>
            <w:tcBorders>
              <w:bottom w:val="single" w:sz="6" w:space="0" w:color="000000"/>
              <w:right w:val="single" w:sz="6" w:space="0" w:color="000000"/>
            </w:tcBorders>
            <w:shd w:val="clear" w:color="auto" w:fill="auto"/>
            <w:vAlign w:val="bottom"/>
          </w:tcPr>
          <w:p w14:paraId="09764225" w14:textId="77777777" w:rsidR="009D71CC" w:rsidRDefault="00CB7CE8">
            <w:pPr>
              <w:pStyle w:val="TableContents"/>
              <w:rPr>
                <w:rFonts w:ascii="Segoe UI" w:hAnsi="Segoe UI" w:cs="Segoe UI"/>
                <w:sz w:val="18"/>
                <w:szCs w:val="18"/>
                <w:lang w:val="en-US" w:eastAsia="en-US"/>
              </w:rPr>
            </w:pPr>
            <w:r>
              <w:rPr>
                <w:lang w:eastAsia="en-US"/>
              </w:rPr>
              <w:t>32</w:t>
            </w:r>
          </w:p>
        </w:tc>
      </w:tr>
      <w:tr w:rsidR="009D71CC" w14:paraId="641AF569"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1E6D9A01" w14:textId="77777777" w:rsidR="009D71CC" w:rsidRDefault="00CB7CE8">
            <w:pPr>
              <w:pStyle w:val="TableContents"/>
              <w:rPr>
                <w:rFonts w:ascii="Segoe UI" w:hAnsi="Segoe UI" w:cs="Segoe UI"/>
                <w:sz w:val="18"/>
                <w:szCs w:val="18"/>
                <w:lang w:val="en-US" w:eastAsia="en-US"/>
              </w:rPr>
            </w:pPr>
            <w:r>
              <w:rPr>
                <w:lang w:eastAsia="en-US"/>
              </w:rPr>
              <w:t>Lisabon</w:t>
            </w:r>
          </w:p>
        </w:tc>
        <w:tc>
          <w:tcPr>
            <w:tcW w:w="1650" w:type="dxa"/>
            <w:tcBorders>
              <w:bottom w:val="single" w:sz="6" w:space="0" w:color="000000"/>
              <w:right w:val="single" w:sz="6" w:space="0" w:color="000000"/>
            </w:tcBorders>
            <w:shd w:val="clear" w:color="auto" w:fill="auto"/>
            <w:vAlign w:val="bottom"/>
          </w:tcPr>
          <w:p w14:paraId="6DB9E77C" w14:textId="77777777" w:rsidR="009D71CC" w:rsidRDefault="00CB7CE8">
            <w:pPr>
              <w:pStyle w:val="TableContents"/>
              <w:rPr>
                <w:rFonts w:ascii="Segoe UI" w:hAnsi="Segoe UI" w:cs="Segoe UI"/>
                <w:sz w:val="18"/>
                <w:szCs w:val="18"/>
                <w:lang w:val="en-US" w:eastAsia="en-US"/>
              </w:rPr>
            </w:pPr>
            <w:r>
              <w:rPr>
                <w:lang w:eastAsia="en-US"/>
              </w:rPr>
              <w:t>Portugalsko</w:t>
            </w:r>
          </w:p>
        </w:tc>
        <w:tc>
          <w:tcPr>
            <w:tcW w:w="1479" w:type="dxa"/>
            <w:tcBorders>
              <w:bottom w:val="single" w:sz="6" w:space="0" w:color="000000"/>
              <w:right w:val="single" w:sz="6" w:space="0" w:color="000000"/>
            </w:tcBorders>
            <w:shd w:val="clear" w:color="auto" w:fill="auto"/>
            <w:vAlign w:val="bottom"/>
          </w:tcPr>
          <w:p w14:paraId="0FF2790F" w14:textId="77777777" w:rsidR="009D71CC" w:rsidRDefault="00CB7CE8">
            <w:pPr>
              <w:pStyle w:val="TableContents"/>
              <w:rPr>
                <w:rFonts w:ascii="Segoe UI" w:hAnsi="Segoe UI" w:cs="Segoe UI"/>
                <w:sz w:val="18"/>
                <w:szCs w:val="18"/>
                <w:lang w:val="en-US" w:eastAsia="en-US"/>
              </w:rPr>
            </w:pPr>
            <w:r>
              <w:rPr>
                <w:lang w:eastAsia="en-US"/>
              </w:rPr>
              <w:t>29</w:t>
            </w:r>
          </w:p>
        </w:tc>
      </w:tr>
      <w:tr w:rsidR="009D71CC" w14:paraId="02D6507B"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7945A97D" w14:textId="77777777" w:rsidR="009D71CC" w:rsidRDefault="00CB7CE8">
            <w:pPr>
              <w:pStyle w:val="TableContents"/>
              <w:rPr>
                <w:rFonts w:ascii="Segoe UI" w:hAnsi="Segoe UI" w:cs="Segoe UI"/>
                <w:sz w:val="18"/>
                <w:szCs w:val="18"/>
                <w:lang w:val="en-US" w:eastAsia="en-US"/>
              </w:rPr>
            </w:pPr>
            <w:r>
              <w:rPr>
                <w:lang w:eastAsia="en-US"/>
              </w:rPr>
              <w:t>Londýn</w:t>
            </w:r>
          </w:p>
        </w:tc>
        <w:tc>
          <w:tcPr>
            <w:tcW w:w="1650" w:type="dxa"/>
            <w:tcBorders>
              <w:bottom w:val="single" w:sz="6" w:space="0" w:color="000000"/>
              <w:right w:val="single" w:sz="6" w:space="0" w:color="000000"/>
            </w:tcBorders>
            <w:shd w:val="clear" w:color="auto" w:fill="auto"/>
            <w:vAlign w:val="bottom"/>
          </w:tcPr>
          <w:p w14:paraId="00841348" w14:textId="77777777" w:rsidR="009D71CC" w:rsidRDefault="00CB7CE8">
            <w:pPr>
              <w:pStyle w:val="TableContents"/>
              <w:rPr>
                <w:rFonts w:ascii="Segoe UI" w:hAnsi="Segoe UI" w:cs="Segoe UI"/>
                <w:sz w:val="18"/>
                <w:szCs w:val="18"/>
                <w:lang w:val="en-US" w:eastAsia="en-US"/>
              </w:rPr>
            </w:pPr>
            <w:r>
              <w:rPr>
                <w:lang w:eastAsia="en-US"/>
              </w:rPr>
              <w:t>Velká Británie</w:t>
            </w:r>
          </w:p>
        </w:tc>
        <w:tc>
          <w:tcPr>
            <w:tcW w:w="1479" w:type="dxa"/>
            <w:tcBorders>
              <w:bottom w:val="single" w:sz="6" w:space="0" w:color="000000"/>
              <w:right w:val="single" w:sz="6" w:space="0" w:color="000000"/>
            </w:tcBorders>
            <w:shd w:val="clear" w:color="auto" w:fill="auto"/>
            <w:vAlign w:val="bottom"/>
          </w:tcPr>
          <w:p w14:paraId="65E44FCD" w14:textId="77777777" w:rsidR="009D71CC" w:rsidRDefault="00CB7CE8">
            <w:pPr>
              <w:pStyle w:val="TableContents"/>
              <w:rPr>
                <w:rFonts w:ascii="Segoe UI" w:hAnsi="Segoe UI" w:cs="Segoe UI"/>
                <w:sz w:val="18"/>
                <w:szCs w:val="18"/>
                <w:lang w:val="en-US" w:eastAsia="en-US"/>
              </w:rPr>
            </w:pPr>
            <w:r>
              <w:rPr>
                <w:lang w:eastAsia="en-US"/>
              </w:rPr>
              <w:t>30</w:t>
            </w:r>
          </w:p>
        </w:tc>
      </w:tr>
      <w:tr w:rsidR="009D71CC" w14:paraId="50D1D64F"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72DA37ED" w14:textId="77777777" w:rsidR="009D71CC" w:rsidRDefault="00CB7CE8">
            <w:pPr>
              <w:pStyle w:val="TableContents"/>
              <w:rPr>
                <w:rFonts w:ascii="Segoe UI" w:hAnsi="Segoe UI" w:cs="Segoe UI"/>
                <w:sz w:val="18"/>
                <w:szCs w:val="18"/>
                <w:lang w:val="en-US" w:eastAsia="en-US"/>
              </w:rPr>
            </w:pPr>
            <w:r>
              <w:rPr>
                <w:lang w:eastAsia="en-US"/>
              </w:rPr>
              <w:t>Lyon</w:t>
            </w:r>
          </w:p>
        </w:tc>
        <w:tc>
          <w:tcPr>
            <w:tcW w:w="1650" w:type="dxa"/>
            <w:tcBorders>
              <w:bottom w:val="single" w:sz="6" w:space="0" w:color="000000"/>
              <w:right w:val="single" w:sz="6" w:space="0" w:color="000000"/>
            </w:tcBorders>
            <w:shd w:val="clear" w:color="auto" w:fill="auto"/>
            <w:vAlign w:val="bottom"/>
          </w:tcPr>
          <w:p w14:paraId="38A0769D" w14:textId="77777777" w:rsidR="009D71CC" w:rsidRDefault="00CB7CE8">
            <w:pPr>
              <w:pStyle w:val="TableContents"/>
              <w:rPr>
                <w:rFonts w:ascii="Segoe UI" w:hAnsi="Segoe UI" w:cs="Segoe UI"/>
                <w:sz w:val="18"/>
                <w:szCs w:val="18"/>
                <w:lang w:val="en-US" w:eastAsia="en-US"/>
              </w:rPr>
            </w:pPr>
            <w:r>
              <w:rPr>
                <w:lang w:eastAsia="en-US"/>
              </w:rPr>
              <w:t>Francie</w:t>
            </w:r>
          </w:p>
        </w:tc>
        <w:tc>
          <w:tcPr>
            <w:tcW w:w="1479" w:type="dxa"/>
            <w:tcBorders>
              <w:bottom w:val="single" w:sz="6" w:space="0" w:color="000000"/>
              <w:right w:val="single" w:sz="6" w:space="0" w:color="000000"/>
            </w:tcBorders>
            <w:shd w:val="clear" w:color="auto" w:fill="auto"/>
            <w:vAlign w:val="bottom"/>
          </w:tcPr>
          <w:p w14:paraId="7EF324A5" w14:textId="77777777" w:rsidR="009D71CC" w:rsidRDefault="00CB7CE8">
            <w:pPr>
              <w:pStyle w:val="TableContents"/>
              <w:rPr>
                <w:rFonts w:ascii="Segoe UI" w:hAnsi="Segoe UI" w:cs="Segoe UI"/>
                <w:sz w:val="18"/>
                <w:szCs w:val="18"/>
                <w:lang w:val="en-US" w:eastAsia="en-US"/>
              </w:rPr>
            </w:pPr>
            <w:r>
              <w:rPr>
                <w:lang w:eastAsia="en-US"/>
              </w:rPr>
              <w:t>31</w:t>
            </w:r>
          </w:p>
        </w:tc>
      </w:tr>
      <w:tr w:rsidR="009D71CC" w14:paraId="272A3121"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1D178505" w14:textId="77777777" w:rsidR="009D71CC" w:rsidRDefault="00CB7CE8">
            <w:pPr>
              <w:pStyle w:val="TableContents"/>
              <w:rPr>
                <w:rFonts w:ascii="Segoe UI" w:hAnsi="Segoe UI" w:cs="Segoe UI"/>
                <w:sz w:val="18"/>
                <w:szCs w:val="18"/>
                <w:lang w:val="en-US" w:eastAsia="en-US"/>
              </w:rPr>
            </w:pPr>
            <w:r>
              <w:rPr>
                <w:lang w:eastAsia="en-US"/>
              </w:rPr>
              <w:t>Madrid</w:t>
            </w:r>
          </w:p>
        </w:tc>
        <w:tc>
          <w:tcPr>
            <w:tcW w:w="1650" w:type="dxa"/>
            <w:tcBorders>
              <w:bottom w:val="single" w:sz="6" w:space="0" w:color="000000"/>
              <w:right w:val="single" w:sz="6" w:space="0" w:color="000000"/>
            </w:tcBorders>
            <w:shd w:val="clear" w:color="auto" w:fill="auto"/>
            <w:vAlign w:val="bottom"/>
          </w:tcPr>
          <w:p w14:paraId="2A56CF02" w14:textId="77777777" w:rsidR="009D71CC" w:rsidRDefault="00CB7CE8">
            <w:pPr>
              <w:pStyle w:val="TableContents"/>
              <w:rPr>
                <w:rFonts w:ascii="Segoe UI" w:hAnsi="Segoe UI" w:cs="Segoe UI"/>
                <w:sz w:val="18"/>
                <w:szCs w:val="18"/>
                <w:lang w:val="en-US" w:eastAsia="en-US"/>
              </w:rPr>
            </w:pPr>
            <w:r>
              <w:rPr>
                <w:lang w:eastAsia="en-US"/>
              </w:rPr>
              <w:t>Španělsko</w:t>
            </w:r>
          </w:p>
        </w:tc>
        <w:tc>
          <w:tcPr>
            <w:tcW w:w="1479" w:type="dxa"/>
            <w:tcBorders>
              <w:bottom w:val="single" w:sz="6" w:space="0" w:color="000000"/>
              <w:right w:val="single" w:sz="6" w:space="0" w:color="000000"/>
            </w:tcBorders>
            <w:shd w:val="clear" w:color="auto" w:fill="auto"/>
            <w:vAlign w:val="bottom"/>
          </w:tcPr>
          <w:p w14:paraId="5F50506C" w14:textId="77777777" w:rsidR="009D71CC" w:rsidRDefault="00CB7CE8">
            <w:pPr>
              <w:pStyle w:val="TableContents"/>
              <w:rPr>
                <w:rFonts w:ascii="Segoe UI" w:hAnsi="Segoe UI" w:cs="Segoe UI"/>
                <w:sz w:val="18"/>
                <w:szCs w:val="18"/>
                <w:lang w:val="en-US" w:eastAsia="en-US"/>
              </w:rPr>
            </w:pPr>
            <w:r>
              <w:rPr>
                <w:lang w:eastAsia="en-US"/>
              </w:rPr>
              <w:t>30</w:t>
            </w:r>
          </w:p>
        </w:tc>
      </w:tr>
      <w:tr w:rsidR="009D71CC" w14:paraId="4D5779A8"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18AB7610" w14:textId="77777777" w:rsidR="009D71CC" w:rsidRDefault="00CB7CE8">
            <w:pPr>
              <w:pStyle w:val="TableContents"/>
              <w:rPr>
                <w:rFonts w:ascii="Segoe UI" w:hAnsi="Segoe UI" w:cs="Segoe UI"/>
                <w:sz w:val="18"/>
                <w:szCs w:val="18"/>
                <w:lang w:val="en-US" w:eastAsia="en-US"/>
              </w:rPr>
            </w:pPr>
            <w:r>
              <w:rPr>
                <w:lang w:eastAsia="en-US"/>
              </w:rPr>
              <w:t>Milán</w:t>
            </w:r>
          </w:p>
        </w:tc>
        <w:tc>
          <w:tcPr>
            <w:tcW w:w="1650" w:type="dxa"/>
            <w:tcBorders>
              <w:bottom w:val="single" w:sz="6" w:space="0" w:color="000000"/>
              <w:right w:val="single" w:sz="6" w:space="0" w:color="000000"/>
            </w:tcBorders>
            <w:shd w:val="clear" w:color="auto" w:fill="auto"/>
            <w:vAlign w:val="bottom"/>
          </w:tcPr>
          <w:p w14:paraId="04DD0AB3" w14:textId="77777777" w:rsidR="009D71CC" w:rsidRDefault="00CB7CE8">
            <w:pPr>
              <w:pStyle w:val="TableContents"/>
              <w:rPr>
                <w:rFonts w:ascii="Segoe UI" w:hAnsi="Segoe UI" w:cs="Segoe UI"/>
                <w:sz w:val="18"/>
                <w:szCs w:val="18"/>
                <w:lang w:val="en-US" w:eastAsia="en-US"/>
              </w:rPr>
            </w:pPr>
            <w:r>
              <w:rPr>
                <w:lang w:eastAsia="en-US"/>
              </w:rPr>
              <w:t>Itálie</w:t>
            </w:r>
          </w:p>
        </w:tc>
        <w:tc>
          <w:tcPr>
            <w:tcW w:w="1479" w:type="dxa"/>
            <w:tcBorders>
              <w:bottom w:val="single" w:sz="6" w:space="0" w:color="000000"/>
              <w:right w:val="single" w:sz="6" w:space="0" w:color="000000"/>
            </w:tcBorders>
            <w:shd w:val="clear" w:color="auto" w:fill="auto"/>
            <w:vAlign w:val="bottom"/>
          </w:tcPr>
          <w:p w14:paraId="2EF02210" w14:textId="77777777" w:rsidR="009D71CC" w:rsidRDefault="00CB7CE8">
            <w:pPr>
              <w:pStyle w:val="TableContents"/>
              <w:rPr>
                <w:rFonts w:ascii="Segoe UI" w:hAnsi="Segoe UI" w:cs="Segoe UI"/>
                <w:sz w:val="18"/>
                <w:szCs w:val="18"/>
                <w:lang w:val="en-US" w:eastAsia="en-US"/>
              </w:rPr>
            </w:pPr>
            <w:r>
              <w:rPr>
                <w:lang w:eastAsia="en-US"/>
              </w:rPr>
              <w:t>32</w:t>
            </w:r>
          </w:p>
        </w:tc>
      </w:tr>
      <w:tr w:rsidR="009D71CC" w14:paraId="25C3B67A"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2FE30490" w14:textId="77777777" w:rsidR="009D71CC" w:rsidRDefault="00CB7CE8">
            <w:pPr>
              <w:pStyle w:val="TableContents"/>
              <w:rPr>
                <w:rFonts w:ascii="Segoe UI" w:hAnsi="Segoe UI" w:cs="Segoe UI"/>
                <w:sz w:val="18"/>
                <w:szCs w:val="18"/>
                <w:lang w:val="en-US" w:eastAsia="en-US"/>
              </w:rPr>
            </w:pPr>
            <w:r>
              <w:rPr>
                <w:lang w:eastAsia="en-US"/>
              </w:rPr>
              <w:t>Paříž</w:t>
            </w:r>
          </w:p>
        </w:tc>
        <w:tc>
          <w:tcPr>
            <w:tcW w:w="1650" w:type="dxa"/>
            <w:tcBorders>
              <w:bottom w:val="single" w:sz="6" w:space="0" w:color="000000"/>
              <w:right w:val="single" w:sz="6" w:space="0" w:color="000000"/>
            </w:tcBorders>
            <w:shd w:val="clear" w:color="auto" w:fill="auto"/>
            <w:vAlign w:val="bottom"/>
          </w:tcPr>
          <w:p w14:paraId="3332DCAF" w14:textId="77777777" w:rsidR="009D71CC" w:rsidRDefault="00CB7CE8">
            <w:pPr>
              <w:pStyle w:val="TableContents"/>
              <w:rPr>
                <w:rFonts w:ascii="Segoe UI" w:hAnsi="Segoe UI" w:cs="Segoe UI"/>
                <w:sz w:val="18"/>
                <w:szCs w:val="18"/>
                <w:lang w:val="en-US" w:eastAsia="en-US"/>
              </w:rPr>
            </w:pPr>
            <w:r>
              <w:rPr>
                <w:lang w:eastAsia="en-US"/>
              </w:rPr>
              <w:t>Francie</w:t>
            </w:r>
          </w:p>
        </w:tc>
        <w:tc>
          <w:tcPr>
            <w:tcW w:w="1479" w:type="dxa"/>
            <w:tcBorders>
              <w:bottom w:val="single" w:sz="6" w:space="0" w:color="000000"/>
              <w:right w:val="single" w:sz="6" w:space="0" w:color="000000"/>
            </w:tcBorders>
            <w:shd w:val="clear" w:color="auto" w:fill="auto"/>
            <w:vAlign w:val="bottom"/>
          </w:tcPr>
          <w:p w14:paraId="4148ED48" w14:textId="77777777" w:rsidR="009D71CC" w:rsidRDefault="00CB7CE8">
            <w:pPr>
              <w:pStyle w:val="TableContents"/>
              <w:rPr>
                <w:rFonts w:ascii="Segoe UI" w:hAnsi="Segoe UI" w:cs="Segoe UI"/>
                <w:sz w:val="18"/>
                <w:szCs w:val="18"/>
                <w:lang w:val="en-US" w:eastAsia="en-US"/>
              </w:rPr>
            </w:pPr>
            <w:r>
              <w:rPr>
                <w:lang w:eastAsia="en-US"/>
              </w:rPr>
              <w:t>31</w:t>
            </w:r>
          </w:p>
        </w:tc>
      </w:tr>
      <w:tr w:rsidR="009D71CC" w14:paraId="7CE302C7"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603C3F8F" w14:textId="77777777" w:rsidR="009D71CC" w:rsidRDefault="00CB7CE8">
            <w:pPr>
              <w:pStyle w:val="TableContents"/>
              <w:rPr>
                <w:rFonts w:ascii="Segoe UI" w:hAnsi="Segoe UI" w:cs="Segoe UI"/>
                <w:sz w:val="18"/>
                <w:szCs w:val="18"/>
                <w:lang w:val="en-US" w:eastAsia="en-US"/>
              </w:rPr>
            </w:pPr>
            <w:r>
              <w:rPr>
                <w:lang w:eastAsia="en-US"/>
              </w:rPr>
              <w:t>Porto</w:t>
            </w:r>
          </w:p>
        </w:tc>
        <w:tc>
          <w:tcPr>
            <w:tcW w:w="1650" w:type="dxa"/>
            <w:tcBorders>
              <w:bottom w:val="single" w:sz="6" w:space="0" w:color="000000"/>
              <w:right w:val="single" w:sz="6" w:space="0" w:color="000000"/>
            </w:tcBorders>
            <w:shd w:val="clear" w:color="auto" w:fill="auto"/>
            <w:vAlign w:val="bottom"/>
          </w:tcPr>
          <w:p w14:paraId="025F379B" w14:textId="77777777" w:rsidR="009D71CC" w:rsidRDefault="00CB7CE8">
            <w:pPr>
              <w:pStyle w:val="TableContents"/>
              <w:rPr>
                <w:rFonts w:ascii="Segoe UI" w:hAnsi="Segoe UI" w:cs="Segoe UI"/>
                <w:sz w:val="18"/>
                <w:szCs w:val="18"/>
                <w:lang w:val="en-US" w:eastAsia="en-US"/>
              </w:rPr>
            </w:pPr>
            <w:r>
              <w:rPr>
                <w:lang w:eastAsia="en-US"/>
              </w:rPr>
              <w:t>Portugalsko</w:t>
            </w:r>
          </w:p>
        </w:tc>
        <w:tc>
          <w:tcPr>
            <w:tcW w:w="1479" w:type="dxa"/>
            <w:tcBorders>
              <w:bottom w:val="single" w:sz="6" w:space="0" w:color="000000"/>
              <w:right w:val="single" w:sz="6" w:space="0" w:color="000000"/>
            </w:tcBorders>
            <w:shd w:val="clear" w:color="auto" w:fill="auto"/>
            <w:vAlign w:val="bottom"/>
          </w:tcPr>
          <w:p w14:paraId="19E4E2F1" w14:textId="77777777" w:rsidR="009D71CC" w:rsidRDefault="00CB7CE8">
            <w:pPr>
              <w:pStyle w:val="TableContents"/>
              <w:rPr>
                <w:rFonts w:ascii="Segoe UI" w:hAnsi="Segoe UI" w:cs="Segoe UI"/>
                <w:sz w:val="18"/>
                <w:szCs w:val="18"/>
                <w:lang w:val="en-US" w:eastAsia="en-US"/>
              </w:rPr>
            </w:pPr>
            <w:r>
              <w:rPr>
                <w:lang w:eastAsia="en-US"/>
              </w:rPr>
              <w:t>29</w:t>
            </w:r>
          </w:p>
        </w:tc>
      </w:tr>
      <w:tr w:rsidR="009D71CC" w14:paraId="74C1B290"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2BEE8B39" w14:textId="77777777" w:rsidR="009D71CC" w:rsidRDefault="00CB7CE8">
            <w:pPr>
              <w:pStyle w:val="TableContents"/>
              <w:rPr>
                <w:rFonts w:ascii="Segoe UI" w:hAnsi="Segoe UI" w:cs="Segoe UI"/>
                <w:sz w:val="18"/>
                <w:szCs w:val="18"/>
                <w:lang w:val="en-US" w:eastAsia="en-US"/>
              </w:rPr>
            </w:pPr>
            <w:r>
              <w:rPr>
                <w:lang w:eastAsia="en-US"/>
              </w:rPr>
              <w:t>Praha</w:t>
            </w:r>
          </w:p>
        </w:tc>
        <w:tc>
          <w:tcPr>
            <w:tcW w:w="1650" w:type="dxa"/>
            <w:tcBorders>
              <w:bottom w:val="single" w:sz="6" w:space="0" w:color="000000"/>
              <w:right w:val="single" w:sz="6" w:space="0" w:color="000000"/>
            </w:tcBorders>
            <w:shd w:val="clear" w:color="auto" w:fill="auto"/>
            <w:vAlign w:val="bottom"/>
          </w:tcPr>
          <w:p w14:paraId="795FD827" w14:textId="77777777" w:rsidR="009D71CC" w:rsidRDefault="00CB7CE8">
            <w:pPr>
              <w:pStyle w:val="TableContents"/>
              <w:rPr>
                <w:rFonts w:ascii="Segoe UI" w:hAnsi="Segoe UI" w:cs="Segoe UI"/>
                <w:sz w:val="18"/>
                <w:szCs w:val="18"/>
                <w:lang w:val="en-US" w:eastAsia="en-US"/>
              </w:rPr>
            </w:pPr>
            <w:r>
              <w:rPr>
                <w:lang w:eastAsia="en-US"/>
              </w:rPr>
              <w:t>Česko</w:t>
            </w:r>
          </w:p>
        </w:tc>
        <w:tc>
          <w:tcPr>
            <w:tcW w:w="1479" w:type="dxa"/>
            <w:tcBorders>
              <w:bottom w:val="single" w:sz="6" w:space="0" w:color="000000"/>
              <w:right w:val="single" w:sz="6" w:space="0" w:color="000000"/>
            </w:tcBorders>
            <w:shd w:val="clear" w:color="auto" w:fill="auto"/>
            <w:vAlign w:val="bottom"/>
          </w:tcPr>
          <w:p w14:paraId="6CF45730" w14:textId="77777777" w:rsidR="009D71CC" w:rsidRDefault="00CB7CE8">
            <w:pPr>
              <w:pStyle w:val="TableContents"/>
              <w:rPr>
                <w:rFonts w:ascii="Segoe UI" w:hAnsi="Segoe UI" w:cs="Segoe UI"/>
                <w:sz w:val="18"/>
                <w:szCs w:val="18"/>
                <w:lang w:val="en-US" w:eastAsia="en-US"/>
              </w:rPr>
            </w:pPr>
            <w:r>
              <w:rPr>
                <w:lang w:eastAsia="en-US"/>
              </w:rPr>
              <w:t>33</w:t>
            </w:r>
          </w:p>
        </w:tc>
      </w:tr>
      <w:tr w:rsidR="009D71CC" w14:paraId="21505246"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45EC2E55" w14:textId="77777777" w:rsidR="009D71CC" w:rsidRDefault="00CB7CE8">
            <w:pPr>
              <w:pStyle w:val="TableContents"/>
              <w:rPr>
                <w:rFonts w:ascii="Segoe UI" w:hAnsi="Segoe UI" w:cs="Segoe UI"/>
                <w:sz w:val="18"/>
                <w:szCs w:val="18"/>
                <w:lang w:val="en-US" w:eastAsia="en-US"/>
              </w:rPr>
            </w:pPr>
            <w:r>
              <w:rPr>
                <w:lang w:eastAsia="en-US"/>
              </w:rPr>
              <w:t>Rotterdam</w:t>
            </w:r>
          </w:p>
        </w:tc>
        <w:tc>
          <w:tcPr>
            <w:tcW w:w="1650" w:type="dxa"/>
            <w:tcBorders>
              <w:bottom w:val="single" w:sz="6" w:space="0" w:color="000000"/>
              <w:right w:val="single" w:sz="6" w:space="0" w:color="000000"/>
            </w:tcBorders>
            <w:shd w:val="clear" w:color="auto" w:fill="auto"/>
            <w:vAlign w:val="bottom"/>
          </w:tcPr>
          <w:p w14:paraId="10BA3BA3" w14:textId="77777777" w:rsidR="009D71CC" w:rsidRDefault="00CB7CE8">
            <w:pPr>
              <w:pStyle w:val="TableContents"/>
              <w:rPr>
                <w:rFonts w:ascii="Segoe UI" w:hAnsi="Segoe UI" w:cs="Segoe UI"/>
                <w:sz w:val="18"/>
                <w:szCs w:val="18"/>
                <w:lang w:val="en-US" w:eastAsia="en-US"/>
              </w:rPr>
            </w:pPr>
            <w:r>
              <w:rPr>
                <w:lang w:eastAsia="en-US"/>
              </w:rPr>
              <w:t>Nizozemsko</w:t>
            </w:r>
          </w:p>
        </w:tc>
        <w:tc>
          <w:tcPr>
            <w:tcW w:w="1479" w:type="dxa"/>
            <w:tcBorders>
              <w:bottom w:val="single" w:sz="6" w:space="0" w:color="000000"/>
              <w:right w:val="single" w:sz="6" w:space="0" w:color="000000"/>
            </w:tcBorders>
            <w:shd w:val="clear" w:color="auto" w:fill="auto"/>
            <w:vAlign w:val="bottom"/>
          </w:tcPr>
          <w:p w14:paraId="538E9E00" w14:textId="77777777" w:rsidR="009D71CC" w:rsidRDefault="00CB7CE8">
            <w:pPr>
              <w:pStyle w:val="TableContents"/>
              <w:rPr>
                <w:rFonts w:ascii="Segoe UI" w:hAnsi="Segoe UI" w:cs="Segoe UI"/>
                <w:sz w:val="18"/>
                <w:szCs w:val="18"/>
                <w:lang w:val="en-US" w:eastAsia="en-US"/>
              </w:rPr>
            </w:pPr>
            <w:r>
              <w:rPr>
                <w:lang w:eastAsia="en-US"/>
              </w:rPr>
              <w:t>31</w:t>
            </w:r>
          </w:p>
        </w:tc>
      </w:tr>
      <w:tr w:rsidR="009D71CC" w14:paraId="0976E300"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21710CF7" w14:textId="77777777" w:rsidR="009D71CC" w:rsidRDefault="00CB7CE8">
            <w:pPr>
              <w:pStyle w:val="TableContents"/>
              <w:rPr>
                <w:rFonts w:ascii="Segoe UI" w:hAnsi="Segoe UI" w:cs="Segoe UI"/>
                <w:sz w:val="18"/>
                <w:szCs w:val="18"/>
                <w:lang w:val="en-US" w:eastAsia="en-US"/>
              </w:rPr>
            </w:pPr>
            <w:r>
              <w:rPr>
                <w:lang w:eastAsia="en-US"/>
              </w:rPr>
              <w:t>Sevilla</w:t>
            </w:r>
          </w:p>
        </w:tc>
        <w:tc>
          <w:tcPr>
            <w:tcW w:w="1650" w:type="dxa"/>
            <w:tcBorders>
              <w:bottom w:val="single" w:sz="6" w:space="0" w:color="000000"/>
              <w:right w:val="single" w:sz="6" w:space="0" w:color="000000"/>
            </w:tcBorders>
            <w:shd w:val="clear" w:color="auto" w:fill="auto"/>
            <w:vAlign w:val="bottom"/>
          </w:tcPr>
          <w:p w14:paraId="090B28CA" w14:textId="77777777" w:rsidR="009D71CC" w:rsidRDefault="00CB7CE8">
            <w:pPr>
              <w:pStyle w:val="TableContents"/>
              <w:rPr>
                <w:rFonts w:ascii="Segoe UI" w:hAnsi="Segoe UI" w:cs="Segoe UI"/>
                <w:sz w:val="18"/>
                <w:szCs w:val="18"/>
                <w:lang w:val="en-US" w:eastAsia="en-US"/>
              </w:rPr>
            </w:pPr>
            <w:r>
              <w:rPr>
                <w:lang w:eastAsia="en-US"/>
              </w:rPr>
              <w:t>Španělsko</w:t>
            </w:r>
          </w:p>
        </w:tc>
        <w:tc>
          <w:tcPr>
            <w:tcW w:w="1479" w:type="dxa"/>
            <w:tcBorders>
              <w:bottom w:val="single" w:sz="6" w:space="0" w:color="000000"/>
              <w:right w:val="single" w:sz="6" w:space="0" w:color="000000"/>
            </w:tcBorders>
            <w:shd w:val="clear" w:color="auto" w:fill="auto"/>
            <w:vAlign w:val="bottom"/>
          </w:tcPr>
          <w:p w14:paraId="0C2884AF" w14:textId="77777777" w:rsidR="009D71CC" w:rsidRDefault="00CB7CE8">
            <w:pPr>
              <w:pStyle w:val="TableContents"/>
              <w:rPr>
                <w:rFonts w:ascii="Segoe UI" w:hAnsi="Segoe UI" w:cs="Segoe UI"/>
                <w:sz w:val="18"/>
                <w:szCs w:val="18"/>
                <w:lang w:val="en-US" w:eastAsia="en-US"/>
              </w:rPr>
            </w:pPr>
            <w:r>
              <w:rPr>
                <w:lang w:eastAsia="en-US"/>
              </w:rPr>
              <w:t>30</w:t>
            </w:r>
          </w:p>
        </w:tc>
      </w:tr>
      <w:tr w:rsidR="009D71CC" w14:paraId="3B6424E8"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30EF3E09" w14:textId="77777777" w:rsidR="009D71CC" w:rsidRDefault="00CB7CE8">
            <w:pPr>
              <w:pStyle w:val="TableContents"/>
              <w:rPr>
                <w:rFonts w:ascii="Segoe UI" w:hAnsi="Segoe UI" w:cs="Segoe UI"/>
                <w:sz w:val="18"/>
                <w:szCs w:val="18"/>
                <w:lang w:val="en-US" w:eastAsia="en-US"/>
              </w:rPr>
            </w:pPr>
            <w:r>
              <w:rPr>
                <w:lang w:eastAsia="en-US"/>
              </w:rPr>
              <w:t>Sofia</w:t>
            </w:r>
          </w:p>
        </w:tc>
        <w:tc>
          <w:tcPr>
            <w:tcW w:w="1650" w:type="dxa"/>
            <w:tcBorders>
              <w:bottom w:val="single" w:sz="6" w:space="0" w:color="000000"/>
              <w:right w:val="single" w:sz="6" w:space="0" w:color="000000"/>
            </w:tcBorders>
            <w:shd w:val="clear" w:color="auto" w:fill="auto"/>
            <w:vAlign w:val="bottom"/>
          </w:tcPr>
          <w:p w14:paraId="652B9A3C" w14:textId="77777777" w:rsidR="009D71CC" w:rsidRDefault="00CB7CE8">
            <w:pPr>
              <w:pStyle w:val="TableContents"/>
              <w:rPr>
                <w:rFonts w:ascii="Segoe UI" w:hAnsi="Segoe UI" w:cs="Segoe UI"/>
                <w:sz w:val="18"/>
                <w:szCs w:val="18"/>
                <w:lang w:val="en-US" w:eastAsia="en-US"/>
              </w:rPr>
            </w:pPr>
            <w:r>
              <w:rPr>
                <w:lang w:eastAsia="en-US"/>
              </w:rPr>
              <w:t>Bulharsko</w:t>
            </w:r>
          </w:p>
        </w:tc>
        <w:tc>
          <w:tcPr>
            <w:tcW w:w="1479" w:type="dxa"/>
            <w:tcBorders>
              <w:bottom w:val="single" w:sz="6" w:space="0" w:color="000000"/>
              <w:right w:val="single" w:sz="6" w:space="0" w:color="000000"/>
            </w:tcBorders>
            <w:shd w:val="clear" w:color="auto" w:fill="auto"/>
            <w:vAlign w:val="bottom"/>
          </w:tcPr>
          <w:p w14:paraId="54C8EE20" w14:textId="77777777" w:rsidR="009D71CC" w:rsidRDefault="00CB7CE8">
            <w:pPr>
              <w:pStyle w:val="TableContents"/>
              <w:rPr>
                <w:rFonts w:ascii="Segoe UI" w:hAnsi="Segoe UI" w:cs="Segoe UI"/>
                <w:sz w:val="18"/>
                <w:szCs w:val="18"/>
                <w:lang w:val="en-US" w:eastAsia="en-US"/>
              </w:rPr>
            </w:pPr>
            <w:r>
              <w:rPr>
                <w:lang w:eastAsia="en-US"/>
              </w:rPr>
              <w:t>34</w:t>
            </w:r>
          </w:p>
        </w:tc>
      </w:tr>
      <w:tr w:rsidR="009D71CC" w14:paraId="79A59C7E"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0BE8A59C" w14:textId="77777777" w:rsidR="009D71CC" w:rsidRDefault="00CB7CE8">
            <w:pPr>
              <w:pStyle w:val="TableContents"/>
              <w:rPr>
                <w:rFonts w:ascii="Segoe UI" w:hAnsi="Segoe UI" w:cs="Segoe UI"/>
                <w:sz w:val="18"/>
                <w:szCs w:val="18"/>
                <w:lang w:val="en-US" w:eastAsia="en-US"/>
              </w:rPr>
            </w:pPr>
            <w:r>
              <w:rPr>
                <w:lang w:eastAsia="en-US"/>
              </w:rPr>
              <w:t>Stockholm</w:t>
            </w:r>
          </w:p>
        </w:tc>
        <w:tc>
          <w:tcPr>
            <w:tcW w:w="1650" w:type="dxa"/>
            <w:tcBorders>
              <w:bottom w:val="single" w:sz="6" w:space="0" w:color="000000"/>
              <w:right w:val="single" w:sz="6" w:space="0" w:color="000000"/>
            </w:tcBorders>
            <w:shd w:val="clear" w:color="auto" w:fill="auto"/>
            <w:vAlign w:val="bottom"/>
          </w:tcPr>
          <w:p w14:paraId="77261687" w14:textId="77777777" w:rsidR="009D71CC" w:rsidRDefault="00CB7CE8">
            <w:pPr>
              <w:pStyle w:val="TableContents"/>
              <w:rPr>
                <w:rFonts w:ascii="Segoe UI" w:hAnsi="Segoe UI" w:cs="Segoe UI"/>
                <w:sz w:val="18"/>
                <w:szCs w:val="18"/>
                <w:lang w:val="en-US" w:eastAsia="en-US"/>
              </w:rPr>
            </w:pPr>
            <w:r>
              <w:rPr>
                <w:lang w:eastAsia="en-US"/>
              </w:rPr>
              <w:t>Švédsko</w:t>
            </w:r>
          </w:p>
        </w:tc>
        <w:tc>
          <w:tcPr>
            <w:tcW w:w="1479" w:type="dxa"/>
            <w:tcBorders>
              <w:bottom w:val="single" w:sz="6" w:space="0" w:color="000000"/>
              <w:right w:val="single" w:sz="6" w:space="0" w:color="000000"/>
            </w:tcBorders>
            <w:shd w:val="clear" w:color="auto" w:fill="auto"/>
            <w:vAlign w:val="bottom"/>
          </w:tcPr>
          <w:p w14:paraId="0B3B367A" w14:textId="77777777" w:rsidR="009D71CC" w:rsidRDefault="00CB7CE8">
            <w:pPr>
              <w:pStyle w:val="TableContents"/>
              <w:rPr>
                <w:rFonts w:ascii="Segoe UI" w:hAnsi="Segoe UI" w:cs="Segoe UI"/>
                <w:sz w:val="18"/>
                <w:szCs w:val="18"/>
                <w:lang w:val="en-US" w:eastAsia="en-US"/>
              </w:rPr>
            </w:pPr>
            <w:r>
              <w:rPr>
                <w:lang w:eastAsia="en-US"/>
              </w:rPr>
              <w:t>34</w:t>
            </w:r>
          </w:p>
        </w:tc>
      </w:tr>
      <w:tr w:rsidR="009D71CC" w14:paraId="1C130F50" w14:textId="77777777">
        <w:trPr>
          <w:trHeight w:val="28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61717420" w14:textId="77777777" w:rsidR="009D71CC" w:rsidRDefault="00CB7CE8">
            <w:pPr>
              <w:pStyle w:val="TableContents"/>
              <w:rPr>
                <w:rFonts w:ascii="Segoe UI" w:hAnsi="Segoe UI" w:cs="Segoe UI"/>
                <w:sz w:val="18"/>
                <w:szCs w:val="18"/>
                <w:lang w:val="en-US" w:eastAsia="en-US"/>
              </w:rPr>
            </w:pPr>
            <w:r>
              <w:rPr>
                <w:lang w:eastAsia="en-US"/>
              </w:rPr>
              <w:t>Turín</w:t>
            </w:r>
          </w:p>
        </w:tc>
        <w:tc>
          <w:tcPr>
            <w:tcW w:w="1650" w:type="dxa"/>
            <w:tcBorders>
              <w:bottom w:val="single" w:sz="6" w:space="0" w:color="000000"/>
              <w:right w:val="single" w:sz="6" w:space="0" w:color="000000"/>
            </w:tcBorders>
            <w:shd w:val="clear" w:color="auto" w:fill="auto"/>
            <w:vAlign w:val="bottom"/>
          </w:tcPr>
          <w:p w14:paraId="5880CE42" w14:textId="77777777" w:rsidR="009D71CC" w:rsidRDefault="00CB7CE8">
            <w:pPr>
              <w:pStyle w:val="TableContents"/>
              <w:rPr>
                <w:rFonts w:ascii="Segoe UI" w:hAnsi="Segoe UI" w:cs="Segoe UI"/>
                <w:sz w:val="18"/>
                <w:szCs w:val="18"/>
                <w:lang w:val="en-US" w:eastAsia="en-US"/>
              </w:rPr>
            </w:pPr>
            <w:r>
              <w:rPr>
                <w:lang w:eastAsia="en-US"/>
              </w:rPr>
              <w:t>Itálie</w:t>
            </w:r>
          </w:p>
        </w:tc>
        <w:tc>
          <w:tcPr>
            <w:tcW w:w="1479" w:type="dxa"/>
            <w:tcBorders>
              <w:bottom w:val="single" w:sz="6" w:space="0" w:color="000000"/>
              <w:right w:val="single" w:sz="6" w:space="0" w:color="000000"/>
            </w:tcBorders>
            <w:shd w:val="clear" w:color="auto" w:fill="auto"/>
            <w:vAlign w:val="bottom"/>
          </w:tcPr>
          <w:p w14:paraId="6075A3A0" w14:textId="77777777" w:rsidR="009D71CC" w:rsidRDefault="00CB7CE8">
            <w:pPr>
              <w:pStyle w:val="TableContents"/>
              <w:rPr>
                <w:rFonts w:ascii="Segoe UI" w:hAnsi="Segoe UI" w:cs="Segoe UI"/>
                <w:sz w:val="18"/>
                <w:szCs w:val="18"/>
                <w:lang w:val="en-US" w:eastAsia="en-US"/>
              </w:rPr>
            </w:pPr>
            <w:r>
              <w:rPr>
                <w:lang w:eastAsia="en-US"/>
              </w:rPr>
              <w:t>32</w:t>
            </w:r>
          </w:p>
        </w:tc>
      </w:tr>
      <w:tr w:rsidR="009D71CC" w14:paraId="381A6EE7" w14:textId="77777777">
        <w:trPr>
          <w:trHeight w:val="45"/>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223F2FE7" w14:textId="77777777" w:rsidR="009D71CC" w:rsidRDefault="00CB7CE8">
            <w:pPr>
              <w:pStyle w:val="TableContents"/>
              <w:rPr>
                <w:rFonts w:ascii="Segoe UI" w:hAnsi="Segoe UI" w:cs="Segoe UI"/>
                <w:sz w:val="18"/>
                <w:szCs w:val="18"/>
                <w:lang w:val="en-US" w:eastAsia="en-US"/>
              </w:rPr>
            </w:pPr>
            <w:r>
              <w:rPr>
                <w:lang w:eastAsia="en-US"/>
              </w:rPr>
              <w:t>Vídeň</w:t>
            </w:r>
          </w:p>
        </w:tc>
        <w:tc>
          <w:tcPr>
            <w:tcW w:w="1650" w:type="dxa"/>
            <w:tcBorders>
              <w:bottom w:val="single" w:sz="6" w:space="0" w:color="000000"/>
              <w:right w:val="single" w:sz="6" w:space="0" w:color="000000"/>
            </w:tcBorders>
            <w:shd w:val="clear" w:color="auto" w:fill="auto"/>
            <w:vAlign w:val="bottom"/>
          </w:tcPr>
          <w:p w14:paraId="6D1D8177" w14:textId="77777777" w:rsidR="009D71CC" w:rsidRDefault="00CB7CE8">
            <w:pPr>
              <w:pStyle w:val="TableContents"/>
              <w:rPr>
                <w:rFonts w:ascii="Segoe UI" w:hAnsi="Segoe UI" w:cs="Segoe UI"/>
                <w:sz w:val="18"/>
                <w:szCs w:val="18"/>
                <w:lang w:val="en-US" w:eastAsia="en-US"/>
              </w:rPr>
            </w:pPr>
            <w:r>
              <w:rPr>
                <w:lang w:eastAsia="en-US"/>
              </w:rPr>
              <w:t>Rakousko</w:t>
            </w:r>
          </w:p>
        </w:tc>
        <w:tc>
          <w:tcPr>
            <w:tcW w:w="1479" w:type="dxa"/>
            <w:tcBorders>
              <w:bottom w:val="single" w:sz="6" w:space="0" w:color="000000"/>
              <w:right w:val="single" w:sz="6" w:space="0" w:color="000000"/>
            </w:tcBorders>
            <w:shd w:val="clear" w:color="auto" w:fill="auto"/>
            <w:vAlign w:val="bottom"/>
          </w:tcPr>
          <w:p w14:paraId="1FFC9630" w14:textId="77777777" w:rsidR="009D71CC" w:rsidRDefault="00CB7CE8">
            <w:pPr>
              <w:pStyle w:val="TableContents"/>
              <w:rPr>
                <w:rFonts w:ascii="Segoe UI" w:hAnsi="Segoe UI" w:cs="Segoe UI"/>
                <w:sz w:val="18"/>
                <w:szCs w:val="18"/>
                <w:lang w:val="en-US" w:eastAsia="en-US"/>
              </w:rPr>
            </w:pPr>
            <w:r>
              <w:rPr>
                <w:lang w:eastAsia="en-US"/>
              </w:rPr>
              <w:t>33</w:t>
            </w:r>
          </w:p>
        </w:tc>
      </w:tr>
      <w:tr w:rsidR="009D71CC" w14:paraId="7271D0C6" w14:textId="77777777">
        <w:trPr>
          <w:trHeight w:val="300"/>
          <w:jc w:val="center"/>
        </w:trPr>
        <w:tc>
          <w:tcPr>
            <w:tcW w:w="1560" w:type="dxa"/>
            <w:tcBorders>
              <w:left w:val="single" w:sz="6" w:space="0" w:color="000000"/>
              <w:bottom w:val="single" w:sz="6" w:space="0" w:color="000000"/>
              <w:right w:val="single" w:sz="6" w:space="0" w:color="000000"/>
            </w:tcBorders>
            <w:shd w:val="clear" w:color="auto" w:fill="E7E6E6"/>
            <w:vAlign w:val="bottom"/>
          </w:tcPr>
          <w:p w14:paraId="691D67FC" w14:textId="77777777" w:rsidR="009D71CC" w:rsidRDefault="00CB7CE8">
            <w:pPr>
              <w:pStyle w:val="TableContents"/>
              <w:rPr>
                <w:rFonts w:ascii="Segoe UI" w:hAnsi="Segoe UI" w:cs="Segoe UI"/>
                <w:sz w:val="18"/>
                <w:szCs w:val="18"/>
                <w:lang w:val="en-US" w:eastAsia="en-US"/>
              </w:rPr>
            </w:pPr>
            <w:r>
              <w:rPr>
                <w:lang w:eastAsia="en-US"/>
              </w:rPr>
              <w:t>Záhřeb</w:t>
            </w:r>
          </w:p>
        </w:tc>
        <w:tc>
          <w:tcPr>
            <w:tcW w:w="1650" w:type="dxa"/>
            <w:tcBorders>
              <w:bottom w:val="single" w:sz="6" w:space="0" w:color="000000"/>
              <w:right w:val="single" w:sz="6" w:space="0" w:color="000000"/>
            </w:tcBorders>
            <w:shd w:val="clear" w:color="auto" w:fill="auto"/>
            <w:vAlign w:val="bottom"/>
          </w:tcPr>
          <w:p w14:paraId="282B271C" w14:textId="77777777" w:rsidR="009D71CC" w:rsidRDefault="00CB7CE8">
            <w:pPr>
              <w:pStyle w:val="TableContents"/>
              <w:rPr>
                <w:rFonts w:ascii="Segoe UI" w:hAnsi="Segoe UI" w:cs="Segoe UI"/>
                <w:sz w:val="18"/>
                <w:szCs w:val="18"/>
                <w:lang w:val="en-US" w:eastAsia="en-US"/>
              </w:rPr>
            </w:pPr>
            <w:r>
              <w:rPr>
                <w:lang w:eastAsia="en-US"/>
              </w:rPr>
              <w:t>Chorvatsko</w:t>
            </w:r>
          </w:p>
        </w:tc>
        <w:tc>
          <w:tcPr>
            <w:tcW w:w="1479" w:type="dxa"/>
            <w:tcBorders>
              <w:bottom w:val="single" w:sz="6" w:space="0" w:color="000000"/>
              <w:right w:val="single" w:sz="6" w:space="0" w:color="000000"/>
            </w:tcBorders>
            <w:shd w:val="clear" w:color="auto" w:fill="auto"/>
            <w:vAlign w:val="bottom"/>
          </w:tcPr>
          <w:p w14:paraId="1A881A9E" w14:textId="77777777" w:rsidR="009D71CC" w:rsidRDefault="00CB7CE8">
            <w:pPr>
              <w:pStyle w:val="TableContents"/>
              <w:rPr>
                <w:rFonts w:ascii="Segoe UI" w:hAnsi="Segoe UI" w:cs="Segoe UI"/>
                <w:sz w:val="18"/>
                <w:szCs w:val="18"/>
                <w:lang w:val="en-US" w:eastAsia="en-US"/>
              </w:rPr>
            </w:pPr>
            <w:r>
              <w:rPr>
                <w:lang w:eastAsia="en-US"/>
              </w:rPr>
              <w:t>33</w:t>
            </w:r>
          </w:p>
        </w:tc>
      </w:tr>
    </w:tbl>
    <w:p w14:paraId="136330AC" w14:textId="77777777" w:rsidR="009D71CC" w:rsidRDefault="00CB7CE8">
      <w:pPr>
        <w:rPr>
          <w:i/>
          <w:iCs/>
        </w:rPr>
      </w:pPr>
      <w:r>
        <w:rPr>
          <w:i/>
          <w:iCs/>
        </w:rPr>
        <w:t xml:space="preserve">Příloha 1 </w:t>
      </w:r>
      <w:r>
        <w:rPr>
          <w:i/>
          <w:iCs/>
        </w:rPr>
        <w:tab/>
        <w:t>Tabulka zvolených souřadnicových systémů</w:t>
      </w:r>
    </w:p>
    <w:p w14:paraId="5F4EE9F5" w14:textId="77777777" w:rsidR="009D71CC" w:rsidRDefault="00CB7CE8">
      <w:pPr>
        <w:spacing w:before="0" w:after="0" w:line="240" w:lineRule="auto"/>
        <w:jc w:val="left"/>
        <w:rPr>
          <w:i/>
          <w:iCs/>
        </w:rPr>
      </w:pPr>
      <w:r>
        <w:br w:type="page"/>
      </w:r>
    </w:p>
    <w:p w14:paraId="71725409" w14:textId="77777777" w:rsidR="009D71CC" w:rsidRDefault="00CB7CE8">
      <w:pPr>
        <w:rPr>
          <w:i/>
          <w:iCs/>
        </w:rPr>
      </w:pPr>
      <w:r>
        <w:rPr>
          <w:i/>
          <w:iCs/>
        </w:rPr>
        <w:lastRenderedPageBreak/>
        <w:t>Příloha 2</w:t>
      </w:r>
      <w:r>
        <w:rPr>
          <w:i/>
          <w:iCs/>
        </w:rPr>
        <w:tab/>
        <w:t>Procentuální zastoupení vrstvy Industrial&amp;Commercial ve městě.</w:t>
      </w:r>
    </w:p>
    <w:p w14:paraId="4A0EDD06" w14:textId="77777777" w:rsidR="009D71CC" w:rsidRDefault="00CB7CE8">
      <w:pPr>
        <w:spacing w:before="0" w:after="0" w:line="240" w:lineRule="auto"/>
        <w:jc w:val="left"/>
        <w:rPr>
          <w:i/>
          <w:iCs/>
        </w:rPr>
      </w:pPr>
      <w:r>
        <w:rPr>
          <w:i/>
          <w:iCs/>
          <w:noProof/>
        </w:rPr>
        <w:lastRenderedPageBreak/>
        <w:drawing>
          <wp:anchor distT="3175" distB="1270" distL="114300" distR="114300" simplePos="0" relativeHeight="251656192" behindDoc="0" locked="0" layoutInCell="0" allowOverlap="1" wp14:anchorId="07EC75E9" wp14:editId="2BC07638">
            <wp:simplePos x="0" y="0"/>
            <wp:positionH relativeFrom="column">
              <wp:posOffset>-1108075</wp:posOffset>
            </wp:positionH>
            <wp:positionV relativeFrom="paragraph">
              <wp:posOffset>2366645</wp:posOffset>
            </wp:positionV>
            <wp:extent cx="8241030" cy="3947160"/>
            <wp:effectExtent l="0" t="2152650" r="0" b="2129790"/>
            <wp:wrapSquare wrapText="bothSides"/>
            <wp:docPr id="25" name="Obrázek 26"/>
            <wp:cNvGraphicFramePr/>
            <a:graphic xmlns:a="http://schemas.openxmlformats.org/drawingml/2006/main">
              <a:graphicData uri="http://schemas.openxmlformats.org/drawingml/2006/picture">
                <pic:pic xmlns:pic="http://schemas.openxmlformats.org/drawingml/2006/picture">
                  <pic:nvPicPr>
                    <pic:cNvPr id="0" name="Obrázek 26"/>
                    <pic:cNvPicPr/>
                  </pic:nvPicPr>
                  <pic:blipFill>
                    <a:blip r:embed="rId42"/>
                    <a:stretch/>
                  </pic:blipFill>
                  <pic:spPr>
                    <a:xfrm rot="5400000">
                      <a:off x="0" y="0"/>
                      <a:ext cx="8241120" cy="3947040"/>
                    </a:xfrm>
                    <a:prstGeom prst="rect">
                      <a:avLst/>
                    </a:prstGeom>
                    <a:ln w="0">
                      <a:noFill/>
                    </a:ln>
                  </pic:spPr>
                </pic:pic>
              </a:graphicData>
            </a:graphic>
          </wp:anchor>
        </w:drawing>
      </w:r>
      <w:r>
        <w:br w:type="page"/>
      </w:r>
    </w:p>
    <w:p w14:paraId="3741FD7B" w14:textId="77777777" w:rsidR="009D71CC" w:rsidRDefault="00CB7CE8">
      <w:pPr>
        <w:rPr>
          <w:i/>
          <w:iCs/>
        </w:rPr>
      </w:pPr>
      <w:r>
        <w:rPr>
          <w:i/>
          <w:iCs/>
        </w:rPr>
        <w:lastRenderedPageBreak/>
        <w:t>Příloha 3</w:t>
      </w:r>
      <w:r>
        <w:rPr>
          <w:i/>
          <w:iCs/>
        </w:rPr>
        <w:tab/>
        <w:t>Procentuální zastoupení vrstvy High density ve městě.</w:t>
      </w:r>
    </w:p>
    <w:p w14:paraId="79A62A67" w14:textId="77777777" w:rsidR="009D71CC" w:rsidRDefault="00CB7CE8">
      <w:pPr>
        <w:rPr>
          <w:i/>
          <w:iCs/>
        </w:rPr>
      </w:pPr>
      <w:r>
        <w:rPr>
          <w:i/>
          <w:iCs/>
          <w:noProof/>
        </w:rPr>
        <w:lastRenderedPageBreak/>
        <w:drawing>
          <wp:anchor distT="1905" distB="635" distL="115570" distR="113030" simplePos="0" relativeHeight="251657216" behindDoc="0" locked="0" layoutInCell="0" allowOverlap="1" wp14:anchorId="221D0279" wp14:editId="1184190A">
            <wp:simplePos x="0" y="0"/>
            <wp:positionH relativeFrom="column">
              <wp:posOffset>2540</wp:posOffset>
            </wp:positionH>
            <wp:positionV relativeFrom="paragraph">
              <wp:posOffset>2184400</wp:posOffset>
            </wp:positionV>
            <wp:extent cx="8321675" cy="3986530"/>
            <wp:effectExtent l="0" t="2171700" r="0" b="2147570"/>
            <wp:wrapSquare wrapText="bothSides"/>
            <wp:docPr id="26" name="Obrázek 27"/>
            <wp:cNvGraphicFramePr/>
            <a:graphic xmlns:a="http://schemas.openxmlformats.org/drawingml/2006/main">
              <a:graphicData uri="http://schemas.openxmlformats.org/drawingml/2006/picture">
                <pic:pic xmlns:pic="http://schemas.openxmlformats.org/drawingml/2006/picture">
                  <pic:nvPicPr>
                    <pic:cNvPr id="1" name="Obrázek 27"/>
                    <pic:cNvPicPr/>
                  </pic:nvPicPr>
                  <pic:blipFill>
                    <a:blip r:embed="rId43"/>
                    <a:stretch/>
                  </pic:blipFill>
                  <pic:spPr>
                    <a:xfrm rot="5400000">
                      <a:off x="0" y="0"/>
                      <a:ext cx="8321760" cy="3986640"/>
                    </a:xfrm>
                    <a:prstGeom prst="rect">
                      <a:avLst/>
                    </a:prstGeom>
                    <a:ln w="0">
                      <a:noFill/>
                    </a:ln>
                  </pic:spPr>
                </pic:pic>
              </a:graphicData>
            </a:graphic>
          </wp:anchor>
        </w:drawing>
      </w:r>
    </w:p>
    <w:p w14:paraId="76B59FA2" w14:textId="77777777" w:rsidR="009D71CC" w:rsidRDefault="00CB7CE8">
      <w:pPr>
        <w:spacing w:before="0" w:after="0" w:line="240" w:lineRule="auto"/>
        <w:jc w:val="left"/>
      </w:pPr>
      <w:r>
        <w:lastRenderedPageBreak/>
        <w:br w:type="page"/>
      </w:r>
    </w:p>
    <w:p w14:paraId="30BA118C" w14:textId="77777777" w:rsidR="009D71CC" w:rsidRDefault="00CB7CE8">
      <w:pPr>
        <w:rPr>
          <w:i/>
          <w:iCs/>
        </w:rPr>
      </w:pPr>
      <w:r>
        <w:rPr>
          <w:i/>
          <w:iCs/>
        </w:rPr>
        <w:lastRenderedPageBreak/>
        <w:t>Příloha 4</w:t>
      </w:r>
      <w:r>
        <w:rPr>
          <w:i/>
          <w:iCs/>
        </w:rPr>
        <w:tab/>
        <w:t>Průměrná hodnota stupně nodu ve městě.</w:t>
      </w:r>
    </w:p>
    <w:p w14:paraId="6D3FFFE6" w14:textId="77777777" w:rsidR="009D71CC" w:rsidRDefault="009D71CC">
      <w:pPr>
        <w:rPr>
          <w:i/>
          <w:iCs/>
        </w:rPr>
      </w:pPr>
    </w:p>
    <w:p w14:paraId="4B4904CD" w14:textId="77777777" w:rsidR="009D71CC" w:rsidRDefault="00CB7CE8">
      <w:pPr>
        <w:spacing w:before="0" w:after="0" w:line="240" w:lineRule="auto"/>
        <w:jc w:val="left"/>
      </w:pPr>
      <w:r>
        <w:rPr>
          <w:noProof/>
        </w:rPr>
        <w:lastRenderedPageBreak/>
        <w:drawing>
          <wp:anchor distT="4445" distB="12065" distL="0" distR="0" simplePos="0" relativeHeight="251655168" behindDoc="1" locked="0" layoutInCell="0" allowOverlap="1" wp14:anchorId="3AA261D3" wp14:editId="7EF58371">
            <wp:simplePos x="0" y="0"/>
            <wp:positionH relativeFrom="column">
              <wp:posOffset>-2066290</wp:posOffset>
            </wp:positionH>
            <wp:positionV relativeFrom="paragraph">
              <wp:posOffset>2157095</wp:posOffset>
            </wp:positionV>
            <wp:extent cx="8131810" cy="3895725"/>
            <wp:effectExtent l="0" t="2114550" r="0" b="2105025"/>
            <wp:wrapTight wrapText="bothSides">
              <wp:wrapPolygon edited="0">
                <wp:start x="9" y="21619"/>
                <wp:lineTo x="21565" y="21619"/>
                <wp:lineTo x="21565" y="72"/>
                <wp:lineTo x="9" y="72"/>
                <wp:lineTo x="9" y="21619"/>
              </wp:wrapPolygon>
            </wp:wrapTight>
            <wp:docPr id="27" name="Obrázek 28" descr="Obsah obrázku tabulka&#10;&#10;Popis byl vytvořen automaticky"/>
            <wp:cNvGraphicFramePr/>
            <a:graphic xmlns:a="http://schemas.openxmlformats.org/drawingml/2006/main">
              <a:graphicData uri="http://schemas.openxmlformats.org/drawingml/2006/picture">
                <pic:pic xmlns:pic="http://schemas.openxmlformats.org/drawingml/2006/picture">
                  <pic:nvPicPr>
                    <pic:cNvPr id="2" name="Obrázek 28" descr="Obsah obrázku tabulka&#10;&#10;Popis byl vytvořen automaticky"/>
                    <pic:cNvPicPr/>
                  </pic:nvPicPr>
                  <pic:blipFill>
                    <a:blip r:embed="rId44"/>
                    <a:stretch/>
                  </pic:blipFill>
                  <pic:spPr>
                    <a:xfrm rot="5400000">
                      <a:off x="0" y="0"/>
                      <a:ext cx="8131680" cy="3895560"/>
                    </a:xfrm>
                    <a:prstGeom prst="rect">
                      <a:avLst/>
                    </a:prstGeom>
                    <a:ln w="0">
                      <a:noFill/>
                    </a:ln>
                  </pic:spPr>
                </pic:pic>
              </a:graphicData>
            </a:graphic>
          </wp:anchor>
        </w:drawing>
      </w:r>
      <w:r>
        <w:br w:type="page"/>
      </w:r>
    </w:p>
    <w:p w14:paraId="4B4A1C31" w14:textId="028F5C6F" w:rsidR="009D71CC" w:rsidRDefault="00CB7CE8">
      <w:pPr>
        <w:rPr>
          <w:i/>
          <w:iCs/>
        </w:rPr>
      </w:pPr>
      <w:r>
        <w:rPr>
          <w:i/>
          <w:iCs/>
        </w:rPr>
        <w:lastRenderedPageBreak/>
        <w:t xml:space="preserve">Příloha </w:t>
      </w:r>
      <w:r w:rsidR="00210C6A">
        <w:rPr>
          <w:i/>
          <w:iCs/>
        </w:rPr>
        <w:t>7</w:t>
      </w:r>
      <w:r>
        <w:rPr>
          <w:i/>
          <w:iCs/>
        </w:rPr>
        <w:tab/>
        <w:t>Dendogram podobnosti uliční sítě</w:t>
      </w:r>
    </w:p>
    <w:p w14:paraId="752856F8" w14:textId="77777777" w:rsidR="009D71CC" w:rsidRDefault="00CB7CE8">
      <w:pPr>
        <w:rPr>
          <w:i/>
          <w:iCs/>
        </w:rPr>
      </w:pPr>
      <w:r>
        <w:rPr>
          <w:noProof/>
        </w:rPr>
        <w:drawing>
          <wp:inline distT="0" distB="0" distL="0" distR="0" wp14:anchorId="5C6C48E1" wp14:editId="4134B815">
            <wp:extent cx="5579745" cy="3458845"/>
            <wp:effectExtent l="0" t="0" r="0" b="0"/>
            <wp:docPr id="28" name="Obrázek 32"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32" descr="Obsah obrázku tabulka&#10;&#10;Popis byl vytvořen automaticky"/>
                    <pic:cNvPicPr>
                      <a:picLocks noChangeAspect="1" noChangeArrowheads="1"/>
                    </pic:cNvPicPr>
                  </pic:nvPicPr>
                  <pic:blipFill>
                    <a:blip r:embed="rId45"/>
                    <a:stretch>
                      <a:fillRect/>
                    </a:stretch>
                  </pic:blipFill>
                  <pic:spPr bwMode="auto">
                    <a:xfrm>
                      <a:off x="0" y="0"/>
                      <a:ext cx="5579745" cy="3458845"/>
                    </a:xfrm>
                    <a:prstGeom prst="rect">
                      <a:avLst/>
                    </a:prstGeom>
                  </pic:spPr>
                </pic:pic>
              </a:graphicData>
            </a:graphic>
          </wp:inline>
        </w:drawing>
      </w:r>
    </w:p>
    <w:p w14:paraId="279D59C3" w14:textId="77777777" w:rsidR="009D71CC" w:rsidRDefault="009D71CC">
      <w:pPr>
        <w:jc w:val="center"/>
      </w:pPr>
    </w:p>
    <w:p w14:paraId="5A895672" w14:textId="77777777" w:rsidR="009D71CC" w:rsidRDefault="009D71CC">
      <w:pPr>
        <w:jc w:val="center"/>
      </w:pPr>
    </w:p>
    <w:p w14:paraId="61C62DA0" w14:textId="77777777" w:rsidR="009D71CC" w:rsidRDefault="00CB7CE8">
      <w:pPr>
        <w:spacing w:before="0" w:after="0" w:line="240" w:lineRule="auto"/>
        <w:jc w:val="left"/>
      </w:pPr>
      <w:r>
        <w:br w:type="page"/>
      </w:r>
    </w:p>
    <w:p w14:paraId="0AD147A4" w14:textId="20C88137" w:rsidR="009D71CC" w:rsidRDefault="00CB7CE8">
      <w:pPr>
        <w:rPr>
          <w:i/>
          <w:iCs/>
        </w:rPr>
      </w:pPr>
      <w:r>
        <w:rPr>
          <w:i/>
          <w:iCs/>
        </w:rPr>
        <w:lastRenderedPageBreak/>
        <w:t xml:space="preserve">Příloha </w:t>
      </w:r>
      <w:r w:rsidR="00210C6A">
        <w:rPr>
          <w:i/>
          <w:iCs/>
        </w:rPr>
        <w:t>8</w:t>
      </w:r>
      <w:r>
        <w:rPr>
          <w:i/>
          <w:iCs/>
        </w:rPr>
        <w:tab/>
        <w:t>Dendogram podobnosti měst na základě základních statistik uliční sítě</w:t>
      </w:r>
    </w:p>
    <w:p w14:paraId="19B6235D" w14:textId="77777777" w:rsidR="009D71CC" w:rsidRDefault="009D71CC">
      <w:pPr>
        <w:rPr>
          <w:i/>
          <w:iCs/>
        </w:rPr>
      </w:pPr>
    </w:p>
    <w:p w14:paraId="7B7776E1" w14:textId="77777777" w:rsidR="009D71CC" w:rsidRDefault="00CB7CE8">
      <w:pPr>
        <w:rPr>
          <w:i/>
          <w:iCs/>
        </w:rPr>
      </w:pPr>
      <w:r>
        <w:rPr>
          <w:noProof/>
        </w:rPr>
        <w:drawing>
          <wp:inline distT="0" distB="0" distL="0" distR="0" wp14:anchorId="1E86CE08" wp14:editId="349AB890">
            <wp:extent cx="5523230" cy="4198620"/>
            <wp:effectExtent l="0" t="0" r="0" b="0"/>
            <wp:docPr id="29" name="Obrázek 30"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30" descr="Obsah obrázku tabulka&#10;&#10;Popis byl vytvořen automaticky"/>
                    <pic:cNvPicPr>
                      <a:picLocks noChangeAspect="1" noChangeArrowheads="1"/>
                    </pic:cNvPicPr>
                  </pic:nvPicPr>
                  <pic:blipFill>
                    <a:blip r:embed="rId46"/>
                    <a:stretch>
                      <a:fillRect/>
                    </a:stretch>
                  </pic:blipFill>
                  <pic:spPr bwMode="auto">
                    <a:xfrm>
                      <a:off x="0" y="0"/>
                      <a:ext cx="5523230" cy="4198620"/>
                    </a:xfrm>
                    <a:prstGeom prst="rect">
                      <a:avLst/>
                    </a:prstGeom>
                  </pic:spPr>
                </pic:pic>
              </a:graphicData>
            </a:graphic>
          </wp:inline>
        </w:drawing>
      </w:r>
    </w:p>
    <w:p w14:paraId="31189C9C" w14:textId="77777777" w:rsidR="009D71CC" w:rsidRDefault="009D71CC">
      <w:pPr>
        <w:rPr>
          <w:i/>
          <w:iCs/>
        </w:rPr>
      </w:pPr>
    </w:p>
    <w:p w14:paraId="183CE4B7" w14:textId="77777777" w:rsidR="009D71CC" w:rsidRDefault="00CB7CE8">
      <w:pPr>
        <w:spacing w:before="0" w:after="0" w:line="240" w:lineRule="auto"/>
        <w:jc w:val="left"/>
      </w:pPr>
      <w:r>
        <w:br w:type="page"/>
      </w:r>
    </w:p>
    <w:p w14:paraId="15D31A82" w14:textId="45B30D6C" w:rsidR="00210C6A" w:rsidRDefault="00210C6A" w:rsidP="00210C6A">
      <w:r>
        <w:rPr>
          <w:i/>
          <w:iCs/>
        </w:rPr>
        <w:lastRenderedPageBreak/>
        <w:t>Příloha 9</w:t>
      </w:r>
      <w:r>
        <w:rPr>
          <w:i/>
          <w:iCs/>
        </w:rPr>
        <w:tab/>
        <w:t xml:space="preserve">Storymapa: </w:t>
      </w:r>
      <w:r w:rsidRPr="00A15F4A">
        <w:t>Města s radiálním tvarem urbánních sítí</w:t>
      </w:r>
    </w:p>
    <w:p w14:paraId="621199B6" w14:textId="23B58AE6" w:rsidR="00210C6A" w:rsidRDefault="00000000" w:rsidP="00210C6A">
      <w:pPr>
        <w:rPr>
          <w:i/>
          <w:iCs/>
        </w:rPr>
      </w:pPr>
      <w:hyperlink r:id="rId47" w:history="1">
        <w:r w:rsidR="00217C05" w:rsidRPr="00ED4EBD">
          <w:rPr>
            <w:rStyle w:val="Hypertextovodkaz"/>
            <w:i/>
            <w:iCs/>
          </w:rPr>
          <w:t>https://storymaps.arcgis.com/stories/18d7f7174af540898d53e6d87e6169c6</w:t>
        </w:r>
      </w:hyperlink>
    </w:p>
    <w:p w14:paraId="07E1BBCE" w14:textId="77777777" w:rsidR="00217C05" w:rsidRDefault="00217C05" w:rsidP="00210C6A">
      <w:pPr>
        <w:rPr>
          <w:i/>
          <w:iCs/>
        </w:rPr>
      </w:pPr>
    </w:p>
    <w:p w14:paraId="731F045D" w14:textId="77777777" w:rsidR="009D71CC" w:rsidRDefault="009D71CC">
      <w:pPr>
        <w:jc w:val="center"/>
      </w:pPr>
    </w:p>
    <w:p w14:paraId="7D8B5C6F" w14:textId="5DCCD5AA" w:rsidR="00217C05" w:rsidRDefault="00217C05">
      <w:pPr>
        <w:spacing w:before="0" w:after="0" w:line="240" w:lineRule="auto"/>
        <w:jc w:val="left"/>
      </w:pPr>
      <w:r>
        <w:br w:type="page"/>
      </w:r>
    </w:p>
    <w:p w14:paraId="0F28D3B8" w14:textId="0C14EAB8" w:rsidR="0077319D" w:rsidRDefault="0077319D" w:rsidP="0077319D">
      <w:r>
        <w:rPr>
          <w:i/>
          <w:iCs/>
        </w:rPr>
        <w:lastRenderedPageBreak/>
        <w:t xml:space="preserve">Příloha </w:t>
      </w:r>
      <w:r w:rsidR="00F917B3">
        <w:rPr>
          <w:i/>
          <w:iCs/>
        </w:rPr>
        <w:t>10</w:t>
      </w:r>
      <w:r>
        <w:rPr>
          <w:i/>
          <w:iCs/>
        </w:rPr>
        <w:tab/>
        <w:t xml:space="preserve">Storymapa: </w:t>
      </w:r>
      <w:r w:rsidRPr="00A15F4A">
        <w:t>Města s</w:t>
      </w:r>
      <w:r>
        <w:t> podlouhlým</w:t>
      </w:r>
      <w:r w:rsidRPr="00A15F4A">
        <w:t xml:space="preserve"> tvarem urbánních sítí</w:t>
      </w:r>
    </w:p>
    <w:p w14:paraId="2C4EED8C" w14:textId="77777777" w:rsidR="0077319D" w:rsidRDefault="00000000" w:rsidP="0077319D">
      <w:pPr>
        <w:rPr>
          <w:i/>
          <w:iCs/>
        </w:rPr>
      </w:pPr>
      <w:hyperlink r:id="rId48" w:history="1">
        <w:r w:rsidR="0077319D" w:rsidRPr="00ED4EBD">
          <w:rPr>
            <w:rStyle w:val="Hypertextovodkaz"/>
            <w:i/>
            <w:iCs/>
          </w:rPr>
          <w:t>https://storymaps.arcgis.com/stories/18d7f7174af540898d53e6d87e6169c6</w:t>
        </w:r>
      </w:hyperlink>
    </w:p>
    <w:p w14:paraId="162DD591" w14:textId="256292C1" w:rsidR="0077319D" w:rsidRDefault="0077319D">
      <w:pPr>
        <w:spacing w:before="0" w:after="0" w:line="240" w:lineRule="auto"/>
        <w:jc w:val="left"/>
      </w:pPr>
      <w:r>
        <w:br w:type="page"/>
      </w:r>
    </w:p>
    <w:p w14:paraId="353315B8" w14:textId="37AA2071" w:rsidR="0077319D" w:rsidRDefault="0077319D" w:rsidP="0077319D">
      <w:r>
        <w:rPr>
          <w:i/>
          <w:iCs/>
        </w:rPr>
        <w:lastRenderedPageBreak/>
        <w:t xml:space="preserve">Příloha </w:t>
      </w:r>
      <w:r w:rsidR="00F917B3">
        <w:rPr>
          <w:i/>
          <w:iCs/>
        </w:rPr>
        <w:t>11</w:t>
      </w:r>
      <w:r>
        <w:rPr>
          <w:i/>
          <w:iCs/>
        </w:rPr>
        <w:tab/>
        <w:t xml:space="preserve">Storymapa: </w:t>
      </w:r>
      <w:r>
        <w:t>Ostatní města</w:t>
      </w:r>
    </w:p>
    <w:p w14:paraId="51A4AAA3" w14:textId="399D34DB" w:rsidR="0064481D" w:rsidRDefault="00000000" w:rsidP="00181469">
      <w:pPr>
        <w:rPr>
          <w:i/>
          <w:iCs/>
        </w:rPr>
      </w:pPr>
      <w:hyperlink r:id="rId49" w:history="1">
        <w:r w:rsidR="00971266" w:rsidRPr="00ED4EBD">
          <w:rPr>
            <w:rStyle w:val="Hypertextovodkaz"/>
            <w:i/>
            <w:iCs/>
          </w:rPr>
          <w:t>https://storymaps.arcgis.com/stories/fc8adaf8e98f48d386172326468b655d</w:t>
        </w:r>
      </w:hyperlink>
    </w:p>
    <w:p w14:paraId="07227BD0" w14:textId="57718A0C" w:rsidR="00971266" w:rsidRDefault="00971266">
      <w:pPr>
        <w:spacing w:before="0" w:after="0" w:line="240" w:lineRule="auto"/>
        <w:jc w:val="left"/>
        <w:rPr>
          <w:i/>
          <w:iCs/>
        </w:rPr>
      </w:pPr>
      <w:r>
        <w:rPr>
          <w:i/>
          <w:iCs/>
        </w:rPr>
        <w:br w:type="page"/>
      </w:r>
    </w:p>
    <w:p w14:paraId="72E87C9C" w14:textId="0B07508B" w:rsidR="00971266" w:rsidRDefault="00971266" w:rsidP="00971266">
      <w:pPr>
        <w:rPr>
          <w:i/>
          <w:iCs/>
        </w:rPr>
      </w:pPr>
      <w:r>
        <w:rPr>
          <w:i/>
          <w:iCs/>
        </w:rPr>
        <w:lastRenderedPageBreak/>
        <w:t xml:space="preserve">Příloha </w:t>
      </w:r>
      <w:r w:rsidR="00F917B3">
        <w:rPr>
          <w:i/>
          <w:iCs/>
        </w:rPr>
        <w:t>12</w:t>
      </w:r>
      <w:r>
        <w:rPr>
          <w:i/>
          <w:iCs/>
        </w:rPr>
        <w:tab/>
        <w:t xml:space="preserve">Dendogram podobnosti měst na základě </w:t>
      </w:r>
      <w:r w:rsidR="00F917B3">
        <w:rPr>
          <w:i/>
          <w:iCs/>
        </w:rPr>
        <w:t xml:space="preserve">ploch dostupnosti </w:t>
      </w:r>
      <w:r w:rsidR="00771A12">
        <w:rPr>
          <w:i/>
          <w:iCs/>
        </w:rPr>
        <w:t>autobusové dopravy</w:t>
      </w:r>
    </w:p>
    <w:p w14:paraId="2DC69DC0" w14:textId="48A2A351" w:rsidR="00771A12" w:rsidRDefault="00771A12" w:rsidP="00971266">
      <w:pPr>
        <w:rPr>
          <w:i/>
          <w:iCs/>
        </w:rPr>
      </w:pPr>
    </w:p>
    <w:p w14:paraId="27A9A69C" w14:textId="26519934" w:rsidR="00E4523B" w:rsidRDefault="00E4523B">
      <w:pPr>
        <w:spacing w:before="0" w:after="0" w:line="240" w:lineRule="auto"/>
        <w:jc w:val="left"/>
      </w:pPr>
      <w:r>
        <w:rPr>
          <w:i/>
          <w:iCs/>
          <w:noProof/>
        </w:rPr>
        <w:drawing>
          <wp:anchor distT="0" distB="0" distL="114300" distR="114300" simplePos="0" relativeHeight="251657728" behindDoc="1" locked="0" layoutInCell="1" allowOverlap="1" wp14:anchorId="4B2C86C5" wp14:editId="1B39084A">
            <wp:simplePos x="0" y="0"/>
            <wp:positionH relativeFrom="column">
              <wp:posOffset>-1346283</wp:posOffset>
            </wp:positionH>
            <wp:positionV relativeFrom="paragraph">
              <wp:posOffset>2367725</wp:posOffset>
            </wp:positionV>
            <wp:extent cx="8282622" cy="3743979"/>
            <wp:effectExtent l="0" t="2266950" r="0" b="2256790"/>
            <wp:wrapNone/>
            <wp:docPr id="21205929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8282622" cy="3743979"/>
                    </a:xfrm>
                    <a:prstGeom prst="rect">
                      <a:avLst/>
                    </a:prstGeom>
                    <a:noFill/>
                    <a:ln>
                      <a:noFill/>
                    </a:ln>
                  </pic:spPr>
                </pic:pic>
              </a:graphicData>
            </a:graphic>
          </wp:anchor>
        </w:drawing>
      </w:r>
      <w:r>
        <w:br w:type="page"/>
      </w:r>
    </w:p>
    <w:p w14:paraId="21A1B0BB" w14:textId="7AA4031A" w:rsidR="000155AF" w:rsidRDefault="000155AF" w:rsidP="000155AF">
      <w:pPr>
        <w:rPr>
          <w:i/>
          <w:iCs/>
        </w:rPr>
      </w:pPr>
      <w:r>
        <w:rPr>
          <w:i/>
          <w:iCs/>
        </w:rPr>
        <w:lastRenderedPageBreak/>
        <w:t>Příloha 13</w:t>
      </w:r>
      <w:r>
        <w:rPr>
          <w:i/>
          <w:iCs/>
        </w:rPr>
        <w:tab/>
        <w:t xml:space="preserve">Dendogram podobnosti měst na základě </w:t>
      </w:r>
      <w:r w:rsidR="007B691E">
        <w:rPr>
          <w:i/>
          <w:iCs/>
        </w:rPr>
        <w:t>tvaru budov a města</w:t>
      </w:r>
    </w:p>
    <w:p w14:paraId="51780A22" w14:textId="02F45AB6" w:rsidR="007B691E" w:rsidRDefault="00714358">
      <w:pPr>
        <w:spacing w:before="0" w:after="0" w:line="240" w:lineRule="auto"/>
        <w:jc w:val="left"/>
      </w:pPr>
      <w:r>
        <w:rPr>
          <w:noProof/>
        </w:rPr>
        <w:drawing>
          <wp:anchor distT="0" distB="0" distL="114300" distR="114300" simplePos="0" relativeHeight="251660800" behindDoc="1" locked="0" layoutInCell="1" allowOverlap="1" wp14:anchorId="1D51CD87" wp14:editId="7E40D8F5">
            <wp:simplePos x="0" y="0"/>
            <wp:positionH relativeFrom="column">
              <wp:posOffset>-1692610</wp:posOffset>
            </wp:positionH>
            <wp:positionV relativeFrom="paragraph">
              <wp:posOffset>2707329</wp:posOffset>
            </wp:positionV>
            <wp:extent cx="8651875" cy="3637915"/>
            <wp:effectExtent l="0" t="2514600" r="0" b="2496185"/>
            <wp:wrapNone/>
            <wp:docPr id="1404348709" name="Obrázek 1" descr="Obsah obrázku diagram, řada/pruh, snímek obrazovky,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48709" name="Obrázek 1" descr="Obsah obrázku diagram, řada/pruh, snímek obrazovky, Vykreslený graf&#10;&#10;Popis byl vytvořen automatick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8651875" cy="3637915"/>
                    </a:xfrm>
                    <a:prstGeom prst="rect">
                      <a:avLst/>
                    </a:prstGeom>
                    <a:noFill/>
                    <a:ln>
                      <a:noFill/>
                    </a:ln>
                  </pic:spPr>
                </pic:pic>
              </a:graphicData>
            </a:graphic>
          </wp:anchor>
        </w:drawing>
      </w:r>
      <w:r w:rsidR="007B691E">
        <w:br w:type="page"/>
      </w:r>
    </w:p>
    <w:p w14:paraId="7FB47A34" w14:textId="2E61CAF3" w:rsidR="003F2751" w:rsidRDefault="003F2751" w:rsidP="003F2751">
      <w:pPr>
        <w:rPr>
          <w:i/>
          <w:iCs/>
        </w:rPr>
      </w:pPr>
      <w:r>
        <w:rPr>
          <w:i/>
          <w:iCs/>
        </w:rPr>
        <w:lastRenderedPageBreak/>
        <w:t>Příloha 14</w:t>
      </w:r>
      <w:r>
        <w:rPr>
          <w:i/>
          <w:iCs/>
        </w:rPr>
        <w:tab/>
        <w:t>Dendogram podobnosti měst na základě vrstev Urban Atlasu</w:t>
      </w:r>
    </w:p>
    <w:p w14:paraId="1C8BBA82" w14:textId="77777777" w:rsidR="003F2751" w:rsidRDefault="003F2751" w:rsidP="003F2751">
      <w:pPr>
        <w:rPr>
          <w:i/>
          <w:iCs/>
        </w:rPr>
      </w:pPr>
    </w:p>
    <w:p w14:paraId="39C9DBE8" w14:textId="7212E167" w:rsidR="00971266" w:rsidRDefault="00714358" w:rsidP="00714358">
      <w:pPr>
        <w:spacing w:before="0" w:after="0" w:line="240" w:lineRule="auto"/>
        <w:jc w:val="center"/>
      </w:pPr>
      <w:r>
        <w:rPr>
          <w:noProof/>
        </w:rPr>
        <w:drawing>
          <wp:anchor distT="0" distB="0" distL="114300" distR="114300" simplePos="0" relativeHeight="251662336" behindDoc="1" locked="0" layoutInCell="1" allowOverlap="1" wp14:anchorId="595E3263" wp14:editId="00D118AB">
            <wp:simplePos x="0" y="0"/>
            <wp:positionH relativeFrom="column">
              <wp:posOffset>-1364243</wp:posOffset>
            </wp:positionH>
            <wp:positionV relativeFrom="paragraph">
              <wp:posOffset>2711186</wp:posOffset>
            </wp:positionV>
            <wp:extent cx="8047408" cy="2645222"/>
            <wp:effectExtent l="0" t="2705100" r="0" b="2689225"/>
            <wp:wrapNone/>
            <wp:docPr id="402635485" name="Obrázek 2" descr="Obsah obrázku diagram, text,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35485" name="Obrázek 2" descr="Obsah obrázku diagram, text, snímek obrazovky, řada/pruh&#10;&#10;Popis byl vytvořen automatick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8047408" cy="2645222"/>
                    </a:xfrm>
                    <a:prstGeom prst="rect">
                      <a:avLst/>
                    </a:prstGeom>
                    <a:noFill/>
                    <a:ln>
                      <a:noFill/>
                    </a:ln>
                  </pic:spPr>
                </pic:pic>
              </a:graphicData>
            </a:graphic>
          </wp:anchor>
        </w:drawing>
      </w:r>
    </w:p>
    <w:sectPr w:rsidR="00971266">
      <w:footerReference w:type="default" r:id="rId53"/>
      <w:pgSz w:w="11906" w:h="16838"/>
      <w:pgMar w:top="1418" w:right="1418" w:bottom="1418" w:left="1701" w:header="0" w:footer="709" w:gutter="0"/>
      <w:cols w:space="720"/>
      <w:formProt w:val="0"/>
      <w:docGrid w:linePitch="360" w:charSpace="737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9E932" w14:textId="77777777" w:rsidR="0014036E" w:rsidRDefault="0014036E">
      <w:pPr>
        <w:spacing w:before="0" w:after="0" w:line="240" w:lineRule="auto"/>
      </w:pPr>
      <w:r>
        <w:separator/>
      </w:r>
    </w:p>
  </w:endnote>
  <w:endnote w:type="continuationSeparator" w:id="0">
    <w:p w14:paraId="2157B579" w14:textId="77777777" w:rsidR="0014036E" w:rsidRDefault="001403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Symbol">
    <w:altName w:val="Cambria"/>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Mono">
    <w:altName w:val="Courier New"/>
    <w:charset w:val="01"/>
    <w:family w:val="roman"/>
    <w:pitch w:val="variable"/>
  </w:font>
  <w:font w:name="Noto Sans Mono CJK JP">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4D43A" w14:textId="77777777" w:rsidR="009D71CC" w:rsidRDefault="00CB7CE8">
    <w:pPr>
      <w:jc w:val="center"/>
      <w:rPr>
        <w:sz w:val="18"/>
      </w:rPr>
    </w:pPr>
    <w:r>
      <w:fldChar w:fldCharType="begin"/>
    </w:r>
    <w:r>
      <w:instrText xml:space="preserve"> PAGE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3AA6" w14:textId="77777777" w:rsidR="009D71CC" w:rsidRDefault="009D71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F6E17" w14:textId="77777777" w:rsidR="0014036E" w:rsidRDefault="0014036E">
      <w:pPr>
        <w:spacing w:before="0" w:after="0" w:line="240" w:lineRule="auto"/>
      </w:pPr>
      <w:r>
        <w:separator/>
      </w:r>
    </w:p>
  </w:footnote>
  <w:footnote w:type="continuationSeparator" w:id="0">
    <w:p w14:paraId="2D4D925F" w14:textId="77777777" w:rsidR="0014036E" w:rsidRDefault="0014036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5BAB"/>
    <w:multiLevelType w:val="multilevel"/>
    <w:tmpl w:val="F1249EF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D692A74"/>
    <w:multiLevelType w:val="multilevel"/>
    <w:tmpl w:val="B99AE7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Bookman Old Style" w:eastAsia="Times New Roman" w:hAnsi="Bookman Old Style" w:cs="Times New Roman"/>
      </w:rPr>
    </w:lvl>
    <w:lvl w:ilvl="3">
      <w:start w:val="1"/>
      <w:numFmt w:val="bullet"/>
      <w:lvlText w:val=""/>
      <w:lvlJc w:val="left"/>
      <w:pPr>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EB56EDE"/>
    <w:multiLevelType w:val="multilevel"/>
    <w:tmpl w:val="EE0CF3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209044A"/>
    <w:multiLevelType w:val="multilevel"/>
    <w:tmpl w:val="B99AE7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Bookman Old Style" w:eastAsia="Times New Roman" w:hAnsi="Bookman Old Style" w:cs="Times New Roman"/>
      </w:rPr>
    </w:lvl>
    <w:lvl w:ilvl="3">
      <w:start w:val="1"/>
      <w:numFmt w:val="bullet"/>
      <w:lvlText w:val=""/>
      <w:lvlJc w:val="left"/>
      <w:pPr>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BC63145"/>
    <w:multiLevelType w:val="multilevel"/>
    <w:tmpl w:val="D7D8FFA2"/>
    <w:lvl w:ilvl="0">
      <w:start w:val="1"/>
      <w:numFmt w:val="bullet"/>
      <w:pStyle w:val="ZPriloha7"/>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EF00D40"/>
    <w:multiLevelType w:val="multilevel"/>
    <w:tmpl w:val="EEFCFA88"/>
    <w:lvl w:ilvl="0">
      <w:start w:val="1"/>
      <w:numFmt w:val="lowerLetter"/>
      <w:pStyle w:val="Normlnpsmenov"/>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4B44E36"/>
    <w:multiLevelType w:val="multilevel"/>
    <w:tmpl w:val="5F802756"/>
    <w:lvl w:ilvl="0">
      <w:start w:val="1"/>
      <w:numFmt w:val="decimal"/>
      <w:pStyle w:val="Nadpis1"/>
      <w:lvlText w:val="%1"/>
      <w:lvlJc w:val="left"/>
      <w:pPr>
        <w:tabs>
          <w:tab w:val="num" w:pos="360"/>
        </w:tabs>
        <w:ind w:left="357" w:hanging="357"/>
      </w:pPr>
    </w:lvl>
    <w:lvl w:ilvl="1">
      <w:start w:val="1"/>
      <w:numFmt w:val="decimal"/>
      <w:pStyle w:val="Nadpis2"/>
      <w:lvlText w:val="%1.%2"/>
      <w:lvlJc w:val="left"/>
      <w:pPr>
        <w:tabs>
          <w:tab w:val="num" w:pos="360"/>
        </w:tabs>
        <w:ind w:left="357" w:hanging="357"/>
      </w:pPr>
    </w:lvl>
    <w:lvl w:ilvl="2">
      <w:start w:val="1"/>
      <w:numFmt w:val="decimal"/>
      <w:pStyle w:val="Nadpis3"/>
      <w:lvlText w:val="%1.%2.%3"/>
      <w:lvlJc w:val="left"/>
      <w:pPr>
        <w:tabs>
          <w:tab w:val="num" w:pos="851"/>
        </w:tabs>
        <w:ind w:left="794" w:hanging="794"/>
      </w:pPr>
    </w:lvl>
    <w:lvl w:ilvl="3">
      <w:start w:val="1"/>
      <w:numFmt w:val="decimal"/>
      <w:lvlText w:val="%1.%2.%3.%4."/>
      <w:lvlJc w:val="left"/>
      <w:pPr>
        <w:tabs>
          <w:tab w:val="num" w:pos="360"/>
        </w:tabs>
        <w:ind w:left="357" w:hanging="357"/>
      </w:pPr>
    </w:lvl>
    <w:lvl w:ilvl="4">
      <w:start w:val="1"/>
      <w:numFmt w:val="decimal"/>
      <w:lvlText w:val="%1.%2.%3.%4.%5."/>
      <w:lvlJc w:val="left"/>
      <w:pPr>
        <w:tabs>
          <w:tab w:val="num" w:pos="360"/>
        </w:tabs>
        <w:ind w:left="357" w:hanging="357"/>
      </w:pPr>
    </w:lvl>
    <w:lvl w:ilvl="5">
      <w:start w:val="1"/>
      <w:numFmt w:val="decimal"/>
      <w:lvlText w:val="%1.%2.%3.%4.%5.%6."/>
      <w:lvlJc w:val="left"/>
      <w:pPr>
        <w:tabs>
          <w:tab w:val="num" w:pos="360"/>
        </w:tabs>
        <w:ind w:left="357" w:hanging="357"/>
      </w:pPr>
    </w:lvl>
    <w:lvl w:ilvl="6">
      <w:start w:val="1"/>
      <w:numFmt w:val="decimal"/>
      <w:lvlText w:val="%1.%2.%3.%4.%5.%6.%7."/>
      <w:lvlJc w:val="left"/>
      <w:pPr>
        <w:tabs>
          <w:tab w:val="num" w:pos="360"/>
        </w:tabs>
        <w:ind w:left="357" w:hanging="357"/>
      </w:pPr>
    </w:lvl>
    <w:lvl w:ilvl="7">
      <w:start w:val="1"/>
      <w:numFmt w:val="decimal"/>
      <w:lvlText w:val="%1.%2.%3.%4.%5.%6.%7.%8."/>
      <w:lvlJc w:val="left"/>
      <w:pPr>
        <w:tabs>
          <w:tab w:val="num" w:pos="360"/>
        </w:tabs>
        <w:ind w:left="357" w:hanging="357"/>
      </w:pPr>
    </w:lvl>
    <w:lvl w:ilvl="8">
      <w:start w:val="1"/>
      <w:numFmt w:val="decimal"/>
      <w:lvlText w:val="%1.%2.%3.%4.%5.%6.%7.%8.%9."/>
      <w:lvlJc w:val="left"/>
      <w:pPr>
        <w:tabs>
          <w:tab w:val="num" w:pos="360"/>
        </w:tabs>
        <w:ind w:left="357" w:hanging="357"/>
      </w:pPr>
    </w:lvl>
  </w:abstractNum>
  <w:abstractNum w:abstractNumId="7" w15:restartNumberingAfterBreak="0">
    <w:nsid w:val="263C0256"/>
    <w:multiLevelType w:val="multilevel"/>
    <w:tmpl w:val="B99AE7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Bookman Old Style" w:eastAsia="Times New Roman" w:hAnsi="Bookman Old Style" w:cs="Times New Roman"/>
      </w:rPr>
    </w:lvl>
    <w:lvl w:ilvl="3">
      <w:start w:val="1"/>
      <w:numFmt w:val="bullet"/>
      <w:lvlText w:val=""/>
      <w:lvlJc w:val="left"/>
      <w:pPr>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D66665"/>
    <w:multiLevelType w:val="multilevel"/>
    <w:tmpl w:val="DB76C5E8"/>
    <w:lvl w:ilvl="0">
      <w:start w:val="1"/>
      <w:numFmt w:val="upperLetter"/>
      <w:pStyle w:val="Normlnpsmenovvelk"/>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B60247B"/>
    <w:multiLevelType w:val="multilevel"/>
    <w:tmpl w:val="B99AE7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Bookman Old Style" w:eastAsia="Times New Roman" w:hAnsi="Bookman Old Style" w:cs="Times New Roman"/>
      </w:rPr>
    </w:lvl>
    <w:lvl w:ilvl="3">
      <w:start w:val="1"/>
      <w:numFmt w:val="bullet"/>
      <w:lvlText w:val=""/>
      <w:lvlJc w:val="left"/>
      <w:pPr>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44995D1E"/>
    <w:multiLevelType w:val="multilevel"/>
    <w:tmpl w:val="424E3B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450467DB"/>
    <w:multiLevelType w:val="multilevel"/>
    <w:tmpl w:val="3280D23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6091721"/>
    <w:multiLevelType w:val="multilevel"/>
    <w:tmpl w:val="EEE445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A6C6210"/>
    <w:multiLevelType w:val="multilevel"/>
    <w:tmpl w:val="7A8CB8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4F81586E"/>
    <w:multiLevelType w:val="multilevel"/>
    <w:tmpl w:val="7BE8F5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500E794E"/>
    <w:multiLevelType w:val="multilevel"/>
    <w:tmpl w:val="FFA06BA8"/>
    <w:lvl w:ilvl="0">
      <w:start w:val="1"/>
      <w:numFmt w:val="bullet"/>
      <w:lvlText w:val=""/>
      <w:lvlJc w:val="left"/>
      <w:pPr>
        <w:tabs>
          <w:tab w:val="num" w:pos="0"/>
        </w:tabs>
        <w:ind w:left="1057" w:hanging="360"/>
      </w:pPr>
      <w:rPr>
        <w:rFonts w:ascii="Symbol" w:hAnsi="Symbol" w:cs="Symbol"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16" w15:restartNumberingAfterBreak="0">
    <w:nsid w:val="54D81ECC"/>
    <w:multiLevelType w:val="multilevel"/>
    <w:tmpl w:val="548E25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Bookman Old Style" w:eastAsia="Times New Roman" w:hAnsi="Bookman Old Style" w:cs="Times New Roman"/>
      </w:rPr>
    </w:lvl>
    <w:lvl w:ilvl="3">
      <w:start w:val="1"/>
      <w:numFmt w:val="decimal"/>
      <w:lvlText w:val="%4."/>
      <w:lvlJc w:val="left"/>
      <w:pPr>
        <w:tabs>
          <w:tab w:val="num" w:pos="1800"/>
        </w:tabs>
        <w:ind w:left="1800" w:hanging="360"/>
      </w:pPr>
      <w:rPr>
        <w:rFonts w:ascii="Bookman Old Style" w:eastAsia="Times New Roman" w:hAnsi="Bookman Old Style"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A5D6EC5"/>
    <w:multiLevelType w:val="multilevel"/>
    <w:tmpl w:val="B28AEEF2"/>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629657B2"/>
    <w:multiLevelType w:val="multilevel"/>
    <w:tmpl w:val="04FEF7E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9" w15:restartNumberingAfterBreak="0">
    <w:nsid w:val="6461214E"/>
    <w:multiLevelType w:val="multilevel"/>
    <w:tmpl w:val="EEB8D2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6A76BD1"/>
    <w:multiLevelType w:val="multilevel"/>
    <w:tmpl w:val="7A8CB8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686C31B0"/>
    <w:multiLevelType w:val="multilevel"/>
    <w:tmpl w:val="C73283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68861FC6"/>
    <w:multiLevelType w:val="multilevel"/>
    <w:tmpl w:val="5858BF9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3" w15:restartNumberingAfterBreak="0">
    <w:nsid w:val="688F0973"/>
    <w:multiLevelType w:val="multilevel"/>
    <w:tmpl w:val="85FA66D6"/>
    <w:lvl w:ilvl="0">
      <w:start w:val="1"/>
      <w:numFmt w:val="decimal"/>
      <w:lvlText w:val="%1."/>
      <w:lvlJc w:val="left"/>
      <w:pPr>
        <w:tabs>
          <w:tab w:val="num" w:pos="720"/>
        </w:tabs>
        <w:ind w:left="720" w:hanging="360"/>
      </w:pPr>
    </w:lvl>
    <w:lvl w:ilvl="1">
      <w:start w:val="1"/>
      <w:numFmt w:val="bullet"/>
      <w:lvlText w:val=""/>
      <w:lvlJc w:val="left"/>
      <w:pPr>
        <w:tabs>
          <w:tab w:val="num" w:pos="0"/>
        </w:tabs>
        <w:ind w:left="1080" w:hanging="360"/>
      </w:pPr>
      <w:rPr>
        <w:rFonts w:ascii="Symbol" w:hAnsi="Symbol" w:cs="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97757EE"/>
    <w:multiLevelType w:val="multilevel"/>
    <w:tmpl w:val="3AFEA040"/>
    <w:lvl w:ilvl="0">
      <w:start w:val="1"/>
      <w:numFmt w:val="decimal"/>
      <w:pStyle w:val="Normlnslovan"/>
      <w:lvlText w:val="%1. "/>
      <w:lvlJc w:val="left"/>
      <w:pPr>
        <w:tabs>
          <w:tab w:val="num" w:pos="0"/>
        </w:tabs>
        <w:ind w:left="64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737769A5"/>
    <w:multiLevelType w:val="multilevel"/>
    <w:tmpl w:val="5318232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6" w15:restartNumberingAfterBreak="0">
    <w:nsid w:val="7ABE129B"/>
    <w:multiLevelType w:val="multilevel"/>
    <w:tmpl w:val="DFE4E2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E721F4B"/>
    <w:multiLevelType w:val="multilevel"/>
    <w:tmpl w:val="8FAC2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143423228">
    <w:abstractNumId w:val="6"/>
  </w:num>
  <w:num w:numId="2" w16cid:durableId="441339907">
    <w:abstractNumId w:val="5"/>
  </w:num>
  <w:num w:numId="3" w16cid:durableId="1677803159">
    <w:abstractNumId w:val="8"/>
  </w:num>
  <w:num w:numId="4" w16cid:durableId="407846656">
    <w:abstractNumId w:val="24"/>
  </w:num>
  <w:num w:numId="5" w16cid:durableId="632637285">
    <w:abstractNumId w:val="4"/>
  </w:num>
  <w:num w:numId="6" w16cid:durableId="221403144">
    <w:abstractNumId w:val="2"/>
  </w:num>
  <w:num w:numId="7" w16cid:durableId="1963419134">
    <w:abstractNumId w:val="21"/>
  </w:num>
  <w:num w:numId="8" w16cid:durableId="1122963314">
    <w:abstractNumId w:val="10"/>
  </w:num>
  <w:num w:numId="9" w16cid:durableId="786432267">
    <w:abstractNumId w:val="17"/>
  </w:num>
  <w:num w:numId="10" w16cid:durableId="465900052">
    <w:abstractNumId w:val="12"/>
  </w:num>
  <w:num w:numId="11" w16cid:durableId="383605014">
    <w:abstractNumId w:val="16"/>
  </w:num>
  <w:num w:numId="12" w16cid:durableId="1574001007">
    <w:abstractNumId w:val="27"/>
  </w:num>
  <w:num w:numId="13" w16cid:durableId="1557660216">
    <w:abstractNumId w:val="0"/>
  </w:num>
  <w:num w:numId="14" w16cid:durableId="427623955">
    <w:abstractNumId w:val="11"/>
  </w:num>
  <w:num w:numId="15" w16cid:durableId="865680822">
    <w:abstractNumId w:val="23"/>
  </w:num>
  <w:num w:numId="16" w16cid:durableId="284888758">
    <w:abstractNumId w:val="26"/>
  </w:num>
  <w:num w:numId="17" w16cid:durableId="157960857">
    <w:abstractNumId w:val="18"/>
  </w:num>
  <w:num w:numId="18" w16cid:durableId="284846741">
    <w:abstractNumId w:val="25"/>
  </w:num>
  <w:num w:numId="19" w16cid:durableId="1813251017">
    <w:abstractNumId w:val="14"/>
  </w:num>
  <w:num w:numId="20" w16cid:durableId="914315909">
    <w:abstractNumId w:val="15"/>
  </w:num>
  <w:num w:numId="21" w16cid:durableId="585001157">
    <w:abstractNumId w:val="19"/>
  </w:num>
  <w:num w:numId="22" w16cid:durableId="1066999015">
    <w:abstractNumId w:val="22"/>
  </w:num>
  <w:num w:numId="23" w16cid:durableId="699935421">
    <w:abstractNumId w:val="3"/>
  </w:num>
  <w:num w:numId="24" w16cid:durableId="25719342">
    <w:abstractNumId w:val="1"/>
  </w:num>
  <w:num w:numId="25" w16cid:durableId="1763260841">
    <w:abstractNumId w:val="9"/>
  </w:num>
  <w:num w:numId="26" w16cid:durableId="132479968">
    <w:abstractNumId w:val="7"/>
  </w:num>
  <w:num w:numId="27" w16cid:durableId="1305625272">
    <w:abstractNumId w:val="13"/>
  </w:num>
  <w:num w:numId="28" w16cid:durableId="14778424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1CC"/>
    <w:rsid w:val="00002A9E"/>
    <w:rsid w:val="00004849"/>
    <w:rsid w:val="00005BBA"/>
    <w:rsid w:val="000120C4"/>
    <w:rsid w:val="000155AF"/>
    <w:rsid w:val="0002566E"/>
    <w:rsid w:val="00025943"/>
    <w:rsid w:val="000300B3"/>
    <w:rsid w:val="000345A5"/>
    <w:rsid w:val="000363A8"/>
    <w:rsid w:val="00051A8A"/>
    <w:rsid w:val="00057909"/>
    <w:rsid w:val="000601F2"/>
    <w:rsid w:val="00071106"/>
    <w:rsid w:val="000745F0"/>
    <w:rsid w:val="00084C4D"/>
    <w:rsid w:val="00086BF5"/>
    <w:rsid w:val="00090F66"/>
    <w:rsid w:val="000913CF"/>
    <w:rsid w:val="00093BEC"/>
    <w:rsid w:val="000A1A63"/>
    <w:rsid w:val="000A6AAA"/>
    <w:rsid w:val="000A6E63"/>
    <w:rsid w:val="000B0000"/>
    <w:rsid w:val="000B06D5"/>
    <w:rsid w:val="000B2875"/>
    <w:rsid w:val="000B4FCF"/>
    <w:rsid w:val="000C4B25"/>
    <w:rsid w:val="000C67EC"/>
    <w:rsid w:val="000D4E71"/>
    <w:rsid w:val="000F6A62"/>
    <w:rsid w:val="000F7747"/>
    <w:rsid w:val="00100D98"/>
    <w:rsid w:val="001030DC"/>
    <w:rsid w:val="00104753"/>
    <w:rsid w:val="00104F46"/>
    <w:rsid w:val="0011387E"/>
    <w:rsid w:val="00117079"/>
    <w:rsid w:val="00120B78"/>
    <w:rsid w:val="0014036E"/>
    <w:rsid w:val="001639CA"/>
    <w:rsid w:val="001727D2"/>
    <w:rsid w:val="00173ED2"/>
    <w:rsid w:val="00175121"/>
    <w:rsid w:val="00175F10"/>
    <w:rsid w:val="00181469"/>
    <w:rsid w:val="0019084C"/>
    <w:rsid w:val="001A39E8"/>
    <w:rsid w:val="001B4C28"/>
    <w:rsid w:val="001C7783"/>
    <w:rsid w:val="001D5C10"/>
    <w:rsid w:val="001D65B7"/>
    <w:rsid w:val="001E7A96"/>
    <w:rsid w:val="001F137F"/>
    <w:rsid w:val="001F5DFB"/>
    <w:rsid w:val="00203086"/>
    <w:rsid w:val="0020321B"/>
    <w:rsid w:val="0020353C"/>
    <w:rsid w:val="0021035C"/>
    <w:rsid w:val="002109EA"/>
    <w:rsid w:val="00210C6A"/>
    <w:rsid w:val="00217C05"/>
    <w:rsid w:val="00222D2B"/>
    <w:rsid w:val="00254E90"/>
    <w:rsid w:val="00260DA5"/>
    <w:rsid w:val="00264519"/>
    <w:rsid w:val="00270FC4"/>
    <w:rsid w:val="0027273B"/>
    <w:rsid w:val="00284C92"/>
    <w:rsid w:val="002935F8"/>
    <w:rsid w:val="00293ECD"/>
    <w:rsid w:val="0029492F"/>
    <w:rsid w:val="00296CF5"/>
    <w:rsid w:val="002A1AF0"/>
    <w:rsid w:val="002B6C83"/>
    <w:rsid w:val="002C6AF6"/>
    <w:rsid w:val="002D286A"/>
    <w:rsid w:val="002F0DE3"/>
    <w:rsid w:val="002F3FB8"/>
    <w:rsid w:val="002F5D43"/>
    <w:rsid w:val="002F71C5"/>
    <w:rsid w:val="002F7EEB"/>
    <w:rsid w:val="002F7F5D"/>
    <w:rsid w:val="00301034"/>
    <w:rsid w:val="00303B0E"/>
    <w:rsid w:val="00312444"/>
    <w:rsid w:val="0032100B"/>
    <w:rsid w:val="0032617A"/>
    <w:rsid w:val="00332CB8"/>
    <w:rsid w:val="003530B2"/>
    <w:rsid w:val="00355806"/>
    <w:rsid w:val="0036135C"/>
    <w:rsid w:val="00366729"/>
    <w:rsid w:val="00373015"/>
    <w:rsid w:val="00375D60"/>
    <w:rsid w:val="00384ED0"/>
    <w:rsid w:val="00385553"/>
    <w:rsid w:val="00393D5C"/>
    <w:rsid w:val="003A2F44"/>
    <w:rsid w:val="003A7220"/>
    <w:rsid w:val="003B5DB5"/>
    <w:rsid w:val="003B7E49"/>
    <w:rsid w:val="003C59DA"/>
    <w:rsid w:val="003D0B69"/>
    <w:rsid w:val="003D19B4"/>
    <w:rsid w:val="003D20C5"/>
    <w:rsid w:val="003D5002"/>
    <w:rsid w:val="003F2751"/>
    <w:rsid w:val="003F6EBB"/>
    <w:rsid w:val="00405BE2"/>
    <w:rsid w:val="00415088"/>
    <w:rsid w:val="004253C6"/>
    <w:rsid w:val="00435191"/>
    <w:rsid w:val="0044000F"/>
    <w:rsid w:val="00441BE1"/>
    <w:rsid w:val="00471B26"/>
    <w:rsid w:val="00473247"/>
    <w:rsid w:val="00475A08"/>
    <w:rsid w:val="00480494"/>
    <w:rsid w:val="00480DE4"/>
    <w:rsid w:val="0049449B"/>
    <w:rsid w:val="004A5BD0"/>
    <w:rsid w:val="004A7676"/>
    <w:rsid w:val="004D2494"/>
    <w:rsid w:val="004E0E83"/>
    <w:rsid w:val="004E241C"/>
    <w:rsid w:val="004F104E"/>
    <w:rsid w:val="00500373"/>
    <w:rsid w:val="00513229"/>
    <w:rsid w:val="0051352F"/>
    <w:rsid w:val="00522EBB"/>
    <w:rsid w:val="005239C9"/>
    <w:rsid w:val="00523E94"/>
    <w:rsid w:val="00536063"/>
    <w:rsid w:val="00537DDB"/>
    <w:rsid w:val="00541AAF"/>
    <w:rsid w:val="005421AC"/>
    <w:rsid w:val="005512D3"/>
    <w:rsid w:val="00557E4A"/>
    <w:rsid w:val="00563580"/>
    <w:rsid w:val="00564631"/>
    <w:rsid w:val="00564D6E"/>
    <w:rsid w:val="00566DC0"/>
    <w:rsid w:val="00572B10"/>
    <w:rsid w:val="005805EB"/>
    <w:rsid w:val="00580A53"/>
    <w:rsid w:val="005812AE"/>
    <w:rsid w:val="00590A11"/>
    <w:rsid w:val="00593458"/>
    <w:rsid w:val="0059499A"/>
    <w:rsid w:val="005B006D"/>
    <w:rsid w:val="005B19EF"/>
    <w:rsid w:val="005B5DBB"/>
    <w:rsid w:val="005C186F"/>
    <w:rsid w:val="005C18D3"/>
    <w:rsid w:val="005D3E2A"/>
    <w:rsid w:val="005D7667"/>
    <w:rsid w:val="005E3AE2"/>
    <w:rsid w:val="005E53B0"/>
    <w:rsid w:val="005E6EC7"/>
    <w:rsid w:val="005F115D"/>
    <w:rsid w:val="005F1911"/>
    <w:rsid w:val="005F368D"/>
    <w:rsid w:val="006011EF"/>
    <w:rsid w:val="00602948"/>
    <w:rsid w:val="00604466"/>
    <w:rsid w:val="00604658"/>
    <w:rsid w:val="00614E4B"/>
    <w:rsid w:val="006179E4"/>
    <w:rsid w:val="00624FA6"/>
    <w:rsid w:val="006268DC"/>
    <w:rsid w:val="00627465"/>
    <w:rsid w:val="006278A4"/>
    <w:rsid w:val="006331DB"/>
    <w:rsid w:val="006357BC"/>
    <w:rsid w:val="00640C5E"/>
    <w:rsid w:val="00641DA0"/>
    <w:rsid w:val="0064481D"/>
    <w:rsid w:val="006472DD"/>
    <w:rsid w:val="00647BD2"/>
    <w:rsid w:val="0065078A"/>
    <w:rsid w:val="00653B41"/>
    <w:rsid w:val="00654B7B"/>
    <w:rsid w:val="0068300F"/>
    <w:rsid w:val="00694A53"/>
    <w:rsid w:val="006A761F"/>
    <w:rsid w:val="006B2C85"/>
    <w:rsid w:val="006C47F4"/>
    <w:rsid w:val="006D74F4"/>
    <w:rsid w:val="006E4923"/>
    <w:rsid w:val="00705888"/>
    <w:rsid w:val="00707F8F"/>
    <w:rsid w:val="00714358"/>
    <w:rsid w:val="0071732B"/>
    <w:rsid w:val="00717369"/>
    <w:rsid w:val="00731D3F"/>
    <w:rsid w:val="007559C1"/>
    <w:rsid w:val="00761D15"/>
    <w:rsid w:val="0076789F"/>
    <w:rsid w:val="00770BAB"/>
    <w:rsid w:val="00771A12"/>
    <w:rsid w:val="0077319D"/>
    <w:rsid w:val="0078204E"/>
    <w:rsid w:val="0078635D"/>
    <w:rsid w:val="0079001A"/>
    <w:rsid w:val="007920B5"/>
    <w:rsid w:val="007A05D6"/>
    <w:rsid w:val="007A1DE1"/>
    <w:rsid w:val="007A4EBD"/>
    <w:rsid w:val="007B57DA"/>
    <w:rsid w:val="007B691E"/>
    <w:rsid w:val="007C15C6"/>
    <w:rsid w:val="007D3A72"/>
    <w:rsid w:val="007F7E42"/>
    <w:rsid w:val="00801B8D"/>
    <w:rsid w:val="00811327"/>
    <w:rsid w:val="00813179"/>
    <w:rsid w:val="00835197"/>
    <w:rsid w:val="008502AC"/>
    <w:rsid w:val="00862F53"/>
    <w:rsid w:val="00865999"/>
    <w:rsid w:val="00865FD0"/>
    <w:rsid w:val="0087080A"/>
    <w:rsid w:val="0087337F"/>
    <w:rsid w:val="00874B06"/>
    <w:rsid w:val="00876175"/>
    <w:rsid w:val="008855A9"/>
    <w:rsid w:val="00897D2F"/>
    <w:rsid w:val="008A4915"/>
    <w:rsid w:val="008B0BF9"/>
    <w:rsid w:val="008B65CA"/>
    <w:rsid w:val="008C031B"/>
    <w:rsid w:val="008C0B68"/>
    <w:rsid w:val="008C6CC1"/>
    <w:rsid w:val="008D5034"/>
    <w:rsid w:val="008D6C51"/>
    <w:rsid w:val="008E13AE"/>
    <w:rsid w:val="00904C2E"/>
    <w:rsid w:val="009112D8"/>
    <w:rsid w:val="00912553"/>
    <w:rsid w:val="009140B3"/>
    <w:rsid w:val="0093584E"/>
    <w:rsid w:val="00945D17"/>
    <w:rsid w:val="00963A42"/>
    <w:rsid w:val="00971266"/>
    <w:rsid w:val="00974DCC"/>
    <w:rsid w:val="0098273A"/>
    <w:rsid w:val="0098490E"/>
    <w:rsid w:val="00984D1A"/>
    <w:rsid w:val="0098761D"/>
    <w:rsid w:val="00994723"/>
    <w:rsid w:val="009A0A03"/>
    <w:rsid w:val="009A0BA1"/>
    <w:rsid w:val="009A7D46"/>
    <w:rsid w:val="009C0D22"/>
    <w:rsid w:val="009D2BE5"/>
    <w:rsid w:val="009D71CC"/>
    <w:rsid w:val="00A06CA4"/>
    <w:rsid w:val="00A15A5B"/>
    <w:rsid w:val="00A15F4A"/>
    <w:rsid w:val="00A1728F"/>
    <w:rsid w:val="00A17829"/>
    <w:rsid w:val="00A30A48"/>
    <w:rsid w:val="00A34FE2"/>
    <w:rsid w:val="00A3539F"/>
    <w:rsid w:val="00A35F0F"/>
    <w:rsid w:val="00A75B3F"/>
    <w:rsid w:val="00A92D58"/>
    <w:rsid w:val="00A94081"/>
    <w:rsid w:val="00A95E99"/>
    <w:rsid w:val="00A97B43"/>
    <w:rsid w:val="00AA1582"/>
    <w:rsid w:val="00AB0B3D"/>
    <w:rsid w:val="00AB32ED"/>
    <w:rsid w:val="00AC0625"/>
    <w:rsid w:val="00AC6BAC"/>
    <w:rsid w:val="00AE033C"/>
    <w:rsid w:val="00AE15DE"/>
    <w:rsid w:val="00AE4985"/>
    <w:rsid w:val="00AF69D0"/>
    <w:rsid w:val="00B054ED"/>
    <w:rsid w:val="00B153FF"/>
    <w:rsid w:val="00B24CC3"/>
    <w:rsid w:val="00B31DBD"/>
    <w:rsid w:val="00B359F5"/>
    <w:rsid w:val="00B4302D"/>
    <w:rsid w:val="00B43884"/>
    <w:rsid w:val="00B77739"/>
    <w:rsid w:val="00B80C26"/>
    <w:rsid w:val="00B836C4"/>
    <w:rsid w:val="00B87AB6"/>
    <w:rsid w:val="00B97136"/>
    <w:rsid w:val="00B97CF5"/>
    <w:rsid w:val="00BA7FFA"/>
    <w:rsid w:val="00BB5377"/>
    <w:rsid w:val="00BC4B37"/>
    <w:rsid w:val="00BE50DB"/>
    <w:rsid w:val="00BE79CB"/>
    <w:rsid w:val="00BF15F3"/>
    <w:rsid w:val="00BF44AD"/>
    <w:rsid w:val="00BF4610"/>
    <w:rsid w:val="00C0214E"/>
    <w:rsid w:val="00C212BD"/>
    <w:rsid w:val="00C31642"/>
    <w:rsid w:val="00C37E9D"/>
    <w:rsid w:val="00C41F38"/>
    <w:rsid w:val="00C4668B"/>
    <w:rsid w:val="00C50AC7"/>
    <w:rsid w:val="00C60BF7"/>
    <w:rsid w:val="00C63D23"/>
    <w:rsid w:val="00C72214"/>
    <w:rsid w:val="00C779E0"/>
    <w:rsid w:val="00C965C2"/>
    <w:rsid w:val="00CA173D"/>
    <w:rsid w:val="00CA4031"/>
    <w:rsid w:val="00CA72E8"/>
    <w:rsid w:val="00CB08A4"/>
    <w:rsid w:val="00CB0E6F"/>
    <w:rsid w:val="00CB3D9D"/>
    <w:rsid w:val="00CB7CE8"/>
    <w:rsid w:val="00CD21D2"/>
    <w:rsid w:val="00D00040"/>
    <w:rsid w:val="00D02D68"/>
    <w:rsid w:val="00D0722A"/>
    <w:rsid w:val="00D210C7"/>
    <w:rsid w:val="00D271B0"/>
    <w:rsid w:val="00D27AB1"/>
    <w:rsid w:val="00D5131D"/>
    <w:rsid w:val="00D52DFD"/>
    <w:rsid w:val="00D55994"/>
    <w:rsid w:val="00D5708D"/>
    <w:rsid w:val="00D60959"/>
    <w:rsid w:val="00D60CB1"/>
    <w:rsid w:val="00D61FB6"/>
    <w:rsid w:val="00D656D7"/>
    <w:rsid w:val="00D65D9F"/>
    <w:rsid w:val="00D73790"/>
    <w:rsid w:val="00D80423"/>
    <w:rsid w:val="00D919EA"/>
    <w:rsid w:val="00D977AE"/>
    <w:rsid w:val="00DA4395"/>
    <w:rsid w:val="00DB19A0"/>
    <w:rsid w:val="00DC0E2A"/>
    <w:rsid w:val="00DC69F5"/>
    <w:rsid w:val="00DF50BD"/>
    <w:rsid w:val="00E01F29"/>
    <w:rsid w:val="00E044C5"/>
    <w:rsid w:val="00E117D7"/>
    <w:rsid w:val="00E14550"/>
    <w:rsid w:val="00E21C67"/>
    <w:rsid w:val="00E21DBF"/>
    <w:rsid w:val="00E24215"/>
    <w:rsid w:val="00E4523B"/>
    <w:rsid w:val="00E45C53"/>
    <w:rsid w:val="00E47DF9"/>
    <w:rsid w:val="00E518DE"/>
    <w:rsid w:val="00E65A28"/>
    <w:rsid w:val="00E663AE"/>
    <w:rsid w:val="00E81005"/>
    <w:rsid w:val="00E81AF3"/>
    <w:rsid w:val="00E82725"/>
    <w:rsid w:val="00E840D2"/>
    <w:rsid w:val="00E855BF"/>
    <w:rsid w:val="00E92816"/>
    <w:rsid w:val="00EA3B31"/>
    <w:rsid w:val="00EF34AA"/>
    <w:rsid w:val="00F061B2"/>
    <w:rsid w:val="00F13410"/>
    <w:rsid w:val="00F16A18"/>
    <w:rsid w:val="00F34016"/>
    <w:rsid w:val="00F4091F"/>
    <w:rsid w:val="00F42BEC"/>
    <w:rsid w:val="00F574B5"/>
    <w:rsid w:val="00F62C38"/>
    <w:rsid w:val="00F67846"/>
    <w:rsid w:val="00F751B9"/>
    <w:rsid w:val="00F76C49"/>
    <w:rsid w:val="00F82080"/>
    <w:rsid w:val="00F85F05"/>
    <w:rsid w:val="00F917B3"/>
    <w:rsid w:val="00F926E3"/>
    <w:rsid w:val="00F92801"/>
    <w:rsid w:val="00F951AF"/>
    <w:rsid w:val="00FA0CDE"/>
    <w:rsid w:val="00FA79EA"/>
    <w:rsid w:val="00FB2597"/>
    <w:rsid w:val="00FC1405"/>
    <w:rsid w:val="00FC244E"/>
    <w:rsid w:val="00FC4574"/>
    <w:rsid w:val="00FD3E55"/>
    <w:rsid w:val="00FD765B"/>
    <w:rsid w:val="00FE3A86"/>
    <w:rsid w:val="00FE3F7C"/>
    <w:rsid w:val="00FF4FC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45371"/>
  <w15:docId w15:val="{AE3EF041-8572-4E34-8F6F-39D400A1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ja-JP"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D5297D"/>
    <w:pPr>
      <w:spacing w:before="40" w:after="20" w:line="288" w:lineRule="auto"/>
      <w:jc w:val="both"/>
    </w:pPr>
    <w:rPr>
      <w:rFonts w:ascii="Bookman Old Style" w:hAnsi="Bookman Old Style"/>
      <w:szCs w:val="24"/>
      <w:lang w:eastAsia="ar-SA"/>
    </w:rPr>
  </w:style>
  <w:style w:type="paragraph" w:styleId="Nadpis1">
    <w:name w:val="heading 1"/>
    <w:basedOn w:val="Normln"/>
    <w:next w:val="Normln"/>
    <w:qFormat/>
    <w:rsid w:val="003C7EC1"/>
    <w:pPr>
      <w:keepNext/>
      <w:numPr>
        <w:numId w:val="1"/>
      </w:numPr>
      <w:spacing w:before="240" w:after="60"/>
      <w:outlineLvl w:val="0"/>
    </w:pPr>
    <w:rPr>
      <w:rFonts w:cs="Arial"/>
      <w:b/>
      <w:bCs/>
      <w:caps/>
      <w:kern w:val="2"/>
      <w:sz w:val="32"/>
      <w:szCs w:val="32"/>
    </w:rPr>
  </w:style>
  <w:style w:type="paragraph" w:styleId="Nadpis2">
    <w:name w:val="heading 2"/>
    <w:basedOn w:val="Normln"/>
    <w:next w:val="Normln"/>
    <w:qFormat/>
    <w:rsid w:val="003C7EC1"/>
    <w:pPr>
      <w:keepNext/>
      <w:numPr>
        <w:ilvl w:val="1"/>
        <w:numId w:val="1"/>
      </w:numPr>
      <w:spacing w:before="240" w:after="60"/>
      <w:outlineLvl w:val="1"/>
    </w:pPr>
    <w:rPr>
      <w:rFonts w:cs="Arial"/>
      <w:b/>
      <w:bCs/>
      <w:iCs/>
      <w:sz w:val="28"/>
      <w:szCs w:val="28"/>
    </w:rPr>
  </w:style>
  <w:style w:type="paragraph" w:styleId="Nadpis3">
    <w:name w:val="heading 3"/>
    <w:basedOn w:val="Normln"/>
    <w:next w:val="Normln"/>
    <w:qFormat/>
    <w:rsid w:val="00A66D85"/>
    <w:pPr>
      <w:keepNext/>
      <w:numPr>
        <w:ilvl w:val="2"/>
        <w:numId w:val="1"/>
      </w:numPr>
      <w:spacing w:before="240" w:after="60"/>
      <w:outlineLvl w:val="2"/>
    </w:pPr>
    <w:rPr>
      <w:rFonts w:cs="Arial"/>
      <w:b/>
      <w:bCs/>
      <w:sz w:val="26"/>
      <w:szCs w:val="26"/>
    </w:rPr>
  </w:style>
  <w:style w:type="paragraph" w:styleId="Nadpis4">
    <w:name w:val="heading 4"/>
    <w:basedOn w:val="Normln"/>
    <w:next w:val="Normln"/>
    <w:link w:val="Nadpis4Char"/>
    <w:qFormat/>
    <w:rsid w:val="002B3296"/>
    <w:pPr>
      <w:keepNext/>
      <w:spacing w:before="120" w:after="0"/>
      <w:outlineLvl w:val="3"/>
    </w:pPr>
    <w:rPr>
      <w:b/>
      <w:bCs/>
    </w:rPr>
  </w:style>
  <w:style w:type="paragraph" w:styleId="Nadpis5">
    <w:name w:val="heading 5"/>
    <w:basedOn w:val="Normln"/>
    <w:next w:val="Normln"/>
    <w:link w:val="Nadpis5Char"/>
    <w:unhideWhenUsed/>
    <w:qFormat/>
    <w:rsid w:val="00373015"/>
    <w:pPr>
      <w:keepNext/>
      <w:keepLines/>
      <w:spacing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semiHidden/>
    <w:qFormat/>
    <w:locked/>
    <w:rsid w:val="002B3296"/>
    <w:rPr>
      <w:b/>
      <w:bCs/>
      <w:sz w:val="24"/>
      <w:szCs w:val="24"/>
      <w:lang w:val="cs-CZ" w:eastAsia="ar-SA" w:bidi="ar-SA"/>
    </w:rPr>
  </w:style>
  <w:style w:type="character" w:customStyle="1" w:styleId="NormalniTucne">
    <w:name w:val="Normalni_Tucne"/>
    <w:qFormat/>
    <w:rsid w:val="00E769C7"/>
    <w:rPr>
      <w:b/>
      <w:bCs/>
    </w:rPr>
  </w:style>
  <w:style w:type="character" w:customStyle="1" w:styleId="NormalniVsechnaVelka">
    <w:name w:val="Normalni_Vsechna_Velka"/>
    <w:qFormat/>
    <w:rsid w:val="00970866"/>
    <w:rPr>
      <w:caps/>
    </w:rPr>
  </w:style>
  <w:style w:type="character" w:customStyle="1" w:styleId="ProgramovyKod">
    <w:name w:val="ProgramovyKod"/>
    <w:qFormat/>
    <w:rsid w:val="003C7EC1"/>
    <w:rPr>
      <w:rFonts w:ascii="Courier New" w:hAnsi="Courier New" w:cs="Courier New"/>
      <w:sz w:val="20"/>
      <w:szCs w:val="20"/>
    </w:rPr>
  </w:style>
  <w:style w:type="character" w:customStyle="1" w:styleId="NormalniKurziva">
    <w:name w:val="Normalni_Kurziva"/>
    <w:qFormat/>
    <w:rsid w:val="003C7EC1"/>
    <w:rPr>
      <w:i/>
      <w:iCs/>
      <w:sz w:val="24"/>
      <w:szCs w:val="24"/>
      <w:lang w:val="cs-CZ" w:eastAsia="ar-SA" w:bidi="ar-SA"/>
    </w:rPr>
  </w:style>
  <w:style w:type="character" w:styleId="Hypertextovodkaz">
    <w:name w:val="Hyperlink"/>
    <w:uiPriority w:val="99"/>
    <w:rsid w:val="00892E8D"/>
    <w:rPr>
      <w:color w:val="0000FF"/>
      <w:u w:val="single"/>
    </w:rPr>
  </w:style>
  <w:style w:type="character" w:styleId="Odkaznakoment">
    <w:name w:val="annotation reference"/>
    <w:qFormat/>
    <w:rsid w:val="00401875"/>
    <w:rPr>
      <w:sz w:val="16"/>
      <w:szCs w:val="16"/>
    </w:rPr>
  </w:style>
  <w:style w:type="character" w:customStyle="1" w:styleId="ObsahUvodSeznamyCharChar">
    <w:name w:val="Obsah_Uvod_Seznamy Char Char"/>
    <w:link w:val="ObsahUvodSeznamy"/>
    <w:qFormat/>
    <w:rsid w:val="00422885"/>
    <w:rPr>
      <w:b/>
      <w:bCs/>
      <w:caps/>
      <w:sz w:val="32"/>
      <w:szCs w:val="32"/>
      <w:lang w:val="cs-CZ" w:eastAsia="ar-SA" w:bidi="ar-SA"/>
    </w:rPr>
  </w:style>
  <w:style w:type="character" w:customStyle="1" w:styleId="TextkomenteChar">
    <w:name w:val="Text komentáře Char"/>
    <w:link w:val="Textkomente"/>
    <w:qFormat/>
    <w:rsid w:val="005303E9"/>
    <w:rPr>
      <w:rFonts w:ascii="Bookman Old Style" w:hAnsi="Bookman Old Style"/>
      <w:lang w:eastAsia="ar-SA"/>
    </w:rPr>
  </w:style>
  <w:style w:type="character" w:customStyle="1" w:styleId="PedmtkomenteChar">
    <w:name w:val="Předmět komentáře Char"/>
    <w:link w:val="Pedmtkomente"/>
    <w:qFormat/>
    <w:rsid w:val="00401875"/>
    <w:rPr>
      <w:rFonts w:ascii="Bookman Old Style" w:hAnsi="Bookman Old Style"/>
      <w:b/>
      <w:bCs/>
      <w:lang w:eastAsia="ar-SA"/>
    </w:rPr>
  </w:style>
  <w:style w:type="character" w:styleId="Sledovanodkaz">
    <w:name w:val="FollowedHyperlink"/>
    <w:rsid w:val="007600E3"/>
    <w:rPr>
      <w:color w:val="954F72"/>
      <w:u w:val="single"/>
    </w:rPr>
  </w:style>
  <w:style w:type="character" w:customStyle="1" w:styleId="ZhlavChar">
    <w:name w:val="Záhlaví Char"/>
    <w:link w:val="Zhlav"/>
    <w:qFormat/>
    <w:rsid w:val="006F3773"/>
    <w:rPr>
      <w:rFonts w:ascii="Bookman Old Style" w:hAnsi="Bookman Old Style"/>
      <w:szCs w:val="24"/>
      <w:lang w:eastAsia="ar-SA"/>
    </w:rPr>
  </w:style>
  <w:style w:type="character" w:customStyle="1" w:styleId="ZpatChar">
    <w:name w:val="Zápatí Char"/>
    <w:link w:val="Zpat"/>
    <w:qFormat/>
    <w:rsid w:val="006F3773"/>
    <w:rPr>
      <w:rFonts w:ascii="Bookman Old Style" w:hAnsi="Bookman Old Style"/>
      <w:szCs w:val="24"/>
      <w:lang w:eastAsia="ar-SA"/>
    </w:rPr>
  </w:style>
  <w:style w:type="character" w:customStyle="1" w:styleId="IndexLink">
    <w:name w:val="Index Link"/>
    <w:qFormat/>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normaltextrun">
    <w:name w:val="normaltextrun"/>
    <w:basedOn w:val="Standardnpsmoodstavce"/>
    <w:qFormat/>
    <w:rsid w:val="00AC3746"/>
  </w:style>
  <w:style w:type="character" w:customStyle="1" w:styleId="eop">
    <w:name w:val="eop"/>
    <w:basedOn w:val="Standardnpsmoodstavce"/>
    <w:qFormat/>
    <w:rsid w:val="00AC3746"/>
  </w:style>
  <w:style w:type="character" w:styleId="Zdraznn">
    <w:name w:val="Emphasis"/>
    <w:basedOn w:val="Standardnpsmoodstavce"/>
    <w:qFormat/>
    <w:rsid w:val="00DB4546"/>
    <w:rPr>
      <w:i/>
      <w:iCs/>
    </w:rPr>
  </w:style>
  <w:style w:type="character" w:styleId="Nevyeenzmnka">
    <w:name w:val="Unresolved Mention"/>
    <w:basedOn w:val="Standardnpsmoodstavce"/>
    <w:uiPriority w:val="99"/>
    <w:semiHidden/>
    <w:unhideWhenUsed/>
    <w:qFormat/>
    <w:rsid w:val="00D33F4B"/>
    <w:rPr>
      <w:color w:val="605E5C"/>
      <w:shd w:val="clear" w:color="auto" w:fill="E1DFDD"/>
    </w:rPr>
  </w:style>
  <w:style w:type="paragraph" w:customStyle="1" w:styleId="Heading">
    <w:name w:val="Heading"/>
    <w:basedOn w:val="Normln"/>
    <w:next w:val="Zkladntext"/>
    <w:qFormat/>
    <w:pPr>
      <w:keepNext/>
      <w:spacing w:before="240" w:after="120"/>
    </w:pPr>
    <w:rPr>
      <w:rFonts w:ascii="Liberation Sans" w:eastAsia="Noto Sans CJK SC" w:hAnsi="Liberation Sans" w:cs="Lohit Devanagari"/>
      <w:sz w:val="28"/>
      <w:szCs w:val="28"/>
    </w:rPr>
  </w:style>
  <w:style w:type="paragraph" w:styleId="Zkladntext">
    <w:name w:val="Body Text"/>
    <w:basedOn w:val="Normln"/>
    <w:pPr>
      <w:spacing w:before="0" w:after="140" w:line="276" w:lineRule="auto"/>
    </w:pPr>
  </w:style>
  <w:style w:type="paragraph" w:styleId="Seznam">
    <w:name w:val="List"/>
    <w:basedOn w:val="Zkladntext"/>
    <w:rPr>
      <w:rFonts w:cs="Lohit Devanagari"/>
    </w:rPr>
  </w:style>
  <w:style w:type="paragraph" w:styleId="Titulek">
    <w:name w:val="caption"/>
    <w:basedOn w:val="Normln"/>
    <w:next w:val="Normln"/>
    <w:uiPriority w:val="35"/>
    <w:unhideWhenUsed/>
    <w:qFormat/>
    <w:rsid w:val="00C53DF9"/>
    <w:rPr>
      <w:b/>
      <w:bCs/>
      <w:szCs w:val="20"/>
    </w:rPr>
  </w:style>
  <w:style w:type="paragraph" w:customStyle="1" w:styleId="Index">
    <w:name w:val="Index"/>
    <w:basedOn w:val="Normln"/>
    <w:qFormat/>
    <w:pPr>
      <w:suppressLineNumbers/>
    </w:pPr>
    <w:rPr>
      <w:rFonts w:cs="Lohit Devanagari"/>
    </w:rPr>
  </w:style>
  <w:style w:type="paragraph" w:customStyle="1" w:styleId="TitulDPPrilohy">
    <w:name w:val="Titul_DP_Prilohy"/>
    <w:basedOn w:val="Normln"/>
    <w:next w:val="Normln"/>
    <w:qFormat/>
    <w:rsid w:val="002B3296"/>
    <w:pPr>
      <w:spacing w:before="60" w:line="312" w:lineRule="auto"/>
      <w:jc w:val="center"/>
    </w:pPr>
    <w:rPr>
      <w:b/>
      <w:bCs/>
      <w:caps/>
      <w:sz w:val="36"/>
      <w:szCs w:val="36"/>
    </w:rPr>
  </w:style>
  <w:style w:type="paragraph" w:customStyle="1" w:styleId="TitulUP">
    <w:name w:val="Titul_UP"/>
    <w:basedOn w:val="Normln"/>
    <w:next w:val="Normln"/>
    <w:qFormat/>
    <w:rsid w:val="002B3296"/>
    <w:pPr>
      <w:spacing w:before="60" w:line="312" w:lineRule="auto"/>
      <w:jc w:val="center"/>
    </w:pPr>
    <w:rPr>
      <w:b/>
      <w:bCs/>
      <w:sz w:val="28"/>
      <w:szCs w:val="28"/>
    </w:rPr>
  </w:style>
  <w:style w:type="paragraph" w:customStyle="1" w:styleId="ObsahUvodSeznamy">
    <w:name w:val="Obsah_Uvod_Seznamy"/>
    <w:basedOn w:val="Normln"/>
    <w:link w:val="ObsahUvodSeznamyCharChar"/>
    <w:qFormat/>
    <w:rsid w:val="00E769C7"/>
    <w:rPr>
      <w:b/>
      <w:bCs/>
      <w:caps/>
      <w:sz w:val="32"/>
      <w:szCs w:val="32"/>
    </w:rPr>
  </w:style>
  <w:style w:type="paragraph" w:customStyle="1" w:styleId="TabulkaZahlavi">
    <w:name w:val="TabulkaZahlavi"/>
    <w:basedOn w:val="Normln"/>
    <w:qFormat/>
    <w:rsid w:val="00421D95"/>
    <w:pPr>
      <w:ind w:firstLine="454"/>
      <w:jc w:val="left"/>
    </w:pPr>
    <w:rPr>
      <w:b/>
      <w:bCs/>
    </w:rPr>
  </w:style>
  <w:style w:type="paragraph" w:styleId="Textbubliny">
    <w:name w:val="Balloon Text"/>
    <w:basedOn w:val="Normln"/>
    <w:semiHidden/>
    <w:qFormat/>
    <w:rsid w:val="002B3296"/>
    <w:rPr>
      <w:rFonts w:ascii="Tahoma" w:hAnsi="Tahoma" w:cs="Tahoma"/>
      <w:sz w:val="16"/>
      <w:szCs w:val="16"/>
    </w:rPr>
  </w:style>
  <w:style w:type="paragraph" w:styleId="Obsah1">
    <w:name w:val="toc 1"/>
    <w:basedOn w:val="Normln"/>
    <w:next w:val="Normln"/>
    <w:autoRedefine/>
    <w:uiPriority w:val="39"/>
    <w:rsid w:val="00B5195A"/>
    <w:pPr>
      <w:tabs>
        <w:tab w:val="left" w:pos="340"/>
        <w:tab w:val="right" w:leader="dot" w:pos="8647"/>
      </w:tabs>
      <w:spacing w:before="60"/>
      <w:ind w:right="-493"/>
    </w:pPr>
    <w:rPr>
      <w:b/>
      <w:bCs/>
      <w:caps/>
    </w:rPr>
  </w:style>
  <w:style w:type="paragraph" w:styleId="Obsah2">
    <w:name w:val="toc 2"/>
    <w:basedOn w:val="Normln"/>
    <w:next w:val="Normln"/>
    <w:autoRedefine/>
    <w:uiPriority w:val="39"/>
    <w:rsid w:val="00CE7E44"/>
    <w:pPr>
      <w:tabs>
        <w:tab w:val="left" w:pos="900"/>
        <w:tab w:val="right" w:leader="dot" w:pos="8647"/>
        <w:tab w:val="right" w:leader="dot" w:pos="8869"/>
      </w:tabs>
      <w:ind w:left="397" w:right="-312"/>
    </w:pPr>
  </w:style>
  <w:style w:type="paragraph" w:styleId="Obsah3">
    <w:name w:val="toc 3"/>
    <w:basedOn w:val="Normln"/>
    <w:next w:val="Normln"/>
    <w:autoRedefine/>
    <w:uiPriority w:val="39"/>
    <w:rsid w:val="00CE7E44"/>
    <w:pPr>
      <w:tabs>
        <w:tab w:val="left" w:pos="1588"/>
        <w:tab w:val="right" w:leader="dot" w:pos="8647"/>
      </w:tabs>
      <w:ind w:left="907" w:right="-493"/>
    </w:pPr>
  </w:style>
  <w:style w:type="paragraph" w:customStyle="1" w:styleId="TabulkaObsah">
    <w:name w:val="TabulkaObsah"/>
    <w:basedOn w:val="Normln"/>
    <w:qFormat/>
    <w:rsid w:val="00E769C7"/>
  </w:style>
  <w:style w:type="paragraph" w:customStyle="1" w:styleId="Obrazek">
    <w:name w:val="Obrazek"/>
    <w:basedOn w:val="Normln"/>
    <w:qFormat/>
    <w:rsid w:val="00132A0E"/>
    <w:pPr>
      <w:widowControl w:val="0"/>
      <w:spacing w:before="120" w:after="240"/>
      <w:jc w:val="center"/>
      <w:textAlignment w:val="baseline"/>
    </w:pPr>
    <w:rPr>
      <w:sz w:val="18"/>
      <w:szCs w:val="22"/>
    </w:rPr>
  </w:style>
  <w:style w:type="paragraph" w:customStyle="1" w:styleId="TabulkaNazev">
    <w:name w:val="TabulkaNazev"/>
    <w:basedOn w:val="Normln"/>
    <w:qFormat/>
    <w:rsid w:val="004D474E"/>
    <w:pPr>
      <w:spacing w:before="120" w:after="60"/>
    </w:pPr>
    <w:rPr>
      <w:sz w:val="18"/>
      <w:szCs w:val="22"/>
    </w:rPr>
  </w:style>
  <w:style w:type="paragraph" w:customStyle="1" w:styleId="Normlnslovan">
    <w:name w:val="Normální číslovaný"/>
    <w:basedOn w:val="Normln"/>
    <w:qFormat/>
    <w:rsid w:val="003C7EC1"/>
    <w:pPr>
      <w:numPr>
        <w:numId w:val="4"/>
      </w:numPr>
    </w:pPr>
  </w:style>
  <w:style w:type="paragraph" w:customStyle="1" w:styleId="Normlnpsmenov">
    <w:name w:val="Normální písmenový"/>
    <w:basedOn w:val="Normln"/>
    <w:qFormat/>
    <w:rsid w:val="003C7EC1"/>
    <w:pPr>
      <w:numPr>
        <w:numId w:val="2"/>
      </w:numPr>
    </w:pPr>
  </w:style>
  <w:style w:type="paragraph" w:customStyle="1" w:styleId="Normlnpsmenovvelk">
    <w:name w:val="Normální písmenový velký"/>
    <w:basedOn w:val="Normln"/>
    <w:qFormat/>
    <w:rsid w:val="003C7EC1"/>
    <w:pPr>
      <w:numPr>
        <w:numId w:val="3"/>
      </w:numPr>
    </w:pPr>
  </w:style>
  <w:style w:type="paragraph" w:customStyle="1" w:styleId="Vzorec">
    <w:name w:val="Vzorec"/>
    <w:basedOn w:val="Normln"/>
    <w:qFormat/>
    <w:rsid w:val="003C7EC1"/>
    <w:pPr>
      <w:jc w:val="center"/>
    </w:pPr>
  </w:style>
  <w:style w:type="paragraph" w:customStyle="1" w:styleId="ZPriloha7">
    <w:name w:val="Z_Priloha 7"/>
    <w:basedOn w:val="Normlnslovan"/>
    <w:qFormat/>
    <w:rsid w:val="00382840"/>
    <w:pPr>
      <w:numPr>
        <w:numId w:val="5"/>
      </w:numPr>
      <w:tabs>
        <w:tab w:val="clear" w:pos="720"/>
        <w:tab w:val="left" w:pos="360"/>
      </w:tabs>
      <w:ind w:left="360" w:firstLine="0"/>
    </w:pPr>
    <w:rPr>
      <w:b/>
      <w:bCs/>
    </w:rPr>
  </w:style>
  <w:style w:type="paragraph" w:customStyle="1" w:styleId="NormlnOdstavec">
    <w:name w:val="Normální_Odstavec"/>
    <w:basedOn w:val="Normln"/>
    <w:qFormat/>
    <w:rsid w:val="004A47DC"/>
    <w:pPr>
      <w:ind w:firstLine="340"/>
    </w:pPr>
  </w:style>
  <w:style w:type="paragraph" w:customStyle="1" w:styleId="NormalniLiteratura">
    <w:name w:val="Normalni_Literatura"/>
    <w:basedOn w:val="Normln"/>
    <w:qFormat/>
    <w:rsid w:val="003C6DC1"/>
    <w:pPr>
      <w:jc w:val="left"/>
    </w:pPr>
  </w:style>
  <w:style w:type="paragraph" w:styleId="Textkomente">
    <w:name w:val="annotation text"/>
    <w:basedOn w:val="Normln"/>
    <w:link w:val="TextkomenteChar"/>
    <w:qFormat/>
    <w:rsid w:val="005303E9"/>
    <w:rPr>
      <w:szCs w:val="20"/>
    </w:rPr>
  </w:style>
  <w:style w:type="paragraph" w:customStyle="1" w:styleId="NormalniSummary">
    <w:name w:val="Normalni_Summary"/>
    <w:basedOn w:val="Normln"/>
    <w:qFormat/>
    <w:rsid w:val="00422885"/>
    <w:rPr>
      <w:lang w:val="en-GB"/>
    </w:rPr>
  </w:style>
  <w:style w:type="paragraph" w:styleId="Revize">
    <w:name w:val="Revision"/>
    <w:uiPriority w:val="99"/>
    <w:semiHidden/>
    <w:qFormat/>
    <w:rsid w:val="00CA0E8D"/>
    <w:rPr>
      <w:rFonts w:ascii="Bookman Old Style" w:hAnsi="Bookman Old Style"/>
      <w:szCs w:val="24"/>
      <w:lang w:eastAsia="ar-SA"/>
    </w:rPr>
  </w:style>
  <w:style w:type="paragraph" w:styleId="Pedmtkomente">
    <w:name w:val="annotation subject"/>
    <w:basedOn w:val="Normln"/>
    <w:next w:val="Normln"/>
    <w:link w:val="PedmtkomenteChar"/>
    <w:qFormat/>
    <w:rsid w:val="006F5A99"/>
    <w:rPr>
      <w:b/>
      <w:bCs/>
      <w:szCs w:val="20"/>
    </w:rPr>
  </w:style>
  <w:style w:type="paragraph" w:customStyle="1" w:styleId="HeaderandFooter">
    <w:name w:val="Header and Footer"/>
    <w:basedOn w:val="Normln"/>
    <w:qFormat/>
  </w:style>
  <w:style w:type="paragraph" w:styleId="Zhlav">
    <w:name w:val="header"/>
    <w:basedOn w:val="Normln"/>
    <w:link w:val="ZhlavChar"/>
    <w:rsid w:val="006F3773"/>
    <w:pPr>
      <w:tabs>
        <w:tab w:val="center" w:pos="4536"/>
        <w:tab w:val="right" w:pos="9072"/>
      </w:tabs>
    </w:pPr>
  </w:style>
  <w:style w:type="paragraph" w:styleId="Zpat">
    <w:name w:val="footer"/>
    <w:basedOn w:val="Normln"/>
    <w:link w:val="ZpatChar"/>
    <w:rsid w:val="006F3773"/>
    <w:pPr>
      <w:tabs>
        <w:tab w:val="center" w:pos="4536"/>
        <w:tab w:val="right" w:pos="9072"/>
      </w:tabs>
    </w:pPr>
  </w:style>
  <w:style w:type="paragraph" w:customStyle="1" w:styleId="PreformattedText">
    <w:name w:val="Preformatted Text"/>
    <w:basedOn w:val="Normln"/>
    <w:qFormat/>
    <w:pPr>
      <w:spacing w:after="0"/>
    </w:pPr>
    <w:rPr>
      <w:rFonts w:ascii="Liberation Mono" w:eastAsia="Noto Sans Mono CJK JP" w:hAnsi="Liberation Mono" w:cs="Liberation Mono"/>
      <w:szCs w:val="20"/>
    </w:rPr>
  </w:style>
  <w:style w:type="paragraph" w:customStyle="1" w:styleId="Table">
    <w:name w:val="Table"/>
    <w:basedOn w:val="Titulek"/>
    <w:qFormat/>
  </w:style>
  <w:style w:type="paragraph" w:customStyle="1" w:styleId="TableContents">
    <w:name w:val="Table Contents"/>
    <w:basedOn w:val="Normln"/>
    <w:qFormat/>
    <w:pPr>
      <w:widowControl w:val="0"/>
      <w:suppressLineNumbers/>
    </w:pPr>
  </w:style>
  <w:style w:type="paragraph" w:customStyle="1" w:styleId="TableHeading">
    <w:name w:val="Table Heading"/>
    <w:basedOn w:val="TableContents"/>
    <w:qFormat/>
    <w:pPr>
      <w:jc w:val="center"/>
    </w:pPr>
    <w:rPr>
      <w:b/>
      <w:bCs/>
    </w:rPr>
  </w:style>
  <w:style w:type="paragraph" w:styleId="Odstavecseseznamem">
    <w:name w:val="List Paragraph"/>
    <w:basedOn w:val="Normln"/>
    <w:uiPriority w:val="34"/>
    <w:qFormat/>
    <w:rsid w:val="0098503A"/>
    <w:pPr>
      <w:ind w:left="720"/>
      <w:contextualSpacing/>
    </w:pPr>
  </w:style>
  <w:style w:type="paragraph" w:customStyle="1" w:styleId="Figure">
    <w:name w:val="Figure"/>
    <w:basedOn w:val="Titulek"/>
    <w:qFormat/>
  </w:style>
  <w:style w:type="paragraph" w:customStyle="1" w:styleId="FrameContents">
    <w:name w:val="Frame Contents"/>
    <w:basedOn w:val="Normln"/>
    <w:qFormat/>
  </w:style>
  <w:style w:type="paragraph" w:customStyle="1" w:styleId="paragraph">
    <w:name w:val="paragraph"/>
    <w:basedOn w:val="Normln"/>
    <w:qFormat/>
    <w:rsid w:val="00AC3746"/>
    <w:pPr>
      <w:suppressAutoHyphens w:val="0"/>
      <w:spacing w:beforeAutospacing="1" w:afterAutospacing="1" w:line="240" w:lineRule="auto"/>
      <w:jc w:val="left"/>
    </w:pPr>
    <w:rPr>
      <w:rFonts w:ascii="Times New Roman" w:hAnsi="Times New Roman"/>
      <w:sz w:val="24"/>
      <w:lang w:val="en-US" w:eastAsia="en-US"/>
    </w:rPr>
  </w:style>
  <w:style w:type="paragraph" w:customStyle="1" w:styleId="Quotations">
    <w:name w:val="Quotations"/>
    <w:basedOn w:val="Normln"/>
    <w:qFormat/>
    <w:pPr>
      <w:spacing w:after="283"/>
      <w:ind w:left="567" w:right="567"/>
    </w:pPr>
  </w:style>
  <w:style w:type="numbering" w:customStyle="1" w:styleId="Normlnodrka">
    <w:name w:val="Normální odrážka"/>
    <w:qFormat/>
    <w:rsid w:val="00970866"/>
  </w:style>
  <w:style w:type="table" w:styleId="Mkatabulky">
    <w:name w:val="Table Grid"/>
    <w:basedOn w:val="Normlntabulka"/>
    <w:uiPriority w:val="39"/>
    <w:rsid w:val="000544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rsid w:val="00DF69E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Nadpis5Char">
    <w:name w:val="Nadpis 5 Char"/>
    <w:basedOn w:val="Standardnpsmoodstavce"/>
    <w:link w:val="Nadpis5"/>
    <w:rsid w:val="00373015"/>
    <w:rPr>
      <w:rFonts w:asciiTheme="majorHAnsi" w:eastAsiaTheme="majorEastAsia" w:hAnsiTheme="majorHAnsi" w:cstheme="majorBidi"/>
      <w:color w:val="2F5496" w:themeColor="accent1" w:themeShade="BF"/>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4635">
      <w:bodyDiv w:val="1"/>
      <w:marLeft w:val="0"/>
      <w:marRight w:val="0"/>
      <w:marTop w:val="0"/>
      <w:marBottom w:val="0"/>
      <w:divBdr>
        <w:top w:val="none" w:sz="0" w:space="0" w:color="auto"/>
        <w:left w:val="none" w:sz="0" w:space="0" w:color="auto"/>
        <w:bottom w:val="none" w:sz="0" w:space="0" w:color="auto"/>
        <w:right w:val="none" w:sz="0" w:space="0" w:color="auto"/>
      </w:divBdr>
    </w:div>
    <w:div w:id="382412740">
      <w:bodyDiv w:val="1"/>
      <w:marLeft w:val="0"/>
      <w:marRight w:val="0"/>
      <w:marTop w:val="0"/>
      <w:marBottom w:val="0"/>
      <w:divBdr>
        <w:top w:val="none" w:sz="0" w:space="0" w:color="auto"/>
        <w:left w:val="none" w:sz="0" w:space="0" w:color="auto"/>
        <w:bottom w:val="none" w:sz="0" w:space="0" w:color="auto"/>
        <w:right w:val="none" w:sz="0" w:space="0" w:color="auto"/>
      </w:divBdr>
    </w:div>
    <w:div w:id="516120841">
      <w:bodyDiv w:val="1"/>
      <w:marLeft w:val="0"/>
      <w:marRight w:val="0"/>
      <w:marTop w:val="0"/>
      <w:marBottom w:val="0"/>
      <w:divBdr>
        <w:top w:val="none" w:sz="0" w:space="0" w:color="auto"/>
        <w:left w:val="none" w:sz="0" w:space="0" w:color="auto"/>
        <w:bottom w:val="none" w:sz="0" w:space="0" w:color="auto"/>
        <w:right w:val="none" w:sz="0" w:space="0" w:color="auto"/>
      </w:divBdr>
    </w:div>
    <w:div w:id="653871041">
      <w:bodyDiv w:val="1"/>
      <w:marLeft w:val="0"/>
      <w:marRight w:val="0"/>
      <w:marTop w:val="0"/>
      <w:marBottom w:val="0"/>
      <w:divBdr>
        <w:top w:val="none" w:sz="0" w:space="0" w:color="auto"/>
        <w:left w:val="none" w:sz="0" w:space="0" w:color="auto"/>
        <w:bottom w:val="none" w:sz="0" w:space="0" w:color="auto"/>
        <w:right w:val="none" w:sz="0" w:space="0" w:color="auto"/>
      </w:divBdr>
      <w:divsChild>
        <w:div w:id="2108193202">
          <w:marLeft w:val="0"/>
          <w:marRight w:val="0"/>
          <w:marTop w:val="0"/>
          <w:marBottom w:val="0"/>
          <w:divBdr>
            <w:top w:val="none" w:sz="0" w:space="0" w:color="auto"/>
            <w:left w:val="none" w:sz="0" w:space="0" w:color="auto"/>
            <w:bottom w:val="none" w:sz="0" w:space="0" w:color="auto"/>
            <w:right w:val="none" w:sz="0" w:space="0" w:color="auto"/>
          </w:divBdr>
          <w:divsChild>
            <w:div w:id="17129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3268">
      <w:bodyDiv w:val="1"/>
      <w:marLeft w:val="0"/>
      <w:marRight w:val="0"/>
      <w:marTop w:val="0"/>
      <w:marBottom w:val="0"/>
      <w:divBdr>
        <w:top w:val="none" w:sz="0" w:space="0" w:color="auto"/>
        <w:left w:val="none" w:sz="0" w:space="0" w:color="auto"/>
        <w:bottom w:val="none" w:sz="0" w:space="0" w:color="auto"/>
        <w:right w:val="none" w:sz="0" w:space="0" w:color="auto"/>
      </w:divBdr>
      <w:divsChild>
        <w:div w:id="350301110">
          <w:marLeft w:val="0"/>
          <w:marRight w:val="0"/>
          <w:marTop w:val="0"/>
          <w:marBottom w:val="0"/>
          <w:divBdr>
            <w:top w:val="single" w:sz="2" w:space="0" w:color="D9D9E3"/>
            <w:left w:val="single" w:sz="2" w:space="0" w:color="D9D9E3"/>
            <w:bottom w:val="single" w:sz="2" w:space="0" w:color="D9D9E3"/>
            <w:right w:val="single" w:sz="2" w:space="0" w:color="D9D9E3"/>
          </w:divBdr>
          <w:divsChild>
            <w:div w:id="256332723">
              <w:marLeft w:val="0"/>
              <w:marRight w:val="0"/>
              <w:marTop w:val="0"/>
              <w:marBottom w:val="0"/>
              <w:divBdr>
                <w:top w:val="single" w:sz="2" w:space="0" w:color="D9D9E3"/>
                <w:left w:val="single" w:sz="2" w:space="0" w:color="D9D9E3"/>
                <w:bottom w:val="single" w:sz="2" w:space="0" w:color="D9D9E3"/>
                <w:right w:val="single" w:sz="2" w:space="0" w:color="D9D9E3"/>
              </w:divBdr>
              <w:divsChild>
                <w:div w:id="1857888232">
                  <w:marLeft w:val="0"/>
                  <w:marRight w:val="0"/>
                  <w:marTop w:val="0"/>
                  <w:marBottom w:val="0"/>
                  <w:divBdr>
                    <w:top w:val="single" w:sz="2" w:space="0" w:color="D9D9E3"/>
                    <w:left w:val="single" w:sz="2" w:space="0" w:color="D9D9E3"/>
                    <w:bottom w:val="single" w:sz="2" w:space="0" w:color="D9D9E3"/>
                    <w:right w:val="single" w:sz="2" w:space="0" w:color="D9D9E3"/>
                  </w:divBdr>
                  <w:divsChild>
                    <w:div w:id="1670520720">
                      <w:marLeft w:val="0"/>
                      <w:marRight w:val="0"/>
                      <w:marTop w:val="0"/>
                      <w:marBottom w:val="0"/>
                      <w:divBdr>
                        <w:top w:val="single" w:sz="2" w:space="0" w:color="D9D9E3"/>
                        <w:left w:val="single" w:sz="2" w:space="0" w:color="D9D9E3"/>
                        <w:bottom w:val="single" w:sz="2" w:space="0" w:color="D9D9E3"/>
                        <w:right w:val="single" w:sz="2" w:space="0" w:color="D9D9E3"/>
                      </w:divBdr>
                      <w:divsChild>
                        <w:div w:id="1705717682">
                          <w:marLeft w:val="0"/>
                          <w:marRight w:val="0"/>
                          <w:marTop w:val="0"/>
                          <w:marBottom w:val="0"/>
                          <w:divBdr>
                            <w:top w:val="single" w:sz="2" w:space="0" w:color="auto"/>
                            <w:left w:val="single" w:sz="2" w:space="0" w:color="auto"/>
                            <w:bottom w:val="single" w:sz="6" w:space="0" w:color="auto"/>
                            <w:right w:val="single" w:sz="2" w:space="0" w:color="auto"/>
                          </w:divBdr>
                          <w:divsChild>
                            <w:div w:id="1444765332">
                              <w:marLeft w:val="0"/>
                              <w:marRight w:val="0"/>
                              <w:marTop w:val="100"/>
                              <w:marBottom w:val="100"/>
                              <w:divBdr>
                                <w:top w:val="single" w:sz="2" w:space="0" w:color="D9D9E3"/>
                                <w:left w:val="single" w:sz="2" w:space="0" w:color="D9D9E3"/>
                                <w:bottom w:val="single" w:sz="2" w:space="0" w:color="D9D9E3"/>
                                <w:right w:val="single" w:sz="2" w:space="0" w:color="D9D9E3"/>
                              </w:divBdr>
                              <w:divsChild>
                                <w:div w:id="983268556">
                                  <w:marLeft w:val="0"/>
                                  <w:marRight w:val="0"/>
                                  <w:marTop w:val="0"/>
                                  <w:marBottom w:val="0"/>
                                  <w:divBdr>
                                    <w:top w:val="single" w:sz="2" w:space="0" w:color="D9D9E3"/>
                                    <w:left w:val="single" w:sz="2" w:space="0" w:color="D9D9E3"/>
                                    <w:bottom w:val="single" w:sz="2" w:space="0" w:color="D9D9E3"/>
                                    <w:right w:val="single" w:sz="2" w:space="0" w:color="D9D9E3"/>
                                  </w:divBdr>
                                  <w:divsChild>
                                    <w:div w:id="826475969">
                                      <w:marLeft w:val="0"/>
                                      <w:marRight w:val="0"/>
                                      <w:marTop w:val="0"/>
                                      <w:marBottom w:val="0"/>
                                      <w:divBdr>
                                        <w:top w:val="single" w:sz="2" w:space="0" w:color="D9D9E3"/>
                                        <w:left w:val="single" w:sz="2" w:space="0" w:color="D9D9E3"/>
                                        <w:bottom w:val="single" w:sz="2" w:space="0" w:color="D9D9E3"/>
                                        <w:right w:val="single" w:sz="2" w:space="0" w:color="D9D9E3"/>
                                      </w:divBdr>
                                      <w:divsChild>
                                        <w:div w:id="691541308">
                                          <w:marLeft w:val="0"/>
                                          <w:marRight w:val="0"/>
                                          <w:marTop w:val="0"/>
                                          <w:marBottom w:val="0"/>
                                          <w:divBdr>
                                            <w:top w:val="single" w:sz="2" w:space="0" w:color="D9D9E3"/>
                                            <w:left w:val="single" w:sz="2" w:space="0" w:color="D9D9E3"/>
                                            <w:bottom w:val="single" w:sz="2" w:space="0" w:color="D9D9E3"/>
                                            <w:right w:val="single" w:sz="2" w:space="0" w:color="D9D9E3"/>
                                          </w:divBdr>
                                          <w:divsChild>
                                            <w:div w:id="18051986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27567050">
          <w:marLeft w:val="0"/>
          <w:marRight w:val="0"/>
          <w:marTop w:val="0"/>
          <w:marBottom w:val="0"/>
          <w:divBdr>
            <w:top w:val="none" w:sz="0" w:space="0" w:color="auto"/>
            <w:left w:val="none" w:sz="0" w:space="0" w:color="auto"/>
            <w:bottom w:val="none" w:sz="0" w:space="0" w:color="auto"/>
            <w:right w:val="none" w:sz="0" w:space="0" w:color="auto"/>
          </w:divBdr>
        </w:div>
      </w:divsChild>
    </w:div>
    <w:div w:id="895898670">
      <w:bodyDiv w:val="1"/>
      <w:marLeft w:val="0"/>
      <w:marRight w:val="0"/>
      <w:marTop w:val="0"/>
      <w:marBottom w:val="0"/>
      <w:divBdr>
        <w:top w:val="none" w:sz="0" w:space="0" w:color="auto"/>
        <w:left w:val="none" w:sz="0" w:space="0" w:color="auto"/>
        <w:bottom w:val="none" w:sz="0" w:space="0" w:color="auto"/>
        <w:right w:val="none" w:sz="0" w:space="0" w:color="auto"/>
      </w:divBdr>
    </w:div>
    <w:div w:id="942997735">
      <w:bodyDiv w:val="1"/>
      <w:marLeft w:val="0"/>
      <w:marRight w:val="0"/>
      <w:marTop w:val="0"/>
      <w:marBottom w:val="0"/>
      <w:divBdr>
        <w:top w:val="none" w:sz="0" w:space="0" w:color="auto"/>
        <w:left w:val="none" w:sz="0" w:space="0" w:color="auto"/>
        <w:bottom w:val="none" w:sz="0" w:space="0" w:color="auto"/>
        <w:right w:val="none" w:sz="0" w:space="0" w:color="auto"/>
      </w:divBdr>
    </w:div>
    <w:div w:id="1210923482">
      <w:bodyDiv w:val="1"/>
      <w:marLeft w:val="0"/>
      <w:marRight w:val="0"/>
      <w:marTop w:val="0"/>
      <w:marBottom w:val="0"/>
      <w:divBdr>
        <w:top w:val="none" w:sz="0" w:space="0" w:color="auto"/>
        <w:left w:val="none" w:sz="0" w:space="0" w:color="auto"/>
        <w:bottom w:val="none" w:sz="0" w:space="0" w:color="auto"/>
        <w:right w:val="none" w:sz="0" w:space="0" w:color="auto"/>
      </w:divBdr>
      <w:divsChild>
        <w:div w:id="1787651325">
          <w:marLeft w:val="0"/>
          <w:marRight w:val="0"/>
          <w:marTop w:val="0"/>
          <w:marBottom w:val="0"/>
          <w:divBdr>
            <w:top w:val="none" w:sz="0" w:space="0" w:color="auto"/>
            <w:left w:val="none" w:sz="0" w:space="0" w:color="auto"/>
            <w:bottom w:val="none" w:sz="0" w:space="0" w:color="auto"/>
            <w:right w:val="none" w:sz="0" w:space="0" w:color="auto"/>
          </w:divBdr>
          <w:divsChild>
            <w:div w:id="18438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14295">
      <w:bodyDiv w:val="1"/>
      <w:marLeft w:val="0"/>
      <w:marRight w:val="0"/>
      <w:marTop w:val="0"/>
      <w:marBottom w:val="0"/>
      <w:divBdr>
        <w:top w:val="none" w:sz="0" w:space="0" w:color="auto"/>
        <w:left w:val="none" w:sz="0" w:space="0" w:color="auto"/>
        <w:bottom w:val="none" w:sz="0" w:space="0" w:color="auto"/>
        <w:right w:val="none" w:sz="0" w:space="0" w:color="auto"/>
      </w:divBdr>
      <w:divsChild>
        <w:div w:id="973952525">
          <w:marLeft w:val="0"/>
          <w:marRight w:val="0"/>
          <w:marTop w:val="0"/>
          <w:marBottom w:val="0"/>
          <w:divBdr>
            <w:top w:val="none" w:sz="0" w:space="0" w:color="auto"/>
            <w:left w:val="none" w:sz="0" w:space="0" w:color="auto"/>
            <w:bottom w:val="none" w:sz="0" w:space="0" w:color="auto"/>
            <w:right w:val="none" w:sz="0" w:space="0" w:color="auto"/>
          </w:divBdr>
          <w:divsChild>
            <w:div w:id="15727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9767">
      <w:bodyDiv w:val="1"/>
      <w:marLeft w:val="0"/>
      <w:marRight w:val="0"/>
      <w:marTop w:val="0"/>
      <w:marBottom w:val="0"/>
      <w:divBdr>
        <w:top w:val="none" w:sz="0" w:space="0" w:color="auto"/>
        <w:left w:val="none" w:sz="0" w:space="0" w:color="auto"/>
        <w:bottom w:val="none" w:sz="0" w:space="0" w:color="auto"/>
        <w:right w:val="none" w:sz="0" w:space="0" w:color="auto"/>
      </w:divBdr>
      <w:divsChild>
        <w:div w:id="2086100678">
          <w:marLeft w:val="0"/>
          <w:marRight w:val="0"/>
          <w:marTop w:val="0"/>
          <w:marBottom w:val="0"/>
          <w:divBdr>
            <w:top w:val="none" w:sz="0" w:space="0" w:color="auto"/>
            <w:left w:val="none" w:sz="0" w:space="0" w:color="auto"/>
            <w:bottom w:val="none" w:sz="0" w:space="0" w:color="auto"/>
            <w:right w:val="none" w:sz="0" w:space="0" w:color="auto"/>
          </w:divBdr>
        </w:div>
      </w:divsChild>
    </w:div>
    <w:div w:id="2113891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auto.cz/vw-na-slovensku-nepatrne-snizil-vyrobu-a-ukoncil-produkci-dvou-modelu-143707"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hyperlink" Target="https://storymaps.arcgis.com/stories/18d7f7174af540898d53e6d87e6169c6" TargetMode="External"/><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commission.europa.eu/about-european-commission/departments-and-executive-agencies/eurostat-european-statistics_cs" TargetMode="External"/><Relationship Id="rId45" Type="http://schemas.openxmlformats.org/officeDocument/2006/relationships/image" Target="media/image30.pn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hyperlink" Target="https://storymaps.arcgis.com/stories/18d7f7174af540898d53e6d87e6169c6" TargetMode="Externa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iki.openstreetmap.org/wiki/Tag:railway=light_rail"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hyperlink" Target="https://wiki.openstreetmap.org/wiki/About_OpenStreetMa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torymaps.arcgis.com/stories/fc8adaf8e98f48d386172326468b65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Styl2CitacePRO.xsl" StyleName="Styl 2 Citace PRO" Version="6"/>
</file>

<file path=customXml/item3.xml><?xml version="1.0" encoding="utf-8"?>
<ct:contentTypeSchema xmlns:ct="http://schemas.microsoft.com/office/2006/metadata/contentType" xmlns:ma="http://schemas.microsoft.com/office/2006/metadata/properties/metaAttributes" ct:_="" ma:_="" ma:contentTypeName="Dokument" ma:contentTypeID="0x0101003EC042DC4286FD4CB7D66347D20BBCE2" ma:contentTypeVersion="14" ma:contentTypeDescription="Vytvoří nový dokument" ma:contentTypeScope="" ma:versionID="13d68b017ddddec5807deb8918cb80cc">
  <xsd:schema xmlns:xsd="http://www.w3.org/2001/XMLSchema" xmlns:xs="http://www.w3.org/2001/XMLSchema" xmlns:p="http://schemas.microsoft.com/office/2006/metadata/properties" xmlns:ns3="bc695bef-7132-415a-9153-341d75d74c51" xmlns:ns4="aca0944b-7b4e-447a-bfc7-bf0c1d83f6d8" targetNamespace="http://schemas.microsoft.com/office/2006/metadata/properties" ma:root="true" ma:fieldsID="28f6f46ee3fd6f92189718f55c8f54f7" ns3:_="" ns4:_="">
    <xsd:import namespace="bc695bef-7132-415a-9153-341d75d74c51"/>
    <xsd:import namespace="aca0944b-7b4e-447a-bfc7-bf0c1d83f6d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95bef-7132-415a-9153-341d75d74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a0944b-7b4e-447a-bfc7-bf0c1d83f6d8"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SharingHintHash" ma:index="15"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3FE4BC-991C-4BC6-A6FE-724CF71C0801}">
  <ds:schemaRefs>
    <ds:schemaRef ds:uri="http://schemas.microsoft.com/sharepoint/v3/contenttype/forms"/>
  </ds:schemaRefs>
</ds:datastoreItem>
</file>

<file path=customXml/itemProps2.xml><?xml version="1.0" encoding="utf-8"?>
<ds:datastoreItem xmlns:ds="http://schemas.openxmlformats.org/officeDocument/2006/customXml" ds:itemID="{CA85915C-BC65-42A3-9237-F4B6CA8A9370}">
  <ds:schemaRefs>
    <ds:schemaRef ds:uri="http://schemas.openxmlformats.org/officeDocument/2006/bibliography"/>
  </ds:schemaRefs>
</ds:datastoreItem>
</file>

<file path=customXml/itemProps3.xml><?xml version="1.0" encoding="utf-8"?>
<ds:datastoreItem xmlns:ds="http://schemas.openxmlformats.org/officeDocument/2006/customXml" ds:itemID="{6E5AB2BA-94C4-4B3B-B5CD-6D3A5B15F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95bef-7132-415a-9153-341d75d74c51"/>
    <ds:schemaRef ds:uri="aca0944b-7b4e-447a-bfc7-bf0c1d83f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9D0953-DF98-41DF-B613-22751CA4B3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73</Pages>
  <Words>15611</Words>
  <Characters>88984</Characters>
  <Application>Microsoft Office Word</Application>
  <DocSecurity>0</DocSecurity>
  <Lines>741</Lines>
  <Paragraphs>208</Paragraphs>
  <ScaleCrop>false</ScaleCrop>
  <HeadingPairs>
    <vt:vector size="2" baseType="variant">
      <vt:variant>
        <vt:lpstr>Název</vt:lpstr>
      </vt:variant>
      <vt:variant>
        <vt:i4>1</vt:i4>
      </vt:variant>
    </vt:vector>
  </HeadingPairs>
  <TitlesOfParts>
    <vt:vector size="1" baseType="lpstr">
      <vt:lpstr>Univerzita Palackého v Olomouci</vt:lpstr>
    </vt:vector>
  </TitlesOfParts>
  <Company>Univerzita Palackého v Olomouci</Company>
  <LinksUpToDate>false</LinksUpToDate>
  <CharactersWithSpaces>104387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Palackého v Olomouci</dc:title>
  <dc:subject/>
  <dc:creator>dobesova</dc:creator>
  <dc:description/>
  <cp:lastModifiedBy>Prilesky Lukas</cp:lastModifiedBy>
  <cp:revision>3</cp:revision>
  <cp:lastPrinted>2023-02-01T19:30:00Z</cp:lastPrinted>
  <dcterms:created xsi:type="dcterms:W3CDTF">2023-08-15T17:10:00Z</dcterms:created>
  <dcterms:modified xsi:type="dcterms:W3CDTF">2023-08-15T17:34:00Z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0x0101003EC042DC4286FD4CB7D66347D20BBCE2</vt:lpwstr>
  </property>
</Properties>
</file>