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53D4C" w14:textId="1D9517DA" w:rsidR="00D05885" w:rsidRPr="000E3B0C" w:rsidRDefault="00D05885" w:rsidP="00A31461">
      <w:pPr>
        <w:jc w:val="center"/>
        <w:rPr>
          <w:b/>
          <w:bCs/>
          <w:spacing w:val="60"/>
          <w:sz w:val="28"/>
          <w:szCs w:val="28"/>
        </w:rPr>
      </w:pPr>
      <w:r w:rsidRPr="000E3B0C">
        <w:rPr>
          <w:b/>
          <w:bCs/>
          <w:spacing w:val="60"/>
          <w:sz w:val="28"/>
          <w:szCs w:val="28"/>
        </w:rPr>
        <w:t>UNIVERZITA PALACKÉHO V</w:t>
      </w:r>
      <w:r w:rsidR="003B183C" w:rsidRPr="000E3B0C">
        <w:rPr>
          <w:b/>
          <w:bCs/>
          <w:spacing w:val="60"/>
          <w:sz w:val="28"/>
          <w:szCs w:val="28"/>
        </w:rPr>
        <w:t> </w:t>
      </w:r>
      <w:r w:rsidRPr="000E3B0C">
        <w:rPr>
          <w:b/>
          <w:bCs/>
          <w:spacing w:val="60"/>
          <w:sz w:val="28"/>
          <w:szCs w:val="28"/>
        </w:rPr>
        <w:t>OLOMOUCI</w:t>
      </w:r>
    </w:p>
    <w:p w14:paraId="7BC0C582" w14:textId="77777777" w:rsidR="003B183C" w:rsidRPr="000E3B0C" w:rsidRDefault="003B183C" w:rsidP="003B183C">
      <w:pPr>
        <w:jc w:val="center"/>
      </w:pPr>
    </w:p>
    <w:p w14:paraId="14BD3A3E" w14:textId="77777777" w:rsidR="00D05885" w:rsidRPr="000E3B0C" w:rsidRDefault="00D05885" w:rsidP="00A31461">
      <w:pPr>
        <w:jc w:val="center"/>
        <w:rPr>
          <w:spacing w:val="60"/>
          <w:sz w:val="28"/>
          <w:szCs w:val="28"/>
        </w:rPr>
      </w:pPr>
      <w:r w:rsidRPr="000E3B0C">
        <w:rPr>
          <w:spacing w:val="60"/>
          <w:sz w:val="28"/>
          <w:szCs w:val="28"/>
        </w:rPr>
        <w:t>CYRILOMETODĚJSKÁ TEOLOGICKÁ FAKULTA</w:t>
      </w:r>
    </w:p>
    <w:p w14:paraId="3C03ABA5" w14:textId="77777777" w:rsidR="003B183C" w:rsidRPr="000E3B0C" w:rsidRDefault="003B183C" w:rsidP="003B183C">
      <w:pPr>
        <w:jc w:val="center"/>
      </w:pPr>
    </w:p>
    <w:p w14:paraId="3A7027C1" w14:textId="77777777" w:rsidR="00D05885" w:rsidRPr="000E3B0C" w:rsidRDefault="00D05885" w:rsidP="00A31461">
      <w:pPr>
        <w:jc w:val="center"/>
        <w:rPr>
          <w:sz w:val="28"/>
          <w:szCs w:val="28"/>
        </w:rPr>
      </w:pPr>
      <w:r w:rsidRPr="000E3B0C">
        <w:rPr>
          <w:sz w:val="28"/>
          <w:szCs w:val="28"/>
        </w:rPr>
        <w:t>Katedra církevní</w:t>
      </w:r>
      <w:r w:rsidR="001670F3" w:rsidRPr="000E3B0C">
        <w:rPr>
          <w:sz w:val="28"/>
          <w:szCs w:val="28"/>
        </w:rPr>
        <w:t>ch dějin a církevního</w:t>
      </w:r>
      <w:r w:rsidR="00D87A21" w:rsidRPr="000E3B0C">
        <w:rPr>
          <w:sz w:val="28"/>
          <w:szCs w:val="28"/>
        </w:rPr>
        <w:t xml:space="preserve"> práva</w:t>
      </w:r>
    </w:p>
    <w:p w14:paraId="7BB1D8AC" w14:textId="77777777" w:rsidR="000018AC" w:rsidRPr="000E3B0C" w:rsidRDefault="000018AC" w:rsidP="00A31461">
      <w:pPr>
        <w:jc w:val="center"/>
      </w:pPr>
    </w:p>
    <w:p w14:paraId="73DCBBFE" w14:textId="77777777" w:rsidR="003B183C" w:rsidRPr="000E3B0C" w:rsidRDefault="003B183C" w:rsidP="00A31461">
      <w:pPr>
        <w:jc w:val="center"/>
      </w:pPr>
    </w:p>
    <w:p w14:paraId="70D23C36" w14:textId="77777777" w:rsidR="00D05885" w:rsidRPr="000E3B0C" w:rsidRDefault="00324DF6" w:rsidP="00A31461">
      <w:pPr>
        <w:jc w:val="center"/>
        <w:rPr>
          <w:iCs/>
          <w:sz w:val="28"/>
          <w:szCs w:val="28"/>
        </w:rPr>
      </w:pPr>
      <w:r w:rsidRPr="000E3B0C">
        <w:rPr>
          <w:iCs/>
          <w:sz w:val="28"/>
          <w:szCs w:val="28"/>
        </w:rPr>
        <w:t>Teologické nauky</w:t>
      </w:r>
    </w:p>
    <w:p w14:paraId="4C5CDC07" w14:textId="77777777" w:rsidR="00D05885" w:rsidRPr="000E3B0C" w:rsidRDefault="00D05885" w:rsidP="00A31461">
      <w:pPr>
        <w:jc w:val="center"/>
        <w:rPr>
          <w:szCs w:val="28"/>
        </w:rPr>
      </w:pPr>
    </w:p>
    <w:p w14:paraId="2171CE7D" w14:textId="77777777" w:rsidR="00D05885" w:rsidRPr="000E3B0C" w:rsidRDefault="00D05885" w:rsidP="00A31461">
      <w:pPr>
        <w:jc w:val="center"/>
        <w:rPr>
          <w:szCs w:val="28"/>
        </w:rPr>
      </w:pPr>
    </w:p>
    <w:p w14:paraId="260B5200" w14:textId="77777777" w:rsidR="003F2F23" w:rsidRPr="000E3B0C" w:rsidRDefault="003F2F23" w:rsidP="00A31461">
      <w:pPr>
        <w:jc w:val="center"/>
        <w:rPr>
          <w:szCs w:val="28"/>
        </w:rPr>
      </w:pPr>
    </w:p>
    <w:p w14:paraId="7625046B" w14:textId="77777777" w:rsidR="003B183C" w:rsidRPr="000E3B0C" w:rsidRDefault="003B183C" w:rsidP="00A31461">
      <w:pPr>
        <w:jc w:val="center"/>
        <w:rPr>
          <w:szCs w:val="28"/>
        </w:rPr>
      </w:pPr>
    </w:p>
    <w:p w14:paraId="1B559382" w14:textId="77777777" w:rsidR="00D05885" w:rsidRPr="000E3B0C" w:rsidRDefault="00D05885" w:rsidP="00A31461">
      <w:pPr>
        <w:jc w:val="center"/>
        <w:rPr>
          <w:szCs w:val="28"/>
        </w:rPr>
      </w:pPr>
    </w:p>
    <w:p w14:paraId="3D089CF9" w14:textId="77777777" w:rsidR="00D05885" w:rsidRPr="000E3B0C" w:rsidRDefault="00324DF6" w:rsidP="00A31461">
      <w:pPr>
        <w:jc w:val="center"/>
        <w:rPr>
          <w:sz w:val="32"/>
          <w:szCs w:val="28"/>
        </w:rPr>
      </w:pPr>
      <w:r w:rsidRPr="000E3B0C">
        <w:rPr>
          <w:sz w:val="32"/>
          <w:szCs w:val="28"/>
        </w:rPr>
        <w:t>Adam Zeman</w:t>
      </w:r>
    </w:p>
    <w:p w14:paraId="0E7ABF85" w14:textId="77777777" w:rsidR="00D05885" w:rsidRPr="000E3B0C" w:rsidRDefault="00D05885" w:rsidP="00A31461">
      <w:pPr>
        <w:jc w:val="center"/>
      </w:pPr>
    </w:p>
    <w:p w14:paraId="16121A99" w14:textId="77777777" w:rsidR="00D05885" w:rsidRPr="000E3B0C" w:rsidRDefault="00D05885" w:rsidP="00A31461">
      <w:pPr>
        <w:jc w:val="center"/>
      </w:pPr>
    </w:p>
    <w:p w14:paraId="4F932BC9" w14:textId="77777777" w:rsidR="00324DF6" w:rsidRPr="000E3B0C" w:rsidRDefault="00324DF6" w:rsidP="00A31461">
      <w:pPr>
        <w:jc w:val="center"/>
        <w:rPr>
          <w:b/>
          <w:sz w:val="36"/>
        </w:rPr>
      </w:pPr>
      <w:r w:rsidRPr="000E3B0C">
        <w:rPr>
          <w:b/>
          <w:sz w:val="36"/>
        </w:rPr>
        <w:t>Srovnání trestní odpovědnosti kleriků dle kanonického prá</w:t>
      </w:r>
      <w:r w:rsidR="00CA108F" w:rsidRPr="000E3B0C">
        <w:rPr>
          <w:b/>
          <w:sz w:val="36"/>
        </w:rPr>
        <w:t>va s kárnou odpovědností soudců</w:t>
      </w:r>
    </w:p>
    <w:p w14:paraId="5C038D71" w14:textId="77777777" w:rsidR="00D05885" w:rsidRPr="000E3B0C" w:rsidRDefault="00D05885" w:rsidP="00A31461">
      <w:pPr>
        <w:jc w:val="center"/>
        <w:rPr>
          <w:i/>
          <w:iCs/>
        </w:rPr>
      </w:pPr>
    </w:p>
    <w:p w14:paraId="0F561693" w14:textId="77777777" w:rsidR="00D05885" w:rsidRPr="000E3B0C" w:rsidRDefault="00D05885" w:rsidP="00A31461">
      <w:pPr>
        <w:jc w:val="center"/>
      </w:pPr>
    </w:p>
    <w:p w14:paraId="74ACB5CE" w14:textId="77777777" w:rsidR="00D05885" w:rsidRPr="000E3B0C" w:rsidRDefault="00D05885" w:rsidP="00A31461">
      <w:pPr>
        <w:jc w:val="center"/>
      </w:pPr>
    </w:p>
    <w:p w14:paraId="20C786B7" w14:textId="77777777" w:rsidR="00D87A21" w:rsidRPr="000E3B0C" w:rsidRDefault="00617170" w:rsidP="00A31461">
      <w:pPr>
        <w:jc w:val="center"/>
        <w:rPr>
          <w:iCs/>
          <w:sz w:val="28"/>
          <w:szCs w:val="28"/>
        </w:rPr>
      </w:pPr>
      <w:r w:rsidRPr="000E3B0C">
        <w:rPr>
          <w:iCs/>
          <w:sz w:val="28"/>
          <w:szCs w:val="28"/>
        </w:rPr>
        <w:t xml:space="preserve">Bakalářská </w:t>
      </w:r>
      <w:r w:rsidR="00D87A21" w:rsidRPr="000E3B0C">
        <w:rPr>
          <w:iCs/>
          <w:sz w:val="28"/>
          <w:szCs w:val="28"/>
        </w:rPr>
        <w:t>práce</w:t>
      </w:r>
    </w:p>
    <w:p w14:paraId="2187DD18" w14:textId="77777777" w:rsidR="00D05885" w:rsidRPr="000E3B0C" w:rsidRDefault="00D05885" w:rsidP="00A31461">
      <w:pPr>
        <w:jc w:val="center"/>
      </w:pPr>
    </w:p>
    <w:p w14:paraId="7439A78D" w14:textId="77777777" w:rsidR="00D05885" w:rsidRPr="000E3B0C" w:rsidRDefault="00D05885" w:rsidP="00A31461">
      <w:pPr>
        <w:jc w:val="center"/>
      </w:pPr>
    </w:p>
    <w:p w14:paraId="62DDB126" w14:textId="77777777" w:rsidR="003F2F23" w:rsidRPr="000E3B0C" w:rsidRDefault="003F2F23" w:rsidP="00A31461">
      <w:pPr>
        <w:jc w:val="center"/>
      </w:pPr>
    </w:p>
    <w:p w14:paraId="6DE1F26B" w14:textId="77777777" w:rsidR="003F2F23" w:rsidRPr="000E3B0C" w:rsidRDefault="003F2F23" w:rsidP="00A31461">
      <w:pPr>
        <w:jc w:val="center"/>
      </w:pPr>
    </w:p>
    <w:p w14:paraId="101DD721" w14:textId="77777777" w:rsidR="00547D23" w:rsidRPr="000E3B0C" w:rsidRDefault="00547D23" w:rsidP="00A31461">
      <w:pPr>
        <w:jc w:val="center"/>
      </w:pPr>
    </w:p>
    <w:p w14:paraId="2767E451" w14:textId="77777777" w:rsidR="00547D23" w:rsidRPr="000E3B0C" w:rsidRDefault="00547D23" w:rsidP="00A31461">
      <w:pPr>
        <w:jc w:val="center"/>
      </w:pPr>
    </w:p>
    <w:p w14:paraId="57AECB1F" w14:textId="77777777" w:rsidR="00D05885" w:rsidRPr="000E3B0C" w:rsidRDefault="00D05885" w:rsidP="00A31461">
      <w:pPr>
        <w:jc w:val="center"/>
        <w:rPr>
          <w:sz w:val="28"/>
          <w:szCs w:val="28"/>
        </w:rPr>
      </w:pPr>
      <w:r w:rsidRPr="000E3B0C">
        <w:rPr>
          <w:sz w:val="28"/>
          <w:szCs w:val="28"/>
        </w:rPr>
        <w:t xml:space="preserve">Vedoucí práce: </w:t>
      </w:r>
      <w:r w:rsidR="00324DF6" w:rsidRPr="000E3B0C">
        <w:rPr>
          <w:sz w:val="28"/>
          <w:szCs w:val="28"/>
        </w:rPr>
        <w:t>prof. lic. Damián Němec</w:t>
      </w:r>
      <w:r w:rsidR="001670F3" w:rsidRPr="000E3B0C">
        <w:rPr>
          <w:sz w:val="28"/>
          <w:szCs w:val="28"/>
        </w:rPr>
        <w:t xml:space="preserve">, </w:t>
      </w:r>
      <w:proofErr w:type="spellStart"/>
      <w:r w:rsidR="001670F3" w:rsidRPr="000E3B0C">
        <w:rPr>
          <w:sz w:val="28"/>
          <w:szCs w:val="28"/>
        </w:rPr>
        <w:t>dr</w:t>
      </w:r>
      <w:proofErr w:type="spellEnd"/>
    </w:p>
    <w:p w14:paraId="67B339FA" w14:textId="77777777" w:rsidR="00547D23" w:rsidRPr="000E3B0C" w:rsidRDefault="00547D23" w:rsidP="00A31461">
      <w:pPr>
        <w:jc w:val="center"/>
        <w:rPr>
          <w:szCs w:val="28"/>
        </w:rPr>
      </w:pPr>
    </w:p>
    <w:p w14:paraId="173A86F5" w14:textId="77777777" w:rsidR="00D05885" w:rsidRPr="000E3B0C" w:rsidRDefault="00BF05E9" w:rsidP="00A31461">
      <w:pPr>
        <w:jc w:val="center"/>
        <w:rPr>
          <w:b/>
          <w:sz w:val="28"/>
          <w:szCs w:val="28"/>
        </w:rPr>
      </w:pPr>
      <w:r w:rsidRPr="000E3B0C">
        <w:rPr>
          <w:b/>
          <w:bCs/>
          <w:sz w:val="28"/>
          <w:szCs w:val="28"/>
        </w:rPr>
        <w:t>2023</w:t>
      </w:r>
    </w:p>
    <w:p w14:paraId="3B5832A1" w14:textId="77777777" w:rsidR="00D05885" w:rsidRPr="000E3B0C" w:rsidRDefault="00D05885">
      <w:pPr>
        <w:ind w:left="360" w:hanging="360"/>
        <w:rPr>
          <w:i/>
          <w:iCs/>
          <w:dstrike/>
          <w:vanish/>
        </w:rPr>
      </w:pPr>
      <w:r w:rsidRPr="000E3B0C">
        <w:br w:type="page"/>
      </w:r>
    </w:p>
    <w:p w14:paraId="419B2B39" w14:textId="77777777" w:rsidR="00D05885" w:rsidRPr="000E3B0C" w:rsidRDefault="00D05885">
      <w:pPr>
        <w:ind w:left="360" w:hanging="360"/>
      </w:pPr>
    </w:p>
    <w:p w14:paraId="78D5F049" w14:textId="77777777" w:rsidR="00D05885" w:rsidRPr="000E3B0C" w:rsidRDefault="00D05885">
      <w:pPr>
        <w:ind w:left="360" w:hanging="360"/>
      </w:pPr>
    </w:p>
    <w:p w14:paraId="427024C5" w14:textId="77777777" w:rsidR="00D05885" w:rsidRPr="000E3B0C" w:rsidRDefault="00D05885">
      <w:pPr>
        <w:ind w:left="360" w:hanging="360"/>
      </w:pPr>
    </w:p>
    <w:p w14:paraId="633F63F8" w14:textId="77777777" w:rsidR="00D05885" w:rsidRPr="000E3B0C" w:rsidRDefault="00D05885">
      <w:pPr>
        <w:ind w:left="360" w:hanging="360"/>
      </w:pPr>
    </w:p>
    <w:p w14:paraId="11EB0919" w14:textId="77777777" w:rsidR="00D05885" w:rsidRPr="000E3B0C" w:rsidRDefault="00D05885">
      <w:pPr>
        <w:ind w:left="360" w:hanging="360"/>
      </w:pPr>
    </w:p>
    <w:p w14:paraId="00C8BC0F" w14:textId="77777777" w:rsidR="00D05885" w:rsidRPr="000E3B0C" w:rsidRDefault="00D05885">
      <w:pPr>
        <w:ind w:left="360" w:hanging="360"/>
      </w:pPr>
    </w:p>
    <w:p w14:paraId="2FE332DD" w14:textId="77777777" w:rsidR="00D05885" w:rsidRPr="000E3B0C" w:rsidRDefault="00D05885">
      <w:pPr>
        <w:ind w:left="360" w:hanging="360"/>
      </w:pPr>
    </w:p>
    <w:p w14:paraId="3A231098" w14:textId="77777777" w:rsidR="00D05885" w:rsidRPr="000E3B0C" w:rsidRDefault="00D05885">
      <w:pPr>
        <w:ind w:left="360" w:hanging="360"/>
      </w:pPr>
    </w:p>
    <w:p w14:paraId="6E40610F" w14:textId="77777777" w:rsidR="00D05885" w:rsidRPr="000E3B0C" w:rsidRDefault="00D05885">
      <w:pPr>
        <w:ind w:left="360" w:hanging="360"/>
      </w:pPr>
    </w:p>
    <w:p w14:paraId="36D869B2" w14:textId="77777777" w:rsidR="00D05885" w:rsidRPr="000E3B0C" w:rsidRDefault="00D05885">
      <w:pPr>
        <w:ind w:left="360" w:hanging="360"/>
      </w:pPr>
    </w:p>
    <w:p w14:paraId="275BA536" w14:textId="77777777" w:rsidR="00D05885" w:rsidRPr="000E3B0C" w:rsidRDefault="00D05885">
      <w:pPr>
        <w:ind w:left="360" w:hanging="360"/>
      </w:pPr>
    </w:p>
    <w:p w14:paraId="01DDD067" w14:textId="77777777" w:rsidR="00D05885" w:rsidRPr="000E3B0C" w:rsidRDefault="00D05885">
      <w:pPr>
        <w:ind w:left="360" w:hanging="360"/>
      </w:pPr>
    </w:p>
    <w:p w14:paraId="3590B358" w14:textId="77777777" w:rsidR="00D05885" w:rsidRPr="000E3B0C" w:rsidRDefault="00D05885">
      <w:pPr>
        <w:ind w:left="360" w:hanging="360"/>
      </w:pPr>
    </w:p>
    <w:p w14:paraId="0B3D0C18" w14:textId="77777777" w:rsidR="00D05885" w:rsidRPr="000E3B0C" w:rsidRDefault="00D05885">
      <w:pPr>
        <w:ind w:left="360" w:hanging="360"/>
      </w:pPr>
    </w:p>
    <w:p w14:paraId="4005A606" w14:textId="77777777" w:rsidR="00D05885" w:rsidRPr="000E3B0C" w:rsidRDefault="00D05885">
      <w:pPr>
        <w:ind w:left="360" w:hanging="360"/>
      </w:pPr>
    </w:p>
    <w:p w14:paraId="33BEFB96" w14:textId="77777777" w:rsidR="00D05885" w:rsidRPr="000E3B0C" w:rsidRDefault="00D05885">
      <w:pPr>
        <w:ind w:left="360" w:hanging="360"/>
      </w:pPr>
    </w:p>
    <w:p w14:paraId="40C6874D" w14:textId="77777777" w:rsidR="00D05885" w:rsidRPr="000E3B0C" w:rsidRDefault="00D05885">
      <w:pPr>
        <w:ind w:left="360" w:hanging="360"/>
      </w:pPr>
    </w:p>
    <w:p w14:paraId="1B417EB3" w14:textId="77777777" w:rsidR="00D05885" w:rsidRPr="000E3B0C" w:rsidRDefault="00D05885">
      <w:pPr>
        <w:ind w:left="360" w:hanging="360"/>
      </w:pPr>
    </w:p>
    <w:p w14:paraId="3AA657D1" w14:textId="77777777" w:rsidR="00D05885" w:rsidRPr="000E3B0C" w:rsidRDefault="00D05885">
      <w:pPr>
        <w:ind w:left="360" w:hanging="360"/>
      </w:pPr>
    </w:p>
    <w:p w14:paraId="1A83CF02" w14:textId="77777777" w:rsidR="00D05885" w:rsidRPr="000E3B0C" w:rsidRDefault="00D05885" w:rsidP="0056748A">
      <w:pPr>
        <w:ind w:left="357" w:hanging="357"/>
      </w:pPr>
    </w:p>
    <w:p w14:paraId="4DA950A6" w14:textId="77777777" w:rsidR="00D05885" w:rsidRPr="000E3B0C" w:rsidRDefault="00D05885" w:rsidP="0056748A">
      <w:pPr>
        <w:ind w:left="357" w:hanging="357"/>
      </w:pPr>
    </w:p>
    <w:p w14:paraId="7387D0BC" w14:textId="77777777" w:rsidR="00D05885" w:rsidRPr="000E3B0C" w:rsidRDefault="00D05885">
      <w:pPr>
        <w:ind w:left="360" w:hanging="360"/>
      </w:pPr>
    </w:p>
    <w:p w14:paraId="3C5FB3BC" w14:textId="77777777" w:rsidR="00D05885" w:rsidRPr="000E3B0C" w:rsidRDefault="00D05885">
      <w:pPr>
        <w:ind w:left="360" w:hanging="360"/>
      </w:pPr>
    </w:p>
    <w:p w14:paraId="3E7EFB74" w14:textId="77777777" w:rsidR="00D05885" w:rsidRPr="000E3B0C" w:rsidRDefault="00D05885">
      <w:pPr>
        <w:ind w:left="360" w:hanging="360"/>
      </w:pPr>
    </w:p>
    <w:p w14:paraId="288167E9" w14:textId="77777777" w:rsidR="00D05885" w:rsidRPr="000E3B0C" w:rsidRDefault="00D05885" w:rsidP="00547D23">
      <w:pPr>
        <w:ind w:left="360" w:hanging="360"/>
        <w:rPr>
          <w:iCs/>
          <w:szCs w:val="26"/>
          <w:u w:val="single"/>
        </w:rPr>
      </w:pPr>
      <w:r w:rsidRPr="000E3B0C">
        <w:rPr>
          <w:iCs/>
          <w:szCs w:val="26"/>
          <w:u w:val="single"/>
        </w:rPr>
        <w:t>Čestné prohlášení:</w:t>
      </w:r>
    </w:p>
    <w:p w14:paraId="077C1629" w14:textId="5A556066" w:rsidR="00D05885" w:rsidRPr="000E3B0C" w:rsidRDefault="00D05885" w:rsidP="00547D23">
      <w:r w:rsidRPr="000E3B0C">
        <w:t xml:space="preserve">Prohlašuji, že jsem </w:t>
      </w:r>
      <w:r w:rsidR="003B183C" w:rsidRPr="000E3B0C">
        <w:t xml:space="preserve">tuto </w:t>
      </w:r>
      <w:r w:rsidR="00D37B52" w:rsidRPr="000E3B0C">
        <w:t>bakalářskou</w:t>
      </w:r>
      <w:r w:rsidRPr="000E3B0C">
        <w:t xml:space="preserve"> práci vypracov</w:t>
      </w:r>
      <w:r w:rsidR="00D87A21" w:rsidRPr="000E3B0C">
        <w:t xml:space="preserve">al samostatně a použil jsem </w:t>
      </w:r>
      <w:r w:rsidRPr="000E3B0C">
        <w:t>jen uvedené prameny a literaturu.</w:t>
      </w:r>
    </w:p>
    <w:p w14:paraId="3E6AE56E" w14:textId="77777777" w:rsidR="00D05885" w:rsidRPr="000E3B0C" w:rsidRDefault="00D05885" w:rsidP="00547D23"/>
    <w:p w14:paraId="25F09231" w14:textId="06ED0D98" w:rsidR="00D05885" w:rsidRPr="000E3B0C" w:rsidRDefault="00D05885" w:rsidP="00547D23">
      <w:r w:rsidRPr="000E3B0C">
        <w:t>V</w:t>
      </w:r>
      <w:r w:rsidR="00CA108F" w:rsidRPr="000E3B0C">
        <w:t xml:space="preserve"> Brně dne </w:t>
      </w:r>
      <w:r w:rsidR="00771A12">
        <w:t>20. 3.</w:t>
      </w:r>
      <w:r w:rsidR="00DE2900" w:rsidRPr="000E3B0C">
        <w:t xml:space="preserve"> 2023</w:t>
      </w:r>
    </w:p>
    <w:p w14:paraId="7F15CD4A" w14:textId="77777777" w:rsidR="002F1A57" w:rsidRPr="000E3B0C" w:rsidRDefault="002F1A57"/>
    <w:p w14:paraId="40F59C36" w14:textId="77777777" w:rsidR="00D37B52" w:rsidRPr="000E3B0C" w:rsidRDefault="00D37B52" w:rsidP="00D37B52">
      <w:pPr>
        <w:jc w:val="right"/>
        <w:rPr>
          <w:iCs/>
        </w:rPr>
      </w:pPr>
      <w:r w:rsidRPr="000E3B0C">
        <w:rPr>
          <w:iCs/>
        </w:rPr>
        <w:t>Adam Zeman</w:t>
      </w:r>
    </w:p>
    <w:p w14:paraId="2976A46D" w14:textId="77777777" w:rsidR="00D05885" w:rsidRPr="000E3B0C" w:rsidRDefault="00324DF6" w:rsidP="00A31461">
      <w:pPr>
        <w:pStyle w:val="Nadpis1"/>
      </w:pPr>
      <w:r w:rsidRPr="000E3B0C">
        <w:br w:type="page"/>
      </w:r>
      <w:bookmarkStart w:id="0" w:name="_Toc119599967"/>
      <w:bookmarkStart w:id="1" w:name="_Toc124707680"/>
      <w:bookmarkStart w:id="2" w:name="_Toc125805445"/>
      <w:bookmarkStart w:id="3" w:name="_Toc127994916"/>
      <w:bookmarkStart w:id="4" w:name="_Toc128751523"/>
      <w:bookmarkStart w:id="5" w:name="_Toc130067370"/>
      <w:r w:rsidR="00D05885" w:rsidRPr="000E3B0C">
        <w:lastRenderedPageBreak/>
        <w:t>Obsah</w:t>
      </w:r>
      <w:bookmarkEnd w:id="0"/>
      <w:bookmarkEnd w:id="1"/>
      <w:bookmarkEnd w:id="2"/>
      <w:bookmarkEnd w:id="3"/>
      <w:bookmarkEnd w:id="4"/>
      <w:bookmarkEnd w:id="5"/>
    </w:p>
    <w:p w14:paraId="32D9369D" w14:textId="1F48C9F2" w:rsidR="000E3B0C" w:rsidRPr="000E3B0C" w:rsidRDefault="00D37B52">
      <w:pPr>
        <w:pStyle w:val="Obsah1"/>
        <w:tabs>
          <w:tab w:val="right" w:leader="dot" w:pos="9060"/>
        </w:tabs>
        <w:rPr>
          <w:rFonts w:eastAsiaTheme="minorEastAsia" w:cstheme="minorBidi"/>
          <w:noProof/>
        </w:rPr>
      </w:pPr>
      <w:r w:rsidRPr="000E3B0C">
        <w:rPr>
          <w:b/>
          <w:bCs/>
          <w:smallCaps/>
        </w:rPr>
        <w:fldChar w:fldCharType="begin"/>
      </w:r>
      <w:r w:rsidRPr="000E3B0C">
        <w:rPr>
          <w:b/>
          <w:bCs/>
          <w:smallCaps/>
        </w:rPr>
        <w:instrText xml:space="preserve"> TOC \o "1-3" \h \z \u </w:instrText>
      </w:r>
      <w:r w:rsidRPr="000E3B0C">
        <w:rPr>
          <w:b/>
          <w:bCs/>
          <w:smallCaps/>
        </w:rPr>
        <w:fldChar w:fldCharType="separate"/>
      </w:r>
      <w:hyperlink w:anchor="_Toc130067371" w:history="1">
        <w:r w:rsidR="000E3B0C" w:rsidRPr="000E3B0C">
          <w:rPr>
            <w:rStyle w:val="Hypertextovodkaz"/>
            <w:noProof/>
            <w:color w:val="auto"/>
          </w:rPr>
          <w:t>Úvod</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_Toc130067371 \h </w:instrText>
        </w:r>
        <w:r w:rsidR="000E3B0C" w:rsidRPr="000E3B0C">
          <w:rPr>
            <w:noProof/>
            <w:webHidden/>
          </w:rPr>
        </w:r>
        <w:r w:rsidR="000E3B0C" w:rsidRPr="000E3B0C">
          <w:rPr>
            <w:noProof/>
            <w:webHidden/>
          </w:rPr>
          <w:fldChar w:fldCharType="separate"/>
        </w:r>
        <w:r w:rsidR="00771A12">
          <w:rPr>
            <w:noProof/>
            <w:webHidden/>
          </w:rPr>
          <w:t>4</w:t>
        </w:r>
        <w:r w:rsidR="000E3B0C" w:rsidRPr="000E3B0C">
          <w:rPr>
            <w:noProof/>
            <w:webHidden/>
          </w:rPr>
          <w:fldChar w:fldCharType="end"/>
        </w:r>
      </w:hyperlink>
    </w:p>
    <w:p w14:paraId="5210EC24" w14:textId="77777777" w:rsidR="000E3B0C" w:rsidRPr="000E3B0C" w:rsidRDefault="00F26821">
      <w:pPr>
        <w:pStyle w:val="Obsah1"/>
        <w:tabs>
          <w:tab w:val="left" w:pos="480"/>
          <w:tab w:val="right" w:leader="dot" w:pos="9060"/>
        </w:tabs>
        <w:rPr>
          <w:rFonts w:eastAsiaTheme="minorEastAsia" w:cstheme="minorBidi"/>
          <w:noProof/>
        </w:rPr>
      </w:pPr>
      <w:hyperlink w:anchor="_Toc130067372" w:history="1">
        <w:r w:rsidR="000E3B0C" w:rsidRPr="000E3B0C">
          <w:rPr>
            <w:rStyle w:val="Hypertextovodkaz"/>
            <w:noProof/>
            <w:color w:val="auto"/>
          </w:rPr>
          <w:t>1.</w:t>
        </w:r>
        <w:r w:rsidR="000E3B0C" w:rsidRPr="000E3B0C">
          <w:rPr>
            <w:rFonts w:eastAsiaTheme="minorEastAsia" w:cstheme="minorBidi"/>
            <w:noProof/>
          </w:rPr>
          <w:tab/>
        </w:r>
        <w:r w:rsidR="000E3B0C" w:rsidRPr="000E3B0C">
          <w:rPr>
            <w:rStyle w:val="Hypertextovodkaz"/>
            <w:noProof/>
            <w:color w:val="auto"/>
          </w:rPr>
          <w:t>Představení porovnávaných odvětví</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_Toc130067372 \h </w:instrText>
        </w:r>
        <w:r w:rsidR="000E3B0C" w:rsidRPr="000E3B0C">
          <w:rPr>
            <w:noProof/>
            <w:webHidden/>
          </w:rPr>
        </w:r>
        <w:r w:rsidR="000E3B0C" w:rsidRPr="000E3B0C">
          <w:rPr>
            <w:noProof/>
            <w:webHidden/>
          </w:rPr>
          <w:fldChar w:fldCharType="separate"/>
        </w:r>
        <w:r w:rsidR="00771A12">
          <w:rPr>
            <w:noProof/>
            <w:webHidden/>
          </w:rPr>
          <w:t>7</w:t>
        </w:r>
        <w:r w:rsidR="000E3B0C" w:rsidRPr="000E3B0C">
          <w:rPr>
            <w:noProof/>
            <w:webHidden/>
          </w:rPr>
          <w:fldChar w:fldCharType="end"/>
        </w:r>
      </w:hyperlink>
    </w:p>
    <w:p w14:paraId="6E400960" w14:textId="77777777" w:rsidR="000E3B0C" w:rsidRPr="000E3B0C" w:rsidRDefault="00F26821">
      <w:pPr>
        <w:pStyle w:val="Obsah2"/>
        <w:tabs>
          <w:tab w:val="left" w:pos="880"/>
          <w:tab w:val="right" w:leader="dot" w:pos="9060"/>
        </w:tabs>
        <w:rPr>
          <w:rFonts w:eastAsiaTheme="minorEastAsia" w:cstheme="minorBidi"/>
          <w:noProof/>
        </w:rPr>
      </w:pPr>
      <w:hyperlink w:anchor="_Toc130067373" w:history="1">
        <w:r w:rsidR="000E3B0C" w:rsidRPr="000E3B0C">
          <w:rPr>
            <w:rStyle w:val="Hypertextovodkaz"/>
            <w:noProof/>
            <w:color w:val="auto"/>
          </w:rPr>
          <w:t>1.1</w:t>
        </w:r>
        <w:r w:rsidR="000E3B0C" w:rsidRPr="000E3B0C">
          <w:rPr>
            <w:rFonts w:eastAsiaTheme="minorEastAsia" w:cstheme="minorBidi"/>
            <w:noProof/>
          </w:rPr>
          <w:tab/>
        </w:r>
        <w:r w:rsidR="000E3B0C" w:rsidRPr="000E3B0C">
          <w:rPr>
            <w:rStyle w:val="Hypertextovodkaz"/>
            <w:noProof/>
            <w:color w:val="auto"/>
          </w:rPr>
          <w:t>Kanonické trestní právo</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_Toc130067373 \h </w:instrText>
        </w:r>
        <w:r w:rsidR="000E3B0C" w:rsidRPr="000E3B0C">
          <w:rPr>
            <w:noProof/>
            <w:webHidden/>
          </w:rPr>
        </w:r>
        <w:r w:rsidR="000E3B0C" w:rsidRPr="000E3B0C">
          <w:rPr>
            <w:noProof/>
            <w:webHidden/>
          </w:rPr>
          <w:fldChar w:fldCharType="separate"/>
        </w:r>
        <w:r w:rsidR="00771A12">
          <w:rPr>
            <w:noProof/>
            <w:webHidden/>
          </w:rPr>
          <w:t>7</w:t>
        </w:r>
        <w:r w:rsidR="000E3B0C" w:rsidRPr="000E3B0C">
          <w:rPr>
            <w:noProof/>
            <w:webHidden/>
          </w:rPr>
          <w:fldChar w:fldCharType="end"/>
        </w:r>
      </w:hyperlink>
    </w:p>
    <w:p w14:paraId="29B4A216" w14:textId="77777777" w:rsidR="000E3B0C" w:rsidRPr="000E3B0C" w:rsidRDefault="00F26821">
      <w:pPr>
        <w:pStyle w:val="Obsah2"/>
        <w:tabs>
          <w:tab w:val="left" w:pos="880"/>
          <w:tab w:val="right" w:leader="dot" w:pos="9060"/>
        </w:tabs>
        <w:rPr>
          <w:rFonts w:eastAsiaTheme="minorEastAsia" w:cstheme="minorBidi"/>
          <w:noProof/>
        </w:rPr>
      </w:pPr>
      <w:hyperlink w:anchor="_Toc130067374" w:history="1">
        <w:r w:rsidR="000E3B0C" w:rsidRPr="000E3B0C">
          <w:rPr>
            <w:rStyle w:val="Hypertextovodkaz"/>
            <w:noProof/>
            <w:color w:val="auto"/>
          </w:rPr>
          <w:t>1.2</w:t>
        </w:r>
        <w:r w:rsidR="000E3B0C" w:rsidRPr="000E3B0C">
          <w:rPr>
            <w:rFonts w:eastAsiaTheme="minorEastAsia" w:cstheme="minorBidi"/>
            <w:noProof/>
          </w:rPr>
          <w:tab/>
        </w:r>
        <w:r w:rsidR="000E3B0C" w:rsidRPr="000E3B0C">
          <w:rPr>
            <w:rStyle w:val="Hypertextovodkaz"/>
            <w:noProof/>
            <w:color w:val="auto"/>
          </w:rPr>
          <w:t>Kárné právo soudcovské</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_Toc130067374 \h </w:instrText>
        </w:r>
        <w:r w:rsidR="000E3B0C" w:rsidRPr="000E3B0C">
          <w:rPr>
            <w:noProof/>
            <w:webHidden/>
          </w:rPr>
        </w:r>
        <w:r w:rsidR="000E3B0C" w:rsidRPr="000E3B0C">
          <w:rPr>
            <w:noProof/>
            <w:webHidden/>
          </w:rPr>
          <w:fldChar w:fldCharType="separate"/>
        </w:r>
        <w:r w:rsidR="00771A12">
          <w:rPr>
            <w:noProof/>
            <w:webHidden/>
          </w:rPr>
          <w:t>11</w:t>
        </w:r>
        <w:r w:rsidR="000E3B0C" w:rsidRPr="000E3B0C">
          <w:rPr>
            <w:noProof/>
            <w:webHidden/>
          </w:rPr>
          <w:fldChar w:fldCharType="end"/>
        </w:r>
      </w:hyperlink>
    </w:p>
    <w:p w14:paraId="11BAE35D" w14:textId="77777777" w:rsidR="000E3B0C" w:rsidRPr="000E3B0C" w:rsidRDefault="00F26821">
      <w:pPr>
        <w:pStyle w:val="Obsah1"/>
        <w:tabs>
          <w:tab w:val="left" w:pos="480"/>
          <w:tab w:val="right" w:leader="dot" w:pos="9060"/>
        </w:tabs>
        <w:rPr>
          <w:rFonts w:eastAsiaTheme="minorEastAsia" w:cstheme="minorBidi"/>
          <w:noProof/>
        </w:rPr>
      </w:pPr>
      <w:hyperlink w:anchor="_Toc130067375" w:history="1">
        <w:r w:rsidR="000E3B0C" w:rsidRPr="000E3B0C">
          <w:rPr>
            <w:rStyle w:val="Hypertextovodkaz"/>
            <w:noProof/>
            <w:color w:val="auto"/>
          </w:rPr>
          <w:t>2.</w:t>
        </w:r>
        <w:r w:rsidR="000E3B0C" w:rsidRPr="000E3B0C">
          <w:rPr>
            <w:rFonts w:eastAsiaTheme="minorEastAsia" w:cstheme="minorBidi"/>
            <w:noProof/>
          </w:rPr>
          <w:tab/>
        </w:r>
        <w:r w:rsidR="000E3B0C" w:rsidRPr="000E3B0C">
          <w:rPr>
            <w:rStyle w:val="Hypertextovodkaz"/>
            <w:noProof/>
            <w:color w:val="auto"/>
          </w:rPr>
          <w:t>Delikty a odpovědnost za ně</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_Toc130067375 \h </w:instrText>
        </w:r>
        <w:r w:rsidR="000E3B0C" w:rsidRPr="000E3B0C">
          <w:rPr>
            <w:noProof/>
            <w:webHidden/>
          </w:rPr>
        </w:r>
        <w:r w:rsidR="000E3B0C" w:rsidRPr="000E3B0C">
          <w:rPr>
            <w:noProof/>
            <w:webHidden/>
          </w:rPr>
          <w:fldChar w:fldCharType="separate"/>
        </w:r>
        <w:r w:rsidR="00771A12">
          <w:rPr>
            <w:noProof/>
            <w:webHidden/>
          </w:rPr>
          <w:t>15</w:t>
        </w:r>
        <w:r w:rsidR="000E3B0C" w:rsidRPr="000E3B0C">
          <w:rPr>
            <w:noProof/>
            <w:webHidden/>
          </w:rPr>
          <w:fldChar w:fldCharType="end"/>
        </w:r>
      </w:hyperlink>
    </w:p>
    <w:p w14:paraId="49B11132" w14:textId="77777777" w:rsidR="000E3B0C" w:rsidRPr="000E3B0C" w:rsidRDefault="00F26821">
      <w:pPr>
        <w:pStyle w:val="Obsah2"/>
        <w:tabs>
          <w:tab w:val="left" w:pos="880"/>
          <w:tab w:val="right" w:leader="dot" w:pos="9060"/>
        </w:tabs>
        <w:rPr>
          <w:rFonts w:eastAsiaTheme="minorEastAsia" w:cstheme="minorBidi"/>
          <w:noProof/>
        </w:rPr>
      </w:pPr>
      <w:hyperlink w:anchor="_Toc130067376" w:history="1">
        <w:r w:rsidR="000E3B0C" w:rsidRPr="000E3B0C">
          <w:rPr>
            <w:rStyle w:val="Hypertextovodkaz"/>
            <w:noProof/>
            <w:color w:val="auto"/>
          </w:rPr>
          <w:t>2.1</w:t>
        </w:r>
        <w:r w:rsidR="000E3B0C" w:rsidRPr="000E3B0C">
          <w:rPr>
            <w:rFonts w:eastAsiaTheme="minorEastAsia" w:cstheme="minorBidi"/>
            <w:noProof/>
          </w:rPr>
          <w:tab/>
        </w:r>
        <w:r w:rsidR="000E3B0C" w:rsidRPr="000E3B0C">
          <w:rPr>
            <w:rStyle w:val="Hypertextovodkaz"/>
            <w:noProof/>
            <w:color w:val="auto"/>
          </w:rPr>
          <w:t>Podstata deliktů</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_Toc130067376 \h </w:instrText>
        </w:r>
        <w:r w:rsidR="000E3B0C" w:rsidRPr="000E3B0C">
          <w:rPr>
            <w:noProof/>
            <w:webHidden/>
          </w:rPr>
        </w:r>
        <w:r w:rsidR="000E3B0C" w:rsidRPr="000E3B0C">
          <w:rPr>
            <w:noProof/>
            <w:webHidden/>
          </w:rPr>
          <w:fldChar w:fldCharType="separate"/>
        </w:r>
        <w:r w:rsidR="00771A12">
          <w:rPr>
            <w:noProof/>
            <w:webHidden/>
          </w:rPr>
          <w:t>15</w:t>
        </w:r>
        <w:r w:rsidR="000E3B0C" w:rsidRPr="000E3B0C">
          <w:rPr>
            <w:noProof/>
            <w:webHidden/>
          </w:rPr>
          <w:fldChar w:fldCharType="end"/>
        </w:r>
      </w:hyperlink>
    </w:p>
    <w:p w14:paraId="28ED7DA9" w14:textId="77777777" w:rsidR="000E3B0C" w:rsidRPr="000E3B0C" w:rsidRDefault="00F26821">
      <w:pPr>
        <w:pStyle w:val="Obsah2"/>
        <w:tabs>
          <w:tab w:val="left" w:pos="880"/>
          <w:tab w:val="right" w:leader="dot" w:pos="9060"/>
        </w:tabs>
        <w:rPr>
          <w:rFonts w:eastAsiaTheme="minorEastAsia" w:cstheme="minorBidi"/>
          <w:noProof/>
        </w:rPr>
      </w:pPr>
      <w:hyperlink w:anchor="_Toc130067377" w:history="1">
        <w:r w:rsidR="000E3B0C" w:rsidRPr="000E3B0C">
          <w:rPr>
            <w:rStyle w:val="Hypertextovodkaz"/>
            <w:noProof/>
            <w:color w:val="auto"/>
          </w:rPr>
          <w:t>2.2</w:t>
        </w:r>
        <w:r w:rsidR="000E3B0C" w:rsidRPr="000E3B0C">
          <w:rPr>
            <w:rFonts w:eastAsiaTheme="minorEastAsia" w:cstheme="minorBidi"/>
            <w:noProof/>
          </w:rPr>
          <w:tab/>
        </w:r>
        <w:r w:rsidR="000E3B0C" w:rsidRPr="000E3B0C">
          <w:rPr>
            <w:rStyle w:val="Hypertextovodkaz"/>
            <w:noProof/>
            <w:color w:val="auto"/>
          </w:rPr>
          <w:t>Zásada zákonnosti</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_Toc130067377 \h </w:instrText>
        </w:r>
        <w:r w:rsidR="000E3B0C" w:rsidRPr="000E3B0C">
          <w:rPr>
            <w:noProof/>
            <w:webHidden/>
          </w:rPr>
        </w:r>
        <w:r w:rsidR="000E3B0C" w:rsidRPr="000E3B0C">
          <w:rPr>
            <w:noProof/>
            <w:webHidden/>
          </w:rPr>
          <w:fldChar w:fldCharType="separate"/>
        </w:r>
        <w:r w:rsidR="00771A12">
          <w:rPr>
            <w:noProof/>
            <w:webHidden/>
          </w:rPr>
          <w:t>18</w:t>
        </w:r>
        <w:r w:rsidR="000E3B0C" w:rsidRPr="000E3B0C">
          <w:rPr>
            <w:noProof/>
            <w:webHidden/>
          </w:rPr>
          <w:fldChar w:fldCharType="end"/>
        </w:r>
      </w:hyperlink>
    </w:p>
    <w:p w14:paraId="39FA95B6" w14:textId="77777777" w:rsidR="000E3B0C" w:rsidRPr="000E3B0C" w:rsidRDefault="00F26821">
      <w:pPr>
        <w:pStyle w:val="Obsah2"/>
        <w:tabs>
          <w:tab w:val="left" w:pos="880"/>
          <w:tab w:val="right" w:leader="dot" w:pos="9060"/>
        </w:tabs>
        <w:rPr>
          <w:rFonts w:eastAsiaTheme="minorEastAsia" w:cstheme="minorBidi"/>
          <w:noProof/>
        </w:rPr>
      </w:pPr>
      <w:hyperlink w:anchor="_Toc130067378" w:history="1">
        <w:r w:rsidR="000E3B0C" w:rsidRPr="000E3B0C">
          <w:rPr>
            <w:rStyle w:val="Hypertextovodkaz"/>
            <w:noProof/>
            <w:color w:val="auto"/>
          </w:rPr>
          <w:t>2.3</w:t>
        </w:r>
        <w:r w:rsidR="000E3B0C" w:rsidRPr="000E3B0C">
          <w:rPr>
            <w:rFonts w:eastAsiaTheme="minorEastAsia" w:cstheme="minorBidi"/>
            <w:noProof/>
          </w:rPr>
          <w:tab/>
        </w:r>
        <w:r w:rsidR="000E3B0C" w:rsidRPr="000E3B0C">
          <w:rPr>
            <w:rStyle w:val="Hypertextovodkaz"/>
            <w:noProof/>
            <w:color w:val="auto"/>
          </w:rPr>
          <w:t>Presumpce neviny</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_Toc130067378 \h </w:instrText>
        </w:r>
        <w:r w:rsidR="000E3B0C" w:rsidRPr="000E3B0C">
          <w:rPr>
            <w:noProof/>
            <w:webHidden/>
          </w:rPr>
        </w:r>
        <w:r w:rsidR="000E3B0C" w:rsidRPr="000E3B0C">
          <w:rPr>
            <w:noProof/>
            <w:webHidden/>
          </w:rPr>
          <w:fldChar w:fldCharType="separate"/>
        </w:r>
        <w:r w:rsidR="00771A12">
          <w:rPr>
            <w:noProof/>
            <w:webHidden/>
          </w:rPr>
          <w:t>21</w:t>
        </w:r>
        <w:r w:rsidR="000E3B0C" w:rsidRPr="000E3B0C">
          <w:rPr>
            <w:noProof/>
            <w:webHidden/>
          </w:rPr>
          <w:fldChar w:fldCharType="end"/>
        </w:r>
      </w:hyperlink>
    </w:p>
    <w:p w14:paraId="5D4E2E5F" w14:textId="77777777" w:rsidR="000E3B0C" w:rsidRPr="000E3B0C" w:rsidRDefault="00F26821">
      <w:pPr>
        <w:pStyle w:val="Obsah2"/>
        <w:tabs>
          <w:tab w:val="left" w:pos="880"/>
          <w:tab w:val="right" w:leader="dot" w:pos="9060"/>
        </w:tabs>
        <w:rPr>
          <w:rFonts w:eastAsiaTheme="minorEastAsia" w:cstheme="minorBidi"/>
          <w:noProof/>
        </w:rPr>
      </w:pPr>
      <w:hyperlink w:anchor="_Toc130067379" w:history="1">
        <w:r w:rsidR="000E3B0C" w:rsidRPr="000E3B0C">
          <w:rPr>
            <w:rStyle w:val="Hypertextovodkaz"/>
            <w:noProof/>
            <w:color w:val="auto"/>
          </w:rPr>
          <w:t>2.4</w:t>
        </w:r>
        <w:r w:rsidR="000E3B0C" w:rsidRPr="000E3B0C">
          <w:rPr>
            <w:rFonts w:eastAsiaTheme="minorEastAsia" w:cstheme="minorBidi"/>
            <w:noProof/>
          </w:rPr>
          <w:tab/>
        </w:r>
        <w:r w:rsidR="000E3B0C" w:rsidRPr="000E3B0C">
          <w:rPr>
            <w:rStyle w:val="Hypertextovodkaz"/>
            <w:noProof/>
            <w:color w:val="auto"/>
          </w:rPr>
          <w:t>Zavinění</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_Toc130067379 \h </w:instrText>
        </w:r>
        <w:r w:rsidR="000E3B0C" w:rsidRPr="000E3B0C">
          <w:rPr>
            <w:noProof/>
            <w:webHidden/>
          </w:rPr>
        </w:r>
        <w:r w:rsidR="000E3B0C" w:rsidRPr="000E3B0C">
          <w:rPr>
            <w:noProof/>
            <w:webHidden/>
          </w:rPr>
          <w:fldChar w:fldCharType="separate"/>
        </w:r>
        <w:r w:rsidR="00771A12">
          <w:rPr>
            <w:noProof/>
            <w:webHidden/>
          </w:rPr>
          <w:t>22</w:t>
        </w:r>
        <w:r w:rsidR="000E3B0C" w:rsidRPr="000E3B0C">
          <w:rPr>
            <w:noProof/>
            <w:webHidden/>
          </w:rPr>
          <w:fldChar w:fldCharType="end"/>
        </w:r>
      </w:hyperlink>
    </w:p>
    <w:p w14:paraId="1B55E8C0" w14:textId="77777777" w:rsidR="000E3B0C" w:rsidRPr="000E3B0C" w:rsidRDefault="00F26821">
      <w:pPr>
        <w:pStyle w:val="Obsah2"/>
        <w:tabs>
          <w:tab w:val="left" w:pos="880"/>
          <w:tab w:val="right" w:leader="dot" w:pos="9060"/>
        </w:tabs>
        <w:rPr>
          <w:rFonts w:eastAsiaTheme="minorEastAsia" w:cstheme="minorBidi"/>
          <w:noProof/>
        </w:rPr>
      </w:pPr>
      <w:hyperlink w:anchor="_Toc130067380" w:history="1">
        <w:r w:rsidR="000E3B0C" w:rsidRPr="000E3B0C">
          <w:rPr>
            <w:rStyle w:val="Hypertextovodkaz"/>
            <w:noProof/>
            <w:color w:val="auto"/>
          </w:rPr>
          <w:t>2.5</w:t>
        </w:r>
        <w:r w:rsidR="000E3B0C" w:rsidRPr="000E3B0C">
          <w:rPr>
            <w:rFonts w:eastAsiaTheme="minorEastAsia" w:cstheme="minorBidi"/>
            <w:noProof/>
          </w:rPr>
          <w:tab/>
        </w:r>
        <w:r w:rsidR="000E3B0C" w:rsidRPr="000E3B0C">
          <w:rPr>
            <w:rStyle w:val="Hypertextovodkaz"/>
            <w:noProof/>
            <w:color w:val="auto"/>
          </w:rPr>
          <w:t>Mírnější alternativy</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_Toc130067380 \h </w:instrText>
        </w:r>
        <w:r w:rsidR="000E3B0C" w:rsidRPr="000E3B0C">
          <w:rPr>
            <w:noProof/>
            <w:webHidden/>
          </w:rPr>
        </w:r>
        <w:r w:rsidR="000E3B0C" w:rsidRPr="000E3B0C">
          <w:rPr>
            <w:noProof/>
            <w:webHidden/>
          </w:rPr>
          <w:fldChar w:fldCharType="separate"/>
        </w:r>
        <w:r w:rsidR="00771A12">
          <w:rPr>
            <w:noProof/>
            <w:webHidden/>
          </w:rPr>
          <w:t>24</w:t>
        </w:r>
        <w:r w:rsidR="000E3B0C" w:rsidRPr="000E3B0C">
          <w:rPr>
            <w:noProof/>
            <w:webHidden/>
          </w:rPr>
          <w:fldChar w:fldCharType="end"/>
        </w:r>
      </w:hyperlink>
    </w:p>
    <w:p w14:paraId="49CED95A" w14:textId="77777777" w:rsidR="000E3B0C" w:rsidRPr="000E3B0C" w:rsidRDefault="00F26821">
      <w:pPr>
        <w:pStyle w:val="Obsah2"/>
        <w:tabs>
          <w:tab w:val="left" w:pos="880"/>
          <w:tab w:val="right" w:leader="dot" w:pos="9060"/>
        </w:tabs>
        <w:rPr>
          <w:rFonts w:eastAsiaTheme="minorEastAsia" w:cstheme="minorBidi"/>
          <w:noProof/>
        </w:rPr>
      </w:pPr>
      <w:hyperlink w:anchor="_Toc130067381" w:history="1">
        <w:r w:rsidR="000E3B0C" w:rsidRPr="000E3B0C">
          <w:rPr>
            <w:rStyle w:val="Hypertextovodkaz"/>
            <w:noProof/>
            <w:color w:val="auto"/>
          </w:rPr>
          <w:t>2.6</w:t>
        </w:r>
        <w:r w:rsidR="000E3B0C" w:rsidRPr="000E3B0C">
          <w:rPr>
            <w:rFonts w:eastAsiaTheme="minorEastAsia" w:cstheme="minorBidi"/>
            <w:noProof/>
          </w:rPr>
          <w:tab/>
        </w:r>
        <w:r w:rsidR="000E3B0C" w:rsidRPr="000E3B0C">
          <w:rPr>
            <w:rStyle w:val="Hypertextovodkaz"/>
            <w:noProof/>
            <w:color w:val="auto"/>
          </w:rPr>
          <w:t>Promlčení</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_Toc130067381 \h </w:instrText>
        </w:r>
        <w:r w:rsidR="000E3B0C" w:rsidRPr="000E3B0C">
          <w:rPr>
            <w:noProof/>
            <w:webHidden/>
          </w:rPr>
        </w:r>
        <w:r w:rsidR="000E3B0C" w:rsidRPr="000E3B0C">
          <w:rPr>
            <w:noProof/>
            <w:webHidden/>
          </w:rPr>
          <w:fldChar w:fldCharType="separate"/>
        </w:r>
        <w:r w:rsidR="00771A12">
          <w:rPr>
            <w:noProof/>
            <w:webHidden/>
          </w:rPr>
          <w:t>27</w:t>
        </w:r>
        <w:r w:rsidR="000E3B0C" w:rsidRPr="000E3B0C">
          <w:rPr>
            <w:noProof/>
            <w:webHidden/>
          </w:rPr>
          <w:fldChar w:fldCharType="end"/>
        </w:r>
      </w:hyperlink>
    </w:p>
    <w:p w14:paraId="1F75361A" w14:textId="77777777" w:rsidR="000E3B0C" w:rsidRPr="000E3B0C" w:rsidRDefault="00F26821">
      <w:pPr>
        <w:pStyle w:val="Obsah1"/>
        <w:tabs>
          <w:tab w:val="left" w:pos="480"/>
          <w:tab w:val="right" w:leader="dot" w:pos="9060"/>
        </w:tabs>
        <w:rPr>
          <w:rFonts w:eastAsiaTheme="minorEastAsia" w:cstheme="minorBidi"/>
          <w:noProof/>
        </w:rPr>
      </w:pPr>
      <w:hyperlink w:anchor="_Toc130067382" w:history="1">
        <w:r w:rsidR="000E3B0C" w:rsidRPr="000E3B0C">
          <w:rPr>
            <w:rStyle w:val="Hypertextovodkaz"/>
            <w:noProof/>
            <w:color w:val="auto"/>
          </w:rPr>
          <w:t>3.</w:t>
        </w:r>
        <w:r w:rsidR="000E3B0C" w:rsidRPr="000E3B0C">
          <w:rPr>
            <w:rFonts w:eastAsiaTheme="minorEastAsia" w:cstheme="minorBidi"/>
            <w:noProof/>
          </w:rPr>
          <w:tab/>
        </w:r>
        <w:r w:rsidR="000E3B0C" w:rsidRPr="000E3B0C">
          <w:rPr>
            <w:rStyle w:val="Hypertextovodkaz"/>
            <w:noProof/>
            <w:color w:val="auto"/>
          </w:rPr>
          <w:t>Tresty a jejich ukládání</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_Toc130067382 \h </w:instrText>
        </w:r>
        <w:r w:rsidR="000E3B0C" w:rsidRPr="000E3B0C">
          <w:rPr>
            <w:noProof/>
            <w:webHidden/>
          </w:rPr>
        </w:r>
        <w:r w:rsidR="000E3B0C" w:rsidRPr="000E3B0C">
          <w:rPr>
            <w:noProof/>
            <w:webHidden/>
          </w:rPr>
          <w:fldChar w:fldCharType="separate"/>
        </w:r>
        <w:r w:rsidR="00771A12">
          <w:rPr>
            <w:noProof/>
            <w:webHidden/>
          </w:rPr>
          <w:t>30</w:t>
        </w:r>
        <w:r w:rsidR="000E3B0C" w:rsidRPr="000E3B0C">
          <w:rPr>
            <w:noProof/>
            <w:webHidden/>
          </w:rPr>
          <w:fldChar w:fldCharType="end"/>
        </w:r>
      </w:hyperlink>
    </w:p>
    <w:p w14:paraId="6EA94634" w14:textId="77777777" w:rsidR="000E3B0C" w:rsidRPr="000E3B0C" w:rsidRDefault="00F26821">
      <w:pPr>
        <w:pStyle w:val="Obsah2"/>
        <w:tabs>
          <w:tab w:val="left" w:pos="880"/>
          <w:tab w:val="right" w:leader="dot" w:pos="9060"/>
        </w:tabs>
        <w:rPr>
          <w:rFonts w:eastAsiaTheme="minorEastAsia" w:cstheme="minorBidi"/>
          <w:noProof/>
        </w:rPr>
      </w:pPr>
      <w:hyperlink w:anchor="_Toc130067383" w:history="1">
        <w:r w:rsidR="000E3B0C" w:rsidRPr="000E3B0C">
          <w:rPr>
            <w:rStyle w:val="Hypertextovodkaz"/>
            <w:noProof/>
            <w:color w:val="auto"/>
          </w:rPr>
          <w:t>3.1</w:t>
        </w:r>
        <w:r w:rsidR="000E3B0C" w:rsidRPr="000E3B0C">
          <w:rPr>
            <w:rFonts w:eastAsiaTheme="minorEastAsia" w:cstheme="minorBidi"/>
            <w:noProof/>
          </w:rPr>
          <w:tab/>
        </w:r>
        <w:r w:rsidR="000E3B0C" w:rsidRPr="000E3B0C">
          <w:rPr>
            <w:rStyle w:val="Hypertextovodkaz"/>
            <w:noProof/>
            <w:color w:val="auto"/>
          </w:rPr>
          <w:t>Obecná klasifikace trestů</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_Toc130067383 \h </w:instrText>
        </w:r>
        <w:r w:rsidR="000E3B0C" w:rsidRPr="000E3B0C">
          <w:rPr>
            <w:noProof/>
            <w:webHidden/>
          </w:rPr>
        </w:r>
        <w:r w:rsidR="000E3B0C" w:rsidRPr="000E3B0C">
          <w:rPr>
            <w:noProof/>
            <w:webHidden/>
          </w:rPr>
          <w:fldChar w:fldCharType="separate"/>
        </w:r>
        <w:r w:rsidR="00771A12">
          <w:rPr>
            <w:noProof/>
            <w:webHidden/>
          </w:rPr>
          <w:t>30</w:t>
        </w:r>
        <w:r w:rsidR="000E3B0C" w:rsidRPr="000E3B0C">
          <w:rPr>
            <w:noProof/>
            <w:webHidden/>
          </w:rPr>
          <w:fldChar w:fldCharType="end"/>
        </w:r>
      </w:hyperlink>
    </w:p>
    <w:p w14:paraId="6EF73305" w14:textId="77777777" w:rsidR="000E3B0C" w:rsidRPr="000E3B0C" w:rsidRDefault="00F26821">
      <w:pPr>
        <w:pStyle w:val="Obsah2"/>
        <w:tabs>
          <w:tab w:val="left" w:pos="880"/>
          <w:tab w:val="right" w:leader="dot" w:pos="9060"/>
        </w:tabs>
        <w:rPr>
          <w:rFonts w:eastAsiaTheme="minorEastAsia" w:cstheme="minorBidi"/>
          <w:noProof/>
        </w:rPr>
      </w:pPr>
      <w:hyperlink w:anchor="_Toc130067384" w:history="1">
        <w:r w:rsidR="000E3B0C" w:rsidRPr="000E3B0C">
          <w:rPr>
            <w:rStyle w:val="Hypertextovodkaz"/>
            <w:noProof/>
            <w:color w:val="auto"/>
          </w:rPr>
          <w:t>3.2</w:t>
        </w:r>
        <w:r w:rsidR="000E3B0C" w:rsidRPr="000E3B0C">
          <w:rPr>
            <w:rFonts w:eastAsiaTheme="minorEastAsia" w:cstheme="minorBidi"/>
            <w:noProof/>
          </w:rPr>
          <w:tab/>
        </w:r>
        <w:r w:rsidR="000E3B0C" w:rsidRPr="000E3B0C">
          <w:rPr>
            <w:rStyle w:val="Hypertextovodkaz"/>
            <w:noProof/>
            <w:color w:val="auto"/>
          </w:rPr>
          <w:t>Konkrétní tresty</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_Toc130067384 \h </w:instrText>
        </w:r>
        <w:r w:rsidR="000E3B0C" w:rsidRPr="000E3B0C">
          <w:rPr>
            <w:noProof/>
            <w:webHidden/>
          </w:rPr>
        </w:r>
        <w:r w:rsidR="000E3B0C" w:rsidRPr="000E3B0C">
          <w:rPr>
            <w:noProof/>
            <w:webHidden/>
          </w:rPr>
          <w:fldChar w:fldCharType="separate"/>
        </w:r>
        <w:r w:rsidR="00771A12">
          <w:rPr>
            <w:noProof/>
            <w:webHidden/>
          </w:rPr>
          <w:t>33</w:t>
        </w:r>
        <w:r w:rsidR="000E3B0C" w:rsidRPr="000E3B0C">
          <w:rPr>
            <w:noProof/>
            <w:webHidden/>
          </w:rPr>
          <w:fldChar w:fldCharType="end"/>
        </w:r>
      </w:hyperlink>
    </w:p>
    <w:p w14:paraId="1C6D4A05" w14:textId="77777777" w:rsidR="000E3B0C" w:rsidRPr="000E3B0C" w:rsidRDefault="00F26821">
      <w:pPr>
        <w:pStyle w:val="Obsah2"/>
        <w:tabs>
          <w:tab w:val="left" w:pos="880"/>
          <w:tab w:val="right" w:leader="dot" w:pos="9060"/>
        </w:tabs>
        <w:rPr>
          <w:rFonts w:eastAsiaTheme="minorEastAsia" w:cstheme="minorBidi"/>
          <w:noProof/>
        </w:rPr>
      </w:pPr>
      <w:hyperlink w:anchor="_Toc130067385" w:history="1">
        <w:r w:rsidR="000E3B0C" w:rsidRPr="000E3B0C">
          <w:rPr>
            <w:rStyle w:val="Hypertextovodkaz"/>
            <w:noProof/>
            <w:color w:val="auto"/>
          </w:rPr>
          <w:t>3.3</w:t>
        </w:r>
        <w:r w:rsidR="000E3B0C" w:rsidRPr="000E3B0C">
          <w:rPr>
            <w:rFonts w:eastAsiaTheme="minorEastAsia" w:cstheme="minorBidi"/>
            <w:noProof/>
          </w:rPr>
          <w:tab/>
        </w:r>
        <w:r w:rsidR="000E3B0C" w:rsidRPr="000E3B0C">
          <w:rPr>
            <w:rStyle w:val="Hypertextovodkaz"/>
            <w:noProof/>
            <w:color w:val="auto"/>
          </w:rPr>
          <w:t>Ukládání trestů</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_Toc130067385 \h </w:instrText>
        </w:r>
        <w:r w:rsidR="000E3B0C" w:rsidRPr="000E3B0C">
          <w:rPr>
            <w:noProof/>
            <w:webHidden/>
          </w:rPr>
        </w:r>
        <w:r w:rsidR="000E3B0C" w:rsidRPr="000E3B0C">
          <w:rPr>
            <w:noProof/>
            <w:webHidden/>
          </w:rPr>
          <w:fldChar w:fldCharType="separate"/>
        </w:r>
        <w:r w:rsidR="00771A12">
          <w:rPr>
            <w:noProof/>
            <w:webHidden/>
          </w:rPr>
          <w:t>36</w:t>
        </w:r>
        <w:r w:rsidR="000E3B0C" w:rsidRPr="000E3B0C">
          <w:rPr>
            <w:noProof/>
            <w:webHidden/>
          </w:rPr>
          <w:fldChar w:fldCharType="end"/>
        </w:r>
      </w:hyperlink>
    </w:p>
    <w:p w14:paraId="27BD5764" w14:textId="77777777" w:rsidR="000E3B0C" w:rsidRPr="000E3B0C" w:rsidRDefault="00F26821">
      <w:pPr>
        <w:pStyle w:val="Obsah1"/>
        <w:tabs>
          <w:tab w:val="right" w:leader="dot" w:pos="9060"/>
        </w:tabs>
        <w:rPr>
          <w:rFonts w:eastAsiaTheme="minorEastAsia" w:cstheme="minorBidi"/>
          <w:noProof/>
        </w:rPr>
      </w:pPr>
      <w:hyperlink w:anchor="_Toc130067386" w:history="1">
        <w:r w:rsidR="000E3B0C" w:rsidRPr="000E3B0C">
          <w:rPr>
            <w:rStyle w:val="Hypertextovodkaz"/>
            <w:noProof/>
            <w:color w:val="auto"/>
          </w:rPr>
          <w:t>Závěr</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_Toc130067386 \h </w:instrText>
        </w:r>
        <w:r w:rsidR="000E3B0C" w:rsidRPr="000E3B0C">
          <w:rPr>
            <w:noProof/>
            <w:webHidden/>
          </w:rPr>
        </w:r>
        <w:r w:rsidR="000E3B0C" w:rsidRPr="000E3B0C">
          <w:rPr>
            <w:noProof/>
            <w:webHidden/>
          </w:rPr>
          <w:fldChar w:fldCharType="separate"/>
        </w:r>
        <w:r w:rsidR="00771A12">
          <w:rPr>
            <w:noProof/>
            <w:webHidden/>
          </w:rPr>
          <w:t>41</w:t>
        </w:r>
        <w:r w:rsidR="000E3B0C" w:rsidRPr="000E3B0C">
          <w:rPr>
            <w:noProof/>
            <w:webHidden/>
          </w:rPr>
          <w:fldChar w:fldCharType="end"/>
        </w:r>
      </w:hyperlink>
    </w:p>
    <w:p w14:paraId="25CE6C4C" w14:textId="77777777" w:rsidR="000E3B0C" w:rsidRPr="000E3B0C" w:rsidRDefault="00F26821">
      <w:pPr>
        <w:pStyle w:val="Obsah1"/>
        <w:tabs>
          <w:tab w:val="right" w:leader="dot" w:pos="9060"/>
        </w:tabs>
        <w:rPr>
          <w:rFonts w:eastAsiaTheme="minorEastAsia" w:cstheme="minorBidi"/>
          <w:noProof/>
        </w:rPr>
      </w:pPr>
      <w:hyperlink w:anchor="_Toc130067387" w:history="1">
        <w:r w:rsidR="000E3B0C" w:rsidRPr="000E3B0C">
          <w:rPr>
            <w:rStyle w:val="Hypertextovodkaz"/>
            <w:noProof/>
            <w:color w:val="auto"/>
          </w:rPr>
          <w:t>Seznam literatury a pramenů</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_Toc130067387 \h </w:instrText>
        </w:r>
        <w:r w:rsidR="000E3B0C" w:rsidRPr="000E3B0C">
          <w:rPr>
            <w:noProof/>
            <w:webHidden/>
          </w:rPr>
        </w:r>
        <w:r w:rsidR="000E3B0C" w:rsidRPr="000E3B0C">
          <w:rPr>
            <w:noProof/>
            <w:webHidden/>
          </w:rPr>
          <w:fldChar w:fldCharType="separate"/>
        </w:r>
        <w:r w:rsidR="00771A12">
          <w:rPr>
            <w:noProof/>
            <w:webHidden/>
          </w:rPr>
          <w:t>43</w:t>
        </w:r>
        <w:r w:rsidR="000E3B0C" w:rsidRPr="000E3B0C">
          <w:rPr>
            <w:noProof/>
            <w:webHidden/>
          </w:rPr>
          <w:fldChar w:fldCharType="end"/>
        </w:r>
      </w:hyperlink>
    </w:p>
    <w:p w14:paraId="4FAFAC42" w14:textId="77777777" w:rsidR="000E3B0C" w:rsidRPr="000E3B0C" w:rsidRDefault="00F26821">
      <w:pPr>
        <w:pStyle w:val="Obsah1"/>
        <w:tabs>
          <w:tab w:val="right" w:leader="dot" w:pos="9060"/>
        </w:tabs>
        <w:rPr>
          <w:rFonts w:eastAsiaTheme="minorEastAsia" w:cstheme="minorBidi"/>
          <w:noProof/>
        </w:rPr>
      </w:pPr>
      <w:hyperlink w:anchor="_Toc130067390" w:history="1">
        <w:r w:rsidR="000E3B0C" w:rsidRPr="000E3B0C">
          <w:rPr>
            <w:rStyle w:val="Hypertextovodkaz"/>
            <w:noProof/>
            <w:color w:val="auto"/>
          </w:rPr>
          <w:t>Seznam zkratek</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_Toc130067390 \h </w:instrText>
        </w:r>
        <w:r w:rsidR="000E3B0C" w:rsidRPr="000E3B0C">
          <w:rPr>
            <w:noProof/>
            <w:webHidden/>
          </w:rPr>
        </w:r>
        <w:r w:rsidR="000E3B0C" w:rsidRPr="000E3B0C">
          <w:rPr>
            <w:noProof/>
            <w:webHidden/>
          </w:rPr>
          <w:fldChar w:fldCharType="separate"/>
        </w:r>
        <w:r w:rsidR="00771A12">
          <w:rPr>
            <w:noProof/>
            <w:webHidden/>
          </w:rPr>
          <w:t>46</w:t>
        </w:r>
        <w:r w:rsidR="000E3B0C" w:rsidRPr="000E3B0C">
          <w:rPr>
            <w:noProof/>
            <w:webHidden/>
          </w:rPr>
          <w:fldChar w:fldCharType="end"/>
        </w:r>
      </w:hyperlink>
    </w:p>
    <w:p w14:paraId="217050D2" w14:textId="77777777" w:rsidR="000E3B0C" w:rsidRPr="000E3B0C" w:rsidRDefault="00F26821">
      <w:pPr>
        <w:pStyle w:val="Obsah1"/>
        <w:tabs>
          <w:tab w:val="right" w:leader="dot" w:pos="9060"/>
        </w:tabs>
        <w:rPr>
          <w:rFonts w:eastAsiaTheme="minorEastAsia" w:cstheme="minorBidi"/>
          <w:noProof/>
        </w:rPr>
      </w:pPr>
      <w:hyperlink w:anchor="_Toc130067391" w:history="1">
        <w:r w:rsidR="000E3B0C" w:rsidRPr="000E3B0C">
          <w:rPr>
            <w:rStyle w:val="Hypertextovodkaz"/>
            <w:noProof/>
            <w:color w:val="auto"/>
          </w:rPr>
          <w:t>Prohlášení</w:t>
        </w:r>
        <w:r w:rsidR="000E3B0C" w:rsidRPr="000E3B0C">
          <w:rPr>
            <w:noProof/>
            <w:webHidden/>
          </w:rPr>
          <w:tab/>
        </w:r>
        <w:r w:rsidR="000E3B0C" w:rsidRPr="000E3B0C">
          <w:rPr>
            <w:noProof/>
            <w:webHidden/>
          </w:rPr>
          <w:fldChar w:fldCharType="begin"/>
        </w:r>
        <w:r w:rsidR="000E3B0C" w:rsidRPr="000E3B0C">
          <w:rPr>
            <w:noProof/>
            <w:webHidden/>
          </w:rPr>
          <w:instrText xml:space="preserve"> PAGEREF _Toc130067391 \h </w:instrText>
        </w:r>
        <w:r w:rsidR="000E3B0C" w:rsidRPr="000E3B0C">
          <w:rPr>
            <w:noProof/>
            <w:webHidden/>
          </w:rPr>
        </w:r>
        <w:r w:rsidR="000E3B0C" w:rsidRPr="000E3B0C">
          <w:rPr>
            <w:noProof/>
            <w:webHidden/>
          </w:rPr>
          <w:fldChar w:fldCharType="separate"/>
        </w:r>
        <w:r w:rsidR="00771A12">
          <w:rPr>
            <w:noProof/>
            <w:webHidden/>
          </w:rPr>
          <w:t>47</w:t>
        </w:r>
        <w:r w:rsidR="000E3B0C" w:rsidRPr="000E3B0C">
          <w:rPr>
            <w:noProof/>
            <w:webHidden/>
          </w:rPr>
          <w:fldChar w:fldCharType="end"/>
        </w:r>
      </w:hyperlink>
    </w:p>
    <w:p w14:paraId="5F9FAB43" w14:textId="77777777" w:rsidR="00D05885" w:rsidRPr="000E3B0C" w:rsidRDefault="00D37B52" w:rsidP="00B14818">
      <w:pPr>
        <w:pStyle w:val="Nadpis1"/>
      </w:pPr>
      <w:r w:rsidRPr="000E3B0C">
        <w:rPr>
          <w:b w:val="0"/>
          <w:bCs w:val="0"/>
          <w:smallCaps w:val="0"/>
          <w:kern w:val="0"/>
          <w:sz w:val="24"/>
          <w:szCs w:val="24"/>
        </w:rPr>
        <w:fldChar w:fldCharType="end"/>
      </w:r>
      <w:r w:rsidR="00EC59BA" w:rsidRPr="000E3B0C">
        <w:br w:type="page"/>
      </w:r>
      <w:bookmarkStart w:id="6" w:name="_Toc130067371"/>
      <w:r w:rsidR="00D05885" w:rsidRPr="000E3B0C">
        <w:lastRenderedPageBreak/>
        <w:t>Úvod</w:t>
      </w:r>
      <w:bookmarkEnd w:id="6"/>
    </w:p>
    <w:p w14:paraId="0B7A0BCD" w14:textId="3A7FD3EB" w:rsidR="005C7E0D" w:rsidRPr="000E3B0C" w:rsidRDefault="003B183C" w:rsidP="003B183C">
      <w:r w:rsidRPr="000E3B0C">
        <w:t xml:space="preserve">V rámci své bakalářské práce jsem se rozhodl srovnat trestní odpovědnost kleriků dle kanonického práva s kárnou odpovědností soudců. </w:t>
      </w:r>
      <w:r w:rsidR="0009437A" w:rsidRPr="000E3B0C">
        <w:t>N</w:t>
      </w:r>
      <w:r w:rsidR="00B00F61" w:rsidRPr="000E3B0C">
        <w:t xml:space="preserve">a první pohled </w:t>
      </w:r>
      <w:r w:rsidR="005C7E0D" w:rsidRPr="000E3B0C">
        <w:t xml:space="preserve">se může </w:t>
      </w:r>
      <w:r w:rsidR="00B00F61" w:rsidRPr="000E3B0C">
        <w:t xml:space="preserve">zdát, že </w:t>
      </w:r>
      <w:r w:rsidR="005C7E0D" w:rsidRPr="000E3B0C">
        <w:t xml:space="preserve">mnou </w:t>
      </w:r>
      <w:r w:rsidRPr="000E3B0C">
        <w:t>ke</w:t>
      </w:r>
      <w:r w:rsidR="000F5B09">
        <w:t> </w:t>
      </w:r>
      <w:r w:rsidRPr="000E3B0C">
        <w:t>vzájemné</w:t>
      </w:r>
      <w:r w:rsidR="00B00F61" w:rsidRPr="000E3B0C">
        <w:t xml:space="preserve"> </w:t>
      </w:r>
      <w:r w:rsidRPr="000E3B0C">
        <w:t>komparaci</w:t>
      </w:r>
      <w:r w:rsidR="00B00F61" w:rsidRPr="000E3B0C">
        <w:t xml:space="preserve"> </w:t>
      </w:r>
      <w:r w:rsidRPr="000E3B0C">
        <w:t>vybrané</w:t>
      </w:r>
      <w:r w:rsidR="00B00F61" w:rsidRPr="000E3B0C">
        <w:t xml:space="preserve"> typy odpovědnosti nemají </w:t>
      </w:r>
      <w:r w:rsidR="005C7E0D" w:rsidRPr="000E3B0C">
        <w:t>mnoho</w:t>
      </w:r>
      <w:r w:rsidR="00B00F61" w:rsidRPr="000E3B0C">
        <w:t xml:space="preserve"> společné</w:t>
      </w:r>
      <w:r w:rsidR="00AB38B7" w:rsidRPr="000E3B0C">
        <w:t>ho</w:t>
      </w:r>
      <w:r w:rsidR="005C7E0D" w:rsidRPr="000E3B0C">
        <w:t>;</w:t>
      </w:r>
      <w:r w:rsidR="00B00F61" w:rsidRPr="000E3B0C">
        <w:t xml:space="preserve"> chci </w:t>
      </w:r>
      <w:r w:rsidR="005C7E0D" w:rsidRPr="000E3B0C">
        <w:t>však ukázat</w:t>
      </w:r>
      <w:r w:rsidR="00B00F61" w:rsidRPr="000E3B0C">
        <w:t>, že tomu tak není</w:t>
      </w:r>
      <w:r w:rsidR="005C7E0D" w:rsidRPr="000E3B0C">
        <w:t>. V nejrůznějších normativních systémech jsou zakotveny povinnosti</w:t>
      </w:r>
      <w:r w:rsidR="00BC4E03" w:rsidRPr="000E3B0C">
        <w:t xml:space="preserve"> </w:t>
      </w:r>
      <w:r w:rsidR="00AB38B7" w:rsidRPr="000E3B0C">
        <w:t>konkrétní</w:t>
      </w:r>
      <w:r w:rsidR="005C7E0D" w:rsidRPr="000E3B0C">
        <w:t>ch</w:t>
      </w:r>
      <w:r w:rsidR="00AB38B7" w:rsidRPr="000E3B0C">
        <w:t xml:space="preserve"> </w:t>
      </w:r>
      <w:r w:rsidR="005C7E0D" w:rsidRPr="000E3B0C">
        <w:t>osob</w:t>
      </w:r>
      <w:r w:rsidR="00BC4E03" w:rsidRPr="000E3B0C">
        <w:t xml:space="preserve"> jednat </w:t>
      </w:r>
      <w:r w:rsidRPr="000E3B0C">
        <w:t>určitým</w:t>
      </w:r>
      <w:r w:rsidR="00AB38B7" w:rsidRPr="000E3B0C">
        <w:t xml:space="preserve"> způsobem </w:t>
      </w:r>
      <w:r w:rsidR="00BC4E03" w:rsidRPr="000E3B0C">
        <w:t xml:space="preserve">nebo se </w:t>
      </w:r>
      <w:r w:rsidRPr="000E3B0C">
        <w:t>nějakého</w:t>
      </w:r>
      <w:r w:rsidR="00BC4E03" w:rsidRPr="000E3B0C">
        <w:t xml:space="preserve"> jednání zdržet, </w:t>
      </w:r>
      <w:r w:rsidR="005C7E0D" w:rsidRPr="000E3B0C">
        <w:t>přičemž jejich</w:t>
      </w:r>
      <w:r w:rsidR="00AB38B7" w:rsidRPr="000E3B0C">
        <w:t xml:space="preserve"> nesplnění </w:t>
      </w:r>
      <w:r w:rsidR="005C7E0D" w:rsidRPr="000E3B0C">
        <w:t>může být spojeno s nepříznivými</w:t>
      </w:r>
      <w:r w:rsidR="00AB38B7" w:rsidRPr="000E3B0C">
        <w:t xml:space="preserve"> následky; o</w:t>
      </w:r>
      <w:r w:rsidR="00BC4E03" w:rsidRPr="000E3B0C">
        <w:t xml:space="preserve">dpovědnost </w:t>
      </w:r>
      <w:r w:rsidR="005C7E0D" w:rsidRPr="000E3B0C">
        <w:t xml:space="preserve">přitom </w:t>
      </w:r>
      <w:r w:rsidR="00BC4E03" w:rsidRPr="000E3B0C">
        <w:t xml:space="preserve">představuje hrozbu </w:t>
      </w:r>
      <w:r w:rsidR="00AB38B7" w:rsidRPr="000E3B0C">
        <w:t>sankce</w:t>
      </w:r>
      <w:r w:rsidR="00BC4E03" w:rsidRPr="000E3B0C">
        <w:t xml:space="preserve"> za neplnění povinností stanovených </w:t>
      </w:r>
      <w:r w:rsidR="005C7E0D" w:rsidRPr="000E3B0C">
        <w:t>daným</w:t>
      </w:r>
      <w:r w:rsidR="00BC4E03" w:rsidRPr="000E3B0C">
        <w:t xml:space="preserve"> normativním systémem.</w:t>
      </w:r>
      <w:r w:rsidR="00BC4E03" w:rsidRPr="000E3B0C">
        <w:rPr>
          <w:vertAlign w:val="superscript"/>
        </w:rPr>
        <w:footnoteReference w:id="1"/>
      </w:r>
      <w:r w:rsidR="00AB38B7" w:rsidRPr="000E3B0C">
        <w:t xml:space="preserve"> </w:t>
      </w:r>
      <w:r w:rsidR="00BC4E03" w:rsidRPr="000E3B0C">
        <w:t xml:space="preserve">Termínem </w:t>
      </w:r>
      <w:r w:rsidR="00BC4E03" w:rsidRPr="000E3B0C">
        <w:rPr>
          <w:i/>
        </w:rPr>
        <w:t>právní odpovědnost</w:t>
      </w:r>
      <w:r w:rsidR="00BC4E03" w:rsidRPr="000E3B0C">
        <w:t xml:space="preserve"> </w:t>
      </w:r>
      <w:r w:rsidR="00AB38B7" w:rsidRPr="000E3B0C">
        <w:t>tedy lze rozumět</w:t>
      </w:r>
      <w:r w:rsidR="00BC4E03" w:rsidRPr="000E3B0C">
        <w:t xml:space="preserve"> </w:t>
      </w:r>
      <w:r w:rsidR="00AB38B7" w:rsidRPr="000E3B0C">
        <w:t xml:space="preserve">možnost </w:t>
      </w:r>
      <w:r w:rsidR="00BC4E03" w:rsidRPr="000E3B0C">
        <w:t xml:space="preserve">uplatnění právních následků stanovených právní normou vůči tomu, kdo porušil </w:t>
      </w:r>
      <w:r w:rsidR="005C7E0D" w:rsidRPr="000E3B0C">
        <w:t>právem stanovenou</w:t>
      </w:r>
      <w:r w:rsidR="00BC4E03" w:rsidRPr="000E3B0C">
        <w:t xml:space="preserve"> povinnost.</w:t>
      </w:r>
      <w:r w:rsidR="00BC4E03" w:rsidRPr="000E3B0C">
        <w:rPr>
          <w:vertAlign w:val="superscript"/>
        </w:rPr>
        <w:footnoteReference w:id="2"/>
      </w:r>
      <w:r w:rsidR="00AB38B7" w:rsidRPr="000E3B0C">
        <w:t xml:space="preserve"> Konkrétně </w:t>
      </w:r>
      <w:r w:rsidR="00AB38B7" w:rsidRPr="000E3B0C">
        <w:rPr>
          <w:i/>
        </w:rPr>
        <w:t>kárnou odpovědnost</w:t>
      </w:r>
      <w:r w:rsidR="00AB38B7" w:rsidRPr="000E3B0C">
        <w:t xml:space="preserve"> pak právnický slovník definuje jako disciplinární odpovědnost člena určitého specifického společenského organismu za zaviněné porušení pravidel chování závazných pro členy tohoto organismu, </w:t>
      </w:r>
      <w:r w:rsidR="00005427" w:rsidRPr="000E3B0C">
        <w:t>za nějž</w:t>
      </w:r>
      <w:r w:rsidR="00AB38B7" w:rsidRPr="000E3B0C">
        <w:t xml:space="preserve"> může být uložena sankce.</w:t>
      </w:r>
      <w:r w:rsidR="00AB38B7" w:rsidRPr="000E3B0C">
        <w:rPr>
          <w:rStyle w:val="Znakapoznpodarou"/>
        </w:rPr>
        <w:footnoteReference w:id="3"/>
      </w:r>
      <w:r w:rsidR="00AB38B7" w:rsidRPr="000E3B0C">
        <w:t xml:space="preserve"> </w:t>
      </w:r>
      <w:r w:rsidR="00BC4E03" w:rsidRPr="000E3B0C">
        <w:t>Disciplinární</w:t>
      </w:r>
      <w:r w:rsidR="00AB38B7" w:rsidRPr="000E3B0C">
        <w:t>ho</w:t>
      </w:r>
      <w:r w:rsidR="00BC4E03" w:rsidRPr="000E3B0C">
        <w:t xml:space="preserve"> delikt</w:t>
      </w:r>
      <w:r w:rsidR="00AB38B7" w:rsidRPr="000E3B0C">
        <w:t>u se tedy může dopustit osoba</w:t>
      </w:r>
      <w:r w:rsidR="00BC4E03" w:rsidRPr="000E3B0C">
        <w:t xml:space="preserve"> mající </w:t>
      </w:r>
      <w:r w:rsidR="00AB38B7" w:rsidRPr="000E3B0C">
        <w:t xml:space="preserve">určitý </w:t>
      </w:r>
      <w:r w:rsidR="00BC4E03" w:rsidRPr="000E3B0C">
        <w:t>zvláštní právní vztah k</w:t>
      </w:r>
      <w:r w:rsidR="00A31461" w:rsidRPr="000E3B0C">
        <w:t> </w:t>
      </w:r>
      <w:r w:rsidR="00AB38B7" w:rsidRPr="000E3B0C">
        <w:t>nějaké</w:t>
      </w:r>
      <w:r w:rsidR="00BC4E03" w:rsidRPr="000E3B0C">
        <w:t xml:space="preserve"> instituci,</w:t>
      </w:r>
      <w:r w:rsidR="00AB38B7" w:rsidRPr="000E3B0C">
        <w:t xml:space="preserve"> z něhož jí vyplývají konkrétní zvláštní práva</w:t>
      </w:r>
      <w:r w:rsidR="00BC4E03" w:rsidRPr="000E3B0C">
        <w:t xml:space="preserve"> a povinnostmi.</w:t>
      </w:r>
      <w:r w:rsidR="00BC4E03" w:rsidRPr="000E3B0C">
        <w:rPr>
          <w:rStyle w:val="Znakapoznpodarou"/>
        </w:rPr>
        <w:footnoteReference w:id="4"/>
      </w:r>
    </w:p>
    <w:p w14:paraId="64235E82" w14:textId="77777777" w:rsidR="005C7E0D" w:rsidRPr="000E3B0C" w:rsidRDefault="005C7E0D" w:rsidP="005C7E0D"/>
    <w:p w14:paraId="3BED936B" w14:textId="3048D0F9" w:rsidR="00775784" w:rsidRPr="000E3B0C" w:rsidRDefault="00A36355" w:rsidP="005C7E0D">
      <w:r w:rsidRPr="000E3B0C">
        <w:t>Soudce</w:t>
      </w:r>
      <w:r w:rsidR="00446DE6" w:rsidRPr="000E3B0C">
        <w:rPr>
          <w:rStyle w:val="Znakapoznpodarou"/>
        </w:rPr>
        <w:footnoteReference w:id="5"/>
      </w:r>
      <w:r w:rsidRPr="000E3B0C">
        <w:t xml:space="preserve"> i klerik</w:t>
      </w:r>
      <w:r w:rsidR="00446DE6" w:rsidRPr="000E3B0C">
        <w:rPr>
          <w:rStyle w:val="Znakapoznpodarou"/>
        </w:rPr>
        <w:footnoteReference w:id="6"/>
      </w:r>
      <w:r w:rsidRPr="000E3B0C">
        <w:t xml:space="preserve"> </w:t>
      </w:r>
      <w:r w:rsidR="00DF2F46" w:rsidRPr="000E3B0C">
        <w:t>podléhají z pohledu světského</w:t>
      </w:r>
      <w:r w:rsidR="00DF2F46" w:rsidRPr="000E3B0C">
        <w:rPr>
          <w:rStyle w:val="Znakapoznpodarou"/>
        </w:rPr>
        <w:footnoteReference w:id="7"/>
      </w:r>
      <w:r w:rsidR="0045636E" w:rsidRPr="000E3B0C">
        <w:t xml:space="preserve"> práva</w:t>
      </w:r>
      <w:r w:rsidR="00005427" w:rsidRPr="000E3B0C">
        <w:t xml:space="preserve"> za své protiprávní jednání </w:t>
      </w:r>
      <w:r w:rsidR="002035C8" w:rsidRPr="000E3B0C">
        <w:t>primárně trestní a </w:t>
      </w:r>
      <w:r w:rsidR="0045636E" w:rsidRPr="000E3B0C">
        <w:t xml:space="preserve">správní odpovědnosti jako </w:t>
      </w:r>
      <w:r w:rsidR="00E850C6" w:rsidRPr="000E3B0C">
        <w:t xml:space="preserve">všichni </w:t>
      </w:r>
      <w:r w:rsidR="0045636E" w:rsidRPr="000E3B0C">
        <w:t>ostatní občané</w:t>
      </w:r>
      <w:r w:rsidR="00E850C6" w:rsidRPr="000E3B0C">
        <w:t>.</w:t>
      </w:r>
      <w:r w:rsidR="00005427" w:rsidRPr="000E3B0C">
        <w:t xml:space="preserve"> M</w:t>
      </w:r>
      <w:r w:rsidR="00E850C6" w:rsidRPr="000E3B0C">
        <w:t>ají však společné</w:t>
      </w:r>
      <w:r w:rsidR="009F5281" w:rsidRPr="000E3B0C">
        <w:t xml:space="preserve"> to</w:t>
      </w:r>
      <w:r w:rsidR="00005427" w:rsidRPr="000E3B0C">
        <w:t xml:space="preserve"> (byť je k tomu samozřejmě třeba určitého zjednodušení), </w:t>
      </w:r>
      <w:r w:rsidR="00E850C6" w:rsidRPr="000E3B0C">
        <w:t>že n</w:t>
      </w:r>
      <w:r w:rsidR="0045636E" w:rsidRPr="000E3B0C">
        <w:t xml:space="preserve">ad rámec </w:t>
      </w:r>
      <w:r w:rsidR="00005427" w:rsidRPr="000E3B0C">
        <w:t>této „všeobecné“ odpovědnosti</w:t>
      </w:r>
      <w:r w:rsidR="0045636E" w:rsidRPr="000E3B0C">
        <w:t xml:space="preserve"> jsou </w:t>
      </w:r>
      <w:r w:rsidR="00E850C6" w:rsidRPr="000E3B0C">
        <w:t xml:space="preserve">navíc příslušníky určitého specifického „stavovského“ </w:t>
      </w:r>
      <w:r w:rsidR="00106EB3" w:rsidRPr="000E3B0C">
        <w:t>společenství, které má vlastní vnitřní</w:t>
      </w:r>
      <w:r w:rsidR="00E850C6" w:rsidRPr="000E3B0C">
        <w:t xml:space="preserve"> </w:t>
      </w:r>
      <w:r w:rsidR="00355724" w:rsidRPr="000E3B0C">
        <w:t xml:space="preserve">právní </w:t>
      </w:r>
      <w:r w:rsidR="00E850C6" w:rsidRPr="000E3B0C">
        <w:t>normy regulující chování svých členů</w:t>
      </w:r>
      <w:r w:rsidR="00106EB3" w:rsidRPr="000E3B0C">
        <w:t xml:space="preserve"> (stanovující jim zvláštní práva a povinnosti)</w:t>
      </w:r>
      <w:r w:rsidR="00E850C6" w:rsidRPr="000E3B0C">
        <w:t xml:space="preserve">, jež mají oproti právním předpisům s univerzální působností dopad pouze na ně. Prizmatem </w:t>
      </w:r>
      <w:r w:rsidR="00355724" w:rsidRPr="000E3B0C">
        <w:t xml:space="preserve">sekulární právní teorie </w:t>
      </w:r>
      <w:r w:rsidR="00E850C6" w:rsidRPr="000E3B0C">
        <w:t>se tedy v přípa</w:t>
      </w:r>
      <w:r w:rsidR="00355724" w:rsidRPr="000E3B0C">
        <w:t>dě kanonického i kárného</w:t>
      </w:r>
      <w:r w:rsidR="00E850C6" w:rsidRPr="000E3B0C">
        <w:t xml:space="preserve"> </w:t>
      </w:r>
      <w:r w:rsidR="00220FCF" w:rsidRPr="000E3B0C">
        <w:t>soudcovské</w:t>
      </w:r>
      <w:r w:rsidR="00355724" w:rsidRPr="000E3B0C">
        <w:t>ho</w:t>
      </w:r>
      <w:r w:rsidR="00220FCF" w:rsidRPr="000E3B0C">
        <w:t xml:space="preserve"> </w:t>
      </w:r>
      <w:r w:rsidR="00355724" w:rsidRPr="000E3B0C">
        <w:t>práva</w:t>
      </w:r>
      <w:r w:rsidR="00E850C6" w:rsidRPr="000E3B0C">
        <w:t xml:space="preserve"> </w:t>
      </w:r>
      <w:r w:rsidR="0094653E" w:rsidRPr="000E3B0C">
        <w:t xml:space="preserve">jedná o </w:t>
      </w:r>
      <w:r w:rsidR="000C0FC9" w:rsidRPr="000E3B0C">
        <w:t>zvláštní</w:t>
      </w:r>
      <w:r w:rsidR="00106EB3" w:rsidRPr="000E3B0C">
        <w:t xml:space="preserve"> </w:t>
      </w:r>
      <w:r w:rsidR="00106EB3" w:rsidRPr="000E3B0C">
        <w:lastRenderedPageBreak/>
        <w:t xml:space="preserve">disciplinární </w:t>
      </w:r>
      <w:r w:rsidR="0094653E" w:rsidRPr="000E3B0C">
        <w:t xml:space="preserve">odpovědnost, jež </w:t>
      </w:r>
      <w:r w:rsidR="000C0FC9" w:rsidRPr="000E3B0C">
        <w:t xml:space="preserve">je </w:t>
      </w:r>
      <w:r w:rsidR="00254110" w:rsidRPr="000E3B0C">
        <w:t xml:space="preserve">zpravidla nezávislá a </w:t>
      </w:r>
      <w:r w:rsidR="0094653E" w:rsidRPr="000E3B0C">
        <w:t>mimoběžná s</w:t>
      </w:r>
      <w:r w:rsidR="00DC7504" w:rsidRPr="000E3B0C">
        <w:t> </w:t>
      </w:r>
      <w:r w:rsidR="00355724" w:rsidRPr="000E3B0C">
        <w:t>univerzální</w:t>
      </w:r>
      <w:r w:rsidR="00DC7504" w:rsidRPr="000E3B0C">
        <w:t xml:space="preserve"> trestní (případně správní) odpovědností. </w:t>
      </w:r>
      <w:r w:rsidR="00106EB3" w:rsidRPr="000E3B0C">
        <w:t xml:space="preserve">Klerici i soudci jsou </w:t>
      </w:r>
      <w:r w:rsidR="000C0FC9" w:rsidRPr="000E3B0C">
        <w:t xml:space="preserve">přitom </w:t>
      </w:r>
      <w:r w:rsidR="00106EB3" w:rsidRPr="000E3B0C">
        <w:t>za porušení</w:t>
      </w:r>
      <w:r w:rsidR="00451DD2" w:rsidRPr="000E3B0C">
        <w:t xml:space="preserve"> povinností stanovených </w:t>
      </w:r>
      <w:r w:rsidR="00355724" w:rsidRPr="000E3B0C">
        <w:t>jim</w:t>
      </w:r>
      <w:r w:rsidR="00106EB3" w:rsidRPr="000E3B0C">
        <w:t xml:space="preserve"> </w:t>
      </w:r>
      <w:r w:rsidR="00355724" w:rsidRPr="000E3B0C">
        <w:t>interními</w:t>
      </w:r>
      <w:r w:rsidR="00451DD2" w:rsidRPr="000E3B0C">
        <w:t xml:space="preserve"> normami</w:t>
      </w:r>
      <w:r w:rsidR="00106EB3" w:rsidRPr="000E3B0C">
        <w:t xml:space="preserve"> souzeni dle </w:t>
      </w:r>
      <w:r w:rsidR="000837FF" w:rsidRPr="000E3B0C">
        <w:t>vlastních</w:t>
      </w:r>
      <w:r w:rsidR="00451DD2" w:rsidRPr="000E3B0C">
        <w:t xml:space="preserve"> </w:t>
      </w:r>
      <w:r w:rsidR="000837FF" w:rsidRPr="000E3B0C">
        <w:t>procesních</w:t>
      </w:r>
      <w:r w:rsidR="00451DD2" w:rsidRPr="000E3B0C">
        <w:t xml:space="preserve"> předpisů, a to </w:t>
      </w:r>
      <w:r w:rsidR="009F5281" w:rsidRPr="000E3B0C">
        <w:t>víceméně svými</w:t>
      </w:r>
      <w:r w:rsidR="0078050C">
        <w:t xml:space="preserve"> „kolegy“</w:t>
      </w:r>
      <w:r w:rsidR="009F5281" w:rsidRPr="000E3B0C">
        <w:t>.</w:t>
      </w:r>
      <w:r w:rsidR="002035C8" w:rsidRPr="000E3B0C">
        <w:t xml:space="preserve"> Ostatně i </w:t>
      </w:r>
      <w:r w:rsidR="00775784" w:rsidRPr="000E3B0C">
        <w:t xml:space="preserve">Monika </w:t>
      </w:r>
      <w:proofErr w:type="spellStart"/>
      <w:r w:rsidR="00775784" w:rsidRPr="000E3B0C">
        <w:t>Menke</w:t>
      </w:r>
      <w:proofErr w:type="spellEnd"/>
      <w:r w:rsidR="00775784" w:rsidRPr="000E3B0C">
        <w:t xml:space="preserve"> uvádí, že z</w:t>
      </w:r>
      <w:r w:rsidR="00775784" w:rsidRPr="000E3B0C">
        <w:rPr>
          <w:rFonts w:cs="Garamond"/>
        </w:rPr>
        <w:t xml:space="preserve"> hlediska </w:t>
      </w:r>
      <w:r w:rsidR="000837FF" w:rsidRPr="000E3B0C">
        <w:rPr>
          <w:rFonts w:cs="Garamond"/>
        </w:rPr>
        <w:t>teorie práva</w:t>
      </w:r>
      <w:r w:rsidR="00775784" w:rsidRPr="000E3B0C">
        <w:rPr>
          <w:rFonts w:cs="Garamond"/>
        </w:rPr>
        <w:t xml:space="preserve"> se v případě </w:t>
      </w:r>
      <w:r w:rsidR="000837FF" w:rsidRPr="000E3B0C">
        <w:rPr>
          <w:rFonts w:cs="Garamond"/>
        </w:rPr>
        <w:t>kanonických trestních předpisů</w:t>
      </w:r>
      <w:r w:rsidR="00775784" w:rsidRPr="000E3B0C">
        <w:rPr>
          <w:rFonts w:cs="Garamond"/>
        </w:rPr>
        <w:t xml:space="preserve"> jedn</w:t>
      </w:r>
      <w:r w:rsidR="00626B3D" w:rsidRPr="000E3B0C">
        <w:rPr>
          <w:rFonts w:cs="Garamond"/>
        </w:rPr>
        <w:t>á</w:t>
      </w:r>
      <w:r w:rsidR="00775784" w:rsidRPr="000E3B0C">
        <w:rPr>
          <w:rFonts w:cs="Garamond"/>
        </w:rPr>
        <w:t xml:space="preserve"> o </w:t>
      </w:r>
      <w:r w:rsidR="000837FF" w:rsidRPr="000E3B0C">
        <w:rPr>
          <w:rFonts w:cs="Garamond"/>
        </w:rPr>
        <w:t xml:space="preserve">právo </w:t>
      </w:r>
      <w:r w:rsidR="00775784" w:rsidRPr="000E3B0C">
        <w:rPr>
          <w:rFonts w:cs="Garamond"/>
        </w:rPr>
        <w:t>disciplinární.</w:t>
      </w:r>
      <w:r w:rsidR="00775784" w:rsidRPr="000E3B0C">
        <w:rPr>
          <w:rStyle w:val="Znakapoznpodarou"/>
          <w:rFonts w:cs="Garamond"/>
        </w:rPr>
        <w:footnoteReference w:id="8"/>
      </w:r>
      <w:r w:rsidR="00111302" w:rsidRPr="000E3B0C">
        <w:rPr>
          <w:rFonts w:cs="Garamond"/>
        </w:rPr>
        <w:t xml:space="preserve"> Kanonické i kárné právo mají společné, že jimi střežený chráněný zájem </w:t>
      </w:r>
      <w:r w:rsidR="001A6965" w:rsidRPr="000E3B0C">
        <w:rPr>
          <w:rFonts w:cs="Garamond"/>
        </w:rPr>
        <w:t>spočívá</w:t>
      </w:r>
      <w:r w:rsidR="00111302" w:rsidRPr="000E3B0C">
        <w:rPr>
          <w:rFonts w:cs="Garamond"/>
        </w:rPr>
        <w:t xml:space="preserve"> v řádném fungování daného společenství.</w:t>
      </w:r>
    </w:p>
    <w:p w14:paraId="243D42D2" w14:textId="77777777" w:rsidR="00626B3D" w:rsidRPr="000E3B0C" w:rsidRDefault="00626B3D" w:rsidP="00626B3D"/>
    <w:p w14:paraId="5D3928B0" w14:textId="2C6FF915" w:rsidR="001A6965" w:rsidRPr="000E3B0C" w:rsidRDefault="00321EA5" w:rsidP="00160EE1">
      <w:r w:rsidRPr="000E3B0C">
        <w:t>Mou motivací</w:t>
      </w:r>
      <w:r w:rsidR="002E1099" w:rsidRPr="000E3B0C">
        <w:t xml:space="preserve"> k volbě tohoto</w:t>
      </w:r>
      <w:r w:rsidRPr="000E3B0C">
        <w:t xml:space="preserve"> poněkud atypického tématu je </w:t>
      </w:r>
      <w:r w:rsidR="00596E6C" w:rsidRPr="000E3B0C">
        <w:t>zejména</w:t>
      </w:r>
      <w:r w:rsidRPr="000E3B0C">
        <w:t xml:space="preserve"> </w:t>
      </w:r>
      <w:r w:rsidR="00547A84" w:rsidRPr="000E3B0C">
        <w:t xml:space="preserve">praktická zkušenost s kárným </w:t>
      </w:r>
      <w:r w:rsidR="002B1D3C" w:rsidRPr="000E3B0C">
        <w:t>řízení</w:t>
      </w:r>
      <w:r w:rsidR="00201508" w:rsidRPr="000E3B0C">
        <w:t>m</w:t>
      </w:r>
      <w:r w:rsidR="00547A84" w:rsidRPr="000E3B0C">
        <w:t xml:space="preserve"> </w:t>
      </w:r>
      <w:r w:rsidR="00201508" w:rsidRPr="000E3B0C">
        <w:t xml:space="preserve">ve věcech </w:t>
      </w:r>
      <w:r w:rsidR="00547A84" w:rsidRPr="000E3B0C">
        <w:t xml:space="preserve">soudců, </w:t>
      </w:r>
      <w:r w:rsidR="002E1099" w:rsidRPr="000E3B0C">
        <w:t>kterou</w:t>
      </w:r>
      <w:r w:rsidR="00547A84" w:rsidRPr="000E3B0C">
        <w:t xml:space="preserve"> jsem získal jako asistent předsedkyně kárného senátu; </w:t>
      </w:r>
      <w:r w:rsidR="002B1D3C" w:rsidRPr="000E3B0C">
        <w:t xml:space="preserve">z této pozice jsem se osobně účastnil </w:t>
      </w:r>
      <w:r w:rsidR="00201508" w:rsidRPr="000E3B0C">
        <w:t>projednání mnoha</w:t>
      </w:r>
      <w:r w:rsidR="002B1D3C" w:rsidRPr="000E3B0C">
        <w:t xml:space="preserve"> </w:t>
      </w:r>
      <w:r w:rsidR="00201508" w:rsidRPr="000E3B0C">
        <w:t>kárných návrhů, stejně jako vyhotovil celou řadu konceptů rozhodnutí</w:t>
      </w:r>
      <w:r w:rsidR="00DE2900" w:rsidRPr="000E3B0C">
        <w:t xml:space="preserve"> týkající se </w:t>
      </w:r>
      <w:r w:rsidR="002E1099" w:rsidRPr="000E3B0C">
        <w:t>dané</w:t>
      </w:r>
      <w:r w:rsidR="00DE2900" w:rsidRPr="000E3B0C">
        <w:t xml:space="preserve"> problematiky. Zároveň jsem </w:t>
      </w:r>
      <w:r w:rsidR="002E1099" w:rsidRPr="000E3B0C">
        <w:t xml:space="preserve">jako právník a věřící katolík </w:t>
      </w:r>
      <w:r w:rsidR="00DE2900" w:rsidRPr="000E3B0C">
        <w:t xml:space="preserve">ve veřejném prostoru velmi bedlivě sledoval informace o udělení kanonického napomenutí prof. Tomáši Halíkovi a prof. Tomáši Petráčkovi, </w:t>
      </w:r>
      <w:r w:rsidR="002E1099" w:rsidRPr="000E3B0C">
        <w:t>či</w:t>
      </w:r>
      <w:r w:rsidR="00DE2900" w:rsidRPr="000E3B0C">
        <w:t xml:space="preserve"> medializovaný případ </w:t>
      </w:r>
      <w:r w:rsidR="007E4AFF" w:rsidRPr="000E3B0C">
        <w:t>suspendování</w:t>
      </w:r>
      <w:r w:rsidR="00DE2900" w:rsidRPr="000E3B0C">
        <w:t xml:space="preserve"> trvalého jáhna </w:t>
      </w:r>
      <w:proofErr w:type="spellStart"/>
      <w:r w:rsidR="00DE2900" w:rsidRPr="000E3B0C">
        <w:t>ThLic</w:t>
      </w:r>
      <w:proofErr w:type="spellEnd"/>
      <w:r w:rsidR="00DE2900" w:rsidRPr="000E3B0C">
        <w:t xml:space="preserve">. Jaroslava </w:t>
      </w:r>
      <w:proofErr w:type="spellStart"/>
      <w:r w:rsidR="00DE2900" w:rsidRPr="000E3B0C">
        <w:t>Lormana</w:t>
      </w:r>
      <w:proofErr w:type="spellEnd"/>
      <w:r w:rsidR="00DE2900" w:rsidRPr="000E3B0C">
        <w:t xml:space="preserve">; ve všech těchto případech jsem přitom </w:t>
      </w:r>
      <w:r w:rsidR="002E1099" w:rsidRPr="000E3B0C">
        <w:t>nabyl dojmu</w:t>
      </w:r>
      <w:r w:rsidR="00DE2900" w:rsidRPr="000E3B0C">
        <w:t xml:space="preserve">, že </w:t>
      </w:r>
      <w:r w:rsidR="006B0C1C" w:rsidRPr="000E3B0C">
        <w:t>příslušná církevní autorita danou věc nezvládla buďto po odborné, nebo</w:t>
      </w:r>
      <w:r w:rsidR="00F21141">
        <w:t> </w:t>
      </w:r>
      <w:r w:rsidR="006B0C1C" w:rsidRPr="000E3B0C">
        <w:t xml:space="preserve">minimálně komunikační stránce. </w:t>
      </w:r>
      <w:r w:rsidR="00D2763E" w:rsidRPr="000E3B0C">
        <w:t>Současně</w:t>
      </w:r>
      <w:r w:rsidR="00201508" w:rsidRPr="000E3B0C">
        <w:t xml:space="preserve"> </w:t>
      </w:r>
      <w:r w:rsidR="00596E6C" w:rsidRPr="000E3B0C">
        <w:t xml:space="preserve">mám </w:t>
      </w:r>
      <w:r w:rsidR="00F21141">
        <w:t xml:space="preserve">přátelský </w:t>
      </w:r>
      <w:r w:rsidR="00596E6C" w:rsidRPr="000E3B0C">
        <w:t>vztah s</w:t>
      </w:r>
      <w:r w:rsidR="00872977">
        <w:t> </w:t>
      </w:r>
      <w:r w:rsidR="0069760A" w:rsidRPr="000E3B0C">
        <w:t xml:space="preserve">knězem </w:t>
      </w:r>
      <w:r w:rsidR="00DE2900" w:rsidRPr="000E3B0C">
        <w:t>ř</w:t>
      </w:r>
      <w:r w:rsidR="00596E6C" w:rsidRPr="000E3B0C">
        <w:t>ímskokatolické církve nevykonávajícím svou službu, přičemž především</w:t>
      </w:r>
      <w:r w:rsidR="0069760A" w:rsidRPr="000E3B0C">
        <w:t xml:space="preserve"> jeho životní </w:t>
      </w:r>
      <w:r w:rsidR="004749EA" w:rsidRPr="000E3B0C">
        <w:t>situace</w:t>
      </w:r>
      <w:r w:rsidR="0069760A" w:rsidRPr="000E3B0C">
        <w:t xml:space="preserve"> </w:t>
      </w:r>
      <w:r w:rsidR="004749EA" w:rsidRPr="000E3B0C">
        <w:t xml:space="preserve">a </w:t>
      </w:r>
      <w:r w:rsidR="00596E6C" w:rsidRPr="000E3B0C">
        <w:t xml:space="preserve">její naprosto nesrozumitelné a dle mého </w:t>
      </w:r>
      <w:proofErr w:type="spellStart"/>
      <w:r w:rsidR="00596E6C" w:rsidRPr="000E3B0C">
        <w:t>kanonickoprávní</w:t>
      </w:r>
      <w:proofErr w:type="spellEnd"/>
      <w:r w:rsidR="00596E6C" w:rsidRPr="000E3B0C">
        <w:t xml:space="preserve"> úpravě odporující řešení </w:t>
      </w:r>
      <w:r w:rsidR="0069760A" w:rsidRPr="000E3B0C">
        <w:t>mě přivedl</w:t>
      </w:r>
      <w:r w:rsidR="006B0C1C" w:rsidRPr="000E3B0C">
        <w:t>y</w:t>
      </w:r>
      <w:r w:rsidR="0069760A" w:rsidRPr="000E3B0C">
        <w:t xml:space="preserve"> k zájmu o jinak </w:t>
      </w:r>
      <w:proofErr w:type="gramStart"/>
      <w:r w:rsidR="0069760A" w:rsidRPr="000E3B0C">
        <w:t>běžnému</w:t>
      </w:r>
      <w:proofErr w:type="gramEnd"/>
      <w:r w:rsidR="0069760A" w:rsidRPr="000E3B0C">
        <w:t xml:space="preserve"> věřícímu-laikovi značně neznámou</w:t>
      </w:r>
      <w:r w:rsidR="006B0C1C" w:rsidRPr="000E3B0C">
        <w:t>,</w:t>
      </w:r>
      <w:r w:rsidR="0069760A" w:rsidRPr="000E3B0C">
        <w:t xml:space="preserve"> a </w:t>
      </w:r>
      <w:r w:rsidR="004749EA" w:rsidRPr="000E3B0C">
        <w:t xml:space="preserve">sám musím připustit </w:t>
      </w:r>
      <w:r w:rsidR="0069760A" w:rsidRPr="000E3B0C">
        <w:t>ne snadno pochopitelnou</w:t>
      </w:r>
      <w:r w:rsidR="006B0C1C" w:rsidRPr="000E3B0C">
        <w:t>,</w:t>
      </w:r>
      <w:r w:rsidR="004749EA" w:rsidRPr="000E3B0C">
        <w:rPr>
          <w:rStyle w:val="Znakapoznpodarou"/>
        </w:rPr>
        <w:footnoteReference w:id="9"/>
      </w:r>
      <w:r w:rsidR="0069760A" w:rsidRPr="000E3B0C">
        <w:t xml:space="preserve"> problematiku trestního práva v církvi. </w:t>
      </w:r>
      <w:r w:rsidR="00596E6C" w:rsidRPr="000E3B0C">
        <w:t>Byla napsána</w:t>
      </w:r>
      <w:r w:rsidR="00D2763E" w:rsidRPr="000E3B0C">
        <w:t xml:space="preserve"> řada akademických prací týkající</w:t>
      </w:r>
      <w:r w:rsidR="00596E6C" w:rsidRPr="000E3B0C">
        <w:t>ch</w:t>
      </w:r>
      <w:r w:rsidR="0078050C">
        <w:t xml:space="preserve"> se </w:t>
      </w:r>
      <w:r w:rsidR="00D2763E" w:rsidRPr="000E3B0C">
        <w:t>srovnání kanonického a sekulárního</w:t>
      </w:r>
      <w:r w:rsidR="00596E6C" w:rsidRPr="000E3B0C">
        <w:t xml:space="preserve"> trestního práva</w:t>
      </w:r>
      <w:r w:rsidR="00D2763E" w:rsidRPr="000E3B0C">
        <w:t>, komparaci s </w:t>
      </w:r>
      <w:r w:rsidR="00596E6C" w:rsidRPr="000E3B0C">
        <w:t xml:space="preserve">problematikou kárné odpovědnosti </w:t>
      </w:r>
      <w:r w:rsidR="00D2763E" w:rsidRPr="000E3B0C">
        <w:t xml:space="preserve">však </w:t>
      </w:r>
      <w:r w:rsidR="00596E6C" w:rsidRPr="000E3B0C">
        <w:t>shledávám zcela originální</w:t>
      </w:r>
      <w:r w:rsidR="00812461" w:rsidRPr="000E3B0C">
        <w:t xml:space="preserve">. </w:t>
      </w:r>
      <w:r w:rsidR="00596E6C" w:rsidRPr="000E3B0C">
        <w:t>Z</w:t>
      </w:r>
      <w:r w:rsidR="00812461" w:rsidRPr="000E3B0C">
        <w:t xml:space="preserve"> hlediska </w:t>
      </w:r>
      <w:r w:rsidR="00596E6C" w:rsidRPr="000E3B0C">
        <w:t>světského</w:t>
      </w:r>
      <w:r w:rsidR="00812461" w:rsidRPr="000E3B0C">
        <w:t xml:space="preserve"> práva </w:t>
      </w:r>
      <w:r w:rsidR="00596E6C" w:rsidRPr="000E3B0C">
        <w:t>se navíc</w:t>
      </w:r>
      <w:r w:rsidR="00812461" w:rsidRPr="000E3B0C">
        <w:t xml:space="preserve"> v</w:t>
      </w:r>
      <w:r w:rsidR="00596E6C" w:rsidRPr="000E3B0C">
        <w:t xml:space="preserve"> případě </w:t>
      </w:r>
      <w:r w:rsidR="00812461" w:rsidRPr="000E3B0C">
        <w:t xml:space="preserve">obou </w:t>
      </w:r>
      <w:r w:rsidR="00596E6C" w:rsidRPr="000E3B0C">
        <w:t>odvětví</w:t>
      </w:r>
      <w:r w:rsidR="00812461" w:rsidRPr="000E3B0C">
        <w:t xml:space="preserve"> jedná o značně marginální disciplíny, o nichž dle mého názoru nemá </w:t>
      </w:r>
      <w:r w:rsidR="00596E6C" w:rsidRPr="000E3B0C">
        <w:t xml:space="preserve">velkého povědomí ani </w:t>
      </w:r>
      <w:r w:rsidR="00812461" w:rsidRPr="000E3B0C">
        <w:t xml:space="preserve">širší právnická veřejnost; svědčí o tom </w:t>
      </w:r>
      <w:r w:rsidR="00596E6C" w:rsidRPr="000E3B0C">
        <w:t>ostatně</w:t>
      </w:r>
      <w:r w:rsidR="00812461" w:rsidRPr="000E3B0C">
        <w:t xml:space="preserve"> i fakt, že ke</w:t>
      </w:r>
      <w:r w:rsidR="00B6548D">
        <w:t> </w:t>
      </w:r>
      <w:r w:rsidR="00596E6C" w:rsidRPr="000E3B0C">
        <w:t>Kodexu kanonického práva</w:t>
      </w:r>
      <w:r w:rsidR="00596E6C" w:rsidRPr="000E3B0C">
        <w:rPr>
          <w:rStyle w:val="Znakapoznpodarou"/>
        </w:rPr>
        <w:footnoteReference w:id="10"/>
      </w:r>
      <w:r w:rsidR="00596E6C" w:rsidRPr="000E3B0C">
        <w:t xml:space="preserve"> </w:t>
      </w:r>
      <w:r w:rsidR="00812461" w:rsidRPr="000E3B0C">
        <w:t xml:space="preserve">ani </w:t>
      </w:r>
      <w:r w:rsidR="00711884" w:rsidRPr="000E3B0C">
        <w:t>kárnému řádu</w:t>
      </w:r>
      <w:r w:rsidR="001A6965" w:rsidRPr="000E3B0C">
        <w:rPr>
          <w:rStyle w:val="Znakapoznpodarou"/>
          <w:rFonts w:cs="Arial"/>
          <w:iCs/>
          <w:shd w:val="clear" w:color="auto" w:fill="FFFFFF"/>
        </w:rPr>
        <w:footnoteReference w:id="11"/>
      </w:r>
      <w:r w:rsidR="001A6965" w:rsidRPr="000E3B0C">
        <w:rPr>
          <w:rFonts w:cs="Arial"/>
          <w:iCs/>
          <w:shd w:val="clear" w:color="auto" w:fill="FFFFFF"/>
        </w:rPr>
        <w:t xml:space="preserve"> </w:t>
      </w:r>
      <w:r w:rsidR="001A6965" w:rsidRPr="000E3B0C">
        <w:t>nebyla vydána žádná česká komentářová literatura. Rád bych proto touto prací přispěl k jejich popularizaci.</w:t>
      </w:r>
    </w:p>
    <w:p w14:paraId="74DABCD4" w14:textId="77777777" w:rsidR="00321EA5" w:rsidRPr="000E3B0C" w:rsidRDefault="00321EA5" w:rsidP="00160EE1"/>
    <w:p w14:paraId="068B0981" w14:textId="1ED8F4DB" w:rsidR="005F6922" w:rsidRPr="000E3B0C" w:rsidRDefault="001A6965" w:rsidP="00160EE1">
      <w:pPr>
        <w:rPr>
          <w:rFonts w:cs="Arial"/>
          <w:iCs/>
          <w:shd w:val="clear" w:color="auto" w:fill="FFFFFF"/>
        </w:rPr>
      </w:pPr>
      <w:r w:rsidRPr="000E3B0C">
        <w:t>Vysoká a</w:t>
      </w:r>
      <w:r w:rsidR="00482DD7" w:rsidRPr="000E3B0C">
        <w:t xml:space="preserve">ktuálnost </w:t>
      </w:r>
      <w:r w:rsidRPr="000E3B0C">
        <w:t>zvoleného</w:t>
      </w:r>
      <w:r w:rsidR="00482DD7" w:rsidRPr="000E3B0C">
        <w:t xml:space="preserve"> tématu </w:t>
      </w:r>
      <w:r w:rsidRPr="000E3B0C">
        <w:t>tkví</w:t>
      </w:r>
      <w:r w:rsidR="00482DD7" w:rsidRPr="000E3B0C">
        <w:t xml:space="preserve"> v momentálně bohatě diskutovaných legislativních změnách v obou porovnávaných oblastech. V kanonickém trestním právu k nim </w:t>
      </w:r>
      <w:r w:rsidRPr="000E3B0C">
        <w:t>již</w:t>
      </w:r>
      <w:r w:rsidR="00482DD7" w:rsidRPr="000E3B0C">
        <w:t xml:space="preserve"> došlo novelizací </w:t>
      </w:r>
      <w:r w:rsidRPr="000E3B0C">
        <w:t xml:space="preserve">celé </w:t>
      </w:r>
      <w:r w:rsidR="008535AA" w:rsidRPr="000E3B0C">
        <w:t xml:space="preserve">VI. </w:t>
      </w:r>
      <w:r w:rsidR="00482DD7" w:rsidRPr="000E3B0C">
        <w:t>knihy Kodexu</w:t>
      </w:r>
      <w:r w:rsidRPr="000E3B0C">
        <w:t>; pokud jde o kárné</w:t>
      </w:r>
      <w:r w:rsidR="005F6922" w:rsidRPr="000E3B0C">
        <w:t xml:space="preserve"> řízení soudců, </w:t>
      </w:r>
      <w:r w:rsidR="005F6922" w:rsidRPr="000E3B0C">
        <w:rPr>
          <w:rFonts w:cs="Arial"/>
          <w:shd w:val="clear" w:color="auto" w:fill="FFFFFF"/>
        </w:rPr>
        <w:t xml:space="preserve">výborům Poslanecké </w:t>
      </w:r>
      <w:r w:rsidR="005F6922" w:rsidRPr="000E3B0C">
        <w:rPr>
          <w:rFonts w:cs="Arial"/>
          <w:shd w:val="clear" w:color="auto" w:fill="FFFFFF"/>
        </w:rPr>
        <w:lastRenderedPageBreak/>
        <w:t xml:space="preserve">Sněmovny byl </w:t>
      </w:r>
      <w:r w:rsidR="00F26B6A" w:rsidRPr="000E3B0C">
        <w:rPr>
          <w:rFonts w:cs="Arial"/>
          <w:shd w:val="clear" w:color="auto" w:fill="FFFFFF"/>
        </w:rPr>
        <w:t xml:space="preserve">po prvním čtení </w:t>
      </w:r>
      <w:r w:rsidR="005F6922" w:rsidRPr="000E3B0C">
        <w:rPr>
          <w:rFonts w:cs="Arial"/>
          <w:bCs/>
          <w:shd w:val="clear" w:color="auto" w:fill="FFFFFF"/>
        </w:rPr>
        <w:t>přikázán k projednání</w:t>
      </w:r>
      <w:r w:rsidR="005F6922" w:rsidRPr="000E3B0C">
        <w:rPr>
          <w:rFonts w:cs="Arial"/>
          <w:shd w:val="clear" w:color="auto" w:fill="FFFFFF"/>
        </w:rPr>
        <w:t xml:space="preserve"> návrh zákona </w:t>
      </w:r>
      <w:r w:rsidRPr="000E3B0C">
        <w:rPr>
          <w:rFonts w:cs="Arial"/>
          <w:shd w:val="clear" w:color="auto" w:fill="FFFFFF"/>
        </w:rPr>
        <w:t xml:space="preserve">podstatně </w:t>
      </w:r>
      <w:r w:rsidR="005F6922" w:rsidRPr="000E3B0C">
        <w:rPr>
          <w:rFonts w:cs="Arial"/>
          <w:shd w:val="clear" w:color="auto" w:fill="FFFFFF"/>
        </w:rPr>
        <w:t xml:space="preserve">novelizující </w:t>
      </w:r>
      <w:r w:rsidRPr="000E3B0C">
        <w:t>kárný řád</w:t>
      </w:r>
      <w:r w:rsidR="00220FCF" w:rsidRPr="000E3B0C">
        <w:rPr>
          <w:rFonts w:cs="Arial"/>
          <w:iCs/>
          <w:shd w:val="clear" w:color="auto" w:fill="FFFFFF"/>
        </w:rPr>
        <w:t>.</w:t>
      </w:r>
      <w:r w:rsidRPr="000E3B0C">
        <w:rPr>
          <w:rStyle w:val="Znakapoznpodarou"/>
          <w:rFonts w:cs="Arial"/>
          <w:shd w:val="clear" w:color="auto" w:fill="FFFFFF"/>
        </w:rPr>
        <w:footnoteReference w:id="12"/>
      </w:r>
      <w:r w:rsidR="00A445C4" w:rsidRPr="000E3B0C">
        <w:rPr>
          <w:rFonts w:cs="Arial"/>
          <w:iCs/>
          <w:shd w:val="clear" w:color="auto" w:fill="FFFFFF"/>
        </w:rPr>
        <w:t xml:space="preserve"> Oba typy odpovědnosti jsou </w:t>
      </w:r>
      <w:r w:rsidRPr="000E3B0C">
        <w:rPr>
          <w:rFonts w:cs="Arial"/>
          <w:iCs/>
          <w:shd w:val="clear" w:color="auto" w:fill="FFFFFF"/>
        </w:rPr>
        <w:t>zároveň</w:t>
      </w:r>
      <w:r w:rsidR="00A445C4" w:rsidRPr="000E3B0C">
        <w:rPr>
          <w:rFonts w:cs="Arial"/>
          <w:iCs/>
          <w:shd w:val="clear" w:color="auto" w:fill="FFFFFF"/>
        </w:rPr>
        <w:t xml:space="preserve"> </w:t>
      </w:r>
      <w:r w:rsidR="00A46496" w:rsidRPr="000E3B0C">
        <w:rPr>
          <w:rFonts w:cs="Arial"/>
          <w:iCs/>
          <w:shd w:val="clear" w:color="auto" w:fill="FFFFFF"/>
        </w:rPr>
        <w:t>v současné době v zorném úhlu veřejnosti. Justici je vytýkána její pomalost a drahost</w:t>
      </w:r>
      <w:r w:rsidR="00A445C4" w:rsidRPr="000E3B0C">
        <w:rPr>
          <w:rFonts w:cs="Arial"/>
          <w:iCs/>
          <w:shd w:val="clear" w:color="auto" w:fill="FFFFFF"/>
        </w:rPr>
        <w:t>,</w:t>
      </w:r>
      <w:r w:rsidR="00B577EB" w:rsidRPr="000E3B0C">
        <w:rPr>
          <w:rFonts w:cs="Arial"/>
          <w:iCs/>
          <w:shd w:val="clear" w:color="auto" w:fill="FFFFFF"/>
        </w:rPr>
        <w:t xml:space="preserve"> přičemž </w:t>
      </w:r>
      <w:r w:rsidR="00A46496" w:rsidRPr="000E3B0C">
        <w:rPr>
          <w:rFonts w:cs="Arial"/>
          <w:iCs/>
          <w:shd w:val="clear" w:color="auto" w:fill="FFFFFF"/>
        </w:rPr>
        <w:t xml:space="preserve">médii </w:t>
      </w:r>
      <w:r w:rsidR="00B577EB" w:rsidRPr="000E3B0C">
        <w:rPr>
          <w:rFonts w:cs="Arial"/>
          <w:iCs/>
          <w:shd w:val="clear" w:color="auto" w:fill="FFFFFF"/>
        </w:rPr>
        <w:t xml:space="preserve">jsou bedlivě sledována řízení se soudci </w:t>
      </w:r>
      <w:r w:rsidR="00294657" w:rsidRPr="000E3B0C">
        <w:rPr>
          <w:rFonts w:cs="Arial"/>
          <w:iCs/>
          <w:shd w:val="clear" w:color="auto" w:fill="FFFFFF"/>
        </w:rPr>
        <w:t>obviněnými</w:t>
      </w:r>
      <w:r w:rsidR="00B577EB" w:rsidRPr="000E3B0C">
        <w:rPr>
          <w:rFonts w:cs="Arial"/>
          <w:iCs/>
          <w:shd w:val="clear" w:color="auto" w:fill="FFFFFF"/>
        </w:rPr>
        <w:t xml:space="preserve"> </w:t>
      </w:r>
      <w:r w:rsidR="00A46496" w:rsidRPr="000E3B0C">
        <w:rPr>
          <w:rFonts w:cs="Arial"/>
          <w:iCs/>
          <w:shd w:val="clear" w:color="auto" w:fill="FFFFFF"/>
        </w:rPr>
        <w:t>z pracovních či osobnostních selhání. Také c</w:t>
      </w:r>
      <w:r w:rsidR="00A86FBC" w:rsidRPr="000E3B0C">
        <w:rPr>
          <w:rFonts w:cs="Arial"/>
          <w:iCs/>
          <w:shd w:val="clear" w:color="auto" w:fill="FFFFFF"/>
        </w:rPr>
        <w:t xml:space="preserve">írkev je </w:t>
      </w:r>
      <w:r w:rsidR="00294657" w:rsidRPr="000E3B0C">
        <w:rPr>
          <w:rFonts w:cs="Arial"/>
          <w:iCs/>
          <w:shd w:val="clear" w:color="auto" w:fill="FFFFFF"/>
        </w:rPr>
        <w:t xml:space="preserve">dnes více než kdy dříve </w:t>
      </w:r>
      <w:r w:rsidR="00A46496" w:rsidRPr="000E3B0C">
        <w:rPr>
          <w:rFonts w:cs="Arial"/>
          <w:iCs/>
          <w:shd w:val="clear" w:color="auto" w:fill="FFFFFF"/>
        </w:rPr>
        <w:t>pod</w:t>
      </w:r>
      <w:r w:rsidR="00B6548D">
        <w:rPr>
          <w:rFonts w:cs="Arial"/>
          <w:iCs/>
          <w:shd w:val="clear" w:color="auto" w:fill="FFFFFF"/>
        </w:rPr>
        <w:t> </w:t>
      </w:r>
      <w:r w:rsidR="00A46496" w:rsidRPr="000E3B0C">
        <w:rPr>
          <w:rFonts w:cs="Arial"/>
          <w:iCs/>
          <w:shd w:val="clear" w:color="auto" w:fill="FFFFFF"/>
        </w:rPr>
        <w:t>drobnohledem</w:t>
      </w:r>
      <w:r w:rsidR="00A86FBC" w:rsidRPr="000E3B0C">
        <w:rPr>
          <w:rFonts w:cs="Arial"/>
          <w:iCs/>
          <w:shd w:val="clear" w:color="auto" w:fill="FFFFFF"/>
        </w:rPr>
        <w:t xml:space="preserve"> ohledné své schopnosti </w:t>
      </w:r>
      <w:r w:rsidR="00294657" w:rsidRPr="000E3B0C">
        <w:rPr>
          <w:rFonts w:cs="Arial"/>
          <w:iCs/>
          <w:shd w:val="clear" w:color="auto" w:fill="FFFFFF"/>
        </w:rPr>
        <w:t>(</w:t>
      </w:r>
      <w:r w:rsidR="00A86FBC" w:rsidRPr="000E3B0C">
        <w:rPr>
          <w:rFonts w:cs="Arial"/>
          <w:iCs/>
          <w:shd w:val="clear" w:color="auto" w:fill="FFFFFF"/>
        </w:rPr>
        <w:t xml:space="preserve">a </w:t>
      </w:r>
      <w:r w:rsidR="00294657" w:rsidRPr="000E3B0C">
        <w:rPr>
          <w:rFonts w:cs="Arial"/>
          <w:iCs/>
          <w:shd w:val="clear" w:color="auto" w:fill="FFFFFF"/>
        </w:rPr>
        <w:t xml:space="preserve">možná především </w:t>
      </w:r>
      <w:r w:rsidR="00A86FBC" w:rsidRPr="000E3B0C">
        <w:rPr>
          <w:rFonts w:cs="Arial"/>
          <w:iCs/>
          <w:shd w:val="clear" w:color="auto" w:fill="FFFFFF"/>
        </w:rPr>
        <w:t>ochoty</w:t>
      </w:r>
      <w:r w:rsidR="00294657" w:rsidRPr="000E3B0C">
        <w:rPr>
          <w:rFonts w:cs="Arial"/>
          <w:iCs/>
          <w:shd w:val="clear" w:color="auto" w:fill="FFFFFF"/>
        </w:rPr>
        <w:t>)</w:t>
      </w:r>
      <w:r w:rsidR="00A86FBC" w:rsidRPr="000E3B0C">
        <w:rPr>
          <w:rFonts w:cs="Arial"/>
          <w:iCs/>
          <w:shd w:val="clear" w:color="auto" w:fill="FFFFFF"/>
        </w:rPr>
        <w:t xml:space="preserve"> vypořádávat se </w:t>
      </w:r>
      <w:r w:rsidR="00A46496" w:rsidRPr="000E3B0C">
        <w:rPr>
          <w:rFonts w:cs="Arial"/>
          <w:iCs/>
          <w:shd w:val="clear" w:color="auto" w:fill="FFFFFF"/>
        </w:rPr>
        <w:t>zejména se</w:t>
      </w:r>
      <w:r w:rsidR="00B6548D">
        <w:rPr>
          <w:rFonts w:cs="Arial"/>
          <w:iCs/>
          <w:shd w:val="clear" w:color="auto" w:fill="FFFFFF"/>
        </w:rPr>
        <w:t> </w:t>
      </w:r>
      <w:r w:rsidR="00A86FBC" w:rsidRPr="000E3B0C">
        <w:rPr>
          <w:rFonts w:cs="Arial"/>
          <w:iCs/>
          <w:shd w:val="clear" w:color="auto" w:fill="FFFFFF"/>
        </w:rPr>
        <w:t>sexuální</w:t>
      </w:r>
      <w:r w:rsidR="00294657" w:rsidRPr="000E3B0C">
        <w:rPr>
          <w:rFonts w:cs="Arial"/>
          <w:iCs/>
          <w:shd w:val="clear" w:color="auto" w:fill="FFFFFF"/>
        </w:rPr>
        <w:t>mi</w:t>
      </w:r>
      <w:r w:rsidR="00A86FBC" w:rsidRPr="000E3B0C">
        <w:rPr>
          <w:rFonts w:cs="Arial"/>
          <w:iCs/>
          <w:shd w:val="clear" w:color="auto" w:fill="FFFFFF"/>
        </w:rPr>
        <w:t xml:space="preserve"> delikty svých duchovních</w:t>
      </w:r>
      <w:r w:rsidR="00294657" w:rsidRPr="000E3B0C">
        <w:rPr>
          <w:rFonts w:cs="Arial"/>
          <w:iCs/>
          <w:shd w:val="clear" w:color="auto" w:fill="FFFFFF"/>
        </w:rPr>
        <w:t xml:space="preserve">; </w:t>
      </w:r>
      <w:r w:rsidR="00A46496" w:rsidRPr="000E3B0C">
        <w:rPr>
          <w:rFonts w:cs="Arial"/>
          <w:iCs/>
          <w:shd w:val="clear" w:color="auto" w:fill="FFFFFF"/>
        </w:rPr>
        <w:t>jim</w:t>
      </w:r>
      <w:r w:rsidR="00294657" w:rsidRPr="000E3B0C">
        <w:rPr>
          <w:rFonts w:cs="Arial"/>
          <w:iCs/>
          <w:shd w:val="clear" w:color="auto" w:fill="FFFFFF"/>
        </w:rPr>
        <w:t xml:space="preserve"> předcházet, efektivně je odhalovat, podezření na</w:t>
      </w:r>
      <w:r w:rsidR="00B6548D">
        <w:rPr>
          <w:rFonts w:cs="Arial"/>
          <w:iCs/>
          <w:shd w:val="clear" w:color="auto" w:fill="FFFFFF"/>
        </w:rPr>
        <w:t> </w:t>
      </w:r>
      <w:r w:rsidR="00294657" w:rsidRPr="000E3B0C">
        <w:rPr>
          <w:rFonts w:cs="Arial"/>
          <w:iCs/>
          <w:shd w:val="clear" w:color="auto" w:fill="FFFFFF"/>
        </w:rPr>
        <w:t xml:space="preserve">jejich spáchání vyšetřovat a </w:t>
      </w:r>
      <w:r w:rsidR="00A86FBC" w:rsidRPr="000E3B0C">
        <w:rPr>
          <w:rFonts w:cs="Arial"/>
          <w:iCs/>
          <w:shd w:val="clear" w:color="auto" w:fill="FFFFFF"/>
        </w:rPr>
        <w:t>případně</w:t>
      </w:r>
      <w:r w:rsidR="00294657" w:rsidRPr="000E3B0C">
        <w:rPr>
          <w:rFonts w:cs="Arial"/>
          <w:iCs/>
          <w:shd w:val="clear" w:color="auto" w:fill="FFFFFF"/>
        </w:rPr>
        <w:t xml:space="preserve"> je</w:t>
      </w:r>
      <w:r w:rsidR="00A86FBC" w:rsidRPr="000E3B0C">
        <w:rPr>
          <w:rFonts w:cs="Arial"/>
          <w:iCs/>
          <w:shd w:val="clear" w:color="auto" w:fill="FFFFFF"/>
        </w:rPr>
        <w:t xml:space="preserve"> </w:t>
      </w:r>
      <w:r w:rsidR="00294657" w:rsidRPr="000E3B0C">
        <w:rPr>
          <w:rFonts w:cs="Arial"/>
          <w:iCs/>
          <w:shd w:val="clear" w:color="auto" w:fill="FFFFFF"/>
        </w:rPr>
        <w:t xml:space="preserve">dostatečně účinným způsobem </w:t>
      </w:r>
      <w:r w:rsidR="00A86FBC" w:rsidRPr="000E3B0C">
        <w:rPr>
          <w:rFonts w:cs="Arial"/>
          <w:iCs/>
          <w:shd w:val="clear" w:color="auto" w:fill="FFFFFF"/>
        </w:rPr>
        <w:t>trestat.</w:t>
      </w:r>
    </w:p>
    <w:p w14:paraId="1EF85057" w14:textId="77777777" w:rsidR="00A445C4" w:rsidRPr="000E3B0C" w:rsidRDefault="00A445C4" w:rsidP="0056515A"/>
    <w:p w14:paraId="372ECF1B" w14:textId="2126E3B4" w:rsidR="00E92CB4" w:rsidRPr="000E3B0C" w:rsidRDefault="00E41255" w:rsidP="0056515A">
      <w:r w:rsidRPr="000E3B0C">
        <w:t>Metoda zprac</w:t>
      </w:r>
      <w:r w:rsidR="00C07CB7" w:rsidRPr="000E3B0C">
        <w:t xml:space="preserve">ování této práce spočívá v představení </w:t>
      </w:r>
      <w:r w:rsidR="00E92CB4" w:rsidRPr="000E3B0C">
        <w:t>vybraných partií obecné části pozitivní hmotněprávní úpravy obou typů odpovědnosti a jejich srovnání, případně poukázání na</w:t>
      </w:r>
      <w:r w:rsidR="00B6548D">
        <w:t> </w:t>
      </w:r>
      <w:r w:rsidR="00250CB7" w:rsidRPr="000E3B0C">
        <w:t>vzáj</w:t>
      </w:r>
      <w:r w:rsidR="00E92CB4" w:rsidRPr="000E3B0C">
        <w:t>emné</w:t>
      </w:r>
      <w:r w:rsidR="00250CB7" w:rsidRPr="000E3B0C">
        <w:t xml:space="preserve"> sh</w:t>
      </w:r>
      <w:r w:rsidR="00E92CB4" w:rsidRPr="000E3B0C">
        <w:t xml:space="preserve">ody a odlišnosti. </w:t>
      </w:r>
      <w:r w:rsidR="00CB7760" w:rsidRPr="000E3B0C">
        <w:t>V rozsahu, který je mi dán k dispozici, není samozřejmě možné provést vyčerpávající popis obou komparovaných odvětví, a proto se chci zaměřit primárně na</w:t>
      </w:r>
      <w:r w:rsidR="00B6548D">
        <w:t> </w:t>
      </w:r>
      <w:r w:rsidR="00CB7760" w:rsidRPr="000E3B0C">
        <w:t>jejich základní instituty</w:t>
      </w:r>
      <w:r w:rsidR="00E92CB4" w:rsidRPr="000E3B0C">
        <w:t xml:space="preserve"> a charakteristická specifika; p</w:t>
      </w:r>
      <w:r w:rsidR="00CB7760" w:rsidRPr="000E3B0C">
        <w:t>ráce nemá</w:t>
      </w:r>
      <w:r w:rsidR="00E92CB4" w:rsidRPr="000E3B0C">
        <w:t xml:space="preserve"> ambici</w:t>
      </w:r>
      <w:r w:rsidR="00CB7760" w:rsidRPr="000E3B0C">
        <w:t xml:space="preserve"> být komplexním představením novelizované úpr</w:t>
      </w:r>
      <w:r w:rsidR="00E92CB4" w:rsidRPr="000E3B0C">
        <w:t xml:space="preserve">avy kanonického trestního práva. Blíže se nebudu věnovat zvláštní části hmotného práva (tedy konkrétním deliktům), neboť v tomto ohledu se obě právní úpravy týkají natolik odlišných činností, že nemají mnoho společného. Naopak </w:t>
      </w:r>
      <w:r w:rsidR="00034096" w:rsidRPr="000E3B0C">
        <w:t xml:space="preserve">srovnání </w:t>
      </w:r>
      <w:r w:rsidR="00E92CB4" w:rsidRPr="000E3B0C">
        <w:t>procesní</w:t>
      </w:r>
      <w:r w:rsidR="00034096" w:rsidRPr="000E3B0C">
        <w:t xml:space="preserve">ho rámce, v němž jsou příslušné disciplinární odpovědnosti realizovány, by bylo podle mého soudu velmi plodné a nabízelo řadu podnětů pro úvahy </w:t>
      </w:r>
      <w:r w:rsidR="00034096" w:rsidRPr="000E3B0C">
        <w:rPr>
          <w:i/>
        </w:rPr>
        <w:t xml:space="preserve">de lege </w:t>
      </w:r>
      <w:proofErr w:type="spellStart"/>
      <w:r w:rsidR="00034096" w:rsidRPr="000E3B0C">
        <w:rPr>
          <w:i/>
        </w:rPr>
        <w:t>ferenda</w:t>
      </w:r>
      <w:proofErr w:type="spellEnd"/>
      <w:r w:rsidR="00034096" w:rsidRPr="000E3B0C">
        <w:t xml:space="preserve"> (ostatně právě kvůli této problema</w:t>
      </w:r>
      <w:r w:rsidR="006D7008" w:rsidRPr="000E3B0C">
        <w:t>tice jsem téma původně zvolil); pro již tak značnou rozsáhlost této práce to však nebylo možné nyní učinit. P</w:t>
      </w:r>
      <w:r w:rsidR="00034096" w:rsidRPr="000E3B0C">
        <w:t>ojednání o těchto otázkách bych rád připojil v rámci navazujícího zpracování magisterské diplomové práce.</w:t>
      </w:r>
    </w:p>
    <w:p w14:paraId="19CC0CD0" w14:textId="77777777" w:rsidR="00E92CB4" w:rsidRPr="000E3B0C" w:rsidRDefault="00E92CB4" w:rsidP="0056515A"/>
    <w:p w14:paraId="44143E69" w14:textId="3815B25D" w:rsidR="00137C4E" w:rsidRPr="000E3B0C" w:rsidRDefault="009A1C81" w:rsidP="00C40D4C">
      <w:r w:rsidRPr="000E3B0C">
        <w:t>V neposlední řadě bych rád z</w:t>
      </w:r>
      <w:r w:rsidR="003B6C58" w:rsidRPr="000E3B0C">
        <w:t xml:space="preserve">a odborné rady a cenné připomínky, kterými </w:t>
      </w:r>
      <w:r w:rsidR="00DA7BCD" w:rsidRPr="000E3B0C">
        <w:t xml:space="preserve">mi </w:t>
      </w:r>
      <w:r w:rsidR="003B6C58" w:rsidRPr="000E3B0C">
        <w:t>přispě</w:t>
      </w:r>
      <w:r w:rsidR="00C40D4C" w:rsidRPr="000E3B0C">
        <w:t>l k</w:t>
      </w:r>
      <w:r w:rsidR="00A31461" w:rsidRPr="000E3B0C">
        <w:t> </w:t>
      </w:r>
      <w:r w:rsidR="003B6C58" w:rsidRPr="000E3B0C">
        <w:t>vypracování</w:t>
      </w:r>
      <w:r w:rsidR="00C40D4C" w:rsidRPr="000E3B0C">
        <w:t xml:space="preserve"> této práce, </w:t>
      </w:r>
      <w:proofErr w:type="gramStart"/>
      <w:r w:rsidR="00C40D4C" w:rsidRPr="000E3B0C">
        <w:t>poděkoval</w:t>
      </w:r>
      <w:proofErr w:type="gramEnd"/>
      <w:r w:rsidR="00C40D4C" w:rsidRPr="000E3B0C">
        <w:t xml:space="preserve"> prof. </w:t>
      </w:r>
      <w:proofErr w:type="gramStart"/>
      <w:r w:rsidR="00C40D4C" w:rsidRPr="000E3B0C">
        <w:t>lic</w:t>
      </w:r>
      <w:proofErr w:type="gramEnd"/>
      <w:r w:rsidR="00C40D4C" w:rsidRPr="000E3B0C">
        <w:t>. Damiánu Němcovi, dr</w:t>
      </w:r>
      <w:r w:rsidR="00DA7BCD" w:rsidRPr="000E3B0C">
        <w:t xml:space="preserve">. Zároveň bych </w:t>
      </w:r>
      <w:r w:rsidRPr="000E3B0C">
        <w:t xml:space="preserve">chtěl vyjádřit vděčnost zesnulému prof. </w:t>
      </w:r>
      <w:r w:rsidR="00DA7BCD" w:rsidRPr="000E3B0C">
        <w:t>JUDr. Antonínu Ignáci Hrdinovi, DrSc. za „</w:t>
      </w:r>
      <w:r w:rsidRPr="000E3B0C">
        <w:t>osvětu</w:t>
      </w:r>
      <w:r w:rsidR="00DA7BCD" w:rsidRPr="000E3B0C">
        <w:t xml:space="preserve">“ </w:t>
      </w:r>
      <w:r w:rsidRPr="000E3B0C">
        <w:t xml:space="preserve">o </w:t>
      </w:r>
      <w:r w:rsidR="00DA7BCD" w:rsidRPr="000E3B0C">
        <w:t>kanonické</w:t>
      </w:r>
      <w:r w:rsidRPr="000E3B0C">
        <w:t>m právu</w:t>
      </w:r>
      <w:r w:rsidR="00DA7BCD" w:rsidRPr="000E3B0C">
        <w:t xml:space="preserve"> pro širší právnickou veřejnost, neboť to byly především jeho texty a publikace, které mi posloužily jako </w:t>
      </w:r>
      <w:r w:rsidRPr="000E3B0C">
        <w:t xml:space="preserve">vítané </w:t>
      </w:r>
      <w:r w:rsidR="00DA7BCD" w:rsidRPr="000E3B0C">
        <w:t xml:space="preserve">prameny ke zpracování té části práce, která se věnuje kanonickému trestnímu právu. </w:t>
      </w:r>
      <w:r w:rsidR="003B6C58" w:rsidRPr="000E3B0C">
        <w:t xml:space="preserve">Poděkování </w:t>
      </w:r>
      <w:r w:rsidR="00C40D4C" w:rsidRPr="000E3B0C">
        <w:t xml:space="preserve">za trpělivost a podporu </w:t>
      </w:r>
      <w:r w:rsidRPr="000E3B0C">
        <w:t xml:space="preserve">při psaní práce </w:t>
      </w:r>
      <w:r w:rsidR="00C40D4C" w:rsidRPr="000E3B0C">
        <w:t>dále patří mé manželce</w:t>
      </w:r>
      <w:r w:rsidR="00DF2F46" w:rsidRPr="000E3B0C">
        <w:t xml:space="preserve"> Barboře</w:t>
      </w:r>
      <w:r w:rsidR="00C40D4C" w:rsidRPr="000E3B0C">
        <w:t xml:space="preserve">, se kterou jsem celé studium </w:t>
      </w:r>
      <w:r w:rsidR="00DF2F46" w:rsidRPr="000E3B0C">
        <w:t xml:space="preserve">teologických nauk </w:t>
      </w:r>
      <w:r w:rsidRPr="000E3B0C">
        <w:t>abso</w:t>
      </w:r>
      <w:r w:rsidR="002035C8" w:rsidRPr="000E3B0C">
        <w:t>lvoval, a s níž snad dokončím i </w:t>
      </w:r>
      <w:r w:rsidRPr="000E3B0C">
        <w:t>studium následující.</w:t>
      </w:r>
    </w:p>
    <w:p w14:paraId="57AB1A7C" w14:textId="77777777" w:rsidR="00DA7BCD" w:rsidRPr="000E3B0C" w:rsidRDefault="00DA7BCD" w:rsidP="00C40D4C"/>
    <w:p w14:paraId="010C1A86" w14:textId="486247DE" w:rsidR="00771A12" w:rsidRDefault="00DA7BCD" w:rsidP="00771A12">
      <w:r w:rsidRPr="000E3B0C">
        <w:t>Práce je vypracována podl</w:t>
      </w:r>
      <w:r w:rsidR="00DF277D" w:rsidRPr="000E3B0C">
        <w:t>e právního stavu účinného k 1. 3</w:t>
      </w:r>
      <w:r w:rsidRPr="000E3B0C">
        <w:t>. 2023.</w:t>
      </w:r>
      <w:r w:rsidR="00771A12">
        <w:br w:type="page"/>
      </w:r>
    </w:p>
    <w:p w14:paraId="2E5A4BEC" w14:textId="58DBD78D" w:rsidR="00D05885" w:rsidRPr="000E3B0C" w:rsidRDefault="000514C5" w:rsidP="0078050C">
      <w:pPr>
        <w:pStyle w:val="Nadpis1"/>
        <w:numPr>
          <w:ilvl w:val="0"/>
          <w:numId w:val="3"/>
        </w:numPr>
      </w:pPr>
      <w:bookmarkStart w:id="7" w:name="_Toc130067372"/>
      <w:r w:rsidRPr="000E3B0C">
        <w:lastRenderedPageBreak/>
        <w:t xml:space="preserve">Představení </w:t>
      </w:r>
      <w:r w:rsidR="00617089" w:rsidRPr="000E3B0C">
        <w:t>porovnávaných odvětví</w:t>
      </w:r>
      <w:bookmarkEnd w:id="7"/>
    </w:p>
    <w:p w14:paraId="591F6377" w14:textId="48847240" w:rsidR="000514C5" w:rsidRPr="000E3B0C" w:rsidRDefault="000514C5" w:rsidP="00C22619">
      <w:pPr>
        <w:pStyle w:val="Nadpis2"/>
        <w:numPr>
          <w:ilvl w:val="1"/>
          <w:numId w:val="3"/>
        </w:numPr>
      </w:pPr>
      <w:bookmarkStart w:id="8" w:name="_Toc130067373"/>
      <w:r w:rsidRPr="000E3B0C">
        <w:t>Kanonické trestní právo</w:t>
      </w:r>
      <w:bookmarkEnd w:id="8"/>
    </w:p>
    <w:p w14:paraId="2437B80E" w14:textId="28D2BA68" w:rsidR="00E86D57" w:rsidRPr="000E3B0C" w:rsidRDefault="00147459" w:rsidP="00EC67D9">
      <w:r w:rsidRPr="000E3B0C">
        <w:t xml:space="preserve">Možnost vynucovat </w:t>
      </w:r>
      <w:r w:rsidR="00FE635D" w:rsidRPr="000E3B0C">
        <w:t>požadované</w:t>
      </w:r>
      <w:r w:rsidRPr="000E3B0C">
        <w:t xml:space="preserve"> chování adresátů právních norem za pomoci hrozby určitých sankcí patří k pojmovým znakům každého právního systému a nejinak je tomu také v kanonickém právu.</w:t>
      </w:r>
      <w:r w:rsidRPr="000E3B0C">
        <w:rPr>
          <w:vertAlign w:val="superscript"/>
        </w:rPr>
        <w:footnoteReference w:id="13"/>
      </w:r>
      <w:r w:rsidR="00FE635D" w:rsidRPr="000E3B0C">
        <w:t xml:space="preserve"> I tento právní systém</w:t>
      </w:r>
      <w:r w:rsidRPr="000E3B0C">
        <w:t xml:space="preserve"> obsahuje </w:t>
      </w:r>
      <w:r w:rsidR="00E62C72" w:rsidRPr="000E3B0C">
        <w:t>předpisy</w:t>
      </w:r>
      <w:r w:rsidRPr="000E3B0C">
        <w:t xml:space="preserve"> m</w:t>
      </w:r>
      <w:r w:rsidR="00E62C72" w:rsidRPr="000E3B0C">
        <w:t>ající</w:t>
      </w:r>
      <w:r w:rsidRPr="000E3B0C">
        <w:t xml:space="preserve"> trestní charakter, jež orgánům</w:t>
      </w:r>
      <w:r w:rsidR="0055429D" w:rsidRPr="000E3B0C">
        <w:t xml:space="preserve"> </w:t>
      </w:r>
      <w:r w:rsidRPr="000E3B0C">
        <w:t>církve</w:t>
      </w:r>
      <w:r w:rsidR="0055429D" w:rsidRPr="000E3B0C">
        <w:t xml:space="preserve"> </w:t>
      </w:r>
      <w:r w:rsidRPr="000E3B0C">
        <w:t>umožňuj</w:t>
      </w:r>
      <w:r w:rsidR="00E62C72" w:rsidRPr="000E3B0C">
        <w:t>í</w:t>
      </w:r>
      <w:r w:rsidRPr="000E3B0C">
        <w:t xml:space="preserve"> </w:t>
      </w:r>
      <w:r w:rsidR="00E62C72" w:rsidRPr="000E3B0C">
        <w:t xml:space="preserve">ukládat </w:t>
      </w:r>
      <w:r w:rsidR="005E2AC3" w:rsidRPr="000E3B0C">
        <w:t>svým</w:t>
      </w:r>
      <w:r w:rsidRPr="000E3B0C">
        <w:t xml:space="preserve"> členům</w:t>
      </w:r>
      <w:r w:rsidR="0055429D" w:rsidRPr="000E3B0C">
        <w:t xml:space="preserve"> </w:t>
      </w:r>
      <w:r w:rsidR="00FE635D" w:rsidRPr="000E3B0C">
        <w:t>postihy</w:t>
      </w:r>
      <w:r w:rsidR="0055429D" w:rsidRPr="000E3B0C">
        <w:t xml:space="preserve"> za </w:t>
      </w:r>
      <w:r w:rsidR="00FE635D" w:rsidRPr="000E3B0C">
        <w:t>spáchání</w:t>
      </w:r>
      <w:r w:rsidR="0055429D" w:rsidRPr="000E3B0C">
        <w:t xml:space="preserve"> </w:t>
      </w:r>
      <w:r w:rsidR="005E2AC3" w:rsidRPr="000E3B0C">
        <w:t>v kanonickém</w:t>
      </w:r>
      <w:r w:rsidR="00E62C72" w:rsidRPr="000E3B0C">
        <w:t xml:space="preserve"> </w:t>
      </w:r>
      <w:r w:rsidR="005E2AC3" w:rsidRPr="000E3B0C">
        <w:t>trestním zákoně vymezeného protiprávního jednání</w:t>
      </w:r>
      <w:r w:rsidR="00E62C72" w:rsidRPr="000E3B0C">
        <w:t>.</w:t>
      </w:r>
      <w:r w:rsidR="00E62C72" w:rsidRPr="000E3B0C">
        <w:rPr>
          <w:vertAlign w:val="superscript"/>
        </w:rPr>
        <w:footnoteReference w:id="14"/>
      </w:r>
      <w:r w:rsidR="00E62C72" w:rsidRPr="000E3B0C">
        <w:t xml:space="preserve"> Církev </w:t>
      </w:r>
      <w:r w:rsidR="00FE635D" w:rsidRPr="000E3B0C">
        <w:t>tedy</w:t>
      </w:r>
      <w:r w:rsidR="00E62C72" w:rsidRPr="000E3B0C">
        <w:t xml:space="preserve"> má </w:t>
      </w:r>
      <w:r w:rsidR="00247FD9" w:rsidRPr="000E3B0C">
        <w:rPr>
          <w:i/>
        </w:rPr>
        <w:t>„</w:t>
      </w:r>
      <w:r w:rsidR="00E62C72" w:rsidRPr="000E3B0C">
        <w:rPr>
          <w:i/>
        </w:rPr>
        <w:t>vrozené a vlastní právo trestat věřící, kteří spáchali trestné činy</w:t>
      </w:r>
      <w:r w:rsidR="00247FD9" w:rsidRPr="000E3B0C">
        <w:rPr>
          <w:i/>
        </w:rPr>
        <w:t>“</w:t>
      </w:r>
      <w:r w:rsidR="00FE635D" w:rsidRPr="000E3B0C">
        <w:t>.</w:t>
      </w:r>
      <w:r w:rsidR="00E62C72" w:rsidRPr="000E3B0C">
        <w:rPr>
          <w:vertAlign w:val="superscript"/>
        </w:rPr>
        <w:footnoteReference w:id="15"/>
      </w:r>
      <w:r w:rsidR="0056748A" w:rsidRPr="000E3B0C">
        <w:t xml:space="preserve"> </w:t>
      </w:r>
      <w:r w:rsidR="00FE635D" w:rsidRPr="000E3B0C">
        <w:t>Jejím</w:t>
      </w:r>
      <w:r w:rsidR="0056748A" w:rsidRPr="000E3B0C">
        <w:t xml:space="preserve"> představným je </w:t>
      </w:r>
      <w:r w:rsidR="00FE635D" w:rsidRPr="000E3B0C">
        <w:t xml:space="preserve">zároveň </w:t>
      </w:r>
      <w:r w:rsidR="0056748A" w:rsidRPr="000E3B0C">
        <w:t xml:space="preserve">stanovena povinnost zajistit ochranu celého společenství církve i jejích jednotlivců nejen </w:t>
      </w:r>
      <w:r w:rsidR="0056748A" w:rsidRPr="000E3B0C">
        <w:rPr>
          <w:i/>
        </w:rPr>
        <w:t>„pastorační láskou, životním příkladem, radou či</w:t>
      </w:r>
      <w:r w:rsidR="00B6548D">
        <w:rPr>
          <w:i/>
        </w:rPr>
        <w:t> </w:t>
      </w:r>
      <w:r w:rsidR="0056748A" w:rsidRPr="000E3B0C">
        <w:rPr>
          <w:i/>
        </w:rPr>
        <w:t>napomenutím“</w:t>
      </w:r>
      <w:r w:rsidR="0056748A" w:rsidRPr="000E3B0C">
        <w:t xml:space="preserve">, ale také, je-li to potřeba, </w:t>
      </w:r>
      <w:r w:rsidR="0056748A" w:rsidRPr="000E3B0C">
        <w:rPr>
          <w:i/>
        </w:rPr>
        <w:t>„ukládáním nebo vyhlášením t</w:t>
      </w:r>
      <w:r w:rsidR="00FE635D" w:rsidRPr="000E3B0C">
        <w:rPr>
          <w:i/>
        </w:rPr>
        <w:t>restů podle zákonných předpisů,</w:t>
      </w:r>
      <w:r w:rsidR="0056748A" w:rsidRPr="000E3B0C">
        <w:rPr>
          <w:i/>
        </w:rPr>
        <w:t xml:space="preserve"> vždy za použití kanonické umírněnosti (ekvity) a s ohledem na obnovu spravedlnosti, nápravu pachatele a</w:t>
      </w:r>
      <w:r w:rsidR="00B6548D">
        <w:rPr>
          <w:i/>
        </w:rPr>
        <w:t> </w:t>
      </w:r>
      <w:r w:rsidR="0056748A" w:rsidRPr="000E3B0C">
        <w:rPr>
          <w:i/>
        </w:rPr>
        <w:t>odstranění pohoršení“</w:t>
      </w:r>
      <w:r w:rsidR="0056748A" w:rsidRPr="000E3B0C">
        <w:t>.</w:t>
      </w:r>
      <w:r w:rsidR="0056748A" w:rsidRPr="000E3B0C">
        <w:rPr>
          <w:vertAlign w:val="superscript"/>
        </w:rPr>
        <w:footnoteReference w:id="16"/>
      </w:r>
      <w:r w:rsidR="00AB6FC7" w:rsidRPr="000E3B0C">
        <w:t xml:space="preserve"> </w:t>
      </w:r>
      <w:r w:rsidR="00E80F7E" w:rsidRPr="000E3B0C">
        <w:t xml:space="preserve">Jelikož </w:t>
      </w:r>
      <w:r w:rsidR="00FE635D" w:rsidRPr="000E3B0C">
        <w:t>kanonické</w:t>
      </w:r>
      <w:r w:rsidR="00AB6FC7" w:rsidRPr="000E3B0C">
        <w:t xml:space="preserve"> právo ukládá</w:t>
      </w:r>
      <w:r w:rsidR="00AB6FC7" w:rsidRPr="000E3B0C">
        <w:rPr>
          <w:rFonts w:cs="Garamond"/>
        </w:rPr>
        <w:t xml:space="preserve"> </w:t>
      </w:r>
      <w:r w:rsidR="00E80F7E" w:rsidRPr="000E3B0C">
        <w:t>n</w:t>
      </w:r>
      <w:r w:rsidR="00E80F7E" w:rsidRPr="000E3B0C">
        <w:rPr>
          <w:rFonts w:cs="Garamond"/>
        </w:rPr>
        <w:t xml:space="preserve">ejvíce povinností klerikům, byli to </w:t>
      </w:r>
      <w:r w:rsidR="00AB6FC7" w:rsidRPr="000E3B0C">
        <w:t xml:space="preserve">historicky právě oni, kteří </w:t>
      </w:r>
      <w:r w:rsidR="00FE635D" w:rsidRPr="000E3B0C">
        <w:rPr>
          <w:rFonts w:cs="Garamond"/>
        </w:rPr>
        <w:t>kvůli</w:t>
      </w:r>
      <w:r w:rsidR="00AB6FC7" w:rsidRPr="000E3B0C">
        <w:rPr>
          <w:rFonts w:cs="Garamond"/>
        </w:rPr>
        <w:t xml:space="preserve"> jejich neplnění</w:t>
      </w:r>
      <w:r w:rsidR="00AB6FC7" w:rsidRPr="000E3B0C">
        <w:t xml:space="preserve"> </w:t>
      </w:r>
      <w:r w:rsidR="00E80F7E" w:rsidRPr="000E3B0C">
        <w:rPr>
          <w:rFonts w:cs="Garamond"/>
        </w:rPr>
        <w:t>nejčast</w:t>
      </w:r>
      <w:r w:rsidR="00AB6FC7" w:rsidRPr="000E3B0C">
        <w:t>ěji stáli na lavici obžalovaných</w:t>
      </w:r>
      <w:r w:rsidR="00FE635D" w:rsidRPr="000E3B0C">
        <w:t xml:space="preserve"> před</w:t>
      </w:r>
      <w:r w:rsidR="00B6548D">
        <w:t> </w:t>
      </w:r>
      <w:r w:rsidR="00FE635D" w:rsidRPr="000E3B0C">
        <w:t>církevním soudem; i </w:t>
      </w:r>
      <w:r w:rsidR="00AB6FC7" w:rsidRPr="000E3B0C">
        <w:t>v dnešní době přitom k</w:t>
      </w:r>
      <w:r w:rsidR="00E80F7E" w:rsidRPr="000E3B0C">
        <w:rPr>
          <w:rFonts w:cs="Garamond"/>
        </w:rPr>
        <w:t xml:space="preserve">lerici a řeholníci přestavují </w:t>
      </w:r>
      <w:r w:rsidR="00FE635D" w:rsidRPr="000E3B0C">
        <w:rPr>
          <w:rFonts w:cs="Garamond"/>
        </w:rPr>
        <w:t xml:space="preserve">dle </w:t>
      </w:r>
      <w:r w:rsidR="00FE635D" w:rsidRPr="000E3B0C">
        <w:t xml:space="preserve">Antonína Hrdiny </w:t>
      </w:r>
      <w:r w:rsidR="00E80F7E" w:rsidRPr="000E3B0C">
        <w:rPr>
          <w:rFonts w:cs="Garamond"/>
        </w:rPr>
        <w:t>drtivou většinu</w:t>
      </w:r>
      <w:r w:rsidR="00AB6FC7" w:rsidRPr="000E3B0C">
        <w:t xml:space="preserve"> </w:t>
      </w:r>
      <w:r w:rsidR="00FE635D" w:rsidRPr="000E3B0C">
        <w:t>všech trestaných</w:t>
      </w:r>
      <w:r w:rsidR="00AB6FC7" w:rsidRPr="000E3B0C">
        <w:t xml:space="preserve"> podle kanonického práva</w:t>
      </w:r>
      <w:r w:rsidR="00E80F7E" w:rsidRPr="000E3B0C">
        <w:rPr>
          <w:rFonts w:cs="Garamond"/>
        </w:rPr>
        <w:t>, třeba</w:t>
      </w:r>
      <w:r w:rsidR="00FE635D" w:rsidRPr="000E3B0C">
        <w:rPr>
          <w:rFonts w:cs="Garamond"/>
        </w:rPr>
        <w:t>že</w:t>
      </w:r>
      <w:r w:rsidR="00E80F7E" w:rsidRPr="000E3B0C">
        <w:rPr>
          <w:rFonts w:cs="Garamond"/>
        </w:rPr>
        <w:t xml:space="preserve"> ocitnout se před</w:t>
      </w:r>
      <w:r w:rsidR="00B6548D">
        <w:rPr>
          <w:rFonts w:cs="Garamond"/>
        </w:rPr>
        <w:t> </w:t>
      </w:r>
      <w:r w:rsidR="00E80F7E" w:rsidRPr="000E3B0C">
        <w:rPr>
          <w:rFonts w:cs="Garamond"/>
        </w:rPr>
        <w:t xml:space="preserve">trestním senátem církevního soudu může zásadně každý </w:t>
      </w:r>
      <w:r w:rsidR="00E80F7E" w:rsidRPr="000E3B0C">
        <w:t xml:space="preserve">katolický křesťan, tedy </w:t>
      </w:r>
      <w:r w:rsidR="007D514A" w:rsidRPr="000E3B0C">
        <w:t xml:space="preserve">nejen klerik, ale </w:t>
      </w:r>
      <w:r w:rsidR="00E80F7E" w:rsidRPr="000E3B0C">
        <w:t>i laik.</w:t>
      </w:r>
      <w:r w:rsidR="00E80F7E" w:rsidRPr="000E3B0C">
        <w:rPr>
          <w:rStyle w:val="Znakapoznpodarou"/>
        </w:rPr>
        <w:footnoteReference w:id="17"/>
      </w:r>
      <w:r w:rsidR="00AB6FC7" w:rsidRPr="000E3B0C">
        <w:t xml:space="preserve"> </w:t>
      </w:r>
      <w:r w:rsidR="00514573" w:rsidRPr="000E3B0C">
        <w:t xml:space="preserve">Hrdina </w:t>
      </w:r>
      <w:r w:rsidR="00407698" w:rsidRPr="000E3B0C">
        <w:t>ovšem</w:t>
      </w:r>
      <w:r w:rsidR="00514573" w:rsidRPr="000E3B0C">
        <w:t xml:space="preserve"> </w:t>
      </w:r>
      <w:r w:rsidR="00AB6FC7" w:rsidRPr="000E3B0C">
        <w:t xml:space="preserve">zároveň </w:t>
      </w:r>
      <w:r w:rsidR="00514573" w:rsidRPr="000E3B0C">
        <w:t xml:space="preserve">připouští, že církev </w:t>
      </w:r>
      <w:r w:rsidR="007D514A" w:rsidRPr="000E3B0C">
        <w:t xml:space="preserve">v současnosti užívá </w:t>
      </w:r>
      <w:r w:rsidR="00514573" w:rsidRPr="000E3B0C">
        <w:t>trestní právo jen velmi nerada a v praxi relativně zřídka.</w:t>
      </w:r>
      <w:r w:rsidR="00514573" w:rsidRPr="000E3B0C">
        <w:rPr>
          <w:rStyle w:val="Znakapoznpodarou"/>
        </w:rPr>
        <w:footnoteReference w:id="18"/>
      </w:r>
    </w:p>
    <w:p w14:paraId="089CB32D" w14:textId="77777777" w:rsidR="00E15A69" w:rsidRPr="000E3B0C" w:rsidRDefault="00E15A69" w:rsidP="00EC67D9"/>
    <w:p w14:paraId="7E9280C3" w14:textId="3C4F6FB8" w:rsidR="00EC67D9" w:rsidRPr="000E3B0C" w:rsidRDefault="007D514A" w:rsidP="00EC67D9">
      <w:pPr>
        <w:rPr>
          <w:rFonts w:cs="Garamond"/>
        </w:rPr>
      </w:pPr>
      <w:r w:rsidRPr="000E3B0C">
        <w:t>Taktéž dle</w:t>
      </w:r>
      <w:r w:rsidR="00E86D57" w:rsidRPr="000E3B0C">
        <w:t xml:space="preserve"> Libora Botka</w:t>
      </w:r>
      <w:r w:rsidR="00E86D57" w:rsidRPr="000E3B0C">
        <w:rPr>
          <w:rFonts w:cs="Garamond"/>
        </w:rPr>
        <w:t xml:space="preserve"> tvoří trestní právo v kanonickém právu </w:t>
      </w:r>
      <w:r w:rsidRPr="000E3B0C">
        <w:rPr>
          <w:rFonts w:cs="Garamond"/>
        </w:rPr>
        <w:t>spíše okrajovou záležitost. D</w:t>
      </w:r>
      <w:r w:rsidR="006D7008" w:rsidRPr="000E3B0C">
        <w:rPr>
          <w:rFonts w:cs="Garamond"/>
        </w:rPr>
        <w:t>le </w:t>
      </w:r>
      <w:r w:rsidR="00E86D57" w:rsidRPr="000E3B0C">
        <w:rPr>
          <w:rFonts w:cs="Garamond"/>
        </w:rPr>
        <w:t xml:space="preserve">něj to odpovídá pojetí církve jako společenství lidí, kteří se snaží následovat morální ideály hlásané Ježíšem Kristem, pro které se svobodně nadchli, a </w:t>
      </w:r>
      <w:r w:rsidRPr="000E3B0C">
        <w:rPr>
          <w:rFonts w:cs="Garamond"/>
        </w:rPr>
        <w:t xml:space="preserve">proto se </w:t>
      </w:r>
      <w:r w:rsidR="00E86D57" w:rsidRPr="000E3B0C">
        <w:rPr>
          <w:rFonts w:cs="Garamond"/>
        </w:rPr>
        <w:t xml:space="preserve">nepředpokládá jejich masové porušování. </w:t>
      </w:r>
      <w:r w:rsidRPr="000E3B0C">
        <w:rPr>
          <w:rFonts w:cs="Garamond"/>
        </w:rPr>
        <w:t xml:space="preserve">Církev se v </w:t>
      </w:r>
      <w:r w:rsidR="00E86D57" w:rsidRPr="000E3B0C">
        <w:rPr>
          <w:rFonts w:cs="Garamond"/>
        </w:rPr>
        <w:t>trestním právu omezuje na oc</w:t>
      </w:r>
      <w:r w:rsidR="002035C8" w:rsidRPr="000E3B0C">
        <w:rPr>
          <w:rFonts w:cs="Garamond"/>
        </w:rPr>
        <w:t>hranu hodnot, které považuje za </w:t>
      </w:r>
      <w:r w:rsidR="00E86D57" w:rsidRPr="000E3B0C">
        <w:rPr>
          <w:rFonts w:cs="Garamond"/>
        </w:rPr>
        <w:t>principiální vzhledem ke svému posl</w:t>
      </w:r>
      <w:r w:rsidRPr="000E3B0C">
        <w:rPr>
          <w:rFonts w:cs="Garamond"/>
        </w:rPr>
        <w:t>ání a naplňování svých ideálů. T</w:t>
      </w:r>
      <w:r w:rsidR="00E86D57" w:rsidRPr="000E3B0C">
        <w:rPr>
          <w:rFonts w:cs="Garamond"/>
        </w:rPr>
        <w:t xml:space="preserve">resty, jimiž postihuje </w:t>
      </w:r>
      <w:r w:rsidRPr="000E3B0C">
        <w:rPr>
          <w:rFonts w:cs="Garamond"/>
        </w:rPr>
        <w:t>spáchání jí vymezených</w:t>
      </w:r>
      <w:r w:rsidR="00E86D57" w:rsidRPr="000E3B0C">
        <w:rPr>
          <w:rFonts w:cs="Garamond"/>
        </w:rPr>
        <w:t xml:space="preserve"> </w:t>
      </w:r>
      <w:r w:rsidRPr="000E3B0C">
        <w:rPr>
          <w:rFonts w:cs="Garamond"/>
        </w:rPr>
        <w:t>skutků</w:t>
      </w:r>
      <w:r w:rsidR="00E86D57" w:rsidRPr="000E3B0C">
        <w:rPr>
          <w:rFonts w:cs="Garamond"/>
        </w:rPr>
        <w:t>, se týkají hodnot, které mají význam pro vě</w:t>
      </w:r>
      <w:r w:rsidRPr="000E3B0C">
        <w:rPr>
          <w:rFonts w:cs="Garamond"/>
        </w:rPr>
        <w:t xml:space="preserve">řícího člověka; </w:t>
      </w:r>
      <w:r w:rsidR="00E86D57" w:rsidRPr="000E3B0C">
        <w:rPr>
          <w:rFonts w:cs="Garamond"/>
        </w:rPr>
        <w:t>jejich vymahatelnost je v</w:t>
      </w:r>
      <w:r w:rsidRPr="000E3B0C">
        <w:rPr>
          <w:rFonts w:cs="Garamond"/>
        </w:rPr>
        <w:t>šak v</w:t>
      </w:r>
      <w:r w:rsidR="00E86D57" w:rsidRPr="000E3B0C">
        <w:rPr>
          <w:rFonts w:cs="Garamond"/>
        </w:rPr>
        <w:t xml:space="preserve"> mnoha případech svázána </w:t>
      </w:r>
      <w:r w:rsidRPr="000E3B0C">
        <w:rPr>
          <w:rFonts w:cs="Garamond"/>
        </w:rPr>
        <w:t xml:space="preserve">pouze </w:t>
      </w:r>
      <w:r w:rsidR="00E86D57" w:rsidRPr="000E3B0C">
        <w:rPr>
          <w:rFonts w:cs="Garamond"/>
        </w:rPr>
        <w:t xml:space="preserve">se svědomím </w:t>
      </w:r>
      <w:r w:rsidRPr="000E3B0C">
        <w:rPr>
          <w:rFonts w:cs="Garamond"/>
        </w:rPr>
        <w:t xml:space="preserve">potrestaného </w:t>
      </w:r>
      <w:r w:rsidR="00E86D57" w:rsidRPr="000E3B0C">
        <w:rPr>
          <w:rFonts w:cs="Garamond"/>
        </w:rPr>
        <w:t>věřícího.</w:t>
      </w:r>
      <w:r w:rsidR="00E86D57" w:rsidRPr="000E3B0C">
        <w:rPr>
          <w:rStyle w:val="Znakapoznpodarou"/>
          <w:rFonts w:cs="Garamond"/>
        </w:rPr>
        <w:footnoteReference w:id="19"/>
      </w:r>
      <w:r w:rsidR="00E86D57" w:rsidRPr="000E3B0C">
        <w:rPr>
          <w:rFonts w:cs="Garamond"/>
        </w:rPr>
        <w:t xml:space="preserve"> </w:t>
      </w:r>
      <w:r w:rsidR="004A6EAE" w:rsidRPr="000E3B0C">
        <w:t xml:space="preserve">Církevní trestní sankce přitom mohou představovat závažnou újmu v životě věřících, neboť </w:t>
      </w:r>
      <w:r w:rsidR="004A6EAE" w:rsidRPr="000E3B0C">
        <w:lastRenderedPageBreak/>
        <w:t>spočívají zejména v omezení či úplném zabránění účasti na některých nebo všech náboženských obřadech (zejména přijímání svátostí), případně v omezení, zabránění či dočasném nebo trvalém zbavení výkonu církevních úřadů.</w:t>
      </w:r>
      <w:r w:rsidR="004A6EAE" w:rsidRPr="000E3B0C">
        <w:rPr>
          <w:rStyle w:val="Znakapoznpodarou"/>
        </w:rPr>
        <w:footnoteReference w:id="20"/>
      </w:r>
    </w:p>
    <w:p w14:paraId="5562BA9D" w14:textId="77777777" w:rsidR="00EC67D9" w:rsidRPr="000E3B0C" w:rsidRDefault="00EC67D9" w:rsidP="00E54B22"/>
    <w:p w14:paraId="479E09F4" w14:textId="0E975D8A" w:rsidR="009B2CF9" w:rsidRPr="000E3B0C" w:rsidRDefault="00247FD9" w:rsidP="00E54B22">
      <w:r w:rsidRPr="000E3B0C">
        <w:rPr>
          <w:rFonts w:cs="TimesNewRomanPSMT"/>
        </w:rPr>
        <w:t>Tak jako v</w:t>
      </w:r>
      <w:r w:rsidR="007D514A" w:rsidRPr="000E3B0C">
        <w:rPr>
          <w:rFonts w:cs="TimesNewRomanPSMT"/>
        </w:rPr>
        <w:t xml:space="preserve"> sekulární doktrinální teorii </w:t>
      </w:r>
      <w:r w:rsidRPr="000E3B0C">
        <w:rPr>
          <w:rFonts w:cs="TimesNewRomanPSMT"/>
        </w:rPr>
        <w:t xml:space="preserve">je možné </w:t>
      </w:r>
      <w:r w:rsidR="003A5C15" w:rsidRPr="000E3B0C">
        <w:rPr>
          <w:rFonts w:cs="TimesNewRomanPSMT"/>
        </w:rPr>
        <w:t xml:space="preserve">i </w:t>
      </w:r>
      <w:r w:rsidRPr="000E3B0C">
        <w:rPr>
          <w:rFonts w:cs="TimesNewRomanPSMT"/>
        </w:rPr>
        <w:t xml:space="preserve">kanonické </w:t>
      </w:r>
      <w:r w:rsidR="009E47ED" w:rsidRPr="000E3B0C">
        <w:rPr>
          <w:rFonts w:cs="TimesNewRomanPSMT"/>
        </w:rPr>
        <w:t>trestní</w:t>
      </w:r>
      <w:r w:rsidRPr="000E3B0C">
        <w:rPr>
          <w:rFonts w:cs="TimesNewRomanPSMT"/>
        </w:rPr>
        <w:t xml:space="preserve"> právo rozdělit </w:t>
      </w:r>
      <w:r w:rsidR="003A5C15" w:rsidRPr="000E3B0C">
        <w:rPr>
          <w:rFonts w:cs="TimesNewRomanPSMT"/>
        </w:rPr>
        <w:t xml:space="preserve">především </w:t>
      </w:r>
      <w:r w:rsidRPr="000E3B0C">
        <w:rPr>
          <w:rFonts w:cs="TimesNewRomanPSMT"/>
        </w:rPr>
        <w:t>na</w:t>
      </w:r>
      <w:r w:rsidR="00E8510C">
        <w:rPr>
          <w:rFonts w:cs="TimesNewRomanPSMT"/>
        </w:rPr>
        <w:t> </w:t>
      </w:r>
      <w:r w:rsidR="0078050C">
        <w:rPr>
          <w:rFonts w:cs="TimesNewRomanPSMT"/>
        </w:rPr>
        <w:t xml:space="preserve">dvě </w:t>
      </w:r>
      <w:r w:rsidRPr="000E3B0C">
        <w:rPr>
          <w:rFonts w:cs="TimesNewRomanPSMT"/>
        </w:rPr>
        <w:t>část</w:t>
      </w:r>
      <w:r w:rsidR="003A5C15" w:rsidRPr="000E3B0C">
        <w:rPr>
          <w:rFonts w:cs="TimesNewRomanPSMT"/>
        </w:rPr>
        <w:t>i, a to</w:t>
      </w:r>
      <w:r w:rsidRPr="000E3B0C">
        <w:rPr>
          <w:rFonts w:cs="TimesNewRomanPSMT"/>
        </w:rPr>
        <w:t xml:space="preserve"> hmotnou a procesní</w:t>
      </w:r>
      <w:r w:rsidR="003A5C15" w:rsidRPr="000E3B0C">
        <w:rPr>
          <w:rFonts w:cs="TimesNewRomanPSMT"/>
        </w:rPr>
        <w:t>. D</w:t>
      </w:r>
      <w:r w:rsidR="00DB5E3E" w:rsidRPr="000E3B0C">
        <w:rPr>
          <w:rFonts w:cs="TimesNewRomanPSMT"/>
        </w:rPr>
        <w:t xml:space="preserve">ále lze rozlišovat </w:t>
      </w:r>
      <w:r w:rsidR="00DB5E3E" w:rsidRPr="000E3B0C">
        <w:t>celocírkevní trestní zákony vydávané univerzální zákonodárnou autoritou a místní zákony vydané partikulárním zákonodárcem.</w:t>
      </w:r>
      <w:r w:rsidR="003A5C15" w:rsidRPr="000E3B0C">
        <w:t xml:space="preserve"> </w:t>
      </w:r>
      <w:r w:rsidR="00282A5E" w:rsidRPr="000E3B0C">
        <w:t>Právě těmto hlediskům kanonického trestního práva se budu věnovat v následujících partiích.</w:t>
      </w:r>
    </w:p>
    <w:p w14:paraId="14F0A538" w14:textId="77777777" w:rsidR="009B2CF9" w:rsidRPr="000E3B0C" w:rsidRDefault="009B2CF9" w:rsidP="00E54B22"/>
    <w:p w14:paraId="6EFF0512" w14:textId="5FEC2DAE" w:rsidR="00597D6E" w:rsidRPr="000E3B0C" w:rsidRDefault="004A6EAE" w:rsidP="005A12C3">
      <w:r w:rsidRPr="000E3B0C">
        <w:t xml:space="preserve">Trestní právo hmotné </w:t>
      </w:r>
      <w:r w:rsidR="00D51C75" w:rsidRPr="000E3B0C">
        <w:t xml:space="preserve">obecně </w:t>
      </w:r>
      <w:r w:rsidR="005F661A" w:rsidRPr="000E3B0C">
        <w:t>stanoví výčet skutkových podstat trestních deliktů</w:t>
      </w:r>
      <w:r w:rsidRPr="000E3B0C">
        <w:t xml:space="preserve">, </w:t>
      </w:r>
      <w:r w:rsidR="005F661A" w:rsidRPr="000E3B0C">
        <w:t xml:space="preserve">jaké jsou </w:t>
      </w:r>
      <w:r w:rsidRPr="000E3B0C">
        <w:t xml:space="preserve">podmínky trestní odpovědnosti a </w:t>
      </w:r>
      <w:r w:rsidR="005F661A" w:rsidRPr="000E3B0C">
        <w:t>které</w:t>
      </w:r>
      <w:r w:rsidRPr="000E3B0C">
        <w:t xml:space="preserve"> sankce lze za spách</w:t>
      </w:r>
      <w:r w:rsidR="00407698" w:rsidRPr="000E3B0C">
        <w:t xml:space="preserve">ané protiprávní jednání uložit; nejinak je tomu také v kanonickém právu. </w:t>
      </w:r>
      <w:r w:rsidR="00131B15" w:rsidRPr="000E3B0C">
        <w:t xml:space="preserve">Současná </w:t>
      </w:r>
      <w:r w:rsidR="00DB5E3E" w:rsidRPr="000E3B0C">
        <w:t xml:space="preserve">univerzální </w:t>
      </w:r>
      <w:r w:rsidR="009E47ED" w:rsidRPr="000E3B0C">
        <w:t xml:space="preserve">hmotněprávní </w:t>
      </w:r>
      <w:r w:rsidR="00DB5E3E" w:rsidRPr="000E3B0C">
        <w:t>úprava</w:t>
      </w:r>
      <w:r w:rsidR="00EE5F60" w:rsidRPr="000E3B0C">
        <w:t>, pokud jde o</w:t>
      </w:r>
      <w:r w:rsidR="002035C8" w:rsidRPr="000E3B0C">
        <w:t> </w:t>
      </w:r>
      <w:r w:rsidR="00EE5F60" w:rsidRPr="000E3B0C">
        <w:t>latinskou (západní) církev</w:t>
      </w:r>
      <w:r w:rsidR="005F661A" w:rsidRPr="000E3B0C">
        <w:t>,</w:t>
      </w:r>
      <w:r w:rsidR="005F661A" w:rsidRPr="000E3B0C">
        <w:rPr>
          <w:rStyle w:val="Znakapoznpodarou"/>
        </w:rPr>
        <w:footnoteReference w:id="21"/>
      </w:r>
      <w:r w:rsidR="00E33594" w:rsidRPr="000E3B0C">
        <w:t xml:space="preserve"> </w:t>
      </w:r>
      <w:r w:rsidR="00131B15" w:rsidRPr="000E3B0C">
        <w:t xml:space="preserve">je soustředěna </w:t>
      </w:r>
      <w:r w:rsidR="009E47ED" w:rsidRPr="000E3B0C">
        <w:t xml:space="preserve">především </w:t>
      </w:r>
      <w:r w:rsidR="00131B15" w:rsidRPr="000E3B0C">
        <w:t xml:space="preserve">do </w:t>
      </w:r>
      <w:r w:rsidR="008535AA" w:rsidRPr="000E3B0C">
        <w:t xml:space="preserve">VI. </w:t>
      </w:r>
      <w:r w:rsidR="00131B15" w:rsidRPr="000E3B0C">
        <w:t xml:space="preserve">knihy </w:t>
      </w:r>
      <w:r w:rsidR="00684190" w:rsidRPr="000E3B0C">
        <w:t xml:space="preserve">Kodexu </w:t>
      </w:r>
      <w:r w:rsidR="002035C8" w:rsidRPr="000E3B0C">
        <w:t>(konkrétně se jedná o </w:t>
      </w:r>
      <w:r w:rsidR="00EE5F60" w:rsidRPr="000E3B0C">
        <w:t>kán. 1311 - 1399)</w:t>
      </w:r>
      <w:r w:rsidR="00FC3238" w:rsidRPr="000E3B0C">
        <w:t>. Celá tato kniha</w:t>
      </w:r>
      <w:r w:rsidR="00FC3238" w:rsidRPr="000E3B0C">
        <w:rPr>
          <w:rStyle w:val="Znakapoznpodarou"/>
        </w:rPr>
        <w:footnoteReference w:id="22"/>
      </w:r>
      <w:r w:rsidR="00131B15" w:rsidRPr="000E3B0C">
        <w:t xml:space="preserve"> </w:t>
      </w:r>
      <w:proofErr w:type="gramStart"/>
      <w:r w:rsidR="00131B15" w:rsidRPr="000E3B0C">
        <w:t>byla</w:t>
      </w:r>
      <w:proofErr w:type="gramEnd"/>
      <w:r w:rsidR="00131B15" w:rsidRPr="000E3B0C">
        <w:t xml:space="preserve"> novelizována Apoštolskou konstitucí papeže Františka </w:t>
      </w:r>
      <w:proofErr w:type="gramStart"/>
      <w:r w:rsidR="009E47ED" w:rsidRPr="000E3B0C">
        <w:rPr>
          <w:i/>
        </w:rPr>
        <w:t>Paste</w:t>
      </w:r>
      <w:proofErr w:type="gramEnd"/>
      <w:r w:rsidR="009E47ED" w:rsidRPr="000E3B0C">
        <w:rPr>
          <w:i/>
        </w:rPr>
        <w:t xml:space="preserve"> Boží </w:t>
      </w:r>
      <w:proofErr w:type="spellStart"/>
      <w:r w:rsidR="009E47ED" w:rsidRPr="000E3B0C">
        <w:rPr>
          <w:i/>
        </w:rPr>
        <w:t>stádce</w:t>
      </w:r>
      <w:proofErr w:type="spellEnd"/>
      <w:r w:rsidR="00984B90" w:rsidRPr="000E3B0C">
        <w:rPr>
          <w:i/>
        </w:rPr>
        <w:t xml:space="preserve"> </w:t>
      </w:r>
      <w:r w:rsidR="00984B90" w:rsidRPr="000E3B0C">
        <w:t>(</w:t>
      </w:r>
      <w:proofErr w:type="spellStart"/>
      <w:r w:rsidR="00984B90" w:rsidRPr="000E3B0C">
        <w:rPr>
          <w:i/>
        </w:rPr>
        <w:t>Pascite</w:t>
      </w:r>
      <w:proofErr w:type="spellEnd"/>
      <w:r w:rsidR="00984B90" w:rsidRPr="000E3B0C">
        <w:rPr>
          <w:i/>
        </w:rPr>
        <w:t xml:space="preserve"> </w:t>
      </w:r>
      <w:proofErr w:type="spellStart"/>
      <w:r w:rsidR="00984B90" w:rsidRPr="000E3B0C">
        <w:rPr>
          <w:i/>
        </w:rPr>
        <w:t>gregem</w:t>
      </w:r>
      <w:proofErr w:type="spellEnd"/>
      <w:r w:rsidR="00984B90" w:rsidRPr="000E3B0C">
        <w:rPr>
          <w:i/>
        </w:rPr>
        <w:t xml:space="preserve"> Dei</w:t>
      </w:r>
      <w:r w:rsidR="00984B90" w:rsidRPr="000E3B0C">
        <w:t>)</w:t>
      </w:r>
      <w:r w:rsidR="009E47ED" w:rsidRPr="000E3B0C">
        <w:t xml:space="preserve"> ze dne </w:t>
      </w:r>
      <w:r w:rsidR="00131B15" w:rsidRPr="000E3B0C">
        <w:t>23.</w:t>
      </w:r>
      <w:r w:rsidR="009E47ED" w:rsidRPr="000E3B0C">
        <w:t xml:space="preserve"> </w:t>
      </w:r>
      <w:r w:rsidR="00131B15" w:rsidRPr="000E3B0C">
        <w:t xml:space="preserve">5. 2021, </w:t>
      </w:r>
      <w:r w:rsidR="009E47ED" w:rsidRPr="000E3B0C">
        <w:t xml:space="preserve">promulgovanou v listě </w:t>
      </w:r>
      <w:proofErr w:type="spellStart"/>
      <w:r w:rsidR="009E47ED" w:rsidRPr="000E3B0C">
        <w:rPr>
          <w:i/>
        </w:rPr>
        <w:t>L´Osservatore</w:t>
      </w:r>
      <w:proofErr w:type="spellEnd"/>
      <w:r w:rsidR="009E47ED" w:rsidRPr="000E3B0C">
        <w:rPr>
          <w:i/>
        </w:rPr>
        <w:t xml:space="preserve"> Romano</w:t>
      </w:r>
      <w:r w:rsidR="009E47ED" w:rsidRPr="000E3B0C">
        <w:t xml:space="preserve">, a to </w:t>
      </w:r>
      <w:r w:rsidR="00131B15" w:rsidRPr="000E3B0C">
        <w:t xml:space="preserve">s účinností </w:t>
      </w:r>
      <w:r w:rsidRPr="000E3B0C">
        <w:t>stanovenou ke dni 8. 12. </w:t>
      </w:r>
      <w:r w:rsidR="009E47ED" w:rsidRPr="000E3B0C">
        <w:t>2021.</w:t>
      </w:r>
      <w:r w:rsidR="00280A83" w:rsidRPr="000E3B0C">
        <w:rPr>
          <w:rStyle w:val="Znakapoznpodarou"/>
        </w:rPr>
        <w:footnoteReference w:id="23"/>
      </w:r>
      <w:r w:rsidR="00597D6E" w:rsidRPr="000E3B0C">
        <w:t xml:space="preserve"> Svatý otec</w:t>
      </w:r>
      <w:r w:rsidR="00FC3238" w:rsidRPr="000E3B0C">
        <w:t xml:space="preserve"> </w:t>
      </w:r>
      <w:r w:rsidR="00597D6E" w:rsidRPr="000E3B0C">
        <w:t>tím</w:t>
      </w:r>
      <w:r w:rsidR="00FC3238" w:rsidRPr="000E3B0C">
        <w:t xml:space="preserve"> přikročil ke zpřís</w:t>
      </w:r>
      <w:r w:rsidR="00540B67" w:rsidRPr="000E3B0C">
        <w:t>nění dosavadní úpravy. Přiby</w:t>
      </w:r>
      <w:r w:rsidR="00FC3238" w:rsidRPr="000E3B0C">
        <w:t xml:space="preserve">ly nové skutkové podstaty jednotlivých trestných činů a </w:t>
      </w:r>
      <w:r w:rsidR="00E812A7" w:rsidRPr="000E3B0C">
        <w:t xml:space="preserve">také </w:t>
      </w:r>
      <w:r w:rsidR="00FC3238" w:rsidRPr="000E3B0C">
        <w:t>nové sankce</w:t>
      </w:r>
      <w:r w:rsidR="00E812A7" w:rsidRPr="000E3B0C">
        <w:t>; v</w:t>
      </w:r>
      <w:r w:rsidR="00FC3238" w:rsidRPr="000E3B0C">
        <w:t>ětší důraz je</w:t>
      </w:r>
      <w:r w:rsidR="00E812A7" w:rsidRPr="000E3B0C">
        <w:t xml:space="preserve"> </w:t>
      </w:r>
      <w:r w:rsidR="00FC3238" w:rsidRPr="000E3B0C">
        <w:t xml:space="preserve">kladen na </w:t>
      </w:r>
      <w:r w:rsidR="00E812A7" w:rsidRPr="000E3B0C">
        <w:t>poskytnutí satisfakce (</w:t>
      </w:r>
      <w:r w:rsidR="00FC3238" w:rsidRPr="000E3B0C">
        <w:t xml:space="preserve">náhradu </w:t>
      </w:r>
      <w:r w:rsidR="00E812A7" w:rsidRPr="000E3B0C">
        <w:t>za způsobenou</w:t>
      </w:r>
      <w:r w:rsidR="00FC3238" w:rsidRPr="000E3B0C">
        <w:t xml:space="preserve"> </w:t>
      </w:r>
      <w:r w:rsidR="00E812A7" w:rsidRPr="000E3B0C">
        <w:t>škodu) pachatelem trestného činu</w:t>
      </w:r>
      <w:r w:rsidR="00FC3238" w:rsidRPr="000E3B0C">
        <w:t>.</w:t>
      </w:r>
      <w:r w:rsidR="00FC3238" w:rsidRPr="000E3B0C">
        <w:rPr>
          <w:rStyle w:val="Znakapoznpodarou"/>
        </w:rPr>
        <w:footnoteReference w:id="24"/>
      </w:r>
      <w:r w:rsidR="00D77111" w:rsidRPr="000E3B0C">
        <w:t xml:space="preserve"> Z</w:t>
      </w:r>
      <w:r w:rsidR="00597D6E" w:rsidRPr="000E3B0C">
        <w:t>ajímavostí je, že z</w:t>
      </w:r>
      <w:r w:rsidR="00D77111" w:rsidRPr="000E3B0C">
        <w:t xml:space="preserve"> celkového počtu všech kánonů </w:t>
      </w:r>
      <w:r w:rsidR="008535AA" w:rsidRPr="000E3B0C">
        <w:t xml:space="preserve">VI. </w:t>
      </w:r>
      <w:r w:rsidR="002035C8" w:rsidRPr="000E3B0C">
        <w:t>knihy Kodexu jich bylo 71 </w:t>
      </w:r>
      <w:r w:rsidR="00D77111" w:rsidRPr="000E3B0C">
        <w:t>% doplněno, 10</w:t>
      </w:r>
      <w:r w:rsidR="002035C8" w:rsidRPr="000E3B0C">
        <w:t> </w:t>
      </w:r>
      <w:r w:rsidR="00D77111" w:rsidRPr="000E3B0C">
        <w:t>% odstraněno a jen 17</w:t>
      </w:r>
      <w:r w:rsidR="002035C8" w:rsidRPr="000E3B0C">
        <w:t> </w:t>
      </w:r>
      <w:r w:rsidR="00D77111" w:rsidRPr="000E3B0C">
        <w:t>% zůstalo nezměněno.</w:t>
      </w:r>
      <w:r w:rsidR="00D77111" w:rsidRPr="000E3B0C">
        <w:rPr>
          <w:rStyle w:val="Znakapoznpodarou"/>
        </w:rPr>
        <w:footnoteReference w:id="25"/>
      </w:r>
      <w:r w:rsidR="00E33594" w:rsidRPr="000E3B0C">
        <w:t xml:space="preserve"> </w:t>
      </w:r>
    </w:p>
    <w:p w14:paraId="4872786D" w14:textId="77777777" w:rsidR="00597D6E" w:rsidRPr="000E3B0C" w:rsidRDefault="00597D6E" w:rsidP="005A12C3"/>
    <w:p w14:paraId="6A82D539" w14:textId="468A712F" w:rsidR="00D8137B" w:rsidRPr="000E3B0C" w:rsidRDefault="005A12C3" w:rsidP="004A59D0">
      <w:r w:rsidRPr="000E3B0C">
        <w:t>P</w:t>
      </w:r>
      <w:r w:rsidR="00131B15" w:rsidRPr="000E3B0C">
        <w:t xml:space="preserve">apežské dokumenty </w:t>
      </w:r>
      <w:r w:rsidR="0039659A" w:rsidRPr="000E3B0C">
        <w:t xml:space="preserve">již delší </w:t>
      </w:r>
      <w:r w:rsidRPr="000E3B0C">
        <w:t xml:space="preserve">dobu vyzývaly </w:t>
      </w:r>
      <w:r w:rsidR="0039659A" w:rsidRPr="000E3B0C">
        <w:t>ke</w:t>
      </w:r>
      <w:r w:rsidR="00131B15" w:rsidRPr="000E3B0C">
        <w:t xml:space="preserve"> skutečnému naplňování</w:t>
      </w:r>
      <w:r w:rsidR="002035C8" w:rsidRPr="000E3B0C">
        <w:t xml:space="preserve"> trestního práva a </w:t>
      </w:r>
      <w:r w:rsidR="0039659A" w:rsidRPr="000E3B0C">
        <w:t>a</w:t>
      </w:r>
      <w:r w:rsidRPr="000E3B0C">
        <w:t>vizovaly</w:t>
      </w:r>
      <w:r w:rsidR="00131B15" w:rsidRPr="000E3B0C">
        <w:t xml:space="preserve">, že jeho </w:t>
      </w:r>
      <w:r w:rsidR="0039659A" w:rsidRPr="000E3B0C">
        <w:t>dodržování</w:t>
      </w:r>
      <w:r w:rsidR="00131B15" w:rsidRPr="000E3B0C">
        <w:t xml:space="preserve"> </w:t>
      </w:r>
      <w:r w:rsidR="0039659A" w:rsidRPr="000E3B0C">
        <w:t>má být</w:t>
      </w:r>
      <w:r w:rsidR="00131B15" w:rsidRPr="000E3B0C">
        <w:t xml:space="preserve"> důsledně vy</w:t>
      </w:r>
      <w:r w:rsidR="0039659A" w:rsidRPr="000E3B0C">
        <w:t>nucováno.</w:t>
      </w:r>
      <w:r w:rsidR="00DA7BD0" w:rsidRPr="000E3B0C">
        <w:t xml:space="preserve"> </w:t>
      </w:r>
      <w:r w:rsidR="00597D6E" w:rsidRPr="000E3B0C">
        <w:t>O</w:t>
      </w:r>
      <w:r w:rsidR="00DA7BD0" w:rsidRPr="000E3B0C">
        <w:t xml:space="preserve">d roku 2001 </w:t>
      </w:r>
      <w:r w:rsidR="00597D6E" w:rsidRPr="000E3B0C">
        <w:t>byly</w:t>
      </w:r>
      <w:r w:rsidR="00DA7BD0" w:rsidRPr="000E3B0C">
        <w:t xml:space="preserve"> </w:t>
      </w:r>
      <w:r w:rsidR="00597D6E" w:rsidRPr="000E3B0C">
        <w:t xml:space="preserve">církevní </w:t>
      </w:r>
      <w:r w:rsidR="00DA7BD0" w:rsidRPr="000E3B0C">
        <w:t>trest</w:t>
      </w:r>
      <w:r w:rsidR="00F452BD" w:rsidRPr="000E3B0C">
        <w:t xml:space="preserve">ní normy </w:t>
      </w:r>
      <w:r w:rsidR="00597D6E" w:rsidRPr="000E3B0C">
        <w:t xml:space="preserve">postupně </w:t>
      </w:r>
      <w:r w:rsidR="00F452BD" w:rsidRPr="000E3B0C">
        <w:t>soustavně zpřísňovány; v</w:t>
      </w:r>
      <w:r w:rsidR="00DA7BD0" w:rsidRPr="000E3B0C">
        <w:t xml:space="preserve">yvrcholením tohoto procesu je </w:t>
      </w:r>
      <w:r w:rsidR="00597D6E" w:rsidRPr="000E3B0C">
        <w:t>právě nedávná</w:t>
      </w:r>
      <w:r w:rsidR="00DA7BD0" w:rsidRPr="000E3B0C">
        <w:t xml:space="preserve"> „velká“ novela.</w:t>
      </w:r>
      <w:r w:rsidR="00597D6E" w:rsidRPr="000E3B0C">
        <w:t xml:space="preserve"> </w:t>
      </w:r>
      <w:r w:rsidR="00131B15" w:rsidRPr="000E3B0C">
        <w:t>Papež František</w:t>
      </w:r>
      <w:r w:rsidR="00597D6E" w:rsidRPr="000E3B0C">
        <w:t xml:space="preserve"> při její promulgaci</w:t>
      </w:r>
      <w:r w:rsidR="00131B15" w:rsidRPr="000E3B0C">
        <w:t xml:space="preserve"> </w:t>
      </w:r>
      <w:r w:rsidR="0039659A" w:rsidRPr="000E3B0C">
        <w:t>zdůraznil</w:t>
      </w:r>
      <w:r w:rsidR="00131B15" w:rsidRPr="000E3B0C">
        <w:t>, že v minulosti způsobilo mnoho škod</w:t>
      </w:r>
      <w:r w:rsidR="0039659A" w:rsidRPr="000E3B0C">
        <w:t xml:space="preserve"> to</w:t>
      </w:r>
      <w:r w:rsidR="00131B15" w:rsidRPr="000E3B0C">
        <w:t>, že</w:t>
      </w:r>
      <w:r w:rsidR="00E8510C">
        <w:t> </w:t>
      </w:r>
      <w:r w:rsidR="00131B15" w:rsidRPr="000E3B0C">
        <w:t xml:space="preserve">v církvi nebyla pochopena úzká souvislost mezi </w:t>
      </w:r>
      <w:r w:rsidR="0039659A" w:rsidRPr="000E3B0C">
        <w:t>účinnou</w:t>
      </w:r>
      <w:r w:rsidR="00131B15" w:rsidRPr="000E3B0C">
        <w:t xml:space="preserve"> láskou a prosazováním trestní kázně tam, kde to </w:t>
      </w:r>
      <w:r w:rsidR="0039659A" w:rsidRPr="000E3B0C">
        <w:t>vyžadovaly</w:t>
      </w:r>
      <w:r w:rsidR="00131B15" w:rsidRPr="000E3B0C">
        <w:t xml:space="preserve"> </w:t>
      </w:r>
      <w:r w:rsidR="0039659A" w:rsidRPr="000E3B0C">
        <w:t>okolnosti</w:t>
      </w:r>
      <w:r w:rsidR="00131B15" w:rsidRPr="000E3B0C">
        <w:t xml:space="preserve"> a spravedlnos</w:t>
      </w:r>
      <w:r w:rsidR="0039659A" w:rsidRPr="000E3B0C">
        <w:t>t</w:t>
      </w:r>
      <w:r w:rsidR="00DE2139" w:rsidRPr="000E3B0C">
        <w:t>. P</w:t>
      </w:r>
      <w:r w:rsidR="0039659A" w:rsidRPr="000E3B0C">
        <w:t xml:space="preserve">rojevila se </w:t>
      </w:r>
      <w:r w:rsidR="00597D6E" w:rsidRPr="000E3B0C">
        <w:t xml:space="preserve">dle něj </w:t>
      </w:r>
      <w:r w:rsidR="0039659A" w:rsidRPr="000E3B0C">
        <w:t>š</w:t>
      </w:r>
      <w:r w:rsidR="00131B15" w:rsidRPr="000E3B0C">
        <w:t xml:space="preserve">kodlivost </w:t>
      </w:r>
      <w:r w:rsidR="0039659A" w:rsidRPr="000E3B0C">
        <w:t>benevolentního</w:t>
      </w:r>
      <w:r w:rsidR="00131B15" w:rsidRPr="000E3B0C">
        <w:t xml:space="preserve"> přístupu k uplatňování </w:t>
      </w:r>
      <w:r w:rsidR="0039659A" w:rsidRPr="000E3B0C">
        <w:t>církevní</w:t>
      </w:r>
      <w:r w:rsidR="00131B15" w:rsidRPr="000E3B0C">
        <w:t xml:space="preserve"> kázně, která byla důsledkem </w:t>
      </w:r>
      <w:r w:rsidR="0039659A" w:rsidRPr="000E3B0C">
        <w:t xml:space="preserve">optimismu vzbuzeného nadějemi </w:t>
      </w:r>
      <w:r w:rsidR="0039659A" w:rsidRPr="000E3B0C">
        <w:lastRenderedPageBreak/>
        <w:t>plynoucími z D</w:t>
      </w:r>
      <w:r w:rsidR="00131B15" w:rsidRPr="000E3B0C">
        <w:t>ruhého vatikánského koncil</w:t>
      </w:r>
      <w:r w:rsidR="00DE2139" w:rsidRPr="000E3B0C">
        <w:t>u; p</w:t>
      </w:r>
      <w:r w:rsidR="00131B15" w:rsidRPr="000E3B0C">
        <w:t>odceně</w:t>
      </w:r>
      <w:r w:rsidR="00DE2139" w:rsidRPr="000E3B0C">
        <w:t>n</w:t>
      </w:r>
      <w:r w:rsidR="00131B15" w:rsidRPr="000E3B0C">
        <w:t>í</w:t>
      </w:r>
      <w:r w:rsidR="00DE2139" w:rsidRPr="000E3B0C">
        <w:t xml:space="preserve"> významu práva </w:t>
      </w:r>
      <w:r w:rsidR="00597D6E" w:rsidRPr="000E3B0C">
        <w:t xml:space="preserve">přitom </w:t>
      </w:r>
      <w:r w:rsidR="00DE2139" w:rsidRPr="000E3B0C">
        <w:t xml:space="preserve">lze demonstrovat například na </w:t>
      </w:r>
      <w:r w:rsidR="00131B15" w:rsidRPr="000E3B0C">
        <w:t xml:space="preserve">vzrůstu </w:t>
      </w:r>
      <w:r w:rsidR="00DE2139" w:rsidRPr="000E3B0C">
        <w:t xml:space="preserve">(odpovídajícím způsobem neřešených) </w:t>
      </w:r>
      <w:r w:rsidR="00131B15" w:rsidRPr="000E3B0C">
        <w:t xml:space="preserve">skandálů kolem sexuálních deliktů v církvi, </w:t>
      </w:r>
      <w:r w:rsidR="00DE2139" w:rsidRPr="000E3B0C">
        <w:t>stejně jako problematickým za</w:t>
      </w:r>
      <w:r w:rsidR="00131B15" w:rsidRPr="000E3B0C">
        <w:t>c</w:t>
      </w:r>
      <w:r w:rsidR="00DE2139" w:rsidRPr="000E3B0C">
        <w:t>h</w:t>
      </w:r>
      <w:r w:rsidR="00131B15" w:rsidRPr="000E3B0C">
        <w:t>ázení</w:t>
      </w:r>
      <w:r w:rsidR="00DE2139" w:rsidRPr="000E3B0C">
        <w:t>m</w:t>
      </w:r>
      <w:r w:rsidRPr="000E3B0C">
        <w:t xml:space="preserve"> s církevním majetkem.</w:t>
      </w:r>
      <w:r w:rsidRPr="000E3B0C">
        <w:rPr>
          <w:vertAlign w:val="superscript"/>
        </w:rPr>
        <w:footnoteReference w:id="26"/>
      </w:r>
      <w:r w:rsidRPr="000E3B0C">
        <w:t xml:space="preserve"> Svatý otec dále akcentoval, že je to především odpovědnost biskupů jakožto pastýřů Božího lidu, aby bylo trestní právo řádně apliková</w:t>
      </w:r>
      <w:r w:rsidR="00DA7BD0" w:rsidRPr="000E3B0C">
        <w:t xml:space="preserve">no; </w:t>
      </w:r>
      <w:r w:rsidR="00D8137B" w:rsidRPr="000E3B0C">
        <w:t xml:space="preserve">to </w:t>
      </w:r>
      <w:r w:rsidRPr="000E3B0C">
        <w:t>oni mají pečovat o spravedlnost a dobro věřících. Je-li to potřeba, mají</w:t>
      </w:r>
      <w:r w:rsidR="00DA7BD0" w:rsidRPr="000E3B0C">
        <w:t xml:space="preserve"> povin</w:t>
      </w:r>
      <w:r w:rsidRPr="000E3B0C">
        <w:t>nost uklá</w:t>
      </w:r>
      <w:r w:rsidR="00DA7BD0" w:rsidRPr="000E3B0C">
        <w:t>dat tresty, protože j</w:t>
      </w:r>
      <w:r w:rsidRPr="000E3B0C">
        <w:t>ejich nedbalost v přístupu k trestnímu právu znamená, že</w:t>
      </w:r>
      <w:r w:rsidR="002315E9">
        <w:t> </w:t>
      </w:r>
      <w:r w:rsidRPr="000E3B0C">
        <w:t>svůj úřad neplní řádně a věrně.</w:t>
      </w:r>
      <w:r w:rsidRPr="000E3B0C">
        <w:rPr>
          <w:vertAlign w:val="superscript"/>
        </w:rPr>
        <w:footnoteReference w:id="27"/>
      </w:r>
    </w:p>
    <w:p w14:paraId="383ACD90" w14:textId="77777777" w:rsidR="00D8137B" w:rsidRPr="000E3B0C" w:rsidRDefault="00D8137B" w:rsidP="004A59D0"/>
    <w:p w14:paraId="42ECEFB2" w14:textId="4BB3878A" w:rsidR="00AA007D" w:rsidRPr="000E3B0C" w:rsidRDefault="009B2CF9" w:rsidP="004A59D0">
      <w:r w:rsidRPr="000E3B0C">
        <w:t xml:space="preserve">Pozitivním důsledkem </w:t>
      </w:r>
      <w:r w:rsidR="00F16E50" w:rsidRPr="000E3B0C">
        <w:t>tohoto</w:t>
      </w:r>
      <w:r w:rsidRPr="000E3B0C">
        <w:t xml:space="preserve"> legislativního </w:t>
      </w:r>
      <w:r w:rsidR="00F16E50" w:rsidRPr="000E3B0C">
        <w:t>počinu</w:t>
      </w:r>
      <w:r w:rsidRPr="000E3B0C">
        <w:t xml:space="preserve"> je </w:t>
      </w:r>
      <w:r w:rsidR="00F16E50" w:rsidRPr="000E3B0C">
        <w:t>dle Hrdiny především</w:t>
      </w:r>
      <w:r w:rsidRPr="000E3B0C">
        <w:t xml:space="preserve"> to, že </w:t>
      </w:r>
      <w:r w:rsidR="00F16E50" w:rsidRPr="000E3B0C">
        <w:t xml:space="preserve">inkorporoval většinu </w:t>
      </w:r>
      <w:proofErr w:type="spellStart"/>
      <w:r w:rsidR="00F16E50" w:rsidRPr="000E3B0C">
        <w:t>mimo</w:t>
      </w:r>
      <w:r w:rsidRPr="000E3B0C">
        <w:t>kodexových</w:t>
      </w:r>
      <w:proofErr w:type="spellEnd"/>
      <w:r w:rsidRPr="000E3B0C">
        <w:t xml:space="preserve"> </w:t>
      </w:r>
      <w:r w:rsidR="008C732C" w:rsidRPr="000E3B0C">
        <w:t>trestních</w:t>
      </w:r>
      <w:r w:rsidRPr="000E3B0C">
        <w:t xml:space="preserve"> norem </w:t>
      </w:r>
      <w:r w:rsidR="00F16E50" w:rsidRPr="000E3B0C">
        <w:t xml:space="preserve">vydaných za posledních </w:t>
      </w:r>
      <w:r w:rsidR="008C732C" w:rsidRPr="000E3B0C">
        <w:t>dvacet</w:t>
      </w:r>
      <w:r w:rsidR="00F16E50" w:rsidRPr="000E3B0C">
        <w:t xml:space="preserve"> let </w:t>
      </w:r>
      <w:r w:rsidR="008C732C" w:rsidRPr="000E3B0C">
        <w:t>opět</w:t>
      </w:r>
      <w:r w:rsidRPr="000E3B0C">
        <w:t xml:space="preserve"> do jediného zákona a sjednotil tak </w:t>
      </w:r>
      <w:r w:rsidR="00F16E50" w:rsidRPr="000E3B0C">
        <w:t>(alespoň do jisté míry) úpravu trestního práva hmotného.</w:t>
      </w:r>
      <w:r w:rsidR="00F16E50" w:rsidRPr="000E3B0C">
        <w:rPr>
          <w:rStyle w:val="Znakapoznpodarou"/>
        </w:rPr>
        <w:footnoteReference w:id="28"/>
      </w:r>
      <w:r w:rsidR="00F16E50" w:rsidRPr="000E3B0C">
        <w:t xml:space="preserve"> Ví</w:t>
      </w:r>
      <w:r w:rsidRPr="000E3B0C">
        <w:t>t</w:t>
      </w:r>
      <w:r w:rsidR="00F16E50" w:rsidRPr="000E3B0C">
        <w:t>á</w:t>
      </w:r>
      <w:r w:rsidRPr="000E3B0C">
        <w:t xml:space="preserve"> rovněž </w:t>
      </w:r>
      <w:r w:rsidR="00F16E50" w:rsidRPr="000E3B0C">
        <w:t>přehlednější uspořádání některých kánonů a také</w:t>
      </w:r>
      <w:r w:rsidRPr="000E3B0C">
        <w:t xml:space="preserve"> zákonné zakotvení některých právních principů</w:t>
      </w:r>
      <w:r w:rsidR="00F16E50" w:rsidRPr="000E3B0C">
        <w:t xml:space="preserve"> (např. presumpce neviny)</w:t>
      </w:r>
      <w:r w:rsidRPr="000E3B0C">
        <w:t xml:space="preserve">, jakkoli </w:t>
      </w:r>
      <w:r w:rsidR="00F16E50" w:rsidRPr="000E3B0C">
        <w:t xml:space="preserve">již implicitně vyplývaly </w:t>
      </w:r>
      <w:r w:rsidRPr="000E3B0C">
        <w:t>z</w:t>
      </w:r>
      <w:r w:rsidR="002315E9">
        <w:t> </w:t>
      </w:r>
      <w:r w:rsidRPr="000E3B0C">
        <w:t>kontextu dosavadní úpravy.</w:t>
      </w:r>
      <w:r w:rsidR="00F16E50" w:rsidRPr="000E3B0C">
        <w:rPr>
          <w:rStyle w:val="Znakapoznpodarou"/>
        </w:rPr>
        <w:footnoteReference w:id="29"/>
      </w:r>
      <w:r w:rsidR="00F452BD" w:rsidRPr="000E3B0C">
        <w:t xml:space="preserve"> </w:t>
      </w:r>
      <w:r w:rsidR="00F452BD" w:rsidRPr="000E3B0C">
        <w:rPr>
          <w:rFonts w:cs="Garamond"/>
          <w:szCs w:val="22"/>
        </w:rPr>
        <w:t xml:space="preserve">Důležitou změnou dle </w:t>
      </w:r>
      <w:r w:rsidR="008C732C" w:rsidRPr="000E3B0C">
        <w:rPr>
          <w:rFonts w:cs="Garamond"/>
          <w:szCs w:val="22"/>
        </w:rPr>
        <w:t xml:space="preserve">Františka </w:t>
      </w:r>
      <w:r w:rsidR="00F452BD" w:rsidRPr="000E3B0C">
        <w:rPr>
          <w:rFonts w:cs="Garamond"/>
          <w:szCs w:val="22"/>
        </w:rPr>
        <w:t xml:space="preserve">Ponížila je větší zdůraznění ochrany nezletilých a jim </w:t>
      </w:r>
      <w:r w:rsidR="008C732C" w:rsidRPr="000E3B0C">
        <w:rPr>
          <w:rFonts w:cs="Garamond"/>
          <w:szCs w:val="22"/>
        </w:rPr>
        <w:t xml:space="preserve">na roveň </w:t>
      </w:r>
      <w:r w:rsidR="00F452BD" w:rsidRPr="000E3B0C">
        <w:rPr>
          <w:rFonts w:cs="Garamond"/>
          <w:szCs w:val="22"/>
        </w:rPr>
        <w:t>postavených.</w:t>
      </w:r>
      <w:r w:rsidR="00F452BD" w:rsidRPr="000E3B0C">
        <w:rPr>
          <w:rStyle w:val="Znakapoznpodarou"/>
          <w:rFonts w:cs="Garamond"/>
          <w:szCs w:val="22"/>
        </w:rPr>
        <w:footnoteReference w:id="30"/>
      </w:r>
      <w:r w:rsidR="00F452BD" w:rsidRPr="000E3B0C">
        <w:rPr>
          <w:rFonts w:cs="Garamond"/>
          <w:szCs w:val="22"/>
        </w:rPr>
        <w:t xml:space="preserve"> </w:t>
      </w:r>
      <w:r w:rsidR="008C732C" w:rsidRPr="000E3B0C">
        <w:rPr>
          <w:rFonts w:cs="Garamond"/>
          <w:szCs w:val="22"/>
        </w:rPr>
        <w:t xml:space="preserve">Jakub </w:t>
      </w:r>
      <w:r w:rsidR="00AA007D" w:rsidRPr="000E3B0C">
        <w:t xml:space="preserve">Nagy </w:t>
      </w:r>
      <w:r w:rsidR="005C2134" w:rsidRPr="000E3B0C">
        <w:t>p</w:t>
      </w:r>
      <w:r w:rsidR="008C732C" w:rsidRPr="000E3B0C">
        <w:t xml:space="preserve">ak poukazuje na to, že současnými změnami </w:t>
      </w:r>
      <w:r w:rsidR="005C2134" w:rsidRPr="000E3B0C">
        <w:t xml:space="preserve">se </w:t>
      </w:r>
      <w:r w:rsidR="008C732C" w:rsidRPr="000E3B0C">
        <w:t xml:space="preserve">církev </w:t>
      </w:r>
      <w:r w:rsidR="005C2134" w:rsidRPr="000E3B0C">
        <w:t xml:space="preserve">do jisté míry navrací ke starší právní úpravě představované </w:t>
      </w:r>
      <w:r w:rsidR="00AA007D" w:rsidRPr="000E3B0C">
        <w:t>Kodex</w:t>
      </w:r>
      <w:r w:rsidR="005C2134" w:rsidRPr="000E3B0C">
        <w:t>em kanonického práva z</w:t>
      </w:r>
      <w:r w:rsidR="002315E9">
        <w:t> </w:t>
      </w:r>
      <w:r w:rsidR="005C2134" w:rsidRPr="000E3B0C">
        <w:t>roku 1917</w:t>
      </w:r>
      <w:r w:rsidR="005C2134" w:rsidRPr="000E3B0C">
        <w:rPr>
          <w:vertAlign w:val="superscript"/>
        </w:rPr>
        <w:footnoteReference w:id="31"/>
      </w:r>
      <w:r w:rsidR="005C2134" w:rsidRPr="000E3B0C">
        <w:t>.</w:t>
      </w:r>
      <w:r w:rsidR="00F31B56" w:rsidRPr="000E3B0C">
        <w:rPr>
          <w:vertAlign w:val="superscript"/>
        </w:rPr>
        <w:footnoteReference w:id="32"/>
      </w:r>
    </w:p>
    <w:p w14:paraId="16B44619" w14:textId="77777777" w:rsidR="00AA007D" w:rsidRPr="000E3B0C" w:rsidRDefault="00AA007D" w:rsidP="004A59D0"/>
    <w:p w14:paraId="1CF1FD08" w14:textId="4163A927" w:rsidR="005849C5" w:rsidRPr="000E3B0C" w:rsidRDefault="004A6EAE" w:rsidP="004A59D0">
      <w:pPr>
        <w:rPr>
          <w:rFonts w:cs="TimesNewRomanPSMT"/>
        </w:rPr>
      </w:pPr>
      <w:r w:rsidRPr="000E3B0C">
        <w:rPr>
          <w:shd w:val="clear" w:color="auto" w:fill="FFFFFF"/>
        </w:rPr>
        <w:t xml:space="preserve">Trestní právo procesní </w:t>
      </w:r>
      <w:r w:rsidR="00D51C75" w:rsidRPr="000E3B0C">
        <w:rPr>
          <w:shd w:val="clear" w:color="auto" w:fill="FFFFFF"/>
        </w:rPr>
        <w:t xml:space="preserve">pak obecně </w:t>
      </w:r>
      <w:r w:rsidRPr="000E3B0C">
        <w:rPr>
          <w:shd w:val="clear" w:color="auto" w:fill="FFFFFF"/>
        </w:rPr>
        <w:t>reguluje trestní řízen</w:t>
      </w:r>
      <w:r w:rsidR="00D51C75" w:rsidRPr="000E3B0C">
        <w:rPr>
          <w:shd w:val="clear" w:color="auto" w:fill="FFFFFF"/>
        </w:rPr>
        <w:t xml:space="preserve">í, </w:t>
      </w:r>
      <w:r w:rsidR="008C36C8" w:rsidRPr="000E3B0C">
        <w:rPr>
          <w:shd w:val="clear" w:color="auto" w:fill="FFFFFF"/>
        </w:rPr>
        <w:t>čili</w:t>
      </w:r>
      <w:r w:rsidR="00D51C75" w:rsidRPr="000E3B0C">
        <w:rPr>
          <w:shd w:val="clear" w:color="auto" w:fill="FFFFFF"/>
        </w:rPr>
        <w:t xml:space="preserve"> </w:t>
      </w:r>
      <w:r w:rsidRPr="000E3B0C">
        <w:rPr>
          <w:shd w:val="clear" w:color="auto" w:fill="FFFFFF"/>
        </w:rPr>
        <w:t>upravuj</w:t>
      </w:r>
      <w:r w:rsidR="00D51C75" w:rsidRPr="000E3B0C">
        <w:rPr>
          <w:shd w:val="clear" w:color="auto" w:fill="FFFFFF"/>
        </w:rPr>
        <w:t>e</w:t>
      </w:r>
      <w:r w:rsidRPr="000E3B0C">
        <w:rPr>
          <w:shd w:val="clear" w:color="auto" w:fill="FFFFFF"/>
        </w:rPr>
        <w:t xml:space="preserve"> stanovený postup při zjišťování trestných </w:t>
      </w:r>
      <w:r w:rsidR="008C36C8" w:rsidRPr="000E3B0C">
        <w:rPr>
          <w:shd w:val="clear" w:color="auto" w:fill="FFFFFF"/>
        </w:rPr>
        <w:t>deliktů</w:t>
      </w:r>
      <w:r w:rsidRPr="000E3B0C">
        <w:rPr>
          <w:shd w:val="clear" w:color="auto" w:fill="FFFFFF"/>
        </w:rPr>
        <w:t xml:space="preserve"> a jejich pachatelů, </w:t>
      </w:r>
      <w:r w:rsidR="008C36C8" w:rsidRPr="000E3B0C">
        <w:rPr>
          <w:shd w:val="clear" w:color="auto" w:fill="FFFFFF"/>
        </w:rPr>
        <w:t xml:space="preserve">režim </w:t>
      </w:r>
      <w:r w:rsidRPr="000E3B0C">
        <w:rPr>
          <w:shd w:val="clear" w:color="auto" w:fill="FFFFFF"/>
        </w:rPr>
        <w:t xml:space="preserve">ukládání trestů a </w:t>
      </w:r>
      <w:r w:rsidR="00D51C75" w:rsidRPr="000E3B0C">
        <w:rPr>
          <w:shd w:val="clear" w:color="auto" w:fill="FFFFFF"/>
        </w:rPr>
        <w:t>jejich</w:t>
      </w:r>
      <w:r w:rsidRPr="000E3B0C">
        <w:rPr>
          <w:shd w:val="clear" w:color="auto" w:fill="FFFFFF"/>
        </w:rPr>
        <w:t xml:space="preserve"> výkonu</w:t>
      </w:r>
      <w:r w:rsidR="00D51C75" w:rsidRPr="000E3B0C">
        <w:rPr>
          <w:shd w:val="clear" w:color="auto" w:fill="FFFFFF"/>
        </w:rPr>
        <w:t xml:space="preserve">. </w:t>
      </w:r>
      <w:r w:rsidR="00D51C75" w:rsidRPr="000E3B0C">
        <w:t>Kanonický t</w:t>
      </w:r>
      <w:r w:rsidR="00856F1C" w:rsidRPr="000E3B0C">
        <w:t xml:space="preserve">restní proces slouží </w:t>
      </w:r>
      <w:r w:rsidR="008C36C8" w:rsidRPr="000E3B0C">
        <w:t>k</w:t>
      </w:r>
      <w:r w:rsidR="002315E9">
        <w:t> </w:t>
      </w:r>
      <w:r w:rsidR="00856F1C" w:rsidRPr="000E3B0C">
        <w:t xml:space="preserve">prosazení trestních nároků církve proti pachateli trestného činu, </w:t>
      </w:r>
      <w:r w:rsidR="008C36C8" w:rsidRPr="000E3B0C">
        <w:t>tedy upravuje</w:t>
      </w:r>
      <w:r w:rsidR="00856F1C" w:rsidRPr="000E3B0C">
        <w:t xml:space="preserve"> uložení</w:t>
      </w:r>
      <w:r w:rsidR="00D51C75" w:rsidRPr="000E3B0C">
        <w:t xml:space="preserve"> nebo úřední prohlášení trestu.</w:t>
      </w:r>
      <w:r w:rsidR="002C15FA" w:rsidRPr="000E3B0C">
        <w:rPr>
          <w:rStyle w:val="Znakapoznpodarou"/>
        </w:rPr>
        <w:footnoteReference w:id="33"/>
      </w:r>
      <w:r w:rsidR="004A59D0" w:rsidRPr="000E3B0C">
        <w:t xml:space="preserve"> </w:t>
      </w:r>
      <w:r w:rsidR="002C15FA" w:rsidRPr="000E3B0C">
        <w:t>U</w:t>
      </w:r>
      <w:r w:rsidR="00856F1C" w:rsidRPr="000E3B0C">
        <w:t>niverzální procesněprávní úprava je soustředěna především do knihy VII.</w:t>
      </w:r>
      <w:r w:rsidR="005849C5" w:rsidRPr="000E3B0C">
        <w:t xml:space="preserve">, části 4. </w:t>
      </w:r>
      <w:r w:rsidR="00856F1C" w:rsidRPr="000E3B0C">
        <w:t>Kodexu</w:t>
      </w:r>
      <w:r w:rsidR="005849C5" w:rsidRPr="000E3B0C">
        <w:rPr>
          <w:bCs/>
        </w:rPr>
        <w:t xml:space="preserve">, přičemž </w:t>
      </w:r>
      <w:r w:rsidR="004A59D0" w:rsidRPr="000E3B0C">
        <w:rPr>
          <w:bCs/>
          <w:i/>
        </w:rPr>
        <w:t>„</w:t>
      </w:r>
      <w:r w:rsidR="005849C5" w:rsidRPr="000E3B0C">
        <w:rPr>
          <w:i/>
        </w:rPr>
        <w:t>po</w:t>
      </w:r>
      <w:r w:rsidR="002035C8" w:rsidRPr="000E3B0C">
        <w:rPr>
          <w:i/>
        </w:rPr>
        <w:t>kud tomu nebrání povaha věci, j</w:t>
      </w:r>
      <w:r w:rsidR="002315E9">
        <w:rPr>
          <w:i/>
        </w:rPr>
        <w:t>e</w:t>
      </w:r>
      <w:r w:rsidR="002035C8" w:rsidRPr="000E3B0C">
        <w:rPr>
          <w:i/>
        </w:rPr>
        <w:t> </w:t>
      </w:r>
      <w:r w:rsidR="005849C5" w:rsidRPr="000E3B0C">
        <w:rPr>
          <w:i/>
        </w:rPr>
        <w:t xml:space="preserve"> nutno při trestním řízení použít kánonů o řízení obecně a o řádném řízení sporném</w:t>
      </w:r>
      <w:r w:rsidR="004A59D0" w:rsidRPr="000E3B0C">
        <w:rPr>
          <w:i/>
        </w:rPr>
        <w:t>“</w:t>
      </w:r>
      <w:r w:rsidR="005849C5" w:rsidRPr="000E3B0C">
        <w:t>, a to při zachování zvláštních norem týkajících se záležitostí veřejného prospěchu</w:t>
      </w:r>
      <w:r w:rsidR="008C36C8" w:rsidRPr="000E3B0C">
        <w:t>.</w:t>
      </w:r>
      <w:r w:rsidR="005849C5" w:rsidRPr="000E3B0C">
        <w:rPr>
          <w:rStyle w:val="Znakapoznpodarou"/>
          <w:rFonts w:cs="Arial"/>
        </w:rPr>
        <w:footnoteReference w:id="34"/>
      </w:r>
      <w:r w:rsidR="00BB24FB" w:rsidRPr="000E3B0C">
        <w:t xml:space="preserve"> </w:t>
      </w:r>
      <w:r w:rsidR="008C36C8" w:rsidRPr="000E3B0C">
        <w:t>S</w:t>
      </w:r>
      <w:r w:rsidR="00BB24FB" w:rsidRPr="000E3B0C">
        <w:t xml:space="preserve">porné řízení ústní je v trestním </w:t>
      </w:r>
      <w:r w:rsidR="00BB24FB" w:rsidRPr="000E3B0C">
        <w:lastRenderedPageBreak/>
        <w:t xml:space="preserve">řízení </w:t>
      </w:r>
      <w:proofErr w:type="spellStart"/>
      <w:r w:rsidR="00BB24FB" w:rsidRPr="000E3B0C">
        <w:rPr>
          <w:i/>
        </w:rPr>
        <w:t>ipso</w:t>
      </w:r>
      <w:proofErr w:type="spellEnd"/>
      <w:r w:rsidR="00BB24FB" w:rsidRPr="000E3B0C">
        <w:rPr>
          <w:i/>
        </w:rPr>
        <w:t xml:space="preserve"> iure</w:t>
      </w:r>
      <w:r w:rsidR="00BB24FB" w:rsidRPr="000E3B0C">
        <w:t xml:space="preserve"> vyloučeno.</w:t>
      </w:r>
      <w:r w:rsidR="00BB24FB" w:rsidRPr="000E3B0C">
        <w:rPr>
          <w:vertAlign w:val="superscript"/>
        </w:rPr>
        <w:footnoteReference w:id="35"/>
      </w:r>
      <w:r w:rsidR="003F02DF" w:rsidRPr="000E3B0C">
        <w:t xml:space="preserve"> Existují tři možné procesní formy: trestní řízení s</w:t>
      </w:r>
      <w:r w:rsidR="002035C8" w:rsidRPr="000E3B0C">
        <w:t>oudní, mimosoudní a </w:t>
      </w:r>
      <w:r w:rsidR="003F02DF" w:rsidRPr="000E3B0C">
        <w:t>zvláštní řízení podle speciální normy</w:t>
      </w:r>
      <w:r w:rsidR="003F02DF" w:rsidRPr="000E3B0C">
        <w:rPr>
          <w:vertAlign w:val="superscript"/>
        </w:rPr>
        <w:footnoteReference w:id="36"/>
      </w:r>
      <w:r w:rsidR="003F02DF" w:rsidRPr="000E3B0C">
        <w:t>. O problematice procesního práva však nebude v této práci blíže pojednáno.</w:t>
      </w:r>
    </w:p>
    <w:p w14:paraId="0A84EE7B" w14:textId="77777777" w:rsidR="001A4274" w:rsidRPr="000E3B0C" w:rsidRDefault="001A4274" w:rsidP="004A59D0"/>
    <w:p w14:paraId="28BD9E9B" w14:textId="3BDCE115" w:rsidR="00220490" w:rsidRPr="000E3B0C" w:rsidRDefault="00A21456" w:rsidP="00BD1693">
      <w:r w:rsidRPr="000E3B0C">
        <w:t>Jako příklad</w:t>
      </w:r>
      <w:r w:rsidR="00642EC6" w:rsidRPr="000E3B0C">
        <w:t xml:space="preserve"> dalších</w:t>
      </w:r>
      <w:r w:rsidR="008C36C8" w:rsidRPr="000E3B0C">
        <w:t xml:space="preserve"> tzv.</w:t>
      </w:r>
      <w:r w:rsidR="00642EC6" w:rsidRPr="000E3B0C">
        <w:t xml:space="preserve"> </w:t>
      </w:r>
      <w:proofErr w:type="spellStart"/>
      <w:r w:rsidR="00C07CB7" w:rsidRPr="000E3B0C">
        <w:t>mimokodexových</w:t>
      </w:r>
      <w:proofErr w:type="spellEnd"/>
      <w:r w:rsidR="00642EC6" w:rsidRPr="000E3B0C">
        <w:t xml:space="preserve"> </w:t>
      </w:r>
      <w:r w:rsidR="00856F1C" w:rsidRPr="000E3B0C">
        <w:t>celocírkevních</w:t>
      </w:r>
      <w:r w:rsidR="00856F1C" w:rsidRPr="000E3B0C">
        <w:rPr>
          <w:b/>
        </w:rPr>
        <w:t xml:space="preserve"> </w:t>
      </w:r>
      <w:r w:rsidR="00856F1C" w:rsidRPr="000E3B0C">
        <w:t>pramenů trestního práva</w:t>
      </w:r>
      <w:r w:rsidRPr="000E3B0C">
        <w:t xml:space="preserve"> lze poukázat </w:t>
      </w:r>
      <w:r w:rsidR="008D2A85" w:rsidRPr="000E3B0C">
        <w:t xml:space="preserve">především </w:t>
      </w:r>
      <w:r w:rsidRPr="000E3B0C">
        <w:t xml:space="preserve">na </w:t>
      </w:r>
      <w:r w:rsidR="00DF107E" w:rsidRPr="000E3B0C">
        <w:rPr>
          <w:i/>
        </w:rPr>
        <w:t xml:space="preserve">motu </w:t>
      </w:r>
      <w:proofErr w:type="spellStart"/>
      <w:r w:rsidR="00DF107E" w:rsidRPr="000E3B0C">
        <w:rPr>
          <w:i/>
        </w:rPr>
        <w:t>proprio</w:t>
      </w:r>
      <w:proofErr w:type="spellEnd"/>
      <w:r w:rsidR="00DF107E" w:rsidRPr="000E3B0C">
        <w:t xml:space="preserve"> </w:t>
      </w:r>
      <w:r w:rsidRPr="000E3B0C">
        <w:t xml:space="preserve">papeže </w:t>
      </w:r>
      <w:r w:rsidR="00DF107E" w:rsidRPr="000E3B0C">
        <w:t xml:space="preserve">Jana Pavla II. </w:t>
      </w:r>
      <w:proofErr w:type="spellStart"/>
      <w:r w:rsidR="00DF107E" w:rsidRPr="000E3B0C">
        <w:rPr>
          <w:i/>
        </w:rPr>
        <w:t>Sacramentorum</w:t>
      </w:r>
      <w:proofErr w:type="spellEnd"/>
      <w:r w:rsidR="00DF107E" w:rsidRPr="000E3B0C">
        <w:rPr>
          <w:i/>
        </w:rPr>
        <w:t xml:space="preserve"> </w:t>
      </w:r>
      <w:proofErr w:type="spellStart"/>
      <w:r w:rsidR="00DF107E" w:rsidRPr="000E3B0C">
        <w:rPr>
          <w:i/>
        </w:rPr>
        <w:t>sanctitatis</w:t>
      </w:r>
      <w:proofErr w:type="spellEnd"/>
      <w:r w:rsidR="00DF107E" w:rsidRPr="000E3B0C">
        <w:rPr>
          <w:i/>
        </w:rPr>
        <w:t xml:space="preserve"> tutela</w:t>
      </w:r>
      <w:r w:rsidR="00DF107E" w:rsidRPr="000E3B0C">
        <w:t xml:space="preserve"> z</w:t>
      </w:r>
      <w:r w:rsidR="008D2A85" w:rsidRPr="000E3B0C">
        <w:t xml:space="preserve"> 30. </w:t>
      </w:r>
      <w:r w:rsidRPr="000E3B0C">
        <w:t>4.</w:t>
      </w:r>
      <w:r w:rsidR="008D2A85" w:rsidRPr="000E3B0C">
        <w:t> </w:t>
      </w:r>
      <w:r w:rsidR="00DF107E" w:rsidRPr="000E3B0C">
        <w:t xml:space="preserve">2001, kterým byly formou </w:t>
      </w:r>
      <w:r w:rsidRPr="000E3B0C">
        <w:t>listu Kongregace pro nauku víry</w:t>
      </w:r>
      <w:r w:rsidR="00DF107E" w:rsidRPr="000E3B0C">
        <w:t xml:space="preserve"> rozeslaného </w:t>
      </w:r>
      <w:r w:rsidRPr="000E3B0C">
        <w:t xml:space="preserve">všem katolickým biskupům </w:t>
      </w:r>
      <w:r w:rsidR="00DF107E" w:rsidRPr="000E3B0C">
        <w:t xml:space="preserve">vyhlášeny </w:t>
      </w:r>
      <w:r w:rsidR="00DF107E" w:rsidRPr="000E3B0C">
        <w:rPr>
          <w:i/>
        </w:rPr>
        <w:t>Normy týkající se závažnějších trestných činů vyhrazených Kongregaci pro nauku víry</w:t>
      </w:r>
      <w:r w:rsidRPr="000E3B0C">
        <w:t xml:space="preserve">, </w:t>
      </w:r>
      <w:r w:rsidR="00856F1C" w:rsidRPr="000E3B0C">
        <w:t>jež</w:t>
      </w:r>
      <w:r w:rsidRPr="000E3B0C">
        <w:t xml:space="preserve"> byly novelizovány dne 21. 5. 2010 a následně dne 7. 12. 2021</w:t>
      </w:r>
      <w:r w:rsidR="00642EC6" w:rsidRPr="000E3B0C">
        <w:rPr>
          <w:rStyle w:val="Znakapoznpodarou"/>
        </w:rPr>
        <w:footnoteReference w:id="37"/>
      </w:r>
      <w:r w:rsidR="00642EC6" w:rsidRPr="000E3B0C">
        <w:t>. Ty o</w:t>
      </w:r>
      <w:r w:rsidR="00856F1C" w:rsidRPr="000E3B0C">
        <w:t xml:space="preserve">bsahují </w:t>
      </w:r>
      <w:r w:rsidR="00ED5D31" w:rsidRPr="000E3B0C">
        <w:t xml:space="preserve">hmotněprávní i procesní úpravu týkající se </w:t>
      </w:r>
      <w:r w:rsidR="008D2A85" w:rsidRPr="000E3B0C">
        <w:t xml:space="preserve">toliko </w:t>
      </w:r>
      <w:r w:rsidR="00ED5D31" w:rsidRPr="000E3B0C">
        <w:t>vymezených trestných činů</w:t>
      </w:r>
      <w:r w:rsidR="00642EC6" w:rsidRPr="000E3B0C">
        <w:t xml:space="preserve"> proti víře a</w:t>
      </w:r>
      <w:r w:rsidR="00ED5D31" w:rsidRPr="000E3B0C">
        <w:t xml:space="preserve"> </w:t>
      </w:r>
      <w:r w:rsidR="00642EC6" w:rsidRPr="000E3B0C">
        <w:t xml:space="preserve">závažnějších trestných činů </w:t>
      </w:r>
      <w:r w:rsidR="008D2A85" w:rsidRPr="000E3B0C">
        <w:t>proti mravům nebo</w:t>
      </w:r>
      <w:r w:rsidR="00642EC6" w:rsidRPr="000E3B0C">
        <w:t xml:space="preserve"> spáchaných v rámci slavení svátostí</w:t>
      </w:r>
      <w:r w:rsidR="008D2A85" w:rsidRPr="000E3B0C">
        <w:t xml:space="preserve"> (uvedených v </w:t>
      </w:r>
      <w:r w:rsidR="00540B67" w:rsidRPr="000E3B0C">
        <w:t>čl. 2</w:t>
      </w:r>
      <w:r w:rsidR="00540B67" w:rsidRPr="000E3B0C">
        <w:rPr>
          <w:rFonts w:cs="Garamond"/>
        </w:rPr>
        <w:sym w:font="Symbol" w:char="F02D"/>
      </w:r>
      <w:r w:rsidR="008D2A85" w:rsidRPr="000E3B0C">
        <w:t>6 těchto Norem)</w:t>
      </w:r>
      <w:r w:rsidR="00642EC6" w:rsidRPr="000E3B0C">
        <w:t>,</w:t>
      </w:r>
      <w:r w:rsidR="00C9404E" w:rsidRPr="000E3B0C">
        <w:rPr>
          <w:rStyle w:val="Znakapoznpodarou"/>
        </w:rPr>
        <w:footnoteReference w:id="38"/>
      </w:r>
      <w:r w:rsidR="00642EC6" w:rsidRPr="000E3B0C">
        <w:t xml:space="preserve"> </w:t>
      </w:r>
      <w:r w:rsidR="00642EC6" w:rsidRPr="000E3B0C">
        <w:rPr>
          <w:rFonts w:cs="Garamond"/>
        </w:rPr>
        <w:t xml:space="preserve">jejichž projednání je vzhledem k jejich mimořádné závažnosti vyhrazeno právě </w:t>
      </w:r>
      <w:proofErr w:type="spellStart"/>
      <w:r w:rsidR="00642EC6" w:rsidRPr="000E3B0C">
        <w:rPr>
          <w:rFonts w:cs="Garamond"/>
        </w:rPr>
        <w:t>Dikasteriu</w:t>
      </w:r>
      <w:proofErr w:type="spellEnd"/>
      <w:r w:rsidR="00642EC6" w:rsidRPr="000E3B0C">
        <w:rPr>
          <w:rFonts w:cs="Garamond"/>
        </w:rPr>
        <w:t xml:space="preserve"> pro nauku víry</w:t>
      </w:r>
      <w:r w:rsidR="00C9404E" w:rsidRPr="000E3B0C">
        <w:rPr>
          <w:rStyle w:val="Znakapoznpodarou"/>
          <w:rFonts w:cs="Garamond"/>
        </w:rPr>
        <w:footnoteReference w:id="39"/>
      </w:r>
      <w:r w:rsidR="00642EC6" w:rsidRPr="000E3B0C">
        <w:rPr>
          <w:rFonts w:cs="Garamond"/>
        </w:rPr>
        <w:t>.</w:t>
      </w:r>
      <w:r w:rsidR="00C9404E" w:rsidRPr="000E3B0C">
        <w:rPr>
          <w:rFonts w:cs="Garamond"/>
        </w:rPr>
        <w:t xml:space="preserve"> </w:t>
      </w:r>
      <w:r w:rsidR="00435A60" w:rsidRPr="000E3B0C">
        <w:t>I</w:t>
      </w:r>
      <w:r w:rsidR="009B2CF9" w:rsidRPr="000E3B0C">
        <w:t xml:space="preserve"> nadále platí </w:t>
      </w:r>
      <w:r w:rsidR="00435A60" w:rsidRPr="000E3B0C">
        <w:t xml:space="preserve">také </w:t>
      </w:r>
      <w:r w:rsidR="009B2CF9" w:rsidRPr="000E3B0C">
        <w:t xml:space="preserve">trestněprávní normy </w:t>
      </w:r>
      <w:r w:rsidRPr="000E3B0C">
        <w:t>obsažené v Apoštolské konstituci</w:t>
      </w:r>
      <w:r w:rsidR="009B2CF9" w:rsidRPr="000E3B0C">
        <w:t xml:space="preserve"> </w:t>
      </w:r>
      <w:proofErr w:type="spellStart"/>
      <w:r w:rsidR="009B2CF9" w:rsidRPr="000E3B0C">
        <w:rPr>
          <w:i/>
        </w:rPr>
        <w:t>Universi</w:t>
      </w:r>
      <w:proofErr w:type="spellEnd"/>
      <w:r w:rsidR="009B2CF9" w:rsidRPr="000E3B0C">
        <w:rPr>
          <w:i/>
        </w:rPr>
        <w:t xml:space="preserve"> Dominici </w:t>
      </w:r>
      <w:proofErr w:type="spellStart"/>
      <w:r w:rsidR="009B2CF9" w:rsidRPr="000E3B0C">
        <w:rPr>
          <w:i/>
        </w:rPr>
        <w:t>gregis</w:t>
      </w:r>
      <w:proofErr w:type="spellEnd"/>
      <w:r w:rsidR="009B2CF9" w:rsidRPr="000E3B0C">
        <w:t xml:space="preserve"> </w:t>
      </w:r>
      <w:r w:rsidRPr="000E3B0C">
        <w:t>vydané</w:t>
      </w:r>
      <w:r w:rsidR="005E2A79" w:rsidRPr="000E3B0C">
        <w:t xml:space="preserve"> papežem Janem Pavlem </w:t>
      </w:r>
      <w:r w:rsidR="00C775FA" w:rsidRPr="000E3B0C">
        <w:t>II.</w:t>
      </w:r>
      <w:r w:rsidR="005D5479" w:rsidRPr="000E3B0C">
        <w:t xml:space="preserve">, ve znění novely </w:t>
      </w:r>
      <w:proofErr w:type="spellStart"/>
      <w:r w:rsidR="005D5479" w:rsidRPr="000E3B0C">
        <w:rPr>
          <w:i/>
        </w:rPr>
        <w:t>Normas</w:t>
      </w:r>
      <w:proofErr w:type="spellEnd"/>
      <w:r w:rsidR="005D5479" w:rsidRPr="000E3B0C">
        <w:rPr>
          <w:i/>
        </w:rPr>
        <w:t xml:space="preserve"> </w:t>
      </w:r>
      <w:proofErr w:type="spellStart"/>
      <w:r w:rsidR="005D5479" w:rsidRPr="000E3B0C">
        <w:rPr>
          <w:i/>
        </w:rPr>
        <w:t>nonnullas</w:t>
      </w:r>
      <w:proofErr w:type="spellEnd"/>
      <w:r w:rsidR="005D5479" w:rsidRPr="000E3B0C">
        <w:t>,</w:t>
      </w:r>
      <w:r w:rsidR="00C775FA" w:rsidRPr="000E3B0C">
        <w:t xml:space="preserve"> týkající se papežské volby.</w:t>
      </w:r>
      <w:r w:rsidR="00C775FA" w:rsidRPr="000E3B0C">
        <w:rPr>
          <w:rStyle w:val="Znakapoznpodarou"/>
        </w:rPr>
        <w:footnoteReference w:id="40"/>
      </w:r>
    </w:p>
    <w:p w14:paraId="0D7A6373" w14:textId="77777777" w:rsidR="00BD1693" w:rsidRPr="000E3B0C" w:rsidRDefault="00BD1693" w:rsidP="00BD1693"/>
    <w:p w14:paraId="2B45DCAA" w14:textId="5630F443" w:rsidR="00A82EA7" w:rsidRPr="000E3B0C" w:rsidRDefault="005E2A79" w:rsidP="00F70BD9">
      <w:pPr>
        <w:rPr>
          <w:rFonts w:cs="TimesNewRomanPSMT"/>
        </w:rPr>
      </w:pPr>
      <w:r w:rsidRPr="000E3B0C">
        <w:t xml:space="preserve">Ustanovení </w:t>
      </w:r>
      <w:r w:rsidR="003F02DF" w:rsidRPr="000E3B0C">
        <w:t>univerzálního</w:t>
      </w:r>
      <w:r w:rsidRPr="000E3B0C">
        <w:t xml:space="preserve"> trestního práva mohou být na </w:t>
      </w:r>
      <w:r w:rsidR="004A365B" w:rsidRPr="000E3B0C">
        <w:t>partikulární</w:t>
      </w:r>
      <w:r w:rsidRPr="000E3B0C">
        <w:t xml:space="preserve"> </w:t>
      </w:r>
      <w:r w:rsidR="00A82EA7" w:rsidRPr="000E3B0C">
        <w:t xml:space="preserve">úrovni </w:t>
      </w:r>
      <w:r w:rsidRPr="000E3B0C">
        <w:t xml:space="preserve">(jednotlivých diecézí) </w:t>
      </w:r>
      <w:r w:rsidR="00A82EA7" w:rsidRPr="000E3B0C">
        <w:t>do</w:t>
      </w:r>
      <w:r w:rsidRPr="000E3B0C">
        <w:t>p</w:t>
      </w:r>
      <w:r w:rsidR="00A82EA7" w:rsidRPr="000E3B0C">
        <w:t xml:space="preserve">lněna </w:t>
      </w:r>
      <w:r w:rsidRPr="000E3B0C">
        <w:t xml:space="preserve">činností </w:t>
      </w:r>
      <w:r w:rsidR="004A365B" w:rsidRPr="000E3B0C">
        <w:t>místních</w:t>
      </w:r>
      <w:r w:rsidRPr="000E3B0C">
        <w:t xml:space="preserve"> </w:t>
      </w:r>
      <w:r w:rsidR="00A82EA7" w:rsidRPr="000E3B0C">
        <w:t>zákonodár</w:t>
      </w:r>
      <w:r w:rsidRPr="000E3B0C">
        <w:t>ců (zejména</w:t>
      </w:r>
      <w:r w:rsidR="00A82EA7" w:rsidRPr="000E3B0C">
        <w:t xml:space="preserve"> diecézních biskupů</w:t>
      </w:r>
      <w:r w:rsidRPr="000E3B0C">
        <w:t xml:space="preserve">), kteří </w:t>
      </w:r>
      <w:r w:rsidR="004A365B" w:rsidRPr="000E3B0C">
        <w:t>jsou zmocněni k</w:t>
      </w:r>
      <w:r w:rsidR="00A31461" w:rsidRPr="000E3B0C">
        <w:t> </w:t>
      </w:r>
      <w:r w:rsidR="004A365B" w:rsidRPr="000E3B0C">
        <w:t>tomu</w:t>
      </w:r>
      <w:r w:rsidRPr="000E3B0C">
        <w:t xml:space="preserve"> </w:t>
      </w:r>
      <w:r w:rsidRPr="000E3B0C">
        <w:rPr>
          <w:rFonts w:cs="TimesNewRomanPSMT"/>
        </w:rPr>
        <w:t xml:space="preserve">stanovit </w:t>
      </w:r>
      <w:r w:rsidR="004A365B" w:rsidRPr="000E3B0C">
        <w:rPr>
          <w:rFonts w:cs="TimesNewRomanPSMT"/>
        </w:rPr>
        <w:t xml:space="preserve">konkrétní </w:t>
      </w:r>
      <w:r w:rsidRPr="000E3B0C">
        <w:rPr>
          <w:rFonts w:cs="TimesNewRomanPSMT"/>
        </w:rPr>
        <w:t>odpovídající trest za</w:t>
      </w:r>
      <w:r w:rsidR="00A937A2" w:rsidRPr="000E3B0C">
        <w:rPr>
          <w:rFonts w:cs="TimesNewRomanPSMT"/>
        </w:rPr>
        <w:t xml:space="preserve"> </w:t>
      </w:r>
      <w:r w:rsidRPr="000E3B0C">
        <w:rPr>
          <w:rFonts w:cs="TimesNewRomanPSMT"/>
        </w:rPr>
        <w:t>porušení zákona vydaného vyšší</w:t>
      </w:r>
      <w:r w:rsidR="00A937A2" w:rsidRPr="000E3B0C">
        <w:rPr>
          <w:rFonts w:cs="TimesNewRomanPSMT"/>
        </w:rPr>
        <w:t xml:space="preserve"> </w:t>
      </w:r>
      <w:r w:rsidRPr="000E3B0C">
        <w:rPr>
          <w:rFonts w:cs="TimesNewRomanPSMT"/>
        </w:rPr>
        <w:t>autoritou, přidat další tresty k</w:t>
      </w:r>
      <w:r w:rsidR="004A365B" w:rsidRPr="000E3B0C">
        <w:rPr>
          <w:rFonts w:cs="TimesNewRomanPSMT"/>
        </w:rPr>
        <w:t> sankcím již</w:t>
      </w:r>
      <w:r w:rsidRPr="000E3B0C">
        <w:rPr>
          <w:rFonts w:cs="TimesNewRomanPSMT"/>
        </w:rPr>
        <w:t xml:space="preserve"> </w:t>
      </w:r>
      <w:r w:rsidR="004A365B" w:rsidRPr="000E3B0C">
        <w:rPr>
          <w:rFonts w:cs="TimesNewRomanPSMT"/>
        </w:rPr>
        <w:t>zvoleným</w:t>
      </w:r>
      <w:r w:rsidR="00A937A2" w:rsidRPr="000E3B0C">
        <w:rPr>
          <w:rFonts w:cs="TimesNewRomanPSMT"/>
        </w:rPr>
        <w:t xml:space="preserve"> </w:t>
      </w:r>
      <w:r w:rsidRPr="000E3B0C">
        <w:rPr>
          <w:rFonts w:cs="TimesNewRomanPSMT"/>
        </w:rPr>
        <w:t>všeobecným právem za</w:t>
      </w:r>
      <w:r w:rsidR="00A937A2" w:rsidRPr="000E3B0C">
        <w:rPr>
          <w:rFonts w:cs="TimesNewRomanPSMT"/>
        </w:rPr>
        <w:t xml:space="preserve"> </w:t>
      </w:r>
      <w:r w:rsidRPr="000E3B0C">
        <w:rPr>
          <w:rFonts w:cs="TimesNewRomanPSMT"/>
        </w:rPr>
        <w:t>některý trestný č</w:t>
      </w:r>
      <w:r w:rsidR="00A937A2" w:rsidRPr="000E3B0C">
        <w:rPr>
          <w:rFonts w:cs="TimesNewRomanPSMT"/>
        </w:rPr>
        <w:t xml:space="preserve">in, </w:t>
      </w:r>
      <w:r w:rsidRPr="000E3B0C">
        <w:rPr>
          <w:rFonts w:cs="TimesNewRomanPSMT"/>
        </w:rPr>
        <w:t>změnit trest stanovený všeobecným</w:t>
      </w:r>
      <w:r w:rsidR="00A937A2" w:rsidRPr="000E3B0C">
        <w:rPr>
          <w:rFonts w:cs="TimesNewRomanPSMT"/>
        </w:rPr>
        <w:t xml:space="preserve"> </w:t>
      </w:r>
      <w:r w:rsidRPr="000E3B0C">
        <w:rPr>
          <w:rFonts w:cs="TimesNewRomanPSMT"/>
        </w:rPr>
        <w:t>právem jako neurčitý</w:t>
      </w:r>
      <w:r w:rsidR="00A937A2" w:rsidRPr="000E3B0C">
        <w:rPr>
          <w:rFonts w:cs="TimesNewRomanPSMT"/>
        </w:rPr>
        <w:t xml:space="preserve"> </w:t>
      </w:r>
      <w:r w:rsidR="004A365B" w:rsidRPr="000E3B0C">
        <w:rPr>
          <w:rFonts w:cs="TimesNewRomanPSMT"/>
        </w:rPr>
        <w:t>či</w:t>
      </w:r>
      <w:r w:rsidRPr="000E3B0C">
        <w:rPr>
          <w:rFonts w:cs="TimesNewRomanPSMT"/>
        </w:rPr>
        <w:t xml:space="preserve"> fakultativní na určitý nebo</w:t>
      </w:r>
      <w:r w:rsidR="00A937A2" w:rsidRPr="000E3B0C">
        <w:rPr>
          <w:rFonts w:cs="TimesNewRomanPSMT"/>
        </w:rPr>
        <w:t xml:space="preserve"> </w:t>
      </w:r>
      <w:r w:rsidRPr="000E3B0C">
        <w:rPr>
          <w:rFonts w:cs="TimesNewRomanPSMT"/>
        </w:rPr>
        <w:t>obligatorní</w:t>
      </w:r>
      <w:r w:rsidR="004A365B" w:rsidRPr="000E3B0C">
        <w:rPr>
          <w:rFonts w:cs="TimesNewRomanPSMT"/>
        </w:rPr>
        <w:t>.</w:t>
      </w:r>
      <w:r w:rsidR="00A937A2" w:rsidRPr="000E3B0C">
        <w:rPr>
          <w:rStyle w:val="Znakapoznpodarou"/>
          <w:rFonts w:cs="TimesNewRomanPSMT"/>
        </w:rPr>
        <w:footnoteReference w:id="41"/>
      </w:r>
      <w:r w:rsidR="004A365B" w:rsidRPr="000E3B0C">
        <w:rPr>
          <w:rFonts w:cs="TimesNewRomanPSMT"/>
        </w:rPr>
        <w:t xml:space="preserve"> </w:t>
      </w:r>
      <w:r w:rsidR="00A937A2" w:rsidRPr="000E3B0C">
        <w:rPr>
          <w:rFonts w:cs="TimesNewRomanPSMT"/>
        </w:rPr>
        <w:t xml:space="preserve">Platí </w:t>
      </w:r>
      <w:r w:rsidR="004A365B" w:rsidRPr="000E3B0C">
        <w:rPr>
          <w:rFonts w:cs="TimesNewRomanPSMT"/>
        </w:rPr>
        <w:t xml:space="preserve">ovšem určitá omezení, a to </w:t>
      </w:r>
      <w:r w:rsidR="00A937A2" w:rsidRPr="000E3B0C">
        <w:rPr>
          <w:rFonts w:cs="TimesNewRomanPSMT"/>
        </w:rPr>
        <w:t xml:space="preserve">že </w:t>
      </w:r>
      <w:r w:rsidR="00A937A2" w:rsidRPr="000E3B0C">
        <w:t>univerzální norma nemůže být místní normotvorbou zmírňována</w:t>
      </w:r>
      <w:r w:rsidR="00A937A2" w:rsidRPr="000E3B0C">
        <w:rPr>
          <w:rStyle w:val="Znakapoznpodarou"/>
        </w:rPr>
        <w:footnoteReference w:id="42"/>
      </w:r>
      <w:r w:rsidR="00A937A2" w:rsidRPr="000E3B0C">
        <w:t xml:space="preserve"> a n</w:t>
      </w:r>
      <w:r w:rsidRPr="000E3B0C">
        <w:rPr>
          <w:rFonts w:cs="TimesNewRomanPSMT"/>
        </w:rPr>
        <w:t>ižší zákonodárce</w:t>
      </w:r>
      <w:r w:rsidR="00A937A2" w:rsidRPr="000E3B0C">
        <w:rPr>
          <w:rFonts w:cs="TimesNewRomanPSMT"/>
        </w:rPr>
        <w:t xml:space="preserve"> </w:t>
      </w:r>
      <w:r w:rsidRPr="000E3B0C">
        <w:rPr>
          <w:rFonts w:cs="TimesNewRomanPSMT"/>
        </w:rPr>
        <w:t>nesmí stanovit propuštění</w:t>
      </w:r>
      <w:r w:rsidR="00A937A2" w:rsidRPr="000E3B0C">
        <w:rPr>
          <w:rFonts w:cs="TimesNewRomanPSMT"/>
        </w:rPr>
        <w:t xml:space="preserve"> </w:t>
      </w:r>
      <w:r w:rsidRPr="000E3B0C">
        <w:rPr>
          <w:rFonts w:cs="TimesNewRomanPSMT"/>
        </w:rPr>
        <w:t>z klerického stavu.</w:t>
      </w:r>
      <w:r w:rsidR="00A937A2" w:rsidRPr="000E3B0C">
        <w:rPr>
          <w:rStyle w:val="Znakapoznpodarou"/>
          <w:rFonts w:cs="TimesNewRomanPSMT"/>
        </w:rPr>
        <w:footnoteReference w:id="43"/>
      </w:r>
      <w:r w:rsidR="002E005C" w:rsidRPr="000E3B0C">
        <w:rPr>
          <w:rFonts w:cs="TimesNewRomanPSMT"/>
        </w:rPr>
        <w:t xml:space="preserve"> </w:t>
      </w:r>
      <w:r w:rsidR="004A365B" w:rsidRPr="000E3B0C">
        <w:rPr>
          <w:rFonts w:cs="TimesNewRomanPSMT"/>
        </w:rPr>
        <w:t>Diecézní biskupové v případě své lokální legislativy mají dbát na to, aby v témže státě byly vydávány jednotné (místní) trestní zákony.</w:t>
      </w:r>
      <w:r w:rsidR="004A365B" w:rsidRPr="000E3B0C">
        <w:rPr>
          <w:rStyle w:val="Znakapoznpodarou"/>
          <w:rFonts w:cs="TimesNewRomanPSMT"/>
        </w:rPr>
        <w:footnoteReference w:id="44"/>
      </w:r>
      <w:r w:rsidR="004A365B" w:rsidRPr="000E3B0C">
        <w:rPr>
          <w:rFonts w:cs="TimesNewRomanPSMT"/>
        </w:rPr>
        <w:t xml:space="preserve"> </w:t>
      </w:r>
      <w:r w:rsidR="00EB76FF" w:rsidRPr="000E3B0C">
        <w:rPr>
          <w:rFonts w:cs="TimesNewRomanPSMT"/>
        </w:rPr>
        <w:t>Z</w:t>
      </w:r>
      <w:r w:rsidR="004A365B" w:rsidRPr="000E3B0C">
        <w:rPr>
          <w:rFonts w:cs="TimesNewRomanPSMT"/>
        </w:rPr>
        <w:t xml:space="preserve"> českých </w:t>
      </w:r>
      <w:r w:rsidR="00EB76FF" w:rsidRPr="000E3B0C">
        <w:rPr>
          <w:rFonts w:cs="TimesNewRomanPSMT"/>
        </w:rPr>
        <w:t xml:space="preserve">partikulárních </w:t>
      </w:r>
      <w:r w:rsidR="000D7F6E" w:rsidRPr="000E3B0C">
        <w:rPr>
          <w:rFonts w:cs="TimesNewRomanPSMT"/>
        </w:rPr>
        <w:t>trestních</w:t>
      </w:r>
      <w:r w:rsidR="00EB76FF" w:rsidRPr="000E3B0C">
        <w:rPr>
          <w:rFonts w:cs="TimesNewRomanPSMT"/>
        </w:rPr>
        <w:t xml:space="preserve"> </w:t>
      </w:r>
      <w:r w:rsidR="004A365B" w:rsidRPr="000E3B0C">
        <w:rPr>
          <w:rFonts w:cs="TimesNewRomanPSMT"/>
        </w:rPr>
        <w:t>předpisů</w:t>
      </w:r>
      <w:r w:rsidR="00EB76FF" w:rsidRPr="000E3B0C">
        <w:rPr>
          <w:rFonts w:cs="TimesNewRomanPSMT"/>
        </w:rPr>
        <w:t xml:space="preserve"> je na místě zmínit</w:t>
      </w:r>
      <w:r w:rsidR="002A7DDB" w:rsidRPr="000E3B0C">
        <w:rPr>
          <w:rFonts w:cs="TimesNewRomanPSMT"/>
        </w:rPr>
        <w:t xml:space="preserve"> velmi aktuální</w:t>
      </w:r>
      <w:r w:rsidR="00EB76FF" w:rsidRPr="000E3B0C">
        <w:rPr>
          <w:rFonts w:cs="TimesNewRomanPSMT"/>
        </w:rPr>
        <w:t xml:space="preserve"> </w:t>
      </w:r>
      <w:r w:rsidR="002035C8" w:rsidRPr="000E3B0C">
        <w:rPr>
          <w:rFonts w:cs="TimesNewRomanPSMT"/>
          <w:i/>
        </w:rPr>
        <w:t>Instrukci o </w:t>
      </w:r>
      <w:r w:rsidR="00EB76FF" w:rsidRPr="000E3B0C">
        <w:rPr>
          <w:rFonts w:cs="TimesNewRomanPSMT"/>
          <w:i/>
        </w:rPr>
        <w:t xml:space="preserve">postupu biskupů a vyšších představených při předběžném šetření některých trestných činů proti 6. přikázání Desatera na území </w:t>
      </w:r>
      <w:r w:rsidR="002A7DDB" w:rsidRPr="000E3B0C">
        <w:rPr>
          <w:rFonts w:cs="TimesNewRomanPSMT"/>
          <w:i/>
        </w:rPr>
        <w:t>ČR, ve znění novely č. </w:t>
      </w:r>
      <w:r w:rsidR="00EB76FF" w:rsidRPr="000E3B0C">
        <w:rPr>
          <w:rFonts w:cs="TimesNewRomanPSMT"/>
          <w:i/>
        </w:rPr>
        <w:t>1/2021 schválené 127. plenárním zase</w:t>
      </w:r>
      <w:r w:rsidR="00A15F74" w:rsidRPr="000E3B0C">
        <w:rPr>
          <w:rFonts w:cs="TimesNewRomanPSMT"/>
          <w:i/>
        </w:rPr>
        <w:t>dáním ČBK ze dne 6. 7. </w:t>
      </w:r>
      <w:r w:rsidR="00EB76FF" w:rsidRPr="000E3B0C">
        <w:rPr>
          <w:rFonts w:cs="TimesNewRomanPSMT"/>
          <w:i/>
        </w:rPr>
        <w:t>2021</w:t>
      </w:r>
      <w:r w:rsidR="00EB76FF" w:rsidRPr="000E3B0C">
        <w:rPr>
          <w:rFonts w:cs="TimesNewRomanPSMT"/>
        </w:rPr>
        <w:t xml:space="preserve">, </w:t>
      </w:r>
      <w:r w:rsidR="00F70BD9" w:rsidRPr="000E3B0C">
        <w:rPr>
          <w:rFonts w:cs="TimesNewRomanPSMT"/>
        </w:rPr>
        <w:t>je</w:t>
      </w:r>
      <w:r w:rsidR="00F70BD9" w:rsidRPr="000E3B0C">
        <w:t>jímž účelem je přispět</w:t>
      </w:r>
      <w:r w:rsidR="00EB76FF" w:rsidRPr="000E3B0C">
        <w:t xml:space="preserve"> k ochraně nezletilých a zranitelných</w:t>
      </w:r>
      <w:r w:rsidR="00F70BD9" w:rsidRPr="000E3B0C">
        <w:t xml:space="preserve"> </w:t>
      </w:r>
      <w:r w:rsidR="00EB76FF" w:rsidRPr="000E3B0C">
        <w:t>osob v</w:t>
      </w:r>
      <w:r w:rsidR="00F70BD9" w:rsidRPr="000E3B0C">
        <w:t> </w:t>
      </w:r>
      <w:r w:rsidR="00EB76FF" w:rsidRPr="000E3B0C">
        <w:t>cí</w:t>
      </w:r>
      <w:r w:rsidR="00F70BD9" w:rsidRPr="000E3B0C">
        <w:t xml:space="preserve">rkvi a </w:t>
      </w:r>
      <w:r w:rsidR="00EB76FF" w:rsidRPr="000E3B0C">
        <w:t xml:space="preserve">stanovit </w:t>
      </w:r>
      <w:r w:rsidR="00EB76FF" w:rsidRPr="000E3B0C">
        <w:lastRenderedPageBreak/>
        <w:t xml:space="preserve">právní postup v případě podezření ze spáchání </w:t>
      </w:r>
      <w:r w:rsidR="00905972" w:rsidRPr="000E3B0C">
        <w:t>vymezených</w:t>
      </w:r>
      <w:r w:rsidR="00F70BD9" w:rsidRPr="000E3B0C">
        <w:t xml:space="preserve"> </w:t>
      </w:r>
      <w:r w:rsidR="00EB76FF" w:rsidRPr="000E3B0C">
        <w:t>trestných činů, který zajistí</w:t>
      </w:r>
      <w:r w:rsidR="00F70BD9" w:rsidRPr="000E3B0C">
        <w:t xml:space="preserve"> jejich </w:t>
      </w:r>
      <w:r w:rsidR="00EB76FF" w:rsidRPr="000E3B0C">
        <w:t>spravedlivé, účinné a rychlé projednání.</w:t>
      </w:r>
      <w:r w:rsidR="00F70BD9" w:rsidRPr="000E3B0C">
        <w:rPr>
          <w:vertAlign w:val="superscript"/>
        </w:rPr>
        <w:footnoteReference w:id="45"/>
      </w:r>
      <w:r w:rsidR="00F70BD9" w:rsidRPr="000E3B0C">
        <w:t xml:space="preserve"> Zbývá dodat, že p</w:t>
      </w:r>
      <w:r w:rsidR="00A82EA7" w:rsidRPr="000E3B0C">
        <w:t xml:space="preserve">rávní obyčej nemůže být </w:t>
      </w:r>
      <w:r w:rsidR="00463BB0" w:rsidRPr="000E3B0C">
        <w:t xml:space="preserve">nikdy </w:t>
      </w:r>
      <w:r w:rsidR="00A82EA7" w:rsidRPr="000E3B0C">
        <w:t xml:space="preserve">pramenem </w:t>
      </w:r>
      <w:r w:rsidR="00463BB0" w:rsidRPr="000E3B0C">
        <w:t>trestního práva.</w:t>
      </w:r>
      <w:r w:rsidR="00463BB0" w:rsidRPr="000E3B0C">
        <w:rPr>
          <w:rStyle w:val="Znakapoznpodarou"/>
        </w:rPr>
        <w:footnoteReference w:id="46"/>
      </w:r>
    </w:p>
    <w:p w14:paraId="322F2DD7" w14:textId="77777777" w:rsidR="003C4238" w:rsidRPr="000E3B0C" w:rsidRDefault="003C4238" w:rsidP="00F70BD9"/>
    <w:p w14:paraId="56FE60E7" w14:textId="275D05DA" w:rsidR="00AE259B" w:rsidRPr="000E3B0C" w:rsidRDefault="0050232C" w:rsidP="0050232C">
      <w:r w:rsidRPr="000E3B0C">
        <w:t>Pokud jde o vztah kanonického a sekulárního trestního práva, je třeba konstatovat, že jsou na</w:t>
      </w:r>
      <w:r w:rsidR="002315E9">
        <w:t> </w:t>
      </w:r>
      <w:r w:rsidRPr="000E3B0C">
        <w:t>sobě více méně nezávislé. Církevní</w:t>
      </w:r>
      <w:r w:rsidR="00407698" w:rsidRPr="000E3B0C">
        <w:t xml:space="preserve"> </w:t>
      </w:r>
      <w:r w:rsidR="00850E31" w:rsidRPr="000E3B0C">
        <w:t>normotvorba</w:t>
      </w:r>
      <w:r w:rsidR="00407698" w:rsidRPr="000E3B0C">
        <w:t xml:space="preserve"> </w:t>
      </w:r>
      <w:r w:rsidRPr="000E3B0C">
        <w:t xml:space="preserve">rozhodně </w:t>
      </w:r>
      <w:r w:rsidR="00407698" w:rsidRPr="000E3B0C">
        <w:t xml:space="preserve">nemá ambici nahrazovat </w:t>
      </w:r>
      <w:r w:rsidRPr="000E3B0C">
        <w:t>světské</w:t>
      </w:r>
      <w:r w:rsidR="00407698" w:rsidRPr="000E3B0C">
        <w:t xml:space="preserve"> </w:t>
      </w:r>
      <w:r w:rsidRPr="000E3B0C">
        <w:t xml:space="preserve">trestní </w:t>
      </w:r>
      <w:r w:rsidR="00850E31" w:rsidRPr="000E3B0C">
        <w:t>předpisy</w:t>
      </w:r>
      <w:r w:rsidRPr="000E3B0C">
        <w:t>. Naopak, cí</w:t>
      </w:r>
      <w:r w:rsidR="00407698" w:rsidRPr="000E3B0C">
        <w:t>rkev uznává autonomii</w:t>
      </w:r>
      <w:r w:rsidR="00850E31" w:rsidRPr="000E3B0C">
        <w:t xml:space="preserve"> státních orgánů činných v trestním řízení</w:t>
      </w:r>
      <w:r w:rsidR="00407698" w:rsidRPr="000E3B0C">
        <w:t xml:space="preserve">, </w:t>
      </w:r>
      <w:r w:rsidR="00850E31" w:rsidRPr="000E3B0C">
        <w:t>jejich</w:t>
      </w:r>
      <w:r w:rsidR="00407698" w:rsidRPr="000E3B0C">
        <w:t xml:space="preserve"> </w:t>
      </w:r>
      <w:r w:rsidR="00850E31" w:rsidRPr="000E3B0C">
        <w:t>fungování</w:t>
      </w:r>
      <w:r w:rsidR="00407698" w:rsidRPr="000E3B0C">
        <w:t xml:space="preserve"> považuje za potřebn</w:t>
      </w:r>
      <w:r w:rsidR="00850E31" w:rsidRPr="000E3B0C">
        <w:t>é</w:t>
      </w:r>
      <w:r w:rsidR="00407698" w:rsidRPr="000E3B0C">
        <w:t xml:space="preserve"> a nechce </w:t>
      </w:r>
      <w:r w:rsidR="00850E31" w:rsidRPr="000E3B0C">
        <w:t>jim</w:t>
      </w:r>
      <w:r w:rsidR="00407698" w:rsidRPr="000E3B0C">
        <w:t xml:space="preserve"> být konkurentem. Stíhání pachatelů trestných činů obsažených ve světských trestních předpisech je totiž podle učení církve posláním veřejné (státní) moci; právě ta má právo a povinnost chránit me</w:t>
      </w:r>
      <w:r w:rsidR="00015B76" w:rsidRPr="000E3B0C">
        <w:t xml:space="preserve">zilidské vztahy ve společnosti. </w:t>
      </w:r>
      <w:r w:rsidR="00850E31" w:rsidRPr="000E3B0C">
        <w:t>Světské</w:t>
      </w:r>
      <w:r w:rsidR="002035C8" w:rsidRPr="000E3B0C">
        <w:t xml:space="preserve"> a </w:t>
      </w:r>
      <w:r w:rsidR="00407698" w:rsidRPr="000E3B0C">
        <w:t>kanonické trestní právo jsou proto dvěma paralelními právními systémy, které fungují vedle sebe a pouze zřídka kdy se protínají (zabývají se týmž protiprávním jednáním);</w:t>
      </w:r>
      <w:r w:rsidR="00407698" w:rsidRPr="000E3B0C">
        <w:rPr>
          <w:rStyle w:val="Znakapoznpodarou"/>
        </w:rPr>
        <w:footnoteReference w:id="47"/>
      </w:r>
      <w:r w:rsidR="00407698" w:rsidRPr="000E3B0C">
        <w:t xml:space="preserve"> </w:t>
      </w:r>
      <w:r w:rsidR="00850E31" w:rsidRPr="000E3B0C">
        <w:t xml:space="preserve">je tomu tak </w:t>
      </w:r>
      <w:r w:rsidR="00407698" w:rsidRPr="000E3B0C">
        <w:t>zejména v případě sexuálních a majetkových deliktů duchovních.</w:t>
      </w:r>
      <w:r w:rsidR="002A7DDB" w:rsidRPr="000E3B0C">
        <w:t xml:space="preserve"> Ve specifických případech pohlavního zneužití osoby mladší 18 let, pakliže se jedná o skutek postihovaný zároveň</w:t>
      </w:r>
      <w:r w:rsidR="002035C8" w:rsidRPr="000E3B0C">
        <w:rPr>
          <w:rFonts w:cs="Garamond"/>
        </w:rPr>
        <w:t xml:space="preserve"> i </w:t>
      </w:r>
      <w:r w:rsidR="002A7DDB" w:rsidRPr="000E3B0C">
        <w:rPr>
          <w:rFonts w:cs="Garamond"/>
        </w:rPr>
        <w:t xml:space="preserve">sekulárním trestním právem, </w:t>
      </w:r>
      <w:r w:rsidR="002A7DDB" w:rsidRPr="000E3B0C">
        <w:t>má</w:t>
      </w:r>
      <w:r w:rsidR="00AE259B" w:rsidRPr="000E3B0C">
        <w:rPr>
          <w:rFonts w:cs="Garamond"/>
        </w:rPr>
        <w:t xml:space="preserve"> </w:t>
      </w:r>
      <w:r w:rsidR="00850E31" w:rsidRPr="000E3B0C">
        <w:rPr>
          <w:rFonts w:cs="Garamond"/>
        </w:rPr>
        <w:t xml:space="preserve">ovšem </w:t>
      </w:r>
      <w:r w:rsidR="00AE259B" w:rsidRPr="000E3B0C">
        <w:rPr>
          <w:rFonts w:cs="Garamond"/>
        </w:rPr>
        <w:t xml:space="preserve">diecézní biskup </w:t>
      </w:r>
      <w:r w:rsidR="002A7DDB" w:rsidRPr="000E3B0C">
        <w:rPr>
          <w:rFonts w:cs="Garamond"/>
        </w:rPr>
        <w:t xml:space="preserve">(pokud </w:t>
      </w:r>
      <w:r w:rsidR="00AE259B" w:rsidRPr="000E3B0C">
        <w:rPr>
          <w:rFonts w:cs="Garamond"/>
        </w:rPr>
        <w:t>shledá nařčení hodnověrným</w:t>
      </w:r>
      <w:r w:rsidR="002A7DDB" w:rsidRPr="000E3B0C">
        <w:rPr>
          <w:rFonts w:cs="Garamond"/>
        </w:rPr>
        <w:t xml:space="preserve">) </w:t>
      </w:r>
      <w:r w:rsidR="00AE259B" w:rsidRPr="000E3B0C">
        <w:rPr>
          <w:rFonts w:cs="Garamond"/>
        </w:rPr>
        <w:t xml:space="preserve">neprodleně oznámit věc </w:t>
      </w:r>
      <w:r w:rsidR="002A7DDB" w:rsidRPr="000E3B0C">
        <w:rPr>
          <w:rFonts w:cs="Garamond"/>
        </w:rPr>
        <w:t>o</w:t>
      </w:r>
      <w:r w:rsidR="00AE259B" w:rsidRPr="000E3B0C">
        <w:rPr>
          <w:rFonts w:cs="Garamond"/>
        </w:rPr>
        <w:t>r</w:t>
      </w:r>
      <w:r w:rsidR="002A7DDB" w:rsidRPr="000E3B0C">
        <w:rPr>
          <w:rFonts w:cs="Garamond"/>
        </w:rPr>
        <w:t xml:space="preserve">gánům činným v trestním řízení; takto má </w:t>
      </w:r>
      <w:r w:rsidR="00850E31" w:rsidRPr="000E3B0C">
        <w:rPr>
          <w:rFonts w:cs="Garamond"/>
        </w:rPr>
        <w:t xml:space="preserve">přitom </w:t>
      </w:r>
      <w:r w:rsidR="002035C8" w:rsidRPr="000E3B0C">
        <w:rPr>
          <w:rFonts w:cs="Garamond"/>
        </w:rPr>
        <w:t>postupovat i </w:t>
      </w:r>
      <w:r w:rsidR="002A7DDB" w:rsidRPr="000E3B0C">
        <w:rPr>
          <w:rFonts w:cs="Garamond"/>
        </w:rPr>
        <w:t xml:space="preserve">v případě </w:t>
      </w:r>
      <w:r w:rsidR="00AE259B" w:rsidRPr="000E3B0C">
        <w:rPr>
          <w:rFonts w:cs="Garamond"/>
        </w:rPr>
        <w:t xml:space="preserve">pravděpodobného promlčení podle </w:t>
      </w:r>
      <w:r w:rsidR="00850E31" w:rsidRPr="000E3B0C">
        <w:rPr>
          <w:rFonts w:cs="Garamond"/>
        </w:rPr>
        <w:t>světského</w:t>
      </w:r>
      <w:r w:rsidR="00AE259B" w:rsidRPr="000E3B0C">
        <w:rPr>
          <w:rFonts w:cs="Garamond"/>
        </w:rPr>
        <w:t xml:space="preserve"> trestního práva, neboť </w:t>
      </w:r>
      <w:r w:rsidR="00015B76" w:rsidRPr="000E3B0C">
        <w:rPr>
          <w:rFonts w:cs="Garamond"/>
        </w:rPr>
        <w:t xml:space="preserve">toto </w:t>
      </w:r>
      <w:r w:rsidR="00AE259B" w:rsidRPr="000E3B0C">
        <w:rPr>
          <w:rFonts w:cs="Garamond"/>
        </w:rPr>
        <w:t>posouzení přísluší státním o</w:t>
      </w:r>
      <w:bookmarkStart w:id="9" w:name="_ftnref46"/>
      <w:r w:rsidR="00AE259B" w:rsidRPr="000E3B0C">
        <w:rPr>
          <w:rFonts w:cs="Garamond"/>
        </w:rPr>
        <w:t>rgánům.</w:t>
      </w:r>
      <w:bookmarkEnd w:id="9"/>
      <w:r w:rsidR="002A7DDB" w:rsidRPr="000E3B0C">
        <w:rPr>
          <w:rStyle w:val="Znakapoznpodarou"/>
          <w:rFonts w:cs="Garamond"/>
        </w:rPr>
        <w:footnoteReference w:id="48"/>
      </w:r>
    </w:p>
    <w:p w14:paraId="77D868EA" w14:textId="77777777" w:rsidR="00B10AF1" w:rsidRPr="000E3B0C" w:rsidRDefault="004E16C3" w:rsidP="00C22619">
      <w:pPr>
        <w:pStyle w:val="Nadpis2"/>
        <w:numPr>
          <w:ilvl w:val="1"/>
          <w:numId w:val="3"/>
        </w:numPr>
      </w:pPr>
      <w:bookmarkStart w:id="10" w:name="_Toc130067374"/>
      <w:r w:rsidRPr="000E3B0C">
        <w:t>Kárné právo soudcovské</w:t>
      </w:r>
      <w:bookmarkEnd w:id="10"/>
    </w:p>
    <w:p w14:paraId="443DC188" w14:textId="36B63704" w:rsidR="00C56CBF" w:rsidRPr="000E3B0C" w:rsidRDefault="00C52BC8" w:rsidP="00280A4F">
      <w:pPr>
        <w:rPr>
          <w:rFonts w:eastAsia="Calibri" w:cs="Arial"/>
          <w:lang w:eastAsia="en-US"/>
        </w:rPr>
      </w:pPr>
      <w:r w:rsidRPr="000E3B0C">
        <w:t xml:space="preserve">Dle filosofa Jana Sokola tvoří soudci elitní </w:t>
      </w:r>
      <w:r w:rsidR="005654CF" w:rsidRPr="000E3B0C">
        <w:t xml:space="preserve">vrstvu společnosti; </w:t>
      </w:r>
      <w:r w:rsidRPr="000E3B0C">
        <w:t xml:space="preserve">zajištění prestiže soudcovského povolání </w:t>
      </w:r>
      <w:r w:rsidR="00A50C23" w:rsidRPr="000E3B0C">
        <w:t>proto</w:t>
      </w:r>
      <w:r w:rsidR="005654CF" w:rsidRPr="000E3B0C">
        <w:t xml:space="preserve"> </w:t>
      </w:r>
      <w:r w:rsidRPr="000E3B0C">
        <w:t xml:space="preserve">vyžaduje </w:t>
      </w:r>
      <w:r w:rsidR="00247C31" w:rsidRPr="000E3B0C">
        <w:t xml:space="preserve">také </w:t>
      </w:r>
      <w:r w:rsidR="00280A4F" w:rsidRPr="000E3B0C">
        <w:t>větší</w:t>
      </w:r>
      <w:r w:rsidRPr="000E3B0C">
        <w:t xml:space="preserve"> míru </w:t>
      </w:r>
      <w:r w:rsidR="005654CF" w:rsidRPr="000E3B0C">
        <w:t xml:space="preserve">jejich </w:t>
      </w:r>
      <w:r w:rsidRPr="000E3B0C">
        <w:t>odpovědnosti.</w:t>
      </w:r>
      <w:r w:rsidRPr="000E3B0C">
        <w:rPr>
          <w:rStyle w:val="Znakapoznpodarou"/>
        </w:rPr>
        <w:footnoteReference w:id="49"/>
      </w:r>
      <w:r w:rsidRPr="000E3B0C">
        <w:t xml:space="preserve"> </w:t>
      </w:r>
      <w:r w:rsidR="005654CF" w:rsidRPr="000E3B0C">
        <w:t>Výkon tohoto povolání s sebou přináší vysoké nároky, jež jsou kladeny nejen na osobnost soudce, ale také na j</w:t>
      </w:r>
      <w:r w:rsidR="00C56CBF" w:rsidRPr="000E3B0C">
        <w:t>eho odbornou a</w:t>
      </w:r>
      <w:r w:rsidR="002315E9">
        <w:t> </w:t>
      </w:r>
      <w:r w:rsidR="00C56CBF" w:rsidRPr="000E3B0C">
        <w:t>morální stránku.</w:t>
      </w:r>
      <w:r w:rsidR="00280A4F" w:rsidRPr="000E3B0C">
        <w:t xml:space="preserve"> Dokonce ani e</w:t>
      </w:r>
      <w:r w:rsidR="00C56CBF" w:rsidRPr="000E3B0C">
        <w:rPr>
          <w:rFonts w:eastAsia="Calibri" w:cs="Arial"/>
          <w:lang w:eastAsia="en-US"/>
        </w:rPr>
        <w:t xml:space="preserve">tické chování soudce nelze redukovat jen na dodržování pravidel slušného </w:t>
      </w:r>
      <w:r w:rsidR="00C56CBF" w:rsidRPr="000E3B0C">
        <w:rPr>
          <w:rFonts w:eastAsia="Calibri" w:cs="ArialMT"/>
          <w:lang w:eastAsia="en-US"/>
        </w:rPr>
        <w:t>společenského chování, neboť z</w:t>
      </w:r>
      <w:r w:rsidR="00C56CBF" w:rsidRPr="000E3B0C">
        <w:rPr>
          <w:rFonts w:eastAsia="Calibri" w:cs="Arial"/>
          <w:lang w:eastAsia="en-US"/>
        </w:rPr>
        <w:t>e samotné podstaty soudcovské funkce vyplývají</w:t>
      </w:r>
      <w:r w:rsidR="00280A4F" w:rsidRPr="000E3B0C">
        <w:rPr>
          <w:rFonts w:eastAsia="Calibri" w:cs="Arial"/>
          <w:lang w:eastAsia="en-US"/>
        </w:rPr>
        <w:t xml:space="preserve"> </w:t>
      </w:r>
      <w:r w:rsidR="00C56CBF" w:rsidRPr="000E3B0C">
        <w:rPr>
          <w:rFonts w:eastAsia="Calibri" w:cs="Arial"/>
          <w:lang w:eastAsia="en-US"/>
        </w:rPr>
        <w:t xml:space="preserve">na </w:t>
      </w:r>
      <w:r w:rsidR="00C56CBF" w:rsidRPr="000E3B0C">
        <w:rPr>
          <w:rFonts w:eastAsia="Calibri" w:cs="ArialMT"/>
          <w:lang w:eastAsia="en-US"/>
        </w:rPr>
        <w:t xml:space="preserve">chování soudců </w:t>
      </w:r>
      <w:r w:rsidR="00247C31" w:rsidRPr="000E3B0C">
        <w:rPr>
          <w:rFonts w:eastAsia="Calibri" w:cs="Arial"/>
          <w:lang w:eastAsia="en-US"/>
        </w:rPr>
        <w:t>zvýšené</w:t>
      </w:r>
      <w:r w:rsidR="00C56CBF" w:rsidRPr="000E3B0C">
        <w:rPr>
          <w:rFonts w:eastAsia="Calibri" w:cs="Arial"/>
          <w:lang w:eastAsia="en-US"/>
        </w:rPr>
        <w:t xml:space="preserve"> požadavky v zájm</w:t>
      </w:r>
      <w:r w:rsidR="00C56CBF" w:rsidRPr="000E3B0C">
        <w:rPr>
          <w:rFonts w:eastAsia="Calibri" w:cs="ArialMT"/>
          <w:lang w:eastAsia="en-US"/>
        </w:rPr>
        <w:t>u zachování důvěry veřejnosti</w:t>
      </w:r>
      <w:r w:rsidR="00247C31" w:rsidRPr="000E3B0C">
        <w:rPr>
          <w:rFonts w:eastAsia="Calibri" w:cs="ArialMT"/>
          <w:lang w:eastAsia="en-US"/>
        </w:rPr>
        <w:t>,</w:t>
      </w:r>
      <w:r w:rsidR="00280A4F" w:rsidRPr="000E3B0C">
        <w:rPr>
          <w:rFonts w:eastAsia="Calibri" w:cs="ArialMT"/>
          <w:lang w:eastAsia="en-US"/>
        </w:rPr>
        <w:t xml:space="preserve"> </w:t>
      </w:r>
      <w:r w:rsidR="00247C31" w:rsidRPr="000E3B0C">
        <w:rPr>
          <w:rFonts w:eastAsia="Calibri" w:cs="ArialMT"/>
          <w:lang w:eastAsia="en-US"/>
        </w:rPr>
        <w:lastRenderedPageBreak/>
        <w:t>věrohodnosti</w:t>
      </w:r>
      <w:r w:rsidR="00280A4F" w:rsidRPr="000E3B0C">
        <w:rPr>
          <w:rFonts w:eastAsia="Calibri" w:cs="ArialMT"/>
          <w:lang w:eastAsia="en-US"/>
        </w:rPr>
        <w:t xml:space="preserve"> justice a</w:t>
      </w:r>
      <w:r w:rsidR="002035C8" w:rsidRPr="000E3B0C">
        <w:rPr>
          <w:rFonts w:eastAsia="Calibri" w:cs="ArialMT"/>
          <w:lang w:eastAsia="en-US"/>
        </w:rPr>
        <w:t> </w:t>
      </w:r>
      <w:r w:rsidR="00C56CBF" w:rsidRPr="000E3B0C">
        <w:rPr>
          <w:rFonts w:eastAsia="Calibri" w:cs="ArialMT"/>
          <w:lang w:eastAsia="en-US"/>
        </w:rPr>
        <w:t>její</w:t>
      </w:r>
      <w:r w:rsidR="00247C31" w:rsidRPr="000E3B0C">
        <w:rPr>
          <w:rFonts w:eastAsia="Calibri" w:cs="ArialMT"/>
          <w:lang w:eastAsia="en-US"/>
        </w:rPr>
        <w:t>ho</w:t>
      </w:r>
      <w:r w:rsidR="00C56CBF" w:rsidRPr="000E3B0C">
        <w:rPr>
          <w:rFonts w:eastAsia="Calibri" w:cs="ArialMT"/>
          <w:lang w:eastAsia="en-US"/>
        </w:rPr>
        <w:t xml:space="preserve"> spra</w:t>
      </w:r>
      <w:r w:rsidR="00C56CBF" w:rsidRPr="000E3B0C">
        <w:rPr>
          <w:rFonts w:eastAsia="Calibri" w:cs="Arial"/>
          <w:lang w:eastAsia="en-US"/>
        </w:rPr>
        <w:t>vedlivé</w:t>
      </w:r>
      <w:r w:rsidR="00247C31" w:rsidRPr="000E3B0C">
        <w:rPr>
          <w:rFonts w:eastAsia="Calibri" w:cs="Arial"/>
          <w:lang w:eastAsia="en-US"/>
        </w:rPr>
        <w:t>ho</w:t>
      </w:r>
      <w:r w:rsidR="00C56CBF" w:rsidRPr="000E3B0C">
        <w:rPr>
          <w:rFonts w:eastAsia="Calibri" w:cs="Arial"/>
          <w:lang w:eastAsia="en-US"/>
        </w:rPr>
        <w:t xml:space="preserve"> rozhodování</w:t>
      </w:r>
      <w:r w:rsidR="00280A4F" w:rsidRPr="000E3B0C">
        <w:rPr>
          <w:rFonts w:eastAsia="Calibri" w:cs="Arial"/>
          <w:lang w:eastAsia="en-US"/>
        </w:rPr>
        <w:t>, stejně jako důstojnost</w:t>
      </w:r>
      <w:r w:rsidR="00247C31" w:rsidRPr="000E3B0C">
        <w:rPr>
          <w:rFonts w:eastAsia="Calibri" w:cs="Arial"/>
          <w:lang w:eastAsia="en-US"/>
        </w:rPr>
        <w:t>i</w:t>
      </w:r>
      <w:r w:rsidR="00280A4F" w:rsidRPr="000E3B0C">
        <w:rPr>
          <w:rFonts w:eastAsia="Calibri" w:cs="Arial"/>
          <w:lang w:eastAsia="en-US"/>
        </w:rPr>
        <w:t xml:space="preserve"> těch, kteří ji tvoří.</w:t>
      </w:r>
      <w:r w:rsidR="00280A4F" w:rsidRPr="000E3B0C">
        <w:rPr>
          <w:rStyle w:val="Znakapoznpodarou"/>
          <w:rFonts w:eastAsia="Calibri" w:cs="Arial"/>
          <w:lang w:eastAsia="en-US"/>
        </w:rPr>
        <w:footnoteReference w:id="50"/>
      </w:r>
    </w:p>
    <w:p w14:paraId="1036673C" w14:textId="77777777" w:rsidR="00C56CBF" w:rsidRPr="000E3B0C" w:rsidRDefault="00C56CBF" w:rsidP="00341356"/>
    <w:p w14:paraId="122320B2" w14:textId="4DD83BEF" w:rsidR="00AC1E49" w:rsidRPr="000E3B0C" w:rsidRDefault="00C56CBF" w:rsidP="00341356">
      <w:r w:rsidRPr="000E3B0C">
        <w:t>Kárnou odpovědnost můžeme obecně považovat za odpovědnost specifickou pro určité vybrané profese</w:t>
      </w:r>
      <w:r w:rsidRPr="000E3B0C">
        <w:rPr>
          <w:rStyle w:val="Znakapoznpodarou"/>
        </w:rPr>
        <w:footnoteReference w:id="51"/>
      </w:r>
      <w:r w:rsidRPr="000E3B0C">
        <w:t xml:space="preserve">, </w:t>
      </w:r>
      <w:r w:rsidR="00AC1E49" w:rsidRPr="000E3B0C">
        <w:t>jež</w:t>
      </w:r>
      <w:r w:rsidRPr="000E3B0C">
        <w:t xml:space="preserve"> představuje negativní reakci na spáchané provinění.</w:t>
      </w:r>
      <w:r w:rsidR="00E15A69" w:rsidRPr="000E3B0C">
        <w:t xml:space="preserve"> </w:t>
      </w:r>
      <w:r w:rsidR="005654CF" w:rsidRPr="000E3B0C">
        <w:t>Právní řád</w:t>
      </w:r>
      <w:r w:rsidR="00A921FF" w:rsidRPr="000E3B0C">
        <w:t xml:space="preserve"> </w:t>
      </w:r>
      <w:r w:rsidR="00AC1E49" w:rsidRPr="000E3B0C">
        <w:t xml:space="preserve">ukládá </w:t>
      </w:r>
      <w:r w:rsidR="005654CF" w:rsidRPr="000E3B0C">
        <w:t xml:space="preserve">soudcům </w:t>
      </w:r>
      <w:r w:rsidR="00AC1E49" w:rsidRPr="000E3B0C">
        <w:t>řadu</w:t>
      </w:r>
      <w:r w:rsidR="005654CF" w:rsidRPr="000E3B0C">
        <w:t xml:space="preserve"> povinností </w:t>
      </w:r>
      <w:r w:rsidR="00F447F8" w:rsidRPr="000E3B0C">
        <w:t>a omezení</w:t>
      </w:r>
      <w:r w:rsidR="005654CF" w:rsidRPr="000E3B0C">
        <w:t xml:space="preserve">, </w:t>
      </w:r>
      <w:r w:rsidR="00F447F8" w:rsidRPr="000E3B0C">
        <w:t>jimž musejí dostát</w:t>
      </w:r>
      <w:r w:rsidR="000941F1" w:rsidRPr="000E3B0C">
        <w:t xml:space="preserve">, a to </w:t>
      </w:r>
      <w:r w:rsidR="00AC1E49" w:rsidRPr="000E3B0C">
        <w:t>nejen</w:t>
      </w:r>
      <w:r w:rsidR="000941F1" w:rsidRPr="000E3B0C">
        <w:t xml:space="preserve"> během </w:t>
      </w:r>
      <w:r w:rsidR="005654CF" w:rsidRPr="000E3B0C">
        <w:t xml:space="preserve">přímého </w:t>
      </w:r>
      <w:r w:rsidR="000941F1" w:rsidRPr="000E3B0C">
        <w:t>výkonu</w:t>
      </w:r>
      <w:r w:rsidR="005654CF" w:rsidRPr="000E3B0C">
        <w:t xml:space="preserve"> </w:t>
      </w:r>
      <w:r w:rsidR="00F447F8" w:rsidRPr="000E3B0C">
        <w:t xml:space="preserve">své funkce, </w:t>
      </w:r>
      <w:r w:rsidR="00AC1E49" w:rsidRPr="000E3B0C">
        <w:t>ale</w:t>
      </w:r>
      <w:r w:rsidR="00FB1D55">
        <w:t> </w:t>
      </w:r>
      <w:r w:rsidR="00AC1E49" w:rsidRPr="000E3B0C">
        <w:t>také</w:t>
      </w:r>
      <w:r w:rsidR="00F447F8" w:rsidRPr="000E3B0C">
        <w:t xml:space="preserve"> </w:t>
      </w:r>
      <w:r w:rsidR="000941F1" w:rsidRPr="000E3B0C">
        <w:t>v</w:t>
      </w:r>
      <w:r w:rsidR="00A921FF" w:rsidRPr="000E3B0C">
        <w:t> </w:t>
      </w:r>
      <w:r w:rsidR="000941F1" w:rsidRPr="000E3B0C">
        <w:t>rámci</w:t>
      </w:r>
      <w:r w:rsidR="00A921FF" w:rsidRPr="000E3B0C">
        <w:t xml:space="preserve"> </w:t>
      </w:r>
      <w:r w:rsidR="00AC1E49" w:rsidRPr="000E3B0C">
        <w:t xml:space="preserve">svého </w:t>
      </w:r>
      <w:r w:rsidR="000941F1" w:rsidRPr="000E3B0C">
        <w:t>soukromého života.</w:t>
      </w:r>
      <w:r w:rsidRPr="000E3B0C">
        <w:t xml:space="preserve"> </w:t>
      </w:r>
      <w:r w:rsidR="00F447F8" w:rsidRPr="000E3B0C">
        <w:rPr>
          <w:rFonts w:cs="Cambria"/>
        </w:rPr>
        <w:t>Právě jejich kárná odpovědnost je jednou ze</w:t>
      </w:r>
      <w:r w:rsidR="00FB1D55">
        <w:rPr>
          <w:rFonts w:cs="Cambria"/>
        </w:rPr>
        <w:t> </w:t>
      </w:r>
      <w:r w:rsidR="00F447F8" w:rsidRPr="000E3B0C">
        <w:rPr>
          <w:rFonts w:cs="Cambria"/>
        </w:rPr>
        <w:t>základních záruk toho, že budou dodržovat povinnosti, jež musejí při výkonu své funkce plnit</w:t>
      </w:r>
      <w:r w:rsidR="00AC1E49" w:rsidRPr="000E3B0C">
        <w:rPr>
          <w:rFonts w:cs="Cambria"/>
        </w:rPr>
        <w:t>.</w:t>
      </w:r>
      <w:r w:rsidR="00F26821">
        <w:rPr>
          <w:rFonts w:cs="Cambria"/>
        </w:rPr>
        <w:t xml:space="preserve"> </w:t>
      </w:r>
      <w:r w:rsidR="00AC1E49" w:rsidRPr="000E3B0C">
        <w:rPr>
          <w:rFonts w:cs="Cambria"/>
        </w:rPr>
        <w:t xml:space="preserve">Kárná odpovědnost soudců tedy </w:t>
      </w:r>
      <w:r w:rsidR="00F447F8" w:rsidRPr="000E3B0C">
        <w:rPr>
          <w:rFonts w:cs="Cambria"/>
        </w:rPr>
        <w:t>p</w:t>
      </w:r>
      <w:r w:rsidR="00F447F8" w:rsidRPr="000E3B0C">
        <w:t xml:space="preserve">ředstavuje nástroj realizace dohledu nad řádným výkonem soudnictví. </w:t>
      </w:r>
      <w:r w:rsidR="00AC1E49" w:rsidRPr="000E3B0C">
        <w:rPr>
          <w:rFonts w:eastAsia="Calibri" w:cs="CIDFont+F1"/>
          <w:lang w:eastAsia="en-US"/>
        </w:rPr>
        <w:t>Jejím z</w:t>
      </w:r>
      <w:r w:rsidR="00E15A69" w:rsidRPr="000E3B0C">
        <w:rPr>
          <w:rFonts w:eastAsia="Calibri" w:cs="CIDFont+F1"/>
          <w:lang w:eastAsia="en-US"/>
        </w:rPr>
        <w:t xml:space="preserve">ákladním smyslem </w:t>
      </w:r>
      <w:r w:rsidR="00AC1E49" w:rsidRPr="000E3B0C">
        <w:rPr>
          <w:rFonts w:eastAsia="Calibri" w:cs="CIDFont+F1"/>
          <w:lang w:eastAsia="en-US"/>
        </w:rPr>
        <w:t xml:space="preserve">však </w:t>
      </w:r>
      <w:r w:rsidR="00E15A69" w:rsidRPr="000E3B0C">
        <w:rPr>
          <w:rFonts w:eastAsia="Calibri" w:cs="CIDFont+F1"/>
          <w:lang w:eastAsia="en-US"/>
        </w:rPr>
        <w:t>je ochrana integrity sou</w:t>
      </w:r>
      <w:r w:rsidR="002035C8" w:rsidRPr="000E3B0C">
        <w:rPr>
          <w:rFonts w:eastAsia="Calibri" w:cs="CIDFont+F1"/>
          <w:lang w:eastAsia="en-US"/>
        </w:rPr>
        <w:t>dcovského sboru, nezávislosti a </w:t>
      </w:r>
      <w:r w:rsidR="00E15A69" w:rsidRPr="000E3B0C">
        <w:rPr>
          <w:rFonts w:eastAsia="Calibri" w:cs="CIDFont+F1"/>
          <w:lang w:eastAsia="en-US"/>
        </w:rPr>
        <w:t>nestrannosti soudců a soudní moci a důvěry veřejnosti v nezávislé, nestranné a</w:t>
      </w:r>
      <w:r w:rsidR="00FB1D55">
        <w:rPr>
          <w:rFonts w:eastAsia="Calibri" w:cs="CIDFont+F1"/>
          <w:lang w:eastAsia="en-US"/>
        </w:rPr>
        <w:t> </w:t>
      </w:r>
      <w:r w:rsidR="00E15A69" w:rsidRPr="000E3B0C">
        <w:rPr>
          <w:rFonts w:eastAsia="Calibri" w:cs="CIDFont+F1"/>
          <w:lang w:eastAsia="en-US"/>
        </w:rPr>
        <w:t>spravedlivé rozhodování soudů; právě z tohoto důvodu je třeba bezezbytku trvat na tom, aby</w:t>
      </w:r>
      <w:r w:rsidR="00FB1D55">
        <w:rPr>
          <w:rFonts w:eastAsia="Calibri" w:cs="CIDFont+F1"/>
          <w:lang w:eastAsia="en-US"/>
        </w:rPr>
        <w:t> </w:t>
      </w:r>
      <w:r w:rsidR="00E15A69" w:rsidRPr="000E3B0C">
        <w:rPr>
          <w:rFonts w:eastAsia="Calibri" w:cs="CIDFont+F1"/>
          <w:lang w:eastAsia="en-US"/>
        </w:rPr>
        <w:t>plnění pracovních povinností a výkon mimopracovních aktivit soudce společně dávaly záruku řádného výkonu jeho funkce.</w:t>
      </w:r>
      <w:r w:rsidR="00E15A69" w:rsidRPr="000E3B0C">
        <w:t xml:space="preserve"> </w:t>
      </w:r>
      <w:r w:rsidR="00E15A69" w:rsidRPr="000E3B0C">
        <w:rPr>
          <w:rFonts w:eastAsia="Calibri" w:cs="CIDFont+F1"/>
          <w:lang w:eastAsia="en-US"/>
        </w:rPr>
        <w:t xml:space="preserve">Účelem kárné odpovědnosti </w:t>
      </w:r>
      <w:r w:rsidR="00AC1E49" w:rsidRPr="000E3B0C">
        <w:rPr>
          <w:rFonts w:eastAsia="Calibri" w:cs="CIDFont+F1"/>
          <w:lang w:eastAsia="en-US"/>
        </w:rPr>
        <w:t xml:space="preserve">soudců </w:t>
      </w:r>
      <w:r w:rsidR="00E15A69" w:rsidRPr="000E3B0C">
        <w:rPr>
          <w:rFonts w:eastAsia="Calibri" w:cs="CIDFont+F1"/>
          <w:lang w:eastAsia="en-US"/>
        </w:rPr>
        <w:t>je zabránit tomu, aby</w:t>
      </w:r>
      <w:r w:rsidR="00FB1D55">
        <w:rPr>
          <w:rFonts w:eastAsia="Calibri" w:cs="CIDFont+F1"/>
          <w:lang w:eastAsia="en-US"/>
        </w:rPr>
        <w:t> </w:t>
      </w:r>
      <w:r w:rsidR="00AC1E49" w:rsidRPr="000E3B0C">
        <w:rPr>
          <w:rFonts w:eastAsia="Calibri" w:cs="CIDFont+F1"/>
          <w:lang w:eastAsia="en-US"/>
        </w:rPr>
        <w:t xml:space="preserve">tuto </w:t>
      </w:r>
      <w:r w:rsidR="00E15A69" w:rsidRPr="000E3B0C">
        <w:rPr>
          <w:rFonts w:eastAsia="Calibri" w:cs="CIDFont+F1"/>
          <w:lang w:eastAsia="en-US"/>
        </w:rPr>
        <w:t xml:space="preserve">funkci zastávali ti, kteří nejsou zjevně dlouhodobě schopni či ochotni vykonávat </w:t>
      </w:r>
      <w:r w:rsidR="00AC1E49" w:rsidRPr="000E3B0C">
        <w:rPr>
          <w:rFonts w:eastAsia="Calibri" w:cs="CIDFont+F1"/>
          <w:lang w:eastAsia="en-US"/>
        </w:rPr>
        <w:t xml:space="preserve">svěřenou ústavní roli řádným způsobem, pročež by </w:t>
      </w:r>
      <w:r w:rsidR="00E15A69" w:rsidRPr="000E3B0C">
        <w:rPr>
          <w:rFonts w:eastAsia="Calibri" w:cs="CIDFont+F1"/>
          <w:lang w:eastAsia="en-US"/>
        </w:rPr>
        <w:t>jejich další setrvání v tomto úřadě vedlo k</w:t>
      </w:r>
      <w:r w:rsidR="00FB1D55">
        <w:rPr>
          <w:rFonts w:eastAsia="Calibri" w:cs="CIDFont+F1"/>
          <w:lang w:eastAsia="en-US"/>
        </w:rPr>
        <w:t> </w:t>
      </w:r>
      <w:r w:rsidR="00E15A69" w:rsidRPr="000E3B0C">
        <w:rPr>
          <w:rFonts w:eastAsia="Calibri" w:cs="CIDFont+F1"/>
          <w:lang w:eastAsia="en-US"/>
        </w:rPr>
        <w:t xml:space="preserve">opakovanému hromadění průtahů či jiných závažných nedostatků v jimi vyřizovaných věcech, </w:t>
      </w:r>
      <w:r w:rsidR="00AC1E49" w:rsidRPr="000E3B0C">
        <w:rPr>
          <w:rFonts w:eastAsia="Calibri" w:cs="CIDFont+F1"/>
          <w:lang w:eastAsia="en-US"/>
        </w:rPr>
        <w:t>případně</w:t>
      </w:r>
      <w:r w:rsidR="00E15A69" w:rsidRPr="000E3B0C">
        <w:rPr>
          <w:rFonts w:eastAsia="Calibri" w:cs="CIDFont+F1"/>
          <w:lang w:eastAsia="en-US"/>
        </w:rPr>
        <w:t xml:space="preserve"> existují vážné pochybnosti o jejich věrohodnosti a morální integritě.</w:t>
      </w:r>
      <w:r w:rsidR="00E15A69" w:rsidRPr="000E3B0C">
        <w:rPr>
          <w:rStyle w:val="Znakapoznpodarou"/>
          <w:rFonts w:eastAsia="Calibri" w:cs="CIDFont+F1"/>
          <w:lang w:eastAsia="en-US"/>
        </w:rPr>
        <w:footnoteReference w:id="52"/>
      </w:r>
    </w:p>
    <w:p w14:paraId="68AA1378" w14:textId="77777777" w:rsidR="00AC1E49" w:rsidRPr="000E3B0C" w:rsidRDefault="00AC1E49" w:rsidP="00341356"/>
    <w:p w14:paraId="5FB9D562" w14:textId="2F9216ED" w:rsidR="00F447F8" w:rsidRPr="000E3B0C" w:rsidRDefault="00804AAF" w:rsidP="00341356">
      <w:r w:rsidRPr="000E3B0C">
        <w:t xml:space="preserve">Odpovědnost soudce za </w:t>
      </w:r>
      <w:r w:rsidR="00755619" w:rsidRPr="000E3B0C">
        <w:t>jím spáchané delikty</w:t>
      </w:r>
      <w:r w:rsidRPr="000E3B0C">
        <w:t xml:space="preserve"> přitom nelze považovat za porušení jeho nezávislosti. Již skutečnost, že ústavní pořádek i zákony soudcům ukládají různé povinnosti, vede logicky k nutnosti úpravy </w:t>
      </w:r>
      <w:r w:rsidR="008B3633" w:rsidRPr="000E3B0C">
        <w:t>pro stanovení následků</w:t>
      </w:r>
      <w:r w:rsidRPr="000E3B0C">
        <w:t xml:space="preserve"> za jejich případné porušení. Řízení o kárné odpovědnosti zapadá do komplexu nezávislosti soudce, neboť mu zajišťuje možnost obrany v</w:t>
      </w:r>
      <w:r w:rsidR="002035C8" w:rsidRPr="000E3B0C">
        <w:t>e </w:t>
      </w:r>
      <w:r w:rsidR="00303A95" w:rsidRPr="000E3B0C">
        <w:t>specifickém</w:t>
      </w:r>
      <w:r w:rsidRPr="000E3B0C">
        <w:t xml:space="preserve"> soudním procesu upraveném právě s ohledem na </w:t>
      </w:r>
      <w:r w:rsidR="00303A95" w:rsidRPr="000E3B0C">
        <w:t>zvláštní</w:t>
      </w:r>
      <w:r w:rsidR="008B3633" w:rsidRPr="000E3B0C">
        <w:t xml:space="preserve"> postavení soudce; za </w:t>
      </w:r>
      <w:r w:rsidRPr="000E3B0C">
        <w:t xml:space="preserve">pochybení související s výkonem funkce či tímto postavením </w:t>
      </w:r>
      <w:r w:rsidR="008B3633" w:rsidRPr="000E3B0C">
        <w:t xml:space="preserve">přitom </w:t>
      </w:r>
      <w:r w:rsidRPr="000E3B0C">
        <w:t>nemůže být soudce postižen jinak</w:t>
      </w:r>
      <w:r w:rsidRPr="000E3B0C">
        <w:rPr>
          <w:vertAlign w:val="superscript"/>
        </w:rPr>
        <w:footnoteReference w:id="53"/>
      </w:r>
      <w:r w:rsidRPr="000E3B0C">
        <w:t xml:space="preserve"> než </w:t>
      </w:r>
      <w:r w:rsidR="00755619" w:rsidRPr="000E3B0C">
        <w:t xml:space="preserve">právě </w:t>
      </w:r>
      <w:r w:rsidRPr="000E3B0C">
        <w:t>v kárném řízení.</w:t>
      </w:r>
      <w:r w:rsidRPr="000E3B0C">
        <w:rPr>
          <w:vertAlign w:val="superscript"/>
        </w:rPr>
        <w:footnoteReference w:id="54"/>
      </w:r>
    </w:p>
    <w:p w14:paraId="773BF4ED" w14:textId="77777777" w:rsidR="00651588" w:rsidRPr="000E3B0C" w:rsidRDefault="00651588" w:rsidP="00341356"/>
    <w:p w14:paraId="5230309E" w14:textId="5CEE649B" w:rsidR="001B046F" w:rsidRPr="000E3B0C" w:rsidRDefault="00BE6752" w:rsidP="004D64E0">
      <w:pPr>
        <w:rPr>
          <w:rFonts w:cs="Cambria"/>
        </w:rPr>
      </w:pPr>
      <w:r w:rsidRPr="000E3B0C">
        <w:lastRenderedPageBreak/>
        <w:t>Soudobé</w:t>
      </w:r>
      <w:r w:rsidRPr="000E3B0C">
        <w:rPr>
          <w:rStyle w:val="Znakapoznpodarou"/>
        </w:rPr>
        <w:footnoteReference w:id="55"/>
      </w:r>
      <w:r w:rsidRPr="000E3B0C">
        <w:t xml:space="preserve"> r</w:t>
      </w:r>
      <w:r w:rsidR="007F402C" w:rsidRPr="000E3B0C">
        <w:t>elativně lakonické h</w:t>
      </w:r>
      <w:r w:rsidR="00D15048" w:rsidRPr="000E3B0C">
        <w:t xml:space="preserve">motněprávní </w:t>
      </w:r>
      <w:r w:rsidR="007F402C" w:rsidRPr="000E3B0C">
        <w:t>zakotvení</w:t>
      </w:r>
      <w:r w:rsidR="00D15048" w:rsidRPr="000E3B0C">
        <w:t xml:space="preserve"> kárné odpovědnosti</w:t>
      </w:r>
      <w:r w:rsidR="00060619" w:rsidRPr="000E3B0C">
        <w:t xml:space="preserve"> soudců</w:t>
      </w:r>
      <w:r w:rsidR="00DF2F46" w:rsidRPr="000E3B0C">
        <w:rPr>
          <w:rStyle w:val="Znakapoznpodarou"/>
        </w:rPr>
        <w:footnoteReference w:id="56"/>
      </w:r>
      <w:r w:rsidR="00060619" w:rsidRPr="000E3B0C">
        <w:t xml:space="preserve"> nalezneme v </w:t>
      </w:r>
      <w:r w:rsidR="00D15048" w:rsidRPr="000E3B0C">
        <w:t>zákon</w:t>
      </w:r>
      <w:r w:rsidR="00060619" w:rsidRPr="000E3B0C">
        <w:t>ě o soudech a soudcích</w:t>
      </w:r>
      <w:r w:rsidR="007F402C" w:rsidRPr="000E3B0C">
        <w:t xml:space="preserve"> (</w:t>
      </w:r>
      <w:r w:rsidR="008A5731" w:rsidRPr="000E3B0C">
        <w:t xml:space="preserve">konkrétně </w:t>
      </w:r>
      <w:r w:rsidR="007F402C" w:rsidRPr="000E3B0C">
        <w:t xml:space="preserve">jde o </w:t>
      </w:r>
      <w:r w:rsidR="004C6A54" w:rsidRPr="000E3B0C">
        <w:t>§ 86</w:t>
      </w:r>
      <w:r w:rsidR="004C6A54" w:rsidRPr="000E3B0C">
        <w:rPr>
          <w:rFonts w:cs="Garamond"/>
        </w:rPr>
        <w:sym w:font="Symbol" w:char="F02D"/>
      </w:r>
      <w:r w:rsidR="008A5731" w:rsidRPr="000E3B0C">
        <w:t>§ 90</w:t>
      </w:r>
      <w:r w:rsidR="004D64E0" w:rsidRPr="000E3B0C">
        <w:t>)</w:t>
      </w:r>
      <w:r w:rsidR="00711884" w:rsidRPr="000E3B0C">
        <w:t>.</w:t>
      </w:r>
      <w:r w:rsidR="008B3633" w:rsidRPr="000E3B0C">
        <w:t xml:space="preserve"> Z</w:t>
      </w:r>
      <w:r w:rsidR="004D64E0" w:rsidRPr="000E3B0C">
        <w:t xml:space="preserve">ákonodárce zvolil toto legislativní řešení proto, že kárná odpovědnost soudce se odvíjí od vymezení jeho povinností, které stanoví především právě tento </w:t>
      </w:r>
      <w:r w:rsidR="008B3633" w:rsidRPr="000E3B0C">
        <w:t>předpis</w:t>
      </w:r>
      <w:r w:rsidR="004D64E0" w:rsidRPr="000E3B0C">
        <w:t>.</w:t>
      </w:r>
      <w:r w:rsidR="004D64E0" w:rsidRPr="000E3B0C">
        <w:rPr>
          <w:rStyle w:val="Znakapoznpodarou"/>
        </w:rPr>
        <w:footnoteReference w:id="57"/>
      </w:r>
      <w:r w:rsidR="004D64E0" w:rsidRPr="000E3B0C">
        <w:t xml:space="preserve"> </w:t>
      </w:r>
      <w:r w:rsidR="008B3633" w:rsidRPr="000E3B0C">
        <w:t>V něm</w:t>
      </w:r>
      <w:r w:rsidR="007F402C" w:rsidRPr="000E3B0C">
        <w:t xml:space="preserve"> je upravena </w:t>
      </w:r>
      <w:r w:rsidR="00574633" w:rsidRPr="000E3B0C">
        <w:t xml:space="preserve">jak (jediná) </w:t>
      </w:r>
      <w:r w:rsidR="007F402C" w:rsidRPr="000E3B0C">
        <w:t>skut</w:t>
      </w:r>
      <w:r w:rsidR="00574633" w:rsidRPr="000E3B0C">
        <w:t xml:space="preserve">ková podstata kárného provinění, tak </w:t>
      </w:r>
      <w:r w:rsidR="00001C31" w:rsidRPr="000E3B0C">
        <w:t xml:space="preserve">také </w:t>
      </w:r>
      <w:r w:rsidR="004D64E0" w:rsidRPr="000E3B0C">
        <w:t xml:space="preserve">nabídka </w:t>
      </w:r>
      <w:r w:rsidR="008B3633" w:rsidRPr="000E3B0C">
        <w:t xml:space="preserve">možných </w:t>
      </w:r>
      <w:r w:rsidR="004D64E0" w:rsidRPr="000E3B0C">
        <w:t>kárných</w:t>
      </w:r>
      <w:r w:rsidR="00060619" w:rsidRPr="000E3B0C">
        <w:t xml:space="preserve"> opatření </w:t>
      </w:r>
      <w:r w:rsidR="00A50C23" w:rsidRPr="000E3B0C">
        <w:t>jakožto postih</w:t>
      </w:r>
      <w:r w:rsidR="008B3633" w:rsidRPr="000E3B0C">
        <w:t>ů</w:t>
      </w:r>
      <w:r w:rsidR="00060619" w:rsidRPr="000E3B0C">
        <w:t xml:space="preserve"> za </w:t>
      </w:r>
      <w:r w:rsidR="008B3633" w:rsidRPr="000E3B0C">
        <w:t>spáchaný delikt</w:t>
      </w:r>
      <w:r w:rsidR="00A50C23" w:rsidRPr="000E3B0C">
        <w:t xml:space="preserve">. </w:t>
      </w:r>
      <w:r w:rsidR="008B3633" w:rsidRPr="000E3B0C">
        <w:t>Legální</w:t>
      </w:r>
      <w:r w:rsidR="00A50C23" w:rsidRPr="000E3B0C">
        <w:t xml:space="preserve"> d</w:t>
      </w:r>
      <w:r w:rsidR="000941F1" w:rsidRPr="000E3B0C">
        <w:t>efinici</w:t>
      </w:r>
      <w:r w:rsidR="00A921FF" w:rsidRPr="000E3B0C">
        <w:t xml:space="preserve"> </w:t>
      </w:r>
      <w:r w:rsidR="00A50C23" w:rsidRPr="000E3B0C">
        <w:t xml:space="preserve">kárné odpovědnosti soudce </w:t>
      </w:r>
      <w:r w:rsidR="00001C31" w:rsidRPr="000E3B0C">
        <w:t xml:space="preserve">však </w:t>
      </w:r>
      <w:r w:rsidR="000941F1" w:rsidRPr="000E3B0C">
        <w:t>v právním řádu</w:t>
      </w:r>
      <w:r w:rsidR="00A50C23" w:rsidRPr="000E3B0C">
        <w:t xml:space="preserve"> nenalezneme</w:t>
      </w:r>
      <w:r w:rsidR="000941F1" w:rsidRPr="000E3B0C">
        <w:t xml:space="preserve">. </w:t>
      </w:r>
      <w:r w:rsidR="001B046F" w:rsidRPr="000E3B0C">
        <w:t>Legislativa ji</w:t>
      </w:r>
      <w:r w:rsidR="000941F1" w:rsidRPr="000E3B0C">
        <w:t xml:space="preserve"> </w:t>
      </w:r>
      <w:r w:rsidR="001B046F" w:rsidRPr="000E3B0C">
        <w:t>vymezuje</w:t>
      </w:r>
      <w:r w:rsidR="000941F1" w:rsidRPr="000E3B0C">
        <w:t xml:space="preserve"> velmi obecně</w:t>
      </w:r>
      <w:r w:rsidR="00A50C23" w:rsidRPr="000E3B0C">
        <w:t xml:space="preserve"> tak</w:t>
      </w:r>
      <w:r w:rsidR="00001C31" w:rsidRPr="000E3B0C">
        <w:t>,</w:t>
      </w:r>
      <w:r w:rsidR="00A50C23" w:rsidRPr="000E3B0C">
        <w:t xml:space="preserve"> že </w:t>
      </w:r>
      <w:r w:rsidR="00A50C23" w:rsidRPr="000E3B0C">
        <w:rPr>
          <w:i/>
        </w:rPr>
        <w:t>„s</w:t>
      </w:r>
      <w:r w:rsidR="000941F1" w:rsidRPr="000E3B0C">
        <w:rPr>
          <w:i/>
        </w:rPr>
        <w:t>oudce, předseda soudu, místopředseda soudu,</w:t>
      </w:r>
      <w:r w:rsidR="00A921FF" w:rsidRPr="000E3B0C">
        <w:rPr>
          <w:i/>
        </w:rPr>
        <w:t xml:space="preserve"> </w:t>
      </w:r>
      <w:r w:rsidR="000941F1" w:rsidRPr="000E3B0C">
        <w:rPr>
          <w:i/>
        </w:rPr>
        <w:t>předseda kolegia Nejvyššího soudu nebo Nejvyššího správního soudu jsou kárně odpovědni za</w:t>
      </w:r>
      <w:r w:rsidR="00A921FF" w:rsidRPr="000E3B0C">
        <w:rPr>
          <w:i/>
        </w:rPr>
        <w:t xml:space="preserve"> </w:t>
      </w:r>
      <w:r w:rsidR="000941F1" w:rsidRPr="000E3B0C">
        <w:rPr>
          <w:i/>
        </w:rPr>
        <w:t>kárné provinění.“</w:t>
      </w:r>
      <w:r w:rsidR="00A50C23" w:rsidRPr="000E3B0C">
        <w:rPr>
          <w:rStyle w:val="Znakapoznpodarou"/>
        </w:rPr>
        <w:footnoteReference w:id="58"/>
      </w:r>
      <w:r w:rsidR="000941F1" w:rsidRPr="000E3B0C">
        <w:t xml:space="preserve"> </w:t>
      </w:r>
      <w:r w:rsidR="00001C31" w:rsidRPr="000E3B0C">
        <w:t>Jedná se tedy o n</w:t>
      </w:r>
      <w:r w:rsidR="00F447F8" w:rsidRPr="000E3B0C">
        <w:rPr>
          <w:rFonts w:cs="Cambria"/>
        </w:rPr>
        <w:t>utnost soudce nést záko</w:t>
      </w:r>
      <w:r w:rsidR="00C64331" w:rsidRPr="000E3B0C">
        <w:rPr>
          <w:rFonts w:cs="Cambria"/>
        </w:rPr>
        <w:t>nem stanovený následek za takové</w:t>
      </w:r>
      <w:r w:rsidR="00F447F8" w:rsidRPr="000E3B0C">
        <w:rPr>
          <w:rFonts w:cs="Cambria"/>
        </w:rPr>
        <w:t xml:space="preserve"> porušení </w:t>
      </w:r>
      <w:r w:rsidR="00C64331" w:rsidRPr="000E3B0C">
        <w:rPr>
          <w:rFonts w:cs="Cambria"/>
        </w:rPr>
        <w:t xml:space="preserve">svých </w:t>
      </w:r>
      <w:r w:rsidR="00F447F8" w:rsidRPr="000E3B0C">
        <w:rPr>
          <w:rFonts w:cs="Cambria"/>
        </w:rPr>
        <w:t xml:space="preserve">povinností </w:t>
      </w:r>
      <w:r w:rsidR="00C64331" w:rsidRPr="000E3B0C">
        <w:rPr>
          <w:rFonts w:cs="Cambria"/>
        </w:rPr>
        <w:t>nebo jednání</w:t>
      </w:r>
      <w:r w:rsidR="00F447F8" w:rsidRPr="000E3B0C">
        <w:rPr>
          <w:rFonts w:cs="Cambria"/>
        </w:rPr>
        <w:t xml:space="preserve">, které naplňuje skutkovou podstatu kárného </w:t>
      </w:r>
      <w:r w:rsidR="001B046F" w:rsidRPr="000E3B0C">
        <w:rPr>
          <w:rFonts w:cs="Cambria"/>
        </w:rPr>
        <w:t>provinění.</w:t>
      </w:r>
    </w:p>
    <w:p w14:paraId="1DC5F571" w14:textId="77777777" w:rsidR="008217EC" w:rsidRPr="000E3B0C" w:rsidRDefault="008217EC" w:rsidP="004D64E0">
      <w:pPr>
        <w:rPr>
          <w:rFonts w:cs="Cambria"/>
        </w:rPr>
      </w:pPr>
    </w:p>
    <w:p w14:paraId="4E65B3EF" w14:textId="56758685" w:rsidR="00341356" w:rsidRPr="000E3B0C" w:rsidRDefault="001B046F" w:rsidP="004D64E0">
      <w:pPr>
        <w:rPr>
          <w:rFonts w:cs="Cambria"/>
        </w:rPr>
      </w:pPr>
      <w:r w:rsidRPr="000E3B0C">
        <w:t>Pokud jde o právní povahu</w:t>
      </w:r>
      <w:r w:rsidR="00C64331" w:rsidRPr="000E3B0C">
        <w:t xml:space="preserve"> kárné odpovědnosti soudce, dle Aleše </w:t>
      </w:r>
      <w:proofErr w:type="spellStart"/>
      <w:r w:rsidR="00C64331" w:rsidRPr="000E3B0C">
        <w:t>Gerlocha</w:t>
      </w:r>
      <w:proofErr w:type="spellEnd"/>
      <w:r w:rsidR="00C64331" w:rsidRPr="000E3B0C">
        <w:t xml:space="preserve"> </w:t>
      </w:r>
      <w:r w:rsidR="002035C8" w:rsidRPr="000E3B0C">
        <w:t>se jedná o </w:t>
      </w:r>
      <w:r w:rsidRPr="000E3B0C">
        <w:t xml:space="preserve">disciplinární </w:t>
      </w:r>
      <w:r w:rsidR="00C64331" w:rsidRPr="000E3B0C">
        <w:t xml:space="preserve">odpovědnost </w:t>
      </w:r>
      <w:r w:rsidRPr="000E3B0C">
        <w:t>pohybující se</w:t>
      </w:r>
      <w:r w:rsidR="00C64331" w:rsidRPr="000E3B0C">
        <w:t xml:space="preserve"> na pomezí mezi </w:t>
      </w:r>
      <w:r w:rsidR="00C64331" w:rsidRPr="000E3B0C">
        <w:rPr>
          <w:iCs/>
        </w:rPr>
        <w:t>soukromoprávními a veřejnoprávními delikty</w:t>
      </w:r>
      <w:r w:rsidR="009F7EC7" w:rsidRPr="000E3B0C">
        <w:t>; poukazuje</w:t>
      </w:r>
      <w:r w:rsidR="001F3FC1" w:rsidRPr="000E3B0C">
        <w:t xml:space="preserve"> </w:t>
      </w:r>
      <w:r w:rsidRPr="000E3B0C">
        <w:t>zároveň</w:t>
      </w:r>
      <w:r w:rsidR="001F3FC1" w:rsidRPr="000E3B0C">
        <w:t xml:space="preserve"> to</w:t>
      </w:r>
      <w:r w:rsidR="009F7EC7" w:rsidRPr="000E3B0C">
        <w:t xml:space="preserve">, že </w:t>
      </w:r>
      <w:r w:rsidR="00CF7E78" w:rsidRPr="000E3B0C">
        <w:t>ji</w:t>
      </w:r>
      <w:r w:rsidR="009F7EC7" w:rsidRPr="000E3B0C">
        <w:t xml:space="preserve"> n</w:t>
      </w:r>
      <w:r w:rsidR="00C64331" w:rsidRPr="000E3B0C">
        <w:t xml:space="preserve">elze vymoci, pokud zanikl vztah, jenž </w:t>
      </w:r>
      <w:r w:rsidR="009F7EC7" w:rsidRPr="000E3B0C">
        <w:t>ji zakládal</w:t>
      </w:r>
      <w:r w:rsidR="00C64331" w:rsidRPr="000E3B0C">
        <w:t>.</w:t>
      </w:r>
      <w:r w:rsidR="00C64331" w:rsidRPr="000E3B0C">
        <w:rPr>
          <w:rStyle w:val="Znakapoznpodarou"/>
        </w:rPr>
        <w:footnoteReference w:id="59"/>
      </w:r>
      <w:r w:rsidR="001F3FC1" w:rsidRPr="000E3B0C">
        <w:t xml:space="preserve"> </w:t>
      </w:r>
      <w:r w:rsidR="00CF7E78" w:rsidRPr="000E3B0C">
        <w:t>O</w:t>
      </w:r>
      <w:r w:rsidR="00B666EF" w:rsidRPr="000E3B0C">
        <w:t xml:space="preserve">tázkou </w:t>
      </w:r>
      <w:r w:rsidR="00CF7E78" w:rsidRPr="000E3B0C">
        <w:t xml:space="preserve">charakteru kárné odpovědnosti </w:t>
      </w:r>
      <w:r w:rsidR="00B666EF" w:rsidRPr="000E3B0C">
        <w:t>se zabýval taktéž Ústavní soud</w:t>
      </w:r>
      <w:r w:rsidR="002035C8" w:rsidRPr="000E3B0C">
        <w:t>, který naznal, že se nejedná o </w:t>
      </w:r>
      <w:r w:rsidR="00CF7E78" w:rsidRPr="000E3B0C">
        <w:t xml:space="preserve">případ </w:t>
      </w:r>
      <w:r w:rsidR="00B666EF" w:rsidRPr="000E3B0C">
        <w:t>trestní</w:t>
      </w:r>
      <w:r w:rsidR="00CF7E78" w:rsidRPr="000E3B0C">
        <w:t>ho</w:t>
      </w:r>
      <w:r w:rsidR="00B666EF" w:rsidRPr="000E3B0C">
        <w:t xml:space="preserve"> obvinění, </w:t>
      </w:r>
      <w:r w:rsidR="00CF7E78" w:rsidRPr="000E3B0C">
        <w:t>nýbrž</w:t>
      </w:r>
      <w:r w:rsidR="00B666EF" w:rsidRPr="000E3B0C">
        <w:t xml:space="preserve"> jde </w:t>
      </w:r>
      <w:r w:rsidR="001F3FC1" w:rsidRPr="000E3B0C">
        <w:rPr>
          <w:shd w:val="clear" w:color="auto" w:fill="FFFFFF"/>
        </w:rPr>
        <w:t xml:space="preserve">svou povahou </w:t>
      </w:r>
      <w:r w:rsidR="00B666EF" w:rsidRPr="000E3B0C">
        <w:rPr>
          <w:shd w:val="clear" w:color="auto" w:fill="FFFFFF"/>
        </w:rPr>
        <w:t xml:space="preserve">o </w:t>
      </w:r>
      <w:r w:rsidR="001F3FC1" w:rsidRPr="000E3B0C">
        <w:rPr>
          <w:shd w:val="clear" w:color="auto" w:fill="FFFFFF"/>
        </w:rPr>
        <w:t>kla</w:t>
      </w:r>
      <w:r w:rsidR="00B666EF" w:rsidRPr="000E3B0C">
        <w:rPr>
          <w:shd w:val="clear" w:color="auto" w:fill="FFFFFF"/>
        </w:rPr>
        <w:t xml:space="preserve">sickou disciplinární odpovědnost, neboť </w:t>
      </w:r>
      <w:r w:rsidR="001F3FC1" w:rsidRPr="000E3B0C">
        <w:rPr>
          <w:shd w:val="clear" w:color="auto" w:fill="FFFFFF"/>
        </w:rPr>
        <w:t xml:space="preserve">je </w:t>
      </w:r>
      <w:r w:rsidR="001A6FE3" w:rsidRPr="000E3B0C">
        <w:rPr>
          <w:i/>
          <w:shd w:val="clear" w:color="auto" w:fill="FFFFFF"/>
        </w:rPr>
        <w:t>„</w:t>
      </w:r>
      <w:r w:rsidR="001F3FC1" w:rsidRPr="000E3B0C">
        <w:rPr>
          <w:i/>
          <w:shd w:val="clear" w:color="auto" w:fill="FFFFFF"/>
        </w:rPr>
        <w:t>sice rozhodováno o odpovědnosti za nesplnění povinnosti stanovené právním předpisem, avšak týká se pouze specifických povinností soudce</w:t>
      </w:r>
      <w:r w:rsidR="00341356" w:rsidRPr="000E3B0C">
        <w:rPr>
          <w:i/>
          <w:shd w:val="clear" w:color="auto" w:fill="FFFFFF"/>
        </w:rPr>
        <w:t>.</w:t>
      </w:r>
      <w:r w:rsidR="00341356" w:rsidRPr="000E3B0C">
        <w:rPr>
          <w:shd w:val="clear" w:color="auto" w:fill="FFFFFF"/>
        </w:rPr>
        <w:t xml:space="preserve"> (…) </w:t>
      </w:r>
      <w:r w:rsidR="001F3FC1" w:rsidRPr="000E3B0C">
        <w:rPr>
          <w:i/>
          <w:shd w:val="clear" w:color="auto" w:fill="FFFFFF"/>
        </w:rPr>
        <w:t xml:space="preserve">Za porušení povinností soudce totiž může být uložena pouze sankce měnící podmínky právního vztahu mezi soudcem a státem či tento </w:t>
      </w:r>
      <w:r w:rsidR="00341356" w:rsidRPr="000E3B0C">
        <w:rPr>
          <w:i/>
          <w:shd w:val="clear" w:color="auto" w:fill="FFFFFF"/>
        </w:rPr>
        <w:t>právní vztah ukončující.“</w:t>
      </w:r>
      <w:r w:rsidR="00341356" w:rsidRPr="000E3B0C">
        <w:rPr>
          <w:rStyle w:val="Znakapoznpodarou"/>
        </w:rPr>
        <w:footnoteReference w:id="60"/>
      </w:r>
      <w:r w:rsidR="00CF7E78" w:rsidRPr="000E3B0C">
        <w:rPr>
          <w:shd w:val="clear" w:color="auto" w:fill="FFFFFF"/>
        </w:rPr>
        <w:t xml:space="preserve"> </w:t>
      </w:r>
      <w:r w:rsidR="00655399" w:rsidRPr="000E3B0C">
        <w:rPr>
          <w:shd w:val="clear" w:color="auto" w:fill="FFFFFF"/>
        </w:rPr>
        <w:t>Já sám bych na</w:t>
      </w:r>
      <w:r w:rsidR="00FB1D55">
        <w:rPr>
          <w:shd w:val="clear" w:color="auto" w:fill="FFFFFF"/>
        </w:rPr>
        <w:t> </w:t>
      </w:r>
      <w:r w:rsidR="00655399" w:rsidRPr="000E3B0C">
        <w:rPr>
          <w:shd w:val="clear" w:color="auto" w:fill="FFFFFF"/>
        </w:rPr>
        <w:t>základě svých praktických zkušeností, přes všechen respekt ke specifikům funkce soudce (jako je především jejich ústavně garantovaná nezávislost), označil kárnou odpovědnost za</w:t>
      </w:r>
      <w:r w:rsidR="00FB1D55">
        <w:rPr>
          <w:shd w:val="clear" w:color="auto" w:fill="FFFFFF"/>
        </w:rPr>
        <w:t> </w:t>
      </w:r>
      <w:r w:rsidR="00655399" w:rsidRPr="000E3B0C">
        <w:rPr>
          <w:shd w:val="clear" w:color="auto" w:fill="FFFFFF"/>
        </w:rPr>
        <w:t>fakticky pracovněprávní; je tomu tak proto, že naprostá většina soudcům vytýkaných provinění se týká kvality (zejména rychlosti) výkonu soudcovské činnosti, tedy jejich „pracovní“ agendy.</w:t>
      </w:r>
    </w:p>
    <w:p w14:paraId="2EB4C765" w14:textId="77777777" w:rsidR="001F3FC1" w:rsidRPr="000E3B0C" w:rsidRDefault="001F3FC1" w:rsidP="00B204A5"/>
    <w:p w14:paraId="685232EC" w14:textId="4344E31B" w:rsidR="008217EC" w:rsidRPr="000E3B0C" w:rsidRDefault="00B204A5" w:rsidP="008217EC">
      <w:pPr>
        <w:rPr>
          <w:rFonts w:cs="Arial"/>
          <w:shd w:val="clear" w:color="auto" w:fill="FFFFFF"/>
        </w:rPr>
      </w:pPr>
      <w:r w:rsidRPr="000E3B0C">
        <w:t>Zakotvení</w:t>
      </w:r>
      <w:r w:rsidR="00A265F8" w:rsidRPr="000E3B0C">
        <w:t xml:space="preserve"> k</w:t>
      </w:r>
      <w:r w:rsidR="000941F1" w:rsidRPr="000E3B0C">
        <w:t>árné</w:t>
      </w:r>
      <w:r w:rsidR="00A265F8" w:rsidRPr="000E3B0C">
        <w:t>ho</w:t>
      </w:r>
      <w:r w:rsidR="000941F1" w:rsidRPr="000E3B0C">
        <w:t xml:space="preserve"> </w:t>
      </w:r>
      <w:r w:rsidR="000941F1" w:rsidRPr="000E3B0C">
        <w:rPr>
          <w:rFonts w:cs="TimesNewRoman"/>
        </w:rPr>
        <w:t>ř</w:t>
      </w:r>
      <w:r w:rsidR="00A265F8" w:rsidRPr="000E3B0C">
        <w:t>ízení jakožto soudní</w:t>
      </w:r>
      <w:r w:rsidR="00655399" w:rsidRPr="000E3B0C">
        <w:t>ho</w:t>
      </w:r>
      <w:r w:rsidR="00A265F8" w:rsidRPr="000E3B0C">
        <w:t xml:space="preserve"> procesu</w:t>
      </w:r>
      <w:r w:rsidR="00655399" w:rsidRPr="000E3B0C">
        <w:t xml:space="preserve">, v němž se </w:t>
      </w:r>
      <w:r w:rsidR="00A265F8" w:rsidRPr="000E3B0C">
        <w:t>realizuj</w:t>
      </w:r>
      <w:r w:rsidR="00655399" w:rsidRPr="000E3B0C">
        <w:t>e</w:t>
      </w:r>
      <w:r w:rsidR="00A265F8" w:rsidRPr="000E3B0C">
        <w:t xml:space="preserve"> kárn</w:t>
      </w:r>
      <w:r w:rsidR="00655399" w:rsidRPr="000E3B0C">
        <w:t>á</w:t>
      </w:r>
      <w:r w:rsidR="000941F1" w:rsidRPr="000E3B0C">
        <w:t xml:space="preserve"> odpov</w:t>
      </w:r>
      <w:r w:rsidR="000941F1" w:rsidRPr="000E3B0C">
        <w:rPr>
          <w:rFonts w:cs="TimesNewRoman"/>
        </w:rPr>
        <w:t>ě</w:t>
      </w:r>
      <w:r w:rsidR="00A265F8" w:rsidRPr="000E3B0C">
        <w:t>dnost soudců</w:t>
      </w:r>
      <w:r w:rsidR="00655399" w:rsidRPr="000E3B0C">
        <w:t>,</w:t>
      </w:r>
      <w:r w:rsidR="00A265F8" w:rsidRPr="000E3B0C">
        <w:t xml:space="preserve"> se </w:t>
      </w:r>
      <w:r w:rsidR="00400558" w:rsidRPr="000E3B0C">
        <w:t xml:space="preserve">(možná poněkud překvapivě) </w:t>
      </w:r>
      <w:r w:rsidR="00A265F8" w:rsidRPr="000E3B0C">
        <w:t xml:space="preserve">nenachází přímo v zákoně o soudech a soudcích, nýbrž </w:t>
      </w:r>
      <w:r w:rsidR="00400558" w:rsidRPr="000E3B0C">
        <w:t>ve</w:t>
      </w:r>
      <w:r w:rsidR="00A265F8" w:rsidRPr="000E3B0C">
        <w:t xml:space="preserve"> </w:t>
      </w:r>
      <w:r w:rsidR="00AC2FCB" w:rsidRPr="000E3B0C">
        <w:t xml:space="preserve">zvláštním </w:t>
      </w:r>
      <w:r w:rsidR="00A265F8" w:rsidRPr="000E3B0C">
        <w:t>právním předpise,</w:t>
      </w:r>
      <w:r w:rsidR="00400558" w:rsidRPr="000E3B0C">
        <w:rPr>
          <w:rStyle w:val="Znakapoznpodarou"/>
        </w:rPr>
        <w:footnoteReference w:id="61"/>
      </w:r>
      <w:r w:rsidR="00A265F8" w:rsidRPr="000E3B0C">
        <w:t xml:space="preserve"> jímž je zákon </w:t>
      </w:r>
      <w:r w:rsidR="00AC2FCB" w:rsidRPr="000E3B0C">
        <w:rPr>
          <w:rFonts w:cs="Arial"/>
          <w:iCs/>
          <w:shd w:val="clear" w:color="auto" w:fill="FFFFFF"/>
        </w:rPr>
        <w:t xml:space="preserve">o řízení ve věcech soudců, státních zástupců </w:t>
      </w:r>
      <w:r w:rsidR="00AC2FCB" w:rsidRPr="000E3B0C">
        <w:rPr>
          <w:rFonts w:cs="Arial"/>
          <w:iCs/>
          <w:shd w:val="clear" w:color="auto" w:fill="FFFFFF"/>
        </w:rPr>
        <w:lastRenderedPageBreak/>
        <w:t>a</w:t>
      </w:r>
      <w:r w:rsidR="002035C8" w:rsidRPr="000E3B0C">
        <w:rPr>
          <w:rFonts w:cs="Arial"/>
          <w:iCs/>
          <w:shd w:val="clear" w:color="auto" w:fill="FFFFFF"/>
        </w:rPr>
        <w:t> </w:t>
      </w:r>
      <w:r w:rsidR="00AC2FCB" w:rsidRPr="000E3B0C">
        <w:rPr>
          <w:rFonts w:cs="Arial"/>
          <w:iCs/>
          <w:shd w:val="clear" w:color="auto" w:fill="FFFFFF"/>
        </w:rPr>
        <w:t>soudních exekutorů</w:t>
      </w:r>
      <w:r w:rsidR="00061A48" w:rsidRPr="000E3B0C">
        <w:rPr>
          <w:rStyle w:val="Znakapoznpodarou"/>
          <w:rFonts w:cs="Arial"/>
          <w:iCs/>
          <w:shd w:val="clear" w:color="auto" w:fill="FFFFFF"/>
        </w:rPr>
        <w:footnoteReference w:id="62"/>
      </w:r>
      <w:r w:rsidR="00AC2FCB" w:rsidRPr="000E3B0C">
        <w:rPr>
          <w:rFonts w:cs="Arial"/>
          <w:iCs/>
          <w:shd w:val="clear" w:color="auto" w:fill="FFFFFF"/>
        </w:rPr>
        <w:t>.</w:t>
      </w:r>
      <w:r w:rsidR="00AC2FCB" w:rsidRPr="000E3B0C">
        <w:rPr>
          <w:rFonts w:cs="Arial"/>
          <w:i/>
          <w:iCs/>
          <w:shd w:val="clear" w:color="auto" w:fill="FFFFFF"/>
        </w:rPr>
        <w:t xml:space="preserve"> </w:t>
      </w:r>
      <w:r w:rsidR="00400558" w:rsidRPr="000E3B0C">
        <w:rPr>
          <w:rFonts w:cs="Arial"/>
          <w:iCs/>
          <w:shd w:val="clear" w:color="auto" w:fill="FFFFFF"/>
        </w:rPr>
        <w:t>P</w:t>
      </w:r>
      <w:r w:rsidR="0039732A" w:rsidRPr="000E3B0C">
        <w:t xml:space="preserve">rávní řád neobsahuje ani </w:t>
      </w:r>
      <w:r w:rsidR="00400558" w:rsidRPr="000E3B0C">
        <w:t>legální definici kárného řízení;</w:t>
      </w:r>
      <w:r w:rsidR="0039732A" w:rsidRPr="000E3B0C">
        <w:t xml:space="preserve"> na základě vymezení jeho smyslu a ú</w:t>
      </w:r>
      <w:r w:rsidR="0039732A" w:rsidRPr="000E3B0C">
        <w:rPr>
          <w:rFonts w:cs="TimesNewRoman"/>
        </w:rPr>
        <w:t>č</w:t>
      </w:r>
      <w:r w:rsidR="0039732A" w:rsidRPr="000E3B0C">
        <w:t xml:space="preserve">elu </w:t>
      </w:r>
      <w:r w:rsidR="00400558" w:rsidRPr="000E3B0C">
        <w:t xml:space="preserve">však </w:t>
      </w:r>
      <w:r w:rsidR="0039732A" w:rsidRPr="000E3B0C">
        <w:t xml:space="preserve">lze </w:t>
      </w:r>
      <w:r w:rsidR="0039732A" w:rsidRPr="000E3B0C">
        <w:rPr>
          <w:rFonts w:cs="TimesNewRoman"/>
        </w:rPr>
        <w:t>konstatovat</w:t>
      </w:r>
      <w:r w:rsidR="0039732A" w:rsidRPr="000E3B0C">
        <w:t>, že se jedná o zákonem upravený postup kárného soudu, procesních stran (kárného na</w:t>
      </w:r>
      <w:r w:rsidR="00400558" w:rsidRPr="000E3B0C">
        <w:t xml:space="preserve">vrhovatele a kárně obviněného) a </w:t>
      </w:r>
      <w:r w:rsidR="0039732A" w:rsidRPr="000E3B0C">
        <w:t>dalších subjekt</w:t>
      </w:r>
      <w:r w:rsidR="0039732A" w:rsidRPr="000E3B0C">
        <w:rPr>
          <w:rFonts w:cs="TimesNewRoman"/>
        </w:rPr>
        <w:t xml:space="preserve">ů </w:t>
      </w:r>
      <w:r w:rsidR="0039732A" w:rsidRPr="000E3B0C">
        <w:t>zú</w:t>
      </w:r>
      <w:r w:rsidR="0039732A" w:rsidRPr="000E3B0C">
        <w:rPr>
          <w:rFonts w:cs="TimesNewRoman"/>
        </w:rPr>
        <w:t>č</w:t>
      </w:r>
      <w:r w:rsidR="0039732A" w:rsidRPr="000E3B0C">
        <w:t>astn</w:t>
      </w:r>
      <w:r w:rsidR="0039732A" w:rsidRPr="000E3B0C">
        <w:rPr>
          <w:rFonts w:cs="TimesNewRoman"/>
        </w:rPr>
        <w:t>ě</w:t>
      </w:r>
      <w:r w:rsidR="0039732A" w:rsidRPr="000E3B0C">
        <w:t xml:space="preserve">ných na </w:t>
      </w:r>
      <w:r w:rsidR="0039732A" w:rsidRPr="000E3B0C">
        <w:rPr>
          <w:rFonts w:cs="TimesNewRoman"/>
        </w:rPr>
        <w:t>ř</w:t>
      </w:r>
      <w:r w:rsidR="0039732A" w:rsidRPr="000E3B0C">
        <w:t>ízení, jehož cílem je zjistit, zda obvin</w:t>
      </w:r>
      <w:r w:rsidR="0039732A" w:rsidRPr="000E3B0C">
        <w:rPr>
          <w:rFonts w:cs="TimesNewRoman"/>
        </w:rPr>
        <w:t>ě</w:t>
      </w:r>
      <w:r w:rsidR="0039732A" w:rsidRPr="000E3B0C">
        <w:t xml:space="preserve">ný soudce spáchal </w:t>
      </w:r>
      <w:r w:rsidR="00400558" w:rsidRPr="000E3B0C">
        <w:t xml:space="preserve">mu </w:t>
      </w:r>
      <w:r w:rsidR="0039732A" w:rsidRPr="000E3B0C">
        <w:t>vytýkané kárné provin</w:t>
      </w:r>
      <w:r w:rsidR="0039732A" w:rsidRPr="000E3B0C">
        <w:rPr>
          <w:rFonts w:cs="TimesNewRoman"/>
        </w:rPr>
        <w:t>ě</w:t>
      </w:r>
      <w:r w:rsidR="0039732A" w:rsidRPr="000E3B0C">
        <w:t xml:space="preserve">ní, a případně </w:t>
      </w:r>
      <w:r w:rsidR="00400558" w:rsidRPr="000E3B0C">
        <w:t>uložení</w:t>
      </w:r>
      <w:r w:rsidR="0039732A" w:rsidRPr="000E3B0C">
        <w:t xml:space="preserve"> n</w:t>
      </w:r>
      <w:r w:rsidR="0039732A" w:rsidRPr="000E3B0C">
        <w:rPr>
          <w:rFonts w:cs="TimesNewRoman"/>
        </w:rPr>
        <w:t>ě</w:t>
      </w:r>
      <w:r w:rsidR="0039732A" w:rsidRPr="000E3B0C">
        <w:t>které</w:t>
      </w:r>
      <w:r w:rsidR="00400558" w:rsidRPr="000E3B0C">
        <w:t>ho</w:t>
      </w:r>
      <w:r w:rsidR="0039732A" w:rsidRPr="000E3B0C">
        <w:t xml:space="preserve"> ze zákonem stanovených kárných opat</w:t>
      </w:r>
      <w:r w:rsidR="0039732A" w:rsidRPr="000E3B0C">
        <w:rPr>
          <w:rFonts w:cs="TimesNewRoman"/>
        </w:rPr>
        <w:t>ř</w:t>
      </w:r>
      <w:r w:rsidR="0039732A" w:rsidRPr="000E3B0C">
        <w:t xml:space="preserve">ení. </w:t>
      </w:r>
      <w:r w:rsidR="00400558" w:rsidRPr="000E3B0C">
        <w:t xml:space="preserve">Jedná se tedy </w:t>
      </w:r>
      <w:r w:rsidR="00D15048" w:rsidRPr="000E3B0C">
        <w:t xml:space="preserve">ve své podstatě </w:t>
      </w:r>
      <w:r w:rsidR="00400558" w:rsidRPr="000E3B0C">
        <w:t xml:space="preserve">o </w:t>
      </w:r>
      <w:r w:rsidRPr="000E3B0C">
        <w:rPr>
          <w:iCs/>
        </w:rPr>
        <w:t>specifické soudní</w:t>
      </w:r>
      <w:r w:rsidR="00D15048" w:rsidRPr="000E3B0C">
        <w:rPr>
          <w:i/>
          <w:iCs/>
        </w:rPr>
        <w:t xml:space="preserve"> </w:t>
      </w:r>
      <w:r w:rsidRPr="000E3B0C">
        <w:t>řízení</w:t>
      </w:r>
      <w:r w:rsidR="007F7F5E">
        <w:t>,</w:t>
      </w:r>
      <w:r w:rsidR="00400558" w:rsidRPr="000E3B0C">
        <w:t xml:space="preserve"> v němž jsou „souzeni“ soudci. Jeho </w:t>
      </w:r>
      <w:r w:rsidRPr="000E3B0C">
        <w:t xml:space="preserve">explicitní </w:t>
      </w:r>
      <w:r w:rsidR="00400558" w:rsidRPr="000E3B0C">
        <w:t xml:space="preserve">právní </w:t>
      </w:r>
      <w:r w:rsidRPr="000E3B0C">
        <w:t>úprava je v</w:t>
      </w:r>
      <w:r w:rsidR="00400558" w:rsidRPr="000E3B0C">
        <w:t>elmi stručná, neboť čítá toliko sedmnáct ustanovení.</w:t>
      </w:r>
      <w:r w:rsidR="00400558" w:rsidRPr="000E3B0C">
        <w:rPr>
          <w:rStyle w:val="Znakapoznpodarou"/>
        </w:rPr>
        <w:footnoteReference w:id="63"/>
      </w:r>
      <w:r w:rsidR="00422BB3" w:rsidRPr="000E3B0C">
        <w:t xml:space="preserve"> Platí proto, že </w:t>
      </w:r>
      <w:r w:rsidRPr="000E3B0C">
        <w:t>n</w:t>
      </w:r>
      <w:r w:rsidRPr="000E3B0C">
        <w:rPr>
          <w:rFonts w:cs="Arial"/>
          <w:shd w:val="clear" w:color="auto" w:fill="FFFFFF"/>
        </w:rPr>
        <w:t>estanoví-li daný zákon jinak nebo nevyplývá-li z povahy věci něco jiného, použijí se v kárném řízení přiměřeně ustanovení trestního řádu</w:t>
      </w:r>
      <w:r w:rsidR="008308C5" w:rsidRPr="000E3B0C">
        <w:rPr>
          <w:rStyle w:val="Znakapoznpodarou"/>
          <w:rFonts w:cs="Arial"/>
          <w:shd w:val="clear" w:color="auto" w:fill="FFFFFF"/>
        </w:rPr>
        <w:footnoteReference w:id="64"/>
      </w:r>
      <w:r w:rsidRPr="000E3B0C">
        <w:rPr>
          <w:rFonts w:cs="Arial"/>
          <w:shd w:val="clear" w:color="auto" w:fill="FFFFFF"/>
        </w:rPr>
        <w:t>.</w:t>
      </w:r>
      <w:r w:rsidRPr="000E3B0C">
        <w:rPr>
          <w:rStyle w:val="Znakapoznpodarou"/>
          <w:rFonts w:cs="Arial"/>
          <w:shd w:val="clear" w:color="auto" w:fill="FFFFFF"/>
        </w:rPr>
        <w:footnoteReference w:id="65"/>
      </w:r>
      <w:r w:rsidR="00422BB3" w:rsidRPr="000E3B0C">
        <w:rPr>
          <w:rFonts w:cs="Arial"/>
          <w:shd w:val="clear" w:color="auto" w:fill="FFFFFF"/>
        </w:rPr>
        <w:t xml:space="preserve"> </w:t>
      </w:r>
      <w:r w:rsidR="008217EC" w:rsidRPr="000E3B0C">
        <w:rPr>
          <w:rFonts w:cs="Arial"/>
          <w:shd w:val="clear" w:color="auto" w:fill="FFFFFF"/>
        </w:rPr>
        <w:t>Ani o</w:t>
      </w:r>
      <w:r w:rsidR="008217EC" w:rsidRPr="000E3B0C">
        <w:t xml:space="preserve"> problematice kárného procesního práva však nebude v této práci blíže pojednáno.</w:t>
      </w:r>
    </w:p>
    <w:p w14:paraId="347881A5" w14:textId="77777777" w:rsidR="008217EC" w:rsidRPr="000E3B0C" w:rsidRDefault="008217EC" w:rsidP="008000E4"/>
    <w:p w14:paraId="0E125EBA" w14:textId="69D59ED0" w:rsidR="00442467" w:rsidRPr="000E3B0C" w:rsidRDefault="002553F1" w:rsidP="00442467">
      <w:pPr>
        <w:rPr>
          <w:rFonts w:cs="Arial"/>
          <w:sz w:val="20"/>
          <w:szCs w:val="20"/>
          <w:shd w:val="clear" w:color="auto" w:fill="FFFFFF"/>
        </w:rPr>
      </w:pPr>
      <w:r w:rsidRPr="000E3B0C">
        <w:rPr>
          <w:rFonts w:cs="Arial"/>
          <w:shd w:val="clear" w:color="auto" w:fill="FFFFFF"/>
        </w:rPr>
        <w:t>Pro</w:t>
      </w:r>
      <w:r w:rsidRPr="000E3B0C">
        <w:rPr>
          <w:rFonts w:cs="Arial"/>
          <w:b/>
          <w:shd w:val="clear" w:color="auto" w:fill="FFFFFF"/>
        </w:rPr>
        <w:t xml:space="preserve"> </w:t>
      </w:r>
      <w:r w:rsidRPr="000E3B0C">
        <w:rPr>
          <w:rFonts w:cs="Arial"/>
          <w:shd w:val="clear" w:color="auto" w:fill="FFFFFF"/>
        </w:rPr>
        <w:t>v</w:t>
      </w:r>
      <w:r w:rsidR="00483D64" w:rsidRPr="000E3B0C">
        <w:rPr>
          <w:rFonts w:cs="Arial"/>
          <w:shd w:val="clear" w:color="auto" w:fill="FFFFFF"/>
        </w:rPr>
        <w:t xml:space="preserve">ztah </w:t>
      </w:r>
      <w:r w:rsidRPr="000E3B0C">
        <w:rPr>
          <w:rFonts w:cs="Arial"/>
          <w:shd w:val="clear" w:color="auto" w:fill="FFFFFF"/>
        </w:rPr>
        <w:t>mezi kárnou</w:t>
      </w:r>
      <w:r w:rsidR="00483D64" w:rsidRPr="000E3B0C">
        <w:rPr>
          <w:rFonts w:cs="Arial"/>
          <w:shd w:val="clear" w:color="auto" w:fill="FFFFFF"/>
        </w:rPr>
        <w:t xml:space="preserve"> </w:t>
      </w:r>
      <w:r w:rsidR="007E4AFF" w:rsidRPr="000E3B0C">
        <w:rPr>
          <w:rFonts w:cs="Arial"/>
          <w:shd w:val="clear" w:color="auto" w:fill="FFFFFF"/>
        </w:rPr>
        <w:t>a</w:t>
      </w:r>
      <w:r w:rsidRPr="000E3B0C">
        <w:rPr>
          <w:rFonts w:cs="Arial"/>
          <w:shd w:val="clear" w:color="auto" w:fill="FFFFFF"/>
        </w:rPr>
        <w:t xml:space="preserve"> „všeobecnou</w:t>
      </w:r>
      <w:r w:rsidR="008000E4" w:rsidRPr="000E3B0C">
        <w:rPr>
          <w:rFonts w:cs="Arial"/>
          <w:shd w:val="clear" w:color="auto" w:fill="FFFFFF"/>
        </w:rPr>
        <w:t xml:space="preserve">“ </w:t>
      </w:r>
      <w:r w:rsidRPr="000E3B0C">
        <w:rPr>
          <w:rFonts w:cs="Arial"/>
          <w:shd w:val="clear" w:color="auto" w:fill="FFFFFF"/>
        </w:rPr>
        <w:t>odpovědností</w:t>
      </w:r>
      <w:r w:rsidR="008000E4" w:rsidRPr="000E3B0C">
        <w:rPr>
          <w:rFonts w:cs="Arial"/>
          <w:shd w:val="clear" w:color="auto" w:fill="FFFFFF"/>
        </w:rPr>
        <w:t xml:space="preserve"> (ať už</w:t>
      </w:r>
      <w:r w:rsidRPr="000E3B0C">
        <w:rPr>
          <w:rFonts w:cs="Arial"/>
          <w:shd w:val="clear" w:color="auto" w:fill="FFFFFF"/>
        </w:rPr>
        <w:t xml:space="preserve"> trestní nebo přestupkovou</w:t>
      </w:r>
      <w:r w:rsidR="008000E4" w:rsidRPr="000E3B0C">
        <w:rPr>
          <w:rFonts w:cs="Arial"/>
          <w:shd w:val="clear" w:color="auto" w:fill="FFFFFF"/>
        </w:rPr>
        <w:t>)</w:t>
      </w:r>
      <w:r w:rsidR="007E4AFF" w:rsidRPr="000E3B0C">
        <w:rPr>
          <w:rFonts w:cs="Arial"/>
          <w:shd w:val="clear" w:color="auto" w:fill="FFFFFF"/>
        </w:rPr>
        <w:t xml:space="preserve"> platí, že</w:t>
      </w:r>
      <w:r w:rsidR="008000E4" w:rsidRPr="000E3B0C">
        <w:rPr>
          <w:rFonts w:cs="Arial"/>
          <w:shd w:val="clear" w:color="auto" w:fill="FFFFFF"/>
        </w:rPr>
        <w:t xml:space="preserve"> </w:t>
      </w:r>
      <w:r w:rsidR="008000E4" w:rsidRPr="000E3B0C">
        <w:rPr>
          <w:rFonts w:cs="Arial"/>
          <w:i/>
          <w:shd w:val="clear" w:color="auto" w:fill="FFFFFF"/>
        </w:rPr>
        <w:t>„m</w:t>
      </w:r>
      <w:r w:rsidR="00483D64" w:rsidRPr="000E3B0C">
        <w:rPr>
          <w:rFonts w:cs="Arial"/>
          <w:i/>
          <w:shd w:val="clear" w:color="auto" w:fill="FFFFFF"/>
        </w:rPr>
        <w:t xml:space="preserve">á-li </w:t>
      </w:r>
      <w:r w:rsidR="008000E4" w:rsidRPr="000E3B0C">
        <w:rPr>
          <w:rFonts w:cs="Arial"/>
          <w:i/>
          <w:shd w:val="clear" w:color="auto" w:fill="FFFFFF"/>
        </w:rPr>
        <w:t xml:space="preserve">kárný </w:t>
      </w:r>
      <w:r w:rsidR="00483D64" w:rsidRPr="000E3B0C">
        <w:rPr>
          <w:rFonts w:cs="Arial"/>
          <w:i/>
          <w:shd w:val="clear" w:color="auto" w:fill="FFFFFF"/>
        </w:rPr>
        <w:t>senát zato, že skutečnosti, které se kárně obviněnému kladou za vinu, mají znaky trestného činu nebo přestupku anebo jiného správního deliktu, kárné řízení přeruší a věc postoupí příslušnému orgánu; obdobně postupuje i tehdy, dozví-li se, že pro tentýž skutek je vedeno proti kárně obviněnému trestní stíhání nebo správní řízení.</w:t>
      </w:r>
      <w:r w:rsidR="008000E4" w:rsidRPr="000E3B0C">
        <w:rPr>
          <w:rFonts w:cs="Arial"/>
          <w:i/>
          <w:shd w:val="clear" w:color="auto" w:fill="FFFFFF"/>
        </w:rPr>
        <w:t>“</w:t>
      </w:r>
      <w:r w:rsidR="008000E4" w:rsidRPr="000E3B0C">
        <w:rPr>
          <w:shd w:val="clear" w:color="auto" w:fill="FFFFFF"/>
          <w:vertAlign w:val="superscript"/>
        </w:rPr>
        <w:footnoteReference w:id="66"/>
      </w:r>
      <w:r w:rsidRPr="000E3B0C">
        <w:rPr>
          <w:rFonts w:cs="Arial"/>
          <w:shd w:val="clear" w:color="auto" w:fill="FFFFFF"/>
        </w:rPr>
        <w:t xml:space="preserve"> Obecná odpovědnost soudců má tedy legislativně zakotvenou přednost před jejich kárnou odpovědností. </w:t>
      </w:r>
      <w:r w:rsidR="00483D64" w:rsidRPr="000E3B0C">
        <w:rPr>
          <w:rFonts w:cs="Arial"/>
          <w:shd w:val="clear" w:color="auto" w:fill="FFFFFF"/>
        </w:rPr>
        <w:t xml:space="preserve">Přerušení kárného řízení </w:t>
      </w:r>
      <w:r w:rsidR="008000E4" w:rsidRPr="000E3B0C">
        <w:rPr>
          <w:rFonts w:cs="Arial"/>
          <w:shd w:val="clear" w:color="auto" w:fill="FFFFFF"/>
        </w:rPr>
        <w:t xml:space="preserve">pak </w:t>
      </w:r>
      <w:r w:rsidR="00483D64" w:rsidRPr="000E3B0C">
        <w:rPr>
          <w:rFonts w:cs="Arial"/>
          <w:shd w:val="clear" w:color="auto" w:fill="FFFFFF"/>
        </w:rPr>
        <w:t xml:space="preserve">trvá </w:t>
      </w:r>
      <w:r w:rsidRPr="000E3B0C">
        <w:rPr>
          <w:rFonts w:cs="Arial"/>
          <w:shd w:val="clear" w:color="auto" w:fill="FFFFFF"/>
        </w:rPr>
        <w:t xml:space="preserve">až </w:t>
      </w:r>
      <w:r w:rsidR="00483D64" w:rsidRPr="000E3B0C">
        <w:rPr>
          <w:rFonts w:cs="Arial"/>
          <w:shd w:val="clear" w:color="auto" w:fill="FFFFFF"/>
        </w:rPr>
        <w:t>do právní moci rozhodnutí</w:t>
      </w:r>
      <w:r w:rsidR="008000E4" w:rsidRPr="000E3B0C">
        <w:rPr>
          <w:rFonts w:cs="Arial"/>
          <w:shd w:val="clear" w:color="auto" w:fill="FFFFFF"/>
        </w:rPr>
        <w:t xml:space="preserve"> příslušného</w:t>
      </w:r>
      <w:r w:rsidR="00483D64" w:rsidRPr="000E3B0C">
        <w:rPr>
          <w:rFonts w:cs="Arial"/>
          <w:shd w:val="clear" w:color="auto" w:fill="FFFFFF"/>
        </w:rPr>
        <w:t xml:space="preserve"> orgánu, jemuž byla věc postoupena</w:t>
      </w:r>
      <w:r w:rsidR="008000E4" w:rsidRPr="000E3B0C">
        <w:rPr>
          <w:rFonts w:cs="Arial"/>
          <w:shd w:val="clear" w:color="auto" w:fill="FFFFFF"/>
        </w:rPr>
        <w:t xml:space="preserve">. Poté je na kárném soudu, aby posoudil, zda </w:t>
      </w:r>
      <w:r w:rsidRPr="000E3B0C">
        <w:rPr>
          <w:rFonts w:cs="Arial"/>
          <w:shd w:val="clear" w:color="auto" w:fill="FFFFFF"/>
        </w:rPr>
        <w:t xml:space="preserve">postih uložený </w:t>
      </w:r>
      <w:r w:rsidR="008000E4" w:rsidRPr="000E3B0C">
        <w:rPr>
          <w:rFonts w:cs="Arial"/>
          <w:shd w:val="clear" w:color="auto" w:fill="FFFFFF"/>
        </w:rPr>
        <w:t xml:space="preserve">v tomto jiném řízení </w:t>
      </w:r>
      <w:r w:rsidRPr="000E3B0C">
        <w:rPr>
          <w:rFonts w:cs="Arial"/>
          <w:shd w:val="clear" w:color="auto" w:fill="FFFFFF"/>
        </w:rPr>
        <w:t xml:space="preserve">je dle něj </w:t>
      </w:r>
      <w:r w:rsidR="00483D64" w:rsidRPr="000E3B0C">
        <w:rPr>
          <w:rFonts w:cs="Arial"/>
          <w:shd w:val="clear" w:color="auto" w:fill="FFFFFF"/>
        </w:rPr>
        <w:t>dostačující</w:t>
      </w:r>
      <w:r w:rsidR="008000E4" w:rsidRPr="000E3B0C">
        <w:rPr>
          <w:rFonts w:cs="Arial"/>
          <w:shd w:val="clear" w:color="auto" w:fill="FFFFFF"/>
        </w:rPr>
        <w:t>, či nikoliv.</w:t>
      </w:r>
      <w:r w:rsidR="00442467" w:rsidRPr="000E3B0C">
        <w:rPr>
          <w:rFonts w:cs="Arial"/>
          <w:shd w:val="clear" w:color="auto" w:fill="FFFFFF"/>
        </w:rPr>
        <w:t xml:space="preserve"> Pokračování v kárném řízení (a případnému uložení kárného opatření za tentýž skutek, za nějž byl soudce již postižen) nebrání dokonce ani zásada </w:t>
      </w:r>
      <w:r w:rsidR="00442467" w:rsidRPr="000E3B0C">
        <w:rPr>
          <w:rFonts w:cs="Arial"/>
          <w:i/>
          <w:shd w:val="clear" w:color="auto" w:fill="FFFFFF"/>
        </w:rPr>
        <w:t>ne bis in idem</w:t>
      </w:r>
      <w:r w:rsidR="00442467" w:rsidRPr="000E3B0C">
        <w:rPr>
          <w:rFonts w:cs="Arial"/>
          <w:shd w:val="clear" w:color="auto" w:fill="FFFFFF"/>
        </w:rPr>
        <w:t>, neboť p</w:t>
      </w:r>
      <w:r w:rsidR="00EC45A9" w:rsidRPr="000E3B0C">
        <w:rPr>
          <w:rFonts w:cs="Arial"/>
          <w:shd w:val="clear" w:color="auto" w:fill="FFFFFF"/>
        </w:rPr>
        <w:t xml:space="preserve">rávní úprava kárné odpovědnosti soudců sleduje zcela jiné </w:t>
      </w:r>
      <w:r w:rsidR="00442467" w:rsidRPr="000E3B0C">
        <w:rPr>
          <w:rFonts w:cs="Arial"/>
          <w:shd w:val="clear" w:color="auto" w:fill="FFFFFF"/>
        </w:rPr>
        <w:t>(specifické) cíle, tedy týk</w:t>
      </w:r>
      <w:r w:rsidR="004C6A54" w:rsidRPr="000E3B0C">
        <w:rPr>
          <w:rFonts w:cs="Arial"/>
          <w:shd w:val="clear" w:color="auto" w:fill="FFFFFF"/>
        </w:rPr>
        <w:t>á se odlišných chráněných zájmů</w:t>
      </w:r>
      <w:r w:rsidR="00442467" w:rsidRPr="000E3B0C">
        <w:rPr>
          <w:rFonts w:cs="Arial"/>
          <w:shd w:val="clear" w:color="auto" w:fill="FFFFFF"/>
        </w:rPr>
        <w:t xml:space="preserve"> </w:t>
      </w:r>
      <w:r w:rsidR="00EC45A9" w:rsidRPr="000E3B0C">
        <w:rPr>
          <w:rFonts w:cs="Arial"/>
          <w:shd w:val="clear" w:color="auto" w:fill="FFFFFF"/>
        </w:rPr>
        <w:t xml:space="preserve">než předpisy </w:t>
      </w:r>
      <w:r w:rsidR="00442467" w:rsidRPr="000E3B0C">
        <w:rPr>
          <w:rFonts w:cs="Arial"/>
          <w:shd w:val="clear" w:color="auto" w:fill="FFFFFF"/>
        </w:rPr>
        <w:t>trestní</w:t>
      </w:r>
      <w:r w:rsidR="002035C8" w:rsidRPr="000E3B0C">
        <w:rPr>
          <w:rFonts w:cs="Arial"/>
          <w:shd w:val="clear" w:color="auto" w:fill="FFFFFF"/>
        </w:rPr>
        <w:t>ho a </w:t>
      </w:r>
      <w:r w:rsidR="00442467" w:rsidRPr="000E3B0C">
        <w:rPr>
          <w:rFonts w:cs="Arial"/>
          <w:shd w:val="clear" w:color="auto" w:fill="FFFFFF"/>
        </w:rPr>
        <w:t>přestupkového práva.</w:t>
      </w:r>
      <w:r w:rsidR="00442467" w:rsidRPr="000E3B0C">
        <w:rPr>
          <w:rStyle w:val="Znakapoznpodarou"/>
          <w:rFonts w:cs="Arial"/>
          <w:shd w:val="clear" w:color="auto" w:fill="FFFFFF"/>
        </w:rPr>
        <w:footnoteReference w:id="67"/>
      </w:r>
    </w:p>
    <w:p w14:paraId="71C8B97E" w14:textId="77777777" w:rsidR="008903C5" w:rsidRPr="000E3B0C" w:rsidRDefault="00EC59BA" w:rsidP="00C22619">
      <w:pPr>
        <w:pStyle w:val="Nadpis1"/>
        <w:numPr>
          <w:ilvl w:val="0"/>
          <w:numId w:val="3"/>
        </w:numPr>
      </w:pPr>
      <w:r w:rsidRPr="000E3B0C">
        <w:br w:type="page"/>
      </w:r>
      <w:bookmarkStart w:id="11" w:name="_Toc130067375"/>
      <w:r w:rsidR="00505E36" w:rsidRPr="000E3B0C">
        <w:lastRenderedPageBreak/>
        <w:t>Delikty a odpovědnost</w:t>
      </w:r>
      <w:r w:rsidR="006127B2" w:rsidRPr="000E3B0C">
        <w:t xml:space="preserve"> za ně</w:t>
      </w:r>
      <w:bookmarkEnd w:id="11"/>
    </w:p>
    <w:p w14:paraId="3C811241" w14:textId="77777777" w:rsidR="008903C5" w:rsidRPr="000E3B0C" w:rsidRDefault="006127B2" w:rsidP="00C22619">
      <w:pPr>
        <w:pStyle w:val="Nadpis2"/>
        <w:numPr>
          <w:ilvl w:val="1"/>
          <w:numId w:val="3"/>
        </w:numPr>
      </w:pPr>
      <w:bookmarkStart w:id="12" w:name="_Toc130067376"/>
      <w:r w:rsidRPr="000E3B0C">
        <w:t>Podstata d</w:t>
      </w:r>
      <w:r w:rsidR="008903C5" w:rsidRPr="000E3B0C">
        <w:t>elikt</w:t>
      </w:r>
      <w:r w:rsidRPr="000E3B0C">
        <w:t>ů</w:t>
      </w:r>
      <w:bookmarkEnd w:id="12"/>
    </w:p>
    <w:p w14:paraId="3EA62EA4" w14:textId="5AE7B639" w:rsidR="009863C4" w:rsidRPr="000E3B0C" w:rsidRDefault="00651588" w:rsidP="000A4EBF">
      <w:r w:rsidRPr="000E3B0C">
        <w:t>Delikt</w:t>
      </w:r>
      <w:r w:rsidR="00061202" w:rsidRPr="000E3B0C">
        <w:rPr>
          <w:rStyle w:val="Znakapoznpodarou"/>
        </w:rPr>
        <w:footnoteReference w:id="68"/>
      </w:r>
      <w:r w:rsidRPr="000E3B0C">
        <w:t xml:space="preserve">, za nějž je </w:t>
      </w:r>
      <w:r w:rsidRPr="000E3B0C">
        <w:rPr>
          <w:u w:val="single"/>
        </w:rPr>
        <w:t>kárně odpovědný</w:t>
      </w:r>
      <w:r w:rsidRPr="000E3B0C">
        <w:t xml:space="preserve"> soudce, se nazývá kárné provinění. Je jím </w:t>
      </w:r>
      <w:r w:rsidR="00207451" w:rsidRPr="000E3B0C">
        <w:rPr>
          <w:i/>
        </w:rPr>
        <w:t>„</w:t>
      </w:r>
      <w:r w:rsidRPr="000E3B0C">
        <w:rPr>
          <w:i/>
          <w:shd w:val="clear" w:color="auto" w:fill="FFFFFF"/>
        </w:rPr>
        <w:t>zaviněné porušení povinností soudce, jakož i zaviněné chování nebo jednání, jímž soudce narušuje důstojnost soudcovské funkce nebo</w:t>
      </w:r>
      <w:r w:rsidR="00A64B5F">
        <w:rPr>
          <w:i/>
          <w:shd w:val="clear" w:color="auto" w:fill="FFFFFF"/>
        </w:rPr>
        <w:t> </w:t>
      </w:r>
      <w:r w:rsidRPr="000E3B0C">
        <w:rPr>
          <w:i/>
          <w:shd w:val="clear" w:color="auto" w:fill="FFFFFF"/>
        </w:rPr>
        <w:t>ohrožuje důvěru v nezávislé, nestranné, odborné a spravedlivé rozhodování soudů</w:t>
      </w:r>
      <w:r w:rsidR="00207451" w:rsidRPr="000E3B0C">
        <w:rPr>
          <w:i/>
          <w:shd w:val="clear" w:color="auto" w:fill="FFFFFF"/>
        </w:rPr>
        <w:t>“</w:t>
      </w:r>
      <w:r w:rsidRPr="000E3B0C">
        <w:rPr>
          <w:shd w:val="clear" w:color="auto" w:fill="FFFFFF"/>
        </w:rPr>
        <w:t>.</w:t>
      </w:r>
      <w:r w:rsidRPr="000E3B0C">
        <w:rPr>
          <w:rStyle w:val="Znakapoznpodarou"/>
          <w:rFonts w:cs="Arial"/>
          <w:shd w:val="clear" w:color="auto" w:fill="FFFFFF"/>
        </w:rPr>
        <w:footnoteReference w:id="69"/>
      </w:r>
      <w:r w:rsidR="001672C1" w:rsidRPr="000E3B0C">
        <w:rPr>
          <w:shd w:val="clear" w:color="auto" w:fill="FFFFFF"/>
        </w:rPr>
        <w:t xml:space="preserve"> Jediným </w:t>
      </w:r>
      <w:r w:rsidR="00940697" w:rsidRPr="000E3B0C">
        <w:rPr>
          <w:shd w:val="clear" w:color="auto" w:fill="FFFFFF"/>
        </w:rPr>
        <w:t xml:space="preserve">(výlučným) </w:t>
      </w:r>
      <w:r w:rsidR="001672C1" w:rsidRPr="000E3B0C">
        <w:rPr>
          <w:shd w:val="clear" w:color="auto" w:fill="FFFFFF"/>
        </w:rPr>
        <w:t xml:space="preserve">subjektem, který se může </w:t>
      </w:r>
      <w:r w:rsidR="009863C4" w:rsidRPr="000E3B0C">
        <w:rPr>
          <w:shd w:val="clear" w:color="auto" w:fill="FFFFFF"/>
        </w:rPr>
        <w:t>tohoto deliktu</w:t>
      </w:r>
      <w:r w:rsidR="00940697" w:rsidRPr="000E3B0C">
        <w:rPr>
          <w:shd w:val="clear" w:color="auto" w:fill="FFFFFF"/>
        </w:rPr>
        <w:t xml:space="preserve"> dopustit</w:t>
      </w:r>
      <w:r w:rsidR="001672C1" w:rsidRPr="000E3B0C">
        <w:rPr>
          <w:shd w:val="clear" w:color="auto" w:fill="FFFFFF"/>
        </w:rPr>
        <w:t xml:space="preserve">, je tedy logicky právě </w:t>
      </w:r>
      <w:r w:rsidR="00A10162">
        <w:rPr>
          <w:shd w:val="clear" w:color="auto" w:fill="FFFFFF"/>
        </w:rPr>
        <w:t>pouze</w:t>
      </w:r>
      <w:r w:rsidR="001672C1" w:rsidRPr="000E3B0C">
        <w:rPr>
          <w:shd w:val="clear" w:color="auto" w:fill="FFFFFF"/>
        </w:rPr>
        <w:t xml:space="preserve"> soudce. </w:t>
      </w:r>
      <w:r w:rsidR="00B6431C" w:rsidRPr="000E3B0C">
        <w:rPr>
          <w:shd w:val="clear" w:color="auto" w:fill="FFFFFF"/>
        </w:rPr>
        <w:t>Z</w:t>
      </w:r>
      <w:r w:rsidR="00E226A6" w:rsidRPr="000E3B0C">
        <w:t xml:space="preserve">ákon </w:t>
      </w:r>
      <w:r w:rsidR="009863C4" w:rsidRPr="000E3B0C">
        <w:t xml:space="preserve">přitom </w:t>
      </w:r>
      <w:r w:rsidR="00E226A6" w:rsidRPr="000E3B0C">
        <w:t xml:space="preserve">kárné provinění </w:t>
      </w:r>
      <w:r w:rsidR="009863C4" w:rsidRPr="000E3B0C">
        <w:t xml:space="preserve">definuje velmi obecně; k jeho vymezení </w:t>
      </w:r>
      <w:r w:rsidR="00E226A6" w:rsidRPr="000E3B0C">
        <w:t xml:space="preserve">používá toliko jedinou </w:t>
      </w:r>
      <w:r w:rsidR="009863C4" w:rsidRPr="000E3B0C">
        <w:t xml:space="preserve">„všeobjímající“ </w:t>
      </w:r>
      <w:r w:rsidR="00E226A6" w:rsidRPr="000E3B0C">
        <w:t>skutkovou podstatu</w:t>
      </w:r>
      <w:r w:rsidR="009863C4" w:rsidRPr="000E3B0C">
        <w:t xml:space="preserve">, pod niž mají být </w:t>
      </w:r>
      <w:proofErr w:type="spellStart"/>
      <w:r w:rsidR="009863C4" w:rsidRPr="000E3B0C">
        <w:t>podřaditelná</w:t>
      </w:r>
      <w:proofErr w:type="spellEnd"/>
      <w:r w:rsidR="009863C4" w:rsidRPr="000E3B0C">
        <w:t xml:space="preserve"> veškerá porušení soudcovských povinností a jiná jejich nežádoucí jednání.</w:t>
      </w:r>
    </w:p>
    <w:p w14:paraId="08581A0E" w14:textId="77777777" w:rsidR="009863C4" w:rsidRPr="000E3B0C" w:rsidRDefault="009863C4" w:rsidP="000A4EBF"/>
    <w:p w14:paraId="36EC41B6" w14:textId="06468ACB" w:rsidR="00B103E8" w:rsidRPr="000E3B0C" w:rsidRDefault="00E226A6" w:rsidP="009863C4">
      <w:r w:rsidRPr="000E3B0C">
        <w:t xml:space="preserve">Nevýhodou </w:t>
      </w:r>
      <w:r w:rsidR="00B6431C" w:rsidRPr="000E3B0C">
        <w:t xml:space="preserve">této koncepce </w:t>
      </w:r>
      <w:r w:rsidR="009863C4" w:rsidRPr="000E3B0C">
        <w:t xml:space="preserve">je složitější subsumpce konkrétního vytýkaného jednání </w:t>
      </w:r>
      <w:r w:rsidRPr="000E3B0C">
        <w:t xml:space="preserve">pod výhradně neurčité právní pojmy </w:t>
      </w:r>
      <w:r w:rsidR="009863C4" w:rsidRPr="000E3B0C">
        <w:t xml:space="preserve">obsažené v legální definici kárného provinění. Stejně tak může být vnímáno jako nežádoucí, jak </w:t>
      </w:r>
      <w:r w:rsidRPr="000E3B0C">
        <w:t xml:space="preserve">velký prostor </w:t>
      </w:r>
      <w:r w:rsidR="009863C4" w:rsidRPr="000E3B0C">
        <w:t xml:space="preserve">je dán pro </w:t>
      </w:r>
      <w:r w:rsidRPr="000E3B0C">
        <w:t xml:space="preserve">uvážení </w:t>
      </w:r>
      <w:r w:rsidR="009863C4" w:rsidRPr="000E3B0C">
        <w:t xml:space="preserve">kárného </w:t>
      </w:r>
      <w:r w:rsidR="0034284B" w:rsidRPr="000E3B0C">
        <w:t>soudu</w:t>
      </w:r>
      <w:r w:rsidR="009863C4" w:rsidRPr="000E3B0C">
        <w:t xml:space="preserve"> posuzujícího v každém individuálním případě to, zda určitý skutek </w:t>
      </w:r>
      <w:r w:rsidR="006D7DFF" w:rsidRPr="000E3B0C">
        <w:t xml:space="preserve">naplňuje znaky kárného </w:t>
      </w:r>
      <w:r w:rsidRPr="000E3B0C">
        <w:t>provinění</w:t>
      </w:r>
      <w:r w:rsidR="0034284B" w:rsidRPr="000E3B0C">
        <w:t xml:space="preserve">. </w:t>
      </w:r>
      <w:r w:rsidR="00207451" w:rsidRPr="000E3B0C">
        <w:t>Na </w:t>
      </w:r>
      <w:r w:rsidR="006D7DFF" w:rsidRPr="000E3B0C">
        <w:t xml:space="preserve">druhou stranu </w:t>
      </w:r>
      <w:r w:rsidR="0034284B" w:rsidRPr="000E3B0C">
        <w:t xml:space="preserve">je třeba ale zároveň připustit, že </w:t>
      </w:r>
      <w:r w:rsidR="00365AB2" w:rsidRPr="000E3B0C">
        <w:t>významným</w:t>
      </w:r>
      <w:r w:rsidR="00B6431C" w:rsidRPr="000E3B0C">
        <w:t xml:space="preserve"> benefitem </w:t>
      </w:r>
      <w:r w:rsidR="0034284B" w:rsidRPr="000E3B0C">
        <w:t xml:space="preserve">současné právní úpravy </w:t>
      </w:r>
      <w:r w:rsidR="006D7DFF" w:rsidRPr="000E3B0C">
        <w:t xml:space="preserve">je </w:t>
      </w:r>
      <w:r w:rsidR="0034284B" w:rsidRPr="000E3B0C">
        <w:t xml:space="preserve">právě </w:t>
      </w:r>
      <w:r w:rsidRPr="000E3B0C">
        <w:t xml:space="preserve">možnost aplikace </w:t>
      </w:r>
      <w:r w:rsidR="0034284B" w:rsidRPr="000E3B0C">
        <w:t>této široce</w:t>
      </w:r>
      <w:r w:rsidRPr="000E3B0C">
        <w:t xml:space="preserve"> pojaté skutkové </w:t>
      </w:r>
      <w:r w:rsidR="0034284B" w:rsidRPr="000E3B0C">
        <w:t>podstaty na různorodá jednání; rozmanitost skutků, jež mohou (teoreticky) narušovat fungování soudcovského stavu</w:t>
      </w:r>
      <w:r w:rsidR="00365AB2" w:rsidRPr="000E3B0C">
        <w:t xml:space="preserve"> a jejichž potřeba penalizace vyvstane</w:t>
      </w:r>
      <w:r w:rsidR="0034284B" w:rsidRPr="000E3B0C">
        <w:t xml:space="preserve">, je totiž nepřeberná a těžko předvídatelná. </w:t>
      </w:r>
      <w:r w:rsidR="00B103E8" w:rsidRPr="000E3B0C">
        <w:t>Lze tedy shrnout</w:t>
      </w:r>
      <w:r w:rsidR="00365AB2" w:rsidRPr="000E3B0C">
        <w:t>, že</w:t>
      </w:r>
      <w:r w:rsidR="00A64B5F">
        <w:t> </w:t>
      </w:r>
      <w:r w:rsidR="00365AB2" w:rsidRPr="000E3B0C">
        <w:t>u</w:t>
      </w:r>
      <w:r w:rsidR="002035C8" w:rsidRPr="000E3B0C">
        <w:t> </w:t>
      </w:r>
      <w:r w:rsidRPr="000E3B0C">
        <w:t>konkrétních skutkových podstat je</w:t>
      </w:r>
      <w:r w:rsidR="006D7DFF" w:rsidRPr="000E3B0C">
        <w:t xml:space="preserve"> </w:t>
      </w:r>
      <w:r w:rsidR="00B6431C" w:rsidRPr="000E3B0C">
        <w:t xml:space="preserve">sice </w:t>
      </w:r>
      <w:r w:rsidR="006D7DFF" w:rsidRPr="000E3B0C">
        <w:t>pravděpodobně</w:t>
      </w:r>
      <w:r w:rsidRPr="000E3B0C">
        <w:t xml:space="preserve"> snazší a přesvědčivější podřa</w:t>
      </w:r>
      <w:r w:rsidR="006D7DFF" w:rsidRPr="000E3B0C">
        <w:t>dit</w:t>
      </w:r>
      <w:r w:rsidRPr="000E3B0C">
        <w:t xml:space="preserve"> určit</w:t>
      </w:r>
      <w:r w:rsidR="006D7DFF" w:rsidRPr="000E3B0C">
        <w:t>é</w:t>
      </w:r>
      <w:r w:rsidRPr="000E3B0C">
        <w:t xml:space="preserve"> jednání pod </w:t>
      </w:r>
      <w:r w:rsidR="00365AB2" w:rsidRPr="000E3B0C">
        <w:t>pregnantně</w:t>
      </w:r>
      <w:r w:rsidR="006D7DFF" w:rsidRPr="000E3B0C">
        <w:t xml:space="preserve"> vymezenou právní úpravu, může se však stát, že atypické (zákonodárcem nepředvídané) jednání </w:t>
      </w:r>
      <w:r w:rsidR="00365AB2" w:rsidRPr="000E3B0C">
        <w:t>nebude možné</w:t>
      </w:r>
      <w:r w:rsidRPr="000E3B0C">
        <w:t xml:space="preserve"> </w:t>
      </w:r>
      <w:r w:rsidR="00365AB2" w:rsidRPr="000E3B0C">
        <w:t>podřadit</w:t>
      </w:r>
      <w:r w:rsidR="006D7DFF" w:rsidRPr="000E3B0C">
        <w:t xml:space="preserve"> pod žádnou z</w:t>
      </w:r>
      <w:r w:rsidRPr="000E3B0C">
        <w:t xml:space="preserve"> úzce vymezených </w:t>
      </w:r>
      <w:r w:rsidR="00365AB2" w:rsidRPr="000E3B0C">
        <w:t xml:space="preserve">skutkových </w:t>
      </w:r>
      <w:r w:rsidRPr="000E3B0C">
        <w:t xml:space="preserve">podstat, </w:t>
      </w:r>
      <w:r w:rsidR="006D7DFF" w:rsidRPr="000E3B0C">
        <w:t xml:space="preserve">byť by bylo </w:t>
      </w:r>
      <w:r w:rsidR="00365AB2" w:rsidRPr="000E3B0C">
        <w:t xml:space="preserve">jakkoli </w:t>
      </w:r>
      <w:r w:rsidR="006D7DFF" w:rsidRPr="000E3B0C">
        <w:t xml:space="preserve">zjevně zavrženíhodné, </w:t>
      </w:r>
      <w:r w:rsidRPr="000E3B0C">
        <w:t xml:space="preserve">což </w:t>
      </w:r>
      <w:r w:rsidR="00365AB2" w:rsidRPr="000E3B0C">
        <w:t>by vedlo</w:t>
      </w:r>
      <w:r w:rsidRPr="000E3B0C">
        <w:t xml:space="preserve"> </w:t>
      </w:r>
      <w:r w:rsidR="006D7DFF" w:rsidRPr="000E3B0C">
        <w:t xml:space="preserve">k jeho </w:t>
      </w:r>
      <w:r w:rsidRPr="000E3B0C">
        <w:t>nepostiž</w:t>
      </w:r>
      <w:r w:rsidR="006D7DFF" w:rsidRPr="000E3B0C">
        <w:t>itelnosti. Právě v</w:t>
      </w:r>
      <w:r w:rsidRPr="000E3B0C">
        <w:t>zhledem k </w:t>
      </w:r>
      <w:r w:rsidR="00365AB2" w:rsidRPr="000E3B0C">
        <w:t>pestrosti</w:t>
      </w:r>
      <w:r w:rsidRPr="000E3B0C">
        <w:t xml:space="preserve"> </w:t>
      </w:r>
      <w:r w:rsidR="006D7DFF" w:rsidRPr="000E3B0C">
        <w:t xml:space="preserve">soudcovské činnosti (a s tím související bohaté škále možných nežádoucích situací a stavů, k nimž může dojít), považuje </w:t>
      </w:r>
      <w:r w:rsidR="00B103E8" w:rsidRPr="000E3B0C">
        <w:t xml:space="preserve">Daniela </w:t>
      </w:r>
      <w:r w:rsidR="00365AB2" w:rsidRPr="000E3B0C">
        <w:t>Zemanová</w:t>
      </w:r>
      <w:r w:rsidRPr="000E3B0C">
        <w:t xml:space="preserve"> obecně pojatou skutkovou podstatu za vhodnější.</w:t>
      </w:r>
      <w:r w:rsidRPr="000E3B0C">
        <w:rPr>
          <w:rStyle w:val="Znakapoznpodarou"/>
        </w:rPr>
        <w:footnoteReference w:id="70"/>
      </w:r>
      <w:r w:rsidR="006D7DFF" w:rsidRPr="000E3B0C">
        <w:t xml:space="preserve"> </w:t>
      </w:r>
      <w:r w:rsidR="00365AB2" w:rsidRPr="000E3B0C">
        <w:t>Ve prospěch této konstrukce se argumentuje také tím</w:t>
      </w:r>
      <w:r w:rsidR="006D7DFF" w:rsidRPr="000E3B0C">
        <w:t xml:space="preserve">, že obecně definovaná skutková podstata kárného provinění pouze odráží taktéž velmi </w:t>
      </w:r>
      <w:r w:rsidR="001D037E" w:rsidRPr="000E3B0C">
        <w:t>vágní</w:t>
      </w:r>
      <w:r w:rsidR="006D7DFF" w:rsidRPr="000E3B0C">
        <w:t xml:space="preserve"> vymezení </w:t>
      </w:r>
      <w:r w:rsidR="001D037E" w:rsidRPr="000E3B0C">
        <w:t xml:space="preserve">některých </w:t>
      </w:r>
      <w:r w:rsidR="00365AB2" w:rsidRPr="000E3B0C">
        <w:t xml:space="preserve">soudcovských </w:t>
      </w:r>
      <w:r w:rsidR="006D7DFF" w:rsidRPr="000E3B0C">
        <w:t>povinností.</w:t>
      </w:r>
      <w:r w:rsidR="006D7DFF" w:rsidRPr="000E3B0C">
        <w:rPr>
          <w:rStyle w:val="Znakapoznpodarou"/>
          <w:rFonts w:cs="Arial"/>
        </w:rPr>
        <w:footnoteReference w:id="71"/>
      </w:r>
    </w:p>
    <w:p w14:paraId="20A1A68E" w14:textId="77777777" w:rsidR="00B103E8" w:rsidRPr="000E3B0C" w:rsidRDefault="00B103E8" w:rsidP="009863C4"/>
    <w:p w14:paraId="747F5B57" w14:textId="3CB625FF" w:rsidR="00B103E8" w:rsidRPr="000E3B0C" w:rsidRDefault="00B103E8" w:rsidP="00B103E8">
      <w:pPr>
        <w:rPr>
          <w:rFonts w:cs="Arial"/>
        </w:rPr>
      </w:pPr>
      <w:r w:rsidRPr="000E3B0C">
        <w:t>Povinnosti, za jejichž porušení může být</w:t>
      </w:r>
      <w:r w:rsidR="001D037E" w:rsidRPr="000E3B0C">
        <w:t xml:space="preserve"> soudce shledán kárně odpovědným</w:t>
      </w:r>
      <w:r w:rsidRPr="000E3B0C">
        <w:t>, mohou totiž být stanoveny kdekoliv v celém právním řádu, přičemž soudce se jich může dopustit nejen v</w:t>
      </w:r>
      <w:r w:rsidR="00A31461" w:rsidRPr="000E3B0C">
        <w:t> </w:t>
      </w:r>
      <w:r w:rsidRPr="000E3B0C">
        <w:t>souvislosti se svou pracovní činností (tedy bezprostředn</w:t>
      </w:r>
      <w:r w:rsidR="002035C8" w:rsidRPr="000E3B0C">
        <w:t>ě při výkonu své funkce), ale i </w:t>
      </w:r>
      <w:r w:rsidRPr="000E3B0C">
        <w:t>v běžném osobním životě.</w:t>
      </w:r>
      <w:r w:rsidRPr="000E3B0C">
        <w:rPr>
          <w:vertAlign w:val="superscript"/>
        </w:rPr>
        <w:footnoteReference w:id="72"/>
      </w:r>
      <w:r w:rsidRPr="000E3B0C">
        <w:t xml:space="preserve"> Příkladem lze zmínit ústavní úpravu, která soudci zakazuje souběžný výkon </w:t>
      </w:r>
      <w:r w:rsidRPr="000E3B0C">
        <w:rPr>
          <w:rFonts w:cs="Arial"/>
        </w:rPr>
        <w:t>jakékoli funkce ve veřejné správě</w:t>
      </w:r>
      <w:r w:rsidRPr="000E3B0C">
        <w:rPr>
          <w:rStyle w:val="Znakapoznpodarou"/>
          <w:rFonts w:cs="Arial"/>
        </w:rPr>
        <w:footnoteReference w:id="73"/>
      </w:r>
      <w:r w:rsidRPr="000E3B0C">
        <w:rPr>
          <w:rFonts w:cs="Arial"/>
        </w:rPr>
        <w:t xml:space="preserve"> a ukládá mu povinnost rozhodovat jsa vázán zákonem a mezinárodní smlouvou.</w:t>
      </w:r>
      <w:r w:rsidRPr="000E3B0C">
        <w:rPr>
          <w:rStyle w:val="Znakapoznpodarou"/>
          <w:rFonts w:cs="Arial"/>
        </w:rPr>
        <w:footnoteReference w:id="74"/>
      </w:r>
      <w:r w:rsidRPr="000E3B0C">
        <w:rPr>
          <w:rFonts w:cs="Arial"/>
        </w:rPr>
        <w:t xml:space="preserve"> Většinu soudcovských povinností pak stanoví přímo zákon o soudech a soudcích, který po tomto činiteli především požaduje, aby vykládal zákony podle svého nejlepšího vědomí i svědomí a rozhodoval v přiměřených lhůtách bez průtahů, nestranně, spravedlivě a na základě skutečností zjištěných v souladu se zákonem.</w:t>
      </w:r>
      <w:r w:rsidRPr="000E3B0C">
        <w:rPr>
          <w:rStyle w:val="Znakapoznpodarou"/>
          <w:rFonts w:cs="Arial"/>
        </w:rPr>
        <w:footnoteReference w:id="75"/>
      </w:r>
      <w:r w:rsidRPr="000E3B0C">
        <w:rPr>
          <w:rFonts w:cs="Arial"/>
        </w:rPr>
        <w:t xml:space="preserve"> Je povinen vykonávat svou funkci svědomitě a i v občanském životě se zdržet všeho, co by mohlo narušit důstojnost soudcovské funkce nebo ohrozit důvěru v nezávislé, nestranné a spravedlivé rozhodování soudů. Dále soudce musí podávat oznámení o osobním zájmu, </w:t>
      </w:r>
      <w:r w:rsidR="002035C8" w:rsidRPr="000E3B0C">
        <w:rPr>
          <w:rFonts w:cs="Arial"/>
        </w:rPr>
        <w:t>činnostech, majetku, příjmech a </w:t>
      </w:r>
      <w:r w:rsidRPr="000E3B0C">
        <w:rPr>
          <w:rFonts w:cs="Arial"/>
        </w:rPr>
        <w:t>závazcích;</w:t>
      </w:r>
      <w:r w:rsidRPr="000E3B0C">
        <w:rPr>
          <w:rStyle w:val="Znakapoznpodarou"/>
          <w:rFonts w:cs="Arial"/>
        </w:rPr>
        <w:footnoteReference w:id="76"/>
      </w:r>
      <w:r w:rsidRPr="000E3B0C">
        <w:rPr>
          <w:rFonts w:cs="Arial"/>
        </w:rPr>
        <w:t xml:space="preserve"> zachovávat mlčenlivost o všem, co se dozvěděl v souvislosti s výkonem své funkce;</w:t>
      </w:r>
      <w:r w:rsidRPr="000E3B0C">
        <w:rPr>
          <w:rStyle w:val="Znakapoznpodarou"/>
          <w:rFonts w:cs="Arial"/>
        </w:rPr>
        <w:footnoteReference w:id="77"/>
      </w:r>
      <w:r w:rsidRPr="000E3B0C">
        <w:rPr>
          <w:rFonts w:cs="Arial"/>
        </w:rPr>
        <w:t xml:space="preserve"> či soustavným vzděláváním dbát o prohlubování svých odborných znalostí potřebných pro řádný výkon své profese.</w:t>
      </w:r>
      <w:r w:rsidRPr="000E3B0C">
        <w:rPr>
          <w:rStyle w:val="Znakapoznpodarou"/>
          <w:rFonts w:cs="Arial"/>
        </w:rPr>
        <w:footnoteReference w:id="78"/>
      </w:r>
      <w:r w:rsidRPr="000E3B0C">
        <w:rPr>
          <w:rFonts w:cs="Arial"/>
        </w:rPr>
        <w:t xml:space="preserve"> Povinnosti soudcům ovšem stanoví též jednotlivé procesní předpisy upravující konkrétní řízení</w:t>
      </w:r>
      <w:r w:rsidRPr="000E3B0C">
        <w:rPr>
          <w:rStyle w:val="Znakapoznpodarou"/>
          <w:rFonts w:cs="Arial"/>
        </w:rPr>
        <w:footnoteReference w:id="79"/>
      </w:r>
      <w:r w:rsidRPr="000E3B0C">
        <w:rPr>
          <w:rFonts w:cs="Arial"/>
        </w:rPr>
        <w:t xml:space="preserve"> (určující především lhůty, v nichž musejí o konkrétním podání účastníka řízení rozhodnout), dále jednací řád a také nejrůznější interní normativní a</w:t>
      </w:r>
      <w:r w:rsidR="00C64CBC" w:rsidRPr="000E3B0C">
        <w:rPr>
          <w:rFonts w:cs="Arial"/>
        </w:rPr>
        <w:t>kty orgánů státní správy soudů.</w:t>
      </w:r>
      <w:r w:rsidR="002035C8" w:rsidRPr="000E3B0C">
        <w:rPr>
          <w:rFonts w:cs="Arial"/>
        </w:rPr>
        <w:t xml:space="preserve"> </w:t>
      </w:r>
      <w:r w:rsidRPr="000E3B0C">
        <w:rPr>
          <w:rFonts w:cs="Arial"/>
        </w:rPr>
        <w:t>Mezi nejtypičtější kárná provinění patří rozhodně p</w:t>
      </w:r>
      <w:r w:rsidRPr="000E3B0C">
        <w:rPr>
          <w:rFonts w:eastAsia="Calibri" w:cs="CIDFont+F3"/>
          <w:lang w:eastAsia="en-US"/>
        </w:rPr>
        <w:t>růtahy v řízení</w:t>
      </w:r>
      <w:r w:rsidRPr="000E3B0C">
        <w:rPr>
          <w:rStyle w:val="Znakapoznpodarou"/>
          <w:rFonts w:eastAsia="Calibri" w:cs="CIDFont+F3"/>
          <w:lang w:eastAsia="en-US"/>
        </w:rPr>
        <w:footnoteReference w:id="80"/>
      </w:r>
      <w:r w:rsidRPr="000E3B0C">
        <w:rPr>
          <w:rFonts w:eastAsia="Calibri" w:cs="CIDFont+F3"/>
          <w:lang w:eastAsia="en-US"/>
        </w:rPr>
        <w:t>, dále jsou to odborná pochybení při vedení soudního řízení</w:t>
      </w:r>
      <w:r w:rsidRPr="000E3B0C">
        <w:rPr>
          <w:rStyle w:val="Znakapoznpodarou"/>
          <w:rFonts w:eastAsia="Calibri" w:cs="CIDFont+F3"/>
          <w:lang w:eastAsia="en-US"/>
        </w:rPr>
        <w:footnoteReference w:id="81"/>
      </w:r>
      <w:r w:rsidRPr="000E3B0C">
        <w:rPr>
          <w:rFonts w:eastAsia="Calibri" w:cs="CIDFont+F3"/>
          <w:lang w:eastAsia="en-US"/>
        </w:rPr>
        <w:t xml:space="preserve"> a vydávání rozhodnutí</w:t>
      </w:r>
      <w:r w:rsidRPr="000E3B0C">
        <w:rPr>
          <w:rStyle w:val="Znakapoznpodarou"/>
          <w:rFonts w:eastAsia="Calibri" w:cs="CIDFont+F3"/>
          <w:lang w:eastAsia="en-US"/>
        </w:rPr>
        <w:footnoteReference w:id="82"/>
      </w:r>
      <w:r w:rsidRPr="000E3B0C">
        <w:rPr>
          <w:rFonts w:eastAsia="Calibri" w:cs="CIDFont+F3"/>
          <w:lang w:eastAsia="en-US"/>
        </w:rPr>
        <w:t>, n</w:t>
      </w:r>
      <w:r w:rsidRPr="000E3B0C">
        <w:rPr>
          <w:rFonts w:eastAsia="Calibri" w:cs="CIDFont+F1"/>
          <w:lang w:eastAsia="en-US"/>
        </w:rPr>
        <w:t>erespektování závazného právního názoru</w:t>
      </w:r>
      <w:r w:rsidRPr="000E3B0C">
        <w:rPr>
          <w:rStyle w:val="Znakapoznpodarou"/>
          <w:rFonts w:eastAsia="Calibri" w:cs="CIDFont+F1"/>
          <w:lang w:eastAsia="en-US"/>
        </w:rPr>
        <w:footnoteReference w:id="83"/>
      </w:r>
      <w:r w:rsidRPr="000E3B0C">
        <w:rPr>
          <w:rFonts w:eastAsia="Calibri" w:cs="CIDFont+F1"/>
          <w:lang w:eastAsia="en-US"/>
        </w:rPr>
        <w:t xml:space="preserve"> či nesprávné vedení soudního spisu</w:t>
      </w:r>
      <w:r w:rsidRPr="000E3B0C">
        <w:rPr>
          <w:rStyle w:val="Znakapoznpodarou"/>
          <w:rFonts w:eastAsia="Calibri" w:cs="CIDFont+F1"/>
          <w:lang w:eastAsia="en-US"/>
        </w:rPr>
        <w:footnoteReference w:id="84"/>
      </w:r>
      <w:r w:rsidRPr="000E3B0C">
        <w:rPr>
          <w:rFonts w:eastAsia="Calibri" w:cs="CIDFont+F1"/>
          <w:lang w:eastAsia="en-US"/>
        </w:rPr>
        <w:t>.</w:t>
      </w:r>
    </w:p>
    <w:p w14:paraId="54E01CEE" w14:textId="77777777" w:rsidR="00B103E8" w:rsidRPr="000E3B0C" w:rsidRDefault="00B103E8" w:rsidP="009863C4"/>
    <w:p w14:paraId="2AB05A21" w14:textId="44AC329A" w:rsidR="00AD10CF" w:rsidRPr="000E3B0C" w:rsidRDefault="00CC09AE" w:rsidP="00C50928">
      <w:r w:rsidRPr="000E3B0C">
        <w:t>Protiprávní jednání</w:t>
      </w:r>
      <w:r w:rsidR="00082B09" w:rsidRPr="000E3B0C">
        <w:t>, za nějž je v </w:t>
      </w:r>
      <w:r w:rsidR="00082B09" w:rsidRPr="000E3B0C">
        <w:rPr>
          <w:u w:val="single"/>
        </w:rPr>
        <w:t>kanonickém právu trestně odpovědný</w:t>
      </w:r>
      <w:r w:rsidR="00082B09" w:rsidRPr="000E3B0C">
        <w:t xml:space="preserve"> </w:t>
      </w:r>
      <w:r w:rsidR="001672C1" w:rsidRPr="000E3B0C">
        <w:t>věřící (</w:t>
      </w:r>
      <w:r w:rsidR="00466896" w:rsidRPr="000E3B0C">
        <w:t xml:space="preserve">každý </w:t>
      </w:r>
      <w:r w:rsidR="001672C1" w:rsidRPr="000E3B0C">
        <w:t>člen církve</w:t>
      </w:r>
      <w:r w:rsidR="0010222B" w:rsidRPr="000E3B0C">
        <w:t>)</w:t>
      </w:r>
      <w:r w:rsidR="001C5165" w:rsidRPr="000E3B0C">
        <w:t>, se </w:t>
      </w:r>
      <w:r w:rsidR="005E5C57" w:rsidRPr="000E3B0C">
        <w:t xml:space="preserve">nazývá </w:t>
      </w:r>
      <w:proofErr w:type="spellStart"/>
      <w:r w:rsidR="005E5C57" w:rsidRPr="000E3B0C">
        <w:rPr>
          <w:i/>
        </w:rPr>
        <w:t>delictum</w:t>
      </w:r>
      <w:proofErr w:type="spellEnd"/>
      <w:r w:rsidR="005E5C57" w:rsidRPr="000E3B0C">
        <w:rPr>
          <w:rStyle w:val="Znakapoznpodarou"/>
        </w:rPr>
        <w:footnoteReference w:id="85"/>
      </w:r>
      <w:r w:rsidR="005E5C57" w:rsidRPr="000E3B0C">
        <w:rPr>
          <w:i/>
        </w:rPr>
        <w:t xml:space="preserve">, </w:t>
      </w:r>
      <w:r w:rsidR="005E5C57" w:rsidRPr="000E3B0C">
        <w:t xml:space="preserve">v českém </w:t>
      </w:r>
      <w:r w:rsidR="00C64CBC" w:rsidRPr="000E3B0C">
        <w:t xml:space="preserve">překladu je </w:t>
      </w:r>
      <w:r w:rsidR="005E5C57" w:rsidRPr="000E3B0C">
        <w:t xml:space="preserve">užíván termín </w:t>
      </w:r>
      <w:r w:rsidR="005E5C57" w:rsidRPr="000E3B0C">
        <w:rPr>
          <w:i/>
        </w:rPr>
        <w:t>trestný čin</w:t>
      </w:r>
      <w:r w:rsidR="005E5C57" w:rsidRPr="000E3B0C">
        <w:rPr>
          <w:rStyle w:val="Znakapoznpodarou"/>
        </w:rPr>
        <w:footnoteReference w:id="86"/>
      </w:r>
      <w:r w:rsidR="005E5C57" w:rsidRPr="000E3B0C">
        <w:t xml:space="preserve">. </w:t>
      </w:r>
      <w:r w:rsidR="009D363B" w:rsidRPr="000E3B0C">
        <w:t>Dle účinné právní úpravy je</w:t>
      </w:r>
      <w:r w:rsidR="00082B09" w:rsidRPr="000E3B0C">
        <w:t xml:space="preserve"> </w:t>
      </w:r>
      <w:r w:rsidR="00082B09" w:rsidRPr="000E3B0C">
        <w:lastRenderedPageBreak/>
        <w:t xml:space="preserve">jím </w:t>
      </w:r>
      <w:r w:rsidR="001672C1" w:rsidRPr="000E3B0C">
        <w:rPr>
          <w:i/>
        </w:rPr>
        <w:t>„</w:t>
      </w:r>
      <w:r w:rsidR="00082B09" w:rsidRPr="000E3B0C">
        <w:rPr>
          <w:rFonts w:cs="TimesNewRomanPSMT"/>
          <w:i/>
        </w:rPr>
        <w:t>vnější porušení zákona nebo příkazu, které je těžce přičitatelné z důvodu úmyslu nebo nedbalosti</w:t>
      </w:r>
      <w:r w:rsidR="0010222B" w:rsidRPr="00CA392A">
        <w:rPr>
          <w:rFonts w:cs="TimesNewRomanPSMT"/>
          <w:i/>
        </w:rPr>
        <w:t>.</w:t>
      </w:r>
      <w:r w:rsidR="001672C1" w:rsidRPr="00CA392A">
        <w:rPr>
          <w:rFonts w:cs="TimesNewRomanPSMT"/>
          <w:i/>
        </w:rPr>
        <w:t>“</w:t>
      </w:r>
      <w:r w:rsidR="00082B09" w:rsidRPr="000E3B0C">
        <w:rPr>
          <w:rStyle w:val="Znakapoznpodarou"/>
          <w:rFonts w:cs="TimesNewRomanPSMT"/>
        </w:rPr>
        <w:footnoteReference w:id="87"/>
      </w:r>
      <w:r w:rsidR="00082B09" w:rsidRPr="000E3B0C">
        <w:rPr>
          <w:rFonts w:cs="TimesNewRomanPSMT"/>
        </w:rPr>
        <w:t xml:space="preserve"> </w:t>
      </w:r>
      <w:r w:rsidR="00B6431C" w:rsidRPr="000E3B0C">
        <w:t xml:space="preserve">Základem trestní odpovědnosti </w:t>
      </w:r>
      <w:r w:rsidR="003A2EA3" w:rsidRPr="000E3B0C">
        <w:t>katolíka</w:t>
      </w:r>
      <w:r w:rsidR="009D363B" w:rsidRPr="000E3B0C">
        <w:t xml:space="preserve"> je tedy spáchání </w:t>
      </w:r>
      <w:r w:rsidR="003A2EA3" w:rsidRPr="000E3B0C">
        <w:t>skutku</w:t>
      </w:r>
      <w:r w:rsidR="00B6431C" w:rsidRPr="000E3B0C">
        <w:t xml:space="preserve"> spočívající</w:t>
      </w:r>
      <w:r w:rsidR="009D363B" w:rsidRPr="000E3B0C">
        <w:t>ho</w:t>
      </w:r>
      <w:r w:rsidR="00B6431C" w:rsidRPr="000E3B0C">
        <w:t xml:space="preserve"> v porušení trestního zákona </w:t>
      </w:r>
      <w:r w:rsidR="003A2EA3" w:rsidRPr="000E3B0C">
        <w:t xml:space="preserve">nebo příkazu </w:t>
      </w:r>
      <w:r w:rsidR="00B6431C" w:rsidRPr="000E3B0C">
        <w:t>opatřeného trestní sankcí.</w:t>
      </w:r>
      <w:r w:rsidR="009D363B" w:rsidRPr="000E3B0C">
        <w:rPr>
          <w:rStyle w:val="Znakapoznpodarou"/>
        </w:rPr>
        <w:footnoteReference w:id="88"/>
      </w:r>
      <w:r w:rsidR="001F59AF" w:rsidRPr="000E3B0C">
        <w:t xml:space="preserve"> K</w:t>
      </w:r>
      <w:r w:rsidR="001672C1" w:rsidRPr="000E3B0C">
        <w:t xml:space="preserve">lerik může být </w:t>
      </w:r>
      <w:r w:rsidR="00DB4D1C" w:rsidRPr="000E3B0C">
        <w:t>jak obecným subjektem (</w:t>
      </w:r>
      <w:r w:rsidR="003A2EA3" w:rsidRPr="000E3B0C">
        <w:t xml:space="preserve">a to </w:t>
      </w:r>
      <w:r w:rsidR="007D4BF3" w:rsidRPr="000E3B0C">
        <w:t>u</w:t>
      </w:r>
      <w:r w:rsidR="00DB4D1C" w:rsidRPr="000E3B0C">
        <w:t xml:space="preserve"> většiny trestných činů, které může spác</w:t>
      </w:r>
      <w:r w:rsidR="003A2EA3" w:rsidRPr="000E3B0C">
        <w:t>hat každý věřící, tedy i laik)</w:t>
      </w:r>
      <w:r w:rsidR="001D037E" w:rsidRPr="000E3B0C">
        <w:t>, ovšem</w:t>
      </w:r>
      <w:r w:rsidR="003A2EA3" w:rsidRPr="000E3B0C">
        <w:t xml:space="preserve"> </w:t>
      </w:r>
      <w:r w:rsidR="00DB4D1C" w:rsidRPr="000E3B0C">
        <w:t xml:space="preserve">v případě určitých </w:t>
      </w:r>
      <w:r w:rsidR="003A2EA3" w:rsidRPr="000E3B0C">
        <w:t xml:space="preserve">vybraných </w:t>
      </w:r>
      <w:r w:rsidR="001D037E" w:rsidRPr="000E3B0C">
        <w:t>skutků</w:t>
      </w:r>
      <w:r w:rsidR="00DB4D1C" w:rsidRPr="000E3B0C">
        <w:t xml:space="preserve"> vystupuje jako </w:t>
      </w:r>
      <w:r w:rsidR="001672C1" w:rsidRPr="000E3B0C">
        <w:t>speciální s</w:t>
      </w:r>
      <w:r w:rsidR="00DB4D1C" w:rsidRPr="000E3B0C">
        <w:t xml:space="preserve">ubjekt, neboť </w:t>
      </w:r>
      <w:r w:rsidR="007D4BF3" w:rsidRPr="000E3B0C">
        <w:t>vymezeného</w:t>
      </w:r>
      <w:r w:rsidR="00DB4D1C" w:rsidRPr="000E3B0C">
        <w:t xml:space="preserve"> protiprávního jednání se může dopustit pouze </w:t>
      </w:r>
      <w:r w:rsidR="003A2EA3" w:rsidRPr="000E3B0C">
        <w:t xml:space="preserve">a toliko </w:t>
      </w:r>
      <w:r w:rsidR="00DB4D1C" w:rsidRPr="000E3B0C">
        <w:t>klerik.</w:t>
      </w:r>
      <w:r w:rsidR="007D4BF3" w:rsidRPr="000E3B0C">
        <w:rPr>
          <w:rStyle w:val="Znakapoznpodarou"/>
        </w:rPr>
        <w:footnoteReference w:id="89"/>
      </w:r>
      <w:r w:rsidR="001D037E" w:rsidRPr="000E3B0C">
        <w:t xml:space="preserve"> Kanonické právo totiž (na rozdíl od </w:t>
      </w:r>
      <w:r w:rsidR="00997A90" w:rsidRPr="000E3B0C">
        <w:t>kárné právní úpravy</w:t>
      </w:r>
      <w:r w:rsidR="001D037E" w:rsidRPr="000E3B0C">
        <w:t xml:space="preserve">) obsahuje velkou spoustu konkrétních skutkových podstat jednotlivých trestných činů, které pregnantně definují, jaké </w:t>
      </w:r>
      <w:r w:rsidR="007D534A" w:rsidRPr="000E3B0C">
        <w:t xml:space="preserve">přesně </w:t>
      </w:r>
      <w:r w:rsidR="00997A90" w:rsidRPr="000E3B0C">
        <w:t xml:space="preserve">jednání </w:t>
      </w:r>
      <w:r w:rsidR="001D037E" w:rsidRPr="000E3B0C">
        <w:t xml:space="preserve">je </w:t>
      </w:r>
      <w:r w:rsidR="00997A90" w:rsidRPr="000E3B0C">
        <w:t>protiprávní</w:t>
      </w:r>
      <w:r w:rsidR="001D037E" w:rsidRPr="000E3B0C">
        <w:t>.</w:t>
      </w:r>
      <w:r w:rsidR="001D037E" w:rsidRPr="000E3B0C">
        <w:rPr>
          <w:rStyle w:val="Znakapoznpodarou"/>
        </w:rPr>
        <w:footnoteReference w:id="90"/>
      </w:r>
      <w:r w:rsidR="00AD10CF" w:rsidRPr="000E3B0C">
        <w:t xml:space="preserve"> </w:t>
      </w:r>
      <w:r w:rsidR="00B90FF3" w:rsidRPr="000E3B0C">
        <w:t>Typově</w:t>
      </w:r>
      <w:r w:rsidR="00997A90" w:rsidRPr="000E3B0C">
        <w:t xml:space="preserve"> se jedná o </w:t>
      </w:r>
      <w:r w:rsidR="00AD10CF" w:rsidRPr="000E3B0C">
        <w:t>trestné činy proti víře a jednotě církve, církevním představeným a výkonu církevních služeb, proti svátostem, dobré pověsti, zvláštním povinnostem, lidskému</w:t>
      </w:r>
      <w:r w:rsidR="00997A90" w:rsidRPr="000E3B0C">
        <w:t xml:space="preserve"> životu či lidské důstojnosti a </w:t>
      </w:r>
      <w:r w:rsidR="00AD10CF" w:rsidRPr="000E3B0C">
        <w:t>svobodě</w:t>
      </w:r>
      <w:r w:rsidR="00B90FF3" w:rsidRPr="000E3B0C">
        <w:t xml:space="preserve">; tyto kategorie </w:t>
      </w:r>
      <w:r w:rsidR="0044460A" w:rsidRPr="000E3B0C">
        <w:t xml:space="preserve">přitom </w:t>
      </w:r>
      <w:r w:rsidR="00B90FF3" w:rsidRPr="000E3B0C">
        <w:t xml:space="preserve">odpovídají jednotlivým statím zvláštní </w:t>
      </w:r>
      <w:r w:rsidR="0044460A" w:rsidRPr="000E3B0C">
        <w:t>části trestněprávní úpravy v Kodexu.</w:t>
      </w:r>
      <w:r w:rsidR="00997A90" w:rsidRPr="000E3B0C">
        <w:t xml:space="preserve"> </w:t>
      </w:r>
      <w:r w:rsidR="0006379E" w:rsidRPr="000E3B0C">
        <w:t>Výjimku z této koncepce představuje tzv. „hmotněprávní obecná norma“</w:t>
      </w:r>
      <w:r w:rsidR="007D534A" w:rsidRPr="000E3B0C">
        <w:rPr>
          <w:rStyle w:val="Znakapoznpodarou"/>
        </w:rPr>
        <w:footnoteReference w:id="91"/>
      </w:r>
      <w:r w:rsidR="0006379E" w:rsidRPr="000E3B0C">
        <w:t>, o níž bude pojednáno v</w:t>
      </w:r>
      <w:r w:rsidR="007D534A" w:rsidRPr="000E3B0C">
        <w:t> následující podkapitole.</w:t>
      </w:r>
    </w:p>
    <w:p w14:paraId="5452FBFF" w14:textId="77777777" w:rsidR="0006379E" w:rsidRPr="000E3B0C" w:rsidRDefault="0006379E" w:rsidP="00C50928"/>
    <w:p w14:paraId="4A7E7E94" w14:textId="5B47384E" w:rsidR="00CC09AE" w:rsidRPr="000E3B0C" w:rsidRDefault="003A2EA3" w:rsidP="00C50928">
      <w:r w:rsidRPr="000E3B0C">
        <w:t>Kanonický t</w:t>
      </w:r>
      <w:r w:rsidR="00CC09AE" w:rsidRPr="000E3B0C">
        <w:t xml:space="preserve">restný čin je třeba odlišovat od hříchu, který je </w:t>
      </w:r>
      <w:r w:rsidR="00CC09AE" w:rsidRPr="000E3B0C">
        <w:rPr>
          <w:i/>
        </w:rPr>
        <w:t>„pr</w:t>
      </w:r>
      <w:r w:rsidR="00997A90" w:rsidRPr="000E3B0C">
        <w:rPr>
          <w:i/>
        </w:rPr>
        <w:t>oviněním proti rozumu, pravdě a </w:t>
      </w:r>
      <w:r w:rsidR="00CC09AE" w:rsidRPr="000E3B0C">
        <w:rPr>
          <w:i/>
        </w:rPr>
        <w:t>správnému svědomí“</w:t>
      </w:r>
      <w:r w:rsidR="00C50928" w:rsidRPr="000E3B0C">
        <w:t>;</w:t>
      </w:r>
      <w:r w:rsidR="00CC09AE" w:rsidRPr="000E3B0C">
        <w:rPr>
          <w:rStyle w:val="Znakapoznpodarou"/>
        </w:rPr>
        <w:footnoteReference w:id="92"/>
      </w:r>
      <w:r w:rsidR="00C50928" w:rsidRPr="000E3B0C">
        <w:t xml:space="preserve"> na rozdíl od objektivně formulované skutkové podstaty je </w:t>
      </w:r>
      <w:r w:rsidR="007D534A" w:rsidRPr="000E3B0C">
        <w:t xml:space="preserve">totiž </w:t>
      </w:r>
      <w:r w:rsidR="00C50928" w:rsidRPr="000E3B0C">
        <w:t>subjektivní kategorií zavazující hříšníka pouze v jeho svědomí. Z</w:t>
      </w:r>
      <w:r w:rsidR="00CC09AE" w:rsidRPr="000E3B0C">
        <w:t xml:space="preserve">a stanovených podmínek </w:t>
      </w:r>
      <w:r w:rsidR="00C50928" w:rsidRPr="000E3B0C">
        <w:t xml:space="preserve">je </w:t>
      </w:r>
      <w:r w:rsidR="00A31461" w:rsidRPr="000E3B0C">
        <w:t>odpouštěn ve </w:t>
      </w:r>
      <w:r w:rsidR="00CC09AE" w:rsidRPr="000E3B0C">
        <w:t xml:space="preserve">svátosti smíření prostřednictvím kněží, kterým k tomu bylo příslušnou církevní autoritou uděleno zpovědní pověření. Pokud je </w:t>
      </w:r>
      <w:r w:rsidR="00C50928" w:rsidRPr="000E3B0C">
        <w:t xml:space="preserve">ovšem </w:t>
      </w:r>
      <w:r w:rsidR="00CC09AE" w:rsidRPr="000E3B0C">
        <w:t xml:space="preserve">hřích současně také trestným činem, nemůže být </w:t>
      </w:r>
      <w:r w:rsidR="00C50928" w:rsidRPr="000E3B0C">
        <w:t xml:space="preserve">zásadně </w:t>
      </w:r>
      <w:r w:rsidR="00CC09AE" w:rsidRPr="000E3B0C">
        <w:t xml:space="preserve">zpovědníkem z hříšníka sňat. </w:t>
      </w:r>
      <w:r w:rsidR="00C50928" w:rsidRPr="000E3B0C">
        <w:t>V</w:t>
      </w:r>
      <w:r w:rsidR="00CC09AE" w:rsidRPr="000E3B0C">
        <w:t>ýjimk</w:t>
      </w:r>
      <w:r w:rsidR="00C50928" w:rsidRPr="000E3B0C">
        <w:t>ami</w:t>
      </w:r>
      <w:r w:rsidR="00CC09AE" w:rsidRPr="000E3B0C">
        <w:t xml:space="preserve"> z tohoto pra</w:t>
      </w:r>
      <w:r w:rsidR="00C50928" w:rsidRPr="000E3B0C">
        <w:t>vidla jsou případ nebezpečí smrti a</w:t>
      </w:r>
      <w:r w:rsidR="0090136D">
        <w:t> </w:t>
      </w:r>
      <w:r w:rsidR="00CC09AE" w:rsidRPr="000E3B0C">
        <w:t>možnost</w:t>
      </w:r>
      <w:r w:rsidR="00C50928" w:rsidRPr="000E3B0C">
        <w:t xml:space="preserve"> </w:t>
      </w:r>
      <w:r w:rsidR="00CC09AE" w:rsidRPr="000E3B0C">
        <w:t>je</w:t>
      </w:r>
      <w:r w:rsidR="00C50928" w:rsidRPr="000E3B0C">
        <w:t>ho</w:t>
      </w:r>
      <w:r w:rsidR="00CC09AE" w:rsidRPr="000E3B0C">
        <w:t xml:space="preserve"> prominutí pro </w:t>
      </w:r>
      <w:r w:rsidR="00C50928" w:rsidRPr="000E3B0C">
        <w:t xml:space="preserve">vnitřní svátostný obor (pokud je pro kajícníka příliš tvrdé setrvávat ve stavu těžkého hříchu, dokud příslušný představený </w:t>
      </w:r>
      <w:r w:rsidR="00A20750" w:rsidRPr="000E3B0C">
        <w:t xml:space="preserve">trest </w:t>
      </w:r>
      <w:r w:rsidR="00C50928" w:rsidRPr="000E3B0C">
        <w:t>nepromine).</w:t>
      </w:r>
      <w:r w:rsidR="00CC09AE" w:rsidRPr="000E3B0C">
        <w:rPr>
          <w:vertAlign w:val="superscript"/>
        </w:rPr>
        <w:footnoteReference w:id="93"/>
      </w:r>
    </w:p>
    <w:p w14:paraId="71CABE64" w14:textId="77777777" w:rsidR="00CC09AE" w:rsidRPr="000E3B0C" w:rsidRDefault="00CC09AE" w:rsidP="00CC09AE"/>
    <w:p w14:paraId="09F6FF3D" w14:textId="5B18087D" w:rsidR="00FF158E" w:rsidRPr="000E3B0C" w:rsidRDefault="00CC09AE" w:rsidP="00FF158E">
      <w:r w:rsidRPr="000E3B0C">
        <w:t>Odlišný přístup obou odvětví panuje ohledně reflektování záv</w:t>
      </w:r>
      <w:r w:rsidR="00A31461" w:rsidRPr="000E3B0C">
        <w:t>ažnosti spáchaného provinění ve </w:t>
      </w:r>
      <w:r w:rsidRPr="000E3B0C">
        <w:t>vztahu k naplnění skutkové podstaty</w:t>
      </w:r>
      <w:r w:rsidR="00A20750" w:rsidRPr="000E3B0C">
        <w:t xml:space="preserve"> deliktu. V případě kárné odpovědnosti </w:t>
      </w:r>
      <w:r w:rsidRPr="000E3B0C">
        <w:t>se uplatňuje materiální přístup, neboť podle judikatury</w:t>
      </w:r>
      <w:r w:rsidR="00A20750" w:rsidRPr="000E3B0C">
        <w:t xml:space="preserve"> kárného soudu</w:t>
      </w:r>
      <w:r w:rsidR="00A20750" w:rsidRPr="000E3B0C">
        <w:rPr>
          <w:rStyle w:val="Znakapoznpodarou"/>
        </w:rPr>
        <w:footnoteReference w:id="94"/>
      </w:r>
      <w:r w:rsidR="00A20750" w:rsidRPr="000E3B0C">
        <w:t xml:space="preserve"> </w:t>
      </w:r>
      <w:r w:rsidRPr="000E3B0C">
        <w:t>je ke spáchání kárného provinění nutná určitá intenzita porušení povinnosti soudce</w:t>
      </w:r>
      <w:r w:rsidR="00A20750" w:rsidRPr="000E3B0C">
        <w:t>;</w:t>
      </w:r>
      <w:r w:rsidRPr="000E3B0C">
        <w:t xml:space="preserve"> jinými slo</w:t>
      </w:r>
      <w:r w:rsidR="00997A90" w:rsidRPr="000E3B0C">
        <w:t xml:space="preserve">vy ne každé pochybění (byť by </w:t>
      </w:r>
      <w:r w:rsidR="00997A90" w:rsidRPr="000E3B0C">
        <w:lastRenderedPageBreak/>
        <w:t>i </w:t>
      </w:r>
      <w:r w:rsidRPr="000E3B0C">
        <w:t xml:space="preserve">naplňovalo </w:t>
      </w:r>
      <w:r w:rsidR="00A20750" w:rsidRPr="000E3B0C">
        <w:t xml:space="preserve">formálně vyjádřené </w:t>
      </w:r>
      <w:r w:rsidRPr="000E3B0C">
        <w:t>znaky skutkové podstaty), vede k závěru o  spáchání</w:t>
      </w:r>
      <w:r w:rsidR="00A20750" w:rsidRPr="000E3B0C">
        <w:t xml:space="preserve"> kárného provinění</w:t>
      </w:r>
      <w:r w:rsidRPr="000E3B0C">
        <w:t>.</w:t>
      </w:r>
      <w:r w:rsidRPr="000E3B0C">
        <w:rPr>
          <w:rStyle w:val="Znakapoznpodarou"/>
        </w:rPr>
        <w:footnoteReference w:id="95"/>
      </w:r>
      <w:r w:rsidRPr="000E3B0C">
        <w:t xml:space="preserve"> Naopak k</w:t>
      </w:r>
      <w:r w:rsidR="009D363B" w:rsidRPr="000E3B0C">
        <w:t xml:space="preserve">anonické trestní právo </w:t>
      </w:r>
      <w:r w:rsidR="00A65C1E" w:rsidRPr="000E3B0C">
        <w:t xml:space="preserve">chápe trestný čin formálně a při hodnocení spáchaného skutku se </w:t>
      </w:r>
      <w:r w:rsidR="009D363B" w:rsidRPr="000E3B0C">
        <w:t xml:space="preserve">omezuje </w:t>
      </w:r>
      <w:r w:rsidR="00A65C1E" w:rsidRPr="000E3B0C">
        <w:t>toliko</w:t>
      </w:r>
      <w:r w:rsidR="009D363B" w:rsidRPr="000E3B0C">
        <w:t xml:space="preserve"> na</w:t>
      </w:r>
      <w:r w:rsidR="00CB5167" w:rsidRPr="000E3B0C">
        <w:t xml:space="preserve"> prosté</w:t>
      </w:r>
      <w:r w:rsidR="009D363B" w:rsidRPr="000E3B0C">
        <w:t xml:space="preserve"> </w:t>
      </w:r>
      <w:r w:rsidR="00A20750" w:rsidRPr="000E3B0C">
        <w:t>zjištění</w:t>
      </w:r>
      <w:r w:rsidR="009D363B" w:rsidRPr="000E3B0C">
        <w:t xml:space="preserve"> porušení zákona</w:t>
      </w:r>
      <w:r w:rsidR="00A65C1E" w:rsidRPr="000E3B0C">
        <w:t>, a to</w:t>
      </w:r>
      <w:r w:rsidR="009D363B" w:rsidRPr="000E3B0C">
        <w:t xml:space="preserve"> bez toho, že by jako další </w:t>
      </w:r>
      <w:r w:rsidRPr="000E3B0C">
        <w:t xml:space="preserve">přistupující </w:t>
      </w:r>
      <w:r w:rsidR="009D363B" w:rsidRPr="000E3B0C">
        <w:t xml:space="preserve">podmínku </w:t>
      </w:r>
      <w:r w:rsidR="00A65C1E" w:rsidRPr="000E3B0C">
        <w:t>vyžadovalo</w:t>
      </w:r>
      <w:r w:rsidR="009D363B" w:rsidRPr="000E3B0C">
        <w:t xml:space="preserve"> určitý stupe</w:t>
      </w:r>
      <w:r w:rsidR="00A65C1E" w:rsidRPr="000E3B0C">
        <w:t xml:space="preserve">ň nebezpečnosti </w:t>
      </w:r>
      <w:r w:rsidR="00CB5167" w:rsidRPr="000E3B0C">
        <w:t>takového</w:t>
      </w:r>
      <w:r w:rsidR="00A65C1E" w:rsidRPr="000E3B0C">
        <w:t xml:space="preserve"> jednání</w:t>
      </w:r>
      <w:r w:rsidR="00A20750" w:rsidRPr="000E3B0C">
        <w:t xml:space="preserve">; materiální závažnost (škodlivost) spáchaného deliktu pak hraje roli až při rozhodování ordináře, zda bude daný </w:t>
      </w:r>
      <w:r w:rsidR="009C1037" w:rsidRPr="000E3B0C">
        <w:t>trestný čin</w:t>
      </w:r>
      <w:r w:rsidR="00A20750" w:rsidRPr="000E3B0C">
        <w:t xml:space="preserve"> stíhat</w:t>
      </w:r>
      <w:r w:rsidR="00A65C1E" w:rsidRPr="000E3B0C">
        <w:t>.</w:t>
      </w:r>
      <w:r w:rsidR="00A65C1E" w:rsidRPr="000E3B0C">
        <w:rPr>
          <w:rStyle w:val="Znakapoznpodarou"/>
        </w:rPr>
        <w:footnoteReference w:id="96"/>
      </w:r>
    </w:p>
    <w:p w14:paraId="63AA72D7" w14:textId="77777777" w:rsidR="00702520" w:rsidRPr="000E3B0C" w:rsidRDefault="00702520" w:rsidP="00FF158E"/>
    <w:p w14:paraId="1D049E57" w14:textId="38F3D3E1" w:rsidR="00754AB5" w:rsidRPr="000E3B0C" w:rsidRDefault="002577F3" w:rsidP="00702520">
      <w:r w:rsidRPr="000E3B0C">
        <w:t xml:space="preserve">Lze tedy </w:t>
      </w:r>
      <w:r w:rsidRPr="000E3B0C">
        <w:rPr>
          <w:u w:val="single"/>
        </w:rPr>
        <w:t>shrnout</w:t>
      </w:r>
      <w:r w:rsidRPr="000E3B0C">
        <w:t xml:space="preserve">, že </w:t>
      </w:r>
      <w:r w:rsidR="007D534A" w:rsidRPr="000E3B0C">
        <w:t>o</w:t>
      </w:r>
      <w:r w:rsidR="00CB5167" w:rsidRPr="000E3B0C">
        <w:t xml:space="preserve">ba delikty (kárné provinění soudce i kanonický trestný čin klerika) shodně spočívají v jednání, které naplňuje skutkovou podstatu protiprávního činu stanovenou v příslušném zákoně. Odlišnosti pak tkví v tom, že kárná odpovědnost je upravena toliko jedinou univerzální skutkovou podstatou zahrnující potenciálně veškeré nežádoucí jednání soudce, kdežto kanonické trestní právo má </w:t>
      </w:r>
      <w:r w:rsidR="00120D76" w:rsidRPr="000E3B0C">
        <w:t xml:space="preserve">v zásadě (až na hmotněprávní obecnou normu) </w:t>
      </w:r>
      <w:r w:rsidR="00CB5167" w:rsidRPr="000E3B0C">
        <w:t xml:space="preserve">„klasický“ katalog konkrétních skutkových podstat postihujících úzce vymezené jednání. Z pohledu </w:t>
      </w:r>
      <w:r w:rsidR="00754AB5" w:rsidRPr="000E3B0C">
        <w:t xml:space="preserve">možného </w:t>
      </w:r>
      <w:r w:rsidR="00CB5167" w:rsidRPr="000E3B0C">
        <w:t xml:space="preserve">pachatele daných deliktů je soudce vždy výhradním </w:t>
      </w:r>
      <w:r w:rsidR="00754AB5" w:rsidRPr="000E3B0C">
        <w:t>subjektem</w:t>
      </w:r>
      <w:r w:rsidR="00CB5167" w:rsidRPr="000E3B0C">
        <w:t xml:space="preserve">, </w:t>
      </w:r>
      <w:r w:rsidR="00754AB5" w:rsidRPr="000E3B0C">
        <w:t>kdežto klerik může být v závislosti na spáchaném skutku subjektem obecným či speciálním. Kárné právo zohledňuje závažnost</w:t>
      </w:r>
      <w:r w:rsidR="00702520" w:rsidRPr="000E3B0C">
        <w:t xml:space="preserve"> spáchaného </w:t>
      </w:r>
      <w:r w:rsidR="00754AB5" w:rsidRPr="000E3B0C">
        <w:t xml:space="preserve">deliktu při posuzování, zda jde o kárné provinění, </w:t>
      </w:r>
      <w:r w:rsidR="00284772" w:rsidRPr="000E3B0C">
        <w:t>ovšem</w:t>
      </w:r>
      <w:r w:rsidR="00754AB5" w:rsidRPr="000E3B0C">
        <w:t xml:space="preserve"> kanonickým trestným činem je každé jednání naplňující příslušnou skutkovou podstatu.</w:t>
      </w:r>
    </w:p>
    <w:p w14:paraId="553B2939" w14:textId="77777777" w:rsidR="009D363B" w:rsidRPr="000E3B0C" w:rsidRDefault="00626B3D" w:rsidP="00C22619">
      <w:pPr>
        <w:pStyle w:val="Nadpis2"/>
        <w:numPr>
          <w:ilvl w:val="1"/>
          <w:numId w:val="3"/>
        </w:numPr>
      </w:pPr>
      <w:bookmarkStart w:id="13" w:name="_Toc130067377"/>
      <w:r w:rsidRPr="000E3B0C">
        <w:t>Zásada zákonnosti</w:t>
      </w:r>
      <w:bookmarkEnd w:id="13"/>
    </w:p>
    <w:p w14:paraId="59A963B2" w14:textId="77777777" w:rsidR="004C6629" w:rsidRPr="000E3B0C" w:rsidRDefault="00284772" w:rsidP="004C6629">
      <w:r w:rsidRPr="000E3B0C">
        <w:t>Klasická lidskoprávní z</w:t>
      </w:r>
      <w:r w:rsidR="00F249AA" w:rsidRPr="000E3B0C">
        <w:t>ásada</w:t>
      </w:r>
      <w:r w:rsidR="00FD68CD" w:rsidRPr="000E3B0C">
        <w:t xml:space="preserve"> </w:t>
      </w:r>
      <w:r w:rsidRPr="000E3B0C">
        <w:t xml:space="preserve">trestního práva </w:t>
      </w:r>
      <w:r w:rsidR="00626B3D" w:rsidRPr="000E3B0C">
        <w:t xml:space="preserve">spočívající v pravidlu </w:t>
      </w:r>
      <w:proofErr w:type="spellStart"/>
      <w:r w:rsidR="00FD68CD" w:rsidRPr="000E3B0C">
        <w:rPr>
          <w:i/>
        </w:rPr>
        <w:t>nullum</w:t>
      </w:r>
      <w:proofErr w:type="spellEnd"/>
      <w:r w:rsidR="00FD68CD" w:rsidRPr="000E3B0C">
        <w:rPr>
          <w:i/>
        </w:rPr>
        <w:t xml:space="preserve"> </w:t>
      </w:r>
      <w:proofErr w:type="spellStart"/>
      <w:r w:rsidR="00FD68CD" w:rsidRPr="000E3B0C">
        <w:rPr>
          <w:i/>
        </w:rPr>
        <w:t>crimen</w:t>
      </w:r>
      <w:proofErr w:type="spellEnd"/>
      <w:r w:rsidR="00FD68CD" w:rsidRPr="000E3B0C">
        <w:rPr>
          <w:i/>
        </w:rPr>
        <w:t xml:space="preserve"> sine lege, </w:t>
      </w:r>
      <w:proofErr w:type="spellStart"/>
      <w:r w:rsidR="00F249AA" w:rsidRPr="000E3B0C">
        <w:rPr>
          <w:i/>
        </w:rPr>
        <w:t>nulla</w:t>
      </w:r>
      <w:proofErr w:type="spellEnd"/>
      <w:r w:rsidR="00F249AA" w:rsidRPr="000E3B0C">
        <w:rPr>
          <w:i/>
        </w:rPr>
        <w:t xml:space="preserve"> </w:t>
      </w:r>
      <w:proofErr w:type="spellStart"/>
      <w:r w:rsidR="00F249AA" w:rsidRPr="000E3B0C">
        <w:rPr>
          <w:i/>
        </w:rPr>
        <w:t>poena</w:t>
      </w:r>
      <w:proofErr w:type="spellEnd"/>
      <w:r w:rsidR="00F249AA" w:rsidRPr="000E3B0C">
        <w:rPr>
          <w:i/>
        </w:rPr>
        <w:t xml:space="preserve"> sine lege</w:t>
      </w:r>
      <w:r w:rsidR="00F249AA" w:rsidRPr="000E3B0C">
        <w:t xml:space="preserve"> (</w:t>
      </w:r>
      <w:r w:rsidRPr="000E3B0C">
        <w:t>volně inte</w:t>
      </w:r>
      <w:r w:rsidR="00222B1F" w:rsidRPr="000E3B0C">
        <w:t>rpretova</w:t>
      </w:r>
      <w:r w:rsidR="00AE0CBB" w:rsidRPr="000E3B0C">
        <w:t>n</w:t>
      </w:r>
      <w:r w:rsidR="00222B1F" w:rsidRPr="000E3B0C">
        <w:t>á</w:t>
      </w:r>
      <w:r w:rsidR="00AE0CBB" w:rsidRPr="000E3B0C">
        <w:t xml:space="preserve"> tak</w:t>
      </w:r>
      <w:r w:rsidRPr="000E3B0C">
        <w:t xml:space="preserve">, </w:t>
      </w:r>
      <w:r w:rsidR="00626B3D" w:rsidRPr="000E3B0C">
        <w:t>že jen trestní zákon vymezuje trestné činy a stanoví trestní sankce, které lze za jejich spáchání uložit</w:t>
      </w:r>
      <w:r w:rsidR="00F249AA" w:rsidRPr="000E3B0C">
        <w:t>) je v současné době vlastní všem civilizovaným právním řádům</w:t>
      </w:r>
      <w:r w:rsidR="00A73E45" w:rsidRPr="000E3B0C">
        <w:t>.</w:t>
      </w:r>
      <w:r w:rsidR="00F249AA" w:rsidRPr="000E3B0C">
        <w:rPr>
          <w:vertAlign w:val="superscript"/>
        </w:rPr>
        <w:footnoteReference w:id="97"/>
      </w:r>
      <w:r w:rsidR="00F249AA" w:rsidRPr="000E3B0C">
        <w:t xml:space="preserve"> </w:t>
      </w:r>
      <w:r w:rsidR="00A73E45" w:rsidRPr="000E3B0C">
        <w:t>V</w:t>
      </w:r>
      <w:r w:rsidR="00F249AA" w:rsidRPr="000E3B0C">
        <w:t> obou porovná</w:t>
      </w:r>
      <w:r w:rsidR="00A73E45" w:rsidRPr="000E3B0C">
        <w:t>vaných odvětvích je ovšem do jisté míry</w:t>
      </w:r>
      <w:r w:rsidR="00F249AA" w:rsidRPr="000E3B0C">
        <w:t xml:space="preserve"> (ať už teoreticky nebo </w:t>
      </w:r>
      <w:r w:rsidR="00A73E45" w:rsidRPr="000E3B0C">
        <w:t>fakticky</w:t>
      </w:r>
      <w:r w:rsidR="00F249AA" w:rsidRPr="000E3B0C">
        <w:t>) omezena.</w:t>
      </w:r>
    </w:p>
    <w:p w14:paraId="52628465" w14:textId="77777777" w:rsidR="004C6629" w:rsidRPr="000E3B0C" w:rsidRDefault="004C6629" w:rsidP="004C6629"/>
    <w:p w14:paraId="287E03A4" w14:textId="2F7F8962" w:rsidR="00FA5835" w:rsidRPr="000E3B0C" w:rsidRDefault="00AE0CBB" w:rsidP="00A9576D">
      <w:r w:rsidRPr="000E3B0C">
        <w:rPr>
          <w:rFonts w:eastAsia="Calibri" w:cs="CIDFont+F1"/>
          <w:lang w:eastAsia="en-US"/>
        </w:rPr>
        <w:t xml:space="preserve">V případě </w:t>
      </w:r>
      <w:r w:rsidRPr="000E3B0C">
        <w:rPr>
          <w:rFonts w:eastAsia="Calibri" w:cs="CIDFont+F1"/>
          <w:u w:val="single"/>
          <w:lang w:eastAsia="en-US"/>
        </w:rPr>
        <w:t>kárného práva</w:t>
      </w:r>
      <w:r w:rsidRPr="000E3B0C">
        <w:rPr>
          <w:rFonts w:eastAsia="Calibri" w:cs="CIDFont+F1"/>
          <w:lang w:eastAsia="en-US"/>
        </w:rPr>
        <w:t xml:space="preserve"> totiž může být kárným proviněním nejen porušení konkrétní (právním předpisem jednoznačně </w:t>
      </w:r>
      <w:r w:rsidR="00222B1F" w:rsidRPr="000E3B0C">
        <w:rPr>
          <w:rFonts w:eastAsia="Calibri" w:cs="CIDFont+F1"/>
          <w:lang w:eastAsia="en-US"/>
        </w:rPr>
        <w:t xml:space="preserve">stanovené </w:t>
      </w:r>
      <w:r w:rsidRPr="000E3B0C">
        <w:rPr>
          <w:rFonts w:eastAsia="Calibri" w:cs="CIDFont+F1"/>
          <w:lang w:eastAsia="en-US"/>
        </w:rPr>
        <w:t xml:space="preserve">a </w:t>
      </w:r>
      <w:r w:rsidR="00222B1F" w:rsidRPr="000E3B0C">
        <w:rPr>
          <w:rFonts w:eastAsia="Calibri" w:cs="CIDFont+F1"/>
          <w:lang w:eastAsia="en-US"/>
        </w:rPr>
        <w:t xml:space="preserve">zároveň </w:t>
      </w:r>
      <w:r w:rsidRPr="000E3B0C">
        <w:rPr>
          <w:rFonts w:eastAsia="Calibri" w:cs="CIDFont+F1"/>
          <w:lang w:eastAsia="en-US"/>
        </w:rPr>
        <w:t>nesporně</w:t>
      </w:r>
      <w:r w:rsidR="00222B1F" w:rsidRPr="000E3B0C">
        <w:rPr>
          <w:rFonts w:eastAsia="Calibri" w:cs="CIDFont+F1"/>
          <w:lang w:eastAsia="en-US"/>
        </w:rPr>
        <w:t xml:space="preserve"> interpretované</w:t>
      </w:r>
      <w:r w:rsidRPr="000E3B0C">
        <w:rPr>
          <w:rFonts w:eastAsia="Calibri" w:cs="CIDFont+F1"/>
          <w:lang w:eastAsia="en-US"/>
        </w:rPr>
        <w:t>) povinnosti, nýbrž také jakékoli chování nebo jednání, kterým soudce narušuje důstojnost své funkce nebo ohrožuje důvěru v</w:t>
      </w:r>
      <w:r w:rsidR="00222B1F" w:rsidRPr="000E3B0C">
        <w:rPr>
          <w:rFonts w:eastAsia="Calibri" w:cs="CIDFont+F1"/>
          <w:lang w:eastAsia="en-US"/>
        </w:rPr>
        <w:t> justici; tím však upřímně řečeno může být shledáno ledasco.</w:t>
      </w:r>
      <w:r w:rsidR="00F235C6" w:rsidRPr="000E3B0C">
        <w:rPr>
          <w:rFonts w:eastAsia="Calibri" w:cs="CIDFont+F1"/>
          <w:lang w:eastAsia="en-US"/>
        </w:rPr>
        <w:t xml:space="preserve"> Skutková podstata plná neurčitých právních pojmů tedy způsobuje, že kárným proviněním může být (formálně vzato zcela v souladu se zásadou zákonnosti) fakticky cokoli, co kárný soud uzná za vhodné. </w:t>
      </w:r>
      <w:r w:rsidR="00222B1F" w:rsidRPr="000E3B0C">
        <w:rPr>
          <w:rFonts w:eastAsia="Calibri" w:cs="CIDFont+F1"/>
          <w:lang w:eastAsia="en-US"/>
        </w:rPr>
        <w:t xml:space="preserve">Právě v situacích, kdy je soudci vytýkáno porušení některé </w:t>
      </w:r>
      <w:r w:rsidR="00F235C6" w:rsidRPr="000E3B0C">
        <w:rPr>
          <w:rFonts w:eastAsia="Calibri" w:cs="CIDFont+F1"/>
          <w:lang w:eastAsia="en-US"/>
        </w:rPr>
        <w:t>z</w:t>
      </w:r>
      <w:r w:rsidR="00222B1F" w:rsidRPr="000E3B0C">
        <w:rPr>
          <w:rFonts w:eastAsia="Calibri" w:cs="CIDFont+F1"/>
          <w:lang w:eastAsia="en-US"/>
        </w:rPr>
        <w:t xml:space="preserve"> vágně formulovaných</w:t>
      </w:r>
      <w:r w:rsidR="00222B1F" w:rsidRPr="000E3B0C">
        <w:t xml:space="preserve"> povinností či určité </w:t>
      </w:r>
      <w:r w:rsidR="00222B1F" w:rsidRPr="000E3B0C">
        <w:lastRenderedPageBreak/>
        <w:t xml:space="preserve">jednání </w:t>
      </w:r>
      <w:r w:rsidR="00F235C6" w:rsidRPr="000E3B0C">
        <w:t xml:space="preserve">údajně </w:t>
      </w:r>
      <w:r w:rsidR="00222B1F" w:rsidRPr="000E3B0C">
        <w:t>ohrožující důvěru veřejnosti</w:t>
      </w:r>
      <w:r w:rsidR="00F235C6" w:rsidRPr="000E3B0C">
        <w:t xml:space="preserve"> v soudnictví</w:t>
      </w:r>
      <w:r w:rsidR="00222B1F" w:rsidRPr="000E3B0C">
        <w:t>, vyvstává dle mého relevantní otázka, zda současně precizovaná „univerzální“ skutková podstata kárného provinění není (</w:t>
      </w:r>
      <w:r w:rsidR="00F235C6" w:rsidRPr="000E3B0C">
        <w:t>minimálně materiálně vzato</w:t>
      </w:r>
      <w:r w:rsidR="00222B1F" w:rsidRPr="000E3B0C">
        <w:t xml:space="preserve">) v rozporu se zásadou zákonnosti. Reálně je třeba připustit, že soudce s jistotou neví, jaké </w:t>
      </w:r>
      <w:r w:rsidR="00F235C6" w:rsidRPr="000E3B0C">
        <w:t>veškeré</w:t>
      </w:r>
      <w:r w:rsidR="00222B1F" w:rsidRPr="000E3B0C">
        <w:t xml:space="preserve"> chování či jednání je mu zapovězeno (</w:t>
      </w:r>
      <w:r w:rsidR="00F235C6" w:rsidRPr="000E3B0C">
        <w:t>tedy čím vším</w:t>
      </w:r>
      <w:r w:rsidR="00222B1F" w:rsidRPr="000E3B0C">
        <w:t xml:space="preserve"> se </w:t>
      </w:r>
      <w:r w:rsidR="00F235C6" w:rsidRPr="000E3B0C">
        <w:t>může</w:t>
      </w:r>
      <w:r w:rsidR="00222B1F" w:rsidRPr="000E3B0C">
        <w:t xml:space="preserve"> dopustit disciplinárního </w:t>
      </w:r>
      <w:r w:rsidR="00F235C6" w:rsidRPr="000E3B0C">
        <w:t>deliktu)</w:t>
      </w:r>
      <w:r w:rsidR="00BF56A5" w:rsidRPr="000E3B0C">
        <w:t>; k</w:t>
      </w:r>
      <w:r w:rsidR="00F235C6" w:rsidRPr="000E3B0C">
        <w:t xml:space="preserve">árné právo je </w:t>
      </w:r>
      <w:r w:rsidR="00BF56A5" w:rsidRPr="000E3B0C">
        <w:t xml:space="preserve">totiž </w:t>
      </w:r>
      <w:r w:rsidR="00F235C6" w:rsidRPr="000E3B0C">
        <w:t xml:space="preserve">velmi kazuistické a je </w:t>
      </w:r>
      <w:r w:rsidR="00222B1F" w:rsidRPr="000E3B0C">
        <w:t>založeno především na</w:t>
      </w:r>
      <w:r w:rsidR="00842E03">
        <w:t> </w:t>
      </w:r>
      <w:r w:rsidR="00A10162">
        <w:t>judikatuře</w:t>
      </w:r>
      <w:r w:rsidR="00F235C6" w:rsidRPr="000E3B0C">
        <w:t xml:space="preserve"> kárného soudu.</w:t>
      </w:r>
      <w:r w:rsidR="00BF56A5" w:rsidRPr="000E3B0C">
        <w:t xml:space="preserve"> </w:t>
      </w:r>
      <w:r w:rsidR="00A9576D" w:rsidRPr="000E3B0C">
        <w:t xml:space="preserve">Je však zároveň otázkou, zda tomu vůbec může být jinak. Kárným deliktem nutně musí být taktéž „mimopracovní“ excesy soudců představované jejich </w:t>
      </w:r>
      <w:r w:rsidR="00A9576D" w:rsidRPr="000E3B0C">
        <w:rPr>
          <w:rFonts w:eastAsia="Calibri" w:cs="CIDFont+F3"/>
          <w:lang w:eastAsia="en-US"/>
        </w:rPr>
        <w:t>nevhodným</w:t>
      </w:r>
      <w:r w:rsidR="004C6629" w:rsidRPr="000E3B0C">
        <w:rPr>
          <w:rFonts w:eastAsia="Calibri" w:cs="CIDFont+F3"/>
          <w:lang w:eastAsia="en-US"/>
        </w:rPr>
        <w:t xml:space="preserve"> chování</w:t>
      </w:r>
      <w:r w:rsidR="00A9576D" w:rsidRPr="000E3B0C">
        <w:rPr>
          <w:rFonts w:eastAsia="Calibri" w:cs="CIDFont+F3"/>
          <w:lang w:eastAsia="en-US"/>
        </w:rPr>
        <w:t>m nebo jiným</w:t>
      </w:r>
      <w:r w:rsidR="004C6629" w:rsidRPr="000E3B0C">
        <w:rPr>
          <w:rFonts w:eastAsia="Calibri" w:cs="CIDFont+F3"/>
          <w:lang w:eastAsia="en-US"/>
        </w:rPr>
        <w:t xml:space="preserve"> jednání</w:t>
      </w:r>
      <w:r w:rsidR="00A9576D" w:rsidRPr="000E3B0C">
        <w:rPr>
          <w:rFonts w:eastAsia="Calibri" w:cs="CIDFont+F3"/>
          <w:lang w:eastAsia="en-US"/>
        </w:rPr>
        <w:t>m</w:t>
      </w:r>
      <w:r w:rsidR="004C6629" w:rsidRPr="000E3B0C">
        <w:rPr>
          <w:rFonts w:eastAsia="Calibri" w:cs="CIDFont+F3"/>
          <w:lang w:eastAsia="en-US"/>
        </w:rPr>
        <w:t xml:space="preserve"> porušující</w:t>
      </w:r>
      <w:r w:rsidR="00A9576D" w:rsidRPr="000E3B0C">
        <w:rPr>
          <w:rFonts w:eastAsia="Calibri" w:cs="CIDFont+F3"/>
          <w:lang w:eastAsia="en-US"/>
        </w:rPr>
        <w:t>m</w:t>
      </w:r>
      <w:r w:rsidR="004C6629" w:rsidRPr="000E3B0C">
        <w:rPr>
          <w:rFonts w:eastAsia="Calibri" w:cs="CIDFont+F3"/>
          <w:lang w:eastAsia="en-US"/>
        </w:rPr>
        <w:t xml:space="preserve"> soudcovskou etiku</w:t>
      </w:r>
      <w:r w:rsidR="00A9576D" w:rsidRPr="000E3B0C">
        <w:rPr>
          <w:rFonts w:eastAsia="Calibri" w:cs="CIDFont+F3"/>
          <w:lang w:eastAsia="en-US"/>
        </w:rPr>
        <w:t>.</w:t>
      </w:r>
      <w:r w:rsidR="004C6629" w:rsidRPr="000E3B0C">
        <w:rPr>
          <w:rStyle w:val="Znakapoznpodarou"/>
          <w:rFonts w:eastAsia="Calibri" w:cs="CIDFont+F3"/>
          <w:lang w:eastAsia="en-US"/>
        </w:rPr>
        <w:footnoteReference w:id="98"/>
      </w:r>
      <w:r w:rsidR="00A9576D" w:rsidRPr="000E3B0C">
        <w:rPr>
          <w:rFonts w:eastAsia="Calibri" w:cs="CIDFont+F3"/>
          <w:lang w:eastAsia="en-US"/>
        </w:rPr>
        <w:t xml:space="preserve"> Jen velmi těžko by se ovšem dle mého názor</w:t>
      </w:r>
      <w:r w:rsidR="008A6223" w:rsidRPr="000E3B0C">
        <w:rPr>
          <w:rFonts w:eastAsia="Calibri" w:cs="CIDFont+F3"/>
          <w:lang w:eastAsia="en-US"/>
        </w:rPr>
        <w:t>u pod (případné) zcela konkrétně formulované</w:t>
      </w:r>
      <w:r w:rsidR="00A9576D" w:rsidRPr="000E3B0C">
        <w:rPr>
          <w:rFonts w:eastAsia="Calibri" w:cs="CIDFont+F3"/>
          <w:lang w:eastAsia="en-US"/>
        </w:rPr>
        <w:t xml:space="preserve"> skutkové podstaty </w:t>
      </w:r>
      <w:r w:rsidR="008A6223" w:rsidRPr="000E3B0C">
        <w:rPr>
          <w:rFonts w:eastAsia="Calibri" w:cs="CIDFont+F3"/>
          <w:lang w:eastAsia="en-US"/>
        </w:rPr>
        <w:t>(</w:t>
      </w:r>
      <w:r w:rsidR="00A9576D" w:rsidRPr="000E3B0C">
        <w:rPr>
          <w:rFonts w:eastAsia="Calibri" w:cs="CIDFont+F3"/>
          <w:lang w:eastAsia="en-US"/>
        </w:rPr>
        <w:t xml:space="preserve">předem explicitně popisující </w:t>
      </w:r>
      <w:r w:rsidR="007538A2" w:rsidRPr="000E3B0C">
        <w:rPr>
          <w:rFonts w:eastAsia="Calibri" w:cs="CIDFont+F3"/>
          <w:lang w:eastAsia="en-US"/>
        </w:rPr>
        <w:t>veškeré</w:t>
      </w:r>
      <w:r w:rsidR="00A9576D" w:rsidRPr="000E3B0C">
        <w:rPr>
          <w:rFonts w:eastAsia="Calibri" w:cs="CIDFont+F3"/>
          <w:lang w:eastAsia="en-US"/>
        </w:rPr>
        <w:t xml:space="preserve"> neakceptovatelné jednání</w:t>
      </w:r>
      <w:r w:rsidR="008A6223" w:rsidRPr="000E3B0C">
        <w:rPr>
          <w:rFonts w:eastAsia="Calibri" w:cs="CIDFont+F3"/>
          <w:lang w:eastAsia="en-US"/>
        </w:rPr>
        <w:t>)</w:t>
      </w:r>
      <w:r w:rsidR="00A9576D" w:rsidRPr="000E3B0C">
        <w:rPr>
          <w:rFonts w:eastAsia="Calibri" w:cs="CIDFont+F3"/>
          <w:lang w:eastAsia="en-US"/>
        </w:rPr>
        <w:t xml:space="preserve"> subsumovaly již téměř „kultovní“ kárná provinění jako </w:t>
      </w:r>
      <w:r w:rsidR="00A9576D" w:rsidRPr="000E3B0C">
        <w:rPr>
          <w:rFonts w:eastAsia="Calibri" w:cs="Arial"/>
          <w:lang w:eastAsia="en-US"/>
        </w:rPr>
        <w:t xml:space="preserve">účast soudkyně v </w:t>
      </w:r>
      <w:r w:rsidR="00FA5835" w:rsidRPr="000E3B0C">
        <w:rPr>
          <w:rFonts w:eastAsia="Calibri" w:cs="Arial"/>
          <w:lang w:eastAsia="en-US"/>
        </w:rPr>
        <w:t xml:space="preserve">soutěže </w:t>
      </w:r>
      <w:r w:rsidR="00FA5835" w:rsidRPr="000E3B0C">
        <w:rPr>
          <w:rFonts w:eastAsia="PalatinoCE-Roman" w:cs="PalatinoCE-Roman"/>
          <w:i/>
          <w:lang w:eastAsia="en-US"/>
        </w:rPr>
        <w:t xml:space="preserve">Miss </w:t>
      </w:r>
      <w:proofErr w:type="spellStart"/>
      <w:r w:rsidR="00FA5835" w:rsidRPr="000E3B0C">
        <w:rPr>
          <w:rFonts w:eastAsia="PalatinoCE-Roman" w:cs="PalatinoCE-Roman"/>
          <w:i/>
          <w:lang w:eastAsia="en-US"/>
        </w:rPr>
        <w:t>Monokiny</w:t>
      </w:r>
      <w:proofErr w:type="spellEnd"/>
      <w:r w:rsidR="00FA5835" w:rsidRPr="000E3B0C">
        <w:rPr>
          <w:rFonts w:eastAsia="PalatinoCE-Roman" w:cs="PalatinoCE-Roman"/>
          <w:lang w:eastAsia="en-US"/>
        </w:rPr>
        <w:t xml:space="preserve"> či </w:t>
      </w:r>
      <w:r w:rsidR="00A9576D" w:rsidRPr="000E3B0C">
        <w:rPr>
          <w:rFonts w:eastAsia="PalatinoCE-Roman" w:cs="PalatinoCE-Roman"/>
          <w:lang w:eastAsia="en-US"/>
        </w:rPr>
        <w:t>kradení</w:t>
      </w:r>
      <w:r w:rsidR="00FA5835" w:rsidRPr="000E3B0C">
        <w:rPr>
          <w:rFonts w:eastAsia="PalatinoCE-Roman" w:cs="PalatinoCE-Roman"/>
          <w:lang w:eastAsia="en-US"/>
        </w:rPr>
        <w:t xml:space="preserve"> </w:t>
      </w:r>
      <w:r w:rsidR="00A9576D" w:rsidRPr="000E3B0C">
        <w:rPr>
          <w:rFonts w:eastAsia="PalatinoCE-Roman" w:cs="PalatinoCE-Roman"/>
          <w:lang w:eastAsia="en-US"/>
        </w:rPr>
        <w:t xml:space="preserve">drobného zboží </w:t>
      </w:r>
      <w:r w:rsidR="00FA5835" w:rsidRPr="000E3B0C">
        <w:rPr>
          <w:rFonts w:eastAsia="PalatinoCE-Roman" w:cs="PalatinoCE-Roman"/>
          <w:lang w:eastAsia="en-US"/>
        </w:rPr>
        <w:t>v samoobsluze.</w:t>
      </w:r>
      <w:r w:rsidR="00FA5835" w:rsidRPr="000E3B0C">
        <w:rPr>
          <w:rStyle w:val="Znakapoznpodarou"/>
          <w:rFonts w:eastAsia="PalatinoCE-Roman" w:cs="PalatinoCE-Roman"/>
          <w:lang w:eastAsia="en-US"/>
        </w:rPr>
        <w:footnoteReference w:id="99"/>
      </w:r>
      <w:r w:rsidR="00A9576D" w:rsidRPr="000E3B0C">
        <w:rPr>
          <w:rFonts w:eastAsia="PalatinoCE-Roman" w:cs="PalatinoCE-Roman"/>
          <w:lang w:eastAsia="en-US"/>
        </w:rPr>
        <w:t xml:space="preserve"> </w:t>
      </w:r>
      <w:r w:rsidR="00BD4884" w:rsidRPr="000E3B0C">
        <w:rPr>
          <w:rFonts w:eastAsia="PalatinoCE-Roman" w:cs="PalatinoCE-Roman"/>
          <w:lang w:eastAsia="en-US"/>
        </w:rPr>
        <w:t xml:space="preserve">Stejně tak </w:t>
      </w:r>
      <w:r w:rsidR="008A6223" w:rsidRPr="000E3B0C">
        <w:rPr>
          <w:rFonts w:eastAsia="PalatinoCE-Roman" w:cs="PalatinoCE-Roman"/>
          <w:lang w:eastAsia="en-US"/>
        </w:rPr>
        <w:t>například u</w:t>
      </w:r>
      <w:r w:rsidR="00BD4884" w:rsidRPr="000E3B0C">
        <w:rPr>
          <w:rFonts w:eastAsia="PalatinoCE-Roman" w:cs="PalatinoCE-Roman"/>
          <w:lang w:eastAsia="en-US"/>
        </w:rPr>
        <w:t xml:space="preserve"> soudce, který se na pra</w:t>
      </w:r>
      <w:r w:rsidR="00A10162">
        <w:rPr>
          <w:rFonts w:eastAsia="PalatinoCE-Roman" w:cs="PalatinoCE-Roman"/>
          <w:lang w:eastAsia="en-US"/>
        </w:rPr>
        <w:t>covišti opije natolik, že mu na </w:t>
      </w:r>
      <w:r w:rsidR="00BD4884" w:rsidRPr="000E3B0C">
        <w:rPr>
          <w:rFonts w:eastAsia="PalatinoCE-Roman" w:cs="PalatinoCE-Roman"/>
          <w:lang w:eastAsia="en-US"/>
        </w:rPr>
        <w:t xml:space="preserve">chodbě soudu spadnou kalhoty, a následně </w:t>
      </w:r>
      <w:r w:rsidR="008A6223" w:rsidRPr="000E3B0C">
        <w:rPr>
          <w:rFonts w:eastAsia="PalatinoCE-Roman" w:cs="PalatinoCE-Roman"/>
          <w:lang w:eastAsia="en-US"/>
        </w:rPr>
        <w:t xml:space="preserve">v opojení alkoholem </w:t>
      </w:r>
      <w:r w:rsidR="00A10162">
        <w:rPr>
          <w:rFonts w:eastAsia="PalatinoCE-Roman" w:cs="PalatinoCE-Roman"/>
          <w:lang w:eastAsia="en-US"/>
        </w:rPr>
        <w:t>způsobí dopravní nehodu, při </w:t>
      </w:r>
      <w:r w:rsidR="00BD4884" w:rsidRPr="000E3B0C">
        <w:rPr>
          <w:rFonts w:eastAsia="PalatinoCE-Roman" w:cs="PalatinoCE-Roman"/>
          <w:lang w:eastAsia="en-US"/>
        </w:rPr>
        <w:t>níž odmítne podstoupit dechovou zkoušku s odůvodněním „že je soudce“,</w:t>
      </w:r>
      <w:r w:rsidR="00BD4884" w:rsidRPr="000E3B0C">
        <w:rPr>
          <w:rStyle w:val="Znakapoznpodarou"/>
          <w:rFonts w:eastAsia="PalatinoCE-Roman" w:cs="PalatinoCE-Roman"/>
          <w:lang w:eastAsia="en-US"/>
        </w:rPr>
        <w:footnoteReference w:id="100"/>
      </w:r>
      <w:r w:rsidR="00136252" w:rsidRPr="000E3B0C">
        <w:rPr>
          <w:rFonts w:eastAsia="PalatinoCE-Roman" w:cs="PalatinoCE-Roman"/>
          <w:lang w:eastAsia="en-US"/>
        </w:rPr>
        <w:t xml:space="preserve"> se </w:t>
      </w:r>
      <w:r w:rsidR="007538A2" w:rsidRPr="000E3B0C">
        <w:rPr>
          <w:rFonts w:eastAsia="PalatinoCE-Roman" w:cs="PalatinoCE-Roman"/>
          <w:lang w:eastAsia="en-US"/>
        </w:rPr>
        <w:t xml:space="preserve">sice </w:t>
      </w:r>
      <w:r w:rsidR="008A6223" w:rsidRPr="000E3B0C">
        <w:rPr>
          <w:rFonts w:eastAsia="PalatinoCE-Roman" w:cs="PalatinoCE-Roman"/>
          <w:lang w:eastAsia="en-US"/>
        </w:rPr>
        <w:t>může jevit jako konsenzuální a zcel</w:t>
      </w:r>
      <w:r w:rsidR="00136252" w:rsidRPr="000E3B0C">
        <w:rPr>
          <w:rFonts w:eastAsia="PalatinoCE-Roman" w:cs="PalatinoCE-Roman"/>
          <w:lang w:eastAsia="en-US"/>
        </w:rPr>
        <w:t xml:space="preserve">a nezbytné </w:t>
      </w:r>
      <w:r w:rsidR="007538A2" w:rsidRPr="000E3B0C">
        <w:rPr>
          <w:rFonts w:eastAsia="PalatinoCE-Roman" w:cs="PalatinoCE-Roman"/>
          <w:lang w:eastAsia="en-US"/>
        </w:rPr>
        <w:t>potrestání</w:t>
      </w:r>
      <w:r w:rsidR="008A6223" w:rsidRPr="000E3B0C">
        <w:rPr>
          <w:rFonts w:eastAsia="PalatinoCE-Roman" w:cs="PalatinoCE-Roman"/>
          <w:lang w:eastAsia="en-US"/>
        </w:rPr>
        <w:t xml:space="preserve"> takového jednání</w:t>
      </w:r>
      <w:r w:rsidR="00136252" w:rsidRPr="000E3B0C">
        <w:rPr>
          <w:rFonts w:eastAsia="PalatinoCE-Roman" w:cs="PalatinoCE-Roman"/>
          <w:lang w:eastAsia="en-US"/>
        </w:rPr>
        <w:t xml:space="preserve">; jistotu </w:t>
      </w:r>
      <w:r w:rsidR="008A6223" w:rsidRPr="000E3B0C">
        <w:rPr>
          <w:rFonts w:eastAsia="PalatinoCE-Roman" w:cs="PalatinoCE-Roman"/>
          <w:lang w:eastAsia="en-US"/>
        </w:rPr>
        <w:t xml:space="preserve">umožnění postihu </w:t>
      </w:r>
      <w:r w:rsidR="007538A2" w:rsidRPr="000E3B0C">
        <w:rPr>
          <w:rFonts w:eastAsia="PalatinoCE-Roman" w:cs="PalatinoCE-Roman"/>
          <w:lang w:eastAsia="en-US"/>
        </w:rPr>
        <w:t xml:space="preserve">(samozřejmě v případě prokázání viny) </w:t>
      </w:r>
      <w:r w:rsidR="008A6223" w:rsidRPr="000E3B0C">
        <w:rPr>
          <w:rFonts w:eastAsia="PalatinoCE-Roman" w:cs="PalatinoCE-Roman"/>
          <w:lang w:eastAsia="en-US"/>
        </w:rPr>
        <w:t xml:space="preserve">však </w:t>
      </w:r>
      <w:r w:rsidR="00136252" w:rsidRPr="000E3B0C">
        <w:rPr>
          <w:rFonts w:eastAsia="PalatinoCE-Roman" w:cs="PalatinoCE-Roman"/>
          <w:lang w:eastAsia="en-US"/>
        </w:rPr>
        <w:t xml:space="preserve">skýtá právě </w:t>
      </w:r>
      <w:r w:rsidR="007538A2" w:rsidRPr="000E3B0C">
        <w:rPr>
          <w:rFonts w:eastAsia="PalatinoCE-Roman" w:cs="PalatinoCE-Roman"/>
          <w:lang w:eastAsia="en-US"/>
        </w:rPr>
        <w:t xml:space="preserve">jen </w:t>
      </w:r>
      <w:r w:rsidR="00136252" w:rsidRPr="000E3B0C">
        <w:rPr>
          <w:rFonts w:eastAsia="PalatinoCE-Roman" w:cs="PalatinoCE-Roman"/>
          <w:lang w:eastAsia="en-US"/>
        </w:rPr>
        <w:t>velmi neurčitě pojatá definice kárného provinění.</w:t>
      </w:r>
      <w:r w:rsidR="007538A2" w:rsidRPr="000E3B0C">
        <w:rPr>
          <w:rFonts w:eastAsia="PalatinoCE-Roman" w:cs="PalatinoCE-Roman"/>
          <w:lang w:eastAsia="en-US"/>
        </w:rPr>
        <w:t xml:space="preserve"> Při zhodnocení </w:t>
      </w:r>
      <w:r w:rsidR="008A6223" w:rsidRPr="000E3B0C">
        <w:rPr>
          <w:rFonts w:eastAsia="PalatinoCE-Roman" w:cs="PalatinoCE-Roman"/>
          <w:lang w:eastAsia="en-US"/>
        </w:rPr>
        <w:t xml:space="preserve">všech </w:t>
      </w:r>
      <w:r w:rsidR="007538A2" w:rsidRPr="000E3B0C">
        <w:rPr>
          <w:rFonts w:eastAsia="PalatinoCE-Roman" w:cs="PalatinoCE-Roman"/>
          <w:lang w:eastAsia="en-US"/>
        </w:rPr>
        <w:t xml:space="preserve">přínosů i negativ </w:t>
      </w:r>
      <w:r w:rsidR="008A6223" w:rsidRPr="000E3B0C">
        <w:rPr>
          <w:rFonts w:eastAsia="PalatinoCE-Roman" w:cs="PalatinoCE-Roman"/>
          <w:lang w:eastAsia="en-US"/>
        </w:rPr>
        <w:t>současné právní úpravy kárných deliktů mám za to, že převažují pozitiva; je tomu tak především proto, že</w:t>
      </w:r>
      <w:r w:rsidR="00842E03">
        <w:rPr>
          <w:rFonts w:eastAsia="PalatinoCE-Roman" w:cs="PalatinoCE-Roman"/>
          <w:lang w:eastAsia="en-US"/>
        </w:rPr>
        <w:t> </w:t>
      </w:r>
      <w:r w:rsidR="008A6223" w:rsidRPr="000E3B0C">
        <w:rPr>
          <w:rFonts w:eastAsia="PalatinoCE-Roman" w:cs="PalatinoCE-Roman"/>
          <w:lang w:eastAsia="en-US"/>
        </w:rPr>
        <w:t>kárný soud dle mého názoru rozhoduje velmi umírněně a rozvážně.</w:t>
      </w:r>
    </w:p>
    <w:p w14:paraId="055E621B" w14:textId="77777777" w:rsidR="000C6051" w:rsidRPr="000E3B0C" w:rsidRDefault="000C6051" w:rsidP="008A6223"/>
    <w:p w14:paraId="10E649C7" w14:textId="320AD1EE" w:rsidR="00791CE4" w:rsidRPr="000E3B0C" w:rsidRDefault="008A6223" w:rsidP="00541AC2">
      <w:r w:rsidRPr="000E3B0C">
        <w:rPr>
          <w:u w:val="single"/>
        </w:rPr>
        <w:t>K</w:t>
      </w:r>
      <w:r w:rsidR="00DB723F" w:rsidRPr="000E3B0C">
        <w:rPr>
          <w:u w:val="single"/>
        </w:rPr>
        <w:t>anonické trestní právo</w:t>
      </w:r>
      <w:r w:rsidR="00DB723F" w:rsidRPr="000E3B0C">
        <w:t xml:space="preserve"> </w:t>
      </w:r>
      <w:r w:rsidR="003C286C" w:rsidRPr="000E3B0C">
        <w:t xml:space="preserve">pak </w:t>
      </w:r>
      <w:r w:rsidRPr="000E3B0C">
        <w:t xml:space="preserve">sice </w:t>
      </w:r>
      <w:r w:rsidR="00490601" w:rsidRPr="000E3B0C">
        <w:t xml:space="preserve">obsahuje </w:t>
      </w:r>
      <w:r w:rsidRPr="000E3B0C">
        <w:t>konkrétní skutkové</w:t>
      </w:r>
      <w:r w:rsidR="00490601" w:rsidRPr="000E3B0C">
        <w:t xml:space="preserve"> podstat</w:t>
      </w:r>
      <w:r w:rsidRPr="000E3B0C">
        <w:t>y</w:t>
      </w:r>
      <w:r w:rsidR="00490601" w:rsidRPr="000E3B0C">
        <w:t xml:space="preserve"> trestných činů</w:t>
      </w:r>
      <w:r w:rsidRPr="000E3B0C">
        <w:t xml:space="preserve"> (pojaté daleko úžeji než v případě kárného provinění), jejich</w:t>
      </w:r>
      <w:r w:rsidR="00525EC4" w:rsidRPr="000E3B0C">
        <w:t>ž</w:t>
      </w:r>
      <w:r w:rsidRPr="000E3B0C">
        <w:t xml:space="preserve"> výčet v Kodexu je navíc taxativní, tudíž by se mohlo na první pohled zdát, že v tomto odpovědnostním systému není </w:t>
      </w:r>
      <w:r w:rsidR="00525EC4" w:rsidRPr="000E3B0C">
        <w:t xml:space="preserve">zásada zákonnosti brána nikterak zkrátka. Nicméně ani zde </w:t>
      </w:r>
      <w:r w:rsidR="00490601" w:rsidRPr="000E3B0C">
        <w:t xml:space="preserve">zásada </w:t>
      </w:r>
      <w:proofErr w:type="spellStart"/>
      <w:r w:rsidR="00490601" w:rsidRPr="000E3B0C">
        <w:rPr>
          <w:i/>
        </w:rPr>
        <w:t>nullum</w:t>
      </w:r>
      <w:proofErr w:type="spellEnd"/>
      <w:r w:rsidR="00490601" w:rsidRPr="000E3B0C">
        <w:rPr>
          <w:i/>
        </w:rPr>
        <w:t xml:space="preserve"> </w:t>
      </w:r>
      <w:proofErr w:type="spellStart"/>
      <w:r w:rsidR="00490601" w:rsidRPr="000E3B0C">
        <w:rPr>
          <w:i/>
        </w:rPr>
        <w:t>crimen</w:t>
      </w:r>
      <w:proofErr w:type="spellEnd"/>
      <w:r w:rsidR="00490601" w:rsidRPr="000E3B0C">
        <w:rPr>
          <w:i/>
        </w:rPr>
        <w:t xml:space="preserve"> sine lege</w:t>
      </w:r>
      <w:r w:rsidR="00490601" w:rsidRPr="000E3B0C">
        <w:t xml:space="preserve"> neplatí </w:t>
      </w:r>
      <w:r w:rsidR="00525EC4" w:rsidRPr="000E3B0C">
        <w:t xml:space="preserve">zcela absolutně, neboť existují dvě možnosti jejího průlomu. První je </w:t>
      </w:r>
      <w:r w:rsidR="00490601" w:rsidRPr="000E3B0C">
        <w:t xml:space="preserve">tzv. </w:t>
      </w:r>
      <w:r w:rsidR="002877A0" w:rsidRPr="000E3B0C">
        <w:t xml:space="preserve">hmotněprávní </w:t>
      </w:r>
      <w:r w:rsidR="00120D76" w:rsidRPr="000E3B0C">
        <w:t>obecná norma</w:t>
      </w:r>
      <w:r w:rsidR="00490601" w:rsidRPr="000E3B0C">
        <w:t xml:space="preserve">, </w:t>
      </w:r>
      <w:r w:rsidR="00082C0E" w:rsidRPr="000E3B0C">
        <w:t xml:space="preserve">jež zůstala v Kodexu i po jeho poslední novelizaci, </w:t>
      </w:r>
      <w:r w:rsidR="00490601" w:rsidRPr="000E3B0C">
        <w:t>podle níž</w:t>
      </w:r>
      <w:r w:rsidR="00082C0E" w:rsidRPr="000E3B0C">
        <w:t xml:space="preserve"> </w:t>
      </w:r>
      <w:r w:rsidR="00082C0E" w:rsidRPr="000E3B0C">
        <w:rPr>
          <w:i/>
        </w:rPr>
        <w:t>„kromě případů stanovených v tomto nebo</w:t>
      </w:r>
      <w:r w:rsidR="00842E03">
        <w:rPr>
          <w:i/>
        </w:rPr>
        <w:t> </w:t>
      </w:r>
      <w:r w:rsidR="00082C0E" w:rsidRPr="000E3B0C">
        <w:rPr>
          <w:i/>
        </w:rPr>
        <w:t>jiných zákonech lze vnější porušení Božího nebo kanonického zákona postihnout spravedlivým trestem pouze tehdy, jestliže zvláštní závažnost tohoto porušení vyžaduje trest a je nutno předejít nebo odstranit pohoršení.“</w:t>
      </w:r>
      <w:r w:rsidR="00082C0E" w:rsidRPr="000E3B0C">
        <w:rPr>
          <w:vertAlign w:val="superscript"/>
        </w:rPr>
        <w:footnoteReference w:id="101"/>
      </w:r>
      <w:r w:rsidR="00D9402B" w:rsidRPr="000E3B0C">
        <w:t xml:space="preserve"> </w:t>
      </w:r>
      <w:r w:rsidR="003F1B6D" w:rsidRPr="000E3B0C">
        <w:t xml:space="preserve">Dle tohoto ustanovení je </w:t>
      </w:r>
      <w:r w:rsidR="002877A0" w:rsidRPr="000E3B0C">
        <w:t xml:space="preserve">tedy </w:t>
      </w:r>
      <w:r w:rsidR="003F1B6D" w:rsidRPr="000E3B0C">
        <w:t>možné</w:t>
      </w:r>
      <w:r w:rsidR="002877A0" w:rsidRPr="000E3B0C">
        <w:t xml:space="preserve"> (v případě vnějšího porušení zákona) postihovat i jednání, které nenaplňuje žádnou skutkovou podstatu trestného činu </w:t>
      </w:r>
      <w:r w:rsidR="00541AC2" w:rsidRPr="000E3B0C">
        <w:t>uvedenou</w:t>
      </w:r>
      <w:r w:rsidR="002877A0" w:rsidRPr="000E3B0C">
        <w:t xml:space="preserve"> v zákoně. </w:t>
      </w:r>
      <w:r w:rsidR="002577F3" w:rsidRPr="000E3B0C">
        <w:t xml:space="preserve">Jiří </w:t>
      </w:r>
      <w:proofErr w:type="spellStart"/>
      <w:r w:rsidR="002877A0" w:rsidRPr="000E3B0C">
        <w:t>Tretera</w:t>
      </w:r>
      <w:proofErr w:type="spellEnd"/>
      <w:r w:rsidR="002877A0" w:rsidRPr="000E3B0C">
        <w:t xml:space="preserve"> </w:t>
      </w:r>
      <w:r w:rsidR="002577F3" w:rsidRPr="000E3B0C">
        <w:t>a</w:t>
      </w:r>
      <w:r w:rsidR="00842E03">
        <w:t> </w:t>
      </w:r>
      <w:r w:rsidR="002577F3" w:rsidRPr="000E3B0C">
        <w:t>Záboj Horák zdůrazňují</w:t>
      </w:r>
      <w:r w:rsidR="002877A0" w:rsidRPr="000E3B0C">
        <w:t xml:space="preserve">, že </w:t>
      </w:r>
      <w:r w:rsidR="00541AC2" w:rsidRPr="000E3B0C">
        <w:t xml:space="preserve">i </w:t>
      </w:r>
      <w:r w:rsidR="002877A0" w:rsidRPr="000E3B0C">
        <w:t>za takové protiprávní jednání</w:t>
      </w:r>
      <w:r w:rsidR="00541AC2" w:rsidRPr="000E3B0C">
        <w:t xml:space="preserve"> je ovšem</w:t>
      </w:r>
      <w:r w:rsidR="002877A0" w:rsidRPr="000E3B0C">
        <w:rPr>
          <w:i/>
        </w:rPr>
        <w:t xml:space="preserve"> </w:t>
      </w:r>
      <w:r w:rsidR="00541AC2" w:rsidRPr="000E3B0C">
        <w:t>možné</w:t>
      </w:r>
      <w:r w:rsidR="002877A0" w:rsidRPr="000E3B0C">
        <w:rPr>
          <w:i/>
        </w:rPr>
        <w:t xml:space="preserve"> </w:t>
      </w:r>
      <w:r w:rsidR="003F1B6D" w:rsidRPr="000E3B0C">
        <w:t xml:space="preserve">ukládat sankce </w:t>
      </w:r>
      <w:r w:rsidR="000722DB" w:rsidRPr="000E3B0C">
        <w:t xml:space="preserve">jen </w:t>
      </w:r>
      <w:r w:rsidR="000722DB" w:rsidRPr="000E3B0C">
        <w:lastRenderedPageBreak/>
        <w:t xml:space="preserve">ze </w:t>
      </w:r>
      <w:r w:rsidR="00B32D6B" w:rsidRPr="000E3B0C">
        <w:t>„</w:t>
      </w:r>
      <w:r w:rsidR="000722DB" w:rsidRPr="000E3B0C">
        <w:t>seznamu</w:t>
      </w:r>
      <w:r w:rsidR="00B32D6B" w:rsidRPr="000E3B0C">
        <w:t>“</w:t>
      </w:r>
      <w:r w:rsidR="000722DB" w:rsidRPr="000E3B0C">
        <w:t xml:space="preserve"> zákonem stanovených trestů a lze </w:t>
      </w:r>
      <w:r w:rsidR="003F1B6D" w:rsidRPr="000E3B0C">
        <w:t>tak učinit</w:t>
      </w:r>
      <w:r w:rsidR="00E602B8" w:rsidRPr="000E3B0C">
        <w:t xml:space="preserve"> pouze</w:t>
      </w:r>
      <w:r w:rsidR="000722DB" w:rsidRPr="000E3B0C">
        <w:t xml:space="preserve"> </w:t>
      </w:r>
      <w:r w:rsidR="002877A0" w:rsidRPr="000E3B0C">
        <w:t xml:space="preserve">při </w:t>
      </w:r>
      <w:r w:rsidR="000722DB" w:rsidRPr="000E3B0C">
        <w:t>porušení zákona</w:t>
      </w:r>
      <w:r w:rsidR="00272AAC" w:rsidRPr="000E3B0C">
        <w:rPr>
          <w:rStyle w:val="Znakapoznpodarou"/>
        </w:rPr>
        <w:footnoteReference w:id="102"/>
      </w:r>
      <w:r w:rsidR="000722DB" w:rsidRPr="000E3B0C">
        <w:t xml:space="preserve"> (</w:t>
      </w:r>
      <w:r w:rsidR="00CA392A">
        <w:t>tedy </w:t>
      </w:r>
      <w:r w:rsidR="000722DB" w:rsidRPr="000E3B0C">
        <w:t xml:space="preserve">psané právní normy), </w:t>
      </w:r>
      <w:r w:rsidR="00D9402B" w:rsidRPr="000E3B0C">
        <w:t xml:space="preserve">nikoliv právního obyčeje; </w:t>
      </w:r>
      <w:r w:rsidR="002877A0" w:rsidRPr="000E3B0C">
        <w:t xml:space="preserve">dle </w:t>
      </w:r>
      <w:r w:rsidR="00541AC2" w:rsidRPr="000E3B0C">
        <w:t>nich</w:t>
      </w:r>
      <w:r w:rsidR="002877A0" w:rsidRPr="000E3B0C">
        <w:t xml:space="preserve"> proto</w:t>
      </w:r>
      <w:r w:rsidR="000722DB" w:rsidRPr="000E3B0C">
        <w:t xml:space="preserve"> </w:t>
      </w:r>
      <w:r w:rsidR="00D9402B" w:rsidRPr="000E3B0C">
        <w:t xml:space="preserve">nelze </w:t>
      </w:r>
      <w:r w:rsidR="00541AC2" w:rsidRPr="000E3B0C">
        <w:t>tvrdit</w:t>
      </w:r>
      <w:r w:rsidR="00CA392A">
        <w:t>, že jde o </w:t>
      </w:r>
      <w:r w:rsidR="000722DB" w:rsidRPr="000E3B0C">
        <w:t xml:space="preserve">porušení zásady </w:t>
      </w:r>
      <w:r w:rsidR="00541AC2" w:rsidRPr="000E3B0C">
        <w:t>zákonnosti</w:t>
      </w:r>
      <w:r w:rsidR="000722DB" w:rsidRPr="000E3B0C">
        <w:t>.</w:t>
      </w:r>
      <w:r w:rsidR="000722DB" w:rsidRPr="000E3B0C">
        <w:rPr>
          <w:vertAlign w:val="superscript"/>
        </w:rPr>
        <w:footnoteReference w:id="103"/>
      </w:r>
      <w:r w:rsidR="00D9402B" w:rsidRPr="000E3B0C">
        <w:t xml:space="preserve"> Naopak </w:t>
      </w:r>
      <w:r w:rsidR="00082C0E" w:rsidRPr="000E3B0C">
        <w:t xml:space="preserve">Hrdina toto ustanovení považuje </w:t>
      </w:r>
      <w:r w:rsidR="00541AC2" w:rsidRPr="000E3B0C">
        <w:t xml:space="preserve">z hlediska právní jistoty </w:t>
      </w:r>
      <w:r w:rsidR="00082C0E" w:rsidRPr="000E3B0C">
        <w:t>za značně problematické</w:t>
      </w:r>
      <w:r w:rsidR="002877A0" w:rsidRPr="000E3B0C">
        <w:t>;</w:t>
      </w:r>
      <w:r w:rsidR="002877A0" w:rsidRPr="000E3B0C">
        <w:rPr>
          <w:vertAlign w:val="superscript"/>
        </w:rPr>
        <w:footnoteReference w:id="104"/>
      </w:r>
      <w:r w:rsidR="002877A0" w:rsidRPr="000E3B0C">
        <w:t xml:space="preserve"> výslovně jej označuje za </w:t>
      </w:r>
      <w:r w:rsidR="002877A0" w:rsidRPr="000E3B0C">
        <w:rPr>
          <w:rFonts w:cs="Garamond"/>
        </w:rPr>
        <w:t>nešťastné prolomení shora uvedené zásady.</w:t>
      </w:r>
      <w:r w:rsidR="002877A0" w:rsidRPr="000E3B0C">
        <w:rPr>
          <w:rStyle w:val="Znakapoznpodarou"/>
          <w:rFonts w:cs="Garamond"/>
        </w:rPr>
        <w:footnoteReference w:id="105"/>
      </w:r>
      <w:r w:rsidR="00A10162">
        <w:rPr>
          <w:rFonts w:cs="Garamond"/>
        </w:rPr>
        <w:t xml:space="preserve"> Má </w:t>
      </w:r>
      <w:r w:rsidR="002877A0" w:rsidRPr="000E3B0C">
        <w:rPr>
          <w:rFonts w:cs="Garamond"/>
        </w:rPr>
        <w:t>za</w:t>
      </w:r>
      <w:r w:rsidR="00842E03">
        <w:rPr>
          <w:rFonts w:cs="Garamond"/>
        </w:rPr>
        <w:t> </w:t>
      </w:r>
      <w:r w:rsidR="002877A0" w:rsidRPr="000E3B0C">
        <w:rPr>
          <w:rFonts w:cs="Garamond"/>
        </w:rPr>
        <w:t xml:space="preserve">to, že </w:t>
      </w:r>
      <w:r w:rsidR="00541AC2" w:rsidRPr="000E3B0C">
        <w:rPr>
          <w:rFonts w:cs="Garamond"/>
        </w:rPr>
        <w:t xml:space="preserve">tato norma by měla být </w:t>
      </w:r>
      <w:r w:rsidR="00F11790" w:rsidRPr="000E3B0C">
        <w:t>aplikov</w:t>
      </w:r>
      <w:r w:rsidR="00541AC2" w:rsidRPr="000E3B0C">
        <w:t>ána</w:t>
      </w:r>
      <w:r w:rsidR="00F11790" w:rsidRPr="000E3B0C">
        <w:t xml:space="preserve"> </w:t>
      </w:r>
      <w:r w:rsidR="00082C0E" w:rsidRPr="000E3B0C">
        <w:t xml:space="preserve">pouze </w:t>
      </w:r>
      <w:r w:rsidR="00F11790" w:rsidRPr="000E3B0C">
        <w:t xml:space="preserve">ve </w:t>
      </w:r>
      <w:r w:rsidR="00490601" w:rsidRPr="000E3B0C">
        <w:t>zvláštní</w:t>
      </w:r>
      <w:r w:rsidR="00F11790" w:rsidRPr="000E3B0C">
        <w:t xml:space="preserve">ch a </w:t>
      </w:r>
      <w:r w:rsidR="002877A0" w:rsidRPr="000E3B0C">
        <w:t xml:space="preserve">výjimečně </w:t>
      </w:r>
      <w:r w:rsidR="00F11790" w:rsidRPr="000E3B0C">
        <w:t>naléhavých případech</w:t>
      </w:r>
      <w:r w:rsidR="00490601" w:rsidRPr="000E3B0C">
        <w:t>.</w:t>
      </w:r>
      <w:r w:rsidR="00082C0E" w:rsidRPr="000E3B0C">
        <w:rPr>
          <w:vertAlign w:val="superscript"/>
        </w:rPr>
        <w:footnoteReference w:id="106"/>
      </w:r>
      <w:r w:rsidR="00F11790" w:rsidRPr="000E3B0C">
        <w:t xml:space="preserve"> </w:t>
      </w:r>
      <w:r w:rsidR="00541AC2" w:rsidRPr="000E3B0C">
        <w:t xml:space="preserve">Připouští však, že </w:t>
      </w:r>
      <w:r w:rsidR="00F11790" w:rsidRPr="000E3B0C">
        <w:t>naštěstí</w:t>
      </w:r>
      <w:r w:rsidR="00082C0E" w:rsidRPr="000E3B0C">
        <w:t xml:space="preserve"> </w:t>
      </w:r>
      <w:r w:rsidR="002877A0" w:rsidRPr="000E3B0C">
        <w:t>(k</w:t>
      </w:r>
      <w:r w:rsidR="002877A0" w:rsidRPr="000E3B0C">
        <w:rPr>
          <w:rFonts w:cs="Garamond"/>
        </w:rPr>
        <w:t xml:space="preserve">e cti církevní justice) </w:t>
      </w:r>
      <w:r w:rsidR="00F11790" w:rsidRPr="000E3B0C">
        <w:t xml:space="preserve">není </w:t>
      </w:r>
      <w:r w:rsidR="00082C0E" w:rsidRPr="000E3B0C">
        <w:t xml:space="preserve">v právní praxi </w:t>
      </w:r>
      <w:r w:rsidR="00541AC2" w:rsidRPr="000E3B0C">
        <w:t>téměř využívána.</w:t>
      </w:r>
      <w:r w:rsidR="002877A0" w:rsidRPr="000E3B0C">
        <w:t xml:space="preserve"> </w:t>
      </w:r>
      <w:r w:rsidR="00541AC2" w:rsidRPr="000E3B0C">
        <w:t>P</w:t>
      </w:r>
      <w:r w:rsidR="00F11790" w:rsidRPr="000E3B0C">
        <w:t xml:space="preserve">oukazuje </w:t>
      </w:r>
      <w:r w:rsidR="002877A0" w:rsidRPr="000E3B0C">
        <w:t>též na</w:t>
      </w:r>
      <w:r w:rsidR="00F11790" w:rsidRPr="000E3B0C">
        <w:t xml:space="preserve"> skutečnost, že </w:t>
      </w:r>
      <w:r w:rsidR="00082C0E" w:rsidRPr="000E3B0C">
        <w:t xml:space="preserve">Kodex </w:t>
      </w:r>
      <w:r w:rsidR="00541AC2" w:rsidRPr="000E3B0C">
        <w:t>kánonů východních církví obdobnou</w:t>
      </w:r>
      <w:r w:rsidR="00082C0E" w:rsidRPr="000E3B0C">
        <w:t xml:space="preserve"> </w:t>
      </w:r>
      <w:r w:rsidR="00541AC2" w:rsidRPr="000E3B0C">
        <w:t>normu</w:t>
      </w:r>
      <w:r w:rsidR="00082C0E" w:rsidRPr="000E3B0C">
        <w:t xml:space="preserve"> nezná</w:t>
      </w:r>
      <w:r w:rsidR="002877A0" w:rsidRPr="000E3B0C">
        <w:t xml:space="preserve"> a klade si otázku, zda </w:t>
      </w:r>
      <w:r w:rsidR="00541AC2" w:rsidRPr="000E3B0C">
        <w:t>ji</w:t>
      </w:r>
      <w:r w:rsidR="002877A0" w:rsidRPr="000E3B0C">
        <w:t xml:space="preserve"> </w:t>
      </w:r>
      <w:r w:rsidR="00541AC2" w:rsidRPr="000E3B0C">
        <w:t xml:space="preserve">vůbec </w:t>
      </w:r>
      <w:r w:rsidR="002877A0" w:rsidRPr="000E3B0C">
        <w:t>potřebuje latinská církev</w:t>
      </w:r>
      <w:r w:rsidR="00082C0E" w:rsidRPr="000E3B0C">
        <w:t>.</w:t>
      </w:r>
      <w:r w:rsidR="00F11790" w:rsidRPr="000E3B0C">
        <w:rPr>
          <w:vertAlign w:val="superscript"/>
        </w:rPr>
        <w:footnoteReference w:id="107"/>
      </w:r>
      <w:r w:rsidR="00541AC2" w:rsidRPr="000E3B0C">
        <w:t xml:space="preserve"> V kontextu řešené zásady zákonnosti je třeba </w:t>
      </w:r>
      <w:r w:rsidR="00C60FD4" w:rsidRPr="000E3B0C">
        <w:t xml:space="preserve">upozornit také na </w:t>
      </w:r>
      <w:r w:rsidR="00C60FD4" w:rsidRPr="000E3B0C">
        <w:rPr>
          <w:rFonts w:cs="Garamond"/>
        </w:rPr>
        <w:t>problematický průlom do principu legality</w:t>
      </w:r>
      <w:r w:rsidR="00187C68" w:rsidRPr="000E3B0C">
        <w:rPr>
          <w:rFonts w:cs="Garamond"/>
        </w:rPr>
        <w:t xml:space="preserve"> kanonického trestního řízení spočívající v tom, že jeho předmětem může být nejen porušení církevních zákonů</w:t>
      </w:r>
      <w:r w:rsidR="00C60FD4" w:rsidRPr="000E3B0C">
        <w:rPr>
          <w:rFonts w:cs="Garamond"/>
        </w:rPr>
        <w:t xml:space="preserve">, nýbrž také </w:t>
      </w:r>
      <w:r w:rsidR="00C60FD4" w:rsidRPr="000E3B0C">
        <w:rPr>
          <w:rFonts w:cs="Garamond"/>
          <w:i/>
        </w:rPr>
        <w:t>„každé hříšné jednání, pokud se týká určení zavinění a uložení církevních trestů“</w:t>
      </w:r>
      <w:r w:rsidR="00C60FD4" w:rsidRPr="000E3B0C">
        <w:rPr>
          <w:rFonts w:cs="Garamond"/>
        </w:rPr>
        <w:t>.</w:t>
      </w:r>
      <w:r w:rsidR="00187C68" w:rsidRPr="000E3B0C">
        <w:rPr>
          <w:rStyle w:val="Znakapoznpodarou"/>
          <w:rFonts w:cs="Garamond"/>
        </w:rPr>
        <w:footnoteReference w:id="108"/>
      </w:r>
      <w:r w:rsidR="00C60FD4" w:rsidRPr="000E3B0C">
        <w:rPr>
          <w:rFonts w:cs="Garamond"/>
        </w:rPr>
        <w:t xml:space="preserve"> </w:t>
      </w:r>
      <w:r w:rsidR="00187C68" w:rsidRPr="000E3B0C">
        <w:rPr>
          <w:rFonts w:cs="Garamond"/>
        </w:rPr>
        <w:t xml:space="preserve">Hrdina </w:t>
      </w:r>
      <w:r w:rsidR="00541AC2" w:rsidRPr="000E3B0C">
        <w:rPr>
          <w:rFonts w:cs="Garamond"/>
        </w:rPr>
        <w:t xml:space="preserve">tuto formulaci </w:t>
      </w:r>
      <w:r w:rsidR="00187C68" w:rsidRPr="000E3B0C">
        <w:rPr>
          <w:rFonts w:cs="Garamond"/>
        </w:rPr>
        <w:t xml:space="preserve">předně označuje za „málo transparentní“ a namítá, že </w:t>
      </w:r>
      <w:r w:rsidR="00C60FD4" w:rsidRPr="000E3B0C">
        <w:rPr>
          <w:rFonts w:cs="Garamond"/>
        </w:rPr>
        <w:t>pojem hřích</w:t>
      </w:r>
      <w:r w:rsidR="00187C68" w:rsidRPr="000E3B0C">
        <w:rPr>
          <w:rFonts w:cs="Garamond"/>
        </w:rPr>
        <w:t xml:space="preserve"> </w:t>
      </w:r>
      <w:r w:rsidR="00541AC2" w:rsidRPr="000E3B0C">
        <w:rPr>
          <w:rFonts w:cs="Garamond"/>
        </w:rPr>
        <w:t>představuje neprávní kategorii. N</w:t>
      </w:r>
      <w:r w:rsidR="00187C68" w:rsidRPr="000E3B0C">
        <w:rPr>
          <w:rFonts w:cs="Garamond"/>
        </w:rPr>
        <w:t xml:space="preserve">adto opětovně </w:t>
      </w:r>
      <w:r w:rsidR="00541AC2" w:rsidRPr="000E3B0C">
        <w:rPr>
          <w:rFonts w:cs="Garamond"/>
        </w:rPr>
        <w:t>kritizuje to</w:t>
      </w:r>
      <w:r w:rsidR="00187C68" w:rsidRPr="000E3B0C">
        <w:rPr>
          <w:rFonts w:cs="Garamond"/>
        </w:rPr>
        <w:t>,</w:t>
      </w:r>
      <w:r w:rsidR="00A31461" w:rsidRPr="000E3B0C">
        <w:rPr>
          <w:rFonts w:cs="Garamond"/>
        </w:rPr>
        <w:t xml:space="preserve"> že podle tohoto ustanovení, ve </w:t>
      </w:r>
      <w:r w:rsidR="00A10162">
        <w:rPr>
          <w:rFonts w:cs="Garamond"/>
        </w:rPr>
        <w:t>s</w:t>
      </w:r>
      <w:r w:rsidR="00187C68" w:rsidRPr="000E3B0C">
        <w:rPr>
          <w:rFonts w:cs="Garamond"/>
        </w:rPr>
        <w:t xml:space="preserve">pojení se shora uvedenou tzv. </w:t>
      </w:r>
      <w:r w:rsidR="00187C68" w:rsidRPr="000E3B0C">
        <w:t xml:space="preserve">„hmotněprávní obecnou normou“, </w:t>
      </w:r>
      <w:r w:rsidR="00187C68" w:rsidRPr="000E3B0C">
        <w:rPr>
          <w:rFonts w:cs="Garamond"/>
        </w:rPr>
        <w:t>může být</w:t>
      </w:r>
      <w:r w:rsidR="00C60FD4" w:rsidRPr="000E3B0C">
        <w:rPr>
          <w:rFonts w:cs="Garamond"/>
        </w:rPr>
        <w:t xml:space="preserve"> uložen</w:t>
      </w:r>
      <w:r w:rsidR="00A10162">
        <w:rPr>
          <w:rFonts w:cs="Garamond"/>
        </w:rPr>
        <w:t xml:space="preserve"> trest i za </w:t>
      </w:r>
      <w:r w:rsidR="00C60FD4" w:rsidRPr="000E3B0C">
        <w:rPr>
          <w:rFonts w:cs="Garamond"/>
        </w:rPr>
        <w:t xml:space="preserve">jednání, </w:t>
      </w:r>
      <w:r w:rsidR="00187C68" w:rsidRPr="000E3B0C">
        <w:rPr>
          <w:rFonts w:cs="Garamond"/>
        </w:rPr>
        <w:t>které nenaplňuje</w:t>
      </w:r>
      <w:r w:rsidR="00C60FD4" w:rsidRPr="000E3B0C">
        <w:rPr>
          <w:rFonts w:cs="Garamond"/>
        </w:rPr>
        <w:t xml:space="preserve"> znaky </w:t>
      </w:r>
      <w:r w:rsidR="00187C68" w:rsidRPr="000E3B0C">
        <w:rPr>
          <w:rFonts w:cs="Garamond"/>
        </w:rPr>
        <w:t xml:space="preserve">skutkové podstaty </w:t>
      </w:r>
      <w:r w:rsidR="009C1037" w:rsidRPr="000E3B0C">
        <w:rPr>
          <w:rFonts w:cs="Garamond"/>
        </w:rPr>
        <w:t>trestného činu</w:t>
      </w:r>
      <w:r w:rsidR="00C60FD4" w:rsidRPr="000E3B0C">
        <w:rPr>
          <w:rFonts w:cs="Garamond"/>
        </w:rPr>
        <w:t xml:space="preserve"> </w:t>
      </w:r>
      <w:r w:rsidR="00187C68" w:rsidRPr="000E3B0C">
        <w:rPr>
          <w:rFonts w:cs="Garamond"/>
        </w:rPr>
        <w:t>popsaného</w:t>
      </w:r>
      <w:r w:rsidR="00C60FD4" w:rsidRPr="000E3B0C">
        <w:rPr>
          <w:rFonts w:cs="Garamond"/>
        </w:rPr>
        <w:t xml:space="preserve"> v trestním zákoně.</w:t>
      </w:r>
      <w:r w:rsidR="00C60FD4" w:rsidRPr="000E3B0C">
        <w:rPr>
          <w:rStyle w:val="Znakapoznpodarou"/>
          <w:rFonts w:cs="Garamond"/>
        </w:rPr>
        <w:footnoteReference w:id="109"/>
      </w:r>
      <w:r w:rsidR="00ED4B5F" w:rsidRPr="000E3B0C">
        <w:rPr>
          <w:rFonts w:cs="Garamond"/>
        </w:rPr>
        <w:t xml:space="preserve"> J</w:t>
      </w:r>
      <w:r w:rsidR="00A10162">
        <w:rPr>
          <w:rFonts w:cs="Garamond"/>
        </w:rPr>
        <w:t xml:space="preserve">á </w:t>
      </w:r>
      <w:r w:rsidR="00ED4B5F" w:rsidRPr="000E3B0C">
        <w:rPr>
          <w:rFonts w:cs="Garamond"/>
        </w:rPr>
        <w:t xml:space="preserve">osobně se s názorem </w:t>
      </w:r>
      <w:r w:rsidR="00E376FA" w:rsidRPr="000E3B0C">
        <w:rPr>
          <w:rFonts w:cs="Garamond"/>
        </w:rPr>
        <w:t xml:space="preserve">autorů </w:t>
      </w:r>
      <w:proofErr w:type="spellStart"/>
      <w:r w:rsidR="00E376FA" w:rsidRPr="000E3B0C">
        <w:rPr>
          <w:rFonts w:cs="Garamond"/>
        </w:rPr>
        <w:t>Tretery</w:t>
      </w:r>
      <w:proofErr w:type="spellEnd"/>
      <w:r w:rsidR="00E376FA" w:rsidRPr="000E3B0C">
        <w:rPr>
          <w:rFonts w:cs="Garamond"/>
        </w:rPr>
        <w:t xml:space="preserve"> a Horáka neztotožňuji, neboť skutečnost, že</w:t>
      </w:r>
      <w:r w:rsidR="00842E03">
        <w:rPr>
          <w:rFonts w:cs="Garamond"/>
        </w:rPr>
        <w:t> </w:t>
      </w:r>
      <w:r w:rsidR="00E376FA" w:rsidRPr="000E3B0C">
        <w:rPr>
          <w:rFonts w:cs="Garamond"/>
        </w:rPr>
        <w:t xml:space="preserve">pachatel může být potrestán toliko zákonem předvídaným trestem, sice naplňuje část zásady </w:t>
      </w:r>
      <w:proofErr w:type="spellStart"/>
      <w:r w:rsidR="00E376FA" w:rsidRPr="000E3B0C">
        <w:rPr>
          <w:i/>
        </w:rPr>
        <w:t>nulla</w:t>
      </w:r>
      <w:proofErr w:type="spellEnd"/>
      <w:r w:rsidR="00E376FA" w:rsidRPr="000E3B0C">
        <w:rPr>
          <w:i/>
        </w:rPr>
        <w:t xml:space="preserve"> </w:t>
      </w:r>
      <w:proofErr w:type="spellStart"/>
      <w:r w:rsidR="00E376FA" w:rsidRPr="000E3B0C">
        <w:rPr>
          <w:i/>
        </w:rPr>
        <w:t>poena</w:t>
      </w:r>
      <w:proofErr w:type="spellEnd"/>
      <w:r w:rsidR="00E376FA" w:rsidRPr="000E3B0C">
        <w:rPr>
          <w:i/>
        </w:rPr>
        <w:t xml:space="preserve"> sine lege</w:t>
      </w:r>
      <w:r w:rsidR="00E376FA" w:rsidRPr="000E3B0C">
        <w:t xml:space="preserve">; </w:t>
      </w:r>
      <w:r w:rsidR="00A10162" w:rsidRPr="000E3B0C">
        <w:t xml:space="preserve">dle mého názoru </w:t>
      </w:r>
      <w:r w:rsidR="00E376FA" w:rsidRPr="000E3B0C">
        <w:t>to ovšem ničeho nemění na to</w:t>
      </w:r>
      <w:r w:rsidR="00842E03">
        <w:t>m</w:t>
      </w:r>
      <w:r w:rsidR="00E376FA" w:rsidRPr="000E3B0C">
        <w:t xml:space="preserve">, že </w:t>
      </w:r>
      <w:r w:rsidR="00A10162">
        <w:t>pasáž</w:t>
      </w:r>
      <w:r w:rsidR="00E376FA" w:rsidRPr="000E3B0C">
        <w:t xml:space="preserve"> </w:t>
      </w:r>
      <w:proofErr w:type="spellStart"/>
      <w:r w:rsidR="00ED4B5F" w:rsidRPr="000E3B0C">
        <w:rPr>
          <w:i/>
        </w:rPr>
        <w:t>nullum</w:t>
      </w:r>
      <w:proofErr w:type="spellEnd"/>
      <w:r w:rsidR="00ED4B5F" w:rsidRPr="000E3B0C">
        <w:rPr>
          <w:i/>
        </w:rPr>
        <w:t xml:space="preserve"> </w:t>
      </w:r>
      <w:proofErr w:type="spellStart"/>
      <w:r w:rsidR="00ED4B5F" w:rsidRPr="000E3B0C">
        <w:rPr>
          <w:i/>
        </w:rPr>
        <w:t>crimen</w:t>
      </w:r>
      <w:proofErr w:type="spellEnd"/>
      <w:r w:rsidR="00ED4B5F" w:rsidRPr="000E3B0C">
        <w:rPr>
          <w:i/>
        </w:rPr>
        <w:t xml:space="preserve"> sine lege</w:t>
      </w:r>
      <w:r w:rsidR="00E376FA" w:rsidRPr="000E3B0C">
        <w:t xml:space="preserve"> zůstává oslyšena</w:t>
      </w:r>
      <w:r w:rsidR="00791CE4" w:rsidRPr="000E3B0C">
        <w:t xml:space="preserve">. </w:t>
      </w:r>
      <w:r w:rsidR="004724F6" w:rsidRPr="000E3B0C">
        <w:t xml:space="preserve">Aby bylo dané zásadě učiněno zadost, nesmí po mém soudu být </w:t>
      </w:r>
      <w:r w:rsidR="0012298F" w:rsidRPr="000E3B0C">
        <w:t xml:space="preserve">umožněno, aby </w:t>
      </w:r>
      <w:r w:rsidR="004724F6" w:rsidRPr="000E3B0C">
        <w:t xml:space="preserve">každé porušení právního předpisu </w:t>
      </w:r>
      <w:r w:rsidR="0012298F" w:rsidRPr="000E3B0C">
        <w:t>bylo</w:t>
      </w:r>
      <w:r w:rsidR="004724F6" w:rsidRPr="000E3B0C">
        <w:t xml:space="preserve"> považováno za trestně postižitelný delikt, ný</w:t>
      </w:r>
      <w:r w:rsidR="0012298F" w:rsidRPr="000E3B0C">
        <w:t>brž jen takové, o </w:t>
      </w:r>
      <w:r w:rsidR="004724F6" w:rsidRPr="000E3B0C">
        <w:t xml:space="preserve">němž to výslovně stanoví zákon. </w:t>
      </w:r>
      <w:r w:rsidR="00EA5B95" w:rsidRPr="000E3B0C">
        <w:t xml:space="preserve">Musím proto přisvědčit názoru Hrdiny, že z pohledu teorie trestního práva se jedná o značně problematickou normu. </w:t>
      </w:r>
      <w:r w:rsidR="0012298F" w:rsidRPr="000E3B0C">
        <w:t xml:space="preserve">Na druhou stranu </w:t>
      </w:r>
      <w:r w:rsidR="002B7295" w:rsidRPr="000E3B0C">
        <w:t xml:space="preserve">by ovšem bylo dle mého na místě si položit otázku, nakolik (a </w:t>
      </w:r>
      <w:r w:rsidR="00120D76" w:rsidRPr="000E3B0C">
        <w:t>zda vůbec) je nyní kritizovaná hmotněprávní obecná norma</w:t>
      </w:r>
      <w:r w:rsidR="005F3842" w:rsidRPr="000E3B0C">
        <w:t xml:space="preserve"> svým charakterem </w:t>
      </w:r>
      <w:r w:rsidR="002B7295" w:rsidRPr="000E3B0C">
        <w:t>odlišná od pojetí kárného provinění.</w:t>
      </w:r>
    </w:p>
    <w:p w14:paraId="6DA911F6" w14:textId="77777777" w:rsidR="00ED4B5F" w:rsidRPr="000E3B0C" w:rsidRDefault="00ED4B5F" w:rsidP="00541AC2"/>
    <w:p w14:paraId="0A22ECD4" w14:textId="7F4318E6" w:rsidR="0033273A" w:rsidRPr="000E3B0C" w:rsidRDefault="00C65C48" w:rsidP="004A2C06">
      <w:r w:rsidRPr="000E3B0C">
        <w:t xml:space="preserve">Druhou situací, kdy </w:t>
      </w:r>
      <w:r w:rsidR="000722DB" w:rsidRPr="000E3B0C">
        <w:t xml:space="preserve">kanonické právo </w:t>
      </w:r>
      <w:r w:rsidRPr="000E3B0C">
        <w:t xml:space="preserve">umožňuje uložení </w:t>
      </w:r>
      <w:r w:rsidR="000722DB" w:rsidRPr="000E3B0C">
        <w:t>trestn</w:t>
      </w:r>
      <w:r w:rsidRPr="000E3B0C">
        <w:t xml:space="preserve">í sankce i </w:t>
      </w:r>
      <w:r w:rsidR="000722DB" w:rsidRPr="000E3B0C">
        <w:t xml:space="preserve">tam, kde nedošlo k naplnění </w:t>
      </w:r>
      <w:r w:rsidRPr="000E3B0C">
        <w:t xml:space="preserve">žádné </w:t>
      </w:r>
      <w:r w:rsidR="000722DB" w:rsidRPr="000E3B0C">
        <w:t>skutkové pods</w:t>
      </w:r>
      <w:r w:rsidRPr="000E3B0C">
        <w:t xml:space="preserve">taty trestného činu uvedeného v zákoně, je </w:t>
      </w:r>
      <w:r w:rsidR="000722DB" w:rsidRPr="000E3B0C">
        <w:t xml:space="preserve">nesplnění povinnosti něco vykonat </w:t>
      </w:r>
      <w:r w:rsidRPr="000E3B0C">
        <w:t xml:space="preserve">nebo </w:t>
      </w:r>
      <w:r w:rsidR="000722DB" w:rsidRPr="000E3B0C">
        <w:t xml:space="preserve">něčeho </w:t>
      </w:r>
      <w:r w:rsidRPr="000E3B0C">
        <w:t xml:space="preserve">se </w:t>
      </w:r>
      <w:r w:rsidR="000722DB" w:rsidRPr="000E3B0C">
        <w:t xml:space="preserve">zdržet, </w:t>
      </w:r>
      <w:r w:rsidRPr="000E3B0C">
        <w:t xml:space="preserve">jež byla </w:t>
      </w:r>
      <w:r w:rsidR="000722DB" w:rsidRPr="000E3B0C">
        <w:t xml:space="preserve">jednotlivci </w:t>
      </w:r>
      <w:r w:rsidRPr="000E3B0C">
        <w:t>uložena trestním příkazem.</w:t>
      </w:r>
      <w:r w:rsidR="00E57764" w:rsidRPr="000E3B0C">
        <w:rPr>
          <w:vertAlign w:val="superscript"/>
        </w:rPr>
        <w:footnoteReference w:id="110"/>
      </w:r>
      <w:r w:rsidR="00E57764" w:rsidRPr="000E3B0C">
        <w:t xml:space="preserve"> Jedná se </w:t>
      </w:r>
      <w:r w:rsidR="00E57764" w:rsidRPr="000E3B0C">
        <w:lastRenderedPageBreak/>
        <w:t>o</w:t>
      </w:r>
      <w:r w:rsidR="00842E03">
        <w:t> </w:t>
      </w:r>
      <w:r w:rsidR="000722DB" w:rsidRPr="000E3B0C">
        <w:t xml:space="preserve">zvláštní </w:t>
      </w:r>
      <w:r w:rsidR="00E57764" w:rsidRPr="000E3B0C">
        <w:t>druh individuálního správního aktu</w:t>
      </w:r>
      <w:r w:rsidR="00C921C5" w:rsidRPr="000E3B0C">
        <w:t xml:space="preserve"> (disciplinární</w:t>
      </w:r>
      <w:r w:rsidR="00050B7C" w:rsidRPr="000E3B0C">
        <w:t>ho</w:t>
      </w:r>
      <w:r w:rsidR="00C921C5" w:rsidRPr="000E3B0C">
        <w:t xml:space="preserve"> opatření netrestního charakteru nepředstavující trest, ale úkon řízení), </w:t>
      </w:r>
      <w:r w:rsidR="00E57764" w:rsidRPr="000E3B0C">
        <w:t>který konkrétnímu subjektu</w:t>
      </w:r>
      <w:r w:rsidR="00BB6A75" w:rsidRPr="000E3B0C">
        <w:t xml:space="preserve"> </w:t>
      </w:r>
      <w:r w:rsidR="00050B7C" w:rsidRPr="000E3B0C">
        <w:rPr>
          <w:rFonts w:cs="TimesNewRomanPSMT"/>
        </w:rPr>
        <w:t>něco nařizuje nebo zakazuje</w:t>
      </w:r>
      <w:r w:rsidR="00050B7C" w:rsidRPr="000E3B0C">
        <w:rPr>
          <w:rStyle w:val="Znakapoznpodarou"/>
          <w:rFonts w:cs="TimesNewRomanPSMT"/>
        </w:rPr>
        <w:footnoteReference w:id="111"/>
      </w:r>
      <w:r w:rsidR="00050B7C" w:rsidRPr="000E3B0C">
        <w:rPr>
          <w:rFonts w:cs="TimesNewRomanPSMT"/>
        </w:rPr>
        <w:t>. P</w:t>
      </w:r>
      <w:r w:rsidR="00BB6A75" w:rsidRPr="000E3B0C">
        <w:rPr>
          <w:rFonts w:cs="TimesNewRomanPSMT"/>
        </w:rPr>
        <w:t xml:space="preserve">ro případ </w:t>
      </w:r>
      <w:r w:rsidR="00050B7C" w:rsidRPr="000E3B0C">
        <w:rPr>
          <w:rFonts w:cs="TimesNewRomanPSMT"/>
        </w:rPr>
        <w:t xml:space="preserve">jeho </w:t>
      </w:r>
      <w:r w:rsidR="00BB6A75" w:rsidRPr="000E3B0C">
        <w:rPr>
          <w:rFonts w:cs="TimesNewRomanPSMT"/>
        </w:rPr>
        <w:t xml:space="preserve">porušení se </w:t>
      </w:r>
      <w:r w:rsidR="00050B7C" w:rsidRPr="000E3B0C">
        <w:rPr>
          <w:rFonts w:cs="TimesNewRomanPSMT"/>
        </w:rPr>
        <w:t>adresátovi</w:t>
      </w:r>
      <w:r w:rsidR="00BB6A75" w:rsidRPr="000E3B0C">
        <w:rPr>
          <w:rFonts w:cs="TimesNewRomanPSMT"/>
        </w:rPr>
        <w:t xml:space="preserve"> </w:t>
      </w:r>
      <w:r w:rsidR="00E57764" w:rsidRPr="000E3B0C">
        <w:t>hrozí tres</w:t>
      </w:r>
      <w:r w:rsidR="00BB6A75" w:rsidRPr="000E3B0C">
        <w:t>tem se vždy určitou sankcí</w:t>
      </w:r>
      <w:r w:rsidR="00050B7C" w:rsidRPr="000E3B0C">
        <w:rPr>
          <w:rStyle w:val="Znakapoznpodarou"/>
        </w:rPr>
        <w:footnoteReference w:id="112"/>
      </w:r>
      <w:r w:rsidR="00BB6A75" w:rsidRPr="000E3B0C">
        <w:t xml:space="preserve">, který musí být v textu </w:t>
      </w:r>
      <w:r w:rsidR="00BB6A75" w:rsidRPr="000E3B0C">
        <w:rPr>
          <w:rFonts w:cs="TimesNewRomanPSMT"/>
        </w:rPr>
        <w:t>jasně vymezen.</w:t>
      </w:r>
      <w:r w:rsidR="00BB6A75" w:rsidRPr="000E3B0C">
        <w:rPr>
          <w:rStyle w:val="Znakapoznpodarou"/>
          <w:rFonts w:cs="TimesNewRomanPSMT"/>
        </w:rPr>
        <w:footnoteReference w:id="113"/>
      </w:r>
      <w:r w:rsidR="004A2C06" w:rsidRPr="000E3B0C">
        <w:rPr>
          <w:rFonts w:cs="TimesNewRomanPSMT"/>
        </w:rPr>
        <w:t xml:space="preserve"> </w:t>
      </w:r>
      <w:r w:rsidR="00050B7C" w:rsidRPr="000E3B0C">
        <w:t xml:space="preserve">Trestní příkaz je </w:t>
      </w:r>
      <w:r w:rsidR="00E57764" w:rsidRPr="000E3B0C">
        <w:t>spíše výjimečné</w:t>
      </w:r>
      <w:r w:rsidR="005F3842" w:rsidRPr="000E3B0C">
        <w:t xml:space="preserve"> opatření, a proto má být vydáván</w:t>
      </w:r>
      <w:r w:rsidR="00E57764" w:rsidRPr="000E3B0C">
        <w:rPr>
          <w:rFonts w:cs="TimesNewRomanPSMT"/>
        </w:rPr>
        <w:t xml:space="preserve"> až</w:t>
      </w:r>
      <w:r w:rsidR="00AA67F2">
        <w:rPr>
          <w:rFonts w:cs="TimesNewRomanPSMT"/>
        </w:rPr>
        <w:t> </w:t>
      </w:r>
      <w:r w:rsidR="00E57764" w:rsidRPr="000E3B0C">
        <w:rPr>
          <w:rFonts w:cs="TimesNewRomanPSMT"/>
        </w:rPr>
        <w:t>po</w:t>
      </w:r>
      <w:r w:rsidR="00842E03">
        <w:rPr>
          <w:rFonts w:cs="TimesNewRomanPSMT"/>
        </w:rPr>
        <w:t> </w:t>
      </w:r>
      <w:r w:rsidR="00E57764" w:rsidRPr="000E3B0C">
        <w:rPr>
          <w:rFonts w:cs="TimesNewRomanPSMT"/>
        </w:rPr>
        <w:t>zralém uvážení</w:t>
      </w:r>
      <w:r w:rsidR="000C578E" w:rsidRPr="000E3B0C">
        <w:rPr>
          <w:rFonts w:cs="TimesNewRomanPSMT"/>
        </w:rPr>
        <w:t>.</w:t>
      </w:r>
      <w:r w:rsidR="00E57764" w:rsidRPr="000E3B0C">
        <w:rPr>
          <w:rStyle w:val="Znakapoznpodarou"/>
          <w:rFonts w:cs="TimesNewRomanPSMT"/>
        </w:rPr>
        <w:footnoteReference w:id="114"/>
      </w:r>
      <w:r w:rsidR="00E57764" w:rsidRPr="000E3B0C">
        <w:rPr>
          <w:rFonts w:cs="TimesNewRomanPSMT"/>
        </w:rPr>
        <w:t xml:space="preserve"> </w:t>
      </w:r>
      <w:r w:rsidR="0033273A" w:rsidRPr="000E3B0C">
        <w:rPr>
          <w:rFonts w:cs="TimesNewRomanPSMT"/>
        </w:rPr>
        <w:t xml:space="preserve">Tento institut je </w:t>
      </w:r>
      <w:r w:rsidR="005F3842" w:rsidRPr="000E3B0C">
        <w:rPr>
          <w:rFonts w:cs="TimesNewRomanPSMT"/>
        </w:rPr>
        <w:t xml:space="preserve">svou koncepcí </w:t>
      </w:r>
      <w:r w:rsidR="0033273A" w:rsidRPr="000E3B0C">
        <w:rPr>
          <w:rFonts w:cs="TimesNewRomanPSMT"/>
        </w:rPr>
        <w:t>značně specifický a nemá obdoby v</w:t>
      </w:r>
      <w:r w:rsidR="00842E03">
        <w:rPr>
          <w:rFonts w:cs="TimesNewRomanPSMT"/>
        </w:rPr>
        <w:t> </w:t>
      </w:r>
      <w:r w:rsidR="0033273A" w:rsidRPr="000E3B0C">
        <w:t>sekulárním trestním právu,</w:t>
      </w:r>
      <w:r w:rsidR="0033273A" w:rsidRPr="000E3B0C">
        <w:rPr>
          <w:rStyle w:val="Znakapoznpodarou"/>
        </w:rPr>
        <w:footnoteReference w:id="115"/>
      </w:r>
      <w:r w:rsidR="0033273A" w:rsidRPr="000E3B0C">
        <w:t xml:space="preserve"> natož </w:t>
      </w:r>
      <w:r w:rsidR="005F3842" w:rsidRPr="000E3B0C">
        <w:t xml:space="preserve">právu </w:t>
      </w:r>
      <w:r w:rsidR="0033273A" w:rsidRPr="000E3B0C">
        <w:t>kárném</w:t>
      </w:r>
      <w:r w:rsidR="005F3842" w:rsidRPr="000E3B0C">
        <w:t>.</w:t>
      </w:r>
    </w:p>
    <w:p w14:paraId="78E42833" w14:textId="77777777" w:rsidR="005F3842" w:rsidRPr="000E3B0C" w:rsidRDefault="005F3842" w:rsidP="004A2C06"/>
    <w:p w14:paraId="63E72CA7" w14:textId="77777777" w:rsidR="0021257A" w:rsidRPr="000E3B0C" w:rsidRDefault="0021257A" w:rsidP="004A2C06">
      <w:r w:rsidRPr="000E3B0C">
        <w:t>L</w:t>
      </w:r>
      <w:r w:rsidR="00A83C90" w:rsidRPr="000E3B0C">
        <w:t xml:space="preserve">ze tedy </w:t>
      </w:r>
      <w:r w:rsidR="00A83C90" w:rsidRPr="000E3B0C">
        <w:rPr>
          <w:u w:val="single"/>
        </w:rPr>
        <w:t>shrnout</w:t>
      </w:r>
      <w:r w:rsidR="00A83C90" w:rsidRPr="000E3B0C">
        <w:t xml:space="preserve">, že </w:t>
      </w:r>
      <w:r w:rsidRPr="000E3B0C">
        <w:t xml:space="preserve">v obou porovnávaných odvětvích vyvstávají jisté pochybnosti o absolutním naplňování zásady zákonnosti; zároveň mám však za to, že se jedná spíše o teoretické výhrady, než že by </w:t>
      </w:r>
      <w:r w:rsidR="00AD1A2F" w:rsidRPr="000E3B0C">
        <w:t xml:space="preserve">snad </w:t>
      </w:r>
      <w:r w:rsidRPr="000E3B0C">
        <w:t xml:space="preserve">v praxi bylo obžalovanými vytýkáno, že </w:t>
      </w:r>
      <w:r w:rsidR="008F1E00" w:rsidRPr="000E3B0C">
        <w:t>tato elementární zásada není dodržována.</w:t>
      </w:r>
    </w:p>
    <w:p w14:paraId="36A8F3E3" w14:textId="77777777" w:rsidR="00D405AF" w:rsidRPr="000E3B0C" w:rsidRDefault="00C6241F" w:rsidP="00C22619">
      <w:pPr>
        <w:pStyle w:val="Nadpis2"/>
        <w:numPr>
          <w:ilvl w:val="1"/>
          <w:numId w:val="3"/>
        </w:numPr>
      </w:pPr>
      <w:bookmarkStart w:id="14" w:name="_Toc130067378"/>
      <w:r w:rsidRPr="000E3B0C">
        <w:t>Presumpce neviny</w:t>
      </w:r>
      <w:bookmarkEnd w:id="14"/>
    </w:p>
    <w:p w14:paraId="0AA1108D" w14:textId="4C1F3A3F" w:rsidR="008F1E00" w:rsidRPr="000E3B0C" w:rsidRDefault="008F1E00" w:rsidP="0014261E">
      <w:pPr>
        <w:rPr>
          <w:shd w:val="clear" w:color="auto" w:fill="FFFFFF"/>
        </w:rPr>
      </w:pPr>
      <w:r w:rsidRPr="000E3B0C">
        <w:rPr>
          <w:rFonts w:cs="Garamond"/>
        </w:rPr>
        <w:t>Další</w:t>
      </w:r>
      <w:r w:rsidR="00AD1A2F" w:rsidRPr="000E3B0C">
        <w:rPr>
          <w:rFonts w:cs="Garamond"/>
        </w:rPr>
        <w:t>m</w:t>
      </w:r>
      <w:r w:rsidRPr="000E3B0C">
        <w:rPr>
          <w:rFonts w:cs="Garamond"/>
        </w:rPr>
        <w:t xml:space="preserve"> klasickým pilířem trestního práva je zásada presumpce neviny, </w:t>
      </w:r>
      <w:r w:rsidR="006E35B9" w:rsidRPr="000E3B0C">
        <w:rPr>
          <w:rFonts w:cs="Garamond"/>
        </w:rPr>
        <w:t>tedy pravidlo</w:t>
      </w:r>
      <w:r w:rsidRPr="000E3B0C">
        <w:rPr>
          <w:rFonts w:cs="Garamond"/>
        </w:rPr>
        <w:t xml:space="preserve"> stanovící</w:t>
      </w:r>
      <w:r w:rsidR="006E35B9" w:rsidRPr="000E3B0C">
        <w:rPr>
          <w:rFonts w:cs="Garamond"/>
        </w:rPr>
        <w:t>, že</w:t>
      </w:r>
      <w:r w:rsidR="00A25849">
        <w:rPr>
          <w:rFonts w:cs="Garamond"/>
        </w:rPr>
        <w:t> </w:t>
      </w:r>
      <w:r w:rsidR="006E35B9" w:rsidRPr="000E3B0C">
        <w:rPr>
          <w:rFonts w:cs="Garamond"/>
        </w:rPr>
        <w:t>k</w:t>
      </w:r>
      <w:r w:rsidR="006E35B9" w:rsidRPr="000E3B0C">
        <w:rPr>
          <w:shd w:val="clear" w:color="auto" w:fill="FFFFFF"/>
        </w:rPr>
        <w:t>aždý obviněný z trestného činu se považuje za nevinného, dokud jeho vina nebyla prokázána zákonným</w:t>
      </w:r>
      <w:r w:rsidRPr="000E3B0C">
        <w:rPr>
          <w:shd w:val="clear" w:color="auto" w:fill="FFFFFF"/>
        </w:rPr>
        <w:t xml:space="preserve"> způsobem. J</w:t>
      </w:r>
      <w:r w:rsidR="006E35B9" w:rsidRPr="000E3B0C">
        <w:rPr>
          <w:shd w:val="clear" w:color="auto" w:fill="FFFFFF"/>
        </w:rPr>
        <w:t>e zakotvena v řadě sekulárních (mezinárodních i vnitrostátních) pramenů ústavního práva.</w:t>
      </w:r>
      <w:r w:rsidR="006E35B9" w:rsidRPr="000E3B0C">
        <w:rPr>
          <w:rStyle w:val="Znakapoznpodarou"/>
          <w:rFonts w:cs="Arial"/>
          <w:shd w:val="clear" w:color="auto" w:fill="FFFFFF"/>
        </w:rPr>
        <w:footnoteReference w:id="116"/>
      </w:r>
    </w:p>
    <w:p w14:paraId="6004B6D4" w14:textId="77777777" w:rsidR="008F1E00" w:rsidRPr="000E3B0C" w:rsidRDefault="008F1E00" w:rsidP="0014261E">
      <w:pPr>
        <w:rPr>
          <w:shd w:val="clear" w:color="auto" w:fill="FFFFFF"/>
        </w:rPr>
      </w:pPr>
    </w:p>
    <w:p w14:paraId="2FE6D967" w14:textId="650A651E" w:rsidR="0014261E" w:rsidRPr="000E3B0C" w:rsidRDefault="00B904ED" w:rsidP="0014261E">
      <w:pPr>
        <w:rPr>
          <w:shd w:val="clear" w:color="auto" w:fill="FFFFFF"/>
        </w:rPr>
      </w:pPr>
      <w:r w:rsidRPr="000E3B0C">
        <w:rPr>
          <w:shd w:val="clear" w:color="auto" w:fill="FFFFFF"/>
        </w:rPr>
        <w:t>V</w:t>
      </w:r>
      <w:r w:rsidR="003C286C" w:rsidRPr="000E3B0C">
        <w:rPr>
          <w:shd w:val="clear" w:color="auto" w:fill="FFFFFF"/>
        </w:rPr>
        <w:t> právní úpravě</w:t>
      </w:r>
      <w:r w:rsidR="004814BC" w:rsidRPr="000E3B0C">
        <w:rPr>
          <w:shd w:val="clear" w:color="auto" w:fill="FFFFFF"/>
        </w:rPr>
        <w:t xml:space="preserve"> </w:t>
      </w:r>
      <w:r w:rsidR="004814BC" w:rsidRPr="000E3B0C">
        <w:rPr>
          <w:u w:val="single"/>
          <w:shd w:val="clear" w:color="auto" w:fill="FFFFFF"/>
        </w:rPr>
        <w:t>kárné</w:t>
      </w:r>
      <w:r w:rsidRPr="000E3B0C">
        <w:rPr>
          <w:u w:val="single"/>
          <w:shd w:val="clear" w:color="auto" w:fill="FFFFFF"/>
        </w:rPr>
        <w:t xml:space="preserve"> </w:t>
      </w:r>
      <w:r w:rsidR="004814BC" w:rsidRPr="000E3B0C">
        <w:rPr>
          <w:u w:val="single"/>
          <w:shd w:val="clear" w:color="auto" w:fill="FFFFFF"/>
        </w:rPr>
        <w:t>odpovědnosti</w:t>
      </w:r>
      <w:r w:rsidRPr="000E3B0C">
        <w:rPr>
          <w:shd w:val="clear" w:color="auto" w:fill="FFFFFF"/>
        </w:rPr>
        <w:t xml:space="preserve"> </w:t>
      </w:r>
      <w:r w:rsidR="004814BC" w:rsidRPr="000E3B0C">
        <w:rPr>
          <w:shd w:val="clear" w:color="auto" w:fill="FFFFFF"/>
        </w:rPr>
        <w:t xml:space="preserve">není </w:t>
      </w:r>
      <w:r w:rsidRPr="000E3B0C">
        <w:rPr>
          <w:shd w:val="clear" w:color="auto" w:fill="FFFFFF"/>
        </w:rPr>
        <w:t xml:space="preserve">explicitně </w:t>
      </w:r>
      <w:r w:rsidR="004814BC" w:rsidRPr="000E3B0C">
        <w:rPr>
          <w:shd w:val="clear" w:color="auto" w:fill="FFFFFF"/>
        </w:rPr>
        <w:t>vyjádřena</w:t>
      </w:r>
      <w:r w:rsidRPr="000E3B0C">
        <w:rPr>
          <w:shd w:val="clear" w:color="auto" w:fill="FFFFFF"/>
        </w:rPr>
        <w:t xml:space="preserve"> (</w:t>
      </w:r>
      <w:r w:rsidR="003C286C" w:rsidRPr="000E3B0C">
        <w:rPr>
          <w:shd w:val="clear" w:color="auto" w:fill="FFFFFF"/>
        </w:rPr>
        <w:t>nepojednává o ní</w:t>
      </w:r>
      <w:r w:rsidR="00B32D6B" w:rsidRPr="000E3B0C">
        <w:rPr>
          <w:shd w:val="clear" w:color="auto" w:fill="FFFFFF"/>
        </w:rPr>
        <w:t xml:space="preserve"> zákon o </w:t>
      </w:r>
      <w:r w:rsidRPr="000E3B0C">
        <w:rPr>
          <w:shd w:val="clear" w:color="auto" w:fill="FFFFFF"/>
        </w:rPr>
        <w:t>so</w:t>
      </w:r>
      <w:r w:rsidR="004814BC" w:rsidRPr="000E3B0C">
        <w:rPr>
          <w:shd w:val="clear" w:color="auto" w:fill="FFFFFF"/>
        </w:rPr>
        <w:t>udech a soudcích ani kárný řád).</w:t>
      </w:r>
      <w:r w:rsidRPr="000E3B0C">
        <w:rPr>
          <w:shd w:val="clear" w:color="auto" w:fill="FFFFFF"/>
        </w:rPr>
        <w:t xml:space="preserve"> </w:t>
      </w:r>
      <w:r w:rsidR="004814BC" w:rsidRPr="000E3B0C">
        <w:rPr>
          <w:shd w:val="clear" w:color="auto" w:fill="FFFFFF"/>
        </w:rPr>
        <w:t xml:space="preserve">Plyne však zcela </w:t>
      </w:r>
      <w:r w:rsidRPr="000E3B0C">
        <w:rPr>
          <w:shd w:val="clear" w:color="auto" w:fill="FFFFFF"/>
        </w:rPr>
        <w:t>zjevně z trestního řádu</w:t>
      </w:r>
      <w:r w:rsidRPr="000E3B0C">
        <w:rPr>
          <w:rStyle w:val="Znakapoznpodarou"/>
          <w:rFonts w:cs="Arial"/>
          <w:shd w:val="clear" w:color="auto" w:fill="FFFFFF"/>
        </w:rPr>
        <w:footnoteReference w:id="117"/>
      </w:r>
      <w:r w:rsidRPr="000E3B0C">
        <w:rPr>
          <w:shd w:val="clear" w:color="auto" w:fill="FFFFFF"/>
        </w:rPr>
        <w:t xml:space="preserve">, </w:t>
      </w:r>
      <w:r w:rsidR="004814BC" w:rsidRPr="000E3B0C">
        <w:rPr>
          <w:shd w:val="clear" w:color="auto" w:fill="FFFFFF"/>
        </w:rPr>
        <w:t>kterého s</w:t>
      </w:r>
      <w:r w:rsidRPr="000E3B0C">
        <w:rPr>
          <w:shd w:val="clear" w:color="auto" w:fill="FFFFFF"/>
        </w:rPr>
        <w:t>e</w:t>
      </w:r>
      <w:r w:rsidR="00A25849">
        <w:rPr>
          <w:shd w:val="clear" w:color="auto" w:fill="FFFFFF"/>
        </w:rPr>
        <w:t> </w:t>
      </w:r>
      <w:r w:rsidRPr="000E3B0C">
        <w:rPr>
          <w:shd w:val="clear" w:color="auto" w:fill="FFFFFF"/>
        </w:rPr>
        <w:t xml:space="preserve">v tomto </w:t>
      </w:r>
      <w:r w:rsidR="004814BC" w:rsidRPr="000E3B0C">
        <w:rPr>
          <w:shd w:val="clear" w:color="auto" w:fill="FFFFFF"/>
        </w:rPr>
        <w:t>řízení přiměřeně užívá. O</w:t>
      </w:r>
      <w:r w:rsidRPr="000E3B0C">
        <w:rPr>
          <w:shd w:val="clear" w:color="auto" w:fill="FFFFFF"/>
        </w:rPr>
        <w:t xml:space="preserve"> </w:t>
      </w:r>
      <w:r w:rsidR="004814BC" w:rsidRPr="000E3B0C">
        <w:rPr>
          <w:shd w:val="clear" w:color="auto" w:fill="FFFFFF"/>
        </w:rPr>
        <w:t xml:space="preserve">její aplikovatelnosti tedy není v kárném řízení žádných </w:t>
      </w:r>
      <w:r w:rsidR="00AD1A2F" w:rsidRPr="000E3B0C">
        <w:rPr>
          <w:shd w:val="clear" w:color="auto" w:fill="FFFFFF"/>
        </w:rPr>
        <w:t>pochyb; zároveň mám za to, že</w:t>
      </w:r>
      <w:r w:rsidR="004814BC" w:rsidRPr="000E3B0C">
        <w:rPr>
          <w:shd w:val="clear" w:color="auto" w:fill="FFFFFF"/>
        </w:rPr>
        <w:t xml:space="preserve"> nedochází ani k jakýmkoli problémům </w:t>
      </w:r>
      <w:r w:rsidR="00AD1A2F" w:rsidRPr="000E3B0C">
        <w:rPr>
          <w:shd w:val="clear" w:color="auto" w:fill="FFFFFF"/>
        </w:rPr>
        <w:t>s ne</w:t>
      </w:r>
      <w:r w:rsidR="00B32D6B" w:rsidRPr="000E3B0C">
        <w:rPr>
          <w:shd w:val="clear" w:color="auto" w:fill="FFFFFF"/>
        </w:rPr>
        <w:t>zbytností jejího dodržování (ze </w:t>
      </w:r>
      <w:r w:rsidR="00AD1A2F" w:rsidRPr="000E3B0C">
        <w:rPr>
          <w:shd w:val="clear" w:color="auto" w:fill="FFFFFF"/>
        </w:rPr>
        <w:t>stran médií či kárných navrhovatelů).</w:t>
      </w:r>
    </w:p>
    <w:p w14:paraId="462F1DF5" w14:textId="77777777" w:rsidR="004814BC" w:rsidRPr="000E3B0C" w:rsidRDefault="004814BC" w:rsidP="0014261E">
      <w:pPr>
        <w:rPr>
          <w:shd w:val="clear" w:color="auto" w:fill="FFFFFF"/>
        </w:rPr>
      </w:pPr>
    </w:p>
    <w:p w14:paraId="189D1C2B" w14:textId="610100AA" w:rsidR="00CF3E4B" w:rsidRPr="000E3B0C" w:rsidRDefault="00B904ED" w:rsidP="0014261E">
      <w:pPr>
        <w:rPr>
          <w:rFonts w:cs="Garamond"/>
        </w:rPr>
      </w:pPr>
      <w:r w:rsidRPr="000E3B0C">
        <w:rPr>
          <w:shd w:val="clear" w:color="auto" w:fill="FFFFFF"/>
        </w:rPr>
        <w:t>Obdobně tomu bylo také v </w:t>
      </w:r>
      <w:r w:rsidRPr="000E3B0C">
        <w:rPr>
          <w:u w:val="single"/>
          <w:shd w:val="clear" w:color="auto" w:fill="FFFFFF"/>
        </w:rPr>
        <w:t>kanonickém trestním právu</w:t>
      </w:r>
      <w:r w:rsidRPr="000E3B0C">
        <w:rPr>
          <w:shd w:val="clear" w:color="auto" w:fill="FFFFFF"/>
        </w:rPr>
        <w:t xml:space="preserve">, </w:t>
      </w:r>
      <w:r w:rsidR="00AD1A2F" w:rsidRPr="000E3B0C">
        <w:rPr>
          <w:shd w:val="clear" w:color="auto" w:fill="FFFFFF"/>
        </w:rPr>
        <w:t>v němž</w:t>
      </w:r>
      <w:r w:rsidRPr="000E3B0C">
        <w:rPr>
          <w:shd w:val="clear" w:color="auto" w:fill="FFFFFF"/>
        </w:rPr>
        <w:t xml:space="preserve"> zásada presumpce neviny nebyla </w:t>
      </w:r>
      <w:r w:rsidR="00AD1A2F" w:rsidRPr="000E3B0C">
        <w:rPr>
          <w:shd w:val="clear" w:color="auto" w:fill="FFFFFF"/>
        </w:rPr>
        <w:t>až do</w:t>
      </w:r>
      <w:r w:rsidRPr="000E3B0C">
        <w:rPr>
          <w:shd w:val="clear" w:color="auto" w:fill="FFFFFF"/>
        </w:rPr>
        <w:t xml:space="preserve"> poslední novel</w:t>
      </w:r>
      <w:r w:rsidR="00AD1A2F" w:rsidRPr="000E3B0C">
        <w:rPr>
          <w:shd w:val="clear" w:color="auto" w:fill="FFFFFF"/>
        </w:rPr>
        <w:t>y</w:t>
      </w:r>
      <w:r w:rsidRPr="000E3B0C">
        <w:rPr>
          <w:shd w:val="clear" w:color="auto" w:fill="FFFFFF"/>
        </w:rPr>
        <w:t xml:space="preserve"> Kodexu </w:t>
      </w:r>
      <w:r w:rsidR="00AD1A2F" w:rsidRPr="000E3B0C">
        <w:rPr>
          <w:shd w:val="clear" w:color="auto" w:fill="FFFFFF"/>
        </w:rPr>
        <w:t xml:space="preserve">též </w:t>
      </w:r>
      <w:r w:rsidRPr="000E3B0C">
        <w:rPr>
          <w:shd w:val="clear" w:color="auto" w:fill="FFFFFF"/>
        </w:rPr>
        <w:t xml:space="preserve">výslovně kodifikována, avšak </w:t>
      </w:r>
      <w:r w:rsidRPr="000E3B0C">
        <w:t>vyplývala</w:t>
      </w:r>
      <w:r w:rsidR="00AD1A2F" w:rsidRPr="000E3B0C">
        <w:t xml:space="preserve"> z</w:t>
      </w:r>
      <w:r w:rsidRPr="000E3B0C">
        <w:t xml:space="preserve"> </w:t>
      </w:r>
      <w:r w:rsidR="00AD1A2F" w:rsidRPr="000E3B0C">
        <w:t xml:space="preserve">celkového </w:t>
      </w:r>
      <w:r w:rsidR="00B32D6B" w:rsidRPr="000E3B0C">
        <w:t>kontextu a </w:t>
      </w:r>
      <w:r w:rsidR="00AD1A2F" w:rsidRPr="000E3B0C">
        <w:t xml:space="preserve">jiných </w:t>
      </w:r>
      <w:r w:rsidRPr="000E3B0C">
        <w:t xml:space="preserve">zásad </w:t>
      </w:r>
      <w:r w:rsidRPr="000E3B0C">
        <w:rPr>
          <w:shd w:val="clear" w:color="auto" w:fill="FFFFFF"/>
        </w:rPr>
        <w:t xml:space="preserve">tohoto předpisu. Nově Kodex </w:t>
      </w:r>
      <w:r w:rsidR="00AD1A2F" w:rsidRPr="000E3B0C">
        <w:rPr>
          <w:shd w:val="clear" w:color="auto" w:fill="FFFFFF"/>
        </w:rPr>
        <w:t xml:space="preserve">explicitně </w:t>
      </w:r>
      <w:r w:rsidRPr="000E3B0C">
        <w:rPr>
          <w:shd w:val="clear" w:color="auto" w:fill="FFFFFF"/>
        </w:rPr>
        <w:t xml:space="preserve">stanoví, že </w:t>
      </w:r>
      <w:r w:rsidR="005B6091" w:rsidRPr="000E3B0C">
        <w:rPr>
          <w:i/>
          <w:shd w:val="clear" w:color="auto" w:fill="FFFFFF"/>
        </w:rPr>
        <w:t>„</w:t>
      </w:r>
      <w:r w:rsidR="005B6091" w:rsidRPr="000E3B0C">
        <w:rPr>
          <w:rFonts w:cs="TimesNewRomanPSMT"/>
          <w:i/>
        </w:rPr>
        <w:t>každý je považován za nevinného, dokud není prokázán opak“.</w:t>
      </w:r>
      <w:r w:rsidR="005B6091" w:rsidRPr="000E3B0C">
        <w:rPr>
          <w:rStyle w:val="Znakapoznpodarou"/>
          <w:rFonts w:cs="TimesNewRomanPSMT"/>
        </w:rPr>
        <w:footnoteReference w:id="118"/>
      </w:r>
      <w:r w:rsidR="0014261E" w:rsidRPr="000E3B0C">
        <w:rPr>
          <w:rFonts w:cs="TimesNewRomanPSMT"/>
          <w:i/>
        </w:rPr>
        <w:t xml:space="preserve"> </w:t>
      </w:r>
      <w:r w:rsidR="00AD1A2F" w:rsidRPr="000E3B0C">
        <w:t>Právě tuto změnu považují</w:t>
      </w:r>
      <w:r w:rsidR="00105485" w:rsidRPr="000E3B0C">
        <w:t xml:space="preserve"> </w:t>
      </w:r>
      <w:proofErr w:type="spellStart"/>
      <w:r w:rsidR="00105485" w:rsidRPr="000E3B0C">
        <w:t>Tretera</w:t>
      </w:r>
      <w:proofErr w:type="spellEnd"/>
      <w:r w:rsidR="00AD1A2F" w:rsidRPr="000E3B0C">
        <w:t xml:space="preserve"> s Horákem</w:t>
      </w:r>
      <w:r w:rsidR="00105485" w:rsidRPr="000E3B0C">
        <w:t xml:space="preserve"> za zvlášť důležitou</w:t>
      </w:r>
      <w:r w:rsidR="0060374E" w:rsidRPr="000E3B0C">
        <w:t xml:space="preserve"> </w:t>
      </w:r>
      <w:r w:rsidR="0060374E" w:rsidRPr="000E3B0C">
        <w:lastRenderedPageBreak/>
        <w:t xml:space="preserve">(Ponížil dokonce za nejdůležitější přínos </w:t>
      </w:r>
      <w:r w:rsidR="00AD1A2F" w:rsidRPr="000E3B0C">
        <w:t xml:space="preserve">celé </w:t>
      </w:r>
      <w:r w:rsidR="0060374E" w:rsidRPr="000E3B0C">
        <w:t>novelizace Kodexu)</w:t>
      </w:r>
      <w:r w:rsidR="0060374E" w:rsidRPr="000E3B0C">
        <w:rPr>
          <w:rStyle w:val="Znakapoznpodarou"/>
        </w:rPr>
        <w:footnoteReference w:id="119"/>
      </w:r>
      <w:r w:rsidR="00105485" w:rsidRPr="000E3B0C">
        <w:t xml:space="preserve">, a to </w:t>
      </w:r>
      <w:r w:rsidR="00397176" w:rsidRPr="000E3B0C">
        <w:t xml:space="preserve">s ohledem na možnou neopatrnost představených a ostatních odpovědných orgánů </w:t>
      </w:r>
      <w:r w:rsidR="00105485" w:rsidRPr="000E3B0C">
        <w:t>při poskytování informací a</w:t>
      </w:r>
      <w:r w:rsidR="00A25849">
        <w:t> </w:t>
      </w:r>
      <w:r w:rsidR="00105485" w:rsidRPr="000E3B0C">
        <w:t>zveřejňování vyšetřovan</w:t>
      </w:r>
      <w:r w:rsidR="00AD1A2F" w:rsidRPr="000E3B0C">
        <w:t>í případů</w:t>
      </w:r>
      <w:r w:rsidR="00105485" w:rsidRPr="000E3B0C">
        <w:t xml:space="preserve"> </w:t>
      </w:r>
      <w:r w:rsidR="00397176" w:rsidRPr="000E3B0C">
        <w:t xml:space="preserve">podezření ze sexuálních trestních činů ještě </w:t>
      </w:r>
      <w:r w:rsidR="00105485" w:rsidRPr="000E3B0C">
        <w:t xml:space="preserve">před vynesením </w:t>
      </w:r>
      <w:r w:rsidR="00397176" w:rsidRPr="000E3B0C">
        <w:t>rozhodnutí; t</w:t>
      </w:r>
      <w:r w:rsidR="00105485" w:rsidRPr="000E3B0C">
        <w:t xml:space="preserve">aková jednání </w:t>
      </w:r>
      <w:r w:rsidR="00397176" w:rsidRPr="000E3B0C">
        <w:t xml:space="preserve">totiž dle </w:t>
      </w:r>
      <w:r w:rsidR="00AD1A2F" w:rsidRPr="000E3B0C">
        <w:t>nich</w:t>
      </w:r>
      <w:r w:rsidR="00397176" w:rsidRPr="000E3B0C">
        <w:t xml:space="preserve"> mají za následek často</w:t>
      </w:r>
      <w:r w:rsidR="00105485" w:rsidRPr="000E3B0C">
        <w:t xml:space="preserve"> nespravedlivá poškození lidské důstojnosti.</w:t>
      </w:r>
      <w:r w:rsidR="00397176" w:rsidRPr="000E3B0C">
        <w:rPr>
          <w:rStyle w:val="Znakapoznpodarou"/>
        </w:rPr>
        <w:footnoteReference w:id="120"/>
      </w:r>
      <w:r w:rsidR="00397176" w:rsidRPr="000E3B0C">
        <w:t xml:space="preserve"> Stejně tak </w:t>
      </w:r>
      <w:r w:rsidR="0087411F" w:rsidRPr="000E3B0C">
        <w:t xml:space="preserve">Jiří </w:t>
      </w:r>
      <w:r w:rsidR="00397176" w:rsidRPr="000E3B0C">
        <w:t xml:space="preserve">Dvořáček má za to, že </w:t>
      </w:r>
      <w:r w:rsidR="00397176" w:rsidRPr="000E3B0C">
        <w:rPr>
          <w:rFonts w:cs="Garamond"/>
        </w:rPr>
        <w:t>d</w:t>
      </w:r>
      <w:r w:rsidR="00CF3E4B" w:rsidRPr="000E3B0C">
        <w:rPr>
          <w:rFonts w:cs="Garamond"/>
        </w:rPr>
        <w:t xml:space="preserve">ůvod pro </w:t>
      </w:r>
      <w:r w:rsidR="00397176" w:rsidRPr="000E3B0C">
        <w:rPr>
          <w:rFonts w:cs="Garamond"/>
        </w:rPr>
        <w:t>pozitivní zakotvení</w:t>
      </w:r>
      <w:r w:rsidR="00CF3E4B" w:rsidRPr="000E3B0C">
        <w:rPr>
          <w:rFonts w:cs="Garamond"/>
        </w:rPr>
        <w:t xml:space="preserve"> presumpce neviny v</w:t>
      </w:r>
      <w:r w:rsidR="00397176" w:rsidRPr="000E3B0C">
        <w:rPr>
          <w:rFonts w:cs="Garamond"/>
        </w:rPr>
        <w:t xml:space="preserve"> Kodexu </w:t>
      </w:r>
      <w:r w:rsidR="0087411F" w:rsidRPr="000E3B0C">
        <w:rPr>
          <w:rFonts w:cs="Garamond"/>
        </w:rPr>
        <w:t>tkví</w:t>
      </w:r>
      <w:r w:rsidR="00397176" w:rsidRPr="000E3B0C">
        <w:rPr>
          <w:rFonts w:cs="Garamond"/>
        </w:rPr>
        <w:t xml:space="preserve"> nepochybně </w:t>
      </w:r>
      <w:r w:rsidR="0087411F" w:rsidRPr="000E3B0C">
        <w:rPr>
          <w:rFonts w:cs="Garamond"/>
        </w:rPr>
        <w:t>ve snaze</w:t>
      </w:r>
      <w:r w:rsidR="00397176" w:rsidRPr="000E3B0C">
        <w:rPr>
          <w:rFonts w:cs="Garamond"/>
        </w:rPr>
        <w:t xml:space="preserve"> o</w:t>
      </w:r>
      <w:r w:rsidR="00CF3E4B" w:rsidRPr="000E3B0C">
        <w:rPr>
          <w:rFonts w:cs="Garamond"/>
        </w:rPr>
        <w:t xml:space="preserve"> posílení ochrany</w:t>
      </w:r>
      <w:r w:rsidR="00397176" w:rsidRPr="000E3B0C">
        <w:rPr>
          <w:rFonts w:cs="Garamond"/>
        </w:rPr>
        <w:t xml:space="preserve"> obviněných duchovních v kauzách týkajících se sexuálních skandálů</w:t>
      </w:r>
      <w:r w:rsidR="00CF3E4B" w:rsidRPr="000E3B0C">
        <w:rPr>
          <w:rFonts w:cs="Garamond"/>
        </w:rPr>
        <w:t xml:space="preserve">, </w:t>
      </w:r>
      <w:r w:rsidR="00397176" w:rsidRPr="000E3B0C">
        <w:rPr>
          <w:rFonts w:cs="Garamond"/>
        </w:rPr>
        <w:t xml:space="preserve">v nichž je na </w:t>
      </w:r>
      <w:r w:rsidR="00CF3E4B" w:rsidRPr="000E3B0C">
        <w:rPr>
          <w:rFonts w:cs="Garamond"/>
        </w:rPr>
        <w:t>ně často nahlí</w:t>
      </w:r>
      <w:r w:rsidR="00397176" w:rsidRPr="000E3B0C">
        <w:rPr>
          <w:rFonts w:cs="Garamond"/>
        </w:rPr>
        <w:t>ženo rovnou jako na</w:t>
      </w:r>
      <w:r w:rsidR="00A25849">
        <w:rPr>
          <w:rFonts w:cs="Garamond"/>
        </w:rPr>
        <w:t> </w:t>
      </w:r>
      <w:r w:rsidR="00397176" w:rsidRPr="000E3B0C">
        <w:rPr>
          <w:rFonts w:cs="Garamond"/>
        </w:rPr>
        <w:t>viníky.</w:t>
      </w:r>
      <w:r w:rsidR="00397176" w:rsidRPr="000E3B0C">
        <w:rPr>
          <w:rStyle w:val="Znakapoznpodarou"/>
          <w:rFonts w:cs="Garamond"/>
        </w:rPr>
        <w:footnoteReference w:id="121"/>
      </w:r>
    </w:p>
    <w:p w14:paraId="5E4E6121" w14:textId="77777777" w:rsidR="0087411F" w:rsidRPr="000E3B0C" w:rsidRDefault="0087411F" w:rsidP="0014261E">
      <w:pPr>
        <w:rPr>
          <w:rFonts w:cs="Garamond"/>
        </w:rPr>
      </w:pPr>
    </w:p>
    <w:p w14:paraId="7FF12213" w14:textId="7E8371F0" w:rsidR="0077027E" w:rsidRPr="000E3B0C" w:rsidRDefault="00AC34A5" w:rsidP="0014261E">
      <w:pPr>
        <w:rPr>
          <w:rFonts w:cs="Garamond"/>
        </w:rPr>
      </w:pPr>
      <w:r w:rsidRPr="000E3B0C">
        <w:rPr>
          <w:rFonts w:cs="Garamond"/>
        </w:rPr>
        <w:t>Sám</w:t>
      </w:r>
      <w:r w:rsidR="0077027E" w:rsidRPr="000E3B0C">
        <w:rPr>
          <w:rFonts w:cs="Garamond"/>
        </w:rPr>
        <w:t xml:space="preserve"> </w:t>
      </w:r>
      <w:r w:rsidRPr="000E3B0C">
        <w:rPr>
          <w:rFonts w:cs="Garamond"/>
        </w:rPr>
        <w:t>pochopitelně</w:t>
      </w:r>
      <w:r w:rsidR="0077027E" w:rsidRPr="000E3B0C">
        <w:rPr>
          <w:rFonts w:cs="Garamond"/>
        </w:rPr>
        <w:t xml:space="preserve"> nezpochybňuji spíše symbolickou vhodnost toho, je-li zásada presumpce neviny výslovně upravena v právním předpise. Nejsem si však jist, zdali její pozitivní zakotvení do Kodexu </w:t>
      </w:r>
      <w:r w:rsidRPr="000E3B0C">
        <w:rPr>
          <w:rFonts w:cs="Garamond"/>
        </w:rPr>
        <w:t>je skutečně natolik zásadní a přelomovou skutečností, jak uvádějí shora citovaní autoři. Tuto pochybnost ve mně vyvolává především zkušenost toho, že církevní představitelé (</w:t>
      </w:r>
      <w:r w:rsidR="003C286C" w:rsidRPr="000E3B0C">
        <w:rPr>
          <w:rFonts w:cs="Garamond"/>
        </w:rPr>
        <w:t>většinou</w:t>
      </w:r>
      <w:r w:rsidRPr="000E3B0C">
        <w:rPr>
          <w:rFonts w:cs="Garamond"/>
        </w:rPr>
        <w:t xml:space="preserve">) </w:t>
      </w:r>
      <w:r w:rsidR="003C286C" w:rsidRPr="000E3B0C">
        <w:rPr>
          <w:rFonts w:cs="Garamond"/>
        </w:rPr>
        <w:t xml:space="preserve">vůbec neinformují ani o samotném faktu </w:t>
      </w:r>
      <w:r w:rsidRPr="000E3B0C">
        <w:rPr>
          <w:rFonts w:cs="Garamond"/>
        </w:rPr>
        <w:t>vedení trestního řízení vůči knězi, natož aby farníkům poskytli informace ohledně vytýkanéh</w:t>
      </w:r>
      <w:r w:rsidR="008578C0" w:rsidRPr="000E3B0C">
        <w:rPr>
          <w:rFonts w:cs="Garamond"/>
        </w:rPr>
        <w:t xml:space="preserve">o jednání a způsobu </w:t>
      </w:r>
      <w:r w:rsidR="003C286C" w:rsidRPr="000E3B0C">
        <w:rPr>
          <w:rFonts w:cs="Garamond"/>
        </w:rPr>
        <w:t xml:space="preserve">konečného </w:t>
      </w:r>
      <w:r w:rsidR="008578C0" w:rsidRPr="000E3B0C">
        <w:rPr>
          <w:rFonts w:cs="Garamond"/>
        </w:rPr>
        <w:t>rozhodnutí</w:t>
      </w:r>
      <w:r w:rsidR="006E6320" w:rsidRPr="000E3B0C">
        <w:rPr>
          <w:rFonts w:cs="Garamond"/>
        </w:rPr>
        <w:t xml:space="preserve"> ve</w:t>
      </w:r>
      <w:r w:rsidR="00A25849">
        <w:rPr>
          <w:rFonts w:cs="Garamond"/>
        </w:rPr>
        <w:t> </w:t>
      </w:r>
      <w:r w:rsidR="006E6320" w:rsidRPr="000E3B0C">
        <w:rPr>
          <w:rFonts w:cs="Garamond"/>
        </w:rPr>
        <w:t>věci</w:t>
      </w:r>
      <w:r w:rsidR="008578C0" w:rsidRPr="000E3B0C">
        <w:rPr>
          <w:rFonts w:cs="Garamond"/>
        </w:rPr>
        <w:t>. Na rozdíl od kárného řízení, o němž se poskytují tiskové zprávy a</w:t>
      </w:r>
      <w:r w:rsidR="003033BA" w:rsidRPr="000E3B0C">
        <w:rPr>
          <w:rFonts w:cs="Garamond"/>
        </w:rPr>
        <w:t xml:space="preserve"> všechna</w:t>
      </w:r>
      <w:r w:rsidR="00CE51F3" w:rsidRPr="000E3B0C">
        <w:rPr>
          <w:rFonts w:cs="Garamond"/>
        </w:rPr>
        <w:t xml:space="preserve"> konaná jednání jsou </w:t>
      </w:r>
      <w:r w:rsidR="003033BA" w:rsidRPr="000E3B0C">
        <w:rPr>
          <w:rFonts w:cs="Garamond"/>
        </w:rPr>
        <w:t>veřejná</w:t>
      </w:r>
      <w:r w:rsidR="00CE51F3" w:rsidRPr="000E3B0C">
        <w:rPr>
          <w:rFonts w:cs="Garamond"/>
        </w:rPr>
        <w:t xml:space="preserve">, </w:t>
      </w:r>
      <w:r w:rsidR="008578C0" w:rsidRPr="000E3B0C">
        <w:rPr>
          <w:rFonts w:cs="Garamond"/>
        </w:rPr>
        <w:t xml:space="preserve">považuji takto důrazné akcentování </w:t>
      </w:r>
      <w:r w:rsidR="003C286C" w:rsidRPr="000E3B0C">
        <w:rPr>
          <w:rFonts w:cs="Garamond"/>
        </w:rPr>
        <w:t xml:space="preserve">praktického významu </w:t>
      </w:r>
      <w:r w:rsidR="008578C0" w:rsidRPr="000E3B0C">
        <w:rPr>
          <w:rFonts w:cs="Garamond"/>
        </w:rPr>
        <w:t>presumpce neviny v systému, v němž se neposkytují téměř žádné informace, za poněkud přehnané.</w:t>
      </w:r>
    </w:p>
    <w:p w14:paraId="60B5331A" w14:textId="77777777" w:rsidR="00970D92" w:rsidRPr="000E3B0C" w:rsidRDefault="007A3CCD" w:rsidP="00C22619">
      <w:pPr>
        <w:pStyle w:val="Nadpis2"/>
        <w:numPr>
          <w:ilvl w:val="1"/>
          <w:numId w:val="3"/>
        </w:numPr>
      </w:pPr>
      <w:bookmarkStart w:id="15" w:name="_Toc130067379"/>
      <w:r w:rsidRPr="000E3B0C">
        <w:t>Zavinění</w:t>
      </w:r>
      <w:bookmarkEnd w:id="15"/>
    </w:p>
    <w:p w14:paraId="2276648F" w14:textId="77EB2D79" w:rsidR="00514229" w:rsidRPr="000E3B0C" w:rsidRDefault="00AE091D" w:rsidP="00B910FE">
      <w:r w:rsidRPr="000E3B0C">
        <w:t>Pokud jde o</w:t>
      </w:r>
      <w:r w:rsidR="00CC09AE" w:rsidRPr="000E3B0C">
        <w:t xml:space="preserve"> subjektivní stránk</w:t>
      </w:r>
      <w:r w:rsidRPr="000E3B0C">
        <w:t>u</w:t>
      </w:r>
      <w:r w:rsidR="00CC09AE" w:rsidRPr="000E3B0C">
        <w:t xml:space="preserve"> </w:t>
      </w:r>
      <w:r w:rsidRPr="000E3B0C">
        <w:t>jakožto jeden z obligatorních znaků pro</w:t>
      </w:r>
      <w:r w:rsidR="00CC09AE" w:rsidRPr="000E3B0C">
        <w:t xml:space="preserve"> naplnění sku</w:t>
      </w:r>
      <w:r w:rsidRPr="000E3B0C">
        <w:t>tkové podstaty</w:t>
      </w:r>
      <w:r w:rsidR="007C75E3" w:rsidRPr="000E3B0C">
        <w:t xml:space="preserve"> deliktu</w:t>
      </w:r>
      <w:r w:rsidRPr="000E3B0C">
        <w:t xml:space="preserve">, tak se požadavky obou porovnávaných odpovědností </w:t>
      </w:r>
      <w:r w:rsidR="007C75E3" w:rsidRPr="000E3B0C">
        <w:t xml:space="preserve">na formu zavinění </w:t>
      </w:r>
      <w:r w:rsidRPr="000E3B0C">
        <w:t>poněkud liší.</w:t>
      </w:r>
      <w:r w:rsidR="007C75E3" w:rsidRPr="000E3B0C">
        <w:t xml:space="preserve"> U</w:t>
      </w:r>
      <w:r w:rsidRPr="000E3B0C">
        <w:t xml:space="preserve"> </w:t>
      </w:r>
      <w:r w:rsidR="00514229" w:rsidRPr="000E3B0C">
        <w:rPr>
          <w:u w:val="single"/>
        </w:rPr>
        <w:t>kárné odpovědnosti soudce</w:t>
      </w:r>
      <w:r w:rsidR="00514229" w:rsidRPr="000E3B0C">
        <w:t xml:space="preserve"> je </w:t>
      </w:r>
      <w:r w:rsidR="00E04438" w:rsidRPr="000E3B0C">
        <w:t>pro spáchání kárného provinění vyžadováno zaviněné</w:t>
      </w:r>
      <w:r w:rsidRPr="000E3B0C">
        <w:rPr>
          <w:rStyle w:val="Znakapoznpodarou"/>
        </w:rPr>
        <w:footnoteReference w:id="122"/>
      </w:r>
      <w:r w:rsidR="00E04438" w:rsidRPr="000E3B0C">
        <w:t xml:space="preserve"> </w:t>
      </w:r>
      <w:r w:rsidR="00514229" w:rsidRPr="000E3B0C">
        <w:t>porušení povinností</w:t>
      </w:r>
      <w:r w:rsidRPr="000E3B0C">
        <w:t xml:space="preserve"> (nejedná se tedy o objektivní odpovědnost)</w:t>
      </w:r>
      <w:r w:rsidR="00514229" w:rsidRPr="000E3B0C">
        <w:t>, přičemž zákon explicitně nevylučuje žádnou z</w:t>
      </w:r>
      <w:r w:rsidR="00E04438" w:rsidRPr="000E3B0C">
        <w:t xml:space="preserve"> jeho </w:t>
      </w:r>
      <w:r w:rsidR="00514229" w:rsidRPr="000E3B0C">
        <w:t>forem</w:t>
      </w:r>
      <w:r w:rsidR="00AA115B" w:rsidRPr="000E3B0C">
        <w:t>,</w:t>
      </w:r>
      <w:r w:rsidR="00514229" w:rsidRPr="000E3B0C">
        <w:t xml:space="preserve"> a kárného provinění se proto lze dopustit </w:t>
      </w:r>
      <w:r w:rsidRPr="000E3B0C">
        <w:t xml:space="preserve">nejen úmyslně, ale </w:t>
      </w:r>
      <w:r w:rsidR="00514229" w:rsidRPr="000E3B0C">
        <w:t>i z</w:t>
      </w:r>
      <w:r w:rsidRPr="000E3B0C">
        <w:t> </w:t>
      </w:r>
      <w:r w:rsidR="00514229" w:rsidRPr="000E3B0C">
        <w:t>nedbalosti</w:t>
      </w:r>
      <w:r w:rsidRPr="000E3B0C">
        <w:t>.</w:t>
      </w:r>
      <w:r w:rsidR="00514229" w:rsidRPr="000E3B0C">
        <w:rPr>
          <w:rStyle w:val="Znakapoznpodarou"/>
        </w:rPr>
        <w:footnoteReference w:id="123"/>
      </w:r>
      <w:r w:rsidRPr="000E3B0C">
        <w:t xml:space="preserve"> S</w:t>
      </w:r>
      <w:r w:rsidR="00514229" w:rsidRPr="000E3B0C">
        <w:t>tanovení konkrétního stupně nedbalosti (</w:t>
      </w:r>
      <w:r w:rsidRPr="000E3B0C">
        <w:t xml:space="preserve">tedy </w:t>
      </w:r>
      <w:r w:rsidR="00514229" w:rsidRPr="000E3B0C">
        <w:t xml:space="preserve">zda jde </w:t>
      </w:r>
      <w:r w:rsidR="00582BBA" w:rsidRPr="000E3B0C">
        <w:t>o nedbalost</w:t>
      </w:r>
      <w:r w:rsidR="00514229" w:rsidRPr="000E3B0C">
        <w:t xml:space="preserve"> </w:t>
      </w:r>
      <w:r w:rsidR="00514229" w:rsidRPr="000E3B0C">
        <w:lastRenderedPageBreak/>
        <w:t xml:space="preserve">vědomou či nevědomou) </w:t>
      </w:r>
      <w:r w:rsidR="008159A0" w:rsidRPr="000E3B0C">
        <w:t>přitom</w:t>
      </w:r>
      <w:r w:rsidR="00514229" w:rsidRPr="000E3B0C">
        <w:t xml:space="preserve"> není pro závěr o vině nezbytné</w:t>
      </w:r>
      <w:r w:rsidRPr="000E3B0C">
        <w:t>,</w:t>
      </w:r>
      <w:r w:rsidR="00514229" w:rsidRPr="000E3B0C">
        <w:rPr>
          <w:rStyle w:val="Znakapoznpodarou"/>
        </w:rPr>
        <w:footnoteReference w:id="124"/>
      </w:r>
      <w:r w:rsidRPr="000E3B0C">
        <w:t xml:space="preserve"> avšak samozřejmě může mít vliv na výši uloženého trestu.</w:t>
      </w:r>
    </w:p>
    <w:p w14:paraId="32FC7BF2" w14:textId="5E2FA024" w:rsidR="00AF03F5" w:rsidRPr="000E3B0C" w:rsidRDefault="00AF03F5" w:rsidP="00755232">
      <w:pPr>
        <w:tabs>
          <w:tab w:val="left" w:pos="2409"/>
        </w:tabs>
      </w:pPr>
    </w:p>
    <w:p w14:paraId="1B2BBD05" w14:textId="77777777" w:rsidR="0024338D" w:rsidRPr="000E3B0C" w:rsidRDefault="009D363B" w:rsidP="00B910FE">
      <w:r w:rsidRPr="000E3B0C">
        <w:t>T</w:t>
      </w:r>
      <w:r w:rsidR="00F147F9" w:rsidRPr="000E3B0C">
        <w:t xml:space="preserve">aké </w:t>
      </w:r>
      <w:r w:rsidR="00F147F9" w:rsidRPr="000E3B0C">
        <w:rPr>
          <w:u w:val="single"/>
        </w:rPr>
        <w:t>trestní</w:t>
      </w:r>
      <w:r w:rsidRPr="000E3B0C">
        <w:rPr>
          <w:u w:val="single"/>
        </w:rPr>
        <w:t xml:space="preserve"> právo katolické církve</w:t>
      </w:r>
      <w:r w:rsidRPr="000E3B0C">
        <w:t xml:space="preserve"> je budováno na pri</w:t>
      </w:r>
      <w:r w:rsidR="00F147F9" w:rsidRPr="000E3B0C">
        <w:t>ncipu subjektivní odpovědnosti</w:t>
      </w:r>
      <w:r w:rsidR="006E7708" w:rsidRPr="000E3B0C">
        <w:t>,</w:t>
      </w:r>
      <w:r w:rsidR="006E7708" w:rsidRPr="000E3B0C">
        <w:rPr>
          <w:rStyle w:val="Znakapoznpodarou"/>
        </w:rPr>
        <w:footnoteReference w:id="125"/>
      </w:r>
      <w:r w:rsidR="006E7708" w:rsidRPr="000E3B0C">
        <w:t xml:space="preserve"> neboť trestán </w:t>
      </w:r>
      <w:r w:rsidR="004E6865" w:rsidRPr="000E3B0C">
        <w:t>může být pouze</w:t>
      </w:r>
      <w:r w:rsidR="006E7708" w:rsidRPr="000E3B0C">
        <w:t xml:space="preserve"> ten, kdo se dopustil vnějšího porušení zákona nebo příkazu, které je </w:t>
      </w:r>
      <w:r w:rsidR="004E6865" w:rsidRPr="000E3B0C">
        <w:t xml:space="preserve">mu </w:t>
      </w:r>
      <w:r w:rsidR="006E7708" w:rsidRPr="000E3B0C">
        <w:t>těžce přičitatelné z důvodu úmyslu nebo nedbalosti</w:t>
      </w:r>
      <w:r w:rsidR="004E6865" w:rsidRPr="000E3B0C">
        <w:t>;</w:t>
      </w:r>
      <w:r w:rsidR="006E7708" w:rsidRPr="000E3B0C">
        <w:rPr>
          <w:rStyle w:val="Znakapoznpodarou"/>
          <w:rFonts w:cs="TimesNewRomanPSMT"/>
        </w:rPr>
        <w:footnoteReference w:id="126"/>
      </w:r>
      <w:r w:rsidR="004E6865" w:rsidRPr="000E3B0C">
        <w:t xml:space="preserve"> přičitatelností se přitom dle Hrdiny rozumí v terminologii sekulárního trestního práva právě zavinění.</w:t>
      </w:r>
      <w:r w:rsidR="004E6865" w:rsidRPr="000E3B0C">
        <w:rPr>
          <w:rStyle w:val="Znakapoznpodarou"/>
        </w:rPr>
        <w:footnoteReference w:id="127"/>
      </w:r>
      <w:r w:rsidR="004E6865" w:rsidRPr="000E3B0C">
        <w:t xml:space="preserve"> </w:t>
      </w:r>
      <w:r w:rsidR="006E7708" w:rsidRPr="000E3B0C">
        <w:t>T</w:t>
      </w:r>
      <w:r w:rsidR="00F147F9" w:rsidRPr="000E3B0C">
        <w:t>rest</w:t>
      </w:r>
      <w:r w:rsidR="006E7708" w:rsidRPr="000E3B0C">
        <w:t xml:space="preserve">ně odpovědný je však zásadně jen </w:t>
      </w:r>
      <w:r w:rsidR="00F147F9" w:rsidRPr="000E3B0C">
        <w:t xml:space="preserve">ten, kdo </w:t>
      </w:r>
      <w:r w:rsidR="00DD2195" w:rsidRPr="000E3B0C">
        <w:t>se protiprávního jednání dopust</w:t>
      </w:r>
      <w:r w:rsidR="0024338D" w:rsidRPr="000E3B0C">
        <w:t>í</w:t>
      </w:r>
      <w:r w:rsidR="006E7708" w:rsidRPr="000E3B0C">
        <w:t xml:space="preserve"> úmyslně</w:t>
      </w:r>
      <w:r w:rsidR="006E7708" w:rsidRPr="000E3B0C">
        <w:rPr>
          <w:rStyle w:val="Znakapoznpodarou"/>
        </w:rPr>
        <w:footnoteReference w:id="128"/>
      </w:r>
      <w:r w:rsidR="00DD2195" w:rsidRPr="000E3B0C">
        <w:t xml:space="preserve">, neboť odpovědnost za nedbalostní jednání by musela být v zákoně či příkazu </w:t>
      </w:r>
      <w:r w:rsidR="00DC2C68" w:rsidRPr="000E3B0C">
        <w:t>explicitně</w:t>
      </w:r>
      <w:r w:rsidR="00DD2195" w:rsidRPr="000E3B0C">
        <w:t xml:space="preserve"> </w:t>
      </w:r>
      <w:r w:rsidR="00DC2C68" w:rsidRPr="000E3B0C">
        <w:t>zakotvena</w:t>
      </w:r>
      <w:r w:rsidR="00DD2195" w:rsidRPr="000E3B0C">
        <w:t>.</w:t>
      </w:r>
      <w:r w:rsidR="00DD2195" w:rsidRPr="000E3B0C">
        <w:rPr>
          <w:rStyle w:val="Znakapoznpodarou"/>
        </w:rPr>
        <w:footnoteReference w:id="129"/>
      </w:r>
      <w:r w:rsidR="00066E50" w:rsidRPr="000E3B0C">
        <w:t xml:space="preserve"> Ve zvláštní části Kodexu jsou přitom </w:t>
      </w:r>
      <w:r w:rsidR="00DC2C68" w:rsidRPr="000E3B0C">
        <w:t xml:space="preserve">aktuálně </w:t>
      </w:r>
      <w:r w:rsidR="00066E50" w:rsidRPr="000E3B0C">
        <w:t>toliko dvě</w:t>
      </w:r>
      <w:r w:rsidR="00066E50" w:rsidRPr="000E3B0C">
        <w:rPr>
          <w:rStyle w:val="Znakapoznpodarou"/>
        </w:rPr>
        <w:footnoteReference w:id="130"/>
      </w:r>
      <w:r w:rsidR="00066E50" w:rsidRPr="000E3B0C">
        <w:t xml:space="preserve"> skutkové podstaty výslovně stanovící, že je možné předmětné protiprávní jednání spáchat z (dokonce jen) hrubé nedbalosti.</w:t>
      </w:r>
    </w:p>
    <w:p w14:paraId="77FF34F1" w14:textId="77777777" w:rsidR="0024338D" w:rsidRPr="000E3B0C" w:rsidRDefault="0024338D" w:rsidP="00B910FE"/>
    <w:p w14:paraId="149EF05F" w14:textId="13B711E1" w:rsidR="0024338D" w:rsidRPr="000E3B0C" w:rsidRDefault="003D4AF0" w:rsidP="00B910FE">
      <w:r w:rsidRPr="000E3B0C">
        <w:rPr>
          <w:rFonts w:cs="Garamond"/>
        </w:rPr>
        <w:t xml:space="preserve">V pojetí kanonického práva přitom úmyslné jednání musí zahrnovat nejen pachatelovu vědomost o činu a jeho následcích, ale také o protiprávnosti daného skutku; úmyslné zavinění tedy nastává pouze tehdy, </w:t>
      </w:r>
      <w:r w:rsidR="0024338D" w:rsidRPr="000E3B0C">
        <w:rPr>
          <w:rFonts w:cs="Garamond"/>
        </w:rPr>
        <w:t>pokud</w:t>
      </w:r>
      <w:r w:rsidRPr="000E3B0C">
        <w:rPr>
          <w:rFonts w:cs="Garamond"/>
        </w:rPr>
        <w:t xml:space="preserve"> daná osoba zná zákon</w:t>
      </w:r>
      <w:r w:rsidR="0024338D" w:rsidRPr="000E3B0C">
        <w:rPr>
          <w:rFonts w:cs="Garamond"/>
        </w:rPr>
        <w:t xml:space="preserve"> nebo příkaz</w:t>
      </w:r>
      <w:r w:rsidRPr="000E3B0C">
        <w:rPr>
          <w:rFonts w:cs="Garamond"/>
        </w:rPr>
        <w:t xml:space="preserve">, který hodlá porušit, a má úmysl spáchat čin, o němž ví, že je </w:t>
      </w:r>
      <w:r w:rsidR="0024338D" w:rsidRPr="000E3B0C">
        <w:rPr>
          <w:rFonts w:cs="Garamond"/>
        </w:rPr>
        <w:t>s ním v rozporu</w:t>
      </w:r>
      <w:r w:rsidRPr="000E3B0C">
        <w:rPr>
          <w:rFonts w:cs="Garamond"/>
        </w:rPr>
        <w:t xml:space="preserve">. </w:t>
      </w:r>
      <w:r w:rsidR="0024338D" w:rsidRPr="000E3B0C">
        <w:rPr>
          <w:rFonts w:cs="Garamond"/>
        </w:rPr>
        <w:t>K n</w:t>
      </w:r>
      <w:r w:rsidR="00066E50" w:rsidRPr="000E3B0C">
        <w:rPr>
          <w:rFonts w:cs="Garamond"/>
        </w:rPr>
        <w:t>edbalost</w:t>
      </w:r>
      <w:r w:rsidR="0024338D" w:rsidRPr="000E3B0C">
        <w:rPr>
          <w:rFonts w:cs="Garamond"/>
        </w:rPr>
        <w:t>i</w:t>
      </w:r>
      <w:r w:rsidR="00066E50" w:rsidRPr="000E3B0C">
        <w:rPr>
          <w:rFonts w:cs="Garamond"/>
        </w:rPr>
        <w:t xml:space="preserve"> (</w:t>
      </w:r>
      <w:r w:rsidRPr="000E3B0C">
        <w:rPr>
          <w:rFonts w:cs="Garamond"/>
        </w:rPr>
        <w:t>opomenutí náležité opatrnosti</w:t>
      </w:r>
      <w:r w:rsidR="00066E50" w:rsidRPr="000E3B0C">
        <w:rPr>
          <w:rFonts w:cs="Garamond"/>
        </w:rPr>
        <w:t xml:space="preserve">) </w:t>
      </w:r>
      <w:r w:rsidR="0024338D" w:rsidRPr="000E3B0C">
        <w:rPr>
          <w:rFonts w:cs="Garamond"/>
        </w:rPr>
        <w:t>může dojít</w:t>
      </w:r>
      <w:r w:rsidRPr="000E3B0C">
        <w:rPr>
          <w:rFonts w:cs="Garamond"/>
        </w:rPr>
        <w:t xml:space="preserve"> tehdy, </w:t>
      </w:r>
      <w:r w:rsidR="0024338D" w:rsidRPr="000E3B0C">
        <w:rPr>
          <w:rFonts w:cs="Garamond"/>
        </w:rPr>
        <w:t>pokud</w:t>
      </w:r>
      <w:r w:rsidRPr="000E3B0C">
        <w:rPr>
          <w:rFonts w:cs="Garamond"/>
        </w:rPr>
        <w:t xml:space="preserve"> pachatel nepostupuje s takovou péčí, jakou by </w:t>
      </w:r>
      <w:r w:rsidR="00066E50" w:rsidRPr="000E3B0C">
        <w:rPr>
          <w:rFonts w:cs="Garamond"/>
        </w:rPr>
        <w:t>vynaložila každá rozumná osoba</w:t>
      </w:r>
      <w:r w:rsidR="0024338D" w:rsidRPr="000E3B0C">
        <w:rPr>
          <w:rFonts w:cs="Garamond"/>
        </w:rPr>
        <w:t>.</w:t>
      </w:r>
      <w:r w:rsidR="00066E50" w:rsidRPr="000E3B0C">
        <w:rPr>
          <w:rStyle w:val="Znakapoznpodarou"/>
          <w:rFonts w:cs="Garamond"/>
        </w:rPr>
        <w:footnoteReference w:id="131"/>
      </w:r>
      <w:r w:rsidR="0024338D" w:rsidRPr="000E3B0C">
        <w:t xml:space="preserve"> P</w:t>
      </w:r>
      <w:r w:rsidR="00066E50" w:rsidRPr="000E3B0C">
        <w:t xml:space="preserve">roblematickou </w:t>
      </w:r>
      <w:r w:rsidR="0024338D" w:rsidRPr="000E3B0C">
        <w:t>je tedy otázka</w:t>
      </w:r>
      <w:r w:rsidR="00066E50" w:rsidRPr="000E3B0C">
        <w:t xml:space="preserve"> trestní odpovědnosti pachatele při nedbalostní neznalosti</w:t>
      </w:r>
      <w:r w:rsidR="001A7892" w:rsidRPr="000E3B0C">
        <w:t xml:space="preserve"> zákona.</w:t>
      </w:r>
      <w:r w:rsidR="0024338D" w:rsidRPr="000E3B0C">
        <w:t xml:space="preserve"> Jelikož Kodex charakterizuje </w:t>
      </w:r>
      <w:proofErr w:type="spellStart"/>
      <w:r w:rsidR="0024338D" w:rsidRPr="000E3B0C">
        <w:rPr>
          <w:i/>
        </w:rPr>
        <w:t>kulpozní</w:t>
      </w:r>
      <w:proofErr w:type="spellEnd"/>
      <w:r w:rsidR="0024338D" w:rsidRPr="000E3B0C">
        <w:t xml:space="preserve"> zavinění jen jako opomenutí povinné péče, někteří kanonisté na základě toho (s poukazem na nepřípustnost extenzivního výkladu trestních norem) vyvozují, že pro zaviněnou neznalost zákona není dostatečná nedbalost; tedy aby pachatel mohl být potrestán, je třeba mu nejprve dokázat znalost zákona. Jedná se o projev kanonické umírněnosti, jehož důsledkem je průlom do zásady sekulárního trestního práva </w:t>
      </w:r>
      <w:proofErr w:type="spellStart"/>
      <w:r w:rsidR="0024338D" w:rsidRPr="000E3B0C">
        <w:rPr>
          <w:i/>
        </w:rPr>
        <w:t>ignoratia</w:t>
      </w:r>
      <w:proofErr w:type="spellEnd"/>
      <w:r w:rsidR="0024338D" w:rsidRPr="000E3B0C">
        <w:rPr>
          <w:i/>
        </w:rPr>
        <w:t xml:space="preserve"> </w:t>
      </w:r>
      <w:proofErr w:type="spellStart"/>
      <w:r w:rsidR="0024338D" w:rsidRPr="000E3B0C">
        <w:rPr>
          <w:i/>
        </w:rPr>
        <w:t>iuris</w:t>
      </w:r>
      <w:proofErr w:type="spellEnd"/>
      <w:r w:rsidR="0024338D" w:rsidRPr="000E3B0C">
        <w:t xml:space="preserve"> </w:t>
      </w:r>
      <w:r w:rsidR="0024338D" w:rsidRPr="000E3B0C">
        <w:rPr>
          <w:i/>
        </w:rPr>
        <w:t>non</w:t>
      </w:r>
      <w:r w:rsidR="0024338D" w:rsidRPr="000E3B0C">
        <w:t xml:space="preserve"> </w:t>
      </w:r>
      <w:proofErr w:type="spellStart"/>
      <w:r w:rsidR="0024338D" w:rsidRPr="000E3B0C">
        <w:rPr>
          <w:i/>
        </w:rPr>
        <w:t>excusat</w:t>
      </w:r>
      <w:proofErr w:type="spellEnd"/>
      <w:r w:rsidR="0024338D" w:rsidRPr="000E3B0C">
        <w:t xml:space="preserve"> (nezaviněná neznalost práva neomlouvá).</w:t>
      </w:r>
      <w:r w:rsidR="0024338D" w:rsidRPr="000E3B0C">
        <w:rPr>
          <w:vertAlign w:val="superscript"/>
        </w:rPr>
        <w:footnoteReference w:id="132"/>
      </w:r>
      <w:r w:rsidR="00C42967" w:rsidRPr="000E3B0C">
        <w:t xml:space="preserve"> V kárném řízení by přitom bylo nemyslitelné </w:t>
      </w:r>
      <w:r w:rsidR="00C42967" w:rsidRPr="000E3B0C">
        <w:lastRenderedPageBreak/>
        <w:t>neshledat soudce vinným porušením povinnosti stanovené mu právním řádem toliko proto, že</w:t>
      </w:r>
      <w:r w:rsidR="00A25849">
        <w:t> </w:t>
      </w:r>
      <w:r w:rsidR="00C42967" w:rsidRPr="000E3B0C">
        <w:t>mu příslušný právní předpis nebyl znám.</w:t>
      </w:r>
    </w:p>
    <w:p w14:paraId="307838DD" w14:textId="77777777" w:rsidR="00C42967" w:rsidRPr="000E3B0C" w:rsidRDefault="00C42967" w:rsidP="00B910FE"/>
    <w:p w14:paraId="0F2A53A6" w14:textId="77777777" w:rsidR="005A21F2" w:rsidRPr="000E3B0C" w:rsidRDefault="00283C0C" w:rsidP="00B910FE">
      <w:r w:rsidRPr="000E3B0C">
        <w:t>Kodex zároveň stanoví vyvratitelnou právní domněnku, že</w:t>
      </w:r>
      <w:r w:rsidR="00E91E94" w:rsidRPr="000E3B0C">
        <w:t xml:space="preserve"> </w:t>
      </w:r>
      <w:r w:rsidRPr="000E3B0C">
        <w:rPr>
          <w:i/>
        </w:rPr>
        <w:t>„při vnějším porušení se přičitatelnost předpokládá, pokud není zřejmé něco jiného“</w:t>
      </w:r>
      <w:r w:rsidRPr="000E3B0C">
        <w:rPr>
          <w:rStyle w:val="Znakapoznpodarou"/>
        </w:rPr>
        <w:footnoteReference w:id="133"/>
      </w:r>
      <w:r w:rsidRPr="000E3B0C">
        <w:t>; v takovém případě tedy není třeba zavinění dokazovat. Dle Hrdiny tato konstrukce neznamená průlom do principu presumpce neviny, neboť se jím nepředpokládá vina, nýbrž toliko zavinění na straně pachatele dopustivšího se zevního</w:t>
      </w:r>
      <w:r w:rsidR="00587B69" w:rsidRPr="000E3B0C">
        <w:t xml:space="preserve"> porušení trestněprávní normy</w:t>
      </w:r>
      <w:r w:rsidRPr="000E3B0C">
        <w:t>.</w:t>
      </w:r>
      <w:r w:rsidRPr="000E3B0C">
        <w:rPr>
          <w:rStyle w:val="Znakapoznpodarou"/>
        </w:rPr>
        <w:footnoteReference w:id="134"/>
      </w:r>
      <w:r w:rsidR="005A21F2" w:rsidRPr="000E3B0C">
        <w:t xml:space="preserve"> Přesto </w:t>
      </w:r>
      <w:r w:rsidR="001D260B" w:rsidRPr="000E3B0C">
        <w:t xml:space="preserve">se </w:t>
      </w:r>
      <w:r w:rsidR="005A21F2" w:rsidRPr="000E3B0C">
        <w:t xml:space="preserve">podle mého názoru, </w:t>
      </w:r>
      <w:r w:rsidR="001D260B" w:rsidRPr="000E3B0C">
        <w:t xml:space="preserve">viděno </w:t>
      </w:r>
      <w:r w:rsidR="009754E7" w:rsidRPr="000E3B0C">
        <w:t>prizmatem sekulární</w:t>
      </w:r>
      <w:r w:rsidR="005A21F2" w:rsidRPr="000E3B0C">
        <w:t>ho</w:t>
      </w:r>
      <w:r w:rsidR="009754E7" w:rsidRPr="000E3B0C">
        <w:t xml:space="preserve"> </w:t>
      </w:r>
      <w:r w:rsidR="005A21F2" w:rsidRPr="000E3B0C">
        <w:t xml:space="preserve">trestního práva, </w:t>
      </w:r>
      <w:r w:rsidR="001D260B" w:rsidRPr="000E3B0C">
        <w:t xml:space="preserve">jedná o </w:t>
      </w:r>
      <w:r w:rsidR="006464C5" w:rsidRPr="000E3B0C">
        <w:t>krajně</w:t>
      </w:r>
      <w:r w:rsidR="001D260B" w:rsidRPr="000E3B0C">
        <w:t xml:space="preserve"> problematickou konstrukci, neboť je založena</w:t>
      </w:r>
      <w:r w:rsidR="005A21F2" w:rsidRPr="000E3B0C">
        <w:t xml:space="preserve"> na tom, že osoba podezř</w:t>
      </w:r>
      <w:r w:rsidR="001D260B" w:rsidRPr="000E3B0C">
        <w:t xml:space="preserve">elá ze spáchání </w:t>
      </w:r>
      <w:r w:rsidR="006464C5" w:rsidRPr="000E3B0C">
        <w:t>deliktu</w:t>
      </w:r>
      <w:r w:rsidR="001D260B" w:rsidRPr="000E3B0C">
        <w:t xml:space="preserve"> </w:t>
      </w:r>
      <w:r w:rsidR="006464C5" w:rsidRPr="000E3B0C">
        <w:t xml:space="preserve">(zpravidla v objektivně slabším postavení vůči orgánům žaloby) </w:t>
      </w:r>
      <w:r w:rsidR="001D260B" w:rsidRPr="000E3B0C">
        <w:t xml:space="preserve">musí </w:t>
      </w:r>
      <w:r w:rsidR="005A21F2" w:rsidRPr="000E3B0C">
        <w:t>vyvracet zákonnou domněnku</w:t>
      </w:r>
      <w:r w:rsidR="001D260B" w:rsidRPr="000E3B0C">
        <w:t xml:space="preserve"> ve svůj neprospěch</w:t>
      </w:r>
      <w:r w:rsidR="006464C5" w:rsidRPr="000E3B0C">
        <w:t xml:space="preserve"> a </w:t>
      </w:r>
      <w:r w:rsidR="001D260B" w:rsidRPr="000E3B0C">
        <w:t>sama trestnímu aparátu</w:t>
      </w:r>
      <w:r w:rsidR="006464C5" w:rsidRPr="000E3B0C">
        <w:t xml:space="preserve"> prokazovat</w:t>
      </w:r>
      <w:r w:rsidR="005A21F2" w:rsidRPr="000E3B0C">
        <w:t>, že spáchání skutku n</w:t>
      </w:r>
      <w:r w:rsidR="001D260B" w:rsidRPr="000E3B0C">
        <w:t xml:space="preserve">ezavinila. </w:t>
      </w:r>
      <w:r w:rsidR="006464C5" w:rsidRPr="000E3B0C">
        <w:t>Za situace, kdy se zásadně vyžaduje úmyslné zavinění pro naplnění většiny skutkových podstat trestného činu, je dle mého předmětnou úpravou fakticky presumován úmysl pachatele. To by v</w:t>
      </w:r>
      <w:r w:rsidR="001D260B" w:rsidRPr="000E3B0C">
        <w:t>e světském právu (a </w:t>
      </w:r>
      <w:r w:rsidR="005A21F2" w:rsidRPr="000E3B0C">
        <w:t xml:space="preserve">tedy i kárném řízení) </w:t>
      </w:r>
      <w:r w:rsidR="006464C5" w:rsidRPr="000E3B0C">
        <w:t>představovalo</w:t>
      </w:r>
      <w:r w:rsidR="005A21F2" w:rsidRPr="000E3B0C">
        <w:t xml:space="preserve"> naprosto </w:t>
      </w:r>
      <w:r w:rsidR="00C42967" w:rsidRPr="000E3B0C">
        <w:t>neakceptovatelnou</w:t>
      </w:r>
      <w:r w:rsidR="005A21F2" w:rsidRPr="000E3B0C">
        <w:t xml:space="preserve"> </w:t>
      </w:r>
      <w:r w:rsidR="006464C5" w:rsidRPr="000E3B0C">
        <w:t>koncepci</w:t>
      </w:r>
      <w:r w:rsidR="005A21F2" w:rsidRPr="000E3B0C">
        <w:t>.</w:t>
      </w:r>
    </w:p>
    <w:p w14:paraId="65D7C737" w14:textId="77777777" w:rsidR="00DF5628" w:rsidRPr="000E3B0C" w:rsidRDefault="00F92BA8" w:rsidP="00C22619">
      <w:pPr>
        <w:pStyle w:val="Nadpis2"/>
        <w:numPr>
          <w:ilvl w:val="1"/>
          <w:numId w:val="3"/>
        </w:numPr>
      </w:pPr>
      <w:bookmarkStart w:id="16" w:name="_Toc130067380"/>
      <w:r w:rsidRPr="000E3B0C">
        <w:t>M</w:t>
      </w:r>
      <w:r w:rsidR="003B68C5" w:rsidRPr="000E3B0C">
        <w:t>írnější alternativy</w:t>
      </w:r>
      <w:bookmarkEnd w:id="16"/>
    </w:p>
    <w:p w14:paraId="220286DD" w14:textId="1DCDB521" w:rsidR="009C1FD7" w:rsidRPr="000E3B0C" w:rsidRDefault="00DA4A5C" w:rsidP="00BA629B">
      <w:pPr>
        <w:rPr>
          <w:rFonts w:cs="TimesNewRomanPSMT"/>
          <w:i/>
        </w:rPr>
      </w:pPr>
      <w:r w:rsidRPr="000E3B0C">
        <w:t xml:space="preserve">V </w:t>
      </w:r>
      <w:r w:rsidRPr="000E3B0C">
        <w:rPr>
          <w:u w:val="single"/>
        </w:rPr>
        <w:t>k</w:t>
      </w:r>
      <w:r w:rsidR="009E4E38" w:rsidRPr="000E3B0C">
        <w:rPr>
          <w:u w:val="single"/>
        </w:rPr>
        <w:t>anonické</w:t>
      </w:r>
      <w:r w:rsidRPr="000E3B0C">
        <w:rPr>
          <w:u w:val="single"/>
        </w:rPr>
        <w:t>m</w:t>
      </w:r>
      <w:r w:rsidR="009E4E38" w:rsidRPr="000E3B0C">
        <w:rPr>
          <w:u w:val="single"/>
        </w:rPr>
        <w:t xml:space="preserve"> trestním právu</w:t>
      </w:r>
      <w:r w:rsidR="009E4E38" w:rsidRPr="000E3B0C">
        <w:t xml:space="preserve"> </w:t>
      </w:r>
      <w:r w:rsidR="00BE6357" w:rsidRPr="000E3B0C">
        <w:t xml:space="preserve">neexistuje povinnost </w:t>
      </w:r>
      <w:r w:rsidR="008313A5" w:rsidRPr="000E3B0C">
        <w:t xml:space="preserve">automaticky </w:t>
      </w:r>
      <w:r w:rsidR="00BE6357" w:rsidRPr="000E3B0C">
        <w:t xml:space="preserve">zahájit trestní řízení vždy, když se ordinář dozví o protiprávním jednání </w:t>
      </w:r>
      <w:r w:rsidR="004F08D0" w:rsidRPr="000E3B0C">
        <w:t>je</w:t>
      </w:r>
      <w:r w:rsidR="00BE6357" w:rsidRPr="000E3B0C">
        <w:t xml:space="preserve">mu podřízené osoby; princip </w:t>
      </w:r>
      <w:r w:rsidR="0088266C">
        <w:t>legality</w:t>
      </w:r>
      <w:r w:rsidR="00BE6357" w:rsidRPr="000E3B0C">
        <w:t xml:space="preserve"> </w:t>
      </w:r>
      <w:r w:rsidR="008313A5" w:rsidRPr="000E3B0C">
        <w:t xml:space="preserve">zde tedy </w:t>
      </w:r>
      <w:r w:rsidR="00BE6357" w:rsidRPr="000E3B0C">
        <w:t>neplatí striktně</w:t>
      </w:r>
      <w:r w:rsidR="008313A5" w:rsidRPr="000E3B0C">
        <w:t xml:space="preserve">. </w:t>
      </w:r>
      <w:r w:rsidR="00BE6357" w:rsidRPr="000E3B0C">
        <w:t xml:space="preserve">Pokud </w:t>
      </w:r>
      <w:r w:rsidR="008313A5" w:rsidRPr="000E3B0C">
        <w:t xml:space="preserve">ovšem </w:t>
      </w:r>
      <w:r w:rsidR="00BE6357" w:rsidRPr="000E3B0C">
        <w:t xml:space="preserve">podezření ze spáchání trestného činu trvá, </w:t>
      </w:r>
      <w:r w:rsidR="004F08D0" w:rsidRPr="000E3B0C">
        <w:t>musí být</w:t>
      </w:r>
      <w:r w:rsidR="009E4E38" w:rsidRPr="000E3B0C">
        <w:t xml:space="preserve"> </w:t>
      </w:r>
      <w:r w:rsidR="000D2E63" w:rsidRPr="000E3B0C">
        <w:t>trestní</w:t>
      </w:r>
      <w:r w:rsidR="00B32D6B" w:rsidRPr="000E3B0C">
        <w:t xml:space="preserve"> řízení za </w:t>
      </w:r>
      <w:r w:rsidR="009E4E38" w:rsidRPr="000E3B0C">
        <w:t>účele</w:t>
      </w:r>
      <w:r w:rsidR="00994553" w:rsidRPr="000E3B0C">
        <w:t>m uložení nebo vyhláš</w:t>
      </w:r>
      <w:r w:rsidR="004F08D0" w:rsidRPr="000E3B0C">
        <w:t xml:space="preserve">ení trestu </w:t>
      </w:r>
      <w:r w:rsidR="000D2E63" w:rsidRPr="000E3B0C">
        <w:t xml:space="preserve">zahájeno </w:t>
      </w:r>
      <w:r w:rsidR="0001476E" w:rsidRPr="000E3B0C">
        <w:t>ve všech případech</w:t>
      </w:r>
      <w:r w:rsidR="009E4E38" w:rsidRPr="000E3B0C">
        <w:t xml:space="preserve">, </w:t>
      </w:r>
      <w:r w:rsidR="008313A5" w:rsidRPr="000E3B0C">
        <w:t>pokud</w:t>
      </w:r>
      <w:r w:rsidR="009E4E38" w:rsidRPr="000E3B0C">
        <w:t xml:space="preserve"> </w:t>
      </w:r>
      <w:r w:rsidR="000D2E63" w:rsidRPr="000E3B0C">
        <w:t>ordinář</w:t>
      </w:r>
      <w:r w:rsidR="000D2E63" w:rsidRPr="000E3B0C">
        <w:rPr>
          <w:i/>
        </w:rPr>
        <w:t xml:space="preserve"> „</w:t>
      </w:r>
      <w:r w:rsidR="009E4E38" w:rsidRPr="000E3B0C">
        <w:rPr>
          <w:i/>
        </w:rPr>
        <w:t>zjistil, že ani cestou pastoračního úsilí, především bratrským upozorněním, napomenutím nebo důtkou, nelze dostatečně obnovit spravedlnost, napravit pachatele a odstranit pohoršení</w:t>
      </w:r>
      <w:r w:rsidR="008313A5" w:rsidRPr="000E3B0C">
        <w:rPr>
          <w:i/>
        </w:rPr>
        <w:t>.</w:t>
      </w:r>
      <w:r w:rsidR="009E4E38" w:rsidRPr="000E3B0C">
        <w:rPr>
          <w:i/>
        </w:rPr>
        <w:t>“</w:t>
      </w:r>
      <w:r w:rsidR="009E4E38" w:rsidRPr="000E3B0C">
        <w:rPr>
          <w:rStyle w:val="Znakapoznpodarou"/>
        </w:rPr>
        <w:footnoteReference w:id="135"/>
      </w:r>
      <w:r w:rsidR="004F08D0" w:rsidRPr="000E3B0C">
        <w:t xml:space="preserve"> Kanonické t</w:t>
      </w:r>
      <w:r w:rsidR="009E4E38" w:rsidRPr="000E3B0C">
        <w:t>restní řízení je tedy (stejně jako v sekulárním trestním právu)</w:t>
      </w:r>
      <w:r w:rsidR="00554578" w:rsidRPr="000E3B0C">
        <w:rPr>
          <w:rStyle w:val="Znakapoznpodarou"/>
        </w:rPr>
        <w:footnoteReference w:id="136"/>
      </w:r>
      <w:r w:rsidR="009E4E38" w:rsidRPr="000E3B0C">
        <w:t xml:space="preserve"> prostředkem </w:t>
      </w:r>
      <w:r w:rsidR="008903C5" w:rsidRPr="000E3B0C">
        <w:rPr>
          <w:i/>
        </w:rPr>
        <w:t>ultima ratio</w:t>
      </w:r>
      <w:r w:rsidR="00957D2D" w:rsidRPr="000E3B0C">
        <w:t>, neboť u</w:t>
      </w:r>
      <w:r w:rsidR="00957D2D" w:rsidRPr="000E3B0C">
        <w:rPr>
          <w:rFonts w:cs="Garamond"/>
        </w:rPr>
        <w:t xml:space="preserve">kládání trestů neposlušným členům církve představuje </w:t>
      </w:r>
      <w:r w:rsidR="00C852CD" w:rsidRPr="000E3B0C">
        <w:rPr>
          <w:rFonts w:cs="Garamond"/>
        </w:rPr>
        <w:t>až</w:t>
      </w:r>
      <w:r w:rsidR="00957D2D" w:rsidRPr="000E3B0C">
        <w:rPr>
          <w:rFonts w:cs="Garamond"/>
        </w:rPr>
        <w:t xml:space="preserve"> poslední možný prostředek</w:t>
      </w:r>
      <w:r w:rsidR="00957D2D" w:rsidRPr="000E3B0C">
        <w:t xml:space="preserve"> jejich nápravy.</w:t>
      </w:r>
      <w:r w:rsidR="00957D2D" w:rsidRPr="000E3B0C">
        <w:rPr>
          <w:rStyle w:val="Znakapoznpodarou"/>
        </w:rPr>
        <w:footnoteReference w:id="137"/>
      </w:r>
      <w:r w:rsidR="00AE259B" w:rsidRPr="000E3B0C">
        <w:rPr>
          <w:rFonts w:cs="Garamond"/>
        </w:rPr>
        <w:t xml:space="preserve"> V</w:t>
      </w:r>
      <w:r w:rsidR="00C852CD" w:rsidRPr="000E3B0C">
        <w:rPr>
          <w:rFonts w:cs="Garamond"/>
        </w:rPr>
        <w:t xml:space="preserve"> kontextu zásady přiměřenosti a subsidiarity trestní represe </w:t>
      </w:r>
      <w:r w:rsidR="00AE259B" w:rsidRPr="000E3B0C">
        <w:rPr>
          <w:rFonts w:cs="Garamond"/>
        </w:rPr>
        <w:t>poskytuje kanonické trestní právo</w:t>
      </w:r>
      <w:r w:rsidR="00C852CD" w:rsidRPr="000E3B0C">
        <w:rPr>
          <w:rFonts w:cs="Garamond"/>
        </w:rPr>
        <w:t xml:space="preserve"> </w:t>
      </w:r>
      <w:r w:rsidR="00AE259B" w:rsidRPr="000E3B0C">
        <w:rPr>
          <w:rFonts w:cs="Garamond"/>
        </w:rPr>
        <w:t xml:space="preserve">toliko podpůrnou ochranu </w:t>
      </w:r>
      <w:r w:rsidR="00C852CD" w:rsidRPr="000E3B0C">
        <w:rPr>
          <w:rFonts w:cs="Garamond"/>
        </w:rPr>
        <w:t xml:space="preserve">zákonem chráněným zájmům </w:t>
      </w:r>
      <w:r w:rsidR="00AE259B" w:rsidRPr="000E3B0C">
        <w:rPr>
          <w:rFonts w:cs="Garamond"/>
        </w:rPr>
        <w:t>a uplatňuje</w:t>
      </w:r>
      <w:r w:rsidR="00C852CD" w:rsidRPr="000E3B0C">
        <w:rPr>
          <w:rFonts w:cs="Garamond"/>
        </w:rPr>
        <w:t xml:space="preserve"> se jen v př</w:t>
      </w:r>
      <w:r w:rsidR="00AE259B" w:rsidRPr="000E3B0C">
        <w:rPr>
          <w:rFonts w:cs="Garamond"/>
        </w:rPr>
        <w:t>ípadech, pokud nepostačuje</w:t>
      </w:r>
      <w:r w:rsidR="004F08D0" w:rsidRPr="000E3B0C">
        <w:rPr>
          <w:rFonts w:cs="Garamond"/>
        </w:rPr>
        <w:t xml:space="preserve"> jiné </w:t>
      </w:r>
      <w:proofErr w:type="spellStart"/>
      <w:r w:rsidR="004F08D0" w:rsidRPr="000E3B0C">
        <w:rPr>
          <w:rFonts w:cs="Garamond"/>
        </w:rPr>
        <w:t>mimo</w:t>
      </w:r>
      <w:r w:rsidR="00AE259B" w:rsidRPr="000E3B0C">
        <w:rPr>
          <w:rFonts w:cs="Garamond"/>
        </w:rPr>
        <w:t>trestní</w:t>
      </w:r>
      <w:proofErr w:type="spellEnd"/>
      <w:r w:rsidR="00AE259B" w:rsidRPr="000E3B0C">
        <w:rPr>
          <w:rFonts w:cs="Garamond"/>
        </w:rPr>
        <w:t xml:space="preserve"> řešení, </w:t>
      </w:r>
      <w:r w:rsidR="00C852CD" w:rsidRPr="000E3B0C">
        <w:rPr>
          <w:rFonts w:cs="Garamond"/>
        </w:rPr>
        <w:t>tedy zásadně u protiprávních jednání s větší mírou závažnosti.</w:t>
      </w:r>
      <w:r w:rsidR="00AE259B" w:rsidRPr="000E3B0C">
        <w:rPr>
          <w:rStyle w:val="Znakapoznpodarou"/>
          <w:rFonts w:cs="Garamond"/>
        </w:rPr>
        <w:footnoteReference w:id="138"/>
      </w:r>
      <w:r w:rsidR="00AE259B" w:rsidRPr="000E3B0C">
        <w:rPr>
          <w:rFonts w:cs="Garamond"/>
        </w:rPr>
        <w:t xml:space="preserve"> </w:t>
      </w:r>
      <w:r w:rsidR="000D2E63" w:rsidRPr="000E3B0C">
        <w:t xml:space="preserve">Zároveň je třeba akcentovat, že po poslední novele Kodexu má </w:t>
      </w:r>
      <w:r w:rsidR="008903C5" w:rsidRPr="000E3B0C">
        <w:t xml:space="preserve">každý </w:t>
      </w:r>
      <w:r w:rsidR="000D2E63" w:rsidRPr="000E3B0C">
        <w:t xml:space="preserve">církevní představený </w:t>
      </w:r>
      <w:r w:rsidR="008903C5" w:rsidRPr="000E3B0C">
        <w:t xml:space="preserve">povinnost vedle </w:t>
      </w:r>
      <w:r w:rsidR="008903C5" w:rsidRPr="000E3B0C">
        <w:lastRenderedPageBreak/>
        <w:t>ostatníc</w:t>
      </w:r>
      <w:r w:rsidR="000D2E63" w:rsidRPr="000E3B0C">
        <w:t>h prostředků, je-li to potřeba, užívat i trestání.</w:t>
      </w:r>
      <w:r w:rsidR="000D2E63" w:rsidRPr="000E3B0C">
        <w:rPr>
          <w:rStyle w:val="Znakapoznpodarou"/>
        </w:rPr>
        <w:footnoteReference w:id="139"/>
      </w:r>
      <w:r w:rsidR="009C1FD7" w:rsidRPr="000E3B0C">
        <w:t xml:space="preserve"> Platí ovšem, že </w:t>
      </w:r>
      <w:r w:rsidR="009C1FD7" w:rsidRPr="000E3B0C">
        <w:rPr>
          <w:i/>
        </w:rPr>
        <w:t>„n</w:t>
      </w:r>
      <w:r w:rsidR="009C1FD7" w:rsidRPr="000E3B0C">
        <w:rPr>
          <w:rFonts w:cs="TimesNewRomanPSMT"/>
          <w:i/>
        </w:rPr>
        <w:t>ápravný trest může být platně uložen až tehdy, jestliže předtím byl pachatel alespoň jednou napomenut, aby upustil od své zatv</w:t>
      </w:r>
      <w:r w:rsidR="008E0EE8" w:rsidRPr="000E3B0C">
        <w:rPr>
          <w:rFonts w:cs="TimesNewRomanPSMT"/>
          <w:i/>
        </w:rPr>
        <w:t>rzelosti, a </w:t>
      </w:r>
      <w:r w:rsidR="009C1FD7" w:rsidRPr="000E3B0C">
        <w:rPr>
          <w:rFonts w:cs="TimesNewRomanPSMT"/>
          <w:i/>
        </w:rPr>
        <w:t>byla mu poskytnuta přiměřená lhůta k nápravě.“</w:t>
      </w:r>
      <w:r w:rsidR="009C1FD7" w:rsidRPr="000E3B0C">
        <w:rPr>
          <w:rStyle w:val="Znakapoznpodarou"/>
          <w:rFonts w:cs="TimesNewRomanPSMT"/>
        </w:rPr>
        <w:footnoteReference w:id="140"/>
      </w:r>
    </w:p>
    <w:p w14:paraId="55FC85C1" w14:textId="77777777" w:rsidR="009C1FD7" w:rsidRPr="000E3B0C" w:rsidRDefault="009C1FD7" w:rsidP="00BA629B"/>
    <w:p w14:paraId="53A4232A" w14:textId="77AA6AA8" w:rsidR="00B97249" w:rsidRPr="000E3B0C" w:rsidRDefault="004F08D0" w:rsidP="00BA629B">
      <w:r w:rsidRPr="000E3B0C">
        <w:t>Jako mírnější</w:t>
      </w:r>
      <w:r w:rsidR="000D2E63" w:rsidRPr="000E3B0C">
        <w:t xml:space="preserve"> alternativu </w:t>
      </w:r>
      <w:r w:rsidR="00D260EC" w:rsidRPr="000E3B0C">
        <w:t>k</w:t>
      </w:r>
      <w:r w:rsidR="00554578" w:rsidRPr="000E3B0C">
        <w:t xml:space="preserve"> zahájení trestního řízení (a </w:t>
      </w:r>
      <w:r w:rsidR="000D2E63" w:rsidRPr="000E3B0C">
        <w:t>tedy udělení trestů</w:t>
      </w:r>
      <w:r w:rsidRPr="000E3B0C">
        <w:t xml:space="preserve"> </w:t>
      </w:r>
      <w:proofErr w:type="spellStart"/>
      <w:r w:rsidRPr="000E3B0C">
        <w:rPr>
          <w:i/>
        </w:rPr>
        <w:t>stricto</w:t>
      </w:r>
      <w:proofErr w:type="spellEnd"/>
      <w:r w:rsidRPr="000E3B0C">
        <w:rPr>
          <w:i/>
        </w:rPr>
        <w:t xml:space="preserve"> </w:t>
      </w:r>
      <w:proofErr w:type="spellStart"/>
      <w:r w:rsidRPr="000E3B0C">
        <w:rPr>
          <w:i/>
        </w:rPr>
        <w:t>sensu</w:t>
      </w:r>
      <w:proofErr w:type="spellEnd"/>
      <w:r w:rsidR="000D2E63" w:rsidRPr="000E3B0C">
        <w:t xml:space="preserve">) lze </w:t>
      </w:r>
      <w:r w:rsidR="00E6002B" w:rsidRPr="000E3B0C">
        <w:t xml:space="preserve">klerikovi </w:t>
      </w:r>
      <w:r w:rsidR="00D260EC" w:rsidRPr="000E3B0C">
        <w:t>uložit</w:t>
      </w:r>
      <w:r w:rsidR="00E6002B" w:rsidRPr="000E3B0C">
        <w:t xml:space="preserve"> da</w:t>
      </w:r>
      <w:r w:rsidRPr="000E3B0C">
        <w:t xml:space="preserve">lší druh trestněprávní sankce, jíž je trestní opatření. To je </w:t>
      </w:r>
      <w:r w:rsidR="00E6002B" w:rsidRPr="000E3B0C">
        <w:t>ochranným prostředkem výrazně preventivního charakteru</w:t>
      </w:r>
      <w:r w:rsidR="00D260EC" w:rsidRPr="000E3B0C">
        <w:t>,</w:t>
      </w:r>
      <w:r w:rsidR="00E6002B" w:rsidRPr="000E3B0C">
        <w:rPr>
          <w:rStyle w:val="Znakapoznpodarou"/>
        </w:rPr>
        <w:footnoteReference w:id="141"/>
      </w:r>
      <w:r w:rsidR="00E6002B" w:rsidRPr="000E3B0C">
        <w:t xml:space="preserve"> </w:t>
      </w:r>
      <w:r w:rsidR="00D260EC" w:rsidRPr="000E3B0C">
        <w:t>jehož účelem je především předcházení trestným činům.</w:t>
      </w:r>
      <w:r w:rsidR="00D260EC" w:rsidRPr="000E3B0C">
        <w:rPr>
          <w:vertAlign w:val="superscript"/>
        </w:rPr>
        <w:footnoteReference w:id="142"/>
      </w:r>
      <w:r w:rsidR="00D260EC" w:rsidRPr="000E3B0C">
        <w:t xml:space="preserve"> </w:t>
      </w:r>
      <w:r w:rsidRPr="000E3B0C">
        <w:t>Trestní opatření m</w:t>
      </w:r>
      <w:r w:rsidR="00EB6AD9" w:rsidRPr="000E3B0C">
        <w:rPr>
          <w:rFonts w:cs="Garamond"/>
        </w:rPr>
        <w:t xml:space="preserve">ohou být ukládána i osobě, která neprošla trestním řízením, nebo v případě odsouzení vedle </w:t>
      </w:r>
      <w:r w:rsidRPr="000E3B0C">
        <w:rPr>
          <w:rFonts w:cs="Garamond"/>
        </w:rPr>
        <w:t xml:space="preserve">uloženého </w:t>
      </w:r>
      <w:r w:rsidR="00EB6AD9" w:rsidRPr="000E3B0C">
        <w:rPr>
          <w:rFonts w:cs="Garamond"/>
        </w:rPr>
        <w:t>trestu k jeho zpřísnění.</w:t>
      </w:r>
      <w:r w:rsidR="00EB6AD9" w:rsidRPr="000E3B0C">
        <w:rPr>
          <w:rStyle w:val="Znakapoznpodarou"/>
          <w:rFonts w:cs="Garamond"/>
        </w:rPr>
        <w:footnoteReference w:id="143"/>
      </w:r>
      <w:r w:rsidR="00B97249" w:rsidRPr="000E3B0C">
        <w:rPr>
          <w:rFonts w:cs="Garamond"/>
        </w:rPr>
        <w:t xml:space="preserve"> </w:t>
      </w:r>
      <w:r w:rsidR="00B97249" w:rsidRPr="000E3B0C">
        <w:t>Prvním z nich je napomenutí, které může ordinář použít vůči tomu, kdo 1/ je v blízké příležitosti ke spáchání trestného činu, nebo 2/ je po</w:t>
      </w:r>
      <w:r w:rsidR="003A6BB3">
        <w:t> </w:t>
      </w:r>
      <w:r w:rsidR="00B97249" w:rsidRPr="000E3B0C">
        <w:t xml:space="preserve">provedeném šetření vážně podezřelý z jeho spáchání, ale nejsou důkazy pro zahájení trestního řízení proti němu. </w:t>
      </w:r>
      <w:r w:rsidR="00020DE2" w:rsidRPr="000E3B0C">
        <w:t xml:space="preserve">Druhým je důtka, kterou </w:t>
      </w:r>
      <w:r w:rsidR="00393AB7" w:rsidRPr="000E3B0C">
        <w:t>smí</w:t>
      </w:r>
      <w:r w:rsidR="00020DE2" w:rsidRPr="000E3B0C">
        <w:t xml:space="preserve"> ordinář udělit způsobem přiměřeným specifickým okolnostem osoby a skutku tomu, jehož chování způsobuje pohoršení nebo závažné porušení pořádku.</w:t>
      </w:r>
      <w:r w:rsidR="00122791" w:rsidRPr="000E3B0C">
        <w:t xml:space="preserve"> </w:t>
      </w:r>
      <w:r w:rsidR="006C6C1C" w:rsidRPr="000E3B0C">
        <w:t xml:space="preserve">V případě obou </w:t>
      </w:r>
      <w:r w:rsidR="00B97249" w:rsidRPr="000E3B0C">
        <w:t xml:space="preserve">těchto </w:t>
      </w:r>
      <w:r w:rsidR="006C6C1C" w:rsidRPr="000E3B0C">
        <w:t>sankcí platí, že jejich uložení musí být zjistitelné alespoň z nějakého dokumentu uloženého v tajném archivu kurie.</w:t>
      </w:r>
      <w:r w:rsidR="00122791" w:rsidRPr="000E3B0C">
        <w:t xml:space="preserve"> Nastane-li situace, že </w:t>
      </w:r>
      <w:r w:rsidR="00B97249" w:rsidRPr="000E3B0C">
        <w:t>klerikovi</w:t>
      </w:r>
      <w:r w:rsidR="00122791" w:rsidRPr="000E3B0C">
        <w:t xml:space="preserve"> </w:t>
      </w:r>
      <w:r w:rsidR="006C6C1C" w:rsidRPr="000E3B0C">
        <w:t>bylo bezvýsledně uděleno napomenutí</w:t>
      </w:r>
      <w:r w:rsidR="00122791" w:rsidRPr="000E3B0C">
        <w:t xml:space="preserve"> </w:t>
      </w:r>
      <w:r w:rsidR="006C6C1C" w:rsidRPr="000E3B0C">
        <w:t>či důtka</w:t>
      </w:r>
      <w:r w:rsidR="00B97249" w:rsidRPr="000E3B0C">
        <w:t>,</w:t>
      </w:r>
      <w:r w:rsidR="006C6C1C" w:rsidRPr="000E3B0C">
        <w:t xml:space="preserve"> nebo nelze očekávat,</w:t>
      </w:r>
      <w:r w:rsidR="00122791" w:rsidRPr="000E3B0C">
        <w:t xml:space="preserve"> </w:t>
      </w:r>
      <w:r w:rsidR="006C6C1C" w:rsidRPr="000E3B0C">
        <w:t xml:space="preserve">že </w:t>
      </w:r>
      <w:r w:rsidR="00122791" w:rsidRPr="000E3B0C">
        <w:t>tato opatření budou účinná</w:t>
      </w:r>
      <w:r w:rsidR="006C6C1C" w:rsidRPr="000E3B0C">
        <w:t xml:space="preserve">, </w:t>
      </w:r>
      <w:r w:rsidR="00122791" w:rsidRPr="000E3B0C">
        <w:t>může</w:t>
      </w:r>
      <w:r w:rsidR="006C6C1C" w:rsidRPr="000E3B0C">
        <w:t xml:space="preserve"> ordinář</w:t>
      </w:r>
      <w:r w:rsidR="00122791" w:rsidRPr="000E3B0C">
        <w:t xml:space="preserve"> vydat </w:t>
      </w:r>
      <w:r w:rsidR="006C6C1C" w:rsidRPr="000E3B0C">
        <w:t>trestní příkaz, v němž přesně popíše,</w:t>
      </w:r>
      <w:r w:rsidR="00122791" w:rsidRPr="000E3B0C">
        <w:t xml:space="preserve"> </w:t>
      </w:r>
      <w:r w:rsidR="006C6C1C" w:rsidRPr="000E3B0C">
        <w:t xml:space="preserve">co má </w:t>
      </w:r>
      <w:r w:rsidR="00B97249" w:rsidRPr="000E3B0C">
        <w:t>postižený</w:t>
      </w:r>
      <w:r w:rsidR="006C6C1C" w:rsidRPr="000E3B0C">
        <w:t xml:space="preserve"> vykonat nebo</w:t>
      </w:r>
      <w:r w:rsidR="00122791" w:rsidRPr="000E3B0C">
        <w:t xml:space="preserve"> </w:t>
      </w:r>
      <w:r w:rsidR="006C6C1C" w:rsidRPr="000E3B0C">
        <w:t>čeho se má zdržet.</w:t>
      </w:r>
      <w:r w:rsidR="00122791" w:rsidRPr="000E3B0C">
        <w:rPr>
          <w:vertAlign w:val="superscript"/>
        </w:rPr>
        <w:footnoteReference w:id="144"/>
      </w:r>
      <w:r w:rsidR="00E83017" w:rsidRPr="000E3B0C">
        <w:t xml:space="preserve"> </w:t>
      </w:r>
      <w:r w:rsidR="00491B54" w:rsidRPr="000E3B0C">
        <w:t>Mám však zkušenost s tím, že napomenutí bylo uděleno knězi více než rok poté, co s ním byl rozvázán pracovní poměr vůči diecézi pro již toho času dlouhodobé naplňování skutkové podstaty trestného činu veřejného konkubinátu vzbuzující v daném místě veřejné pohoršení; to ovšem neodpovídá téměř ničemu ze shora nastíněné cha</w:t>
      </w:r>
      <w:r w:rsidR="00C42491" w:rsidRPr="000E3B0C">
        <w:t>rakteristiky trestních opatření, neboť o nějaké prevenci či předcházení trestnému činu v takové</w:t>
      </w:r>
      <w:r w:rsidR="00117D84" w:rsidRPr="000E3B0C">
        <w:t>m případě nemůže být vůbec řeč.</w:t>
      </w:r>
    </w:p>
    <w:p w14:paraId="5AE5EB3B" w14:textId="77777777" w:rsidR="00B97249" w:rsidRPr="000E3B0C" w:rsidRDefault="00B97249" w:rsidP="00BA629B"/>
    <w:p w14:paraId="417E22A1" w14:textId="5FCAADA9" w:rsidR="008313A5" w:rsidRPr="000E3B0C" w:rsidRDefault="005F18E1" w:rsidP="00BA629B">
      <w:pPr>
        <w:rPr>
          <w:rFonts w:cs="Garamond"/>
        </w:rPr>
      </w:pPr>
      <w:r w:rsidRPr="000E3B0C">
        <w:t xml:space="preserve">Další </w:t>
      </w:r>
      <w:r w:rsidR="00AD2CCD" w:rsidRPr="000E3B0C">
        <w:t xml:space="preserve">zvláštní </w:t>
      </w:r>
      <w:r w:rsidR="00C42491" w:rsidRPr="000E3B0C">
        <w:t xml:space="preserve">kanonickou </w:t>
      </w:r>
      <w:r w:rsidRPr="000E3B0C">
        <w:t>trestní sankcí subsidiárního charakteru je trestní pokání (</w:t>
      </w:r>
      <w:r w:rsidR="00AD2CCD" w:rsidRPr="000E3B0C">
        <w:t>které</w:t>
      </w:r>
      <w:r w:rsidRPr="000E3B0C">
        <w:t xml:space="preserve"> nelze zaměňovat se svátostí smíření), </w:t>
      </w:r>
      <w:r w:rsidR="00C42491" w:rsidRPr="000E3B0C">
        <w:t>jež mohou</w:t>
      </w:r>
      <w:r w:rsidRPr="000E3B0C">
        <w:t xml:space="preserve"> </w:t>
      </w:r>
      <w:r w:rsidR="00AD2CCD" w:rsidRPr="000E3B0C">
        <w:t>p</w:t>
      </w:r>
      <w:r w:rsidR="00697230" w:rsidRPr="000E3B0C">
        <w:t xml:space="preserve">ředstavení </w:t>
      </w:r>
      <w:r w:rsidR="00AD2CCD" w:rsidRPr="000E3B0C">
        <w:t xml:space="preserve">jen pro vnější obor </w:t>
      </w:r>
      <w:r w:rsidR="00697230" w:rsidRPr="000E3B0C">
        <w:t>ukláda</w:t>
      </w:r>
      <w:r w:rsidR="00C42491" w:rsidRPr="000E3B0C">
        <w:t>t</w:t>
      </w:r>
      <w:r w:rsidR="00697230" w:rsidRPr="000E3B0C">
        <w:t xml:space="preserve"> svým podřízeným </w:t>
      </w:r>
      <w:r w:rsidR="00AD2CCD" w:rsidRPr="000E3B0C">
        <w:t xml:space="preserve">buďto </w:t>
      </w:r>
      <w:r w:rsidR="00697230" w:rsidRPr="000E3B0C">
        <w:t xml:space="preserve">jako projev </w:t>
      </w:r>
      <w:r w:rsidR="00C42491" w:rsidRPr="000E3B0C">
        <w:t>milosrdenství</w:t>
      </w:r>
      <w:r w:rsidR="00697230" w:rsidRPr="000E3B0C">
        <w:t xml:space="preserve"> </w:t>
      </w:r>
      <w:r w:rsidR="00AD2CCD" w:rsidRPr="000E3B0C">
        <w:t>namísto trestu,</w:t>
      </w:r>
      <w:r w:rsidR="00697230" w:rsidRPr="000E3B0C">
        <w:t xml:space="preserve"> nebo naopak jako dodatek </w:t>
      </w:r>
      <w:r w:rsidR="00AD2CCD" w:rsidRPr="000E3B0C">
        <w:t xml:space="preserve">(zpřísnění) </w:t>
      </w:r>
      <w:r w:rsidR="00697230" w:rsidRPr="000E3B0C">
        <w:t>k</w:t>
      </w:r>
      <w:r w:rsidR="00AD2CCD" w:rsidRPr="000E3B0C">
        <w:t> již uložené sankci</w:t>
      </w:r>
      <w:r w:rsidR="00C42491" w:rsidRPr="000E3B0C">
        <w:t>.</w:t>
      </w:r>
      <w:r w:rsidRPr="000E3B0C">
        <w:rPr>
          <w:rStyle w:val="Znakapoznpodarou"/>
        </w:rPr>
        <w:footnoteReference w:id="145"/>
      </w:r>
      <w:r w:rsidR="00AD2CCD" w:rsidRPr="000E3B0C">
        <w:t xml:space="preserve"> </w:t>
      </w:r>
      <w:r w:rsidR="00C42491" w:rsidRPr="000E3B0C">
        <w:t xml:space="preserve">Trestní pokání přitom </w:t>
      </w:r>
      <w:r w:rsidR="00AD2CCD" w:rsidRPr="000E3B0C">
        <w:t>s</w:t>
      </w:r>
      <w:r w:rsidR="00A72638" w:rsidRPr="000E3B0C">
        <w:t>počívá v</w:t>
      </w:r>
      <w:r w:rsidR="00EB6AD9" w:rsidRPr="000E3B0C">
        <w:t> povinnosti vykonat nějaký úkon</w:t>
      </w:r>
      <w:r w:rsidR="00BA629B" w:rsidRPr="000E3B0C">
        <w:t xml:space="preserve"> </w:t>
      </w:r>
      <w:r w:rsidR="00EB6AD9" w:rsidRPr="000E3B0C">
        <w:rPr>
          <w:rFonts w:cs="Garamond"/>
        </w:rPr>
        <w:t xml:space="preserve">víry </w:t>
      </w:r>
      <w:r w:rsidR="00BA629B" w:rsidRPr="000E3B0C">
        <w:rPr>
          <w:rFonts w:cs="Garamond"/>
        </w:rPr>
        <w:t>a</w:t>
      </w:r>
      <w:r w:rsidR="00EB6AD9" w:rsidRPr="000E3B0C">
        <w:rPr>
          <w:rFonts w:cs="Garamond"/>
        </w:rPr>
        <w:t xml:space="preserve"> zbožnosti (</w:t>
      </w:r>
      <w:r w:rsidR="00BA629B" w:rsidRPr="000E3B0C">
        <w:t>účast</w:t>
      </w:r>
      <w:r w:rsidR="00C42491" w:rsidRPr="000E3B0C">
        <w:t>nit se</w:t>
      </w:r>
      <w:r w:rsidR="00BA629B" w:rsidRPr="000E3B0C">
        <w:t xml:space="preserve"> pouti, </w:t>
      </w:r>
      <w:r w:rsidR="00C42491" w:rsidRPr="000E3B0C">
        <w:t>duchovního</w:t>
      </w:r>
      <w:r w:rsidR="00BA629B" w:rsidRPr="000E3B0C">
        <w:t xml:space="preserve"> cvičení či </w:t>
      </w:r>
      <w:r w:rsidR="00C42491" w:rsidRPr="000E3B0C">
        <w:t>se postit</w:t>
      </w:r>
      <w:r w:rsidR="00EB6AD9" w:rsidRPr="000E3B0C">
        <w:rPr>
          <w:rFonts w:cs="Garamond"/>
        </w:rPr>
        <w:t xml:space="preserve">) nebo křesťanské lásky </w:t>
      </w:r>
      <w:r w:rsidR="00EB6AD9" w:rsidRPr="000E3B0C">
        <w:rPr>
          <w:rFonts w:cs="Garamond"/>
        </w:rPr>
        <w:lastRenderedPageBreak/>
        <w:t xml:space="preserve">(podpořit charitativní dílo, v minulosti </w:t>
      </w:r>
      <w:r w:rsidR="00BA629B" w:rsidRPr="000E3B0C">
        <w:rPr>
          <w:rFonts w:cs="Garamond"/>
        </w:rPr>
        <w:t xml:space="preserve">se </w:t>
      </w:r>
      <w:r w:rsidR="00C42491" w:rsidRPr="000E3B0C">
        <w:rPr>
          <w:rFonts w:cs="Garamond"/>
        </w:rPr>
        <w:t>mohlo jednat i například</w:t>
      </w:r>
      <w:r w:rsidR="00BA629B" w:rsidRPr="000E3B0C">
        <w:rPr>
          <w:rFonts w:cs="Garamond"/>
        </w:rPr>
        <w:t xml:space="preserve"> o povinnost</w:t>
      </w:r>
      <w:r w:rsidR="00C42491" w:rsidRPr="000E3B0C">
        <w:rPr>
          <w:rFonts w:cs="Garamond"/>
        </w:rPr>
        <w:t xml:space="preserve"> postavit špitál či</w:t>
      </w:r>
      <w:r w:rsidR="003A6BB3">
        <w:rPr>
          <w:rFonts w:cs="Garamond"/>
        </w:rPr>
        <w:t> </w:t>
      </w:r>
      <w:r w:rsidR="00EB6AD9" w:rsidRPr="000E3B0C">
        <w:rPr>
          <w:rFonts w:cs="Garamond"/>
        </w:rPr>
        <w:t>most přes řeku</w:t>
      </w:r>
      <w:r w:rsidR="00BA629B" w:rsidRPr="000E3B0C">
        <w:rPr>
          <w:rFonts w:cs="Garamond"/>
        </w:rPr>
        <w:t>).</w:t>
      </w:r>
      <w:r w:rsidR="00AD2CCD" w:rsidRPr="000E3B0C">
        <w:rPr>
          <w:rStyle w:val="Znakapoznpodarou"/>
        </w:rPr>
        <w:footnoteReference w:id="146"/>
      </w:r>
      <w:r w:rsidR="008313A5" w:rsidRPr="000E3B0C">
        <w:t xml:space="preserve"> Zároveň </w:t>
      </w:r>
      <w:r w:rsidR="00C42491" w:rsidRPr="000E3B0C">
        <w:t xml:space="preserve">platí, že </w:t>
      </w:r>
      <w:r w:rsidR="008313A5" w:rsidRPr="000E3B0C">
        <w:t>pokud protiprávním jednáním pachatele vznikla škoda, ordinář uváží, zda místo neužitečného trestního řízení nebude vhodnější, aby se souhlasem stran rozhodl o náhradě škody, a to podle zásady dobra a spravedlnosti.</w:t>
      </w:r>
      <w:r w:rsidR="008313A5" w:rsidRPr="000E3B0C">
        <w:rPr>
          <w:rStyle w:val="Znakapoznpodarou"/>
        </w:rPr>
        <w:footnoteReference w:id="147"/>
      </w:r>
    </w:p>
    <w:p w14:paraId="1F035F6B" w14:textId="77777777" w:rsidR="008313A5" w:rsidRPr="000E3B0C" w:rsidRDefault="008313A5" w:rsidP="00AD2CCD"/>
    <w:p w14:paraId="5F70590C" w14:textId="7D750555" w:rsidR="00005292" w:rsidRPr="000E3B0C" w:rsidRDefault="0012451E" w:rsidP="00005292">
      <w:r w:rsidRPr="000E3B0C">
        <w:t>V případě</w:t>
      </w:r>
      <w:r w:rsidR="00554578" w:rsidRPr="000E3B0C">
        <w:t xml:space="preserve"> </w:t>
      </w:r>
      <w:r w:rsidR="00554578" w:rsidRPr="000E3B0C">
        <w:rPr>
          <w:u w:val="single"/>
        </w:rPr>
        <w:t>kárné</w:t>
      </w:r>
      <w:r w:rsidRPr="000E3B0C">
        <w:rPr>
          <w:u w:val="single"/>
        </w:rPr>
        <w:t>ho</w:t>
      </w:r>
      <w:r w:rsidR="00554578" w:rsidRPr="000E3B0C">
        <w:rPr>
          <w:u w:val="single"/>
        </w:rPr>
        <w:t xml:space="preserve"> řízení</w:t>
      </w:r>
      <w:r w:rsidR="00554578" w:rsidRPr="000E3B0C">
        <w:t xml:space="preserve"> </w:t>
      </w:r>
      <w:r w:rsidRPr="000E3B0C">
        <w:t xml:space="preserve">nestanoví </w:t>
      </w:r>
      <w:r w:rsidR="00554578" w:rsidRPr="000E3B0C">
        <w:t>zákon o soudech a soudcích ani kárný řád žádná omezení pro</w:t>
      </w:r>
      <w:r w:rsidR="003A6BB3">
        <w:t> </w:t>
      </w:r>
      <w:r w:rsidR="00554578" w:rsidRPr="000E3B0C">
        <w:t>podání kárného návrhu spočívající v povinnosti dřívějšího vyčerpání nějakých mírnějších sankčních prostředků. K</w:t>
      </w:r>
      <w:r w:rsidR="007E2B1A" w:rsidRPr="000E3B0C">
        <w:t>árný návrh lze podat</w:t>
      </w:r>
      <w:r w:rsidR="00582BBA" w:rsidRPr="000E3B0C">
        <w:t>,</w:t>
      </w:r>
      <w:r w:rsidR="007E2B1A" w:rsidRPr="000E3B0C">
        <w:t xml:space="preserve"> kdykoli </w:t>
      </w:r>
      <w:r w:rsidR="00554578" w:rsidRPr="000E3B0C">
        <w:t xml:space="preserve">to kárný navrhovatel uzná za potřebné, </w:t>
      </w:r>
      <w:r w:rsidR="007E2B1A" w:rsidRPr="000E3B0C">
        <w:t xml:space="preserve">žádné předchozí kroky </w:t>
      </w:r>
      <w:r w:rsidR="00554578" w:rsidRPr="000E3B0C">
        <w:t>(</w:t>
      </w:r>
      <w:r w:rsidRPr="000E3B0C">
        <w:t>jako</w:t>
      </w:r>
      <w:r w:rsidR="00554578" w:rsidRPr="000E3B0C">
        <w:t xml:space="preserve"> napomenutí či výzva k nápravě) </w:t>
      </w:r>
      <w:r w:rsidR="007E2B1A" w:rsidRPr="000E3B0C">
        <w:t xml:space="preserve">nejsou </w:t>
      </w:r>
      <w:r w:rsidR="00554578" w:rsidRPr="000E3B0C">
        <w:t xml:space="preserve">nutně nezbytné. </w:t>
      </w:r>
      <w:r w:rsidRPr="000E3B0C">
        <w:t>J</w:t>
      </w:r>
      <w:r w:rsidR="007E2B1A" w:rsidRPr="000E3B0C">
        <w:t xml:space="preserve">udikatura </w:t>
      </w:r>
      <w:r w:rsidR="00554578" w:rsidRPr="000E3B0C">
        <w:t>kárného soudu však</w:t>
      </w:r>
      <w:r w:rsidR="007E2B1A" w:rsidRPr="000E3B0C">
        <w:t xml:space="preserve"> dovozuje, že </w:t>
      </w:r>
      <w:r w:rsidR="00554578" w:rsidRPr="000E3B0C">
        <w:t xml:space="preserve">kárné řízení je taktéž </w:t>
      </w:r>
      <w:r w:rsidR="00C26B0E" w:rsidRPr="000E3B0C">
        <w:t>prostředkem</w:t>
      </w:r>
      <w:r w:rsidR="007E2B1A" w:rsidRPr="000E3B0C">
        <w:t xml:space="preserve"> </w:t>
      </w:r>
      <w:r w:rsidR="007E2B1A" w:rsidRPr="000E3B0C">
        <w:rPr>
          <w:i/>
        </w:rPr>
        <w:t>ultima ratio</w:t>
      </w:r>
      <w:r w:rsidR="00582BBA" w:rsidRPr="000E3B0C">
        <w:t>,</w:t>
      </w:r>
      <w:r w:rsidR="007E2B1A" w:rsidRPr="000E3B0C">
        <w:t xml:space="preserve"> </w:t>
      </w:r>
      <w:r w:rsidR="00554578" w:rsidRPr="000E3B0C">
        <w:t xml:space="preserve">a proto </w:t>
      </w:r>
      <w:r w:rsidR="00C26B0E" w:rsidRPr="000E3B0C">
        <w:t>je namístě jej zahajovat jen pro</w:t>
      </w:r>
      <w:r w:rsidR="009A659D" w:rsidRPr="000E3B0C">
        <w:t xml:space="preserve"> podstatnější pochybení soudce.</w:t>
      </w:r>
      <w:r w:rsidR="00005292" w:rsidRPr="000E3B0C">
        <w:t xml:space="preserve"> </w:t>
      </w:r>
      <w:r w:rsidRPr="000E3B0C">
        <w:t>Samo vedení kárného řízení j</w:t>
      </w:r>
      <w:r w:rsidR="00005292" w:rsidRPr="000E3B0C">
        <w:rPr>
          <w:rFonts w:eastAsia="Calibri" w:cs="CIDFont+F1"/>
          <w:lang w:eastAsia="en-US"/>
        </w:rPr>
        <w:t xml:space="preserve">e totiž způsobilé zpochybnit vážnost, autoritu a důvěru v rozhodování konkrétního kárně stíhaného soudce. Pokud se </w:t>
      </w:r>
      <w:r w:rsidRPr="000E3B0C">
        <w:rPr>
          <w:rFonts w:eastAsia="Calibri" w:cs="CIDFont+F1"/>
          <w:lang w:eastAsia="en-US"/>
        </w:rPr>
        <w:t xml:space="preserve">již </w:t>
      </w:r>
      <w:r w:rsidR="00005292" w:rsidRPr="000E3B0C">
        <w:rPr>
          <w:rFonts w:eastAsia="Calibri" w:cs="CIDFont+F1"/>
          <w:lang w:eastAsia="en-US"/>
        </w:rPr>
        <w:t>navrhovatel rozhodne kárný návrh podat, nesmí být veden alibismem, nýbrž má tak činit pouze a jedině tehdy, pokud je pevně přesvědčen, že se daný soudce kárného provinění skutečně dopustil a zároveň není jiné řešení, než mu uložit některé ze zákonem stanovených kárných opatření.</w:t>
      </w:r>
      <w:r w:rsidR="00005292" w:rsidRPr="000E3B0C">
        <w:rPr>
          <w:rStyle w:val="Znakapoznpodarou"/>
          <w:rFonts w:eastAsia="Calibri" w:cs="CIDFont+F1"/>
          <w:lang w:eastAsia="en-US"/>
        </w:rPr>
        <w:footnoteReference w:id="148"/>
      </w:r>
    </w:p>
    <w:p w14:paraId="7414FEA4" w14:textId="77777777" w:rsidR="00005292" w:rsidRPr="000E3B0C" w:rsidRDefault="00005292" w:rsidP="00005292"/>
    <w:p w14:paraId="6479DF40" w14:textId="32A2E74E" w:rsidR="00B077BF" w:rsidRPr="000E3B0C" w:rsidRDefault="00C26B0E" w:rsidP="00B077BF">
      <w:r w:rsidRPr="000E3B0C">
        <w:t>Méně závažné</w:t>
      </w:r>
      <w:r w:rsidR="00554578" w:rsidRPr="000E3B0C">
        <w:t xml:space="preserve"> nedostatky v práci </w:t>
      </w:r>
      <w:r w:rsidRPr="000E3B0C">
        <w:t xml:space="preserve">soudce </w:t>
      </w:r>
      <w:r w:rsidR="00554578" w:rsidRPr="000E3B0C">
        <w:t>nebo drobné poklesky v</w:t>
      </w:r>
      <w:r w:rsidRPr="000E3B0C">
        <w:t xml:space="preserve"> jeho </w:t>
      </w:r>
      <w:r w:rsidR="00554578" w:rsidRPr="000E3B0C">
        <w:t xml:space="preserve">chování může orgán státní správy soudů, </w:t>
      </w:r>
      <w:r w:rsidR="003C4612" w:rsidRPr="000E3B0C">
        <w:t xml:space="preserve">který je </w:t>
      </w:r>
      <w:r w:rsidR="00554578" w:rsidRPr="000E3B0C">
        <w:t>oprávněn podat návrh na zahájení kárného říz</w:t>
      </w:r>
      <w:r w:rsidRPr="000E3B0C">
        <w:t>ení, vyřídit tím</w:t>
      </w:r>
      <w:r w:rsidR="009A659D" w:rsidRPr="000E3B0C">
        <w:t>, že mu je vytkne</w:t>
      </w:r>
      <w:r w:rsidR="003C4612" w:rsidRPr="000E3B0C">
        <w:t>;</w:t>
      </w:r>
      <w:r w:rsidRPr="000E3B0C">
        <w:rPr>
          <w:vertAlign w:val="superscript"/>
        </w:rPr>
        <w:footnoteReference w:id="149"/>
      </w:r>
      <w:r w:rsidR="003C4612" w:rsidRPr="000E3B0C">
        <w:t xml:space="preserve"> </w:t>
      </w:r>
      <w:r w:rsidR="00FE742D" w:rsidRPr="000E3B0C">
        <w:t xml:space="preserve">může tedy soudci </w:t>
      </w:r>
      <w:r w:rsidR="003C4612" w:rsidRPr="000E3B0C">
        <w:t>jakožto alternativní nástroj dohledové činnosti</w:t>
      </w:r>
      <w:r w:rsidR="0012451E" w:rsidRPr="000E3B0C">
        <w:t xml:space="preserve"> uložit výtku</w:t>
      </w:r>
      <w:r w:rsidR="003C4612" w:rsidRPr="000E3B0C">
        <w:t>.</w:t>
      </w:r>
      <w:r w:rsidR="00C128EE" w:rsidRPr="000E3B0C">
        <w:t xml:space="preserve"> </w:t>
      </w:r>
      <w:r w:rsidR="003C4612" w:rsidRPr="000E3B0C">
        <w:t>Potenciální kárný navrhovatel přitom musí vždy posoudit</w:t>
      </w:r>
      <w:r w:rsidR="009A659D" w:rsidRPr="000E3B0C">
        <w:t xml:space="preserve"> míru závažnosti zjištěného pochybení a rozho</w:t>
      </w:r>
      <w:r w:rsidR="003C4612" w:rsidRPr="000E3B0C">
        <w:t>dnout</w:t>
      </w:r>
      <w:r w:rsidR="00FE742D" w:rsidRPr="000E3B0C">
        <w:t xml:space="preserve"> se</w:t>
      </w:r>
      <w:r w:rsidR="003C4612" w:rsidRPr="000E3B0C">
        <w:t>,</w:t>
      </w:r>
      <w:r w:rsidR="009A659D" w:rsidRPr="000E3B0C">
        <w:t xml:space="preserve"> zda </w:t>
      </w:r>
      <w:r w:rsidR="00800F1A" w:rsidRPr="000E3B0C">
        <w:t>je postačující za něj udělit</w:t>
      </w:r>
      <w:r w:rsidR="009A659D" w:rsidRPr="000E3B0C">
        <w:t xml:space="preserve"> </w:t>
      </w:r>
      <w:r w:rsidR="00FE742D" w:rsidRPr="000E3B0C">
        <w:t xml:space="preserve">právě </w:t>
      </w:r>
      <w:r w:rsidR="009A659D" w:rsidRPr="000E3B0C">
        <w:t>výtku</w:t>
      </w:r>
      <w:r w:rsidR="00800F1A" w:rsidRPr="000E3B0C">
        <w:t>,</w:t>
      </w:r>
      <w:r w:rsidR="009A659D" w:rsidRPr="000E3B0C">
        <w:t xml:space="preserve"> či </w:t>
      </w:r>
      <w:r w:rsidR="0012451E" w:rsidRPr="000E3B0C">
        <w:t>je třeba podat</w:t>
      </w:r>
      <w:r w:rsidR="003C4612" w:rsidRPr="000E3B0C">
        <w:t xml:space="preserve"> návrh na zahájení</w:t>
      </w:r>
      <w:r w:rsidR="009A659D" w:rsidRPr="000E3B0C">
        <w:t xml:space="preserve"> </w:t>
      </w:r>
      <w:r w:rsidR="00FE742D" w:rsidRPr="000E3B0C">
        <w:t>kárné</w:t>
      </w:r>
      <w:r w:rsidR="00582BBA" w:rsidRPr="000E3B0C">
        <w:t>ho</w:t>
      </w:r>
      <w:r w:rsidR="00FE742D" w:rsidRPr="000E3B0C">
        <w:t xml:space="preserve"> řízení.</w:t>
      </w:r>
      <w:r w:rsidR="002B3EFC" w:rsidRPr="000E3B0C">
        <w:rPr>
          <w:rStyle w:val="Znakapoznpodarou"/>
        </w:rPr>
        <w:footnoteReference w:id="150"/>
      </w:r>
      <w:r w:rsidR="002B3EFC" w:rsidRPr="000E3B0C">
        <w:t xml:space="preserve"> Rozdíl mezi „klasickými“ kárnými opatřeními a výtkou tedy netkví primárně v samotném obsahu </w:t>
      </w:r>
      <w:r w:rsidR="0012451E" w:rsidRPr="000E3B0C">
        <w:t xml:space="preserve">spáchaného </w:t>
      </w:r>
      <w:r w:rsidR="002B3EFC" w:rsidRPr="000E3B0C">
        <w:t>protiprávního jednání, ale v intenzitě kárného provinění.</w:t>
      </w:r>
      <w:r w:rsidR="002B3EFC" w:rsidRPr="000E3B0C">
        <w:rPr>
          <w:rStyle w:val="Znakapoznpodarou"/>
        </w:rPr>
        <w:footnoteReference w:id="151"/>
      </w:r>
      <w:r w:rsidR="002B3EFC" w:rsidRPr="000E3B0C">
        <w:t xml:space="preserve"> </w:t>
      </w:r>
      <w:r w:rsidR="00FE742D" w:rsidRPr="000E3B0C">
        <w:t xml:space="preserve">Udělení výtky je </w:t>
      </w:r>
      <w:r w:rsidR="009A659D" w:rsidRPr="000E3B0C">
        <w:t>bezpochyby mírnější</w:t>
      </w:r>
      <w:r w:rsidR="003C4612" w:rsidRPr="000E3B0C">
        <w:t>m</w:t>
      </w:r>
      <w:r w:rsidR="009A659D" w:rsidRPr="000E3B0C">
        <w:t xml:space="preserve"> postih</w:t>
      </w:r>
      <w:r w:rsidR="003C4612" w:rsidRPr="000E3B0C">
        <w:t>em</w:t>
      </w:r>
      <w:r w:rsidR="009A659D" w:rsidRPr="000E3B0C">
        <w:t xml:space="preserve"> oproti </w:t>
      </w:r>
      <w:r w:rsidR="003C4612" w:rsidRPr="000E3B0C">
        <w:t xml:space="preserve">samotnému </w:t>
      </w:r>
      <w:r w:rsidR="009A659D" w:rsidRPr="000E3B0C">
        <w:t>vedení kárného řízení, avšak i </w:t>
      </w:r>
      <w:r w:rsidR="00FE742D" w:rsidRPr="000E3B0C">
        <w:t>to</w:t>
      </w:r>
      <w:r w:rsidR="009A659D" w:rsidRPr="000E3B0C">
        <w:t xml:space="preserve"> zasahuje do prá</w:t>
      </w:r>
      <w:r w:rsidR="00FE742D" w:rsidRPr="000E3B0C">
        <w:t>vní sféry soudce</w:t>
      </w:r>
      <w:r w:rsidR="00896C03" w:rsidRPr="000E3B0C">
        <w:t>; její uložení je proto soudně přezkoumatelné.</w:t>
      </w:r>
      <w:r w:rsidR="003C4612" w:rsidRPr="000E3B0C">
        <w:rPr>
          <w:rStyle w:val="Znakapoznpodarou"/>
        </w:rPr>
        <w:footnoteReference w:id="152"/>
      </w:r>
      <w:r w:rsidR="009A659D" w:rsidRPr="000E3B0C">
        <w:t xml:space="preserve"> </w:t>
      </w:r>
      <w:r w:rsidR="003C4612" w:rsidRPr="000E3B0C">
        <w:t xml:space="preserve">Jedná se </w:t>
      </w:r>
      <w:r w:rsidR="00264409" w:rsidRPr="000E3B0C">
        <w:t xml:space="preserve">totiž </w:t>
      </w:r>
      <w:r w:rsidR="003C4612" w:rsidRPr="000E3B0C">
        <w:t xml:space="preserve">o sankci, která </w:t>
      </w:r>
      <w:r w:rsidR="00264409" w:rsidRPr="000E3B0C">
        <w:t xml:space="preserve">nejen </w:t>
      </w:r>
      <w:r w:rsidR="009A659D" w:rsidRPr="000E3B0C">
        <w:t xml:space="preserve">zasahuje </w:t>
      </w:r>
      <w:r w:rsidR="00FE742D" w:rsidRPr="000E3B0C">
        <w:t xml:space="preserve">jeho </w:t>
      </w:r>
      <w:r w:rsidR="009A659D" w:rsidRPr="000E3B0C">
        <w:t xml:space="preserve">čest, </w:t>
      </w:r>
      <w:r w:rsidR="00264409" w:rsidRPr="000E3B0C">
        <w:t xml:space="preserve">ale </w:t>
      </w:r>
      <w:r w:rsidR="003C4612" w:rsidRPr="000E3B0C">
        <w:t xml:space="preserve">navíc </w:t>
      </w:r>
      <w:r w:rsidR="009A659D" w:rsidRPr="000E3B0C">
        <w:t xml:space="preserve">může být hodnocena </w:t>
      </w:r>
      <w:r w:rsidR="00264409" w:rsidRPr="000E3B0C">
        <w:t xml:space="preserve">i </w:t>
      </w:r>
      <w:r w:rsidR="009A659D" w:rsidRPr="000E3B0C">
        <w:t xml:space="preserve">jako přitěžující okolnost </w:t>
      </w:r>
      <w:r w:rsidR="00264409" w:rsidRPr="000E3B0C">
        <w:t>například</w:t>
      </w:r>
      <w:r w:rsidR="009A659D" w:rsidRPr="000E3B0C">
        <w:t xml:space="preserve"> v</w:t>
      </w:r>
      <w:r w:rsidR="00264409" w:rsidRPr="000E3B0C">
        <w:t> pozdějším kárném řízen či</w:t>
      </w:r>
      <w:r w:rsidR="00FE742D" w:rsidRPr="000E3B0C">
        <w:t xml:space="preserve"> </w:t>
      </w:r>
      <w:r w:rsidR="009A659D" w:rsidRPr="000E3B0C">
        <w:t xml:space="preserve">při rozhodování o dočasném přidělení soudce za účelem </w:t>
      </w:r>
      <w:r w:rsidR="009A659D" w:rsidRPr="000E3B0C">
        <w:lastRenderedPageBreak/>
        <w:t>absolvování stáže</w:t>
      </w:r>
      <w:r w:rsidR="00FE742D" w:rsidRPr="000E3B0C">
        <w:t xml:space="preserve"> nebo v případě </w:t>
      </w:r>
      <w:r w:rsidR="00264409" w:rsidRPr="000E3B0C">
        <w:t>snahy o přeložení na vyšší soud</w:t>
      </w:r>
      <w:r w:rsidR="009A659D" w:rsidRPr="000E3B0C">
        <w:t>.</w:t>
      </w:r>
      <w:r w:rsidR="00264409" w:rsidRPr="000E3B0C">
        <w:rPr>
          <w:rStyle w:val="Znakapoznpodarou"/>
        </w:rPr>
        <w:footnoteReference w:id="153"/>
      </w:r>
      <w:r w:rsidR="009A659D" w:rsidRPr="000E3B0C">
        <w:t xml:space="preserve"> Uložená výtka za </w:t>
      </w:r>
      <w:r w:rsidR="00FE742D" w:rsidRPr="000E3B0C">
        <w:t>konkrétní</w:t>
      </w:r>
      <w:r w:rsidR="009A659D" w:rsidRPr="000E3B0C">
        <w:t xml:space="preserve"> </w:t>
      </w:r>
      <w:r w:rsidR="00264409" w:rsidRPr="000E3B0C">
        <w:t>jednání</w:t>
      </w:r>
      <w:r w:rsidR="009A659D" w:rsidRPr="000E3B0C">
        <w:t xml:space="preserve"> vylučuje budoucí postih za stejný skutek </w:t>
      </w:r>
      <w:r w:rsidR="00FE742D" w:rsidRPr="000E3B0C">
        <w:t xml:space="preserve">v rámci </w:t>
      </w:r>
      <w:r w:rsidR="00800F1A" w:rsidRPr="000E3B0C">
        <w:t xml:space="preserve">kárného řízení; podle dosavadní judikatury je i takový postup považován za uložení kárného postihu, pročež </w:t>
      </w:r>
      <w:r w:rsidR="00264409" w:rsidRPr="000E3B0C">
        <w:t xml:space="preserve">se jedná o věc vyřízenou, vzniká překážka </w:t>
      </w:r>
      <w:r w:rsidR="00800F1A" w:rsidRPr="000E3B0C">
        <w:rPr>
          <w:i/>
        </w:rPr>
        <w:t xml:space="preserve">res </w:t>
      </w:r>
      <w:proofErr w:type="spellStart"/>
      <w:r w:rsidR="00800F1A" w:rsidRPr="000E3B0C">
        <w:rPr>
          <w:i/>
        </w:rPr>
        <w:t>iudicata</w:t>
      </w:r>
      <w:proofErr w:type="spellEnd"/>
      <w:r w:rsidR="00800F1A" w:rsidRPr="000E3B0C">
        <w:t xml:space="preserve"> a opětovný postih za totéž jednání by byl v rozporu s principem </w:t>
      </w:r>
      <w:r w:rsidR="009A659D" w:rsidRPr="000E3B0C">
        <w:rPr>
          <w:i/>
        </w:rPr>
        <w:t xml:space="preserve">ne bis </w:t>
      </w:r>
      <w:proofErr w:type="gramStart"/>
      <w:r w:rsidR="009A659D" w:rsidRPr="000E3B0C">
        <w:rPr>
          <w:i/>
        </w:rPr>
        <w:t>in</w:t>
      </w:r>
      <w:proofErr w:type="gramEnd"/>
      <w:r w:rsidR="009A659D" w:rsidRPr="000E3B0C">
        <w:rPr>
          <w:i/>
        </w:rPr>
        <w:t xml:space="preserve"> idem</w:t>
      </w:r>
      <w:r w:rsidR="009A659D" w:rsidRPr="000E3B0C">
        <w:t>.</w:t>
      </w:r>
      <w:r w:rsidR="00800F1A" w:rsidRPr="000E3B0C">
        <w:rPr>
          <w:rStyle w:val="Znakapoznpodarou"/>
        </w:rPr>
        <w:footnoteReference w:id="154"/>
      </w:r>
      <w:r w:rsidR="00B077BF" w:rsidRPr="000E3B0C">
        <w:t xml:space="preserve"> Zároveň platí, že předseda soudu, který by „podřízenému“ soudci uložil výtku samoúčelně a zjevně v rozporu se zákonem, </w:t>
      </w:r>
      <w:r w:rsidR="00264409" w:rsidRPr="000E3B0C">
        <w:t>by se</w:t>
      </w:r>
      <w:r w:rsidR="00B077BF" w:rsidRPr="000E3B0C">
        <w:t xml:space="preserve"> tímto sám </w:t>
      </w:r>
      <w:r w:rsidR="00264409" w:rsidRPr="000E3B0C">
        <w:t>mohl</w:t>
      </w:r>
      <w:r w:rsidR="00B077BF" w:rsidRPr="000E3B0C">
        <w:t xml:space="preserve"> dopustit vlastního kárného provinění soudního funkcionáře.</w:t>
      </w:r>
      <w:r w:rsidR="00B077BF" w:rsidRPr="000E3B0C">
        <w:rPr>
          <w:rStyle w:val="Znakapoznpodarou"/>
        </w:rPr>
        <w:footnoteReference w:id="155"/>
      </w:r>
    </w:p>
    <w:p w14:paraId="327675E3" w14:textId="77777777" w:rsidR="00264409" w:rsidRPr="000E3B0C" w:rsidRDefault="00264409" w:rsidP="00B077BF"/>
    <w:p w14:paraId="059564ED" w14:textId="520E9109" w:rsidR="000530A3" w:rsidRPr="000E3B0C" w:rsidRDefault="00D80560" w:rsidP="00B077BF">
      <w:r w:rsidRPr="000E3B0C">
        <w:t xml:space="preserve">Lze tedy </w:t>
      </w:r>
      <w:r w:rsidRPr="000E3B0C">
        <w:rPr>
          <w:u w:val="single"/>
        </w:rPr>
        <w:t>shrnout</w:t>
      </w:r>
      <w:r w:rsidRPr="000E3B0C">
        <w:t xml:space="preserve">, že </w:t>
      </w:r>
      <w:r w:rsidR="000530A3" w:rsidRPr="000E3B0C">
        <w:t>trestání v rámci obou</w:t>
      </w:r>
      <w:r w:rsidRPr="000E3B0C">
        <w:t xml:space="preserve"> odpovědnostní</w:t>
      </w:r>
      <w:r w:rsidR="000530A3" w:rsidRPr="000E3B0C">
        <w:t>ch systémů</w:t>
      </w:r>
      <w:r w:rsidRPr="000E3B0C">
        <w:t xml:space="preserve"> </w:t>
      </w:r>
      <w:r w:rsidR="000530A3" w:rsidRPr="000E3B0C">
        <w:t>je shodně pojímáno</w:t>
      </w:r>
      <w:r w:rsidRPr="000E3B0C">
        <w:t xml:space="preserve"> jako </w:t>
      </w:r>
      <w:r w:rsidR="000530A3" w:rsidRPr="000E3B0C">
        <w:t xml:space="preserve">prostředek </w:t>
      </w:r>
      <w:r w:rsidRPr="000E3B0C">
        <w:rPr>
          <w:i/>
        </w:rPr>
        <w:t>ultima ratio</w:t>
      </w:r>
      <w:r w:rsidRPr="000E3B0C">
        <w:t xml:space="preserve">, přičemž v obou z nich existují mírnější alternativy, jež potenciální žalobce může, ale nutně </w:t>
      </w:r>
      <w:r w:rsidR="009C1FD7" w:rsidRPr="000E3B0C">
        <w:t>(až na výjimky)</w:t>
      </w:r>
      <w:r w:rsidRPr="000E3B0C">
        <w:t xml:space="preserve"> nemusí využít před tím, než zahájí </w:t>
      </w:r>
      <w:r w:rsidR="002454AA" w:rsidRPr="000E3B0C">
        <w:t xml:space="preserve">samotné „trestní“ </w:t>
      </w:r>
      <w:r w:rsidR="00B32D6B" w:rsidRPr="000E3B0C">
        <w:t>řízení o </w:t>
      </w:r>
      <w:r w:rsidRPr="000E3B0C">
        <w:t>odpovědnosti za spáchaný delikt.</w:t>
      </w:r>
      <w:r w:rsidR="000530A3" w:rsidRPr="000E3B0C">
        <w:t xml:space="preserve"> To, jak závažné důsledky bude mít pro pachatele jeho </w:t>
      </w:r>
      <w:r w:rsidR="00A77909" w:rsidRPr="000E3B0C">
        <w:t>nežádoucí</w:t>
      </w:r>
      <w:r w:rsidR="000530A3" w:rsidRPr="000E3B0C">
        <w:t xml:space="preserve"> jednání, tedy do značné míry </w:t>
      </w:r>
      <w:r w:rsidR="00A77909" w:rsidRPr="000E3B0C">
        <w:t xml:space="preserve">fakticky </w:t>
      </w:r>
      <w:r w:rsidR="000530A3" w:rsidRPr="000E3B0C">
        <w:t xml:space="preserve">závisí právě na uvážení osoby oprávněné rozhodnout, zda </w:t>
      </w:r>
      <w:r w:rsidR="00A77909" w:rsidRPr="000E3B0C">
        <w:t>již musí proběhnout „klasické“ řízení, nebo ještě lze zvolit mírnější prostředky.</w:t>
      </w:r>
    </w:p>
    <w:p w14:paraId="4F4D9B4F" w14:textId="77777777" w:rsidR="00BE7CEE" w:rsidRPr="000E3B0C" w:rsidRDefault="006127B2" w:rsidP="00C22619">
      <w:pPr>
        <w:pStyle w:val="Nadpis2"/>
        <w:numPr>
          <w:ilvl w:val="1"/>
          <w:numId w:val="3"/>
        </w:numPr>
        <w:rPr>
          <w:sz w:val="24"/>
          <w:szCs w:val="24"/>
        </w:rPr>
      </w:pPr>
      <w:bookmarkStart w:id="17" w:name="_Toc130067381"/>
      <w:r w:rsidRPr="000E3B0C">
        <w:t>Promlčení</w:t>
      </w:r>
      <w:bookmarkEnd w:id="17"/>
    </w:p>
    <w:p w14:paraId="6F4BFCEA" w14:textId="77777777" w:rsidR="002454AA" w:rsidRPr="000E3B0C" w:rsidRDefault="002454AA" w:rsidP="00350111">
      <w:r w:rsidRPr="000E3B0C">
        <w:t>Postižitelnost spáchaného protiprávního jednání</w:t>
      </w:r>
      <w:r w:rsidR="008851CD" w:rsidRPr="000E3B0C">
        <w:t xml:space="preserve"> může </w:t>
      </w:r>
      <w:r w:rsidRPr="000E3B0C">
        <w:t xml:space="preserve">obecně </w:t>
      </w:r>
      <w:r w:rsidR="008851CD" w:rsidRPr="000E3B0C">
        <w:t xml:space="preserve">zaniknout mimo jiné v důsledku </w:t>
      </w:r>
      <w:r w:rsidRPr="000E3B0C">
        <w:t>jeho</w:t>
      </w:r>
      <w:r w:rsidR="000332AA" w:rsidRPr="000E3B0C">
        <w:t xml:space="preserve"> </w:t>
      </w:r>
      <w:r w:rsidR="008851CD" w:rsidRPr="000E3B0C">
        <w:t>promlčení</w:t>
      </w:r>
      <w:r w:rsidR="008851CD" w:rsidRPr="000E3B0C">
        <w:rPr>
          <w:rStyle w:val="Znakapoznpodarou"/>
        </w:rPr>
        <w:footnoteReference w:id="156"/>
      </w:r>
      <w:r w:rsidR="00B879F0" w:rsidRPr="000E3B0C">
        <w:t>,</w:t>
      </w:r>
      <w:r w:rsidR="000332AA" w:rsidRPr="000E3B0C">
        <w:t xml:space="preserve"> </w:t>
      </w:r>
      <w:r w:rsidR="00B879F0" w:rsidRPr="000E3B0C">
        <w:t xml:space="preserve">tedy </w:t>
      </w:r>
      <w:r w:rsidR="000332AA" w:rsidRPr="000E3B0C">
        <w:t xml:space="preserve">pokud příslušné </w:t>
      </w:r>
      <w:r w:rsidRPr="000E3B0C">
        <w:t xml:space="preserve">sankční </w:t>
      </w:r>
      <w:r w:rsidR="000332AA" w:rsidRPr="000E3B0C">
        <w:t>řízení nebylo kvalifikovaným způsobem zahájeno do uplynutí určité doby od spáchání d</w:t>
      </w:r>
      <w:r w:rsidRPr="000E3B0C">
        <w:t xml:space="preserve">aného skutku stanovené v zákoně; nejinak je tomu také ohledně zániku trestnosti příslušných deliktů v obou </w:t>
      </w:r>
      <w:r w:rsidR="007B1EED" w:rsidRPr="000E3B0C">
        <w:t>komparovaných</w:t>
      </w:r>
      <w:r w:rsidRPr="000E3B0C">
        <w:t xml:space="preserve"> </w:t>
      </w:r>
      <w:r w:rsidR="007B1EED" w:rsidRPr="000E3B0C">
        <w:t xml:space="preserve">právních </w:t>
      </w:r>
      <w:r w:rsidRPr="000E3B0C">
        <w:t>systémech.</w:t>
      </w:r>
    </w:p>
    <w:p w14:paraId="51328755" w14:textId="77777777" w:rsidR="002454AA" w:rsidRPr="000E3B0C" w:rsidRDefault="002454AA" w:rsidP="00350111"/>
    <w:p w14:paraId="1A7E9821" w14:textId="0D5A7F06" w:rsidR="0086102E" w:rsidRPr="000E3B0C" w:rsidRDefault="003B0A1B" w:rsidP="00350111">
      <w:r w:rsidRPr="000E3B0C">
        <w:rPr>
          <w:u w:val="single"/>
        </w:rPr>
        <w:t>Kanonické právo</w:t>
      </w:r>
      <w:r w:rsidRPr="000E3B0C">
        <w:t xml:space="preserve"> </w:t>
      </w:r>
      <w:r w:rsidR="0040788D" w:rsidRPr="000E3B0C">
        <w:t xml:space="preserve">používá termín </w:t>
      </w:r>
      <w:r w:rsidR="0040788D" w:rsidRPr="000E3B0C">
        <w:rPr>
          <w:i/>
        </w:rPr>
        <w:t>promlčení trestní žaloby</w:t>
      </w:r>
      <w:r w:rsidR="0040788D" w:rsidRPr="000E3B0C">
        <w:t xml:space="preserve"> (fakticky se </w:t>
      </w:r>
      <w:r w:rsidR="007B1EED" w:rsidRPr="000E3B0C">
        <w:t xml:space="preserve">však </w:t>
      </w:r>
      <w:r w:rsidR="0040788D" w:rsidRPr="000E3B0C">
        <w:t>jedná o nemožnost podání návrhu na zahájení trestního stíhání),</w:t>
      </w:r>
      <w:r w:rsidRPr="000E3B0C">
        <w:rPr>
          <w:rStyle w:val="Znakapoznpodarou"/>
        </w:rPr>
        <w:footnoteReference w:id="157"/>
      </w:r>
      <w:r w:rsidR="0040788D" w:rsidRPr="000E3B0C">
        <w:t xml:space="preserve"> přičemž novelizací Kodexu došlo </w:t>
      </w:r>
      <w:r w:rsidR="007B1EED" w:rsidRPr="000E3B0C">
        <w:t>o</w:t>
      </w:r>
      <w:r w:rsidR="0040788D" w:rsidRPr="000E3B0C">
        <w:t xml:space="preserve">proti dřívější úpravě k prodloužení všech vyšších promlčecích dob. Obecná (základní) nyní činí tři roky </w:t>
      </w:r>
      <w:r w:rsidR="0040788D" w:rsidRPr="000E3B0C">
        <w:rPr>
          <w:rFonts w:cs="TimesNewRomanPSMT"/>
        </w:rPr>
        <w:t>ode dne, kdy byl trestný čin spáchán, nebo kdy ustal.</w:t>
      </w:r>
      <w:r w:rsidR="0040788D" w:rsidRPr="000E3B0C">
        <w:rPr>
          <w:rStyle w:val="Znakapoznpodarou"/>
          <w:rFonts w:cs="TimesNewRomanPSMT"/>
        </w:rPr>
        <w:footnoteReference w:id="158"/>
      </w:r>
      <w:r w:rsidR="0040788D" w:rsidRPr="000E3B0C">
        <w:rPr>
          <w:rFonts w:cs="TimesNewRomanPSMT"/>
        </w:rPr>
        <w:t xml:space="preserve"> Zvláštní promlčecí doby </w:t>
      </w:r>
      <w:r w:rsidR="004B75CA" w:rsidRPr="000E3B0C">
        <w:rPr>
          <w:rFonts w:cs="TimesNewRomanPSMT"/>
        </w:rPr>
        <w:t xml:space="preserve">u vyjmenovaných závažnějších trestných činů </w:t>
      </w:r>
      <w:r w:rsidR="0040788D" w:rsidRPr="000E3B0C">
        <w:rPr>
          <w:rFonts w:cs="TimesNewRomanPSMT"/>
        </w:rPr>
        <w:t>jsou sedm</w:t>
      </w:r>
      <w:r w:rsidR="004B75CA" w:rsidRPr="000E3B0C">
        <w:rPr>
          <w:rStyle w:val="Znakapoznpodarou"/>
          <w:rFonts w:cs="TimesNewRomanPSMT"/>
        </w:rPr>
        <w:footnoteReference w:id="159"/>
      </w:r>
      <w:r w:rsidR="004B75CA" w:rsidRPr="000E3B0C">
        <w:rPr>
          <w:rFonts w:cs="TimesNewRomanPSMT"/>
        </w:rPr>
        <w:t>, případně dvacet</w:t>
      </w:r>
      <w:r w:rsidR="004B75CA" w:rsidRPr="000E3B0C">
        <w:rPr>
          <w:rStyle w:val="Znakapoznpodarou"/>
          <w:rFonts w:cs="TimesNewRomanPSMT"/>
        </w:rPr>
        <w:footnoteReference w:id="160"/>
      </w:r>
      <w:r w:rsidR="004B75CA" w:rsidRPr="000E3B0C">
        <w:rPr>
          <w:rFonts w:cs="TimesNewRomanPSMT"/>
        </w:rPr>
        <w:t xml:space="preserve"> let.</w:t>
      </w:r>
      <w:r w:rsidR="0086102E" w:rsidRPr="000E3B0C">
        <w:rPr>
          <w:rFonts w:cs="TimesNewRomanPSMT"/>
        </w:rPr>
        <w:t xml:space="preserve"> </w:t>
      </w:r>
      <w:r w:rsidR="0086102E" w:rsidRPr="000E3B0C">
        <w:t xml:space="preserve">U trestných činů, jejichž </w:t>
      </w:r>
      <w:r w:rsidR="007B1EED" w:rsidRPr="000E3B0C">
        <w:lastRenderedPageBreak/>
        <w:t>projednání</w:t>
      </w:r>
      <w:r w:rsidR="0086102E" w:rsidRPr="000E3B0C">
        <w:t xml:space="preserve"> je vyhrazeno </w:t>
      </w:r>
      <w:proofErr w:type="spellStart"/>
      <w:r w:rsidR="00BA629B" w:rsidRPr="000E3B0C">
        <w:t>Dikasteriu</w:t>
      </w:r>
      <w:proofErr w:type="spellEnd"/>
      <w:r w:rsidR="0086102E" w:rsidRPr="000E3B0C">
        <w:t xml:space="preserve"> pro n</w:t>
      </w:r>
      <w:r w:rsidR="0034017D" w:rsidRPr="000E3B0C">
        <w:t>auku víry,</w:t>
      </w:r>
      <w:r w:rsidR="0034017D" w:rsidRPr="000E3B0C">
        <w:rPr>
          <w:rStyle w:val="Znakapoznpodarou"/>
        </w:rPr>
        <w:footnoteReference w:id="161"/>
      </w:r>
      <w:r w:rsidR="0034017D" w:rsidRPr="000E3B0C">
        <w:t xml:space="preserve"> </w:t>
      </w:r>
      <w:r w:rsidR="0086102E" w:rsidRPr="000E3B0C">
        <w:t>není Kodexem promlčec</w:t>
      </w:r>
      <w:r w:rsidR="009B423F" w:rsidRPr="000E3B0C">
        <w:t>í doba výslovně upravena. T</w:t>
      </w:r>
      <w:r w:rsidR="0086102E" w:rsidRPr="000E3B0C">
        <w:t xml:space="preserve">o samozřejmě neznamená, že by byly nepromlčitelné, ovšem </w:t>
      </w:r>
      <w:r w:rsidR="009B423F" w:rsidRPr="000E3B0C">
        <w:t xml:space="preserve">v tomto případě platí vlastní </w:t>
      </w:r>
      <w:r w:rsidR="007B1EED" w:rsidRPr="000E3B0C">
        <w:t>doba</w:t>
      </w:r>
      <w:r w:rsidR="009B423F" w:rsidRPr="000E3B0C">
        <w:t xml:space="preserve"> stanovená</w:t>
      </w:r>
      <w:r w:rsidR="0086102E" w:rsidRPr="000E3B0C">
        <w:t xml:space="preserve"> </w:t>
      </w:r>
      <w:r w:rsidR="009B423F" w:rsidRPr="000E3B0C">
        <w:t xml:space="preserve">tímto </w:t>
      </w:r>
      <w:r w:rsidR="007B1EED" w:rsidRPr="000E3B0C">
        <w:t>kuriálním úřadem</w:t>
      </w:r>
      <w:r w:rsidR="006A0107" w:rsidRPr="000E3B0C">
        <w:t>;</w:t>
      </w:r>
      <w:r w:rsidR="0086102E" w:rsidRPr="000E3B0C">
        <w:rPr>
          <w:rStyle w:val="Znakapoznpodarou"/>
        </w:rPr>
        <w:footnoteReference w:id="162"/>
      </w:r>
      <w:r w:rsidR="006A0107" w:rsidRPr="000E3B0C">
        <w:t xml:space="preserve"> ta činí taktéž dvacet let.</w:t>
      </w:r>
      <w:r w:rsidR="006A0107" w:rsidRPr="000E3B0C">
        <w:rPr>
          <w:rStyle w:val="Znakapoznpodarou"/>
        </w:rPr>
        <w:footnoteReference w:id="163"/>
      </w:r>
      <w:r w:rsidR="006A0107" w:rsidRPr="000E3B0C">
        <w:t xml:space="preserve"> </w:t>
      </w:r>
      <w:r w:rsidR="007B1EED" w:rsidRPr="000E3B0C">
        <w:t xml:space="preserve">Zároveň </w:t>
      </w:r>
      <w:r w:rsidR="00013FD6" w:rsidRPr="000E3B0C">
        <w:t xml:space="preserve">jako </w:t>
      </w:r>
      <w:r w:rsidR="006A0107" w:rsidRPr="000E3B0C">
        <w:rPr>
          <w:i/>
        </w:rPr>
        <w:t>lex </w:t>
      </w:r>
      <w:proofErr w:type="spellStart"/>
      <w:r w:rsidR="00013FD6" w:rsidRPr="000E3B0C">
        <w:rPr>
          <w:i/>
        </w:rPr>
        <w:t>specialis</w:t>
      </w:r>
      <w:proofErr w:type="spellEnd"/>
      <w:r w:rsidR="00013FD6" w:rsidRPr="000E3B0C">
        <w:t xml:space="preserve"> platí</w:t>
      </w:r>
      <w:r w:rsidR="009B423F" w:rsidRPr="000E3B0C">
        <w:t xml:space="preserve">, že </w:t>
      </w:r>
      <w:r w:rsidR="0034017D" w:rsidRPr="000E3B0C">
        <w:t>v případě trestného činu</w:t>
      </w:r>
      <w:r w:rsidR="009B423F" w:rsidRPr="000E3B0C">
        <w:t xml:space="preserve"> proti šestému přikázání Desatera spáchanému klerikem s nezletilou osobou mladší 18 let nebo s</w:t>
      </w:r>
      <w:r w:rsidR="008E0EE8" w:rsidRPr="000E3B0C">
        <w:t> </w:t>
      </w:r>
      <w:r w:rsidR="009B423F" w:rsidRPr="000E3B0C">
        <w:t xml:space="preserve">osobou, která trvale nemá úplné užívání rozumu, </w:t>
      </w:r>
      <w:r w:rsidR="0034017D" w:rsidRPr="000E3B0C">
        <w:t xml:space="preserve">začíná </w:t>
      </w:r>
      <w:r w:rsidR="009B423F" w:rsidRPr="000E3B0C">
        <w:t>prekluzivní</w:t>
      </w:r>
      <w:r w:rsidR="0034017D" w:rsidRPr="000E3B0C">
        <w:t xml:space="preserve"> doba běžet </w:t>
      </w:r>
      <w:r w:rsidR="00013FD6" w:rsidRPr="000E3B0C">
        <w:t xml:space="preserve">až </w:t>
      </w:r>
      <w:r w:rsidR="0034017D" w:rsidRPr="000E3B0C">
        <w:t>ode dne, kdy nezletilá osoba dovršila věk 18 let.</w:t>
      </w:r>
      <w:r w:rsidR="009B423F" w:rsidRPr="000E3B0C">
        <w:t xml:space="preserve"> </w:t>
      </w:r>
      <w:r w:rsidR="00013FD6" w:rsidRPr="000E3B0C">
        <w:t>Současně</w:t>
      </w:r>
      <w:r w:rsidR="009B423F" w:rsidRPr="000E3B0C">
        <w:t xml:space="preserve"> má </w:t>
      </w:r>
      <w:proofErr w:type="spellStart"/>
      <w:r w:rsidR="009B423F" w:rsidRPr="000E3B0C">
        <w:t>Dikasterium</w:t>
      </w:r>
      <w:proofErr w:type="spellEnd"/>
      <w:r w:rsidR="0034017D" w:rsidRPr="000E3B0C">
        <w:t xml:space="preserve"> pro nauku víry právo zrušit </w:t>
      </w:r>
      <w:r w:rsidR="009B423F" w:rsidRPr="000E3B0C">
        <w:t>prekluzivní</w:t>
      </w:r>
      <w:r w:rsidR="0034017D" w:rsidRPr="000E3B0C">
        <w:t xml:space="preserve"> dobu pro všechny vyhrazené trestné činy, a to </w:t>
      </w:r>
      <w:r w:rsidR="009B423F" w:rsidRPr="000E3B0C">
        <w:t>i v případě těch, jež byly</w:t>
      </w:r>
      <w:r w:rsidR="0034017D" w:rsidRPr="000E3B0C">
        <w:t xml:space="preserve"> </w:t>
      </w:r>
      <w:r w:rsidR="009B423F" w:rsidRPr="000E3B0C">
        <w:t>spáchány</w:t>
      </w:r>
      <w:r w:rsidR="0034017D" w:rsidRPr="000E3B0C">
        <w:t xml:space="preserve"> před nabytím účinnosti </w:t>
      </w:r>
      <w:r w:rsidR="009B423F" w:rsidRPr="000E3B0C">
        <w:t>takové změny</w:t>
      </w:r>
      <w:r w:rsidR="0034017D" w:rsidRPr="000E3B0C">
        <w:t>.</w:t>
      </w:r>
      <w:r w:rsidR="009B423F" w:rsidRPr="000E3B0C">
        <w:rPr>
          <w:rStyle w:val="Znakapoznpodarou"/>
        </w:rPr>
        <w:footnoteReference w:id="164"/>
      </w:r>
      <w:r w:rsidR="006A0107" w:rsidRPr="000E3B0C">
        <w:t xml:space="preserve"> To </w:t>
      </w:r>
      <w:r w:rsidR="00836AAE" w:rsidRPr="000E3B0C">
        <w:t xml:space="preserve">je samozřejmě úprava, která je v sekulárním trestním právu naprosto nemyslitelná a </w:t>
      </w:r>
      <w:r w:rsidR="006A0107" w:rsidRPr="000E3B0C">
        <w:t>dovolil</w:t>
      </w:r>
      <w:r w:rsidR="00836AAE" w:rsidRPr="000E3B0C">
        <w:t xml:space="preserve"> bych si ji označit za kruciální ústavněprávní deficit dané </w:t>
      </w:r>
      <w:r w:rsidR="006A0107" w:rsidRPr="000E3B0C">
        <w:t>legislativní</w:t>
      </w:r>
      <w:r w:rsidR="00836AAE" w:rsidRPr="000E3B0C">
        <w:t xml:space="preserve"> úpravy, neboť se jedná o</w:t>
      </w:r>
      <w:r w:rsidR="00901E4E">
        <w:t> </w:t>
      </w:r>
      <w:r w:rsidR="00836AAE" w:rsidRPr="000E3B0C">
        <w:t>nepřípustnou retroaktivitu v neprospěch pachatele.</w:t>
      </w:r>
      <w:r w:rsidR="00413A58" w:rsidRPr="000E3B0C">
        <w:t xml:space="preserve"> Zbývá doplnit, že u</w:t>
      </w:r>
      <w:r w:rsidR="0086102E" w:rsidRPr="000E3B0C">
        <w:t xml:space="preserve"> trestných činů stanovených partikulárním práve</w:t>
      </w:r>
      <w:r w:rsidR="00B32D6B" w:rsidRPr="000E3B0C">
        <w:t>m může být speciálně upravena i </w:t>
      </w:r>
      <w:r w:rsidR="0086102E" w:rsidRPr="000E3B0C">
        <w:t>promlčecí doba, jinak platí obecná.</w:t>
      </w:r>
      <w:r w:rsidR="0086102E" w:rsidRPr="000E3B0C">
        <w:rPr>
          <w:rStyle w:val="Znakapoznpodarou"/>
        </w:rPr>
        <w:footnoteReference w:id="165"/>
      </w:r>
    </w:p>
    <w:p w14:paraId="059EF213" w14:textId="77777777" w:rsidR="006247CA" w:rsidRPr="000E3B0C" w:rsidRDefault="006247CA" w:rsidP="00350111"/>
    <w:p w14:paraId="3DB96C57" w14:textId="730C407F" w:rsidR="00BB04B2" w:rsidRPr="000E3B0C" w:rsidRDefault="00430B73" w:rsidP="00CB1B50">
      <w:pPr>
        <w:rPr>
          <w:rFonts w:cs="Arial"/>
        </w:rPr>
      </w:pPr>
      <w:r w:rsidRPr="000E3B0C">
        <w:t xml:space="preserve">V případě </w:t>
      </w:r>
      <w:r w:rsidR="00BB04B2" w:rsidRPr="000E3B0C">
        <w:rPr>
          <w:u w:val="single"/>
        </w:rPr>
        <w:t>kárného práva</w:t>
      </w:r>
      <w:r w:rsidR="00BB04B2" w:rsidRPr="000E3B0C">
        <w:rPr>
          <w:b/>
        </w:rPr>
        <w:t xml:space="preserve"> </w:t>
      </w:r>
      <w:r w:rsidR="00BB04B2" w:rsidRPr="000E3B0C">
        <w:t xml:space="preserve">odpovědnost soudce za kárné provinění </w:t>
      </w:r>
      <w:r w:rsidR="00BB04B2" w:rsidRPr="000E3B0C">
        <w:rPr>
          <w:i/>
        </w:rPr>
        <w:t>ex lege</w:t>
      </w:r>
      <w:r w:rsidR="00BB04B2" w:rsidRPr="000E3B0C">
        <w:t xml:space="preserve"> zaniká, nebyl-li návrh na</w:t>
      </w:r>
      <w:r w:rsidR="00901E4E">
        <w:t> </w:t>
      </w:r>
      <w:r w:rsidR="00BB04B2" w:rsidRPr="000E3B0C">
        <w:t>za</w:t>
      </w:r>
      <w:r w:rsidR="009D35B1" w:rsidRPr="000E3B0C">
        <w:t>hájení kárného řízení podán do tří</w:t>
      </w:r>
      <w:r w:rsidR="00BB04B2" w:rsidRPr="000E3B0C">
        <w:t xml:space="preserve"> let od jeho spáchání (objektivní hmotněprávní lhůta).</w:t>
      </w:r>
      <w:r w:rsidR="00BB04B2" w:rsidRPr="000E3B0C">
        <w:rPr>
          <w:rStyle w:val="Znakapoznpodarou"/>
          <w:rFonts w:cs="Arial"/>
        </w:rPr>
        <w:footnoteReference w:id="166"/>
      </w:r>
      <w:r w:rsidR="00BB04B2" w:rsidRPr="000E3B0C">
        <w:t xml:space="preserve"> </w:t>
      </w:r>
      <w:r w:rsidR="00BB04B2" w:rsidRPr="000E3B0C">
        <w:rPr>
          <w:shd w:val="clear" w:color="auto" w:fill="FFFFFF"/>
        </w:rPr>
        <w:t>Zároveň ale také platí</w:t>
      </w:r>
      <w:r w:rsidR="001135AB" w:rsidRPr="000E3B0C">
        <w:rPr>
          <w:shd w:val="clear" w:color="auto" w:fill="FFFFFF"/>
        </w:rPr>
        <w:t xml:space="preserve">, že </w:t>
      </w:r>
      <w:r w:rsidRPr="000E3B0C">
        <w:t>n</w:t>
      </w:r>
      <w:r w:rsidR="0053650F" w:rsidRPr="000E3B0C">
        <w:rPr>
          <w:shd w:val="clear" w:color="auto" w:fill="FFFFFF"/>
        </w:rPr>
        <w:t xml:space="preserve">ávrh na zahájení kárného řízení </w:t>
      </w:r>
      <w:r w:rsidR="001135AB" w:rsidRPr="000E3B0C">
        <w:rPr>
          <w:shd w:val="clear" w:color="auto" w:fill="FFFFFF"/>
        </w:rPr>
        <w:t xml:space="preserve">proti soudci může být </w:t>
      </w:r>
      <w:r w:rsidRPr="000E3B0C">
        <w:rPr>
          <w:shd w:val="clear" w:color="auto" w:fill="FFFFFF"/>
        </w:rPr>
        <w:t>podán nejpozději do šesti</w:t>
      </w:r>
      <w:r w:rsidR="0053650F" w:rsidRPr="000E3B0C">
        <w:rPr>
          <w:shd w:val="clear" w:color="auto" w:fill="FFFFFF"/>
        </w:rPr>
        <w:t xml:space="preserve"> měsíců ode dne, kdy se </w:t>
      </w:r>
      <w:r w:rsidRPr="000E3B0C">
        <w:rPr>
          <w:shd w:val="clear" w:color="auto" w:fill="FFFFFF"/>
        </w:rPr>
        <w:t xml:space="preserve">oprávněný </w:t>
      </w:r>
      <w:r w:rsidR="0053650F" w:rsidRPr="000E3B0C">
        <w:rPr>
          <w:shd w:val="clear" w:color="auto" w:fill="FFFFFF"/>
        </w:rPr>
        <w:t xml:space="preserve">navrhovatel </w:t>
      </w:r>
      <w:r w:rsidR="001135AB" w:rsidRPr="000E3B0C">
        <w:rPr>
          <w:rFonts w:cs="Arial"/>
        </w:rPr>
        <w:t xml:space="preserve">skutečně </w:t>
      </w:r>
      <w:r w:rsidR="00B32D6B" w:rsidRPr="000E3B0C">
        <w:rPr>
          <w:shd w:val="clear" w:color="auto" w:fill="FFFFFF"/>
        </w:rPr>
        <w:t>dozvěděl o </w:t>
      </w:r>
      <w:r w:rsidR="0053650F" w:rsidRPr="000E3B0C">
        <w:rPr>
          <w:shd w:val="clear" w:color="auto" w:fill="FFFFFF"/>
        </w:rPr>
        <w:t>skutečnostech týkajících se kárného provinění,</w:t>
      </w:r>
      <w:r w:rsidR="00D55313" w:rsidRPr="000E3B0C">
        <w:rPr>
          <w:rStyle w:val="Znakapoznpodarou"/>
          <w:shd w:val="clear" w:color="auto" w:fill="FFFFFF"/>
        </w:rPr>
        <w:footnoteReference w:id="167"/>
      </w:r>
      <w:r w:rsidR="0053650F" w:rsidRPr="000E3B0C">
        <w:rPr>
          <w:shd w:val="clear" w:color="auto" w:fill="FFFFFF"/>
        </w:rPr>
        <w:t xml:space="preserve"> které jsou rozhodné pro podání návrhu</w:t>
      </w:r>
      <w:r w:rsidR="001135AB" w:rsidRPr="000E3B0C">
        <w:rPr>
          <w:shd w:val="clear" w:color="auto" w:fill="FFFFFF"/>
        </w:rPr>
        <w:t xml:space="preserve"> (</w:t>
      </w:r>
      <w:r w:rsidRPr="000E3B0C">
        <w:rPr>
          <w:shd w:val="clear" w:color="auto" w:fill="FFFFFF"/>
        </w:rPr>
        <w:t xml:space="preserve">subjektivní </w:t>
      </w:r>
      <w:r w:rsidR="001135AB" w:rsidRPr="000E3B0C">
        <w:rPr>
          <w:shd w:val="clear" w:color="auto" w:fill="FFFFFF"/>
        </w:rPr>
        <w:t xml:space="preserve">procesní </w:t>
      </w:r>
      <w:r w:rsidRPr="000E3B0C">
        <w:rPr>
          <w:shd w:val="clear" w:color="auto" w:fill="FFFFFF"/>
        </w:rPr>
        <w:t>lhůta), nejpozději však do tří</w:t>
      </w:r>
      <w:r w:rsidR="0053650F" w:rsidRPr="000E3B0C">
        <w:rPr>
          <w:shd w:val="clear" w:color="auto" w:fill="FFFFFF"/>
        </w:rPr>
        <w:t xml:space="preserve"> let ode dne spáchání kárného provinění</w:t>
      </w:r>
      <w:r w:rsidRPr="000E3B0C">
        <w:rPr>
          <w:shd w:val="clear" w:color="auto" w:fill="FFFFFF"/>
        </w:rPr>
        <w:t xml:space="preserve"> (objektivní </w:t>
      </w:r>
      <w:r w:rsidR="001135AB" w:rsidRPr="000E3B0C">
        <w:rPr>
          <w:shd w:val="clear" w:color="auto" w:fill="FFFFFF"/>
        </w:rPr>
        <w:t xml:space="preserve">procesní </w:t>
      </w:r>
      <w:r w:rsidRPr="000E3B0C">
        <w:rPr>
          <w:shd w:val="clear" w:color="auto" w:fill="FFFFFF"/>
        </w:rPr>
        <w:t>lhůta).</w:t>
      </w:r>
      <w:r w:rsidRPr="000E3B0C">
        <w:rPr>
          <w:rStyle w:val="Znakapoznpodarou"/>
          <w:rFonts w:cs="Arial"/>
          <w:shd w:val="clear" w:color="auto" w:fill="FFFFFF"/>
        </w:rPr>
        <w:footnoteReference w:id="168"/>
      </w:r>
      <w:r w:rsidR="001135AB" w:rsidRPr="000E3B0C">
        <w:rPr>
          <w:shd w:val="clear" w:color="auto" w:fill="FFFFFF"/>
        </w:rPr>
        <w:t xml:space="preserve"> </w:t>
      </w:r>
      <w:r w:rsidR="001135AB" w:rsidRPr="000E3B0C">
        <w:rPr>
          <w:rFonts w:cs="Arial"/>
        </w:rPr>
        <w:t xml:space="preserve">V případě, že </w:t>
      </w:r>
      <w:r w:rsidR="00D55313" w:rsidRPr="000E3B0C">
        <w:rPr>
          <w:rFonts w:cs="Arial"/>
        </w:rPr>
        <w:t xml:space="preserve">kárný </w:t>
      </w:r>
      <w:r w:rsidR="001135AB" w:rsidRPr="000E3B0C">
        <w:rPr>
          <w:rFonts w:cs="Arial"/>
        </w:rPr>
        <w:t xml:space="preserve">navrhovatel zmešká kteroukoli z těchto lhůt, </w:t>
      </w:r>
      <w:r w:rsidR="00CB1B50" w:rsidRPr="000E3B0C">
        <w:rPr>
          <w:rFonts w:cs="Arial"/>
        </w:rPr>
        <w:t>dochází k</w:t>
      </w:r>
      <w:r w:rsidR="001135AB" w:rsidRPr="000E3B0C">
        <w:rPr>
          <w:rFonts w:cs="Arial"/>
        </w:rPr>
        <w:t xml:space="preserve"> zánik</w:t>
      </w:r>
      <w:r w:rsidR="00CB1B50" w:rsidRPr="000E3B0C">
        <w:rPr>
          <w:rFonts w:cs="Arial"/>
        </w:rPr>
        <w:t>u</w:t>
      </w:r>
      <w:r w:rsidR="001135AB" w:rsidRPr="000E3B0C">
        <w:rPr>
          <w:rFonts w:cs="Arial"/>
        </w:rPr>
        <w:t xml:space="preserve"> možnosti podat (</w:t>
      </w:r>
      <w:proofErr w:type="spellStart"/>
      <w:r w:rsidR="00CB1B50" w:rsidRPr="000E3B0C">
        <w:rPr>
          <w:rFonts w:cs="Arial"/>
        </w:rPr>
        <w:t>projednatelný</w:t>
      </w:r>
      <w:proofErr w:type="spellEnd"/>
      <w:r w:rsidR="001135AB" w:rsidRPr="000E3B0C">
        <w:rPr>
          <w:rFonts w:cs="Arial"/>
        </w:rPr>
        <w:t>) ná</w:t>
      </w:r>
      <w:r w:rsidR="00CB1B50" w:rsidRPr="000E3B0C">
        <w:rPr>
          <w:rFonts w:cs="Arial"/>
        </w:rPr>
        <w:t xml:space="preserve">vrh na zahájení kárného řízení; </w:t>
      </w:r>
      <w:r w:rsidR="00174580">
        <w:rPr>
          <w:rFonts w:cs="Arial"/>
        </w:rPr>
        <w:t>pokud</w:t>
      </w:r>
      <w:r w:rsidR="00901E4E">
        <w:rPr>
          <w:rFonts w:cs="Arial"/>
        </w:rPr>
        <w:t> </w:t>
      </w:r>
      <w:r w:rsidR="00CB1B50" w:rsidRPr="000E3B0C">
        <w:rPr>
          <w:rFonts w:cs="Arial"/>
        </w:rPr>
        <w:t xml:space="preserve">je přesto podán, soud </w:t>
      </w:r>
      <w:r w:rsidR="001135AB" w:rsidRPr="000E3B0C">
        <w:rPr>
          <w:rFonts w:cs="Arial"/>
        </w:rPr>
        <w:t>řízení</w:t>
      </w:r>
      <w:r w:rsidR="00CB1B50" w:rsidRPr="000E3B0C">
        <w:rPr>
          <w:rFonts w:cs="Arial"/>
        </w:rPr>
        <w:t xml:space="preserve"> </w:t>
      </w:r>
      <w:r w:rsidR="00D55313" w:rsidRPr="000E3B0C">
        <w:rPr>
          <w:rFonts w:cs="Arial"/>
        </w:rPr>
        <w:t xml:space="preserve">o </w:t>
      </w:r>
      <w:r w:rsidR="006A0107" w:rsidRPr="000E3B0C">
        <w:rPr>
          <w:rFonts w:cs="Arial"/>
        </w:rPr>
        <w:t>takto</w:t>
      </w:r>
      <w:r w:rsidR="00D55313" w:rsidRPr="000E3B0C">
        <w:rPr>
          <w:rFonts w:cs="Arial"/>
        </w:rPr>
        <w:t xml:space="preserve"> opožděném návrhu </w:t>
      </w:r>
      <w:r w:rsidR="00CB1B50" w:rsidRPr="000E3B0C">
        <w:rPr>
          <w:rFonts w:cs="Arial"/>
        </w:rPr>
        <w:t>zastaví.</w:t>
      </w:r>
      <w:r w:rsidR="00D55313" w:rsidRPr="000E3B0C">
        <w:rPr>
          <w:rStyle w:val="Znakapoznpodarou"/>
          <w:rFonts w:cs="Arial"/>
        </w:rPr>
        <w:footnoteReference w:id="169"/>
      </w:r>
    </w:p>
    <w:p w14:paraId="0D7E0A3E" w14:textId="77777777" w:rsidR="00D55313" w:rsidRPr="000E3B0C" w:rsidRDefault="00D55313" w:rsidP="00CB1B50">
      <w:pPr>
        <w:rPr>
          <w:rFonts w:cs="Arial"/>
        </w:rPr>
      </w:pPr>
    </w:p>
    <w:p w14:paraId="375BAEB0" w14:textId="77777777" w:rsidR="00D55313" w:rsidRPr="000E3B0C" w:rsidRDefault="005A0178" w:rsidP="00CB1B50">
      <w:r w:rsidRPr="000E3B0C">
        <w:lastRenderedPageBreak/>
        <w:t xml:space="preserve">Lze tedy </w:t>
      </w:r>
      <w:r w:rsidRPr="000E3B0C">
        <w:rPr>
          <w:u w:val="single"/>
        </w:rPr>
        <w:t>shrnout</w:t>
      </w:r>
      <w:r w:rsidRPr="000E3B0C">
        <w:t xml:space="preserve">, že kanonické trestní právo obsahuje daleko větší penzum různých </w:t>
      </w:r>
      <w:r w:rsidR="005F07EC" w:rsidRPr="000E3B0C">
        <w:t>délek promlčecí doby, což je ovšem zcela pochopitelné</w:t>
      </w:r>
      <w:r w:rsidRPr="000E3B0C">
        <w:t xml:space="preserve"> vzhledem k větší š</w:t>
      </w:r>
      <w:r w:rsidR="005F07EC" w:rsidRPr="000E3B0C">
        <w:t>kále konkrétních trestných činů, jež může pachatel spáchat.</w:t>
      </w:r>
      <w:r w:rsidRPr="000E3B0C">
        <w:t xml:space="preserve"> Z</w:t>
      </w:r>
      <w:r w:rsidR="005F07EC" w:rsidRPr="000E3B0C">
        <w:t>ákladní promlčecí doba je však v</w:t>
      </w:r>
      <w:r w:rsidRPr="000E3B0C">
        <w:t xml:space="preserve"> obou případech shodně tříletá. </w:t>
      </w:r>
      <w:r w:rsidR="005F07EC" w:rsidRPr="000E3B0C">
        <w:t>Zajímavostí vyplynuvší z tohoto srovnání podle mého názoru je skutečnost, že kanonické (ostatně shodně jako sekulární) trestní právo nezná, na rozdíl od právní úpravy kárné odpovědnosti soudců, subjektivní promlčecí dobu, jež by plynula orgánu oprávněnému zahájit příslušné „trestní“ řízení od okamžiku jeho vědomosti o spáchaném deliktu.</w:t>
      </w:r>
    </w:p>
    <w:p w14:paraId="53495853" w14:textId="77777777" w:rsidR="008903C5" w:rsidRPr="000E3B0C" w:rsidRDefault="00FA0E16" w:rsidP="00C22619">
      <w:pPr>
        <w:pStyle w:val="Nadpis1"/>
        <w:numPr>
          <w:ilvl w:val="0"/>
          <w:numId w:val="3"/>
        </w:numPr>
      </w:pPr>
      <w:r w:rsidRPr="000E3B0C">
        <w:br w:type="page"/>
      </w:r>
      <w:bookmarkStart w:id="18" w:name="_Toc130067382"/>
      <w:r w:rsidR="008903C5" w:rsidRPr="000E3B0C">
        <w:lastRenderedPageBreak/>
        <w:t>Tresty</w:t>
      </w:r>
      <w:r w:rsidR="006127B2" w:rsidRPr="000E3B0C">
        <w:t xml:space="preserve"> a jejich ukládání</w:t>
      </w:r>
      <w:bookmarkEnd w:id="18"/>
    </w:p>
    <w:p w14:paraId="3FCE3F72" w14:textId="77777777" w:rsidR="008903C5" w:rsidRPr="000E3B0C" w:rsidRDefault="001A4A2F" w:rsidP="00C22619">
      <w:pPr>
        <w:pStyle w:val="Nadpis2"/>
        <w:numPr>
          <w:ilvl w:val="1"/>
          <w:numId w:val="3"/>
        </w:numPr>
      </w:pPr>
      <w:bookmarkStart w:id="19" w:name="_Toc130067383"/>
      <w:r w:rsidRPr="000E3B0C">
        <w:t>Obecná k</w:t>
      </w:r>
      <w:r w:rsidR="008F2C5A" w:rsidRPr="000E3B0C">
        <w:t>lasifikace</w:t>
      </w:r>
      <w:r w:rsidR="00D773F2" w:rsidRPr="000E3B0C">
        <w:t xml:space="preserve"> trestů</w:t>
      </w:r>
      <w:bookmarkEnd w:id="19"/>
    </w:p>
    <w:p w14:paraId="6664C357" w14:textId="34E34509" w:rsidR="008B6274" w:rsidRPr="000E3B0C" w:rsidRDefault="00AC47EB" w:rsidP="003A5444">
      <w:r w:rsidRPr="000E3B0C">
        <w:t xml:space="preserve">Podle způsobu nastoupení </w:t>
      </w:r>
      <w:r w:rsidR="00237CF0" w:rsidRPr="000E3B0C">
        <w:t>jejich účinků můžeme</w:t>
      </w:r>
      <w:r w:rsidRPr="000E3B0C">
        <w:t xml:space="preserve"> trest</w:t>
      </w:r>
      <w:r w:rsidR="00237CF0" w:rsidRPr="000E3B0C">
        <w:t>y</w:t>
      </w:r>
      <w:r w:rsidRPr="000E3B0C">
        <w:t xml:space="preserve"> rozdělovat</w:t>
      </w:r>
      <w:r w:rsidR="009E0B6E" w:rsidRPr="000E3B0C">
        <w:t xml:space="preserve"> </w:t>
      </w:r>
      <w:r w:rsidRPr="000E3B0C">
        <w:t xml:space="preserve">na </w:t>
      </w:r>
      <w:r w:rsidRPr="000E3B0C">
        <w:rPr>
          <w:b/>
        </w:rPr>
        <w:t>ukládané</w:t>
      </w:r>
      <w:r w:rsidRPr="000E3B0C">
        <w:t xml:space="preserve"> a </w:t>
      </w:r>
      <w:r w:rsidRPr="000E3B0C">
        <w:rPr>
          <w:b/>
        </w:rPr>
        <w:t>samočinné</w:t>
      </w:r>
      <w:r w:rsidRPr="000E3B0C">
        <w:t xml:space="preserve">. V případě ukládaných trestů se jedná o </w:t>
      </w:r>
      <w:r w:rsidR="009E0B6E" w:rsidRPr="000E3B0C">
        <w:t>(</w:t>
      </w:r>
      <w:r w:rsidR="00E92B9A" w:rsidRPr="000E3B0C">
        <w:t xml:space="preserve">domnívám se pro všechny vyspělé </w:t>
      </w:r>
      <w:r w:rsidR="009E0B6E" w:rsidRPr="000E3B0C">
        <w:t xml:space="preserve">světské právní řády) zcela </w:t>
      </w:r>
      <w:r w:rsidR="00EF6E0E" w:rsidRPr="000E3B0C">
        <w:t>samozřejmou</w:t>
      </w:r>
      <w:r w:rsidRPr="000E3B0C">
        <w:t xml:space="preserve"> konstrukci</w:t>
      </w:r>
      <w:r w:rsidR="00E92B9A" w:rsidRPr="000E3B0C">
        <w:t xml:space="preserve"> založenou na tom</w:t>
      </w:r>
      <w:r w:rsidRPr="000E3B0C">
        <w:t xml:space="preserve">, </w:t>
      </w:r>
      <w:r w:rsidR="00E92B9A" w:rsidRPr="000E3B0C">
        <w:t xml:space="preserve">že jakýkoli </w:t>
      </w:r>
      <w:r w:rsidR="00237CF0" w:rsidRPr="000E3B0C">
        <w:t xml:space="preserve">trest </w:t>
      </w:r>
      <w:r w:rsidR="00E92B9A" w:rsidRPr="000E3B0C">
        <w:t>(mající povahu sankce za</w:t>
      </w:r>
      <w:r w:rsidR="00901E4E">
        <w:t> </w:t>
      </w:r>
      <w:r w:rsidR="00E92B9A" w:rsidRPr="000E3B0C">
        <w:t xml:space="preserve">trestní obvinění) </w:t>
      </w:r>
      <w:r w:rsidR="00237CF0" w:rsidRPr="000E3B0C">
        <w:t xml:space="preserve">je účinný až po právní moci odsuzujícího rozhodnutí vydaného </w:t>
      </w:r>
      <w:r w:rsidR="00E92B9A" w:rsidRPr="000E3B0C">
        <w:t xml:space="preserve">oprávněnou autoritou až </w:t>
      </w:r>
      <w:r w:rsidR="00237CF0" w:rsidRPr="000E3B0C">
        <w:t xml:space="preserve">po </w:t>
      </w:r>
      <w:r w:rsidR="009E0B6E" w:rsidRPr="000E3B0C">
        <w:t>provedení příslušného</w:t>
      </w:r>
      <w:r w:rsidRPr="000E3B0C">
        <w:t xml:space="preserve"> </w:t>
      </w:r>
      <w:r w:rsidR="00237CF0" w:rsidRPr="000E3B0C">
        <w:t>řízení</w:t>
      </w:r>
      <w:r w:rsidR="00E92B9A" w:rsidRPr="000E3B0C">
        <w:t xml:space="preserve">. Právní úprava </w:t>
      </w:r>
      <w:r w:rsidR="00E92B9A" w:rsidRPr="000E3B0C">
        <w:rPr>
          <w:u w:val="single"/>
        </w:rPr>
        <w:t>kárné odpovědnosti</w:t>
      </w:r>
      <w:r w:rsidR="00E92B9A" w:rsidRPr="000E3B0C">
        <w:t xml:space="preserve"> </w:t>
      </w:r>
      <w:r w:rsidR="009E0B6E" w:rsidRPr="000E3B0C">
        <w:t xml:space="preserve">(ostatně stejně jako </w:t>
      </w:r>
      <w:r w:rsidR="00E92B9A" w:rsidRPr="000E3B0C">
        <w:t>sekulární trestní a správní právo</w:t>
      </w:r>
      <w:r w:rsidR="009E0B6E" w:rsidRPr="000E3B0C">
        <w:t xml:space="preserve">) </w:t>
      </w:r>
      <w:r w:rsidR="00237CF0" w:rsidRPr="000E3B0C">
        <w:t xml:space="preserve">zná </w:t>
      </w:r>
      <w:r w:rsidR="007C3687" w:rsidRPr="000E3B0C">
        <w:t xml:space="preserve">pochopitelně </w:t>
      </w:r>
      <w:r w:rsidR="00237CF0" w:rsidRPr="000E3B0C">
        <w:t>pouze takovéto sankce</w:t>
      </w:r>
      <w:r w:rsidR="008B6274" w:rsidRPr="000E3B0C">
        <w:t>.</w:t>
      </w:r>
    </w:p>
    <w:p w14:paraId="42A6D305" w14:textId="77777777" w:rsidR="008B6274" w:rsidRPr="000E3B0C" w:rsidRDefault="008B6274" w:rsidP="003A5444"/>
    <w:p w14:paraId="14FA4EAC" w14:textId="11020755" w:rsidR="00763E96" w:rsidRPr="000E3B0C" w:rsidRDefault="00EF6E0E" w:rsidP="00F90AA5">
      <w:r w:rsidRPr="000E3B0C">
        <w:t>Shodně</w:t>
      </w:r>
      <w:r w:rsidR="00237CF0" w:rsidRPr="000E3B0C">
        <w:t xml:space="preserve"> </w:t>
      </w:r>
      <w:r w:rsidRPr="000E3B0C">
        <w:t xml:space="preserve">je tomu v zásadě taktéž v </w:t>
      </w:r>
      <w:r w:rsidR="00237CF0" w:rsidRPr="000E3B0C">
        <w:rPr>
          <w:u w:val="single"/>
        </w:rPr>
        <w:t>kanonickém trestním právu</w:t>
      </w:r>
      <w:r w:rsidRPr="000E3B0C">
        <w:t xml:space="preserve">, kde je většina trestů </w:t>
      </w:r>
      <w:r w:rsidR="009E0B6E" w:rsidRPr="000E3B0C">
        <w:t xml:space="preserve">pojata </w:t>
      </w:r>
      <w:r w:rsidR="00631DFA" w:rsidRPr="000E3B0C">
        <w:t xml:space="preserve">právě </w:t>
      </w:r>
      <w:r w:rsidR="009E0B6E" w:rsidRPr="000E3B0C">
        <w:t>tímto způsobem.</w:t>
      </w:r>
      <w:r w:rsidRPr="000E3B0C">
        <w:t xml:space="preserve"> </w:t>
      </w:r>
      <w:r w:rsidR="000B0D80" w:rsidRPr="000E3B0C">
        <w:t xml:space="preserve">Nicméně </w:t>
      </w:r>
      <w:r w:rsidRPr="000E3B0C">
        <w:t>specialitou latinské církve</w:t>
      </w:r>
      <w:r w:rsidR="00631DFA" w:rsidRPr="000E3B0C">
        <w:t xml:space="preserve"> je možnost, aby trestní zákon (</w:t>
      </w:r>
      <w:r w:rsidRPr="000E3B0C">
        <w:t>a eventuálně i trestní příkaz</w:t>
      </w:r>
      <w:r w:rsidR="00631DFA" w:rsidRPr="000E3B0C">
        <w:t>)</w:t>
      </w:r>
      <w:r w:rsidRPr="000E3B0C">
        <w:t xml:space="preserve"> </w:t>
      </w:r>
      <w:r w:rsidR="000B0D80" w:rsidRPr="000E3B0C">
        <w:t>z</w:t>
      </w:r>
      <w:r w:rsidR="00631DFA" w:rsidRPr="000E3B0C">
        <w:t>a některé úmyslné trestné činy (ob</w:t>
      </w:r>
      <w:r w:rsidR="000B0D80" w:rsidRPr="000E3B0C">
        <w:t>zvláště ty, které mohou způsobit závažnější pohoršení nebo nemohou být účinně postihovány ukládanými tresty)</w:t>
      </w:r>
      <w:r w:rsidR="003F02DF" w:rsidRPr="000E3B0C">
        <w:rPr>
          <w:rStyle w:val="Znakapoznpodarou"/>
        </w:rPr>
        <w:footnoteReference w:id="170"/>
      </w:r>
      <w:r w:rsidR="000B0D80" w:rsidRPr="000E3B0C">
        <w:t xml:space="preserve"> </w:t>
      </w:r>
      <w:r w:rsidRPr="000E3B0C">
        <w:t>stanovil</w:t>
      </w:r>
      <w:r w:rsidR="00631DFA" w:rsidRPr="000E3B0C">
        <w:t xml:space="preserve"> takové tresty, jejich účinnost nastupuje</w:t>
      </w:r>
      <w:r w:rsidR="000B0D80" w:rsidRPr="000E3B0C">
        <w:t xml:space="preserve"> již přímo okamžikem samotného spáchání daného trestného činu</w:t>
      </w:r>
      <w:r w:rsidR="00631DFA" w:rsidRPr="000E3B0C">
        <w:t xml:space="preserve"> (tzv. </w:t>
      </w:r>
      <w:proofErr w:type="spellStart"/>
      <w:r w:rsidR="00960FE5" w:rsidRPr="000E3B0C">
        <w:rPr>
          <w:i/>
        </w:rPr>
        <w:t>ipso</w:t>
      </w:r>
      <w:proofErr w:type="spellEnd"/>
      <w:r w:rsidR="00960FE5" w:rsidRPr="000E3B0C">
        <w:rPr>
          <w:i/>
        </w:rPr>
        <w:t xml:space="preserve"> facto</w:t>
      </w:r>
      <w:r w:rsidR="00960FE5" w:rsidRPr="000E3B0C">
        <w:t>)</w:t>
      </w:r>
      <w:r w:rsidR="000B0D80" w:rsidRPr="000E3B0C">
        <w:t xml:space="preserve">, aniž by </w:t>
      </w:r>
      <w:r w:rsidR="00631DFA" w:rsidRPr="000E3B0C">
        <w:t>příslušná sankce</w:t>
      </w:r>
      <w:r w:rsidR="000B0D80" w:rsidRPr="000E3B0C">
        <w:t xml:space="preserve"> byl</w:t>
      </w:r>
      <w:r w:rsidR="00631DFA" w:rsidRPr="000E3B0C">
        <w:t>a</w:t>
      </w:r>
      <w:r w:rsidR="000B0D80" w:rsidRPr="000E3B0C">
        <w:t xml:space="preserve"> </w:t>
      </w:r>
      <w:r w:rsidR="00631DFA" w:rsidRPr="000E3B0C">
        <w:t xml:space="preserve">pachateli </w:t>
      </w:r>
      <w:r w:rsidR="000B0D80" w:rsidRPr="000E3B0C">
        <w:t>uložen</w:t>
      </w:r>
      <w:r w:rsidR="00631DFA" w:rsidRPr="000E3B0C">
        <w:t>a</w:t>
      </w:r>
      <w:r w:rsidR="000B0D80" w:rsidRPr="000E3B0C">
        <w:t xml:space="preserve"> individuálním právním aktem; jedná se o tresty samočinné</w:t>
      </w:r>
      <w:r w:rsidR="00250E86" w:rsidRPr="000E3B0C">
        <w:t xml:space="preserve"> (tzv. </w:t>
      </w:r>
      <w:proofErr w:type="spellStart"/>
      <w:r w:rsidR="00250E86" w:rsidRPr="000E3B0C">
        <w:rPr>
          <w:i/>
        </w:rPr>
        <w:t>latae</w:t>
      </w:r>
      <w:proofErr w:type="spellEnd"/>
      <w:r w:rsidR="00250E86" w:rsidRPr="000E3B0C">
        <w:rPr>
          <w:i/>
        </w:rPr>
        <w:t xml:space="preserve"> </w:t>
      </w:r>
      <w:proofErr w:type="spellStart"/>
      <w:r w:rsidR="00250E86" w:rsidRPr="000E3B0C">
        <w:rPr>
          <w:i/>
        </w:rPr>
        <w:t>sententiae</w:t>
      </w:r>
      <w:proofErr w:type="spellEnd"/>
      <w:r w:rsidR="00250E86" w:rsidRPr="000E3B0C">
        <w:t>)</w:t>
      </w:r>
      <w:r w:rsidR="000B0D80" w:rsidRPr="000E3B0C">
        <w:t>.</w:t>
      </w:r>
      <w:r w:rsidR="000B0D80" w:rsidRPr="000E3B0C">
        <w:rPr>
          <w:rStyle w:val="Znakapoznpodarou"/>
        </w:rPr>
        <w:footnoteReference w:id="171"/>
      </w:r>
      <w:r w:rsidR="000B0D80" w:rsidRPr="000E3B0C">
        <w:t xml:space="preserve"> Takové tresty </w:t>
      </w:r>
      <w:r w:rsidR="00F94882" w:rsidRPr="000E3B0C">
        <w:t>(</w:t>
      </w:r>
      <w:r w:rsidR="00631DFA" w:rsidRPr="000E3B0C">
        <w:rPr>
          <w:rFonts w:cs="Garamond"/>
        </w:rPr>
        <w:t>jež</w:t>
      </w:r>
      <w:r w:rsidR="00F94882" w:rsidRPr="000E3B0C">
        <w:rPr>
          <w:rFonts w:cs="Garamond"/>
        </w:rPr>
        <w:t xml:space="preserve"> zpravidla brání přístupu ke</w:t>
      </w:r>
      <w:r w:rsidR="00901E4E">
        <w:rPr>
          <w:rFonts w:cs="Garamond"/>
        </w:rPr>
        <w:t> </w:t>
      </w:r>
      <w:r w:rsidR="00F94882" w:rsidRPr="000E3B0C">
        <w:rPr>
          <w:rFonts w:cs="Garamond"/>
        </w:rPr>
        <w:t>svátostem</w:t>
      </w:r>
      <w:r w:rsidR="00F94882" w:rsidRPr="000E3B0C">
        <w:t xml:space="preserve">) </w:t>
      </w:r>
      <w:r w:rsidR="000B0D80" w:rsidRPr="000E3B0C">
        <w:t xml:space="preserve">tedy nastupují automaticky, bez rozhodnutí představeného a </w:t>
      </w:r>
      <w:r w:rsidR="000A449D" w:rsidRPr="000E3B0C">
        <w:t>pů</w:t>
      </w:r>
      <w:r w:rsidR="008E0EE8" w:rsidRPr="000E3B0C">
        <w:t>sobí jen v </w:t>
      </w:r>
      <w:r w:rsidR="00631DFA" w:rsidRPr="000E3B0C">
        <w:t>tzv. </w:t>
      </w:r>
      <w:r w:rsidR="00F94882" w:rsidRPr="000E3B0C">
        <w:t xml:space="preserve">vnitřním oboru, čili </w:t>
      </w:r>
      <w:r w:rsidR="000B0D80" w:rsidRPr="000E3B0C">
        <w:t xml:space="preserve">zavazují </w:t>
      </w:r>
      <w:r w:rsidR="000A449D" w:rsidRPr="000E3B0C">
        <w:t xml:space="preserve">pachatele </w:t>
      </w:r>
      <w:r w:rsidR="00631DFA" w:rsidRPr="000E3B0C">
        <w:t>toliko</w:t>
      </w:r>
      <w:r w:rsidR="000A449D" w:rsidRPr="000E3B0C">
        <w:t xml:space="preserve"> v jeho </w:t>
      </w:r>
      <w:r w:rsidR="000B0D80" w:rsidRPr="000E3B0C">
        <w:t>svěd</w:t>
      </w:r>
      <w:r w:rsidR="000A449D" w:rsidRPr="000E3B0C">
        <w:t>omí</w:t>
      </w:r>
      <w:r w:rsidR="00F94882" w:rsidRPr="000E3B0C">
        <w:rPr>
          <w:rStyle w:val="Znakapoznpodarou"/>
        </w:rPr>
        <w:footnoteReference w:id="172"/>
      </w:r>
      <w:r w:rsidR="00F94882" w:rsidRPr="000E3B0C">
        <w:t xml:space="preserve">. </w:t>
      </w:r>
      <w:r w:rsidR="000A449D" w:rsidRPr="000E3B0C">
        <w:t>Církevní autorita ovšem může v případec</w:t>
      </w:r>
      <w:r w:rsidR="00631DFA" w:rsidRPr="000E3B0C">
        <w:t xml:space="preserve">h hodných zvláštního zřetele, </w:t>
      </w:r>
      <w:r w:rsidR="00F94882" w:rsidRPr="000E3B0C">
        <w:rPr>
          <w:rFonts w:cs="Garamond"/>
        </w:rPr>
        <w:t>je-li pachatelův tre</w:t>
      </w:r>
      <w:r w:rsidR="002661B6" w:rsidRPr="000E3B0C">
        <w:rPr>
          <w:rFonts w:cs="Garamond"/>
        </w:rPr>
        <w:t>stný čin veřejně známý a budí u </w:t>
      </w:r>
      <w:r w:rsidR="00F94882" w:rsidRPr="000E3B0C">
        <w:rPr>
          <w:rFonts w:cs="Garamond"/>
        </w:rPr>
        <w:t>věřících pohoršení</w:t>
      </w:r>
      <w:r w:rsidR="00631DFA" w:rsidRPr="000E3B0C">
        <w:rPr>
          <w:rFonts w:cs="Garamond"/>
        </w:rPr>
        <w:t xml:space="preserve"> (například pokud známý teolog veřejn</w:t>
      </w:r>
      <w:r w:rsidR="005C5150" w:rsidRPr="000E3B0C">
        <w:rPr>
          <w:rFonts w:cs="Garamond"/>
        </w:rPr>
        <w:t>ě odpadne od katolické církve, čímž se</w:t>
      </w:r>
      <w:r w:rsidR="00901E4E">
        <w:rPr>
          <w:rFonts w:cs="Garamond"/>
        </w:rPr>
        <w:t> </w:t>
      </w:r>
      <w:r w:rsidR="00631DFA" w:rsidRPr="000E3B0C">
        <w:rPr>
          <w:rFonts w:cs="Garamond"/>
        </w:rPr>
        <w:t xml:space="preserve">dopustí trestného činu apostaze </w:t>
      </w:r>
      <w:r w:rsidR="005C5150" w:rsidRPr="000E3B0C">
        <w:rPr>
          <w:rFonts w:cs="Garamond"/>
        </w:rPr>
        <w:t>sankcionovaného</w:t>
      </w:r>
      <w:r w:rsidR="00631DFA" w:rsidRPr="000E3B0C">
        <w:rPr>
          <w:rFonts w:cs="Garamond"/>
        </w:rPr>
        <w:t xml:space="preserve"> samočinnou exkomunikací</w:t>
      </w:r>
      <w:r w:rsidR="005C5150" w:rsidRPr="000E3B0C">
        <w:rPr>
          <w:rFonts w:cs="Garamond"/>
        </w:rPr>
        <w:t>)</w:t>
      </w:r>
      <w:r w:rsidR="00F94882" w:rsidRPr="000E3B0C">
        <w:rPr>
          <w:rFonts w:cs="Garamond"/>
        </w:rPr>
        <w:t xml:space="preserve"> přikročit k</w:t>
      </w:r>
      <w:r w:rsidR="00901E4E">
        <w:rPr>
          <w:rFonts w:cs="Garamond"/>
        </w:rPr>
        <w:t> </w:t>
      </w:r>
      <w:r w:rsidR="00F94882" w:rsidRPr="000E3B0C">
        <w:rPr>
          <w:rFonts w:cs="Garamond"/>
        </w:rPr>
        <w:t>tomu, že trest, do nějž pachatel samotným spácháním skutku upadl, nechá soudně prohlásit. V</w:t>
      </w:r>
      <w:r w:rsidR="00901E4E">
        <w:rPr>
          <w:rFonts w:cs="Garamond"/>
        </w:rPr>
        <w:t> </w:t>
      </w:r>
      <w:r w:rsidR="00F94882" w:rsidRPr="000E3B0C">
        <w:rPr>
          <w:rFonts w:cs="Garamond"/>
        </w:rPr>
        <w:t xml:space="preserve">takovém případě probíhá standardním způsobem celé trestní řízení s </w:t>
      </w:r>
      <w:r w:rsidR="00631DFA" w:rsidRPr="000E3B0C">
        <w:rPr>
          <w:rFonts w:cs="Garamond"/>
        </w:rPr>
        <w:t xml:space="preserve">(obvyklým) </w:t>
      </w:r>
      <w:r w:rsidR="00F94882" w:rsidRPr="000E3B0C">
        <w:rPr>
          <w:rFonts w:cs="Garamond"/>
        </w:rPr>
        <w:t xml:space="preserve">cílem prokázat, že byl spáchán trestný čin a </w:t>
      </w:r>
      <w:r w:rsidR="005C5150" w:rsidRPr="000E3B0C">
        <w:rPr>
          <w:rFonts w:cs="Garamond"/>
        </w:rPr>
        <w:t>že za něj obžalovaný odpovídá. R</w:t>
      </w:r>
      <w:r w:rsidR="00F94882" w:rsidRPr="000E3B0C">
        <w:rPr>
          <w:rFonts w:cs="Garamond"/>
        </w:rPr>
        <w:t>ozdíl je pouze v tom, že výrok</w:t>
      </w:r>
      <w:r w:rsidR="00631DFA" w:rsidRPr="000E3B0C">
        <w:rPr>
          <w:rFonts w:cs="Garamond"/>
        </w:rPr>
        <w:t>em</w:t>
      </w:r>
      <w:r w:rsidR="00F94882" w:rsidRPr="000E3B0C">
        <w:rPr>
          <w:rFonts w:cs="Garamond"/>
        </w:rPr>
        <w:t xml:space="preserve"> rozsudku </w:t>
      </w:r>
      <w:r w:rsidR="00631DFA" w:rsidRPr="000E3B0C">
        <w:rPr>
          <w:rFonts w:cs="Garamond"/>
        </w:rPr>
        <w:t xml:space="preserve">se </w:t>
      </w:r>
      <w:r w:rsidR="00F94882" w:rsidRPr="000E3B0C">
        <w:rPr>
          <w:rFonts w:cs="Garamond"/>
        </w:rPr>
        <w:t xml:space="preserve">trest </w:t>
      </w:r>
      <w:r w:rsidR="005C5150" w:rsidRPr="000E3B0C">
        <w:rPr>
          <w:rFonts w:cs="Garamond"/>
        </w:rPr>
        <w:t xml:space="preserve">konstitutivně </w:t>
      </w:r>
      <w:r w:rsidR="00F94882" w:rsidRPr="000E3B0C">
        <w:rPr>
          <w:rFonts w:cs="Garamond"/>
        </w:rPr>
        <w:t xml:space="preserve">neukládá, nýbrž autoritativně </w:t>
      </w:r>
      <w:r w:rsidR="00631DFA" w:rsidRPr="000E3B0C">
        <w:rPr>
          <w:rFonts w:cs="Garamond"/>
        </w:rPr>
        <w:t xml:space="preserve">se </w:t>
      </w:r>
      <w:r w:rsidR="005C5150" w:rsidRPr="000E3B0C">
        <w:rPr>
          <w:rFonts w:cs="Garamond"/>
        </w:rPr>
        <w:t xml:space="preserve">s účinky </w:t>
      </w:r>
      <w:r w:rsidR="005C5150" w:rsidRPr="000E3B0C">
        <w:rPr>
          <w:rFonts w:cs="Garamond"/>
          <w:i/>
        </w:rPr>
        <w:t xml:space="preserve">ex </w:t>
      </w:r>
      <w:proofErr w:type="spellStart"/>
      <w:r w:rsidR="005C5150" w:rsidRPr="000E3B0C">
        <w:rPr>
          <w:rFonts w:cs="Garamond"/>
          <w:i/>
        </w:rPr>
        <w:t>tunc</w:t>
      </w:r>
      <w:proofErr w:type="spellEnd"/>
      <w:r w:rsidR="005C5150" w:rsidRPr="000E3B0C">
        <w:rPr>
          <w:rFonts w:cs="Garamond"/>
        </w:rPr>
        <w:t xml:space="preserve"> </w:t>
      </w:r>
      <w:r w:rsidR="00F94882" w:rsidRPr="000E3B0C">
        <w:rPr>
          <w:rFonts w:cs="Garamond"/>
        </w:rPr>
        <w:t>deklaruje, že pachatel do daného trestu upadl</w:t>
      </w:r>
      <w:r w:rsidR="00763E96" w:rsidRPr="000E3B0C">
        <w:rPr>
          <w:rFonts w:cs="Garamond"/>
        </w:rPr>
        <w:t>; p</w:t>
      </w:r>
      <w:r w:rsidR="00ED240B" w:rsidRPr="000E3B0C">
        <w:t xml:space="preserve">oté </w:t>
      </w:r>
      <w:r w:rsidR="00763E96" w:rsidRPr="000E3B0C">
        <w:t>se jedná</w:t>
      </w:r>
      <w:r w:rsidR="00ED240B" w:rsidRPr="000E3B0C">
        <w:t xml:space="preserve"> o samočinný trest deklarovaný, který má účinky trestu uloženého.</w:t>
      </w:r>
      <w:r w:rsidR="00763E96" w:rsidRPr="000E3B0C">
        <w:rPr>
          <w:rStyle w:val="Znakapoznpodarou"/>
          <w:rFonts w:cs="Garamond"/>
        </w:rPr>
        <w:footnoteReference w:id="173"/>
      </w:r>
      <w:r w:rsidR="00ED240B" w:rsidRPr="000E3B0C">
        <w:rPr>
          <w:rFonts w:cs="Garamond"/>
        </w:rPr>
        <w:t xml:space="preserve"> </w:t>
      </w:r>
      <w:r w:rsidR="00F94882" w:rsidRPr="000E3B0C">
        <w:t xml:space="preserve">Hrozba samočinného trestu musí být výslovně uvedena v trestním </w:t>
      </w:r>
      <w:r w:rsidR="00F94882" w:rsidRPr="000E3B0C">
        <w:lastRenderedPageBreak/>
        <w:t>zákoně; uplatní se</w:t>
      </w:r>
      <w:r w:rsidR="00763E96" w:rsidRPr="000E3B0C">
        <w:t xml:space="preserve"> přitom</w:t>
      </w:r>
      <w:r w:rsidR="00F94882" w:rsidRPr="000E3B0C">
        <w:t xml:space="preserve"> jen v omezeném počtu skutkových podstat trestných činů.</w:t>
      </w:r>
      <w:r w:rsidR="00F94882" w:rsidRPr="000E3B0C">
        <w:rPr>
          <w:rStyle w:val="Znakapoznpodarou"/>
        </w:rPr>
        <w:footnoteReference w:id="174"/>
      </w:r>
      <w:r w:rsidR="002661B6" w:rsidRPr="000E3B0C">
        <w:t xml:space="preserve"> Může je stanovit i </w:t>
      </w:r>
      <w:r w:rsidR="00F94882" w:rsidRPr="000E3B0C">
        <w:t>partikulární zákonodárce v případě nápravných trestů, avšak má tak činit pouze s největší rozvahou.</w:t>
      </w:r>
      <w:r w:rsidR="00F94882" w:rsidRPr="000E3B0C">
        <w:rPr>
          <w:rStyle w:val="Znakapoznpodarou"/>
        </w:rPr>
        <w:footnoteReference w:id="175"/>
      </w:r>
      <w:r w:rsidR="00763E96" w:rsidRPr="000E3B0C">
        <w:rPr>
          <w:rFonts w:cs="Garamond"/>
        </w:rPr>
        <w:t xml:space="preserve"> </w:t>
      </w:r>
      <w:r w:rsidRPr="000E3B0C">
        <w:t xml:space="preserve">Poslední novela Kodexu nejenže </w:t>
      </w:r>
      <w:r w:rsidR="00763E96" w:rsidRPr="000E3B0C">
        <w:t xml:space="preserve">(navzdory očekáváním) </w:t>
      </w:r>
      <w:r w:rsidRPr="000E3B0C">
        <w:t xml:space="preserve">ponechala v platnosti existenci samočinných trestů, ovšem rozšířila je z nápravných trestů (jichž se doposud výlučně týkala) </w:t>
      </w:r>
      <w:r w:rsidR="00763E96" w:rsidRPr="000E3B0C">
        <w:t xml:space="preserve">v určitých případech </w:t>
      </w:r>
      <w:r w:rsidRPr="000E3B0C">
        <w:t xml:space="preserve">také </w:t>
      </w:r>
      <w:r w:rsidR="000A449D" w:rsidRPr="000E3B0C">
        <w:t>na tresty pořádkové</w:t>
      </w:r>
      <w:r w:rsidRPr="000E3B0C">
        <w:t>.</w:t>
      </w:r>
      <w:r w:rsidR="00763E96" w:rsidRPr="000E3B0C">
        <w:rPr>
          <w:rStyle w:val="Znakapoznpodarou"/>
        </w:rPr>
        <w:footnoteReference w:id="176"/>
      </w:r>
    </w:p>
    <w:p w14:paraId="61A8C684" w14:textId="77777777" w:rsidR="00763E96" w:rsidRPr="000E3B0C" w:rsidRDefault="00763E96" w:rsidP="00F90AA5"/>
    <w:p w14:paraId="22D4B256" w14:textId="15DFF25E" w:rsidR="00F82CD9" w:rsidRPr="000E3B0C" w:rsidRDefault="00F90AA5" w:rsidP="00F90AA5">
      <w:r w:rsidRPr="000E3B0C">
        <w:t xml:space="preserve">Hrdina </w:t>
      </w:r>
      <w:r w:rsidR="00B617F8" w:rsidRPr="000E3B0C">
        <w:t xml:space="preserve">tyto tresty zásadně kritizuje a považuje je </w:t>
      </w:r>
      <w:r w:rsidR="00093847" w:rsidRPr="000E3B0C">
        <w:t>za nab</w:t>
      </w:r>
      <w:r w:rsidR="00F82CD9" w:rsidRPr="000E3B0C">
        <w:t>ourání právní jistoty pachatele</w:t>
      </w:r>
      <w:r w:rsidRPr="000E3B0C">
        <w:t xml:space="preserve">. </w:t>
      </w:r>
      <w:r w:rsidRPr="000E3B0C">
        <w:rPr>
          <w:rFonts w:cs="Garamond"/>
        </w:rPr>
        <w:t>A</w:t>
      </w:r>
      <w:r w:rsidR="00F82CD9" w:rsidRPr="000E3B0C">
        <w:rPr>
          <w:rFonts w:cs="Garamond"/>
        </w:rPr>
        <w:t>rgumentuje</w:t>
      </w:r>
      <w:r w:rsidR="00B617F8" w:rsidRPr="000E3B0C">
        <w:rPr>
          <w:rFonts w:cs="Garamond"/>
        </w:rPr>
        <w:t xml:space="preserve"> tím</w:t>
      </w:r>
      <w:r w:rsidR="00F82CD9" w:rsidRPr="000E3B0C">
        <w:rPr>
          <w:rFonts w:cs="Garamond"/>
        </w:rPr>
        <w:t>, že pokud jde</w:t>
      </w:r>
      <w:r w:rsidRPr="000E3B0C">
        <w:rPr>
          <w:rFonts w:cs="Garamond"/>
        </w:rPr>
        <w:t xml:space="preserve"> </w:t>
      </w:r>
      <w:r w:rsidR="00B617F8" w:rsidRPr="000E3B0C">
        <w:rPr>
          <w:rFonts w:cs="Garamond"/>
        </w:rPr>
        <w:t xml:space="preserve">o </w:t>
      </w:r>
      <w:r w:rsidRPr="000E3B0C">
        <w:rPr>
          <w:rFonts w:cs="Garamond"/>
        </w:rPr>
        <w:t>první</w:t>
      </w:r>
      <w:r w:rsidR="00F82CD9" w:rsidRPr="000E3B0C">
        <w:rPr>
          <w:rFonts w:cs="Garamond"/>
        </w:rPr>
        <w:t xml:space="preserve"> tvrzený důvod </w:t>
      </w:r>
      <w:r w:rsidR="00B617F8" w:rsidRPr="000E3B0C">
        <w:rPr>
          <w:rFonts w:cs="Garamond"/>
        </w:rPr>
        <w:t xml:space="preserve">jejich existence </w:t>
      </w:r>
      <w:r w:rsidR="00F82CD9" w:rsidRPr="000E3B0C">
        <w:rPr>
          <w:rFonts w:cs="Garamond"/>
        </w:rPr>
        <w:t xml:space="preserve">spočívající v závažnějším pohoršení, </w:t>
      </w:r>
      <w:r w:rsidR="00ED240B" w:rsidRPr="000E3B0C">
        <w:rPr>
          <w:rFonts w:cs="Garamond"/>
        </w:rPr>
        <w:t xml:space="preserve">nic </w:t>
      </w:r>
      <w:r w:rsidR="00B617F8" w:rsidRPr="000E3B0C">
        <w:rPr>
          <w:rFonts w:cs="Garamond"/>
        </w:rPr>
        <w:t xml:space="preserve">dle něj </w:t>
      </w:r>
      <w:r w:rsidR="00ED240B" w:rsidRPr="000E3B0C">
        <w:rPr>
          <w:rFonts w:cs="Garamond"/>
        </w:rPr>
        <w:t xml:space="preserve">nebrání tomu, aby proběhlo řádné trestní řízení s vynesením odsuzujícího rozsudku. </w:t>
      </w:r>
      <w:r w:rsidR="00F82CD9" w:rsidRPr="000E3B0C">
        <w:rPr>
          <w:rFonts w:cs="Garamond"/>
        </w:rPr>
        <w:t xml:space="preserve">Jde-li o druhý důvod </w:t>
      </w:r>
      <w:r w:rsidR="00B617F8" w:rsidRPr="000E3B0C">
        <w:rPr>
          <w:rFonts w:cs="Garamond"/>
        </w:rPr>
        <w:t xml:space="preserve">jejich ukládání </w:t>
      </w:r>
      <w:r w:rsidR="00F82CD9" w:rsidRPr="000E3B0C">
        <w:rPr>
          <w:rFonts w:cs="Garamond"/>
        </w:rPr>
        <w:t xml:space="preserve">představovaný </w:t>
      </w:r>
      <w:r w:rsidR="00ED240B" w:rsidRPr="000E3B0C">
        <w:rPr>
          <w:rFonts w:cs="Garamond"/>
        </w:rPr>
        <w:t>nemožnost</w:t>
      </w:r>
      <w:r w:rsidR="00F82CD9" w:rsidRPr="000E3B0C">
        <w:rPr>
          <w:rFonts w:cs="Garamond"/>
        </w:rPr>
        <w:t>í účinného stíhání,</w:t>
      </w:r>
      <w:r w:rsidR="00ED240B" w:rsidRPr="000E3B0C">
        <w:rPr>
          <w:rFonts w:cs="Garamond"/>
        </w:rPr>
        <w:t xml:space="preserve"> </w:t>
      </w:r>
      <w:r w:rsidR="00B617F8" w:rsidRPr="000E3B0C">
        <w:rPr>
          <w:rFonts w:cs="Garamond"/>
        </w:rPr>
        <w:t>jedná se</w:t>
      </w:r>
      <w:r w:rsidR="00F82CD9" w:rsidRPr="000E3B0C">
        <w:rPr>
          <w:rFonts w:cs="Garamond"/>
        </w:rPr>
        <w:t xml:space="preserve"> </w:t>
      </w:r>
      <w:r w:rsidR="00ED240B" w:rsidRPr="000E3B0C">
        <w:rPr>
          <w:rFonts w:cs="Garamond"/>
        </w:rPr>
        <w:t xml:space="preserve">zejména o </w:t>
      </w:r>
      <w:r w:rsidR="00B617F8" w:rsidRPr="000E3B0C">
        <w:rPr>
          <w:rFonts w:cs="Garamond"/>
        </w:rPr>
        <w:t>skutky, které nejsou veřejně známy. V</w:t>
      </w:r>
      <w:r w:rsidR="00F82CD9" w:rsidRPr="000E3B0C">
        <w:rPr>
          <w:rFonts w:cs="Garamond"/>
        </w:rPr>
        <w:t> </w:t>
      </w:r>
      <w:r w:rsidR="00B617F8" w:rsidRPr="000E3B0C">
        <w:rPr>
          <w:rFonts w:cs="Garamond"/>
        </w:rPr>
        <w:t>těchto</w:t>
      </w:r>
      <w:r w:rsidR="00F82CD9" w:rsidRPr="000E3B0C">
        <w:rPr>
          <w:rFonts w:cs="Garamond"/>
        </w:rPr>
        <w:t xml:space="preserve"> případech </w:t>
      </w:r>
      <w:r w:rsidR="00ED240B" w:rsidRPr="000E3B0C">
        <w:rPr>
          <w:rFonts w:cs="Garamond"/>
        </w:rPr>
        <w:t xml:space="preserve">ovšem není možné </w:t>
      </w:r>
      <w:r w:rsidR="00B617F8" w:rsidRPr="000E3B0C">
        <w:rPr>
          <w:rFonts w:cs="Garamond"/>
        </w:rPr>
        <w:t xml:space="preserve">ani </w:t>
      </w:r>
      <w:r w:rsidR="00ED240B" w:rsidRPr="000E3B0C">
        <w:rPr>
          <w:rFonts w:cs="Garamond"/>
        </w:rPr>
        <w:t xml:space="preserve">zahájit řízení o prohlášení </w:t>
      </w:r>
      <w:r w:rsidR="00B617F8" w:rsidRPr="000E3B0C">
        <w:rPr>
          <w:rFonts w:cs="Garamond"/>
        </w:rPr>
        <w:t>trestů za takové trestné činy</w:t>
      </w:r>
      <w:r w:rsidR="00ED240B" w:rsidRPr="000E3B0C">
        <w:rPr>
          <w:rFonts w:cs="Garamond"/>
        </w:rPr>
        <w:t xml:space="preserve">, což znamená, že tyto </w:t>
      </w:r>
      <w:r w:rsidR="00B617F8" w:rsidRPr="000E3B0C">
        <w:rPr>
          <w:rFonts w:cs="Garamond"/>
        </w:rPr>
        <w:t>postihy</w:t>
      </w:r>
      <w:r w:rsidR="00ED240B" w:rsidRPr="000E3B0C">
        <w:rPr>
          <w:rFonts w:cs="Garamond"/>
        </w:rPr>
        <w:t xml:space="preserve"> </w:t>
      </w:r>
      <w:r w:rsidR="00F82CD9" w:rsidRPr="000E3B0C">
        <w:rPr>
          <w:rFonts w:cs="Garamond"/>
        </w:rPr>
        <w:t xml:space="preserve">budou </w:t>
      </w:r>
      <w:r w:rsidR="00ED240B" w:rsidRPr="000E3B0C">
        <w:rPr>
          <w:rFonts w:cs="Garamond"/>
        </w:rPr>
        <w:t xml:space="preserve">pachatele </w:t>
      </w:r>
      <w:r w:rsidR="00B617F8" w:rsidRPr="000E3B0C">
        <w:rPr>
          <w:rFonts w:cs="Garamond"/>
        </w:rPr>
        <w:t xml:space="preserve">zavazovat </w:t>
      </w:r>
      <w:r w:rsidR="00ED240B" w:rsidRPr="000E3B0C">
        <w:rPr>
          <w:rFonts w:cs="Garamond"/>
        </w:rPr>
        <w:t xml:space="preserve">pouze v jeho svědomí a </w:t>
      </w:r>
      <w:r w:rsidR="00F82CD9" w:rsidRPr="000E3B0C">
        <w:rPr>
          <w:rFonts w:cs="Garamond"/>
        </w:rPr>
        <w:t>bude toliko</w:t>
      </w:r>
      <w:r w:rsidR="00ED240B" w:rsidRPr="000E3B0C">
        <w:rPr>
          <w:rFonts w:cs="Garamond"/>
        </w:rPr>
        <w:t xml:space="preserve"> na</w:t>
      </w:r>
      <w:r w:rsidR="002661B6" w:rsidRPr="000E3B0C">
        <w:rPr>
          <w:rFonts w:cs="Garamond"/>
        </w:rPr>
        <w:t xml:space="preserve"> něm, zda je bude respektovat a </w:t>
      </w:r>
      <w:r w:rsidR="00B617F8" w:rsidRPr="000E3B0C">
        <w:rPr>
          <w:rFonts w:cs="Garamond"/>
        </w:rPr>
        <w:t xml:space="preserve">například nebude přistupovat ke svátostem či je vysluhovat, nebo bude trest ignorovat. </w:t>
      </w:r>
      <w:r w:rsidR="00ED240B" w:rsidRPr="000E3B0C">
        <w:rPr>
          <w:rFonts w:cs="Garamond"/>
        </w:rPr>
        <w:t>Protože však přístupu ke svátostem brání ve svědomí už samo vědomí těžkého hříchu</w:t>
      </w:r>
      <w:r w:rsidR="00F82CD9" w:rsidRPr="000E3B0C">
        <w:rPr>
          <w:rStyle w:val="Znakapoznpodarou"/>
          <w:rFonts w:cs="Garamond"/>
        </w:rPr>
        <w:footnoteReference w:id="177"/>
      </w:r>
      <w:r w:rsidR="00ED240B" w:rsidRPr="000E3B0C">
        <w:rPr>
          <w:rFonts w:cs="Garamond"/>
        </w:rPr>
        <w:t xml:space="preserve"> (a každý trestný čin se samočinným trestem zásadně je </w:t>
      </w:r>
      <w:r w:rsidR="00F82CD9" w:rsidRPr="000E3B0C">
        <w:rPr>
          <w:rFonts w:cs="Garamond"/>
        </w:rPr>
        <w:t xml:space="preserve">těžkým hříchem), není </w:t>
      </w:r>
      <w:r w:rsidR="00C93BBC" w:rsidRPr="000E3B0C">
        <w:rPr>
          <w:rFonts w:cs="Garamond"/>
        </w:rPr>
        <w:t xml:space="preserve">dle Hrdiny </w:t>
      </w:r>
      <w:r w:rsidR="00F82CD9" w:rsidRPr="000E3B0C">
        <w:rPr>
          <w:rFonts w:cs="Garamond"/>
        </w:rPr>
        <w:t xml:space="preserve">samočinných trestů fakticky třeba. </w:t>
      </w:r>
      <w:r w:rsidR="00ED240B" w:rsidRPr="000E3B0C">
        <w:rPr>
          <w:rFonts w:cs="Garamond"/>
        </w:rPr>
        <w:t>Navíc k posouzení toho, zda někdo upadl do samočinného trestu, je zapotřebí ši</w:t>
      </w:r>
      <w:r w:rsidR="00F82CD9" w:rsidRPr="000E3B0C">
        <w:rPr>
          <w:rFonts w:cs="Garamond"/>
        </w:rPr>
        <w:t>rších znalostí trestního práva</w:t>
      </w:r>
      <w:r w:rsidR="00F82CD9" w:rsidRPr="000E3B0C">
        <w:rPr>
          <w:rStyle w:val="Znakapoznpodarou"/>
          <w:rFonts w:cs="Garamond"/>
        </w:rPr>
        <w:footnoteReference w:id="178"/>
      </w:r>
      <w:r w:rsidR="00F82CD9" w:rsidRPr="000E3B0C">
        <w:rPr>
          <w:rFonts w:cs="Garamond"/>
        </w:rPr>
        <w:t xml:space="preserve">; stává se proto, </w:t>
      </w:r>
      <w:r w:rsidR="00ED240B" w:rsidRPr="000E3B0C">
        <w:rPr>
          <w:rFonts w:cs="Garamond"/>
        </w:rPr>
        <w:t xml:space="preserve">že se někdo mylně domnívá, že </w:t>
      </w:r>
      <w:r w:rsidR="00C93BBC" w:rsidRPr="000E3B0C">
        <w:rPr>
          <w:rFonts w:cs="Garamond"/>
        </w:rPr>
        <w:t xml:space="preserve">upadl </w:t>
      </w:r>
      <w:r w:rsidR="00ED240B" w:rsidRPr="000E3B0C">
        <w:rPr>
          <w:rFonts w:cs="Garamond"/>
        </w:rPr>
        <w:t>do</w:t>
      </w:r>
      <w:r w:rsidR="00901E4E">
        <w:rPr>
          <w:rFonts w:cs="Garamond"/>
        </w:rPr>
        <w:t> </w:t>
      </w:r>
      <w:r w:rsidR="00ED240B" w:rsidRPr="000E3B0C">
        <w:rPr>
          <w:rFonts w:cs="Garamond"/>
        </w:rPr>
        <w:t>samočinného trestu, ačkol</w:t>
      </w:r>
      <w:r w:rsidRPr="000E3B0C">
        <w:rPr>
          <w:rFonts w:cs="Garamond"/>
        </w:rPr>
        <w:t xml:space="preserve">i tomu tak ve skutečnosti není. Hrdina </w:t>
      </w:r>
      <w:r w:rsidR="00C93BBC" w:rsidRPr="000E3B0C">
        <w:rPr>
          <w:rFonts w:cs="Garamond"/>
        </w:rPr>
        <w:t xml:space="preserve">proto </w:t>
      </w:r>
      <w:r w:rsidRPr="000E3B0C">
        <w:rPr>
          <w:rFonts w:cs="Garamond"/>
          <w:i/>
        </w:rPr>
        <w:t>de </w:t>
      </w:r>
      <w:r w:rsidR="00ED240B" w:rsidRPr="000E3B0C">
        <w:rPr>
          <w:rFonts w:cs="Garamond"/>
          <w:i/>
        </w:rPr>
        <w:t xml:space="preserve">lege </w:t>
      </w:r>
      <w:proofErr w:type="spellStart"/>
      <w:r w:rsidR="00ED240B" w:rsidRPr="000E3B0C">
        <w:rPr>
          <w:rFonts w:cs="Garamond"/>
          <w:i/>
        </w:rPr>
        <w:t>ferenda</w:t>
      </w:r>
      <w:proofErr w:type="spellEnd"/>
      <w:r w:rsidR="00ED240B" w:rsidRPr="000E3B0C">
        <w:rPr>
          <w:rFonts w:cs="Garamond"/>
        </w:rPr>
        <w:t xml:space="preserve"> </w:t>
      </w:r>
      <w:r w:rsidRPr="000E3B0C">
        <w:rPr>
          <w:rFonts w:cs="Garamond"/>
        </w:rPr>
        <w:t xml:space="preserve">navrhuje </w:t>
      </w:r>
      <w:r w:rsidR="00ED240B" w:rsidRPr="000E3B0C">
        <w:rPr>
          <w:rFonts w:cs="Garamond"/>
        </w:rPr>
        <w:t>koncepci samočinných trestů opustit.</w:t>
      </w:r>
      <w:r w:rsidR="00ED240B" w:rsidRPr="000E3B0C">
        <w:rPr>
          <w:rStyle w:val="Znakapoznpodarou"/>
          <w:rFonts w:cs="Garamond"/>
        </w:rPr>
        <w:footnoteReference w:id="179"/>
      </w:r>
      <w:r w:rsidRPr="000E3B0C">
        <w:rPr>
          <w:rFonts w:cs="Garamond"/>
        </w:rPr>
        <w:t xml:space="preserve"> P</w:t>
      </w:r>
      <w:r w:rsidRPr="000E3B0C">
        <w:t>oukazuje přitom na to, že již tzv. </w:t>
      </w:r>
      <w:proofErr w:type="spellStart"/>
      <w:r w:rsidRPr="000E3B0C">
        <w:t>rekodifikační</w:t>
      </w:r>
      <w:proofErr w:type="spellEnd"/>
      <w:r w:rsidRPr="000E3B0C">
        <w:t xml:space="preserve"> desatero přijaté na biskupském synodu v roce 1967 si přálo, aby případy využití takto pojaté sankce byly minimalizovány. </w:t>
      </w:r>
      <w:r w:rsidR="00F82CD9" w:rsidRPr="000E3B0C">
        <w:t xml:space="preserve">Zároveň dodává, že Kodex kánonů východních církví takové tresty nezná, pročež </w:t>
      </w:r>
      <w:r w:rsidRPr="000E3B0C">
        <w:t>není důvod, aby se bez nich neobešla i latinská církev</w:t>
      </w:r>
      <w:r w:rsidR="00F82CD9" w:rsidRPr="000E3B0C">
        <w:t>.</w:t>
      </w:r>
      <w:r w:rsidR="00F82CD9" w:rsidRPr="000E3B0C">
        <w:rPr>
          <w:rStyle w:val="Znakapoznpodarou"/>
        </w:rPr>
        <w:footnoteReference w:id="180"/>
      </w:r>
    </w:p>
    <w:p w14:paraId="54CA54CC" w14:textId="77777777" w:rsidR="00C93BBC" w:rsidRPr="000E3B0C" w:rsidRDefault="00C93BBC" w:rsidP="00F90AA5"/>
    <w:p w14:paraId="712401DB" w14:textId="4B61B340" w:rsidR="00E81073" w:rsidRPr="000E3B0C" w:rsidRDefault="001A7F27" w:rsidP="00335E82">
      <w:r w:rsidRPr="000E3B0C">
        <w:t xml:space="preserve">Aniž bych se cítil povolán ke komplexnímu posouzení smysluplnosti samočinných trestů, dovolím si Hrdinově argumentaci (s níž se jinak ztotožňuji) vytknout skutečnost, že veškerý účinek trestů </w:t>
      </w:r>
      <w:proofErr w:type="spellStart"/>
      <w:r w:rsidRPr="000E3B0C">
        <w:rPr>
          <w:i/>
        </w:rPr>
        <w:t>latae</w:t>
      </w:r>
      <w:proofErr w:type="spellEnd"/>
      <w:r w:rsidRPr="000E3B0C">
        <w:rPr>
          <w:i/>
        </w:rPr>
        <w:t xml:space="preserve"> </w:t>
      </w:r>
      <w:proofErr w:type="spellStart"/>
      <w:r w:rsidRPr="000E3B0C">
        <w:rPr>
          <w:i/>
        </w:rPr>
        <w:t>sententiae</w:t>
      </w:r>
      <w:proofErr w:type="spellEnd"/>
      <w:r w:rsidRPr="000E3B0C">
        <w:t xml:space="preserve"> zplošťuje na zákaz přijímání svátostí; kdyby tomu tak bylo, pak by skutečně neprohlášený samočinný trest byl svým efektem toliko duplicitou těžkého hříchu. </w:t>
      </w:r>
      <w:r w:rsidR="007B7469" w:rsidRPr="000E3B0C">
        <w:lastRenderedPageBreak/>
        <w:t>D</w:t>
      </w:r>
      <w:r w:rsidR="004B3544" w:rsidRPr="000E3B0C">
        <w:t>ůsledky například samočinné suspenze klerika jsou ovšem daleko širší</w:t>
      </w:r>
      <w:r w:rsidR="007B7469" w:rsidRPr="000E3B0C">
        <w:t xml:space="preserve"> a rozhodně nejsou všechny obsaženy v omezeních, jež plynou osobě dopustivší se těžkého hříchu. V tomto kontextu však považuji </w:t>
      </w:r>
      <w:r w:rsidR="00E81073" w:rsidRPr="000E3B0C">
        <w:t>za zcela alibistické ustanovení</w:t>
      </w:r>
      <w:r w:rsidR="007B7469" w:rsidRPr="000E3B0C">
        <w:t xml:space="preserve"> Kodexu</w:t>
      </w:r>
      <w:r w:rsidR="00E81073" w:rsidRPr="000E3B0C">
        <w:t xml:space="preserve">, že </w:t>
      </w:r>
      <w:r w:rsidR="00E81073" w:rsidRPr="000E3B0C">
        <w:rPr>
          <w:i/>
        </w:rPr>
        <w:t>„povinnost podrobit se samočinnému trestu, jestliže trest není vyhlášený či není v místě, kde se pachatel zdržuje, obecně známý, se pozastavuje zcela nebo</w:t>
      </w:r>
      <w:r w:rsidR="00FD7A85">
        <w:rPr>
          <w:i/>
        </w:rPr>
        <w:t> </w:t>
      </w:r>
      <w:r w:rsidR="00E81073" w:rsidRPr="000E3B0C">
        <w:rPr>
          <w:i/>
        </w:rPr>
        <w:t>zčásti, pokud jej pachatel nemůže zachovat bez nebezpečí závažného pohoršení nebo ztráty dobré pověsti.“</w:t>
      </w:r>
      <w:r w:rsidR="00E81073" w:rsidRPr="000E3B0C">
        <w:rPr>
          <w:vertAlign w:val="superscript"/>
        </w:rPr>
        <w:footnoteReference w:id="181"/>
      </w:r>
      <w:r w:rsidR="007B7469" w:rsidRPr="000E3B0C">
        <w:t xml:space="preserve"> Domnívám se, že téměř každý klerik, který by začal respektovat samočinnou suspenzi, do níž spácháním určitého skutku upadl, by tím vzbudil pohoršení a připravil se o dobrou pověst, neboť lze předpokládat značné obtíže s utajením toho, proč najednou z ničeho nic přestal vysluhovat svátosti. Pakliže </w:t>
      </w:r>
      <w:r w:rsidR="00C3740D" w:rsidRPr="000E3B0C">
        <w:t>by se však</w:t>
      </w:r>
      <w:r w:rsidR="007B7469" w:rsidRPr="000E3B0C">
        <w:t xml:space="preserve"> samočinné tresty neuplatňovaly právě v takovýchto situacích, </w:t>
      </w:r>
      <w:r w:rsidR="00C3740D" w:rsidRPr="000E3B0C">
        <w:t>musím přisvědčit Hrdinovi v tom, že mi uniká jejich praktický význam.</w:t>
      </w:r>
    </w:p>
    <w:p w14:paraId="0D68100B" w14:textId="77777777" w:rsidR="00E81073" w:rsidRPr="000E3B0C" w:rsidRDefault="00E81073" w:rsidP="00F90AA5"/>
    <w:p w14:paraId="21436053" w14:textId="7E267371" w:rsidR="00272AAC" w:rsidRPr="000E3B0C" w:rsidRDefault="009F07D8" w:rsidP="007C14C0">
      <w:r w:rsidRPr="000E3B0C">
        <w:t>T</w:t>
      </w:r>
      <w:r w:rsidR="00FC02EF" w:rsidRPr="000E3B0C">
        <w:t xml:space="preserve">resty </w:t>
      </w:r>
      <w:r w:rsidR="00116D6A" w:rsidRPr="000E3B0C">
        <w:t xml:space="preserve">dále </w:t>
      </w:r>
      <w:r w:rsidRPr="000E3B0C">
        <w:t xml:space="preserve">můžeme </w:t>
      </w:r>
      <w:r w:rsidR="00FC02EF" w:rsidRPr="000E3B0C">
        <w:t xml:space="preserve">dělit </w:t>
      </w:r>
      <w:r w:rsidRPr="000E3B0C">
        <w:t xml:space="preserve">také </w:t>
      </w:r>
      <w:r w:rsidR="00FC02EF" w:rsidRPr="000E3B0C">
        <w:t xml:space="preserve">podle určitosti </w:t>
      </w:r>
      <w:r w:rsidR="007C14C0" w:rsidRPr="000E3B0C">
        <w:t xml:space="preserve">ukládané sankce. V případě těch </w:t>
      </w:r>
      <w:r w:rsidR="00FC02EF" w:rsidRPr="000E3B0C">
        <w:rPr>
          <w:b/>
        </w:rPr>
        <w:t>určit</w:t>
      </w:r>
      <w:r w:rsidR="007C14C0" w:rsidRPr="000E3B0C">
        <w:rPr>
          <w:b/>
        </w:rPr>
        <w:t>ých</w:t>
      </w:r>
      <w:r w:rsidR="002661B6" w:rsidRPr="000E3B0C">
        <w:t xml:space="preserve"> zákon u </w:t>
      </w:r>
      <w:r w:rsidR="00FC02EF" w:rsidRPr="000E3B0C">
        <w:t xml:space="preserve">příslušné skutkové podstaty </w:t>
      </w:r>
      <w:r w:rsidR="007C14C0" w:rsidRPr="000E3B0C">
        <w:t xml:space="preserve">buďto přímo </w:t>
      </w:r>
      <w:r w:rsidR="00FC02EF" w:rsidRPr="000E3B0C">
        <w:t>stanov</w:t>
      </w:r>
      <w:r w:rsidR="00673F22" w:rsidRPr="000E3B0C">
        <w:t>í</w:t>
      </w:r>
      <w:r w:rsidR="00FC02EF" w:rsidRPr="000E3B0C">
        <w:t xml:space="preserve">, jaký </w:t>
      </w:r>
      <w:r w:rsidR="00673F22" w:rsidRPr="000E3B0C">
        <w:t>jeden konkrétní trest (absolutně určitá</w:t>
      </w:r>
      <w:r w:rsidR="007C14C0" w:rsidRPr="000E3B0C">
        <w:t xml:space="preserve"> sankce</w:t>
      </w:r>
      <w:r w:rsidR="00673F22" w:rsidRPr="000E3B0C">
        <w:t>) nebo z jaké nabídky možných trestů (relativně určitá</w:t>
      </w:r>
      <w:r w:rsidR="007C14C0" w:rsidRPr="000E3B0C">
        <w:t xml:space="preserve"> sankce</w:t>
      </w:r>
      <w:r w:rsidR="00673F22" w:rsidRPr="000E3B0C">
        <w:t xml:space="preserve">) </w:t>
      </w:r>
      <w:r w:rsidR="00FC02EF" w:rsidRPr="000E3B0C">
        <w:t>má být pachateli uložen</w:t>
      </w:r>
      <w:r w:rsidR="00673F22" w:rsidRPr="000E3B0C">
        <w:t xml:space="preserve"> </w:t>
      </w:r>
      <w:r w:rsidR="007C14C0" w:rsidRPr="000E3B0C">
        <w:t xml:space="preserve">jako postih. </w:t>
      </w:r>
      <w:r w:rsidR="007C14C0" w:rsidRPr="000E3B0C">
        <w:rPr>
          <w:u w:val="single"/>
        </w:rPr>
        <w:t>K</w:t>
      </w:r>
      <w:r w:rsidR="00673F22" w:rsidRPr="000E3B0C">
        <w:rPr>
          <w:u w:val="single"/>
        </w:rPr>
        <w:t>anonické trestní právo</w:t>
      </w:r>
      <w:r w:rsidR="007C14C0" w:rsidRPr="000E3B0C">
        <w:t xml:space="preserve"> zná obě tyto kategorie. Právní úprava </w:t>
      </w:r>
      <w:r w:rsidR="007C14C0" w:rsidRPr="000E3B0C">
        <w:rPr>
          <w:u w:val="single"/>
        </w:rPr>
        <w:t>kárné odpovědnosti</w:t>
      </w:r>
      <w:r w:rsidR="007C14C0" w:rsidRPr="000E3B0C">
        <w:t xml:space="preserve"> však </w:t>
      </w:r>
      <w:r w:rsidR="00673F22" w:rsidRPr="000E3B0C">
        <w:t xml:space="preserve">určitou sankci v tomto slova smyslu vůbec </w:t>
      </w:r>
      <w:r w:rsidR="007C14C0" w:rsidRPr="000E3B0C">
        <w:t>nezná</w:t>
      </w:r>
      <w:r w:rsidR="00673F22" w:rsidRPr="000E3B0C">
        <w:t xml:space="preserve">, neboť </w:t>
      </w:r>
      <w:r w:rsidR="007C14C0" w:rsidRPr="000E3B0C">
        <w:t>obsahuje</w:t>
      </w:r>
      <w:r w:rsidR="00673F22" w:rsidRPr="000E3B0C">
        <w:t xml:space="preserve"> toliko jedinou </w:t>
      </w:r>
      <w:r w:rsidR="007C14C0" w:rsidRPr="000E3B0C">
        <w:t xml:space="preserve">univerzální </w:t>
      </w:r>
      <w:r w:rsidR="00673F22" w:rsidRPr="000E3B0C">
        <w:t>skutkovou podstatu kárného provinění</w:t>
      </w:r>
      <w:r w:rsidR="00582BBA" w:rsidRPr="000E3B0C">
        <w:t>,</w:t>
      </w:r>
      <w:r w:rsidR="00673F22" w:rsidRPr="000E3B0C">
        <w:t xml:space="preserve"> a </w:t>
      </w:r>
      <w:r w:rsidR="007C14C0" w:rsidRPr="000E3B0C">
        <w:t xml:space="preserve">tudíž za </w:t>
      </w:r>
      <w:r w:rsidR="00673F22" w:rsidRPr="000E3B0C">
        <w:t xml:space="preserve">žádné pochybení </w:t>
      </w:r>
      <w:r w:rsidR="007C14C0" w:rsidRPr="000E3B0C">
        <w:t>nemůže</w:t>
      </w:r>
      <w:r w:rsidR="00673F22" w:rsidRPr="000E3B0C">
        <w:t xml:space="preserve"> předem </w:t>
      </w:r>
      <w:r w:rsidR="007C14C0" w:rsidRPr="000E3B0C">
        <w:t>stanovit</w:t>
      </w:r>
      <w:r w:rsidR="00673F22" w:rsidRPr="000E3B0C">
        <w:t xml:space="preserve"> konkrétní trest. Sankce dále může být </w:t>
      </w:r>
      <w:r w:rsidR="00673F22" w:rsidRPr="000E3B0C">
        <w:rPr>
          <w:b/>
        </w:rPr>
        <w:t>neurčitá</w:t>
      </w:r>
      <w:r w:rsidR="007C14C0" w:rsidRPr="000E3B0C">
        <w:t xml:space="preserve">; jedná se o úpravu, </w:t>
      </w:r>
      <w:r w:rsidR="00673F22" w:rsidRPr="000E3B0C">
        <w:t xml:space="preserve">kdy je ponecháno na úvaze soudu, </w:t>
      </w:r>
      <w:r w:rsidR="007C14C0" w:rsidRPr="000E3B0C">
        <w:t>jaký</w:t>
      </w:r>
      <w:r w:rsidR="00673F22" w:rsidRPr="000E3B0C">
        <w:t xml:space="preserve"> </w:t>
      </w:r>
      <w:r w:rsidR="00C060AD" w:rsidRPr="000E3B0C">
        <w:t>postih</w:t>
      </w:r>
      <w:r w:rsidR="00953021" w:rsidRPr="000E3B0C">
        <w:t xml:space="preserve"> z celého „</w:t>
      </w:r>
      <w:r w:rsidR="00673F22" w:rsidRPr="000E3B0C">
        <w:t>katalogu</w:t>
      </w:r>
      <w:r w:rsidR="00953021" w:rsidRPr="000E3B0C">
        <w:t>“</w:t>
      </w:r>
      <w:r w:rsidR="00673F22" w:rsidRPr="000E3B0C">
        <w:t xml:space="preserve"> trestů obsažených </w:t>
      </w:r>
      <w:r w:rsidR="00C060AD" w:rsidRPr="000E3B0C">
        <w:t>v</w:t>
      </w:r>
      <w:r w:rsidR="007C14C0" w:rsidRPr="000E3B0C">
        <w:t> </w:t>
      </w:r>
      <w:r w:rsidR="00673F22" w:rsidRPr="000E3B0C">
        <w:t>zákoně</w:t>
      </w:r>
      <w:r w:rsidR="007C14C0" w:rsidRPr="000E3B0C">
        <w:t xml:space="preserve"> uloží. P</w:t>
      </w:r>
      <w:r w:rsidR="00673F22" w:rsidRPr="000E3B0C">
        <w:t xml:space="preserve">rávě to </w:t>
      </w:r>
      <w:r w:rsidR="00C07EB6" w:rsidRPr="000E3B0C">
        <w:t xml:space="preserve">je </w:t>
      </w:r>
      <w:r w:rsidR="007C14C0" w:rsidRPr="000E3B0C">
        <w:t xml:space="preserve">koncepce zvolená zákonodárcem </w:t>
      </w:r>
      <w:r w:rsidR="00C060AD" w:rsidRPr="000E3B0C">
        <w:t xml:space="preserve">pro </w:t>
      </w:r>
      <w:r w:rsidR="00C060AD" w:rsidRPr="000E3B0C">
        <w:rPr>
          <w:u w:val="single"/>
        </w:rPr>
        <w:t>kárnou odpovědnost soudců</w:t>
      </w:r>
      <w:r w:rsidR="00C060AD" w:rsidRPr="000E3B0C">
        <w:t>. V </w:t>
      </w:r>
      <w:r w:rsidR="00C060AD" w:rsidRPr="000E3B0C">
        <w:rPr>
          <w:u w:val="single"/>
        </w:rPr>
        <w:t>kanonickém právu</w:t>
      </w:r>
      <w:r w:rsidR="00C060AD" w:rsidRPr="000E3B0C">
        <w:t xml:space="preserve"> </w:t>
      </w:r>
      <w:r w:rsidR="007C14C0" w:rsidRPr="000E3B0C">
        <w:t>se nacházejí</w:t>
      </w:r>
      <w:r w:rsidR="00C060AD" w:rsidRPr="000E3B0C">
        <w:t xml:space="preserve"> </w:t>
      </w:r>
      <w:r w:rsidR="00C07EB6" w:rsidRPr="000E3B0C">
        <w:t xml:space="preserve">mimo jiné </w:t>
      </w:r>
      <w:r w:rsidR="007C14C0" w:rsidRPr="000E3B0C">
        <w:t>i</w:t>
      </w:r>
      <w:r w:rsidR="002661B6" w:rsidRPr="000E3B0C">
        <w:t> </w:t>
      </w:r>
      <w:r w:rsidR="00C060AD" w:rsidRPr="000E3B0C">
        <w:t xml:space="preserve">tímto způsobem konstruované </w:t>
      </w:r>
      <w:r w:rsidR="00C07EB6" w:rsidRPr="000E3B0C">
        <w:t>sankce</w:t>
      </w:r>
      <w:r w:rsidR="00C060AD" w:rsidRPr="000E3B0C">
        <w:t>, přičemž v textu právních předpisů se v takovém případě používá pouze r</w:t>
      </w:r>
      <w:r w:rsidR="007C14C0" w:rsidRPr="000E3B0C">
        <w:t>ámcové dikce</w:t>
      </w:r>
      <w:r w:rsidR="00C060AD" w:rsidRPr="000E3B0C">
        <w:t xml:space="preserve">, že pachatel bude </w:t>
      </w:r>
      <w:r w:rsidR="00673F22" w:rsidRPr="000E3B0C">
        <w:rPr>
          <w:i/>
        </w:rPr>
        <w:t>„potrestán spravedlivým trestem“</w:t>
      </w:r>
      <w:r w:rsidR="00C060AD" w:rsidRPr="000E3B0C">
        <w:t>.</w:t>
      </w:r>
      <w:r w:rsidR="00673F22" w:rsidRPr="000E3B0C">
        <w:rPr>
          <w:rStyle w:val="Znakapoznpodarou"/>
        </w:rPr>
        <w:footnoteReference w:id="182"/>
      </w:r>
      <w:r w:rsidR="00C060AD" w:rsidRPr="000E3B0C">
        <w:t xml:space="preserve"> </w:t>
      </w:r>
      <w:r w:rsidR="007E30EB" w:rsidRPr="000E3B0C">
        <w:t>Novinkou poslední novelizace Kodexu je možnost, aby partikulární zákonodárce změnil trest stanovený všeobecným právem z neurčitého na určitý.</w:t>
      </w:r>
      <w:r w:rsidR="007E30EB" w:rsidRPr="000E3B0C">
        <w:rPr>
          <w:vertAlign w:val="superscript"/>
        </w:rPr>
        <w:footnoteReference w:id="183"/>
      </w:r>
      <w:r w:rsidR="007E30EB" w:rsidRPr="000E3B0C">
        <w:t xml:space="preserve"> Zároveň </w:t>
      </w:r>
      <w:r w:rsidR="00C060AD" w:rsidRPr="000E3B0C">
        <w:t>Kodex nově stanoví, že</w:t>
      </w:r>
      <w:r w:rsidR="00FD7A85">
        <w:t> </w:t>
      </w:r>
      <w:r w:rsidR="00C060AD" w:rsidRPr="000E3B0C">
        <w:t>v případě naplnění skutkové podstat</w:t>
      </w:r>
      <w:r w:rsidR="007C14C0" w:rsidRPr="000E3B0C">
        <w:t>y</w:t>
      </w:r>
      <w:r w:rsidR="00C060AD" w:rsidRPr="000E3B0C">
        <w:t xml:space="preserve"> </w:t>
      </w:r>
      <w:r w:rsidR="007E30EB" w:rsidRPr="000E3B0C">
        <w:t xml:space="preserve">trestného činu, za nějž je stanovena </w:t>
      </w:r>
      <w:r w:rsidR="00C060AD" w:rsidRPr="000E3B0C">
        <w:t>neurčit</w:t>
      </w:r>
      <w:r w:rsidR="007E30EB" w:rsidRPr="000E3B0C">
        <w:t>á sankce,</w:t>
      </w:r>
      <w:r w:rsidR="00C060AD" w:rsidRPr="000E3B0C">
        <w:t xml:space="preserve"> </w:t>
      </w:r>
      <w:r w:rsidR="00C060AD" w:rsidRPr="000E3B0C">
        <w:rPr>
          <w:i/>
        </w:rPr>
        <w:t>„soudce při ukládání trestů uloží takový trest, který je př</w:t>
      </w:r>
      <w:r w:rsidR="002661B6" w:rsidRPr="000E3B0C">
        <w:rPr>
          <w:i/>
        </w:rPr>
        <w:t>iměřený způsobenému pohoršení a </w:t>
      </w:r>
      <w:r w:rsidR="00C060AD" w:rsidRPr="000E3B0C">
        <w:rPr>
          <w:i/>
        </w:rPr>
        <w:t>vzniklé škodě; ať však neukládá těžší tresty, pokud to</w:t>
      </w:r>
      <w:r w:rsidR="00934D8E" w:rsidRPr="000E3B0C">
        <w:rPr>
          <w:i/>
        </w:rPr>
        <w:t xml:space="preserve"> </w:t>
      </w:r>
      <w:r w:rsidR="00C060AD" w:rsidRPr="000E3B0C">
        <w:rPr>
          <w:i/>
        </w:rPr>
        <w:t>nutně nevyžaduje závažnost případu;</w:t>
      </w:r>
      <w:r w:rsidR="00934D8E" w:rsidRPr="000E3B0C">
        <w:rPr>
          <w:i/>
        </w:rPr>
        <w:t xml:space="preserve"> </w:t>
      </w:r>
      <w:r w:rsidR="00C060AD" w:rsidRPr="000E3B0C">
        <w:rPr>
          <w:i/>
        </w:rPr>
        <w:t>nesmí však uložit trvalé tresty</w:t>
      </w:r>
      <w:r w:rsidR="00934D8E" w:rsidRPr="000E3B0C">
        <w:rPr>
          <w:i/>
        </w:rPr>
        <w:t>.“</w:t>
      </w:r>
      <w:r w:rsidR="00934D8E" w:rsidRPr="000E3B0C">
        <w:rPr>
          <w:vertAlign w:val="superscript"/>
        </w:rPr>
        <w:footnoteReference w:id="184"/>
      </w:r>
      <w:r w:rsidR="00934D8E" w:rsidRPr="000E3B0C">
        <w:t xml:space="preserve"> </w:t>
      </w:r>
      <w:r w:rsidR="00272AAC" w:rsidRPr="000E3B0C">
        <w:t xml:space="preserve">Pachatele tedy zásadně nelze </w:t>
      </w:r>
      <w:r w:rsidR="007E30EB" w:rsidRPr="000E3B0C">
        <w:t>b</w:t>
      </w:r>
      <w:r w:rsidR="007C14C0" w:rsidRPr="000E3B0C">
        <w:t xml:space="preserve">ez výslovného zakotvení v zákoně </w:t>
      </w:r>
      <w:r w:rsidR="00934D8E" w:rsidRPr="000E3B0C">
        <w:t xml:space="preserve">propustit </w:t>
      </w:r>
      <w:r w:rsidR="009406B1" w:rsidRPr="000E3B0C">
        <w:t>z klerického</w:t>
      </w:r>
      <w:r w:rsidR="00934D8E" w:rsidRPr="000E3B0C">
        <w:t xml:space="preserve"> stavu</w:t>
      </w:r>
      <w:r w:rsidR="00272AAC" w:rsidRPr="000E3B0C">
        <w:t xml:space="preserve">; </w:t>
      </w:r>
      <w:r w:rsidR="00897EB4" w:rsidRPr="000E3B0C">
        <w:t>výjimky</w:t>
      </w:r>
      <w:r w:rsidR="00272AAC" w:rsidRPr="000E3B0C">
        <w:t xml:space="preserve"> </w:t>
      </w:r>
      <w:r w:rsidR="00897EB4" w:rsidRPr="000E3B0C">
        <w:t xml:space="preserve">z tohoto pravidla </w:t>
      </w:r>
      <w:r w:rsidR="00571DEC" w:rsidRPr="000E3B0C">
        <w:t xml:space="preserve">ovšem </w:t>
      </w:r>
      <w:r w:rsidR="00897EB4" w:rsidRPr="000E3B0C">
        <w:t>zakotvují</w:t>
      </w:r>
      <w:r w:rsidR="00272AAC" w:rsidRPr="000E3B0C">
        <w:t xml:space="preserve"> </w:t>
      </w:r>
      <w:r w:rsidR="009672AF" w:rsidRPr="000E3B0C">
        <w:t xml:space="preserve">zvláštní </w:t>
      </w:r>
      <w:proofErr w:type="spellStart"/>
      <w:r w:rsidR="00897EB4" w:rsidRPr="000E3B0C">
        <w:t>mimokodexové</w:t>
      </w:r>
      <w:proofErr w:type="spellEnd"/>
      <w:r w:rsidR="00897EB4" w:rsidRPr="000E3B0C">
        <w:t xml:space="preserve"> normy, např. </w:t>
      </w:r>
      <w:r w:rsidR="00272AAC" w:rsidRPr="000E3B0C">
        <w:t xml:space="preserve">mimořádná zmocnění udělená </w:t>
      </w:r>
      <w:proofErr w:type="spellStart"/>
      <w:r w:rsidR="008D102C" w:rsidRPr="000E3B0C">
        <w:t>Dikasteriu</w:t>
      </w:r>
      <w:proofErr w:type="spellEnd"/>
      <w:r w:rsidR="00272AAC" w:rsidRPr="000E3B0C">
        <w:t xml:space="preserve"> pro klérus.</w:t>
      </w:r>
      <w:r w:rsidR="00272AAC" w:rsidRPr="000E3B0C">
        <w:rPr>
          <w:rStyle w:val="Znakapoznpodarou"/>
        </w:rPr>
        <w:footnoteReference w:id="185"/>
      </w:r>
    </w:p>
    <w:p w14:paraId="46E7C535" w14:textId="77777777" w:rsidR="007E30EB" w:rsidRPr="000E3B0C" w:rsidRDefault="007E30EB" w:rsidP="007C14C0"/>
    <w:p w14:paraId="5285742A" w14:textId="4838C187" w:rsidR="00FC2CBB" w:rsidRPr="000E3B0C" w:rsidRDefault="009F07D8" w:rsidP="00FC2CBB">
      <w:r w:rsidRPr="000E3B0C">
        <w:t xml:space="preserve">Dále lze zmínit dělení na tresty </w:t>
      </w:r>
      <w:r w:rsidRPr="000E3B0C">
        <w:rPr>
          <w:b/>
        </w:rPr>
        <w:t>obligatorní</w:t>
      </w:r>
      <w:r w:rsidRPr="000E3B0C">
        <w:t xml:space="preserve"> (</w:t>
      </w:r>
      <w:r w:rsidR="009406B1" w:rsidRPr="000E3B0C">
        <w:t>pokud</w:t>
      </w:r>
      <w:r w:rsidRPr="000E3B0C">
        <w:t xml:space="preserve"> soud </w:t>
      </w:r>
      <w:r w:rsidR="009406B1" w:rsidRPr="000E3B0C">
        <w:t xml:space="preserve">uzná </w:t>
      </w:r>
      <w:r w:rsidRPr="000E3B0C">
        <w:t xml:space="preserve">pachatele vinným, musí </w:t>
      </w:r>
      <w:r w:rsidR="009406B1" w:rsidRPr="000E3B0C">
        <w:t xml:space="preserve">stanovený </w:t>
      </w:r>
      <w:r w:rsidRPr="000E3B0C">
        <w:t xml:space="preserve">trest uložit) a </w:t>
      </w:r>
      <w:r w:rsidRPr="000E3B0C">
        <w:rPr>
          <w:b/>
        </w:rPr>
        <w:t>fakultativní</w:t>
      </w:r>
      <w:r w:rsidRPr="000E3B0C">
        <w:t xml:space="preserve"> (záleží na uvážení soudu, zda trest uloží, či nikoliv). </w:t>
      </w:r>
      <w:r w:rsidRPr="000E3B0C">
        <w:rPr>
          <w:u w:val="single"/>
        </w:rPr>
        <w:t xml:space="preserve">Kanonické </w:t>
      </w:r>
      <w:r w:rsidR="00FC2CBB" w:rsidRPr="000E3B0C">
        <w:rPr>
          <w:u w:val="single"/>
        </w:rPr>
        <w:t xml:space="preserve">trestní </w:t>
      </w:r>
      <w:r w:rsidRPr="000E3B0C">
        <w:rPr>
          <w:u w:val="single"/>
        </w:rPr>
        <w:t>právo</w:t>
      </w:r>
      <w:r w:rsidRPr="000E3B0C">
        <w:t xml:space="preserve"> zná oba tyto typy sankcí, </w:t>
      </w:r>
      <w:r w:rsidR="00876602" w:rsidRPr="000E3B0C">
        <w:t>kdy</w:t>
      </w:r>
      <w:r w:rsidRPr="000E3B0C">
        <w:t xml:space="preserve"> obligatorní tresty vyjadřuje </w:t>
      </w:r>
      <w:r w:rsidR="00FC2CBB" w:rsidRPr="000E3B0C">
        <w:t xml:space="preserve">slovním </w:t>
      </w:r>
      <w:r w:rsidRPr="000E3B0C">
        <w:t xml:space="preserve">spojením pachatel </w:t>
      </w:r>
      <w:r w:rsidRPr="000E3B0C">
        <w:rPr>
          <w:i/>
        </w:rPr>
        <w:t>„</w:t>
      </w:r>
      <w:r w:rsidR="00841E85" w:rsidRPr="000E3B0C">
        <w:rPr>
          <w:i/>
        </w:rPr>
        <w:t>bude potrestán</w:t>
      </w:r>
      <w:r w:rsidRPr="000E3B0C">
        <w:rPr>
          <w:i/>
        </w:rPr>
        <w:t>“</w:t>
      </w:r>
      <w:r w:rsidR="009406B1" w:rsidRPr="000E3B0C">
        <w:t xml:space="preserve"> a</w:t>
      </w:r>
      <w:r w:rsidRPr="000E3B0C">
        <w:t xml:space="preserve"> fakultativní</w:t>
      </w:r>
      <w:r w:rsidR="009406B1" w:rsidRPr="000E3B0C">
        <w:t xml:space="preserve"> </w:t>
      </w:r>
      <w:r w:rsidR="00FC2CBB" w:rsidRPr="000E3B0C">
        <w:t>formulací</w:t>
      </w:r>
      <w:r w:rsidRPr="000E3B0C">
        <w:t xml:space="preserve"> </w:t>
      </w:r>
      <w:r w:rsidRPr="000E3B0C">
        <w:rPr>
          <w:i/>
        </w:rPr>
        <w:t>„</w:t>
      </w:r>
      <w:r w:rsidR="00841E85" w:rsidRPr="000E3B0C">
        <w:rPr>
          <w:i/>
        </w:rPr>
        <w:t>může být potrestán</w:t>
      </w:r>
      <w:r w:rsidRPr="000E3B0C">
        <w:rPr>
          <w:i/>
        </w:rPr>
        <w:t>“</w:t>
      </w:r>
      <w:r w:rsidR="00876602" w:rsidRPr="000E3B0C">
        <w:t xml:space="preserve">. Základní sankce za trestný čin je přitom vždy (s výjimkou obecné hmotněprávní normy) obligatorní; fakultativní tresty jsou dodatkovými postihy ke zpřísnění obligatorního trestu. </w:t>
      </w:r>
      <w:r w:rsidR="00FC2CBB" w:rsidRPr="000E3B0C">
        <w:rPr>
          <w:u w:val="single"/>
        </w:rPr>
        <w:t>Kárné soudcovské právo</w:t>
      </w:r>
      <w:r w:rsidR="00FC2CBB" w:rsidRPr="000E3B0C">
        <w:t xml:space="preserve"> naopak má </w:t>
      </w:r>
      <w:r w:rsidR="009406B1" w:rsidRPr="000E3B0C">
        <w:t>v zákoně upraven</w:t>
      </w:r>
      <w:r w:rsidR="00D02EB1" w:rsidRPr="000E3B0C">
        <w:t>y</w:t>
      </w:r>
      <w:r w:rsidR="009406B1" w:rsidRPr="000E3B0C">
        <w:t xml:space="preserve"> </w:t>
      </w:r>
      <w:r w:rsidR="00FC2CBB" w:rsidRPr="000E3B0C">
        <w:t>toliko fakultativní trest</w:t>
      </w:r>
      <w:r w:rsidR="00D02EB1" w:rsidRPr="000E3B0C">
        <w:t>y</w:t>
      </w:r>
      <w:r w:rsidR="00FC2CBB" w:rsidRPr="000E3B0C">
        <w:t xml:space="preserve">, neboť v případě jakéhokoli jednání naplňujícího znaky kárného provinění je kárnému soudu umožněno </w:t>
      </w:r>
      <w:r w:rsidR="00F452BD" w:rsidRPr="000E3B0C">
        <w:t xml:space="preserve">od </w:t>
      </w:r>
      <w:r w:rsidR="00FC2CBB" w:rsidRPr="000E3B0C">
        <w:t>ul</w:t>
      </w:r>
      <w:r w:rsidR="00EF7329" w:rsidRPr="000E3B0C">
        <w:t>ožení kárného opatření upustit</w:t>
      </w:r>
      <w:r w:rsidR="00EF7329" w:rsidRPr="000E3B0C">
        <w:rPr>
          <w:rFonts w:cs="Arial"/>
          <w:i/>
          <w:shd w:val="clear" w:color="auto" w:fill="FFFFFF"/>
        </w:rPr>
        <w:t>.</w:t>
      </w:r>
      <w:r w:rsidR="00FC2CBB" w:rsidRPr="000E3B0C">
        <w:rPr>
          <w:rStyle w:val="Znakapoznpodarou"/>
          <w:rFonts w:cs="Arial"/>
          <w:shd w:val="clear" w:color="auto" w:fill="FFFFFF"/>
        </w:rPr>
        <w:footnoteReference w:id="186"/>
      </w:r>
    </w:p>
    <w:p w14:paraId="64C653CF" w14:textId="77777777" w:rsidR="00D773F2" w:rsidRPr="000E3B0C" w:rsidRDefault="00D773F2" w:rsidP="001A3D88"/>
    <w:p w14:paraId="278A2343" w14:textId="1FCD2CB7" w:rsidR="008903C5" w:rsidRPr="000E3B0C" w:rsidRDefault="001A3D88" w:rsidP="001A3D88">
      <w:r w:rsidRPr="000E3B0C">
        <w:t>Z</w:t>
      </w:r>
      <w:r w:rsidR="00E5279B" w:rsidRPr="000E3B0C">
        <w:t xml:space="preserve">ávěrem </w:t>
      </w:r>
      <w:r w:rsidR="009406B1" w:rsidRPr="000E3B0C">
        <w:t>této katalogizace trestů je možno</w:t>
      </w:r>
      <w:r w:rsidR="00E5279B" w:rsidRPr="000E3B0C">
        <w:t xml:space="preserve"> uvést dělení</w:t>
      </w:r>
      <w:r w:rsidRPr="000E3B0C">
        <w:t xml:space="preserve"> </w:t>
      </w:r>
      <w:r w:rsidR="009406B1" w:rsidRPr="000E3B0C">
        <w:t>sankcí</w:t>
      </w:r>
      <w:r w:rsidR="008902E1" w:rsidRPr="000E3B0C">
        <w:t xml:space="preserve"> podle doby jejich trvání </w:t>
      </w:r>
      <w:r w:rsidRPr="000E3B0C">
        <w:t>na</w:t>
      </w:r>
      <w:r w:rsidR="00FD7A85">
        <w:t> </w:t>
      </w:r>
      <w:r w:rsidR="009E79A5" w:rsidRPr="000E3B0C">
        <w:rPr>
          <w:b/>
        </w:rPr>
        <w:t>jednorázové</w:t>
      </w:r>
      <w:r w:rsidR="009E79A5" w:rsidRPr="000E3B0C">
        <w:t xml:space="preserve">, </w:t>
      </w:r>
      <w:r w:rsidRPr="000E3B0C">
        <w:rPr>
          <w:b/>
        </w:rPr>
        <w:t>d</w:t>
      </w:r>
      <w:r w:rsidR="008903C5" w:rsidRPr="000E3B0C">
        <w:rPr>
          <w:b/>
        </w:rPr>
        <w:t>očasné</w:t>
      </w:r>
      <w:r w:rsidR="008903C5" w:rsidRPr="000E3B0C">
        <w:t xml:space="preserve"> </w:t>
      </w:r>
      <w:r w:rsidR="008902E1" w:rsidRPr="000E3B0C">
        <w:t xml:space="preserve">(ať už na dobu určitou nebo neurčitou) </w:t>
      </w:r>
      <w:r w:rsidRPr="000E3B0C">
        <w:t xml:space="preserve">a </w:t>
      </w:r>
      <w:r w:rsidRPr="000E3B0C">
        <w:rPr>
          <w:b/>
        </w:rPr>
        <w:t>trvalé</w:t>
      </w:r>
      <w:r w:rsidR="008902E1" w:rsidRPr="000E3B0C">
        <w:t>.</w:t>
      </w:r>
      <w:r w:rsidR="009E79A5" w:rsidRPr="000E3B0C">
        <w:t xml:space="preserve"> Kárné </w:t>
      </w:r>
      <w:r w:rsidR="00B26A2B" w:rsidRPr="000E3B0C">
        <w:t>právo z této „nabídky“ nezná dočasnou sankci na dobu neurčitou</w:t>
      </w:r>
      <w:r w:rsidR="009F5B5A" w:rsidRPr="000E3B0C">
        <w:t xml:space="preserve"> (u peněžitého postihu </w:t>
      </w:r>
      <w:r w:rsidR="009406B1" w:rsidRPr="000E3B0C">
        <w:t>totiž musí být vždy předem stanoveno, jak dlouho se bude uplatňovat, aby byl zachován požadavek na</w:t>
      </w:r>
      <w:r w:rsidR="00FD7A85">
        <w:t> </w:t>
      </w:r>
      <w:r w:rsidR="009406B1" w:rsidRPr="000E3B0C">
        <w:t>jednoznačnost ukládaného trestu)</w:t>
      </w:r>
      <w:r w:rsidR="009F5B5A" w:rsidRPr="000E3B0C">
        <w:t xml:space="preserve">. </w:t>
      </w:r>
      <w:r w:rsidR="009406B1" w:rsidRPr="000E3B0C">
        <w:t>K</w:t>
      </w:r>
      <w:r w:rsidR="00B26A2B" w:rsidRPr="000E3B0C">
        <w:t xml:space="preserve">anonické trestní právo </w:t>
      </w:r>
      <w:r w:rsidR="009F5B5A" w:rsidRPr="000E3B0C">
        <w:t xml:space="preserve">zahrnuje všechny shora nastíněné modely sankcí. </w:t>
      </w:r>
      <w:r w:rsidR="008902E1" w:rsidRPr="000E3B0C">
        <w:t xml:space="preserve">Oba právní systémy přitom </w:t>
      </w:r>
      <w:r w:rsidR="00B26A2B" w:rsidRPr="000E3B0C">
        <w:t xml:space="preserve">shodně </w:t>
      </w:r>
      <w:r w:rsidR="008902E1" w:rsidRPr="000E3B0C">
        <w:t>znají kapitální trest</w:t>
      </w:r>
      <w:r w:rsidR="00B26A2B" w:rsidRPr="000E3B0C">
        <w:t xml:space="preserve">y spočívající v definitivním ukončení výkonu </w:t>
      </w:r>
      <w:r w:rsidR="009F5B5A" w:rsidRPr="000E3B0C">
        <w:t>jejich esenciální činnosti</w:t>
      </w:r>
      <w:r w:rsidR="00B26A2B" w:rsidRPr="000E3B0C">
        <w:t xml:space="preserve">, a to odvolání </w:t>
      </w:r>
      <w:r w:rsidR="008903C5" w:rsidRPr="000E3B0C">
        <w:t>z</w:t>
      </w:r>
      <w:r w:rsidR="008902E1" w:rsidRPr="000E3B0C">
        <w:t> </w:t>
      </w:r>
      <w:r w:rsidR="008903C5" w:rsidRPr="000E3B0C">
        <w:t>funkce</w:t>
      </w:r>
      <w:r w:rsidR="009F5B5A" w:rsidRPr="000E3B0C">
        <w:t xml:space="preserve"> soudce</w:t>
      </w:r>
      <w:r w:rsidR="00B26A2B" w:rsidRPr="000E3B0C">
        <w:t xml:space="preserve"> </w:t>
      </w:r>
      <w:r w:rsidR="008902E1" w:rsidRPr="000E3B0C">
        <w:t xml:space="preserve">a </w:t>
      </w:r>
      <w:r w:rsidR="008903C5" w:rsidRPr="000E3B0C">
        <w:t xml:space="preserve">propuštění </w:t>
      </w:r>
      <w:r w:rsidR="008902E1" w:rsidRPr="000E3B0C">
        <w:t xml:space="preserve">klerika </w:t>
      </w:r>
      <w:r w:rsidR="008903C5" w:rsidRPr="000E3B0C">
        <w:t>z </w:t>
      </w:r>
      <w:r w:rsidR="0016336C" w:rsidRPr="000E3B0C">
        <w:t>klerického</w:t>
      </w:r>
      <w:r w:rsidR="008903C5" w:rsidRPr="000E3B0C">
        <w:t xml:space="preserve"> stavu</w:t>
      </w:r>
      <w:r w:rsidR="008902E1" w:rsidRPr="000E3B0C">
        <w:t>.</w:t>
      </w:r>
    </w:p>
    <w:p w14:paraId="79778CDD" w14:textId="77777777" w:rsidR="008903C5" w:rsidRPr="000E3B0C" w:rsidRDefault="008903C5" w:rsidP="00C22619">
      <w:pPr>
        <w:pStyle w:val="Nadpis2"/>
        <w:numPr>
          <w:ilvl w:val="1"/>
          <w:numId w:val="3"/>
        </w:numPr>
      </w:pPr>
      <w:bookmarkStart w:id="20" w:name="_Toc130067384"/>
      <w:r w:rsidRPr="000E3B0C">
        <w:t>Konkrétní tresty</w:t>
      </w:r>
      <w:bookmarkEnd w:id="20"/>
    </w:p>
    <w:p w14:paraId="7A63FE15" w14:textId="1D391F7B" w:rsidR="00982DE8" w:rsidRPr="000E3B0C" w:rsidRDefault="001A4A2F" w:rsidP="008F67E4">
      <w:r w:rsidRPr="000E3B0C">
        <w:t xml:space="preserve">Sankce za kárné provinění </w:t>
      </w:r>
      <w:r w:rsidR="00334F72" w:rsidRPr="000E3B0C">
        <w:t>ukládaná</w:t>
      </w:r>
      <w:r w:rsidRPr="000E3B0C">
        <w:t xml:space="preserve"> soudcům v </w:t>
      </w:r>
      <w:r w:rsidRPr="000E3B0C">
        <w:rPr>
          <w:u w:val="single"/>
        </w:rPr>
        <w:t>kárném řízení</w:t>
      </w:r>
      <w:r w:rsidRPr="000E3B0C">
        <w:t xml:space="preserve"> se nazývá kárné opatření</w:t>
      </w:r>
      <w:r w:rsidRPr="000E3B0C">
        <w:rPr>
          <w:rStyle w:val="Znakapoznpodarou"/>
        </w:rPr>
        <w:footnoteReference w:id="187"/>
      </w:r>
      <w:r w:rsidR="0037027B" w:rsidRPr="000E3B0C">
        <w:t xml:space="preserve">. </w:t>
      </w:r>
      <w:r w:rsidR="0037027B" w:rsidRPr="000E3B0C">
        <w:rPr>
          <w:rFonts w:cs="Arial"/>
        </w:rPr>
        <w:t xml:space="preserve">Jejich </w:t>
      </w:r>
      <w:r w:rsidR="00334F72" w:rsidRPr="000E3B0C">
        <w:rPr>
          <w:rFonts w:cs="Arial"/>
        </w:rPr>
        <w:t xml:space="preserve">zákonný </w:t>
      </w:r>
      <w:r w:rsidR="0037027B" w:rsidRPr="000E3B0C">
        <w:rPr>
          <w:rFonts w:cs="Arial"/>
        </w:rPr>
        <w:t>výčet</w:t>
      </w:r>
      <w:r w:rsidR="0037027B" w:rsidRPr="000E3B0C">
        <w:rPr>
          <w:vertAlign w:val="superscript"/>
        </w:rPr>
        <w:footnoteReference w:id="188"/>
      </w:r>
      <w:r w:rsidR="0037027B" w:rsidRPr="000E3B0C">
        <w:rPr>
          <w:rFonts w:cs="Arial"/>
        </w:rPr>
        <w:t xml:space="preserve"> je taxativní, seřazený</w:t>
      </w:r>
      <w:r w:rsidR="00334F72" w:rsidRPr="000E3B0C">
        <w:rPr>
          <w:rFonts w:cs="Arial"/>
        </w:rPr>
        <w:t xml:space="preserve"> hierarchicky </w:t>
      </w:r>
      <w:r w:rsidR="0037027B" w:rsidRPr="000E3B0C">
        <w:rPr>
          <w:rFonts w:cs="Arial"/>
        </w:rPr>
        <w:t xml:space="preserve">od nejmírnější formy až po </w:t>
      </w:r>
      <w:r w:rsidR="00334F72" w:rsidRPr="000E3B0C">
        <w:rPr>
          <w:rFonts w:cs="Arial"/>
        </w:rPr>
        <w:t xml:space="preserve">tu </w:t>
      </w:r>
      <w:r w:rsidR="0037027B" w:rsidRPr="000E3B0C">
        <w:rPr>
          <w:rFonts w:cs="Arial"/>
        </w:rPr>
        <w:t xml:space="preserve">nejpřísnější, přičemž v </w:t>
      </w:r>
      <w:r w:rsidR="00334F72" w:rsidRPr="000E3B0C">
        <w:rPr>
          <w:rFonts w:cs="Arial"/>
        </w:rPr>
        <w:t>každém</w:t>
      </w:r>
      <w:r w:rsidR="0037027B" w:rsidRPr="000E3B0C">
        <w:rPr>
          <w:rFonts w:cs="Arial"/>
        </w:rPr>
        <w:t xml:space="preserve"> projednávaném případě </w:t>
      </w:r>
      <w:r w:rsidR="00334F72" w:rsidRPr="000E3B0C">
        <w:rPr>
          <w:rFonts w:cs="Arial"/>
        </w:rPr>
        <w:t xml:space="preserve">lze uložit </w:t>
      </w:r>
      <w:r w:rsidR="0037027B" w:rsidRPr="000E3B0C">
        <w:rPr>
          <w:rFonts w:cs="Arial"/>
        </w:rPr>
        <w:t>vždy jen jednu ze zákonem vyjmenovaných možností.</w:t>
      </w:r>
      <w:r w:rsidR="0037027B" w:rsidRPr="000E3B0C">
        <w:rPr>
          <w:rStyle w:val="Znakapoznpodarou"/>
          <w:rFonts w:cs="Arial"/>
        </w:rPr>
        <w:footnoteReference w:id="189"/>
      </w:r>
      <w:r w:rsidR="0037027B" w:rsidRPr="000E3B0C">
        <w:rPr>
          <w:rFonts w:cs="Arial"/>
        </w:rPr>
        <w:t xml:space="preserve"> </w:t>
      </w:r>
      <w:r w:rsidRPr="000E3B0C">
        <w:t xml:space="preserve">Podle závažnosti protiprávního jednání </w:t>
      </w:r>
      <w:r w:rsidR="0037027B" w:rsidRPr="000E3B0C">
        <w:t>je možné</w:t>
      </w:r>
      <w:r w:rsidR="00334F72" w:rsidRPr="000E3B0C">
        <w:t xml:space="preserve"> soudci</w:t>
      </w:r>
      <w:r w:rsidRPr="000E3B0C">
        <w:t xml:space="preserve"> uložit </w:t>
      </w:r>
      <w:r w:rsidRPr="000E3B0C">
        <w:rPr>
          <w:i/>
        </w:rPr>
        <w:t>důtku</w:t>
      </w:r>
      <w:r w:rsidRPr="000E3B0C">
        <w:t>,</w:t>
      </w:r>
      <w:r w:rsidR="0037027B" w:rsidRPr="000E3B0C">
        <w:t xml:space="preserve"> která je nejmírnějším opatření</w:t>
      </w:r>
      <w:r w:rsidR="00334F72" w:rsidRPr="000E3B0C">
        <w:t xml:space="preserve">m. Do jeho právní </w:t>
      </w:r>
      <w:r w:rsidR="0037027B" w:rsidRPr="000E3B0C">
        <w:t xml:space="preserve">sféry se promítá (obdobně jako výtka) pouze v morální rovině či </w:t>
      </w:r>
      <w:r w:rsidR="00334F72" w:rsidRPr="000E3B0C">
        <w:t xml:space="preserve">podobě </w:t>
      </w:r>
      <w:r w:rsidR="0037027B" w:rsidRPr="000E3B0C">
        <w:t xml:space="preserve">společenského odsudku, postihuje toliko soudcovu čest a případně jeho potenciální kariérní růst, ale </w:t>
      </w:r>
      <w:r w:rsidR="00334F72" w:rsidRPr="000E3B0C">
        <w:t xml:space="preserve">její uložení </w:t>
      </w:r>
      <w:r w:rsidR="0037027B" w:rsidRPr="000E3B0C">
        <w:t xml:space="preserve">nemá žádné materiální (majetkové) důsledky. Další sankcí je </w:t>
      </w:r>
      <w:r w:rsidR="005D46CA" w:rsidRPr="000E3B0C">
        <w:rPr>
          <w:i/>
        </w:rPr>
        <w:t>snížení platu až o 30 </w:t>
      </w:r>
      <w:r w:rsidRPr="000E3B0C">
        <w:rPr>
          <w:i/>
        </w:rPr>
        <w:t xml:space="preserve">% na dobu </w:t>
      </w:r>
      <w:r w:rsidR="00334F72" w:rsidRPr="000E3B0C">
        <w:rPr>
          <w:i/>
        </w:rPr>
        <w:t>nejvýše</w:t>
      </w:r>
      <w:r w:rsidRPr="000E3B0C">
        <w:rPr>
          <w:i/>
        </w:rPr>
        <w:t xml:space="preserve"> 1 roku</w:t>
      </w:r>
      <w:r w:rsidRPr="000E3B0C">
        <w:t xml:space="preserve"> (při opětovném kárném provinění, jehož se soudce dopustil v době před zahlazením kárného op</w:t>
      </w:r>
      <w:r w:rsidR="0037027B" w:rsidRPr="000E3B0C">
        <w:t xml:space="preserve">atření, </w:t>
      </w:r>
      <w:r w:rsidR="00334F72" w:rsidRPr="000E3B0C">
        <w:t xml:space="preserve">je možné tuto sankci uložit </w:t>
      </w:r>
      <w:r w:rsidR="0037027B" w:rsidRPr="000E3B0C">
        <w:t xml:space="preserve">na dobu </w:t>
      </w:r>
      <w:r w:rsidR="00334F72" w:rsidRPr="000E3B0C">
        <w:t>až</w:t>
      </w:r>
      <w:r w:rsidR="0037027B" w:rsidRPr="000E3B0C">
        <w:t xml:space="preserve"> 2 let). </w:t>
      </w:r>
      <w:r w:rsidR="0037027B" w:rsidRPr="000E3B0C">
        <w:lastRenderedPageBreak/>
        <w:t xml:space="preserve">Jedná se o nejčastěji ukládané kárné opatření, které </w:t>
      </w:r>
      <w:r w:rsidR="0037027B" w:rsidRPr="000E3B0C">
        <w:rPr>
          <w:rFonts w:cs="Arial"/>
        </w:rPr>
        <w:t>post</w:t>
      </w:r>
      <w:r w:rsidR="00026B59" w:rsidRPr="000E3B0C">
        <w:rPr>
          <w:rFonts w:cs="Arial"/>
        </w:rPr>
        <w:t>ihuje majetkovou rovinu (příjem) soudce</w:t>
      </w:r>
      <w:r w:rsidR="0037027B" w:rsidRPr="000E3B0C">
        <w:rPr>
          <w:rFonts w:cs="Arial"/>
        </w:rPr>
        <w:t xml:space="preserve">; nastavením </w:t>
      </w:r>
      <w:r w:rsidR="00026B59" w:rsidRPr="000E3B0C">
        <w:rPr>
          <w:rFonts w:cs="Arial"/>
        </w:rPr>
        <w:t xml:space="preserve">svých parametrů přitom </w:t>
      </w:r>
      <w:r w:rsidR="0037027B" w:rsidRPr="000E3B0C">
        <w:rPr>
          <w:rFonts w:cs="Arial"/>
        </w:rPr>
        <w:t xml:space="preserve">umožňuje kárnému soudu relativně širokou variabilitu, pokud jde o rozsah (jak co do výše, tak </w:t>
      </w:r>
      <w:r w:rsidR="00026B59" w:rsidRPr="000E3B0C">
        <w:rPr>
          <w:rFonts w:cs="Arial"/>
        </w:rPr>
        <w:t>doby trvání)</w:t>
      </w:r>
      <w:r w:rsidR="00334F72" w:rsidRPr="000E3B0C">
        <w:rPr>
          <w:rFonts w:cs="Arial"/>
        </w:rPr>
        <w:t xml:space="preserve"> ukládaného postihu</w:t>
      </w:r>
      <w:r w:rsidR="00026B59" w:rsidRPr="000E3B0C">
        <w:rPr>
          <w:rFonts w:cs="Arial"/>
        </w:rPr>
        <w:t>. S</w:t>
      </w:r>
      <w:r w:rsidR="0037027B" w:rsidRPr="000E3B0C">
        <w:rPr>
          <w:rFonts w:cs="Arial"/>
        </w:rPr>
        <w:t xml:space="preserve">myslem </w:t>
      </w:r>
      <w:r w:rsidR="00026B59" w:rsidRPr="000E3B0C">
        <w:rPr>
          <w:rFonts w:cs="Arial"/>
        </w:rPr>
        <w:t xml:space="preserve">tohoto opatření </w:t>
      </w:r>
      <w:r w:rsidR="00334F72" w:rsidRPr="000E3B0C">
        <w:rPr>
          <w:rFonts w:cs="Arial"/>
        </w:rPr>
        <w:t>by však vždy měl být</w:t>
      </w:r>
      <w:r w:rsidR="0037027B" w:rsidRPr="000E3B0C">
        <w:rPr>
          <w:rFonts w:cs="Arial"/>
        </w:rPr>
        <w:t xml:space="preserve"> </w:t>
      </w:r>
      <w:r w:rsidR="001F0E01" w:rsidRPr="000E3B0C">
        <w:rPr>
          <w:rFonts w:cs="Arial"/>
        </w:rPr>
        <w:t>nejen</w:t>
      </w:r>
      <w:r w:rsidR="0037027B" w:rsidRPr="000E3B0C">
        <w:rPr>
          <w:rFonts w:cs="Arial"/>
        </w:rPr>
        <w:t xml:space="preserve"> sankční, ale především motivační </w:t>
      </w:r>
      <w:r w:rsidR="00026B59" w:rsidRPr="000E3B0C">
        <w:rPr>
          <w:rFonts w:cs="Arial"/>
        </w:rPr>
        <w:t>aspekt</w:t>
      </w:r>
      <w:r w:rsidR="008E0EE8" w:rsidRPr="000E3B0C">
        <w:rPr>
          <w:rFonts w:cs="Arial"/>
        </w:rPr>
        <w:t xml:space="preserve"> ve vztahu k </w:t>
      </w:r>
      <w:r w:rsidR="0037027B" w:rsidRPr="000E3B0C">
        <w:rPr>
          <w:rFonts w:cs="Arial"/>
        </w:rPr>
        <w:t>postihované</w:t>
      </w:r>
      <w:r w:rsidR="00026B59" w:rsidRPr="000E3B0C">
        <w:rPr>
          <w:rFonts w:cs="Arial"/>
        </w:rPr>
        <w:t>mu</w:t>
      </w:r>
      <w:r w:rsidR="0037027B" w:rsidRPr="000E3B0C">
        <w:rPr>
          <w:rFonts w:cs="Arial"/>
        </w:rPr>
        <w:t xml:space="preserve"> </w:t>
      </w:r>
      <w:r w:rsidR="00026B59" w:rsidRPr="000E3B0C">
        <w:rPr>
          <w:rFonts w:cs="Arial"/>
        </w:rPr>
        <w:t>soudci</w:t>
      </w:r>
      <w:r w:rsidR="0037027B" w:rsidRPr="000E3B0C">
        <w:rPr>
          <w:rFonts w:cs="Arial"/>
        </w:rPr>
        <w:t xml:space="preserve">, neboť primárním cílem </w:t>
      </w:r>
      <w:r w:rsidR="00334F72" w:rsidRPr="000E3B0C">
        <w:rPr>
          <w:rFonts w:cs="Arial"/>
        </w:rPr>
        <w:t xml:space="preserve">kárného opatření </w:t>
      </w:r>
      <w:r w:rsidR="0037027B" w:rsidRPr="000E3B0C">
        <w:rPr>
          <w:rFonts w:cs="Arial"/>
        </w:rPr>
        <w:t xml:space="preserve">je </w:t>
      </w:r>
      <w:r w:rsidR="00026B59" w:rsidRPr="000E3B0C">
        <w:rPr>
          <w:rFonts w:cs="Arial"/>
        </w:rPr>
        <w:t xml:space="preserve">zajištění řádného výkonu soudnictví. </w:t>
      </w:r>
      <w:r w:rsidR="001F0E01" w:rsidRPr="000E3B0C">
        <w:rPr>
          <w:rFonts w:cs="Arial"/>
        </w:rPr>
        <w:t>Předposlední sankcí je</w:t>
      </w:r>
      <w:r w:rsidR="00026B59" w:rsidRPr="000E3B0C">
        <w:rPr>
          <w:rFonts w:cs="Arial"/>
        </w:rPr>
        <w:t xml:space="preserve"> </w:t>
      </w:r>
      <w:r w:rsidRPr="000E3B0C">
        <w:rPr>
          <w:i/>
        </w:rPr>
        <w:t>odvolání z</w:t>
      </w:r>
      <w:r w:rsidR="001F0E01" w:rsidRPr="000E3B0C">
        <w:rPr>
          <w:i/>
        </w:rPr>
        <w:t> </w:t>
      </w:r>
      <w:r w:rsidRPr="000E3B0C">
        <w:rPr>
          <w:i/>
        </w:rPr>
        <w:t>funkce</w:t>
      </w:r>
      <w:r w:rsidR="001F0E01" w:rsidRPr="000E3B0C">
        <w:rPr>
          <w:i/>
        </w:rPr>
        <w:t xml:space="preserve"> předsedy senátu</w:t>
      </w:r>
      <w:r w:rsidR="001F0E01" w:rsidRPr="000E3B0C">
        <w:t xml:space="preserve">, které je jedním z nejméně častých kárných opatření; </w:t>
      </w:r>
      <w:r w:rsidR="00E52DDD" w:rsidRPr="000E3B0C">
        <w:t xml:space="preserve">lze </w:t>
      </w:r>
      <w:r w:rsidR="001F0E01" w:rsidRPr="000E3B0C">
        <w:t xml:space="preserve">jej totiž </w:t>
      </w:r>
      <w:r w:rsidR="00E52DDD" w:rsidRPr="000E3B0C">
        <w:t xml:space="preserve">logicky </w:t>
      </w:r>
      <w:r w:rsidR="001F0E01" w:rsidRPr="000E3B0C">
        <w:t xml:space="preserve">uložit </w:t>
      </w:r>
      <w:r w:rsidR="00E52DDD" w:rsidRPr="000E3B0C">
        <w:t xml:space="preserve">pouze v případě, že kárně obviněný soudce je </w:t>
      </w:r>
      <w:r w:rsidR="00DA7325" w:rsidRPr="000E3B0C">
        <w:t xml:space="preserve">zároveň </w:t>
      </w:r>
      <w:r w:rsidR="00E52DDD" w:rsidRPr="000E3B0C">
        <w:t>předsedou senátu</w:t>
      </w:r>
      <w:r w:rsidR="001F0E01" w:rsidRPr="000E3B0C">
        <w:rPr>
          <w:vertAlign w:val="superscript"/>
        </w:rPr>
        <w:footnoteReference w:id="190"/>
      </w:r>
      <w:r w:rsidR="00E16A99" w:rsidRPr="000E3B0C">
        <w:t xml:space="preserve">. Tento trest postihuje jak majetkovou sféru daného soudce (neboť ve svém důsledku vede k odnětí zvýšení platového koeficientu za výkon funkce předsedy senátu), tak i </w:t>
      </w:r>
      <w:r w:rsidR="00DA7325" w:rsidRPr="000E3B0C">
        <w:t xml:space="preserve">jeho </w:t>
      </w:r>
      <w:r w:rsidR="00E16A99" w:rsidRPr="000E3B0C">
        <w:t>osobní sféru v důsledku snížení odborné prestiže</w:t>
      </w:r>
      <w:r w:rsidR="00DA7325" w:rsidRPr="000E3B0C">
        <w:t xml:space="preserve"> a postavení v rámci soudu</w:t>
      </w:r>
      <w:r w:rsidR="00E16A99" w:rsidRPr="000E3B0C">
        <w:t xml:space="preserve">. </w:t>
      </w:r>
      <w:r w:rsidR="00E52DDD" w:rsidRPr="000E3B0C">
        <w:t xml:space="preserve">Je namístě </w:t>
      </w:r>
      <w:r w:rsidR="001F0E01" w:rsidRPr="000E3B0C">
        <w:t xml:space="preserve">k němu přikročit </w:t>
      </w:r>
      <w:r w:rsidR="00E52DDD" w:rsidRPr="000E3B0C">
        <w:t xml:space="preserve">v případě, kdy soudce spáchal provinění </w:t>
      </w:r>
      <w:r w:rsidR="001F0E01" w:rsidRPr="000E3B0C">
        <w:t xml:space="preserve">právě </w:t>
      </w:r>
      <w:r w:rsidR="00E52DDD" w:rsidRPr="000E3B0C">
        <w:t>v souvislosti s výkonem práv či</w:t>
      </w:r>
      <w:r w:rsidR="00FD7A85">
        <w:t> </w:t>
      </w:r>
      <w:r w:rsidR="00E52DDD" w:rsidRPr="000E3B0C">
        <w:t>povinností předsedy senátu</w:t>
      </w:r>
      <w:r w:rsidR="001F0E01" w:rsidRPr="000E3B0C">
        <w:t>.</w:t>
      </w:r>
      <w:r w:rsidR="001F0E01" w:rsidRPr="000E3B0C">
        <w:rPr>
          <w:rStyle w:val="Znakapoznpodarou"/>
        </w:rPr>
        <w:footnoteReference w:id="191"/>
      </w:r>
      <w:r w:rsidR="001F0E01" w:rsidRPr="000E3B0C">
        <w:t xml:space="preserve"> </w:t>
      </w:r>
      <w:r w:rsidR="00E16A99" w:rsidRPr="000E3B0C">
        <w:t xml:space="preserve">Konečně posledním kárným opatřením je </w:t>
      </w:r>
      <w:r w:rsidR="00E16A99" w:rsidRPr="000E3B0C">
        <w:rPr>
          <w:i/>
        </w:rPr>
        <w:t xml:space="preserve">odvolání z funkce </w:t>
      </w:r>
      <w:r w:rsidR="001F0E01" w:rsidRPr="000E3B0C">
        <w:rPr>
          <w:i/>
        </w:rPr>
        <w:t>samotného soudce</w:t>
      </w:r>
      <w:r w:rsidR="001F0E01" w:rsidRPr="000E3B0C">
        <w:t>.</w:t>
      </w:r>
      <w:r w:rsidR="00F4719F" w:rsidRPr="000E3B0C">
        <w:t xml:space="preserve"> Jedná se o </w:t>
      </w:r>
      <w:r w:rsidR="00E52DDD" w:rsidRPr="000E3B0C">
        <w:t xml:space="preserve">nejpřísnější </w:t>
      </w:r>
      <w:r w:rsidR="00F4719F" w:rsidRPr="000E3B0C">
        <w:t xml:space="preserve">možný trest, </w:t>
      </w:r>
      <w:r w:rsidR="00982DE8" w:rsidRPr="000E3B0C">
        <w:t>který se u</w:t>
      </w:r>
      <w:r w:rsidR="00E52DDD" w:rsidRPr="000E3B0C">
        <w:t xml:space="preserve">kládá </w:t>
      </w:r>
      <w:r w:rsidR="00982DE8" w:rsidRPr="000E3B0C">
        <w:t>jen</w:t>
      </w:r>
      <w:r w:rsidR="00E52DDD" w:rsidRPr="000E3B0C">
        <w:t xml:space="preserve"> za nejvážnější kárná provinění, přičemž závažnost může být dána i častým</w:t>
      </w:r>
      <w:r w:rsidR="00982DE8" w:rsidRPr="000E3B0C">
        <w:t xml:space="preserve"> opakováním těch méně </w:t>
      </w:r>
      <w:r w:rsidR="00DA7325" w:rsidRPr="000E3B0C">
        <w:t>intenzivních pochybení</w:t>
      </w:r>
      <w:r w:rsidR="00982DE8" w:rsidRPr="000E3B0C">
        <w:t>; vyjadřuje zjištění, že daná osoba není odborně či eticky způsobilá nadále vykonávat funkci soudce.</w:t>
      </w:r>
      <w:r w:rsidR="00982DE8" w:rsidRPr="000E3B0C">
        <w:rPr>
          <w:rStyle w:val="Znakapoznpodarou"/>
        </w:rPr>
        <w:footnoteReference w:id="192"/>
      </w:r>
      <w:r w:rsidR="00982DE8" w:rsidRPr="000E3B0C">
        <w:t xml:space="preserve"> </w:t>
      </w:r>
      <w:r w:rsidR="008F67E4" w:rsidRPr="000E3B0C">
        <w:t xml:space="preserve">Okamžikem právní moci takového rozhodnutí kárného soudu (jež nastává </w:t>
      </w:r>
      <w:r w:rsidR="00DA7325" w:rsidRPr="000E3B0C">
        <w:t xml:space="preserve">již </w:t>
      </w:r>
      <w:r w:rsidR="008F67E4" w:rsidRPr="000E3B0C">
        <w:t xml:space="preserve">jeho vyhlášením) dochází současně jak </w:t>
      </w:r>
      <w:r w:rsidR="00DA7325" w:rsidRPr="000E3B0C">
        <w:t xml:space="preserve">k </w:t>
      </w:r>
      <w:r w:rsidR="00982DE8" w:rsidRPr="000E3B0C">
        <w:t>zániku funkce soudce</w:t>
      </w:r>
      <w:r w:rsidR="008F67E4" w:rsidRPr="000E3B0C">
        <w:t>, tak i jeho</w:t>
      </w:r>
      <w:r w:rsidR="00982DE8" w:rsidRPr="000E3B0C">
        <w:t xml:space="preserve"> pracovního </w:t>
      </w:r>
      <w:r w:rsidR="008F67E4" w:rsidRPr="000E3B0C">
        <w:t xml:space="preserve">poměru vůči soudu. </w:t>
      </w:r>
      <w:r w:rsidR="00982DE8" w:rsidRPr="000E3B0C">
        <w:t xml:space="preserve">Počínaje </w:t>
      </w:r>
      <w:r w:rsidR="00DA7325" w:rsidRPr="000E3B0C">
        <w:t xml:space="preserve">následujícím </w:t>
      </w:r>
      <w:r w:rsidR="00982DE8" w:rsidRPr="000E3B0C">
        <w:t>dnem nesmí odvolaný soudce vykonávat žádné úkony související</w:t>
      </w:r>
      <w:r w:rsidR="00C77132" w:rsidRPr="000E3B0C">
        <w:t xml:space="preserve"> s</w:t>
      </w:r>
      <w:r w:rsidR="00DA7325" w:rsidRPr="000E3B0C">
        <w:t> jeho (dřívější)</w:t>
      </w:r>
      <w:r w:rsidR="00C77132" w:rsidRPr="000E3B0C">
        <w:t xml:space="preserve"> rozhodovací činností</w:t>
      </w:r>
      <w:r w:rsidR="00982DE8" w:rsidRPr="000E3B0C">
        <w:t>.</w:t>
      </w:r>
      <w:r w:rsidR="00982DE8" w:rsidRPr="000E3B0C">
        <w:rPr>
          <w:rStyle w:val="Znakapoznpodarou"/>
        </w:rPr>
        <w:footnoteReference w:id="193"/>
      </w:r>
    </w:p>
    <w:p w14:paraId="691758F2" w14:textId="77777777" w:rsidR="00193853" w:rsidRPr="000E3B0C" w:rsidRDefault="00193853" w:rsidP="00292885"/>
    <w:p w14:paraId="3FBC3CB7" w14:textId="5C0F0B6C" w:rsidR="00FD7141" w:rsidRPr="000E3B0C" w:rsidRDefault="0001713E" w:rsidP="00292885">
      <w:r w:rsidRPr="000E3B0C">
        <w:t>V </w:t>
      </w:r>
      <w:r w:rsidRPr="000E3B0C">
        <w:rPr>
          <w:u w:val="single"/>
        </w:rPr>
        <w:t>kanonickém trestním právu</w:t>
      </w:r>
      <w:r w:rsidRPr="000E3B0C">
        <w:t xml:space="preserve"> je paleta možných sankcí podstatně bohatší. </w:t>
      </w:r>
      <w:r w:rsidR="00D90798" w:rsidRPr="000E3B0C">
        <w:t>Kodex rozlišuje</w:t>
      </w:r>
      <w:r w:rsidRPr="000E3B0C">
        <w:t xml:space="preserve"> tresty n</w:t>
      </w:r>
      <w:r w:rsidR="008903C5" w:rsidRPr="000E3B0C">
        <w:t>ápravné</w:t>
      </w:r>
      <w:r w:rsidR="00087326" w:rsidRPr="000E3B0C">
        <w:t xml:space="preserve"> </w:t>
      </w:r>
      <w:r w:rsidR="00D260EC" w:rsidRPr="000E3B0C">
        <w:t xml:space="preserve">(cenzury) </w:t>
      </w:r>
      <w:r w:rsidR="00087326" w:rsidRPr="000E3B0C">
        <w:t>a pořádkové.</w:t>
      </w:r>
      <w:r w:rsidR="00D260EC" w:rsidRPr="000E3B0C">
        <w:rPr>
          <w:rStyle w:val="Znakapoznpodarou"/>
        </w:rPr>
        <w:footnoteReference w:id="194"/>
      </w:r>
      <w:r w:rsidR="00087326" w:rsidRPr="000E3B0C">
        <w:t xml:space="preserve"> </w:t>
      </w:r>
      <w:r w:rsidR="007B1A2F" w:rsidRPr="000E3B0C">
        <w:t xml:space="preserve">Ty </w:t>
      </w:r>
      <w:r w:rsidR="007B1A2F" w:rsidRPr="000E3B0C">
        <w:rPr>
          <w:b/>
        </w:rPr>
        <w:t>n</w:t>
      </w:r>
      <w:r w:rsidR="00087326" w:rsidRPr="000E3B0C">
        <w:rPr>
          <w:b/>
        </w:rPr>
        <w:t>ápravné</w:t>
      </w:r>
      <w:r w:rsidR="003E1E05" w:rsidRPr="000E3B0C">
        <w:t xml:space="preserve"> (jejichž alternativní označ</w:t>
      </w:r>
      <w:r w:rsidR="00D90798" w:rsidRPr="000E3B0C">
        <w:t>ení</w:t>
      </w:r>
      <w:r w:rsidR="007F31C6" w:rsidRPr="000E3B0C">
        <w:t xml:space="preserve"> je </w:t>
      </w:r>
      <w:r w:rsidR="003E1E05" w:rsidRPr="000E3B0C">
        <w:t>léčebné</w:t>
      </w:r>
      <w:r w:rsidR="007F31C6" w:rsidRPr="000E3B0C">
        <w:t xml:space="preserve"> či</w:t>
      </w:r>
      <w:r w:rsidR="00FD7A85">
        <w:t> </w:t>
      </w:r>
      <w:r w:rsidR="007F31C6" w:rsidRPr="000E3B0C">
        <w:t>ozdravné</w:t>
      </w:r>
      <w:r w:rsidR="003E1E05" w:rsidRPr="000E3B0C">
        <w:t>)</w:t>
      </w:r>
      <w:r w:rsidRPr="000E3B0C">
        <w:t xml:space="preserve"> </w:t>
      </w:r>
      <w:r w:rsidR="006566CD" w:rsidRPr="000E3B0C">
        <w:t xml:space="preserve">mají směřovat k polepšení </w:t>
      </w:r>
      <w:r w:rsidR="007B1A2F" w:rsidRPr="000E3B0C">
        <w:t xml:space="preserve">pachatele, přičemž jsou </w:t>
      </w:r>
      <w:r w:rsidR="006566CD" w:rsidRPr="000E3B0C">
        <w:t>vyhrazeny</w:t>
      </w:r>
      <w:r w:rsidR="00406941" w:rsidRPr="000E3B0C">
        <w:t xml:space="preserve"> pro závažná protiprávní jednání, jejichž znakem je zatvrzelost. Tyto tresty musejí být zrušeny (</w:t>
      </w:r>
      <w:r w:rsidR="00823767" w:rsidRPr="000E3B0C">
        <w:t>příp. </w:t>
      </w:r>
      <w:r w:rsidR="00406941" w:rsidRPr="000E3B0C">
        <w:t xml:space="preserve">prominuty), jakmile se potrestaný </w:t>
      </w:r>
      <w:r w:rsidR="006566CD" w:rsidRPr="000E3B0C">
        <w:t xml:space="preserve">pachatel </w:t>
      </w:r>
      <w:r w:rsidR="00406941" w:rsidRPr="000E3B0C">
        <w:t>napravil</w:t>
      </w:r>
      <w:r w:rsidR="007B1A2F" w:rsidRPr="000E3B0C">
        <w:t>;</w:t>
      </w:r>
      <w:r w:rsidR="00087326" w:rsidRPr="000E3B0C">
        <w:rPr>
          <w:rStyle w:val="Znakapoznpodarou"/>
        </w:rPr>
        <w:footnoteReference w:id="195"/>
      </w:r>
      <w:r w:rsidR="006566CD" w:rsidRPr="000E3B0C">
        <w:t xml:space="preserve"> </w:t>
      </w:r>
      <w:r w:rsidR="007B1A2F" w:rsidRPr="000E3B0C">
        <w:t xml:space="preserve">mám </w:t>
      </w:r>
      <w:r w:rsidR="00823767" w:rsidRPr="000E3B0C">
        <w:t>proto</w:t>
      </w:r>
      <w:r w:rsidR="007B1A2F" w:rsidRPr="000E3B0C">
        <w:t xml:space="preserve"> za to, že bývají ukládány </w:t>
      </w:r>
      <w:r w:rsidR="00823767" w:rsidRPr="000E3B0C">
        <w:t xml:space="preserve">zpravidla </w:t>
      </w:r>
      <w:r w:rsidR="007B1A2F" w:rsidRPr="000E3B0C">
        <w:t xml:space="preserve">na dobu neurčitou. </w:t>
      </w:r>
      <w:r w:rsidR="006566CD" w:rsidRPr="000E3B0C">
        <w:rPr>
          <w:rFonts w:cs="TimesNewRomanPSMT"/>
        </w:rPr>
        <w:t xml:space="preserve">Prvním z nich je </w:t>
      </w:r>
      <w:r w:rsidR="006566CD" w:rsidRPr="000E3B0C">
        <w:rPr>
          <w:rFonts w:cs="TimesNewRomanPSMT"/>
          <w:i/>
        </w:rPr>
        <w:t>exkomunikace</w:t>
      </w:r>
      <w:r w:rsidR="00823767" w:rsidRPr="000E3B0C">
        <w:rPr>
          <w:rFonts w:cs="TimesNewRomanPSMT"/>
        </w:rPr>
        <w:t xml:space="preserve"> (v češtině postaru klatba)</w:t>
      </w:r>
      <w:r w:rsidR="006566CD" w:rsidRPr="000E3B0C">
        <w:rPr>
          <w:rFonts w:cs="TimesNewRomanPSMT"/>
        </w:rPr>
        <w:t>, která</w:t>
      </w:r>
      <w:r w:rsidR="006566CD" w:rsidRPr="000E3B0C">
        <w:t xml:space="preserve"> představuje</w:t>
      </w:r>
      <w:r w:rsidR="007A43AE" w:rsidRPr="000E3B0C">
        <w:t xml:space="preserve"> odloučení pachatele z výkonu některých práv spjatých s nadále alespoň právně existujícím členstvím v církevním společenství</w:t>
      </w:r>
      <w:r w:rsidR="006566CD" w:rsidRPr="000E3B0C">
        <w:t>.</w:t>
      </w:r>
      <w:r w:rsidR="00236D48" w:rsidRPr="000E3B0C">
        <w:t xml:space="preserve"> </w:t>
      </w:r>
      <w:r w:rsidR="006566CD" w:rsidRPr="000E3B0C">
        <w:t xml:space="preserve">Je </w:t>
      </w:r>
      <w:r w:rsidR="007A43AE" w:rsidRPr="000E3B0C">
        <w:t xml:space="preserve">tedy </w:t>
      </w:r>
      <w:r w:rsidR="006566CD" w:rsidRPr="000E3B0C">
        <w:t>třeba upozornit, že se nejedná o</w:t>
      </w:r>
      <w:r w:rsidR="00FD7A85">
        <w:t> </w:t>
      </w:r>
      <w:r w:rsidR="007A43AE" w:rsidRPr="000E3B0C">
        <w:t>pachatelovo</w:t>
      </w:r>
      <w:r w:rsidR="006566CD" w:rsidRPr="000E3B0C">
        <w:t xml:space="preserve"> </w:t>
      </w:r>
      <w:r w:rsidR="00236D48" w:rsidRPr="000E3B0C">
        <w:t xml:space="preserve">vyloučení </w:t>
      </w:r>
      <w:r w:rsidR="006566CD" w:rsidRPr="000E3B0C">
        <w:t xml:space="preserve">(vyobcování) </w:t>
      </w:r>
      <w:r w:rsidR="00236D48" w:rsidRPr="000E3B0C">
        <w:t>z</w:t>
      </w:r>
      <w:r w:rsidR="006566CD" w:rsidRPr="000E3B0C">
        <w:t> </w:t>
      </w:r>
      <w:r w:rsidR="00236D48" w:rsidRPr="000E3B0C">
        <w:t>církve</w:t>
      </w:r>
      <w:r w:rsidR="006566CD" w:rsidRPr="000E3B0C">
        <w:t xml:space="preserve">, neboť z té nelze nikoho platně pokřtěného </w:t>
      </w:r>
      <w:r w:rsidR="006F4843" w:rsidRPr="000E3B0C">
        <w:lastRenderedPageBreak/>
        <w:t xml:space="preserve">vypudit; </w:t>
      </w:r>
      <w:r w:rsidR="006566CD" w:rsidRPr="000E3B0C">
        <w:t>nutno podotknout, že tomu tak nebylo ani v minulosti.</w:t>
      </w:r>
      <w:r w:rsidR="006566CD" w:rsidRPr="000E3B0C">
        <w:rPr>
          <w:rStyle w:val="Znakapoznpodarou"/>
        </w:rPr>
        <w:footnoteReference w:id="196"/>
      </w:r>
      <w:r w:rsidR="006566CD" w:rsidRPr="000E3B0C">
        <w:t xml:space="preserve"> </w:t>
      </w:r>
      <w:r w:rsidR="006566CD" w:rsidRPr="000E3B0C">
        <w:rPr>
          <w:rFonts w:cs="TimesNewRomanPSMT"/>
        </w:rPr>
        <w:t>Exkomunikovanému se</w:t>
      </w:r>
      <w:r w:rsidR="00DB1008">
        <w:rPr>
          <w:rFonts w:cs="TimesNewRomanPSMT"/>
        </w:rPr>
        <w:t> </w:t>
      </w:r>
      <w:r w:rsidR="006566CD" w:rsidRPr="000E3B0C">
        <w:rPr>
          <w:rFonts w:cs="TimesNewRomanPSMT"/>
        </w:rPr>
        <w:t>zakazuje slavit a přijímat všechny svátosti, vysluhovat svátostiny a ostatní úkony liturgického kultu, mít aktivní účast na těchto slaveních, vykonávat jakýkoliv církevní úřad, úkol, službu či</w:t>
      </w:r>
      <w:r w:rsidR="00DB1008">
        <w:rPr>
          <w:rFonts w:cs="TimesNewRomanPSMT"/>
        </w:rPr>
        <w:t> </w:t>
      </w:r>
      <w:r w:rsidR="006566CD" w:rsidRPr="000E3B0C">
        <w:rPr>
          <w:rFonts w:cs="TimesNewRomanPSMT"/>
        </w:rPr>
        <w:t>funkci a taktéž konat úkony z moci řízení</w:t>
      </w:r>
      <w:r w:rsidR="004526BE" w:rsidRPr="000E3B0C">
        <w:rPr>
          <w:rFonts w:cs="TimesNewRomanPSMT"/>
        </w:rPr>
        <w:t>;</w:t>
      </w:r>
      <w:r w:rsidR="006566CD" w:rsidRPr="000E3B0C">
        <w:rPr>
          <w:rStyle w:val="Znakapoznpodarou"/>
          <w:rFonts w:cs="TimesNewRomanPSMT"/>
        </w:rPr>
        <w:footnoteReference w:id="197"/>
      </w:r>
      <w:r w:rsidR="006566CD" w:rsidRPr="000E3B0C">
        <w:rPr>
          <w:rFonts w:cs="TimesNewRomanPSMT"/>
        </w:rPr>
        <w:t xml:space="preserve"> </w:t>
      </w:r>
      <w:r w:rsidR="004526BE" w:rsidRPr="000E3B0C">
        <w:t>postiženému</w:t>
      </w:r>
      <w:r w:rsidR="006566CD" w:rsidRPr="000E3B0C">
        <w:t xml:space="preserve"> exkomunikací se ovšem</w:t>
      </w:r>
      <w:r w:rsidR="00236D48" w:rsidRPr="000E3B0C">
        <w:t xml:space="preserve"> nezakazuje</w:t>
      </w:r>
      <w:r w:rsidR="00E9022E" w:rsidRPr="000E3B0C">
        <w:t xml:space="preserve"> „prostá“</w:t>
      </w:r>
      <w:r w:rsidR="00236D48" w:rsidRPr="000E3B0C">
        <w:t xml:space="preserve"> přítomnost při bohoslužbách nebo </w:t>
      </w:r>
      <w:r w:rsidR="00E9022E" w:rsidRPr="000E3B0C">
        <w:t>duchovní rozhovor se svým pastýřem</w:t>
      </w:r>
      <w:r w:rsidR="00236D48" w:rsidRPr="000E3B0C">
        <w:t>.</w:t>
      </w:r>
      <w:r w:rsidR="006566CD" w:rsidRPr="000E3B0C">
        <w:rPr>
          <w:rStyle w:val="Znakapoznpodarou"/>
        </w:rPr>
        <w:footnoteReference w:id="198"/>
      </w:r>
      <w:r w:rsidR="00C928A1" w:rsidRPr="000E3B0C">
        <w:t xml:space="preserve"> Další sankcí je </w:t>
      </w:r>
      <w:r w:rsidR="00C928A1" w:rsidRPr="000E3B0C">
        <w:rPr>
          <w:i/>
        </w:rPr>
        <w:t>interdikt</w:t>
      </w:r>
      <w:r w:rsidR="00C928A1" w:rsidRPr="000E3B0C">
        <w:t>, který představuje určitou podmnožinu exkomunikace a je vůči ní trestem mírnějším; zahrnuje totiž užší oblast zákazů týkajících se pouze liturgických úkonů</w:t>
      </w:r>
      <w:r w:rsidR="00C928A1" w:rsidRPr="000E3B0C">
        <w:rPr>
          <w:rStyle w:val="Znakapoznpodarou"/>
        </w:rPr>
        <w:footnoteReference w:id="199"/>
      </w:r>
      <w:r w:rsidR="00C928A1" w:rsidRPr="000E3B0C">
        <w:t xml:space="preserve">. Zajímavostí je, že ještě </w:t>
      </w:r>
      <w:r w:rsidR="003E1E05" w:rsidRPr="000E3B0C">
        <w:t xml:space="preserve">Kodex z roku </w:t>
      </w:r>
      <w:r w:rsidR="00C928A1" w:rsidRPr="000E3B0C">
        <w:t xml:space="preserve">1917 znal interdikt (krom dnes výlučně osobního) také </w:t>
      </w:r>
      <w:r w:rsidR="004526BE" w:rsidRPr="000E3B0C">
        <w:t>s místní působností</w:t>
      </w:r>
      <w:r w:rsidR="00C928A1" w:rsidRPr="000E3B0C">
        <w:t>, který zakazoval</w:t>
      </w:r>
      <w:r w:rsidR="004526BE" w:rsidRPr="000E3B0C">
        <w:t xml:space="preserve"> bohoslužby na určitých místech.</w:t>
      </w:r>
      <w:r w:rsidR="00C928A1" w:rsidRPr="000E3B0C">
        <w:t xml:space="preserve"> Hrdina podotýká, že až do konce středověku byla tato sankce nadužívanou zbraní v rukou církevní moci, přestože fungovala na principu kolektivní viny.</w:t>
      </w:r>
      <w:r w:rsidR="00C928A1" w:rsidRPr="000E3B0C">
        <w:rPr>
          <w:vertAlign w:val="superscript"/>
        </w:rPr>
        <w:footnoteReference w:id="200"/>
      </w:r>
      <w:r w:rsidR="00C928A1" w:rsidRPr="000E3B0C">
        <w:t xml:space="preserve"> </w:t>
      </w:r>
      <w:r w:rsidR="0057239A" w:rsidRPr="000E3B0C">
        <w:t xml:space="preserve">Posledním nápravným trestem je </w:t>
      </w:r>
      <w:r w:rsidR="00292885" w:rsidRPr="000E3B0C">
        <w:rPr>
          <w:i/>
        </w:rPr>
        <w:t>suspenze</w:t>
      </w:r>
      <w:r w:rsidR="00292885" w:rsidRPr="000E3B0C">
        <w:t>, která je k ex</w:t>
      </w:r>
      <w:r w:rsidR="004526BE" w:rsidRPr="000E3B0C">
        <w:t>komunikaci speciálním trestem. Ta s</w:t>
      </w:r>
      <w:r w:rsidR="00292885" w:rsidRPr="000E3B0C">
        <w:t>počívá v zákazu</w:t>
      </w:r>
      <w:r w:rsidR="00AF39F5" w:rsidRPr="000E3B0C">
        <w:t xml:space="preserve"> výkonu některých nebo všech </w:t>
      </w:r>
      <w:r w:rsidR="00292885" w:rsidRPr="000E3B0C">
        <w:t xml:space="preserve">úkonů z moci svěcení i řízení a dále </w:t>
      </w:r>
      <w:r w:rsidR="00AF39F5" w:rsidRPr="000E3B0C">
        <w:t>některých nebo všech oprávněn</w:t>
      </w:r>
      <w:r w:rsidR="00292885" w:rsidRPr="000E3B0C">
        <w:t>í</w:t>
      </w:r>
      <w:r w:rsidR="009E5FBF" w:rsidRPr="000E3B0C">
        <w:t xml:space="preserve"> spojených s církevním úřadem; t</w:t>
      </w:r>
      <w:r w:rsidR="00292885" w:rsidRPr="000E3B0C">
        <w:t xml:space="preserve">yto zákazy se </w:t>
      </w:r>
      <w:r w:rsidR="009E5FBF" w:rsidRPr="000E3B0C">
        <w:t>ovšem</w:t>
      </w:r>
      <w:r w:rsidR="00292885" w:rsidRPr="000E3B0C">
        <w:t xml:space="preserve"> nikdy netýkají </w:t>
      </w:r>
      <w:r w:rsidR="009E5FBF" w:rsidRPr="000E3B0C">
        <w:t xml:space="preserve">těch </w:t>
      </w:r>
      <w:r w:rsidR="00292885" w:rsidRPr="000E3B0C">
        <w:t>úřadů, které nepodléhají moci představeného</w:t>
      </w:r>
      <w:r w:rsidR="009E5FBF" w:rsidRPr="000E3B0C">
        <w:t xml:space="preserve"> stanovícího trest</w:t>
      </w:r>
      <w:r w:rsidR="0080455E" w:rsidRPr="000E3B0C">
        <w:t>,</w:t>
      </w:r>
      <w:r w:rsidR="00292885" w:rsidRPr="000E3B0C">
        <w:t xml:space="preserve"> </w:t>
      </w:r>
      <w:r w:rsidR="009E5FBF" w:rsidRPr="000E3B0C">
        <w:t xml:space="preserve">dále práva na bydlení náležícího </w:t>
      </w:r>
      <w:r w:rsidR="008E0EE8" w:rsidRPr="000E3B0C">
        <w:t>pachateli z </w:t>
      </w:r>
      <w:r w:rsidR="00292885" w:rsidRPr="000E3B0C">
        <w:t>důvodu úřadu</w:t>
      </w:r>
      <w:r w:rsidR="009E5FBF" w:rsidRPr="000E3B0C">
        <w:t xml:space="preserve"> ani </w:t>
      </w:r>
      <w:r w:rsidR="00292885" w:rsidRPr="000E3B0C">
        <w:t>práva spravovat majetek, který patří k úřadu</w:t>
      </w:r>
      <w:r w:rsidR="0088574B" w:rsidRPr="000E3B0C">
        <w:t xml:space="preserve"> suspendovaného, jestliže šlo o </w:t>
      </w:r>
      <w:r w:rsidR="00292885" w:rsidRPr="000E3B0C">
        <w:t>samočinný trest.</w:t>
      </w:r>
      <w:r w:rsidR="00292885" w:rsidRPr="000E3B0C">
        <w:rPr>
          <w:vertAlign w:val="superscript"/>
        </w:rPr>
        <w:footnoteReference w:id="201"/>
      </w:r>
      <w:r w:rsidR="00292885" w:rsidRPr="000E3B0C">
        <w:t xml:space="preserve"> Poslední novela Kodexu vypustila</w:t>
      </w:r>
      <w:r w:rsidR="00FD7141" w:rsidRPr="000E3B0C">
        <w:t xml:space="preserve"> </w:t>
      </w:r>
      <w:r w:rsidR="00292885" w:rsidRPr="000E3B0C">
        <w:t xml:space="preserve">dřívější </w:t>
      </w:r>
      <w:r w:rsidR="00FD7141" w:rsidRPr="000E3B0C">
        <w:t>slov</w:t>
      </w:r>
      <w:r w:rsidR="00292885" w:rsidRPr="000E3B0C">
        <w:t>a</w:t>
      </w:r>
      <w:r w:rsidR="00FD7141" w:rsidRPr="000E3B0C">
        <w:t xml:space="preserve"> </w:t>
      </w:r>
      <w:r w:rsidR="00FD7141" w:rsidRPr="000E3B0C">
        <w:rPr>
          <w:i/>
        </w:rPr>
        <w:t>„která může postihnout pouze duchovní“</w:t>
      </w:r>
      <w:r w:rsidR="00292885" w:rsidRPr="000E3B0C">
        <w:t>, čímž u trestu s</w:t>
      </w:r>
      <w:r w:rsidR="00FD7141" w:rsidRPr="000E3B0C">
        <w:t>uspenze odpadla dosavadní specialita na straně subjektu a</w:t>
      </w:r>
      <w:r w:rsidR="00DB1008">
        <w:t> </w:t>
      </w:r>
      <w:r w:rsidR="00FD7141" w:rsidRPr="000E3B0C">
        <w:t>okruh osob s deliktní způso</w:t>
      </w:r>
      <w:r w:rsidR="00292885" w:rsidRPr="000E3B0C">
        <w:t>bilostí byl rozšířen i na laiky</w:t>
      </w:r>
      <w:r w:rsidR="00292885" w:rsidRPr="000E3B0C">
        <w:rPr>
          <w:vertAlign w:val="superscript"/>
        </w:rPr>
        <w:footnoteReference w:id="202"/>
      </w:r>
      <w:r w:rsidR="00FD7141" w:rsidRPr="000E3B0C">
        <w:t>.</w:t>
      </w:r>
      <w:r w:rsidR="00292885" w:rsidRPr="000E3B0C">
        <w:rPr>
          <w:vertAlign w:val="superscript"/>
        </w:rPr>
        <w:footnoteReference w:id="203"/>
      </w:r>
    </w:p>
    <w:p w14:paraId="33721B89" w14:textId="77777777" w:rsidR="006C7E38" w:rsidRPr="000E3B0C" w:rsidRDefault="006C7E38" w:rsidP="00292885"/>
    <w:p w14:paraId="3B97358E" w14:textId="1196467B" w:rsidR="00AE3136" w:rsidRPr="000E3B0C" w:rsidRDefault="006C7E38" w:rsidP="00F4409A">
      <w:r w:rsidRPr="000E3B0C">
        <w:t xml:space="preserve">Dále v kanonickém trestním právu existují tresty </w:t>
      </w:r>
      <w:r w:rsidR="00087326" w:rsidRPr="000E3B0C">
        <w:rPr>
          <w:b/>
        </w:rPr>
        <w:t>pořádkové</w:t>
      </w:r>
      <w:r w:rsidR="005C585C" w:rsidRPr="000E3B0C">
        <w:t xml:space="preserve"> (neboli o</w:t>
      </w:r>
      <w:r w:rsidR="007F31C6" w:rsidRPr="000E3B0C">
        <w:t>dčiňující</w:t>
      </w:r>
      <w:r w:rsidR="005C585C" w:rsidRPr="000E3B0C">
        <w:t>)</w:t>
      </w:r>
      <w:r w:rsidRPr="000E3B0C">
        <w:t>.</w:t>
      </w:r>
      <w:r w:rsidR="006D7008" w:rsidRPr="000E3B0C">
        <w:t xml:space="preserve"> Ty </w:t>
      </w:r>
      <w:r w:rsidR="007B1A2F" w:rsidRPr="000E3B0C">
        <w:t>n</w:t>
      </w:r>
      <w:r w:rsidR="009123F7" w:rsidRPr="000E3B0C">
        <w:t>esměřují ani tak k</w:t>
      </w:r>
      <w:r w:rsidR="007B1A2F" w:rsidRPr="000E3B0C">
        <w:t xml:space="preserve"> </w:t>
      </w:r>
      <w:r w:rsidR="009123F7" w:rsidRPr="000E3B0C">
        <w:t xml:space="preserve">nápravě </w:t>
      </w:r>
      <w:r w:rsidR="007B1A2F" w:rsidRPr="000E3B0C">
        <w:t>pachatele</w:t>
      </w:r>
      <w:r w:rsidR="009123F7" w:rsidRPr="000E3B0C">
        <w:t xml:space="preserve">, jako spíše k obnovení </w:t>
      </w:r>
      <w:r w:rsidR="007B1A2F" w:rsidRPr="000E3B0C">
        <w:t>narušeného</w:t>
      </w:r>
      <w:r w:rsidR="009123F7" w:rsidRPr="000E3B0C">
        <w:t xml:space="preserve"> </w:t>
      </w:r>
      <w:r w:rsidR="007B1A2F" w:rsidRPr="000E3B0C">
        <w:t>pořádku</w:t>
      </w:r>
      <w:r w:rsidR="009123F7" w:rsidRPr="000E3B0C">
        <w:t xml:space="preserve"> </w:t>
      </w:r>
      <w:r w:rsidR="007B1A2F" w:rsidRPr="000E3B0C">
        <w:t>v církvi; d</w:t>
      </w:r>
      <w:r w:rsidR="009123F7" w:rsidRPr="000E3B0C">
        <w:t xml:space="preserve">élka </w:t>
      </w:r>
      <w:r w:rsidR="007B1A2F" w:rsidRPr="000E3B0C">
        <w:t>jejich</w:t>
      </w:r>
      <w:r w:rsidR="009123F7" w:rsidRPr="000E3B0C">
        <w:t xml:space="preserve"> trvání proto není závislá na </w:t>
      </w:r>
      <w:r w:rsidR="007B1A2F" w:rsidRPr="000E3B0C">
        <w:t>polepšení</w:t>
      </w:r>
      <w:r w:rsidR="009123F7" w:rsidRPr="000E3B0C">
        <w:t xml:space="preserve"> </w:t>
      </w:r>
      <w:r w:rsidR="007B1A2F" w:rsidRPr="000E3B0C">
        <w:t>delikventa</w:t>
      </w:r>
      <w:r w:rsidR="009123F7" w:rsidRPr="000E3B0C">
        <w:t xml:space="preserve">, ale je </w:t>
      </w:r>
      <w:r w:rsidR="007F31C6" w:rsidRPr="000E3B0C">
        <w:t xml:space="preserve">předem </w:t>
      </w:r>
      <w:r w:rsidR="009123F7" w:rsidRPr="000E3B0C">
        <w:t xml:space="preserve">stanovena trestající </w:t>
      </w:r>
      <w:r w:rsidR="007B1A2F" w:rsidRPr="000E3B0C">
        <w:t>orgánem</w:t>
      </w:r>
      <w:r w:rsidR="007F31C6" w:rsidRPr="000E3B0C">
        <w:t>.</w:t>
      </w:r>
      <w:r w:rsidR="00AE3136" w:rsidRPr="000E3B0C">
        <w:rPr>
          <w:rStyle w:val="Znakapoznpodarou"/>
        </w:rPr>
        <w:footnoteReference w:id="204"/>
      </w:r>
      <w:r w:rsidR="00AE3136" w:rsidRPr="000E3B0C">
        <w:t xml:space="preserve"> </w:t>
      </w:r>
      <w:r w:rsidR="007F31C6" w:rsidRPr="000E3B0C">
        <w:t>Lze</w:t>
      </w:r>
      <w:r w:rsidR="00AE3136" w:rsidRPr="000E3B0C">
        <w:t xml:space="preserve"> jimi pachateli </w:t>
      </w:r>
      <w:r w:rsidR="00AE3136" w:rsidRPr="000E3B0C">
        <w:rPr>
          <w:i/>
        </w:rPr>
        <w:t>přikáz</w:t>
      </w:r>
      <w:r w:rsidR="007F31C6" w:rsidRPr="000E3B0C">
        <w:rPr>
          <w:i/>
        </w:rPr>
        <w:t>at</w:t>
      </w:r>
      <w:r w:rsidR="007F31C6" w:rsidRPr="000E3B0C">
        <w:t>, aby</w:t>
      </w:r>
      <w:r w:rsidR="00AE3136" w:rsidRPr="000E3B0C">
        <w:t xml:space="preserve"> </w:t>
      </w:r>
      <w:r w:rsidR="007328F0" w:rsidRPr="000E3B0C">
        <w:t>pobý</w:t>
      </w:r>
      <w:r w:rsidR="00C80FD0" w:rsidRPr="000E3B0C">
        <w:t>va</w:t>
      </w:r>
      <w:r w:rsidR="007F31C6" w:rsidRPr="000E3B0C">
        <w:t>l</w:t>
      </w:r>
      <w:r w:rsidR="00C80FD0" w:rsidRPr="000E3B0C">
        <w:t xml:space="preserve"> na určitém místě </w:t>
      </w:r>
      <w:r w:rsidR="00CC11F1" w:rsidRPr="000E3B0C">
        <w:t>a</w:t>
      </w:r>
      <w:r w:rsidR="00AE3136" w:rsidRPr="000E3B0C">
        <w:t xml:space="preserve"> </w:t>
      </w:r>
      <w:r w:rsidR="00C80FD0" w:rsidRPr="000E3B0C">
        <w:t xml:space="preserve">(nově) </w:t>
      </w:r>
      <w:r w:rsidR="009603B6" w:rsidRPr="000E3B0C">
        <w:t>také uhradil pokutu nebo přispěl</w:t>
      </w:r>
      <w:r w:rsidR="00C80FD0" w:rsidRPr="000E3B0C">
        <w:t xml:space="preserve"> peněžitým obnosem na církevní účely</w:t>
      </w:r>
      <w:r w:rsidR="00CC11F1" w:rsidRPr="000E3B0C">
        <w:t xml:space="preserve">. </w:t>
      </w:r>
      <w:r w:rsidR="00CC11F1" w:rsidRPr="000E3B0C">
        <w:rPr>
          <w:i/>
        </w:rPr>
        <w:t>Z</w:t>
      </w:r>
      <w:r w:rsidR="00AE3136" w:rsidRPr="000E3B0C">
        <w:rPr>
          <w:i/>
        </w:rPr>
        <w:t>akázáno</w:t>
      </w:r>
      <w:r w:rsidR="00AE3136" w:rsidRPr="000E3B0C">
        <w:t xml:space="preserve"> </w:t>
      </w:r>
      <w:r w:rsidR="009603B6" w:rsidRPr="000E3B0C">
        <w:t xml:space="preserve">mu </w:t>
      </w:r>
      <w:r w:rsidR="00CC11F1" w:rsidRPr="000E3B0C">
        <w:t xml:space="preserve">může být </w:t>
      </w:r>
      <w:r w:rsidR="007328F0" w:rsidRPr="000E3B0C">
        <w:t>pobý</w:t>
      </w:r>
      <w:r w:rsidR="00C80FD0" w:rsidRPr="000E3B0C">
        <w:t>vat na určitém místě;</w:t>
      </w:r>
      <w:r w:rsidR="00AE3136" w:rsidRPr="000E3B0C">
        <w:t xml:space="preserve"> </w:t>
      </w:r>
      <w:r w:rsidR="007328F0" w:rsidRPr="000E3B0C">
        <w:t>vykonávat veškeré nebo jen některé úřady,</w:t>
      </w:r>
      <w:r w:rsidR="0078245B" w:rsidRPr="000E3B0C">
        <w:t xml:space="preserve"> </w:t>
      </w:r>
      <w:r w:rsidR="00C80FD0" w:rsidRPr="000E3B0C">
        <w:t>úkoly, služby</w:t>
      </w:r>
      <w:r w:rsidR="0060374E" w:rsidRPr="000E3B0C">
        <w:rPr>
          <w:rStyle w:val="Znakapoznpodarou"/>
        </w:rPr>
        <w:footnoteReference w:id="205"/>
      </w:r>
      <w:r w:rsidR="00C80FD0" w:rsidRPr="000E3B0C">
        <w:t xml:space="preserve"> nebo funkce;</w:t>
      </w:r>
      <w:r w:rsidR="00AE3136" w:rsidRPr="000E3B0C">
        <w:t xml:space="preserve"> </w:t>
      </w:r>
      <w:r w:rsidR="007328F0" w:rsidRPr="000E3B0C">
        <w:t>činit všechny nebo některé úkony</w:t>
      </w:r>
      <w:r w:rsidR="0078245B" w:rsidRPr="000E3B0C">
        <w:t xml:space="preserve"> </w:t>
      </w:r>
      <w:r w:rsidR="00CC11F1" w:rsidRPr="000E3B0C">
        <w:t>z moci svěcení či řízení;</w:t>
      </w:r>
      <w:r w:rsidR="00AE3136" w:rsidRPr="000E3B0C">
        <w:t xml:space="preserve"> </w:t>
      </w:r>
      <w:r w:rsidR="007328F0" w:rsidRPr="000E3B0C">
        <w:t xml:space="preserve">vykonávat určitá práva </w:t>
      </w:r>
      <w:r w:rsidR="00AE3136" w:rsidRPr="000E3B0C">
        <w:t>a</w:t>
      </w:r>
      <w:r w:rsidR="007328F0" w:rsidRPr="000E3B0C">
        <w:t xml:space="preserve"> privilegia</w:t>
      </w:r>
      <w:r w:rsidR="0078245B" w:rsidRPr="000E3B0C">
        <w:t xml:space="preserve"> </w:t>
      </w:r>
      <w:r w:rsidR="007328F0" w:rsidRPr="000E3B0C">
        <w:t xml:space="preserve">nebo užívat hodností </w:t>
      </w:r>
      <w:r w:rsidR="00AE3136" w:rsidRPr="000E3B0C">
        <w:t>a</w:t>
      </w:r>
      <w:r w:rsidR="006B6732" w:rsidRPr="000E3B0C">
        <w:t> </w:t>
      </w:r>
      <w:r w:rsidR="00CC11F1" w:rsidRPr="000E3B0C">
        <w:t>titulů;</w:t>
      </w:r>
      <w:r w:rsidR="00AE3136" w:rsidRPr="000E3B0C">
        <w:t xml:space="preserve"> </w:t>
      </w:r>
      <w:r w:rsidR="007328F0" w:rsidRPr="000E3B0C">
        <w:t>požívat aktivního nebo pasivního</w:t>
      </w:r>
      <w:r w:rsidR="0078245B" w:rsidRPr="000E3B0C">
        <w:t xml:space="preserve"> </w:t>
      </w:r>
      <w:r w:rsidR="007328F0" w:rsidRPr="000E3B0C">
        <w:t>volebního práva při kanonických</w:t>
      </w:r>
      <w:r w:rsidR="0078245B" w:rsidRPr="000E3B0C">
        <w:t xml:space="preserve"> </w:t>
      </w:r>
      <w:r w:rsidR="007328F0" w:rsidRPr="000E3B0C">
        <w:t xml:space="preserve">volbách </w:t>
      </w:r>
      <w:r w:rsidR="009603B6" w:rsidRPr="000E3B0C">
        <w:t>či</w:t>
      </w:r>
      <w:r w:rsidR="007328F0" w:rsidRPr="000E3B0C">
        <w:t xml:space="preserve"> užívat </w:t>
      </w:r>
      <w:r w:rsidR="007328F0" w:rsidRPr="000E3B0C">
        <w:lastRenderedPageBreak/>
        <w:t>práva hlasovat</w:t>
      </w:r>
      <w:r w:rsidR="0078245B" w:rsidRPr="000E3B0C">
        <w:t xml:space="preserve"> </w:t>
      </w:r>
      <w:r w:rsidR="007328F0" w:rsidRPr="000E3B0C">
        <w:t>v církevních radách</w:t>
      </w:r>
      <w:r w:rsidR="009603B6" w:rsidRPr="000E3B0C">
        <w:t>, případně také</w:t>
      </w:r>
      <w:r w:rsidR="00AE3136" w:rsidRPr="000E3B0C">
        <w:t xml:space="preserve"> </w:t>
      </w:r>
      <w:r w:rsidR="007328F0" w:rsidRPr="000E3B0C">
        <w:t>nosit církevn</w:t>
      </w:r>
      <w:r w:rsidR="00CC11F1" w:rsidRPr="000E3B0C">
        <w:t xml:space="preserve">í nebo řeholní oděv. </w:t>
      </w:r>
      <w:r w:rsidR="00CC11F1" w:rsidRPr="000E3B0C">
        <w:rPr>
          <w:i/>
        </w:rPr>
        <w:t>Z</w:t>
      </w:r>
      <w:r w:rsidR="00AE3136" w:rsidRPr="000E3B0C">
        <w:rPr>
          <w:i/>
        </w:rPr>
        <w:t>bav</w:t>
      </w:r>
      <w:r w:rsidR="00CC11F1" w:rsidRPr="000E3B0C">
        <w:rPr>
          <w:i/>
        </w:rPr>
        <w:t>it</w:t>
      </w:r>
      <w:r w:rsidR="00CC11F1" w:rsidRPr="000E3B0C">
        <w:t xml:space="preserve"> </w:t>
      </w:r>
      <w:r w:rsidR="00A67E4A" w:rsidRPr="000E3B0C">
        <w:t>je možno</w:t>
      </w:r>
      <w:r w:rsidR="00CC11F1" w:rsidRPr="000E3B0C">
        <w:t xml:space="preserve"> pachatele</w:t>
      </w:r>
      <w:r w:rsidR="00AE3136" w:rsidRPr="000E3B0C">
        <w:t xml:space="preserve"> </w:t>
      </w:r>
      <w:r w:rsidR="009603B6" w:rsidRPr="000E3B0C">
        <w:t xml:space="preserve">obdobně </w:t>
      </w:r>
      <w:r w:rsidR="0078245B" w:rsidRPr="000E3B0C">
        <w:t>všech nebo některých ú</w:t>
      </w:r>
      <w:r w:rsidR="00CC11F1" w:rsidRPr="000E3B0C">
        <w:t xml:space="preserve">řadů, úkolů, služeb nebo funkcí; (nově) </w:t>
      </w:r>
      <w:r w:rsidR="009603B6" w:rsidRPr="000E3B0C">
        <w:t>mu lze odejmout pověření zpovídat nebo kázat.</w:t>
      </w:r>
      <w:r w:rsidR="00AE3136" w:rsidRPr="000E3B0C">
        <w:t xml:space="preserve"> </w:t>
      </w:r>
      <w:r w:rsidR="009603B6" w:rsidRPr="000E3B0C">
        <w:t>Připravit jej lze také o delegovanou moc</w:t>
      </w:r>
      <w:r w:rsidR="00AE3136" w:rsidRPr="000E3B0C">
        <w:t xml:space="preserve"> řízení, někter</w:t>
      </w:r>
      <w:r w:rsidR="009603B6" w:rsidRPr="000E3B0C">
        <w:t>á</w:t>
      </w:r>
      <w:r w:rsidR="00AE3136" w:rsidRPr="000E3B0C">
        <w:t xml:space="preserve"> práv</w:t>
      </w:r>
      <w:r w:rsidR="009603B6" w:rsidRPr="000E3B0C">
        <w:t>a, privilegia</w:t>
      </w:r>
      <w:r w:rsidR="00AE3136" w:rsidRPr="000E3B0C">
        <w:t xml:space="preserve">, </w:t>
      </w:r>
      <w:r w:rsidR="0078245B" w:rsidRPr="000E3B0C">
        <w:t>hodnos</w:t>
      </w:r>
      <w:r w:rsidR="009603B6" w:rsidRPr="000E3B0C">
        <w:t>ti či tituly</w:t>
      </w:r>
      <w:r w:rsidR="00AE3136" w:rsidRPr="000E3B0C">
        <w:t xml:space="preserve">, </w:t>
      </w:r>
      <w:r w:rsidR="00F4409A" w:rsidRPr="000E3B0C">
        <w:t>aneb</w:t>
      </w:r>
      <w:r w:rsidR="00AE3136" w:rsidRPr="000E3B0C">
        <w:t xml:space="preserve">o </w:t>
      </w:r>
      <w:r w:rsidR="00CC11F1" w:rsidRPr="000E3B0C">
        <w:t xml:space="preserve">(taktéž nově) </w:t>
      </w:r>
      <w:r w:rsidR="009603B6" w:rsidRPr="000E3B0C">
        <w:t>o</w:t>
      </w:r>
      <w:r w:rsidR="0078245B" w:rsidRPr="000E3B0C">
        <w:t xml:space="preserve"> círke</w:t>
      </w:r>
      <w:r w:rsidR="00AE3136" w:rsidRPr="000E3B0C">
        <w:t>vn</w:t>
      </w:r>
      <w:r w:rsidR="009603B6" w:rsidRPr="000E3B0C">
        <w:t>í požitky</w:t>
      </w:r>
      <w:r w:rsidR="00CC11F1" w:rsidRPr="000E3B0C">
        <w:t>. K</w:t>
      </w:r>
      <w:r w:rsidR="00AE3136" w:rsidRPr="000E3B0C">
        <w:t xml:space="preserve">onečně </w:t>
      </w:r>
      <w:r w:rsidR="00CC11F1" w:rsidRPr="000E3B0C">
        <w:t>odsouzený</w:t>
      </w:r>
      <w:r w:rsidR="00AE3136" w:rsidRPr="000E3B0C">
        <w:t xml:space="preserve"> </w:t>
      </w:r>
      <w:r w:rsidR="0088574B" w:rsidRPr="000E3B0C">
        <w:t>klerik</w:t>
      </w:r>
      <w:r w:rsidR="00CC11F1" w:rsidRPr="000E3B0C">
        <w:t xml:space="preserve"> může být, jakožto nejpřísnější možné </w:t>
      </w:r>
      <w:r w:rsidR="0088574B" w:rsidRPr="000E3B0C">
        <w:t xml:space="preserve">a výjimečné </w:t>
      </w:r>
      <w:r w:rsidR="00CC11F1" w:rsidRPr="000E3B0C">
        <w:t xml:space="preserve">potrestání, </w:t>
      </w:r>
      <w:r w:rsidR="00AE3136" w:rsidRPr="000E3B0C">
        <w:t>i propuštěn</w:t>
      </w:r>
      <w:r w:rsidR="00651801" w:rsidRPr="000E3B0C">
        <w:t xml:space="preserve"> z klerického stavu.</w:t>
      </w:r>
      <w:r w:rsidR="001E5E41" w:rsidRPr="000E3B0C">
        <w:rPr>
          <w:vertAlign w:val="superscript"/>
        </w:rPr>
        <w:footnoteReference w:id="206"/>
      </w:r>
      <w:r w:rsidR="00F06F91" w:rsidRPr="000E3B0C">
        <w:t xml:space="preserve"> Dle nauky katolické církve nelze platně přijaté svěcení nikdy zneplatnit (sama svátost je totiž nesmazatelná), takže dotyčný nadále zůstává klerikem, ale pozbývá svého osobního statusu </w:t>
      </w:r>
      <w:r w:rsidR="00A67E4A" w:rsidRPr="000E3B0C">
        <w:t>v </w:t>
      </w:r>
      <w:r w:rsidR="00F06F91" w:rsidRPr="000E3B0C">
        <w:t>církvi – klerického stavu.</w:t>
      </w:r>
      <w:r w:rsidR="00F06F91" w:rsidRPr="000E3B0C">
        <w:rPr>
          <w:rStyle w:val="Znakapoznpodarou"/>
        </w:rPr>
        <w:footnoteReference w:id="207"/>
      </w:r>
      <w:r w:rsidR="00F06F91" w:rsidRPr="000E3B0C">
        <w:t xml:space="preserve"> </w:t>
      </w:r>
      <w:r w:rsidR="0060374E" w:rsidRPr="000E3B0C">
        <w:t xml:space="preserve">Novelizací Kodexu </w:t>
      </w:r>
      <w:r w:rsidR="008647A1" w:rsidRPr="000E3B0C">
        <w:t xml:space="preserve">pak </w:t>
      </w:r>
      <w:r w:rsidR="0060374E" w:rsidRPr="000E3B0C">
        <w:t xml:space="preserve">z </w:t>
      </w:r>
      <w:r w:rsidR="006D6491" w:rsidRPr="000E3B0C">
        <w:rPr>
          <w:rFonts w:cs="Garamond"/>
          <w:szCs w:val="22"/>
        </w:rPr>
        <w:t>pořádkových trestů vypadla</w:t>
      </w:r>
      <w:r w:rsidR="0060374E" w:rsidRPr="000E3B0C">
        <w:rPr>
          <w:rFonts w:cs="Garamond"/>
          <w:szCs w:val="22"/>
        </w:rPr>
        <w:t xml:space="preserve"> </w:t>
      </w:r>
      <w:r w:rsidR="006D6491" w:rsidRPr="000E3B0C">
        <w:rPr>
          <w:rFonts w:cs="Garamond"/>
          <w:szCs w:val="22"/>
        </w:rPr>
        <w:t xml:space="preserve">možnost </w:t>
      </w:r>
      <w:r w:rsidR="0060374E" w:rsidRPr="000E3B0C">
        <w:rPr>
          <w:rFonts w:cs="Garamond"/>
          <w:szCs w:val="22"/>
        </w:rPr>
        <w:t>trestní</w:t>
      </w:r>
      <w:r w:rsidR="006D6491" w:rsidRPr="000E3B0C">
        <w:rPr>
          <w:rFonts w:cs="Garamond"/>
          <w:szCs w:val="22"/>
        </w:rPr>
        <w:t>ho</w:t>
      </w:r>
      <w:r w:rsidR="0060374E" w:rsidRPr="000E3B0C">
        <w:rPr>
          <w:rFonts w:cs="Garamond"/>
          <w:szCs w:val="22"/>
        </w:rPr>
        <w:t xml:space="preserve"> přeložení na jiný úřad</w:t>
      </w:r>
      <w:r w:rsidR="006D6491" w:rsidRPr="000E3B0C">
        <w:rPr>
          <w:rFonts w:cs="Garamond"/>
          <w:szCs w:val="22"/>
        </w:rPr>
        <w:t xml:space="preserve">; Ponížil přitom glosuje, že se nabízí otázka, pro koho byla tato sankce větším </w:t>
      </w:r>
      <w:r w:rsidR="009603B6" w:rsidRPr="000E3B0C">
        <w:rPr>
          <w:rFonts w:cs="Garamond"/>
          <w:szCs w:val="22"/>
        </w:rPr>
        <w:t>trestem</w:t>
      </w:r>
      <w:r w:rsidR="006D6491" w:rsidRPr="000E3B0C">
        <w:rPr>
          <w:rFonts w:cs="Garamond"/>
          <w:szCs w:val="22"/>
        </w:rPr>
        <w:t xml:space="preserve">, </w:t>
      </w:r>
      <w:r w:rsidR="0060374E" w:rsidRPr="000E3B0C">
        <w:rPr>
          <w:rFonts w:cs="Garamond"/>
          <w:szCs w:val="22"/>
        </w:rPr>
        <w:t>zda pro odsouzeného, nebo pro jeho podřízené v novém úřadě.</w:t>
      </w:r>
      <w:r w:rsidR="0060374E" w:rsidRPr="000E3B0C">
        <w:rPr>
          <w:rStyle w:val="Znakapoznpodarou"/>
          <w:rFonts w:cs="Garamond"/>
          <w:szCs w:val="22"/>
        </w:rPr>
        <w:footnoteReference w:id="208"/>
      </w:r>
      <w:r w:rsidR="006D6491" w:rsidRPr="000E3B0C">
        <w:rPr>
          <w:rFonts w:cs="Garamond"/>
          <w:szCs w:val="22"/>
        </w:rPr>
        <w:t xml:space="preserve"> </w:t>
      </w:r>
      <w:r w:rsidR="008647A1" w:rsidRPr="000E3B0C">
        <w:t>Je </w:t>
      </w:r>
      <w:r w:rsidR="006D6491" w:rsidRPr="000E3B0C">
        <w:t>zároveň třeba doplnit</w:t>
      </w:r>
      <w:r w:rsidR="00F4409A" w:rsidRPr="000E3B0C">
        <w:t>, že výčet pořádkových trestů uvedený v Kodexu není taxativní, neboť</w:t>
      </w:r>
      <w:r w:rsidR="00AE3136" w:rsidRPr="000E3B0C">
        <w:t xml:space="preserve"> partikulární zákonodárce může stanovit i jiné, pokud jsou v souladu s </w:t>
      </w:r>
      <w:r w:rsidR="00F4409A" w:rsidRPr="000E3B0C">
        <w:t>nadpřirozeným</w:t>
      </w:r>
      <w:r w:rsidR="00AE3136" w:rsidRPr="000E3B0C">
        <w:t xml:space="preserve"> </w:t>
      </w:r>
      <w:r w:rsidR="00F4409A" w:rsidRPr="000E3B0C">
        <w:t>cílem</w:t>
      </w:r>
      <w:r w:rsidR="00AE3136" w:rsidRPr="000E3B0C">
        <w:t xml:space="preserve"> církve</w:t>
      </w:r>
      <w:r w:rsidR="00F4409A" w:rsidRPr="000E3B0C">
        <w:t>.</w:t>
      </w:r>
      <w:r w:rsidR="00F4409A" w:rsidRPr="000E3B0C">
        <w:rPr>
          <w:vertAlign w:val="superscript"/>
        </w:rPr>
        <w:footnoteReference w:id="209"/>
      </w:r>
    </w:p>
    <w:p w14:paraId="32EE59CF" w14:textId="77777777" w:rsidR="006456D4" w:rsidRPr="000E3B0C" w:rsidRDefault="006456D4" w:rsidP="00F4409A"/>
    <w:p w14:paraId="7CF83023" w14:textId="77777777" w:rsidR="00457FB7" w:rsidRPr="000E3B0C" w:rsidRDefault="00C8125F" w:rsidP="00F4409A">
      <w:r w:rsidRPr="000E3B0C">
        <w:t xml:space="preserve">Konkrétní tresty, jež je možné pachatelům v rámci obou odvětví uložit, lze </w:t>
      </w:r>
      <w:r w:rsidR="00AD1BDB" w:rsidRPr="000E3B0C">
        <w:t xml:space="preserve">tedy </w:t>
      </w:r>
      <w:r w:rsidRPr="000E3B0C">
        <w:rPr>
          <w:u w:val="single"/>
        </w:rPr>
        <w:t>shrnout</w:t>
      </w:r>
      <w:r w:rsidRPr="000E3B0C">
        <w:t xml:space="preserve"> tak, že kanonické právo upravuje podstatně složitější a bohatší „nabídku“ postihů, který</w:t>
      </w:r>
      <w:r w:rsidR="00457FB7" w:rsidRPr="000E3B0C">
        <w:t>mi lze pachatele sankcionovat. P</w:t>
      </w:r>
      <w:r w:rsidRPr="000E3B0C">
        <w:t>ovažuji to však za z</w:t>
      </w:r>
      <w:r w:rsidR="00457FB7" w:rsidRPr="000E3B0C">
        <w:t>c</w:t>
      </w:r>
      <w:r w:rsidRPr="000E3B0C">
        <w:t xml:space="preserve">ela přirozené, </w:t>
      </w:r>
      <w:r w:rsidR="00457FB7" w:rsidRPr="000E3B0C">
        <w:t>neboť to odpovídá tomu, že</w:t>
      </w:r>
      <w:r w:rsidRPr="000E3B0C">
        <w:t xml:space="preserve"> taktéž škála práv, povinností a činnosti kleriků v rámci církve je daleko různorodější než tol</w:t>
      </w:r>
      <w:r w:rsidR="00457FB7" w:rsidRPr="000E3B0C">
        <w:t xml:space="preserve">iko požadavek na řádně odváděnou práci a důstojný život soudce; je tudíž třeba, aby kanonické trestní právo </w:t>
      </w:r>
      <w:r w:rsidR="00AD1BDB" w:rsidRPr="000E3B0C">
        <w:t xml:space="preserve">mělo </w:t>
      </w:r>
      <w:r w:rsidR="00457FB7" w:rsidRPr="000E3B0C">
        <w:t>více trestních nástrojů, jimiž lze nejrůznější vzniknuvší situace řešit.</w:t>
      </w:r>
    </w:p>
    <w:p w14:paraId="585BBC07" w14:textId="77777777" w:rsidR="00D773F2" w:rsidRPr="000E3B0C" w:rsidRDefault="00417972" w:rsidP="00C22619">
      <w:pPr>
        <w:pStyle w:val="Nadpis2"/>
        <w:numPr>
          <w:ilvl w:val="1"/>
          <w:numId w:val="3"/>
        </w:numPr>
      </w:pPr>
      <w:bookmarkStart w:id="21" w:name="_Toc130067385"/>
      <w:r w:rsidRPr="000E3B0C">
        <w:t>U</w:t>
      </w:r>
      <w:r w:rsidR="00D773F2" w:rsidRPr="000E3B0C">
        <w:t>kládání trestů</w:t>
      </w:r>
      <w:bookmarkEnd w:id="21"/>
    </w:p>
    <w:p w14:paraId="5249488F" w14:textId="48361A6E" w:rsidR="00BA3874" w:rsidRPr="000E3B0C" w:rsidRDefault="00E9316A" w:rsidP="00BA3874">
      <w:r w:rsidRPr="000E3B0C">
        <w:t>Při</w:t>
      </w:r>
      <w:r w:rsidR="00426BB8" w:rsidRPr="000E3B0C">
        <w:t xml:space="preserve"> ukládání </w:t>
      </w:r>
      <w:r w:rsidRPr="000E3B0C">
        <w:t xml:space="preserve">konkrétních sankcí </w:t>
      </w:r>
      <w:r w:rsidR="00167480" w:rsidRPr="000E3B0C">
        <w:t xml:space="preserve">dochází </w:t>
      </w:r>
      <w:r w:rsidRPr="000E3B0C">
        <w:t xml:space="preserve">v rámci příslušného procesního rámce </w:t>
      </w:r>
      <w:r w:rsidR="00426BB8" w:rsidRPr="000E3B0C">
        <w:t>v jednotlivých případech k in</w:t>
      </w:r>
      <w:r w:rsidR="00167480" w:rsidRPr="000E3B0C">
        <w:t xml:space="preserve">dividualizaci trestu zejména na základě osoby pachatele a </w:t>
      </w:r>
      <w:r w:rsidR="00426BB8" w:rsidRPr="000E3B0C">
        <w:t>okolnost</w:t>
      </w:r>
      <w:r w:rsidR="00167480" w:rsidRPr="000E3B0C">
        <w:t xml:space="preserve">í daného případu. Zohledňují se </w:t>
      </w:r>
      <w:r w:rsidR="00167480" w:rsidRPr="000E3B0C">
        <w:rPr>
          <w:b/>
        </w:rPr>
        <w:t>polehčující a přitěžující okolnosti</w:t>
      </w:r>
      <w:r w:rsidR="00167480" w:rsidRPr="000E3B0C">
        <w:t xml:space="preserve">, tedy skutečnosti </w:t>
      </w:r>
      <w:r w:rsidR="00A67E4A" w:rsidRPr="000E3B0C">
        <w:t xml:space="preserve">relevantní </w:t>
      </w:r>
      <w:r w:rsidR="00167480" w:rsidRPr="000E3B0C">
        <w:t xml:space="preserve">jak </w:t>
      </w:r>
      <w:r w:rsidR="00426BB8" w:rsidRPr="000E3B0C">
        <w:t>ve</w:t>
      </w:r>
      <w:r w:rsidR="00FB16E6">
        <w:t> </w:t>
      </w:r>
      <w:r w:rsidR="00426BB8" w:rsidRPr="000E3B0C">
        <w:t>prospěch, tak</w:t>
      </w:r>
      <w:r w:rsidR="00476607" w:rsidRPr="000E3B0C">
        <w:t xml:space="preserve"> neprospěch pachatele.</w:t>
      </w:r>
    </w:p>
    <w:p w14:paraId="607184FE" w14:textId="77777777" w:rsidR="00BA3874" w:rsidRPr="000E3B0C" w:rsidRDefault="00BA3874" w:rsidP="00BA3874"/>
    <w:p w14:paraId="089C3F3D" w14:textId="5AC74201" w:rsidR="00B31D83" w:rsidRPr="000E3B0C" w:rsidRDefault="00476607" w:rsidP="00B31D83">
      <w:pPr>
        <w:rPr>
          <w:rFonts w:eastAsia="Calibri" w:cs="CIDFont+F1"/>
          <w:lang w:eastAsia="en-US"/>
        </w:rPr>
      </w:pPr>
      <w:r w:rsidRPr="000E3B0C">
        <w:t>V</w:t>
      </w:r>
      <w:r w:rsidR="00BA3874" w:rsidRPr="000E3B0C">
        <w:t> </w:t>
      </w:r>
      <w:r w:rsidRPr="000E3B0C">
        <w:rPr>
          <w:u w:val="single"/>
        </w:rPr>
        <w:t>kárn</w:t>
      </w:r>
      <w:r w:rsidR="00BA3874" w:rsidRPr="000E3B0C">
        <w:rPr>
          <w:u w:val="single"/>
        </w:rPr>
        <w:t>ém řízení</w:t>
      </w:r>
      <w:r w:rsidR="00BA3874" w:rsidRPr="000E3B0C">
        <w:t xml:space="preserve"> platí, že </w:t>
      </w:r>
      <w:r w:rsidRPr="000E3B0C">
        <w:t xml:space="preserve">navrhovatel </w:t>
      </w:r>
      <w:r w:rsidR="00E853F8" w:rsidRPr="000E3B0C">
        <w:t>předkládá soudu</w:t>
      </w:r>
      <w:r w:rsidRPr="000E3B0C">
        <w:t xml:space="preserve"> vlastní představu o tom, jaké kárné opatření považuje za přiměřené </w:t>
      </w:r>
      <w:r w:rsidR="00BA3874" w:rsidRPr="000E3B0C">
        <w:t>obviněnému uložit;</w:t>
      </w:r>
      <w:r w:rsidRPr="000E3B0C">
        <w:t xml:space="preserve"> </w:t>
      </w:r>
      <w:r w:rsidR="00E853F8" w:rsidRPr="000E3B0C">
        <w:t xml:space="preserve">kárný </w:t>
      </w:r>
      <w:r w:rsidRPr="000E3B0C">
        <w:t xml:space="preserve">soud však tímto návrhem není </w:t>
      </w:r>
      <w:r w:rsidR="00E853F8" w:rsidRPr="000E3B0C">
        <w:t xml:space="preserve">vůbec </w:t>
      </w:r>
      <w:r w:rsidRPr="000E3B0C">
        <w:lastRenderedPageBreak/>
        <w:t>vázán</w:t>
      </w:r>
      <w:r w:rsidR="00BA3874" w:rsidRPr="000E3B0C">
        <w:t xml:space="preserve"> a může rozhodnout toliko na základě své úvahy</w:t>
      </w:r>
      <w:r w:rsidR="00E853F8" w:rsidRPr="000E3B0C">
        <w:t xml:space="preserve"> (a uložit trest mírnější i přísnější)</w:t>
      </w:r>
      <w:r w:rsidRPr="000E3B0C">
        <w:t>.</w:t>
      </w:r>
      <w:r w:rsidRPr="000E3B0C">
        <w:rPr>
          <w:rStyle w:val="Znakapoznpodarou"/>
        </w:rPr>
        <w:footnoteReference w:id="210"/>
      </w:r>
      <w:r w:rsidR="00BA3874" w:rsidRPr="000E3B0C">
        <w:t xml:space="preserve"> </w:t>
      </w:r>
      <w:r w:rsidR="00AB193B" w:rsidRPr="000E3B0C">
        <w:t>Předpisy kárného práva</w:t>
      </w:r>
      <w:r w:rsidR="00426BB8" w:rsidRPr="000E3B0C">
        <w:t xml:space="preserve"> </w:t>
      </w:r>
      <w:r w:rsidR="00BA3874" w:rsidRPr="000E3B0C">
        <w:t xml:space="preserve">neobsahují </w:t>
      </w:r>
      <w:r w:rsidR="00426BB8" w:rsidRPr="000E3B0C">
        <w:t xml:space="preserve">výslovnou úpravu polehčujících a přitěžujících okolností; zákonodárce ponechal zcela na </w:t>
      </w:r>
      <w:r w:rsidR="00BA3874" w:rsidRPr="000E3B0C">
        <w:t>posouzení</w:t>
      </w:r>
      <w:r w:rsidR="00426BB8" w:rsidRPr="000E3B0C">
        <w:t xml:space="preserve"> kárného soudu, jaké všechny </w:t>
      </w:r>
      <w:r w:rsidR="00BA3874" w:rsidRPr="000E3B0C">
        <w:t>skutečnosti</w:t>
      </w:r>
      <w:r w:rsidR="00426BB8" w:rsidRPr="000E3B0C">
        <w:t xml:space="preserve"> bude při</w:t>
      </w:r>
      <w:r w:rsidR="00FB16E6">
        <w:t> </w:t>
      </w:r>
      <w:r w:rsidR="00426BB8" w:rsidRPr="000E3B0C">
        <w:t>ukládání druhu a výše trestu reflektovat.</w:t>
      </w:r>
      <w:r w:rsidRPr="000E3B0C">
        <w:t xml:space="preserve"> </w:t>
      </w:r>
      <w:r w:rsidR="00E45C3D" w:rsidRPr="000E3B0C">
        <w:rPr>
          <w:rFonts w:eastAsia="Calibri" w:cs="CIDFont+F1"/>
          <w:lang w:eastAsia="en-US"/>
        </w:rPr>
        <w:t>Ve prospěch kárně obviněné</w:t>
      </w:r>
      <w:r w:rsidR="007517AF" w:rsidRPr="000E3B0C">
        <w:rPr>
          <w:rFonts w:eastAsia="Calibri" w:cs="CIDFont+F1"/>
          <w:lang w:eastAsia="en-US"/>
        </w:rPr>
        <w:t>ho se</w:t>
      </w:r>
      <w:r w:rsidR="00041D67" w:rsidRPr="000E3B0C">
        <w:rPr>
          <w:rFonts w:eastAsia="Calibri" w:cs="CIDFont+F1"/>
          <w:lang w:eastAsia="en-US"/>
        </w:rPr>
        <w:t xml:space="preserve"> </w:t>
      </w:r>
      <w:r w:rsidR="00E853F8" w:rsidRPr="000E3B0C">
        <w:rPr>
          <w:rFonts w:eastAsia="Calibri" w:cs="CIDFont+F1"/>
          <w:lang w:eastAsia="en-US"/>
        </w:rPr>
        <w:t xml:space="preserve">dle judikatury </w:t>
      </w:r>
      <w:r w:rsidR="007517AF" w:rsidRPr="000E3B0C">
        <w:rPr>
          <w:rFonts w:eastAsia="Calibri" w:cs="CIDFont+F1"/>
          <w:lang w:eastAsia="en-US"/>
        </w:rPr>
        <w:t>přihlíží</w:t>
      </w:r>
      <w:r w:rsidR="00041D67" w:rsidRPr="000E3B0C">
        <w:rPr>
          <w:rFonts w:eastAsia="Calibri" w:cs="CIDFont+F1"/>
          <w:lang w:eastAsia="en-US"/>
        </w:rPr>
        <w:t xml:space="preserve"> </w:t>
      </w:r>
      <w:r w:rsidRPr="000E3B0C">
        <w:rPr>
          <w:rFonts w:eastAsia="Calibri" w:cs="CIDFont+F1"/>
          <w:lang w:eastAsia="en-US"/>
        </w:rPr>
        <w:t xml:space="preserve">například </w:t>
      </w:r>
      <w:r w:rsidR="00E45C3D" w:rsidRPr="000E3B0C">
        <w:rPr>
          <w:rFonts w:eastAsia="Calibri" w:cs="CIDFont+F1"/>
          <w:lang w:eastAsia="en-US"/>
        </w:rPr>
        <w:t xml:space="preserve">k tomu, </w:t>
      </w:r>
      <w:r w:rsidR="00041D67" w:rsidRPr="000E3B0C">
        <w:rPr>
          <w:rFonts w:eastAsia="Calibri" w:cs="CIDFont+F1"/>
          <w:lang w:eastAsia="en-US"/>
        </w:rPr>
        <w:t>zda se</w:t>
      </w:r>
      <w:r w:rsidR="00E45C3D" w:rsidRPr="000E3B0C">
        <w:rPr>
          <w:rFonts w:eastAsia="Calibri" w:cs="CIDFont+F1"/>
          <w:lang w:eastAsia="en-US"/>
        </w:rPr>
        <w:t xml:space="preserve"> jednalo o ojedinělý </w:t>
      </w:r>
      <w:r w:rsidR="00E853F8" w:rsidRPr="000E3B0C">
        <w:rPr>
          <w:rFonts w:eastAsia="Calibri" w:cs="CIDFont+F1"/>
          <w:lang w:eastAsia="en-US"/>
        </w:rPr>
        <w:t>exces</w:t>
      </w:r>
      <w:r w:rsidR="00E45C3D" w:rsidRPr="000E3B0C">
        <w:rPr>
          <w:rFonts w:eastAsia="Calibri" w:cs="CIDFont+F1"/>
          <w:lang w:eastAsia="en-US"/>
        </w:rPr>
        <w:t xml:space="preserve"> v jinak řádném plnění povinností, k</w:t>
      </w:r>
      <w:r w:rsidR="00FB16E6">
        <w:rPr>
          <w:rFonts w:eastAsia="Calibri" w:cs="CIDFont+F1"/>
          <w:lang w:eastAsia="en-US"/>
        </w:rPr>
        <w:t> </w:t>
      </w:r>
      <w:r w:rsidR="00E45C3D" w:rsidRPr="000E3B0C">
        <w:rPr>
          <w:rFonts w:eastAsia="Calibri" w:cs="CIDFont+F1"/>
          <w:lang w:eastAsia="en-US"/>
        </w:rPr>
        <w:t xml:space="preserve">postupu </w:t>
      </w:r>
      <w:r w:rsidR="00E853F8" w:rsidRPr="000E3B0C">
        <w:rPr>
          <w:rFonts w:eastAsia="Calibri" w:cs="CIDFont+F1"/>
          <w:lang w:eastAsia="en-US"/>
        </w:rPr>
        <w:t xml:space="preserve">soudce </w:t>
      </w:r>
      <w:r w:rsidR="00E45C3D" w:rsidRPr="000E3B0C">
        <w:rPr>
          <w:rFonts w:eastAsia="Calibri" w:cs="CIDFont+F1"/>
          <w:lang w:eastAsia="en-US"/>
        </w:rPr>
        <w:t xml:space="preserve">po zjištění </w:t>
      </w:r>
      <w:r w:rsidR="00E853F8" w:rsidRPr="000E3B0C">
        <w:rPr>
          <w:rFonts w:eastAsia="Calibri" w:cs="CIDFont+F1"/>
          <w:lang w:eastAsia="en-US"/>
        </w:rPr>
        <w:t xml:space="preserve">jeho </w:t>
      </w:r>
      <w:r w:rsidR="00041D67" w:rsidRPr="000E3B0C">
        <w:rPr>
          <w:rFonts w:eastAsia="Calibri" w:cs="CIDFont+F1"/>
          <w:lang w:eastAsia="en-US"/>
        </w:rPr>
        <w:t xml:space="preserve">provinění, </w:t>
      </w:r>
      <w:r w:rsidR="00E853F8" w:rsidRPr="000E3B0C">
        <w:rPr>
          <w:rFonts w:eastAsia="Calibri" w:cs="CIDFont+F1"/>
          <w:lang w:eastAsia="en-US"/>
        </w:rPr>
        <w:t xml:space="preserve">dále </w:t>
      </w:r>
      <w:r w:rsidR="00041D67" w:rsidRPr="000E3B0C">
        <w:rPr>
          <w:rFonts w:eastAsia="Calibri" w:cs="CIDFont+F1"/>
          <w:lang w:eastAsia="en-US"/>
        </w:rPr>
        <w:t>k</w:t>
      </w:r>
      <w:r w:rsidR="00E45C3D" w:rsidRPr="000E3B0C">
        <w:rPr>
          <w:rFonts w:eastAsia="Calibri" w:cs="CIDFont+F1"/>
          <w:lang w:eastAsia="en-US"/>
        </w:rPr>
        <w:t xml:space="preserve"> doznání a </w:t>
      </w:r>
      <w:r w:rsidR="00041D67" w:rsidRPr="000E3B0C">
        <w:rPr>
          <w:rFonts w:eastAsia="Calibri" w:cs="CIDFont+F1"/>
          <w:lang w:eastAsia="en-US"/>
        </w:rPr>
        <w:t>účinné lítosti.</w:t>
      </w:r>
      <w:r w:rsidRPr="000E3B0C">
        <w:rPr>
          <w:rFonts w:eastAsia="Calibri" w:cs="CIDFont+F1"/>
          <w:lang w:eastAsia="en-US"/>
        </w:rPr>
        <w:t xml:space="preserve"> </w:t>
      </w:r>
      <w:r w:rsidR="00E853F8" w:rsidRPr="000E3B0C">
        <w:rPr>
          <w:rFonts w:eastAsia="Calibri" w:cs="CIDFont+F1"/>
          <w:lang w:eastAsia="en-US"/>
        </w:rPr>
        <w:t>Reflektovat</w:t>
      </w:r>
      <w:r w:rsidR="00041D67" w:rsidRPr="000E3B0C">
        <w:rPr>
          <w:rFonts w:eastAsia="Calibri" w:cs="CIDFont+F1"/>
          <w:lang w:eastAsia="en-US"/>
        </w:rPr>
        <w:t xml:space="preserve"> lze také to, zda </w:t>
      </w:r>
      <w:r w:rsidR="00E45C3D" w:rsidRPr="000E3B0C">
        <w:rPr>
          <w:rFonts w:eastAsia="Calibri" w:cs="CIDFont+F1"/>
          <w:lang w:eastAsia="en-US"/>
        </w:rPr>
        <w:t xml:space="preserve">orgány státní správy soudu </w:t>
      </w:r>
      <w:r w:rsidR="00041D67" w:rsidRPr="000E3B0C">
        <w:rPr>
          <w:rFonts w:eastAsia="Calibri" w:cs="CIDFont+F1"/>
          <w:lang w:eastAsia="en-US"/>
        </w:rPr>
        <w:t xml:space="preserve">řádně plnily svou kontrolní činnost a (pakliže to bylo možné) </w:t>
      </w:r>
      <w:r w:rsidRPr="000E3B0C">
        <w:rPr>
          <w:rFonts w:eastAsia="Calibri" w:cs="CIDFont+F1"/>
          <w:lang w:eastAsia="en-US"/>
        </w:rPr>
        <w:t>soudce na</w:t>
      </w:r>
      <w:r w:rsidR="00041D67" w:rsidRPr="000E3B0C">
        <w:rPr>
          <w:rFonts w:eastAsia="Calibri" w:cs="CIDFont+F1"/>
          <w:lang w:eastAsia="en-US"/>
        </w:rPr>
        <w:t xml:space="preserve"> jeho hrozící pochybení </w:t>
      </w:r>
      <w:r w:rsidR="00E853F8" w:rsidRPr="000E3B0C">
        <w:rPr>
          <w:rFonts w:eastAsia="Calibri" w:cs="CIDFont+F1"/>
          <w:lang w:eastAsia="en-US"/>
        </w:rPr>
        <w:t xml:space="preserve">včas </w:t>
      </w:r>
      <w:r w:rsidR="00E45C3D" w:rsidRPr="000E3B0C">
        <w:rPr>
          <w:rFonts w:eastAsia="Calibri" w:cs="CIDFont+F1"/>
          <w:lang w:eastAsia="en-US"/>
        </w:rPr>
        <w:t>upozornily</w:t>
      </w:r>
      <w:r w:rsidRPr="000E3B0C">
        <w:rPr>
          <w:rFonts w:eastAsia="Calibri" w:cs="CIDFont+F1"/>
          <w:lang w:eastAsia="en-US"/>
        </w:rPr>
        <w:t>.</w:t>
      </w:r>
      <w:r w:rsidRPr="000E3B0C">
        <w:rPr>
          <w:rStyle w:val="Znakapoznpodarou"/>
          <w:rFonts w:eastAsia="Calibri" w:cs="CIDFont+F1"/>
          <w:lang w:eastAsia="en-US"/>
        </w:rPr>
        <w:footnoteReference w:id="211"/>
      </w:r>
      <w:r w:rsidRPr="000E3B0C">
        <w:rPr>
          <w:rFonts w:eastAsia="Calibri" w:cs="CIDFont+F1"/>
          <w:lang w:eastAsia="en-US"/>
        </w:rPr>
        <w:t xml:space="preserve"> Taktéž</w:t>
      </w:r>
      <w:r w:rsidR="00E45C3D" w:rsidRPr="000E3B0C">
        <w:rPr>
          <w:rFonts w:eastAsia="Calibri" w:cs="CIDFont+F1"/>
          <w:lang w:eastAsia="en-US"/>
        </w:rPr>
        <w:t xml:space="preserve"> uzavření dohody </w:t>
      </w:r>
      <w:r w:rsidRPr="000E3B0C">
        <w:rPr>
          <w:rFonts w:eastAsia="Calibri" w:cs="CIDFont+F1"/>
          <w:lang w:eastAsia="en-US"/>
        </w:rPr>
        <w:t>o vině a kárném opatření</w:t>
      </w:r>
      <w:r w:rsidRPr="000E3B0C">
        <w:rPr>
          <w:rStyle w:val="Znakapoznpodarou"/>
          <w:rFonts w:eastAsia="Calibri" w:cs="CIDFont+F1"/>
          <w:lang w:eastAsia="en-US"/>
        </w:rPr>
        <w:footnoteReference w:id="212"/>
      </w:r>
      <w:r w:rsidRPr="000E3B0C">
        <w:rPr>
          <w:rFonts w:eastAsia="Calibri" w:cs="CIDFont+F1"/>
          <w:lang w:eastAsia="en-US"/>
        </w:rPr>
        <w:t xml:space="preserve"> </w:t>
      </w:r>
      <w:r w:rsidR="00E45C3D" w:rsidRPr="000E3B0C">
        <w:rPr>
          <w:rFonts w:eastAsia="Calibri" w:cs="CIDFont+F1"/>
          <w:lang w:eastAsia="en-US"/>
        </w:rPr>
        <w:t xml:space="preserve">představuje intenzivní polehčující </w:t>
      </w:r>
      <w:r w:rsidRPr="000E3B0C">
        <w:rPr>
          <w:rFonts w:eastAsia="Calibri" w:cs="CIDFont+F1"/>
          <w:lang w:eastAsia="en-US"/>
        </w:rPr>
        <w:t>okolnost.</w:t>
      </w:r>
      <w:r w:rsidRPr="000E3B0C">
        <w:rPr>
          <w:rStyle w:val="Znakapoznpodarou"/>
          <w:rFonts w:eastAsia="Calibri" w:cs="CIDFont+F1"/>
          <w:lang w:eastAsia="en-US"/>
        </w:rPr>
        <w:footnoteReference w:id="213"/>
      </w:r>
      <w:r w:rsidR="00E853F8" w:rsidRPr="000E3B0C">
        <w:rPr>
          <w:rFonts w:eastAsia="Calibri" w:cs="CIDFont+F1"/>
          <w:lang w:eastAsia="en-US"/>
        </w:rPr>
        <w:t xml:space="preserve"> Subsidiárně může kárný soud sam</w:t>
      </w:r>
      <w:r w:rsidR="00D73853" w:rsidRPr="000E3B0C">
        <w:rPr>
          <w:rFonts w:eastAsia="Calibri" w:cs="CIDFont+F1"/>
          <w:lang w:eastAsia="en-US"/>
        </w:rPr>
        <w:t xml:space="preserve">ozřejmě vycházet z explicitní </w:t>
      </w:r>
      <w:r w:rsidR="00E853F8" w:rsidRPr="000E3B0C">
        <w:rPr>
          <w:rFonts w:eastAsia="Calibri" w:cs="CIDFont+F1"/>
          <w:lang w:eastAsia="en-US"/>
        </w:rPr>
        <w:t>úpravy polehčujících a přitěžujících okolností v trestním zákoníku.</w:t>
      </w:r>
      <w:r w:rsidR="008F41C8" w:rsidRPr="000E3B0C">
        <w:rPr>
          <w:rStyle w:val="Znakapoznpodarou"/>
          <w:rFonts w:eastAsia="Calibri" w:cs="CIDFont+F1"/>
          <w:lang w:eastAsia="en-US"/>
        </w:rPr>
        <w:footnoteReference w:id="214"/>
      </w:r>
    </w:p>
    <w:p w14:paraId="4DB33672" w14:textId="77777777" w:rsidR="00B31D83" w:rsidRPr="000E3B0C" w:rsidRDefault="00B31D83" w:rsidP="00B31D83"/>
    <w:p w14:paraId="1894E3EE" w14:textId="7D7EA89C" w:rsidR="00D73853" w:rsidRPr="000E3B0C" w:rsidRDefault="00426BB8" w:rsidP="00B31D83">
      <w:r w:rsidRPr="000E3B0C">
        <w:rPr>
          <w:u w:val="single"/>
        </w:rPr>
        <w:t>Kanonické trestní právo</w:t>
      </w:r>
      <w:r w:rsidRPr="000E3B0C">
        <w:t xml:space="preserve"> </w:t>
      </w:r>
      <w:r w:rsidR="00DC2C68" w:rsidRPr="000E3B0C">
        <w:t>latinské církve</w:t>
      </w:r>
      <w:r w:rsidR="00A67E4A" w:rsidRPr="000E3B0C">
        <w:rPr>
          <w:rStyle w:val="Znakapoznpodarou"/>
        </w:rPr>
        <w:footnoteReference w:id="215"/>
      </w:r>
      <w:r w:rsidR="00DC2C68" w:rsidRPr="000E3B0C">
        <w:t xml:space="preserve"> </w:t>
      </w:r>
      <w:r w:rsidRPr="000E3B0C">
        <w:t xml:space="preserve">naopak </w:t>
      </w:r>
      <w:r w:rsidR="00D73853" w:rsidRPr="000E3B0C">
        <w:t>výslovně</w:t>
      </w:r>
      <w:r w:rsidRPr="000E3B0C">
        <w:t xml:space="preserve"> stanoví </w:t>
      </w:r>
      <w:r w:rsidR="00D73853" w:rsidRPr="000E3B0C">
        <w:t>přehled</w:t>
      </w:r>
      <w:r w:rsidRPr="000E3B0C">
        <w:t xml:space="preserve"> jak polehčujících, tak přitěžujících okolností</w:t>
      </w:r>
      <w:r w:rsidR="001B0AE2" w:rsidRPr="000E3B0C">
        <w:t>; upravuje též výčet vylučujících okolností.</w:t>
      </w:r>
      <w:r w:rsidR="001B0AE2" w:rsidRPr="000E3B0C">
        <w:rPr>
          <w:rStyle w:val="Znakapoznpodarou"/>
        </w:rPr>
        <w:footnoteReference w:id="216"/>
      </w:r>
      <w:r w:rsidR="001B0AE2" w:rsidRPr="000E3B0C">
        <w:t xml:space="preserve"> </w:t>
      </w:r>
      <w:r w:rsidR="00D73853" w:rsidRPr="000E3B0C">
        <w:t>N</w:t>
      </w:r>
      <w:r w:rsidRPr="000E3B0C">
        <w:t xml:space="preserve">ejedná se přitom o </w:t>
      </w:r>
      <w:r w:rsidR="001B0AE2" w:rsidRPr="000E3B0C">
        <w:t>seznamy</w:t>
      </w:r>
      <w:r w:rsidRPr="000E3B0C">
        <w:t xml:space="preserve"> taxativní, neboť </w:t>
      </w:r>
      <w:r w:rsidRPr="000E3B0C">
        <w:rPr>
          <w:rFonts w:eastAsia="Calibri"/>
          <w:lang w:eastAsia="en-US"/>
        </w:rPr>
        <w:t>d</w:t>
      </w:r>
      <w:r w:rsidR="00350127" w:rsidRPr="000E3B0C">
        <w:t xml:space="preserve">alší takové okolnosti může </w:t>
      </w:r>
      <w:r w:rsidR="00D73853" w:rsidRPr="000E3B0C">
        <w:t>určit</w:t>
      </w:r>
      <w:r w:rsidR="00350127" w:rsidRPr="000E3B0C">
        <w:t xml:space="preserve"> i partikulární zákon</w:t>
      </w:r>
      <w:r w:rsidRPr="000E3B0C">
        <w:t xml:space="preserve"> (</w:t>
      </w:r>
      <w:r w:rsidR="00DC2C68" w:rsidRPr="000E3B0C">
        <w:t xml:space="preserve">příp. </w:t>
      </w:r>
      <w:r w:rsidRPr="000E3B0C">
        <w:t xml:space="preserve">trestní příkaz </w:t>
      </w:r>
      <w:r w:rsidR="00D73853" w:rsidRPr="000E3B0C">
        <w:t xml:space="preserve">toliko </w:t>
      </w:r>
      <w:r w:rsidRPr="000E3B0C">
        <w:t xml:space="preserve">pro </w:t>
      </w:r>
      <w:r w:rsidR="00DC2C68" w:rsidRPr="000E3B0C">
        <w:t>kauzu, které se týká</w:t>
      </w:r>
      <w:r w:rsidRPr="000E3B0C">
        <w:t>)</w:t>
      </w:r>
      <w:r w:rsidR="00350127" w:rsidRPr="000E3B0C">
        <w:t>, a to buď</w:t>
      </w:r>
      <w:r w:rsidR="00DC2C68" w:rsidRPr="000E3B0C">
        <w:t>to</w:t>
      </w:r>
      <w:r w:rsidR="00350127" w:rsidRPr="000E3B0C">
        <w:t xml:space="preserve"> obecně, nebo p</w:t>
      </w:r>
      <w:r w:rsidRPr="000E3B0C">
        <w:t xml:space="preserve">ro </w:t>
      </w:r>
      <w:r w:rsidR="00DC2C68" w:rsidRPr="000E3B0C">
        <w:t>konkrétní</w:t>
      </w:r>
      <w:r w:rsidRPr="000E3B0C">
        <w:t xml:space="preserve"> skutkové podstaty.</w:t>
      </w:r>
      <w:r w:rsidR="00980AD3" w:rsidRPr="000E3B0C">
        <w:rPr>
          <w:rStyle w:val="Znakapoznpodarou"/>
        </w:rPr>
        <w:footnoteReference w:id="217"/>
      </w:r>
      <w:r w:rsidRPr="000E3B0C">
        <w:t xml:space="preserve"> </w:t>
      </w:r>
      <w:r w:rsidR="00D73853" w:rsidRPr="000E3B0C">
        <w:t>Platí, že</w:t>
      </w:r>
      <w:r w:rsidR="00FB16E6">
        <w:t> </w:t>
      </w:r>
      <w:r w:rsidR="00D73853" w:rsidRPr="000E3B0C">
        <w:t>k</w:t>
      </w:r>
      <w:r w:rsidR="00204729" w:rsidRPr="000E3B0C">
        <w:t> </w:t>
      </w:r>
      <w:r w:rsidRPr="000E3B0C">
        <w:t>okolnostem polehčujícím</w:t>
      </w:r>
      <w:r w:rsidR="001B0AE2" w:rsidRPr="000E3B0C">
        <w:t xml:space="preserve"> </w:t>
      </w:r>
      <w:r w:rsidR="00D73853" w:rsidRPr="000E3B0C">
        <w:t>je</w:t>
      </w:r>
      <w:r w:rsidRPr="000E3B0C">
        <w:t xml:space="preserve"> </w:t>
      </w:r>
      <w:r w:rsidR="00D73853" w:rsidRPr="000E3B0C">
        <w:t>soud</w:t>
      </w:r>
      <w:r w:rsidRPr="000E3B0C">
        <w:t xml:space="preserve"> </w:t>
      </w:r>
      <w:r w:rsidR="00D73853" w:rsidRPr="000E3B0C">
        <w:t xml:space="preserve">povinen </w:t>
      </w:r>
      <w:r w:rsidRPr="000E3B0C">
        <w:t xml:space="preserve">přihlédnout </w:t>
      </w:r>
      <w:r w:rsidR="00D73853" w:rsidRPr="000E3B0C">
        <w:t xml:space="preserve">z úřední povinnosti; </w:t>
      </w:r>
      <w:r w:rsidRPr="000E3B0C">
        <w:t xml:space="preserve">v případě jejich existence </w:t>
      </w:r>
      <w:r w:rsidR="00350127" w:rsidRPr="000E3B0C">
        <w:t xml:space="preserve">musí </w:t>
      </w:r>
      <w:r w:rsidRPr="000E3B0C">
        <w:t xml:space="preserve">trest </w:t>
      </w:r>
      <w:r w:rsidR="00350127" w:rsidRPr="000E3B0C">
        <w:t xml:space="preserve">snížit nebo místo něj uložit trestní pokání. Stejně tak </w:t>
      </w:r>
      <w:r w:rsidR="00D73853" w:rsidRPr="000E3B0C">
        <w:t xml:space="preserve">ovšem </w:t>
      </w:r>
      <w:r w:rsidR="00350127" w:rsidRPr="000E3B0C">
        <w:t xml:space="preserve">může </w:t>
      </w:r>
      <w:r w:rsidR="00D73853" w:rsidRPr="000E3B0C">
        <w:t xml:space="preserve">soud </w:t>
      </w:r>
      <w:r w:rsidRPr="000E3B0C">
        <w:t>učinit také tehdy</w:t>
      </w:r>
      <w:r w:rsidR="00350127" w:rsidRPr="000E3B0C">
        <w:t xml:space="preserve">, jestliže existuje </w:t>
      </w:r>
      <w:r w:rsidR="00204729" w:rsidRPr="000E3B0C">
        <w:t xml:space="preserve">i </w:t>
      </w:r>
      <w:r w:rsidR="00350127" w:rsidRPr="000E3B0C">
        <w:t xml:space="preserve">jiná </w:t>
      </w:r>
      <w:r w:rsidRPr="000E3B0C">
        <w:t xml:space="preserve">zákonem neuvedená </w:t>
      </w:r>
      <w:r w:rsidR="00D73853" w:rsidRPr="000E3B0C">
        <w:t xml:space="preserve">okolnost odůvodňující mírnější potrestání. </w:t>
      </w:r>
      <w:r w:rsidRPr="000E3B0C">
        <w:t xml:space="preserve">Pokud je </w:t>
      </w:r>
      <w:r w:rsidR="00D73853" w:rsidRPr="000E3B0C">
        <w:t>shledána</w:t>
      </w:r>
      <w:r w:rsidRPr="000E3B0C">
        <w:t xml:space="preserve"> polehčující okolnost stanovená </w:t>
      </w:r>
      <w:r w:rsidR="00350127" w:rsidRPr="000E3B0C">
        <w:t>zákonem (</w:t>
      </w:r>
      <w:r w:rsidRPr="000E3B0C">
        <w:t xml:space="preserve">popř. </w:t>
      </w:r>
      <w:r w:rsidR="00350127" w:rsidRPr="000E3B0C">
        <w:t>trestním</w:t>
      </w:r>
      <w:r w:rsidRPr="000E3B0C">
        <w:t xml:space="preserve"> příkazem), pak pachatele </w:t>
      </w:r>
      <w:r w:rsidR="00350127" w:rsidRPr="000E3B0C">
        <w:t>nemůže stihnout samočinný trest</w:t>
      </w:r>
      <w:r w:rsidRPr="000E3B0C">
        <w:t>,</w:t>
      </w:r>
      <w:r w:rsidRPr="000E3B0C">
        <w:rPr>
          <w:vertAlign w:val="superscript"/>
        </w:rPr>
        <w:footnoteReference w:id="218"/>
      </w:r>
      <w:r w:rsidRPr="000E3B0C">
        <w:t xml:space="preserve"> lze mu však uložit mírnější tresty či trestní pokání, aby se napravil nebo bylo odstraněno pohoršení.</w:t>
      </w:r>
      <w:r w:rsidR="00C64A47" w:rsidRPr="000E3B0C">
        <w:t xml:space="preserve"> </w:t>
      </w:r>
      <w:r w:rsidR="00D73853" w:rsidRPr="000E3B0C">
        <w:t>D</w:t>
      </w:r>
      <w:r w:rsidR="00C64A47" w:rsidRPr="000E3B0C">
        <w:t xml:space="preserve">ůvodem pro aplikaci ustanovení </w:t>
      </w:r>
      <w:r w:rsidR="00204729" w:rsidRPr="000E3B0C">
        <w:t>o </w:t>
      </w:r>
      <w:r w:rsidR="00D73853" w:rsidRPr="000E3B0C">
        <w:t xml:space="preserve">polehčujících </w:t>
      </w:r>
      <w:r w:rsidR="00204729" w:rsidRPr="000E3B0C">
        <w:t xml:space="preserve">(a ani vylučujících) </w:t>
      </w:r>
      <w:r w:rsidR="00D73853" w:rsidRPr="000E3B0C">
        <w:t xml:space="preserve">okolnostech </w:t>
      </w:r>
      <w:r w:rsidR="00C64A47" w:rsidRPr="000E3B0C">
        <w:t>nikdy nemůže být pachatelova hrubá, nedbalá nebo úmyslná nevědomost.</w:t>
      </w:r>
      <w:r w:rsidR="00C64A47" w:rsidRPr="000E3B0C">
        <w:rPr>
          <w:vertAlign w:val="superscript"/>
        </w:rPr>
        <w:footnoteReference w:id="219"/>
      </w:r>
      <w:r w:rsidRPr="000E3B0C">
        <w:t xml:space="preserve"> Jako příklady </w:t>
      </w:r>
      <w:r w:rsidR="00204729" w:rsidRPr="000E3B0C">
        <w:t xml:space="preserve">polehčujících okolností </w:t>
      </w:r>
      <w:r w:rsidRPr="000E3B0C">
        <w:t xml:space="preserve">lze </w:t>
      </w:r>
      <w:r w:rsidR="00D73853" w:rsidRPr="000E3B0C">
        <w:t>uvést</w:t>
      </w:r>
      <w:r w:rsidRPr="000E3B0C">
        <w:t xml:space="preserve"> nedostatečné užívání rozumu (včetně jeho absence kvůli </w:t>
      </w:r>
      <w:r w:rsidR="00CD4A0A" w:rsidRPr="000E3B0C">
        <w:t xml:space="preserve">zaviněné opilosti), </w:t>
      </w:r>
      <w:r w:rsidRPr="000E3B0C">
        <w:t>těžký nával vášně</w:t>
      </w:r>
      <w:r w:rsidR="00CD4A0A" w:rsidRPr="000E3B0C">
        <w:t xml:space="preserve"> nezpůsobivší plnou ztrátu rozumového uvažování nebo schopnosti projevovat svobodnou vůli, </w:t>
      </w:r>
      <w:r w:rsidRPr="000E3B0C">
        <w:t xml:space="preserve">vážný strach, </w:t>
      </w:r>
      <w:r w:rsidRPr="000E3B0C">
        <w:lastRenderedPageBreak/>
        <w:t xml:space="preserve">nutnost nebo </w:t>
      </w:r>
      <w:r w:rsidR="00CD4A0A" w:rsidRPr="000E3B0C">
        <w:t>závažnou nesnázi</w:t>
      </w:r>
      <w:r w:rsidR="00B31D83" w:rsidRPr="000E3B0C">
        <w:t xml:space="preserve"> (jestliže skutek byl vnitřně špatný nebo vedl ke škodě duší),</w:t>
      </w:r>
      <w:r w:rsidR="00B31D83" w:rsidRPr="000E3B0C">
        <w:rPr>
          <w:rFonts w:ascii="TimesNewRomanPSMT" w:hAnsi="TimesNewRomanPSMT" w:cs="TimesNewRomanPSMT"/>
          <w:sz w:val="20"/>
          <w:szCs w:val="20"/>
        </w:rPr>
        <w:t xml:space="preserve"> </w:t>
      </w:r>
      <w:r w:rsidR="006D3254" w:rsidRPr="000E3B0C">
        <w:t xml:space="preserve">nepřiměřenou </w:t>
      </w:r>
      <w:r w:rsidR="00CD4A0A" w:rsidRPr="000E3B0C">
        <w:t xml:space="preserve">oprávněnou </w:t>
      </w:r>
      <w:r w:rsidR="006D3254" w:rsidRPr="000E3B0C">
        <w:t>sebeobranu</w:t>
      </w:r>
      <w:r w:rsidR="00CD4A0A" w:rsidRPr="000E3B0C">
        <w:t xml:space="preserve"> proti nespravedlivě</w:t>
      </w:r>
      <w:r w:rsidR="00CD4A0A" w:rsidRPr="000E3B0C">
        <w:rPr>
          <w:rFonts w:ascii="TimesNewRomanPSMT" w:hAnsi="TimesNewRomanPSMT" w:cs="TimesNewRomanPSMT"/>
          <w:sz w:val="20"/>
          <w:szCs w:val="20"/>
        </w:rPr>
        <w:t xml:space="preserve"> </w:t>
      </w:r>
      <w:r w:rsidR="00CD4A0A" w:rsidRPr="000E3B0C">
        <w:t>útočícímu</w:t>
      </w:r>
      <w:r w:rsidRPr="000E3B0C">
        <w:t xml:space="preserve">, </w:t>
      </w:r>
      <w:r w:rsidR="00CD4A0A" w:rsidRPr="000E3B0C">
        <w:t xml:space="preserve">závažnou a nespravedlivou </w:t>
      </w:r>
      <w:r w:rsidRPr="000E3B0C">
        <w:t>provokaci obětí, zavi</w:t>
      </w:r>
      <w:r w:rsidR="006D3254" w:rsidRPr="000E3B0C">
        <w:t xml:space="preserve">něný omyl </w:t>
      </w:r>
      <w:r w:rsidR="00CD4A0A" w:rsidRPr="000E3B0C">
        <w:t xml:space="preserve">o vylučující okolnosti </w:t>
      </w:r>
      <w:r w:rsidR="006D3254" w:rsidRPr="000E3B0C">
        <w:t>nebo</w:t>
      </w:r>
      <w:r w:rsidRPr="000E3B0C">
        <w:t xml:space="preserve"> nezaviněnou neznalost </w:t>
      </w:r>
      <w:r w:rsidR="00B31D83" w:rsidRPr="000E3B0C">
        <w:t>trestu za</w:t>
      </w:r>
      <w:r w:rsidR="00FB16E6">
        <w:t> </w:t>
      </w:r>
      <w:r w:rsidR="00B31D83" w:rsidRPr="000E3B0C">
        <w:t>protiprávní jednání</w:t>
      </w:r>
      <w:r w:rsidRPr="000E3B0C">
        <w:t>.</w:t>
      </w:r>
      <w:r w:rsidRPr="000E3B0C">
        <w:rPr>
          <w:vertAlign w:val="superscript"/>
        </w:rPr>
        <w:footnoteReference w:id="220"/>
      </w:r>
    </w:p>
    <w:p w14:paraId="11CDD083" w14:textId="77777777" w:rsidR="00D529B7" w:rsidRPr="000E3B0C" w:rsidRDefault="00D529B7" w:rsidP="00B31D83"/>
    <w:p w14:paraId="42D0C189" w14:textId="76A7141F" w:rsidR="00AB193B" w:rsidRPr="000E3B0C" w:rsidRDefault="000D3284" w:rsidP="00AB193B">
      <w:pPr>
        <w:rPr>
          <w:rFonts w:cs="TimesNewRomanPSMT"/>
          <w:sz w:val="20"/>
          <w:szCs w:val="20"/>
        </w:rPr>
      </w:pPr>
      <w:r w:rsidRPr="000E3B0C">
        <w:t xml:space="preserve">Podstatná odlišnost platila </w:t>
      </w:r>
      <w:r w:rsidR="005D0C6B" w:rsidRPr="000E3B0C">
        <w:t xml:space="preserve">v kanonickém právu </w:t>
      </w:r>
      <w:r w:rsidRPr="000E3B0C">
        <w:t>ještě před poslední novelou Kodexu u okolností přitěžujících;</w:t>
      </w:r>
      <w:r w:rsidR="005D0C6B" w:rsidRPr="000E3B0C">
        <w:rPr>
          <w:rStyle w:val="Znakapoznpodarou"/>
        </w:rPr>
        <w:footnoteReference w:id="221"/>
      </w:r>
      <w:r w:rsidRPr="000E3B0C">
        <w:t xml:space="preserve"> </w:t>
      </w:r>
      <w:r w:rsidR="00350127" w:rsidRPr="000E3B0C">
        <w:t xml:space="preserve">soudce </w:t>
      </w:r>
      <w:r w:rsidRPr="000E3B0C">
        <w:t xml:space="preserve">k nim </w:t>
      </w:r>
      <w:r w:rsidR="005D0C6B" w:rsidRPr="000E3B0C">
        <w:t xml:space="preserve">totiž </w:t>
      </w:r>
      <w:r w:rsidRPr="000E3B0C">
        <w:t>mohl</w:t>
      </w:r>
      <w:r w:rsidR="00350127" w:rsidRPr="000E3B0C">
        <w:t xml:space="preserve"> (</w:t>
      </w:r>
      <w:r w:rsidRPr="000E3B0C">
        <w:t>ale nemusel</w:t>
      </w:r>
      <w:r w:rsidR="00350127" w:rsidRPr="000E3B0C">
        <w:t>) přihlédnout a v </w:t>
      </w:r>
      <w:r w:rsidRPr="000E3B0C">
        <w:t>důsledku</w:t>
      </w:r>
      <w:r w:rsidR="00350127" w:rsidRPr="000E3B0C">
        <w:t xml:space="preserve"> toho </w:t>
      </w:r>
      <w:r w:rsidRPr="000E3B0C">
        <w:t>pachatele po</w:t>
      </w:r>
      <w:r w:rsidR="00350127" w:rsidRPr="000E3B0C">
        <w:t>stihnout přísnějším trestem, než jaký st</w:t>
      </w:r>
      <w:r w:rsidRPr="000E3B0C">
        <w:t xml:space="preserve">anovil </w:t>
      </w:r>
      <w:r w:rsidR="00350127" w:rsidRPr="000E3B0C">
        <w:t>trestní zákon nebo příkaz.</w:t>
      </w:r>
      <w:r w:rsidR="00426BB8" w:rsidRPr="000E3B0C">
        <w:rPr>
          <w:rStyle w:val="Znakapoznpodarou"/>
        </w:rPr>
        <w:footnoteReference w:id="222"/>
      </w:r>
      <w:r w:rsidRPr="000E3B0C">
        <w:t xml:space="preserve"> Novela ale zavádí změnu spočívající v tom, že i u přitěžujících okolností vyjmenovaných v zákoně je povinnos</w:t>
      </w:r>
      <w:r w:rsidR="005D0C6B" w:rsidRPr="000E3B0C">
        <w:t xml:space="preserve">tí soudu </w:t>
      </w:r>
      <w:r w:rsidRPr="000E3B0C">
        <w:t>uložit těžší trest; nově je také stanoveno, že fakultativní trest se v takových případech stává obligatorním.</w:t>
      </w:r>
      <w:r w:rsidRPr="000E3B0C">
        <w:rPr>
          <w:vertAlign w:val="superscript"/>
        </w:rPr>
        <w:footnoteReference w:id="223"/>
      </w:r>
      <w:r w:rsidRPr="000E3B0C">
        <w:t xml:space="preserve"> Při spáchání trestných činů, za něž je stanoven samočinný trest, pak lze uložit ještě další trest nebo trestní pokání.</w:t>
      </w:r>
      <w:r w:rsidRPr="000E3B0C">
        <w:rPr>
          <w:vertAlign w:val="superscript"/>
        </w:rPr>
        <w:footnoteReference w:id="224"/>
      </w:r>
      <w:r w:rsidRPr="000E3B0C">
        <w:t xml:space="preserve"> </w:t>
      </w:r>
      <w:r w:rsidR="0083412F" w:rsidRPr="000E3B0C">
        <w:t xml:space="preserve">Jako příklad přitěžujících okolností lze uvést recidivu (pokračování v trestné činnosti po </w:t>
      </w:r>
      <w:r w:rsidR="00426BB8" w:rsidRPr="000E3B0C">
        <w:t>uložení trestu</w:t>
      </w:r>
      <w:r w:rsidR="0083412F" w:rsidRPr="000E3B0C">
        <w:t>), zneužití autority</w:t>
      </w:r>
      <w:r w:rsidR="00426BB8" w:rsidRPr="000E3B0C">
        <w:t xml:space="preserve"> nebo úřad</w:t>
      </w:r>
      <w:r w:rsidR="0083412F" w:rsidRPr="000E3B0C">
        <w:t>u, p</w:t>
      </w:r>
      <w:r w:rsidR="00426BB8" w:rsidRPr="000E3B0C">
        <w:t>ředví</w:t>
      </w:r>
      <w:r w:rsidR="0083412F" w:rsidRPr="000E3B0C">
        <w:t xml:space="preserve">dání škodlivého </w:t>
      </w:r>
      <w:r w:rsidR="00426BB8" w:rsidRPr="000E3B0C">
        <w:t>ná</w:t>
      </w:r>
      <w:r w:rsidR="0083412F" w:rsidRPr="000E3B0C">
        <w:t xml:space="preserve">sledku </w:t>
      </w:r>
      <w:r w:rsidR="00426BB8" w:rsidRPr="000E3B0C">
        <w:t xml:space="preserve">a </w:t>
      </w:r>
      <w:r w:rsidR="0083412F" w:rsidRPr="000E3B0C">
        <w:t>n</w:t>
      </w:r>
      <w:r w:rsidR="005D0C6B" w:rsidRPr="000E3B0C">
        <w:t>ezabránění mu, opilost přivozenou</w:t>
      </w:r>
      <w:r w:rsidR="0083412F" w:rsidRPr="000E3B0C">
        <w:t xml:space="preserve"> s úmyslem spáchat trestný čin</w:t>
      </w:r>
      <w:r w:rsidR="006E6CE1" w:rsidRPr="000E3B0C">
        <w:rPr>
          <w:rStyle w:val="Znakapoznpodarou"/>
        </w:rPr>
        <w:footnoteReference w:id="225"/>
      </w:r>
      <w:r w:rsidR="0083412F" w:rsidRPr="000E3B0C">
        <w:t xml:space="preserve"> </w:t>
      </w:r>
      <w:r w:rsidR="006E6CE1" w:rsidRPr="000E3B0C">
        <w:t>či dobrovolně vyvolanou nebo živenou</w:t>
      </w:r>
      <w:r w:rsidR="0083412F" w:rsidRPr="000E3B0C">
        <w:t xml:space="preserve"> </w:t>
      </w:r>
      <w:r w:rsidR="00426BB8" w:rsidRPr="000E3B0C">
        <w:t>váš</w:t>
      </w:r>
      <w:r w:rsidR="0083412F" w:rsidRPr="000E3B0C">
        <w:t>eň</w:t>
      </w:r>
      <w:r w:rsidR="00426BB8" w:rsidRPr="000E3B0C">
        <w:t>.</w:t>
      </w:r>
      <w:r w:rsidRPr="000E3B0C">
        <w:rPr>
          <w:vertAlign w:val="superscript"/>
        </w:rPr>
        <w:footnoteReference w:id="226"/>
      </w:r>
      <w:r w:rsidR="00AB193B" w:rsidRPr="000E3B0C">
        <w:t xml:space="preserve"> Zároveň platí, že pachatel, který se dopustil trestného činu, jehož projednání je vyhrazeno </w:t>
      </w:r>
      <w:proofErr w:type="spellStart"/>
      <w:r w:rsidR="00AB193B" w:rsidRPr="000E3B0C">
        <w:t>Dikasteriu</w:t>
      </w:r>
      <w:proofErr w:type="spellEnd"/>
      <w:r w:rsidR="00AB193B" w:rsidRPr="000E3B0C">
        <w:t xml:space="preserve"> pro nauku víry, má být krom toho, co je stanoveno zákonem, v případě potřeby potrestán podle závažnosti svého protiprávního jednání spravedlivým trestem, a jde-li o klerika, může být </w:t>
      </w:r>
      <w:r w:rsidR="00F453A8" w:rsidRPr="000E3B0C">
        <w:t xml:space="preserve">i </w:t>
      </w:r>
      <w:r w:rsidR="00AB193B" w:rsidRPr="000E3B0C">
        <w:t>propuštěn z klerického stavu nebo zbaven klerické hodnosti.</w:t>
      </w:r>
      <w:r w:rsidR="00AB193B" w:rsidRPr="000E3B0C">
        <w:rPr>
          <w:rStyle w:val="Znakapoznpodarou"/>
        </w:rPr>
        <w:footnoteReference w:id="227"/>
      </w:r>
    </w:p>
    <w:p w14:paraId="5D9D7EAF" w14:textId="77777777" w:rsidR="00AB193B" w:rsidRPr="000E3B0C" w:rsidRDefault="00AB193B" w:rsidP="0083412F"/>
    <w:p w14:paraId="7E11D836" w14:textId="40642805" w:rsidR="000C6051" w:rsidRPr="000E3B0C" w:rsidRDefault="00A27835" w:rsidP="000C6051">
      <w:r w:rsidRPr="000E3B0C">
        <w:rPr>
          <w:u w:val="single"/>
        </w:rPr>
        <w:t>Kanonické trestní právo</w:t>
      </w:r>
      <w:r w:rsidRPr="000E3B0C">
        <w:t xml:space="preserve"> </w:t>
      </w:r>
      <w:r w:rsidR="00446892" w:rsidRPr="000E3B0C">
        <w:t xml:space="preserve">má </w:t>
      </w:r>
      <w:r w:rsidR="00F453A8" w:rsidRPr="000E3B0C">
        <w:t xml:space="preserve">dále </w:t>
      </w:r>
      <w:r w:rsidR="00446892" w:rsidRPr="000E3B0C">
        <w:t>výslovně upravena</w:t>
      </w:r>
      <w:r w:rsidRPr="000E3B0C">
        <w:t xml:space="preserve"> specifická </w:t>
      </w:r>
      <w:r w:rsidR="008903C5" w:rsidRPr="000E3B0C">
        <w:rPr>
          <w:b/>
        </w:rPr>
        <w:t>moderační oprávnění soud</w:t>
      </w:r>
      <w:r w:rsidR="00446892" w:rsidRPr="000E3B0C">
        <w:rPr>
          <w:b/>
        </w:rPr>
        <w:t>u</w:t>
      </w:r>
      <w:r w:rsidR="00446892" w:rsidRPr="000E3B0C">
        <w:t>; ta mu</w:t>
      </w:r>
      <w:r w:rsidR="00543447" w:rsidRPr="000E3B0C">
        <w:t xml:space="preserve"> umož</w:t>
      </w:r>
      <w:r w:rsidR="00AD1ABB" w:rsidRPr="000E3B0C">
        <w:t>ňují</w:t>
      </w:r>
      <w:r w:rsidR="00543447" w:rsidRPr="000E3B0C">
        <w:t xml:space="preserve">, aby </w:t>
      </w:r>
      <w:r w:rsidR="00AD1ABB" w:rsidRPr="000E3B0C">
        <w:t xml:space="preserve">i </w:t>
      </w:r>
      <w:r w:rsidR="00543447" w:rsidRPr="000E3B0C">
        <w:t xml:space="preserve">při ukládání </w:t>
      </w:r>
      <w:r w:rsidR="00AD1ABB" w:rsidRPr="000E3B0C">
        <w:t>obligatorního</w:t>
      </w:r>
      <w:r w:rsidR="00AD1ABB" w:rsidRPr="000E3B0C">
        <w:rPr>
          <w:rStyle w:val="Znakapoznpodarou"/>
        </w:rPr>
        <w:footnoteReference w:id="228"/>
      </w:r>
      <w:r w:rsidR="00AD1ABB" w:rsidRPr="000E3B0C">
        <w:t xml:space="preserve"> </w:t>
      </w:r>
      <w:r w:rsidR="00543447" w:rsidRPr="000E3B0C">
        <w:t xml:space="preserve">trestu </w:t>
      </w:r>
      <w:r w:rsidR="00AD1ABB" w:rsidRPr="000E3B0C">
        <w:t xml:space="preserve">podle kogentní </w:t>
      </w:r>
      <w:r w:rsidR="003C2FAC" w:rsidRPr="000E3B0C">
        <w:t xml:space="preserve">zákonné </w:t>
      </w:r>
      <w:r w:rsidR="00AD1ABB" w:rsidRPr="000E3B0C">
        <w:t xml:space="preserve">úpravy </w:t>
      </w:r>
      <w:r w:rsidR="00FF7BAA" w:rsidRPr="000E3B0C">
        <w:t>využil</w:t>
      </w:r>
      <w:r w:rsidR="00543447" w:rsidRPr="000E3B0C">
        <w:t xml:space="preserve"> </w:t>
      </w:r>
      <w:r w:rsidR="00FF7BAA" w:rsidRPr="000E3B0C">
        <w:t>ve prospěch pachatele určitých</w:t>
      </w:r>
      <w:r w:rsidR="003C2FAC" w:rsidRPr="000E3B0C">
        <w:t xml:space="preserve"> postup</w:t>
      </w:r>
      <w:r w:rsidR="00FF7BAA" w:rsidRPr="000E3B0C">
        <w:t>ů</w:t>
      </w:r>
      <w:r w:rsidR="003C2FAC" w:rsidRPr="000E3B0C">
        <w:t xml:space="preserve">, </w:t>
      </w:r>
      <w:r w:rsidR="00FF7BAA" w:rsidRPr="000E3B0C">
        <w:t>jež</w:t>
      </w:r>
      <w:r w:rsidR="00543447" w:rsidRPr="000E3B0C">
        <w:t xml:space="preserve"> jsou výrazem kanonické umírněnosti</w:t>
      </w:r>
      <w:r w:rsidR="00FF7BAA" w:rsidRPr="000E3B0C">
        <w:t>, která chce při</w:t>
      </w:r>
      <w:r w:rsidR="00CA432D">
        <w:t> </w:t>
      </w:r>
      <w:r w:rsidR="00FF7BAA" w:rsidRPr="000E3B0C">
        <w:t>aplikaci práva brát maximální ohled na obžalovaného a jeho osobní poměry.</w:t>
      </w:r>
      <w:r w:rsidR="001108F3" w:rsidRPr="000E3B0C">
        <w:rPr>
          <w:rStyle w:val="Znakapoznpodarou"/>
        </w:rPr>
        <w:footnoteReference w:id="229"/>
      </w:r>
      <w:r w:rsidR="00284E0E" w:rsidRPr="000E3B0C">
        <w:t xml:space="preserve"> </w:t>
      </w:r>
      <w:r w:rsidR="001108F3" w:rsidRPr="000E3B0C">
        <w:t xml:space="preserve">Předně </w:t>
      </w:r>
      <w:r w:rsidR="003C2FAC" w:rsidRPr="000E3B0C">
        <w:t xml:space="preserve">soud </w:t>
      </w:r>
      <w:r w:rsidR="001108F3" w:rsidRPr="000E3B0C">
        <w:t xml:space="preserve">může </w:t>
      </w:r>
      <w:r w:rsidR="001108F3" w:rsidRPr="000E3B0C">
        <w:rPr>
          <w:rFonts w:eastAsia="Calibri"/>
          <w:i/>
          <w:lang w:eastAsia="en-US"/>
        </w:rPr>
        <w:t>o</w:t>
      </w:r>
      <w:r w:rsidR="001108F3" w:rsidRPr="000E3B0C">
        <w:rPr>
          <w:i/>
        </w:rPr>
        <w:t xml:space="preserve">dložit uložení trestu </w:t>
      </w:r>
      <w:r w:rsidR="00543447" w:rsidRPr="000E3B0C">
        <w:rPr>
          <w:i/>
        </w:rPr>
        <w:t>na vhodnější dobu</w:t>
      </w:r>
      <w:r w:rsidR="00543447" w:rsidRPr="000E3B0C">
        <w:t xml:space="preserve">, </w:t>
      </w:r>
      <w:r w:rsidR="001108F3" w:rsidRPr="000E3B0C">
        <w:t>pakliže</w:t>
      </w:r>
      <w:r w:rsidR="00543447" w:rsidRPr="000E3B0C">
        <w:t xml:space="preserve"> </w:t>
      </w:r>
      <w:r w:rsidR="001108F3" w:rsidRPr="000E3B0C">
        <w:rPr>
          <w:rFonts w:cs="TimesNewRomanPSMT"/>
        </w:rPr>
        <w:t xml:space="preserve">by ukvapené potrestání pachatele způsobilo větší </w:t>
      </w:r>
      <w:r w:rsidR="001108F3" w:rsidRPr="000E3B0C">
        <w:rPr>
          <w:rFonts w:cs="TimesNewRomanPSMT"/>
        </w:rPr>
        <w:lastRenderedPageBreak/>
        <w:t xml:space="preserve">zlo, pokud </w:t>
      </w:r>
      <w:r w:rsidR="003C2FAC" w:rsidRPr="000E3B0C">
        <w:rPr>
          <w:rFonts w:cs="TimesNewRomanPSMT"/>
        </w:rPr>
        <w:t>zároveň</w:t>
      </w:r>
      <w:r w:rsidR="001108F3" w:rsidRPr="000E3B0C">
        <w:rPr>
          <w:rFonts w:cs="TimesNewRomanPSMT"/>
        </w:rPr>
        <w:t xml:space="preserve"> nenastala nutnost odstranit </w:t>
      </w:r>
      <w:r w:rsidR="006B2210" w:rsidRPr="000E3B0C">
        <w:rPr>
          <w:rFonts w:cs="TimesNewRomanPSMT"/>
        </w:rPr>
        <w:t xml:space="preserve">veřejné </w:t>
      </w:r>
      <w:r w:rsidR="001108F3" w:rsidRPr="000E3B0C">
        <w:rPr>
          <w:rFonts w:cs="TimesNewRomanPSMT"/>
        </w:rPr>
        <w:t>pohoršení.</w:t>
      </w:r>
      <w:r w:rsidR="001108F3" w:rsidRPr="000E3B0C">
        <w:rPr>
          <w:rStyle w:val="Znakapoznpodarou"/>
          <w:rFonts w:cs="TimesNewRomanPSMT"/>
        </w:rPr>
        <w:footnoteReference w:id="230"/>
      </w:r>
      <w:r w:rsidR="001108F3" w:rsidRPr="000E3B0C">
        <w:rPr>
          <w:rFonts w:cs="TimesNewRomanPSMT"/>
        </w:rPr>
        <w:t xml:space="preserve"> </w:t>
      </w:r>
      <w:r w:rsidR="00543447" w:rsidRPr="000E3B0C">
        <w:t xml:space="preserve">Toto </w:t>
      </w:r>
      <w:r w:rsidR="006B2210" w:rsidRPr="000E3B0C">
        <w:t>oprávnění</w:t>
      </w:r>
      <w:r w:rsidR="00543447" w:rsidRPr="000E3B0C">
        <w:t xml:space="preserve"> je </w:t>
      </w:r>
      <w:r w:rsidR="006B2210" w:rsidRPr="000E3B0C">
        <w:t xml:space="preserve">však </w:t>
      </w:r>
      <w:r w:rsidR="001108F3" w:rsidRPr="000E3B0C">
        <w:t>dle Hrdiny značně</w:t>
      </w:r>
      <w:r w:rsidR="00543447" w:rsidRPr="000E3B0C">
        <w:t xml:space="preserve"> </w:t>
      </w:r>
      <w:r w:rsidR="001108F3" w:rsidRPr="000E3B0C">
        <w:t>problematické</w:t>
      </w:r>
      <w:r w:rsidR="00543447" w:rsidRPr="000E3B0C">
        <w:t xml:space="preserve">, </w:t>
      </w:r>
      <w:r w:rsidR="006B2210" w:rsidRPr="000E3B0C">
        <w:t>neboť</w:t>
      </w:r>
      <w:r w:rsidR="00543447" w:rsidRPr="000E3B0C">
        <w:t xml:space="preserve"> může </w:t>
      </w:r>
      <w:r w:rsidR="001108F3" w:rsidRPr="000E3B0C">
        <w:t>„</w:t>
      </w:r>
      <w:r w:rsidR="00543447" w:rsidRPr="000E3B0C">
        <w:t>napínat nervy</w:t>
      </w:r>
      <w:r w:rsidR="001108F3" w:rsidRPr="000E3B0C">
        <w:t>“ obžalovaného; s</w:t>
      </w:r>
      <w:r w:rsidR="00543447" w:rsidRPr="000E3B0C">
        <w:t xml:space="preserve">vůj účel by </w:t>
      </w:r>
      <w:r w:rsidR="001108F3" w:rsidRPr="000E3B0C">
        <w:t xml:space="preserve">dle něj </w:t>
      </w:r>
      <w:r w:rsidR="00543447" w:rsidRPr="000E3B0C">
        <w:t xml:space="preserve">mohlo splnit </w:t>
      </w:r>
      <w:r w:rsidR="001108F3" w:rsidRPr="000E3B0C">
        <w:t>pouze</w:t>
      </w:r>
      <w:r w:rsidR="00543447" w:rsidRPr="000E3B0C">
        <w:t xml:space="preserve"> tehdy, pokud by bylo </w:t>
      </w:r>
      <w:r w:rsidR="001108F3" w:rsidRPr="000E3B0C">
        <w:t>mezistupněm</w:t>
      </w:r>
      <w:r w:rsidR="00543447" w:rsidRPr="000E3B0C">
        <w:t xml:space="preserve"> k</w:t>
      </w:r>
      <w:r w:rsidR="006B2210" w:rsidRPr="000E3B0C">
        <w:t xml:space="preserve"> úplnému </w:t>
      </w:r>
      <w:r w:rsidR="00543447" w:rsidRPr="000E3B0C">
        <w:t>upuštění od uložení trestu.</w:t>
      </w:r>
      <w:r w:rsidR="001108F3" w:rsidRPr="000E3B0C">
        <w:rPr>
          <w:rStyle w:val="Znakapoznpodarou"/>
        </w:rPr>
        <w:footnoteReference w:id="231"/>
      </w:r>
      <w:r w:rsidR="001108F3" w:rsidRPr="000E3B0C">
        <w:t xml:space="preserve"> </w:t>
      </w:r>
      <w:r w:rsidR="006B2210" w:rsidRPr="000E3B0C">
        <w:t xml:space="preserve">Soud totiž dále může také </w:t>
      </w:r>
      <w:r w:rsidR="000B7FC7" w:rsidRPr="000E3B0C">
        <w:t xml:space="preserve">zcela </w:t>
      </w:r>
      <w:r w:rsidR="000B7FC7" w:rsidRPr="000E3B0C">
        <w:rPr>
          <w:i/>
        </w:rPr>
        <w:t>u</w:t>
      </w:r>
      <w:r w:rsidR="00543447" w:rsidRPr="000E3B0C">
        <w:rPr>
          <w:i/>
        </w:rPr>
        <w:t xml:space="preserve">pustit </w:t>
      </w:r>
      <w:r w:rsidR="00446892" w:rsidRPr="000E3B0C">
        <w:rPr>
          <w:i/>
        </w:rPr>
        <w:t>od uložení trestu</w:t>
      </w:r>
      <w:r w:rsidR="003C2FAC" w:rsidRPr="000E3B0C">
        <w:t xml:space="preserve">, </w:t>
      </w:r>
      <w:r w:rsidR="000B7FC7" w:rsidRPr="000E3B0C">
        <w:rPr>
          <w:i/>
        </w:rPr>
        <w:t xml:space="preserve">uložit mírnější </w:t>
      </w:r>
      <w:r w:rsidR="00F14C2B" w:rsidRPr="000E3B0C">
        <w:rPr>
          <w:i/>
        </w:rPr>
        <w:t>sankci</w:t>
      </w:r>
      <w:r w:rsidR="000B7FC7" w:rsidRPr="000E3B0C">
        <w:t>, než jakou</w:t>
      </w:r>
      <w:r w:rsidR="00446892" w:rsidRPr="000E3B0C">
        <w:t xml:space="preserve"> </w:t>
      </w:r>
      <w:r w:rsidR="000B7FC7" w:rsidRPr="000E3B0C">
        <w:t>stanoví příslušná skutková podstata trestného činu</w:t>
      </w:r>
      <w:r w:rsidR="00446892" w:rsidRPr="000E3B0C">
        <w:t>,</w:t>
      </w:r>
      <w:r w:rsidR="003C2FAC" w:rsidRPr="000E3B0C">
        <w:t xml:space="preserve"> nebo</w:t>
      </w:r>
      <w:r w:rsidR="00446892" w:rsidRPr="000E3B0C">
        <w:t xml:space="preserve"> </w:t>
      </w:r>
      <w:r w:rsidR="00446892" w:rsidRPr="000E3B0C">
        <w:rPr>
          <w:i/>
        </w:rPr>
        <w:t xml:space="preserve">místo trestu </w:t>
      </w:r>
      <w:r w:rsidR="000B7FC7" w:rsidRPr="000E3B0C">
        <w:rPr>
          <w:i/>
        </w:rPr>
        <w:t>udělit</w:t>
      </w:r>
      <w:r w:rsidR="00446892" w:rsidRPr="000E3B0C">
        <w:rPr>
          <w:i/>
        </w:rPr>
        <w:t xml:space="preserve"> </w:t>
      </w:r>
      <w:r w:rsidR="000B7FC7" w:rsidRPr="000E3B0C">
        <w:rPr>
          <w:i/>
        </w:rPr>
        <w:t>trestní</w:t>
      </w:r>
      <w:r w:rsidR="00446892" w:rsidRPr="000E3B0C">
        <w:rPr>
          <w:i/>
        </w:rPr>
        <w:t xml:space="preserve"> pokání</w:t>
      </w:r>
      <w:r w:rsidR="003C2FAC" w:rsidRPr="000E3B0C">
        <w:t>.</w:t>
      </w:r>
      <w:r w:rsidR="00F52DE8" w:rsidRPr="000E3B0C">
        <w:t xml:space="preserve"> </w:t>
      </w:r>
      <w:r w:rsidR="003C2FAC" w:rsidRPr="000E3B0C">
        <w:t>Takový postup je možný v případě, kdy se pachatel napravil,</w:t>
      </w:r>
      <w:r w:rsidR="00F14C2B" w:rsidRPr="000E3B0C">
        <w:t xml:space="preserve"> bylo odstraněno </w:t>
      </w:r>
      <w:r w:rsidR="006B2210" w:rsidRPr="000E3B0C">
        <w:t xml:space="preserve">veřejné </w:t>
      </w:r>
      <w:r w:rsidR="00F14C2B" w:rsidRPr="000E3B0C">
        <w:t>pohoršení</w:t>
      </w:r>
      <w:r w:rsidR="003C2FAC" w:rsidRPr="000E3B0C">
        <w:t xml:space="preserve"> a rovněž byla nahrazena případná škoda; nápravy </w:t>
      </w:r>
      <w:r w:rsidR="00D02A06" w:rsidRPr="000E3B0C">
        <w:t>delikventa je tedy</w:t>
      </w:r>
      <w:r w:rsidR="003C2FAC" w:rsidRPr="000E3B0C">
        <w:t xml:space="preserve"> </w:t>
      </w:r>
      <w:r w:rsidR="006B2210" w:rsidRPr="000E3B0C">
        <w:t>docíleno již samotným</w:t>
      </w:r>
      <w:r w:rsidR="003C2FAC" w:rsidRPr="000E3B0C">
        <w:t xml:space="preserve"> projednáním tre</w:t>
      </w:r>
      <w:r w:rsidR="00D02A06" w:rsidRPr="000E3B0C">
        <w:t>stní kauzy a vylovením viny</w:t>
      </w:r>
      <w:r w:rsidR="006B2210" w:rsidRPr="000E3B0C">
        <w:t xml:space="preserve"> pachatele</w:t>
      </w:r>
      <w:r w:rsidR="003C2FAC" w:rsidRPr="000E3B0C">
        <w:t>.</w:t>
      </w:r>
      <w:r w:rsidR="009F66E9" w:rsidRPr="000E3B0C">
        <w:t xml:space="preserve"> </w:t>
      </w:r>
      <w:proofErr w:type="spellStart"/>
      <w:r w:rsidR="009F66E9" w:rsidRPr="000E3B0C">
        <w:t>Menke</w:t>
      </w:r>
      <w:proofErr w:type="spellEnd"/>
      <w:r w:rsidR="009F66E9" w:rsidRPr="000E3B0C">
        <w:t xml:space="preserve"> však upozorňuje, že </w:t>
      </w:r>
      <w:r w:rsidR="009F66E9" w:rsidRPr="000E3B0C">
        <w:rPr>
          <w:rFonts w:cs="Garamond"/>
        </w:rPr>
        <w:t xml:space="preserve">tato možnost by měla být </w:t>
      </w:r>
      <w:r w:rsidR="006B2210" w:rsidRPr="000E3B0C">
        <w:rPr>
          <w:rFonts w:cs="Garamond"/>
        </w:rPr>
        <w:t xml:space="preserve">(především v případě sexuálních deliktů) </w:t>
      </w:r>
      <w:r w:rsidR="009F66E9" w:rsidRPr="000E3B0C">
        <w:rPr>
          <w:rFonts w:cs="Garamond"/>
        </w:rPr>
        <w:t xml:space="preserve">aplikována velmi opatrně </w:t>
      </w:r>
      <w:r w:rsidR="00C13966" w:rsidRPr="000E3B0C">
        <w:rPr>
          <w:rFonts w:cs="Garamond"/>
        </w:rPr>
        <w:t xml:space="preserve">s ohledem </w:t>
      </w:r>
      <w:r w:rsidR="006B2210" w:rsidRPr="000E3B0C">
        <w:rPr>
          <w:rFonts w:cs="Garamond"/>
        </w:rPr>
        <w:t xml:space="preserve">na </w:t>
      </w:r>
      <w:r w:rsidR="00C13966" w:rsidRPr="000E3B0C">
        <w:rPr>
          <w:rFonts w:cs="Garamond"/>
        </w:rPr>
        <w:t xml:space="preserve">to, že spáchaný skutek mohl způsobit </w:t>
      </w:r>
      <w:r w:rsidR="009F66E9" w:rsidRPr="000E3B0C">
        <w:rPr>
          <w:rFonts w:cs="Garamond"/>
        </w:rPr>
        <w:t>velkou nespravedlnost a pohoršení</w:t>
      </w:r>
      <w:r w:rsidR="00C13966" w:rsidRPr="000E3B0C">
        <w:rPr>
          <w:rFonts w:cs="Garamond"/>
        </w:rPr>
        <w:t>.</w:t>
      </w:r>
      <w:r w:rsidR="00C13966" w:rsidRPr="000E3B0C">
        <w:rPr>
          <w:rStyle w:val="Znakapoznpodarou"/>
          <w:rFonts w:cs="Garamond"/>
        </w:rPr>
        <w:footnoteReference w:id="232"/>
      </w:r>
      <w:r w:rsidR="00C13966" w:rsidRPr="000E3B0C">
        <w:rPr>
          <w:rFonts w:cs="Garamond"/>
        </w:rPr>
        <w:t xml:space="preserve"> </w:t>
      </w:r>
      <w:r w:rsidR="00D02A06" w:rsidRPr="000E3B0C">
        <w:t xml:space="preserve">Dále </w:t>
      </w:r>
      <w:r w:rsidR="006B2210" w:rsidRPr="000E3B0C">
        <w:t>lze</w:t>
      </w:r>
      <w:r w:rsidR="00D02A06" w:rsidRPr="000E3B0C">
        <w:t xml:space="preserve"> upustit od uložení trestu </w:t>
      </w:r>
      <w:r w:rsidR="006B2210" w:rsidRPr="000E3B0C">
        <w:t xml:space="preserve">také </w:t>
      </w:r>
      <w:r w:rsidR="00D02A06" w:rsidRPr="000E3B0C">
        <w:t xml:space="preserve">tehdy, pokud byl pachatel </w:t>
      </w:r>
      <w:r w:rsidR="00F14C2B" w:rsidRPr="000E3B0C">
        <w:t>dostatečně potrestán</w:t>
      </w:r>
      <w:r w:rsidR="00D02A06" w:rsidRPr="000E3B0C">
        <w:t xml:space="preserve"> </w:t>
      </w:r>
      <w:r w:rsidR="00F14C2B" w:rsidRPr="000E3B0C">
        <w:t xml:space="preserve">světskou autoritou nebo se </w:t>
      </w:r>
      <w:r w:rsidR="00D02A06" w:rsidRPr="000E3B0C">
        <w:t>předpokládá, že</w:t>
      </w:r>
      <w:r w:rsidR="00CA432D">
        <w:t> </w:t>
      </w:r>
      <w:r w:rsidR="00D02A06" w:rsidRPr="000E3B0C">
        <w:t xml:space="preserve">se tak stane. Konečně soudu </w:t>
      </w:r>
      <w:r w:rsidR="006B2210" w:rsidRPr="000E3B0C">
        <w:t xml:space="preserve">je </w:t>
      </w:r>
      <w:r w:rsidR="00D02A06" w:rsidRPr="000E3B0C">
        <w:t xml:space="preserve">umožněno také </w:t>
      </w:r>
      <w:r w:rsidR="00D02A06" w:rsidRPr="000E3B0C">
        <w:rPr>
          <w:i/>
        </w:rPr>
        <w:t>o</w:t>
      </w:r>
      <w:r w:rsidR="00543447" w:rsidRPr="000E3B0C">
        <w:rPr>
          <w:i/>
        </w:rPr>
        <w:t xml:space="preserve">dložit </w:t>
      </w:r>
      <w:r w:rsidR="00C43023" w:rsidRPr="000E3B0C">
        <w:rPr>
          <w:i/>
        </w:rPr>
        <w:t xml:space="preserve">nebo pozastavit </w:t>
      </w:r>
      <w:r w:rsidR="00543447" w:rsidRPr="000E3B0C">
        <w:rPr>
          <w:i/>
        </w:rPr>
        <w:t xml:space="preserve">výkon </w:t>
      </w:r>
      <w:r w:rsidR="00D02A06" w:rsidRPr="000E3B0C">
        <w:rPr>
          <w:i/>
        </w:rPr>
        <w:t>trestu</w:t>
      </w:r>
      <w:r w:rsidR="00D02A06" w:rsidRPr="000E3B0C">
        <w:t xml:space="preserve">, </w:t>
      </w:r>
      <w:r w:rsidR="00C43023" w:rsidRPr="000E3B0C">
        <w:t xml:space="preserve">ovšem pouze pořádkového, </w:t>
      </w:r>
      <w:r w:rsidR="00D02A06" w:rsidRPr="000E3B0C">
        <w:t>a to tehdy,</w:t>
      </w:r>
      <w:r w:rsidR="00C43023" w:rsidRPr="000E3B0C">
        <w:t xml:space="preserve"> jestliže pachatel spáchal trestný čin poprvé po předchozím bezúhonném životě (tedy není-li pachatel recidivistou)</w:t>
      </w:r>
      <w:r w:rsidR="00543447" w:rsidRPr="000E3B0C">
        <w:t xml:space="preserve"> a </w:t>
      </w:r>
      <w:r w:rsidR="00C43023" w:rsidRPr="000E3B0C">
        <w:t>současně pokud není naléhavě nutné</w:t>
      </w:r>
      <w:r w:rsidR="00543447" w:rsidRPr="000E3B0C">
        <w:t xml:space="preserve"> </w:t>
      </w:r>
      <w:r w:rsidR="00C43023" w:rsidRPr="000E3B0C">
        <w:t>odstranit</w:t>
      </w:r>
      <w:r w:rsidR="00543447" w:rsidRPr="000E3B0C">
        <w:t xml:space="preserve"> </w:t>
      </w:r>
      <w:r w:rsidR="00C43023" w:rsidRPr="000E3B0C">
        <w:t xml:space="preserve">vzniknuvší pohoršení. Jedná se přitom </w:t>
      </w:r>
      <w:r w:rsidR="006B2210" w:rsidRPr="000E3B0C">
        <w:t>z pohledu sekulárního práva o „klasické“ tzv. </w:t>
      </w:r>
      <w:r w:rsidR="00C43023" w:rsidRPr="000E3B0C">
        <w:t>podmíněné odsouzení,</w:t>
      </w:r>
      <w:r w:rsidR="00F52DE8" w:rsidRPr="000E3B0C">
        <w:t xml:space="preserve"> kdy soud s</w:t>
      </w:r>
      <w:r w:rsidR="006B2210" w:rsidRPr="000E3B0C">
        <w:t>ice pachateli uloží trest</w:t>
      </w:r>
      <w:r w:rsidR="00543447" w:rsidRPr="000E3B0C">
        <w:t>, ale současně mu stanoví zkušební</w:t>
      </w:r>
      <w:r w:rsidR="00F52DE8" w:rsidRPr="000E3B0C">
        <w:t xml:space="preserve"> dobu, v níž se může osvědčit; p</w:t>
      </w:r>
      <w:r w:rsidR="00543447" w:rsidRPr="000E3B0C">
        <w:t xml:space="preserve">okud se odsouzený v této době nedopustí nového trestného činu, nelze po jejím uplynutí </w:t>
      </w:r>
      <w:r w:rsidR="00F52DE8" w:rsidRPr="000E3B0C">
        <w:t xml:space="preserve">původně uložený </w:t>
      </w:r>
      <w:r w:rsidR="00543447" w:rsidRPr="000E3B0C">
        <w:t>trest vykonat.</w:t>
      </w:r>
      <w:r w:rsidRPr="000E3B0C">
        <w:rPr>
          <w:rStyle w:val="Znakapoznpodarou"/>
        </w:rPr>
        <w:footnoteReference w:id="233"/>
      </w:r>
    </w:p>
    <w:p w14:paraId="0DA08B41" w14:textId="77777777" w:rsidR="000C6051" w:rsidRPr="000E3B0C" w:rsidRDefault="000C6051" w:rsidP="000C6051"/>
    <w:p w14:paraId="630AE4FF" w14:textId="49A2169A" w:rsidR="00D02A06" w:rsidRPr="000E3B0C" w:rsidRDefault="00425A21" w:rsidP="000C6051">
      <w:r w:rsidRPr="000E3B0C">
        <w:t>Pokud jde</w:t>
      </w:r>
      <w:r w:rsidR="005A3967" w:rsidRPr="000E3B0C">
        <w:t xml:space="preserve"> o odpovídající</w:t>
      </w:r>
      <w:r w:rsidRPr="000E3B0C">
        <w:t xml:space="preserve"> </w:t>
      </w:r>
      <w:r w:rsidRPr="000E3B0C">
        <w:rPr>
          <w:u w:val="single"/>
        </w:rPr>
        <w:t>kárnou právní úpravu</w:t>
      </w:r>
      <w:r w:rsidRPr="000E3B0C">
        <w:t xml:space="preserve">, ta je z hlediska srovnatelných institutů označitelných za moderační oprávnění soudu poněkud kusá. Nic jako </w:t>
      </w:r>
      <w:r w:rsidR="005A3967" w:rsidRPr="000E3B0C">
        <w:rPr>
          <w:rFonts w:eastAsia="Calibri"/>
        </w:rPr>
        <w:t>odklad</w:t>
      </w:r>
      <w:r w:rsidRPr="000E3B0C">
        <w:t xml:space="preserve"> uložení trestu na</w:t>
      </w:r>
      <w:r w:rsidR="00CA432D">
        <w:t> </w:t>
      </w:r>
      <w:r w:rsidRPr="000E3B0C">
        <w:t xml:space="preserve">vhodnější dobu nezná; </w:t>
      </w:r>
      <w:r w:rsidR="00F67C88" w:rsidRPr="000E3B0C">
        <w:t xml:space="preserve">stejného výsledku </w:t>
      </w:r>
      <w:r w:rsidR="005A3967" w:rsidRPr="000E3B0C">
        <w:t>by však</w:t>
      </w:r>
      <w:r w:rsidR="00F67C88" w:rsidRPr="000E3B0C">
        <w:t xml:space="preserve"> teoreticky </w:t>
      </w:r>
      <w:r w:rsidR="005A3967" w:rsidRPr="000E3B0C">
        <w:t xml:space="preserve">bylo </w:t>
      </w:r>
      <w:r w:rsidR="00F67C88" w:rsidRPr="000E3B0C">
        <w:t xml:space="preserve">možno dosáhnout </w:t>
      </w:r>
      <w:r w:rsidR="00F67C88" w:rsidRPr="000E3B0C">
        <w:rPr>
          <w:i/>
        </w:rPr>
        <w:t>přerušením</w:t>
      </w:r>
      <w:r w:rsidR="00F67C88" w:rsidRPr="000E3B0C">
        <w:t xml:space="preserve"> kárného řízení, čímž </w:t>
      </w:r>
      <w:r w:rsidR="005A3967" w:rsidRPr="000E3B0C">
        <w:t>by se fakticky odsunulo</w:t>
      </w:r>
      <w:r w:rsidR="00F67C88" w:rsidRPr="000E3B0C">
        <w:t xml:space="preserve"> vydání meritorního rozhodnutí ve věci na pozdější dobu až po odpadnutí překážky, jež k odložení vedla (např. </w:t>
      </w:r>
      <w:r w:rsidR="005A3967" w:rsidRPr="000E3B0C">
        <w:t>vážná nemoc soudce či jiné</w:t>
      </w:r>
      <w:r w:rsidR="00F67C88" w:rsidRPr="000E3B0C">
        <w:t xml:space="preserve"> podstatné osobní problémy). Shodně jako v kanonickém řízení lze </w:t>
      </w:r>
      <w:r w:rsidR="00BA3874" w:rsidRPr="000E3B0C">
        <w:t xml:space="preserve">i při shledání viny </w:t>
      </w:r>
      <w:r w:rsidR="005A3967" w:rsidRPr="000E3B0C">
        <w:t>soudce taktéž</w:t>
      </w:r>
      <w:r w:rsidR="00F67C88" w:rsidRPr="000E3B0C">
        <w:t xml:space="preserve"> </w:t>
      </w:r>
      <w:r w:rsidR="00F67C88" w:rsidRPr="000E3B0C">
        <w:rPr>
          <w:i/>
        </w:rPr>
        <w:t>upustit od</w:t>
      </w:r>
      <w:r w:rsidR="00CA432D">
        <w:rPr>
          <w:i/>
        </w:rPr>
        <w:t> </w:t>
      </w:r>
      <w:r w:rsidR="00F67C88" w:rsidRPr="000E3B0C">
        <w:rPr>
          <w:i/>
        </w:rPr>
        <w:t xml:space="preserve">uložení </w:t>
      </w:r>
      <w:r w:rsidR="00BA3874" w:rsidRPr="000E3B0C">
        <w:rPr>
          <w:i/>
        </w:rPr>
        <w:t>kárného opatření</w:t>
      </w:r>
      <w:r w:rsidR="00F67C88" w:rsidRPr="000E3B0C">
        <w:t xml:space="preserve">, a to v jakémkoli případě, pokud soud na základě individuálních okolností věci nazná, že </w:t>
      </w:r>
      <w:r w:rsidR="005A3967" w:rsidRPr="000E3B0C">
        <w:t xml:space="preserve">samotné </w:t>
      </w:r>
      <w:r w:rsidR="00F67C88" w:rsidRPr="000E3B0C">
        <w:t>projednání kárného provinění je postačující</w:t>
      </w:r>
      <w:r w:rsidR="00BA3874" w:rsidRPr="000E3B0C">
        <w:t>,</w:t>
      </w:r>
      <w:r w:rsidR="00F67C88" w:rsidRPr="000E3B0C">
        <w:rPr>
          <w:vertAlign w:val="superscript"/>
        </w:rPr>
        <w:footnoteReference w:id="234"/>
      </w:r>
      <w:r w:rsidR="00BA3874" w:rsidRPr="000E3B0C">
        <w:t xml:space="preserve"> což však musí samozřejmě náležitě odůvodnit. </w:t>
      </w:r>
      <w:r w:rsidR="00BA3874" w:rsidRPr="000E3B0C">
        <w:rPr>
          <w:rFonts w:cs="Arial"/>
        </w:rPr>
        <w:t xml:space="preserve">Takový postup je vyhrazen především pro případy, kdy </w:t>
      </w:r>
      <w:r w:rsidR="005A3967" w:rsidRPr="000E3B0C">
        <w:rPr>
          <w:rFonts w:cs="Arial"/>
        </w:rPr>
        <w:t>se jedná</w:t>
      </w:r>
      <w:r w:rsidR="005411FE" w:rsidRPr="000E3B0C">
        <w:rPr>
          <w:rFonts w:cs="Arial"/>
        </w:rPr>
        <w:t xml:space="preserve"> o ojedinělé a </w:t>
      </w:r>
      <w:r w:rsidR="00BA3874" w:rsidRPr="000E3B0C">
        <w:rPr>
          <w:rFonts w:cs="Arial"/>
        </w:rPr>
        <w:t>méně závažné vybočení z jinak řádného výkonu soudcovské</w:t>
      </w:r>
      <w:r w:rsidR="005A3967" w:rsidRPr="000E3B0C">
        <w:rPr>
          <w:rFonts w:cs="Arial"/>
        </w:rPr>
        <w:t xml:space="preserve"> funkce</w:t>
      </w:r>
      <w:r w:rsidR="000C6051" w:rsidRPr="000E3B0C">
        <w:rPr>
          <w:rFonts w:cs="Arial"/>
        </w:rPr>
        <w:t xml:space="preserve">, přičemž </w:t>
      </w:r>
      <w:r w:rsidR="000C6051" w:rsidRPr="000E3B0C">
        <w:t>podmínkou je</w:t>
      </w:r>
      <w:r w:rsidR="008D0DFD" w:rsidRPr="000E3B0C">
        <w:t xml:space="preserve">, že kárně obviněný vyjadřuje sebereflexi a lze důvodně předpokládat, že již </w:t>
      </w:r>
      <w:r w:rsidR="000C6051" w:rsidRPr="000E3B0C">
        <w:lastRenderedPageBreak/>
        <w:t xml:space="preserve">samotné </w:t>
      </w:r>
      <w:r w:rsidR="008D0DFD" w:rsidRPr="000E3B0C">
        <w:t>vedení kárného řízení pro něj bylo dostatečnou sankcí.</w:t>
      </w:r>
      <w:r w:rsidR="008D0DFD" w:rsidRPr="000E3B0C">
        <w:rPr>
          <w:rStyle w:val="Znakapoznpodarou"/>
        </w:rPr>
        <w:footnoteReference w:id="235"/>
      </w:r>
      <w:r w:rsidR="000C6051" w:rsidRPr="000E3B0C">
        <w:t xml:space="preserve"> </w:t>
      </w:r>
      <w:r w:rsidR="00F67C88" w:rsidRPr="000E3B0C">
        <w:t xml:space="preserve">Stejně </w:t>
      </w:r>
      <w:r w:rsidR="00C578B8" w:rsidRPr="000E3B0C">
        <w:t>jako</w:t>
      </w:r>
      <w:r w:rsidR="005A3967" w:rsidRPr="000E3B0C">
        <w:t xml:space="preserve"> </w:t>
      </w:r>
      <w:r w:rsidR="00F67C88" w:rsidRPr="000E3B0C">
        <w:t>K</w:t>
      </w:r>
      <w:r w:rsidR="00C578B8" w:rsidRPr="000E3B0C">
        <w:t xml:space="preserve">odex </w:t>
      </w:r>
      <w:r w:rsidR="00F67C88" w:rsidRPr="000E3B0C">
        <w:t xml:space="preserve">i </w:t>
      </w:r>
      <w:r w:rsidR="00C578B8" w:rsidRPr="000E3B0C">
        <w:t xml:space="preserve">kárný řád reflektuje situaci, kdy je </w:t>
      </w:r>
      <w:r w:rsidR="00F67C88" w:rsidRPr="000E3B0C">
        <w:t xml:space="preserve">kárně obviněný za tentýž skutek </w:t>
      </w:r>
      <w:r w:rsidR="00C578B8" w:rsidRPr="000E3B0C">
        <w:t>již postižen v trestním nebo správním (přestupkovém</w:t>
      </w:r>
      <w:r w:rsidR="003F2902" w:rsidRPr="000E3B0C">
        <w:t>) řízení. V</w:t>
      </w:r>
      <w:r w:rsidR="00C578B8" w:rsidRPr="000E3B0C">
        <w:t xml:space="preserve"> takovém </w:t>
      </w:r>
      <w:r w:rsidR="00D3087A" w:rsidRPr="000E3B0C">
        <w:t>případě, pokud soud nazn</w:t>
      </w:r>
      <w:r w:rsidR="00C578B8" w:rsidRPr="000E3B0C">
        <w:t xml:space="preserve">á, že </w:t>
      </w:r>
      <w:r w:rsidR="005A3967" w:rsidRPr="000E3B0C">
        <w:t xml:space="preserve">(jinde) uložený </w:t>
      </w:r>
      <w:r w:rsidR="00F67C88" w:rsidRPr="000E3B0C">
        <w:t xml:space="preserve">postih </w:t>
      </w:r>
      <w:r w:rsidR="00C578B8" w:rsidRPr="000E3B0C">
        <w:t>byl</w:t>
      </w:r>
      <w:r w:rsidR="00F67C88" w:rsidRPr="000E3B0C">
        <w:t xml:space="preserve"> dostačující</w:t>
      </w:r>
      <w:r w:rsidR="00C578B8" w:rsidRPr="000E3B0C">
        <w:t xml:space="preserve">, </w:t>
      </w:r>
      <w:r w:rsidR="005A3967" w:rsidRPr="000E3B0C">
        <w:t xml:space="preserve">se </w:t>
      </w:r>
      <w:r w:rsidR="00D3087A" w:rsidRPr="000E3B0C">
        <w:t>kárné řízení zastavuje</w:t>
      </w:r>
      <w:r w:rsidR="003F2902" w:rsidRPr="000E3B0C">
        <w:t>;</w:t>
      </w:r>
      <w:r w:rsidR="00C578B8" w:rsidRPr="000E3B0C">
        <w:rPr>
          <w:vertAlign w:val="superscript"/>
        </w:rPr>
        <w:footnoteReference w:id="236"/>
      </w:r>
      <w:r w:rsidR="00C578B8" w:rsidRPr="000E3B0C">
        <w:t xml:space="preserve"> </w:t>
      </w:r>
      <w:r w:rsidR="003F2902" w:rsidRPr="000E3B0C">
        <w:t xml:space="preserve">dochází tedy </w:t>
      </w:r>
      <w:r w:rsidR="00632806" w:rsidRPr="000E3B0C">
        <w:t>nejen</w:t>
      </w:r>
      <w:r w:rsidR="003F2902" w:rsidRPr="000E3B0C">
        <w:t xml:space="preserve"> k upuštění od uložení trestu, ale není ani</w:t>
      </w:r>
      <w:r w:rsidR="005A3967" w:rsidRPr="000E3B0C">
        <w:t xml:space="preserve"> </w:t>
      </w:r>
      <w:r w:rsidR="00632806" w:rsidRPr="000E3B0C">
        <w:t xml:space="preserve">vyslovena </w:t>
      </w:r>
      <w:r w:rsidR="005A3967" w:rsidRPr="000E3B0C">
        <w:t>pachatelova</w:t>
      </w:r>
      <w:r w:rsidR="003F2902" w:rsidRPr="000E3B0C">
        <w:t xml:space="preserve"> vina. </w:t>
      </w:r>
      <w:r w:rsidR="004C4992" w:rsidRPr="000E3B0C">
        <w:rPr>
          <w:i/>
        </w:rPr>
        <w:t>Odložení nebo pozastavení výkonu trestu</w:t>
      </w:r>
      <w:r w:rsidR="004C4992" w:rsidRPr="000E3B0C">
        <w:t xml:space="preserve"> v kárném řízení nepřichází v úvahu, protože kárné opatření ve formě důtky a odvolání z funkce soudce nabývá účinnosti právní </w:t>
      </w:r>
      <w:r w:rsidR="00A27BEE" w:rsidRPr="000E3B0C">
        <w:t>mocí rozhodnutí, jež je uložilo, jež nastává samým okamžikem jeho vyhlášení</w:t>
      </w:r>
      <w:r w:rsidR="004C4992" w:rsidRPr="000E3B0C">
        <w:t xml:space="preserve">; v případě peněžité sankce </w:t>
      </w:r>
      <w:r w:rsidR="00A27BEE" w:rsidRPr="000E3B0C">
        <w:t xml:space="preserve">pak </w:t>
      </w:r>
      <w:r w:rsidR="004C4992" w:rsidRPr="000E3B0C">
        <w:t xml:space="preserve">zákon výslovně stanoví, že </w:t>
      </w:r>
      <w:r w:rsidR="004C4992" w:rsidRPr="000E3B0C">
        <w:rPr>
          <w:rFonts w:eastAsia="Calibri"/>
        </w:rPr>
        <w:t xml:space="preserve">se vůči postiženému </w:t>
      </w:r>
      <w:r w:rsidR="004C4992" w:rsidRPr="000E3B0C">
        <w:t>soudci uplatní od prvního dne kalendářního měsíce následujícího po dni nabytí právní moci rozhodnutí o uložení kárného opatření.</w:t>
      </w:r>
      <w:r w:rsidR="001D2941" w:rsidRPr="000E3B0C">
        <w:rPr>
          <w:vertAlign w:val="superscript"/>
        </w:rPr>
        <w:footnoteReference w:id="237"/>
      </w:r>
    </w:p>
    <w:p w14:paraId="3400072B" w14:textId="77777777" w:rsidR="008D0DFD" w:rsidRPr="000E3B0C" w:rsidRDefault="008D0DFD" w:rsidP="004C4992"/>
    <w:p w14:paraId="001FD21E" w14:textId="6A49F885" w:rsidR="005C281E" w:rsidRPr="000E3B0C" w:rsidRDefault="00A27BEE" w:rsidP="00012D9D">
      <w:r w:rsidRPr="000E3B0C">
        <w:t>Za zajímavost</w:t>
      </w:r>
      <w:r w:rsidR="004B38E8" w:rsidRPr="000E3B0C">
        <w:t xml:space="preserve"> </w:t>
      </w:r>
      <w:r w:rsidR="00012D9D" w:rsidRPr="000E3B0C">
        <w:t>u</w:t>
      </w:r>
      <w:r w:rsidR="004B38E8" w:rsidRPr="000E3B0C">
        <w:t xml:space="preserve"> ukládání trestů klerikům </w:t>
      </w:r>
      <w:r w:rsidRPr="000E3B0C">
        <w:t>pak považuji ustanovení</w:t>
      </w:r>
      <w:r w:rsidR="004B38E8" w:rsidRPr="000E3B0C">
        <w:t xml:space="preserve">, že </w:t>
      </w:r>
      <w:r w:rsidRPr="000E3B0C">
        <w:t>soud</w:t>
      </w:r>
      <w:r w:rsidR="00012D9D" w:rsidRPr="000E3B0C">
        <w:t xml:space="preserve"> musí při výběru </w:t>
      </w:r>
      <w:r w:rsidRPr="000E3B0C">
        <w:t xml:space="preserve">konkrétního </w:t>
      </w:r>
      <w:r w:rsidR="00012D9D" w:rsidRPr="000E3B0C">
        <w:t xml:space="preserve">druhu a výše sankce </w:t>
      </w:r>
      <w:r w:rsidR="00425A21" w:rsidRPr="000E3B0C">
        <w:t>dbát</w:t>
      </w:r>
      <w:r w:rsidR="00012D9D" w:rsidRPr="000E3B0C">
        <w:t xml:space="preserve"> na to</w:t>
      </w:r>
      <w:r w:rsidR="00425A21" w:rsidRPr="000E3B0C">
        <w:t>,</w:t>
      </w:r>
      <w:r w:rsidR="00012D9D" w:rsidRPr="000E3B0C">
        <w:t xml:space="preserve"> </w:t>
      </w:r>
      <w:r w:rsidR="00425A21" w:rsidRPr="000E3B0C">
        <w:t xml:space="preserve">aby </w:t>
      </w:r>
      <w:r w:rsidRPr="000E3B0C">
        <w:t>potrestaný</w:t>
      </w:r>
      <w:r w:rsidR="00012D9D" w:rsidRPr="000E3B0C">
        <w:t xml:space="preserve"> neztratil</w:t>
      </w:r>
      <w:r w:rsidR="00425A21" w:rsidRPr="000E3B0C">
        <w:t xml:space="preserve"> prostředky nutné</w:t>
      </w:r>
      <w:r w:rsidR="00012D9D" w:rsidRPr="000E3B0C">
        <w:t xml:space="preserve"> </w:t>
      </w:r>
      <w:r w:rsidR="00425A21" w:rsidRPr="000E3B0C">
        <w:t>k</w:t>
      </w:r>
      <w:r w:rsidR="00012D9D" w:rsidRPr="000E3B0C">
        <w:t>e</w:t>
      </w:r>
      <w:r w:rsidR="00425A21" w:rsidRPr="000E3B0C">
        <w:t xml:space="preserve"> slušné obživě, pokud se nejedná</w:t>
      </w:r>
      <w:r w:rsidR="00012D9D" w:rsidRPr="000E3B0C">
        <w:t xml:space="preserve"> </w:t>
      </w:r>
      <w:r w:rsidR="00425A21" w:rsidRPr="000E3B0C">
        <w:t>o propuštění z klerického stavu.</w:t>
      </w:r>
      <w:r w:rsidR="00012D9D" w:rsidRPr="000E3B0C">
        <w:t xml:space="preserve"> O</w:t>
      </w:r>
      <w:r w:rsidRPr="000E3B0C">
        <w:t>všem i o</w:t>
      </w:r>
      <w:r w:rsidR="00012D9D" w:rsidRPr="000E3B0C">
        <w:t xml:space="preserve"> osobu, která se pro trestní laicizaci oc</w:t>
      </w:r>
      <w:r w:rsidR="005C281E" w:rsidRPr="000E3B0C">
        <w:t>i</w:t>
      </w:r>
      <w:r w:rsidR="00012D9D" w:rsidRPr="000E3B0C">
        <w:t xml:space="preserve">tla </w:t>
      </w:r>
      <w:r w:rsidR="00425A21" w:rsidRPr="000E3B0C">
        <w:t xml:space="preserve">v opravdové nouzi, se </w:t>
      </w:r>
      <w:r w:rsidR="00012D9D" w:rsidRPr="000E3B0C">
        <w:t xml:space="preserve">má co možná nejvhodnějším způsobem postarat </w:t>
      </w:r>
      <w:r w:rsidR="00425A21" w:rsidRPr="000E3B0C">
        <w:t>ordinář</w:t>
      </w:r>
      <w:r w:rsidR="00012D9D" w:rsidRPr="000E3B0C">
        <w:t xml:space="preserve"> (</w:t>
      </w:r>
      <w:r w:rsidR="008E0EE8" w:rsidRPr="000E3B0C">
        <w:t>ne </w:t>
      </w:r>
      <w:r w:rsidR="00425A21" w:rsidRPr="000E3B0C">
        <w:t xml:space="preserve">však udělením </w:t>
      </w:r>
      <w:r w:rsidR="005C281E" w:rsidRPr="000E3B0C">
        <w:t xml:space="preserve">jiného </w:t>
      </w:r>
      <w:r w:rsidR="00425A21" w:rsidRPr="000E3B0C">
        <w:t>úřadu,</w:t>
      </w:r>
      <w:r w:rsidR="00012D9D" w:rsidRPr="000E3B0C">
        <w:t xml:space="preserve"> </w:t>
      </w:r>
      <w:r w:rsidR="00425A21" w:rsidRPr="000E3B0C">
        <w:t>služby nebo úkolu</w:t>
      </w:r>
      <w:r w:rsidR="00012D9D" w:rsidRPr="000E3B0C">
        <w:t>).</w:t>
      </w:r>
      <w:r w:rsidR="00012D9D" w:rsidRPr="000E3B0C">
        <w:rPr>
          <w:rStyle w:val="Znakapoznpodarou"/>
          <w:rFonts w:cs="TimesNewRomanPSMT"/>
          <w:sz w:val="20"/>
          <w:szCs w:val="20"/>
        </w:rPr>
        <w:footnoteReference w:id="238"/>
      </w:r>
      <w:r w:rsidR="005C281E" w:rsidRPr="000E3B0C">
        <w:t xml:space="preserve"> Nepřekvapí, že zákon o </w:t>
      </w:r>
      <w:r w:rsidR="005269BE" w:rsidRPr="000E3B0C">
        <w:t>soudech</w:t>
      </w:r>
      <w:r w:rsidR="005411FE" w:rsidRPr="000E3B0C">
        <w:t xml:space="preserve"> a </w:t>
      </w:r>
      <w:r w:rsidR="005C281E" w:rsidRPr="000E3B0C">
        <w:t xml:space="preserve">soudcích neklade na </w:t>
      </w:r>
      <w:r w:rsidR="005269BE" w:rsidRPr="000E3B0C">
        <w:t>bedra orgánů státní správy soudů</w:t>
      </w:r>
      <w:r w:rsidR="005C281E" w:rsidRPr="000E3B0C">
        <w:t xml:space="preserve"> žádnou </w:t>
      </w:r>
      <w:r w:rsidR="005269BE" w:rsidRPr="000E3B0C">
        <w:t xml:space="preserve">obdobnou </w:t>
      </w:r>
      <w:r w:rsidR="005C281E" w:rsidRPr="000E3B0C">
        <w:t>odpovědnost za</w:t>
      </w:r>
      <w:r w:rsidR="00CA432D">
        <w:t> </w:t>
      </w:r>
      <w:r w:rsidR="005C281E" w:rsidRPr="000E3B0C">
        <w:t>obživu bývalých soudců, kteří byli</w:t>
      </w:r>
      <w:r w:rsidR="005269BE" w:rsidRPr="000E3B0C">
        <w:t xml:space="preserve"> své</w:t>
      </w:r>
      <w:r w:rsidR="005C281E" w:rsidRPr="000E3B0C">
        <w:t xml:space="preserve"> funkce zbaveni rozhodnutím kárného soudu; lze </w:t>
      </w:r>
      <w:r w:rsidR="005269BE" w:rsidRPr="000E3B0C">
        <w:t xml:space="preserve">ovšem </w:t>
      </w:r>
      <w:r w:rsidR="005C281E" w:rsidRPr="000E3B0C">
        <w:t xml:space="preserve">připustit, že jejich ekonomické zázemí bude diametrálně odlišné od </w:t>
      </w:r>
      <w:r w:rsidR="005269BE" w:rsidRPr="000E3B0C">
        <w:t>pozice osoby propuštěné z klerického stavu.</w:t>
      </w:r>
    </w:p>
    <w:p w14:paraId="5FCC860A" w14:textId="77777777" w:rsidR="005C281E" w:rsidRPr="000E3B0C" w:rsidRDefault="005C281E" w:rsidP="00012D9D"/>
    <w:p w14:paraId="443F0FDE" w14:textId="77777777" w:rsidR="00770E49" w:rsidRPr="000E3B0C" w:rsidRDefault="00710F27" w:rsidP="00012D9D">
      <w:r w:rsidRPr="000E3B0C">
        <w:t>Zcela s</w:t>
      </w:r>
      <w:r w:rsidR="00770E49" w:rsidRPr="000E3B0C">
        <w:t xml:space="preserve">těžejní problematikou z hlediska </w:t>
      </w:r>
      <w:r w:rsidRPr="000E3B0C">
        <w:t>posuzování</w:t>
      </w:r>
      <w:r w:rsidR="00770E49" w:rsidRPr="000E3B0C">
        <w:t xml:space="preserve"> viny a ukládání trestů je </w:t>
      </w:r>
      <w:r w:rsidRPr="000E3B0C">
        <w:t xml:space="preserve">samozřejmě </w:t>
      </w:r>
      <w:r w:rsidR="00770E49" w:rsidRPr="000E3B0C">
        <w:t xml:space="preserve">také </w:t>
      </w:r>
      <w:r w:rsidRPr="000E3B0C">
        <w:rPr>
          <w:b/>
        </w:rPr>
        <w:t>forma řízení</w:t>
      </w:r>
      <w:r w:rsidRPr="000E3B0C">
        <w:t xml:space="preserve">, </w:t>
      </w:r>
      <w:r w:rsidR="00770E49" w:rsidRPr="000E3B0C">
        <w:t xml:space="preserve">v němž se tak děje. To však není předmětem této práce; bude o tom (snad) pojednáno až při </w:t>
      </w:r>
      <w:r w:rsidRPr="000E3B0C">
        <w:t>jejím rozšíření právě o</w:t>
      </w:r>
      <w:r w:rsidR="00770E49" w:rsidRPr="000E3B0C">
        <w:t xml:space="preserve"> </w:t>
      </w:r>
      <w:r w:rsidRPr="000E3B0C">
        <w:t>komparaci</w:t>
      </w:r>
      <w:r w:rsidR="00770E49" w:rsidRPr="000E3B0C">
        <w:t xml:space="preserve"> procesní úpravy </w:t>
      </w:r>
      <w:r w:rsidRPr="000E3B0C">
        <w:t xml:space="preserve">kanonického a kárného práva </w:t>
      </w:r>
      <w:r w:rsidR="00770E49" w:rsidRPr="000E3B0C">
        <w:t>v rámci magisterské diplomové práce.</w:t>
      </w:r>
    </w:p>
    <w:p w14:paraId="42507E88" w14:textId="77777777" w:rsidR="00D05885" w:rsidRPr="000E3B0C" w:rsidRDefault="008903C5" w:rsidP="00DF6270">
      <w:pPr>
        <w:pStyle w:val="Nadpis1"/>
      </w:pPr>
      <w:r w:rsidRPr="000E3B0C">
        <w:br w:type="page"/>
      </w:r>
      <w:bookmarkStart w:id="22" w:name="_Toc130067386"/>
      <w:r w:rsidR="00D05885" w:rsidRPr="000E3B0C">
        <w:lastRenderedPageBreak/>
        <w:t>Závěr</w:t>
      </w:r>
      <w:bookmarkEnd w:id="22"/>
    </w:p>
    <w:p w14:paraId="2512FACE" w14:textId="3517530E" w:rsidR="002C5115" w:rsidRPr="000E3B0C" w:rsidRDefault="00D357C5" w:rsidP="00BA5DCE">
      <w:r w:rsidRPr="000E3B0C">
        <w:t xml:space="preserve">Z provedeného </w:t>
      </w:r>
      <w:r w:rsidR="00BA5DCE" w:rsidRPr="000E3B0C">
        <w:t xml:space="preserve">srovnání </w:t>
      </w:r>
      <w:r w:rsidR="002C5115" w:rsidRPr="000E3B0C">
        <w:t>obou</w:t>
      </w:r>
      <w:r w:rsidR="00BA5DCE" w:rsidRPr="000E3B0C">
        <w:t xml:space="preserve"> zvláštních disciplinárních </w:t>
      </w:r>
      <w:r w:rsidR="002C5115" w:rsidRPr="000E3B0C">
        <w:t xml:space="preserve">odpovědností vyplynuly </w:t>
      </w:r>
      <w:r w:rsidRPr="000E3B0C">
        <w:t xml:space="preserve">jejich mnohé koncepční podobnosti, a to </w:t>
      </w:r>
      <w:r w:rsidR="009C0098" w:rsidRPr="000E3B0C">
        <w:t>jak ohledně podstaty samotných deliktů</w:t>
      </w:r>
      <w:r w:rsidRPr="000E3B0C">
        <w:t>, tak možností jejich trestání</w:t>
      </w:r>
      <w:r w:rsidR="009C0098" w:rsidRPr="000E3B0C">
        <w:t xml:space="preserve">. Obecně lze </w:t>
      </w:r>
      <w:r w:rsidRPr="000E3B0C">
        <w:t>shrnout</w:t>
      </w:r>
      <w:r w:rsidR="009C0098" w:rsidRPr="000E3B0C">
        <w:t xml:space="preserve">, že kanonické trestní právo je oproti právní úpravě kárné odpovědnosti soudce mnohem podrobnější. Stěžejním rozdílem je, že obsahuje velký počet konkrétních skutkových podstat trestných činů, kdežto soudce se jakýmkoli </w:t>
      </w:r>
      <w:r w:rsidRPr="000E3B0C">
        <w:t xml:space="preserve">svým </w:t>
      </w:r>
      <w:r w:rsidR="009C0098" w:rsidRPr="000E3B0C">
        <w:t xml:space="preserve">nežádoucím jednáním může dopustit vždy </w:t>
      </w:r>
      <w:r w:rsidRPr="000E3B0C">
        <w:t>toliko</w:t>
      </w:r>
      <w:r w:rsidR="009C0098" w:rsidRPr="000E3B0C">
        <w:t xml:space="preserve"> jediného kárného provinění. Paleta církevních trestů i specifická moderační oprávnění soudu jsou mnohem bohatší než v případě kárného řízení. </w:t>
      </w:r>
      <w:r w:rsidRPr="000E3B0C">
        <w:t>Ukázalo se, že k</w:t>
      </w:r>
      <w:r w:rsidR="009C0098" w:rsidRPr="000E3B0C">
        <w:t>anonické hmotné trestní právo je svým charakterem více po</w:t>
      </w:r>
      <w:r w:rsidRPr="000E3B0C">
        <w:t>dobné světskému trestnímu právu nežli právu kárnému.</w:t>
      </w:r>
    </w:p>
    <w:p w14:paraId="642C6AAE" w14:textId="77777777" w:rsidR="00F612DB" w:rsidRPr="000E3B0C" w:rsidRDefault="00F612DB" w:rsidP="00BA5DCE"/>
    <w:p w14:paraId="170577BF" w14:textId="0F92B2BC" w:rsidR="00F612DB" w:rsidRPr="000E3B0C" w:rsidRDefault="00F612DB" w:rsidP="00BA5DCE">
      <w:r w:rsidRPr="000E3B0C">
        <w:t xml:space="preserve">Komparace kanonického práva se sekulárním právním řádem </w:t>
      </w:r>
      <w:r w:rsidR="00D357C5" w:rsidRPr="000E3B0C">
        <w:t xml:space="preserve">(a základními principy, které v něm platí) </w:t>
      </w:r>
      <w:r w:rsidRPr="000E3B0C">
        <w:t xml:space="preserve">však </w:t>
      </w:r>
      <w:r w:rsidR="00D357C5" w:rsidRPr="000E3B0C">
        <w:t xml:space="preserve">dle mého </w:t>
      </w:r>
      <w:r w:rsidRPr="000E3B0C">
        <w:t>odhalila jistá specifika úpravy trestn</w:t>
      </w:r>
      <w:r w:rsidR="008E0EE8" w:rsidRPr="000E3B0C">
        <w:t>ího práva v církvi, která lze z </w:t>
      </w:r>
      <w:r w:rsidRPr="000E3B0C">
        <w:t>lidsko</w:t>
      </w:r>
      <w:r w:rsidR="00D357C5" w:rsidRPr="000E3B0C">
        <w:t>právního pohledu jen velmi těžko</w:t>
      </w:r>
      <w:r w:rsidRPr="000E3B0C">
        <w:t xml:space="preserve"> akceptovat. J</w:t>
      </w:r>
      <w:r w:rsidR="00774CAF" w:rsidRPr="000E3B0C">
        <w:t xml:space="preserve">edná se zejména o </w:t>
      </w:r>
      <w:r w:rsidR="000D3A04" w:rsidRPr="000E3B0C">
        <w:t xml:space="preserve">zákonnou domněnku zavinění trestného činu projevivšího se navenek či </w:t>
      </w:r>
      <w:r w:rsidR="00774CAF" w:rsidRPr="000E3B0C">
        <w:t xml:space="preserve">možnost </w:t>
      </w:r>
      <w:proofErr w:type="spellStart"/>
      <w:r w:rsidR="00774CAF" w:rsidRPr="000E3B0C">
        <w:t>Dikasteria</w:t>
      </w:r>
      <w:proofErr w:type="spellEnd"/>
      <w:r w:rsidR="00774CAF" w:rsidRPr="000E3B0C">
        <w:t xml:space="preserve"> pro nauku víry retroaktivně měnit či dokonce rušit promlčecí d</w:t>
      </w:r>
      <w:r w:rsidR="000D3A04" w:rsidRPr="000E3B0C">
        <w:t>obu u vybraných trestných činů. Problemati</w:t>
      </w:r>
      <w:r w:rsidR="00D357C5" w:rsidRPr="000E3B0C">
        <w:t>c</w:t>
      </w:r>
      <w:r w:rsidR="000D3A04" w:rsidRPr="000E3B0C">
        <w:t xml:space="preserve">kou se jeví též obecná hmotněprávní norma umožňující </w:t>
      </w:r>
      <w:r w:rsidR="00D357C5" w:rsidRPr="000E3B0C">
        <w:t>trestně penalizovat</w:t>
      </w:r>
      <w:r w:rsidR="00A101DA" w:rsidRPr="000E3B0C">
        <w:t xml:space="preserve"> i taková</w:t>
      </w:r>
      <w:r w:rsidR="00D357C5" w:rsidRPr="000E3B0C">
        <w:t xml:space="preserve"> porušení zákona, která</w:t>
      </w:r>
      <w:r w:rsidR="000D3A04" w:rsidRPr="000E3B0C">
        <w:t xml:space="preserve"> </w:t>
      </w:r>
      <w:r w:rsidR="00D357C5" w:rsidRPr="000E3B0C">
        <w:t>nejsou výslovně označena</w:t>
      </w:r>
      <w:r w:rsidR="000D3A04" w:rsidRPr="000E3B0C">
        <w:t xml:space="preserve"> za trestný čin; svou konstrukcí se však jedná o obdobu univerzáln</w:t>
      </w:r>
      <w:r w:rsidR="00A101DA" w:rsidRPr="000E3B0C">
        <w:t>ě</w:t>
      </w:r>
      <w:r w:rsidR="000D3A04" w:rsidRPr="000E3B0C">
        <w:t xml:space="preserve"> </w:t>
      </w:r>
      <w:r w:rsidR="00A101DA" w:rsidRPr="000E3B0C">
        <w:t xml:space="preserve">pojaté </w:t>
      </w:r>
      <w:r w:rsidR="000D3A04" w:rsidRPr="000E3B0C">
        <w:t>definice kárného provinění.</w:t>
      </w:r>
    </w:p>
    <w:p w14:paraId="47CF8864" w14:textId="77777777" w:rsidR="00BA5DCE" w:rsidRPr="000E3B0C" w:rsidRDefault="00BA5DCE" w:rsidP="00BA5DCE"/>
    <w:p w14:paraId="7FB05265" w14:textId="5ADA1354" w:rsidR="002A5847" w:rsidRPr="000E3B0C" w:rsidRDefault="00594310" w:rsidP="002A5847">
      <w:r w:rsidRPr="000E3B0C">
        <w:t>Tvorba této práce mi přinesla zjištění</w:t>
      </w:r>
      <w:r w:rsidR="002A5847" w:rsidRPr="000E3B0C">
        <w:t>, že faktická realizace „trestní politiky“ katolické církve, alespoň v</w:t>
      </w:r>
      <w:r w:rsidR="0005100F" w:rsidRPr="000E3B0C">
        <w:t> </w:t>
      </w:r>
      <w:r w:rsidR="002A5847" w:rsidRPr="000E3B0C">
        <w:t>případech</w:t>
      </w:r>
      <w:r w:rsidR="0005100F" w:rsidRPr="000E3B0C">
        <w:t>,</w:t>
      </w:r>
      <w:r w:rsidR="002A5847" w:rsidRPr="000E3B0C">
        <w:t xml:space="preserve"> s nimi</w:t>
      </w:r>
      <w:r w:rsidR="0005100F" w:rsidRPr="000E3B0C">
        <w:t>ž</w:t>
      </w:r>
      <w:r w:rsidR="002A5847" w:rsidRPr="000E3B0C">
        <w:t xml:space="preserve"> jsem obeznámen, příliš neodpovídá </w:t>
      </w:r>
      <w:r w:rsidRPr="000E3B0C">
        <w:t>platné</w:t>
      </w:r>
      <w:r w:rsidR="002A5847" w:rsidRPr="000E3B0C">
        <w:t xml:space="preserve"> legislativě</w:t>
      </w:r>
      <w:r w:rsidR="00F16A47" w:rsidRPr="000E3B0C">
        <w:t xml:space="preserve"> a právní teorii. </w:t>
      </w:r>
      <w:r w:rsidR="002A5847" w:rsidRPr="000E3B0C">
        <w:t xml:space="preserve">Kodex sice mnohokrát pracuje s potřebou </w:t>
      </w:r>
      <w:r w:rsidR="002A5847" w:rsidRPr="000E3B0C">
        <w:rPr>
          <w:i/>
        </w:rPr>
        <w:t>odstranit pohoršení</w:t>
      </w:r>
      <w:r w:rsidR="002A5847" w:rsidRPr="000E3B0C">
        <w:t xml:space="preserve">, avšak způsob, jakým je dle mých (samozřejmě nikterak rozsáhlých) zkušeností k postihování kleriků v praxi přistupováno, </w:t>
      </w:r>
      <w:r w:rsidR="00955CF2" w:rsidRPr="000E3B0C">
        <w:t>resp. </w:t>
      </w:r>
      <w:r w:rsidRPr="000E3B0C">
        <w:t xml:space="preserve">spíše nepřistupováno, </w:t>
      </w:r>
      <w:r w:rsidR="002A5847" w:rsidRPr="000E3B0C">
        <w:t xml:space="preserve">tomuto účelu trestního práva </w:t>
      </w:r>
      <w:r w:rsidR="00955CF2" w:rsidRPr="000E3B0C">
        <w:t xml:space="preserve">zdaleka </w:t>
      </w:r>
      <w:r w:rsidR="002A5847" w:rsidRPr="000E3B0C">
        <w:t>nedostává. Byť je totiž</w:t>
      </w:r>
      <w:r w:rsidRPr="000E3B0C">
        <w:t xml:space="preserve"> </w:t>
      </w:r>
      <w:r w:rsidR="002A5847" w:rsidRPr="000E3B0C">
        <w:t>úprava kanonického trestního práva velmi podrobná a komplexní, nemá to valného vý</w:t>
      </w:r>
      <w:r w:rsidR="00725BD2" w:rsidRPr="000E3B0C">
        <w:t>znamu, pakliže jí není užíváno.</w:t>
      </w:r>
      <w:r w:rsidR="00955CF2" w:rsidRPr="000E3B0C">
        <w:t xml:space="preserve"> Ztotožňuji se proto s hodnocením Damiána Němce, který uvádí, že </w:t>
      </w:r>
      <w:r w:rsidR="00955CF2" w:rsidRPr="000E3B0C">
        <w:rPr>
          <w:i/>
        </w:rPr>
        <w:t>„</w:t>
      </w:r>
      <w:r w:rsidR="00725BD2" w:rsidRPr="000E3B0C">
        <w:rPr>
          <w:i/>
        </w:rPr>
        <w:t xml:space="preserve">ordináři </w:t>
      </w:r>
      <w:r w:rsidR="00955CF2" w:rsidRPr="000E3B0C">
        <w:rPr>
          <w:i/>
        </w:rPr>
        <w:t>se</w:t>
      </w:r>
      <w:r w:rsidR="00CA432D">
        <w:rPr>
          <w:i/>
        </w:rPr>
        <w:t> </w:t>
      </w:r>
      <w:r w:rsidR="00725BD2" w:rsidRPr="000E3B0C">
        <w:rPr>
          <w:i/>
        </w:rPr>
        <w:t>raději vyhýbají tomu, aby</w:t>
      </w:r>
      <w:r w:rsidR="00955CF2" w:rsidRPr="000E3B0C">
        <w:rPr>
          <w:i/>
        </w:rPr>
        <w:t xml:space="preserve"> </w:t>
      </w:r>
      <w:r w:rsidR="00725BD2" w:rsidRPr="000E3B0C">
        <w:rPr>
          <w:i/>
        </w:rPr>
        <w:t>neregulérní situace duchovních řešili trestněprávním postihem, a zcela výjimečně</w:t>
      </w:r>
      <w:r w:rsidR="00955CF2" w:rsidRPr="000E3B0C">
        <w:rPr>
          <w:i/>
        </w:rPr>
        <w:t xml:space="preserve"> sahají k </w:t>
      </w:r>
      <w:r w:rsidR="00725BD2" w:rsidRPr="000E3B0C">
        <w:rPr>
          <w:i/>
        </w:rPr>
        <w:t>propuštění z duchovního stavu</w:t>
      </w:r>
      <w:r w:rsidR="00955CF2" w:rsidRPr="000E3B0C">
        <w:rPr>
          <w:i/>
        </w:rPr>
        <w:t xml:space="preserve">. </w:t>
      </w:r>
      <w:r w:rsidR="00955CF2" w:rsidRPr="000E3B0C">
        <w:t xml:space="preserve">(…) </w:t>
      </w:r>
      <w:r w:rsidR="00725BD2" w:rsidRPr="000E3B0C">
        <w:rPr>
          <w:i/>
        </w:rPr>
        <w:t>V důsledku nemalých praktických problémů spjatých s kanonickým trestněprávním</w:t>
      </w:r>
      <w:r w:rsidR="00955CF2" w:rsidRPr="000E3B0C">
        <w:rPr>
          <w:i/>
        </w:rPr>
        <w:t xml:space="preserve"> </w:t>
      </w:r>
      <w:r w:rsidR="00725BD2" w:rsidRPr="000E3B0C">
        <w:rPr>
          <w:i/>
        </w:rPr>
        <w:t>postihem provinivších se duchovních zůstává poměrně mnoho neregulérních</w:t>
      </w:r>
      <w:r w:rsidR="00955CF2" w:rsidRPr="000E3B0C">
        <w:rPr>
          <w:i/>
        </w:rPr>
        <w:t xml:space="preserve"> </w:t>
      </w:r>
      <w:r w:rsidR="00725BD2" w:rsidRPr="000E3B0C">
        <w:rPr>
          <w:i/>
        </w:rPr>
        <w:t>situací duchovních právně nedořešeno, ba dokonce vůbec právně neřešeno. Tím</w:t>
      </w:r>
      <w:r w:rsidR="00955CF2" w:rsidRPr="000E3B0C">
        <w:rPr>
          <w:i/>
        </w:rPr>
        <w:t xml:space="preserve"> </w:t>
      </w:r>
      <w:r w:rsidR="00725BD2" w:rsidRPr="000E3B0C">
        <w:rPr>
          <w:i/>
        </w:rPr>
        <w:t>dochází jak k oslabení průchodu práva, tak také (značně v jeho důsledku) k</w:t>
      </w:r>
      <w:r w:rsidR="00955CF2" w:rsidRPr="000E3B0C">
        <w:rPr>
          <w:i/>
        </w:rPr>
        <w:t> </w:t>
      </w:r>
      <w:r w:rsidR="00725BD2" w:rsidRPr="000E3B0C">
        <w:rPr>
          <w:i/>
        </w:rPr>
        <w:t>situacím</w:t>
      </w:r>
      <w:r w:rsidR="00955CF2" w:rsidRPr="000E3B0C">
        <w:rPr>
          <w:i/>
        </w:rPr>
        <w:t xml:space="preserve"> </w:t>
      </w:r>
      <w:r w:rsidR="00725BD2" w:rsidRPr="000E3B0C">
        <w:rPr>
          <w:i/>
        </w:rPr>
        <w:t xml:space="preserve">trvajícího pohoršení. Vše to pak vede k </w:t>
      </w:r>
      <w:r w:rsidR="00955CF2" w:rsidRPr="000E3B0C">
        <w:rPr>
          <w:i/>
        </w:rPr>
        <w:t xml:space="preserve">oslabení církevní disciplíny, </w:t>
      </w:r>
      <w:r w:rsidR="00955CF2" w:rsidRPr="000E3B0C">
        <w:rPr>
          <w:i/>
        </w:rPr>
        <w:lastRenderedPageBreak/>
        <w:t>a </w:t>
      </w:r>
      <w:r w:rsidR="00725BD2" w:rsidRPr="000E3B0C">
        <w:rPr>
          <w:i/>
        </w:rPr>
        <w:t>následně</w:t>
      </w:r>
      <w:r w:rsidR="00955CF2" w:rsidRPr="000E3B0C">
        <w:rPr>
          <w:i/>
        </w:rPr>
        <w:t xml:space="preserve"> </w:t>
      </w:r>
      <w:r w:rsidR="00725BD2" w:rsidRPr="000E3B0C">
        <w:rPr>
          <w:i/>
        </w:rPr>
        <w:t>ke škodě pro celé společenství věřících</w:t>
      </w:r>
      <w:r w:rsidR="00955CF2" w:rsidRPr="000E3B0C">
        <w:rPr>
          <w:i/>
        </w:rPr>
        <w:t>.“</w:t>
      </w:r>
      <w:r w:rsidR="00955CF2" w:rsidRPr="000E3B0C">
        <w:rPr>
          <w:rStyle w:val="Znakapoznpodarou"/>
        </w:rPr>
        <w:footnoteReference w:id="239"/>
      </w:r>
      <w:r w:rsidR="00955CF2" w:rsidRPr="000E3B0C">
        <w:t xml:space="preserve"> </w:t>
      </w:r>
      <w:r w:rsidR="002A5847" w:rsidRPr="000E3B0C">
        <w:t xml:space="preserve">V porovnání s tím se jeví značně kontrastní </w:t>
      </w:r>
      <w:r w:rsidRPr="000E3B0C">
        <w:t>úprava</w:t>
      </w:r>
      <w:r w:rsidR="002A5847" w:rsidRPr="000E3B0C">
        <w:t xml:space="preserve"> kárného soudcovského práva, kter</w:t>
      </w:r>
      <w:r w:rsidRPr="000E3B0C">
        <w:t>á</w:t>
      </w:r>
      <w:r w:rsidR="002A5847" w:rsidRPr="000E3B0C">
        <w:t xml:space="preserve"> </w:t>
      </w:r>
      <w:r w:rsidRPr="000E3B0C">
        <w:t>je</w:t>
      </w:r>
      <w:r w:rsidR="002A5847" w:rsidRPr="000E3B0C">
        <w:t xml:space="preserve"> sice svým rozsahem velmi lakonick</w:t>
      </w:r>
      <w:r w:rsidRPr="000E3B0C">
        <w:t>á</w:t>
      </w:r>
      <w:r w:rsidR="002A5847" w:rsidRPr="000E3B0C">
        <w:t xml:space="preserve">, avšak </w:t>
      </w:r>
      <w:r w:rsidRPr="000E3B0C">
        <w:t>je hojně aplikovaná a přestavuje</w:t>
      </w:r>
      <w:r w:rsidR="005C57EF" w:rsidRPr="000E3B0C">
        <w:t xml:space="preserve"> skutečný, efektivní a </w:t>
      </w:r>
      <w:r w:rsidR="002A5847" w:rsidRPr="000E3B0C">
        <w:t>využívaný „bič“ na sou</w:t>
      </w:r>
      <w:r w:rsidRPr="000E3B0C">
        <w:t>dce neplnící si řádně své povinnosti.</w:t>
      </w:r>
      <w:r w:rsidR="00C84D17" w:rsidRPr="000E3B0C">
        <w:t xml:space="preserve"> Proto považuji za důležitější, jak je k určité disciplinární odpovědnosti fakticky přistupováno, nežli jak je </w:t>
      </w:r>
      <w:r w:rsidR="00C84D17" w:rsidRPr="000E3B0C">
        <w:rPr>
          <w:i/>
        </w:rPr>
        <w:t>de lege lata</w:t>
      </w:r>
      <w:r w:rsidR="00C84D17" w:rsidRPr="000E3B0C">
        <w:t xml:space="preserve"> upravena.</w:t>
      </w:r>
    </w:p>
    <w:p w14:paraId="2A55E660" w14:textId="77777777" w:rsidR="002A5847" w:rsidRPr="000E3B0C" w:rsidRDefault="002A5847" w:rsidP="00BA5DCE"/>
    <w:p w14:paraId="3C73CA1D" w14:textId="7B247626" w:rsidR="002A5847" w:rsidRPr="000E3B0C" w:rsidRDefault="00C84D17" w:rsidP="008024AB">
      <w:r w:rsidRPr="000E3B0C">
        <w:t>Toto dílo</w:t>
      </w:r>
      <w:r w:rsidR="00DF277D" w:rsidRPr="000E3B0C">
        <w:t xml:space="preserve"> vnímám jako spíše popisn</w:t>
      </w:r>
      <w:r w:rsidRPr="000E3B0C">
        <w:t>é</w:t>
      </w:r>
      <w:r w:rsidR="00536C5C" w:rsidRPr="000E3B0C">
        <w:t xml:space="preserve">, neboť jsem se </w:t>
      </w:r>
      <w:r w:rsidRPr="000E3B0C">
        <w:t>jím</w:t>
      </w:r>
      <w:r w:rsidR="00536C5C" w:rsidRPr="000E3B0C">
        <w:t xml:space="preserve"> snažil zbudovat základy, na nichž bude možn</w:t>
      </w:r>
      <w:r w:rsidR="00EC57CE" w:rsidRPr="000E3B0C">
        <w:t>é</w:t>
      </w:r>
      <w:r w:rsidR="00DF277D" w:rsidRPr="000E3B0C">
        <w:t xml:space="preserve"> </w:t>
      </w:r>
      <w:r w:rsidR="00536C5C" w:rsidRPr="000E3B0C">
        <w:t xml:space="preserve">následně vystavět hlubší </w:t>
      </w:r>
      <w:r w:rsidR="00DF277D" w:rsidRPr="000E3B0C">
        <w:t xml:space="preserve">kritickou reflexi kanonického práva </w:t>
      </w:r>
      <w:r w:rsidR="00536C5C" w:rsidRPr="000E3B0C">
        <w:t xml:space="preserve">(a zejména trestání kleriků) </w:t>
      </w:r>
      <w:r w:rsidR="00DF277D" w:rsidRPr="000E3B0C">
        <w:t xml:space="preserve">inspirovanou právě </w:t>
      </w:r>
      <w:r w:rsidR="00536C5C" w:rsidRPr="000E3B0C">
        <w:t xml:space="preserve">pohledem uplatňování </w:t>
      </w:r>
      <w:r w:rsidR="00DF277D" w:rsidRPr="000E3B0C">
        <w:t>kárn</w:t>
      </w:r>
      <w:r w:rsidR="00536C5C" w:rsidRPr="000E3B0C">
        <w:t xml:space="preserve">é odpovědnosti soudců. </w:t>
      </w:r>
      <w:r w:rsidR="008E0EE8" w:rsidRPr="000E3B0C">
        <w:t>Zajímavým aspektem, o </w:t>
      </w:r>
      <w:r w:rsidR="00D06513" w:rsidRPr="000E3B0C">
        <w:t xml:space="preserve">němž jsem nepojednal, je otázka </w:t>
      </w:r>
      <w:r w:rsidR="00EC57CE" w:rsidRPr="000E3B0C">
        <w:t xml:space="preserve">faktické </w:t>
      </w:r>
      <w:r w:rsidR="00D06513" w:rsidRPr="000E3B0C">
        <w:t xml:space="preserve">legitimity </w:t>
      </w:r>
      <w:r w:rsidR="00536C5C" w:rsidRPr="000E3B0C">
        <w:t>obou</w:t>
      </w:r>
      <w:r w:rsidR="005411FE" w:rsidRPr="000E3B0C">
        <w:t xml:space="preserve"> odpovědnostních systémů a </w:t>
      </w:r>
      <w:r w:rsidR="00D06513" w:rsidRPr="000E3B0C">
        <w:t>především jejich věrohodnosti navenek vůči veřejnosti. Mám však za to, že sp</w:t>
      </w:r>
      <w:r w:rsidR="00EC57CE" w:rsidRPr="000E3B0C">
        <w:t>íše než</w:t>
      </w:r>
      <w:r w:rsidR="00CA432D">
        <w:t> </w:t>
      </w:r>
      <w:r w:rsidR="00EC57CE" w:rsidRPr="000E3B0C">
        <w:t>s hmotněprá</w:t>
      </w:r>
      <w:r w:rsidR="00D06513" w:rsidRPr="000E3B0C">
        <w:t>vní úpravou souvisí s procesem, v něm</w:t>
      </w:r>
      <w:r w:rsidR="00EC57CE" w:rsidRPr="000E3B0C">
        <w:t xml:space="preserve">ž jsou spáchané delikty řešeny; zejména </w:t>
      </w:r>
      <w:r w:rsidR="00BA1320" w:rsidRPr="000E3B0C">
        <w:t xml:space="preserve">se složením soudních senátů, </w:t>
      </w:r>
      <w:r w:rsidR="00D06513" w:rsidRPr="000E3B0C">
        <w:t xml:space="preserve">otevřeností a informováním o projednávaných kauzách a jejich výsledcích, </w:t>
      </w:r>
      <w:r w:rsidR="00EC57CE" w:rsidRPr="000E3B0C">
        <w:t>(ne)</w:t>
      </w:r>
      <w:r w:rsidR="00BA1320" w:rsidRPr="000E3B0C">
        <w:t xml:space="preserve">veřejností </w:t>
      </w:r>
      <w:r w:rsidR="00D06513" w:rsidRPr="000E3B0C">
        <w:t>soudních řízení č</w:t>
      </w:r>
      <w:r w:rsidR="00EC57CE" w:rsidRPr="000E3B0C">
        <w:t>i odůvodněním a srozumitelností</w:t>
      </w:r>
      <w:r w:rsidR="00D06513" w:rsidRPr="000E3B0C">
        <w:t xml:space="preserve"> příslušných rozhodnutí. To všechno </w:t>
      </w:r>
      <w:r w:rsidR="00EC57CE" w:rsidRPr="000E3B0C">
        <w:t xml:space="preserve">jsou ovšem </w:t>
      </w:r>
      <w:r w:rsidR="00D06513" w:rsidRPr="000E3B0C">
        <w:t xml:space="preserve">procesní </w:t>
      </w:r>
      <w:r w:rsidR="00EC57CE" w:rsidRPr="000E3B0C">
        <w:t>aspekty</w:t>
      </w:r>
      <w:r w:rsidR="00DF277D" w:rsidRPr="000E3B0C">
        <w:t xml:space="preserve">, </w:t>
      </w:r>
      <w:r w:rsidR="00EC57CE" w:rsidRPr="000E3B0C">
        <w:t>jimž</w:t>
      </w:r>
      <w:r w:rsidR="00DF277D" w:rsidRPr="000E3B0C">
        <w:t xml:space="preserve"> jsem se doposud nevěnoval.</w:t>
      </w:r>
      <w:r w:rsidR="00EC57CE" w:rsidRPr="000E3B0C">
        <w:t xml:space="preserve"> Nastíněné otázky bych si proto rád kladl později.</w:t>
      </w:r>
    </w:p>
    <w:p w14:paraId="411DA130" w14:textId="77777777" w:rsidR="00EC57CE" w:rsidRPr="000E3B0C" w:rsidRDefault="00EC57CE" w:rsidP="008024AB"/>
    <w:p w14:paraId="28BD826F" w14:textId="77777777" w:rsidR="00EC57CE" w:rsidRPr="000E3B0C" w:rsidRDefault="00633DE6" w:rsidP="008024AB">
      <w:r w:rsidRPr="000E3B0C">
        <w:t>Rád bych, aby práce přinesla kanonistům seznámení s problematikou jedné ze sekulárních kárných odpovědností a naopak světským právníkům představila disciplinární odpovědnost představovanou samostatnou úpravou trestního práva v katolické církvi.</w:t>
      </w:r>
    </w:p>
    <w:p w14:paraId="0941A78E" w14:textId="77777777" w:rsidR="00D05885" w:rsidRPr="000E3B0C" w:rsidRDefault="00EC59BA" w:rsidP="00EC59BA">
      <w:pPr>
        <w:pStyle w:val="Nadpis1"/>
      </w:pPr>
      <w:r w:rsidRPr="000E3B0C">
        <w:br w:type="page"/>
      </w:r>
      <w:bookmarkStart w:id="23" w:name="_Toc130067387"/>
      <w:r w:rsidR="00D87A21" w:rsidRPr="000E3B0C">
        <w:lastRenderedPageBreak/>
        <w:t xml:space="preserve">Seznam </w:t>
      </w:r>
      <w:r w:rsidR="003B3B60" w:rsidRPr="000E3B0C">
        <w:t xml:space="preserve">literatury a </w:t>
      </w:r>
      <w:r w:rsidR="00D87A21" w:rsidRPr="000E3B0C">
        <w:t>pramenů</w:t>
      </w:r>
      <w:bookmarkEnd w:id="23"/>
    </w:p>
    <w:p w14:paraId="36C5B426" w14:textId="77777777" w:rsidR="008930BB" w:rsidRPr="000E3B0C" w:rsidRDefault="008930BB" w:rsidP="003E15A3">
      <w:pPr>
        <w:pStyle w:val="Nadpis2"/>
      </w:pPr>
      <w:bookmarkStart w:id="24" w:name="_Toc128751541"/>
      <w:bookmarkStart w:id="25" w:name="_Toc130067388"/>
      <w:r w:rsidRPr="000E3B0C">
        <w:t>Literatura</w:t>
      </w:r>
      <w:bookmarkEnd w:id="24"/>
      <w:bookmarkEnd w:id="25"/>
    </w:p>
    <w:p w14:paraId="744382E1" w14:textId="12D91846" w:rsidR="00CC70E4" w:rsidRPr="000E3B0C" w:rsidRDefault="00CC70E4" w:rsidP="00CC70E4">
      <w:pPr>
        <w:pStyle w:val="Default"/>
        <w:spacing w:afterLines="100" w:after="240" w:line="300" w:lineRule="auto"/>
        <w:jc w:val="both"/>
        <w:rPr>
          <w:color w:val="auto"/>
        </w:rPr>
      </w:pPr>
      <w:r w:rsidRPr="000E3B0C">
        <w:rPr>
          <w:rFonts w:cs="Arial"/>
          <w:color w:val="auto"/>
          <w:spacing w:val="5"/>
          <w:shd w:val="clear" w:color="auto" w:fill="FFFFFF"/>
        </w:rPr>
        <w:t xml:space="preserve">BOTEK, L., NAVRÁTILOVÁ, J. </w:t>
      </w:r>
      <w:r w:rsidRPr="000E3B0C">
        <w:rPr>
          <w:rStyle w:val="Zvraznn"/>
          <w:rFonts w:cs="Arial"/>
          <w:color w:val="auto"/>
          <w:spacing w:val="5"/>
        </w:rPr>
        <w:t>Trestné činy duchovních v sexuáln</w:t>
      </w:r>
      <w:r w:rsidR="005411FE" w:rsidRPr="000E3B0C">
        <w:rPr>
          <w:rStyle w:val="Zvraznn"/>
          <w:rFonts w:cs="Arial"/>
          <w:color w:val="auto"/>
          <w:spacing w:val="5"/>
        </w:rPr>
        <w:t>í oblasti z pohledu světského a </w:t>
      </w:r>
      <w:r w:rsidRPr="000E3B0C">
        <w:rPr>
          <w:rStyle w:val="Zvraznn"/>
          <w:rFonts w:cs="Arial"/>
          <w:color w:val="auto"/>
          <w:spacing w:val="5"/>
        </w:rPr>
        <w:t xml:space="preserve">kanonického práva. </w:t>
      </w:r>
      <w:r w:rsidRPr="000E3B0C">
        <w:rPr>
          <w:rFonts w:cs="Arial"/>
          <w:color w:val="auto"/>
          <w:spacing w:val="5"/>
          <w:shd w:val="clear" w:color="auto" w:fill="FFFFFF"/>
        </w:rPr>
        <w:t xml:space="preserve">Státní zastupitelství. </w:t>
      </w:r>
      <w:r w:rsidRPr="000E3B0C">
        <w:rPr>
          <w:rFonts w:cs="Arial"/>
          <w:color w:val="auto"/>
          <w:shd w:val="clear" w:color="auto" w:fill="FFFFFF"/>
        </w:rPr>
        <w:t xml:space="preserve">Praha: </w:t>
      </w:r>
      <w:proofErr w:type="spellStart"/>
      <w:r w:rsidRPr="000E3B0C">
        <w:rPr>
          <w:rFonts w:cs="Arial"/>
          <w:color w:val="auto"/>
          <w:shd w:val="clear" w:color="auto" w:fill="FFFFFF"/>
        </w:rPr>
        <w:t>Wolters</w:t>
      </w:r>
      <w:proofErr w:type="spellEnd"/>
      <w:r w:rsidRPr="000E3B0C">
        <w:rPr>
          <w:rFonts w:cs="Arial"/>
          <w:color w:val="auto"/>
          <w:shd w:val="clear" w:color="auto" w:fill="FFFFFF"/>
        </w:rPr>
        <w:t xml:space="preserve"> </w:t>
      </w:r>
      <w:proofErr w:type="spellStart"/>
      <w:r w:rsidRPr="000E3B0C">
        <w:rPr>
          <w:rFonts w:cs="Arial"/>
          <w:color w:val="auto"/>
          <w:shd w:val="clear" w:color="auto" w:fill="FFFFFF"/>
        </w:rPr>
        <w:t>Kluwer</w:t>
      </w:r>
      <w:proofErr w:type="spellEnd"/>
      <w:r w:rsidRPr="000E3B0C">
        <w:rPr>
          <w:rFonts w:cs="Arial"/>
          <w:color w:val="auto"/>
          <w:shd w:val="clear" w:color="auto" w:fill="FFFFFF"/>
        </w:rPr>
        <w:t xml:space="preserve">, </w:t>
      </w:r>
      <w:r w:rsidRPr="000E3B0C">
        <w:rPr>
          <w:rFonts w:cs="Arial"/>
          <w:color w:val="auto"/>
          <w:spacing w:val="5"/>
          <w:shd w:val="clear" w:color="auto" w:fill="FFFFFF"/>
        </w:rPr>
        <w:t xml:space="preserve">2019, č. 3, </w:t>
      </w:r>
      <w:r w:rsidR="00862168" w:rsidRPr="000E3B0C">
        <w:rPr>
          <w:rFonts w:cs="Arial"/>
          <w:color w:val="auto"/>
          <w:spacing w:val="5"/>
          <w:shd w:val="clear" w:color="auto" w:fill="FFFFFF"/>
        </w:rPr>
        <w:t>s.</w:t>
      </w:r>
      <w:r w:rsidRPr="000E3B0C">
        <w:rPr>
          <w:rFonts w:cs="Arial"/>
          <w:color w:val="auto"/>
          <w:spacing w:val="5"/>
          <w:shd w:val="clear" w:color="auto" w:fill="FFFFFF"/>
        </w:rPr>
        <w:t xml:space="preserve"> 24</w:t>
      </w:r>
      <w:r w:rsidR="00CF1A4B" w:rsidRPr="000E3B0C">
        <w:rPr>
          <w:color w:val="auto"/>
        </w:rPr>
        <w:sym w:font="Symbol" w:char="F02D"/>
      </w:r>
      <w:r w:rsidRPr="000E3B0C">
        <w:rPr>
          <w:rFonts w:cs="Arial"/>
          <w:color w:val="auto"/>
          <w:spacing w:val="5"/>
          <w:shd w:val="clear" w:color="auto" w:fill="FFFFFF"/>
        </w:rPr>
        <w:t>31.</w:t>
      </w:r>
    </w:p>
    <w:p w14:paraId="5D00E008" w14:textId="621EDBAE" w:rsidR="00CC70E4" w:rsidRPr="000E3B0C" w:rsidRDefault="00CC70E4" w:rsidP="00CC70E4">
      <w:pPr>
        <w:pStyle w:val="Textpoznpodarou"/>
        <w:spacing w:afterLines="100" w:after="240" w:line="300" w:lineRule="auto"/>
        <w:rPr>
          <w:bCs/>
          <w:sz w:val="24"/>
          <w:szCs w:val="24"/>
        </w:rPr>
      </w:pPr>
      <w:r w:rsidRPr="000E3B0C">
        <w:rPr>
          <w:sz w:val="24"/>
          <w:szCs w:val="24"/>
        </w:rPr>
        <w:t>DVOŘÁČEK</w:t>
      </w:r>
      <w:r w:rsidRPr="000E3B0C">
        <w:rPr>
          <w:bCs/>
          <w:sz w:val="24"/>
          <w:szCs w:val="24"/>
        </w:rPr>
        <w:t xml:space="preserve">, J. </w:t>
      </w:r>
      <w:r w:rsidRPr="000E3B0C">
        <w:rPr>
          <w:bCs/>
          <w:i/>
          <w:sz w:val="24"/>
          <w:szCs w:val="24"/>
        </w:rPr>
        <w:t>Zásady trestní odpovědnosti v trestním právu katolické církve s přihlédnutím k českému trestnímu zákoníku č. 40/2009 Sb.</w:t>
      </w:r>
      <w:r w:rsidRPr="000E3B0C">
        <w:rPr>
          <w:bCs/>
          <w:sz w:val="24"/>
          <w:szCs w:val="24"/>
        </w:rPr>
        <w:t xml:space="preserve"> </w:t>
      </w:r>
      <w:r w:rsidRPr="000E3B0C">
        <w:rPr>
          <w:rFonts w:cs="Arial"/>
          <w:sz w:val="24"/>
          <w:szCs w:val="24"/>
          <w:shd w:val="clear" w:color="auto" w:fill="FFFFFF"/>
        </w:rPr>
        <w:t xml:space="preserve">In: BENÁK, J. </w:t>
      </w:r>
      <w:r w:rsidRPr="000E3B0C">
        <w:rPr>
          <w:rFonts w:cs="Arial"/>
          <w:iCs/>
          <w:sz w:val="24"/>
          <w:szCs w:val="24"/>
          <w:shd w:val="clear" w:color="auto" w:fill="FFFFFF"/>
        </w:rPr>
        <w:t>Církev a</w:t>
      </w:r>
      <w:r w:rsidR="005411FE" w:rsidRPr="000E3B0C">
        <w:rPr>
          <w:rFonts w:cs="Arial"/>
          <w:iCs/>
          <w:sz w:val="24"/>
          <w:szCs w:val="24"/>
          <w:shd w:val="clear" w:color="auto" w:fill="FFFFFF"/>
        </w:rPr>
        <w:t xml:space="preserve"> stát 2022: sborník příspěvků z </w:t>
      </w:r>
      <w:r w:rsidRPr="000E3B0C">
        <w:rPr>
          <w:rFonts w:cs="Arial"/>
          <w:iCs/>
          <w:sz w:val="24"/>
          <w:szCs w:val="24"/>
          <w:shd w:val="clear" w:color="auto" w:fill="FFFFFF"/>
        </w:rPr>
        <w:t>konference</w:t>
      </w:r>
      <w:r w:rsidRPr="000E3B0C">
        <w:rPr>
          <w:rFonts w:cs="Arial"/>
          <w:sz w:val="24"/>
          <w:szCs w:val="24"/>
          <w:shd w:val="clear" w:color="auto" w:fill="FFFFFF"/>
        </w:rPr>
        <w:t>. Brno: Masarykova univerzita, 2022,</w:t>
      </w:r>
      <w:r w:rsidRPr="000E3B0C">
        <w:rPr>
          <w:sz w:val="24"/>
          <w:szCs w:val="24"/>
        </w:rPr>
        <w:t xml:space="preserve"> </w:t>
      </w:r>
      <w:r w:rsidR="00862168" w:rsidRPr="000E3B0C">
        <w:rPr>
          <w:sz w:val="24"/>
          <w:szCs w:val="24"/>
        </w:rPr>
        <w:t>s.</w:t>
      </w:r>
      <w:r w:rsidR="00703439" w:rsidRPr="000E3B0C">
        <w:rPr>
          <w:sz w:val="24"/>
          <w:szCs w:val="24"/>
        </w:rPr>
        <w:t> 22</w:t>
      </w:r>
      <w:r w:rsidR="00CF1A4B" w:rsidRPr="000E3B0C">
        <w:rPr>
          <w:rFonts w:cs="Garamond"/>
          <w:sz w:val="24"/>
          <w:szCs w:val="24"/>
        </w:rPr>
        <w:sym w:font="Symbol" w:char="F02D"/>
      </w:r>
      <w:r w:rsidR="00703439" w:rsidRPr="000E3B0C">
        <w:rPr>
          <w:sz w:val="24"/>
          <w:szCs w:val="24"/>
        </w:rPr>
        <w:t>32</w:t>
      </w:r>
      <w:r w:rsidRPr="000E3B0C">
        <w:rPr>
          <w:sz w:val="24"/>
          <w:szCs w:val="24"/>
        </w:rPr>
        <w:t>.</w:t>
      </w:r>
    </w:p>
    <w:p w14:paraId="059F7B23" w14:textId="1D75F1C8" w:rsidR="00CC70E4" w:rsidRPr="000E3B0C" w:rsidRDefault="00CC70E4" w:rsidP="00CC70E4">
      <w:pPr>
        <w:spacing w:afterLines="100" w:after="240" w:line="300" w:lineRule="auto"/>
        <w:rPr>
          <w:rFonts w:eastAsia="Calibri" w:cs="Arial"/>
          <w:lang w:eastAsia="en-US"/>
        </w:rPr>
      </w:pPr>
      <w:r w:rsidRPr="000E3B0C">
        <w:rPr>
          <w:rFonts w:eastAsia="Calibri" w:cs="CIDFont+F5"/>
          <w:lang w:eastAsia="en-US"/>
        </w:rPr>
        <w:t xml:space="preserve">FRIEDEL, T. </w:t>
      </w:r>
      <w:r w:rsidRPr="000E3B0C">
        <w:rPr>
          <w:rFonts w:eastAsia="Calibri" w:cs="CIDFont+F5"/>
          <w:i/>
          <w:lang w:eastAsia="en-US"/>
        </w:rPr>
        <w:t>Jak čeští soudci (ne)smí jednat. Praxe kárného soudu ve věcech kárných řízení se soudci v letech 2008-2014</w:t>
      </w:r>
      <w:r w:rsidRPr="000E3B0C">
        <w:rPr>
          <w:rFonts w:eastAsia="Calibri" w:cs="CIDFont+F5"/>
          <w:lang w:eastAsia="en-US"/>
        </w:rPr>
        <w:t xml:space="preserve">. Jurisprudence. Praha: Univerzita Karlova, 2015, č. 1, </w:t>
      </w:r>
      <w:r w:rsidR="00862168" w:rsidRPr="000E3B0C">
        <w:rPr>
          <w:rFonts w:eastAsia="PalatinoCE-Roman" w:cs="PalatinoCE-Roman"/>
          <w:lang w:eastAsia="en-US"/>
        </w:rPr>
        <w:t>s.</w:t>
      </w:r>
      <w:r w:rsidR="00C929FA" w:rsidRPr="000E3B0C">
        <w:rPr>
          <w:rFonts w:eastAsia="PalatinoCE-Roman" w:cs="PalatinoCE-Roman"/>
          <w:lang w:eastAsia="en-US"/>
        </w:rPr>
        <w:t xml:space="preserve"> 15</w:t>
      </w:r>
      <w:r w:rsidR="00CF1A4B" w:rsidRPr="000E3B0C">
        <w:rPr>
          <w:rFonts w:cs="Garamond"/>
        </w:rPr>
        <w:sym w:font="Symbol" w:char="F02D"/>
      </w:r>
      <w:r w:rsidR="00C929FA" w:rsidRPr="000E3B0C">
        <w:rPr>
          <w:rFonts w:eastAsia="PalatinoCE-Roman" w:cs="PalatinoCE-Roman"/>
          <w:lang w:eastAsia="en-US"/>
        </w:rPr>
        <w:t>23.</w:t>
      </w:r>
    </w:p>
    <w:p w14:paraId="5243943A" w14:textId="04E00862" w:rsidR="00CC70E4" w:rsidRPr="000E3B0C" w:rsidRDefault="00CC70E4" w:rsidP="00CC70E4">
      <w:pPr>
        <w:pStyle w:val="Textpoznpodarou"/>
        <w:spacing w:afterLines="100" w:after="240" w:line="300" w:lineRule="auto"/>
        <w:rPr>
          <w:sz w:val="24"/>
          <w:szCs w:val="24"/>
        </w:rPr>
      </w:pPr>
      <w:r w:rsidRPr="000E3B0C">
        <w:rPr>
          <w:sz w:val="24"/>
          <w:szCs w:val="24"/>
        </w:rPr>
        <w:t xml:space="preserve">GERLOCH, A. </w:t>
      </w:r>
      <w:r w:rsidRPr="000E3B0C">
        <w:rPr>
          <w:i/>
          <w:iCs/>
          <w:sz w:val="24"/>
          <w:szCs w:val="24"/>
        </w:rPr>
        <w:t>Teorie práva</w:t>
      </w:r>
      <w:r w:rsidRPr="000E3B0C">
        <w:rPr>
          <w:sz w:val="24"/>
          <w:szCs w:val="24"/>
        </w:rPr>
        <w:t xml:space="preserve">. Plzeň: Aleš Čeněk, 2013, </w:t>
      </w:r>
      <w:r w:rsidR="00862168" w:rsidRPr="000E3B0C">
        <w:rPr>
          <w:sz w:val="24"/>
          <w:szCs w:val="24"/>
        </w:rPr>
        <w:t>s.</w:t>
      </w:r>
      <w:r w:rsidR="000221B3" w:rsidRPr="000E3B0C">
        <w:rPr>
          <w:sz w:val="24"/>
          <w:szCs w:val="24"/>
        </w:rPr>
        <w:t xml:space="preserve"> </w:t>
      </w:r>
      <w:r w:rsidR="00C929FA" w:rsidRPr="000E3B0C">
        <w:rPr>
          <w:sz w:val="24"/>
          <w:szCs w:val="24"/>
        </w:rPr>
        <w:t>310</w:t>
      </w:r>
      <w:r w:rsidR="000221B3" w:rsidRPr="000E3B0C">
        <w:rPr>
          <w:sz w:val="24"/>
          <w:szCs w:val="24"/>
        </w:rPr>
        <w:t>.</w:t>
      </w:r>
    </w:p>
    <w:p w14:paraId="059A5CDA" w14:textId="38437BC3" w:rsidR="00CC70E4" w:rsidRPr="000E3B0C" w:rsidRDefault="00CC70E4" w:rsidP="00CC70E4">
      <w:pPr>
        <w:pStyle w:val="Textpoznpodarou"/>
        <w:spacing w:afterLines="100" w:after="240" w:line="300" w:lineRule="auto"/>
        <w:rPr>
          <w:sz w:val="24"/>
          <w:szCs w:val="24"/>
        </w:rPr>
      </w:pPr>
      <w:r w:rsidRPr="000E3B0C">
        <w:rPr>
          <w:sz w:val="24"/>
          <w:szCs w:val="24"/>
        </w:rPr>
        <w:t xml:space="preserve">GRYGAR, J. </w:t>
      </w:r>
      <w:r w:rsidRPr="000E3B0C">
        <w:rPr>
          <w:i/>
          <w:sz w:val="24"/>
          <w:szCs w:val="24"/>
        </w:rPr>
        <w:t>Zákon o soudech a soudcích. Komentář.</w:t>
      </w:r>
      <w:r w:rsidRPr="000E3B0C">
        <w:rPr>
          <w:sz w:val="24"/>
          <w:szCs w:val="24"/>
        </w:rPr>
        <w:t xml:space="preserve"> P</w:t>
      </w:r>
      <w:r w:rsidR="000221B3" w:rsidRPr="000E3B0C">
        <w:rPr>
          <w:sz w:val="24"/>
          <w:szCs w:val="24"/>
        </w:rPr>
        <w:t xml:space="preserve">raha: </w:t>
      </w:r>
      <w:proofErr w:type="spellStart"/>
      <w:r w:rsidR="000221B3" w:rsidRPr="000E3B0C">
        <w:rPr>
          <w:sz w:val="24"/>
          <w:szCs w:val="24"/>
        </w:rPr>
        <w:t>Wolters</w:t>
      </w:r>
      <w:proofErr w:type="spellEnd"/>
      <w:r w:rsidR="000221B3" w:rsidRPr="000E3B0C">
        <w:rPr>
          <w:sz w:val="24"/>
          <w:szCs w:val="24"/>
        </w:rPr>
        <w:t xml:space="preserve"> </w:t>
      </w:r>
      <w:proofErr w:type="spellStart"/>
      <w:r w:rsidR="000221B3" w:rsidRPr="000E3B0C">
        <w:rPr>
          <w:sz w:val="24"/>
          <w:szCs w:val="24"/>
        </w:rPr>
        <w:t>Kluwer</w:t>
      </w:r>
      <w:proofErr w:type="spellEnd"/>
      <w:r w:rsidR="000221B3" w:rsidRPr="000E3B0C">
        <w:rPr>
          <w:sz w:val="24"/>
          <w:szCs w:val="24"/>
        </w:rPr>
        <w:t xml:space="preserve">, 2018, </w:t>
      </w:r>
      <w:r w:rsidR="00862168" w:rsidRPr="000E3B0C">
        <w:rPr>
          <w:sz w:val="24"/>
          <w:szCs w:val="24"/>
        </w:rPr>
        <w:t>s.</w:t>
      </w:r>
      <w:r w:rsidR="000221B3" w:rsidRPr="000E3B0C">
        <w:rPr>
          <w:sz w:val="24"/>
          <w:szCs w:val="24"/>
        </w:rPr>
        <w:t xml:space="preserve"> 600.</w:t>
      </w:r>
    </w:p>
    <w:p w14:paraId="0DE8BA44" w14:textId="7D39329E" w:rsidR="00CC70E4" w:rsidRPr="000E3B0C" w:rsidRDefault="00CC70E4" w:rsidP="00B058A9">
      <w:pPr>
        <w:pStyle w:val="Textpoznpodarou"/>
        <w:spacing w:afterLines="100" w:after="240" w:line="300" w:lineRule="auto"/>
        <w:rPr>
          <w:sz w:val="24"/>
          <w:szCs w:val="24"/>
        </w:rPr>
      </w:pPr>
      <w:r w:rsidRPr="000E3B0C">
        <w:rPr>
          <w:rFonts w:cs="Cambria"/>
          <w:sz w:val="24"/>
          <w:szCs w:val="24"/>
        </w:rPr>
        <w:t xml:space="preserve">HARVÁNEK, J. a kol. </w:t>
      </w:r>
      <w:r w:rsidRPr="000E3B0C">
        <w:rPr>
          <w:rFonts w:cs="Cambria-Italic"/>
          <w:i/>
          <w:iCs/>
          <w:sz w:val="24"/>
          <w:szCs w:val="24"/>
        </w:rPr>
        <w:t>Právní teorie</w:t>
      </w:r>
      <w:r w:rsidRPr="000E3B0C">
        <w:rPr>
          <w:rFonts w:cs="Cambria"/>
          <w:sz w:val="24"/>
          <w:szCs w:val="24"/>
        </w:rPr>
        <w:t xml:space="preserve">. Plzeň: Aleš Čeněk, 2013, </w:t>
      </w:r>
      <w:r w:rsidR="00862168" w:rsidRPr="000E3B0C">
        <w:rPr>
          <w:rFonts w:cs="Cambria"/>
          <w:sz w:val="24"/>
          <w:szCs w:val="24"/>
        </w:rPr>
        <w:t>s.</w:t>
      </w:r>
      <w:r w:rsidRPr="000E3B0C">
        <w:rPr>
          <w:rFonts w:cs="Cambria"/>
          <w:sz w:val="24"/>
          <w:szCs w:val="24"/>
        </w:rPr>
        <w:t xml:space="preserve"> </w:t>
      </w:r>
      <w:r w:rsidR="00A954F4" w:rsidRPr="000E3B0C">
        <w:rPr>
          <w:rFonts w:cs="Cambria"/>
          <w:sz w:val="24"/>
          <w:szCs w:val="24"/>
        </w:rPr>
        <w:t>440</w:t>
      </w:r>
      <w:r w:rsidRPr="000E3B0C">
        <w:rPr>
          <w:rFonts w:cs="Cambria"/>
          <w:sz w:val="24"/>
          <w:szCs w:val="24"/>
        </w:rPr>
        <w:t>.</w:t>
      </w:r>
    </w:p>
    <w:p w14:paraId="343E767B" w14:textId="44C2EC00" w:rsidR="00CC70E4" w:rsidRPr="000E3B0C" w:rsidRDefault="00CC70E4" w:rsidP="00B058A9">
      <w:pPr>
        <w:spacing w:afterLines="100" w:after="240" w:line="300" w:lineRule="auto"/>
      </w:pPr>
      <w:r w:rsidRPr="000E3B0C">
        <w:t xml:space="preserve">HENDRYCH, D. </w:t>
      </w:r>
      <w:r w:rsidRPr="000E3B0C">
        <w:rPr>
          <w:i/>
        </w:rPr>
        <w:t>Správní právo – Obecná část</w:t>
      </w:r>
      <w:r w:rsidRPr="000E3B0C">
        <w:t>. P</w:t>
      </w:r>
      <w:r w:rsidR="00A954F4" w:rsidRPr="000E3B0C">
        <w:t xml:space="preserve">raha: C. H. Beck, 2012, </w:t>
      </w:r>
      <w:r w:rsidR="00862168" w:rsidRPr="000E3B0C">
        <w:t>s.</w:t>
      </w:r>
      <w:r w:rsidR="00A954F4" w:rsidRPr="000E3B0C">
        <w:t xml:space="preserve"> 1481</w:t>
      </w:r>
      <w:r w:rsidRPr="000E3B0C">
        <w:t>.</w:t>
      </w:r>
    </w:p>
    <w:p w14:paraId="5B5413DD" w14:textId="503B4BF1" w:rsidR="00CC70E4" w:rsidRPr="000E3B0C" w:rsidRDefault="00CC70E4" w:rsidP="00B058A9">
      <w:pPr>
        <w:pStyle w:val="Pa13"/>
        <w:spacing w:afterLines="100" w:after="240" w:line="300" w:lineRule="auto"/>
        <w:rPr>
          <w:rFonts w:cs="Garamond"/>
        </w:rPr>
      </w:pPr>
      <w:r w:rsidRPr="000E3B0C">
        <w:rPr>
          <w:rFonts w:cs="Garamond"/>
        </w:rPr>
        <w:t xml:space="preserve">HRDINA, A. </w:t>
      </w:r>
      <w:r w:rsidRPr="000E3B0C">
        <w:rPr>
          <w:rFonts w:cs="Garamond"/>
          <w:i/>
          <w:iCs/>
        </w:rPr>
        <w:t>Kanonické právo. Dějiny pramenů, teorie, platné právo</w:t>
      </w:r>
      <w:r w:rsidRPr="000E3B0C">
        <w:rPr>
          <w:rFonts w:cs="Garamond"/>
        </w:rPr>
        <w:t xml:space="preserve">. Plzeň: Aleš Čeněk, 2011, </w:t>
      </w:r>
      <w:r w:rsidR="00862168" w:rsidRPr="000E3B0C">
        <w:rPr>
          <w:rFonts w:cs="Garamond"/>
        </w:rPr>
        <w:t>s.</w:t>
      </w:r>
      <w:r w:rsidRPr="000E3B0C">
        <w:rPr>
          <w:rFonts w:cs="Garamond"/>
        </w:rPr>
        <w:t xml:space="preserve"> </w:t>
      </w:r>
      <w:r w:rsidR="00796031" w:rsidRPr="000E3B0C">
        <w:t>367</w:t>
      </w:r>
      <w:r w:rsidRPr="000E3B0C">
        <w:t>.</w:t>
      </w:r>
    </w:p>
    <w:p w14:paraId="438AF48E" w14:textId="554DC03E" w:rsidR="00CC70E4" w:rsidRPr="000E3B0C" w:rsidRDefault="00CC70E4" w:rsidP="00CC70E4">
      <w:pPr>
        <w:pStyle w:val="Default"/>
        <w:spacing w:afterLines="100" w:after="240" w:line="300" w:lineRule="auto"/>
        <w:jc w:val="both"/>
        <w:rPr>
          <w:color w:val="auto"/>
        </w:rPr>
      </w:pPr>
      <w:r w:rsidRPr="000E3B0C">
        <w:rPr>
          <w:color w:val="auto"/>
        </w:rPr>
        <w:t>HRDINA, A.</w:t>
      </w:r>
      <w:r w:rsidRPr="000E3B0C">
        <w:rPr>
          <w:rFonts w:cs="Arial"/>
          <w:color w:val="auto"/>
          <w:shd w:val="clear" w:color="auto" w:fill="FFFFFF"/>
        </w:rPr>
        <w:t xml:space="preserve"> </w:t>
      </w:r>
      <w:r w:rsidRPr="000E3B0C">
        <w:rPr>
          <w:rFonts w:cs="Arial"/>
          <w:i/>
          <w:color w:val="auto"/>
          <w:shd w:val="clear" w:color="auto" w:fill="FFFFFF"/>
        </w:rPr>
        <w:t>Fungování církevních soudů v trestních věcech</w:t>
      </w:r>
      <w:r w:rsidRPr="000E3B0C">
        <w:rPr>
          <w:rFonts w:cs="Arial"/>
          <w:color w:val="auto"/>
          <w:shd w:val="clear" w:color="auto" w:fill="FFFFFF"/>
        </w:rPr>
        <w:t xml:space="preserve">. </w:t>
      </w:r>
      <w:r w:rsidRPr="000E3B0C">
        <w:rPr>
          <w:rFonts w:cs="Arial"/>
          <w:iCs/>
          <w:color w:val="auto"/>
          <w:shd w:val="clear" w:color="auto" w:fill="FFFFFF"/>
        </w:rPr>
        <w:t>Časopis pro právní vědu a praxi</w:t>
      </w:r>
      <w:r w:rsidRPr="000E3B0C">
        <w:rPr>
          <w:rFonts w:cs="Arial"/>
          <w:color w:val="auto"/>
          <w:shd w:val="clear" w:color="auto" w:fill="FFFFFF"/>
        </w:rPr>
        <w:t xml:space="preserve">. Brno: Masarykova univerzita, 2013, roč. </w:t>
      </w:r>
      <w:r w:rsidRPr="000E3B0C">
        <w:rPr>
          <w:rFonts w:cs="Arial"/>
          <w:bCs/>
          <w:color w:val="auto"/>
          <w:shd w:val="clear" w:color="auto" w:fill="FFFFFF"/>
        </w:rPr>
        <w:t>21</w:t>
      </w:r>
      <w:r w:rsidRPr="000E3B0C">
        <w:rPr>
          <w:rFonts w:cs="Arial"/>
          <w:color w:val="auto"/>
          <w:shd w:val="clear" w:color="auto" w:fill="FFFFFF"/>
        </w:rPr>
        <w:t>,</w:t>
      </w:r>
      <w:r w:rsidRPr="000E3B0C">
        <w:rPr>
          <w:color w:val="auto"/>
        </w:rPr>
        <w:t xml:space="preserve"> č. 2, </w:t>
      </w:r>
      <w:r w:rsidR="00862168" w:rsidRPr="000E3B0C">
        <w:rPr>
          <w:color w:val="auto"/>
        </w:rPr>
        <w:t>s.</w:t>
      </w:r>
      <w:r w:rsidRPr="000E3B0C">
        <w:rPr>
          <w:color w:val="auto"/>
        </w:rPr>
        <w:t xml:space="preserve"> 230</w:t>
      </w:r>
      <w:r w:rsidR="00CF1A4B" w:rsidRPr="000E3B0C">
        <w:rPr>
          <w:color w:val="auto"/>
        </w:rPr>
        <w:sym w:font="Symbol" w:char="F02D"/>
      </w:r>
      <w:r w:rsidR="00796031" w:rsidRPr="000E3B0C">
        <w:rPr>
          <w:color w:val="auto"/>
        </w:rPr>
        <w:t>236</w:t>
      </w:r>
      <w:r w:rsidRPr="000E3B0C">
        <w:rPr>
          <w:color w:val="auto"/>
        </w:rPr>
        <w:t>.</w:t>
      </w:r>
    </w:p>
    <w:p w14:paraId="44D4BB4F" w14:textId="562D7FA4" w:rsidR="00CC70E4" w:rsidRPr="000E3B0C" w:rsidRDefault="00CC70E4" w:rsidP="00CC70E4">
      <w:pPr>
        <w:pStyle w:val="Default"/>
        <w:spacing w:afterLines="100" w:after="240" w:line="300" w:lineRule="auto"/>
        <w:jc w:val="both"/>
        <w:rPr>
          <w:color w:val="auto"/>
        </w:rPr>
      </w:pPr>
      <w:r w:rsidRPr="000E3B0C">
        <w:rPr>
          <w:color w:val="auto"/>
        </w:rPr>
        <w:t xml:space="preserve">HRDINA, A. </w:t>
      </w:r>
      <w:r w:rsidRPr="000E3B0C">
        <w:rPr>
          <w:i/>
          <w:color w:val="auto"/>
        </w:rPr>
        <w:t>Co se (ne)změnilo rekodifikací kanonického trestního práva hmotného</w:t>
      </w:r>
      <w:r w:rsidRPr="000E3B0C">
        <w:rPr>
          <w:color w:val="auto"/>
        </w:rPr>
        <w:t xml:space="preserve">. </w:t>
      </w:r>
      <w:r w:rsidRPr="000E3B0C">
        <w:rPr>
          <w:iCs/>
          <w:color w:val="auto"/>
        </w:rPr>
        <w:t>Revue církevního práva</w:t>
      </w:r>
      <w:r w:rsidRPr="000E3B0C">
        <w:rPr>
          <w:color w:val="auto"/>
        </w:rPr>
        <w:t xml:space="preserve">. Praha: Společnost pro církevní právo, 2021, </w:t>
      </w:r>
      <w:r w:rsidR="00E05DB3" w:rsidRPr="000E3B0C">
        <w:rPr>
          <w:color w:val="auto"/>
        </w:rPr>
        <w:t>roč. 27, č.</w:t>
      </w:r>
      <w:r w:rsidRPr="000E3B0C">
        <w:rPr>
          <w:color w:val="auto"/>
        </w:rPr>
        <w:t xml:space="preserve"> 84, </w:t>
      </w:r>
      <w:r w:rsidR="00862168" w:rsidRPr="000E3B0C">
        <w:rPr>
          <w:color w:val="auto"/>
        </w:rPr>
        <w:t>s.</w:t>
      </w:r>
      <w:r w:rsidRPr="000E3B0C">
        <w:rPr>
          <w:color w:val="auto"/>
        </w:rPr>
        <w:t xml:space="preserve"> 1</w:t>
      </w:r>
      <w:r w:rsidR="00AE4327" w:rsidRPr="000E3B0C">
        <w:rPr>
          <w:color w:val="auto"/>
        </w:rPr>
        <w:t>3</w:t>
      </w:r>
      <w:r w:rsidR="00CF1A4B" w:rsidRPr="000E3B0C">
        <w:rPr>
          <w:color w:val="auto"/>
        </w:rPr>
        <w:sym w:font="Symbol" w:char="F02D"/>
      </w:r>
      <w:r w:rsidR="00AE4327" w:rsidRPr="000E3B0C">
        <w:rPr>
          <w:color w:val="auto"/>
        </w:rPr>
        <w:t>28.</w:t>
      </w:r>
    </w:p>
    <w:p w14:paraId="3022A9BB" w14:textId="5E6D9084" w:rsidR="00CC70E4" w:rsidRPr="000E3B0C" w:rsidRDefault="00CC70E4" w:rsidP="00B058A9">
      <w:pPr>
        <w:pStyle w:val="Textpoznpodarou"/>
        <w:spacing w:afterLines="100" w:after="240" w:line="300" w:lineRule="auto"/>
        <w:rPr>
          <w:sz w:val="24"/>
          <w:szCs w:val="24"/>
        </w:rPr>
      </w:pPr>
      <w:r w:rsidRPr="000E3B0C">
        <w:rPr>
          <w:sz w:val="24"/>
          <w:szCs w:val="24"/>
        </w:rPr>
        <w:t xml:space="preserve">HROMADA, J. </w:t>
      </w:r>
      <w:r w:rsidRPr="000E3B0C">
        <w:rPr>
          <w:i/>
          <w:iCs/>
          <w:sz w:val="24"/>
          <w:szCs w:val="24"/>
        </w:rPr>
        <w:t>Právnický slovník</w:t>
      </w:r>
      <w:r w:rsidR="00A45AB9" w:rsidRPr="000E3B0C">
        <w:rPr>
          <w:sz w:val="24"/>
          <w:szCs w:val="24"/>
        </w:rPr>
        <w:t xml:space="preserve">. Praha: Orbis, 1972, </w:t>
      </w:r>
      <w:r w:rsidR="00862168" w:rsidRPr="000E3B0C">
        <w:rPr>
          <w:sz w:val="24"/>
          <w:szCs w:val="24"/>
        </w:rPr>
        <w:t>s.</w:t>
      </w:r>
      <w:r w:rsidR="00A45AB9" w:rsidRPr="000E3B0C">
        <w:rPr>
          <w:sz w:val="24"/>
          <w:szCs w:val="24"/>
        </w:rPr>
        <w:t xml:space="preserve"> 1104</w:t>
      </w:r>
      <w:r w:rsidRPr="000E3B0C">
        <w:rPr>
          <w:sz w:val="24"/>
          <w:szCs w:val="24"/>
        </w:rPr>
        <w:t>.</w:t>
      </w:r>
    </w:p>
    <w:p w14:paraId="002AF35C" w14:textId="6E2364E0" w:rsidR="00B058A9" w:rsidRPr="000E3B0C" w:rsidRDefault="00B058A9" w:rsidP="00B058A9">
      <w:pPr>
        <w:spacing w:afterLines="100" w:after="240" w:line="300" w:lineRule="auto"/>
        <w:rPr>
          <w:iCs/>
        </w:rPr>
      </w:pPr>
      <w:r w:rsidRPr="000E3B0C">
        <w:rPr>
          <w:i/>
          <w:iCs/>
        </w:rPr>
        <w:t xml:space="preserve">Katechismus katolické církve. </w:t>
      </w:r>
      <w:r w:rsidRPr="000E3B0C">
        <w:rPr>
          <w:iCs/>
        </w:rPr>
        <w:t xml:space="preserve">Kostelní Vydří: Karmelitánské nakladatelství, 2001, </w:t>
      </w:r>
      <w:r w:rsidR="00862168" w:rsidRPr="000E3B0C">
        <w:rPr>
          <w:iCs/>
        </w:rPr>
        <w:t>s.</w:t>
      </w:r>
      <w:r w:rsidRPr="000E3B0C">
        <w:rPr>
          <w:iCs/>
        </w:rPr>
        <w:t xml:space="preserve"> 817.</w:t>
      </w:r>
    </w:p>
    <w:p w14:paraId="0AC6C4E0" w14:textId="1A70991B" w:rsidR="00CC70E4" w:rsidRPr="000E3B0C" w:rsidRDefault="00CC70E4" w:rsidP="00B058A9">
      <w:pPr>
        <w:spacing w:afterLines="100" w:after="240" w:line="300" w:lineRule="auto"/>
      </w:pPr>
      <w:r w:rsidRPr="000E3B0C">
        <w:t xml:space="preserve">KOCOUREK, J. </w:t>
      </w:r>
      <w:r w:rsidRPr="000E3B0C">
        <w:rPr>
          <w:i/>
        </w:rPr>
        <w:t>Zákon o soudech a soudcích. Komentář.</w:t>
      </w:r>
      <w:r w:rsidRPr="000E3B0C">
        <w:t xml:space="preserve"> Praha: C. H. Beck, 2015, </w:t>
      </w:r>
      <w:r w:rsidR="00862168" w:rsidRPr="000E3B0C">
        <w:t>s.</w:t>
      </w:r>
      <w:r w:rsidRPr="000E3B0C">
        <w:t xml:space="preserve"> </w:t>
      </w:r>
      <w:r w:rsidR="003E15A3" w:rsidRPr="000E3B0C">
        <w:t>472.</w:t>
      </w:r>
    </w:p>
    <w:p w14:paraId="067B7E8D" w14:textId="77F559E7" w:rsidR="00CC70E4" w:rsidRPr="000E3B0C" w:rsidRDefault="00CC70E4" w:rsidP="00B058A9">
      <w:pPr>
        <w:pStyle w:val="Odstavecseseznamem"/>
        <w:spacing w:afterLines="100" w:after="240" w:line="300" w:lineRule="auto"/>
        <w:ind w:left="0"/>
        <w:rPr>
          <w:rFonts w:ascii="Garamond" w:hAnsi="Garamond"/>
          <w:sz w:val="24"/>
          <w:szCs w:val="24"/>
        </w:rPr>
      </w:pPr>
      <w:r w:rsidRPr="000E3B0C">
        <w:rPr>
          <w:rFonts w:ascii="Garamond" w:hAnsi="Garamond" w:cs="Arial"/>
          <w:sz w:val="24"/>
          <w:szCs w:val="24"/>
          <w:shd w:val="clear" w:color="auto" w:fill="FFFFFF"/>
        </w:rPr>
        <w:t xml:space="preserve">KOSAŘ, D., PAPOUŠKOVÁ, T. </w:t>
      </w:r>
      <w:r w:rsidRPr="000E3B0C">
        <w:rPr>
          <w:rStyle w:val="Zvraznn"/>
          <w:rFonts w:ascii="Garamond" w:hAnsi="Garamond" w:cs="Arial"/>
          <w:sz w:val="24"/>
          <w:szCs w:val="24"/>
          <w:shd w:val="clear" w:color="auto" w:fill="FFFFFF"/>
        </w:rPr>
        <w:t>Kárná odpovědnost soudce v přerodu: ponaučení z České republiky</w:t>
      </w:r>
      <w:r w:rsidRPr="000E3B0C">
        <w:rPr>
          <w:rFonts w:ascii="Garamond" w:hAnsi="Garamond" w:cs="Arial"/>
          <w:sz w:val="24"/>
          <w:szCs w:val="24"/>
          <w:shd w:val="clear" w:color="auto" w:fill="FFFFFF"/>
        </w:rPr>
        <w:t xml:space="preserve">. Praha: </w:t>
      </w:r>
      <w:proofErr w:type="spellStart"/>
      <w:r w:rsidRPr="000E3B0C">
        <w:rPr>
          <w:rFonts w:ascii="Garamond" w:hAnsi="Garamond" w:cs="Arial"/>
          <w:sz w:val="24"/>
          <w:szCs w:val="24"/>
          <w:shd w:val="clear" w:color="auto" w:fill="FFFFFF"/>
        </w:rPr>
        <w:t>Wolters</w:t>
      </w:r>
      <w:proofErr w:type="spellEnd"/>
      <w:r w:rsidRPr="000E3B0C">
        <w:rPr>
          <w:rFonts w:ascii="Garamond" w:hAnsi="Garamond" w:cs="Arial"/>
          <w:sz w:val="24"/>
          <w:szCs w:val="24"/>
          <w:shd w:val="clear" w:color="auto" w:fill="FFFFFF"/>
        </w:rPr>
        <w:t xml:space="preserve"> </w:t>
      </w:r>
      <w:proofErr w:type="spellStart"/>
      <w:r w:rsidRPr="000E3B0C">
        <w:rPr>
          <w:rFonts w:ascii="Garamond" w:hAnsi="Garamond" w:cs="Arial"/>
          <w:sz w:val="24"/>
          <w:szCs w:val="24"/>
          <w:shd w:val="clear" w:color="auto" w:fill="FFFFFF"/>
        </w:rPr>
        <w:t>Kluwer</w:t>
      </w:r>
      <w:proofErr w:type="spellEnd"/>
      <w:r w:rsidRPr="000E3B0C">
        <w:rPr>
          <w:rFonts w:ascii="Garamond" w:hAnsi="Garamond" w:cs="Arial"/>
          <w:sz w:val="24"/>
          <w:szCs w:val="24"/>
          <w:shd w:val="clear" w:color="auto" w:fill="FFFFFF"/>
        </w:rPr>
        <w:t xml:space="preserve">, 2017, </w:t>
      </w:r>
      <w:r w:rsidR="00862168" w:rsidRPr="000E3B0C">
        <w:rPr>
          <w:rFonts w:ascii="Garamond" w:hAnsi="Garamond"/>
          <w:sz w:val="24"/>
          <w:szCs w:val="24"/>
        </w:rPr>
        <w:t>s.</w:t>
      </w:r>
      <w:r w:rsidRPr="000E3B0C">
        <w:rPr>
          <w:rFonts w:ascii="Garamond" w:hAnsi="Garamond"/>
          <w:sz w:val="24"/>
          <w:szCs w:val="24"/>
        </w:rPr>
        <w:t xml:space="preserve"> </w:t>
      </w:r>
      <w:r w:rsidR="003E15A3" w:rsidRPr="000E3B0C">
        <w:rPr>
          <w:rFonts w:ascii="Garamond" w:hAnsi="Garamond"/>
          <w:sz w:val="24"/>
          <w:szCs w:val="24"/>
        </w:rPr>
        <w:t>100.</w:t>
      </w:r>
    </w:p>
    <w:p w14:paraId="09BDE055" w14:textId="2992F4EF" w:rsidR="005411FE" w:rsidRPr="000E3B0C" w:rsidRDefault="005411FE" w:rsidP="005411FE">
      <w:pPr>
        <w:pStyle w:val="Textpoznpodarou"/>
        <w:spacing w:afterLines="100" w:after="240" w:line="300" w:lineRule="auto"/>
        <w:rPr>
          <w:sz w:val="24"/>
          <w:szCs w:val="24"/>
        </w:rPr>
      </w:pPr>
      <w:r w:rsidRPr="000E3B0C">
        <w:rPr>
          <w:rFonts w:cs="Garamond"/>
          <w:sz w:val="24"/>
          <w:szCs w:val="24"/>
        </w:rPr>
        <w:t xml:space="preserve">MENKE, M. </w:t>
      </w:r>
      <w:r w:rsidRPr="000E3B0C">
        <w:rPr>
          <w:rFonts w:cs="Garamond"/>
          <w:i/>
          <w:sz w:val="24"/>
          <w:szCs w:val="24"/>
        </w:rPr>
        <w:t>Trestněprávní odpovědnost duchovních v kontaktu s nezletilými v právu českém a kanonickém</w:t>
      </w:r>
      <w:r w:rsidRPr="000E3B0C">
        <w:rPr>
          <w:rFonts w:cs="Garamond"/>
          <w:sz w:val="24"/>
          <w:szCs w:val="24"/>
        </w:rPr>
        <w:t xml:space="preserve">. </w:t>
      </w:r>
      <w:proofErr w:type="spellStart"/>
      <w:r w:rsidRPr="000E3B0C">
        <w:rPr>
          <w:rFonts w:cs="Garamond"/>
          <w:sz w:val="24"/>
          <w:szCs w:val="24"/>
        </w:rPr>
        <w:t>Iurium</w:t>
      </w:r>
      <w:proofErr w:type="spellEnd"/>
      <w:r w:rsidRPr="000E3B0C">
        <w:rPr>
          <w:rFonts w:cs="Garamond"/>
          <w:sz w:val="24"/>
          <w:szCs w:val="24"/>
        </w:rPr>
        <w:t xml:space="preserve"> </w:t>
      </w:r>
      <w:proofErr w:type="spellStart"/>
      <w:r w:rsidRPr="000E3B0C">
        <w:rPr>
          <w:rFonts w:cs="Garamond"/>
          <w:sz w:val="24"/>
          <w:szCs w:val="24"/>
        </w:rPr>
        <w:t>Scriptum</w:t>
      </w:r>
      <w:proofErr w:type="spellEnd"/>
      <w:r w:rsidRPr="000E3B0C">
        <w:rPr>
          <w:rFonts w:cs="Garamond"/>
          <w:sz w:val="24"/>
          <w:szCs w:val="24"/>
        </w:rPr>
        <w:t xml:space="preserve">. Olomouc: </w:t>
      </w:r>
      <w:proofErr w:type="spellStart"/>
      <w:r w:rsidRPr="000E3B0C">
        <w:rPr>
          <w:rFonts w:cs="Garamond"/>
          <w:sz w:val="24"/>
          <w:szCs w:val="24"/>
        </w:rPr>
        <w:t>Nugis</w:t>
      </w:r>
      <w:proofErr w:type="spellEnd"/>
      <w:r w:rsidRPr="000E3B0C">
        <w:rPr>
          <w:rFonts w:cs="Garamond"/>
          <w:sz w:val="24"/>
          <w:szCs w:val="24"/>
        </w:rPr>
        <w:t xml:space="preserve"> Finem, 2018, č. 1, s. 80</w:t>
      </w:r>
      <w:r w:rsidRPr="000E3B0C">
        <w:rPr>
          <w:rFonts w:cs="Garamond"/>
          <w:sz w:val="24"/>
          <w:szCs w:val="24"/>
        </w:rPr>
        <w:sym w:font="Symbol" w:char="F02D"/>
      </w:r>
      <w:r w:rsidRPr="000E3B0C">
        <w:rPr>
          <w:sz w:val="24"/>
          <w:szCs w:val="24"/>
        </w:rPr>
        <w:t>96.</w:t>
      </w:r>
    </w:p>
    <w:p w14:paraId="40B45CEA" w14:textId="5099836D" w:rsidR="00CC70E4" w:rsidRPr="000E3B0C" w:rsidRDefault="00CC70E4" w:rsidP="00CC70E4">
      <w:pPr>
        <w:spacing w:afterLines="100" w:after="240" w:line="300" w:lineRule="auto"/>
      </w:pPr>
      <w:r w:rsidRPr="000E3B0C">
        <w:rPr>
          <w:rFonts w:cs="Arial"/>
          <w:shd w:val="clear" w:color="auto" w:fill="FFFFFF"/>
        </w:rPr>
        <w:lastRenderedPageBreak/>
        <w:t xml:space="preserve">NAGY, J. </w:t>
      </w:r>
      <w:r w:rsidRPr="000E3B0C">
        <w:rPr>
          <w:rFonts w:cs="Arial"/>
          <w:i/>
          <w:shd w:val="clear" w:color="auto" w:fill="FFFFFF"/>
        </w:rPr>
        <w:t>Změny v kanonickém trestním právu se zaměřením na majetkové trestné činy</w:t>
      </w:r>
      <w:r w:rsidRPr="000E3B0C">
        <w:rPr>
          <w:rFonts w:cs="Arial"/>
          <w:shd w:val="clear" w:color="auto" w:fill="FFFFFF"/>
        </w:rPr>
        <w:t xml:space="preserve">. In: BENÁK, J. </w:t>
      </w:r>
      <w:r w:rsidRPr="000E3B0C">
        <w:rPr>
          <w:rFonts w:cs="Arial"/>
          <w:iCs/>
          <w:shd w:val="clear" w:color="auto" w:fill="FFFFFF"/>
        </w:rPr>
        <w:t>Církev a stát 2022: sborník příspěvků z konference</w:t>
      </w:r>
      <w:r w:rsidRPr="000E3B0C">
        <w:rPr>
          <w:rFonts w:cs="Arial"/>
          <w:shd w:val="clear" w:color="auto" w:fill="FFFFFF"/>
        </w:rPr>
        <w:t xml:space="preserve">. Brno: Masarykova univerzita, 2022, </w:t>
      </w:r>
      <w:r w:rsidR="00862168" w:rsidRPr="000E3B0C">
        <w:rPr>
          <w:rFonts w:cs="Arial"/>
          <w:shd w:val="clear" w:color="auto" w:fill="FFFFFF"/>
        </w:rPr>
        <w:t>s.</w:t>
      </w:r>
      <w:r w:rsidRPr="000E3B0C">
        <w:rPr>
          <w:rFonts w:cs="Arial"/>
          <w:shd w:val="clear" w:color="auto" w:fill="FFFFFF"/>
        </w:rPr>
        <w:t xml:space="preserve"> </w:t>
      </w:r>
      <w:r w:rsidR="00CF1A4B" w:rsidRPr="000E3B0C">
        <w:t>9</w:t>
      </w:r>
      <w:r w:rsidR="00CF1A4B" w:rsidRPr="000E3B0C">
        <w:rPr>
          <w:rFonts w:cs="Garamond"/>
        </w:rPr>
        <w:sym w:font="Symbol" w:char="F02D"/>
      </w:r>
      <w:r w:rsidR="003E15A3" w:rsidRPr="000E3B0C">
        <w:t>21.</w:t>
      </w:r>
    </w:p>
    <w:p w14:paraId="354704B6" w14:textId="40D57A94" w:rsidR="007A383D" w:rsidRPr="000E3B0C" w:rsidRDefault="007A383D" w:rsidP="00CC70E4">
      <w:pPr>
        <w:spacing w:afterLines="100" w:after="240" w:line="300" w:lineRule="auto"/>
      </w:pPr>
      <w:r w:rsidRPr="000E3B0C">
        <w:rPr>
          <w:rFonts w:cs="TimesNewRomanPS-ItalicMT"/>
          <w:iCs/>
        </w:rPr>
        <w:t xml:space="preserve">NĚMEC, D. </w:t>
      </w:r>
      <w:r w:rsidRPr="000E3B0C">
        <w:rPr>
          <w:rFonts w:cs="TimesNewRomanPS-ItalicMT"/>
          <w:i/>
          <w:iCs/>
        </w:rPr>
        <w:t>Mimořádné způsoby propuštění katolických duchovních z duchovního stavu na základě dokumentů Kongregace pro klérus z let 2009 a 2010</w:t>
      </w:r>
      <w:r w:rsidRPr="000E3B0C">
        <w:rPr>
          <w:rFonts w:cs="TimesNewRomanPSMT"/>
        </w:rPr>
        <w:t xml:space="preserve">. Revue církevního práva. Praha: </w:t>
      </w:r>
      <w:r w:rsidRPr="000E3B0C">
        <w:t>Společnost pro</w:t>
      </w:r>
      <w:r w:rsidR="0023446C">
        <w:t> </w:t>
      </w:r>
      <w:r w:rsidRPr="000E3B0C">
        <w:t>církevní právo</w:t>
      </w:r>
      <w:r w:rsidRPr="000E3B0C">
        <w:rPr>
          <w:rFonts w:cs="TimesNewRomanPSMT"/>
        </w:rPr>
        <w:t>, 2012, roč. 18, č. 51, s. 7–22.</w:t>
      </w:r>
    </w:p>
    <w:p w14:paraId="625D550C" w14:textId="6044554E" w:rsidR="00CC70E4" w:rsidRPr="000E3B0C" w:rsidRDefault="00CC70E4" w:rsidP="00CC70E4">
      <w:pPr>
        <w:pStyle w:val="Default"/>
        <w:spacing w:afterLines="100" w:after="240" w:line="300" w:lineRule="auto"/>
        <w:jc w:val="both"/>
        <w:rPr>
          <w:color w:val="auto"/>
        </w:rPr>
      </w:pPr>
      <w:r w:rsidRPr="000E3B0C">
        <w:rPr>
          <w:rFonts w:cs="Arial"/>
          <w:color w:val="auto"/>
          <w:shd w:val="clear" w:color="auto" w:fill="FFFFFF"/>
        </w:rPr>
        <w:t xml:space="preserve">PONÍŽIL, F. </w:t>
      </w:r>
      <w:r w:rsidRPr="000E3B0C">
        <w:rPr>
          <w:rFonts w:cs="Arial"/>
          <w:i/>
          <w:color w:val="auto"/>
          <w:shd w:val="clear" w:color="auto" w:fill="FFFFFF"/>
        </w:rPr>
        <w:t>Přímé novelizace Kodexu kanonického práva</w:t>
      </w:r>
      <w:r w:rsidRPr="000E3B0C">
        <w:rPr>
          <w:rFonts w:cs="Arial"/>
          <w:color w:val="auto"/>
          <w:shd w:val="clear" w:color="auto" w:fill="FFFFFF"/>
        </w:rPr>
        <w:t xml:space="preserve">. In: BENÁK, J. </w:t>
      </w:r>
      <w:r w:rsidRPr="000E3B0C">
        <w:rPr>
          <w:rFonts w:cs="Arial"/>
          <w:iCs/>
          <w:color w:val="auto"/>
          <w:shd w:val="clear" w:color="auto" w:fill="FFFFFF"/>
        </w:rPr>
        <w:t>Církev a stát 2022: sborník příspěvků z konference</w:t>
      </w:r>
      <w:r w:rsidRPr="000E3B0C">
        <w:rPr>
          <w:rFonts w:cs="Arial"/>
          <w:color w:val="auto"/>
          <w:shd w:val="clear" w:color="auto" w:fill="FFFFFF"/>
        </w:rPr>
        <w:t xml:space="preserve">. Brno: Masarykova univerzita, 2022, </w:t>
      </w:r>
      <w:r w:rsidR="00862168" w:rsidRPr="000E3B0C">
        <w:rPr>
          <w:rFonts w:cs="Arial"/>
          <w:color w:val="auto"/>
          <w:shd w:val="clear" w:color="auto" w:fill="FFFFFF"/>
        </w:rPr>
        <w:t>s.</w:t>
      </w:r>
      <w:r w:rsidRPr="000E3B0C">
        <w:rPr>
          <w:rFonts w:cs="Arial"/>
          <w:color w:val="auto"/>
          <w:shd w:val="clear" w:color="auto" w:fill="FFFFFF"/>
        </w:rPr>
        <w:t xml:space="preserve"> </w:t>
      </w:r>
      <w:r w:rsidR="00CF1A4B" w:rsidRPr="000E3B0C">
        <w:rPr>
          <w:color w:val="auto"/>
        </w:rPr>
        <w:t>49</w:t>
      </w:r>
      <w:r w:rsidR="00CF1A4B" w:rsidRPr="000E3B0C">
        <w:rPr>
          <w:color w:val="auto"/>
        </w:rPr>
        <w:sym w:font="Symbol" w:char="F02D"/>
      </w:r>
      <w:r w:rsidR="00C57DC0" w:rsidRPr="000E3B0C">
        <w:rPr>
          <w:color w:val="auto"/>
        </w:rPr>
        <w:t>64.</w:t>
      </w:r>
    </w:p>
    <w:p w14:paraId="3194979C" w14:textId="6CE1228F" w:rsidR="00CC70E4" w:rsidRPr="000E3B0C" w:rsidRDefault="00CC70E4" w:rsidP="00CC70E4">
      <w:pPr>
        <w:spacing w:afterLines="100" w:after="240" w:line="300" w:lineRule="auto"/>
      </w:pPr>
      <w:r w:rsidRPr="000E3B0C">
        <w:rPr>
          <w:rFonts w:cs="Garamond"/>
        </w:rPr>
        <w:t xml:space="preserve">TRETERA, J., HORÁK, Z. </w:t>
      </w:r>
      <w:r w:rsidRPr="000E3B0C">
        <w:rPr>
          <w:rFonts w:cs="Garamond"/>
          <w:i/>
          <w:iCs/>
        </w:rPr>
        <w:t>Církevní právo</w:t>
      </w:r>
      <w:r w:rsidRPr="000E3B0C">
        <w:rPr>
          <w:rFonts w:cs="Garamond"/>
        </w:rPr>
        <w:t xml:space="preserve">. Praha: </w:t>
      </w:r>
      <w:proofErr w:type="spellStart"/>
      <w:r w:rsidRPr="000E3B0C">
        <w:rPr>
          <w:rFonts w:cs="Garamond"/>
        </w:rPr>
        <w:t>Leges</w:t>
      </w:r>
      <w:proofErr w:type="spellEnd"/>
      <w:r w:rsidRPr="000E3B0C">
        <w:rPr>
          <w:rFonts w:cs="Garamond"/>
        </w:rPr>
        <w:t xml:space="preserve">, 2021, </w:t>
      </w:r>
      <w:r w:rsidR="00862168" w:rsidRPr="000E3B0C">
        <w:t>s.</w:t>
      </w:r>
      <w:r w:rsidRPr="000E3B0C">
        <w:t xml:space="preserve"> </w:t>
      </w:r>
      <w:r w:rsidR="00C57DC0" w:rsidRPr="000E3B0C">
        <w:t>440.</w:t>
      </w:r>
    </w:p>
    <w:p w14:paraId="2C8904E1" w14:textId="22DD7C78" w:rsidR="00CC70E4" w:rsidRPr="000E3B0C" w:rsidRDefault="00CC70E4" w:rsidP="00CC70E4">
      <w:pPr>
        <w:spacing w:afterLines="100" w:after="240" w:line="300" w:lineRule="auto"/>
      </w:pPr>
      <w:r w:rsidRPr="000E3B0C">
        <w:t xml:space="preserve">VEČEŘA, M. a kol. </w:t>
      </w:r>
      <w:r w:rsidRPr="000E3B0C">
        <w:rPr>
          <w:i/>
        </w:rPr>
        <w:t>Teorie práva v příkladech</w:t>
      </w:r>
      <w:r w:rsidRPr="000E3B0C">
        <w:t xml:space="preserve">. Praha: </w:t>
      </w:r>
      <w:proofErr w:type="spellStart"/>
      <w:r w:rsidRPr="000E3B0C">
        <w:t>Wolters</w:t>
      </w:r>
      <w:proofErr w:type="spellEnd"/>
      <w:r w:rsidRPr="000E3B0C">
        <w:t xml:space="preserve"> </w:t>
      </w:r>
      <w:proofErr w:type="spellStart"/>
      <w:r w:rsidRPr="000E3B0C">
        <w:t>Kluwer</w:t>
      </w:r>
      <w:proofErr w:type="spellEnd"/>
      <w:r w:rsidRPr="000E3B0C">
        <w:t xml:space="preserve">, 2011, </w:t>
      </w:r>
      <w:r w:rsidR="00862168" w:rsidRPr="000E3B0C">
        <w:t>s.</w:t>
      </w:r>
      <w:r w:rsidR="00FE395E" w:rsidRPr="000E3B0C">
        <w:t xml:space="preserve"> 3</w:t>
      </w:r>
      <w:r w:rsidRPr="000E3B0C">
        <w:t>88.</w:t>
      </w:r>
    </w:p>
    <w:p w14:paraId="1F8CF0F9" w14:textId="6BEF0FB7" w:rsidR="00CC70E4" w:rsidRDefault="00CC70E4" w:rsidP="00CC70E4">
      <w:pPr>
        <w:pStyle w:val="Bezmezer"/>
        <w:spacing w:afterLines="100" w:after="240" w:line="300" w:lineRule="auto"/>
        <w:rPr>
          <w:rFonts w:eastAsia="Calibri" w:cs="CIDFont+F5"/>
          <w:lang w:eastAsia="en-US"/>
        </w:rPr>
      </w:pPr>
      <w:r w:rsidRPr="000E3B0C">
        <w:rPr>
          <w:rFonts w:eastAsia="Calibri" w:cs="CIDFont+F5"/>
          <w:lang w:eastAsia="en-US"/>
        </w:rPr>
        <w:t xml:space="preserve">ZEMANOVÁ, D. </w:t>
      </w:r>
      <w:r w:rsidRPr="000E3B0C">
        <w:rPr>
          <w:rFonts w:eastAsia="Calibri" w:cs="CIDFont+F5"/>
          <w:i/>
          <w:lang w:eastAsia="en-US"/>
        </w:rPr>
        <w:t>Zákon o soudech, soudcích, přísedících a státní správě soudů a o změně některých dalších zákonů. Komentář.</w:t>
      </w:r>
      <w:r w:rsidRPr="000E3B0C">
        <w:rPr>
          <w:rFonts w:eastAsia="Calibri" w:cs="CIDFont+F5"/>
          <w:lang w:eastAsia="en-US"/>
        </w:rPr>
        <w:t xml:space="preserve"> Praha: C. H. Beck, 2022, </w:t>
      </w:r>
      <w:r w:rsidR="00862168" w:rsidRPr="000E3B0C">
        <w:rPr>
          <w:rFonts w:eastAsia="Calibri" w:cs="CIDFont+F5"/>
          <w:lang w:eastAsia="en-US"/>
        </w:rPr>
        <w:t>s.</w:t>
      </w:r>
      <w:r w:rsidRPr="000E3B0C">
        <w:rPr>
          <w:rFonts w:eastAsia="Calibri" w:cs="CIDFont+F5"/>
          <w:lang w:eastAsia="en-US"/>
        </w:rPr>
        <w:t xml:space="preserve"> </w:t>
      </w:r>
      <w:r w:rsidR="00FE395E" w:rsidRPr="000E3B0C">
        <w:rPr>
          <w:rFonts w:eastAsia="Calibri" w:cs="CIDFont+F5"/>
          <w:lang w:eastAsia="en-US"/>
        </w:rPr>
        <w:t>268.</w:t>
      </w:r>
    </w:p>
    <w:p w14:paraId="487B6300" w14:textId="35F70EEA" w:rsidR="00771A12" w:rsidRPr="00771A12" w:rsidRDefault="00771A12" w:rsidP="00771A12">
      <w:pPr>
        <w:spacing w:afterLines="100" w:after="240" w:line="300" w:lineRule="auto"/>
        <w:rPr>
          <w:i/>
        </w:rPr>
      </w:pPr>
      <w:r w:rsidRPr="000E3B0C">
        <w:t xml:space="preserve">ZETKOVÁ, K. </w:t>
      </w:r>
      <w:r w:rsidRPr="000E3B0C">
        <w:rPr>
          <w:i/>
        </w:rPr>
        <w:t>Kárná odpovědnost soudce v České republice</w:t>
      </w:r>
      <w:r w:rsidRPr="000E3B0C">
        <w:t>. Diplomová práce. Univerzita Palackého v Olomouci - Právnická fakulta, 2016, s. 68.</w:t>
      </w:r>
    </w:p>
    <w:p w14:paraId="7D055400" w14:textId="77777777" w:rsidR="008930BB" w:rsidRPr="000E3B0C" w:rsidRDefault="008930BB" w:rsidP="008D41E0">
      <w:pPr>
        <w:pStyle w:val="Nadpis2"/>
      </w:pPr>
      <w:bookmarkStart w:id="26" w:name="_Toc128751542"/>
      <w:bookmarkStart w:id="27" w:name="_Toc130067389"/>
      <w:r w:rsidRPr="000E3B0C">
        <w:t>Prameny</w:t>
      </w:r>
      <w:bookmarkEnd w:id="26"/>
      <w:bookmarkEnd w:id="27"/>
    </w:p>
    <w:p w14:paraId="50747225" w14:textId="1D5FC3E3" w:rsidR="00A44B43" w:rsidRPr="000E3B0C" w:rsidRDefault="005C57EF" w:rsidP="00A44B43">
      <w:pPr>
        <w:spacing w:afterLines="100" w:after="240" w:line="300" w:lineRule="auto"/>
        <w:rPr>
          <w:i/>
        </w:rPr>
      </w:pPr>
      <w:r w:rsidRPr="000E3B0C">
        <w:t>ANGYALOSSY, </w:t>
      </w:r>
      <w:r w:rsidR="00A44B43" w:rsidRPr="000E3B0C">
        <w:t>P., HAVELEC,</w:t>
      </w:r>
      <w:r w:rsidRPr="000E3B0C">
        <w:t> R., a </w:t>
      </w:r>
      <w:r w:rsidR="00A44B43" w:rsidRPr="000E3B0C">
        <w:t xml:space="preserve">kol. </w:t>
      </w:r>
      <w:r w:rsidR="00A44B43" w:rsidRPr="000E3B0C">
        <w:rPr>
          <w:i/>
        </w:rPr>
        <w:t>Etický kodex</w:t>
      </w:r>
      <w:r w:rsidR="00A44B43" w:rsidRPr="000E3B0C">
        <w:t xml:space="preserve">. Brno: 2020, </w:t>
      </w:r>
      <w:r w:rsidR="00862168" w:rsidRPr="000E3B0C">
        <w:t>s.</w:t>
      </w:r>
      <w:r w:rsidR="005411FE" w:rsidRPr="000E3B0C">
        <w:t> 61. Dostupné z: </w:t>
      </w:r>
      <w:r w:rsidR="00437AAB" w:rsidRPr="000E3B0C">
        <w:rPr>
          <w:i/>
        </w:rPr>
        <w:t>https://justice.cz/documents/64969/886651/ETICK%C3%9D_KODEX_SOUDCE.pdf/df0cdfdc-96d9-4763-b225-05777f1ff9db</w:t>
      </w:r>
    </w:p>
    <w:p w14:paraId="0BF571C5" w14:textId="1170BD32" w:rsidR="00B514F7" w:rsidRPr="000E3B0C" w:rsidRDefault="0063564D" w:rsidP="0063564D">
      <w:pPr>
        <w:spacing w:afterLines="100" w:after="240" w:line="300" w:lineRule="auto"/>
        <w:rPr>
          <w:rFonts w:cs="Arial"/>
          <w:iCs/>
          <w:shd w:val="clear" w:color="auto" w:fill="FFFFFF"/>
        </w:rPr>
      </w:pPr>
      <w:r w:rsidRPr="000E3B0C">
        <w:rPr>
          <w:rFonts w:cs="Garamond"/>
          <w:i/>
          <w:iCs/>
        </w:rPr>
        <w:t xml:space="preserve">Kodex kanonického práva: úřední znění textu a překlad do češtiny. </w:t>
      </w:r>
      <w:r w:rsidRPr="000E3B0C">
        <w:rPr>
          <w:rFonts w:cs="Garamond"/>
        </w:rPr>
        <w:t xml:space="preserve">Přeložil ZEDNÍČEK, M. Praha: Zvon, České katolické nakladatelství, 1994; </w:t>
      </w:r>
      <w:r w:rsidRPr="000E3B0C">
        <w:rPr>
          <w:rFonts w:cs="Arial"/>
          <w:i/>
          <w:iCs/>
          <w:shd w:val="clear" w:color="auto" w:fill="FFFFFF"/>
        </w:rPr>
        <w:t>kniha VI</w:t>
      </w:r>
      <w:r w:rsidRPr="000E3B0C">
        <w:rPr>
          <w:rFonts w:cs="Garamond"/>
        </w:rPr>
        <w:t xml:space="preserve">. </w:t>
      </w:r>
      <w:r w:rsidRPr="000E3B0C">
        <w:rPr>
          <w:rFonts w:cs="Garamond"/>
          <w:i/>
        </w:rPr>
        <w:t xml:space="preserve">Kodexu </w:t>
      </w:r>
      <w:r w:rsidRPr="000E3B0C">
        <w:rPr>
          <w:rFonts w:cs="Garamond"/>
        </w:rPr>
        <w:t>In: Acta ČBK, roč. 2021, č. 16, s. </w:t>
      </w:r>
      <w:r w:rsidR="00B514F7" w:rsidRPr="000E3B0C">
        <w:rPr>
          <w:rFonts w:cs="Garamond"/>
        </w:rPr>
        <w:t>302</w:t>
      </w:r>
      <w:r w:rsidR="00B514F7" w:rsidRPr="000E3B0C">
        <w:rPr>
          <w:rFonts w:cs="Garamond"/>
        </w:rPr>
        <w:sym w:font="Symbol" w:char="F02D"/>
      </w:r>
      <w:r w:rsidR="00B514F7" w:rsidRPr="000E3B0C">
        <w:rPr>
          <w:rFonts w:cs="Garamond"/>
        </w:rPr>
        <w:t>347.</w:t>
      </w:r>
    </w:p>
    <w:p w14:paraId="7A5309A0" w14:textId="190852A5" w:rsidR="00A03597" w:rsidRPr="000E3B0C" w:rsidRDefault="00A03597" w:rsidP="00A44B43">
      <w:pPr>
        <w:spacing w:afterLines="100" w:after="240" w:line="300" w:lineRule="auto"/>
      </w:pPr>
      <w:r w:rsidRPr="000E3B0C">
        <w:rPr>
          <w:rFonts w:cs="Garamond"/>
        </w:rPr>
        <w:t xml:space="preserve">Kongregace pro nauku víry. </w:t>
      </w:r>
      <w:r w:rsidRPr="000E3B0C">
        <w:rPr>
          <w:i/>
        </w:rPr>
        <w:t>Normy týkající se závažnějších trestných činů vyhrazených Kongregaci pro nauku víry</w:t>
      </w:r>
      <w:r w:rsidRPr="000E3B0C">
        <w:t xml:space="preserve"> (2021).</w:t>
      </w:r>
      <w:r w:rsidR="00F53991" w:rsidRPr="000E3B0C">
        <w:t xml:space="preserve"> In: Acta ČBK, roč. 2010, č. 5, s. 124</w:t>
      </w:r>
      <w:r w:rsidR="00F53991" w:rsidRPr="000E3B0C">
        <w:rPr>
          <w:rFonts w:cs="Garamond"/>
        </w:rPr>
        <w:sym w:font="Symbol" w:char="F02D"/>
      </w:r>
      <w:r w:rsidR="00F53991" w:rsidRPr="000E3B0C">
        <w:t>155.</w:t>
      </w:r>
    </w:p>
    <w:p w14:paraId="2B28FDEC" w14:textId="0F758736" w:rsidR="000F1655" w:rsidRPr="000E3B0C" w:rsidRDefault="00FF55B2" w:rsidP="00A44B43">
      <w:pPr>
        <w:pStyle w:val="Bezmezer"/>
        <w:spacing w:afterLines="100" w:after="240" w:line="300" w:lineRule="auto"/>
        <w:rPr>
          <w:rFonts w:cs="Garamond"/>
        </w:rPr>
      </w:pPr>
      <w:r w:rsidRPr="000E3B0C">
        <w:rPr>
          <w:rFonts w:cs="Garamond"/>
        </w:rPr>
        <w:t xml:space="preserve">Kongregace pro nauku víry. </w:t>
      </w:r>
      <w:proofErr w:type="spellStart"/>
      <w:r w:rsidRPr="000E3B0C">
        <w:rPr>
          <w:rFonts w:cs="Garamond"/>
          <w:i/>
        </w:rPr>
        <w:t>Vademecum</w:t>
      </w:r>
      <w:proofErr w:type="spellEnd"/>
      <w:r w:rsidRPr="000E3B0C">
        <w:rPr>
          <w:rFonts w:cs="Garamond"/>
          <w:i/>
        </w:rPr>
        <w:t xml:space="preserve"> o některých bodech postupu v případech sexuálního z neužívání nezletilých spáchaného duchovními</w:t>
      </w:r>
      <w:r w:rsidR="00A03597" w:rsidRPr="000E3B0C">
        <w:rPr>
          <w:rFonts w:cs="Garamond"/>
        </w:rPr>
        <w:t xml:space="preserve"> (2021).</w:t>
      </w:r>
      <w:r w:rsidR="000F1655" w:rsidRPr="000E3B0C">
        <w:rPr>
          <w:rFonts w:cs="Garamond"/>
        </w:rPr>
        <w:t xml:space="preserve"> </w:t>
      </w:r>
      <w:r w:rsidR="000F1655" w:rsidRPr="000E3B0C">
        <w:t>In: Acta ČBK, roč. 2021, č. 16, s. 139</w:t>
      </w:r>
      <w:r w:rsidR="000F1655" w:rsidRPr="000E3B0C">
        <w:rPr>
          <w:rFonts w:cs="Garamond"/>
        </w:rPr>
        <w:sym w:font="Symbol" w:char="F02D"/>
      </w:r>
      <w:r w:rsidR="000F1655" w:rsidRPr="000E3B0C">
        <w:t>174.</w:t>
      </w:r>
    </w:p>
    <w:p w14:paraId="03E5D1FE" w14:textId="228D0248" w:rsidR="005E6466" w:rsidRPr="000E3B0C" w:rsidRDefault="005E6466" w:rsidP="00A44B43">
      <w:pPr>
        <w:pStyle w:val="Textpoznpodarou"/>
        <w:spacing w:afterLines="100" w:after="240" w:line="300" w:lineRule="auto"/>
        <w:rPr>
          <w:rStyle w:val="info"/>
          <w:rFonts w:cs="Arial"/>
          <w:bCs/>
          <w:sz w:val="24"/>
          <w:szCs w:val="24"/>
        </w:rPr>
      </w:pPr>
      <w:r w:rsidRPr="000E3B0C">
        <w:rPr>
          <w:rStyle w:val="info"/>
          <w:rFonts w:cs="Arial"/>
          <w:bCs/>
          <w:sz w:val="24"/>
          <w:szCs w:val="24"/>
        </w:rPr>
        <w:t xml:space="preserve">Zákon </w:t>
      </w:r>
      <w:r w:rsidRPr="000E3B0C">
        <w:rPr>
          <w:rFonts w:cs="Arial"/>
          <w:sz w:val="24"/>
          <w:szCs w:val="24"/>
          <w:shd w:val="clear" w:color="auto" w:fill="FFFFFF"/>
        </w:rPr>
        <w:t xml:space="preserve">Národního shromáždění Československé socialistické republiky č. </w:t>
      </w:r>
      <w:r w:rsidR="00480014" w:rsidRPr="000E3B0C">
        <w:rPr>
          <w:rStyle w:val="info"/>
          <w:rFonts w:cs="Arial"/>
          <w:bCs/>
          <w:sz w:val="24"/>
          <w:szCs w:val="24"/>
        </w:rPr>
        <w:t>141/1961 </w:t>
      </w:r>
      <w:r w:rsidR="003B3B60" w:rsidRPr="000E3B0C">
        <w:rPr>
          <w:rStyle w:val="info"/>
          <w:rFonts w:cs="Arial"/>
          <w:bCs/>
          <w:sz w:val="24"/>
          <w:szCs w:val="24"/>
        </w:rPr>
        <w:t>Sb., o </w:t>
      </w:r>
      <w:r w:rsidRPr="000E3B0C">
        <w:rPr>
          <w:rStyle w:val="info"/>
          <w:rFonts w:cs="Arial"/>
          <w:bCs/>
          <w:sz w:val="24"/>
          <w:szCs w:val="24"/>
        </w:rPr>
        <w:t>trestním řízení soudním (trestní řád), ve znění pozdějších předpisů.</w:t>
      </w:r>
    </w:p>
    <w:p w14:paraId="22B5A763" w14:textId="77777777" w:rsidR="005E6466" w:rsidRPr="000E3B0C" w:rsidRDefault="005E6466" w:rsidP="00A44B43">
      <w:pPr>
        <w:spacing w:afterLines="100" w:after="240" w:line="300" w:lineRule="auto"/>
      </w:pPr>
      <w:r w:rsidRPr="000E3B0C">
        <w:lastRenderedPageBreak/>
        <w:t>Zákon Parlamentu České republiky č. 6/2002 Sb., o soudech, soudcích, přísedících a státní správě soudů a o změně některých dalších zákonů (zákon o soudech a soudcích), ve znění pozdějších předpisů.</w:t>
      </w:r>
    </w:p>
    <w:p w14:paraId="2DE33797" w14:textId="2B91883C" w:rsidR="00D90CCF" w:rsidRPr="000E3B0C" w:rsidRDefault="00D90CCF" w:rsidP="00A44B43">
      <w:pPr>
        <w:spacing w:afterLines="100" w:after="240" w:line="300" w:lineRule="auto"/>
        <w:rPr>
          <w:bCs/>
        </w:rPr>
      </w:pPr>
      <w:r w:rsidRPr="000E3B0C">
        <w:t xml:space="preserve">Zákon </w:t>
      </w:r>
      <w:r w:rsidR="005E6466" w:rsidRPr="000E3B0C">
        <w:t xml:space="preserve">Parlamentu České republiky </w:t>
      </w:r>
      <w:r w:rsidRPr="000E3B0C">
        <w:t>č. 7/2002 Sb., o řízení ve věc</w:t>
      </w:r>
      <w:r w:rsidR="00480014" w:rsidRPr="000E3B0C">
        <w:t>ech soudců, státních zástupců a </w:t>
      </w:r>
      <w:r w:rsidRPr="000E3B0C">
        <w:t>soudních exekutor</w:t>
      </w:r>
      <w:r w:rsidR="005E6466" w:rsidRPr="000E3B0C">
        <w:t>ů, ve znění pozdějších předpisů.</w:t>
      </w:r>
    </w:p>
    <w:p w14:paraId="00D85F4C" w14:textId="77777777" w:rsidR="00D90CCF" w:rsidRPr="000E3B0C" w:rsidRDefault="00D90CCF" w:rsidP="00A44B43">
      <w:pPr>
        <w:pStyle w:val="Odstavecseseznamem"/>
        <w:spacing w:afterLines="100" w:after="240" w:line="300" w:lineRule="auto"/>
        <w:ind w:left="0"/>
        <w:rPr>
          <w:rStyle w:val="info"/>
          <w:rFonts w:ascii="Garamond" w:eastAsia="Times New Roman" w:hAnsi="Garamond" w:cs="Arial"/>
          <w:bCs/>
          <w:sz w:val="24"/>
          <w:szCs w:val="24"/>
          <w:lang w:eastAsia="cs-CZ"/>
        </w:rPr>
      </w:pPr>
      <w:r w:rsidRPr="000E3B0C">
        <w:rPr>
          <w:rStyle w:val="info"/>
          <w:rFonts w:ascii="Garamond" w:eastAsia="Times New Roman" w:hAnsi="Garamond" w:cs="Arial"/>
          <w:sz w:val="24"/>
          <w:szCs w:val="24"/>
          <w:lang w:eastAsia="cs-CZ"/>
        </w:rPr>
        <w:t>Z</w:t>
      </w:r>
      <w:r w:rsidR="005E6466" w:rsidRPr="000E3B0C">
        <w:rPr>
          <w:rStyle w:val="info"/>
          <w:rFonts w:ascii="Garamond" w:eastAsia="Times New Roman" w:hAnsi="Garamond" w:cs="Arial"/>
          <w:sz w:val="24"/>
          <w:szCs w:val="24"/>
          <w:lang w:eastAsia="cs-CZ"/>
        </w:rPr>
        <w:t>ákon</w:t>
      </w:r>
      <w:r w:rsidRPr="000E3B0C">
        <w:rPr>
          <w:rStyle w:val="info"/>
          <w:rFonts w:ascii="Garamond" w:eastAsia="Times New Roman" w:hAnsi="Garamond" w:cs="Arial"/>
          <w:sz w:val="24"/>
          <w:szCs w:val="24"/>
          <w:lang w:eastAsia="cs-CZ"/>
        </w:rPr>
        <w:t xml:space="preserve"> </w:t>
      </w:r>
      <w:r w:rsidR="005E6466" w:rsidRPr="000E3B0C">
        <w:rPr>
          <w:rFonts w:ascii="Garamond" w:hAnsi="Garamond"/>
          <w:sz w:val="24"/>
          <w:szCs w:val="24"/>
        </w:rPr>
        <w:t xml:space="preserve">Parlamentu České republiky </w:t>
      </w:r>
      <w:r w:rsidRPr="000E3B0C">
        <w:rPr>
          <w:rStyle w:val="info"/>
          <w:rFonts w:ascii="Garamond" w:eastAsia="Times New Roman" w:hAnsi="Garamond" w:cs="Arial"/>
          <w:sz w:val="24"/>
          <w:szCs w:val="24"/>
          <w:lang w:eastAsia="cs-CZ"/>
        </w:rPr>
        <w:t xml:space="preserve">č. 40/2009 Sb., </w:t>
      </w:r>
      <w:r w:rsidRPr="000E3B0C">
        <w:rPr>
          <w:rStyle w:val="info"/>
          <w:rFonts w:ascii="Garamond" w:eastAsia="Times New Roman" w:hAnsi="Garamond" w:cs="Arial"/>
          <w:bCs/>
          <w:sz w:val="24"/>
          <w:szCs w:val="24"/>
          <w:lang w:eastAsia="cs-CZ"/>
        </w:rPr>
        <w:t>trestní zákoník, ve znění pozdějších předpisů</w:t>
      </w:r>
      <w:r w:rsidR="005E6466" w:rsidRPr="000E3B0C">
        <w:rPr>
          <w:rStyle w:val="info"/>
          <w:rFonts w:ascii="Garamond" w:eastAsia="Times New Roman" w:hAnsi="Garamond" w:cs="Arial"/>
          <w:bCs/>
          <w:sz w:val="24"/>
          <w:szCs w:val="24"/>
          <w:lang w:eastAsia="cs-CZ"/>
        </w:rPr>
        <w:t>.</w:t>
      </w:r>
    </w:p>
    <w:p w14:paraId="07CC8602" w14:textId="77777777" w:rsidR="003123F2" w:rsidRPr="000E3B0C" w:rsidRDefault="003123F2" w:rsidP="00A44B43">
      <w:pPr>
        <w:pStyle w:val="Textpoznpodarou"/>
        <w:spacing w:afterLines="100" w:after="240" w:line="300" w:lineRule="auto"/>
        <w:rPr>
          <w:rStyle w:val="info"/>
          <w:rFonts w:cs="Arial"/>
          <w:bCs/>
          <w:sz w:val="24"/>
          <w:szCs w:val="24"/>
        </w:rPr>
      </w:pPr>
      <w:r w:rsidRPr="000E3B0C">
        <w:rPr>
          <w:rStyle w:val="info"/>
          <w:rFonts w:cs="Arial"/>
          <w:bCs/>
          <w:sz w:val="24"/>
          <w:szCs w:val="24"/>
        </w:rPr>
        <w:t xml:space="preserve">Nález Ústavního soudu ze dne 29. 9. 2010, </w:t>
      </w:r>
      <w:proofErr w:type="spellStart"/>
      <w:r w:rsidRPr="000E3B0C">
        <w:rPr>
          <w:rStyle w:val="info"/>
          <w:rFonts w:cs="Arial"/>
          <w:bCs/>
          <w:sz w:val="24"/>
          <w:szCs w:val="24"/>
        </w:rPr>
        <w:t>sp</w:t>
      </w:r>
      <w:proofErr w:type="spellEnd"/>
      <w:r w:rsidRPr="000E3B0C">
        <w:rPr>
          <w:rStyle w:val="info"/>
          <w:rFonts w:cs="Arial"/>
          <w:bCs/>
          <w:sz w:val="24"/>
          <w:szCs w:val="24"/>
        </w:rPr>
        <w:t xml:space="preserve">. zn. </w:t>
      </w:r>
      <w:proofErr w:type="spellStart"/>
      <w:r w:rsidRPr="000E3B0C">
        <w:rPr>
          <w:rStyle w:val="info"/>
          <w:rFonts w:cs="Arial"/>
          <w:bCs/>
          <w:sz w:val="24"/>
          <w:szCs w:val="24"/>
        </w:rPr>
        <w:t>Pl</w:t>
      </w:r>
      <w:proofErr w:type="spellEnd"/>
      <w:r w:rsidRPr="000E3B0C">
        <w:rPr>
          <w:rStyle w:val="info"/>
          <w:rFonts w:cs="Arial"/>
          <w:bCs/>
          <w:sz w:val="24"/>
          <w:szCs w:val="24"/>
        </w:rPr>
        <w:t>. ÚS 33/09.</w:t>
      </w:r>
    </w:p>
    <w:p w14:paraId="4C3DB253" w14:textId="77777777" w:rsidR="003B3B60" w:rsidRPr="000E3B0C" w:rsidRDefault="003B3B60" w:rsidP="003B3B60">
      <w:pPr>
        <w:spacing w:afterLines="100" w:after="240" w:line="300" w:lineRule="auto"/>
      </w:pPr>
      <w:r w:rsidRPr="000E3B0C">
        <w:t>Usnesení Nejvyššího správního soudu ze dne 10. 7. 2018, č. j. 9 As 79/2016-41.</w:t>
      </w:r>
    </w:p>
    <w:p w14:paraId="75EEF6F3" w14:textId="77777777" w:rsidR="003123F2" w:rsidRPr="000E3B0C" w:rsidRDefault="003123F2" w:rsidP="00A44B43">
      <w:pPr>
        <w:spacing w:afterLines="100" w:after="240" w:line="300" w:lineRule="auto"/>
        <w:rPr>
          <w:rFonts w:cs="Arial"/>
          <w:shd w:val="clear" w:color="auto" w:fill="FFFFFF"/>
        </w:rPr>
      </w:pPr>
      <w:r w:rsidRPr="000E3B0C">
        <w:t>R</w:t>
      </w:r>
      <w:r w:rsidRPr="000E3B0C">
        <w:rPr>
          <w:rFonts w:cs="Arial"/>
          <w:shd w:val="clear" w:color="auto" w:fill="FFFFFF"/>
        </w:rPr>
        <w:t xml:space="preserve">ozhodnutí Nejvyššího soudu ze dne 18. 10. 2007, </w:t>
      </w:r>
      <w:proofErr w:type="spellStart"/>
      <w:r w:rsidRPr="000E3B0C">
        <w:rPr>
          <w:rFonts w:cs="Arial"/>
          <w:shd w:val="clear" w:color="auto" w:fill="FFFFFF"/>
        </w:rPr>
        <w:t>sp</w:t>
      </w:r>
      <w:proofErr w:type="spellEnd"/>
      <w:r w:rsidRPr="000E3B0C">
        <w:rPr>
          <w:rFonts w:cs="Arial"/>
          <w:shd w:val="clear" w:color="auto" w:fill="FFFFFF"/>
        </w:rPr>
        <w:t xml:space="preserve">. zn. 1 </w:t>
      </w:r>
      <w:proofErr w:type="spellStart"/>
      <w:r w:rsidRPr="000E3B0C">
        <w:rPr>
          <w:rFonts w:cs="Arial"/>
          <w:shd w:val="clear" w:color="auto" w:fill="FFFFFF"/>
        </w:rPr>
        <w:t>Skno</w:t>
      </w:r>
      <w:proofErr w:type="spellEnd"/>
      <w:r w:rsidRPr="000E3B0C">
        <w:rPr>
          <w:rFonts w:cs="Arial"/>
          <w:shd w:val="clear" w:color="auto" w:fill="FFFFFF"/>
        </w:rPr>
        <w:t xml:space="preserve"> 1/2007.</w:t>
      </w:r>
    </w:p>
    <w:p w14:paraId="6B84B3DF" w14:textId="77777777" w:rsidR="003123F2" w:rsidRPr="000E3B0C" w:rsidRDefault="003123F2" w:rsidP="00A44B43">
      <w:pPr>
        <w:pStyle w:val="Textpoznpodarou"/>
        <w:spacing w:afterLines="100" w:after="240" w:line="300" w:lineRule="auto"/>
        <w:rPr>
          <w:sz w:val="24"/>
          <w:szCs w:val="24"/>
        </w:rPr>
      </w:pPr>
      <w:r w:rsidRPr="000E3B0C">
        <w:rPr>
          <w:sz w:val="24"/>
          <w:szCs w:val="24"/>
        </w:rPr>
        <w:t>R</w:t>
      </w:r>
      <w:r w:rsidRPr="000E3B0C">
        <w:rPr>
          <w:rFonts w:eastAsia="Calibri" w:cs="CIDFont+F5"/>
          <w:sz w:val="24"/>
          <w:szCs w:val="24"/>
          <w:lang w:eastAsia="en-US"/>
        </w:rPr>
        <w:t xml:space="preserve">ozhodnutí </w:t>
      </w:r>
      <w:r w:rsidRPr="000E3B0C">
        <w:rPr>
          <w:sz w:val="24"/>
          <w:szCs w:val="24"/>
        </w:rPr>
        <w:t xml:space="preserve">Nejvyššího správního soudu </w:t>
      </w:r>
      <w:r w:rsidRPr="000E3B0C">
        <w:rPr>
          <w:rFonts w:eastAsia="Calibri" w:cs="CIDFont+F5"/>
          <w:sz w:val="24"/>
          <w:szCs w:val="24"/>
          <w:lang w:eastAsia="en-US"/>
        </w:rPr>
        <w:t xml:space="preserve">ze dne 11. 6. 2009, č. j. 13 </w:t>
      </w:r>
      <w:proofErr w:type="spellStart"/>
      <w:r w:rsidRPr="000E3B0C">
        <w:rPr>
          <w:rFonts w:eastAsia="Calibri" w:cs="CIDFont+F5"/>
          <w:sz w:val="24"/>
          <w:szCs w:val="24"/>
          <w:lang w:eastAsia="en-US"/>
        </w:rPr>
        <w:t>Kss</w:t>
      </w:r>
      <w:proofErr w:type="spellEnd"/>
      <w:r w:rsidRPr="000E3B0C">
        <w:rPr>
          <w:rFonts w:eastAsia="Calibri" w:cs="CIDFont+F5"/>
          <w:sz w:val="24"/>
          <w:szCs w:val="24"/>
          <w:lang w:eastAsia="en-US"/>
        </w:rPr>
        <w:t xml:space="preserve"> 1/2009-44.</w:t>
      </w:r>
    </w:p>
    <w:p w14:paraId="5CF56BEB" w14:textId="77777777" w:rsidR="003123F2" w:rsidRPr="000E3B0C" w:rsidRDefault="003123F2" w:rsidP="00A44B43">
      <w:pPr>
        <w:pStyle w:val="Textpoznpodarou"/>
        <w:spacing w:afterLines="100" w:after="240" w:line="300" w:lineRule="auto"/>
        <w:rPr>
          <w:sz w:val="24"/>
          <w:szCs w:val="24"/>
        </w:rPr>
      </w:pPr>
      <w:r w:rsidRPr="000E3B0C">
        <w:rPr>
          <w:sz w:val="24"/>
          <w:szCs w:val="24"/>
        </w:rPr>
        <w:t xml:space="preserve">Rozhodnutí Nejvyššího správního soudu </w:t>
      </w:r>
      <w:r w:rsidRPr="000E3B0C">
        <w:rPr>
          <w:rFonts w:eastAsia="Calibri" w:cs="CIDFont+F5"/>
          <w:sz w:val="24"/>
          <w:szCs w:val="24"/>
          <w:lang w:eastAsia="en-US"/>
        </w:rPr>
        <w:t xml:space="preserve">ze dne 24. 11. 2010, č. j. 11 </w:t>
      </w:r>
      <w:proofErr w:type="spellStart"/>
      <w:r w:rsidRPr="000E3B0C">
        <w:rPr>
          <w:rFonts w:eastAsia="Calibri" w:cs="CIDFont+F5"/>
          <w:sz w:val="24"/>
          <w:szCs w:val="24"/>
          <w:lang w:eastAsia="en-US"/>
        </w:rPr>
        <w:t>Kss</w:t>
      </w:r>
      <w:proofErr w:type="spellEnd"/>
      <w:r w:rsidRPr="000E3B0C">
        <w:rPr>
          <w:rFonts w:eastAsia="Calibri" w:cs="CIDFont+F5"/>
          <w:sz w:val="24"/>
          <w:szCs w:val="24"/>
          <w:lang w:eastAsia="en-US"/>
        </w:rPr>
        <w:t xml:space="preserve"> 8/2009-51.</w:t>
      </w:r>
    </w:p>
    <w:p w14:paraId="4E3A0497" w14:textId="77777777" w:rsidR="003123F2" w:rsidRPr="000E3B0C" w:rsidRDefault="003123F2" w:rsidP="00A44B43">
      <w:pPr>
        <w:pStyle w:val="Textpoznpodarou"/>
        <w:spacing w:afterLines="100" w:after="240" w:line="300" w:lineRule="auto"/>
        <w:rPr>
          <w:sz w:val="24"/>
          <w:szCs w:val="24"/>
        </w:rPr>
      </w:pPr>
      <w:r w:rsidRPr="000E3B0C">
        <w:rPr>
          <w:sz w:val="24"/>
          <w:szCs w:val="24"/>
        </w:rPr>
        <w:t xml:space="preserve">Rozhodnutí Nejvyššího správního soudu </w:t>
      </w:r>
      <w:r w:rsidRPr="000E3B0C">
        <w:rPr>
          <w:rStyle w:val="info"/>
          <w:rFonts w:cs="Arial"/>
          <w:bCs/>
          <w:sz w:val="24"/>
          <w:szCs w:val="24"/>
        </w:rPr>
        <w:t xml:space="preserve">ze dne 19. 10. 2011, č. j. </w:t>
      </w:r>
      <w:r w:rsidRPr="000E3B0C">
        <w:rPr>
          <w:sz w:val="24"/>
          <w:szCs w:val="24"/>
        </w:rPr>
        <w:t>11 </w:t>
      </w:r>
      <w:proofErr w:type="spellStart"/>
      <w:r w:rsidRPr="000E3B0C">
        <w:rPr>
          <w:sz w:val="24"/>
          <w:szCs w:val="24"/>
        </w:rPr>
        <w:t>Kss</w:t>
      </w:r>
      <w:proofErr w:type="spellEnd"/>
      <w:r w:rsidRPr="000E3B0C">
        <w:rPr>
          <w:sz w:val="24"/>
          <w:szCs w:val="24"/>
        </w:rPr>
        <w:t> 1/2011-131</w:t>
      </w:r>
    </w:p>
    <w:p w14:paraId="22CEF61D" w14:textId="77777777" w:rsidR="003123F2" w:rsidRPr="000E3B0C" w:rsidRDefault="003123F2" w:rsidP="00A44B43">
      <w:pPr>
        <w:spacing w:afterLines="100" w:after="240" w:line="300" w:lineRule="auto"/>
        <w:rPr>
          <w:rFonts w:cs="Arial"/>
        </w:rPr>
      </w:pPr>
      <w:r w:rsidRPr="000E3B0C">
        <w:rPr>
          <w:rFonts w:cs="Arial"/>
        </w:rPr>
        <w:t xml:space="preserve">Rozhodnutí </w:t>
      </w:r>
      <w:r w:rsidRPr="000E3B0C">
        <w:t xml:space="preserve">Nejvyššího správního soudu ze dne 18. 1. 2012, č. j. </w:t>
      </w:r>
      <w:r w:rsidR="003B3B60" w:rsidRPr="000E3B0C">
        <w:rPr>
          <w:rFonts w:cs="Arial"/>
        </w:rPr>
        <w:t>11 </w:t>
      </w:r>
      <w:proofErr w:type="spellStart"/>
      <w:r w:rsidR="003B3B60" w:rsidRPr="000E3B0C">
        <w:rPr>
          <w:rFonts w:cs="Arial"/>
        </w:rPr>
        <w:t>Kss</w:t>
      </w:r>
      <w:proofErr w:type="spellEnd"/>
      <w:r w:rsidR="003B3B60" w:rsidRPr="000E3B0C">
        <w:rPr>
          <w:rFonts w:cs="Arial"/>
        </w:rPr>
        <w:t> 18/2011-251</w:t>
      </w:r>
      <w:r w:rsidRPr="000E3B0C">
        <w:rPr>
          <w:rFonts w:cs="Arial"/>
        </w:rPr>
        <w:t>.</w:t>
      </w:r>
    </w:p>
    <w:p w14:paraId="78C48788" w14:textId="77777777" w:rsidR="003123F2" w:rsidRPr="000E3B0C" w:rsidRDefault="003123F2" w:rsidP="00A44B43">
      <w:pPr>
        <w:pStyle w:val="Textpoznpodarou"/>
        <w:spacing w:afterLines="100" w:after="240" w:line="300" w:lineRule="auto"/>
        <w:rPr>
          <w:sz w:val="24"/>
          <w:szCs w:val="24"/>
        </w:rPr>
      </w:pPr>
      <w:r w:rsidRPr="000E3B0C">
        <w:rPr>
          <w:rFonts w:eastAsia="Calibri" w:cs="CIDFont+F5"/>
          <w:sz w:val="24"/>
          <w:szCs w:val="24"/>
          <w:lang w:eastAsia="en-US"/>
        </w:rPr>
        <w:t xml:space="preserve">Rozhodnutí </w:t>
      </w:r>
      <w:r w:rsidRPr="000E3B0C">
        <w:rPr>
          <w:sz w:val="24"/>
          <w:szCs w:val="24"/>
        </w:rPr>
        <w:t xml:space="preserve">Nejvyššího správního soudu </w:t>
      </w:r>
      <w:r w:rsidRPr="000E3B0C">
        <w:rPr>
          <w:rFonts w:eastAsia="Calibri" w:cs="CIDFont+F5"/>
          <w:sz w:val="24"/>
          <w:szCs w:val="24"/>
          <w:lang w:eastAsia="en-US"/>
        </w:rPr>
        <w:t xml:space="preserve">ze dne 3. 10. 2013, č. j. 16 </w:t>
      </w:r>
      <w:proofErr w:type="spellStart"/>
      <w:r w:rsidRPr="000E3B0C">
        <w:rPr>
          <w:rFonts w:eastAsia="Calibri" w:cs="CIDFont+F5"/>
          <w:sz w:val="24"/>
          <w:szCs w:val="24"/>
          <w:lang w:eastAsia="en-US"/>
        </w:rPr>
        <w:t>Kss</w:t>
      </w:r>
      <w:proofErr w:type="spellEnd"/>
      <w:r w:rsidRPr="000E3B0C">
        <w:rPr>
          <w:rFonts w:eastAsia="Calibri" w:cs="CIDFont+F5"/>
          <w:sz w:val="24"/>
          <w:szCs w:val="24"/>
          <w:lang w:eastAsia="en-US"/>
        </w:rPr>
        <w:t xml:space="preserve"> 8/2013-45.</w:t>
      </w:r>
    </w:p>
    <w:p w14:paraId="269053CF" w14:textId="77777777" w:rsidR="00D90CCF" w:rsidRPr="000E3B0C" w:rsidRDefault="0096735D" w:rsidP="00A44B43">
      <w:pPr>
        <w:pStyle w:val="Textpoznpodarou"/>
        <w:spacing w:afterLines="100" w:after="240" w:line="300" w:lineRule="auto"/>
        <w:rPr>
          <w:sz w:val="24"/>
          <w:szCs w:val="24"/>
        </w:rPr>
      </w:pPr>
      <w:r w:rsidRPr="000E3B0C">
        <w:rPr>
          <w:sz w:val="24"/>
          <w:szCs w:val="24"/>
        </w:rPr>
        <w:t>Rozhodnutí N</w:t>
      </w:r>
      <w:r w:rsidR="003123F2" w:rsidRPr="000E3B0C">
        <w:rPr>
          <w:sz w:val="24"/>
          <w:szCs w:val="24"/>
        </w:rPr>
        <w:t>ejvyššího správního soudu</w:t>
      </w:r>
      <w:r w:rsidRPr="000E3B0C">
        <w:rPr>
          <w:sz w:val="24"/>
          <w:szCs w:val="24"/>
        </w:rPr>
        <w:t xml:space="preserve"> </w:t>
      </w:r>
      <w:r w:rsidRPr="000E3B0C">
        <w:rPr>
          <w:rStyle w:val="info"/>
          <w:rFonts w:cs="Arial"/>
          <w:bCs/>
          <w:sz w:val="24"/>
          <w:szCs w:val="24"/>
        </w:rPr>
        <w:t xml:space="preserve">ze dne 10. 1. 2014, č. j. </w:t>
      </w:r>
      <w:r w:rsidRPr="000E3B0C">
        <w:rPr>
          <w:sz w:val="24"/>
          <w:szCs w:val="24"/>
        </w:rPr>
        <w:t>16 </w:t>
      </w:r>
      <w:proofErr w:type="spellStart"/>
      <w:r w:rsidRPr="000E3B0C">
        <w:rPr>
          <w:sz w:val="24"/>
          <w:szCs w:val="24"/>
        </w:rPr>
        <w:t>Kss</w:t>
      </w:r>
      <w:proofErr w:type="spellEnd"/>
      <w:r w:rsidRPr="000E3B0C">
        <w:rPr>
          <w:sz w:val="24"/>
          <w:szCs w:val="24"/>
        </w:rPr>
        <w:t> 10/2013-84.</w:t>
      </w:r>
    </w:p>
    <w:p w14:paraId="09EBF927" w14:textId="77777777" w:rsidR="0096735D" w:rsidRPr="000E3B0C" w:rsidRDefault="00D90CCF" w:rsidP="00A44B43">
      <w:pPr>
        <w:pStyle w:val="Textpoznpodarou"/>
        <w:spacing w:afterLines="100" w:after="240" w:line="300" w:lineRule="auto"/>
        <w:rPr>
          <w:rFonts w:cs="Arial"/>
          <w:bCs/>
          <w:sz w:val="24"/>
          <w:szCs w:val="24"/>
        </w:rPr>
      </w:pPr>
      <w:r w:rsidRPr="000E3B0C">
        <w:rPr>
          <w:rStyle w:val="info"/>
          <w:rFonts w:cs="Arial"/>
          <w:bCs/>
          <w:sz w:val="24"/>
          <w:szCs w:val="24"/>
        </w:rPr>
        <w:t xml:space="preserve">Rozhodnutí </w:t>
      </w:r>
      <w:r w:rsidRPr="000E3B0C">
        <w:rPr>
          <w:sz w:val="24"/>
          <w:szCs w:val="24"/>
        </w:rPr>
        <w:t xml:space="preserve">Nejvyššího správního soudu </w:t>
      </w:r>
      <w:r w:rsidRPr="000E3B0C">
        <w:rPr>
          <w:rStyle w:val="info"/>
          <w:rFonts w:cs="Arial"/>
          <w:bCs/>
          <w:sz w:val="24"/>
          <w:szCs w:val="24"/>
        </w:rPr>
        <w:t xml:space="preserve">ze dne 18. 2. 2015, č. j. 13 </w:t>
      </w:r>
      <w:proofErr w:type="spellStart"/>
      <w:r w:rsidRPr="000E3B0C">
        <w:rPr>
          <w:rStyle w:val="info"/>
          <w:rFonts w:cs="Arial"/>
          <w:bCs/>
          <w:sz w:val="24"/>
          <w:szCs w:val="24"/>
        </w:rPr>
        <w:t>Kss</w:t>
      </w:r>
      <w:proofErr w:type="spellEnd"/>
      <w:r w:rsidRPr="000E3B0C">
        <w:rPr>
          <w:rStyle w:val="info"/>
          <w:rFonts w:cs="Arial"/>
          <w:bCs/>
          <w:sz w:val="24"/>
          <w:szCs w:val="24"/>
        </w:rPr>
        <w:t xml:space="preserve"> 6/2014-138.</w:t>
      </w:r>
    </w:p>
    <w:p w14:paraId="3CC2158D" w14:textId="77777777" w:rsidR="003123F2" w:rsidRPr="000E3B0C" w:rsidRDefault="003123F2" w:rsidP="00A44B43">
      <w:pPr>
        <w:spacing w:afterLines="100" w:after="240" w:line="300" w:lineRule="auto"/>
        <w:rPr>
          <w:rFonts w:eastAsia="Calibri" w:cs="CIDFont+F5"/>
          <w:lang w:eastAsia="en-US"/>
        </w:rPr>
      </w:pPr>
      <w:r w:rsidRPr="000E3B0C">
        <w:t xml:space="preserve">Rozhodnutí Nejvyššího správního soudu </w:t>
      </w:r>
      <w:r w:rsidRPr="000E3B0C">
        <w:rPr>
          <w:rFonts w:eastAsia="Calibri" w:cs="CIDFont+F5"/>
          <w:lang w:eastAsia="en-US"/>
        </w:rPr>
        <w:t xml:space="preserve">ze dne 20. 5. 2015, č. j. 13 </w:t>
      </w:r>
      <w:proofErr w:type="spellStart"/>
      <w:r w:rsidRPr="000E3B0C">
        <w:rPr>
          <w:rFonts w:eastAsia="Calibri" w:cs="CIDFont+F5"/>
          <w:lang w:eastAsia="en-US"/>
        </w:rPr>
        <w:t>Kss</w:t>
      </w:r>
      <w:proofErr w:type="spellEnd"/>
      <w:r w:rsidRPr="000E3B0C">
        <w:rPr>
          <w:rFonts w:eastAsia="Calibri" w:cs="CIDFont+F5"/>
          <w:lang w:eastAsia="en-US"/>
        </w:rPr>
        <w:t xml:space="preserve"> 1/2015-112.</w:t>
      </w:r>
    </w:p>
    <w:p w14:paraId="7CC18787" w14:textId="77777777" w:rsidR="003123F2" w:rsidRPr="000E3B0C" w:rsidRDefault="003123F2" w:rsidP="00A44B43">
      <w:pPr>
        <w:spacing w:afterLines="100" w:after="240" w:line="300" w:lineRule="auto"/>
        <w:rPr>
          <w:rFonts w:eastAsia="Calibri" w:cs="CIDFont+F5"/>
          <w:lang w:eastAsia="en-US"/>
        </w:rPr>
      </w:pPr>
      <w:r w:rsidRPr="000E3B0C">
        <w:t xml:space="preserve">Rozhodnutí Nejvyššího správního soudu </w:t>
      </w:r>
      <w:r w:rsidRPr="000E3B0C">
        <w:rPr>
          <w:rFonts w:eastAsia="Calibri" w:cs="CIDFont+F5"/>
          <w:lang w:eastAsia="en-US"/>
        </w:rPr>
        <w:t xml:space="preserve">ze dne 16. 6. 2016, č. j. 16 </w:t>
      </w:r>
      <w:proofErr w:type="spellStart"/>
      <w:r w:rsidRPr="000E3B0C">
        <w:rPr>
          <w:rFonts w:eastAsia="Calibri" w:cs="CIDFont+F5"/>
          <w:lang w:eastAsia="en-US"/>
        </w:rPr>
        <w:t>Kss</w:t>
      </w:r>
      <w:proofErr w:type="spellEnd"/>
      <w:r w:rsidRPr="000E3B0C">
        <w:rPr>
          <w:rFonts w:eastAsia="Calibri" w:cs="CIDFont+F5"/>
          <w:lang w:eastAsia="en-US"/>
        </w:rPr>
        <w:t xml:space="preserve"> 1/2016-55</w:t>
      </w:r>
    </w:p>
    <w:p w14:paraId="277946EC" w14:textId="77777777" w:rsidR="003123F2" w:rsidRPr="000E3B0C" w:rsidRDefault="003123F2" w:rsidP="00A44B43">
      <w:pPr>
        <w:pStyle w:val="Textpoznpodarou"/>
        <w:spacing w:afterLines="100" w:after="240" w:line="300" w:lineRule="auto"/>
        <w:rPr>
          <w:sz w:val="24"/>
          <w:szCs w:val="24"/>
        </w:rPr>
      </w:pPr>
      <w:r w:rsidRPr="000E3B0C">
        <w:rPr>
          <w:rFonts w:eastAsia="Calibri" w:cs="CIDFont+F5"/>
          <w:sz w:val="24"/>
          <w:szCs w:val="24"/>
          <w:lang w:eastAsia="en-US"/>
        </w:rPr>
        <w:t xml:space="preserve">Rozhodnutí </w:t>
      </w:r>
      <w:r w:rsidRPr="000E3B0C">
        <w:rPr>
          <w:sz w:val="24"/>
          <w:szCs w:val="24"/>
        </w:rPr>
        <w:t xml:space="preserve">Nejvyššího správního soudu </w:t>
      </w:r>
      <w:r w:rsidRPr="000E3B0C">
        <w:rPr>
          <w:rFonts w:eastAsia="Calibri" w:cs="CIDFont+F5"/>
          <w:sz w:val="24"/>
          <w:szCs w:val="24"/>
          <w:lang w:eastAsia="en-US"/>
        </w:rPr>
        <w:t xml:space="preserve">ze dne 1. 6. 2020, č. j. 11 </w:t>
      </w:r>
      <w:proofErr w:type="spellStart"/>
      <w:r w:rsidRPr="000E3B0C">
        <w:rPr>
          <w:rFonts w:eastAsia="Calibri" w:cs="CIDFont+F5"/>
          <w:sz w:val="24"/>
          <w:szCs w:val="24"/>
          <w:lang w:eastAsia="en-US"/>
        </w:rPr>
        <w:t>Kss</w:t>
      </w:r>
      <w:proofErr w:type="spellEnd"/>
      <w:r w:rsidRPr="000E3B0C">
        <w:rPr>
          <w:rFonts w:eastAsia="Calibri" w:cs="CIDFont+F5"/>
          <w:sz w:val="24"/>
          <w:szCs w:val="24"/>
          <w:lang w:eastAsia="en-US"/>
        </w:rPr>
        <w:t xml:space="preserve"> 2/2020-88.</w:t>
      </w:r>
    </w:p>
    <w:p w14:paraId="72A28F64" w14:textId="77777777" w:rsidR="0096735D" w:rsidRPr="000E3B0C" w:rsidRDefault="0096735D" w:rsidP="00A44B43">
      <w:pPr>
        <w:pStyle w:val="Textpoznpodarou"/>
        <w:spacing w:afterLines="100" w:after="240" w:line="300" w:lineRule="auto"/>
        <w:rPr>
          <w:sz w:val="24"/>
          <w:szCs w:val="24"/>
        </w:rPr>
      </w:pPr>
      <w:r w:rsidRPr="000E3B0C">
        <w:rPr>
          <w:sz w:val="24"/>
          <w:szCs w:val="24"/>
        </w:rPr>
        <w:t xml:space="preserve">Rozhodnutí </w:t>
      </w:r>
      <w:r w:rsidR="003123F2" w:rsidRPr="000E3B0C">
        <w:rPr>
          <w:sz w:val="24"/>
          <w:szCs w:val="24"/>
        </w:rPr>
        <w:t xml:space="preserve">Nejvyššího správního soudu </w:t>
      </w:r>
      <w:r w:rsidRPr="000E3B0C">
        <w:rPr>
          <w:sz w:val="24"/>
          <w:szCs w:val="24"/>
        </w:rPr>
        <w:t xml:space="preserve">ze dne 14. 7. 2020, č. j. 13 </w:t>
      </w:r>
      <w:proofErr w:type="spellStart"/>
      <w:r w:rsidRPr="000E3B0C">
        <w:rPr>
          <w:sz w:val="24"/>
          <w:szCs w:val="24"/>
        </w:rPr>
        <w:t>Kss</w:t>
      </w:r>
      <w:proofErr w:type="spellEnd"/>
      <w:r w:rsidRPr="000E3B0C">
        <w:rPr>
          <w:sz w:val="24"/>
          <w:szCs w:val="24"/>
        </w:rPr>
        <w:t xml:space="preserve"> 6/2019-367.</w:t>
      </w:r>
    </w:p>
    <w:p w14:paraId="6163F05A" w14:textId="77777777" w:rsidR="008930BB" w:rsidRPr="000E3B0C" w:rsidRDefault="003123F2" w:rsidP="00A44B43">
      <w:pPr>
        <w:spacing w:afterLines="100" w:after="240" w:line="300" w:lineRule="auto"/>
      </w:pPr>
      <w:r w:rsidRPr="000E3B0C">
        <w:t xml:space="preserve">Rozhodnutí Nejvyššího správního soudu </w:t>
      </w:r>
      <w:r w:rsidR="0096735D" w:rsidRPr="000E3B0C">
        <w:t xml:space="preserve">ze dne 18. 5. 2021, č. j. 13 </w:t>
      </w:r>
      <w:proofErr w:type="spellStart"/>
      <w:r w:rsidR="0096735D" w:rsidRPr="000E3B0C">
        <w:t>Kss</w:t>
      </w:r>
      <w:proofErr w:type="spellEnd"/>
      <w:r w:rsidR="0096735D" w:rsidRPr="000E3B0C">
        <w:t xml:space="preserve"> 5/2020-400.</w:t>
      </w:r>
    </w:p>
    <w:p w14:paraId="5208A4CE" w14:textId="77777777" w:rsidR="00D05885" w:rsidRPr="000E3B0C" w:rsidRDefault="00EC59BA" w:rsidP="003B3B60">
      <w:pPr>
        <w:pStyle w:val="Nadpis1"/>
      </w:pPr>
      <w:r w:rsidRPr="000E3B0C">
        <w:br w:type="page"/>
      </w:r>
      <w:bookmarkStart w:id="28" w:name="_Toc130067390"/>
      <w:r w:rsidR="00D85EBA" w:rsidRPr="000E3B0C">
        <w:lastRenderedPageBreak/>
        <w:t>Seznam z</w:t>
      </w:r>
      <w:r w:rsidR="00D05885" w:rsidRPr="000E3B0C">
        <w:t>krat</w:t>
      </w:r>
      <w:r w:rsidR="00D85EBA" w:rsidRPr="000E3B0C">
        <w:t>e</w:t>
      </w:r>
      <w:r w:rsidR="00D87A21" w:rsidRPr="000E3B0C">
        <w:t>k</w:t>
      </w:r>
      <w:bookmarkEnd w:id="28"/>
    </w:p>
    <w:p w14:paraId="30A75332" w14:textId="4BFFCC4C" w:rsidR="00A15F74" w:rsidRPr="000E3B0C" w:rsidRDefault="00A15F74" w:rsidP="00CC70E4">
      <w:pPr>
        <w:spacing w:afterLines="100" w:after="240" w:line="300" w:lineRule="auto"/>
        <w:ind w:left="1416" w:hanging="1416"/>
      </w:pPr>
      <w:r w:rsidRPr="000E3B0C">
        <w:t>CCEO</w:t>
      </w:r>
      <w:r w:rsidRPr="000E3B0C">
        <w:tab/>
      </w:r>
      <w:r w:rsidR="005E6466" w:rsidRPr="000E3B0C">
        <w:tab/>
      </w:r>
      <w:r w:rsidRPr="000E3B0C">
        <w:t>Kodex kánonů východních církví</w:t>
      </w:r>
      <w:r w:rsidR="00076FAA" w:rsidRPr="000E3B0C">
        <w:t xml:space="preserve"> z roku 1990</w:t>
      </w:r>
    </w:p>
    <w:p w14:paraId="1E2F6F45" w14:textId="266D4F4A" w:rsidR="00A15F74" w:rsidRPr="000E3B0C" w:rsidRDefault="00A15F74" w:rsidP="00CC70E4">
      <w:pPr>
        <w:spacing w:afterLines="100" w:after="240" w:line="300" w:lineRule="auto"/>
        <w:ind w:left="1416" w:hanging="1416"/>
      </w:pPr>
      <w:r w:rsidRPr="000E3B0C">
        <w:t>CIC</w:t>
      </w:r>
      <w:r w:rsidRPr="000E3B0C">
        <w:tab/>
      </w:r>
      <w:r w:rsidR="005E6466" w:rsidRPr="000E3B0C">
        <w:tab/>
      </w:r>
      <w:r w:rsidRPr="000E3B0C">
        <w:t>K</w:t>
      </w:r>
      <w:r w:rsidR="0096735D" w:rsidRPr="000E3B0C">
        <w:t>odex kanonického práva</w:t>
      </w:r>
      <w:r w:rsidR="00B514F7" w:rsidRPr="000E3B0C">
        <w:t xml:space="preserve"> z roku </w:t>
      </w:r>
      <w:r w:rsidR="00076FAA" w:rsidRPr="000E3B0C">
        <w:t>1983</w:t>
      </w:r>
    </w:p>
    <w:p w14:paraId="1CCC7632" w14:textId="4FD3072B" w:rsidR="00A15F74" w:rsidRPr="000E3B0C" w:rsidRDefault="00A15F74" w:rsidP="00CC70E4">
      <w:pPr>
        <w:spacing w:afterLines="100" w:after="240" w:line="300" w:lineRule="auto"/>
        <w:ind w:left="1416" w:hanging="1416"/>
      </w:pPr>
      <w:r w:rsidRPr="000E3B0C">
        <w:t>Kodex</w:t>
      </w:r>
      <w:r w:rsidRPr="000E3B0C">
        <w:tab/>
      </w:r>
      <w:r w:rsidR="005E6466" w:rsidRPr="000E3B0C">
        <w:tab/>
      </w:r>
      <w:proofErr w:type="spellStart"/>
      <w:r w:rsidRPr="000E3B0C">
        <w:t>Kodex</w:t>
      </w:r>
      <w:proofErr w:type="spellEnd"/>
      <w:r w:rsidRPr="000E3B0C">
        <w:t xml:space="preserve"> kanonického práva</w:t>
      </w:r>
      <w:r w:rsidR="00076FAA" w:rsidRPr="000E3B0C">
        <w:t xml:space="preserve"> z roku 1983</w:t>
      </w:r>
    </w:p>
    <w:p w14:paraId="6ADF249E" w14:textId="77777777" w:rsidR="00A15F74" w:rsidRPr="000E3B0C" w:rsidRDefault="00A15F74" w:rsidP="00CC70E4">
      <w:pPr>
        <w:spacing w:afterLines="100" w:after="240" w:line="300" w:lineRule="auto"/>
        <w:ind w:left="1416" w:hanging="1416"/>
      </w:pPr>
      <w:r w:rsidRPr="000E3B0C">
        <w:t>KŘ</w:t>
      </w:r>
      <w:r w:rsidRPr="000E3B0C">
        <w:tab/>
      </w:r>
      <w:r w:rsidR="005E6466" w:rsidRPr="000E3B0C">
        <w:tab/>
        <w:t>kárný řád</w:t>
      </w:r>
    </w:p>
    <w:p w14:paraId="0D8CB40B" w14:textId="77777777" w:rsidR="00A15F74" w:rsidRPr="000E3B0C" w:rsidRDefault="00A15F74" w:rsidP="00CC70E4">
      <w:pPr>
        <w:spacing w:afterLines="100" w:after="240" w:line="300" w:lineRule="auto"/>
        <w:ind w:left="2120" w:hanging="2120"/>
      </w:pPr>
      <w:r w:rsidRPr="000E3B0C">
        <w:t>Normy</w:t>
      </w:r>
      <w:r w:rsidRPr="000E3B0C">
        <w:tab/>
      </w:r>
      <w:proofErr w:type="spellStart"/>
      <w:r w:rsidR="0096735D" w:rsidRPr="000E3B0C">
        <w:t>Normy</w:t>
      </w:r>
      <w:proofErr w:type="spellEnd"/>
      <w:r w:rsidR="0096735D" w:rsidRPr="000E3B0C">
        <w:t xml:space="preserve"> týkající se závažnějších trestných činů vyhrazených Kongregaci pro nauku víry</w:t>
      </w:r>
    </w:p>
    <w:p w14:paraId="69E3BA2C" w14:textId="77777777" w:rsidR="00483D64" w:rsidRPr="000E3B0C" w:rsidRDefault="00711884" w:rsidP="00CC70E4">
      <w:pPr>
        <w:spacing w:afterLines="100" w:after="240" w:line="300" w:lineRule="auto"/>
      </w:pPr>
      <w:r w:rsidRPr="000E3B0C">
        <w:t>NSS</w:t>
      </w:r>
      <w:r w:rsidRPr="000E3B0C">
        <w:tab/>
      </w:r>
      <w:r w:rsidRPr="000E3B0C">
        <w:tab/>
      </w:r>
      <w:r w:rsidR="005E6466" w:rsidRPr="000E3B0C">
        <w:tab/>
      </w:r>
      <w:r w:rsidRPr="000E3B0C">
        <w:t>Nejvyšší správní soud</w:t>
      </w:r>
    </w:p>
    <w:p w14:paraId="606A2251" w14:textId="77777777" w:rsidR="00711884" w:rsidRPr="000E3B0C" w:rsidRDefault="00711884" w:rsidP="00CC70E4">
      <w:pPr>
        <w:spacing w:afterLines="100" w:after="240" w:line="300" w:lineRule="auto"/>
        <w:ind w:left="1416" w:hanging="1416"/>
      </w:pPr>
      <w:r w:rsidRPr="000E3B0C">
        <w:t>TŘ</w:t>
      </w:r>
      <w:r w:rsidRPr="000E3B0C">
        <w:tab/>
      </w:r>
      <w:r w:rsidR="005E6466" w:rsidRPr="000E3B0C">
        <w:tab/>
        <w:t>trestní řád</w:t>
      </w:r>
    </w:p>
    <w:p w14:paraId="62B372B0" w14:textId="77777777" w:rsidR="00711884" w:rsidRPr="000E3B0C" w:rsidRDefault="00711884" w:rsidP="00CC70E4">
      <w:pPr>
        <w:spacing w:afterLines="100" w:after="240" w:line="300" w:lineRule="auto"/>
        <w:ind w:left="1416" w:hanging="1416"/>
      </w:pPr>
      <w:r w:rsidRPr="000E3B0C">
        <w:t>TZ</w:t>
      </w:r>
      <w:r w:rsidRPr="000E3B0C">
        <w:tab/>
      </w:r>
      <w:r w:rsidR="005E6466" w:rsidRPr="000E3B0C">
        <w:tab/>
        <w:t>t</w:t>
      </w:r>
      <w:r w:rsidRPr="000E3B0C">
        <w:t>restní zákoník</w:t>
      </w:r>
    </w:p>
    <w:p w14:paraId="1943AE0B" w14:textId="77777777" w:rsidR="00523303" w:rsidRPr="000E3B0C" w:rsidRDefault="00523303" w:rsidP="00CC70E4">
      <w:pPr>
        <w:spacing w:afterLines="100" w:after="240" w:line="300" w:lineRule="auto"/>
        <w:ind w:left="1416" w:hanging="1416"/>
      </w:pPr>
      <w:r w:rsidRPr="000E3B0C">
        <w:t>ÚS</w:t>
      </w:r>
      <w:r w:rsidRPr="000E3B0C">
        <w:tab/>
      </w:r>
      <w:r w:rsidRPr="000E3B0C">
        <w:tab/>
        <w:t>Ústavní soud</w:t>
      </w:r>
    </w:p>
    <w:p w14:paraId="5478A93F" w14:textId="77777777" w:rsidR="00711884" w:rsidRPr="000E3B0C" w:rsidRDefault="00711884" w:rsidP="00CC70E4">
      <w:pPr>
        <w:spacing w:afterLines="100" w:after="240" w:line="300" w:lineRule="auto"/>
        <w:ind w:left="1416" w:hanging="1416"/>
      </w:pPr>
      <w:r w:rsidRPr="000E3B0C">
        <w:t>ZSS</w:t>
      </w:r>
      <w:r w:rsidRPr="000E3B0C">
        <w:tab/>
      </w:r>
      <w:r w:rsidR="005E6466" w:rsidRPr="000E3B0C">
        <w:tab/>
        <w:t>zákon o soudech a soudcích</w:t>
      </w:r>
    </w:p>
    <w:p w14:paraId="3401BA24" w14:textId="77777777" w:rsidR="00A15F74" w:rsidRPr="000E3B0C" w:rsidRDefault="00483D64" w:rsidP="0096735D">
      <w:pPr>
        <w:pStyle w:val="Nadpis1"/>
        <w:spacing w:before="0" w:afterLines="100" w:after="240" w:line="300" w:lineRule="auto"/>
      </w:pPr>
      <w:r w:rsidRPr="000E3B0C">
        <w:br w:type="page"/>
      </w:r>
      <w:bookmarkStart w:id="29" w:name="_Toc130067391"/>
      <w:r w:rsidR="00A15F74" w:rsidRPr="000E3B0C">
        <w:lastRenderedPageBreak/>
        <w:t>Prohlášení</w:t>
      </w:r>
      <w:bookmarkEnd w:id="29"/>
    </w:p>
    <w:p w14:paraId="414ED244" w14:textId="6246E483" w:rsidR="00844AA1" w:rsidRPr="000E3B0C" w:rsidRDefault="00483D64" w:rsidP="00483D64">
      <w:r w:rsidRPr="000E3B0C">
        <w:t xml:space="preserve">Po dohodě s vedoucím práce byla závěrečná podoba textu redigována tiskovými charaktery Garamond o velikosti 12 bodů s řádkováním 1,5 bodu. Rozsah práce daný počtem znaků vč. mezer podle počítání textového editoru MS Word činí </w:t>
      </w:r>
      <w:r w:rsidR="005F3119">
        <w:t>11</w:t>
      </w:r>
      <w:r w:rsidR="00EA33A1">
        <w:t xml:space="preserve">3 614 </w:t>
      </w:r>
      <w:bookmarkStart w:id="30" w:name="_GoBack"/>
      <w:bookmarkEnd w:id="30"/>
      <w:r w:rsidRPr="000E3B0C">
        <w:t xml:space="preserve">znaků, tedy </w:t>
      </w:r>
      <w:r w:rsidR="008D478A" w:rsidRPr="000E3B0C">
        <w:t>63</w:t>
      </w:r>
      <w:r w:rsidRPr="000E3B0C">
        <w:t xml:space="preserve"> normostran.</w:t>
      </w:r>
    </w:p>
    <w:sectPr w:rsidR="00844AA1" w:rsidRPr="000E3B0C" w:rsidSect="00C732CA">
      <w:footerReference w:type="default" r:id="rId9"/>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F7B668" w15:done="0"/>
  <w15:commentEx w15:paraId="25B0AE37" w15:done="0"/>
  <w15:commentEx w15:paraId="26F1C50D" w15:done="0"/>
  <w15:commentEx w15:paraId="289E13A2" w15:done="0"/>
  <w15:commentEx w15:paraId="49BA7AB5" w15:done="0"/>
  <w15:commentEx w15:paraId="729DA868" w15:done="0"/>
  <w15:commentEx w15:paraId="2FEFBFA2" w15:done="0"/>
  <w15:commentEx w15:paraId="65F96E06" w15:done="0"/>
  <w15:commentEx w15:paraId="442E3090" w15:done="0"/>
  <w15:commentEx w15:paraId="54D0AF9B" w15:done="0"/>
  <w15:commentEx w15:paraId="18A0032F" w15:done="0"/>
  <w15:commentEx w15:paraId="0A0A91C2" w15:done="0"/>
  <w15:commentEx w15:paraId="7FD661EF" w15:done="0"/>
  <w15:commentEx w15:paraId="6194A4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5A58" w16cex:dateUtc="2023-03-19T08:54:00Z"/>
  <w16cex:commentExtensible w16cex:durableId="27C15C04" w16cex:dateUtc="2023-03-19T09:01:00Z"/>
  <w16cex:commentExtensible w16cex:durableId="27C15FFB" w16cex:dateUtc="2023-03-19T09:18:00Z"/>
  <w16cex:commentExtensible w16cex:durableId="27C160A3" w16cex:dateUtc="2023-03-19T09:21:00Z"/>
  <w16cex:commentExtensible w16cex:durableId="27C16275" w16cex:dateUtc="2023-03-19T09:29:00Z"/>
  <w16cex:commentExtensible w16cex:durableId="27C1644D" w16cex:dateUtc="2023-03-19T09:37:00Z"/>
  <w16cex:commentExtensible w16cex:durableId="27C16A18" w16cex:dateUtc="2023-03-19T10:01:00Z"/>
  <w16cex:commentExtensible w16cex:durableId="27C16EE5" w16cex:dateUtc="2023-03-19T10:22:00Z"/>
  <w16cex:commentExtensible w16cex:durableId="27C16FF2" w16cex:dateUtc="2023-03-19T10:26:00Z"/>
  <w16cex:commentExtensible w16cex:durableId="27C1EC81" w16cex:dateUtc="2023-03-19T19:18:00Z"/>
  <w16cex:commentExtensible w16cex:durableId="27C1EEB3" w16cex:dateUtc="2023-03-19T19:27:00Z"/>
  <w16cex:commentExtensible w16cex:durableId="27C3026D" w16cex:dateUtc="2023-03-20T15:03:00Z"/>
  <w16cex:commentExtensible w16cex:durableId="27C303BE" w16cex:dateUtc="2023-03-20T15:09:00Z"/>
  <w16cex:commentExtensible w16cex:durableId="27C3043D" w16cex:dateUtc="2023-03-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7B668" w16cid:durableId="27C15A58"/>
  <w16cid:commentId w16cid:paraId="25B0AE37" w16cid:durableId="27C15C04"/>
  <w16cid:commentId w16cid:paraId="26F1C50D" w16cid:durableId="27C15FFB"/>
  <w16cid:commentId w16cid:paraId="289E13A2" w16cid:durableId="27C160A3"/>
  <w16cid:commentId w16cid:paraId="49BA7AB5" w16cid:durableId="27C16275"/>
  <w16cid:commentId w16cid:paraId="729DA868" w16cid:durableId="27C1644D"/>
  <w16cid:commentId w16cid:paraId="2FEFBFA2" w16cid:durableId="27C16A18"/>
  <w16cid:commentId w16cid:paraId="65F96E06" w16cid:durableId="27C16EE5"/>
  <w16cid:commentId w16cid:paraId="442E3090" w16cid:durableId="27C16FF2"/>
  <w16cid:commentId w16cid:paraId="54D0AF9B" w16cid:durableId="27C1EC81"/>
  <w16cid:commentId w16cid:paraId="18A0032F" w16cid:durableId="27C1EEB3"/>
  <w16cid:commentId w16cid:paraId="0A0A91C2" w16cid:durableId="27C3026D"/>
  <w16cid:commentId w16cid:paraId="7FD661EF" w16cid:durableId="27C303BE"/>
  <w16cid:commentId w16cid:paraId="6194A4AC" w16cid:durableId="27C304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A369" w14:textId="77777777" w:rsidR="00F26821" w:rsidRDefault="00F26821">
      <w:r>
        <w:separator/>
      </w:r>
    </w:p>
  </w:endnote>
  <w:endnote w:type="continuationSeparator" w:id="0">
    <w:p w14:paraId="2290AE0F" w14:textId="77777777" w:rsidR="00F26821" w:rsidRDefault="00F2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Neue Haas Unica Pro">
    <w:altName w:val="Neue Haas Unica Pro"/>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Italic">
    <w:altName w:val="Times New Roman"/>
    <w:panose1 w:val="00000000000000000000"/>
    <w:charset w:val="EE"/>
    <w:family w:val="auto"/>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8070000" w:usb2="00000010" w:usb3="00000000" w:csb0="0002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PalatinoCE-Roman">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 w:name="TimesNewRomanPS-ItalicMT">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62E6" w14:textId="77777777" w:rsidR="00F26821" w:rsidRDefault="00F26821" w:rsidP="007B3326">
    <w:pPr>
      <w:pStyle w:val="Zpat"/>
      <w:jc w:val="center"/>
    </w:pPr>
    <w:r w:rsidRPr="00C732CA">
      <w:fldChar w:fldCharType="begin"/>
    </w:r>
    <w:r w:rsidRPr="00C732CA">
      <w:instrText>PAGE   \* MERGEFORMAT</w:instrText>
    </w:r>
    <w:r w:rsidRPr="00C732CA">
      <w:fldChar w:fldCharType="separate"/>
    </w:r>
    <w:r w:rsidR="00A025EE">
      <w:rPr>
        <w:noProof/>
      </w:rPr>
      <w:t>2</w:t>
    </w:r>
    <w:r w:rsidRPr="00C732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DF77" w14:textId="77777777" w:rsidR="00F26821" w:rsidRDefault="00F26821">
      <w:r>
        <w:separator/>
      </w:r>
    </w:p>
  </w:footnote>
  <w:footnote w:type="continuationSeparator" w:id="0">
    <w:p w14:paraId="7CF36E69" w14:textId="77777777" w:rsidR="00F26821" w:rsidRDefault="00F26821">
      <w:r>
        <w:continuationSeparator/>
      </w:r>
    </w:p>
  </w:footnote>
  <w:footnote w:id="1">
    <w:p w14:paraId="15EF6353" w14:textId="3D0A312D" w:rsidR="00F26821" w:rsidRPr="00862168" w:rsidRDefault="00F26821" w:rsidP="0024547B">
      <w:pPr>
        <w:pStyle w:val="Textpoznpodarou"/>
        <w:spacing w:line="240" w:lineRule="auto"/>
      </w:pPr>
      <w:r w:rsidRPr="0036682C">
        <w:rPr>
          <w:rStyle w:val="Znakapoznpodarou"/>
        </w:rPr>
        <w:footnoteRef/>
      </w:r>
      <w:r w:rsidRPr="0036682C">
        <w:t xml:space="preserve"> </w:t>
      </w:r>
      <w:r w:rsidRPr="0036682C">
        <w:rPr>
          <w:rFonts w:cs="Cambria"/>
        </w:rPr>
        <w:t xml:space="preserve">HARVÁNEK, J. a kol. </w:t>
      </w:r>
      <w:r w:rsidRPr="0036682C">
        <w:rPr>
          <w:rFonts w:cs="Cambria-Italic"/>
          <w:i/>
          <w:iCs/>
        </w:rPr>
        <w:t>Právní teorie</w:t>
      </w:r>
      <w:r w:rsidRPr="0036682C">
        <w:rPr>
          <w:rFonts w:cs="Cambria"/>
        </w:rPr>
        <w:t xml:space="preserve">. Plzeň: Aleš </w:t>
      </w:r>
      <w:r w:rsidRPr="00862168">
        <w:rPr>
          <w:rFonts w:cs="Cambria"/>
        </w:rPr>
        <w:t>Čeněk, 2013, s. 355.</w:t>
      </w:r>
    </w:p>
  </w:footnote>
  <w:footnote w:id="2">
    <w:p w14:paraId="1BC236F4" w14:textId="1DB28FF5" w:rsidR="00F26821" w:rsidRPr="0036682C" w:rsidRDefault="00F26821" w:rsidP="0024547B">
      <w:pPr>
        <w:spacing w:line="240" w:lineRule="auto"/>
        <w:rPr>
          <w:sz w:val="20"/>
          <w:szCs w:val="20"/>
        </w:rPr>
      </w:pPr>
      <w:r w:rsidRPr="0036682C">
        <w:rPr>
          <w:rStyle w:val="Znakapoznpodarou"/>
          <w:sz w:val="20"/>
          <w:szCs w:val="20"/>
        </w:rPr>
        <w:footnoteRef/>
      </w:r>
      <w:r w:rsidRPr="0036682C">
        <w:rPr>
          <w:sz w:val="20"/>
          <w:szCs w:val="20"/>
        </w:rPr>
        <w:t xml:space="preserve"> VEČEŘA, M. a kol. </w:t>
      </w:r>
      <w:r w:rsidRPr="0036682C">
        <w:rPr>
          <w:i/>
          <w:sz w:val="20"/>
          <w:szCs w:val="20"/>
        </w:rPr>
        <w:t>Teorie práva v příkladech</w:t>
      </w:r>
      <w:r w:rsidRPr="0036682C">
        <w:rPr>
          <w:sz w:val="20"/>
          <w:szCs w:val="20"/>
        </w:rPr>
        <w:t xml:space="preserve">. Praha: </w:t>
      </w:r>
      <w:proofErr w:type="spellStart"/>
      <w:r w:rsidRPr="0036682C">
        <w:rPr>
          <w:sz w:val="20"/>
          <w:szCs w:val="20"/>
        </w:rPr>
        <w:t>Wolters</w:t>
      </w:r>
      <w:proofErr w:type="spellEnd"/>
      <w:r w:rsidRPr="0036682C">
        <w:rPr>
          <w:sz w:val="20"/>
          <w:szCs w:val="20"/>
        </w:rPr>
        <w:t xml:space="preserve"> </w:t>
      </w:r>
      <w:proofErr w:type="spellStart"/>
      <w:r w:rsidRPr="0036682C">
        <w:rPr>
          <w:sz w:val="20"/>
          <w:szCs w:val="20"/>
        </w:rPr>
        <w:t>Kluwer</w:t>
      </w:r>
      <w:proofErr w:type="spellEnd"/>
      <w:r w:rsidRPr="0036682C">
        <w:rPr>
          <w:sz w:val="20"/>
          <w:szCs w:val="20"/>
        </w:rPr>
        <w:t xml:space="preserve">, 2011, </w:t>
      </w:r>
      <w:r>
        <w:rPr>
          <w:sz w:val="20"/>
          <w:szCs w:val="20"/>
        </w:rPr>
        <w:t>s.</w:t>
      </w:r>
      <w:r w:rsidRPr="0036682C">
        <w:rPr>
          <w:sz w:val="20"/>
          <w:szCs w:val="20"/>
        </w:rPr>
        <w:t xml:space="preserve"> 288.</w:t>
      </w:r>
    </w:p>
  </w:footnote>
  <w:footnote w:id="3">
    <w:p w14:paraId="04C2F347" w14:textId="2BB01A06" w:rsidR="00F26821" w:rsidRPr="0036682C" w:rsidRDefault="00F26821" w:rsidP="0024547B">
      <w:pPr>
        <w:pStyle w:val="Textpoznpodarou"/>
        <w:spacing w:line="240" w:lineRule="auto"/>
      </w:pPr>
      <w:r w:rsidRPr="0036682C">
        <w:rPr>
          <w:rStyle w:val="Znakapoznpodarou"/>
        </w:rPr>
        <w:footnoteRef/>
      </w:r>
      <w:r w:rsidRPr="0036682C">
        <w:t xml:space="preserve"> HROMADA, J. </w:t>
      </w:r>
      <w:r w:rsidRPr="0036682C">
        <w:rPr>
          <w:i/>
          <w:iCs/>
        </w:rPr>
        <w:t>Právnický slovník</w:t>
      </w:r>
      <w:r w:rsidRPr="0036682C">
        <w:t xml:space="preserve">. Praha: Orbis, 1972, </w:t>
      </w:r>
      <w:r>
        <w:t>s.</w:t>
      </w:r>
      <w:r w:rsidRPr="0036682C">
        <w:t xml:space="preserve"> 276.</w:t>
      </w:r>
    </w:p>
  </w:footnote>
  <w:footnote w:id="4">
    <w:p w14:paraId="45FBACF4" w14:textId="2E1FD137" w:rsidR="00F26821" w:rsidRPr="0036682C" w:rsidRDefault="00F26821" w:rsidP="0024547B">
      <w:pPr>
        <w:spacing w:line="240" w:lineRule="auto"/>
        <w:rPr>
          <w:sz w:val="20"/>
          <w:szCs w:val="20"/>
        </w:rPr>
      </w:pPr>
      <w:r w:rsidRPr="0036682C">
        <w:rPr>
          <w:rStyle w:val="Znakapoznpodarou"/>
          <w:sz w:val="20"/>
          <w:szCs w:val="20"/>
        </w:rPr>
        <w:footnoteRef/>
      </w:r>
      <w:r w:rsidRPr="0036682C">
        <w:rPr>
          <w:sz w:val="20"/>
          <w:szCs w:val="20"/>
        </w:rPr>
        <w:t xml:space="preserve"> HENDRYCH, D. </w:t>
      </w:r>
      <w:r w:rsidRPr="0036682C">
        <w:rPr>
          <w:i/>
          <w:sz w:val="20"/>
          <w:szCs w:val="20"/>
        </w:rPr>
        <w:t>Správní právo – Obecná část</w:t>
      </w:r>
      <w:r w:rsidRPr="0036682C">
        <w:rPr>
          <w:sz w:val="20"/>
          <w:szCs w:val="20"/>
        </w:rPr>
        <w:t xml:space="preserve">. Praha: C. H. Beck, 2012, </w:t>
      </w:r>
      <w:r>
        <w:rPr>
          <w:sz w:val="20"/>
          <w:szCs w:val="20"/>
        </w:rPr>
        <w:t>s.</w:t>
      </w:r>
      <w:r w:rsidRPr="0036682C">
        <w:rPr>
          <w:sz w:val="20"/>
          <w:szCs w:val="20"/>
        </w:rPr>
        <w:t xml:space="preserve"> 455.</w:t>
      </w:r>
    </w:p>
  </w:footnote>
  <w:footnote w:id="5">
    <w:p w14:paraId="194BD59C" w14:textId="3FCB7A28" w:rsidR="00F26821" w:rsidRPr="000C7287" w:rsidRDefault="00F26821" w:rsidP="000C7287">
      <w:pPr>
        <w:pStyle w:val="l6"/>
        <w:shd w:val="clear" w:color="auto" w:fill="FFFFFF"/>
        <w:spacing w:before="0" w:beforeAutospacing="0" w:after="0" w:afterAutospacing="0"/>
        <w:jc w:val="both"/>
        <w:rPr>
          <w:rFonts w:ascii="Garamond" w:hAnsi="Garamond" w:cs="Arial"/>
          <w:color w:val="000000"/>
          <w:sz w:val="20"/>
          <w:szCs w:val="20"/>
        </w:rPr>
      </w:pPr>
      <w:r w:rsidRPr="000C7287">
        <w:rPr>
          <w:rStyle w:val="Znakapoznpodarou"/>
          <w:rFonts w:ascii="Garamond" w:hAnsi="Garamond"/>
          <w:sz w:val="20"/>
          <w:szCs w:val="20"/>
        </w:rPr>
        <w:footnoteRef/>
      </w:r>
      <w:r w:rsidRPr="000C7287">
        <w:rPr>
          <w:rFonts w:ascii="Garamond" w:hAnsi="Garamond"/>
          <w:sz w:val="20"/>
          <w:szCs w:val="20"/>
        </w:rPr>
        <w:t xml:space="preserve"> </w:t>
      </w:r>
      <w:r w:rsidRPr="000C7287">
        <w:rPr>
          <w:rFonts w:ascii="Garamond" w:hAnsi="Garamond" w:cs="Arial"/>
          <w:color w:val="000000"/>
          <w:sz w:val="20"/>
          <w:szCs w:val="20"/>
        </w:rPr>
        <w:t xml:space="preserve">Soudcem může být </w:t>
      </w:r>
      <w:r>
        <w:rPr>
          <w:rFonts w:ascii="Garamond" w:hAnsi="Garamond" w:cs="Arial"/>
          <w:color w:val="000000"/>
          <w:sz w:val="20"/>
          <w:szCs w:val="20"/>
        </w:rPr>
        <w:t xml:space="preserve">v České republice </w:t>
      </w:r>
      <w:r w:rsidRPr="000C7287">
        <w:rPr>
          <w:rFonts w:ascii="Garamond" w:hAnsi="Garamond" w:cs="Arial"/>
          <w:color w:val="000000"/>
          <w:sz w:val="20"/>
          <w:szCs w:val="20"/>
        </w:rPr>
        <w:t xml:space="preserve">ustanoven státní občan, který je plně svéprávný a bezúhonný, jestliže jeho zkušenosti a morální vlastnosti dávají záruku, že bude svou funkci řádně zastávat, v den ustanovení dosáhl věku nejméně 30 let a souhlasí se svým ustanovením </w:t>
      </w:r>
      <w:r>
        <w:rPr>
          <w:rFonts w:ascii="Garamond" w:hAnsi="Garamond" w:cs="Arial"/>
          <w:color w:val="000000"/>
          <w:sz w:val="20"/>
          <w:szCs w:val="20"/>
        </w:rPr>
        <w:t xml:space="preserve">a </w:t>
      </w:r>
      <w:r w:rsidRPr="000C7287">
        <w:rPr>
          <w:rFonts w:ascii="Garamond" w:hAnsi="Garamond" w:cs="Arial"/>
          <w:color w:val="000000"/>
          <w:sz w:val="20"/>
          <w:szCs w:val="20"/>
        </w:rPr>
        <w:t xml:space="preserve">přidělením k určitému soudu. Vyžadováno je dále vysokoškolské vzdělání v magisterském studijním programu v oblasti práva, složení odborné justiční zkoušky a úspěšné absolvování výběrového řízení na funkci soudce [§ 60 odst. 1 a 3 </w:t>
      </w:r>
      <w:r w:rsidRPr="000C7287">
        <w:rPr>
          <w:rFonts w:ascii="Garamond" w:hAnsi="Garamond"/>
          <w:sz w:val="20"/>
          <w:szCs w:val="20"/>
        </w:rPr>
        <w:t>zákona č. 6/2002 Sb., o soudech, soudcích, přísedících a státní správě soudů a o změně některých dalších zákonů, ve znění pozdějších předpisů (</w:t>
      </w:r>
      <w:r>
        <w:rPr>
          <w:rFonts w:ascii="Garamond" w:hAnsi="Garamond"/>
          <w:sz w:val="20"/>
          <w:szCs w:val="20"/>
        </w:rPr>
        <w:t>dále jen „zákon o soudech a </w:t>
      </w:r>
      <w:r w:rsidRPr="000C7287">
        <w:rPr>
          <w:rFonts w:ascii="Garamond" w:hAnsi="Garamond"/>
          <w:sz w:val="20"/>
          <w:szCs w:val="20"/>
        </w:rPr>
        <w:t>soudcích“ či „ZSS“)]</w:t>
      </w:r>
      <w:r>
        <w:rPr>
          <w:rFonts w:ascii="Garamond" w:hAnsi="Garamond"/>
          <w:sz w:val="20"/>
          <w:szCs w:val="20"/>
        </w:rPr>
        <w:t>.</w:t>
      </w:r>
    </w:p>
  </w:footnote>
  <w:footnote w:id="6">
    <w:p w14:paraId="48ACAFF6" w14:textId="6203FF7F" w:rsidR="00F26821" w:rsidRDefault="00F26821" w:rsidP="000C7287">
      <w:pPr>
        <w:autoSpaceDE w:val="0"/>
        <w:autoSpaceDN w:val="0"/>
        <w:adjustRightInd w:val="0"/>
        <w:spacing w:line="240" w:lineRule="auto"/>
      </w:pPr>
      <w:r w:rsidRPr="000C7287">
        <w:rPr>
          <w:rFonts w:cs="Arial"/>
          <w:color w:val="000000"/>
          <w:sz w:val="20"/>
          <w:szCs w:val="20"/>
          <w:vertAlign w:val="superscript"/>
        </w:rPr>
        <w:footnoteRef/>
      </w:r>
      <w:r w:rsidRPr="000C7287">
        <w:rPr>
          <w:rFonts w:cs="Arial"/>
          <w:color w:val="000000"/>
          <w:sz w:val="20"/>
          <w:szCs w:val="20"/>
        </w:rPr>
        <w:t xml:space="preserve"> Přijetí do klerického stavu nastává udělením jáhenského svěcení, s čímž je spojeno jak poslání vykonávat moc ze</w:t>
      </w:r>
      <w:r>
        <w:rPr>
          <w:rFonts w:cs="Arial"/>
          <w:color w:val="000000"/>
          <w:sz w:val="20"/>
          <w:szCs w:val="20"/>
        </w:rPr>
        <w:t> </w:t>
      </w:r>
      <w:r w:rsidRPr="000C7287">
        <w:rPr>
          <w:rFonts w:cs="Arial"/>
          <w:color w:val="000000"/>
          <w:sz w:val="20"/>
          <w:szCs w:val="20"/>
        </w:rPr>
        <w:t>svěcení, tak také na základě kanonického pověření moc řízení.</w:t>
      </w:r>
      <w:r>
        <w:rPr>
          <w:rFonts w:cs="Arial"/>
          <w:color w:val="000000"/>
          <w:sz w:val="20"/>
          <w:szCs w:val="20"/>
        </w:rPr>
        <w:t xml:space="preserve"> </w:t>
      </w:r>
      <w:r w:rsidRPr="000C7287">
        <w:rPr>
          <w:rFonts w:cs="Arial"/>
          <w:color w:val="000000"/>
          <w:sz w:val="20"/>
          <w:szCs w:val="20"/>
        </w:rPr>
        <w:t xml:space="preserve">Pro zajištění tohoto výkonu jsou klerici vybaveni souborem oprávnění a povinností, čímž je definován jejich personální status [NĚMEC, D. </w:t>
      </w:r>
      <w:r w:rsidRPr="000C7287">
        <w:rPr>
          <w:rFonts w:cs="Arial"/>
          <w:i/>
          <w:color w:val="000000"/>
          <w:sz w:val="20"/>
          <w:szCs w:val="20"/>
        </w:rPr>
        <w:t>Mimořádné způsoby propuštění katolických duchovních z duchovního stavu na základě dokumentů Kongregace pro klérus z let 2009 a 2010</w:t>
      </w:r>
      <w:r w:rsidRPr="000C7287">
        <w:rPr>
          <w:rFonts w:cs="Arial"/>
          <w:color w:val="000000"/>
          <w:sz w:val="20"/>
          <w:szCs w:val="20"/>
        </w:rPr>
        <w:t>. Revue církevního práva. Praha: Společnost pro církevní právo, 2012, roč. 18, č. 51, s. 8].</w:t>
      </w:r>
    </w:p>
  </w:footnote>
  <w:footnote w:id="7">
    <w:p w14:paraId="6326F563" w14:textId="77777777" w:rsidR="00F26821" w:rsidRPr="00005427" w:rsidRDefault="00F26821" w:rsidP="000C7287">
      <w:pPr>
        <w:pStyle w:val="Textpoznpodarou"/>
        <w:spacing w:line="240" w:lineRule="auto"/>
      </w:pPr>
      <w:r w:rsidRPr="00005427">
        <w:rPr>
          <w:rStyle w:val="Znakapoznpodarou"/>
        </w:rPr>
        <w:footnoteRef/>
      </w:r>
      <w:r w:rsidRPr="00005427">
        <w:t xml:space="preserve"> V této práci používám termíny </w:t>
      </w:r>
      <w:r w:rsidRPr="00005427">
        <w:rPr>
          <w:i/>
        </w:rPr>
        <w:t>světské</w:t>
      </w:r>
      <w:r w:rsidRPr="00005427">
        <w:t xml:space="preserve">, </w:t>
      </w:r>
      <w:r w:rsidRPr="00005427">
        <w:rPr>
          <w:i/>
        </w:rPr>
        <w:t>sekulární</w:t>
      </w:r>
      <w:r w:rsidRPr="00005427">
        <w:t xml:space="preserve"> a </w:t>
      </w:r>
      <w:r w:rsidRPr="00005427">
        <w:rPr>
          <w:i/>
        </w:rPr>
        <w:t>státní</w:t>
      </w:r>
      <w:r w:rsidRPr="00005427">
        <w:t xml:space="preserve"> právo jako synonyma; rozumím jimi přitom právní řád České republiky.</w:t>
      </w:r>
    </w:p>
  </w:footnote>
  <w:footnote w:id="8">
    <w:p w14:paraId="68A0D49E" w14:textId="2129D9CD" w:rsidR="00F26821" w:rsidRPr="0036682C" w:rsidRDefault="00F26821" w:rsidP="0024547B">
      <w:pPr>
        <w:pStyle w:val="Textpoznpodarou"/>
        <w:spacing w:line="240" w:lineRule="auto"/>
      </w:pPr>
      <w:r w:rsidRPr="00005427">
        <w:rPr>
          <w:rStyle w:val="Znakapoznpodarou"/>
        </w:rPr>
        <w:footnoteRef/>
      </w:r>
      <w:r w:rsidRPr="00005427">
        <w:t xml:space="preserve"> </w:t>
      </w:r>
      <w:r w:rsidRPr="00005427">
        <w:rPr>
          <w:rFonts w:cs="Garamond"/>
        </w:rPr>
        <w:t xml:space="preserve">MENKE, M. </w:t>
      </w:r>
      <w:r w:rsidRPr="00005427">
        <w:rPr>
          <w:rFonts w:cs="Garamond"/>
          <w:i/>
        </w:rPr>
        <w:t>Trestněprávní odpovědnost duchovních v kontaktu s nezletilými v právu českém a kanonickém</w:t>
      </w:r>
      <w:r w:rsidRPr="00005427">
        <w:rPr>
          <w:rFonts w:cs="Garamond"/>
        </w:rPr>
        <w:t xml:space="preserve">. </w:t>
      </w:r>
      <w:proofErr w:type="spellStart"/>
      <w:r w:rsidRPr="00005427">
        <w:rPr>
          <w:rFonts w:cs="Garamond"/>
        </w:rPr>
        <w:t>Iurium</w:t>
      </w:r>
      <w:proofErr w:type="spellEnd"/>
      <w:r w:rsidRPr="00005427">
        <w:rPr>
          <w:rFonts w:cs="Garamond"/>
        </w:rPr>
        <w:t xml:space="preserve"> </w:t>
      </w:r>
      <w:proofErr w:type="spellStart"/>
      <w:r w:rsidRPr="00005427">
        <w:rPr>
          <w:rFonts w:cs="Garamond"/>
        </w:rPr>
        <w:t>Scriptum</w:t>
      </w:r>
      <w:proofErr w:type="spellEnd"/>
      <w:r w:rsidRPr="00005427">
        <w:rPr>
          <w:rFonts w:cs="Garamond"/>
        </w:rPr>
        <w:t>.</w:t>
      </w:r>
      <w:r w:rsidRPr="0036682C">
        <w:rPr>
          <w:rFonts w:cs="Garamond"/>
        </w:rPr>
        <w:t xml:space="preserve"> Olomouc</w:t>
      </w:r>
      <w:r>
        <w:rPr>
          <w:rFonts w:cs="Garamond"/>
        </w:rPr>
        <w:t xml:space="preserve">: </w:t>
      </w:r>
      <w:proofErr w:type="spellStart"/>
      <w:r w:rsidRPr="008F3A1D">
        <w:rPr>
          <w:rFonts w:cs="Garamond"/>
        </w:rPr>
        <w:t>Nugis</w:t>
      </w:r>
      <w:proofErr w:type="spellEnd"/>
      <w:r w:rsidRPr="008F3A1D">
        <w:rPr>
          <w:rFonts w:cs="Garamond"/>
        </w:rPr>
        <w:t xml:space="preserve"> Finem, </w:t>
      </w:r>
      <w:r w:rsidRPr="0036682C">
        <w:rPr>
          <w:rFonts w:cs="Garamond"/>
        </w:rPr>
        <w:t>2018</w:t>
      </w:r>
      <w:r>
        <w:rPr>
          <w:rFonts w:cs="Garamond"/>
        </w:rPr>
        <w:t>, č. </w:t>
      </w:r>
      <w:r w:rsidRPr="0036682C">
        <w:rPr>
          <w:rFonts w:cs="Garamond"/>
        </w:rPr>
        <w:t xml:space="preserve">1, </w:t>
      </w:r>
      <w:r>
        <w:rPr>
          <w:rFonts w:cs="Garamond"/>
        </w:rPr>
        <w:t xml:space="preserve">s. 90, </w:t>
      </w:r>
      <w:r w:rsidRPr="0036682C">
        <w:rPr>
          <w:rFonts w:cs="Garamond"/>
        </w:rPr>
        <w:t>pozn</w:t>
      </w:r>
      <w:r>
        <w:rPr>
          <w:rFonts w:cs="Garamond"/>
        </w:rPr>
        <w:t>.</w:t>
      </w:r>
      <w:r w:rsidRPr="0036682C">
        <w:rPr>
          <w:rFonts w:cs="Garamond"/>
        </w:rPr>
        <w:t xml:space="preserve"> č.</w:t>
      </w:r>
      <w:r>
        <w:rPr>
          <w:rFonts w:cs="Garamond"/>
        </w:rPr>
        <w:t> 1.</w:t>
      </w:r>
    </w:p>
  </w:footnote>
  <w:footnote w:id="9">
    <w:p w14:paraId="7D09A2B0" w14:textId="39350840" w:rsidR="00F26821" w:rsidRPr="00540B67" w:rsidRDefault="00F26821" w:rsidP="00085FE5">
      <w:pPr>
        <w:pStyle w:val="Textpoznpodarou"/>
        <w:spacing w:line="240" w:lineRule="auto"/>
      </w:pPr>
      <w:r w:rsidRPr="00596E6C">
        <w:rPr>
          <w:rStyle w:val="Znakapoznpodarou"/>
        </w:rPr>
        <w:footnoteRef/>
      </w:r>
      <w:r w:rsidRPr="00596E6C">
        <w:t xml:space="preserve"> Studijní plán bakalářského programu </w:t>
      </w:r>
      <w:r w:rsidRPr="00596E6C">
        <w:rPr>
          <w:i/>
        </w:rPr>
        <w:t>Teologické nauky</w:t>
      </w:r>
      <w:r w:rsidRPr="00596E6C">
        <w:t xml:space="preserve"> totiž nezahrnuje žádnou výuku týkající se kanonického trestního práva; veškeré mé poznatky jsou proto výsledkem samostudia</w:t>
      </w:r>
      <w:r w:rsidRPr="00540B67">
        <w:t>.</w:t>
      </w:r>
    </w:p>
  </w:footnote>
  <w:footnote w:id="10">
    <w:p w14:paraId="75B32C5A" w14:textId="77777777" w:rsidR="00F26821" w:rsidRPr="00540B67" w:rsidRDefault="00F26821" w:rsidP="00596E6C">
      <w:pPr>
        <w:spacing w:line="240" w:lineRule="auto"/>
        <w:rPr>
          <w:sz w:val="20"/>
          <w:szCs w:val="20"/>
        </w:rPr>
      </w:pPr>
      <w:r w:rsidRPr="00540B67">
        <w:rPr>
          <w:rStyle w:val="Znakapoznpodarou"/>
          <w:sz w:val="20"/>
          <w:szCs w:val="20"/>
        </w:rPr>
        <w:footnoteRef/>
      </w:r>
      <w:r w:rsidRPr="00540B67">
        <w:rPr>
          <w:sz w:val="20"/>
          <w:szCs w:val="20"/>
        </w:rPr>
        <w:t xml:space="preserve"> </w:t>
      </w:r>
      <w:proofErr w:type="spellStart"/>
      <w:r w:rsidRPr="00540B67">
        <w:rPr>
          <w:rFonts w:cs="Arial"/>
          <w:i/>
          <w:iCs/>
          <w:sz w:val="20"/>
          <w:szCs w:val="20"/>
          <w:shd w:val="clear" w:color="auto" w:fill="FFFFFF"/>
        </w:rPr>
        <w:t>Codex</w:t>
      </w:r>
      <w:proofErr w:type="spellEnd"/>
      <w:r w:rsidRPr="00540B67">
        <w:rPr>
          <w:rFonts w:cs="Arial"/>
          <w:i/>
          <w:iCs/>
          <w:sz w:val="20"/>
          <w:szCs w:val="20"/>
          <w:shd w:val="clear" w:color="auto" w:fill="FFFFFF"/>
        </w:rPr>
        <w:t xml:space="preserve"> </w:t>
      </w:r>
      <w:proofErr w:type="spellStart"/>
      <w:r w:rsidRPr="00540B67">
        <w:rPr>
          <w:rFonts w:cs="Arial"/>
          <w:i/>
          <w:iCs/>
          <w:sz w:val="20"/>
          <w:szCs w:val="20"/>
          <w:shd w:val="clear" w:color="auto" w:fill="FFFFFF"/>
        </w:rPr>
        <w:t>Iuris</w:t>
      </w:r>
      <w:proofErr w:type="spellEnd"/>
      <w:r w:rsidRPr="00540B67">
        <w:rPr>
          <w:rFonts w:cs="Arial"/>
          <w:i/>
          <w:iCs/>
          <w:sz w:val="20"/>
          <w:szCs w:val="20"/>
          <w:shd w:val="clear" w:color="auto" w:fill="FFFFFF"/>
        </w:rPr>
        <w:t xml:space="preserve"> </w:t>
      </w:r>
      <w:proofErr w:type="spellStart"/>
      <w:r w:rsidRPr="00540B67">
        <w:rPr>
          <w:rFonts w:cs="Arial"/>
          <w:i/>
          <w:iCs/>
          <w:sz w:val="20"/>
          <w:szCs w:val="20"/>
          <w:shd w:val="clear" w:color="auto" w:fill="FFFFFF"/>
        </w:rPr>
        <w:t>Canonici</w:t>
      </w:r>
      <w:proofErr w:type="spellEnd"/>
      <w:r w:rsidRPr="00540B67">
        <w:rPr>
          <w:rFonts w:cs="Arial"/>
          <w:iCs/>
          <w:sz w:val="20"/>
          <w:szCs w:val="20"/>
          <w:shd w:val="clear" w:color="auto" w:fill="FFFFFF"/>
        </w:rPr>
        <w:t xml:space="preserve"> z roku 1983 (</w:t>
      </w:r>
      <w:r w:rsidRPr="00540B67">
        <w:rPr>
          <w:sz w:val="20"/>
          <w:szCs w:val="20"/>
        </w:rPr>
        <w:t>dále jen „Kodex“ či „CIC“).</w:t>
      </w:r>
    </w:p>
  </w:footnote>
  <w:footnote w:id="11">
    <w:p w14:paraId="75B9609E" w14:textId="77777777" w:rsidR="00F26821" w:rsidRPr="00085FE5" w:rsidRDefault="00F26821" w:rsidP="001A6965">
      <w:pPr>
        <w:spacing w:line="240" w:lineRule="auto"/>
        <w:rPr>
          <w:bCs/>
          <w:sz w:val="20"/>
          <w:szCs w:val="20"/>
        </w:rPr>
      </w:pPr>
      <w:r w:rsidRPr="00085FE5">
        <w:rPr>
          <w:rStyle w:val="Znakapoznpodarou"/>
          <w:sz w:val="20"/>
          <w:szCs w:val="20"/>
        </w:rPr>
        <w:footnoteRef/>
      </w:r>
      <w:r w:rsidRPr="00085FE5">
        <w:rPr>
          <w:sz w:val="20"/>
          <w:szCs w:val="20"/>
        </w:rPr>
        <w:t xml:space="preserve"> Zákon č. 7/2002 Sb., o řízení ve věcech soudců, státních zástupců a soudních exekutorů, ve znění pozdějších předpisů (dále jen „kárný řád“</w:t>
      </w:r>
      <w:r>
        <w:rPr>
          <w:sz w:val="20"/>
          <w:szCs w:val="20"/>
        </w:rPr>
        <w:t xml:space="preserve"> či „KŘ“</w:t>
      </w:r>
      <w:r w:rsidRPr="00085FE5">
        <w:rPr>
          <w:sz w:val="20"/>
          <w:szCs w:val="20"/>
        </w:rPr>
        <w:t>).</w:t>
      </w:r>
    </w:p>
  </w:footnote>
  <w:footnote w:id="12">
    <w:p w14:paraId="63BC8B34" w14:textId="4E6D98D5" w:rsidR="00F26821" w:rsidRPr="001A6965" w:rsidRDefault="00F26821" w:rsidP="001A6965">
      <w:pPr>
        <w:spacing w:line="240" w:lineRule="auto"/>
        <w:rPr>
          <w:sz w:val="20"/>
          <w:szCs w:val="20"/>
        </w:rPr>
      </w:pPr>
      <w:r w:rsidRPr="001A6965">
        <w:rPr>
          <w:rStyle w:val="Znakapoznpodarou"/>
          <w:sz w:val="20"/>
          <w:szCs w:val="20"/>
        </w:rPr>
        <w:footnoteRef/>
      </w:r>
      <w:r w:rsidRPr="001A6965">
        <w:rPr>
          <w:sz w:val="20"/>
          <w:szCs w:val="20"/>
        </w:rPr>
        <w:t xml:space="preserve"> Poslanecká sněmovna Parlamentu České republiky. </w:t>
      </w:r>
      <w:r w:rsidRPr="001A6965">
        <w:rPr>
          <w:i/>
          <w:iCs/>
          <w:sz w:val="20"/>
          <w:szCs w:val="20"/>
        </w:rPr>
        <w:t xml:space="preserve">Sněmovní tisk 683/0. </w:t>
      </w:r>
      <w:r w:rsidRPr="001A6965">
        <w:rPr>
          <w:iCs/>
          <w:sz w:val="20"/>
          <w:szCs w:val="20"/>
        </w:rPr>
        <w:t>Aktuálně je jeho projednávání přerušeno usnesením Ústavně právního výboru ze dne 5. 2. 2021. Dostupné</w:t>
      </w:r>
      <w:r>
        <w:rPr>
          <w:sz w:val="20"/>
          <w:szCs w:val="20"/>
        </w:rPr>
        <w:t xml:space="preserve"> z: </w:t>
      </w:r>
      <w:r w:rsidRPr="001A6965">
        <w:rPr>
          <w:i/>
          <w:sz w:val="20"/>
          <w:szCs w:val="20"/>
        </w:rPr>
        <w:t>https://www.psp.cz/sqw/text/tiskt.sqw?O=8&amp;CT=683&amp;CT1=0</w:t>
      </w:r>
    </w:p>
  </w:footnote>
  <w:footnote w:id="13">
    <w:p w14:paraId="533522D4" w14:textId="36BB7BA2" w:rsidR="00F26821" w:rsidRPr="00D874B6" w:rsidRDefault="00F26821" w:rsidP="00D874B6">
      <w:pPr>
        <w:pStyle w:val="Pa13"/>
        <w:spacing w:line="240" w:lineRule="auto"/>
        <w:rPr>
          <w:rFonts w:cs="Garamond"/>
          <w:sz w:val="20"/>
          <w:szCs w:val="20"/>
        </w:rPr>
      </w:pPr>
      <w:r w:rsidRPr="00D874B6">
        <w:rPr>
          <w:rStyle w:val="Znakapoznpodarou"/>
          <w:sz w:val="20"/>
          <w:szCs w:val="20"/>
        </w:rPr>
        <w:footnoteRef/>
      </w:r>
      <w:r w:rsidRPr="00D874B6">
        <w:rPr>
          <w:sz w:val="20"/>
          <w:szCs w:val="20"/>
        </w:rPr>
        <w:t xml:space="preserve"> </w:t>
      </w:r>
      <w:r w:rsidRPr="00D874B6">
        <w:rPr>
          <w:rFonts w:cs="Garamond"/>
          <w:sz w:val="20"/>
          <w:szCs w:val="20"/>
        </w:rPr>
        <w:t xml:space="preserve">HRDINA, A. </w:t>
      </w:r>
      <w:r w:rsidRPr="00D874B6">
        <w:rPr>
          <w:rFonts w:cs="Garamond"/>
          <w:i/>
          <w:iCs/>
          <w:sz w:val="20"/>
          <w:szCs w:val="20"/>
        </w:rPr>
        <w:t>Kanonické právo. Dějiny pramenů, teorie, platné právo</w:t>
      </w:r>
      <w:r w:rsidRPr="00D874B6">
        <w:rPr>
          <w:rFonts w:cs="Garamond"/>
          <w:sz w:val="20"/>
          <w:szCs w:val="20"/>
        </w:rPr>
        <w:t xml:space="preserve">. Plzeň: Aleš Čeněk, 2011, </w:t>
      </w:r>
      <w:r>
        <w:rPr>
          <w:rFonts w:cs="Garamond"/>
          <w:sz w:val="20"/>
          <w:szCs w:val="20"/>
        </w:rPr>
        <w:t>s.</w:t>
      </w:r>
      <w:r w:rsidRPr="00D874B6">
        <w:rPr>
          <w:rFonts w:cs="Garamond"/>
          <w:sz w:val="20"/>
          <w:szCs w:val="20"/>
        </w:rPr>
        <w:t xml:space="preserve"> </w:t>
      </w:r>
      <w:r w:rsidRPr="00D874B6">
        <w:rPr>
          <w:sz w:val="20"/>
          <w:szCs w:val="20"/>
        </w:rPr>
        <w:t>259.</w:t>
      </w:r>
    </w:p>
  </w:footnote>
  <w:footnote w:id="14">
    <w:p w14:paraId="38861028" w14:textId="42742BCF" w:rsidR="00F26821" w:rsidRPr="00D874B6" w:rsidRDefault="00F26821" w:rsidP="00D874B6">
      <w:pPr>
        <w:spacing w:line="240" w:lineRule="auto"/>
        <w:rPr>
          <w:sz w:val="20"/>
          <w:szCs w:val="20"/>
        </w:rPr>
      </w:pPr>
      <w:r w:rsidRPr="00D874B6">
        <w:rPr>
          <w:rStyle w:val="Znakapoznpodarou"/>
          <w:sz w:val="20"/>
          <w:szCs w:val="20"/>
        </w:rPr>
        <w:footnoteRef/>
      </w:r>
      <w:r w:rsidRPr="00D874B6">
        <w:rPr>
          <w:sz w:val="20"/>
          <w:szCs w:val="20"/>
        </w:rPr>
        <w:t xml:space="preserve"> </w:t>
      </w:r>
      <w:r w:rsidRPr="00D874B6">
        <w:rPr>
          <w:rFonts w:cs="Garamond"/>
          <w:sz w:val="20"/>
          <w:szCs w:val="20"/>
        </w:rPr>
        <w:t xml:space="preserve">TRETERA, J., HORÁK, Z. </w:t>
      </w:r>
      <w:r w:rsidRPr="00D874B6">
        <w:rPr>
          <w:rFonts w:cs="Garamond"/>
          <w:i/>
          <w:iCs/>
          <w:sz w:val="20"/>
          <w:szCs w:val="20"/>
        </w:rPr>
        <w:t>Církevní právo</w:t>
      </w:r>
      <w:r w:rsidRPr="00D874B6">
        <w:rPr>
          <w:rFonts w:cs="Garamond"/>
          <w:sz w:val="20"/>
          <w:szCs w:val="20"/>
        </w:rPr>
        <w:t xml:space="preserve">. Praha: </w:t>
      </w:r>
      <w:proofErr w:type="spellStart"/>
      <w:r w:rsidRPr="00D874B6">
        <w:rPr>
          <w:rFonts w:cs="Garamond"/>
          <w:sz w:val="20"/>
          <w:szCs w:val="20"/>
        </w:rPr>
        <w:t>Leges</w:t>
      </w:r>
      <w:proofErr w:type="spellEnd"/>
      <w:r w:rsidRPr="00D874B6">
        <w:rPr>
          <w:rFonts w:cs="Garamond"/>
          <w:sz w:val="20"/>
          <w:szCs w:val="20"/>
        </w:rPr>
        <w:t xml:space="preserve">, 2021, </w:t>
      </w:r>
      <w:r>
        <w:rPr>
          <w:sz w:val="20"/>
          <w:szCs w:val="20"/>
        </w:rPr>
        <w:t>s.</w:t>
      </w:r>
      <w:r w:rsidRPr="00D874B6">
        <w:rPr>
          <w:sz w:val="20"/>
          <w:szCs w:val="20"/>
        </w:rPr>
        <w:t xml:space="preserve"> 30 a </w:t>
      </w:r>
      <w:r>
        <w:rPr>
          <w:sz w:val="20"/>
          <w:szCs w:val="20"/>
        </w:rPr>
        <w:t xml:space="preserve">s. </w:t>
      </w:r>
      <w:r w:rsidRPr="00D874B6">
        <w:rPr>
          <w:sz w:val="20"/>
          <w:szCs w:val="20"/>
        </w:rPr>
        <w:t>325.</w:t>
      </w:r>
    </w:p>
  </w:footnote>
  <w:footnote w:id="15">
    <w:p w14:paraId="0A26B304" w14:textId="77777777" w:rsidR="00F26821" w:rsidRPr="00D874B6" w:rsidRDefault="00F26821" w:rsidP="00D874B6">
      <w:pPr>
        <w:spacing w:line="240" w:lineRule="auto"/>
        <w:rPr>
          <w:sz w:val="20"/>
          <w:szCs w:val="20"/>
        </w:rPr>
      </w:pPr>
      <w:r w:rsidRPr="00D874B6">
        <w:rPr>
          <w:rStyle w:val="Znakapoznpodarou"/>
          <w:sz w:val="20"/>
          <w:szCs w:val="20"/>
        </w:rPr>
        <w:footnoteRef/>
      </w:r>
      <w:r w:rsidRPr="00D874B6">
        <w:rPr>
          <w:sz w:val="20"/>
          <w:szCs w:val="20"/>
        </w:rPr>
        <w:t xml:space="preserve"> Kán. 1311 § 1 CIC.</w:t>
      </w:r>
    </w:p>
  </w:footnote>
  <w:footnote w:id="16">
    <w:p w14:paraId="09AE43D3" w14:textId="77777777" w:rsidR="00F26821" w:rsidRPr="00D874B6" w:rsidRDefault="00F26821" w:rsidP="00D874B6">
      <w:pPr>
        <w:spacing w:line="240" w:lineRule="auto"/>
        <w:rPr>
          <w:sz w:val="20"/>
          <w:szCs w:val="20"/>
        </w:rPr>
      </w:pPr>
      <w:r w:rsidRPr="00D874B6">
        <w:rPr>
          <w:rStyle w:val="Znakapoznpodarou"/>
          <w:sz w:val="20"/>
          <w:szCs w:val="20"/>
        </w:rPr>
        <w:footnoteRef/>
      </w:r>
      <w:r w:rsidRPr="00D874B6">
        <w:rPr>
          <w:sz w:val="20"/>
          <w:szCs w:val="20"/>
        </w:rPr>
        <w:t xml:space="preserve"> Kán. 1311 § 2 CIC.</w:t>
      </w:r>
    </w:p>
  </w:footnote>
  <w:footnote w:id="17">
    <w:p w14:paraId="7D6C9EEF" w14:textId="773957BB" w:rsidR="00F26821" w:rsidRPr="00D874B6" w:rsidRDefault="00F26821" w:rsidP="00D874B6">
      <w:pPr>
        <w:pStyle w:val="Default"/>
        <w:jc w:val="both"/>
        <w:rPr>
          <w:color w:val="auto"/>
          <w:sz w:val="20"/>
          <w:szCs w:val="20"/>
        </w:rPr>
      </w:pPr>
      <w:r w:rsidRPr="00D874B6">
        <w:rPr>
          <w:rStyle w:val="Znakapoznpodarou"/>
          <w:color w:val="auto"/>
          <w:sz w:val="20"/>
          <w:szCs w:val="20"/>
        </w:rPr>
        <w:footnoteRef/>
      </w:r>
      <w:r w:rsidRPr="00D874B6">
        <w:rPr>
          <w:color w:val="auto"/>
          <w:sz w:val="20"/>
          <w:szCs w:val="20"/>
        </w:rPr>
        <w:t xml:space="preserve"> HRDINA, A.</w:t>
      </w:r>
      <w:r w:rsidRPr="00D874B6">
        <w:rPr>
          <w:rFonts w:cs="Arial"/>
          <w:color w:val="auto"/>
          <w:sz w:val="20"/>
          <w:szCs w:val="20"/>
          <w:shd w:val="clear" w:color="auto" w:fill="FFFFFF"/>
        </w:rPr>
        <w:t xml:space="preserve"> </w:t>
      </w:r>
      <w:r w:rsidRPr="00D874B6">
        <w:rPr>
          <w:rFonts w:cs="Arial"/>
          <w:i/>
          <w:color w:val="auto"/>
          <w:sz w:val="20"/>
          <w:szCs w:val="20"/>
          <w:shd w:val="clear" w:color="auto" w:fill="FFFFFF"/>
        </w:rPr>
        <w:t>Fungování církevních soudů v trestních věcech</w:t>
      </w:r>
      <w:r w:rsidRPr="00D874B6">
        <w:rPr>
          <w:rFonts w:cs="Arial"/>
          <w:color w:val="auto"/>
          <w:sz w:val="20"/>
          <w:szCs w:val="20"/>
          <w:shd w:val="clear" w:color="auto" w:fill="FFFFFF"/>
        </w:rPr>
        <w:t xml:space="preserve">. </w:t>
      </w:r>
      <w:r w:rsidRPr="00D874B6">
        <w:rPr>
          <w:rFonts w:cs="Arial"/>
          <w:iCs/>
          <w:color w:val="auto"/>
          <w:sz w:val="20"/>
          <w:szCs w:val="20"/>
          <w:shd w:val="clear" w:color="auto" w:fill="FFFFFF"/>
        </w:rPr>
        <w:t>Časopis pro právní vědu a praxi</w:t>
      </w:r>
      <w:r w:rsidRPr="00D874B6">
        <w:rPr>
          <w:rFonts w:cs="Arial"/>
          <w:color w:val="auto"/>
          <w:sz w:val="20"/>
          <w:szCs w:val="20"/>
          <w:shd w:val="clear" w:color="auto" w:fill="FFFFFF"/>
        </w:rPr>
        <w:t xml:space="preserve">. Brno: </w:t>
      </w:r>
      <w:r>
        <w:rPr>
          <w:rFonts w:cs="Arial"/>
          <w:color w:val="auto"/>
          <w:sz w:val="20"/>
          <w:szCs w:val="20"/>
          <w:shd w:val="clear" w:color="auto" w:fill="FFFFFF"/>
        </w:rPr>
        <w:t>Masarykova univerzita</w:t>
      </w:r>
      <w:r w:rsidRPr="00D874B6">
        <w:rPr>
          <w:rFonts w:cs="Arial"/>
          <w:color w:val="auto"/>
          <w:sz w:val="20"/>
          <w:szCs w:val="20"/>
          <w:shd w:val="clear" w:color="auto" w:fill="FFFFFF"/>
        </w:rPr>
        <w:t>, 2013,</w:t>
      </w:r>
      <w:r>
        <w:rPr>
          <w:rFonts w:cs="Arial"/>
          <w:color w:val="auto"/>
          <w:sz w:val="20"/>
          <w:szCs w:val="20"/>
          <w:shd w:val="clear" w:color="auto" w:fill="FFFFFF"/>
        </w:rPr>
        <w:t xml:space="preserve"> </w:t>
      </w:r>
      <w:r w:rsidRPr="00D874B6">
        <w:rPr>
          <w:rFonts w:cs="Arial"/>
          <w:color w:val="auto"/>
          <w:sz w:val="20"/>
          <w:szCs w:val="20"/>
          <w:shd w:val="clear" w:color="auto" w:fill="FFFFFF"/>
        </w:rPr>
        <w:t xml:space="preserve">roč. </w:t>
      </w:r>
      <w:r w:rsidRPr="00D874B6">
        <w:rPr>
          <w:rFonts w:cs="Arial"/>
          <w:bCs/>
          <w:color w:val="auto"/>
          <w:sz w:val="20"/>
          <w:szCs w:val="20"/>
          <w:shd w:val="clear" w:color="auto" w:fill="FFFFFF"/>
        </w:rPr>
        <w:t>21</w:t>
      </w:r>
      <w:r w:rsidRPr="00D874B6">
        <w:rPr>
          <w:rFonts w:cs="Arial"/>
          <w:color w:val="auto"/>
          <w:sz w:val="20"/>
          <w:szCs w:val="20"/>
          <w:shd w:val="clear" w:color="auto" w:fill="FFFFFF"/>
        </w:rPr>
        <w:t>,</w:t>
      </w:r>
      <w:r w:rsidRPr="00D874B6">
        <w:rPr>
          <w:color w:val="auto"/>
          <w:sz w:val="20"/>
          <w:szCs w:val="20"/>
        </w:rPr>
        <w:t xml:space="preserve"> č. 2, </w:t>
      </w:r>
      <w:r>
        <w:rPr>
          <w:color w:val="auto"/>
          <w:sz w:val="20"/>
          <w:szCs w:val="20"/>
        </w:rPr>
        <w:t>s.</w:t>
      </w:r>
      <w:r w:rsidRPr="00D874B6">
        <w:rPr>
          <w:color w:val="auto"/>
          <w:sz w:val="20"/>
          <w:szCs w:val="20"/>
        </w:rPr>
        <w:t xml:space="preserve"> 230.</w:t>
      </w:r>
    </w:p>
  </w:footnote>
  <w:footnote w:id="18">
    <w:p w14:paraId="4B1A3A40" w14:textId="6A798952" w:rsidR="00F26821" w:rsidRPr="00D874B6" w:rsidRDefault="00F26821" w:rsidP="00D874B6">
      <w:pPr>
        <w:spacing w:line="240" w:lineRule="auto"/>
        <w:rPr>
          <w:sz w:val="20"/>
          <w:szCs w:val="20"/>
        </w:rPr>
      </w:pPr>
      <w:r w:rsidRPr="00D874B6">
        <w:rPr>
          <w:rStyle w:val="Znakapoznpodarou"/>
          <w:sz w:val="20"/>
          <w:szCs w:val="20"/>
        </w:rPr>
        <w:footnoteRef/>
      </w:r>
      <w:r w:rsidRPr="00D874B6">
        <w:rPr>
          <w:sz w:val="20"/>
          <w:szCs w:val="20"/>
        </w:rPr>
        <w:t xml:space="preserve"> </w:t>
      </w:r>
      <w:r>
        <w:rPr>
          <w:rFonts w:cs="Garamond"/>
          <w:sz w:val="20"/>
          <w:szCs w:val="20"/>
        </w:rPr>
        <w:t xml:space="preserve">HRDINA, </w:t>
      </w:r>
      <w:r w:rsidRPr="00D874B6">
        <w:rPr>
          <w:rFonts w:cs="Garamond"/>
          <w:i/>
          <w:iCs/>
          <w:sz w:val="20"/>
          <w:szCs w:val="20"/>
        </w:rPr>
        <w:t>Kanonické právo</w:t>
      </w:r>
      <w:r w:rsidRPr="00D874B6">
        <w:rPr>
          <w:rFonts w:cs="Garamond"/>
          <w:iCs/>
          <w:sz w:val="20"/>
          <w:szCs w:val="20"/>
        </w:rPr>
        <w:t xml:space="preserve">, </w:t>
      </w:r>
      <w:r>
        <w:rPr>
          <w:rFonts w:cs="Garamond"/>
          <w:iCs/>
          <w:sz w:val="20"/>
          <w:szCs w:val="20"/>
        </w:rPr>
        <w:t>s.</w:t>
      </w:r>
      <w:r w:rsidRPr="00D874B6">
        <w:rPr>
          <w:rFonts w:cs="Garamond"/>
          <w:iCs/>
          <w:sz w:val="20"/>
          <w:szCs w:val="20"/>
        </w:rPr>
        <w:t xml:space="preserve"> </w:t>
      </w:r>
      <w:r w:rsidRPr="00D874B6">
        <w:rPr>
          <w:sz w:val="20"/>
          <w:szCs w:val="20"/>
        </w:rPr>
        <w:t>259.</w:t>
      </w:r>
    </w:p>
  </w:footnote>
  <w:footnote w:id="19">
    <w:p w14:paraId="483973CE" w14:textId="3D430989" w:rsidR="00F26821" w:rsidRPr="00D4734E" w:rsidRDefault="00F26821" w:rsidP="00D874B6">
      <w:pPr>
        <w:pStyle w:val="Default"/>
        <w:jc w:val="both"/>
        <w:rPr>
          <w:color w:val="auto"/>
          <w:sz w:val="20"/>
          <w:szCs w:val="20"/>
        </w:rPr>
      </w:pPr>
      <w:r w:rsidRPr="00D874B6">
        <w:rPr>
          <w:rStyle w:val="Znakapoznpodarou"/>
          <w:color w:val="auto"/>
          <w:sz w:val="20"/>
          <w:szCs w:val="20"/>
        </w:rPr>
        <w:footnoteRef/>
      </w:r>
      <w:r w:rsidRPr="00D874B6">
        <w:rPr>
          <w:color w:val="auto"/>
          <w:sz w:val="20"/>
          <w:szCs w:val="20"/>
        </w:rPr>
        <w:t xml:space="preserve"> </w:t>
      </w:r>
      <w:r w:rsidRPr="00D874B6">
        <w:rPr>
          <w:rFonts w:cs="Arial"/>
          <w:color w:val="auto"/>
          <w:spacing w:val="5"/>
          <w:sz w:val="20"/>
          <w:szCs w:val="20"/>
          <w:shd w:val="clear" w:color="auto" w:fill="FFFFFF"/>
        </w:rPr>
        <w:t xml:space="preserve">BOTEK, L., NAVRÁTILOVÁ, J. </w:t>
      </w:r>
      <w:r w:rsidRPr="00D874B6">
        <w:rPr>
          <w:rStyle w:val="Zvraznn"/>
          <w:rFonts w:cs="Arial"/>
          <w:color w:val="auto"/>
          <w:spacing w:val="5"/>
          <w:sz w:val="20"/>
          <w:szCs w:val="20"/>
        </w:rPr>
        <w:t xml:space="preserve">Trestné činy duchovních v sexuální oblasti z pohledu světského a kanonického práva. </w:t>
      </w:r>
      <w:r w:rsidRPr="00D874B6">
        <w:rPr>
          <w:rFonts w:cs="Arial"/>
          <w:color w:val="auto"/>
          <w:spacing w:val="5"/>
          <w:sz w:val="20"/>
          <w:szCs w:val="20"/>
          <w:shd w:val="clear" w:color="auto" w:fill="FFFFFF"/>
        </w:rPr>
        <w:t xml:space="preserve">Státní zastupitelství. </w:t>
      </w:r>
      <w:r w:rsidRPr="00D874B6">
        <w:rPr>
          <w:rFonts w:cs="Arial"/>
          <w:color w:val="auto"/>
          <w:sz w:val="20"/>
          <w:szCs w:val="20"/>
          <w:shd w:val="clear" w:color="auto" w:fill="FFFFFF"/>
        </w:rPr>
        <w:t xml:space="preserve">Praha: </w:t>
      </w:r>
      <w:proofErr w:type="spellStart"/>
      <w:r w:rsidRPr="00D874B6">
        <w:rPr>
          <w:rFonts w:cs="Arial"/>
          <w:color w:val="auto"/>
          <w:sz w:val="20"/>
          <w:szCs w:val="20"/>
          <w:shd w:val="clear" w:color="auto" w:fill="FFFFFF"/>
        </w:rPr>
        <w:t>Wolters</w:t>
      </w:r>
      <w:proofErr w:type="spellEnd"/>
      <w:r w:rsidRPr="00D874B6">
        <w:rPr>
          <w:rFonts w:cs="Arial"/>
          <w:color w:val="auto"/>
          <w:sz w:val="20"/>
          <w:szCs w:val="20"/>
          <w:shd w:val="clear" w:color="auto" w:fill="FFFFFF"/>
        </w:rPr>
        <w:t xml:space="preserve"> </w:t>
      </w:r>
      <w:proofErr w:type="spellStart"/>
      <w:r w:rsidRPr="00D874B6">
        <w:rPr>
          <w:rFonts w:cs="Arial"/>
          <w:color w:val="auto"/>
          <w:sz w:val="20"/>
          <w:szCs w:val="20"/>
          <w:shd w:val="clear" w:color="auto" w:fill="FFFFFF"/>
        </w:rPr>
        <w:t>Kluwer</w:t>
      </w:r>
      <w:proofErr w:type="spellEnd"/>
      <w:r w:rsidRPr="00D874B6">
        <w:rPr>
          <w:rFonts w:cs="Arial"/>
          <w:color w:val="auto"/>
          <w:sz w:val="20"/>
          <w:szCs w:val="20"/>
          <w:shd w:val="clear" w:color="auto" w:fill="FFFFFF"/>
        </w:rPr>
        <w:t xml:space="preserve">, </w:t>
      </w:r>
      <w:r w:rsidRPr="00D874B6">
        <w:rPr>
          <w:rFonts w:cs="Arial"/>
          <w:color w:val="auto"/>
          <w:spacing w:val="5"/>
          <w:sz w:val="20"/>
          <w:szCs w:val="20"/>
          <w:shd w:val="clear" w:color="auto" w:fill="FFFFFF"/>
        </w:rPr>
        <w:t>2019, č. 3</w:t>
      </w:r>
      <w:r>
        <w:rPr>
          <w:rFonts w:cs="Arial"/>
          <w:color w:val="auto"/>
          <w:spacing w:val="5"/>
          <w:sz w:val="20"/>
          <w:szCs w:val="20"/>
          <w:shd w:val="clear" w:color="auto" w:fill="FFFFFF"/>
        </w:rPr>
        <w:t>, s. 25.</w:t>
      </w:r>
    </w:p>
  </w:footnote>
  <w:footnote w:id="20">
    <w:p w14:paraId="5F1C7569" w14:textId="36A15AFC" w:rsidR="00F26821" w:rsidRPr="00984B90" w:rsidRDefault="00F26821" w:rsidP="00984B90">
      <w:pPr>
        <w:spacing w:line="240" w:lineRule="auto"/>
        <w:rPr>
          <w:sz w:val="20"/>
          <w:szCs w:val="20"/>
        </w:rPr>
      </w:pPr>
      <w:r w:rsidRPr="00984B90">
        <w:rPr>
          <w:rStyle w:val="Znakapoznpodarou"/>
          <w:sz w:val="20"/>
          <w:szCs w:val="20"/>
        </w:rPr>
        <w:footnoteRef/>
      </w:r>
      <w:r w:rsidRPr="00984B90">
        <w:rPr>
          <w:sz w:val="20"/>
          <w:szCs w:val="20"/>
        </w:rPr>
        <w:t xml:space="preserve"> </w:t>
      </w:r>
      <w:r w:rsidRPr="00984B90">
        <w:rPr>
          <w:rFonts w:cs="Garamond"/>
          <w:color w:val="000000"/>
          <w:sz w:val="20"/>
          <w:szCs w:val="20"/>
        </w:rPr>
        <w:t xml:space="preserve">TRETERA, HORÁK, </w:t>
      </w:r>
      <w:r>
        <w:rPr>
          <w:rFonts w:cs="Garamond"/>
          <w:color w:val="000000"/>
          <w:sz w:val="20"/>
          <w:szCs w:val="20"/>
        </w:rPr>
        <w:t>s.</w:t>
      </w:r>
      <w:r w:rsidRPr="00984B90">
        <w:rPr>
          <w:sz w:val="20"/>
          <w:szCs w:val="20"/>
        </w:rPr>
        <w:t xml:space="preserve"> 327.</w:t>
      </w:r>
    </w:p>
  </w:footnote>
  <w:footnote w:id="21">
    <w:p w14:paraId="61D1133C" w14:textId="6F3493B3" w:rsidR="00F26821" w:rsidRPr="005F661A" w:rsidRDefault="00F26821" w:rsidP="005F661A">
      <w:pPr>
        <w:spacing w:line="240" w:lineRule="auto"/>
        <w:rPr>
          <w:rFonts w:cs="Garamond"/>
          <w:sz w:val="20"/>
          <w:szCs w:val="20"/>
        </w:rPr>
      </w:pPr>
      <w:r w:rsidRPr="005F661A">
        <w:rPr>
          <w:rStyle w:val="Znakapoznpodarou"/>
          <w:sz w:val="20"/>
          <w:szCs w:val="20"/>
        </w:rPr>
        <w:footnoteRef/>
      </w:r>
      <w:r w:rsidRPr="005F661A">
        <w:rPr>
          <w:sz w:val="20"/>
          <w:szCs w:val="20"/>
        </w:rPr>
        <w:t xml:space="preserve"> Trestní právo</w:t>
      </w:r>
      <w:r w:rsidRPr="005F661A">
        <w:rPr>
          <w:rFonts w:cs="Arial"/>
          <w:sz w:val="20"/>
          <w:szCs w:val="20"/>
          <w:shd w:val="clear" w:color="auto" w:fill="FFFFFF"/>
        </w:rPr>
        <w:t xml:space="preserve"> východních katolických církví je upraveno v </w:t>
      </w:r>
      <w:r>
        <w:rPr>
          <w:rFonts w:cs="Garamond"/>
          <w:sz w:val="20"/>
          <w:szCs w:val="20"/>
        </w:rPr>
        <w:t>kán. 1413</w:t>
      </w:r>
      <w:r w:rsidRPr="00540B67">
        <w:rPr>
          <w:rFonts w:cs="Garamond"/>
          <w:sz w:val="20"/>
          <w:szCs w:val="20"/>
        </w:rPr>
        <w:sym w:font="Symbol" w:char="F02D"/>
      </w:r>
      <w:r w:rsidRPr="005F661A">
        <w:rPr>
          <w:rFonts w:cs="Garamond"/>
          <w:sz w:val="20"/>
          <w:szCs w:val="20"/>
        </w:rPr>
        <w:t xml:space="preserve">1416 </w:t>
      </w:r>
      <w:r w:rsidRPr="005F661A">
        <w:rPr>
          <w:rFonts w:cs="Garamond"/>
          <w:i/>
          <w:sz w:val="20"/>
          <w:szCs w:val="20"/>
        </w:rPr>
        <w:t>Kodexu kánonů východních církví</w:t>
      </w:r>
      <w:r w:rsidRPr="005F661A">
        <w:rPr>
          <w:rFonts w:cs="Garamond"/>
          <w:sz w:val="20"/>
          <w:szCs w:val="20"/>
        </w:rPr>
        <w:t xml:space="preserve"> </w:t>
      </w:r>
      <w:r>
        <w:rPr>
          <w:rFonts w:cs="Garamond"/>
          <w:sz w:val="20"/>
          <w:szCs w:val="20"/>
        </w:rPr>
        <w:t xml:space="preserve">z roku 1990 </w:t>
      </w:r>
      <w:r w:rsidRPr="005F661A">
        <w:rPr>
          <w:rFonts w:cs="Garamond"/>
          <w:sz w:val="20"/>
          <w:szCs w:val="20"/>
        </w:rPr>
        <w:t>(dále jen „CCEO“).</w:t>
      </w:r>
    </w:p>
  </w:footnote>
  <w:footnote w:id="22">
    <w:p w14:paraId="2CDBD9B0" w14:textId="77777777" w:rsidR="00F26821" w:rsidRPr="005F661A" w:rsidRDefault="00F26821" w:rsidP="00984B90">
      <w:pPr>
        <w:pStyle w:val="Textpoznpodarou"/>
        <w:spacing w:line="240" w:lineRule="auto"/>
      </w:pPr>
      <w:r w:rsidRPr="005F661A">
        <w:rPr>
          <w:rStyle w:val="Znakapoznpodarou"/>
        </w:rPr>
        <w:footnoteRef/>
      </w:r>
      <w:r w:rsidRPr="005F661A">
        <w:t xml:space="preserve"> Nadpis této knihy dříve zněl </w:t>
      </w:r>
      <w:r w:rsidRPr="005F661A">
        <w:rPr>
          <w:i/>
        </w:rPr>
        <w:t>Církevní tresty</w:t>
      </w:r>
      <w:r w:rsidRPr="005F661A">
        <w:t xml:space="preserve">, nyní </w:t>
      </w:r>
      <w:r w:rsidRPr="005F661A">
        <w:rPr>
          <w:i/>
        </w:rPr>
        <w:t>Trestní ustanovení v církvi</w:t>
      </w:r>
      <w:r w:rsidRPr="005F661A">
        <w:t>.</w:t>
      </w:r>
    </w:p>
  </w:footnote>
  <w:footnote w:id="23">
    <w:p w14:paraId="093AF634" w14:textId="7D64B464" w:rsidR="00F26821" w:rsidRPr="00540B67" w:rsidRDefault="00F26821" w:rsidP="00984B90">
      <w:pPr>
        <w:spacing w:line="240" w:lineRule="auto"/>
        <w:rPr>
          <w:rFonts w:cs="Garamond"/>
          <w:sz w:val="20"/>
          <w:szCs w:val="20"/>
        </w:rPr>
      </w:pPr>
      <w:r w:rsidRPr="00984B90">
        <w:rPr>
          <w:rStyle w:val="Znakapoznpodarou"/>
          <w:sz w:val="20"/>
          <w:szCs w:val="20"/>
        </w:rPr>
        <w:footnoteRef/>
      </w:r>
      <w:r w:rsidRPr="00984B90">
        <w:rPr>
          <w:sz w:val="20"/>
          <w:szCs w:val="20"/>
        </w:rPr>
        <w:t xml:space="preserve"> </w:t>
      </w:r>
      <w:r w:rsidRPr="00984B90">
        <w:rPr>
          <w:rFonts w:cs="Garamond"/>
          <w:sz w:val="20"/>
          <w:szCs w:val="20"/>
        </w:rPr>
        <w:t xml:space="preserve">Oficiální český </w:t>
      </w:r>
      <w:r w:rsidRPr="00540B67">
        <w:rPr>
          <w:rFonts w:cs="Garamond"/>
          <w:sz w:val="20"/>
          <w:szCs w:val="20"/>
        </w:rPr>
        <w:t xml:space="preserve">překlad Apoštolské konstituce </w:t>
      </w:r>
      <w:proofErr w:type="spellStart"/>
      <w:r w:rsidRPr="00540B67">
        <w:rPr>
          <w:rFonts w:cs="Garamond"/>
          <w:i/>
          <w:sz w:val="20"/>
          <w:szCs w:val="20"/>
        </w:rPr>
        <w:t>Pascite</w:t>
      </w:r>
      <w:proofErr w:type="spellEnd"/>
      <w:r w:rsidRPr="00540B67">
        <w:rPr>
          <w:rFonts w:cs="Garamond"/>
          <w:i/>
          <w:sz w:val="20"/>
          <w:szCs w:val="20"/>
        </w:rPr>
        <w:t xml:space="preserve"> </w:t>
      </w:r>
      <w:proofErr w:type="spellStart"/>
      <w:r w:rsidRPr="00540B67">
        <w:rPr>
          <w:rFonts w:cs="Garamond"/>
          <w:i/>
          <w:sz w:val="20"/>
          <w:szCs w:val="20"/>
        </w:rPr>
        <w:t>gregem</w:t>
      </w:r>
      <w:proofErr w:type="spellEnd"/>
      <w:r w:rsidRPr="00540B67">
        <w:rPr>
          <w:rFonts w:cs="Garamond"/>
          <w:i/>
          <w:sz w:val="20"/>
          <w:szCs w:val="20"/>
        </w:rPr>
        <w:t xml:space="preserve"> Dei</w:t>
      </w:r>
      <w:r w:rsidRPr="00540B67">
        <w:rPr>
          <w:rFonts w:cs="Garamond"/>
          <w:sz w:val="20"/>
          <w:szCs w:val="20"/>
        </w:rPr>
        <w:t xml:space="preserve"> a nové VI. knihy CIC je zveřejněn v </w:t>
      </w:r>
      <w:r w:rsidRPr="00B514F7">
        <w:rPr>
          <w:rFonts w:cs="Garamond"/>
          <w:iCs/>
          <w:sz w:val="20"/>
          <w:szCs w:val="20"/>
        </w:rPr>
        <w:t>Aktech ČBK</w:t>
      </w:r>
      <w:r w:rsidRPr="00540B67">
        <w:rPr>
          <w:rFonts w:cs="Garamond"/>
          <w:sz w:val="20"/>
          <w:szCs w:val="20"/>
        </w:rPr>
        <w:t>, 2021, č. 16, s. 302</w:t>
      </w:r>
      <w:r w:rsidRPr="00540B67">
        <w:rPr>
          <w:rFonts w:cs="Garamond"/>
          <w:sz w:val="20"/>
          <w:szCs w:val="20"/>
        </w:rPr>
        <w:sym w:font="Symbol" w:char="F02D"/>
      </w:r>
      <w:r w:rsidRPr="00540B67">
        <w:rPr>
          <w:rFonts w:cs="Garamond"/>
          <w:sz w:val="20"/>
          <w:szCs w:val="20"/>
        </w:rPr>
        <w:t>347.</w:t>
      </w:r>
    </w:p>
  </w:footnote>
  <w:footnote w:id="24">
    <w:p w14:paraId="3603E462" w14:textId="03C7EF7B" w:rsidR="00F26821" w:rsidRPr="00984B90" w:rsidRDefault="00F26821" w:rsidP="00984B90">
      <w:pPr>
        <w:pStyle w:val="Default"/>
        <w:jc w:val="both"/>
        <w:rPr>
          <w:color w:val="auto"/>
          <w:sz w:val="20"/>
          <w:szCs w:val="20"/>
        </w:rPr>
      </w:pPr>
      <w:r w:rsidRPr="00540B67">
        <w:rPr>
          <w:rStyle w:val="Znakapoznpodarou"/>
          <w:color w:val="auto"/>
          <w:sz w:val="20"/>
          <w:szCs w:val="20"/>
        </w:rPr>
        <w:footnoteRef/>
      </w:r>
      <w:r w:rsidRPr="00540B67">
        <w:rPr>
          <w:color w:val="auto"/>
          <w:sz w:val="20"/>
          <w:szCs w:val="20"/>
        </w:rPr>
        <w:t xml:space="preserve"> HRDINA, A. </w:t>
      </w:r>
      <w:r w:rsidRPr="00540B67">
        <w:rPr>
          <w:i/>
          <w:color w:val="auto"/>
          <w:sz w:val="20"/>
          <w:szCs w:val="20"/>
        </w:rPr>
        <w:t>Co se (ne)</w:t>
      </w:r>
      <w:r w:rsidRPr="00984B90">
        <w:rPr>
          <w:i/>
          <w:color w:val="auto"/>
          <w:sz w:val="20"/>
          <w:szCs w:val="20"/>
        </w:rPr>
        <w:t>změnilo rekodifikací kanonického trestního práva hmotného</w:t>
      </w:r>
      <w:r w:rsidRPr="00984B90">
        <w:rPr>
          <w:color w:val="auto"/>
          <w:sz w:val="20"/>
          <w:szCs w:val="20"/>
        </w:rPr>
        <w:t xml:space="preserve">. </w:t>
      </w:r>
      <w:r w:rsidRPr="00984B90">
        <w:rPr>
          <w:iCs/>
          <w:color w:val="auto"/>
          <w:sz w:val="20"/>
          <w:szCs w:val="20"/>
        </w:rPr>
        <w:t>Revue církevního práva</w:t>
      </w:r>
      <w:r w:rsidRPr="00984B90">
        <w:rPr>
          <w:color w:val="auto"/>
          <w:sz w:val="20"/>
          <w:szCs w:val="20"/>
        </w:rPr>
        <w:t>. Praha: Společnost pro církevní právo, 2021</w:t>
      </w:r>
      <w:r w:rsidRPr="00E05DB3">
        <w:rPr>
          <w:color w:val="auto"/>
          <w:sz w:val="20"/>
          <w:szCs w:val="20"/>
        </w:rPr>
        <w:t>, roč. 27, č. 84,</w:t>
      </w:r>
      <w:r w:rsidRPr="00984B90">
        <w:rPr>
          <w:color w:val="auto"/>
          <w:sz w:val="20"/>
          <w:szCs w:val="20"/>
        </w:rPr>
        <w:t xml:space="preserve"> </w:t>
      </w:r>
      <w:r>
        <w:rPr>
          <w:color w:val="auto"/>
          <w:sz w:val="20"/>
          <w:szCs w:val="20"/>
        </w:rPr>
        <w:t>s.</w:t>
      </w:r>
      <w:r w:rsidRPr="00984B90">
        <w:rPr>
          <w:color w:val="auto"/>
          <w:sz w:val="20"/>
          <w:szCs w:val="20"/>
        </w:rPr>
        <w:t xml:space="preserve"> 14.</w:t>
      </w:r>
    </w:p>
  </w:footnote>
  <w:footnote w:id="25">
    <w:p w14:paraId="4E5D65FB" w14:textId="7BEFD60A" w:rsidR="00F26821" w:rsidRPr="00984B90" w:rsidRDefault="00F26821" w:rsidP="00984B90">
      <w:pPr>
        <w:pStyle w:val="Pa13"/>
        <w:spacing w:line="240" w:lineRule="auto"/>
        <w:rPr>
          <w:rFonts w:cs="Garamond"/>
          <w:sz w:val="20"/>
          <w:szCs w:val="20"/>
        </w:rPr>
      </w:pPr>
      <w:r w:rsidRPr="00984B90">
        <w:rPr>
          <w:rStyle w:val="Znakapoznpodarou"/>
          <w:sz w:val="20"/>
          <w:szCs w:val="20"/>
        </w:rPr>
        <w:footnoteRef/>
      </w:r>
      <w:r w:rsidRPr="00984B90">
        <w:rPr>
          <w:sz w:val="20"/>
          <w:szCs w:val="20"/>
        </w:rPr>
        <w:t xml:space="preserve"> </w:t>
      </w:r>
      <w:r w:rsidRPr="00984B90">
        <w:rPr>
          <w:rFonts w:cs="Garamond"/>
          <w:sz w:val="20"/>
          <w:szCs w:val="20"/>
        </w:rPr>
        <w:t xml:space="preserve">TRETERA, HORÁK, </w:t>
      </w:r>
      <w:r>
        <w:rPr>
          <w:rFonts w:cs="Garamond"/>
          <w:sz w:val="20"/>
          <w:szCs w:val="20"/>
        </w:rPr>
        <w:t>s.</w:t>
      </w:r>
      <w:r w:rsidRPr="00984B90">
        <w:rPr>
          <w:sz w:val="20"/>
          <w:szCs w:val="20"/>
        </w:rPr>
        <w:t xml:space="preserve"> 325.</w:t>
      </w:r>
    </w:p>
  </w:footnote>
  <w:footnote w:id="26">
    <w:p w14:paraId="701E3AFA" w14:textId="213EC4FE" w:rsidR="00F26821" w:rsidRPr="00997775" w:rsidRDefault="00F26821" w:rsidP="00997775">
      <w:pPr>
        <w:pStyle w:val="Textpoznpodarou"/>
        <w:spacing w:line="240" w:lineRule="auto"/>
      </w:pPr>
      <w:r w:rsidRPr="00997775">
        <w:rPr>
          <w:rStyle w:val="Znakapoznpodarou"/>
        </w:rPr>
        <w:footnoteRef/>
      </w:r>
      <w:r w:rsidRPr="00997775">
        <w:t xml:space="preserve"> </w:t>
      </w:r>
      <w:r w:rsidRPr="00997775">
        <w:rPr>
          <w:rFonts w:cs="Garamond"/>
          <w:color w:val="000000"/>
        </w:rPr>
        <w:t xml:space="preserve">TRETERA, HORÁK, </w:t>
      </w:r>
      <w:r>
        <w:rPr>
          <w:rFonts w:cs="Garamond"/>
          <w:color w:val="000000"/>
        </w:rPr>
        <w:t>s.</w:t>
      </w:r>
      <w:r w:rsidRPr="00997775">
        <w:t xml:space="preserve"> 326.</w:t>
      </w:r>
    </w:p>
  </w:footnote>
  <w:footnote w:id="27">
    <w:p w14:paraId="52C97F22" w14:textId="322F366F" w:rsidR="00F26821" w:rsidRPr="00997775" w:rsidRDefault="00F26821" w:rsidP="00997775">
      <w:pPr>
        <w:spacing w:line="240" w:lineRule="auto"/>
        <w:rPr>
          <w:sz w:val="20"/>
          <w:szCs w:val="20"/>
        </w:rPr>
      </w:pPr>
      <w:r w:rsidRPr="00997775">
        <w:rPr>
          <w:rStyle w:val="Znakapoznpodarou"/>
          <w:sz w:val="20"/>
          <w:szCs w:val="20"/>
        </w:rPr>
        <w:footnoteRef/>
      </w:r>
      <w:r w:rsidRPr="00997775">
        <w:rPr>
          <w:sz w:val="20"/>
          <w:szCs w:val="20"/>
        </w:rPr>
        <w:t xml:space="preserve"> </w:t>
      </w:r>
      <w:r w:rsidRPr="00997775">
        <w:rPr>
          <w:rFonts w:cs="Arial"/>
          <w:color w:val="212529"/>
          <w:sz w:val="20"/>
          <w:szCs w:val="20"/>
          <w:shd w:val="clear" w:color="auto" w:fill="FFFFFF"/>
        </w:rPr>
        <w:t xml:space="preserve">NAGY, J. </w:t>
      </w:r>
      <w:r w:rsidRPr="00997775">
        <w:rPr>
          <w:rFonts w:cs="Arial"/>
          <w:i/>
          <w:color w:val="212529"/>
          <w:sz w:val="20"/>
          <w:szCs w:val="20"/>
          <w:shd w:val="clear" w:color="auto" w:fill="FFFFFF"/>
        </w:rPr>
        <w:t>Změny v kanonickém trestním právu se zaměřením na majetkové trestné činy</w:t>
      </w:r>
      <w:r w:rsidRPr="00997775">
        <w:rPr>
          <w:rFonts w:cs="Arial"/>
          <w:color w:val="212529"/>
          <w:sz w:val="20"/>
          <w:szCs w:val="20"/>
          <w:shd w:val="clear" w:color="auto" w:fill="FFFFFF"/>
        </w:rPr>
        <w:t xml:space="preserve">. In: BENÁK, J. </w:t>
      </w:r>
      <w:r w:rsidRPr="003E15A3">
        <w:rPr>
          <w:rFonts w:cs="Arial"/>
          <w:iCs/>
          <w:color w:val="212529"/>
          <w:sz w:val="20"/>
          <w:szCs w:val="20"/>
          <w:shd w:val="clear" w:color="auto" w:fill="FFFFFF"/>
        </w:rPr>
        <w:t>Církev a stát 2022: sborník příspěvků z konference</w:t>
      </w:r>
      <w:r w:rsidRPr="003E15A3">
        <w:rPr>
          <w:rFonts w:cs="Arial"/>
          <w:color w:val="212529"/>
          <w:sz w:val="20"/>
          <w:szCs w:val="20"/>
          <w:shd w:val="clear" w:color="auto" w:fill="FFFFFF"/>
        </w:rPr>
        <w:t>.</w:t>
      </w:r>
      <w:r w:rsidRPr="00997775">
        <w:rPr>
          <w:rFonts w:cs="Arial"/>
          <w:color w:val="212529"/>
          <w:sz w:val="20"/>
          <w:szCs w:val="20"/>
          <w:shd w:val="clear" w:color="auto" w:fill="FFFFFF"/>
        </w:rPr>
        <w:t xml:space="preserve"> Brno: Masarykova univerzita, 2022, </w:t>
      </w:r>
      <w:r>
        <w:rPr>
          <w:rFonts w:cs="Arial"/>
          <w:color w:val="212529"/>
          <w:sz w:val="20"/>
          <w:szCs w:val="20"/>
          <w:shd w:val="clear" w:color="auto" w:fill="FFFFFF"/>
        </w:rPr>
        <w:t>s.</w:t>
      </w:r>
      <w:r w:rsidRPr="00997775">
        <w:rPr>
          <w:rFonts w:cs="Arial"/>
          <w:color w:val="212529"/>
          <w:sz w:val="20"/>
          <w:szCs w:val="20"/>
          <w:shd w:val="clear" w:color="auto" w:fill="FFFFFF"/>
        </w:rPr>
        <w:t xml:space="preserve"> </w:t>
      </w:r>
      <w:r w:rsidRPr="00997775">
        <w:rPr>
          <w:sz w:val="20"/>
          <w:szCs w:val="20"/>
        </w:rPr>
        <w:t>12.</w:t>
      </w:r>
    </w:p>
  </w:footnote>
  <w:footnote w:id="28">
    <w:p w14:paraId="171F0E00" w14:textId="77777777" w:rsidR="00F26821" w:rsidRPr="008C732C" w:rsidRDefault="00F26821" w:rsidP="00997775">
      <w:pPr>
        <w:pStyle w:val="Odstavecseseznamem"/>
        <w:spacing w:after="0" w:line="240" w:lineRule="auto"/>
        <w:ind w:left="0"/>
        <w:rPr>
          <w:rFonts w:ascii="Garamond" w:hAnsi="Garamond"/>
          <w:sz w:val="20"/>
          <w:szCs w:val="20"/>
        </w:rPr>
      </w:pPr>
      <w:r w:rsidRPr="008C732C">
        <w:rPr>
          <w:rStyle w:val="Znakapoznpodarou"/>
          <w:rFonts w:ascii="Garamond" w:hAnsi="Garamond"/>
          <w:sz w:val="20"/>
          <w:szCs w:val="20"/>
        </w:rPr>
        <w:footnoteRef/>
      </w:r>
      <w:r w:rsidRPr="008C732C">
        <w:rPr>
          <w:rFonts w:ascii="Garamond" w:hAnsi="Garamond"/>
          <w:sz w:val="20"/>
          <w:szCs w:val="20"/>
        </w:rPr>
        <w:t xml:space="preserve"> Z legislativně technického hlediska je však problematické, že derogační klauzule obsažená v </w:t>
      </w:r>
      <w:proofErr w:type="spellStart"/>
      <w:r w:rsidRPr="008C732C">
        <w:rPr>
          <w:rFonts w:ascii="Garamond" w:hAnsi="Garamond"/>
          <w:i/>
          <w:sz w:val="20"/>
          <w:szCs w:val="20"/>
        </w:rPr>
        <w:t>Pascite</w:t>
      </w:r>
      <w:proofErr w:type="spellEnd"/>
      <w:r w:rsidRPr="008C732C">
        <w:rPr>
          <w:rFonts w:ascii="Garamond" w:hAnsi="Garamond"/>
          <w:i/>
          <w:sz w:val="20"/>
          <w:szCs w:val="20"/>
        </w:rPr>
        <w:t xml:space="preserve"> </w:t>
      </w:r>
      <w:proofErr w:type="spellStart"/>
      <w:r w:rsidRPr="008C732C">
        <w:rPr>
          <w:rFonts w:ascii="Garamond" w:hAnsi="Garamond"/>
          <w:i/>
          <w:sz w:val="20"/>
          <w:szCs w:val="20"/>
        </w:rPr>
        <w:t>gregem</w:t>
      </w:r>
      <w:proofErr w:type="spellEnd"/>
      <w:r w:rsidRPr="008C732C">
        <w:rPr>
          <w:rFonts w:ascii="Garamond" w:hAnsi="Garamond"/>
          <w:i/>
          <w:sz w:val="20"/>
          <w:szCs w:val="20"/>
        </w:rPr>
        <w:t xml:space="preserve"> Dei</w:t>
      </w:r>
      <w:r w:rsidRPr="008C732C">
        <w:rPr>
          <w:rFonts w:ascii="Garamond" w:hAnsi="Garamond"/>
          <w:sz w:val="20"/>
          <w:szCs w:val="20"/>
        </w:rPr>
        <w:t xml:space="preserve"> výslovně zrušuje pouze dosavadní VI. knihu Kodexu, aniž tak ovšem činí také vůči dalším předpisům, jejichž obsah byl do novelizovaného znění promítnut, nebo jím byl změněn. Za zrušené je dle Hrdiny třeba považovat minimálně ty normy, které jsou v rozporu s novým zněním Kodexu.</w:t>
      </w:r>
    </w:p>
  </w:footnote>
  <w:footnote w:id="29">
    <w:p w14:paraId="1D68D6E4" w14:textId="5D3569B3" w:rsidR="00F26821" w:rsidRPr="00997775" w:rsidRDefault="00F26821" w:rsidP="00997775">
      <w:pPr>
        <w:pStyle w:val="Odstavecseseznamem"/>
        <w:spacing w:after="0" w:line="240" w:lineRule="auto"/>
        <w:ind w:left="0"/>
        <w:rPr>
          <w:rFonts w:ascii="Garamond" w:hAnsi="Garamond"/>
          <w:sz w:val="20"/>
          <w:szCs w:val="20"/>
        </w:rPr>
      </w:pPr>
      <w:r w:rsidRPr="00997775">
        <w:rPr>
          <w:rStyle w:val="Znakapoznpodarou"/>
          <w:rFonts w:ascii="Garamond" w:hAnsi="Garamond"/>
          <w:sz w:val="20"/>
          <w:szCs w:val="20"/>
        </w:rPr>
        <w:footnoteRef/>
      </w:r>
      <w:r w:rsidRPr="00997775">
        <w:rPr>
          <w:rFonts w:ascii="Garamond" w:hAnsi="Garamond"/>
          <w:sz w:val="20"/>
          <w:szCs w:val="20"/>
        </w:rPr>
        <w:t xml:space="preserve"> HRDINA</w:t>
      </w:r>
      <w:r>
        <w:rPr>
          <w:rFonts w:ascii="Garamond" w:hAnsi="Garamond"/>
          <w:sz w:val="20"/>
          <w:szCs w:val="20"/>
        </w:rPr>
        <w:t>,</w:t>
      </w:r>
      <w:r w:rsidRPr="00997775">
        <w:rPr>
          <w:rFonts w:ascii="Garamond" w:hAnsi="Garamond"/>
          <w:sz w:val="20"/>
          <w:szCs w:val="20"/>
        </w:rPr>
        <w:t xml:space="preserve"> </w:t>
      </w:r>
      <w:r w:rsidRPr="00997775">
        <w:rPr>
          <w:rFonts w:ascii="Garamond" w:hAnsi="Garamond"/>
          <w:i/>
          <w:sz w:val="20"/>
          <w:szCs w:val="20"/>
        </w:rPr>
        <w:t>Co se (ne)změnilo rekodifikací kanonického trestního práva hmotného</w:t>
      </w:r>
      <w:r w:rsidRPr="00997775">
        <w:rPr>
          <w:rFonts w:ascii="Garamond" w:hAnsi="Garamond"/>
          <w:sz w:val="20"/>
          <w:szCs w:val="20"/>
        </w:rPr>
        <w:t xml:space="preserve">, </w:t>
      </w:r>
      <w:r>
        <w:rPr>
          <w:rFonts w:ascii="Garamond" w:hAnsi="Garamond"/>
          <w:sz w:val="20"/>
          <w:szCs w:val="20"/>
        </w:rPr>
        <w:t>s.</w:t>
      </w:r>
      <w:r w:rsidRPr="00997775">
        <w:rPr>
          <w:rFonts w:ascii="Garamond" w:hAnsi="Garamond"/>
          <w:sz w:val="20"/>
          <w:szCs w:val="20"/>
        </w:rPr>
        <w:t xml:space="preserve"> 13.</w:t>
      </w:r>
    </w:p>
  </w:footnote>
  <w:footnote w:id="30">
    <w:p w14:paraId="5A08A7D7" w14:textId="5F0ECC18" w:rsidR="00F26821" w:rsidRPr="004C08BF" w:rsidRDefault="00F26821" w:rsidP="004C08BF">
      <w:pPr>
        <w:pStyle w:val="Bezmezer"/>
        <w:contextualSpacing/>
        <w:rPr>
          <w:sz w:val="20"/>
          <w:szCs w:val="20"/>
        </w:rPr>
      </w:pPr>
      <w:r w:rsidRPr="004C08BF">
        <w:rPr>
          <w:rStyle w:val="Znakapoznpodarou"/>
          <w:sz w:val="20"/>
          <w:szCs w:val="20"/>
        </w:rPr>
        <w:footnoteRef/>
      </w:r>
      <w:r w:rsidRPr="004C08BF">
        <w:rPr>
          <w:sz w:val="20"/>
          <w:szCs w:val="20"/>
          <w:shd w:val="clear" w:color="auto" w:fill="FFFFFF"/>
        </w:rPr>
        <w:t xml:space="preserve"> PONÍŽIL, F. </w:t>
      </w:r>
      <w:r w:rsidRPr="004C08BF">
        <w:rPr>
          <w:i/>
          <w:sz w:val="20"/>
          <w:szCs w:val="20"/>
          <w:shd w:val="clear" w:color="auto" w:fill="FFFFFF"/>
        </w:rPr>
        <w:t>Přímé novelizace Kodexu kanonického práva</w:t>
      </w:r>
      <w:r w:rsidRPr="004C08BF">
        <w:rPr>
          <w:sz w:val="20"/>
          <w:szCs w:val="20"/>
          <w:shd w:val="clear" w:color="auto" w:fill="FFFFFF"/>
        </w:rPr>
        <w:t xml:space="preserve">. In: BENÁK, J. </w:t>
      </w:r>
      <w:r w:rsidRPr="004C08BF">
        <w:rPr>
          <w:iCs/>
          <w:sz w:val="20"/>
          <w:szCs w:val="20"/>
          <w:shd w:val="clear" w:color="auto" w:fill="FFFFFF"/>
        </w:rPr>
        <w:t>Církev a</w:t>
      </w:r>
      <w:r>
        <w:rPr>
          <w:iCs/>
          <w:sz w:val="20"/>
          <w:szCs w:val="20"/>
          <w:shd w:val="clear" w:color="auto" w:fill="FFFFFF"/>
        </w:rPr>
        <w:t xml:space="preserve"> stát 2022: sborník příspěvků z </w:t>
      </w:r>
      <w:r w:rsidRPr="004C08BF">
        <w:rPr>
          <w:iCs/>
          <w:sz w:val="20"/>
          <w:szCs w:val="20"/>
          <w:shd w:val="clear" w:color="auto" w:fill="FFFFFF"/>
        </w:rPr>
        <w:t>konference</w:t>
      </w:r>
      <w:r w:rsidRPr="004C08BF">
        <w:rPr>
          <w:sz w:val="20"/>
          <w:szCs w:val="20"/>
          <w:shd w:val="clear" w:color="auto" w:fill="FFFFFF"/>
        </w:rPr>
        <w:t xml:space="preserve">. Brno: Masarykova univerzita, 2022, s. </w:t>
      </w:r>
      <w:r w:rsidRPr="004C08BF">
        <w:rPr>
          <w:sz w:val="20"/>
          <w:szCs w:val="20"/>
        </w:rPr>
        <w:t>57</w:t>
      </w:r>
      <w:r w:rsidRPr="00540B67">
        <w:rPr>
          <w:rFonts w:cs="Garamond"/>
          <w:sz w:val="20"/>
          <w:szCs w:val="20"/>
        </w:rPr>
        <w:sym w:font="Symbol" w:char="F02D"/>
      </w:r>
      <w:r w:rsidRPr="004C08BF">
        <w:rPr>
          <w:sz w:val="20"/>
          <w:szCs w:val="20"/>
        </w:rPr>
        <w:t>58.</w:t>
      </w:r>
    </w:p>
  </w:footnote>
  <w:footnote w:id="31">
    <w:p w14:paraId="191BDA18" w14:textId="12A7A920" w:rsidR="00F26821" w:rsidRPr="008C732C" w:rsidRDefault="00F26821" w:rsidP="00997775">
      <w:pPr>
        <w:pStyle w:val="Textpoznpodarou"/>
        <w:spacing w:line="240" w:lineRule="auto"/>
        <w:contextualSpacing/>
      </w:pPr>
      <w:r w:rsidRPr="008C732C">
        <w:rPr>
          <w:rStyle w:val="Znakapoznpodarou"/>
        </w:rPr>
        <w:footnoteRef/>
      </w:r>
      <w:r w:rsidRPr="008C732C">
        <w:t xml:space="preserve"> Ten např. u</w:t>
      </w:r>
      <w:r w:rsidRPr="008C732C">
        <w:rPr>
          <w:rFonts w:cs="Garamond"/>
        </w:rPr>
        <w:t>možň</w:t>
      </w:r>
      <w:r>
        <w:rPr>
          <w:rFonts w:cs="Garamond"/>
        </w:rPr>
        <w:t>oval podrobit pachatele dozoru</w:t>
      </w:r>
      <w:r w:rsidRPr="008C732C">
        <w:rPr>
          <w:rFonts w:cs="Garamond"/>
        </w:rPr>
        <w:t>, znal tr</w:t>
      </w:r>
      <w:r>
        <w:rPr>
          <w:rFonts w:cs="Garamond"/>
        </w:rPr>
        <w:t>est peněžní pokuty</w:t>
      </w:r>
      <w:r w:rsidRPr="008C732C">
        <w:rPr>
          <w:rFonts w:cs="Garamond"/>
        </w:rPr>
        <w:t xml:space="preserve"> nebo trestný čin přivlastnění nebo zadržení majetku.</w:t>
      </w:r>
    </w:p>
  </w:footnote>
  <w:footnote w:id="32">
    <w:p w14:paraId="5C8A8F47" w14:textId="00CEECB3" w:rsidR="00F26821" w:rsidRPr="00997775" w:rsidRDefault="00F26821" w:rsidP="00997775">
      <w:pPr>
        <w:spacing w:line="240" w:lineRule="auto"/>
        <w:rPr>
          <w:sz w:val="20"/>
          <w:szCs w:val="20"/>
        </w:rPr>
      </w:pPr>
      <w:r w:rsidRPr="00997775">
        <w:rPr>
          <w:rStyle w:val="Znakapoznpodarou"/>
          <w:sz w:val="20"/>
          <w:szCs w:val="20"/>
        </w:rPr>
        <w:footnoteRef/>
      </w:r>
      <w:r w:rsidRPr="00997775">
        <w:rPr>
          <w:sz w:val="20"/>
          <w:szCs w:val="20"/>
        </w:rPr>
        <w:t xml:space="preserve"> </w:t>
      </w:r>
      <w:r w:rsidRPr="00997775">
        <w:rPr>
          <w:rFonts w:cs="Arial"/>
          <w:color w:val="212529"/>
          <w:sz w:val="20"/>
          <w:szCs w:val="20"/>
          <w:shd w:val="clear" w:color="auto" w:fill="FFFFFF"/>
        </w:rPr>
        <w:t>NAGY</w:t>
      </w:r>
      <w:r w:rsidRPr="00997775">
        <w:rPr>
          <w:sz w:val="20"/>
          <w:szCs w:val="20"/>
        </w:rPr>
        <w:t xml:space="preserve">, </w:t>
      </w:r>
      <w:r>
        <w:rPr>
          <w:sz w:val="20"/>
          <w:szCs w:val="20"/>
        </w:rPr>
        <w:t>s.</w:t>
      </w:r>
      <w:r w:rsidRPr="00997775">
        <w:rPr>
          <w:sz w:val="20"/>
          <w:szCs w:val="20"/>
        </w:rPr>
        <w:t xml:space="preserve"> 13.</w:t>
      </w:r>
    </w:p>
  </w:footnote>
  <w:footnote w:id="33">
    <w:p w14:paraId="4AA77859" w14:textId="534F26CD" w:rsidR="00F26821" w:rsidRPr="00997775" w:rsidRDefault="00F26821" w:rsidP="00997775">
      <w:pPr>
        <w:spacing w:line="240" w:lineRule="auto"/>
        <w:rPr>
          <w:sz w:val="20"/>
          <w:szCs w:val="20"/>
        </w:rPr>
      </w:pPr>
      <w:r w:rsidRPr="00997775">
        <w:rPr>
          <w:rStyle w:val="Znakapoznpodarou"/>
          <w:sz w:val="20"/>
          <w:szCs w:val="20"/>
        </w:rPr>
        <w:footnoteRef/>
      </w:r>
      <w:r w:rsidRPr="00997775">
        <w:rPr>
          <w:sz w:val="20"/>
          <w:szCs w:val="20"/>
        </w:rPr>
        <w:t xml:space="preserve"> </w:t>
      </w:r>
      <w:r w:rsidRPr="00997775">
        <w:rPr>
          <w:rFonts w:cs="Garamond"/>
          <w:color w:val="000000"/>
          <w:sz w:val="20"/>
          <w:szCs w:val="20"/>
        </w:rPr>
        <w:t xml:space="preserve">TRETERA, HORÁK, </w:t>
      </w:r>
      <w:r>
        <w:rPr>
          <w:rFonts w:cs="Garamond"/>
          <w:color w:val="000000"/>
          <w:sz w:val="20"/>
          <w:szCs w:val="20"/>
        </w:rPr>
        <w:t>s.</w:t>
      </w:r>
      <w:r w:rsidRPr="00997775">
        <w:rPr>
          <w:sz w:val="20"/>
          <w:szCs w:val="20"/>
        </w:rPr>
        <w:t xml:space="preserve"> 347.</w:t>
      </w:r>
    </w:p>
  </w:footnote>
  <w:footnote w:id="34">
    <w:p w14:paraId="15C0DB35" w14:textId="77777777" w:rsidR="00F26821" w:rsidRPr="00997775" w:rsidRDefault="00F26821" w:rsidP="00997775">
      <w:pPr>
        <w:pStyle w:val="Textpoznpodarou"/>
        <w:spacing w:line="240" w:lineRule="auto"/>
      </w:pPr>
      <w:r w:rsidRPr="00997775">
        <w:rPr>
          <w:rStyle w:val="Znakapoznpodarou"/>
        </w:rPr>
        <w:footnoteRef/>
      </w:r>
      <w:r w:rsidRPr="00997775">
        <w:t xml:space="preserve"> Kán. 1728 § 1 CIC.</w:t>
      </w:r>
    </w:p>
  </w:footnote>
  <w:footnote w:id="35">
    <w:p w14:paraId="22A630CF" w14:textId="2348E495" w:rsidR="00F26821" w:rsidRPr="00997775" w:rsidRDefault="00F26821" w:rsidP="00997775">
      <w:pPr>
        <w:pStyle w:val="Odstavecseseznamem"/>
        <w:spacing w:after="0" w:line="240" w:lineRule="auto"/>
        <w:ind w:left="0"/>
        <w:rPr>
          <w:rFonts w:ascii="Garamond" w:hAnsi="Garamond"/>
          <w:sz w:val="20"/>
          <w:szCs w:val="20"/>
        </w:rPr>
      </w:pPr>
      <w:r w:rsidRPr="00997775">
        <w:rPr>
          <w:rStyle w:val="Znakapoznpodarou"/>
          <w:rFonts w:ascii="Garamond" w:hAnsi="Garamond"/>
          <w:sz w:val="20"/>
          <w:szCs w:val="20"/>
        </w:rPr>
        <w:footnoteRef/>
      </w:r>
      <w:r w:rsidRPr="00997775">
        <w:rPr>
          <w:rFonts w:ascii="Garamond" w:hAnsi="Garamond"/>
          <w:sz w:val="20"/>
          <w:szCs w:val="20"/>
        </w:rPr>
        <w:t xml:space="preserve"> </w:t>
      </w:r>
      <w:r>
        <w:rPr>
          <w:rFonts w:ascii="Garamond" w:hAnsi="Garamond" w:cs="Garamond"/>
          <w:color w:val="000000"/>
          <w:sz w:val="20"/>
          <w:szCs w:val="20"/>
        </w:rPr>
        <w:t>HRDINA,</w:t>
      </w:r>
      <w:r w:rsidRPr="00997775">
        <w:rPr>
          <w:rFonts w:ascii="Garamond" w:hAnsi="Garamond" w:cs="Garamond"/>
          <w:color w:val="000000"/>
          <w:sz w:val="20"/>
          <w:szCs w:val="20"/>
        </w:rPr>
        <w:t xml:space="preserve"> </w:t>
      </w:r>
      <w:r w:rsidRPr="00997775">
        <w:rPr>
          <w:rFonts w:ascii="Garamond" w:hAnsi="Garamond" w:cs="Garamond"/>
          <w:i/>
          <w:iCs/>
          <w:color w:val="000000"/>
          <w:sz w:val="20"/>
          <w:szCs w:val="20"/>
        </w:rPr>
        <w:t>Kanonické právo</w:t>
      </w:r>
      <w:r w:rsidRPr="00997775">
        <w:rPr>
          <w:rFonts w:ascii="Garamond" w:hAnsi="Garamond" w:cs="Garamond"/>
          <w:iCs/>
          <w:color w:val="000000"/>
          <w:sz w:val="20"/>
          <w:szCs w:val="20"/>
        </w:rPr>
        <w:t xml:space="preserve">, </w:t>
      </w:r>
      <w:r>
        <w:rPr>
          <w:rFonts w:ascii="Garamond" w:hAnsi="Garamond" w:cs="Garamond"/>
          <w:iCs/>
          <w:color w:val="000000"/>
          <w:sz w:val="20"/>
          <w:szCs w:val="20"/>
        </w:rPr>
        <w:t>s.</w:t>
      </w:r>
      <w:r w:rsidRPr="00997775">
        <w:rPr>
          <w:rFonts w:ascii="Garamond" w:hAnsi="Garamond"/>
          <w:sz w:val="20"/>
          <w:szCs w:val="20"/>
        </w:rPr>
        <w:t xml:space="preserve"> 306.</w:t>
      </w:r>
    </w:p>
  </w:footnote>
  <w:footnote w:id="36">
    <w:p w14:paraId="5CAB43A6" w14:textId="77777777" w:rsidR="00F26821" w:rsidRPr="001F075B" w:rsidRDefault="00F26821" w:rsidP="001F075B">
      <w:pPr>
        <w:pStyle w:val="Textpoznpodarou"/>
        <w:spacing w:line="240" w:lineRule="auto"/>
      </w:pPr>
      <w:r w:rsidRPr="001F075B">
        <w:rPr>
          <w:rStyle w:val="Znakapoznpodarou"/>
        </w:rPr>
        <w:footnoteRef/>
      </w:r>
      <w:r w:rsidRPr="001F075B">
        <w:t xml:space="preserve"> </w:t>
      </w:r>
      <w:r w:rsidRPr="001F075B">
        <w:rPr>
          <w:rFonts w:cs="TimesNewRomanPSMT"/>
        </w:rPr>
        <w:t xml:space="preserve">Čl. 21 § 2 odst. 2 </w:t>
      </w:r>
      <w:proofErr w:type="spellStart"/>
      <w:r w:rsidRPr="001F075B">
        <w:rPr>
          <w:i/>
        </w:rPr>
        <w:t>Sacramentorum</w:t>
      </w:r>
      <w:proofErr w:type="spellEnd"/>
      <w:r w:rsidRPr="001F075B">
        <w:rPr>
          <w:i/>
        </w:rPr>
        <w:t xml:space="preserve"> </w:t>
      </w:r>
      <w:proofErr w:type="spellStart"/>
      <w:r w:rsidRPr="001F075B">
        <w:rPr>
          <w:i/>
        </w:rPr>
        <w:t>sanctitatis</w:t>
      </w:r>
      <w:proofErr w:type="spellEnd"/>
      <w:r w:rsidRPr="001F075B">
        <w:rPr>
          <w:i/>
        </w:rPr>
        <w:t xml:space="preserve"> tutela</w:t>
      </w:r>
      <w:r w:rsidRPr="001F075B">
        <w:rPr>
          <w:rFonts w:cs="TimesNewRomanPSMT"/>
        </w:rPr>
        <w:t>.</w:t>
      </w:r>
    </w:p>
  </w:footnote>
  <w:footnote w:id="37">
    <w:p w14:paraId="314F17F7" w14:textId="77777777" w:rsidR="00F26821" w:rsidRPr="001F075B" w:rsidRDefault="00F26821" w:rsidP="001F075B">
      <w:pPr>
        <w:pStyle w:val="Textpoznpodarou"/>
        <w:spacing w:line="240" w:lineRule="auto"/>
      </w:pPr>
      <w:r w:rsidRPr="001F075B">
        <w:rPr>
          <w:rStyle w:val="Znakapoznpodarou"/>
        </w:rPr>
        <w:footnoteRef/>
      </w:r>
      <w:r w:rsidRPr="001F075B">
        <w:t xml:space="preserve"> Vydány byly v originále jako </w:t>
      </w:r>
      <w:proofErr w:type="spellStart"/>
      <w:r w:rsidRPr="001F075B">
        <w:rPr>
          <w:i/>
        </w:rPr>
        <w:t>Normae</w:t>
      </w:r>
      <w:proofErr w:type="spellEnd"/>
      <w:r w:rsidRPr="001F075B">
        <w:rPr>
          <w:i/>
        </w:rPr>
        <w:t xml:space="preserve"> de </w:t>
      </w:r>
      <w:proofErr w:type="spellStart"/>
      <w:r w:rsidRPr="001F075B">
        <w:rPr>
          <w:i/>
        </w:rPr>
        <w:t>delictis</w:t>
      </w:r>
      <w:proofErr w:type="spellEnd"/>
      <w:r w:rsidRPr="001F075B">
        <w:rPr>
          <w:i/>
        </w:rPr>
        <w:t xml:space="preserve"> </w:t>
      </w:r>
      <w:proofErr w:type="spellStart"/>
      <w:r w:rsidRPr="001F075B">
        <w:rPr>
          <w:i/>
        </w:rPr>
        <w:t>Congregationi</w:t>
      </w:r>
      <w:proofErr w:type="spellEnd"/>
      <w:r w:rsidRPr="001F075B">
        <w:rPr>
          <w:i/>
        </w:rPr>
        <w:t xml:space="preserve"> pro </w:t>
      </w:r>
      <w:proofErr w:type="spellStart"/>
      <w:r w:rsidRPr="001F075B">
        <w:rPr>
          <w:i/>
        </w:rPr>
        <w:t>Doctrina</w:t>
      </w:r>
      <w:proofErr w:type="spellEnd"/>
      <w:r w:rsidRPr="001F075B">
        <w:rPr>
          <w:i/>
        </w:rPr>
        <w:t xml:space="preserve"> </w:t>
      </w:r>
      <w:proofErr w:type="spellStart"/>
      <w:r w:rsidRPr="001F075B">
        <w:rPr>
          <w:i/>
        </w:rPr>
        <w:t>Fidei</w:t>
      </w:r>
      <w:proofErr w:type="spellEnd"/>
      <w:r w:rsidRPr="001F075B">
        <w:rPr>
          <w:i/>
        </w:rPr>
        <w:t xml:space="preserve"> </w:t>
      </w:r>
      <w:proofErr w:type="spellStart"/>
      <w:r w:rsidRPr="001F075B">
        <w:rPr>
          <w:i/>
        </w:rPr>
        <w:t>reservatis</w:t>
      </w:r>
      <w:proofErr w:type="spellEnd"/>
      <w:r w:rsidRPr="001F075B">
        <w:rPr>
          <w:i/>
        </w:rPr>
        <w:t xml:space="preserve"> </w:t>
      </w:r>
      <w:r w:rsidRPr="001F075B">
        <w:t>(dále jen „Normy“)</w:t>
      </w:r>
      <w:r w:rsidRPr="001F075B">
        <w:rPr>
          <w:i/>
        </w:rPr>
        <w:t>.</w:t>
      </w:r>
    </w:p>
  </w:footnote>
  <w:footnote w:id="38">
    <w:p w14:paraId="42571E58" w14:textId="77777777" w:rsidR="00F26821" w:rsidRPr="001F075B" w:rsidRDefault="00F26821" w:rsidP="001F075B">
      <w:pPr>
        <w:pStyle w:val="Textpoznpodarou"/>
        <w:spacing w:line="240" w:lineRule="auto"/>
      </w:pPr>
      <w:r w:rsidRPr="001F075B">
        <w:rPr>
          <w:rStyle w:val="Znakapoznpodarou"/>
        </w:rPr>
        <w:footnoteRef/>
      </w:r>
      <w:r w:rsidRPr="001F075B">
        <w:t xml:space="preserve"> Čl. 1 § 1 Norem.</w:t>
      </w:r>
    </w:p>
  </w:footnote>
  <w:footnote w:id="39">
    <w:p w14:paraId="2333F7FA" w14:textId="724CDF3D" w:rsidR="00F26821" w:rsidRPr="008D2A85" w:rsidRDefault="00F26821" w:rsidP="001F075B">
      <w:pPr>
        <w:pStyle w:val="Textpoznpodarou"/>
        <w:spacing w:line="240" w:lineRule="auto"/>
        <w:rPr>
          <w:rFonts w:cs="Garamond"/>
        </w:rPr>
      </w:pPr>
      <w:r w:rsidRPr="008D2A85">
        <w:rPr>
          <w:rStyle w:val="Znakapoznpodarou"/>
        </w:rPr>
        <w:footnoteRef/>
      </w:r>
      <w:r w:rsidRPr="008D2A85">
        <w:t xml:space="preserve"> </w:t>
      </w:r>
      <w:r w:rsidRPr="008D2A85">
        <w:rPr>
          <w:rFonts w:cs="Garamond"/>
        </w:rPr>
        <w:t xml:space="preserve">Dne 19. 3. 2022 byla promulgována konstituce o římské kurii </w:t>
      </w:r>
      <w:proofErr w:type="spellStart"/>
      <w:r w:rsidRPr="008D2A85">
        <w:rPr>
          <w:rFonts w:cs="Garamond"/>
          <w:i/>
        </w:rPr>
        <w:t>Praedicate</w:t>
      </w:r>
      <w:proofErr w:type="spellEnd"/>
      <w:r w:rsidRPr="008D2A85">
        <w:rPr>
          <w:rFonts w:cs="Garamond"/>
          <w:i/>
        </w:rPr>
        <w:t xml:space="preserve"> evangelium</w:t>
      </w:r>
      <w:r>
        <w:rPr>
          <w:rFonts w:cs="Garamond"/>
        </w:rPr>
        <w:t>, která s účinností od 5. 6. </w:t>
      </w:r>
      <w:r w:rsidRPr="008D2A85">
        <w:rPr>
          <w:rFonts w:cs="Garamond"/>
        </w:rPr>
        <w:t xml:space="preserve">2022 stanovuje novou strukturu kuriálních úřadů. Pojem </w:t>
      </w:r>
      <w:proofErr w:type="spellStart"/>
      <w:r w:rsidRPr="008D2A85">
        <w:rPr>
          <w:rFonts w:cs="Garamond"/>
          <w:i/>
        </w:rPr>
        <w:t>dikasterium</w:t>
      </w:r>
      <w:proofErr w:type="spellEnd"/>
      <w:r w:rsidRPr="008D2A85">
        <w:rPr>
          <w:rFonts w:cs="Garamond"/>
        </w:rPr>
        <w:t xml:space="preserve"> nyní odpovídá konkrétním úřadům římské kurie, jež byly dříve nazývány </w:t>
      </w:r>
      <w:r w:rsidRPr="008D2A85">
        <w:rPr>
          <w:rFonts w:cs="Garamond"/>
          <w:i/>
        </w:rPr>
        <w:t>Kongregace</w:t>
      </w:r>
      <w:r w:rsidRPr="008D2A85">
        <w:rPr>
          <w:rFonts w:cs="Garamond"/>
        </w:rPr>
        <w:t>.</w:t>
      </w:r>
    </w:p>
  </w:footnote>
  <w:footnote w:id="40">
    <w:p w14:paraId="1BBCFBC7" w14:textId="6EB530AA" w:rsidR="00F26821" w:rsidRPr="001F075B" w:rsidRDefault="00F26821" w:rsidP="001F075B">
      <w:pPr>
        <w:pStyle w:val="Textpoznpodarou"/>
        <w:spacing w:line="240" w:lineRule="auto"/>
      </w:pPr>
      <w:r w:rsidRPr="001F075B">
        <w:rPr>
          <w:rStyle w:val="Znakapoznpodarou"/>
        </w:rPr>
        <w:footnoteRef/>
      </w:r>
      <w:r w:rsidRPr="001F075B">
        <w:t xml:space="preserve"> HRDINA</w:t>
      </w:r>
      <w:r>
        <w:t>,</w:t>
      </w:r>
      <w:r w:rsidRPr="001F075B">
        <w:t xml:space="preserve"> </w:t>
      </w:r>
      <w:r w:rsidRPr="001F075B">
        <w:rPr>
          <w:i/>
        </w:rPr>
        <w:t>Co se (ne)změnilo rekodifikací kanonického trestního práva hmotného</w:t>
      </w:r>
      <w:r w:rsidRPr="001F075B">
        <w:t xml:space="preserve">, </w:t>
      </w:r>
      <w:r>
        <w:t>s.</w:t>
      </w:r>
      <w:r w:rsidRPr="001F075B">
        <w:t xml:space="preserve"> 13, pozn</w:t>
      </w:r>
      <w:r>
        <w:t>.</w:t>
      </w:r>
      <w:r w:rsidRPr="001F075B">
        <w:t xml:space="preserve"> č. 3.</w:t>
      </w:r>
    </w:p>
  </w:footnote>
  <w:footnote w:id="41">
    <w:p w14:paraId="3C13BF7C" w14:textId="77777777" w:rsidR="00F26821" w:rsidRPr="001F075B" w:rsidRDefault="00F26821" w:rsidP="001F075B">
      <w:pPr>
        <w:pStyle w:val="Textpoznpodarou"/>
        <w:spacing w:line="240" w:lineRule="auto"/>
      </w:pPr>
      <w:r w:rsidRPr="001F075B">
        <w:rPr>
          <w:rStyle w:val="Znakapoznpodarou"/>
        </w:rPr>
        <w:footnoteRef/>
      </w:r>
      <w:r w:rsidRPr="001F075B">
        <w:t xml:space="preserve"> Kán. 1315 § 2 CIC.</w:t>
      </w:r>
    </w:p>
  </w:footnote>
  <w:footnote w:id="42">
    <w:p w14:paraId="5CA5C8BE" w14:textId="14A28F24" w:rsidR="00F26821" w:rsidRPr="001F075B" w:rsidRDefault="00F26821" w:rsidP="001F075B">
      <w:pPr>
        <w:pStyle w:val="Odstavecseseznamem"/>
        <w:spacing w:after="0" w:line="240" w:lineRule="auto"/>
        <w:ind w:left="0"/>
        <w:rPr>
          <w:rFonts w:ascii="Garamond" w:hAnsi="Garamond"/>
          <w:sz w:val="20"/>
          <w:szCs w:val="20"/>
        </w:rPr>
      </w:pPr>
      <w:r w:rsidRPr="001F075B">
        <w:rPr>
          <w:rStyle w:val="Znakapoznpodarou"/>
          <w:rFonts w:ascii="Garamond" w:hAnsi="Garamond"/>
          <w:sz w:val="20"/>
          <w:szCs w:val="20"/>
        </w:rPr>
        <w:footnoteRef/>
      </w:r>
      <w:r w:rsidRPr="001F075B">
        <w:rPr>
          <w:rFonts w:ascii="Garamond" w:eastAsia="Times New Roman" w:hAnsi="Garamond"/>
          <w:sz w:val="20"/>
          <w:szCs w:val="20"/>
          <w:lang w:eastAsia="cs-CZ"/>
        </w:rPr>
        <w:t xml:space="preserve"> </w:t>
      </w:r>
      <w:r w:rsidRPr="001F075B">
        <w:rPr>
          <w:rFonts w:ascii="Garamond" w:hAnsi="Garamond" w:cs="Garamond"/>
          <w:color w:val="000000"/>
          <w:sz w:val="20"/>
          <w:szCs w:val="20"/>
        </w:rPr>
        <w:t xml:space="preserve">TRETERA, HORÁK, </w:t>
      </w:r>
      <w:r>
        <w:rPr>
          <w:rFonts w:ascii="Garamond" w:hAnsi="Garamond" w:cs="Garamond"/>
          <w:color w:val="000000"/>
          <w:sz w:val="20"/>
          <w:szCs w:val="20"/>
        </w:rPr>
        <w:t>s.</w:t>
      </w:r>
      <w:r w:rsidRPr="001F075B">
        <w:rPr>
          <w:rFonts w:ascii="Garamond" w:hAnsi="Garamond"/>
          <w:sz w:val="20"/>
          <w:szCs w:val="20"/>
        </w:rPr>
        <w:t xml:space="preserve"> </w:t>
      </w:r>
      <w:r w:rsidRPr="001F075B">
        <w:rPr>
          <w:rFonts w:ascii="Garamond" w:eastAsia="Times New Roman" w:hAnsi="Garamond"/>
          <w:sz w:val="20"/>
          <w:szCs w:val="20"/>
          <w:lang w:eastAsia="cs-CZ"/>
        </w:rPr>
        <w:t>328.</w:t>
      </w:r>
    </w:p>
  </w:footnote>
  <w:footnote w:id="43">
    <w:p w14:paraId="5F1312EA" w14:textId="77777777" w:rsidR="00F26821" w:rsidRPr="00085FE5" w:rsidRDefault="00F26821" w:rsidP="001F075B">
      <w:pPr>
        <w:pStyle w:val="Textpoznpodarou"/>
        <w:spacing w:line="240" w:lineRule="auto"/>
      </w:pPr>
      <w:r w:rsidRPr="001F075B">
        <w:rPr>
          <w:rStyle w:val="Znakapoznpodarou"/>
        </w:rPr>
        <w:footnoteRef/>
      </w:r>
      <w:r w:rsidRPr="001F075B">
        <w:t xml:space="preserve"> Kán. 1317 věta druhá CIC.</w:t>
      </w:r>
    </w:p>
  </w:footnote>
  <w:footnote w:id="44">
    <w:p w14:paraId="79C97871" w14:textId="77777777" w:rsidR="00F26821" w:rsidRPr="001F075B" w:rsidRDefault="00F26821" w:rsidP="004A365B">
      <w:pPr>
        <w:pStyle w:val="Textpoznpodarou"/>
        <w:spacing w:line="240" w:lineRule="auto"/>
      </w:pPr>
      <w:r w:rsidRPr="001F075B">
        <w:rPr>
          <w:rStyle w:val="Znakapoznpodarou"/>
        </w:rPr>
        <w:footnoteRef/>
      </w:r>
      <w:r w:rsidRPr="001F075B">
        <w:t xml:space="preserve"> Kán. 1316 CIC.</w:t>
      </w:r>
    </w:p>
  </w:footnote>
  <w:footnote w:id="45">
    <w:p w14:paraId="411E744C" w14:textId="72C1F4F3" w:rsidR="00F26821" w:rsidRPr="00017BFD" w:rsidRDefault="00F26821" w:rsidP="00A00AE2">
      <w:pPr>
        <w:autoSpaceDE w:val="0"/>
        <w:autoSpaceDN w:val="0"/>
        <w:adjustRightInd w:val="0"/>
        <w:spacing w:line="240" w:lineRule="auto"/>
        <w:rPr>
          <w:rFonts w:cs="TimesNewRomanPS-BoldMT"/>
          <w:bCs/>
          <w:sz w:val="20"/>
          <w:szCs w:val="20"/>
        </w:rPr>
      </w:pPr>
      <w:r w:rsidRPr="00017BFD">
        <w:rPr>
          <w:rStyle w:val="Znakapoznpodarou"/>
          <w:sz w:val="20"/>
          <w:szCs w:val="20"/>
        </w:rPr>
        <w:footnoteRef/>
      </w:r>
      <w:r w:rsidRPr="00017BFD">
        <w:rPr>
          <w:sz w:val="20"/>
          <w:szCs w:val="20"/>
        </w:rPr>
        <w:t xml:space="preserve"> Tato i</w:t>
      </w:r>
      <w:r w:rsidRPr="00017BFD">
        <w:rPr>
          <w:rFonts w:cs="Garamond"/>
          <w:sz w:val="20"/>
          <w:szCs w:val="20"/>
        </w:rPr>
        <w:t xml:space="preserve">nstrukce je </w:t>
      </w:r>
      <w:r w:rsidRPr="00017BFD">
        <w:rPr>
          <w:rFonts w:cs="TimesNewRomanPSMT"/>
          <w:sz w:val="20"/>
          <w:szCs w:val="20"/>
        </w:rPr>
        <w:t>aplikována v případech oznámení týkajících se duchovních i laiků, kteří v církvi zastávají nějaký úřad, jež jsou podezřelí z trestných činů spočívajících v nucení kohokoli násilím, jeho pohrůžkou nebo zneužitím autority k vykonání nebo strpění sexuálních aktů, výrobě, prezentování, přechovávání nebo šíření dětské pornografie a také v získávání nebo svádění nezletilého k účasti na pornografické prezentaci. Postupy stanovené instrukcí však lze přiměřeně použít i pro předběžné šetření jiných trestných činů [</w:t>
      </w:r>
      <w:r w:rsidRPr="00017BFD">
        <w:rPr>
          <w:rFonts w:cs="Garamond"/>
          <w:sz w:val="20"/>
          <w:szCs w:val="20"/>
        </w:rPr>
        <w:t>čl. 2 Instrukce]. Dále je v tomto předpisu upravena například problematika p</w:t>
      </w:r>
      <w:r w:rsidRPr="00017BFD">
        <w:rPr>
          <w:rFonts w:cs="TimesNewRomanPS-BoldMT"/>
          <w:bCs/>
          <w:sz w:val="20"/>
          <w:szCs w:val="20"/>
        </w:rPr>
        <w:t xml:space="preserve">revence, předběžného šetření a </w:t>
      </w:r>
      <w:r w:rsidRPr="00017BFD">
        <w:rPr>
          <w:rFonts w:cs="TimesNewRomanPSMT"/>
          <w:sz w:val="20"/>
          <w:szCs w:val="20"/>
        </w:rPr>
        <w:t>oznamování</w:t>
      </w:r>
      <w:r w:rsidRPr="00017BFD">
        <w:rPr>
          <w:rFonts w:cs="TimesNewRomanPS-BoldMT"/>
          <w:bCs/>
          <w:sz w:val="20"/>
          <w:szCs w:val="20"/>
        </w:rPr>
        <w:t xml:space="preserve"> podezření ze spáchání trestného činu, </w:t>
      </w:r>
      <w:r w:rsidRPr="00017BFD">
        <w:rPr>
          <w:rFonts w:cs="TimesNewRomanPSMT"/>
          <w:sz w:val="20"/>
          <w:szCs w:val="20"/>
        </w:rPr>
        <w:t>o</w:t>
      </w:r>
      <w:r w:rsidRPr="00017BFD">
        <w:rPr>
          <w:rFonts w:cs="TimesNewRomanPS-BoldMT"/>
          <w:bCs/>
          <w:sz w:val="20"/>
          <w:szCs w:val="20"/>
        </w:rPr>
        <w:t xml:space="preserve">patření činěných vůči podezřelému, </w:t>
      </w:r>
      <w:r w:rsidRPr="00017BFD">
        <w:rPr>
          <w:rFonts w:cs="TimesNewRomanPSMT"/>
          <w:sz w:val="20"/>
          <w:szCs w:val="20"/>
        </w:rPr>
        <w:t>p</w:t>
      </w:r>
      <w:r w:rsidRPr="00017BFD">
        <w:rPr>
          <w:rFonts w:cs="TimesNewRomanPS-BoldMT"/>
          <w:bCs/>
          <w:sz w:val="20"/>
          <w:szCs w:val="20"/>
        </w:rPr>
        <w:t>ředávání výsledků církevního šetření státním</w:t>
      </w:r>
      <w:r>
        <w:rPr>
          <w:rFonts w:cs="TimesNewRomanPS-BoldMT"/>
          <w:bCs/>
          <w:sz w:val="20"/>
          <w:szCs w:val="20"/>
        </w:rPr>
        <w:t xml:space="preserve"> orgánům a podávání informací o </w:t>
      </w:r>
      <w:r w:rsidRPr="00017BFD">
        <w:rPr>
          <w:rFonts w:cs="TimesNewRomanPS-BoldMT"/>
          <w:bCs/>
          <w:sz w:val="20"/>
          <w:szCs w:val="20"/>
        </w:rPr>
        <w:t>probíhajícím řízení, péče o dotčené osoby a také obviněného.</w:t>
      </w:r>
    </w:p>
  </w:footnote>
  <w:footnote w:id="46">
    <w:p w14:paraId="48605B27" w14:textId="0CB2E7A2" w:rsidR="00F26821" w:rsidRPr="001F075B" w:rsidRDefault="00F26821" w:rsidP="00A00AE2">
      <w:pPr>
        <w:pStyle w:val="Odstavecseseznamem"/>
        <w:spacing w:after="0" w:line="240" w:lineRule="auto"/>
        <w:ind w:left="0"/>
        <w:rPr>
          <w:rFonts w:ascii="Garamond" w:hAnsi="Garamond"/>
          <w:sz w:val="20"/>
          <w:szCs w:val="20"/>
        </w:rPr>
      </w:pPr>
      <w:r w:rsidRPr="001F075B">
        <w:rPr>
          <w:rStyle w:val="Znakapoznpodarou"/>
          <w:rFonts w:ascii="Garamond" w:hAnsi="Garamond"/>
          <w:sz w:val="20"/>
          <w:szCs w:val="20"/>
        </w:rPr>
        <w:footnoteRef/>
      </w:r>
      <w:r w:rsidRPr="001F075B">
        <w:rPr>
          <w:rFonts w:ascii="Garamond" w:hAnsi="Garamond"/>
          <w:sz w:val="20"/>
          <w:szCs w:val="20"/>
        </w:rPr>
        <w:t xml:space="preserve"> </w:t>
      </w:r>
      <w:r w:rsidRPr="001F075B">
        <w:rPr>
          <w:rFonts w:ascii="Garamond" w:hAnsi="Garamond" w:cs="Garamond"/>
          <w:color w:val="000000"/>
          <w:sz w:val="20"/>
          <w:szCs w:val="20"/>
        </w:rPr>
        <w:t xml:space="preserve">TRETERA, HORÁK, </w:t>
      </w:r>
      <w:r>
        <w:rPr>
          <w:rFonts w:ascii="Garamond" w:hAnsi="Garamond" w:cs="Garamond"/>
          <w:color w:val="000000"/>
          <w:sz w:val="20"/>
          <w:szCs w:val="20"/>
        </w:rPr>
        <w:t>s.</w:t>
      </w:r>
      <w:r w:rsidRPr="001F075B">
        <w:rPr>
          <w:rFonts w:ascii="Garamond" w:hAnsi="Garamond"/>
          <w:sz w:val="20"/>
          <w:szCs w:val="20"/>
        </w:rPr>
        <w:t xml:space="preserve"> 328.</w:t>
      </w:r>
    </w:p>
  </w:footnote>
  <w:footnote w:id="47">
    <w:p w14:paraId="3395D550" w14:textId="5E16319D" w:rsidR="00F26821" w:rsidRPr="001F075B" w:rsidRDefault="00F26821" w:rsidP="00A00AE2">
      <w:pPr>
        <w:spacing w:line="240" w:lineRule="auto"/>
        <w:rPr>
          <w:sz w:val="20"/>
          <w:szCs w:val="20"/>
        </w:rPr>
      </w:pPr>
      <w:r w:rsidRPr="001F075B">
        <w:rPr>
          <w:rStyle w:val="Znakapoznpodarou"/>
          <w:sz w:val="20"/>
          <w:szCs w:val="20"/>
        </w:rPr>
        <w:footnoteRef/>
      </w:r>
      <w:r w:rsidRPr="001F075B">
        <w:rPr>
          <w:sz w:val="20"/>
          <w:szCs w:val="20"/>
        </w:rPr>
        <w:t xml:space="preserve"> </w:t>
      </w:r>
      <w:r>
        <w:rPr>
          <w:rFonts w:cs="Garamond"/>
          <w:color w:val="000000"/>
          <w:sz w:val="20"/>
          <w:szCs w:val="20"/>
        </w:rPr>
        <w:t>Tamtéž</w:t>
      </w:r>
      <w:r w:rsidRPr="001F075B">
        <w:rPr>
          <w:rFonts w:cs="Garamond"/>
          <w:color w:val="000000"/>
          <w:sz w:val="20"/>
          <w:szCs w:val="20"/>
        </w:rPr>
        <w:t xml:space="preserve">, </w:t>
      </w:r>
      <w:r>
        <w:rPr>
          <w:rFonts w:cs="Garamond"/>
          <w:color w:val="000000"/>
          <w:sz w:val="20"/>
          <w:szCs w:val="20"/>
        </w:rPr>
        <w:t>s.</w:t>
      </w:r>
      <w:r w:rsidRPr="001F075B">
        <w:rPr>
          <w:sz w:val="20"/>
          <w:szCs w:val="20"/>
        </w:rPr>
        <w:t xml:space="preserve"> 327.</w:t>
      </w:r>
    </w:p>
  </w:footnote>
  <w:footnote w:id="48">
    <w:p w14:paraId="1625385B" w14:textId="7FCE95F0" w:rsidR="00F26821" w:rsidRPr="004C6A54" w:rsidRDefault="00F26821" w:rsidP="001506BB">
      <w:pPr>
        <w:spacing w:line="240" w:lineRule="auto"/>
        <w:rPr>
          <w:sz w:val="20"/>
          <w:szCs w:val="20"/>
        </w:rPr>
      </w:pPr>
      <w:r w:rsidRPr="004C6A54">
        <w:rPr>
          <w:rStyle w:val="Znakapoznpodarou"/>
          <w:sz w:val="20"/>
          <w:szCs w:val="20"/>
        </w:rPr>
        <w:footnoteRef/>
      </w:r>
      <w:r w:rsidRPr="004C6A54">
        <w:rPr>
          <w:sz w:val="20"/>
          <w:szCs w:val="20"/>
        </w:rPr>
        <w:t xml:space="preserve"> </w:t>
      </w:r>
      <w:r w:rsidRPr="004C6A54">
        <w:rPr>
          <w:rFonts w:cs="Garamond"/>
          <w:sz w:val="20"/>
          <w:szCs w:val="20"/>
        </w:rPr>
        <w:t>MENKE, s. 86.</w:t>
      </w:r>
    </w:p>
  </w:footnote>
  <w:footnote w:id="49">
    <w:p w14:paraId="2CEFA9D1" w14:textId="16B6F286" w:rsidR="00F26821" w:rsidRPr="00085FE5" w:rsidRDefault="00F26821" w:rsidP="001506BB">
      <w:pPr>
        <w:autoSpaceDE w:val="0"/>
        <w:autoSpaceDN w:val="0"/>
        <w:adjustRightInd w:val="0"/>
        <w:spacing w:line="240" w:lineRule="auto"/>
        <w:rPr>
          <w:sz w:val="20"/>
          <w:szCs w:val="20"/>
        </w:rPr>
      </w:pPr>
      <w:r w:rsidRPr="001F075B">
        <w:rPr>
          <w:rStyle w:val="Znakapoznpodarou"/>
          <w:sz w:val="20"/>
          <w:szCs w:val="20"/>
        </w:rPr>
        <w:footnoteRef/>
      </w:r>
      <w:r>
        <w:rPr>
          <w:sz w:val="20"/>
          <w:szCs w:val="20"/>
        </w:rPr>
        <w:t> </w:t>
      </w:r>
      <w:r w:rsidRPr="001F075B">
        <w:rPr>
          <w:sz w:val="20"/>
          <w:szCs w:val="20"/>
        </w:rPr>
        <w:t xml:space="preserve">JIRSA, J. a kol. </w:t>
      </w:r>
      <w:r w:rsidRPr="001F075B">
        <w:rPr>
          <w:i/>
          <w:sz w:val="20"/>
          <w:szCs w:val="20"/>
        </w:rPr>
        <w:t>Klíč k soudní síni: příručka pro začínající soudce a advokáty</w:t>
      </w:r>
      <w:r w:rsidRPr="001F075B">
        <w:rPr>
          <w:sz w:val="20"/>
          <w:szCs w:val="20"/>
        </w:rPr>
        <w:t xml:space="preserve">. Praha: </w:t>
      </w:r>
      <w:proofErr w:type="spellStart"/>
      <w:r w:rsidRPr="001F075B">
        <w:rPr>
          <w:sz w:val="20"/>
          <w:szCs w:val="20"/>
        </w:rPr>
        <w:t>LexisNexis</w:t>
      </w:r>
      <w:proofErr w:type="spellEnd"/>
      <w:r w:rsidRPr="001F075B">
        <w:rPr>
          <w:sz w:val="20"/>
          <w:szCs w:val="20"/>
        </w:rPr>
        <w:t xml:space="preserve">, 2006, </w:t>
      </w:r>
      <w:r>
        <w:rPr>
          <w:sz w:val="20"/>
          <w:szCs w:val="20"/>
        </w:rPr>
        <w:t xml:space="preserve">s. 14; prostřednictvím: ZETKOVÁ, K. </w:t>
      </w:r>
      <w:r w:rsidRPr="001506BB">
        <w:rPr>
          <w:i/>
          <w:sz w:val="20"/>
          <w:szCs w:val="20"/>
        </w:rPr>
        <w:t>Kárná odpovědnost soudce v České republice</w:t>
      </w:r>
      <w:r w:rsidRPr="001506BB">
        <w:rPr>
          <w:sz w:val="20"/>
          <w:szCs w:val="20"/>
        </w:rPr>
        <w:t>. Diplomová práce. Univerzita Palackého v Olomouci - Právnická fakulta, 2016, s. 17.</w:t>
      </w:r>
    </w:p>
  </w:footnote>
  <w:footnote w:id="50">
    <w:p w14:paraId="01527798" w14:textId="132E95C2" w:rsidR="00F26821" w:rsidRPr="00A00AE2" w:rsidRDefault="00F26821" w:rsidP="00A00AE2">
      <w:pPr>
        <w:spacing w:line="240" w:lineRule="auto"/>
        <w:rPr>
          <w:sz w:val="20"/>
          <w:szCs w:val="20"/>
        </w:rPr>
      </w:pPr>
      <w:r w:rsidRPr="00A00AE2">
        <w:rPr>
          <w:rStyle w:val="Znakapoznpodarou"/>
          <w:sz w:val="20"/>
          <w:szCs w:val="20"/>
        </w:rPr>
        <w:footnoteRef/>
      </w:r>
      <w:r>
        <w:rPr>
          <w:sz w:val="20"/>
          <w:szCs w:val="20"/>
        </w:rPr>
        <w:t> </w:t>
      </w:r>
      <w:r w:rsidRPr="00A00AE2">
        <w:rPr>
          <w:sz w:val="20"/>
          <w:szCs w:val="20"/>
        </w:rPr>
        <w:t xml:space="preserve">ANGYALOSSY, P., HAVELEC, R., a kol. </w:t>
      </w:r>
      <w:r w:rsidRPr="00A00AE2">
        <w:rPr>
          <w:i/>
          <w:sz w:val="20"/>
          <w:szCs w:val="20"/>
        </w:rPr>
        <w:t>Etický kodex</w:t>
      </w:r>
      <w:r>
        <w:rPr>
          <w:sz w:val="20"/>
          <w:szCs w:val="20"/>
        </w:rPr>
        <w:t>. Brno,</w:t>
      </w:r>
      <w:r w:rsidRPr="00A00AE2">
        <w:rPr>
          <w:sz w:val="20"/>
          <w:szCs w:val="20"/>
        </w:rPr>
        <w:t xml:space="preserve"> 2020, </w:t>
      </w:r>
      <w:r>
        <w:rPr>
          <w:sz w:val="20"/>
          <w:szCs w:val="20"/>
        </w:rPr>
        <w:t>s.</w:t>
      </w:r>
      <w:r w:rsidRPr="00A00AE2">
        <w:rPr>
          <w:sz w:val="20"/>
          <w:szCs w:val="20"/>
        </w:rPr>
        <w:t xml:space="preserve"> 5.</w:t>
      </w:r>
    </w:p>
  </w:footnote>
  <w:footnote w:id="51">
    <w:p w14:paraId="53C2AC54" w14:textId="7C540F4C" w:rsidR="00F26821" w:rsidRPr="00AC1E49" w:rsidRDefault="00F26821" w:rsidP="00A00AE2">
      <w:pPr>
        <w:pStyle w:val="Textpoznpodarou"/>
        <w:spacing w:line="240" w:lineRule="auto"/>
      </w:pPr>
      <w:r w:rsidRPr="00AC1E49">
        <w:rPr>
          <w:rStyle w:val="Znakapoznpodarou"/>
        </w:rPr>
        <w:footnoteRef/>
      </w:r>
      <w:r w:rsidRPr="00AC1E49">
        <w:t xml:space="preserve"> Mimo kárnou odpovědnost soudců existuje v rámci právnické obce ještě kárná odpovědnost advokátů, </w:t>
      </w:r>
      <w:r>
        <w:t xml:space="preserve">notářů, </w:t>
      </w:r>
      <w:r w:rsidRPr="00AC1E49">
        <w:t>soudních exekutorů, či státních zástupců.</w:t>
      </w:r>
    </w:p>
  </w:footnote>
  <w:footnote w:id="52">
    <w:p w14:paraId="0B45F6C4" w14:textId="77777777" w:rsidR="00F26821" w:rsidRPr="00A00AE2" w:rsidRDefault="00F26821" w:rsidP="00A00AE2">
      <w:pPr>
        <w:pStyle w:val="Textpoznpodarou"/>
        <w:spacing w:line="240" w:lineRule="auto"/>
      </w:pPr>
      <w:r w:rsidRPr="00A00AE2">
        <w:rPr>
          <w:rStyle w:val="Znakapoznpodarou"/>
        </w:rPr>
        <w:footnoteRef/>
      </w:r>
      <w:r w:rsidRPr="00A00AE2">
        <w:t xml:space="preserve"> R</w:t>
      </w:r>
      <w:r w:rsidRPr="00A00AE2">
        <w:rPr>
          <w:rFonts w:eastAsia="Calibri" w:cs="CIDFont+F5"/>
          <w:lang w:eastAsia="en-US"/>
        </w:rPr>
        <w:t>ozhodnutí NSS ze dne 18. 2. 201</w:t>
      </w:r>
      <w:r>
        <w:rPr>
          <w:rFonts w:eastAsia="Calibri" w:cs="CIDFont+F5"/>
          <w:lang w:eastAsia="en-US"/>
        </w:rPr>
        <w:t xml:space="preserve">5, č. j. 13 </w:t>
      </w:r>
      <w:proofErr w:type="spellStart"/>
      <w:r>
        <w:rPr>
          <w:rFonts w:eastAsia="Calibri" w:cs="CIDFont+F5"/>
          <w:lang w:eastAsia="en-US"/>
        </w:rPr>
        <w:t>Kss</w:t>
      </w:r>
      <w:proofErr w:type="spellEnd"/>
      <w:r>
        <w:rPr>
          <w:rFonts w:eastAsia="Calibri" w:cs="CIDFont+F5"/>
          <w:lang w:eastAsia="en-US"/>
        </w:rPr>
        <w:t xml:space="preserve"> 6/2014-</w:t>
      </w:r>
      <w:r w:rsidRPr="00A00AE2">
        <w:rPr>
          <w:rFonts w:eastAsia="Calibri" w:cs="CIDFont+F5"/>
          <w:lang w:eastAsia="en-US"/>
        </w:rPr>
        <w:t>138.</w:t>
      </w:r>
    </w:p>
  </w:footnote>
  <w:footnote w:id="53">
    <w:p w14:paraId="16187B06" w14:textId="0F17B045" w:rsidR="00F26821" w:rsidRPr="00755619" w:rsidRDefault="00F26821" w:rsidP="00711884">
      <w:pPr>
        <w:spacing w:line="240" w:lineRule="auto"/>
        <w:rPr>
          <w:rFonts w:cs="Arial"/>
          <w:bCs/>
          <w:sz w:val="20"/>
          <w:szCs w:val="20"/>
        </w:rPr>
      </w:pPr>
      <w:r w:rsidRPr="00755619">
        <w:rPr>
          <w:rStyle w:val="Znakapoznpodarou"/>
          <w:sz w:val="20"/>
          <w:szCs w:val="20"/>
        </w:rPr>
        <w:footnoteRef/>
      </w:r>
      <w:r w:rsidRPr="00755619">
        <w:rPr>
          <w:sz w:val="20"/>
          <w:szCs w:val="20"/>
        </w:rPr>
        <w:t xml:space="preserve"> Samozřejmě s výjimkou trestní odpovědnosti posuzované v trestním řízení a výtky dle § 88a </w:t>
      </w:r>
      <w:r>
        <w:rPr>
          <w:sz w:val="20"/>
          <w:szCs w:val="20"/>
        </w:rPr>
        <w:t>ZSS</w:t>
      </w:r>
      <w:r w:rsidRPr="00061A48">
        <w:rPr>
          <w:sz w:val="20"/>
          <w:szCs w:val="20"/>
        </w:rPr>
        <w:t>.</w:t>
      </w:r>
      <w:r>
        <w:rPr>
          <w:sz w:val="20"/>
          <w:szCs w:val="20"/>
        </w:rPr>
        <w:t xml:space="preserve"> </w:t>
      </w:r>
      <w:r w:rsidRPr="00755619">
        <w:rPr>
          <w:sz w:val="20"/>
          <w:szCs w:val="20"/>
        </w:rPr>
        <w:t>Zároveň platí, že p</w:t>
      </w:r>
      <w:r w:rsidRPr="00755619">
        <w:rPr>
          <w:rFonts w:cs="Arial"/>
          <w:sz w:val="20"/>
          <w:szCs w:val="20"/>
        </w:rPr>
        <w:t xml:space="preserve">ro činy spáchané při výkonu funkce soudce nebo v souvislosti s ním lze soudce trestně stíhat nebo vzít do vazby jen se souhlasem prezidenta republiky [srov. </w:t>
      </w:r>
      <w:r w:rsidRPr="00755619">
        <w:rPr>
          <w:rFonts w:cs="Arial"/>
          <w:bCs/>
          <w:sz w:val="20"/>
          <w:szCs w:val="20"/>
        </w:rPr>
        <w:t>§ 76 odst. 1 ZSS].</w:t>
      </w:r>
    </w:p>
  </w:footnote>
  <w:footnote w:id="54">
    <w:p w14:paraId="44344309" w14:textId="7995FE8D" w:rsidR="00F26821" w:rsidRPr="00A00AE2" w:rsidRDefault="00F26821" w:rsidP="00A00AE2">
      <w:pPr>
        <w:pStyle w:val="Bezmezer"/>
        <w:rPr>
          <w:sz w:val="20"/>
          <w:szCs w:val="20"/>
        </w:rPr>
      </w:pPr>
      <w:r w:rsidRPr="00A00AE2">
        <w:rPr>
          <w:rStyle w:val="Znakapoznpodarou"/>
          <w:sz w:val="20"/>
          <w:szCs w:val="20"/>
        </w:rPr>
        <w:footnoteRef/>
      </w:r>
      <w:r w:rsidRPr="00A00AE2">
        <w:rPr>
          <w:sz w:val="20"/>
          <w:szCs w:val="20"/>
        </w:rPr>
        <w:t xml:space="preserve"> </w:t>
      </w:r>
      <w:r w:rsidRPr="00A00AE2">
        <w:rPr>
          <w:rFonts w:eastAsia="Calibri" w:cs="CIDFont+F5"/>
          <w:sz w:val="20"/>
          <w:szCs w:val="20"/>
          <w:lang w:eastAsia="en-US"/>
        </w:rPr>
        <w:t xml:space="preserve">ZEMANOVÁ, D. </w:t>
      </w:r>
      <w:r w:rsidRPr="00A00AE2">
        <w:rPr>
          <w:rFonts w:eastAsia="Calibri" w:cs="CIDFont+F5"/>
          <w:i/>
          <w:sz w:val="20"/>
          <w:szCs w:val="20"/>
          <w:lang w:eastAsia="en-US"/>
        </w:rPr>
        <w:t>Zákon o soudech, soudcích, přísedících a státní správě soudů a o změně některých dalších zákonů. Komentář.</w:t>
      </w:r>
      <w:r w:rsidRPr="00A00AE2">
        <w:rPr>
          <w:rFonts w:eastAsia="Calibri" w:cs="CIDFont+F5"/>
          <w:sz w:val="20"/>
          <w:szCs w:val="20"/>
          <w:lang w:eastAsia="en-US"/>
        </w:rPr>
        <w:t xml:space="preserve"> Praha: C. H. Beck, 2022, </w:t>
      </w:r>
      <w:r>
        <w:rPr>
          <w:rFonts w:eastAsia="Calibri" w:cs="CIDFont+F5"/>
          <w:sz w:val="20"/>
          <w:szCs w:val="20"/>
          <w:lang w:eastAsia="en-US"/>
        </w:rPr>
        <w:t>s. 138</w:t>
      </w:r>
      <w:r w:rsidRPr="00540B67">
        <w:rPr>
          <w:rFonts w:cs="Garamond"/>
          <w:sz w:val="20"/>
          <w:szCs w:val="20"/>
        </w:rPr>
        <w:sym w:font="Symbol" w:char="F02D"/>
      </w:r>
      <w:r w:rsidRPr="00A00AE2">
        <w:rPr>
          <w:rFonts w:eastAsia="Calibri" w:cs="CIDFont+F5"/>
          <w:sz w:val="20"/>
          <w:szCs w:val="20"/>
          <w:lang w:eastAsia="en-US"/>
        </w:rPr>
        <w:t>139.</w:t>
      </w:r>
    </w:p>
  </w:footnote>
  <w:footnote w:id="55">
    <w:p w14:paraId="23FC9068" w14:textId="1EEB677D" w:rsidR="00F26821" w:rsidRPr="00A00AE2" w:rsidRDefault="00F26821" w:rsidP="00655399">
      <w:pPr>
        <w:pStyle w:val="Odstavecseseznamem"/>
        <w:spacing w:after="0" w:line="240" w:lineRule="auto"/>
        <w:ind w:left="0"/>
        <w:rPr>
          <w:rFonts w:ascii="Garamond" w:hAnsi="Garamond"/>
          <w:sz w:val="20"/>
          <w:szCs w:val="20"/>
        </w:rPr>
      </w:pPr>
      <w:r w:rsidRPr="00A00AE2">
        <w:rPr>
          <w:rStyle w:val="Znakapoznpodarou"/>
          <w:rFonts w:ascii="Garamond" w:hAnsi="Garamond"/>
          <w:sz w:val="20"/>
          <w:szCs w:val="20"/>
        </w:rPr>
        <w:footnoteRef/>
      </w:r>
      <w:r w:rsidRPr="00A00AE2">
        <w:rPr>
          <w:rFonts w:ascii="Garamond" w:hAnsi="Garamond"/>
          <w:sz w:val="20"/>
          <w:szCs w:val="20"/>
        </w:rPr>
        <w:t xml:space="preserve"> Ohledně exkurzu do historického vývoje kárné odpovědnosti soudců srov. </w:t>
      </w:r>
      <w:r w:rsidRPr="00A00AE2">
        <w:rPr>
          <w:rFonts w:ascii="Garamond" w:hAnsi="Garamond" w:cs="Arial"/>
          <w:color w:val="212529"/>
          <w:sz w:val="20"/>
          <w:szCs w:val="20"/>
          <w:shd w:val="clear" w:color="auto" w:fill="FFFFFF"/>
        </w:rPr>
        <w:t xml:space="preserve">KOSAŘ, D., PAPOUŠKOVÁ, T. </w:t>
      </w:r>
      <w:r w:rsidRPr="00A00AE2">
        <w:rPr>
          <w:rStyle w:val="Zvraznn"/>
          <w:rFonts w:ascii="Garamond" w:hAnsi="Garamond" w:cs="Arial"/>
          <w:color w:val="212529"/>
          <w:sz w:val="20"/>
          <w:szCs w:val="20"/>
          <w:shd w:val="clear" w:color="auto" w:fill="FFFFFF"/>
        </w:rPr>
        <w:t>Kárná odpovědnost soudce v přerodu: ponaučení z České republiky</w:t>
      </w:r>
      <w:r w:rsidRPr="00A00AE2">
        <w:rPr>
          <w:rFonts w:ascii="Garamond" w:hAnsi="Garamond" w:cs="Arial"/>
          <w:color w:val="212529"/>
          <w:sz w:val="20"/>
          <w:szCs w:val="20"/>
          <w:shd w:val="clear" w:color="auto" w:fill="FFFFFF"/>
        </w:rPr>
        <w:t xml:space="preserve">. Praha: </w:t>
      </w:r>
      <w:proofErr w:type="spellStart"/>
      <w:r w:rsidRPr="00A00AE2">
        <w:rPr>
          <w:rFonts w:ascii="Garamond" w:hAnsi="Garamond" w:cs="Arial"/>
          <w:color w:val="212529"/>
          <w:sz w:val="20"/>
          <w:szCs w:val="20"/>
          <w:shd w:val="clear" w:color="auto" w:fill="FFFFFF"/>
        </w:rPr>
        <w:t>Wolters</w:t>
      </w:r>
      <w:proofErr w:type="spellEnd"/>
      <w:r w:rsidRPr="00A00AE2">
        <w:rPr>
          <w:rFonts w:ascii="Garamond" w:hAnsi="Garamond" w:cs="Arial"/>
          <w:color w:val="212529"/>
          <w:sz w:val="20"/>
          <w:szCs w:val="20"/>
          <w:shd w:val="clear" w:color="auto" w:fill="FFFFFF"/>
        </w:rPr>
        <w:t xml:space="preserve"> </w:t>
      </w:r>
      <w:proofErr w:type="spellStart"/>
      <w:r w:rsidRPr="00A00AE2">
        <w:rPr>
          <w:rFonts w:ascii="Garamond" w:hAnsi="Garamond" w:cs="Arial"/>
          <w:color w:val="212529"/>
          <w:sz w:val="20"/>
          <w:szCs w:val="20"/>
          <w:shd w:val="clear" w:color="auto" w:fill="FFFFFF"/>
        </w:rPr>
        <w:t>Kluwer</w:t>
      </w:r>
      <w:proofErr w:type="spellEnd"/>
      <w:r w:rsidRPr="00A00AE2">
        <w:rPr>
          <w:rFonts w:ascii="Garamond" w:hAnsi="Garamond" w:cs="Arial"/>
          <w:color w:val="212529"/>
          <w:sz w:val="20"/>
          <w:szCs w:val="20"/>
          <w:shd w:val="clear" w:color="auto" w:fill="FFFFFF"/>
        </w:rPr>
        <w:t xml:space="preserve">, 2017, </w:t>
      </w:r>
      <w:r>
        <w:rPr>
          <w:rFonts w:ascii="Garamond" w:hAnsi="Garamond"/>
          <w:sz w:val="20"/>
          <w:szCs w:val="20"/>
        </w:rPr>
        <w:t>s. 4</w:t>
      </w:r>
      <w:r w:rsidRPr="00540B67">
        <w:rPr>
          <w:rFonts w:cs="Garamond"/>
          <w:sz w:val="20"/>
          <w:szCs w:val="20"/>
        </w:rPr>
        <w:sym w:font="Symbol" w:char="F02D"/>
      </w:r>
      <w:r w:rsidRPr="00A00AE2">
        <w:rPr>
          <w:rFonts w:ascii="Garamond" w:hAnsi="Garamond"/>
          <w:sz w:val="20"/>
          <w:szCs w:val="20"/>
        </w:rPr>
        <w:t>16.</w:t>
      </w:r>
    </w:p>
  </w:footnote>
  <w:footnote w:id="56">
    <w:p w14:paraId="2B3C9AFB" w14:textId="7057FDEA" w:rsidR="00F26821" w:rsidRPr="008B3633" w:rsidRDefault="00F26821" w:rsidP="00655399">
      <w:pPr>
        <w:pStyle w:val="Textpoznpodarou"/>
        <w:spacing w:line="240" w:lineRule="auto"/>
        <w:rPr>
          <w:rFonts w:cs="Arial"/>
        </w:rPr>
      </w:pPr>
      <w:r w:rsidRPr="008B3633">
        <w:rPr>
          <w:rStyle w:val="Znakapoznpodarou"/>
        </w:rPr>
        <w:footnoteRef/>
      </w:r>
      <w:r w:rsidRPr="008B3633">
        <w:t xml:space="preserve"> V této práci se nebudu věnovat k</w:t>
      </w:r>
      <w:r w:rsidRPr="008B3633">
        <w:rPr>
          <w:rFonts w:cs="Arial"/>
        </w:rPr>
        <w:t xml:space="preserve">árné odpovědnosti funkcionářů soudu [srov. § 87 odst. 2, § 88 odst. 2 ZSS], ani problematice nezpůsobilosti soudce k výkonu funkce [srov. § 91 a § 92 ZSS]. Pojednáno taktéž nebude o specifické úpravě kárné odpovědnosti </w:t>
      </w:r>
      <w:r>
        <w:rPr>
          <w:rFonts w:cs="Arial"/>
        </w:rPr>
        <w:t>ústavních soudců [srov. § 132</w:t>
      </w:r>
      <w:r w:rsidRPr="00540B67">
        <w:rPr>
          <w:rFonts w:cs="Garamond"/>
        </w:rPr>
        <w:sym w:font="Symbol" w:char="F02D"/>
      </w:r>
      <w:r w:rsidRPr="008B3633">
        <w:rPr>
          <w:rFonts w:cs="Arial"/>
        </w:rPr>
        <w:t>142 zákona č. 182/1993 Sb.</w:t>
      </w:r>
      <w:r w:rsidRPr="008B3633">
        <w:t>, o Ústavním soudu].</w:t>
      </w:r>
    </w:p>
  </w:footnote>
  <w:footnote w:id="57">
    <w:p w14:paraId="4F1267AC" w14:textId="77777777" w:rsidR="00F26821" w:rsidRPr="00061A48" w:rsidRDefault="00F26821" w:rsidP="00655399">
      <w:pPr>
        <w:pStyle w:val="Textpoznpodarou"/>
        <w:spacing w:line="240" w:lineRule="auto"/>
      </w:pPr>
      <w:r w:rsidRPr="00061A48">
        <w:rPr>
          <w:rStyle w:val="Znakapoznpodarou"/>
        </w:rPr>
        <w:footnoteRef/>
      </w:r>
      <w:r w:rsidRPr="00061A48">
        <w:t xml:space="preserve"> GRYGAR, J. </w:t>
      </w:r>
      <w:r w:rsidRPr="00D55AAD">
        <w:rPr>
          <w:i/>
        </w:rPr>
        <w:t>Zákon o soudech a soudcích. Komentář.</w:t>
      </w:r>
      <w:r w:rsidRPr="00061A48">
        <w:t xml:space="preserve"> Praha: </w:t>
      </w:r>
      <w:proofErr w:type="spellStart"/>
      <w:r w:rsidRPr="00061A48">
        <w:t>Wolters</w:t>
      </w:r>
      <w:proofErr w:type="spellEnd"/>
      <w:r w:rsidRPr="00061A48">
        <w:t xml:space="preserve"> </w:t>
      </w:r>
      <w:proofErr w:type="spellStart"/>
      <w:r w:rsidRPr="00061A48">
        <w:t>Kluwer</w:t>
      </w:r>
      <w:proofErr w:type="spellEnd"/>
      <w:r w:rsidRPr="00061A48">
        <w:t>, 2018, § 86.</w:t>
      </w:r>
    </w:p>
  </w:footnote>
  <w:footnote w:id="58">
    <w:p w14:paraId="10201F2F" w14:textId="77777777" w:rsidR="00F26821" w:rsidRPr="00061A48" w:rsidRDefault="00F26821" w:rsidP="00655399">
      <w:pPr>
        <w:pStyle w:val="Textpoznpodarou"/>
        <w:spacing w:line="240" w:lineRule="auto"/>
      </w:pPr>
      <w:r w:rsidRPr="00061A48">
        <w:rPr>
          <w:rStyle w:val="Znakapoznpodarou"/>
        </w:rPr>
        <w:footnoteRef/>
      </w:r>
      <w:r w:rsidRPr="00061A48">
        <w:t xml:space="preserve"> § 86 ZSS.</w:t>
      </w:r>
    </w:p>
  </w:footnote>
  <w:footnote w:id="59">
    <w:p w14:paraId="3B58FE8E" w14:textId="6127A793" w:rsidR="00F26821" w:rsidRPr="00061A48" w:rsidRDefault="00F26821" w:rsidP="00655399">
      <w:pPr>
        <w:pStyle w:val="Textpoznpodarou"/>
        <w:spacing w:line="240" w:lineRule="auto"/>
      </w:pPr>
      <w:r w:rsidRPr="00061A48">
        <w:rPr>
          <w:rStyle w:val="Znakapoznpodarou"/>
        </w:rPr>
        <w:footnoteRef/>
      </w:r>
      <w:r w:rsidRPr="00061A48">
        <w:t xml:space="preserve"> GERLOCH, A. </w:t>
      </w:r>
      <w:r w:rsidRPr="00061A48">
        <w:rPr>
          <w:i/>
          <w:iCs/>
        </w:rPr>
        <w:t>Teorie práva</w:t>
      </w:r>
      <w:r w:rsidRPr="00061A48">
        <w:t xml:space="preserve">. Plzeň: Aleš Čeněk, 2013, </w:t>
      </w:r>
      <w:r>
        <w:t>s.</w:t>
      </w:r>
      <w:r w:rsidRPr="00061A48">
        <w:t xml:space="preserve"> 164.</w:t>
      </w:r>
    </w:p>
  </w:footnote>
  <w:footnote w:id="60">
    <w:p w14:paraId="602A5511" w14:textId="77777777" w:rsidR="00F26821" w:rsidRPr="00061A48" w:rsidRDefault="00F26821" w:rsidP="00655399">
      <w:pPr>
        <w:pStyle w:val="Textpoznpodarou"/>
        <w:spacing w:line="240" w:lineRule="auto"/>
      </w:pPr>
      <w:r w:rsidRPr="00061A48">
        <w:rPr>
          <w:rStyle w:val="Znakapoznpodarou"/>
        </w:rPr>
        <w:footnoteRef/>
      </w:r>
      <w:r w:rsidRPr="00061A48">
        <w:t xml:space="preserve"> Nález ÚS ze dne 29. 9. 2010, </w:t>
      </w:r>
      <w:proofErr w:type="spellStart"/>
      <w:r w:rsidRPr="00061A48">
        <w:t>sp</w:t>
      </w:r>
      <w:proofErr w:type="spellEnd"/>
      <w:r w:rsidRPr="00061A48">
        <w:t xml:space="preserve">. zn. </w:t>
      </w:r>
      <w:proofErr w:type="spellStart"/>
      <w:r w:rsidRPr="00061A48">
        <w:t>Pl</w:t>
      </w:r>
      <w:proofErr w:type="spellEnd"/>
      <w:r w:rsidRPr="00061A48">
        <w:t>. ÚS 33/09, odst. [53].</w:t>
      </w:r>
    </w:p>
  </w:footnote>
  <w:footnote w:id="61">
    <w:p w14:paraId="530E51F4" w14:textId="77777777" w:rsidR="00F26821" w:rsidRPr="00A15F74" w:rsidRDefault="00F26821" w:rsidP="00400558">
      <w:pPr>
        <w:pStyle w:val="Textpoznpodarou"/>
        <w:spacing w:line="240" w:lineRule="auto"/>
      </w:pPr>
      <w:r w:rsidRPr="00A15F74">
        <w:rPr>
          <w:rStyle w:val="Znakapoznpodarou"/>
        </w:rPr>
        <w:footnoteRef/>
      </w:r>
      <w:r w:rsidRPr="00A15F74">
        <w:t xml:space="preserve"> Dle § 90 ZSS </w:t>
      </w:r>
      <w:r w:rsidRPr="00A15F74">
        <w:rPr>
          <w:rFonts w:cs="Arial"/>
          <w:shd w:val="clear" w:color="auto" w:fill="FFFFFF"/>
        </w:rPr>
        <w:t xml:space="preserve">upravuje </w:t>
      </w:r>
      <w:r w:rsidRPr="00A15F74">
        <w:t>ř</w:t>
      </w:r>
      <w:r w:rsidRPr="00A15F74">
        <w:rPr>
          <w:rFonts w:cs="Arial"/>
          <w:shd w:val="clear" w:color="auto" w:fill="FFFFFF"/>
        </w:rPr>
        <w:t>ízení ve věcech kárné odpovědnosti soudců zvláštní právní předpis.</w:t>
      </w:r>
    </w:p>
  </w:footnote>
  <w:footnote w:id="62">
    <w:p w14:paraId="676AE33E" w14:textId="77777777" w:rsidR="00F26821" w:rsidRPr="00A15F74" w:rsidRDefault="00F26821" w:rsidP="00061A48">
      <w:pPr>
        <w:pStyle w:val="Textpoznpodarou"/>
        <w:spacing w:line="240" w:lineRule="auto"/>
      </w:pPr>
      <w:r w:rsidRPr="00A15F74">
        <w:rPr>
          <w:rStyle w:val="Znakapoznpodarou"/>
        </w:rPr>
        <w:footnoteRef/>
      </w:r>
      <w:r w:rsidRPr="00A15F74">
        <w:t xml:space="preserve"> Jak název tohoto předpisu napovídá, upravuje také kárné řízení se státními zástupci a soudními exekutory (některá ustanovení zákona jsou pro všechny společná, jiná pro každou odpovědnost samostatná); této problematice však nebude v práci věnována pozornost.</w:t>
      </w:r>
    </w:p>
  </w:footnote>
  <w:footnote w:id="63">
    <w:p w14:paraId="36C17C48" w14:textId="2DD4BC5B" w:rsidR="00F26821" w:rsidRPr="00A15F74" w:rsidRDefault="00F26821" w:rsidP="00400558">
      <w:pPr>
        <w:pStyle w:val="Textpoznpodarou"/>
        <w:spacing w:line="240" w:lineRule="auto"/>
      </w:pPr>
      <w:r w:rsidRPr="00A15F74">
        <w:rPr>
          <w:rStyle w:val="Znakapoznpodarou"/>
        </w:rPr>
        <w:footnoteRef/>
      </w:r>
      <w:r>
        <w:t xml:space="preserve"> § 8</w:t>
      </w:r>
      <w:r w:rsidRPr="00540B67">
        <w:rPr>
          <w:rFonts w:cs="Garamond"/>
        </w:rPr>
        <w:sym w:font="Symbol" w:char="F02D"/>
      </w:r>
      <w:r w:rsidRPr="00A15F74">
        <w:t>25 KŘ.</w:t>
      </w:r>
    </w:p>
  </w:footnote>
  <w:footnote w:id="64">
    <w:p w14:paraId="37C9B8D6" w14:textId="77777777" w:rsidR="00F26821" w:rsidRPr="00A15F74" w:rsidRDefault="00F26821" w:rsidP="008308C5">
      <w:pPr>
        <w:pStyle w:val="Textpoznpodarou"/>
        <w:spacing w:line="240" w:lineRule="auto"/>
      </w:pPr>
      <w:r w:rsidRPr="00A15F74">
        <w:rPr>
          <w:rStyle w:val="Znakapoznpodarou"/>
        </w:rPr>
        <w:footnoteRef/>
      </w:r>
      <w:r w:rsidRPr="00A15F74">
        <w:t xml:space="preserve"> Zákon č. 141/1961 Sb., o trestním řízení soudním (trestní řád), ve znění pozdějších předpisů (dále jen „trestní řád“ či „TŘ“).</w:t>
      </w:r>
    </w:p>
  </w:footnote>
  <w:footnote w:id="65">
    <w:p w14:paraId="50C4CC0C" w14:textId="77777777" w:rsidR="00F26821" w:rsidRPr="00A15F74" w:rsidRDefault="00F26821" w:rsidP="008308C5">
      <w:pPr>
        <w:pStyle w:val="Textpoznpodarou"/>
        <w:spacing w:line="240" w:lineRule="auto"/>
      </w:pPr>
      <w:r w:rsidRPr="00A15F74">
        <w:rPr>
          <w:rStyle w:val="Znakapoznpodarou"/>
        </w:rPr>
        <w:footnoteRef/>
      </w:r>
      <w:r w:rsidRPr="00A15F74">
        <w:t xml:space="preserve"> § 25 KŘ.</w:t>
      </w:r>
    </w:p>
  </w:footnote>
  <w:footnote w:id="66">
    <w:p w14:paraId="28D4CE30" w14:textId="77777777" w:rsidR="00F26821" w:rsidRPr="00A15F74" w:rsidRDefault="00F26821" w:rsidP="008308C5">
      <w:pPr>
        <w:shd w:val="clear" w:color="auto" w:fill="FFFFFF"/>
        <w:spacing w:line="240" w:lineRule="auto"/>
        <w:rPr>
          <w:sz w:val="20"/>
          <w:szCs w:val="20"/>
        </w:rPr>
      </w:pPr>
      <w:r w:rsidRPr="00A15F74">
        <w:rPr>
          <w:rStyle w:val="Znakapoznpodarou"/>
          <w:sz w:val="20"/>
          <w:szCs w:val="20"/>
        </w:rPr>
        <w:footnoteRef/>
      </w:r>
      <w:r w:rsidRPr="00A15F74">
        <w:rPr>
          <w:sz w:val="20"/>
          <w:szCs w:val="20"/>
        </w:rPr>
        <w:t xml:space="preserve"> </w:t>
      </w:r>
      <w:r w:rsidRPr="00A15F74">
        <w:rPr>
          <w:rFonts w:cs="Arial"/>
          <w:bCs/>
          <w:sz w:val="20"/>
          <w:szCs w:val="20"/>
        </w:rPr>
        <w:t>§ 15 odst. 1 KŘ.</w:t>
      </w:r>
    </w:p>
  </w:footnote>
  <w:footnote w:id="67">
    <w:p w14:paraId="06F6DB83" w14:textId="77777777" w:rsidR="00F26821" w:rsidRPr="00442467" w:rsidRDefault="00F26821" w:rsidP="00442467">
      <w:pPr>
        <w:spacing w:line="240" w:lineRule="auto"/>
        <w:rPr>
          <w:rFonts w:cs="Arial"/>
          <w:color w:val="000000"/>
          <w:sz w:val="20"/>
          <w:szCs w:val="20"/>
        </w:rPr>
      </w:pPr>
      <w:r w:rsidRPr="00A15F74">
        <w:rPr>
          <w:rStyle w:val="Znakapoznpodarou"/>
          <w:sz w:val="20"/>
          <w:szCs w:val="20"/>
        </w:rPr>
        <w:footnoteRef/>
      </w:r>
      <w:r w:rsidRPr="00A15F74">
        <w:rPr>
          <w:sz w:val="20"/>
          <w:szCs w:val="20"/>
        </w:rPr>
        <w:t xml:space="preserve"> R</w:t>
      </w:r>
      <w:r w:rsidRPr="00A15F74">
        <w:rPr>
          <w:rFonts w:cs="Arial"/>
          <w:color w:val="000000"/>
          <w:sz w:val="20"/>
          <w:szCs w:val="20"/>
          <w:shd w:val="clear" w:color="auto" w:fill="FFFFFF"/>
        </w:rPr>
        <w:t xml:space="preserve">ozhodnutí Nejvyššího soudu ze dne 18. 10. 2007, </w:t>
      </w:r>
      <w:proofErr w:type="spellStart"/>
      <w:r w:rsidRPr="00A15F74">
        <w:rPr>
          <w:rFonts w:cs="Arial"/>
          <w:color w:val="000000"/>
          <w:sz w:val="20"/>
          <w:szCs w:val="20"/>
          <w:shd w:val="clear" w:color="auto" w:fill="FFFFFF"/>
        </w:rPr>
        <w:t>sp</w:t>
      </w:r>
      <w:proofErr w:type="spellEnd"/>
      <w:r w:rsidRPr="00A15F74">
        <w:rPr>
          <w:rFonts w:cs="Arial"/>
          <w:color w:val="000000"/>
          <w:sz w:val="20"/>
          <w:szCs w:val="20"/>
          <w:shd w:val="clear" w:color="auto" w:fill="FFFFFF"/>
        </w:rPr>
        <w:t xml:space="preserve">. zn. 1 </w:t>
      </w:r>
      <w:proofErr w:type="spellStart"/>
      <w:r w:rsidRPr="00A15F74">
        <w:rPr>
          <w:rFonts w:cs="Arial"/>
          <w:color w:val="000000"/>
          <w:sz w:val="20"/>
          <w:szCs w:val="20"/>
          <w:shd w:val="clear" w:color="auto" w:fill="FFFFFF"/>
        </w:rPr>
        <w:t>Skno</w:t>
      </w:r>
      <w:proofErr w:type="spellEnd"/>
      <w:r w:rsidRPr="00A15F74">
        <w:rPr>
          <w:rFonts w:cs="Arial"/>
          <w:color w:val="000000"/>
          <w:sz w:val="20"/>
          <w:szCs w:val="20"/>
          <w:shd w:val="clear" w:color="auto" w:fill="FFFFFF"/>
        </w:rPr>
        <w:t xml:space="preserve"> 1/2007, </w:t>
      </w:r>
      <w:r w:rsidRPr="00A15F74">
        <w:rPr>
          <w:rStyle w:val="dos"/>
          <w:bCs/>
          <w:color w:val="43494D"/>
          <w:sz w:val="20"/>
          <w:szCs w:val="20"/>
        </w:rPr>
        <w:t xml:space="preserve">či </w:t>
      </w:r>
      <w:r w:rsidRPr="00A15F74">
        <w:rPr>
          <w:color w:val="000000"/>
          <w:sz w:val="20"/>
          <w:szCs w:val="20"/>
        </w:rPr>
        <w:t xml:space="preserve">rozhodnutí NSS ze dne 18. 5. 2021, č. j. 13 </w:t>
      </w:r>
      <w:proofErr w:type="spellStart"/>
      <w:r w:rsidRPr="00A15F74">
        <w:rPr>
          <w:color w:val="000000"/>
          <w:sz w:val="20"/>
          <w:szCs w:val="20"/>
        </w:rPr>
        <w:t>Kss</w:t>
      </w:r>
      <w:proofErr w:type="spellEnd"/>
      <w:r w:rsidRPr="00A15F74">
        <w:rPr>
          <w:color w:val="000000"/>
          <w:sz w:val="20"/>
          <w:szCs w:val="20"/>
        </w:rPr>
        <w:t xml:space="preserve"> 5/2020-400.</w:t>
      </w:r>
    </w:p>
  </w:footnote>
  <w:footnote w:id="68">
    <w:p w14:paraId="62E102FA" w14:textId="6161D86B" w:rsidR="00F26821" w:rsidRPr="00484D14" w:rsidRDefault="00F26821" w:rsidP="00061202">
      <w:pPr>
        <w:pStyle w:val="Textpoznpodarou"/>
        <w:spacing w:line="240" w:lineRule="auto"/>
      </w:pPr>
      <w:r>
        <w:rPr>
          <w:rStyle w:val="Znakapoznpodarou"/>
        </w:rPr>
        <w:footnoteRef/>
      </w:r>
      <w:r>
        <w:t xml:space="preserve"> Termín </w:t>
      </w:r>
      <w:r w:rsidRPr="00061202">
        <w:rPr>
          <w:i/>
        </w:rPr>
        <w:t>delikt</w:t>
      </w:r>
      <w:r>
        <w:t xml:space="preserve"> chápu v jeho nejširším smyslu jako jakékoli porušení práva nebo jím stanovené povinnosti. Používám jej proto v této práci jako obecné označení pro skutek, jehož protiprávnost je stanovena právním předpisem; považuji jej tedy za nadřazený pojem termínům konkrétního pojmenování protiprávního jednání v obou porovnávaných odvětvích.</w:t>
      </w:r>
    </w:p>
  </w:footnote>
  <w:footnote w:id="69">
    <w:p w14:paraId="474FDC6C" w14:textId="77777777" w:rsidR="00F26821" w:rsidRPr="00ED7C4C" w:rsidRDefault="00F26821" w:rsidP="00061202">
      <w:pPr>
        <w:spacing w:line="240" w:lineRule="auto"/>
        <w:rPr>
          <w:sz w:val="20"/>
          <w:szCs w:val="20"/>
        </w:rPr>
      </w:pPr>
      <w:r w:rsidRPr="00ED7C4C">
        <w:rPr>
          <w:rStyle w:val="Znakapoznpodarou"/>
          <w:sz w:val="20"/>
          <w:szCs w:val="20"/>
        </w:rPr>
        <w:footnoteRef/>
      </w:r>
      <w:r w:rsidRPr="00ED7C4C">
        <w:rPr>
          <w:sz w:val="20"/>
          <w:szCs w:val="20"/>
        </w:rPr>
        <w:t xml:space="preserve"> § 87 odst. 1 ZSS.</w:t>
      </w:r>
    </w:p>
  </w:footnote>
  <w:footnote w:id="70">
    <w:p w14:paraId="5DC7FF0A" w14:textId="77E305FC" w:rsidR="00F26821" w:rsidRPr="00ED7C4C" w:rsidRDefault="00F26821" w:rsidP="00061202">
      <w:pPr>
        <w:spacing w:line="240" w:lineRule="auto"/>
        <w:rPr>
          <w:sz w:val="20"/>
          <w:szCs w:val="20"/>
        </w:rPr>
      </w:pPr>
      <w:r w:rsidRPr="00ED7C4C">
        <w:rPr>
          <w:rStyle w:val="Znakapoznpodarou"/>
          <w:sz w:val="20"/>
          <w:szCs w:val="20"/>
        </w:rPr>
        <w:footnoteRef/>
      </w:r>
      <w:r w:rsidRPr="00ED7C4C">
        <w:rPr>
          <w:sz w:val="20"/>
          <w:szCs w:val="20"/>
        </w:rPr>
        <w:t xml:space="preserve"> </w:t>
      </w:r>
      <w:r w:rsidRPr="00ED7C4C">
        <w:rPr>
          <w:rFonts w:eastAsia="Calibri" w:cs="CIDFont+F5"/>
          <w:sz w:val="20"/>
          <w:szCs w:val="20"/>
          <w:lang w:eastAsia="en-US"/>
        </w:rPr>
        <w:t>ZEMANOVÁ</w:t>
      </w:r>
      <w:r w:rsidRPr="00ED7C4C">
        <w:rPr>
          <w:sz w:val="20"/>
          <w:szCs w:val="20"/>
        </w:rPr>
        <w:t xml:space="preserve">, </w:t>
      </w:r>
      <w:r>
        <w:rPr>
          <w:sz w:val="20"/>
          <w:szCs w:val="20"/>
        </w:rPr>
        <w:t>s. 139</w:t>
      </w:r>
      <w:r w:rsidRPr="00540B67">
        <w:rPr>
          <w:rFonts w:cs="Garamond"/>
          <w:sz w:val="20"/>
          <w:szCs w:val="20"/>
        </w:rPr>
        <w:sym w:font="Symbol" w:char="F02D"/>
      </w:r>
      <w:r w:rsidRPr="00ED7C4C">
        <w:rPr>
          <w:sz w:val="20"/>
          <w:szCs w:val="20"/>
        </w:rPr>
        <w:t>141.</w:t>
      </w:r>
    </w:p>
  </w:footnote>
  <w:footnote w:id="71">
    <w:p w14:paraId="5C8FFA5F" w14:textId="77777777" w:rsidR="00F26821" w:rsidRPr="00ED7C4C" w:rsidRDefault="00F26821" w:rsidP="00ED7C4C">
      <w:pPr>
        <w:spacing w:line="240" w:lineRule="auto"/>
        <w:rPr>
          <w:sz w:val="20"/>
          <w:szCs w:val="20"/>
        </w:rPr>
      </w:pPr>
      <w:r w:rsidRPr="00ED7C4C">
        <w:rPr>
          <w:rStyle w:val="Znakapoznpodarou"/>
          <w:sz w:val="20"/>
          <w:szCs w:val="20"/>
        </w:rPr>
        <w:footnoteRef/>
      </w:r>
      <w:r w:rsidRPr="00ED7C4C">
        <w:rPr>
          <w:sz w:val="20"/>
          <w:szCs w:val="20"/>
        </w:rPr>
        <w:t xml:space="preserve"> GRYGAR, § 87.</w:t>
      </w:r>
    </w:p>
  </w:footnote>
  <w:footnote w:id="72">
    <w:p w14:paraId="1A850341" w14:textId="77777777" w:rsidR="00F26821" w:rsidRPr="000E43A6" w:rsidRDefault="00F26821" w:rsidP="002035C8">
      <w:pPr>
        <w:pStyle w:val="Textpoznpodarou"/>
        <w:spacing w:line="240" w:lineRule="auto"/>
      </w:pPr>
      <w:r w:rsidRPr="000E43A6">
        <w:rPr>
          <w:rStyle w:val="Znakapoznpodarou"/>
        </w:rPr>
        <w:footnoteRef/>
      </w:r>
      <w:r w:rsidRPr="000E43A6">
        <w:t xml:space="preserve"> GRYGAR, § 87.</w:t>
      </w:r>
    </w:p>
  </w:footnote>
  <w:footnote w:id="73">
    <w:p w14:paraId="7BDA87F0" w14:textId="77777777" w:rsidR="00F26821" w:rsidRPr="000E43A6" w:rsidRDefault="00F26821" w:rsidP="002035C8">
      <w:pPr>
        <w:pStyle w:val="Textpoznpodarou"/>
        <w:spacing w:line="240" w:lineRule="auto"/>
      </w:pPr>
      <w:r w:rsidRPr="000E43A6">
        <w:rPr>
          <w:rStyle w:val="Znakapoznpodarou"/>
        </w:rPr>
        <w:footnoteRef/>
      </w:r>
      <w:r w:rsidRPr="000E43A6">
        <w:t xml:space="preserve"> Čl. 82 odst. 3 Ústavy.</w:t>
      </w:r>
    </w:p>
  </w:footnote>
  <w:footnote w:id="74">
    <w:p w14:paraId="099DEC4A" w14:textId="77777777" w:rsidR="00F26821" w:rsidRPr="000E43A6" w:rsidRDefault="00F26821" w:rsidP="002035C8">
      <w:pPr>
        <w:pStyle w:val="Textpoznpodarou"/>
        <w:spacing w:line="240" w:lineRule="auto"/>
      </w:pPr>
      <w:r w:rsidRPr="000E43A6">
        <w:rPr>
          <w:rStyle w:val="Znakapoznpodarou"/>
        </w:rPr>
        <w:footnoteRef/>
      </w:r>
      <w:r w:rsidRPr="000E43A6">
        <w:t xml:space="preserve"> Čl. 95 odst. 1 Ústavy.</w:t>
      </w:r>
    </w:p>
  </w:footnote>
  <w:footnote w:id="75">
    <w:p w14:paraId="0A7E8E28" w14:textId="77777777" w:rsidR="00F26821" w:rsidRPr="000E43A6" w:rsidRDefault="00F26821" w:rsidP="002035C8">
      <w:pPr>
        <w:spacing w:line="240" w:lineRule="auto"/>
        <w:rPr>
          <w:sz w:val="20"/>
          <w:szCs w:val="20"/>
        </w:rPr>
      </w:pPr>
      <w:r w:rsidRPr="000E43A6">
        <w:rPr>
          <w:rStyle w:val="Znakapoznpodarou"/>
          <w:sz w:val="20"/>
          <w:szCs w:val="20"/>
        </w:rPr>
        <w:footnoteRef/>
      </w:r>
      <w:r w:rsidRPr="000E43A6">
        <w:rPr>
          <w:sz w:val="20"/>
          <w:szCs w:val="20"/>
        </w:rPr>
        <w:t xml:space="preserve"> § 79 odst. 1 ZSS.</w:t>
      </w:r>
    </w:p>
  </w:footnote>
  <w:footnote w:id="76">
    <w:p w14:paraId="34203BA5" w14:textId="77777777" w:rsidR="00F26821" w:rsidRPr="000E43A6" w:rsidRDefault="00F26821" w:rsidP="002035C8">
      <w:pPr>
        <w:spacing w:line="240" w:lineRule="auto"/>
        <w:rPr>
          <w:sz w:val="20"/>
          <w:szCs w:val="20"/>
        </w:rPr>
      </w:pPr>
      <w:r w:rsidRPr="000E43A6">
        <w:rPr>
          <w:rStyle w:val="Znakapoznpodarou"/>
          <w:sz w:val="20"/>
          <w:szCs w:val="20"/>
        </w:rPr>
        <w:footnoteRef/>
      </w:r>
      <w:r w:rsidRPr="000E43A6">
        <w:rPr>
          <w:sz w:val="20"/>
          <w:szCs w:val="20"/>
        </w:rPr>
        <w:t xml:space="preserve"> § 80 odst. 1 ZSS.</w:t>
      </w:r>
    </w:p>
  </w:footnote>
  <w:footnote w:id="77">
    <w:p w14:paraId="539CFBBC" w14:textId="77777777" w:rsidR="00F26821" w:rsidRPr="000E43A6" w:rsidRDefault="00F26821" w:rsidP="002035C8">
      <w:pPr>
        <w:spacing w:line="240" w:lineRule="auto"/>
        <w:rPr>
          <w:sz w:val="20"/>
          <w:szCs w:val="20"/>
        </w:rPr>
      </w:pPr>
      <w:r w:rsidRPr="000E43A6">
        <w:rPr>
          <w:rStyle w:val="Znakapoznpodarou"/>
          <w:sz w:val="20"/>
          <w:szCs w:val="20"/>
        </w:rPr>
        <w:footnoteRef/>
      </w:r>
      <w:r w:rsidRPr="000E43A6">
        <w:rPr>
          <w:sz w:val="20"/>
          <w:szCs w:val="20"/>
        </w:rPr>
        <w:t xml:space="preserve"> § 81 odst. 1 ZSS.</w:t>
      </w:r>
    </w:p>
  </w:footnote>
  <w:footnote w:id="78">
    <w:p w14:paraId="4872507C" w14:textId="77777777" w:rsidR="00F26821" w:rsidRPr="000E43A6" w:rsidRDefault="00F26821" w:rsidP="002035C8">
      <w:pPr>
        <w:spacing w:line="240" w:lineRule="auto"/>
        <w:rPr>
          <w:sz w:val="20"/>
          <w:szCs w:val="20"/>
        </w:rPr>
      </w:pPr>
      <w:r w:rsidRPr="000E43A6">
        <w:rPr>
          <w:rStyle w:val="Znakapoznpodarou"/>
          <w:sz w:val="20"/>
          <w:szCs w:val="20"/>
        </w:rPr>
        <w:footnoteRef/>
      </w:r>
      <w:r w:rsidRPr="000E43A6">
        <w:rPr>
          <w:sz w:val="20"/>
          <w:szCs w:val="20"/>
        </w:rPr>
        <w:t xml:space="preserve"> § 82 odst. 2 ZSS.</w:t>
      </w:r>
    </w:p>
  </w:footnote>
  <w:footnote w:id="79">
    <w:p w14:paraId="6486822E" w14:textId="77777777" w:rsidR="00F26821" w:rsidRPr="001D037E" w:rsidRDefault="00F26821" w:rsidP="002035C8">
      <w:pPr>
        <w:pStyle w:val="Bezmezer"/>
        <w:rPr>
          <w:sz w:val="20"/>
          <w:szCs w:val="20"/>
        </w:rPr>
      </w:pPr>
      <w:r w:rsidRPr="001D037E">
        <w:rPr>
          <w:sz w:val="18"/>
          <w:szCs w:val="20"/>
          <w:vertAlign w:val="superscript"/>
        </w:rPr>
        <w:footnoteRef/>
      </w:r>
      <w:r w:rsidRPr="001D037E">
        <w:rPr>
          <w:sz w:val="20"/>
          <w:szCs w:val="20"/>
        </w:rPr>
        <w:t xml:space="preserve"> Např. trestní řád; zákon č. 99/1963 Sb., občanský soudní řád; zákon č. 292/2013 Sb., o zvláštních řízeních soudních</w:t>
      </w:r>
      <w:r>
        <w:rPr>
          <w:sz w:val="20"/>
          <w:szCs w:val="20"/>
        </w:rPr>
        <w:t>; či</w:t>
      </w:r>
      <w:r w:rsidRPr="001D037E">
        <w:rPr>
          <w:sz w:val="20"/>
          <w:szCs w:val="20"/>
        </w:rPr>
        <w:t xml:space="preserve"> zákon č. 150/2002 Sb., soudní řád správní.</w:t>
      </w:r>
    </w:p>
  </w:footnote>
  <w:footnote w:id="80">
    <w:p w14:paraId="173D1673" w14:textId="77777777" w:rsidR="00F26821" w:rsidRPr="000E43A6" w:rsidRDefault="00F26821" w:rsidP="002035C8">
      <w:pPr>
        <w:spacing w:line="240" w:lineRule="auto"/>
        <w:rPr>
          <w:rFonts w:eastAsia="Calibri" w:cs="CIDFont+F5"/>
          <w:sz w:val="20"/>
          <w:szCs w:val="20"/>
          <w:lang w:eastAsia="en-US"/>
        </w:rPr>
      </w:pPr>
      <w:r w:rsidRPr="000E43A6">
        <w:rPr>
          <w:rStyle w:val="Znakapoznpodarou"/>
          <w:sz w:val="20"/>
          <w:szCs w:val="20"/>
        </w:rPr>
        <w:footnoteRef/>
      </w:r>
      <w:r w:rsidRPr="000E43A6">
        <w:rPr>
          <w:sz w:val="20"/>
          <w:szCs w:val="20"/>
        </w:rPr>
        <w:t xml:space="preserve"> Např. </w:t>
      </w:r>
      <w:r w:rsidRPr="000E43A6">
        <w:rPr>
          <w:rFonts w:eastAsia="Calibri" w:cs="CIDFont+F5"/>
          <w:sz w:val="20"/>
          <w:szCs w:val="20"/>
          <w:lang w:eastAsia="en-US"/>
        </w:rPr>
        <w:t xml:space="preserve">rozhodnutí NSS ze dne 10. 6. 2019, č. j. 11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1/2019-87, ze dne 15. 4. 2019, č. j. 11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8/2018-199.</w:t>
      </w:r>
    </w:p>
  </w:footnote>
  <w:footnote w:id="81">
    <w:p w14:paraId="1D92F74C" w14:textId="77777777" w:rsidR="00F26821" w:rsidRPr="000E43A6" w:rsidRDefault="00F26821" w:rsidP="002035C8">
      <w:pPr>
        <w:autoSpaceDE w:val="0"/>
        <w:autoSpaceDN w:val="0"/>
        <w:adjustRightInd w:val="0"/>
        <w:spacing w:line="240" w:lineRule="auto"/>
        <w:rPr>
          <w:rFonts w:eastAsia="Calibri" w:cs="CIDFont+F5"/>
          <w:sz w:val="20"/>
          <w:szCs w:val="20"/>
          <w:lang w:eastAsia="en-US"/>
        </w:rPr>
      </w:pPr>
      <w:r w:rsidRPr="000E43A6">
        <w:rPr>
          <w:rStyle w:val="Znakapoznpodarou"/>
          <w:sz w:val="20"/>
          <w:szCs w:val="20"/>
        </w:rPr>
        <w:footnoteRef/>
      </w:r>
      <w:r w:rsidRPr="000E43A6">
        <w:rPr>
          <w:sz w:val="20"/>
          <w:szCs w:val="20"/>
        </w:rPr>
        <w:t xml:space="preserve"> Např. </w:t>
      </w:r>
      <w:r w:rsidRPr="000E43A6">
        <w:rPr>
          <w:rFonts w:eastAsia="Calibri" w:cs="CIDFont+F5"/>
          <w:sz w:val="20"/>
          <w:szCs w:val="20"/>
          <w:lang w:eastAsia="en-US"/>
        </w:rPr>
        <w:t xml:space="preserve">rozhodnutí NSS ze dne 6. 9. 2017, č. j. 13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5/2017-120, ze dne 27. 6. 2013, č. j. 13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4/2013-115.</w:t>
      </w:r>
    </w:p>
  </w:footnote>
  <w:footnote w:id="82">
    <w:p w14:paraId="2A25D6F5" w14:textId="77777777" w:rsidR="00F26821" w:rsidRPr="000E43A6" w:rsidRDefault="00F26821" w:rsidP="002035C8">
      <w:pPr>
        <w:spacing w:line="240" w:lineRule="auto"/>
        <w:rPr>
          <w:rFonts w:eastAsia="Calibri" w:cs="CIDFont+F5"/>
          <w:sz w:val="20"/>
          <w:szCs w:val="20"/>
          <w:lang w:eastAsia="en-US"/>
        </w:rPr>
      </w:pPr>
      <w:r w:rsidRPr="000E43A6">
        <w:rPr>
          <w:rStyle w:val="Znakapoznpodarou"/>
          <w:sz w:val="20"/>
          <w:szCs w:val="20"/>
        </w:rPr>
        <w:footnoteRef/>
      </w:r>
      <w:r w:rsidRPr="000E43A6">
        <w:rPr>
          <w:sz w:val="20"/>
          <w:szCs w:val="20"/>
        </w:rPr>
        <w:t xml:space="preserve"> Např. </w:t>
      </w:r>
      <w:r w:rsidRPr="000E43A6">
        <w:rPr>
          <w:rFonts w:eastAsia="Calibri" w:cs="CIDFont+F5"/>
          <w:sz w:val="20"/>
          <w:szCs w:val="20"/>
          <w:lang w:eastAsia="en-US"/>
        </w:rPr>
        <w:t xml:space="preserve">rozhodnutí NSS ze dne 11. 4. 2018, č. j. 16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6/2017-201, ze dne 20. 6. 2018, č. j. 13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8/2017-170.</w:t>
      </w:r>
    </w:p>
  </w:footnote>
  <w:footnote w:id="83">
    <w:p w14:paraId="08B43F43" w14:textId="77777777" w:rsidR="00F26821" w:rsidRPr="000E43A6" w:rsidRDefault="00F26821" w:rsidP="002035C8">
      <w:pPr>
        <w:spacing w:line="240" w:lineRule="auto"/>
        <w:rPr>
          <w:rFonts w:eastAsia="Calibri" w:cs="CIDFont+F5"/>
          <w:sz w:val="20"/>
          <w:szCs w:val="20"/>
          <w:lang w:eastAsia="en-US"/>
        </w:rPr>
      </w:pPr>
      <w:r w:rsidRPr="000E43A6">
        <w:rPr>
          <w:rStyle w:val="Znakapoznpodarou"/>
          <w:sz w:val="20"/>
          <w:szCs w:val="20"/>
        </w:rPr>
        <w:footnoteRef/>
      </w:r>
      <w:r w:rsidRPr="000E43A6">
        <w:rPr>
          <w:sz w:val="20"/>
          <w:szCs w:val="20"/>
        </w:rPr>
        <w:t xml:space="preserve"> Např. </w:t>
      </w:r>
      <w:r w:rsidRPr="000E43A6">
        <w:rPr>
          <w:rFonts w:eastAsia="Calibri" w:cs="CIDFont+F5"/>
          <w:sz w:val="20"/>
          <w:szCs w:val="20"/>
          <w:lang w:eastAsia="en-US"/>
        </w:rPr>
        <w:t xml:space="preserve">rozhodnutí NSS ze dne 10. 5. 2011, č. j. 13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11/2010-51, ze dne 7. 3. 2018, č. j. 16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7/2017-223.</w:t>
      </w:r>
    </w:p>
  </w:footnote>
  <w:footnote w:id="84">
    <w:p w14:paraId="05EBA10B" w14:textId="77777777" w:rsidR="00F26821" w:rsidRPr="000E43A6" w:rsidRDefault="00F26821" w:rsidP="002035C8">
      <w:pPr>
        <w:pStyle w:val="Textpoznpodarou"/>
        <w:spacing w:line="240" w:lineRule="auto"/>
      </w:pPr>
      <w:r w:rsidRPr="000E43A6">
        <w:rPr>
          <w:rStyle w:val="Znakapoznpodarou"/>
        </w:rPr>
        <w:footnoteRef/>
      </w:r>
      <w:r w:rsidRPr="000E43A6">
        <w:t xml:space="preserve"> Např. </w:t>
      </w:r>
      <w:r w:rsidRPr="000E43A6">
        <w:rPr>
          <w:rFonts w:eastAsia="Calibri" w:cs="CIDFont+F5"/>
          <w:lang w:eastAsia="en-US"/>
        </w:rPr>
        <w:t>rozhodnutí NSS ze dne 5. 1. 2011, č</w:t>
      </w:r>
      <w:r>
        <w:rPr>
          <w:rFonts w:eastAsia="Calibri" w:cs="CIDFont+F5"/>
          <w:lang w:eastAsia="en-US"/>
        </w:rPr>
        <w:t xml:space="preserve">. </w:t>
      </w:r>
      <w:r w:rsidRPr="000E43A6">
        <w:rPr>
          <w:rFonts w:eastAsia="Calibri" w:cs="CIDFont+F5"/>
          <w:lang w:eastAsia="en-US"/>
        </w:rPr>
        <w:t xml:space="preserve">j. 11 </w:t>
      </w:r>
      <w:proofErr w:type="spellStart"/>
      <w:r w:rsidRPr="000E43A6">
        <w:rPr>
          <w:rFonts w:eastAsia="Calibri" w:cs="CIDFont+F5"/>
          <w:lang w:eastAsia="en-US"/>
        </w:rPr>
        <w:t>Kss</w:t>
      </w:r>
      <w:proofErr w:type="spellEnd"/>
      <w:r w:rsidRPr="000E43A6">
        <w:rPr>
          <w:rFonts w:eastAsia="Calibri" w:cs="CIDFont+F5"/>
          <w:lang w:eastAsia="en-US"/>
        </w:rPr>
        <w:t xml:space="preserve"> 2/2010-57.</w:t>
      </w:r>
    </w:p>
  </w:footnote>
  <w:footnote w:id="85">
    <w:p w14:paraId="290D0BE8" w14:textId="16FCF289" w:rsidR="00F26821" w:rsidRDefault="00F26821" w:rsidP="002035C8">
      <w:pPr>
        <w:pStyle w:val="Textpoznpodarou"/>
        <w:spacing w:line="240" w:lineRule="auto"/>
      </w:pPr>
      <w:r>
        <w:rPr>
          <w:rStyle w:val="Znakapoznpodarou"/>
        </w:rPr>
        <w:footnoteRef/>
      </w:r>
      <w:r>
        <w:t xml:space="preserve"> Takto jej označuje oficiální latinské znění Kodexu.</w:t>
      </w:r>
    </w:p>
  </w:footnote>
  <w:footnote w:id="86">
    <w:p w14:paraId="4562A021" w14:textId="45468A7A" w:rsidR="00F26821" w:rsidRPr="00C64CBC" w:rsidRDefault="00F26821" w:rsidP="007D534A">
      <w:pPr>
        <w:pStyle w:val="Textpoznpodarou"/>
        <w:spacing w:line="240" w:lineRule="auto"/>
      </w:pPr>
      <w:r>
        <w:rPr>
          <w:rStyle w:val="Znakapoznpodarou"/>
        </w:rPr>
        <w:footnoteRef/>
      </w:r>
      <w:r>
        <w:t xml:space="preserve"> </w:t>
      </w:r>
      <w:r>
        <w:rPr>
          <w:rFonts w:cs="Garamond"/>
        </w:rPr>
        <w:t>Původně</w:t>
      </w:r>
      <w:r w:rsidRPr="003A2EA3">
        <w:rPr>
          <w:rFonts w:cs="Garamond"/>
        </w:rPr>
        <w:t xml:space="preserve"> </w:t>
      </w:r>
      <w:r>
        <w:rPr>
          <w:rFonts w:cs="Garamond"/>
        </w:rPr>
        <w:t>(</w:t>
      </w:r>
      <w:r w:rsidRPr="003A2EA3">
        <w:rPr>
          <w:rFonts w:cs="Garamond"/>
        </w:rPr>
        <w:t xml:space="preserve">před novelizací </w:t>
      </w:r>
      <w:r>
        <w:rPr>
          <w:rFonts w:cs="Garamond"/>
        </w:rPr>
        <w:t xml:space="preserve">Kodexu </w:t>
      </w:r>
      <w:r w:rsidRPr="003A2EA3">
        <w:rPr>
          <w:rFonts w:cs="Garamond"/>
        </w:rPr>
        <w:t xml:space="preserve">Apoštolskou konstitucí </w:t>
      </w:r>
      <w:proofErr w:type="spellStart"/>
      <w:r w:rsidRPr="003A2EA3">
        <w:rPr>
          <w:rFonts w:cs="Garamond"/>
          <w:i/>
        </w:rPr>
        <w:t>Pascite</w:t>
      </w:r>
      <w:proofErr w:type="spellEnd"/>
      <w:r w:rsidRPr="003A2EA3">
        <w:rPr>
          <w:rFonts w:cs="Garamond"/>
          <w:i/>
        </w:rPr>
        <w:t xml:space="preserve"> </w:t>
      </w:r>
      <w:proofErr w:type="spellStart"/>
      <w:r w:rsidRPr="003A2EA3">
        <w:rPr>
          <w:rFonts w:cs="Garamond"/>
          <w:i/>
        </w:rPr>
        <w:t>gregem</w:t>
      </w:r>
      <w:proofErr w:type="spellEnd"/>
      <w:r w:rsidRPr="003A2EA3">
        <w:rPr>
          <w:rFonts w:cs="Garamond"/>
          <w:i/>
        </w:rPr>
        <w:t xml:space="preserve"> </w:t>
      </w:r>
      <w:r w:rsidRPr="00C64CBC">
        <w:rPr>
          <w:rFonts w:cs="Garamond"/>
          <w:i/>
        </w:rPr>
        <w:t>Dei</w:t>
      </w:r>
      <w:r>
        <w:rPr>
          <w:rFonts w:cs="Garamond"/>
        </w:rPr>
        <w:t xml:space="preserve">) </w:t>
      </w:r>
      <w:r w:rsidRPr="00C64CBC">
        <w:rPr>
          <w:rFonts w:cs="Garamond"/>
        </w:rPr>
        <w:t>používal</w:t>
      </w:r>
      <w:r>
        <w:rPr>
          <w:rFonts w:cs="Garamond"/>
        </w:rPr>
        <w:t xml:space="preserve"> oficiální </w:t>
      </w:r>
      <w:r w:rsidRPr="003A2EA3">
        <w:rPr>
          <w:rFonts w:cs="Garamond"/>
        </w:rPr>
        <w:t xml:space="preserve">český překlad </w:t>
      </w:r>
      <w:r>
        <w:rPr>
          <w:rFonts w:cs="Garamond"/>
        </w:rPr>
        <w:t>pojem</w:t>
      </w:r>
      <w:r w:rsidRPr="003A2EA3">
        <w:rPr>
          <w:rFonts w:cs="Garamond"/>
        </w:rPr>
        <w:t xml:space="preserve"> </w:t>
      </w:r>
      <w:r w:rsidRPr="003A2EA3">
        <w:rPr>
          <w:rFonts w:cs="Garamond"/>
          <w:i/>
        </w:rPr>
        <w:t>zločin</w:t>
      </w:r>
      <w:r>
        <w:rPr>
          <w:rFonts w:cs="Garamond"/>
        </w:rPr>
        <w:t xml:space="preserve">; nově zvolený termín </w:t>
      </w:r>
      <w:r w:rsidRPr="00C64CBC">
        <w:rPr>
          <w:rFonts w:cs="Garamond"/>
          <w:i/>
        </w:rPr>
        <w:t>trestný čin</w:t>
      </w:r>
      <w:r>
        <w:rPr>
          <w:rFonts w:cs="Garamond"/>
        </w:rPr>
        <w:t xml:space="preserve"> odpovídá sekulárnímu označení protiprávního jednání vymezeného v </w:t>
      </w:r>
      <w:r w:rsidRPr="009246BB">
        <w:rPr>
          <w:bCs/>
        </w:rPr>
        <w:t>zákon</w:t>
      </w:r>
      <w:r>
        <w:rPr>
          <w:bCs/>
        </w:rPr>
        <w:t>ě č. </w:t>
      </w:r>
      <w:r w:rsidRPr="009246BB">
        <w:rPr>
          <w:bCs/>
        </w:rPr>
        <w:t xml:space="preserve">40/2009 Sb., </w:t>
      </w:r>
      <w:r w:rsidRPr="009246BB">
        <w:t>trestní zákoník, ve znění pozdějších předpisů (dále jen „trestní zákoník“ či „TZ“)</w:t>
      </w:r>
      <w:r>
        <w:t xml:space="preserve">. Já v práci dále užívám překladu </w:t>
      </w:r>
      <w:r w:rsidRPr="00997A90">
        <w:rPr>
          <w:i/>
        </w:rPr>
        <w:t>trestný čin</w:t>
      </w:r>
      <w:r>
        <w:t>.</w:t>
      </w:r>
    </w:p>
  </w:footnote>
  <w:footnote w:id="87">
    <w:p w14:paraId="4D525BA5" w14:textId="77777777" w:rsidR="00F26821" w:rsidRPr="00085FE5" w:rsidRDefault="00F26821" w:rsidP="007D534A">
      <w:pPr>
        <w:pStyle w:val="Textpoznpodarou"/>
        <w:spacing w:line="240" w:lineRule="auto"/>
      </w:pPr>
      <w:r w:rsidRPr="00ED7C4C">
        <w:rPr>
          <w:rStyle w:val="Znakapoznpodarou"/>
        </w:rPr>
        <w:footnoteRef/>
      </w:r>
      <w:r w:rsidRPr="00ED7C4C">
        <w:t xml:space="preserve"> Kán. 1321 § 2 CIC.</w:t>
      </w:r>
    </w:p>
  </w:footnote>
  <w:footnote w:id="88">
    <w:p w14:paraId="6B92984A" w14:textId="79AB1A89" w:rsidR="00F26821" w:rsidRPr="009246BB" w:rsidRDefault="00F26821" w:rsidP="007D534A">
      <w:pPr>
        <w:pStyle w:val="Odstavecseseznamem"/>
        <w:spacing w:after="0" w:line="240" w:lineRule="auto"/>
        <w:ind w:left="0"/>
        <w:rPr>
          <w:rFonts w:ascii="Garamond" w:hAnsi="Garamond" w:cs="Arial"/>
          <w:sz w:val="20"/>
          <w:szCs w:val="20"/>
        </w:rPr>
      </w:pPr>
      <w:r w:rsidRPr="009246BB">
        <w:rPr>
          <w:rStyle w:val="Znakapoznpodarou"/>
          <w:rFonts w:ascii="Garamond" w:hAnsi="Garamond"/>
          <w:sz w:val="20"/>
          <w:szCs w:val="20"/>
        </w:rPr>
        <w:footnoteRef/>
      </w:r>
      <w:r w:rsidRPr="009246BB">
        <w:rPr>
          <w:rFonts w:ascii="Garamond" w:hAnsi="Garamond"/>
          <w:sz w:val="20"/>
          <w:szCs w:val="20"/>
        </w:rPr>
        <w:t xml:space="preserve"> </w:t>
      </w:r>
      <w:r>
        <w:rPr>
          <w:rFonts w:ascii="Garamond" w:hAnsi="Garamond" w:cs="Garamond"/>
          <w:color w:val="000000"/>
          <w:sz w:val="20"/>
          <w:szCs w:val="20"/>
        </w:rPr>
        <w:t>HRDINA,</w:t>
      </w:r>
      <w:r w:rsidRPr="009246BB">
        <w:rPr>
          <w:rFonts w:ascii="Garamond" w:hAnsi="Garamond" w:cs="Garamond"/>
          <w:color w:val="000000"/>
          <w:sz w:val="20"/>
          <w:szCs w:val="20"/>
        </w:rPr>
        <w:t xml:space="preserve"> </w:t>
      </w:r>
      <w:r w:rsidRPr="009246BB">
        <w:rPr>
          <w:rFonts w:ascii="Garamond" w:hAnsi="Garamond" w:cs="Garamond"/>
          <w:i/>
          <w:iCs/>
          <w:color w:val="000000"/>
          <w:sz w:val="20"/>
          <w:szCs w:val="20"/>
        </w:rPr>
        <w:t>Kanonické právo</w:t>
      </w:r>
      <w:r w:rsidRPr="009246BB">
        <w:rPr>
          <w:rFonts w:ascii="Garamond" w:hAnsi="Garamond" w:cs="Garamond"/>
          <w:iCs/>
          <w:color w:val="000000"/>
          <w:sz w:val="20"/>
          <w:szCs w:val="20"/>
        </w:rPr>
        <w:t xml:space="preserve">, </w:t>
      </w:r>
      <w:r>
        <w:rPr>
          <w:rFonts w:ascii="Garamond" w:hAnsi="Garamond" w:cs="Garamond"/>
          <w:iCs/>
          <w:color w:val="000000"/>
          <w:sz w:val="20"/>
          <w:szCs w:val="20"/>
        </w:rPr>
        <w:t>s.</w:t>
      </w:r>
      <w:r w:rsidRPr="009246BB">
        <w:rPr>
          <w:rFonts w:ascii="Garamond" w:hAnsi="Garamond" w:cs="Garamond"/>
          <w:iCs/>
          <w:color w:val="000000"/>
          <w:sz w:val="20"/>
          <w:szCs w:val="20"/>
        </w:rPr>
        <w:t xml:space="preserve"> </w:t>
      </w:r>
      <w:r w:rsidRPr="009246BB">
        <w:rPr>
          <w:rFonts w:ascii="Garamond" w:hAnsi="Garamond"/>
          <w:sz w:val="20"/>
          <w:szCs w:val="20"/>
        </w:rPr>
        <w:t xml:space="preserve">262. Obdobně </w:t>
      </w:r>
      <w:r w:rsidRPr="009246BB">
        <w:rPr>
          <w:rFonts w:ascii="Garamond" w:hAnsi="Garamond" w:cs="Arial"/>
          <w:bCs/>
          <w:sz w:val="20"/>
          <w:szCs w:val="20"/>
        </w:rPr>
        <w:t xml:space="preserve">§ 13 odst. 1 </w:t>
      </w:r>
      <w:r>
        <w:rPr>
          <w:rFonts w:ascii="Garamond" w:hAnsi="Garamond"/>
          <w:bCs/>
          <w:sz w:val="20"/>
          <w:szCs w:val="20"/>
        </w:rPr>
        <w:t>TZ</w:t>
      </w:r>
      <w:r w:rsidRPr="009246BB">
        <w:rPr>
          <w:rFonts w:ascii="Garamond" w:hAnsi="Garamond"/>
          <w:smallCaps/>
          <w:sz w:val="20"/>
          <w:szCs w:val="20"/>
        </w:rPr>
        <w:t xml:space="preserve"> </w:t>
      </w:r>
      <w:r w:rsidRPr="009246BB">
        <w:rPr>
          <w:rFonts w:ascii="Garamond" w:hAnsi="Garamond" w:cs="Arial"/>
          <w:bCs/>
          <w:sz w:val="20"/>
          <w:szCs w:val="20"/>
        </w:rPr>
        <w:t xml:space="preserve">stanoví, že </w:t>
      </w:r>
      <w:r w:rsidRPr="009246BB">
        <w:rPr>
          <w:rFonts w:ascii="Garamond" w:hAnsi="Garamond" w:cs="Arial"/>
          <w:bCs/>
          <w:i/>
          <w:sz w:val="20"/>
          <w:szCs w:val="20"/>
        </w:rPr>
        <w:t>„t</w:t>
      </w:r>
      <w:r w:rsidRPr="009246BB">
        <w:rPr>
          <w:rFonts w:ascii="Garamond" w:hAnsi="Garamond" w:cs="Arial"/>
          <w:i/>
          <w:sz w:val="20"/>
          <w:szCs w:val="20"/>
        </w:rPr>
        <w:t>restným činem je protiprávní čin, který trestní zákon označuje za trestný a který vykazuje znaky uvedené v takovém zákoně.“</w:t>
      </w:r>
    </w:p>
  </w:footnote>
  <w:footnote w:id="89">
    <w:p w14:paraId="71E9366E" w14:textId="723E8BD4" w:rsidR="00F26821" w:rsidRPr="009246BB" w:rsidRDefault="00F26821" w:rsidP="007D534A">
      <w:pPr>
        <w:pStyle w:val="Textpoznpodarou"/>
        <w:spacing w:line="240" w:lineRule="auto"/>
      </w:pPr>
      <w:r w:rsidRPr="009246BB">
        <w:rPr>
          <w:rStyle w:val="Znakapoznpodarou"/>
        </w:rPr>
        <w:footnoteRef/>
      </w:r>
      <w:r w:rsidRPr="009246BB">
        <w:t xml:space="preserve"> Jedná se </w:t>
      </w:r>
      <w:r>
        <w:t>zejména</w:t>
      </w:r>
      <w:r w:rsidRPr="009246BB">
        <w:t xml:space="preserve"> o </w:t>
      </w:r>
      <w:r w:rsidRPr="009246BB">
        <w:rPr>
          <w:rFonts w:cs="TimesNewRomanPSMT"/>
        </w:rPr>
        <w:t>trestné činy proti zvláštním povinnostem (s</w:t>
      </w:r>
      <w:r>
        <w:rPr>
          <w:rFonts w:cs="TimesNewRomanPSMT"/>
        </w:rPr>
        <w:t>rov. § 1392</w:t>
      </w:r>
      <w:r w:rsidRPr="00540B67">
        <w:rPr>
          <w:rFonts w:cs="Garamond"/>
        </w:rPr>
        <w:sym w:font="Symbol" w:char="F02D"/>
      </w:r>
      <w:r w:rsidRPr="009246BB">
        <w:rPr>
          <w:rFonts w:cs="TimesNewRomanPSMT"/>
        </w:rPr>
        <w:t>196 CIC).</w:t>
      </w:r>
    </w:p>
  </w:footnote>
  <w:footnote w:id="90">
    <w:p w14:paraId="1ADA1B5D" w14:textId="5946FB5E" w:rsidR="00F26821" w:rsidRPr="006D4704" w:rsidRDefault="00F26821" w:rsidP="007D534A">
      <w:pPr>
        <w:autoSpaceDE w:val="0"/>
        <w:autoSpaceDN w:val="0"/>
        <w:adjustRightInd w:val="0"/>
        <w:spacing w:line="240" w:lineRule="auto"/>
        <w:rPr>
          <w:sz w:val="20"/>
          <w:szCs w:val="20"/>
        </w:rPr>
      </w:pPr>
      <w:r w:rsidRPr="001F59AF">
        <w:rPr>
          <w:rStyle w:val="Znakapoznpodarou"/>
          <w:sz w:val="20"/>
          <w:szCs w:val="20"/>
        </w:rPr>
        <w:footnoteRef/>
      </w:r>
      <w:r w:rsidRPr="001F59AF">
        <w:rPr>
          <w:sz w:val="20"/>
          <w:szCs w:val="20"/>
        </w:rPr>
        <w:t xml:space="preserve"> Upraven</w:t>
      </w:r>
      <w:r>
        <w:rPr>
          <w:sz w:val="20"/>
          <w:szCs w:val="20"/>
        </w:rPr>
        <w:t>y jsou</w:t>
      </w:r>
      <w:r w:rsidRPr="001F59AF">
        <w:rPr>
          <w:sz w:val="20"/>
          <w:szCs w:val="20"/>
        </w:rPr>
        <w:t xml:space="preserve"> především v části 2. </w:t>
      </w:r>
      <w:r>
        <w:rPr>
          <w:sz w:val="20"/>
          <w:szCs w:val="20"/>
        </w:rPr>
        <w:t>knihy</w:t>
      </w:r>
      <w:r w:rsidRPr="001F59AF">
        <w:rPr>
          <w:sz w:val="20"/>
          <w:szCs w:val="20"/>
        </w:rPr>
        <w:t xml:space="preserve"> VI</w:t>
      </w:r>
      <w:r>
        <w:rPr>
          <w:sz w:val="20"/>
          <w:szCs w:val="20"/>
        </w:rPr>
        <w:t>. Kodexu (tj. kán 1364</w:t>
      </w:r>
      <w:r w:rsidRPr="00540B67">
        <w:rPr>
          <w:rFonts w:cs="Garamond"/>
          <w:sz w:val="20"/>
          <w:szCs w:val="20"/>
        </w:rPr>
        <w:sym w:font="Symbol" w:char="F02D"/>
      </w:r>
      <w:r>
        <w:rPr>
          <w:sz w:val="20"/>
          <w:szCs w:val="20"/>
        </w:rPr>
        <w:t>1398); d</w:t>
      </w:r>
      <w:r w:rsidRPr="001F59AF">
        <w:rPr>
          <w:sz w:val="20"/>
          <w:szCs w:val="20"/>
        </w:rPr>
        <w:t xml:space="preserve">alší skutkové podstaty trestných činů </w:t>
      </w:r>
      <w:r>
        <w:rPr>
          <w:sz w:val="20"/>
          <w:szCs w:val="20"/>
        </w:rPr>
        <w:t xml:space="preserve">pak </w:t>
      </w:r>
      <w:r w:rsidRPr="001F59AF">
        <w:rPr>
          <w:sz w:val="20"/>
          <w:szCs w:val="20"/>
        </w:rPr>
        <w:t xml:space="preserve">stanoví též jiné trestní přepisy (např. </w:t>
      </w:r>
      <w:r w:rsidRPr="00D64723">
        <w:rPr>
          <w:sz w:val="20"/>
          <w:szCs w:val="20"/>
        </w:rPr>
        <w:t>Normy</w:t>
      </w:r>
      <w:r w:rsidRPr="006D4704">
        <w:rPr>
          <w:sz w:val="20"/>
          <w:szCs w:val="20"/>
        </w:rPr>
        <w:t>).</w:t>
      </w:r>
    </w:p>
  </w:footnote>
  <w:footnote w:id="91">
    <w:p w14:paraId="1D1E0820" w14:textId="3FB64026" w:rsidR="00F26821" w:rsidRDefault="00F26821" w:rsidP="007D534A">
      <w:pPr>
        <w:pStyle w:val="Textpoznpodarou"/>
        <w:spacing w:line="240" w:lineRule="auto"/>
      </w:pPr>
      <w:r>
        <w:rPr>
          <w:rStyle w:val="Znakapoznpodarou"/>
        </w:rPr>
        <w:footnoteRef/>
      </w:r>
      <w:r>
        <w:t xml:space="preserve"> </w:t>
      </w:r>
      <w:r w:rsidRPr="000E43A6">
        <w:t>Kán. 1399 CIC.</w:t>
      </w:r>
    </w:p>
  </w:footnote>
  <w:footnote w:id="92">
    <w:p w14:paraId="3C588CF0" w14:textId="77777777" w:rsidR="00F26821" w:rsidRPr="009246BB" w:rsidRDefault="00F26821" w:rsidP="007D534A">
      <w:pPr>
        <w:pStyle w:val="Textpoznpodarou"/>
        <w:spacing w:line="240" w:lineRule="auto"/>
      </w:pPr>
      <w:r w:rsidRPr="009246BB">
        <w:rPr>
          <w:rStyle w:val="Znakapoznpodarou"/>
        </w:rPr>
        <w:footnoteRef/>
      </w:r>
      <w:r w:rsidRPr="009246BB">
        <w:t xml:space="preserve"> </w:t>
      </w:r>
      <w:r w:rsidRPr="008214C0">
        <w:rPr>
          <w:i/>
          <w:iCs/>
        </w:rPr>
        <w:t xml:space="preserve">Katechismus </w:t>
      </w:r>
      <w:r w:rsidRPr="00CC7BBF">
        <w:rPr>
          <w:i/>
          <w:iCs/>
        </w:rPr>
        <w:t>katolické</w:t>
      </w:r>
      <w:r w:rsidRPr="008214C0">
        <w:rPr>
          <w:i/>
          <w:iCs/>
        </w:rPr>
        <w:t xml:space="preserve"> církve</w:t>
      </w:r>
      <w:r>
        <w:rPr>
          <w:i/>
          <w:iCs/>
        </w:rPr>
        <w:t xml:space="preserve">. </w:t>
      </w:r>
      <w:r>
        <w:rPr>
          <w:iCs/>
        </w:rPr>
        <w:t>Kostelní Vydří: Karmelitánské nakladatelství, 2001,</w:t>
      </w:r>
      <w:r w:rsidRPr="009246BB">
        <w:t xml:space="preserve"> </w:t>
      </w:r>
      <w:r>
        <w:t>čl. 1849.</w:t>
      </w:r>
    </w:p>
  </w:footnote>
  <w:footnote w:id="93">
    <w:p w14:paraId="2C2397F9" w14:textId="55D38A57" w:rsidR="00F26821" w:rsidRPr="009246BB" w:rsidRDefault="00F26821" w:rsidP="007D534A">
      <w:pPr>
        <w:pStyle w:val="Odstavecseseznamem"/>
        <w:spacing w:after="0" w:line="240" w:lineRule="auto"/>
        <w:ind w:left="0"/>
        <w:rPr>
          <w:rFonts w:ascii="Garamond" w:hAnsi="Garamond"/>
          <w:sz w:val="20"/>
          <w:szCs w:val="20"/>
        </w:rPr>
      </w:pPr>
      <w:r w:rsidRPr="009246BB">
        <w:rPr>
          <w:rStyle w:val="Znakapoznpodarou"/>
          <w:rFonts w:ascii="Garamond" w:hAnsi="Garamond"/>
          <w:sz w:val="20"/>
          <w:szCs w:val="20"/>
        </w:rPr>
        <w:footnoteRef/>
      </w:r>
      <w:r w:rsidRPr="009246BB">
        <w:rPr>
          <w:rFonts w:ascii="Garamond" w:hAnsi="Garamond"/>
          <w:sz w:val="20"/>
          <w:szCs w:val="20"/>
        </w:rPr>
        <w:t xml:space="preserve"> </w:t>
      </w:r>
      <w:r w:rsidRPr="009246BB">
        <w:rPr>
          <w:rFonts w:ascii="Garamond" w:hAnsi="Garamond" w:cs="Garamond"/>
          <w:color w:val="000000"/>
          <w:sz w:val="20"/>
          <w:szCs w:val="20"/>
        </w:rPr>
        <w:t xml:space="preserve">TRETERA, HORÁK, </w:t>
      </w:r>
      <w:r>
        <w:rPr>
          <w:rFonts w:ascii="Garamond" w:hAnsi="Garamond" w:cs="Garamond"/>
          <w:color w:val="000000"/>
          <w:sz w:val="20"/>
          <w:szCs w:val="20"/>
        </w:rPr>
        <w:t>s.</w:t>
      </w:r>
      <w:r w:rsidRPr="009246BB">
        <w:rPr>
          <w:rFonts w:ascii="Garamond" w:hAnsi="Garamond"/>
          <w:sz w:val="20"/>
          <w:szCs w:val="20"/>
        </w:rPr>
        <w:t xml:space="preserve"> 329.</w:t>
      </w:r>
    </w:p>
  </w:footnote>
  <w:footnote w:id="94">
    <w:p w14:paraId="6C89FB8E" w14:textId="77777777" w:rsidR="00F26821" w:rsidRPr="009246BB" w:rsidRDefault="00F26821" w:rsidP="007D534A">
      <w:pPr>
        <w:pStyle w:val="Textpoznpodarou"/>
        <w:spacing w:line="240" w:lineRule="auto"/>
      </w:pPr>
      <w:r w:rsidRPr="009246BB">
        <w:rPr>
          <w:rStyle w:val="Znakapoznpodarou"/>
        </w:rPr>
        <w:footnoteRef/>
      </w:r>
      <w:r w:rsidRPr="009246BB">
        <w:t xml:space="preserve"> Rozhodnutí </w:t>
      </w:r>
      <w:r w:rsidRPr="00842E03">
        <w:t xml:space="preserve">NSS </w:t>
      </w:r>
      <w:r w:rsidRPr="00771A12">
        <w:rPr>
          <w:rStyle w:val="info"/>
          <w:rFonts w:cs="Arial"/>
          <w:bCs/>
        </w:rPr>
        <w:t xml:space="preserve">ze dne 19. 10. 2011, č. j. </w:t>
      </w:r>
      <w:r w:rsidRPr="00842E03">
        <w:t>11 </w:t>
      </w:r>
      <w:proofErr w:type="spellStart"/>
      <w:r w:rsidRPr="00842E03">
        <w:t>Kss</w:t>
      </w:r>
      <w:proofErr w:type="spellEnd"/>
      <w:r w:rsidRPr="00842E03">
        <w:t xml:space="preserve"> 1/2011-131, či ze dne </w:t>
      </w:r>
      <w:r w:rsidRPr="00771A12">
        <w:rPr>
          <w:rStyle w:val="info"/>
          <w:rFonts w:cs="Arial"/>
          <w:bCs/>
        </w:rPr>
        <w:t xml:space="preserve">ze dne 3. 10. 2013, č. j. </w:t>
      </w:r>
      <w:r w:rsidRPr="00842E03">
        <w:t>16 </w:t>
      </w:r>
      <w:proofErr w:type="spellStart"/>
      <w:r w:rsidRPr="00842E03">
        <w:t>Kss</w:t>
      </w:r>
      <w:proofErr w:type="spellEnd"/>
      <w:r w:rsidRPr="00842E03">
        <w:t> </w:t>
      </w:r>
      <w:r w:rsidRPr="009246BB">
        <w:t>8/2013-45.</w:t>
      </w:r>
    </w:p>
  </w:footnote>
  <w:footnote w:id="95">
    <w:p w14:paraId="04845719" w14:textId="37705FCE" w:rsidR="00F26821" w:rsidRPr="009246BB" w:rsidRDefault="00F26821" w:rsidP="009246BB">
      <w:pPr>
        <w:spacing w:line="240" w:lineRule="auto"/>
        <w:rPr>
          <w:sz w:val="20"/>
          <w:szCs w:val="20"/>
        </w:rPr>
      </w:pPr>
      <w:r w:rsidRPr="009246BB">
        <w:rPr>
          <w:rStyle w:val="Znakapoznpodarou"/>
          <w:sz w:val="20"/>
          <w:szCs w:val="20"/>
        </w:rPr>
        <w:footnoteRef/>
      </w:r>
      <w:r w:rsidRPr="009246BB">
        <w:rPr>
          <w:sz w:val="20"/>
          <w:szCs w:val="20"/>
        </w:rPr>
        <w:t xml:space="preserve"> </w:t>
      </w:r>
      <w:r w:rsidRPr="009246BB">
        <w:rPr>
          <w:rFonts w:eastAsia="Calibri" w:cs="CIDFont+F5"/>
          <w:sz w:val="20"/>
          <w:szCs w:val="20"/>
          <w:lang w:eastAsia="en-US"/>
        </w:rPr>
        <w:t>ZEMANOVÁ</w:t>
      </w:r>
      <w:r w:rsidRPr="009246BB">
        <w:rPr>
          <w:sz w:val="20"/>
          <w:szCs w:val="20"/>
        </w:rPr>
        <w:t xml:space="preserve">, </w:t>
      </w:r>
      <w:r>
        <w:rPr>
          <w:sz w:val="20"/>
          <w:szCs w:val="20"/>
        </w:rPr>
        <w:t>s. 139</w:t>
      </w:r>
      <w:r w:rsidRPr="00540B67">
        <w:rPr>
          <w:rFonts w:cs="Garamond"/>
          <w:sz w:val="20"/>
          <w:szCs w:val="20"/>
        </w:rPr>
        <w:sym w:font="Symbol" w:char="F02D"/>
      </w:r>
      <w:r w:rsidRPr="009246BB">
        <w:rPr>
          <w:sz w:val="20"/>
          <w:szCs w:val="20"/>
        </w:rPr>
        <w:t>141.</w:t>
      </w:r>
    </w:p>
  </w:footnote>
  <w:footnote w:id="96">
    <w:p w14:paraId="640E0BC2" w14:textId="1E338271" w:rsidR="00F26821" w:rsidRPr="009246BB" w:rsidRDefault="00F26821" w:rsidP="009246BB">
      <w:pPr>
        <w:pStyle w:val="Odstavecseseznamem"/>
        <w:spacing w:after="0" w:line="240" w:lineRule="auto"/>
        <w:ind w:left="0"/>
        <w:rPr>
          <w:rFonts w:ascii="Garamond" w:hAnsi="Garamond"/>
          <w:sz w:val="20"/>
          <w:szCs w:val="20"/>
        </w:rPr>
      </w:pPr>
      <w:r w:rsidRPr="009246BB">
        <w:rPr>
          <w:rStyle w:val="Znakapoznpodarou"/>
          <w:rFonts w:ascii="Garamond" w:hAnsi="Garamond"/>
          <w:sz w:val="20"/>
          <w:szCs w:val="20"/>
        </w:rPr>
        <w:footnoteRef/>
      </w:r>
      <w:r w:rsidRPr="009246BB">
        <w:rPr>
          <w:rFonts w:ascii="Garamond" w:hAnsi="Garamond"/>
          <w:sz w:val="20"/>
          <w:szCs w:val="20"/>
        </w:rPr>
        <w:t xml:space="preserve"> </w:t>
      </w:r>
      <w:r>
        <w:rPr>
          <w:rFonts w:ascii="Garamond" w:hAnsi="Garamond" w:cs="Garamond"/>
          <w:color w:val="000000"/>
          <w:sz w:val="20"/>
          <w:szCs w:val="20"/>
        </w:rPr>
        <w:t>HRDINA,</w:t>
      </w:r>
      <w:r w:rsidRPr="009246BB">
        <w:rPr>
          <w:rFonts w:ascii="Garamond" w:hAnsi="Garamond" w:cs="Garamond"/>
          <w:color w:val="000000"/>
          <w:sz w:val="20"/>
          <w:szCs w:val="20"/>
        </w:rPr>
        <w:t xml:space="preserve"> </w:t>
      </w:r>
      <w:r w:rsidRPr="009246BB">
        <w:rPr>
          <w:rFonts w:ascii="Garamond" w:hAnsi="Garamond" w:cs="Garamond"/>
          <w:i/>
          <w:iCs/>
          <w:color w:val="000000"/>
          <w:sz w:val="20"/>
          <w:szCs w:val="20"/>
        </w:rPr>
        <w:t>Kanonické právo</w:t>
      </w:r>
      <w:r w:rsidRPr="009246BB">
        <w:rPr>
          <w:rFonts w:ascii="Garamond" w:hAnsi="Garamond" w:cs="Garamond"/>
          <w:iCs/>
          <w:color w:val="000000"/>
          <w:sz w:val="20"/>
          <w:szCs w:val="20"/>
        </w:rPr>
        <w:t xml:space="preserve">, </w:t>
      </w:r>
      <w:r>
        <w:rPr>
          <w:rFonts w:ascii="Garamond" w:hAnsi="Garamond" w:cs="Garamond"/>
          <w:iCs/>
          <w:color w:val="000000"/>
          <w:sz w:val="20"/>
          <w:szCs w:val="20"/>
        </w:rPr>
        <w:t>s.</w:t>
      </w:r>
      <w:r w:rsidRPr="009246BB">
        <w:rPr>
          <w:rFonts w:ascii="Garamond" w:hAnsi="Garamond" w:cs="Garamond"/>
          <w:iCs/>
          <w:color w:val="000000"/>
          <w:sz w:val="20"/>
          <w:szCs w:val="20"/>
        </w:rPr>
        <w:t xml:space="preserve"> </w:t>
      </w:r>
      <w:r w:rsidRPr="009246BB">
        <w:rPr>
          <w:rFonts w:ascii="Garamond" w:hAnsi="Garamond"/>
          <w:sz w:val="20"/>
          <w:szCs w:val="20"/>
        </w:rPr>
        <w:t>263.</w:t>
      </w:r>
    </w:p>
  </w:footnote>
  <w:footnote w:id="97">
    <w:p w14:paraId="09E5FBBA" w14:textId="77777777" w:rsidR="00F26821" w:rsidRPr="00A73E45" w:rsidRDefault="00F26821" w:rsidP="009246BB">
      <w:pPr>
        <w:pStyle w:val="Textpoznpodarou"/>
        <w:spacing w:line="240" w:lineRule="auto"/>
      </w:pPr>
      <w:r w:rsidRPr="00A73E45">
        <w:rPr>
          <w:rStyle w:val="Znakapoznpodarou"/>
        </w:rPr>
        <w:footnoteRef/>
      </w:r>
      <w:r w:rsidRPr="00A73E45">
        <w:t xml:space="preserve"> V sekulárním trestním právu je vyjádřena v § 12 odst. 1 TZ.</w:t>
      </w:r>
    </w:p>
  </w:footnote>
  <w:footnote w:id="98">
    <w:p w14:paraId="56F6D7C6" w14:textId="648740B2" w:rsidR="00F26821" w:rsidRPr="000E43A6" w:rsidRDefault="00F26821" w:rsidP="000E43A6">
      <w:pPr>
        <w:spacing w:line="240" w:lineRule="auto"/>
        <w:rPr>
          <w:rFonts w:eastAsia="Calibri" w:cs="CIDFont+F5"/>
          <w:sz w:val="20"/>
          <w:szCs w:val="20"/>
          <w:lang w:eastAsia="en-US"/>
        </w:rPr>
      </w:pPr>
      <w:r w:rsidRPr="000E43A6">
        <w:rPr>
          <w:rStyle w:val="Znakapoznpodarou"/>
          <w:sz w:val="20"/>
          <w:szCs w:val="20"/>
        </w:rPr>
        <w:footnoteRef/>
      </w:r>
      <w:r w:rsidRPr="000E43A6">
        <w:rPr>
          <w:sz w:val="20"/>
          <w:szCs w:val="20"/>
        </w:rPr>
        <w:t xml:space="preserve"> Např. </w:t>
      </w:r>
      <w:r w:rsidRPr="000E43A6">
        <w:rPr>
          <w:rFonts w:eastAsia="Calibri" w:cs="CIDFont+F5"/>
          <w:sz w:val="20"/>
          <w:szCs w:val="20"/>
          <w:lang w:eastAsia="en-US"/>
        </w:rPr>
        <w:t>rozhodnutí NSS ze dne 16. 6. 2016, č</w:t>
      </w:r>
      <w:r>
        <w:rPr>
          <w:rFonts w:eastAsia="Calibri" w:cs="CIDFont+F5"/>
          <w:sz w:val="20"/>
          <w:szCs w:val="20"/>
          <w:lang w:eastAsia="en-US"/>
        </w:rPr>
        <w:t xml:space="preserve">. </w:t>
      </w:r>
      <w:r w:rsidRPr="000E43A6">
        <w:rPr>
          <w:rFonts w:eastAsia="Calibri" w:cs="CIDFont+F5"/>
          <w:sz w:val="20"/>
          <w:szCs w:val="20"/>
          <w:lang w:eastAsia="en-US"/>
        </w:rPr>
        <w:t xml:space="preserve">j. 16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1/2016-55, </w:t>
      </w:r>
      <w:r>
        <w:rPr>
          <w:rFonts w:eastAsia="Calibri" w:cs="CIDFont+F5"/>
          <w:sz w:val="20"/>
          <w:szCs w:val="20"/>
          <w:lang w:eastAsia="en-US"/>
        </w:rPr>
        <w:t xml:space="preserve">či </w:t>
      </w:r>
      <w:r w:rsidRPr="000E43A6">
        <w:rPr>
          <w:rFonts w:eastAsia="Calibri" w:cs="CIDFont+F5"/>
          <w:sz w:val="20"/>
          <w:szCs w:val="20"/>
          <w:lang w:eastAsia="en-US"/>
        </w:rPr>
        <w:t xml:space="preserve">ze dne 20. 5. 2015, č. j. 13 </w:t>
      </w:r>
      <w:proofErr w:type="spellStart"/>
      <w:r w:rsidRPr="000E43A6">
        <w:rPr>
          <w:rFonts w:eastAsia="Calibri" w:cs="CIDFont+F5"/>
          <w:sz w:val="20"/>
          <w:szCs w:val="20"/>
          <w:lang w:eastAsia="en-US"/>
        </w:rPr>
        <w:t>Kss</w:t>
      </w:r>
      <w:proofErr w:type="spellEnd"/>
      <w:r w:rsidRPr="000E43A6">
        <w:rPr>
          <w:rFonts w:eastAsia="Calibri" w:cs="CIDFont+F5"/>
          <w:sz w:val="20"/>
          <w:szCs w:val="20"/>
          <w:lang w:eastAsia="en-US"/>
        </w:rPr>
        <w:t xml:space="preserve"> 1/2015-112.</w:t>
      </w:r>
    </w:p>
  </w:footnote>
  <w:footnote w:id="99">
    <w:p w14:paraId="56C0B287" w14:textId="1A164DC8" w:rsidR="00F26821" w:rsidRPr="00085FE5" w:rsidRDefault="00F26821" w:rsidP="000E43A6">
      <w:pPr>
        <w:spacing w:line="240" w:lineRule="auto"/>
        <w:rPr>
          <w:rFonts w:eastAsia="Calibri" w:cs="Arial"/>
          <w:sz w:val="20"/>
          <w:szCs w:val="20"/>
          <w:lang w:eastAsia="en-US"/>
        </w:rPr>
      </w:pPr>
      <w:r w:rsidRPr="000E43A6">
        <w:rPr>
          <w:rStyle w:val="Znakapoznpodarou"/>
          <w:sz w:val="20"/>
          <w:szCs w:val="20"/>
        </w:rPr>
        <w:footnoteRef/>
      </w:r>
      <w:r w:rsidRPr="000E43A6">
        <w:rPr>
          <w:sz w:val="20"/>
          <w:szCs w:val="20"/>
        </w:rPr>
        <w:t xml:space="preserve"> </w:t>
      </w:r>
      <w:r w:rsidRPr="000E43A6">
        <w:rPr>
          <w:rFonts w:eastAsia="Calibri" w:cs="CIDFont+F5"/>
          <w:sz w:val="20"/>
          <w:szCs w:val="20"/>
          <w:lang w:eastAsia="en-US"/>
        </w:rPr>
        <w:t xml:space="preserve">FRIEDEL, T. </w:t>
      </w:r>
      <w:r w:rsidRPr="000E43A6">
        <w:rPr>
          <w:rFonts w:eastAsia="Calibri" w:cs="CIDFont+F5"/>
          <w:i/>
          <w:sz w:val="20"/>
          <w:szCs w:val="20"/>
          <w:lang w:eastAsia="en-US"/>
        </w:rPr>
        <w:t>Jak čeští soudci (ne)smí jednat. Praxe kárného soudu ve věcech kárných řízení se soudci v letech 2008</w:t>
      </w:r>
      <w:r>
        <w:rPr>
          <w:rFonts w:eastAsia="Calibri" w:cs="CIDFont+F5"/>
          <w:i/>
          <w:sz w:val="20"/>
          <w:szCs w:val="20"/>
          <w:lang w:eastAsia="en-US"/>
        </w:rPr>
        <w:t>-</w:t>
      </w:r>
      <w:r w:rsidRPr="000E43A6">
        <w:rPr>
          <w:rFonts w:eastAsia="Calibri" w:cs="CIDFont+F5"/>
          <w:i/>
          <w:sz w:val="20"/>
          <w:szCs w:val="20"/>
          <w:lang w:eastAsia="en-US"/>
        </w:rPr>
        <w:t>2014</w:t>
      </w:r>
      <w:r w:rsidRPr="000E43A6">
        <w:rPr>
          <w:rFonts w:eastAsia="Calibri" w:cs="CIDFont+F5"/>
          <w:sz w:val="20"/>
          <w:szCs w:val="20"/>
          <w:lang w:eastAsia="en-US"/>
        </w:rPr>
        <w:t xml:space="preserve">. Jurisprudence. Praha: Univerzita Karlova, 2015, č. 1, </w:t>
      </w:r>
      <w:r>
        <w:rPr>
          <w:rFonts w:eastAsia="PalatinoCE-Roman" w:cs="PalatinoCE-Roman"/>
          <w:sz w:val="20"/>
          <w:szCs w:val="20"/>
          <w:lang w:eastAsia="en-US"/>
        </w:rPr>
        <w:t>s.</w:t>
      </w:r>
      <w:r w:rsidRPr="000E43A6">
        <w:rPr>
          <w:rFonts w:eastAsia="PalatinoCE-Roman" w:cs="PalatinoCE-Roman"/>
          <w:sz w:val="20"/>
          <w:szCs w:val="20"/>
          <w:lang w:eastAsia="en-US"/>
        </w:rPr>
        <w:t xml:space="preserve"> 15.</w:t>
      </w:r>
    </w:p>
  </w:footnote>
  <w:footnote w:id="100">
    <w:p w14:paraId="398DB897" w14:textId="77777777" w:rsidR="00F26821" w:rsidRPr="00BD4884" w:rsidRDefault="00F26821" w:rsidP="00BD4884">
      <w:pPr>
        <w:pStyle w:val="Bezmezer"/>
        <w:rPr>
          <w:sz w:val="20"/>
          <w:szCs w:val="20"/>
        </w:rPr>
      </w:pPr>
      <w:r w:rsidRPr="00BD4884">
        <w:rPr>
          <w:rStyle w:val="Znakapoznpodarou"/>
          <w:sz w:val="20"/>
          <w:szCs w:val="20"/>
        </w:rPr>
        <w:footnoteRef/>
      </w:r>
      <w:r w:rsidRPr="00BD4884">
        <w:rPr>
          <w:sz w:val="20"/>
          <w:szCs w:val="20"/>
        </w:rPr>
        <w:t xml:space="preserve"> Věc </w:t>
      </w:r>
      <w:r>
        <w:rPr>
          <w:sz w:val="20"/>
          <w:szCs w:val="20"/>
        </w:rPr>
        <w:t xml:space="preserve">vedená u NSS pod </w:t>
      </w:r>
      <w:proofErr w:type="spellStart"/>
      <w:r w:rsidRPr="00BD4884">
        <w:rPr>
          <w:sz w:val="20"/>
          <w:szCs w:val="20"/>
        </w:rPr>
        <w:t>sp</w:t>
      </w:r>
      <w:proofErr w:type="spellEnd"/>
      <w:r w:rsidRPr="00BD4884">
        <w:rPr>
          <w:sz w:val="20"/>
          <w:szCs w:val="20"/>
        </w:rPr>
        <w:t xml:space="preserve">. zn. </w:t>
      </w:r>
      <w:r w:rsidRPr="00BD4884">
        <w:rPr>
          <w:color w:val="000000"/>
          <w:sz w:val="20"/>
          <w:szCs w:val="20"/>
        </w:rPr>
        <w:t xml:space="preserve">13 </w:t>
      </w:r>
      <w:proofErr w:type="spellStart"/>
      <w:r w:rsidRPr="00BD4884">
        <w:rPr>
          <w:color w:val="000000"/>
          <w:sz w:val="20"/>
          <w:szCs w:val="20"/>
        </w:rPr>
        <w:t>Kss</w:t>
      </w:r>
      <w:proofErr w:type="spellEnd"/>
      <w:r w:rsidRPr="00BD4884">
        <w:rPr>
          <w:color w:val="000000"/>
          <w:sz w:val="20"/>
          <w:szCs w:val="20"/>
        </w:rPr>
        <w:t xml:space="preserve"> 5/2020.</w:t>
      </w:r>
    </w:p>
  </w:footnote>
  <w:footnote w:id="101">
    <w:p w14:paraId="0CEF40A4" w14:textId="77777777" w:rsidR="00F26821" w:rsidRPr="000E43A6" w:rsidRDefault="00F26821" w:rsidP="000E43A6">
      <w:pPr>
        <w:pStyle w:val="Textpoznpodarou"/>
        <w:spacing w:line="240" w:lineRule="auto"/>
      </w:pPr>
      <w:r w:rsidRPr="000E43A6">
        <w:rPr>
          <w:rStyle w:val="Znakapoznpodarou"/>
        </w:rPr>
        <w:footnoteRef/>
      </w:r>
      <w:r w:rsidRPr="000E43A6">
        <w:t xml:space="preserve"> Kán. 1399 CIC.</w:t>
      </w:r>
    </w:p>
  </w:footnote>
  <w:footnote w:id="102">
    <w:p w14:paraId="53F337CC" w14:textId="244B5B9F" w:rsidR="00F26821" w:rsidRDefault="00F26821" w:rsidP="00272AAC">
      <w:pPr>
        <w:pStyle w:val="Textpoznpodarou"/>
        <w:spacing w:line="240" w:lineRule="auto"/>
      </w:pPr>
      <w:r>
        <w:rPr>
          <w:rStyle w:val="Znakapoznpodarou"/>
        </w:rPr>
        <w:footnoteRef/>
      </w:r>
      <w:r>
        <w:t xml:space="preserve"> Damián Němec ovšem zdůrazňuje, že se nemusí jednat o trestní zákon [NĚMEC, s. 18].</w:t>
      </w:r>
    </w:p>
  </w:footnote>
  <w:footnote w:id="103">
    <w:p w14:paraId="518F8781" w14:textId="3653058E" w:rsidR="00F26821" w:rsidRPr="000E43A6" w:rsidRDefault="00F26821" w:rsidP="000E43A6">
      <w:pPr>
        <w:pStyle w:val="Odstavecseseznamem"/>
        <w:spacing w:after="0" w:line="240" w:lineRule="auto"/>
        <w:ind w:left="0"/>
        <w:rPr>
          <w:rFonts w:ascii="Garamond" w:hAnsi="Garamond"/>
          <w:sz w:val="20"/>
          <w:szCs w:val="20"/>
        </w:rPr>
      </w:pPr>
      <w:r w:rsidRPr="000E43A6">
        <w:rPr>
          <w:rStyle w:val="Znakapoznpodarou"/>
          <w:rFonts w:ascii="Garamond" w:hAnsi="Garamond"/>
          <w:sz w:val="20"/>
          <w:szCs w:val="20"/>
        </w:rPr>
        <w:footnoteRef/>
      </w:r>
      <w:r w:rsidRPr="000E43A6">
        <w:rPr>
          <w:rFonts w:ascii="Garamond" w:hAnsi="Garamond"/>
          <w:sz w:val="20"/>
          <w:szCs w:val="20"/>
        </w:rPr>
        <w:t xml:space="preserve"> </w:t>
      </w:r>
      <w:r w:rsidRPr="000E43A6">
        <w:rPr>
          <w:rFonts w:ascii="Garamond" w:hAnsi="Garamond" w:cs="Garamond"/>
          <w:color w:val="000000"/>
          <w:sz w:val="20"/>
          <w:szCs w:val="20"/>
        </w:rPr>
        <w:t xml:space="preserve">TRETERA, HORÁK, </w:t>
      </w:r>
      <w:r>
        <w:rPr>
          <w:rFonts w:ascii="Garamond" w:hAnsi="Garamond" w:cs="Garamond"/>
          <w:color w:val="000000"/>
          <w:sz w:val="20"/>
          <w:szCs w:val="20"/>
        </w:rPr>
        <w:t>s.</w:t>
      </w:r>
      <w:r w:rsidRPr="000E43A6">
        <w:rPr>
          <w:rFonts w:ascii="Garamond" w:hAnsi="Garamond"/>
          <w:sz w:val="20"/>
          <w:szCs w:val="20"/>
        </w:rPr>
        <w:t xml:space="preserve"> 329.</w:t>
      </w:r>
    </w:p>
  </w:footnote>
  <w:footnote w:id="104">
    <w:p w14:paraId="0A4E34FC" w14:textId="352F06ED" w:rsidR="00F26821" w:rsidRPr="000E43A6" w:rsidRDefault="00F26821" w:rsidP="00050B7C">
      <w:pPr>
        <w:spacing w:line="240" w:lineRule="auto"/>
        <w:rPr>
          <w:sz w:val="20"/>
          <w:szCs w:val="20"/>
        </w:rPr>
      </w:pPr>
      <w:r w:rsidRPr="000E43A6">
        <w:rPr>
          <w:rStyle w:val="Znakapoznpodarou"/>
          <w:sz w:val="20"/>
          <w:szCs w:val="20"/>
        </w:rPr>
        <w:footnoteRef/>
      </w:r>
      <w:r w:rsidRPr="000E43A6">
        <w:rPr>
          <w:sz w:val="20"/>
          <w:szCs w:val="20"/>
        </w:rPr>
        <w:t xml:space="preserve"> </w:t>
      </w:r>
      <w:r>
        <w:rPr>
          <w:rFonts w:cs="Garamond"/>
          <w:color w:val="000000"/>
          <w:sz w:val="20"/>
          <w:szCs w:val="20"/>
        </w:rPr>
        <w:t>HRDINA,</w:t>
      </w:r>
      <w:r w:rsidRPr="000E43A6">
        <w:rPr>
          <w:rFonts w:cs="Garamond"/>
          <w:color w:val="000000"/>
          <w:sz w:val="20"/>
          <w:szCs w:val="20"/>
        </w:rPr>
        <w:t xml:space="preserve"> </w:t>
      </w:r>
      <w:r w:rsidRPr="000E43A6">
        <w:rPr>
          <w:rFonts w:cs="Garamond"/>
          <w:i/>
          <w:iCs/>
          <w:color w:val="000000"/>
          <w:sz w:val="20"/>
          <w:szCs w:val="20"/>
        </w:rPr>
        <w:t>Kanonické právo</w:t>
      </w:r>
      <w:r w:rsidRPr="000E43A6">
        <w:rPr>
          <w:rFonts w:cs="Garamond"/>
          <w:iCs/>
          <w:color w:val="000000"/>
          <w:sz w:val="20"/>
          <w:szCs w:val="20"/>
        </w:rPr>
        <w:t xml:space="preserve">, </w:t>
      </w:r>
      <w:r>
        <w:rPr>
          <w:rFonts w:cs="Garamond"/>
          <w:iCs/>
          <w:color w:val="000000"/>
          <w:sz w:val="20"/>
          <w:szCs w:val="20"/>
        </w:rPr>
        <w:t>s.</w:t>
      </w:r>
      <w:r w:rsidRPr="000E43A6">
        <w:rPr>
          <w:rFonts w:cs="Garamond"/>
          <w:iCs/>
          <w:color w:val="000000"/>
          <w:sz w:val="20"/>
          <w:szCs w:val="20"/>
        </w:rPr>
        <w:t xml:space="preserve"> </w:t>
      </w:r>
      <w:r w:rsidRPr="000E43A6">
        <w:rPr>
          <w:sz w:val="20"/>
          <w:szCs w:val="20"/>
        </w:rPr>
        <w:t>277.</w:t>
      </w:r>
    </w:p>
  </w:footnote>
  <w:footnote w:id="105">
    <w:p w14:paraId="75536835" w14:textId="196F2FF4" w:rsidR="00F26821" w:rsidRPr="000E43A6" w:rsidRDefault="00F26821" w:rsidP="00050B7C">
      <w:pPr>
        <w:pStyle w:val="Default"/>
        <w:jc w:val="both"/>
        <w:rPr>
          <w:color w:val="auto"/>
          <w:sz w:val="20"/>
          <w:szCs w:val="20"/>
        </w:rPr>
      </w:pPr>
      <w:r w:rsidRPr="000E43A6">
        <w:rPr>
          <w:rStyle w:val="Znakapoznpodarou"/>
          <w:color w:val="auto"/>
          <w:sz w:val="20"/>
          <w:szCs w:val="20"/>
        </w:rPr>
        <w:footnoteRef/>
      </w:r>
      <w:r w:rsidRPr="000E43A6">
        <w:rPr>
          <w:color w:val="auto"/>
          <w:sz w:val="20"/>
          <w:szCs w:val="20"/>
        </w:rPr>
        <w:t xml:space="preserve"> HRDINA,</w:t>
      </w:r>
      <w:r w:rsidRPr="000E43A6">
        <w:rPr>
          <w:rFonts w:cs="Arial"/>
          <w:color w:val="auto"/>
          <w:sz w:val="20"/>
          <w:szCs w:val="20"/>
          <w:shd w:val="clear" w:color="auto" w:fill="FFFFFF"/>
        </w:rPr>
        <w:t xml:space="preserve"> </w:t>
      </w:r>
      <w:r w:rsidRPr="000E43A6">
        <w:rPr>
          <w:rFonts w:cs="Arial"/>
          <w:i/>
          <w:color w:val="auto"/>
          <w:sz w:val="20"/>
          <w:szCs w:val="20"/>
          <w:shd w:val="clear" w:color="auto" w:fill="FFFFFF"/>
        </w:rPr>
        <w:t>Fungování církevních soudů v trestních věcech</w:t>
      </w:r>
      <w:r w:rsidRPr="000E43A6">
        <w:rPr>
          <w:color w:val="auto"/>
          <w:sz w:val="20"/>
          <w:szCs w:val="20"/>
        </w:rPr>
        <w:t xml:space="preserve">, </w:t>
      </w:r>
      <w:r>
        <w:rPr>
          <w:color w:val="auto"/>
          <w:sz w:val="20"/>
          <w:szCs w:val="20"/>
        </w:rPr>
        <w:t>s.</w:t>
      </w:r>
      <w:r w:rsidRPr="000E43A6">
        <w:rPr>
          <w:color w:val="auto"/>
          <w:sz w:val="20"/>
          <w:szCs w:val="20"/>
        </w:rPr>
        <w:t xml:space="preserve"> 231.</w:t>
      </w:r>
    </w:p>
  </w:footnote>
  <w:footnote w:id="106">
    <w:p w14:paraId="1BD1B018" w14:textId="6CB7586D" w:rsidR="00F26821" w:rsidRPr="000E43A6" w:rsidRDefault="00F26821" w:rsidP="00050B7C">
      <w:pPr>
        <w:spacing w:line="240" w:lineRule="auto"/>
        <w:rPr>
          <w:sz w:val="20"/>
          <w:szCs w:val="20"/>
        </w:rPr>
      </w:pPr>
      <w:r w:rsidRPr="000E43A6">
        <w:rPr>
          <w:rStyle w:val="Znakapoznpodarou"/>
          <w:sz w:val="20"/>
          <w:szCs w:val="20"/>
        </w:rPr>
        <w:footnoteRef/>
      </w:r>
      <w:r w:rsidRPr="000E43A6">
        <w:rPr>
          <w:sz w:val="20"/>
          <w:szCs w:val="20"/>
        </w:rPr>
        <w:t xml:space="preserve"> </w:t>
      </w:r>
      <w:r>
        <w:rPr>
          <w:rFonts w:cs="Garamond"/>
          <w:color w:val="000000"/>
          <w:sz w:val="20"/>
          <w:szCs w:val="20"/>
        </w:rPr>
        <w:t>HRDINA,</w:t>
      </w:r>
      <w:r w:rsidRPr="000E43A6">
        <w:rPr>
          <w:rFonts w:cs="Garamond"/>
          <w:color w:val="000000"/>
          <w:sz w:val="20"/>
          <w:szCs w:val="20"/>
        </w:rPr>
        <w:t xml:space="preserve"> </w:t>
      </w:r>
      <w:r w:rsidRPr="000E43A6">
        <w:rPr>
          <w:rFonts w:cs="Garamond"/>
          <w:i/>
          <w:iCs/>
          <w:color w:val="000000"/>
          <w:sz w:val="20"/>
          <w:szCs w:val="20"/>
        </w:rPr>
        <w:t>Kanonické právo</w:t>
      </w:r>
      <w:r w:rsidRPr="000E43A6">
        <w:rPr>
          <w:rFonts w:cs="Garamond"/>
          <w:iCs/>
          <w:color w:val="000000"/>
          <w:sz w:val="20"/>
          <w:szCs w:val="20"/>
        </w:rPr>
        <w:t xml:space="preserve">, </w:t>
      </w:r>
      <w:r>
        <w:rPr>
          <w:rFonts w:cs="Garamond"/>
          <w:iCs/>
          <w:color w:val="000000"/>
          <w:sz w:val="20"/>
          <w:szCs w:val="20"/>
        </w:rPr>
        <w:t>s.</w:t>
      </w:r>
      <w:r w:rsidRPr="000E43A6">
        <w:rPr>
          <w:rFonts w:cs="Garamond"/>
          <w:iCs/>
          <w:color w:val="000000"/>
          <w:sz w:val="20"/>
          <w:szCs w:val="20"/>
        </w:rPr>
        <w:t xml:space="preserve"> </w:t>
      </w:r>
      <w:r w:rsidRPr="000E43A6">
        <w:rPr>
          <w:sz w:val="20"/>
          <w:szCs w:val="20"/>
        </w:rPr>
        <w:t>277.</w:t>
      </w:r>
    </w:p>
  </w:footnote>
  <w:footnote w:id="107">
    <w:p w14:paraId="565D3F7E" w14:textId="2FE1BD46" w:rsidR="00F26821" w:rsidRPr="000E43A6" w:rsidRDefault="00F26821" w:rsidP="00050B7C">
      <w:pPr>
        <w:pStyle w:val="Textpoznpodarou"/>
        <w:spacing w:line="240" w:lineRule="auto"/>
      </w:pPr>
      <w:r w:rsidRPr="000E43A6">
        <w:rPr>
          <w:rStyle w:val="Znakapoznpodarou"/>
        </w:rPr>
        <w:footnoteRef/>
      </w:r>
      <w:r w:rsidRPr="000E43A6">
        <w:t xml:space="preserve"> HRDINA</w:t>
      </w:r>
      <w:r>
        <w:t>,</w:t>
      </w:r>
      <w:r w:rsidRPr="000E43A6">
        <w:t xml:space="preserve"> </w:t>
      </w:r>
      <w:r w:rsidRPr="000E43A6">
        <w:rPr>
          <w:i/>
        </w:rPr>
        <w:t>Co se (ne)změnilo rekodifikací kanonického trestního práva hmotného</w:t>
      </w:r>
      <w:r w:rsidRPr="000E43A6">
        <w:t xml:space="preserve">, </w:t>
      </w:r>
      <w:r>
        <w:t>s.</w:t>
      </w:r>
      <w:r w:rsidRPr="000E43A6">
        <w:t xml:space="preserve"> </w:t>
      </w:r>
      <w:r w:rsidRPr="000E43A6">
        <w:rPr>
          <w:noProof/>
        </w:rPr>
        <w:t>24.</w:t>
      </w:r>
    </w:p>
  </w:footnote>
  <w:footnote w:id="108">
    <w:p w14:paraId="52599625" w14:textId="0D12DC6C" w:rsidR="00F26821" w:rsidRPr="000E43A6" w:rsidRDefault="00F26821" w:rsidP="00050B7C">
      <w:pPr>
        <w:spacing w:line="240" w:lineRule="auto"/>
        <w:rPr>
          <w:sz w:val="20"/>
          <w:szCs w:val="20"/>
        </w:rPr>
      </w:pPr>
      <w:r w:rsidRPr="000E43A6">
        <w:rPr>
          <w:rStyle w:val="Znakapoznpodarou"/>
          <w:sz w:val="20"/>
          <w:szCs w:val="20"/>
        </w:rPr>
        <w:footnoteRef/>
      </w:r>
      <w:r w:rsidRPr="000E43A6">
        <w:rPr>
          <w:sz w:val="20"/>
          <w:szCs w:val="20"/>
        </w:rPr>
        <w:t xml:space="preserve"> </w:t>
      </w:r>
      <w:r w:rsidRPr="000E43A6">
        <w:rPr>
          <w:rFonts w:cs="Garamond"/>
          <w:sz w:val="20"/>
          <w:szCs w:val="20"/>
        </w:rPr>
        <w:t xml:space="preserve">Kán. 1401 </w:t>
      </w:r>
      <w:r>
        <w:rPr>
          <w:rFonts w:cs="Garamond"/>
          <w:sz w:val="20"/>
          <w:szCs w:val="20"/>
        </w:rPr>
        <w:t>odst.</w:t>
      </w:r>
      <w:r w:rsidRPr="000E43A6">
        <w:rPr>
          <w:rFonts w:cs="Garamond"/>
          <w:sz w:val="20"/>
          <w:szCs w:val="20"/>
        </w:rPr>
        <w:t xml:space="preserve"> 1 CIC.</w:t>
      </w:r>
    </w:p>
  </w:footnote>
  <w:footnote w:id="109">
    <w:p w14:paraId="51E1ED52" w14:textId="28D2BBD3" w:rsidR="00F26821" w:rsidRPr="00C921C5" w:rsidRDefault="00F26821" w:rsidP="00050B7C">
      <w:pPr>
        <w:pStyle w:val="Default"/>
        <w:jc w:val="both"/>
        <w:rPr>
          <w:color w:val="auto"/>
          <w:sz w:val="20"/>
          <w:szCs w:val="20"/>
        </w:rPr>
      </w:pPr>
      <w:r w:rsidRPr="00C921C5">
        <w:rPr>
          <w:rStyle w:val="Znakapoznpodarou"/>
          <w:color w:val="auto"/>
          <w:sz w:val="20"/>
          <w:szCs w:val="20"/>
        </w:rPr>
        <w:footnoteRef/>
      </w:r>
      <w:r w:rsidRPr="00C921C5">
        <w:rPr>
          <w:color w:val="auto"/>
          <w:sz w:val="20"/>
          <w:szCs w:val="20"/>
        </w:rPr>
        <w:t xml:space="preserve"> HRDINA,</w:t>
      </w:r>
      <w:r w:rsidRPr="00C921C5">
        <w:rPr>
          <w:rFonts w:cs="Arial"/>
          <w:color w:val="auto"/>
          <w:sz w:val="20"/>
          <w:szCs w:val="20"/>
          <w:shd w:val="clear" w:color="auto" w:fill="FFFFFF"/>
        </w:rPr>
        <w:t xml:space="preserve"> </w:t>
      </w:r>
      <w:r w:rsidRPr="00C921C5">
        <w:rPr>
          <w:rFonts w:cs="Arial"/>
          <w:i/>
          <w:color w:val="auto"/>
          <w:sz w:val="20"/>
          <w:szCs w:val="20"/>
          <w:shd w:val="clear" w:color="auto" w:fill="FFFFFF"/>
        </w:rPr>
        <w:t>Fungování církevních soudů v trestních věcech</w:t>
      </w:r>
      <w:r w:rsidRPr="00C921C5">
        <w:rPr>
          <w:color w:val="auto"/>
          <w:sz w:val="20"/>
          <w:szCs w:val="20"/>
        </w:rPr>
        <w:t xml:space="preserve">, </w:t>
      </w:r>
      <w:r>
        <w:rPr>
          <w:color w:val="auto"/>
          <w:sz w:val="20"/>
          <w:szCs w:val="20"/>
        </w:rPr>
        <w:t>s.</w:t>
      </w:r>
      <w:r w:rsidRPr="00C921C5">
        <w:rPr>
          <w:color w:val="auto"/>
          <w:sz w:val="20"/>
          <w:szCs w:val="20"/>
        </w:rPr>
        <w:t xml:space="preserve"> 231.</w:t>
      </w:r>
    </w:p>
  </w:footnote>
  <w:footnote w:id="110">
    <w:p w14:paraId="635A417F" w14:textId="37457BDC" w:rsidR="00F26821" w:rsidRPr="00C921C5" w:rsidRDefault="00F26821" w:rsidP="00050B7C">
      <w:pPr>
        <w:pStyle w:val="Odstavecseseznamem"/>
        <w:spacing w:after="0" w:line="240" w:lineRule="auto"/>
        <w:ind w:left="0"/>
        <w:rPr>
          <w:rFonts w:ascii="Garamond" w:hAnsi="Garamond"/>
          <w:sz w:val="20"/>
          <w:szCs w:val="20"/>
        </w:rPr>
      </w:pPr>
      <w:r w:rsidRPr="00C921C5">
        <w:rPr>
          <w:rStyle w:val="Znakapoznpodarou"/>
          <w:rFonts w:ascii="Garamond" w:hAnsi="Garamond"/>
          <w:sz w:val="20"/>
          <w:szCs w:val="20"/>
        </w:rPr>
        <w:footnoteRef/>
      </w:r>
      <w:r w:rsidRPr="00C921C5">
        <w:rPr>
          <w:rFonts w:ascii="Garamond" w:hAnsi="Garamond"/>
          <w:sz w:val="20"/>
          <w:szCs w:val="20"/>
        </w:rPr>
        <w:t xml:space="preserve"> </w:t>
      </w:r>
      <w:r w:rsidRPr="00C921C5">
        <w:rPr>
          <w:rFonts w:ascii="Garamond" w:hAnsi="Garamond" w:cs="Garamond"/>
          <w:color w:val="000000"/>
          <w:sz w:val="20"/>
          <w:szCs w:val="20"/>
        </w:rPr>
        <w:t xml:space="preserve">TRETERA, HORÁK, </w:t>
      </w:r>
      <w:r>
        <w:rPr>
          <w:rFonts w:ascii="Garamond" w:hAnsi="Garamond" w:cs="Garamond"/>
          <w:color w:val="000000"/>
          <w:sz w:val="20"/>
          <w:szCs w:val="20"/>
        </w:rPr>
        <w:t>s.</w:t>
      </w:r>
      <w:r w:rsidRPr="00C921C5">
        <w:rPr>
          <w:rFonts w:ascii="Garamond" w:hAnsi="Garamond"/>
          <w:sz w:val="20"/>
          <w:szCs w:val="20"/>
        </w:rPr>
        <w:t xml:space="preserve"> 329.</w:t>
      </w:r>
    </w:p>
  </w:footnote>
  <w:footnote w:id="111">
    <w:p w14:paraId="188F95C2" w14:textId="77777777" w:rsidR="00F26821" w:rsidRPr="00050B7C" w:rsidRDefault="00F26821" w:rsidP="00050B7C">
      <w:pPr>
        <w:pStyle w:val="Bezmezer"/>
        <w:rPr>
          <w:sz w:val="20"/>
          <w:szCs w:val="20"/>
        </w:rPr>
      </w:pPr>
      <w:r w:rsidRPr="00050B7C">
        <w:rPr>
          <w:rStyle w:val="Znakapoznpodarou"/>
          <w:sz w:val="20"/>
          <w:szCs w:val="20"/>
        </w:rPr>
        <w:footnoteRef/>
      </w:r>
      <w:r w:rsidRPr="00050B7C">
        <w:rPr>
          <w:sz w:val="20"/>
          <w:szCs w:val="20"/>
        </w:rPr>
        <w:t xml:space="preserve"> Zpravidla omezení výkonu služby či povinnost zdržovat se na určitém místě.</w:t>
      </w:r>
    </w:p>
  </w:footnote>
  <w:footnote w:id="112">
    <w:p w14:paraId="5770E72D" w14:textId="77777777" w:rsidR="00F26821" w:rsidRPr="00050B7C" w:rsidRDefault="00F26821" w:rsidP="00050B7C">
      <w:pPr>
        <w:pStyle w:val="Bezmezer"/>
        <w:rPr>
          <w:sz w:val="20"/>
          <w:szCs w:val="20"/>
        </w:rPr>
      </w:pPr>
      <w:r w:rsidRPr="00050B7C">
        <w:rPr>
          <w:rStyle w:val="Znakapoznpodarou"/>
          <w:sz w:val="20"/>
          <w:szCs w:val="20"/>
        </w:rPr>
        <w:footnoteRef/>
      </w:r>
      <w:r w:rsidRPr="00050B7C">
        <w:rPr>
          <w:sz w:val="20"/>
          <w:szCs w:val="20"/>
        </w:rPr>
        <w:t xml:space="preserve"> </w:t>
      </w:r>
      <w:r>
        <w:rPr>
          <w:sz w:val="20"/>
          <w:szCs w:val="20"/>
        </w:rPr>
        <w:t>N</w:t>
      </w:r>
      <w:r w:rsidRPr="00050B7C">
        <w:rPr>
          <w:sz w:val="20"/>
          <w:szCs w:val="20"/>
        </w:rPr>
        <w:t>elze však stanovit trvalé pořádkové tresty</w:t>
      </w:r>
      <w:r>
        <w:rPr>
          <w:sz w:val="20"/>
          <w:szCs w:val="20"/>
        </w:rPr>
        <w:t>.</w:t>
      </w:r>
    </w:p>
  </w:footnote>
  <w:footnote w:id="113">
    <w:p w14:paraId="21618FED" w14:textId="604103FB" w:rsidR="00F26821" w:rsidRPr="00C921C5" w:rsidRDefault="00F26821" w:rsidP="00C921C5">
      <w:pPr>
        <w:autoSpaceDE w:val="0"/>
        <w:autoSpaceDN w:val="0"/>
        <w:adjustRightInd w:val="0"/>
        <w:spacing w:line="240" w:lineRule="auto"/>
        <w:jc w:val="left"/>
        <w:rPr>
          <w:sz w:val="20"/>
          <w:szCs w:val="20"/>
        </w:rPr>
      </w:pPr>
      <w:r w:rsidRPr="00C921C5">
        <w:rPr>
          <w:rStyle w:val="Znakapoznpodarou"/>
          <w:sz w:val="20"/>
          <w:szCs w:val="20"/>
        </w:rPr>
        <w:footnoteRef/>
      </w:r>
      <w:r w:rsidRPr="00C921C5">
        <w:rPr>
          <w:sz w:val="20"/>
          <w:szCs w:val="20"/>
        </w:rPr>
        <w:t xml:space="preserve"> </w:t>
      </w:r>
      <w:r>
        <w:rPr>
          <w:rFonts w:cs="Garamond"/>
          <w:sz w:val="20"/>
          <w:szCs w:val="20"/>
        </w:rPr>
        <w:t>Kongregace p</w:t>
      </w:r>
      <w:r w:rsidRPr="00C921C5">
        <w:rPr>
          <w:rFonts w:cs="Garamond"/>
          <w:sz w:val="20"/>
          <w:szCs w:val="20"/>
        </w:rPr>
        <w:t xml:space="preserve">ro nauku víry. </w:t>
      </w:r>
      <w:proofErr w:type="spellStart"/>
      <w:r w:rsidRPr="00C921C5">
        <w:rPr>
          <w:rFonts w:cs="Garamond"/>
          <w:i/>
          <w:sz w:val="20"/>
          <w:szCs w:val="20"/>
        </w:rPr>
        <w:t>Vademecum</w:t>
      </w:r>
      <w:proofErr w:type="spellEnd"/>
      <w:r w:rsidRPr="00C921C5">
        <w:rPr>
          <w:rFonts w:cs="Garamond"/>
          <w:i/>
          <w:sz w:val="20"/>
          <w:szCs w:val="20"/>
        </w:rPr>
        <w:t xml:space="preserve"> o některých bodech postupu v případech sexuálního z neužívání nezletilých spáchaného duchovními</w:t>
      </w:r>
      <w:r w:rsidRPr="00C921C5">
        <w:rPr>
          <w:rFonts w:cs="Garamond"/>
          <w:sz w:val="20"/>
          <w:szCs w:val="20"/>
        </w:rPr>
        <w:t xml:space="preserve">, </w:t>
      </w:r>
      <w:r>
        <w:rPr>
          <w:rFonts w:cs="Garamond"/>
          <w:sz w:val="20"/>
          <w:szCs w:val="20"/>
        </w:rPr>
        <w:t>2021, s. 78</w:t>
      </w:r>
      <w:r w:rsidRPr="00540B67">
        <w:rPr>
          <w:rFonts w:cs="Garamond"/>
          <w:sz w:val="20"/>
          <w:szCs w:val="20"/>
        </w:rPr>
        <w:sym w:font="Symbol" w:char="F02D"/>
      </w:r>
      <w:r w:rsidRPr="00C921C5">
        <w:rPr>
          <w:rFonts w:cs="Garamond"/>
          <w:sz w:val="20"/>
          <w:szCs w:val="20"/>
        </w:rPr>
        <w:t>79.</w:t>
      </w:r>
    </w:p>
  </w:footnote>
  <w:footnote w:id="114">
    <w:p w14:paraId="36DB4420" w14:textId="77777777" w:rsidR="00F26821" w:rsidRPr="00C921C5" w:rsidRDefault="00F26821" w:rsidP="00C921C5">
      <w:pPr>
        <w:autoSpaceDE w:val="0"/>
        <w:autoSpaceDN w:val="0"/>
        <w:adjustRightInd w:val="0"/>
        <w:spacing w:line="240" w:lineRule="auto"/>
        <w:jc w:val="left"/>
        <w:rPr>
          <w:sz w:val="20"/>
          <w:szCs w:val="20"/>
        </w:rPr>
      </w:pPr>
      <w:r w:rsidRPr="00C921C5">
        <w:rPr>
          <w:rStyle w:val="Znakapoznpodarou"/>
          <w:sz w:val="20"/>
          <w:szCs w:val="20"/>
        </w:rPr>
        <w:footnoteRef/>
      </w:r>
      <w:r w:rsidRPr="00C921C5">
        <w:rPr>
          <w:sz w:val="20"/>
          <w:szCs w:val="20"/>
        </w:rPr>
        <w:t xml:space="preserve"> </w:t>
      </w:r>
      <w:r w:rsidRPr="00C921C5">
        <w:rPr>
          <w:rFonts w:cs="TimesNewRomanPSMT"/>
          <w:sz w:val="20"/>
          <w:szCs w:val="20"/>
        </w:rPr>
        <w:t>Kán. 1319 § 2 CIC.</w:t>
      </w:r>
    </w:p>
  </w:footnote>
  <w:footnote w:id="115">
    <w:p w14:paraId="14D14EFA" w14:textId="6170B376" w:rsidR="00F26821" w:rsidRPr="00C921C5" w:rsidRDefault="00F26821" w:rsidP="00C921C5">
      <w:pPr>
        <w:pStyle w:val="Textpoznpodarou"/>
        <w:spacing w:line="240" w:lineRule="auto"/>
      </w:pPr>
      <w:r w:rsidRPr="00C921C5">
        <w:rPr>
          <w:rStyle w:val="Znakapoznpodarou"/>
        </w:rPr>
        <w:footnoteRef/>
      </w:r>
      <w:r w:rsidRPr="00C921C5">
        <w:t xml:space="preserve"> </w:t>
      </w:r>
      <w:r w:rsidRPr="00C921C5">
        <w:rPr>
          <w:rFonts w:cs="Garamond"/>
          <w:color w:val="000000"/>
        </w:rPr>
        <w:t>H</w:t>
      </w:r>
      <w:r>
        <w:rPr>
          <w:rFonts w:cs="Garamond"/>
          <w:color w:val="000000"/>
        </w:rPr>
        <w:t>RDINA,</w:t>
      </w:r>
      <w:r w:rsidRPr="00C921C5">
        <w:rPr>
          <w:rFonts w:cs="Garamond"/>
          <w:color w:val="000000"/>
        </w:rPr>
        <w:t xml:space="preserve"> </w:t>
      </w:r>
      <w:r w:rsidRPr="00C921C5">
        <w:rPr>
          <w:rFonts w:cs="Garamond"/>
          <w:i/>
          <w:iCs/>
          <w:color w:val="000000"/>
        </w:rPr>
        <w:t>Kanonické právo</w:t>
      </w:r>
      <w:r w:rsidRPr="00C921C5">
        <w:rPr>
          <w:rFonts w:cs="Garamond"/>
          <w:iCs/>
          <w:color w:val="000000"/>
        </w:rPr>
        <w:t xml:space="preserve">, </w:t>
      </w:r>
      <w:r>
        <w:rPr>
          <w:rFonts w:cs="Garamond"/>
          <w:iCs/>
          <w:color w:val="000000"/>
        </w:rPr>
        <w:t>s.</w:t>
      </w:r>
      <w:r w:rsidRPr="00C921C5">
        <w:rPr>
          <w:rFonts w:cs="Garamond"/>
          <w:iCs/>
          <w:color w:val="000000"/>
        </w:rPr>
        <w:t xml:space="preserve"> </w:t>
      </w:r>
      <w:r w:rsidRPr="00C921C5">
        <w:t>262.</w:t>
      </w:r>
    </w:p>
  </w:footnote>
  <w:footnote w:id="116">
    <w:p w14:paraId="3CCF8E02" w14:textId="77777777" w:rsidR="00F26821" w:rsidRPr="00C921C5" w:rsidRDefault="00F26821" w:rsidP="00C921C5">
      <w:pPr>
        <w:pStyle w:val="Textpoznpodarou"/>
        <w:spacing w:line="240" w:lineRule="auto"/>
      </w:pPr>
      <w:r w:rsidRPr="00C921C5">
        <w:rPr>
          <w:rStyle w:val="Znakapoznpodarou"/>
        </w:rPr>
        <w:footnoteRef/>
      </w:r>
      <w:r w:rsidRPr="00C921C5">
        <w:t xml:space="preserve"> Č</w:t>
      </w:r>
      <w:r w:rsidRPr="00C921C5">
        <w:rPr>
          <w:rFonts w:cs="Garamond"/>
        </w:rPr>
        <w:t>l. 11 odst. 1 Všeobecné deklarace lidských práv</w:t>
      </w:r>
      <w:r w:rsidRPr="00C921C5">
        <w:t>, č</w:t>
      </w:r>
      <w:r w:rsidRPr="00C921C5">
        <w:rPr>
          <w:rFonts w:cs="Garamond"/>
        </w:rPr>
        <w:t>l. 6 odst. 2 Úmluvy o ochraně lidských práv a základních svobod a čl. 40 odst. 2 Listiny základních práv a svobod.</w:t>
      </w:r>
    </w:p>
  </w:footnote>
  <w:footnote w:id="117">
    <w:p w14:paraId="0187BD9E" w14:textId="7499FBCD" w:rsidR="00F26821" w:rsidRPr="003431F6" w:rsidRDefault="00F26821" w:rsidP="00C921C5">
      <w:pPr>
        <w:spacing w:line="240" w:lineRule="auto"/>
        <w:rPr>
          <w:rFonts w:cs="Garamond"/>
          <w:sz w:val="20"/>
          <w:szCs w:val="20"/>
        </w:rPr>
      </w:pPr>
      <w:r w:rsidRPr="003431F6">
        <w:rPr>
          <w:rStyle w:val="Znakapoznpodarou"/>
          <w:sz w:val="20"/>
          <w:szCs w:val="20"/>
        </w:rPr>
        <w:footnoteRef/>
      </w:r>
      <w:r w:rsidRPr="003431F6">
        <w:rPr>
          <w:sz w:val="20"/>
          <w:szCs w:val="20"/>
        </w:rPr>
        <w:t xml:space="preserve"> Dle § </w:t>
      </w:r>
      <w:r w:rsidRPr="003431F6">
        <w:rPr>
          <w:rFonts w:cs="Arial"/>
          <w:sz w:val="20"/>
          <w:szCs w:val="20"/>
          <w:shd w:val="clear" w:color="auto" w:fill="FFFFFF"/>
        </w:rPr>
        <w:t xml:space="preserve">2 odst. 2 </w:t>
      </w:r>
      <w:r>
        <w:rPr>
          <w:rFonts w:cs="Arial"/>
          <w:sz w:val="20"/>
          <w:szCs w:val="20"/>
          <w:shd w:val="clear" w:color="auto" w:fill="FFFFFF"/>
        </w:rPr>
        <w:t>TŘ</w:t>
      </w:r>
      <w:r w:rsidRPr="003431F6">
        <w:rPr>
          <w:rFonts w:cs="Arial"/>
          <w:sz w:val="20"/>
          <w:szCs w:val="20"/>
          <w:shd w:val="clear" w:color="auto" w:fill="FFFFFF"/>
        </w:rPr>
        <w:t xml:space="preserve"> platí, že </w:t>
      </w:r>
      <w:r w:rsidRPr="003431F6">
        <w:rPr>
          <w:rFonts w:cs="Arial"/>
          <w:i/>
          <w:sz w:val="20"/>
          <w:szCs w:val="20"/>
          <w:shd w:val="clear" w:color="auto" w:fill="FFFFFF"/>
        </w:rPr>
        <w:t>„dokud pravomocným odsuzujícím rozsudkem soudu není vina vyslovena, nelze na toho, proti němuž se vede trestní řízení, hledět, jako by byl vinen.“</w:t>
      </w:r>
    </w:p>
  </w:footnote>
  <w:footnote w:id="118">
    <w:p w14:paraId="4F821689" w14:textId="77777777" w:rsidR="00F26821" w:rsidRPr="00A058E5" w:rsidRDefault="00F26821" w:rsidP="00A058E5">
      <w:pPr>
        <w:pStyle w:val="Textpoznpodarou"/>
        <w:spacing w:line="240" w:lineRule="auto"/>
      </w:pPr>
      <w:r w:rsidRPr="00A058E5">
        <w:rPr>
          <w:rStyle w:val="Znakapoznpodarou"/>
        </w:rPr>
        <w:footnoteRef/>
      </w:r>
      <w:r w:rsidRPr="00A058E5">
        <w:t xml:space="preserve"> Kán. 1321 § 1 CIC.</w:t>
      </w:r>
    </w:p>
  </w:footnote>
  <w:footnote w:id="119">
    <w:p w14:paraId="4CA77231" w14:textId="5A2905B7" w:rsidR="00F26821" w:rsidRPr="00A058E5" w:rsidRDefault="00F26821" w:rsidP="00A058E5">
      <w:pPr>
        <w:pStyle w:val="Default"/>
        <w:rPr>
          <w:color w:val="auto"/>
          <w:sz w:val="20"/>
          <w:szCs w:val="20"/>
        </w:rPr>
      </w:pPr>
      <w:r w:rsidRPr="00A058E5">
        <w:rPr>
          <w:rStyle w:val="Znakapoznpodarou"/>
          <w:color w:val="auto"/>
          <w:sz w:val="20"/>
          <w:szCs w:val="20"/>
        </w:rPr>
        <w:footnoteRef/>
      </w:r>
      <w:r w:rsidRPr="00A058E5">
        <w:rPr>
          <w:color w:val="auto"/>
          <w:sz w:val="20"/>
          <w:szCs w:val="20"/>
        </w:rPr>
        <w:t xml:space="preserve"> </w:t>
      </w:r>
      <w:r w:rsidRPr="00A058E5">
        <w:rPr>
          <w:rFonts w:cs="Arial"/>
          <w:color w:val="212529"/>
          <w:sz w:val="20"/>
          <w:szCs w:val="20"/>
          <w:shd w:val="clear" w:color="auto" w:fill="FFFFFF"/>
        </w:rPr>
        <w:t>PONÍŽIL</w:t>
      </w:r>
      <w:r w:rsidRPr="00A058E5">
        <w:rPr>
          <w:color w:val="auto"/>
          <w:sz w:val="20"/>
          <w:szCs w:val="20"/>
        </w:rPr>
        <w:t xml:space="preserve">, </w:t>
      </w:r>
      <w:r>
        <w:rPr>
          <w:color w:val="auto"/>
          <w:sz w:val="20"/>
          <w:szCs w:val="20"/>
        </w:rPr>
        <w:t>s. 57</w:t>
      </w:r>
      <w:r w:rsidRPr="00540B67">
        <w:rPr>
          <w:color w:val="auto"/>
          <w:sz w:val="20"/>
          <w:szCs w:val="20"/>
        </w:rPr>
        <w:sym w:font="Symbol" w:char="F02D"/>
      </w:r>
      <w:r w:rsidRPr="00A058E5">
        <w:rPr>
          <w:color w:val="auto"/>
          <w:sz w:val="20"/>
          <w:szCs w:val="20"/>
        </w:rPr>
        <w:t>58.</w:t>
      </w:r>
    </w:p>
  </w:footnote>
  <w:footnote w:id="120">
    <w:p w14:paraId="4ED4A0BC" w14:textId="706D8DBF" w:rsidR="00F26821" w:rsidRPr="00A058E5" w:rsidRDefault="00F26821" w:rsidP="00A058E5">
      <w:pPr>
        <w:pStyle w:val="Odstavecseseznamem"/>
        <w:spacing w:after="0" w:line="240" w:lineRule="auto"/>
        <w:ind w:left="0"/>
        <w:rPr>
          <w:rFonts w:ascii="Garamond" w:hAnsi="Garamond"/>
          <w:sz w:val="20"/>
          <w:szCs w:val="20"/>
        </w:rPr>
      </w:pPr>
      <w:r w:rsidRPr="00A058E5">
        <w:rPr>
          <w:rStyle w:val="Znakapoznpodarou"/>
          <w:rFonts w:ascii="Garamond" w:hAnsi="Garamond"/>
          <w:sz w:val="20"/>
          <w:szCs w:val="20"/>
        </w:rPr>
        <w:footnoteRef/>
      </w:r>
      <w:r w:rsidRPr="00A058E5">
        <w:rPr>
          <w:rFonts w:ascii="Garamond" w:hAnsi="Garamond"/>
          <w:sz w:val="20"/>
          <w:szCs w:val="20"/>
        </w:rPr>
        <w:t xml:space="preserve"> </w:t>
      </w:r>
      <w:r w:rsidRPr="00A058E5">
        <w:rPr>
          <w:rFonts w:ascii="Garamond" w:hAnsi="Garamond" w:cs="Garamond"/>
          <w:color w:val="000000"/>
          <w:sz w:val="20"/>
          <w:szCs w:val="20"/>
        </w:rPr>
        <w:t xml:space="preserve">TRETERA, HORÁK, </w:t>
      </w:r>
      <w:r>
        <w:rPr>
          <w:rFonts w:ascii="Garamond" w:hAnsi="Garamond" w:cs="Garamond"/>
          <w:color w:val="000000"/>
          <w:sz w:val="20"/>
          <w:szCs w:val="20"/>
        </w:rPr>
        <w:t>s.</w:t>
      </w:r>
      <w:r w:rsidRPr="00A058E5">
        <w:rPr>
          <w:rFonts w:ascii="Garamond" w:hAnsi="Garamond"/>
          <w:sz w:val="20"/>
          <w:szCs w:val="20"/>
        </w:rPr>
        <w:t xml:space="preserve"> 331.</w:t>
      </w:r>
    </w:p>
  </w:footnote>
  <w:footnote w:id="121">
    <w:p w14:paraId="4E272B75" w14:textId="7EEDC223" w:rsidR="00F26821" w:rsidRPr="00AE091D" w:rsidRDefault="00F26821" w:rsidP="00A058E5">
      <w:pPr>
        <w:pStyle w:val="Textpoznpodarou"/>
        <w:spacing w:line="240" w:lineRule="auto"/>
        <w:rPr>
          <w:bCs/>
        </w:rPr>
      </w:pPr>
      <w:r w:rsidRPr="00A058E5">
        <w:rPr>
          <w:rStyle w:val="Znakapoznpodarou"/>
        </w:rPr>
        <w:footnoteRef/>
      </w:r>
      <w:r w:rsidRPr="00A058E5">
        <w:t xml:space="preserve"> DVOŘÁČEK</w:t>
      </w:r>
      <w:r w:rsidRPr="00A058E5">
        <w:rPr>
          <w:bCs/>
        </w:rPr>
        <w:t xml:space="preserve">, J. </w:t>
      </w:r>
      <w:r w:rsidRPr="00A058E5">
        <w:rPr>
          <w:bCs/>
          <w:i/>
        </w:rPr>
        <w:t>Zásady trestní odpovědnosti v trestním právu katolické církve s přihlédnutím k českému trestnímu zákoníku č. 40/2009 Sb.</w:t>
      </w:r>
      <w:r w:rsidRPr="00A058E5">
        <w:rPr>
          <w:bCs/>
        </w:rPr>
        <w:t xml:space="preserve"> </w:t>
      </w:r>
      <w:r w:rsidRPr="00A058E5">
        <w:rPr>
          <w:rFonts w:cs="Arial"/>
          <w:color w:val="212529"/>
          <w:shd w:val="clear" w:color="auto" w:fill="FFFFFF"/>
        </w:rPr>
        <w:t xml:space="preserve">In: BENÁK, J. </w:t>
      </w:r>
      <w:r w:rsidRPr="00703439">
        <w:rPr>
          <w:rFonts w:cs="Arial"/>
          <w:iCs/>
          <w:color w:val="212529"/>
          <w:shd w:val="clear" w:color="auto" w:fill="FFFFFF"/>
        </w:rPr>
        <w:t>Církev a stát 2022: sborník příspěvků z konference</w:t>
      </w:r>
      <w:r w:rsidRPr="00703439">
        <w:rPr>
          <w:rFonts w:cs="Arial"/>
          <w:color w:val="212529"/>
          <w:shd w:val="clear" w:color="auto" w:fill="FFFFFF"/>
        </w:rPr>
        <w:t>.</w:t>
      </w:r>
      <w:r w:rsidRPr="00A058E5">
        <w:rPr>
          <w:rFonts w:cs="Arial"/>
          <w:color w:val="212529"/>
          <w:shd w:val="clear" w:color="auto" w:fill="FFFFFF"/>
        </w:rPr>
        <w:t xml:space="preserve"> Brno: Masarykova univerzita, 2022,</w:t>
      </w:r>
      <w:r w:rsidRPr="00A058E5">
        <w:t xml:space="preserve"> </w:t>
      </w:r>
      <w:r>
        <w:t>s.</w:t>
      </w:r>
      <w:r w:rsidRPr="00AE091D">
        <w:t> 25.</w:t>
      </w:r>
    </w:p>
  </w:footnote>
  <w:footnote w:id="122">
    <w:p w14:paraId="4FBAF534" w14:textId="77777777" w:rsidR="00F26821" w:rsidRPr="00AE091D" w:rsidRDefault="00F26821" w:rsidP="00AE091D">
      <w:pPr>
        <w:spacing w:line="240" w:lineRule="auto"/>
        <w:rPr>
          <w:rFonts w:cs="Arial"/>
          <w:sz w:val="20"/>
          <w:szCs w:val="20"/>
        </w:rPr>
      </w:pPr>
      <w:r w:rsidRPr="00AE091D">
        <w:rPr>
          <w:rStyle w:val="Znakapoznpodarou"/>
          <w:sz w:val="20"/>
          <w:szCs w:val="20"/>
        </w:rPr>
        <w:footnoteRef/>
      </w:r>
      <w:r w:rsidRPr="00AE091D">
        <w:rPr>
          <w:sz w:val="20"/>
          <w:szCs w:val="20"/>
        </w:rPr>
        <w:t xml:space="preserve"> </w:t>
      </w:r>
      <w:r w:rsidRPr="00AE091D">
        <w:rPr>
          <w:bCs/>
          <w:sz w:val="20"/>
          <w:szCs w:val="20"/>
        </w:rPr>
        <w:t xml:space="preserve">Zákon o soudech a soudcích dokonce pojem </w:t>
      </w:r>
      <w:r w:rsidRPr="00AE091D">
        <w:rPr>
          <w:bCs/>
          <w:i/>
          <w:sz w:val="20"/>
          <w:szCs w:val="20"/>
        </w:rPr>
        <w:t>zavinění</w:t>
      </w:r>
      <w:r w:rsidRPr="00AE091D">
        <w:rPr>
          <w:bCs/>
          <w:sz w:val="20"/>
          <w:szCs w:val="20"/>
        </w:rPr>
        <w:t xml:space="preserve"> vůbec nedefinuje, pročež je třeba při jeho výkladu analogicky vycházet z </w:t>
      </w:r>
      <w:r w:rsidRPr="00AE091D">
        <w:rPr>
          <w:rFonts w:cs="Arial"/>
          <w:sz w:val="20"/>
          <w:szCs w:val="20"/>
        </w:rPr>
        <w:t xml:space="preserve">trestního zákoníku. Ten ovšem konstrukci odpovědnosti za trestný čin pojímá odlišně, neboť stanoví, že </w:t>
      </w:r>
      <w:r w:rsidRPr="00AE091D">
        <w:rPr>
          <w:rFonts w:cs="Arial"/>
          <w:i/>
          <w:sz w:val="20"/>
          <w:szCs w:val="20"/>
        </w:rPr>
        <w:t>„je třeba úmyslného zavinění, nestanoví-li trestní zákon výslovně, že postačí zavinění z nedbalosti“</w:t>
      </w:r>
      <w:r w:rsidRPr="00AE091D">
        <w:rPr>
          <w:rFonts w:cs="Arial"/>
          <w:sz w:val="20"/>
          <w:szCs w:val="20"/>
        </w:rPr>
        <w:t xml:space="preserve"> [§ 13 odst. 2 TZ].</w:t>
      </w:r>
    </w:p>
  </w:footnote>
  <w:footnote w:id="123">
    <w:p w14:paraId="525DB397" w14:textId="75482DF3" w:rsidR="00F26821" w:rsidRPr="00A058E5" w:rsidRDefault="00F26821" w:rsidP="00A058E5">
      <w:pPr>
        <w:spacing w:line="240" w:lineRule="auto"/>
        <w:rPr>
          <w:sz w:val="20"/>
          <w:szCs w:val="20"/>
        </w:rPr>
      </w:pPr>
      <w:r w:rsidRPr="00A058E5">
        <w:rPr>
          <w:rStyle w:val="Znakapoznpodarou"/>
          <w:sz w:val="20"/>
          <w:szCs w:val="20"/>
        </w:rPr>
        <w:footnoteRef/>
      </w:r>
      <w:r w:rsidRPr="00A058E5">
        <w:rPr>
          <w:sz w:val="20"/>
          <w:szCs w:val="20"/>
        </w:rPr>
        <w:t xml:space="preserve"> </w:t>
      </w:r>
      <w:r w:rsidRPr="00A058E5">
        <w:rPr>
          <w:rFonts w:eastAsia="Calibri" w:cs="CIDFont+F5"/>
          <w:sz w:val="20"/>
          <w:szCs w:val="20"/>
          <w:lang w:eastAsia="en-US"/>
        </w:rPr>
        <w:t>ZEMANOVÁ</w:t>
      </w:r>
      <w:r w:rsidRPr="00A058E5">
        <w:rPr>
          <w:sz w:val="20"/>
          <w:szCs w:val="20"/>
        </w:rPr>
        <w:t xml:space="preserve">, </w:t>
      </w:r>
      <w:r>
        <w:rPr>
          <w:sz w:val="20"/>
          <w:szCs w:val="20"/>
        </w:rPr>
        <w:t>s. 139</w:t>
      </w:r>
      <w:r w:rsidRPr="00540B67">
        <w:rPr>
          <w:rFonts w:cs="Garamond"/>
          <w:sz w:val="20"/>
          <w:szCs w:val="20"/>
        </w:rPr>
        <w:sym w:font="Symbol" w:char="F02D"/>
      </w:r>
      <w:r w:rsidRPr="00A058E5">
        <w:rPr>
          <w:sz w:val="20"/>
          <w:szCs w:val="20"/>
        </w:rPr>
        <w:t>141.</w:t>
      </w:r>
    </w:p>
  </w:footnote>
  <w:footnote w:id="124">
    <w:p w14:paraId="6FBF90AD" w14:textId="77777777" w:rsidR="00F26821" w:rsidRPr="00A058E5" w:rsidRDefault="00F26821" w:rsidP="00A058E5">
      <w:pPr>
        <w:pStyle w:val="Textpoznpodarou"/>
        <w:spacing w:line="240" w:lineRule="auto"/>
      </w:pPr>
      <w:r w:rsidRPr="00A058E5">
        <w:rPr>
          <w:rStyle w:val="Znakapoznpodarou"/>
        </w:rPr>
        <w:footnoteRef/>
      </w:r>
      <w:r w:rsidRPr="00A058E5">
        <w:t xml:space="preserve"> Rozhodnutí NSS </w:t>
      </w:r>
      <w:r w:rsidRPr="00A058E5">
        <w:rPr>
          <w:rFonts w:eastAsia="Calibri" w:cs="CIDFont+F5"/>
          <w:lang w:eastAsia="en-US"/>
        </w:rPr>
        <w:t xml:space="preserve">ze dne 24. 11. 2010, č. j. 11 </w:t>
      </w:r>
      <w:proofErr w:type="spellStart"/>
      <w:r w:rsidRPr="00A058E5">
        <w:rPr>
          <w:rFonts w:eastAsia="Calibri" w:cs="CIDFont+F5"/>
          <w:lang w:eastAsia="en-US"/>
        </w:rPr>
        <w:t>Kss</w:t>
      </w:r>
      <w:proofErr w:type="spellEnd"/>
      <w:r w:rsidRPr="00A058E5">
        <w:rPr>
          <w:rFonts w:eastAsia="Calibri" w:cs="CIDFont+F5"/>
          <w:lang w:eastAsia="en-US"/>
        </w:rPr>
        <w:t xml:space="preserve"> 8/2009-51.</w:t>
      </w:r>
    </w:p>
  </w:footnote>
  <w:footnote w:id="125">
    <w:p w14:paraId="231E4179" w14:textId="2FE9BA33" w:rsidR="00F26821" w:rsidRPr="00A15796" w:rsidRDefault="00F26821" w:rsidP="00A058E5">
      <w:pPr>
        <w:pStyle w:val="Odstavecseseznamem"/>
        <w:spacing w:after="0" w:line="240" w:lineRule="auto"/>
        <w:ind w:left="0"/>
        <w:rPr>
          <w:rFonts w:ascii="Garamond" w:hAnsi="Garamond"/>
          <w:sz w:val="20"/>
          <w:szCs w:val="20"/>
        </w:rPr>
      </w:pPr>
      <w:r w:rsidRPr="00A15796">
        <w:rPr>
          <w:rStyle w:val="Znakapoznpodarou"/>
          <w:rFonts w:ascii="Garamond" w:hAnsi="Garamond"/>
          <w:sz w:val="20"/>
          <w:szCs w:val="20"/>
        </w:rPr>
        <w:footnoteRef/>
      </w:r>
      <w:r w:rsidRPr="00A15796">
        <w:rPr>
          <w:rFonts w:ascii="Garamond" w:hAnsi="Garamond"/>
          <w:sz w:val="20"/>
          <w:szCs w:val="20"/>
        </w:rPr>
        <w:t xml:space="preserve"> </w:t>
      </w:r>
      <w:r w:rsidRPr="00A15796">
        <w:rPr>
          <w:rFonts w:ascii="Garamond" w:hAnsi="Garamond" w:cs="Garamond"/>
          <w:sz w:val="20"/>
          <w:szCs w:val="20"/>
        </w:rPr>
        <w:t xml:space="preserve">TRETERA, HORÁK, </w:t>
      </w:r>
      <w:r>
        <w:rPr>
          <w:rFonts w:ascii="Garamond" w:hAnsi="Garamond" w:cs="Garamond"/>
          <w:sz w:val="20"/>
          <w:szCs w:val="20"/>
        </w:rPr>
        <w:t>s.</w:t>
      </w:r>
      <w:r w:rsidRPr="00A15796">
        <w:rPr>
          <w:rFonts w:ascii="Garamond" w:hAnsi="Garamond"/>
          <w:sz w:val="20"/>
          <w:szCs w:val="20"/>
        </w:rPr>
        <w:t xml:space="preserve"> 330.</w:t>
      </w:r>
    </w:p>
  </w:footnote>
  <w:footnote w:id="126">
    <w:p w14:paraId="5AC285EA" w14:textId="77777777" w:rsidR="00F26821" w:rsidRPr="00A15796" w:rsidRDefault="00F26821" w:rsidP="00A058E5">
      <w:pPr>
        <w:pStyle w:val="Textpoznpodarou"/>
        <w:spacing w:line="240" w:lineRule="auto"/>
      </w:pPr>
      <w:r w:rsidRPr="00A15796">
        <w:rPr>
          <w:rStyle w:val="Znakapoznpodarou"/>
        </w:rPr>
        <w:footnoteRef/>
      </w:r>
      <w:r w:rsidRPr="00A15796">
        <w:t xml:space="preserve"> Kán. 1321 § 2 CIC.</w:t>
      </w:r>
    </w:p>
  </w:footnote>
  <w:footnote w:id="127">
    <w:p w14:paraId="73983C5E" w14:textId="3FB27D28" w:rsidR="00F26821" w:rsidRPr="00A15796" w:rsidRDefault="00F26821" w:rsidP="00A15796">
      <w:pPr>
        <w:pStyle w:val="Textpoznpodarou"/>
        <w:spacing w:line="240" w:lineRule="auto"/>
      </w:pPr>
      <w:r w:rsidRPr="00A15796">
        <w:rPr>
          <w:rStyle w:val="Znakapoznpodarou"/>
        </w:rPr>
        <w:footnoteRef/>
      </w:r>
      <w:r w:rsidRPr="00A15796">
        <w:t xml:space="preserve"> </w:t>
      </w:r>
      <w:r w:rsidRPr="00A15796">
        <w:rPr>
          <w:rFonts w:cs="Garamond"/>
        </w:rPr>
        <w:t xml:space="preserve">HRDINA, </w:t>
      </w:r>
      <w:r w:rsidRPr="00A15796">
        <w:rPr>
          <w:rFonts w:cs="Garamond"/>
          <w:i/>
          <w:iCs/>
        </w:rPr>
        <w:t>Kanonické právo</w:t>
      </w:r>
      <w:r w:rsidRPr="00A15796">
        <w:rPr>
          <w:rFonts w:cs="Garamond"/>
          <w:iCs/>
        </w:rPr>
        <w:t xml:space="preserve">, </w:t>
      </w:r>
      <w:r>
        <w:rPr>
          <w:rFonts w:cs="Garamond"/>
          <w:iCs/>
        </w:rPr>
        <w:t>s.</w:t>
      </w:r>
      <w:r w:rsidRPr="00A15796">
        <w:rPr>
          <w:rFonts w:cs="Garamond"/>
          <w:iCs/>
        </w:rPr>
        <w:t> </w:t>
      </w:r>
      <w:r w:rsidRPr="00A15796">
        <w:t xml:space="preserve">263. </w:t>
      </w:r>
      <w:r w:rsidRPr="00A15796">
        <w:rPr>
          <w:rFonts w:cs="Garamond"/>
        </w:rPr>
        <w:t xml:space="preserve">Dvořáček ovšem upozorňuje, že </w:t>
      </w:r>
      <w:r w:rsidRPr="00A15796">
        <w:rPr>
          <w:rFonts w:cs="Garamond"/>
          <w:i/>
        </w:rPr>
        <w:t>přičitatelností</w:t>
      </w:r>
      <w:r w:rsidRPr="00A15796">
        <w:rPr>
          <w:rFonts w:cs="Garamond"/>
        </w:rPr>
        <w:t xml:space="preserve"> je správně naplnění podmínek nutných pro to, aby se subjektu mohlo přičíst jednání zákonodárcem označené jako trestné (jedná se o posouzení hledisek duševní vyspělosti a příčetnosti); problém dle něj spočívá v nevhodné formulaci ustanovení Kodexu, které pojem přičitatelnost používá nesprávně ve smyslu </w:t>
      </w:r>
      <w:r w:rsidRPr="00A15796">
        <w:rPr>
          <w:rFonts w:cs="Garamond"/>
          <w:i/>
        </w:rPr>
        <w:t>zavinění</w:t>
      </w:r>
      <w:r w:rsidRPr="00A15796">
        <w:rPr>
          <w:rFonts w:cs="Garamond"/>
        </w:rPr>
        <w:t xml:space="preserve"> [DVOŘÁČEK, </w:t>
      </w:r>
      <w:r>
        <w:rPr>
          <w:rFonts w:cs="Garamond"/>
        </w:rPr>
        <w:t>s. 23</w:t>
      </w:r>
      <w:r w:rsidRPr="00540B67">
        <w:rPr>
          <w:rFonts w:cs="Garamond"/>
        </w:rPr>
        <w:sym w:font="Symbol" w:char="F02D"/>
      </w:r>
      <w:r w:rsidRPr="00A15796">
        <w:rPr>
          <w:rFonts w:cs="Garamond"/>
        </w:rPr>
        <w:t>24].</w:t>
      </w:r>
    </w:p>
  </w:footnote>
  <w:footnote w:id="128">
    <w:p w14:paraId="3250E49A" w14:textId="61C7C8BF" w:rsidR="00F26821" w:rsidRPr="00A15796" w:rsidRDefault="00F26821" w:rsidP="00A058E5">
      <w:pPr>
        <w:spacing w:line="240" w:lineRule="auto"/>
        <w:rPr>
          <w:sz w:val="20"/>
          <w:szCs w:val="20"/>
        </w:rPr>
      </w:pPr>
      <w:r w:rsidRPr="00A15796">
        <w:rPr>
          <w:rStyle w:val="Znakapoznpodarou"/>
          <w:sz w:val="20"/>
          <w:szCs w:val="20"/>
        </w:rPr>
        <w:footnoteRef/>
      </w:r>
      <w:r w:rsidRPr="00A15796">
        <w:rPr>
          <w:sz w:val="20"/>
          <w:szCs w:val="20"/>
        </w:rPr>
        <w:t xml:space="preserve"> Zajímavostí je, že kanonické právo nezná rozlišování úmyslu na přímý a nepřímý jako sekulární právo [</w:t>
      </w:r>
      <w:r w:rsidRPr="00A15796">
        <w:rPr>
          <w:rFonts w:cs="Garamond"/>
          <w:sz w:val="20"/>
          <w:szCs w:val="20"/>
        </w:rPr>
        <w:t>HRDINA,</w:t>
      </w:r>
      <w:r>
        <w:rPr>
          <w:rFonts w:cs="Garamond"/>
          <w:sz w:val="20"/>
          <w:szCs w:val="20"/>
        </w:rPr>
        <w:t xml:space="preserve"> </w:t>
      </w:r>
      <w:r w:rsidRPr="00A15796">
        <w:rPr>
          <w:rFonts w:cs="Garamond"/>
          <w:i/>
          <w:iCs/>
          <w:sz w:val="20"/>
          <w:szCs w:val="20"/>
        </w:rPr>
        <w:t>Kanonické právo</w:t>
      </w:r>
      <w:r w:rsidRPr="00A15796">
        <w:rPr>
          <w:rFonts w:cs="Garamond"/>
          <w:iCs/>
          <w:sz w:val="20"/>
          <w:szCs w:val="20"/>
        </w:rPr>
        <w:t xml:space="preserve">, </w:t>
      </w:r>
      <w:r>
        <w:rPr>
          <w:rFonts w:cs="Garamond"/>
          <w:iCs/>
          <w:sz w:val="20"/>
          <w:szCs w:val="20"/>
        </w:rPr>
        <w:t>s.</w:t>
      </w:r>
      <w:r w:rsidRPr="00A15796">
        <w:rPr>
          <w:rFonts w:cs="Garamond"/>
          <w:iCs/>
          <w:sz w:val="20"/>
          <w:szCs w:val="20"/>
        </w:rPr>
        <w:t xml:space="preserve"> </w:t>
      </w:r>
      <w:r w:rsidRPr="00A15796">
        <w:rPr>
          <w:sz w:val="20"/>
          <w:szCs w:val="20"/>
        </w:rPr>
        <w:t>263].</w:t>
      </w:r>
    </w:p>
  </w:footnote>
  <w:footnote w:id="129">
    <w:p w14:paraId="645EA48F" w14:textId="77777777" w:rsidR="00F26821" w:rsidRPr="00A15796" w:rsidRDefault="00F26821" w:rsidP="00A058E5">
      <w:pPr>
        <w:pStyle w:val="Odstavecseseznamem"/>
        <w:spacing w:after="0" w:line="240" w:lineRule="auto"/>
        <w:ind w:left="0"/>
        <w:rPr>
          <w:rFonts w:ascii="Garamond" w:hAnsi="Garamond"/>
          <w:sz w:val="20"/>
          <w:szCs w:val="20"/>
        </w:rPr>
      </w:pPr>
      <w:r w:rsidRPr="00A15796">
        <w:rPr>
          <w:rStyle w:val="Znakapoznpodarou"/>
          <w:rFonts w:ascii="Garamond" w:hAnsi="Garamond"/>
          <w:sz w:val="20"/>
          <w:szCs w:val="20"/>
        </w:rPr>
        <w:footnoteRef/>
      </w:r>
      <w:r w:rsidRPr="00A15796">
        <w:rPr>
          <w:rFonts w:ascii="Garamond" w:hAnsi="Garamond"/>
          <w:sz w:val="20"/>
          <w:szCs w:val="20"/>
        </w:rPr>
        <w:t xml:space="preserve"> Kán. 1321 § 3 CIC.</w:t>
      </w:r>
    </w:p>
  </w:footnote>
  <w:footnote w:id="130">
    <w:p w14:paraId="1DDC0022" w14:textId="10FCFE59" w:rsidR="00F26821" w:rsidRPr="00A15796" w:rsidRDefault="00F26821" w:rsidP="00A058E5">
      <w:pPr>
        <w:pStyle w:val="Odstavecseseznamem"/>
        <w:spacing w:after="0" w:line="240" w:lineRule="auto"/>
        <w:ind w:left="0"/>
        <w:rPr>
          <w:rFonts w:ascii="Garamond" w:hAnsi="Garamond"/>
          <w:sz w:val="20"/>
          <w:szCs w:val="20"/>
        </w:rPr>
      </w:pPr>
      <w:r w:rsidRPr="00A15796">
        <w:rPr>
          <w:rStyle w:val="Znakapoznpodarou"/>
          <w:rFonts w:ascii="Garamond" w:hAnsi="Garamond"/>
          <w:sz w:val="20"/>
          <w:szCs w:val="20"/>
        </w:rPr>
        <w:footnoteRef/>
      </w:r>
      <w:r w:rsidRPr="00A15796">
        <w:rPr>
          <w:rFonts w:ascii="Garamond" w:hAnsi="Garamond"/>
          <w:sz w:val="20"/>
          <w:szCs w:val="20"/>
        </w:rPr>
        <w:t xml:space="preserve"> Jedná se o zanedbání správy církevního majetku </w:t>
      </w:r>
      <w:r w:rsidRPr="00A15796">
        <w:rPr>
          <w:rFonts w:ascii="Garamond" w:hAnsi="Garamond" w:cs="TimesNewRomanPSMT"/>
          <w:sz w:val="20"/>
          <w:szCs w:val="20"/>
        </w:rPr>
        <w:t xml:space="preserve">(kán. 1376 </w:t>
      </w:r>
      <w:r w:rsidRPr="00CF1A4B">
        <w:rPr>
          <w:rFonts w:ascii="Garamond" w:hAnsi="Garamond" w:cs="TimesNewRomanPSMT"/>
          <w:sz w:val="20"/>
          <w:szCs w:val="20"/>
        </w:rPr>
        <w:t xml:space="preserve">§ 2 </w:t>
      </w:r>
      <w:r>
        <w:rPr>
          <w:rFonts w:ascii="Garamond" w:hAnsi="Garamond" w:cs="TimesNewRomanPSMT"/>
          <w:sz w:val="20"/>
          <w:szCs w:val="20"/>
        </w:rPr>
        <w:t>odst.</w:t>
      </w:r>
      <w:r w:rsidRPr="00CF1A4B">
        <w:rPr>
          <w:rFonts w:ascii="Garamond" w:hAnsi="Garamond" w:cs="TimesNewRomanPSMT"/>
          <w:sz w:val="20"/>
          <w:szCs w:val="20"/>
        </w:rPr>
        <w:t xml:space="preserve"> 2</w:t>
      </w:r>
      <w:r w:rsidRPr="00A15796">
        <w:rPr>
          <w:rFonts w:ascii="Garamond" w:hAnsi="Garamond" w:cs="TimesNewRomanPSMT"/>
          <w:sz w:val="20"/>
          <w:szCs w:val="20"/>
        </w:rPr>
        <w:t xml:space="preserve"> CIC)</w:t>
      </w:r>
      <w:r w:rsidRPr="00A15796">
        <w:rPr>
          <w:rFonts w:ascii="Garamond" w:hAnsi="Garamond"/>
          <w:sz w:val="20"/>
          <w:szCs w:val="20"/>
        </w:rPr>
        <w:t xml:space="preserve"> a nezákonné vykonání nebo opomenutí úkonu církevní moci, úřadu nebo funkce spojené se způsobením škody jinému nebo s pohoršením (kán. 1378 § 2 CIC).</w:t>
      </w:r>
    </w:p>
  </w:footnote>
  <w:footnote w:id="131">
    <w:p w14:paraId="1BFDC756" w14:textId="1F3B8D40" w:rsidR="00F26821" w:rsidRPr="00A15796" w:rsidRDefault="00F26821" w:rsidP="00A058E5">
      <w:pPr>
        <w:pStyle w:val="Textpoznpodarou"/>
        <w:spacing w:line="240" w:lineRule="auto"/>
      </w:pPr>
      <w:r w:rsidRPr="00A15796">
        <w:rPr>
          <w:rStyle w:val="Znakapoznpodarou"/>
        </w:rPr>
        <w:footnoteRef/>
      </w:r>
      <w:r w:rsidRPr="00A15796">
        <w:t xml:space="preserve"> DVOŘÁČEK, </w:t>
      </w:r>
      <w:r>
        <w:t>s.</w:t>
      </w:r>
      <w:r w:rsidRPr="00A15796">
        <w:t xml:space="preserve"> 24.</w:t>
      </w:r>
    </w:p>
  </w:footnote>
  <w:footnote w:id="132">
    <w:p w14:paraId="71D4DD72" w14:textId="2F52CE6D" w:rsidR="00F26821" w:rsidRPr="00A15796" w:rsidRDefault="00F26821" w:rsidP="00A15796">
      <w:pPr>
        <w:pStyle w:val="Textpoznpodarou"/>
        <w:spacing w:line="240" w:lineRule="auto"/>
      </w:pPr>
      <w:r w:rsidRPr="00A15796">
        <w:rPr>
          <w:rStyle w:val="Znakapoznpodarou"/>
        </w:rPr>
        <w:footnoteRef/>
      </w:r>
      <w:r w:rsidRPr="00A15796">
        <w:t xml:space="preserve"> </w:t>
      </w:r>
      <w:r w:rsidRPr="00A15796">
        <w:rPr>
          <w:rFonts w:cs="Garamond"/>
        </w:rPr>
        <w:t xml:space="preserve">HRDINA, </w:t>
      </w:r>
      <w:r w:rsidRPr="00A15796">
        <w:rPr>
          <w:rFonts w:cs="Garamond"/>
          <w:i/>
          <w:iCs/>
        </w:rPr>
        <w:t>Kanonické právo</w:t>
      </w:r>
      <w:r w:rsidRPr="00A15796">
        <w:rPr>
          <w:rFonts w:cs="Garamond"/>
          <w:iCs/>
        </w:rPr>
        <w:t xml:space="preserve">, </w:t>
      </w:r>
      <w:r>
        <w:rPr>
          <w:rFonts w:cs="Garamond"/>
          <w:iCs/>
        </w:rPr>
        <w:t>s.</w:t>
      </w:r>
      <w:r w:rsidRPr="00A15796">
        <w:rPr>
          <w:rFonts w:cs="Garamond"/>
          <w:iCs/>
        </w:rPr>
        <w:t xml:space="preserve"> </w:t>
      </w:r>
      <w:r w:rsidRPr="00A15796">
        <w:t>264, pozn</w:t>
      </w:r>
      <w:r>
        <w:t>.</w:t>
      </w:r>
      <w:r w:rsidRPr="00A15796">
        <w:t xml:space="preserve"> č. 264.</w:t>
      </w:r>
    </w:p>
  </w:footnote>
  <w:footnote w:id="133">
    <w:p w14:paraId="0E4048E4" w14:textId="66C0C5A6" w:rsidR="00F26821" w:rsidRPr="00A15796" w:rsidRDefault="00F26821" w:rsidP="0044647A">
      <w:pPr>
        <w:pStyle w:val="Odstavecseseznamem"/>
        <w:spacing w:after="0" w:line="240" w:lineRule="auto"/>
        <w:ind w:left="0"/>
        <w:rPr>
          <w:rFonts w:ascii="Garamond" w:hAnsi="Garamond"/>
          <w:sz w:val="20"/>
          <w:szCs w:val="20"/>
        </w:rPr>
      </w:pPr>
      <w:r w:rsidRPr="00A15796">
        <w:rPr>
          <w:rStyle w:val="Znakapoznpodarou"/>
          <w:rFonts w:ascii="Garamond" w:hAnsi="Garamond"/>
          <w:sz w:val="20"/>
          <w:szCs w:val="20"/>
        </w:rPr>
        <w:footnoteRef/>
      </w:r>
      <w:r w:rsidRPr="00A15796">
        <w:rPr>
          <w:rFonts w:ascii="Garamond" w:hAnsi="Garamond"/>
          <w:sz w:val="20"/>
          <w:szCs w:val="20"/>
        </w:rPr>
        <w:t xml:space="preserve"> Kán. 1321 § 4 CIC. Lze zmínit, že </w:t>
      </w:r>
      <w:r>
        <w:rPr>
          <w:rFonts w:ascii="Garamond" w:hAnsi="Garamond"/>
          <w:sz w:val="20"/>
          <w:szCs w:val="20"/>
        </w:rPr>
        <w:t>Kodex</w:t>
      </w:r>
      <w:r w:rsidRPr="00A15796">
        <w:rPr>
          <w:rFonts w:ascii="Garamond" w:hAnsi="Garamond"/>
          <w:sz w:val="20"/>
          <w:szCs w:val="20"/>
        </w:rPr>
        <w:t xml:space="preserve"> z</w:t>
      </w:r>
      <w:r>
        <w:rPr>
          <w:rFonts w:ascii="Garamond" w:hAnsi="Garamond"/>
          <w:sz w:val="20"/>
          <w:szCs w:val="20"/>
        </w:rPr>
        <w:t xml:space="preserve"> roku </w:t>
      </w:r>
      <w:r w:rsidRPr="00A15796">
        <w:rPr>
          <w:rFonts w:ascii="Garamond" w:hAnsi="Garamond"/>
          <w:sz w:val="20"/>
          <w:szCs w:val="20"/>
        </w:rPr>
        <w:t xml:space="preserve">1917 mluvil precizně o </w:t>
      </w:r>
      <w:r w:rsidRPr="008E67F8">
        <w:rPr>
          <w:rFonts w:ascii="Garamond" w:hAnsi="Garamond"/>
          <w:i/>
          <w:sz w:val="20"/>
          <w:szCs w:val="20"/>
        </w:rPr>
        <w:t>presumpci úmyslu</w:t>
      </w:r>
      <w:r>
        <w:rPr>
          <w:rFonts w:ascii="Garamond" w:hAnsi="Garamond"/>
          <w:sz w:val="20"/>
          <w:szCs w:val="20"/>
        </w:rPr>
        <w:t xml:space="preserve"> [</w:t>
      </w:r>
      <w:r w:rsidRPr="0044647A">
        <w:rPr>
          <w:rFonts w:ascii="Garamond" w:hAnsi="Garamond"/>
          <w:sz w:val="20"/>
          <w:szCs w:val="20"/>
        </w:rPr>
        <w:t xml:space="preserve">HRDINA, </w:t>
      </w:r>
      <w:r w:rsidRPr="0044647A">
        <w:rPr>
          <w:rFonts w:ascii="Garamond" w:hAnsi="Garamond"/>
          <w:i/>
          <w:sz w:val="20"/>
          <w:szCs w:val="20"/>
        </w:rPr>
        <w:t>Kanonické právo</w:t>
      </w:r>
      <w:r w:rsidRPr="0044647A">
        <w:rPr>
          <w:rFonts w:ascii="Garamond" w:hAnsi="Garamond"/>
          <w:sz w:val="20"/>
          <w:szCs w:val="20"/>
        </w:rPr>
        <w:t>, s. 264].</w:t>
      </w:r>
    </w:p>
  </w:footnote>
  <w:footnote w:id="134">
    <w:p w14:paraId="53390AA6" w14:textId="4F55AF78" w:rsidR="00F26821" w:rsidRPr="00A058E5" w:rsidRDefault="00F26821" w:rsidP="0044647A">
      <w:pPr>
        <w:pStyle w:val="Textpoznpodarou"/>
        <w:spacing w:line="240" w:lineRule="auto"/>
      </w:pPr>
      <w:r w:rsidRPr="00A058E5">
        <w:rPr>
          <w:rStyle w:val="Znakapoznpodarou"/>
        </w:rPr>
        <w:footnoteRef/>
      </w:r>
      <w:r w:rsidRPr="00A058E5">
        <w:t xml:space="preserve"> </w:t>
      </w:r>
      <w:r w:rsidRPr="00A058E5">
        <w:rPr>
          <w:rFonts w:cs="Garamond"/>
          <w:color w:val="000000"/>
        </w:rPr>
        <w:t xml:space="preserve">HRDINA, </w:t>
      </w:r>
      <w:r w:rsidRPr="00A058E5">
        <w:rPr>
          <w:rFonts w:cs="Garamond"/>
          <w:i/>
          <w:iCs/>
          <w:color w:val="000000"/>
        </w:rPr>
        <w:t>Kanonické právo</w:t>
      </w:r>
      <w:r w:rsidRPr="00A058E5">
        <w:rPr>
          <w:rFonts w:cs="Garamond"/>
          <w:iCs/>
          <w:color w:val="000000"/>
        </w:rPr>
        <w:t xml:space="preserve">, </w:t>
      </w:r>
      <w:r>
        <w:rPr>
          <w:rFonts w:cs="Garamond"/>
          <w:iCs/>
          <w:color w:val="000000"/>
        </w:rPr>
        <w:t>s.</w:t>
      </w:r>
      <w:r w:rsidRPr="00A058E5">
        <w:rPr>
          <w:rFonts w:cs="Garamond"/>
          <w:iCs/>
          <w:color w:val="000000"/>
        </w:rPr>
        <w:t xml:space="preserve"> </w:t>
      </w:r>
      <w:r w:rsidRPr="00A058E5">
        <w:t>264.</w:t>
      </w:r>
    </w:p>
  </w:footnote>
  <w:footnote w:id="135">
    <w:p w14:paraId="4E5A6882" w14:textId="4BF82134" w:rsidR="00F26821" w:rsidRPr="004F08D0" w:rsidRDefault="00F26821" w:rsidP="0044647A">
      <w:pPr>
        <w:pStyle w:val="Textpoznpodarou"/>
        <w:spacing w:line="240" w:lineRule="auto"/>
      </w:pPr>
      <w:r w:rsidRPr="004F08D0">
        <w:rPr>
          <w:rStyle w:val="Znakapoznpodarou"/>
        </w:rPr>
        <w:footnoteRef/>
      </w:r>
      <w:r w:rsidRPr="004F08D0">
        <w:t xml:space="preserve"> Kán. 1341 CIC. Před novelou měl </w:t>
      </w:r>
      <w:r>
        <w:rPr>
          <w:rFonts w:cs="Arial"/>
        </w:rPr>
        <w:t xml:space="preserve">ordinář zahájit trestní řízení </w:t>
      </w:r>
      <w:r w:rsidRPr="00D64723">
        <w:rPr>
          <w:rFonts w:cs="Arial"/>
          <w:i/>
        </w:rPr>
        <w:t>pouze tehdy</w:t>
      </w:r>
      <w:r w:rsidRPr="004F08D0">
        <w:rPr>
          <w:rFonts w:cs="Arial"/>
        </w:rPr>
        <w:t>, pokud nepostačoval mírnější postup.</w:t>
      </w:r>
    </w:p>
  </w:footnote>
  <w:footnote w:id="136">
    <w:p w14:paraId="7D6813C5" w14:textId="77777777" w:rsidR="00F26821" w:rsidRPr="004F08D0" w:rsidRDefault="00F26821" w:rsidP="0044647A">
      <w:pPr>
        <w:pStyle w:val="l4"/>
        <w:shd w:val="clear" w:color="auto" w:fill="FFFFFF"/>
        <w:spacing w:before="0" w:beforeAutospacing="0" w:after="0" w:afterAutospacing="0"/>
        <w:jc w:val="both"/>
        <w:rPr>
          <w:rFonts w:ascii="Garamond" w:hAnsi="Garamond" w:cs="Arial"/>
          <w:i/>
          <w:sz w:val="20"/>
          <w:szCs w:val="20"/>
        </w:rPr>
      </w:pPr>
      <w:r w:rsidRPr="004F08D0">
        <w:rPr>
          <w:rStyle w:val="Znakapoznpodarou"/>
          <w:rFonts w:ascii="Garamond" w:hAnsi="Garamond"/>
          <w:sz w:val="20"/>
          <w:szCs w:val="20"/>
        </w:rPr>
        <w:footnoteRef/>
      </w:r>
      <w:r w:rsidRPr="004F08D0">
        <w:rPr>
          <w:rFonts w:ascii="Garamond" w:hAnsi="Garamond"/>
          <w:sz w:val="20"/>
          <w:szCs w:val="20"/>
        </w:rPr>
        <w:t xml:space="preserve"> </w:t>
      </w:r>
      <w:r w:rsidRPr="004F08D0">
        <w:rPr>
          <w:rFonts w:ascii="Garamond" w:eastAsia="Calibri" w:hAnsi="Garamond"/>
          <w:sz w:val="20"/>
          <w:szCs w:val="20"/>
          <w:lang w:eastAsia="en-US"/>
        </w:rPr>
        <w:t xml:space="preserve">Dle § 12 odst. 2 TZ platí, že </w:t>
      </w:r>
      <w:r w:rsidRPr="004F08D0">
        <w:rPr>
          <w:rFonts w:ascii="Garamond" w:eastAsia="Calibri" w:hAnsi="Garamond"/>
          <w:i/>
          <w:sz w:val="20"/>
          <w:szCs w:val="20"/>
          <w:lang w:eastAsia="en-US"/>
        </w:rPr>
        <w:t>„trestní odpovědnost pachatele a trestněprávní důsledky s ní spojené lze uplatňovat jen v případech společensky škodlivých, ve kterých nepostačuje uplatnění odpovědnosti podle jiného právního předpisu.“</w:t>
      </w:r>
    </w:p>
  </w:footnote>
  <w:footnote w:id="137">
    <w:p w14:paraId="1CCB76E3" w14:textId="297338F3" w:rsidR="00F26821" w:rsidRPr="00A058E5" w:rsidRDefault="00F26821" w:rsidP="0044647A">
      <w:pPr>
        <w:pStyle w:val="Default"/>
        <w:jc w:val="both"/>
        <w:rPr>
          <w:color w:val="auto"/>
          <w:sz w:val="20"/>
          <w:szCs w:val="20"/>
        </w:rPr>
      </w:pPr>
      <w:r w:rsidRPr="00A058E5">
        <w:rPr>
          <w:rStyle w:val="Znakapoznpodarou"/>
          <w:color w:val="auto"/>
          <w:sz w:val="20"/>
          <w:szCs w:val="20"/>
        </w:rPr>
        <w:footnoteRef/>
      </w:r>
      <w:r w:rsidRPr="00A058E5">
        <w:rPr>
          <w:color w:val="auto"/>
          <w:sz w:val="20"/>
          <w:szCs w:val="20"/>
        </w:rPr>
        <w:t xml:space="preserve"> HRDINA,</w:t>
      </w:r>
      <w:r w:rsidRPr="00A058E5">
        <w:rPr>
          <w:rFonts w:cs="Arial"/>
          <w:color w:val="auto"/>
          <w:sz w:val="20"/>
          <w:szCs w:val="20"/>
          <w:shd w:val="clear" w:color="auto" w:fill="FFFFFF"/>
        </w:rPr>
        <w:t xml:space="preserve"> </w:t>
      </w:r>
      <w:r w:rsidRPr="00A058E5">
        <w:rPr>
          <w:rFonts w:cs="Arial"/>
          <w:i/>
          <w:color w:val="auto"/>
          <w:sz w:val="20"/>
          <w:szCs w:val="20"/>
          <w:shd w:val="clear" w:color="auto" w:fill="FFFFFF"/>
        </w:rPr>
        <w:t>Fungování církevních soudů v trestních věcech</w:t>
      </w:r>
      <w:r w:rsidRPr="00A058E5">
        <w:rPr>
          <w:color w:val="auto"/>
          <w:sz w:val="20"/>
          <w:szCs w:val="20"/>
        </w:rPr>
        <w:t xml:space="preserve">, </w:t>
      </w:r>
      <w:r>
        <w:rPr>
          <w:color w:val="auto"/>
          <w:sz w:val="20"/>
          <w:szCs w:val="20"/>
        </w:rPr>
        <w:t>s.</w:t>
      </w:r>
      <w:r w:rsidRPr="00A058E5">
        <w:rPr>
          <w:color w:val="auto"/>
          <w:sz w:val="20"/>
          <w:szCs w:val="20"/>
        </w:rPr>
        <w:t xml:space="preserve"> 230.</w:t>
      </w:r>
    </w:p>
  </w:footnote>
  <w:footnote w:id="138">
    <w:p w14:paraId="449CA1EE" w14:textId="0BBAC463" w:rsidR="00F26821" w:rsidRPr="00A058E5" w:rsidRDefault="00F26821" w:rsidP="0044647A">
      <w:pPr>
        <w:pStyle w:val="Textpoznpodarou"/>
        <w:spacing w:line="240" w:lineRule="auto"/>
      </w:pPr>
      <w:r w:rsidRPr="00A058E5">
        <w:rPr>
          <w:rStyle w:val="Znakapoznpodarou"/>
        </w:rPr>
        <w:footnoteRef/>
      </w:r>
      <w:r w:rsidRPr="00A058E5">
        <w:t xml:space="preserve"> </w:t>
      </w:r>
      <w:r w:rsidRPr="00A058E5">
        <w:rPr>
          <w:rFonts w:cs="Garamond"/>
        </w:rPr>
        <w:t>MENKE</w:t>
      </w:r>
      <w:r>
        <w:rPr>
          <w:rFonts w:cs="Garamond"/>
        </w:rPr>
        <w:t>, s. 82.</w:t>
      </w:r>
    </w:p>
  </w:footnote>
  <w:footnote w:id="139">
    <w:p w14:paraId="47FCFB88" w14:textId="77777777" w:rsidR="00F26821" w:rsidRPr="00A058E5" w:rsidRDefault="00F26821" w:rsidP="00A058E5">
      <w:pPr>
        <w:pStyle w:val="Textpoznpodarou"/>
        <w:spacing w:line="240" w:lineRule="auto"/>
      </w:pPr>
      <w:r w:rsidRPr="00A058E5">
        <w:rPr>
          <w:rStyle w:val="Znakapoznpodarou"/>
        </w:rPr>
        <w:footnoteRef/>
      </w:r>
      <w:r w:rsidRPr="00A058E5">
        <w:t xml:space="preserve"> Kán. 1311 § 2 CIC.</w:t>
      </w:r>
    </w:p>
  </w:footnote>
  <w:footnote w:id="140">
    <w:p w14:paraId="4F4A629A" w14:textId="77777777" w:rsidR="00F26821" w:rsidRPr="009C1FD7" w:rsidRDefault="00F26821" w:rsidP="009C1FD7">
      <w:pPr>
        <w:spacing w:line="240" w:lineRule="auto"/>
        <w:rPr>
          <w:sz w:val="20"/>
          <w:szCs w:val="20"/>
        </w:rPr>
      </w:pPr>
      <w:r w:rsidRPr="009C1FD7">
        <w:rPr>
          <w:rStyle w:val="Znakapoznpodarou"/>
          <w:sz w:val="20"/>
          <w:szCs w:val="20"/>
        </w:rPr>
        <w:footnoteRef/>
      </w:r>
      <w:r w:rsidRPr="009C1FD7">
        <w:rPr>
          <w:sz w:val="20"/>
          <w:szCs w:val="20"/>
        </w:rPr>
        <w:t xml:space="preserve"> Kán. 1347 § 1 CIC. Má se přitom za to, že pachatel upustil od zatvrzelosti, jestliže trestného činu opravdu litoval, náležitě odstranil pohoršení a nahradil škodu, nebo to alespoň vážně přislíbil.</w:t>
      </w:r>
    </w:p>
  </w:footnote>
  <w:footnote w:id="141">
    <w:p w14:paraId="73B591BF" w14:textId="2F28E4B8" w:rsidR="00F26821" w:rsidRPr="00A058E5" w:rsidRDefault="00F26821" w:rsidP="00A058E5">
      <w:pPr>
        <w:pStyle w:val="Odstavecseseznamem"/>
        <w:spacing w:after="0" w:line="240" w:lineRule="auto"/>
        <w:ind w:left="0"/>
        <w:rPr>
          <w:rFonts w:ascii="Garamond" w:hAnsi="Garamond"/>
          <w:sz w:val="20"/>
          <w:szCs w:val="20"/>
        </w:rPr>
      </w:pPr>
      <w:r w:rsidRPr="00A058E5">
        <w:rPr>
          <w:rStyle w:val="Znakapoznpodarou"/>
          <w:rFonts w:ascii="Garamond" w:hAnsi="Garamond"/>
          <w:sz w:val="20"/>
          <w:szCs w:val="20"/>
        </w:rPr>
        <w:footnoteRef/>
      </w:r>
      <w:r w:rsidRPr="00A058E5">
        <w:rPr>
          <w:rFonts w:ascii="Garamond" w:hAnsi="Garamond"/>
          <w:sz w:val="20"/>
          <w:szCs w:val="20"/>
        </w:rPr>
        <w:t xml:space="preserve"> </w:t>
      </w:r>
      <w:r w:rsidRPr="00A058E5">
        <w:rPr>
          <w:rFonts w:ascii="Garamond" w:hAnsi="Garamond" w:cs="Garamond"/>
          <w:color w:val="000000"/>
          <w:sz w:val="20"/>
          <w:szCs w:val="20"/>
        </w:rPr>
        <w:t xml:space="preserve">HRDINA, </w:t>
      </w:r>
      <w:r w:rsidRPr="00A058E5">
        <w:rPr>
          <w:rFonts w:ascii="Garamond" w:hAnsi="Garamond" w:cs="Garamond"/>
          <w:i/>
          <w:iCs/>
          <w:color w:val="000000"/>
          <w:sz w:val="20"/>
          <w:szCs w:val="20"/>
        </w:rPr>
        <w:t>Kanonické právo</w:t>
      </w:r>
      <w:r w:rsidRPr="00A058E5">
        <w:rPr>
          <w:rFonts w:ascii="Garamond" w:hAnsi="Garamond" w:cs="Garamond"/>
          <w:iCs/>
          <w:color w:val="000000"/>
          <w:sz w:val="20"/>
          <w:szCs w:val="20"/>
        </w:rPr>
        <w:t xml:space="preserve">, </w:t>
      </w:r>
      <w:r>
        <w:rPr>
          <w:rFonts w:ascii="Garamond" w:hAnsi="Garamond" w:cs="Garamond"/>
          <w:iCs/>
          <w:color w:val="000000"/>
          <w:sz w:val="20"/>
          <w:szCs w:val="20"/>
        </w:rPr>
        <w:t>s.</w:t>
      </w:r>
      <w:r w:rsidRPr="00A058E5">
        <w:rPr>
          <w:rFonts w:ascii="Garamond" w:hAnsi="Garamond" w:cs="Garamond"/>
          <w:iCs/>
          <w:color w:val="000000"/>
          <w:sz w:val="20"/>
          <w:szCs w:val="20"/>
        </w:rPr>
        <w:t xml:space="preserve"> </w:t>
      </w:r>
      <w:r w:rsidRPr="00A058E5">
        <w:rPr>
          <w:rFonts w:ascii="Garamond" w:hAnsi="Garamond"/>
          <w:sz w:val="20"/>
          <w:szCs w:val="20"/>
        </w:rPr>
        <w:t>276.</w:t>
      </w:r>
    </w:p>
  </w:footnote>
  <w:footnote w:id="142">
    <w:p w14:paraId="17A54A7E" w14:textId="77777777" w:rsidR="00F26821" w:rsidRPr="00A058E5" w:rsidRDefault="00F26821" w:rsidP="00A058E5">
      <w:pPr>
        <w:pStyle w:val="Textpoznpodarou"/>
        <w:spacing w:line="240" w:lineRule="auto"/>
      </w:pPr>
      <w:r w:rsidRPr="00A058E5">
        <w:rPr>
          <w:rStyle w:val="Znakapoznpodarou"/>
        </w:rPr>
        <w:footnoteRef/>
      </w:r>
      <w:r w:rsidRPr="00A058E5">
        <w:t xml:space="preserve"> Kán. 1312 § 3 CIC.</w:t>
      </w:r>
    </w:p>
  </w:footnote>
  <w:footnote w:id="143">
    <w:p w14:paraId="3B279239" w14:textId="4AE5FB69" w:rsidR="00F26821" w:rsidRPr="00A058E5" w:rsidRDefault="00F26821" w:rsidP="00A058E5">
      <w:pPr>
        <w:pStyle w:val="Textpoznpodarou"/>
        <w:spacing w:line="240" w:lineRule="auto"/>
      </w:pPr>
      <w:r w:rsidRPr="00A058E5">
        <w:rPr>
          <w:rStyle w:val="Znakapoznpodarou"/>
        </w:rPr>
        <w:footnoteRef/>
      </w:r>
      <w:r w:rsidRPr="00A058E5">
        <w:t xml:space="preserve"> </w:t>
      </w:r>
      <w:r w:rsidRPr="00A058E5">
        <w:rPr>
          <w:rFonts w:cs="Arial"/>
          <w:spacing w:val="5"/>
          <w:shd w:val="clear" w:color="auto" w:fill="FFFFFF"/>
        </w:rPr>
        <w:t xml:space="preserve">BOTEK, NAVRÁTILOVÁ, </w:t>
      </w:r>
      <w:r>
        <w:rPr>
          <w:rFonts w:cs="Arial"/>
          <w:spacing w:val="5"/>
          <w:shd w:val="clear" w:color="auto" w:fill="FFFFFF"/>
        </w:rPr>
        <w:t>s.</w:t>
      </w:r>
      <w:r w:rsidRPr="00A058E5">
        <w:rPr>
          <w:rFonts w:cs="Arial"/>
          <w:spacing w:val="5"/>
          <w:shd w:val="clear" w:color="auto" w:fill="FFFFFF"/>
        </w:rPr>
        <w:t xml:space="preserve"> 26.</w:t>
      </w:r>
    </w:p>
  </w:footnote>
  <w:footnote w:id="144">
    <w:p w14:paraId="7821755D" w14:textId="77777777" w:rsidR="00F26821" w:rsidRPr="00A058E5" w:rsidRDefault="00F26821" w:rsidP="00A058E5">
      <w:pPr>
        <w:pStyle w:val="Textpoznpodarou"/>
        <w:spacing w:line="240" w:lineRule="auto"/>
      </w:pPr>
      <w:r w:rsidRPr="00A058E5">
        <w:rPr>
          <w:rStyle w:val="Znakapoznpodarou"/>
        </w:rPr>
        <w:footnoteRef/>
      </w:r>
      <w:r w:rsidRPr="00A058E5">
        <w:t xml:space="preserve"> Kán. 1339 § </w:t>
      </w:r>
      <w:r>
        <w:t>1 až</w:t>
      </w:r>
      <w:r w:rsidRPr="00A058E5">
        <w:t xml:space="preserve"> 4 CIC.</w:t>
      </w:r>
    </w:p>
  </w:footnote>
  <w:footnote w:id="145">
    <w:p w14:paraId="36A056C3" w14:textId="12F80DAD" w:rsidR="00F26821" w:rsidRPr="00827E31" w:rsidRDefault="00F26821" w:rsidP="00827E31">
      <w:pPr>
        <w:pStyle w:val="Odstavecseseznamem"/>
        <w:spacing w:after="0" w:line="240" w:lineRule="auto"/>
        <w:ind w:left="0"/>
        <w:rPr>
          <w:rFonts w:ascii="Garamond" w:hAnsi="Garamond"/>
          <w:sz w:val="20"/>
          <w:szCs w:val="20"/>
        </w:rPr>
      </w:pPr>
      <w:r w:rsidRPr="00827E31">
        <w:rPr>
          <w:rStyle w:val="Znakapoznpodarou"/>
          <w:rFonts w:ascii="Garamond" w:hAnsi="Garamond"/>
          <w:sz w:val="20"/>
          <w:szCs w:val="20"/>
        </w:rPr>
        <w:footnoteRef/>
      </w:r>
      <w:r w:rsidRPr="00827E31">
        <w:rPr>
          <w:rFonts w:ascii="Garamond" w:hAnsi="Garamond"/>
          <w:sz w:val="20"/>
          <w:szCs w:val="20"/>
        </w:rPr>
        <w:t xml:space="preserve"> </w:t>
      </w:r>
      <w:r w:rsidRPr="00827E31">
        <w:rPr>
          <w:rFonts w:ascii="Garamond" w:hAnsi="Garamond" w:cs="Garamond"/>
          <w:color w:val="000000"/>
          <w:sz w:val="20"/>
          <w:szCs w:val="20"/>
        </w:rPr>
        <w:t xml:space="preserve">TRETERA, HORÁK, </w:t>
      </w:r>
      <w:r>
        <w:rPr>
          <w:rFonts w:ascii="Garamond" w:hAnsi="Garamond" w:cs="Garamond"/>
          <w:color w:val="000000"/>
          <w:sz w:val="20"/>
          <w:szCs w:val="20"/>
        </w:rPr>
        <w:t>s.</w:t>
      </w:r>
      <w:r w:rsidRPr="00827E31">
        <w:rPr>
          <w:rFonts w:ascii="Garamond" w:hAnsi="Garamond"/>
          <w:sz w:val="20"/>
          <w:szCs w:val="20"/>
        </w:rPr>
        <w:t xml:space="preserve"> 336.</w:t>
      </w:r>
    </w:p>
  </w:footnote>
  <w:footnote w:id="146">
    <w:p w14:paraId="402D58EC" w14:textId="6DDD8F94" w:rsidR="00F26821" w:rsidRPr="00827E31" w:rsidRDefault="00F26821" w:rsidP="00827E31">
      <w:pPr>
        <w:pStyle w:val="Odstavecseseznamem"/>
        <w:spacing w:after="0" w:line="240" w:lineRule="auto"/>
        <w:ind w:left="0"/>
        <w:rPr>
          <w:rFonts w:ascii="Garamond" w:hAnsi="Garamond"/>
          <w:sz w:val="20"/>
          <w:szCs w:val="20"/>
        </w:rPr>
      </w:pPr>
      <w:r w:rsidRPr="00827E31">
        <w:rPr>
          <w:rStyle w:val="Znakapoznpodarou"/>
          <w:rFonts w:ascii="Garamond" w:hAnsi="Garamond"/>
          <w:sz w:val="20"/>
          <w:szCs w:val="20"/>
        </w:rPr>
        <w:footnoteRef/>
      </w:r>
      <w:r w:rsidRPr="00827E31">
        <w:rPr>
          <w:rFonts w:ascii="Garamond" w:hAnsi="Garamond"/>
          <w:sz w:val="20"/>
          <w:szCs w:val="20"/>
        </w:rPr>
        <w:t xml:space="preserve"> </w:t>
      </w:r>
      <w:r w:rsidRPr="00827E31">
        <w:rPr>
          <w:rFonts w:ascii="Garamond" w:hAnsi="Garamond" w:cs="Garamond"/>
          <w:color w:val="000000"/>
          <w:sz w:val="20"/>
          <w:szCs w:val="20"/>
        </w:rPr>
        <w:t xml:space="preserve">HRDINA, </w:t>
      </w:r>
      <w:r w:rsidRPr="00827E31">
        <w:rPr>
          <w:rFonts w:ascii="Garamond" w:hAnsi="Garamond" w:cs="Garamond"/>
          <w:i/>
          <w:iCs/>
          <w:color w:val="000000"/>
          <w:sz w:val="20"/>
          <w:szCs w:val="20"/>
        </w:rPr>
        <w:t>Kanonické právo</w:t>
      </w:r>
      <w:r w:rsidRPr="00827E31">
        <w:rPr>
          <w:rFonts w:ascii="Garamond" w:hAnsi="Garamond" w:cs="Garamond"/>
          <w:iCs/>
          <w:color w:val="000000"/>
          <w:sz w:val="20"/>
          <w:szCs w:val="20"/>
        </w:rPr>
        <w:t xml:space="preserve">, </w:t>
      </w:r>
      <w:r>
        <w:rPr>
          <w:rFonts w:ascii="Garamond" w:hAnsi="Garamond" w:cs="Garamond"/>
          <w:iCs/>
          <w:color w:val="000000"/>
          <w:sz w:val="20"/>
          <w:szCs w:val="20"/>
        </w:rPr>
        <w:t>s.</w:t>
      </w:r>
      <w:r w:rsidRPr="00827E31">
        <w:rPr>
          <w:rFonts w:ascii="Garamond" w:hAnsi="Garamond" w:cs="Garamond"/>
          <w:iCs/>
          <w:color w:val="000000"/>
          <w:sz w:val="20"/>
          <w:szCs w:val="20"/>
        </w:rPr>
        <w:t xml:space="preserve"> </w:t>
      </w:r>
      <w:r w:rsidRPr="00827E31">
        <w:rPr>
          <w:rFonts w:ascii="Garamond" w:hAnsi="Garamond"/>
          <w:sz w:val="20"/>
          <w:szCs w:val="20"/>
        </w:rPr>
        <w:t>277.</w:t>
      </w:r>
    </w:p>
  </w:footnote>
  <w:footnote w:id="147">
    <w:p w14:paraId="26B926A9" w14:textId="36075DA7" w:rsidR="00F26821" w:rsidRPr="00827E31" w:rsidRDefault="00F26821" w:rsidP="00827E31">
      <w:pPr>
        <w:pStyle w:val="Odstavecseseznamem"/>
        <w:spacing w:after="0" w:line="240" w:lineRule="auto"/>
        <w:ind w:left="0"/>
        <w:rPr>
          <w:rFonts w:ascii="Garamond" w:hAnsi="Garamond"/>
          <w:sz w:val="20"/>
          <w:szCs w:val="20"/>
        </w:rPr>
      </w:pPr>
      <w:r w:rsidRPr="00827E31">
        <w:rPr>
          <w:rFonts w:ascii="Garamond" w:hAnsi="Garamond"/>
          <w:sz w:val="20"/>
          <w:szCs w:val="20"/>
          <w:vertAlign w:val="superscript"/>
        </w:rPr>
        <w:footnoteRef/>
      </w:r>
      <w:r w:rsidRPr="00827E31">
        <w:rPr>
          <w:rFonts w:ascii="Garamond" w:hAnsi="Garamond"/>
          <w:sz w:val="20"/>
          <w:szCs w:val="20"/>
        </w:rPr>
        <w:t xml:space="preserve"> </w:t>
      </w:r>
      <w:r w:rsidRPr="00827E31">
        <w:rPr>
          <w:rFonts w:ascii="Garamond" w:hAnsi="Garamond" w:cs="Garamond"/>
          <w:color w:val="000000"/>
          <w:sz w:val="20"/>
          <w:szCs w:val="20"/>
        </w:rPr>
        <w:t xml:space="preserve">TRETERA, HORÁK, </w:t>
      </w:r>
      <w:r>
        <w:rPr>
          <w:rFonts w:ascii="Garamond" w:hAnsi="Garamond" w:cs="Garamond"/>
          <w:color w:val="000000"/>
          <w:sz w:val="20"/>
          <w:szCs w:val="20"/>
        </w:rPr>
        <w:t>s.</w:t>
      </w:r>
      <w:r w:rsidRPr="00827E31">
        <w:rPr>
          <w:rFonts w:ascii="Garamond" w:hAnsi="Garamond"/>
          <w:sz w:val="20"/>
          <w:szCs w:val="20"/>
        </w:rPr>
        <w:t xml:space="preserve"> 372.</w:t>
      </w:r>
    </w:p>
  </w:footnote>
  <w:footnote w:id="148">
    <w:p w14:paraId="280CDB77" w14:textId="77777777" w:rsidR="00F26821" w:rsidRPr="00827E31" w:rsidRDefault="00F26821" w:rsidP="00827E31">
      <w:pPr>
        <w:pStyle w:val="Textpoznpodarou"/>
        <w:spacing w:line="240" w:lineRule="auto"/>
      </w:pPr>
      <w:r w:rsidRPr="00827E31">
        <w:rPr>
          <w:rStyle w:val="Znakapoznpodarou"/>
        </w:rPr>
        <w:footnoteRef/>
      </w:r>
      <w:r w:rsidRPr="00827E31">
        <w:t xml:space="preserve"> </w:t>
      </w:r>
      <w:r w:rsidRPr="00827E31">
        <w:rPr>
          <w:rFonts w:eastAsia="Calibri" w:cs="CIDFont+F5"/>
          <w:lang w:eastAsia="en-US"/>
        </w:rPr>
        <w:t xml:space="preserve">Rozhodnutí NSS ze dne 3. 10. 2013, č. j. 16 </w:t>
      </w:r>
      <w:proofErr w:type="spellStart"/>
      <w:r w:rsidRPr="00827E31">
        <w:rPr>
          <w:rFonts w:eastAsia="Calibri" w:cs="CIDFont+F5"/>
          <w:lang w:eastAsia="en-US"/>
        </w:rPr>
        <w:t>Kss</w:t>
      </w:r>
      <w:proofErr w:type="spellEnd"/>
      <w:r w:rsidRPr="00827E31">
        <w:rPr>
          <w:rFonts w:eastAsia="Calibri" w:cs="CIDFont+F5"/>
          <w:lang w:eastAsia="en-US"/>
        </w:rPr>
        <w:t xml:space="preserve"> 8/2013-45.</w:t>
      </w:r>
    </w:p>
  </w:footnote>
  <w:footnote w:id="149">
    <w:p w14:paraId="104C354E" w14:textId="77777777" w:rsidR="00F26821" w:rsidRPr="00827E31" w:rsidRDefault="00F26821" w:rsidP="00827E31">
      <w:pPr>
        <w:spacing w:line="240" w:lineRule="auto"/>
        <w:rPr>
          <w:sz w:val="20"/>
          <w:szCs w:val="20"/>
        </w:rPr>
      </w:pPr>
      <w:r w:rsidRPr="00827E31">
        <w:rPr>
          <w:rStyle w:val="Znakapoznpodarou"/>
          <w:sz w:val="20"/>
          <w:szCs w:val="20"/>
        </w:rPr>
        <w:footnoteRef/>
      </w:r>
      <w:r w:rsidRPr="00827E31">
        <w:rPr>
          <w:sz w:val="20"/>
          <w:szCs w:val="20"/>
        </w:rPr>
        <w:t xml:space="preserve"> § 88a ZSS.</w:t>
      </w:r>
    </w:p>
  </w:footnote>
  <w:footnote w:id="150">
    <w:p w14:paraId="56A5B957" w14:textId="3487B350" w:rsidR="00F26821" w:rsidRPr="00827E31" w:rsidRDefault="00F26821" w:rsidP="00827E31">
      <w:pPr>
        <w:spacing w:line="240" w:lineRule="auto"/>
        <w:rPr>
          <w:sz w:val="20"/>
          <w:szCs w:val="20"/>
        </w:rPr>
      </w:pPr>
      <w:r w:rsidRPr="00827E31">
        <w:rPr>
          <w:rStyle w:val="Znakapoznpodarou"/>
          <w:sz w:val="20"/>
          <w:szCs w:val="20"/>
        </w:rPr>
        <w:footnoteRef/>
      </w:r>
      <w:r w:rsidRPr="00827E31">
        <w:rPr>
          <w:sz w:val="20"/>
          <w:szCs w:val="20"/>
        </w:rPr>
        <w:t xml:space="preserve"> </w:t>
      </w:r>
      <w:r w:rsidRPr="00827E31">
        <w:rPr>
          <w:rFonts w:eastAsia="Calibri" w:cs="CIDFont+F5"/>
          <w:sz w:val="20"/>
          <w:szCs w:val="20"/>
          <w:lang w:eastAsia="en-US"/>
        </w:rPr>
        <w:t>ZEMANOVÁ</w:t>
      </w:r>
      <w:r w:rsidRPr="00827E31">
        <w:rPr>
          <w:sz w:val="20"/>
          <w:szCs w:val="20"/>
        </w:rPr>
        <w:t xml:space="preserve">, </w:t>
      </w:r>
      <w:r>
        <w:rPr>
          <w:sz w:val="20"/>
          <w:szCs w:val="20"/>
        </w:rPr>
        <w:t>s. 144</w:t>
      </w:r>
      <w:r>
        <w:rPr>
          <w:rFonts w:cs="Garamond"/>
          <w:sz w:val="20"/>
          <w:szCs w:val="20"/>
        </w:rPr>
        <w:sym w:font="Symbol" w:char="F02D"/>
      </w:r>
      <w:r w:rsidRPr="00827E31">
        <w:rPr>
          <w:sz w:val="20"/>
          <w:szCs w:val="20"/>
        </w:rPr>
        <w:t>145.</w:t>
      </w:r>
    </w:p>
  </w:footnote>
  <w:footnote w:id="151">
    <w:p w14:paraId="2EC42DCD" w14:textId="77777777" w:rsidR="00F26821" w:rsidRPr="00085FE5" w:rsidRDefault="00F26821" w:rsidP="00827E31">
      <w:pPr>
        <w:spacing w:line="240" w:lineRule="auto"/>
        <w:rPr>
          <w:sz w:val="20"/>
          <w:szCs w:val="20"/>
        </w:rPr>
      </w:pPr>
      <w:r w:rsidRPr="00827E31">
        <w:rPr>
          <w:rStyle w:val="Znakapoznpodarou"/>
          <w:sz w:val="20"/>
          <w:szCs w:val="20"/>
        </w:rPr>
        <w:footnoteRef/>
      </w:r>
      <w:r w:rsidRPr="00827E31">
        <w:rPr>
          <w:sz w:val="20"/>
          <w:szCs w:val="20"/>
        </w:rPr>
        <w:t xml:space="preserve"> GRYGAR, § 88a.</w:t>
      </w:r>
    </w:p>
  </w:footnote>
  <w:footnote w:id="152">
    <w:p w14:paraId="371DDA3B" w14:textId="4259BF26" w:rsidR="00F26821" w:rsidRPr="00264409" w:rsidRDefault="00F26821" w:rsidP="00827E31">
      <w:pPr>
        <w:spacing w:line="240" w:lineRule="auto"/>
        <w:rPr>
          <w:sz w:val="20"/>
          <w:szCs w:val="20"/>
        </w:rPr>
      </w:pPr>
      <w:r w:rsidRPr="00264409">
        <w:rPr>
          <w:rStyle w:val="Znakapoznpodarou"/>
          <w:sz w:val="20"/>
          <w:szCs w:val="20"/>
        </w:rPr>
        <w:footnoteRef/>
      </w:r>
      <w:r w:rsidRPr="00264409">
        <w:rPr>
          <w:sz w:val="20"/>
          <w:szCs w:val="20"/>
        </w:rPr>
        <w:t xml:space="preserve"> Předseda soudu ukládající soudci výtku jedná z pozice soudního funkcionáře (tedy v rámci výkonu státní správy soudů), nejedná se proto o výkon moci soudní. Uložení výtky nemá pravomoc přezkoumávat kárný soud. Proti jejímu udělení se však lze bránit žalobou ve sprá</w:t>
      </w:r>
      <w:r>
        <w:rPr>
          <w:sz w:val="20"/>
          <w:szCs w:val="20"/>
        </w:rPr>
        <w:t xml:space="preserve">vním soudnictví [usnesení </w:t>
      </w:r>
      <w:r w:rsidRPr="00264409">
        <w:rPr>
          <w:iCs/>
          <w:sz w:val="20"/>
          <w:szCs w:val="20"/>
        </w:rPr>
        <w:t>NSS</w:t>
      </w:r>
      <w:r>
        <w:rPr>
          <w:sz w:val="20"/>
          <w:szCs w:val="20"/>
        </w:rPr>
        <w:t xml:space="preserve"> </w:t>
      </w:r>
      <w:r w:rsidRPr="00264409">
        <w:rPr>
          <w:sz w:val="20"/>
          <w:szCs w:val="20"/>
        </w:rPr>
        <w:t>ze dne 10. 7. 2018, č. j. 9 As 79/2016-41].</w:t>
      </w:r>
    </w:p>
  </w:footnote>
  <w:footnote w:id="153">
    <w:p w14:paraId="0F49CB39" w14:textId="7E67E741" w:rsidR="00F26821" w:rsidRPr="00827E31" w:rsidRDefault="00F26821" w:rsidP="00264409">
      <w:pPr>
        <w:pStyle w:val="Bezmezer"/>
        <w:rPr>
          <w:sz w:val="20"/>
          <w:szCs w:val="20"/>
        </w:rPr>
      </w:pPr>
      <w:r w:rsidRPr="00827E31">
        <w:rPr>
          <w:sz w:val="20"/>
          <w:szCs w:val="20"/>
          <w:vertAlign w:val="superscript"/>
        </w:rPr>
        <w:footnoteRef/>
      </w:r>
      <w:r w:rsidRPr="00827E31">
        <w:rPr>
          <w:sz w:val="20"/>
          <w:szCs w:val="20"/>
        </w:rPr>
        <w:t xml:space="preserve"> ZEMANOVÁ, </w:t>
      </w:r>
      <w:r>
        <w:rPr>
          <w:sz w:val="20"/>
          <w:szCs w:val="20"/>
        </w:rPr>
        <w:t>s. 144</w:t>
      </w:r>
      <w:r w:rsidRPr="00540B67">
        <w:rPr>
          <w:rFonts w:cs="Garamond"/>
          <w:sz w:val="20"/>
          <w:szCs w:val="20"/>
        </w:rPr>
        <w:sym w:font="Symbol" w:char="F02D"/>
      </w:r>
      <w:r w:rsidRPr="00827E31">
        <w:rPr>
          <w:sz w:val="20"/>
          <w:szCs w:val="20"/>
        </w:rPr>
        <w:t>145.</w:t>
      </w:r>
    </w:p>
  </w:footnote>
  <w:footnote w:id="154">
    <w:p w14:paraId="1D060F9E" w14:textId="6CC5E23C" w:rsidR="00F26821" w:rsidRPr="00264409" w:rsidRDefault="00F26821" w:rsidP="00827E31">
      <w:pPr>
        <w:pStyle w:val="Bezmezer"/>
        <w:rPr>
          <w:sz w:val="20"/>
          <w:szCs w:val="20"/>
        </w:rPr>
      </w:pPr>
      <w:r w:rsidRPr="00264409">
        <w:rPr>
          <w:rStyle w:val="Znakapoznpodarou"/>
          <w:sz w:val="20"/>
          <w:szCs w:val="20"/>
        </w:rPr>
        <w:footnoteRef/>
      </w:r>
      <w:r w:rsidRPr="00264409">
        <w:rPr>
          <w:sz w:val="20"/>
          <w:szCs w:val="20"/>
        </w:rPr>
        <w:t xml:space="preserve"> Někteří autoři s tím však nesouhlasí a argumentují, že udělování výtky je oprávněním předsedy soudu jakožto vedoucího zaměstnance v rámci pracovního vztahu soudce; vycházejí přitom z povinnosti vedoucích zaměstnanců upravené v zákoníku práce řídit a kontrolovat výkon práce a zadávat zaměstnancům k výkonu</w:t>
      </w:r>
      <w:r>
        <w:rPr>
          <w:sz w:val="20"/>
          <w:szCs w:val="20"/>
        </w:rPr>
        <w:t xml:space="preserve"> práce závazné pokyny [KOCOUREK, J. </w:t>
      </w:r>
      <w:r w:rsidRPr="00591C6F">
        <w:rPr>
          <w:i/>
          <w:sz w:val="20"/>
          <w:szCs w:val="20"/>
        </w:rPr>
        <w:t>Zákon o soudech a soudcích. Komentář.</w:t>
      </w:r>
      <w:r w:rsidRPr="00591C6F">
        <w:rPr>
          <w:sz w:val="20"/>
          <w:szCs w:val="20"/>
        </w:rPr>
        <w:t xml:space="preserve"> Praha: C. H. Beck, 2015, </w:t>
      </w:r>
      <w:r>
        <w:rPr>
          <w:sz w:val="20"/>
          <w:szCs w:val="20"/>
        </w:rPr>
        <w:t>s. 242</w:t>
      </w:r>
      <w:r w:rsidRPr="00540B67">
        <w:rPr>
          <w:rFonts w:cs="Garamond"/>
          <w:sz w:val="20"/>
          <w:szCs w:val="20"/>
        </w:rPr>
        <w:sym w:font="Symbol" w:char="F02D"/>
      </w:r>
      <w:r w:rsidRPr="00264409">
        <w:rPr>
          <w:sz w:val="20"/>
          <w:szCs w:val="20"/>
        </w:rPr>
        <w:t>243].</w:t>
      </w:r>
    </w:p>
  </w:footnote>
  <w:footnote w:id="155">
    <w:p w14:paraId="0C91E5EF" w14:textId="77777777" w:rsidR="00F26821" w:rsidRPr="00827E31" w:rsidRDefault="00F26821" w:rsidP="00013FD6">
      <w:pPr>
        <w:pStyle w:val="Textpoznpodarou"/>
        <w:spacing w:line="240" w:lineRule="auto"/>
      </w:pPr>
      <w:r w:rsidRPr="00827E31">
        <w:rPr>
          <w:rStyle w:val="Znakapoznpodarou"/>
        </w:rPr>
        <w:footnoteRef/>
      </w:r>
      <w:r w:rsidRPr="00827E31">
        <w:t xml:space="preserve"> Rozhodnutí NSS </w:t>
      </w:r>
      <w:r w:rsidRPr="00827E31">
        <w:rPr>
          <w:rStyle w:val="info"/>
          <w:rFonts w:cs="Arial"/>
          <w:bCs/>
          <w:color w:val="43494D"/>
        </w:rPr>
        <w:t xml:space="preserve">ze dne 10. 1. 2014, č. j. </w:t>
      </w:r>
      <w:r w:rsidRPr="00827E31">
        <w:t>16 </w:t>
      </w:r>
      <w:proofErr w:type="spellStart"/>
      <w:r w:rsidRPr="00827E31">
        <w:t>Kss</w:t>
      </w:r>
      <w:proofErr w:type="spellEnd"/>
      <w:r w:rsidRPr="00827E31">
        <w:t> 10/2013-84.</w:t>
      </w:r>
    </w:p>
  </w:footnote>
  <w:footnote w:id="156">
    <w:p w14:paraId="542ECAE1" w14:textId="7EB99F35" w:rsidR="00F26821" w:rsidRPr="00A0212A" w:rsidRDefault="00F26821" w:rsidP="00013FD6">
      <w:pPr>
        <w:pStyle w:val="Bezmezer"/>
        <w:rPr>
          <w:i/>
          <w:sz w:val="20"/>
          <w:szCs w:val="20"/>
        </w:rPr>
      </w:pPr>
      <w:r w:rsidRPr="007B1EED">
        <w:rPr>
          <w:rStyle w:val="Znakapoznpodarou"/>
          <w:sz w:val="20"/>
          <w:szCs w:val="20"/>
        </w:rPr>
        <w:footnoteRef/>
      </w:r>
      <w:r w:rsidRPr="007B1EED">
        <w:rPr>
          <w:sz w:val="20"/>
          <w:szCs w:val="20"/>
        </w:rPr>
        <w:t xml:space="preserve"> Také tres</w:t>
      </w:r>
      <w:r>
        <w:rPr>
          <w:sz w:val="20"/>
          <w:szCs w:val="20"/>
        </w:rPr>
        <w:t>tní zákoník (především v § 34</w:t>
      </w:r>
      <w:r w:rsidRPr="00540B67">
        <w:rPr>
          <w:rFonts w:cs="Garamond"/>
          <w:sz w:val="20"/>
          <w:szCs w:val="20"/>
        </w:rPr>
        <w:sym w:font="Symbol" w:char="F02D"/>
      </w:r>
      <w:r w:rsidRPr="007B1EED">
        <w:rPr>
          <w:sz w:val="20"/>
          <w:szCs w:val="20"/>
        </w:rPr>
        <w:t xml:space="preserve">35) používá termín </w:t>
      </w:r>
      <w:r w:rsidRPr="007B1EED">
        <w:rPr>
          <w:i/>
          <w:sz w:val="20"/>
          <w:szCs w:val="20"/>
        </w:rPr>
        <w:t xml:space="preserve">promlčení </w:t>
      </w:r>
      <w:r w:rsidRPr="007B1EED">
        <w:rPr>
          <w:rFonts w:cs="Arial"/>
          <w:i/>
          <w:sz w:val="20"/>
          <w:szCs w:val="20"/>
        </w:rPr>
        <w:t>trestní odpovědnosti</w:t>
      </w:r>
      <w:r w:rsidRPr="007B1EED">
        <w:rPr>
          <w:rFonts w:cs="Arial"/>
          <w:sz w:val="20"/>
          <w:szCs w:val="20"/>
        </w:rPr>
        <w:t xml:space="preserve">. </w:t>
      </w:r>
      <w:r w:rsidRPr="007B1EED">
        <w:rPr>
          <w:sz w:val="20"/>
          <w:szCs w:val="20"/>
        </w:rPr>
        <w:t xml:space="preserve">Přesněji by se však měl užívat pojem </w:t>
      </w:r>
      <w:r w:rsidRPr="007B1EED">
        <w:rPr>
          <w:i/>
          <w:sz w:val="20"/>
          <w:szCs w:val="20"/>
        </w:rPr>
        <w:t>prekluze</w:t>
      </w:r>
      <w:r w:rsidRPr="007B1EED">
        <w:rPr>
          <w:sz w:val="20"/>
          <w:szCs w:val="20"/>
        </w:rPr>
        <w:t xml:space="preserve">, neboť právo zahájit příslušné řízení uplynutím stanovené doby zaniká; tuto skutečnost přitom není třeba namítat a soud ji </w:t>
      </w:r>
      <w:r>
        <w:rPr>
          <w:sz w:val="20"/>
          <w:szCs w:val="20"/>
        </w:rPr>
        <w:t xml:space="preserve">vždy </w:t>
      </w:r>
      <w:r w:rsidRPr="007B1EED">
        <w:rPr>
          <w:sz w:val="20"/>
          <w:szCs w:val="20"/>
        </w:rPr>
        <w:t xml:space="preserve">posuzuje </w:t>
      </w:r>
      <w:r w:rsidRPr="007B1EED">
        <w:rPr>
          <w:i/>
          <w:sz w:val="20"/>
          <w:szCs w:val="20"/>
        </w:rPr>
        <w:t>ex offo</w:t>
      </w:r>
      <w:r w:rsidRPr="007B1EED">
        <w:rPr>
          <w:sz w:val="20"/>
          <w:szCs w:val="20"/>
        </w:rPr>
        <w:t>.</w:t>
      </w:r>
    </w:p>
  </w:footnote>
  <w:footnote w:id="157">
    <w:p w14:paraId="2229F767" w14:textId="663364E9" w:rsidR="00F26821" w:rsidRPr="00827E31" w:rsidRDefault="00F26821" w:rsidP="00013FD6">
      <w:pPr>
        <w:spacing w:line="240" w:lineRule="auto"/>
        <w:rPr>
          <w:sz w:val="20"/>
          <w:szCs w:val="20"/>
        </w:rPr>
      </w:pPr>
      <w:r w:rsidRPr="00827E31">
        <w:rPr>
          <w:rStyle w:val="Znakapoznpodarou"/>
          <w:sz w:val="20"/>
          <w:szCs w:val="20"/>
        </w:rPr>
        <w:footnoteRef/>
      </w:r>
      <w:r w:rsidRPr="00827E31">
        <w:rPr>
          <w:sz w:val="20"/>
          <w:szCs w:val="20"/>
        </w:rPr>
        <w:t xml:space="preserve"> </w:t>
      </w:r>
      <w:r w:rsidRPr="00827E31">
        <w:rPr>
          <w:rFonts w:cs="Garamond"/>
          <w:color w:val="000000"/>
          <w:sz w:val="20"/>
          <w:szCs w:val="20"/>
        </w:rPr>
        <w:t xml:space="preserve">HRDINA, </w:t>
      </w:r>
      <w:r w:rsidRPr="00827E31">
        <w:rPr>
          <w:rFonts w:cs="Garamond"/>
          <w:i/>
          <w:iCs/>
          <w:color w:val="000000"/>
          <w:sz w:val="20"/>
          <w:szCs w:val="20"/>
        </w:rPr>
        <w:t>Kanonické právo</w:t>
      </w:r>
      <w:r w:rsidRPr="00827E31">
        <w:rPr>
          <w:rFonts w:cs="Garamond"/>
          <w:iCs/>
          <w:color w:val="000000"/>
          <w:sz w:val="20"/>
          <w:szCs w:val="20"/>
        </w:rPr>
        <w:t xml:space="preserve">, </w:t>
      </w:r>
      <w:r>
        <w:rPr>
          <w:rFonts w:cs="Garamond"/>
          <w:iCs/>
          <w:color w:val="000000"/>
          <w:sz w:val="20"/>
          <w:szCs w:val="20"/>
        </w:rPr>
        <w:t>s.</w:t>
      </w:r>
      <w:r w:rsidRPr="00827E31">
        <w:rPr>
          <w:rFonts w:cs="Garamond"/>
          <w:iCs/>
          <w:color w:val="000000"/>
          <w:sz w:val="20"/>
          <w:szCs w:val="20"/>
        </w:rPr>
        <w:t xml:space="preserve"> </w:t>
      </w:r>
      <w:r w:rsidRPr="00827E31">
        <w:rPr>
          <w:sz w:val="20"/>
          <w:szCs w:val="20"/>
        </w:rPr>
        <w:t>267.</w:t>
      </w:r>
    </w:p>
  </w:footnote>
  <w:footnote w:id="158">
    <w:p w14:paraId="3F04DFD8" w14:textId="77777777" w:rsidR="00F26821" w:rsidRPr="00827E31" w:rsidRDefault="00F26821" w:rsidP="00013FD6">
      <w:pPr>
        <w:pStyle w:val="Textpoznpodarou"/>
        <w:spacing w:line="240" w:lineRule="auto"/>
      </w:pPr>
      <w:r w:rsidRPr="00827E31">
        <w:rPr>
          <w:rStyle w:val="Znakapoznpodarou"/>
        </w:rPr>
        <w:footnoteRef/>
      </w:r>
      <w:r w:rsidRPr="00827E31">
        <w:t xml:space="preserve"> Kán. 1362 § 1 a 2 CIC.</w:t>
      </w:r>
    </w:p>
  </w:footnote>
  <w:footnote w:id="159">
    <w:p w14:paraId="390C2880" w14:textId="77777777" w:rsidR="00F26821" w:rsidRPr="007B1EED" w:rsidRDefault="00F26821" w:rsidP="00013FD6">
      <w:pPr>
        <w:autoSpaceDE w:val="0"/>
        <w:autoSpaceDN w:val="0"/>
        <w:adjustRightInd w:val="0"/>
        <w:spacing w:line="240" w:lineRule="auto"/>
        <w:rPr>
          <w:sz w:val="20"/>
          <w:szCs w:val="20"/>
        </w:rPr>
      </w:pPr>
      <w:r w:rsidRPr="007B1EED">
        <w:rPr>
          <w:rStyle w:val="Znakapoznpodarou"/>
          <w:sz w:val="20"/>
          <w:szCs w:val="20"/>
        </w:rPr>
        <w:footnoteRef/>
      </w:r>
      <w:r w:rsidRPr="007B1EED">
        <w:rPr>
          <w:sz w:val="20"/>
          <w:szCs w:val="20"/>
        </w:rPr>
        <w:t xml:space="preserve"> T</w:t>
      </w:r>
      <w:r w:rsidRPr="007B1EED">
        <w:rPr>
          <w:rFonts w:cs="TimesNewRomanPSMT"/>
          <w:sz w:val="20"/>
          <w:szCs w:val="20"/>
        </w:rPr>
        <w:t>restné činy uvedené v kán. 1376, 1377, 1378, 1393 § 1, 1394, 1395, 1397, 1398 § 2 CIC.</w:t>
      </w:r>
    </w:p>
  </w:footnote>
  <w:footnote w:id="160">
    <w:p w14:paraId="227A97D5" w14:textId="77777777" w:rsidR="00F26821" w:rsidRPr="007B1EED" w:rsidRDefault="00F26821" w:rsidP="006A0107">
      <w:pPr>
        <w:autoSpaceDE w:val="0"/>
        <w:autoSpaceDN w:val="0"/>
        <w:adjustRightInd w:val="0"/>
        <w:spacing w:line="240" w:lineRule="auto"/>
        <w:rPr>
          <w:rFonts w:cs="TimesNewRomanPSMT"/>
          <w:sz w:val="20"/>
          <w:szCs w:val="20"/>
        </w:rPr>
      </w:pPr>
      <w:r w:rsidRPr="007B1EED">
        <w:rPr>
          <w:rStyle w:val="Znakapoznpodarou"/>
          <w:sz w:val="20"/>
          <w:szCs w:val="20"/>
        </w:rPr>
        <w:footnoteRef/>
      </w:r>
      <w:r w:rsidRPr="007B1EED">
        <w:rPr>
          <w:sz w:val="20"/>
          <w:szCs w:val="20"/>
        </w:rPr>
        <w:t xml:space="preserve"> T</w:t>
      </w:r>
      <w:r w:rsidRPr="007B1EED">
        <w:rPr>
          <w:rFonts w:cs="TimesNewRomanPSMT"/>
          <w:sz w:val="20"/>
          <w:szCs w:val="20"/>
        </w:rPr>
        <w:t>restné činy uvedené v kán. 1398 § 1 CIC; jde především o spáchání trestného činu proti šestému přikázání Desatera s nezletilým a výrobu, uchovávání či rozšiřování pornografického vyobrazení nezletilých.</w:t>
      </w:r>
    </w:p>
  </w:footnote>
  <w:footnote w:id="161">
    <w:p w14:paraId="541F9E58" w14:textId="291CA99F" w:rsidR="00F26821" w:rsidRPr="00013FD6" w:rsidRDefault="00F26821" w:rsidP="006A0107">
      <w:pPr>
        <w:pStyle w:val="Textpoznpodarou"/>
        <w:spacing w:line="240" w:lineRule="auto"/>
      </w:pPr>
      <w:r w:rsidRPr="00013FD6">
        <w:rPr>
          <w:rStyle w:val="Znakapoznpodarou"/>
        </w:rPr>
        <w:footnoteRef/>
      </w:r>
      <w:r w:rsidRPr="00013FD6">
        <w:t xml:space="preserve"> Jejich v</w:t>
      </w:r>
      <w:r>
        <w:t>ýčet obsahuje především čl. 2</w:t>
      </w:r>
      <w:r w:rsidRPr="00540B67">
        <w:rPr>
          <w:rFonts w:cs="Garamond"/>
        </w:rPr>
        <w:sym w:font="Symbol" w:char="F02D"/>
      </w:r>
      <w:r w:rsidRPr="00013FD6">
        <w:t xml:space="preserve">6 </w:t>
      </w:r>
      <w:r w:rsidRPr="00A0212A">
        <w:t>Norem</w:t>
      </w:r>
      <w:r w:rsidRPr="00013FD6">
        <w:t xml:space="preserve"> (tento </w:t>
      </w:r>
      <w:r w:rsidRPr="00013FD6">
        <w:rPr>
          <w:rFonts w:cs="Garamond"/>
        </w:rPr>
        <w:t>katalog byl souča</w:t>
      </w:r>
      <w:r>
        <w:rPr>
          <w:rFonts w:cs="Garamond"/>
        </w:rPr>
        <w:t xml:space="preserve">sně s novelou Kodexu rozšířen). </w:t>
      </w:r>
      <w:r w:rsidRPr="00013FD6">
        <w:t>Apoštolskému stolci je v těchto případech vyh</w:t>
      </w:r>
      <w:r>
        <w:t xml:space="preserve">razeno už samo projednání věci, </w:t>
      </w:r>
      <w:r w:rsidRPr="00013FD6">
        <w:t xml:space="preserve">které je ovšem </w:t>
      </w:r>
      <w:proofErr w:type="spellStart"/>
      <w:r>
        <w:t>delegovatelné</w:t>
      </w:r>
      <w:proofErr w:type="spellEnd"/>
      <w:r>
        <w:t xml:space="preserve"> na nižší instance </w:t>
      </w:r>
      <w:r w:rsidRPr="00013FD6">
        <w:t xml:space="preserve">[HRDINA, </w:t>
      </w:r>
      <w:r w:rsidRPr="00013FD6">
        <w:rPr>
          <w:i/>
        </w:rPr>
        <w:t>Co se (ne)změnilo rekodifikací kanonického trestního práva hmotného</w:t>
      </w:r>
      <w:r w:rsidRPr="00013FD6">
        <w:t xml:space="preserve">, </w:t>
      </w:r>
      <w:r>
        <w:t>s.</w:t>
      </w:r>
      <w:r w:rsidRPr="00013FD6">
        <w:t xml:space="preserve"> 17].</w:t>
      </w:r>
    </w:p>
  </w:footnote>
  <w:footnote w:id="162">
    <w:p w14:paraId="5C0A793F" w14:textId="0B8A0D29" w:rsidR="00F26821" w:rsidRPr="009D7C5D" w:rsidRDefault="00F26821" w:rsidP="006A0107">
      <w:pPr>
        <w:spacing w:line="240" w:lineRule="auto"/>
        <w:rPr>
          <w:sz w:val="20"/>
          <w:szCs w:val="20"/>
        </w:rPr>
      </w:pPr>
      <w:r w:rsidRPr="009D7C5D">
        <w:rPr>
          <w:rStyle w:val="Znakapoznpodarou"/>
          <w:sz w:val="20"/>
          <w:szCs w:val="20"/>
        </w:rPr>
        <w:footnoteRef/>
      </w:r>
      <w:r w:rsidRPr="009D7C5D">
        <w:rPr>
          <w:sz w:val="20"/>
          <w:szCs w:val="20"/>
        </w:rPr>
        <w:t xml:space="preserve"> </w:t>
      </w:r>
      <w:r w:rsidRPr="009D7C5D">
        <w:rPr>
          <w:rFonts w:cs="Garamond"/>
          <w:color w:val="000000"/>
          <w:sz w:val="20"/>
          <w:szCs w:val="20"/>
        </w:rPr>
        <w:t xml:space="preserve">HRDINA, </w:t>
      </w:r>
      <w:r w:rsidRPr="009D7C5D">
        <w:rPr>
          <w:rFonts w:cs="Garamond"/>
          <w:i/>
          <w:iCs/>
          <w:color w:val="000000"/>
          <w:sz w:val="20"/>
          <w:szCs w:val="20"/>
        </w:rPr>
        <w:t>Kanonické právo</w:t>
      </w:r>
      <w:r w:rsidRPr="009D7C5D">
        <w:rPr>
          <w:rFonts w:cs="Garamond"/>
          <w:iCs/>
          <w:color w:val="000000"/>
          <w:sz w:val="20"/>
          <w:szCs w:val="20"/>
        </w:rPr>
        <w:t xml:space="preserve">, </w:t>
      </w:r>
      <w:r>
        <w:rPr>
          <w:rFonts w:cs="Garamond"/>
          <w:iCs/>
          <w:color w:val="000000"/>
          <w:sz w:val="20"/>
          <w:szCs w:val="20"/>
        </w:rPr>
        <w:t>s.</w:t>
      </w:r>
      <w:r w:rsidRPr="009D7C5D">
        <w:rPr>
          <w:rFonts w:cs="Garamond"/>
          <w:iCs/>
          <w:color w:val="000000"/>
          <w:sz w:val="20"/>
          <w:szCs w:val="20"/>
        </w:rPr>
        <w:t xml:space="preserve"> </w:t>
      </w:r>
      <w:r w:rsidRPr="009D7C5D">
        <w:rPr>
          <w:sz w:val="20"/>
          <w:szCs w:val="20"/>
        </w:rPr>
        <w:t>268.</w:t>
      </w:r>
    </w:p>
  </w:footnote>
  <w:footnote w:id="163">
    <w:p w14:paraId="3C204FE5" w14:textId="29965892" w:rsidR="00F26821" w:rsidRDefault="00F26821" w:rsidP="006A0107">
      <w:pPr>
        <w:pStyle w:val="Textpoznpodarou"/>
        <w:spacing w:line="240" w:lineRule="auto"/>
      </w:pPr>
      <w:r>
        <w:rPr>
          <w:rStyle w:val="Znakapoznpodarou"/>
        </w:rPr>
        <w:footnoteRef/>
      </w:r>
      <w:r>
        <w:t xml:space="preserve"> </w:t>
      </w:r>
      <w:r w:rsidRPr="003033BA">
        <w:t>Původní znění z roku 2001 stanovilo 10 let</w:t>
      </w:r>
      <w:r>
        <w:t>, avšak již novelizací z 21. 5. 2010 byla tato doba prodloužena.</w:t>
      </w:r>
    </w:p>
  </w:footnote>
  <w:footnote w:id="164">
    <w:p w14:paraId="18DA5994" w14:textId="77777777" w:rsidR="00F26821" w:rsidRPr="009D7C5D" w:rsidRDefault="00F26821" w:rsidP="006A0107">
      <w:pPr>
        <w:pStyle w:val="Textpoznpodarou"/>
        <w:spacing w:line="240" w:lineRule="auto"/>
      </w:pPr>
      <w:r w:rsidRPr="009D7C5D">
        <w:rPr>
          <w:rStyle w:val="Znakapoznpodarou"/>
        </w:rPr>
        <w:footnoteRef/>
      </w:r>
      <w:r w:rsidRPr="009D7C5D">
        <w:t xml:space="preserve"> Čl. 8 § 1 až 3 Norem.</w:t>
      </w:r>
    </w:p>
  </w:footnote>
  <w:footnote w:id="165">
    <w:p w14:paraId="0BAB47A1" w14:textId="6F9F5B33" w:rsidR="00F26821" w:rsidRPr="009D7C5D" w:rsidRDefault="00F26821" w:rsidP="006A0107">
      <w:pPr>
        <w:pStyle w:val="Textpoznpodarou"/>
        <w:spacing w:line="240" w:lineRule="auto"/>
      </w:pPr>
      <w:r w:rsidRPr="009D7C5D">
        <w:rPr>
          <w:rStyle w:val="Znakapoznpodarou"/>
        </w:rPr>
        <w:footnoteRef/>
      </w:r>
      <w:r w:rsidRPr="009D7C5D">
        <w:t xml:space="preserve"> Kán. </w:t>
      </w:r>
      <w:r w:rsidRPr="009D7C5D">
        <w:rPr>
          <w:rFonts w:cs="TimesNewRomanPS-BoldMT"/>
          <w:bCs/>
        </w:rPr>
        <w:t xml:space="preserve">1362 </w:t>
      </w:r>
      <w:r w:rsidRPr="009D7C5D">
        <w:rPr>
          <w:rFonts w:cs="TimesNewRomanPSMT"/>
        </w:rPr>
        <w:t xml:space="preserve">§ 1 </w:t>
      </w:r>
      <w:r>
        <w:rPr>
          <w:rFonts w:cs="TimesNewRomanPSMT"/>
        </w:rPr>
        <w:t>odst.</w:t>
      </w:r>
      <w:r w:rsidRPr="009D7C5D">
        <w:rPr>
          <w:rFonts w:cs="TimesNewRomanPSMT"/>
        </w:rPr>
        <w:t xml:space="preserve"> 3 CIC.</w:t>
      </w:r>
    </w:p>
  </w:footnote>
  <w:footnote w:id="166">
    <w:p w14:paraId="44E79C31" w14:textId="77777777" w:rsidR="00F26821" w:rsidRPr="009D7C5D" w:rsidRDefault="00F26821" w:rsidP="006A0107">
      <w:pPr>
        <w:pStyle w:val="l5"/>
        <w:shd w:val="clear" w:color="auto" w:fill="FFFFFF"/>
        <w:spacing w:before="0" w:beforeAutospacing="0" w:after="0" w:afterAutospacing="0"/>
        <w:jc w:val="both"/>
        <w:rPr>
          <w:rFonts w:ascii="Garamond" w:hAnsi="Garamond" w:cs="TimesNewRomanPSMT"/>
          <w:sz w:val="20"/>
          <w:szCs w:val="20"/>
        </w:rPr>
      </w:pPr>
      <w:r w:rsidRPr="009D7C5D">
        <w:rPr>
          <w:rFonts w:ascii="Garamond" w:hAnsi="Garamond" w:cs="TimesNewRomanPSMT"/>
          <w:sz w:val="20"/>
          <w:szCs w:val="20"/>
          <w:vertAlign w:val="superscript"/>
        </w:rPr>
        <w:footnoteRef/>
      </w:r>
      <w:r w:rsidRPr="009D7C5D">
        <w:rPr>
          <w:rFonts w:ascii="Garamond" w:hAnsi="Garamond" w:cs="TimesNewRomanPSMT"/>
          <w:sz w:val="20"/>
          <w:szCs w:val="20"/>
        </w:rPr>
        <w:t xml:space="preserve"> § 89 ZSS.</w:t>
      </w:r>
    </w:p>
  </w:footnote>
  <w:footnote w:id="167">
    <w:p w14:paraId="045FE031" w14:textId="77777777" w:rsidR="00F26821" w:rsidRPr="00D55313" w:rsidRDefault="00F26821" w:rsidP="006A0107">
      <w:pPr>
        <w:spacing w:line="240" w:lineRule="auto"/>
        <w:rPr>
          <w:rFonts w:cs="Arial"/>
          <w:sz w:val="20"/>
          <w:szCs w:val="20"/>
        </w:rPr>
      </w:pPr>
      <w:r w:rsidRPr="00D55313">
        <w:rPr>
          <w:rStyle w:val="Znakapoznpodarou"/>
          <w:sz w:val="20"/>
          <w:szCs w:val="20"/>
        </w:rPr>
        <w:footnoteRef/>
      </w:r>
      <w:r w:rsidRPr="00D55313">
        <w:rPr>
          <w:rFonts w:cs="Arial"/>
          <w:sz w:val="20"/>
          <w:szCs w:val="20"/>
        </w:rPr>
        <w:t xml:space="preserve"> Resp. od okamžiku, kdy byly kárnému navrhovateli informace o tomto jednání předloženy (dostaly se do jeho sféry) v takové formě, že mohl protiprávní jednání bez pochybností identifikovat [rozhodnutí NSS </w:t>
      </w:r>
      <w:r w:rsidRPr="00D55313">
        <w:rPr>
          <w:sz w:val="20"/>
          <w:szCs w:val="20"/>
        </w:rPr>
        <w:t xml:space="preserve">ze dne 18. 1. 2012, č. j. </w:t>
      </w:r>
      <w:r w:rsidRPr="00D55313">
        <w:rPr>
          <w:rFonts w:cs="Arial"/>
          <w:sz w:val="20"/>
          <w:szCs w:val="20"/>
        </w:rPr>
        <w:t>11 </w:t>
      </w:r>
      <w:proofErr w:type="spellStart"/>
      <w:r w:rsidRPr="00D55313">
        <w:rPr>
          <w:rFonts w:cs="Arial"/>
          <w:sz w:val="20"/>
          <w:szCs w:val="20"/>
        </w:rPr>
        <w:t>Kss</w:t>
      </w:r>
      <w:proofErr w:type="spellEnd"/>
      <w:r w:rsidRPr="00D55313">
        <w:rPr>
          <w:rFonts w:cs="Arial"/>
          <w:sz w:val="20"/>
          <w:szCs w:val="20"/>
        </w:rPr>
        <w:t> 18/2011-251].</w:t>
      </w:r>
    </w:p>
  </w:footnote>
  <w:footnote w:id="168">
    <w:p w14:paraId="6D2869DA" w14:textId="77777777" w:rsidR="00F26821" w:rsidRPr="009D7C5D" w:rsidRDefault="00F26821" w:rsidP="006A0107">
      <w:pPr>
        <w:pStyle w:val="Textpoznpodarou"/>
        <w:spacing w:line="240" w:lineRule="auto"/>
        <w:rPr>
          <w:rFonts w:cs="TimesNewRomanPSMT"/>
        </w:rPr>
      </w:pPr>
      <w:r w:rsidRPr="009D7C5D">
        <w:rPr>
          <w:rStyle w:val="Znakapoznpodarou"/>
        </w:rPr>
        <w:footnoteRef/>
      </w:r>
      <w:r w:rsidRPr="009D7C5D">
        <w:t xml:space="preserve"> § 9 odst. 1 </w:t>
      </w:r>
      <w:r w:rsidRPr="009D7C5D">
        <w:rPr>
          <w:rFonts w:cs="TimesNewRomanPSMT"/>
        </w:rPr>
        <w:t>KŘ.</w:t>
      </w:r>
      <w:r>
        <w:rPr>
          <w:rFonts w:cs="TimesNewRomanPSMT"/>
        </w:rPr>
        <w:t xml:space="preserve"> </w:t>
      </w:r>
      <w:r>
        <w:rPr>
          <w:shd w:val="clear" w:color="auto" w:fill="FFFFFF"/>
        </w:rPr>
        <w:t xml:space="preserve">Zakotvení </w:t>
      </w:r>
      <w:r w:rsidRPr="00430B73">
        <w:rPr>
          <w:shd w:val="clear" w:color="auto" w:fill="FFFFFF"/>
        </w:rPr>
        <w:t xml:space="preserve">objektivní </w:t>
      </w:r>
      <w:r>
        <w:rPr>
          <w:shd w:val="clear" w:color="auto" w:fill="FFFFFF"/>
        </w:rPr>
        <w:t xml:space="preserve">procesní lhůty se však vzhledem ke stejné délce </w:t>
      </w:r>
      <w:r>
        <w:t>objektivní hmotněprávní lhůty jeví poněkud nadbytečné.</w:t>
      </w:r>
    </w:p>
  </w:footnote>
  <w:footnote w:id="169">
    <w:p w14:paraId="4271B6EC" w14:textId="77777777" w:rsidR="00F26821" w:rsidRPr="009D7C5D" w:rsidRDefault="00F26821" w:rsidP="006A0107">
      <w:pPr>
        <w:pStyle w:val="Textpoznpodarou"/>
        <w:spacing w:line="240" w:lineRule="auto"/>
      </w:pPr>
      <w:r w:rsidRPr="009D7C5D">
        <w:rPr>
          <w:rStyle w:val="Znakapoznpodarou"/>
        </w:rPr>
        <w:footnoteRef/>
      </w:r>
      <w:r w:rsidRPr="009D7C5D">
        <w:t xml:space="preserve"> § 14 písm. a) KŘ.</w:t>
      </w:r>
    </w:p>
  </w:footnote>
  <w:footnote w:id="170">
    <w:p w14:paraId="1F8356C6" w14:textId="77777777" w:rsidR="00F26821" w:rsidRPr="003E1E05" w:rsidRDefault="00F26821" w:rsidP="003E1E05">
      <w:pPr>
        <w:pStyle w:val="Textpoznpodarou"/>
        <w:spacing w:line="240" w:lineRule="auto"/>
      </w:pPr>
      <w:r w:rsidRPr="003E1E05">
        <w:rPr>
          <w:rStyle w:val="Znakapoznpodarou"/>
        </w:rPr>
        <w:footnoteRef/>
      </w:r>
      <w:r w:rsidRPr="003E1E05">
        <w:t xml:space="preserve"> Kán. 1318 CIC.</w:t>
      </w:r>
    </w:p>
  </w:footnote>
  <w:footnote w:id="171">
    <w:p w14:paraId="0CA4B802" w14:textId="6A8520BE" w:rsidR="00F26821" w:rsidRPr="003E1E05" w:rsidRDefault="00F26821" w:rsidP="003E1E05">
      <w:pPr>
        <w:pStyle w:val="Odstavecseseznamem"/>
        <w:spacing w:after="0" w:line="240" w:lineRule="auto"/>
        <w:ind w:left="0"/>
        <w:rPr>
          <w:rFonts w:ascii="Garamond" w:hAnsi="Garamond"/>
          <w:sz w:val="20"/>
          <w:szCs w:val="20"/>
        </w:rPr>
      </w:pPr>
      <w:r w:rsidRPr="003E1E05">
        <w:rPr>
          <w:rStyle w:val="Znakapoznpodarou"/>
          <w:rFonts w:ascii="Garamond" w:hAnsi="Garamond"/>
          <w:sz w:val="20"/>
          <w:szCs w:val="20"/>
        </w:rPr>
        <w:footnoteRef/>
      </w:r>
      <w:r w:rsidRPr="003E1E05">
        <w:rPr>
          <w:rFonts w:ascii="Garamond" w:hAnsi="Garamond"/>
          <w:sz w:val="20"/>
          <w:szCs w:val="20"/>
        </w:rPr>
        <w:t xml:space="preserve"> Kán. 1314 CIC; </w:t>
      </w:r>
      <w:r w:rsidRPr="003E1E05">
        <w:rPr>
          <w:rFonts w:ascii="Garamond" w:hAnsi="Garamond" w:cs="Garamond"/>
          <w:color w:val="000000"/>
          <w:sz w:val="20"/>
          <w:szCs w:val="20"/>
        </w:rPr>
        <w:t xml:space="preserve">HRDINA, </w:t>
      </w:r>
      <w:r w:rsidRPr="003E1E05">
        <w:rPr>
          <w:rFonts w:ascii="Garamond" w:hAnsi="Garamond" w:cs="Garamond"/>
          <w:i/>
          <w:iCs/>
          <w:color w:val="000000"/>
          <w:sz w:val="20"/>
          <w:szCs w:val="20"/>
        </w:rPr>
        <w:t>Kanonické právo</w:t>
      </w:r>
      <w:r w:rsidRPr="003E1E05">
        <w:rPr>
          <w:rFonts w:ascii="Garamond" w:hAnsi="Garamond" w:cs="Garamond"/>
          <w:iCs/>
          <w:color w:val="000000"/>
          <w:sz w:val="20"/>
          <w:szCs w:val="20"/>
        </w:rPr>
        <w:t xml:space="preserve">, </w:t>
      </w:r>
      <w:r>
        <w:rPr>
          <w:rFonts w:ascii="Garamond" w:hAnsi="Garamond" w:cs="Garamond"/>
          <w:iCs/>
          <w:color w:val="000000"/>
          <w:sz w:val="20"/>
          <w:szCs w:val="20"/>
        </w:rPr>
        <w:t>s.</w:t>
      </w:r>
      <w:r w:rsidRPr="003E1E05">
        <w:rPr>
          <w:rFonts w:ascii="Garamond" w:hAnsi="Garamond" w:cs="Garamond"/>
          <w:iCs/>
          <w:color w:val="000000"/>
          <w:sz w:val="20"/>
          <w:szCs w:val="20"/>
        </w:rPr>
        <w:t xml:space="preserve"> </w:t>
      </w:r>
      <w:r w:rsidRPr="003E1E05">
        <w:rPr>
          <w:rFonts w:ascii="Garamond" w:hAnsi="Garamond"/>
          <w:sz w:val="20"/>
          <w:szCs w:val="20"/>
        </w:rPr>
        <w:t>270.</w:t>
      </w:r>
    </w:p>
  </w:footnote>
  <w:footnote w:id="172">
    <w:p w14:paraId="2633E28B" w14:textId="6A00D1BC" w:rsidR="00F26821" w:rsidRPr="00631DFA" w:rsidRDefault="00F26821" w:rsidP="003E1E05">
      <w:pPr>
        <w:pStyle w:val="Default"/>
        <w:jc w:val="both"/>
        <w:rPr>
          <w:color w:val="auto"/>
          <w:sz w:val="20"/>
          <w:szCs w:val="20"/>
        </w:rPr>
      </w:pPr>
      <w:r w:rsidRPr="00631DFA">
        <w:rPr>
          <w:rStyle w:val="Znakapoznpodarou"/>
          <w:color w:val="auto"/>
          <w:sz w:val="20"/>
          <w:szCs w:val="20"/>
        </w:rPr>
        <w:footnoteRef/>
      </w:r>
      <w:r w:rsidRPr="00631DFA">
        <w:rPr>
          <w:color w:val="auto"/>
          <w:sz w:val="20"/>
          <w:szCs w:val="20"/>
        </w:rPr>
        <w:t xml:space="preserve"> Kanonické právo totiž rozlišuje obor vnější (</w:t>
      </w:r>
      <w:proofErr w:type="spellStart"/>
      <w:r w:rsidRPr="00631DFA">
        <w:rPr>
          <w:i/>
          <w:color w:val="auto"/>
          <w:sz w:val="20"/>
          <w:szCs w:val="20"/>
        </w:rPr>
        <w:t>forum</w:t>
      </w:r>
      <w:proofErr w:type="spellEnd"/>
      <w:r w:rsidRPr="00631DFA">
        <w:rPr>
          <w:i/>
          <w:color w:val="auto"/>
          <w:sz w:val="20"/>
          <w:szCs w:val="20"/>
        </w:rPr>
        <w:t xml:space="preserve"> </w:t>
      </w:r>
      <w:proofErr w:type="spellStart"/>
      <w:r w:rsidRPr="00631DFA">
        <w:rPr>
          <w:i/>
          <w:color w:val="auto"/>
          <w:sz w:val="20"/>
          <w:szCs w:val="20"/>
        </w:rPr>
        <w:t>externum</w:t>
      </w:r>
      <w:proofErr w:type="spellEnd"/>
      <w:r w:rsidRPr="00631DFA">
        <w:rPr>
          <w:color w:val="auto"/>
          <w:sz w:val="20"/>
          <w:szCs w:val="20"/>
        </w:rPr>
        <w:t>), který je dokazatelný a v němž se odehrává drtivá většina právního dění, a obor vnitřní (</w:t>
      </w:r>
      <w:proofErr w:type="spellStart"/>
      <w:r w:rsidRPr="00631DFA">
        <w:rPr>
          <w:i/>
          <w:color w:val="auto"/>
          <w:sz w:val="20"/>
          <w:szCs w:val="20"/>
        </w:rPr>
        <w:t>forum</w:t>
      </w:r>
      <w:proofErr w:type="spellEnd"/>
      <w:r w:rsidRPr="00631DFA">
        <w:rPr>
          <w:i/>
          <w:color w:val="auto"/>
          <w:sz w:val="20"/>
          <w:szCs w:val="20"/>
        </w:rPr>
        <w:t xml:space="preserve"> </w:t>
      </w:r>
      <w:proofErr w:type="spellStart"/>
      <w:r w:rsidRPr="00631DFA">
        <w:rPr>
          <w:i/>
          <w:color w:val="auto"/>
          <w:sz w:val="20"/>
          <w:szCs w:val="20"/>
        </w:rPr>
        <w:t>internum</w:t>
      </w:r>
      <w:proofErr w:type="spellEnd"/>
      <w:r w:rsidRPr="00631DFA">
        <w:rPr>
          <w:color w:val="auto"/>
          <w:sz w:val="20"/>
          <w:szCs w:val="20"/>
        </w:rPr>
        <w:t xml:space="preserve">) čili obor svědomí [HRDINA, </w:t>
      </w:r>
      <w:r w:rsidRPr="00631DFA">
        <w:rPr>
          <w:rFonts w:cs="Arial"/>
          <w:i/>
          <w:color w:val="auto"/>
          <w:sz w:val="20"/>
          <w:szCs w:val="20"/>
          <w:shd w:val="clear" w:color="auto" w:fill="FFFFFF"/>
        </w:rPr>
        <w:t>Fungování církevních soudů v trestních věcech</w:t>
      </w:r>
      <w:r w:rsidRPr="00631DFA">
        <w:rPr>
          <w:color w:val="auto"/>
          <w:sz w:val="20"/>
          <w:szCs w:val="20"/>
        </w:rPr>
        <w:t xml:space="preserve">, </w:t>
      </w:r>
      <w:r>
        <w:rPr>
          <w:color w:val="auto"/>
          <w:sz w:val="20"/>
          <w:szCs w:val="20"/>
        </w:rPr>
        <w:t>s.</w:t>
      </w:r>
      <w:r w:rsidRPr="00631DFA">
        <w:rPr>
          <w:color w:val="auto"/>
          <w:sz w:val="20"/>
          <w:szCs w:val="20"/>
        </w:rPr>
        <w:t xml:space="preserve"> 235].</w:t>
      </w:r>
    </w:p>
  </w:footnote>
  <w:footnote w:id="173">
    <w:p w14:paraId="2F86C2B8" w14:textId="572410FA" w:rsidR="00F26821" w:rsidRPr="003E1E05" w:rsidRDefault="00F26821" w:rsidP="00763E96">
      <w:pPr>
        <w:pStyle w:val="Default"/>
        <w:jc w:val="both"/>
        <w:rPr>
          <w:color w:val="auto"/>
          <w:sz w:val="20"/>
          <w:szCs w:val="20"/>
        </w:rPr>
      </w:pPr>
      <w:r w:rsidRPr="003E1E05">
        <w:rPr>
          <w:rStyle w:val="Znakapoznpodarou"/>
          <w:color w:val="auto"/>
          <w:sz w:val="20"/>
          <w:szCs w:val="20"/>
        </w:rPr>
        <w:footnoteRef/>
      </w:r>
      <w:r w:rsidRPr="003E1E05">
        <w:rPr>
          <w:color w:val="auto"/>
          <w:sz w:val="20"/>
          <w:szCs w:val="20"/>
        </w:rPr>
        <w:t xml:space="preserve"> HRDINA,</w:t>
      </w:r>
      <w:r w:rsidRPr="003E1E05">
        <w:rPr>
          <w:rFonts w:cs="Arial"/>
          <w:color w:val="auto"/>
          <w:sz w:val="20"/>
          <w:szCs w:val="20"/>
          <w:shd w:val="clear" w:color="auto" w:fill="FFFFFF"/>
        </w:rPr>
        <w:t xml:space="preserve"> </w:t>
      </w:r>
      <w:r w:rsidRPr="003E1E05">
        <w:rPr>
          <w:rFonts w:cs="Arial"/>
          <w:i/>
          <w:color w:val="auto"/>
          <w:sz w:val="20"/>
          <w:szCs w:val="20"/>
          <w:shd w:val="clear" w:color="auto" w:fill="FFFFFF"/>
        </w:rPr>
        <w:t>Fungování církevních soudů v trestních věcech</w:t>
      </w:r>
      <w:r w:rsidRPr="003E1E05">
        <w:rPr>
          <w:color w:val="auto"/>
          <w:sz w:val="20"/>
          <w:szCs w:val="20"/>
        </w:rPr>
        <w:t xml:space="preserve">, </w:t>
      </w:r>
      <w:r>
        <w:rPr>
          <w:color w:val="auto"/>
          <w:sz w:val="20"/>
          <w:szCs w:val="20"/>
        </w:rPr>
        <w:t>s.</w:t>
      </w:r>
      <w:r w:rsidRPr="003E1E05">
        <w:rPr>
          <w:color w:val="auto"/>
          <w:sz w:val="20"/>
          <w:szCs w:val="20"/>
        </w:rPr>
        <w:t xml:space="preserve"> 235.</w:t>
      </w:r>
    </w:p>
  </w:footnote>
  <w:footnote w:id="174">
    <w:p w14:paraId="5FE8C69D" w14:textId="6FE95F81" w:rsidR="00F26821" w:rsidRPr="003E1E05" w:rsidRDefault="00F26821" w:rsidP="002661B6">
      <w:pPr>
        <w:pStyle w:val="Odstavecseseznamem"/>
        <w:spacing w:after="0" w:line="240" w:lineRule="auto"/>
        <w:ind w:left="0"/>
        <w:rPr>
          <w:rFonts w:ascii="Garamond" w:hAnsi="Garamond"/>
          <w:sz w:val="20"/>
          <w:szCs w:val="20"/>
        </w:rPr>
      </w:pPr>
      <w:r w:rsidRPr="003E1E05">
        <w:rPr>
          <w:rStyle w:val="Znakapoznpodarou"/>
          <w:rFonts w:ascii="Garamond" w:hAnsi="Garamond"/>
          <w:sz w:val="20"/>
          <w:szCs w:val="20"/>
        </w:rPr>
        <w:footnoteRef/>
      </w:r>
      <w:r w:rsidRPr="003E1E05">
        <w:rPr>
          <w:rFonts w:ascii="Garamond" w:hAnsi="Garamond"/>
          <w:sz w:val="20"/>
          <w:szCs w:val="20"/>
        </w:rPr>
        <w:t xml:space="preserve"> </w:t>
      </w:r>
      <w:r w:rsidRPr="003E1E05">
        <w:rPr>
          <w:rFonts w:ascii="Garamond" w:hAnsi="Garamond" w:cs="Garamond"/>
          <w:color w:val="000000"/>
          <w:sz w:val="20"/>
          <w:szCs w:val="20"/>
        </w:rPr>
        <w:t xml:space="preserve">TRETERA, HORÁK, </w:t>
      </w:r>
      <w:r>
        <w:rPr>
          <w:rFonts w:ascii="Garamond" w:hAnsi="Garamond" w:cs="Garamond"/>
          <w:color w:val="000000"/>
          <w:sz w:val="20"/>
          <w:szCs w:val="20"/>
        </w:rPr>
        <w:t>s.</w:t>
      </w:r>
      <w:r w:rsidRPr="003E1E05">
        <w:rPr>
          <w:rFonts w:ascii="Garamond" w:hAnsi="Garamond"/>
          <w:sz w:val="20"/>
          <w:szCs w:val="20"/>
        </w:rPr>
        <w:t xml:space="preserve"> 334.</w:t>
      </w:r>
    </w:p>
  </w:footnote>
  <w:footnote w:id="175">
    <w:p w14:paraId="0018509A" w14:textId="492A5F9F" w:rsidR="00F26821" w:rsidRPr="003E1E05" w:rsidRDefault="00F26821" w:rsidP="002661B6">
      <w:pPr>
        <w:pStyle w:val="Odstavecseseznamem"/>
        <w:spacing w:after="0" w:line="240" w:lineRule="auto"/>
        <w:ind w:left="0"/>
        <w:rPr>
          <w:rFonts w:ascii="Garamond" w:hAnsi="Garamond"/>
          <w:sz w:val="20"/>
          <w:szCs w:val="20"/>
        </w:rPr>
      </w:pPr>
      <w:r w:rsidRPr="003E1E05">
        <w:rPr>
          <w:rStyle w:val="Znakapoznpodarou"/>
          <w:rFonts w:ascii="Garamond" w:hAnsi="Garamond"/>
          <w:sz w:val="20"/>
          <w:szCs w:val="20"/>
        </w:rPr>
        <w:footnoteRef/>
      </w:r>
      <w:r w:rsidRPr="003E1E05">
        <w:rPr>
          <w:rFonts w:ascii="Garamond" w:hAnsi="Garamond"/>
          <w:sz w:val="20"/>
          <w:szCs w:val="20"/>
        </w:rPr>
        <w:t xml:space="preserve"> </w:t>
      </w:r>
      <w:r w:rsidRPr="003E1E05">
        <w:rPr>
          <w:rFonts w:ascii="Garamond" w:hAnsi="Garamond" w:cs="Garamond"/>
          <w:color w:val="000000"/>
          <w:sz w:val="20"/>
          <w:szCs w:val="20"/>
        </w:rPr>
        <w:t xml:space="preserve">HRDINA, </w:t>
      </w:r>
      <w:r w:rsidRPr="003E1E05">
        <w:rPr>
          <w:rFonts w:ascii="Garamond" w:hAnsi="Garamond" w:cs="Garamond"/>
          <w:i/>
          <w:iCs/>
          <w:color w:val="000000"/>
          <w:sz w:val="20"/>
          <w:szCs w:val="20"/>
        </w:rPr>
        <w:t>Kanonické právo</w:t>
      </w:r>
      <w:r w:rsidRPr="003E1E05">
        <w:rPr>
          <w:rFonts w:ascii="Garamond" w:hAnsi="Garamond" w:cs="Garamond"/>
          <w:iCs/>
          <w:color w:val="000000"/>
          <w:sz w:val="20"/>
          <w:szCs w:val="20"/>
        </w:rPr>
        <w:t xml:space="preserve">, </w:t>
      </w:r>
      <w:r>
        <w:rPr>
          <w:rFonts w:ascii="Garamond" w:hAnsi="Garamond" w:cs="Garamond"/>
          <w:iCs/>
          <w:color w:val="000000"/>
          <w:sz w:val="20"/>
          <w:szCs w:val="20"/>
        </w:rPr>
        <w:t>s.</w:t>
      </w:r>
      <w:r w:rsidRPr="003E1E05">
        <w:rPr>
          <w:rFonts w:ascii="Garamond" w:hAnsi="Garamond" w:cs="Garamond"/>
          <w:iCs/>
          <w:color w:val="000000"/>
          <w:sz w:val="20"/>
          <w:szCs w:val="20"/>
        </w:rPr>
        <w:t xml:space="preserve"> </w:t>
      </w:r>
      <w:r w:rsidRPr="003E1E05">
        <w:rPr>
          <w:rFonts w:ascii="Garamond" w:hAnsi="Garamond"/>
          <w:sz w:val="20"/>
          <w:szCs w:val="20"/>
        </w:rPr>
        <w:t>270.</w:t>
      </w:r>
    </w:p>
  </w:footnote>
  <w:footnote w:id="176">
    <w:p w14:paraId="3FD8D613" w14:textId="3D16624D" w:rsidR="00F26821" w:rsidRPr="003E1E05" w:rsidRDefault="00F26821" w:rsidP="002661B6">
      <w:pPr>
        <w:spacing w:line="240" w:lineRule="auto"/>
        <w:rPr>
          <w:sz w:val="20"/>
          <w:szCs w:val="20"/>
        </w:rPr>
      </w:pPr>
      <w:r w:rsidRPr="003E1E05">
        <w:rPr>
          <w:rStyle w:val="Znakapoznpodarou"/>
          <w:sz w:val="20"/>
          <w:szCs w:val="20"/>
        </w:rPr>
        <w:footnoteRef/>
      </w:r>
      <w:r w:rsidRPr="003E1E05">
        <w:rPr>
          <w:sz w:val="20"/>
          <w:szCs w:val="20"/>
        </w:rPr>
        <w:t xml:space="preserve"> HRDINA, </w:t>
      </w:r>
      <w:r w:rsidRPr="003E1E05">
        <w:rPr>
          <w:i/>
          <w:sz w:val="20"/>
          <w:szCs w:val="20"/>
        </w:rPr>
        <w:t>Co se (ne)změnilo rekodifikací kanonického trestního práva hmotného</w:t>
      </w:r>
      <w:r w:rsidRPr="003E1E05">
        <w:rPr>
          <w:sz w:val="20"/>
          <w:szCs w:val="20"/>
        </w:rPr>
        <w:t xml:space="preserve">, </w:t>
      </w:r>
      <w:r>
        <w:rPr>
          <w:sz w:val="20"/>
          <w:szCs w:val="20"/>
        </w:rPr>
        <w:t>s. 24</w:t>
      </w:r>
      <w:r w:rsidRPr="00540B67">
        <w:rPr>
          <w:rFonts w:cs="Garamond"/>
          <w:sz w:val="20"/>
          <w:szCs w:val="20"/>
        </w:rPr>
        <w:sym w:font="Symbol" w:char="F02D"/>
      </w:r>
      <w:r w:rsidRPr="003E1E05">
        <w:rPr>
          <w:sz w:val="20"/>
          <w:szCs w:val="20"/>
        </w:rPr>
        <w:t>25.</w:t>
      </w:r>
    </w:p>
  </w:footnote>
  <w:footnote w:id="177">
    <w:p w14:paraId="7C995E3B" w14:textId="77777777" w:rsidR="00F26821" w:rsidRPr="003E1E05" w:rsidRDefault="00F26821" w:rsidP="002661B6">
      <w:pPr>
        <w:pStyle w:val="Textpoznpodarou"/>
        <w:spacing w:line="240" w:lineRule="auto"/>
      </w:pPr>
      <w:r w:rsidRPr="003E1E05">
        <w:rPr>
          <w:rStyle w:val="Znakapoznpodarou"/>
        </w:rPr>
        <w:footnoteRef/>
      </w:r>
      <w:r w:rsidRPr="003E1E05">
        <w:t xml:space="preserve"> Ká</w:t>
      </w:r>
      <w:r w:rsidRPr="003E1E05">
        <w:rPr>
          <w:rFonts w:cs="Garamond"/>
        </w:rPr>
        <w:t>n. 916 CIC.</w:t>
      </w:r>
    </w:p>
  </w:footnote>
  <w:footnote w:id="178">
    <w:p w14:paraId="22C10847" w14:textId="0E62B6D8" w:rsidR="00F26821" w:rsidRPr="00C93BBC" w:rsidRDefault="00F26821" w:rsidP="002661B6">
      <w:pPr>
        <w:pStyle w:val="Textpoznpodarou"/>
        <w:spacing w:line="240" w:lineRule="auto"/>
      </w:pPr>
      <w:r w:rsidRPr="00C93BBC">
        <w:rPr>
          <w:rStyle w:val="Znakapoznpodarou"/>
        </w:rPr>
        <w:footnoteRef/>
      </w:r>
      <w:r w:rsidRPr="00C93BBC">
        <w:t xml:space="preserve"> N</w:t>
      </w:r>
      <w:r w:rsidRPr="00C93BBC">
        <w:rPr>
          <w:rFonts w:cs="Garamond"/>
        </w:rPr>
        <w:t>apř. podle kán. 1324 § 3 CIC nemůže věřící do samočinného trestu u</w:t>
      </w:r>
      <w:r>
        <w:rPr>
          <w:rFonts w:cs="Garamond"/>
        </w:rPr>
        <w:t>padnout, svědčí-li mu některá z </w:t>
      </w:r>
      <w:r w:rsidRPr="00C93BBC">
        <w:rPr>
          <w:rFonts w:cs="Garamond"/>
        </w:rPr>
        <w:t xml:space="preserve">polehčujících okolností podle § 1 téhož kánonu. Hrdina si klade otázku, kdo z právních laiků </w:t>
      </w:r>
      <w:r>
        <w:rPr>
          <w:rFonts w:cs="Garamond"/>
        </w:rPr>
        <w:t xml:space="preserve">(což upřímně vzato mohou často být i klerici) </w:t>
      </w:r>
      <w:r w:rsidRPr="00C93BBC">
        <w:rPr>
          <w:rFonts w:cs="Garamond"/>
        </w:rPr>
        <w:t>tato pravidla zná?</w:t>
      </w:r>
    </w:p>
  </w:footnote>
  <w:footnote w:id="179">
    <w:p w14:paraId="62675598" w14:textId="6847EDD5" w:rsidR="00F26821" w:rsidRPr="003E1E05" w:rsidRDefault="00F26821" w:rsidP="002661B6">
      <w:pPr>
        <w:pStyle w:val="Default"/>
        <w:jc w:val="both"/>
        <w:rPr>
          <w:color w:val="auto"/>
          <w:sz w:val="20"/>
          <w:szCs w:val="20"/>
        </w:rPr>
      </w:pPr>
      <w:r w:rsidRPr="003E1E05">
        <w:rPr>
          <w:rStyle w:val="Znakapoznpodarou"/>
          <w:color w:val="auto"/>
          <w:sz w:val="20"/>
          <w:szCs w:val="20"/>
        </w:rPr>
        <w:footnoteRef/>
      </w:r>
      <w:r w:rsidRPr="003E1E05">
        <w:rPr>
          <w:color w:val="auto"/>
          <w:sz w:val="20"/>
          <w:szCs w:val="20"/>
        </w:rPr>
        <w:t xml:space="preserve"> HRDINA,</w:t>
      </w:r>
      <w:r w:rsidRPr="003E1E05">
        <w:rPr>
          <w:rFonts w:cs="Arial"/>
          <w:color w:val="auto"/>
          <w:sz w:val="20"/>
          <w:szCs w:val="20"/>
          <w:shd w:val="clear" w:color="auto" w:fill="FFFFFF"/>
        </w:rPr>
        <w:t xml:space="preserve"> </w:t>
      </w:r>
      <w:r w:rsidRPr="003E1E05">
        <w:rPr>
          <w:rFonts w:cs="Arial"/>
          <w:i/>
          <w:color w:val="auto"/>
          <w:sz w:val="20"/>
          <w:szCs w:val="20"/>
          <w:shd w:val="clear" w:color="auto" w:fill="FFFFFF"/>
        </w:rPr>
        <w:t>Fungování církevních soudů v trestních věcech</w:t>
      </w:r>
      <w:r w:rsidRPr="003E1E05">
        <w:rPr>
          <w:color w:val="auto"/>
          <w:sz w:val="20"/>
          <w:szCs w:val="20"/>
        </w:rPr>
        <w:t xml:space="preserve">, </w:t>
      </w:r>
      <w:r>
        <w:rPr>
          <w:color w:val="auto"/>
          <w:sz w:val="20"/>
          <w:szCs w:val="20"/>
        </w:rPr>
        <w:t>s.</w:t>
      </w:r>
      <w:r w:rsidRPr="003E1E05">
        <w:rPr>
          <w:color w:val="auto"/>
          <w:sz w:val="20"/>
          <w:szCs w:val="20"/>
        </w:rPr>
        <w:t xml:space="preserve"> 235.</w:t>
      </w:r>
    </w:p>
  </w:footnote>
  <w:footnote w:id="180">
    <w:p w14:paraId="314BA533" w14:textId="49DF344D" w:rsidR="00F26821" w:rsidRPr="003E1E05" w:rsidRDefault="00F26821" w:rsidP="002661B6">
      <w:pPr>
        <w:spacing w:line="240" w:lineRule="auto"/>
        <w:rPr>
          <w:sz w:val="20"/>
          <w:szCs w:val="20"/>
        </w:rPr>
      </w:pPr>
      <w:r w:rsidRPr="003E1E05">
        <w:rPr>
          <w:rStyle w:val="Znakapoznpodarou"/>
          <w:sz w:val="20"/>
          <w:szCs w:val="20"/>
        </w:rPr>
        <w:footnoteRef/>
      </w:r>
      <w:r w:rsidRPr="003E1E05">
        <w:rPr>
          <w:sz w:val="20"/>
          <w:szCs w:val="20"/>
        </w:rPr>
        <w:t xml:space="preserve"> HRDINA, </w:t>
      </w:r>
      <w:r w:rsidRPr="003E1E05">
        <w:rPr>
          <w:i/>
          <w:sz w:val="20"/>
          <w:szCs w:val="20"/>
        </w:rPr>
        <w:t>Co se (ne)změnilo rekodifikací kanonického trestního práva hmotného</w:t>
      </w:r>
      <w:r w:rsidRPr="003E1E05">
        <w:rPr>
          <w:sz w:val="20"/>
          <w:szCs w:val="20"/>
        </w:rPr>
        <w:t xml:space="preserve">, </w:t>
      </w:r>
      <w:r>
        <w:rPr>
          <w:sz w:val="20"/>
          <w:szCs w:val="20"/>
        </w:rPr>
        <w:t>s. 24</w:t>
      </w:r>
      <w:r w:rsidRPr="00540B67">
        <w:rPr>
          <w:rFonts w:cs="Garamond"/>
          <w:sz w:val="20"/>
          <w:szCs w:val="20"/>
        </w:rPr>
        <w:sym w:font="Symbol" w:char="F02D"/>
      </w:r>
      <w:r w:rsidRPr="003E1E05">
        <w:rPr>
          <w:sz w:val="20"/>
          <w:szCs w:val="20"/>
        </w:rPr>
        <w:t>25.</w:t>
      </w:r>
    </w:p>
  </w:footnote>
  <w:footnote w:id="181">
    <w:p w14:paraId="3E0D6E78" w14:textId="77777777" w:rsidR="00F26821" w:rsidRPr="003E1E05" w:rsidRDefault="00F26821" w:rsidP="003E1E05">
      <w:pPr>
        <w:autoSpaceDE w:val="0"/>
        <w:autoSpaceDN w:val="0"/>
        <w:adjustRightInd w:val="0"/>
        <w:spacing w:line="240" w:lineRule="auto"/>
        <w:rPr>
          <w:rFonts w:cs="TimesNewRomanPSMT"/>
          <w:sz w:val="20"/>
          <w:szCs w:val="20"/>
        </w:rPr>
      </w:pPr>
      <w:r w:rsidRPr="003E1E05">
        <w:rPr>
          <w:rStyle w:val="Znakapoznpodarou"/>
          <w:sz w:val="20"/>
          <w:szCs w:val="20"/>
        </w:rPr>
        <w:footnoteRef/>
      </w:r>
      <w:r w:rsidRPr="003E1E05">
        <w:rPr>
          <w:sz w:val="20"/>
          <w:szCs w:val="20"/>
        </w:rPr>
        <w:t xml:space="preserve"> </w:t>
      </w:r>
      <w:r w:rsidRPr="003E1E05">
        <w:rPr>
          <w:rFonts w:cs="TimesNewRomanPS-BoldMT"/>
          <w:bCs/>
          <w:sz w:val="20"/>
          <w:szCs w:val="20"/>
        </w:rPr>
        <w:t>Kán. 1352 CIC.</w:t>
      </w:r>
    </w:p>
  </w:footnote>
  <w:footnote w:id="182">
    <w:p w14:paraId="2453BC60" w14:textId="2F616093" w:rsidR="00F26821" w:rsidRPr="003E1E05" w:rsidRDefault="00F26821" w:rsidP="003E1E05">
      <w:pPr>
        <w:pStyle w:val="Odstavecseseznamem"/>
        <w:spacing w:after="0" w:line="240" w:lineRule="auto"/>
        <w:ind w:left="0"/>
        <w:rPr>
          <w:rFonts w:ascii="Garamond" w:hAnsi="Garamond"/>
          <w:sz w:val="20"/>
          <w:szCs w:val="20"/>
        </w:rPr>
      </w:pPr>
      <w:r w:rsidRPr="003E1E05">
        <w:rPr>
          <w:rStyle w:val="Znakapoznpodarou"/>
          <w:rFonts w:ascii="Garamond" w:hAnsi="Garamond"/>
          <w:sz w:val="20"/>
          <w:szCs w:val="20"/>
        </w:rPr>
        <w:footnoteRef/>
      </w:r>
      <w:r w:rsidRPr="003E1E05">
        <w:rPr>
          <w:rFonts w:ascii="Garamond" w:hAnsi="Garamond"/>
          <w:sz w:val="20"/>
          <w:szCs w:val="20"/>
        </w:rPr>
        <w:t xml:space="preserve"> </w:t>
      </w:r>
      <w:r w:rsidRPr="003E1E05">
        <w:rPr>
          <w:rFonts w:ascii="Garamond" w:hAnsi="Garamond" w:cs="Garamond"/>
          <w:color w:val="000000"/>
          <w:sz w:val="20"/>
          <w:szCs w:val="20"/>
        </w:rPr>
        <w:t xml:space="preserve">HRDINA, </w:t>
      </w:r>
      <w:r w:rsidRPr="003E1E05">
        <w:rPr>
          <w:rFonts w:ascii="Garamond" w:hAnsi="Garamond" w:cs="Garamond"/>
          <w:i/>
          <w:iCs/>
          <w:color w:val="000000"/>
          <w:sz w:val="20"/>
          <w:szCs w:val="20"/>
        </w:rPr>
        <w:t>Kanonické právo</w:t>
      </w:r>
      <w:r w:rsidRPr="003E1E05">
        <w:rPr>
          <w:rFonts w:ascii="Garamond" w:hAnsi="Garamond" w:cs="Garamond"/>
          <w:iCs/>
          <w:color w:val="000000"/>
          <w:sz w:val="20"/>
          <w:szCs w:val="20"/>
        </w:rPr>
        <w:t xml:space="preserve">, </w:t>
      </w:r>
      <w:r>
        <w:rPr>
          <w:rFonts w:ascii="Garamond" w:hAnsi="Garamond" w:cs="Garamond"/>
          <w:iCs/>
          <w:color w:val="000000"/>
          <w:sz w:val="20"/>
          <w:szCs w:val="20"/>
        </w:rPr>
        <w:t>s.</w:t>
      </w:r>
      <w:r w:rsidRPr="003E1E05">
        <w:rPr>
          <w:rFonts w:ascii="Garamond" w:hAnsi="Garamond" w:cs="Garamond"/>
          <w:iCs/>
          <w:color w:val="000000"/>
          <w:sz w:val="20"/>
          <w:szCs w:val="20"/>
        </w:rPr>
        <w:t xml:space="preserve"> </w:t>
      </w:r>
      <w:r w:rsidRPr="003E1E05">
        <w:rPr>
          <w:rFonts w:ascii="Garamond" w:hAnsi="Garamond"/>
          <w:sz w:val="20"/>
          <w:szCs w:val="20"/>
        </w:rPr>
        <w:t>268.</w:t>
      </w:r>
    </w:p>
  </w:footnote>
  <w:footnote w:id="183">
    <w:p w14:paraId="2D0B1213" w14:textId="2DC1878C" w:rsidR="00F26821" w:rsidRPr="003E1E05" w:rsidRDefault="00F26821" w:rsidP="007E30EB">
      <w:pPr>
        <w:pStyle w:val="Textpoznpodarou"/>
        <w:spacing w:line="240" w:lineRule="auto"/>
      </w:pPr>
      <w:r w:rsidRPr="003E1E05">
        <w:rPr>
          <w:rStyle w:val="Znakapoznpodarou"/>
        </w:rPr>
        <w:footnoteRef/>
      </w:r>
      <w:r w:rsidRPr="003E1E05">
        <w:t xml:space="preserve"> Kán. 1315 § 2 </w:t>
      </w:r>
      <w:r>
        <w:t>odst.</w:t>
      </w:r>
      <w:r w:rsidRPr="003E1E05">
        <w:t xml:space="preserve"> 3 CIC.</w:t>
      </w:r>
    </w:p>
  </w:footnote>
  <w:footnote w:id="184">
    <w:p w14:paraId="3B6E6CFE" w14:textId="3B8E5A30" w:rsidR="00F26821" w:rsidRPr="003E1E05" w:rsidRDefault="00F26821" w:rsidP="003E1E05">
      <w:pPr>
        <w:pStyle w:val="Textpoznpodarou"/>
        <w:spacing w:line="240" w:lineRule="auto"/>
      </w:pPr>
      <w:r w:rsidRPr="003E1E05">
        <w:rPr>
          <w:rStyle w:val="Znakapoznpodarou"/>
        </w:rPr>
        <w:footnoteRef/>
      </w:r>
      <w:r w:rsidRPr="003E1E05">
        <w:t xml:space="preserve"> Kán. 1349 CIC</w:t>
      </w:r>
      <w:r>
        <w:t>.</w:t>
      </w:r>
    </w:p>
  </w:footnote>
  <w:footnote w:id="185">
    <w:p w14:paraId="1248B67D" w14:textId="1422ADCC" w:rsidR="00F26821" w:rsidRPr="00DB7A16" w:rsidRDefault="00F26821" w:rsidP="00DB7A16">
      <w:pPr>
        <w:autoSpaceDE w:val="0"/>
        <w:autoSpaceDN w:val="0"/>
        <w:adjustRightInd w:val="0"/>
        <w:spacing w:line="240" w:lineRule="auto"/>
        <w:rPr>
          <w:rFonts w:cs="TimesNewRomanPSMT"/>
          <w:sz w:val="20"/>
          <w:szCs w:val="20"/>
        </w:rPr>
      </w:pPr>
      <w:r w:rsidRPr="00DB7A16">
        <w:rPr>
          <w:rStyle w:val="Znakapoznpodarou"/>
          <w:sz w:val="20"/>
          <w:szCs w:val="20"/>
        </w:rPr>
        <w:footnoteRef/>
      </w:r>
      <w:r w:rsidRPr="00DB7A16">
        <w:rPr>
          <w:sz w:val="20"/>
          <w:szCs w:val="20"/>
        </w:rPr>
        <w:t xml:space="preserve"> </w:t>
      </w:r>
      <w:r w:rsidRPr="00DB7A16">
        <w:rPr>
          <w:rFonts w:cs="TimesNewRomanPSMT"/>
          <w:sz w:val="20"/>
          <w:szCs w:val="20"/>
        </w:rPr>
        <w:t xml:space="preserve">Ta se </w:t>
      </w:r>
      <w:r>
        <w:rPr>
          <w:rFonts w:cs="TimesNewRomanPSMT"/>
          <w:sz w:val="20"/>
          <w:szCs w:val="20"/>
        </w:rPr>
        <w:t>tomuto úřadu</w:t>
      </w:r>
      <w:r w:rsidRPr="00DB7A16">
        <w:rPr>
          <w:rFonts w:cs="TimesNewRomanPSMT"/>
          <w:sz w:val="20"/>
          <w:szCs w:val="20"/>
        </w:rPr>
        <w:t xml:space="preserve"> rozhodl udělit papež Benedikt XVI. v</w:t>
      </w:r>
      <w:r>
        <w:rPr>
          <w:rFonts w:cs="TimesNewRomanPSMT"/>
          <w:sz w:val="20"/>
          <w:szCs w:val="20"/>
        </w:rPr>
        <w:t> </w:t>
      </w:r>
      <w:r w:rsidRPr="00DB7A16">
        <w:rPr>
          <w:rFonts w:cs="TimesNewRomanPSMT"/>
          <w:sz w:val="20"/>
          <w:szCs w:val="20"/>
        </w:rPr>
        <w:t>2009</w:t>
      </w:r>
      <w:r>
        <w:rPr>
          <w:rFonts w:cs="TimesNewRomanPSMT"/>
          <w:sz w:val="20"/>
          <w:szCs w:val="20"/>
        </w:rPr>
        <w:t xml:space="preserve"> </w:t>
      </w:r>
      <w:r w:rsidRPr="00DB7A16">
        <w:rPr>
          <w:rFonts w:cs="TimesNewRomanPSMT"/>
          <w:sz w:val="20"/>
          <w:szCs w:val="20"/>
        </w:rPr>
        <w:t xml:space="preserve">za účelem řešení neregulérních situací kleriků. </w:t>
      </w:r>
      <w:r w:rsidRPr="00DB7A16">
        <w:rPr>
          <w:rFonts w:cs="TimesNewRomanPS-BoldItalicMT"/>
          <w:bCs/>
          <w:iCs/>
          <w:sz w:val="20"/>
          <w:szCs w:val="20"/>
        </w:rPr>
        <w:t>Jejich cílem je</w:t>
      </w:r>
      <w:r w:rsidRPr="00DB7A16">
        <w:rPr>
          <w:rFonts w:cs="TimesNewRomanPSMT"/>
          <w:sz w:val="20"/>
          <w:szCs w:val="20"/>
        </w:rPr>
        <w:t xml:space="preserve"> posílit respekt vůči poslání kněží, z nichž naprostá většina žije</w:t>
      </w:r>
      <w:r>
        <w:rPr>
          <w:rFonts w:cs="TimesNewRomanPSMT"/>
          <w:sz w:val="20"/>
          <w:szCs w:val="20"/>
        </w:rPr>
        <w:t xml:space="preserve"> v každodenním životě upřímně a </w:t>
      </w:r>
      <w:r w:rsidRPr="00DB7A16">
        <w:rPr>
          <w:rFonts w:cs="TimesNewRomanPSMT"/>
          <w:sz w:val="20"/>
          <w:szCs w:val="20"/>
        </w:rPr>
        <w:t xml:space="preserve">vykonává věrně svou službu; </w:t>
      </w:r>
      <w:r w:rsidRPr="00DB7A16">
        <w:rPr>
          <w:rFonts w:cs="TimesNewRomanPS-BoldMT"/>
          <w:bCs/>
          <w:sz w:val="20"/>
          <w:szCs w:val="20"/>
        </w:rPr>
        <w:t xml:space="preserve">dále </w:t>
      </w:r>
      <w:r>
        <w:rPr>
          <w:rFonts w:cs="TimesNewRomanPSMT"/>
          <w:sz w:val="20"/>
          <w:szCs w:val="20"/>
        </w:rPr>
        <w:t>se snaží</w:t>
      </w:r>
      <w:r w:rsidRPr="00DB7A16">
        <w:rPr>
          <w:rFonts w:cs="TimesNewRomanPSMT"/>
          <w:sz w:val="20"/>
          <w:szCs w:val="20"/>
        </w:rPr>
        <w:t xml:space="preserve"> vyjít vstříc ordinářům v jejich úsilí o zachování a podporu církevní disciplíny v prospěch celé církve. Tato zmocnění </w:t>
      </w:r>
      <w:r>
        <w:rPr>
          <w:rFonts w:cs="TimesNewRomanPSMT"/>
          <w:sz w:val="20"/>
          <w:szCs w:val="20"/>
        </w:rPr>
        <w:t xml:space="preserve">tedy </w:t>
      </w:r>
      <w:r w:rsidRPr="00DB7A16">
        <w:rPr>
          <w:rFonts w:cs="TimesNewRomanPSMT"/>
          <w:sz w:val="20"/>
          <w:szCs w:val="20"/>
        </w:rPr>
        <w:t xml:space="preserve">představují reakci </w:t>
      </w:r>
      <w:r>
        <w:rPr>
          <w:rFonts w:cs="TimesNewRomanPSMT"/>
          <w:sz w:val="20"/>
          <w:szCs w:val="20"/>
        </w:rPr>
        <w:t>církevních představitelů</w:t>
      </w:r>
      <w:r w:rsidRPr="00DB7A16">
        <w:rPr>
          <w:rFonts w:cs="TimesNewRomanPSMT"/>
          <w:sz w:val="20"/>
          <w:szCs w:val="20"/>
        </w:rPr>
        <w:t xml:space="preserve"> na potíže vyplývající z problematičnosti dosavadní trestněprávní úpravy. Blíže k</w:t>
      </w:r>
      <w:r>
        <w:rPr>
          <w:rFonts w:cs="TimesNewRomanPSMT"/>
          <w:sz w:val="20"/>
          <w:szCs w:val="20"/>
        </w:rPr>
        <w:t> tomu srov.</w:t>
      </w:r>
      <w:r w:rsidRPr="00DB7A16">
        <w:rPr>
          <w:rFonts w:cs="TimesNewRomanPSMT"/>
          <w:sz w:val="20"/>
          <w:szCs w:val="20"/>
        </w:rPr>
        <w:t xml:space="preserve"> NĚMEC</w:t>
      </w:r>
      <w:r>
        <w:rPr>
          <w:rFonts w:cs="TimesNewRomanPSMT"/>
          <w:sz w:val="20"/>
          <w:szCs w:val="20"/>
        </w:rPr>
        <w:t>, s. </w:t>
      </w:r>
      <w:r w:rsidRPr="00DB7A16">
        <w:rPr>
          <w:rFonts w:cs="TimesNewRomanPSMT"/>
          <w:sz w:val="20"/>
          <w:szCs w:val="20"/>
        </w:rPr>
        <w:t>14</w:t>
      </w:r>
      <w:r w:rsidRPr="00DB7A16">
        <w:rPr>
          <w:sz w:val="20"/>
          <w:szCs w:val="20"/>
        </w:rPr>
        <w:sym w:font="Symbol" w:char="F02D"/>
      </w:r>
      <w:r w:rsidRPr="00DB7A16">
        <w:rPr>
          <w:sz w:val="20"/>
          <w:szCs w:val="20"/>
        </w:rPr>
        <w:t>19.</w:t>
      </w:r>
    </w:p>
  </w:footnote>
  <w:footnote w:id="186">
    <w:p w14:paraId="58ADF426" w14:textId="77777777" w:rsidR="00F26821" w:rsidRPr="003E1E05" w:rsidRDefault="00F26821" w:rsidP="003E1E05">
      <w:pPr>
        <w:pStyle w:val="Textpoznpodarou"/>
        <w:spacing w:line="240" w:lineRule="auto"/>
      </w:pPr>
      <w:r w:rsidRPr="003E1E05">
        <w:rPr>
          <w:rStyle w:val="Znakapoznpodarou"/>
        </w:rPr>
        <w:footnoteRef/>
      </w:r>
      <w:r w:rsidRPr="003E1E05">
        <w:t xml:space="preserve"> § 88 odst. 3 ZSS.</w:t>
      </w:r>
    </w:p>
  </w:footnote>
  <w:footnote w:id="187">
    <w:p w14:paraId="4EAC370A" w14:textId="42983038" w:rsidR="00F26821" w:rsidRPr="00334F72" w:rsidRDefault="00F26821" w:rsidP="003E1E05">
      <w:pPr>
        <w:pStyle w:val="Odstavecseseznamem"/>
        <w:spacing w:after="0" w:line="240" w:lineRule="auto"/>
        <w:ind w:left="0"/>
        <w:rPr>
          <w:rFonts w:ascii="Garamond" w:hAnsi="Garamond"/>
          <w:sz w:val="20"/>
          <w:szCs w:val="20"/>
        </w:rPr>
      </w:pPr>
      <w:r w:rsidRPr="00334F72">
        <w:rPr>
          <w:rStyle w:val="Znakapoznpodarou"/>
          <w:rFonts w:ascii="Garamond" w:hAnsi="Garamond"/>
          <w:sz w:val="20"/>
          <w:szCs w:val="20"/>
        </w:rPr>
        <w:footnoteRef/>
      </w:r>
      <w:r w:rsidRPr="00334F72">
        <w:rPr>
          <w:rFonts w:ascii="Garamond" w:hAnsi="Garamond"/>
          <w:sz w:val="20"/>
          <w:szCs w:val="20"/>
        </w:rPr>
        <w:t xml:space="preserve"> Zajímavostí je, že v některých evangelických církvích se církevní trest taktéž nazývá </w:t>
      </w:r>
      <w:r w:rsidRPr="00334F72">
        <w:rPr>
          <w:rFonts w:ascii="Garamond" w:hAnsi="Garamond"/>
          <w:i/>
          <w:sz w:val="20"/>
          <w:szCs w:val="20"/>
        </w:rPr>
        <w:t>kárné opatření</w:t>
      </w:r>
      <w:r w:rsidRPr="00334F72">
        <w:rPr>
          <w:rFonts w:ascii="Garamond" w:hAnsi="Garamond"/>
          <w:sz w:val="20"/>
          <w:szCs w:val="20"/>
        </w:rPr>
        <w:t>. [</w:t>
      </w:r>
      <w:r w:rsidRPr="00334F72">
        <w:rPr>
          <w:rFonts w:ascii="Garamond" w:hAnsi="Garamond" w:cs="Garamond"/>
          <w:sz w:val="20"/>
          <w:szCs w:val="20"/>
        </w:rPr>
        <w:t xml:space="preserve">TRETERA, HORÁK, </w:t>
      </w:r>
      <w:r>
        <w:rPr>
          <w:rFonts w:ascii="Garamond" w:hAnsi="Garamond" w:cs="Garamond"/>
          <w:sz w:val="20"/>
          <w:szCs w:val="20"/>
        </w:rPr>
        <w:t>s.</w:t>
      </w:r>
      <w:r w:rsidRPr="00334F72">
        <w:rPr>
          <w:rFonts w:ascii="Garamond" w:hAnsi="Garamond"/>
          <w:sz w:val="20"/>
          <w:szCs w:val="20"/>
        </w:rPr>
        <w:t xml:space="preserve"> 30, pozn</w:t>
      </w:r>
      <w:r>
        <w:rPr>
          <w:rFonts w:ascii="Garamond" w:hAnsi="Garamond"/>
          <w:sz w:val="20"/>
          <w:szCs w:val="20"/>
        </w:rPr>
        <w:t xml:space="preserve">. </w:t>
      </w:r>
      <w:r w:rsidRPr="00334F72">
        <w:rPr>
          <w:rFonts w:ascii="Garamond" w:hAnsi="Garamond"/>
          <w:sz w:val="20"/>
          <w:szCs w:val="20"/>
        </w:rPr>
        <w:t>č. 15.]</w:t>
      </w:r>
    </w:p>
  </w:footnote>
  <w:footnote w:id="188">
    <w:p w14:paraId="3FC858F8" w14:textId="77777777" w:rsidR="00F26821" w:rsidRPr="003E1E05" w:rsidRDefault="00F26821" w:rsidP="003E1E05">
      <w:pPr>
        <w:pStyle w:val="Odstavecseseznamem"/>
        <w:spacing w:after="0" w:line="240" w:lineRule="auto"/>
        <w:ind w:left="0"/>
        <w:rPr>
          <w:rFonts w:ascii="Garamond" w:hAnsi="Garamond"/>
          <w:sz w:val="20"/>
          <w:szCs w:val="20"/>
        </w:rPr>
      </w:pPr>
      <w:r w:rsidRPr="003E1E05">
        <w:rPr>
          <w:rStyle w:val="Znakapoznpodarou"/>
          <w:rFonts w:ascii="Garamond" w:hAnsi="Garamond"/>
          <w:sz w:val="20"/>
          <w:szCs w:val="20"/>
        </w:rPr>
        <w:footnoteRef/>
      </w:r>
      <w:r w:rsidRPr="003E1E05">
        <w:rPr>
          <w:rFonts w:ascii="Garamond" w:hAnsi="Garamond"/>
          <w:sz w:val="20"/>
          <w:szCs w:val="20"/>
        </w:rPr>
        <w:t xml:space="preserve"> § 88 odst. 1 ZSS.</w:t>
      </w:r>
    </w:p>
  </w:footnote>
  <w:footnote w:id="189">
    <w:p w14:paraId="0409EFE0" w14:textId="77777777" w:rsidR="00F26821" w:rsidRPr="003E1E05" w:rsidRDefault="00F26821" w:rsidP="003E1E05">
      <w:pPr>
        <w:spacing w:line="240" w:lineRule="auto"/>
        <w:rPr>
          <w:sz w:val="20"/>
          <w:szCs w:val="20"/>
        </w:rPr>
      </w:pPr>
      <w:r w:rsidRPr="003E1E05">
        <w:rPr>
          <w:rStyle w:val="Znakapoznpodarou"/>
          <w:sz w:val="20"/>
          <w:szCs w:val="20"/>
        </w:rPr>
        <w:footnoteRef/>
      </w:r>
      <w:r w:rsidRPr="003E1E05">
        <w:rPr>
          <w:sz w:val="20"/>
          <w:szCs w:val="20"/>
        </w:rPr>
        <w:t xml:space="preserve"> GRYGAR, § 88.</w:t>
      </w:r>
    </w:p>
  </w:footnote>
  <w:footnote w:id="190">
    <w:p w14:paraId="0C440652" w14:textId="77777777" w:rsidR="00F26821" w:rsidRPr="00DA7325" w:rsidRDefault="00F26821" w:rsidP="003E1E05">
      <w:pPr>
        <w:pStyle w:val="Textpoznpodarou"/>
        <w:spacing w:line="240" w:lineRule="auto"/>
      </w:pPr>
      <w:r w:rsidRPr="00DA7325">
        <w:rPr>
          <w:rStyle w:val="Znakapoznpodarou"/>
        </w:rPr>
        <w:footnoteRef/>
      </w:r>
      <w:r w:rsidRPr="00DA7325">
        <w:t xml:space="preserve"> Není proto použitelné vůči</w:t>
      </w:r>
      <w:r>
        <w:t xml:space="preserve"> většině soudců okresního soudu, kteří jsou zároveň nejčastěji kárně obviněnými.</w:t>
      </w:r>
    </w:p>
  </w:footnote>
  <w:footnote w:id="191">
    <w:p w14:paraId="28B33622" w14:textId="77777777" w:rsidR="00F26821" w:rsidRPr="003E1E05" w:rsidRDefault="00F26821" w:rsidP="003E1E05">
      <w:pPr>
        <w:pStyle w:val="Textpoznpodarou"/>
        <w:spacing w:line="240" w:lineRule="auto"/>
      </w:pPr>
      <w:r w:rsidRPr="003E1E05">
        <w:rPr>
          <w:rStyle w:val="Znakapoznpodarou"/>
        </w:rPr>
        <w:footnoteRef/>
      </w:r>
      <w:r w:rsidRPr="003E1E05">
        <w:t xml:space="preserve"> Rozhodnutí NSS ze dne 14. 7. 2020, č. j. 13 </w:t>
      </w:r>
      <w:proofErr w:type="spellStart"/>
      <w:r w:rsidRPr="003E1E05">
        <w:t>Kss</w:t>
      </w:r>
      <w:proofErr w:type="spellEnd"/>
      <w:r w:rsidRPr="003E1E05">
        <w:t xml:space="preserve"> 6/2019-367.</w:t>
      </w:r>
    </w:p>
  </w:footnote>
  <w:footnote w:id="192">
    <w:p w14:paraId="7E306E9F" w14:textId="6842DCCB" w:rsidR="00F26821" w:rsidRPr="003E1E05" w:rsidRDefault="00F26821" w:rsidP="003E1E05">
      <w:pPr>
        <w:pStyle w:val="Bezmezer"/>
        <w:rPr>
          <w:sz w:val="20"/>
          <w:szCs w:val="20"/>
        </w:rPr>
      </w:pPr>
      <w:r w:rsidRPr="003E1E05">
        <w:rPr>
          <w:rStyle w:val="Znakapoznpodarou"/>
          <w:sz w:val="20"/>
          <w:szCs w:val="20"/>
        </w:rPr>
        <w:footnoteRef/>
      </w:r>
      <w:r w:rsidRPr="003E1E05">
        <w:rPr>
          <w:sz w:val="20"/>
          <w:szCs w:val="20"/>
        </w:rPr>
        <w:t xml:space="preserve"> </w:t>
      </w:r>
      <w:r w:rsidRPr="003E1E05">
        <w:rPr>
          <w:rFonts w:eastAsia="Calibri" w:cs="CIDFont+F5"/>
          <w:sz w:val="20"/>
          <w:szCs w:val="20"/>
          <w:lang w:eastAsia="en-US"/>
        </w:rPr>
        <w:t>ZEMANOVÁ</w:t>
      </w:r>
      <w:r w:rsidRPr="003E1E05">
        <w:rPr>
          <w:sz w:val="20"/>
          <w:szCs w:val="20"/>
        </w:rPr>
        <w:t xml:space="preserve">, </w:t>
      </w:r>
      <w:r>
        <w:rPr>
          <w:sz w:val="20"/>
          <w:szCs w:val="20"/>
        </w:rPr>
        <w:t>s. 141</w:t>
      </w:r>
      <w:r w:rsidRPr="00540B67">
        <w:rPr>
          <w:rFonts w:cs="Garamond"/>
          <w:sz w:val="20"/>
          <w:szCs w:val="20"/>
        </w:rPr>
        <w:sym w:font="Symbol" w:char="F02D"/>
      </w:r>
      <w:r w:rsidRPr="003E1E05">
        <w:rPr>
          <w:sz w:val="20"/>
          <w:szCs w:val="20"/>
        </w:rPr>
        <w:t>144.</w:t>
      </w:r>
    </w:p>
  </w:footnote>
  <w:footnote w:id="193">
    <w:p w14:paraId="2310B36A" w14:textId="6A27B7A7" w:rsidR="00F26821" w:rsidRPr="003E1E05" w:rsidRDefault="00F26821" w:rsidP="00085FE5">
      <w:pPr>
        <w:spacing w:line="240" w:lineRule="auto"/>
        <w:rPr>
          <w:sz w:val="20"/>
          <w:szCs w:val="20"/>
        </w:rPr>
      </w:pPr>
      <w:r w:rsidRPr="003E1E05">
        <w:rPr>
          <w:rStyle w:val="Znakapoznpodarou"/>
          <w:sz w:val="20"/>
          <w:szCs w:val="20"/>
        </w:rPr>
        <w:footnoteRef/>
      </w:r>
      <w:r w:rsidRPr="003E1E05">
        <w:rPr>
          <w:sz w:val="20"/>
          <w:szCs w:val="20"/>
        </w:rPr>
        <w:t xml:space="preserve"> KOCOUREK, </w:t>
      </w:r>
      <w:r>
        <w:rPr>
          <w:sz w:val="20"/>
          <w:szCs w:val="20"/>
        </w:rPr>
        <w:t>s. 238</w:t>
      </w:r>
      <w:r w:rsidRPr="00540B67">
        <w:rPr>
          <w:rFonts w:cs="Garamond"/>
          <w:sz w:val="20"/>
          <w:szCs w:val="20"/>
        </w:rPr>
        <w:sym w:font="Symbol" w:char="F02D"/>
      </w:r>
      <w:r w:rsidRPr="003E1E05">
        <w:rPr>
          <w:sz w:val="20"/>
          <w:szCs w:val="20"/>
        </w:rPr>
        <w:t>241.</w:t>
      </w:r>
    </w:p>
  </w:footnote>
  <w:footnote w:id="194">
    <w:p w14:paraId="52BFA17A" w14:textId="77777777" w:rsidR="00F26821" w:rsidRPr="009F7758" w:rsidRDefault="00F26821" w:rsidP="009F7758">
      <w:pPr>
        <w:spacing w:line="240" w:lineRule="auto"/>
        <w:rPr>
          <w:sz w:val="20"/>
          <w:szCs w:val="20"/>
        </w:rPr>
      </w:pPr>
      <w:r w:rsidRPr="009F7758">
        <w:rPr>
          <w:rStyle w:val="Znakapoznpodarou"/>
          <w:sz w:val="20"/>
          <w:szCs w:val="20"/>
        </w:rPr>
        <w:footnoteRef/>
      </w:r>
      <w:r w:rsidRPr="009F7758">
        <w:rPr>
          <w:sz w:val="20"/>
          <w:szCs w:val="20"/>
        </w:rPr>
        <w:t xml:space="preserve"> Kán. </w:t>
      </w:r>
      <w:r w:rsidRPr="009F7758">
        <w:rPr>
          <w:rFonts w:cs="TimesNewRomanPS-BoldMT"/>
          <w:bCs/>
          <w:sz w:val="20"/>
          <w:szCs w:val="20"/>
        </w:rPr>
        <w:t>1312</w:t>
      </w:r>
      <w:r w:rsidRPr="009F7758">
        <w:rPr>
          <w:rFonts w:cs="TimesNewRomanPSMT"/>
          <w:sz w:val="20"/>
          <w:szCs w:val="20"/>
        </w:rPr>
        <w:t xml:space="preserve"> § 1 CIC.</w:t>
      </w:r>
    </w:p>
  </w:footnote>
  <w:footnote w:id="195">
    <w:p w14:paraId="1CA2B976" w14:textId="717FD046" w:rsidR="00F26821" w:rsidRPr="009F7758" w:rsidRDefault="00F26821" w:rsidP="009F7758">
      <w:pPr>
        <w:spacing w:line="240" w:lineRule="auto"/>
        <w:rPr>
          <w:sz w:val="20"/>
          <w:szCs w:val="20"/>
        </w:rPr>
      </w:pPr>
      <w:r w:rsidRPr="009F7758">
        <w:rPr>
          <w:rStyle w:val="Znakapoznpodarou"/>
          <w:sz w:val="20"/>
          <w:szCs w:val="20"/>
        </w:rPr>
        <w:footnoteRef/>
      </w:r>
      <w:r w:rsidRPr="009F7758">
        <w:rPr>
          <w:sz w:val="20"/>
          <w:szCs w:val="20"/>
        </w:rPr>
        <w:t xml:space="preserve"> </w:t>
      </w:r>
      <w:r w:rsidRPr="009F7758">
        <w:rPr>
          <w:rFonts w:cs="Garamond"/>
          <w:color w:val="000000"/>
          <w:sz w:val="20"/>
          <w:szCs w:val="20"/>
        </w:rPr>
        <w:t xml:space="preserve">HRDINA, </w:t>
      </w:r>
      <w:r w:rsidRPr="009F7758">
        <w:rPr>
          <w:rFonts w:cs="Garamond"/>
          <w:i/>
          <w:iCs/>
          <w:color w:val="000000"/>
          <w:sz w:val="20"/>
          <w:szCs w:val="20"/>
        </w:rPr>
        <w:t>Kanonické právo</w:t>
      </w:r>
      <w:r w:rsidRPr="009F7758">
        <w:rPr>
          <w:rFonts w:cs="Garamond"/>
          <w:iCs/>
          <w:color w:val="000000"/>
          <w:sz w:val="20"/>
          <w:szCs w:val="20"/>
        </w:rPr>
        <w:t xml:space="preserve">, </w:t>
      </w:r>
      <w:r>
        <w:rPr>
          <w:rFonts w:cs="Garamond"/>
          <w:iCs/>
          <w:color w:val="000000"/>
          <w:sz w:val="20"/>
          <w:szCs w:val="20"/>
        </w:rPr>
        <w:t>s.</w:t>
      </w:r>
      <w:r w:rsidRPr="009F7758">
        <w:rPr>
          <w:rFonts w:cs="Garamond"/>
          <w:iCs/>
          <w:color w:val="000000"/>
          <w:sz w:val="20"/>
          <w:szCs w:val="20"/>
        </w:rPr>
        <w:t xml:space="preserve"> </w:t>
      </w:r>
      <w:r w:rsidRPr="009F7758">
        <w:rPr>
          <w:sz w:val="20"/>
          <w:szCs w:val="20"/>
        </w:rPr>
        <w:t>269.</w:t>
      </w:r>
    </w:p>
  </w:footnote>
  <w:footnote w:id="196">
    <w:p w14:paraId="29B1AC2D" w14:textId="18DB14F7" w:rsidR="00F26821" w:rsidRPr="009F7758" w:rsidRDefault="00F26821" w:rsidP="009F7758">
      <w:pPr>
        <w:spacing w:line="240" w:lineRule="auto"/>
        <w:rPr>
          <w:sz w:val="20"/>
          <w:szCs w:val="20"/>
        </w:rPr>
      </w:pPr>
      <w:r w:rsidRPr="009F7758">
        <w:rPr>
          <w:rStyle w:val="Znakapoznpodarou"/>
          <w:sz w:val="20"/>
          <w:szCs w:val="20"/>
        </w:rPr>
        <w:footnoteRef/>
      </w:r>
      <w:r w:rsidRPr="009F7758">
        <w:rPr>
          <w:sz w:val="20"/>
          <w:szCs w:val="20"/>
        </w:rPr>
        <w:t xml:space="preserve"> </w:t>
      </w:r>
      <w:r w:rsidRPr="009F7758">
        <w:rPr>
          <w:rFonts w:cs="Garamond"/>
          <w:color w:val="000000"/>
          <w:sz w:val="20"/>
          <w:szCs w:val="20"/>
        </w:rPr>
        <w:t xml:space="preserve">TRETERA, HORÁK, </w:t>
      </w:r>
      <w:r>
        <w:rPr>
          <w:rFonts w:cs="Garamond"/>
          <w:color w:val="000000"/>
          <w:sz w:val="20"/>
          <w:szCs w:val="20"/>
        </w:rPr>
        <w:t>s.</w:t>
      </w:r>
      <w:r w:rsidRPr="009F7758">
        <w:rPr>
          <w:sz w:val="20"/>
          <w:szCs w:val="20"/>
        </w:rPr>
        <w:t xml:space="preserve"> 332</w:t>
      </w:r>
    </w:p>
  </w:footnote>
  <w:footnote w:id="197">
    <w:p w14:paraId="2026F8B1" w14:textId="77777777" w:rsidR="00F26821" w:rsidRPr="009F7758" w:rsidRDefault="00F26821" w:rsidP="009F7758">
      <w:pPr>
        <w:spacing w:line="240" w:lineRule="auto"/>
        <w:rPr>
          <w:sz w:val="20"/>
          <w:szCs w:val="20"/>
        </w:rPr>
      </w:pPr>
      <w:r w:rsidRPr="009F7758">
        <w:rPr>
          <w:rStyle w:val="Znakapoznpodarou"/>
          <w:sz w:val="20"/>
          <w:szCs w:val="20"/>
        </w:rPr>
        <w:footnoteRef/>
      </w:r>
      <w:r w:rsidRPr="009F7758">
        <w:rPr>
          <w:sz w:val="20"/>
          <w:szCs w:val="20"/>
        </w:rPr>
        <w:t xml:space="preserve"> Kán. 1331 § 1 CIC.</w:t>
      </w:r>
    </w:p>
  </w:footnote>
  <w:footnote w:id="198">
    <w:p w14:paraId="121F5693" w14:textId="0ADE5463" w:rsidR="00F26821" w:rsidRPr="009F7758" w:rsidRDefault="00F26821" w:rsidP="009F7758">
      <w:pPr>
        <w:pStyle w:val="Odstavecseseznamem"/>
        <w:spacing w:after="0" w:line="240" w:lineRule="auto"/>
        <w:ind w:left="0"/>
        <w:rPr>
          <w:rFonts w:ascii="Garamond" w:hAnsi="Garamond"/>
          <w:sz w:val="20"/>
          <w:szCs w:val="20"/>
        </w:rPr>
      </w:pPr>
      <w:r w:rsidRPr="009F7758">
        <w:rPr>
          <w:rStyle w:val="Znakapoznpodarou"/>
          <w:rFonts w:ascii="Garamond" w:hAnsi="Garamond"/>
          <w:sz w:val="20"/>
          <w:szCs w:val="20"/>
        </w:rPr>
        <w:footnoteRef/>
      </w:r>
      <w:r w:rsidRPr="009F7758">
        <w:rPr>
          <w:rFonts w:ascii="Garamond" w:hAnsi="Garamond"/>
          <w:sz w:val="20"/>
          <w:szCs w:val="20"/>
        </w:rPr>
        <w:t xml:space="preserve"> </w:t>
      </w:r>
      <w:r w:rsidRPr="009F7758">
        <w:rPr>
          <w:rFonts w:ascii="Garamond" w:hAnsi="Garamond" w:cs="Garamond"/>
          <w:color w:val="000000"/>
          <w:sz w:val="20"/>
          <w:szCs w:val="20"/>
        </w:rPr>
        <w:t xml:space="preserve">TRETERA, HORÁK, </w:t>
      </w:r>
      <w:r>
        <w:rPr>
          <w:rFonts w:ascii="Garamond" w:hAnsi="Garamond" w:cs="Garamond"/>
          <w:color w:val="000000"/>
          <w:sz w:val="20"/>
          <w:szCs w:val="20"/>
        </w:rPr>
        <w:t>s.</w:t>
      </w:r>
      <w:r w:rsidRPr="009F7758">
        <w:rPr>
          <w:rFonts w:ascii="Garamond" w:hAnsi="Garamond"/>
          <w:sz w:val="20"/>
          <w:szCs w:val="20"/>
        </w:rPr>
        <w:t xml:space="preserve"> 332</w:t>
      </w:r>
    </w:p>
  </w:footnote>
  <w:footnote w:id="199">
    <w:p w14:paraId="574908B0" w14:textId="03314013" w:rsidR="00F26821" w:rsidRPr="009F7758" w:rsidRDefault="00F26821" w:rsidP="009F7758">
      <w:pPr>
        <w:autoSpaceDE w:val="0"/>
        <w:autoSpaceDN w:val="0"/>
        <w:adjustRightInd w:val="0"/>
        <w:spacing w:line="240" w:lineRule="auto"/>
        <w:rPr>
          <w:rFonts w:cs="TimesNewRomanPSMT"/>
          <w:sz w:val="20"/>
          <w:szCs w:val="20"/>
        </w:rPr>
      </w:pPr>
      <w:r w:rsidRPr="009F7758">
        <w:rPr>
          <w:rStyle w:val="Znakapoznpodarou"/>
          <w:sz w:val="20"/>
          <w:szCs w:val="20"/>
        </w:rPr>
        <w:footnoteRef/>
      </w:r>
      <w:r w:rsidRPr="009F7758">
        <w:rPr>
          <w:sz w:val="20"/>
          <w:szCs w:val="20"/>
        </w:rPr>
        <w:t xml:space="preserve"> </w:t>
      </w:r>
      <w:r w:rsidRPr="009F7758">
        <w:rPr>
          <w:rFonts w:cs="TimesNewRomanPSMT"/>
          <w:sz w:val="20"/>
          <w:szCs w:val="20"/>
        </w:rPr>
        <w:t xml:space="preserve">Zákazy uvedené v kán. 1331 § 1 </w:t>
      </w:r>
      <w:r>
        <w:rPr>
          <w:rFonts w:cs="TimesNewRomanPSMT"/>
          <w:sz w:val="20"/>
          <w:szCs w:val="20"/>
        </w:rPr>
        <w:t>odst.</w:t>
      </w:r>
      <w:r w:rsidRPr="009F7758">
        <w:rPr>
          <w:rFonts w:cs="TimesNewRomanPSMT"/>
          <w:sz w:val="20"/>
          <w:szCs w:val="20"/>
        </w:rPr>
        <w:t xml:space="preserve"> 1 až 4 CIC.</w:t>
      </w:r>
    </w:p>
  </w:footnote>
  <w:footnote w:id="200">
    <w:p w14:paraId="27DF2620" w14:textId="633397C8" w:rsidR="00F26821" w:rsidRPr="009F7758" w:rsidRDefault="00F26821" w:rsidP="009F7758">
      <w:pPr>
        <w:pStyle w:val="Textpoznpodarou"/>
        <w:spacing w:line="240" w:lineRule="auto"/>
      </w:pPr>
      <w:r w:rsidRPr="009F7758">
        <w:rPr>
          <w:rStyle w:val="Znakapoznpodarou"/>
        </w:rPr>
        <w:footnoteRef/>
      </w:r>
      <w:r w:rsidRPr="009F7758">
        <w:t xml:space="preserve"> </w:t>
      </w:r>
      <w:r w:rsidRPr="009F7758">
        <w:rPr>
          <w:rFonts w:cs="Garamond"/>
          <w:color w:val="000000"/>
        </w:rPr>
        <w:t xml:space="preserve">HRDINA, </w:t>
      </w:r>
      <w:r w:rsidRPr="009F7758">
        <w:rPr>
          <w:rFonts w:cs="Garamond"/>
          <w:i/>
          <w:iCs/>
          <w:color w:val="000000"/>
        </w:rPr>
        <w:t>Kanonické právo</w:t>
      </w:r>
      <w:r w:rsidRPr="009F7758">
        <w:rPr>
          <w:rFonts w:cs="Garamond"/>
          <w:iCs/>
          <w:color w:val="000000"/>
        </w:rPr>
        <w:t xml:space="preserve">, </w:t>
      </w:r>
      <w:r>
        <w:rPr>
          <w:rFonts w:cs="Garamond"/>
          <w:iCs/>
          <w:color w:val="000000"/>
        </w:rPr>
        <w:t>s.</w:t>
      </w:r>
      <w:r w:rsidRPr="009F7758">
        <w:rPr>
          <w:rFonts w:cs="Garamond"/>
          <w:iCs/>
          <w:color w:val="000000"/>
        </w:rPr>
        <w:t xml:space="preserve"> </w:t>
      </w:r>
      <w:r w:rsidRPr="009F7758">
        <w:t>269.</w:t>
      </w:r>
    </w:p>
  </w:footnote>
  <w:footnote w:id="201">
    <w:p w14:paraId="36C65977" w14:textId="77777777" w:rsidR="00F26821" w:rsidRPr="005C585C" w:rsidRDefault="00F26821" w:rsidP="005C585C">
      <w:pPr>
        <w:pStyle w:val="Textpoznpodarou"/>
        <w:spacing w:line="240" w:lineRule="auto"/>
      </w:pPr>
      <w:r w:rsidRPr="005C585C">
        <w:rPr>
          <w:rStyle w:val="Znakapoznpodarou"/>
        </w:rPr>
        <w:footnoteRef/>
      </w:r>
      <w:r w:rsidRPr="005C585C">
        <w:t xml:space="preserve"> Kán. </w:t>
      </w:r>
      <w:r w:rsidRPr="005C585C">
        <w:rPr>
          <w:rFonts w:cs="TimesNewRomanPS-BoldMT"/>
          <w:bCs/>
        </w:rPr>
        <w:t>1333 CIC.</w:t>
      </w:r>
    </w:p>
  </w:footnote>
  <w:footnote w:id="202">
    <w:p w14:paraId="7262FAC7" w14:textId="77777777" w:rsidR="00F26821" w:rsidRPr="009E5FBF" w:rsidRDefault="00F26821" w:rsidP="005C585C">
      <w:pPr>
        <w:pStyle w:val="Textpoznpodarou"/>
        <w:spacing w:line="240" w:lineRule="auto"/>
      </w:pPr>
      <w:r w:rsidRPr="009E5FBF">
        <w:rPr>
          <w:rStyle w:val="Znakapoznpodarou"/>
        </w:rPr>
        <w:footnoteRef/>
      </w:r>
      <w:r w:rsidRPr="009E5FBF">
        <w:t xml:space="preserve"> Za současné právní úpravy je však tento trest aplikovatelný pouze na ty laiky, kteří u církevních soudů zastávají pozici členy senátu.</w:t>
      </w:r>
    </w:p>
  </w:footnote>
  <w:footnote w:id="203">
    <w:p w14:paraId="5A3B883F" w14:textId="7A0179D8" w:rsidR="00F26821" w:rsidRPr="005C585C" w:rsidRDefault="00F26821" w:rsidP="005C585C">
      <w:pPr>
        <w:pStyle w:val="Odstavecseseznamem"/>
        <w:spacing w:after="0" w:line="240" w:lineRule="auto"/>
        <w:ind w:left="0"/>
        <w:rPr>
          <w:rFonts w:ascii="Garamond" w:hAnsi="Garamond"/>
          <w:sz w:val="20"/>
          <w:szCs w:val="20"/>
        </w:rPr>
      </w:pPr>
      <w:r w:rsidRPr="005C585C">
        <w:rPr>
          <w:rStyle w:val="Znakapoznpodarou"/>
          <w:rFonts w:ascii="Garamond" w:hAnsi="Garamond"/>
          <w:sz w:val="20"/>
          <w:szCs w:val="20"/>
        </w:rPr>
        <w:footnoteRef/>
      </w:r>
      <w:r w:rsidRPr="005C585C">
        <w:rPr>
          <w:rFonts w:ascii="Garamond" w:hAnsi="Garamond"/>
          <w:sz w:val="20"/>
          <w:szCs w:val="20"/>
        </w:rPr>
        <w:t xml:space="preserve"> HRDINA, </w:t>
      </w:r>
      <w:r w:rsidRPr="005C585C">
        <w:rPr>
          <w:rFonts w:ascii="Garamond" w:hAnsi="Garamond"/>
          <w:i/>
          <w:sz w:val="20"/>
          <w:szCs w:val="20"/>
        </w:rPr>
        <w:t>Co se (ne)změnilo rekodifikací kanonického trestního práva hmotného</w:t>
      </w:r>
      <w:r w:rsidRPr="005C585C">
        <w:rPr>
          <w:rFonts w:ascii="Garamond" w:hAnsi="Garamond"/>
          <w:sz w:val="20"/>
          <w:szCs w:val="20"/>
        </w:rPr>
        <w:t xml:space="preserve">, </w:t>
      </w:r>
      <w:r>
        <w:rPr>
          <w:rFonts w:ascii="Garamond" w:hAnsi="Garamond"/>
          <w:sz w:val="20"/>
          <w:szCs w:val="20"/>
        </w:rPr>
        <w:t>s.</w:t>
      </w:r>
      <w:r w:rsidRPr="005C585C">
        <w:rPr>
          <w:rFonts w:ascii="Garamond" w:hAnsi="Garamond"/>
          <w:sz w:val="20"/>
          <w:szCs w:val="20"/>
        </w:rPr>
        <w:t xml:space="preserve"> 15.</w:t>
      </w:r>
    </w:p>
  </w:footnote>
  <w:footnote w:id="204">
    <w:p w14:paraId="38E6BEB7" w14:textId="608B4E5D" w:rsidR="00F26821" w:rsidRPr="005C585C" w:rsidRDefault="00F26821" w:rsidP="005C585C">
      <w:pPr>
        <w:spacing w:line="240" w:lineRule="auto"/>
        <w:rPr>
          <w:sz w:val="20"/>
          <w:szCs w:val="20"/>
        </w:rPr>
      </w:pPr>
      <w:r w:rsidRPr="005C585C">
        <w:rPr>
          <w:rStyle w:val="Znakapoznpodarou"/>
          <w:sz w:val="20"/>
          <w:szCs w:val="20"/>
        </w:rPr>
        <w:footnoteRef/>
      </w:r>
      <w:r w:rsidRPr="005C585C">
        <w:rPr>
          <w:sz w:val="20"/>
          <w:szCs w:val="20"/>
        </w:rPr>
        <w:t xml:space="preserve"> </w:t>
      </w:r>
      <w:r w:rsidRPr="005C585C">
        <w:rPr>
          <w:rFonts w:cs="Garamond"/>
          <w:color w:val="000000"/>
          <w:sz w:val="20"/>
          <w:szCs w:val="20"/>
        </w:rPr>
        <w:t xml:space="preserve">HRDINA, </w:t>
      </w:r>
      <w:r w:rsidRPr="005C585C">
        <w:rPr>
          <w:rFonts w:cs="Garamond"/>
          <w:i/>
          <w:iCs/>
          <w:color w:val="000000"/>
          <w:sz w:val="20"/>
          <w:szCs w:val="20"/>
        </w:rPr>
        <w:t>Kanonické právo</w:t>
      </w:r>
      <w:r w:rsidRPr="005C585C">
        <w:rPr>
          <w:rFonts w:cs="Garamond"/>
          <w:iCs/>
          <w:color w:val="000000"/>
          <w:sz w:val="20"/>
          <w:szCs w:val="20"/>
        </w:rPr>
        <w:t xml:space="preserve">, </w:t>
      </w:r>
      <w:r>
        <w:rPr>
          <w:rFonts w:cs="Garamond"/>
          <w:iCs/>
          <w:color w:val="000000"/>
          <w:sz w:val="20"/>
          <w:szCs w:val="20"/>
        </w:rPr>
        <w:t>s.</w:t>
      </w:r>
      <w:r w:rsidRPr="005C585C">
        <w:rPr>
          <w:rFonts w:cs="Garamond"/>
          <w:iCs/>
          <w:color w:val="000000"/>
          <w:sz w:val="20"/>
          <w:szCs w:val="20"/>
        </w:rPr>
        <w:t xml:space="preserve"> </w:t>
      </w:r>
      <w:r w:rsidRPr="005C585C">
        <w:rPr>
          <w:sz w:val="20"/>
          <w:szCs w:val="20"/>
        </w:rPr>
        <w:t>269.</w:t>
      </w:r>
    </w:p>
  </w:footnote>
  <w:footnote w:id="205">
    <w:p w14:paraId="072F468E" w14:textId="242D253A" w:rsidR="00F26821" w:rsidRPr="009603B6" w:rsidRDefault="00F26821" w:rsidP="005C585C">
      <w:pPr>
        <w:pStyle w:val="Default"/>
        <w:jc w:val="both"/>
        <w:rPr>
          <w:color w:val="auto"/>
          <w:sz w:val="20"/>
          <w:szCs w:val="20"/>
        </w:rPr>
      </w:pPr>
      <w:r w:rsidRPr="009603B6">
        <w:rPr>
          <w:rStyle w:val="Znakapoznpodarou"/>
          <w:color w:val="auto"/>
          <w:sz w:val="20"/>
          <w:szCs w:val="20"/>
        </w:rPr>
        <w:footnoteRef/>
      </w:r>
      <w:r w:rsidRPr="009603B6">
        <w:rPr>
          <w:color w:val="auto"/>
          <w:sz w:val="20"/>
          <w:szCs w:val="20"/>
        </w:rPr>
        <w:t xml:space="preserve"> V případě laiků </w:t>
      </w:r>
      <w:r>
        <w:rPr>
          <w:color w:val="auto"/>
          <w:sz w:val="20"/>
          <w:szCs w:val="20"/>
        </w:rPr>
        <w:t>by mohlo</w:t>
      </w:r>
      <w:r w:rsidRPr="009603B6">
        <w:rPr>
          <w:color w:val="auto"/>
          <w:sz w:val="20"/>
          <w:szCs w:val="20"/>
        </w:rPr>
        <w:t xml:space="preserve"> jít o služby lektorátu či </w:t>
      </w:r>
      <w:proofErr w:type="spellStart"/>
      <w:r w:rsidRPr="009603B6">
        <w:rPr>
          <w:color w:val="auto"/>
          <w:sz w:val="20"/>
          <w:szCs w:val="20"/>
        </w:rPr>
        <w:t>akolytátu</w:t>
      </w:r>
      <w:proofErr w:type="spellEnd"/>
      <w:r w:rsidRPr="009603B6">
        <w:rPr>
          <w:color w:val="auto"/>
          <w:sz w:val="20"/>
          <w:szCs w:val="20"/>
        </w:rPr>
        <w:t xml:space="preserve"> [</w:t>
      </w:r>
      <w:r w:rsidRPr="009603B6">
        <w:rPr>
          <w:rFonts w:cs="Arial"/>
          <w:color w:val="auto"/>
          <w:sz w:val="20"/>
          <w:szCs w:val="20"/>
          <w:shd w:val="clear" w:color="auto" w:fill="FFFFFF"/>
        </w:rPr>
        <w:t>PONÍŽIL</w:t>
      </w:r>
      <w:r w:rsidRPr="009603B6">
        <w:rPr>
          <w:color w:val="auto"/>
          <w:sz w:val="20"/>
          <w:szCs w:val="20"/>
        </w:rPr>
        <w:t xml:space="preserve">, </w:t>
      </w:r>
      <w:r>
        <w:rPr>
          <w:color w:val="auto"/>
          <w:sz w:val="20"/>
          <w:szCs w:val="20"/>
        </w:rPr>
        <w:t>s. 57</w:t>
      </w:r>
      <w:r w:rsidRPr="00540B67">
        <w:rPr>
          <w:color w:val="auto"/>
          <w:sz w:val="20"/>
          <w:szCs w:val="20"/>
        </w:rPr>
        <w:sym w:font="Symbol" w:char="F02D"/>
      </w:r>
      <w:r w:rsidRPr="009603B6">
        <w:rPr>
          <w:color w:val="auto"/>
          <w:sz w:val="20"/>
          <w:szCs w:val="20"/>
        </w:rPr>
        <w:t>58].</w:t>
      </w:r>
    </w:p>
  </w:footnote>
  <w:footnote w:id="206">
    <w:p w14:paraId="3BB2616B" w14:textId="7C7BEF2E" w:rsidR="00F26821" w:rsidRPr="00F06F91" w:rsidRDefault="00F26821" w:rsidP="00F06F91">
      <w:pPr>
        <w:pStyle w:val="Textpoznpodarou"/>
        <w:spacing w:line="240" w:lineRule="auto"/>
      </w:pPr>
      <w:r w:rsidRPr="00F06F91">
        <w:rPr>
          <w:rStyle w:val="Znakapoznpodarou"/>
        </w:rPr>
        <w:footnoteRef/>
      </w:r>
      <w:r w:rsidRPr="00F06F91">
        <w:t xml:space="preserve"> Kán. 1336 § 2 až 5 CIC. Trestní laicizaci (jakožto pořádkový trest) je přitom třeba odlišovat od laicizace dobrovolné, kterou klerikovi může na jeho žádost udělit jakožto dispenz papež [</w:t>
      </w:r>
      <w:r w:rsidRPr="00F06F91">
        <w:rPr>
          <w:rFonts w:cs="Garamond"/>
        </w:rPr>
        <w:t>TRETERA, HORÁK, s.</w:t>
      </w:r>
      <w:r w:rsidRPr="00F06F91">
        <w:t xml:space="preserve"> </w:t>
      </w:r>
      <w:r w:rsidRPr="00F06F91">
        <w:rPr>
          <w:rFonts w:cs="TimesNewRomanPSMT"/>
        </w:rPr>
        <w:t>334].</w:t>
      </w:r>
    </w:p>
  </w:footnote>
  <w:footnote w:id="207">
    <w:p w14:paraId="55355F7F" w14:textId="1F85BF8E" w:rsidR="00F26821" w:rsidRPr="00F06F91" w:rsidRDefault="00F26821" w:rsidP="00F06F91">
      <w:pPr>
        <w:autoSpaceDE w:val="0"/>
        <w:autoSpaceDN w:val="0"/>
        <w:adjustRightInd w:val="0"/>
        <w:spacing w:line="240" w:lineRule="auto"/>
        <w:rPr>
          <w:sz w:val="20"/>
          <w:szCs w:val="20"/>
        </w:rPr>
      </w:pPr>
      <w:r w:rsidRPr="00F06F91">
        <w:rPr>
          <w:sz w:val="20"/>
          <w:szCs w:val="20"/>
          <w:vertAlign w:val="superscript"/>
        </w:rPr>
        <w:footnoteRef/>
      </w:r>
      <w:r w:rsidRPr="00F06F91">
        <w:rPr>
          <w:sz w:val="20"/>
          <w:szCs w:val="20"/>
        </w:rPr>
        <w:t xml:space="preserve"> NĚMEC, s. 9. </w:t>
      </w:r>
      <w:r>
        <w:rPr>
          <w:sz w:val="20"/>
          <w:szCs w:val="20"/>
        </w:rPr>
        <w:t>Propuštění</w:t>
      </w:r>
      <w:r w:rsidRPr="00F06F91">
        <w:rPr>
          <w:sz w:val="20"/>
          <w:szCs w:val="20"/>
        </w:rPr>
        <w:t xml:space="preserve"> z klerického stavu není automaticky spojen</w:t>
      </w:r>
      <w:r>
        <w:rPr>
          <w:sz w:val="20"/>
          <w:szCs w:val="20"/>
        </w:rPr>
        <w:t>o se</w:t>
      </w:r>
      <w:r w:rsidRPr="00F06F91">
        <w:rPr>
          <w:sz w:val="20"/>
          <w:szCs w:val="20"/>
        </w:rPr>
        <w:t xml:space="preserve"> zánik</w:t>
      </w:r>
      <w:r>
        <w:rPr>
          <w:sz w:val="20"/>
          <w:szCs w:val="20"/>
        </w:rPr>
        <w:t>em</w:t>
      </w:r>
      <w:r w:rsidRPr="00F06F91">
        <w:rPr>
          <w:sz w:val="20"/>
          <w:szCs w:val="20"/>
        </w:rPr>
        <w:t xml:space="preserve"> závazku celibátu; ten je vázán na zvláštní řízení zahajované zásadně na </w:t>
      </w:r>
      <w:r>
        <w:rPr>
          <w:sz w:val="20"/>
          <w:szCs w:val="20"/>
        </w:rPr>
        <w:t xml:space="preserve">klerikovu </w:t>
      </w:r>
      <w:r w:rsidRPr="00F06F91">
        <w:rPr>
          <w:sz w:val="20"/>
          <w:szCs w:val="20"/>
        </w:rPr>
        <w:t>žádost a k udělení takové dispense je oprávněn pouze papež.</w:t>
      </w:r>
    </w:p>
  </w:footnote>
  <w:footnote w:id="208">
    <w:p w14:paraId="2F5BA997" w14:textId="3C4D0265" w:rsidR="00F26821" w:rsidRPr="00F06F91" w:rsidRDefault="00F26821" w:rsidP="005C585C">
      <w:pPr>
        <w:pStyle w:val="Default"/>
        <w:jc w:val="both"/>
        <w:rPr>
          <w:color w:val="auto"/>
          <w:sz w:val="20"/>
          <w:szCs w:val="20"/>
        </w:rPr>
      </w:pPr>
      <w:r w:rsidRPr="00F06F91">
        <w:rPr>
          <w:rStyle w:val="Znakapoznpodarou"/>
          <w:color w:val="auto"/>
          <w:sz w:val="20"/>
          <w:szCs w:val="20"/>
        </w:rPr>
        <w:footnoteRef/>
      </w:r>
      <w:r w:rsidRPr="00F06F91">
        <w:rPr>
          <w:color w:val="auto"/>
          <w:sz w:val="20"/>
          <w:szCs w:val="20"/>
        </w:rPr>
        <w:t xml:space="preserve"> </w:t>
      </w:r>
      <w:r w:rsidRPr="00F06F91">
        <w:rPr>
          <w:rFonts w:cs="Arial"/>
          <w:color w:val="212529"/>
          <w:sz w:val="20"/>
          <w:szCs w:val="20"/>
          <w:shd w:val="clear" w:color="auto" w:fill="FFFFFF"/>
        </w:rPr>
        <w:t>PONÍŽIL</w:t>
      </w:r>
      <w:r w:rsidRPr="00F06F91">
        <w:rPr>
          <w:color w:val="auto"/>
          <w:sz w:val="20"/>
          <w:szCs w:val="20"/>
        </w:rPr>
        <w:t>, s. 57</w:t>
      </w:r>
      <w:r w:rsidRPr="00F06F91">
        <w:rPr>
          <w:color w:val="auto"/>
          <w:sz w:val="20"/>
          <w:szCs w:val="20"/>
        </w:rPr>
        <w:sym w:font="Symbol" w:char="F02D"/>
      </w:r>
      <w:r w:rsidRPr="00F06F91">
        <w:rPr>
          <w:color w:val="auto"/>
          <w:sz w:val="20"/>
          <w:szCs w:val="20"/>
        </w:rPr>
        <w:t>58.</w:t>
      </w:r>
    </w:p>
  </w:footnote>
  <w:footnote w:id="209">
    <w:p w14:paraId="6A85D43A" w14:textId="77777777" w:rsidR="00F26821" w:rsidRPr="00F06F91" w:rsidRDefault="00F26821" w:rsidP="005C585C">
      <w:pPr>
        <w:pStyle w:val="Textpoznpodarou"/>
        <w:spacing w:line="240" w:lineRule="auto"/>
      </w:pPr>
      <w:r w:rsidRPr="00F06F91">
        <w:rPr>
          <w:rStyle w:val="Znakapoznpodarou"/>
        </w:rPr>
        <w:footnoteRef/>
      </w:r>
      <w:r w:rsidRPr="00F06F91">
        <w:t xml:space="preserve"> Kán. 1312 § 2 CIC.</w:t>
      </w:r>
    </w:p>
  </w:footnote>
  <w:footnote w:id="210">
    <w:p w14:paraId="2B2BB520" w14:textId="1E3AC0C1" w:rsidR="00F26821" w:rsidRPr="008443B7" w:rsidRDefault="00F26821" w:rsidP="008443B7">
      <w:pPr>
        <w:spacing w:line="240" w:lineRule="auto"/>
        <w:rPr>
          <w:sz w:val="20"/>
          <w:szCs w:val="20"/>
        </w:rPr>
      </w:pPr>
      <w:r w:rsidRPr="008443B7">
        <w:rPr>
          <w:rStyle w:val="Znakapoznpodarou"/>
          <w:sz w:val="20"/>
          <w:szCs w:val="20"/>
        </w:rPr>
        <w:footnoteRef/>
      </w:r>
      <w:r w:rsidRPr="008443B7">
        <w:rPr>
          <w:sz w:val="20"/>
          <w:szCs w:val="20"/>
        </w:rPr>
        <w:t xml:space="preserve"> </w:t>
      </w:r>
      <w:r w:rsidRPr="008443B7">
        <w:rPr>
          <w:rFonts w:eastAsia="Calibri" w:cs="CIDFont+F5"/>
          <w:sz w:val="20"/>
          <w:szCs w:val="20"/>
          <w:lang w:eastAsia="en-US"/>
        </w:rPr>
        <w:t>ZEMANOVÁ</w:t>
      </w:r>
      <w:r w:rsidRPr="008443B7">
        <w:rPr>
          <w:sz w:val="20"/>
          <w:szCs w:val="20"/>
        </w:rPr>
        <w:t>, s. 141</w:t>
      </w:r>
      <w:r w:rsidRPr="008443B7">
        <w:rPr>
          <w:rFonts w:cs="Garamond"/>
          <w:sz w:val="20"/>
          <w:szCs w:val="20"/>
        </w:rPr>
        <w:sym w:font="Symbol" w:char="F02D"/>
      </w:r>
      <w:r w:rsidRPr="008443B7">
        <w:rPr>
          <w:sz w:val="20"/>
          <w:szCs w:val="20"/>
        </w:rPr>
        <w:t>144.</w:t>
      </w:r>
    </w:p>
  </w:footnote>
  <w:footnote w:id="211">
    <w:p w14:paraId="46D0505C" w14:textId="77777777" w:rsidR="00F26821" w:rsidRPr="008443B7" w:rsidRDefault="00F26821" w:rsidP="008443B7">
      <w:pPr>
        <w:spacing w:line="240" w:lineRule="auto"/>
        <w:rPr>
          <w:sz w:val="20"/>
          <w:szCs w:val="20"/>
        </w:rPr>
      </w:pPr>
      <w:r w:rsidRPr="008443B7">
        <w:rPr>
          <w:rStyle w:val="Znakapoznpodarou"/>
          <w:sz w:val="20"/>
          <w:szCs w:val="20"/>
        </w:rPr>
        <w:footnoteRef/>
      </w:r>
      <w:r w:rsidRPr="008443B7">
        <w:rPr>
          <w:sz w:val="20"/>
          <w:szCs w:val="20"/>
        </w:rPr>
        <w:t xml:space="preserve"> R</w:t>
      </w:r>
      <w:r w:rsidRPr="008443B7">
        <w:rPr>
          <w:rFonts w:eastAsia="Calibri" w:cs="CIDFont+F5"/>
          <w:sz w:val="20"/>
          <w:szCs w:val="20"/>
          <w:lang w:eastAsia="en-US"/>
        </w:rPr>
        <w:t xml:space="preserve">ozhodnutí NSS ze dne 11. 6. 2009, č. j. 13 </w:t>
      </w:r>
      <w:proofErr w:type="spellStart"/>
      <w:r w:rsidRPr="008443B7">
        <w:rPr>
          <w:rFonts w:eastAsia="Calibri" w:cs="CIDFont+F5"/>
          <w:sz w:val="20"/>
          <w:szCs w:val="20"/>
          <w:lang w:eastAsia="en-US"/>
        </w:rPr>
        <w:t>Kss</w:t>
      </w:r>
      <w:proofErr w:type="spellEnd"/>
      <w:r w:rsidRPr="008443B7">
        <w:rPr>
          <w:rFonts w:eastAsia="Calibri" w:cs="CIDFont+F5"/>
          <w:sz w:val="20"/>
          <w:szCs w:val="20"/>
          <w:lang w:eastAsia="en-US"/>
        </w:rPr>
        <w:t xml:space="preserve"> 1/2009-44.</w:t>
      </w:r>
    </w:p>
  </w:footnote>
  <w:footnote w:id="212">
    <w:p w14:paraId="40A7BB0E" w14:textId="77777777" w:rsidR="00F26821" w:rsidRPr="008443B7" w:rsidRDefault="00F26821" w:rsidP="008443B7">
      <w:pPr>
        <w:spacing w:line="240" w:lineRule="auto"/>
        <w:rPr>
          <w:sz w:val="20"/>
          <w:szCs w:val="20"/>
        </w:rPr>
      </w:pPr>
      <w:r w:rsidRPr="008443B7">
        <w:rPr>
          <w:rStyle w:val="Znakapoznpodarou"/>
          <w:sz w:val="20"/>
          <w:szCs w:val="20"/>
        </w:rPr>
        <w:footnoteRef/>
      </w:r>
      <w:r w:rsidRPr="008443B7">
        <w:rPr>
          <w:sz w:val="20"/>
          <w:szCs w:val="20"/>
        </w:rPr>
        <w:t xml:space="preserve"> Sjednané přiměřeně podle § 175a a násl. TŘ.</w:t>
      </w:r>
    </w:p>
  </w:footnote>
  <w:footnote w:id="213">
    <w:p w14:paraId="7DBFD58F" w14:textId="77777777" w:rsidR="00F26821" w:rsidRPr="008443B7" w:rsidRDefault="00F26821" w:rsidP="008443B7">
      <w:pPr>
        <w:spacing w:line="240" w:lineRule="auto"/>
        <w:rPr>
          <w:sz w:val="20"/>
          <w:szCs w:val="20"/>
        </w:rPr>
      </w:pPr>
      <w:r w:rsidRPr="008443B7">
        <w:rPr>
          <w:rStyle w:val="Znakapoznpodarou"/>
          <w:sz w:val="20"/>
          <w:szCs w:val="20"/>
        </w:rPr>
        <w:footnoteRef/>
      </w:r>
      <w:r w:rsidRPr="008443B7">
        <w:rPr>
          <w:sz w:val="20"/>
          <w:szCs w:val="20"/>
        </w:rPr>
        <w:t xml:space="preserve"> </w:t>
      </w:r>
      <w:r w:rsidRPr="008443B7">
        <w:rPr>
          <w:rFonts w:eastAsia="Calibri" w:cs="CIDFont+F5"/>
          <w:sz w:val="20"/>
          <w:szCs w:val="20"/>
          <w:lang w:eastAsia="en-US"/>
        </w:rPr>
        <w:t xml:space="preserve">Rozhodnutí NSS ze dne 1. 6. 2020, č. j. 11 </w:t>
      </w:r>
      <w:proofErr w:type="spellStart"/>
      <w:r w:rsidRPr="008443B7">
        <w:rPr>
          <w:rFonts w:eastAsia="Calibri" w:cs="CIDFont+F5"/>
          <w:sz w:val="20"/>
          <w:szCs w:val="20"/>
          <w:lang w:eastAsia="en-US"/>
        </w:rPr>
        <w:t>Kss</w:t>
      </w:r>
      <w:proofErr w:type="spellEnd"/>
      <w:r w:rsidRPr="008443B7">
        <w:rPr>
          <w:rFonts w:eastAsia="Calibri" w:cs="CIDFont+F5"/>
          <w:sz w:val="20"/>
          <w:szCs w:val="20"/>
          <w:lang w:eastAsia="en-US"/>
        </w:rPr>
        <w:t xml:space="preserve"> 2/2020-88.</w:t>
      </w:r>
    </w:p>
  </w:footnote>
  <w:footnote w:id="214">
    <w:p w14:paraId="4370C81C" w14:textId="153CF4A5" w:rsidR="00F26821" w:rsidRPr="008443B7" w:rsidRDefault="00F26821" w:rsidP="008443B7">
      <w:pPr>
        <w:spacing w:line="240" w:lineRule="auto"/>
        <w:rPr>
          <w:sz w:val="20"/>
          <w:szCs w:val="20"/>
        </w:rPr>
      </w:pPr>
      <w:r w:rsidRPr="008443B7">
        <w:rPr>
          <w:rStyle w:val="Znakapoznpodarou"/>
          <w:sz w:val="20"/>
          <w:szCs w:val="20"/>
        </w:rPr>
        <w:footnoteRef/>
      </w:r>
      <w:r w:rsidRPr="008443B7">
        <w:rPr>
          <w:sz w:val="20"/>
          <w:szCs w:val="20"/>
        </w:rPr>
        <w:t xml:space="preserve"> § 41</w:t>
      </w:r>
      <w:r w:rsidRPr="008443B7">
        <w:rPr>
          <w:rFonts w:cs="Garamond"/>
          <w:sz w:val="20"/>
          <w:szCs w:val="20"/>
        </w:rPr>
        <w:sym w:font="Symbol" w:char="F02D"/>
      </w:r>
      <w:r w:rsidRPr="008443B7">
        <w:rPr>
          <w:sz w:val="20"/>
          <w:szCs w:val="20"/>
        </w:rPr>
        <w:t>42 TZ.</w:t>
      </w:r>
    </w:p>
  </w:footnote>
  <w:footnote w:id="215">
    <w:p w14:paraId="1D4756B3" w14:textId="77777777" w:rsidR="00F26821" w:rsidRPr="008443B7" w:rsidRDefault="00F26821" w:rsidP="001B0AE2">
      <w:pPr>
        <w:spacing w:line="240" w:lineRule="auto"/>
        <w:rPr>
          <w:rFonts w:cs="Garamond"/>
          <w:sz w:val="20"/>
          <w:szCs w:val="20"/>
        </w:rPr>
      </w:pPr>
      <w:r w:rsidRPr="008443B7">
        <w:rPr>
          <w:rStyle w:val="Znakapoznpodarou"/>
          <w:sz w:val="20"/>
          <w:szCs w:val="20"/>
        </w:rPr>
        <w:footnoteRef/>
      </w:r>
      <w:r w:rsidRPr="008443B7">
        <w:rPr>
          <w:sz w:val="20"/>
          <w:szCs w:val="20"/>
        </w:rPr>
        <w:t xml:space="preserve"> Naopak CCEO (shodně jako kárná úprava) </w:t>
      </w:r>
      <w:r w:rsidRPr="008443B7">
        <w:rPr>
          <w:rFonts w:cs="Garamond"/>
          <w:sz w:val="20"/>
          <w:szCs w:val="20"/>
        </w:rPr>
        <w:t>neobsahuje výčet konkrétních polehčujících ani přitěžujících okolností, ale odkazuje pouze na všeobecnou praxi a kanonickou nauku [DVOŘÁČEK, s. 27</w:t>
      </w:r>
      <w:r w:rsidRPr="008443B7">
        <w:rPr>
          <w:rFonts w:cs="Garamond"/>
          <w:sz w:val="20"/>
          <w:szCs w:val="20"/>
        </w:rPr>
        <w:sym w:font="Symbol" w:char="F02D"/>
      </w:r>
      <w:r w:rsidRPr="008443B7">
        <w:rPr>
          <w:rFonts w:cs="Garamond"/>
          <w:sz w:val="20"/>
          <w:szCs w:val="20"/>
        </w:rPr>
        <w:t>30].</w:t>
      </w:r>
    </w:p>
  </w:footnote>
  <w:footnote w:id="216">
    <w:p w14:paraId="48EED84D" w14:textId="24C0752A" w:rsidR="00F26821" w:rsidRDefault="00F26821" w:rsidP="001B0AE2">
      <w:pPr>
        <w:pStyle w:val="Textpoznpodarou"/>
        <w:spacing w:line="240" w:lineRule="auto"/>
      </w:pPr>
      <w:r>
        <w:rPr>
          <w:rStyle w:val="Znakapoznpodarou"/>
        </w:rPr>
        <w:footnoteRef/>
      </w:r>
      <w:r>
        <w:t xml:space="preserve"> Kán. 1322</w:t>
      </w:r>
      <w:r w:rsidRPr="008443B7">
        <w:rPr>
          <w:rFonts w:cs="Garamond"/>
        </w:rPr>
        <w:sym w:font="Symbol" w:char="F02D"/>
      </w:r>
      <w:r>
        <w:rPr>
          <w:rFonts w:cs="Garamond"/>
        </w:rPr>
        <w:t xml:space="preserve">1323 CIC. V případě jejich naplnění není pachatel trestně odpovědný, a tedy nepodléhá sankci; soud k nim přihlíží </w:t>
      </w:r>
      <w:r w:rsidRPr="00204729">
        <w:rPr>
          <w:rFonts w:cs="Garamond"/>
          <w:i/>
        </w:rPr>
        <w:t>ex offo</w:t>
      </w:r>
      <w:r>
        <w:rPr>
          <w:rFonts w:cs="Garamond"/>
        </w:rPr>
        <w:t xml:space="preserve">. Tyto okolnosti v práci blíže nerozebírám, neboť se </w:t>
      </w:r>
      <w:proofErr w:type="spellStart"/>
      <w:r w:rsidRPr="002F458B">
        <w:rPr>
          <w:rFonts w:cs="Garamond"/>
          <w:i/>
        </w:rPr>
        <w:t>stricto</w:t>
      </w:r>
      <w:proofErr w:type="spellEnd"/>
      <w:r w:rsidRPr="002F458B">
        <w:rPr>
          <w:rFonts w:cs="Garamond"/>
          <w:i/>
        </w:rPr>
        <w:t xml:space="preserve"> </w:t>
      </w:r>
      <w:proofErr w:type="spellStart"/>
      <w:r w:rsidRPr="002F458B">
        <w:rPr>
          <w:rFonts w:cs="Garamond"/>
          <w:i/>
        </w:rPr>
        <w:t>sensu</w:t>
      </w:r>
      <w:proofErr w:type="spellEnd"/>
      <w:r>
        <w:rPr>
          <w:rFonts w:cs="Garamond"/>
        </w:rPr>
        <w:t xml:space="preserve"> netýkají problematiky ukládání trestů.</w:t>
      </w:r>
    </w:p>
  </w:footnote>
  <w:footnote w:id="217">
    <w:p w14:paraId="6597FBA4" w14:textId="77777777" w:rsidR="00F26821" w:rsidRPr="008443B7" w:rsidRDefault="00F26821" w:rsidP="001B0AE2">
      <w:pPr>
        <w:spacing w:line="240" w:lineRule="auto"/>
        <w:rPr>
          <w:sz w:val="20"/>
          <w:szCs w:val="20"/>
        </w:rPr>
      </w:pPr>
      <w:r w:rsidRPr="008443B7">
        <w:rPr>
          <w:rStyle w:val="Znakapoznpodarou"/>
          <w:sz w:val="20"/>
          <w:szCs w:val="20"/>
        </w:rPr>
        <w:footnoteRef/>
      </w:r>
      <w:r w:rsidRPr="008443B7">
        <w:rPr>
          <w:sz w:val="20"/>
          <w:szCs w:val="20"/>
        </w:rPr>
        <w:t xml:space="preserve"> </w:t>
      </w:r>
      <w:r w:rsidRPr="008443B7">
        <w:rPr>
          <w:rFonts w:cs="TimesNewRomanPS-BoldMT"/>
          <w:bCs/>
          <w:sz w:val="20"/>
          <w:szCs w:val="20"/>
        </w:rPr>
        <w:t>Kán. 1327 CIC.</w:t>
      </w:r>
    </w:p>
  </w:footnote>
  <w:footnote w:id="218">
    <w:p w14:paraId="129DB632" w14:textId="1051BC8B" w:rsidR="00F26821" w:rsidRPr="008443B7" w:rsidRDefault="00F26821" w:rsidP="001B0AE2">
      <w:pPr>
        <w:spacing w:line="240" w:lineRule="auto"/>
        <w:rPr>
          <w:sz w:val="20"/>
          <w:szCs w:val="20"/>
        </w:rPr>
      </w:pPr>
      <w:r w:rsidRPr="008443B7">
        <w:rPr>
          <w:rStyle w:val="Znakapoznpodarou"/>
          <w:sz w:val="20"/>
          <w:szCs w:val="20"/>
        </w:rPr>
        <w:footnoteRef/>
      </w:r>
      <w:r w:rsidRPr="008443B7">
        <w:rPr>
          <w:sz w:val="20"/>
          <w:szCs w:val="20"/>
        </w:rPr>
        <w:t xml:space="preserve"> </w:t>
      </w:r>
      <w:r w:rsidRPr="008443B7">
        <w:rPr>
          <w:rFonts w:cs="Garamond"/>
          <w:color w:val="000000"/>
          <w:sz w:val="20"/>
          <w:szCs w:val="20"/>
        </w:rPr>
        <w:t xml:space="preserve">HRDINA, </w:t>
      </w:r>
      <w:r w:rsidRPr="008443B7">
        <w:rPr>
          <w:rFonts w:cs="Garamond"/>
          <w:i/>
          <w:iCs/>
          <w:color w:val="000000"/>
          <w:sz w:val="20"/>
          <w:szCs w:val="20"/>
        </w:rPr>
        <w:t>Kanonické právo</w:t>
      </w:r>
      <w:r w:rsidRPr="008443B7">
        <w:rPr>
          <w:rFonts w:cs="Garamond"/>
          <w:iCs/>
          <w:color w:val="000000"/>
          <w:sz w:val="20"/>
          <w:szCs w:val="20"/>
        </w:rPr>
        <w:t xml:space="preserve">, s. </w:t>
      </w:r>
      <w:r w:rsidRPr="008443B7">
        <w:rPr>
          <w:sz w:val="20"/>
          <w:szCs w:val="20"/>
        </w:rPr>
        <w:t>272.</w:t>
      </w:r>
    </w:p>
  </w:footnote>
  <w:footnote w:id="219">
    <w:p w14:paraId="47635A0E" w14:textId="77777777" w:rsidR="00F26821" w:rsidRPr="008443B7" w:rsidRDefault="00F26821" w:rsidP="008443B7">
      <w:pPr>
        <w:spacing w:line="240" w:lineRule="auto"/>
        <w:rPr>
          <w:sz w:val="20"/>
          <w:szCs w:val="20"/>
        </w:rPr>
      </w:pPr>
      <w:r w:rsidRPr="008443B7">
        <w:rPr>
          <w:rStyle w:val="Znakapoznpodarou"/>
          <w:sz w:val="20"/>
          <w:szCs w:val="20"/>
        </w:rPr>
        <w:footnoteRef/>
      </w:r>
      <w:r w:rsidRPr="008443B7">
        <w:rPr>
          <w:sz w:val="20"/>
          <w:szCs w:val="20"/>
        </w:rPr>
        <w:t xml:space="preserve"> </w:t>
      </w:r>
      <w:r w:rsidRPr="008443B7">
        <w:rPr>
          <w:rFonts w:cs="TimesNewRomanPS-BoldMT"/>
          <w:bCs/>
          <w:sz w:val="20"/>
          <w:szCs w:val="20"/>
        </w:rPr>
        <w:t>Kán. 1325 CIC.</w:t>
      </w:r>
    </w:p>
  </w:footnote>
  <w:footnote w:id="220">
    <w:p w14:paraId="4982A646" w14:textId="6EC641FE" w:rsidR="00F26821" w:rsidRPr="008443B7" w:rsidRDefault="00F26821" w:rsidP="00C262B2">
      <w:pPr>
        <w:spacing w:line="240" w:lineRule="auto"/>
        <w:rPr>
          <w:sz w:val="20"/>
          <w:szCs w:val="20"/>
        </w:rPr>
      </w:pPr>
      <w:r w:rsidRPr="008443B7">
        <w:rPr>
          <w:rStyle w:val="Znakapoznpodarou"/>
          <w:sz w:val="20"/>
          <w:szCs w:val="20"/>
        </w:rPr>
        <w:footnoteRef/>
      </w:r>
      <w:r w:rsidRPr="008443B7">
        <w:rPr>
          <w:sz w:val="20"/>
          <w:szCs w:val="20"/>
        </w:rPr>
        <w:t xml:space="preserve"> Kán. 1324 § 1 CIC.</w:t>
      </w:r>
      <w:r>
        <w:rPr>
          <w:sz w:val="20"/>
          <w:szCs w:val="20"/>
        </w:rPr>
        <w:t xml:space="preserve"> Jedná se v mnoha případech o přísnější alternativu některé z vylučujících okolností uvedených v kán. 1323 CIC.</w:t>
      </w:r>
    </w:p>
  </w:footnote>
  <w:footnote w:id="221">
    <w:p w14:paraId="3431A771" w14:textId="5EA81EF6" w:rsidR="00F26821" w:rsidRPr="005D0C6B" w:rsidRDefault="00F26821" w:rsidP="00C262B2">
      <w:pPr>
        <w:pStyle w:val="Textpoznpodarou"/>
        <w:spacing w:line="240" w:lineRule="auto"/>
        <w:rPr>
          <w:rFonts w:cs="Garamond"/>
        </w:rPr>
      </w:pPr>
      <w:r w:rsidRPr="005D0C6B">
        <w:rPr>
          <w:rStyle w:val="Znakapoznpodarou"/>
        </w:rPr>
        <w:footnoteRef/>
      </w:r>
      <w:r w:rsidRPr="005D0C6B">
        <w:t xml:space="preserve"> P</w:t>
      </w:r>
      <w:r w:rsidRPr="005D0C6B">
        <w:rPr>
          <w:rFonts w:cs="Garamond"/>
        </w:rPr>
        <w:t xml:space="preserve">odle kán. 1416 CCEO stále platí, že soudce toliko </w:t>
      </w:r>
      <w:r w:rsidRPr="005D0C6B">
        <w:rPr>
          <w:rFonts w:cs="Garamond"/>
          <w:i/>
          <w:iCs/>
        </w:rPr>
        <w:t xml:space="preserve">může </w:t>
      </w:r>
      <w:r w:rsidRPr="005D0C6B">
        <w:rPr>
          <w:rFonts w:cs="Garamond"/>
        </w:rPr>
        <w:t>pachate</w:t>
      </w:r>
      <w:r>
        <w:rPr>
          <w:rFonts w:cs="Garamond"/>
        </w:rPr>
        <w:t>le potrestat přísnějším trestem [DVOŘÁČEK, s. 30</w:t>
      </w:r>
      <w:r w:rsidRPr="00540B67">
        <w:rPr>
          <w:rFonts w:cs="Garamond"/>
        </w:rPr>
        <w:sym w:font="Symbol" w:char="F02D"/>
      </w:r>
      <w:r>
        <w:rPr>
          <w:rFonts w:cs="Garamond"/>
        </w:rPr>
        <w:t>31].</w:t>
      </w:r>
    </w:p>
  </w:footnote>
  <w:footnote w:id="222">
    <w:p w14:paraId="6FF175FC" w14:textId="60033F5B" w:rsidR="00F26821" w:rsidRPr="005C585C" w:rsidRDefault="00F26821" w:rsidP="00C262B2">
      <w:pPr>
        <w:pStyle w:val="Textpoznpodarou"/>
        <w:spacing w:line="240" w:lineRule="auto"/>
      </w:pPr>
      <w:r w:rsidRPr="005C585C">
        <w:rPr>
          <w:rStyle w:val="Znakapoznpodarou"/>
        </w:rPr>
        <w:footnoteRef/>
      </w:r>
      <w:r w:rsidRPr="005C585C">
        <w:t xml:space="preserve"> </w:t>
      </w:r>
      <w:r w:rsidRPr="005C585C">
        <w:rPr>
          <w:rFonts w:cs="Garamond"/>
          <w:color w:val="000000"/>
        </w:rPr>
        <w:t xml:space="preserve">HRDINA, </w:t>
      </w:r>
      <w:r w:rsidRPr="005C585C">
        <w:rPr>
          <w:rFonts w:cs="Garamond"/>
          <w:i/>
          <w:iCs/>
          <w:color w:val="000000"/>
        </w:rPr>
        <w:t>Kanonické právo</w:t>
      </w:r>
      <w:r w:rsidRPr="005C585C">
        <w:rPr>
          <w:rFonts w:cs="Garamond"/>
          <w:iCs/>
          <w:color w:val="000000"/>
        </w:rPr>
        <w:t xml:space="preserve">, </w:t>
      </w:r>
      <w:r>
        <w:rPr>
          <w:rFonts w:cs="Garamond"/>
          <w:iCs/>
          <w:color w:val="000000"/>
        </w:rPr>
        <w:t>s.</w:t>
      </w:r>
      <w:r w:rsidRPr="005C585C">
        <w:rPr>
          <w:rFonts w:cs="Garamond"/>
          <w:iCs/>
          <w:color w:val="000000"/>
        </w:rPr>
        <w:t xml:space="preserve"> </w:t>
      </w:r>
      <w:r w:rsidRPr="005C585C">
        <w:t>272.</w:t>
      </w:r>
    </w:p>
  </w:footnote>
  <w:footnote w:id="223">
    <w:p w14:paraId="1D483FE2" w14:textId="7427AEFC" w:rsidR="00F26821" w:rsidRPr="005C585C" w:rsidRDefault="00F26821" w:rsidP="00C262B2">
      <w:pPr>
        <w:spacing w:line="240" w:lineRule="auto"/>
        <w:rPr>
          <w:sz w:val="20"/>
          <w:szCs w:val="20"/>
        </w:rPr>
      </w:pPr>
      <w:r w:rsidRPr="005C585C">
        <w:rPr>
          <w:rStyle w:val="Znakapoznpodarou"/>
          <w:sz w:val="20"/>
          <w:szCs w:val="20"/>
        </w:rPr>
        <w:footnoteRef/>
      </w:r>
      <w:r w:rsidRPr="005C585C">
        <w:rPr>
          <w:sz w:val="20"/>
          <w:szCs w:val="20"/>
        </w:rPr>
        <w:t xml:space="preserve"> HRDINA, </w:t>
      </w:r>
      <w:r w:rsidRPr="005C585C">
        <w:rPr>
          <w:i/>
          <w:sz w:val="20"/>
          <w:szCs w:val="20"/>
        </w:rPr>
        <w:t>Co se (ne)změnilo rekodifikací kanonického trestního práva hmotného</w:t>
      </w:r>
      <w:r w:rsidRPr="005C585C">
        <w:rPr>
          <w:sz w:val="20"/>
          <w:szCs w:val="20"/>
        </w:rPr>
        <w:t xml:space="preserve">, </w:t>
      </w:r>
      <w:r>
        <w:rPr>
          <w:sz w:val="20"/>
          <w:szCs w:val="20"/>
        </w:rPr>
        <w:t>s. 24</w:t>
      </w:r>
      <w:r w:rsidRPr="00540B67">
        <w:rPr>
          <w:rFonts w:cs="Garamond"/>
          <w:sz w:val="20"/>
          <w:szCs w:val="20"/>
        </w:rPr>
        <w:sym w:font="Symbol" w:char="F02D"/>
      </w:r>
      <w:r w:rsidRPr="005C585C">
        <w:rPr>
          <w:sz w:val="20"/>
          <w:szCs w:val="20"/>
        </w:rPr>
        <w:t>25.</w:t>
      </w:r>
    </w:p>
  </w:footnote>
  <w:footnote w:id="224">
    <w:p w14:paraId="77C773FA" w14:textId="77777777" w:rsidR="00F26821" w:rsidRPr="005C585C" w:rsidRDefault="00F26821" w:rsidP="00C262B2">
      <w:pPr>
        <w:pStyle w:val="Textpoznpodarou"/>
        <w:spacing w:line="240" w:lineRule="auto"/>
      </w:pPr>
      <w:r w:rsidRPr="005C585C">
        <w:rPr>
          <w:rStyle w:val="Znakapoznpodarou"/>
        </w:rPr>
        <w:footnoteRef/>
      </w:r>
      <w:r w:rsidRPr="005C585C">
        <w:t xml:space="preserve"> Kán. 1326 § 2 CIC.</w:t>
      </w:r>
    </w:p>
  </w:footnote>
  <w:footnote w:id="225">
    <w:p w14:paraId="39B92479" w14:textId="5776E70E" w:rsidR="00F26821" w:rsidRPr="00F453A8" w:rsidRDefault="00F26821" w:rsidP="00C262B2">
      <w:pPr>
        <w:pStyle w:val="Default"/>
        <w:jc w:val="both"/>
        <w:rPr>
          <w:color w:val="auto"/>
          <w:sz w:val="20"/>
          <w:szCs w:val="20"/>
        </w:rPr>
      </w:pPr>
      <w:r w:rsidRPr="00F453A8">
        <w:rPr>
          <w:rStyle w:val="Znakapoznpodarou"/>
          <w:color w:val="auto"/>
          <w:sz w:val="20"/>
          <w:szCs w:val="20"/>
        </w:rPr>
        <w:footnoteRef/>
      </w:r>
      <w:r w:rsidRPr="00F453A8">
        <w:rPr>
          <w:color w:val="auto"/>
          <w:sz w:val="20"/>
          <w:szCs w:val="20"/>
        </w:rPr>
        <w:t xml:space="preserve"> </w:t>
      </w:r>
      <w:r>
        <w:rPr>
          <w:color w:val="auto"/>
          <w:sz w:val="20"/>
          <w:szCs w:val="20"/>
        </w:rPr>
        <w:t>Jde</w:t>
      </w:r>
      <w:r w:rsidRPr="00F453A8">
        <w:rPr>
          <w:color w:val="auto"/>
          <w:sz w:val="20"/>
          <w:szCs w:val="20"/>
        </w:rPr>
        <w:t xml:space="preserve"> o inkorporaci institutu tzv. </w:t>
      </w:r>
      <w:proofErr w:type="spellStart"/>
      <w:r w:rsidRPr="00F453A8">
        <w:rPr>
          <w:i/>
          <w:iCs/>
          <w:color w:val="auto"/>
          <w:sz w:val="20"/>
          <w:szCs w:val="20"/>
        </w:rPr>
        <w:t>actio</w:t>
      </w:r>
      <w:proofErr w:type="spellEnd"/>
      <w:r w:rsidRPr="00F453A8">
        <w:rPr>
          <w:i/>
          <w:iCs/>
          <w:color w:val="auto"/>
          <w:sz w:val="20"/>
          <w:szCs w:val="20"/>
        </w:rPr>
        <w:t xml:space="preserve"> libera in causa</w:t>
      </w:r>
      <w:r w:rsidRPr="00F453A8">
        <w:rPr>
          <w:color w:val="auto"/>
          <w:sz w:val="20"/>
          <w:szCs w:val="20"/>
        </w:rPr>
        <w:t xml:space="preserve"> (v sekulárním trestním právu se jedná o trestný čin opilství podle § 360 TZ).</w:t>
      </w:r>
    </w:p>
  </w:footnote>
  <w:footnote w:id="226">
    <w:p w14:paraId="0EB90A1B" w14:textId="77777777" w:rsidR="00F26821" w:rsidRPr="005C585C" w:rsidRDefault="00F26821" w:rsidP="00C262B2">
      <w:pPr>
        <w:pStyle w:val="Textpoznpodarou"/>
        <w:spacing w:line="240" w:lineRule="auto"/>
      </w:pPr>
      <w:r w:rsidRPr="005C585C">
        <w:rPr>
          <w:rStyle w:val="Znakapoznpodarou"/>
        </w:rPr>
        <w:footnoteRef/>
      </w:r>
      <w:r w:rsidRPr="005C585C">
        <w:t xml:space="preserve"> Kán. 1326 § 1 CIC.</w:t>
      </w:r>
    </w:p>
  </w:footnote>
  <w:footnote w:id="227">
    <w:p w14:paraId="6BC5609C" w14:textId="77777777" w:rsidR="00F26821" w:rsidRPr="005C585C" w:rsidRDefault="00F26821" w:rsidP="00C262B2">
      <w:pPr>
        <w:pStyle w:val="Textpoznpodarou"/>
        <w:spacing w:line="240" w:lineRule="auto"/>
      </w:pPr>
      <w:r w:rsidRPr="005C585C">
        <w:rPr>
          <w:rStyle w:val="Znakapoznpodarou"/>
        </w:rPr>
        <w:footnoteRef/>
      </w:r>
      <w:r w:rsidRPr="005C585C">
        <w:t xml:space="preserve"> Čl. 7 Norem.</w:t>
      </w:r>
    </w:p>
  </w:footnote>
  <w:footnote w:id="228">
    <w:p w14:paraId="0E18205C" w14:textId="5D8CFA38" w:rsidR="00F26821" w:rsidRPr="00AE6949" w:rsidRDefault="00F26821" w:rsidP="00C262B2">
      <w:pPr>
        <w:pStyle w:val="Textpoznpodarou"/>
        <w:spacing w:line="240" w:lineRule="auto"/>
        <w:rPr>
          <w:rFonts w:cs="TimesNewRomanPSMT"/>
        </w:rPr>
      </w:pPr>
      <w:r w:rsidRPr="00AE6949">
        <w:rPr>
          <w:rStyle w:val="Znakapoznpodarou"/>
        </w:rPr>
        <w:footnoteRef/>
      </w:r>
      <w:r w:rsidRPr="00AE6949">
        <w:t xml:space="preserve"> V případě hrozby toliko fakultativního trestu jej soudce samozřejmě uložit nemusí, popř. jej může zmírnit nebo</w:t>
      </w:r>
      <w:r>
        <w:t> </w:t>
      </w:r>
      <w:r w:rsidRPr="00AE6949">
        <w:t xml:space="preserve">místo něj uložit trestní pokání. </w:t>
      </w:r>
      <w:r w:rsidRPr="00AE6949">
        <w:rPr>
          <w:rFonts w:cs="TimesNewRomanPSMT"/>
        </w:rPr>
        <w:t>Soudce však vždy musí věc rozhodnout dle svého svědomí a moudrého uvážení podle toho, co vyžaduje náprava pachatele a odstranění pohoršení [</w:t>
      </w:r>
      <w:r w:rsidRPr="00AE6949">
        <w:rPr>
          <w:rFonts w:cs="TimesNewRomanPS-BoldMT"/>
          <w:bCs/>
        </w:rPr>
        <w:t>kán. 1343 CIC].</w:t>
      </w:r>
    </w:p>
  </w:footnote>
  <w:footnote w:id="229">
    <w:p w14:paraId="4E9E1B40" w14:textId="4544592D" w:rsidR="00F26821" w:rsidRPr="005C585C" w:rsidRDefault="00F26821" w:rsidP="00C262B2">
      <w:pPr>
        <w:pStyle w:val="Odstavecseseznamem"/>
        <w:spacing w:after="0" w:line="240" w:lineRule="auto"/>
        <w:ind w:left="0"/>
        <w:rPr>
          <w:rFonts w:ascii="Garamond" w:hAnsi="Garamond"/>
          <w:sz w:val="20"/>
          <w:szCs w:val="20"/>
        </w:rPr>
      </w:pPr>
      <w:r w:rsidRPr="005C585C">
        <w:rPr>
          <w:rStyle w:val="Znakapoznpodarou"/>
          <w:rFonts w:ascii="Garamond" w:hAnsi="Garamond"/>
          <w:sz w:val="20"/>
          <w:szCs w:val="20"/>
        </w:rPr>
        <w:footnoteRef/>
      </w:r>
      <w:r w:rsidRPr="005C585C">
        <w:rPr>
          <w:rFonts w:ascii="Garamond" w:hAnsi="Garamond"/>
          <w:sz w:val="20"/>
          <w:szCs w:val="20"/>
        </w:rPr>
        <w:t xml:space="preserve"> </w:t>
      </w:r>
      <w:r w:rsidRPr="005C585C">
        <w:rPr>
          <w:rFonts w:ascii="Garamond" w:hAnsi="Garamond" w:cs="Garamond"/>
          <w:color w:val="000000"/>
          <w:sz w:val="20"/>
          <w:szCs w:val="20"/>
        </w:rPr>
        <w:t xml:space="preserve">HRDINA, </w:t>
      </w:r>
      <w:r w:rsidRPr="005C585C">
        <w:rPr>
          <w:rFonts w:ascii="Garamond" w:hAnsi="Garamond" w:cs="Garamond"/>
          <w:i/>
          <w:iCs/>
          <w:color w:val="000000"/>
          <w:sz w:val="20"/>
          <w:szCs w:val="20"/>
        </w:rPr>
        <w:t>Kanonické právo</w:t>
      </w:r>
      <w:r w:rsidRPr="005C585C">
        <w:rPr>
          <w:rFonts w:ascii="Garamond" w:hAnsi="Garamond" w:cs="Garamond"/>
          <w:iCs/>
          <w:color w:val="000000"/>
          <w:sz w:val="20"/>
          <w:szCs w:val="20"/>
        </w:rPr>
        <w:t xml:space="preserve">, </w:t>
      </w:r>
      <w:r>
        <w:rPr>
          <w:rFonts w:ascii="Garamond" w:hAnsi="Garamond" w:cs="Garamond"/>
          <w:iCs/>
          <w:color w:val="000000"/>
          <w:sz w:val="20"/>
          <w:szCs w:val="20"/>
        </w:rPr>
        <w:t>s.</w:t>
      </w:r>
      <w:r w:rsidRPr="005C585C">
        <w:rPr>
          <w:rFonts w:ascii="Garamond" w:hAnsi="Garamond" w:cs="Garamond"/>
          <w:iCs/>
          <w:color w:val="000000"/>
          <w:sz w:val="20"/>
          <w:szCs w:val="20"/>
        </w:rPr>
        <w:t xml:space="preserve"> </w:t>
      </w:r>
      <w:r w:rsidRPr="005C585C">
        <w:rPr>
          <w:rFonts w:ascii="Garamond" w:hAnsi="Garamond"/>
          <w:sz w:val="20"/>
          <w:szCs w:val="20"/>
        </w:rPr>
        <w:t>272.</w:t>
      </w:r>
    </w:p>
  </w:footnote>
  <w:footnote w:id="230">
    <w:p w14:paraId="22883813" w14:textId="5A74CDEE" w:rsidR="00F26821" w:rsidRPr="005C585C" w:rsidRDefault="00F26821" w:rsidP="005C585C">
      <w:pPr>
        <w:pStyle w:val="Textpoznpodarou"/>
        <w:spacing w:line="240" w:lineRule="auto"/>
      </w:pPr>
      <w:r w:rsidRPr="005C585C">
        <w:rPr>
          <w:rStyle w:val="Znakapoznpodarou"/>
        </w:rPr>
        <w:footnoteRef/>
      </w:r>
      <w:r w:rsidRPr="005C585C">
        <w:t xml:space="preserve"> Kán. 1344 </w:t>
      </w:r>
      <w:r>
        <w:t>odst.</w:t>
      </w:r>
      <w:r w:rsidRPr="005C585C">
        <w:t xml:space="preserve"> 1 CIC.</w:t>
      </w:r>
    </w:p>
  </w:footnote>
  <w:footnote w:id="231">
    <w:p w14:paraId="5EDBF1DD" w14:textId="1840E633" w:rsidR="00F26821" w:rsidRPr="005C585C" w:rsidRDefault="00F26821" w:rsidP="00085FE5">
      <w:pPr>
        <w:pStyle w:val="Odstavecseseznamem"/>
        <w:spacing w:after="0" w:line="240" w:lineRule="auto"/>
        <w:ind w:left="0"/>
        <w:rPr>
          <w:rFonts w:ascii="Garamond" w:hAnsi="Garamond"/>
          <w:sz w:val="20"/>
          <w:szCs w:val="20"/>
        </w:rPr>
      </w:pPr>
      <w:r w:rsidRPr="005C585C">
        <w:rPr>
          <w:rStyle w:val="Znakapoznpodarou"/>
          <w:rFonts w:ascii="Garamond" w:hAnsi="Garamond"/>
          <w:sz w:val="20"/>
          <w:szCs w:val="20"/>
        </w:rPr>
        <w:footnoteRef/>
      </w:r>
      <w:r w:rsidRPr="005C585C">
        <w:rPr>
          <w:rFonts w:ascii="Garamond" w:hAnsi="Garamond"/>
          <w:sz w:val="20"/>
          <w:szCs w:val="20"/>
        </w:rPr>
        <w:t xml:space="preserve"> </w:t>
      </w:r>
      <w:r w:rsidRPr="005C585C">
        <w:rPr>
          <w:rFonts w:ascii="Garamond" w:hAnsi="Garamond" w:cs="Garamond"/>
          <w:color w:val="000000"/>
          <w:sz w:val="20"/>
          <w:szCs w:val="20"/>
        </w:rPr>
        <w:t xml:space="preserve">HRDINA, </w:t>
      </w:r>
      <w:r w:rsidRPr="005C585C">
        <w:rPr>
          <w:rFonts w:ascii="Garamond" w:hAnsi="Garamond" w:cs="Garamond"/>
          <w:i/>
          <w:iCs/>
          <w:color w:val="000000"/>
          <w:sz w:val="20"/>
          <w:szCs w:val="20"/>
        </w:rPr>
        <w:t>Kanonické právo</w:t>
      </w:r>
      <w:r w:rsidRPr="005C585C">
        <w:rPr>
          <w:rFonts w:ascii="Garamond" w:hAnsi="Garamond" w:cs="Garamond"/>
          <w:iCs/>
          <w:color w:val="000000"/>
          <w:sz w:val="20"/>
          <w:szCs w:val="20"/>
        </w:rPr>
        <w:t xml:space="preserve">, </w:t>
      </w:r>
      <w:r>
        <w:rPr>
          <w:rFonts w:ascii="Garamond" w:hAnsi="Garamond" w:cs="Garamond"/>
          <w:iCs/>
          <w:color w:val="000000"/>
          <w:sz w:val="20"/>
          <w:szCs w:val="20"/>
        </w:rPr>
        <w:t>s.</w:t>
      </w:r>
      <w:r w:rsidRPr="005C585C">
        <w:rPr>
          <w:rFonts w:ascii="Garamond" w:hAnsi="Garamond" w:cs="Garamond"/>
          <w:iCs/>
          <w:color w:val="000000"/>
          <w:sz w:val="20"/>
          <w:szCs w:val="20"/>
        </w:rPr>
        <w:t xml:space="preserve"> </w:t>
      </w:r>
      <w:r w:rsidRPr="005C585C">
        <w:rPr>
          <w:rFonts w:ascii="Garamond" w:hAnsi="Garamond"/>
          <w:sz w:val="20"/>
          <w:szCs w:val="20"/>
        </w:rPr>
        <w:t>272.</w:t>
      </w:r>
    </w:p>
  </w:footnote>
  <w:footnote w:id="232">
    <w:p w14:paraId="36DA97A2" w14:textId="3344495C" w:rsidR="00F26821" w:rsidRPr="005C585C" w:rsidRDefault="00F26821" w:rsidP="00085FE5">
      <w:pPr>
        <w:autoSpaceDE w:val="0"/>
        <w:autoSpaceDN w:val="0"/>
        <w:adjustRightInd w:val="0"/>
        <w:spacing w:line="240" w:lineRule="auto"/>
        <w:rPr>
          <w:sz w:val="20"/>
          <w:szCs w:val="20"/>
        </w:rPr>
      </w:pPr>
      <w:r w:rsidRPr="005C585C">
        <w:rPr>
          <w:rStyle w:val="Znakapoznpodarou"/>
          <w:sz w:val="20"/>
          <w:szCs w:val="20"/>
        </w:rPr>
        <w:footnoteRef/>
      </w:r>
      <w:r w:rsidRPr="005C585C">
        <w:rPr>
          <w:sz w:val="20"/>
          <w:szCs w:val="20"/>
        </w:rPr>
        <w:t xml:space="preserve"> </w:t>
      </w:r>
      <w:r w:rsidRPr="005C585C">
        <w:rPr>
          <w:rFonts w:cs="Garamond"/>
          <w:sz w:val="20"/>
          <w:szCs w:val="20"/>
        </w:rPr>
        <w:t xml:space="preserve">MENKE, </w:t>
      </w:r>
      <w:r>
        <w:rPr>
          <w:rFonts w:cs="Garamond"/>
          <w:sz w:val="20"/>
          <w:szCs w:val="20"/>
        </w:rPr>
        <w:t xml:space="preserve">s. 94, </w:t>
      </w:r>
      <w:r w:rsidRPr="005C585C">
        <w:rPr>
          <w:rFonts w:cs="Garamond"/>
          <w:sz w:val="20"/>
          <w:szCs w:val="20"/>
        </w:rPr>
        <w:t>pozn. č. 45.</w:t>
      </w:r>
    </w:p>
  </w:footnote>
  <w:footnote w:id="233">
    <w:p w14:paraId="7AF7EE5A" w14:textId="075FEDBA" w:rsidR="00F26821" w:rsidRPr="005C585C" w:rsidRDefault="00F26821" w:rsidP="00085FE5">
      <w:pPr>
        <w:pStyle w:val="Odstavecseseznamem"/>
        <w:spacing w:after="0" w:line="240" w:lineRule="auto"/>
        <w:ind w:left="0"/>
        <w:rPr>
          <w:rFonts w:ascii="Garamond" w:hAnsi="Garamond"/>
          <w:sz w:val="20"/>
          <w:szCs w:val="20"/>
        </w:rPr>
      </w:pPr>
      <w:r w:rsidRPr="005C585C">
        <w:rPr>
          <w:rStyle w:val="Znakapoznpodarou"/>
          <w:rFonts w:ascii="Garamond" w:hAnsi="Garamond"/>
          <w:sz w:val="20"/>
          <w:szCs w:val="20"/>
        </w:rPr>
        <w:footnoteRef/>
      </w:r>
      <w:r w:rsidRPr="005C585C">
        <w:rPr>
          <w:rFonts w:ascii="Garamond" w:hAnsi="Garamond"/>
          <w:sz w:val="20"/>
          <w:szCs w:val="20"/>
        </w:rPr>
        <w:t xml:space="preserve"> </w:t>
      </w:r>
      <w:r w:rsidRPr="005C585C">
        <w:rPr>
          <w:rFonts w:ascii="Garamond" w:hAnsi="Garamond" w:cs="Garamond"/>
          <w:color w:val="000000"/>
          <w:sz w:val="20"/>
          <w:szCs w:val="20"/>
        </w:rPr>
        <w:t xml:space="preserve">HRDINA, </w:t>
      </w:r>
      <w:r w:rsidRPr="005C585C">
        <w:rPr>
          <w:rFonts w:ascii="Garamond" w:hAnsi="Garamond" w:cs="Garamond"/>
          <w:i/>
          <w:iCs/>
          <w:color w:val="000000"/>
          <w:sz w:val="20"/>
          <w:szCs w:val="20"/>
        </w:rPr>
        <w:t>Kanonické právo</w:t>
      </w:r>
      <w:r w:rsidRPr="005C585C">
        <w:rPr>
          <w:rFonts w:ascii="Garamond" w:hAnsi="Garamond" w:cs="Garamond"/>
          <w:iCs/>
          <w:color w:val="000000"/>
          <w:sz w:val="20"/>
          <w:szCs w:val="20"/>
        </w:rPr>
        <w:t xml:space="preserve">, </w:t>
      </w:r>
      <w:r>
        <w:rPr>
          <w:rFonts w:ascii="Garamond" w:hAnsi="Garamond" w:cs="Garamond"/>
          <w:iCs/>
          <w:color w:val="000000"/>
          <w:sz w:val="20"/>
          <w:szCs w:val="20"/>
        </w:rPr>
        <w:t>s.</w:t>
      </w:r>
      <w:r w:rsidRPr="005C585C">
        <w:rPr>
          <w:rFonts w:ascii="Garamond" w:hAnsi="Garamond" w:cs="Garamond"/>
          <w:iCs/>
          <w:color w:val="000000"/>
          <w:sz w:val="20"/>
          <w:szCs w:val="20"/>
        </w:rPr>
        <w:t xml:space="preserve"> </w:t>
      </w:r>
      <w:r w:rsidRPr="005C585C">
        <w:rPr>
          <w:rFonts w:ascii="Garamond" w:hAnsi="Garamond"/>
          <w:sz w:val="20"/>
          <w:szCs w:val="20"/>
        </w:rPr>
        <w:t>273.</w:t>
      </w:r>
    </w:p>
  </w:footnote>
  <w:footnote w:id="234">
    <w:p w14:paraId="147FDDFF" w14:textId="77777777" w:rsidR="00F26821" w:rsidRPr="005C585C" w:rsidRDefault="00F26821" w:rsidP="00085FE5">
      <w:pPr>
        <w:pStyle w:val="Textpoznpodarou"/>
        <w:spacing w:line="240" w:lineRule="auto"/>
      </w:pPr>
      <w:r w:rsidRPr="005C585C">
        <w:rPr>
          <w:rStyle w:val="Znakapoznpodarou"/>
        </w:rPr>
        <w:footnoteRef/>
      </w:r>
      <w:r w:rsidRPr="005C585C">
        <w:t xml:space="preserve"> § 88 odst. 3 ZSS.</w:t>
      </w:r>
    </w:p>
  </w:footnote>
  <w:footnote w:id="235">
    <w:p w14:paraId="08743750" w14:textId="5FF17FC4" w:rsidR="00F26821" w:rsidRPr="005C585C" w:rsidRDefault="00F26821" w:rsidP="005C585C">
      <w:pPr>
        <w:pStyle w:val="Bezmezer"/>
        <w:rPr>
          <w:sz w:val="20"/>
          <w:szCs w:val="20"/>
        </w:rPr>
      </w:pPr>
      <w:r w:rsidRPr="005C585C">
        <w:rPr>
          <w:rStyle w:val="Znakapoznpodarou"/>
          <w:sz w:val="20"/>
          <w:szCs w:val="20"/>
        </w:rPr>
        <w:footnoteRef/>
      </w:r>
      <w:r w:rsidRPr="005C585C">
        <w:rPr>
          <w:sz w:val="20"/>
          <w:szCs w:val="20"/>
        </w:rPr>
        <w:t xml:space="preserve"> </w:t>
      </w:r>
      <w:r w:rsidRPr="005C585C">
        <w:rPr>
          <w:rFonts w:eastAsia="Calibri" w:cs="CIDFont+F5"/>
          <w:sz w:val="20"/>
          <w:szCs w:val="20"/>
          <w:lang w:eastAsia="en-US"/>
        </w:rPr>
        <w:t>ZEMANOVÁ</w:t>
      </w:r>
      <w:r w:rsidRPr="005C585C">
        <w:rPr>
          <w:sz w:val="20"/>
          <w:szCs w:val="20"/>
        </w:rPr>
        <w:t xml:space="preserve">, </w:t>
      </w:r>
      <w:r>
        <w:rPr>
          <w:sz w:val="20"/>
          <w:szCs w:val="20"/>
        </w:rPr>
        <w:t>s. 141</w:t>
      </w:r>
      <w:r w:rsidRPr="00540B67">
        <w:rPr>
          <w:rFonts w:cs="Garamond"/>
          <w:sz w:val="20"/>
          <w:szCs w:val="20"/>
        </w:rPr>
        <w:sym w:font="Symbol" w:char="F02D"/>
      </w:r>
      <w:r w:rsidRPr="005C585C">
        <w:rPr>
          <w:sz w:val="20"/>
          <w:szCs w:val="20"/>
        </w:rPr>
        <w:t>144.</w:t>
      </w:r>
    </w:p>
  </w:footnote>
  <w:footnote w:id="236">
    <w:p w14:paraId="6D7AA9F6" w14:textId="77777777" w:rsidR="00F26821" w:rsidRPr="00085FE5" w:rsidRDefault="00F26821" w:rsidP="00085FE5">
      <w:pPr>
        <w:pStyle w:val="Textpoznpodarou"/>
        <w:spacing w:line="240" w:lineRule="auto"/>
      </w:pPr>
      <w:r w:rsidRPr="00085FE5">
        <w:rPr>
          <w:rStyle w:val="Znakapoznpodarou"/>
        </w:rPr>
        <w:footnoteRef/>
      </w:r>
      <w:r w:rsidRPr="00085FE5">
        <w:t xml:space="preserve"> § 15 odst. 2 </w:t>
      </w:r>
      <w:r>
        <w:t>KŘ.</w:t>
      </w:r>
    </w:p>
  </w:footnote>
  <w:footnote w:id="237">
    <w:p w14:paraId="15D74186" w14:textId="77777777" w:rsidR="00F26821" w:rsidRPr="00085FE5" w:rsidRDefault="00F26821" w:rsidP="00085FE5">
      <w:pPr>
        <w:pStyle w:val="Textpoznpodarou"/>
        <w:spacing w:line="240" w:lineRule="auto"/>
      </w:pPr>
      <w:r w:rsidRPr="00085FE5">
        <w:rPr>
          <w:rStyle w:val="Znakapoznpodarou"/>
        </w:rPr>
        <w:footnoteRef/>
      </w:r>
      <w:r>
        <w:t xml:space="preserve"> § 88 odst. </w:t>
      </w:r>
      <w:r w:rsidRPr="00085FE5">
        <w:t>5</w:t>
      </w:r>
      <w:r>
        <w:t xml:space="preserve"> ZSS.</w:t>
      </w:r>
    </w:p>
  </w:footnote>
  <w:footnote w:id="238">
    <w:p w14:paraId="7DF96E98" w14:textId="77777777" w:rsidR="00F26821" w:rsidRPr="00085FE5" w:rsidRDefault="00F26821" w:rsidP="00085FE5">
      <w:pPr>
        <w:pStyle w:val="Textpoznpodarou"/>
        <w:spacing w:line="240" w:lineRule="auto"/>
      </w:pPr>
      <w:r w:rsidRPr="00085FE5">
        <w:rPr>
          <w:rStyle w:val="Znakapoznpodarou"/>
        </w:rPr>
        <w:footnoteRef/>
      </w:r>
      <w:r w:rsidRPr="00085FE5">
        <w:t xml:space="preserve"> </w:t>
      </w:r>
      <w:r>
        <w:t xml:space="preserve">Kán. </w:t>
      </w:r>
      <w:r w:rsidRPr="00085FE5">
        <w:t>1350 CIC</w:t>
      </w:r>
      <w:r>
        <w:t>.</w:t>
      </w:r>
    </w:p>
  </w:footnote>
  <w:footnote w:id="239">
    <w:p w14:paraId="0D31EE5E" w14:textId="27F1723D" w:rsidR="00F26821" w:rsidRDefault="00F26821">
      <w:pPr>
        <w:pStyle w:val="Textpoznpodarou"/>
      </w:pPr>
      <w:r>
        <w:rPr>
          <w:rStyle w:val="Znakapoznpodarou"/>
        </w:rPr>
        <w:footnoteRef/>
      </w:r>
      <w:r>
        <w:t xml:space="preserve"> NĚMEC,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469"/>
    <w:multiLevelType w:val="hybridMultilevel"/>
    <w:tmpl w:val="80BA0824"/>
    <w:lvl w:ilvl="0" w:tplc="076E876A">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7D7526"/>
    <w:multiLevelType w:val="hybridMultilevel"/>
    <w:tmpl w:val="F35A4AE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36B202F6"/>
    <w:multiLevelType w:val="multilevel"/>
    <w:tmpl w:val="A0FA2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32"/>
        <w:szCs w:val="32"/>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nsid w:val="75C60391"/>
    <w:multiLevelType w:val="hybridMultilevel"/>
    <w:tmpl w:val="B918756E"/>
    <w:lvl w:ilvl="0" w:tplc="40824EB4">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ora Zemanová">
    <w15:presenceInfo w15:providerId="AD" w15:userId="S::494097@muni.cz::da2a2279-27fe-4c0f-ad03-28be934f6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5E"/>
    <w:rsid w:val="000018AC"/>
    <w:rsid w:val="00001C31"/>
    <w:rsid w:val="00005292"/>
    <w:rsid w:val="00005427"/>
    <w:rsid w:val="00012D9D"/>
    <w:rsid w:val="00013FD6"/>
    <w:rsid w:val="000143A0"/>
    <w:rsid w:val="0001476E"/>
    <w:rsid w:val="00015B76"/>
    <w:rsid w:val="0001713E"/>
    <w:rsid w:val="00017BFD"/>
    <w:rsid w:val="00020DE2"/>
    <w:rsid w:val="000221B3"/>
    <w:rsid w:val="00026B59"/>
    <w:rsid w:val="000332AA"/>
    <w:rsid w:val="00034096"/>
    <w:rsid w:val="00034992"/>
    <w:rsid w:val="0003503C"/>
    <w:rsid w:val="00040CE2"/>
    <w:rsid w:val="00041D67"/>
    <w:rsid w:val="00042BB0"/>
    <w:rsid w:val="00044AAA"/>
    <w:rsid w:val="0004538A"/>
    <w:rsid w:val="00050B7C"/>
    <w:rsid w:val="0005100F"/>
    <w:rsid w:val="000514C5"/>
    <w:rsid w:val="000530A3"/>
    <w:rsid w:val="00053BA4"/>
    <w:rsid w:val="00060619"/>
    <w:rsid w:val="00061202"/>
    <w:rsid w:val="00061A48"/>
    <w:rsid w:val="00062B5C"/>
    <w:rsid w:val="0006379E"/>
    <w:rsid w:val="00066E50"/>
    <w:rsid w:val="000722DB"/>
    <w:rsid w:val="0007406D"/>
    <w:rsid w:val="00076B15"/>
    <w:rsid w:val="00076FAA"/>
    <w:rsid w:val="00082B09"/>
    <w:rsid w:val="00082C0E"/>
    <w:rsid w:val="000837FF"/>
    <w:rsid w:val="00085FE5"/>
    <w:rsid w:val="000871F4"/>
    <w:rsid w:val="00087326"/>
    <w:rsid w:val="0009278E"/>
    <w:rsid w:val="00093847"/>
    <w:rsid w:val="000941F1"/>
    <w:rsid w:val="0009437A"/>
    <w:rsid w:val="000A449D"/>
    <w:rsid w:val="000A4EBF"/>
    <w:rsid w:val="000A7494"/>
    <w:rsid w:val="000A7F5E"/>
    <w:rsid w:val="000B0D80"/>
    <w:rsid w:val="000B231E"/>
    <w:rsid w:val="000B34A6"/>
    <w:rsid w:val="000B6C29"/>
    <w:rsid w:val="000B7FC7"/>
    <w:rsid w:val="000C0FC9"/>
    <w:rsid w:val="000C302D"/>
    <w:rsid w:val="000C578E"/>
    <w:rsid w:val="000C6051"/>
    <w:rsid w:val="000C7287"/>
    <w:rsid w:val="000D2E63"/>
    <w:rsid w:val="000D3284"/>
    <w:rsid w:val="000D3A04"/>
    <w:rsid w:val="000D5E1D"/>
    <w:rsid w:val="000D618C"/>
    <w:rsid w:val="000D7F6E"/>
    <w:rsid w:val="000E11F9"/>
    <w:rsid w:val="000E12C5"/>
    <w:rsid w:val="000E3B0C"/>
    <w:rsid w:val="000E43A6"/>
    <w:rsid w:val="000F031B"/>
    <w:rsid w:val="000F1655"/>
    <w:rsid w:val="000F4CBB"/>
    <w:rsid w:val="000F5B09"/>
    <w:rsid w:val="00100CE2"/>
    <w:rsid w:val="0010222B"/>
    <w:rsid w:val="00105485"/>
    <w:rsid w:val="00105D3D"/>
    <w:rsid w:val="00106EB3"/>
    <w:rsid w:val="001108F3"/>
    <w:rsid w:val="00111302"/>
    <w:rsid w:val="00112719"/>
    <w:rsid w:val="001135AB"/>
    <w:rsid w:val="00116D6A"/>
    <w:rsid w:val="00117D84"/>
    <w:rsid w:val="00120A2D"/>
    <w:rsid w:val="00120D76"/>
    <w:rsid w:val="00122791"/>
    <w:rsid w:val="0012298F"/>
    <w:rsid w:val="0012451E"/>
    <w:rsid w:val="00131B15"/>
    <w:rsid w:val="001327D7"/>
    <w:rsid w:val="00133B45"/>
    <w:rsid w:val="00135A5C"/>
    <w:rsid w:val="00136252"/>
    <w:rsid w:val="00137C4E"/>
    <w:rsid w:val="001406DD"/>
    <w:rsid w:val="0014261E"/>
    <w:rsid w:val="00146305"/>
    <w:rsid w:val="00147459"/>
    <w:rsid w:val="001506BB"/>
    <w:rsid w:val="001521F1"/>
    <w:rsid w:val="00160EE1"/>
    <w:rsid w:val="00162161"/>
    <w:rsid w:val="0016336C"/>
    <w:rsid w:val="001638AC"/>
    <w:rsid w:val="00163A50"/>
    <w:rsid w:val="00165A48"/>
    <w:rsid w:val="00166D53"/>
    <w:rsid w:val="001670F3"/>
    <w:rsid w:val="001672C1"/>
    <w:rsid w:val="00167480"/>
    <w:rsid w:val="00174580"/>
    <w:rsid w:val="0018107B"/>
    <w:rsid w:val="00181800"/>
    <w:rsid w:val="0018193C"/>
    <w:rsid w:val="00182213"/>
    <w:rsid w:val="00182904"/>
    <w:rsid w:val="001843E1"/>
    <w:rsid w:val="00184FD9"/>
    <w:rsid w:val="00185EF6"/>
    <w:rsid w:val="0018743D"/>
    <w:rsid w:val="00187C68"/>
    <w:rsid w:val="00190A25"/>
    <w:rsid w:val="00191655"/>
    <w:rsid w:val="00193853"/>
    <w:rsid w:val="001A1264"/>
    <w:rsid w:val="001A3D88"/>
    <w:rsid w:val="001A4274"/>
    <w:rsid w:val="001A4A2F"/>
    <w:rsid w:val="001A6895"/>
    <w:rsid w:val="001A6965"/>
    <w:rsid w:val="001A6FE3"/>
    <w:rsid w:val="001A7892"/>
    <w:rsid w:val="001A7F27"/>
    <w:rsid w:val="001B046F"/>
    <w:rsid w:val="001B08A1"/>
    <w:rsid w:val="001B0AE2"/>
    <w:rsid w:val="001B4F86"/>
    <w:rsid w:val="001B6821"/>
    <w:rsid w:val="001B79EF"/>
    <w:rsid w:val="001C123F"/>
    <w:rsid w:val="001C5165"/>
    <w:rsid w:val="001C6301"/>
    <w:rsid w:val="001D037E"/>
    <w:rsid w:val="001D260B"/>
    <w:rsid w:val="001D2618"/>
    <w:rsid w:val="001D2941"/>
    <w:rsid w:val="001D7CA4"/>
    <w:rsid w:val="001E5E41"/>
    <w:rsid w:val="001E7531"/>
    <w:rsid w:val="001E7B6A"/>
    <w:rsid w:val="001F075B"/>
    <w:rsid w:val="001F0E01"/>
    <w:rsid w:val="001F3922"/>
    <w:rsid w:val="001F3FC1"/>
    <w:rsid w:val="001F4D23"/>
    <w:rsid w:val="001F593D"/>
    <w:rsid w:val="001F59AF"/>
    <w:rsid w:val="001F7ABD"/>
    <w:rsid w:val="00200221"/>
    <w:rsid w:val="00201508"/>
    <w:rsid w:val="002035C8"/>
    <w:rsid w:val="00204729"/>
    <w:rsid w:val="00204CB4"/>
    <w:rsid w:val="00207451"/>
    <w:rsid w:val="0021257A"/>
    <w:rsid w:val="00220490"/>
    <w:rsid w:val="00220FCF"/>
    <w:rsid w:val="00222B1F"/>
    <w:rsid w:val="00222D3F"/>
    <w:rsid w:val="002242EB"/>
    <w:rsid w:val="00226AF0"/>
    <w:rsid w:val="002315E9"/>
    <w:rsid w:val="002337FE"/>
    <w:rsid w:val="0023446C"/>
    <w:rsid w:val="00236D48"/>
    <w:rsid w:val="00237CF0"/>
    <w:rsid w:val="00240756"/>
    <w:rsid w:val="0024338D"/>
    <w:rsid w:val="0024521C"/>
    <w:rsid w:val="0024547B"/>
    <w:rsid w:val="002454AA"/>
    <w:rsid w:val="00247C31"/>
    <w:rsid w:val="00247FD9"/>
    <w:rsid w:val="00250CB7"/>
    <w:rsid w:val="00250E86"/>
    <w:rsid w:val="00254110"/>
    <w:rsid w:val="002553F1"/>
    <w:rsid w:val="002577F3"/>
    <w:rsid w:val="00261F27"/>
    <w:rsid w:val="00264409"/>
    <w:rsid w:val="002645FC"/>
    <w:rsid w:val="0026570A"/>
    <w:rsid w:val="002661B6"/>
    <w:rsid w:val="00272842"/>
    <w:rsid w:val="00272AAC"/>
    <w:rsid w:val="00277120"/>
    <w:rsid w:val="00277676"/>
    <w:rsid w:val="00280A4F"/>
    <w:rsid w:val="00280A83"/>
    <w:rsid w:val="0028249E"/>
    <w:rsid w:val="00282A5E"/>
    <w:rsid w:val="00283C0C"/>
    <w:rsid w:val="00284772"/>
    <w:rsid w:val="00284D32"/>
    <w:rsid w:val="00284E0E"/>
    <w:rsid w:val="002877A0"/>
    <w:rsid w:val="00292885"/>
    <w:rsid w:val="00293F7A"/>
    <w:rsid w:val="0029425C"/>
    <w:rsid w:val="00294657"/>
    <w:rsid w:val="00295925"/>
    <w:rsid w:val="002960DF"/>
    <w:rsid w:val="002964D2"/>
    <w:rsid w:val="00297FDC"/>
    <w:rsid w:val="002A28C9"/>
    <w:rsid w:val="002A5847"/>
    <w:rsid w:val="002A7DDB"/>
    <w:rsid w:val="002B1D3C"/>
    <w:rsid w:val="002B35C9"/>
    <w:rsid w:val="002B3EFC"/>
    <w:rsid w:val="002B40FA"/>
    <w:rsid w:val="002B55EA"/>
    <w:rsid w:val="002B57B7"/>
    <w:rsid w:val="002B5C2B"/>
    <w:rsid w:val="002B7295"/>
    <w:rsid w:val="002C15FA"/>
    <w:rsid w:val="002C241B"/>
    <w:rsid w:val="002C2DBB"/>
    <w:rsid w:val="002C5115"/>
    <w:rsid w:val="002C7275"/>
    <w:rsid w:val="002D06CB"/>
    <w:rsid w:val="002D3E5B"/>
    <w:rsid w:val="002D4F6E"/>
    <w:rsid w:val="002D740B"/>
    <w:rsid w:val="002E005C"/>
    <w:rsid w:val="002E1099"/>
    <w:rsid w:val="002E40A7"/>
    <w:rsid w:val="002E4F2A"/>
    <w:rsid w:val="002E5E66"/>
    <w:rsid w:val="002E69AB"/>
    <w:rsid w:val="002F03D6"/>
    <w:rsid w:val="002F1A57"/>
    <w:rsid w:val="002F2BDE"/>
    <w:rsid w:val="002F419D"/>
    <w:rsid w:val="002F458B"/>
    <w:rsid w:val="002F6736"/>
    <w:rsid w:val="0030135E"/>
    <w:rsid w:val="003033BA"/>
    <w:rsid w:val="00303A95"/>
    <w:rsid w:val="00305873"/>
    <w:rsid w:val="00306F9F"/>
    <w:rsid w:val="003075BE"/>
    <w:rsid w:val="003120B3"/>
    <w:rsid w:val="003123F2"/>
    <w:rsid w:val="0031271F"/>
    <w:rsid w:val="00315B77"/>
    <w:rsid w:val="0032154E"/>
    <w:rsid w:val="00321EA5"/>
    <w:rsid w:val="003221E0"/>
    <w:rsid w:val="00324DF6"/>
    <w:rsid w:val="00332004"/>
    <w:rsid w:val="0033273A"/>
    <w:rsid w:val="00334F72"/>
    <w:rsid w:val="00335E82"/>
    <w:rsid w:val="003367FF"/>
    <w:rsid w:val="00337100"/>
    <w:rsid w:val="0034005B"/>
    <w:rsid w:val="0034017D"/>
    <w:rsid w:val="00340D4C"/>
    <w:rsid w:val="00341356"/>
    <w:rsid w:val="0034284B"/>
    <w:rsid w:val="003431BC"/>
    <w:rsid w:val="003431F6"/>
    <w:rsid w:val="00350111"/>
    <w:rsid w:val="00350127"/>
    <w:rsid w:val="00350915"/>
    <w:rsid w:val="00350CE8"/>
    <w:rsid w:val="00352A8C"/>
    <w:rsid w:val="00353A3A"/>
    <w:rsid w:val="00355724"/>
    <w:rsid w:val="0036103C"/>
    <w:rsid w:val="0036206D"/>
    <w:rsid w:val="00365AB2"/>
    <w:rsid w:val="0036682C"/>
    <w:rsid w:val="00366E13"/>
    <w:rsid w:val="0037027B"/>
    <w:rsid w:val="00373AFA"/>
    <w:rsid w:val="00374F69"/>
    <w:rsid w:val="00385FE8"/>
    <w:rsid w:val="0039123F"/>
    <w:rsid w:val="0039207E"/>
    <w:rsid w:val="003931BC"/>
    <w:rsid w:val="00393AB7"/>
    <w:rsid w:val="0039659A"/>
    <w:rsid w:val="00397176"/>
    <w:rsid w:val="0039732A"/>
    <w:rsid w:val="00397884"/>
    <w:rsid w:val="00397D00"/>
    <w:rsid w:val="003A2022"/>
    <w:rsid w:val="003A2EA3"/>
    <w:rsid w:val="003A5444"/>
    <w:rsid w:val="003A5C15"/>
    <w:rsid w:val="003A5E27"/>
    <w:rsid w:val="003A6BB3"/>
    <w:rsid w:val="003B075B"/>
    <w:rsid w:val="003B0A1B"/>
    <w:rsid w:val="003B183C"/>
    <w:rsid w:val="003B3B60"/>
    <w:rsid w:val="003B68C5"/>
    <w:rsid w:val="003B6C58"/>
    <w:rsid w:val="003C106D"/>
    <w:rsid w:val="003C286C"/>
    <w:rsid w:val="003C2FAC"/>
    <w:rsid w:val="003C4238"/>
    <w:rsid w:val="003C4612"/>
    <w:rsid w:val="003C4AE5"/>
    <w:rsid w:val="003C5064"/>
    <w:rsid w:val="003D0D6F"/>
    <w:rsid w:val="003D34E4"/>
    <w:rsid w:val="003D3ACE"/>
    <w:rsid w:val="003D4544"/>
    <w:rsid w:val="003D4AF0"/>
    <w:rsid w:val="003D4F1D"/>
    <w:rsid w:val="003E15A3"/>
    <w:rsid w:val="003E1E05"/>
    <w:rsid w:val="003E6A19"/>
    <w:rsid w:val="003F02DF"/>
    <w:rsid w:val="003F1B6D"/>
    <w:rsid w:val="003F2902"/>
    <w:rsid w:val="003F2A82"/>
    <w:rsid w:val="003F2F23"/>
    <w:rsid w:val="003F3F39"/>
    <w:rsid w:val="003F4195"/>
    <w:rsid w:val="003F5F4E"/>
    <w:rsid w:val="00400558"/>
    <w:rsid w:val="0040092D"/>
    <w:rsid w:val="0040387E"/>
    <w:rsid w:val="00404839"/>
    <w:rsid w:val="00406502"/>
    <w:rsid w:val="00406941"/>
    <w:rsid w:val="00407698"/>
    <w:rsid w:val="0040788D"/>
    <w:rsid w:val="00413A58"/>
    <w:rsid w:val="00415330"/>
    <w:rsid w:val="00416FF2"/>
    <w:rsid w:val="00417972"/>
    <w:rsid w:val="00422BB3"/>
    <w:rsid w:val="00423FE4"/>
    <w:rsid w:val="00425A21"/>
    <w:rsid w:val="00426BB8"/>
    <w:rsid w:val="00430B73"/>
    <w:rsid w:val="004357F1"/>
    <w:rsid w:val="0043590A"/>
    <w:rsid w:val="00435A54"/>
    <w:rsid w:val="00435A60"/>
    <w:rsid w:val="004366F5"/>
    <w:rsid w:val="00437AAB"/>
    <w:rsid w:val="00442467"/>
    <w:rsid w:val="0044460A"/>
    <w:rsid w:val="0044647A"/>
    <w:rsid w:val="00446892"/>
    <w:rsid w:val="00446DE6"/>
    <w:rsid w:val="00451DD2"/>
    <w:rsid w:val="00451F4B"/>
    <w:rsid w:val="004526BE"/>
    <w:rsid w:val="0045475F"/>
    <w:rsid w:val="0045636E"/>
    <w:rsid w:val="004566A6"/>
    <w:rsid w:val="0045671E"/>
    <w:rsid w:val="00457FB7"/>
    <w:rsid w:val="004605FF"/>
    <w:rsid w:val="004606C3"/>
    <w:rsid w:val="004626EA"/>
    <w:rsid w:val="00463BB0"/>
    <w:rsid w:val="004651FE"/>
    <w:rsid w:val="00465258"/>
    <w:rsid w:val="00466896"/>
    <w:rsid w:val="00470078"/>
    <w:rsid w:val="0047036E"/>
    <w:rsid w:val="004724F6"/>
    <w:rsid w:val="00472C18"/>
    <w:rsid w:val="004749EA"/>
    <w:rsid w:val="00474FBF"/>
    <w:rsid w:val="00476607"/>
    <w:rsid w:val="004771EB"/>
    <w:rsid w:val="00480014"/>
    <w:rsid w:val="004814BC"/>
    <w:rsid w:val="00481915"/>
    <w:rsid w:val="004824BA"/>
    <w:rsid w:val="00482DD7"/>
    <w:rsid w:val="004832E2"/>
    <w:rsid w:val="00483D64"/>
    <w:rsid w:val="00484D14"/>
    <w:rsid w:val="00490285"/>
    <w:rsid w:val="00490601"/>
    <w:rsid w:val="00490EA6"/>
    <w:rsid w:val="0049104A"/>
    <w:rsid w:val="00491B54"/>
    <w:rsid w:val="0049271A"/>
    <w:rsid w:val="00493497"/>
    <w:rsid w:val="00493BE2"/>
    <w:rsid w:val="004943F0"/>
    <w:rsid w:val="00496601"/>
    <w:rsid w:val="0049784D"/>
    <w:rsid w:val="004A2C06"/>
    <w:rsid w:val="004A365B"/>
    <w:rsid w:val="004A464E"/>
    <w:rsid w:val="004A59D0"/>
    <w:rsid w:val="004A6EAE"/>
    <w:rsid w:val="004A7C7E"/>
    <w:rsid w:val="004B3544"/>
    <w:rsid w:val="004B38E8"/>
    <w:rsid w:val="004B3F56"/>
    <w:rsid w:val="004B4165"/>
    <w:rsid w:val="004B458D"/>
    <w:rsid w:val="004B75CA"/>
    <w:rsid w:val="004C08BF"/>
    <w:rsid w:val="004C10FC"/>
    <w:rsid w:val="004C2D24"/>
    <w:rsid w:val="004C4954"/>
    <w:rsid w:val="004C4992"/>
    <w:rsid w:val="004C55ED"/>
    <w:rsid w:val="004C5832"/>
    <w:rsid w:val="004C6629"/>
    <w:rsid w:val="004C6A54"/>
    <w:rsid w:val="004D04D9"/>
    <w:rsid w:val="004D0840"/>
    <w:rsid w:val="004D1A4F"/>
    <w:rsid w:val="004D397D"/>
    <w:rsid w:val="004D429C"/>
    <w:rsid w:val="004D64E0"/>
    <w:rsid w:val="004D7DBF"/>
    <w:rsid w:val="004E16C3"/>
    <w:rsid w:val="004E39CA"/>
    <w:rsid w:val="004E496F"/>
    <w:rsid w:val="004E6865"/>
    <w:rsid w:val="004E6B68"/>
    <w:rsid w:val="004E7348"/>
    <w:rsid w:val="004E7BAF"/>
    <w:rsid w:val="004F08D0"/>
    <w:rsid w:val="004F337D"/>
    <w:rsid w:val="004F4CB0"/>
    <w:rsid w:val="004F64BF"/>
    <w:rsid w:val="005006CC"/>
    <w:rsid w:val="0050232C"/>
    <w:rsid w:val="005045D5"/>
    <w:rsid w:val="00505E36"/>
    <w:rsid w:val="00512AF7"/>
    <w:rsid w:val="00513E24"/>
    <w:rsid w:val="00513E61"/>
    <w:rsid w:val="00514229"/>
    <w:rsid w:val="00514573"/>
    <w:rsid w:val="00523303"/>
    <w:rsid w:val="00523D87"/>
    <w:rsid w:val="00525EC4"/>
    <w:rsid w:val="0052656E"/>
    <w:rsid w:val="005269BE"/>
    <w:rsid w:val="00527AE3"/>
    <w:rsid w:val="00531D69"/>
    <w:rsid w:val="0053637B"/>
    <w:rsid w:val="0053650F"/>
    <w:rsid w:val="00536B44"/>
    <w:rsid w:val="00536C5C"/>
    <w:rsid w:val="00536FC4"/>
    <w:rsid w:val="00540B67"/>
    <w:rsid w:val="005411FE"/>
    <w:rsid w:val="00541AC2"/>
    <w:rsid w:val="00543447"/>
    <w:rsid w:val="00544B3E"/>
    <w:rsid w:val="0054740A"/>
    <w:rsid w:val="00547A84"/>
    <w:rsid w:val="00547D23"/>
    <w:rsid w:val="005540B5"/>
    <w:rsid w:val="0055429D"/>
    <w:rsid w:val="00554578"/>
    <w:rsid w:val="005556A9"/>
    <w:rsid w:val="00561BED"/>
    <w:rsid w:val="0056515A"/>
    <w:rsid w:val="005654CF"/>
    <w:rsid w:val="00566C61"/>
    <w:rsid w:val="00567116"/>
    <w:rsid w:val="0056748A"/>
    <w:rsid w:val="00571DEC"/>
    <w:rsid w:val="0057239A"/>
    <w:rsid w:val="00574633"/>
    <w:rsid w:val="00582BBA"/>
    <w:rsid w:val="005849C5"/>
    <w:rsid w:val="00585E82"/>
    <w:rsid w:val="005871B0"/>
    <w:rsid w:val="00587269"/>
    <w:rsid w:val="00587B69"/>
    <w:rsid w:val="00591C6F"/>
    <w:rsid w:val="00594310"/>
    <w:rsid w:val="00596E6C"/>
    <w:rsid w:val="00597D6E"/>
    <w:rsid w:val="005A0178"/>
    <w:rsid w:val="005A12C3"/>
    <w:rsid w:val="005A1737"/>
    <w:rsid w:val="005A184F"/>
    <w:rsid w:val="005A21F2"/>
    <w:rsid w:val="005A3967"/>
    <w:rsid w:val="005B31DB"/>
    <w:rsid w:val="005B5A3B"/>
    <w:rsid w:val="005B5B55"/>
    <w:rsid w:val="005B6091"/>
    <w:rsid w:val="005B66E2"/>
    <w:rsid w:val="005B68C1"/>
    <w:rsid w:val="005B6962"/>
    <w:rsid w:val="005C2134"/>
    <w:rsid w:val="005C281E"/>
    <w:rsid w:val="005C5150"/>
    <w:rsid w:val="005C57EF"/>
    <w:rsid w:val="005C585C"/>
    <w:rsid w:val="005C6D8E"/>
    <w:rsid w:val="005C7BDC"/>
    <w:rsid w:val="005C7D11"/>
    <w:rsid w:val="005C7E0D"/>
    <w:rsid w:val="005D0110"/>
    <w:rsid w:val="005D0C6B"/>
    <w:rsid w:val="005D46CA"/>
    <w:rsid w:val="005D4933"/>
    <w:rsid w:val="005D5479"/>
    <w:rsid w:val="005D58DB"/>
    <w:rsid w:val="005E2A79"/>
    <w:rsid w:val="005E2AC3"/>
    <w:rsid w:val="005E2F70"/>
    <w:rsid w:val="005E31CA"/>
    <w:rsid w:val="005E3685"/>
    <w:rsid w:val="005E5C57"/>
    <w:rsid w:val="005E6466"/>
    <w:rsid w:val="005F07EC"/>
    <w:rsid w:val="005F18E1"/>
    <w:rsid w:val="005F2E3A"/>
    <w:rsid w:val="005F3119"/>
    <w:rsid w:val="005F3842"/>
    <w:rsid w:val="005F581C"/>
    <w:rsid w:val="005F661A"/>
    <w:rsid w:val="005F6922"/>
    <w:rsid w:val="005F6A20"/>
    <w:rsid w:val="005F72F4"/>
    <w:rsid w:val="00600339"/>
    <w:rsid w:val="00600670"/>
    <w:rsid w:val="0060374E"/>
    <w:rsid w:val="00605C38"/>
    <w:rsid w:val="00610CDB"/>
    <w:rsid w:val="0061131C"/>
    <w:rsid w:val="006127B2"/>
    <w:rsid w:val="0061446C"/>
    <w:rsid w:val="00615D70"/>
    <w:rsid w:val="00617089"/>
    <w:rsid w:val="00617170"/>
    <w:rsid w:val="00620EBE"/>
    <w:rsid w:val="006239F1"/>
    <w:rsid w:val="00623BA1"/>
    <w:rsid w:val="006247CA"/>
    <w:rsid w:val="00626B3D"/>
    <w:rsid w:val="00631DFA"/>
    <w:rsid w:val="00632806"/>
    <w:rsid w:val="00633DE6"/>
    <w:rsid w:val="0063564D"/>
    <w:rsid w:val="00636A1B"/>
    <w:rsid w:val="00642EC6"/>
    <w:rsid w:val="00643BFB"/>
    <w:rsid w:val="006456D4"/>
    <w:rsid w:val="006464C5"/>
    <w:rsid w:val="0065001A"/>
    <w:rsid w:val="00651588"/>
    <w:rsid w:val="00651801"/>
    <w:rsid w:val="00652D8C"/>
    <w:rsid w:val="0065336E"/>
    <w:rsid w:val="00655259"/>
    <w:rsid w:val="00655399"/>
    <w:rsid w:val="006566CD"/>
    <w:rsid w:val="0066788D"/>
    <w:rsid w:val="00673F22"/>
    <w:rsid w:val="006815C1"/>
    <w:rsid w:val="00684190"/>
    <w:rsid w:val="006866D7"/>
    <w:rsid w:val="00687E03"/>
    <w:rsid w:val="0069040A"/>
    <w:rsid w:val="00693CB5"/>
    <w:rsid w:val="00697230"/>
    <w:rsid w:val="0069760A"/>
    <w:rsid w:val="006978D8"/>
    <w:rsid w:val="00697FAC"/>
    <w:rsid w:val="006A0107"/>
    <w:rsid w:val="006A489A"/>
    <w:rsid w:val="006B0C1C"/>
    <w:rsid w:val="006B1EA8"/>
    <w:rsid w:val="006B2210"/>
    <w:rsid w:val="006B4031"/>
    <w:rsid w:val="006B6732"/>
    <w:rsid w:val="006B78C2"/>
    <w:rsid w:val="006C41B4"/>
    <w:rsid w:val="006C6C1C"/>
    <w:rsid w:val="006C6F56"/>
    <w:rsid w:val="006C7E38"/>
    <w:rsid w:val="006D1A23"/>
    <w:rsid w:val="006D3254"/>
    <w:rsid w:val="006D4704"/>
    <w:rsid w:val="006D6491"/>
    <w:rsid w:val="006D7008"/>
    <w:rsid w:val="006D7406"/>
    <w:rsid w:val="006D7DFF"/>
    <w:rsid w:val="006E34D0"/>
    <w:rsid w:val="006E35B9"/>
    <w:rsid w:val="006E44B7"/>
    <w:rsid w:val="006E5ED3"/>
    <w:rsid w:val="006E6320"/>
    <w:rsid w:val="006E6CE1"/>
    <w:rsid w:val="006E72C9"/>
    <w:rsid w:val="006E7708"/>
    <w:rsid w:val="006F2482"/>
    <w:rsid w:val="006F4843"/>
    <w:rsid w:val="006F495E"/>
    <w:rsid w:val="006F7D32"/>
    <w:rsid w:val="00702520"/>
    <w:rsid w:val="0070289A"/>
    <w:rsid w:val="00703439"/>
    <w:rsid w:val="007078E8"/>
    <w:rsid w:val="0071022E"/>
    <w:rsid w:val="00710554"/>
    <w:rsid w:val="0071059D"/>
    <w:rsid w:val="00710F27"/>
    <w:rsid w:val="00711884"/>
    <w:rsid w:val="007176AE"/>
    <w:rsid w:val="00722F1C"/>
    <w:rsid w:val="00725BD2"/>
    <w:rsid w:val="007328F0"/>
    <w:rsid w:val="0073375C"/>
    <w:rsid w:val="00741A56"/>
    <w:rsid w:val="00743CEB"/>
    <w:rsid w:val="007479E9"/>
    <w:rsid w:val="007517AF"/>
    <w:rsid w:val="007538A2"/>
    <w:rsid w:val="007547A0"/>
    <w:rsid w:val="00754AB5"/>
    <w:rsid w:val="00755232"/>
    <w:rsid w:val="00755619"/>
    <w:rsid w:val="00756BE0"/>
    <w:rsid w:val="00757934"/>
    <w:rsid w:val="0076022D"/>
    <w:rsid w:val="00763E96"/>
    <w:rsid w:val="007671B7"/>
    <w:rsid w:val="0077027E"/>
    <w:rsid w:val="00770C83"/>
    <w:rsid w:val="00770E49"/>
    <w:rsid w:val="00771A12"/>
    <w:rsid w:val="007723F5"/>
    <w:rsid w:val="00774CAF"/>
    <w:rsid w:val="00775032"/>
    <w:rsid w:val="00775784"/>
    <w:rsid w:val="0078050C"/>
    <w:rsid w:val="0078245B"/>
    <w:rsid w:val="007835AA"/>
    <w:rsid w:val="00785F6A"/>
    <w:rsid w:val="00787053"/>
    <w:rsid w:val="00790180"/>
    <w:rsid w:val="00791CE4"/>
    <w:rsid w:val="00792C90"/>
    <w:rsid w:val="00795691"/>
    <w:rsid w:val="00795735"/>
    <w:rsid w:val="00796031"/>
    <w:rsid w:val="007A0AA4"/>
    <w:rsid w:val="007A24EF"/>
    <w:rsid w:val="007A383D"/>
    <w:rsid w:val="007A3CCD"/>
    <w:rsid w:val="007A43AE"/>
    <w:rsid w:val="007A532E"/>
    <w:rsid w:val="007B03AD"/>
    <w:rsid w:val="007B10D9"/>
    <w:rsid w:val="007B1350"/>
    <w:rsid w:val="007B1A2F"/>
    <w:rsid w:val="007B1EED"/>
    <w:rsid w:val="007B3326"/>
    <w:rsid w:val="007B58E6"/>
    <w:rsid w:val="007B7469"/>
    <w:rsid w:val="007C14C0"/>
    <w:rsid w:val="007C153A"/>
    <w:rsid w:val="007C3304"/>
    <w:rsid w:val="007C3687"/>
    <w:rsid w:val="007C4850"/>
    <w:rsid w:val="007C75E3"/>
    <w:rsid w:val="007C7872"/>
    <w:rsid w:val="007D0264"/>
    <w:rsid w:val="007D4BF3"/>
    <w:rsid w:val="007D514A"/>
    <w:rsid w:val="007D534A"/>
    <w:rsid w:val="007D7F79"/>
    <w:rsid w:val="007E026F"/>
    <w:rsid w:val="007E2B1A"/>
    <w:rsid w:val="007E30EB"/>
    <w:rsid w:val="007E4AFF"/>
    <w:rsid w:val="007E5F6E"/>
    <w:rsid w:val="007F2C74"/>
    <w:rsid w:val="007F31C6"/>
    <w:rsid w:val="007F402C"/>
    <w:rsid w:val="007F78AA"/>
    <w:rsid w:val="007F7F5E"/>
    <w:rsid w:val="008000E4"/>
    <w:rsid w:val="00800E49"/>
    <w:rsid w:val="00800F1A"/>
    <w:rsid w:val="008024AB"/>
    <w:rsid w:val="0080455E"/>
    <w:rsid w:val="008046D1"/>
    <w:rsid w:val="00804AAF"/>
    <w:rsid w:val="00807E31"/>
    <w:rsid w:val="008106CE"/>
    <w:rsid w:val="00810AE8"/>
    <w:rsid w:val="0081229A"/>
    <w:rsid w:val="00812461"/>
    <w:rsid w:val="008159A0"/>
    <w:rsid w:val="008171BC"/>
    <w:rsid w:val="00817349"/>
    <w:rsid w:val="008217EC"/>
    <w:rsid w:val="00823767"/>
    <w:rsid w:val="00825992"/>
    <w:rsid w:val="00827E31"/>
    <w:rsid w:val="00830721"/>
    <w:rsid w:val="008308C5"/>
    <w:rsid w:val="008313A5"/>
    <w:rsid w:val="008327FB"/>
    <w:rsid w:val="0083412F"/>
    <w:rsid w:val="00836AAE"/>
    <w:rsid w:val="00836EEA"/>
    <w:rsid w:val="00841E85"/>
    <w:rsid w:val="00842E03"/>
    <w:rsid w:val="00843203"/>
    <w:rsid w:val="008443B7"/>
    <w:rsid w:val="00844AA1"/>
    <w:rsid w:val="00846A7D"/>
    <w:rsid w:val="00846E33"/>
    <w:rsid w:val="00850E31"/>
    <w:rsid w:val="008535AA"/>
    <w:rsid w:val="00855F3F"/>
    <w:rsid w:val="00856EF1"/>
    <w:rsid w:val="00856F1C"/>
    <w:rsid w:val="008578C0"/>
    <w:rsid w:val="0086102E"/>
    <w:rsid w:val="00862168"/>
    <w:rsid w:val="00864318"/>
    <w:rsid w:val="008647A1"/>
    <w:rsid w:val="00864A5A"/>
    <w:rsid w:val="00865258"/>
    <w:rsid w:val="008665A0"/>
    <w:rsid w:val="00867DA3"/>
    <w:rsid w:val="008707D2"/>
    <w:rsid w:val="00872977"/>
    <w:rsid w:val="0087411F"/>
    <w:rsid w:val="00876602"/>
    <w:rsid w:val="008806FC"/>
    <w:rsid w:val="0088266C"/>
    <w:rsid w:val="008846AF"/>
    <w:rsid w:val="008851CD"/>
    <w:rsid w:val="0088574B"/>
    <w:rsid w:val="0088664A"/>
    <w:rsid w:val="00887255"/>
    <w:rsid w:val="008902E1"/>
    <w:rsid w:val="008903C5"/>
    <w:rsid w:val="008930BB"/>
    <w:rsid w:val="008937A4"/>
    <w:rsid w:val="008945A0"/>
    <w:rsid w:val="00895208"/>
    <w:rsid w:val="00896C03"/>
    <w:rsid w:val="00897EB4"/>
    <w:rsid w:val="008A5731"/>
    <w:rsid w:val="008A6223"/>
    <w:rsid w:val="008A7CF9"/>
    <w:rsid w:val="008B0D0F"/>
    <w:rsid w:val="008B3633"/>
    <w:rsid w:val="008B6274"/>
    <w:rsid w:val="008B7B94"/>
    <w:rsid w:val="008C36C8"/>
    <w:rsid w:val="008C49BE"/>
    <w:rsid w:val="008C732C"/>
    <w:rsid w:val="008D0DFD"/>
    <w:rsid w:val="008D102C"/>
    <w:rsid w:val="008D2822"/>
    <w:rsid w:val="008D2A85"/>
    <w:rsid w:val="008D41E0"/>
    <w:rsid w:val="008D459F"/>
    <w:rsid w:val="008D478A"/>
    <w:rsid w:val="008E0EE8"/>
    <w:rsid w:val="008E29C0"/>
    <w:rsid w:val="008E300A"/>
    <w:rsid w:val="008E3047"/>
    <w:rsid w:val="008E67F8"/>
    <w:rsid w:val="008F1C00"/>
    <w:rsid w:val="008F1E00"/>
    <w:rsid w:val="008F2C5A"/>
    <w:rsid w:val="008F35D6"/>
    <w:rsid w:val="008F3A1D"/>
    <w:rsid w:val="008F41C8"/>
    <w:rsid w:val="008F45BC"/>
    <w:rsid w:val="008F5958"/>
    <w:rsid w:val="008F67E4"/>
    <w:rsid w:val="008F6C71"/>
    <w:rsid w:val="0090136D"/>
    <w:rsid w:val="00901C54"/>
    <w:rsid w:val="00901E4E"/>
    <w:rsid w:val="00903049"/>
    <w:rsid w:val="00904DB6"/>
    <w:rsid w:val="00905972"/>
    <w:rsid w:val="00907C8B"/>
    <w:rsid w:val="00910902"/>
    <w:rsid w:val="009123F7"/>
    <w:rsid w:val="00913402"/>
    <w:rsid w:val="00914EC3"/>
    <w:rsid w:val="00915132"/>
    <w:rsid w:val="00915DA3"/>
    <w:rsid w:val="009246BB"/>
    <w:rsid w:val="009258B8"/>
    <w:rsid w:val="009263E2"/>
    <w:rsid w:val="00931E7A"/>
    <w:rsid w:val="00932321"/>
    <w:rsid w:val="00934D8E"/>
    <w:rsid w:val="00936888"/>
    <w:rsid w:val="00940697"/>
    <w:rsid w:val="009406B1"/>
    <w:rsid w:val="00943F00"/>
    <w:rsid w:val="0094653E"/>
    <w:rsid w:val="0095049D"/>
    <w:rsid w:val="00953021"/>
    <w:rsid w:val="009539DF"/>
    <w:rsid w:val="009542F6"/>
    <w:rsid w:val="00955CF2"/>
    <w:rsid w:val="00957D2D"/>
    <w:rsid w:val="009603B6"/>
    <w:rsid w:val="0096091B"/>
    <w:rsid w:val="00960BAC"/>
    <w:rsid w:val="00960FE5"/>
    <w:rsid w:val="00962734"/>
    <w:rsid w:val="009629D1"/>
    <w:rsid w:val="009672AF"/>
    <w:rsid w:val="0096735D"/>
    <w:rsid w:val="00967C23"/>
    <w:rsid w:val="00970D92"/>
    <w:rsid w:val="009710C9"/>
    <w:rsid w:val="009754E7"/>
    <w:rsid w:val="00976C89"/>
    <w:rsid w:val="00977D19"/>
    <w:rsid w:val="00980AD3"/>
    <w:rsid w:val="00981D59"/>
    <w:rsid w:val="00982DE8"/>
    <w:rsid w:val="00982F85"/>
    <w:rsid w:val="00984B90"/>
    <w:rsid w:val="0098503F"/>
    <w:rsid w:val="009863C4"/>
    <w:rsid w:val="00991952"/>
    <w:rsid w:val="00994553"/>
    <w:rsid w:val="00997775"/>
    <w:rsid w:val="00997A90"/>
    <w:rsid w:val="009A15C6"/>
    <w:rsid w:val="009A1C81"/>
    <w:rsid w:val="009A62FF"/>
    <w:rsid w:val="009A659D"/>
    <w:rsid w:val="009B2CF9"/>
    <w:rsid w:val="009B3CA9"/>
    <w:rsid w:val="009B423F"/>
    <w:rsid w:val="009C0098"/>
    <w:rsid w:val="009C1037"/>
    <w:rsid w:val="009C19BE"/>
    <w:rsid w:val="009C1FD7"/>
    <w:rsid w:val="009C682D"/>
    <w:rsid w:val="009D0D5B"/>
    <w:rsid w:val="009D1353"/>
    <w:rsid w:val="009D35B1"/>
    <w:rsid w:val="009D363B"/>
    <w:rsid w:val="009D6BA1"/>
    <w:rsid w:val="009D77AC"/>
    <w:rsid w:val="009D7C5D"/>
    <w:rsid w:val="009E0B6E"/>
    <w:rsid w:val="009E24D0"/>
    <w:rsid w:val="009E46AD"/>
    <w:rsid w:val="009E47ED"/>
    <w:rsid w:val="009E4E38"/>
    <w:rsid w:val="009E5FBF"/>
    <w:rsid w:val="009E79A5"/>
    <w:rsid w:val="009F07D8"/>
    <w:rsid w:val="009F3A6A"/>
    <w:rsid w:val="009F5281"/>
    <w:rsid w:val="009F5B5A"/>
    <w:rsid w:val="009F62F1"/>
    <w:rsid w:val="009F66E9"/>
    <w:rsid w:val="009F7758"/>
    <w:rsid w:val="009F7EC7"/>
    <w:rsid w:val="00A00AE2"/>
    <w:rsid w:val="00A01736"/>
    <w:rsid w:val="00A0212A"/>
    <w:rsid w:val="00A025EE"/>
    <w:rsid w:val="00A03597"/>
    <w:rsid w:val="00A058E5"/>
    <w:rsid w:val="00A10162"/>
    <w:rsid w:val="00A101DA"/>
    <w:rsid w:val="00A15796"/>
    <w:rsid w:val="00A15F74"/>
    <w:rsid w:val="00A1634B"/>
    <w:rsid w:val="00A17F71"/>
    <w:rsid w:val="00A20750"/>
    <w:rsid w:val="00A21456"/>
    <w:rsid w:val="00A24B42"/>
    <w:rsid w:val="00A24C83"/>
    <w:rsid w:val="00A25849"/>
    <w:rsid w:val="00A2603A"/>
    <w:rsid w:val="00A265F8"/>
    <w:rsid w:val="00A27835"/>
    <w:rsid w:val="00A27BEE"/>
    <w:rsid w:val="00A31461"/>
    <w:rsid w:val="00A35F51"/>
    <w:rsid w:val="00A36355"/>
    <w:rsid w:val="00A366E7"/>
    <w:rsid w:val="00A4449F"/>
    <w:rsid w:val="00A445C4"/>
    <w:rsid w:val="00A44B43"/>
    <w:rsid w:val="00A45AB9"/>
    <w:rsid w:val="00A46496"/>
    <w:rsid w:val="00A50C23"/>
    <w:rsid w:val="00A519D7"/>
    <w:rsid w:val="00A51F1C"/>
    <w:rsid w:val="00A555DC"/>
    <w:rsid w:val="00A6110A"/>
    <w:rsid w:val="00A63E9D"/>
    <w:rsid w:val="00A64B5F"/>
    <w:rsid w:val="00A65C1E"/>
    <w:rsid w:val="00A65E28"/>
    <w:rsid w:val="00A66721"/>
    <w:rsid w:val="00A67E4A"/>
    <w:rsid w:val="00A72638"/>
    <w:rsid w:val="00A73E45"/>
    <w:rsid w:val="00A77129"/>
    <w:rsid w:val="00A77909"/>
    <w:rsid w:val="00A8297C"/>
    <w:rsid w:val="00A82EA7"/>
    <w:rsid w:val="00A83C90"/>
    <w:rsid w:val="00A83D11"/>
    <w:rsid w:val="00A83EAA"/>
    <w:rsid w:val="00A86FBC"/>
    <w:rsid w:val="00A921FF"/>
    <w:rsid w:val="00A937A2"/>
    <w:rsid w:val="00A93C1A"/>
    <w:rsid w:val="00A954F4"/>
    <w:rsid w:val="00A9576D"/>
    <w:rsid w:val="00A96295"/>
    <w:rsid w:val="00A96856"/>
    <w:rsid w:val="00AA007D"/>
    <w:rsid w:val="00AA115B"/>
    <w:rsid w:val="00AA38EB"/>
    <w:rsid w:val="00AA5E5D"/>
    <w:rsid w:val="00AA67F2"/>
    <w:rsid w:val="00AB193B"/>
    <w:rsid w:val="00AB38B7"/>
    <w:rsid w:val="00AB6FC7"/>
    <w:rsid w:val="00AB7B22"/>
    <w:rsid w:val="00AC1E49"/>
    <w:rsid w:val="00AC2FCB"/>
    <w:rsid w:val="00AC34A5"/>
    <w:rsid w:val="00AC3D80"/>
    <w:rsid w:val="00AC47EB"/>
    <w:rsid w:val="00AD10CF"/>
    <w:rsid w:val="00AD1A2F"/>
    <w:rsid w:val="00AD1ABB"/>
    <w:rsid w:val="00AD1BDB"/>
    <w:rsid w:val="00AD235B"/>
    <w:rsid w:val="00AD2CCD"/>
    <w:rsid w:val="00AD764C"/>
    <w:rsid w:val="00AE091D"/>
    <w:rsid w:val="00AE0CBB"/>
    <w:rsid w:val="00AE1A5F"/>
    <w:rsid w:val="00AE259B"/>
    <w:rsid w:val="00AE2658"/>
    <w:rsid w:val="00AE3136"/>
    <w:rsid w:val="00AE375D"/>
    <w:rsid w:val="00AE4327"/>
    <w:rsid w:val="00AE6949"/>
    <w:rsid w:val="00AF03F5"/>
    <w:rsid w:val="00AF2AF0"/>
    <w:rsid w:val="00AF2FC6"/>
    <w:rsid w:val="00AF37D2"/>
    <w:rsid w:val="00AF39F5"/>
    <w:rsid w:val="00B00F61"/>
    <w:rsid w:val="00B0269F"/>
    <w:rsid w:val="00B058A9"/>
    <w:rsid w:val="00B077BF"/>
    <w:rsid w:val="00B103E8"/>
    <w:rsid w:val="00B10AF1"/>
    <w:rsid w:val="00B11CAD"/>
    <w:rsid w:val="00B12517"/>
    <w:rsid w:val="00B129F0"/>
    <w:rsid w:val="00B14303"/>
    <w:rsid w:val="00B14818"/>
    <w:rsid w:val="00B204A5"/>
    <w:rsid w:val="00B207F6"/>
    <w:rsid w:val="00B20CDF"/>
    <w:rsid w:val="00B2314A"/>
    <w:rsid w:val="00B26A2B"/>
    <w:rsid w:val="00B31A80"/>
    <w:rsid w:val="00B31D83"/>
    <w:rsid w:val="00B32D6B"/>
    <w:rsid w:val="00B34B36"/>
    <w:rsid w:val="00B37D1B"/>
    <w:rsid w:val="00B50BA6"/>
    <w:rsid w:val="00B514F7"/>
    <w:rsid w:val="00B526C9"/>
    <w:rsid w:val="00B577EB"/>
    <w:rsid w:val="00B602E1"/>
    <w:rsid w:val="00B617F8"/>
    <w:rsid w:val="00B6431C"/>
    <w:rsid w:val="00B6548D"/>
    <w:rsid w:val="00B66509"/>
    <w:rsid w:val="00B666EF"/>
    <w:rsid w:val="00B669A9"/>
    <w:rsid w:val="00B66C0A"/>
    <w:rsid w:val="00B70810"/>
    <w:rsid w:val="00B7091C"/>
    <w:rsid w:val="00B70C80"/>
    <w:rsid w:val="00B73DBB"/>
    <w:rsid w:val="00B74E1E"/>
    <w:rsid w:val="00B75E93"/>
    <w:rsid w:val="00B763F5"/>
    <w:rsid w:val="00B854D3"/>
    <w:rsid w:val="00B85745"/>
    <w:rsid w:val="00B85836"/>
    <w:rsid w:val="00B879F0"/>
    <w:rsid w:val="00B904ED"/>
    <w:rsid w:val="00B90FF3"/>
    <w:rsid w:val="00B910FE"/>
    <w:rsid w:val="00B92584"/>
    <w:rsid w:val="00B9301E"/>
    <w:rsid w:val="00B97249"/>
    <w:rsid w:val="00B97E3B"/>
    <w:rsid w:val="00BA0A2C"/>
    <w:rsid w:val="00BA1320"/>
    <w:rsid w:val="00BA2CD4"/>
    <w:rsid w:val="00BA2E2D"/>
    <w:rsid w:val="00BA3874"/>
    <w:rsid w:val="00BA5DCE"/>
    <w:rsid w:val="00BA629B"/>
    <w:rsid w:val="00BA7A93"/>
    <w:rsid w:val="00BB04B2"/>
    <w:rsid w:val="00BB04BA"/>
    <w:rsid w:val="00BB176B"/>
    <w:rsid w:val="00BB24FB"/>
    <w:rsid w:val="00BB6A75"/>
    <w:rsid w:val="00BB6FD0"/>
    <w:rsid w:val="00BC4E03"/>
    <w:rsid w:val="00BC6199"/>
    <w:rsid w:val="00BD1693"/>
    <w:rsid w:val="00BD3695"/>
    <w:rsid w:val="00BD39F9"/>
    <w:rsid w:val="00BD4884"/>
    <w:rsid w:val="00BD7C6C"/>
    <w:rsid w:val="00BE1D11"/>
    <w:rsid w:val="00BE2BC3"/>
    <w:rsid w:val="00BE3C2A"/>
    <w:rsid w:val="00BE5D4C"/>
    <w:rsid w:val="00BE6357"/>
    <w:rsid w:val="00BE6752"/>
    <w:rsid w:val="00BE6F99"/>
    <w:rsid w:val="00BE7CEE"/>
    <w:rsid w:val="00BF05E9"/>
    <w:rsid w:val="00BF2C0A"/>
    <w:rsid w:val="00BF56A5"/>
    <w:rsid w:val="00BF6568"/>
    <w:rsid w:val="00BF68D8"/>
    <w:rsid w:val="00BF69B5"/>
    <w:rsid w:val="00C060AD"/>
    <w:rsid w:val="00C06ACE"/>
    <w:rsid w:val="00C07CB7"/>
    <w:rsid w:val="00C07EB6"/>
    <w:rsid w:val="00C10497"/>
    <w:rsid w:val="00C128EE"/>
    <w:rsid w:val="00C13966"/>
    <w:rsid w:val="00C13D16"/>
    <w:rsid w:val="00C20E57"/>
    <w:rsid w:val="00C22619"/>
    <w:rsid w:val="00C23F54"/>
    <w:rsid w:val="00C262B2"/>
    <w:rsid w:val="00C26B0E"/>
    <w:rsid w:val="00C32AF0"/>
    <w:rsid w:val="00C34BCD"/>
    <w:rsid w:val="00C350C3"/>
    <w:rsid w:val="00C3740D"/>
    <w:rsid w:val="00C40D4C"/>
    <w:rsid w:val="00C42491"/>
    <w:rsid w:val="00C42967"/>
    <w:rsid w:val="00C43023"/>
    <w:rsid w:val="00C4310E"/>
    <w:rsid w:val="00C455DE"/>
    <w:rsid w:val="00C46909"/>
    <w:rsid w:val="00C50928"/>
    <w:rsid w:val="00C50E6B"/>
    <w:rsid w:val="00C51CD0"/>
    <w:rsid w:val="00C52BC8"/>
    <w:rsid w:val="00C56CBF"/>
    <w:rsid w:val="00C578B8"/>
    <w:rsid w:val="00C57DC0"/>
    <w:rsid w:val="00C60FD4"/>
    <w:rsid w:val="00C6241F"/>
    <w:rsid w:val="00C64331"/>
    <w:rsid w:val="00C64A47"/>
    <w:rsid w:val="00C64CBC"/>
    <w:rsid w:val="00C65C48"/>
    <w:rsid w:val="00C6755D"/>
    <w:rsid w:val="00C67E91"/>
    <w:rsid w:val="00C732CA"/>
    <w:rsid w:val="00C743EB"/>
    <w:rsid w:val="00C77132"/>
    <w:rsid w:val="00C775FA"/>
    <w:rsid w:val="00C80FD0"/>
    <w:rsid w:val="00C8125F"/>
    <w:rsid w:val="00C82B59"/>
    <w:rsid w:val="00C84D17"/>
    <w:rsid w:val="00C852CD"/>
    <w:rsid w:val="00C87452"/>
    <w:rsid w:val="00C921C5"/>
    <w:rsid w:val="00C928A1"/>
    <w:rsid w:val="00C929FA"/>
    <w:rsid w:val="00C93BBC"/>
    <w:rsid w:val="00C9404E"/>
    <w:rsid w:val="00CA108F"/>
    <w:rsid w:val="00CA1E47"/>
    <w:rsid w:val="00CA392A"/>
    <w:rsid w:val="00CA40BF"/>
    <w:rsid w:val="00CA432D"/>
    <w:rsid w:val="00CA5155"/>
    <w:rsid w:val="00CA6811"/>
    <w:rsid w:val="00CB1A77"/>
    <w:rsid w:val="00CB1B50"/>
    <w:rsid w:val="00CB5167"/>
    <w:rsid w:val="00CB6A9C"/>
    <w:rsid w:val="00CB7760"/>
    <w:rsid w:val="00CC09AE"/>
    <w:rsid w:val="00CC11F1"/>
    <w:rsid w:val="00CC19B5"/>
    <w:rsid w:val="00CC70E4"/>
    <w:rsid w:val="00CC78DD"/>
    <w:rsid w:val="00CD4A0A"/>
    <w:rsid w:val="00CD515D"/>
    <w:rsid w:val="00CD71F1"/>
    <w:rsid w:val="00CE51F3"/>
    <w:rsid w:val="00CE7D35"/>
    <w:rsid w:val="00CF1A4B"/>
    <w:rsid w:val="00CF1C29"/>
    <w:rsid w:val="00CF1C9E"/>
    <w:rsid w:val="00CF3E4B"/>
    <w:rsid w:val="00CF47C1"/>
    <w:rsid w:val="00CF7E78"/>
    <w:rsid w:val="00D01736"/>
    <w:rsid w:val="00D019C2"/>
    <w:rsid w:val="00D01FD3"/>
    <w:rsid w:val="00D02A06"/>
    <w:rsid w:val="00D02EB1"/>
    <w:rsid w:val="00D05885"/>
    <w:rsid w:val="00D06513"/>
    <w:rsid w:val="00D07A08"/>
    <w:rsid w:val="00D10503"/>
    <w:rsid w:val="00D12EA5"/>
    <w:rsid w:val="00D15048"/>
    <w:rsid w:val="00D25926"/>
    <w:rsid w:val="00D25C7E"/>
    <w:rsid w:val="00D260EC"/>
    <w:rsid w:val="00D2763E"/>
    <w:rsid w:val="00D3087A"/>
    <w:rsid w:val="00D32E66"/>
    <w:rsid w:val="00D34357"/>
    <w:rsid w:val="00D357C5"/>
    <w:rsid w:val="00D37B52"/>
    <w:rsid w:val="00D405AF"/>
    <w:rsid w:val="00D4375C"/>
    <w:rsid w:val="00D44609"/>
    <w:rsid w:val="00D448A1"/>
    <w:rsid w:val="00D47188"/>
    <w:rsid w:val="00D4734E"/>
    <w:rsid w:val="00D50D06"/>
    <w:rsid w:val="00D51C75"/>
    <w:rsid w:val="00D529B7"/>
    <w:rsid w:val="00D54090"/>
    <w:rsid w:val="00D55313"/>
    <w:rsid w:val="00D55AAD"/>
    <w:rsid w:val="00D62295"/>
    <w:rsid w:val="00D64723"/>
    <w:rsid w:val="00D71F20"/>
    <w:rsid w:val="00D73853"/>
    <w:rsid w:val="00D7592B"/>
    <w:rsid w:val="00D77111"/>
    <w:rsid w:val="00D773F2"/>
    <w:rsid w:val="00D80560"/>
    <w:rsid w:val="00D8137B"/>
    <w:rsid w:val="00D855C0"/>
    <w:rsid w:val="00D85EBA"/>
    <w:rsid w:val="00D874B6"/>
    <w:rsid w:val="00D87A21"/>
    <w:rsid w:val="00D90798"/>
    <w:rsid w:val="00D90B0E"/>
    <w:rsid w:val="00D90CCF"/>
    <w:rsid w:val="00D9138A"/>
    <w:rsid w:val="00D9402B"/>
    <w:rsid w:val="00DA043F"/>
    <w:rsid w:val="00DA4A5C"/>
    <w:rsid w:val="00DA7325"/>
    <w:rsid w:val="00DA7BCD"/>
    <w:rsid w:val="00DA7BD0"/>
    <w:rsid w:val="00DB1008"/>
    <w:rsid w:val="00DB1D41"/>
    <w:rsid w:val="00DB269B"/>
    <w:rsid w:val="00DB4D1C"/>
    <w:rsid w:val="00DB5E3E"/>
    <w:rsid w:val="00DB6560"/>
    <w:rsid w:val="00DB7131"/>
    <w:rsid w:val="00DB723F"/>
    <w:rsid w:val="00DB7A16"/>
    <w:rsid w:val="00DC2C68"/>
    <w:rsid w:val="00DC53F0"/>
    <w:rsid w:val="00DC70CA"/>
    <w:rsid w:val="00DC7504"/>
    <w:rsid w:val="00DC7715"/>
    <w:rsid w:val="00DC77C9"/>
    <w:rsid w:val="00DD2195"/>
    <w:rsid w:val="00DD6795"/>
    <w:rsid w:val="00DE1AA1"/>
    <w:rsid w:val="00DE2139"/>
    <w:rsid w:val="00DE2900"/>
    <w:rsid w:val="00DE53EC"/>
    <w:rsid w:val="00DE5913"/>
    <w:rsid w:val="00DF0965"/>
    <w:rsid w:val="00DF107E"/>
    <w:rsid w:val="00DF22D1"/>
    <w:rsid w:val="00DF26AD"/>
    <w:rsid w:val="00DF277D"/>
    <w:rsid w:val="00DF2F46"/>
    <w:rsid w:val="00DF54DD"/>
    <w:rsid w:val="00DF5628"/>
    <w:rsid w:val="00DF6270"/>
    <w:rsid w:val="00E0143B"/>
    <w:rsid w:val="00E042B1"/>
    <w:rsid w:val="00E04438"/>
    <w:rsid w:val="00E05DB3"/>
    <w:rsid w:val="00E07D68"/>
    <w:rsid w:val="00E11A74"/>
    <w:rsid w:val="00E13928"/>
    <w:rsid w:val="00E15903"/>
    <w:rsid w:val="00E15A69"/>
    <w:rsid w:val="00E163BD"/>
    <w:rsid w:val="00E16A99"/>
    <w:rsid w:val="00E203D6"/>
    <w:rsid w:val="00E226A6"/>
    <w:rsid w:val="00E269C7"/>
    <w:rsid w:val="00E32C87"/>
    <w:rsid w:val="00E33594"/>
    <w:rsid w:val="00E33A98"/>
    <w:rsid w:val="00E35060"/>
    <w:rsid w:val="00E36292"/>
    <w:rsid w:val="00E36A62"/>
    <w:rsid w:val="00E376FA"/>
    <w:rsid w:val="00E41255"/>
    <w:rsid w:val="00E45C3D"/>
    <w:rsid w:val="00E47227"/>
    <w:rsid w:val="00E479E0"/>
    <w:rsid w:val="00E5279B"/>
    <w:rsid w:val="00E52DDD"/>
    <w:rsid w:val="00E533EB"/>
    <w:rsid w:val="00E54B22"/>
    <w:rsid w:val="00E54DB1"/>
    <w:rsid w:val="00E57764"/>
    <w:rsid w:val="00E6002B"/>
    <w:rsid w:val="00E602B8"/>
    <w:rsid w:val="00E6228A"/>
    <w:rsid w:val="00E622E8"/>
    <w:rsid w:val="00E62C72"/>
    <w:rsid w:val="00E64C3C"/>
    <w:rsid w:val="00E716C2"/>
    <w:rsid w:val="00E720F6"/>
    <w:rsid w:val="00E7284F"/>
    <w:rsid w:val="00E750C8"/>
    <w:rsid w:val="00E80E7B"/>
    <w:rsid w:val="00E80F7E"/>
    <w:rsid w:val="00E81073"/>
    <w:rsid w:val="00E812A7"/>
    <w:rsid w:val="00E83017"/>
    <w:rsid w:val="00E850C6"/>
    <w:rsid w:val="00E8510C"/>
    <w:rsid w:val="00E853F8"/>
    <w:rsid w:val="00E85F53"/>
    <w:rsid w:val="00E86D57"/>
    <w:rsid w:val="00E9022E"/>
    <w:rsid w:val="00E91E94"/>
    <w:rsid w:val="00E92B9A"/>
    <w:rsid w:val="00E92CB4"/>
    <w:rsid w:val="00E9316A"/>
    <w:rsid w:val="00E942C3"/>
    <w:rsid w:val="00E94A98"/>
    <w:rsid w:val="00EA18FD"/>
    <w:rsid w:val="00EA33A1"/>
    <w:rsid w:val="00EA5B95"/>
    <w:rsid w:val="00EA6A31"/>
    <w:rsid w:val="00EB05B5"/>
    <w:rsid w:val="00EB259C"/>
    <w:rsid w:val="00EB518A"/>
    <w:rsid w:val="00EB57E3"/>
    <w:rsid w:val="00EB6AD9"/>
    <w:rsid w:val="00EB76FF"/>
    <w:rsid w:val="00EC1C39"/>
    <w:rsid w:val="00EC45A9"/>
    <w:rsid w:val="00EC57CE"/>
    <w:rsid w:val="00EC59BA"/>
    <w:rsid w:val="00EC67D9"/>
    <w:rsid w:val="00EC74A4"/>
    <w:rsid w:val="00ED240B"/>
    <w:rsid w:val="00ED4B5F"/>
    <w:rsid w:val="00ED5D31"/>
    <w:rsid w:val="00ED631D"/>
    <w:rsid w:val="00ED6592"/>
    <w:rsid w:val="00ED7C4C"/>
    <w:rsid w:val="00EE5F60"/>
    <w:rsid w:val="00EF67A4"/>
    <w:rsid w:val="00EF6E0E"/>
    <w:rsid w:val="00EF7164"/>
    <w:rsid w:val="00EF7329"/>
    <w:rsid w:val="00F00BEB"/>
    <w:rsid w:val="00F06F91"/>
    <w:rsid w:val="00F11790"/>
    <w:rsid w:val="00F147F9"/>
    <w:rsid w:val="00F14C2B"/>
    <w:rsid w:val="00F16A47"/>
    <w:rsid w:val="00F16E50"/>
    <w:rsid w:val="00F175E5"/>
    <w:rsid w:val="00F21141"/>
    <w:rsid w:val="00F235C6"/>
    <w:rsid w:val="00F2406B"/>
    <w:rsid w:val="00F249AA"/>
    <w:rsid w:val="00F26821"/>
    <w:rsid w:val="00F26B6A"/>
    <w:rsid w:val="00F2739A"/>
    <w:rsid w:val="00F30587"/>
    <w:rsid w:val="00F31B56"/>
    <w:rsid w:val="00F36036"/>
    <w:rsid w:val="00F4409A"/>
    <w:rsid w:val="00F447F8"/>
    <w:rsid w:val="00F452BD"/>
    <w:rsid w:val="00F453A8"/>
    <w:rsid w:val="00F470B1"/>
    <w:rsid w:val="00F4719F"/>
    <w:rsid w:val="00F50A3A"/>
    <w:rsid w:val="00F52DE8"/>
    <w:rsid w:val="00F53991"/>
    <w:rsid w:val="00F612DB"/>
    <w:rsid w:val="00F65A34"/>
    <w:rsid w:val="00F66434"/>
    <w:rsid w:val="00F67C88"/>
    <w:rsid w:val="00F70BD9"/>
    <w:rsid w:val="00F716C6"/>
    <w:rsid w:val="00F717A9"/>
    <w:rsid w:val="00F7215B"/>
    <w:rsid w:val="00F731B3"/>
    <w:rsid w:val="00F82321"/>
    <w:rsid w:val="00F82CD9"/>
    <w:rsid w:val="00F90AA5"/>
    <w:rsid w:val="00F913DC"/>
    <w:rsid w:val="00F920EA"/>
    <w:rsid w:val="00F92BA8"/>
    <w:rsid w:val="00F9421C"/>
    <w:rsid w:val="00F94882"/>
    <w:rsid w:val="00F94DF7"/>
    <w:rsid w:val="00FA0E16"/>
    <w:rsid w:val="00FA5835"/>
    <w:rsid w:val="00FB02D3"/>
    <w:rsid w:val="00FB0486"/>
    <w:rsid w:val="00FB16E6"/>
    <w:rsid w:val="00FB1D55"/>
    <w:rsid w:val="00FC02EF"/>
    <w:rsid w:val="00FC0B32"/>
    <w:rsid w:val="00FC2CBB"/>
    <w:rsid w:val="00FC3238"/>
    <w:rsid w:val="00FC3640"/>
    <w:rsid w:val="00FC41B8"/>
    <w:rsid w:val="00FD0AD6"/>
    <w:rsid w:val="00FD0E54"/>
    <w:rsid w:val="00FD2F48"/>
    <w:rsid w:val="00FD68CD"/>
    <w:rsid w:val="00FD7141"/>
    <w:rsid w:val="00FD7A85"/>
    <w:rsid w:val="00FE0748"/>
    <w:rsid w:val="00FE2029"/>
    <w:rsid w:val="00FE395E"/>
    <w:rsid w:val="00FE635D"/>
    <w:rsid w:val="00FE6FD8"/>
    <w:rsid w:val="00FE742D"/>
    <w:rsid w:val="00FF158E"/>
    <w:rsid w:val="00FF55B2"/>
    <w:rsid w:val="00FF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A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Variabl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406"/>
    <w:pPr>
      <w:spacing w:line="360" w:lineRule="auto"/>
      <w:jc w:val="both"/>
    </w:pPr>
    <w:rPr>
      <w:rFonts w:ascii="Garamond" w:hAnsi="Garamond"/>
      <w:sz w:val="24"/>
      <w:szCs w:val="24"/>
    </w:rPr>
  </w:style>
  <w:style w:type="paragraph" w:styleId="Nadpis1">
    <w:name w:val="heading 1"/>
    <w:basedOn w:val="Normln"/>
    <w:next w:val="Normln"/>
    <w:qFormat/>
    <w:rsid w:val="009B3CA9"/>
    <w:pPr>
      <w:keepNext/>
      <w:spacing w:before="240" w:after="120"/>
      <w:jc w:val="center"/>
      <w:outlineLvl w:val="0"/>
    </w:pPr>
    <w:rPr>
      <w:b/>
      <w:bCs/>
      <w:smallCaps/>
      <w:kern w:val="32"/>
      <w:sz w:val="36"/>
      <w:szCs w:val="36"/>
    </w:rPr>
  </w:style>
  <w:style w:type="paragraph" w:styleId="Nadpis2">
    <w:name w:val="heading 2"/>
    <w:basedOn w:val="Normln"/>
    <w:next w:val="Normln"/>
    <w:qFormat/>
    <w:pPr>
      <w:keepNext/>
      <w:spacing w:before="240" w:after="60"/>
      <w:outlineLvl w:val="1"/>
    </w:pPr>
    <w:rPr>
      <w:b/>
      <w:bCs/>
      <w:i/>
      <w:iCs/>
      <w:sz w:val="32"/>
      <w:szCs w:val="32"/>
    </w:rPr>
  </w:style>
  <w:style w:type="paragraph" w:styleId="Nadpis3">
    <w:name w:val="heading 3"/>
    <w:basedOn w:val="Normln"/>
    <w:next w:val="Normln"/>
    <w:qFormat/>
    <w:pPr>
      <w:keepNext/>
      <w:spacing w:before="240" w:after="60"/>
      <w:outlineLvl w:val="2"/>
    </w:pPr>
    <w:rPr>
      <w:b/>
      <w:bCs/>
      <w:sz w:val="26"/>
      <w:szCs w:val="26"/>
    </w:rPr>
  </w:style>
  <w:style w:type="paragraph" w:styleId="Nadpis4">
    <w:name w:val="heading 4"/>
    <w:basedOn w:val="Normln"/>
    <w:next w:val="Normln"/>
    <w:link w:val="Nadpis4Char"/>
    <w:semiHidden/>
    <w:unhideWhenUsed/>
    <w:qFormat/>
    <w:rsid w:val="00617089"/>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617089"/>
    <w:pPr>
      <w:spacing w:before="240" w:after="60"/>
      <w:outlineLvl w:val="4"/>
    </w:pPr>
    <w:rPr>
      <w:rFonts w:ascii="Calibri" w:hAnsi="Calibri"/>
      <w:b/>
      <w:bCs/>
      <w:i/>
      <w:iCs/>
      <w:sz w:val="26"/>
      <w:szCs w:val="26"/>
    </w:rPr>
  </w:style>
  <w:style w:type="paragraph" w:styleId="Nadpis6">
    <w:name w:val="heading 6"/>
    <w:basedOn w:val="Normln"/>
    <w:next w:val="Normln"/>
    <w:qFormat/>
    <w:pPr>
      <w:keepNext/>
      <w:jc w:val="right"/>
      <w:outlineLvl w:val="5"/>
    </w:pPr>
    <w:rPr>
      <w:i/>
      <w:iCs/>
    </w:rPr>
  </w:style>
  <w:style w:type="paragraph" w:styleId="Nadpis7">
    <w:name w:val="heading 7"/>
    <w:basedOn w:val="Normln"/>
    <w:next w:val="Normln"/>
    <w:link w:val="Nadpis7Char"/>
    <w:semiHidden/>
    <w:unhideWhenUsed/>
    <w:qFormat/>
    <w:rsid w:val="00617089"/>
    <w:pPr>
      <w:spacing w:before="240" w:after="60"/>
      <w:outlineLvl w:val="6"/>
    </w:pPr>
    <w:rPr>
      <w:rFonts w:ascii="Calibri" w:hAnsi="Calibri"/>
    </w:rPr>
  </w:style>
  <w:style w:type="paragraph" w:styleId="Nadpis8">
    <w:name w:val="heading 8"/>
    <w:basedOn w:val="Normln"/>
    <w:next w:val="Normln"/>
    <w:link w:val="Nadpis8Char"/>
    <w:semiHidden/>
    <w:unhideWhenUsed/>
    <w:qFormat/>
    <w:rsid w:val="00617089"/>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617089"/>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rsid w:val="005C7BDC"/>
    <w:pPr>
      <w:ind w:left="709"/>
    </w:pPr>
    <w:rPr>
      <w:i/>
      <w:iCs/>
    </w:rPr>
  </w:style>
  <w:style w:type="paragraph" w:styleId="Textpoznpodarou">
    <w:name w:val="footnote text"/>
    <w:basedOn w:val="Normln"/>
    <w:link w:val="TextpoznpodarouChar"/>
    <w:semiHidden/>
    <w:rsid w:val="005C7BDC"/>
    <w:rPr>
      <w:sz w:val="20"/>
      <w:szCs w:val="20"/>
    </w:rPr>
  </w:style>
  <w:style w:type="character" w:styleId="Znakapoznpodarou">
    <w:name w:val="footnote reference"/>
    <w:uiPriority w:val="99"/>
    <w:semiHidden/>
    <w:rsid w:val="005C7BDC"/>
    <w:rPr>
      <w:vertAlign w:val="superscript"/>
    </w:rPr>
  </w:style>
  <w:style w:type="paragraph" w:styleId="Obsah1">
    <w:name w:val="toc 1"/>
    <w:basedOn w:val="Normln"/>
    <w:next w:val="Normln"/>
    <w:autoRedefine/>
    <w:uiPriority w:val="39"/>
    <w:rsid w:val="00D37B52"/>
  </w:style>
  <w:style w:type="paragraph" w:styleId="Obsah3">
    <w:name w:val="toc 3"/>
    <w:basedOn w:val="Normln"/>
    <w:next w:val="Normln"/>
    <w:autoRedefine/>
    <w:uiPriority w:val="39"/>
    <w:rsid w:val="00D37B52"/>
    <w:pPr>
      <w:ind w:left="480"/>
    </w:pPr>
  </w:style>
  <w:style w:type="character" w:styleId="Hypertextovodkaz">
    <w:name w:val="Hyperlink"/>
    <w:uiPriority w:val="99"/>
    <w:unhideWhenUsed/>
    <w:rsid w:val="00D37B52"/>
    <w:rPr>
      <w:color w:val="0000FF"/>
      <w:u w:val="single"/>
    </w:rPr>
  </w:style>
  <w:style w:type="paragraph" w:styleId="Odstavecseseznamem">
    <w:name w:val="List Paragraph"/>
    <w:basedOn w:val="Normln"/>
    <w:uiPriority w:val="34"/>
    <w:qFormat/>
    <w:rsid w:val="00250CB7"/>
    <w:pPr>
      <w:spacing w:after="160" w:line="259"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C732CA"/>
    <w:rPr>
      <w:rFonts w:ascii="Garamond" w:hAnsi="Garamond"/>
      <w:sz w:val="24"/>
      <w:szCs w:val="24"/>
    </w:rPr>
  </w:style>
  <w:style w:type="paragraph" w:customStyle="1" w:styleId="l7">
    <w:name w:val="l7"/>
    <w:basedOn w:val="Normln"/>
    <w:rsid w:val="008903C5"/>
    <w:pPr>
      <w:spacing w:before="100" w:beforeAutospacing="1" w:after="100" w:afterAutospacing="1" w:line="240" w:lineRule="auto"/>
    </w:pPr>
    <w:rPr>
      <w:rFonts w:ascii="Times New Roman" w:hAnsi="Times New Roman"/>
    </w:rPr>
  </w:style>
  <w:style w:type="paragraph" w:styleId="Obsah2">
    <w:name w:val="toc 2"/>
    <w:basedOn w:val="Normln"/>
    <w:next w:val="Normln"/>
    <w:autoRedefine/>
    <w:uiPriority w:val="39"/>
    <w:rsid w:val="00B10AF1"/>
    <w:pPr>
      <w:ind w:left="240"/>
    </w:pPr>
  </w:style>
  <w:style w:type="character" w:customStyle="1" w:styleId="Nadpis4Char">
    <w:name w:val="Nadpis 4 Char"/>
    <w:link w:val="Nadpis4"/>
    <w:semiHidden/>
    <w:rsid w:val="00617089"/>
    <w:rPr>
      <w:rFonts w:ascii="Calibri" w:eastAsia="Times New Roman" w:hAnsi="Calibri" w:cs="Times New Roman"/>
      <w:b/>
      <w:bCs/>
      <w:sz w:val="28"/>
      <w:szCs w:val="28"/>
    </w:rPr>
  </w:style>
  <w:style w:type="character" w:customStyle="1" w:styleId="Nadpis5Char">
    <w:name w:val="Nadpis 5 Char"/>
    <w:link w:val="Nadpis5"/>
    <w:semiHidden/>
    <w:rsid w:val="00617089"/>
    <w:rPr>
      <w:rFonts w:ascii="Calibri" w:eastAsia="Times New Roman" w:hAnsi="Calibri" w:cs="Times New Roman"/>
      <w:b/>
      <w:bCs/>
      <w:i/>
      <w:iCs/>
      <w:sz w:val="26"/>
      <w:szCs w:val="26"/>
    </w:rPr>
  </w:style>
  <w:style w:type="character" w:customStyle="1" w:styleId="Nadpis7Char">
    <w:name w:val="Nadpis 7 Char"/>
    <w:link w:val="Nadpis7"/>
    <w:semiHidden/>
    <w:rsid w:val="00617089"/>
    <w:rPr>
      <w:rFonts w:ascii="Calibri" w:eastAsia="Times New Roman" w:hAnsi="Calibri" w:cs="Times New Roman"/>
      <w:sz w:val="24"/>
      <w:szCs w:val="24"/>
    </w:rPr>
  </w:style>
  <w:style w:type="character" w:customStyle="1" w:styleId="Nadpis8Char">
    <w:name w:val="Nadpis 8 Char"/>
    <w:link w:val="Nadpis8"/>
    <w:semiHidden/>
    <w:rsid w:val="00617089"/>
    <w:rPr>
      <w:rFonts w:ascii="Calibri" w:eastAsia="Times New Roman" w:hAnsi="Calibri" w:cs="Times New Roman"/>
      <w:i/>
      <w:iCs/>
      <w:sz w:val="24"/>
      <w:szCs w:val="24"/>
    </w:rPr>
  </w:style>
  <w:style w:type="character" w:customStyle="1" w:styleId="Nadpis9Char">
    <w:name w:val="Nadpis 9 Char"/>
    <w:link w:val="Nadpis9"/>
    <w:semiHidden/>
    <w:rsid w:val="00617089"/>
    <w:rPr>
      <w:rFonts w:ascii="Cambria" w:eastAsia="Times New Roman" w:hAnsi="Cambria" w:cs="Times New Roman"/>
      <w:sz w:val="22"/>
      <w:szCs w:val="22"/>
    </w:rPr>
  </w:style>
  <w:style w:type="paragraph" w:customStyle="1" w:styleId="Pa13">
    <w:name w:val="Pa13"/>
    <w:basedOn w:val="Normln"/>
    <w:next w:val="Normln"/>
    <w:uiPriority w:val="99"/>
    <w:rsid w:val="00915132"/>
    <w:pPr>
      <w:autoSpaceDE w:val="0"/>
      <w:autoSpaceDN w:val="0"/>
      <w:adjustRightInd w:val="0"/>
      <w:spacing w:line="221" w:lineRule="atLeast"/>
    </w:pPr>
  </w:style>
  <w:style w:type="paragraph" w:customStyle="1" w:styleId="Pa17">
    <w:name w:val="Pa17"/>
    <w:basedOn w:val="Normln"/>
    <w:next w:val="Normln"/>
    <w:uiPriority w:val="99"/>
    <w:rsid w:val="00915132"/>
    <w:pPr>
      <w:autoSpaceDE w:val="0"/>
      <w:autoSpaceDN w:val="0"/>
      <w:adjustRightInd w:val="0"/>
      <w:spacing w:line="221" w:lineRule="atLeast"/>
    </w:pPr>
  </w:style>
  <w:style w:type="character" w:customStyle="1" w:styleId="A9">
    <w:name w:val="A9"/>
    <w:uiPriority w:val="99"/>
    <w:rsid w:val="00915132"/>
    <w:rPr>
      <w:rFonts w:cs="Garamond"/>
      <w:color w:val="000000"/>
      <w:sz w:val="12"/>
      <w:szCs w:val="12"/>
    </w:rPr>
  </w:style>
  <w:style w:type="paragraph" w:customStyle="1" w:styleId="Default">
    <w:name w:val="Default"/>
    <w:rsid w:val="0043590A"/>
    <w:pPr>
      <w:autoSpaceDE w:val="0"/>
      <w:autoSpaceDN w:val="0"/>
      <w:adjustRightInd w:val="0"/>
    </w:pPr>
    <w:rPr>
      <w:rFonts w:ascii="Garamond" w:eastAsia="Calibri" w:hAnsi="Garamond" w:cs="Garamond"/>
      <w:color w:val="000000"/>
      <w:sz w:val="24"/>
      <w:szCs w:val="24"/>
      <w:lang w:eastAsia="en-US"/>
    </w:rPr>
  </w:style>
  <w:style w:type="character" w:customStyle="1" w:styleId="TextpoznpodarouChar">
    <w:name w:val="Text pozn. pod čarou Char"/>
    <w:link w:val="Textpoznpodarou"/>
    <w:semiHidden/>
    <w:rsid w:val="0043590A"/>
    <w:rPr>
      <w:rFonts w:ascii="Garamond" w:hAnsi="Garamond"/>
    </w:rPr>
  </w:style>
  <w:style w:type="paragraph" w:styleId="Normlnweb">
    <w:name w:val="Normal (Web)"/>
    <w:basedOn w:val="Normln"/>
    <w:rsid w:val="00ED5D31"/>
    <w:pPr>
      <w:spacing w:before="100" w:beforeAutospacing="1" w:after="100" w:afterAutospacing="1" w:line="240" w:lineRule="auto"/>
      <w:jc w:val="left"/>
    </w:pPr>
    <w:rPr>
      <w:rFonts w:ascii="Times New Roman" w:hAnsi="Times New Roman"/>
    </w:rPr>
  </w:style>
  <w:style w:type="character" w:customStyle="1" w:styleId="h1a">
    <w:name w:val="h1a"/>
    <w:rsid w:val="00060619"/>
  </w:style>
  <w:style w:type="character" w:styleId="Sledovanodkaz">
    <w:name w:val="FollowedHyperlink"/>
    <w:rsid w:val="00DF26AD"/>
    <w:rPr>
      <w:color w:val="800080"/>
      <w:u w:val="single"/>
    </w:rPr>
  </w:style>
  <w:style w:type="paragraph" w:customStyle="1" w:styleId="l5">
    <w:name w:val="l5"/>
    <w:basedOn w:val="Normln"/>
    <w:rsid w:val="00A01736"/>
    <w:pPr>
      <w:spacing w:before="100" w:beforeAutospacing="1" w:after="100" w:afterAutospacing="1" w:line="240" w:lineRule="auto"/>
      <w:jc w:val="left"/>
    </w:pPr>
    <w:rPr>
      <w:rFonts w:ascii="Times New Roman" w:hAnsi="Times New Roman"/>
    </w:rPr>
  </w:style>
  <w:style w:type="paragraph" w:customStyle="1" w:styleId="l6">
    <w:name w:val="l6"/>
    <w:basedOn w:val="Normln"/>
    <w:rsid w:val="00A01736"/>
    <w:pPr>
      <w:spacing w:before="100" w:beforeAutospacing="1" w:after="100" w:afterAutospacing="1" w:line="240" w:lineRule="auto"/>
      <w:jc w:val="left"/>
    </w:pPr>
    <w:rPr>
      <w:rFonts w:ascii="Times New Roman" w:hAnsi="Times New Roman"/>
    </w:rPr>
  </w:style>
  <w:style w:type="character" w:styleId="PromnnHTML">
    <w:name w:val="HTML Variable"/>
    <w:uiPriority w:val="99"/>
    <w:unhideWhenUsed/>
    <w:rsid w:val="00A01736"/>
    <w:rPr>
      <w:i/>
      <w:iCs/>
    </w:rPr>
  </w:style>
  <w:style w:type="paragraph" w:customStyle="1" w:styleId="l4">
    <w:name w:val="l4"/>
    <w:basedOn w:val="Normln"/>
    <w:rsid w:val="00A01736"/>
    <w:pPr>
      <w:spacing w:before="100" w:beforeAutospacing="1" w:after="100" w:afterAutospacing="1" w:line="240" w:lineRule="auto"/>
      <w:jc w:val="left"/>
    </w:pPr>
    <w:rPr>
      <w:rFonts w:ascii="Times New Roman" w:hAnsi="Times New Roman"/>
    </w:rPr>
  </w:style>
  <w:style w:type="paragraph" w:styleId="Bezmezer">
    <w:name w:val="No Spacing"/>
    <w:uiPriority w:val="1"/>
    <w:qFormat/>
    <w:rsid w:val="008000E4"/>
    <w:pPr>
      <w:jc w:val="both"/>
    </w:pPr>
    <w:rPr>
      <w:rFonts w:ascii="Garamond" w:hAnsi="Garamond"/>
      <w:sz w:val="24"/>
      <w:szCs w:val="24"/>
    </w:rPr>
  </w:style>
  <w:style w:type="character" w:styleId="Zvraznn">
    <w:name w:val="Emphasis"/>
    <w:uiPriority w:val="20"/>
    <w:qFormat/>
    <w:rsid w:val="00D4734E"/>
    <w:rPr>
      <w:i/>
      <w:iCs/>
    </w:rPr>
  </w:style>
  <w:style w:type="character" w:customStyle="1" w:styleId="info">
    <w:name w:val="info"/>
    <w:rsid w:val="009246BB"/>
  </w:style>
  <w:style w:type="character" w:customStyle="1" w:styleId="A7">
    <w:name w:val="A7"/>
    <w:uiPriority w:val="99"/>
    <w:rsid w:val="00A058E5"/>
    <w:rPr>
      <w:rFonts w:cs="Neue Haas Unica Pro"/>
      <w:b/>
      <w:bCs/>
      <w:color w:val="000000"/>
    </w:rPr>
  </w:style>
  <w:style w:type="character" w:customStyle="1" w:styleId="dos">
    <w:name w:val="dos"/>
    <w:rsid w:val="00EC45A9"/>
  </w:style>
  <w:style w:type="paragraph" w:customStyle="1" w:styleId="l1">
    <w:name w:val="l1"/>
    <w:basedOn w:val="Normln"/>
    <w:rsid w:val="005E6466"/>
    <w:pPr>
      <w:spacing w:before="100" w:beforeAutospacing="1" w:after="100" w:afterAutospacing="1" w:line="240" w:lineRule="auto"/>
      <w:jc w:val="left"/>
    </w:pPr>
    <w:rPr>
      <w:rFonts w:ascii="Times New Roman" w:hAnsi="Times New Roman"/>
    </w:rPr>
  </w:style>
  <w:style w:type="character" w:styleId="Odkaznakoment">
    <w:name w:val="annotation reference"/>
    <w:basedOn w:val="Standardnpsmoodstavce"/>
    <w:rsid w:val="007C153A"/>
    <w:rPr>
      <w:sz w:val="16"/>
      <w:szCs w:val="16"/>
    </w:rPr>
  </w:style>
  <w:style w:type="paragraph" w:styleId="Textkomente">
    <w:name w:val="annotation text"/>
    <w:basedOn w:val="Normln"/>
    <w:link w:val="TextkomenteChar"/>
    <w:rsid w:val="007C153A"/>
    <w:pPr>
      <w:spacing w:line="240" w:lineRule="auto"/>
    </w:pPr>
    <w:rPr>
      <w:sz w:val="20"/>
      <w:szCs w:val="20"/>
    </w:rPr>
  </w:style>
  <w:style w:type="character" w:customStyle="1" w:styleId="TextkomenteChar">
    <w:name w:val="Text komentáře Char"/>
    <w:basedOn w:val="Standardnpsmoodstavce"/>
    <w:link w:val="Textkomente"/>
    <w:rsid w:val="007C153A"/>
    <w:rPr>
      <w:rFonts w:ascii="Garamond" w:hAnsi="Garamond"/>
    </w:rPr>
  </w:style>
  <w:style w:type="paragraph" w:styleId="Pedmtkomente">
    <w:name w:val="annotation subject"/>
    <w:basedOn w:val="Textkomente"/>
    <w:next w:val="Textkomente"/>
    <w:link w:val="PedmtkomenteChar"/>
    <w:rsid w:val="007C153A"/>
    <w:rPr>
      <w:b/>
      <w:bCs/>
    </w:rPr>
  </w:style>
  <w:style w:type="character" w:customStyle="1" w:styleId="PedmtkomenteChar">
    <w:name w:val="Předmět komentáře Char"/>
    <w:basedOn w:val="TextkomenteChar"/>
    <w:link w:val="Pedmtkomente"/>
    <w:rsid w:val="007C153A"/>
    <w:rPr>
      <w:rFonts w:ascii="Garamond" w:hAnsi="Garamond"/>
      <w:b/>
      <w:bCs/>
    </w:rPr>
  </w:style>
  <w:style w:type="paragraph" w:styleId="Textbubliny">
    <w:name w:val="Balloon Text"/>
    <w:basedOn w:val="Normln"/>
    <w:link w:val="TextbublinyChar"/>
    <w:rsid w:val="007C153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7C153A"/>
    <w:rPr>
      <w:rFonts w:ascii="Segoe UI" w:hAnsi="Segoe UI" w:cs="Segoe UI"/>
      <w:sz w:val="18"/>
      <w:szCs w:val="18"/>
    </w:rPr>
  </w:style>
  <w:style w:type="character" w:customStyle="1" w:styleId="Nevyeenzmnka1">
    <w:name w:val="Nevyřešená zmínka1"/>
    <w:basedOn w:val="Standardnpsmoodstavce"/>
    <w:uiPriority w:val="99"/>
    <w:semiHidden/>
    <w:unhideWhenUsed/>
    <w:rsid w:val="00E36292"/>
    <w:rPr>
      <w:color w:val="605E5C"/>
      <w:shd w:val="clear" w:color="auto" w:fill="E1DFDD"/>
    </w:rPr>
  </w:style>
  <w:style w:type="character" w:customStyle="1" w:styleId="zkratkajazyka">
    <w:name w:val="zkratkajazyka"/>
    <w:basedOn w:val="Standardnpsmoodstavce"/>
    <w:rsid w:val="00061202"/>
  </w:style>
  <w:style w:type="character" w:customStyle="1" w:styleId="cizojazycne">
    <w:name w:val="cizojazycne"/>
    <w:basedOn w:val="Standardnpsmoodstavce"/>
    <w:rsid w:val="00061202"/>
  </w:style>
  <w:style w:type="paragraph" w:styleId="Revize">
    <w:name w:val="Revision"/>
    <w:hidden/>
    <w:uiPriority w:val="99"/>
    <w:semiHidden/>
    <w:rsid w:val="000F5B0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Variabl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406"/>
    <w:pPr>
      <w:spacing w:line="360" w:lineRule="auto"/>
      <w:jc w:val="both"/>
    </w:pPr>
    <w:rPr>
      <w:rFonts w:ascii="Garamond" w:hAnsi="Garamond"/>
      <w:sz w:val="24"/>
      <w:szCs w:val="24"/>
    </w:rPr>
  </w:style>
  <w:style w:type="paragraph" w:styleId="Nadpis1">
    <w:name w:val="heading 1"/>
    <w:basedOn w:val="Normln"/>
    <w:next w:val="Normln"/>
    <w:qFormat/>
    <w:rsid w:val="009B3CA9"/>
    <w:pPr>
      <w:keepNext/>
      <w:spacing w:before="240" w:after="120"/>
      <w:jc w:val="center"/>
      <w:outlineLvl w:val="0"/>
    </w:pPr>
    <w:rPr>
      <w:b/>
      <w:bCs/>
      <w:smallCaps/>
      <w:kern w:val="32"/>
      <w:sz w:val="36"/>
      <w:szCs w:val="36"/>
    </w:rPr>
  </w:style>
  <w:style w:type="paragraph" w:styleId="Nadpis2">
    <w:name w:val="heading 2"/>
    <w:basedOn w:val="Normln"/>
    <w:next w:val="Normln"/>
    <w:qFormat/>
    <w:pPr>
      <w:keepNext/>
      <w:spacing w:before="240" w:after="60"/>
      <w:outlineLvl w:val="1"/>
    </w:pPr>
    <w:rPr>
      <w:b/>
      <w:bCs/>
      <w:i/>
      <w:iCs/>
      <w:sz w:val="32"/>
      <w:szCs w:val="32"/>
    </w:rPr>
  </w:style>
  <w:style w:type="paragraph" w:styleId="Nadpis3">
    <w:name w:val="heading 3"/>
    <w:basedOn w:val="Normln"/>
    <w:next w:val="Normln"/>
    <w:qFormat/>
    <w:pPr>
      <w:keepNext/>
      <w:spacing w:before="240" w:after="60"/>
      <w:outlineLvl w:val="2"/>
    </w:pPr>
    <w:rPr>
      <w:b/>
      <w:bCs/>
      <w:sz w:val="26"/>
      <w:szCs w:val="26"/>
    </w:rPr>
  </w:style>
  <w:style w:type="paragraph" w:styleId="Nadpis4">
    <w:name w:val="heading 4"/>
    <w:basedOn w:val="Normln"/>
    <w:next w:val="Normln"/>
    <w:link w:val="Nadpis4Char"/>
    <w:semiHidden/>
    <w:unhideWhenUsed/>
    <w:qFormat/>
    <w:rsid w:val="00617089"/>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617089"/>
    <w:pPr>
      <w:spacing w:before="240" w:after="60"/>
      <w:outlineLvl w:val="4"/>
    </w:pPr>
    <w:rPr>
      <w:rFonts w:ascii="Calibri" w:hAnsi="Calibri"/>
      <w:b/>
      <w:bCs/>
      <w:i/>
      <w:iCs/>
      <w:sz w:val="26"/>
      <w:szCs w:val="26"/>
    </w:rPr>
  </w:style>
  <w:style w:type="paragraph" w:styleId="Nadpis6">
    <w:name w:val="heading 6"/>
    <w:basedOn w:val="Normln"/>
    <w:next w:val="Normln"/>
    <w:qFormat/>
    <w:pPr>
      <w:keepNext/>
      <w:jc w:val="right"/>
      <w:outlineLvl w:val="5"/>
    </w:pPr>
    <w:rPr>
      <w:i/>
      <w:iCs/>
    </w:rPr>
  </w:style>
  <w:style w:type="paragraph" w:styleId="Nadpis7">
    <w:name w:val="heading 7"/>
    <w:basedOn w:val="Normln"/>
    <w:next w:val="Normln"/>
    <w:link w:val="Nadpis7Char"/>
    <w:semiHidden/>
    <w:unhideWhenUsed/>
    <w:qFormat/>
    <w:rsid w:val="00617089"/>
    <w:pPr>
      <w:spacing w:before="240" w:after="60"/>
      <w:outlineLvl w:val="6"/>
    </w:pPr>
    <w:rPr>
      <w:rFonts w:ascii="Calibri" w:hAnsi="Calibri"/>
    </w:rPr>
  </w:style>
  <w:style w:type="paragraph" w:styleId="Nadpis8">
    <w:name w:val="heading 8"/>
    <w:basedOn w:val="Normln"/>
    <w:next w:val="Normln"/>
    <w:link w:val="Nadpis8Char"/>
    <w:semiHidden/>
    <w:unhideWhenUsed/>
    <w:qFormat/>
    <w:rsid w:val="00617089"/>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617089"/>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rsid w:val="005C7BDC"/>
    <w:pPr>
      <w:ind w:left="709"/>
    </w:pPr>
    <w:rPr>
      <w:i/>
      <w:iCs/>
    </w:rPr>
  </w:style>
  <w:style w:type="paragraph" w:styleId="Textpoznpodarou">
    <w:name w:val="footnote text"/>
    <w:basedOn w:val="Normln"/>
    <w:link w:val="TextpoznpodarouChar"/>
    <w:semiHidden/>
    <w:rsid w:val="005C7BDC"/>
    <w:rPr>
      <w:sz w:val="20"/>
      <w:szCs w:val="20"/>
    </w:rPr>
  </w:style>
  <w:style w:type="character" w:styleId="Znakapoznpodarou">
    <w:name w:val="footnote reference"/>
    <w:uiPriority w:val="99"/>
    <w:semiHidden/>
    <w:rsid w:val="005C7BDC"/>
    <w:rPr>
      <w:vertAlign w:val="superscript"/>
    </w:rPr>
  </w:style>
  <w:style w:type="paragraph" w:styleId="Obsah1">
    <w:name w:val="toc 1"/>
    <w:basedOn w:val="Normln"/>
    <w:next w:val="Normln"/>
    <w:autoRedefine/>
    <w:uiPriority w:val="39"/>
    <w:rsid w:val="00D37B52"/>
  </w:style>
  <w:style w:type="paragraph" w:styleId="Obsah3">
    <w:name w:val="toc 3"/>
    <w:basedOn w:val="Normln"/>
    <w:next w:val="Normln"/>
    <w:autoRedefine/>
    <w:uiPriority w:val="39"/>
    <w:rsid w:val="00D37B52"/>
    <w:pPr>
      <w:ind w:left="480"/>
    </w:pPr>
  </w:style>
  <w:style w:type="character" w:styleId="Hypertextovodkaz">
    <w:name w:val="Hyperlink"/>
    <w:uiPriority w:val="99"/>
    <w:unhideWhenUsed/>
    <w:rsid w:val="00D37B52"/>
    <w:rPr>
      <w:color w:val="0000FF"/>
      <w:u w:val="single"/>
    </w:rPr>
  </w:style>
  <w:style w:type="paragraph" w:styleId="Odstavecseseznamem">
    <w:name w:val="List Paragraph"/>
    <w:basedOn w:val="Normln"/>
    <w:uiPriority w:val="34"/>
    <w:qFormat/>
    <w:rsid w:val="00250CB7"/>
    <w:pPr>
      <w:spacing w:after="160" w:line="259"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C732CA"/>
    <w:rPr>
      <w:rFonts w:ascii="Garamond" w:hAnsi="Garamond"/>
      <w:sz w:val="24"/>
      <w:szCs w:val="24"/>
    </w:rPr>
  </w:style>
  <w:style w:type="paragraph" w:customStyle="1" w:styleId="l7">
    <w:name w:val="l7"/>
    <w:basedOn w:val="Normln"/>
    <w:rsid w:val="008903C5"/>
    <w:pPr>
      <w:spacing w:before="100" w:beforeAutospacing="1" w:after="100" w:afterAutospacing="1" w:line="240" w:lineRule="auto"/>
    </w:pPr>
    <w:rPr>
      <w:rFonts w:ascii="Times New Roman" w:hAnsi="Times New Roman"/>
    </w:rPr>
  </w:style>
  <w:style w:type="paragraph" w:styleId="Obsah2">
    <w:name w:val="toc 2"/>
    <w:basedOn w:val="Normln"/>
    <w:next w:val="Normln"/>
    <w:autoRedefine/>
    <w:uiPriority w:val="39"/>
    <w:rsid w:val="00B10AF1"/>
    <w:pPr>
      <w:ind w:left="240"/>
    </w:pPr>
  </w:style>
  <w:style w:type="character" w:customStyle="1" w:styleId="Nadpis4Char">
    <w:name w:val="Nadpis 4 Char"/>
    <w:link w:val="Nadpis4"/>
    <w:semiHidden/>
    <w:rsid w:val="00617089"/>
    <w:rPr>
      <w:rFonts w:ascii="Calibri" w:eastAsia="Times New Roman" w:hAnsi="Calibri" w:cs="Times New Roman"/>
      <w:b/>
      <w:bCs/>
      <w:sz w:val="28"/>
      <w:szCs w:val="28"/>
    </w:rPr>
  </w:style>
  <w:style w:type="character" w:customStyle="1" w:styleId="Nadpis5Char">
    <w:name w:val="Nadpis 5 Char"/>
    <w:link w:val="Nadpis5"/>
    <w:semiHidden/>
    <w:rsid w:val="00617089"/>
    <w:rPr>
      <w:rFonts w:ascii="Calibri" w:eastAsia="Times New Roman" w:hAnsi="Calibri" w:cs="Times New Roman"/>
      <w:b/>
      <w:bCs/>
      <w:i/>
      <w:iCs/>
      <w:sz w:val="26"/>
      <w:szCs w:val="26"/>
    </w:rPr>
  </w:style>
  <w:style w:type="character" w:customStyle="1" w:styleId="Nadpis7Char">
    <w:name w:val="Nadpis 7 Char"/>
    <w:link w:val="Nadpis7"/>
    <w:semiHidden/>
    <w:rsid w:val="00617089"/>
    <w:rPr>
      <w:rFonts w:ascii="Calibri" w:eastAsia="Times New Roman" w:hAnsi="Calibri" w:cs="Times New Roman"/>
      <w:sz w:val="24"/>
      <w:szCs w:val="24"/>
    </w:rPr>
  </w:style>
  <w:style w:type="character" w:customStyle="1" w:styleId="Nadpis8Char">
    <w:name w:val="Nadpis 8 Char"/>
    <w:link w:val="Nadpis8"/>
    <w:semiHidden/>
    <w:rsid w:val="00617089"/>
    <w:rPr>
      <w:rFonts w:ascii="Calibri" w:eastAsia="Times New Roman" w:hAnsi="Calibri" w:cs="Times New Roman"/>
      <w:i/>
      <w:iCs/>
      <w:sz w:val="24"/>
      <w:szCs w:val="24"/>
    </w:rPr>
  </w:style>
  <w:style w:type="character" w:customStyle="1" w:styleId="Nadpis9Char">
    <w:name w:val="Nadpis 9 Char"/>
    <w:link w:val="Nadpis9"/>
    <w:semiHidden/>
    <w:rsid w:val="00617089"/>
    <w:rPr>
      <w:rFonts w:ascii="Cambria" w:eastAsia="Times New Roman" w:hAnsi="Cambria" w:cs="Times New Roman"/>
      <w:sz w:val="22"/>
      <w:szCs w:val="22"/>
    </w:rPr>
  </w:style>
  <w:style w:type="paragraph" w:customStyle="1" w:styleId="Pa13">
    <w:name w:val="Pa13"/>
    <w:basedOn w:val="Normln"/>
    <w:next w:val="Normln"/>
    <w:uiPriority w:val="99"/>
    <w:rsid w:val="00915132"/>
    <w:pPr>
      <w:autoSpaceDE w:val="0"/>
      <w:autoSpaceDN w:val="0"/>
      <w:adjustRightInd w:val="0"/>
      <w:spacing w:line="221" w:lineRule="atLeast"/>
    </w:pPr>
  </w:style>
  <w:style w:type="paragraph" w:customStyle="1" w:styleId="Pa17">
    <w:name w:val="Pa17"/>
    <w:basedOn w:val="Normln"/>
    <w:next w:val="Normln"/>
    <w:uiPriority w:val="99"/>
    <w:rsid w:val="00915132"/>
    <w:pPr>
      <w:autoSpaceDE w:val="0"/>
      <w:autoSpaceDN w:val="0"/>
      <w:adjustRightInd w:val="0"/>
      <w:spacing w:line="221" w:lineRule="atLeast"/>
    </w:pPr>
  </w:style>
  <w:style w:type="character" w:customStyle="1" w:styleId="A9">
    <w:name w:val="A9"/>
    <w:uiPriority w:val="99"/>
    <w:rsid w:val="00915132"/>
    <w:rPr>
      <w:rFonts w:cs="Garamond"/>
      <w:color w:val="000000"/>
      <w:sz w:val="12"/>
      <w:szCs w:val="12"/>
    </w:rPr>
  </w:style>
  <w:style w:type="paragraph" w:customStyle="1" w:styleId="Default">
    <w:name w:val="Default"/>
    <w:rsid w:val="0043590A"/>
    <w:pPr>
      <w:autoSpaceDE w:val="0"/>
      <w:autoSpaceDN w:val="0"/>
      <w:adjustRightInd w:val="0"/>
    </w:pPr>
    <w:rPr>
      <w:rFonts w:ascii="Garamond" w:eastAsia="Calibri" w:hAnsi="Garamond" w:cs="Garamond"/>
      <w:color w:val="000000"/>
      <w:sz w:val="24"/>
      <w:szCs w:val="24"/>
      <w:lang w:eastAsia="en-US"/>
    </w:rPr>
  </w:style>
  <w:style w:type="character" w:customStyle="1" w:styleId="TextpoznpodarouChar">
    <w:name w:val="Text pozn. pod čarou Char"/>
    <w:link w:val="Textpoznpodarou"/>
    <w:semiHidden/>
    <w:rsid w:val="0043590A"/>
    <w:rPr>
      <w:rFonts w:ascii="Garamond" w:hAnsi="Garamond"/>
    </w:rPr>
  </w:style>
  <w:style w:type="paragraph" w:styleId="Normlnweb">
    <w:name w:val="Normal (Web)"/>
    <w:basedOn w:val="Normln"/>
    <w:rsid w:val="00ED5D31"/>
    <w:pPr>
      <w:spacing w:before="100" w:beforeAutospacing="1" w:after="100" w:afterAutospacing="1" w:line="240" w:lineRule="auto"/>
      <w:jc w:val="left"/>
    </w:pPr>
    <w:rPr>
      <w:rFonts w:ascii="Times New Roman" w:hAnsi="Times New Roman"/>
    </w:rPr>
  </w:style>
  <w:style w:type="character" w:customStyle="1" w:styleId="h1a">
    <w:name w:val="h1a"/>
    <w:rsid w:val="00060619"/>
  </w:style>
  <w:style w:type="character" w:styleId="Sledovanodkaz">
    <w:name w:val="FollowedHyperlink"/>
    <w:rsid w:val="00DF26AD"/>
    <w:rPr>
      <w:color w:val="800080"/>
      <w:u w:val="single"/>
    </w:rPr>
  </w:style>
  <w:style w:type="paragraph" w:customStyle="1" w:styleId="l5">
    <w:name w:val="l5"/>
    <w:basedOn w:val="Normln"/>
    <w:rsid w:val="00A01736"/>
    <w:pPr>
      <w:spacing w:before="100" w:beforeAutospacing="1" w:after="100" w:afterAutospacing="1" w:line="240" w:lineRule="auto"/>
      <w:jc w:val="left"/>
    </w:pPr>
    <w:rPr>
      <w:rFonts w:ascii="Times New Roman" w:hAnsi="Times New Roman"/>
    </w:rPr>
  </w:style>
  <w:style w:type="paragraph" w:customStyle="1" w:styleId="l6">
    <w:name w:val="l6"/>
    <w:basedOn w:val="Normln"/>
    <w:rsid w:val="00A01736"/>
    <w:pPr>
      <w:spacing w:before="100" w:beforeAutospacing="1" w:after="100" w:afterAutospacing="1" w:line="240" w:lineRule="auto"/>
      <w:jc w:val="left"/>
    </w:pPr>
    <w:rPr>
      <w:rFonts w:ascii="Times New Roman" w:hAnsi="Times New Roman"/>
    </w:rPr>
  </w:style>
  <w:style w:type="character" w:styleId="PromnnHTML">
    <w:name w:val="HTML Variable"/>
    <w:uiPriority w:val="99"/>
    <w:unhideWhenUsed/>
    <w:rsid w:val="00A01736"/>
    <w:rPr>
      <w:i/>
      <w:iCs/>
    </w:rPr>
  </w:style>
  <w:style w:type="paragraph" w:customStyle="1" w:styleId="l4">
    <w:name w:val="l4"/>
    <w:basedOn w:val="Normln"/>
    <w:rsid w:val="00A01736"/>
    <w:pPr>
      <w:spacing w:before="100" w:beforeAutospacing="1" w:after="100" w:afterAutospacing="1" w:line="240" w:lineRule="auto"/>
      <w:jc w:val="left"/>
    </w:pPr>
    <w:rPr>
      <w:rFonts w:ascii="Times New Roman" w:hAnsi="Times New Roman"/>
    </w:rPr>
  </w:style>
  <w:style w:type="paragraph" w:styleId="Bezmezer">
    <w:name w:val="No Spacing"/>
    <w:uiPriority w:val="1"/>
    <w:qFormat/>
    <w:rsid w:val="008000E4"/>
    <w:pPr>
      <w:jc w:val="both"/>
    </w:pPr>
    <w:rPr>
      <w:rFonts w:ascii="Garamond" w:hAnsi="Garamond"/>
      <w:sz w:val="24"/>
      <w:szCs w:val="24"/>
    </w:rPr>
  </w:style>
  <w:style w:type="character" w:styleId="Zvraznn">
    <w:name w:val="Emphasis"/>
    <w:uiPriority w:val="20"/>
    <w:qFormat/>
    <w:rsid w:val="00D4734E"/>
    <w:rPr>
      <w:i/>
      <w:iCs/>
    </w:rPr>
  </w:style>
  <w:style w:type="character" w:customStyle="1" w:styleId="info">
    <w:name w:val="info"/>
    <w:rsid w:val="009246BB"/>
  </w:style>
  <w:style w:type="character" w:customStyle="1" w:styleId="A7">
    <w:name w:val="A7"/>
    <w:uiPriority w:val="99"/>
    <w:rsid w:val="00A058E5"/>
    <w:rPr>
      <w:rFonts w:cs="Neue Haas Unica Pro"/>
      <w:b/>
      <w:bCs/>
      <w:color w:val="000000"/>
    </w:rPr>
  </w:style>
  <w:style w:type="character" w:customStyle="1" w:styleId="dos">
    <w:name w:val="dos"/>
    <w:rsid w:val="00EC45A9"/>
  </w:style>
  <w:style w:type="paragraph" w:customStyle="1" w:styleId="l1">
    <w:name w:val="l1"/>
    <w:basedOn w:val="Normln"/>
    <w:rsid w:val="005E6466"/>
    <w:pPr>
      <w:spacing w:before="100" w:beforeAutospacing="1" w:after="100" w:afterAutospacing="1" w:line="240" w:lineRule="auto"/>
      <w:jc w:val="left"/>
    </w:pPr>
    <w:rPr>
      <w:rFonts w:ascii="Times New Roman" w:hAnsi="Times New Roman"/>
    </w:rPr>
  </w:style>
  <w:style w:type="character" w:styleId="Odkaznakoment">
    <w:name w:val="annotation reference"/>
    <w:basedOn w:val="Standardnpsmoodstavce"/>
    <w:rsid w:val="007C153A"/>
    <w:rPr>
      <w:sz w:val="16"/>
      <w:szCs w:val="16"/>
    </w:rPr>
  </w:style>
  <w:style w:type="paragraph" w:styleId="Textkomente">
    <w:name w:val="annotation text"/>
    <w:basedOn w:val="Normln"/>
    <w:link w:val="TextkomenteChar"/>
    <w:rsid w:val="007C153A"/>
    <w:pPr>
      <w:spacing w:line="240" w:lineRule="auto"/>
    </w:pPr>
    <w:rPr>
      <w:sz w:val="20"/>
      <w:szCs w:val="20"/>
    </w:rPr>
  </w:style>
  <w:style w:type="character" w:customStyle="1" w:styleId="TextkomenteChar">
    <w:name w:val="Text komentáře Char"/>
    <w:basedOn w:val="Standardnpsmoodstavce"/>
    <w:link w:val="Textkomente"/>
    <w:rsid w:val="007C153A"/>
    <w:rPr>
      <w:rFonts w:ascii="Garamond" w:hAnsi="Garamond"/>
    </w:rPr>
  </w:style>
  <w:style w:type="paragraph" w:styleId="Pedmtkomente">
    <w:name w:val="annotation subject"/>
    <w:basedOn w:val="Textkomente"/>
    <w:next w:val="Textkomente"/>
    <w:link w:val="PedmtkomenteChar"/>
    <w:rsid w:val="007C153A"/>
    <w:rPr>
      <w:b/>
      <w:bCs/>
    </w:rPr>
  </w:style>
  <w:style w:type="character" w:customStyle="1" w:styleId="PedmtkomenteChar">
    <w:name w:val="Předmět komentáře Char"/>
    <w:basedOn w:val="TextkomenteChar"/>
    <w:link w:val="Pedmtkomente"/>
    <w:rsid w:val="007C153A"/>
    <w:rPr>
      <w:rFonts w:ascii="Garamond" w:hAnsi="Garamond"/>
      <w:b/>
      <w:bCs/>
    </w:rPr>
  </w:style>
  <w:style w:type="paragraph" w:styleId="Textbubliny">
    <w:name w:val="Balloon Text"/>
    <w:basedOn w:val="Normln"/>
    <w:link w:val="TextbublinyChar"/>
    <w:rsid w:val="007C153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7C153A"/>
    <w:rPr>
      <w:rFonts w:ascii="Segoe UI" w:hAnsi="Segoe UI" w:cs="Segoe UI"/>
      <w:sz w:val="18"/>
      <w:szCs w:val="18"/>
    </w:rPr>
  </w:style>
  <w:style w:type="character" w:customStyle="1" w:styleId="Nevyeenzmnka1">
    <w:name w:val="Nevyřešená zmínka1"/>
    <w:basedOn w:val="Standardnpsmoodstavce"/>
    <w:uiPriority w:val="99"/>
    <w:semiHidden/>
    <w:unhideWhenUsed/>
    <w:rsid w:val="00E36292"/>
    <w:rPr>
      <w:color w:val="605E5C"/>
      <w:shd w:val="clear" w:color="auto" w:fill="E1DFDD"/>
    </w:rPr>
  </w:style>
  <w:style w:type="character" w:customStyle="1" w:styleId="zkratkajazyka">
    <w:name w:val="zkratkajazyka"/>
    <w:basedOn w:val="Standardnpsmoodstavce"/>
    <w:rsid w:val="00061202"/>
  </w:style>
  <w:style w:type="character" w:customStyle="1" w:styleId="cizojazycne">
    <w:name w:val="cizojazycne"/>
    <w:basedOn w:val="Standardnpsmoodstavce"/>
    <w:rsid w:val="00061202"/>
  </w:style>
  <w:style w:type="paragraph" w:styleId="Revize">
    <w:name w:val="Revision"/>
    <w:hidden/>
    <w:uiPriority w:val="99"/>
    <w:semiHidden/>
    <w:rsid w:val="000F5B0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01">
      <w:bodyDiv w:val="1"/>
      <w:marLeft w:val="0"/>
      <w:marRight w:val="0"/>
      <w:marTop w:val="0"/>
      <w:marBottom w:val="0"/>
      <w:divBdr>
        <w:top w:val="none" w:sz="0" w:space="0" w:color="auto"/>
        <w:left w:val="none" w:sz="0" w:space="0" w:color="auto"/>
        <w:bottom w:val="none" w:sz="0" w:space="0" w:color="auto"/>
        <w:right w:val="none" w:sz="0" w:space="0" w:color="auto"/>
      </w:divBdr>
    </w:div>
    <w:div w:id="62341356">
      <w:bodyDiv w:val="1"/>
      <w:marLeft w:val="0"/>
      <w:marRight w:val="0"/>
      <w:marTop w:val="0"/>
      <w:marBottom w:val="0"/>
      <w:divBdr>
        <w:top w:val="none" w:sz="0" w:space="0" w:color="auto"/>
        <w:left w:val="none" w:sz="0" w:space="0" w:color="auto"/>
        <w:bottom w:val="none" w:sz="0" w:space="0" w:color="auto"/>
        <w:right w:val="none" w:sz="0" w:space="0" w:color="auto"/>
      </w:divBdr>
    </w:div>
    <w:div w:id="176626879">
      <w:bodyDiv w:val="1"/>
      <w:marLeft w:val="0"/>
      <w:marRight w:val="0"/>
      <w:marTop w:val="0"/>
      <w:marBottom w:val="0"/>
      <w:divBdr>
        <w:top w:val="none" w:sz="0" w:space="0" w:color="auto"/>
        <w:left w:val="none" w:sz="0" w:space="0" w:color="auto"/>
        <w:bottom w:val="none" w:sz="0" w:space="0" w:color="auto"/>
        <w:right w:val="none" w:sz="0" w:space="0" w:color="auto"/>
      </w:divBdr>
    </w:div>
    <w:div w:id="230313129">
      <w:bodyDiv w:val="1"/>
      <w:marLeft w:val="0"/>
      <w:marRight w:val="0"/>
      <w:marTop w:val="0"/>
      <w:marBottom w:val="0"/>
      <w:divBdr>
        <w:top w:val="none" w:sz="0" w:space="0" w:color="auto"/>
        <w:left w:val="none" w:sz="0" w:space="0" w:color="auto"/>
        <w:bottom w:val="none" w:sz="0" w:space="0" w:color="auto"/>
        <w:right w:val="none" w:sz="0" w:space="0" w:color="auto"/>
      </w:divBdr>
    </w:div>
    <w:div w:id="324630385">
      <w:bodyDiv w:val="1"/>
      <w:marLeft w:val="0"/>
      <w:marRight w:val="0"/>
      <w:marTop w:val="0"/>
      <w:marBottom w:val="0"/>
      <w:divBdr>
        <w:top w:val="none" w:sz="0" w:space="0" w:color="auto"/>
        <w:left w:val="none" w:sz="0" w:space="0" w:color="auto"/>
        <w:bottom w:val="none" w:sz="0" w:space="0" w:color="auto"/>
        <w:right w:val="none" w:sz="0" w:space="0" w:color="auto"/>
      </w:divBdr>
    </w:div>
    <w:div w:id="332071740">
      <w:bodyDiv w:val="1"/>
      <w:marLeft w:val="0"/>
      <w:marRight w:val="0"/>
      <w:marTop w:val="0"/>
      <w:marBottom w:val="0"/>
      <w:divBdr>
        <w:top w:val="none" w:sz="0" w:space="0" w:color="auto"/>
        <w:left w:val="none" w:sz="0" w:space="0" w:color="auto"/>
        <w:bottom w:val="none" w:sz="0" w:space="0" w:color="auto"/>
        <w:right w:val="none" w:sz="0" w:space="0" w:color="auto"/>
      </w:divBdr>
    </w:div>
    <w:div w:id="338702315">
      <w:bodyDiv w:val="1"/>
      <w:marLeft w:val="0"/>
      <w:marRight w:val="0"/>
      <w:marTop w:val="0"/>
      <w:marBottom w:val="0"/>
      <w:divBdr>
        <w:top w:val="none" w:sz="0" w:space="0" w:color="auto"/>
        <w:left w:val="none" w:sz="0" w:space="0" w:color="auto"/>
        <w:bottom w:val="none" w:sz="0" w:space="0" w:color="auto"/>
        <w:right w:val="none" w:sz="0" w:space="0" w:color="auto"/>
      </w:divBdr>
    </w:div>
    <w:div w:id="401874236">
      <w:bodyDiv w:val="1"/>
      <w:marLeft w:val="0"/>
      <w:marRight w:val="0"/>
      <w:marTop w:val="0"/>
      <w:marBottom w:val="0"/>
      <w:divBdr>
        <w:top w:val="none" w:sz="0" w:space="0" w:color="auto"/>
        <w:left w:val="none" w:sz="0" w:space="0" w:color="auto"/>
        <w:bottom w:val="none" w:sz="0" w:space="0" w:color="auto"/>
        <w:right w:val="none" w:sz="0" w:space="0" w:color="auto"/>
      </w:divBdr>
    </w:div>
    <w:div w:id="417756643">
      <w:bodyDiv w:val="1"/>
      <w:marLeft w:val="0"/>
      <w:marRight w:val="0"/>
      <w:marTop w:val="0"/>
      <w:marBottom w:val="0"/>
      <w:divBdr>
        <w:top w:val="none" w:sz="0" w:space="0" w:color="auto"/>
        <w:left w:val="none" w:sz="0" w:space="0" w:color="auto"/>
        <w:bottom w:val="none" w:sz="0" w:space="0" w:color="auto"/>
        <w:right w:val="none" w:sz="0" w:space="0" w:color="auto"/>
      </w:divBdr>
    </w:div>
    <w:div w:id="521672596">
      <w:bodyDiv w:val="1"/>
      <w:marLeft w:val="0"/>
      <w:marRight w:val="0"/>
      <w:marTop w:val="0"/>
      <w:marBottom w:val="0"/>
      <w:divBdr>
        <w:top w:val="none" w:sz="0" w:space="0" w:color="auto"/>
        <w:left w:val="none" w:sz="0" w:space="0" w:color="auto"/>
        <w:bottom w:val="none" w:sz="0" w:space="0" w:color="auto"/>
        <w:right w:val="none" w:sz="0" w:space="0" w:color="auto"/>
      </w:divBdr>
    </w:div>
    <w:div w:id="622807614">
      <w:bodyDiv w:val="1"/>
      <w:marLeft w:val="0"/>
      <w:marRight w:val="0"/>
      <w:marTop w:val="0"/>
      <w:marBottom w:val="0"/>
      <w:divBdr>
        <w:top w:val="none" w:sz="0" w:space="0" w:color="auto"/>
        <w:left w:val="none" w:sz="0" w:space="0" w:color="auto"/>
        <w:bottom w:val="none" w:sz="0" w:space="0" w:color="auto"/>
        <w:right w:val="none" w:sz="0" w:space="0" w:color="auto"/>
      </w:divBdr>
    </w:div>
    <w:div w:id="699861203">
      <w:bodyDiv w:val="1"/>
      <w:marLeft w:val="0"/>
      <w:marRight w:val="0"/>
      <w:marTop w:val="0"/>
      <w:marBottom w:val="0"/>
      <w:divBdr>
        <w:top w:val="none" w:sz="0" w:space="0" w:color="auto"/>
        <w:left w:val="none" w:sz="0" w:space="0" w:color="auto"/>
        <w:bottom w:val="none" w:sz="0" w:space="0" w:color="auto"/>
        <w:right w:val="none" w:sz="0" w:space="0" w:color="auto"/>
      </w:divBdr>
    </w:div>
    <w:div w:id="765350482">
      <w:bodyDiv w:val="1"/>
      <w:marLeft w:val="0"/>
      <w:marRight w:val="0"/>
      <w:marTop w:val="0"/>
      <w:marBottom w:val="0"/>
      <w:divBdr>
        <w:top w:val="none" w:sz="0" w:space="0" w:color="auto"/>
        <w:left w:val="none" w:sz="0" w:space="0" w:color="auto"/>
        <w:bottom w:val="none" w:sz="0" w:space="0" w:color="auto"/>
        <w:right w:val="none" w:sz="0" w:space="0" w:color="auto"/>
      </w:divBdr>
    </w:div>
    <w:div w:id="787433376">
      <w:bodyDiv w:val="1"/>
      <w:marLeft w:val="0"/>
      <w:marRight w:val="0"/>
      <w:marTop w:val="0"/>
      <w:marBottom w:val="0"/>
      <w:divBdr>
        <w:top w:val="none" w:sz="0" w:space="0" w:color="auto"/>
        <w:left w:val="none" w:sz="0" w:space="0" w:color="auto"/>
        <w:bottom w:val="none" w:sz="0" w:space="0" w:color="auto"/>
        <w:right w:val="none" w:sz="0" w:space="0" w:color="auto"/>
      </w:divBdr>
    </w:div>
    <w:div w:id="943534837">
      <w:bodyDiv w:val="1"/>
      <w:marLeft w:val="0"/>
      <w:marRight w:val="0"/>
      <w:marTop w:val="0"/>
      <w:marBottom w:val="0"/>
      <w:divBdr>
        <w:top w:val="none" w:sz="0" w:space="0" w:color="auto"/>
        <w:left w:val="none" w:sz="0" w:space="0" w:color="auto"/>
        <w:bottom w:val="none" w:sz="0" w:space="0" w:color="auto"/>
        <w:right w:val="none" w:sz="0" w:space="0" w:color="auto"/>
      </w:divBdr>
    </w:div>
    <w:div w:id="1033117831">
      <w:bodyDiv w:val="1"/>
      <w:marLeft w:val="0"/>
      <w:marRight w:val="0"/>
      <w:marTop w:val="0"/>
      <w:marBottom w:val="0"/>
      <w:divBdr>
        <w:top w:val="none" w:sz="0" w:space="0" w:color="auto"/>
        <w:left w:val="none" w:sz="0" w:space="0" w:color="auto"/>
        <w:bottom w:val="none" w:sz="0" w:space="0" w:color="auto"/>
        <w:right w:val="none" w:sz="0" w:space="0" w:color="auto"/>
      </w:divBdr>
    </w:div>
    <w:div w:id="1177110135">
      <w:bodyDiv w:val="1"/>
      <w:marLeft w:val="0"/>
      <w:marRight w:val="0"/>
      <w:marTop w:val="0"/>
      <w:marBottom w:val="0"/>
      <w:divBdr>
        <w:top w:val="none" w:sz="0" w:space="0" w:color="auto"/>
        <w:left w:val="none" w:sz="0" w:space="0" w:color="auto"/>
        <w:bottom w:val="none" w:sz="0" w:space="0" w:color="auto"/>
        <w:right w:val="none" w:sz="0" w:space="0" w:color="auto"/>
      </w:divBdr>
    </w:div>
    <w:div w:id="1310869191">
      <w:bodyDiv w:val="1"/>
      <w:marLeft w:val="0"/>
      <w:marRight w:val="0"/>
      <w:marTop w:val="0"/>
      <w:marBottom w:val="0"/>
      <w:divBdr>
        <w:top w:val="none" w:sz="0" w:space="0" w:color="auto"/>
        <w:left w:val="none" w:sz="0" w:space="0" w:color="auto"/>
        <w:bottom w:val="none" w:sz="0" w:space="0" w:color="auto"/>
        <w:right w:val="none" w:sz="0" w:space="0" w:color="auto"/>
      </w:divBdr>
    </w:div>
    <w:div w:id="1331256275">
      <w:bodyDiv w:val="1"/>
      <w:marLeft w:val="0"/>
      <w:marRight w:val="0"/>
      <w:marTop w:val="0"/>
      <w:marBottom w:val="0"/>
      <w:divBdr>
        <w:top w:val="none" w:sz="0" w:space="0" w:color="auto"/>
        <w:left w:val="none" w:sz="0" w:space="0" w:color="auto"/>
        <w:bottom w:val="none" w:sz="0" w:space="0" w:color="auto"/>
        <w:right w:val="none" w:sz="0" w:space="0" w:color="auto"/>
      </w:divBdr>
    </w:div>
    <w:div w:id="1347252392">
      <w:bodyDiv w:val="1"/>
      <w:marLeft w:val="0"/>
      <w:marRight w:val="0"/>
      <w:marTop w:val="0"/>
      <w:marBottom w:val="0"/>
      <w:divBdr>
        <w:top w:val="none" w:sz="0" w:space="0" w:color="auto"/>
        <w:left w:val="none" w:sz="0" w:space="0" w:color="auto"/>
        <w:bottom w:val="none" w:sz="0" w:space="0" w:color="auto"/>
        <w:right w:val="none" w:sz="0" w:space="0" w:color="auto"/>
      </w:divBdr>
    </w:div>
    <w:div w:id="1355231184">
      <w:bodyDiv w:val="1"/>
      <w:marLeft w:val="0"/>
      <w:marRight w:val="0"/>
      <w:marTop w:val="0"/>
      <w:marBottom w:val="0"/>
      <w:divBdr>
        <w:top w:val="none" w:sz="0" w:space="0" w:color="auto"/>
        <w:left w:val="none" w:sz="0" w:space="0" w:color="auto"/>
        <w:bottom w:val="none" w:sz="0" w:space="0" w:color="auto"/>
        <w:right w:val="none" w:sz="0" w:space="0" w:color="auto"/>
      </w:divBdr>
    </w:div>
    <w:div w:id="1454128926">
      <w:bodyDiv w:val="1"/>
      <w:marLeft w:val="0"/>
      <w:marRight w:val="0"/>
      <w:marTop w:val="0"/>
      <w:marBottom w:val="0"/>
      <w:divBdr>
        <w:top w:val="none" w:sz="0" w:space="0" w:color="auto"/>
        <w:left w:val="none" w:sz="0" w:space="0" w:color="auto"/>
        <w:bottom w:val="none" w:sz="0" w:space="0" w:color="auto"/>
        <w:right w:val="none" w:sz="0" w:space="0" w:color="auto"/>
      </w:divBdr>
    </w:div>
    <w:div w:id="1575704098">
      <w:bodyDiv w:val="1"/>
      <w:marLeft w:val="0"/>
      <w:marRight w:val="0"/>
      <w:marTop w:val="0"/>
      <w:marBottom w:val="0"/>
      <w:divBdr>
        <w:top w:val="none" w:sz="0" w:space="0" w:color="auto"/>
        <w:left w:val="none" w:sz="0" w:space="0" w:color="auto"/>
        <w:bottom w:val="none" w:sz="0" w:space="0" w:color="auto"/>
        <w:right w:val="none" w:sz="0" w:space="0" w:color="auto"/>
      </w:divBdr>
    </w:div>
    <w:div w:id="1613440845">
      <w:bodyDiv w:val="1"/>
      <w:marLeft w:val="0"/>
      <w:marRight w:val="0"/>
      <w:marTop w:val="0"/>
      <w:marBottom w:val="0"/>
      <w:divBdr>
        <w:top w:val="none" w:sz="0" w:space="0" w:color="auto"/>
        <w:left w:val="none" w:sz="0" w:space="0" w:color="auto"/>
        <w:bottom w:val="none" w:sz="0" w:space="0" w:color="auto"/>
        <w:right w:val="none" w:sz="0" w:space="0" w:color="auto"/>
      </w:divBdr>
    </w:div>
    <w:div w:id="1691178530">
      <w:bodyDiv w:val="1"/>
      <w:marLeft w:val="0"/>
      <w:marRight w:val="0"/>
      <w:marTop w:val="0"/>
      <w:marBottom w:val="0"/>
      <w:divBdr>
        <w:top w:val="none" w:sz="0" w:space="0" w:color="auto"/>
        <w:left w:val="none" w:sz="0" w:space="0" w:color="auto"/>
        <w:bottom w:val="none" w:sz="0" w:space="0" w:color="auto"/>
        <w:right w:val="none" w:sz="0" w:space="0" w:color="auto"/>
      </w:divBdr>
    </w:div>
    <w:div w:id="1695499226">
      <w:bodyDiv w:val="1"/>
      <w:marLeft w:val="0"/>
      <w:marRight w:val="0"/>
      <w:marTop w:val="0"/>
      <w:marBottom w:val="0"/>
      <w:divBdr>
        <w:top w:val="none" w:sz="0" w:space="0" w:color="auto"/>
        <w:left w:val="none" w:sz="0" w:space="0" w:color="auto"/>
        <w:bottom w:val="none" w:sz="0" w:space="0" w:color="auto"/>
        <w:right w:val="none" w:sz="0" w:space="0" w:color="auto"/>
      </w:divBdr>
    </w:div>
    <w:div w:id="1706952085">
      <w:bodyDiv w:val="1"/>
      <w:marLeft w:val="0"/>
      <w:marRight w:val="0"/>
      <w:marTop w:val="0"/>
      <w:marBottom w:val="0"/>
      <w:divBdr>
        <w:top w:val="none" w:sz="0" w:space="0" w:color="auto"/>
        <w:left w:val="none" w:sz="0" w:space="0" w:color="auto"/>
        <w:bottom w:val="none" w:sz="0" w:space="0" w:color="auto"/>
        <w:right w:val="none" w:sz="0" w:space="0" w:color="auto"/>
      </w:divBdr>
    </w:div>
    <w:div w:id="1866021257">
      <w:bodyDiv w:val="1"/>
      <w:marLeft w:val="0"/>
      <w:marRight w:val="0"/>
      <w:marTop w:val="0"/>
      <w:marBottom w:val="0"/>
      <w:divBdr>
        <w:top w:val="none" w:sz="0" w:space="0" w:color="auto"/>
        <w:left w:val="none" w:sz="0" w:space="0" w:color="auto"/>
        <w:bottom w:val="none" w:sz="0" w:space="0" w:color="auto"/>
        <w:right w:val="none" w:sz="0" w:space="0" w:color="auto"/>
      </w:divBdr>
    </w:div>
    <w:div w:id="1889492513">
      <w:bodyDiv w:val="1"/>
      <w:marLeft w:val="0"/>
      <w:marRight w:val="0"/>
      <w:marTop w:val="0"/>
      <w:marBottom w:val="0"/>
      <w:divBdr>
        <w:top w:val="none" w:sz="0" w:space="0" w:color="auto"/>
        <w:left w:val="none" w:sz="0" w:space="0" w:color="auto"/>
        <w:bottom w:val="none" w:sz="0" w:space="0" w:color="auto"/>
        <w:right w:val="none" w:sz="0" w:space="0" w:color="auto"/>
      </w:divBdr>
    </w:div>
    <w:div w:id="2000838573">
      <w:bodyDiv w:val="1"/>
      <w:marLeft w:val="0"/>
      <w:marRight w:val="0"/>
      <w:marTop w:val="0"/>
      <w:marBottom w:val="0"/>
      <w:divBdr>
        <w:top w:val="none" w:sz="0" w:space="0" w:color="auto"/>
        <w:left w:val="none" w:sz="0" w:space="0" w:color="auto"/>
        <w:bottom w:val="none" w:sz="0" w:space="0" w:color="auto"/>
        <w:right w:val="none" w:sz="0" w:space="0" w:color="auto"/>
      </w:divBdr>
    </w:div>
    <w:div w:id="2004384225">
      <w:bodyDiv w:val="1"/>
      <w:marLeft w:val="0"/>
      <w:marRight w:val="0"/>
      <w:marTop w:val="0"/>
      <w:marBottom w:val="0"/>
      <w:divBdr>
        <w:top w:val="none" w:sz="0" w:space="0" w:color="auto"/>
        <w:left w:val="none" w:sz="0" w:space="0" w:color="auto"/>
        <w:bottom w:val="none" w:sz="0" w:space="0" w:color="auto"/>
        <w:right w:val="none" w:sz="0" w:space="0" w:color="auto"/>
      </w:divBdr>
    </w:div>
    <w:div w:id="2010979220">
      <w:bodyDiv w:val="1"/>
      <w:marLeft w:val="0"/>
      <w:marRight w:val="0"/>
      <w:marTop w:val="0"/>
      <w:marBottom w:val="0"/>
      <w:divBdr>
        <w:top w:val="none" w:sz="0" w:space="0" w:color="auto"/>
        <w:left w:val="none" w:sz="0" w:space="0" w:color="auto"/>
        <w:bottom w:val="none" w:sz="0" w:space="0" w:color="auto"/>
        <w:right w:val="none" w:sz="0" w:space="0" w:color="auto"/>
      </w:divBdr>
    </w:div>
    <w:div w:id="2027949658">
      <w:bodyDiv w:val="1"/>
      <w:marLeft w:val="0"/>
      <w:marRight w:val="0"/>
      <w:marTop w:val="0"/>
      <w:marBottom w:val="0"/>
      <w:divBdr>
        <w:top w:val="none" w:sz="0" w:space="0" w:color="auto"/>
        <w:left w:val="none" w:sz="0" w:space="0" w:color="auto"/>
        <w:bottom w:val="none" w:sz="0" w:space="0" w:color="auto"/>
        <w:right w:val="none" w:sz="0" w:space="0" w:color="auto"/>
      </w:divBdr>
    </w:div>
    <w:div w:id="2084254337">
      <w:bodyDiv w:val="1"/>
      <w:marLeft w:val="0"/>
      <w:marRight w:val="0"/>
      <w:marTop w:val="0"/>
      <w:marBottom w:val="0"/>
      <w:divBdr>
        <w:top w:val="none" w:sz="0" w:space="0" w:color="auto"/>
        <w:left w:val="none" w:sz="0" w:space="0" w:color="auto"/>
        <w:bottom w:val="none" w:sz="0" w:space="0" w:color="auto"/>
        <w:right w:val="none" w:sz="0" w:space="0" w:color="auto"/>
      </w:divBdr>
    </w:div>
    <w:div w:id="20997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B6DC-B747-4525-AF27-DB28F1EA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47</Pages>
  <Words>13346</Words>
  <Characters>79810</Characters>
  <Application>Microsoft Office Word</Application>
  <DocSecurity>0</DocSecurity>
  <Lines>1227</Lines>
  <Paragraphs>222</Paragraphs>
  <ScaleCrop>false</ScaleCrop>
  <HeadingPairs>
    <vt:vector size="2" baseType="variant">
      <vt:variant>
        <vt:lpstr>Název</vt:lpstr>
      </vt:variant>
      <vt:variant>
        <vt:i4>1</vt:i4>
      </vt:variant>
    </vt:vector>
  </HeadingPairs>
  <TitlesOfParts>
    <vt:vector size="1" baseType="lpstr">
      <vt:lpstr>UNIVERZITA PALCKÉHO V OLOMOUCI</vt:lpstr>
    </vt:vector>
  </TitlesOfParts>
  <Company>CMTF UP Olomouc</Company>
  <LinksUpToDate>false</LinksUpToDate>
  <CharactersWithSpaces>92934</CharactersWithSpaces>
  <SharedDoc>false</SharedDoc>
  <HLinks>
    <vt:vector size="114" baseType="variant">
      <vt:variant>
        <vt:i4>1507385</vt:i4>
      </vt:variant>
      <vt:variant>
        <vt:i4>110</vt:i4>
      </vt:variant>
      <vt:variant>
        <vt:i4>0</vt:i4>
      </vt:variant>
      <vt:variant>
        <vt:i4>5</vt:i4>
      </vt:variant>
      <vt:variant>
        <vt:lpwstr/>
      </vt:variant>
      <vt:variant>
        <vt:lpwstr>_Toc128751544</vt:lpwstr>
      </vt:variant>
      <vt:variant>
        <vt:i4>1507385</vt:i4>
      </vt:variant>
      <vt:variant>
        <vt:i4>104</vt:i4>
      </vt:variant>
      <vt:variant>
        <vt:i4>0</vt:i4>
      </vt:variant>
      <vt:variant>
        <vt:i4>5</vt:i4>
      </vt:variant>
      <vt:variant>
        <vt:lpwstr/>
      </vt:variant>
      <vt:variant>
        <vt:lpwstr>_Toc128751543</vt:lpwstr>
      </vt:variant>
      <vt:variant>
        <vt:i4>1507385</vt:i4>
      </vt:variant>
      <vt:variant>
        <vt:i4>98</vt:i4>
      </vt:variant>
      <vt:variant>
        <vt:i4>0</vt:i4>
      </vt:variant>
      <vt:variant>
        <vt:i4>5</vt:i4>
      </vt:variant>
      <vt:variant>
        <vt:lpwstr/>
      </vt:variant>
      <vt:variant>
        <vt:lpwstr>_Toc128751540</vt:lpwstr>
      </vt:variant>
      <vt:variant>
        <vt:i4>1048633</vt:i4>
      </vt:variant>
      <vt:variant>
        <vt:i4>92</vt:i4>
      </vt:variant>
      <vt:variant>
        <vt:i4>0</vt:i4>
      </vt:variant>
      <vt:variant>
        <vt:i4>5</vt:i4>
      </vt:variant>
      <vt:variant>
        <vt:lpwstr/>
      </vt:variant>
      <vt:variant>
        <vt:lpwstr>_Toc128751539</vt:lpwstr>
      </vt:variant>
      <vt:variant>
        <vt:i4>1048633</vt:i4>
      </vt:variant>
      <vt:variant>
        <vt:i4>86</vt:i4>
      </vt:variant>
      <vt:variant>
        <vt:i4>0</vt:i4>
      </vt:variant>
      <vt:variant>
        <vt:i4>5</vt:i4>
      </vt:variant>
      <vt:variant>
        <vt:lpwstr/>
      </vt:variant>
      <vt:variant>
        <vt:lpwstr>_Toc128751538</vt:lpwstr>
      </vt:variant>
      <vt:variant>
        <vt:i4>1048633</vt:i4>
      </vt:variant>
      <vt:variant>
        <vt:i4>80</vt:i4>
      </vt:variant>
      <vt:variant>
        <vt:i4>0</vt:i4>
      </vt:variant>
      <vt:variant>
        <vt:i4>5</vt:i4>
      </vt:variant>
      <vt:variant>
        <vt:lpwstr/>
      </vt:variant>
      <vt:variant>
        <vt:lpwstr>_Toc128751537</vt:lpwstr>
      </vt:variant>
      <vt:variant>
        <vt:i4>1048633</vt:i4>
      </vt:variant>
      <vt:variant>
        <vt:i4>74</vt:i4>
      </vt:variant>
      <vt:variant>
        <vt:i4>0</vt:i4>
      </vt:variant>
      <vt:variant>
        <vt:i4>5</vt:i4>
      </vt:variant>
      <vt:variant>
        <vt:lpwstr/>
      </vt:variant>
      <vt:variant>
        <vt:lpwstr>_Toc128751536</vt:lpwstr>
      </vt:variant>
      <vt:variant>
        <vt:i4>1048633</vt:i4>
      </vt:variant>
      <vt:variant>
        <vt:i4>68</vt:i4>
      </vt:variant>
      <vt:variant>
        <vt:i4>0</vt:i4>
      </vt:variant>
      <vt:variant>
        <vt:i4>5</vt:i4>
      </vt:variant>
      <vt:variant>
        <vt:lpwstr/>
      </vt:variant>
      <vt:variant>
        <vt:lpwstr>_Toc128751535</vt:lpwstr>
      </vt:variant>
      <vt:variant>
        <vt:i4>1048633</vt:i4>
      </vt:variant>
      <vt:variant>
        <vt:i4>62</vt:i4>
      </vt:variant>
      <vt:variant>
        <vt:i4>0</vt:i4>
      </vt:variant>
      <vt:variant>
        <vt:i4>5</vt:i4>
      </vt:variant>
      <vt:variant>
        <vt:lpwstr/>
      </vt:variant>
      <vt:variant>
        <vt:lpwstr>_Toc128751534</vt:lpwstr>
      </vt:variant>
      <vt:variant>
        <vt:i4>1048633</vt:i4>
      </vt:variant>
      <vt:variant>
        <vt:i4>56</vt:i4>
      </vt:variant>
      <vt:variant>
        <vt:i4>0</vt:i4>
      </vt:variant>
      <vt:variant>
        <vt:i4>5</vt:i4>
      </vt:variant>
      <vt:variant>
        <vt:lpwstr/>
      </vt:variant>
      <vt:variant>
        <vt:lpwstr>_Toc128751533</vt:lpwstr>
      </vt:variant>
      <vt:variant>
        <vt:i4>1048633</vt:i4>
      </vt:variant>
      <vt:variant>
        <vt:i4>50</vt:i4>
      </vt:variant>
      <vt:variant>
        <vt:i4>0</vt:i4>
      </vt:variant>
      <vt:variant>
        <vt:i4>5</vt:i4>
      </vt:variant>
      <vt:variant>
        <vt:lpwstr/>
      </vt:variant>
      <vt:variant>
        <vt:lpwstr>_Toc128751532</vt:lpwstr>
      </vt:variant>
      <vt:variant>
        <vt:i4>1048633</vt:i4>
      </vt:variant>
      <vt:variant>
        <vt:i4>44</vt:i4>
      </vt:variant>
      <vt:variant>
        <vt:i4>0</vt:i4>
      </vt:variant>
      <vt:variant>
        <vt:i4>5</vt:i4>
      </vt:variant>
      <vt:variant>
        <vt:lpwstr/>
      </vt:variant>
      <vt:variant>
        <vt:lpwstr>_Toc128751531</vt:lpwstr>
      </vt:variant>
      <vt:variant>
        <vt:i4>1048633</vt:i4>
      </vt:variant>
      <vt:variant>
        <vt:i4>38</vt:i4>
      </vt:variant>
      <vt:variant>
        <vt:i4>0</vt:i4>
      </vt:variant>
      <vt:variant>
        <vt:i4>5</vt:i4>
      </vt:variant>
      <vt:variant>
        <vt:lpwstr/>
      </vt:variant>
      <vt:variant>
        <vt:lpwstr>_Toc128751530</vt:lpwstr>
      </vt:variant>
      <vt:variant>
        <vt:i4>1114169</vt:i4>
      </vt:variant>
      <vt:variant>
        <vt:i4>32</vt:i4>
      </vt:variant>
      <vt:variant>
        <vt:i4>0</vt:i4>
      </vt:variant>
      <vt:variant>
        <vt:i4>5</vt:i4>
      </vt:variant>
      <vt:variant>
        <vt:lpwstr/>
      </vt:variant>
      <vt:variant>
        <vt:lpwstr>_Toc128751529</vt:lpwstr>
      </vt:variant>
      <vt:variant>
        <vt:i4>1114169</vt:i4>
      </vt:variant>
      <vt:variant>
        <vt:i4>26</vt:i4>
      </vt:variant>
      <vt:variant>
        <vt:i4>0</vt:i4>
      </vt:variant>
      <vt:variant>
        <vt:i4>5</vt:i4>
      </vt:variant>
      <vt:variant>
        <vt:lpwstr/>
      </vt:variant>
      <vt:variant>
        <vt:lpwstr>_Toc128751528</vt:lpwstr>
      </vt:variant>
      <vt:variant>
        <vt:i4>1114169</vt:i4>
      </vt:variant>
      <vt:variant>
        <vt:i4>20</vt:i4>
      </vt:variant>
      <vt:variant>
        <vt:i4>0</vt:i4>
      </vt:variant>
      <vt:variant>
        <vt:i4>5</vt:i4>
      </vt:variant>
      <vt:variant>
        <vt:lpwstr/>
      </vt:variant>
      <vt:variant>
        <vt:lpwstr>_Toc128751527</vt:lpwstr>
      </vt:variant>
      <vt:variant>
        <vt:i4>1114169</vt:i4>
      </vt:variant>
      <vt:variant>
        <vt:i4>14</vt:i4>
      </vt:variant>
      <vt:variant>
        <vt:i4>0</vt:i4>
      </vt:variant>
      <vt:variant>
        <vt:i4>5</vt:i4>
      </vt:variant>
      <vt:variant>
        <vt:lpwstr/>
      </vt:variant>
      <vt:variant>
        <vt:lpwstr>_Toc128751526</vt:lpwstr>
      </vt:variant>
      <vt:variant>
        <vt:i4>1114169</vt:i4>
      </vt:variant>
      <vt:variant>
        <vt:i4>8</vt:i4>
      </vt:variant>
      <vt:variant>
        <vt:i4>0</vt:i4>
      </vt:variant>
      <vt:variant>
        <vt:i4>5</vt:i4>
      </vt:variant>
      <vt:variant>
        <vt:lpwstr/>
      </vt:variant>
      <vt:variant>
        <vt:lpwstr>_Toc128751525</vt:lpwstr>
      </vt:variant>
      <vt:variant>
        <vt:i4>1114169</vt:i4>
      </vt:variant>
      <vt:variant>
        <vt:i4>2</vt:i4>
      </vt:variant>
      <vt:variant>
        <vt:i4>0</vt:i4>
      </vt:variant>
      <vt:variant>
        <vt:i4>5</vt:i4>
      </vt:variant>
      <vt:variant>
        <vt:lpwstr/>
      </vt:variant>
      <vt:variant>
        <vt:lpwstr>_Toc128751524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PALCKÉHO V OLOMOUCI</dc:title>
  <dc:subject/>
  <dc:creator>Tomáš Parma</dc:creator>
  <cp:keywords/>
  <dc:description/>
  <cp:lastModifiedBy>Asistent</cp:lastModifiedBy>
  <cp:revision>77</cp:revision>
  <dcterms:created xsi:type="dcterms:W3CDTF">2023-03-11T22:02:00Z</dcterms:created>
  <dcterms:modified xsi:type="dcterms:W3CDTF">2023-03-20T21:08:00Z</dcterms:modified>
</cp:coreProperties>
</file>