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229A" w14:textId="77777777" w:rsidR="00947B64" w:rsidRPr="00524366" w:rsidRDefault="00947B64" w:rsidP="00947B64">
      <w:pPr>
        <w:spacing w:line="360" w:lineRule="auto"/>
        <w:ind w:left="-57"/>
        <w:jc w:val="center"/>
        <w:rPr>
          <w:b/>
          <w:sz w:val="32"/>
        </w:rPr>
      </w:pPr>
      <w:r w:rsidRPr="00524366">
        <w:rPr>
          <w:b/>
          <w:sz w:val="32"/>
        </w:rPr>
        <w:t>Univerzita Palackého v Olomouci</w:t>
      </w:r>
    </w:p>
    <w:p w14:paraId="4D1E1A27" w14:textId="77777777" w:rsidR="00947B64" w:rsidRPr="00524366" w:rsidRDefault="00947B64" w:rsidP="00947B64">
      <w:pPr>
        <w:spacing w:line="360" w:lineRule="auto"/>
        <w:ind w:left="-57"/>
        <w:jc w:val="center"/>
        <w:rPr>
          <w:b/>
          <w:sz w:val="32"/>
        </w:rPr>
      </w:pPr>
      <w:r w:rsidRPr="00524366">
        <w:rPr>
          <w:b/>
          <w:sz w:val="32"/>
        </w:rPr>
        <w:t>Právnická fakulta</w:t>
      </w:r>
    </w:p>
    <w:p w14:paraId="16DE2A74" w14:textId="77777777" w:rsidR="00947B64" w:rsidRPr="00524366" w:rsidRDefault="00947B64" w:rsidP="00947B64">
      <w:pPr>
        <w:spacing w:line="360" w:lineRule="auto"/>
        <w:ind w:left="-57"/>
        <w:jc w:val="center"/>
        <w:rPr>
          <w:sz w:val="32"/>
        </w:rPr>
      </w:pPr>
    </w:p>
    <w:p w14:paraId="640F6746" w14:textId="77777777" w:rsidR="00947B64" w:rsidRPr="00524366" w:rsidRDefault="00947B64" w:rsidP="00947B64">
      <w:pPr>
        <w:spacing w:line="360" w:lineRule="auto"/>
        <w:ind w:left="-57"/>
        <w:jc w:val="center"/>
        <w:rPr>
          <w:sz w:val="32"/>
        </w:rPr>
      </w:pPr>
    </w:p>
    <w:p w14:paraId="3DF9DF0B" w14:textId="77777777" w:rsidR="00947B64" w:rsidRPr="00524366" w:rsidRDefault="00947B64" w:rsidP="00947B64">
      <w:pPr>
        <w:spacing w:line="360" w:lineRule="auto"/>
        <w:ind w:left="-57"/>
        <w:jc w:val="center"/>
        <w:rPr>
          <w:sz w:val="32"/>
        </w:rPr>
      </w:pPr>
    </w:p>
    <w:p w14:paraId="35EE7114" w14:textId="77777777" w:rsidR="00947B64" w:rsidRPr="00524366" w:rsidRDefault="00947B64" w:rsidP="00947B64">
      <w:pPr>
        <w:spacing w:line="360" w:lineRule="auto"/>
        <w:ind w:left="-57"/>
        <w:jc w:val="center"/>
        <w:rPr>
          <w:sz w:val="32"/>
        </w:rPr>
      </w:pPr>
    </w:p>
    <w:p w14:paraId="1774DC11" w14:textId="77777777" w:rsidR="00947B64" w:rsidRPr="00524366" w:rsidRDefault="00947B64" w:rsidP="00947B64">
      <w:pPr>
        <w:spacing w:line="360" w:lineRule="auto"/>
        <w:ind w:left="-57"/>
        <w:jc w:val="center"/>
        <w:rPr>
          <w:sz w:val="32"/>
        </w:rPr>
      </w:pPr>
    </w:p>
    <w:p w14:paraId="792B3CCF" w14:textId="77777777" w:rsidR="00947B64" w:rsidRPr="00524366" w:rsidRDefault="00947B64" w:rsidP="00947B64">
      <w:pPr>
        <w:spacing w:line="360" w:lineRule="auto"/>
        <w:ind w:left="-57"/>
        <w:jc w:val="center"/>
        <w:rPr>
          <w:sz w:val="32"/>
        </w:rPr>
      </w:pPr>
    </w:p>
    <w:p w14:paraId="0AC8B9BA" w14:textId="77777777" w:rsidR="00947B64" w:rsidRPr="00524366" w:rsidRDefault="00947B64" w:rsidP="00947B64">
      <w:pPr>
        <w:spacing w:line="360" w:lineRule="auto"/>
        <w:ind w:left="-57"/>
        <w:jc w:val="center"/>
        <w:rPr>
          <w:sz w:val="32"/>
        </w:rPr>
      </w:pPr>
    </w:p>
    <w:p w14:paraId="5189D708" w14:textId="77777777" w:rsidR="00947B64" w:rsidRPr="00524366" w:rsidRDefault="00947B64" w:rsidP="00947B64">
      <w:pPr>
        <w:spacing w:line="360" w:lineRule="auto"/>
        <w:ind w:left="-57"/>
        <w:jc w:val="center"/>
        <w:rPr>
          <w:sz w:val="32"/>
        </w:rPr>
      </w:pPr>
    </w:p>
    <w:p w14:paraId="300B2C2B" w14:textId="77777777" w:rsidR="00947B64" w:rsidRPr="00524366" w:rsidRDefault="00947B64" w:rsidP="00947B64">
      <w:pPr>
        <w:spacing w:line="360" w:lineRule="auto"/>
        <w:ind w:left="-57"/>
        <w:jc w:val="center"/>
        <w:rPr>
          <w:sz w:val="32"/>
        </w:rPr>
      </w:pPr>
    </w:p>
    <w:p w14:paraId="37AA346E" w14:textId="77777777" w:rsidR="00947B64" w:rsidRPr="00524366" w:rsidRDefault="00947B64" w:rsidP="00947B64">
      <w:pPr>
        <w:spacing w:line="360" w:lineRule="auto"/>
        <w:ind w:left="-57"/>
        <w:jc w:val="center"/>
        <w:rPr>
          <w:sz w:val="32"/>
        </w:rPr>
      </w:pPr>
      <w:r w:rsidRPr="00524366">
        <w:rPr>
          <w:sz w:val="32"/>
        </w:rPr>
        <w:t xml:space="preserve">Klára Skřipcová </w:t>
      </w:r>
    </w:p>
    <w:p w14:paraId="17AA2C64" w14:textId="77777777" w:rsidR="00947B64" w:rsidRPr="00524366" w:rsidRDefault="00947B64" w:rsidP="00947B64">
      <w:pPr>
        <w:spacing w:line="360" w:lineRule="auto"/>
        <w:ind w:left="-57"/>
        <w:jc w:val="center"/>
        <w:rPr>
          <w:sz w:val="32"/>
        </w:rPr>
      </w:pPr>
    </w:p>
    <w:p w14:paraId="7675B64A" w14:textId="77777777" w:rsidR="00947B64" w:rsidRPr="00524366" w:rsidRDefault="00947B64" w:rsidP="00947B64">
      <w:pPr>
        <w:spacing w:line="360" w:lineRule="auto"/>
        <w:ind w:left="-57"/>
        <w:jc w:val="center"/>
        <w:rPr>
          <w:sz w:val="32"/>
        </w:rPr>
      </w:pPr>
      <w:r w:rsidRPr="00524366">
        <w:rPr>
          <w:sz w:val="32"/>
        </w:rPr>
        <w:t xml:space="preserve">Omyl v justiniánském právu </w:t>
      </w:r>
    </w:p>
    <w:p w14:paraId="1CDF3D68" w14:textId="77777777" w:rsidR="00947B64" w:rsidRPr="00524366" w:rsidRDefault="00947B64" w:rsidP="00947B64">
      <w:pPr>
        <w:spacing w:line="360" w:lineRule="auto"/>
        <w:ind w:left="-57"/>
        <w:jc w:val="center"/>
        <w:rPr>
          <w:sz w:val="32"/>
        </w:rPr>
      </w:pPr>
    </w:p>
    <w:p w14:paraId="3B437076" w14:textId="77777777" w:rsidR="00947B64" w:rsidRPr="00524366" w:rsidRDefault="00947B64" w:rsidP="00947B64">
      <w:pPr>
        <w:spacing w:line="360" w:lineRule="auto"/>
        <w:ind w:left="-57"/>
        <w:jc w:val="center"/>
        <w:rPr>
          <w:sz w:val="32"/>
        </w:rPr>
      </w:pPr>
    </w:p>
    <w:p w14:paraId="253E22C1" w14:textId="77777777" w:rsidR="00947B64" w:rsidRPr="00524366" w:rsidRDefault="00947B64" w:rsidP="00947B64">
      <w:pPr>
        <w:spacing w:line="360" w:lineRule="auto"/>
        <w:ind w:left="-57"/>
        <w:jc w:val="center"/>
        <w:rPr>
          <w:sz w:val="32"/>
        </w:rPr>
      </w:pPr>
    </w:p>
    <w:p w14:paraId="5BC80F51" w14:textId="77777777" w:rsidR="00947B64" w:rsidRPr="00524366" w:rsidRDefault="00947B64" w:rsidP="00947B64">
      <w:pPr>
        <w:spacing w:line="360" w:lineRule="auto"/>
        <w:ind w:left="-57"/>
        <w:jc w:val="center"/>
        <w:rPr>
          <w:sz w:val="32"/>
        </w:rPr>
      </w:pPr>
      <w:r w:rsidRPr="00524366">
        <w:rPr>
          <w:sz w:val="32"/>
        </w:rPr>
        <w:t xml:space="preserve">Diplomová práce </w:t>
      </w:r>
    </w:p>
    <w:p w14:paraId="25008206" w14:textId="77777777" w:rsidR="00947B64" w:rsidRPr="00524366" w:rsidRDefault="00947B64" w:rsidP="00947B64">
      <w:pPr>
        <w:spacing w:line="360" w:lineRule="auto"/>
        <w:ind w:left="-57"/>
        <w:jc w:val="center"/>
        <w:rPr>
          <w:sz w:val="32"/>
        </w:rPr>
      </w:pPr>
    </w:p>
    <w:p w14:paraId="1F88F3BA" w14:textId="77777777" w:rsidR="00947B64" w:rsidRPr="00524366" w:rsidRDefault="00947B64" w:rsidP="00947B64">
      <w:pPr>
        <w:spacing w:line="360" w:lineRule="auto"/>
        <w:ind w:left="-57"/>
        <w:jc w:val="center"/>
        <w:rPr>
          <w:sz w:val="32"/>
        </w:rPr>
      </w:pPr>
    </w:p>
    <w:p w14:paraId="63FAEE5A" w14:textId="77777777" w:rsidR="00947B64" w:rsidRPr="00524366" w:rsidRDefault="00947B64" w:rsidP="00947B64">
      <w:pPr>
        <w:spacing w:line="360" w:lineRule="auto"/>
        <w:ind w:left="-57"/>
        <w:jc w:val="center"/>
        <w:rPr>
          <w:sz w:val="32"/>
        </w:rPr>
      </w:pPr>
    </w:p>
    <w:p w14:paraId="2C96CCFC" w14:textId="77777777" w:rsidR="00947B64" w:rsidRPr="00524366" w:rsidRDefault="00947B64" w:rsidP="00947B64">
      <w:pPr>
        <w:spacing w:line="360" w:lineRule="auto"/>
        <w:ind w:left="-57"/>
        <w:jc w:val="center"/>
        <w:rPr>
          <w:sz w:val="32"/>
        </w:rPr>
      </w:pPr>
    </w:p>
    <w:p w14:paraId="3042B4AB" w14:textId="77777777" w:rsidR="00947B64" w:rsidRPr="00524366" w:rsidRDefault="00947B64" w:rsidP="00947B64">
      <w:pPr>
        <w:spacing w:line="360" w:lineRule="auto"/>
        <w:ind w:left="-57"/>
        <w:jc w:val="center"/>
        <w:rPr>
          <w:sz w:val="32"/>
        </w:rPr>
      </w:pPr>
    </w:p>
    <w:p w14:paraId="0A19C4CA" w14:textId="77777777" w:rsidR="00947B64" w:rsidRPr="00524366" w:rsidRDefault="00947B64" w:rsidP="00947B64">
      <w:pPr>
        <w:spacing w:line="360" w:lineRule="auto"/>
        <w:ind w:left="-57"/>
        <w:jc w:val="center"/>
        <w:rPr>
          <w:sz w:val="32"/>
        </w:rPr>
      </w:pPr>
    </w:p>
    <w:p w14:paraId="199F237F" w14:textId="77777777" w:rsidR="00947B64" w:rsidRPr="00524366" w:rsidRDefault="00947B64" w:rsidP="00947B64">
      <w:pPr>
        <w:spacing w:line="360" w:lineRule="auto"/>
        <w:ind w:left="-57"/>
        <w:jc w:val="center"/>
        <w:rPr>
          <w:sz w:val="32"/>
        </w:rPr>
      </w:pPr>
    </w:p>
    <w:p w14:paraId="092175C3" w14:textId="77777777" w:rsidR="00947B64" w:rsidRPr="00524366" w:rsidRDefault="00947B64" w:rsidP="00947B64">
      <w:pPr>
        <w:spacing w:line="360" w:lineRule="auto"/>
        <w:ind w:left="-57"/>
        <w:jc w:val="center"/>
        <w:rPr>
          <w:sz w:val="32"/>
        </w:rPr>
      </w:pPr>
      <w:r w:rsidRPr="00524366">
        <w:rPr>
          <w:sz w:val="32"/>
        </w:rPr>
        <w:t xml:space="preserve">Olomouc 2018 </w:t>
      </w:r>
    </w:p>
    <w:p w14:paraId="63AF7D46" w14:textId="77777777" w:rsidR="00947B64" w:rsidRPr="00524366" w:rsidRDefault="00947B64" w:rsidP="00947B64">
      <w:pPr>
        <w:spacing w:line="360" w:lineRule="auto"/>
        <w:ind w:left="-57"/>
        <w:rPr>
          <w:sz w:val="32"/>
        </w:rPr>
      </w:pPr>
    </w:p>
    <w:p w14:paraId="5E65D28D" w14:textId="77777777" w:rsidR="00947B64" w:rsidRPr="00524366" w:rsidRDefault="00947B64" w:rsidP="00947B64">
      <w:pPr>
        <w:spacing w:line="360" w:lineRule="auto"/>
        <w:ind w:left="-57"/>
        <w:rPr>
          <w:sz w:val="32"/>
        </w:rPr>
      </w:pPr>
    </w:p>
    <w:p w14:paraId="034B4930" w14:textId="77777777" w:rsidR="00947B64" w:rsidRPr="00524366" w:rsidRDefault="00947B64" w:rsidP="00947B64">
      <w:pPr>
        <w:spacing w:line="360" w:lineRule="auto"/>
        <w:ind w:left="-57"/>
        <w:rPr>
          <w:sz w:val="32"/>
        </w:rPr>
      </w:pPr>
    </w:p>
    <w:p w14:paraId="7A43615E" w14:textId="77777777" w:rsidR="00947B64" w:rsidRPr="00524366" w:rsidRDefault="00947B64" w:rsidP="00947B64">
      <w:pPr>
        <w:spacing w:line="360" w:lineRule="auto"/>
        <w:ind w:left="-57"/>
        <w:rPr>
          <w:sz w:val="32"/>
        </w:rPr>
      </w:pPr>
    </w:p>
    <w:p w14:paraId="05FB566E" w14:textId="77777777" w:rsidR="00947B64" w:rsidRPr="00524366" w:rsidRDefault="00947B64" w:rsidP="00947B64">
      <w:pPr>
        <w:spacing w:line="360" w:lineRule="auto"/>
        <w:ind w:left="-57"/>
        <w:rPr>
          <w:sz w:val="32"/>
        </w:rPr>
      </w:pPr>
    </w:p>
    <w:p w14:paraId="162F6725" w14:textId="77777777" w:rsidR="00947B64" w:rsidRPr="00524366" w:rsidRDefault="00947B64" w:rsidP="00947B64">
      <w:pPr>
        <w:spacing w:line="360" w:lineRule="auto"/>
        <w:ind w:left="-57"/>
        <w:rPr>
          <w:sz w:val="32"/>
        </w:rPr>
      </w:pPr>
    </w:p>
    <w:p w14:paraId="3394BE39" w14:textId="77777777" w:rsidR="00947B64" w:rsidRPr="00524366" w:rsidRDefault="00947B64" w:rsidP="00947B64">
      <w:pPr>
        <w:spacing w:line="360" w:lineRule="auto"/>
        <w:ind w:left="-57"/>
        <w:rPr>
          <w:sz w:val="32"/>
        </w:rPr>
      </w:pPr>
    </w:p>
    <w:p w14:paraId="6C526AFE" w14:textId="77777777" w:rsidR="00947B64" w:rsidRPr="00524366" w:rsidRDefault="00947B64" w:rsidP="00947B64">
      <w:pPr>
        <w:spacing w:line="360" w:lineRule="auto"/>
        <w:ind w:left="-57"/>
        <w:rPr>
          <w:sz w:val="32"/>
        </w:rPr>
      </w:pPr>
    </w:p>
    <w:p w14:paraId="30DF8DC2" w14:textId="77777777" w:rsidR="00947B64" w:rsidRPr="00524366" w:rsidRDefault="00947B64" w:rsidP="00947B64">
      <w:pPr>
        <w:spacing w:line="360" w:lineRule="auto"/>
        <w:ind w:left="-57"/>
        <w:rPr>
          <w:sz w:val="32"/>
        </w:rPr>
      </w:pPr>
    </w:p>
    <w:p w14:paraId="0B4E0C25" w14:textId="77777777" w:rsidR="00947B64" w:rsidRPr="00524366" w:rsidRDefault="00947B64" w:rsidP="00947B64">
      <w:pPr>
        <w:spacing w:line="360" w:lineRule="auto"/>
        <w:ind w:left="-57"/>
        <w:rPr>
          <w:sz w:val="32"/>
        </w:rPr>
      </w:pPr>
    </w:p>
    <w:p w14:paraId="4C34918D" w14:textId="77777777" w:rsidR="00947B64" w:rsidRPr="00524366" w:rsidRDefault="00947B64" w:rsidP="00947B64">
      <w:pPr>
        <w:spacing w:line="360" w:lineRule="auto"/>
        <w:ind w:left="-57"/>
        <w:rPr>
          <w:sz w:val="32"/>
        </w:rPr>
      </w:pPr>
    </w:p>
    <w:p w14:paraId="17C0AB36" w14:textId="77777777" w:rsidR="00947B64" w:rsidRPr="00524366" w:rsidRDefault="00947B64" w:rsidP="00947B64">
      <w:pPr>
        <w:spacing w:line="360" w:lineRule="auto"/>
        <w:ind w:left="-57"/>
        <w:rPr>
          <w:sz w:val="32"/>
        </w:rPr>
      </w:pPr>
    </w:p>
    <w:p w14:paraId="5574FA0D" w14:textId="77777777" w:rsidR="00947B64" w:rsidRPr="00524366" w:rsidRDefault="00947B64" w:rsidP="00947B64">
      <w:pPr>
        <w:spacing w:line="360" w:lineRule="auto"/>
        <w:ind w:left="-57"/>
        <w:rPr>
          <w:sz w:val="32"/>
        </w:rPr>
      </w:pPr>
    </w:p>
    <w:p w14:paraId="03A9B0D9" w14:textId="77777777" w:rsidR="00947B64" w:rsidRPr="00524366" w:rsidRDefault="00947B64" w:rsidP="00947B64">
      <w:pPr>
        <w:spacing w:line="360" w:lineRule="auto"/>
        <w:ind w:left="-57"/>
        <w:rPr>
          <w:sz w:val="32"/>
        </w:rPr>
      </w:pPr>
    </w:p>
    <w:p w14:paraId="1FF22C6E" w14:textId="77777777" w:rsidR="00947B64" w:rsidRPr="00524366" w:rsidRDefault="00947B64" w:rsidP="00947B64">
      <w:pPr>
        <w:spacing w:line="360" w:lineRule="auto"/>
        <w:ind w:left="-57"/>
        <w:rPr>
          <w:sz w:val="32"/>
        </w:rPr>
      </w:pPr>
    </w:p>
    <w:p w14:paraId="289F4943" w14:textId="77777777" w:rsidR="00947B64" w:rsidRPr="00524366" w:rsidRDefault="00947B64" w:rsidP="00947B64">
      <w:pPr>
        <w:spacing w:line="360" w:lineRule="auto"/>
        <w:ind w:left="-57"/>
        <w:rPr>
          <w:sz w:val="32"/>
        </w:rPr>
      </w:pPr>
    </w:p>
    <w:p w14:paraId="01CA45E4" w14:textId="77777777" w:rsidR="00947B64" w:rsidRPr="00524366" w:rsidRDefault="00947B64" w:rsidP="00947B64">
      <w:pPr>
        <w:spacing w:line="360" w:lineRule="auto"/>
        <w:ind w:left="-57"/>
        <w:rPr>
          <w:sz w:val="32"/>
        </w:rPr>
      </w:pPr>
    </w:p>
    <w:p w14:paraId="47E7F84C" w14:textId="77777777" w:rsidR="00947B64" w:rsidRPr="00524366" w:rsidRDefault="00947B64" w:rsidP="00947B64">
      <w:pPr>
        <w:spacing w:line="360" w:lineRule="auto"/>
        <w:ind w:left="-57"/>
        <w:rPr>
          <w:sz w:val="32"/>
        </w:rPr>
      </w:pPr>
    </w:p>
    <w:p w14:paraId="292D457E" w14:textId="77777777" w:rsidR="00947B64" w:rsidRPr="00524366" w:rsidRDefault="00947B64" w:rsidP="00947B64">
      <w:pPr>
        <w:spacing w:line="360" w:lineRule="auto"/>
        <w:ind w:left="-57"/>
        <w:rPr>
          <w:sz w:val="32"/>
        </w:rPr>
      </w:pPr>
    </w:p>
    <w:p w14:paraId="48CFC100" w14:textId="77777777" w:rsidR="00947B64" w:rsidRPr="00524366" w:rsidRDefault="00947B64" w:rsidP="00947B64">
      <w:pPr>
        <w:spacing w:line="360" w:lineRule="auto"/>
        <w:ind w:left="-57"/>
        <w:rPr>
          <w:sz w:val="32"/>
        </w:rPr>
      </w:pPr>
    </w:p>
    <w:p w14:paraId="652BE8C0" w14:textId="77777777" w:rsidR="00947B64" w:rsidRPr="00524366" w:rsidRDefault="00947B64" w:rsidP="00947B64">
      <w:pPr>
        <w:spacing w:line="360" w:lineRule="auto"/>
        <w:ind w:left="-57"/>
        <w:rPr>
          <w:sz w:val="32"/>
        </w:rPr>
      </w:pPr>
    </w:p>
    <w:p w14:paraId="608D0017" w14:textId="77777777" w:rsidR="00947B64" w:rsidRPr="00524366" w:rsidRDefault="00947B64" w:rsidP="00947B64">
      <w:pPr>
        <w:spacing w:line="360" w:lineRule="auto"/>
        <w:ind w:left="-57"/>
        <w:rPr>
          <w:sz w:val="32"/>
        </w:rPr>
      </w:pPr>
    </w:p>
    <w:p w14:paraId="1C49533E" w14:textId="77777777" w:rsidR="00947B64" w:rsidRPr="00524366" w:rsidRDefault="00947B64" w:rsidP="00947B64">
      <w:pPr>
        <w:spacing w:line="360" w:lineRule="auto"/>
        <w:ind w:left="-57"/>
      </w:pPr>
      <w:r w:rsidRPr="00524366">
        <w:t xml:space="preserve">„Prohlašuji, že jsem diplomovou práci na téma </w:t>
      </w:r>
      <w:r w:rsidRPr="00524366">
        <w:rPr>
          <w:i/>
        </w:rPr>
        <w:t xml:space="preserve">Omyl v justiniánském právu </w:t>
      </w:r>
      <w:r w:rsidRPr="00524366">
        <w:t>vypracovala samostatně a citovala jsem všechny použité zdroje.“</w:t>
      </w:r>
    </w:p>
    <w:p w14:paraId="440B1FAE" w14:textId="77777777" w:rsidR="00947B64" w:rsidRPr="00524366" w:rsidRDefault="00947B64" w:rsidP="00947B64">
      <w:pPr>
        <w:spacing w:line="360" w:lineRule="auto"/>
        <w:ind w:left="-57"/>
      </w:pPr>
    </w:p>
    <w:p w14:paraId="79CB2BDA" w14:textId="49D92BAA" w:rsidR="00947B64" w:rsidRPr="00524366" w:rsidRDefault="00947B64" w:rsidP="00947B64">
      <w:pPr>
        <w:spacing w:line="360" w:lineRule="auto"/>
        <w:ind w:left="-57"/>
      </w:pPr>
      <w:r w:rsidRPr="00524366">
        <w:t xml:space="preserve">V Olomouci dne </w:t>
      </w:r>
      <w:r w:rsidR="005973B0" w:rsidRPr="00524366">
        <w:t>1. 10.</w:t>
      </w:r>
      <w:r w:rsidR="00E35627" w:rsidRPr="00524366">
        <w:t xml:space="preserve"> </w:t>
      </w:r>
      <w:r w:rsidRPr="00524366">
        <w:t>2018                                                       …………………………….</w:t>
      </w:r>
    </w:p>
    <w:p w14:paraId="025E3BA4" w14:textId="77777777" w:rsidR="00947B64" w:rsidRPr="00524366" w:rsidRDefault="00947B64" w:rsidP="00947B64">
      <w:pPr>
        <w:spacing w:line="360" w:lineRule="auto"/>
        <w:ind w:left="-57"/>
      </w:pPr>
      <w:r w:rsidRPr="00524366">
        <w:tab/>
      </w:r>
      <w:r w:rsidRPr="00524366">
        <w:tab/>
      </w:r>
      <w:r w:rsidRPr="00524366">
        <w:tab/>
      </w:r>
      <w:r w:rsidRPr="00524366">
        <w:tab/>
      </w:r>
      <w:r w:rsidRPr="00524366">
        <w:tab/>
      </w:r>
      <w:r w:rsidRPr="00524366">
        <w:tab/>
      </w:r>
      <w:r w:rsidRPr="00524366">
        <w:tab/>
      </w:r>
      <w:r w:rsidRPr="00524366">
        <w:tab/>
        <w:t xml:space="preserve">                       Klára Skřipcová           </w:t>
      </w:r>
    </w:p>
    <w:p w14:paraId="7422B65A" w14:textId="77777777" w:rsidR="00947B64" w:rsidRPr="00524366" w:rsidRDefault="00947B64" w:rsidP="00947B64">
      <w:pPr>
        <w:spacing w:line="360" w:lineRule="auto"/>
        <w:ind w:left="-57"/>
      </w:pPr>
    </w:p>
    <w:p w14:paraId="72BA883D" w14:textId="77777777" w:rsidR="00947B64" w:rsidRPr="00524366" w:rsidRDefault="00947B64" w:rsidP="00947B64">
      <w:pPr>
        <w:spacing w:line="360" w:lineRule="auto"/>
        <w:ind w:left="-57"/>
      </w:pPr>
    </w:p>
    <w:p w14:paraId="79099281" w14:textId="77777777" w:rsidR="00947B64" w:rsidRPr="00524366" w:rsidRDefault="00947B64" w:rsidP="00947B64">
      <w:pPr>
        <w:spacing w:line="360" w:lineRule="auto"/>
        <w:ind w:left="-57"/>
      </w:pPr>
    </w:p>
    <w:p w14:paraId="7F4652EC" w14:textId="77777777" w:rsidR="00947B64" w:rsidRPr="00524366" w:rsidRDefault="00947B64" w:rsidP="00947B64">
      <w:pPr>
        <w:spacing w:line="360" w:lineRule="auto"/>
        <w:ind w:left="-57"/>
      </w:pPr>
    </w:p>
    <w:p w14:paraId="47E835E0" w14:textId="77777777" w:rsidR="00947B64" w:rsidRPr="00524366" w:rsidRDefault="00947B64" w:rsidP="00947B64">
      <w:pPr>
        <w:spacing w:line="360" w:lineRule="auto"/>
        <w:ind w:left="-57"/>
      </w:pPr>
    </w:p>
    <w:p w14:paraId="32679BE1" w14:textId="77777777" w:rsidR="00947B64" w:rsidRPr="00524366" w:rsidRDefault="00947B64" w:rsidP="00947B64">
      <w:pPr>
        <w:spacing w:line="360" w:lineRule="auto"/>
        <w:ind w:left="-57"/>
      </w:pPr>
    </w:p>
    <w:p w14:paraId="4BD3E7D8" w14:textId="77777777" w:rsidR="00947B64" w:rsidRPr="00524366" w:rsidRDefault="00947B64" w:rsidP="00947B64">
      <w:pPr>
        <w:spacing w:line="360" w:lineRule="auto"/>
        <w:ind w:left="-57"/>
      </w:pPr>
    </w:p>
    <w:p w14:paraId="1B7232E5" w14:textId="77777777" w:rsidR="00947B64" w:rsidRPr="00524366" w:rsidRDefault="00947B64" w:rsidP="00947B64">
      <w:pPr>
        <w:spacing w:line="360" w:lineRule="auto"/>
        <w:ind w:left="-57"/>
      </w:pPr>
    </w:p>
    <w:p w14:paraId="0717447A" w14:textId="77777777" w:rsidR="00947B64" w:rsidRPr="00524366" w:rsidRDefault="00947B64" w:rsidP="00947B64">
      <w:pPr>
        <w:spacing w:line="360" w:lineRule="auto"/>
        <w:ind w:left="-57"/>
      </w:pPr>
    </w:p>
    <w:p w14:paraId="22AAA229" w14:textId="77777777" w:rsidR="00947B64" w:rsidRPr="00524366" w:rsidRDefault="00947B64" w:rsidP="00947B64">
      <w:pPr>
        <w:spacing w:line="360" w:lineRule="auto"/>
        <w:ind w:left="-57"/>
      </w:pPr>
    </w:p>
    <w:p w14:paraId="071BCE53" w14:textId="77777777" w:rsidR="00947B64" w:rsidRPr="00524366" w:rsidRDefault="00947B64" w:rsidP="00947B64">
      <w:pPr>
        <w:spacing w:line="360" w:lineRule="auto"/>
        <w:ind w:left="-57"/>
      </w:pPr>
    </w:p>
    <w:p w14:paraId="50C6E7F2" w14:textId="77777777" w:rsidR="00947B64" w:rsidRPr="00524366" w:rsidRDefault="00947B64" w:rsidP="00947B64">
      <w:pPr>
        <w:spacing w:line="360" w:lineRule="auto"/>
        <w:ind w:left="-57"/>
      </w:pPr>
    </w:p>
    <w:p w14:paraId="79BD05AE" w14:textId="77777777" w:rsidR="00947B64" w:rsidRPr="00524366" w:rsidRDefault="00947B64" w:rsidP="00947B64">
      <w:pPr>
        <w:spacing w:line="360" w:lineRule="auto"/>
        <w:ind w:left="-57"/>
      </w:pPr>
    </w:p>
    <w:p w14:paraId="638FCB16" w14:textId="77777777" w:rsidR="00947B64" w:rsidRPr="00524366" w:rsidRDefault="00947B64" w:rsidP="00947B64">
      <w:pPr>
        <w:spacing w:line="360" w:lineRule="auto"/>
        <w:ind w:left="-57"/>
      </w:pPr>
    </w:p>
    <w:p w14:paraId="1E6EF3F8" w14:textId="77777777" w:rsidR="00947B64" w:rsidRPr="00524366" w:rsidRDefault="00947B64" w:rsidP="00947B64">
      <w:pPr>
        <w:spacing w:line="360" w:lineRule="auto"/>
        <w:ind w:left="-57"/>
      </w:pPr>
    </w:p>
    <w:p w14:paraId="219236EE" w14:textId="77777777" w:rsidR="00947B64" w:rsidRPr="00524366" w:rsidRDefault="00947B64" w:rsidP="00947B64">
      <w:pPr>
        <w:spacing w:line="360" w:lineRule="auto"/>
        <w:ind w:left="-57"/>
      </w:pPr>
    </w:p>
    <w:p w14:paraId="01520708" w14:textId="77777777" w:rsidR="00947B64" w:rsidRPr="00524366" w:rsidRDefault="00947B64" w:rsidP="00947B64">
      <w:pPr>
        <w:spacing w:line="360" w:lineRule="auto"/>
        <w:ind w:left="-57"/>
      </w:pPr>
    </w:p>
    <w:p w14:paraId="42E464B8" w14:textId="77777777" w:rsidR="00947B64" w:rsidRPr="00524366" w:rsidRDefault="00947B64" w:rsidP="00947B64">
      <w:pPr>
        <w:spacing w:line="360" w:lineRule="auto"/>
        <w:ind w:left="-57"/>
      </w:pPr>
    </w:p>
    <w:p w14:paraId="4EF8C421" w14:textId="77777777" w:rsidR="00947B64" w:rsidRPr="00524366" w:rsidRDefault="00947B64" w:rsidP="00947B64">
      <w:pPr>
        <w:spacing w:line="360" w:lineRule="auto"/>
        <w:ind w:left="-57"/>
      </w:pPr>
    </w:p>
    <w:p w14:paraId="388910C3" w14:textId="77777777" w:rsidR="00947B64" w:rsidRPr="00524366" w:rsidRDefault="00947B64" w:rsidP="00947B64">
      <w:pPr>
        <w:spacing w:line="360" w:lineRule="auto"/>
        <w:ind w:left="-57"/>
      </w:pPr>
    </w:p>
    <w:p w14:paraId="7D54DC75" w14:textId="77777777" w:rsidR="00947B64" w:rsidRPr="00524366" w:rsidRDefault="00947B64" w:rsidP="00947B64">
      <w:pPr>
        <w:spacing w:line="360" w:lineRule="auto"/>
        <w:ind w:left="-57"/>
      </w:pPr>
    </w:p>
    <w:p w14:paraId="3B9A699E" w14:textId="77777777" w:rsidR="00947B64" w:rsidRPr="00524366" w:rsidRDefault="00947B64" w:rsidP="00947B64">
      <w:pPr>
        <w:spacing w:line="360" w:lineRule="auto"/>
        <w:ind w:left="-57"/>
      </w:pPr>
    </w:p>
    <w:p w14:paraId="2DD2A8A4" w14:textId="77777777" w:rsidR="00947B64" w:rsidRPr="00524366" w:rsidRDefault="00947B64" w:rsidP="00947B64">
      <w:pPr>
        <w:spacing w:line="360" w:lineRule="auto"/>
        <w:ind w:left="-57"/>
      </w:pPr>
    </w:p>
    <w:p w14:paraId="059C780B" w14:textId="77777777" w:rsidR="00947B64" w:rsidRPr="00524366" w:rsidRDefault="00947B64" w:rsidP="00947B64">
      <w:pPr>
        <w:spacing w:line="360" w:lineRule="auto"/>
        <w:ind w:left="-57"/>
      </w:pPr>
    </w:p>
    <w:p w14:paraId="5EB5F704" w14:textId="77777777" w:rsidR="00947B64" w:rsidRPr="00524366" w:rsidRDefault="00947B64" w:rsidP="00947B64">
      <w:pPr>
        <w:spacing w:line="360" w:lineRule="auto"/>
        <w:ind w:left="-57"/>
      </w:pPr>
    </w:p>
    <w:p w14:paraId="05D23710" w14:textId="77777777" w:rsidR="00947B64" w:rsidRPr="00524366" w:rsidRDefault="00947B64" w:rsidP="00947B64">
      <w:pPr>
        <w:spacing w:line="360" w:lineRule="auto"/>
        <w:ind w:left="-57"/>
      </w:pPr>
    </w:p>
    <w:p w14:paraId="6C9715C9" w14:textId="77777777" w:rsidR="00947B64" w:rsidRPr="00524366" w:rsidRDefault="00947B64" w:rsidP="00947B64">
      <w:pPr>
        <w:spacing w:line="360" w:lineRule="auto"/>
        <w:ind w:left="-57"/>
      </w:pPr>
    </w:p>
    <w:p w14:paraId="7B2BA9F7" w14:textId="77777777" w:rsidR="00947B64" w:rsidRPr="00524366" w:rsidRDefault="00947B64" w:rsidP="00947B64">
      <w:pPr>
        <w:spacing w:line="360" w:lineRule="auto"/>
        <w:ind w:left="-57"/>
      </w:pPr>
    </w:p>
    <w:p w14:paraId="552462F0" w14:textId="77777777" w:rsidR="00947B64" w:rsidRPr="00524366" w:rsidRDefault="00947B64" w:rsidP="00947B64">
      <w:pPr>
        <w:spacing w:line="360" w:lineRule="auto"/>
        <w:ind w:left="-57"/>
      </w:pPr>
    </w:p>
    <w:p w14:paraId="6FF474EA" w14:textId="77777777" w:rsidR="00947B64" w:rsidRPr="00524366" w:rsidRDefault="00947B64" w:rsidP="00947B64">
      <w:pPr>
        <w:pStyle w:val="Normlnweb"/>
        <w:spacing w:line="360" w:lineRule="auto"/>
        <w:ind w:left="-57"/>
        <w:rPr>
          <w:rFonts w:ascii="Garamond" w:hAnsi="Garamond"/>
          <w:b/>
        </w:rPr>
      </w:pPr>
      <w:r w:rsidRPr="00524366">
        <w:rPr>
          <w:rFonts w:ascii="Garamond" w:hAnsi="Garamond"/>
          <w:b/>
        </w:rPr>
        <w:t>Poděkování</w:t>
      </w:r>
    </w:p>
    <w:p w14:paraId="10362C26" w14:textId="77777777" w:rsidR="00947B64" w:rsidRPr="00524366" w:rsidRDefault="00947B64" w:rsidP="00947B64">
      <w:pPr>
        <w:spacing w:line="360" w:lineRule="auto"/>
        <w:ind w:left="-57"/>
        <w:jc w:val="both"/>
      </w:pPr>
      <w:r w:rsidRPr="00524366">
        <w:t xml:space="preserve">Ráda bych touto cestou poděkovala vedoucí práce JUDr. Kamile Bubelové, Ph.D. za odbornou pomoc při tvorbě diplomové práce a zejména za podnětné připomínky a návrhy při jejím zpracování. </w:t>
      </w:r>
    </w:p>
    <w:p w14:paraId="72F3728D" w14:textId="6BCD95B0" w:rsidR="008029A5" w:rsidRPr="00524366" w:rsidRDefault="008029A5" w:rsidP="00620861">
      <w:pPr>
        <w:pStyle w:val="Obsah1"/>
        <w:tabs>
          <w:tab w:val="right" w:leader="dot" w:pos="9055"/>
        </w:tabs>
        <w:rPr>
          <w:sz w:val="32"/>
          <w:szCs w:val="32"/>
        </w:rPr>
      </w:pPr>
      <w:r w:rsidRPr="00524366">
        <w:rPr>
          <w:sz w:val="32"/>
          <w:szCs w:val="32"/>
        </w:rPr>
        <w:lastRenderedPageBreak/>
        <w:t xml:space="preserve">Obsah: </w:t>
      </w:r>
    </w:p>
    <w:p w14:paraId="7BB29BB5" w14:textId="77777777" w:rsidR="00945DAE" w:rsidRPr="00524366" w:rsidRDefault="00945DAE">
      <w:pPr>
        <w:pStyle w:val="Obsah1"/>
        <w:tabs>
          <w:tab w:val="right" w:leader="dot" w:pos="9055"/>
        </w:tabs>
        <w:rPr>
          <w:rFonts w:eastAsiaTheme="minorEastAsia"/>
          <w:b w:val="0"/>
          <w:bCs w:val="0"/>
          <w:noProof/>
          <w:color w:val="auto"/>
          <w:szCs w:val="24"/>
          <w:lang w:eastAsia="cs-CZ"/>
        </w:rPr>
      </w:pPr>
      <w:r w:rsidRPr="00524366">
        <w:rPr>
          <w:b w:val="0"/>
        </w:rPr>
        <w:fldChar w:fldCharType="begin"/>
      </w:r>
      <w:r w:rsidRPr="00524366">
        <w:rPr>
          <w:b w:val="0"/>
        </w:rPr>
        <w:instrText xml:space="preserve"> TOC \o </w:instrText>
      </w:r>
      <w:r w:rsidRPr="00524366">
        <w:rPr>
          <w:b w:val="0"/>
        </w:rPr>
        <w:fldChar w:fldCharType="separate"/>
      </w:r>
      <w:r w:rsidRPr="00524366">
        <w:rPr>
          <w:noProof/>
        </w:rPr>
        <w:t>Seznam zkratek</w:t>
      </w:r>
      <w:r w:rsidRPr="00524366">
        <w:rPr>
          <w:noProof/>
        </w:rPr>
        <w:tab/>
      </w:r>
      <w:r w:rsidRPr="00524366">
        <w:rPr>
          <w:noProof/>
        </w:rPr>
        <w:fldChar w:fldCharType="begin"/>
      </w:r>
      <w:r w:rsidRPr="00524366">
        <w:rPr>
          <w:noProof/>
        </w:rPr>
        <w:instrText xml:space="preserve"> PAGEREF _Toc523139863 \h </w:instrText>
      </w:r>
      <w:r w:rsidRPr="00524366">
        <w:rPr>
          <w:noProof/>
        </w:rPr>
      </w:r>
      <w:r w:rsidRPr="00524366">
        <w:rPr>
          <w:noProof/>
        </w:rPr>
        <w:fldChar w:fldCharType="separate"/>
      </w:r>
      <w:r w:rsidRPr="00524366">
        <w:rPr>
          <w:noProof/>
        </w:rPr>
        <w:t>5</w:t>
      </w:r>
      <w:r w:rsidRPr="00524366">
        <w:rPr>
          <w:noProof/>
        </w:rPr>
        <w:fldChar w:fldCharType="end"/>
      </w:r>
    </w:p>
    <w:p w14:paraId="0E0C6631" w14:textId="6AF9D6C4"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Úvod</w:t>
      </w:r>
      <w:r w:rsidRPr="00524366">
        <w:rPr>
          <w:noProof/>
        </w:rPr>
        <w:tab/>
      </w:r>
      <w:r w:rsidRPr="00524366">
        <w:rPr>
          <w:noProof/>
        </w:rPr>
        <w:fldChar w:fldCharType="begin"/>
      </w:r>
      <w:r w:rsidRPr="00524366">
        <w:rPr>
          <w:noProof/>
        </w:rPr>
        <w:instrText xml:space="preserve"> PAGEREF _Toc523139864 \h </w:instrText>
      </w:r>
      <w:r w:rsidRPr="00524366">
        <w:rPr>
          <w:noProof/>
        </w:rPr>
      </w:r>
      <w:r w:rsidRPr="00524366">
        <w:rPr>
          <w:noProof/>
        </w:rPr>
        <w:fldChar w:fldCharType="separate"/>
      </w:r>
      <w:r w:rsidRPr="00524366">
        <w:rPr>
          <w:noProof/>
        </w:rPr>
        <w:t>6</w:t>
      </w:r>
      <w:r w:rsidRPr="00524366">
        <w:rPr>
          <w:noProof/>
        </w:rPr>
        <w:fldChar w:fldCharType="end"/>
      </w:r>
    </w:p>
    <w:p w14:paraId="0CB92DF6" w14:textId="77777777"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1.</w:t>
      </w:r>
      <w:r w:rsidRPr="00524366">
        <w:rPr>
          <w:rFonts w:eastAsiaTheme="minorEastAsia"/>
          <w:b w:val="0"/>
          <w:bCs w:val="0"/>
          <w:noProof/>
          <w:color w:val="auto"/>
          <w:szCs w:val="24"/>
          <w:lang w:eastAsia="cs-CZ"/>
        </w:rPr>
        <w:tab/>
      </w:r>
      <w:r w:rsidRPr="00524366">
        <w:rPr>
          <w:noProof/>
        </w:rPr>
        <w:t>Obecný úvod do problematiky omylu</w:t>
      </w:r>
      <w:r w:rsidRPr="00524366">
        <w:rPr>
          <w:noProof/>
        </w:rPr>
        <w:tab/>
      </w:r>
      <w:r w:rsidRPr="00524366">
        <w:rPr>
          <w:noProof/>
        </w:rPr>
        <w:fldChar w:fldCharType="begin"/>
      </w:r>
      <w:r w:rsidRPr="00524366">
        <w:rPr>
          <w:noProof/>
        </w:rPr>
        <w:instrText xml:space="preserve"> PAGEREF _Toc523139865 \h </w:instrText>
      </w:r>
      <w:r w:rsidRPr="00524366">
        <w:rPr>
          <w:noProof/>
        </w:rPr>
      </w:r>
      <w:r w:rsidRPr="00524366">
        <w:rPr>
          <w:noProof/>
        </w:rPr>
        <w:fldChar w:fldCharType="separate"/>
      </w:r>
      <w:r w:rsidRPr="00524366">
        <w:rPr>
          <w:noProof/>
        </w:rPr>
        <w:t>9</w:t>
      </w:r>
      <w:r w:rsidRPr="00524366">
        <w:rPr>
          <w:noProof/>
        </w:rPr>
        <w:fldChar w:fldCharType="end"/>
      </w:r>
    </w:p>
    <w:p w14:paraId="3724E6C6"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1.1.</w:t>
      </w:r>
      <w:r w:rsidRPr="00524366">
        <w:rPr>
          <w:rFonts w:eastAsiaTheme="minorEastAsia"/>
          <w:noProof/>
          <w:color w:val="auto"/>
          <w:szCs w:val="24"/>
          <w:lang w:eastAsia="cs-CZ"/>
        </w:rPr>
        <w:tab/>
      </w:r>
      <w:r w:rsidRPr="00524366">
        <w:rPr>
          <w:noProof/>
        </w:rPr>
        <w:t>Jednotlivé typy omylu</w:t>
      </w:r>
      <w:r w:rsidRPr="00524366">
        <w:rPr>
          <w:noProof/>
        </w:rPr>
        <w:tab/>
      </w:r>
      <w:r w:rsidRPr="00524366">
        <w:rPr>
          <w:noProof/>
        </w:rPr>
        <w:fldChar w:fldCharType="begin"/>
      </w:r>
      <w:r w:rsidRPr="00524366">
        <w:rPr>
          <w:noProof/>
        </w:rPr>
        <w:instrText xml:space="preserve"> PAGEREF _Toc523139866 \h </w:instrText>
      </w:r>
      <w:r w:rsidRPr="00524366">
        <w:rPr>
          <w:noProof/>
        </w:rPr>
      </w:r>
      <w:r w:rsidRPr="00524366">
        <w:rPr>
          <w:noProof/>
        </w:rPr>
        <w:fldChar w:fldCharType="separate"/>
      </w:r>
      <w:r w:rsidRPr="00524366">
        <w:rPr>
          <w:noProof/>
        </w:rPr>
        <w:t>13</w:t>
      </w:r>
      <w:r w:rsidRPr="00524366">
        <w:rPr>
          <w:noProof/>
        </w:rPr>
        <w:fldChar w:fldCharType="end"/>
      </w:r>
    </w:p>
    <w:p w14:paraId="1DB5FA72" w14:textId="77777777"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2.</w:t>
      </w:r>
      <w:r w:rsidRPr="00524366">
        <w:rPr>
          <w:rFonts w:eastAsiaTheme="minorEastAsia"/>
          <w:b w:val="0"/>
          <w:bCs w:val="0"/>
          <w:noProof/>
          <w:color w:val="auto"/>
          <w:szCs w:val="24"/>
          <w:lang w:eastAsia="cs-CZ"/>
        </w:rPr>
        <w:tab/>
      </w:r>
      <w:r w:rsidRPr="00524366">
        <w:rPr>
          <w:noProof/>
        </w:rPr>
        <w:t>Error vs. dissensus</w:t>
      </w:r>
      <w:r w:rsidRPr="00524366">
        <w:rPr>
          <w:noProof/>
        </w:rPr>
        <w:tab/>
      </w:r>
      <w:r w:rsidRPr="00524366">
        <w:rPr>
          <w:noProof/>
        </w:rPr>
        <w:fldChar w:fldCharType="begin"/>
      </w:r>
      <w:r w:rsidRPr="00524366">
        <w:rPr>
          <w:noProof/>
        </w:rPr>
        <w:instrText xml:space="preserve"> PAGEREF _Toc523139867 \h </w:instrText>
      </w:r>
      <w:r w:rsidRPr="00524366">
        <w:rPr>
          <w:noProof/>
        </w:rPr>
      </w:r>
      <w:r w:rsidRPr="00524366">
        <w:rPr>
          <w:noProof/>
        </w:rPr>
        <w:fldChar w:fldCharType="separate"/>
      </w:r>
      <w:r w:rsidRPr="00524366">
        <w:rPr>
          <w:noProof/>
        </w:rPr>
        <w:t>14</w:t>
      </w:r>
      <w:r w:rsidRPr="00524366">
        <w:rPr>
          <w:noProof/>
        </w:rPr>
        <w:fldChar w:fldCharType="end"/>
      </w:r>
    </w:p>
    <w:p w14:paraId="6955A9F3"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2.1.</w:t>
      </w:r>
      <w:r w:rsidRPr="00524366">
        <w:rPr>
          <w:rFonts w:eastAsiaTheme="minorEastAsia"/>
          <w:noProof/>
          <w:color w:val="auto"/>
          <w:szCs w:val="24"/>
          <w:lang w:eastAsia="cs-CZ"/>
        </w:rPr>
        <w:tab/>
      </w:r>
      <w:r w:rsidRPr="00524366">
        <w:rPr>
          <w:noProof/>
        </w:rPr>
        <w:t>D 22. 6. 9. 5. Paulus</w:t>
      </w:r>
      <w:r w:rsidRPr="00524366">
        <w:rPr>
          <w:noProof/>
        </w:rPr>
        <w:tab/>
      </w:r>
      <w:r w:rsidRPr="00524366">
        <w:rPr>
          <w:noProof/>
        </w:rPr>
        <w:fldChar w:fldCharType="begin"/>
      </w:r>
      <w:r w:rsidRPr="00524366">
        <w:rPr>
          <w:noProof/>
        </w:rPr>
        <w:instrText xml:space="preserve"> PAGEREF _Toc523139868 \h </w:instrText>
      </w:r>
      <w:r w:rsidRPr="00524366">
        <w:rPr>
          <w:noProof/>
        </w:rPr>
      </w:r>
      <w:r w:rsidRPr="00524366">
        <w:rPr>
          <w:noProof/>
        </w:rPr>
        <w:fldChar w:fldCharType="separate"/>
      </w:r>
      <w:r w:rsidRPr="00524366">
        <w:rPr>
          <w:noProof/>
        </w:rPr>
        <w:t>15</w:t>
      </w:r>
      <w:r w:rsidRPr="00524366">
        <w:rPr>
          <w:noProof/>
        </w:rPr>
        <w:fldChar w:fldCharType="end"/>
      </w:r>
    </w:p>
    <w:p w14:paraId="1665B482"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2.2.</w:t>
      </w:r>
      <w:r w:rsidRPr="00524366">
        <w:rPr>
          <w:rFonts w:eastAsiaTheme="minorEastAsia"/>
          <w:noProof/>
          <w:color w:val="auto"/>
          <w:szCs w:val="24"/>
          <w:lang w:eastAsia="cs-CZ"/>
        </w:rPr>
        <w:tab/>
      </w:r>
      <w:r w:rsidRPr="00524366">
        <w:rPr>
          <w:noProof/>
        </w:rPr>
        <w:t>Dissensus</w:t>
      </w:r>
      <w:r w:rsidRPr="00524366">
        <w:rPr>
          <w:noProof/>
        </w:rPr>
        <w:tab/>
      </w:r>
      <w:r w:rsidRPr="00524366">
        <w:rPr>
          <w:noProof/>
        </w:rPr>
        <w:fldChar w:fldCharType="begin"/>
      </w:r>
      <w:r w:rsidRPr="00524366">
        <w:rPr>
          <w:noProof/>
        </w:rPr>
        <w:instrText xml:space="preserve"> PAGEREF _Toc523139869 \h </w:instrText>
      </w:r>
      <w:r w:rsidRPr="00524366">
        <w:rPr>
          <w:noProof/>
        </w:rPr>
      </w:r>
      <w:r w:rsidRPr="00524366">
        <w:rPr>
          <w:noProof/>
        </w:rPr>
        <w:fldChar w:fldCharType="separate"/>
      </w:r>
      <w:r w:rsidRPr="00524366">
        <w:rPr>
          <w:noProof/>
        </w:rPr>
        <w:t>17</w:t>
      </w:r>
      <w:r w:rsidRPr="00524366">
        <w:rPr>
          <w:noProof/>
        </w:rPr>
        <w:fldChar w:fldCharType="end"/>
      </w:r>
    </w:p>
    <w:p w14:paraId="56CAA1E9" w14:textId="77777777"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3.</w:t>
      </w:r>
      <w:r w:rsidRPr="00524366">
        <w:rPr>
          <w:rFonts w:eastAsiaTheme="minorEastAsia"/>
          <w:b w:val="0"/>
          <w:bCs w:val="0"/>
          <w:noProof/>
          <w:color w:val="auto"/>
          <w:szCs w:val="24"/>
          <w:lang w:eastAsia="cs-CZ"/>
        </w:rPr>
        <w:tab/>
      </w:r>
      <w:r w:rsidRPr="00524366">
        <w:rPr>
          <w:noProof/>
        </w:rPr>
        <w:t>Error facti, error iuris</w:t>
      </w:r>
      <w:r w:rsidRPr="00524366">
        <w:rPr>
          <w:noProof/>
        </w:rPr>
        <w:tab/>
      </w:r>
      <w:r w:rsidRPr="00524366">
        <w:rPr>
          <w:noProof/>
        </w:rPr>
        <w:fldChar w:fldCharType="begin"/>
      </w:r>
      <w:r w:rsidRPr="00524366">
        <w:rPr>
          <w:noProof/>
        </w:rPr>
        <w:instrText xml:space="preserve"> PAGEREF _Toc523139870 \h </w:instrText>
      </w:r>
      <w:r w:rsidRPr="00524366">
        <w:rPr>
          <w:noProof/>
        </w:rPr>
      </w:r>
      <w:r w:rsidRPr="00524366">
        <w:rPr>
          <w:noProof/>
        </w:rPr>
        <w:fldChar w:fldCharType="separate"/>
      </w:r>
      <w:r w:rsidRPr="00524366">
        <w:rPr>
          <w:noProof/>
        </w:rPr>
        <w:t>19</w:t>
      </w:r>
      <w:r w:rsidRPr="00524366">
        <w:rPr>
          <w:noProof/>
        </w:rPr>
        <w:fldChar w:fldCharType="end"/>
      </w:r>
    </w:p>
    <w:p w14:paraId="36B25ACF"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3.1.</w:t>
      </w:r>
      <w:r w:rsidRPr="00524366">
        <w:rPr>
          <w:rFonts w:eastAsiaTheme="minorEastAsia"/>
          <w:noProof/>
          <w:color w:val="auto"/>
          <w:szCs w:val="24"/>
          <w:lang w:eastAsia="cs-CZ"/>
        </w:rPr>
        <w:tab/>
      </w:r>
      <w:r w:rsidRPr="00524366">
        <w:rPr>
          <w:noProof/>
        </w:rPr>
        <w:t>Omluvitelnost omylu</w:t>
      </w:r>
      <w:r w:rsidRPr="00524366">
        <w:rPr>
          <w:noProof/>
        </w:rPr>
        <w:tab/>
      </w:r>
      <w:r w:rsidRPr="00524366">
        <w:rPr>
          <w:noProof/>
        </w:rPr>
        <w:fldChar w:fldCharType="begin"/>
      </w:r>
      <w:r w:rsidRPr="00524366">
        <w:rPr>
          <w:noProof/>
        </w:rPr>
        <w:instrText xml:space="preserve"> PAGEREF _Toc523139871 \h </w:instrText>
      </w:r>
      <w:r w:rsidRPr="00524366">
        <w:rPr>
          <w:noProof/>
        </w:rPr>
      </w:r>
      <w:r w:rsidRPr="00524366">
        <w:rPr>
          <w:noProof/>
        </w:rPr>
        <w:fldChar w:fldCharType="separate"/>
      </w:r>
      <w:r w:rsidRPr="00524366">
        <w:rPr>
          <w:noProof/>
        </w:rPr>
        <w:t>21</w:t>
      </w:r>
      <w:r w:rsidRPr="00524366">
        <w:rPr>
          <w:noProof/>
        </w:rPr>
        <w:fldChar w:fldCharType="end"/>
      </w:r>
    </w:p>
    <w:p w14:paraId="73529801" w14:textId="77777777"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4.</w:t>
      </w:r>
      <w:r w:rsidRPr="00524366">
        <w:rPr>
          <w:rFonts w:eastAsiaTheme="minorEastAsia"/>
          <w:b w:val="0"/>
          <w:bCs w:val="0"/>
          <w:noProof/>
          <w:color w:val="auto"/>
          <w:szCs w:val="24"/>
          <w:lang w:eastAsia="cs-CZ"/>
        </w:rPr>
        <w:tab/>
      </w:r>
      <w:r w:rsidRPr="00524366">
        <w:rPr>
          <w:noProof/>
        </w:rPr>
        <w:t>Error essentialis, error probabilis</w:t>
      </w:r>
      <w:r w:rsidRPr="00524366">
        <w:rPr>
          <w:noProof/>
        </w:rPr>
        <w:tab/>
      </w:r>
      <w:r w:rsidRPr="00524366">
        <w:rPr>
          <w:noProof/>
        </w:rPr>
        <w:fldChar w:fldCharType="begin"/>
      </w:r>
      <w:r w:rsidRPr="00524366">
        <w:rPr>
          <w:noProof/>
        </w:rPr>
        <w:instrText xml:space="preserve"> PAGEREF _Toc523139872 \h </w:instrText>
      </w:r>
      <w:r w:rsidRPr="00524366">
        <w:rPr>
          <w:noProof/>
        </w:rPr>
      </w:r>
      <w:r w:rsidRPr="00524366">
        <w:rPr>
          <w:noProof/>
        </w:rPr>
        <w:fldChar w:fldCharType="separate"/>
      </w:r>
      <w:r w:rsidRPr="00524366">
        <w:rPr>
          <w:noProof/>
        </w:rPr>
        <w:t>23</w:t>
      </w:r>
      <w:r w:rsidRPr="00524366">
        <w:rPr>
          <w:noProof/>
        </w:rPr>
        <w:fldChar w:fldCharType="end"/>
      </w:r>
    </w:p>
    <w:p w14:paraId="429E5247" w14:textId="77777777" w:rsidR="00945DAE" w:rsidRPr="00524366" w:rsidRDefault="00945DAE">
      <w:pPr>
        <w:pStyle w:val="Obsah3"/>
        <w:tabs>
          <w:tab w:val="left" w:pos="1200"/>
          <w:tab w:val="right" w:leader="dot" w:pos="9055"/>
        </w:tabs>
        <w:rPr>
          <w:rFonts w:eastAsiaTheme="minorEastAsia"/>
          <w:iCs w:val="0"/>
          <w:noProof/>
          <w:color w:val="auto"/>
          <w:szCs w:val="24"/>
          <w:lang w:eastAsia="cs-CZ"/>
        </w:rPr>
      </w:pPr>
      <w:r w:rsidRPr="00524366">
        <w:rPr>
          <w:noProof/>
        </w:rPr>
        <w:t>4.1.</w:t>
      </w:r>
      <w:r w:rsidRPr="00524366">
        <w:rPr>
          <w:rFonts w:eastAsiaTheme="minorEastAsia"/>
          <w:iCs w:val="0"/>
          <w:noProof/>
          <w:color w:val="auto"/>
          <w:szCs w:val="24"/>
          <w:lang w:eastAsia="cs-CZ"/>
        </w:rPr>
        <w:tab/>
      </w:r>
      <w:r w:rsidRPr="00524366">
        <w:rPr>
          <w:noProof/>
        </w:rPr>
        <w:t>Error in persona</w:t>
      </w:r>
      <w:r w:rsidRPr="00524366">
        <w:rPr>
          <w:noProof/>
        </w:rPr>
        <w:tab/>
      </w:r>
      <w:r w:rsidRPr="00524366">
        <w:rPr>
          <w:noProof/>
        </w:rPr>
        <w:fldChar w:fldCharType="begin"/>
      </w:r>
      <w:r w:rsidRPr="00524366">
        <w:rPr>
          <w:noProof/>
        </w:rPr>
        <w:instrText xml:space="preserve"> PAGEREF _Toc523139873 \h </w:instrText>
      </w:r>
      <w:r w:rsidRPr="00524366">
        <w:rPr>
          <w:noProof/>
        </w:rPr>
      </w:r>
      <w:r w:rsidRPr="00524366">
        <w:rPr>
          <w:noProof/>
        </w:rPr>
        <w:fldChar w:fldCharType="separate"/>
      </w:r>
      <w:r w:rsidRPr="00524366">
        <w:rPr>
          <w:noProof/>
        </w:rPr>
        <w:t>23</w:t>
      </w:r>
      <w:r w:rsidRPr="00524366">
        <w:rPr>
          <w:noProof/>
        </w:rPr>
        <w:fldChar w:fldCharType="end"/>
      </w:r>
    </w:p>
    <w:p w14:paraId="4EC747A2" w14:textId="77777777" w:rsidR="00945DAE" w:rsidRPr="00524366" w:rsidRDefault="00945DAE">
      <w:pPr>
        <w:pStyle w:val="Obsah3"/>
        <w:tabs>
          <w:tab w:val="left" w:pos="1200"/>
          <w:tab w:val="right" w:leader="dot" w:pos="9055"/>
        </w:tabs>
        <w:rPr>
          <w:rFonts w:eastAsiaTheme="minorEastAsia"/>
          <w:iCs w:val="0"/>
          <w:noProof/>
          <w:color w:val="auto"/>
          <w:szCs w:val="24"/>
          <w:lang w:eastAsia="cs-CZ"/>
        </w:rPr>
      </w:pPr>
      <w:r w:rsidRPr="00524366">
        <w:rPr>
          <w:noProof/>
        </w:rPr>
        <w:t>4.2.</w:t>
      </w:r>
      <w:r w:rsidRPr="00524366">
        <w:rPr>
          <w:rFonts w:eastAsiaTheme="minorEastAsia"/>
          <w:iCs w:val="0"/>
          <w:noProof/>
          <w:color w:val="auto"/>
          <w:szCs w:val="24"/>
          <w:lang w:eastAsia="cs-CZ"/>
        </w:rPr>
        <w:tab/>
      </w:r>
      <w:r w:rsidRPr="00524366">
        <w:rPr>
          <w:noProof/>
        </w:rPr>
        <w:t>Error in negotio</w:t>
      </w:r>
      <w:r w:rsidRPr="00524366">
        <w:rPr>
          <w:noProof/>
        </w:rPr>
        <w:tab/>
      </w:r>
      <w:r w:rsidRPr="00524366">
        <w:rPr>
          <w:noProof/>
        </w:rPr>
        <w:fldChar w:fldCharType="begin"/>
      </w:r>
      <w:r w:rsidRPr="00524366">
        <w:rPr>
          <w:noProof/>
        </w:rPr>
        <w:instrText xml:space="preserve"> PAGEREF _Toc523139874 \h </w:instrText>
      </w:r>
      <w:r w:rsidRPr="00524366">
        <w:rPr>
          <w:noProof/>
        </w:rPr>
      </w:r>
      <w:r w:rsidRPr="00524366">
        <w:rPr>
          <w:noProof/>
        </w:rPr>
        <w:fldChar w:fldCharType="separate"/>
      </w:r>
      <w:r w:rsidRPr="00524366">
        <w:rPr>
          <w:noProof/>
        </w:rPr>
        <w:t>25</w:t>
      </w:r>
      <w:r w:rsidRPr="00524366">
        <w:rPr>
          <w:noProof/>
        </w:rPr>
        <w:fldChar w:fldCharType="end"/>
      </w:r>
    </w:p>
    <w:p w14:paraId="4E13E386" w14:textId="77777777" w:rsidR="00945DAE" w:rsidRPr="00524366" w:rsidRDefault="00945DAE">
      <w:pPr>
        <w:pStyle w:val="Obsah3"/>
        <w:tabs>
          <w:tab w:val="left" w:pos="1200"/>
          <w:tab w:val="right" w:leader="dot" w:pos="9055"/>
        </w:tabs>
        <w:rPr>
          <w:rFonts w:eastAsiaTheme="minorEastAsia"/>
          <w:iCs w:val="0"/>
          <w:noProof/>
          <w:color w:val="auto"/>
          <w:szCs w:val="24"/>
          <w:lang w:eastAsia="cs-CZ"/>
        </w:rPr>
      </w:pPr>
      <w:r w:rsidRPr="00524366">
        <w:rPr>
          <w:noProof/>
        </w:rPr>
        <w:t>4.3.</w:t>
      </w:r>
      <w:r w:rsidRPr="00524366">
        <w:rPr>
          <w:rFonts w:eastAsiaTheme="minorEastAsia"/>
          <w:iCs w:val="0"/>
          <w:noProof/>
          <w:color w:val="auto"/>
          <w:szCs w:val="24"/>
          <w:lang w:eastAsia="cs-CZ"/>
        </w:rPr>
        <w:tab/>
      </w:r>
      <w:r w:rsidRPr="00524366">
        <w:rPr>
          <w:noProof/>
        </w:rPr>
        <w:t>Error in corpore</w:t>
      </w:r>
      <w:r w:rsidRPr="00524366">
        <w:rPr>
          <w:noProof/>
        </w:rPr>
        <w:tab/>
      </w:r>
      <w:r w:rsidRPr="00524366">
        <w:rPr>
          <w:noProof/>
        </w:rPr>
        <w:fldChar w:fldCharType="begin"/>
      </w:r>
      <w:r w:rsidRPr="00524366">
        <w:rPr>
          <w:noProof/>
        </w:rPr>
        <w:instrText xml:space="preserve"> PAGEREF _Toc523139875 \h </w:instrText>
      </w:r>
      <w:r w:rsidRPr="00524366">
        <w:rPr>
          <w:noProof/>
        </w:rPr>
      </w:r>
      <w:r w:rsidRPr="00524366">
        <w:rPr>
          <w:noProof/>
        </w:rPr>
        <w:fldChar w:fldCharType="separate"/>
      </w:r>
      <w:r w:rsidRPr="00524366">
        <w:rPr>
          <w:noProof/>
        </w:rPr>
        <w:t>26</w:t>
      </w:r>
      <w:r w:rsidRPr="00524366">
        <w:rPr>
          <w:noProof/>
        </w:rPr>
        <w:fldChar w:fldCharType="end"/>
      </w:r>
    </w:p>
    <w:p w14:paraId="6C0C6511" w14:textId="77777777" w:rsidR="00945DAE" w:rsidRPr="00524366" w:rsidRDefault="00945DAE">
      <w:pPr>
        <w:pStyle w:val="Obsah3"/>
        <w:tabs>
          <w:tab w:val="left" w:pos="1200"/>
          <w:tab w:val="right" w:leader="dot" w:pos="9055"/>
        </w:tabs>
        <w:rPr>
          <w:rFonts w:eastAsiaTheme="minorEastAsia"/>
          <w:iCs w:val="0"/>
          <w:noProof/>
          <w:color w:val="auto"/>
          <w:szCs w:val="24"/>
          <w:lang w:eastAsia="cs-CZ"/>
        </w:rPr>
      </w:pPr>
      <w:r w:rsidRPr="00524366">
        <w:rPr>
          <w:noProof/>
        </w:rPr>
        <w:t>4.4.</w:t>
      </w:r>
      <w:r w:rsidRPr="00524366">
        <w:rPr>
          <w:rFonts w:eastAsiaTheme="minorEastAsia"/>
          <w:iCs w:val="0"/>
          <w:noProof/>
          <w:color w:val="auto"/>
          <w:szCs w:val="24"/>
          <w:lang w:eastAsia="cs-CZ"/>
        </w:rPr>
        <w:tab/>
      </w:r>
      <w:r w:rsidRPr="00524366">
        <w:rPr>
          <w:noProof/>
        </w:rPr>
        <w:t>Error in qualitate</w:t>
      </w:r>
      <w:r w:rsidRPr="00524366">
        <w:rPr>
          <w:noProof/>
        </w:rPr>
        <w:tab/>
      </w:r>
      <w:r w:rsidRPr="00524366">
        <w:rPr>
          <w:noProof/>
        </w:rPr>
        <w:fldChar w:fldCharType="begin"/>
      </w:r>
      <w:r w:rsidRPr="00524366">
        <w:rPr>
          <w:noProof/>
        </w:rPr>
        <w:instrText xml:space="preserve"> PAGEREF _Toc523139876 \h </w:instrText>
      </w:r>
      <w:r w:rsidRPr="00524366">
        <w:rPr>
          <w:noProof/>
        </w:rPr>
      </w:r>
      <w:r w:rsidRPr="00524366">
        <w:rPr>
          <w:noProof/>
        </w:rPr>
        <w:fldChar w:fldCharType="separate"/>
      </w:r>
      <w:r w:rsidRPr="00524366">
        <w:rPr>
          <w:noProof/>
        </w:rPr>
        <w:t>28</w:t>
      </w:r>
      <w:r w:rsidRPr="00524366">
        <w:rPr>
          <w:noProof/>
        </w:rPr>
        <w:fldChar w:fldCharType="end"/>
      </w:r>
    </w:p>
    <w:p w14:paraId="328E31C4" w14:textId="77777777" w:rsidR="00945DAE" w:rsidRPr="00524366" w:rsidRDefault="00945DAE">
      <w:pPr>
        <w:pStyle w:val="Obsah3"/>
        <w:tabs>
          <w:tab w:val="left" w:pos="1440"/>
          <w:tab w:val="right" w:leader="dot" w:pos="9055"/>
        </w:tabs>
        <w:rPr>
          <w:rFonts w:eastAsiaTheme="minorEastAsia"/>
          <w:iCs w:val="0"/>
          <w:noProof/>
          <w:color w:val="auto"/>
          <w:szCs w:val="24"/>
          <w:lang w:eastAsia="cs-CZ"/>
        </w:rPr>
      </w:pPr>
      <w:r w:rsidRPr="00524366">
        <w:rPr>
          <w:noProof/>
        </w:rPr>
        <w:t>4.4.1.</w:t>
      </w:r>
      <w:r w:rsidRPr="00524366">
        <w:rPr>
          <w:rFonts w:eastAsiaTheme="minorEastAsia"/>
          <w:iCs w:val="0"/>
          <w:noProof/>
          <w:color w:val="auto"/>
          <w:szCs w:val="24"/>
          <w:lang w:eastAsia="cs-CZ"/>
        </w:rPr>
        <w:tab/>
      </w:r>
      <w:r w:rsidRPr="00524366">
        <w:rPr>
          <w:noProof/>
        </w:rPr>
        <w:t>Error in substantia (materia)</w:t>
      </w:r>
      <w:r w:rsidRPr="00524366">
        <w:rPr>
          <w:noProof/>
        </w:rPr>
        <w:tab/>
      </w:r>
      <w:r w:rsidRPr="00524366">
        <w:rPr>
          <w:noProof/>
        </w:rPr>
        <w:fldChar w:fldCharType="begin"/>
      </w:r>
      <w:r w:rsidRPr="00524366">
        <w:rPr>
          <w:noProof/>
        </w:rPr>
        <w:instrText xml:space="preserve"> PAGEREF _Toc523139877 \h </w:instrText>
      </w:r>
      <w:r w:rsidRPr="00524366">
        <w:rPr>
          <w:noProof/>
        </w:rPr>
      </w:r>
      <w:r w:rsidRPr="00524366">
        <w:rPr>
          <w:noProof/>
        </w:rPr>
        <w:fldChar w:fldCharType="separate"/>
      </w:r>
      <w:r w:rsidRPr="00524366">
        <w:rPr>
          <w:noProof/>
        </w:rPr>
        <w:t>28</w:t>
      </w:r>
      <w:r w:rsidRPr="00524366">
        <w:rPr>
          <w:noProof/>
        </w:rPr>
        <w:fldChar w:fldCharType="end"/>
      </w:r>
    </w:p>
    <w:p w14:paraId="1417F7F5" w14:textId="77777777" w:rsidR="00945DAE" w:rsidRPr="00524366" w:rsidRDefault="00945DAE">
      <w:pPr>
        <w:pStyle w:val="Obsah3"/>
        <w:tabs>
          <w:tab w:val="left" w:pos="1440"/>
          <w:tab w:val="right" w:leader="dot" w:pos="9055"/>
        </w:tabs>
        <w:rPr>
          <w:rFonts w:eastAsiaTheme="minorEastAsia"/>
          <w:iCs w:val="0"/>
          <w:noProof/>
          <w:color w:val="auto"/>
          <w:szCs w:val="24"/>
          <w:lang w:eastAsia="cs-CZ"/>
        </w:rPr>
      </w:pPr>
      <w:r w:rsidRPr="00524366">
        <w:rPr>
          <w:noProof/>
        </w:rPr>
        <w:t>4.4.2.</w:t>
      </w:r>
      <w:r w:rsidRPr="00524366">
        <w:rPr>
          <w:rFonts w:eastAsiaTheme="minorEastAsia"/>
          <w:iCs w:val="0"/>
          <w:noProof/>
          <w:color w:val="auto"/>
          <w:szCs w:val="24"/>
          <w:lang w:eastAsia="cs-CZ"/>
        </w:rPr>
        <w:tab/>
      </w:r>
      <w:r w:rsidRPr="00524366">
        <w:rPr>
          <w:noProof/>
        </w:rPr>
        <w:t>Error in virgintate</w:t>
      </w:r>
      <w:r w:rsidRPr="00524366">
        <w:rPr>
          <w:noProof/>
        </w:rPr>
        <w:tab/>
      </w:r>
      <w:r w:rsidRPr="00524366">
        <w:rPr>
          <w:noProof/>
        </w:rPr>
        <w:fldChar w:fldCharType="begin"/>
      </w:r>
      <w:r w:rsidRPr="00524366">
        <w:rPr>
          <w:noProof/>
        </w:rPr>
        <w:instrText xml:space="preserve"> PAGEREF _Toc523139878 \h </w:instrText>
      </w:r>
      <w:r w:rsidRPr="00524366">
        <w:rPr>
          <w:noProof/>
        </w:rPr>
      </w:r>
      <w:r w:rsidRPr="00524366">
        <w:rPr>
          <w:noProof/>
        </w:rPr>
        <w:fldChar w:fldCharType="separate"/>
      </w:r>
      <w:r w:rsidRPr="00524366">
        <w:rPr>
          <w:noProof/>
        </w:rPr>
        <w:t>30</w:t>
      </w:r>
      <w:r w:rsidRPr="00524366">
        <w:rPr>
          <w:noProof/>
        </w:rPr>
        <w:fldChar w:fldCharType="end"/>
      </w:r>
    </w:p>
    <w:p w14:paraId="76903DFA" w14:textId="77777777" w:rsidR="00945DAE" w:rsidRPr="00524366" w:rsidRDefault="00945DAE">
      <w:pPr>
        <w:pStyle w:val="Obsah3"/>
        <w:tabs>
          <w:tab w:val="left" w:pos="1200"/>
          <w:tab w:val="right" w:leader="dot" w:pos="9055"/>
        </w:tabs>
        <w:rPr>
          <w:rFonts w:eastAsiaTheme="minorEastAsia"/>
          <w:iCs w:val="0"/>
          <w:noProof/>
          <w:color w:val="auto"/>
          <w:szCs w:val="24"/>
          <w:lang w:eastAsia="cs-CZ"/>
        </w:rPr>
      </w:pPr>
      <w:r w:rsidRPr="00524366">
        <w:rPr>
          <w:noProof/>
        </w:rPr>
        <w:t>4.5.</w:t>
      </w:r>
      <w:r w:rsidRPr="00524366">
        <w:rPr>
          <w:rFonts w:eastAsiaTheme="minorEastAsia"/>
          <w:iCs w:val="0"/>
          <w:noProof/>
          <w:color w:val="auto"/>
          <w:szCs w:val="24"/>
          <w:lang w:eastAsia="cs-CZ"/>
        </w:rPr>
        <w:tab/>
      </w:r>
      <w:r w:rsidRPr="00524366">
        <w:rPr>
          <w:noProof/>
        </w:rPr>
        <w:t>Error in sexu</w:t>
      </w:r>
      <w:r w:rsidRPr="00524366">
        <w:rPr>
          <w:noProof/>
        </w:rPr>
        <w:tab/>
      </w:r>
      <w:r w:rsidRPr="00524366">
        <w:rPr>
          <w:noProof/>
        </w:rPr>
        <w:fldChar w:fldCharType="begin"/>
      </w:r>
      <w:r w:rsidRPr="00524366">
        <w:rPr>
          <w:noProof/>
        </w:rPr>
        <w:instrText xml:space="preserve"> PAGEREF _Toc523139879 \h </w:instrText>
      </w:r>
      <w:r w:rsidRPr="00524366">
        <w:rPr>
          <w:noProof/>
        </w:rPr>
      </w:r>
      <w:r w:rsidRPr="00524366">
        <w:rPr>
          <w:noProof/>
        </w:rPr>
        <w:fldChar w:fldCharType="separate"/>
      </w:r>
      <w:r w:rsidRPr="00524366">
        <w:rPr>
          <w:noProof/>
        </w:rPr>
        <w:t>30</w:t>
      </w:r>
      <w:r w:rsidRPr="00524366">
        <w:rPr>
          <w:noProof/>
        </w:rPr>
        <w:fldChar w:fldCharType="end"/>
      </w:r>
    </w:p>
    <w:p w14:paraId="16A6A712" w14:textId="77777777"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5.</w:t>
      </w:r>
      <w:r w:rsidRPr="00524366">
        <w:rPr>
          <w:rFonts w:eastAsiaTheme="minorEastAsia"/>
          <w:b w:val="0"/>
          <w:bCs w:val="0"/>
          <w:noProof/>
          <w:color w:val="auto"/>
          <w:szCs w:val="24"/>
          <w:lang w:eastAsia="cs-CZ"/>
        </w:rPr>
        <w:tab/>
      </w:r>
      <w:r w:rsidRPr="00524366">
        <w:rPr>
          <w:noProof/>
        </w:rPr>
        <w:t>Odraz justiniánského pojímání omylu v moderní právní úpravě</w:t>
      </w:r>
      <w:r w:rsidRPr="00524366">
        <w:rPr>
          <w:noProof/>
        </w:rPr>
        <w:tab/>
      </w:r>
      <w:r w:rsidRPr="00524366">
        <w:rPr>
          <w:noProof/>
        </w:rPr>
        <w:fldChar w:fldCharType="begin"/>
      </w:r>
      <w:r w:rsidRPr="00524366">
        <w:rPr>
          <w:noProof/>
        </w:rPr>
        <w:instrText xml:space="preserve"> PAGEREF _Toc523139880 \h </w:instrText>
      </w:r>
      <w:r w:rsidRPr="00524366">
        <w:rPr>
          <w:noProof/>
        </w:rPr>
      </w:r>
      <w:r w:rsidRPr="00524366">
        <w:rPr>
          <w:noProof/>
        </w:rPr>
        <w:fldChar w:fldCharType="separate"/>
      </w:r>
      <w:r w:rsidRPr="00524366">
        <w:rPr>
          <w:noProof/>
        </w:rPr>
        <w:t>32</w:t>
      </w:r>
      <w:r w:rsidRPr="00524366">
        <w:rPr>
          <w:noProof/>
        </w:rPr>
        <w:fldChar w:fldCharType="end"/>
      </w:r>
    </w:p>
    <w:p w14:paraId="12640BC6"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5.1.</w:t>
      </w:r>
      <w:r w:rsidRPr="00524366">
        <w:rPr>
          <w:rFonts w:eastAsiaTheme="minorEastAsia"/>
          <w:noProof/>
          <w:color w:val="auto"/>
          <w:szCs w:val="24"/>
          <w:lang w:eastAsia="cs-CZ"/>
        </w:rPr>
        <w:tab/>
      </w:r>
      <w:r w:rsidRPr="00524366">
        <w:rPr>
          <w:noProof/>
        </w:rPr>
        <w:t>Obecný zákoník občanský (ABGB)</w:t>
      </w:r>
      <w:r w:rsidRPr="00524366">
        <w:rPr>
          <w:noProof/>
        </w:rPr>
        <w:tab/>
      </w:r>
      <w:r w:rsidRPr="00524366">
        <w:rPr>
          <w:noProof/>
        </w:rPr>
        <w:fldChar w:fldCharType="begin"/>
      </w:r>
      <w:r w:rsidRPr="00524366">
        <w:rPr>
          <w:noProof/>
        </w:rPr>
        <w:instrText xml:space="preserve"> PAGEREF _Toc523139881 \h </w:instrText>
      </w:r>
      <w:r w:rsidRPr="00524366">
        <w:rPr>
          <w:noProof/>
        </w:rPr>
      </w:r>
      <w:r w:rsidRPr="00524366">
        <w:rPr>
          <w:noProof/>
        </w:rPr>
        <w:fldChar w:fldCharType="separate"/>
      </w:r>
      <w:r w:rsidRPr="00524366">
        <w:rPr>
          <w:noProof/>
        </w:rPr>
        <w:t>32</w:t>
      </w:r>
      <w:r w:rsidRPr="00524366">
        <w:rPr>
          <w:noProof/>
        </w:rPr>
        <w:fldChar w:fldCharType="end"/>
      </w:r>
    </w:p>
    <w:p w14:paraId="2324612E"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5.2.</w:t>
      </w:r>
      <w:r w:rsidRPr="00524366">
        <w:rPr>
          <w:rFonts w:eastAsiaTheme="minorEastAsia"/>
          <w:noProof/>
          <w:color w:val="auto"/>
          <w:szCs w:val="24"/>
          <w:lang w:eastAsia="cs-CZ"/>
        </w:rPr>
        <w:tab/>
      </w:r>
      <w:r w:rsidRPr="00524366">
        <w:rPr>
          <w:noProof/>
        </w:rPr>
        <w:t>OZ 1950 (též nazývaný střední občanský zákoník)</w:t>
      </w:r>
      <w:r w:rsidRPr="00524366">
        <w:rPr>
          <w:noProof/>
        </w:rPr>
        <w:tab/>
      </w:r>
      <w:r w:rsidRPr="00524366">
        <w:rPr>
          <w:noProof/>
        </w:rPr>
        <w:fldChar w:fldCharType="begin"/>
      </w:r>
      <w:r w:rsidRPr="00524366">
        <w:rPr>
          <w:noProof/>
        </w:rPr>
        <w:instrText xml:space="preserve"> PAGEREF _Toc523139882 \h </w:instrText>
      </w:r>
      <w:r w:rsidRPr="00524366">
        <w:rPr>
          <w:noProof/>
        </w:rPr>
      </w:r>
      <w:r w:rsidRPr="00524366">
        <w:rPr>
          <w:noProof/>
        </w:rPr>
        <w:fldChar w:fldCharType="separate"/>
      </w:r>
      <w:r w:rsidRPr="00524366">
        <w:rPr>
          <w:noProof/>
        </w:rPr>
        <w:t>33</w:t>
      </w:r>
      <w:r w:rsidRPr="00524366">
        <w:rPr>
          <w:noProof/>
        </w:rPr>
        <w:fldChar w:fldCharType="end"/>
      </w:r>
    </w:p>
    <w:p w14:paraId="45B0E8AB"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5.3.</w:t>
      </w:r>
      <w:r w:rsidRPr="00524366">
        <w:rPr>
          <w:rFonts w:eastAsiaTheme="minorEastAsia"/>
          <w:noProof/>
          <w:color w:val="auto"/>
          <w:szCs w:val="24"/>
          <w:lang w:eastAsia="cs-CZ"/>
        </w:rPr>
        <w:tab/>
      </w:r>
      <w:r w:rsidRPr="00524366">
        <w:rPr>
          <w:noProof/>
        </w:rPr>
        <w:t>OZ 1964</w:t>
      </w:r>
      <w:r w:rsidRPr="00524366">
        <w:rPr>
          <w:noProof/>
        </w:rPr>
        <w:tab/>
      </w:r>
      <w:r w:rsidRPr="00524366">
        <w:rPr>
          <w:noProof/>
        </w:rPr>
        <w:fldChar w:fldCharType="begin"/>
      </w:r>
      <w:r w:rsidRPr="00524366">
        <w:rPr>
          <w:noProof/>
        </w:rPr>
        <w:instrText xml:space="preserve"> PAGEREF _Toc523139883 \h </w:instrText>
      </w:r>
      <w:r w:rsidRPr="00524366">
        <w:rPr>
          <w:noProof/>
        </w:rPr>
      </w:r>
      <w:r w:rsidRPr="00524366">
        <w:rPr>
          <w:noProof/>
        </w:rPr>
        <w:fldChar w:fldCharType="separate"/>
      </w:r>
      <w:r w:rsidRPr="00524366">
        <w:rPr>
          <w:noProof/>
        </w:rPr>
        <w:t>34</w:t>
      </w:r>
      <w:r w:rsidRPr="00524366">
        <w:rPr>
          <w:noProof/>
        </w:rPr>
        <w:fldChar w:fldCharType="end"/>
      </w:r>
    </w:p>
    <w:p w14:paraId="2EDAC27C" w14:textId="77777777" w:rsidR="00945DAE" w:rsidRPr="00524366" w:rsidRDefault="00945DAE">
      <w:pPr>
        <w:pStyle w:val="Obsah1"/>
        <w:tabs>
          <w:tab w:val="left" w:pos="480"/>
          <w:tab w:val="right" w:leader="dot" w:pos="9055"/>
        </w:tabs>
        <w:rPr>
          <w:rFonts w:eastAsiaTheme="minorEastAsia"/>
          <w:b w:val="0"/>
          <w:bCs w:val="0"/>
          <w:noProof/>
          <w:color w:val="auto"/>
          <w:szCs w:val="24"/>
          <w:lang w:eastAsia="cs-CZ"/>
        </w:rPr>
      </w:pPr>
      <w:r w:rsidRPr="00524366">
        <w:rPr>
          <w:noProof/>
        </w:rPr>
        <w:t>6.</w:t>
      </w:r>
      <w:r w:rsidRPr="00524366">
        <w:rPr>
          <w:rFonts w:eastAsiaTheme="minorEastAsia"/>
          <w:b w:val="0"/>
          <w:bCs w:val="0"/>
          <w:noProof/>
          <w:color w:val="auto"/>
          <w:szCs w:val="24"/>
          <w:lang w:eastAsia="cs-CZ"/>
        </w:rPr>
        <w:tab/>
      </w:r>
      <w:r w:rsidRPr="00524366">
        <w:rPr>
          <w:noProof/>
        </w:rPr>
        <w:t>Omyl v současném právu – dle NOZ</w:t>
      </w:r>
      <w:r w:rsidRPr="00524366">
        <w:rPr>
          <w:noProof/>
        </w:rPr>
        <w:tab/>
      </w:r>
      <w:r w:rsidRPr="00524366">
        <w:rPr>
          <w:noProof/>
        </w:rPr>
        <w:fldChar w:fldCharType="begin"/>
      </w:r>
      <w:r w:rsidRPr="00524366">
        <w:rPr>
          <w:noProof/>
        </w:rPr>
        <w:instrText xml:space="preserve"> PAGEREF _Toc523139884 \h </w:instrText>
      </w:r>
      <w:r w:rsidRPr="00524366">
        <w:rPr>
          <w:noProof/>
        </w:rPr>
      </w:r>
      <w:r w:rsidRPr="00524366">
        <w:rPr>
          <w:noProof/>
        </w:rPr>
        <w:fldChar w:fldCharType="separate"/>
      </w:r>
      <w:r w:rsidRPr="00524366">
        <w:rPr>
          <w:noProof/>
        </w:rPr>
        <w:t>36</w:t>
      </w:r>
      <w:r w:rsidRPr="00524366">
        <w:rPr>
          <w:noProof/>
        </w:rPr>
        <w:fldChar w:fldCharType="end"/>
      </w:r>
    </w:p>
    <w:p w14:paraId="1963EB23"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6.1.</w:t>
      </w:r>
      <w:r w:rsidRPr="00524366">
        <w:rPr>
          <w:rFonts w:eastAsiaTheme="minorEastAsia"/>
          <w:noProof/>
          <w:color w:val="auto"/>
          <w:szCs w:val="24"/>
          <w:lang w:eastAsia="cs-CZ"/>
        </w:rPr>
        <w:tab/>
      </w:r>
      <w:r w:rsidRPr="00524366">
        <w:rPr>
          <w:noProof/>
        </w:rPr>
        <w:t>Typy omylů dle NOZ</w:t>
      </w:r>
      <w:r w:rsidRPr="00524366">
        <w:rPr>
          <w:noProof/>
        </w:rPr>
        <w:tab/>
      </w:r>
      <w:r w:rsidRPr="00524366">
        <w:rPr>
          <w:noProof/>
        </w:rPr>
        <w:fldChar w:fldCharType="begin"/>
      </w:r>
      <w:r w:rsidRPr="00524366">
        <w:rPr>
          <w:noProof/>
        </w:rPr>
        <w:instrText xml:space="preserve"> PAGEREF _Toc523139885 \h </w:instrText>
      </w:r>
      <w:r w:rsidRPr="00524366">
        <w:rPr>
          <w:noProof/>
        </w:rPr>
      </w:r>
      <w:r w:rsidRPr="00524366">
        <w:rPr>
          <w:noProof/>
        </w:rPr>
        <w:fldChar w:fldCharType="separate"/>
      </w:r>
      <w:r w:rsidRPr="00524366">
        <w:rPr>
          <w:noProof/>
        </w:rPr>
        <w:t>39</w:t>
      </w:r>
      <w:r w:rsidRPr="00524366">
        <w:rPr>
          <w:noProof/>
        </w:rPr>
        <w:fldChar w:fldCharType="end"/>
      </w:r>
    </w:p>
    <w:p w14:paraId="29405A42" w14:textId="77777777" w:rsidR="00945DAE" w:rsidRPr="00524366" w:rsidRDefault="00945DAE">
      <w:pPr>
        <w:pStyle w:val="Obsah2"/>
        <w:tabs>
          <w:tab w:val="left" w:pos="960"/>
          <w:tab w:val="right" w:leader="dot" w:pos="9055"/>
        </w:tabs>
        <w:rPr>
          <w:rFonts w:eastAsiaTheme="minorEastAsia"/>
          <w:noProof/>
          <w:color w:val="auto"/>
          <w:szCs w:val="24"/>
          <w:lang w:eastAsia="cs-CZ"/>
        </w:rPr>
      </w:pPr>
      <w:r w:rsidRPr="00524366">
        <w:rPr>
          <w:noProof/>
        </w:rPr>
        <w:t>6.2.</w:t>
      </w:r>
      <w:r w:rsidRPr="00524366">
        <w:rPr>
          <w:rFonts w:eastAsiaTheme="minorEastAsia"/>
          <w:noProof/>
          <w:color w:val="auto"/>
          <w:szCs w:val="24"/>
          <w:lang w:eastAsia="cs-CZ"/>
        </w:rPr>
        <w:tab/>
      </w:r>
      <w:r w:rsidRPr="00524366">
        <w:rPr>
          <w:noProof/>
        </w:rPr>
        <w:t>Omluvitelnost omylu</w:t>
      </w:r>
      <w:r w:rsidRPr="00524366">
        <w:rPr>
          <w:noProof/>
        </w:rPr>
        <w:tab/>
      </w:r>
      <w:r w:rsidRPr="00524366">
        <w:rPr>
          <w:noProof/>
        </w:rPr>
        <w:fldChar w:fldCharType="begin"/>
      </w:r>
      <w:r w:rsidRPr="00524366">
        <w:rPr>
          <w:noProof/>
        </w:rPr>
        <w:instrText xml:space="preserve"> PAGEREF _Toc523139886 \h </w:instrText>
      </w:r>
      <w:r w:rsidRPr="00524366">
        <w:rPr>
          <w:noProof/>
        </w:rPr>
      </w:r>
      <w:r w:rsidRPr="00524366">
        <w:rPr>
          <w:noProof/>
        </w:rPr>
        <w:fldChar w:fldCharType="separate"/>
      </w:r>
      <w:r w:rsidRPr="00524366">
        <w:rPr>
          <w:noProof/>
        </w:rPr>
        <w:t>40</w:t>
      </w:r>
      <w:r w:rsidRPr="00524366">
        <w:rPr>
          <w:noProof/>
        </w:rPr>
        <w:fldChar w:fldCharType="end"/>
      </w:r>
    </w:p>
    <w:p w14:paraId="24D366D4" w14:textId="77777777" w:rsidR="00945DAE" w:rsidRPr="00524366" w:rsidRDefault="00945DAE">
      <w:pPr>
        <w:pStyle w:val="Obsah1"/>
        <w:tabs>
          <w:tab w:val="right" w:leader="dot" w:pos="9055"/>
        </w:tabs>
        <w:rPr>
          <w:rFonts w:eastAsiaTheme="minorEastAsia"/>
          <w:b w:val="0"/>
          <w:bCs w:val="0"/>
          <w:noProof/>
          <w:color w:val="auto"/>
          <w:szCs w:val="24"/>
          <w:lang w:eastAsia="cs-CZ"/>
        </w:rPr>
      </w:pPr>
      <w:r w:rsidRPr="00524366">
        <w:rPr>
          <w:noProof/>
        </w:rPr>
        <w:t>Bibliografie</w:t>
      </w:r>
      <w:r w:rsidRPr="00524366">
        <w:rPr>
          <w:noProof/>
        </w:rPr>
        <w:tab/>
      </w:r>
      <w:r w:rsidRPr="00524366">
        <w:rPr>
          <w:noProof/>
        </w:rPr>
        <w:fldChar w:fldCharType="begin"/>
      </w:r>
      <w:r w:rsidRPr="00524366">
        <w:rPr>
          <w:noProof/>
        </w:rPr>
        <w:instrText xml:space="preserve"> PAGEREF _Toc523139887 \h </w:instrText>
      </w:r>
      <w:r w:rsidRPr="00524366">
        <w:rPr>
          <w:noProof/>
        </w:rPr>
      </w:r>
      <w:r w:rsidRPr="00524366">
        <w:rPr>
          <w:noProof/>
        </w:rPr>
        <w:fldChar w:fldCharType="separate"/>
      </w:r>
      <w:r w:rsidRPr="00524366">
        <w:rPr>
          <w:noProof/>
        </w:rPr>
        <w:t>44</w:t>
      </w:r>
      <w:r w:rsidRPr="00524366">
        <w:rPr>
          <w:noProof/>
        </w:rPr>
        <w:fldChar w:fldCharType="end"/>
      </w:r>
    </w:p>
    <w:p w14:paraId="5D1C861E" w14:textId="77777777" w:rsidR="00945DAE" w:rsidRPr="00524366" w:rsidRDefault="00945DAE">
      <w:pPr>
        <w:pStyle w:val="Obsah1"/>
        <w:tabs>
          <w:tab w:val="right" w:leader="dot" w:pos="9055"/>
        </w:tabs>
        <w:rPr>
          <w:rFonts w:eastAsiaTheme="minorEastAsia"/>
          <w:b w:val="0"/>
          <w:bCs w:val="0"/>
          <w:noProof/>
          <w:color w:val="auto"/>
          <w:szCs w:val="24"/>
          <w:lang w:eastAsia="cs-CZ"/>
        </w:rPr>
      </w:pPr>
      <w:r w:rsidRPr="00524366">
        <w:rPr>
          <w:noProof/>
        </w:rPr>
        <w:t>Abstrakt</w:t>
      </w:r>
      <w:r w:rsidRPr="00524366">
        <w:rPr>
          <w:noProof/>
        </w:rPr>
        <w:tab/>
      </w:r>
      <w:r w:rsidRPr="00524366">
        <w:rPr>
          <w:noProof/>
        </w:rPr>
        <w:fldChar w:fldCharType="begin"/>
      </w:r>
      <w:r w:rsidRPr="00524366">
        <w:rPr>
          <w:noProof/>
        </w:rPr>
        <w:instrText xml:space="preserve"> PAGEREF _Toc523139888 \h </w:instrText>
      </w:r>
      <w:r w:rsidRPr="00524366">
        <w:rPr>
          <w:noProof/>
        </w:rPr>
      </w:r>
      <w:r w:rsidRPr="00524366">
        <w:rPr>
          <w:noProof/>
        </w:rPr>
        <w:fldChar w:fldCharType="separate"/>
      </w:r>
      <w:r w:rsidRPr="00524366">
        <w:rPr>
          <w:noProof/>
        </w:rPr>
        <w:t>47</w:t>
      </w:r>
      <w:r w:rsidRPr="00524366">
        <w:rPr>
          <w:noProof/>
        </w:rPr>
        <w:fldChar w:fldCharType="end"/>
      </w:r>
    </w:p>
    <w:p w14:paraId="2A520218" w14:textId="77777777" w:rsidR="00945DAE" w:rsidRPr="00524366" w:rsidRDefault="00945DAE">
      <w:pPr>
        <w:pStyle w:val="Obsah1"/>
        <w:tabs>
          <w:tab w:val="right" w:leader="dot" w:pos="9055"/>
        </w:tabs>
        <w:rPr>
          <w:rFonts w:eastAsiaTheme="minorEastAsia"/>
          <w:b w:val="0"/>
          <w:bCs w:val="0"/>
          <w:noProof/>
          <w:color w:val="auto"/>
          <w:szCs w:val="24"/>
          <w:lang w:eastAsia="cs-CZ"/>
        </w:rPr>
      </w:pPr>
      <w:r w:rsidRPr="00524366">
        <w:rPr>
          <w:noProof/>
        </w:rPr>
        <w:t>Abstract</w:t>
      </w:r>
      <w:r w:rsidRPr="00524366">
        <w:rPr>
          <w:noProof/>
        </w:rPr>
        <w:tab/>
      </w:r>
      <w:r w:rsidRPr="00524366">
        <w:rPr>
          <w:noProof/>
        </w:rPr>
        <w:fldChar w:fldCharType="begin"/>
      </w:r>
      <w:r w:rsidRPr="00524366">
        <w:rPr>
          <w:noProof/>
        </w:rPr>
        <w:instrText xml:space="preserve"> PAGEREF _Toc523139889 \h </w:instrText>
      </w:r>
      <w:r w:rsidRPr="00524366">
        <w:rPr>
          <w:noProof/>
        </w:rPr>
      </w:r>
      <w:r w:rsidRPr="00524366">
        <w:rPr>
          <w:noProof/>
        </w:rPr>
        <w:fldChar w:fldCharType="separate"/>
      </w:r>
      <w:r w:rsidRPr="00524366">
        <w:rPr>
          <w:noProof/>
        </w:rPr>
        <w:t>47</w:t>
      </w:r>
      <w:r w:rsidRPr="00524366">
        <w:rPr>
          <w:noProof/>
        </w:rPr>
        <w:fldChar w:fldCharType="end"/>
      </w:r>
    </w:p>
    <w:p w14:paraId="27271A5A" w14:textId="77777777" w:rsidR="00945DAE" w:rsidRPr="00524366" w:rsidRDefault="00945DAE">
      <w:pPr>
        <w:pStyle w:val="Obsah1"/>
        <w:tabs>
          <w:tab w:val="right" w:leader="dot" w:pos="9055"/>
        </w:tabs>
        <w:rPr>
          <w:rFonts w:eastAsiaTheme="minorEastAsia"/>
          <w:b w:val="0"/>
          <w:bCs w:val="0"/>
          <w:noProof/>
          <w:color w:val="auto"/>
          <w:szCs w:val="24"/>
          <w:lang w:eastAsia="cs-CZ"/>
        </w:rPr>
      </w:pPr>
      <w:r w:rsidRPr="00524366">
        <w:rPr>
          <w:noProof/>
        </w:rPr>
        <w:t>Klíčová slova</w:t>
      </w:r>
      <w:r w:rsidRPr="00524366">
        <w:rPr>
          <w:noProof/>
        </w:rPr>
        <w:tab/>
      </w:r>
      <w:r w:rsidRPr="00524366">
        <w:rPr>
          <w:noProof/>
        </w:rPr>
        <w:fldChar w:fldCharType="begin"/>
      </w:r>
      <w:r w:rsidRPr="00524366">
        <w:rPr>
          <w:noProof/>
        </w:rPr>
        <w:instrText xml:space="preserve"> PAGEREF _Toc523139890 \h </w:instrText>
      </w:r>
      <w:r w:rsidRPr="00524366">
        <w:rPr>
          <w:noProof/>
        </w:rPr>
      </w:r>
      <w:r w:rsidRPr="00524366">
        <w:rPr>
          <w:noProof/>
        </w:rPr>
        <w:fldChar w:fldCharType="separate"/>
      </w:r>
      <w:r w:rsidRPr="00524366">
        <w:rPr>
          <w:noProof/>
        </w:rPr>
        <w:t>48</w:t>
      </w:r>
      <w:r w:rsidRPr="00524366">
        <w:rPr>
          <w:noProof/>
        </w:rPr>
        <w:fldChar w:fldCharType="end"/>
      </w:r>
    </w:p>
    <w:p w14:paraId="222ABB0D" w14:textId="77777777" w:rsidR="00945DAE" w:rsidRPr="00524366" w:rsidRDefault="00945DAE">
      <w:pPr>
        <w:pStyle w:val="Obsah1"/>
        <w:tabs>
          <w:tab w:val="right" w:leader="dot" w:pos="9055"/>
        </w:tabs>
        <w:rPr>
          <w:rFonts w:eastAsiaTheme="minorEastAsia"/>
          <w:b w:val="0"/>
          <w:bCs w:val="0"/>
          <w:noProof/>
          <w:color w:val="auto"/>
          <w:szCs w:val="24"/>
          <w:lang w:eastAsia="cs-CZ"/>
        </w:rPr>
      </w:pPr>
      <w:r w:rsidRPr="00524366">
        <w:rPr>
          <w:noProof/>
        </w:rPr>
        <w:t>Key words</w:t>
      </w:r>
      <w:r w:rsidRPr="00524366">
        <w:rPr>
          <w:noProof/>
        </w:rPr>
        <w:tab/>
      </w:r>
      <w:r w:rsidRPr="00524366">
        <w:rPr>
          <w:noProof/>
        </w:rPr>
        <w:fldChar w:fldCharType="begin"/>
      </w:r>
      <w:r w:rsidRPr="00524366">
        <w:rPr>
          <w:noProof/>
        </w:rPr>
        <w:instrText xml:space="preserve"> PAGEREF _Toc523139891 \h </w:instrText>
      </w:r>
      <w:r w:rsidRPr="00524366">
        <w:rPr>
          <w:noProof/>
        </w:rPr>
      </w:r>
      <w:r w:rsidRPr="00524366">
        <w:rPr>
          <w:noProof/>
        </w:rPr>
        <w:fldChar w:fldCharType="separate"/>
      </w:r>
      <w:r w:rsidRPr="00524366">
        <w:rPr>
          <w:noProof/>
        </w:rPr>
        <w:t>48</w:t>
      </w:r>
      <w:r w:rsidRPr="00524366">
        <w:rPr>
          <w:noProof/>
        </w:rPr>
        <w:fldChar w:fldCharType="end"/>
      </w:r>
    </w:p>
    <w:p w14:paraId="3DD6861D" w14:textId="53CD0187" w:rsidR="00947B64" w:rsidRPr="00524366" w:rsidRDefault="00945DAE" w:rsidP="00620861">
      <w:pPr>
        <w:pStyle w:val="Obsah3"/>
      </w:pPr>
      <w:r w:rsidRPr="00524366">
        <w:rPr>
          <w:b/>
        </w:rPr>
        <w:fldChar w:fldCharType="end"/>
      </w:r>
    </w:p>
    <w:p w14:paraId="69E3E744" w14:textId="77777777" w:rsidR="00947B64" w:rsidRPr="00524366" w:rsidRDefault="00947B64" w:rsidP="00947B64">
      <w:pPr>
        <w:spacing w:line="360" w:lineRule="auto"/>
        <w:ind w:left="-57"/>
      </w:pPr>
    </w:p>
    <w:p w14:paraId="718B08D1" w14:textId="6BBB2174" w:rsidR="0004440C" w:rsidRPr="00524366" w:rsidRDefault="00947B64" w:rsidP="00620861">
      <w:pPr>
        <w:spacing w:line="360" w:lineRule="auto"/>
        <w:ind w:left="-57"/>
      </w:pPr>
      <w:r w:rsidRPr="00524366">
        <w:t xml:space="preserve"> </w:t>
      </w:r>
    </w:p>
    <w:p w14:paraId="661FC450" w14:textId="50E02869" w:rsidR="006D10CF" w:rsidRPr="00524366" w:rsidRDefault="0004440C" w:rsidP="0004440C">
      <w:r w:rsidRPr="00524366">
        <w:br w:type="page"/>
      </w:r>
    </w:p>
    <w:p w14:paraId="26C0A025" w14:textId="27DB185C" w:rsidR="00947B64" w:rsidRPr="00524366" w:rsidRDefault="00947B64" w:rsidP="00CC238C">
      <w:pPr>
        <w:pStyle w:val="Nadpis1"/>
        <w:ind w:left="0"/>
      </w:pPr>
      <w:bookmarkStart w:id="0" w:name="_Toc523139863"/>
      <w:r w:rsidRPr="00524366">
        <w:lastRenderedPageBreak/>
        <w:t>Seznam zkratek</w:t>
      </w:r>
      <w:bookmarkEnd w:id="0"/>
      <w:r w:rsidRPr="00524366">
        <w:t xml:space="preserve"> </w:t>
      </w:r>
    </w:p>
    <w:p w14:paraId="46CC7E2A" w14:textId="77777777" w:rsidR="00947B64" w:rsidRPr="00524366" w:rsidRDefault="00947B64" w:rsidP="00947B64">
      <w:pPr>
        <w:spacing w:line="360" w:lineRule="auto"/>
        <w:ind w:left="-57"/>
      </w:pPr>
    </w:p>
    <w:p w14:paraId="2E10D91E" w14:textId="53FC608C" w:rsidR="00947B64" w:rsidRPr="00524366" w:rsidRDefault="00947B64" w:rsidP="00947B64">
      <w:pPr>
        <w:spacing w:line="360" w:lineRule="auto"/>
        <w:ind w:left="-57"/>
      </w:pPr>
      <w:r w:rsidRPr="00524366">
        <w:t xml:space="preserve">ABGB – </w:t>
      </w:r>
      <w:r w:rsidR="00533FDA" w:rsidRPr="00524366">
        <w:t xml:space="preserve">z. č. 946/1811 Sb., </w:t>
      </w:r>
      <w:r w:rsidRPr="00524366">
        <w:t xml:space="preserve">rakouský občanský zákoník </w:t>
      </w:r>
    </w:p>
    <w:p w14:paraId="57660ECA" w14:textId="6277A312" w:rsidR="00947B64" w:rsidRPr="00524366" w:rsidRDefault="00947B64" w:rsidP="00947B64">
      <w:pPr>
        <w:spacing w:line="360" w:lineRule="auto"/>
        <w:ind w:left="-57"/>
      </w:pPr>
      <w:r w:rsidRPr="00524366">
        <w:t>BGB – němec</w:t>
      </w:r>
      <w:r w:rsidR="00E326BE" w:rsidRPr="00524366">
        <w:t>k</w:t>
      </w:r>
      <w:r w:rsidRPr="00524366">
        <w:t>ý občanský zákoník</w:t>
      </w:r>
      <w:r w:rsidR="00106085" w:rsidRPr="00524366">
        <w:t xml:space="preserve"> z roku </w:t>
      </w:r>
      <w:r w:rsidR="008E45A3" w:rsidRPr="00524366">
        <w:t xml:space="preserve">1896 </w:t>
      </w:r>
    </w:p>
    <w:p w14:paraId="015252BF" w14:textId="77777777" w:rsidR="00947B64" w:rsidRPr="00524366" w:rsidRDefault="00947B64" w:rsidP="00947B64">
      <w:pPr>
        <w:spacing w:line="360" w:lineRule="auto"/>
        <w:ind w:left="-57"/>
      </w:pPr>
      <w:r w:rsidRPr="00524366">
        <w:t xml:space="preserve">CIC – Corpus Iuris Civilis </w:t>
      </w:r>
    </w:p>
    <w:p w14:paraId="4E3D2A6D" w14:textId="3ED0AECF" w:rsidR="00947B64" w:rsidRPr="00524366" w:rsidRDefault="001D09B7" w:rsidP="00947B64">
      <w:pPr>
        <w:spacing w:line="360" w:lineRule="auto"/>
        <w:ind w:left="-57"/>
      </w:pPr>
      <w:r w:rsidRPr="00524366">
        <w:t>N</w:t>
      </w:r>
      <w:r w:rsidR="00947B64" w:rsidRPr="00524366">
        <w:t xml:space="preserve">OZ – z. č. 89/2012 Sb., občanský zákoník </w:t>
      </w:r>
    </w:p>
    <w:p w14:paraId="1B91648D" w14:textId="2CCC9083" w:rsidR="00947B64" w:rsidRPr="00524366" w:rsidRDefault="001D09B7" w:rsidP="00947B64">
      <w:pPr>
        <w:spacing w:line="360" w:lineRule="auto"/>
        <w:ind w:left="-57"/>
      </w:pPr>
      <w:r w:rsidRPr="00524366">
        <w:t>OZ</w:t>
      </w:r>
      <w:r w:rsidR="00947B64" w:rsidRPr="00524366">
        <w:t xml:space="preserve"> – z. č. 40/1964 Sb., občanský zákoník </w:t>
      </w:r>
    </w:p>
    <w:p w14:paraId="777230C3" w14:textId="4A5DB4C4" w:rsidR="000418EA" w:rsidRPr="00524366" w:rsidRDefault="00947B64" w:rsidP="00947B64">
      <w:pPr>
        <w:spacing w:line="360" w:lineRule="auto"/>
        <w:ind w:left="-57"/>
      </w:pPr>
      <w:r w:rsidRPr="00524366">
        <w:t xml:space="preserve">ZGB – švýcarský občanský zákoník </w:t>
      </w:r>
      <w:r w:rsidR="00106085" w:rsidRPr="00524366">
        <w:t xml:space="preserve">z roku 1907 </w:t>
      </w:r>
    </w:p>
    <w:p w14:paraId="33CB4912" w14:textId="21D6C3DB" w:rsidR="00947B64" w:rsidRPr="00524366" w:rsidRDefault="000418EA" w:rsidP="00947B64">
      <w:pPr>
        <w:spacing w:line="360" w:lineRule="auto"/>
        <w:ind w:left="-57"/>
      </w:pPr>
      <w:r w:rsidRPr="00524366">
        <w:t xml:space="preserve">CT – Codex Theresianus </w:t>
      </w:r>
      <w:r w:rsidR="00212B39" w:rsidRPr="00524366">
        <w:t xml:space="preserve">z roku 1766 </w:t>
      </w:r>
      <w:r w:rsidR="00947B64" w:rsidRPr="00524366">
        <w:br w:type="page"/>
      </w:r>
    </w:p>
    <w:p w14:paraId="18BEF4D5" w14:textId="46DB4FCF" w:rsidR="00947B64" w:rsidRPr="00524366" w:rsidRDefault="00947B64" w:rsidP="00DF7FFA">
      <w:pPr>
        <w:pStyle w:val="Nadpis1"/>
      </w:pPr>
      <w:bookmarkStart w:id="1" w:name="_Toc523139864"/>
      <w:r w:rsidRPr="00524366">
        <w:lastRenderedPageBreak/>
        <w:t>Úvod</w:t>
      </w:r>
      <w:bookmarkEnd w:id="1"/>
      <w:r w:rsidRPr="00524366">
        <w:t xml:space="preserve"> </w:t>
      </w:r>
    </w:p>
    <w:p w14:paraId="70C3592E" w14:textId="39BFA678" w:rsidR="00947B64" w:rsidRPr="00524366" w:rsidRDefault="00947B64" w:rsidP="00947B64">
      <w:pPr>
        <w:spacing w:line="360" w:lineRule="auto"/>
        <w:ind w:firstLine="708"/>
        <w:jc w:val="both"/>
      </w:pPr>
      <w:r w:rsidRPr="00524366">
        <w:t xml:space="preserve">Je všeobecně známo, </w:t>
      </w:r>
      <w:r w:rsidR="00714BC6" w:rsidRPr="00524366">
        <w:t>že římské právo</w:t>
      </w:r>
      <w:r w:rsidRPr="00524366">
        <w:t xml:space="preserve"> je důležitou součástí studijního programu právnických</w:t>
      </w:r>
      <w:r w:rsidR="00D66BAE" w:rsidRPr="00524366">
        <w:t xml:space="preserve"> fakult nejen v České republice. P</w:t>
      </w:r>
      <w:r w:rsidRPr="00524366">
        <w:t xml:space="preserve">roč tomu tak je objasnil již L. Heyrovský: </w:t>
      </w:r>
      <w:r w:rsidRPr="00524366">
        <w:rPr>
          <w:i/>
        </w:rPr>
        <w:t>„Nauka o právu římském jest podnes počátkem vyučování právnického. Příčinou toho jest především okolnost ta, že moderní právo soukromé zakládá se na právu římském. Ponenáhlým, několik století vyplňujícím vývojem historickým, který byl dovršen ve věku 16. a 17., stalo se soukromé právo, obsažené v právních sbírkách a zákonech byzantského císaře Justiniana (527-565 po Kr.), v tom onom pozměněné, platným téměř v celé jižní a střední Evropě, zvláště také v zemích českých.“</w:t>
      </w:r>
      <w:r w:rsidRPr="00524366">
        <w:rPr>
          <w:rStyle w:val="Znakapoznpodarou"/>
          <w:i/>
        </w:rPr>
        <w:footnoteReference w:id="1"/>
      </w:r>
      <w:r w:rsidRPr="00524366">
        <w:rPr>
          <w:i/>
        </w:rPr>
        <w:t xml:space="preserve"> </w:t>
      </w:r>
      <w:r w:rsidRPr="00524366">
        <w:t>Římské právo se vyvíjelo po mnoho staletí a jednalo se o nejdokonalejší právní řád starověku, jenž se přes recepci dostal i do současných občanských zákoníků – římské právo tedy není jenom právem historickým, ale jedná se o právo, které do našeho právního řádu (i právních řádů jiných států) přineslo některé institu</w:t>
      </w:r>
      <w:r w:rsidR="003F0B6E" w:rsidRPr="00524366">
        <w:t>ty, pojmy a základní zásady, je</w:t>
      </w:r>
      <w:r w:rsidRPr="00524366">
        <w:t>ž jsou zdrojem pro dnešní platné právo. Koncem 18. století docházelo v jednotlivých evropských státech k postupné kodifikaci soukromého práva a tím byla úplně odstraněna formální platnost pandektního práva.</w:t>
      </w:r>
      <w:r w:rsidR="00FB0BC7" w:rsidRPr="00524366">
        <w:rPr>
          <w:rStyle w:val="Znakapoznpodarou"/>
        </w:rPr>
        <w:footnoteReference w:id="2"/>
      </w:r>
      <w:r w:rsidRPr="00524366">
        <w:t xml:space="preserve"> Tímto však úloha římského práva neskončila, naopak se právo římské stalo zdrojem pro poznání a pochopení platného práva soukromého. Nelze také přehlédnout fakt, že nové zákoníky, jako je Allgem (zákoník pruský z roku 1764), Code Civil (zákoník francouzský z roku 1804),  ABGB z roku 1811, BGB z roku 1896 a ZGB z roku 1907, čerpaly právě z práva římského. </w:t>
      </w:r>
    </w:p>
    <w:p w14:paraId="114136B2" w14:textId="08436722" w:rsidR="00947B64" w:rsidRPr="00524366" w:rsidRDefault="00947B64" w:rsidP="00947B64">
      <w:pPr>
        <w:spacing w:line="360" w:lineRule="auto"/>
        <w:ind w:firstLine="708"/>
        <w:jc w:val="both"/>
      </w:pPr>
      <w:r w:rsidRPr="00524366">
        <w:t xml:space="preserve">Římské právo tedy zásadním způsobem ovlivnilo kontinentální právní systém, a právě tento fakt mě inspiroval k tomu, abych se hlouběji ponořila do jeho studia. Téma omyl v justinánském právu jsem si vybrala především z toho důvodu, abych zjistila, jak velký vliv mělo </w:t>
      </w:r>
      <w:r w:rsidR="003106CE" w:rsidRPr="00524366">
        <w:t xml:space="preserve">římské právo </w:t>
      </w:r>
      <w:r w:rsidRPr="00524366">
        <w:t>na dnešní chápání a aplikaci to</w:t>
      </w:r>
      <w:r w:rsidR="00D66BAE" w:rsidRPr="00524366">
        <w:t>hoto institut</w:t>
      </w:r>
      <w:r w:rsidR="004B0DD1" w:rsidRPr="00524366">
        <w:t>u</w:t>
      </w:r>
      <w:r w:rsidR="00D66BAE" w:rsidRPr="00524366">
        <w:t xml:space="preserve"> v civilním právu. Dle aktuální právní úpravy omyl spočívá pouze v jednání, které omyl vyvolává; na rozdíl od staré právní úpravy, kdy platilo, že omyl spočíval i ve využití stávajícího omylu.</w:t>
      </w:r>
      <w:r w:rsidRPr="00524366">
        <w:rPr>
          <w:rStyle w:val="Znakapoznpodarou"/>
        </w:rPr>
        <w:footnoteReference w:id="3"/>
      </w:r>
      <w:r w:rsidRPr="00524366">
        <w:t xml:space="preserve"> </w:t>
      </w:r>
    </w:p>
    <w:p w14:paraId="0DDBFD3E" w14:textId="753CE26D" w:rsidR="00947B64" w:rsidRPr="00524366" w:rsidRDefault="00947B64" w:rsidP="00947B64">
      <w:pPr>
        <w:spacing w:line="360" w:lineRule="auto"/>
        <w:ind w:firstLine="708"/>
        <w:jc w:val="both"/>
      </w:pPr>
      <w:r w:rsidRPr="00524366">
        <w:t xml:space="preserve"> Práce si bere za cíl analyzovat tento institut z pohledu římského práva justiniánského, pojednat o je</w:t>
      </w:r>
      <w:r w:rsidR="00C93DAC" w:rsidRPr="00524366">
        <w:t>ho charakteristice a následcích. D</w:t>
      </w:r>
      <w:r w:rsidR="004B0DD1" w:rsidRPr="00524366">
        <w:t>ále se bude zabývat</w:t>
      </w:r>
      <w:r w:rsidR="005E7397" w:rsidRPr="00524366">
        <w:t>, jak</w:t>
      </w:r>
      <w:r w:rsidR="00F43D2C" w:rsidRPr="00524366">
        <w:t xml:space="preserve"> je</w:t>
      </w:r>
      <w:r w:rsidR="005E7397" w:rsidRPr="00524366">
        <w:t xml:space="preserve"> </w:t>
      </w:r>
      <w:r w:rsidRPr="00524366">
        <w:t xml:space="preserve">již výše řečeno, </w:t>
      </w:r>
      <w:r w:rsidR="005E7397" w:rsidRPr="00524366">
        <w:t xml:space="preserve">vlivem </w:t>
      </w:r>
      <w:r w:rsidRPr="00524366">
        <w:t>římské</w:t>
      </w:r>
      <w:r w:rsidR="003A45C2" w:rsidRPr="00524366">
        <w:t>ho práva</w:t>
      </w:r>
      <w:r w:rsidR="00DD681A" w:rsidRPr="00524366">
        <w:t xml:space="preserve"> na pojetí </w:t>
      </w:r>
      <w:r w:rsidR="00C93DAC" w:rsidRPr="00524366">
        <w:t>omylu v dnešním právu a komparací jedno</w:t>
      </w:r>
      <w:r w:rsidR="003106CE" w:rsidRPr="00524366">
        <w:t xml:space="preserve">tlivých ustanovení v běhu staletí. </w:t>
      </w:r>
    </w:p>
    <w:p w14:paraId="4B8EFE4D" w14:textId="06BEE9BD" w:rsidR="00947B64" w:rsidRPr="00524366" w:rsidRDefault="003F0B6E" w:rsidP="00947B64">
      <w:pPr>
        <w:spacing w:line="360" w:lineRule="auto"/>
        <w:ind w:firstLine="708"/>
        <w:jc w:val="both"/>
      </w:pPr>
      <w:r w:rsidRPr="00524366">
        <w:t xml:space="preserve">Justiniánské právo </w:t>
      </w:r>
      <w:r w:rsidR="00947B64" w:rsidRPr="00524366">
        <w:t xml:space="preserve">je obsaženo ve čtyřech sbírkách, </w:t>
      </w:r>
      <w:r w:rsidR="00D66BAE" w:rsidRPr="00524366">
        <w:t>a to v Digestech neboli Pandekte</w:t>
      </w:r>
      <w:r w:rsidR="00947B64" w:rsidRPr="00524366">
        <w:t xml:space="preserve">ch (Digesta, Pandectae), Institucích (Institutiones), Codexu (Codex Iustinianus) a novelách (Novellae </w:t>
      </w:r>
      <w:r w:rsidR="00947B64" w:rsidRPr="00524366">
        <w:lastRenderedPageBreak/>
        <w:t xml:space="preserve">sc. constitutiones). Jedná se o soubor zákonů a </w:t>
      </w:r>
      <w:r w:rsidRPr="00524366">
        <w:t xml:space="preserve">stanovisek </w:t>
      </w:r>
      <w:r w:rsidR="00947B64" w:rsidRPr="00524366">
        <w:t>římské právní vědy, jenž byl pořízen v 6. stol. po Kr. císařem Justinánem. Všechny tyto sbírky se označují souhrnným termínem Corpus Iuris Civilis – v romanistické literatuře není shoda o tom, kdy přesně tento souhrnný název vznikl, např. J. Vančura</w:t>
      </w:r>
      <w:r w:rsidR="00D66BAE" w:rsidRPr="00524366">
        <w:rPr>
          <w:rStyle w:val="Znakapoznpodarou"/>
        </w:rPr>
        <w:footnoteReference w:id="4"/>
      </w:r>
      <w:r w:rsidR="00947B64" w:rsidRPr="00524366">
        <w:t xml:space="preserve"> uvádí, že souhrnný te</w:t>
      </w:r>
      <w:r w:rsidR="00A20AD0" w:rsidRPr="00524366">
        <w:t xml:space="preserve">rmín pro souborné justiniánské </w:t>
      </w:r>
      <w:r w:rsidR="00947B64" w:rsidRPr="00524366">
        <w:t>dílo CIC vznikl a začal se používat až v roce 1583, v tomto roce bylo také celé CIC poprvé vydáno v jednom svazku romanistou D. Gothofredem. L. Heyrovský</w:t>
      </w:r>
      <w:r w:rsidR="00D66BAE" w:rsidRPr="00524366">
        <w:rPr>
          <w:rStyle w:val="Znakapoznpodarou"/>
        </w:rPr>
        <w:footnoteReference w:id="5"/>
      </w:r>
      <w:r w:rsidR="00947B64" w:rsidRPr="00524366">
        <w:t xml:space="preserve"> shodně jako P. Blaho</w:t>
      </w:r>
      <w:r w:rsidR="00D66BAE" w:rsidRPr="00524366">
        <w:rPr>
          <w:rStyle w:val="Znakapoznpodarou"/>
        </w:rPr>
        <w:footnoteReference w:id="6"/>
      </w:r>
      <w:r w:rsidR="00947B64" w:rsidRPr="00524366">
        <w:t xml:space="preserve"> uvádí, </w:t>
      </w:r>
      <w:r w:rsidR="00D66BAE" w:rsidRPr="00524366">
        <w:t>že J</w:t>
      </w:r>
      <w:r w:rsidR="00947B64" w:rsidRPr="00524366">
        <w:t>usti</w:t>
      </w:r>
      <w:r w:rsidR="00D66BAE" w:rsidRPr="00524366">
        <w:t>ni</w:t>
      </w:r>
      <w:r w:rsidR="00947B64" w:rsidRPr="00524366">
        <w:t>ánovy sbírky práva a zákony byly za jeden celek pojímány již od glosátorů, kdy se neprávník Irnerius začal zabývat výkladem CIC. Velké dílo</w:t>
      </w:r>
      <w:r w:rsidR="00D66BAE" w:rsidRPr="00524366">
        <w:t xml:space="preserve"> </w:t>
      </w:r>
      <w:r w:rsidR="00947B64" w:rsidRPr="00524366">
        <w:t xml:space="preserve">posledního glosátora jménem Franciscus Accurius, </w:t>
      </w:r>
      <w:r w:rsidR="00D66BAE" w:rsidRPr="00524366">
        <w:t>Glossa ordinaria</w:t>
      </w:r>
      <w:r w:rsidR="00D66BAE" w:rsidRPr="00524366">
        <w:rPr>
          <w:rStyle w:val="Znakapoznpodarou"/>
        </w:rPr>
        <w:footnoteReference w:id="7"/>
      </w:r>
      <w:r w:rsidR="00D66BAE" w:rsidRPr="00524366">
        <w:t xml:space="preserve">, </w:t>
      </w:r>
      <w:r w:rsidR="00947B64" w:rsidRPr="00524366">
        <w:t xml:space="preserve">podává obsáhlý výklad k celému CIC. </w:t>
      </w:r>
    </w:p>
    <w:p w14:paraId="56B885B9" w14:textId="270055C8" w:rsidR="003D30A0" w:rsidRPr="00524366" w:rsidRDefault="008406E4" w:rsidP="00115504">
      <w:pPr>
        <w:spacing w:line="360" w:lineRule="auto"/>
        <w:ind w:firstLine="708"/>
        <w:jc w:val="both"/>
      </w:pPr>
      <w:r w:rsidRPr="00524366">
        <w:t xml:space="preserve">Je nutné předeslat, že </w:t>
      </w:r>
      <w:r w:rsidR="00A20AD0" w:rsidRPr="00524366">
        <w:t>téma „</w:t>
      </w:r>
      <w:r w:rsidRPr="00524366">
        <w:t>omyl v justiniánském právu</w:t>
      </w:r>
      <w:r w:rsidR="00A20AD0" w:rsidRPr="00524366">
        <w:t>“</w:t>
      </w:r>
      <w:r w:rsidRPr="00524366">
        <w:t xml:space="preserve"> nezahrnuje jen problematiku omylu jako takového, nýbrž je tématem mnohem širším, zahrnujícím také problematiku samotn</w:t>
      </w:r>
      <w:r w:rsidR="00E34CA8" w:rsidRPr="00524366">
        <w:t xml:space="preserve">ého projevu vůle a </w:t>
      </w:r>
      <w:r w:rsidR="00CB7146" w:rsidRPr="00524366">
        <w:t xml:space="preserve">je úzce spojen s kontraktem. </w:t>
      </w:r>
      <w:r w:rsidR="003B04EB" w:rsidRPr="00524366">
        <w:t>Cílem této práce t</w:t>
      </w:r>
      <w:r w:rsidR="00BF4AE3" w:rsidRPr="00524366">
        <w:t xml:space="preserve">edy nebude pouhé vymezení institutu </w:t>
      </w:r>
      <w:r w:rsidR="003B04EB" w:rsidRPr="00524366">
        <w:t>omylu v právu justiniánském, ale obsahem p</w:t>
      </w:r>
      <w:r w:rsidR="00A20AD0" w:rsidRPr="00524366">
        <w:t>ráce bude také okrajově řešena</w:t>
      </w:r>
      <w:r w:rsidR="003B04EB" w:rsidRPr="00524366">
        <w:t xml:space="preserve"> problematika týkající se projevu vůle. V neposlední řadě si práce bere za cíl také popsat vývoj o</w:t>
      </w:r>
      <w:r w:rsidR="003A45C2" w:rsidRPr="00524366">
        <w:t xml:space="preserve">mylu od dob práva justiniánského </w:t>
      </w:r>
      <w:r w:rsidR="003B04EB" w:rsidRPr="00524366">
        <w:t>až do současnosti. K dosažení tě</w:t>
      </w:r>
      <w:r w:rsidR="003D30A0" w:rsidRPr="00524366">
        <w:t xml:space="preserve">chto cílů budu čerpat z  </w:t>
      </w:r>
      <w:r w:rsidR="003B04EB" w:rsidRPr="00524366">
        <w:t>Justiniánských Ins</w:t>
      </w:r>
      <w:r w:rsidR="003F0B6E" w:rsidRPr="00524366">
        <w:t>titucí, Gaiovy U</w:t>
      </w:r>
      <w:r w:rsidR="00B14CF2" w:rsidRPr="00524366">
        <w:t>čebnice práva, d</w:t>
      </w:r>
      <w:r w:rsidR="003B04EB" w:rsidRPr="00524366">
        <w:t>obových i současných komentářů,</w:t>
      </w:r>
      <w:r w:rsidR="00B14CF2" w:rsidRPr="00524366">
        <w:t xml:space="preserve"> monografií, </w:t>
      </w:r>
      <w:r w:rsidR="00BF4AE3" w:rsidRPr="00524366">
        <w:t xml:space="preserve">cizojazyčných </w:t>
      </w:r>
      <w:r w:rsidR="003D30A0" w:rsidRPr="00524366">
        <w:t xml:space="preserve">článků, judikatury a v neposlední řadě především z Digest – budu pracovat jak s jejich </w:t>
      </w:r>
      <w:r w:rsidR="00115504" w:rsidRPr="00524366">
        <w:t xml:space="preserve">latinským textem, tak i s jejich anglickým překladem a pokud nebude uvedeno jinak (v poznámce pod čarou), jsem autorkou těchto překladů do češtiny. </w:t>
      </w:r>
    </w:p>
    <w:p w14:paraId="149291AD" w14:textId="42F2E4AB" w:rsidR="00B14CF2" w:rsidRPr="00524366" w:rsidRDefault="002D6CAD" w:rsidP="00DD681A">
      <w:pPr>
        <w:spacing w:line="360" w:lineRule="auto"/>
        <w:ind w:firstLine="708"/>
        <w:jc w:val="both"/>
      </w:pPr>
      <w:r w:rsidRPr="00524366">
        <w:t>Práce bude rozdělena na šest kapitol a jejich s</w:t>
      </w:r>
      <w:r w:rsidR="00B14CF2" w:rsidRPr="00524366">
        <w:t xml:space="preserve">ystematika </w:t>
      </w:r>
      <w:r w:rsidRPr="00524366">
        <w:t>práce bude následující: P</w:t>
      </w:r>
      <w:r w:rsidR="00B14CF2" w:rsidRPr="00524366">
        <w:t xml:space="preserve">rvní </w:t>
      </w:r>
      <w:r w:rsidRPr="00524366">
        <w:t>kapitola se bude</w:t>
      </w:r>
      <w:r w:rsidR="00B14CF2" w:rsidRPr="00524366">
        <w:t xml:space="preserve"> zabývat obecným úvodem do proble</w:t>
      </w:r>
      <w:r w:rsidR="00DD4590" w:rsidRPr="00524366">
        <w:t>matiky omylu a jeho spojením s kontrakty konsenzuálními a projevem vůle</w:t>
      </w:r>
      <w:r w:rsidR="00A20AD0" w:rsidRPr="00524366">
        <w:t>,</w:t>
      </w:r>
      <w:r w:rsidR="00DD4590" w:rsidRPr="00524366">
        <w:t xml:space="preserve"> jakožto nutnou sou</w:t>
      </w:r>
      <w:r w:rsidR="00317EE2" w:rsidRPr="00524366">
        <w:t xml:space="preserve">částí každého právního jednání, také vadami právního jednání. </w:t>
      </w:r>
      <w:r w:rsidR="00DD4590" w:rsidRPr="00524366">
        <w:t>Dále</w:t>
      </w:r>
      <w:r w:rsidRPr="00524366">
        <w:t xml:space="preserve"> budou  uvedeny</w:t>
      </w:r>
      <w:r w:rsidR="00DD4590" w:rsidRPr="00524366">
        <w:t xml:space="preserve"> jednotlivé typy omylu. </w:t>
      </w:r>
    </w:p>
    <w:p w14:paraId="26C46B75" w14:textId="77777777" w:rsidR="00A20AD0" w:rsidRPr="00524366" w:rsidRDefault="00DD4590" w:rsidP="00A20AD0">
      <w:pPr>
        <w:spacing w:line="360" w:lineRule="auto"/>
        <w:ind w:firstLine="708"/>
        <w:jc w:val="both"/>
      </w:pPr>
      <w:r w:rsidRPr="00524366">
        <w:t xml:space="preserve">Druhá kapitola se bude zabývat </w:t>
      </w:r>
      <w:r w:rsidR="00D32607" w:rsidRPr="00524366">
        <w:t>rozlišením omylu a nedorozumění, v této kapitole bude také podrobně rozebrán velice zajímavý fragment</w:t>
      </w:r>
      <w:r w:rsidR="002D6CAD" w:rsidRPr="00524366">
        <w:t xml:space="preserve"> právníka Paula </w:t>
      </w:r>
      <w:r w:rsidR="00EE3ACC" w:rsidRPr="00524366">
        <w:t>týka</w:t>
      </w:r>
      <w:r w:rsidR="002D6CAD" w:rsidRPr="00524366">
        <w:t>jící se</w:t>
      </w:r>
      <w:r w:rsidR="00D32607" w:rsidRPr="00524366">
        <w:t xml:space="preserve"> právní neznalosti. </w:t>
      </w:r>
    </w:p>
    <w:p w14:paraId="3043DA9A" w14:textId="585B1FC6" w:rsidR="00D32607" w:rsidRPr="00524366" w:rsidRDefault="002D6CAD" w:rsidP="00A20AD0">
      <w:pPr>
        <w:spacing w:line="360" w:lineRule="auto"/>
        <w:ind w:firstLine="708"/>
        <w:jc w:val="both"/>
      </w:pPr>
      <w:r w:rsidRPr="00524366">
        <w:t>Třetí kapitola se bude</w:t>
      </w:r>
      <w:r w:rsidR="00D32607" w:rsidRPr="00524366">
        <w:t xml:space="preserve"> zabývat zcela základním rozlišením omylu, a </w:t>
      </w:r>
      <w:r w:rsidR="00090286" w:rsidRPr="00524366">
        <w:t xml:space="preserve">to </w:t>
      </w:r>
      <w:r w:rsidR="00D32607" w:rsidRPr="00524366">
        <w:t>omylem skutkovým</w:t>
      </w:r>
      <w:r w:rsidR="00090286" w:rsidRPr="00524366">
        <w:t xml:space="preserve"> a omylem právní</w:t>
      </w:r>
      <w:r w:rsidR="00A20AD0" w:rsidRPr="00524366">
        <w:t>m, b</w:t>
      </w:r>
      <w:r w:rsidRPr="00524366">
        <w:t xml:space="preserve">ude zde také pojednáno o jeho omluvitelnosti. </w:t>
      </w:r>
    </w:p>
    <w:p w14:paraId="1858ED74" w14:textId="0504D2E7" w:rsidR="002D6CAD" w:rsidRPr="00524366" w:rsidRDefault="002D6CAD" w:rsidP="00392C93">
      <w:pPr>
        <w:spacing w:line="360" w:lineRule="auto"/>
        <w:ind w:firstLine="708"/>
        <w:jc w:val="both"/>
      </w:pPr>
      <w:r w:rsidRPr="00524366">
        <w:t xml:space="preserve">Čtvrtá, nejrozsáhlejší, kapitola práce se bude týkat tzv. omylu podstatného (error essentialis) a podá přehled o tom, kdy je omyl </w:t>
      </w:r>
      <w:r w:rsidR="003F0B6E" w:rsidRPr="00524366">
        <w:t>právně významný.</w:t>
      </w:r>
      <w:r w:rsidRPr="00524366">
        <w:t xml:space="preserve"> Dále bude podrobně rozebrán error in </w:t>
      </w:r>
      <w:r w:rsidRPr="00524366">
        <w:lastRenderedPageBreak/>
        <w:t xml:space="preserve">persona, error in negotio, error in corpore, error in qualitate, error in substantia (materia), error in virgintate a error in sexu. </w:t>
      </w:r>
    </w:p>
    <w:p w14:paraId="736BCA29" w14:textId="09378AB2" w:rsidR="002D6CAD" w:rsidRPr="00524366" w:rsidRDefault="002D6CAD" w:rsidP="002D6CAD">
      <w:pPr>
        <w:spacing w:line="360" w:lineRule="auto"/>
        <w:ind w:firstLine="708"/>
        <w:jc w:val="both"/>
      </w:pPr>
      <w:r w:rsidRPr="00524366">
        <w:t xml:space="preserve">Pátá kapitola ve stručnosti shrne odraz justiniánského pojímání omylu v moderní právní úpravě. Bude zde podán přehled právní úpravy omylu, tzn. jeho úprava v Codexu Theresianus z roku 1766, v Obecném zákoníku občanském z roku 1811, v OZ z roku 1950 a v OZ z roku 1964. </w:t>
      </w:r>
    </w:p>
    <w:p w14:paraId="1FDDEC53" w14:textId="0492FF55" w:rsidR="002D6CAD" w:rsidRPr="00524366" w:rsidRDefault="0096214E" w:rsidP="002D6CAD">
      <w:pPr>
        <w:spacing w:line="360" w:lineRule="auto"/>
        <w:ind w:firstLine="708"/>
        <w:jc w:val="both"/>
      </w:pPr>
      <w:r w:rsidRPr="00524366">
        <w:t xml:space="preserve">Šestá </w:t>
      </w:r>
      <w:r w:rsidR="002D6CAD" w:rsidRPr="00524366">
        <w:t xml:space="preserve">kapitola se bude týkat právní úpravy omylu v současném právu, tedy v zákoně č. 89/2012 Sb. a podá ucelený přehled typů omylu dne NOZ, součástí této kapitoly bude také pojednání o omluvitelnosti omylu. </w:t>
      </w:r>
    </w:p>
    <w:p w14:paraId="165A2471" w14:textId="35CA6D14" w:rsidR="0096214E" w:rsidRPr="00524366" w:rsidRDefault="0096214E" w:rsidP="002D6CAD">
      <w:pPr>
        <w:spacing w:line="360" w:lineRule="auto"/>
        <w:ind w:firstLine="708"/>
        <w:jc w:val="both"/>
      </w:pPr>
      <w:r w:rsidRPr="00524366">
        <w:t xml:space="preserve">Poslední kapitolou bude závěr, kde </w:t>
      </w:r>
      <w:r w:rsidR="00F81991" w:rsidRPr="00524366">
        <w:t>budou shrnu</w:t>
      </w:r>
      <w:r w:rsidR="00DE1227" w:rsidRPr="00524366">
        <w:t>ty poznatky, ke kterým jsem dospěla.</w:t>
      </w:r>
      <w:r w:rsidR="00F81991" w:rsidRPr="00524366">
        <w:t xml:space="preserve"> Ke zpracování této práce </w:t>
      </w:r>
      <w:r w:rsidR="00101D8C" w:rsidRPr="00524366">
        <w:t xml:space="preserve">budou využity obecné metody vědecké práce, jakými jsou: analýza, </w:t>
      </w:r>
      <w:r w:rsidR="00125D51" w:rsidRPr="00524366">
        <w:t xml:space="preserve">indukce a dedukce. Mimoto budu pracovat s právními argumenty, ať už se jedná o argumenty formálně-systematické, teleologické či jiné. </w:t>
      </w:r>
    </w:p>
    <w:p w14:paraId="6C5C78EF" w14:textId="77777777" w:rsidR="002D6CAD" w:rsidRPr="00524366" w:rsidRDefault="002D6CAD" w:rsidP="00D32607">
      <w:pPr>
        <w:spacing w:line="360" w:lineRule="auto"/>
        <w:ind w:firstLine="708"/>
        <w:jc w:val="both"/>
      </w:pPr>
    </w:p>
    <w:p w14:paraId="1DC55680" w14:textId="77777777" w:rsidR="00D32607" w:rsidRPr="00524366" w:rsidRDefault="00D32607" w:rsidP="00D30B1C">
      <w:pPr>
        <w:spacing w:line="360" w:lineRule="auto"/>
        <w:ind w:firstLine="708"/>
        <w:jc w:val="both"/>
      </w:pPr>
    </w:p>
    <w:p w14:paraId="5B252DA9" w14:textId="77777777" w:rsidR="00947B64" w:rsidRPr="00524366" w:rsidRDefault="00947B64" w:rsidP="00947B64">
      <w:pPr>
        <w:spacing w:line="360" w:lineRule="auto"/>
        <w:ind w:firstLine="708"/>
        <w:jc w:val="both"/>
      </w:pPr>
    </w:p>
    <w:p w14:paraId="143D222A" w14:textId="77777777" w:rsidR="00AF1C1C" w:rsidRPr="00524366" w:rsidRDefault="00AF1C1C" w:rsidP="00947B64">
      <w:pPr>
        <w:spacing w:line="360" w:lineRule="auto"/>
        <w:ind w:firstLine="708"/>
        <w:jc w:val="both"/>
      </w:pPr>
    </w:p>
    <w:p w14:paraId="3C558988" w14:textId="0FF9816E" w:rsidR="00947B64" w:rsidRPr="00524366" w:rsidRDefault="002D6CAD" w:rsidP="00947B64">
      <w:r w:rsidRPr="00524366">
        <w:br w:type="page"/>
      </w:r>
    </w:p>
    <w:p w14:paraId="3889F7C7" w14:textId="0DA5A3E9" w:rsidR="00947B64" w:rsidRPr="00524366" w:rsidRDefault="009518F0" w:rsidP="009B6E18">
      <w:pPr>
        <w:pStyle w:val="Nadpis1"/>
        <w:numPr>
          <w:ilvl w:val="0"/>
          <w:numId w:val="15"/>
        </w:numPr>
      </w:pPr>
      <w:bookmarkStart w:id="2" w:name="_Toc523139865"/>
      <w:r w:rsidRPr="00524366">
        <w:lastRenderedPageBreak/>
        <w:t>Obecný úvod do problematiky omylu</w:t>
      </w:r>
      <w:bookmarkEnd w:id="2"/>
      <w:r w:rsidRPr="00524366">
        <w:t xml:space="preserve"> </w:t>
      </w:r>
    </w:p>
    <w:p w14:paraId="2522FC55" w14:textId="4D1E948D" w:rsidR="008A4B56" w:rsidRPr="00524366" w:rsidRDefault="00B614CC" w:rsidP="008A4B56">
      <w:pPr>
        <w:spacing w:line="360" w:lineRule="auto"/>
        <w:ind w:left="-57" w:firstLine="765"/>
        <w:jc w:val="both"/>
        <w:rPr>
          <w:iCs/>
        </w:rPr>
      </w:pPr>
      <w:r w:rsidRPr="00524366">
        <w:t xml:space="preserve">Problematika </w:t>
      </w:r>
      <w:r w:rsidR="0044334A" w:rsidRPr="00524366">
        <w:t xml:space="preserve">omylu je v římském právu spojena především </w:t>
      </w:r>
      <w:r w:rsidR="00691294" w:rsidRPr="00524366">
        <w:t>se smlouvami konsensuálními, je</w:t>
      </w:r>
      <w:r w:rsidR="0044334A" w:rsidRPr="00524366">
        <w:t xml:space="preserve">ž vznikají </w:t>
      </w:r>
      <w:r w:rsidR="00691294" w:rsidRPr="00524366">
        <w:t>„nudo consensu“</w:t>
      </w:r>
      <w:r w:rsidR="0039733D" w:rsidRPr="00524366">
        <w:rPr>
          <w:rStyle w:val="Znakapoznpodarou"/>
        </w:rPr>
        <w:footnoteReference w:id="8"/>
      </w:r>
      <w:r w:rsidR="00E61B9A" w:rsidRPr="00524366">
        <w:t>.</w:t>
      </w:r>
      <w:r w:rsidR="0039733D" w:rsidRPr="00524366">
        <w:t xml:space="preserve"> </w:t>
      </w:r>
      <w:r w:rsidR="00E61B9A" w:rsidRPr="00524366">
        <w:t>K</w:t>
      </w:r>
      <w:r w:rsidR="009518F0" w:rsidRPr="00524366">
        <w:t xml:space="preserve">onsenzuálními kontrakty byly </w:t>
      </w:r>
      <w:r w:rsidR="009518F0" w:rsidRPr="00524366">
        <w:rPr>
          <w:i/>
          <w:iCs/>
        </w:rPr>
        <w:t>emptio-venditio</w:t>
      </w:r>
      <w:r w:rsidR="006877B3" w:rsidRPr="00524366">
        <w:rPr>
          <w:iCs/>
        </w:rPr>
        <w:t xml:space="preserve"> (smlouva trhová, kupní)</w:t>
      </w:r>
      <w:r w:rsidR="009518F0" w:rsidRPr="00524366">
        <w:rPr>
          <w:i/>
          <w:iCs/>
        </w:rPr>
        <w:t>, locatio-conductio</w:t>
      </w:r>
      <w:r w:rsidR="006877B3" w:rsidRPr="00524366">
        <w:rPr>
          <w:i/>
          <w:iCs/>
        </w:rPr>
        <w:t xml:space="preserve"> rei</w:t>
      </w:r>
      <w:r w:rsidR="006877B3" w:rsidRPr="00524366">
        <w:rPr>
          <w:iCs/>
        </w:rPr>
        <w:t xml:space="preserve"> (smlouva nájemní)</w:t>
      </w:r>
      <w:r w:rsidR="009518F0" w:rsidRPr="00524366">
        <w:rPr>
          <w:i/>
          <w:iCs/>
        </w:rPr>
        <w:t>, mandatum</w:t>
      </w:r>
      <w:r w:rsidR="006877B3" w:rsidRPr="00524366">
        <w:rPr>
          <w:i/>
          <w:iCs/>
        </w:rPr>
        <w:t xml:space="preserve"> </w:t>
      </w:r>
      <w:r w:rsidR="006877B3" w:rsidRPr="00524366">
        <w:rPr>
          <w:iCs/>
        </w:rPr>
        <w:t>(smlouva příkazní)</w:t>
      </w:r>
      <w:r w:rsidR="009518F0" w:rsidRPr="00524366">
        <w:rPr>
          <w:i/>
          <w:iCs/>
        </w:rPr>
        <w:t xml:space="preserve">, </w:t>
      </w:r>
      <w:r w:rsidR="009518F0" w:rsidRPr="00524366">
        <w:rPr>
          <w:iCs/>
        </w:rPr>
        <w:t>a</w:t>
      </w:r>
      <w:r w:rsidR="009518F0" w:rsidRPr="00524366">
        <w:rPr>
          <w:i/>
          <w:iCs/>
        </w:rPr>
        <w:t xml:space="preserve"> societas</w:t>
      </w:r>
      <w:r w:rsidR="006877B3" w:rsidRPr="00524366">
        <w:rPr>
          <w:iCs/>
        </w:rPr>
        <w:t xml:space="preserve"> (smlouva společenská)</w:t>
      </w:r>
      <w:r w:rsidR="0039733D" w:rsidRPr="00524366">
        <w:rPr>
          <w:iCs/>
        </w:rPr>
        <w:t>.</w:t>
      </w:r>
      <w:r w:rsidR="008A4B56" w:rsidRPr="00524366">
        <w:rPr>
          <w:rStyle w:val="Znakapoznpodarou"/>
          <w:iCs/>
        </w:rPr>
        <w:footnoteReference w:id="9"/>
      </w:r>
      <w:r w:rsidR="00B717A2" w:rsidRPr="00524366">
        <w:rPr>
          <w:iCs/>
        </w:rPr>
        <w:t xml:space="preserve"> </w:t>
      </w:r>
      <w:r w:rsidR="00F46C0E" w:rsidRPr="00524366">
        <w:rPr>
          <w:iCs/>
        </w:rPr>
        <w:t xml:space="preserve">Právě kupní smlouva </w:t>
      </w:r>
      <w:r w:rsidRPr="00524366">
        <w:rPr>
          <w:iCs/>
        </w:rPr>
        <w:t xml:space="preserve">byla nejčastěji uzavíraným typem smlouvy, </w:t>
      </w:r>
      <w:r w:rsidR="00A75A97" w:rsidRPr="00524366">
        <w:rPr>
          <w:iCs/>
        </w:rPr>
        <w:t xml:space="preserve">proto se s problematikou omylu setkáme především v souvislosti s touto </w:t>
      </w:r>
      <w:r w:rsidR="008007ED" w:rsidRPr="00524366">
        <w:rPr>
          <w:iCs/>
        </w:rPr>
        <w:t>sml</w:t>
      </w:r>
      <w:r w:rsidR="00F46C0E" w:rsidRPr="00524366">
        <w:rPr>
          <w:iCs/>
        </w:rPr>
        <w:t xml:space="preserve">ouvou. </w:t>
      </w:r>
      <w:r w:rsidR="003C65F6" w:rsidRPr="00524366">
        <w:rPr>
          <w:iCs/>
        </w:rPr>
        <w:t xml:space="preserve">Zejména při </w:t>
      </w:r>
      <w:r w:rsidR="00AA6E9A" w:rsidRPr="00524366">
        <w:rPr>
          <w:iCs/>
        </w:rPr>
        <w:t>tomto dvoustranném právním jednání</w:t>
      </w:r>
      <w:r w:rsidR="00F6490E" w:rsidRPr="00524366">
        <w:rPr>
          <w:iCs/>
        </w:rPr>
        <w:t xml:space="preserve"> je </w:t>
      </w:r>
      <w:r w:rsidR="006755CA" w:rsidRPr="00524366">
        <w:rPr>
          <w:iCs/>
        </w:rPr>
        <w:t>důležité</w:t>
      </w:r>
      <w:r w:rsidR="00CD2540" w:rsidRPr="00524366">
        <w:rPr>
          <w:iCs/>
        </w:rPr>
        <w:t xml:space="preserve">, aby došlo k souhlasnému projevu vůle. </w:t>
      </w:r>
    </w:p>
    <w:p w14:paraId="6F93F6D2" w14:textId="2301C2B3" w:rsidR="00C57A43" w:rsidRPr="00524366" w:rsidRDefault="00D240D1" w:rsidP="00C57A43">
      <w:pPr>
        <w:spacing w:line="360" w:lineRule="auto"/>
        <w:ind w:firstLine="708"/>
        <w:jc w:val="both"/>
      </w:pPr>
      <w:r w:rsidRPr="00524366">
        <w:t>V pramenech římského práva nenajdeme pro právní jednání zvláštní termín, nejblíže mu vš</w:t>
      </w:r>
      <w:r w:rsidR="003F0B6E" w:rsidRPr="00524366">
        <w:t xml:space="preserve">ak je „negotium“ – jedná se </w:t>
      </w:r>
      <w:r w:rsidRPr="00524366">
        <w:t>o obecnější výraz, který podle kontextu také znamená záležitost, zaměstnání, ale i obchod</w:t>
      </w:r>
      <w:r w:rsidRPr="00524366">
        <w:rPr>
          <w:rStyle w:val="Znakapoznpodarou"/>
        </w:rPr>
        <w:footnoteReference w:id="10"/>
      </w:r>
      <w:r w:rsidRPr="00524366">
        <w:t>. „Negotium“ bylo také technickým výrazem pro obecný abstraktní pojem právního jednání.</w:t>
      </w:r>
      <w:r w:rsidRPr="00524366">
        <w:rPr>
          <w:rStyle w:val="Znakapoznpodarou"/>
        </w:rPr>
        <w:footnoteReference w:id="11"/>
      </w:r>
      <w:r w:rsidRPr="00524366">
        <w:t xml:space="preserve"> Právo buď pro prohlášení projevu vůle předepisuje určitou formu, anebo nechává stranám na vůli, aby si způsob projevu určily samy. Projevy vůle jsou tedy buď formální</w:t>
      </w:r>
      <w:r w:rsidR="00551CF3" w:rsidRPr="00524366">
        <w:t>,</w:t>
      </w:r>
      <w:r w:rsidRPr="00524366">
        <w:t xml:space="preserve"> nebo bezforemné. Téměř každé společensky významnější jednání mělo u Římanů svoji formu, kterou bylo nutno dodržet, pokud se mělo </w:t>
      </w:r>
      <w:r w:rsidR="00DE1227" w:rsidRPr="00524366">
        <w:t>jednat o právní jednání platné. B</w:t>
      </w:r>
      <w:r w:rsidRPr="00524366">
        <w:t>yl zde tedy urč</w:t>
      </w:r>
      <w:r w:rsidR="00D75751" w:rsidRPr="00524366">
        <w:t>itý formalismus</w:t>
      </w:r>
      <w:r w:rsidR="008136AD" w:rsidRPr="00524366">
        <w:rPr>
          <w:rStyle w:val="Znakapoznpodarou"/>
        </w:rPr>
        <w:footnoteReference w:id="12"/>
      </w:r>
      <w:r w:rsidR="00D75751" w:rsidRPr="00524366">
        <w:t xml:space="preserve">, ať již slovní, </w:t>
      </w:r>
      <w:r w:rsidRPr="00524366">
        <w:t>či jiný. Typickým příkladem je „stipulatio“</w:t>
      </w:r>
      <w:r w:rsidRPr="00524366">
        <w:rPr>
          <w:rStyle w:val="Znakapoznpodarou"/>
        </w:rPr>
        <w:footnoteReference w:id="13"/>
      </w:r>
      <w:r w:rsidRPr="00524366">
        <w:t>, jiným příkl</w:t>
      </w:r>
      <w:r w:rsidR="003F0B6E" w:rsidRPr="00524366">
        <w:t xml:space="preserve">adem může být vykonání </w:t>
      </w:r>
      <w:r w:rsidRPr="00524366">
        <w:t>obřadu při mancipaci</w:t>
      </w:r>
      <w:r w:rsidRPr="00524366">
        <w:rPr>
          <w:rStyle w:val="Znakapoznpodarou"/>
        </w:rPr>
        <w:footnoteReference w:id="14"/>
      </w:r>
      <w:r w:rsidRPr="00524366">
        <w:t xml:space="preserve">. </w:t>
      </w:r>
    </w:p>
    <w:p w14:paraId="6A76BE3B" w14:textId="519A8686" w:rsidR="00912836" w:rsidRPr="00524366" w:rsidRDefault="00D240D1" w:rsidP="007033B6">
      <w:pPr>
        <w:spacing w:line="360" w:lineRule="auto"/>
        <w:ind w:left="-57" w:firstLine="765"/>
        <w:jc w:val="both"/>
      </w:pPr>
      <w:r w:rsidRPr="00524366">
        <w:rPr>
          <w:iCs/>
        </w:rPr>
        <w:t>Projev vůle je nutnou součástí každého právního jednání.</w:t>
      </w:r>
      <w:r w:rsidR="00662FB2" w:rsidRPr="00524366">
        <w:rPr>
          <w:iCs/>
        </w:rPr>
        <w:t xml:space="preserve"> </w:t>
      </w:r>
      <w:r w:rsidR="00662FB2" w:rsidRPr="00524366">
        <w:rPr>
          <w:i/>
          <w:iCs/>
        </w:rPr>
        <w:t>„Právní jednání jest projev vůle soukromé, se kterým objektivné právo spojuje právní následky (vznik, změnu, zánik právních poměrů) podstatně za tou příčinou, aby byl právně pojištěn účel, ke kterému směřuje projevená vůle soukromá.“</w:t>
      </w:r>
      <w:r w:rsidR="00662FB2" w:rsidRPr="00524366">
        <w:rPr>
          <w:rStyle w:val="Znakapoznpodarou"/>
          <w:i/>
          <w:iCs/>
        </w:rPr>
        <w:footnoteReference w:id="15"/>
      </w:r>
      <w:r w:rsidRPr="00524366">
        <w:rPr>
          <w:iCs/>
        </w:rPr>
        <w:t xml:space="preserve"> </w:t>
      </w:r>
      <w:r w:rsidR="009808DD" w:rsidRPr="00524366">
        <w:rPr>
          <w:i/>
        </w:rPr>
        <w:t>„Projev vůle jest čin směřující k provedení duševního děje.“</w:t>
      </w:r>
      <w:r w:rsidR="009808DD" w:rsidRPr="00524366">
        <w:rPr>
          <w:rStyle w:val="Znakapoznpodarou"/>
          <w:i/>
        </w:rPr>
        <w:footnoteReference w:id="16"/>
      </w:r>
      <w:r w:rsidR="009808DD" w:rsidRPr="00524366">
        <w:rPr>
          <w:i/>
        </w:rPr>
        <w:t xml:space="preserve"> </w:t>
      </w:r>
      <w:r w:rsidR="00947B64" w:rsidRPr="00524366">
        <w:t xml:space="preserve">Tento projev vůle se stává právním jednáním až tehdy, když </w:t>
      </w:r>
      <w:r w:rsidR="003B546B" w:rsidRPr="00524366">
        <w:t xml:space="preserve">je projeven náležitým způsobem v souladu </w:t>
      </w:r>
      <w:r w:rsidR="00DD4FC3" w:rsidRPr="00524366">
        <w:t>s</w:t>
      </w:r>
      <w:r w:rsidR="006E3919" w:rsidRPr="00524366">
        <w:t> </w:t>
      </w:r>
      <w:r w:rsidR="00DD4FC3" w:rsidRPr="00524366">
        <w:t>požadavky</w:t>
      </w:r>
      <w:r w:rsidR="006E3919" w:rsidRPr="00524366">
        <w:t xml:space="preserve"> právního řádu.</w:t>
      </w:r>
      <w:r w:rsidR="00DD4FC3" w:rsidRPr="00524366">
        <w:t xml:space="preserve"> </w:t>
      </w:r>
      <w:r w:rsidR="00DB1721" w:rsidRPr="00524366">
        <w:t>Každé platné právní jednání</w:t>
      </w:r>
      <w:r w:rsidR="00FA0BF8" w:rsidRPr="00524366">
        <w:t xml:space="preserve"> </w:t>
      </w:r>
      <w:r w:rsidR="00FA0BF8" w:rsidRPr="00524366">
        <w:lastRenderedPageBreak/>
        <w:t>předpokládá, že jednající má způsobilost k</w:t>
      </w:r>
      <w:r w:rsidR="007A5CB3" w:rsidRPr="00524366">
        <w:t> právním úkonům</w:t>
      </w:r>
      <w:r w:rsidR="00FA0BF8" w:rsidRPr="00524366">
        <w:rPr>
          <w:rStyle w:val="Znakapoznpodarou"/>
        </w:rPr>
        <w:footnoteReference w:id="17"/>
      </w:r>
      <w:r w:rsidR="00DB1721" w:rsidRPr="00524366">
        <w:t xml:space="preserve"> </w:t>
      </w:r>
      <w:r w:rsidR="00FA0BF8" w:rsidRPr="00524366">
        <w:t>a že obsah projevené vůle je uznaný právem</w:t>
      </w:r>
      <w:r w:rsidR="00A851C1" w:rsidRPr="00524366">
        <w:t>.</w:t>
      </w:r>
      <w:r w:rsidR="00A851C1" w:rsidRPr="00524366">
        <w:rPr>
          <w:rStyle w:val="Znakapoznpodarou"/>
        </w:rPr>
        <w:footnoteReference w:id="18"/>
      </w:r>
      <w:r w:rsidR="00A851C1" w:rsidRPr="00524366">
        <w:t xml:space="preserve"> </w:t>
      </w:r>
      <w:r w:rsidR="00FA0BF8" w:rsidRPr="00524366">
        <w:t xml:space="preserve">Dalším předpokladem platného právního jednání je to, </w:t>
      </w:r>
      <w:r w:rsidR="00947B64" w:rsidRPr="00524366">
        <w:t xml:space="preserve">že jednající projevuje svou skutečnou vůli právě ve formě, jakou zákon předepisuje, je tedy nezbytně nutné, aby byla tato vůle řádným způsobem projevena a aby mezi vůlí a projevem byla shoda, konsens. V opačném případě by se jednalo o „dissens“ (nedorozumění) a smlouva by nevznikla. </w:t>
      </w:r>
      <w:r w:rsidR="00DE2697" w:rsidRPr="00524366">
        <w:t>K nesouladu mezi vůlí</w:t>
      </w:r>
      <w:r w:rsidR="00912836" w:rsidRPr="00524366">
        <w:t xml:space="preserve"> a projevem může dojít tak, že:</w:t>
      </w:r>
    </w:p>
    <w:p w14:paraId="686CC967" w14:textId="77777777" w:rsidR="00912836" w:rsidRPr="00524366" w:rsidRDefault="00912836" w:rsidP="009B6E18">
      <w:pPr>
        <w:pStyle w:val="Odstavecseseznamem"/>
        <w:numPr>
          <w:ilvl w:val="0"/>
          <w:numId w:val="2"/>
        </w:numPr>
        <w:spacing w:line="360" w:lineRule="auto"/>
        <w:jc w:val="both"/>
      </w:pPr>
      <w:r w:rsidRPr="00524366">
        <w:t>jednající si je vědom neshody vnitřní vůle a vnějšího projevu, to nastane,</w:t>
      </w:r>
    </w:p>
    <w:p w14:paraId="30776ACE" w14:textId="77777777" w:rsidR="00912836" w:rsidRPr="00524366" w:rsidRDefault="00912836" w:rsidP="009B6E18">
      <w:pPr>
        <w:pStyle w:val="Odstavecseseznamem"/>
        <w:numPr>
          <w:ilvl w:val="1"/>
          <w:numId w:val="2"/>
        </w:numPr>
        <w:spacing w:line="360" w:lineRule="auto"/>
        <w:jc w:val="both"/>
      </w:pPr>
      <w:r w:rsidRPr="00524366">
        <w:t xml:space="preserve">když někdo tak činí žertem, v divadle, či za účelem „demostrandi causa“- právní jednání je neplatné </w:t>
      </w:r>
    </w:p>
    <w:p w14:paraId="70493A5F" w14:textId="77777777" w:rsidR="00912836" w:rsidRPr="00524366" w:rsidRDefault="00912836" w:rsidP="009B6E18">
      <w:pPr>
        <w:pStyle w:val="Odstavecseseznamem"/>
        <w:numPr>
          <w:ilvl w:val="1"/>
          <w:numId w:val="2"/>
        </w:numPr>
        <w:spacing w:line="360" w:lineRule="auto"/>
        <w:jc w:val="both"/>
      </w:pPr>
      <w:r w:rsidRPr="00524366">
        <w:t>když tak strany činí „na oko“ (simulare) – obě strany (na rozdíl od tzv. reservatio mentalis</w:t>
      </w:r>
      <w:r w:rsidRPr="00524366">
        <w:rPr>
          <w:rStyle w:val="Znakapoznpodarou"/>
        </w:rPr>
        <w:footnoteReference w:id="19"/>
      </w:r>
      <w:r w:rsidRPr="00524366">
        <w:t xml:space="preserve">) mají v úmyslu, aby účinky takového právního jednání nenastoupily buď jen z části, anebo vůbec – právní jednání je také neplatné </w:t>
      </w:r>
    </w:p>
    <w:p w14:paraId="58BBE16C" w14:textId="3490C7BA" w:rsidR="00F24BE0" w:rsidRPr="00524366" w:rsidRDefault="00912836" w:rsidP="00F24BE0">
      <w:pPr>
        <w:pStyle w:val="Odstavecseseznamem"/>
        <w:numPr>
          <w:ilvl w:val="0"/>
          <w:numId w:val="2"/>
        </w:numPr>
        <w:spacing w:line="360" w:lineRule="auto"/>
        <w:jc w:val="both"/>
      </w:pPr>
      <w:r w:rsidRPr="00524366">
        <w:t>jednající si není vědom neshody mezi vůlí a projevem – příčinou této neshody je „error“</w:t>
      </w:r>
      <w:r w:rsidR="002D37AE" w:rsidRPr="00524366">
        <w:t>.</w:t>
      </w:r>
      <w:r w:rsidRPr="00524366">
        <w:rPr>
          <w:rStyle w:val="Znakapoznpodarou"/>
        </w:rPr>
        <w:footnoteReference w:id="20"/>
      </w:r>
      <w:r w:rsidR="002D37AE" w:rsidRPr="00524366">
        <w:t xml:space="preserve"> </w:t>
      </w:r>
      <w:r w:rsidR="002D37AE" w:rsidRPr="00524366">
        <w:rPr>
          <w:i/>
        </w:rPr>
        <w:t>„Neboť jak i Julián píše v první knize svých Digest, omyl stran vylučuje konsens.“</w:t>
      </w:r>
      <w:r w:rsidR="002D37AE" w:rsidRPr="00524366">
        <w:rPr>
          <w:rStyle w:val="Znakapoznpodarou"/>
          <w:i/>
        </w:rPr>
        <w:footnoteReference w:id="21"/>
      </w:r>
    </w:p>
    <w:p w14:paraId="314AF068" w14:textId="77777777" w:rsidR="00DE2697" w:rsidRPr="00524366" w:rsidRDefault="00DE2697" w:rsidP="00DE2697">
      <w:pPr>
        <w:pStyle w:val="Odstavecseseznamem"/>
        <w:spacing w:line="360" w:lineRule="auto"/>
        <w:ind w:left="1428"/>
        <w:jc w:val="both"/>
      </w:pPr>
    </w:p>
    <w:p w14:paraId="117B7753" w14:textId="1461F044" w:rsidR="008469D3" w:rsidRPr="00524366" w:rsidRDefault="00F24BE0" w:rsidP="000F389C">
      <w:pPr>
        <w:spacing w:line="360" w:lineRule="auto"/>
        <w:ind w:firstLine="708"/>
        <w:jc w:val="both"/>
      </w:pPr>
      <w:r w:rsidRPr="00524366">
        <w:t xml:space="preserve">V případě, že projev soukromé vůle nemá všechny zákonem (případně stranami) stanovené náležitosti pro dané právní jednání, zamýšlený právní účinek nenastane </w:t>
      </w:r>
      <w:r w:rsidR="001037B6" w:rsidRPr="00524366">
        <w:t xml:space="preserve">a </w:t>
      </w:r>
      <w:r w:rsidR="00B126D9" w:rsidRPr="00524366">
        <w:t>hovoříme</w:t>
      </w:r>
      <w:r w:rsidR="001037B6" w:rsidRPr="00524366">
        <w:t xml:space="preserve"> tedy</w:t>
      </w:r>
      <w:r w:rsidRPr="00524366">
        <w:t xml:space="preserve"> o právním </w:t>
      </w:r>
      <w:r w:rsidRPr="00524366">
        <w:lastRenderedPageBreak/>
        <w:t xml:space="preserve">jednání vadném. Právní jednání tedy nemá právě pro vady </w:t>
      </w:r>
      <w:r w:rsidR="00B126D9" w:rsidRPr="00524366">
        <w:t xml:space="preserve">či </w:t>
      </w:r>
      <w:r w:rsidRPr="00524366">
        <w:t xml:space="preserve">nedostatky očekávané účinky. </w:t>
      </w:r>
      <w:r w:rsidR="008469D3" w:rsidRPr="00524366">
        <w:t>Vadnost právního jednání má za následek:</w:t>
      </w:r>
      <w:r w:rsidR="00DE2697" w:rsidRPr="00524366">
        <w:t xml:space="preserve"> neexistenci (non negotium),</w:t>
      </w:r>
      <w:r w:rsidR="008469D3" w:rsidRPr="00524366">
        <w:t xml:space="preserve"> neplatnost, naříkatelnost</w:t>
      </w:r>
      <w:r w:rsidR="00EC2956" w:rsidRPr="00524366">
        <w:t xml:space="preserve"> či neúčinnost. </w:t>
      </w:r>
      <w:r w:rsidRPr="00524366">
        <w:t xml:space="preserve">Jak uvádí L. Heyrovský: </w:t>
      </w:r>
      <w:r w:rsidRPr="00524366">
        <w:rPr>
          <w:i/>
        </w:rPr>
        <w:t>„Co se dotýče neúčinnosti právního jednání vadného, jest rozeznávati mezi neplatností a naříkatelností jeho.“</w:t>
      </w:r>
      <w:r w:rsidRPr="00524366">
        <w:rPr>
          <w:rStyle w:val="Znakapoznpodarou"/>
          <w:i/>
        </w:rPr>
        <w:footnoteReference w:id="22"/>
      </w:r>
      <w:r w:rsidRPr="00524366">
        <w:rPr>
          <w:i/>
        </w:rPr>
        <w:t xml:space="preserve"> </w:t>
      </w:r>
    </w:p>
    <w:p w14:paraId="663D4CAB" w14:textId="5CA24D94" w:rsidR="00F24BE0" w:rsidRPr="00524366" w:rsidRDefault="00A10BD0" w:rsidP="00FD7FB7">
      <w:pPr>
        <w:spacing w:line="360" w:lineRule="auto"/>
        <w:ind w:firstLine="708"/>
        <w:jc w:val="both"/>
      </w:pPr>
      <w:r w:rsidRPr="00524366">
        <w:t>N</w:t>
      </w:r>
      <w:r w:rsidR="00F24BE0" w:rsidRPr="00524366">
        <w:t>eplatný</w:t>
      </w:r>
      <w:r w:rsidRPr="00524366">
        <w:t>m (negotium nullum)</w:t>
      </w:r>
      <w:r w:rsidR="00F24BE0" w:rsidRPr="00524366">
        <w:t xml:space="preserve"> se právní jednání stává tehdy, když pro svou určitou vadu zamýšlený právní účinek vůbec nenastane, takové právní jednání nemá žádné důsledky a po právu se na toto jednání hledí jakoby k němu nikdy nedošlo. </w:t>
      </w:r>
      <w:r w:rsidR="00742A8B" w:rsidRPr="00524366">
        <w:t xml:space="preserve">Důvodem neplatnosti </w:t>
      </w:r>
      <w:r w:rsidR="00A7343C" w:rsidRPr="00524366">
        <w:t>typicky</w:t>
      </w:r>
      <w:r w:rsidR="00742A8B" w:rsidRPr="00524366">
        <w:t xml:space="preserve"> bývá</w:t>
      </w:r>
      <w:r w:rsidR="00A7343C" w:rsidRPr="00524366">
        <w:t xml:space="preserve">: nezpůsobilost k právnímu jednání, nedodržení zákonem stanovené formy, nezpůsobilost strany/stran k danému právnímu jednání, </w:t>
      </w:r>
      <w:r w:rsidR="00D5090B" w:rsidRPr="00524366">
        <w:t xml:space="preserve">error essentialis, </w:t>
      </w:r>
      <w:r w:rsidR="00A7343C" w:rsidRPr="00524366">
        <w:t>jednání contra legem, jednání contra bono</w:t>
      </w:r>
      <w:r w:rsidR="00175B0B" w:rsidRPr="00524366">
        <w:t xml:space="preserve">s mores, vis ac metus aj. </w:t>
      </w:r>
      <w:r w:rsidR="00D5090B" w:rsidRPr="00524366">
        <w:t>Ř</w:t>
      </w:r>
      <w:r w:rsidR="00584277" w:rsidRPr="00524366">
        <w:t xml:space="preserve">ímané </w:t>
      </w:r>
      <w:r w:rsidR="00D5090B" w:rsidRPr="00524366">
        <w:t>rozlišovali neplatnost</w:t>
      </w:r>
      <w:r w:rsidR="00584277" w:rsidRPr="00524366">
        <w:t xml:space="preserve"> podle civilního práva - takové jednání je neplatné „ipso iure“ (ze samého práva) a neplatnost podle práva praetorského – takové jednání je neplatné „ope exceptionis“ (z moci námitky).</w:t>
      </w:r>
      <w:r w:rsidR="00317EE2" w:rsidRPr="00524366">
        <w:rPr>
          <w:rStyle w:val="Znakapoznpodarou"/>
        </w:rPr>
        <w:footnoteReference w:id="23"/>
      </w:r>
      <w:r w:rsidR="00482850" w:rsidRPr="00524366">
        <w:t xml:space="preserve"> </w:t>
      </w:r>
    </w:p>
    <w:p w14:paraId="6CD0C855" w14:textId="3A3C5B47" w:rsidR="00F24BE0" w:rsidRPr="00524366" w:rsidRDefault="00A10BD0" w:rsidP="00FD7FB7">
      <w:pPr>
        <w:spacing w:line="360" w:lineRule="auto"/>
        <w:ind w:firstLine="708"/>
        <w:jc w:val="both"/>
      </w:pPr>
      <w:r w:rsidRPr="00524366">
        <w:t>N</w:t>
      </w:r>
      <w:r w:rsidR="00F24BE0" w:rsidRPr="00524366">
        <w:t>aříkatelný</w:t>
      </w:r>
      <w:r w:rsidRPr="00524366">
        <w:t xml:space="preserve">m (negotium revocabile) </w:t>
      </w:r>
      <w:r w:rsidR="00F24BE0" w:rsidRPr="00524366">
        <w:t xml:space="preserve">se právní jednání stává tehdy, když právní jednání sice zamýšlené právní účinky způsobuje, ale </w:t>
      </w:r>
      <w:r w:rsidR="00F24BE0" w:rsidRPr="00524366">
        <w:rPr>
          <w:i/>
        </w:rPr>
        <w:t>„jedné straně nebo třetí osobě přísluší právo žádati za opětné zrušení</w:t>
      </w:r>
      <w:r w:rsidR="00F24BE0" w:rsidRPr="00524366">
        <w:rPr>
          <w:rStyle w:val="Znakapoznpodarou"/>
          <w:i/>
        </w:rPr>
        <w:footnoteReference w:id="24"/>
      </w:r>
      <w:r w:rsidR="00F24BE0" w:rsidRPr="00524366">
        <w:rPr>
          <w:i/>
        </w:rPr>
        <w:t xml:space="preserve"> oněch právních účinků neboli, jak pravíme, právo naříkati ono právní jednání“.</w:t>
      </w:r>
      <w:r w:rsidR="00F24BE0" w:rsidRPr="00524366">
        <w:rPr>
          <w:rStyle w:val="Znakapoznpodarou"/>
          <w:i/>
        </w:rPr>
        <w:footnoteReference w:id="25"/>
      </w:r>
      <w:r w:rsidR="00F24BE0" w:rsidRPr="00524366">
        <w:t xml:space="preserve"> Civilní právo připouštělo naříkatelnost právního jednání pro omyl podstatný.</w:t>
      </w:r>
      <w:r w:rsidR="00DD3023" w:rsidRPr="00524366">
        <w:t xml:space="preserve"> Na první pohled by se mohlo zdát, že naříkatelnost je v podstatě totéž, co relativní neplanost, </w:t>
      </w:r>
      <w:r w:rsidR="008D1D96" w:rsidRPr="00524366">
        <w:t>avšak tyto pojmy je nutno odlišovat</w:t>
      </w:r>
      <w:r w:rsidR="00DD3023" w:rsidRPr="00524366">
        <w:t xml:space="preserve">. </w:t>
      </w:r>
      <w:r w:rsidR="007D7051" w:rsidRPr="00524366">
        <w:t>R</w:t>
      </w:r>
      <w:r w:rsidR="00F36B05" w:rsidRPr="00524366">
        <w:t xml:space="preserve">elativní neplatnost </w:t>
      </w:r>
      <w:r w:rsidR="00E81EDD" w:rsidRPr="00524366">
        <w:t xml:space="preserve">totiž </w:t>
      </w:r>
      <w:r w:rsidR="00F36B05" w:rsidRPr="00524366">
        <w:t>mohl popírat kdokoliv, kdežto naříkat mohl jen t</w:t>
      </w:r>
      <w:r w:rsidR="00165491" w:rsidRPr="00524366">
        <w:t>en, komu by hrozila nějaká újma.</w:t>
      </w:r>
    </w:p>
    <w:p w14:paraId="3742D388" w14:textId="3404FDC0" w:rsidR="0083037C" w:rsidRPr="00524366" w:rsidRDefault="00A10BD0" w:rsidP="00FD7FB7">
      <w:pPr>
        <w:spacing w:line="360" w:lineRule="auto"/>
        <w:ind w:firstLine="708"/>
        <w:jc w:val="both"/>
      </w:pPr>
      <w:r w:rsidRPr="00524366">
        <w:t>Neúčinným</w:t>
      </w:r>
      <w:r w:rsidR="00F24BE0" w:rsidRPr="00524366">
        <w:t xml:space="preserve"> se právní jednání stane</w:t>
      </w:r>
      <w:r w:rsidR="00767682" w:rsidRPr="00524366">
        <w:t xml:space="preserve"> buď </w:t>
      </w:r>
      <w:r w:rsidR="003A45C2" w:rsidRPr="00524366">
        <w:t xml:space="preserve">od počátku, </w:t>
      </w:r>
      <w:r w:rsidRPr="00524366">
        <w:t xml:space="preserve">anebo může pozbýt účinnosti až po okolnosti, která způsobí právě jeho neúčinnost (neúčinnost počáteční a následná). </w:t>
      </w:r>
      <w:r w:rsidR="00EC2956" w:rsidRPr="00524366">
        <w:t>Jednání původně neplatné se však může stát dodatečně platným</w:t>
      </w:r>
      <w:r w:rsidR="00B77763" w:rsidRPr="00524366">
        <w:t>, lze t</w:t>
      </w:r>
      <w:r w:rsidR="009A4637" w:rsidRPr="00524366">
        <w:t>ak učinit</w:t>
      </w:r>
      <w:r w:rsidR="0083037C" w:rsidRPr="00524366">
        <w:t>:</w:t>
      </w:r>
    </w:p>
    <w:p w14:paraId="19638E2A" w14:textId="17D76F00" w:rsidR="0083037C" w:rsidRPr="00524366" w:rsidRDefault="009A4637" w:rsidP="009B6E18">
      <w:pPr>
        <w:pStyle w:val="Odstavecseseznamem"/>
        <w:numPr>
          <w:ilvl w:val="0"/>
          <w:numId w:val="14"/>
        </w:numPr>
        <w:spacing w:line="360" w:lineRule="auto"/>
        <w:jc w:val="both"/>
      </w:pPr>
      <w:r w:rsidRPr="00524366">
        <w:t>konver</w:t>
      </w:r>
      <w:r w:rsidR="0083037C" w:rsidRPr="00524366">
        <w:t xml:space="preserve">zí </w:t>
      </w:r>
      <w:r w:rsidR="00874860" w:rsidRPr="00524366">
        <w:t>–</w:t>
      </w:r>
      <w:r w:rsidR="0083037C" w:rsidRPr="00524366">
        <w:t xml:space="preserve"> </w:t>
      </w:r>
      <w:r w:rsidR="00874860" w:rsidRPr="00524366">
        <w:t xml:space="preserve">o konverzi se mluví tehdy, když strany mají v úmyslu </w:t>
      </w:r>
      <w:r w:rsidR="00AF0799" w:rsidRPr="00524366">
        <w:t>uzavřít určité právní jednání, ale ve skutečnosti má jejich právní jednání náležitosti jiného právního jednán</w:t>
      </w:r>
      <w:r w:rsidR="006C7FA5" w:rsidRPr="00524366">
        <w:t>í, než které původně zamýšlely (strany chtěly uzavřít commodatum</w:t>
      </w:r>
      <w:r w:rsidR="006C7FA5" w:rsidRPr="00524366">
        <w:rPr>
          <w:rStyle w:val="Znakapoznpodarou"/>
        </w:rPr>
        <w:footnoteReference w:id="26"/>
      </w:r>
      <w:r w:rsidR="00840C60" w:rsidRPr="00524366">
        <w:t>, sjednaly si však za užívání věci úplatu,</w:t>
      </w:r>
      <w:r w:rsidR="00440DC5" w:rsidRPr="00524366">
        <w:t xml:space="preserve"> konve</w:t>
      </w:r>
      <w:r w:rsidR="00096E67" w:rsidRPr="00524366">
        <w:t>rzí vznikne smlouva locatio conductio rei</w:t>
      </w:r>
      <w:r w:rsidR="004E59E1" w:rsidRPr="00524366">
        <w:rPr>
          <w:rStyle w:val="Znakapoznpodarou"/>
        </w:rPr>
        <w:footnoteReference w:id="27"/>
      </w:r>
      <w:r w:rsidR="00096E67" w:rsidRPr="00524366">
        <w:t>)</w:t>
      </w:r>
    </w:p>
    <w:p w14:paraId="062A9E1E" w14:textId="0C20C2D9" w:rsidR="0083037C" w:rsidRPr="00524366" w:rsidRDefault="0083037C" w:rsidP="009B6E18">
      <w:pPr>
        <w:pStyle w:val="Odstavecseseznamem"/>
        <w:numPr>
          <w:ilvl w:val="0"/>
          <w:numId w:val="14"/>
        </w:numPr>
        <w:spacing w:line="360" w:lineRule="auto"/>
        <w:jc w:val="both"/>
      </w:pPr>
      <w:r w:rsidRPr="00524366">
        <w:t>konvalidací (konvalescencí)</w:t>
      </w:r>
      <w:r w:rsidR="00B749E8" w:rsidRPr="00524366">
        <w:t xml:space="preserve"> – právní </w:t>
      </w:r>
      <w:r w:rsidR="00963DD0" w:rsidRPr="00524366">
        <w:t>jednání původně neplatné se stane platným tehdy, když vady odpadnou, když nastoupí zákonné náležitosti (</w:t>
      </w:r>
      <w:r w:rsidR="00740580" w:rsidRPr="00524366">
        <w:t>šílenec se uzdraví, nedospělec dospěje)</w:t>
      </w:r>
    </w:p>
    <w:p w14:paraId="1FFF22BE" w14:textId="04A47CD4" w:rsidR="00D102B4" w:rsidRPr="00524366" w:rsidRDefault="0083037C" w:rsidP="009B6E18">
      <w:pPr>
        <w:pStyle w:val="Odstavecseseznamem"/>
        <w:numPr>
          <w:ilvl w:val="0"/>
          <w:numId w:val="14"/>
        </w:numPr>
        <w:spacing w:line="360" w:lineRule="auto"/>
        <w:jc w:val="both"/>
        <w:rPr>
          <w:i/>
        </w:rPr>
      </w:pPr>
      <w:r w:rsidRPr="00524366">
        <w:lastRenderedPageBreak/>
        <w:t>anebo ratihabicí</w:t>
      </w:r>
      <w:r w:rsidR="00C97943" w:rsidRPr="00524366">
        <w:t xml:space="preserve"> </w:t>
      </w:r>
      <w:r w:rsidR="000B06CA" w:rsidRPr="00524366">
        <w:t>(pozdějším schválením) –</w:t>
      </w:r>
      <w:r w:rsidR="00C97943" w:rsidRPr="00524366">
        <w:t xml:space="preserve"> </w:t>
      </w:r>
      <w:r w:rsidR="000B06CA" w:rsidRPr="00524366">
        <w:t xml:space="preserve">právní jednání, které bylo učiněno bez svolení třetí osoby (poručníka, vlastníka věci), je neplatné; lze ho však pozdějším schválením </w:t>
      </w:r>
      <w:r w:rsidR="00D102B4" w:rsidRPr="00524366">
        <w:t>t</w:t>
      </w:r>
      <w:r w:rsidR="000B06CA" w:rsidRPr="00524366">
        <w:t>éto třetí osoby zhojit.</w:t>
      </w:r>
      <w:r w:rsidR="00D102B4" w:rsidRPr="00524366">
        <w:rPr>
          <w:rStyle w:val="Znakapoznpodarou"/>
        </w:rPr>
        <w:footnoteReference w:id="28"/>
      </w:r>
      <w:r w:rsidR="00D102B4" w:rsidRPr="00524366">
        <w:t xml:space="preserve"> Příklad ratihabice uvádí Paulus: „</w:t>
      </w:r>
      <w:r w:rsidR="00D102B4" w:rsidRPr="00524366">
        <w:rPr>
          <w:i/>
        </w:rPr>
        <w:t xml:space="preserve">Majetek třetí osoby může být dán do zástavy pouze se souhlasem vlastníka. Pokud je tento majetek dán do zástavy bez jeho vědomí, avšak později </w:t>
      </w:r>
      <w:r w:rsidR="008D1D96" w:rsidRPr="00524366">
        <w:rPr>
          <w:i/>
        </w:rPr>
        <w:t xml:space="preserve">již </w:t>
      </w:r>
      <w:r w:rsidR="00D102B4" w:rsidRPr="00524366">
        <w:rPr>
          <w:i/>
        </w:rPr>
        <w:t>učiněné jednání schválí, bude zástava platná.“</w:t>
      </w:r>
      <w:r w:rsidR="00D102B4" w:rsidRPr="00524366">
        <w:rPr>
          <w:rStyle w:val="Znakapoznpodarou"/>
          <w:i/>
        </w:rPr>
        <w:footnoteReference w:id="29"/>
      </w:r>
    </w:p>
    <w:p w14:paraId="3AC3C6AC" w14:textId="218E256B" w:rsidR="00F24BE0" w:rsidRPr="00524366" w:rsidRDefault="000B06CA" w:rsidP="00D102B4">
      <w:pPr>
        <w:pStyle w:val="Odstavecseseznamem"/>
        <w:spacing w:line="360" w:lineRule="auto"/>
        <w:jc w:val="both"/>
      </w:pPr>
      <w:r w:rsidRPr="00524366">
        <w:t xml:space="preserve">  </w:t>
      </w:r>
    </w:p>
    <w:p w14:paraId="21FA4FA7" w14:textId="773F7FC0" w:rsidR="00D45F4A" w:rsidRPr="00524366" w:rsidRDefault="00380CDB" w:rsidP="009B7F39">
      <w:pPr>
        <w:spacing w:line="360" w:lineRule="auto"/>
        <w:ind w:firstLine="708"/>
        <w:jc w:val="both"/>
        <w:rPr>
          <w:i/>
        </w:rPr>
      </w:pPr>
      <w:r w:rsidRPr="00524366">
        <w:t>V Digestech nalezneme fragment</w:t>
      </w:r>
      <w:r w:rsidRPr="00524366">
        <w:rPr>
          <w:rStyle w:val="Znakapoznpodarou"/>
        </w:rPr>
        <w:footnoteReference w:id="30"/>
      </w:r>
      <w:r w:rsidRPr="00524366">
        <w:t xml:space="preserve"> klasického římského právníka Paula, jenž uvádí, že vznikne-li mezi vůlí a projevem rozpor, jednání je neplatné: </w:t>
      </w:r>
      <w:r w:rsidRPr="00524366">
        <w:rPr>
          <w:i/>
        </w:rPr>
        <w:t>„</w:t>
      </w:r>
      <w:r w:rsidR="004F5DA7" w:rsidRPr="00524366">
        <w:rPr>
          <w:i/>
        </w:rPr>
        <w:t>Když je věta nejednoznačná (dvojsmyslná), nemůžeme to interpretovat oběma způsoby, ale pouze způsobem, který odpovídá vůli jednajícího. Pr</w:t>
      </w:r>
      <w:r w:rsidR="00775E65" w:rsidRPr="00524366">
        <w:rPr>
          <w:i/>
        </w:rPr>
        <w:t>oto, když někdo řekl něco, co ne</w:t>
      </w:r>
      <w:r w:rsidR="004F5DA7" w:rsidRPr="00524366">
        <w:rPr>
          <w:i/>
        </w:rPr>
        <w:t>měl v úmyslu říct,</w:t>
      </w:r>
      <w:r w:rsidR="00775E65" w:rsidRPr="00524366">
        <w:rPr>
          <w:i/>
        </w:rPr>
        <w:t xml:space="preserve"> neřekl </w:t>
      </w:r>
      <w:r w:rsidR="006F7C17" w:rsidRPr="00524366">
        <w:rPr>
          <w:i/>
        </w:rPr>
        <w:t xml:space="preserve">tedy </w:t>
      </w:r>
      <w:r w:rsidR="00775E65" w:rsidRPr="00524366">
        <w:rPr>
          <w:i/>
        </w:rPr>
        <w:t xml:space="preserve">ani pravý </w:t>
      </w:r>
      <w:r w:rsidR="002F6B89" w:rsidRPr="00524366">
        <w:rPr>
          <w:i/>
        </w:rPr>
        <w:t>význam</w:t>
      </w:r>
      <w:r w:rsidR="004F5DA7" w:rsidRPr="00524366">
        <w:rPr>
          <w:i/>
        </w:rPr>
        <w:t>, protože to nebyl jeho záměr (úmysl), neřekl ani to, co měl v</w:t>
      </w:r>
      <w:r w:rsidR="00775E65" w:rsidRPr="00524366">
        <w:rPr>
          <w:i/>
        </w:rPr>
        <w:t> </w:t>
      </w:r>
      <w:r w:rsidR="004F5DA7" w:rsidRPr="00524366">
        <w:rPr>
          <w:i/>
        </w:rPr>
        <w:t>úmyslu</w:t>
      </w:r>
      <w:r w:rsidR="00775E65" w:rsidRPr="00524366">
        <w:rPr>
          <w:i/>
        </w:rPr>
        <w:t xml:space="preserve"> říct</w:t>
      </w:r>
      <w:r w:rsidR="004F5DA7" w:rsidRPr="00524366">
        <w:rPr>
          <w:i/>
        </w:rPr>
        <w:t xml:space="preserve"> (co zamýšlel), protože nepoužil jazyk vhodný pro tento účel.“</w:t>
      </w:r>
      <w:r w:rsidR="00E97CE5" w:rsidRPr="00524366">
        <w:t xml:space="preserve"> </w:t>
      </w:r>
      <w:r w:rsidR="006F7277" w:rsidRPr="00524366">
        <w:t xml:space="preserve"> Jako příklad </w:t>
      </w:r>
      <w:r w:rsidR="002857AF" w:rsidRPr="00524366">
        <w:t>rozpor</w:t>
      </w:r>
      <w:r w:rsidR="00783423" w:rsidRPr="00524366">
        <w:t>ného jednání vůle a jejího projevu lze uvést tento:</w:t>
      </w:r>
      <w:r w:rsidR="006C3B75" w:rsidRPr="00524366">
        <w:t xml:space="preserve"> v případě, že někdo v závěti </w:t>
      </w:r>
      <w:r w:rsidR="00395FA7" w:rsidRPr="00524366">
        <w:t>označí jako svého dědice Petra (kterého</w:t>
      </w:r>
      <w:r w:rsidR="006C3B75" w:rsidRPr="00524366">
        <w:t xml:space="preserve"> však jak bylo </w:t>
      </w:r>
      <w:r w:rsidR="004E7BA2" w:rsidRPr="00524366">
        <w:t>známo,</w:t>
      </w:r>
      <w:r w:rsidR="006C3B75" w:rsidRPr="00524366">
        <w:t xml:space="preserve"> neměl rád) a </w:t>
      </w:r>
      <w:r w:rsidR="00395FA7" w:rsidRPr="00524366">
        <w:t>přitom však měl na mysli Pavla</w:t>
      </w:r>
      <w:r w:rsidR="006C3B75" w:rsidRPr="00524366">
        <w:t xml:space="preserve"> </w:t>
      </w:r>
      <w:r w:rsidR="00E32D80" w:rsidRPr="00524366">
        <w:t>(svého blízkého přítele)</w:t>
      </w:r>
      <w:r w:rsidR="007A0408" w:rsidRPr="00524366">
        <w:rPr>
          <w:rStyle w:val="Znakapoznpodarou"/>
        </w:rPr>
        <w:footnoteReference w:id="31"/>
      </w:r>
      <w:r w:rsidR="00E32D80" w:rsidRPr="00524366">
        <w:t>, neměl by být podle Paula</w:t>
      </w:r>
      <w:r w:rsidR="006C3B75" w:rsidRPr="00524366">
        <w:t xml:space="preserve"> dědicem ani jede</w:t>
      </w:r>
      <w:r w:rsidR="00783423" w:rsidRPr="00524366">
        <w:t xml:space="preserve">n z nich, neboť zůstavitel Petra </w:t>
      </w:r>
      <w:r w:rsidR="006C3B75" w:rsidRPr="00524366">
        <w:t xml:space="preserve">nechce a o </w:t>
      </w:r>
      <w:r w:rsidR="00783423" w:rsidRPr="00524366">
        <w:t>Pavlovi mlčí</w:t>
      </w:r>
      <w:r w:rsidR="006C3B75" w:rsidRPr="00524366">
        <w:t>.</w:t>
      </w:r>
      <w:r w:rsidR="00E32D80" w:rsidRPr="00524366">
        <w:t xml:space="preserve"> Jsem však toho názoru, že by se měla uplatnit zásada </w:t>
      </w:r>
      <w:r w:rsidR="00E32D80" w:rsidRPr="00524366">
        <w:rPr>
          <w:i/>
        </w:rPr>
        <w:t>falsa demonstratio non nocet</w:t>
      </w:r>
      <w:r w:rsidR="00A9271F" w:rsidRPr="00524366">
        <w:rPr>
          <w:i/>
        </w:rPr>
        <w:t>,</w:t>
      </w:r>
      <w:r w:rsidR="00E32D80" w:rsidRPr="00524366">
        <w:rPr>
          <w:rStyle w:val="Znakapoznpodarou"/>
          <w:i/>
        </w:rPr>
        <w:footnoteReference w:id="32"/>
      </w:r>
      <w:r w:rsidR="00E32D80" w:rsidRPr="00524366">
        <w:t xml:space="preserve"> resp. zásada </w:t>
      </w:r>
      <w:r w:rsidR="00E32D80" w:rsidRPr="00524366">
        <w:rPr>
          <w:i/>
        </w:rPr>
        <w:t>falsa demonstratione legatum non perimitur</w:t>
      </w:r>
      <w:r w:rsidR="00A9271F" w:rsidRPr="00524366">
        <w:rPr>
          <w:i/>
        </w:rPr>
        <w:t>,</w:t>
      </w:r>
      <w:r w:rsidR="00E32D80" w:rsidRPr="00524366">
        <w:rPr>
          <w:rStyle w:val="Znakapoznpodarou"/>
          <w:i/>
        </w:rPr>
        <w:footnoteReference w:id="33"/>
      </w:r>
      <w:r w:rsidR="003C0008" w:rsidRPr="00524366">
        <w:t xml:space="preserve">toto lze opřít i o názor Marcella: </w:t>
      </w:r>
      <w:r w:rsidR="00395FA7" w:rsidRPr="00524366">
        <w:rPr>
          <w:i/>
        </w:rPr>
        <w:t>„Bylo rozhodnuto, že když je závěť dvojsmyslná, dokonce i když je chybná/nespráv</w:t>
      </w:r>
      <w:r w:rsidR="00E81EDD" w:rsidRPr="00524366">
        <w:rPr>
          <w:i/>
        </w:rPr>
        <w:t>ná, měla by být interpretována v</w:t>
      </w:r>
      <w:r w:rsidR="00395FA7" w:rsidRPr="00524366">
        <w:rPr>
          <w:i/>
        </w:rPr>
        <w:t>e prospěch a v souladu s tím, co se předpokládá, že zamýšlel zůstavitel.“</w:t>
      </w:r>
      <w:r w:rsidR="00395FA7" w:rsidRPr="00524366">
        <w:rPr>
          <w:rStyle w:val="Znakapoznpodarou"/>
          <w:i/>
        </w:rPr>
        <w:footnoteReference w:id="34"/>
      </w:r>
      <w:r w:rsidR="009B7F39" w:rsidRPr="00524366">
        <w:t xml:space="preserve">  Jeho blízký přítel Pavel by mohl být dědicem, nicméně musel by se prokázat zůstavitelův zamýšlený projev (lze si představit případy, kdy by dokazování složité nebylo, lze si však představit i opačné případy). Jsem tedy toho názoru, že v případě, když by se našly osoby, které by v souladu s výše uvedenou zásadou osvědčily, že zůstavitel chtěl za dědice Pavla a nikoliv Petra, byl</w:t>
      </w:r>
      <w:r w:rsidR="00106D84" w:rsidRPr="00524366">
        <w:t xml:space="preserve"> by Pavel právoplatným dědicem. Srov. také: </w:t>
      </w:r>
      <w:r w:rsidR="00106D84" w:rsidRPr="00524366">
        <w:rPr>
          <w:i/>
        </w:rPr>
        <w:t>„Jestliže se zůstavitel zmýlil ve jménu, příjmení nebo v prvním jménu obdařeného z odkazu, zůstává odkaz platným tehdy, jestliže nenastanou pochybnosti o jeho osobě. Totéž oprávněně platí také ohledně dědiců. Jména totiž byla vynalezena k označování lidí; proto stačí, jestliže jsme schopni také jinak stanovit o koho jde.“</w:t>
      </w:r>
      <w:r w:rsidR="00106D84" w:rsidRPr="00524366">
        <w:rPr>
          <w:rStyle w:val="Znakapoznpodarou"/>
          <w:i/>
        </w:rPr>
        <w:footnoteReference w:id="35"/>
      </w:r>
      <w:r w:rsidR="00106D84" w:rsidRPr="00524366">
        <w:rPr>
          <w:i/>
        </w:rPr>
        <w:t xml:space="preserve"> </w:t>
      </w:r>
    </w:p>
    <w:p w14:paraId="457536BF" w14:textId="43E3AF0E" w:rsidR="00F711F1" w:rsidRPr="00524366" w:rsidRDefault="00C57CC1" w:rsidP="00FD17A2">
      <w:pPr>
        <w:spacing w:line="360" w:lineRule="auto"/>
        <w:ind w:firstLine="708"/>
        <w:jc w:val="both"/>
      </w:pPr>
      <w:r w:rsidRPr="00524366">
        <w:lastRenderedPageBreak/>
        <w:t xml:space="preserve"> </w:t>
      </w:r>
      <w:r w:rsidR="006C3B75" w:rsidRPr="00524366">
        <w:t>Dalším příkladem nejednoznačného</w:t>
      </w:r>
      <w:r w:rsidR="007A0408" w:rsidRPr="00524366">
        <w:t>, resp. chybného (neúplného)</w:t>
      </w:r>
      <w:r w:rsidR="006C3B75" w:rsidRPr="00524366">
        <w:t xml:space="preserve"> textu může být situace, kdy zůstavitel v závěti uvede: „propusť na svobodu mého milého</w:t>
      </w:r>
      <w:r w:rsidR="004E7BA2" w:rsidRPr="00524366">
        <w:t xml:space="preserve"> otroka</w:t>
      </w:r>
      <w:r w:rsidR="006C3B75" w:rsidRPr="00524366">
        <w:t xml:space="preserve"> Sticha“ (situace je však taková, že zůstavitel měl v majetku dva otroky stejného jména – jeden </w:t>
      </w:r>
      <w:r w:rsidR="004E7BA2" w:rsidRPr="00524366">
        <w:t>řecký učitel moudros</w:t>
      </w:r>
      <w:r w:rsidR="007A0408" w:rsidRPr="00524366">
        <w:t>ti a druhý kovář v dílně</w:t>
      </w:r>
      <w:r w:rsidR="004E7BA2" w:rsidRPr="00524366">
        <w:t>).</w:t>
      </w:r>
      <w:r w:rsidR="007A0408" w:rsidRPr="00524366">
        <w:rPr>
          <w:rStyle w:val="Znakapoznpodarou"/>
        </w:rPr>
        <w:footnoteReference w:id="36"/>
      </w:r>
      <w:r w:rsidR="00B469F5" w:rsidRPr="00524366">
        <w:t xml:space="preserve"> V této situaci</w:t>
      </w:r>
      <w:r w:rsidR="004E7BA2" w:rsidRPr="00524366">
        <w:t xml:space="preserve"> je nutné zjistit</w:t>
      </w:r>
      <w:r w:rsidR="00B469F5" w:rsidRPr="00524366">
        <w:t>, který otrok byl jeho oblíbený;</w:t>
      </w:r>
      <w:r w:rsidR="004E7BA2" w:rsidRPr="00524366">
        <w:t xml:space="preserve"> pokud zjistíme, že to byl Stichus, učitel moudrosti, bude propuštěn na svobodu právě on. Jazykový projev zůstavitele je totiž třeba vykládat v</w:t>
      </w:r>
      <w:r w:rsidR="00861CBF" w:rsidRPr="00524366">
        <w:t> </w:t>
      </w:r>
      <w:r w:rsidR="004E7BA2" w:rsidRPr="00524366">
        <w:t xml:space="preserve">souladu s jeho vůlí. </w:t>
      </w:r>
      <w:r w:rsidR="00F711F1" w:rsidRPr="00524366">
        <w:t xml:space="preserve">Na tomto místě je vhodné poukázat na </w:t>
      </w:r>
      <w:r w:rsidR="00BE5C19" w:rsidRPr="00524366">
        <w:t>současné ustanovení</w:t>
      </w:r>
      <w:r w:rsidR="00861CBF" w:rsidRPr="00524366">
        <w:t xml:space="preserve"> </w:t>
      </w:r>
      <w:r w:rsidR="00F711F1" w:rsidRPr="00524366">
        <w:t>§ 556 odst. 1</w:t>
      </w:r>
      <w:r w:rsidR="00861CBF" w:rsidRPr="00524366">
        <w:t xml:space="preserve"> NOZ, které</w:t>
      </w:r>
      <w:r w:rsidR="00F711F1" w:rsidRPr="00524366">
        <w:t xml:space="preserve"> zní: </w:t>
      </w:r>
      <w:r w:rsidR="00F711F1" w:rsidRPr="00524366">
        <w:rPr>
          <w:i/>
        </w:rPr>
        <w:t xml:space="preserve">„Co je vyjádřeno slovy nebo jinak, vyloží se podle úmyslu jednajícího, byl-li takový úmysl druhé straně znám, anebo musela-li o něm vědět. Nelze-li zjistit úmysl jednajícího, přisuzuje se projevu vůle význam, jaký by mu zpravidla přikládala osoba v postavení toho, jemuž je projev vůle určen.“ </w:t>
      </w:r>
      <w:r w:rsidR="00D70EAC" w:rsidRPr="00524366">
        <w:t xml:space="preserve"> </w:t>
      </w:r>
      <w:r w:rsidR="00FF3092" w:rsidRPr="00524366">
        <w:t xml:space="preserve">Zde </w:t>
      </w:r>
      <w:r w:rsidR="00034492" w:rsidRPr="00524366">
        <w:t>si lze všimnout</w:t>
      </w:r>
      <w:r w:rsidR="00F328D6" w:rsidRPr="00524366">
        <w:t xml:space="preserve">, že </w:t>
      </w:r>
      <w:r w:rsidR="00FD17A2" w:rsidRPr="00524366">
        <w:t>stejný pohled má</w:t>
      </w:r>
      <w:r w:rsidR="00861CBF" w:rsidRPr="00524366">
        <w:t xml:space="preserve"> i naše současná právní úprava, nicméně je nutno </w:t>
      </w:r>
      <w:r w:rsidR="00FF3092" w:rsidRPr="00524366">
        <w:t>podotknout, že toto ustanovení se vztahuje pouze na adresovaná právní jednání, nikoliv tedy na závěť (jež je neadresované právní jednán</w:t>
      </w:r>
      <w:r w:rsidR="00034492" w:rsidRPr="00524366">
        <w:t xml:space="preserve">í). Závěť má </w:t>
      </w:r>
      <w:r w:rsidR="00861CBF" w:rsidRPr="00524366">
        <w:t xml:space="preserve">totiž </w:t>
      </w:r>
      <w:r w:rsidR="00034492" w:rsidRPr="00524366">
        <w:t xml:space="preserve">svou speciální úpravu v § 1494 odst. 2, podle tohoto ustanovení je však </w:t>
      </w:r>
      <w:r w:rsidR="00861CBF" w:rsidRPr="00524366">
        <w:t xml:space="preserve">také </w:t>
      </w:r>
      <w:r w:rsidR="00034492" w:rsidRPr="00524366">
        <w:t xml:space="preserve">třeba závěť vykládat tak, aby bylo co nejvíce vyhověno vůli zůstavitele. </w:t>
      </w:r>
    </w:p>
    <w:p w14:paraId="39837125" w14:textId="77777777" w:rsidR="00FE5BC4" w:rsidRPr="00524366" w:rsidRDefault="00FE5BC4" w:rsidP="00FE5BC4">
      <w:pPr>
        <w:spacing w:line="360" w:lineRule="auto"/>
        <w:jc w:val="both"/>
        <w:rPr>
          <w:i/>
        </w:rPr>
      </w:pPr>
    </w:p>
    <w:p w14:paraId="57E0D94E" w14:textId="043F6BB4" w:rsidR="007A5DF3" w:rsidRPr="00524366" w:rsidRDefault="00D83959" w:rsidP="009B6E18">
      <w:pPr>
        <w:pStyle w:val="Nadpis2"/>
        <w:numPr>
          <w:ilvl w:val="1"/>
          <w:numId w:val="3"/>
        </w:numPr>
      </w:pPr>
      <w:bookmarkStart w:id="3" w:name="_Toc523139866"/>
      <w:r w:rsidRPr="00524366">
        <w:t>Jednotlivé t</w:t>
      </w:r>
      <w:r w:rsidR="00D76C73" w:rsidRPr="00524366">
        <w:t>ypy omylu</w:t>
      </w:r>
      <w:bookmarkEnd w:id="3"/>
    </w:p>
    <w:p w14:paraId="1560D762" w14:textId="77777777" w:rsidR="00D76C73" w:rsidRPr="00524366" w:rsidRDefault="00D76C73" w:rsidP="00D76C73"/>
    <w:p w14:paraId="65824D5B" w14:textId="1C87BD89" w:rsidR="00EC285D" w:rsidRPr="00524366" w:rsidRDefault="00EC285D" w:rsidP="00EC285D">
      <w:pPr>
        <w:spacing w:line="360" w:lineRule="auto"/>
        <w:ind w:left="-57" w:firstLine="757"/>
        <w:jc w:val="both"/>
      </w:pPr>
      <w:r w:rsidRPr="00524366">
        <w:t>Římané nevyvinuli obecnou doktrínu omylu, která by byla nezávislá na konkrétním ty</w:t>
      </w:r>
      <w:r w:rsidR="00B469F5" w:rsidRPr="00524366">
        <w:t>pu smlouvy, nicméně</w:t>
      </w:r>
      <w:r w:rsidR="003360B4" w:rsidRPr="00524366">
        <w:t xml:space="preserve"> omezili</w:t>
      </w:r>
      <w:r w:rsidR="00FD7FB7" w:rsidRPr="00524366">
        <w:t xml:space="preserve"> příslušné typy omylu</w:t>
      </w:r>
      <w:r w:rsidRPr="00524366">
        <w:t xml:space="preserve"> na úzce vymezené kategorie.</w:t>
      </w:r>
      <w:r w:rsidRPr="00524366">
        <w:rPr>
          <w:rStyle w:val="Znakapoznpodarou"/>
        </w:rPr>
        <w:footnoteReference w:id="37"/>
      </w:r>
      <w:r w:rsidRPr="00524366">
        <w:t xml:space="preserve"> Druhy omylu dle římského práva</w:t>
      </w:r>
      <w:r w:rsidR="003360B4" w:rsidRPr="00524366">
        <w:t>, o nichž bude podrobně pojednáno dále, jsou v souhrnu tyto</w:t>
      </w:r>
      <w:r w:rsidRPr="00524366">
        <w:t xml:space="preserve">: </w:t>
      </w:r>
    </w:p>
    <w:p w14:paraId="52DE8542" w14:textId="77777777" w:rsidR="00EC285D" w:rsidRPr="00524366" w:rsidRDefault="00EC285D" w:rsidP="009B6E18">
      <w:pPr>
        <w:pStyle w:val="Odstavecseseznamem"/>
        <w:numPr>
          <w:ilvl w:val="0"/>
          <w:numId w:val="1"/>
        </w:numPr>
        <w:spacing w:line="360" w:lineRule="auto"/>
        <w:jc w:val="both"/>
      </w:pPr>
      <w:r w:rsidRPr="00524366">
        <w:t xml:space="preserve">Error iuris (omyl právní) </w:t>
      </w:r>
    </w:p>
    <w:p w14:paraId="3DAB0FB7" w14:textId="77777777" w:rsidR="00EC285D" w:rsidRPr="00524366" w:rsidRDefault="00EC285D" w:rsidP="009B6E18">
      <w:pPr>
        <w:pStyle w:val="Odstavecseseznamem"/>
        <w:numPr>
          <w:ilvl w:val="0"/>
          <w:numId w:val="1"/>
        </w:numPr>
        <w:spacing w:line="360" w:lineRule="auto"/>
        <w:jc w:val="both"/>
      </w:pPr>
      <w:r w:rsidRPr="00524366">
        <w:t xml:space="preserve">Error facti (omyl skutkový) </w:t>
      </w:r>
    </w:p>
    <w:p w14:paraId="38EDC66E" w14:textId="77777777" w:rsidR="00B57B88" w:rsidRPr="00524366" w:rsidRDefault="00B57B88" w:rsidP="009B6E18">
      <w:pPr>
        <w:pStyle w:val="Odstavecseseznamem"/>
        <w:numPr>
          <w:ilvl w:val="0"/>
          <w:numId w:val="1"/>
        </w:numPr>
        <w:spacing w:line="360" w:lineRule="auto"/>
        <w:jc w:val="both"/>
      </w:pPr>
      <w:r w:rsidRPr="00524366">
        <w:t xml:space="preserve">Error in persona (omyl v osobě) </w:t>
      </w:r>
    </w:p>
    <w:p w14:paraId="6686B80B" w14:textId="77777777" w:rsidR="00EC285D" w:rsidRPr="00524366" w:rsidRDefault="00EC285D" w:rsidP="009B6E18">
      <w:pPr>
        <w:pStyle w:val="Odstavecseseznamem"/>
        <w:numPr>
          <w:ilvl w:val="0"/>
          <w:numId w:val="1"/>
        </w:numPr>
        <w:spacing w:line="360" w:lineRule="auto"/>
        <w:jc w:val="both"/>
      </w:pPr>
      <w:r w:rsidRPr="00524366">
        <w:t xml:space="preserve">Error in negotio (omyl v právní povaze daného jednání – omyl v obsahu) </w:t>
      </w:r>
    </w:p>
    <w:p w14:paraId="57EE901D" w14:textId="77777777" w:rsidR="00EC285D" w:rsidRPr="00524366" w:rsidRDefault="00EC285D" w:rsidP="009B6E18">
      <w:pPr>
        <w:pStyle w:val="Odstavecseseznamem"/>
        <w:numPr>
          <w:ilvl w:val="0"/>
          <w:numId w:val="1"/>
        </w:numPr>
        <w:spacing w:line="360" w:lineRule="auto"/>
        <w:jc w:val="both"/>
      </w:pPr>
      <w:r w:rsidRPr="00524366">
        <w:t xml:space="preserve">Error in corpore (omyl v předmětu) </w:t>
      </w:r>
    </w:p>
    <w:p w14:paraId="761B96C0" w14:textId="77777777" w:rsidR="00EC285D" w:rsidRPr="00524366" w:rsidRDefault="00EC285D" w:rsidP="009B6E18">
      <w:pPr>
        <w:pStyle w:val="Odstavecseseznamem"/>
        <w:numPr>
          <w:ilvl w:val="0"/>
          <w:numId w:val="1"/>
        </w:numPr>
        <w:spacing w:line="360" w:lineRule="auto"/>
        <w:jc w:val="both"/>
      </w:pPr>
      <w:r w:rsidRPr="00524366">
        <w:t xml:space="preserve">Error in qualitate (omyl ve vlastnostech osoby či věci) </w:t>
      </w:r>
    </w:p>
    <w:p w14:paraId="1B734B5F" w14:textId="77777777" w:rsidR="00EC285D" w:rsidRPr="00524366" w:rsidRDefault="00EC285D" w:rsidP="009B6E18">
      <w:pPr>
        <w:pStyle w:val="Odstavecseseznamem"/>
        <w:numPr>
          <w:ilvl w:val="1"/>
          <w:numId w:val="1"/>
        </w:numPr>
        <w:spacing w:line="360" w:lineRule="auto"/>
        <w:jc w:val="both"/>
      </w:pPr>
      <w:r w:rsidRPr="00524366">
        <w:t xml:space="preserve">Error in materia/error in substantia (omyl ve hmotě věci) </w:t>
      </w:r>
    </w:p>
    <w:p w14:paraId="14F3DFFB" w14:textId="77777777" w:rsidR="00195190" w:rsidRPr="00524366" w:rsidRDefault="00195190" w:rsidP="009B6E18">
      <w:pPr>
        <w:pStyle w:val="Odstavecseseznamem"/>
        <w:numPr>
          <w:ilvl w:val="1"/>
          <w:numId w:val="1"/>
        </w:numPr>
        <w:spacing w:line="360" w:lineRule="auto"/>
        <w:jc w:val="both"/>
      </w:pPr>
      <w:r w:rsidRPr="00524366">
        <w:t xml:space="preserve">Error in virgintate (omyl v panenství otrokyně) </w:t>
      </w:r>
    </w:p>
    <w:p w14:paraId="311F4CA9" w14:textId="77777777" w:rsidR="00EC285D" w:rsidRPr="00524366" w:rsidRDefault="00EC285D" w:rsidP="009B6E18">
      <w:pPr>
        <w:pStyle w:val="Odstavecseseznamem"/>
        <w:numPr>
          <w:ilvl w:val="1"/>
          <w:numId w:val="1"/>
        </w:numPr>
        <w:spacing w:line="360" w:lineRule="auto"/>
        <w:jc w:val="both"/>
      </w:pPr>
      <w:r w:rsidRPr="00524366">
        <w:t xml:space="preserve">Error in sexu (omyl v pohlaví otroka) </w:t>
      </w:r>
    </w:p>
    <w:p w14:paraId="4194CD61" w14:textId="53EC47C0" w:rsidR="00D76C73" w:rsidRPr="00524366" w:rsidRDefault="00D76C73" w:rsidP="00D76C73">
      <w:r w:rsidRPr="00524366">
        <w:br w:type="page"/>
      </w:r>
    </w:p>
    <w:p w14:paraId="0EE666E9" w14:textId="511E83FD" w:rsidR="0095571C" w:rsidRPr="00524366" w:rsidRDefault="0095571C" w:rsidP="009B6E18">
      <w:pPr>
        <w:pStyle w:val="Nadpis1"/>
        <w:numPr>
          <w:ilvl w:val="0"/>
          <w:numId w:val="3"/>
        </w:numPr>
      </w:pPr>
      <w:bookmarkStart w:id="4" w:name="_Toc523139867"/>
      <w:r w:rsidRPr="00524366">
        <w:lastRenderedPageBreak/>
        <w:t xml:space="preserve">Error </w:t>
      </w:r>
      <w:r w:rsidR="00C07CA4" w:rsidRPr="00524366">
        <w:t>vs. dissensus</w:t>
      </w:r>
      <w:bookmarkEnd w:id="4"/>
    </w:p>
    <w:p w14:paraId="61EC0452" w14:textId="77777777" w:rsidR="00D76C73" w:rsidRPr="00524366" w:rsidRDefault="00D76C73" w:rsidP="00D76C73"/>
    <w:p w14:paraId="78DB8FB6" w14:textId="72CCFDE1" w:rsidR="0014145C" w:rsidRPr="00524366" w:rsidRDefault="0095571C" w:rsidP="00FD7FB7">
      <w:pPr>
        <w:spacing w:line="360" w:lineRule="auto"/>
        <w:ind w:left="-57" w:firstLine="765"/>
        <w:jc w:val="both"/>
      </w:pPr>
      <w:r w:rsidRPr="00524366">
        <w:t>V římském právu nebyla otázka omylu a dissensu st</w:t>
      </w:r>
      <w:r w:rsidR="00794A85" w:rsidRPr="00524366">
        <w:t>riktně rozlišována</w:t>
      </w:r>
      <w:r w:rsidRPr="00524366">
        <w:t xml:space="preserve">, a to především z toho důvodu, že samotný </w:t>
      </w:r>
      <w:r w:rsidR="00794A85" w:rsidRPr="00524366">
        <w:t>konsens</w:t>
      </w:r>
      <w:r w:rsidRPr="00524366">
        <w:t xml:space="preserve"> stran byl jen výjimečně jediným důvodem vzniku smlouvy; třeba v</w:t>
      </w:r>
      <w:r w:rsidR="00794A85" w:rsidRPr="00524366">
        <w:t> </w:t>
      </w:r>
      <w:r w:rsidRPr="00524366">
        <w:t>případě s</w:t>
      </w:r>
      <w:r w:rsidR="007707D5" w:rsidRPr="00524366">
        <w:t>tipulace byl závazek založen na bezprostřední výměně shodné otázky a odpovědi</w:t>
      </w:r>
      <w:r w:rsidR="00B469F5" w:rsidRPr="00524366">
        <w:t>.</w:t>
      </w:r>
      <w:r w:rsidRPr="00524366">
        <w:rPr>
          <w:rStyle w:val="Znakapoznpodarou"/>
        </w:rPr>
        <w:footnoteReference w:id="38"/>
      </w:r>
      <w:r w:rsidR="0081331D" w:rsidRPr="00524366">
        <w:rPr>
          <w:vertAlign w:val="superscript"/>
        </w:rPr>
        <w:t>,</w:t>
      </w:r>
      <w:r w:rsidR="0014145C" w:rsidRPr="00524366">
        <w:rPr>
          <w:rStyle w:val="Znakapoznpodarou"/>
        </w:rPr>
        <w:footnoteReference w:id="39"/>
      </w:r>
      <w:r w:rsidRPr="00524366">
        <w:t xml:space="preserve"> </w:t>
      </w:r>
    </w:p>
    <w:p w14:paraId="385DA8D7" w14:textId="468A2C50" w:rsidR="0080224A" w:rsidRPr="00524366" w:rsidRDefault="0095571C" w:rsidP="00FD7FB7">
      <w:pPr>
        <w:spacing w:line="360" w:lineRule="auto"/>
        <w:ind w:left="-57" w:firstLine="765"/>
        <w:jc w:val="both"/>
        <w:rPr>
          <w:i/>
        </w:rPr>
      </w:pPr>
      <w:r w:rsidRPr="00524366">
        <w:t>V</w:t>
      </w:r>
      <w:r w:rsidR="00794A85" w:rsidRPr="00524366">
        <w:t> </w:t>
      </w:r>
      <w:r w:rsidRPr="00524366">
        <w:t>Digestech najdeme fragmenty, které pojednávají o omylu, z</w:t>
      </w:r>
      <w:r w:rsidR="00794A85" w:rsidRPr="00524366">
        <w:t> </w:t>
      </w:r>
      <w:r w:rsidRPr="00524366">
        <w:t xml:space="preserve">dnešního pohledu se však </w:t>
      </w:r>
      <w:r w:rsidR="00B469F5" w:rsidRPr="00524366">
        <w:t>jedná o dissens, nikoliv o omyl;</w:t>
      </w:r>
      <w:r w:rsidRPr="00524366">
        <w:t xml:space="preserve"> takový případ uvádí např. fragment Ulpian</w:t>
      </w:r>
      <w:r w:rsidR="00B469F5" w:rsidRPr="00524366">
        <w:t>ův</w:t>
      </w:r>
      <w:r w:rsidRPr="00524366">
        <w:rPr>
          <w:rStyle w:val="Znakapoznpodarou"/>
        </w:rPr>
        <w:footnoteReference w:id="40"/>
      </w:r>
      <w:r w:rsidRPr="00524366">
        <w:t xml:space="preserve"> </w:t>
      </w:r>
      <w:r w:rsidR="00794A85" w:rsidRPr="00524366">
        <w:rPr>
          <w:i/>
        </w:rPr>
        <w:t>„</w:t>
      </w:r>
      <w:r w:rsidRPr="00524366">
        <w:rPr>
          <w:i/>
        </w:rPr>
        <w:t>Je zřejmé, že konsens obou stran je nezbytný ve všech případech prodeje a koupě. Jestliže se však strany neshodnou buď na ceně, nebo na něčem, což však také souvisí s prodejem, bude konsens neúplný.</w:t>
      </w:r>
      <w:r w:rsidR="00FD7FB7" w:rsidRPr="00524366">
        <w:rPr>
          <w:i/>
        </w:rPr>
        <w:t xml:space="preserve"> Z</w:t>
      </w:r>
      <w:r w:rsidRPr="00524366">
        <w:rPr>
          <w:i/>
        </w:rPr>
        <w:t> toho důvodu, jestliže jsem si mysle</w:t>
      </w:r>
      <w:r w:rsidR="00B469F5" w:rsidRPr="00524366">
        <w:rPr>
          <w:i/>
        </w:rPr>
        <w:t>l, že jsem kupoval pole Corneliovo</w:t>
      </w:r>
      <w:r w:rsidRPr="00524366">
        <w:rPr>
          <w:i/>
        </w:rPr>
        <w:t xml:space="preserve"> a ty jsi myslel</w:t>
      </w:r>
      <w:r w:rsidR="00B469F5" w:rsidRPr="00524366">
        <w:rPr>
          <w:i/>
        </w:rPr>
        <w:t>, že jsi prodával pole Semproniovo</w:t>
      </w:r>
      <w:r w:rsidRPr="00524366">
        <w:rPr>
          <w:i/>
        </w:rPr>
        <w:t>, tak právě z důvodu, že jsme se neshodli na předmětu transakce, bude (smlouva) neplatná. To stejné pravidlo se aplikuje i tehdy, pokud jsem se domníval, že mi prodáváš otroka Sticha a ty jsi věřil, že mi pro</w:t>
      </w:r>
      <w:r w:rsidR="00B70E9E" w:rsidRPr="00524366">
        <w:rPr>
          <w:i/>
        </w:rPr>
        <w:t>dáváš ot</w:t>
      </w:r>
      <w:r w:rsidR="00C07CA4" w:rsidRPr="00524366">
        <w:rPr>
          <w:i/>
        </w:rPr>
        <w:t>roka Pamphila</w:t>
      </w:r>
      <w:r w:rsidR="00E12F6D" w:rsidRPr="00524366">
        <w:rPr>
          <w:i/>
        </w:rPr>
        <w:t>, který to nebyl; pr</w:t>
      </w:r>
      <w:r w:rsidR="00B469F5" w:rsidRPr="00524366">
        <w:rPr>
          <w:i/>
        </w:rPr>
        <w:t>oto jestliže je zde neshoda, je</w:t>
      </w:r>
      <w:r w:rsidR="00E12F6D" w:rsidRPr="00524366">
        <w:rPr>
          <w:i/>
        </w:rPr>
        <w:t>ž se týká předmětu</w:t>
      </w:r>
      <w:r w:rsidR="00AF3684" w:rsidRPr="00524366">
        <w:rPr>
          <w:i/>
        </w:rPr>
        <w:t>, je zřejmé, že smlouva nemá účinky (právní následky).</w:t>
      </w:r>
      <w:r w:rsidR="00364739" w:rsidRPr="00524366">
        <w:rPr>
          <w:rStyle w:val="Znakapoznpodarou"/>
          <w:i/>
        </w:rPr>
        <w:footnoteReference w:id="41"/>
      </w:r>
      <w:r w:rsidRPr="00524366">
        <w:rPr>
          <w:i/>
        </w:rPr>
        <w:t xml:space="preserve"> </w:t>
      </w:r>
    </w:p>
    <w:p w14:paraId="5CBB520E" w14:textId="5CFD0D90" w:rsidR="00286E6A" w:rsidRPr="00524366" w:rsidRDefault="00C07CA4" w:rsidP="00FD7FB7">
      <w:pPr>
        <w:spacing w:line="360" w:lineRule="auto"/>
        <w:ind w:left="-57" w:firstLine="765"/>
        <w:jc w:val="both"/>
      </w:pPr>
      <w:r w:rsidRPr="00524366">
        <w:t>Omylem rozumíme nevědomou neshodu mezi vůlí a jejím projevem, je</w:t>
      </w:r>
      <w:r w:rsidR="00947B64" w:rsidRPr="00524366">
        <w:t>ž je zp</w:t>
      </w:r>
      <w:r w:rsidR="002106B1" w:rsidRPr="00524366">
        <w:t xml:space="preserve">ůsobena neznalostí (ignorantia) právních </w:t>
      </w:r>
      <w:r w:rsidR="00947B64" w:rsidRPr="00524366">
        <w:t xml:space="preserve">nebo skutkových </w:t>
      </w:r>
      <w:r w:rsidR="002106B1" w:rsidRPr="00524366">
        <w:t>prvků</w:t>
      </w:r>
      <w:r w:rsidR="00947B64" w:rsidRPr="00524366">
        <w:t xml:space="preserve"> právního úkonu.</w:t>
      </w:r>
      <w:r w:rsidR="00947B64" w:rsidRPr="00524366">
        <w:rPr>
          <w:rStyle w:val="Znakapoznpodarou"/>
        </w:rPr>
        <w:footnoteReference w:id="42"/>
      </w:r>
      <w:r w:rsidR="00947B64" w:rsidRPr="00524366">
        <w:t xml:space="preserve"> Dále se jedná o nesprávnou představu o právně významné okolnosti, nesprávnou znalost předmětu, popřípadě faktu a v neposlední řadě jde také o rozpor mezi představou a skutečností</w:t>
      </w:r>
      <w:r w:rsidR="00B469F5" w:rsidRPr="00524366">
        <w:t>.</w:t>
      </w:r>
      <w:r w:rsidR="00947B64" w:rsidRPr="00524366">
        <w:rPr>
          <w:rStyle w:val="Znakapoznpodarou"/>
        </w:rPr>
        <w:footnoteReference w:id="43"/>
      </w:r>
      <w:r w:rsidR="00947B64" w:rsidRPr="00524366">
        <w:t xml:space="preserve"> </w:t>
      </w:r>
    </w:p>
    <w:p w14:paraId="13803991" w14:textId="3BE5790A" w:rsidR="00601CBC" w:rsidRPr="00524366" w:rsidRDefault="0080224A" w:rsidP="006A396D">
      <w:pPr>
        <w:spacing w:line="360" w:lineRule="auto"/>
        <w:ind w:left="-57" w:firstLine="765"/>
        <w:jc w:val="both"/>
      </w:pPr>
      <w:r w:rsidRPr="00524366">
        <w:t xml:space="preserve">Není zcela jasné, jaké následky mělo jednání učiněné v omylu, jak uvádí Sommer: </w:t>
      </w:r>
      <w:r w:rsidRPr="00524366">
        <w:rPr>
          <w:i/>
        </w:rPr>
        <w:t>„Jakého způsobu jest vliv omylu na platnost právního jednání, je sporno.“</w:t>
      </w:r>
      <w:r w:rsidRPr="00524366">
        <w:rPr>
          <w:rStyle w:val="Znakapoznpodarou"/>
          <w:i/>
        </w:rPr>
        <w:footnoteReference w:id="44"/>
      </w:r>
      <w:r w:rsidRPr="00524366">
        <w:rPr>
          <w:i/>
        </w:rPr>
        <w:t xml:space="preserve"> </w:t>
      </w:r>
      <w:r w:rsidRPr="00524366">
        <w:t>Terminologie pramenů je totiž dosti nepřesná. Z výše uvedeného fragmentu se zdá, že</w:t>
      </w:r>
      <w:r w:rsidR="00552DDB" w:rsidRPr="00524366">
        <w:t xml:space="preserve"> takové jednání</w:t>
      </w:r>
      <w:r w:rsidRPr="00524366">
        <w:t xml:space="preserve"> způsobovalo zdánlivost (neexistenci) právního jednání, to lze dovodit ze slov </w:t>
      </w:r>
      <w:r w:rsidRPr="00524366">
        <w:rPr>
          <w:i/>
        </w:rPr>
        <w:t>„…emptio nulla est.“</w:t>
      </w:r>
      <w:r w:rsidRPr="00524366">
        <w:t xml:space="preserve"> Stejného názoru je i Blaho</w:t>
      </w:r>
      <w:r w:rsidRPr="00524366">
        <w:rPr>
          <w:rStyle w:val="Znakapoznpodarou"/>
        </w:rPr>
        <w:footnoteReference w:id="45"/>
      </w:r>
      <w:r w:rsidRPr="00524366">
        <w:t xml:space="preserve">. Sommer </w:t>
      </w:r>
      <w:r w:rsidR="00552DDB" w:rsidRPr="00524366">
        <w:t xml:space="preserve">však </w:t>
      </w:r>
      <w:r w:rsidRPr="00524366">
        <w:t xml:space="preserve">říká, že neplatnost daného jednání způsobovalo až jeho naříkání oprávněnou osobou, tedy domáhání se prohlášení daného jednání na soudě za neplatné a dále říká: </w:t>
      </w:r>
      <w:r w:rsidRPr="00524366">
        <w:rPr>
          <w:i/>
        </w:rPr>
        <w:t xml:space="preserve">„Nepoužije-li strana zmýlivší se svého práva jednání naříkati, jest jednání plně účinné. Může pak ovšem vzejíti otázka náhrady </w:t>
      </w:r>
      <w:r w:rsidRPr="00524366">
        <w:rPr>
          <w:i/>
        </w:rPr>
        <w:lastRenderedPageBreak/>
        <w:t>škody, jestliže druhá strana omylu využila, nebo omyl způsobila.“</w:t>
      </w:r>
      <w:r w:rsidRPr="00524366">
        <w:rPr>
          <w:rStyle w:val="Znakapoznpodarou"/>
          <w:i/>
        </w:rPr>
        <w:footnoteReference w:id="46"/>
      </w:r>
      <w:r w:rsidRPr="00524366">
        <w:t xml:space="preserve"> Jsem však toho názoru, že se jedná o </w:t>
      </w:r>
      <w:r w:rsidR="002E0EC4" w:rsidRPr="00524366">
        <w:t>zdánlivé,</w:t>
      </w:r>
      <w:r w:rsidR="009273D9" w:rsidRPr="00524366">
        <w:t xml:space="preserve"> neexistující právní jednání. V daném případě se totiž </w:t>
      </w:r>
      <w:r w:rsidR="002E0EC4" w:rsidRPr="00524366">
        <w:t>nejedná o omyl, nýbrž</w:t>
      </w:r>
      <w:r w:rsidR="009273D9" w:rsidRPr="00524366">
        <w:t xml:space="preserve"> o dissens. </w:t>
      </w:r>
    </w:p>
    <w:p w14:paraId="6D61470D" w14:textId="77777777" w:rsidR="006A396D" w:rsidRPr="00524366" w:rsidRDefault="006A396D" w:rsidP="006A396D">
      <w:pPr>
        <w:spacing w:line="360" w:lineRule="auto"/>
        <w:ind w:left="-57" w:firstLine="765"/>
        <w:jc w:val="both"/>
      </w:pPr>
    </w:p>
    <w:p w14:paraId="1947C4B8" w14:textId="7F2591F0" w:rsidR="00286E6A" w:rsidRPr="00524366" w:rsidRDefault="00E74B0F" w:rsidP="009B6E18">
      <w:pPr>
        <w:pStyle w:val="Nadpis2"/>
        <w:numPr>
          <w:ilvl w:val="1"/>
          <w:numId w:val="3"/>
        </w:numPr>
      </w:pPr>
      <w:bookmarkStart w:id="5" w:name="_Toc523139868"/>
      <w:r w:rsidRPr="00524366">
        <w:t>D 22. 6. 9. 5. Paulus</w:t>
      </w:r>
      <w:bookmarkEnd w:id="5"/>
      <w:r w:rsidRPr="00524366">
        <w:t xml:space="preserve"> </w:t>
      </w:r>
    </w:p>
    <w:p w14:paraId="16CA2EEC" w14:textId="77777777" w:rsidR="00286E6A" w:rsidRPr="00524366" w:rsidRDefault="00286E6A" w:rsidP="00286E6A"/>
    <w:p w14:paraId="58C5A02E" w14:textId="5D43A244" w:rsidR="0024741C" w:rsidRPr="00524366" w:rsidRDefault="009B0F35" w:rsidP="009273D9">
      <w:pPr>
        <w:spacing w:line="360" w:lineRule="auto"/>
        <w:ind w:left="-57" w:firstLine="765"/>
        <w:jc w:val="both"/>
        <w:rPr>
          <w:i/>
        </w:rPr>
      </w:pPr>
      <w:r w:rsidRPr="00524366">
        <w:t>Příklad</w:t>
      </w:r>
      <w:r w:rsidR="002523B7" w:rsidRPr="00524366">
        <w:t xml:space="preserve"> právní</w:t>
      </w:r>
      <w:r w:rsidRPr="00524366">
        <w:t xml:space="preserve"> neznalosti uvádí Paulus: </w:t>
      </w:r>
      <w:r w:rsidR="00135533" w:rsidRPr="00524366">
        <w:rPr>
          <w:i/>
        </w:rPr>
        <w:t>„Když strana, která je neznalá práva</w:t>
      </w:r>
      <w:r w:rsidR="00B469F5" w:rsidRPr="00524366">
        <w:rPr>
          <w:i/>
        </w:rPr>
        <w:t>,</w:t>
      </w:r>
      <w:r w:rsidR="00135533" w:rsidRPr="00524366">
        <w:rPr>
          <w:i/>
        </w:rPr>
        <w:t xml:space="preserve"> nevyužila Lex Falcidia, list božského císaře Pia říká, že jeho </w:t>
      </w:r>
      <w:r w:rsidR="00336359" w:rsidRPr="00524366">
        <w:rPr>
          <w:i/>
        </w:rPr>
        <w:t>právo nelze využít</w:t>
      </w:r>
      <w:r w:rsidR="00135533" w:rsidRPr="00524366">
        <w:rPr>
          <w:i/>
        </w:rPr>
        <w:t xml:space="preserve">. Kromě toho i císař Severus a Antonius  </w:t>
      </w:r>
      <w:r w:rsidR="006B22F9" w:rsidRPr="00524366">
        <w:rPr>
          <w:i/>
        </w:rPr>
        <w:t>vydali nás</w:t>
      </w:r>
      <w:r w:rsidR="00336359" w:rsidRPr="00524366">
        <w:rPr>
          <w:i/>
        </w:rPr>
        <w:t>ledující r</w:t>
      </w:r>
      <w:r w:rsidR="006B22F9" w:rsidRPr="00524366">
        <w:rPr>
          <w:i/>
        </w:rPr>
        <w:t>eskript</w:t>
      </w:r>
      <w:r w:rsidR="00135533" w:rsidRPr="00524366">
        <w:rPr>
          <w:i/>
        </w:rPr>
        <w:t>: „pokud jsou na základě fideikomisu vyplaceny peníze, které nebyly dluženy, nemohou být vymáhány zpět, ledaže byly vyplaceny na základě</w:t>
      </w:r>
      <w:r w:rsidR="00B469F5" w:rsidRPr="00524366">
        <w:rPr>
          <w:i/>
        </w:rPr>
        <w:t xml:space="preserve"> omylu. A proto, když vyplatili</w:t>
      </w:r>
      <w:r w:rsidR="00135533" w:rsidRPr="00524366">
        <w:rPr>
          <w:i/>
        </w:rPr>
        <w:t xml:space="preserve"> dědici Gargiliana městu Cirta peníze na základě testamentu za účelem vybudování vodovodu, nejenže nevyžadovali </w:t>
      </w:r>
      <w:r w:rsidR="00336359" w:rsidRPr="00524366">
        <w:rPr>
          <w:i/>
        </w:rPr>
        <w:t>kauci, která</w:t>
      </w:r>
      <w:r w:rsidR="006B5D6F" w:rsidRPr="00524366">
        <w:rPr>
          <w:i/>
        </w:rPr>
        <w:t xml:space="preserve"> se běžně stipulovala</w:t>
      </w:r>
      <w:r w:rsidR="00135533" w:rsidRPr="00524366">
        <w:rPr>
          <w:i/>
        </w:rPr>
        <w:t xml:space="preserve"> na to, aby občané města vrátili o to, co obdrželi více, než bylo dovolené podle Lex Falcidia, ale dokonce si dali slíbit, že suma peněz by neměla být použita pro žádný jiný účel a vědomě a rozvážně strpěli, že peníze budou použity na výstavbu vodovodu, a proto nemají právo požadovat zpět po obci Cirta to, co dali jakoby navíc; protože by to byla</w:t>
      </w:r>
      <w:r w:rsidR="00684398" w:rsidRPr="00524366">
        <w:rPr>
          <w:i/>
        </w:rPr>
        <w:t xml:space="preserve"> dvojnásobná neslušnost,</w:t>
      </w:r>
      <w:r w:rsidR="00135533" w:rsidRPr="00524366">
        <w:rPr>
          <w:i/>
        </w:rPr>
        <w:t xml:space="preserve"> aby peníze, které byly dány za účelem stavby vodovodu, byly vymáhány zpět a pro obec, aby je vynaložila ze svého majetku na dílo, které celé představuje oslavu cizí </w:t>
      </w:r>
      <w:r w:rsidR="00C26C73" w:rsidRPr="00524366">
        <w:rPr>
          <w:i/>
        </w:rPr>
        <w:t xml:space="preserve">štědrosti. </w:t>
      </w:r>
      <w:r w:rsidR="00135533" w:rsidRPr="00524366">
        <w:rPr>
          <w:i/>
        </w:rPr>
        <w:t>Nicméně, pokud si dědicové myslí, že mají opodstatněný nárok na navrácení peněz z důvodu neznalosti (z nedostatku informací) proto, že pochybil</w:t>
      </w:r>
      <w:r w:rsidR="0024741C" w:rsidRPr="00524366">
        <w:rPr>
          <w:i/>
        </w:rPr>
        <w:t>i v tom, že nevyužili dobrodiní (výhodu)</w:t>
      </w:r>
      <w:r w:rsidR="00135533" w:rsidRPr="00524366">
        <w:rPr>
          <w:i/>
        </w:rPr>
        <w:t>, které poskytuje Lex Falcidia. Měli by vědět, že neznalost skutečnosti může být pro ně výhodou, ale neznalost práva ni</w:t>
      </w:r>
      <w:r w:rsidR="00B469F5" w:rsidRPr="00524366">
        <w:rPr>
          <w:i/>
        </w:rPr>
        <w:t>koliv; a že úleva je poskytnuta</w:t>
      </w:r>
      <w:r w:rsidR="00135533" w:rsidRPr="00524366">
        <w:rPr>
          <w:i/>
        </w:rPr>
        <w:t xml:space="preserve"> ne neznalým, ale mýlícím se.“</w:t>
      </w:r>
    </w:p>
    <w:p w14:paraId="3749D2F2" w14:textId="6545CB67" w:rsidR="00DA7B7D" w:rsidRPr="00524366" w:rsidRDefault="00135533" w:rsidP="009273D9">
      <w:pPr>
        <w:spacing w:line="360" w:lineRule="auto"/>
        <w:ind w:left="-57" w:firstLine="765"/>
        <w:jc w:val="both"/>
      </w:pPr>
      <w:r w:rsidRPr="00524366">
        <w:t>Gargilianus ustanovil své dědice a městu Cirta odkázal formou fideikomisu</w:t>
      </w:r>
      <w:r w:rsidR="006B22F9" w:rsidRPr="00524366">
        <w:rPr>
          <w:rStyle w:val="Znakapoznpodarou"/>
        </w:rPr>
        <w:footnoteReference w:id="47"/>
      </w:r>
      <w:r w:rsidRPr="00524366">
        <w:t xml:space="preserve"> částku n</w:t>
      </w:r>
      <w:r w:rsidR="003A3426" w:rsidRPr="00524366">
        <w:t>a výstavbu městského vodovodu. D</w:t>
      </w:r>
      <w:r w:rsidRPr="00524366">
        <w:t>ědicové</w:t>
      </w:r>
      <w:r w:rsidR="003A3426" w:rsidRPr="00524366">
        <w:t xml:space="preserve"> Gargiliana</w:t>
      </w:r>
      <w:r w:rsidRPr="00524366">
        <w:t xml:space="preserve"> vyplatili městu částku a dali si slíbit, že bude použ</w:t>
      </w:r>
      <w:r w:rsidR="006B5D6F" w:rsidRPr="00524366">
        <w:t>i</w:t>
      </w:r>
      <w:r w:rsidR="003A3426" w:rsidRPr="00524366">
        <w:t xml:space="preserve">ta výhradně na </w:t>
      </w:r>
      <w:r w:rsidR="001D0388" w:rsidRPr="00524366">
        <w:t>vý</w:t>
      </w:r>
      <w:r w:rsidR="003A3426" w:rsidRPr="00524366">
        <w:t>stavbu</w:t>
      </w:r>
      <w:r w:rsidR="001D0388" w:rsidRPr="00524366">
        <w:t xml:space="preserve"> městského</w:t>
      </w:r>
      <w:r w:rsidR="003A3426" w:rsidRPr="00524366">
        <w:t xml:space="preserve"> vodovodu, vyskytuje se zde tedy účelové určení (tzv. modus)</w:t>
      </w:r>
      <w:r w:rsidR="00016565" w:rsidRPr="00524366">
        <w:t xml:space="preserve"> –</w:t>
      </w:r>
      <w:r w:rsidR="0013083C" w:rsidRPr="00524366">
        <w:t xml:space="preserve"> jedná se o </w:t>
      </w:r>
      <w:r w:rsidR="00820DAD" w:rsidRPr="00524366">
        <w:t xml:space="preserve">připojené ustanovení k bezplatnému majetkovému plnění, jež zavazuje obdarovaného k určitému </w:t>
      </w:r>
      <w:r w:rsidR="00B469F5" w:rsidRPr="00524366">
        <w:t>chování;</w:t>
      </w:r>
      <w:r w:rsidR="00C26C73" w:rsidRPr="00524366">
        <w:t xml:space="preserve"> v tomto případě se jedná o využití sumy peněz na výstav</w:t>
      </w:r>
      <w:r w:rsidR="008E7E90" w:rsidRPr="00524366">
        <w:t>bu městského vodovodu (spat</w:t>
      </w:r>
      <w:r w:rsidR="001D0388" w:rsidRPr="00524366">
        <w:t xml:space="preserve">řujeme zde veřejný zájem), </w:t>
      </w:r>
      <w:r w:rsidR="008E7E90" w:rsidRPr="00524366">
        <w:t>jedná se o modus při posledním pořízení.</w:t>
      </w:r>
      <w:r w:rsidR="00C26C73" w:rsidRPr="00524366">
        <w:rPr>
          <w:rStyle w:val="Znakapoznpodarou"/>
        </w:rPr>
        <w:footnoteReference w:id="48"/>
      </w:r>
      <w:r w:rsidR="005C2560" w:rsidRPr="00524366">
        <w:t xml:space="preserve"> </w:t>
      </w:r>
      <w:r w:rsidR="003F6063" w:rsidRPr="00524366">
        <w:t>Právě d</w:t>
      </w:r>
      <w:r w:rsidR="000104B8" w:rsidRPr="00524366">
        <w:t>ědic (případně</w:t>
      </w:r>
      <w:r w:rsidR="003F6063" w:rsidRPr="00524366">
        <w:t xml:space="preserve"> vykonavatel) se stará o na</w:t>
      </w:r>
      <w:r w:rsidR="008E7E90" w:rsidRPr="00524366">
        <w:t>plnění modu stanoveného</w:t>
      </w:r>
      <w:r w:rsidR="003F6063" w:rsidRPr="00524366">
        <w:t xml:space="preserve"> v posledním </w:t>
      </w:r>
      <w:r w:rsidR="000104B8" w:rsidRPr="00524366">
        <w:t xml:space="preserve">pořízení. </w:t>
      </w:r>
      <w:r w:rsidR="005C0CC9" w:rsidRPr="00524366">
        <w:t xml:space="preserve">Je-li </w:t>
      </w:r>
      <w:r w:rsidR="005239C5" w:rsidRPr="00524366">
        <w:t xml:space="preserve">modus ve veřejném zájmu, je přímo vynutitelný </w:t>
      </w:r>
      <w:r w:rsidR="00B469F5" w:rsidRPr="00524366">
        <w:t>formou mimořádného soudního řízení (</w:t>
      </w:r>
      <w:r w:rsidR="000701F8" w:rsidRPr="00524366">
        <w:t>extraordinaria</w:t>
      </w:r>
      <w:r w:rsidR="00C134AC" w:rsidRPr="00524366">
        <w:t xml:space="preserve"> cognitione</w:t>
      </w:r>
      <w:r w:rsidR="00B469F5" w:rsidRPr="00524366">
        <w:t>).</w:t>
      </w:r>
      <w:r w:rsidR="00C134AC" w:rsidRPr="00524366">
        <w:rPr>
          <w:rStyle w:val="Znakapoznpodarou"/>
        </w:rPr>
        <w:footnoteReference w:id="49"/>
      </w:r>
      <w:r w:rsidR="00331B3D" w:rsidRPr="00524366">
        <w:t xml:space="preserve"> Dědicové si</w:t>
      </w:r>
      <w:r w:rsidR="00FC40E9" w:rsidRPr="00524366">
        <w:t xml:space="preserve"> v tomto případě</w:t>
      </w:r>
      <w:r w:rsidR="00331B3D" w:rsidRPr="00524366">
        <w:t xml:space="preserve"> nevyžádali kauci na to, aby město vrátilo </w:t>
      </w:r>
      <w:r w:rsidR="00331B3D" w:rsidRPr="00524366">
        <w:lastRenderedPageBreak/>
        <w:t>to, o co dostalo více, než dovoluje Lex Falcidia</w:t>
      </w:r>
      <w:r w:rsidR="00B469F5" w:rsidRPr="00524366">
        <w:t>.</w:t>
      </w:r>
      <w:r w:rsidR="00331B3D" w:rsidRPr="00524366">
        <w:rPr>
          <w:rStyle w:val="Znakapoznpodarou"/>
        </w:rPr>
        <w:footnoteReference w:id="50"/>
      </w:r>
      <w:r w:rsidR="009E1578" w:rsidRPr="00524366">
        <w:t xml:space="preserve"> N</w:t>
      </w:r>
      <w:r w:rsidR="00331B3D" w:rsidRPr="00524366">
        <w:t>utno dodat, že t</w:t>
      </w:r>
      <w:r w:rsidR="009E1578" w:rsidRPr="00524366">
        <w:t xml:space="preserve">ato kauce se běžně stipulovala. </w:t>
      </w:r>
      <w:r w:rsidR="00331B3D" w:rsidRPr="00524366">
        <w:t>Této stipulace tedy mohli využít, což však neučinili, a proto d</w:t>
      </w:r>
      <w:r w:rsidR="002523B7" w:rsidRPr="00524366">
        <w:t xml:space="preserve">le zásady </w:t>
      </w:r>
      <w:r w:rsidR="002523B7" w:rsidRPr="00524366">
        <w:rPr>
          <w:i/>
        </w:rPr>
        <w:t>Iuris error nulli prodest</w:t>
      </w:r>
      <w:r w:rsidR="002523B7" w:rsidRPr="00524366">
        <w:rPr>
          <w:rStyle w:val="Znakapoznpodarou"/>
        </w:rPr>
        <w:footnoteReference w:id="51"/>
      </w:r>
      <w:r w:rsidR="00331B3D" w:rsidRPr="00524366">
        <w:t xml:space="preserve"> </w:t>
      </w:r>
      <w:r w:rsidR="002054C5" w:rsidRPr="00524366">
        <w:t xml:space="preserve">nemohli požadovat vrácení peněz, neboť neznalost právního předpisu neomlouvala. </w:t>
      </w:r>
    </w:p>
    <w:p w14:paraId="51561E04" w14:textId="684957CD" w:rsidR="00620861" w:rsidRPr="00524366" w:rsidRDefault="00FF0834" w:rsidP="009E1578">
      <w:pPr>
        <w:spacing w:line="360" w:lineRule="auto"/>
        <w:ind w:left="-57" w:firstLine="765"/>
        <w:jc w:val="both"/>
      </w:pPr>
      <w:r w:rsidRPr="00524366">
        <w:t xml:space="preserve">V dalším </w:t>
      </w:r>
      <w:r w:rsidR="00677E3F" w:rsidRPr="00524366">
        <w:t>paragrafu je uvedeno</w:t>
      </w:r>
      <w:r w:rsidRPr="00524366">
        <w:t xml:space="preserve">, že </w:t>
      </w:r>
      <w:r w:rsidR="006A2B73" w:rsidRPr="00524366">
        <w:rPr>
          <w:i/>
        </w:rPr>
        <w:t xml:space="preserve">„I když </w:t>
      </w:r>
      <w:r w:rsidR="00C96EAC" w:rsidRPr="00524366">
        <w:rPr>
          <w:i/>
        </w:rPr>
        <w:t xml:space="preserve">je zde zmínka o </w:t>
      </w:r>
      <w:r w:rsidR="00D02EA4" w:rsidRPr="00524366">
        <w:rPr>
          <w:i/>
        </w:rPr>
        <w:t xml:space="preserve">municipiu, </w:t>
      </w:r>
      <w:r w:rsidR="00DF2E34" w:rsidRPr="00524366">
        <w:rPr>
          <w:i/>
        </w:rPr>
        <w:t xml:space="preserve">pořád by to mělo být zohledněno ohledně všech dalších osob. </w:t>
      </w:r>
      <w:r w:rsidR="009C1615" w:rsidRPr="00524366">
        <w:rPr>
          <w:i/>
        </w:rPr>
        <w:t>I když je v uvedeném případě zmínka o penězích přebytečných za účelem výstavby vodovodu</w:t>
      </w:r>
      <w:r w:rsidR="002166FF" w:rsidRPr="00524366">
        <w:rPr>
          <w:i/>
        </w:rPr>
        <w:t>, peníze nelze vymáhat pouze v tomto případě</w:t>
      </w:r>
      <w:r w:rsidR="00D946DC" w:rsidRPr="00524366">
        <w:rPr>
          <w:i/>
        </w:rPr>
        <w:t>, n</w:t>
      </w:r>
      <w:r w:rsidR="002166FF" w:rsidRPr="00524366">
        <w:rPr>
          <w:i/>
        </w:rPr>
        <w:t xml:space="preserve">eboť začátek </w:t>
      </w:r>
      <w:r w:rsidR="00D946DC" w:rsidRPr="00524366">
        <w:rPr>
          <w:i/>
        </w:rPr>
        <w:t xml:space="preserve">této konstituce má obecnou platnost. Ukazuje totiž, </w:t>
      </w:r>
      <w:r w:rsidR="00923DE2" w:rsidRPr="00524366">
        <w:rPr>
          <w:i/>
        </w:rPr>
        <w:t>že pokud se fideikomis neplnil na základě omylu, nelze ho vymáhat nazpět. Kromě toho je obecně aplikovatelný i oddíl</w:t>
      </w:r>
      <w:r w:rsidR="00B17877" w:rsidRPr="00524366">
        <w:rPr>
          <w:i/>
        </w:rPr>
        <w:t>, který nadále stanoví, že strany, které kvůli neznalosti práva nevyužily výhod Lex Falcidia, nejsou oprávněny vymáhat peníze nazpět. A podle toho lze konstatovat, že jestliže peníze, které byly ponech</w:t>
      </w:r>
      <w:r w:rsidR="00FB1E42" w:rsidRPr="00524366">
        <w:rPr>
          <w:i/>
        </w:rPr>
        <w:t>ány fideikomisem</w:t>
      </w:r>
      <w:r w:rsidR="00322ABE" w:rsidRPr="00524366">
        <w:rPr>
          <w:i/>
        </w:rPr>
        <w:t xml:space="preserve"> a byly vyplaceny,</w:t>
      </w:r>
      <w:r w:rsidR="00B17877" w:rsidRPr="00524366">
        <w:rPr>
          <w:i/>
        </w:rPr>
        <w:t xml:space="preserve"> nebyly ponechány na specifický účel, dokonce i když nebyly vynaloženy, ale zůstaly v rukou osoby, které byly vyplaceny, žaloba na vrácení nebude možná.“</w:t>
      </w:r>
      <w:r w:rsidR="00FA4828" w:rsidRPr="00524366">
        <w:rPr>
          <w:rStyle w:val="Znakapoznpodarou"/>
          <w:i/>
        </w:rPr>
        <w:footnoteReference w:id="52"/>
      </w:r>
      <w:r w:rsidR="00CF0DB2" w:rsidRPr="00524366">
        <w:t>Z uvedeného tedy vyplývá, že pokud strany nevyužily výhod Lex Falcidia v důsledku jeho neznalosti, nejsou oprávněny vymáhat peníze nazpět. Pokud tedy peníze byly vyplaceny</w:t>
      </w:r>
      <w:r w:rsidR="00FB1E42" w:rsidRPr="00524366">
        <w:t xml:space="preserve"> na základě fideikomisu</w:t>
      </w:r>
      <w:r w:rsidR="00CF0DB2" w:rsidRPr="00524366">
        <w:t xml:space="preserve"> a nebylo zde účelové určení, </w:t>
      </w:r>
      <w:r w:rsidR="00A869B2" w:rsidRPr="00524366">
        <w:t>popřípadě nebyly vůbec vynaloženy, žaloba nebude možná. V uvedeném případě se však vyskytuje účelové určení (jak již výše uvedeno). A právě v takovém případě</w:t>
      </w:r>
      <w:r w:rsidR="00A671E2" w:rsidRPr="00524366">
        <w:t>, kdy suma peněz nebyla využita</w:t>
      </w:r>
      <w:r w:rsidR="001D0388" w:rsidRPr="00524366">
        <w:t xml:space="preserve"> na výstavbu v</w:t>
      </w:r>
      <w:r w:rsidR="00C96EAC" w:rsidRPr="00524366">
        <w:t xml:space="preserve">odovodu, mohli </w:t>
      </w:r>
      <w:r w:rsidR="00FB3A9A" w:rsidRPr="00524366">
        <w:t>dědicové podat písemnou</w:t>
      </w:r>
      <w:r w:rsidR="00EF0575" w:rsidRPr="00524366">
        <w:t xml:space="preserve"> </w:t>
      </w:r>
      <w:r w:rsidR="00FB3A9A" w:rsidRPr="00524366">
        <w:t xml:space="preserve">žalobu (libellus conventionis). Tato žaloba </w:t>
      </w:r>
      <w:r w:rsidR="002E022B" w:rsidRPr="00524366">
        <w:t xml:space="preserve">musela obsahovat důvod </w:t>
      </w:r>
      <w:r w:rsidR="00EF0575" w:rsidRPr="00524366">
        <w:rPr>
          <w:i/>
        </w:rPr>
        <w:t>„Pokud chce někdo podat žalobu, musí pro to uvést důvody; žalovaná strana by totiž měla vědět, jestli tento důvod přijme a podřídí se mu, či zda má připravovat obhajobu.“</w:t>
      </w:r>
      <w:r w:rsidR="00EF0575" w:rsidRPr="00524366">
        <w:rPr>
          <w:rStyle w:val="Znakapoznpodarou"/>
          <w:i/>
        </w:rPr>
        <w:footnoteReference w:id="53"/>
      </w:r>
      <w:r w:rsidR="00EF0575" w:rsidRPr="00524366">
        <w:t xml:space="preserve"> </w:t>
      </w:r>
      <w:r w:rsidR="00EF3178" w:rsidRPr="00524366">
        <w:rPr>
          <w:i/>
        </w:rPr>
        <w:t>„Uvedení důvodu dává také druhé straně možnost vzít si kopii žaloby nebo toho, co je v ní obsaženo, a to buď tím, že je druhé straně předložena nebo nadiktována.“</w:t>
      </w:r>
      <w:r w:rsidR="00EF3178" w:rsidRPr="00524366">
        <w:rPr>
          <w:rStyle w:val="Znakapoznpodarou"/>
          <w:i/>
        </w:rPr>
        <w:footnoteReference w:id="54"/>
      </w:r>
      <w:r w:rsidR="00BF36BA" w:rsidRPr="00524366">
        <w:t xml:space="preserve"> Neodmítne-li soudce </w:t>
      </w:r>
      <w:r w:rsidR="00B87586" w:rsidRPr="00524366">
        <w:t xml:space="preserve">žalobu </w:t>
      </w:r>
      <w:r w:rsidR="00727B7E" w:rsidRPr="00524366">
        <w:t>pro nedostatek procesních podmínek (např. nepříslušnost soudu nebo nedostatek procesní způsobilosti</w:t>
      </w:r>
      <w:r w:rsidR="007641EE" w:rsidRPr="00524366">
        <w:rPr>
          <w:rStyle w:val="Znakapoznpodarou"/>
        </w:rPr>
        <w:footnoteReference w:id="55"/>
      </w:r>
      <w:r w:rsidR="00727B7E" w:rsidRPr="00524366">
        <w:t>), doručí druhé straně vyhotovení žalobního spisu spolu s obsílkou k soudnímu roku</w:t>
      </w:r>
      <w:r w:rsidR="00286E6A" w:rsidRPr="00524366">
        <w:t>.</w:t>
      </w:r>
      <w:r w:rsidR="00727B7E" w:rsidRPr="00524366">
        <w:rPr>
          <w:rStyle w:val="Znakapoznpodarou"/>
        </w:rPr>
        <w:footnoteReference w:id="56"/>
      </w:r>
      <w:r w:rsidR="00B81697" w:rsidRPr="00524366">
        <w:t xml:space="preserve"> </w:t>
      </w:r>
    </w:p>
    <w:p w14:paraId="32A14634" w14:textId="77777777" w:rsidR="002E0EC4" w:rsidRPr="00524366" w:rsidRDefault="002E0EC4" w:rsidP="00620861">
      <w:pPr>
        <w:spacing w:line="360" w:lineRule="auto"/>
        <w:ind w:left="-57" w:firstLine="417"/>
        <w:jc w:val="both"/>
      </w:pPr>
    </w:p>
    <w:p w14:paraId="3F86AFDA" w14:textId="77777777" w:rsidR="009E1578" w:rsidRPr="00524366" w:rsidRDefault="009E1578" w:rsidP="00620861">
      <w:pPr>
        <w:spacing w:line="360" w:lineRule="auto"/>
        <w:ind w:left="-57" w:firstLine="417"/>
        <w:jc w:val="both"/>
      </w:pPr>
    </w:p>
    <w:p w14:paraId="4303CA92" w14:textId="77777777" w:rsidR="00620861" w:rsidRPr="00524366" w:rsidRDefault="00620861" w:rsidP="00620861">
      <w:pPr>
        <w:spacing w:line="360" w:lineRule="auto"/>
        <w:ind w:left="-57" w:firstLine="417"/>
        <w:jc w:val="both"/>
      </w:pPr>
    </w:p>
    <w:p w14:paraId="0E8EBB7E" w14:textId="1CA79A73" w:rsidR="00286E6A" w:rsidRPr="00524366" w:rsidRDefault="00286E6A" w:rsidP="009B6E18">
      <w:pPr>
        <w:pStyle w:val="Nadpis2"/>
        <w:numPr>
          <w:ilvl w:val="1"/>
          <w:numId w:val="3"/>
        </w:numPr>
      </w:pPr>
      <w:bookmarkStart w:id="6" w:name="_Toc523139869"/>
      <w:r w:rsidRPr="00524366">
        <w:lastRenderedPageBreak/>
        <w:t>Dissensus</w:t>
      </w:r>
      <w:bookmarkEnd w:id="6"/>
    </w:p>
    <w:p w14:paraId="785433DA" w14:textId="77777777" w:rsidR="00620861" w:rsidRPr="00524366" w:rsidRDefault="00620861" w:rsidP="00620861"/>
    <w:p w14:paraId="2867BD8F" w14:textId="58BA2206" w:rsidR="00947B64" w:rsidRPr="00524366" w:rsidRDefault="00D566C7" w:rsidP="002054C5">
      <w:pPr>
        <w:spacing w:line="360" w:lineRule="auto"/>
        <w:ind w:left="-57" w:firstLine="417"/>
        <w:jc w:val="both"/>
      </w:pPr>
      <w:r w:rsidRPr="00524366">
        <w:t>Dissensus</w:t>
      </w:r>
      <w:r w:rsidR="00C07CA4" w:rsidRPr="00524366">
        <w:t xml:space="preserve"> je </w:t>
      </w:r>
      <w:r w:rsidR="003235B7" w:rsidRPr="00524366">
        <w:t>vzájemný nesoulad</w:t>
      </w:r>
      <w:r w:rsidR="00947B64" w:rsidRPr="00524366">
        <w:t xml:space="preserve"> vůle, kte</w:t>
      </w:r>
      <w:r w:rsidR="00C07CA4" w:rsidRPr="00524366">
        <w:t xml:space="preserve">rý je však nezpozorovatelný a </w:t>
      </w:r>
      <w:r w:rsidR="003235B7" w:rsidRPr="00524366">
        <w:t xml:space="preserve">je způsobený omylem </w:t>
      </w:r>
      <w:r w:rsidR="003235B7" w:rsidRPr="00524366">
        <w:rPr>
          <w:sz w:val="20"/>
        </w:rPr>
        <w:t xml:space="preserve">– </w:t>
      </w:r>
      <w:r w:rsidR="00947B64" w:rsidRPr="00524366">
        <w:t>ať již jedné či obou smluvních stran; projevy těchto stran se sice vzájemně kryjí, ale dohoda je jen zdánlivá – tyto strany uzavřely smlouvu jen z toho důvodu, že projevu druhé strany přikládaly odlišný význam či smysl.</w:t>
      </w:r>
      <w:r w:rsidR="00947B64" w:rsidRPr="00524366">
        <w:rPr>
          <w:rStyle w:val="Znakapoznpodarou"/>
        </w:rPr>
        <w:footnoteReference w:id="57"/>
      </w:r>
      <w:r w:rsidR="00F82514" w:rsidRPr="00524366">
        <w:t xml:space="preserve"> </w:t>
      </w:r>
      <w:r w:rsidR="00D46798" w:rsidRPr="00524366">
        <w:t>Rozlišujeme dissens:</w:t>
      </w:r>
    </w:p>
    <w:p w14:paraId="7D0DAE17" w14:textId="1976C23E" w:rsidR="00190029" w:rsidRPr="00524366" w:rsidRDefault="00D46798" w:rsidP="009B6E18">
      <w:pPr>
        <w:pStyle w:val="Odstavecseseznamem"/>
        <w:numPr>
          <w:ilvl w:val="0"/>
          <w:numId w:val="4"/>
        </w:numPr>
        <w:spacing w:line="360" w:lineRule="auto"/>
        <w:jc w:val="both"/>
        <w:rPr>
          <w:i/>
        </w:rPr>
      </w:pPr>
      <w:r w:rsidRPr="00524366">
        <w:t>zjevný – projevy stran se nekryjí</w:t>
      </w:r>
      <w:r w:rsidR="006C2E60" w:rsidRPr="00524366">
        <w:t>,</w:t>
      </w:r>
      <w:r w:rsidR="00E76A73" w:rsidRPr="00524366">
        <w:t xml:space="preserve"> jednání je pak neplatné: </w:t>
      </w:r>
      <w:r w:rsidR="00190029" w:rsidRPr="00524366">
        <w:rPr>
          <w:i/>
        </w:rPr>
        <w:t>„</w:t>
      </w:r>
      <w:r w:rsidR="000C7BFE" w:rsidRPr="00524366">
        <w:rPr>
          <w:i/>
        </w:rPr>
        <w:t>Stipulace je neplatná, jestliže někdo neodpoví na to, na co byl dotázán</w:t>
      </w:r>
      <w:r w:rsidR="005C7A14" w:rsidRPr="00524366">
        <w:rPr>
          <w:i/>
        </w:rPr>
        <w:t>, například když si dá někdo od tebe slíbit, že dáš deset aureů</w:t>
      </w:r>
      <w:r w:rsidR="009E141D" w:rsidRPr="00524366">
        <w:rPr>
          <w:rStyle w:val="Znakapoznpodarou"/>
          <w:i/>
        </w:rPr>
        <w:footnoteReference w:id="58"/>
      </w:r>
      <w:r w:rsidR="005C7A14" w:rsidRPr="00524366">
        <w:rPr>
          <w:i/>
        </w:rPr>
        <w:t xml:space="preserve"> a ty slíbíš pět, nebo naopak.“</w:t>
      </w:r>
      <w:r w:rsidR="005C7A14" w:rsidRPr="00524366">
        <w:rPr>
          <w:rStyle w:val="Znakapoznpodarou"/>
          <w:i/>
        </w:rPr>
        <w:footnoteReference w:id="59"/>
      </w:r>
      <w:r w:rsidR="005C7A14" w:rsidRPr="00524366">
        <w:t xml:space="preserve"> </w:t>
      </w:r>
      <w:r w:rsidR="005C7A14" w:rsidRPr="00524366">
        <w:rPr>
          <w:i/>
        </w:rPr>
        <w:t xml:space="preserve"> </w:t>
      </w:r>
      <w:r w:rsidR="00B4274D" w:rsidRPr="00524366">
        <w:t>Z fragmentu Ulpiana však plyne, že jednání je platné do výše, do jaké je kvantitativně obsažen konsensus, srov</w:t>
      </w:r>
      <w:r w:rsidR="00915A7B" w:rsidRPr="00524366">
        <w:t xml:space="preserve">. </w:t>
      </w:r>
      <w:r w:rsidR="00190029" w:rsidRPr="00524366">
        <w:rPr>
          <w:i/>
        </w:rPr>
        <w:t>„Pokud stipuluji 10 aureů, a ty odpovíš 20, je jisté, že obligace je u</w:t>
      </w:r>
      <w:r w:rsidR="006564C2" w:rsidRPr="00524366">
        <w:rPr>
          <w:i/>
        </w:rPr>
        <w:t>zavřena pouze na 10 aureů. Na dru</w:t>
      </w:r>
      <w:r w:rsidR="00190029" w:rsidRPr="00524366">
        <w:rPr>
          <w:i/>
        </w:rPr>
        <w:t>hou stranu, když se zeptám na 20 a ty odpovíš 10, obligace bude uzavřena na 10; ačkoliv částka musí souhlasit, pořád je naprosto jasné, že 20 a 10 jsou zahrnuty.“</w:t>
      </w:r>
      <w:r w:rsidR="00190029" w:rsidRPr="00524366">
        <w:rPr>
          <w:rStyle w:val="Znakapoznpodarou"/>
          <w:i/>
        </w:rPr>
        <w:t xml:space="preserve"> </w:t>
      </w:r>
      <w:r w:rsidR="00190029" w:rsidRPr="00524366">
        <w:rPr>
          <w:rStyle w:val="Znakapoznpodarou"/>
          <w:i/>
        </w:rPr>
        <w:footnoteReference w:id="60"/>
      </w:r>
      <w:r w:rsidR="00A9586C" w:rsidRPr="00524366">
        <w:t xml:space="preserve"> </w:t>
      </w:r>
      <w:r w:rsidR="00C3508C" w:rsidRPr="00524366">
        <w:t>Z toho</w:t>
      </w:r>
      <w:r w:rsidR="00585D79" w:rsidRPr="00524366">
        <w:t>to</w:t>
      </w:r>
      <w:r w:rsidR="00C3508C" w:rsidRPr="00524366">
        <w:t xml:space="preserve"> </w:t>
      </w:r>
      <w:r w:rsidR="00585D79" w:rsidRPr="00524366">
        <w:t>ustanovení</w:t>
      </w:r>
      <w:r w:rsidR="00C3508C" w:rsidRPr="00524366">
        <w:t xml:space="preserve"> plyne, že </w:t>
      </w:r>
      <w:r w:rsidR="006564C2" w:rsidRPr="00524366">
        <w:t xml:space="preserve">i taková stipulace je platná, a to </w:t>
      </w:r>
      <w:r w:rsidR="00585D79" w:rsidRPr="00524366">
        <w:t xml:space="preserve">právě </w:t>
      </w:r>
      <w:r w:rsidR="006564C2" w:rsidRPr="00524366">
        <w:t xml:space="preserve">z toho důvodu, </w:t>
      </w:r>
      <w:r w:rsidR="00585D79" w:rsidRPr="00524366">
        <w:t>že</w:t>
      </w:r>
      <w:r w:rsidR="00B70945" w:rsidRPr="00524366">
        <w:t xml:space="preserve"> odpověď byla ve shodě s</w:t>
      </w:r>
      <w:r w:rsidR="00CE01E3" w:rsidRPr="00524366">
        <w:t xml:space="preserve"> obsahem obligace. </w:t>
      </w:r>
      <w:r w:rsidR="00C94233" w:rsidRPr="00524366">
        <w:t>V případě, že ti stipuluji 10 zlatých, ale ty chceš 20 zlatých, je obligace uzavřena na 10 zlatých (shoda se týkala pouze 10 zlatých)</w:t>
      </w:r>
      <w:r w:rsidR="00CE01E3" w:rsidRPr="00524366">
        <w:t xml:space="preserve">. Na druhou stranu, </w:t>
      </w:r>
      <w:r w:rsidR="00C94233" w:rsidRPr="00524366">
        <w:t xml:space="preserve">pokud </w:t>
      </w:r>
      <w:r w:rsidR="00CE01E3" w:rsidRPr="00524366">
        <w:t>já po tobě chci</w:t>
      </w:r>
      <w:r w:rsidR="006E7E09" w:rsidRPr="00524366">
        <w:t xml:space="preserve"> 20 zlatých, </w:t>
      </w:r>
      <w:r w:rsidR="00CE01E3" w:rsidRPr="00524366">
        <w:t>ale ti mi odpovíš</w:t>
      </w:r>
      <w:r w:rsidR="00E82EDE" w:rsidRPr="00524366">
        <w:t>, že mi dáš</w:t>
      </w:r>
      <w:r w:rsidR="006E7E09" w:rsidRPr="00524366">
        <w:t xml:space="preserve"> 10 zlatých, je obligace uzavřena na</w:t>
      </w:r>
      <w:r w:rsidR="00CE01E3" w:rsidRPr="00524366">
        <w:t xml:space="preserve"> těchto</w:t>
      </w:r>
      <w:r w:rsidR="006E7E09" w:rsidRPr="00524366">
        <w:t xml:space="preserve"> 10 zlatých (shoda se opět týkala pouze 10 zlatých)</w:t>
      </w:r>
      <w:r w:rsidR="00B70945" w:rsidRPr="00524366">
        <w:t xml:space="preserve"> </w:t>
      </w:r>
      <w:r w:rsidR="00FF21A2" w:rsidRPr="00524366">
        <w:t>Srov.:</w:t>
      </w:r>
      <w:r w:rsidR="00CF149B" w:rsidRPr="00524366">
        <w:rPr>
          <w:i/>
        </w:rPr>
        <w:t xml:space="preserve"> „</w:t>
      </w:r>
      <w:r w:rsidR="00C94233" w:rsidRPr="00524366">
        <w:rPr>
          <w:i/>
        </w:rPr>
        <w:t>…N</w:t>
      </w:r>
      <w:r w:rsidR="00CF149B" w:rsidRPr="00524366">
        <w:rPr>
          <w:i/>
        </w:rPr>
        <w:t>ení také nezbytné, aby oba použili stejnou řeč, ale na položenou otázku postačuje odpovědět ve shodě s jejím obsahem.</w:t>
      </w:r>
      <w:r w:rsidR="000A7209" w:rsidRPr="00524366">
        <w:rPr>
          <w:i/>
        </w:rPr>
        <w:t xml:space="preserve"> Všechna tato slavnostní slova byla ale užívána pouze ve starých dobách. Později totiž byla přijata konstituce císaře Leona, která místo zrušených slavnostních slov vyžadovala souhlasnou vůli </w:t>
      </w:r>
      <w:r w:rsidR="00C54AB0" w:rsidRPr="00524366">
        <w:rPr>
          <w:i/>
        </w:rPr>
        <w:t>a srozumění obou stran, ať to již bylo vyjádřeno jakýmikoli slovy.</w:t>
      </w:r>
      <w:r w:rsidR="00CF149B" w:rsidRPr="00524366">
        <w:rPr>
          <w:i/>
        </w:rPr>
        <w:t>“</w:t>
      </w:r>
      <w:r w:rsidR="00FF21A2" w:rsidRPr="00524366">
        <w:rPr>
          <w:rStyle w:val="Znakapoznpodarou"/>
          <w:i/>
        </w:rPr>
        <w:footnoteReference w:id="61"/>
      </w:r>
    </w:p>
    <w:p w14:paraId="14031914" w14:textId="77777777" w:rsidR="006C2E60" w:rsidRPr="00524366" w:rsidRDefault="006C2E60" w:rsidP="006C2E60">
      <w:pPr>
        <w:spacing w:line="360" w:lineRule="auto"/>
        <w:ind w:left="360"/>
        <w:jc w:val="both"/>
      </w:pPr>
    </w:p>
    <w:p w14:paraId="0DBC50B5" w14:textId="2933F944" w:rsidR="00D256C2" w:rsidRPr="00524366" w:rsidRDefault="00D46798" w:rsidP="009B6E18">
      <w:pPr>
        <w:pStyle w:val="Odstavecseseznamem"/>
        <w:numPr>
          <w:ilvl w:val="0"/>
          <w:numId w:val="4"/>
        </w:numPr>
        <w:spacing w:line="360" w:lineRule="auto"/>
        <w:jc w:val="both"/>
        <w:rPr>
          <w:i/>
        </w:rPr>
      </w:pPr>
      <w:r w:rsidRPr="00524366">
        <w:t>a zakrytý</w:t>
      </w:r>
      <w:r w:rsidR="00D566C7" w:rsidRPr="00524366">
        <w:t xml:space="preserve"> (nedorozumění)</w:t>
      </w:r>
      <w:r w:rsidRPr="00524366">
        <w:t xml:space="preserve"> </w:t>
      </w:r>
      <w:r w:rsidR="00541078" w:rsidRPr="00524366">
        <w:t>–</w:t>
      </w:r>
      <w:r w:rsidRPr="00524366">
        <w:t xml:space="preserve"> </w:t>
      </w:r>
      <w:r w:rsidR="00541078" w:rsidRPr="00524366">
        <w:t>projevy se kryjí, ale každá ze stran přikládá svému projevu jiný význam</w:t>
      </w:r>
      <w:r w:rsidR="00167189" w:rsidRPr="00524366">
        <w:t>; má za následek neplatnost smlouvy</w:t>
      </w:r>
      <w:r w:rsidR="000975A4" w:rsidRPr="00524366">
        <w:t xml:space="preserve">: </w:t>
      </w:r>
      <w:r w:rsidR="000975A4" w:rsidRPr="00524366">
        <w:rPr>
          <w:i/>
        </w:rPr>
        <w:t>„non videntur qui errant consentire.“</w:t>
      </w:r>
      <w:r w:rsidR="000975A4" w:rsidRPr="00524366">
        <w:rPr>
          <w:rStyle w:val="Znakapoznpodarou"/>
          <w:i/>
        </w:rPr>
        <w:footnoteReference w:id="62"/>
      </w:r>
      <w:r w:rsidR="000975A4" w:rsidRPr="00524366">
        <w:t xml:space="preserve"> </w:t>
      </w:r>
      <w:r w:rsidR="00A70AC8" w:rsidRPr="00524366">
        <w:t xml:space="preserve">srov.: </w:t>
      </w:r>
      <w:r w:rsidR="00DC74A6" w:rsidRPr="00524366">
        <w:rPr>
          <w:i/>
        </w:rPr>
        <w:t xml:space="preserve">„Ve všech uzavřených jednáních, které byly učiněny, ať již byly uzavřeny </w:t>
      </w:r>
      <w:r w:rsidR="00911B9C" w:rsidRPr="00524366">
        <w:rPr>
          <w:i/>
        </w:rPr>
        <w:t>v dobré víře či n</w:t>
      </w:r>
      <w:r w:rsidR="00E46A71" w:rsidRPr="00524366">
        <w:rPr>
          <w:i/>
        </w:rPr>
        <w:t>e a</w:t>
      </w:r>
      <w:r w:rsidR="00A00668" w:rsidRPr="00524366">
        <w:rPr>
          <w:i/>
        </w:rPr>
        <w:t xml:space="preserve"> pokud</w:t>
      </w:r>
      <w:r w:rsidR="00911B9C" w:rsidRPr="00524366">
        <w:rPr>
          <w:i/>
        </w:rPr>
        <w:t xml:space="preserve"> vznikl nějaký omyl </w:t>
      </w:r>
      <w:r w:rsidR="00BB170A" w:rsidRPr="00524366">
        <w:rPr>
          <w:i/>
        </w:rPr>
        <w:t xml:space="preserve">nedorozuměním </w:t>
      </w:r>
      <w:r w:rsidR="00911B9C" w:rsidRPr="00524366">
        <w:rPr>
          <w:i/>
        </w:rPr>
        <w:t xml:space="preserve">stran, tak pokud ten, kdo </w:t>
      </w:r>
      <w:r w:rsidR="00DC74A6" w:rsidRPr="00524366">
        <w:rPr>
          <w:i/>
        </w:rPr>
        <w:t xml:space="preserve">si myslí, že </w:t>
      </w:r>
      <w:r w:rsidR="00FC4CD2" w:rsidRPr="00524366">
        <w:rPr>
          <w:i/>
        </w:rPr>
        <w:t>kupuje nebo pronajímá majetek a liší se od mínění toho, s</w:t>
      </w:r>
      <w:r w:rsidR="00E46A71" w:rsidRPr="00524366">
        <w:rPr>
          <w:i/>
        </w:rPr>
        <w:t> nímž uzavírá smlouvu, transakce bude neplatná.“</w:t>
      </w:r>
      <w:r w:rsidR="00F83E28" w:rsidRPr="00524366">
        <w:rPr>
          <w:rStyle w:val="Znakapoznpodarou"/>
          <w:i/>
        </w:rPr>
        <w:footnoteReference w:id="63"/>
      </w:r>
      <w:r w:rsidR="00E46A71" w:rsidRPr="00524366">
        <w:rPr>
          <w:i/>
        </w:rPr>
        <w:t xml:space="preserve"> </w:t>
      </w:r>
      <w:r w:rsidR="00E46A71" w:rsidRPr="00524366">
        <w:t>Jedna strana se totiž domnívá, že majetek pronajímá a druhá strana je v domnění, že majetek kupuje.</w:t>
      </w:r>
      <w:r w:rsidR="00E46A71" w:rsidRPr="00524366">
        <w:rPr>
          <w:i/>
        </w:rPr>
        <w:t xml:space="preserve"> </w:t>
      </w:r>
      <w:r w:rsidR="00E46A71" w:rsidRPr="00524366">
        <w:t>Srov. také:</w:t>
      </w:r>
      <w:r w:rsidR="00671CB6" w:rsidRPr="00524366">
        <w:rPr>
          <w:i/>
        </w:rPr>
        <w:t xml:space="preserve"> </w:t>
      </w:r>
      <w:r w:rsidR="00C05FB9" w:rsidRPr="00524366">
        <w:rPr>
          <w:i/>
        </w:rPr>
        <w:t xml:space="preserve">„Jestliže </w:t>
      </w:r>
      <w:r w:rsidR="00C05FB9" w:rsidRPr="00524366">
        <w:rPr>
          <w:i/>
        </w:rPr>
        <w:lastRenderedPageBreak/>
        <w:t>jsem si dal slíb</w:t>
      </w:r>
      <w:r w:rsidR="00D256C2" w:rsidRPr="00524366">
        <w:rPr>
          <w:i/>
        </w:rPr>
        <w:t>it</w:t>
      </w:r>
      <w:r w:rsidR="00BC2D8F" w:rsidRPr="00524366">
        <w:rPr>
          <w:i/>
        </w:rPr>
        <w:t xml:space="preserve"> otroka</w:t>
      </w:r>
      <w:r w:rsidR="00D256C2" w:rsidRPr="00524366">
        <w:rPr>
          <w:i/>
        </w:rPr>
        <w:t xml:space="preserve"> Sticha a myslel jsem jiného </w:t>
      </w:r>
      <w:r w:rsidR="00FE5CA8" w:rsidRPr="00524366">
        <w:rPr>
          <w:i/>
        </w:rPr>
        <w:t>než ty, jednání bude</w:t>
      </w:r>
      <w:r w:rsidR="00C05FB9" w:rsidRPr="00524366">
        <w:rPr>
          <w:i/>
        </w:rPr>
        <w:t xml:space="preserve"> neplatné. I Aristo zastával tento náz</w:t>
      </w:r>
      <w:r w:rsidR="00D256C2" w:rsidRPr="00524366">
        <w:rPr>
          <w:i/>
        </w:rPr>
        <w:t>or v soudních sporec</w:t>
      </w:r>
      <w:r w:rsidR="00BC2D8F" w:rsidRPr="00524366">
        <w:rPr>
          <w:i/>
        </w:rPr>
        <w:t xml:space="preserve">h. Nicméně za lepší názor je považován </w:t>
      </w:r>
      <w:r w:rsidR="003252FC" w:rsidRPr="00524366">
        <w:rPr>
          <w:i/>
        </w:rPr>
        <w:t xml:space="preserve">takový, </w:t>
      </w:r>
      <w:r w:rsidR="00BC2D8F" w:rsidRPr="00524366">
        <w:rPr>
          <w:i/>
        </w:rPr>
        <w:t xml:space="preserve">že má být požadován takový (otrok), kterého mínil </w:t>
      </w:r>
      <w:r w:rsidR="00CC2CDE" w:rsidRPr="00524366">
        <w:rPr>
          <w:i/>
        </w:rPr>
        <w:t>kupující (žalobce).</w:t>
      </w:r>
      <w:r w:rsidR="00FE5CA8" w:rsidRPr="00524366">
        <w:rPr>
          <w:i/>
        </w:rPr>
        <w:t xml:space="preserve"> </w:t>
      </w:r>
      <w:r w:rsidR="00267482" w:rsidRPr="00524366">
        <w:rPr>
          <w:i/>
        </w:rPr>
        <w:t xml:space="preserve">Zatímco platnost stipulace záleží na souhlasu obou stran, soudní řízení </w:t>
      </w:r>
      <w:r w:rsidR="00CC2CDE" w:rsidRPr="00524366">
        <w:rPr>
          <w:i/>
        </w:rPr>
        <w:t xml:space="preserve">probíhá bez souhlasu druhé strany (proti její vůli), a proto je třeba věřit spíše žalobci. </w:t>
      </w:r>
      <w:r w:rsidR="00D256C2" w:rsidRPr="00524366">
        <w:rPr>
          <w:i/>
        </w:rPr>
        <w:t>Ž</w:t>
      </w:r>
      <w:r w:rsidR="00C05FB9" w:rsidRPr="00524366">
        <w:rPr>
          <w:i/>
        </w:rPr>
        <w:t xml:space="preserve">alovaný </w:t>
      </w:r>
      <w:r w:rsidR="00D256C2" w:rsidRPr="00524366">
        <w:rPr>
          <w:i/>
        </w:rPr>
        <w:t>totiž vždy odmítne, popřípadě popře to,</w:t>
      </w:r>
      <w:r w:rsidR="00C05FB9" w:rsidRPr="00524366">
        <w:rPr>
          <w:i/>
        </w:rPr>
        <w:t xml:space="preserve"> že souhlasil.“</w:t>
      </w:r>
      <w:r w:rsidR="00C05FB9" w:rsidRPr="00524366">
        <w:rPr>
          <w:rStyle w:val="Znakapoznpodarou"/>
          <w:i/>
        </w:rPr>
        <w:footnoteReference w:id="64"/>
      </w:r>
      <w:r w:rsidR="006D437D" w:rsidRPr="00524366">
        <w:rPr>
          <w:i/>
        </w:rPr>
        <w:t xml:space="preserve"> </w:t>
      </w:r>
      <w:r w:rsidR="006D437D" w:rsidRPr="00524366">
        <w:t xml:space="preserve">V tomto případě šlo o nedorozumění, které bylo způsobeno tím, že projev kupujícího a prodávajícího se navenek shodoval, nicméně pod jménem Stichus každý mínil jinou osobu. </w:t>
      </w:r>
      <w:r w:rsidR="008D02F4" w:rsidRPr="00524366">
        <w:t xml:space="preserve">Z výše uvedeného plyne, že </w:t>
      </w:r>
      <w:r w:rsidR="00686F6B" w:rsidRPr="00524366">
        <w:t>je lepší zjišťovat úmysl toho, kdo žaluje, než úmysl žalovaného. Žalovaný totiž vž</w:t>
      </w:r>
      <w:r w:rsidR="00762B88" w:rsidRPr="00524366">
        <w:t xml:space="preserve">dy odmítne, případně popře, že souhlasil. </w:t>
      </w:r>
    </w:p>
    <w:p w14:paraId="46AB704E" w14:textId="77777777" w:rsidR="00E248DD" w:rsidRPr="00524366" w:rsidRDefault="00E248DD" w:rsidP="00E248DD">
      <w:pPr>
        <w:pStyle w:val="Odstavecseseznamem"/>
        <w:spacing w:line="360" w:lineRule="auto"/>
        <w:jc w:val="both"/>
        <w:rPr>
          <w:i/>
        </w:rPr>
      </w:pPr>
    </w:p>
    <w:p w14:paraId="307E2983" w14:textId="23DEEED1" w:rsidR="00D76C73" w:rsidRPr="00524366" w:rsidRDefault="00947B64" w:rsidP="00C96EAC">
      <w:pPr>
        <w:spacing w:line="360" w:lineRule="auto"/>
        <w:ind w:left="-57" w:firstLine="765"/>
        <w:jc w:val="both"/>
      </w:pPr>
      <w:r w:rsidRPr="00524366">
        <w:t xml:space="preserve">Omyl představuje především mylné chápání reality, je zde tedy rozdíl mezi vůlí skutečnou a vůlí projevenou, kdežto dissensus představuje rozpor mezi nabídkou a akceptací již při uzavírání smlouvy. Vhodný příklad na rozlišení těchto dvou institutů uvádí </w:t>
      </w:r>
      <w:r w:rsidR="000964A4" w:rsidRPr="00524366">
        <w:t xml:space="preserve">E. </w:t>
      </w:r>
      <w:r w:rsidRPr="00524366">
        <w:t>Sabbath</w:t>
      </w:r>
      <w:r w:rsidR="00497580" w:rsidRPr="00524366">
        <w:rPr>
          <w:rStyle w:val="Znakapoznpodarou"/>
        </w:rPr>
        <w:footnoteReference w:id="65"/>
      </w:r>
      <w:r w:rsidRPr="00524366">
        <w:t>: A nabízí B zboží za 100 marek a B mylně věří, že cena je pouze 50 marek. Jestliže B odpoví, že  akceptuji za 50 marek, pak smlouva nevznikne, poněvadž je zde jasná neshoda mezi nabídkou a akceptací, zatímco strany věří, že jejich prohlášení vzájemně odpovídá. Pokud však B odpoví, že nabídku přijímá, pak se strany zřejmě dohodly na všech podmínkách smlouvy. Smlouva existuje, ale B může zrušit smlouvu tím, že prokáže omyl.</w:t>
      </w:r>
      <w:r w:rsidRPr="00524366">
        <w:rPr>
          <w:rStyle w:val="Znakapoznpodarou"/>
        </w:rPr>
        <w:footnoteReference w:id="66"/>
      </w:r>
      <w:r w:rsidRPr="00524366">
        <w:t xml:space="preserve"> </w:t>
      </w:r>
      <w:r w:rsidR="00EC285D" w:rsidRPr="00524366">
        <w:br w:type="page"/>
      </w:r>
    </w:p>
    <w:p w14:paraId="69344456" w14:textId="200B7423" w:rsidR="00145184" w:rsidRPr="00524366" w:rsidRDefault="00145184" w:rsidP="009B6E18">
      <w:pPr>
        <w:pStyle w:val="Nadpis1"/>
        <w:numPr>
          <w:ilvl w:val="0"/>
          <w:numId w:val="3"/>
        </w:numPr>
      </w:pPr>
      <w:bookmarkStart w:id="7" w:name="_Toc523139870"/>
      <w:r w:rsidRPr="00524366">
        <w:lastRenderedPageBreak/>
        <w:t>Error facti, error iuris</w:t>
      </w:r>
      <w:bookmarkEnd w:id="7"/>
      <w:r w:rsidRPr="00524366">
        <w:t xml:space="preserve"> </w:t>
      </w:r>
    </w:p>
    <w:p w14:paraId="79E61E4C" w14:textId="3A6B2A8E" w:rsidR="00763E86" w:rsidRPr="00524366" w:rsidRDefault="00145184" w:rsidP="00763E86">
      <w:pPr>
        <w:spacing w:line="360" w:lineRule="auto"/>
        <w:ind w:firstLine="708"/>
        <w:jc w:val="both"/>
      </w:pPr>
      <w:r w:rsidRPr="00524366">
        <w:t xml:space="preserve">Dříve, než bude pojednáno o jednotlivých typech omylu, </w:t>
      </w:r>
      <w:r w:rsidR="00185D74" w:rsidRPr="00524366">
        <w:t xml:space="preserve">je nutné se v prvé řadě zabývat zcela základním </w:t>
      </w:r>
      <w:r w:rsidR="009A1495" w:rsidRPr="00524366">
        <w:t xml:space="preserve">rozlišením omylu; </w:t>
      </w:r>
      <w:r w:rsidR="00FC586A" w:rsidRPr="00524366">
        <w:t xml:space="preserve">římské právo rozeznávalo omyl skutkový a omyl právní. </w:t>
      </w:r>
      <w:r w:rsidR="005A17EE" w:rsidRPr="00524366">
        <w:t xml:space="preserve">Omyl </w:t>
      </w:r>
      <w:r w:rsidR="00A962B8" w:rsidRPr="00524366">
        <w:t>se může dotýkat</w:t>
      </w:r>
      <w:r w:rsidR="00763E86" w:rsidRPr="00524366">
        <w:t>:</w:t>
      </w:r>
    </w:p>
    <w:p w14:paraId="393A2F1F" w14:textId="0D228646" w:rsidR="00380250" w:rsidRPr="00524366" w:rsidRDefault="00A962B8" w:rsidP="009B6E18">
      <w:pPr>
        <w:pStyle w:val="Odstavecseseznamem"/>
        <w:numPr>
          <w:ilvl w:val="0"/>
          <w:numId w:val="7"/>
        </w:numPr>
        <w:spacing w:line="360" w:lineRule="auto"/>
        <w:jc w:val="both"/>
      </w:pPr>
      <w:r w:rsidRPr="00524366">
        <w:t xml:space="preserve">právních </w:t>
      </w:r>
      <w:r w:rsidR="00763E86" w:rsidRPr="00524366">
        <w:t xml:space="preserve">účinků jednání </w:t>
      </w:r>
      <w:r w:rsidR="00380250" w:rsidRPr="00524366">
        <w:t>v důsledku neznalost</w:t>
      </w:r>
      <w:r w:rsidR="00512D4B" w:rsidRPr="00524366">
        <w:t>i práva, potom se jedná o omyl právní</w:t>
      </w:r>
      <w:r w:rsidR="000D2DAE" w:rsidRPr="00524366">
        <w:t xml:space="preserve"> (error facti) </w:t>
      </w:r>
    </w:p>
    <w:p w14:paraId="1F6A6175" w14:textId="11A2A5FA" w:rsidR="00D366D1" w:rsidRPr="00524366" w:rsidRDefault="00FE0A45" w:rsidP="009B6E18">
      <w:pPr>
        <w:pStyle w:val="Odstavecseseznamem"/>
        <w:numPr>
          <w:ilvl w:val="0"/>
          <w:numId w:val="7"/>
        </w:numPr>
        <w:spacing w:line="360" w:lineRule="auto"/>
        <w:jc w:val="both"/>
      </w:pPr>
      <w:r w:rsidRPr="00524366">
        <w:t xml:space="preserve">nebo </w:t>
      </w:r>
      <w:r w:rsidR="00BF1761" w:rsidRPr="00524366">
        <w:t>faktických</w:t>
      </w:r>
      <w:r w:rsidR="00512D4B" w:rsidRPr="00524366">
        <w:t xml:space="preserve"> okolností, potom se jedná o omyl skutkový</w:t>
      </w:r>
      <w:r w:rsidR="000D2DAE" w:rsidRPr="00524366">
        <w:t xml:space="preserve"> (erorr iuris)</w:t>
      </w:r>
      <w:r w:rsidR="00AA5297" w:rsidRPr="00524366">
        <w:t>.</w:t>
      </w:r>
      <w:r w:rsidR="000D2DAE" w:rsidRPr="00524366">
        <w:rPr>
          <w:rStyle w:val="Znakapoznpodarou"/>
        </w:rPr>
        <w:footnoteReference w:id="67"/>
      </w:r>
    </w:p>
    <w:p w14:paraId="5F048161" w14:textId="77777777" w:rsidR="00D83959" w:rsidRPr="00524366" w:rsidRDefault="00D83959" w:rsidP="00D83959">
      <w:pPr>
        <w:spacing w:line="360" w:lineRule="auto"/>
        <w:ind w:left="1129"/>
        <w:jc w:val="both"/>
      </w:pPr>
    </w:p>
    <w:p w14:paraId="01F5FBF5" w14:textId="6995424B" w:rsidR="00E904FF" w:rsidRPr="00524366" w:rsidRDefault="000D2DAE" w:rsidP="000D2DAE">
      <w:pPr>
        <w:spacing w:line="360" w:lineRule="auto"/>
        <w:ind w:firstLine="708"/>
        <w:jc w:val="both"/>
      </w:pPr>
      <w:r w:rsidRPr="00524366">
        <w:t>Error facti může mít vliv na platnost právního jednání pouze tehdy, týká-li se projevu nebo obsahu projevu (tzv. omyl v právním jednání)</w:t>
      </w:r>
      <w:r w:rsidR="00AA5297" w:rsidRPr="00524366">
        <w:t>; v opačném případě nemá na platnost právního jednání vliv</w:t>
      </w:r>
      <w:r w:rsidR="004C3458" w:rsidRPr="00524366">
        <w:t>.</w:t>
      </w:r>
      <w:r w:rsidR="00AA5297" w:rsidRPr="00524366">
        <w:rPr>
          <w:rStyle w:val="Znakapoznpodarou"/>
        </w:rPr>
        <w:footnoteReference w:id="68"/>
      </w:r>
      <w:r w:rsidR="00AA5297" w:rsidRPr="00524366">
        <w:t xml:space="preserve">  </w:t>
      </w:r>
    </w:p>
    <w:p w14:paraId="2F44EA61" w14:textId="412E661C" w:rsidR="00AB6DBF" w:rsidRPr="00524366" w:rsidRDefault="00512D4B" w:rsidP="00826C5B">
      <w:pPr>
        <w:spacing w:line="360" w:lineRule="auto"/>
        <w:ind w:firstLine="708"/>
        <w:jc w:val="both"/>
      </w:pPr>
      <w:r w:rsidRPr="00524366">
        <w:rPr>
          <w:rFonts w:eastAsia="Times New Roman" w:cs="Times New Roman"/>
          <w:bCs/>
          <w:color w:val="000000"/>
          <w:lang w:eastAsia="cs-CZ"/>
        </w:rPr>
        <w:t xml:space="preserve">Jak uvádí </w:t>
      </w:r>
      <w:r w:rsidR="00286BE7" w:rsidRPr="00524366">
        <w:rPr>
          <w:rFonts w:eastAsia="Times New Roman" w:cs="Times New Roman"/>
          <w:bCs/>
          <w:color w:val="000000"/>
          <w:lang w:eastAsia="cs-CZ"/>
        </w:rPr>
        <w:t>Paulus</w:t>
      </w:r>
      <w:r w:rsidR="00C02D2B" w:rsidRPr="00524366">
        <w:rPr>
          <w:rFonts w:eastAsia="Times New Roman" w:cs="Times New Roman"/>
          <w:bCs/>
          <w:color w:val="000000"/>
          <w:lang w:eastAsia="cs-CZ"/>
        </w:rPr>
        <w:t>:</w:t>
      </w:r>
      <w:r w:rsidR="00600259" w:rsidRPr="00524366">
        <w:rPr>
          <w:rFonts w:eastAsia="Times New Roman" w:cs="Times New Roman"/>
          <w:bCs/>
          <w:color w:val="000000"/>
          <w:lang w:eastAsia="cs-CZ"/>
        </w:rPr>
        <w:t xml:space="preserve"> </w:t>
      </w:r>
      <w:r w:rsidR="00286BE7" w:rsidRPr="00524366">
        <w:rPr>
          <w:i/>
        </w:rPr>
        <w:t>„</w:t>
      </w:r>
      <w:r w:rsidR="00286BE7" w:rsidRPr="00524366">
        <w:rPr>
          <w:rFonts w:eastAsia="Times New Roman" w:cs="Times New Roman"/>
          <w:bCs/>
          <w:i/>
          <w:color w:val="000000"/>
          <w:lang w:eastAsia="cs-CZ"/>
        </w:rPr>
        <w:t>Regula est iuris quidem ignorantiam cuique nocere, facti vero ignorantiam non nocere.“</w:t>
      </w:r>
      <w:r w:rsidR="00286BE7" w:rsidRPr="00524366">
        <w:rPr>
          <w:rStyle w:val="Znakapoznpodarou"/>
          <w:rFonts w:eastAsia="Times New Roman" w:cs="Times New Roman"/>
          <w:bCs/>
          <w:i/>
          <w:color w:val="000000"/>
          <w:lang w:eastAsia="cs-CZ"/>
        </w:rPr>
        <w:footnoteReference w:id="69"/>
      </w:r>
      <w:r w:rsidR="00286BE7" w:rsidRPr="00524366">
        <w:rPr>
          <w:rFonts w:eastAsia="Times New Roman" w:cs="Times New Roman"/>
          <w:bCs/>
          <w:i/>
          <w:color w:val="000000"/>
          <w:lang w:eastAsia="cs-CZ"/>
        </w:rPr>
        <w:t xml:space="preserve"> </w:t>
      </w:r>
      <w:r w:rsidR="00877D9A" w:rsidRPr="00524366">
        <w:rPr>
          <w:rFonts w:eastAsia="Times New Roman" w:cs="Times New Roman"/>
          <w:bCs/>
          <w:color w:val="000000"/>
          <w:lang w:eastAsia="cs-CZ"/>
        </w:rPr>
        <w:t xml:space="preserve">Z fragmentu </w:t>
      </w:r>
      <w:r w:rsidR="00E2437C" w:rsidRPr="00524366">
        <w:rPr>
          <w:rFonts w:eastAsia="Times New Roman" w:cs="Times New Roman"/>
          <w:bCs/>
          <w:color w:val="000000"/>
          <w:lang w:eastAsia="cs-CZ"/>
        </w:rPr>
        <w:t>Ulpiana</w:t>
      </w:r>
      <w:r w:rsidR="00BE5C97" w:rsidRPr="00524366">
        <w:rPr>
          <w:rFonts w:eastAsia="Times New Roman" w:cs="Times New Roman"/>
          <w:bCs/>
          <w:color w:val="000000"/>
          <w:lang w:eastAsia="cs-CZ"/>
        </w:rPr>
        <w:t xml:space="preserve"> vyplývá:</w:t>
      </w:r>
      <w:r w:rsidR="00E2437C" w:rsidRPr="00524366">
        <w:rPr>
          <w:rFonts w:eastAsia="Times New Roman" w:cs="Times New Roman"/>
          <w:bCs/>
          <w:color w:val="000000"/>
          <w:lang w:eastAsia="cs-CZ"/>
        </w:rPr>
        <w:t xml:space="preserve"> </w:t>
      </w:r>
      <w:r w:rsidR="00E2437C" w:rsidRPr="00524366">
        <w:rPr>
          <w:i/>
        </w:rPr>
        <w:t xml:space="preserve">„Neměla by být tolerována ani hrubá neznalost skutečnosti, nemělo by však být vyžadováno ani </w:t>
      </w:r>
      <w:r w:rsidR="004A1A42" w:rsidRPr="00524366">
        <w:rPr>
          <w:i/>
        </w:rPr>
        <w:t xml:space="preserve">úzkostné </w:t>
      </w:r>
      <w:r w:rsidR="00F20BCB" w:rsidRPr="00524366">
        <w:rPr>
          <w:i/>
        </w:rPr>
        <w:t>vyhledávání</w:t>
      </w:r>
      <w:r w:rsidR="00C818E0" w:rsidRPr="00524366">
        <w:rPr>
          <w:i/>
        </w:rPr>
        <w:t xml:space="preserve"> a zjišťování</w:t>
      </w:r>
      <w:r w:rsidR="00E2437C" w:rsidRPr="00524366">
        <w:rPr>
          <w:i/>
        </w:rPr>
        <w:t xml:space="preserve">, ale měla by být vyžadována taková vědomost, která není ani přílišnou nedbalostí (příliš velkou lhostejností), ani </w:t>
      </w:r>
      <w:r w:rsidR="00380C29" w:rsidRPr="00524366">
        <w:rPr>
          <w:i/>
        </w:rPr>
        <w:t>vlezlostí (zvídavostí)</w:t>
      </w:r>
      <w:r w:rsidR="00E2437C" w:rsidRPr="00524366">
        <w:rPr>
          <w:i/>
        </w:rPr>
        <w:t>, která je příznačná pro udavače.“</w:t>
      </w:r>
      <w:r w:rsidR="00E2437C" w:rsidRPr="00524366">
        <w:rPr>
          <w:rStyle w:val="Znakapoznpodarou"/>
          <w:i/>
        </w:rPr>
        <w:footnoteReference w:id="70"/>
      </w:r>
      <w:r w:rsidR="00E2437C" w:rsidRPr="00524366">
        <w:t xml:space="preserve"> </w:t>
      </w:r>
      <w:r w:rsidR="00826C5B" w:rsidRPr="00524366">
        <w:t>V římském právu</w:t>
      </w:r>
      <w:r w:rsidR="00AA0FD8" w:rsidRPr="00524366">
        <w:t xml:space="preserve"> nebyla tolerov</w:t>
      </w:r>
      <w:r w:rsidR="00826C5B" w:rsidRPr="00524366">
        <w:t xml:space="preserve">ána ani hrubá neznalost skutku, </w:t>
      </w:r>
      <w:r w:rsidR="00C2465A" w:rsidRPr="00524366">
        <w:t xml:space="preserve">což znamená, že </w:t>
      </w:r>
      <w:r w:rsidR="00826C5B" w:rsidRPr="00524366">
        <w:t>jednající si</w:t>
      </w:r>
      <w:r w:rsidR="00C2465A" w:rsidRPr="00524366">
        <w:t xml:space="preserve"> má </w:t>
      </w:r>
      <w:r w:rsidR="00826C5B" w:rsidRPr="00524366">
        <w:t>zjistit základní info</w:t>
      </w:r>
      <w:r w:rsidR="00C2465A" w:rsidRPr="00524366">
        <w:t>rmace týkající se předmětné skutečnosti</w:t>
      </w:r>
      <w:r w:rsidR="00826C5B" w:rsidRPr="00524366">
        <w:t>, nevyžadov</w:t>
      </w:r>
      <w:r w:rsidR="00C2465A" w:rsidRPr="00524366">
        <w:t>alo se však po něm, aby slídil po těchto skutečnostech do sebemenších detailů.</w:t>
      </w:r>
    </w:p>
    <w:p w14:paraId="5E56097E" w14:textId="412BA8D8" w:rsidR="003A2D1D" w:rsidRPr="00524366" w:rsidRDefault="00352BE9" w:rsidP="00600259">
      <w:pPr>
        <w:spacing w:line="360" w:lineRule="auto"/>
        <w:ind w:firstLine="708"/>
        <w:jc w:val="both"/>
        <w:outlineLvl w:val="0"/>
      </w:pPr>
      <w:r w:rsidRPr="00524366">
        <w:t xml:space="preserve">Shodně </w:t>
      </w:r>
      <w:r w:rsidR="00AA0FD8" w:rsidRPr="00524366">
        <w:t>uvádí i Paulus</w:t>
      </w:r>
      <w:r w:rsidRPr="00524366">
        <w:t xml:space="preserve"> s</w:t>
      </w:r>
      <w:r w:rsidR="00600259" w:rsidRPr="00524366">
        <w:t xml:space="preserve"> odkazem na Labeona</w:t>
      </w:r>
      <w:r w:rsidR="001D339F" w:rsidRPr="00524366">
        <w:t xml:space="preserve">: </w:t>
      </w:r>
      <w:r w:rsidR="00E2437C" w:rsidRPr="00524366">
        <w:rPr>
          <w:i/>
        </w:rPr>
        <w:t>„Skutkový omyl nepoš</w:t>
      </w:r>
      <w:r w:rsidR="005D5BC4" w:rsidRPr="00524366">
        <w:rPr>
          <w:i/>
        </w:rPr>
        <w:t>kodí nikoho, ledaže by byl vin</w:t>
      </w:r>
      <w:r w:rsidR="00E2437C" w:rsidRPr="00524366">
        <w:rPr>
          <w:i/>
        </w:rPr>
        <w:t xml:space="preserve">en z hrubé nedbalosti; například: co když všichni ve městě věděli to, co jediný člověk nevěděl? Labeo velmi správně říká, že znalost (skutku) nelze přijmout ani od velmi zvědavého ani od velmi lhostejného člověka, ale od toho, kdo ji získal svědomitým </w:t>
      </w:r>
      <w:r w:rsidR="00A17027" w:rsidRPr="00524366">
        <w:rPr>
          <w:i/>
        </w:rPr>
        <w:t>zjišťováním</w:t>
      </w:r>
      <w:r w:rsidR="00E2437C" w:rsidRPr="00524366">
        <w:rPr>
          <w:i/>
        </w:rPr>
        <w:t>, taková znalost by měla být chápána jako významná.“</w:t>
      </w:r>
      <w:r w:rsidR="00E2437C" w:rsidRPr="00524366">
        <w:rPr>
          <w:rStyle w:val="Znakapoznpodarou"/>
          <w:i/>
        </w:rPr>
        <w:footnoteReference w:id="71"/>
      </w:r>
      <w:r w:rsidR="003A2D1D" w:rsidRPr="00524366">
        <w:t xml:space="preserve"> Presumovalo se tedy, že římští občané jsou znalí práva. Labeo </w:t>
      </w:r>
      <w:r w:rsidR="00593645" w:rsidRPr="00524366">
        <w:t xml:space="preserve">tuto presumpci však omezil, a to tak, že: </w:t>
      </w:r>
      <w:r w:rsidR="003A2D1D" w:rsidRPr="00524366">
        <w:rPr>
          <w:i/>
        </w:rPr>
        <w:t>„</w:t>
      </w:r>
      <w:r w:rsidR="00593645" w:rsidRPr="00524366">
        <w:rPr>
          <w:i/>
        </w:rPr>
        <w:t>…n</w:t>
      </w:r>
      <w:r w:rsidR="003A2D1D" w:rsidRPr="00524366">
        <w:rPr>
          <w:i/>
        </w:rPr>
        <w:t>eznalost práva by neměla být považována za omluvitelnou (neznalost zákona neomlouvá), led</w:t>
      </w:r>
      <w:r w:rsidR="00D16286" w:rsidRPr="00524366">
        <w:rPr>
          <w:i/>
        </w:rPr>
        <w:t>aže by strana neměla přístup k právníkovi (iuris consultus)</w:t>
      </w:r>
      <w:r w:rsidR="004E4975" w:rsidRPr="00524366">
        <w:rPr>
          <w:i/>
        </w:rPr>
        <w:t>,</w:t>
      </w:r>
      <w:r w:rsidR="00D16286" w:rsidRPr="00524366">
        <w:rPr>
          <w:i/>
        </w:rPr>
        <w:t xml:space="preserve"> </w:t>
      </w:r>
      <w:r w:rsidR="003A2D1D" w:rsidRPr="00524366">
        <w:rPr>
          <w:i/>
        </w:rPr>
        <w:t xml:space="preserve"> nebo neměla dostatek inteligence k tomu, aby jednoduše zjistila, že neznalost práva je k jeho újmě, což je však velmi zřídka.“</w:t>
      </w:r>
      <w:r w:rsidR="003A2D1D" w:rsidRPr="00524366">
        <w:rPr>
          <w:rStyle w:val="Znakapoznpodarou"/>
          <w:i/>
        </w:rPr>
        <w:footnoteReference w:id="72"/>
      </w:r>
      <w:r w:rsidR="00147003" w:rsidRPr="00524366">
        <w:t xml:space="preserve"> </w:t>
      </w:r>
      <w:r w:rsidR="003A3FA7" w:rsidRPr="00524366">
        <w:t xml:space="preserve">Toto omezení se jeví jako spravedlivé, neboť není </w:t>
      </w:r>
      <w:r w:rsidR="00232E83" w:rsidRPr="00524366">
        <w:t>v moci ni</w:t>
      </w:r>
      <w:r w:rsidR="00A926A3" w:rsidRPr="00524366">
        <w:t>koho, aby znal právní řád v celém jeho rozsahu.</w:t>
      </w:r>
      <w:r w:rsidR="00A926A3" w:rsidRPr="00524366">
        <w:rPr>
          <w:rStyle w:val="Znakapoznpodarou"/>
        </w:rPr>
        <w:footnoteReference w:id="73"/>
      </w:r>
      <w:r w:rsidR="003A3FA7" w:rsidRPr="00524366">
        <w:t xml:space="preserve"> </w:t>
      </w:r>
      <w:r w:rsidR="00B7091A" w:rsidRPr="00524366">
        <w:t xml:space="preserve">Není možné tedy </w:t>
      </w:r>
      <w:r w:rsidR="005D105E" w:rsidRPr="00524366">
        <w:t xml:space="preserve">souhlasit s názorem Neratia, </w:t>
      </w:r>
      <w:r w:rsidR="005D105E" w:rsidRPr="00524366">
        <w:lastRenderedPageBreak/>
        <w:t>který</w:t>
      </w:r>
      <w:r w:rsidR="00B7091A" w:rsidRPr="00524366">
        <w:t xml:space="preserve"> tvrdí, že: </w:t>
      </w:r>
      <w:r w:rsidR="000D6FB9" w:rsidRPr="00524366">
        <w:rPr>
          <w:i/>
        </w:rPr>
        <w:t>„V žádné oblasti práva nesmí mít právní omyl stejné postavení jako omyl skutkový, protože právo může a musí být přesně vymezeno, ale při výkladu skutku (stavu) se někdy mýlí i největší znalci.“</w:t>
      </w:r>
      <w:r w:rsidR="000D6FB9" w:rsidRPr="00524366">
        <w:rPr>
          <w:rStyle w:val="Znakapoznpodarou"/>
          <w:i/>
        </w:rPr>
        <w:footnoteReference w:id="74"/>
      </w:r>
      <w:r w:rsidR="000D6FB9" w:rsidRPr="00524366">
        <w:rPr>
          <w:i/>
        </w:rPr>
        <w:t xml:space="preserve"> </w:t>
      </w:r>
      <w:r w:rsidR="000D6FB9" w:rsidRPr="00524366">
        <w:t xml:space="preserve">Jinou oblastí práva má Neratius zřejmě na mysli právo trestní, rodinné, i dědické. </w:t>
      </w:r>
      <w:r w:rsidR="00894020" w:rsidRPr="00524366">
        <w:t xml:space="preserve">Pomponius uvádí, že: </w:t>
      </w:r>
      <w:r w:rsidR="00894020" w:rsidRPr="00524366">
        <w:rPr>
          <w:i/>
        </w:rPr>
        <w:t>„Je zde velké množství rozdílných názorů, které se týkají toho, zda-li je někdo neznalý práva, které se ho dotýká, nebo zda-li není ohledně konkrétního případu a jednání jiného informován.“</w:t>
      </w:r>
      <w:r w:rsidR="00894020" w:rsidRPr="00524366">
        <w:rPr>
          <w:rStyle w:val="Znakapoznpodarou"/>
          <w:i/>
        </w:rPr>
        <w:footnoteReference w:id="75"/>
      </w:r>
      <w:r w:rsidR="00894020" w:rsidRPr="00524366">
        <w:rPr>
          <w:i/>
        </w:rPr>
        <w:t xml:space="preserve"> „Cassius prohlašuje, že Sabinus se domníval, že je to třeba chápat tak, že neznalost se v tomto případě nevztahuje k osobě lehkovážné povahy, ani k tomu, kdo je z důvodu své nedbalosti příliš </w:t>
      </w:r>
      <w:r w:rsidR="006B6BF3" w:rsidRPr="00524366">
        <w:rPr>
          <w:i/>
        </w:rPr>
        <w:t>lehkovážný</w:t>
      </w:r>
      <w:r w:rsidR="00894020" w:rsidRPr="00524366">
        <w:rPr>
          <w:i/>
        </w:rPr>
        <w:t>.“</w:t>
      </w:r>
      <w:r w:rsidR="00894020" w:rsidRPr="00524366">
        <w:rPr>
          <w:rStyle w:val="Znakapoznpodarou"/>
          <w:i/>
        </w:rPr>
        <w:footnoteReference w:id="76"/>
      </w:r>
      <w:r w:rsidR="00894020" w:rsidRPr="00524366">
        <w:rPr>
          <w:i/>
        </w:rPr>
        <w:t xml:space="preserve"> </w:t>
      </w:r>
      <w:r w:rsidR="00894020" w:rsidRPr="00524366">
        <w:t xml:space="preserve">Vyplývá z toho tedy, že převažoval názor takový, že neznalost (tedy omyl právní) omlouvá ty, kteří v rámci svých možností vynaložili rozumné úsilí k tomu, aby </w:t>
      </w:r>
      <w:r w:rsidR="00D67F6B" w:rsidRPr="00524366">
        <w:t>zamezili nežádoucím následkům. „</w:t>
      </w:r>
      <w:r w:rsidR="00D67F6B" w:rsidRPr="00524366">
        <w:rPr>
          <w:i/>
        </w:rPr>
        <w:t>Pomponius říká, že znalost, která je nezbytná, není taková,</w:t>
      </w:r>
      <w:r w:rsidR="00BA3D2E" w:rsidRPr="00524366">
        <w:rPr>
          <w:i/>
        </w:rPr>
        <w:t xml:space="preserve"> jaká je vyžadována od osob učených v právu, ale taková, které může dosáhnout každý, a to buď sám, anebo prostřednictvím jiných. To znamená, že získávají rady od o učených v právu, v takové míře, v jaké by to dělala starostlivá hlava domácnosti.“</w:t>
      </w:r>
      <w:r w:rsidR="00BA3D2E" w:rsidRPr="00524366">
        <w:rPr>
          <w:rStyle w:val="Znakapoznpodarou"/>
          <w:i/>
        </w:rPr>
        <w:footnoteReference w:id="77"/>
      </w:r>
      <w:r w:rsidR="00BA3D2E" w:rsidRPr="00524366">
        <w:rPr>
          <w:i/>
        </w:rPr>
        <w:t xml:space="preserve"> </w:t>
      </w:r>
      <w:r w:rsidR="00BA3D2E" w:rsidRPr="00524366">
        <w:t xml:space="preserve">Paulus tedy zastával názor, že není vyžadována znalost práva na úrovni lidí učených v právu, vyžadována však podle něj byla taková znalost, které může dosáhnout každý sám, </w:t>
      </w:r>
      <w:r w:rsidR="003A45C2" w:rsidRPr="00524366">
        <w:t>či</w:t>
      </w:r>
      <w:r w:rsidR="00616ABA" w:rsidRPr="00524366">
        <w:t xml:space="preserve"> prostřednictvím rad od jiného. </w:t>
      </w:r>
    </w:p>
    <w:p w14:paraId="416A2D09" w14:textId="1A01F929" w:rsidR="00C07831" w:rsidRPr="00524366" w:rsidRDefault="00952DB5" w:rsidP="009827A0">
      <w:pPr>
        <w:spacing w:line="360" w:lineRule="auto"/>
        <w:ind w:firstLine="708"/>
        <w:jc w:val="both"/>
      </w:pPr>
      <w:r w:rsidRPr="00524366">
        <w:t>Obecným pravidlem v římském právu bylo, že p</w:t>
      </w:r>
      <w:r w:rsidR="003A47D7" w:rsidRPr="00524366">
        <w:t>rá</w:t>
      </w:r>
      <w:r w:rsidR="00895DFE" w:rsidRPr="00524366">
        <w:t>vní</w:t>
      </w:r>
      <w:r w:rsidR="003A47D7" w:rsidRPr="00524366">
        <w:t xml:space="preserve"> omyl nemá právní účinky, byl</w:t>
      </w:r>
      <w:r w:rsidR="0055387C" w:rsidRPr="00524366">
        <w:t xml:space="preserve"> tedy bezvýznamný.</w:t>
      </w:r>
      <w:r w:rsidR="00CC45B1" w:rsidRPr="00524366">
        <w:t xml:space="preserve"> </w:t>
      </w:r>
      <w:r w:rsidR="009827A0" w:rsidRPr="00524366">
        <w:t>Pok</w:t>
      </w:r>
      <w:r w:rsidR="00F05B95" w:rsidRPr="00524366">
        <w:t>ud někdo uzavírá smlouvu s dvanáctiletým</w:t>
      </w:r>
      <w:r w:rsidR="009827A0" w:rsidRPr="00524366">
        <w:t xml:space="preserve"> a pokládá jej za </w:t>
      </w:r>
      <w:r w:rsidR="00F05B95" w:rsidRPr="00524366">
        <w:t>patnáctiletého</w:t>
      </w:r>
      <w:r w:rsidR="006A396D" w:rsidRPr="00524366">
        <w:t xml:space="preserve"> (tedy dospělého</w:t>
      </w:r>
      <w:r w:rsidR="005E7437" w:rsidRPr="00524366">
        <w:t xml:space="preserve">), </w:t>
      </w:r>
      <w:r w:rsidR="00C07831" w:rsidRPr="00524366">
        <w:t>jedná v</w:t>
      </w:r>
      <w:r w:rsidR="005E7437" w:rsidRPr="00524366">
        <w:t xml:space="preserve"> omylu </w:t>
      </w:r>
      <w:r w:rsidR="00AD6724" w:rsidRPr="00524366">
        <w:t>skutkovém, jedná se tedy o omyl o významných skutečnostech.</w:t>
      </w:r>
      <w:r w:rsidR="00CD0889" w:rsidRPr="00524366">
        <w:t xml:space="preserve"> Kdežto pokud ví, že </w:t>
      </w:r>
      <w:r w:rsidR="00F05B95" w:rsidRPr="00524366">
        <w:t>je dvanáctiletý</w:t>
      </w:r>
      <w:r w:rsidR="00312A70" w:rsidRPr="00524366">
        <w:t xml:space="preserve"> </w:t>
      </w:r>
      <w:r w:rsidR="00F05B95" w:rsidRPr="00524366">
        <w:t xml:space="preserve">a </w:t>
      </w:r>
      <w:r w:rsidR="00C07831" w:rsidRPr="00524366">
        <w:t xml:space="preserve">jedná v přesvědčení, že ve </w:t>
      </w:r>
      <w:r w:rsidR="00F05B95" w:rsidRPr="00524366">
        <w:t>dvanácti letech</w:t>
      </w:r>
      <w:r w:rsidR="0013179B" w:rsidRPr="00524366">
        <w:t xml:space="preserve"> se nabývá dospělosti</w:t>
      </w:r>
      <w:r w:rsidR="00C07831" w:rsidRPr="00524366">
        <w:t xml:space="preserve">, jedná v omylu </w:t>
      </w:r>
      <w:r w:rsidR="007631E2" w:rsidRPr="00524366">
        <w:t>právním.</w:t>
      </w:r>
    </w:p>
    <w:p w14:paraId="7E5F3049" w14:textId="550B2ED8" w:rsidR="006A396D" w:rsidRPr="00524366" w:rsidRDefault="001D0AD6" w:rsidP="006A396D">
      <w:pPr>
        <w:spacing w:line="360" w:lineRule="auto"/>
        <w:ind w:firstLine="708"/>
        <w:jc w:val="both"/>
        <w:outlineLvl w:val="0"/>
      </w:pPr>
      <w:bookmarkStart w:id="8" w:name="_Toc516039946"/>
      <w:r w:rsidRPr="00524366">
        <w:t>Důležité je také zmínit</w:t>
      </w:r>
      <w:r w:rsidR="002056FF" w:rsidRPr="00524366">
        <w:t xml:space="preserve"> fragment právníka</w:t>
      </w:r>
      <w:r w:rsidR="00C417B8" w:rsidRPr="00524366">
        <w:t xml:space="preserve"> Paula: </w:t>
      </w:r>
      <w:r w:rsidR="00C417B8" w:rsidRPr="00524366">
        <w:rPr>
          <w:i/>
        </w:rPr>
        <w:t>„</w:t>
      </w:r>
      <w:r w:rsidR="00C417B8" w:rsidRPr="00524366">
        <w:rPr>
          <w:rFonts w:cs="Times New Roman"/>
          <w:i/>
        </w:rPr>
        <w:t xml:space="preserve">Jestliže chci </w:t>
      </w:r>
      <w:r w:rsidR="00244E45" w:rsidRPr="00524366">
        <w:rPr>
          <w:rFonts w:cs="Times New Roman"/>
          <w:i/>
        </w:rPr>
        <w:t xml:space="preserve">něco </w:t>
      </w:r>
      <w:r w:rsidR="00C417B8" w:rsidRPr="00524366">
        <w:rPr>
          <w:rFonts w:cs="Times New Roman"/>
          <w:i/>
        </w:rPr>
        <w:t xml:space="preserve">koupit od </w:t>
      </w:r>
      <w:r w:rsidR="0013179B" w:rsidRPr="00524366">
        <w:rPr>
          <w:rFonts w:cs="Times New Roman"/>
          <w:i/>
        </w:rPr>
        <w:t>nedospělc</w:t>
      </w:r>
      <w:r w:rsidR="006A396D" w:rsidRPr="00524366">
        <w:rPr>
          <w:rFonts w:cs="Times New Roman"/>
          <w:i/>
        </w:rPr>
        <w:t>e</w:t>
      </w:r>
      <w:r w:rsidR="00C417B8" w:rsidRPr="00524366">
        <w:rPr>
          <w:rFonts w:cs="Times New Roman"/>
          <w:i/>
        </w:rPr>
        <w:t xml:space="preserve"> bez souhlasu jeho opatrovníka, a domnívám se, že dosáhl věku dospělého, zastáváme názor, že vydržení může probíhat, protože se to týká spíše </w:t>
      </w:r>
      <w:r w:rsidR="0013179B" w:rsidRPr="00524366">
        <w:rPr>
          <w:rFonts w:cs="Times New Roman"/>
          <w:i/>
        </w:rPr>
        <w:t xml:space="preserve">věci, kterou jsem prodal, </w:t>
      </w:r>
      <w:r w:rsidR="00C417B8" w:rsidRPr="00524366">
        <w:rPr>
          <w:rFonts w:cs="Times New Roman"/>
          <w:i/>
        </w:rPr>
        <w:t xml:space="preserve">něž </w:t>
      </w:r>
      <w:r w:rsidR="0013179B" w:rsidRPr="00524366">
        <w:rPr>
          <w:rFonts w:cs="Times New Roman"/>
          <w:i/>
        </w:rPr>
        <w:t>domněnky o věku</w:t>
      </w:r>
      <w:r w:rsidR="00C417B8" w:rsidRPr="00524366">
        <w:rPr>
          <w:rFonts w:cs="Times New Roman"/>
          <w:i/>
        </w:rPr>
        <w:t xml:space="preserve">. Nicméně, jestliže víš, že prodávající je </w:t>
      </w:r>
      <w:r w:rsidR="0013179B" w:rsidRPr="00524366">
        <w:rPr>
          <w:rFonts w:cs="Times New Roman"/>
          <w:i/>
        </w:rPr>
        <w:t>nedospělec</w:t>
      </w:r>
      <w:r w:rsidR="00C417B8" w:rsidRPr="00524366">
        <w:rPr>
          <w:rFonts w:cs="Times New Roman"/>
          <w:i/>
        </w:rPr>
        <w:t xml:space="preserve"> a pořád věříš, že tito </w:t>
      </w:r>
      <w:r w:rsidR="0013179B" w:rsidRPr="00524366">
        <w:rPr>
          <w:rFonts w:cs="Times New Roman"/>
          <w:i/>
        </w:rPr>
        <w:t>nedospělci</w:t>
      </w:r>
      <w:r w:rsidR="00C417B8" w:rsidRPr="00524366">
        <w:rPr>
          <w:rFonts w:cs="Times New Roman"/>
          <w:i/>
        </w:rPr>
        <w:t xml:space="preserve"> mají právo obchodovat sami bez dohledu opatrovníka, nemůžeš nabýt majetek vyd</w:t>
      </w:r>
      <w:r w:rsidR="009F1652" w:rsidRPr="00524366">
        <w:rPr>
          <w:rFonts w:cs="Times New Roman"/>
          <w:i/>
        </w:rPr>
        <w:t>ržením, protože právní omyl nemůže být pro nikoho výhodou (nemůže být nikomu ku prospěchu).</w:t>
      </w:r>
      <w:bookmarkEnd w:id="8"/>
      <w:r w:rsidR="009F1652" w:rsidRPr="00524366">
        <w:rPr>
          <w:rFonts w:cs="Times New Roman"/>
          <w:i/>
        </w:rPr>
        <w:t>“</w:t>
      </w:r>
      <w:r w:rsidR="00DB7564" w:rsidRPr="00524366">
        <w:rPr>
          <w:rStyle w:val="Znakapoznpodarou"/>
          <w:rFonts w:cs="Times New Roman"/>
          <w:i/>
        </w:rPr>
        <w:footnoteReference w:id="78"/>
      </w:r>
      <w:r w:rsidR="008F0468" w:rsidRPr="00524366">
        <w:rPr>
          <w:rFonts w:cs="Times New Roman"/>
          <w:i/>
        </w:rPr>
        <w:t xml:space="preserve"> </w:t>
      </w:r>
      <w:r w:rsidR="00D671C9" w:rsidRPr="00524366">
        <w:rPr>
          <w:rFonts w:cs="Times New Roman"/>
        </w:rPr>
        <w:t>Je zde tedy zakotvena důležitá právní zásada „právní omyl není pro nikoho výhodou“.</w:t>
      </w:r>
      <w:r w:rsidR="0015405E" w:rsidRPr="00524366">
        <w:rPr>
          <w:rFonts w:cs="Times New Roman"/>
        </w:rPr>
        <w:t xml:space="preserve"> </w:t>
      </w:r>
      <w:r w:rsidR="00F34E19" w:rsidRPr="00524366">
        <w:rPr>
          <w:rFonts w:cs="Times New Roman"/>
        </w:rPr>
        <w:t>Tato zásada se projevuje i v dalších fragmentech, příkladem může být tento</w:t>
      </w:r>
      <w:r w:rsidR="001B1F72" w:rsidRPr="00524366">
        <w:rPr>
          <w:rFonts w:cs="Times New Roman"/>
        </w:rPr>
        <w:t>,</w:t>
      </w:r>
      <w:r w:rsidR="00F34E19" w:rsidRPr="00524366">
        <w:rPr>
          <w:rFonts w:cs="Times New Roman"/>
        </w:rPr>
        <w:t xml:space="preserve"> Sabinův: </w:t>
      </w:r>
      <w:r w:rsidR="00C417B8" w:rsidRPr="00524366">
        <w:rPr>
          <w:i/>
        </w:rPr>
        <w:t>„Popírá se, že neznalost práva je nějaká výhoda při vydržení, je však zavedeno, že neznalost skutečnosti je (při vydržení) výhodou.</w:t>
      </w:r>
      <w:r w:rsidR="00C417B8" w:rsidRPr="00524366">
        <w:rPr>
          <w:rStyle w:val="Znakapoznpodarou"/>
          <w:i/>
        </w:rPr>
        <w:footnoteReference w:id="79"/>
      </w:r>
      <w:r w:rsidR="002056FF" w:rsidRPr="00524366">
        <w:rPr>
          <w:i/>
        </w:rPr>
        <w:t xml:space="preserve"> </w:t>
      </w:r>
      <w:r w:rsidR="00782D83" w:rsidRPr="00524366">
        <w:t xml:space="preserve">Právní neznalost také není příznivá </w:t>
      </w:r>
      <w:r w:rsidR="00C02AF7" w:rsidRPr="00524366">
        <w:t xml:space="preserve">pro ty, </w:t>
      </w:r>
      <w:r w:rsidR="00782D83" w:rsidRPr="00524366">
        <w:t xml:space="preserve">kteří </w:t>
      </w:r>
      <w:r w:rsidR="00C02AF7" w:rsidRPr="00524366">
        <w:t xml:space="preserve">touží něco získat či něco nabýt. Neznalost jim tedy nečiní </w:t>
      </w:r>
      <w:r w:rsidR="00C02AF7" w:rsidRPr="00524366">
        <w:lastRenderedPageBreak/>
        <w:t>žádnou výhodu. Na druhou stranu však p</w:t>
      </w:r>
      <w:r w:rsidR="00782D83" w:rsidRPr="00524366">
        <w:t>rávní neznalost neškodí těm, kteří se domáhají svých práv.</w:t>
      </w:r>
      <w:r w:rsidR="00782D83" w:rsidRPr="00524366">
        <w:rPr>
          <w:rStyle w:val="Znakapoznpodarou"/>
        </w:rPr>
        <w:footnoteReference w:id="80"/>
      </w:r>
      <w:r w:rsidR="00782D83" w:rsidRPr="00524366">
        <w:t xml:space="preserve"> </w:t>
      </w:r>
    </w:p>
    <w:p w14:paraId="2910E77E" w14:textId="77777777" w:rsidR="006A396D" w:rsidRPr="00524366" w:rsidRDefault="006A396D" w:rsidP="006A396D">
      <w:pPr>
        <w:spacing w:line="360" w:lineRule="auto"/>
        <w:ind w:firstLine="708"/>
        <w:jc w:val="both"/>
        <w:outlineLvl w:val="0"/>
      </w:pPr>
    </w:p>
    <w:p w14:paraId="4410A0D2" w14:textId="5560EE0C" w:rsidR="004E417B" w:rsidRPr="00524366" w:rsidRDefault="004E417B" w:rsidP="009B6E18">
      <w:pPr>
        <w:pStyle w:val="Nadpis2"/>
        <w:numPr>
          <w:ilvl w:val="1"/>
          <w:numId w:val="3"/>
        </w:numPr>
      </w:pPr>
      <w:bookmarkStart w:id="9" w:name="_Toc523139871"/>
      <w:r w:rsidRPr="00524366">
        <w:t>Omluvitelnost omylu</w:t>
      </w:r>
      <w:bookmarkEnd w:id="9"/>
      <w:r w:rsidRPr="00524366">
        <w:t xml:space="preserve"> </w:t>
      </w:r>
    </w:p>
    <w:p w14:paraId="6F91A37A" w14:textId="77777777" w:rsidR="00D76C73" w:rsidRPr="00524366" w:rsidRDefault="00D76C73" w:rsidP="00D76C73"/>
    <w:p w14:paraId="7DD7AD69" w14:textId="0E113D03" w:rsidR="00C417B8" w:rsidRPr="00524366" w:rsidRDefault="007C0569" w:rsidP="00C34CFC">
      <w:pPr>
        <w:spacing w:line="360" w:lineRule="auto"/>
        <w:ind w:firstLine="708"/>
        <w:jc w:val="both"/>
      </w:pPr>
      <w:r w:rsidRPr="00524366">
        <w:t xml:space="preserve">Určitým osobám byl prominut i omyl neomluvitelný, zvláště pak omyl </w:t>
      </w:r>
      <w:r w:rsidR="008A5E2B" w:rsidRPr="00524366">
        <w:t xml:space="preserve">právní, jednalo se o: </w:t>
      </w:r>
      <w:r w:rsidR="00843EB0" w:rsidRPr="00524366">
        <w:t>nedospělce</w:t>
      </w:r>
      <w:r w:rsidR="00CD50E0" w:rsidRPr="00524366">
        <w:t xml:space="preserve">, vojáky, ženy, </w:t>
      </w:r>
      <w:r w:rsidR="00F4451C" w:rsidRPr="00524366">
        <w:t>a všeobecně o osoby nezkušené</w:t>
      </w:r>
      <w:r w:rsidR="00CD50E0" w:rsidRPr="00524366">
        <w:t xml:space="preserve"> (duševně prosté/jednodušší)</w:t>
      </w:r>
      <w:r w:rsidR="00F4451C" w:rsidRPr="00524366">
        <w:t xml:space="preserve">. </w:t>
      </w:r>
      <w:r w:rsidR="00AC1794" w:rsidRPr="00524366">
        <w:t>Jak uvádí Paulus</w:t>
      </w:r>
      <w:r w:rsidR="00A25701" w:rsidRPr="00524366">
        <w:t xml:space="preserve">: </w:t>
      </w:r>
      <w:r w:rsidR="00A25701" w:rsidRPr="00524366">
        <w:rPr>
          <w:i/>
        </w:rPr>
        <w:t>„…</w:t>
      </w:r>
      <w:r w:rsidR="00F34E19" w:rsidRPr="00524366">
        <w:rPr>
          <w:i/>
        </w:rPr>
        <w:t>u mladších</w:t>
      </w:r>
      <w:r w:rsidR="00AC1794" w:rsidRPr="00524366">
        <w:rPr>
          <w:i/>
        </w:rPr>
        <w:t xml:space="preserve"> 25 let je </w:t>
      </w:r>
      <w:r w:rsidR="00F34E19" w:rsidRPr="00524366">
        <w:rPr>
          <w:i/>
        </w:rPr>
        <w:t>možné předpokládat neznalost práva.</w:t>
      </w:r>
      <w:r w:rsidR="00AC1794" w:rsidRPr="00524366">
        <w:rPr>
          <w:i/>
        </w:rPr>
        <w:t xml:space="preserve"> Tohle je také v určitých případe</w:t>
      </w:r>
      <w:r w:rsidR="00F34E19" w:rsidRPr="00524366">
        <w:rPr>
          <w:i/>
        </w:rPr>
        <w:t>ch respektováno u žen</w:t>
      </w:r>
      <w:r w:rsidR="00AC1794" w:rsidRPr="00524366">
        <w:rPr>
          <w:i/>
        </w:rPr>
        <w:t>, a to v</w:t>
      </w:r>
      <w:r w:rsidR="003A0724" w:rsidRPr="00524366">
        <w:rPr>
          <w:i/>
        </w:rPr>
        <w:t>z</w:t>
      </w:r>
      <w:r w:rsidR="00AC1794" w:rsidRPr="00524366">
        <w:rPr>
          <w:i/>
        </w:rPr>
        <w:t>hledem ke slabosti jejich pohlaví.</w:t>
      </w:r>
      <w:r w:rsidR="005910F1" w:rsidRPr="00524366">
        <w:rPr>
          <w:i/>
        </w:rPr>
        <w:t xml:space="preserve"> Tudíž ve všech případech</w:t>
      </w:r>
      <w:r w:rsidR="00F34E19" w:rsidRPr="00524366">
        <w:rPr>
          <w:i/>
        </w:rPr>
        <w:t>, ve kterých se nejedná o delikt</w:t>
      </w:r>
      <w:r w:rsidR="00F34E19" w:rsidRPr="00524366">
        <w:rPr>
          <w:rStyle w:val="Znakapoznpodarou"/>
          <w:i/>
        </w:rPr>
        <w:footnoteReference w:id="81"/>
      </w:r>
      <w:r w:rsidR="005910F1" w:rsidRPr="00524366">
        <w:rPr>
          <w:i/>
        </w:rPr>
        <w:t xml:space="preserve">, ale pouze o neznalost práva, </w:t>
      </w:r>
      <w:r w:rsidR="001D0AD6" w:rsidRPr="00524366">
        <w:rPr>
          <w:i/>
        </w:rPr>
        <w:t xml:space="preserve">nejsou </w:t>
      </w:r>
      <w:r w:rsidR="005910F1" w:rsidRPr="00524366">
        <w:rPr>
          <w:i/>
        </w:rPr>
        <w:t xml:space="preserve">jejich práva dotčena (neutrpí újmu). </w:t>
      </w:r>
      <w:r w:rsidR="00462C7D" w:rsidRPr="00524366">
        <w:rPr>
          <w:i/>
        </w:rPr>
        <w:t xml:space="preserve">Podle </w:t>
      </w:r>
      <w:r w:rsidR="002423FC" w:rsidRPr="00524366">
        <w:rPr>
          <w:i/>
        </w:rPr>
        <w:t>této zásady</w:t>
      </w:r>
      <w:r w:rsidR="00A25701" w:rsidRPr="00524366">
        <w:rPr>
          <w:i/>
        </w:rPr>
        <w:t>: (</w:t>
      </w:r>
      <w:r w:rsidR="00A25701" w:rsidRPr="00524366">
        <w:rPr>
          <w:rFonts w:eastAsia="Times New Roman" w:cs="Times New Roman"/>
          <w:bCs/>
          <w:i/>
          <w:color w:val="000000"/>
          <w:lang w:eastAsia="cs-CZ"/>
        </w:rPr>
        <w:t>Regula est iuris quidem ignorantiam cuique nocere, facti vero ignorantiam non nocere)</w:t>
      </w:r>
      <w:r w:rsidR="00A25701" w:rsidRPr="00524366">
        <w:rPr>
          <w:i/>
        </w:rPr>
        <w:t xml:space="preserve"> </w:t>
      </w:r>
      <w:r w:rsidR="002423FC" w:rsidRPr="00524366">
        <w:rPr>
          <w:i/>
        </w:rPr>
        <w:t xml:space="preserve">jestliže mladší 25 let půjčí peníze synovi pod otcovskou mocí, </w:t>
      </w:r>
      <w:r w:rsidR="00A25701" w:rsidRPr="00524366">
        <w:rPr>
          <w:i/>
        </w:rPr>
        <w:t>ulehčí se mu tak, že se nepokládá za syna pod otcovskou mocí.“</w:t>
      </w:r>
      <w:r w:rsidR="00A25701" w:rsidRPr="00524366">
        <w:t xml:space="preserve"> </w:t>
      </w:r>
      <w:r w:rsidR="00A25701" w:rsidRPr="00524366">
        <w:rPr>
          <w:rStyle w:val="Znakapoznpodarou"/>
        </w:rPr>
        <w:footnoteReference w:id="82"/>
      </w:r>
      <w:r w:rsidR="00A25701" w:rsidRPr="00524366">
        <w:t xml:space="preserve"> </w:t>
      </w:r>
    </w:p>
    <w:p w14:paraId="5C4169E1" w14:textId="2F22B262" w:rsidR="002B5CD8" w:rsidRPr="00524366" w:rsidRDefault="00CD50E0" w:rsidP="001F6A32">
      <w:pPr>
        <w:spacing w:line="360" w:lineRule="auto"/>
        <w:ind w:firstLine="708"/>
        <w:jc w:val="both"/>
      </w:pPr>
      <w:r w:rsidRPr="00524366">
        <w:t xml:space="preserve">Ve stanovených případech byla neznalost promíjena vojákům: </w:t>
      </w:r>
      <w:r w:rsidR="002B5CD8" w:rsidRPr="00524366">
        <w:rPr>
          <w:i/>
        </w:rPr>
        <w:t>„vojáci měli být znalí spíše ve zbraních, než v právu.“</w:t>
      </w:r>
      <w:r w:rsidR="002B5CD8" w:rsidRPr="00524366">
        <w:rPr>
          <w:rStyle w:val="Znakapoznpodarou"/>
          <w:i/>
        </w:rPr>
        <w:footnoteReference w:id="83"/>
      </w:r>
      <w:r w:rsidR="004D5E56" w:rsidRPr="00524366">
        <w:rPr>
          <w:i/>
        </w:rPr>
        <w:t xml:space="preserve"> </w:t>
      </w:r>
      <w:r w:rsidR="006D4FDE" w:rsidRPr="00524366">
        <w:t xml:space="preserve">V některých případech se neznalost práva promíjela také pro prostotu/jednoduchost dané osoby (rusticus). </w:t>
      </w:r>
      <w:r w:rsidR="006D4FDE" w:rsidRPr="00524366">
        <w:rPr>
          <w:i/>
        </w:rPr>
        <w:t>„</w:t>
      </w:r>
      <w:r w:rsidR="00060137" w:rsidRPr="00524366">
        <w:rPr>
          <w:i/>
        </w:rPr>
        <w:t xml:space="preserve">Existuje také reskript císaře, </w:t>
      </w:r>
      <w:r w:rsidR="009978C9" w:rsidRPr="00524366">
        <w:rPr>
          <w:i/>
        </w:rPr>
        <w:t xml:space="preserve">podle kterého lze tvrdit, že každý, kdo se sám udá, nebude </w:t>
      </w:r>
      <w:r w:rsidR="00666A8B" w:rsidRPr="00524366">
        <w:rPr>
          <w:i/>
        </w:rPr>
        <w:t xml:space="preserve">poškozen, a to v těch </w:t>
      </w:r>
      <w:r w:rsidR="009978C9" w:rsidRPr="00524366">
        <w:rPr>
          <w:i/>
        </w:rPr>
        <w:t>případech,</w:t>
      </w:r>
      <w:r w:rsidR="00666A8B" w:rsidRPr="00524366">
        <w:rPr>
          <w:i/>
        </w:rPr>
        <w:t xml:space="preserve"> kdy je osobou, které je dovolena neznalost práva </w:t>
      </w:r>
      <w:r w:rsidR="006D4FDE" w:rsidRPr="00524366">
        <w:rPr>
          <w:i/>
        </w:rPr>
        <w:t>z důvodu její prostoty (rusticus) nebo pokud je tou osobou žena.“</w:t>
      </w:r>
      <w:r w:rsidR="006D4FDE" w:rsidRPr="00524366">
        <w:rPr>
          <w:rStyle w:val="Znakapoznpodarou"/>
          <w:i/>
        </w:rPr>
        <w:footnoteReference w:id="84"/>
      </w:r>
      <w:r w:rsidR="006D4FDE" w:rsidRPr="00524366">
        <w:rPr>
          <w:i/>
        </w:rPr>
        <w:t xml:space="preserve"> </w:t>
      </w:r>
    </w:p>
    <w:p w14:paraId="08687829" w14:textId="243119AA" w:rsidR="00FE5BC4" w:rsidRPr="00524366" w:rsidRDefault="00312EBA" w:rsidP="00DF3E88">
      <w:pPr>
        <w:spacing w:line="360" w:lineRule="auto"/>
        <w:ind w:firstLine="708"/>
        <w:jc w:val="both"/>
        <w:rPr>
          <w:i/>
        </w:rPr>
      </w:pPr>
      <w:r w:rsidRPr="00524366">
        <w:t>Zvláštn</w:t>
      </w:r>
      <w:r w:rsidR="00CC3AB5" w:rsidRPr="00524366">
        <w:t>í případ omluvitelnosti</w:t>
      </w:r>
      <w:r w:rsidR="000B678C" w:rsidRPr="00524366">
        <w:t xml:space="preserve"> právního omylu</w:t>
      </w:r>
      <w:r w:rsidR="00CC3AB5" w:rsidRPr="00524366">
        <w:t xml:space="preserve"> </w:t>
      </w:r>
      <w:r w:rsidRPr="00524366">
        <w:t xml:space="preserve">je uveden </w:t>
      </w:r>
      <w:r w:rsidR="003037C2" w:rsidRPr="00524366">
        <w:t xml:space="preserve">ve fragmentu Paula týkající se </w:t>
      </w:r>
      <w:r w:rsidR="009B59FD" w:rsidRPr="00524366">
        <w:t xml:space="preserve">uzavíraní manželství: </w:t>
      </w:r>
      <w:r w:rsidR="009B59FD" w:rsidRPr="00524366">
        <w:rPr>
          <w:i/>
        </w:rPr>
        <w:t>„</w:t>
      </w:r>
      <w:r w:rsidR="005F3F97" w:rsidRPr="00524366">
        <w:rPr>
          <w:i/>
        </w:rPr>
        <w:t>Podle práva národů se krvesmilstva dopouští ten, kdo uzavře manželství se ženou z řady svých předků nebo potomků. Kdo však uzavře manželství se ženou z bočního příbuzenstva nebo švagrovou, se kterou se manželství zakazuje, pokud to učinil zcela veřejně, bude potrestán mírnějším trestem; pokud však tajně, bude potrestán</w:t>
      </w:r>
      <w:r w:rsidR="00393AEA" w:rsidRPr="00524366">
        <w:rPr>
          <w:i/>
        </w:rPr>
        <w:t xml:space="preserve"> těžším trestem. Rozdíl má tento důvod: v rámci manželství, které je v bočním příbuzenství neprávoplatně uzavřeno, budou chráněni před přísnějším trestem ti, kdo chybovali; naopak ti, kteří uzavřeli manželství tajně, </w:t>
      </w:r>
      <w:r w:rsidR="00393AEA" w:rsidRPr="00524366">
        <w:rPr>
          <w:i/>
        </w:rPr>
        <w:lastRenderedPageBreak/>
        <w:t xml:space="preserve">budou potrestáni pro vzdorovitost </w:t>
      </w:r>
      <w:r w:rsidR="00431EA8" w:rsidRPr="00524366">
        <w:rPr>
          <w:i/>
        </w:rPr>
        <w:t>(neposlušnost).</w:t>
      </w:r>
      <w:r w:rsidR="00F21369" w:rsidRPr="00524366">
        <w:rPr>
          <w:rStyle w:val="Znakapoznpodarou"/>
          <w:i/>
        </w:rPr>
        <w:footnoteReference w:id="85"/>
      </w:r>
      <w:r w:rsidR="00431EA8" w:rsidRPr="00524366">
        <w:t xml:space="preserve"> </w:t>
      </w:r>
      <w:r w:rsidR="00D63BCA" w:rsidRPr="00524366">
        <w:t xml:space="preserve">V uvedeném fragmentu se jedná o případ, kdy muž uzavře </w:t>
      </w:r>
      <w:r w:rsidR="00FE0979" w:rsidRPr="00524366">
        <w:t xml:space="preserve">zakázané </w:t>
      </w:r>
      <w:r w:rsidR="00D63BCA" w:rsidRPr="00524366">
        <w:t xml:space="preserve">manželství se švagrovou nebo se ženou z bočního </w:t>
      </w:r>
      <w:r w:rsidR="00F32D24" w:rsidRPr="00524366">
        <w:t>příbuzenstva</w:t>
      </w:r>
      <w:r w:rsidR="00FE0979" w:rsidRPr="00524366">
        <w:t xml:space="preserve">. Nastávají dvě situace: muž tak učinil buď veřejně, anebo tajně. V prvém případě </w:t>
      </w:r>
      <w:r w:rsidR="00D4666E" w:rsidRPr="00524366">
        <w:t xml:space="preserve">lze </w:t>
      </w:r>
      <w:r w:rsidR="00FE0979" w:rsidRPr="00524366">
        <w:t>ze slova „veřejně“ dovodit, že muž nevěděl, že takové manželst</w:t>
      </w:r>
      <w:r w:rsidR="00DF3E88" w:rsidRPr="00524366">
        <w:t>ví nemůže uzavřít, byl neznalý práva.</w:t>
      </w:r>
      <w:r w:rsidR="00FE0979" w:rsidRPr="00524366">
        <w:t xml:space="preserve"> Jedná se tedy o omyl právní, kdy </w:t>
      </w:r>
      <w:r w:rsidR="00FE0979" w:rsidRPr="00524366">
        <w:rPr>
          <w:i/>
        </w:rPr>
        <w:t>error iuris nocet</w:t>
      </w:r>
      <w:r w:rsidR="006A396D" w:rsidRPr="00524366">
        <w:rPr>
          <w:i/>
        </w:rPr>
        <w:t>.</w:t>
      </w:r>
      <w:r w:rsidR="00FE0979" w:rsidRPr="00524366">
        <w:rPr>
          <w:rStyle w:val="Znakapoznpodarou"/>
          <w:i/>
        </w:rPr>
        <w:footnoteReference w:id="86"/>
      </w:r>
      <w:r w:rsidR="00FE0979" w:rsidRPr="00524366">
        <w:t xml:space="preserve"> Nicméně, zde existuje výjimka, a to částečné</w:t>
      </w:r>
      <w:r w:rsidR="000B678C" w:rsidRPr="00524366">
        <w:t xml:space="preserve"> omluvitelnosti právního omylu (kdy je toto dovozeno ze slov „bude potrestán mírnějším trestem“).</w:t>
      </w:r>
      <w:r w:rsidR="00D4666E" w:rsidRPr="00524366">
        <w:t xml:space="preserve"> Tedy i právní omyl se v určitých případech omlouval.</w:t>
      </w:r>
      <w:r w:rsidR="00744320" w:rsidRPr="00524366">
        <w:t xml:space="preserve"> </w:t>
      </w:r>
      <w:r w:rsidR="00D4666E" w:rsidRPr="00524366">
        <w:t xml:space="preserve">Mohlo se </w:t>
      </w:r>
      <w:r w:rsidR="00DF3E88" w:rsidRPr="00524366">
        <w:t xml:space="preserve">však </w:t>
      </w:r>
      <w:r w:rsidR="00D4666E" w:rsidRPr="00524366">
        <w:t xml:space="preserve">také jednat o omyl skutkový, kdy muž nevěděl, že vstupuje do manželství se ženou, která je jeho švagrová či příbuzná. </w:t>
      </w:r>
      <w:r w:rsidR="00DF3E88" w:rsidRPr="00524366">
        <w:rPr>
          <w:rFonts w:eastAsia="Times New Roman" w:cs="Times New Roman"/>
          <w:bCs/>
          <w:color w:val="000000"/>
          <w:lang w:eastAsia="cs-CZ"/>
        </w:rPr>
        <w:t>V takovém případě</w:t>
      </w:r>
      <w:r w:rsidR="00DF3E88" w:rsidRPr="00524366">
        <w:rPr>
          <w:rFonts w:eastAsia="Times New Roman" w:cs="Times New Roman"/>
          <w:bCs/>
          <w:i/>
          <w:color w:val="000000"/>
          <w:lang w:eastAsia="cs-CZ"/>
        </w:rPr>
        <w:t xml:space="preserve"> facti vero ignorantiam non nocere</w:t>
      </w:r>
      <w:r w:rsidR="006A396D" w:rsidRPr="00524366">
        <w:rPr>
          <w:rFonts w:eastAsia="Times New Roman" w:cs="Times New Roman"/>
          <w:bCs/>
          <w:i/>
          <w:color w:val="000000"/>
          <w:lang w:eastAsia="cs-CZ"/>
        </w:rPr>
        <w:t>.</w:t>
      </w:r>
      <w:r w:rsidR="00DF3E88" w:rsidRPr="00524366">
        <w:rPr>
          <w:rStyle w:val="Znakapoznpodarou"/>
          <w:rFonts w:eastAsia="Times New Roman" w:cs="Times New Roman"/>
          <w:bCs/>
          <w:i/>
          <w:color w:val="000000"/>
          <w:lang w:eastAsia="cs-CZ"/>
        </w:rPr>
        <w:footnoteReference w:id="87"/>
      </w:r>
      <w:r w:rsidR="00DF3E88" w:rsidRPr="00524366">
        <w:rPr>
          <w:rFonts w:eastAsia="Times New Roman" w:cs="Times New Roman"/>
          <w:bCs/>
          <w:i/>
          <w:color w:val="000000"/>
          <w:lang w:eastAsia="cs-CZ"/>
        </w:rPr>
        <w:t xml:space="preserve"> </w:t>
      </w:r>
      <w:r w:rsidR="00744320" w:rsidRPr="00524366">
        <w:t xml:space="preserve">Druhý případ, kdy </w:t>
      </w:r>
      <w:r w:rsidR="00DF3E88" w:rsidRPr="00524366">
        <w:t xml:space="preserve">muž </w:t>
      </w:r>
      <w:r w:rsidR="00744320" w:rsidRPr="00524366">
        <w:t xml:space="preserve">manželství uzavřel tajně, se neomlouvá, a to právě pro vzdorovitost. </w:t>
      </w:r>
      <w:r w:rsidR="000B678C" w:rsidRPr="00524366">
        <w:t xml:space="preserve"> </w:t>
      </w:r>
      <w:r w:rsidR="00FE0979" w:rsidRPr="00524366">
        <w:rPr>
          <w:i/>
        </w:rPr>
        <w:t xml:space="preserve"> </w:t>
      </w:r>
    </w:p>
    <w:p w14:paraId="06CEA6B4" w14:textId="46BC0921" w:rsidR="008A133F" w:rsidRPr="00524366" w:rsidRDefault="00FE5BC4" w:rsidP="00151D8D">
      <w:pPr>
        <w:rPr>
          <w:i/>
        </w:rPr>
      </w:pPr>
      <w:r w:rsidRPr="00524366">
        <w:rPr>
          <w:i/>
        </w:rPr>
        <w:br w:type="page"/>
      </w:r>
    </w:p>
    <w:p w14:paraId="432E1612" w14:textId="629732EA" w:rsidR="009C60D8" w:rsidRPr="00524366" w:rsidRDefault="009C60D8" w:rsidP="009B6E18">
      <w:pPr>
        <w:pStyle w:val="Nadpis1"/>
        <w:numPr>
          <w:ilvl w:val="0"/>
          <w:numId w:val="3"/>
        </w:numPr>
      </w:pPr>
      <w:bookmarkStart w:id="10" w:name="_Toc523139872"/>
      <w:r w:rsidRPr="00524366">
        <w:lastRenderedPageBreak/>
        <w:t>Error essentialis</w:t>
      </w:r>
      <w:r w:rsidR="00B37226" w:rsidRPr="00524366">
        <w:t>, error probabilis</w:t>
      </w:r>
      <w:bookmarkEnd w:id="10"/>
      <w:r w:rsidR="00B37226" w:rsidRPr="00524366">
        <w:t xml:space="preserve"> </w:t>
      </w:r>
    </w:p>
    <w:p w14:paraId="20E9C070" w14:textId="77777777" w:rsidR="009C60D8" w:rsidRPr="00524366" w:rsidRDefault="009C60D8" w:rsidP="009C60D8"/>
    <w:p w14:paraId="1BD4D0A4" w14:textId="48E78EA6" w:rsidR="00E53B74" w:rsidRPr="00524366" w:rsidRDefault="00416DAE" w:rsidP="004D5E56">
      <w:pPr>
        <w:spacing w:line="360" w:lineRule="auto"/>
        <w:ind w:left="-57" w:firstLine="765"/>
        <w:jc w:val="both"/>
      </w:pPr>
      <w:r w:rsidRPr="00524366">
        <w:t>Právní jednání učiněné v omylu je podle římského práva neplatné pouze tehdy, jde-li o tzv. omyl podstatný</w:t>
      </w:r>
      <w:r w:rsidR="002A2650" w:rsidRPr="00524366">
        <w:t xml:space="preserve"> (error essentialis). Dotýká-li se omyl právního jednání in complexu, jednání je ipso iure neplatné, a to z důvodu absence</w:t>
      </w:r>
      <w:r w:rsidR="00753254" w:rsidRPr="00524366">
        <w:t xml:space="preserve"> správné</w:t>
      </w:r>
      <w:r w:rsidR="002A2650" w:rsidRPr="00524366">
        <w:t xml:space="preserve"> vůle</w:t>
      </w:r>
      <w:r w:rsidR="00BA1726" w:rsidRPr="00524366">
        <w:t xml:space="preserve"> (vůle tam je, ale je chybná)</w:t>
      </w:r>
      <w:r w:rsidR="002A2650" w:rsidRPr="00524366">
        <w:t xml:space="preserve"> jakožto základního požadavku právního jednání.</w:t>
      </w:r>
      <w:r w:rsidR="002A2650" w:rsidRPr="00524366">
        <w:rPr>
          <w:rStyle w:val="Znakapoznpodarou"/>
        </w:rPr>
        <w:footnoteReference w:id="88"/>
      </w:r>
      <w:r w:rsidR="00922687" w:rsidRPr="00524366">
        <w:t xml:space="preserve"> </w:t>
      </w:r>
    </w:p>
    <w:p w14:paraId="770116E4" w14:textId="15947B07" w:rsidR="003D2076" w:rsidRPr="00524366" w:rsidRDefault="00761878" w:rsidP="004D5E56">
      <w:pPr>
        <w:spacing w:line="360" w:lineRule="auto"/>
        <w:ind w:left="-57" w:firstLine="765"/>
        <w:jc w:val="both"/>
        <w:rPr>
          <w:i/>
        </w:rPr>
      </w:pPr>
      <w:r w:rsidRPr="00524366">
        <w:t xml:space="preserve">Poměrně hezký příklad týkající se bezúčinného právního jednání </w:t>
      </w:r>
      <w:r w:rsidR="00523BAE" w:rsidRPr="00524366">
        <w:t xml:space="preserve">uvádí Bonfante: </w:t>
      </w:r>
      <w:r w:rsidR="00523BAE" w:rsidRPr="00524366">
        <w:rPr>
          <w:i/>
        </w:rPr>
        <w:t xml:space="preserve">„Někdo se domnívá, že podpisuje dopis, a místo toho podepíše list, obsahující jeho testament, anebo dlužní úpis.“ </w:t>
      </w:r>
      <w:r w:rsidRPr="00524366">
        <w:t xml:space="preserve">Prokáže-li se </w:t>
      </w:r>
      <w:r w:rsidR="00523BAE" w:rsidRPr="00524366">
        <w:t xml:space="preserve">tedy </w:t>
      </w:r>
      <w:r w:rsidRPr="00524366">
        <w:t>omyl týkající se jednání in complexu, je toto jednání naprosto bezúčinné.</w:t>
      </w:r>
      <w:r w:rsidR="00523BAE" w:rsidRPr="00524366">
        <w:rPr>
          <w:rStyle w:val="Znakapoznpodarou"/>
        </w:rPr>
        <w:footnoteReference w:id="89"/>
      </w:r>
      <w:r w:rsidR="00EC0E3E" w:rsidRPr="00524366">
        <w:t xml:space="preserve"> </w:t>
      </w:r>
    </w:p>
    <w:p w14:paraId="4737B5CF" w14:textId="4E54E883" w:rsidR="00416DAE" w:rsidRPr="00524366" w:rsidRDefault="00694EBD" w:rsidP="00416DAE">
      <w:pPr>
        <w:spacing w:line="360" w:lineRule="auto"/>
        <w:ind w:left="-57" w:firstLine="417"/>
        <w:jc w:val="both"/>
      </w:pPr>
      <w:r w:rsidRPr="00524366">
        <w:t xml:space="preserve">Omyl je podstatný tehdy, týká-li se: </w:t>
      </w:r>
    </w:p>
    <w:p w14:paraId="22D850DC" w14:textId="6003FDA5" w:rsidR="00216DCD" w:rsidRPr="00524366" w:rsidRDefault="002832E4" w:rsidP="009B6E18">
      <w:pPr>
        <w:pStyle w:val="Odstavecseseznamem"/>
        <w:numPr>
          <w:ilvl w:val="0"/>
          <w:numId w:val="5"/>
        </w:numPr>
        <w:spacing w:line="360" w:lineRule="auto"/>
        <w:jc w:val="both"/>
      </w:pPr>
      <w:r w:rsidRPr="00524366">
        <w:t>jednající osoby</w:t>
      </w:r>
      <w:r w:rsidR="00B717A2" w:rsidRPr="00524366">
        <w:t xml:space="preserve"> </w:t>
      </w:r>
      <w:r w:rsidR="006A1E7F" w:rsidRPr="00524366">
        <w:t>(error in persona)</w:t>
      </w:r>
    </w:p>
    <w:p w14:paraId="52F7C93E" w14:textId="67FEA16B" w:rsidR="00DA31D3" w:rsidRPr="00524366" w:rsidRDefault="00DA31D3" w:rsidP="009B6E18">
      <w:pPr>
        <w:pStyle w:val="Odstavecseseznamem"/>
        <w:numPr>
          <w:ilvl w:val="0"/>
          <w:numId w:val="5"/>
        </w:numPr>
        <w:spacing w:line="360" w:lineRule="auto"/>
        <w:jc w:val="both"/>
      </w:pPr>
      <w:r w:rsidRPr="00524366">
        <w:t>povahy právního jednání (error in negotio</w:t>
      </w:r>
      <w:r w:rsidR="0069088F" w:rsidRPr="00524366">
        <w:t>)</w:t>
      </w:r>
      <w:r w:rsidR="00F00AA9" w:rsidRPr="00524366">
        <w:t xml:space="preserve"> </w:t>
      </w:r>
    </w:p>
    <w:p w14:paraId="129676F8" w14:textId="418AA9EC" w:rsidR="006963B0" w:rsidRPr="00524366" w:rsidRDefault="00782D28" w:rsidP="009B6E18">
      <w:pPr>
        <w:pStyle w:val="Odstavecseseznamem"/>
        <w:numPr>
          <w:ilvl w:val="0"/>
          <w:numId w:val="5"/>
        </w:numPr>
        <w:spacing w:line="360" w:lineRule="auto"/>
        <w:jc w:val="both"/>
      </w:pPr>
      <w:r w:rsidRPr="00524366">
        <w:t xml:space="preserve">předmětu </w:t>
      </w:r>
      <w:r w:rsidR="002832E4" w:rsidRPr="00524366">
        <w:t>jednání</w:t>
      </w:r>
      <w:r w:rsidR="00DA31D3" w:rsidRPr="00524366">
        <w:t xml:space="preserve"> (error in corpore) </w:t>
      </w:r>
    </w:p>
    <w:p w14:paraId="54F873B1" w14:textId="7B4BDCB3" w:rsidR="00B2507B" w:rsidRPr="00524366" w:rsidRDefault="006654E2" w:rsidP="009B6E18">
      <w:pPr>
        <w:pStyle w:val="Odstavecseseznamem"/>
        <w:numPr>
          <w:ilvl w:val="0"/>
          <w:numId w:val="5"/>
        </w:numPr>
        <w:spacing w:line="360" w:lineRule="auto"/>
        <w:jc w:val="both"/>
      </w:pPr>
      <w:r w:rsidRPr="00524366">
        <w:t xml:space="preserve">omylu ve hmotě věci (error in materia </w:t>
      </w:r>
      <w:r w:rsidR="00B2507B" w:rsidRPr="00524366">
        <w:t xml:space="preserve">a error in sexu) </w:t>
      </w:r>
      <w:r w:rsidR="00243FBF" w:rsidRPr="00524366">
        <w:t xml:space="preserve">- u tohoto typu omylu je však sporná jeho právní relevance (zda je podstatný či nikoliv), nicméně většinou </w:t>
      </w:r>
      <w:r w:rsidR="00843EB0" w:rsidRPr="00524366">
        <w:t xml:space="preserve">se za podstatný omyl považoval, podrobnější rozbor viz. níže. </w:t>
      </w:r>
    </w:p>
    <w:p w14:paraId="7A70F512" w14:textId="77777777" w:rsidR="00516D5B" w:rsidRPr="00524366" w:rsidRDefault="00516D5B" w:rsidP="00516D5B">
      <w:pPr>
        <w:pStyle w:val="Odstavecseseznamem"/>
        <w:spacing w:line="360" w:lineRule="auto"/>
        <w:jc w:val="both"/>
      </w:pPr>
    </w:p>
    <w:p w14:paraId="065F2D8F" w14:textId="77A5F04B" w:rsidR="003E0740" w:rsidRPr="00524366" w:rsidRDefault="00B54896" w:rsidP="006A396D">
      <w:pPr>
        <w:spacing w:line="360" w:lineRule="auto"/>
        <w:ind w:firstLine="708"/>
        <w:jc w:val="both"/>
        <w:rPr>
          <w:i/>
        </w:rPr>
      </w:pPr>
      <w:r w:rsidRPr="00524366">
        <w:t xml:space="preserve">Error essentialis je jednou z podmínek </w:t>
      </w:r>
      <w:r w:rsidR="002E43E8" w:rsidRPr="00524366">
        <w:t xml:space="preserve">právní </w:t>
      </w:r>
      <w:r w:rsidR="006A396D" w:rsidRPr="00524366">
        <w:t>relevance omylu;</w:t>
      </w:r>
      <w:r w:rsidRPr="00524366">
        <w:t xml:space="preserve"> druhou podmínkou j</w:t>
      </w:r>
      <w:r w:rsidR="00B37226" w:rsidRPr="00524366">
        <w:t>e, že omyl musí být omluvitelný (error probabil</w:t>
      </w:r>
      <w:r w:rsidR="007B0F40" w:rsidRPr="00524366">
        <w:t xml:space="preserve">is). </w:t>
      </w:r>
      <w:r w:rsidR="00D5587D" w:rsidRPr="00524366">
        <w:t xml:space="preserve">Otakar Sommer říká, že: </w:t>
      </w:r>
      <w:r w:rsidR="00D5587D" w:rsidRPr="00524366">
        <w:rPr>
          <w:i/>
        </w:rPr>
        <w:t>„V pramenech nevystupuje tato podmínka dosti zřetelně. Tím se vysvětluje, že teorie pandektního práva považovala každý omyl podstatný za důvod neplatnosti smlouvy, a</w:t>
      </w:r>
      <w:r w:rsidR="00B7423D" w:rsidRPr="00524366">
        <w:rPr>
          <w:i/>
        </w:rPr>
        <w:t>čkoliv praktikové XVII. a XVIII. stol. (usus modernus pandectarum) správně kladli důraz na omluvitelnost omylu</w:t>
      </w:r>
      <w:r w:rsidR="00B7423D" w:rsidRPr="00524366">
        <w:rPr>
          <w:rStyle w:val="Znakapoznpodarou"/>
          <w:i/>
        </w:rPr>
        <w:footnoteReference w:id="90"/>
      </w:r>
      <w:r w:rsidR="00D5587D" w:rsidRPr="00524366">
        <w:rPr>
          <w:i/>
        </w:rPr>
        <w:t>. Savigny, opíraje se o svoji nauku o omylu nepravém</w:t>
      </w:r>
      <w:r w:rsidR="00FD0577" w:rsidRPr="00524366">
        <w:rPr>
          <w:rStyle w:val="Znakapoznpodarou"/>
          <w:i/>
        </w:rPr>
        <w:footnoteReference w:id="91"/>
      </w:r>
      <w:r w:rsidR="00FD0577" w:rsidRPr="00524366">
        <w:rPr>
          <w:i/>
        </w:rPr>
        <w:t>, akceptoval pro právo obecné stanovisko pruského Landrechtu, podle něhož i zaviněný omyl je důvodem neplatnosti projevu</w:t>
      </w:r>
      <w:r w:rsidR="006A396D" w:rsidRPr="00524366">
        <w:rPr>
          <w:i/>
        </w:rPr>
        <w:t>.</w:t>
      </w:r>
      <w:r w:rsidR="00FD0577" w:rsidRPr="00524366">
        <w:rPr>
          <w:rStyle w:val="Znakapoznpodarou"/>
          <w:i/>
        </w:rPr>
        <w:footnoteReference w:id="92"/>
      </w:r>
      <w:r w:rsidR="006A396D" w:rsidRPr="00524366">
        <w:rPr>
          <w:i/>
          <w:vertAlign w:val="superscript"/>
        </w:rPr>
        <w:t>,</w:t>
      </w:r>
      <w:r w:rsidR="00306FB9" w:rsidRPr="00524366">
        <w:rPr>
          <w:rStyle w:val="Znakapoznpodarou"/>
        </w:rPr>
        <w:footnoteReference w:id="93"/>
      </w:r>
      <w:r w:rsidR="005E1F16" w:rsidRPr="00524366">
        <w:t xml:space="preserve"> </w:t>
      </w:r>
    </w:p>
    <w:p w14:paraId="66D15FD8" w14:textId="77777777" w:rsidR="0088464A" w:rsidRPr="00524366" w:rsidRDefault="0088464A" w:rsidP="0088464A"/>
    <w:p w14:paraId="40F45E2A" w14:textId="18DE0CF6" w:rsidR="00B77FB6" w:rsidRPr="00524366" w:rsidRDefault="008A133F" w:rsidP="009B6E18">
      <w:pPr>
        <w:pStyle w:val="Nadpis3"/>
        <w:numPr>
          <w:ilvl w:val="1"/>
          <w:numId w:val="3"/>
        </w:numPr>
        <w:rPr>
          <w:sz w:val="28"/>
        </w:rPr>
      </w:pPr>
      <w:bookmarkStart w:id="11" w:name="_Toc523139873"/>
      <w:r w:rsidRPr="00524366">
        <w:rPr>
          <w:sz w:val="28"/>
        </w:rPr>
        <w:t>Error in persona</w:t>
      </w:r>
      <w:bookmarkEnd w:id="11"/>
    </w:p>
    <w:p w14:paraId="04C015E0" w14:textId="77777777" w:rsidR="00BF1AA8" w:rsidRPr="00524366" w:rsidRDefault="00BF1AA8" w:rsidP="00BF1AA8"/>
    <w:p w14:paraId="03262E8A" w14:textId="0B429680" w:rsidR="00B174CE" w:rsidRPr="00524366" w:rsidRDefault="0063366E" w:rsidP="000C7710">
      <w:pPr>
        <w:spacing w:line="360" w:lineRule="auto"/>
        <w:ind w:firstLine="708"/>
        <w:jc w:val="both"/>
      </w:pPr>
      <w:r w:rsidRPr="00524366">
        <w:t>Error in persona se týká</w:t>
      </w:r>
      <w:r w:rsidR="00BE4532" w:rsidRPr="00524366">
        <w:t xml:space="preserve"> t</w:t>
      </w:r>
      <w:r w:rsidR="00BF1AA8" w:rsidRPr="00524366">
        <w:t>otožnosti osoby, s níž se závazek uzavírá nebo v jejíž prospěch se právní jednání činí</w:t>
      </w:r>
      <w:r w:rsidR="00EE54C1" w:rsidRPr="00524366">
        <w:t xml:space="preserve">. </w:t>
      </w:r>
      <w:r w:rsidR="00702212" w:rsidRPr="00524366">
        <w:t>S</w:t>
      </w:r>
      <w:r w:rsidR="009D70E2" w:rsidRPr="00524366">
        <w:t>rov. Celsus</w:t>
      </w:r>
      <w:r w:rsidR="00BF1AA8" w:rsidRPr="00524366">
        <w:t xml:space="preserve"> </w:t>
      </w:r>
      <w:r w:rsidR="00BF1AA8" w:rsidRPr="00524366">
        <w:rPr>
          <w:i/>
        </w:rPr>
        <w:t xml:space="preserve">„Když požádáš Titia a mě, abychom ti půjčili peníze a já nařídím mému dlužníkovi, aby to zařídil, a ty </w:t>
      </w:r>
      <w:r w:rsidR="0054660A" w:rsidRPr="00524366">
        <w:rPr>
          <w:i/>
        </w:rPr>
        <w:t>nařizuješ slíbit</w:t>
      </w:r>
      <w:r w:rsidR="00BF1AA8" w:rsidRPr="00524366">
        <w:rPr>
          <w:i/>
        </w:rPr>
        <w:t xml:space="preserve"> v domnění, že ten dlužník je dlužníkem Titia, budeš zavázán mně? </w:t>
      </w:r>
      <w:r w:rsidR="00BF1AA8" w:rsidRPr="00524366">
        <w:rPr>
          <w:i/>
        </w:rPr>
        <w:lastRenderedPageBreak/>
        <w:t xml:space="preserve">Jsem na pochybách v tom ohledu, že jsi se mnou neuzavřel smlouvu, ale myslím si, že jsi zavázán se mnou; ne proto, že jsem ti půjčil peníze (smlouva o </w:t>
      </w:r>
      <w:r w:rsidR="001B7F76" w:rsidRPr="00524366">
        <w:rPr>
          <w:i/>
        </w:rPr>
        <w:t>zá</w:t>
      </w:r>
      <w:r w:rsidR="00BF1AA8" w:rsidRPr="00524366">
        <w:rPr>
          <w:i/>
        </w:rPr>
        <w:t>půjčce to být nemůže, ledaže by strany souhlasily); ale proto, že moje peníze přišly do tvých rukou, a proto je správné a spravedlivé, že by jsi měl vrátit peníze mně.“</w:t>
      </w:r>
      <w:r w:rsidR="00BF1AA8" w:rsidRPr="00524366">
        <w:rPr>
          <w:rStyle w:val="Znakapoznpodarou"/>
          <w:i/>
        </w:rPr>
        <w:footnoteReference w:id="94"/>
      </w:r>
      <w:r w:rsidR="00BF1AA8" w:rsidRPr="00524366">
        <w:rPr>
          <w:i/>
        </w:rPr>
        <w:t xml:space="preserve"> </w:t>
      </w:r>
      <w:r w:rsidR="00005B9B" w:rsidRPr="00524366">
        <w:t xml:space="preserve">Osoba, která se označuje „ty“ </w:t>
      </w:r>
      <w:r w:rsidR="00BF1AA8" w:rsidRPr="00524366">
        <w:t>je v domnění, že dostala peníze od dlužníka, který dlužil Titiovi, avšak ve skutečnosti je obdržela od osoby, která byla dlužníkem osoby, jež je ve fragmen</w:t>
      </w:r>
      <w:r w:rsidR="00041A4A" w:rsidRPr="00524366">
        <w:t>tu zmiňována pod zájmenem „já“</w:t>
      </w:r>
      <w:r w:rsidR="006B1496" w:rsidRPr="00524366">
        <w:t>, p</w:t>
      </w:r>
      <w:r w:rsidR="00041A4A" w:rsidRPr="00524366">
        <w:t>eníze tedy osoba obdržela ode „mě“</w:t>
      </w:r>
      <w:r w:rsidR="006B1496" w:rsidRPr="00524366">
        <w:t>.</w:t>
      </w:r>
      <w:r w:rsidR="00BF1AA8" w:rsidRPr="00524366">
        <w:t xml:space="preserve"> </w:t>
      </w:r>
    </w:p>
    <w:p w14:paraId="5813F476" w14:textId="4737E7F0" w:rsidR="00BF1AA8" w:rsidRPr="00524366" w:rsidRDefault="00B174CE" w:rsidP="000C7710">
      <w:pPr>
        <w:spacing w:line="360" w:lineRule="auto"/>
        <w:ind w:firstLine="708"/>
        <w:jc w:val="both"/>
      </w:pPr>
      <w:r w:rsidRPr="00524366">
        <w:t xml:space="preserve">Stejný závěr </w:t>
      </w:r>
      <w:r w:rsidR="000C7710" w:rsidRPr="00524366">
        <w:t>uvádí</w:t>
      </w:r>
      <w:r w:rsidRPr="00524366">
        <w:t xml:space="preserve"> Ulpianus</w:t>
      </w:r>
      <w:r w:rsidR="000C7710" w:rsidRPr="00524366">
        <w:t xml:space="preserve">: </w:t>
      </w:r>
      <w:r w:rsidR="00B25191" w:rsidRPr="00524366">
        <w:rPr>
          <w:i/>
        </w:rPr>
        <w:t>„Existují určitá zvláštní pravidla, která byla přijata ohledně zápůjčky peněz; jestliže přikážu mému dlužníkovi, aby ti zaplatil, budeš zavázán se mnou, přestože peníze, které jsi obdržel, nebyly moje. Z toho důvodu, pokud bylo toto pravidlo zavedeno ve vztahu k těmto dvěma osobám, musí být také dodržováno tam, kde je</w:t>
      </w:r>
      <w:r w:rsidR="00FE52D8" w:rsidRPr="00524366">
        <w:rPr>
          <w:i/>
        </w:rPr>
        <w:t xml:space="preserve"> pouze</w:t>
      </w:r>
      <w:r w:rsidR="00B25191" w:rsidRPr="00524366">
        <w:rPr>
          <w:i/>
        </w:rPr>
        <w:t xml:space="preserve"> jedna</w:t>
      </w:r>
      <w:r w:rsidR="00FE52D8" w:rsidRPr="00524366">
        <w:rPr>
          <w:i/>
        </w:rPr>
        <w:t xml:space="preserve"> osoba</w:t>
      </w:r>
      <w:r w:rsidR="00B25191" w:rsidRPr="00524366">
        <w:rPr>
          <w:i/>
        </w:rPr>
        <w:t xml:space="preserve"> – tak proto, když mi dlužíš peníze vzhledem k příkazu a mezi námi je dohodnuto, že si to ponecháš jako zápůjčku, je rozhodnuto, že peníze byly zaplaceny mně a převedeny mnou na tebe.“</w:t>
      </w:r>
      <w:r w:rsidR="00B25191" w:rsidRPr="00524366">
        <w:rPr>
          <w:rStyle w:val="Znakapoznpodarou"/>
          <w:i/>
        </w:rPr>
        <w:footnoteReference w:id="95"/>
      </w:r>
      <w:r w:rsidR="00B20040" w:rsidRPr="00524366">
        <w:t xml:space="preserve"> </w:t>
      </w:r>
    </w:p>
    <w:p w14:paraId="4464B3A8" w14:textId="31E51CCD" w:rsidR="00616ABA" w:rsidRPr="00524366" w:rsidRDefault="004E150E" w:rsidP="00BE4CBA">
      <w:pPr>
        <w:spacing w:line="360" w:lineRule="auto"/>
        <w:ind w:firstLine="708"/>
        <w:jc w:val="both"/>
      </w:pPr>
      <w:r w:rsidRPr="00524366">
        <w:t xml:space="preserve">Další příklad týkající se omylu v osobě uvádí Ulpianus: </w:t>
      </w:r>
      <w:r w:rsidRPr="00524366">
        <w:rPr>
          <w:i/>
        </w:rPr>
        <w:t>„</w:t>
      </w:r>
      <w:r w:rsidRPr="00524366">
        <w:rPr>
          <w:rStyle w:val="Siln"/>
          <w:b w:val="0"/>
          <w:i/>
          <w:color w:val="000000"/>
        </w:rPr>
        <w:t>Vždy, když zůstavitel, který si přeje ustanovit za dědice jinou osobu z důvodu omylu v osobě („Můj bratr, Můj patron“), je ustáleno, že nikdo z nich nebude jeho dědicem; ten, který je uveden v závěti, z důvodu, že nebyl záměr zemřelého ustanovit jeho; ani ten, jehož zamýšlel ustanovit, protože nebyl zmíněn.“</w:t>
      </w:r>
      <w:r w:rsidRPr="00524366">
        <w:rPr>
          <w:rStyle w:val="Siln"/>
          <w:b w:val="0"/>
          <w:color w:val="000000"/>
        </w:rPr>
        <w:t xml:space="preserve"> </w:t>
      </w:r>
      <w:r w:rsidR="004C1382" w:rsidRPr="00524366">
        <w:rPr>
          <w:rStyle w:val="Znakapoznpodarou"/>
          <w:bCs/>
          <w:color w:val="000000"/>
        </w:rPr>
        <w:footnoteReference w:id="96"/>
      </w:r>
      <w:r w:rsidR="004C1382" w:rsidRPr="00524366">
        <w:rPr>
          <w:rStyle w:val="Siln"/>
          <w:b w:val="0"/>
          <w:color w:val="000000"/>
        </w:rPr>
        <w:t xml:space="preserve"> </w:t>
      </w:r>
      <w:r w:rsidR="00437FF1" w:rsidRPr="00524366">
        <w:rPr>
          <w:rStyle w:val="Siln"/>
          <w:b w:val="0"/>
          <w:color w:val="000000"/>
        </w:rPr>
        <w:t xml:space="preserve">Tento </w:t>
      </w:r>
      <w:r w:rsidR="006B1496" w:rsidRPr="00524366">
        <w:rPr>
          <w:rStyle w:val="Siln"/>
          <w:b w:val="0"/>
          <w:color w:val="000000"/>
        </w:rPr>
        <w:t xml:space="preserve">Ulpianův fragment </w:t>
      </w:r>
      <w:r w:rsidR="00616ABA" w:rsidRPr="00524366">
        <w:rPr>
          <w:rStyle w:val="Siln"/>
          <w:b w:val="0"/>
          <w:color w:val="000000"/>
        </w:rPr>
        <w:t xml:space="preserve"> </w:t>
      </w:r>
      <w:r w:rsidR="006B1496" w:rsidRPr="00524366">
        <w:rPr>
          <w:rStyle w:val="Siln"/>
          <w:b w:val="0"/>
          <w:color w:val="000000"/>
        </w:rPr>
        <w:t>velmi</w:t>
      </w:r>
      <w:r w:rsidR="00C449BC" w:rsidRPr="00524366">
        <w:rPr>
          <w:rStyle w:val="Siln"/>
          <w:b w:val="0"/>
          <w:color w:val="000000"/>
        </w:rPr>
        <w:t xml:space="preserve"> úzce souvisí s fragmentem Paulovým</w:t>
      </w:r>
      <w:r w:rsidR="006B1496" w:rsidRPr="00524366">
        <w:rPr>
          <w:rStyle w:val="Siln"/>
          <w:b w:val="0"/>
          <w:color w:val="000000"/>
        </w:rPr>
        <w:t xml:space="preserve">: </w:t>
      </w:r>
      <w:r w:rsidR="006B1496" w:rsidRPr="00524366">
        <w:rPr>
          <w:i/>
        </w:rPr>
        <w:t>„Když je věta nejednoznačná (dvojsmyslná), nemůžeme to interpretovat oběma způsoby, ale pouze způsobem, který odpovídá vůli jednajícího. Proto, když někdo řekl něco, co neměl v úmyslu říct, neřekl tedy ani pravý význam, protože to nebyl jeho záměr (úmysl), neřekl ani to, co měl v úmyslu říct (co zamýšlel), protože nepoužil jazyk vhodný pro tento účel.“</w:t>
      </w:r>
      <w:r w:rsidR="006B1496" w:rsidRPr="00524366">
        <w:rPr>
          <w:rStyle w:val="Znakapoznpodarou"/>
          <w:i/>
        </w:rPr>
        <w:footnoteReference w:id="97"/>
      </w:r>
      <w:r w:rsidR="006B1496" w:rsidRPr="00524366">
        <w:t xml:space="preserve"> </w:t>
      </w:r>
      <w:r w:rsidR="00616ABA" w:rsidRPr="00524366">
        <w:t>Zde si lze povšimnout rozporu mezi římskými právníky</w:t>
      </w:r>
      <w:r w:rsidR="00BE4CBA" w:rsidRPr="00524366">
        <w:t xml:space="preserve"> tykající</w:t>
      </w:r>
      <w:r w:rsidR="00C449BC" w:rsidRPr="00524366">
        <w:t>ho</w:t>
      </w:r>
      <w:r w:rsidR="00BE4CBA" w:rsidRPr="00524366">
        <w:t xml:space="preserve"> se </w:t>
      </w:r>
      <w:r w:rsidR="00616ABA" w:rsidRPr="00524366">
        <w:t xml:space="preserve">této problematiky. </w:t>
      </w:r>
      <w:r w:rsidR="00BE4CBA" w:rsidRPr="00524366">
        <w:t>Lze však</w:t>
      </w:r>
      <w:r w:rsidR="00616ABA" w:rsidRPr="00524366">
        <w:t xml:space="preserve"> dovodit, že každý případ byl posuzován subjektivně a přihlíželo se k</w:t>
      </w:r>
      <w:r w:rsidR="00BE4CBA" w:rsidRPr="00524366">
        <w:t xml:space="preserve"> </w:t>
      </w:r>
      <w:r w:rsidR="00616ABA" w:rsidRPr="00524366">
        <w:t xml:space="preserve">vůli </w:t>
      </w:r>
      <w:r w:rsidR="00BE4CBA" w:rsidRPr="00524366">
        <w:t>jednajícího.</w:t>
      </w:r>
      <w:r w:rsidR="00BE4CBA" w:rsidRPr="00524366">
        <w:rPr>
          <w:rStyle w:val="Znakapoznpodarou"/>
        </w:rPr>
        <w:footnoteReference w:id="98"/>
      </w:r>
      <w:r w:rsidR="00BE4CBA" w:rsidRPr="00524366">
        <w:t xml:space="preserve"> </w:t>
      </w:r>
    </w:p>
    <w:p w14:paraId="5A0AAF93" w14:textId="39BF17DE" w:rsidR="00BF1AA8" w:rsidRPr="00524366" w:rsidRDefault="00DF1578" w:rsidP="003C5D65">
      <w:pPr>
        <w:spacing w:line="360" w:lineRule="auto"/>
        <w:ind w:firstLine="708"/>
        <w:jc w:val="both"/>
      </w:pPr>
      <w:r w:rsidRPr="00524366">
        <w:t>Totožnost osoby není ve všech případech podstatným požadavkem.</w:t>
      </w:r>
      <w:r w:rsidRPr="00524366">
        <w:rPr>
          <w:rStyle w:val="Znakapoznpodarou"/>
        </w:rPr>
        <w:footnoteReference w:id="99"/>
      </w:r>
      <w:r w:rsidRPr="00524366">
        <w:t xml:space="preserve"> Omyl v totožnosti osoby je podstatný pouze tehdy, týká-li se důležitých vlastností osoby, které jsou podstatné pro povahu uzavírané smlouvy. </w:t>
      </w:r>
      <w:r w:rsidR="00C46BBC" w:rsidRPr="00524366">
        <w:t>Důležitou vlastností osoby je například um malovat</w:t>
      </w:r>
      <w:r w:rsidR="003C5D65" w:rsidRPr="00524366">
        <w:t xml:space="preserve">. </w:t>
      </w:r>
      <w:r w:rsidR="00C46BBC" w:rsidRPr="00524366">
        <w:t xml:space="preserve">V případě, že osoba chce uzavřít smlouvu </w:t>
      </w:r>
      <w:r w:rsidR="003C5D65" w:rsidRPr="00524366">
        <w:t xml:space="preserve">o dílo </w:t>
      </w:r>
      <w:r w:rsidR="00C46BBC" w:rsidRPr="00524366">
        <w:t>s malířem a uzavře smlouvu s osobou,</w:t>
      </w:r>
      <w:r w:rsidR="00262010" w:rsidRPr="00524366">
        <w:t xml:space="preserve"> která je zpěvákem</w:t>
      </w:r>
      <w:r w:rsidR="00C46BBC" w:rsidRPr="00524366">
        <w:t xml:space="preserve">, jedná se </w:t>
      </w:r>
      <w:r w:rsidR="003C5D65" w:rsidRPr="00524366">
        <w:t xml:space="preserve">o podstatnou vadu smlouvy, jelikož se týká důležitých vlastností osoby. Důležité vlastnosti osoby naopak nenajdeme u smlouvy trhové. </w:t>
      </w:r>
    </w:p>
    <w:p w14:paraId="5A76BE01" w14:textId="77777777" w:rsidR="00516D5B" w:rsidRPr="00524366" w:rsidRDefault="00516D5B" w:rsidP="00243FBF">
      <w:pPr>
        <w:spacing w:line="360" w:lineRule="auto"/>
        <w:jc w:val="both"/>
      </w:pPr>
    </w:p>
    <w:p w14:paraId="66FE8FBD" w14:textId="3198542A" w:rsidR="00BF1AA8" w:rsidRPr="00524366" w:rsidRDefault="00BF1AA8" w:rsidP="009B6E18">
      <w:pPr>
        <w:pStyle w:val="Nadpis3"/>
        <w:numPr>
          <w:ilvl w:val="1"/>
          <w:numId w:val="3"/>
        </w:numPr>
        <w:rPr>
          <w:sz w:val="28"/>
        </w:rPr>
      </w:pPr>
      <w:bookmarkStart w:id="12" w:name="_Toc523139874"/>
      <w:r w:rsidRPr="00524366">
        <w:rPr>
          <w:sz w:val="28"/>
        </w:rPr>
        <w:lastRenderedPageBreak/>
        <w:t>Error in negotio</w:t>
      </w:r>
      <w:bookmarkEnd w:id="12"/>
      <w:r w:rsidRPr="00524366">
        <w:rPr>
          <w:sz w:val="28"/>
        </w:rPr>
        <w:t xml:space="preserve"> </w:t>
      </w:r>
    </w:p>
    <w:p w14:paraId="45CBECA3" w14:textId="77777777" w:rsidR="00202C1B" w:rsidRPr="00524366" w:rsidRDefault="00202C1B" w:rsidP="00202C1B">
      <w:pPr>
        <w:spacing w:line="360" w:lineRule="auto"/>
        <w:jc w:val="both"/>
      </w:pPr>
    </w:p>
    <w:p w14:paraId="44B3E6CB" w14:textId="03B7750A" w:rsidR="006C4637" w:rsidRPr="00524366" w:rsidRDefault="0071327D" w:rsidP="00B83E0E">
      <w:pPr>
        <w:spacing w:line="360" w:lineRule="auto"/>
        <w:ind w:left="12" w:firstLine="696"/>
        <w:jc w:val="both"/>
      </w:pPr>
      <w:r w:rsidRPr="00524366">
        <w:t>Je tu rozpor mezi vůlí a projevem, jelikož jednající označ</w:t>
      </w:r>
      <w:r w:rsidR="00D96D89" w:rsidRPr="00524366">
        <w:t>í v důsledku omyl</w:t>
      </w:r>
      <w:r w:rsidR="00FF696D" w:rsidRPr="00524366">
        <w:t>u</w:t>
      </w:r>
      <w:r w:rsidR="00127348" w:rsidRPr="00524366">
        <w:t xml:space="preserve"> to, co nechce. Srov.</w:t>
      </w:r>
      <w:r w:rsidR="00127348" w:rsidRPr="00524366">
        <w:rPr>
          <w:i/>
        </w:rPr>
        <w:t xml:space="preserve"> „Nulla enim voluntas errantis est.“</w:t>
      </w:r>
      <w:r w:rsidR="00127348" w:rsidRPr="00524366">
        <w:rPr>
          <w:rStyle w:val="Znakapoznpodarou"/>
          <w:i/>
        </w:rPr>
        <w:footnoteReference w:id="100"/>
      </w:r>
      <w:r w:rsidR="00D96D89" w:rsidRPr="00524366">
        <w:t xml:space="preserve"> </w:t>
      </w:r>
      <w:r w:rsidR="00843582" w:rsidRPr="00524366">
        <w:t>Savigny nazval omyl v p</w:t>
      </w:r>
      <w:r w:rsidR="008E25D7" w:rsidRPr="00524366">
        <w:t>rávním jednání omylem nepravým</w:t>
      </w:r>
      <w:r w:rsidR="00A35F1A" w:rsidRPr="00524366">
        <w:t>.</w:t>
      </w:r>
      <w:r w:rsidR="0064212D" w:rsidRPr="00524366">
        <w:rPr>
          <w:rStyle w:val="Znakapoznpodarou"/>
        </w:rPr>
        <w:footnoteReference w:id="101"/>
      </w:r>
      <w:r w:rsidR="00990C02" w:rsidRPr="00524366">
        <w:t xml:space="preserve"> </w:t>
      </w:r>
      <w:r w:rsidR="00A35F1A" w:rsidRPr="00524366">
        <w:t>J</w:t>
      </w:r>
      <w:r w:rsidR="00990C02" w:rsidRPr="00524366">
        <w:t>estliže osoba, která prohl</w:t>
      </w:r>
      <w:r w:rsidR="004475E7" w:rsidRPr="00524366">
        <w:t xml:space="preserve">ásila svou vůli, nevěděla, že její prohlášení  bylo v rozporu s jejím </w:t>
      </w:r>
      <w:r w:rsidR="002154D3" w:rsidRPr="00524366">
        <w:t>záměrem (úmyslem), toto prohlášení bylo neplatné. Ne proto, že došlo k omylu,</w:t>
      </w:r>
      <w:r w:rsidR="00A35F1A" w:rsidRPr="00524366">
        <w:t xml:space="preserve"> ale proto, že zde chyběl záměr (úmysl). Neplatnost v tomto případě </w:t>
      </w:r>
      <w:r w:rsidR="00D4153C" w:rsidRPr="00524366">
        <w:t>dle</w:t>
      </w:r>
      <w:r w:rsidR="00DD2F3B" w:rsidRPr="00524366">
        <w:t xml:space="preserve"> nizozemského profesora</w:t>
      </w:r>
      <w:r w:rsidR="00D4153C" w:rsidRPr="00524366">
        <w:t xml:space="preserve"> J. E. Goudsmita </w:t>
      </w:r>
      <w:r w:rsidR="00A35F1A" w:rsidRPr="00524366">
        <w:t>není důsledkem omylu jako takového.</w:t>
      </w:r>
      <w:r w:rsidR="006E669E" w:rsidRPr="00524366">
        <w:rPr>
          <w:rStyle w:val="Znakapoznpodarou"/>
        </w:rPr>
        <w:footnoteReference w:id="102"/>
      </w:r>
      <w:r w:rsidR="00373072" w:rsidRPr="00524366">
        <w:t xml:space="preserve"> </w:t>
      </w:r>
      <w:r w:rsidR="00DC7E3C" w:rsidRPr="00524366">
        <w:t xml:space="preserve">Nepravý omyl je takový omyl, kdy jeho příčinou je neshoda projevu s vůlí omylem vyvolaná. </w:t>
      </w:r>
      <w:r w:rsidR="00CC2B17" w:rsidRPr="00524366">
        <w:t>„</w:t>
      </w:r>
      <w:r w:rsidR="00CC2B17" w:rsidRPr="00524366">
        <w:rPr>
          <w:i/>
        </w:rPr>
        <w:t>Kdežto o pravém omylu lze mluviti jen tam, kde omyl je kusem skutkové podstaty a je bezprostředně podmínkou právních účinků, zde omyl způsobí jen neshodu mezi vůlí a projevem a teprve nedostatek vůle tím způsobený je rozhodný.“</w:t>
      </w:r>
      <w:r w:rsidR="00CC2B17" w:rsidRPr="00524366">
        <w:rPr>
          <w:rStyle w:val="Znakapoznpodarou"/>
          <w:i/>
        </w:rPr>
        <w:footnoteReference w:id="103"/>
      </w:r>
      <w:r w:rsidR="00CC2B17" w:rsidRPr="00524366">
        <w:rPr>
          <w:i/>
        </w:rPr>
        <w:t xml:space="preserve"> </w:t>
      </w:r>
    </w:p>
    <w:p w14:paraId="1C7786B9" w14:textId="74FEFA53" w:rsidR="008F469F" w:rsidRPr="00524366" w:rsidRDefault="002F71DD" w:rsidP="00FF696D">
      <w:pPr>
        <w:spacing w:line="360" w:lineRule="auto"/>
        <w:ind w:left="12" w:firstLine="696"/>
        <w:jc w:val="both"/>
      </w:pPr>
      <w:r w:rsidRPr="00524366">
        <w:t xml:space="preserve"> </w:t>
      </w:r>
      <w:r w:rsidR="004111D9" w:rsidRPr="00524366">
        <w:t>Rozlišujeme</w:t>
      </w:r>
      <w:r w:rsidR="008F469F" w:rsidRPr="00524366">
        <w:t>:</w:t>
      </w:r>
    </w:p>
    <w:p w14:paraId="2970A7F6" w14:textId="102603BC" w:rsidR="0018422B" w:rsidRPr="00524366" w:rsidRDefault="00F67FAF" w:rsidP="009B6E18">
      <w:pPr>
        <w:pStyle w:val="Odstavecseseznamem"/>
        <w:numPr>
          <w:ilvl w:val="2"/>
          <w:numId w:val="1"/>
        </w:numPr>
        <w:spacing w:line="360" w:lineRule="auto"/>
        <w:jc w:val="both"/>
      </w:pPr>
      <w:r w:rsidRPr="00524366">
        <w:t xml:space="preserve">omyl v projevu </w:t>
      </w:r>
      <w:r w:rsidR="00D11550" w:rsidRPr="00524366">
        <w:t xml:space="preserve">– je učiněn projev, který </w:t>
      </w:r>
      <w:r w:rsidR="00F61E67" w:rsidRPr="00524366">
        <w:t xml:space="preserve">jednající učinit </w:t>
      </w:r>
      <w:r w:rsidR="00B83E0E" w:rsidRPr="00524366">
        <w:t>nechce; tento projev odporuje vůli projevovací</w:t>
      </w:r>
      <w:r w:rsidR="00151EA2" w:rsidRPr="00524366">
        <w:t xml:space="preserve"> </w:t>
      </w:r>
      <w:r w:rsidR="00B83E0E" w:rsidRPr="00524366">
        <w:t>(</w:t>
      </w:r>
      <w:r w:rsidR="00C00B91" w:rsidRPr="00524366">
        <w:t xml:space="preserve">směřující bezprostředně k činu, </w:t>
      </w:r>
      <w:r w:rsidR="00B83E0E" w:rsidRPr="00524366">
        <w:t xml:space="preserve">např. přeřeknutí se) </w:t>
      </w:r>
    </w:p>
    <w:p w14:paraId="06AEF1DD" w14:textId="1F7A73A2" w:rsidR="00524C1E" w:rsidRPr="00524366" w:rsidRDefault="008F469F" w:rsidP="009B6E18">
      <w:pPr>
        <w:pStyle w:val="Odstavecseseznamem"/>
        <w:numPr>
          <w:ilvl w:val="2"/>
          <w:numId w:val="1"/>
        </w:numPr>
        <w:spacing w:line="360" w:lineRule="auto"/>
        <w:jc w:val="both"/>
      </w:pPr>
      <w:r w:rsidRPr="00524366">
        <w:t xml:space="preserve">a </w:t>
      </w:r>
      <w:r w:rsidR="00F67FAF" w:rsidRPr="00524366">
        <w:t>omyl v</w:t>
      </w:r>
      <w:r w:rsidR="00B83E0E" w:rsidRPr="00524366">
        <w:t> </w:t>
      </w:r>
      <w:r w:rsidRPr="00524366">
        <w:t>obsahu</w:t>
      </w:r>
      <w:r w:rsidR="00B83E0E" w:rsidRPr="00524366">
        <w:t xml:space="preserve"> – je učiněn sice zamýšlený projev, ale je s ním spojen jiný smysl, než který objektivně má</w:t>
      </w:r>
      <w:r w:rsidR="00F1676D" w:rsidRPr="00524366">
        <w:t xml:space="preserve">; tento projev odporuje vůli </w:t>
      </w:r>
      <w:r w:rsidR="00BC063C" w:rsidRPr="00524366">
        <w:t>projevené</w:t>
      </w:r>
      <w:r w:rsidR="00C00B91" w:rsidRPr="00524366">
        <w:t xml:space="preserve"> (úmysl přivodit určitý právně významný výsledek)</w:t>
      </w:r>
      <w:r w:rsidR="00BC063C" w:rsidRPr="00524366">
        <w:t>.</w:t>
      </w:r>
      <w:r w:rsidR="00B83E0E" w:rsidRPr="00524366">
        <w:rPr>
          <w:rStyle w:val="Znakapoznpodarou"/>
        </w:rPr>
        <w:footnoteReference w:id="104"/>
      </w:r>
      <w:r w:rsidR="00B83E0E" w:rsidRPr="00524366">
        <w:t xml:space="preserve"> </w:t>
      </w:r>
      <w:r w:rsidR="00654107" w:rsidRPr="00524366">
        <w:t xml:space="preserve">srov. </w:t>
      </w:r>
      <w:r w:rsidR="005A12EE" w:rsidRPr="00524366">
        <w:t>Paulus</w:t>
      </w:r>
      <w:r w:rsidR="00BC5563" w:rsidRPr="00524366">
        <w:rPr>
          <w:rStyle w:val="Znakapoznpodarou"/>
        </w:rPr>
        <w:footnoteReference w:id="105"/>
      </w:r>
      <w:r w:rsidR="00DD2F3B" w:rsidRPr="00524366">
        <w:t xml:space="preserve"> viz</w:t>
      </w:r>
      <w:r w:rsidR="00372EEF" w:rsidRPr="00524366">
        <w:t xml:space="preserve"> výše.</w:t>
      </w:r>
      <w:r w:rsidR="001012C5" w:rsidRPr="00524366">
        <w:t>:</w:t>
      </w:r>
      <w:r w:rsidR="00947BD1" w:rsidRPr="00524366">
        <w:t xml:space="preserve">, </w:t>
      </w:r>
      <w:r w:rsidR="00D9053F" w:rsidRPr="00524366">
        <w:t>srov. Ulpianus:</w:t>
      </w:r>
      <w:r w:rsidR="003E3638" w:rsidRPr="00524366">
        <w:rPr>
          <w:i/>
        </w:rPr>
        <w:t xml:space="preserve"> </w:t>
      </w:r>
      <w:r w:rsidR="002832E4" w:rsidRPr="00524366">
        <w:rPr>
          <w:i/>
        </w:rPr>
        <w:t xml:space="preserve">„Když dávám peníze do úschovy, ty to přijmeš jako </w:t>
      </w:r>
      <w:r w:rsidR="001B7F76" w:rsidRPr="00524366">
        <w:rPr>
          <w:i/>
        </w:rPr>
        <w:t>zá</w:t>
      </w:r>
      <w:r w:rsidR="002832E4" w:rsidRPr="00524366">
        <w:rPr>
          <w:i/>
        </w:rPr>
        <w:t xml:space="preserve">půjčku, není </w:t>
      </w:r>
      <w:r w:rsidR="00D9053F" w:rsidRPr="00524366">
        <w:rPr>
          <w:i/>
        </w:rPr>
        <w:t xml:space="preserve">to </w:t>
      </w:r>
      <w:r w:rsidR="002832E4" w:rsidRPr="00524366">
        <w:rPr>
          <w:i/>
        </w:rPr>
        <w:t xml:space="preserve">ani úschova, ani </w:t>
      </w:r>
      <w:r w:rsidR="001B7F76" w:rsidRPr="00524366">
        <w:rPr>
          <w:i/>
        </w:rPr>
        <w:t>zá</w:t>
      </w:r>
      <w:r w:rsidR="002832E4" w:rsidRPr="00524366">
        <w:rPr>
          <w:i/>
        </w:rPr>
        <w:t xml:space="preserve">půjčka.“ </w:t>
      </w:r>
      <w:r w:rsidR="003E3638" w:rsidRPr="00524366">
        <w:rPr>
          <w:rStyle w:val="Znakapoznpodarou"/>
        </w:rPr>
        <w:footnoteReference w:id="106"/>
      </w:r>
      <w:r w:rsidR="002A40A4" w:rsidRPr="00524366">
        <w:rPr>
          <w:i/>
        </w:rPr>
        <w:t xml:space="preserve"> </w:t>
      </w:r>
      <w:r w:rsidR="00DD2F3B" w:rsidRPr="00524366">
        <w:t>S</w:t>
      </w:r>
      <w:r w:rsidR="001B1EA7" w:rsidRPr="00524366">
        <w:t xml:space="preserve">rov. také </w:t>
      </w:r>
      <w:r w:rsidR="009C0977" w:rsidRPr="00524366">
        <w:rPr>
          <w:i/>
        </w:rPr>
        <w:t xml:space="preserve">„Pokud bys měl podepsat </w:t>
      </w:r>
      <w:r w:rsidR="0003229D" w:rsidRPr="00524366">
        <w:rPr>
          <w:i/>
        </w:rPr>
        <w:t xml:space="preserve">falešnou </w:t>
      </w:r>
      <w:r w:rsidR="00E10FBA" w:rsidRPr="00524366">
        <w:rPr>
          <w:i/>
        </w:rPr>
        <w:t>trhovou</w:t>
      </w:r>
      <w:r w:rsidR="0003229D" w:rsidRPr="00524366">
        <w:rPr>
          <w:i/>
        </w:rPr>
        <w:t xml:space="preserve"> smlouvu</w:t>
      </w:r>
      <w:r w:rsidR="009C0977" w:rsidRPr="00524366">
        <w:rPr>
          <w:i/>
        </w:rPr>
        <w:t xml:space="preserve"> v domnění, že to byla nájemní smlouva, kterou jsi sám navrhnul k podpisu a druhá strana smlouvu nepodepsala, ale ty jsi byl v dobré víře, není zde pochyb o tom, že ani jedna smlouva není platná, neboť v obou případech chyběl souhlas.“</w:t>
      </w:r>
      <w:r w:rsidR="009C0977" w:rsidRPr="00524366">
        <w:rPr>
          <w:rStyle w:val="Znakapoznpodarou"/>
          <w:i/>
        </w:rPr>
        <w:footnoteReference w:id="107"/>
      </w:r>
      <w:r w:rsidR="009C0977" w:rsidRPr="00524366">
        <w:rPr>
          <w:i/>
        </w:rPr>
        <w:t xml:space="preserve"> </w:t>
      </w:r>
    </w:p>
    <w:p w14:paraId="3DD74BC0" w14:textId="77777777" w:rsidR="007B2AAC" w:rsidRPr="00524366" w:rsidRDefault="007B2AAC" w:rsidP="007B2AAC">
      <w:pPr>
        <w:pStyle w:val="Odstavecseseznamem"/>
        <w:spacing w:line="360" w:lineRule="auto"/>
        <w:ind w:left="1069"/>
        <w:jc w:val="both"/>
      </w:pPr>
    </w:p>
    <w:p w14:paraId="3AAA713B" w14:textId="39A3A4E6" w:rsidR="00D9365D" w:rsidRPr="00524366" w:rsidRDefault="007B2AAC" w:rsidP="007B2AAC">
      <w:pPr>
        <w:spacing w:line="360" w:lineRule="auto"/>
        <w:ind w:firstLine="708"/>
        <w:jc w:val="both"/>
      </w:pPr>
      <w:r w:rsidRPr="00524366">
        <w:t>Omylu v právním jednání se na roveň klade případ, že adresátu právního jednání došel projev</w:t>
      </w:r>
      <w:r w:rsidR="00221325" w:rsidRPr="00524366">
        <w:t xml:space="preserve"> zkomolený</w:t>
      </w:r>
      <w:r w:rsidRPr="00524366">
        <w:t xml:space="preserve">: </w:t>
      </w:r>
      <w:r w:rsidR="004C33FB" w:rsidRPr="00524366">
        <w:t>„</w:t>
      </w:r>
      <w:r w:rsidR="004C33FB" w:rsidRPr="00524366">
        <w:rPr>
          <w:i/>
        </w:rPr>
        <w:t xml:space="preserve">Jestliže ti dám něco za účelem toho, abys to daroval Titiovi mým jménem, ty mu to však dáš jako své. Myslíš si, že se to stane jeho majetkem? Odpověď by byla taková, že když ti dám něco proto, abys to daroval Titiovi mým jménem, ty mu to ale dáš svým jménem, tak pokud je mi známo, </w:t>
      </w:r>
      <w:r w:rsidR="00231F77" w:rsidRPr="00524366">
        <w:rPr>
          <w:i/>
        </w:rPr>
        <w:t>podle zákona se to nestane</w:t>
      </w:r>
      <w:r w:rsidR="004C33FB" w:rsidRPr="00524366">
        <w:rPr>
          <w:i/>
        </w:rPr>
        <w:t xml:space="preserve"> </w:t>
      </w:r>
      <w:r w:rsidR="004C33FB" w:rsidRPr="00524366">
        <w:rPr>
          <w:i/>
        </w:rPr>
        <w:lastRenderedPageBreak/>
        <w:t>majetkem osoby, která to obdržela</w:t>
      </w:r>
      <w:r w:rsidR="008C0380" w:rsidRPr="00524366">
        <w:rPr>
          <w:i/>
        </w:rPr>
        <w:t>, a ty budeš odpovědný</w:t>
      </w:r>
      <w:r w:rsidR="00C94027" w:rsidRPr="00524366">
        <w:rPr>
          <w:i/>
        </w:rPr>
        <w:t xml:space="preserve"> za f</w:t>
      </w:r>
      <w:r w:rsidR="008C0380" w:rsidRPr="00524366">
        <w:rPr>
          <w:i/>
        </w:rPr>
        <w:t>u</w:t>
      </w:r>
      <w:r w:rsidR="00C94027" w:rsidRPr="00524366">
        <w:rPr>
          <w:i/>
        </w:rPr>
        <w:t>r</w:t>
      </w:r>
      <w:r w:rsidR="008C0380" w:rsidRPr="00524366">
        <w:rPr>
          <w:i/>
        </w:rPr>
        <w:t>tum</w:t>
      </w:r>
      <w:r w:rsidR="008C0380" w:rsidRPr="00524366">
        <w:rPr>
          <w:rStyle w:val="Znakapoznpodarou"/>
          <w:i/>
        </w:rPr>
        <w:footnoteReference w:id="108"/>
      </w:r>
      <w:r w:rsidR="00C4282D" w:rsidRPr="00524366">
        <w:rPr>
          <w:i/>
        </w:rPr>
        <w:t xml:space="preserve">. </w:t>
      </w:r>
      <w:r w:rsidR="004C33FB" w:rsidRPr="00524366">
        <w:rPr>
          <w:i/>
        </w:rPr>
        <w:t>Mnohem l</w:t>
      </w:r>
      <w:r w:rsidR="00231F77" w:rsidRPr="00524366">
        <w:rPr>
          <w:i/>
        </w:rPr>
        <w:t xml:space="preserve">iberálnější konstrukce je však </w:t>
      </w:r>
      <w:r w:rsidR="004C33FB" w:rsidRPr="00524366">
        <w:rPr>
          <w:i/>
        </w:rPr>
        <w:t>taková, že pokud podám žalobu proti osobě, která obdr</w:t>
      </w:r>
      <w:r w:rsidR="00A2079C" w:rsidRPr="00524366">
        <w:rPr>
          <w:i/>
        </w:rPr>
        <w:t>žela majetek</w:t>
      </w:r>
      <w:r w:rsidR="0095458F" w:rsidRPr="00524366">
        <w:rPr>
          <w:i/>
        </w:rPr>
        <w:t xml:space="preserve"> (ode  mě)</w:t>
      </w:r>
      <w:r w:rsidR="008C0380" w:rsidRPr="00524366">
        <w:rPr>
          <w:i/>
        </w:rPr>
        <w:t xml:space="preserve">, můžu </w:t>
      </w:r>
      <w:r w:rsidR="007A4864" w:rsidRPr="00524366">
        <w:rPr>
          <w:i/>
        </w:rPr>
        <w:t xml:space="preserve"> namítat exceptio</w:t>
      </w:r>
      <w:r w:rsidR="008037F8" w:rsidRPr="00524366">
        <w:rPr>
          <w:rStyle w:val="Znakapoznpodarou"/>
          <w:i/>
        </w:rPr>
        <w:footnoteReference w:id="109"/>
      </w:r>
      <w:r w:rsidR="007A4864" w:rsidRPr="00524366">
        <w:rPr>
          <w:i/>
        </w:rPr>
        <w:t xml:space="preserve"> </w:t>
      </w:r>
      <w:r w:rsidR="00231F77" w:rsidRPr="00524366">
        <w:rPr>
          <w:i/>
        </w:rPr>
        <w:t>doli</w:t>
      </w:r>
      <w:r w:rsidR="007A4864" w:rsidRPr="00524366">
        <w:rPr>
          <w:i/>
        </w:rPr>
        <w:t xml:space="preserve"> mal</w:t>
      </w:r>
      <w:r w:rsidR="00231F77" w:rsidRPr="00524366">
        <w:rPr>
          <w:i/>
        </w:rPr>
        <w:t>i</w:t>
      </w:r>
      <w:r w:rsidR="008037F8" w:rsidRPr="00524366">
        <w:rPr>
          <w:rStyle w:val="Znakapoznpodarou"/>
          <w:i/>
        </w:rPr>
        <w:footnoteReference w:id="110"/>
      </w:r>
      <w:r w:rsidR="007A4864" w:rsidRPr="00524366">
        <w:rPr>
          <w:i/>
        </w:rPr>
        <w:t>.“</w:t>
      </w:r>
      <w:r w:rsidR="004C33FB" w:rsidRPr="00524366">
        <w:rPr>
          <w:rStyle w:val="Znakapoznpodarou"/>
          <w:i/>
        </w:rPr>
        <w:footnoteReference w:id="111"/>
      </w:r>
      <w:r w:rsidR="00D9365D" w:rsidRPr="00524366">
        <w:rPr>
          <w:i/>
        </w:rPr>
        <w:t>„…naproti právním následkům právního jednání, ke kterému byl kdo pohnut omylem, který jiný v něm bezprávně úmyslně vzbudil, tedy podvodem (dolus malus, dolus), staré pravidlo civilní … nechránilo podvedeného a poskytlo ochrany teprve právo praetorské.“</w:t>
      </w:r>
      <w:r w:rsidR="00D9365D" w:rsidRPr="00524366">
        <w:rPr>
          <w:rStyle w:val="Znakapoznpodarou"/>
          <w:i/>
        </w:rPr>
        <w:footnoteReference w:id="112"/>
      </w:r>
      <w:r w:rsidR="00126F47" w:rsidRPr="00524366">
        <w:t xml:space="preserve">  </w:t>
      </w:r>
    </w:p>
    <w:p w14:paraId="42DCA376" w14:textId="582F96D4" w:rsidR="008A4387" w:rsidRPr="00524366" w:rsidRDefault="00EE1873" w:rsidP="008947CD">
      <w:pPr>
        <w:spacing w:line="360" w:lineRule="auto"/>
        <w:ind w:firstLine="708"/>
        <w:jc w:val="both"/>
      </w:pPr>
      <w:r w:rsidRPr="00524366">
        <w:t>Ulpianus v</w:t>
      </w:r>
      <w:r w:rsidR="00126F47" w:rsidRPr="00524366">
        <w:t> XI. knize K ediktu, jehož autorem byl v I. stol. př. Kr. Aquilius Gallus:</w:t>
      </w:r>
      <w:r w:rsidR="00835B96" w:rsidRPr="00524366">
        <w:t xml:space="preserve"> </w:t>
      </w:r>
      <w:r w:rsidR="00835B96" w:rsidRPr="00524366">
        <w:rPr>
          <w:i/>
        </w:rPr>
        <w:t>„Tímto ediktem pomáhá praetor proti těm, kdo jsou nestálí a klamou, či způsobují jiným újmu pomocí mazanosti, aby jim jejich špatnost nepřinášela zisk a jiné nepoškozovala.“</w:t>
      </w:r>
      <w:r w:rsidR="00835B96" w:rsidRPr="00524366">
        <w:rPr>
          <w:rStyle w:val="Znakapoznpodarou"/>
          <w:i/>
        </w:rPr>
        <w:footnoteReference w:id="113"/>
      </w:r>
      <w:r w:rsidR="00835B96" w:rsidRPr="00524366">
        <w:rPr>
          <w:i/>
        </w:rPr>
        <w:t xml:space="preserve"> </w:t>
      </w:r>
      <w:r w:rsidR="00835B96" w:rsidRPr="00524366">
        <w:t xml:space="preserve">Toto se říká </w:t>
      </w:r>
      <w:r w:rsidR="00697889" w:rsidRPr="00524366">
        <w:t xml:space="preserve">v ediktu: </w:t>
      </w:r>
      <w:r w:rsidR="00697889" w:rsidRPr="00524366">
        <w:rPr>
          <w:i/>
        </w:rPr>
        <w:t>„Pokud cokoliv, co bylo řečeno, bylo provedeno s podvodným úmyslem a nepřísluší zde jiná actio, poskytnu (přiznám) actio proti podvodníkovi, pokud to bude mít dobrý důvod a bude to spravedlivé.“</w:t>
      </w:r>
      <w:r w:rsidR="00697889" w:rsidRPr="00524366">
        <w:rPr>
          <w:rStyle w:val="Znakapoznpodarou"/>
          <w:i/>
        </w:rPr>
        <w:footnoteReference w:id="114"/>
      </w:r>
      <w:r w:rsidR="00D9365D" w:rsidRPr="00524366">
        <w:t xml:space="preserve"> </w:t>
      </w:r>
      <w:r w:rsidR="00221325" w:rsidRPr="00524366">
        <w:rPr>
          <w:i/>
        </w:rPr>
        <w:t>„Servius pak vymezuje podvod jako jistou machinaci za účelem oklamání druhého, kdy je jedno předstíráno, a jiné činěno. Labeo se domnívá, že je možné obelstít také bez předstírání; a lze činit jednu věc a předstírat jinou bez zlého úmyslu, jak to dělají ti, kteří užívají předstírání za účelem darování a chrání tím buď vlastní, nebo cizí majetek. Z tohoto důvodu vymezují podvod takto: každá mazanost, podvod a machinace, obcházení, uvedení v omyl, klamání druhého. Labeonova definice je správná.“</w:t>
      </w:r>
      <w:r w:rsidR="00221325" w:rsidRPr="00524366">
        <w:rPr>
          <w:rStyle w:val="Znakapoznpodarou"/>
          <w:i/>
        </w:rPr>
        <w:footnoteReference w:id="115"/>
      </w:r>
      <w:r w:rsidR="00C40C32" w:rsidRPr="00524366">
        <w:rPr>
          <w:i/>
        </w:rPr>
        <w:t xml:space="preserve"> </w:t>
      </w:r>
      <w:r w:rsidR="00557C33" w:rsidRPr="00524366">
        <w:t>Podvedenému tedy příslušela proti podvodníkovi ža</w:t>
      </w:r>
      <w:r w:rsidR="004C4689" w:rsidRPr="00524366">
        <w:t>loba z</w:t>
      </w:r>
      <w:r w:rsidR="00557C33" w:rsidRPr="00524366">
        <w:t> </w:t>
      </w:r>
      <w:r w:rsidR="004C4689" w:rsidRPr="00524366">
        <w:t>podvodu</w:t>
      </w:r>
      <w:r w:rsidR="00557C33" w:rsidRPr="00524366">
        <w:t xml:space="preserve"> a </w:t>
      </w:r>
      <w:r w:rsidR="00DD0DD2" w:rsidRPr="00524366">
        <w:t xml:space="preserve">směřovala na vrácení, případně na náhradu škody, když by nebylo možné </w:t>
      </w:r>
      <w:r w:rsidR="00232B4E" w:rsidRPr="00524366">
        <w:t>navrácení uskutečnit.</w:t>
      </w:r>
      <w:r w:rsidR="00232B4E" w:rsidRPr="00524366">
        <w:rPr>
          <w:rStyle w:val="Znakapoznpodarou"/>
        </w:rPr>
        <w:footnoteReference w:id="116"/>
      </w:r>
      <w:r w:rsidR="00232B4E" w:rsidRPr="00524366">
        <w:t xml:space="preserve"> </w:t>
      </w:r>
    </w:p>
    <w:p w14:paraId="716AFC63" w14:textId="77777777" w:rsidR="00C50E42" w:rsidRPr="00524366" w:rsidRDefault="00C50E42" w:rsidP="00BF1AA8"/>
    <w:p w14:paraId="3ABF5450" w14:textId="53F8CCE7" w:rsidR="00A168B8" w:rsidRPr="00524366" w:rsidRDefault="00BF1AA8" w:rsidP="009B6E18">
      <w:pPr>
        <w:pStyle w:val="Nadpis3"/>
        <w:numPr>
          <w:ilvl w:val="1"/>
          <w:numId w:val="3"/>
        </w:numPr>
        <w:rPr>
          <w:sz w:val="28"/>
        </w:rPr>
      </w:pPr>
      <w:bookmarkStart w:id="13" w:name="_Toc523139875"/>
      <w:r w:rsidRPr="00524366">
        <w:rPr>
          <w:sz w:val="28"/>
        </w:rPr>
        <w:t>Error in corpore</w:t>
      </w:r>
      <w:bookmarkEnd w:id="13"/>
      <w:r w:rsidRPr="00524366">
        <w:rPr>
          <w:sz w:val="28"/>
        </w:rPr>
        <w:t xml:space="preserve"> </w:t>
      </w:r>
    </w:p>
    <w:p w14:paraId="4F14FBC0" w14:textId="77777777" w:rsidR="00447334" w:rsidRPr="00524366" w:rsidRDefault="00447334" w:rsidP="00447334"/>
    <w:p w14:paraId="1D3AFD7C" w14:textId="07C1AC44" w:rsidR="00A60E4B" w:rsidRPr="00524366" w:rsidRDefault="000E3655" w:rsidP="002D475F">
      <w:pPr>
        <w:spacing w:line="360" w:lineRule="auto"/>
        <w:ind w:firstLine="708"/>
        <w:jc w:val="both"/>
      </w:pPr>
      <w:r w:rsidRPr="00524366">
        <w:t xml:space="preserve">Error in corpore je </w:t>
      </w:r>
      <w:r w:rsidR="004A2C59" w:rsidRPr="00524366">
        <w:t xml:space="preserve">omyl </w:t>
      </w:r>
      <w:r w:rsidR="005E4709" w:rsidRPr="00524366">
        <w:t xml:space="preserve">týkající se absolutní </w:t>
      </w:r>
      <w:r w:rsidR="009457A3" w:rsidRPr="00524366">
        <w:t>totožnosti předmětu</w:t>
      </w:r>
      <w:r w:rsidR="008E5FCF" w:rsidRPr="00524366">
        <w:t xml:space="preserve">. </w:t>
      </w:r>
      <w:r w:rsidRPr="00524366">
        <w:t>Error in corpore se může</w:t>
      </w:r>
      <w:r w:rsidR="00FC6408" w:rsidRPr="00524366">
        <w:t xml:space="preserve"> týkat </w:t>
      </w:r>
      <w:r w:rsidR="00DE4209" w:rsidRPr="00524366">
        <w:t xml:space="preserve">buď </w:t>
      </w:r>
      <w:r w:rsidR="00FC6408" w:rsidRPr="00524366">
        <w:t xml:space="preserve">omylu v projevu: </w:t>
      </w:r>
      <w:r w:rsidR="006D7F84" w:rsidRPr="00524366">
        <w:t>„</w:t>
      </w:r>
      <w:r w:rsidR="006D7F84" w:rsidRPr="00524366">
        <w:rPr>
          <w:rStyle w:val="Siln"/>
          <w:b w:val="0"/>
          <w:i/>
          <w:color w:val="000000"/>
        </w:rPr>
        <w:t>Podobným způsobem, pokud</w:t>
      </w:r>
      <w:r w:rsidR="00C94027" w:rsidRPr="00524366">
        <w:rPr>
          <w:rStyle w:val="Siln"/>
          <w:b w:val="0"/>
          <w:i/>
          <w:color w:val="000000"/>
        </w:rPr>
        <w:t xml:space="preserve"> by měl zůstavitel udělat chybu, když odkázal šaty, ale zamýšlel odkázat nádobí</w:t>
      </w:r>
      <w:r w:rsidR="006D7F84" w:rsidRPr="00524366">
        <w:rPr>
          <w:rStyle w:val="Siln"/>
          <w:b w:val="0"/>
          <w:i/>
          <w:color w:val="000000"/>
        </w:rPr>
        <w:t>, nebude dlužit nic. Tohle pravidlo se aplikuje</w:t>
      </w:r>
      <w:r w:rsidR="00ED0EBC" w:rsidRPr="00524366">
        <w:rPr>
          <w:rStyle w:val="Siln"/>
          <w:b w:val="0"/>
          <w:i/>
          <w:color w:val="000000"/>
        </w:rPr>
        <w:t>,</w:t>
      </w:r>
      <w:r w:rsidR="006D7F84" w:rsidRPr="00524366">
        <w:rPr>
          <w:rStyle w:val="Siln"/>
          <w:b w:val="0"/>
          <w:i/>
          <w:color w:val="000000"/>
        </w:rPr>
        <w:t xml:space="preserve"> ať už zůstavitel napsal závěť sám nebo to nadiktoval jinému.“</w:t>
      </w:r>
      <w:r w:rsidR="006D7F84" w:rsidRPr="00524366">
        <w:rPr>
          <w:rStyle w:val="Znakapoznpodarou"/>
          <w:bCs/>
          <w:i/>
          <w:color w:val="000000"/>
        </w:rPr>
        <w:footnoteReference w:id="117"/>
      </w:r>
      <w:r w:rsidR="006D7F84" w:rsidRPr="00524366">
        <w:rPr>
          <w:rStyle w:val="Siln"/>
          <w:b w:val="0"/>
          <w:i/>
          <w:color w:val="000000"/>
        </w:rPr>
        <w:t xml:space="preserve"> </w:t>
      </w:r>
      <w:r w:rsidR="00C94027" w:rsidRPr="00524366">
        <w:t>N</w:t>
      </w:r>
      <w:r w:rsidR="00FC6408" w:rsidRPr="00524366">
        <w:t xml:space="preserve">ebo </w:t>
      </w:r>
      <w:r w:rsidR="00D25F85" w:rsidRPr="00524366">
        <w:t>omyl v</w:t>
      </w:r>
      <w:r w:rsidR="00F079A3" w:rsidRPr="00524366">
        <w:t xml:space="preserve"> obsahu: </w:t>
      </w:r>
      <w:r w:rsidR="00F079A3" w:rsidRPr="00524366">
        <w:rPr>
          <w:i/>
        </w:rPr>
        <w:t xml:space="preserve">„Jestliže se kdo mýlil ve slově a jmenoval pozemek korneliánský namísto semproniánského, bude dlužen semproniánský. Ale jestliže chybil v těle (věci, předmětu), </w:t>
      </w:r>
      <w:r w:rsidR="00F079A3" w:rsidRPr="00524366">
        <w:rPr>
          <w:i/>
        </w:rPr>
        <w:lastRenderedPageBreak/>
        <w:t xml:space="preserve">nebude z takového jednání zavázán. A proto jestliže někdo, když chtěl odkázat šaty a napsal, že odkazuje zařízení, se domnívá, že šaty jsou obsaženy v názvu zařízení, pak Pomponius napsal, že nebudou dluženy šaty; podobně jako by někdo měl za to, že elektron nebo zlatě </w:t>
      </w:r>
      <w:r w:rsidR="00BD3068" w:rsidRPr="00524366">
        <w:rPr>
          <w:i/>
        </w:rPr>
        <w:t>zbarvený bronz je možné nazývat zlatem, nebo což je ještě hloupější, když se domnívá, že v názvu šatů je také obsaženo stříbro. Neboť názvy věcí jsou neměnné, názvy lidí proměnlivé.“</w:t>
      </w:r>
      <w:r w:rsidR="00BD3068" w:rsidRPr="00524366">
        <w:rPr>
          <w:rStyle w:val="Znakapoznpodarou"/>
          <w:i/>
        </w:rPr>
        <w:footnoteReference w:id="118"/>
      </w:r>
      <w:r w:rsidR="00ED0EBC" w:rsidRPr="00524366">
        <w:rPr>
          <w:i/>
        </w:rPr>
        <w:t xml:space="preserve"> </w:t>
      </w:r>
      <w:r w:rsidR="00962263" w:rsidRPr="00524366">
        <w:t>Z tohoto fragmentu vyplývá, že pokud se někdo zmýlí ve jméně osoby, jednání bude platné, kdežto</w:t>
      </w:r>
      <w:r w:rsidR="005338B2" w:rsidRPr="00524366">
        <w:t xml:space="preserve"> když se zmýlí v označení věci, bude to neplatné.</w:t>
      </w:r>
      <w:r w:rsidR="005F374C" w:rsidRPr="00524366">
        <w:t xml:space="preserve"> A to především z toho důvodu, že jména věcí jsou nezaměnitelná, kdež</w:t>
      </w:r>
      <w:r w:rsidR="00C541CA" w:rsidRPr="00524366">
        <w:t xml:space="preserve">to jména lidí zaměnitelná jsou. </w:t>
      </w:r>
      <w:r w:rsidR="00AD506D" w:rsidRPr="00524366">
        <w:t xml:space="preserve">Ulpian konstatuje, </w:t>
      </w:r>
      <w:r w:rsidR="003F09E1" w:rsidRPr="00524366">
        <w:t>že není možné věc nazývat jinak</w:t>
      </w:r>
      <w:r w:rsidR="00AE4BFD" w:rsidRPr="00524366">
        <w:t>,</w:t>
      </w:r>
      <w:r w:rsidR="003F09E1" w:rsidRPr="00524366">
        <w:t xml:space="preserve"> </w:t>
      </w:r>
      <w:r w:rsidR="00AE4BFD" w:rsidRPr="00524366">
        <w:t xml:space="preserve">než je její obvyklé označení. </w:t>
      </w:r>
    </w:p>
    <w:p w14:paraId="1ACB7412" w14:textId="51C202A8" w:rsidR="003F09E1" w:rsidRPr="00524366" w:rsidRDefault="00C541CA" w:rsidP="003D2124">
      <w:pPr>
        <w:spacing w:line="360" w:lineRule="auto"/>
        <w:ind w:firstLine="708"/>
        <w:jc w:val="both"/>
        <w:rPr>
          <w:i/>
        </w:rPr>
      </w:pPr>
      <w:r w:rsidRPr="00524366">
        <w:t xml:space="preserve">Pro </w:t>
      </w:r>
      <w:r w:rsidR="002C3FA8" w:rsidRPr="00524366">
        <w:t>srovnání</w:t>
      </w:r>
      <w:r w:rsidR="00ED0EBC" w:rsidRPr="00524366">
        <w:t xml:space="preserve"> se současnou právní úpravou</w:t>
      </w:r>
      <w:r w:rsidRPr="00524366">
        <w:t xml:space="preserve"> </w:t>
      </w:r>
      <w:r w:rsidR="00ED0EBC" w:rsidRPr="00524366">
        <w:rPr>
          <w:sz w:val="20"/>
          <w:szCs w:val="20"/>
        </w:rPr>
        <w:t xml:space="preserve">– </w:t>
      </w:r>
      <w:r w:rsidRPr="00524366">
        <w:t xml:space="preserve">§ </w:t>
      </w:r>
      <w:r w:rsidR="002C3FA8" w:rsidRPr="00524366">
        <w:t xml:space="preserve">555 </w:t>
      </w:r>
      <w:r w:rsidR="00040C5C" w:rsidRPr="00524366">
        <w:t xml:space="preserve">odst. 1 </w:t>
      </w:r>
      <w:r w:rsidR="002C3FA8" w:rsidRPr="00524366">
        <w:t xml:space="preserve">NOZ: </w:t>
      </w:r>
      <w:r w:rsidR="002C3FA8" w:rsidRPr="00524366">
        <w:rPr>
          <w:i/>
        </w:rPr>
        <w:t>„P</w:t>
      </w:r>
      <w:r w:rsidR="00D20E6C" w:rsidRPr="00524366">
        <w:rPr>
          <w:i/>
        </w:rPr>
        <w:t xml:space="preserve">rávní jednání </w:t>
      </w:r>
      <w:r w:rsidR="00374201" w:rsidRPr="00524366">
        <w:rPr>
          <w:i/>
        </w:rPr>
        <w:t>s</w:t>
      </w:r>
      <w:r w:rsidR="002C3FA8" w:rsidRPr="00524366">
        <w:rPr>
          <w:i/>
        </w:rPr>
        <w:t>e posuzuje podle svého obsahu.“</w:t>
      </w:r>
      <w:r w:rsidR="002C3FA8" w:rsidRPr="00524366">
        <w:t xml:space="preserve"> </w:t>
      </w:r>
      <w:r w:rsidR="009523DE" w:rsidRPr="00524366">
        <w:t>Nejvyšší</w:t>
      </w:r>
      <w:r w:rsidR="002C3FA8" w:rsidRPr="00524366">
        <w:t xml:space="preserve"> soud dovodil, že: </w:t>
      </w:r>
      <w:r w:rsidR="002C3FA8" w:rsidRPr="00524366">
        <w:rPr>
          <w:i/>
        </w:rPr>
        <w:t>„Vada v označení osoby, která je účastníkem smlouvy, nezpůsobuje sama o sobě neplatnost této smlouvy, pokud lze z celého obsahu právního úkonu jeho výkladem, popřípadě objasněním skutkových okolností, za nichž  byl právní úkon učiněn, zjistit, kdo byl účastníkem smlouvy.</w:t>
      </w:r>
      <w:r w:rsidR="009523DE" w:rsidRPr="00524366">
        <w:rPr>
          <w:i/>
        </w:rPr>
        <w:t>“</w:t>
      </w:r>
      <w:r w:rsidR="009523DE" w:rsidRPr="00524366">
        <w:rPr>
          <w:rStyle w:val="Znakapoznpodarou"/>
        </w:rPr>
        <w:footnoteReference w:id="119"/>
      </w:r>
      <w:r w:rsidR="0064122D" w:rsidRPr="00524366">
        <w:t xml:space="preserve"> </w:t>
      </w:r>
      <w:r w:rsidR="00220E05" w:rsidRPr="00524366">
        <w:t xml:space="preserve">Stejným </w:t>
      </w:r>
      <w:r w:rsidR="00EE221A" w:rsidRPr="00524366">
        <w:t xml:space="preserve">způsobem </w:t>
      </w:r>
      <w:r w:rsidR="00F171CD" w:rsidRPr="00524366">
        <w:t>jako Ř</w:t>
      </w:r>
      <w:r w:rsidR="00040C5C" w:rsidRPr="00524366">
        <w:t xml:space="preserve">ímané </w:t>
      </w:r>
      <w:r w:rsidR="002D475F" w:rsidRPr="00524366">
        <w:t xml:space="preserve">tedy </w:t>
      </w:r>
      <w:r w:rsidR="00EE221A" w:rsidRPr="00524366">
        <w:t>postupuje</w:t>
      </w:r>
      <w:r w:rsidR="002D475F" w:rsidRPr="00524366">
        <w:t xml:space="preserve"> </w:t>
      </w:r>
      <w:r w:rsidR="00040C5C" w:rsidRPr="00524366">
        <w:t xml:space="preserve">i </w:t>
      </w:r>
      <w:r w:rsidR="002D475F" w:rsidRPr="00524366">
        <w:t xml:space="preserve">NOZ a postupoval tak i OZ, </w:t>
      </w:r>
      <w:r w:rsidR="00040C5C" w:rsidRPr="00524366">
        <w:t xml:space="preserve">navíc v § 556 (který je další výkladovou normu) rozvádí základní výkladové ustanovení § 555 odst. 1 takto: </w:t>
      </w:r>
      <w:r w:rsidR="00040C5C" w:rsidRPr="00524366">
        <w:rPr>
          <w:i/>
        </w:rPr>
        <w:t xml:space="preserve">„(1) Co je vyjádřeno slovy nebo jinak, vyloží se podle úmyslu jednajícího, byl-li takový úmysl druhé straně znám, anebo musela-li o něm vědět. Nelze-li zjistit úmysl jednajícího, přisuzuje se projevu vůle význam, jaký by mu zpravidla přikládala osoba v postavení toho, jemuž je projev vůle určen. (2) Při výkladu projevu vůle se přihlédne k praxi zavedené mezi stranami v právním styku, k tomu, co právnímu jednání předcházelo, i k tomu, jak strany následně daly najevo, jaký obsah a význam právnímu jednání přikládají.“ </w:t>
      </w:r>
      <w:r w:rsidR="00040C5C" w:rsidRPr="00524366">
        <w:t xml:space="preserve">Jsou zde tak rozvinuty tehdejší myšlenky </w:t>
      </w:r>
      <w:r w:rsidR="00ED0EBC" w:rsidRPr="00524366">
        <w:t>Ulpianovy a Pomp</w:t>
      </w:r>
      <w:r w:rsidR="002002AA" w:rsidRPr="00524366">
        <w:t>o</w:t>
      </w:r>
      <w:r w:rsidR="00ED0EBC" w:rsidRPr="00524366">
        <w:t>ovy</w:t>
      </w:r>
      <w:r w:rsidR="003D2124" w:rsidRPr="00524366">
        <w:t xml:space="preserve">, srov. také judikatura ÚS: </w:t>
      </w:r>
      <w:r w:rsidR="002D475F" w:rsidRPr="00524366">
        <w:rPr>
          <w:i/>
        </w:rPr>
        <w:t xml:space="preserve">„Při výkladu </w:t>
      </w:r>
      <w:r w:rsidR="001457A4" w:rsidRPr="00524366">
        <w:rPr>
          <w:i/>
        </w:rPr>
        <w:t xml:space="preserve">právního úkonu za použití interpretačních pravidel ve smyslu ustanovení § 35 odst. 2 obč. zák. nelze již učiněný právní úkon doplňovat, měnit či nahrazovat jiným, neboť základním účelem výkladu je zjištění </w:t>
      </w:r>
      <w:r w:rsidR="00582563" w:rsidRPr="00524366">
        <w:rPr>
          <w:i/>
        </w:rPr>
        <w:t xml:space="preserve">skutečné vůle jednajícího, která nachází svůj výraz v obsahu právního úkonu. Přitom se (obvykle) obsah právního úkonu zjišťuje ze slovního vyjádření. </w:t>
      </w:r>
      <w:r w:rsidR="00F0687D" w:rsidRPr="00524366">
        <w:rPr>
          <w:i/>
        </w:rPr>
        <w:t>V obecné rovině se může stát, že slovní znění není vždy jednoznačným vodítkem ke zjištění skutečného obsahu projevu vůle, a proto je třeba brát zřetel i na ostatní okolnosti, za kterých byl projev vůle učiněn, což znamená potřebu vzít v úvahu i textový rámec – kontext celkového ujednání stran.“</w:t>
      </w:r>
      <w:r w:rsidR="00FC693E" w:rsidRPr="00524366">
        <w:rPr>
          <w:rStyle w:val="Znakapoznpodarou"/>
          <w:i/>
        </w:rPr>
        <w:footnoteReference w:id="120"/>
      </w:r>
      <w:r w:rsidR="00F0687D" w:rsidRPr="00524366">
        <w:rPr>
          <w:i/>
        </w:rPr>
        <w:t xml:space="preserve"> </w:t>
      </w:r>
      <w:r w:rsidR="00CD1A03" w:rsidRPr="00524366">
        <w:t xml:space="preserve">Velice zajímavý závěr uvádí NS: </w:t>
      </w:r>
      <w:r w:rsidR="00CD1A03" w:rsidRPr="00524366">
        <w:rPr>
          <w:i/>
        </w:rPr>
        <w:t xml:space="preserve">„Jazykové vyjádření právního úkonu zachycené ve smlouvě musí být nejprve vykládáno prostředky gramatickými (z hlediska možného významu jednotlivých  použitých pojmů), logickými (z hlediska vzájemné návaznosti použitých pojmů) či systematickými (z hlediska řazení pojmů ve struktuře celého právního úkonu). Kromě toho soud na základě </w:t>
      </w:r>
      <w:r w:rsidR="00CD1A03" w:rsidRPr="00524366">
        <w:rPr>
          <w:i/>
        </w:rPr>
        <w:lastRenderedPageBreak/>
        <w:t>provedeného dokazování posoudí, jaká byla skutečná vůle stran v okamžiku uzavírání smlouvy, přičemž podmínkou pro přihlédnutí kvůli účastníků je to, aby nebyla v rozporu s tím, co plyne z jazykového vyjádření úkonu.“</w:t>
      </w:r>
      <w:r w:rsidR="00CD1A03" w:rsidRPr="00524366">
        <w:rPr>
          <w:rStyle w:val="Znakapoznpodarou"/>
          <w:i/>
        </w:rPr>
        <w:footnoteReference w:id="121"/>
      </w:r>
      <w:r w:rsidR="00CD1A03" w:rsidRPr="00524366">
        <w:rPr>
          <w:i/>
        </w:rPr>
        <w:t xml:space="preserve"> </w:t>
      </w:r>
    </w:p>
    <w:p w14:paraId="28764EFD" w14:textId="5C353DA8" w:rsidR="006963B0" w:rsidRPr="00524366" w:rsidRDefault="00336145" w:rsidP="00336145">
      <w:pPr>
        <w:tabs>
          <w:tab w:val="left" w:pos="5925"/>
        </w:tabs>
      </w:pPr>
      <w:r w:rsidRPr="00524366">
        <w:tab/>
      </w:r>
    </w:p>
    <w:p w14:paraId="0F046A1F" w14:textId="7A053C5B" w:rsidR="00D25F85" w:rsidRPr="00524366" w:rsidRDefault="006963B0" w:rsidP="009B6E18">
      <w:pPr>
        <w:pStyle w:val="Nadpis3"/>
        <w:numPr>
          <w:ilvl w:val="1"/>
          <w:numId w:val="3"/>
        </w:numPr>
        <w:rPr>
          <w:sz w:val="28"/>
        </w:rPr>
      </w:pPr>
      <w:bookmarkStart w:id="14" w:name="_Toc523139876"/>
      <w:r w:rsidRPr="00524366">
        <w:rPr>
          <w:sz w:val="28"/>
        </w:rPr>
        <w:t>Error in qualitate</w:t>
      </w:r>
      <w:bookmarkEnd w:id="14"/>
    </w:p>
    <w:p w14:paraId="6A4EE158" w14:textId="77777777" w:rsidR="00D25F85" w:rsidRPr="00524366" w:rsidRDefault="00D25F85" w:rsidP="00D25F85"/>
    <w:p w14:paraId="344DB054" w14:textId="16A04458" w:rsidR="00B67B47" w:rsidRPr="00524366" w:rsidRDefault="006A52AF" w:rsidP="0010715B">
      <w:pPr>
        <w:spacing w:line="360" w:lineRule="auto"/>
        <w:ind w:firstLine="708"/>
        <w:jc w:val="both"/>
      </w:pPr>
      <w:r w:rsidRPr="00524366">
        <w:t>Jedná se o omyl ve vlastnostech věci/jakosti předmětu. Někteří romanisté používají error in qualitate jako synonymum k error in substantia/materia</w:t>
      </w:r>
      <w:r w:rsidRPr="00524366">
        <w:rPr>
          <w:rStyle w:val="Znakapoznpodarou"/>
        </w:rPr>
        <w:footnoteReference w:id="122"/>
      </w:r>
      <w:r w:rsidRPr="00524366">
        <w:t>, jiní naopak tyto pojmy rozlišují</w:t>
      </w:r>
      <w:r w:rsidRPr="00524366">
        <w:rPr>
          <w:rStyle w:val="Znakapoznpodarou"/>
        </w:rPr>
        <w:footnoteReference w:id="123"/>
      </w:r>
      <w:r w:rsidR="0010715B" w:rsidRPr="00524366">
        <w:t>. O. Sommer</w:t>
      </w:r>
      <w:r w:rsidR="00B67B47" w:rsidRPr="00524366">
        <w:rPr>
          <w:rStyle w:val="Znakapoznpodarou"/>
        </w:rPr>
        <w:footnoteReference w:id="124"/>
      </w:r>
      <w:r w:rsidR="0010715B" w:rsidRPr="00524366">
        <w:t xml:space="preserve"> podřazuje </w:t>
      </w:r>
      <w:r w:rsidR="00B67B47" w:rsidRPr="00524366">
        <w:t>error in substantia/materia a</w:t>
      </w:r>
      <w:r w:rsidRPr="00524366">
        <w:t xml:space="preserve"> error</w:t>
      </w:r>
      <w:r w:rsidR="0010715B" w:rsidRPr="00524366">
        <w:t xml:space="preserve"> in sexu </w:t>
      </w:r>
      <w:r w:rsidR="00B67B47" w:rsidRPr="00524366">
        <w:t>pod souhrnný pojem error in qualitate.</w:t>
      </w:r>
    </w:p>
    <w:p w14:paraId="700E2957" w14:textId="77777777" w:rsidR="00284CA4" w:rsidRPr="00524366" w:rsidRDefault="00284CA4" w:rsidP="00284CA4"/>
    <w:p w14:paraId="437929A7" w14:textId="6C223A91" w:rsidR="006728FE" w:rsidRPr="00524366" w:rsidRDefault="00284CA4" w:rsidP="009B6E18">
      <w:pPr>
        <w:pStyle w:val="Nadpis3"/>
        <w:numPr>
          <w:ilvl w:val="2"/>
          <w:numId w:val="3"/>
        </w:numPr>
      </w:pPr>
      <w:bookmarkStart w:id="15" w:name="_Toc523139877"/>
      <w:r w:rsidRPr="00524366">
        <w:t>Error in substantia</w:t>
      </w:r>
      <w:r w:rsidR="003F40D3" w:rsidRPr="00524366">
        <w:t xml:space="preserve"> (materia)</w:t>
      </w:r>
      <w:bookmarkEnd w:id="15"/>
      <w:r w:rsidR="003F40D3" w:rsidRPr="00524366">
        <w:t xml:space="preserve"> </w:t>
      </w:r>
    </w:p>
    <w:p w14:paraId="712E483C" w14:textId="77777777" w:rsidR="006728FE" w:rsidRPr="00524366" w:rsidRDefault="006728FE" w:rsidP="006728FE"/>
    <w:p w14:paraId="58BFCE21" w14:textId="188D793B" w:rsidR="00006E5B" w:rsidRPr="00524366" w:rsidRDefault="003440B5" w:rsidP="00006E5B">
      <w:pPr>
        <w:spacing w:line="360" w:lineRule="auto"/>
        <w:ind w:firstLine="708"/>
        <w:jc w:val="both"/>
      </w:pPr>
      <w:r w:rsidRPr="00524366">
        <w:t xml:space="preserve">Jak uvádí </w:t>
      </w:r>
      <w:r w:rsidR="00E77216" w:rsidRPr="00524366">
        <w:t>německý profesor</w:t>
      </w:r>
      <w:r w:rsidR="00C77DEF" w:rsidRPr="00524366">
        <w:t xml:space="preserve"> </w:t>
      </w:r>
      <w:r w:rsidR="00DF6BC2" w:rsidRPr="00524366">
        <w:t xml:space="preserve">R. </w:t>
      </w:r>
      <w:r w:rsidRPr="00524366">
        <w:t xml:space="preserve">Zimmermann: </w:t>
      </w:r>
      <w:r w:rsidRPr="00524366">
        <w:rPr>
          <w:i/>
        </w:rPr>
        <w:t>„</w:t>
      </w:r>
      <w:r w:rsidR="00AE189C" w:rsidRPr="00524366">
        <w:rPr>
          <w:i/>
        </w:rPr>
        <w:t>Za n</w:t>
      </w:r>
      <w:r w:rsidRPr="00524366">
        <w:rPr>
          <w:i/>
        </w:rPr>
        <w:t xml:space="preserve">ejvíce fascinující a </w:t>
      </w:r>
      <w:r w:rsidR="00495BC6" w:rsidRPr="00524366">
        <w:rPr>
          <w:i/>
        </w:rPr>
        <w:t xml:space="preserve">nejvíce debatovaný (pochybný) </w:t>
      </w:r>
      <w:r w:rsidR="00B941E1" w:rsidRPr="00524366">
        <w:rPr>
          <w:i/>
        </w:rPr>
        <w:t xml:space="preserve">typ </w:t>
      </w:r>
      <w:r w:rsidR="00495BC6" w:rsidRPr="00524366">
        <w:rPr>
          <w:i/>
        </w:rPr>
        <w:t xml:space="preserve">omylu </w:t>
      </w:r>
      <w:r w:rsidR="00AE189C" w:rsidRPr="00524366">
        <w:rPr>
          <w:i/>
        </w:rPr>
        <w:t>je římskými právníky považován error in substantia.“</w:t>
      </w:r>
      <w:r w:rsidR="0009767A" w:rsidRPr="00524366">
        <w:rPr>
          <w:rStyle w:val="Znakapoznpodarou"/>
          <w:i/>
        </w:rPr>
        <w:footnoteReference w:id="125"/>
      </w:r>
      <w:r w:rsidR="00AE189C" w:rsidRPr="00524366">
        <w:rPr>
          <w:i/>
        </w:rPr>
        <w:t xml:space="preserve"> </w:t>
      </w:r>
      <w:r w:rsidR="00921A20" w:rsidRPr="00524366">
        <w:t>Error in substantia se t</w:t>
      </w:r>
      <w:r w:rsidR="004E2D8B" w:rsidRPr="00524366">
        <w:t>ýká hmoty</w:t>
      </w:r>
      <w:r w:rsidR="00FC4563" w:rsidRPr="00524366">
        <w:t>/látky</w:t>
      </w:r>
      <w:r w:rsidR="0014783C" w:rsidRPr="00524366">
        <w:t xml:space="preserve"> věci, </w:t>
      </w:r>
      <w:r w:rsidR="00FC4563" w:rsidRPr="00524366">
        <w:t>z níž se věc sestává.</w:t>
      </w:r>
      <w:r w:rsidR="004E2D8B" w:rsidRPr="00524366">
        <w:t xml:space="preserve"> </w:t>
      </w:r>
      <w:r w:rsidR="00DB54BF" w:rsidRPr="00524366">
        <w:t xml:space="preserve">Ulpianus uvádí: </w:t>
      </w:r>
      <w:r w:rsidR="00DB54BF" w:rsidRPr="00524366">
        <w:rPr>
          <w:i/>
        </w:rPr>
        <w:t>„</w:t>
      </w:r>
      <w:r w:rsidR="00241CEF" w:rsidRPr="00524366">
        <w:rPr>
          <w:i/>
        </w:rPr>
        <w:t xml:space="preserve">Pokud nesouhlasíme ohledně </w:t>
      </w:r>
      <w:r w:rsidR="00E11CB8" w:rsidRPr="00524366">
        <w:rPr>
          <w:i/>
        </w:rPr>
        <w:t>označení názvu věci</w:t>
      </w:r>
      <w:r w:rsidR="00DB54BF" w:rsidRPr="00524366">
        <w:rPr>
          <w:i/>
        </w:rPr>
        <w:t>, ale není zde spor o př</w:t>
      </w:r>
      <w:r w:rsidR="0062575A" w:rsidRPr="00524366">
        <w:rPr>
          <w:i/>
        </w:rPr>
        <w:t>edmět, uzavření obchodu (</w:t>
      </w:r>
      <w:r w:rsidR="000121DC" w:rsidRPr="00524366">
        <w:rPr>
          <w:i/>
        </w:rPr>
        <w:t>tedy smlouvy trhové</w:t>
      </w:r>
      <w:r w:rsidR="0062575A" w:rsidRPr="00524366">
        <w:rPr>
          <w:i/>
        </w:rPr>
        <w:t xml:space="preserve">) </w:t>
      </w:r>
      <w:r w:rsidR="00DB54BF" w:rsidRPr="00524366">
        <w:rPr>
          <w:i/>
        </w:rPr>
        <w:t xml:space="preserve"> je nepochyb</w:t>
      </w:r>
      <w:r w:rsidR="000121DC" w:rsidRPr="00524366">
        <w:rPr>
          <w:i/>
        </w:rPr>
        <w:t>ně platné</w:t>
      </w:r>
      <w:r w:rsidR="0062575A" w:rsidRPr="00524366">
        <w:rPr>
          <w:i/>
        </w:rPr>
        <w:t>; pro omyl v</w:t>
      </w:r>
      <w:r w:rsidR="00437B4C" w:rsidRPr="00524366">
        <w:rPr>
          <w:i/>
        </w:rPr>
        <w:t xml:space="preserve"> označení názvu věci</w:t>
      </w:r>
      <w:r w:rsidR="00DB54BF" w:rsidRPr="00524366">
        <w:rPr>
          <w:i/>
        </w:rPr>
        <w:t xml:space="preserve"> to nemá žádné důsledky, když vlastnost samotná je dohodnuta.“</w:t>
      </w:r>
      <w:r w:rsidR="00DB54BF" w:rsidRPr="00524366">
        <w:rPr>
          <w:rStyle w:val="Znakapoznpodarou"/>
          <w:i/>
        </w:rPr>
        <w:footnoteReference w:id="126"/>
      </w:r>
      <w:r w:rsidR="003908D2" w:rsidRPr="00524366">
        <w:rPr>
          <w:i/>
        </w:rPr>
        <w:t xml:space="preserve"> „</w:t>
      </w:r>
      <w:r w:rsidR="00FF289D" w:rsidRPr="00524366">
        <w:rPr>
          <w:i/>
        </w:rPr>
        <w:t xml:space="preserve">A tudíž vzniká otázka, když nedošlo k žádnému omylu co se týče </w:t>
      </w:r>
      <w:r w:rsidR="00874021" w:rsidRPr="00524366">
        <w:rPr>
          <w:i/>
        </w:rPr>
        <w:t xml:space="preserve">předmětu </w:t>
      </w:r>
      <w:r w:rsidR="007E4CA7" w:rsidRPr="00524366">
        <w:rPr>
          <w:i/>
        </w:rPr>
        <w:t>samotného</w:t>
      </w:r>
      <w:r w:rsidR="0062575A" w:rsidRPr="00524366">
        <w:rPr>
          <w:i/>
        </w:rPr>
        <w:t>, ale ex</w:t>
      </w:r>
      <w:r w:rsidR="007E4CA7" w:rsidRPr="00524366">
        <w:rPr>
          <w:i/>
        </w:rPr>
        <w:t xml:space="preserve">istuje omyl týkající se hmoty, ze které je věc složena; například když je ocet prodán jako víno, </w:t>
      </w:r>
      <w:r w:rsidR="00A73863" w:rsidRPr="00524366">
        <w:rPr>
          <w:i/>
        </w:rPr>
        <w:t>měď jako zlato nebo olovo jako stříbro nebo něco ji</w:t>
      </w:r>
      <w:r w:rsidR="007E4CA7" w:rsidRPr="00524366">
        <w:rPr>
          <w:i/>
        </w:rPr>
        <w:t>ného, co se podobá stříbru, zda</w:t>
      </w:r>
      <w:r w:rsidR="00A73863" w:rsidRPr="00524366">
        <w:rPr>
          <w:i/>
        </w:rPr>
        <w:t xml:space="preserve"> se jedná o </w:t>
      </w:r>
      <w:r w:rsidR="007E4CA7" w:rsidRPr="00524366">
        <w:rPr>
          <w:i/>
        </w:rPr>
        <w:t xml:space="preserve">koupi a prodej. </w:t>
      </w:r>
      <w:r w:rsidR="00CC504E" w:rsidRPr="00524366">
        <w:rPr>
          <w:i/>
        </w:rPr>
        <w:t xml:space="preserve">Marcellus </w:t>
      </w:r>
      <w:r w:rsidR="003B1B04" w:rsidRPr="00524366">
        <w:rPr>
          <w:i/>
        </w:rPr>
        <w:t>v 6. k</w:t>
      </w:r>
      <w:r w:rsidR="00A73863" w:rsidRPr="00524366">
        <w:rPr>
          <w:i/>
        </w:rPr>
        <w:t>nize Digest</w:t>
      </w:r>
      <w:r w:rsidR="007E4CA7" w:rsidRPr="00524366">
        <w:rPr>
          <w:i/>
        </w:rPr>
        <w:t xml:space="preserve"> říká, že v tomto přípa</w:t>
      </w:r>
      <w:r w:rsidR="003B1B04" w:rsidRPr="00524366">
        <w:rPr>
          <w:i/>
        </w:rPr>
        <w:t>dě</w:t>
      </w:r>
      <w:r w:rsidR="006A52AF" w:rsidRPr="00524366">
        <w:rPr>
          <w:i/>
        </w:rPr>
        <w:t xml:space="preserve"> je to</w:t>
      </w:r>
      <w:r w:rsidR="007E4CA7" w:rsidRPr="00524366">
        <w:rPr>
          <w:i/>
        </w:rPr>
        <w:t xml:space="preserve"> prodej a koupě, protože předmět</w:t>
      </w:r>
      <w:r w:rsidR="00560922" w:rsidRPr="00524366">
        <w:rPr>
          <w:i/>
        </w:rPr>
        <w:t xml:space="preserve"> </w:t>
      </w:r>
      <w:r w:rsidR="007E4CA7" w:rsidRPr="00524366">
        <w:rPr>
          <w:i/>
        </w:rPr>
        <w:t>byl dohodnut, ačkoliv zde byl omyl týkající se hmoty</w:t>
      </w:r>
      <w:r w:rsidR="00874021" w:rsidRPr="00524366">
        <w:rPr>
          <w:i/>
        </w:rPr>
        <w:t xml:space="preserve">, </w:t>
      </w:r>
      <w:r w:rsidR="007E4CA7" w:rsidRPr="00524366">
        <w:rPr>
          <w:i/>
        </w:rPr>
        <w:t xml:space="preserve">ze které je věc složena. Jsem stejného názoru, pokud jde o víno a ocet; </w:t>
      </w:r>
      <w:r w:rsidR="008132A2" w:rsidRPr="00524366">
        <w:rPr>
          <w:i/>
        </w:rPr>
        <w:t>jsou to totiž velmi podobné věci</w:t>
      </w:r>
      <w:r w:rsidR="00E22660" w:rsidRPr="00524366">
        <w:rPr>
          <w:i/>
        </w:rPr>
        <w:t>, to znamená stejná hmota</w:t>
      </w:r>
      <w:r w:rsidR="00000910" w:rsidRPr="00524366">
        <w:rPr>
          <w:i/>
        </w:rPr>
        <w:t>, která dodává vínu to, že se stane kyselé. Ale v př</w:t>
      </w:r>
      <w:r w:rsidR="007C3801" w:rsidRPr="00524366">
        <w:rPr>
          <w:i/>
        </w:rPr>
        <w:t>ípadě, že víno se neskysne</w:t>
      </w:r>
      <w:r w:rsidR="00000910" w:rsidRPr="00524366">
        <w:rPr>
          <w:i/>
        </w:rPr>
        <w:t>, ale bylo kyselé již na začátku, tak to znamená, že pokud obsahuje ocet, bude platit</w:t>
      </w:r>
      <w:r w:rsidR="007C3801" w:rsidRPr="00524366">
        <w:rPr>
          <w:i/>
        </w:rPr>
        <w:t>, že věc byla prodána jako jiná</w:t>
      </w:r>
      <w:r w:rsidR="006B491C" w:rsidRPr="00524366">
        <w:rPr>
          <w:i/>
        </w:rPr>
        <w:t xml:space="preserve"> (aliud). </w:t>
      </w:r>
      <w:r w:rsidR="00000910" w:rsidRPr="00524366">
        <w:rPr>
          <w:i/>
        </w:rPr>
        <w:t xml:space="preserve">V dalších případech si myslím, že prodej bude neplatný kdykoliv, kdy se omyl týkal látky, </w:t>
      </w:r>
      <w:r w:rsidR="00A73863" w:rsidRPr="00524366">
        <w:rPr>
          <w:i/>
        </w:rPr>
        <w:t>ze které jsou věci složeny.“</w:t>
      </w:r>
      <w:r w:rsidR="00A73863" w:rsidRPr="00524366">
        <w:rPr>
          <w:rStyle w:val="Znakapoznpodarou"/>
          <w:i/>
        </w:rPr>
        <w:footnoteReference w:id="127"/>
      </w:r>
      <w:r w:rsidR="00A66BF6" w:rsidRPr="00524366">
        <w:rPr>
          <w:i/>
        </w:rPr>
        <w:t xml:space="preserve"> </w:t>
      </w:r>
      <w:r w:rsidR="00EF7656" w:rsidRPr="00524366">
        <w:t>Ulpianus uvádí různé případy</w:t>
      </w:r>
      <w:r w:rsidR="00B62476" w:rsidRPr="00524366">
        <w:t xml:space="preserve">, </w:t>
      </w:r>
      <w:r w:rsidR="00EF7656" w:rsidRPr="00524366">
        <w:t>kdy se</w:t>
      </w:r>
      <w:r w:rsidR="00560922" w:rsidRPr="00524366">
        <w:t xml:space="preserve"> </w:t>
      </w:r>
      <w:r w:rsidR="00EF7656" w:rsidRPr="00524366">
        <w:t>n</w:t>
      </w:r>
      <w:r w:rsidR="00073570" w:rsidRPr="00524366">
        <w:t>ejedná o omyl v</w:t>
      </w:r>
      <w:r w:rsidR="007F4E6D" w:rsidRPr="00524366">
        <w:t> </w:t>
      </w:r>
      <w:r w:rsidR="00DC0C74" w:rsidRPr="00524366">
        <w:t>předmětu</w:t>
      </w:r>
      <w:r w:rsidR="007F4E6D" w:rsidRPr="00524366">
        <w:t>, ale o omyl v substanci</w:t>
      </w:r>
      <w:r w:rsidR="00B62476" w:rsidRPr="00524366">
        <w:t xml:space="preserve"> (ocet je prodán jako víno, bronz jako zlato, olovo nebo jiný kov připomínající stříbro jako stříbro)</w:t>
      </w:r>
      <w:r w:rsidR="007F4E6D" w:rsidRPr="00524366">
        <w:t>.</w:t>
      </w:r>
      <w:r w:rsidR="00EF7656" w:rsidRPr="00524366">
        <w:t xml:space="preserve"> </w:t>
      </w:r>
      <w:r w:rsidR="00B62476" w:rsidRPr="00524366">
        <w:t xml:space="preserve">Kupující je </w:t>
      </w:r>
      <w:r w:rsidR="007F4E6D" w:rsidRPr="00524366">
        <w:t xml:space="preserve">tímto </w:t>
      </w:r>
      <w:r w:rsidR="00B62476" w:rsidRPr="00524366">
        <w:t>obchodem vážně poškozen (znevýhodněn)</w:t>
      </w:r>
      <w:r w:rsidR="007C3801" w:rsidRPr="00524366">
        <w:t>,</w:t>
      </w:r>
      <w:r w:rsidR="00B62476" w:rsidRPr="00524366">
        <w:t xml:space="preserve"> protože víno se ukázalo býti octem, </w:t>
      </w:r>
      <w:r w:rsidR="007F4E6D" w:rsidRPr="00524366">
        <w:t xml:space="preserve">kov není zlatý (ač měl být) apod. </w:t>
      </w:r>
      <w:r w:rsidR="00A77565" w:rsidRPr="00524366">
        <w:t>Nevíme, zda prodávající o tomto</w:t>
      </w:r>
      <w:r w:rsidR="007C3801" w:rsidRPr="00524366">
        <w:t xml:space="preserve"> omylu věděl</w:t>
      </w:r>
      <w:r w:rsidR="00A77565" w:rsidRPr="00524366">
        <w:t xml:space="preserve"> či nevěděl</w:t>
      </w:r>
      <w:r w:rsidR="00450E2D" w:rsidRPr="00524366">
        <w:t xml:space="preserve"> (z textu nelze dovodit podvodné jednání). </w:t>
      </w:r>
      <w:r w:rsidR="00EE3095" w:rsidRPr="00524366">
        <w:t xml:space="preserve">Ulpianus </w:t>
      </w:r>
      <w:r w:rsidR="00EE3095" w:rsidRPr="00524366">
        <w:lastRenderedPageBreak/>
        <w:t>však uvádí, že to není podstatné. Slova „</w:t>
      </w:r>
      <w:r w:rsidR="009C75FA" w:rsidRPr="00524366">
        <w:t>aliud pro alio venisse</w:t>
      </w:r>
      <w:r w:rsidR="00D130C3" w:rsidRPr="00524366">
        <w:t xml:space="preserve"> videtur</w:t>
      </w:r>
      <w:r w:rsidR="00EE3095" w:rsidRPr="00524366">
        <w:t xml:space="preserve">“ ukazují na to, že </w:t>
      </w:r>
      <w:r w:rsidR="0051204E" w:rsidRPr="00524366">
        <w:t>omyl vyvolal prodávající</w:t>
      </w:r>
      <w:r w:rsidR="000D5C1E" w:rsidRPr="00524366">
        <w:t xml:space="preserve">, neboť „aliud“ znamená, že dlužník (zde prodávající) nesplnil to, co měl podle smlouvy splnit a splnil něco jiného. </w:t>
      </w:r>
      <w:r w:rsidR="00801326" w:rsidRPr="00524366">
        <w:t xml:space="preserve">Otázkou tedy je, zda tento omyl v substanci </w:t>
      </w:r>
      <w:r w:rsidR="00622BA0" w:rsidRPr="00524366">
        <w:t>brání v uzavření platné smlouvy či nikoliv. Marcellus říká,</w:t>
      </w:r>
      <w:r w:rsidR="00B62573" w:rsidRPr="00524366">
        <w:t xml:space="preserve"> ž</w:t>
      </w:r>
      <w:r w:rsidR="00003398" w:rsidRPr="00524366">
        <w:t>e nikol</w:t>
      </w:r>
      <w:r w:rsidR="00E36EA4" w:rsidRPr="00524366">
        <w:t xml:space="preserve">iv, že prodej je platný a pokládal tento omyl za irrelevantní. </w:t>
      </w:r>
      <w:r w:rsidR="00B62573" w:rsidRPr="00524366">
        <w:t xml:space="preserve">Ulpianus však </w:t>
      </w:r>
      <w:r w:rsidR="00E36EA4" w:rsidRPr="00524366">
        <w:t>ne</w:t>
      </w:r>
      <w:r w:rsidR="00B62573" w:rsidRPr="00524366">
        <w:t>souhlasí</w:t>
      </w:r>
      <w:r w:rsidR="006B491C" w:rsidRPr="00524366">
        <w:t xml:space="preserve"> a</w:t>
      </w:r>
      <w:r w:rsidR="00E36EA4" w:rsidRPr="00524366">
        <w:t xml:space="preserve"> v určitých případech mu přisuzoval závažnost, zejm. právě v případech, kdy</w:t>
      </w:r>
      <w:r w:rsidR="000C1375" w:rsidRPr="00524366">
        <w:t xml:space="preserve"> byl předmět kupován jako zlatý nebo stříbrný, </w:t>
      </w:r>
      <w:r w:rsidR="00D73ADC" w:rsidRPr="00524366">
        <w:t>ve skutečnosti však byl z bronzu</w:t>
      </w:r>
      <w:r w:rsidR="000C1375" w:rsidRPr="00524366">
        <w:t xml:space="preserve"> nebo olova.</w:t>
      </w:r>
      <w:r w:rsidR="00E36EA4" w:rsidRPr="00524366">
        <w:t xml:space="preserve"> </w:t>
      </w:r>
      <w:r w:rsidR="000C1375" w:rsidRPr="00524366">
        <w:t>Také u</w:t>
      </w:r>
      <w:r w:rsidR="006B491C" w:rsidRPr="00524366">
        <w:t xml:space="preserve">vádí, že </w:t>
      </w:r>
      <w:r w:rsidR="00846AE5" w:rsidRPr="00524366">
        <w:t xml:space="preserve">v případě, kdy je víno prodáno jako ocet, </w:t>
      </w:r>
      <w:r w:rsidR="006B491C" w:rsidRPr="00524366">
        <w:t xml:space="preserve">jedná </w:t>
      </w:r>
      <w:r w:rsidR="00846AE5" w:rsidRPr="00524366">
        <w:t xml:space="preserve">se </w:t>
      </w:r>
      <w:r w:rsidR="00641ED6" w:rsidRPr="00524366">
        <w:t xml:space="preserve">o </w:t>
      </w:r>
      <w:r w:rsidR="00641ED6" w:rsidRPr="00524366">
        <w:rPr>
          <w:i/>
        </w:rPr>
        <w:t>aliud</w:t>
      </w:r>
      <w:r w:rsidR="00644DBE" w:rsidRPr="00524366">
        <w:t xml:space="preserve">, </w:t>
      </w:r>
      <w:r w:rsidR="00006E5B" w:rsidRPr="00524366">
        <w:t>tedy plnění něčeho jiného</w:t>
      </w:r>
      <w:r w:rsidR="00644DBE" w:rsidRPr="00524366">
        <w:t xml:space="preserve">. Z úvahy Ulpiana lze dovodit, že </w:t>
      </w:r>
      <w:r w:rsidR="005B7175" w:rsidRPr="00524366">
        <w:t xml:space="preserve">z dnešního pohledu se </w:t>
      </w:r>
      <w:r w:rsidR="005B7175" w:rsidRPr="00524366">
        <w:rPr>
          <w:i/>
        </w:rPr>
        <w:t>error in substantia</w:t>
      </w:r>
      <w:r w:rsidR="005B7175" w:rsidRPr="00524366">
        <w:t xml:space="preserve"> j</w:t>
      </w:r>
      <w:r w:rsidR="00A74A47" w:rsidRPr="00524366">
        <w:t>eví více jako vadné plně</w:t>
      </w:r>
      <w:r w:rsidR="0012201E" w:rsidRPr="00524366">
        <w:t xml:space="preserve">ní. </w:t>
      </w:r>
      <w:r w:rsidR="00A74A47" w:rsidRPr="00524366">
        <w:t xml:space="preserve"> </w:t>
      </w:r>
    </w:p>
    <w:p w14:paraId="48270E06" w14:textId="71AD40DD" w:rsidR="0062060A" w:rsidRPr="00524366" w:rsidRDefault="004851B8" w:rsidP="004851B8">
      <w:pPr>
        <w:spacing w:line="360" w:lineRule="auto"/>
        <w:ind w:firstLine="708"/>
        <w:jc w:val="both"/>
      </w:pPr>
      <w:r w:rsidRPr="00524366">
        <w:t>Z římských pramenů lze vyčíst, že i právník Paulu</w:t>
      </w:r>
      <w:r w:rsidR="002002AA" w:rsidRPr="00524366">
        <w:t>s se přikláněl k názoru Marcellovu</w:t>
      </w:r>
      <w:r w:rsidRPr="00524366">
        <w:t xml:space="preserve">, srov.: </w:t>
      </w:r>
      <w:r w:rsidR="00D9520A" w:rsidRPr="00524366">
        <w:rPr>
          <w:i/>
        </w:rPr>
        <w:t>„</w:t>
      </w:r>
      <w:r w:rsidRPr="00524366">
        <w:rPr>
          <w:i/>
        </w:rPr>
        <w:t xml:space="preserve">… </w:t>
      </w:r>
      <w:r w:rsidR="00D9520A" w:rsidRPr="00524366">
        <w:rPr>
          <w:i/>
        </w:rPr>
        <w:t xml:space="preserve">kdyby </w:t>
      </w:r>
      <w:r w:rsidRPr="00524366">
        <w:rPr>
          <w:i/>
        </w:rPr>
        <w:t>prodávající opravdu prodával předmět jako zlatý</w:t>
      </w:r>
      <w:r w:rsidR="00D9520A" w:rsidRPr="00524366">
        <w:rPr>
          <w:i/>
        </w:rPr>
        <w:t xml:space="preserve"> a </w:t>
      </w:r>
      <w:r w:rsidRPr="00524366">
        <w:rPr>
          <w:i/>
        </w:rPr>
        <w:t>kupující by si myslel</w:t>
      </w:r>
      <w:r w:rsidR="00D9520A" w:rsidRPr="00524366">
        <w:rPr>
          <w:i/>
        </w:rPr>
        <w:t>, že kov byl nižší kvality, v takovém případě by byla smlouva platná.“</w:t>
      </w:r>
      <w:r w:rsidR="00D9520A" w:rsidRPr="00524366">
        <w:rPr>
          <w:rStyle w:val="Znakapoznpodarou"/>
          <w:i/>
        </w:rPr>
        <w:footnoteReference w:id="128"/>
      </w:r>
      <w:r w:rsidR="00D9520A" w:rsidRPr="00524366">
        <w:rPr>
          <w:i/>
        </w:rPr>
        <w:t xml:space="preserve"> </w:t>
      </w:r>
      <w:r w:rsidRPr="00524366">
        <w:t>Paulus také uvádí:</w:t>
      </w:r>
      <w:r w:rsidR="0062060A" w:rsidRPr="00524366">
        <w:t xml:space="preserve"> </w:t>
      </w:r>
      <w:r w:rsidR="0062060A" w:rsidRPr="00524366">
        <w:rPr>
          <w:i/>
        </w:rPr>
        <w:t>„Jestliže mi slíbíš  předmět, o kterém jsem si myslel, že je ze zlata, ve skutečnosti je z mědi, budeš mi dlužit měď, jelikož jsme se dohodli na předmětu; ale mohu proti tobě podat žalobu z podvodu, jestliže jsi mě vědomě podvedl.“</w:t>
      </w:r>
      <w:r w:rsidR="0062060A" w:rsidRPr="00524366">
        <w:rPr>
          <w:rStyle w:val="Znakapoznpodarou"/>
          <w:i/>
        </w:rPr>
        <w:footnoteReference w:id="129"/>
      </w:r>
      <w:r w:rsidR="0062060A" w:rsidRPr="00524366">
        <w:t xml:space="preserve"> V tomto případě se nejedná o omyl v předmětu, může se však jednat o omyl v substanci. Vyvstává však otázka, zda je prodej platný, či nikoliv. Marcellus, jak již výše řečeno, pokládal tento omyl za irre</w:t>
      </w:r>
      <w:r w:rsidR="002002AA" w:rsidRPr="00524366">
        <w:t>levantní, Ulpianus mu však přikládal velkou</w:t>
      </w:r>
      <w:r w:rsidR="0062060A" w:rsidRPr="00524366">
        <w:t xml:space="preserve"> záv</w:t>
      </w:r>
      <w:r w:rsidR="002002AA" w:rsidRPr="00524366">
        <w:t>ažnost. Z tohoto Paulova fragmentu</w:t>
      </w:r>
      <w:r w:rsidR="0062060A" w:rsidRPr="00524366">
        <w:t xml:space="preserve"> lze dovodit, že omyl v tomto případě</w:t>
      </w:r>
      <w:r w:rsidR="002002AA" w:rsidRPr="00524366">
        <w:t xml:space="preserve"> nevyvolával neplatnost smlouvy;</w:t>
      </w:r>
      <w:r w:rsidR="0062060A" w:rsidRPr="00524366">
        <w:t xml:space="preserve"> nicméně, pokud by byl prokázán podvodný úmysl prodávajícího, bylo by možné proti němu použít prétorský prostředek na svoji ochranu, a to konkrétně </w:t>
      </w:r>
      <w:r w:rsidR="0062060A" w:rsidRPr="00524366">
        <w:rPr>
          <w:i/>
        </w:rPr>
        <w:t>exceptio doli</w:t>
      </w:r>
      <w:r w:rsidR="0062060A" w:rsidRPr="00524366">
        <w:t xml:space="preserve">. </w:t>
      </w:r>
    </w:p>
    <w:p w14:paraId="4C132558" w14:textId="28DF70AB" w:rsidR="00A1774C" w:rsidRPr="00524366" w:rsidRDefault="003870EC" w:rsidP="00F15A9F">
      <w:pPr>
        <w:spacing w:line="360" w:lineRule="auto"/>
        <w:ind w:firstLine="708"/>
        <w:jc w:val="both"/>
        <w:rPr>
          <w:b/>
          <w:bCs/>
          <w:color w:val="000000"/>
        </w:rPr>
      </w:pPr>
      <w:r w:rsidRPr="00524366">
        <w:t>Ulpianus</w:t>
      </w:r>
      <w:r w:rsidR="00D41BFA" w:rsidRPr="00524366">
        <w:t xml:space="preserve"> však také řeší otázku:</w:t>
      </w:r>
      <w:r w:rsidRPr="00524366">
        <w:t xml:space="preserve"> </w:t>
      </w:r>
      <w:r w:rsidR="00652009" w:rsidRPr="00524366">
        <w:rPr>
          <w:i/>
        </w:rPr>
        <w:t xml:space="preserve">„Co ale řekneme, když se obě strany mýlí jak ve hmotě věci, tak i </w:t>
      </w:r>
      <w:r w:rsidR="00182E5C" w:rsidRPr="00524366">
        <w:rPr>
          <w:i/>
        </w:rPr>
        <w:t>v předmětu prodávané věci</w:t>
      </w:r>
      <w:r w:rsidR="00FE6C5C" w:rsidRPr="00524366">
        <w:rPr>
          <w:i/>
        </w:rPr>
        <w:t>? Například</w:t>
      </w:r>
      <w:r w:rsidR="00652009" w:rsidRPr="00524366">
        <w:rPr>
          <w:i/>
        </w:rPr>
        <w:t xml:space="preserve"> když si myslím, že prodávám zlato a ty si myslíš, že kupuješ zlato, když</w:t>
      </w:r>
      <w:r w:rsidR="00102ABB" w:rsidRPr="00524366">
        <w:rPr>
          <w:i/>
        </w:rPr>
        <w:t xml:space="preserve"> ve skutečnosti je ten kov měď</w:t>
      </w:r>
      <w:r w:rsidR="00652009" w:rsidRPr="00524366">
        <w:rPr>
          <w:i/>
        </w:rPr>
        <w:t xml:space="preserve">. Nebo například, když dva </w:t>
      </w:r>
      <w:r w:rsidR="002002AA" w:rsidRPr="00524366">
        <w:rPr>
          <w:i/>
        </w:rPr>
        <w:t>spolu</w:t>
      </w:r>
      <w:r w:rsidR="00652009" w:rsidRPr="00524366">
        <w:rPr>
          <w:i/>
        </w:rPr>
        <w:t xml:space="preserve">dědicové prodávají náramek, o kterém tvrdí, že je ze zlata, za vysokou cenu jinému </w:t>
      </w:r>
      <w:r w:rsidR="002002AA" w:rsidRPr="00524366">
        <w:rPr>
          <w:i/>
        </w:rPr>
        <w:t>spolu</w:t>
      </w:r>
      <w:r w:rsidR="00934FB4" w:rsidRPr="00524366">
        <w:rPr>
          <w:i/>
        </w:rPr>
        <w:t xml:space="preserve">dědici a </w:t>
      </w:r>
      <w:r w:rsidR="001E697F" w:rsidRPr="00524366">
        <w:rPr>
          <w:i/>
        </w:rPr>
        <w:t xml:space="preserve">vyjde najevo, že větší část je z mědi? </w:t>
      </w:r>
      <w:r w:rsidR="00471D56" w:rsidRPr="00524366">
        <w:rPr>
          <w:i/>
        </w:rPr>
        <w:t xml:space="preserve">Je </w:t>
      </w:r>
      <w:r w:rsidR="00DF123E" w:rsidRPr="00524366">
        <w:rPr>
          <w:i/>
        </w:rPr>
        <w:t xml:space="preserve">jisté, že se jedná o prodej, protože </w:t>
      </w:r>
      <w:r w:rsidR="00D65C98" w:rsidRPr="00524366">
        <w:rPr>
          <w:i/>
        </w:rPr>
        <w:t xml:space="preserve">náramek obsahuje nějaké zlato (artikl je pozlacený). </w:t>
      </w:r>
      <w:r w:rsidR="00AC1D23" w:rsidRPr="00524366">
        <w:rPr>
          <w:i/>
        </w:rPr>
        <w:t>I když si myslím, že je ze zlata, pro</w:t>
      </w:r>
      <w:r w:rsidR="00D41BFA" w:rsidRPr="00524366">
        <w:rPr>
          <w:i/>
        </w:rPr>
        <w:t>de</w:t>
      </w:r>
      <w:r w:rsidR="00B12143" w:rsidRPr="00524366">
        <w:rPr>
          <w:i/>
        </w:rPr>
        <w:t>j bude platný, ale když je měď</w:t>
      </w:r>
      <w:r w:rsidR="00AC1D23" w:rsidRPr="00524366">
        <w:rPr>
          <w:i/>
        </w:rPr>
        <w:t xml:space="preserve"> prodávána jako zlato, prodej bude neplatný.“</w:t>
      </w:r>
      <w:r w:rsidR="00AC1D23" w:rsidRPr="00524366">
        <w:rPr>
          <w:rStyle w:val="Znakapoznpodarou"/>
          <w:i/>
        </w:rPr>
        <w:footnoteReference w:id="130"/>
      </w:r>
      <w:r w:rsidR="00AC1D23" w:rsidRPr="00524366">
        <w:rPr>
          <w:i/>
        </w:rPr>
        <w:t xml:space="preserve"> </w:t>
      </w:r>
    </w:p>
    <w:p w14:paraId="186D0D67" w14:textId="6D484DC1" w:rsidR="00B4190F" w:rsidRPr="00524366" w:rsidRDefault="000121DC" w:rsidP="006D7088">
      <w:pPr>
        <w:spacing w:line="360" w:lineRule="auto"/>
        <w:ind w:firstLine="708"/>
        <w:jc w:val="both"/>
      </w:pPr>
      <w:r w:rsidRPr="00524366">
        <w:t>V</w:t>
      </w:r>
      <w:r w:rsidR="001231D6" w:rsidRPr="00524366">
        <w:t> </w:t>
      </w:r>
      <w:r w:rsidRPr="00524366">
        <w:t>Digestech</w:t>
      </w:r>
      <w:r w:rsidR="001231D6" w:rsidRPr="00524366">
        <w:t>, jak již výše řečeno,</w:t>
      </w:r>
      <w:r w:rsidRPr="00524366">
        <w:t xml:space="preserve"> nenalezneme</w:t>
      </w:r>
      <w:r w:rsidR="0004139E" w:rsidRPr="00524366">
        <w:t xml:space="preserve"> zcela</w:t>
      </w:r>
      <w:r w:rsidRPr="00524366">
        <w:t xml:space="preserve"> jasný pohled římských právníků na </w:t>
      </w:r>
      <w:r w:rsidRPr="00524366">
        <w:rPr>
          <w:i/>
        </w:rPr>
        <w:t>er</w:t>
      </w:r>
      <w:r w:rsidR="0004139E" w:rsidRPr="00524366">
        <w:rPr>
          <w:i/>
        </w:rPr>
        <w:t>ror in substantia (materia)</w:t>
      </w:r>
      <w:r w:rsidR="0004139E" w:rsidRPr="00524366">
        <w:t xml:space="preserve">, </w:t>
      </w:r>
      <w:r w:rsidRPr="00524366">
        <w:t xml:space="preserve">lze </w:t>
      </w:r>
      <w:r w:rsidR="0004139E" w:rsidRPr="00524366">
        <w:t xml:space="preserve">však </w:t>
      </w:r>
      <w:r w:rsidRPr="00524366">
        <w:t>dovodit, že v určitých případech, zejm. při smlouvě trhové, byl tento omyl respektován.</w:t>
      </w:r>
      <w:r w:rsidR="00DE5D0A" w:rsidRPr="00524366">
        <w:t xml:space="preserve"> </w:t>
      </w:r>
      <w:r w:rsidR="001F7947" w:rsidRPr="00524366">
        <w:t xml:space="preserve">V případě, že </w:t>
      </w:r>
      <w:r w:rsidR="00446178" w:rsidRPr="00524366">
        <w:t xml:space="preserve">obě strany vycházely z nesprávné představy, </w:t>
      </w:r>
      <w:r w:rsidR="001F7947" w:rsidRPr="00524366">
        <w:t xml:space="preserve">smlouva byla neplatná, srov. </w:t>
      </w:r>
      <w:r w:rsidR="0004139E" w:rsidRPr="00524366">
        <w:rPr>
          <w:i/>
        </w:rPr>
        <w:t>„</w:t>
      </w:r>
      <w:r w:rsidR="001110E3" w:rsidRPr="00524366">
        <w:rPr>
          <w:i/>
        </w:rPr>
        <w:t xml:space="preserve">Prodal jsi mi postříbřený stůl s tím, že </w:t>
      </w:r>
      <w:r w:rsidR="00453CD0" w:rsidRPr="00524366">
        <w:rPr>
          <w:i/>
        </w:rPr>
        <w:t>bude celý ze stříbra</w:t>
      </w:r>
      <w:r w:rsidR="00C343A7" w:rsidRPr="00524366">
        <w:rPr>
          <w:i/>
        </w:rPr>
        <w:t xml:space="preserve"> a ani jeden z nás si nebyl vědom toho, že to tak nebylo. Prodej je neplatný a peníze vyplacené</w:t>
      </w:r>
      <w:r w:rsidR="00F853B6" w:rsidRPr="00524366">
        <w:rPr>
          <w:i/>
        </w:rPr>
        <w:t xml:space="preserve"> za tento stůl mohou být požadovány zpět</w:t>
      </w:r>
      <w:r w:rsidR="00C343A7" w:rsidRPr="00524366">
        <w:rPr>
          <w:i/>
        </w:rPr>
        <w:t>.“</w:t>
      </w:r>
      <w:r w:rsidR="000E59B0" w:rsidRPr="00524366">
        <w:rPr>
          <w:rStyle w:val="Znakapoznpodarou"/>
          <w:i/>
        </w:rPr>
        <w:footnoteReference w:id="131"/>
      </w:r>
      <w:r w:rsidR="000A2BD0" w:rsidRPr="00524366">
        <w:rPr>
          <w:i/>
        </w:rPr>
        <w:t xml:space="preserve"> </w:t>
      </w:r>
      <w:r w:rsidR="00750A24" w:rsidRPr="00524366">
        <w:t>Jedná se</w:t>
      </w:r>
      <w:r w:rsidR="006D7088" w:rsidRPr="00524366">
        <w:t xml:space="preserve"> o </w:t>
      </w:r>
      <w:r w:rsidR="006D7088" w:rsidRPr="00524366">
        <w:lastRenderedPageBreak/>
        <w:t>případ</w:t>
      </w:r>
      <w:r w:rsidR="004E61D7" w:rsidRPr="00524366">
        <w:t>, kdy obě strany jsou ve vzájemném omylu o předmětu koupě. K</w:t>
      </w:r>
      <w:r w:rsidR="00750A24" w:rsidRPr="00524366">
        <w:t xml:space="preserve">upující </w:t>
      </w:r>
      <w:r w:rsidR="00453CD0" w:rsidRPr="00524366">
        <w:t>kupuje stůl, o němž přepokládá, že je ze stříbra. Ve skutečnosti je stůl postříbřený, přičemž prodávající se nachází ve stejném omylu jako kupují</w:t>
      </w:r>
      <w:r w:rsidR="002238DE" w:rsidRPr="00524366">
        <w:t>cí</w:t>
      </w:r>
      <w:r w:rsidR="00453CD0" w:rsidRPr="00524366">
        <w:t xml:space="preserve">, a z toho důvodu bude prodej neplatný. </w:t>
      </w:r>
      <w:r w:rsidR="000B72E6" w:rsidRPr="00524366">
        <w:t>Peníze vyplacené za stůl je mo</w:t>
      </w:r>
      <w:r w:rsidR="008939D4" w:rsidRPr="00524366">
        <w:t xml:space="preserve">žné požadovat zpět pomocí </w:t>
      </w:r>
      <w:r w:rsidR="002238DE" w:rsidRPr="00524366">
        <w:t xml:space="preserve">žaloby na vydání bezdůvodného obohacení, tj. </w:t>
      </w:r>
      <w:r w:rsidR="008939D4" w:rsidRPr="00524366">
        <w:rPr>
          <w:i/>
        </w:rPr>
        <w:t>condictio (legis actio per condictionem)</w:t>
      </w:r>
      <w:r w:rsidR="00766917" w:rsidRPr="00524366">
        <w:t>.</w:t>
      </w:r>
      <w:r w:rsidR="00766917" w:rsidRPr="00524366">
        <w:rPr>
          <w:rStyle w:val="Znakapoznpodarou"/>
        </w:rPr>
        <w:footnoteReference w:id="132"/>
      </w:r>
      <w:r w:rsidR="00766917" w:rsidRPr="00524366">
        <w:t xml:space="preserve"> </w:t>
      </w:r>
    </w:p>
    <w:p w14:paraId="1173244B" w14:textId="77777777" w:rsidR="006A52AF" w:rsidRPr="00524366" w:rsidRDefault="006A52AF" w:rsidP="006D7088">
      <w:pPr>
        <w:spacing w:line="360" w:lineRule="auto"/>
        <w:ind w:firstLine="708"/>
        <w:jc w:val="both"/>
      </w:pPr>
    </w:p>
    <w:p w14:paraId="76599B88" w14:textId="23E166E2" w:rsidR="00284CA4" w:rsidRPr="00524366" w:rsidRDefault="00284CA4" w:rsidP="009B6E18">
      <w:pPr>
        <w:pStyle w:val="Nadpis3"/>
        <w:numPr>
          <w:ilvl w:val="2"/>
          <w:numId w:val="3"/>
        </w:numPr>
      </w:pPr>
      <w:bookmarkStart w:id="16" w:name="_Toc523139878"/>
      <w:r w:rsidRPr="00524366">
        <w:t xml:space="preserve">Error in </w:t>
      </w:r>
      <w:r w:rsidR="00802D52" w:rsidRPr="00524366">
        <w:t>virgintate</w:t>
      </w:r>
      <w:bookmarkEnd w:id="16"/>
    </w:p>
    <w:p w14:paraId="55259CD5" w14:textId="77777777" w:rsidR="004A5C97" w:rsidRPr="00524366" w:rsidRDefault="004A5C97" w:rsidP="004A5C97"/>
    <w:p w14:paraId="36AC202C" w14:textId="4C6A9468" w:rsidR="00DE5D0A" w:rsidRPr="00524366" w:rsidRDefault="00744E29" w:rsidP="00BC2C86">
      <w:pPr>
        <w:spacing w:line="360" w:lineRule="auto"/>
        <w:ind w:firstLine="708"/>
        <w:jc w:val="both"/>
      </w:pPr>
      <w:r w:rsidRPr="00524366">
        <w:rPr>
          <w:i/>
        </w:rPr>
        <w:t>„</w:t>
      </w:r>
      <w:r w:rsidR="001873B9" w:rsidRPr="00524366">
        <w:rPr>
          <w:i/>
        </w:rPr>
        <w:t>Domníval-li se kdo, že koupil pannu, když koupil ženu a prodavač věda, že se mýlí, připustil prodej, actio redhi</w:t>
      </w:r>
      <w:r w:rsidR="00182082" w:rsidRPr="00524366">
        <w:rPr>
          <w:i/>
        </w:rPr>
        <w:t xml:space="preserve">bitoria (na </w:t>
      </w:r>
      <w:r w:rsidR="002238DE" w:rsidRPr="00524366">
        <w:rPr>
          <w:i/>
        </w:rPr>
        <w:t>zrušení kupní smlouvy)</w:t>
      </w:r>
      <w:r w:rsidR="001873B9" w:rsidRPr="00524366">
        <w:rPr>
          <w:i/>
        </w:rPr>
        <w:t xml:space="preserve"> nemá v tomto </w:t>
      </w:r>
      <w:r w:rsidR="0008645F" w:rsidRPr="00524366">
        <w:rPr>
          <w:i/>
        </w:rPr>
        <w:t>případě místo, avšak přísluší actio empti</w:t>
      </w:r>
      <w:r w:rsidR="002238DE" w:rsidRPr="00524366">
        <w:rPr>
          <w:i/>
        </w:rPr>
        <w:t xml:space="preserve"> na neplatnost trhové smlouvy</w:t>
      </w:r>
      <w:r w:rsidR="001A2426" w:rsidRPr="00524366">
        <w:rPr>
          <w:i/>
        </w:rPr>
        <w:t xml:space="preserve"> a po vrácení kupní ceny nechť je vydána žena</w:t>
      </w:r>
      <w:r w:rsidR="002238DE" w:rsidRPr="00524366">
        <w:rPr>
          <w:i/>
        </w:rPr>
        <w:t xml:space="preserve"> zpět</w:t>
      </w:r>
      <w:r w:rsidR="001A2426" w:rsidRPr="00524366">
        <w:rPr>
          <w:i/>
        </w:rPr>
        <w:t>.</w:t>
      </w:r>
      <w:r w:rsidRPr="00524366">
        <w:rPr>
          <w:i/>
        </w:rPr>
        <w:t>“</w:t>
      </w:r>
      <w:r w:rsidR="001A2426" w:rsidRPr="00524366">
        <w:rPr>
          <w:rStyle w:val="Znakapoznpodarou"/>
          <w:i/>
        </w:rPr>
        <w:footnoteReference w:id="133"/>
      </w:r>
      <w:r w:rsidR="001A2426" w:rsidRPr="00524366">
        <w:t xml:space="preserve"> </w:t>
      </w:r>
      <w:r w:rsidR="005B1CD2" w:rsidRPr="00524366">
        <w:t>Kupující se se mylně domníval, že kupoval pannu (virgo), ve skutečnosti však koupil ženu (mulier).</w:t>
      </w:r>
      <w:r w:rsidR="008A2CBD" w:rsidRPr="00524366">
        <w:t xml:space="preserve"> V tomto případě se jedná o vymíněnou vlastnost předmětu kupní smlouvy (tedy panenství).</w:t>
      </w:r>
      <w:r w:rsidR="005B1CD2" w:rsidRPr="00524366">
        <w:t xml:space="preserve"> Jedná se o error in qualitate (omyl o vlastnosti předmětu), tedy o error facti (omyl skutkový), </w:t>
      </w:r>
      <w:r w:rsidR="00BC2C86" w:rsidRPr="00524366">
        <w:t xml:space="preserve">který ho neměl poškodit. </w:t>
      </w:r>
      <w:r w:rsidR="002238DE" w:rsidRPr="00524366">
        <w:t xml:space="preserve">Jak praví římsko-právní zásada – </w:t>
      </w:r>
      <w:r w:rsidR="00BC2C86" w:rsidRPr="00524366">
        <w:t>„</w:t>
      </w:r>
      <w:r w:rsidR="00BC2C86" w:rsidRPr="00524366">
        <w:rPr>
          <w:i/>
        </w:rPr>
        <w:t>error facti necdum negotio finito nemini nocet: nam causa decisa velamento tali non instauratur“</w:t>
      </w:r>
      <w:r w:rsidR="00BC2C86" w:rsidRPr="00524366">
        <w:rPr>
          <w:rStyle w:val="Znakapoznpodarou"/>
        </w:rPr>
        <w:footnoteReference w:id="134"/>
      </w:r>
      <w:r w:rsidR="002238DE" w:rsidRPr="00524366">
        <w:rPr>
          <w:i/>
        </w:rPr>
        <w:t xml:space="preserve"> </w:t>
      </w:r>
      <w:r w:rsidR="002238DE" w:rsidRPr="00524366">
        <w:t xml:space="preserve">– </w:t>
      </w:r>
      <w:r w:rsidR="00BC2C86" w:rsidRPr="00524366">
        <w:t>o</w:t>
      </w:r>
      <w:r w:rsidR="004F664B" w:rsidRPr="00524366">
        <w:t xml:space="preserve">myl právní škodí </w:t>
      </w:r>
      <w:r w:rsidR="004C50E9" w:rsidRPr="00524366">
        <w:t>každému, om</w:t>
      </w:r>
      <w:r w:rsidR="00BC2C86" w:rsidRPr="00524366">
        <w:t xml:space="preserve">yl skutkový nikoliv. </w:t>
      </w:r>
      <w:r w:rsidR="002A0288" w:rsidRPr="00524366">
        <w:t xml:space="preserve"> </w:t>
      </w:r>
    </w:p>
    <w:p w14:paraId="3F7851F8" w14:textId="1ECF2B54" w:rsidR="00F11280" w:rsidRPr="00524366" w:rsidRDefault="006C7579" w:rsidP="00DE5D0A">
      <w:pPr>
        <w:spacing w:line="360" w:lineRule="auto"/>
        <w:ind w:firstLine="708"/>
        <w:jc w:val="both"/>
        <w:rPr>
          <w:i/>
        </w:rPr>
      </w:pPr>
      <w:r w:rsidRPr="00524366">
        <w:t>E</w:t>
      </w:r>
      <w:r w:rsidR="0049526E" w:rsidRPr="00524366">
        <w:t>dilská ž</w:t>
      </w:r>
      <w:r w:rsidR="002A0288" w:rsidRPr="00524366">
        <w:t xml:space="preserve">aloba </w:t>
      </w:r>
      <w:r w:rsidR="002A0288" w:rsidRPr="00524366">
        <w:rPr>
          <w:i/>
        </w:rPr>
        <w:t>actio redhibitoria</w:t>
      </w:r>
      <w:r w:rsidR="002D5AF6" w:rsidRPr="00524366">
        <w:rPr>
          <w:rStyle w:val="Znakapoznpodarou"/>
        </w:rPr>
        <w:footnoteReference w:id="135"/>
      </w:r>
      <w:r w:rsidR="002A0288" w:rsidRPr="00524366">
        <w:t xml:space="preserve"> by neměla úspěch, jelikož edictum aedilicium</w:t>
      </w:r>
      <w:r w:rsidR="002D5AF6" w:rsidRPr="00524366">
        <w:rPr>
          <w:rStyle w:val="Znakapoznpodarou"/>
        </w:rPr>
        <w:footnoteReference w:id="136"/>
      </w:r>
      <w:r w:rsidR="002A0288" w:rsidRPr="00524366">
        <w:t xml:space="preserve"> se týkal jen případů, kdy byla prodaná otrokyně nemocná nebo měla nějakou jinou vadu.</w:t>
      </w:r>
      <w:r w:rsidR="00242338" w:rsidRPr="00524366">
        <w:rPr>
          <w:rStyle w:val="Znakapoznpodarou"/>
        </w:rPr>
        <w:footnoteReference w:id="137"/>
      </w:r>
      <w:r w:rsidR="002A0288" w:rsidRPr="00524366">
        <w:t xml:space="preserve"> </w:t>
      </w:r>
      <w:r w:rsidR="005E7CC9" w:rsidRPr="00524366">
        <w:t>Kupující</w:t>
      </w:r>
      <w:r w:rsidR="0063795F" w:rsidRPr="00524366">
        <w:t>mu</w:t>
      </w:r>
      <w:r w:rsidR="005E7CC9" w:rsidRPr="00524366">
        <w:t xml:space="preserve"> </w:t>
      </w:r>
      <w:r w:rsidR="0063795F" w:rsidRPr="00524366">
        <w:t xml:space="preserve">tedy příslušela </w:t>
      </w:r>
      <w:r w:rsidR="0063795F" w:rsidRPr="00524366">
        <w:rPr>
          <w:i/>
        </w:rPr>
        <w:t>actio empti</w:t>
      </w:r>
      <w:r w:rsidR="002D5AF6" w:rsidRPr="00524366">
        <w:rPr>
          <w:rStyle w:val="Znakapoznpodarou"/>
        </w:rPr>
        <w:footnoteReference w:id="138"/>
      </w:r>
      <w:r w:rsidR="0089096B" w:rsidRPr="00524366">
        <w:t xml:space="preserve">, což byla </w:t>
      </w:r>
      <w:r w:rsidR="0089096B" w:rsidRPr="00524366">
        <w:rPr>
          <w:i/>
        </w:rPr>
        <w:t>actio in ius</w:t>
      </w:r>
      <w:r w:rsidR="0089096B" w:rsidRPr="00524366">
        <w:t xml:space="preserve"> a </w:t>
      </w:r>
      <w:r w:rsidR="0089096B" w:rsidRPr="00524366">
        <w:rPr>
          <w:i/>
        </w:rPr>
        <w:t>bonae fidei</w:t>
      </w:r>
      <w:r w:rsidR="0089096B" w:rsidRPr="00524366">
        <w:t xml:space="preserve"> – prodávající </w:t>
      </w:r>
      <w:r w:rsidR="00602F9D" w:rsidRPr="00524366">
        <w:t xml:space="preserve">porušil dobrou víru tím, že </w:t>
      </w:r>
      <w:r w:rsidR="0089096B" w:rsidRPr="00524366">
        <w:t xml:space="preserve">vědomě udržoval kupujícího v omylu. </w:t>
      </w:r>
      <w:r w:rsidR="00AD7673" w:rsidRPr="00524366">
        <w:t>Konečné vypořádání je tedy takové, že kupující vrátí otrokyni a prodávající zase vrátí kupní cenu.</w:t>
      </w:r>
      <w:r w:rsidR="00182082" w:rsidRPr="00524366">
        <w:t xml:space="preserve"> </w:t>
      </w:r>
      <w:r w:rsidR="00FD53F2" w:rsidRPr="00524366">
        <w:t xml:space="preserve">Nutno podotknout, že </w:t>
      </w:r>
      <w:r w:rsidR="00FD53F2" w:rsidRPr="00524366">
        <w:rPr>
          <w:i/>
        </w:rPr>
        <w:t>actio redhibitoria</w:t>
      </w:r>
      <w:r w:rsidR="00FD53F2" w:rsidRPr="00524366">
        <w:t xml:space="preserve"> není jediná možnost řešení vady, existuje také žaloba na snížení ceny</w:t>
      </w:r>
      <w:r w:rsidR="00F029B8" w:rsidRPr="00524366">
        <w:t xml:space="preserve"> (na poměrnou slevu)</w:t>
      </w:r>
      <w:r w:rsidR="00FD53F2" w:rsidRPr="00524366">
        <w:t xml:space="preserve">, a to </w:t>
      </w:r>
      <w:r w:rsidR="00FD53F2" w:rsidRPr="00524366">
        <w:rPr>
          <w:i/>
        </w:rPr>
        <w:t>actio quanti minoris (</w:t>
      </w:r>
      <w:r w:rsidR="00F029B8" w:rsidRPr="00524366">
        <w:t xml:space="preserve">syn. </w:t>
      </w:r>
      <w:r w:rsidR="00042D94" w:rsidRPr="00524366">
        <w:rPr>
          <w:i/>
        </w:rPr>
        <w:t>actio estimatoria).</w:t>
      </w:r>
      <w:r w:rsidR="00042D94" w:rsidRPr="00524366">
        <w:t xml:space="preserve"> Touto žalobou se mohl kupec, do roka od uzavření trhové smlouvy, domáhat na pr</w:t>
      </w:r>
      <w:r w:rsidR="0024127E" w:rsidRPr="00524366">
        <w:t xml:space="preserve">odávajícím (který ho obelstil) </w:t>
      </w:r>
      <w:r w:rsidR="00042D94" w:rsidRPr="00524366">
        <w:t>srážky z kupní ceny pro skrytou vadu</w:t>
      </w:r>
      <w:r w:rsidR="0024127E" w:rsidRPr="00524366">
        <w:t>, jež se objevila dodatečně.</w:t>
      </w:r>
      <w:r w:rsidR="0024127E" w:rsidRPr="00524366">
        <w:rPr>
          <w:rStyle w:val="Znakapoznpodarou"/>
        </w:rPr>
        <w:footnoteReference w:id="139"/>
      </w:r>
      <w:r w:rsidR="0024127E" w:rsidRPr="00524366">
        <w:t xml:space="preserve"> </w:t>
      </w:r>
      <w:r w:rsidR="00042D94" w:rsidRPr="00524366">
        <w:rPr>
          <w:i/>
        </w:rPr>
        <w:t xml:space="preserve"> </w:t>
      </w:r>
    </w:p>
    <w:p w14:paraId="2020A0FB" w14:textId="77777777" w:rsidR="00B67B47" w:rsidRPr="00524366" w:rsidRDefault="00B67B47" w:rsidP="008E5FCF">
      <w:pPr>
        <w:spacing w:line="360" w:lineRule="auto"/>
        <w:ind w:firstLine="708"/>
        <w:jc w:val="both"/>
      </w:pPr>
    </w:p>
    <w:p w14:paraId="64E258F7" w14:textId="1F3866C6" w:rsidR="00B67B47" w:rsidRPr="00524366" w:rsidRDefault="00B67B47" w:rsidP="009B6E18">
      <w:pPr>
        <w:pStyle w:val="Nadpis3"/>
        <w:numPr>
          <w:ilvl w:val="1"/>
          <w:numId w:val="3"/>
        </w:numPr>
        <w:rPr>
          <w:sz w:val="28"/>
        </w:rPr>
      </w:pPr>
      <w:bookmarkStart w:id="17" w:name="_Toc523139879"/>
      <w:r w:rsidRPr="00524366">
        <w:rPr>
          <w:sz w:val="28"/>
        </w:rPr>
        <w:lastRenderedPageBreak/>
        <w:t>Error in sexu</w:t>
      </w:r>
      <w:bookmarkEnd w:id="17"/>
    </w:p>
    <w:p w14:paraId="30F6E610" w14:textId="4318FC3E" w:rsidR="00B67B47" w:rsidRPr="00524366" w:rsidRDefault="00B67B47" w:rsidP="008E5FCF">
      <w:pPr>
        <w:spacing w:line="360" w:lineRule="auto"/>
        <w:ind w:firstLine="708"/>
        <w:jc w:val="both"/>
      </w:pPr>
      <w:r w:rsidRPr="00524366">
        <w:t xml:space="preserve"> </w:t>
      </w:r>
    </w:p>
    <w:p w14:paraId="05ED5E81" w14:textId="7ED2F3B8" w:rsidR="00F11280" w:rsidRPr="00524366" w:rsidRDefault="00764171" w:rsidP="008E5FCF">
      <w:pPr>
        <w:spacing w:line="360" w:lineRule="auto"/>
        <w:ind w:firstLine="708"/>
        <w:jc w:val="both"/>
      </w:pPr>
      <w:r w:rsidRPr="00524366">
        <w:t xml:space="preserve">Omyl týkající se pohlaví je neplatný: </w:t>
      </w:r>
      <w:r w:rsidR="00F11280" w:rsidRPr="00524366">
        <w:rPr>
          <w:i/>
        </w:rPr>
        <w:t>„Pokud si myslím, že kupuji pannu a ve skutečnosti tato žena není panna, prodej bude platný, protože se zde nejedná o</w:t>
      </w:r>
      <w:r w:rsidR="00A311CD" w:rsidRPr="00524366">
        <w:rPr>
          <w:i/>
        </w:rPr>
        <w:t xml:space="preserve"> omyl v jejím pohlaví. Nicméně</w:t>
      </w:r>
      <w:r w:rsidR="00F11280" w:rsidRPr="00524366">
        <w:rPr>
          <w:i/>
        </w:rPr>
        <w:t xml:space="preserve"> pokud bych ti měl prodat ženu a ty sis myslel, že kupuješ hocha, tak právě z důvodu omylu v pohlaví prodej bude neplatný.“</w:t>
      </w:r>
      <w:r w:rsidR="00F11280" w:rsidRPr="00524366">
        <w:rPr>
          <w:rStyle w:val="Znakapoznpodarou"/>
          <w:i/>
        </w:rPr>
        <w:footnoteReference w:id="140"/>
      </w:r>
      <w:r w:rsidR="00BC2C86" w:rsidRPr="00524366">
        <w:rPr>
          <w:i/>
        </w:rPr>
        <w:t xml:space="preserve"> </w:t>
      </w:r>
      <w:r w:rsidR="006277AC" w:rsidRPr="00524366">
        <w:t xml:space="preserve">Zde se ukazuje, že bylo velmi problematické rozlišovat, kdy </w:t>
      </w:r>
      <w:r w:rsidR="008E5FCF" w:rsidRPr="00524366">
        <w:t>šlo</w:t>
      </w:r>
      <w:r w:rsidR="006277AC" w:rsidRPr="00524366">
        <w:t xml:space="preserve"> o otázku </w:t>
      </w:r>
      <w:r w:rsidR="008E5FCF" w:rsidRPr="00524366">
        <w:t xml:space="preserve">týkající se </w:t>
      </w:r>
      <w:r w:rsidR="006277AC" w:rsidRPr="00524366">
        <w:t>materie a kdy</w:t>
      </w:r>
      <w:r w:rsidR="00B67B47" w:rsidRPr="00524366">
        <w:t xml:space="preserve"> šlo</w:t>
      </w:r>
      <w:r w:rsidR="006277AC" w:rsidRPr="00524366">
        <w:t xml:space="preserve"> o otázku</w:t>
      </w:r>
      <w:r w:rsidR="008E5FCF" w:rsidRPr="00524366">
        <w:t xml:space="preserve"> týkají se </w:t>
      </w:r>
      <w:r w:rsidR="006277AC" w:rsidRPr="00524366">
        <w:t>předmětu koupě</w:t>
      </w:r>
      <w:r w:rsidR="008E5FCF" w:rsidRPr="00524366">
        <w:t xml:space="preserve">. Domnívám se, že především z toho důvodu, aby se nevedly spory o to, zda se jedná o error in materia či error in corpore, římští právníci vytvořili samostatnou kategorii error in sexu, kdy je takový omyl neplatný. </w:t>
      </w:r>
    </w:p>
    <w:p w14:paraId="6FE20794" w14:textId="77777777" w:rsidR="00941288" w:rsidRPr="00524366" w:rsidRDefault="00941288" w:rsidP="00941288">
      <w:pPr>
        <w:spacing w:line="360" w:lineRule="auto"/>
        <w:jc w:val="both"/>
      </w:pPr>
    </w:p>
    <w:p w14:paraId="748905B7" w14:textId="1E7195EB" w:rsidR="009C60D8" w:rsidRPr="00524366" w:rsidRDefault="003B54A1" w:rsidP="009B6E18">
      <w:pPr>
        <w:pStyle w:val="Nadpis3"/>
        <w:numPr>
          <w:ilvl w:val="1"/>
          <w:numId w:val="12"/>
        </w:numPr>
      </w:pPr>
      <w:r w:rsidRPr="00524366">
        <w:br w:type="page"/>
      </w:r>
    </w:p>
    <w:p w14:paraId="2F9C2FB7" w14:textId="1A5C142F" w:rsidR="000E76B2" w:rsidRPr="00524366" w:rsidRDefault="00200F39" w:rsidP="009B6E18">
      <w:pPr>
        <w:pStyle w:val="Nadpis1"/>
        <w:numPr>
          <w:ilvl w:val="0"/>
          <w:numId w:val="12"/>
        </w:numPr>
      </w:pPr>
      <w:bookmarkStart w:id="18" w:name="_Toc523139880"/>
      <w:r w:rsidRPr="00524366">
        <w:lastRenderedPageBreak/>
        <w:t>O</w:t>
      </w:r>
      <w:r w:rsidR="008C14DD" w:rsidRPr="00524366">
        <w:t>draz justiniánského pojímání omylu v moderní právní úpravě</w:t>
      </w:r>
      <w:bookmarkEnd w:id="18"/>
      <w:r w:rsidR="008C14DD" w:rsidRPr="00524366">
        <w:t xml:space="preserve"> </w:t>
      </w:r>
    </w:p>
    <w:p w14:paraId="568C7912" w14:textId="69EC5A30" w:rsidR="00B96BEB" w:rsidRPr="00524366" w:rsidRDefault="00B96BEB" w:rsidP="00B96BEB">
      <w:pPr>
        <w:spacing w:line="360" w:lineRule="auto"/>
        <w:ind w:firstLine="708"/>
        <w:jc w:val="both"/>
      </w:pPr>
      <w:r w:rsidRPr="00524366">
        <w:t>Na úvod této k</w:t>
      </w:r>
      <w:r w:rsidR="007D7441" w:rsidRPr="00524366">
        <w:t>apitoly se mi jako vhodné jeví v pár řádcích</w:t>
      </w:r>
      <w:r w:rsidRPr="00524366">
        <w:t xml:space="preserve"> shrnout osud římského práva. Dobytím Západořímské říše barbarskými kmeny došlo v roce 476 n.l. k jejímu zániku, římské právo však nezaniklo. Barbarské kmeny se řídily svým právem, římské obyvatelstvo žijící na území dnešní Itálie, Francie a Španělska se řídilo také práve</w:t>
      </w:r>
      <w:r w:rsidR="007D7441" w:rsidRPr="00524366">
        <w:t>m svým, a to římským. R</w:t>
      </w:r>
      <w:r w:rsidRPr="00524366">
        <w:t>ecepce římského práva</w:t>
      </w:r>
      <w:r w:rsidRPr="00524366">
        <w:rPr>
          <w:rStyle w:val="Znakapoznpodarou"/>
        </w:rPr>
        <w:footnoteReference w:id="141"/>
      </w:r>
      <w:r w:rsidRPr="00524366">
        <w:t xml:space="preserve"> v českých zemí nastává až v 16. století a je spojena s prvními pokusy o kodifikaci městských práv, první pokus vychází z brněnské právní knihy písaře Jana.</w:t>
      </w:r>
      <w:r w:rsidRPr="00524366">
        <w:rPr>
          <w:rStyle w:val="Znakapoznpodarou"/>
        </w:rPr>
        <w:footnoteReference w:id="142"/>
      </w:r>
      <w:r w:rsidRPr="00524366">
        <w:t xml:space="preserve"> Městský zákoník Mistra Pavla Kristiána z Koldína z roku 1579, ovlivněný soudobou římskoprávní literaturou, představuje dovršení procesu recepce římského práva do práv městských.</w:t>
      </w:r>
      <w:r w:rsidRPr="00524366">
        <w:rPr>
          <w:rStyle w:val="Znakapoznpodarou"/>
        </w:rPr>
        <w:footnoteReference w:id="143"/>
      </w:r>
      <w:r w:rsidRPr="00524366">
        <w:t xml:space="preserve"> Římskoprávní vliv zachycuje i </w:t>
      </w:r>
      <w:r w:rsidR="007D7441" w:rsidRPr="00524366">
        <w:t xml:space="preserve">významný právní dokument – </w:t>
      </w:r>
      <w:r w:rsidRPr="00524366">
        <w:t>Obnovené zřízení zemské z roku 1627.</w:t>
      </w:r>
      <w:r w:rsidR="003C10CC" w:rsidRPr="00524366">
        <w:rPr>
          <w:rStyle w:val="Znakapoznpodarou"/>
        </w:rPr>
        <w:footnoteReference w:id="144"/>
      </w:r>
      <w:r w:rsidRPr="00524366">
        <w:t xml:space="preserve"> </w:t>
      </w:r>
    </w:p>
    <w:p w14:paraId="6BCDB722" w14:textId="45FA6747" w:rsidR="000E76B2" w:rsidRPr="00524366" w:rsidRDefault="00F84482" w:rsidP="00DE278E">
      <w:pPr>
        <w:spacing w:line="360" w:lineRule="auto"/>
        <w:ind w:firstLine="708"/>
        <w:jc w:val="both"/>
      </w:pPr>
      <w:r w:rsidRPr="00524366">
        <w:t>Jako celek u nás s</w:t>
      </w:r>
      <w:r w:rsidR="004B5567" w:rsidRPr="00524366">
        <w:t xml:space="preserve">oukromé právo </w:t>
      </w:r>
      <w:r w:rsidRPr="00524366">
        <w:t>nebylo</w:t>
      </w:r>
      <w:r w:rsidR="004B5567" w:rsidRPr="00524366">
        <w:t xml:space="preserve"> dlouho</w:t>
      </w:r>
      <w:r w:rsidRPr="00524366">
        <w:t xml:space="preserve"> kodifikováno,</w:t>
      </w:r>
      <w:r w:rsidR="00DE278E" w:rsidRPr="00524366">
        <w:t xml:space="preserve"> práce na jeho kodifikaci byly zahájeny až při formování nového státu v 18. stol, kdy se o to pokusila Marie Terezie. Tento první poku</w:t>
      </w:r>
      <w:r w:rsidR="003C10CC" w:rsidRPr="00524366">
        <w:t>s o kodifikaci soukromého práva</w:t>
      </w:r>
      <w:r w:rsidR="00DE278E" w:rsidRPr="00524366">
        <w:t xml:space="preserve"> označovaný jako Codex Theresianus</w:t>
      </w:r>
      <w:r w:rsidR="0002161B" w:rsidRPr="00524366">
        <w:t xml:space="preserve"> (z roku 1766)</w:t>
      </w:r>
      <w:r w:rsidR="00DE278E" w:rsidRPr="00524366">
        <w:t xml:space="preserve"> se však nesetkal s úspěchem a prvním platný občanský zákoník na našem území byl přij</w:t>
      </w:r>
      <w:r w:rsidR="003C10CC" w:rsidRPr="00524366">
        <w:t xml:space="preserve">at až za Josefa </w:t>
      </w:r>
      <w:r w:rsidR="00DE278E" w:rsidRPr="00524366">
        <w:t>II. (tzv. josefinský občanský zákoník</w:t>
      </w:r>
      <w:r w:rsidR="00F07E04" w:rsidRPr="00524366">
        <w:t xml:space="preserve"> – ten však obsahoval </w:t>
      </w:r>
      <w:r w:rsidRPr="00524366">
        <w:t>jen obecnou část a rodinné právo).</w:t>
      </w:r>
      <w:r w:rsidR="00DE278E" w:rsidRPr="00524366">
        <w:t xml:space="preserve"> </w:t>
      </w:r>
    </w:p>
    <w:p w14:paraId="67757BCE" w14:textId="364D89BB" w:rsidR="00F84482" w:rsidRPr="00524366" w:rsidRDefault="00F07E04" w:rsidP="003C10CC">
      <w:pPr>
        <w:spacing w:line="360" w:lineRule="auto"/>
        <w:ind w:firstLine="708"/>
        <w:jc w:val="both"/>
      </w:pPr>
      <w:r w:rsidRPr="00524366">
        <w:t xml:space="preserve">Teprve na počátku 19. stol. bylo obecné právo občanské kodifikováno v podobě </w:t>
      </w:r>
      <w:r w:rsidR="00F84482" w:rsidRPr="00524366">
        <w:t xml:space="preserve">ABGB. Nutno podotknout, že </w:t>
      </w:r>
      <w:r w:rsidR="00EE696A" w:rsidRPr="00524366">
        <w:t>již  CT</w:t>
      </w:r>
      <w:r w:rsidR="0002161B" w:rsidRPr="00524366">
        <w:t xml:space="preserve"> obsahoval právní úpravu omylu</w:t>
      </w:r>
      <w:r w:rsidR="00EE696A" w:rsidRPr="00524366">
        <w:t xml:space="preserve">: </w:t>
      </w:r>
      <w:r w:rsidR="00EE696A" w:rsidRPr="00524366">
        <w:rPr>
          <w:i/>
        </w:rPr>
        <w:t>„Někdy vyjímečně, na rozdíl od ostatních, není dobré, aby pro neznalost zákonů, pro omyl v právu aniž by došlo k porušení zákona pro rozpor se spravedlnosti, aby jeden své ztratil, a aby jiný, aniž by na to právo měl, by tím byl obohacen.“</w:t>
      </w:r>
      <w:r w:rsidR="00EE696A" w:rsidRPr="00524366">
        <w:rPr>
          <w:rStyle w:val="Znakapoznpodarou"/>
          <w:i/>
        </w:rPr>
        <w:footnoteReference w:id="145"/>
      </w:r>
      <w:r w:rsidR="00EE696A" w:rsidRPr="00524366">
        <w:t xml:space="preserve"> Tato úprava se od úpravy omylu v ABGB obsahově téměř nelišila, CT byl však spíše učebnicí.  </w:t>
      </w:r>
      <w:r w:rsidR="0002161B" w:rsidRPr="00524366">
        <w:t xml:space="preserve"> </w:t>
      </w:r>
    </w:p>
    <w:p w14:paraId="0248F90D" w14:textId="77777777" w:rsidR="00B96BEB" w:rsidRPr="00524366" w:rsidRDefault="00B96BEB" w:rsidP="00B96BEB">
      <w:pPr>
        <w:spacing w:line="360" w:lineRule="auto"/>
        <w:jc w:val="both"/>
      </w:pPr>
    </w:p>
    <w:p w14:paraId="04160A82" w14:textId="38B21D96" w:rsidR="00BA2B1C" w:rsidRPr="00524366" w:rsidRDefault="00BA2B1C" w:rsidP="009B6E18">
      <w:pPr>
        <w:pStyle w:val="Nadpis2"/>
        <w:numPr>
          <w:ilvl w:val="1"/>
          <w:numId w:val="16"/>
        </w:numPr>
      </w:pPr>
      <w:bookmarkStart w:id="19" w:name="_Toc523139881"/>
      <w:r w:rsidRPr="00524366">
        <w:t xml:space="preserve">Obecný zákoník občanský </w:t>
      </w:r>
      <w:r w:rsidR="007D0DF9" w:rsidRPr="00524366">
        <w:t>(ABGB)</w:t>
      </w:r>
      <w:bookmarkEnd w:id="19"/>
      <w:r w:rsidR="00197560" w:rsidRPr="00524366">
        <w:t xml:space="preserve"> </w:t>
      </w:r>
    </w:p>
    <w:p w14:paraId="4DBA309F" w14:textId="6E3643E6" w:rsidR="00517DC6" w:rsidRPr="00524366" w:rsidRDefault="00517DC6" w:rsidP="00517DC6"/>
    <w:p w14:paraId="3D1A0539" w14:textId="013D404D" w:rsidR="00BA2B1C" w:rsidRPr="00524366" w:rsidRDefault="00BA2B1C" w:rsidP="00DB0052">
      <w:pPr>
        <w:spacing w:line="360" w:lineRule="auto"/>
        <w:ind w:firstLine="708"/>
        <w:jc w:val="both"/>
      </w:pPr>
      <w:r w:rsidRPr="00524366">
        <w:t xml:space="preserve">Dne 1. června 1811 vstoupil v platnost a 1. </w:t>
      </w:r>
      <w:r w:rsidR="00D2742A" w:rsidRPr="00524366">
        <w:t xml:space="preserve">ledna 1812 v účinnost zákon </w:t>
      </w:r>
      <w:r w:rsidRPr="00524366">
        <w:t>č. 946/18</w:t>
      </w:r>
      <w:r w:rsidR="00DB0052" w:rsidRPr="00524366">
        <w:t>11 Sb., obecný zákoník občans</w:t>
      </w:r>
      <w:r w:rsidR="00DB3B12" w:rsidRPr="00524366">
        <w:t xml:space="preserve">ký, který představoval vůbec první </w:t>
      </w:r>
      <w:r w:rsidR="005C48AB" w:rsidRPr="00524366">
        <w:t>kodifikaci soukromého práva v českém právn</w:t>
      </w:r>
      <w:r w:rsidR="00E752E6" w:rsidRPr="00524366">
        <w:t>ím prostředí (v rámci tehdejší h</w:t>
      </w:r>
      <w:r w:rsidR="005C48AB" w:rsidRPr="00524366">
        <w:t xml:space="preserve">absburské monarchie). </w:t>
      </w:r>
      <w:r w:rsidR="007A1A0A" w:rsidRPr="00524366">
        <w:t xml:space="preserve">OZO byl inspirován římským právem </w:t>
      </w:r>
      <w:r w:rsidR="007A1A0A" w:rsidRPr="00524366">
        <w:lastRenderedPageBreak/>
        <w:t xml:space="preserve">a vycházel z jeho tradic. </w:t>
      </w:r>
      <w:r w:rsidR="00517DC6" w:rsidRPr="00524366">
        <w:t xml:space="preserve">OZO obsahoval první relevantní úpravu omylu v právním </w:t>
      </w:r>
      <w:r w:rsidR="00575614" w:rsidRPr="00524366">
        <w:t xml:space="preserve">jednání v §§ 870 – 875. </w:t>
      </w:r>
    </w:p>
    <w:p w14:paraId="6EB7D2BD" w14:textId="365BC89D" w:rsidR="00A65A7B" w:rsidRPr="00524366" w:rsidRDefault="00CA1B9B" w:rsidP="00FF0E23">
      <w:pPr>
        <w:spacing w:line="360" w:lineRule="auto"/>
        <w:ind w:firstLine="708"/>
        <w:jc w:val="both"/>
      </w:pPr>
      <w:r w:rsidRPr="00524366">
        <w:t xml:space="preserve">V </w:t>
      </w:r>
      <w:r w:rsidR="004B6B4D" w:rsidRPr="00524366">
        <w:t xml:space="preserve">§ 870 </w:t>
      </w:r>
      <w:r w:rsidR="00E0042A" w:rsidRPr="00524366">
        <w:t xml:space="preserve">je upraven omyl vyvolaný lstí </w:t>
      </w:r>
      <w:r w:rsidR="00E0042A" w:rsidRPr="00524366">
        <w:rPr>
          <w:i/>
        </w:rPr>
        <w:t>„Kdo byl druhou stranou přiveden ke smlouvě lstí nebo nespravedlivou a důvodnou bázní (§ 55), není povinen ji dodržeti“.</w:t>
      </w:r>
      <w:r w:rsidR="00B95025" w:rsidRPr="00524366">
        <w:t xml:space="preserve"> </w:t>
      </w:r>
      <w:r w:rsidR="00FF0E23" w:rsidRPr="00524366">
        <w:t>Smlouva obsahující uvedené</w:t>
      </w:r>
      <w:r w:rsidR="001472AE" w:rsidRPr="00524366">
        <w:t xml:space="preserve"> jednání </w:t>
      </w:r>
      <w:r w:rsidR="00277AC5" w:rsidRPr="00524366">
        <w:t xml:space="preserve">zakládala relativní neplatnost a dle </w:t>
      </w:r>
      <w:r w:rsidR="00FD6D4A" w:rsidRPr="00524366">
        <w:t xml:space="preserve">§ </w:t>
      </w:r>
      <w:r w:rsidR="00BF761A" w:rsidRPr="00524366">
        <w:t>874</w:t>
      </w:r>
      <w:r w:rsidR="00277AC5" w:rsidRPr="00524366">
        <w:t xml:space="preserve"> právo na náhradu škody. </w:t>
      </w:r>
    </w:p>
    <w:p w14:paraId="4473817E" w14:textId="1ED317C1" w:rsidR="004B6B4D" w:rsidRPr="00524366" w:rsidRDefault="00FD5C4D" w:rsidP="00FF0E23">
      <w:pPr>
        <w:spacing w:line="360" w:lineRule="auto"/>
        <w:ind w:firstLine="708"/>
        <w:jc w:val="both"/>
      </w:pPr>
      <w:r w:rsidRPr="00524366">
        <w:t xml:space="preserve">§ 871 hovoří o omylu hlavním. </w:t>
      </w:r>
      <w:r w:rsidRPr="00524366">
        <w:rPr>
          <w:i/>
        </w:rPr>
        <w:t>„Týká-li se omyl podstatných náležitostí smlouvy, a to takových, bez nichž by smlouva nestala se skutkem, pravíme, že jde o omyl hlavní.“</w:t>
      </w:r>
      <w:r w:rsidRPr="00524366">
        <w:rPr>
          <w:rStyle w:val="Znakapoznpodarou"/>
          <w:i/>
        </w:rPr>
        <w:footnoteReference w:id="146"/>
      </w:r>
      <w:r w:rsidR="004D60A0" w:rsidRPr="00524366">
        <w:t xml:space="preserve"> Zákon</w:t>
      </w:r>
      <w:r w:rsidR="008A4BD3" w:rsidRPr="00524366">
        <w:t xml:space="preserve"> v § 871</w:t>
      </w:r>
      <w:r w:rsidR="004D60A0" w:rsidRPr="00524366">
        <w:t xml:space="preserve"> </w:t>
      </w:r>
      <w:r w:rsidR="00643A6F" w:rsidRPr="00524366">
        <w:t>uvádí, že podstatný omyl</w:t>
      </w:r>
      <w:r w:rsidR="008A4BD3" w:rsidRPr="00524366">
        <w:t xml:space="preserve"> je omyl, který se týká</w:t>
      </w:r>
      <w:r w:rsidR="00643A6F" w:rsidRPr="00524366">
        <w:t>: „</w:t>
      </w:r>
      <w:r w:rsidR="008A4BD3" w:rsidRPr="00524366">
        <w:rPr>
          <w:i/>
        </w:rPr>
        <w:t xml:space="preserve">hlavní věci nebo podstatné její vlastnosti, ke které úmysl se podstatně nesl a byl projeven.“ </w:t>
      </w:r>
      <w:r w:rsidR="000B7F1B" w:rsidRPr="00524366">
        <w:t xml:space="preserve"> J.</w:t>
      </w:r>
      <w:r w:rsidR="003C10CC" w:rsidRPr="00524366">
        <w:t xml:space="preserve"> Sedláček komentuje</w:t>
      </w:r>
      <w:r w:rsidR="00CA1B9B" w:rsidRPr="00524366">
        <w:t xml:space="preserve">: </w:t>
      </w:r>
      <w:r w:rsidR="00CA1B9B" w:rsidRPr="00524366">
        <w:rPr>
          <w:i/>
        </w:rPr>
        <w:t>„Věcí hlavní rozuměti jest minimální obsah smlouvy, tj. na čem strany se musí dohodnouti, aby smlouva stala se vůbec skutkem. Takový minimální obsah smlouvy máme určen jednak u jednotlivých typů smluvních, jednak nám ho určují zvyklosti poctivého obchodu.“</w:t>
      </w:r>
      <w:r w:rsidR="00CA1B9B" w:rsidRPr="00524366">
        <w:rPr>
          <w:rStyle w:val="Znakapoznpodarou"/>
          <w:i/>
        </w:rPr>
        <w:footnoteReference w:id="147"/>
      </w:r>
      <w:r w:rsidR="00CA1B9B" w:rsidRPr="00524366">
        <w:t xml:space="preserve"> </w:t>
      </w:r>
    </w:p>
    <w:p w14:paraId="6BAC44C9" w14:textId="5F79B7A6" w:rsidR="000F2190" w:rsidRPr="00524366" w:rsidRDefault="003C799C" w:rsidP="00032F4C">
      <w:pPr>
        <w:spacing w:line="360" w:lineRule="auto"/>
        <w:ind w:firstLine="708"/>
        <w:jc w:val="both"/>
      </w:pPr>
      <w:r w:rsidRPr="00524366">
        <w:t>§ 872</w:t>
      </w:r>
      <w:r w:rsidR="00F50036" w:rsidRPr="00524366">
        <w:t xml:space="preserve"> hovoří o omylu vedlejším</w:t>
      </w:r>
      <w:r w:rsidR="000F2190" w:rsidRPr="00524366">
        <w:t xml:space="preserve">: </w:t>
      </w:r>
      <w:r w:rsidR="000F2190" w:rsidRPr="00524366">
        <w:rPr>
          <w:i/>
        </w:rPr>
        <w:t xml:space="preserve">„Netýká-li se však omyl ani hlavní věci, ani podstatné její vlastnosti, nýbrž okolnosti vedlejší; zůstává smlouva vždy ještě platnou, pokud obě strany se dohodly o hlavní věci a vedlejší okolnost neprohlásily za rozhodnou; osobě uvedené v omyl budiž však původcem omylu dána přiměřená náhrada.“ </w:t>
      </w:r>
      <w:r w:rsidR="003C10CC" w:rsidRPr="00524366">
        <w:t>B</w:t>
      </w:r>
      <w:r w:rsidR="00032F4C" w:rsidRPr="00524366">
        <w:t xml:space="preserve">yl inspirací pro ustanovení § 584 odst. 1 NOZ: </w:t>
      </w:r>
      <w:r w:rsidR="00032F4C" w:rsidRPr="00524366">
        <w:rPr>
          <w:i/>
        </w:rPr>
        <w:t>„Týká-li se omyl vedlejší okolnosti, kterou ani strany neprohlásily za rozhodující, je právní jednání platné, ale osoba uvedená v omyl má vůči původci omylu právo na přiměřenou náhradu.“</w:t>
      </w:r>
      <w:r w:rsidR="00013E37" w:rsidRPr="00524366">
        <w:rPr>
          <w:i/>
        </w:rPr>
        <w:t xml:space="preserve"> </w:t>
      </w:r>
      <w:r w:rsidR="008533EC" w:rsidRPr="00524366">
        <w:t xml:space="preserve"> </w:t>
      </w:r>
      <w:r w:rsidR="00F50036" w:rsidRPr="00524366">
        <w:t xml:space="preserve">Vedlejší omyl zakládá nárok na přiměřenou náhradu. </w:t>
      </w:r>
    </w:p>
    <w:p w14:paraId="2C67806A" w14:textId="55107EAD" w:rsidR="005F466E" w:rsidRPr="00524366" w:rsidRDefault="00126E14" w:rsidP="00032F4C">
      <w:pPr>
        <w:spacing w:line="360" w:lineRule="auto"/>
        <w:ind w:firstLine="708"/>
        <w:jc w:val="both"/>
      </w:pPr>
      <w:r w:rsidRPr="00524366">
        <w:t xml:space="preserve">§ 875 se týkal omylu způsobeného třetí osobou, který byl inspirací pro § 585 NOZ. </w:t>
      </w:r>
      <w:r w:rsidR="000866FC" w:rsidRPr="00524366">
        <w:t xml:space="preserve">Omyl vyvolaný třetí osobou byl dle § 875 OZO právně relevantní jen tehdy, jestliže druhá strana o něm věděla nebo musela vědět </w:t>
      </w:r>
      <w:r w:rsidR="00431C39" w:rsidRPr="00524366">
        <w:t>anebo na něm měla účast.</w:t>
      </w:r>
    </w:p>
    <w:p w14:paraId="6962AFD0" w14:textId="5BA5F2DC" w:rsidR="00DF320A" w:rsidRPr="00524366" w:rsidRDefault="0059451A" w:rsidP="00C4327D">
      <w:pPr>
        <w:spacing w:line="360" w:lineRule="auto"/>
        <w:ind w:firstLine="708"/>
        <w:jc w:val="both"/>
      </w:pPr>
      <w:r w:rsidRPr="00524366">
        <w:t>Velk</w:t>
      </w:r>
      <w:r w:rsidR="00F760D1" w:rsidRPr="00524366">
        <w:t>ý význ</w:t>
      </w:r>
      <w:r w:rsidR="00A16CE8" w:rsidRPr="00524366">
        <w:t>am má i § 901, který vyslovuje zásadu, že právně relevantní je pouze obsah smlouvy a tedy vše, co netvoří obsah smlouvy</w:t>
      </w:r>
      <w:r w:rsidR="003C10CC" w:rsidRPr="00524366">
        <w:t>,</w:t>
      </w:r>
      <w:r w:rsidR="00A16CE8" w:rsidRPr="00524366">
        <w:t xml:space="preserve"> právní relevanci nemá</w:t>
      </w:r>
      <w:r w:rsidR="00EF0AC6" w:rsidRPr="00524366">
        <w:t>.</w:t>
      </w:r>
      <w:r w:rsidR="00EF0AC6" w:rsidRPr="00524366">
        <w:rPr>
          <w:rStyle w:val="Znakapoznpodarou"/>
        </w:rPr>
        <w:footnoteReference w:id="148"/>
      </w:r>
      <w:r w:rsidR="00D75163" w:rsidRPr="00524366">
        <w:t xml:space="preserve"> Jak uvádí J.</w:t>
      </w:r>
      <w:r w:rsidR="008C154F" w:rsidRPr="00524366">
        <w:t xml:space="preserve"> Sedláček: </w:t>
      </w:r>
      <w:r w:rsidR="008C154F" w:rsidRPr="00524366">
        <w:rPr>
          <w:i/>
        </w:rPr>
        <w:t>„Je-li pohnutka součástí smlouvy, je omyl v pohnutce omyl v obsahu smlouvy a proto je omyl tento právně relevantní.“</w:t>
      </w:r>
      <w:r w:rsidR="008C154F" w:rsidRPr="00524366">
        <w:rPr>
          <w:rStyle w:val="Znakapoznpodarou"/>
          <w:i/>
        </w:rPr>
        <w:footnoteReference w:id="149"/>
      </w:r>
      <w:r w:rsidR="008C154F" w:rsidRPr="00524366">
        <w:t xml:space="preserve"> (to se však týká pouze úplatných smluv). </w:t>
      </w:r>
      <w:r w:rsidR="003C10CC" w:rsidRPr="00524366">
        <w:t>V § 570 – 572 najdeme zvláštní úpravu</w:t>
      </w:r>
      <w:r w:rsidR="00507886" w:rsidRPr="00524366">
        <w:t xml:space="preserve"> omylu týkající</w:t>
      </w:r>
      <w:r w:rsidR="003C10CC" w:rsidRPr="00524366">
        <w:t>ho</w:t>
      </w:r>
      <w:r w:rsidR="00507886" w:rsidRPr="00524366">
        <w:t xml:space="preserve"> s</w:t>
      </w:r>
      <w:r w:rsidR="000B7F1B" w:rsidRPr="00524366">
        <w:t xml:space="preserve">e posledních pořízení. </w:t>
      </w:r>
    </w:p>
    <w:p w14:paraId="32D7B67B" w14:textId="77777777" w:rsidR="00517DC6" w:rsidRPr="00524366" w:rsidRDefault="00517DC6" w:rsidP="00DB0052">
      <w:pPr>
        <w:spacing w:line="360" w:lineRule="auto"/>
        <w:ind w:firstLine="708"/>
        <w:jc w:val="both"/>
      </w:pPr>
    </w:p>
    <w:p w14:paraId="13C1E044" w14:textId="511A3EC7" w:rsidR="00C509B1" w:rsidRPr="00524366" w:rsidRDefault="00517DC6" w:rsidP="009B6E18">
      <w:pPr>
        <w:pStyle w:val="Nadpis2"/>
        <w:numPr>
          <w:ilvl w:val="1"/>
          <w:numId w:val="16"/>
        </w:numPr>
      </w:pPr>
      <w:bookmarkStart w:id="20" w:name="_Toc523139882"/>
      <w:r w:rsidRPr="00524366">
        <w:t>OZ 1950</w:t>
      </w:r>
      <w:r w:rsidR="000A3095" w:rsidRPr="00524366">
        <w:t xml:space="preserve"> (též nazývaný střední občanský zákoník)</w:t>
      </w:r>
      <w:bookmarkEnd w:id="20"/>
      <w:r w:rsidR="000A3095" w:rsidRPr="00524366">
        <w:t xml:space="preserve"> </w:t>
      </w:r>
    </w:p>
    <w:p w14:paraId="73CBF718" w14:textId="77777777" w:rsidR="00620861" w:rsidRPr="00524366" w:rsidRDefault="00620861" w:rsidP="00620861"/>
    <w:p w14:paraId="25BEE206" w14:textId="1BDE9920" w:rsidR="009D1463" w:rsidRPr="00524366" w:rsidRDefault="00DD146E" w:rsidP="009D1463">
      <w:pPr>
        <w:spacing w:line="360" w:lineRule="auto"/>
        <w:ind w:firstLine="708"/>
        <w:jc w:val="both"/>
      </w:pPr>
      <w:r w:rsidRPr="00524366">
        <w:t>Právě proto, že</w:t>
      </w:r>
      <w:r w:rsidR="000B7F1B" w:rsidRPr="00524366">
        <w:t xml:space="preserve"> </w:t>
      </w:r>
      <w:r w:rsidRPr="00524366">
        <w:t>ABGB platil jen na území Českého království a nikoli na Slovensku</w:t>
      </w:r>
      <w:r w:rsidR="00286794" w:rsidRPr="00524366">
        <w:t xml:space="preserve"> (tam platilo zvykové uherské právo)</w:t>
      </w:r>
      <w:r w:rsidRPr="00524366">
        <w:t>, byla Československá republika od svého vzniku zatížena jevem dvojího práva</w:t>
      </w:r>
      <w:r w:rsidR="007A1A0A" w:rsidRPr="00524366">
        <w:t xml:space="preserve">. </w:t>
      </w:r>
      <w:r w:rsidR="00076D48" w:rsidRPr="00524366">
        <w:t xml:space="preserve">Muselo tedy dojít k odstranění těchto dvou právních úprav a </w:t>
      </w:r>
      <w:r w:rsidR="00964F8D" w:rsidRPr="00524366">
        <w:t xml:space="preserve">bylo potřeba </w:t>
      </w:r>
      <w:r w:rsidR="00076D48" w:rsidRPr="00524366">
        <w:t xml:space="preserve">vytvořit </w:t>
      </w:r>
      <w:r w:rsidR="00076D48" w:rsidRPr="00524366">
        <w:lastRenderedPageBreak/>
        <w:t xml:space="preserve">unifikovanou úpravu občanského práva pro obě území. V roce </w:t>
      </w:r>
      <w:r w:rsidR="00964F8D" w:rsidRPr="00524366">
        <w:t>1920</w:t>
      </w:r>
      <w:r w:rsidR="00076D48" w:rsidRPr="00524366">
        <w:t xml:space="preserve"> byly tedy zahájeny rekodifikační práce, jejichž cílem bylo navázat na tradice ABGB</w:t>
      </w:r>
      <w:r w:rsidR="00194B00" w:rsidRPr="00524366">
        <w:t xml:space="preserve">. Vládní návrh československého občanského zákoníku byl hotov v roce 1937, vzhledem k dalšímu politickému vývoji však nebyl přijat. </w:t>
      </w:r>
      <w:r w:rsidR="000A3095" w:rsidRPr="00524366">
        <w:t>Po politických změnách nastalých po roce 1948</w:t>
      </w:r>
      <w:r w:rsidR="009D1463" w:rsidRPr="00524366">
        <w:t xml:space="preserve"> se přistoupilo k celkové revizi zákonn</w:t>
      </w:r>
      <w:r w:rsidR="00200F39" w:rsidRPr="00524366">
        <w:t>é úpravy.</w:t>
      </w:r>
      <w:r w:rsidR="00200F39" w:rsidRPr="00524366">
        <w:rPr>
          <w:rStyle w:val="Znakapoznpodarou"/>
        </w:rPr>
        <w:footnoteReference w:id="150"/>
      </w:r>
      <w:r w:rsidR="00200F39" w:rsidRPr="00524366">
        <w:t xml:space="preserve"> D</w:t>
      </w:r>
      <w:r w:rsidR="009D1463" w:rsidRPr="00524366">
        <w:t xml:space="preserve">ne </w:t>
      </w:r>
      <w:r w:rsidR="00C509B1" w:rsidRPr="00524366">
        <w:t>1. ledna 1951 vstoupil v</w:t>
      </w:r>
      <w:r w:rsidR="00AB2147" w:rsidRPr="00524366">
        <w:t> </w:t>
      </w:r>
      <w:r w:rsidR="00B81CBB" w:rsidRPr="00524366">
        <w:t>platnost zákon č. 141/1950 Sb. (</w:t>
      </w:r>
      <w:r w:rsidR="00AB2147" w:rsidRPr="00524366">
        <w:t>nazývaný též střední</w:t>
      </w:r>
      <w:r w:rsidR="00F67FCC" w:rsidRPr="00524366">
        <w:t xml:space="preserve"> kodex</w:t>
      </w:r>
      <w:r w:rsidR="00AB2147" w:rsidRPr="00524366">
        <w:t xml:space="preserve">, </w:t>
      </w:r>
      <w:r w:rsidR="00EF1657" w:rsidRPr="00524366">
        <w:t xml:space="preserve">protože nahradil </w:t>
      </w:r>
      <w:r w:rsidR="00CC658C" w:rsidRPr="00524366">
        <w:t>OZO z roku 1811</w:t>
      </w:r>
      <w:r w:rsidR="009D1463" w:rsidRPr="00524366">
        <w:t xml:space="preserve"> </w:t>
      </w:r>
      <w:r w:rsidR="00CC658C" w:rsidRPr="00524366">
        <w:t xml:space="preserve"> a byl zrušen</w:t>
      </w:r>
      <w:r w:rsidR="005E4CE4" w:rsidRPr="00524366">
        <w:t xml:space="preserve"> </w:t>
      </w:r>
      <w:r w:rsidR="00B81CBB" w:rsidRPr="00524366">
        <w:t>zákonem č. 40/1964 Sb.)</w:t>
      </w:r>
      <w:r w:rsidR="009D1463" w:rsidRPr="00524366">
        <w:t xml:space="preserve"> Tento OZ z roku 1950 byl vyústěním právnické dvouletky</w:t>
      </w:r>
      <w:r w:rsidR="009D1463" w:rsidRPr="00524366">
        <w:rPr>
          <w:rStyle w:val="Znakapoznpodarou"/>
        </w:rPr>
        <w:footnoteReference w:id="151"/>
      </w:r>
      <w:r w:rsidR="009D1463" w:rsidRPr="00524366">
        <w:t xml:space="preserve"> </w:t>
      </w:r>
      <w:r w:rsidR="00C5061C" w:rsidRPr="00524366">
        <w:t>a jeho hlavní inspirací mu byl sovětský občanský zákoník z roku 1922 (komise však také pracovala s návrhem z roku 1937).</w:t>
      </w:r>
      <w:r w:rsidR="008412A6" w:rsidRPr="00524366">
        <w:rPr>
          <w:rStyle w:val="Znakapoznpodarou"/>
        </w:rPr>
        <w:footnoteReference w:id="152"/>
      </w:r>
      <w:r w:rsidR="00C5061C" w:rsidRPr="00524366">
        <w:t xml:space="preserve"> </w:t>
      </w:r>
    </w:p>
    <w:p w14:paraId="4C0DCE00" w14:textId="2961C969" w:rsidR="00495EE2" w:rsidRPr="00524366" w:rsidRDefault="009E28AC" w:rsidP="00495EE2">
      <w:pPr>
        <w:spacing w:line="360" w:lineRule="auto"/>
        <w:ind w:firstLine="708"/>
        <w:jc w:val="both"/>
      </w:pPr>
      <w:r w:rsidRPr="00524366">
        <w:t xml:space="preserve">Úprava institutu omylu v </w:t>
      </w:r>
      <w:r w:rsidR="00325E79" w:rsidRPr="00524366">
        <w:t>OZ z roku 1950 vycházel</w:t>
      </w:r>
      <w:r w:rsidRPr="00524366">
        <w:t>a</w:t>
      </w:r>
      <w:r w:rsidR="00325E79" w:rsidRPr="00524366">
        <w:t xml:space="preserve"> z úpravy </w:t>
      </w:r>
      <w:r w:rsidR="008876EC" w:rsidRPr="00524366">
        <w:t>OZO, některé</w:t>
      </w:r>
      <w:r w:rsidRPr="00524366">
        <w:t xml:space="preserve"> ustanovení však byly zestručněny. </w:t>
      </w:r>
      <w:r w:rsidR="00CF0643" w:rsidRPr="00524366">
        <w:t xml:space="preserve">V </w:t>
      </w:r>
      <w:r w:rsidR="00325E79" w:rsidRPr="00524366">
        <w:t xml:space="preserve">§ 33 </w:t>
      </w:r>
      <w:r w:rsidR="00CF0643" w:rsidRPr="00524366">
        <w:t xml:space="preserve">odst. </w:t>
      </w:r>
      <w:r w:rsidR="00325E79" w:rsidRPr="00524366">
        <w:t xml:space="preserve">1 </w:t>
      </w:r>
      <w:r w:rsidR="00CF0643" w:rsidRPr="00524366">
        <w:t xml:space="preserve">byly upraveny následky omylu vyvolaného lstí shodně s </w:t>
      </w:r>
      <w:r w:rsidR="00325E79" w:rsidRPr="00524366">
        <w:t xml:space="preserve">§ 870 </w:t>
      </w:r>
      <w:r w:rsidR="00CF0643" w:rsidRPr="00524366">
        <w:t xml:space="preserve">OZO. </w:t>
      </w:r>
      <w:r w:rsidR="00906CE5" w:rsidRPr="00524366">
        <w:t xml:space="preserve">Výrazné </w:t>
      </w:r>
      <w:r w:rsidR="00E516DA" w:rsidRPr="00524366">
        <w:t>zestručnění § 35 odst. 1</w:t>
      </w:r>
      <w:r w:rsidRPr="00524366">
        <w:t xml:space="preserve"> </w:t>
      </w:r>
      <w:r w:rsidR="00E516DA" w:rsidRPr="00524366">
        <w:t>vycházejícího z § 872 OZO</w:t>
      </w:r>
      <w:r w:rsidR="006C5393" w:rsidRPr="00524366">
        <w:t xml:space="preserve"> učin</w:t>
      </w:r>
      <w:r w:rsidR="00B976FF" w:rsidRPr="00524366">
        <w:t xml:space="preserve">ilo ustanovení méně jasným: </w:t>
      </w:r>
      <w:r w:rsidR="00B976FF" w:rsidRPr="00524366">
        <w:rPr>
          <w:i/>
        </w:rPr>
        <w:t>„Omyl činí právní úkon neplatným, týká-li se jeho podstaty. Týká-li se omyl jen okolnosti vedlejší, je právní úkon platný, ledaže je ona okolnost podle projevené vůle okolností rozhodující.“</w:t>
      </w:r>
      <w:r w:rsidR="00B976FF" w:rsidRPr="00524366">
        <w:t xml:space="preserve"> </w:t>
      </w:r>
    </w:p>
    <w:p w14:paraId="18CB0B38" w14:textId="77777777" w:rsidR="00200F39" w:rsidRPr="00524366" w:rsidRDefault="00200F39" w:rsidP="00200F39">
      <w:pPr>
        <w:spacing w:line="360" w:lineRule="auto"/>
        <w:jc w:val="both"/>
      </w:pPr>
    </w:p>
    <w:p w14:paraId="0397A51E" w14:textId="2C632B68" w:rsidR="00517DC6" w:rsidRPr="00524366" w:rsidRDefault="00517DC6" w:rsidP="009B6E18">
      <w:pPr>
        <w:pStyle w:val="Nadpis2"/>
        <w:numPr>
          <w:ilvl w:val="1"/>
          <w:numId w:val="16"/>
        </w:numPr>
      </w:pPr>
      <w:bookmarkStart w:id="21" w:name="_Toc523139883"/>
      <w:r w:rsidRPr="00524366">
        <w:t>OZ 1964</w:t>
      </w:r>
      <w:bookmarkEnd w:id="21"/>
    </w:p>
    <w:p w14:paraId="41EE7359" w14:textId="77777777" w:rsidR="00620861" w:rsidRPr="00524366" w:rsidRDefault="00620861" w:rsidP="00620861"/>
    <w:p w14:paraId="483A3E34" w14:textId="77777777" w:rsidR="00AD716A" w:rsidRPr="00524366" w:rsidRDefault="00970EE8" w:rsidP="009A431F">
      <w:pPr>
        <w:spacing w:line="360" w:lineRule="auto"/>
        <w:ind w:firstLine="708"/>
        <w:jc w:val="both"/>
      </w:pPr>
      <w:r w:rsidRPr="00524366">
        <w:t xml:space="preserve">Zákon č. 40/1964 Sb. byl účinný od 1. dubna 1964 do </w:t>
      </w:r>
      <w:r w:rsidR="00F346DF" w:rsidRPr="00524366">
        <w:t xml:space="preserve">31. prosince 2013, kdy byl nahrazen zákone č. 89/2012 Sb. OZ ve svém původním znění obsahoval úpravu omylu v § </w:t>
      </w:r>
      <w:r w:rsidR="006B5D99" w:rsidRPr="00524366">
        <w:t>49</w:t>
      </w:r>
      <w:r w:rsidR="00001922" w:rsidRPr="00524366">
        <w:t xml:space="preserve">, po tzv. velké novele č. 509/1991 Sb. </w:t>
      </w:r>
      <w:r w:rsidR="00A53217" w:rsidRPr="00524366">
        <w:t>byla úprava přenesena do § 49a, který zní</w:t>
      </w:r>
      <w:r w:rsidR="00BE2A55" w:rsidRPr="00524366">
        <w:t xml:space="preserve"> takto</w:t>
      </w:r>
      <w:r w:rsidR="00A53217" w:rsidRPr="00524366">
        <w:t>:</w:t>
      </w:r>
      <w:r w:rsidR="00BE2A55" w:rsidRPr="00524366">
        <w:t xml:space="preserve"> „</w:t>
      </w:r>
      <w:r w:rsidR="00BE2A55" w:rsidRPr="00524366">
        <w:rPr>
          <w:i/>
        </w:rPr>
        <w:t>Právní úkon je neplatný, jestliže jej jednající osoba učinila v omylu, vycházejícím ze skutečnosti, jež je pro jeho uskutečnění rozhodující, a osoba, které byl právní úkon určen, tento omyl vyvolala nebo o něm musela vědět. Právní úkon je rovněž neplatný, jestliže omyl byl touto osobou vyvolán úmyslně. Omyl v pohnutce právní úkon neplatným nečiní.“</w:t>
      </w:r>
      <w:r w:rsidR="00A53217" w:rsidRPr="00524366">
        <w:t xml:space="preserve"> </w:t>
      </w:r>
      <w:r w:rsidR="00273ABE" w:rsidRPr="00524366">
        <w:t xml:space="preserve">Citované ustanovení </w:t>
      </w:r>
      <w:r w:rsidR="00B53611" w:rsidRPr="00524366">
        <w:t>upravuje t</w:t>
      </w:r>
      <w:r w:rsidR="00767629" w:rsidRPr="00524366">
        <w:t>zv. vnitřní omyl (</w:t>
      </w:r>
      <w:r w:rsidR="00843B28" w:rsidRPr="00524366">
        <w:t>volní</w:t>
      </w:r>
      <w:r w:rsidR="009B6201" w:rsidRPr="00524366">
        <w:t xml:space="preserve">), který spočívá v tom, že jednající měl nesprávnou představu o právních účincích právního úkonu. </w:t>
      </w:r>
      <w:r w:rsidR="004D2C4B" w:rsidRPr="00524366">
        <w:t>Dle § 45 odst. 2</w:t>
      </w:r>
      <w:r w:rsidR="009F2BF7" w:rsidRPr="00524366">
        <w:t>:</w:t>
      </w:r>
      <w:r w:rsidR="004D2C4B" w:rsidRPr="00524366">
        <w:t xml:space="preserve"> </w:t>
      </w:r>
      <w:r w:rsidR="009F2BF7" w:rsidRPr="00524366">
        <w:t>„</w:t>
      </w:r>
      <w:r w:rsidR="009F2BF7" w:rsidRPr="00524366">
        <w:rPr>
          <w:i/>
        </w:rPr>
        <w:t xml:space="preserve">Dojde-li projev vůle změněný vlivem prostředků, které navrhovatel použil nebo jiných okolností nastalých během jeho přepravy, posuzuje se podle ustanovení o omylu ( § 49a).“ </w:t>
      </w:r>
      <w:r w:rsidR="009A431F" w:rsidRPr="00524366">
        <w:t xml:space="preserve">Dle § 40a se jedná o relativní neplatnost, jež se účastník může dovolat. Věta druhá upravuje lstivé jednání. </w:t>
      </w:r>
    </w:p>
    <w:p w14:paraId="5E754FA3" w14:textId="7D7122DC" w:rsidR="009A431F" w:rsidRPr="00524366" w:rsidRDefault="009A431F" w:rsidP="009A431F">
      <w:pPr>
        <w:spacing w:line="360" w:lineRule="auto"/>
        <w:ind w:firstLine="708"/>
        <w:jc w:val="both"/>
      </w:pPr>
      <w:r w:rsidRPr="00524366">
        <w:t>Zvláštní úpravu omylu obsahuje § 586 odst. 1:</w:t>
      </w:r>
      <w:r w:rsidR="00AD716A" w:rsidRPr="00524366">
        <w:t xml:space="preserve"> </w:t>
      </w:r>
      <w:r w:rsidR="00AD716A" w:rsidRPr="00524366">
        <w:rPr>
          <w:i/>
        </w:rPr>
        <w:t>„Neplatnost dohody o narovnání je podle § 586 odst. 1 ObčZ vyloučena pouze v případě omylu o tom, co je mezi stranami sporné nebo pochybné; jde o zvláštní případ omylu, kdy strany (anebo některá z nich) se omylem domnívají, že některé právo je mezi nimi sporné nebo pochybné, ačkoliv ve skutečnosti tomu tak není.“</w:t>
      </w:r>
      <w:r w:rsidR="00AD716A" w:rsidRPr="00524366">
        <w:rPr>
          <w:rStyle w:val="Znakapoznpodarou"/>
          <w:i/>
        </w:rPr>
        <w:footnoteReference w:id="153"/>
      </w:r>
    </w:p>
    <w:p w14:paraId="52461767" w14:textId="35380D3B" w:rsidR="00B57FBC" w:rsidRPr="00524366" w:rsidRDefault="00BE2A55" w:rsidP="00902381">
      <w:pPr>
        <w:spacing w:line="360" w:lineRule="auto"/>
        <w:ind w:firstLine="708"/>
        <w:jc w:val="both"/>
      </w:pPr>
      <w:r w:rsidRPr="00524366">
        <w:lastRenderedPageBreak/>
        <w:t xml:space="preserve">Právní úprava omylu byla v OZ </w:t>
      </w:r>
      <w:r w:rsidR="00E65569" w:rsidRPr="00524366">
        <w:t xml:space="preserve">z roku 1964 </w:t>
      </w:r>
      <w:r w:rsidR="004E5905" w:rsidRPr="00524366">
        <w:t xml:space="preserve">velice zestručněna a </w:t>
      </w:r>
      <w:r w:rsidR="004935BE" w:rsidRPr="00524366">
        <w:t>jak vidn</w:t>
      </w:r>
      <w:r w:rsidR="00002299" w:rsidRPr="00524366">
        <w:t xml:space="preserve">o, oproštěna od zažitých římskoprávních institutů. </w:t>
      </w:r>
      <w:r w:rsidR="008E7B49" w:rsidRPr="00524366">
        <w:t xml:space="preserve">Až </w:t>
      </w:r>
      <w:r w:rsidR="00B309C1" w:rsidRPr="00524366">
        <w:t xml:space="preserve">nový občanský zákoník z roku 2012 rozšířil právní úpravu omylu, </w:t>
      </w:r>
      <w:r w:rsidR="00B523AA" w:rsidRPr="00524366">
        <w:t xml:space="preserve">nicméně i tato úprava </w:t>
      </w:r>
      <w:r w:rsidR="004935BE" w:rsidRPr="00524366">
        <w:t xml:space="preserve">by mohla být podrobnější, což rozebereme dále. </w:t>
      </w:r>
      <w:r w:rsidR="00B523AA" w:rsidRPr="00524366">
        <w:t xml:space="preserve"> </w:t>
      </w:r>
    </w:p>
    <w:p w14:paraId="7D04045A" w14:textId="77777777" w:rsidR="00B57FBC" w:rsidRPr="00524366" w:rsidRDefault="00B57FBC" w:rsidP="00B57FBC">
      <w:bookmarkStart w:id="22" w:name="_Toc523139884"/>
    </w:p>
    <w:p w14:paraId="7C09C80B" w14:textId="77777777" w:rsidR="00B57FBC" w:rsidRPr="00524366" w:rsidRDefault="00B57FBC">
      <w:r w:rsidRPr="00524366">
        <w:br w:type="page"/>
      </w:r>
    </w:p>
    <w:p w14:paraId="7442F349" w14:textId="2950FDF4" w:rsidR="00146E87" w:rsidRPr="00524366" w:rsidRDefault="00B57FBC" w:rsidP="00DF7FFA">
      <w:pPr>
        <w:pStyle w:val="Nadpis1"/>
      </w:pPr>
      <w:r w:rsidRPr="00524366">
        <w:lastRenderedPageBreak/>
        <w:t xml:space="preserve">6.  </w:t>
      </w:r>
      <w:r w:rsidR="009C60D8" w:rsidRPr="00524366">
        <w:t>Omyl v současném právu – dle NOZ</w:t>
      </w:r>
      <w:bookmarkEnd w:id="22"/>
      <w:r w:rsidR="009C60D8" w:rsidRPr="00524366">
        <w:t xml:space="preserve"> </w:t>
      </w:r>
    </w:p>
    <w:p w14:paraId="7497EAA9" w14:textId="39E39048" w:rsidR="000D0C08" w:rsidRPr="00524366" w:rsidRDefault="00F61367" w:rsidP="009460C0">
      <w:pPr>
        <w:spacing w:line="360" w:lineRule="auto"/>
        <w:ind w:firstLine="708"/>
        <w:jc w:val="both"/>
      </w:pPr>
      <w:r w:rsidRPr="00524366">
        <w:t>S</w:t>
      </w:r>
      <w:r w:rsidR="008255E7" w:rsidRPr="00524366">
        <w:t> účinností</w:t>
      </w:r>
      <w:r w:rsidRPr="00524366">
        <w:t xml:space="preserve"> </w:t>
      </w:r>
      <w:r w:rsidR="00CA337C" w:rsidRPr="00524366">
        <w:t xml:space="preserve">NOZ došlo k velkým změnám v oblasti soukromého práva. Tyto změny se promítly i do </w:t>
      </w:r>
      <w:r w:rsidR="008255E7" w:rsidRPr="00524366">
        <w:t>ustanovení</w:t>
      </w:r>
      <w:r w:rsidR="00517DC6" w:rsidRPr="00524366">
        <w:t xml:space="preserve"> týkajících se </w:t>
      </w:r>
      <w:r w:rsidR="00D35686" w:rsidRPr="00524366">
        <w:t>důvod</w:t>
      </w:r>
      <w:r w:rsidR="00842435" w:rsidRPr="00524366">
        <w:t>ů či příčin neplatnosti právního</w:t>
      </w:r>
      <w:r w:rsidR="00D35686" w:rsidRPr="00524366">
        <w:t xml:space="preserve"> jednání</w:t>
      </w:r>
      <w:r w:rsidR="00842435" w:rsidRPr="00524366">
        <w:t xml:space="preserve">. </w:t>
      </w:r>
      <w:r w:rsidR="00FF0007" w:rsidRPr="00524366">
        <w:t>Náležitosti právního jednání určují, zda se jedná o právní jednání platné</w:t>
      </w:r>
      <w:r w:rsidR="00277577" w:rsidRPr="00524366">
        <w:t xml:space="preserve"> či neplatné, </w:t>
      </w:r>
      <w:r w:rsidR="00332807" w:rsidRPr="00524366">
        <w:t xml:space="preserve">případně </w:t>
      </w:r>
      <w:r w:rsidR="002544A6" w:rsidRPr="00524366">
        <w:t>že se vůbec o právní jednání nejedná</w:t>
      </w:r>
      <w:r w:rsidR="002544A6" w:rsidRPr="00524366">
        <w:rPr>
          <w:rStyle w:val="Znakapoznpodarou"/>
        </w:rPr>
        <w:footnoteReference w:id="154"/>
      </w:r>
      <w:r w:rsidR="00332807" w:rsidRPr="00524366">
        <w:t xml:space="preserve"> (</w:t>
      </w:r>
      <w:r w:rsidR="002544A6" w:rsidRPr="00524366">
        <w:t xml:space="preserve">NOZ tuto situaci označuje jako </w:t>
      </w:r>
      <w:r w:rsidR="00797BF2" w:rsidRPr="00524366">
        <w:t>zdánlivé právní jednání</w:t>
      </w:r>
      <w:r w:rsidR="00332807" w:rsidRPr="00524366">
        <w:t>)</w:t>
      </w:r>
      <w:r w:rsidR="00797BF2" w:rsidRPr="00524366">
        <w:t>.</w:t>
      </w:r>
      <w:r w:rsidR="00797BF2" w:rsidRPr="00524366">
        <w:rPr>
          <w:rStyle w:val="Znakapoznpodarou"/>
        </w:rPr>
        <w:footnoteReference w:id="155"/>
      </w:r>
      <w:r w:rsidR="0098251C" w:rsidRPr="00524366">
        <w:t xml:space="preserve"> </w:t>
      </w:r>
      <w:r w:rsidR="000D0C08" w:rsidRPr="00524366">
        <w:t>Náležitosti právního jednání tvoří</w:t>
      </w:r>
      <w:r w:rsidR="009A489E" w:rsidRPr="00524366">
        <w:rPr>
          <w:rStyle w:val="Znakapoznpodarou"/>
        </w:rPr>
        <w:footnoteReference w:id="156"/>
      </w:r>
      <w:r w:rsidR="000D0C08" w:rsidRPr="00524366">
        <w:t>:</w:t>
      </w:r>
    </w:p>
    <w:p w14:paraId="0FFA8FD7" w14:textId="74437310" w:rsidR="000D0C08" w:rsidRPr="00524366" w:rsidRDefault="000D0C08" w:rsidP="009B6E18">
      <w:pPr>
        <w:pStyle w:val="Odstavecseseznamem"/>
        <w:numPr>
          <w:ilvl w:val="0"/>
          <w:numId w:val="9"/>
        </w:numPr>
        <w:spacing w:line="360" w:lineRule="auto"/>
        <w:jc w:val="both"/>
      </w:pPr>
      <w:r w:rsidRPr="00524366">
        <w:t xml:space="preserve">náležitosti předmětu </w:t>
      </w:r>
      <w:r w:rsidR="00A72FE7" w:rsidRPr="00524366">
        <w:t xml:space="preserve">- </w:t>
      </w:r>
      <w:r w:rsidR="00A72FE7" w:rsidRPr="00524366">
        <w:rPr>
          <w:i/>
        </w:rPr>
        <w:t>„Neplatné je právní jednání, které se příčí dobrým mravům, jakož i právní jednání, které odporuje zákonu, pokud to smysl a účel zákona vyžaduje. Neplatné je právní jednání, pokud má být podle něho plněno něco nemožného.“</w:t>
      </w:r>
      <w:r w:rsidR="00A72FE7" w:rsidRPr="00524366">
        <w:rPr>
          <w:rStyle w:val="Znakapoznpodarou"/>
        </w:rPr>
        <w:footnoteReference w:id="157"/>
      </w:r>
      <w:r w:rsidR="00A72FE7" w:rsidRPr="00524366">
        <w:t xml:space="preserve"> Právní jednání tedy musí být možné (reá</w:t>
      </w:r>
      <w:r w:rsidR="0099128A" w:rsidRPr="00524366">
        <w:t>lně uskutečnitelné) a dovolené. Obecné podmínky platnosti právního úko</w:t>
      </w:r>
      <w:r w:rsidR="00D35BD1" w:rsidRPr="00524366">
        <w:t>nu jsou stejné</w:t>
      </w:r>
      <w:r w:rsidR="00787B9F" w:rsidRPr="00524366">
        <w:t>,</w:t>
      </w:r>
      <w:r w:rsidR="00E91C28" w:rsidRPr="00524366">
        <w:t xml:space="preserve"> jak</w:t>
      </w:r>
      <w:r w:rsidR="00D35BD1" w:rsidRPr="00524366">
        <w:t xml:space="preserve"> byly v Římě. </w:t>
      </w:r>
    </w:p>
    <w:p w14:paraId="33609C95" w14:textId="77777777" w:rsidR="003A46D6" w:rsidRPr="00524366" w:rsidRDefault="003A46D6" w:rsidP="003A46D6">
      <w:pPr>
        <w:pStyle w:val="Odstavecseseznamem"/>
        <w:spacing w:line="360" w:lineRule="auto"/>
        <w:ind w:left="1068"/>
        <w:jc w:val="both"/>
      </w:pPr>
    </w:p>
    <w:p w14:paraId="0CF06713" w14:textId="5D9019B4" w:rsidR="000D0C08" w:rsidRPr="00524366" w:rsidRDefault="000D0C08" w:rsidP="009B6E18">
      <w:pPr>
        <w:pStyle w:val="Odstavecseseznamem"/>
        <w:numPr>
          <w:ilvl w:val="0"/>
          <w:numId w:val="9"/>
        </w:numPr>
        <w:spacing w:line="360" w:lineRule="auto"/>
        <w:jc w:val="both"/>
      </w:pPr>
      <w:r w:rsidRPr="00524366">
        <w:t xml:space="preserve">náležitosti subjektu </w:t>
      </w:r>
      <w:r w:rsidR="00A72FE7" w:rsidRPr="00524366">
        <w:t xml:space="preserve">– </w:t>
      </w:r>
      <w:r w:rsidR="00A72FE7" w:rsidRPr="00524366">
        <w:rPr>
          <w:i/>
        </w:rPr>
        <w:t>„Není-li osoba plně svéprávná, je neplatné právní jednání, ke kterému není způsobilá. Neplatné je i právní jednání osoby jednající v duševní poruše, která ji činí neschopnou právně jednat.“</w:t>
      </w:r>
      <w:r w:rsidR="00A72FE7" w:rsidRPr="00524366">
        <w:rPr>
          <w:rStyle w:val="Znakapoznpodarou"/>
          <w:i/>
        </w:rPr>
        <w:footnoteReference w:id="158"/>
      </w:r>
      <w:r w:rsidR="005B024F" w:rsidRPr="00524366">
        <w:t xml:space="preserve"> </w:t>
      </w:r>
      <w:r w:rsidR="00AD0B61" w:rsidRPr="00524366">
        <w:t xml:space="preserve">Mezi náležitosti subjektu tedy patří svéprávnost a právní osobnost, NOZ </w:t>
      </w:r>
      <w:r w:rsidR="00384E54" w:rsidRPr="00524366">
        <w:t xml:space="preserve">je definuje </w:t>
      </w:r>
      <w:r w:rsidR="00AD0B61" w:rsidRPr="00524366">
        <w:t>v § 15 odst. 1 a 2: „</w:t>
      </w:r>
      <w:r w:rsidR="00AD0B61" w:rsidRPr="00524366">
        <w:rPr>
          <w:i/>
        </w:rPr>
        <w:t>Právní osobnost je způsobilost mít v mezích právního řádu práva a povinnosti. Svéprávnost je způsobilost nabývat pro sebe vlastním právním jednáním práva a zavazovat se k povinnostem (právně jednat).“</w:t>
      </w:r>
    </w:p>
    <w:p w14:paraId="1C63BE66" w14:textId="77777777" w:rsidR="003A46D6" w:rsidRPr="00524366" w:rsidRDefault="003A46D6" w:rsidP="003A46D6">
      <w:pPr>
        <w:spacing w:line="360" w:lineRule="auto"/>
        <w:jc w:val="both"/>
      </w:pPr>
    </w:p>
    <w:p w14:paraId="3BD0DBDC" w14:textId="5F6F215F" w:rsidR="000D0C08" w:rsidRPr="00524366" w:rsidRDefault="000D0C08" w:rsidP="009B6E18">
      <w:pPr>
        <w:pStyle w:val="Odstavecseseznamem"/>
        <w:numPr>
          <w:ilvl w:val="0"/>
          <w:numId w:val="9"/>
        </w:numPr>
        <w:spacing w:line="360" w:lineRule="auto"/>
        <w:jc w:val="both"/>
        <w:rPr>
          <w:i/>
        </w:rPr>
      </w:pPr>
      <w:r w:rsidRPr="00524366">
        <w:t xml:space="preserve">náležitosti projevu vůle </w:t>
      </w:r>
      <w:r w:rsidR="00842435" w:rsidRPr="00524366">
        <w:t>– projev vůle musí být určitý a srozumitelný, v některých případech se vyžaduje i jeho určitá forma; „</w:t>
      </w:r>
      <w:r w:rsidR="00842435" w:rsidRPr="00524366">
        <w:rPr>
          <w:i/>
        </w:rPr>
        <w:t>O právní jednání nejde, nelze-li pro neurčitost nebo nesrozumitelnost zjistit jeho obsah ani výkladem. Byl-li projev vůle mezi stranami dodatečně vyjasněn, nepřihlíží se k jeho vadě a hledí se, jako by tu bylo právní jednání od počátku.“</w:t>
      </w:r>
      <w:r w:rsidR="00842435" w:rsidRPr="00524366">
        <w:rPr>
          <w:rStyle w:val="Znakapoznpodarou"/>
          <w:i/>
        </w:rPr>
        <w:footnoteReference w:id="159"/>
      </w:r>
      <w:r w:rsidR="00FA4FB3" w:rsidRPr="00524366">
        <w:rPr>
          <w:i/>
        </w:rPr>
        <w:t xml:space="preserve"> </w:t>
      </w:r>
      <w:r w:rsidR="00C040F7" w:rsidRPr="00524366">
        <w:t>V případě, že</w:t>
      </w:r>
      <w:r w:rsidR="00367C03" w:rsidRPr="00524366">
        <w:t xml:space="preserve"> </w:t>
      </w:r>
      <w:r w:rsidR="00C040F7" w:rsidRPr="00524366">
        <w:t xml:space="preserve">je </w:t>
      </w:r>
      <w:r w:rsidR="00367C03" w:rsidRPr="00524366">
        <w:t xml:space="preserve">projevená vůle </w:t>
      </w:r>
      <w:r w:rsidR="00FA4FB3" w:rsidRPr="00524366">
        <w:t>neurčitá nebo nesrozumitelná a ne</w:t>
      </w:r>
      <w:r w:rsidR="00C040F7" w:rsidRPr="00524366">
        <w:t xml:space="preserve">lze-li obsah zjistit ani výkladem, jde o již zmiňované zdánlivé právní jednání, srov: </w:t>
      </w:r>
      <w:r w:rsidR="00842435" w:rsidRPr="00524366">
        <w:rPr>
          <w:i/>
        </w:rPr>
        <w:t>„Není-li právní jednání učiněno ve formě ujednané stranami nebo stanovené zákonem, je neplatné, ledaže strany vadu dodatečně zhojí. Zahrnuje-li projev vůle současně více právních jednání, nepůsobí nedostatek formy vyžadované pro některé z nich sám o sobě neplatnost ostatních.“</w:t>
      </w:r>
      <w:r w:rsidR="00C040F7" w:rsidRPr="00524366">
        <w:rPr>
          <w:rStyle w:val="Znakapoznpodarou"/>
          <w:i/>
        </w:rPr>
        <w:footnoteReference w:id="160"/>
      </w:r>
      <w:r w:rsidR="00842435" w:rsidRPr="00524366">
        <w:rPr>
          <w:i/>
        </w:rPr>
        <w:t xml:space="preserve"> </w:t>
      </w:r>
    </w:p>
    <w:p w14:paraId="1CDDEE36" w14:textId="77777777" w:rsidR="003A46D6" w:rsidRPr="00524366" w:rsidRDefault="003A46D6" w:rsidP="003A46D6">
      <w:pPr>
        <w:spacing w:line="360" w:lineRule="auto"/>
        <w:jc w:val="both"/>
        <w:rPr>
          <w:i/>
        </w:rPr>
      </w:pPr>
    </w:p>
    <w:p w14:paraId="6C242321" w14:textId="7276F008" w:rsidR="00F61367" w:rsidRPr="00524366" w:rsidRDefault="000D0C08" w:rsidP="009B6E18">
      <w:pPr>
        <w:pStyle w:val="Odstavecseseznamem"/>
        <w:numPr>
          <w:ilvl w:val="0"/>
          <w:numId w:val="9"/>
        </w:numPr>
        <w:spacing w:line="360" w:lineRule="auto"/>
        <w:jc w:val="both"/>
      </w:pPr>
      <w:r w:rsidRPr="00524366">
        <w:t xml:space="preserve">a náležitosti vůle </w:t>
      </w:r>
      <w:r w:rsidR="009A489E" w:rsidRPr="00524366">
        <w:t xml:space="preserve">- </w:t>
      </w:r>
      <w:r w:rsidR="00DE6618" w:rsidRPr="00524366">
        <w:t>taková vůle musí být skutečná, vážná, svobodná a p</w:t>
      </w:r>
      <w:r w:rsidR="009A489E" w:rsidRPr="00524366">
        <w:t>ředevším musí být prosta omylu</w:t>
      </w:r>
      <w:r w:rsidR="003F0DFC" w:rsidRPr="00524366">
        <w:t xml:space="preserve">. </w:t>
      </w:r>
      <w:r w:rsidR="00700A22" w:rsidRPr="00524366">
        <w:rPr>
          <w:i/>
        </w:rPr>
        <w:t xml:space="preserve">„Má-li </w:t>
      </w:r>
      <w:r w:rsidR="00AB716F" w:rsidRPr="00524366">
        <w:rPr>
          <w:i/>
        </w:rPr>
        <w:t>mít jednající vůli jednat právě s těmi následky, které právní řád s jeho projevem vůle spojuje, znamená to, že musí i subjektivně chtít vyvolat právě ty následky, které objektivně podle práva má vyvolávat. Nesmí se tedy ohledně těchto následků mýlit.“</w:t>
      </w:r>
      <w:r w:rsidR="00AB716F" w:rsidRPr="00524366">
        <w:rPr>
          <w:rStyle w:val="Znakapoznpodarou"/>
          <w:i/>
        </w:rPr>
        <w:footnoteReference w:id="161"/>
      </w:r>
      <w:r w:rsidR="00AB716F" w:rsidRPr="00524366">
        <w:t xml:space="preserve"> </w:t>
      </w:r>
    </w:p>
    <w:p w14:paraId="40A5C926" w14:textId="77777777" w:rsidR="001216BB" w:rsidRPr="00524366" w:rsidRDefault="001216BB" w:rsidP="001216BB">
      <w:pPr>
        <w:pStyle w:val="Odstavecseseznamem"/>
        <w:spacing w:line="360" w:lineRule="auto"/>
        <w:ind w:left="1068"/>
        <w:jc w:val="both"/>
      </w:pPr>
    </w:p>
    <w:p w14:paraId="0DE54391" w14:textId="3D3C6EBA" w:rsidR="00FD6B96" w:rsidRPr="00524366" w:rsidRDefault="009736FD" w:rsidP="00441D17">
      <w:pPr>
        <w:spacing w:line="360" w:lineRule="auto"/>
        <w:jc w:val="both"/>
        <w:rPr>
          <w:i/>
        </w:rPr>
      </w:pPr>
      <w:r w:rsidRPr="00524366">
        <w:t xml:space="preserve">NOZ upravuje následky právního jednání učiněného v omylu v §§ 583 – 585. </w:t>
      </w:r>
      <w:r w:rsidR="00D35BD1" w:rsidRPr="00524366">
        <w:t xml:space="preserve">Doc. F. Melzer podává definici omylu takto: </w:t>
      </w:r>
      <w:r w:rsidR="00947983" w:rsidRPr="00524366">
        <w:rPr>
          <w:i/>
        </w:rPr>
        <w:t>„O omylu hovoříme tehdy, jestliže něčí subjektivní představa je v rozporu s objektivní skutečností v nejširším smyslu slova.“</w:t>
      </w:r>
      <w:r w:rsidR="00947983" w:rsidRPr="00524366">
        <w:rPr>
          <w:rStyle w:val="Znakapoznpodarou"/>
          <w:i/>
        </w:rPr>
        <w:footnoteReference w:id="162"/>
      </w:r>
      <w:r w:rsidR="00947983" w:rsidRPr="00524366">
        <w:t xml:space="preserve"> </w:t>
      </w:r>
      <w:r w:rsidR="00D35BD1" w:rsidRPr="00524366">
        <w:t xml:space="preserve">J. Handlar uvádí, že: </w:t>
      </w:r>
      <w:r w:rsidR="00D35BD1" w:rsidRPr="00524366">
        <w:rPr>
          <w:i/>
        </w:rPr>
        <w:t>„Omyl je založen na nesprávné představě jednajícího o určité skutečnosti týkající se jeho právního jednání.“</w:t>
      </w:r>
      <w:r w:rsidR="00D35BD1" w:rsidRPr="00524366">
        <w:rPr>
          <w:rStyle w:val="Znakapoznpodarou"/>
          <w:i/>
        </w:rPr>
        <w:footnoteReference w:id="163"/>
      </w:r>
      <w:r w:rsidR="00D35BD1" w:rsidRPr="00524366">
        <w:rPr>
          <w:i/>
        </w:rPr>
        <w:t xml:space="preserve"> </w:t>
      </w:r>
    </w:p>
    <w:p w14:paraId="477846DD" w14:textId="5C8FA622" w:rsidR="00AE4A32" w:rsidRPr="00524366" w:rsidRDefault="00667DE9" w:rsidP="00D35BD1">
      <w:pPr>
        <w:spacing w:line="360" w:lineRule="auto"/>
        <w:ind w:firstLine="708"/>
        <w:jc w:val="both"/>
        <w:rPr>
          <w:i/>
        </w:rPr>
      </w:pPr>
      <w:r w:rsidRPr="00524366">
        <w:t xml:space="preserve">Omylem </w:t>
      </w:r>
      <w:r w:rsidR="00D35BD1" w:rsidRPr="00524366">
        <w:t xml:space="preserve">tedy </w:t>
      </w:r>
      <w:r w:rsidRPr="00524366">
        <w:t xml:space="preserve">rozumíme nesprávnou představu jednajícího o určité skutečnosti. Omyl může být spojen: </w:t>
      </w:r>
    </w:p>
    <w:p w14:paraId="3F7D332F" w14:textId="3B7FE38D" w:rsidR="00667DE9" w:rsidRPr="00524366" w:rsidRDefault="00667DE9" w:rsidP="009B6E18">
      <w:pPr>
        <w:pStyle w:val="Odstavecseseznamem"/>
        <w:numPr>
          <w:ilvl w:val="0"/>
          <w:numId w:val="10"/>
        </w:numPr>
        <w:spacing w:line="360" w:lineRule="auto"/>
        <w:jc w:val="both"/>
      </w:pPr>
      <w:r w:rsidRPr="00524366">
        <w:t>s vůlí jednajícího (vnitřní omyl</w:t>
      </w:r>
      <w:r w:rsidR="006871AD" w:rsidRPr="00524366">
        <w:t>, též omyl v obsahu</w:t>
      </w:r>
      <w:r w:rsidRPr="00524366">
        <w:t>) – týká se nesprávné</w:t>
      </w:r>
      <w:r w:rsidR="00605809" w:rsidRPr="00524366">
        <w:t xml:space="preserve"> či nedostatečné</w:t>
      </w:r>
      <w:r w:rsidRPr="00524366">
        <w:t xml:space="preserve"> představy o </w:t>
      </w:r>
      <w:r w:rsidR="00605809" w:rsidRPr="00524366">
        <w:t>právních následcích</w:t>
      </w:r>
      <w:r w:rsidR="00BA4969" w:rsidRPr="00524366">
        <w:t xml:space="preserve">, které </w:t>
      </w:r>
      <w:r w:rsidR="001D780C" w:rsidRPr="00524366">
        <w:t>vyjdou z právního jednání</w:t>
      </w:r>
    </w:p>
    <w:p w14:paraId="3B172478" w14:textId="240489EC" w:rsidR="000638FE" w:rsidRPr="00524366" w:rsidRDefault="00667DE9" w:rsidP="009B6E18">
      <w:pPr>
        <w:pStyle w:val="Odstavecseseznamem"/>
        <w:numPr>
          <w:ilvl w:val="0"/>
          <w:numId w:val="10"/>
        </w:numPr>
        <w:spacing w:line="360" w:lineRule="auto"/>
        <w:jc w:val="both"/>
      </w:pPr>
      <w:r w:rsidRPr="00524366">
        <w:t>i s projevem jednajícího (vnější omyl) – jednající projeví jinou vůli než tu, kterou ve skutečnosti projevit chce</w:t>
      </w:r>
      <w:r w:rsidRPr="00524366">
        <w:rPr>
          <w:rStyle w:val="Znakapoznpodarou"/>
        </w:rPr>
        <w:footnoteReference w:id="164"/>
      </w:r>
      <w:r w:rsidRPr="00524366">
        <w:t xml:space="preserve"> </w:t>
      </w:r>
      <w:r w:rsidR="006871AD" w:rsidRPr="00524366">
        <w:t xml:space="preserve">(např. se přeřekne, přepíše)  </w:t>
      </w:r>
    </w:p>
    <w:p w14:paraId="19777A1F" w14:textId="77777777" w:rsidR="006553AB" w:rsidRPr="00524366" w:rsidRDefault="006553AB" w:rsidP="006553AB">
      <w:pPr>
        <w:pStyle w:val="Odstavecseseznamem"/>
        <w:spacing w:line="360" w:lineRule="auto"/>
        <w:ind w:left="1068"/>
        <w:jc w:val="both"/>
      </w:pPr>
    </w:p>
    <w:p w14:paraId="5D4C5A24" w14:textId="13469121" w:rsidR="00D65550" w:rsidRPr="00524366" w:rsidRDefault="00EA5DD0" w:rsidP="00CB4292">
      <w:pPr>
        <w:spacing w:line="360" w:lineRule="auto"/>
        <w:ind w:firstLine="360"/>
        <w:jc w:val="both"/>
      </w:pPr>
      <w:r w:rsidRPr="00524366">
        <w:t>K tomu, aby omyl způsobil neplatnost p</w:t>
      </w:r>
      <w:r w:rsidR="000638FE" w:rsidRPr="00524366">
        <w:t xml:space="preserve">rávního jednání, je nutné, aby </w:t>
      </w:r>
      <w:r w:rsidRPr="00524366">
        <w:t>se týkal rozhodující okolnosti</w:t>
      </w:r>
      <w:r w:rsidR="000638FE" w:rsidRPr="00524366">
        <w:t xml:space="preserve"> (jakákoli skutečnost rozhodná pro dané právní jednání)</w:t>
      </w:r>
      <w:r w:rsidRPr="00524366">
        <w:t xml:space="preserve"> a</w:t>
      </w:r>
      <w:r w:rsidR="00A25FF6" w:rsidRPr="00524366">
        <w:t xml:space="preserve"> druhou podmínkou je,</w:t>
      </w:r>
      <w:r w:rsidRPr="00524366">
        <w:t xml:space="preserve"> </w:t>
      </w:r>
      <w:r w:rsidR="000638FE" w:rsidRPr="00524366">
        <w:t xml:space="preserve">aby </w:t>
      </w:r>
      <w:r w:rsidRPr="00524366">
        <w:t>byl</w:t>
      </w:r>
      <w:r w:rsidR="000638FE" w:rsidRPr="00524366">
        <w:t xml:space="preserve"> jednající</w:t>
      </w:r>
      <w:r w:rsidRPr="00524366">
        <w:t xml:space="preserve"> v takový </w:t>
      </w:r>
      <w:r w:rsidR="000638FE" w:rsidRPr="00524366">
        <w:t>omyl uveden d</w:t>
      </w:r>
      <w:r w:rsidRPr="00524366">
        <w:t>r</w:t>
      </w:r>
      <w:r w:rsidR="000638FE" w:rsidRPr="00524366">
        <w:t>u</w:t>
      </w:r>
      <w:r w:rsidRPr="00524366">
        <w:t>hou stranou</w:t>
      </w:r>
      <w:r w:rsidR="000638FE" w:rsidRPr="00524366">
        <w:rPr>
          <w:rStyle w:val="Znakapoznpodarou"/>
        </w:rPr>
        <w:footnoteReference w:id="165"/>
      </w:r>
      <w:r w:rsidRPr="00524366">
        <w:t xml:space="preserve"> </w:t>
      </w:r>
      <w:r w:rsidR="00B30C29" w:rsidRPr="00524366">
        <w:t xml:space="preserve">- </w:t>
      </w:r>
      <w:r w:rsidR="00D3095A" w:rsidRPr="00524366">
        <w:t xml:space="preserve">dle </w:t>
      </w:r>
      <w:r w:rsidR="00BA4B87" w:rsidRPr="00524366">
        <w:t>současné</w:t>
      </w:r>
      <w:r w:rsidR="0040261F" w:rsidRPr="00524366">
        <w:t xml:space="preserve"> </w:t>
      </w:r>
      <w:r w:rsidR="00D3095A" w:rsidRPr="00524366">
        <w:t>právní úpravy omyl spočívá pouze v jednání,</w:t>
      </w:r>
      <w:r w:rsidR="0040261F" w:rsidRPr="00524366">
        <w:t xml:space="preserve"> které vyvolalo </w:t>
      </w:r>
      <w:r w:rsidR="00D3095A" w:rsidRPr="00524366">
        <w:t>omyl, nikoli</w:t>
      </w:r>
      <w:r w:rsidR="00AA1AA9" w:rsidRPr="00524366">
        <w:t xml:space="preserve">v </w:t>
      </w:r>
      <w:r w:rsidR="001B1CD1" w:rsidRPr="00524366">
        <w:t xml:space="preserve">již </w:t>
      </w:r>
      <w:r w:rsidR="00AA1AA9" w:rsidRPr="00524366">
        <w:t>v</w:t>
      </w:r>
      <w:r w:rsidR="00043155" w:rsidRPr="00524366">
        <w:t>e využití stávajícího omylu</w:t>
      </w:r>
      <w:r w:rsidR="00791F04" w:rsidRPr="00524366">
        <w:t>,</w:t>
      </w:r>
      <w:r w:rsidR="00043155" w:rsidRPr="00524366">
        <w:t xml:space="preserve"> jak</w:t>
      </w:r>
      <w:r w:rsidR="00AA1AA9" w:rsidRPr="00524366">
        <w:t xml:space="preserve"> za </w:t>
      </w:r>
      <w:r w:rsidR="00D3095A" w:rsidRPr="00524366">
        <w:t xml:space="preserve">účinnosti zákona č. 40/1964. </w:t>
      </w:r>
      <w:r w:rsidR="00BA6108" w:rsidRPr="00524366">
        <w:t xml:space="preserve"> </w:t>
      </w:r>
      <w:r w:rsidR="00D3095A" w:rsidRPr="00524366">
        <w:t>Dle § 49</w:t>
      </w:r>
      <w:r w:rsidR="0040261F" w:rsidRPr="00524366">
        <w:t>a</w:t>
      </w:r>
      <w:r w:rsidR="00D3095A" w:rsidRPr="00524366">
        <w:t xml:space="preserve"> </w:t>
      </w:r>
      <w:r w:rsidR="00AA1AA9" w:rsidRPr="00524366">
        <w:t xml:space="preserve">OZ byl právní úkon neplatný, </w:t>
      </w:r>
      <w:r w:rsidR="00AA1AA9" w:rsidRPr="00524366">
        <w:rPr>
          <w:i/>
        </w:rPr>
        <w:t>„…</w:t>
      </w:r>
      <w:r w:rsidR="0040261F" w:rsidRPr="00524366">
        <w:rPr>
          <w:i/>
        </w:rPr>
        <w:t>jestliže jej osoba učinila v omylu vycházejícím ze skutečnosti, jež je pro jeho uskutečnění rozhodující, a osoba, které byl právní úkon určen, tento omyl vyvolala nebo o něm musela vědět</w:t>
      </w:r>
      <w:r w:rsidR="00AA1AA9" w:rsidRPr="00524366">
        <w:rPr>
          <w:i/>
        </w:rPr>
        <w:t>.“</w:t>
      </w:r>
      <w:r w:rsidR="00043155" w:rsidRPr="00524366">
        <w:rPr>
          <w:i/>
        </w:rPr>
        <w:t xml:space="preserve"> </w:t>
      </w:r>
      <w:r w:rsidR="00043155" w:rsidRPr="00524366">
        <w:t xml:space="preserve"> Byla </w:t>
      </w:r>
      <w:r w:rsidR="00F105E6" w:rsidRPr="00524366">
        <w:t xml:space="preserve">zde stanovena ochrana jednajícího proti </w:t>
      </w:r>
      <w:r w:rsidR="0012145E" w:rsidRPr="00524366">
        <w:t>nekalému postupu druhé strany. Tento postup spočíval buď v tom, že jednající byl druhou stranou uveden v</w:t>
      </w:r>
      <w:r w:rsidR="00BA669C" w:rsidRPr="00524366">
        <w:t xml:space="preserve"> omyl </w:t>
      </w:r>
      <w:r w:rsidR="00031139" w:rsidRPr="00524366">
        <w:t>nebo v tom,</w:t>
      </w:r>
      <w:r w:rsidR="00BA669C" w:rsidRPr="00524366">
        <w:t xml:space="preserve"> že druhá strana vědomě mlčela o </w:t>
      </w:r>
      <w:r w:rsidR="00BC606B" w:rsidRPr="00524366">
        <w:t>určité otázce a nechala tak jednajícího učinit právní jednání v podstatném omylu.</w:t>
      </w:r>
      <w:r w:rsidR="00BC606B" w:rsidRPr="00524366">
        <w:rPr>
          <w:rStyle w:val="Znakapoznpodarou"/>
        </w:rPr>
        <w:footnoteReference w:id="166"/>
      </w:r>
      <w:r w:rsidR="00BC606B" w:rsidRPr="00524366">
        <w:t xml:space="preserve"> </w:t>
      </w:r>
      <w:r w:rsidR="00BA4B87" w:rsidRPr="00524366">
        <w:t xml:space="preserve">Nejvyšší soud ČR uvádí: </w:t>
      </w:r>
      <w:r w:rsidR="00BA4B87" w:rsidRPr="00524366">
        <w:rPr>
          <w:i/>
        </w:rPr>
        <w:t xml:space="preserve">„Právní podstata omylu ve vůli spočívá v tom, že jednající měl nesprávnou, resp. nedostatečnou představu o právních účincích právního úkonu. Omyl ve vůli je právně </w:t>
      </w:r>
      <w:r w:rsidR="00BA4B87" w:rsidRPr="00524366">
        <w:rPr>
          <w:i/>
        </w:rPr>
        <w:lastRenderedPageBreak/>
        <w:t>významným, tj. má za následek neplatnost právního úkonu jen tehdy, jestliže jej jednající osoba učinila v omylu vycházejícím ze skutečnosti, jež je pro právní úkon rozhodující (podstatný omyl) a bez něhož by k právnímu úkonu nedošlo, přičemž osoba, které byl právní úkon určen, tento omyl vyvolala aneb o něm alespoň musela v době právního úkonu vědět (muselo jí to být – objektivně posuzováno – zřejmé). Omyl je u právního úkonu rozhodující (podstatný), týká-li se právního důvodu (error in negotio, tj. vůle jednající osoby byla zaměřena k jinému právnímu úkonu), předmětu, a to buď totožnosti předmětu (error in corpore) nebo podstatné vlastnosti předmětu (error in qualitate), osoby (error in persona), popř. jiné skutečnosti, která byla pro uskutečnění právního úkonu podle projevené vůle subjektu rozhodující.“</w:t>
      </w:r>
      <w:r w:rsidR="00BA4B87" w:rsidRPr="00524366">
        <w:rPr>
          <w:rStyle w:val="Znakapoznpodarou"/>
          <w:i/>
        </w:rPr>
        <w:footnoteReference w:id="167"/>
      </w:r>
      <w:r w:rsidR="00BA4B87" w:rsidRPr="00524366">
        <w:rPr>
          <w:i/>
        </w:rPr>
        <w:t xml:space="preserve">  </w:t>
      </w:r>
    </w:p>
    <w:p w14:paraId="30335C61" w14:textId="28F368FA" w:rsidR="00B30C29" w:rsidRPr="00524366" w:rsidRDefault="00D65550" w:rsidP="00CB4292">
      <w:pPr>
        <w:spacing w:line="360" w:lineRule="auto"/>
        <w:ind w:firstLine="360"/>
        <w:jc w:val="both"/>
      </w:pPr>
      <w:r w:rsidRPr="00524366">
        <w:tab/>
      </w:r>
      <w:r w:rsidR="00786CEB" w:rsidRPr="00524366">
        <w:t>K neplatnosti právního jednání dle § 583 se vyžaduje vyvolání omylu druhou stranou</w:t>
      </w:r>
      <w:r w:rsidR="00786CEB" w:rsidRPr="00524366">
        <w:rPr>
          <w:rStyle w:val="Znakapoznpodarou"/>
        </w:rPr>
        <w:footnoteReference w:id="168"/>
      </w:r>
      <w:r w:rsidR="00786CEB" w:rsidRPr="00524366">
        <w:t>, zatímco dle § 585 postačuje, pokud druhá strana o omylu jednajícího musela vědět. Dosavadní právní úpravy</w:t>
      </w:r>
      <w:r w:rsidR="00786CEB" w:rsidRPr="00524366">
        <w:rPr>
          <w:rStyle w:val="Znakapoznpodarou"/>
        </w:rPr>
        <w:footnoteReference w:id="169"/>
      </w:r>
      <w:r w:rsidR="00786CEB" w:rsidRPr="00524366">
        <w:t xml:space="preserve"> stály na konceptu, kde druhá strana o omylu věděla nebo musela vědět. </w:t>
      </w:r>
      <w:r w:rsidR="00B528A2" w:rsidRPr="00524366">
        <w:t xml:space="preserve">NOZ </w:t>
      </w:r>
      <w:r w:rsidR="001B1CD1" w:rsidRPr="00524366">
        <w:t xml:space="preserve">právní úpravu omylu v § 583 omezil pouze na situaci, kdy byl omyl </w:t>
      </w:r>
      <w:r w:rsidR="005D1BBC" w:rsidRPr="00524366">
        <w:t>způsoben druhou stranou. Autor</w:t>
      </w:r>
      <w:r w:rsidR="002816DB" w:rsidRPr="00524366">
        <w:t xml:space="preserve"> </w:t>
      </w:r>
      <w:r w:rsidR="005D1BBC" w:rsidRPr="00524366">
        <w:t xml:space="preserve">části </w:t>
      </w:r>
      <w:r w:rsidR="001B1CD1" w:rsidRPr="00524366">
        <w:t>komentáře od C.H. Beck</w:t>
      </w:r>
      <w:r w:rsidR="00FC3B54" w:rsidRPr="00524366">
        <w:t>a</w:t>
      </w:r>
      <w:r w:rsidR="000A42AC" w:rsidRPr="00524366">
        <w:t>,</w:t>
      </w:r>
      <w:r w:rsidR="00B8353A" w:rsidRPr="00524366">
        <w:t xml:space="preserve"> J. Handlar se domnívá</w:t>
      </w:r>
      <w:r w:rsidR="001B1CD1" w:rsidRPr="00524366">
        <w:t xml:space="preserve">, že </w:t>
      </w:r>
      <w:r w:rsidR="002A7DE8" w:rsidRPr="00524366">
        <w:t>vypuštění</w:t>
      </w:r>
      <w:r w:rsidR="008B051D" w:rsidRPr="00524366">
        <w:t xml:space="preserve"> předmětného ustanovení </w:t>
      </w:r>
      <w:r w:rsidR="002A7DE8" w:rsidRPr="00524366">
        <w:t>se</w:t>
      </w:r>
      <w:r w:rsidR="008B051D" w:rsidRPr="00524366">
        <w:t xml:space="preserve"> stalo nedopatřením, nikoliv záměrem zákonodárce</w:t>
      </w:r>
      <w:r w:rsidR="00275DB1" w:rsidRPr="00524366">
        <w:t>, a to</w:t>
      </w:r>
      <w:r w:rsidR="008B051D" w:rsidRPr="00524366">
        <w:t xml:space="preserve"> s odkazem na důvodovou zprávu, v níž nenalezneme žádnou zmínku o</w:t>
      </w:r>
      <w:r w:rsidR="00275DB1" w:rsidRPr="00524366">
        <w:t xml:space="preserve"> důvodu vypuštění výše zmíněného ustanovení.</w:t>
      </w:r>
      <w:r w:rsidR="002A7DE8" w:rsidRPr="00524366">
        <w:rPr>
          <w:rStyle w:val="Znakapoznpodarou"/>
        </w:rPr>
        <w:footnoteReference w:id="170"/>
      </w:r>
      <w:r w:rsidR="002A7DE8" w:rsidRPr="00524366">
        <w:t xml:space="preserve"> </w:t>
      </w:r>
      <w:r w:rsidR="006819D5" w:rsidRPr="00524366">
        <w:t>V komentáři od Wolters Kluwer se auto</w:t>
      </w:r>
      <w:r w:rsidR="001E3048" w:rsidRPr="00524366">
        <w:t>r předmětné části komentáře</w:t>
      </w:r>
      <w:r w:rsidR="000A42AC" w:rsidRPr="00524366">
        <w:t>,</w:t>
      </w:r>
      <w:r w:rsidR="001E3048" w:rsidRPr="00524366">
        <w:t xml:space="preserve"> L. Tichý zabývá</w:t>
      </w:r>
      <w:r w:rsidR="006819D5" w:rsidRPr="00524366">
        <w:t xml:space="preserve"> pouze </w:t>
      </w:r>
      <w:r w:rsidR="007C48E9" w:rsidRPr="00524366">
        <w:t xml:space="preserve">situací, kdy jedna strana byla v omyl uvedena stranou druhou, </w:t>
      </w:r>
      <w:r w:rsidR="001843F4" w:rsidRPr="00524366">
        <w:t>srovnání § 583</w:t>
      </w:r>
      <w:r w:rsidR="000A42AC" w:rsidRPr="00524366">
        <w:t xml:space="preserve"> NOZ s § 49a OZ neuvádí.</w:t>
      </w:r>
      <w:r w:rsidR="00AC74AF" w:rsidRPr="00524366">
        <w:rPr>
          <w:rStyle w:val="Znakapoznpodarou"/>
        </w:rPr>
        <w:footnoteReference w:id="171"/>
      </w:r>
      <w:r w:rsidR="00CB4292" w:rsidRPr="00524366">
        <w:t xml:space="preserve"> </w:t>
      </w:r>
      <w:r w:rsidR="00016484" w:rsidRPr="00524366">
        <w:t xml:space="preserve">Názorově se </w:t>
      </w:r>
      <w:r w:rsidR="003E13A8" w:rsidRPr="00524366">
        <w:t xml:space="preserve">však </w:t>
      </w:r>
      <w:r w:rsidR="00016484" w:rsidRPr="00524366">
        <w:t>ztotožňuji s</w:t>
      </w:r>
      <w:r w:rsidR="00697C1A" w:rsidRPr="00524366">
        <w:t> doc. F.</w:t>
      </w:r>
      <w:r w:rsidR="00267295" w:rsidRPr="00524366">
        <w:t> Melzerem, který uvádí</w:t>
      </w:r>
      <w:r w:rsidR="00FF77FE" w:rsidRPr="00524366">
        <w:t xml:space="preserve">, že </w:t>
      </w:r>
      <w:r w:rsidR="00AE754D" w:rsidRPr="00524366">
        <w:t xml:space="preserve">již </w:t>
      </w:r>
      <w:r w:rsidR="00AE754D" w:rsidRPr="00524366">
        <w:rPr>
          <w:i/>
        </w:rPr>
        <w:t xml:space="preserve">„z </w:t>
      </w:r>
      <w:r w:rsidR="007C4080" w:rsidRPr="00524366">
        <w:rPr>
          <w:i/>
        </w:rPr>
        <w:t xml:space="preserve">principu </w:t>
      </w:r>
      <w:r w:rsidR="00CB12D0" w:rsidRPr="00524366">
        <w:rPr>
          <w:i/>
        </w:rPr>
        <w:t>poctivosti</w:t>
      </w:r>
      <w:r w:rsidR="00F51A85" w:rsidRPr="00524366">
        <w:rPr>
          <w:rStyle w:val="Znakapoznpodarou"/>
          <w:i/>
        </w:rPr>
        <w:footnoteReference w:id="172"/>
      </w:r>
      <w:r w:rsidR="00CB12D0" w:rsidRPr="00524366">
        <w:rPr>
          <w:i/>
        </w:rPr>
        <w:t xml:space="preserve"> </w:t>
      </w:r>
      <w:r w:rsidR="00D92D56" w:rsidRPr="00524366">
        <w:rPr>
          <w:i/>
        </w:rPr>
        <w:t>plyne po</w:t>
      </w:r>
      <w:r w:rsidR="00AE754D" w:rsidRPr="00524366">
        <w:rPr>
          <w:i/>
        </w:rPr>
        <w:t>vinnost upozornit druhou stranu na její omyl</w:t>
      </w:r>
      <w:r w:rsidR="000A42AC" w:rsidRPr="00524366">
        <w:rPr>
          <w:i/>
        </w:rPr>
        <w:t>, přinejmenším úmyslné využití omylu jiného současně představuje omisivní utvrzení v omylu.</w:t>
      </w:r>
      <w:r w:rsidR="00AE754D" w:rsidRPr="00524366">
        <w:rPr>
          <w:i/>
        </w:rPr>
        <w:t>“</w:t>
      </w:r>
      <w:r w:rsidR="00AE754D" w:rsidRPr="00524366">
        <w:rPr>
          <w:rStyle w:val="Znakapoznpodarou"/>
          <w:i/>
        </w:rPr>
        <w:footnoteReference w:id="173"/>
      </w:r>
      <w:r w:rsidR="00AE754D" w:rsidRPr="00524366">
        <w:rPr>
          <w:i/>
        </w:rPr>
        <w:t xml:space="preserve"> </w:t>
      </w:r>
    </w:p>
    <w:p w14:paraId="5EF44E34" w14:textId="59E3B7C0" w:rsidR="002F395D" w:rsidRPr="00524366" w:rsidRDefault="003569A9" w:rsidP="009B024B">
      <w:pPr>
        <w:spacing w:line="360" w:lineRule="auto"/>
        <w:ind w:firstLine="360"/>
        <w:jc w:val="both"/>
      </w:pPr>
      <w:r w:rsidRPr="00524366">
        <w:tab/>
        <w:t xml:space="preserve"> </w:t>
      </w:r>
      <w:r w:rsidR="00661D07" w:rsidRPr="00524366">
        <w:t xml:space="preserve">§ 584 odst. 2 NOZ </w:t>
      </w:r>
      <w:r w:rsidR="0037667B" w:rsidRPr="00524366">
        <w:t xml:space="preserve"> uvádí, že </w:t>
      </w:r>
      <w:r w:rsidR="00661D07" w:rsidRPr="00524366">
        <w:t>právní jednání vyvolané lstí</w:t>
      </w:r>
      <w:r w:rsidR="0037667B" w:rsidRPr="00524366">
        <w:rPr>
          <w:rStyle w:val="Znakapoznpodarou"/>
        </w:rPr>
        <w:footnoteReference w:id="174"/>
      </w:r>
      <w:r w:rsidR="00661D07" w:rsidRPr="00524366">
        <w:t xml:space="preserve"> druhého účastníka má vždy za následek neplatnost tohoto jednání.</w:t>
      </w:r>
      <w:r w:rsidR="00366276" w:rsidRPr="00524366">
        <w:t xml:space="preserve"> </w:t>
      </w:r>
      <w:r w:rsidR="00366276" w:rsidRPr="00524366">
        <w:rPr>
          <w:i/>
        </w:rPr>
        <w:t>„Lest spočívá obvykle v tom, že druhý účastník úmyslně předstírá něco, co neexistuje, anebo naopak zastírá něco, co existuje.“</w:t>
      </w:r>
      <w:r w:rsidR="00366276" w:rsidRPr="00524366">
        <w:rPr>
          <w:rStyle w:val="Znakapoznpodarou"/>
          <w:i/>
        </w:rPr>
        <w:footnoteReference w:id="175"/>
      </w:r>
      <w:r w:rsidR="003E2D71" w:rsidRPr="00524366">
        <w:t xml:space="preserve"> </w:t>
      </w:r>
      <w:r w:rsidR="001367FE" w:rsidRPr="00524366">
        <w:t>Právním následkem omylu je neplatnost (§ 583)</w:t>
      </w:r>
      <w:r w:rsidR="00DE5F23" w:rsidRPr="00524366">
        <w:t xml:space="preserve">, jedná se neplatnost relativní, jelikož je tato neplatnost stanovena na ochranu zájmu mýlící se osoby, námitku neplatnosti však může vznést jen tato osoba (§ 586). </w:t>
      </w:r>
      <w:r w:rsidR="007854E3">
        <w:t>Doc. F. Melzer zdůrazňuje</w:t>
      </w:r>
      <w:r w:rsidR="00CF105B" w:rsidRPr="00524366">
        <w:t xml:space="preserve">, že </w:t>
      </w:r>
      <w:r w:rsidR="00EE4254" w:rsidRPr="00524366">
        <w:t xml:space="preserve">NOZ </w:t>
      </w:r>
      <w:r w:rsidR="00EE4254" w:rsidRPr="00524366">
        <w:lastRenderedPageBreak/>
        <w:t>je radikálnější v řešení otázky relativní a absolutní neplatnosti než OZ z roku 1964, jenž stál na principu absolutní neplatnosti (vyjma taxativně stanovených případů uvedených v § 40a).</w:t>
      </w:r>
      <w:r w:rsidR="00EE4254" w:rsidRPr="00524366">
        <w:rPr>
          <w:rStyle w:val="Znakapoznpodarou"/>
        </w:rPr>
        <w:footnoteReference w:id="176"/>
      </w:r>
      <w:r w:rsidR="00EE4254" w:rsidRPr="00524366">
        <w:t xml:space="preserve"> </w:t>
      </w:r>
      <w:r w:rsidR="00CF105B" w:rsidRPr="00524366">
        <w:t>NOZ totiž klade svobodu jednotlivce na první místo (a tato svoboda má být omezena pouze tehdy, pokud je pro to racionální důvod); vychází se zároveň z toho, že úprava soukromých vzájemných práv a povinností je základním východiskem soukromého práva.</w:t>
      </w:r>
      <w:r w:rsidR="00CF105B" w:rsidRPr="00524366">
        <w:rPr>
          <w:rStyle w:val="Znakapoznpodarou"/>
        </w:rPr>
        <w:footnoteReference w:id="177"/>
      </w:r>
      <w:r w:rsidR="00CF105B" w:rsidRPr="00524366">
        <w:t xml:space="preserve"> </w:t>
      </w:r>
    </w:p>
    <w:p w14:paraId="6E897E65" w14:textId="77777777" w:rsidR="00EE4254" w:rsidRPr="00524366" w:rsidRDefault="00EE4254" w:rsidP="009B024B">
      <w:pPr>
        <w:spacing w:line="360" w:lineRule="auto"/>
        <w:ind w:firstLine="360"/>
        <w:jc w:val="both"/>
      </w:pPr>
    </w:p>
    <w:p w14:paraId="17EC3289" w14:textId="09841638" w:rsidR="00E41C65" w:rsidRPr="00524366" w:rsidRDefault="00842A57" w:rsidP="009B6E18">
      <w:pPr>
        <w:pStyle w:val="Nadpis2"/>
        <w:numPr>
          <w:ilvl w:val="1"/>
          <w:numId w:val="17"/>
        </w:numPr>
        <w:spacing w:line="360" w:lineRule="auto"/>
      </w:pPr>
      <w:bookmarkStart w:id="23" w:name="_Toc523139885"/>
      <w:r w:rsidRPr="00524366">
        <w:t>Typy</w:t>
      </w:r>
      <w:r w:rsidR="004B0BBF" w:rsidRPr="00524366">
        <w:t xml:space="preserve"> omylu</w:t>
      </w:r>
      <w:r w:rsidR="00E41C65" w:rsidRPr="00524366">
        <w:t xml:space="preserve"> dle NOZ</w:t>
      </w:r>
      <w:bookmarkEnd w:id="23"/>
      <w:r w:rsidR="00E41C65" w:rsidRPr="00524366">
        <w:t xml:space="preserve"> </w:t>
      </w:r>
    </w:p>
    <w:p w14:paraId="42F3D1B8" w14:textId="6E5257B5" w:rsidR="00AC11C7" w:rsidRPr="00524366" w:rsidRDefault="00A64ABE" w:rsidP="002F395D">
      <w:pPr>
        <w:spacing w:line="360" w:lineRule="auto"/>
        <w:ind w:firstLine="708"/>
        <w:jc w:val="both"/>
      </w:pPr>
      <w:r w:rsidRPr="00524366">
        <w:t xml:space="preserve">Český právní řád upravuje tyto typy: </w:t>
      </w:r>
      <w:r w:rsidR="00AC11C7" w:rsidRPr="00524366">
        <w:t xml:space="preserve"> </w:t>
      </w:r>
    </w:p>
    <w:p w14:paraId="3ADB6EA7" w14:textId="6AE5701D" w:rsidR="00D327F2" w:rsidRPr="00524366" w:rsidRDefault="00AC11C7" w:rsidP="009B6E18">
      <w:pPr>
        <w:pStyle w:val="Odstavecseseznamem"/>
        <w:numPr>
          <w:ilvl w:val="0"/>
          <w:numId w:val="11"/>
        </w:numPr>
        <w:spacing w:line="360" w:lineRule="auto"/>
        <w:jc w:val="both"/>
      </w:pPr>
      <w:r w:rsidRPr="00524366">
        <w:t xml:space="preserve">omyl v rozhodující okolnosti (neboli omyl podstatný) vyplývající z § 583 </w:t>
      </w:r>
      <w:r w:rsidR="00556E78" w:rsidRPr="00524366">
        <w:t>–</w:t>
      </w:r>
      <w:r w:rsidR="001216BB" w:rsidRPr="00524366">
        <w:t xml:space="preserve"> </w:t>
      </w:r>
      <w:r w:rsidR="00556E78" w:rsidRPr="00524366">
        <w:t>co se však rozumí rozho</w:t>
      </w:r>
      <w:r w:rsidR="005B5F19" w:rsidRPr="00524366">
        <w:t>dující okolností zákon neuvádí; p</w:t>
      </w:r>
      <w:r w:rsidR="00556E78" w:rsidRPr="00524366">
        <w:t xml:space="preserve">odle </w:t>
      </w:r>
      <w:r w:rsidR="00C67B17" w:rsidRPr="00524366">
        <w:t xml:space="preserve">J. </w:t>
      </w:r>
      <w:r w:rsidR="00556E78" w:rsidRPr="00524366">
        <w:t>Handlara bude rozhodující</w:t>
      </w:r>
      <w:r w:rsidR="00066133" w:rsidRPr="00524366">
        <w:t xml:space="preserve"> oko</w:t>
      </w:r>
      <w:r w:rsidR="008F2E27" w:rsidRPr="00524366">
        <w:t>lností</w:t>
      </w:r>
      <w:r w:rsidR="00066133" w:rsidRPr="00524366">
        <w:t xml:space="preserve"> jen ta skutečnost</w:t>
      </w:r>
      <w:r w:rsidR="008F2E27" w:rsidRPr="00524366">
        <w:t xml:space="preserve"> rozhodná pro právní jednání</w:t>
      </w:r>
      <w:r w:rsidR="00066133" w:rsidRPr="00524366">
        <w:t xml:space="preserve">, </w:t>
      </w:r>
      <w:r w:rsidR="008F2E27" w:rsidRPr="00524366">
        <w:t>která by měla za následek, že by strana dané právní jednání neučinila vůbec, anebo za podstatně odlišných podmínek.</w:t>
      </w:r>
      <w:r w:rsidR="008F2E27" w:rsidRPr="00524366">
        <w:rPr>
          <w:rStyle w:val="Znakapoznpodarou"/>
        </w:rPr>
        <w:footnoteReference w:id="178"/>
      </w:r>
      <w:r w:rsidR="008F2E27" w:rsidRPr="00524366">
        <w:t xml:space="preserve"> </w:t>
      </w:r>
    </w:p>
    <w:p w14:paraId="0F30CF3E" w14:textId="420ED735" w:rsidR="00D327F2" w:rsidRPr="00524366" w:rsidRDefault="00AC11C7" w:rsidP="009B6E18">
      <w:pPr>
        <w:pStyle w:val="Odstavecseseznamem"/>
        <w:numPr>
          <w:ilvl w:val="0"/>
          <w:numId w:val="11"/>
        </w:numPr>
        <w:spacing w:line="360" w:lineRule="auto"/>
        <w:jc w:val="both"/>
      </w:pPr>
      <w:r w:rsidRPr="00524366">
        <w:t>omyl ve vedlejší okolnosti</w:t>
      </w:r>
      <w:r w:rsidR="00D73CC4" w:rsidRPr="00524366">
        <w:t xml:space="preserve"> </w:t>
      </w:r>
      <w:r w:rsidR="00C743EF" w:rsidRPr="00524366">
        <w:t>–</w:t>
      </w:r>
      <w:r w:rsidR="00295113" w:rsidRPr="00524366">
        <w:t xml:space="preserve"> </w:t>
      </w:r>
      <w:r w:rsidR="00D73CC4" w:rsidRPr="00524366">
        <w:t xml:space="preserve">z ustanovení § 584 odst. 1  vyplývá, že pokud strany neprohlásily vedlejší okolnost za rozhodující, jedná se o omyl nepodstatný (tento omyl nevyvolává relativní neplatnost, zakládá však právo na přiměřenou náhradu) </w:t>
      </w:r>
    </w:p>
    <w:p w14:paraId="20CED3CA" w14:textId="334F5292" w:rsidR="00D327F2" w:rsidRPr="00524366" w:rsidRDefault="005D5462" w:rsidP="009B6E18">
      <w:pPr>
        <w:pStyle w:val="Odstavecseseznamem"/>
        <w:numPr>
          <w:ilvl w:val="0"/>
          <w:numId w:val="11"/>
        </w:numPr>
        <w:spacing w:line="360" w:lineRule="auto"/>
        <w:jc w:val="both"/>
      </w:pPr>
      <w:r w:rsidRPr="00524366">
        <w:t xml:space="preserve">omyl vyvolaný lstí </w:t>
      </w:r>
      <w:r w:rsidR="00605AD4" w:rsidRPr="00524366">
        <w:t xml:space="preserve">(§ 584 odst. 2) </w:t>
      </w:r>
      <w:r w:rsidR="00956C95" w:rsidRPr="00524366">
        <w:t>– i když se týká jen vedlejší okolnosti, je právně relevant</w:t>
      </w:r>
      <w:r w:rsidR="00D73CC4" w:rsidRPr="00524366">
        <w:t>ní</w:t>
      </w:r>
      <w:r w:rsidR="00525283" w:rsidRPr="00524366">
        <w:t xml:space="preserve">; definici lstivého jednání způsobujícího omyl </w:t>
      </w:r>
      <w:r w:rsidR="00867955" w:rsidRPr="00524366">
        <w:t>vyložil již Nejvyšší soud v</w:t>
      </w:r>
      <w:r w:rsidR="00042C38" w:rsidRPr="00524366">
        <w:t> </w:t>
      </w:r>
      <w:r w:rsidR="00867955" w:rsidRPr="00524366">
        <w:t>roce</w:t>
      </w:r>
      <w:r w:rsidR="00042C38" w:rsidRPr="00524366">
        <w:t xml:space="preserve"> 1923 takto: </w:t>
      </w:r>
      <w:r w:rsidR="00042C38" w:rsidRPr="00524366">
        <w:rPr>
          <w:i/>
        </w:rPr>
        <w:t xml:space="preserve">„lstivé jednání … je každé jednání, jímž úmyslně je druhá strana klamána nebo zúmyslně se její omyl využitkuje, nevyžaduje zvláště šálivého jednání; lstivé jednání musí směřovati k poškození druhé strany a příčiti se objektivním předpisům práva.“ </w:t>
      </w:r>
      <w:r w:rsidR="00042C38" w:rsidRPr="00524366">
        <w:rPr>
          <w:rStyle w:val="Znakapoznpodarou"/>
          <w:i/>
        </w:rPr>
        <w:footnoteReference w:id="179"/>
      </w:r>
      <w:r w:rsidR="00042C38" w:rsidRPr="00524366">
        <w:rPr>
          <w:i/>
        </w:rPr>
        <w:t xml:space="preserve"> „Lstí … je každá vědomá nepravda, již jedna strana předkládá k věření druhé, pravého stavu neznající a takto ji hledí oklamati.“</w:t>
      </w:r>
      <w:r w:rsidR="00042C38" w:rsidRPr="00524366">
        <w:rPr>
          <w:rStyle w:val="Znakapoznpodarou"/>
          <w:i/>
        </w:rPr>
        <w:footnoteReference w:id="180"/>
      </w:r>
      <w:r w:rsidR="00042C38" w:rsidRPr="00524366">
        <w:rPr>
          <w:i/>
        </w:rPr>
        <w:t xml:space="preserve"> </w:t>
      </w:r>
    </w:p>
    <w:p w14:paraId="549EF3C9" w14:textId="1AA2D845" w:rsidR="00D327F2" w:rsidRPr="00524366" w:rsidRDefault="005D5462" w:rsidP="009B6E18">
      <w:pPr>
        <w:pStyle w:val="Odstavecseseznamem"/>
        <w:numPr>
          <w:ilvl w:val="0"/>
          <w:numId w:val="11"/>
        </w:numPr>
        <w:spacing w:line="360" w:lineRule="auto"/>
        <w:jc w:val="both"/>
      </w:pPr>
      <w:r w:rsidRPr="00524366">
        <w:t xml:space="preserve">omyl vyvolaný třetí osobou </w:t>
      </w:r>
      <w:r w:rsidR="00605AD4" w:rsidRPr="00524366">
        <w:t xml:space="preserve">(§ 585) </w:t>
      </w:r>
      <w:r w:rsidR="004F44A1" w:rsidRPr="00524366">
        <w:t>–</w:t>
      </w:r>
      <w:r w:rsidR="008D7F37" w:rsidRPr="00524366">
        <w:t xml:space="preserve"> </w:t>
      </w:r>
      <w:r w:rsidR="00635B76" w:rsidRPr="00524366">
        <w:t xml:space="preserve">toto ustanovení dopadá na případy, kdy omyl vyvolala osoba třetí, tedy osoba, která není účastníkem právního jednání (ani zástupcem účastníka právního jednání). </w:t>
      </w:r>
      <w:r w:rsidR="00E0632F" w:rsidRPr="00524366">
        <w:t>Již p</w:t>
      </w:r>
      <w:r w:rsidR="00E535A4" w:rsidRPr="00524366">
        <w:t xml:space="preserve">ředválečná judikatura </w:t>
      </w:r>
      <w:r w:rsidR="00E0632F" w:rsidRPr="00524366">
        <w:t xml:space="preserve">formulovala závěr, že: </w:t>
      </w:r>
      <w:r w:rsidR="00E0632F" w:rsidRPr="00524366">
        <w:rPr>
          <w:i/>
        </w:rPr>
        <w:t>„třetí osobou po rozumu §u 875 o</w:t>
      </w:r>
      <w:r w:rsidR="00146B62" w:rsidRPr="00524366">
        <w:rPr>
          <w:i/>
        </w:rPr>
        <w:t>bč</w:t>
      </w:r>
      <w:r w:rsidR="00E0632F" w:rsidRPr="00524366">
        <w:rPr>
          <w:i/>
        </w:rPr>
        <w:t>. zák. jest pouze osoba nezúčastnění, není jí však ten, jehož pomocí byla smlouva uzavřena.“</w:t>
      </w:r>
      <w:r w:rsidR="00E0632F" w:rsidRPr="00524366">
        <w:rPr>
          <w:rStyle w:val="Znakapoznpodarou"/>
          <w:i/>
        </w:rPr>
        <w:footnoteReference w:id="181"/>
      </w:r>
      <w:r w:rsidR="00E0632F" w:rsidRPr="00524366">
        <w:rPr>
          <w:i/>
        </w:rPr>
        <w:t xml:space="preserve"> </w:t>
      </w:r>
      <w:r w:rsidR="00B62DB0" w:rsidRPr="00524366">
        <w:t xml:space="preserve">Pokud je omyl vyvolán právě třetí osobou, </w:t>
      </w:r>
      <w:r w:rsidR="00B62DB0" w:rsidRPr="00524366">
        <w:lastRenderedPageBreak/>
        <w:t>nemá její jednání vli</w:t>
      </w:r>
      <w:r w:rsidR="00FE022C" w:rsidRPr="00524366">
        <w:t xml:space="preserve">v na platnost právního jednání, z toho však zákon stanoví dvě výjimky, a to: situace, kdy osoba, s níž se právně jednalo, má na činu třetí osoby podíl, anebo o něm věděla, či alespoň musela vědět (taková osoba se považuje ze původce omylu). </w:t>
      </w:r>
      <w:r w:rsidR="00E3145B" w:rsidRPr="00524366">
        <w:rPr>
          <w:i/>
        </w:rPr>
        <w:t>„Lze dovodit, že vědomost druhé strany je v daném případě právně významná pouze tehdy, pokud se vztahuje na jednání třetí osoby i na omyl, který byl takovým jednáním vyvolán. Podle § 585 je tento předpoklad naplněn, pokud druhá strana o omylu jednajícího věděla, anebo pokud o něm vědět musela, tedy pokud měla k dispozici takové informace, ze kterých vyplývá, že jednající provedl právní jednání v omylu.“</w:t>
      </w:r>
      <w:r w:rsidR="00E3145B" w:rsidRPr="00524366">
        <w:rPr>
          <w:rStyle w:val="Znakapoznpodarou"/>
          <w:i/>
        </w:rPr>
        <w:footnoteReference w:id="182"/>
      </w:r>
      <w:r w:rsidR="00E3145B" w:rsidRPr="00524366">
        <w:rPr>
          <w:i/>
        </w:rPr>
        <w:t xml:space="preserve"> </w:t>
      </w:r>
      <w:r w:rsidR="00E3145B" w:rsidRPr="00524366">
        <w:t>Také tehdejší doktrína</w:t>
      </w:r>
      <w:r w:rsidR="006E4657" w:rsidRPr="00524366">
        <w:t xml:space="preserve"> dovozovala, že omyl způsobený třetí osobou je právně významný jen tehdy, pokud o něm druhá strana věděla nebo musela vědět, anebo při něm spolupůsobila.</w:t>
      </w:r>
      <w:r w:rsidR="006E4657" w:rsidRPr="00524366">
        <w:rPr>
          <w:rStyle w:val="Znakapoznpodarou"/>
        </w:rPr>
        <w:footnoteReference w:id="183"/>
      </w:r>
    </w:p>
    <w:p w14:paraId="5274E72F" w14:textId="1E8077D9" w:rsidR="0014799E" w:rsidRPr="00524366" w:rsidRDefault="0014799E" w:rsidP="009B6E18">
      <w:pPr>
        <w:pStyle w:val="Odstavecseseznamem"/>
        <w:numPr>
          <w:ilvl w:val="0"/>
          <w:numId w:val="11"/>
        </w:numPr>
        <w:spacing w:line="360" w:lineRule="auto"/>
        <w:jc w:val="both"/>
      </w:pPr>
      <w:r w:rsidRPr="00524366">
        <w:t xml:space="preserve">speciální úprava omylu: </w:t>
      </w:r>
    </w:p>
    <w:p w14:paraId="4CEEE4FF" w14:textId="77777777" w:rsidR="0014799E" w:rsidRPr="00524366" w:rsidRDefault="005311EA" w:rsidP="009B6E18">
      <w:pPr>
        <w:pStyle w:val="Odstavecseseznamem"/>
        <w:numPr>
          <w:ilvl w:val="0"/>
          <w:numId w:val="8"/>
        </w:numPr>
        <w:spacing w:line="360" w:lineRule="auto"/>
        <w:jc w:val="both"/>
      </w:pPr>
      <w:r w:rsidRPr="00524366">
        <w:t>omyl při uzavírání manželství – speciální úprava omylu v § 684 odst. 1, v takovém případě soud na návrh prohlásí manželství za neplatné</w:t>
      </w:r>
    </w:p>
    <w:p w14:paraId="2CF2E413" w14:textId="78419A01" w:rsidR="00144A12" w:rsidRPr="00524366" w:rsidRDefault="00034B81" w:rsidP="009B6E18">
      <w:pPr>
        <w:pStyle w:val="Odstavecseseznamem"/>
        <w:numPr>
          <w:ilvl w:val="0"/>
          <w:numId w:val="8"/>
        </w:numPr>
        <w:spacing w:line="360" w:lineRule="auto"/>
        <w:jc w:val="both"/>
      </w:pPr>
      <w:r w:rsidRPr="00524366">
        <w:t>omyl při sepi</w:t>
      </w:r>
      <w:r w:rsidR="00AC50B7" w:rsidRPr="00524366">
        <w:t xml:space="preserve">sování závěti –  § 1529 – </w:t>
      </w:r>
      <w:r w:rsidR="00144A12" w:rsidRPr="00524366">
        <w:t xml:space="preserve"> § 1531</w:t>
      </w:r>
    </w:p>
    <w:p w14:paraId="2C08515B" w14:textId="77777777" w:rsidR="00144A12" w:rsidRPr="00524366" w:rsidRDefault="00144A12" w:rsidP="00144A12">
      <w:pPr>
        <w:pStyle w:val="Odstavecseseznamem"/>
        <w:spacing w:line="360" w:lineRule="auto"/>
        <w:ind w:left="1776"/>
        <w:jc w:val="both"/>
      </w:pPr>
    </w:p>
    <w:p w14:paraId="33B22757" w14:textId="7123F914" w:rsidR="008105C0" w:rsidRPr="00524366" w:rsidRDefault="00144A12" w:rsidP="00514B7C">
      <w:pPr>
        <w:spacing w:line="360" w:lineRule="auto"/>
        <w:ind w:firstLine="708"/>
        <w:jc w:val="both"/>
      </w:pPr>
      <w:r w:rsidRPr="00524366">
        <w:t xml:space="preserve">O právně relevantním omylu můžeme hovořit v případě, že bude možno daný omyl podřadit pod některý z výše zákonem uznaných typů omylu. To však samo o sobě nestačí, neboť právní teorie i soudní praxe vyhází z toho, že aby byl omyl právně relevantní, musí se jednat </w:t>
      </w:r>
      <w:r w:rsidR="00514B7C" w:rsidRPr="00524366">
        <w:t xml:space="preserve">o tzv. omluvitelný omyl. </w:t>
      </w:r>
    </w:p>
    <w:p w14:paraId="0C1774EC" w14:textId="77777777" w:rsidR="00514B7C" w:rsidRPr="00524366" w:rsidRDefault="00514B7C" w:rsidP="00514B7C">
      <w:pPr>
        <w:spacing w:line="360" w:lineRule="auto"/>
        <w:jc w:val="both"/>
      </w:pPr>
    </w:p>
    <w:p w14:paraId="41134772" w14:textId="1890D600" w:rsidR="00816358" w:rsidRPr="00524366" w:rsidRDefault="008105C0" w:rsidP="009B6E18">
      <w:pPr>
        <w:pStyle w:val="Nadpis2"/>
        <w:numPr>
          <w:ilvl w:val="1"/>
          <w:numId w:val="17"/>
        </w:numPr>
      </w:pPr>
      <w:bookmarkStart w:id="24" w:name="_Toc523139886"/>
      <w:r w:rsidRPr="00524366">
        <w:t>Omluvitelnost</w:t>
      </w:r>
      <w:r w:rsidR="003841F2" w:rsidRPr="00524366">
        <w:t xml:space="preserve"> omyl</w:t>
      </w:r>
      <w:r w:rsidRPr="00524366">
        <w:t>u</w:t>
      </w:r>
      <w:bookmarkEnd w:id="24"/>
      <w:r w:rsidR="003841F2" w:rsidRPr="00524366">
        <w:t xml:space="preserve"> </w:t>
      </w:r>
    </w:p>
    <w:p w14:paraId="69AA34D7" w14:textId="77777777" w:rsidR="00816358" w:rsidRPr="00524366" w:rsidRDefault="00816358" w:rsidP="003841F2">
      <w:pPr>
        <w:pStyle w:val="Odstavecseseznamem"/>
        <w:ind w:left="1440"/>
      </w:pPr>
    </w:p>
    <w:p w14:paraId="0E47118A" w14:textId="69D3B86F" w:rsidR="00C03C17" w:rsidRPr="00524366" w:rsidRDefault="00517DC6" w:rsidP="00C03C17">
      <w:pPr>
        <w:spacing w:line="360" w:lineRule="auto"/>
        <w:ind w:firstLine="708"/>
        <w:jc w:val="both"/>
      </w:pPr>
      <w:r w:rsidRPr="00524366">
        <w:t>Omluvitelnost omylu je judikaturou dovozený pře</w:t>
      </w:r>
      <w:r w:rsidR="00514B7C" w:rsidRPr="00524366">
        <w:t xml:space="preserve">dpoklad právní relevance omylu, pouze takového omylu se lze dovolat. </w:t>
      </w:r>
      <w:r w:rsidR="00420571" w:rsidRPr="00524366">
        <w:t>Omluvitelný omyl negativně definoval Nejvyšší soud České republiky</w:t>
      </w:r>
      <w:r w:rsidR="003841F2" w:rsidRPr="00524366">
        <w:t xml:space="preserve"> takto: </w:t>
      </w:r>
      <w:r w:rsidR="00420571" w:rsidRPr="00524366">
        <w:rPr>
          <w:i/>
        </w:rPr>
        <w:t xml:space="preserve">„O omluvitelný omyl, kterým je pravidelně omyl jednající osoby týkající se skutkových okolností (error facti), pak nepochybně nejde, byl-li omyl jednající osoby zaviněn její nedbalostí při využití možnosti ověřit si skutečnosti rozhodné pro uskutečnění zamýšleného právního úkonu. Tj. jinak řečeno, o omyl, který lze omluvit, nepůjde tehdy, měla-li jednající, a omylu se pak dovolávající osoba, možnost se takovému omylu vyhnout vlastní pečlivostí při seznání skutečností pro uskutečnění právního úkonu rozhodujících. Nelze totiž akceptovat možnost, že by se bylo lze účinně dovolat neplatnosti pro omyl podle ustanovení § 49a o. z. za situace, kdy by omylu se dovolávající osoba zanedbala pro ni ve věci objektivně existující možnost přesvědčit se o pravém stavu věci, a bez </w:t>
      </w:r>
      <w:r w:rsidR="00420571" w:rsidRPr="00524366">
        <w:rPr>
          <w:i/>
        </w:rPr>
        <w:lastRenderedPageBreak/>
        <w:t>příčiny se ve svém úsudku nechala mylně ovlivnit případnými dojmy, náznaky řešení, resp. hypotézami o vlastnostech předmětu zamýšleného právního úkonu.“</w:t>
      </w:r>
      <w:r w:rsidR="005D3E3D" w:rsidRPr="00524366">
        <w:rPr>
          <w:rStyle w:val="Znakapoznpodarou"/>
          <w:i/>
        </w:rPr>
        <w:footnoteReference w:id="184"/>
      </w:r>
      <w:r w:rsidR="003512C7" w:rsidRPr="00524366">
        <w:rPr>
          <w:i/>
        </w:rPr>
        <w:t xml:space="preserve"> </w:t>
      </w:r>
      <w:r w:rsidR="00DF3360" w:rsidRPr="00524366">
        <w:t>Relativní neplatnosti se tedy nemůže dovolat ten, kdo ji sá</w:t>
      </w:r>
      <w:r w:rsidR="005D2BA5" w:rsidRPr="00524366">
        <w:t>m způsobil, což se dovozovalo z ustanovení § 40a věty druhé OZ 1964.</w:t>
      </w:r>
      <w:r w:rsidR="0028190D" w:rsidRPr="00524366">
        <w:t xml:space="preserve"> Toto ustanovení odpovídá dnešnímu § 579 odst. 1:</w:t>
      </w:r>
      <w:r w:rsidR="0028190D" w:rsidRPr="00524366">
        <w:rPr>
          <w:i/>
        </w:rPr>
        <w:t xml:space="preserve"> „Způsobil-li někdo neplatnost právního jednání, nemá právo namítnout neplatnost nebo uplatnit z neplatného právního jednání pro sebe výhodu.“</w:t>
      </w:r>
      <w:r w:rsidR="00C03C17" w:rsidRPr="00524366">
        <w:t xml:space="preserve"> </w:t>
      </w:r>
    </w:p>
    <w:p w14:paraId="37373E40" w14:textId="616FC0DA" w:rsidR="00BF2CA8" w:rsidRPr="00524366" w:rsidRDefault="00816358" w:rsidP="006E4518">
      <w:pPr>
        <w:spacing w:line="360" w:lineRule="auto"/>
        <w:ind w:firstLine="708"/>
        <w:jc w:val="both"/>
      </w:pPr>
      <w:r w:rsidRPr="00524366">
        <w:rPr>
          <w:i/>
        </w:rPr>
        <w:t xml:space="preserve"> </w:t>
      </w:r>
      <w:r w:rsidR="00C61D5D" w:rsidRPr="00524366">
        <w:t>Nejvyšší soud vymezil omluvitelný omyl jako:</w:t>
      </w:r>
      <w:r w:rsidR="005C1653" w:rsidRPr="00524366">
        <w:t xml:space="preserve"> </w:t>
      </w:r>
      <w:r w:rsidR="000278A9" w:rsidRPr="00524366">
        <w:rPr>
          <w:i/>
        </w:rPr>
        <w:t xml:space="preserve">„ </w:t>
      </w:r>
      <w:r w:rsidR="002F1572" w:rsidRPr="00524366">
        <w:rPr>
          <w:i/>
        </w:rPr>
        <w:t>…</w:t>
      </w:r>
      <w:r w:rsidR="000278A9" w:rsidRPr="00524366">
        <w:rPr>
          <w:i/>
        </w:rPr>
        <w:t>omyl, k němuž došlo přesto, že jednající (mýlící se) osoba postupovala s obvyklou mírou opatrnosti (že vyvinula obvyklou péči), kterou lze se zřetelem k okolnostem konkrétního případu po každém požadovat k tomu, aby se takovému omylu vyhnul. Jinak řečeno, o omluvitelný omyl jde, nemohla-li jednající (mýlící se) osoba rozpoznat skutečný stav věci (zjistit existenci omylu) ani poté, co (by) postupovala s obvyklou mírou opatrnosti (poté co /by/ vyvinula obvyklou péči), kterou lze na ní požadovat.“</w:t>
      </w:r>
      <w:r w:rsidR="00CA1B8E" w:rsidRPr="00524366">
        <w:rPr>
          <w:rStyle w:val="Znakapoznpodarou"/>
          <w:i/>
        </w:rPr>
        <w:footnoteReference w:id="185"/>
      </w:r>
      <w:r w:rsidR="00C03C17" w:rsidRPr="00524366">
        <w:rPr>
          <w:i/>
        </w:rPr>
        <w:t xml:space="preserve"> </w:t>
      </w:r>
    </w:p>
    <w:p w14:paraId="37F15D5B" w14:textId="2B81A03C" w:rsidR="00DF7FFA" w:rsidRPr="00524366" w:rsidRDefault="00C03C17" w:rsidP="003A45C2">
      <w:pPr>
        <w:spacing w:line="360" w:lineRule="auto"/>
        <w:ind w:firstLine="708"/>
        <w:jc w:val="both"/>
      </w:pPr>
      <w:r w:rsidRPr="00524366">
        <w:t>Nejvyšší soud také dovodil, že pouze skutkový omyl může být zásadně omluvitelný, a to s</w:t>
      </w:r>
      <w:r w:rsidR="00237633" w:rsidRPr="00524366">
        <w:t xml:space="preserve"> ohledem na obecnou právní zásadu </w:t>
      </w:r>
      <w:r w:rsidR="00237633" w:rsidRPr="00524366">
        <w:rPr>
          <w:i/>
        </w:rPr>
        <w:t>„ignorantia iuris non excusat“</w:t>
      </w:r>
      <w:r w:rsidR="00237633" w:rsidRPr="00524366">
        <w:t xml:space="preserve">. Jedná se o důležitou právní zásadu vyjadřující, že neznalost zákona neomlouvá (škodí). Tato zásada zakládá rozdíl mezi omylem skutkovým a omylem právním. Právně relevantním omylem je pouze omyl skutkový, jež je zásadně omluvitelný (s výjimkou případů, kdy by se zakládal na hrubé nedbalosti). Právní omyl (tedy neznalost právních předpisů) je zpravidla neomluvitelný. Zásada, že neznalost zákona neomlouvá byla přijata i do moderních zákonů a je dodnes jednou z nejzákladnějších zásad práva vůbec, neznalosti práva se tedy nelze dovolat. Nicméně, tato zásada není ve své striktní podobě v dnešním právu aplikovatelná, </w:t>
      </w:r>
      <w:r w:rsidR="00514B7C" w:rsidRPr="00524366">
        <w:t>neboť její aplikace by vedla k irelevanci právního omylu.</w:t>
      </w:r>
      <w:r w:rsidR="00514B7C" w:rsidRPr="00524366">
        <w:rPr>
          <w:rStyle w:val="Znakapoznpodarou"/>
        </w:rPr>
        <w:footnoteReference w:id="186"/>
      </w:r>
      <w:r w:rsidR="00514B7C" w:rsidRPr="00524366">
        <w:t xml:space="preserve"> </w:t>
      </w:r>
      <w:r w:rsidR="00237633" w:rsidRPr="00524366">
        <w:t xml:space="preserve">A to i </w:t>
      </w:r>
      <w:r w:rsidR="00514B7C" w:rsidRPr="00524366">
        <w:t>s ohledem na skutečnost, že současný právní řád se sestává z nepřeberného množství právních předpisů, mnohdy pro laika těžko uchopitelných. Judikatura NS</w:t>
      </w:r>
      <w:r w:rsidR="00237633" w:rsidRPr="00524366">
        <w:t xml:space="preserve"> již </w:t>
      </w:r>
      <w:r w:rsidR="00514B7C" w:rsidRPr="00524366">
        <w:t xml:space="preserve">opakovaně potvrdila, že i právní omyl lze výjimečně považovat za omluvitelný. Musí se však jednat o případ objektivně nejasného znění určitého ustanovení. Srov. např. rozsudek NS: </w:t>
      </w:r>
      <w:r w:rsidR="00514B7C" w:rsidRPr="00524366">
        <w:rPr>
          <w:i/>
        </w:rPr>
        <w:t xml:space="preserve">„Omluvitelným omylem může být výjimečně i omyl právní. Právní omyl spočívá v neznalosti anebo v neúplné znalosti obecně závazných právních předpisů a z toho vyplývajícího nesprávného posouzení právních důsledků právních skutečností. Platný občanský zákoník, na rozdíl od obecného občanského zákoníku z roku 1811, nedeklaruje zásadu, že neznalost zákona neomlouvá, ani nestanoví pro oprávněného držitele výjimky z této zásady, pokud jde o omluvitelný omyl. I když zásada, že neznalost zákona neomlouvá, nadále platí, mohou se výjimečně vyskytnout případy, kdy držitel bude se zřetelem ke všem okolnostem v dobré víře i v případě, že jeho přesvědčení bude vycházet z právního omylu (např. v případě objektivně nejasného znění zákona). Omyl vycházející z neznalosti jednoznačně formulovaného ustanovení občanského zákoníku </w:t>
      </w:r>
      <w:r w:rsidR="00514B7C" w:rsidRPr="00524366">
        <w:rPr>
          <w:i/>
        </w:rPr>
        <w:lastRenderedPageBreak/>
        <w:t>platného v době, kdy se držitel ujímá držby, však omluvitelný není.“</w:t>
      </w:r>
      <w:r w:rsidR="00CA1B8E" w:rsidRPr="00524366">
        <w:rPr>
          <w:rStyle w:val="Znakapoznpodarou"/>
          <w:i/>
        </w:rPr>
        <w:footnoteReference w:id="187"/>
      </w:r>
      <w:r w:rsidR="00514B7C" w:rsidRPr="00524366">
        <w:t xml:space="preserve">  Shodně též rozsudek NS ze dne 29. 5. 2014, sp. zn. 29 Cdo 2050/2011.</w:t>
      </w:r>
      <w:r w:rsidR="006E4657" w:rsidRPr="00524366">
        <w:t xml:space="preserve"> </w:t>
      </w:r>
      <w:r w:rsidR="002F1572" w:rsidRPr="00524366">
        <w:t xml:space="preserve">I přes skutečnost, že se judikatura vztahuje k OZ z roku </w:t>
      </w:r>
      <w:r w:rsidR="00D270E4" w:rsidRPr="00524366">
        <w:t xml:space="preserve">1964, lze ji dle mého názoru </w:t>
      </w:r>
      <w:r w:rsidR="002F1572" w:rsidRPr="00524366">
        <w:t xml:space="preserve">aplikovat i dnes, </w:t>
      </w:r>
      <w:r w:rsidR="006E4657" w:rsidRPr="00524366">
        <w:t>dokonce je nutné na ni trvat.</w:t>
      </w:r>
    </w:p>
    <w:p w14:paraId="2415FF01" w14:textId="7AE496D6" w:rsidR="00AC50B7" w:rsidRPr="00524366" w:rsidRDefault="00AC50B7" w:rsidP="00AC50B7">
      <w:r w:rsidRPr="00524366">
        <w:br w:type="page"/>
      </w:r>
    </w:p>
    <w:p w14:paraId="1B7070F9" w14:textId="1C015B5F" w:rsidR="00882A65" w:rsidRPr="00524366" w:rsidRDefault="004F3E72" w:rsidP="00945DAE">
      <w:pPr>
        <w:spacing w:line="360" w:lineRule="auto"/>
        <w:jc w:val="both"/>
        <w:rPr>
          <w:b/>
          <w:sz w:val="32"/>
        </w:rPr>
      </w:pPr>
      <w:r w:rsidRPr="00524366">
        <w:rPr>
          <w:b/>
          <w:sz w:val="32"/>
        </w:rPr>
        <w:lastRenderedPageBreak/>
        <w:t xml:space="preserve">Závěr </w:t>
      </w:r>
    </w:p>
    <w:p w14:paraId="5B5F80F2" w14:textId="3E9C93F9" w:rsidR="00B85FDE" w:rsidRPr="00524366" w:rsidRDefault="00B85FDE" w:rsidP="00B85FDE">
      <w:pPr>
        <w:spacing w:line="360" w:lineRule="auto"/>
        <w:ind w:firstLine="708"/>
        <w:jc w:val="both"/>
      </w:pPr>
      <w:r w:rsidRPr="00524366">
        <w:t>Cílem této práce bylo analyzovat institut omylu z pohledu práva justiniánského, pojednat o charakteristice a n</w:t>
      </w:r>
      <w:r w:rsidR="009D6F2D">
        <w:t xml:space="preserve">ásledcích tohoto institutu a </w:t>
      </w:r>
      <w:r w:rsidR="008F65E5" w:rsidRPr="00524366">
        <w:t>zanalyzovat,</w:t>
      </w:r>
      <w:r w:rsidRPr="00524366">
        <w:t xml:space="preserve"> jaký vliv mělo římské právo na dnešní pojetí omylu, resp. jak se tento institut vyvíjel od dob římských až do současnosti. </w:t>
      </w:r>
    </w:p>
    <w:p w14:paraId="79E298E1" w14:textId="57FE0B52" w:rsidR="00B85FDE" w:rsidRPr="00524366" w:rsidRDefault="00B85FDE" w:rsidP="003A45C2">
      <w:pPr>
        <w:spacing w:line="360" w:lineRule="auto"/>
        <w:ind w:firstLine="708"/>
        <w:jc w:val="both"/>
      </w:pPr>
      <w:r w:rsidRPr="00524366">
        <w:t xml:space="preserve">V první kapitole </w:t>
      </w:r>
      <w:r w:rsidR="00B013AA" w:rsidRPr="00524366">
        <w:t>poukazuji</w:t>
      </w:r>
      <w:r w:rsidRPr="00524366">
        <w:t xml:space="preserve"> </w:t>
      </w:r>
      <w:r w:rsidR="00B013AA" w:rsidRPr="00524366">
        <w:t xml:space="preserve">na </w:t>
      </w:r>
      <w:r w:rsidRPr="00524366">
        <w:t>problematik</w:t>
      </w:r>
      <w:r w:rsidR="00B013AA" w:rsidRPr="00524366">
        <w:t>u</w:t>
      </w:r>
      <w:r w:rsidR="003A45C2" w:rsidRPr="00524366">
        <w:t xml:space="preserve"> omylu</w:t>
      </w:r>
      <w:r w:rsidR="00B013AA" w:rsidRPr="00524366">
        <w:t>,</w:t>
      </w:r>
      <w:r w:rsidR="003A45C2" w:rsidRPr="00524366">
        <w:t xml:space="preserve"> </w:t>
      </w:r>
      <w:r w:rsidR="00B013AA" w:rsidRPr="00524366">
        <w:t>jež římské právo spojuje</w:t>
      </w:r>
      <w:r w:rsidRPr="00524366">
        <w:t xml:space="preserve"> předevš</w:t>
      </w:r>
      <w:r w:rsidR="003A45C2" w:rsidRPr="00524366">
        <w:t>ím se smlouvami konsenzuálními, z</w:t>
      </w:r>
      <w:r w:rsidRPr="00524366">
        <w:t> nichž nejčastěji uzavíranou</w:t>
      </w:r>
      <w:r w:rsidR="00B013AA" w:rsidRPr="00524366">
        <w:t xml:space="preserve"> byla smlouva kupní, u níž je </w:t>
      </w:r>
      <w:r w:rsidRPr="00524366">
        <w:t xml:space="preserve">nutné, aby došlo k souhlasnému projevu vůle. Dále </w:t>
      </w:r>
      <w:r w:rsidR="00BE76E0" w:rsidRPr="00524366">
        <w:t>je zde zdůrazněno</w:t>
      </w:r>
      <w:r w:rsidRPr="00524366">
        <w:t>, že projev vůle je nutnou součástí každého právního jednání, a že mezi vůlí a jejím projevem musí být konsens, jinak by se jednalo o dissens a smlouva by nevznikla. Ve druhé části této kapitoly se práce zabýva</w:t>
      </w:r>
      <w:r w:rsidR="003A45C2" w:rsidRPr="00524366">
        <w:t>la vadným právním jednáním, kde</w:t>
      </w:r>
      <w:r w:rsidRPr="00524366">
        <w:t xml:space="preserve"> </w:t>
      </w:r>
      <w:r w:rsidR="009A1E05" w:rsidRPr="00524366">
        <w:t xml:space="preserve">jsou </w:t>
      </w:r>
      <w:r w:rsidRPr="00524366">
        <w:t>vysvětleny instituty neplatnosti, naříkatelnosti a neúčinnosti.</w:t>
      </w:r>
      <w:r w:rsidR="003A45C2" w:rsidRPr="00524366">
        <w:t xml:space="preserve"> Následně </w:t>
      </w:r>
      <w:r w:rsidR="009A1E05" w:rsidRPr="00524366">
        <w:t>přistupuji</w:t>
      </w:r>
      <w:r w:rsidRPr="00524366">
        <w:t xml:space="preserve"> k rozboru velice zajímavého fragmentu ří</w:t>
      </w:r>
      <w:r w:rsidR="00281CE2" w:rsidRPr="00524366">
        <w:t xml:space="preserve">mského právníka Paula, kde </w:t>
      </w:r>
      <w:r w:rsidR="009A1E05" w:rsidRPr="00524366">
        <w:t xml:space="preserve">docházím </w:t>
      </w:r>
      <w:r w:rsidRPr="00524366">
        <w:t>k závěru, že i současná p</w:t>
      </w:r>
      <w:r w:rsidR="00BF2897" w:rsidRPr="00524366">
        <w:t>r</w:t>
      </w:r>
      <w:r w:rsidR="00281CE2" w:rsidRPr="00524366">
        <w:t>ávní úprava stojí na zásadě, že</w:t>
      </w:r>
      <w:r w:rsidRPr="00524366">
        <w:t xml:space="preserve"> právní jednání má být vykládáno v souladu s vůlí jednajícího (zůstavitele). </w:t>
      </w:r>
      <w:r w:rsidR="00BE76E0" w:rsidRPr="00524366">
        <w:t xml:space="preserve">V neposlední řadě jsou zde vypsány jednotlivé typy omylu dle římského práva, jimiž jsou: </w:t>
      </w:r>
      <w:r w:rsidR="00BE76E0" w:rsidRPr="00524366">
        <w:rPr>
          <w:i/>
        </w:rPr>
        <w:t>error iuris, error facti, error in persona, error in negotio, error in corpore, error in qualitate, error in materia/substantia</w:t>
      </w:r>
      <w:r w:rsidR="00BE76E0" w:rsidRPr="00524366">
        <w:t xml:space="preserve"> a</w:t>
      </w:r>
      <w:r w:rsidR="00BE76E0" w:rsidRPr="00524366">
        <w:rPr>
          <w:i/>
        </w:rPr>
        <w:t xml:space="preserve"> error in virgintate. </w:t>
      </w:r>
      <w:r w:rsidR="00BE76E0" w:rsidRPr="00524366">
        <w:t xml:space="preserve">Jednotlivými typy omylu se zabývá třetí a čtvrtá kapitola. </w:t>
      </w:r>
    </w:p>
    <w:p w14:paraId="050FEF32" w14:textId="1A5958AB" w:rsidR="00B85FDE" w:rsidRPr="00524366" w:rsidRDefault="00BF2897" w:rsidP="002D1FCD">
      <w:pPr>
        <w:spacing w:line="360" w:lineRule="auto"/>
        <w:ind w:firstLine="708"/>
        <w:jc w:val="both"/>
      </w:pPr>
      <w:r w:rsidRPr="00524366">
        <w:t>Druhá kapitola podrobně vymezuje rozdíly</w:t>
      </w:r>
      <w:r w:rsidR="00B85FDE" w:rsidRPr="00524366">
        <w:t xml:space="preserve"> mezi errorem (jakožto nevědomu neshodou mezi vůlí a jejím projevem způsobenou neznalostí právních či skutkových prvků právního úkonu)  a dissensem (jakožto vzájemným nesouhlasem vůle, který je nepozorovatelný a který je způsobený omylem</w:t>
      </w:r>
      <w:r w:rsidRPr="00524366">
        <w:t>,</w:t>
      </w:r>
      <w:r w:rsidR="00B85FDE" w:rsidRPr="00524366">
        <w:t xml:space="preserve"> ať již </w:t>
      </w:r>
      <w:r w:rsidR="003A45C2" w:rsidRPr="00524366">
        <w:t xml:space="preserve">jedné či obou smluvních stran). </w:t>
      </w:r>
      <w:r w:rsidR="002D1FCD" w:rsidRPr="00524366">
        <w:t xml:space="preserve">Dissensus může být zjevný (projevy stran se nekryjí, jednání je neplatné) a zakrytý (projevy se kryjí, ale každá se stran přikládá svému projevu jiný význam, následkem je pak neplatnost smlouvy). Omyl představuje především mylné chápání reality, je zde rozdíl mezi vůlí skutečnou a vůlí projevenou, kdežto dissensus představuje rozpor mezi nabídkou a akceptací již při uzavírání smlouvy. </w:t>
      </w:r>
      <w:r w:rsidRPr="00524366">
        <w:t>Podrobně zde</w:t>
      </w:r>
      <w:r w:rsidR="002D1FCD" w:rsidRPr="00524366">
        <w:t xml:space="preserve"> také</w:t>
      </w:r>
      <w:r w:rsidRPr="00524366">
        <w:t xml:space="preserve"> rozvádí</w:t>
      </w:r>
      <w:r w:rsidR="00BE76E0" w:rsidRPr="00524366">
        <w:t xml:space="preserve">m Paulův fragment (D 22. 6. 9. 5.) týkající se právní neznalosti, z něhož je důležité zejm. to, že </w:t>
      </w:r>
      <w:r w:rsidR="00BE76E0" w:rsidRPr="00524366">
        <w:rPr>
          <w:i/>
        </w:rPr>
        <w:t xml:space="preserve">„neznalost skutečnosti může být výhodou, ale neznalost práva nikoliv; a že úleva je poskytnuta ne neznalým, ale mýlícím se.“ </w:t>
      </w:r>
      <w:r w:rsidR="002D1FCD" w:rsidRPr="00524366">
        <w:t xml:space="preserve">Plyne z něj důležitá právní zásada </w:t>
      </w:r>
      <w:r w:rsidR="002D1FCD" w:rsidRPr="00524366">
        <w:rPr>
          <w:i/>
        </w:rPr>
        <w:t xml:space="preserve">„iuris error nulli prodest“ </w:t>
      </w:r>
      <w:r w:rsidR="002D1FCD" w:rsidRPr="00524366">
        <w:t xml:space="preserve">(právní omyl není pro nikoho výhodou). </w:t>
      </w:r>
    </w:p>
    <w:p w14:paraId="4F580397" w14:textId="0356290C" w:rsidR="00B85FDE" w:rsidRPr="00524366" w:rsidRDefault="003A45C2" w:rsidP="00B85FDE">
      <w:pPr>
        <w:spacing w:line="360" w:lineRule="auto"/>
        <w:ind w:firstLine="708"/>
        <w:jc w:val="both"/>
        <w:rPr>
          <w:rFonts w:eastAsia="Times New Roman" w:cs="Times New Roman"/>
          <w:bCs/>
          <w:color w:val="000000"/>
          <w:lang w:eastAsia="cs-CZ"/>
        </w:rPr>
      </w:pPr>
      <w:r w:rsidRPr="00524366">
        <w:t xml:space="preserve">Třetí kapitola </w:t>
      </w:r>
      <w:r w:rsidR="00BF2897" w:rsidRPr="00524366">
        <w:t>provádí základní rozlišení omylů</w:t>
      </w:r>
      <w:r w:rsidR="00B85FDE" w:rsidRPr="00524366">
        <w:t xml:space="preserve">, a to </w:t>
      </w:r>
      <w:r w:rsidR="00223B5B" w:rsidRPr="00524366">
        <w:t xml:space="preserve">mezi </w:t>
      </w:r>
      <w:r w:rsidR="00B85FDE" w:rsidRPr="00524366">
        <w:t xml:space="preserve">omylem skutkovým (jenž se týká faktických okolností) a právním (jenž se týká právních účinků jednání v důsledku neznalosti práva). </w:t>
      </w:r>
      <w:r w:rsidR="003503A7" w:rsidRPr="00524366">
        <w:t>Zdůrazňuji</w:t>
      </w:r>
      <w:r w:rsidR="00BF2897" w:rsidRPr="00524366">
        <w:t xml:space="preserve"> zde především</w:t>
      </w:r>
      <w:r w:rsidR="003503A7" w:rsidRPr="00524366">
        <w:t xml:space="preserve"> právní zásadu</w:t>
      </w:r>
      <w:r w:rsidR="00B85FDE" w:rsidRPr="00524366">
        <w:t>: „</w:t>
      </w:r>
      <w:r w:rsidR="00B85FDE" w:rsidRPr="00524366">
        <w:rPr>
          <w:rFonts w:eastAsia="Times New Roman" w:cs="Times New Roman"/>
          <w:bCs/>
          <w:i/>
          <w:color w:val="000000"/>
          <w:lang w:eastAsia="cs-CZ"/>
        </w:rPr>
        <w:t>Regula est iuris quidem ignorantiam cuique nocere, fa</w:t>
      </w:r>
      <w:r w:rsidR="00223B5B" w:rsidRPr="00524366">
        <w:rPr>
          <w:rFonts w:eastAsia="Times New Roman" w:cs="Times New Roman"/>
          <w:bCs/>
          <w:i/>
          <w:color w:val="000000"/>
          <w:lang w:eastAsia="cs-CZ"/>
        </w:rPr>
        <w:t>cti vero ignorantiam non nocere</w:t>
      </w:r>
      <w:r w:rsidR="00B85FDE" w:rsidRPr="00524366">
        <w:rPr>
          <w:rFonts w:eastAsia="Times New Roman" w:cs="Times New Roman"/>
          <w:bCs/>
          <w:i/>
          <w:color w:val="000000"/>
          <w:lang w:eastAsia="cs-CZ"/>
        </w:rPr>
        <w:t>“</w:t>
      </w:r>
      <w:r w:rsidR="00223B5B" w:rsidRPr="00524366">
        <w:rPr>
          <w:rFonts w:eastAsia="Times New Roman" w:cs="Times New Roman"/>
          <w:bCs/>
          <w:i/>
          <w:color w:val="000000"/>
          <w:lang w:eastAsia="cs-CZ"/>
        </w:rPr>
        <w:t xml:space="preserve"> </w:t>
      </w:r>
      <w:r w:rsidR="00223B5B" w:rsidRPr="00524366">
        <w:rPr>
          <w:rFonts w:eastAsia="Times New Roman" w:cs="Times New Roman"/>
          <w:bCs/>
          <w:color w:val="000000"/>
          <w:lang w:eastAsia="cs-CZ"/>
        </w:rPr>
        <w:t>(obecným pravidlem bylo, že právní omyl škodí každému, kdežto omyl skutkový nikoliv).</w:t>
      </w:r>
      <w:r w:rsidR="00B85FDE" w:rsidRPr="00524366">
        <w:rPr>
          <w:rFonts w:eastAsia="Times New Roman" w:cs="Times New Roman"/>
          <w:bCs/>
          <w:i/>
          <w:color w:val="000000"/>
          <w:lang w:eastAsia="cs-CZ"/>
        </w:rPr>
        <w:t xml:space="preserve"> </w:t>
      </w:r>
      <w:r w:rsidR="00B85FDE" w:rsidRPr="00524366">
        <w:rPr>
          <w:rFonts w:eastAsia="Times New Roman" w:cs="Times New Roman"/>
          <w:bCs/>
          <w:color w:val="000000"/>
          <w:lang w:eastAsia="cs-CZ"/>
        </w:rPr>
        <w:t xml:space="preserve">Z této kapitoly lze </w:t>
      </w:r>
      <w:r w:rsidR="003503A7" w:rsidRPr="00524366">
        <w:rPr>
          <w:rFonts w:eastAsia="Times New Roman" w:cs="Times New Roman"/>
          <w:bCs/>
          <w:color w:val="000000"/>
          <w:lang w:eastAsia="cs-CZ"/>
        </w:rPr>
        <w:t>dojít k následujícím závěrům:</w:t>
      </w:r>
      <w:r w:rsidRPr="00524366">
        <w:rPr>
          <w:rFonts w:eastAsia="Times New Roman" w:cs="Times New Roman"/>
          <w:bCs/>
          <w:color w:val="000000"/>
          <w:lang w:eastAsia="cs-CZ"/>
        </w:rPr>
        <w:t xml:space="preserve"> </w:t>
      </w:r>
      <w:r w:rsidR="00223B5B" w:rsidRPr="00524366">
        <w:rPr>
          <w:rFonts w:eastAsia="Times New Roman" w:cs="Times New Roman"/>
          <w:bCs/>
          <w:color w:val="000000"/>
          <w:lang w:eastAsia="cs-CZ"/>
        </w:rPr>
        <w:t xml:space="preserve">právní omyl nemá právní účinky a </w:t>
      </w:r>
      <w:r w:rsidR="003503A7" w:rsidRPr="00524366">
        <w:rPr>
          <w:rFonts w:eastAsia="Times New Roman" w:cs="Times New Roman"/>
          <w:bCs/>
          <w:color w:val="000000"/>
          <w:lang w:eastAsia="cs-CZ"/>
        </w:rPr>
        <w:t xml:space="preserve">z pohledu práva </w:t>
      </w:r>
      <w:r w:rsidRPr="00524366">
        <w:rPr>
          <w:rFonts w:eastAsia="Times New Roman" w:cs="Times New Roman"/>
          <w:bCs/>
          <w:color w:val="000000"/>
          <w:lang w:eastAsia="cs-CZ"/>
        </w:rPr>
        <w:t xml:space="preserve">byl </w:t>
      </w:r>
      <w:r w:rsidR="003503A7" w:rsidRPr="00524366">
        <w:rPr>
          <w:rFonts w:eastAsia="Times New Roman" w:cs="Times New Roman"/>
          <w:bCs/>
          <w:color w:val="000000"/>
          <w:lang w:eastAsia="cs-CZ"/>
        </w:rPr>
        <w:t xml:space="preserve">tedy </w:t>
      </w:r>
      <w:r w:rsidR="00223B5B" w:rsidRPr="00524366">
        <w:rPr>
          <w:rFonts w:eastAsia="Times New Roman" w:cs="Times New Roman"/>
          <w:bCs/>
          <w:color w:val="000000"/>
          <w:lang w:eastAsia="cs-CZ"/>
        </w:rPr>
        <w:t xml:space="preserve">bezvýznamný </w:t>
      </w:r>
      <w:r w:rsidR="00223B5B" w:rsidRPr="00524366">
        <w:t xml:space="preserve">– </w:t>
      </w:r>
      <w:r w:rsidR="00223B5B" w:rsidRPr="00524366">
        <w:rPr>
          <w:rFonts w:eastAsia="Times New Roman" w:cs="Times New Roman"/>
          <w:bCs/>
          <w:color w:val="000000"/>
          <w:lang w:eastAsia="cs-CZ"/>
        </w:rPr>
        <w:t xml:space="preserve"> </w:t>
      </w:r>
      <w:r w:rsidR="003503A7" w:rsidRPr="00524366">
        <w:rPr>
          <w:rFonts w:eastAsia="Times New Roman" w:cs="Times New Roman"/>
          <w:bCs/>
          <w:color w:val="000000"/>
          <w:lang w:eastAsia="cs-CZ"/>
        </w:rPr>
        <w:t xml:space="preserve">i zde </w:t>
      </w:r>
      <w:r w:rsidR="00223B5B" w:rsidRPr="00524366">
        <w:rPr>
          <w:rFonts w:eastAsia="Times New Roman" w:cs="Times New Roman"/>
          <w:bCs/>
          <w:color w:val="000000"/>
          <w:lang w:eastAsia="cs-CZ"/>
        </w:rPr>
        <w:t xml:space="preserve">však </w:t>
      </w:r>
      <w:r w:rsidR="003503A7" w:rsidRPr="00524366">
        <w:rPr>
          <w:rFonts w:eastAsia="Times New Roman" w:cs="Times New Roman"/>
          <w:bCs/>
          <w:color w:val="000000"/>
          <w:lang w:eastAsia="cs-CZ"/>
        </w:rPr>
        <w:t xml:space="preserve">lze nalézt </w:t>
      </w:r>
      <w:r w:rsidR="00B85FDE" w:rsidRPr="00524366">
        <w:rPr>
          <w:rFonts w:eastAsia="Times New Roman" w:cs="Times New Roman"/>
          <w:bCs/>
          <w:color w:val="000000"/>
          <w:lang w:eastAsia="cs-CZ"/>
        </w:rPr>
        <w:t>výjimky</w:t>
      </w:r>
      <w:r w:rsidR="00223B5B" w:rsidRPr="00524366">
        <w:rPr>
          <w:rFonts w:eastAsia="Times New Roman" w:cs="Times New Roman"/>
          <w:bCs/>
          <w:color w:val="000000"/>
          <w:lang w:eastAsia="cs-CZ"/>
        </w:rPr>
        <w:t xml:space="preserve"> z toho, </w:t>
      </w:r>
      <w:r w:rsidR="00B85FDE" w:rsidRPr="00524366">
        <w:rPr>
          <w:rFonts w:eastAsia="Times New Roman" w:cs="Times New Roman"/>
          <w:bCs/>
          <w:color w:val="000000"/>
          <w:lang w:eastAsia="cs-CZ"/>
        </w:rPr>
        <w:t>kdy byl i omyl právní právně relevantní</w:t>
      </w:r>
      <w:r w:rsidR="00223B5B" w:rsidRPr="00524366">
        <w:rPr>
          <w:rFonts w:eastAsia="Times New Roman" w:cs="Times New Roman"/>
          <w:bCs/>
          <w:color w:val="000000"/>
          <w:lang w:eastAsia="cs-CZ"/>
        </w:rPr>
        <w:t>, kdy byl určitým</w:t>
      </w:r>
      <w:r w:rsidR="00B85FDE" w:rsidRPr="00524366">
        <w:rPr>
          <w:rFonts w:eastAsia="Times New Roman" w:cs="Times New Roman"/>
          <w:bCs/>
          <w:color w:val="000000"/>
          <w:lang w:eastAsia="cs-CZ"/>
        </w:rPr>
        <w:t xml:space="preserve"> osobám </w:t>
      </w:r>
      <w:r w:rsidR="00223B5B" w:rsidRPr="00524366">
        <w:rPr>
          <w:rFonts w:eastAsia="Times New Roman" w:cs="Times New Roman"/>
          <w:bCs/>
          <w:color w:val="000000"/>
          <w:lang w:eastAsia="cs-CZ"/>
        </w:rPr>
        <w:t xml:space="preserve">i tento omyl </w:t>
      </w:r>
      <w:r w:rsidR="00B85FDE" w:rsidRPr="00524366">
        <w:rPr>
          <w:rFonts w:eastAsia="Times New Roman" w:cs="Times New Roman"/>
          <w:bCs/>
          <w:color w:val="000000"/>
          <w:lang w:eastAsia="cs-CZ"/>
        </w:rPr>
        <w:t>prominut – jednalo se o: nedospělce, vojáky, ženy a osoby prosté/jednodušší</w:t>
      </w:r>
      <w:r w:rsidR="00223B5B" w:rsidRPr="00524366">
        <w:rPr>
          <w:rFonts w:eastAsia="Times New Roman" w:cs="Times New Roman"/>
          <w:bCs/>
          <w:color w:val="000000"/>
          <w:lang w:eastAsia="cs-CZ"/>
        </w:rPr>
        <w:t xml:space="preserve">. </w:t>
      </w:r>
    </w:p>
    <w:p w14:paraId="7E8E9B0F" w14:textId="579D63E3" w:rsidR="00B85FDE" w:rsidRPr="00524366" w:rsidRDefault="00B85FDE" w:rsidP="00B85FDE">
      <w:pPr>
        <w:spacing w:line="360" w:lineRule="auto"/>
        <w:ind w:firstLine="708"/>
        <w:jc w:val="both"/>
        <w:rPr>
          <w:rFonts w:eastAsia="Times New Roman" w:cs="Times New Roman"/>
          <w:bCs/>
          <w:color w:val="000000"/>
          <w:lang w:eastAsia="cs-CZ"/>
        </w:rPr>
      </w:pPr>
      <w:r w:rsidRPr="00524366">
        <w:rPr>
          <w:rFonts w:eastAsia="Times New Roman" w:cs="Times New Roman"/>
          <w:bCs/>
          <w:color w:val="000000"/>
          <w:lang w:eastAsia="cs-CZ"/>
        </w:rPr>
        <w:lastRenderedPageBreak/>
        <w:t>Ve čtvrté, nejrozsáhlejší, kapitole této práce jsem se zabývala jednotlivými typy podstatného omylu. V této kapitole</w:t>
      </w:r>
      <w:r w:rsidR="004006C6" w:rsidRPr="00524366">
        <w:rPr>
          <w:rFonts w:eastAsia="Times New Roman" w:cs="Times New Roman"/>
          <w:bCs/>
          <w:color w:val="000000"/>
          <w:lang w:eastAsia="cs-CZ"/>
        </w:rPr>
        <w:t xml:space="preserve"> řeším problematiku</w:t>
      </w:r>
      <w:r w:rsidR="003A45C2" w:rsidRPr="00524366">
        <w:rPr>
          <w:rFonts w:eastAsia="Times New Roman" w:cs="Times New Roman"/>
          <w:bCs/>
          <w:color w:val="000000"/>
          <w:lang w:eastAsia="cs-CZ"/>
        </w:rPr>
        <w:t>,</w:t>
      </w:r>
      <w:r w:rsidRPr="00524366">
        <w:rPr>
          <w:rFonts w:eastAsia="Times New Roman" w:cs="Times New Roman"/>
          <w:bCs/>
          <w:color w:val="000000"/>
          <w:lang w:eastAsia="cs-CZ"/>
        </w:rPr>
        <w:t xml:space="preserve"> </w:t>
      </w:r>
      <w:r w:rsidR="004006C6" w:rsidRPr="00524366">
        <w:rPr>
          <w:rFonts w:eastAsia="Times New Roman" w:cs="Times New Roman"/>
          <w:bCs/>
          <w:color w:val="000000"/>
          <w:lang w:eastAsia="cs-CZ"/>
        </w:rPr>
        <w:t xml:space="preserve">kdy </w:t>
      </w:r>
      <w:r w:rsidRPr="00524366">
        <w:rPr>
          <w:rFonts w:eastAsia="Times New Roman" w:cs="Times New Roman"/>
          <w:bCs/>
          <w:color w:val="000000"/>
          <w:lang w:eastAsia="cs-CZ"/>
        </w:rPr>
        <w:t xml:space="preserve">právní jednání učiněné v omylu </w:t>
      </w:r>
      <w:r w:rsidR="00B013AA" w:rsidRPr="00524366">
        <w:rPr>
          <w:rFonts w:eastAsia="Times New Roman" w:cs="Times New Roman"/>
          <w:bCs/>
          <w:color w:val="000000"/>
          <w:lang w:eastAsia="cs-CZ"/>
        </w:rPr>
        <w:t>mohlo</w:t>
      </w:r>
      <w:r w:rsidRPr="00524366">
        <w:rPr>
          <w:rFonts w:eastAsia="Times New Roman" w:cs="Times New Roman"/>
          <w:bCs/>
          <w:color w:val="000000"/>
          <w:lang w:eastAsia="cs-CZ"/>
        </w:rPr>
        <w:t xml:space="preserve"> dle římského práva </w:t>
      </w:r>
      <w:r w:rsidR="00B013AA" w:rsidRPr="00524366">
        <w:rPr>
          <w:rFonts w:eastAsia="Times New Roman" w:cs="Times New Roman"/>
          <w:bCs/>
          <w:color w:val="000000"/>
          <w:lang w:eastAsia="cs-CZ"/>
        </w:rPr>
        <w:t>způsobit neplatnost</w:t>
      </w:r>
      <w:r w:rsidRPr="00524366">
        <w:rPr>
          <w:rFonts w:eastAsia="Times New Roman" w:cs="Times New Roman"/>
          <w:bCs/>
          <w:color w:val="000000"/>
          <w:lang w:eastAsia="cs-CZ"/>
        </w:rPr>
        <w:t xml:space="preserve"> pouze tehdy, jednalo-li se o tzv. podstatný omyl. </w:t>
      </w:r>
      <w:r w:rsidR="003503A7" w:rsidRPr="00524366">
        <w:rPr>
          <w:rFonts w:eastAsia="Times New Roman" w:cs="Times New Roman"/>
          <w:bCs/>
          <w:color w:val="000000"/>
          <w:lang w:eastAsia="cs-CZ"/>
        </w:rPr>
        <w:t>Omylem podstatným jest takový</w:t>
      </w:r>
      <w:r w:rsidRPr="00524366">
        <w:rPr>
          <w:rFonts w:eastAsia="Times New Roman" w:cs="Times New Roman"/>
          <w:bCs/>
          <w:color w:val="000000"/>
          <w:lang w:eastAsia="cs-CZ"/>
        </w:rPr>
        <w:t xml:space="preserve">, týkal-li se jednající osoby, povahy právního jednání, předmětu jednání </w:t>
      </w:r>
      <w:r w:rsidR="00B013AA" w:rsidRPr="00524366">
        <w:rPr>
          <w:rFonts w:eastAsia="Times New Roman" w:cs="Times New Roman"/>
          <w:bCs/>
          <w:color w:val="000000"/>
          <w:lang w:eastAsia="cs-CZ"/>
        </w:rPr>
        <w:t xml:space="preserve">a omylu ve hmotě věci. K problematice jsou </w:t>
      </w:r>
      <w:r w:rsidR="0024772F" w:rsidRPr="00524366">
        <w:rPr>
          <w:rFonts w:eastAsia="Times New Roman" w:cs="Times New Roman"/>
          <w:bCs/>
          <w:color w:val="000000"/>
          <w:lang w:eastAsia="cs-CZ"/>
        </w:rPr>
        <w:t xml:space="preserve">ke každému typu omylu </w:t>
      </w:r>
      <w:r w:rsidRPr="00524366">
        <w:rPr>
          <w:rFonts w:eastAsia="Times New Roman" w:cs="Times New Roman"/>
          <w:bCs/>
          <w:color w:val="000000"/>
          <w:lang w:eastAsia="cs-CZ"/>
        </w:rPr>
        <w:t xml:space="preserve">uvedeny </w:t>
      </w:r>
      <w:r w:rsidR="0024772F" w:rsidRPr="00524366">
        <w:rPr>
          <w:rFonts w:eastAsia="Times New Roman" w:cs="Times New Roman"/>
          <w:bCs/>
          <w:color w:val="000000"/>
          <w:lang w:eastAsia="cs-CZ"/>
        </w:rPr>
        <w:t xml:space="preserve">a rozebrány konkrétní fragmenty. </w:t>
      </w:r>
      <w:r w:rsidR="0024772F" w:rsidRPr="00524366">
        <w:rPr>
          <w:rFonts w:eastAsia="Times New Roman" w:cs="Times New Roman"/>
          <w:bCs/>
          <w:i/>
          <w:color w:val="000000"/>
          <w:lang w:eastAsia="cs-CZ"/>
        </w:rPr>
        <w:t>Error in persona</w:t>
      </w:r>
      <w:r w:rsidR="0024772F" w:rsidRPr="00524366">
        <w:rPr>
          <w:rFonts w:eastAsia="Times New Roman" w:cs="Times New Roman"/>
          <w:bCs/>
          <w:color w:val="000000"/>
          <w:lang w:eastAsia="cs-CZ"/>
        </w:rPr>
        <w:t xml:space="preserve"> se týká totožnosti osoby, s níž se závazek uzavírá nebo v jejíž prospěch se právní jednání činí. U tohoto typu omylu si lze povšimnout rozporu mezi římskými právníky, lze však dovodit, že každý případ byl posuzován subjektivně a přihlíželo se k</w:t>
      </w:r>
      <w:r w:rsidR="00CF76F1" w:rsidRPr="00524366">
        <w:rPr>
          <w:rFonts w:eastAsia="Times New Roman" w:cs="Times New Roman"/>
          <w:bCs/>
          <w:color w:val="000000"/>
          <w:lang w:eastAsia="cs-CZ"/>
        </w:rPr>
        <w:t xml:space="preserve"> </w:t>
      </w:r>
      <w:r w:rsidR="0024772F" w:rsidRPr="00524366">
        <w:rPr>
          <w:rFonts w:eastAsia="Times New Roman" w:cs="Times New Roman"/>
          <w:bCs/>
          <w:color w:val="000000"/>
          <w:lang w:eastAsia="cs-CZ"/>
        </w:rPr>
        <w:t xml:space="preserve">vůli jednajícího. Omyl v totožnosti osoby je podstatný pouze tehdy, týká-li se důležitých vlastností osoby, které jsou podstatné pro povahu uzavírané smlouvy. </w:t>
      </w:r>
      <w:r w:rsidR="0024772F" w:rsidRPr="00524366">
        <w:rPr>
          <w:rFonts w:eastAsia="Times New Roman" w:cs="Times New Roman"/>
          <w:bCs/>
          <w:i/>
          <w:color w:val="000000"/>
          <w:lang w:eastAsia="cs-CZ"/>
        </w:rPr>
        <w:t>Error in negotio</w:t>
      </w:r>
      <w:r w:rsidR="0024772F" w:rsidRPr="00524366">
        <w:rPr>
          <w:rFonts w:eastAsia="Times New Roman" w:cs="Times New Roman"/>
          <w:bCs/>
          <w:color w:val="000000"/>
          <w:lang w:eastAsia="cs-CZ"/>
        </w:rPr>
        <w:t xml:space="preserve"> se týká rozporu mezi vůlí a projevem, jelikož jednající označí v důsledku omylu to, co nechce. Rozlišujeme omyl v projevu (je učiněn projev, který jednající učinit nechce) a omyl v obsahu (je učiněn sice zamýšlený projev, ale je s ním spojen jiný smysl, než který objektivně má). Omyl v projevu odporuje vůli projevovací (např. přeřeknutí se) a omyl v obsahu odporuje vůli projevené</w:t>
      </w:r>
      <w:r w:rsidR="004E4359" w:rsidRPr="00524366">
        <w:rPr>
          <w:rFonts w:eastAsia="Times New Roman" w:cs="Times New Roman"/>
          <w:bCs/>
          <w:color w:val="000000"/>
          <w:lang w:eastAsia="cs-CZ"/>
        </w:rPr>
        <w:t xml:space="preserve">. </w:t>
      </w:r>
      <w:r w:rsidR="004E4359" w:rsidRPr="00524366">
        <w:rPr>
          <w:rFonts w:eastAsia="Times New Roman" w:cs="Times New Roman"/>
          <w:bCs/>
          <w:i/>
          <w:color w:val="000000"/>
          <w:lang w:eastAsia="cs-CZ"/>
        </w:rPr>
        <w:t xml:space="preserve">Error in corpore </w:t>
      </w:r>
      <w:r w:rsidR="004E4359" w:rsidRPr="00524366">
        <w:rPr>
          <w:rFonts w:eastAsia="Times New Roman" w:cs="Times New Roman"/>
          <w:bCs/>
          <w:color w:val="000000"/>
          <w:lang w:eastAsia="cs-CZ"/>
        </w:rPr>
        <w:t xml:space="preserve">je omyl týkající se absolutní totožnosti předmětu a může se také týkat buď omylu v projevu nebo omylu v obsahu. </w:t>
      </w:r>
      <w:r w:rsidR="004E4359" w:rsidRPr="00524366">
        <w:rPr>
          <w:rFonts w:eastAsia="Times New Roman" w:cs="Times New Roman"/>
          <w:bCs/>
          <w:i/>
          <w:color w:val="000000"/>
          <w:lang w:eastAsia="cs-CZ"/>
        </w:rPr>
        <w:t xml:space="preserve">Error in qualitate </w:t>
      </w:r>
      <w:r w:rsidR="004E4359" w:rsidRPr="00524366">
        <w:rPr>
          <w:rFonts w:eastAsia="Times New Roman" w:cs="Times New Roman"/>
          <w:bCs/>
          <w:color w:val="000000"/>
          <w:lang w:eastAsia="cs-CZ"/>
        </w:rPr>
        <w:t>se týká vlastností věcí (jakosti předmětu)</w:t>
      </w:r>
      <w:r w:rsidR="00935EA4" w:rsidRPr="00524366">
        <w:rPr>
          <w:rFonts w:eastAsia="Times New Roman" w:cs="Times New Roman"/>
          <w:bCs/>
          <w:color w:val="000000"/>
          <w:lang w:eastAsia="cs-CZ"/>
        </w:rPr>
        <w:t xml:space="preserve">. </w:t>
      </w:r>
      <w:r w:rsidR="00935EA4" w:rsidRPr="00524366">
        <w:rPr>
          <w:rFonts w:eastAsia="Times New Roman" w:cs="Times New Roman"/>
          <w:bCs/>
          <w:i/>
          <w:color w:val="000000"/>
          <w:lang w:eastAsia="cs-CZ"/>
        </w:rPr>
        <w:t>Error in substantia/materia</w:t>
      </w:r>
      <w:r w:rsidR="00935EA4" w:rsidRPr="00524366">
        <w:rPr>
          <w:rFonts w:eastAsia="Times New Roman" w:cs="Times New Roman"/>
          <w:bCs/>
          <w:color w:val="000000"/>
          <w:lang w:eastAsia="cs-CZ"/>
        </w:rPr>
        <w:t xml:space="preserve"> se týká hmoty/látky věci, z níž se věc sestává. </w:t>
      </w:r>
      <w:r w:rsidR="00935EA4" w:rsidRPr="00524366">
        <w:rPr>
          <w:rFonts w:eastAsia="Times New Roman" w:cs="Times New Roman"/>
          <w:bCs/>
          <w:i/>
          <w:color w:val="000000"/>
          <w:lang w:eastAsia="cs-CZ"/>
        </w:rPr>
        <w:t>Error in virgintate</w:t>
      </w:r>
      <w:r w:rsidR="00935EA4" w:rsidRPr="00524366">
        <w:rPr>
          <w:rFonts w:eastAsia="Times New Roman" w:cs="Times New Roman"/>
          <w:bCs/>
          <w:color w:val="000000"/>
          <w:lang w:eastAsia="cs-CZ"/>
        </w:rPr>
        <w:t xml:space="preserve"> je typ omylu, který kupujícího neměl poškodit, jelikož se jedná o </w:t>
      </w:r>
      <w:r w:rsidR="00935EA4" w:rsidRPr="00524366">
        <w:rPr>
          <w:rFonts w:eastAsia="Times New Roman" w:cs="Times New Roman"/>
          <w:bCs/>
          <w:i/>
          <w:color w:val="000000"/>
          <w:lang w:eastAsia="cs-CZ"/>
        </w:rPr>
        <w:t>error facti.</w:t>
      </w:r>
      <w:r w:rsidR="00935EA4" w:rsidRPr="00524366">
        <w:rPr>
          <w:rFonts w:eastAsia="Times New Roman" w:cs="Times New Roman"/>
          <w:bCs/>
          <w:color w:val="000000"/>
          <w:lang w:eastAsia="cs-CZ"/>
        </w:rPr>
        <w:t xml:space="preserve"> V tomto případě se jednalo o vymíněnou vlastnost předmětu koupě. Naproti tomu </w:t>
      </w:r>
      <w:r w:rsidR="00935EA4" w:rsidRPr="00524366">
        <w:rPr>
          <w:rFonts w:eastAsia="Times New Roman" w:cs="Times New Roman"/>
          <w:bCs/>
          <w:i/>
          <w:color w:val="000000"/>
          <w:lang w:eastAsia="cs-CZ"/>
        </w:rPr>
        <w:t>error in sexu</w:t>
      </w:r>
      <w:r w:rsidR="00935EA4" w:rsidRPr="00524366">
        <w:rPr>
          <w:rFonts w:eastAsia="Times New Roman" w:cs="Times New Roman"/>
          <w:bCs/>
          <w:color w:val="000000"/>
          <w:lang w:eastAsia="cs-CZ"/>
        </w:rPr>
        <w:t xml:space="preserve"> týkající se pohlaví je neplatný.</w:t>
      </w:r>
    </w:p>
    <w:p w14:paraId="1DBE8B92" w14:textId="390606D3" w:rsidR="00EE3ACC" w:rsidRPr="00524366" w:rsidRDefault="00EE3ACC" w:rsidP="00EE3ACC">
      <w:pPr>
        <w:spacing w:line="360" w:lineRule="auto"/>
        <w:ind w:firstLine="708"/>
        <w:jc w:val="both"/>
        <w:rPr>
          <w:rFonts w:eastAsia="Times New Roman" w:cs="Times New Roman"/>
          <w:bCs/>
          <w:color w:val="000000"/>
          <w:lang w:eastAsia="cs-CZ"/>
        </w:rPr>
      </w:pPr>
      <w:r w:rsidRPr="00524366">
        <w:rPr>
          <w:rFonts w:eastAsia="Times New Roman" w:cs="Times New Roman"/>
          <w:bCs/>
          <w:color w:val="000000"/>
          <w:lang w:eastAsia="cs-CZ"/>
        </w:rPr>
        <w:t>Pátou kapitolu s názvem „</w:t>
      </w:r>
      <w:r w:rsidR="00281CE2" w:rsidRPr="00524366">
        <w:rPr>
          <w:rFonts w:eastAsia="Times New Roman" w:cs="Times New Roman"/>
          <w:bCs/>
          <w:i/>
          <w:color w:val="000000"/>
          <w:lang w:eastAsia="cs-CZ"/>
        </w:rPr>
        <w:t>O</w:t>
      </w:r>
      <w:r w:rsidRPr="00524366">
        <w:rPr>
          <w:rFonts w:eastAsia="Times New Roman" w:cs="Times New Roman"/>
          <w:bCs/>
          <w:i/>
          <w:color w:val="000000"/>
          <w:lang w:eastAsia="cs-CZ"/>
        </w:rPr>
        <w:t>draz justiniánského pojímání omylu v moderní právní úpravě</w:t>
      </w:r>
      <w:r w:rsidRPr="00524366">
        <w:rPr>
          <w:rFonts w:eastAsia="Times New Roman" w:cs="Times New Roman"/>
          <w:bCs/>
          <w:color w:val="000000"/>
          <w:lang w:eastAsia="cs-CZ"/>
        </w:rPr>
        <w:t xml:space="preserve">“ jsem do své práce zařadila nejen proto, že jedním z mých cílů bylo zjistit, jak se vyvíjel institut omylu, ale především z toho důvodu, aby vyniklo, jak velký dopad mají římsko-právní instituty, zásady a celkové pojetí práva na současnou právní úpravu. </w:t>
      </w:r>
      <w:r w:rsidR="00DA33F3" w:rsidRPr="00524366">
        <w:rPr>
          <w:rFonts w:eastAsia="Times New Roman" w:cs="Times New Roman"/>
          <w:bCs/>
          <w:color w:val="000000"/>
          <w:lang w:eastAsia="cs-CZ"/>
        </w:rPr>
        <w:t>D</w:t>
      </w:r>
      <w:r w:rsidRPr="00524366">
        <w:rPr>
          <w:rFonts w:eastAsia="Times New Roman" w:cs="Times New Roman"/>
          <w:bCs/>
          <w:color w:val="000000"/>
          <w:lang w:eastAsia="cs-CZ"/>
        </w:rPr>
        <w:t xml:space="preserve">obytím Západořímské říše v roce 476 n.l. došlo k jejímu zániku, ale k zániku římského práva </w:t>
      </w:r>
      <w:r w:rsidR="00B013AA" w:rsidRPr="00524366">
        <w:rPr>
          <w:rFonts w:eastAsia="Times New Roman" w:cs="Times New Roman"/>
          <w:bCs/>
          <w:color w:val="000000"/>
          <w:lang w:eastAsia="cs-CZ"/>
        </w:rPr>
        <w:t xml:space="preserve">jako takového </w:t>
      </w:r>
      <w:r w:rsidRPr="00524366">
        <w:rPr>
          <w:rFonts w:eastAsia="Times New Roman" w:cs="Times New Roman"/>
          <w:bCs/>
          <w:color w:val="000000"/>
          <w:lang w:eastAsia="cs-CZ"/>
        </w:rPr>
        <w:t xml:space="preserve">nikoliv, římské právo se tedy dál vyvíjelo a stalo se inspirací pro pozdější evropské občanské zákoníky. Velkou inspirací se římské právo stalo pro ABGB. </w:t>
      </w:r>
      <w:r w:rsidR="00DA33F3" w:rsidRPr="00524366">
        <w:rPr>
          <w:rFonts w:eastAsia="Times New Roman" w:cs="Times New Roman"/>
          <w:bCs/>
          <w:color w:val="000000"/>
          <w:lang w:eastAsia="cs-CZ"/>
        </w:rPr>
        <w:t>V několika větách je v této kapitole provedena stručná</w:t>
      </w:r>
      <w:r w:rsidRPr="00524366">
        <w:rPr>
          <w:rFonts w:eastAsia="Times New Roman" w:cs="Times New Roman"/>
          <w:bCs/>
          <w:color w:val="000000"/>
          <w:lang w:eastAsia="cs-CZ"/>
        </w:rPr>
        <w:t xml:space="preserve"> kom</w:t>
      </w:r>
      <w:r w:rsidR="00DA33F3" w:rsidRPr="00524366">
        <w:rPr>
          <w:rFonts w:eastAsia="Times New Roman" w:cs="Times New Roman"/>
          <w:bCs/>
          <w:color w:val="000000"/>
          <w:lang w:eastAsia="cs-CZ"/>
        </w:rPr>
        <w:t>paraci ABGB, OZ 1950 a OZ 1964, kdy ABGB byl inspirován římským právem a vycházel z jeho tradic. ABGB upravoval první relevantní úpravu omylu v právním jednání v §§ 870 – 875, v § 570 – 572 je obsažena zvláštní úprava omylu týkající se posledních pořízení. Úprava omylu v OZ 1950 vycházela z úpravy ABGB, některá ustanovení však byla zestručněna. Právní úprava omylu v OZ z r</w:t>
      </w:r>
      <w:r w:rsidR="000D4E34" w:rsidRPr="00524366">
        <w:rPr>
          <w:rFonts w:eastAsia="Times New Roman" w:cs="Times New Roman"/>
          <w:bCs/>
          <w:color w:val="000000"/>
          <w:lang w:eastAsia="cs-CZ"/>
        </w:rPr>
        <w:t>oku 1964 byla ještě více zúžena</w:t>
      </w:r>
      <w:r w:rsidR="00DA33F3" w:rsidRPr="00524366">
        <w:rPr>
          <w:rFonts w:eastAsia="Times New Roman" w:cs="Times New Roman"/>
          <w:bCs/>
          <w:color w:val="000000"/>
          <w:lang w:eastAsia="cs-CZ"/>
        </w:rPr>
        <w:t xml:space="preserve"> a oproštěna od zažitých římskoprávních institutů. Až nový občanský zákoník z roku 2012 </w:t>
      </w:r>
      <w:r w:rsidR="00A84928" w:rsidRPr="00524366">
        <w:rPr>
          <w:rFonts w:eastAsia="Times New Roman" w:cs="Times New Roman"/>
          <w:bCs/>
          <w:color w:val="000000"/>
          <w:lang w:eastAsia="cs-CZ"/>
        </w:rPr>
        <w:t xml:space="preserve">jeho úpravu rozšířil, nicméně i tato úprava by mohla být podrobnější. </w:t>
      </w:r>
    </w:p>
    <w:p w14:paraId="4371EC4A" w14:textId="0EAFDB78" w:rsidR="00824F65" w:rsidRPr="00524366" w:rsidRDefault="00EE3ACC" w:rsidP="00117384">
      <w:pPr>
        <w:spacing w:line="360" w:lineRule="auto"/>
        <w:ind w:firstLine="708"/>
        <w:jc w:val="both"/>
        <w:rPr>
          <w:rFonts w:eastAsia="Times New Roman" w:cs="Times New Roman"/>
          <w:bCs/>
          <w:color w:val="000000"/>
          <w:lang w:eastAsia="cs-CZ"/>
        </w:rPr>
      </w:pPr>
      <w:r w:rsidRPr="00524366">
        <w:rPr>
          <w:rFonts w:eastAsia="Times New Roman" w:cs="Times New Roman"/>
          <w:bCs/>
          <w:color w:val="000000"/>
          <w:lang w:eastAsia="cs-CZ"/>
        </w:rPr>
        <w:t xml:space="preserve">Poslední, šestou kapitolu jsem věnovala úpravě institutu omylu v zákoně č. 89/2012 Sb., </w:t>
      </w:r>
      <w:r w:rsidR="00712A03" w:rsidRPr="00524366">
        <w:rPr>
          <w:rFonts w:eastAsia="Times New Roman" w:cs="Times New Roman"/>
          <w:bCs/>
          <w:color w:val="000000"/>
          <w:lang w:eastAsia="cs-CZ"/>
        </w:rPr>
        <w:t xml:space="preserve">tato kapitola se zabývala náležitostmi </w:t>
      </w:r>
      <w:r w:rsidR="0045632B" w:rsidRPr="00524366">
        <w:rPr>
          <w:rFonts w:eastAsia="Times New Roman" w:cs="Times New Roman"/>
          <w:bCs/>
          <w:color w:val="000000"/>
          <w:lang w:eastAsia="cs-CZ"/>
        </w:rPr>
        <w:t xml:space="preserve">právního jednání. Náležitosti právního jednání určují, zda se </w:t>
      </w:r>
      <w:r w:rsidR="0045632B" w:rsidRPr="00524366">
        <w:rPr>
          <w:rFonts w:eastAsia="Times New Roman" w:cs="Times New Roman"/>
          <w:bCs/>
          <w:color w:val="000000"/>
          <w:lang w:eastAsia="cs-CZ"/>
        </w:rPr>
        <w:lastRenderedPageBreak/>
        <w:t>jedná o právní jednání platné či neplatné, případně že se vůbec o právní jednání nejedná (NOZ tuto situaci označuje jako zdánlivé právní jednání).</w:t>
      </w:r>
      <w:r w:rsidR="00824F65" w:rsidRPr="00524366">
        <w:rPr>
          <w:rFonts w:eastAsia="Times New Roman" w:cs="Times New Roman"/>
          <w:bCs/>
          <w:color w:val="000000"/>
          <w:lang w:eastAsia="cs-CZ"/>
        </w:rPr>
        <w:t xml:space="preserve"> Náležitosti právního jednání tvoří: </w:t>
      </w:r>
      <w:r w:rsidR="00A84928" w:rsidRPr="00524366">
        <w:rPr>
          <w:rFonts w:eastAsia="Times New Roman" w:cs="Times New Roman"/>
          <w:bCs/>
          <w:color w:val="000000"/>
          <w:lang w:eastAsia="cs-CZ"/>
        </w:rPr>
        <w:t>náležitosti předmětu, náležitosti subjektu, náležitosti p</w:t>
      </w:r>
      <w:r w:rsidR="00712A03" w:rsidRPr="00524366">
        <w:rPr>
          <w:rFonts w:eastAsia="Times New Roman" w:cs="Times New Roman"/>
          <w:bCs/>
          <w:color w:val="000000"/>
          <w:lang w:eastAsia="cs-CZ"/>
        </w:rPr>
        <w:t xml:space="preserve">rojevu vůle a náležitosti vůle. </w:t>
      </w:r>
      <w:r w:rsidR="00824F65" w:rsidRPr="00524366">
        <w:rPr>
          <w:rFonts w:eastAsia="Times New Roman" w:cs="Times New Roman"/>
          <w:bCs/>
          <w:color w:val="000000"/>
          <w:lang w:eastAsia="cs-CZ"/>
        </w:rPr>
        <w:t>NOZ upravuje následky právního jednání učiněného v omylu v §§ 583 – 585</w:t>
      </w:r>
      <w:r w:rsidR="00117384" w:rsidRPr="00524366">
        <w:rPr>
          <w:rFonts w:eastAsia="Times New Roman" w:cs="Times New Roman"/>
          <w:bCs/>
          <w:color w:val="000000"/>
          <w:lang w:eastAsia="cs-CZ"/>
        </w:rPr>
        <w:t>, kdy k neplatnosti právního</w:t>
      </w:r>
      <w:r w:rsidR="00824F65" w:rsidRPr="00524366">
        <w:rPr>
          <w:rFonts w:eastAsia="Times New Roman" w:cs="Times New Roman"/>
          <w:bCs/>
          <w:color w:val="000000"/>
          <w:lang w:eastAsia="cs-CZ"/>
        </w:rPr>
        <w:t xml:space="preserve"> </w:t>
      </w:r>
      <w:r w:rsidR="00117384" w:rsidRPr="00524366">
        <w:rPr>
          <w:rFonts w:eastAsia="Times New Roman" w:cs="Times New Roman"/>
          <w:bCs/>
          <w:color w:val="000000"/>
          <w:lang w:eastAsia="cs-CZ"/>
        </w:rPr>
        <w:t xml:space="preserve">jednání dle § 583 se vyžaduje vyvolání omylu druhou stranou a dle § 585 postačuje, pokud druhá strana o omylu jednajícího musela vědět. V této kapitole jsou popsány i jednotlivé typy omylu, které upravuje český právní řád, a tedy: omyl v rozhodující okolnosti (omyl podstatný), omyl ve vedlejší okolnosti, omyl vyvolaný lstí a omyl vyvolaný třetí osobou. NOZ upravuje i speciální úpravu omylu při uzavírání manželství a při sepisování závěti. O právně relevantním omylu můžeme hovořit v případě, že bude možno daný omyl podřadit pod některý z výše zákonem uznaných typů omylu. Právní teorie i soudní praxe však vychází z toho, že aby byl omyl právně relevantní, musí se jednat o tzv. omluvitelný omyl, kdy omluvitelnost omylu je judikaturou dovozený předpoklad právní relevance omylu a pouze takového se lze dovolat. </w:t>
      </w:r>
    </w:p>
    <w:p w14:paraId="57A2C0F0" w14:textId="614BCF9C" w:rsidR="00EE3ACC" w:rsidRPr="00524366" w:rsidRDefault="00EE3ACC" w:rsidP="00EE3ACC">
      <w:pPr>
        <w:spacing w:line="360" w:lineRule="auto"/>
        <w:ind w:firstLine="708"/>
        <w:jc w:val="both"/>
        <w:rPr>
          <w:rFonts w:eastAsia="Times New Roman" w:cs="Times New Roman"/>
          <w:bCs/>
          <w:color w:val="000000"/>
          <w:lang w:eastAsia="cs-CZ"/>
        </w:rPr>
      </w:pPr>
      <w:r w:rsidRPr="00524366">
        <w:rPr>
          <w:rFonts w:eastAsia="Times New Roman" w:cs="Times New Roman"/>
          <w:bCs/>
          <w:color w:val="000000"/>
          <w:lang w:eastAsia="cs-CZ"/>
        </w:rPr>
        <w:t xml:space="preserve">V práci jsme si ukázali velkou podobnost </w:t>
      </w:r>
      <w:r w:rsidRPr="00524366">
        <w:t>dnešního práva s právem rozvinuté otrokářské společnosti starověku. Římané vytvořili právní řád, která je pramenem poznání a velkou inspirací ještě dnes. 19. století bylo ve znamení rozvoje právní romanistiky jako vědního oboru, o kterou se</w:t>
      </w:r>
      <w:r w:rsidR="00281CE2" w:rsidRPr="00524366">
        <w:t xml:space="preserve"> v našich zemích</w:t>
      </w:r>
      <w:r w:rsidRPr="00524366">
        <w:t xml:space="preserve"> zasloužil</w:t>
      </w:r>
      <w:r w:rsidR="00281CE2" w:rsidRPr="00524366">
        <w:t xml:space="preserve"> zejm.</w:t>
      </w:r>
      <w:r w:rsidRPr="00524366">
        <w:t xml:space="preserve"> L. Heyrovský a J. Vančura. </w:t>
      </w:r>
    </w:p>
    <w:p w14:paraId="1CF5D379" w14:textId="77777777" w:rsidR="00EE3ACC" w:rsidRPr="00524366" w:rsidRDefault="00EE3ACC" w:rsidP="00B85FDE">
      <w:pPr>
        <w:spacing w:line="360" w:lineRule="auto"/>
        <w:ind w:firstLine="708"/>
        <w:jc w:val="both"/>
        <w:rPr>
          <w:rFonts w:eastAsia="Times New Roman" w:cs="Times New Roman"/>
          <w:bCs/>
          <w:color w:val="000000"/>
          <w:lang w:eastAsia="cs-CZ"/>
        </w:rPr>
      </w:pPr>
    </w:p>
    <w:p w14:paraId="75705B7B" w14:textId="77777777" w:rsidR="00BA3B24" w:rsidRPr="00524366" w:rsidRDefault="00BA3B24" w:rsidP="00D240D8">
      <w:pPr>
        <w:spacing w:line="360" w:lineRule="auto"/>
        <w:ind w:firstLine="709"/>
      </w:pPr>
    </w:p>
    <w:p w14:paraId="2051F0A3" w14:textId="0289715D" w:rsidR="00882A65" w:rsidRPr="00524366" w:rsidRDefault="00D240D8">
      <w:pPr>
        <w:rPr>
          <w:b/>
          <w:sz w:val="32"/>
        </w:rPr>
      </w:pPr>
      <w:r w:rsidRPr="00524366">
        <w:rPr>
          <w:b/>
          <w:sz w:val="32"/>
        </w:rPr>
        <w:br w:type="page"/>
      </w:r>
    </w:p>
    <w:p w14:paraId="04A9AB33" w14:textId="6EBBDECB" w:rsidR="004F3E72" w:rsidRPr="00524366" w:rsidRDefault="00882A65" w:rsidP="00DF7FFA">
      <w:pPr>
        <w:pStyle w:val="Nadpis1"/>
      </w:pPr>
      <w:bookmarkStart w:id="25" w:name="_Toc509230648"/>
      <w:bookmarkStart w:id="26" w:name="_Toc523139887"/>
      <w:r w:rsidRPr="00524366">
        <w:lastRenderedPageBreak/>
        <w:t>Bibliografie</w:t>
      </w:r>
      <w:bookmarkEnd w:id="25"/>
      <w:bookmarkEnd w:id="26"/>
    </w:p>
    <w:p w14:paraId="7AE82190" w14:textId="2968AD79" w:rsidR="003F3402" w:rsidRPr="00524366" w:rsidRDefault="00882A65" w:rsidP="009B6E18">
      <w:pPr>
        <w:pStyle w:val="Odstavecseseznamem"/>
        <w:numPr>
          <w:ilvl w:val="0"/>
          <w:numId w:val="13"/>
        </w:numPr>
        <w:spacing w:line="360" w:lineRule="auto"/>
        <w:jc w:val="both"/>
        <w:rPr>
          <w:b/>
        </w:rPr>
      </w:pPr>
      <w:r w:rsidRPr="00524366">
        <w:rPr>
          <w:b/>
        </w:rPr>
        <w:t>Monografie, učebnice:</w:t>
      </w:r>
    </w:p>
    <w:p w14:paraId="4D818009" w14:textId="5B8E6CC1" w:rsidR="003F3402" w:rsidRPr="00524366" w:rsidRDefault="003F3402" w:rsidP="00350D71">
      <w:pPr>
        <w:spacing w:line="360" w:lineRule="auto"/>
        <w:jc w:val="both"/>
      </w:pPr>
      <w:r w:rsidRPr="00524366">
        <w:t xml:space="preserve">BARTOŠEK, Milan. </w:t>
      </w:r>
      <w:r w:rsidRPr="00524366">
        <w:rPr>
          <w:i/>
        </w:rPr>
        <w:t xml:space="preserve">Encyklopedie římského práva. </w:t>
      </w:r>
      <w:r w:rsidR="009032D3" w:rsidRPr="00524366">
        <w:t>Praha: ACADEMIA, 1994.</w:t>
      </w:r>
      <w:r w:rsidRPr="00524366">
        <w:t xml:space="preserve"> 471 s. </w:t>
      </w:r>
    </w:p>
    <w:p w14:paraId="5E2E4787" w14:textId="4D32B0E2" w:rsidR="003F3402" w:rsidRPr="00524366" w:rsidRDefault="003F3402" w:rsidP="00350D71">
      <w:pPr>
        <w:pStyle w:val="Textpoznpodarou"/>
        <w:spacing w:line="360" w:lineRule="auto"/>
        <w:jc w:val="both"/>
      </w:pPr>
      <w:r w:rsidRPr="00524366">
        <w:t xml:space="preserve">BARTOŠEK, Milan. </w:t>
      </w:r>
      <w:r w:rsidRPr="00524366">
        <w:rPr>
          <w:i/>
        </w:rPr>
        <w:t>Škola právnického myšlení.</w:t>
      </w:r>
      <w:r w:rsidRPr="00524366">
        <w:t xml:space="preserve"> Vydavatelstv</w:t>
      </w:r>
      <w:r w:rsidR="009032D3" w:rsidRPr="00524366">
        <w:t>í Karolinum, Praha 1993.</w:t>
      </w:r>
      <w:r w:rsidRPr="00524366">
        <w:t xml:space="preserve"> 380 s.</w:t>
      </w:r>
    </w:p>
    <w:p w14:paraId="6C0EB063" w14:textId="457F7529" w:rsidR="003F3402" w:rsidRPr="00524366" w:rsidRDefault="003F3402" w:rsidP="00350D71">
      <w:pPr>
        <w:spacing w:line="360" w:lineRule="auto"/>
        <w:jc w:val="both"/>
      </w:pPr>
      <w:r w:rsidRPr="00524366">
        <w:t xml:space="preserve">BLAHO, Peter. </w:t>
      </w:r>
      <w:r w:rsidRPr="00524366">
        <w:rPr>
          <w:i/>
        </w:rPr>
        <w:t xml:space="preserve">Justiniánské inštitúcie. </w:t>
      </w:r>
      <w:r w:rsidRPr="00524366">
        <w:t>1. vydání.  IURA EDITION, Bratislava 20</w:t>
      </w:r>
      <w:r w:rsidR="009032D3" w:rsidRPr="00524366">
        <w:t xml:space="preserve">00. </w:t>
      </w:r>
      <w:r w:rsidRPr="00524366">
        <w:t xml:space="preserve">439 s. </w:t>
      </w:r>
    </w:p>
    <w:p w14:paraId="52DC735B" w14:textId="3AC0C3BE" w:rsidR="003F3402" w:rsidRPr="00524366" w:rsidRDefault="003F3402" w:rsidP="00350D71">
      <w:pPr>
        <w:spacing w:line="360" w:lineRule="auto"/>
        <w:jc w:val="both"/>
      </w:pPr>
      <w:r w:rsidRPr="00524366">
        <w:t xml:space="preserve">BLAHO, Peter, HARAMIA, Ivan, ŽIDLICKÁ, Michaela. </w:t>
      </w:r>
      <w:r w:rsidRPr="00524366">
        <w:rPr>
          <w:i/>
        </w:rPr>
        <w:t xml:space="preserve">Základy rímského práva. </w:t>
      </w:r>
      <w:r w:rsidRPr="00524366">
        <w:t>Bratislava: MANZ, 1997</w:t>
      </w:r>
      <w:r w:rsidR="009032D3" w:rsidRPr="00524366">
        <w:t>.</w:t>
      </w:r>
      <w:r w:rsidRPr="00524366">
        <w:t xml:space="preserve"> 483 s. </w:t>
      </w:r>
    </w:p>
    <w:p w14:paraId="0FCFFFE9" w14:textId="64D95E21" w:rsidR="00032A74" w:rsidRPr="00524366" w:rsidRDefault="00032A74" w:rsidP="00350D71">
      <w:pPr>
        <w:spacing w:line="360" w:lineRule="auto"/>
        <w:jc w:val="both"/>
      </w:pPr>
      <w:r w:rsidRPr="00524366">
        <w:t xml:space="preserve">BLAHO, Peter a kol. </w:t>
      </w:r>
      <w:r w:rsidRPr="00524366">
        <w:rPr>
          <w:i/>
        </w:rPr>
        <w:t>Digesta neboli Pandekty, svazek I, kniha I-XV, vybrané části.</w:t>
      </w:r>
      <w:r w:rsidR="009032D3" w:rsidRPr="00524366">
        <w:t xml:space="preserve"> Karolinum, Praha: 2015.</w:t>
      </w:r>
      <w:r w:rsidRPr="00524366">
        <w:t xml:space="preserve"> 701 s. </w:t>
      </w:r>
    </w:p>
    <w:p w14:paraId="6E424FBC" w14:textId="77777777" w:rsidR="003F3402" w:rsidRPr="00524366" w:rsidRDefault="003F3402" w:rsidP="00350D71">
      <w:pPr>
        <w:spacing w:line="360" w:lineRule="auto"/>
        <w:jc w:val="both"/>
      </w:pPr>
      <w:r w:rsidRPr="00524366">
        <w:t xml:space="preserve">BLAHO, Peter, REBRO, Karol. </w:t>
      </w:r>
      <w:r w:rsidRPr="00524366">
        <w:rPr>
          <w:i/>
        </w:rPr>
        <w:t xml:space="preserve">Rímske právo. </w:t>
      </w:r>
      <w:r w:rsidRPr="00524366">
        <w:t>Bratislava: Vydavatel’stvo právnickej literatúry IURA EDITION, 2010. 522 s.</w:t>
      </w:r>
    </w:p>
    <w:p w14:paraId="4B65D734" w14:textId="3BE456BF" w:rsidR="003F3402" w:rsidRPr="00524366" w:rsidRDefault="003F3402" w:rsidP="00350D71">
      <w:pPr>
        <w:spacing w:line="360" w:lineRule="auto"/>
        <w:jc w:val="both"/>
      </w:pPr>
      <w:r w:rsidRPr="00524366">
        <w:t xml:space="preserve">BUBELOVÁ, Kamila, DOSTALÍK, Petr. </w:t>
      </w:r>
      <w:r w:rsidRPr="00524366">
        <w:rPr>
          <w:i/>
        </w:rPr>
        <w:t xml:space="preserve">Praktikum z římského práva. </w:t>
      </w:r>
      <w:r w:rsidRPr="00524366">
        <w:t>2. rozš</w:t>
      </w:r>
      <w:r w:rsidR="009032D3" w:rsidRPr="00524366">
        <w:t>ířené vydání. Praha: Leges 2013.</w:t>
      </w:r>
      <w:r w:rsidRPr="00524366">
        <w:t xml:space="preserve"> 192 s. </w:t>
      </w:r>
    </w:p>
    <w:p w14:paraId="5C1C9418" w14:textId="3B06433D" w:rsidR="003F3402" w:rsidRPr="00524366" w:rsidRDefault="003F3402" w:rsidP="00350D71">
      <w:pPr>
        <w:spacing w:line="360" w:lineRule="auto"/>
        <w:jc w:val="both"/>
      </w:pPr>
      <w:r w:rsidRPr="00524366">
        <w:t xml:space="preserve">DOSTALÍK, Petr. </w:t>
      </w:r>
      <w:r w:rsidRPr="00524366">
        <w:rPr>
          <w:i/>
        </w:rPr>
        <w:t>Texty ke studiu římského práva soukromého</w:t>
      </w:r>
      <w:r w:rsidRPr="00524366">
        <w:t xml:space="preserve">. Plzeň: vydavatelství a nakladatelství Aleš Čeněk, 2009. 175 s. </w:t>
      </w:r>
    </w:p>
    <w:p w14:paraId="4F6A45D8" w14:textId="77777777" w:rsidR="003F3402" w:rsidRPr="00524366" w:rsidRDefault="003F3402" w:rsidP="00350D71">
      <w:pPr>
        <w:pStyle w:val="Textpoznpodarou"/>
        <w:spacing w:line="360" w:lineRule="auto"/>
        <w:jc w:val="both"/>
      </w:pPr>
      <w:r w:rsidRPr="00524366">
        <w:t xml:space="preserve">FRÝDEK, Miroslav. </w:t>
      </w:r>
      <w:r w:rsidRPr="00524366">
        <w:rPr>
          <w:i/>
        </w:rPr>
        <w:t xml:space="preserve">Praktická cvičení z římského práva. </w:t>
      </w:r>
      <w:r w:rsidRPr="00524366">
        <w:t>Ostrava: KEY Publishing, 2010. 105 s.</w:t>
      </w:r>
    </w:p>
    <w:p w14:paraId="6016D7CB" w14:textId="17E4B76B" w:rsidR="009032D3" w:rsidRPr="00524366" w:rsidRDefault="009032D3" w:rsidP="00350D71">
      <w:pPr>
        <w:spacing w:line="360" w:lineRule="auto"/>
        <w:jc w:val="both"/>
      </w:pPr>
      <w:r w:rsidRPr="00524366">
        <w:t xml:space="preserve">JANIŠOVÁ, Jana, JANIŠ, Dalibor. </w:t>
      </w:r>
      <w:r w:rsidRPr="00524366">
        <w:rPr>
          <w:i/>
        </w:rPr>
        <w:t>Moravská zemská zřízení a kodifikace zemského práva ve střední Evropě v 16. a na začátku 17. století.</w:t>
      </w:r>
      <w:r w:rsidRPr="00524366">
        <w:t xml:space="preserve"> Praha</w:t>
      </w:r>
      <w:r w:rsidR="00C06541" w:rsidRPr="00524366">
        <w:t xml:space="preserve">: </w:t>
      </w:r>
      <w:r w:rsidR="000B0E4A" w:rsidRPr="00524366">
        <w:t>Scriptorium</w:t>
      </w:r>
      <w:r w:rsidRPr="00524366">
        <w:t xml:space="preserve">, 2016. </w:t>
      </w:r>
      <w:r w:rsidR="000B0E4A" w:rsidRPr="00524366">
        <w:t xml:space="preserve">478 s. </w:t>
      </w:r>
    </w:p>
    <w:p w14:paraId="69A22148" w14:textId="77777777" w:rsidR="003F3402" w:rsidRPr="00524366" w:rsidRDefault="003F3402" w:rsidP="00350D71">
      <w:pPr>
        <w:spacing w:line="360" w:lineRule="auto"/>
        <w:jc w:val="both"/>
      </w:pPr>
      <w:r w:rsidRPr="00524366">
        <w:t xml:space="preserve">HEYROVSKÝ, Leopold. </w:t>
      </w:r>
      <w:r w:rsidRPr="00524366">
        <w:rPr>
          <w:i/>
        </w:rPr>
        <w:t xml:space="preserve">Dějiny a systém soukromého práva římského. </w:t>
      </w:r>
      <w:r w:rsidRPr="00524366">
        <w:t xml:space="preserve">7. vydání. Bratislava: Nákladem právnické fakulty University Komenského v Bratislavě, 1929. 294 s. </w:t>
      </w:r>
    </w:p>
    <w:p w14:paraId="7D3CA2A8" w14:textId="77777777" w:rsidR="003F3402" w:rsidRPr="00524366" w:rsidRDefault="003F3402" w:rsidP="00350D71">
      <w:pPr>
        <w:spacing w:line="360" w:lineRule="auto"/>
        <w:jc w:val="both"/>
      </w:pPr>
      <w:r w:rsidRPr="00524366">
        <w:t xml:space="preserve">HRDINA, Ignác, Antonín, DOSTALÍK, Petr. </w:t>
      </w:r>
      <w:r w:rsidRPr="00524366">
        <w:rPr>
          <w:i/>
        </w:rPr>
        <w:t>Přehled římského práva soukromého ke státní souborné zkoušce.</w:t>
      </w:r>
      <w:r w:rsidRPr="00524366">
        <w:t xml:space="preserve"> Plzeň: Aleš Čeněk, 2010. 138 s.  </w:t>
      </w:r>
    </w:p>
    <w:p w14:paraId="2D907A0C" w14:textId="76278B68" w:rsidR="00350D71" w:rsidRPr="00524366" w:rsidRDefault="00350D71" w:rsidP="005D6E73">
      <w:pPr>
        <w:pStyle w:val="Textpoznpodarou"/>
        <w:spacing w:line="360" w:lineRule="auto"/>
        <w:jc w:val="both"/>
      </w:pPr>
      <w:r w:rsidRPr="00524366">
        <w:t xml:space="preserve">KNAPP, Viktor. </w:t>
      </w:r>
      <w:r w:rsidRPr="00524366">
        <w:rPr>
          <w:i/>
        </w:rPr>
        <w:t xml:space="preserve">Učebnice občanského a rodinného práva. Svazek I. </w:t>
      </w:r>
      <w:r w:rsidR="002B0980" w:rsidRPr="00524366">
        <w:t xml:space="preserve">2. vydání. Praha: Orbis, 1955. </w:t>
      </w:r>
      <w:r w:rsidR="009E28AC" w:rsidRPr="00524366">
        <w:t xml:space="preserve">403 s. </w:t>
      </w:r>
    </w:p>
    <w:p w14:paraId="4F8CD54D" w14:textId="2C9A4425" w:rsidR="00317EE2" w:rsidRPr="00524366" w:rsidRDefault="00317EE2" w:rsidP="005D6E73">
      <w:pPr>
        <w:pStyle w:val="Textpoznpodarou"/>
        <w:spacing w:line="360" w:lineRule="auto"/>
        <w:jc w:val="both"/>
      </w:pPr>
      <w:r w:rsidRPr="00524366">
        <w:t xml:space="preserve">KINCL, Jaromír, URFUS, Valentin, SKŘEJPEK, Michal. </w:t>
      </w:r>
      <w:r w:rsidRPr="00524366">
        <w:rPr>
          <w:i/>
        </w:rPr>
        <w:t>Římské právo.</w:t>
      </w:r>
      <w:r w:rsidRPr="00524366">
        <w:t xml:space="preserve"> 2. vydání. Praha, C. H. Beck, 1995. 386 s. </w:t>
      </w:r>
    </w:p>
    <w:p w14:paraId="6F6EDB65" w14:textId="2DE58809" w:rsidR="008412A6" w:rsidRPr="00524366" w:rsidRDefault="008412A6" w:rsidP="005D6E73">
      <w:pPr>
        <w:pStyle w:val="Textpoznpodarou"/>
        <w:spacing w:line="360" w:lineRule="auto"/>
        <w:jc w:val="both"/>
      </w:pPr>
      <w:r w:rsidRPr="00524366">
        <w:t xml:space="preserve">KUKLÍK, Jan. </w:t>
      </w:r>
      <w:r w:rsidRPr="00524366">
        <w:rPr>
          <w:i/>
        </w:rPr>
        <w:t xml:space="preserve">Vývoj československého práva 1945-1989. </w:t>
      </w:r>
      <w:r w:rsidRPr="00524366">
        <w:t xml:space="preserve">Praha: Linde, 2009. </w:t>
      </w:r>
      <w:r w:rsidR="002B0980" w:rsidRPr="00524366">
        <w:t xml:space="preserve">727 s. </w:t>
      </w:r>
    </w:p>
    <w:p w14:paraId="0B7CF368" w14:textId="77777777" w:rsidR="003F3402" w:rsidRPr="00524366" w:rsidRDefault="003F3402" w:rsidP="005D6E73">
      <w:pPr>
        <w:pStyle w:val="Textpoznpodarou"/>
        <w:spacing w:line="360" w:lineRule="auto"/>
        <w:jc w:val="both"/>
      </w:pPr>
      <w:r w:rsidRPr="00524366">
        <w:t xml:space="preserve">SKŘEJPEK, Michal. </w:t>
      </w:r>
      <w:r w:rsidRPr="00524366">
        <w:rPr>
          <w:i/>
        </w:rPr>
        <w:t xml:space="preserve">Římské soukromé právo. Systém a instituce. </w:t>
      </w:r>
      <w:r w:rsidRPr="00524366">
        <w:t xml:space="preserve">2. upravené vydání. Plzeň 2016, 350 s. </w:t>
      </w:r>
    </w:p>
    <w:p w14:paraId="4E406EB6" w14:textId="77777777" w:rsidR="003F3402" w:rsidRPr="00524366" w:rsidRDefault="003F3402" w:rsidP="00350D71">
      <w:pPr>
        <w:spacing w:line="360" w:lineRule="auto"/>
        <w:jc w:val="both"/>
      </w:pPr>
      <w:r w:rsidRPr="00524366">
        <w:t xml:space="preserve">SOMMER, Otakar. </w:t>
      </w:r>
      <w:r w:rsidRPr="00524366">
        <w:rPr>
          <w:i/>
        </w:rPr>
        <w:t>Učebnice soukromého práva římského. Díl I. Obecné nauky.</w:t>
      </w:r>
      <w:r w:rsidRPr="00524366">
        <w:t xml:space="preserve"> Praha, 1933. 220 s. </w:t>
      </w:r>
    </w:p>
    <w:p w14:paraId="18E418CE" w14:textId="77777777" w:rsidR="003F3402" w:rsidRPr="00524366" w:rsidRDefault="003F3402" w:rsidP="00350D71">
      <w:pPr>
        <w:pStyle w:val="Textpoznpodarou"/>
        <w:spacing w:line="360" w:lineRule="auto"/>
        <w:jc w:val="both"/>
      </w:pPr>
      <w:r w:rsidRPr="00524366">
        <w:t xml:space="preserve">SOMMER, Otakar. </w:t>
      </w:r>
      <w:r w:rsidRPr="00524366">
        <w:rPr>
          <w:i/>
        </w:rPr>
        <w:t xml:space="preserve">Učebnice soukromého práva římského. </w:t>
      </w:r>
      <w:r w:rsidRPr="00524366">
        <w:t xml:space="preserve">I. a II. díl. Praha: Wolters Kluwer ČR, a. s., 2011. 220 s. </w:t>
      </w:r>
    </w:p>
    <w:p w14:paraId="0CCE180A" w14:textId="2999343B" w:rsidR="005D6E73" w:rsidRPr="00524366" w:rsidRDefault="005D6E73" w:rsidP="005D6E73">
      <w:pPr>
        <w:pStyle w:val="Textpoznpodarou"/>
        <w:spacing w:line="276" w:lineRule="auto"/>
        <w:jc w:val="both"/>
      </w:pPr>
      <w:r w:rsidRPr="00524366">
        <w:t xml:space="preserve">TICHÝ, Luboš, HRÁDEK, Jiří. </w:t>
      </w:r>
      <w:r w:rsidRPr="00524366">
        <w:rPr>
          <w:i/>
        </w:rPr>
        <w:t>Deliktní právo.</w:t>
      </w:r>
      <w:r w:rsidRPr="00524366">
        <w:t xml:space="preserve"> 1. vydání. Praha: C. H. Beck, 2017. 496 s. </w:t>
      </w:r>
    </w:p>
    <w:p w14:paraId="16A2A870" w14:textId="68F68DC0" w:rsidR="00350D71" w:rsidRPr="00524366" w:rsidRDefault="00350D71" w:rsidP="00350D71">
      <w:pPr>
        <w:pStyle w:val="Textpoznpodarou"/>
        <w:spacing w:line="360" w:lineRule="auto"/>
        <w:jc w:val="both"/>
      </w:pPr>
      <w:r w:rsidRPr="00524366">
        <w:t>VANČURA, Josef. Úvod do studia soukromého práva římského. Praha: nákl. vlast., 1923. 569 s.</w:t>
      </w:r>
    </w:p>
    <w:p w14:paraId="22B49A3D" w14:textId="61BCE56E" w:rsidR="00DF6BC2" w:rsidRPr="00524366" w:rsidRDefault="00DF6BC2" w:rsidP="00350D71">
      <w:pPr>
        <w:pStyle w:val="Textpoznpodarou"/>
        <w:spacing w:line="360" w:lineRule="auto"/>
        <w:jc w:val="both"/>
      </w:pPr>
      <w:r w:rsidRPr="00524366">
        <w:t>ZIMMERMANN, R</w:t>
      </w:r>
      <w:r w:rsidR="00C67EC9" w:rsidRPr="00524366">
        <w:t xml:space="preserve">einhard. </w:t>
      </w:r>
      <w:r w:rsidR="000F19CF" w:rsidRPr="00524366">
        <w:rPr>
          <w:i/>
        </w:rPr>
        <w:t>The Law of Obligations, Roman Foundations of the Civilian Tradition.</w:t>
      </w:r>
      <w:r w:rsidR="000F19CF" w:rsidRPr="00524366">
        <w:t xml:space="preserve"> </w:t>
      </w:r>
      <w:r w:rsidR="00092A28" w:rsidRPr="00524366">
        <w:t xml:space="preserve">First edition. Cape Town </w:t>
      </w:r>
      <w:r w:rsidR="004F0D01" w:rsidRPr="00524366">
        <w:t>– Wetton –</w:t>
      </w:r>
      <w:r w:rsidR="00D3367D" w:rsidRPr="00524366">
        <w:t xml:space="preserve"> Johannesburg, 1990, 1301 s. Dostupné na:</w:t>
      </w:r>
      <w:r w:rsidR="0009767A" w:rsidRPr="00524366">
        <w:t xml:space="preserve"> </w:t>
      </w:r>
      <w:r w:rsidR="0009767A" w:rsidRPr="00524366">
        <w:lastRenderedPageBreak/>
        <w:t>&lt;</w:t>
      </w:r>
      <w:hyperlink r:id="rId8" w:history="1">
        <w:r w:rsidR="0009767A" w:rsidRPr="00524366">
          <w:rPr>
            <w:rStyle w:val="Hypertextovodkaz"/>
          </w:rPr>
          <w:t>https://vdocuments.us/the-law-of-obligations-roman-foundations-of-the-civilian-tradition.html</w:t>
        </w:r>
      </w:hyperlink>
      <w:r w:rsidR="0009767A" w:rsidRPr="00524366">
        <w:t xml:space="preserve">&gt; </w:t>
      </w:r>
    </w:p>
    <w:p w14:paraId="0CE547D4" w14:textId="775B4714" w:rsidR="00DF6BC2" w:rsidRPr="00524366" w:rsidRDefault="003F3402" w:rsidP="0009767A">
      <w:pPr>
        <w:pStyle w:val="Textpoznpodarou"/>
        <w:spacing w:line="360" w:lineRule="auto"/>
        <w:jc w:val="both"/>
      </w:pPr>
      <w:r w:rsidRPr="00524366">
        <w:t xml:space="preserve">ŽIDLICKÁ, Michaela. </w:t>
      </w:r>
      <w:r w:rsidRPr="00524366">
        <w:rPr>
          <w:i/>
        </w:rPr>
        <w:t>Římské právo a jeho vliv na formování kontinentálního právního systému.</w:t>
      </w:r>
      <w:r w:rsidRPr="00524366">
        <w:t xml:space="preserve"> Brno: Masarykova univerzita, 1993. </w:t>
      </w:r>
      <w:r w:rsidR="00715B90" w:rsidRPr="00524366">
        <w:t xml:space="preserve">19 s. </w:t>
      </w:r>
    </w:p>
    <w:p w14:paraId="5301558C" w14:textId="77777777" w:rsidR="00DF6BC2" w:rsidRPr="00524366" w:rsidRDefault="00DF6BC2" w:rsidP="00547588">
      <w:pPr>
        <w:spacing w:line="360" w:lineRule="auto"/>
        <w:jc w:val="both"/>
        <w:rPr>
          <w:b/>
        </w:rPr>
      </w:pPr>
    </w:p>
    <w:p w14:paraId="4C8D3FB2" w14:textId="49FDAF63" w:rsidR="00547588" w:rsidRPr="00524366" w:rsidRDefault="00547588" w:rsidP="009B6E18">
      <w:pPr>
        <w:pStyle w:val="Odstavecseseznamem"/>
        <w:numPr>
          <w:ilvl w:val="0"/>
          <w:numId w:val="13"/>
        </w:numPr>
        <w:spacing w:line="360" w:lineRule="auto"/>
        <w:jc w:val="both"/>
        <w:rPr>
          <w:b/>
        </w:rPr>
      </w:pPr>
      <w:r w:rsidRPr="00524366">
        <w:rPr>
          <w:b/>
        </w:rPr>
        <w:t>K</w:t>
      </w:r>
      <w:r w:rsidR="003F3402" w:rsidRPr="00524366">
        <w:rPr>
          <w:b/>
        </w:rPr>
        <w:t>omentář:</w:t>
      </w:r>
    </w:p>
    <w:p w14:paraId="2C21AA02" w14:textId="39D13099" w:rsidR="003F3402" w:rsidRPr="00524366" w:rsidRDefault="003F3402" w:rsidP="00350D71">
      <w:pPr>
        <w:spacing w:line="360" w:lineRule="auto"/>
        <w:jc w:val="both"/>
        <w:rPr>
          <w:rFonts w:eastAsia="Times New Roman" w:cs="Times New Roman"/>
          <w:color w:val="333333"/>
          <w:shd w:val="clear" w:color="auto" w:fill="FFFFFF"/>
          <w:lang w:eastAsia="cs-CZ"/>
        </w:rPr>
      </w:pPr>
      <w:r w:rsidRPr="00524366">
        <w:rPr>
          <w:rFonts w:eastAsia="Times New Roman" w:cs="Times New Roman"/>
          <w:color w:val="333333"/>
          <w:shd w:val="clear" w:color="auto" w:fill="FFFFFF"/>
          <w:lang w:eastAsia="cs-CZ"/>
        </w:rPr>
        <w:t xml:space="preserve">HORST HEINRICH, Jakobs. </w:t>
      </w:r>
      <w:r w:rsidRPr="00524366">
        <w:rPr>
          <w:rFonts w:eastAsia="Times New Roman" w:cs="Times New Roman"/>
          <w:i/>
          <w:color w:val="333333"/>
          <w:shd w:val="clear" w:color="auto" w:fill="FFFFFF"/>
          <w:lang w:eastAsia="cs-CZ"/>
        </w:rPr>
        <w:t xml:space="preserve">Magna glossa: textstufen der legistischen glossa ordinaria. </w:t>
      </w:r>
      <w:r w:rsidRPr="00524366">
        <w:rPr>
          <w:rFonts w:eastAsia="Times New Roman" w:cs="Times New Roman"/>
          <w:color w:val="333333"/>
          <w:shd w:val="clear" w:color="auto" w:fill="FFFFFF"/>
          <w:lang w:eastAsia="cs-CZ"/>
        </w:rPr>
        <w:t xml:space="preserve">Paderborn : Ferdinand Schöningh, 2006. 302 s. </w:t>
      </w:r>
    </w:p>
    <w:p w14:paraId="664A79A3" w14:textId="5FD35AFC" w:rsidR="00350D71" w:rsidRPr="00524366" w:rsidRDefault="00350D71" w:rsidP="00350D71">
      <w:pPr>
        <w:pStyle w:val="Textpoznpodarou"/>
        <w:spacing w:line="360" w:lineRule="auto"/>
        <w:jc w:val="both"/>
        <w:rPr>
          <w:szCs w:val="20"/>
        </w:rPr>
      </w:pPr>
      <w:r w:rsidRPr="00524366">
        <w:rPr>
          <w:szCs w:val="20"/>
        </w:rPr>
        <w:t xml:space="preserve">LAVICKÝ, Petr a kol. </w:t>
      </w:r>
      <w:r w:rsidRPr="00524366">
        <w:rPr>
          <w:i/>
          <w:szCs w:val="20"/>
        </w:rPr>
        <w:t>Občanský zákoník I. Obecná část (§1 – 654)</w:t>
      </w:r>
      <w:r w:rsidRPr="00524366">
        <w:rPr>
          <w:szCs w:val="20"/>
        </w:rPr>
        <w:t xml:space="preserve">. Komentář. 1. </w:t>
      </w:r>
      <w:r w:rsidR="00C06541" w:rsidRPr="00524366">
        <w:rPr>
          <w:szCs w:val="20"/>
        </w:rPr>
        <w:t>vydání. Praha: C. H. Beck, 2014.</w:t>
      </w:r>
      <w:r w:rsidRPr="00524366">
        <w:rPr>
          <w:szCs w:val="20"/>
        </w:rPr>
        <w:t xml:space="preserve"> 2400 s. </w:t>
      </w:r>
    </w:p>
    <w:p w14:paraId="2C4BFD1B" w14:textId="77777777" w:rsidR="00350D71" w:rsidRPr="00524366" w:rsidRDefault="00350D71" w:rsidP="00350D71">
      <w:pPr>
        <w:spacing w:line="360" w:lineRule="auto"/>
        <w:jc w:val="both"/>
      </w:pPr>
      <w:r w:rsidRPr="00524366">
        <w:t xml:space="preserve">MELZER, Filip, TÉGL, Petr a kol. </w:t>
      </w:r>
      <w:r w:rsidRPr="00524366">
        <w:rPr>
          <w:i/>
        </w:rPr>
        <w:t xml:space="preserve">Občanský zákoník - velký komentář. Svazek III. § 419 – 654. </w:t>
      </w:r>
      <w:r w:rsidRPr="00524366">
        <w:t>Praha: Leges, 2014</w:t>
      </w:r>
      <w:r w:rsidRPr="00524366">
        <w:rPr>
          <w:i/>
        </w:rPr>
        <w:t>.</w:t>
      </w:r>
      <w:r w:rsidRPr="00524366">
        <w:t xml:space="preserve"> 1264 s. </w:t>
      </w:r>
    </w:p>
    <w:p w14:paraId="13CE299B" w14:textId="74A0B18E" w:rsidR="00350D71" w:rsidRPr="00524366" w:rsidRDefault="00350D71" w:rsidP="00350D71">
      <w:pPr>
        <w:pStyle w:val="Textpoznpodarou"/>
        <w:spacing w:line="360" w:lineRule="auto"/>
        <w:jc w:val="both"/>
      </w:pPr>
      <w:r w:rsidRPr="00524366">
        <w:t xml:space="preserve">ROUČEK, František. SEDLÁČEK, Jaromír. </w:t>
      </w:r>
      <w:r w:rsidRPr="00524366">
        <w:rPr>
          <w:i/>
        </w:rPr>
        <w:t xml:space="preserve">Komentář k československému obecnému zákoníku občanskému. </w:t>
      </w:r>
      <w:r w:rsidRPr="00524366">
        <w:t xml:space="preserve">Díl IV. (§§859 až 1089). V. Linhart: Praha 1936. 866 s. </w:t>
      </w:r>
    </w:p>
    <w:p w14:paraId="4540E97F" w14:textId="6E1344E8" w:rsidR="00350D71" w:rsidRPr="00524366" w:rsidRDefault="00350D71" w:rsidP="00350D71">
      <w:pPr>
        <w:pStyle w:val="Textpoznpodarou"/>
        <w:spacing w:line="360" w:lineRule="auto"/>
        <w:jc w:val="both"/>
      </w:pPr>
      <w:r w:rsidRPr="00524366">
        <w:t xml:space="preserve">ŠVESTKA, Jiří a kol. </w:t>
      </w:r>
      <w:r w:rsidRPr="00524366">
        <w:rPr>
          <w:i/>
        </w:rPr>
        <w:t>Občanský zákoník. Komentář. Svazek I (§ 1- 654).</w:t>
      </w:r>
      <w:r w:rsidRPr="00524366">
        <w:t xml:space="preserve"> Praha: Wolte</w:t>
      </w:r>
      <w:r w:rsidR="00C06541" w:rsidRPr="00524366">
        <w:t>rs Kluwer, a.s., 2014.</w:t>
      </w:r>
      <w:r w:rsidRPr="00524366">
        <w:t xml:space="preserve"> 1736 s. </w:t>
      </w:r>
    </w:p>
    <w:p w14:paraId="413A4BDB" w14:textId="748FC2AC" w:rsidR="003F3402" w:rsidRPr="00524366" w:rsidRDefault="003F3402" w:rsidP="005D6E73">
      <w:pPr>
        <w:pStyle w:val="Textpoznpodarou"/>
        <w:spacing w:line="360" w:lineRule="auto"/>
        <w:jc w:val="both"/>
      </w:pPr>
      <w:r w:rsidRPr="00524366">
        <w:t xml:space="preserve">ZUKLÍNOVÁ, Michaela. </w:t>
      </w:r>
      <w:r w:rsidRPr="00524366">
        <w:rPr>
          <w:i/>
        </w:rPr>
        <w:t xml:space="preserve">Právní jednání podle občanského zákoníku č. 89/2012 Sb. Komentář, srovnání se zahraničím a vybraná platná judikatura. </w:t>
      </w:r>
      <w:r w:rsidRPr="00524366">
        <w:t>2. vyd. Praha: Linde Praha</w:t>
      </w:r>
      <w:r w:rsidR="00C06541" w:rsidRPr="00524366">
        <w:t xml:space="preserve"> a.s., 2013.</w:t>
      </w:r>
      <w:r w:rsidRPr="00524366">
        <w:t xml:space="preserve"> 189 s. </w:t>
      </w:r>
    </w:p>
    <w:p w14:paraId="6B13790C" w14:textId="77777777" w:rsidR="005D6E73" w:rsidRPr="00524366" w:rsidRDefault="005D6E73" w:rsidP="005D6E73">
      <w:pPr>
        <w:pStyle w:val="Textpoznpodarou"/>
        <w:spacing w:line="360" w:lineRule="auto"/>
        <w:jc w:val="both"/>
        <w:rPr>
          <w:i/>
        </w:rPr>
      </w:pPr>
    </w:p>
    <w:p w14:paraId="4FD5CFC9" w14:textId="3D90A57F" w:rsidR="00547588" w:rsidRPr="00524366" w:rsidRDefault="003F3402" w:rsidP="009B6E18">
      <w:pPr>
        <w:pStyle w:val="Odstavecseseznamem"/>
        <w:numPr>
          <w:ilvl w:val="0"/>
          <w:numId w:val="13"/>
        </w:numPr>
        <w:spacing w:line="360" w:lineRule="auto"/>
        <w:jc w:val="both"/>
        <w:rPr>
          <w:b/>
        </w:rPr>
      </w:pPr>
      <w:r w:rsidRPr="00524366">
        <w:rPr>
          <w:b/>
        </w:rPr>
        <w:t>Právní p</w:t>
      </w:r>
      <w:r w:rsidR="00547588" w:rsidRPr="00524366">
        <w:rPr>
          <w:b/>
        </w:rPr>
        <w:t>ředpisy</w:t>
      </w:r>
      <w:r w:rsidRPr="00524366">
        <w:rPr>
          <w:b/>
        </w:rPr>
        <w:t>:</w:t>
      </w:r>
    </w:p>
    <w:p w14:paraId="0BDB57EC" w14:textId="47FEA8B5" w:rsidR="009579D4" w:rsidRPr="00524366" w:rsidRDefault="004D0ACE" w:rsidP="009579D4">
      <w:pPr>
        <w:spacing w:line="360" w:lineRule="auto"/>
        <w:jc w:val="both"/>
      </w:pPr>
      <w:r w:rsidRPr="00524366">
        <w:t xml:space="preserve">Zákon č. 89/2012 Sb., občanský zákoník, ve </w:t>
      </w:r>
      <w:r w:rsidR="009579D4" w:rsidRPr="00524366">
        <w:t>znění pozdějších předpisů.</w:t>
      </w:r>
    </w:p>
    <w:p w14:paraId="63DAAFE1" w14:textId="48135DD3" w:rsidR="00EB3FEE" w:rsidRPr="00524366" w:rsidRDefault="00EB3FEE" w:rsidP="00EB3FEE">
      <w:pPr>
        <w:spacing w:line="360" w:lineRule="auto"/>
        <w:jc w:val="both"/>
      </w:pPr>
      <w:r w:rsidRPr="00524366">
        <w:rPr>
          <w:rFonts w:cs="TimesNewRomanPSMT"/>
          <w:color w:val="auto"/>
          <w:lang w:eastAsia="cs-CZ"/>
        </w:rPr>
        <w:t>Zákon č. 40/1964 Sb., občanský zákoník</w:t>
      </w:r>
      <w:r w:rsidR="003A33CC" w:rsidRPr="00524366">
        <w:rPr>
          <w:rFonts w:cs="TimesNewRomanPSMT"/>
          <w:color w:val="auto"/>
          <w:lang w:eastAsia="cs-CZ"/>
        </w:rPr>
        <w:t xml:space="preserve">, ve znění zákona č. 428/2011 Sb. účinném ke dni </w:t>
      </w:r>
      <w:r w:rsidR="00B71862" w:rsidRPr="00524366">
        <w:rPr>
          <w:rFonts w:cs="TimesNewRomanPSMT"/>
          <w:color w:val="auto"/>
          <w:lang w:eastAsia="cs-CZ"/>
        </w:rPr>
        <w:t>31. prosince</w:t>
      </w:r>
      <w:r w:rsidRPr="00524366">
        <w:rPr>
          <w:rFonts w:cs="TimesNewRomanPSMT"/>
          <w:color w:val="auto"/>
          <w:lang w:eastAsia="cs-CZ"/>
        </w:rPr>
        <w:t xml:space="preserve"> </w:t>
      </w:r>
      <w:r w:rsidR="00B71862" w:rsidRPr="00524366">
        <w:rPr>
          <w:rFonts w:cs="TimesNewRomanPSMT"/>
          <w:color w:val="auto"/>
          <w:lang w:eastAsia="cs-CZ"/>
        </w:rPr>
        <w:t xml:space="preserve">2013. </w:t>
      </w:r>
    </w:p>
    <w:p w14:paraId="031E856D" w14:textId="148698D5" w:rsidR="005D6E73" w:rsidRPr="00524366" w:rsidRDefault="00F00F73" w:rsidP="005D6E73">
      <w:pPr>
        <w:spacing w:line="360" w:lineRule="auto"/>
        <w:jc w:val="both"/>
      </w:pPr>
      <w:r w:rsidRPr="00524366">
        <w:t>Císařský patent č. 946/1811 Sb. z. s. ze dne 1. června 1811 ve znění účinném od 1.1.1917 do 31.12.1964.</w:t>
      </w:r>
    </w:p>
    <w:p w14:paraId="574D11E9" w14:textId="77777777" w:rsidR="00A77497" w:rsidRPr="00524366" w:rsidRDefault="00A77497" w:rsidP="005D6E73">
      <w:pPr>
        <w:spacing w:line="360" w:lineRule="auto"/>
        <w:jc w:val="both"/>
      </w:pPr>
    </w:p>
    <w:p w14:paraId="2074266C" w14:textId="23DF9E6A" w:rsidR="00982B45" w:rsidRPr="00524366" w:rsidRDefault="003F3402" w:rsidP="009B6E18">
      <w:pPr>
        <w:pStyle w:val="Odstavecseseznamem"/>
        <w:numPr>
          <w:ilvl w:val="0"/>
          <w:numId w:val="13"/>
        </w:numPr>
        <w:spacing w:line="360" w:lineRule="auto"/>
        <w:jc w:val="both"/>
        <w:rPr>
          <w:b/>
        </w:rPr>
      </w:pPr>
      <w:r w:rsidRPr="00524366">
        <w:rPr>
          <w:b/>
        </w:rPr>
        <w:t xml:space="preserve">Judikáty: </w:t>
      </w:r>
    </w:p>
    <w:p w14:paraId="573D59E6" w14:textId="77777777" w:rsidR="00A77497" w:rsidRPr="00524366" w:rsidRDefault="00A77497" w:rsidP="00A77497">
      <w:pPr>
        <w:spacing w:line="360" w:lineRule="auto"/>
        <w:jc w:val="both"/>
      </w:pPr>
      <w:r w:rsidRPr="00524366">
        <w:t>Rozsudek Nejvyššího soudu ČR ze dne 19. 12. 2002, sp. zn. 30 Cdo 1251/2002</w:t>
      </w:r>
    </w:p>
    <w:p w14:paraId="67AEB980" w14:textId="77777777" w:rsidR="00A77497" w:rsidRPr="00524366" w:rsidRDefault="00A77497" w:rsidP="00A77497">
      <w:pPr>
        <w:spacing w:line="360" w:lineRule="auto"/>
        <w:jc w:val="both"/>
      </w:pPr>
      <w:r w:rsidRPr="00524366">
        <w:t>Rozsudek Nejvyššího soudu ČR ze dne 30. 7. 2009, sp. zn. 29 Cdo 1830/2007, uveřejněném ve Sbírce soudních rozhodnutí a stanovisek pod č. 55/2010</w:t>
      </w:r>
    </w:p>
    <w:p w14:paraId="350F4163" w14:textId="77777777" w:rsidR="00A77497" w:rsidRPr="00524366" w:rsidRDefault="00A77497" w:rsidP="00A77497">
      <w:pPr>
        <w:spacing w:line="360" w:lineRule="auto"/>
        <w:jc w:val="both"/>
      </w:pPr>
      <w:r w:rsidRPr="00524366">
        <w:t xml:space="preserve">Rozsudek Nejvyššího soudu ČR ze dne 10. 10. 2002, sp. zn. 22 Cdo 490/2001 </w:t>
      </w:r>
    </w:p>
    <w:p w14:paraId="059C5484" w14:textId="3F1F13F2" w:rsidR="00A7483E" w:rsidRPr="00524366" w:rsidRDefault="00A7483E" w:rsidP="00A77497">
      <w:pPr>
        <w:spacing w:line="360" w:lineRule="auto"/>
        <w:jc w:val="both"/>
      </w:pPr>
      <w:r w:rsidRPr="00524366">
        <w:t xml:space="preserve">Rozsudek Nejvyššího soudu ČR ze dne 27. 3. 2001, sp. zn. </w:t>
      </w:r>
      <w:r w:rsidR="00366276" w:rsidRPr="00524366">
        <w:t>25 Cdo 2987/2000</w:t>
      </w:r>
    </w:p>
    <w:p w14:paraId="7DC7E0B6" w14:textId="78049562" w:rsidR="00A77497" w:rsidRPr="00524366" w:rsidRDefault="00A77497" w:rsidP="00A77497">
      <w:pPr>
        <w:spacing w:line="360" w:lineRule="auto"/>
        <w:jc w:val="both"/>
      </w:pPr>
      <w:r w:rsidRPr="00524366">
        <w:t xml:space="preserve">Rozhodnutí Nejvyššího soud Československé republiky ze dne 21. 2. 1922, Rv II 426/21[Vážný 1511] </w:t>
      </w:r>
    </w:p>
    <w:p w14:paraId="1E99FBAF" w14:textId="3223A6D8" w:rsidR="00B62DB0" w:rsidRPr="00524366" w:rsidRDefault="00B62DB0" w:rsidP="00EC7FA5">
      <w:pPr>
        <w:pStyle w:val="Textpoznpodarou"/>
        <w:spacing w:line="360" w:lineRule="auto"/>
      </w:pPr>
      <w:r w:rsidRPr="00524366">
        <w:lastRenderedPageBreak/>
        <w:t>Rozhodnutí Nejvyššího soud Československé republiky ze dne 8. 9. 1926,  Rv I 31/26 [Vážný 6248/1926]</w:t>
      </w:r>
    </w:p>
    <w:p w14:paraId="30F4443C" w14:textId="5179897F" w:rsidR="003E2D71" w:rsidRPr="00524366" w:rsidRDefault="003E2D71" w:rsidP="006C5C42">
      <w:pPr>
        <w:spacing w:line="360" w:lineRule="auto"/>
        <w:jc w:val="both"/>
      </w:pPr>
      <w:r w:rsidRPr="00524366">
        <w:t>R</w:t>
      </w:r>
      <w:r w:rsidR="00EC7FA5" w:rsidRPr="00524366">
        <w:t>ozsudek Nejvyššího soudu ČR</w:t>
      </w:r>
      <w:r w:rsidRPr="00524366">
        <w:t xml:space="preserve"> ze dne 1. 2. 2001, sp. zn. 26 Cdo 2828/2000</w:t>
      </w:r>
    </w:p>
    <w:p w14:paraId="1BF0F2B9" w14:textId="6F77FC61" w:rsidR="00A7483E" w:rsidRPr="00524366" w:rsidRDefault="00EC7FA5" w:rsidP="006C5C42">
      <w:pPr>
        <w:spacing w:line="360" w:lineRule="auto"/>
        <w:jc w:val="both"/>
      </w:pPr>
      <w:r w:rsidRPr="00524366">
        <w:t>Usnesení Nejvyššího soudu ČR ze dne 25. 5. 2011, sp. zn. 23 Cdo 1035/2010</w:t>
      </w:r>
    </w:p>
    <w:p w14:paraId="753BCB46" w14:textId="7F23AC51" w:rsidR="00DF6BC2" w:rsidRPr="00524366" w:rsidRDefault="006C5C42" w:rsidP="006C5C42">
      <w:pPr>
        <w:spacing w:line="360" w:lineRule="auto"/>
        <w:jc w:val="both"/>
      </w:pPr>
      <w:r w:rsidRPr="00524366">
        <w:t>Rozsudek Nejvyššího soudu České republiky ze dne 26. 11. 1998 sp. zn. 25 Cdo 1650/98</w:t>
      </w:r>
    </w:p>
    <w:p w14:paraId="70D2B4D0" w14:textId="0FD40C6E" w:rsidR="006C5C42" w:rsidRPr="00524366" w:rsidRDefault="006C5C42" w:rsidP="006C5C42">
      <w:pPr>
        <w:spacing w:line="360" w:lineRule="auto"/>
        <w:jc w:val="both"/>
      </w:pPr>
      <w:r w:rsidRPr="00524366">
        <w:t>Ústavní soud, III. ÚS 1005/07, [ÚS 2161/2007]</w:t>
      </w:r>
    </w:p>
    <w:p w14:paraId="62E3C6C3" w14:textId="77777777" w:rsidR="00A77497" w:rsidRPr="00524366" w:rsidRDefault="00A77497" w:rsidP="00A77497">
      <w:pPr>
        <w:spacing w:line="360" w:lineRule="auto"/>
        <w:jc w:val="both"/>
      </w:pPr>
    </w:p>
    <w:p w14:paraId="266D5CC9" w14:textId="0C007CBA" w:rsidR="00547588" w:rsidRPr="00524366" w:rsidRDefault="003F3402" w:rsidP="009B6E18">
      <w:pPr>
        <w:pStyle w:val="Odstavecseseznamem"/>
        <w:numPr>
          <w:ilvl w:val="0"/>
          <w:numId w:val="13"/>
        </w:numPr>
        <w:spacing w:line="360" w:lineRule="auto"/>
        <w:jc w:val="both"/>
        <w:rPr>
          <w:b/>
        </w:rPr>
      </w:pPr>
      <w:r w:rsidRPr="00524366">
        <w:rPr>
          <w:b/>
        </w:rPr>
        <w:t xml:space="preserve">Internetová stránka: </w:t>
      </w:r>
    </w:p>
    <w:p w14:paraId="6C4D521F" w14:textId="77777777" w:rsidR="00350D71" w:rsidRPr="00524366" w:rsidRDefault="00350D71" w:rsidP="005D6E73">
      <w:pPr>
        <w:spacing w:line="360" w:lineRule="auto"/>
        <w:jc w:val="both"/>
      </w:pPr>
      <w:r w:rsidRPr="00524366">
        <w:t xml:space="preserve">JANSEN, Nils, ZIMMERMANN, Reinhard. Contract Formation and Mistake in European Contract Law: A Genetic Comparison of Transnational Model Rules [online]. Oxford Journal of Legal Studies Vol. 31, No. 4, Winter 2011[cit. 22. dubna 2018]. Dostupné </w:t>
      </w:r>
      <w:hyperlink r:id="rId9" w:anchor="page_scan_tab_contents&gt;" w:history="1">
        <w:r w:rsidRPr="00524366">
          <w:rPr>
            <w:rStyle w:val="Hypertextovodkaz"/>
          </w:rPr>
          <w:t>na&lt; https://www.jstor.org/stable/41418836?seq=22 - page_scan_tab_contents&gt;</w:t>
        </w:r>
      </w:hyperlink>
      <w:r w:rsidRPr="00524366">
        <w:t>, pp. 625-662</w:t>
      </w:r>
    </w:p>
    <w:p w14:paraId="23566714" w14:textId="77777777" w:rsidR="005D6E73" w:rsidRPr="00524366" w:rsidRDefault="005D6E73" w:rsidP="005D6E73">
      <w:pPr>
        <w:pStyle w:val="Textpoznpodarou"/>
        <w:spacing w:line="360" w:lineRule="auto"/>
        <w:jc w:val="both"/>
      </w:pPr>
      <w:r w:rsidRPr="00524366">
        <w:t xml:space="preserve">GOUDSMIT, J. E. </w:t>
      </w:r>
      <w:r w:rsidRPr="00524366">
        <w:rPr>
          <w:i/>
        </w:rPr>
        <w:t xml:space="preserve">The Pandects: A Treatise on the Roman Law and Upon Its Connection with Modern Legislation. </w:t>
      </w:r>
      <w:r w:rsidRPr="00524366">
        <w:t xml:space="preserve">[online]. The Lawbook Exchange, LTD. Clark, New Jersey 2005, 368 s. Dostupné na: </w:t>
      </w:r>
      <w:hyperlink r:id="rId10" w:anchor="v=onepage&amp;q=savigny%20-%20false%20error&amp;f=false" w:history="1">
        <w:r w:rsidRPr="00524366">
          <w:rPr>
            <w:rStyle w:val="Hypertextovodkaz"/>
          </w:rPr>
          <w:t>https://books.google.cz/books?id=mn9Fh1_egi8C&amp;pg=PA129&amp;lpg=PA129&amp;dq=savigny+-+false+error&amp;source=bl&amp;ots=R1kaUqoBFi&amp;sig=fMe5EaBqWuXlHJHsK_MZDH5DC9A&amp;hl=cs&amp;sa=X&amp;ved=0ahUKEwjt35_C9faAhXOxqQKHXmuCCQQ6AEIdTAJ#v=onepage&amp;q=savigny%20-%20false%20error&amp;f=false</w:t>
        </w:r>
      </w:hyperlink>
    </w:p>
    <w:p w14:paraId="40325442" w14:textId="272973DA" w:rsidR="00350D71" w:rsidRPr="00524366" w:rsidRDefault="00350D71" w:rsidP="005D6E73">
      <w:pPr>
        <w:spacing w:line="360" w:lineRule="auto"/>
        <w:jc w:val="both"/>
      </w:pPr>
      <w:r w:rsidRPr="00524366">
        <w:t xml:space="preserve">SABBATH, E. </w:t>
      </w:r>
      <w:r w:rsidRPr="00524366">
        <w:rPr>
          <w:i/>
        </w:rPr>
        <w:t>Effects of Mistake in Contracts: A study in Comparative Law</w:t>
      </w:r>
      <w:r w:rsidRPr="00524366">
        <w:t xml:space="preserve"> [online]. The International and Comparative Law Quarterly, Vol. 13, No. 3, Jul., 1964 [cit. 22. dubna 2018]. Dostupné na&lt;</w:t>
      </w:r>
      <w:hyperlink r:id="rId11" w:anchor="page_scan_tab_contents" w:history="1">
        <w:r w:rsidRPr="00524366">
          <w:rPr>
            <w:rStyle w:val="Hypertextovodkaz"/>
          </w:rPr>
          <w:t>https://www.jstor.org/stable/756032?seq=1#page_scan_tab_contents</w:t>
        </w:r>
      </w:hyperlink>
      <w:r w:rsidRPr="00524366">
        <w:t xml:space="preserve">&gt;  </w:t>
      </w:r>
    </w:p>
    <w:p w14:paraId="159F7E15" w14:textId="54ED8105" w:rsidR="00DF6BC2" w:rsidRPr="00524366" w:rsidRDefault="00393E2F" w:rsidP="005D6E73">
      <w:pPr>
        <w:spacing w:line="360" w:lineRule="auto"/>
        <w:jc w:val="both"/>
      </w:pPr>
      <w:r w:rsidRPr="00524366">
        <w:t xml:space="preserve">Důvodová zpráva k zákonu č. 89/2012 Sb., občanský zákoník [online]. [cit. 25. 8. 2018] dostupné na: </w:t>
      </w:r>
      <w:hyperlink r:id="rId12" w:history="1">
        <w:r w:rsidRPr="00524366">
          <w:rPr>
            <w:rStyle w:val="Hypertextovodkaz"/>
          </w:rPr>
          <w:t>http://obcanskyzakonik.justice.cz/index.php/home/zakony-a-stanoviska/legislativni-proces</w:t>
        </w:r>
      </w:hyperlink>
      <w:r w:rsidRPr="00524366">
        <w:t xml:space="preserve">  </w:t>
      </w:r>
    </w:p>
    <w:p w14:paraId="5A91DC4B" w14:textId="77777777" w:rsidR="00350D71" w:rsidRPr="00524366" w:rsidRDefault="00350D71" w:rsidP="00350D71">
      <w:pPr>
        <w:spacing w:line="360" w:lineRule="auto"/>
        <w:jc w:val="both"/>
        <w:rPr>
          <w:b/>
        </w:rPr>
      </w:pPr>
    </w:p>
    <w:p w14:paraId="58C88795" w14:textId="4A9F65CE" w:rsidR="001C1AFD" w:rsidRPr="00524366" w:rsidRDefault="00350D71" w:rsidP="009B6E18">
      <w:pPr>
        <w:pStyle w:val="Odstavecseseznamem"/>
        <w:numPr>
          <w:ilvl w:val="0"/>
          <w:numId w:val="13"/>
        </w:numPr>
        <w:spacing w:line="360" w:lineRule="auto"/>
        <w:jc w:val="both"/>
        <w:rPr>
          <w:b/>
        </w:rPr>
      </w:pPr>
      <w:r w:rsidRPr="00524366">
        <w:rPr>
          <w:b/>
        </w:rPr>
        <w:t>Ostatní:</w:t>
      </w:r>
    </w:p>
    <w:p w14:paraId="506D3668" w14:textId="4E961C3B" w:rsidR="006A02D8" w:rsidRPr="00524366" w:rsidRDefault="00143158" w:rsidP="007B02A0">
      <w:pPr>
        <w:pStyle w:val="Textpoznpodarou"/>
        <w:spacing w:line="360" w:lineRule="auto"/>
        <w:jc w:val="both"/>
      </w:pPr>
      <w:r w:rsidRPr="00524366">
        <w:t xml:space="preserve">Ottův slovník naučný. Ilustrovaná encyklopaedie obecných vědomostí. Druhý díl Alquiere-Ažušak. Argo/Paseka 1996. 1141 s. </w:t>
      </w:r>
    </w:p>
    <w:p w14:paraId="182054C1" w14:textId="2B602251" w:rsidR="00CF105B" w:rsidRPr="00524366" w:rsidRDefault="00CF105B" w:rsidP="007B02A0">
      <w:pPr>
        <w:pStyle w:val="Textpoznpodarou"/>
        <w:spacing w:line="360" w:lineRule="auto"/>
        <w:jc w:val="both"/>
      </w:pPr>
      <w:r w:rsidRPr="00524366">
        <w:t xml:space="preserve">Redakční záznam z vystoupení přednášejícího doc. Filipa Melzera z konference Právní prostor, která proběhla ve dnech 22. a 23. dubna 2013 v Seči. In: K neplatnosti právního jednání. </w:t>
      </w:r>
      <w:r w:rsidRPr="00524366">
        <w:rPr>
          <w:i/>
        </w:rPr>
        <w:t>Rodinné listy</w:t>
      </w:r>
      <w:r w:rsidRPr="00524366">
        <w:t>, č. 7, ročník 2013, s. 44 an.</w:t>
      </w:r>
    </w:p>
    <w:p w14:paraId="21073C3F" w14:textId="77777777" w:rsidR="00143158" w:rsidRPr="00524366" w:rsidRDefault="00143158"/>
    <w:p w14:paraId="7D069D81" w14:textId="062FA82C" w:rsidR="00377F87" w:rsidRPr="00524366" w:rsidRDefault="00377F87">
      <w:r w:rsidRPr="00524366">
        <w:br w:type="page"/>
      </w:r>
    </w:p>
    <w:p w14:paraId="303A0D1A" w14:textId="24AAE486" w:rsidR="00377F87" w:rsidRPr="00524366" w:rsidRDefault="00377F87" w:rsidP="007B02A0">
      <w:pPr>
        <w:pStyle w:val="Nadpis1"/>
      </w:pPr>
      <w:bookmarkStart w:id="27" w:name="_Toc509230649"/>
      <w:bookmarkStart w:id="28" w:name="_Toc523139888"/>
      <w:r w:rsidRPr="00524366">
        <w:lastRenderedPageBreak/>
        <w:t>Abstrakt</w:t>
      </w:r>
      <w:bookmarkEnd w:id="27"/>
      <w:bookmarkEnd w:id="28"/>
    </w:p>
    <w:p w14:paraId="427E73C7" w14:textId="4ABBAA85" w:rsidR="00AE3276" w:rsidRPr="00524366" w:rsidRDefault="00AE3276" w:rsidP="007B02A0">
      <w:pPr>
        <w:spacing w:line="360" w:lineRule="auto"/>
        <w:ind w:firstLine="708"/>
        <w:jc w:val="both"/>
      </w:pPr>
      <w:r w:rsidRPr="00524366">
        <w:t xml:space="preserve">Tato diplomová práce se zabývá omylem v justiniánském právu. Práce se člení do úvodu, šesti kapitol a závěru. V právní kapitole se práce zabývá obecným úvodem do problematiky omylu a jeho spojením s kontrakty konsenzuálními a projevem vůle jakožto nutnou součástí každého právního jednání. </w:t>
      </w:r>
    </w:p>
    <w:p w14:paraId="1E6C9EB9" w14:textId="24F3350F" w:rsidR="00AE3276" w:rsidRPr="00524366" w:rsidRDefault="00597BF8" w:rsidP="007B02A0">
      <w:pPr>
        <w:spacing w:line="360" w:lineRule="auto"/>
        <w:ind w:firstLine="708"/>
        <w:jc w:val="both"/>
      </w:pPr>
      <w:r w:rsidRPr="00524366">
        <w:t>Druhá kapitola se zabývá rozlišením omylu a nedorozumění</w:t>
      </w:r>
      <w:r w:rsidR="00191F3F">
        <w:t xml:space="preserve">. </w:t>
      </w:r>
      <w:r w:rsidR="0070565A" w:rsidRPr="00524366">
        <w:t xml:space="preserve">Třetí kapitola se zabývá zcela základním rozlišením omylu, a tedy omylem skutkovým a právním. </w:t>
      </w:r>
      <w:r w:rsidR="00497BB3" w:rsidRPr="00524366">
        <w:t>Čtvrtá, nejrozsáhlejší kapitola se týká tzv. omylu podstatného</w:t>
      </w:r>
      <w:r w:rsidR="00AE3276" w:rsidRPr="00524366">
        <w:t xml:space="preserve"> </w:t>
      </w:r>
      <w:r w:rsidR="00497BB3" w:rsidRPr="00524366">
        <w:t xml:space="preserve">(error essentialis) a jsou zde podrobně rozebrány jednotlivé typy omylu: </w:t>
      </w:r>
      <w:r w:rsidR="00AE3276" w:rsidRPr="00524366">
        <w:t xml:space="preserve">error in persona, error in negotio, error in corpore, error in qualitate, error in substantia (materia), error in virgintate a error in sexu. </w:t>
      </w:r>
      <w:r w:rsidR="00497BB3" w:rsidRPr="00524366">
        <w:t xml:space="preserve">Pátá kapitola ve stručnosti shrnuje </w:t>
      </w:r>
      <w:r w:rsidR="00AE3276" w:rsidRPr="00524366">
        <w:t xml:space="preserve">odraz justiniánského pojímání omylu v moderní právní úpravě. </w:t>
      </w:r>
      <w:r w:rsidR="00497BB3" w:rsidRPr="00524366">
        <w:t>Je zde podán přehled právní úpravy omylu</w:t>
      </w:r>
      <w:r w:rsidR="00AE3276" w:rsidRPr="00524366">
        <w:t xml:space="preserve">, tzn. jeho úprava v Codexu Theresianus z roku 1766, v Obecném zákoníku občanském z roku 1811, v OZ z roku 1950 a v OZ z roku 1964. Šestá kapitola </w:t>
      </w:r>
      <w:r w:rsidR="00497BB3" w:rsidRPr="00524366">
        <w:t>pojednává o právní úpravě</w:t>
      </w:r>
      <w:r w:rsidR="00AE3276" w:rsidRPr="00524366">
        <w:t xml:space="preserve"> omylu v současném právu, tedy v zákoně č. 89/2012 Sb. a podá</w:t>
      </w:r>
      <w:r w:rsidR="00497BB3" w:rsidRPr="00524366">
        <w:t>vá</w:t>
      </w:r>
      <w:r w:rsidR="00AE3276" w:rsidRPr="00524366">
        <w:t xml:space="preserve"> ucel</w:t>
      </w:r>
      <w:r w:rsidR="00497BB3" w:rsidRPr="00524366">
        <w:t xml:space="preserve">ený přehled typů omylu dne NOZ, tato kapitola se také mj. zabývá omluvitelností omylu. V závěru této práce bylo shrnutí a zhodnocení veškerých poznatků. </w:t>
      </w:r>
    </w:p>
    <w:p w14:paraId="4811DD2C" w14:textId="1D06E3AF" w:rsidR="00AE3276" w:rsidRPr="00524366" w:rsidRDefault="00AE3276" w:rsidP="007B02A0">
      <w:pPr>
        <w:spacing w:line="360" w:lineRule="auto"/>
        <w:ind w:firstLine="708"/>
        <w:jc w:val="both"/>
      </w:pPr>
      <w:r w:rsidRPr="00524366">
        <w:t xml:space="preserve">Ke zpracování této práce budou využity obecné metody vědecké práce, jakými jsou: analýza, indukce a dedukce. Mimoto budu pracovat s právními argumenty, ať už se jedná o argumenty formálně-systematické, teleologické či jiné. </w:t>
      </w:r>
    </w:p>
    <w:p w14:paraId="4FB73524" w14:textId="77777777" w:rsidR="00AE3276" w:rsidRPr="00524366" w:rsidRDefault="00AE3276" w:rsidP="007B02A0">
      <w:pPr>
        <w:spacing w:line="360" w:lineRule="auto"/>
      </w:pPr>
    </w:p>
    <w:p w14:paraId="291F8496" w14:textId="1631D63A" w:rsidR="00377F87" w:rsidRPr="00524366" w:rsidRDefault="00377F87" w:rsidP="007B02A0">
      <w:pPr>
        <w:pStyle w:val="Nadpis1"/>
      </w:pPr>
      <w:bookmarkStart w:id="29" w:name="_Toc523139889"/>
      <w:r w:rsidRPr="00524366">
        <w:t>Abstract</w:t>
      </w:r>
      <w:bookmarkEnd w:id="29"/>
    </w:p>
    <w:p w14:paraId="39C4D01E" w14:textId="6AFB96E3" w:rsidR="00DA4AF0" w:rsidRPr="00524366" w:rsidRDefault="004A435C" w:rsidP="007B02A0">
      <w:pPr>
        <w:spacing w:line="360" w:lineRule="auto"/>
        <w:ind w:firstLine="708"/>
        <w:jc w:val="both"/>
      </w:pPr>
      <w:r w:rsidRPr="00524366">
        <w:t xml:space="preserve">The topic of this thesis is </w:t>
      </w:r>
      <w:r w:rsidR="009E149F" w:rsidRPr="00524366">
        <w:t xml:space="preserve">Error in Justian law. The thesis is divided into introduction, six chapters and the conclusion. The first chapter is </w:t>
      </w:r>
      <w:r w:rsidR="00507C8A" w:rsidRPr="00524366">
        <w:t xml:space="preserve">deal with the general introduction to the issue of error, connection </w:t>
      </w:r>
      <w:r w:rsidR="005841C9" w:rsidRPr="00524366">
        <w:t>wtih conseual contracts, expression of will.</w:t>
      </w:r>
    </w:p>
    <w:p w14:paraId="77FA2FB5" w14:textId="797E5E75" w:rsidR="00D426B4" w:rsidRPr="00524366" w:rsidRDefault="00DA4AF0" w:rsidP="007B02A0">
      <w:pPr>
        <w:spacing w:line="360" w:lineRule="auto"/>
        <w:ind w:firstLine="708"/>
        <w:jc w:val="both"/>
      </w:pPr>
      <w:r w:rsidRPr="00524366">
        <w:t>The sec</w:t>
      </w:r>
      <w:r w:rsidR="005841C9" w:rsidRPr="00524366">
        <w:t xml:space="preserve">ond chapter is devoted to the differentiation of error and misunderstanding. The third chapter deals with the </w:t>
      </w:r>
      <w:r w:rsidR="00A20448" w:rsidRPr="00524366">
        <w:t xml:space="preserve">error of law and with the error of fact. The </w:t>
      </w:r>
      <w:r w:rsidR="002D2BE2" w:rsidRPr="00524366">
        <w:t xml:space="preserve">fourth chapter, the most extensive chapter of all, is devoted </w:t>
      </w:r>
      <w:r w:rsidR="00E91E70" w:rsidRPr="00524366">
        <w:t xml:space="preserve">of error essentialis, there are individual types of error, </w:t>
      </w:r>
      <w:r w:rsidR="003D2485" w:rsidRPr="00524366">
        <w:t xml:space="preserve">as like: error in persona, error in negotio, error in corpore, error in qualitate, error in substantia (materia), error in virgintate and error in sexu. The fifth chapter </w:t>
      </w:r>
      <w:r w:rsidR="00E36E19" w:rsidRPr="00524366">
        <w:t>briefly summarizes</w:t>
      </w:r>
      <w:r w:rsidR="006F435E" w:rsidRPr="00524366">
        <w:t xml:space="preserve"> the refleciton of justinian </w:t>
      </w:r>
      <w:r w:rsidR="00833EA1" w:rsidRPr="00524366">
        <w:t xml:space="preserve">approach in modern legislation. There is an overview of error legislation, it means, the legislation of error in Codex Theresianus of 1766, ABGB of 1811, Civil Code of 1950 and Civil Code of 1964. The last chapter deals with the error in the current legislation, </w:t>
      </w:r>
      <w:r w:rsidR="006201F7" w:rsidRPr="00524366">
        <w:t xml:space="preserve">as amended by act 89/2012 </w:t>
      </w:r>
      <w:r w:rsidR="003C5515" w:rsidRPr="00524366">
        <w:t>legal code (</w:t>
      </w:r>
      <w:r w:rsidR="00F855D5" w:rsidRPr="00524366">
        <w:t xml:space="preserve">New </w:t>
      </w:r>
      <w:r w:rsidR="003C5515" w:rsidRPr="00524366">
        <w:t xml:space="preserve">Civil Code). These chapter </w:t>
      </w:r>
      <w:r w:rsidR="00E20CF1" w:rsidRPr="00524366">
        <w:t xml:space="preserve">shows the complete </w:t>
      </w:r>
      <w:r w:rsidR="003C0033" w:rsidRPr="00524366">
        <w:t xml:space="preserve">summary of types of error which </w:t>
      </w:r>
      <w:r w:rsidR="00F855D5" w:rsidRPr="00524366">
        <w:t xml:space="preserve">are </w:t>
      </w:r>
      <w:r w:rsidR="00F855D5" w:rsidRPr="00524366">
        <w:lastRenderedPageBreak/>
        <w:t xml:space="preserve">contained in the New Civil Code, including </w:t>
      </w:r>
      <w:r w:rsidR="00023740" w:rsidRPr="00524366">
        <w:t xml:space="preserve">the excuse of error. </w:t>
      </w:r>
      <w:r w:rsidR="00D426B4" w:rsidRPr="00524366">
        <w:t xml:space="preserve">In the end of this </w:t>
      </w:r>
      <w:r w:rsidR="00023740" w:rsidRPr="00524366">
        <w:t xml:space="preserve">thesis, there is </w:t>
      </w:r>
      <w:r w:rsidR="00960736" w:rsidRPr="00524366">
        <w:t>the summarization and</w:t>
      </w:r>
      <w:r w:rsidR="00FB22A7" w:rsidRPr="00524366">
        <w:t xml:space="preserve"> resumé of all knowledge. </w:t>
      </w:r>
    </w:p>
    <w:p w14:paraId="7E354144" w14:textId="22114BBA" w:rsidR="00E2046E" w:rsidRPr="00524366" w:rsidRDefault="00D426B4" w:rsidP="007B02A0">
      <w:pPr>
        <w:spacing w:line="360" w:lineRule="auto"/>
        <w:ind w:firstLine="708"/>
        <w:jc w:val="both"/>
      </w:pPr>
      <w:r w:rsidRPr="00524366">
        <w:t xml:space="preserve">There were used general scientific methods in this work such as analysis, induction and deduction. In addition there were plentifully used legal arguments like formal-systematic arguments, teleological arguments and other. </w:t>
      </w:r>
      <w:bookmarkStart w:id="30" w:name="_Toc509230650"/>
    </w:p>
    <w:p w14:paraId="3BA7CD71" w14:textId="458CDC37" w:rsidR="00E2046E" w:rsidRPr="00524366" w:rsidRDefault="00E2046E" w:rsidP="007B02A0">
      <w:pPr>
        <w:pStyle w:val="Nadpis1"/>
      </w:pPr>
      <w:bookmarkStart w:id="31" w:name="_Toc523139890"/>
      <w:r w:rsidRPr="00524366">
        <w:t>Klíčová slova</w:t>
      </w:r>
      <w:bookmarkEnd w:id="31"/>
    </w:p>
    <w:p w14:paraId="2F813527" w14:textId="7D34892D" w:rsidR="00E2046E" w:rsidRPr="00524366" w:rsidRDefault="00E2046E" w:rsidP="007B02A0">
      <w:pPr>
        <w:spacing w:line="360" w:lineRule="auto"/>
        <w:jc w:val="both"/>
        <w:sectPr w:rsidR="00E2046E" w:rsidRPr="00524366" w:rsidSect="00524366">
          <w:footerReference w:type="even" r:id="rId13"/>
          <w:footerReference w:type="default" r:id="rId14"/>
          <w:pgSz w:w="11900" w:h="16840"/>
          <w:pgMar w:top="1418" w:right="1134" w:bottom="1418" w:left="1701" w:header="708" w:footer="708" w:gutter="0"/>
          <w:pgNumType w:start="1"/>
          <w:cols w:space="708"/>
          <w:titlePg/>
          <w:docGrid w:linePitch="360"/>
        </w:sectPr>
      </w:pPr>
      <w:r w:rsidRPr="00524366">
        <w:t>Omyl právní, omyl skutkový, omyl podstatný, omyl v osobě, omyl v obsahu, omyl v předmětu, omyl ve vlastnostech os</w:t>
      </w:r>
      <w:r w:rsidR="00B641B9" w:rsidRPr="00524366">
        <w:t>oby (</w:t>
      </w:r>
      <w:r w:rsidRPr="00524366">
        <w:t>věci</w:t>
      </w:r>
      <w:r w:rsidR="00B641B9" w:rsidRPr="00524366">
        <w:t>)</w:t>
      </w:r>
      <w:r w:rsidRPr="00524366">
        <w:t>, omyl ve hmotě věci, omyl v panenství otrokyně, omyl v pohlaví otroka, nedorozumění, souhlas, neznalost,</w:t>
      </w:r>
      <w:r w:rsidR="00B641B9" w:rsidRPr="00524366">
        <w:t xml:space="preserve"> neplatné právní jednání, naříkatelné právní jednání,   omluvitelnost omylu </w:t>
      </w:r>
      <w:r w:rsidR="0073220D">
        <w:t>.</w:t>
      </w:r>
    </w:p>
    <w:p w14:paraId="713CF80C" w14:textId="77777777" w:rsidR="00E2046E" w:rsidRPr="00524366" w:rsidRDefault="00E2046E" w:rsidP="007B02A0">
      <w:pPr>
        <w:pStyle w:val="Nadpis1"/>
      </w:pPr>
      <w:bookmarkStart w:id="32" w:name="_Toc523139891"/>
      <w:r w:rsidRPr="00524366">
        <w:lastRenderedPageBreak/>
        <w:t>Key words</w:t>
      </w:r>
      <w:bookmarkEnd w:id="32"/>
      <w:r w:rsidRPr="00524366">
        <w:t xml:space="preserve"> </w:t>
      </w:r>
    </w:p>
    <w:p w14:paraId="17C92588" w14:textId="637F70E4" w:rsidR="00E2046E" w:rsidRPr="00524366" w:rsidRDefault="00E2046E" w:rsidP="007B02A0">
      <w:pPr>
        <w:spacing w:line="360" w:lineRule="auto"/>
        <w:jc w:val="both"/>
        <w:sectPr w:rsidR="00E2046E" w:rsidRPr="00524366" w:rsidSect="00524366">
          <w:type w:val="continuous"/>
          <w:pgSz w:w="11900" w:h="16840"/>
          <w:pgMar w:top="1418" w:right="1134" w:bottom="1418" w:left="1701" w:header="708" w:footer="708" w:gutter="0"/>
          <w:pgNumType w:start="1"/>
          <w:cols w:space="708"/>
          <w:titlePg/>
          <w:docGrid w:linePitch="360"/>
        </w:sectPr>
      </w:pPr>
      <w:r w:rsidRPr="00524366">
        <w:t>Error iuris</w:t>
      </w:r>
      <w:r w:rsidR="00B641B9" w:rsidRPr="00524366">
        <w:t xml:space="preserve">, error facti, error essentialis, error in persona, error in negotio, error in corpore, error in qualitate, error in substantia/materia, error in virgintate, error in sexu, dissensus, consensus,  ignorantia, negotium nullum, negotium revocabile, error probabilis </w:t>
      </w:r>
      <w:r w:rsidR="0073220D">
        <w:t>.</w:t>
      </w:r>
      <w:bookmarkStart w:id="33" w:name="_GoBack"/>
      <w:bookmarkEnd w:id="33"/>
    </w:p>
    <w:p w14:paraId="75F6BCBC" w14:textId="77777777" w:rsidR="00E2046E" w:rsidRPr="00524366" w:rsidRDefault="00E2046E" w:rsidP="007B02A0">
      <w:pPr>
        <w:pStyle w:val="Nadpis1"/>
      </w:pPr>
    </w:p>
    <w:bookmarkEnd w:id="30"/>
    <w:p w14:paraId="554BA7AD" w14:textId="77777777" w:rsidR="00663233" w:rsidRPr="00524366" w:rsidRDefault="00663233" w:rsidP="007B02A0">
      <w:pPr>
        <w:spacing w:line="360" w:lineRule="auto"/>
        <w:jc w:val="both"/>
      </w:pPr>
    </w:p>
    <w:p w14:paraId="769C65B6" w14:textId="77777777" w:rsidR="00FB22A7" w:rsidRPr="00524366" w:rsidRDefault="00FB22A7" w:rsidP="007B02A0">
      <w:pPr>
        <w:spacing w:line="360" w:lineRule="auto"/>
        <w:jc w:val="both"/>
      </w:pPr>
    </w:p>
    <w:p w14:paraId="24F362E1" w14:textId="77777777" w:rsidR="00663233" w:rsidRPr="00524366" w:rsidRDefault="00663233" w:rsidP="007B02A0">
      <w:pPr>
        <w:pStyle w:val="Nadpis1"/>
        <w:sectPr w:rsidR="00663233" w:rsidRPr="00524366" w:rsidSect="00524366">
          <w:type w:val="continuous"/>
          <w:pgSz w:w="11900" w:h="16840"/>
          <w:pgMar w:top="1418" w:right="1134" w:bottom="1418" w:left="1701" w:header="708" w:footer="708" w:gutter="0"/>
          <w:pgNumType w:start="1"/>
          <w:cols w:num="2" w:space="708"/>
          <w:titlePg/>
          <w:docGrid w:linePitch="360"/>
        </w:sectPr>
      </w:pPr>
    </w:p>
    <w:p w14:paraId="32569D59" w14:textId="77777777" w:rsidR="00663233" w:rsidRPr="00524366" w:rsidRDefault="00663233" w:rsidP="00DF7FFA">
      <w:pPr>
        <w:pStyle w:val="Nadpis1"/>
        <w:sectPr w:rsidR="00663233" w:rsidRPr="00524366" w:rsidSect="00524366">
          <w:type w:val="continuous"/>
          <w:pgSz w:w="11900" w:h="16840"/>
          <w:pgMar w:top="1418" w:right="1134" w:bottom="1418" w:left="1701" w:header="708" w:footer="708" w:gutter="0"/>
          <w:pgNumType w:start="1"/>
          <w:cols w:space="708"/>
          <w:titlePg/>
          <w:docGrid w:linePitch="360"/>
        </w:sectPr>
      </w:pPr>
    </w:p>
    <w:p w14:paraId="04F43EF2" w14:textId="282519AC" w:rsidR="00377F87" w:rsidRPr="00524366" w:rsidRDefault="00377F87" w:rsidP="00FB22A7">
      <w:pPr>
        <w:spacing w:line="360" w:lineRule="auto"/>
      </w:pPr>
    </w:p>
    <w:p w14:paraId="1AFA4963" w14:textId="77777777" w:rsidR="00377F87" w:rsidRPr="00524366" w:rsidRDefault="00377F87" w:rsidP="00377F87"/>
    <w:p w14:paraId="0EDE157D" w14:textId="77777777" w:rsidR="00377F87" w:rsidRPr="00524366" w:rsidRDefault="00377F87" w:rsidP="00377F87"/>
    <w:p w14:paraId="6D53503C" w14:textId="77777777" w:rsidR="00D51EF3" w:rsidRPr="00524366" w:rsidRDefault="00D51EF3"/>
    <w:sectPr w:rsidR="00D51EF3" w:rsidRPr="00524366" w:rsidSect="00524366">
      <w:type w:val="continuous"/>
      <w:pgSz w:w="11900" w:h="16840"/>
      <w:pgMar w:top="1418" w:right="1134"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867C" w14:textId="77777777" w:rsidR="00A30C07" w:rsidRDefault="00A30C07" w:rsidP="00947B64">
      <w:r>
        <w:separator/>
      </w:r>
    </w:p>
  </w:endnote>
  <w:endnote w:type="continuationSeparator" w:id="0">
    <w:p w14:paraId="02DC6BBA" w14:textId="77777777" w:rsidR="00A30C07" w:rsidRDefault="00A30C07" w:rsidP="0094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10AB" w14:textId="77777777" w:rsidR="00CF76F1" w:rsidRDefault="00CF76F1" w:rsidP="00BE3180">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4D3701" w14:textId="77777777" w:rsidR="00CF76F1" w:rsidRDefault="00CF76F1">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96AF" w14:textId="77777777" w:rsidR="00CF76F1" w:rsidRDefault="00CF76F1" w:rsidP="00BE3180">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220D">
      <w:rPr>
        <w:rStyle w:val="slostrnky"/>
        <w:noProof/>
      </w:rPr>
      <w:t>50</w:t>
    </w:r>
    <w:r>
      <w:rPr>
        <w:rStyle w:val="slostrnky"/>
      </w:rPr>
      <w:fldChar w:fldCharType="end"/>
    </w:r>
  </w:p>
  <w:p w14:paraId="28CE9A1B" w14:textId="77777777" w:rsidR="00CF76F1" w:rsidRDefault="00CF76F1">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C994" w14:textId="77777777" w:rsidR="00A30C07" w:rsidRDefault="00A30C07" w:rsidP="00947B64">
      <w:r>
        <w:separator/>
      </w:r>
    </w:p>
  </w:footnote>
  <w:footnote w:type="continuationSeparator" w:id="0">
    <w:p w14:paraId="5BC90586" w14:textId="77777777" w:rsidR="00A30C07" w:rsidRDefault="00A30C07" w:rsidP="00947B64">
      <w:r>
        <w:continuationSeparator/>
      </w:r>
    </w:p>
  </w:footnote>
  <w:footnote w:id="1">
    <w:p w14:paraId="54C33A31" w14:textId="34BA503E" w:rsidR="00CF76F1" w:rsidRPr="00171701" w:rsidRDefault="00CF76F1" w:rsidP="00947B64">
      <w:pPr>
        <w:pStyle w:val="Textpoznpodarou"/>
        <w:rPr>
          <w:sz w:val="20"/>
          <w:szCs w:val="20"/>
        </w:rPr>
      </w:pPr>
      <w:r>
        <w:rPr>
          <w:rStyle w:val="Znakapoznpodarou"/>
        </w:rPr>
        <w:footnoteRef/>
      </w:r>
      <w:r>
        <w:t xml:space="preserve"> </w:t>
      </w:r>
      <w:r>
        <w:rPr>
          <w:sz w:val="20"/>
          <w:szCs w:val="20"/>
        </w:rPr>
        <w:t xml:space="preserve">HEYROVSKÝ, Leopold. </w:t>
      </w:r>
      <w:r>
        <w:rPr>
          <w:i/>
          <w:sz w:val="20"/>
          <w:szCs w:val="20"/>
        </w:rPr>
        <w:t xml:space="preserve">Dějiny a systém soukromého práva římského. </w:t>
      </w:r>
      <w:r>
        <w:rPr>
          <w:sz w:val="20"/>
          <w:szCs w:val="20"/>
        </w:rPr>
        <w:t xml:space="preserve">7. vydání. Bratislava: Nákladem právnické fakulty University Komenského v Bratislavě, 1929, s.1. (Dále jen HEYROVSKÝ). </w:t>
      </w:r>
    </w:p>
  </w:footnote>
  <w:footnote w:id="2">
    <w:p w14:paraId="538E402B" w14:textId="03A301B7" w:rsidR="00CF76F1" w:rsidRPr="00B725EF" w:rsidRDefault="00CF76F1" w:rsidP="00B725EF">
      <w:pPr>
        <w:pStyle w:val="Textpoznpodarou"/>
        <w:jc w:val="both"/>
        <w:rPr>
          <w:sz w:val="20"/>
          <w:szCs w:val="20"/>
        </w:rPr>
      </w:pPr>
      <w:r>
        <w:rPr>
          <w:rStyle w:val="Znakapoznpodarou"/>
        </w:rPr>
        <w:footnoteRef/>
      </w:r>
      <w:r>
        <w:t xml:space="preserve"> </w:t>
      </w:r>
      <w:r>
        <w:rPr>
          <w:sz w:val="20"/>
          <w:szCs w:val="20"/>
        </w:rPr>
        <w:t xml:space="preserve">Pandektistika/pandektní věda (kvetoucí v Německu) se na podkladě římského práva pokusila vytvořit uzavřený a dokonalý systém, podle kterého by bylo možno logickou úvahou vyřešit jakýkoliv právní případ, nakonec však vyústila do tzv. pojmové jurisprudence a právního pozitivismu. </w:t>
      </w:r>
      <w:r>
        <w:rPr>
          <w:sz w:val="20"/>
        </w:rPr>
        <w:t xml:space="preserve">BARTOŠEK, Milan. </w:t>
      </w:r>
      <w:r>
        <w:rPr>
          <w:i/>
          <w:sz w:val="20"/>
        </w:rPr>
        <w:t xml:space="preserve">Encyklopedie římského práva. </w:t>
      </w:r>
      <w:r>
        <w:rPr>
          <w:sz w:val="20"/>
        </w:rPr>
        <w:t>Praha: ACADEMIA, 1994, s. 204. (Dále jen BARTOŠEK).</w:t>
      </w:r>
    </w:p>
  </w:footnote>
  <w:footnote w:id="3">
    <w:p w14:paraId="609C430A" w14:textId="0D229B0D" w:rsidR="00CF76F1" w:rsidRPr="0028012D" w:rsidRDefault="00CF76F1" w:rsidP="00947B64">
      <w:pPr>
        <w:pStyle w:val="Textpoznpodarou"/>
        <w:jc w:val="both"/>
        <w:rPr>
          <w:sz w:val="20"/>
        </w:rPr>
      </w:pPr>
      <w:r>
        <w:rPr>
          <w:rStyle w:val="Znakapoznpodarou"/>
        </w:rPr>
        <w:footnoteRef/>
      </w:r>
      <w:r>
        <w:t xml:space="preserve"> </w:t>
      </w:r>
      <w:r>
        <w:rPr>
          <w:sz w:val="20"/>
          <w:szCs w:val="20"/>
        </w:rPr>
        <w:t>Srov. § 49a OZ</w:t>
      </w:r>
      <w:r w:rsidRPr="00D66BAE">
        <w:rPr>
          <w:sz w:val="20"/>
          <w:szCs w:val="20"/>
        </w:rPr>
        <w:t xml:space="preserve"> a § 583 </w:t>
      </w:r>
      <w:r>
        <w:rPr>
          <w:sz w:val="20"/>
          <w:szCs w:val="20"/>
        </w:rPr>
        <w:t>N</w:t>
      </w:r>
      <w:r w:rsidRPr="00D66BAE">
        <w:rPr>
          <w:sz w:val="20"/>
          <w:szCs w:val="20"/>
        </w:rPr>
        <w:t>OZ</w:t>
      </w:r>
      <w:r>
        <w:rPr>
          <w:sz w:val="20"/>
          <w:szCs w:val="20"/>
        </w:rPr>
        <w:t>.</w:t>
      </w:r>
    </w:p>
  </w:footnote>
  <w:footnote w:id="4">
    <w:p w14:paraId="4C7BF2ED" w14:textId="1C3FF36F" w:rsidR="00CF76F1" w:rsidRDefault="00CF76F1" w:rsidP="008A6FA3">
      <w:pPr>
        <w:pStyle w:val="Textpoznpodarou"/>
      </w:pPr>
      <w:r>
        <w:rPr>
          <w:rStyle w:val="Znakapoznpodarou"/>
        </w:rPr>
        <w:footnoteRef/>
      </w:r>
      <w:r>
        <w:t xml:space="preserve"> </w:t>
      </w:r>
      <w:r w:rsidRPr="005A357E">
        <w:rPr>
          <w:sz w:val="20"/>
          <w:szCs w:val="20"/>
        </w:rPr>
        <w:t xml:space="preserve">VANČURA, Josef. </w:t>
      </w:r>
      <w:r w:rsidRPr="001A3C40">
        <w:rPr>
          <w:i/>
          <w:sz w:val="20"/>
          <w:szCs w:val="20"/>
        </w:rPr>
        <w:t>Úvod do studia soukromého práva římského.</w:t>
      </w:r>
      <w:r w:rsidRPr="005A357E">
        <w:rPr>
          <w:sz w:val="20"/>
          <w:szCs w:val="20"/>
        </w:rPr>
        <w:t xml:space="preserve"> Praha: n</w:t>
      </w:r>
      <w:r>
        <w:rPr>
          <w:sz w:val="20"/>
          <w:szCs w:val="20"/>
        </w:rPr>
        <w:t xml:space="preserve">ákl. vlast., 1923, s. 39. </w:t>
      </w:r>
    </w:p>
  </w:footnote>
  <w:footnote w:id="5">
    <w:p w14:paraId="06E825B5" w14:textId="4B174B6C" w:rsidR="00CF76F1" w:rsidRDefault="00CF76F1" w:rsidP="008A6FA3">
      <w:pPr>
        <w:pStyle w:val="Textpoznpodarou"/>
      </w:pPr>
      <w:r>
        <w:rPr>
          <w:rStyle w:val="Znakapoznpodarou"/>
        </w:rPr>
        <w:footnoteRef/>
      </w:r>
      <w:r>
        <w:t xml:space="preserve"> </w:t>
      </w:r>
      <w:r>
        <w:rPr>
          <w:sz w:val="20"/>
          <w:szCs w:val="20"/>
        </w:rPr>
        <w:t xml:space="preserve">HEYROVSKÝ, </w:t>
      </w:r>
      <w:r w:rsidRPr="00663415">
        <w:rPr>
          <w:sz w:val="20"/>
          <w:szCs w:val="20"/>
        </w:rPr>
        <w:t>s. 1.</w:t>
      </w:r>
    </w:p>
  </w:footnote>
  <w:footnote w:id="6">
    <w:p w14:paraId="14EDE240" w14:textId="4B7AC30D" w:rsidR="00CF76F1" w:rsidRPr="001A3C40" w:rsidRDefault="00CF76F1" w:rsidP="008A6FA3">
      <w:pPr>
        <w:pStyle w:val="Textpoznpodarou"/>
        <w:rPr>
          <w:sz w:val="20"/>
          <w:szCs w:val="20"/>
        </w:rPr>
      </w:pPr>
      <w:r>
        <w:rPr>
          <w:rStyle w:val="Znakapoznpodarou"/>
        </w:rPr>
        <w:footnoteRef/>
      </w:r>
      <w:r>
        <w:t xml:space="preserve"> </w:t>
      </w:r>
      <w:r>
        <w:rPr>
          <w:sz w:val="20"/>
          <w:szCs w:val="20"/>
        </w:rPr>
        <w:t xml:space="preserve">BLAHO, Peter. </w:t>
      </w:r>
      <w:r>
        <w:rPr>
          <w:i/>
          <w:sz w:val="20"/>
          <w:szCs w:val="20"/>
        </w:rPr>
        <w:t xml:space="preserve">Justiniánské inštitúcie. </w:t>
      </w:r>
      <w:r>
        <w:rPr>
          <w:sz w:val="20"/>
          <w:szCs w:val="20"/>
        </w:rPr>
        <w:t xml:space="preserve">1. vydání.  </w:t>
      </w:r>
      <w:r w:rsidRPr="001A3C40">
        <w:rPr>
          <w:sz w:val="20"/>
          <w:szCs w:val="20"/>
        </w:rPr>
        <w:t xml:space="preserve">IURA EDITION, Bratislava </w:t>
      </w:r>
      <w:r>
        <w:rPr>
          <w:sz w:val="20"/>
          <w:szCs w:val="20"/>
        </w:rPr>
        <w:t xml:space="preserve">2000, s. 12. </w:t>
      </w:r>
    </w:p>
  </w:footnote>
  <w:footnote w:id="7">
    <w:p w14:paraId="5D98D7CA" w14:textId="03AED7E3" w:rsidR="00CF76F1" w:rsidRPr="006870A3" w:rsidRDefault="00CF76F1" w:rsidP="008A6FA3">
      <w:pPr>
        <w:jc w:val="both"/>
        <w:rPr>
          <w:rFonts w:eastAsia="Times New Roman" w:cs="Times New Roman"/>
          <w:sz w:val="20"/>
          <w:szCs w:val="20"/>
          <w:lang w:eastAsia="cs-CZ"/>
        </w:rPr>
      </w:pPr>
      <w:r w:rsidRPr="006870A3">
        <w:rPr>
          <w:rStyle w:val="Znakapoznpodarou"/>
          <w:sz w:val="20"/>
          <w:szCs w:val="20"/>
        </w:rPr>
        <w:footnoteRef/>
      </w:r>
      <w:r w:rsidRPr="006870A3">
        <w:rPr>
          <w:sz w:val="20"/>
          <w:szCs w:val="20"/>
        </w:rPr>
        <w:t xml:space="preserve"> </w:t>
      </w:r>
      <w:r w:rsidRPr="006870A3">
        <w:rPr>
          <w:rFonts w:eastAsia="Times New Roman" w:cs="Times New Roman"/>
          <w:sz w:val="20"/>
          <w:szCs w:val="20"/>
          <w:shd w:val="clear" w:color="auto" w:fill="FFFFFF"/>
          <w:lang w:eastAsia="cs-CZ"/>
        </w:rPr>
        <w:t xml:space="preserve">HORST HEINRICH, Jakobs. </w:t>
      </w:r>
      <w:r w:rsidRPr="006870A3">
        <w:rPr>
          <w:rFonts w:eastAsia="Times New Roman" w:cs="Times New Roman"/>
          <w:i/>
          <w:sz w:val="20"/>
          <w:szCs w:val="20"/>
          <w:shd w:val="clear" w:color="auto" w:fill="FFFFFF"/>
          <w:lang w:eastAsia="cs-CZ"/>
        </w:rPr>
        <w:t xml:space="preserve">Magna glossa: textstufen der legistischen glossa ordinaria. </w:t>
      </w:r>
      <w:r>
        <w:rPr>
          <w:rFonts w:eastAsia="Times New Roman" w:cs="Times New Roman"/>
          <w:sz w:val="20"/>
          <w:szCs w:val="20"/>
          <w:shd w:val="clear" w:color="auto" w:fill="FFFFFF"/>
          <w:lang w:eastAsia="cs-CZ"/>
        </w:rPr>
        <w:t>Paderborn</w:t>
      </w:r>
      <w:r w:rsidRPr="006870A3">
        <w:rPr>
          <w:rFonts w:eastAsia="Times New Roman" w:cs="Times New Roman"/>
          <w:sz w:val="20"/>
          <w:szCs w:val="20"/>
          <w:shd w:val="clear" w:color="auto" w:fill="FFFFFF"/>
          <w:lang w:eastAsia="cs-CZ"/>
        </w:rPr>
        <w:t xml:space="preserve">: Ferdinand Schöningh, 2006. </w:t>
      </w:r>
    </w:p>
    <w:p w14:paraId="36F4A987" w14:textId="39D569A2" w:rsidR="00CF76F1" w:rsidRDefault="00CF76F1" w:rsidP="006B11E2">
      <w:pPr>
        <w:pStyle w:val="Textpoznpodarou"/>
        <w:jc w:val="both"/>
      </w:pPr>
    </w:p>
  </w:footnote>
  <w:footnote w:id="8">
    <w:p w14:paraId="3FFF7DF4" w14:textId="526AADD9" w:rsidR="00CF76F1" w:rsidRPr="0039733D" w:rsidRDefault="00CF76F1" w:rsidP="0039733D">
      <w:pPr>
        <w:pStyle w:val="Textpoznpodarou"/>
        <w:jc w:val="both"/>
        <w:rPr>
          <w:sz w:val="20"/>
        </w:rPr>
      </w:pPr>
      <w:r>
        <w:rPr>
          <w:rStyle w:val="Znakapoznpodarou"/>
        </w:rPr>
        <w:footnoteRef/>
      </w:r>
      <w:r>
        <w:t xml:space="preserve"> </w:t>
      </w:r>
      <w:r>
        <w:rPr>
          <w:sz w:val="20"/>
        </w:rPr>
        <w:t xml:space="preserve">Tyto kontrakty vznikají již neformálně vyjádřeným consensem a mohla je zrušit vzájemná dohoda (taktéž neformální). BARTOŠEK, s. 116.  </w:t>
      </w:r>
    </w:p>
  </w:footnote>
  <w:footnote w:id="9">
    <w:p w14:paraId="0D1D6DE5" w14:textId="0F6D6951" w:rsidR="00CF76F1" w:rsidRPr="008A4B56" w:rsidRDefault="00CF76F1">
      <w:pPr>
        <w:pStyle w:val="Textpoznpodarou"/>
        <w:rPr>
          <w:sz w:val="20"/>
          <w:szCs w:val="20"/>
        </w:rPr>
      </w:pPr>
      <w:r w:rsidRPr="008A4B56">
        <w:rPr>
          <w:rStyle w:val="Znakapoznpodarou"/>
          <w:sz w:val="20"/>
          <w:szCs w:val="20"/>
        </w:rPr>
        <w:footnoteRef/>
      </w:r>
      <w:r w:rsidRPr="008A4B56">
        <w:rPr>
          <w:sz w:val="20"/>
          <w:szCs w:val="20"/>
        </w:rPr>
        <w:t xml:space="preserve"> </w:t>
      </w:r>
      <w:r>
        <w:rPr>
          <w:sz w:val="20"/>
          <w:szCs w:val="20"/>
        </w:rPr>
        <w:t xml:space="preserve">Inst. 3. 20 – 22. </w:t>
      </w:r>
    </w:p>
  </w:footnote>
  <w:footnote w:id="10">
    <w:p w14:paraId="64A16CCF" w14:textId="32A08F2D" w:rsidR="00CF76F1" w:rsidRPr="00343AB8" w:rsidRDefault="00CF76F1" w:rsidP="00D240D1">
      <w:pPr>
        <w:pStyle w:val="Textpoznpodarou"/>
        <w:jc w:val="both"/>
        <w:rPr>
          <w:sz w:val="20"/>
          <w:szCs w:val="20"/>
        </w:rPr>
      </w:pPr>
      <w:r>
        <w:rPr>
          <w:rStyle w:val="Znakapoznpodarou"/>
        </w:rPr>
        <w:footnoteRef/>
      </w:r>
      <w:r>
        <w:t xml:space="preserve"> </w:t>
      </w:r>
      <w:r>
        <w:rPr>
          <w:sz w:val="20"/>
          <w:szCs w:val="20"/>
        </w:rPr>
        <w:t xml:space="preserve">D 1. 12. 1. 9. </w:t>
      </w:r>
      <w:r w:rsidRPr="00343AB8">
        <w:rPr>
          <w:sz w:val="20"/>
          <w:szCs w:val="20"/>
        </w:rPr>
        <w:t>Praeterea curare debebit praefectus urbi, ut nummularii probe se agant circa omne negotium suum et temperent his, quae sunt prohibita.</w:t>
      </w:r>
      <w:r>
        <w:rPr>
          <w:sz w:val="20"/>
          <w:szCs w:val="20"/>
        </w:rPr>
        <w:t xml:space="preserve"> (</w:t>
      </w:r>
      <w:r w:rsidRPr="00343AB8">
        <w:rPr>
          <w:sz w:val="20"/>
          <w:szCs w:val="20"/>
        </w:rPr>
        <w:t>Velitel císařské gardy by měl dbát na to, aby peněžní zprostředkovatelé řídili</w:t>
      </w:r>
      <w:r>
        <w:rPr>
          <w:sz w:val="20"/>
          <w:szCs w:val="20"/>
        </w:rPr>
        <w:t xml:space="preserve"> vše spojené s jejich obchodem poctivě/čestně a vyhnuli se zakázanému</w:t>
      </w:r>
      <w:r w:rsidRPr="00343AB8">
        <w:rPr>
          <w:sz w:val="20"/>
          <w:szCs w:val="20"/>
        </w:rPr>
        <w:t xml:space="preserve"> jednání.</w:t>
      </w:r>
      <w:r>
        <w:rPr>
          <w:sz w:val="20"/>
          <w:szCs w:val="20"/>
        </w:rPr>
        <w:t xml:space="preserve">) </w:t>
      </w:r>
    </w:p>
  </w:footnote>
  <w:footnote w:id="11">
    <w:p w14:paraId="1FD82754" w14:textId="7729CC6A" w:rsidR="00CF76F1" w:rsidRDefault="00CF76F1" w:rsidP="006F0528">
      <w:pPr>
        <w:pStyle w:val="Textpoznpodarou"/>
      </w:pPr>
      <w:r>
        <w:rPr>
          <w:rStyle w:val="Znakapoznpodarou"/>
        </w:rPr>
        <w:footnoteRef/>
      </w:r>
      <w:r>
        <w:t xml:space="preserve"> </w:t>
      </w:r>
      <w:r>
        <w:rPr>
          <w:sz w:val="20"/>
        </w:rPr>
        <w:t xml:space="preserve">BARTOŠEK, s. 233. </w:t>
      </w:r>
    </w:p>
  </w:footnote>
  <w:footnote w:id="12">
    <w:p w14:paraId="1597170F" w14:textId="616B3327" w:rsidR="00CF76F1" w:rsidRDefault="00CF76F1" w:rsidP="006F0528">
      <w:pPr>
        <w:pStyle w:val="Textpoznpodarou"/>
        <w:jc w:val="both"/>
      </w:pPr>
      <w:r>
        <w:rPr>
          <w:rStyle w:val="Znakapoznpodarou"/>
        </w:rPr>
        <w:footnoteRef/>
      </w:r>
      <w:r>
        <w:t xml:space="preserve"> </w:t>
      </w:r>
      <w:r w:rsidRPr="008136AD">
        <w:rPr>
          <w:sz w:val="20"/>
          <w:szCs w:val="20"/>
        </w:rPr>
        <w:t>Tento formalismus nebyl jen tak bezúčelný, důvodem bylo zajištění publicity</w:t>
      </w:r>
      <w:r>
        <w:rPr>
          <w:sz w:val="20"/>
          <w:szCs w:val="20"/>
        </w:rPr>
        <w:t xml:space="preserve"> (např. přítomnost svědků). </w:t>
      </w:r>
    </w:p>
  </w:footnote>
  <w:footnote w:id="13">
    <w:p w14:paraId="42698B18" w14:textId="78C47AEA" w:rsidR="00CF76F1" w:rsidRDefault="00CF76F1" w:rsidP="006F0528">
      <w:pPr>
        <w:pStyle w:val="Textpoznpodarou"/>
        <w:jc w:val="both"/>
      </w:pPr>
      <w:r>
        <w:rPr>
          <w:rStyle w:val="Znakapoznpodarou"/>
        </w:rPr>
        <w:footnoteRef/>
      </w:r>
      <w:r>
        <w:t xml:space="preserve"> </w:t>
      </w:r>
      <w:r>
        <w:rPr>
          <w:sz w:val="20"/>
        </w:rPr>
        <w:t xml:space="preserve">Stipulatio, sponsio (původní forma) –  slavnostní dvojstranná ústní přísaha (vzájemný slib), jenž obsahovala přesně vymezenou věc, činnost či přesně určenou částku; závazek byl uzavřen bezprostřední výměnou shodné otázky a odpovědi [„Spondes?“ – „Spondeo“] – </w:t>
      </w:r>
      <w:r w:rsidRPr="00AA3916">
        <w:rPr>
          <w:sz w:val="20"/>
        </w:rPr>
        <w:t>BARTOŠEK, s.</w:t>
      </w:r>
      <w:r>
        <w:rPr>
          <w:sz w:val="20"/>
        </w:rPr>
        <w:t xml:space="preserve"> 257. Dále srov. také pozn. 38. </w:t>
      </w:r>
      <w:r w:rsidRPr="00AA3916">
        <w:rPr>
          <w:sz w:val="20"/>
        </w:rPr>
        <w:t xml:space="preserve"> </w:t>
      </w:r>
    </w:p>
  </w:footnote>
  <w:footnote w:id="14">
    <w:p w14:paraId="6609FFCB" w14:textId="69F46A64" w:rsidR="00CF76F1" w:rsidRPr="00203274" w:rsidRDefault="00CF76F1" w:rsidP="00D240D1">
      <w:pPr>
        <w:pStyle w:val="Textpoznpodarou"/>
        <w:jc w:val="both"/>
        <w:rPr>
          <w:sz w:val="20"/>
        </w:rPr>
      </w:pPr>
      <w:r>
        <w:rPr>
          <w:rStyle w:val="Znakapoznpodarou"/>
        </w:rPr>
        <w:footnoteRef/>
      </w:r>
      <w:r>
        <w:t xml:space="preserve"> </w:t>
      </w:r>
      <w:r>
        <w:rPr>
          <w:sz w:val="20"/>
        </w:rPr>
        <w:t>Mancipatio, tj. nabytí civilního vlastnictví nebo moci nad osobami nebo věcmi; nabyvatel před 5 svědky a občanem, který držel váhy, uchopil předmět koupě, pronesl slavnostní formuli [</w:t>
      </w:r>
      <w:r>
        <w:rPr>
          <w:i/>
          <w:sz w:val="20"/>
        </w:rPr>
        <w:t>„Tvrdím, že tento předmět je mým podle kviritského práva, koupen za tuto měď a s těmito vahami“]</w:t>
      </w:r>
      <w:r>
        <w:rPr>
          <w:sz w:val="20"/>
        </w:rPr>
        <w:t xml:space="preserve">, poté udeřil kouskem mědi o váhy a tuto odevzdal prodávajícímu, který ji přijal (gestum per aes et libram) – </w:t>
      </w:r>
      <w:r w:rsidRPr="00AA3916">
        <w:rPr>
          <w:sz w:val="20"/>
        </w:rPr>
        <w:t>BARTOŠEK, s.</w:t>
      </w:r>
      <w:r>
        <w:rPr>
          <w:sz w:val="20"/>
        </w:rPr>
        <w:t xml:space="preserve"> 223. </w:t>
      </w:r>
    </w:p>
  </w:footnote>
  <w:footnote w:id="15">
    <w:p w14:paraId="1A27CFEE" w14:textId="1888FBD0" w:rsidR="00CF76F1" w:rsidRPr="00662FB2" w:rsidRDefault="00CF76F1">
      <w:pPr>
        <w:pStyle w:val="Textpoznpodarou"/>
        <w:rPr>
          <w:sz w:val="20"/>
          <w:szCs w:val="20"/>
        </w:rPr>
      </w:pPr>
      <w:r>
        <w:rPr>
          <w:rStyle w:val="Znakapoznpodarou"/>
        </w:rPr>
        <w:footnoteRef/>
      </w:r>
      <w:r>
        <w:t xml:space="preserve"> </w:t>
      </w:r>
      <w:r>
        <w:rPr>
          <w:sz w:val="20"/>
          <w:szCs w:val="20"/>
        </w:rPr>
        <w:t xml:space="preserve">HEYROVSKÝ, s. 89. </w:t>
      </w:r>
    </w:p>
  </w:footnote>
  <w:footnote w:id="16">
    <w:p w14:paraId="0F69D78D" w14:textId="60A2710B" w:rsidR="00CF76F1" w:rsidRDefault="00CF76F1">
      <w:pPr>
        <w:pStyle w:val="Textpoznpodarou"/>
      </w:pPr>
      <w:r>
        <w:rPr>
          <w:rStyle w:val="Znakapoznpodarou"/>
        </w:rPr>
        <w:footnoteRef/>
      </w:r>
      <w:r>
        <w:t xml:space="preserve"> </w:t>
      </w:r>
      <w:r w:rsidRPr="00306FB9">
        <w:rPr>
          <w:sz w:val="20"/>
          <w:szCs w:val="20"/>
        </w:rPr>
        <w:t>SOMMER,</w:t>
      </w:r>
      <w:r>
        <w:t xml:space="preserve"> </w:t>
      </w:r>
      <w:r w:rsidRPr="00306FB9">
        <w:rPr>
          <w:sz w:val="20"/>
          <w:szCs w:val="20"/>
        </w:rPr>
        <w:t xml:space="preserve">Otakar. </w:t>
      </w:r>
      <w:r w:rsidRPr="00306FB9">
        <w:rPr>
          <w:i/>
          <w:sz w:val="20"/>
          <w:szCs w:val="20"/>
        </w:rPr>
        <w:t>Učebnice soukromého práva římského. I. a II. díl.</w:t>
      </w:r>
      <w:r w:rsidRPr="00306FB9">
        <w:rPr>
          <w:sz w:val="20"/>
          <w:szCs w:val="20"/>
        </w:rPr>
        <w:t xml:space="preserve"> Praha: </w:t>
      </w:r>
      <w:r>
        <w:rPr>
          <w:sz w:val="20"/>
          <w:szCs w:val="20"/>
        </w:rPr>
        <w:t xml:space="preserve">Wolters Kluwer ČR, a. s., 2011, s. 72. (Dále jen SOMMER). </w:t>
      </w:r>
    </w:p>
  </w:footnote>
  <w:footnote w:id="17">
    <w:p w14:paraId="26E0E4E6" w14:textId="479A968D" w:rsidR="00CF76F1" w:rsidRPr="00FA0BF8" w:rsidRDefault="00CF76F1" w:rsidP="00FA0BF8">
      <w:pPr>
        <w:pStyle w:val="Textpoznpodarou"/>
        <w:jc w:val="both"/>
        <w:rPr>
          <w:sz w:val="20"/>
          <w:szCs w:val="20"/>
        </w:rPr>
      </w:pPr>
      <w:r>
        <w:rPr>
          <w:rStyle w:val="Znakapoznpodarou"/>
        </w:rPr>
        <w:footnoteRef/>
      </w:r>
      <w:r>
        <w:t xml:space="preserve"> </w:t>
      </w:r>
      <w:r>
        <w:rPr>
          <w:i/>
          <w:sz w:val="20"/>
          <w:szCs w:val="20"/>
        </w:rPr>
        <w:t xml:space="preserve">„Způsobilost k právnímu jednání je právním řádem přiznaná schopnost subjektu práva projevem své vůle zakládat, měnit a rušit právní vztahy.“ </w:t>
      </w:r>
      <w:r>
        <w:rPr>
          <w:sz w:val="20"/>
          <w:szCs w:val="20"/>
        </w:rPr>
        <w:t xml:space="preserve">K plné způsobilosti bylo třeba být osobou sui iuris. Schopnost uzavírat smlouvy, konat jiné právní úkony a nést z toho plnou odpovědnost nebyla přiznána nedospělcům (impuberes), ženám, marnotratným a duševně chorým (jednalo se o osoby alieni iuris). Co se týče nedospělců, římští právníci vytvořili několik věkových kategorií: a) infantes (děti do 7 let) jsou naprosto nezpůsobilými, byla vyloučena i deliktní odpovědnost; b) impuberes (nedospělí) chlapci do 14 let, dívky do 12 let nebyli rovněž způsobilí k právnímu jednání (v klasické době byla nedospělcům blízkým věku zletilosti – impuberes infantia maiores – přiznána způsobilost pro úkony, které zlepšovaly jejich postavení) c) puberes (dospělí) byli původně plně způsobilí, pozdějším vývojem jim navíc byla poskytnuta právní ochrana zákonem Plaetoriovým – byla zavedena ochrana osob mladších 25 let; na základě tohoto zákona mohl praetor poskytnout těmto lidem účinnou procesní ochranu v soudním řízení (actio a exceptio de lege Laetoria) i mimořádným magisterským prostředkem (restitutio in integrum). Ženy se ještě podle klasického práva nemohly platně zavazovat smlouvami, pokud byly ženy sui iuris (mimo moc otce rodiny), musely mít poručníka (tutor mulierum) k autorizaci svých úkonů, v poklasické době poručenství nad ženami postupně zanikalo. Marnotratník, který nadměrně (nepřiměřeně) rozhazoval majetek, byl praetroským interdiktem částečně zbaven způsobilosti k právnímu jednání a současně mu byl ustanoven curator; marnotratník mohl samostatně jednat jen při nabývacích právních úkonech. Osoby duševně choré, šílené (furiosi) a blbcové (dementes), byly vyloučeny z právního jednání i z deliktní odpovědnosti; jejich záležitosti spravoval curator furios, avšak ve světlých okamžicích – lucida intervalla – mohly činit platná právní jednání (zavazovací, zcizovací i činit poslední pořízení).  BLAHO, Peter, HARAMIA, Ivan, ŽIDLICKÁ, Michaela. </w:t>
      </w:r>
      <w:r>
        <w:rPr>
          <w:i/>
          <w:sz w:val="20"/>
          <w:szCs w:val="20"/>
        </w:rPr>
        <w:t xml:space="preserve">Základy rímského práva. </w:t>
      </w:r>
      <w:r>
        <w:rPr>
          <w:sz w:val="20"/>
          <w:szCs w:val="20"/>
        </w:rPr>
        <w:t xml:space="preserve">Bratislava: MANZ, 1997, s. 105 – 106., HEYROVSKÝ, s. 91 – 93. </w:t>
      </w:r>
    </w:p>
  </w:footnote>
  <w:footnote w:id="18">
    <w:p w14:paraId="0440D921" w14:textId="056AF1E6" w:rsidR="00CF76F1" w:rsidRPr="00EF170A" w:rsidRDefault="00CF76F1" w:rsidP="00C91CAA">
      <w:pPr>
        <w:pStyle w:val="Textpoznpodarou"/>
        <w:jc w:val="both"/>
        <w:rPr>
          <w:i/>
          <w:sz w:val="20"/>
          <w:szCs w:val="20"/>
        </w:rPr>
      </w:pPr>
      <w:r>
        <w:rPr>
          <w:rStyle w:val="Znakapoznpodarou"/>
        </w:rPr>
        <w:footnoteRef/>
      </w:r>
      <w:r>
        <w:t xml:space="preserve"> </w:t>
      </w:r>
      <w:r>
        <w:rPr>
          <w:sz w:val="20"/>
          <w:szCs w:val="20"/>
        </w:rPr>
        <w:t>Právo neuznává jednání, které je fakticky či právně nemožné, odporuje právnímu zákazu (contra legem),</w:t>
      </w:r>
      <w:r w:rsidRPr="00C81284">
        <w:rPr>
          <w:sz w:val="20"/>
          <w:szCs w:val="20"/>
        </w:rPr>
        <w:t xml:space="preserve"> </w:t>
      </w:r>
      <w:r>
        <w:rPr>
          <w:sz w:val="20"/>
          <w:szCs w:val="20"/>
        </w:rPr>
        <w:t xml:space="preserve">srov. </w:t>
      </w:r>
      <w:r w:rsidRPr="00E97CE5">
        <w:rPr>
          <w:sz w:val="20"/>
          <w:szCs w:val="20"/>
        </w:rPr>
        <w:t xml:space="preserve">D 1. 3. 29 Paulus: </w:t>
      </w:r>
      <w:r w:rsidRPr="00E97CE5">
        <w:rPr>
          <w:i/>
          <w:sz w:val="20"/>
          <w:szCs w:val="20"/>
        </w:rPr>
        <w:t>„Činit to, co zákon zakazuje, je porušení zákona a každý, kdo se vyhýbá významu zákona bez porušení jeho slov, je vinen z podvodu proti němu.“</w:t>
      </w:r>
      <w:r w:rsidRPr="00E97CE5">
        <w:rPr>
          <w:sz w:val="20"/>
          <w:szCs w:val="20"/>
        </w:rPr>
        <w:t xml:space="preserve">  či  pravidlům mravnosti (contra bonos mores), srov. D 50. 17. 116. pr. Ulpianus: </w:t>
      </w:r>
      <w:r w:rsidRPr="00E97CE5">
        <w:rPr>
          <w:i/>
          <w:sz w:val="20"/>
          <w:szCs w:val="20"/>
        </w:rPr>
        <w:t>„Nic neodporuje souhlasu (který je základem kontraktů bona fide) tak,  jako síla a strach, a schválit cokoliv tohoto druhu je v rozporu s dobrými</w:t>
      </w:r>
      <w:r w:rsidRPr="00EF170A">
        <w:rPr>
          <w:i/>
          <w:sz w:val="20"/>
          <w:szCs w:val="20"/>
        </w:rPr>
        <w:t xml:space="preserve"> mravy.</w:t>
      </w:r>
      <w:r>
        <w:rPr>
          <w:i/>
          <w:sz w:val="20"/>
          <w:szCs w:val="20"/>
        </w:rPr>
        <w:t>“</w:t>
      </w:r>
    </w:p>
  </w:footnote>
  <w:footnote w:id="19">
    <w:p w14:paraId="28DE07E9" w14:textId="77777777" w:rsidR="00CF76F1" w:rsidRPr="00903283" w:rsidRDefault="00CF76F1" w:rsidP="00912836">
      <w:pPr>
        <w:pStyle w:val="Textpoznpodarou"/>
        <w:jc w:val="both"/>
        <w:rPr>
          <w:sz w:val="20"/>
          <w:szCs w:val="20"/>
        </w:rPr>
      </w:pPr>
      <w:r>
        <w:rPr>
          <w:rStyle w:val="Znakapoznpodarou"/>
        </w:rPr>
        <w:footnoteRef/>
      </w:r>
      <w:r>
        <w:t xml:space="preserve"> </w:t>
      </w:r>
      <w:r>
        <w:rPr>
          <w:sz w:val="20"/>
          <w:szCs w:val="20"/>
        </w:rPr>
        <w:t xml:space="preserve">Právní jednání učiněné s vnitřní výhradou (jednající projevuje něco jakoby to chtěl, ale ve skutečnosti to nechce, aniž by tento nedostatek vůle byl druhé straně zjevný), nijak neovlivňuje platnost právního jednání. </w:t>
      </w:r>
    </w:p>
  </w:footnote>
  <w:footnote w:id="20">
    <w:p w14:paraId="68E24764" w14:textId="2950D117" w:rsidR="00CF76F1" w:rsidRDefault="00CF76F1" w:rsidP="00912836">
      <w:pPr>
        <w:pStyle w:val="Textpoznpodarou"/>
      </w:pPr>
      <w:r>
        <w:rPr>
          <w:rStyle w:val="Znakapoznpodarou"/>
        </w:rPr>
        <w:footnoteRef/>
      </w:r>
      <w:r>
        <w:t xml:space="preserve"> </w:t>
      </w:r>
      <w:r w:rsidRPr="00156CB1">
        <w:rPr>
          <w:sz w:val="20"/>
          <w:szCs w:val="20"/>
        </w:rPr>
        <w:t>HEYROVSKÝ,</w:t>
      </w:r>
      <w:r>
        <w:rPr>
          <w:sz w:val="20"/>
          <w:szCs w:val="20"/>
        </w:rPr>
        <w:t xml:space="preserve"> </w:t>
      </w:r>
      <w:r w:rsidRPr="00156CB1">
        <w:rPr>
          <w:sz w:val="20"/>
          <w:szCs w:val="20"/>
        </w:rPr>
        <w:t>s</w:t>
      </w:r>
      <w:r>
        <w:rPr>
          <w:sz w:val="20"/>
          <w:szCs w:val="20"/>
        </w:rPr>
        <w:t>. 95.</w:t>
      </w:r>
    </w:p>
  </w:footnote>
  <w:footnote w:id="21">
    <w:p w14:paraId="6258DBE7" w14:textId="44629103" w:rsidR="00CF76F1" w:rsidRPr="002D37AE" w:rsidRDefault="00CF76F1" w:rsidP="002D37AE">
      <w:pPr>
        <w:pStyle w:val="Textpoznpodarou"/>
        <w:jc w:val="both"/>
        <w:rPr>
          <w:sz w:val="20"/>
          <w:szCs w:val="20"/>
        </w:rPr>
      </w:pPr>
      <w:r>
        <w:rPr>
          <w:rStyle w:val="Znakapoznpodarou"/>
        </w:rPr>
        <w:footnoteRef/>
      </w:r>
      <w:r>
        <w:t xml:space="preserve"> </w:t>
      </w:r>
      <w:r>
        <w:rPr>
          <w:sz w:val="20"/>
          <w:szCs w:val="20"/>
        </w:rPr>
        <w:t xml:space="preserve">D 5. 1. 2. pr. Ulpianus, český překlad převzat z: FRÝDEK, Miroslav. </w:t>
      </w:r>
      <w:r>
        <w:rPr>
          <w:i/>
          <w:sz w:val="20"/>
          <w:szCs w:val="20"/>
        </w:rPr>
        <w:t xml:space="preserve">Praktická cvičení z římského práva. </w:t>
      </w:r>
      <w:r>
        <w:rPr>
          <w:sz w:val="20"/>
          <w:szCs w:val="20"/>
        </w:rPr>
        <w:t xml:space="preserve">Ostrava: KEY Publishing, 2010, s. 50. </w:t>
      </w:r>
    </w:p>
  </w:footnote>
  <w:footnote w:id="22">
    <w:p w14:paraId="61D87CB0" w14:textId="77777777" w:rsidR="00CF76F1" w:rsidRPr="00F41FFC" w:rsidRDefault="00CF76F1" w:rsidP="00F24BE0">
      <w:pPr>
        <w:pStyle w:val="Textpoznpodarou"/>
        <w:rPr>
          <w:sz w:val="20"/>
          <w:szCs w:val="20"/>
        </w:rPr>
      </w:pPr>
      <w:r w:rsidRPr="00F41FFC">
        <w:rPr>
          <w:rStyle w:val="Znakapoznpodarou"/>
          <w:sz w:val="20"/>
          <w:szCs w:val="20"/>
        </w:rPr>
        <w:footnoteRef/>
      </w:r>
      <w:r w:rsidRPr="00F41FFC">
        <w:rPr>
          <w:sz w:val="20"/>
          <w:szCs w:val="20"/>
        </w:rPr>
        <w:t xml:space="preserve"> HEYROVSKÝ, s. 109.</w:t>
      </w:r>
    </w:p>
  </w:footnote>
  <w:footnote w:id="23">
    <w:p w14:paraId="666B7C50" w14:textId="4F9BBF73" w:rsidR="00CF76F1" w:rsidRDefault="00CF76F1" w:rsidP="00317EE2">
      <w:pPr>
        <w:pStyle w:val="Textpoznpodarou"/>
        <w:jc w:val="both"/>
      </w:pPr>
      <w:r>
        <w:rPr>
          <w:rStyle w:val="Znakapoznpodarou"/>
        </w:rPr>
        <w:footnoteRef/>
      </w:r>
      <w:r>
        <w:t xml:space="preserve"> </w:t>
      </w:r>
      <w:r w:rsidRPr="00317EE2">
        <w:rPr>
          <w:sz w:val="20"/>
          <w:szCs w:val="20"/>
        </w:rPr>
        <w:t xml:space="preserve">KINCL, Jaromír, URFUS, Valentin, SKŘEJPEK, Michal. </w:t>
      </w:r>
      <w:r w:rsidRPr="00317EE2">
        <w:rPr>
          <w:i/>
          <w:sz w:val="20"/>
          <w:szCs w:val="20"/>
        </w:rPr>
        <w:t>Římské právo.</w:t>
      </w:r>
      <w:r w:rsidRPr="00317EE2">
        <w:rPr>
          <w:sz w:val="20"/>
          <w:szCs w:val="20"/>
        </w:rPr>
        <w:t xml:space="preserve"> 2. vydání.</w:t>
      </w:r>
      <w:r>
        <w:rPr>
          <w:sz w:val="20"/>
          <w:szCs w:val="20"/>
        </w:rPr>
        <w:t xml:space="preserve"> Praha, C. H. Beck, 1995. </w:t>
      </w:r>
      <w:r w:rsidRPr="00317EE2">
        <w:rPr>
          <w:sz w:val="20"/>
          <w:szCs w:val="20"/>
        </w:rPr>
        <w:t>s.</w:t>
      </w:r>
      <w:r>
        <w:rPr>
          <w:sz w:val="20"/>
          <w:szCs w:val="20"/>
        </w:rPr>
        <w:t xml:space="preserve"> 108. </w:t>
      </w:r>
      <w:r>
        <w:t xml:space="preserve"> </w:t>
      </w:r>
    </w:p>
  </w:footnote>
  <w:footnote w:id="24">
    <w:p w14:paraId="493443FA" w14:textId="77777777" w:rsidR="00CF76F1" w:rsidRPr="00E4558D" w:rsidRDefault="00CF76F1" w:rsidP="00317EE2">
      <w:pPr>
        <w:pStyle w:val="Textpoznpodarou"/>
        <w:rPr>
          <w:sz w:val="20"/>
          <w:szCs w:val="20"/>
        </w:rPr>
      </w:pPr>
      <w:r w:rsidRPr="00E4558D">
        <w:rPr>
          <w:rStyle w:val="Znakapoznpodarou"/>
          <w:sz w:val="20"/>
          <w:szCs w:val="20"/>
        </w:rPr>
        <w:footnoteRef/>
      </w:r>
      <w:r w:rsidRPr="00E4558D">
        <w:rPr>
          <w:sz w:val="20"/>
          <w:szCs w:val="20"/>
        </w:rPr>
        <w:t xml:space="preserve"> </w:t>
      </w:r>
      <w:r>
        <w:rPr>
          <w:sz w:val="20"/>
          <w:szCs w:val="20"/>
        </w:rPr>
        <w:t>Osobě, které by měly být právní účinky na škodu, se p</w:t>
      </w:r>
      <w:r w:rsidRPr="00E4558D">
        <w:rPr>
          <w:sz w:val="20"/>
          <w:szCs w:val="20"/>
        </w:rPr>
        <w:t>oskytují obranné prostředky</w:t>
      </w:r>
      <w:r>
        <w:rPr>
          <w:sz w:val="20"/>
          <w:szCs w:val="20"/>
        </w:rPr>
        <w:t>.</w:t>
      </w:r>
      <w:r w:rsidRPr="00E4558D">
        <w:rPr>
          <w:sz w:val="20"/>
          <w:szCs w:val="20"/>
        </w:rPr>
        <w:t xml:space="preserve"> </w:t>
      </w:r>
    </w:p>
  </w:footnote>
  <w:footnote w:id="25">
    <w:p w14:paraId="7520B811" w14:textId="77777777" w:rsidR="00CF76F1" w:rsidRPr="00BD7CE0" w:rsidRDefault="00CF76F1" w:rsidP="00317EE2">
      <w:pPr>
        <w:pStyle w:val="Textpoznpodarou"/>
        <w:rPr>
          <w:sz w:val="20"/>
          <w:szCs w:val="20"/>
        </w:rPr>
      </w:pPr>
      <w:r w:rsidRPr="00BD7CE0">
        <w:rPr>
          <w:rStyle w:val="Znakapoznpodarou"/>
          <w:sz w:val="20"/>
          <w:szCs w:val="20"/>
        </w:rPr>
        <w:footnoteRef/>
      </w:r>
      <w:r w:rsidRPr="00BD7CE0">
        <w:rPr>
          <w:sz w:val="20"/>
          <w:szCs w:val="20"/>
        </w:rPr>
        <w:t xml:space="preserve"> </w:t>
      </w:r>
      <w:r>
        <w:rPr>
          <w:sz w:val="20"/>
          <w:szCs w:val="20"/>
        </w:rPr>
        <w:t>HEYROVSKÝ, s. 110.</w:t>
      </w:r>
    </w:p>
  </w:footnote>
  <w:footnote w:id="26">
    <w:p w14:paraId="64146973" w14:textId="59780E30" w:rsidR="00CF76F1" w:rsidRPr="006C7FA5" w:rsidRDefault="00CF76F1" w:rsidP="00C97943">
      <w:pPr>
        <w:pStyle w:val="Textpoznpodarou"/>
        <w:jc w:val="both"/>
        <w:rPr>
          <w:sz w:val="20"/>
          <w:szCs w:val="20"/>
        </w:rPr>
      </w:pPr>
      <w:r>
        <w:rPr>
          <w:rStyle w:val="Znakapoznpodarou"/>
        </w:rPr>
        <w:footnoteRef/>
      </w:r>
      <w:r>
        <w:t xml:space="preserve"> </w:t>
      </w:r>
      <w:r>
        <w:rPr>
          <w:sz w:val="20"/>
          <w:szCs w:val="20"/>
        </w:rPr>
        <w:t xml:space="preserve">Půjčka </w:t>
      </w:r>
      <w:r>
        <w:rPr>
          <w:sz w:val="20"/>
        </w:rPr>
        <w:t xml:space="preserve">– </w:t>
      </w:r>
      <w:r>
        <w:rPr>
          <w:sz w:val="20"/>
          <w:szCs w:val="20"/>
        </w:rPr>
        <w:t xml:space="preserve">reálný kontrakt, kdy komodant odevzdá věc k dočasnému a bezplatnému užívání komodatářovi, který ji po uplynutí doby vrátí i s tím, co k ní přibylo. </w:t>
      </w:r>
    </w:p>
  </w:footnote>
  <w:footnote w:id="27">
    <w:p w14:paraId="3354A09B" w14:textId="13772097" w:rsidR="00CF76F1" w:rsidRPr="004E59E1" w:rsidRDefault="00CF76F1" w:rsidP="00C97943">
      <w:pPr>
        <w:pStyle w:val="Textpoznpodarou"/>
        <w:jc w:val="both"/>
        <w:rPr>
          <w:sz w:val="20"/>
          <w:szCs w:val="20"/>
        </w:rPr>
      </w:pPr>
      <w:r>
        <w:rPr>
          <w:rStyle w:val="Znakapoznpodarou"/>
        </w:rPr>
        <w:footnoteRef/>
      </w:r>
      <w:r>
        <w:t xml:space="preserve"> </w:t>
      </w:r>
      <w:r>
        <w:rPr>
          <w:sz w:val="20"/>
          <w:szCs w:val="20"/>
        </w:rPr>
        <w:t xml:space="preserve">Nájem </w:t>
      </w:r>
      <w:r>
        <w:rPr>
          <w:sz w:val="20"/>
        </w:rPr>
        <w:t xml:space="preserve">– </w:t>
      </w:r>
      <w:r>
        <w:rPr>
          <w:sz w:val="20"/>
          <w:szCs w:val="20"/>
        </w:rPr>
        <w:t xml:space="preserve">konsensuální kontrakt, charakteristickým znakem je úplata za užívání věci, čímž je odlišován od jiných smluv. </w:t>
      </w:r>
    </w:p>
  </w:footnote>
  <w:footnote w:id="28">
    <w:p w14:paraId="5981E3EB" w14:textId="0DA1EB95" w:rsidR="00CF76F1" w:rsidRDefault="00CF76F1">
      <w:pPr>
        <w:pStyle w:val="Textpoznpodarou"/>
      </w:pPr>
      <w:r>
        <w:rPr>
          <w:rStyle w:val="Znakapoznpodarou"/>
        </w:rPr>
        <w:footnoteRef/>
      </w:r>
      <w:r>
        <w:t xml:space="preserve"> </w:t>
      </w:r>
      <w:r>
        <w:rPr>
          <w:sz w:val="20"/>
          <w:szCs w:val="20"/>
        </w:rPr>
        <w:t xml:space="preserve">HEYROVSKÝ, s. 111. </w:t>
      </w:r>
    </w:p>
  </w:footnote>
  <w:footnote w:id="29">
    <w:p w14:paraId="4749EB9B" w14:textId="427F8E06" w:rsidR="00CF76F1" w:rsidRPr="00D102B4" w:rsidRDefault="00CF76F1">
      <w:pPr>
        <w:pStyle w:val="Textpoznpodarou"/>
        <w:rPr>
          <w:sz w:val="20"/>
          <w:szCs w:val="20"/>
        </w:rPr>
      </w:pPr>
      <w:r>
        <w:rPr>
          <w:rStyle w:val="Znakapoznpodarou"/>
        </w:rPr>
        <w:footnoteRef/>
      </w:r>
      <w:r>
        <w:t xml:space="preserve"> </w:t>
      </w:r>
      <w:r>
        <w:rPr>
          <w:sz w:val="20"/>
          <w:szCs w:val="20"/>
        </w:rPr>
        <w:t xml:space="preserve">D 13. 7. 20. pr. </w:t>
      </w:r>
    </w:p>
  </w:footnote>
  <w:footnote w:id="30">
    <w:p w14:paraId="15AD1950" w14:textId="1D88AA1E" w:rsidR="00CF76F1" w:rsidRPr="00256776" w:rsidRDefault="00CF76F1" w:rsidP="00380CDB">
      <w:pPr>
        <w:pStyle w:val="Textpoznpodarou"/>
        <w:jc w:val="both"/>
        <w:rPr>
          <w:sz w:val="20"/>
        </w:rPr>
      </w:pPr>
      <w:r>
        <w:rPr>
          <w:rStyle w:val="Znakapoznpodarou"/>
        </w:rPr>
        <w:footnoteRef/>
      </w:r>
      <w:r>
        <w:t xml:space="preserve"> </w:t>
      </w:r>
      <w:r>
        <w:rPr>
          <w:sz w:val="20"/>
        </w:rPr>
        <w:t xml:space="preserve">D 34. 5. 3. </w:t>
      </w:r>
    </w:p>
  </w:footnote>
  <w:footnote w:id="31">
    <w:p w14:paraId="3868FF6D" w14:textId="262620DD" w:rsidR="00CF76F1" w:rsidRDefault="00CF76F1">
      <w:pPr>
        <w:pStyle w:val="Textpoznpodarou"/>
      </w:pPr>
      <w:r>
        <w:rPr>
          <w:rStyle w:val="Znakapoznpodarou"/>
        </w:rPr>
        <w:footnoteRef/>
      </w:r>
      <w:r>
        <w:t xml:space="preserve"> </w:t>
      </w:r>
      <w:r>
        <w:rPr>
          <w:sz w:val="20"/>
          <w:szCs w:val="20"/>
        </w:rPr>
        <w:t xml:space="preserve">Jako příklad posloužil příklad uvedený v: </w:t>
      </w:r>
      <w:r w:rsidRPr="004E7BA2">
        <w:rPr>
          <w:sz w:val="20"/>
          <w:szCs w:val="20"/>
        </w:rPr>
        <w:t>DOSTALÍK, Petr. Texty ke studiu římského práva soukromého. Plzeň: vydavatelství a naklada</w:t>
      </w:r>
      <w:r>
        <w:rPr>
          <w:sz w:val="20"/>
          <w:szCs w:val="20"/>
        </w:rPr>
        <w:t>telství Aleš Čeněk, 2009. s. 20.</w:t>
      </w:r>
    </w:p>
  </w:footnote>
  <w:footnote w:id="32">
    <w:p w14:paraId="1C4C185E" w14:textId="2E4F860C" w:rsidR="00CF76F1" w:rsidRPr="00A067DD" w:rsidRDefault="00CF76F1" w:rsidP="00E32D80">
      <w:pPr>
        <w:pStyle w:val="Textpoznpodarou"/>
        <w:jc w:val="both"/>
        <w:rPr>
          <w:sz w:val="20"/>
          <w:szCs w:val="20"/>
          <w:highlight w:val="yellow"/>
        </w:rPr>
      </w:pPr>
      <w:r>
        <w:rPr>
          <w:rStyle w:val="Znakapoznpodarou"/>
        </w:rPr>
        <w:footnoteRef/>
      </w:r>
      <w:r>
        <w:t xml:space="preserve"> </w:t>
      </w:r>
      <w:r w:rsidRPr="00443903">
        <w:rPr>
          <w:sz w:val="20"/>
          <w:szCs w:val="20"/>
        </w:rPr>
        <w:t xml:space="preserve">Nesprávné označení neškodí (to se však spíše týká případů, kdy obě strany nesprávně označily předmět smlouvy). Gai. D. 35. 1. 17. pr. </w:t>
      </w:r>
    </w:p>
  </w:footnote>
  <w:footnote w:id="33">
    <w:p w14:paraId="182968B0" w14:textId="0E1528CE" w:rsidR="00CF76F1" w:rsidRPr="002076C4" w:rsidRDefault="00CF76F1" w:rsidP="00A067DD">
      <w:pPr>
        <w:pStyle w:val="Textpoznpodarou"/>
        <w:jc w:val="both"/>
        <w:rPr>
          <w:i/>
          <w:sz w:val="20"/>
          <w:szCs w:val="20"/>
        </w:rPr>
      </w:pPr>
      <w:r w:rsidRPr="002076C4">
        <w:rPr>
          <w:rStyle w:val="Znakapoznpodarou"/>
        </w:rPr>
        <w:footnoteRef/>
      </w:r>
      <w:r w:rsidRPr="002076C4">
        <w:t xml:space="preserve"> </w:t>
      </w:r>
      <w:r w:rsidRPr="002076C4">
        <w:rPr>
          <w:sz w:val="20"/>
          <w:szCs w:val="20"/>
        </w:rPr>
        <w:t>Nesprávné pojmenování</w:t>
      </w:r>
      <w:r>
        <w:rPr>
          <w:sz w:val="20"/>
          <w:szCs w:val="20"/>
        </w:rPr>
        <w:t xml:space="preserve"> nezpůsobuje neplatnost odkazu: </w:t>
      </w:r>
      <w:r>
        <w:rPr>
          <w:i/>
          <w:sz w:val="20"/>
          <w:szCs w:val="20"/>
        </w:rPr>
        <w:t xml:space="preserve">„Tomu je velmi blízké právní pravidlo, podle něhož není odkaz neplatný kvůli chybnému označení, například když někdo učiní následující: „Odkazuji mého v mém domě narozeného Sticha.“ Neboť i kdyby se tento v domě nenarodil, ale byl koupen, stále je to tentýž otrok; odkaz je tedy platný. A stejně tak platí, jestliže se někdo vyjádřil takto: „Odkazuji Sticha, jehož jsou koupil od Seia.“ Jestliže se jedná o téhož otroka, je odkaz platným, i kdyby byl koupen od jiného. </w:t>
      </w:r>
      <w:r w:rsidRPr="002076C4">
        <w:rPr>
          <w:sz w:val="20"/>
          <w:szCs w:val="20"/>
        </w:rPr>
        <w:t>Just. Inst. 2. 20. 30</w:t>
      </w:r>
    </w:p>
  </w:footnote>
  <w:footnote w:id="34">
    <w:p w14:paraId="28ABF4D9" w14:textId="15FC2247" w:rsidR="00CF76F1" w:rsidRPr="00783423" w:rsidRDefault="00CF76F1" w:rsidP="002076C4">
      <w:pPr>
        <w:pStyle w:val="Textpoznpodarou"/>
        <w:tabs>
          <w:tab w:val="left" w:pos="1966"/>
        </w:tabs>
        <w:rPr>
          <w:sz w:val="20"/>
          <w:szCs w:val="20"/>
        </w:rPr>
      </w:pPr>
      <w:r>
        <w:rPr>
          <w:rStyle w:val="Znakapoznpodarou"/>
        </w:rPr>
        <w:footnoteRef/>
      </w:r>
      <w:r>
        <w:t xml:space="preserve"> </w:t>
      </w:r>
      <w:r>
        <w:rPr>
          <w:sz w:val="20"/>
          <w:szCs w:val="20"/>
        </w:rPr>
        <w:t>D 34. 5. 25.</w:t>
      </w:r>
      <w:r>
        <w:rPr>
          <w:sz w:val="20"/>
          <w:szCs w:val="20"/>
        </w:rPr>
        <w:tab/>
      </w:r>
    </w:p>
  </w:footnote>
  <w:footnote w:id="35">
    <w:p w14:paraId="704C7287" w14:textId="3329205A" w:rsidR="00CF76F1" w:rsidRPr="00106D84" w:rsidRDefault="00CF76F1">
      <w:pPr>
        <w:pStyle w:val="Textpoznpodarou"/>
        <w:rPr>
          <w:sz w:val="20"/>
          <w:szCs w:val="20"/>
        </w:rPr>
      </w:pPr>
      <w:r>
        <w:rPr>
          <w:rStyle w:val="Znakapoznpodarou"/>
        </w:rPr>
        <w:footnoteRef/>
      </w:r>
      <w:r>
        <w:t xml:space="preserve"> </w:t>
      </w:r>
      <w:r>
        <w:rPr>
          <w:sz w:val="20"/>
          <w:szCs w:val="20"/>
        </w:rPr>
        <w:t xml:space="preserve">Just. Inst. 2. 20. 29. </w:t>
      </w:r>
    </w:p>
  </w:footnote>
  <w:footnote w:id="36">
    <w:p w14:paraId="518CBBF6" w14:textId="046BDD8C" w:rsidR="00CF76F1" w:rsidRDefault="00CF76F1">
      <w:pPr>
        <w:pStyle w:val="Textpoznpodarou"/>
      </w:pPr>
      <w:r>
        <w:rPr>
          <w:rStyle w:val="Znakapoznpodarou"/>
        </w:rPr>
        <w:footnoteRef/>
      </w:r>
      <w:r>
        <w:t xml:space="preserve"> </w:t>
      </w:r>
      <w:r>
        <w:rPr>
          <w:sz w:val="20"/>
          <w:szCs w:val="20"/>
        </w:rPr>
        <w:t xml:space="preserve">Jako příklad posloužil příklad uvedený v: </w:t>
      </w:r>
      <w:r w:rsidRPr="004E7BA2">
        <w:rPr>
          <w:sz w:val="20"/>
          <w:szCs w:val="20"/>
        </w:rPr>
        <w:t>DOSTALÍK, Petr. Texty ke studiu římského práva soukromého. Plzeň: vydavatelství a naklada</w:t>
      </w:r>
      <w:r>
        <w:rPr>
          <w:sz w:val="20"/>
          <w:szCs w:val="20"/>
        </w:rPr>
        <w:t>telství Aleš Čeněk, 2009, s. 20.</w:t>
      </w:r>
    </w:p>
  </w:footnote>
  <w:footnote w:id="37">
    <w:p w14:paraId="01B0073A" w14:textId="77777777" w:rsidR="00CF76F1" w:rsidRPr="00B709EE" w:rsidRDefault="00CF76F1" w:rsidP="00EC285D">
      <w:pPr>
        <w:pStyle w:val="Textpoznpodarou"/>
        <w:jc w:val="both"/>
        <w:rPr>
          <w:sz w:val="20"/>
        </w:rPr>
      </w:pPr>
      <w:r>
        <w:rPr>
          <w:rStyle w:val="Znakapoznpodarou"/>
        </w:rPr>
        <w:footnoteRef/>
      </w:r>
      <w:r>
        <w:t xml:space="preserve"> </w:t>
      </w:r>
      <w:r>
        <w:rPr>
          <w:sz w:val="20"/>
        </w:rPr>
        <w:t xml:space="preserve">JANSEN, Nils, ZIMMERMANN, </w:t>
      </w:r>
      <w:r w:rsidRPr="00B709EE">
        <w:rPr>
          <w:i/>
          <w:sz w:val="20"/>
        </w:rPr>
        <w:t>Reinhard. Contract Formation and Mistake in European Contract Law: A Genetic Comparison of Transnational Model Rules</w:t>
      </w:r>
      <w:r>
        <w:rPr>
          <w:i/>
          <w:sz w:val="20"/>
        </w:rPr>
        <w:t xml:space="preserve"> </w:t>
      </w:r>
      <w:r>
        <w:rPr>
          <w:sz w:val="20"/>
        </w:rPr>
        <w:t>[online]. Oxford Journal of Legal Studies Vol. 31, No. 4, Winter 2011 [cit. 22. dubna 2018]. Dostupné na</w:t>
      </w:r>
      <w:r w:rsidRPr="004B72C8">
        <w:rPr>
          <w:sz w:val="20"/>
        </w:rPr>
        <w:t xml:space="preserve">&lt; </w:t>
      </w:r>
      <w:hyperlink r:id="rId1" w:history="1">
        <w:r w:rsidRPr="004B72C8">
          <w:rPr>
            <w:rStyle w:val="Hypertextovodkaz"/>
            <w:sz w:val="20"/>
          </w:rPr>
          <w:t>https://www.jstor.org/stable/41418836?seq=22 - page_scan_tab_contents</w:t>
        </w:r>
      </w:hyperlink>
      <w:r>
        <w:rPr>
          <w:sz w:val="20"/>
          <w:szCs w:val="20"/>
        </w:rPr>
        <w:t xml:space="preserve">&gt; </w:t>
      </w:r>
      <w:r>
        <w:rPr>
          <w:sz w:val="20"/>
        </w:rPr>
        <w:t>s. 646.</w:t>
      </w:r>
    </w:p>
    <w:p w14:paraId="5911DED6" w14:textId="77777777" w:rsidR="00CF76F1" w:rsidRPr="00B10D48" w:rsidRDefault="00CF76F1" w:rsidP="00EC285D">
      <w:pPr>
        <w:pStyle w:val="Textpoznpodarou"/>
        <w:rPr>
          <w:sz w:val="20"/>
        </w:rPr>
      </w:pPr>
    </w:p>
  </w:footnote>
  <w:footnote w:id="38">
    <w:p w14:paraId="4C34ACD0" w14:textId="77777777" w:rsidR="00CF76F1" w:rsidRPr="00B709EE" w:rsidRDefault="00CF76F1" w:rsidP="0095571C">
      <w:pPr>
        <w:pStyle w:val="Textpoznpodarou"/>
        <w:jc w:val="both"/>
        <w:rPr>
          <w:sz w:val="20"/>
        </w:rPr>
      </w:pPr>
      <w:r>
        <w:rPr>
          <w:rStyle w:val="Znakapoznpodarou"/>
        </w:rPr>
        <w:footnoteRef/>
      </w:r>
      <w:r>
        <w:t xml:space="preserve"> </w:t>
      </w:r>
      <w:r>
        <w:rPr>
          <w:sz w:val="20"/>
        </w:rPr>
        <w:t xml:space="preserve">JANSEN, Nils, ZIMMERMANN, </w:t>
      </w:r>
      <w:r w:rsidRPr="00B709EE">
        <w:rPr>
          <w:i/>
          <w:sz w:val="20"/>
        </w:rPr>
        <w:t>Reinhard. Contract Formation and Mistake in European Contract Law: A Genetic Comparison of Transnational Model Rules</w:t>
      </w:r>
      <w:r>
        <w:rPr>
          <w:i/>
          <w:sz w:val="20"/>
        </w:rPr>
        <w:t xml:space="preserve"> </w:t>
      </w:r>
      <w:r>
        <w:rPr>
          <w:sz w:val="20"/>
        </w:rPr>
        <w:t>[online]. Oxford Journal of Legal Studies Vol. 31, No. 4, Winter 2011 [cit. 22. dubna 2018]. Dostupné na</w:t>
      </w:r>
      <w:hyperlink r:id="rId2" w:anchor="page_scan_tab_contents&gt;" w:history="1">
        <w:r w:rsidRPr="008D37DF">
          <w:rPr>
            <w:rStyle w:val="Hypertextovodkaz"/>
            <w:sz w:val="20"/>
          </w:rPr>
          <w:t>&lt; https://www.jstor.org/stable/41418836?seq=22 - page_scan_tab_contents&gt;</w:t>
        </w:r>
      </w:hyperlink>
      <w:r>
        <w:rPr>
          <w:sz w:val="20"/>
        </w:rPr>
        <w:t>s. 646.</w:t>
      </w:r>
    </w:p>
  </w:footnote>
  <w:footnote w:id="39">
    <w:p w14:paraId="310E80FA" w14:textId="6DF5283D" w:rsidR="00CF76F1" w:rsidRPr="00756E37" w:rsidRDefault="00CF76F1" w:rsidP="00903695">
      <w:pPr>
        <w:ind w:left="-57"/>
        <w:jc w:val="both"/>
        <w:rPr>
          <w:i/>
        </w:rPr>
      </w:pPr>
      <w:r>
        <w:rPr>
          <w:rStyle w:val="Znakapoznpodarou"/>
        </w:rPr>
        <w:footnoteRef/>
      </w:r>
      <w:r>
        <w:t xml:space="preserve"> </w:t>
      </w:r>
      <w:r w:rsidRPr="0014145C">
        <w:rPr>
          <w:sz w:val="20"/>
          <w:szCs w:val="20"/>
        </w:rPr>
        <w:t xml:space="preserve">Bylo tedy nutné odpovědět stejnými slovy, </w:t>
      </w:r>
      <w:r>
        <w:rPr>
          <w:sz w:val="20"/>
          <w:szCs w:val="20"/>
        </w:rPr>
        <w:t>srov. Gai. Inst. 3. 92-93:</w:t>
      </w:r>
      <w:r w:rsidRPr="0014145C">
        <w:rPr>
          <w:sz w:val="20"/>
          <w:szCs w:val="20"/>
        </w:rPr>
        <w:t xml:space="preserve"> „</w:t>
      </w:r>
      <w:r w:rsidRPr="0014145C">
        <w:rPr>
          <w:i/>
          <w:sz w:val="20"/>
          <w:szCs w:val="20"/>
        </w:rPr>
        <w:t>Verbální obligace vzniká z otázky a odpovědi, například Slibuješ dát? Slibuji. Dáš? Dám. Přislibuješ? Přislibuji. Na svou čest přislibuješ? Na svou čest přislibuji. Na svou čest přikazuješ? Na svou čest přikazuji. Uděláš? Udělám.</w:t>
      </w:r>
      <w:r>
        <w:rPr>
          <w:sz w:val="20"/>
          <w:szCs w:val="20"/>
        </w:rPr>
        <w:t xml:space="preserve"> Srov. také Just. Inst. 3. 15. 1: </w:t>
      </w:r>
      <w:r>
        <w:rPr>
          <w:i/>
          <w:sz w:val="20"/>
          <w:szCs w:val="20"/>
        </w:rPr>
        <w:t>„Nezáleží na tom, zda je stipulace pronesena latinsky, řecky, nebo v jiném jazyce, pouze na tom, aby oba tomuto jazyku rozuměli.“</w:t>
      </w:r>
    </w:p>
  </w:footnote>
  <w:footnote w:id="40">
    <w:p w14:paraId="1BD69436" w14:textId="77777777" w:rsidR="00CF76F1" w:rsidRPr="006F063F" w:rsidRDefault="00CF76F1" w:rsidP="0095571C">
      <w:pPr>
        <w:pStyle w:val="Textpoznpodarou"/>
        <w:rPr>
          <w:sz w:val="20"/>
          <w:szCs w:val="20"/>
        </w:rPr>
      </w:pPr>
      <w:r>
        <w:rPr>
          <w:rStyle w:val="Znakapoznpodarou"/>
        </w:rPr>
        <w:footnoteRef/>
      </w:r>
      <w:r>
        <w:t xml:space="preserve"> </w:t>
      </w:r>
      <w:r>
        <w:rPr>
          <w:sz w:val="20"/>
          <w:szCs w:val="20"/>
        </w:rPr>
        <w:t xml:space="preserve">Ulpianus, Dominitus byl velice plodný právník, skoro 1/3 Digest tvoří úryvky právě z jeho děl.  </w:t>
      </w:r>
    </w:p>
  </w:footnote>
  <w:footnote w:id="41">
    <w:p w14:paraId="39036072" w14:textId="5EA15FD8" w:rsidR="00CF76F1" w:rsidRDefault="00CF76F1">
      <w:pPr>
        <w:pStyle w:val="Textpoznpodarou"/>
      </w:pPr>
      <w:r>
        <w:rPr>
          <w:rStyle w:val="Znakapoznpodarou"/>
        </w:rPr>
        <w:footnoteRef/>
      </w:r>
      <w:r>
        <w:t xml:space="preserve"> </w:t>
      </w:r>
      <w:r w:rsidRPr="00364739">
        <w:rPr>
          <w:sz w:val="20"/>
          <w:szCs w:val="20"/>
        </w:rPr>
        <w:t xml:space="preserve">D </w:t>
      </w:r>
      <w:r w:rsidRPr="00796B93">
        <w:rPr>
          <w:sz w:val="20"/>
          <w:szCs w:val="20"/>
        </w:rPr>
        <w:t>18. 1. 9. Pr.</w:t>
      </w:r>
    </w:p>
  </w:footnote>
  <w:footnote w:id="42">
    <w:p w14:paraId="7CB4ED0D" w14:textId="73F4A7DD" w:rsidR="00CF76F1" w:rsidRPr="002D6844" w:rsidRDefault="00CF76F1" w:rsidP="00947B64">
      <w:pPr>
        <w:pStyle w:val="Textpoznpodarou"/>
        <w:jc w:val="both"/>
      </w:pPr>
      <w:r w:rsidRPr="00EB0D3A">
        <w:rPr>
          <w:rStyle w:val="Znakapoznpodarou"/>
          <w:sz w:val="20"/>
        </w:rPr>
        <w:footnoteRef/>
      </w:r>
      <w:r w:rsidRPr="00EB0D3A">
        <w:rPr>
          <w:sz w:val="20"/>
        </w:rPr>
        <w:t xml:space="preserve"> </w:t>
      </w:r>
      <w:r>
        <w:rPr>
          <w:sz w:val="20"/>
        </w:rPr>
        <w:t>Tamtéž, s. 199.</w:t>
      </w:r>
    </w:p>
  </w:footnote>
  <w:footnote w:id="43">
    <w:p w14:paraId="751BD117" w14:textId="1F19FFA1" w:rsidR="00CF76F1" w:rsidRPr="00FB3775" w:rsidRDefault="00CF76F1" w:rsidP="00947B64">
      <w:pPr>
        <w:pStyle w:val="Textpoznpodarou"/>
        <w:jc w:val="both"/>
        <w:rPr>
          <w:sz w:val="20"/>
        </w:rPr>
      </w:pPr>
      <w:r>
        <w:rPr>
          <w:rStyle w:val="Znakapoznpodarou"/>
        </w:rPr>
        <w:footnoteRef/>
      </w:r>
      <w:r>
        <w:t xml:space="preserve"> </w:t>
      </w:r>
      <w:r>
        <w:rPr>
          <w:sz w:val="20"/>
        </w:rPr>
        <w:t xml:space="preserve">BARTOŠEK, s. 104.  </w:t>
      </w:r>
    </w:p>
  </w:footnote>
  <w:footnote w:id="44">
    <w:p w14:paraId="6087469F" w14:textId="77777777" w:rsidR="00CF76F1" w:rsidRPr="001946BF" w:rsidRDefault="00CF76F1" w:rsidP="0080224A">
      <w:pPr>
        <w:pStyle w:val="Textpoznpodarou"/>
        <w:rPr>
          <w:sz w:val="20"/>
          <w:szCs w:val="20"/>
        </w:rPr>
      </w:pPr>
      <w:r>
        <w:rPr>
          <w:rStyle w:val="Znakapoznpodarou"/>
        </w:rPr>
        <w:footnoteRef/>
      </w:r>
      <w:r>
        <w:t xml:space="preserve"> </w:t>
      </w:r>
      <w:r>
        <w:rPr>
          <w:sz w:val="20"/>
          <w:szCs w:val="20"/>
        </w:rPr>
        <w:t xml:space="preserve">SOMMER, s. 84. </w:t>
      </w:r>
    </w:p>
  </w:footnote>
  <w:footnote w:id="45">
    <w:p w14:paraId="40AD3C7F" w14:textId="1B2DF4F9" w:rsidR="00CF76F1" w:rsidRPr="002672A1" w:rsidRDefault="00CF76F1" w:rsidP="0080224A">
      <w:pPr>
        <w:pStyle w:val="Textpoznpodarou"/>
        <w:rPr>
          <w:sz w:val="20"/>
          <w:szCs w:val="20"/>
        </w:rPr>
      </w:pPr>
      <w:r>
        <w:rPr>
          <w:rStyle w:val="Znakapoznpodarou"/>
        </w:rPr>
        <w:footnoteRef/>
      </w:r>
      <w:r>
        <w:rPr>
          <w:sz w:val="20"/>
        </w:rPr>
        <w:t xml:space="preserve"> REBRO, Karol, BLAHO, Peter. </w:t>
      </w:r>
      <w:r>
        <w:rPr>
          <w:i/>
          <w:sz w:val="20"/>
        </w:rPr>
        <w:t xml:space="preserve">Rímske právo. </w:t>
      </w:r>
      <w:r>
        <w:rPr>
          <w:sz w:val="20"/>
        </w:rPr>
        <w:t>4. vydání. Bratislava: IURA EDITION, 2010, s</w:t>
      </w:r>
      <w:r w:rsidRPr="00D74CB4">
        <w:rPr>
          <w:i/>
          <w:sz w:val="20"/>
          <w:szCs w:val="20"/>
        </w:rPr>
        <w:t>.</w:t>
      </w:r>
      <w:r>
        <w:rPr>
          <w:sz w:val="20"/>
          <w:szCs w:val="20"/>
        </w:rPr>
        <w:t xml:space="preserve"> 20</w:t>
      </w:r>
      <w:r w:rsidRPr="00D74CB4">
        <w:rPr>
          <w:sz w:val="20"/>
          <w:szCs w:val="20"/>
        </w:rPr>
        <w:t>3.</w:t>
      </w:r>
      <w:r>
        <w:rPr>
          <w:sz w:val="20"/>
          <w:szCs w:val="20"/>
        </w:rPr>
        <w:t xml:space="preserve"> </w:t>
      </w:r>
    </w:p>
  </w:footnote>
  <w:footnote w:id="46">
    <w:p w14:paraId="50F69BD8" w14:textId="77777777" w:rsidR="00CF76F1" w:rsidRPr="00472B05" w:rsidRDefault="00CF76F1" w:rsidP="0080224A">
      <w:pPr>
        <w:pStyle w:val="Textpoznpodarou"/>
        <w:rPr>
          <w:sz w:val="20"/>
          <w:szCs w:val="20"/>
        </w:rPr>
      </w:pPr>
      <w:r>
        <w:rPr>
          <w:rStyle w:val="Znakapoznpodarou"/>
        </w:rPr>
        <w:footnoteRef/>
      </w:r>
      <w:r>
        <w:t xml:space="preserve"> </w:t>
      </w:r>
      <w:r>
        <w:rPr>
          <w:sz w:val="20"/>
          <w:szCs w:val="20"/>
        </w:rPr>
        <w:t>SOMMER, s. 84.</w:t>
      </w:r>
    </w:p>
  </w:footnote>
  <w:footnote w:id="47">
    <w:p w14:paraId="5912068B" w14:textId="1374A606" w:rsidR="00CF76F1" w:rsidRPr="006B22F9" w:rsidRDefault="00CF76F1" w:rsidP="006B22F9">
      <w:pPr>
        <w:pStyle w:val="Textpoznpodarou"/>
        <w:jc w:val="both"/>
        <w:rPr>
          <w:sz w:val="20"/>
          <w:szCs w:val="20"/>
        </w:rPr>
      </w:pPr>
      <w:r w:rsidRPr="006B22F9">
        <w:rPr>
          <w:rStyle w:val="Znakapoznpodarou"/>
          <w:sz w:val="20"/>
          <w:szCs w:val="20"/>
        </w:rPr>
        <w:footnoteRef/>
      </w:r>
      <w:r w:rsidRPr="006B22F9">
        <w:rPr>
          <w:sz w:val="20"/>
          <w:szCs w:val="20"/>
        </w:rPr>
        <w:t xml:space="preserve"> </w:t>
      </w:r>
      <w:r>
        <w:rPr>
          <w:sz w:val="20"/>
          <w:szCs w:val="20"/>
        </w:rPr>
        <w:t>N</w:t>
      </w:r>
      <w:r w:rsidRPr="006B22F9">
        <w:rPr>
          <w:sz w:val="20"/>
          <w:szCs w:val="20"/>
        </w:rPr>
        <w:t>eformální odkaz – původně pouhá prosba zůstavitelova, aby dědic splnil nějaké jeho přání ve prospěch třetí osoby</w:t>
      </w:r>
      <w:r>
        <w:rPr>
          <w:sz w:val="20"/>
          <w:szCs w:val="20"/>
        </w:rPr>
        <w:t xml:space="preserve">. BARTOŠEK, s. 113. </w:t>
      </w:r>
    </w:p>
  </w:footnote>
  <w:footnote w:id="48">
    <w:p w14:paraId="431F85D5" w14:textId="1DF44C0F" w:rsidR="00CF76F1" w:rsidRPr="00C26C73" w:rsidRDefault="00CF76F1" w:rsidP="00C26C73">
      <w:pPr>
        <w:pStyle w:val="Textpoznpodarou"/>
        <w:jc w:val="both"/>
        <w:rPr>
          <w:sz w:val="20"/>
          <w:szCs w:val="20"/>
        </w:rPr>
      </w:pPr>
      <w:r>
        <w:rPr>
          <w:rStyle w:val="Znakapoznpodarou"/>
        </w:rPr>
        <w:footnoteRef/>
      </w:r>
      <w:r>
        <w:t xml:space="preserve"> </w:t>
      </w:r>
      <w:r>
        <w:rPr>
          <w:sz w:val="20"/>
          <w:szCs w:val="20"/>
        </w:rPr>
        <w:t xml:space="preserve">Dále rozeznáváme modus při darování. Darování je lukrativní majetkové poskytnutí inter vivos, není to tedy každá bezplatná smlouva, nýbrž jen taková smlouva, kdy jedna strana je obohacena a druhá ochuzena. Modus, připojený k darování, způsobí jen zmenšení poskytnutého daru. Podle klasického práva bylo možné vynutit modus pouze v případě, když dárce stipuloval splnění modu nebo v případě, když provedl dar fiduciární mancipací. V poklasickém a justiniánském právu bylo možné k vynucení modu využít buď conditio causa data causa non secuta (dárce žádá dar zpět, když obdarovaný nesplní modus), nebo actione praescriptis verbis (dárce žaluje na splnění modu). SOMMER, s. 98 – 99. </w:t>
      </w:r>
    </w:p>
  </w:footnote>
  <w:footnote w:id="49">
    <w:p w14:paraId="6806713E" w14:textId="61EEFDB7" w:rsidR="00CF76F1" w:rsidRPr="00331B3D" w:rsidRDefault="00CF76F1" w:rsidP="00C134AC">
      <w:pPr>
        <w:pStyle w:val="Textpoznpodarou"/>
        <w:rPr>
          <w:sz w:val="20"/>
          <w:szCs w:val="20"/>
        </w:rPr>
      </w:pPr>
      <w:r>
        <w:rPr>
          <w:rStyle w:val="Znakapoznpodarou"/>
        </w:rPr>
        <w:footnoteRef/>
      </w:r>
      <w:r>
        <w:t xml:space="preserve"> </w:t>
      </w:r>
      <w:r>
        <w:rPr>
          <w:sz w:val="20"/>
          <w:szCs w:val="20"/>
        </w:rPr>
        <w:t>J</w:t>
      </w:r>
      <w:r w:rsidRPr="00331B3D">
        <w:rPr>
          <w:sz w:val="20"/>
          <w:szCs w:val="20"/>
        </w:rPr>
        <w:t>edn</w:t>
      </w:r>
      <w:r>
        <w:rPr>
          <w:sz w:val="20"/>
          <w:szCs w:val="20"/>
        </w:rPr>
        <w:t xml:space="preserve">á se o úřednické soudní řízení a </w:t>
      </w:r>
      <w:r w:rsidRPr="00331B3D">
        <w:rPr>
          <w:sz w:val="20"/>
          <w:szCs w:val="20"/>
        </w:rPr>
        <w:t>vyšetření sporu vede státní úředník</w:t>
      </w:r>
      <w:r>
        <w:rPr>
          <w:sz w:val="20"/>
          <w:szCs w:val="20"/>
        </w:rPr>
        <w:t>.</w:t>
      </w:r>
      <w:r w:rsidRPr="00331B3D">
        <w:rPr>
          <w:sz w:val="20"/>
          <w:szCs w:val="20"/>
        </w:rPr>
        <w:t xml:space="preserve"> </w:t>
      </w:r>
      <w:r>
        <w:rPr>
          <w:sz w:val="20"/>
          <w:szCs w:val="20"/>
        </w:rPr>
        <w:t xml:space="preserve">SOMMER, 98 </w:t>
      </w:r>
      <w:r>
        <w:rPr>
          <w:sz w:val="20"/>
        </w:rPr>
        <w:t xml:space="preserve">– </w:t>
      </w:r>
      <w:r>
        <w:rPr>
          <w:sz w:val="20"/>
          <w:szCs w:val="20"/>
        </w:rPr>
        <w:t xml:space="preserve">99.  </w:t>
      </w:r>
    </w:p>
  </w:footnote>
  <w:footnote w:id="50">
    <w:p w14:paraId="24387040" w14:textId="77777777" w:rsidR="00CF76F1" w:rsidRPr="006B3516" w:rsidRDefault="00CF76F1" w:rsidP="00331B3D">
      <w:pPr>
        <w:pStyle w:val="Textpoznpodarou"/>
        <w:jc w:val="both"/>
        <w:rPr>
          <w:sz w:val="20"/>
          <w:szCs w:val="20"/>
        </w:rPr>
      </w:pPr>
      <w:r>
        <w:rPr>
          <w:rStyle w:val="Znakapoznpodarou"/>
        </w:rPr>
        <w:footnoteRef/>
      </w:r>
      <w:r>
        <w:t xml:space="preserve"> </w:t>
      </w:r>
      <w:r>
        <w:rPr>
          <w:bCs/>
          <w:color w:val="000000"/>
          <w:sz w:val="20"/>
          <w:szCs w:val="20"/>
        </w:rPr>
        <w:t>Lex Falcidia n</w:t>
      </w:r>
      <w:r w:rsidRPr="00603F16">
        <w:rPr>
          <w:bCs/>
          <w:color w:val="000000"/>
          <w:sz w:val="20"/>
          <w:szCs w:val="20"/>
        </w:rPr>
        <w:t>ahradila dřívější omezení při zřizování legátů [l. Furia, Voconia] zá</w:t>
      </w:r>
      <w:r>
        <w:rPr>
          <w:bCs/>
          <w:color w:val="000000"/>
          <w:sz w:val="20"/>
          <w:szCs w:val="20"/>
        </w:rPr>
        <w:t xml:space="preserve">sadou, že odkazy přesahující ¾ </w:t>
      </w:r>
      <w:r w:rsidRPr="00603F16">
        <w:rPr>
          <w:bCs/>
          <w:color w:val="000000"/>
          <w:sz w:val="20"/>
          <w:szCs w:val="20"/>
        </w:rPr>
        <w:t>pozůs</w:t>
      </w:r>
      <w:r>
        <w:rPr>
          <w:bCs/>
          <w:color w:val="000000"/>
          <w:sz w:val="20"/>
          <w:szCs w:val="20"/>
        </w:rPr>
        <w:t>talosti jsou ipso iure neplatné a že</w:t>
      </w:r>
      <w:r w:rsidRPr="00603F16">
        <w:rPr>
          <w:bCs/>
          <w:color w:val="000000"/>
          <w:sz w:val="20"/>
          <w:szCs w:val="20"/>
        </w:rPr>
        <w:t xml:space="preserve"> </w:t>
      </w:r>
      <w:r>
        <w:rPr>
          <w:bCs/>
          <w:color w:val="000000"/>
          <w:sz w:val="20"/>
          <w:szCs w:val="20"/>
        </w:rPr>
        <w:t>dědici musí zůstat aspoň ¼ pozůstalosti – tzv. quarta Falcidia,</w:t>
      </w:r>
      <w:r w:rsidRPr="00603F16">
        <w:rPr>
          <w:bCs/>
          <w:color w:val="000000"/>
          <w:sz w:val="20"/>
          <w:szCs w:val="20"/>
        </w:rPr>
        <w:t xml:space="preserve"> tato zásada se stala vzorem pro nauku o povinném díle</w:t>
      </w:r>
      <w:r>
        <w:rPr>
          <w:bCs/>
          <w:color w:val="000000"/>
          <w:sz w:val="20"/>
          <w:szCs w:val="20"/>
        </w:rPr>
        <w:t xml:space="preserve">. BARTOŠEK, s. 161. </w:t>
      </w:r>
    </w:p>
  </w:footnote>
  <w:footnote w:id="51">
    <w:p w14:paraId="54E62FD7" w14:textId="3B00D3F8" w:rsidR="00CF76F1" w:rsidRPr="002523B7" w:rsidRDefault="00CF76F1">
      <w:pPr>
        <w:pStyle w:val="Textpoznpodarou"/>
        <w:rPr>
          <w:sz w:val="20"/>
        </w:rPr>
      </w:pPr>
      <w:r>
        <w:rPr>
          <w:rStyle w:val="Znakapoznpodarou"/>
        </w:rPr>
        <w:footnoteRef/>
      </w:r>
      <w:r>
        <w:t xml:space="preserve"> </w:t>
      </w:r>
      <w:r>
        <w:rPr>
          <w:sz w:val="20"/>
        </w:rPr>
        <w:t xml:space="preserve">Právní omyl není pro nikoho výhodou. D 41. 4. 2. 15 Paulus. </w:t>
      </w:r>
    </w:p>
  </w:footnote>
  <w:footnote w:id="52">
    <w:p w14:paraId="277761DD" w14:textId="6FC5F3DD" w:rsidR="00CF76F1" w:rsidRPr="00FA4828" w:rsidRDefault="00CF76F1">
      <w:pPr>
        <w:pStyle w:val="Textpoznpodarou"/>
        <w:rPr>
          <w:sz w:val="20"/>
          <w:szCs w:val="20"/>
        </w:rPr>
      </w:pPr>
      <w:r>
        <w:rPr>
          <w:rStyle w:val="Znakapoznpodarou"/>
        </w:rPr>
        <w:footnoteRef/>
      </w:r>
      <w:r>
        <w:t xml:space="preserve"> </w:t>
      </w:r>
      <w:r>
        <w:rPr>
          <w:sz w:val="20"/>
          <w:szCs w:val="20"/>
        </w:rPr>
        <w:t xml:space="preserve">D 22. 6. 9. 6. Paulus. </w:t>
      </w:r>
    </w:p>
  </w:footnote>
  <w:footnote w:id="53">
    <w:p w14:paraId="0BCB71EF" w14:textId="28884580" w:rsidR="00CF76F1" w:rsidRPr="00EF0575" w:rsidRDefault="00CF76F1">
      <w:pPr>
        <w:pStyle w:val="Textpoznpodarou"/>
        <w:rPr>
          <w:sz w:val="20"/>
          <w:szCs w:val="20"/>
        </w:rPr>
      </w:pPr>
      <w:r>
        <w:rPr>
          <w:rStyle w:val="Znakapoznpodarou"/>
        </w:rPr>
        <w:footnoteRef/>
      </w:r>
      <w:r>
        <w:t xml:space="preserve"> </w:t>
      </w:r>
      <w:r>
        <w:rPr>
          <w:sz w:val="20"/>
          <w:szCs w:val="20"/>
        </w:rPr>
        <w:t xml:space="preserve">D 2. 13. 1. Pr. Ulpianus. </w:t>
      </w:r>
    </w:p>
  </w:footnote>
  <w:footnote w:id="54">
    <w:p w14:paraId="25AFBB41" w14:textId="0EDF082F" w:rsidR="00CF76F1" w:rsidRPr="00EF3178" w:rsidRDefault="00CF76F1">
      <w:pPr>
        <w:pStyle w:val="Textpoznpodarou"/>
        <w:rPr>
          <w:sz w:val="20"/>
          <w:szCs w:val="20"/>
        </w:rPr>
      </w:pPr>
      <w:r>
        <w:rPr>
          <w:rStyle w:val="Znakapoznpodarou"/>
        </w:rPr>
        <w:footnoteRef/>
      </w:r>
      <w:r>
        <w:t xml:space="preserve"> </w:t>
      </w:r>
      <w:r>
        <w:rPr>
          <w:sz w:val="20"/>
          <w:szCs w:val="20"/>
        </w:rPr>
        <w:t xml:space="preserve">D 2. 13. 1. 1. Ulpianus. </w:t>
      </w:r>
    </w:p>
  </w:footnote>
  <w:footnote w:id="55">
    <w:p w14:paraId="47AD8DE9" w14:textId="2E3B65B7" w:rsidR="00CF76F1" w:rsidRPr="007641EE" w:rsidRDefault="00CF76F1" w:rsidP="007641EE">
      <w:pPr>
        <w:pStyle w:val="Textpoznpodarou"/>
        <w:jc w:val="both"/>
        <w:rPr>
          <w:sz w:val="20"/>
          <w:szCs w:val="20"/>
        </w:rPr>
      </w:pPr>
      <w:r>
        <w:rPr>
          <w:rStyle w:val="Znakapoznpodarou"/>
        </w:rPr>
        <w:footnoteRef/>
      </w:r>
      <w:r>
        <w:t xml:space="preserve"> </w:t>
      </w:r>
      <w:r w:rsidRPr="007641EE">
        <w:rPr>
          <w:sz w:val="20"/>
          <w:szCs w:val="20"/>
        </w:rPr>
        <w:t>Subjektem práva je v tomto případě město Cirta (municipium). Jedná se o veřejnou korp</w:t>
      </w:r>
      <w:r>
        <w:rPr>
          <w:sz w:val="20"/>
          <w:szCs w:val="20"/>
        </w:rPr>
        <w:t>oraci (soubor osob, universita</w:t>
      </w:r>
      <w:r w:rsidRPr="007641EE">
        <w:rPr>
          <w:sz w:val="20"/>
          <w:szCs w:val="20"/>
        </w:rPr>
        <w:t xml:space="preserve">s personarum), kde se právní subjektivita váže na existenci fyzických osob, které ji tvoří. Již za dob římského práva bylo </w:t>
      </w:r>
      <w:r>
        <w:rPr>
          <w:sz w:val="20"/>
          <w:szCs w:val="20"/>
        </w:rPr>
        <w:t xml:space="preserve">tedy možné žalovat obec (město) </w:t>
      </w:r>
      <w:r w:rsidRPr="007641EE">
        <w:rPr>
          <w:sz w:val="20"/>
          <w:szCs w:val="20"/>
        </w:rPr>
        <w:t>jakožto právnickou osobu</w:t>
      </w:r>
      <w:r>
        <w:rPr>
          <w:sz w:val="20"/>
          <w:szCs w:val="20"/>
        </w:rPr>
        <w:t xml:space="preserve">. Tyto fiktivní osoby byly </w:t>
      </w:r>
      <w:r w:rsidRPr="007641EE">
        <w:rPr>
          <w:sz w:val="20"/>
          <w:szCs w:val="20"/>
        </w:rPr>
        <w:t>nadané omezenou právní subjektivitou, byly vyloučeny zejména z oblasti práva rodinného, deliktního a po dlouhou dobu také z práva dědického</w:t>
      </w:r>
      <w:r>
        <w:rPr>
          <w:sz w:val="20"/>
          <w:szCs w:val="20"/>
        </w:rPr>
        <w:t xml:space="preserve">. SKŘEJPEK, Michal. </w:t>
      </w:r>
      <w:r w:rsidRPr="007641EE">
        <w:rPr>
          <w:i/>
          <w:sz w:val="20"/>
          <w:szCs w:val="20"/>
        </w:rPr>
        <w:t>Římské soukromé právo. Systém a instituce</w:t>
      </w:r>
      <w:r w:rsidRPr="007641EE">
        <w:rPr>
          <w:sz w:val="20"/>
          <w:szCs w:val="20"/>
        </w:rPr>
        <w:t xml:space="preserve">. </w:t>
      </w:r>
      <w:r>
        <w:rPr>
          <w:sz w:val="20"/>
          <w:szCs w:val="20"/>
        </w:rPr>
        <w:t xml:space="preserve">Plzeň: Aleš Čeněk, 2011. s. 74. </w:t>
      </w:r>
    </w:p>
  </w:footnote>
  <w:footnote w:id="56">
    <w:p w14:paraId="4D387F10" w14:textId="28A4BDDC" w:rsidR="00CF76F1" w:rsidRPr="00727B7E" w:rsidRDefault="00CF76F1">
      <w:pPr>
        <w:pStyle w:val="Textpoznpodarou"/>
        <w:rPr>
          <w:sz w:val="20"/>
          <w:szCs w:val="20"/>
        </w:rPr>
      </w:pPr>
      <w:r>
        <w:rPr>
          <w:rStyle w:val="Znakapoznpodarou"/>
        </w:rPr>
        <w:footnoteRef/>
      </w:r>
      <w:r>
        <w:t xml:space="preserve"> </w:t>
      </w:r>
      <w:r>
        <w:rPr>
          <w:sz w:val="20"/>
          <w:szCs w:val="20"/>
        </w:rPr>
        <w:t xml:space="preserve">SOMMER, s. 153. </w:t>
      </w:r>
    </w:p>
  </w:footnote>
  <w:footnote w:id="57">
    <w:p w14:paraId="47314CE7" w14:textId="437084AB" w:rsidR="00CF76F1" w:rsidRDefault="00CF76F1" w:rsidP="00947B64">
      <w:pPr>
        <w:pStyle w:val="Textpoznpodarou"/>
      </w:pPr>
      <w:r>
        <w:rPr>
          <w:rStyle w:val="Znakapoznpodarou"/>
        </w:rPr>
        <w:footnoteRef/>
      </w:r>
      <w:r>
        <w:t xml:space="preserve"> </w:t>
      </w:r>
      <w:r>
        <w:rPr>
          <w:sz w:val="20"/>
        </w:rPr>
        <w:t xml:space="preserve">BARTOŠEK, s. 94. </w:t>
      </w:r>
    </w:p>
  </w:footnote>
  <w:footnote w:id="58">
    <w:p w14:paraId="796CDFFB" w14:textId="77777777" w:rsidR="00CF76F1" w:rsidRPr="007A2FFB" w:rsidRDefault="00CF76F1" w:rsidP="009E141D">
      <w:pPr>
        <w:pStyle w:val="Textpoznpodarou"/>
        <w:jc w:val="both"/>
        <w:rPr>
          <w:sz w:val="20"/>
          <w:szCs w:val="20"/>
        </w:rPr>
      </w:pPr>
      <w:r>
        <w:rPr>
          <w:rStyle w:val="Znakapoznpodarou"/>
        </w:rPr>
        <w:footnoteRef/>
      </w:r>
      <w:r>
        <w:t xml:space="preserve"> </w:t>
      </w:r>
      <w:r>
        <w:rPr>
          <w:sz w:val="20"/>
          <w:szCs w:val="20"/>
        </w:rPr>
        <w:t xml:space="preserve">Aureus – římský zlaťák; Římské zlaťáky byly raženy na základě mincovního práva vojevůdců (nebyly raženy státem). U Římanů se vyskytovaly od druhé punské války. Zlaté mince se razily o 20, 40 a 60 sestercicích. Ottův slovník naučný. </w:t>
      </w:r>
      <w:r w:rsidRPr="006458ED">
        <w:rPr>
          <w:i/>
          <w:sz w:val="20"/>
          <w:szCs w:val="20"/>
        </w:rPr>
        <w:t>Ilustrovaná encyklopaedie obecných vědomostí</w:t>
      </w:r>
      <w:r>
        <w:rPr>
          <w:sz w:val="20"/>
          <w:szCs w:val="20"/>
        </w:rPr>
        <w:t>. Druhý díl</w:t>
      </w:r>
      <w:r w:rsidRPr="00143158">
        <w:t xml:space="preserve"> </w:t>
      </w:r>
      <w:r w:rsidRPr="00143158">
        <w:rPr>
          <w:sz w:val="20"/>
          <w:szCs w:val="20"/>
        </w:rPr>
        <w:t>Alquiere-Ažušak</w:t>
      </w:r>
      <w:r>
        <w:rPr>
          <w:sz w:val="20"/>
          <w:szCs w:val="20"/>
        </w:rPr>
        <w:t xml:space="preserve">. Argo/Paseka 1996. s. 1053. </w:t>
      </w:r>
    </w:p>
  </w:footnote>
  <w:footnote w:id="59">
    <w:p w14:paraId="261A21FB" w14:textId="4D23C9BC" w:rsidR="00CF76F1" w:rsidRPr="005C7A14" w:rsidRDefault="00CF76F1">
      <w:pPr>
        <w:pStyle w:val="Textpoznpodarou"/>
        <w:rPr>
          <w:sz w:val="20"/>
          <w:szCs w:val="20"/>
        </w:rPr>
      </w:pPr>
      <w:r>
        <w:rPr>
          <w:rStyle w:val="Znakapoznpodarou"/>
        </w:rPr>
        <w:footnoteRef/>
      </w:r>
      <w:r>
        <w:t xml:space="preserve"> </w:t>
      </w:r>
      <w:r>
        <w:rPr>
          <w:sz w:val="20"/>
          <w:szCs w:val="20"/>
        </w:rPr>
        <w:t xml:space="preserve">Just. Inst. 3, 19. Sorv. Také Gai. Inst. 3, 102. </w:t>
      </w:r>
    </w:p>
  </w:footnote>
  <w:footnote w:id="60">
    <w:p w14:paraId="72FAB345" w14:textId="7BD29837" w:rsidR="00CF76F1" w:rsidRPr="00311B85" w:rsidRDefault="00CF76F1" w:rsidP="00190029">
      <w:pPr>
        <w:pStyle w:val="Textpoznpodarou"/>
        <w:rPr>
          <w:sz w:val="20"/>
          <w:szCs w:val="20"/>
        </w:rPr>
      </w:pPr>
      <w:r>
        <w:rPr>
          <w:rStyle w:val="Znakapoznpodarou"/>
        </w:rPr>
        <w:footnoteRef/>
      </w:r>
      <w:r>
        <w:t xml:space="preserve"> </w:t>
      </w:r>
      <w:r w:rsidRPr="00915A7B">
        <w:rPr>
          <w:sz w:val="20"/>
          <w:szCs w:val="20"/>
        </w:rPr>
        <w:t xml:space="preserve">D 45. </w:t>
      </w:r>
      <w:r>
        <w:rPr>
          <w:sz w:val="20"/>
          <w:szCs w:val="20"/>
        </w:rPr>
        <w:t>1. 1. 4</w:t>
      </w:r>
      <w:r w:rsidRPr="00915A7B">
        <w:rPr>
          <w:sz w:val="20"/>
          <w:szCs w:val="20"/>
        </w:rPr>
        <w:t xml:space="preserve"> </w:t>
      </w:r>
    </w:p>
  </w:footnote>
  <w:footnote w:id="61">
    <w:p w14:paraId="2D5AF069" w14:textId="469BC8C0" w:rsidR="00CF76F1" w:rsidRPr="00FF21A2" w:rsidRDefault="00CF76F1">
      <w:pPr>
        <w:pStyle w:val="Textpoznpodarou"/>
        <w:rPr>
          <w:sz w:val="20"/>
          <w:szCs w:val="20"/>
        </w:rPr>
      </w:pPr>
      <w:r>
        <w:rPr>
          <w:rStyle w:val="Znakapoznpodarou"/>
        </w:rPr>
        <w:footnoteRef/>
      </w:r>
      <w:r>
        <w:t xml:space="preserve"> </w:t>
      </w:r>
      <w:r>
        <w:rPr>
          <w:sz w:val="20"/>
          <w:szCs w:val="20"/>
        </w:rPr>
        <w:t xml:space="preserve">Just. Inst. 3. 15. 1. </w:t>
      </w:r>
    </w:p>
  </w:footnote>
  <w:footnote w:id="62">
    <w:p w14:paraId="5E5454C5" w14:textId="5DF5CD2A" w:rsidR="00CF76F1" w:rsidRPr="000975A4" w:rsidRDefault="00CF76F1">
      <w:pPr>
        <w:pStyle w:val="Textpoznpodarou"/>
        <w:rPr>
          <w:sz w:val="20"/>
          <w:szCs w:val="20"/>
        </w:rPr>
      </w:pPr>
      <w:r>
        <w:rPr>
          <w:rStyle w:val="Znakapoznpodarou"/>
        </w:rPr>
        <w:footnoteRef/>
      </w:r>
      <w:r>
        <w:t xml:space="preserve"> </w:t>
      </w:r>
      <w:r>
        <w:rPr>
          <w:sz w:val="20"/>
          <w:szCs w:val="20"/>
        </w:rPr>
        <w:t xml:space="preserve">D 50. 17. 116. 2. Ulpianus. </w:t>
      </w:r>
      <w:r w:rsidRPr="00DC74A6">
        <w:rPr>
          <w:sz w:val="20"/>
          <w:szCs w:val="20"/>
        </w:rPr>
        <w:t>Ti, kteří se mýlí, nejsou považováni za ty, co souhlasí.</w:t>
      </w:r>
    </w:p>
  </w:footnote>
  <w:footnote w:id="63">
    <w:p w14:paraId="1432C793" w14:textId="1AD127BE" w:rsidR="00CF76F1" w:rsidRDefault="00CF76F1" w:rsidP="00F83E28">
      <w:pPr>
        <w:pStyle w:val="Textpoznpodarou"/>
        <w:jc w:val="both"/>
      </w:pPr>
      <w:r>
        <w:rPr>
          <w:rStyle w:val="Znakapoznpodarou"/>
        </w:rPr>
        <w:footnoteRef/>
      </w:r>
      <w:r>
        <w:t xml:space="preserve"> </w:t>
      </w:r>
      <w:r w:rsidRPr="00B56638">
        <w:rPr>
          <w:sz w:val="20"/>
          <w:szCs w:val="20"/>
        </w:rPr>
        <w:t>D 44. 7. 57</w:t>
      </w:r>
      <w:r>
        <w:rPr>
          <w:sz w:val="20"/>
          <w:szCs w:val="20"/>
        </w:rPr>
        <w:t>. Pomponius.</w:t>
      </w:r>
    </w:p>
  </w:footnote>
  <w:footnote w:id="64">
    <w:p w14:paraId="067BC300" w14:textId="64EE5639" w:rsidR="00CF76F1" w:rsidRPr="00C05FB9" w:rsidRDefault="00CF76F1" w:rsidP="00C05FB9">
      <w:pPr>
        <w:pStyle w:val="Textpoznpodarou"/>
        <w:jc w:val="both"/>
        <w:rPr>
          <w:sz w:val="20"/>
          <w:szCs w:val="20"/>
        </w:rPr>
      </w:pPr>
      <w:r w:rsidRPr="00C05FB9">
        <w:rPr>
          <w:rStyle w:val="Znakapoznpodarou"/>
          <w:sz w:val="20"/>
          <w:szCs w:val="20"/>
        </w:rPr>
        <w:footnoteRef/>
      </w:r>
      <w:r w:rsidRPr="00C05FB9">
        <w:rPr>
          <w:sz w:val="20"/>
          <w:szCs w:val="20"/>
        </w:rPr>
        <w:t xml:space="preserve"> D 45. 1. 83. 1. </w:t>
      </w:r>
      <w:r>
        <w:rPr>
          <w:sz w:val="20"/>
          <w:szCs w:val="20"/>
        </w:rPr>
        <w:t>Paulus.</w:t>
      </w:r>
    </w:p>
  </w:footnote>
  <w:footnote w:id="65">
    <w:p w14:paraId="3A7C90E8" w14:textId="137B8A41" w:rsidR="00CF76F1" w:rsidRPr="00EF25E1" w:rsidRDefault="00CF76F1">
      <w:pPr>
        <w:pStyle w:val="Textpoznpodarou"/>
        <w:rPr>
          <w:sz w:val="20"/>
          <w:szCs w:val="20"/>
        </w:rPr>
      </w:pPr>
      <w:r>
        <w:rPr>
          <w:rStyle w:val="Znakapoznpodarou"/>
        </w:rPr>
        <w:footnoteRef/>
      </w:r>
      <w:r>
        <w:t xml:space="preserve"> </w:t>
      </w:r>
      <w:r>
        <w:rPr>
          <w:sz w:val="20"/>
          <w:szCs w:val="20"/>
        </w:rPr>
        <w:t xml:space="preserve">Docteur en Droit, Jerusalem, Israel. </w:t>
      </w:r>
    </w:p>
  </w:footnote>
  <w:footnote w:id="66">
    <w:p w14:paraId="496002F9" w14:textId="77777777" w:rsidR="00CF76F1" w:rsidRPr="00E91ED7" w:rsidRDefault="00CF76F1" w:rsidP="00947B64">
      <w:pPr>
        <w:pStyle w:val="Textpoznpodarou"/>
        <w:jc w:val="both"/>
        <w:rPr>
          <w:sz w:val="21"/>
        </w:rPr>
      </w:pPr>
      <w:r>
        <w:rPr>
          <w:rStyle w:val="Znakapoznpodarou"/>
        </w:rPr>
        <w:footnoteRef/>
      </w:r>
      <w:r>
        <w:t xml:space="preserve"> </w:t>
      </w:r>
      <w:r w:rsidRPr="004436F1">
        <w:rPr>
          <w:sz w:val="20"/>
          <w:szCs w:val="20"/>
        </w:rPr>
        <w:t xml:space="preserve">SABBATH, E. </w:t>
      </w:r>
      <w:r w:rsidRPr="004436F1">
        <w:rPr>
          <w:i/>
          <w:sz w:val="20"/>
          <w:szCs w:val="20"/>
        </w:rPr>
        <w:t>Effects of Mistake in Contracts: A study in Comparative Law</w:t>
      </w:r>
      <w:r w:rsidRPr="004436F1">
        <w:rPr>
          <w:sz w:val="20"/>
          <w:szCs w:val="20"/>
        </w:rPr>
        <w:t xml:space="preserve"> [online]. The International and Comparative Law Quarterly, Vol. 13, No. 3, Jul., 1964 [cit. 22. dubna 2018]. Dostupné na&lt;</w:t>
      </w:r>
      <w:hyperlink r:id="rId3" w:anchor="page_scan_tab_contents" w:history="1">
        <w:r w:rsidRPr="004436F1">
          <w:rPr>
            <w:rStyle w:val="Hypertextovodkaz"/>
            <w:sz w:val="20"/>
            <w:szCs w:val="20"/>
          </w:rPr>
          <w:t>https://www.jstor.org/stable/756032?seq=1#page_scan_tab_contents</w:t>
        </w:r>
      </w:hyperlink>
      <w:r w:rsidRPr="004436F1">
        <w:rPr>
          <w:sz w:val="20"/>
          <w:szCs w:val="20"/>
        </w:rPr>
        <w:t xml:space="preserve">&gt;  </w:t>
      </w:r>
    </w:p>
  </w:footnote>
  <w:footnote w:id="67">
    <w:p w14:paraId="7FDDE4CF" w14:textId="2AC073D9" w:rsidR="00CF76F1" w:rsidRDefault="00CF76F1" w:rsidP="00894020">
      <w:pPr>
        <w:pStyle w:val="Textpoznpodarou"/>
        <w:jc w:val="both"/>
      </w:pPr>
      <w:r>
        <w:rPr>
          <w:rStyle w:val="Znakapoznpodarou"/>
        </w:rPr>
        <w:footnoteRef/>
      </w:r>
      <w:r>
        <w:t xml:space="preserve"> </w:t>
      </w:r>
      <w:r w:rsidRPr="00BC6380">
        <w:rPr>
          <w:sz w:val="20"/>
          <w:szCs w:val="20"/>
        </w:rPr>
        <w:t>SOMMER,</w:t>
      </w:r>
      <w:r>
        <w:rPr>
          <w:sz w:val="20"/>
          <w:szCs w:val="20"/>
        </w:rPr>
        <w:t xml:space="preserve"> s. 80.</w:t>
      </w:r>
    </w:p>
  </w:footnote>
  <w:footnote w:id="68">
    <w:p w14:paraId="4213F71E" w14:textId="70A88D20" w:rsidR="00CF76F1" w:rsidRPr="00AA5297" w:rsidRDefault="00CF76F1" w:rsidP="00894020">
      <w:pPr>
        <w:pStyle w:val="Textpoznpodarou"/>
        <w:jc w:val="both"/>
        <w:rPr>
          <w:sz w:val="20"/>
          <w:szCs w:val="20"/>
        </w:rPr>
      </w:pPr>
      <w:r w:rsidRPr="00AA5297">
        <w:rPr>
          <w:rStyle w:val="Znakapoznpodarou"/>
        </w:rPr>
        <w:footnoteRef/>
      </w:r>
      <w:r w:rsidRPr="00AA5297">
        <w:rPr>
          <w:sz w:val="20"/>
          <w:szCs w:val="20"/>
        </w:rPr>
        <w:t xml:space="preserve"> Tamtéž. </w:t>
      </w:r>
    </w:p>
  </w:footnote>
  <w:footnote w:id="69">
    <w:p w14:paraId="140C21BF" w14:textId="463A03A3" w:rsidR="00CF76F1" w:rsidRPr="00512D4B" w:rsidRDefault="00CF76F1" w:rsidP="00894020">
      <w:pPr>
        <w:pStyle w:val="Textpoznpodarou"/>
        <w:jc w:val="both"/>
        <w:rPr>
          <w:sz w:val="20"/>
        </w:rPr>
      </w:pPr>
      <w:r>
        <w:rPr>
          <w:rStyle w:val="Znakapoznpodarou"/>
        </w:rPr>
        <w:footnoteRef/>
      </w:r>
      <w:r>
        <w:t xml:space="preserve"> </w:t>
      </w:r>
      <w:r>
        <w:rPr>
          <w:sz w:val="20"/>
        </w:rPr>
        <w:t xml:space="preserve">D 22. 6. 9. pr. </w:t>
      </w:r>
      <w:r w:rsidRPr="00D366D1">
        <w:rPr>
          <w:sz w:val="20"/>
        </w:rPr>
        <w:t>Obecným pravidlem bylo, že právní omyl škodí každému, kdežto omyl skutkový nikoliv.</w:t>
      </w:r>
    </w:p>
  </w:footnote>
  <w:footnote w:id="70">
    <w:p w14:paraId="05CDA3FD" w14:textId="3AAA52BE" w:rsidR="00CF76F1" w:rsidRDefault="00CF76F1" w:rsidP="00894020">
      <w:pPr>
        <w:pStyle w:val="Textpoznpodarou"/>
        <w:jc w:val="both"/>
      </w:pPr>
      <w:r w:rsidRPr="00E2437C">
        <w:rPr>
          <w:rStyle w:val="Znakapoznpodarou"/>
          <w:sz w:val="20"/>
          <w:szCs w:val="20"/>
        </w:rPr>
        <w:footnoteRef/>
      </w:r>
      <w:r w:rsidRPr="00E2437C">
        <w:rPr>
          <w:sz w:val="20"/>
          <w:szCs w:val="20"/>
        </w:rPr>
        <w:t xml:space="preserve"> </w:t>
      </w:r>
      <w:r>
        <w:rPr>
          <w:sz w:val="20"/>
          <w:szCs w:val="20"/>
        </w:rPr>
        <w:t xml:space="preserve"> D 22. 6. 6. Ulpianus</w:t>
      </w:r>
    </w:p>
  </w:footnote>
  <w:footnote w:id="71">
    <w:p w14:paraId="07CC20C9" w14:textId="4C4439E8" w:rsidR="00CF76F1" w:rsidRDefault="00CF76F1" w:rsidP="00894020">
      <w:pPr>
        <w:pStyle w:val="Textpoznpodarou"/>
        <w:jc w:val="both"/>
      </w:pPr>
      <w:r>
        <w:rPr>
          <w:rStyle w:val="Znakapoznpodarou"/>
        </w:rPr>
        <w:footnoteRef/>
      </w:r>
      <w:r>
        <w:t xml:space="preserve"> </w:t>
      </w:r>
      <w:r>
        <w:rPr>
          <w:sz w:val="20"/>
          <w:szCs w:val="20"/>
        </w:rPr>
        <w:t>D 22. 6. 9. 2</w:t>
      </w:r>
      <w:r w:rsidRPr="00915A7B">
        <w:rPr>
          <w:sz w:val="20"/>
          <w:szCs w:val="20"/>
        </w:rPr>
        <w:t xml:space="preserve"> </w:t>
      </w:r>
      <w:r>
        <w:rPr>
          <w:sz w:val="20"/>
          <w:szCs w:val="20"/>
        </w:rPr>
        <w:t>Paulus</w:t>
      </w:r>
    </w:p>
  </w:footnote>
  <w:footnote w:id="72">
    <w:p w14:paraId="25B700C4" w14:textId="33350449" w:rsidR="00CF76F1" w:rsidRPr="00E2437C" w:rsidRDefault="00CF76F1" w:rsidP="00894020">
      <w:pPr>
        <w:jc w:val="both"/>
        <w:rPr>
          <w:rFonts w:eastAsia="Times New Roman" w:cs="Times New Roman"/>
          <w:sz w:val="20"/>
          <w:szCs w:val="20"/>
          <w:lang w:eastAsia="cs-CZ"/>
        </w:rPr>
      </w:pPr>
      <w:r w:rsidRPr="00630FAB">
        <w:rPr>
          <w:rStyle w:val="Znakapoznpodarou"/>
          <w:sz w:val="20"/>
          <w:szCs w:val="20"/>
        </w:rPr>
        <w:footnoteRef/>
      </w:r>
      <w:r w:rsidRPr="00630FAB">
        <w:rPr>
          <w:sz w:val="20"/>
          <w:szCs w:val="20"/>
        </w:rPr>
        <w:t xml:space="preserve"> </w:t>
      </w:r>
      <w:r>
        <w:rPr>
          <w:sz w:val="20"/>
          <w:szCs w:val="20"/>
        </w:rPr>
        <w:t xml:space="preserve"> </w:t>
      </w:r>
      <w:r w:rsidRPr="00630FAB">
        <w:rPr>
          <w:sz w:val="20"/>
          <w:szCs w:val="20"/>
        </w:rPr>
        <w:t>D 22.</w:t>
      </w:r>
      <w:r>
        <w:rPr>
          <w:sz w:val="20"/>
          <w:szCs w:val="20"/>
        </w:rPr>
        <w:t xml:space="preserve"> </w:t>
      </w:r>
      <w:r w:rsidRPr="00630FAB">
        <w:rPr>
          <w:sz w:val="20"/>
          <w:szCs w:val="20"/>
        </w:rPr>
        <w:t>6.</w:t>
      </w:r>
      <w:r>
        <w:rPr>
          <w:sz w:val="20"/>
          <w:szCs w:val="20"/>
        </w:rPr>
        <w:t xml:space="preserve"> </w:t>
      </w:r>
      <w:r w:rsidRPr="00630FAB">
        <w:rPr>
          <w:sz w:val="20"/>
          <w:szCs w:val="20"/>
        </w:rPr>
        <w:t>9.</w:t>
      </w:r>
      <w:r>
        <w:rPr>
          <w:sz w:val="20"/>
          <w:szCs w:val="20"/>
        </w:rPr>
        <w:t xml:space="preserve"> </w:t>
      </w:r>
      <w:r w:rsidRPr="00630FAB">
        <w:rPr>
          <w:sz w:val="20"/>
          <w:szCs w:val="20"/>
        </w:rPr>
        <w:t>3</w:t>
      </w:r>
      <w:r>
        <w:rPr>
          <w:sz w:val="20"/>
          <w:szCs w:val="20"/>
        </w:rPr>
        <w:t>.</w:t>
      </w:r>
      <w:r w:rsidRPr="00630FAB">
        <w:rPr>
          <w:sz w:val="20"/>
          <w:szCs w:val="20"/>
        </w:rPr>
        <w:t xml:space="preserve"> </w:t>
      </w:r>
    </w:p>
  </w:footnote>
  <w:footnote w:id="73">
    <w:p w14:paraId="694DFA9F" w14:textId="130FEC7B" w:rsidR="00CF76F1" w:rsidRPr="00EE5F11" w:rsidRDefault="00CF76F1">
      <w:pPr>
        <w:pStyle w:val="Textpoznpodarou"/>
        <w:rPr>
          <w:i/>
          <w:sz w:val="20"/>
          <w:szCs w:val="20"/>
        </w:rPr>
      </w:pPr>
      <w:r>
        <w:rPr>
          <w:rStyle w:val="Znakapoznpodarou"/>
        </w:rPr>
        <w:footnoteRef/>
      </w:r>
      <w:r>
        <w:t xml:space="preserve"> </w:t>
      </w:r>
      <w:r>
        <w:rPr>
          <w:sz w:val="20"/>
          <w:szCs w:val="20"/>
        </w:rPr>
        <w:t xml:space="preserve">STADDEN, Corry Montague. </w:t>
      </w:r>
      <w:r>
        <w:rPr>
          <w:i/>
          <w:sz w:val="20"/>
          <w:szCs w:val="20"/>
        </w:rPr>
        <w:t>Error of law.</w:t>
      </w:r>
      <w:r w:rsidRPr="00EE5F11">
        <w:rPr>
          <w:sz w:val="20"/>
          <w:szCs w:val="20"/>
        </w:rPr>
        <w:t xml:space="preserve"> </w:t>
      </w:r>
      <w:r w:rsidRPr="004436F1">
        <w:rPr>
          <w:sz w:val="20"/>
          <w:szCs w:val="20"/>
        </w:rPr>
        <w:t>[online].</w:t>
      </w:r>
      <w:r>
        <w:rPr>
          <w:sz w:val="20"/>
          <w:szCs w:val="20"/>
        </w:rPr>
        <w:t xml:space="preserve"> Columbia Law Review, vol. 7., No. 7., November 1907. </w:t>
      </w:r>
      <w:r>
        <w:rPr>
          <w:sz w:val="20"/>
        </w:rPr>
        <w:t>[cit. 5. června 2018]. Dostupné na: &lt;</w:t>
      </w:r>
      <w:hyperlink r:id="rId4" w:anchor="page_scan_tab_contents" w:history="1">
        <w:r w:rsidRPr="001D5056">
          <w:rPr>
            <w:rStyle w:val="Hypertextovodkaz"/>
            <w:sz w:val="20"/>
          </w:rPr>
          <w:t>https://www.jstor.org/stable/1109252?Search=yes&amp;resultItemClick=true&amp;searchText=corry&amp;searchText=montague&amp;searchUri=%2Faction%2FdoBasicSearch%3FQuery%3Dcorry%2Bmontague%26amp%3Bfilter%3D&amp;refreqid=search%3Ab4bae6ec2f4fa33fb96c055cd1d89baa&amp;seq=2#page_scan_tab_contents</w:t>
        </w:r>
      </w:hyperlink>
      <w:r>
        <w:rPr>
          <w:sz w:val="20"/>
        </w:rPr>
        <w:t xml:space="preserve">&gt; </w:t>
      </w:r>
    </w:p>
  </w:footnote>
  <w:footnote w:id="74">
    <w:p w14:paraId="71F25D2E" w14:textId="77777777" w:rsidR="00CF76F1" w:rsidRPr="00AA45B9" w:rsidRDefault="00CF76F1" w:rsidP="000D6FB9">
      <w:pPr>
        <w:pStyle w:val="Textpoznpodarou"/>
        <w:jc w:val="both"/>
        <w:rPr>
          <w:sz w:val="20"/>
          <w:szCs w:val="20"/>
        </w:rPr>
      </w:pPr>
      <w:r>
        <w:rPr>
          <w:rStyle w:val="Znakapoznpodarou"/>
        </w:rPr>
        <w:footnoteRef/>
      </w:r>
      <w:r>
        <w:t xml:space="preserve"> </w:t>
      </w:r>
      <w:r>
        <w:rPr>
          <w:sz w:val="20"/>
          <w:szCs w:val="20"/>
        </w:rPr>
        <w:t xml:space="preserve">D 22. 6. 2., český překlad převzat z: BUBELOVÁ, Kamila, DOSTALÍK, Petr. </w:t>
      </w:r>
      <w:r>
        <w:rPr>
          <w:i/>
          <w:sz w:val="20"/>
          <w:szCs w:val="20"/>
        </w:rPr>
        <w:t xml:space="preserve">Praktikum z římského práva. </w:t>
      </w:r>
      <w:r>
        <w:rPr>
          <w:sz w:val="20"/>
          <w:szCs w:val="20"/>
        </w:rPr>
        <w:t xml:space="preserve">2. rozšířené vydání. Praha: Leges 2013, s. 25. </w:t>
      </w:r>
    </w:p>
  </w:footnote>
  <w:footnote w:id="75">
    <w:p w14:paraId="78C7ED16" w14:textId="77777777" w:rsidR="00CF76F1" w:rsidRPr="0091345A" w:rsidRDefault="00CF76F1" w:rsidP="00894020">
      <w:pPr>
        <w:pStyle w:val="Textpoznpodarou"/>
        <w:jc w:val="both"/>
        <w:rPr>
          <w:sz w:val="20"/>
          <w:szCs w:val="20"/>
        </w:rPr>
      </w:pPr>
      <w:r>
        <w:rPr>
          <w:rStyle w:val="Znakapoznpodarou"/>
        </w:rPr>
        <w:footnoteRef/>
      </w:r>
      <w:r>
        <w:t xml:space="preserve"> </w:t>
      </w:r>
      <w:r>
        <w:rPr>
          <w:sz w:val="20"/>
          <w:szCs w:val="20"/>
        </w:rPr>
        <w:t>D 22. 6. 3. pr.</w:t>
      </w:r>
    </w:p>
  </w:footnote>
  <w:footnote w:id="76">
    <w:p w14:paraId="28DF56A9" w14:textId="77777777" w:rsidR="00CF76F1" w:rsidRPr="0091345A" w:rsidRDefault="00CF76F1" w:rsidP="00894020">
      <w:pPr>
        <w:pStyle w:val="Textpoznpodarou"/>
        <w:jc w:val="both"/>
        <w:rPr>
          <w:sz w:val="20"/>
          <w:szCs w:val="20"/>
        </w:rPr>
      </w:pPr>
      <w:r>
        <w:rPr>
          <w:rStyle w:val="Znakapoznpodarou"/>
        </w:rPr>
        <w:footnoteRef/>
      </w:r>
      <w:r>
        <w:t xml:space="preserve"> </w:t>
      </w:r>
      <w:r>
        <w:rPr>
          <w:sz w:val="20"/>
          <w:szCs w:val="20"/>
        </w:rPr>
        <w:t>D 22. 6. 3. 1. Pomponius</w:t>
      </w:r>
    </w:p>
  </w:footnote>
  <w:footnote w:id="77">
    <w:p w14:paraId="26DD0BF5" w14:textId="1393C00C" w:rsidR="00CF76F1" w:rsidRPr="00BA3D2E" w:rsidRDefault="00CF76F1">
      <w:pPr>
        <w:pStyle w:val="Textpoznpodarou"/>
        <w:rPr>
          <w:sz w:val="20"/>
          <w:szCs w:val="20"/>
        </w:rPr>
      </w:pPr>
      <w:r>
        <w:rPr>
          <w:rStyle w:val="Znakapoznpodarou"/>
        </w:rPr>
        <w:footnoteRef/>
      </w:r>
      <w:r>
        <w:t xml:space="preserve"> </w:t>
      </w:r>
      <w:r>
        <w:rPr>
          <w:sz w:val="20"/>
          <w:szCs w:val="20"/>
        </w:rPr>
        <w:t xml:space="preserve">D 38. 15. 2. 5. Ulpianus </w:t>
      </w:r>
    </w:p>
  </w:footnote>
  <w:footnote w:id="78">
    <w:p w14:paraId="5FEADD44" w14:textId="738DA3E9" w:rsidR="00CF76F1" w:rsidRPr="00DB7564" w:rsidRDefault="00CF76F1" w:rsidP="0091345A">
      <w:pPr>
        <w:pStyle w:val="Textpoznpodarou"/>
        <w:jc w:val="both"/>
        <w:rPr>
          <w:sz w:val="20"/>
          <w:szCs w:val="20"/>
        </w:rPr>
      </w:pPr>
      <w:r>
        <w:rPr>
          <w:rStyle w:val="Znakapoznpodarou"/>
        </w:rPr>
        <w:footnoteRef/>
      </w:r>
      <w:r>
        <w:t xml:space="preserve"> </w:t>
      </w:r>
      <w:r>
        <w:rPr>
          <w:sz w:val="20"/>
          <w:szCs w:val="20"/>
        </w:rPr>
        <w:t>D 41. 4. 2. 15.</w:t>
      </w:r>
    </w:p>
  </w:footnote>
  <w:footnote w:id="79">
    <w:p w14:paraId="74FBB2FF" w14:textId="5F5AE455" w:rsidR="00CF76F1" w:rsidRPr="00C417B8" w:rsidRDefault="00CF76F1" w:rsidP="0091345A">
      <w:pPr>
        <w:jc w:val="both"/>
        <w:rPr>
          <w:rFonts w:eastAsia="Times New Roman" w:cs="Times New Roman"/>
          <w:i/>
          <w:lang w:eastAsia="cs-CZ"/>
        </w:rPr>
      </w:pPr>
      <w:r>
        <w:rPr>
          <w:rStyle w:val="Znakapoznpodarou"/>
        </w:rPr>
        <w:footnoteRef/>
      </w:r>
      <w:r>
        <w:t xml:space="preserve"> </w:t>
      </w:r>
      <w:r>
        <w:rPr>
          <w:sz w:val="20"/>
          <w:szCs w:val="20"/>
        </w:rPr>
        <w:t>D 22. 6. 4. Sabinus</w:t>
      </w:r>
    </w:p>
  </w:footnote>
  <w:footnote w:id="80">
    <w:p w14:paraId="650CA28D" w14:textId="43C7C49B" w:rsidR="00CF76F1" w:rsidRPr="00782D83" w:rsidRDefault="00CF76F1" w:rsidP="0091345A">
      <w:pPr>
        <w:pStyle w:val="Textpoznpodarou"/>
        <w:jc w:val="both"/>
        <w:rPr>
          <w:sz w:val="20"/>
          <w:szCs w:val="20"/>
        </w:rPr>
      </w:pPr>
      <w:r>
        <w:rPr>
          <w:rStyle w:val="Znakapoznpodarou"/>
        </w:rPr>
        <w:footnoteRef/>
      </w:r>
      <w:r>
        <w:t xml:space="preserve"> </w:t>
      </w:r>
      <w:r>
        <w:rPr>
          <w:sz w:val="20"/>
          <w:szCs w:val="20"/>
        </w:rPr>
        <w:t>D 22. 6. 7. Papinianus</w:t>
      </w:r>
    </w:p>
  </w:footnote>
  <w:footnote w:id="81">
    <w:p w14:paraId="2A75E605" w14:textId="72C52FFA" w:rsidR="00CF76F1" w:rsidRPr="00481692" w:rsidRDefault="00CF76F1" w:rsidP="009A6FD4">
      <w:pPr>
        <w:pStyle w:val="Textpoznpodarou"/>
        <w:jc w:val="both"/>
        <w:rPr>
          <w:sz w:val="20"/>
          <w:szCs w:val="20"/>
        </w:rPr>
      </w:pPr>
      <w:r>
        <w:rPr>
          <w:rStyle w:val="Znakapoznpodarou"/>
        </w:rPr>
        <w:footnoteRef/>
      </w:r>
      <w:r>
        <w:t xml:space="preserve"> </w:t>
      </w:r>
      <w:r>
        <w:rPr>
          <w:sz w:val="20"/>
          <w:szCs w:val="20"/>
        </w:rPr>
        <w:t xml:space="preserve">Delikt je bezprávný čin (každý úkon neoprávněného poškození jiného), nepovolené ublížení jednotlivci, jeho rodině nebo majetku. Obsahuje dva elementy, a to: porušení práva a bezprávnou vůli, vinu (dolus/culpa). Gaiovy a Justiánovy Instituce uvádějí čtyři delikty civilního práva: iniuria (urážka na cti), furtum (krádež), damnum iniuria datum (bezprávné poškození cizího majetku), rapina (loupež). Delikt má soukromoprávní povahu, na rozdíl od crimen, což znamená, že pachatele stíhá sám poškozený (actiones ex delicto). Crimen je zločin proti státnímu a společenskému zřízení, je stíhán veřejnou žalobou (acusatio). V dnešním pojetí deliktní právo slouží k úpravě mimosmluvní odpovědnosti za škodu a lze ho chápat ve dvojím smyslu. V užším smyslu jde o nedovolené jednání a odpovědnost za něj – toto má kořeny v římském právu, v širším smyslu se chápe jako pojem, jenž zahrnuje veškerou mimosmluvní odpovědnost (odpovědnost za škodu vzniklou zaviněným jednáním i jako důsledek člověkem nezaviněných událostí – např. § 2927 odst. 1 NOZ „škoda vyvolaná zvláštní povahou provozu“). BARTOŠEK, s. 89, s. 58. </w:t>
      </w:r>
      <w:r w:rsidRPr="00CF5051">
        <w:rPr>
          <w:sz w:val="20"/>
          <w:szCs w:val="20"/>
        </w:rPr>
        <w:t xml:space="preserve">BONFANTE, Pietro. </w:t>
      </w:r>
      <w:r w:rsidRPr="00CF5051">
        <w:rPr>
          <w:i/>
          <w:sz w:val="20"/>
          <w:szCs w:val="20"/>
        </w:rPr>
        <w:t>Instituce římského práva.</w:t>
      </w:r>
      <w:r>
        <w:rPr>
          <w:sz w:val="20"/>
          <w:szCs w:val="20"/>
        </w:rPr>
        <w:t xml:space="preserve"> Přeložil J. Vážný.</w:t>
      </w:r>
      <w:r w:rsidRPr="00CF5051">
        <w:rPr>
          <w:sz w:val="20"/>
          <w:szCs w:val="20"/>
        </w:rPr>
        <w:t xml:space="preserve"> 9. vydání.</w:t>
      </w:r>
      <w:r>
        <w:rPr>
          <w:sz w:val="20"/>
          <w:szCs w:val="20"/>
        </w:rPr>
        <w:t xml:space="preserve"> Brno, 1932, s. 104, 556-557. TICHÝ, Luboš, HRÁDEK, Jiří. </w:t>
      </w:r>
      <w:r>
        <w:rPr>
          <w:i/>
          <w:sz w:val="20"/>
          <w:szCs w:val="20"/>
        </w:rPr>
        <w:t>Deliktní právo.</w:t>
      </w:r>
      <w:r>
        <w:rPr>
          <w:sz w:val="20"/>
          <w:szCs w:val="20"/>
        </w:rPr>
        <w:t xml:space="preserve"> 1. vydání. Praha: C. H. Beck, 2017, s. 3.  </w:t>
      </w:r>
    </w:p>
  </w:footnote>
  <w:footnote w:id="82">
    <w:p w14:paraId="2AAACD7F" w14:textId="77777777" w:rsidR="00CF76F1" w:rsidRPr="00915A7B" w:rsidRDefault="00CF76F1" w:rsidP="00A25701">
      <w:pPr>
        <w:jc w:val="both"/>
        <w:rPr>
          <w:rFonts w:eastAsia="Times New Roman" w:cs="Times New Roman"/>
          <w:i/>
          <w:sz w:val="20"/>
          <w:szCs w:val="20"/>
          <w:lang w:eastAsia="cs-CZ"/>
        </w:rPr>
      </w:pPr>
      <w:r>
        <w:rPr>
          <w:rStyle w:val="Znakapoznpodarou"/>
        </w:rPr>
        <w:footnoteRef/>
      </w:r>
      <w:r>
        <w:t xml:space="preserve"> </w:t>
      </w:r>
      <w:r>
        <w:rPr>
          <w:sz w:val="20"/>
          <w:szCs w:val="20"/>
        </w:rPr>
        <w:t>D 22. 6. 9.</w:t>
      </w:r>
      <w:r w:rsidRPr="005910F1">
        <w:rPr>
          <w:sz w:val="20"/>
          <w:szCs w:val="20"/>
        </w:rPr>
        <w:t xml:space="preserve"> pr.</w:t>
      </w:r>
    </w:p>
  </w:footnote>
  <w:footnote w:id="83">
    <w:p w14:paraId="799B7AF5" w14:textId="39FB51A5" w:rsidR="00CF76F1" w:rsidRPr="002B5CD8" w:rsidRDefault="00CF76F1">
      <w:pPr>
        <w:pStyle w:val="Textpoznpodarou"/>
        <w:rPr>
          <w:sz w:val="20"/>
          <w:szCs w:val="20"/>
        </w:rPr>
      </w:pPr>
      <w:r>
        <w:rPr>
          <w:rStyle w:val="Znakapoznpodarou"/>
        </w:rPr>
        <w:footnoteRef/>
      </w:r>
      <w:r>
        <w:t xml:space="preserve"> </w:t>
      </w:r>
      <w:r>
        <w:rPr>
          <w:sz w:val="20"/>
          <w:szCs w:val="20"/>
        </w:rPr>
        <w:t xml:space="preserve">C 6. 30. 22. </w:t>
      </w:r>
    </w:p>
  </w:footnote>
  <w:footnote w:id="84">
    <w:p w14:paraId="65457928" w14:textId="11CE82C2" w:rsidR="00CF76F1" w:rsidRPr="006D4FDE" w:rsidRDefault="00CF76F1">
      <w:pPr>
        <w:pStyle w:val="Textpoznpodarou"/>
        <w:rPr>
          <w:sz w:val="20"/>
          <w:szCs w:val="20"/>
        </w:rPr>
      </w:pPr>
      <w:r w:rsidRPr="006D4FDE">
        <w:rPr>
          <w:rStyle w:val="Znakapoznpodarou"/>
          <w:sz w:val="20"/>
          <w:szCs w:val="20"/>
        </w:rPr>
        <w:footnoteRef/>
      </w:r>
      <w:r w:rsidRPr="006D4FDE">
        <w:rPr>
          <w:sz w:val="20"/>
          <w:szCs w:val="20"/>
        </w:rPr>
        <w:t xml:space="preserve"> </w:t>
      </w:r>
      <w:r w:rsidRPr="006D4FDE">
        <w:rPr>
          <w:rFonts w:eastAsia="Times New Roman" w:cs="Times New Roman"/>
          <w:bCs/>
          <w:color w:val="000000"/>
          <w:sz w:val="20"/>
          <w:szCs w:val="20"/>
          <w:lang w:eastAsia="cs-CZ"/>
        </w:rPr>
        <w:t>D 49. 14. 2. 7. Callistranus</w:t>
      </w:r>
      <w:r>
        <w:rPr>
          <w:rFonts w:eastAsia="Times New Roman" w:cs="Times New Roman"/>
          <w:bCs/>
          <w:color w:val="000000"/>
          <w:sz w:val="20"/>
          <w:szCs w:val="20"/>
          <w:lang w:eastAsia="cs-CZ"/>
        </w:rPr>
        <w:t>.</w:t>
      </w:r>
    </w:p>
  </w:footnote>
  <w:footnote w:id="85">
    <w:p w14:paraId="47F2F30C" w14:textId="2946FF42" w:rsidR="00CF76F1" w:rsidRDefault="00CF76F1" w:rsidP="0088464A">
      <w:pPr>
        <w:pStyle w:val="Textpoznpodarou"/>
        <w:jc w:val="both"/>
      </w:pPr>
      <w:r>
        <w:rPr>
          <w:rStyle w:val="Znakapoznpodarou"/>
        </w:rPr>
        <w:footnoteRef/>
      </w:r>
      <w:r>
        <w:t xml:space="preserve"> </w:t>
      </w:r>
      <w:r>
        <w:rPr>
          <w:sz w:val="20"/>
          <w:szCs w:val="20"/>
        </w:rPr>
        <w:t xml:space="preserve">D </w:t>
      </w:r>
      <w:r w:rsidRPr="00FE5BC4">
        <w:rPr>
          <w:sz w:val="20"/>
          <w:szCs w:val="20"/>
        </w:rPr>
        <w:t>23. 2. 68,</w:t>
      </w:r>
      <w:r>
        <w:rPr>
          <w:sz w:val="20"/>
          <w:szCs w:val="20"/>
        </w:rPr>
        <w:t xml:space="preserve"> český překlad převzat z: BUBELOVÁ, Kamila, DOSTALÍK, Petr. </w:t>
      </w:r>
      <w:r>
        <w:rPr>
          <w:i/>
          <w:sz w:val="20"/>
          <w:szCs w:val="20"/>
        </w:rPr>
        <w:t xml:space="preserve">Praktikum z římského práva. </w:t>
      </w:r>
      <w:r>
        <w:rPr>
          <w:sz w:val="20"/>
          <w:szCs w:val="20"/>
        </w:rPr>
        <w:t>2. rozšířené vydání. Praha: Leges 2013, s. 40.</w:t>
      </w:r>
    </w:p>
  </w:footnote>
  <w:footnote w:id="86">
    <w:p w14:paraId="4DFF31E7" w14:textId="05D60911" w:rsidR="00CF76F1" w:rsidRPr="00FE0979" w:rsidRDefault="00CF76F1">
      <w:pPr>
        <w:pStyle w:val="Textpoznpodarou"/>
        <w:rPr>
          <w:sz w:val="20"/>
          <w:szCs w:val="20"/>
        </w:rPr>
      </w:pPr>
      <w:r>
        <w:rPr>
          <w:rStyle w:val="Znakapoznpodarou"/>
        </w:rPr>
        <w:footnoteRef/>
      </w:r>
      <w:r>
        <w:t xml:space="preserve"> </w:t>
      </w:r>
      <w:r>
        <w:rPr>
          <w:sz w:val="20"/>
          <w:szCs w:val="20"/>
        </w:rPr>
        <w:t xml:space="preserve">Omyl právní škodí. </w:t>
      </w:r>
    </w:p>
  </w:footnote>
  <w:footnote w:id="87">
    <w:p w14:paraId="203AC464" w14:textId="7F26913C" w:rsidR="00CF76F1" w:rsidRPr="00DF3E88" w:rsidRDefault="00CF76F1">
      <w:pPr>
        <w:pStyle w:val="Textpoznpodarou"/>
        <w:rPr>
          <w:sz w:val="20"/>
          <w:szCs w:val="20"/>
        </w:rPr>
      </w:pPr>
      <w:r>
        <w:rPr>
          <w:rStyle w:val="Znakapoznpodarou"/>
        </w:rPr>
        <w:footnoteRef/>
      </w:r>
      <w:r>
        <w:t xml:space="preserve"> </w:t>
      </w:r>
      <w:r>
        <w:rPr>
          <w:sz w:val="20"/>
          <w:szCs w:val="20"/>
        </w:rPr>
        <w:t xml:space="preserve">Omyl skutkový neškodí. </w:t>
      </w:r>
    </w:p>
  </w:footnote>
  <w:footnote w:id="88">
    <w:p w14:paraId="6A159469" w14:textId="354C9DBC" w:rsidR="00CF76F1" w:rsidRPr="002A2650" w:rsidRDefault="00CF76F1" w:rsidP="00FF7CE6">
      <w:pPr>
        <w:pStyle w:val="Textpoznpodarou"/>
        <w:jc w:val="both"/>
        <w:rPr>
          <w:sz w:val="20"/>
        </w:rPr>
      </w:pPr>
      <w:r>
        <w:rPr>
          <w:rStyle w:val="Znakapoznpodarou"/>
        </w:rPr>
        <w:footnoteRef/>
      </w:r>
      <w:r>
        <w:t xml:space="preserve"> </w:t>
      </w:r>
      <w:r w:rsidRPr="00CF5051">
        <w:rPr>
          <w:sz w:val="20"/>
          <w:szCs w:val="20"/>
        </w:rPr>
        <w:t xml:space="preserve">BONFANTE, Pietro. </w:t>
      </w:r>
      <w:r w:rsidRPr="00CF5051">
        <w:rPr>
          <w:i/>
          <w:sz w:val="20"/>
          <w:szCs w:val="20"/>
        </w:rPr>
        <w:t>Instituce římského práva.</w:t>
      </w:r>
      <w:r w:rsidRPr="00CF5051">
        <w:rPr>
          <w:sz w:val="20"/>
          <w:szCs w:val="20"/>
        </w:rPr>
        <w:t xml:space="preserve"> </w:t>
      </w:r>
      <w:r>
        <w:rPr>
          <w:sz w:val="20"/>
          <w:szCs w:val="20"/>
        </w:rPr>
        <w:t xml:space="preserve">Přeložil J. Vážný. </w:t>
      </w:r>
      <w:r w:rsidRPr="00CF5051">
        <w:rPr>
          <w:sz w:val="20"/>
          <w:szCs w:val="20"/>
        </w:rPr>
        <w:t>9. vydání.</w:t>
      </w:r>
      <w:r>
        <w:rPr>
          <w:sz w:val="20"/>
          <w:szCs w:val="20"/>
        </w:rPr>
        <w:t xml:space="preserve"> Brno, 1932 ,s. 95. (dále jen BONFANTE)</w:t>
      </w:r>
    </w:p>
  </w:footnote>
  <w:footnote w:id="89">
    <w:p w14:paraId="12360F9D" w14:textId="3E5578C2" w:rsidR="00CF76F1" w:rsidRPr="00523BAE" w:rsidRDefault="00CF76F1">
      <w:pPr>
        <w:pStyle w:val="Textpoznpodarou"/>
        <w:rPr>
          <w:sz w:val="20"/>
          <w:szCs w:val="20"/>
        </w:rPr>
      </w:pPr>
      <w:r>
        <w:rPr>
          <w:rStyle w:val="Znakapoznpodarou"/>
        </w:rPr>
        <w:footnoteRef/>
      </w:r>
      <w:r>
        <w:t xml:space="preserve"> </w:t>
      </w:r>
      <w:r>
        <w:rPr>
          <w:sz w:val="20"/>
          <w:szCs w:val="20"/>
        </w:rPr>
        <w:t xml:space="preserve">Tamtéž. </w:t>
      </w:r>
    </w:p>
  </w:footnote>
  <w:footnote w:id="90">
    <w:p w14:paraId="0BBDA4BD" w14:textId="574C0C70" w:rsidR="00CF76F1" w:rsidRPr="00FF7CE6" w:rsidRDefault="00CF76F1" w:rsidP="00FD0577">
      <w:pPr>
        <w:pStyle w:val="Textpoznpodarou"/>
        <w:jc w:val="both"/>
        <w:rPr>
          <w:sz w:val="20"/>
          <w:szCs w:val="20"/>
        </w:rPr>
      </w:pPr>
      <w:r>
        <w:rPr>
          <w:rStyle w:val="Znakapoznpodarou"/>
        </w:rPr>
        <w:footnoteRef/>
      </w:r>
      <w:r>
        <w:t xml:space="preserve"> </w:t>
      </w:r>
      <w:r>
        <w:rPr>
          <w:i/>
          <w:sz w:val="20"/>
          <w:szCs w:val="20"/>
        </w:rPr>
        <w:t xml:space="preserve">Podobně i skladatelé rak. občanského zákona, podle něhož lze k omylu přihlížeti jen byl-li způsoben druhou stranou. </w:t>
      </w:r>
      <w:r>
        <w:rPr>
          <w:sz w:val="20"/>
          <w:szCs w:val="20"/>
        </w:rPr>
        <w:t xml:space="preserve">Tamtéž. </w:t>
      </w:r>
    </w:p>
  </w:footnote>
  <w:footnote w:id="91">
    <w:p w14:paraId="119F0631" w14:textId="1D9A97FD" w:rsidR="00CF76F1" w:rsidRPr="00FD0577" w:rsidRDefault="00CF76F1" w:rsidP="00FD0577">
      <w:pPr>
        <w:pStyle w:val="Textpoznpodarou"/>
        <w:jc w:val="both"/>
        <w:rPr>
          <w:i/>
          <w:sz w:val="20"/>
          <w:szCs w:val="20"/>
        </w:rPr>
      </w:pPr>
      <w:r>
        <w:rPr>
          <w:rStyle w:val="Znakapoznpodarou"/>
        </w:rPr>
        <w:footnoteRef/>
      </w:r>
      <w:r>
        <w:t xml:space="preserve"> </w:t>
      </w:r>
      <w:r>
        <w:rPr>
          <w:i/>
          <w:sz w:val="20"/>
          <w:szCs w:val="20"/>
        </w:rPr>
        <w:t xml:space="preserve">Není-li příčnou právních následků omyl, nýbrž teprve neshoda projevu s vůli omylem vyvolána, nezáleží na tom, je-li omyl omluvitelný čili nic. </w:t>
      </w:r>
      <w:r>
        <w:rPr>
          <w:sz w:val="20"/>
          <w:szCs w:val="20"/>
        </w:rPr>
        <w:t>Tamtéž.</w:t>
      </w:r>
    </w:p>
  </w:footnote>
  <w:footnote w:id="92">
    <w:p w14:paraId="6AB83EC6" w14:textId="084C43C7" w:rsidR="00CF76F1" w:rsidRPr="00FD0577" w:rsidRDefault="00CF76F1" w:rsidP="00FD0577">
      <w:pPr>
        <w:pStyle w:val="Textpoznpodarou"/>
        <w:jc w:val="both"/>
        <w:rPr>
          <w:i/>
          <w:sz w:val="20"/>
          <w:szCs w:val="20"/>
        </w:rPr>
      </w:pPr>
      <w:r>
        <w:rPr>
          <w:rStyle w:val="Znakapoznpodarou"/>
        </w:rPr>
        <w:footnoteRef/>
      </w:r>
      <w:r>
        <w:t xml:space="preserve"> </w:t>
      </w:r>
      <w:r>
        <w:rPr>
          <w:i/>
          <w:sz w:val="20"/>
          <w:szCs w:val="20"/>
        </w:rPr>
        <w:t xml:space="preserve">Toto stanovisko je snesitelné jen proto, že ten, kdo pro omyl nechce za svým projevem státi, musí druhé straně nahraditi t. zv. negativní interese smluvní, t. j. škodu, kterou ona utrpěla tím, že se spolehla na platnost smlouvy. Podobné stanovisko zaujal i něm. občanský zákoník. </w:t>
      </w:r>
      <w:r>
        <w:rPr>
          <w:sz w:val="20"/>
          <w:szCs w:val="20"/>
        </w:rPr>
        <w:t xml:space="preserve">Tamtéž. </w:t>
      </w:r>
      <w:r>
        <w:rPr>
          <w:i/>
          <w:sz w:val="20"/>
          <w:szCs w:val="20"/>
        </w:rPr>
        <w:t xml:space="preserve">  </w:t>
      </w:r>
    </w:p>
  </w:footnote>
  <w:footnote w:id="93">
    <w:p w14:paraId="488C627A" w14:textId="6BE96E5C" w:rsidR="00CF76F1" w:rsidRDefault="00CF76F1">
      <w:pPr>
        <w:pStyle w:val="Textpoznpodarou"/>
      </w:pPr>
      <w:r>
        <w:rPr>
          <w:rStyle w:val="Znakapoznpodarou"/>
        </w:rPr>
        <w:footnoteRef/>
      </w:r>
      <w:r>
        <w:t xml:space="preserve"> </w:t>
      </w:r>
      <w:r w:rsidRPr="00306FB9">
        <w:rPr>
          <w:sz w:val="20"/>
          <w:szCs w:val="20"/>
        </w:rPr>
        <w:t>SOMMER</w:t>
      </w:r>
      <w:r>
        <w:rPr>
          <w:sz w:val="20"/>
          <w:szCs w:val="20"/>
        </w:rPr>
        <w:t xml:space="preserve">, s. 84. </w:t>
      </w:r>
    </w:p>
  </w:footnote>
  <w:footnote w:id="94">
    <w:p w14:paraId="377C8EF7" w14:textId="274A7EB2" w:rsidR="00CF76F1" w:rsidRPr="008C371A" w:rsidRDefault="00CF76F1" w:rsidP="00BF1AA8">
      <w:pPr>
        <w:pStyle w:val="Textpoznpodarou"/>
        <w:jc w:val="both"/>
        <w:rPr>
          <w:sz w:val="20"/>
        </w:rPr>
      </w:pPr>
      <w:r>
        <w:rPr>
          <w:rStyle w:val="Znakapoznpodarou"/>
        </w:rPr>
        <w:footnoteRef/>
      </w:r>
      <w:r>
        <w:t xml:space="preserve"> </w:t>
      </w:r>
      <w:r>
        <w:rPr>
          <w:sz w:val="20"/>
          <w:szCs w:val="20"/>
        </w:rPr>
        <w:t>D 12. 1. 32. pr.</w:t>
      </w:r>
    </w:p>
  </w:footnote>
  <w:footnote w:id="95">
    <w:p w14:paraId="11A20AC9" w14:textId="6FEB301A" w:rsidR="00CF76F1" w:rsidRPr="00B25191" w:rsidRDefault="00CF76F1" w:rsidP="00B25191">
      <w:pPr>
        <w:pStyle w:val="Textpoznpodarou"/>
        <w:jc w:val="both"/>
        <w:rPr>
          <w:sz w:val="20"/>
          <w:szCs w:val="20"/>
        </w:rPr>
      </w:pPr>
      <w:r>
        <w:rPr>
          <w:rStyle w:val="Znakapoznpodarou"/>
        </w:rPr>
        <w:footnoteRef/>
      </w:r>
      <w:r>
        <w:t xml:space="preserve"> </w:t>
      </w:r>
      <w:r>
        <w:rPr>
          <w:sz w:val="20"/>
          <w:szCs w:val="20"/>
        </w:rPr>
        <w:t xml:space="preserve">D 12. 1. 15. </w:t>
      </w:r>
    </w:p>
  </w:footnote>
  <w:footnote w:id="96">
    <w:p w14:paraId="6608A4C4" w14:textId="5AF5C717" w:rsidR="00CF76F1" w:rsidRPr="004C1382" w:rsidRDefault="00CF76F1" w:rsidP="004C1382">
      <w:pPr>
        <w:pStyle w:val="Textpoznpodarou"/>
        <w:jc w:val="both"/>
        <w:rPr>
          <w:sz w:val="20"/>
          <w:szCs w:val="20"/>
        </w:rPr>
      </w:pPr>
      <w:r>
        <w:rPr>
          <w:rStyle w:val="Znakapoznpodarou"/>
        </w:rPr>
        <w:footnoteRef/>
      </w:r>
      <w:r>
        <w:t xml:space="preserve"> </w:t>
      </w:r>
      <w:r>
        <w:rPr>
          <w:sz w:val="20"/>
          <w:szCs w:val="20"/>
        </w:rPr>
        <w:t>D 28. 5. 9. pr.</w:t>
      </w:r>
    </w:p>
  </w:footnote>
  <w:footnote w:id="97">
    <w:p w14:paraId="3998BC35" w14:textId="77777777" w:rsidR="00CF76F1" w:rsidRDefault="00CF76F1" w:rsidP="006B1496">
      <w:pPr>
        <w:pStyle w:val="Textpoznpodarou"/>
      </w:pPr>
      <w:r>
        <w:rPr>
          <w:rStyle w:val="Znakapoznpodarou"/>
        </w:rPr>
        <w:footnoteRef/>
      </w:r>
      <w:r>
        <w:t xml:space="preserve"> </w:t>
      </w:r>
      <w:r w:rsidRPr="00B20040">
        <w:rPr>
          <w:sz w:val="20"/>
          <w:szCs w:val="20"/>
        </w:rPr>
        <w:t>D 34. 5. 3.</w:t>
      </w:r>
    </w:p>
  </w:footnote>
  <w:footnote w:id="98">
    <w:p w14:paraId="3A50C075" w14:textId="368A840A" w:rsidR="00CF76F1" w:rsidRDefault="00CF76F1">
      <w:pPr>
        <w:pStyle w:val="Textpoznpodarou"/>
      </w:pPr>
      <w:r>
        <w:rPr>
          <w:rStyle w:val="Znakapoznpodarou"/>
        </w:rPr>
        <w:footnoteRef/>
      </w:r>
      <w:r>
        <w:t xml:space="preserve"> </w:t>
      </w:r>
      <w:r>
        <w:rPr>
          <w:sz w:val="20"/>
          <w:szCs w:val="20"/>
        </w:rPr>
        <w:t>S</w:t>
      </w:r>
      <w:r w:rsidRPr="00BE4CBA">
        <w:rPr>
          <w:sz w:val="20"/>
          <w:szCs w:val="20"/>
        </w:rPr>
        <w:t>rov. pozn. pod čarou 34.</w:t>
      </w:r>
    </w:p>
  </w:footnote>
  <w:footnote w:id="99">
    <w:p w14:paraId="6B0BC3CC" w14:textId="7AF84454" w:rsidR="00CF76F1" w:rsidRDefault="00CF76F1">
      <w:pPr>
        <w:pStyle w:val="Textpoznpodarou"/>
      </w:pPr>
      <w:r>
        <w:rPr>
          <w:rStyle w:val="Znakapoznpodarou"/>
        </w:rPr>
        <w:footnoteRef/>
      </w:r>
      <w:r>
        <w:t xml:space="preserve"> </w:t>
      </w:r>
      <w:r w:rsidRPr="00CF5051">
        <w:rPr>
          <w:sz w:val="20"/>
          <w:szCs w:val="20"/>
        </w:rPr>
        <w:t xml:space="preserve">BONFANTE, </w:t>
      </w:r>
      <w:r>
        <w:rPr>
          <w:sz w:val="20"/>
          <w:szCs w:val="20"/>
        </w:rPr>
        <w:t xml:space="preserve">s. 96. </w:t>
      </w:r>
    </w:p>
  </w:footnote>
  <w:footnote w:id="100">
    <w:p w14:paraId="1A39BC84" w14:textId="6D1F7933" w:rsidR="00CF76F1" w:rsidRPr="00127348" w:rsidRDefault="00CF76F1">
      <w:pPr>
        <w:pStyle w:val="Textpoznpodarou"/>
        <w:rPr>
          <w:sz w:val="20"/>
          <w:szCs w:val="20"/>
        </w:rPr>
      </w:pPr>
      <w:r>
        <w:rPr>
          <w:rStyle w:val="Znakapoznpodarou"/>
        </w:rPr>
        <w:footnoteRef/>
      </w:r>
      <w:r>
        <w:t xml:space="preserve"> </w:t>
      </w:r>
      <w:r>
        <w:rPr>
          <w:sz w:val="20"/>
          <w:szCs w:val="20"/>
        </w:rPr>
        <w:t xml:space="preserve">D 39. 3. 20. Pomponius. Kdo jedná v omylu, nedává souhlas. </w:t>
      </w:r>
    </w:p>
  </w:footnote>
  <w:footnote w:id="101">
    <w:p w14:paraId="5FDC14A2" w14:textId="18FFD942" w:rsidR="00CF76F1" w:rsidRDefault="00CF76F1">
      <w:pPr>
        <w:pStyle w:val="Textpoznpodarou"/>
      </w:pPr>
      <w:r>
        <w:rPr>
          <w:rStyle w:val="Znakapoznpodarou"/>
        </w:rPr>
        <w:footnoteRef/>
      </w:r>
      <w:r>
        <w:t xml:space="preserve"> </w:t>
      </w:r>
      <w:r w:rsidRPr="00306FB9">
        <w:rPr>
          <w:sz w:val="20"/>
          <w:szCs w:val="20"/>
        </w:rPr>
        <w:t>SOMMER</w:t>
      </w:r>
      <w:r>
        <w:rPr>
          <w:sz w:val="20"/>
          <w:szCs w:val="20"/>
        </w:rPr>
        <w:t>, s. 84</w:t>
      </w:r>
    </w:p>
  </w:footnote>
  <w:footnote w:id="102">
    <w:p w14:paraId="3068A8B8" w14:textId="5424A7DF" w:rsidR="00CF76F1" w:rsidRPr="00DC7E3C" w:rsidRDefault="00CF76F1" w:rsidP="00DC7E3C">
      <w:pPr>
        <w:pStyle w:val="Textpoznpodarou"/>
        <w:jc w:val="both"/>
        <w:rPr>
          <w:sz w:val="20"/>
        </w:rPr>
      </w:pPr>
      <w:r>
        <w:rPr>
          <w:rStyle w:val="Znakapoznpodarou"/>
        </w:rPr>
        <w:footnoteRef/>
      </w:r>
      <w:r>
        <w:t xml:space="preserve"> </w:t>
      </w:r>
      <w:r>
        <w:rPr>
          <w:sz w:val="20"/>
          <w:szCs w:val="20"/>
        </w:rPr>
        <w:t xml:space="preserve">GOUDSMIT, J. E. </w:t>
      </w:r>
      <w:r>
        <w:rPr>
          <w:i/>
          <w:sz w:val="20"/>
          <w:szCs w:val="20"/>
        </w:rPr>
        <w:t xml:space="preserve">The Pandects: A Treatise on the Roman Law and Upon Its Connection with Modern Legislation. </w:t>
      </w:r>
      <w:r w:rsidRPr="004436F1">
        <w:rPr>
          <w:sz w:val="20"/>
          <w:szCs w:val="20"/>
        </w:rPr>
        <w:t>[online].</w:t>
      </w:r>
      <w:r>
        <w:rPr>
          <w:sz w:val="20"/>
          <w:szCs w:val="20"/>
        </w:rPr>
        <w:t xml:space="preserve"> The Lawbook Exchange, LTD. Clark, New Jersey 2005, s. 129. </w:t>
      </w:r>
      <w:r>
        <w:rPr>
          <w:sz w:val="20"/>
        </w:rPr>
        <w:t xml:space="preserve">Dostupné na: </w:t>
      </w:r>
      <w:hyperlink r:id="rId5" w:anchor="v=onepage&amp;q=savigny%20-%20false%20error&amp;f=false" w:history="1">
        <w:r w:rsidRPr="00D77607">
          <w:rPr>
            <w:rStyle w:val="Hypertextovodkaz"/>
            <w:sz w:val="20"/>
          </w:rPr>
          <w:t>https://books.google.cz/books?id=mn9Fh1_egi8C</w:t>
        </w:r>
        <w:r>
          <w:rPr>
            <w:rStyle w:val="Hypertextovodkaz"/>
            <w:sz w:val="20"/>
          </w:rPr>
          <w:t>&amp;pg=PA129&amp;lpg=PA129&amp;dq=savigny+</w:t>
        </w:r>
        <w:r w:rsidRPr="00D77607">
          <w:rPr>
            <w:rStyle w:val="Hypertextovodkaz"/>
            <w:sz w:val="20"/>
          </w:rPr>
          <w:t>+false+error&amp;source=bl&amp;ots=R1kaUqoBFi&amp;sig=fMe5EaBqWuXlHJHsK_MZDH5DC9</w:t>
        </w:r>
        <w:r>
          <w:rPr>
            <w:rStyle w:val="Hypertextovodkaz"/>
            <w:sz w:val="20"/>
          </w:rPr>
          <w:t>A&amp;hl=cs&amp;sa=X&amp;ved=0ahUKEwjt35_C9</w:t>
        </w:r>
        <w:r w:rsidRPr="00D77607">
          <w:rPr>
            <w:rStyle w:val="Hypertextovodkaz"/>
            <w:sz w:val="20"/>
          </w:rPr>
          <w:t>faAhXOxqQKHXmuCCQQ6AEIdTAJ#v=onepage&amp;q=savigny%20-%20false%20error&amp;f=false</w:t>
        </w:r>
      </w:hyperlink>
      <w:r>
        <w:rPr>
          <w:sz w:val="20"/>
        </w:rPr>
        <w:t xml:space="preserve"> </w:t>
      </w:r>
    </w:p>
  </w:footnote>
  <w:footnote w:id="103">
    <w:p w14:paraId="70B68AD2" w14:textId="08B87310" w:rsidR="00CF76F1" w:rsidRPr="00CC2B17" w:rsidRDefault="00CF76F1">
      <w:pPr>
        <w:pStyle w:val="Textpoznpodarou"/>
        <w:rPr>
          <w:sz w:val="20"/>
          <w:szCs w:val="20"/>
        </w:rPr>
      </w:pPr>
      <w:r>
        <w:rPr>
          <w:rStyle w:val="Znakapoznpodarou"/>
        </w:rPr>
        <w:footnoteRef/>
      </w:r>
      <w:r>
        <w:t xml:space="preserve"> </w:t>
      </w:r>
      <w:r>
        <w:rPr>
          <w:sz w:val="20"/>
          <w:szCs w:val="20"/>
        </w:rPr>
        <w:t xml:space="preserve">SOMMER, s. 81. </w:t>
      </w:r>
    </w:p>
  </w:footnote>
  <w:footnote w:id="104">
    <w:p w14:paraId="0A55D1D7" w14:textId="79189301" w:rsidR="00CF76F1" w:rsidRPr="00C00B91" w:rsidRDefault="00CF76F1">
      <w:pPr>
        <w:pStyle w:val="Textpoznpodarou"/>
        <w:rPr>
          <w:b/>
          <w:sz w:val="20"/>
          <w:szCs w:val="20"/>
        </w:rPr>
      </w:pPr>
      <w:r>
        <w:rPr>
          <w:rStyle w:val="Znakapoznpodarou"/>
        </w:rPr>
        <w:footnoteRef/>
      </w:r>
      <w:r>
        <w:t xml:space="preserve"> </w:t>
      </w:r>
      <w:r>
        <w:rPr>
          <w:sz w:val="20"/>
          <w:szCs w:val="20"/>
        </w:rPr>
        <w:t>SOMMER, s. 75, 81.</w:t>
      </w:r>
    </w:p>
  </w:footnote>
  <w:footnote w:id="105">
    <w:p w14:paraId="7227475C" w14:textId="2B62B516" w:rsidR="00CF76F1" w:rsidRPr="00BC5563" w:rsidRDefault="00CF76F1">
      <w:pPr>
        <w:pStyle w:val="Textpoznpodarou"/>
        <w:rPr>
          <w:sz w:val="20"/>
          <w:szCs w:val="20"/>
        </w:rPr>
      </w:pPr>
      <w:r>
        <w:rPr>
          <w:rStyle w:val="Znakapoznpodarou"/>
        </w:rPr>
        <w:footnoteRef/>
      </w:r>
      <w:r>
        <w:t xml:space="preserve"> </w:t>
      </w:r>
      <w:r>
        <w:rPr>
          <w:sz w:val="20"/>
          <w:szCs w:val="20"/>
        </w:rPr>
        <w:t xml:space="preserve">D 34. 5. 3. </w:t>
      </w:r>
    </w:p>
  </w:footnote>
  <w:footnote w:id="106">
    <w:p w14:paraId="08BC0EE2" w14:textId="77777777" w:rsidR="00CF76F1" w:rsidRDefault="00CF76F1" w:rsidP="003E3638">
      <w:pPr>
        <w:pStyle w:val="Textpoznpodarou"/>
      </w:pPr>
      <w:r>
        <w:rPr>
          <w:rStyle w:val="Znakapoznpodarou"/>
        </w:rPr>
        <w:footnoteRef/>
      </w:r>
      <w:r>
        <w:t xml:space="preserve"> </w:t>
      </w:r>
      <w:r w:rsidRPr="00D9053F">
        <w:rPr>
          <w:sz w:val="20"/>
          <w:szCs w:val="20"/>
        </w:rPr>
        <w:t>D 12. 1. 18. 1.</w:t>
      </w:r>
    </w:p>
  </w:footnote>
  <w:footnote w:id="107">
    <w:p w14:paraId="684F3002" w14:textId="03141B49" w:rsidR="00CF76F1" w:rsidRDefault="00CF76F1" w:rsidP="009C0977">
      <w:pPr>
        <w:pStyle w:val="Textpoznpodarou"/>
        <w:jc w:val="both"/>
      </w:pPr>
      <w:r>
        <w:rPr>
          <w:rStyle w:val="Znakapoznpodarou"/>
        </w:rPr>
        <w:footnoteRef/>
      </w:r>
      <w:r>
        <w:t xml:space="preserve"> </w:t>
      </w:r>
      <w:r w:rsidRPr="00C41E17">
        <w:rPr>
          <w:sz w:val="20"/>
          <w:szCs w:val="20"/>
        </w:rPr>
        <w:t>C 4. 22. 5.</w:t>
      </w:r>
    </w:p>
  </w:footnote>
  <w:footnote w:id="108">
    <w:p w14:paraId="597FE1C3" w14:textId="1F6153A4" w:rsidR="00CF76F1" w:rsidRPr="008C0380" w:rsidRDefault="00CF76F1" w:rsidP="008C0380">
      <w:pPr>
        <w:pStyle w:val="Textpoznpodarou"/>
        <w:jc w:val="both"/>
        <w:rPr>
          <w:sz w:val="20"/>
          <w:szCs w:val="20"/>
        </w:rPr>
      </w:pPr>
      <w:r>
        <w:rPr>
          <w:rStyle w:val="Znakapoznpodarou"/>
        </w:rPr>
        <w:footnoteRef/>
      </w:r>
      <w:r>
        <w:t xml:space="preserve"> </w:t>
      </w:r>
      <w:r>
        <w:rPr>
          <w:sz w:val="20"/>
          <w:szCs w:val="20"/>
        </w:rPr>
        <w:t xml:space="preserve">Podle moderního názvosloví zahrnuje též krádež, zpronevěru a z části i podvod. Subjektivní stránka pachatele obsahuje dolus malus. </w:t>
      </w:r>
    </w:p>
  </w:footnote>
  <w:footnote w:id="109">
    <w:p w14:paraId="14F6EA75" w14:textId="58AD33FD" w:rsidR="00CF76F1" w:rsidRPr="00231F77" w:rsidRDefault="00CF76F1" w:rsidP="008037F8">
      <w:pPr>
        <w:pStyle w:val="Textpoznpodarou"/>
        <w:jc w:val="both"/>
        <w:rPr>
          <w:sz w:val="20"/>
          <w:szCs w:val="20"/>
        </w:rPr>
      </w:pPr>
      <w:r>
        <w:rPr>
          <w:rStyle w:val="Znakapoznpodarou"/>
        </w:rPr>
        <w:footnoteRef/>
      </w:r>
      <w:r>
        <w:t xml:space="preserve"> </w:t>
      </w:r>
      <w:r>
        <w:rPr>
          <w:sz w:val="20"/>
          <w:szCs w:val="20"/>
        </w:rPr>
        <w:t xml:space="preserve">Exceptio je obrana žalovaného formou námitky. </w:t>
      </w:r>
    </w:p>
  </w:footnote>
  <w:footnote w:id="110">
    <w:p w14:paraId="4BAD1ABE" w14:textId="4B11CFE7" w:rsidR="00CF76F1" w:rsidRPr="008037F8" w:rsidRDefault="00CF76F1" w:rsidP="008037F8">
      <w:pPr>
        <w:pStyle w:val="Textpoznpodarou"/>
        <w:jc w:val="both"/>
        <w:rPr>
          <w:sz w:val="20"/>
          <w:szCs w:val="20"/>
        </w:rPr>
      </w:pPr>
      <w:r>
        <w:rPr>
          <w:rStyle w:val="Znakapoznpodarou"/>
        </w:rPr>
        <w:footnoteRef/>
      </w:r>
      <w:r>
        <w:t xml:space="preserve"> </w:t>
      </w:r>
      <w:r>
        <w:rPr>
          <w:sz w:val="20"/>
          <w:szCs w:val="20"/>
        </w:rPr>
        <w:t xml:space="preserve">Dolus malus je zlý/tajný úmysl – je zde vůle osoby činit něco protiprávního, je to také každé jednání, které odporuje bona fides, jedná se také o jakékoliv lstivé jednání, které má za cíl jiného oklamat či poškodit (zejm. při sjednávání nějakého závazku). Pokud dolus u protistrany nevyvolal podstatný omyl, právní jednání zůstávalo platné, avšak poškozený měl prétorské prostředky na svoji ochranu – jedním z těchto prostředků byla právě exceptio doli. BARTOŠEK, s. 137.  </w:t>
      </w:r>
    </w:p>
  </w:footnote>
  <w:footnote w:id="111">
    <w:p w14:paraId="45C7672D" w14:textId="07B051B9" w:rsidR="00CF76F1" w:rsidRPr="004C33FB" w:rsidRDefault="00CF76F1">
      <w:pPr>
        <w:pStyle w:val="Textpoznpodarou"/>
        <w:rPr>
          <w:sz w:val="20"/>
          <w:szCs w:val="20"/>
        </w:rPr>
      </w:pPr>
      <w:r>
        <w:rPr>
          <w:rStyle w:val="Znakapoznpodarou"/>
        </w:rPr>
        <w:footnoteRef/>
      </w:r>
      <w:r>
        <w:t xml:space="preserve"> </w:t>
      </w:r>
      <w:r>
        <w:rPr>
          <w:sz w:val="20"/>
          <w:szCs w:val="20"/>
        </w:rPr>
        <w:t xml:space="preserve">D 39. 5. 25. Javolenus. </w:t>
      </w:r>
    </w:p>
  </w:footnote>
  <w:footnote w:id="112">
    <w:p w14:paraId="0E3075E8" w14:textId="77777777" w:rsidR="00CF76F1" w:rsidRPr="00236B89" w:rsidRDefault="00CF76F1" w:rsidP="00D9365D">
      <w:pPr>
        <w:pStyle w:val="Textpoznpodarou"/>
        <w:rPr>
          <w:sz w:val="20"/>
          <w:szCs w:val="20"/>
        </w:rPr>
      </w:pPr>
      <w:r>
        <w:rPr>
          <w:rStyle w:val="Znakapoznpodarou"/>
        </w:rPr>
        <w:footnoteRef/>
      </w:r>
      <w:r>
        <w:t xml:space="preserve"> </w:t>
      </w:r>
      <w:r>
        <w:rPr>
          <w:sz w:val="20"/>
          <w:szCs w:val="20"/>
        </w:rPr>
        <w:t xml:space="preserve">HEYROVSKÝ, s. 98. </w:t>
      </w:r>
    </w:p>
  </w:footnote>
  <w:footnote w:id="113">
    <w:p w14:paraId="40897641" w14:textId="123BCD66" w:rsidR="00CF76F1" w:rsidRPr="00032A74" w:rsidRDefault="00CF76F1" w:rsidP="00032A74">
      <w:pPr>
        <w:jc w:val="both"/>
        <w:rPr>
          <w:sz w:val="20"/>
          <w:szCs w:val="20"/>
        </w:rPr>
      </w:pPr>
      <w:r w:rsidRPr="00032A74">
        <w:rPr>
          <w:rStyle w:val="Znakapoznpodarou"/>
          <w:sz w:val="20"/>
          <w:szCs w:val="20"/>
        </w:rPr>
        <w:footnoteRef/>
      </w:r>
      <w:r w:rsidRPr="00032A74">
        <w:rPr>
          <w:sz w:val="20"/>
          <w:szCs w:val="20"/>
        </w:rPr>
        <w:t xml:space="preserve"> </w:t>
      </w:r>
      <w:r>
        <w:rPr>
          <w:sz w:val="20"/>
          <w:szCs w:val="20"/>
        </w:rPr>
        <w:t xml:space="preserve">D 4. 3. 1. pr. Český překlad převzat z: </w:t>
      </w:r>
      <w:r w:rsidRPr="00032A74">
        <w:rPr>
          <w:sz w:val="20"/>
          <w:szCs w:val="20"/>
        </w:rPr>
        <w:t>BLAHO, Peter</w:t>
      </w:r>
      <w:r>
        <w:rPr>
          <w:sz w:val="20"/>
          <w:szCs w:val="20"/>
        </w:rPr>
        <w:t>, SKŘEJPEK, Michal</w:t>
      </w:r>
      <w:r w:rsidRPr="00032A74">
        <w:rPr>
          <w:sz w:val="20"/>
          <w:szCs w:val="20"/>
        </w:rPr>
        <w:t xml:space="preserve"> a kol. </w:t>
      </w:r>
      <w:r w:rsidRPr="00032A74">
        <w:rPr>
          <w:i/>
          <w:sz w:val="20"/>
          <w:szCs w:val="20"/>
        </w:rPr>
        <w:t>Digesta neboli Pandekty, svazek I, kniha I-XV, vybrané části.</w:t>
      </w:r>
      <w:r w:rsidRPr="00032A74">
        <w:rPr>
          <w:sz w:val="20"/>
          <w:szCs w:val="20"/>
        </w:rPr>
        <w:t xml:space="preserve"> Karolinum, Praha: 2015</w:t>
      </w:r>
      <w:r>
        <w:rPr>
          <w:sz w:val="20"/>
          <w:szCs w:val="20"/>
        </w:rPr>
        <w:t xml:space="preserve">, s. 347. </w:t>
      </w:r>
    </w:p>
  </w:footnote>
  <w:footnote w:id="114">
    <w:p w14:paraId="65FB3735" w14:textId="3EF4742F" w:rsidR="00CF76F1" w:rsidRPr="00697889" w:rsidRDefault="00CF76F1">
      <w:pPr>
        <w:pStyle w:val="Textpoznpodarou"/>
        <w:rPr>
          <w:sz w:val="20"/>
          <w:szCs w:val="20"/>
        </w:rPr>
      </w:pPr>
      <w:r>
        <w:rPr>
          <w:rStyle w:val="Znakapoznpodarou"/>
        </w:rPr>
        <w:footnoteRef/>
      </w:r>
      <w:r>
        <w:t xml:space="preserve"> </w:t>
      </w:r>
      <w:r>
        <w:rPr>
          <w:sz w:val="20"/>
          <w:szCs w:val="20"/>
        </w:rPr>
        <w:t xml:space="preserve">D 4. 3. 1. 1. Ulpianus. </w:t>
      </w:r>
    </w:p>
  </w:footnote>
  <w:footnote w:id="115">
    <w:p w14:paraId="0ACF6F1A" w14:textId="4E1C770E" w:rsidR="00CF76F1" w:rsidRDefault="00CF76F1" w:rsidP="00221325">
      <w:pPr>
        <w:pStyle w:val="Textpoznpodarou"/>
        <w:jc w:val="both"/>
      </w:pPr>
      <w:r>
        <w:rPr>
          <w:rStyle w:val="Znakapoznpodarou"/>
        </w:rPr>
        <w:footnoteRef/>
      </w:r>
      <w:r>
        <w:t xml:space="preserve"> </w:t>
      </w:r>
      <w:r>
        <w:rPr>
          <w:sz w:val="20"/>
          <w:szCs w:val="20"/>
        </w:rPr>
        <w:t xml:space="preserve">D 4. 3. 1. 2. Český překlad převzat z: </w:t>
      </w:r>
      <w:r w:rsidRPr="00032A74">
        <w:rPr>
          <w:sz w:val="20"/>
          <w:szCs w:val="20"/>
        </w:rPr>
        <w:t>BLAHO, Peter</w:t>
      </w:r>
      <w:r>
        <w:rPr>
          <w:sz w:val="20"/>
          <w:szCs w:val="20"/>
        </w:rPr>
        <w:t>, SKŘEJPEK, Michal</w:t>
      </w:r>
      <w:r w:rsidRPr="00032A74">
        <w:rPr>
          <w:sz w:val="20"/>
          <w:szCs w:val="20"/>
        </w:rPr>
        <w:t xml:space="preserve"> a kol. </w:t>
      </w:r>
      <w:r w:rsidRPr="00032A74">
        <w:rPr>
          <w:i/>
          <w:sz w:val="20"/>
          <w:szCs w:val="20"/>
        </w:rPr>
        <w:t>Digesta neboli Pandekty, svazek I, kniha I-XV, vybrané části.</w:t>
      </w:r>
      <w:r w:rsidRPr="00032A74">
        <w:rPr>
          <w:sz w:val="20"/>
          <w:szCs w:val="20"/>
        </w:rPr>
        <w:t xml:space="preserve"> Karolinum, Praha: 2015</w:t>
      </w:r>
      <w:r>
        <w:rPr>
          <w:sz w:val="20"/>
          <w:szCs w:val="20"/>
        </w:rPr>
        <w:t>, s. 347.</w:t>
      </w:r>
    </w:p>
  </w:footnote>
  <w:footnote w:id="116">
    <w:p w14:paraId="0AA687E1" w14:textId="5DB3DEA5" w:rsidR="00CF76F1" w:rsidRPr="00232B4E" w:rsidRDefault="00CF76F1">
      <w:pPr>
        <w:pStyle w:val="Textpoznpodarou"/>
        <w:rPr>
          <w:sz w:val="20"/>
          <w:szCs w:val="20"/>
        </w:rPr>
      </w:pPr>
      <w:r>
        <w:rPr>
          <w:rStyle w:val="Znakapoznpodarou"/>
        </w:rPr>
        <w:footnoteRef/>
      </w:r>
      <w:r>
        <w:t xml:space="preserve"> </w:t>
      </w:r>
      <w:r>
        <w:rPr>
          <w:sz w:val="20"/>
          <w:szCs w:val="20"/>
        </w:rPr>
        <w:t>D 4. 3. 18. pr., D. 4. 3</w:t>
      </w:r>
      <w:r w:rsidRPr="007D557F">
        <w:rPr>
          <w:sz w:val="20"/>
          <w:szCs w:val="20"/>
        </w:rPr>
        <w:t>. 18. 1.</w:t>
      </w:r>
      <w:r>
        <w:rPr>
          <w:sz w:val="20"/>
          <w:szCs w:val="20"/>
        </w:rPr>
        <w:t xml:space="preserve">   </w:t>
      </w:r>
    </w:p>
  </w:footnote>
  <w:footnote w:id="117">
    <w:p w14:paraId="16CA483C" w14:textId="35102370" w:rsidR="00CF76F1" w:rsidRDefault="00CF76F1" w:rsidP="006D7F84">
      <w:pPr>
        <w:pStyle w:val="Textpoznpodarou"/>
        <w:jc w:val="both"/>
      </w:pPr>
      <w:r>
        <w:rPr>
          <w:rStyle w:val="Znakapoznpodarou"/>
        </w:rPr>
        <w:footnoteRef/>
      </w:r>
      <w:r>
        <w:t xml:space="preserve"> </w:t>
      </w:r>
      <w:r w:rsidRPr="006D7F84">
        <w:rPr>
          <w:sz w:val="20"/>
          <w:szCs w:val="20"/>
        </w:rPr>
        <w:t>D 28. 5. 9. 1.</w:t>
      </w:r>
      <w:r>
        <w:rPr>
          <w:sz w:val="20"/>
          <w:szCs w:val="20"/>
        </w:rPr>
        <w:t xml:space="preserve"> Ulpianus.</w:t>
      </w:r>
    </w:p>
  </w:footnote>
  <w:footnote w:id="118">
    <w:p w14:paraId="6851E797" w14:textId="53612EA7" w:rsidR="00CF76F1" w:rsidRPr="009007AD" w:rsidRDefault="00CF76F1" w:rsidP="00BD3068">
      <w:pPr>
        <w:pStyle w:val="Textpoznpodarou"/>
        <w:jc w:val="both"/>
        <w:rPr>
          <w:sz w:val="20"/>
          <w:szCs w:val="20"/>
        </w:rPr>
      </w:pPr>
      <w:r>
        <w:rPr>
          <w:rStyle w:val="Znakapoznpodarou"/>
        </w:rPr>
        <w:footnoteRef/>
      </w:r>
      <w:r>
        <w:t xml:space="preserve"> </w:t>
      </w:r>
      <w:r>
        <w:rPr>
          <w:sz w:val="20"/>
          <w:szCs w:val="20"/>
        </w:rPr>
        <w:t xml:space="preserve">D 30. 4. pr. Ulpianus, český překlad převzat z: BUBELOVÁ, Kamila, DOSTALÍK, Petr. </w:t>
      </w:r>
      <w:r>
        <w:rPr>
          <w:i/>
          <w:sz w:val="20"/>
          <w:szCs w:val="20"/>
        </w:rPr>
        <w:t xml:space="preserve">Praktikum z římského práva. </w:t>
      </w:r>
      <w:r>
        <w:rPr>
          <w:sz w:val="20"/>
          <w:szCs w:val="20"/>
        </w:rPr>
        <w:t xml:space="preserve">2. rozšířené vydání. Praha: Leges 2013, s. 71. </w:t>
      </w:r>
    </w:p>
  </w:footnote>
  <w:footnote w:id="119">
    <w:p w14:paraId="2CAC6D5B" w14:textId="52E6B5B2" w:rsidR="00CF76F1" w:rsidRPr="009523DE" w:rsidRDefault="00CF76F1">
      <w:pPr>
        <w:pStyle w:val="Textpoznpodarou"/>
        <w:rPr>
          <w:sz w:val="20"/>
          <w:szCs w:val="20"/>
        </w:rPr>
      </w:pPr>
      <w:r>
        <w:rPr>
          <w:rStyle w:val="Znakapoznpodarou"/>
        </w:rPr>
        <w:footnoteRef/>
      </w:r>
      <w:r>
        <w:t xml:space="preserve"> </w:t>
      </w:r>
      <w:r>
        <w:rPr>
          <w:sz w:val="20"/>
          <w:szCs w:val="20"/>
        </w:rPr>
        <w:t>NS 23 Cdo 1035/2010.</w:t>
      </w:r>
    </w:p>
  </w:footnote>
  <w:footnote w:id="120">
    <w:p w14:paraId="2D7238AB" w14:textId="77D54FE4" w:rsidR="00CF76F1" w:rsidRDefault="00CF76F1">
      <w:pPr>
        <w:pStyle w:val="Textpoznpodarou"/>
      </w:pPr>
      <w:r>
        <w:rPr>
          <w:rStyle w:val="Znakapoznpodarou"/>
        </w:rPr>
        <w:footnoteRef/>
      </w:r>
      <w:r>
        <w:t xml:space="preserve"> </w:t>
      </w:r>
      <w:r>
        <w:rPr>
          <w:sz w:val="20"/>
          <w:szCs w:val="20"/>
        </w:rPr>
        <w:t>III. ÚS</w:t>
      </w:r>
      <w:r w:rsidRPr="00FC693E">
        <w:rPr>
          <w:sz w:val="20"/>
          <w:szCs w:val="20"/>
        </w:rPr>
        <w:t xml:space="preserve"> </w:t>
      </w:r>
      <w:r>
        <w:rPr>
          <w:sz w:val="20"/>
          <w:szCs w:val="20"/>
        </w:rPr>
        <w:t xml:space="preserve">1005/2007. </w:t>
      </w:r>
    </w:p>
  </w:footnote>
  <w:footnote w:id="121">
    <w:p w14:paraId="53B19BFF" w14:textId="3FC9B157" w:rsidR="00CF76F1" w:rsidRPr="00CD1A03" w:rsidRDefault="00CF76F1">
      <w:pPr>
        <w:pStyle w:val="Textpoznpodarou"/>
        <w:rPr>
          <w:sz w:val="20"/>
          <w:szCs w:val="20"/>
        </w:rPr>
      </w:pPr>
      <w:r>
        <w:rPr>
          <w:rStyle w:val="Znakapoznpodarou"/>
        </w:rPr>
        <w:footnoteRef/>
      </w:r>
      <w:r>
        <w:t xml:space="preserve"> </w:t>
      </w:r>
      <w:r>
        <w:rPr>
          <w:sz w:val="20"/>
          <w:szCs w:val="20"/>
        </w:rPr>
        <w:t xml:space="preserve">NS 25 Cdo 1650/98. </w:t>
      </w:r>
    </w:p>
  </w:footnote>
  <w:footnote w:id="122">
    <w:p w14:paraId="2E306AC1" w14:textId="136BB8C8" w:rsidR="00CF76F1" w:rsidRDefault="00CF76F1" w:rsidP="006A52AF">
      <w:pPr>
        <w:pStyle w:val="Textpoznpodarou"/>
      </w:pPr>
      <w:r>
        <w:rPr>
          <w:rStyle w:val="Znakapoznpodarou"/>
        </w:rPr>
        <w:footnoteRef/>
      </w:r>
      <w:r>
        <w:t xml:space="preserve"> </w:t>
      </w:r>
      <w:r>
        <w:rPr>
          <w:sz w:val="20"/>
        </w:rPr>
        <w:t xml:space="preserve">REBRO, Karol, BLAHO, Peter. </w:t>
      </w:r>
      <w:r>
        <w:rPr>
          <w:i/>
          <w:sz w:val="20"/>
        </w:rPr>
        <w:t xml:space="preserve">Rímske právo. </w:t>
      </w:r>
      <w:r>
        <w:rPr>
          <w:sz w:val="20"/>
        </w:rPr>
        <w:t>4. vydání. Bratislava: IURA EDITION, 2010, s</w:t>
      </w:r>
      <w:r w:rsidRPr="00D74CB4">
        <w:rPr>
          <w:i/>
          <w:sz w:val="20"/>
          <w:szCs w:val="20"/>
        </w:rPr>
        <w:t>.</w:t>
      </w:r>
      <w:r>
        <w:rPr>
          <w:sz w:val="20"/>
          <w:szCs w:val="20"/>
        </w:rPr>
        <w:t xml:space="preserve"> 200. </w:t>
      </w:r>
    </w:p>
  </w:footnote>
  <w:footnote w:id="123">
    <w:p w14:paraId="127C29D6" w14:textId="2D17678F" w:rsidR="00CF76F1" w:rsidRPr="00BF1F2E" w:rsidRDefault="00CF76F1" w:rsidP="006A52AF">
      <w:pPr>
        <w:pStyle w:val="Textpoznpodarou"/>
        <w:jc w:val="both"/>
        <w:rPr>
          <w:sz w:val="20"/>
          <w:szCs w:val="20"/>
        </w:rPr>
      </w:pPr>
      <w:r w:rsidRPr="00BF1F2E">
        <w:rPr>
          <w:rStyle w:val="Znakapoznpodarou"/>
          <w:sz w:val="20"/>
          <w:szCs w:val="20"/>
        </w:rPr>
        <w:footnoteRef/>
      </w:r>
      <w:r w:rsidRPr="00BF1F2E">
        <w:rPr>
          <w:sz w:val="20"/>
          <w:szCs w:val="20"/>
        </w:rPr>
        <w:t xml:space="preserve"> </w:t>
      </w:r>
      <w:r w:rsidRPr="006A077E">
        <w:rPr>
          <w:sz w:val="20"/>
          <w:szCs w:val="20"/>
        </w:rPr>
        <w:t>Kincl in</w:t>
      </w:r>
      <w:r>
        <w:rPr>
          <w:sz w:val="20"/>
          <w:szCs w:val="20"/>
        </w:rPr>
        <w:t xml:space="preserve"> </w:t>
      </w:r>
      <w:r w:rsidRPr="00BF1F2E">
        <w:rPr>
          <w:sz w:val="20"/>
          <w:szCs w:val="20"/>
        </w:rPr>
        <w:t xml:space="preserve">KINCL, Jaromír, URFUS, Valentin, SKŘEJPEK, Michal. </w:t>
      </w:r>
      <w:r w:rsidRPr="00BF1F2E">
        <w:rPr>
          <w:i/>
          <w:sz w:val="20"/>
          <w:szCs w:val="20"/>
        </w:rPr>
        <w:t>Římské právo.</w:t>
      </w:r>
      <w:r w:rsidRPr="00BF1F2E">
        <w:rPr>
          <w:sz w:val="20"/>
          <w:szCs w:val="20"/>
        </w:rPr>
        <w:t xml:space="preserve"> 2. vydán</w:t>
      </w:r>
      <w:r>
        <w:rPr>
          <w:sz w:val="20"/>
          <w:szCs w:val="20"/>
        </w:rPr>
        <w:t xml:space="preserve">í. Praha, C. H. Beck, 1995. </w:t>
      </w:r>
      <w:r w:rsidRPr="00BF1F2E">
        <w:rPr>
          <w:sz w:val="20"/>
          <w:szCs w:val="20"/>
        </w:rPr>
        <w:t>s.</w:t>
      </w:r>
      <w:r>
        <w:rPr>
          <w:sz w:val="20"/>
          <w:szCs w:val="20"/>
        </w:rPr>
        <w:t xml:space="preserve"> 96. </w:t>
      </w:r>
    </w:p>
  </w:footnote>
  <w:footnote w:id="124">
    <w:p w14:paraId="1D6AAAA1" w14:textId="77777777" w:rsidR="00CF76F1" w:rsidRPr="0010715B" w:rsidRDefault="00CF76F1" w:rsidP="00B67B47">
      <w:pPr>
        <w:pStyle w:val="Textpoznpodarou"/>
        <w:rPr>
          <w:sz w:val="20"/>
          <w:szCs w:val="20"/>
        </w:rPr>
      </w:pPr>
      <w:r>
        <w:rPr>
          <w:rStyle w:val="Znakapoznpodarou"/>
        </w:rPr>
        <w:footnoteRef/>
      </w:r>
      <w:r>
        <w:t xml:space="preserve"> </w:t>
      </w:r>
      <w:r>
        <w:rPr>
          <w:sz w:val="20"/>
          <w:szCs w:val="20"/>
        </w:rPr>
        <w:t xml:space="preserve">SOMMER, s. 83. </w:t>
      </w:r>
    </w:p>
  </w:footnote>
  <w:footnote w:id="125">
    <w:p w14:paraId="50C66EBC" w14:textId="60FD680C" w:rsidR="00CF76F1" w:rsidRDefault="00CF76F1" w:rsidP="00BF1F2E">
      <w:pPr>
        <w:pStyle w:val="Textpoznpodarou"/>
        <w:jc w:val="both"/>
      </w:pPr>
      <w:r>
        <w:rPr>
          <w:rStyle w:val="Znakapoznpodarou"/>
        </w:rPr>
        <w:footnoteRef/>
      </w:r>
      <w:r>
        <w:t xml:space="preserve"> </w:t>
      </w:r>
      <w:r w:rsidRPr="0009767A">
        <w:rPr>
          <w:sz w:val="20"/>
          <w:szCs w:val="20"/>
        </w:rPr>
        <w:t xml:space="preserve">ZIMMERMANN, Reinhard. </w:t>
      </w:r>
      <w:r w:rsidRPr="0009767A">
        <w:rPr>
          <w:i/>
          <w:sz w:val="20"/>
          <w:szCs w:val="20"/>
        </w:rPr>
        <w:t>The Law of Obligations, Roman Foundations of the Civilian Tradition.</w:t>
      </w:r>
      <w:r w:rsidRPr="0009767A">
        <w:rPr>
          <w:sz w:val="20"/>
          <w:szCs w:val="20"/>
        </w:rPr>
        <w:t xml:space="preserve"> First edition. Cape Town – Wetton – Johannesburg, 1990, s</w:t>
      </w:r>
      <w:r>
        <w:rPr>
          <w:sz w:val="20"/>
          <w:szCs w:val="20"/>
        </w:rPr>
        <w:t xml:space="preserve"> 592</w:t>
      </w:r>
      <w:r w:rsidRPr="0009767A">
        <w:rPr>
          <w:sz w:val="20"/>
          <w:szCs w:val="20"/>
        </w:rPr>
        <w:t>. Dostupné na: &lt;</w:t>
      </w:r>
      <w:hyperlink r:id="rId6" w:history="1">
        <w:r w:rsidRPr="0009767A">
          <w:rPr>
            <w:rStyle w:val="Hypertextovodkaz"/>
            <w:sz w:val="20"/>
            <w:szCs w:val="20"/>
          </w:rPr>
          <w:t>https://vdocuments.us/the-law-of-obligations-roman-foundations-of-the-civilian-tradition.html</w:t>
        </w:r>
      </w:hyperlink>
      <w:r w:rsidRPr="0009767A">
        <w:rPr>
          <w:sz w:val="20"/>
          <w:szCs w:val="20"/>
        </w:rPr>
        <w:t>&gt;</w:t>
      </w:r>
      <w:r>
        <w:t xml:space="preserve"> </w:t>
      </w:r>
    </w:p>
  </w:footnote>
  <w:footnote w:id="126">
    <w:p w14:paraId="0272F0C2" w14:textId="55E9552F" w:rsidR="00CF76F1" w:rsidRPr="00DB54BF" w:rsidRDefault="00CF76F1" w:rsidP="00A73863">
      <w:pPr>
        <w:pStyle w:val="Textpoznpodarou"/>
        <w:jc w:val="both"/>
        <w:rPr>
          <w:sz w:val="20"/>
          <w:szCs w:val="20"/>
        </w:rPr>
      </w:pPr>
      <w:r>
        <w:rPr>
          <w:rStyle w:val="Znakapoznpodarou"/>
        </w:rPr>
        <w:footnoteRef/>
      </w:r>
      <w:r>
        <w:t xml:space="preserve"> </w:t>
      </w:r>
      <w:r>
        <w:rPr>
          <w:sz w:val="20"/>
          <w:szCs w:val="20"/>
        </w:rPr>
        <w:t xml:space="preserve">D 18. 1. 9. 1. </w:t>
      </w:r>
    </w:p>
  </w:footnote>
  <w:footnote w:id="127">
    <w:p w14:paraId="52A3B23A" w14:textId="10422DF2" w:rsidR="00CF76F1" w:rsidRPr="00A73863" w:rsidRDefault="00CF76F1" w:rsidP="00A73863">
      <w:pPr>
        <w:pStyle w:val="Textpoznpodarou"/>
        <w:jc w:val="both"/>
        <w:rPr>
          <w:sz w:val="20"/>
          <w:szCs w:val="20"/>
        </w:rPr>
      </w:pPr>
      <w:r>
        <w:rPr>
          <w:rStyle w:val="Znakapoznpodarou"/>
        </w:rPr>
        <w:footnoteRef/>
      </w:r>
      <w:r>
        <w:t xml:space="preserve"> </w:t>
      </w:r>
      <w:r>
        <w:rPr>
          <w:sz w:val="20"/>
          <w:szCs w:val="20"/>
        </w:rPr>
        <w:t xml:space="preserve">D 18. 1. 9. 2. </w:t>
      </w:r>
    </w:p>
  </w:footnote>
  <w:footnote w:id="128">
    <w:p w14:paraId="608E7FF5" w14:textId="5AAA999A" w:rsidR="00CF76F1" w:rsidRPr="00D9520A" w:rsidRDefault="00CF76F1">
      <w:pPr>
        <w:pStyle w:val="Textpoznpodarou"/>
        <w:rPr>
          <w:sz w:val="20"/>
          <w:szCs w:val="20"/>
        </w:rPr>
      </w:pPr>
      <w:r>
        <w:rPr>
          <w:rStyle w:val="Znakapoznpodarou"/>
        </w:rPr>
        <w:footnoteRef/>
      </w:r>
      <w:r>
        <w:t xml:space="preserve"> </w:t>
      </w:r>
      <w:r>
        <w:rPr>
          <w:sz w:val="20"/>
          <w:szCs w:val="20"/>
        </w:rPr>
        <w:t xml:space="preserve">D 18. 1. 10. </w:t>
      </w:r>
    </w:p>
  </w:footnote>
  <w:footnote w:id="129">
    <w:p w14:paraId="66E876DC" w14:textId="1EF22AF0" w:rsidR="00CF76F1" w:rsidRPr="0081428E" w:rsidRDefault="00CF76F1" w:rsidP="0062060A">
      <w:pPr>
        <w:pStyle w:val="Textpoznpodarou"/>
        <w:rPr>
          <w:sz w:val="20"/>
          <w:szCs w:val="20"/>
        </w:rPr>
      </w:pPr>
      <w:r>
        <w:rPr>
          <w:rStyle w:val="Znakapoznpodarou"/>
        </w:rPr>
        <w:footnoteRef/>
      </w:r>
      <w:r>
        <w:t xml:space="preserve"> </w:t>
      </w:r>
      <w:r>
        <w:rPr>
          <w:sz w:val="20"/>
          <w:szCs w:val="20"/>
        </w:rPr>
        <w:t xml:space="preserve">D 45. 1. 22. Paulus. </w:t>
      </w:r>
    </w:p>
  </w:footnote>
  <w:footnote w:id="130">
    <w:p w14:paraId="51D61A3A" w14:textId="4B65F25B" w:rsidR="00CF76F1" w:rsidRPr="00AC1D23" w:rsidRDefault="00CF76F1">
      <w:pPr>
        <w:pStyle w:val="Textpoznpodarou"/>
        <w:rPr>
          <w:sz w:val="20"/>
          <w:szCs w:val="20"/>
        </w:rPr>
      </w:pPr>
      <w:r>
        <w:rPr>
          <w:rStyle w:val="Znakapoznpodarou"/>
        </w:rPr>
        <w:footnoteRef/>
      </w:r>
      <w:r>
        <w:t xml:space="preserve"> </w:t>
      </w:r>
      <w:r>
        <w:rPr>
          <w:sz w:val="20"/>
          <w:szCs w:val="20"/>
        </w:rPr>
        <w:t xml:space="preserve">D 18. 1. 14. Ulpianus. </w:t>
      </w:r>
    </w:p>
  </w:footnote>
  <w:footnote w:id="131">
    <w:p w14:paraId="7C85B88B" w14:textId="210F7D9A" w:rsidR="00CF76F1" w:rsidRPr="000E59B0" w:rsidRDefault="00CF76F1">
      <w:pPr>
        <w:pStyle w:val="Textpoznpodarou"/>
        <w:rPr>
          <w:sz w:val="20"/>
          <w:szCs w:val="20"/>
        </w:rPr>
      </w:pPr>
      <w:r>
        <w:rPr>
          <w:rStyle w:val="Znakapoznpodarou"/>
        </w:rPr>
        <w:footnoteRef/>
      </w:r>
      <w:r>
        <w:t xml:space="preserve"> </w:t>
      </w:r>
      <w:r>
        <w:rPr>
          <w:sz w:val="20"/>
          <w:szCs w:val="20"/>
        </w:rPr>
        <w:t xml:space="preserve">D 18. 1. 41. 1. Julianus. </w:t>
      </w:r>
    </w:p>
  </w:footnote>
  <w:footnote w:id="132">
    <w:p w14:paraId="502AF036" w14:textId="4BD6C3F6" w:rsidR="00CF76F1" w:rsidRPr="00766917" w:rsidRDefault="00CF76F1" w:rsidP="00766917">
      <w:pPr>
        <w:jc w:val="both"/>
        <w:rPr>
          <w:sz w:val="20"/>
          <w:szCs w:val="20"/>
        </w:rPr>
      </w:pPr>
      <w:r w:rsidRPr="00766917">
        <w:rPr>
          <w:rStyle w:val="Znakapoznpodarou"/>
          <w:sz w:val="20"/>
          <w:szCs w:val="20"/>
        </w:rPr>
        <w:footnoteRef/>
      </w:r>
      <w:r w:rsidRPr="00766917">
        <w:rPr>
          <w:sz w:val="20"/>
          <w:szCs w:val="20"/>
        </w:rPr>
        <w:t xml:space="preserve"> Tato žaloba byla zavedena lex Silia</w:t>
      </w:r>
      <w:r>
        <w:rPr>
          <w:sz w:val="20"/>
          <w:szCs w:val="20"/>
        </w:rPr>
        <w:t xml:space="preserve"> (neznámého stáří)</w:t>
      </w:r>
      <w:r w:rsidRPr="00766917">
        <w:rPr>
          <w:sz w:val="20"/>
          <w:szCs w:val="20"/>
        </w:rPr>
        <w:t xml:space="preserve"> jako actio certae pecuniae (určitou peněžitou částku).</w:t>
      </w:r>
      <w:r>
        <w:rPr>
          <w:sz w:val="20"/>
          <w:szCs w:val="20"/>
        </w:rPr>
        <w:t xml:space="preserve"> </w:t>
      </w:r>
      <w:r w:rsidRPr="00766917">
        <w:rPr>
          <w:sz w:val="20"/>
          <w:szCs w:val="20"/>
        </w:rPr>
        <w:t>HEYROVSKÝ, s. 138.</w:t>
      </w:r>
    </w:p>
  </w:footnote>
  <w:footnote w:id="133">
    <w:p w14:paraId="462390BA" w14:textId="374729B4" w:rsidR="00CF76F1" w:rsidRPr="00204356" w:rsidRDefault="00CF76F1" w:rsidP="00766917">
      <w:pPr>
        <w:pStyle w:val="Textpoznpodarou"/>
        <w:jc w:val="both"/>
      </w:pPr>
      <w:r>
        <w:rPr>
          <w:rStyle w:val="Znakapoznpodarou"/>
        </w:rPr>
        <w:footnoteRef/>
      </w:r>
      <w:r>
        <w:t xml:space="preserve"> </w:t>
      </w:r>
      <w:r w:rsidRPr="00204356">
        <w:rPr>
          <w:sz w:val="20"/>
          <w:szCs w:val="20"/>
        </w:rPr>
        <w:t xml:space="preserve">Překlad převzat z: BARTOŠEK, Milan. </w:t>
      </w:r>
      <w:r w:rsidRPr="00204356">
        <w:rPr>
          <w:i/>
          <w:sz w:val="20"/>
          <w:szCs w:val="20"/>
        </w:rPr>
        <w:t xml:space="preserve">Škola právnického myšlení. </w:t>
      </w:r>
      <w:r w:rsidRPr="00204356">
        <w:rPr>
          <w:sz w:val="20"/>
          <w:szCs w:val="20"/>
        </w:rPr>
        <w:t>Vydavatelství Karolinum, Praha 1993, s.</w:t>
      </w:r>
      <w:r>
        <w:rPr>
          <w:sz w:val="20"/>
          <w:szCs w:val="20"/>
        </w:rPr>
        <w:t xml:space="preserve"> </w:t>
      </w:r>
      <w:r w:rsidRPr="00204356">
        <w:rPr>
          <w:sz w:val="20"/>
          <w:szCs w:val="20"/>
        </w:rPr>
        <w:t xml:space="preserve">31, </w:t>
      </w:r>
      <w:r>
        <w:rPr>
          <w:sz w:val="20"/>
          <w:szCs w:val="20"/>
        </w:rPr>
        <w:t xml:space="preserve">D 19. </w:t>
      </w:r>
      <w:r w:rsidRPr="00204356">
        <w:rPr>
          <w:sz w:val="20"/>
          <w:szCs w:val="20"/>
        </w:rPr>
        <w:t>1. 11. 5 Ulpianus</w:t>
      </w:r>
      <w:r>
        <w:rPr>
          <w:sz w:val="20"/>
        </w:rPr>
        <w:t xml:space="preserve"> </w:t>
      </w:r>
    </w:p>
  </w:footnote>
  <w:footnote w:id="134">
    <w:p w14:paraId="0A885919" w14:textId="77777777" w:rsidR="00CF76F1" w:rsidRPr="001B043A" w:rsidRDefault="00CF76F1" w:rsidP="00BC2C86">
      <w:pPr>
        <w:pStyle w:val="Textpoznpodarou"/>
        <w:rPr>
          <w:sz w:val="20"/>
          <w:szCs w:val="20"/>
        </w:rPr>
      </w:pPr>
      <w:r>
        <w:rPr>
          <w:rStyle w:val="Znakapoznpodarou"/>
        </w:rPr>
        <w:footnoteRef/>
      </w:r>
      <w:r>
        <w:t xml:space="preserve"> </w:t>
      </w:r>
      <w:r w:rsidRPr="00BC2C86">
        <w:rPr>
          <w:sz w:val="20"/>
          <w:szCs w:val="20"/>
        </w:rPr>
        <w:t>C 1. 18. 7.</w:t>
      </w:r>
      <w:r w:rsidRPr="00BC2C86">
        <w:rPr>
          <w:sz w:val="28"/>
        </w:rPr>
        <w:t xml:space="preserve"> </w:t>
      </w:r>
      <w:r w:rsidRPr="00D66ECE">
        <w:rPr>
          <w:sz w:val="20"/>
          <w:szCs w:val="20"/>
        </w:rPr>
        <w:t>Imperatores Diocletianus, Maximianus</w:t>
      </w:r>
      <w:r>
        <w:rPr>
          <w:sz w:val="20"/>
          <w:szCs w:val="20"/>
        </w:rPr>
        <w:t xml:space="preserve">. </w:t>
      </w:r>
    </w:p>
  </w:footnote>
  <w:footnote w:id="135">
    <w:p w14:paraId="3471E966" w14:textId="33D97A8E" w:rsidR="00CF76F1" w:rsidRPr="00554EA6" w:rsidRDefault="00CF76F1" w:rsidP="00332807">
      <w:pPr>
        <w:pStyle w:val="Textpoznpodarou"/>
        <w:jc w:val="both"/>
        <w:rPr>
          <w:sz w:val="20"/>
          <w:szCs w:val="20"/>
        </w:rPr>
      </w:pPr>
      <w:r>
        <w:rPr>
          <w:rStyle w:val="Znakapoznpodarou"/>
        </w:rPr>
        <w:footnoteRef/>
      </w:r>
      <w:r>
        <w:t xml:space="preserve"> </w:t>
      </w:r>
      <w:r>
        <w:rPr>
          <w:sz w:val="20"/>
          <w:szCs w:val="20"/>
        </w:rPr>
        <w:t xml:space="preserve">Žaloba na zrušení trhové smlouvy a zaplacení dvojnásobku kupní ceny (duplum) v případě závažných skrytých vad zboží (z vad prodávaných otroků, jízdních a tažných zvířat). Byla použitelná do 2 měsíců v případě, že prodávající neposkytnul záruku nebo do 6 měsíců v případě, že záruka byla dána nebo že kupující byl obelstěn. SKŘEJPEK, Michal. </w:t>
      </w:r>
      <w:r>
        <w:rPr>
          <w:i/>
          <w:sz w:val="20"/>
          <w:szCs w:val="20"/>
        </w:rPr>
        <w:t xml:space="preserve">Římské soukromé právo. Systém a instituce. </w:t>
      </w:r>
      <w:r>
        <w:rPr>
          <w:sz w:val="20"/>
          <w:szCs w:val="20"/>
        </w:rPr>
        <w:t xml:space="preserve">2. upravené vydání. Plzeň 2016, s.186. </w:t>
      </w:r>
    </w:p>
  </w:footnote>
  <w:footnote w:id="136">
    <w:p w14:paraId="7430D994" w14:textId="7673EB37" w:rsidR="00CF76F1" w:rsidRPr="005A0159" w:rsidRDefault="00CF76F1" w:rsidP="00332807">
      <w:pPr>
        <w:pStyle w:val="Textpoznpodarou"/>
        <w:jc w:val="both"/>
        <w:rPr>
          <w:sz w:val="20"/>
          <w:szCs w:val="20"/>
        </w:rPr>
      </w:pPr>
      <w:r>
        <w:rPr>
          <w:rStyle w:val="Znakapoznpodarou"/>
        </w:rPr>
        <w:footnoteRef/>
      </w:r>
      <w:r>
        <w:t xml:space="preserve"> </w:t>
      </w:r>
      <w:r>
        <w:rPr>
          <w:sz w:val="20"/>
          <w:szCs w:val="20"/>
        </w:rPr>
        <w:t xml:space="preserve">Edictum – vyhláška císaře, která upravuje záležitost celoříšského významu. </w:t>
      </w:r>
    </w:p>
  </w:footnote>
  <w:footnote w:id="137">
    <w:p w14:paraId="25AE3848" w14:textId="793E871E" w:rsidR="00CF76F1" w:rsidRPr="00242338" w:rsidRDefault="00CF76F1" w:rsidP="00332807">
      <w:pPr>
        <w:pStyle w:val="Textpoznpodarou"/>
        <w:jc w:val="both"/>
        <w:rPr>
          <w:sz w:val="20"/>
          <w:szCs w:val="20"/>
        </w:rPr>
      </w:pPr>
      <w:r>
        <w:rPr>
          <w:rStyle w:val="Znakapoznpodarou"/>
        </w:rPr>
        <w:footnoteRef/>
      </w:r>
      <w:r>
        <w:t xml:space="preserve"> </w:t>
      </w:r>
      <w:r>
        <w:rPr>
          <w:sz w:val="20"/>
          <w:szCs w:val="20"/>
        </w:rPr>
        <w:t xml:space="preserve">BARTOŠEK, Milan. </w:t>
      </w:r>
      <w:r>
        <w:rPr>
          <w:i/>
          <w:sz w:val="20"/>
          <w:szCs w:val="20"/>
        </w:rPr>
        <w:t>Škola právnického myšlení.</w:t>
      </w:r>
      <w:r>
        <w:rPr>
          <w:sz w:val="20"/>
          <w:szCs w:val="20"/>
        </w:rPr>
        <w:t xml:space="preserve"> Vydavatelství Karolinum, Praha 1993, s. 31. </w:t>
      </w:r>
    </w:p>
  </w:footnote>
  <w:footnote w:id="138">
    <w:p w14:paraId="45F81007" w14:textId="3563BE74" w:rsidR="00CF76F1" w:rsidRDefault="00CF76F1" w:rsidP="00332807">
      <w:pPr>
        <w:pStyle w:val="Textpoznpodarou"/>
        <w:jc w:val="both"/>
      </w:pPr>
      <w:r>
        <w:rPr>
          <w:rStyle w:val="Znakapoznpodarou"/>
        </w:rPr>
        <w:footnoteRef/>
      </w:r>
      <w:r>
        <w:t xml:space="preserve"> </w:t>
      </w:r>
      <w:r>
        <w:rPr>
          <w:sz w:val="20"/>
          <w:szCs w:val="20"/>
        </w:rPr>
        <w:t>Actio empti se kupující domáhá především vydání předmětu kupní smlouvy.</w:t>
      </w:r>
    </w:p>
  </w:footnote>
  <w:footnote w:id="139">
    <w:p w14:paraId="0CBDEE8A" w14:textId="595267A4" w:rsidR="00CF76F1" w:rsidRPr="0024127E" w:rsidRDefault="00CF76F1">
      <w:pPr>
        <w:pStyle w:val="Textpoznpodarou"/>
        <w:rPr>
          <w:sz w:val="20"/>
          <w:szCs w:val="20"/>
        </w:rPr>
      </w:pPr>
      <w:r>
        <w:rPr>
          <w:rStyle w:val="Znakapoznpodarou"/>
        </w:rPr>
        <w:footnoteRef/>
      </w:r>
      <w:r>
        <w:t xml:space="preserve"> </w:t>
      </w:r>
      <w:r>
        <w:rPr>
          <w:sz w:val="20"/>
          <w:szCs w:val="20"/>
        </w:rPr>
        <w:t xml:space="preserve">BARTOŠEK, s. 37. </w:t>
      </w:r>
    </w:p>
  </w:footnote>
  <w:footnote w:id="140">
    <w:p w14:paraId="7E4F324F" w14:textId="00328DC7" w:rsidR="00CF76F1" w:rsidRPr="00195190" w:rsidRDefault="00CF76F1" w:rsidP="00F11280">
      <w:pPr>
        <w:pStyle w:val="Textpoznpodarou"/>
        <w:rPr>
          <w:sz w:val="20"/>
          <w:szCs w:val="20"/>
        </w:rPr>
      </w:pPr>
      <w:r>
        <w:rPr>
          <w:rStyle w:val="Znakapoznpodarou"/>
        </w:rPr>
        <w:footnoteRef/>
      </w:r>
      <w:r>
        <w:t xml:space="preserve"> </w:t>
      </w:r>
      <w:r>
        <w:rPr>
          <w:sz w:val="20"/>
          <w:szCs w:val="20"/>
        </w:rPr>
        <w:t xml:space="preserve">D 18. 1. 11. 1. Ulpianus. </w:t>
      </w:r>
    </w:p>
  </w:footnote>
  <w:footnote w:id="141">
    <w:p w14:paraId="660D9010" w14:textId="77777777" w:rsidR="00CF76F1" w:rsidRPr="00BA5F0D" w:rsidRDefault="00CF76F1" w:rsidP="00B96BEB">
      <w:pPr>
        <w:jc w:val="both"/>
        <w:rPr>
          <w:sz w:val="20"/>
          <w:szCs w:val="20"/>
        </w:rPr>
      </w:pPr>
      <w:r w:rsidRPr="00BA5F0D">
        <w:rPr>
          <w:rStyle w:val="Znakapoznpodarou"/>
          <w:sz w:val="20"/>
          <w:szCs w:val="20"/>
        </w:rPr>
        <w:footnoteRef/>
      </w:r>
      <w:r w:rsidRPr="00BA5F0D">
        <w:rPr>
          <w:sz w:val="20"/>
          <w:szCs w:val="20"/>
        </w:rPr>
        <w:t xml:space="preserve"> Recepcí římského práva rozumíme přejímání jeho norem a institutů aplikovatelných v současných právních systémech. Nejvíce se recepce projevuje v právu kontinentálním, které je rozšířené v Evropě (vyjma Anglie a Walesu) v Jižní Americe, ale také v některých zemích Afriky a Asie.</w:t>
      </w:r>
      <w:r>
        <w:rPr>
          <w:sz w:val="20"/>
          <w:szCs w:val="20"/>
        </w:rPr>
        <w:t xml:space="preserve"> </w:t>
      </w:r>
    </w:p>
  </w:footnote>
  <w:footnote w:id="142">
    <w:p w14:paraId="315C9E90" w14:textId="77777777" w:rsidR="00CF76F1" w:rsidRPr="00647F28" w:rsidRDefault="00CF76F1" w:rsidP="00B96BEB">
      <w:pPr>
        <w:pStyle w:val="Textpoznpodarou"/>
        <w:jc w:val="both"/>
        <w:rPr>
          <w:sz w:val="20"/>
          <w:szCs w:val="20"/>
        </w:rPr>
      </w:pPr>
      <w:r>
        <w:rPr>
          <w:rStyle w:val="Znakapoznpodarou"/>
        </w:rPr>
        <w:footnoteRef/>
      </w:r>
      <w:r>
        <w:t xml:space="preserve"> </w:t>
      </w:r>
      <w:r>
        <w:rPr>
          <w:sz w:val="20"/>
          <w:szCs w:val="20"/>
        </w:rPr>
        <w:t xml:space="preserve">ŽIDLICKÁ, Michaela. </w:t>
      </w:r>
      <w:r>
        <w:rPr>
          <w:i/>
          <w:sz w:val="20"/>
          <w:szCs w:val="20"/>
        </w:rPr>
        <w:t>Římské právo a jeho vliv na formování kontinentálního právního systému.</w:t>
      </w:r>
      <w:r>
        <w:rPr>
          <w:sz w:val="20"/>
          <w:szCs w:val="20"/>
        </w:rPr>
        <w:t xml:space="preserve"> Brno: Masarykova univerzita, 1993. s. 18. </w:t>
      </w:r>
    </w:p>
  </w:footnote>
  <w:footnote w:id="143">
    <w:p w14:paraId="493BD19B" w14:textId="77777777" w:rsidR="00CF76F1" w:rsidRPr="004F26A7" w:rsidRDefault="00CF76F1" w:rsidP="00B96BEB">
      <w:pPr>
        <w:pStyle w:val="Textpoznpodarou"/>
        <w:rPr>
          <w:sz w:val="20"/>
          <w:szCs w:val="20"/>
        </w:rPr>
      </w:pPr>
      <w:r>
        <w:rPr>
          <w:rStyle w:val="Znakapoznpodarou"/>
        </w:rPr>
        <w:footnoteRef/>
      </w:r>
      <w:r>
        <w:t xml:space="preserve"> </w:t>
      </w:r>
      <w:r>
        <w:rPr>
          <w:sz w:val="20"/>
          <w:szCs w:val="20"/>
        </w:rPr>
        <w:t xml:space="preserve">Tamtéž. </w:t>
      </w:r>
    </w:p>
  </w:footnote>
  <w:footnote w:id="144">
    <w:p w14:paraId="4596254F" w14:textId="0ED1E06B" w:rsidR="00CF76F1" w:rsidRDefault="00CF76F1" w:rsidP="003C10CC">
      <w:pPr>
        <w:jc w:val="both"/>
      </w:pPr>
      <w:r>
        <w:rPr>
          <w:rStyle w:val="Znakapoznpodarou"/>
        </w:rPr>
        <w:footnoteRef/>
      </w:r>
      <w:r>
        <w:t xml:space="preserve"> </w:t>
      </w:r>
      <w:r w:rsidRPr="003C10CC">
        <w:rPr>
          <w:sz w:val="20"/>
          <w:szCs w:val="20"/>
        </w:rPr>
        <w:t xml:space="preserve">Viz podrobně JANIŠOVÁ, Jana, JANIŠ, Dalibor. </w:t>
      </w:r>
      <w:r w:rsidRPr="003C10CC">
        <w:rPr>
          <w:i/>
          <w:sz w:val="20"/>
          <w:szCs w:val="20"/>
        </w:rPr>
        <w:t>Moravská zemská zřízení a kodifikace zemského práva ve střední Evropě v 16. a na začátku 17. století.</w:t>
      </w:r>
      <w:r w:rsidRPr="003C10CC">
        <w:rPr>
          <w:sz w:val="20"/>
          <w:szCs w:val="20"/>
        </w:rPr>
        <w:t xml:space="preserve"> Praha: Scriptorium, 2016. 478 s.</w:t>
      </w:r>
      <w:r>
        <w:t xml:space="preserve"> </w:t>
      </w:r>
    </w:p>
  </w:footnote>
  <w:footnote w:id="145">
    <w:p w14:paraId="3792AF03" w14:textId="4963B550" w:rsidR="00CF76F1" w:rsidRPr="00EE696A" w:rsidRDefault="00CF76F1" w:rsidP="003C10CC">
      <w:pPr>
        <w:pStyle w:val="Textpoznpodarou"/>
        <w:rPr>
          <w:sz w:val="20"/>
          <w:szCs w:val="20"/>
        </w:rPr>
      </w:pPr>
      <w:r>
        <w:rPr>
          <w:rStyle w:val="Znakapoznpodarou"/>
        </w:rPr>
        <w:footnoteRef/>
      </w:r>
      <w:r>
        <w:t xml:space="preserve"> </w:t>
      </w:r>
      <w:r>
        <w:rPr>
          <w:sz w:val="20"/>
          <w:szCs w:val="20"/>
        </w:rPr>
        <w:t>První díl – o právech obecně, XI., č. 110 – 119.</w:t>
      </w:r>
    </w:p>
  </w:footnote>
  <w:footnote w:id="146">
    <w:p w14:paraId="2B0D5B68" w14:textId="6F76A9A6" w:rsidR="00CF76F1" w:rsidRPr="007F2186" w:rsidRDefault="00CF76F1" w:rsidP="007F2186">
      <w:pPr>
        <w:pStyle w:val="Textpoznpodarou"/>
        <w:jc w:val="both"/>
        <w:rPr>
          <w:sz w:val="20"/>
          <w:szCs w:val="20"/>
        </w:rPr>
      </w:pPr>
      <w:r>
        <w:rPr>
          <w:rStyle w:val="Znakapoznpodarou"/>
        </w:rPr>
        <w:footnoteRef/>
      </w:r>
      <w:r>
        <w:t xml:space="preserve"> </w:t>
      </w:r>
      <w:r>
        <w:rPr>
          <w:sz w:val="20"/>
          <w:szCs w:val="20"/>
        </w:rPr>
        <w:t xml:space="preserve">Sedláček in ROUČEK, František. SEDLÁČEK, Jaromír. </w:t>
      </w:r>
      <w:r>
        <w:rPr>
          <w:i/>
          <w:sz w:val="20"/>
          <w:szCs w:val="20"/>
        </w:rPr>
        <w:t xml:space="preserve">Komentář k československému obecnému zákoníku občanskému. </w:t>
      </w:r>
      <w:r>
        <w:rPr>
          <w:sz w:val="20"/>
          <w:szCs w:val="20"/>
        </w:rPr>
        <w:t>Díl IV. (§§859 až 1089). V. Linhart: Praha 1936, s. 91. (Dále jen ROUČEK,</w:t>
      </w:r>
      <w:r w:rsidRPr="00AC50B7">
        <w:rPr>
          <w:sz w:val="20"/>
          <w:szCs w:val="20"/>
        </w:rPr>
        <w:t xml:space="preserve"> </w:t>
      </w:r>
      <w:r>
        <w:rPr>
          <w:sz w:val="20"/>
          <w:szCs w:val="20"/>
        </w:rPr>
        <w:t xml:space="preserve">SEDLÁČEK). </w:t>
      </w:r>
    </w:p>
  </w:footnote>
  <w:footnote w:id="147">
    <w:p w14:paraId="089F61BE" w14:textId="58FE89FD" w:rsidR="00CF76F1" w:rsidRPr="00CA1B9B" w:rsidRDefault="00CF76F1">
      <w:pPr>
        <w:pStyle w:val="Textpoznpodarou"/>
        <w:rPr>
          <w:sz w:val="20"/>
          <w:szCs w:val="20"/>
        </w:rPr>
      </w:pPr>
      <w:r>
        <w:rPr>
          <w:rStyle w:val="Znakapoznpodarou"/>
        </w:rPr>
        <w:footnoteRef/>
      </w:r>
      <w:r>
        <w:t xml:space="preserve"> </w:t>
      </w:r>
      <w:r>
        <w:rPr>
          <w:sz w:val="20"/>
          <w:szCs w:val="20"/>
        </w:rPr>
        <w:t xml:space="preserve">Tamtéž. </w:t>
      </w:r>
    </w:p>
  </w:footnote>
  <w:footnote w:id="148">
    <w:p w14:paraId="5C0AFCBA" w14:textId="0166712D" w:rsidR="00CF76F1" w:rsidRDefault="00CF76F1">
      <w:pPr>
        <w:pStyle w:val="Textpoznpodarou"/>
      </w:pPr>
      <w:r>
        <w:rPr>
          <w:rStyle w:val="Znakapoznpodarou"/>
        </w:rPr>
        <w:footnoteRef/>
      </w:r>
      <w:r>
        <w:t xml:space="preserve"> </w:t>
      </w:r>
      <w:r>
        <w:rPr>
          <w:sz w:val="20"/>
          <w:szCs w:val="20"/>
        </w:rPr>
        <w:t>Sedláček in ROUČEK, SEDLÁČEK, s. 245.</w:t>
      </w:r>
    </w:p>
  </w:footnote>
  <w:footnote w:id="149">
    <w:p w14:paraId="4CF0DBDB" w14:textId="427065C8" w:rsidR="00CF76F1" w:rsidRPr="008C154F" w:rsidRDefault="00CF76F1">
      <w:pPr>
        <w:pStyle w:val="Textpoznpodarou"/>
        <w:rPr>
          <w:sz w:val="20"/>
          <w:szCs w:val="20"/>
        </w:rPr>
      </w:pPr>
      <w:r>
        <w:rPr>
          <w:rStyle w:val="Znakapoznpodarou"/>
        </w:rPr>
        <w:footnoteRef/>
      </w:r>
      <w:r>
        <w:t xml:space="preserve"> </w:t>
      </w:r>
      <w:r>
        <w:rPr>
          <w:sz w:val="20"/>
          <w:szCs w:val="20"/>
        </w:rPr>
        <w:t xml:space="preserve">Tamtéž, s. 247. </w:t>
      </w:r>
    </w:p>
  </w:footnote>
  <w:footnote w:id="150">
    <w:p w14:paraId="45A5337F" w14:textId="0BB6F151" w:rsidR="00CF76F1" w:rsidRPr="00200F39" w:rsidRDefault="00CF76F1" w:rsidP="00393E2F">
      <w:pPr>
        <w:pStyle w:val="Textpoznpodarou"/>
        <w:jc w:val="both"/>
        <w:rPr>
          <w:sz w:val="20"/>
          <w:szCs w:val="20"/>
        </w:rPr>
      </w:pPr>
      <w:r>
        <w:rPr>
          <w:rStyle w:val="Znakapoznpodarou"/>
        </w:rPr>
        <w:footnoteRef/>
      </w:r>
      <w:r>
        <w:t xml:space="preserve"> </w:t>
      </w:r>
      <w:r>
        <w:rPr>
          <w:sz w:val="20"/>
          <w:szCs w:val="20"/>
        </w:rPr>
        <w:t xml:space="preserve">Důvodová zpráva k zákonu č. 89/2012 Sb., občanský zákoník [online]. [cit. 25. 8. 2018] Dostupné na: </w:t>
      </w:r>
      <w:hyperlink r:id="rId7" w:history="1">
        <w:r w:rsidRPr="00D77607">
          <w:rPr>
            <w:rStyle w:val="Hypertextovodkaz"/>
            <w:sz w:val="20"/>
            <w:szCs w:val="20"/>
          </w:rPr>
          <w:t>http://obcanskyzakonik.justice.cz/index.php/home/zakony-a-stanoviska/legislativni-proces</w:t>
        </w:r>
      </w:hyperlink>
      <w:r>
        <w:rPr>
          <w:sz w:val="20"/>
          <w:szCs w:val="20"/>
        </w:rPr>
        <w:t xml:space="preserve">  </w:t>
      </w:r>
    </w:p>
  </w:footnote>
  <w:footnote w:id="151">
    <w:p w14:paraId="34F2C2CA" w14:textId="6E741F78" w:rsidR="00CF76F1" w:rsidRPr="008412A6" w:rsidRDefault="00CF76F1" w:rsidP="008412A6">
      <w:pPr>
        <w:jc w:val="both"/>
      </w:pPr>
      <w:r>
        <w:rPr>
          <w:rStyle w:val="Znakapoznpodarou"/>
        </w:rPr>
        <w:footnoteRef/>
      </w:r>
      <w:r>
        <w:t xml:space="preserve"> </w:t>
      </w:r>
      <w:r>
        <w:rPr>
          <w:sz w:val="20"/>
          <w:szCs w:val="20"/>
        </w:rPr>
        <w:t>J</w:t>
      </w:r>
      <w:r w:rsidRPr="009D1463">
        <w:rPr>
          <w:sz w:val="20"/>
          <w:szCs w:val="20"/>
        </w:rPr>
        <w:t>ejímž úkolem bylo kodifikovat a ta</w:t>
      </w:r>
      <w:r>
        <w:rPr>
          <w:sz w:val="20"/>
          <w:szCs w:val="20"/>
        </w:rPr>
        <w:t>ké přepracovat celý právní řád (</w:t>
      </w:r>
      <w:r w:rsidRPr="009D1463">
        <w:rPr>
          <w:sz w:val="20"/>
          <w:szCs w:val="20"/>
        </w:rPr>
        <w:t>období 1948 – 1950</w:t>
      </w:r>
      <w:r>
        <w:rPr>
          <w:sz w:val="20"/>
          <w:szCs w:val="20"/>
        </w:rPr>
        <w:t>).</w:t>
      </w:r>
    </w:p>
  </w:footnote>
  <w:footnote w:id="152">
    <w:p w14:paraId="4A7057CF" w14:textId="7E43DABB" w:rsidR="00CF76F1" w:rsidRPr="008412A6" w:rsidRDefault="00CF76F1" w:rsidP="008412A6">
      <w:pPr>
        <w:pStyle w:val="Textpoznpodarou"/>
        <w:rPr>
          <w:sz w:val="20"/>
          <w:szCs w:val="20"/>
        </w:rPr>
      </w:pPr>
      <w:r>
        <w:rPr>
          <w:rStyle w:val="Znakapoznpodarou"/>
        </w:rPr>
        <w:footnoteRef/>
      </w:r>
      <w:r>
        <w:t xml:space="preserve"> </w:t>
      </w:r>
      <w:r>
        <w:rPr>
          <w:sz w:val="20"/>
          <w:szCs w:val="20"/>
        </w:rPr>
        <w:t xml:space="preserve">KUKLÍK, Jan. </w:t>
      </w:r>
      <w:r>
        <w:rPr>
          <w:i/>
          <w:sz w:val="20"/>
          <w:szCs w:val="20"/>
        </w:rPr>
        <w:t xml:space="preserve">Vývoj československého práva 1945-1989. </w:t>
      </w:r>
      <w:r>
        <w:rPr>
          <w:sz w:val="20"/>
          <w:szCs w:val="20"/>
        </w:rPr>
        <w:t xml:space="preserve">Praha: Linde, 2009. s. 518, 519. </w:t>
      </w:r>
    </w:p>
  </w:footnote>
  <w:footnote w:id="153">
    <w:p w14:paraId="7F84DBD7" w14:textId="77E82DA2" w:rsidR="00CF76F1" w:rsidRDefault="00CF76F1">
      <w:pPr>
        <w:pStyle w:val="Textpoznpodarou"/>
      </w:pPr>
      <w:r>
        <w:rPr>
          <w:rStyle w:val="Znakapoznpodarou"/>
        </w:rPr>
        <w:footnoteRef/>
      </w:r>
      <w:r>
        <w:t xml:space="preserve"> </w:t>
      </w:r>
      <w:r>
        <w:rPr>
          <w:sz w:val="20"/>
          <w:szCs w:val="20"/>
        </w:rPr>
        <w:t>Nejvyšší soud,</w:t>
      </w:r>
      <w:r w:rsidRPr="00AD716A">
        <w:rPr>
          <w:sz w:val="20"/>
          <w:szCs w:val="20"/>
        </w:rPr>
        <w:t xml:space="preserve"> sp. zn. 24 Cdo 192/98</w:t>
      </w:r>
      <w:r>
        <w:rPr>
          <w:sz w:val="20"/>
          <w:szCs w:val="20"/>
        </w:rPr>
        <w:t>.</w:t>
      </w:r>
    </w:p>
  </w:footnote>
  <w:footnote w:id="154">
    <w:p w14:paraId="17847393" w14:textId="78DDF0A7" w:rsidR="00CF76F1" w:rsidRPr="00332807" w:rsidRDefault="00CF76F1" w:rsidP="002544A6">
      <w:pPr>
        <w:pStyle w:val="Textpoznpodarou"/>
        <w:jc w:val="both"/>
        <w:rPr>
          <w:sz w:val="20"/>
          <w:szCs w:val="20"/>
        </w:rPr>
      </w:pPr>
      <w:r>
        <w:rPr>
          <w:rStyle w:val="Znakapoznpodarou"/>
        </w:rPr>
        <w:footnoteRef/>
      </w:r>
      <w:r>
        <w:t xml:space="preserve"> </w:t>
      </w:r>
      <w:r>
        <w:rPr>
          <w:sz w:val="20"/>
          <w:szCs w:val="20"/>
        </w:rPr>
        <w:t xml:space="preserve">ZUKLÍNOVÁ, Michaela. </w:t>
      </w:r>
      <w:r>
        <w:rPr>
          <w:i/>
          <w:sz w:val="20"/>
          <w:szCs w:val="20"/>
        </w:rPr>
        <w:t xml:space="preserve">Právní jednání podle občanského zákoníku č. 89/2012 Sb. Komentář, srovnání se zahraničím a vybraná platná judikatura. </w:t>
      </w:r>
      <w:r>
        <w:rPr>
          <w:sz w:val="20"/>
          <w:szCs w:val="20"/>
        </w:rPr>
        <w:t>2. vyd. Praha, 2013, s. 21. (Dále jen ZUKLÍNOVÁ).</w:t>
      </w:r>
    </w:p>
  </w:footnote>
  <w:footnote w:id="155">
    <w:p w14:paraId="03FD0006" w14:textId="3C1E33ED" w:rsidR="00CF76F1" w:rsidRPr="00797BF2" w:rsidRDefault="00CF76F1" w:rsidP="00332807">
      <w:pPr>
        <w:pStyle w:val="Textpoznpodarou"/>
        <w:jc w:val="both"/>
        <w:rPr>
          <w:sz w:val="20"/>
          <w:szCs w:val="20"/>
        </w:rPr>
      </w:pPr>
      <w:r>
        <w:rPr>
          <w:rStyle w:val="Znakapoznpodarou"/>
        </w:rPr>
        <w:footnoteRef/>
      </w:r>
      <w:r>
        <w:t xml:space="preserve"> </w:t>
      </w:r>
      <w:r>
        <w:rPr>
          <w:sz w:val="20"/>
          <w:szCs w:val="20"/>
        </w:rPr>
        <w:t xml:space="preserve">§ 551-554 zákona č. 89/2012 Sb. </w:t>
      </w:r>
    </w:p>
  </w:footnote>
  <w:footnote w:id="156">
    <w:p w14:paraId="42E0D247" w14:textId="2B27AA3F" w:rsidR="00CF76F1" w:rsidRDefault="00CF76F1" w:rsidP="00ED567E">
      <w:pPr>
        <w:pStyle w:val="Textpoznpodarou"/>
        <w:jc w:val="both"/>
      </w:pPr>
      <w:r>
        <w:rPr>
          <w:rStyle w:val="Znakapoznpodarou"/>
        </w:rPr>
        <w:footnoteRef/>
      </w:r>
      <w:r>
        <w:t xml:space="preserve"> </w:t>
      </w:r>
      <w:r>
        <w:rPr>
          <w:sz w:val="20"/>
          <w:szCs w:val="20"/>
        </w:rPr>
        <w:t>ZUKLÍNOVÁ, s. 21.</w:t>
      </w:r>
    </w:p>
  </w:footnote>
  <w:footnote w:id="157">
    <w:p w14:paraId="6AB96033" w14:textId="005F348F" w:rsidR="00CF76F1" w:rsidRPr="00A72FE7" w:rsidRDefault="00CF76F1">
      <w:pPr>
        <w:pStyle w:val="Textpoznpodarou"/>
        <w:rPr>
          <w:sz w:val="20"/>
          <w:szCs w:val="20"/>
        </w:rPr>
      </w:pPr>
      <w:r>
        <w:rPr>
          <w:rStyle w:val="Znakapoznpodarou"/>
        </w:rPr>
        <w:footnoteRef/>
      </w:r>
      <w:r>
        <w:t xml:space="preserve"> </w:t>
      </w:r>
      <w:r>
        <w:rPr>
          <w:sz w:val="20"/>
          <w:szCs w:val="20"/>
        </w:rPr>
        <w:t xml:space="preserve">§ 580 zákona č. 89/2012 Sb. </w:t>
      </w:r>
    </w:p>
  </w:footnote>
  <w:footnote w:id="158">
    <w:p w14:paraId="2B2F65E9" w14:textId="01F6DDB8" w:rsidR="00CF76F1" w:rsidRDefault="00CF76F1">
      <w:pPr>
        <w:pStyle w:val="Textpoznpodarou"/>
      </w:pPr>
      <w:r>
        <w:rPr>
          <w:rStyle w:val="Znakapoznpodarou"/>
        </w:rPr>
        <w:footnoteRef/>
      </w:r>
      <w:r>
        <w:t xml:space="preserve"> </w:t>
      </w:r>
      <w:r>
        <w:rPr>
          <w:sz w:val="20"/>
          <w:szCs w:val="20"/>
        </w:rPr>
        <w:t>Tamtéž, § 581.</w:t>
      </w:r>
    </w:p>
  </w:footnote>
  <w:footnote w:id="159">
    <w:p w14:paraId="7536F0E0" w14:textId="06CB8A6B" w:rsidR="00CF76F1" w:rsidRPr="00842435" w:rsidRDefault="00CF76F1">
      <w:pPr>
        <w:pStyle w:val="Textpoznpodarou"/>
        <w:rPr>
          <w:sz w:val="20"/>
          <w:szCs w:val="20"/>
        </w:rPr>
      </w:pPr>
      <w:r>
        <w:rPr>
          <w:rStyle w:val="Znakapoznpodarou"/>
        </w:rPr>
        <w:footnoteRef/>
      </w:r>
      <w:r>
        <w:t xml:space="preserve"> </w:t>
      </w:r>
      <w:r>
        <w:rPr>
          <w:sz w:val="20"/>
          <w:szCs w:val="20"/>
        </w:rPr>
        <w:t xml:space="preserve">Tamtéž, § 553. </w:t>
      </w:r>
    </w:p>
  </w:footnote>
  <w:footnote w:id="160">
    <w:p w14:paraId="720D3673" w14:textId="191E872C" w:rsidR="00CF76F1" w:rsidRPr="00C040F7" w:rsidRDefault="00CF76F1" w:rsidP="00D35BD1">
      <w:pPr>
        <w:pStyle w:val="Textpoznpodarou"/>
        <w:jc w:val="both"/>
        <w:rPr>
          <w:sz w:val="20"/>
          <w:szCs w:val="20"/>
        </w:rPr>
      </w:pPr>
      <w:r>
        <w:rPr>
          <w:rStyle w:val="Znakapoznpodarou"/>
        </w:rPr>
        <w:footnoteRef/>
      </w:r>
      <w:r>
        <w:t xml:space="preserve"> </w:t>
      </w:r>
      <w:r>
        <w:rPr>
          <w:sz w:val="20"/>
          <w:szCs w:val="20"/>
        </w:rPr>
        <w:t xml:space="preserve">Tamtéž, § 582. </w:t>
      </w:r>
    </w:p>
  </w:footnote>
  <w:footnote w:id="161">
    <w:p w14:paraId="53E82029" w14:textId="1029D39B" w:rsidR="00CF76F1" w:rsidRDefault="00CF76F1" w:rsidP="008F3386">
      <w:pPr>
        <w:pStyle w:val="Textpoznpodarou"/>
        <w:jc w:val="both"/>
      </w:pPr>
      <w:r>
        <w:rPr>
          <w:rStyle w:val="Znakapoznpodarou"/>
        </w:rPr>
        <w:footnoteRef/>
      </w:r>
      <w:r>
        <w:t xml:space="preserve"> </w:t>
      </w:r>
      <w:r w:rsidRPr="00304165">
        <w:rPr>
          <w:sz w:val="20"/>
          <w:szCs w:val="20"/>
        </w:rPr>
        <w:t>Melzer in</w:t>
      </w:r>
      <w:r>
        <w:t xml:space="preserve"> </w:t>
      </w:r>
      <w:r>
        <w:rPr>
          <w:sz w:val="20"/>
          <w:szCs w:val="20"/>
        </w:rPr>
        <w:t xml:space="preserve">MELZER, Filip, TÉGL, Petr a kol. </w:t>
      </w:r>
      <w:r>
        <w:rPr>
          <w:i/>
          <w:sz w:val="20"/>
          <w:szCs w:val="20"/>
        </w:rPr>
        <w:t xml:space="preserve">Občanský zákoník - velký komentář. Svazek III. § 419 – 654. </w:t>
      </w:r>
      <w:r>
        <w:rPr>
          <w:sz w:val="20"/>
          <w:szCs w:val="20"/>
        </w:rPr>
        <w:t xml:space="preserve">Praha: Leges, 2014, s. 561. </w:t>
      </w:r>
    </w:p>
  </w:footnote>
  <w:footnote w:id="162">
    <w:p w14:paraId="16A75407" w14:textId="30D83BB2" w:rsidR="00CF76F1" w:rsidRDefault="00CF76F1" w:rsidP="00D35BD1">
      <w:pPr>
        <w:pStyle w:val="Textpoznpodarou"/>
        <w:jc w:val="both"/>
      </w:pPr>
      <w:r>
        <w:rPr>
          <w:rStyle w:val="Znakapoznpodarou"/>
        </w:rPr>
        <w:footnoteRef/>
      </w:r>
      <w:r>
        <w:t xml:space="preserve"> </w:t>
      </w:r>
      <w:r>
        <w:rPr>
          <w:sz w:val="20"/>
          <w:szCs w:val="20"/>
        </w:rPr>
        <w:t xml:space="preserve">Tamtéž, s. 755. </w:t>
      </w:r>
    </w:p>
  </w:footnote>
  <w:footnote w:id="163">
    <w:p w14:paraId="3032EFDA" w14:textId="0801307A" w:rsidR="00CF76F1" w:rsidRDefault="00CF76F1" w:rsidP="00D35BD1">
      <w:pPr>
        <w:pStyle w:val="Textpoznpodarou"/>
        <w:jc w:val="both"/>
      </w:pPr>
      <w:r>
        <w:rPr>
          <w:rStyle w:val="Znakapoznpodarou"/>
        </w:rPr>
        <w:footnoteRef/>
      </w:r>
      <w:r>
        <w:t xml:space="preserve"> </w:t>
      </w:r>
      <w:r>
        <w:rPr>
          <w:sz w:val="20"/>
          <w:szCs w:val="20"/>
        </w:rPr>
        <w:t xml:space="preserve">Handlar in </w:t>
      </w:r>
      <w:r w:rsidRPr="00667DE9">
        <w:rPr>
          <w:sz w:val="20"/>
          <w:szCs w:val="20"/>
        </w:rPr>
        <w:t>LAVICKÝ</w:t>
      </w:r>
      <w:r>
        <w:rPr>
          <w:sz w:val="20"/>
          <w:szCs w:val="20"/>
        </w:rPr>
        <w:t xml:space="preserve">, Petr a kol. </w:t>
      </w:r>
      <w:r>
        <w:rPr>
          <w:i/>
          <w:sz w:val="20"/>
          <w:szCs w:val="20"/>
        </w:rPr>
        <w:t>Občanský zákoník I. Obecná část (§1 – 654)</w:t>
      </w:r>
      <w:r>
        <w:rPr>
          <w:sz w:val="20"/>
          <w:szCs w:val="20"/>
        </w:rPr>
        <w:t xml:space="preserve">. </w:t>
      </w:r>
      <w:r w:rsidRPr="00E403AE">
        <w:rPr>
          <w:i/>
          <w:sz w:val="20"/>
          <w:szCs w:val="20"/>
        </w:rPr>
        <w:t>Komentář.</w:t>
      </w:r>
      <w:r>
        <w:rPr>
          <w:sz w:val="20"/>
          <w:szCs w:val="20"/>
        </w:rPr>
        <w:t xml:space="preserve"> 1. vydání. Praha: C. H. Beck, 2014, s. 2102.</w:t>
      </w:r>
    </w:p>
  </w:footnote>
  <w:footnote w:id="164">
    <w:p w14:paraId="0899CE5D" w14:textId="7910B7DD" w:rsidR="00CF76F1" w:rsidRPr="00667DE9" w:rsidRDefault="00CF76F1" w:rsidP="00D35BD1">
      <w:pPr>
        <w:pStyle w:val="Textpoznpodarou"/>
        <w:jc w:val="both"/>
        <w:rPr>
          <w:sz w:val="20"/>
          <w:szCs w:val="20"/>
        </w:rPr>
      </w:pPr>
      <w:r>
        <w:rPr>
          <w:rStyle w:val="Znakapoznpodarou"/>
        </w:rPr>
        <w:footnoteRef/>
      </w:r>
      <w:r>
        <w:t xml:space="preserve"> </w:t>
      </w:r>
      <w:r>
        <w:rPr>
          <w:sz w:val="20"/>
          <w:szCs w:val="20"/>
        </w:rPr>
        <w:t xml:space="preserve">Tamtéž.  </w:t>
      </w:r>
    </w:p>
  </w:footnote>
  <w:footnote w:id="165">
    <w:p w14:paraId="49BA8982" w14:textId="666F961D" w:rsidR="00CF76F1" w:rsidRPr="000638FE" w:rsidRDefault="00CF76F1" w:rsidP="00D35BD1">
      <w:pPr>
        <w:pStyle w:val="Textpoznpodarou"/>
        <w:jc w:val="both"/>
        <w:rPr>
          <w:sz w:val="20"/>
          <w:szCs w:val="20"/>
        </w:rPr>
      </w:pPr>
      <w:r>
        <w:rPr>
          <w:rStyle w:val="Znakapoznpodarou"/>
        </w:rPr>
        <w:footnoteRef/>
      </w:r>
      <w:r>
        <w:t xml:space="preserve"> </w:t>
      </w:r>
      <w:r>
        <w:rPr>
          <w:sz w:val="20"/>
          <w:szCs w:val="20"/>
        </w:rPr>
        <w:t xml:space="preserve">§ 583, z. č. 89/2012 Sb. </w:t>
      </w:r>
    </w:p>
  </w:footnote>
  <w:footnote w:id="166">
    <w:p w14:paraId="60B08C3E" w14:textId="7F9C188F" w:rsidR="00CF76F1" w:rsidRDefault="00CF76F1" w:rsidP="00D35BD1">
      <w:pPr>
        <w:pStyle w:val="Textpoznpodarou"/>
        <w:jc w:val="both"/>
      </w:pPr>
      <w:r>
        <w:rPr>
          <w:rStyle w:val="Znakapoznpodarou"/>
        </w:rPr>
        <w:footnoteRef/>
      </w:r>
      <w:r>
        <w:t xml:space="preserve"> </w:t>
      </w:r>
      <w:r>
        <w:rPr>
          <w:sz w:val="20"/>
          <w:szCs w:val="20"/>
        </w:rPr>
        <w:t xml:space="preserve">Handlar </w:t>
      </w:r>
      <w:r w:rsidRPr="00AF2E93">
        <w:rPr>
          <w:sz w:val="20"/>
          <w:szCs w:val="20"/>
        </w:rPr>
        <w:t>in LAVICKÝ,</w:t>
      </w:r>
      <w:r>
        <w:rPr>
          <w:sz w:val="20"/>
          <w:szCs w:val="20"/>
        </w:rPr>
        <w:t xml:space="preserve"> Petr a kol. </w:t>
      </w:r>
      <w:r>
        <w:rPr>
          <w:i/>
          <w:sz w:val="20"/>
          <w:szCs w:val="20"/>
        </w:rPr>
        <w:t>Občanský zákoník I. Obecná část (§1 – 654)</w:t>
      </w:r>
      <w:r>
        <w:rPr>
          <w:sz w:val="20"/>
          <w:szCs w:val="20"/>
        </w:rPr>
        <w:t xml:space="preserve">. </w:t>
      </w:r>
      <w:r w:rsidRPr="00E403AE">
        <w:rPr>
          <w:i/>
          <w:sz w:val="20"/>
          <w:szCs w:val="20"/>
        </w:rPr>
        <w:t>Komentář.</w:t>
      </w:r>
      <w:r>
        <w:rPr>
          <w:sz w:val="20"/>
          <w:szCs w:val="20"/>
        </w:rPr>
        <w:t xml:space="preserve"> 1. vydání. Praha: C. H. Beck, 2014, s. 2106. </w:t>
      </w:r>
    </w:p>
  </w:footnote>
  <w:footnote w:id="167">
    <w:p w14:paraId="4670D30D" w14:textId="68336213" w:rsidR="00CF76F1" w:rsidRPr="004F213D" w:rsidRDefault="00CF76F1" w:rsidP="008F3386">
      <w:pPr>
        <w:pStyle w:val="Textpoznpodarou"/>
        <w:jc w:val="both"/>
        <w:rPr>
          <w:sz w:val="20"/>
          <w:szCs w:val="20"/>
        </w:rPr>
      </w:pPr>
      <w:r>
        <w:rPr>
          <w:rStyle w:val="Znakapoznpodarou"/>
        </w:rPr>
        <w:footnoteRef/>
      </w:r>
      <w:r>
        <w:t xml:space="preserve"> </w:t>
      </w:r>
      <w:r>
        <w:rPr>
          <w:sz w:val="20"/>
          <w:szCs w:val="20"/>
        </w:rPr>
        <w:t>Rozsudek NS ze dne 27. 3. 2001, sp. zn. 25 Cdo 2987/2000.</w:t>
      </w:r>
    </w:p>
  </w:footnote>
  <w:footnote w:id="168">
    <w:p w14:paraId="30920D69" w14:textId="77777777" w:rsidR="00CF76F1" w:rsidRPr="006D0B02" w:rsidRDefault="00CF76F1" w:rsidP="008F3386">
      <w:pPr>
        <w:pStyle w:val="Textpoznpodarou"/>
        <w:jc w:val="both"/>
        <w:rPr>
          <w:sz w:val="20"/>
          <w:szCs w:val="20"/>
        </w:rPr>
      </w:pPr>
      <w:r>
        <w:rPr>
          <w:rStyle w:val="Znakapoznpodarou"/>
        </w:rPr>
        <w:footnoteRef/>
      </w:r>
      <w:r>
        <w:t xml:space="preserve"> </w:t>
      </w:r>
      <w:r>
        <w:rPr>
          <w:sz w:val="20"/>
          <w:szCs w:val="20"/>
        </w:rPr>
        <w:t xml:space="preserve">Druhou stranou lze rozumět jak adresát právního jednání, tak jeho případného zástupce. </w:t>
      </w:r>
    </w:p>
  </w:footnote>
  <w:footnote w:id="169">
    <w:p w14:paraId="6E194085" w14:textId="244DEBED" w:rsidR="00CF76F1" w:rsidRDefault="00CF76F1" w:rsidP="008F3386">
      <w:pPr>
        <w:pStyle w:val="Textpoznpodarou"/>
        <w:jc w:val="both"/>
      </w:pPr>
      <w:r>
        <w:rPr>
          <w:rStyle w:val="Znakapoznpodarou"/>
        </w:rPr>
        <w:footnoteRef/>
      </w:r>
      <w:r>
        <w:t xml:space="preserve"> </w:t>
      </w:r>
      <w:r w:rsidRPr="009B47EE">
        <w:rPr>
          <w:sz w:val="20"/>
          <w:szCs w:val="20"/>
        </w:rPr>
        <w:t>§ 871 OZO a § 49a věta první OZ, OZ 1950 výslovnou úpravu neobsahoval – vycházelo se však ze zásady ochrany důvěry v projevený projev, což mělo stejné důsledky</w:t>
      </w:r>
      <w:r>
        <w:rPr>
          <w:sz w:val="20"/>
          <w:szCs w:val="20"/>
        </w:rPr>
        <w:t xml:space="preserve">. </w:t>
      </w:r>
      <w:r w:rsidRPr="009B47EE">
        <w:rPr>
          <w:sz w:val="20"/>
          <w:szCs w:val="20"/>
        </w:rPr>
        <w:t xml:space="preserve">KNAPP, Viktor. </w:t>
      </w:r>
      <w:r w:rsidRPr="009B47EE">
        <w:rPr>
          <w:i/>
          <w:sz w:val="20"/>
          <w:szCs w:val="20"/>
        </w:rPr>
        <w:t xml:space="preserve">Učebnice občanského a rodinného práva. Svazek I. </w:t>
      </w:r>
      <w:r>
        <w:rPr>
          <w:sz w:val="20"/>
          <w:szCs w:val="20"/>
        </w:rPr>
        <w:t>2. vydání. Praha: Orbis, 1955,</w:t>
      </w:r>
      <w:r w:rsidRPr="009B47EE">
        <w:rPr>
          <w:sz w:val="20"/>
          <w:szCs w:val="20"/>
        </w:rPr>
        <w:t xml:space="preserve"> s. 209.</w:t>
      </w:r>
    </w:p>
  </w:footnote>
  <w:footnote w:id="170">
    <w:p w14:paraId="2D0FB04B" w14:textId="70E42B44" w:rsidR="00CF76F1" w:rsidRPr="002A7DE8" w:rsidRDefault="00CF76F1" w:rsidP="008F3386">
      <w:pPr>
        <w:pStyle w:val="Textpoznpodarou"/>
        <w:jc w:val="both"/>
        <w:rPr>
          <w:sz w:val="20"/>
          <w:szCs w:val="20"/>
        </w:rPr>
      </w:pPr>
      <w:r>
        <w:rPr>
          <w:rStyle w:val="Znakapoznpodarou"/>
        </w:rPr>
        <w:footnoteRef/>
      </w:r>
      <w:r>
        <w:t xml:space="preserve"> </w:t>
      </w:r>
      <w:r>
        <w:rPr>
          <w:sz w:val="20"/>
          <w:szCs w:val="20"/>
        </w:rPr>
        <w:t xml:space="preserve">Handlar in </w:t>
      </w:r>
      <w:r w:rsidRPr="00304165">
        <w:rPr>
          <w:sz w:val="20"/>
          <w:szCs w:val="20"/>
        </w:rPr>
        <w:t xml:space="preserve">LAVICKÝ, Petr </w:t>
      </w:r>
      <w:r>
        <w:rPr>
          <w:sz w:val="20"/>
          <w:szCs w:val="20"/>
        </w:rPr>
        <w:t xml:space="preserve">a kol. </w:t>
      </w:r>
      <w:r>
        <w:rPr>
          <w:i/>
          <w:sz w:val="20"/>
          <w:szCs w:val="20"/>
        </w:rPr>
        <w:t>Občanský zákoník I. Obecná část (§1 – 654)</w:t>
      </w:r>
      <w:r>
        <w:rPr>
          <w:sz w:val="20"/>
          <w:szCs w:val="20"/>
        </w:rPr>
        <w:t xml:space="preserve">. </w:t>
      </w:r>
      <w:r w:rsidRPr="00E403AE">
        <w:rPr>
          <w:i/>
          <w:sz w:val="20"/>
          <w:szCs w:val="20"/>
        </w:rPr>
        <w:t>Komentář.</w:t>
      </w:r>
      <w:r>
        <w:rPr>
          <w:sz w:val="20"/>
          <w:szCs w:val="20"/>
        </w:rPr>
        <w:t xml:space="preserve"> 1. vydání. Praha: C. H. Beck, 2014, s. 2106.</w:t>
      </w:r>
    </w:p>
  </w:footnote>
  <w:footnote w:id="171">
    <w:p w14:paraId="67C5A984" w14:textId="7C5CB587" w:rsidR="00CF76F1" w:rsidRPr="00E403AE" w:rsidRDefault="00CF76F1" w:rsidP="008F3386">
      <w:pPr>
        <w:pStyle w:val="Textpoznpodarou"/>
        <w:jc w:val="both"/>
        <w:rPr>
          <w:sz w:val="20"/>
        </w:rPr>
      </w:pPr>
      <w:r>
        <w:rPr>
          <w:rStyle w:val="Znakapoznpodarou"/>
        </w:rPr>
        <w:footnoteRef/>
      </w:r>
      <w:r>
        <w:t xml:space="preserve"> </w:t>
      </w:r>
      <w:r w:rsidRPr="00304165">
        <w:rPr>
          <w:sz w:val="20"/>
          <w:szCs w:val="20"/>
        </w:rPr>
        <w:t>Tichý in</w:t>
      </w:r>
      <w:r>
        <w:t xml:space="preserve"> </w:t>
      </w:r>
      <w:r>
        <w:rPr>
          <w:sz w:val="20"/>
        </w:rPr>
        <w:t xml:space="preserve">ŠVESTKA, Jiří a kol. </w:t>
      </w:r>
      <w:r>
        <w:rPr>
          <w:i/>
          <w:sz w:val="20"/>
        </w:rPr>
        <w:t>Občanský zákoník. Komentář. Svazek I.</w:t>
      </w:r>
      <w:r>
        <w:rPr>
          <w:sz w:val="20"/>
        </w:rPr>
        <w:t xml:space="preserve"> Praha: Wolters Kluwer, a.s., 2014, s. 1467. </w:t>
      </w:r>
    </w:p>
  </w:footnote>
  <w:footnote w:id="172">
    <w:p w14:paraId="6130989D" w14:textId="77777777" w:rsidR="00CF76F1" w:rsidRDefault="00CF76F1" w:rsidP="008F3386">
      <w:pPr>
        <w:pStyle w:val="Textpoznpodarou"/>
        <w:jc w:val="both"/>
      </w:pPr>
      <w:r>
        <w:rPr>
          <w:rStyle w:val="Znakapoznpodarou"/>
        </w:rPr>
        <w:footnoteRef/>
      </w:r>
      <w:r>
        <w:t xml:space="preserve"> </w:t>
      </w:r>
      <w:r w:rsidRPr="00786CEB">
        <w:rPr>
          <w:sz w:val="20"/>
          <w:szCs w:val="20"/>
        </w:rPr>
        <w:t>§ 6</w:t>
      </w:r>
      <w:r>
        <w:rPr>
          <w:sz w:val="20"/>
          <w:szCs w:val="20"/>
        </w:rPr>
        <w:t xml:space="preserve"> zákona č. 89/2012 Sb.</w:t>
      </w:r>
    </w:p>
  </w:footnote>
  <w:footnote w:id="173">
    <w:p w14:paraId="1EFE3495" w14:textId="0BACF68E" w:rsidR="00CF76F1" w:rsidRPr="00AE754D" w:rsidRDefault="00CF76F1" w:rsidP="008F3386">
      <w:pPr>
        <w:pStyle w:val="Textpoznpodarou"/>
        <w:jc w:val="both"/>
        <w:rPr>
          <w:sz w:val="20"/>
          <w:szCs w:val="20"/>
        </w:rPr>
      </w:pPr>
      <w:r>
        <w:rPr>
          <w:rStyle w:val="Znakapoznpodarou"/>
        </w:rPr>
        <w:footnoteRef/>
      </w:r>
      <w:r>
        <w:t xml:space="preserve"> </w:t>
      </w:r>
      <w:r>
        <w:rPr>
          <w:sz w:val="20"/>
          <w:szCs w:val="20"/>
        </w:rPr>
        <w:t xml:space="preserve">Melzer in MELZER, Filip, TÉGL, Petr a kol. </w:t>
      </w:r>
      <w:r>
        <w:rPr>
          <w:i/>
          <w:sz w:val="20"/>
          <w:szCs w:val="20"/>
        </w:rPr>
        <w:t xml:space="preserve">Občanský zákoník - velký komentář. Svazek III. § 419 – 654. </w:t>
      </w:r>
      <w:r>
        <w:rPr>
          <w:sz w:val="20"/>
          <w:szCs w:val="20"/>
        </w:rPr>
        <w:t>Praha: Leges, 2014</w:t>
      </w:r>
      <w:r>
        <w:rPr>
          <w:i/>
          <w:sz w:val="20"/>
          <w:szCs w:val="20"/>
        </w:rPr>
        <w:t>.</w:t>
      </w:r>
      <w:r>
        <w:rPr>
          <w:sz w:val="20"/>
          <w:szCs w:val="20"/>
        </w:rPr>
        <w:t xml:space="preserve"> s. 767. </w:t>
      </w:r>
    </w:p>
  </w:footnote>
  <w:footnote w:id="174">
    <w:p w14:paraId="1978771F" w14:textId="4A245299" w:rsidR="00CF76F1" w:rsidRDefault="00CF76F1" w:rsidP="008F3386">
      <w:pPr>
        <w:pStyle w:val="Textpoznpodarou"/>
        <w:jc w:val="both"/>
      </w:pPr>
      <w:r>
        <w:rPr>
          <w:rStyle w:val="Znakapoznpodarou"/>
        </w:rPr>
        <w:footnoteRef/>
      </w:r>
      <w:r>
        <w:t xml:space="preserve"> </w:t>
      </w:r>
      <w:r w:rsidRPr="0037667B">
        <w:rPr>
          <w:sz w:val="20"/>
          <w:szCs w:val="20"/>
        </w:rPr>
        <w:t>Někdy se hovoří o tzv. civilním podvodu</w:t>
      </w:r>
      <w:r>
        <w:rPr>
          <w:sz w:val="20"/>
          <w:szCs w:val="20"/>
        </w:rPr>
        <w:t>.</w:t>
      </w:r>
    </w:p>
  </w:footnote>
  <w:footnote w:id="175">
    <w:p w14:paraId="0389040D" w14:textId="446FA3AE" w:rsidR="00CF76F1" w:rsidRDefault="00CF76F1" w:rsidP="008F3386">
      <w:pPr>
        <w:pStyle w:val="Textpoznpodarou"/>
        <w:jc w:val="both"/>
      </w:pPr>
      <w:r>
        <w:rPr>
          <w:rStyle w:val="Znakapoznpodarou"/>
        </w:rPr>
        <w:footnoteRef/>
      </w:r>
      <w:r>
        <w:t xml:space="preserve"> </w:t>
      </w:r>
      <w:r>
        <w:rPr>
          <w:sz w:val="20"/>
          <w:szCs w:val="20"/>
        </w:rPr>
        <w:t>R</w:t>
      </w:r>
      <w:r w:rsidRPr="003E2D71">
        <w:rPr>
          <w:sz w:val="20"/>
          <w:szCs w:val="20"/>
        </w:rPr>
        <w:t xml:space="preserve">ozsudek NS ze dne 1. 2. 2001, sp. zn. </w:t>
      </w:r>
      <w:r>
        <w:rPr>
          <w:sz w:val="20"/>
          <w:szCs w:val="20"/>
        </w:rPr>
        <w:t>26</w:t>
      </w:r>
      <w:r w:rsidRPr="003E2D71">
        <w:rPr>
          <w:sz w:val="20"/>
          <w:szCs w:val="20"/>
        </w:rPr>
        <w:t xml:space="preserve"> Cdo 2828/2000</w:t>
      </w:r>
      <w:r>
        <w:rPr>
          <w:sz w:val="20"/>
          <w:szCs w:val="20"/>
        </w:rPr>
        <w:t>.</w:t>
      </w:r>
    </w:p>
  </w:footnote>
  <w:footnote w:id="176">
    <w:p w14:paraId="1E85A286" w14:textId="17A232A9" w:rsidR="00EE4254" w:rsidRPr="00CF105B" w:rsidRDefault="00EE4254" w:rsidP="00CF105B">
      <w:pPr>
        <w:pStyle w:val="Textpoznpodarou"/>
        <w:jc w:val="both"/>
        <w:rPr>
          <w:sz w:val="20"/>
          <w:szCs w:val="20"/>
        </w:rPr>
      </w:pPr>
      <w:r>
        <w:rPr>
          <w:rStyle w:val="Znakapoznpodarou"/>
        </w:rPr>
        <w:footnoteRef/>
      </w:r>
      <w:r>
        <w:t xml:space="preserve"> </w:t>
      </w:r>
      <w:r w:rsidR="00CF105B">
        <w:rPr>
          <w:sz w:val="20"/>
          <w:szCs w:val="20"/>
        </w:rPr>
        <w:t xml:space="preserve">Redakční záznam z vystoupení přednášejícího doc. Filipa Melzera z konference Právní prostor, která proběhla ve dnech 22. a 23. dubna 2013 v Seči. In: K neplatnosti právního jednání. </w:t>
      </w:r>
      <w:r w:rsidR="00CF105B" w:rsidRPr="00CF105B">
        <w:rPr>
          <w:i/>
          <w:sz w:val="20"/>
          <w:szCs w:val="20"/>
        </w:rPr>
        <w:t>Rodinné listy</w:t>
      </w:r>
      <w:r w:rsidR="00CF105B">
        <w:rPr>
          <w:sz w:val="20"/>
          <w:szCs w:val="20"/>
        </w:rPr>
        <w:t xml:space="preserve">, č. 7, ročník 2013, s. 44 an. </w:t>
      </w:r>
    </w:p>
  </w:footnote>
  <w:footnote w:id="177">
    <w:p w14:paraId="3707A1D5" w14:textId="570C6914" w:rsidR="00CF105B" w:rsidRPr="00CF105B" w:rsidRDefault="00CF105B">
      <w:pPr>
        <w:pStyle w:val="Textpoznpodarou"/>
        <w:rPr>
          <w:sz w:val="20"/>
          <w:szCs w:val="20"/>
        </w:rPr>
      </w:pPr>
      <w:r>
        <w:rPr>
          <w:rStyle w:val="Znakapoznpodarou"/>
        </w:rPr>
        <w:footnoteRef/>
      </w:r>
      <w:r>
        <w:t xml:space="preserve"> </w:t>
      </w:r>
      <w:r>
        <w:rPr>
          <w:sz w:val="20"/>
          <w:szCs w:val="20"/>
        </w:rPr>
        <w:t xml:space="preserve">Tamtéž. </w:t>
      </w:r>
    </w:p>
  </w:footnote>
  <w:footnote w:id="178">
    <w:p w14:paraId="08CD8287" w14:textId="057B5877" w:rsidR="00CF76F1" w:rsidRDefault="00CF76F1" w:rsidP="00AC50B7">
      <w:pPr>
        <w:pStyle w:val="Textpoznpodarou"/>
        <w:jc w:val="both"/>
      </w:pPr>
      <w:r>
        <w:rPr>
          <w:rStyle w:val="Znakapoznpodarou"/>
        </w:rPr>
        <w:footnoteRef/>
      </w:r>
      <w:r>
        <w:t xml:space="preserve"> </w:t>
      </w:r>
      <w:r>
        <w:rPr>
          <w:sz w:val="20"/>
          <w:szCs w:val="20"/>
        </w:rPr>
        <w:t xml:space="preserve">Handlar in </w:t>
      </w:r>
      <w:r w:rsidRPr="00667DE9">
        <w:rPr>
          <w:sz w:val="20"/>
          <w:szCs w:val="20"/>
        </w:rPr>
        <w:t>LAVICKÝ</w:t>
      </w:r>
      <w:r>
        <w:rPr>
          <w:sz w:val="20"/>
          <w:szCs w:val="20"/>
        </w:rPr>
        <w:t xml:space="preserve">, Petr a kol. </w:t>
      </w:r>
      <w:r>
        <w:rPr>
          <w:i/>
          <w:sz w:val="20"/>
          <w:szCs w:val="20"/>
        </w:rPr>
        <w:t>Občanský zákoník I. Obecná část (§1 – 654)</w:t>
      </w:r>
      <w:r>
        <w:rPr>
          <w:sz w:val="20"/>
          <w:szCs w:val="20"/>
        </w:rPr>
        <w:t xml:space="preserve">. </w:t>
      </w:r>
      <w:r w:rsidRPr="00E403AE">
        <w:rPr>
          <w:i/>
          <w:sz w:val="20"/>
          <w:szCs w:val="20"/>
        </w:rPr>
        <w:t>Komentář.</w:t>
      </w:r>
      <w:r>
        <w:rPr>
          <w:sz w:val="20"/>
          <w:szCs w:val="20"/>
        </w:rPr>
        <w:t xml:space="preserve"> 1. vydání. Praha: C. H. Beck, 2014, s. 2104. </w:t>
      </w:r>
    </w:p>
  </w:footnote>
  <w:footnote w:id="179">
    <w:p w14:paraId="0204EB17" w14:textId="2DCAB2CF" w:rsidR="00CF76F1" w:rsidRPr="00042C38" w:rsidRDefault="00CF76F1" w:rsidP="00AC50B7">
      <w:pPr>
        <w:pStyle w:val="Textpoznpodarou"/>
        <w:jc w:val="both"/>
        <w:rPr>
          <w:sz w:val="20"/>
          <w:szCs w:val="20"/>
        </w:rPr>
      </w:pPr>
      <w:r>
        <w:rPr>
          <w:rStyle w:val="Znakapoznpodarou"/>
        </w:rPr>
        <w:footnoteRef/>
      </w:r>
      <w:r>
        <w:t xml:space="preserve"> </w:t>
      </w:r>
      <w:r>
        <w:rPr>
          <w:sz w:val="20"/>
          <w:szCs w:val="20"/>
        </w:rPr>
        <w:t>ROUČEK, SEDLÁČEK, s. 85 (P. 1923, str. 94).</w:t>
      </w:r>
    </w:p>
  </w:footnote>
  <w:footnote w:id="180">
    <w:p w14:paraId="64FDD08D" w14:textId="2BDF3774" w:rsidR="00CF76F1" w:rsidRPr="00042C38" w:rsidRDefault="00CF76F1" w:rsidP="00AC50B7">
      <w:pPr>
        <w:pStyle w:val="Textpoznpodarou"/>
        <w:jc w:val="both"/>
        <w:rPr>
          <w:sz w:val="20"/>
          <w:szCs w:val="20"/>
        </w:rPr>
      </w:pPr>
      <w:r>
        <w:rPr>
          <w:rStyle w:val="Znakapoznpodarou"/>
        </w:rPr>
        <w:footnoteRef/>
      </w:r>
      <w:r>
        <w:t xml:space="preserve"> </w:t>
      </w:r>
      <w:r>
        <w:rPr>
          <w:sz w:val="20"/>
          <w:szCs w:val="20"/>
        </w:rPr>
        <w:t>Rozhodnutí Nejvyššího soud Československé republiky, Rv II 426/21[Vážný 1511].</w:t>
      </w:r>
    </w:p>
  </w:footnote>
  <w:footnote w:id="181">
    <w:p w14:paraId="63FF67BC" w14:textId="3696C655" w:rsidR="00CF76F1" w:rsidRPr="00042C38" w:rsidRDefault="00CF76F1" w:rsidP="00AC50B7">
      <w:pPr>
        <w:pStyle w:val="Textpoznpodarou"/>
        <w:jc w:val="both"/>
        <w:rPr>
          <w:sz w:val="20"/>
          <w:szCs w:val="20"/>
        </w:rPr>
      </w:pPr>
      <w:r>
        <w:rPr>
          <w:rStyle w:val="Znakapoznpodarou"/>
        </w:rPr>
        <w:footnoteRef/>
      </w:r>
      <w:r>
        <w:t xml:space="preserve"> </w:t>
      </w:r>
      <w:r>
        <w:rPr>
          <w:sz w:val="20"/>
          <w:szCs w:val="20"/>
        </w:rPr>
        <w:t>Rozhodnutí Nejvyššího soud Československé republiky ze dne 8. 9. 1926,  Rv I 31/26 [Vážný 6248/1926].</w:t>
      </w:r>
    </w:p>
    <w:p w14:paraId="37A17DA4" w14:textId="64854216" w:rsidR="00CF76F1" w:rsidRPr="00B62DB0" w:rsidRDefault="00CF76F1">
      <w:pPr>
        <w:pStyle w:val="Textpoznpodarou"/>
        <w:rPr>
          <w:sz w:val="20"/>
          <w:szCs w:val="20"/>
        </w:rPr>
      </w:pPr>
    </w:p>
  </w:footnote>
  <w:footnote w:id="182">
    <w:p w14:paraId="629DF374" w14:textId="749CBF4D" w:rsidR="00CF76F1" w:rsidRDefault="00CF76F1" w:rsidP="00E3145B">
      <w:pPr>
        <w:pStyle w:val="Textpoznpodarou"/>
        <w:jc w:val="both"/>
      </w:pPr>
      <w:r w:rsidRPr="00AF2E93">
        <w:rPr>
          <w:rStyle w:val="Znakapoznpodarou"/>
        </w:rPr>
        <w:footnoteRef/>
      </w:r>
      <w:r w:rsidRPr="00AF2E93">
        <w:t xml:space="preserve"> </w:t>
      </w:r>
      <w:r w:rsidRPr="00AF2E93">
        <w:rPr>
          <w:sz w:val="20"/>
          <w:szCs w:val="20"/>
        </w:rPr>
        <w:t>Handlar in</w:t>
      </w:r>
      <w:r>
        <w:rPr>
          <w:sz w:val="20"/>
          <w:szCs w:val="20"/>
        </w:rPr>
        <w:t xml:space="preserve"> </w:t>
      </w:r>
      <w:r w:rsidRPr="00667DE9">
        <w:rPr>
          <w:sz w:val="20"/>
          <w:szCs w:val="20"/>
        </w:rPr>
        <w:t>LAVICKÝ</w:t>
      </w:r>
      <w:r>
        <w:rPr>
          <w:sz w:val="20"/>
          <w:szCs w:val="20"/>
        </w:rPr>
        <w:t xml:space="preserve">, Petr a kol. </w:t>
      </w:r>
      <w:r>
        <w:rPr>
          <w:i/>
          <w:sz w:val="20"/>
          <w:szCs w:val="20"/>
        </w:rPr>
        <w:t>Občanský zákoník I. Obecná část (§1 – 654)</w:t>
      </w:r>
      <w:r>
        <w:rPr>
          <w:sz w:val="20"/>
          <w:szCs w:val="20"/>
        </w:rPr>
        <w:t xml:space="preserve">. </w:t>
      </w:r>
      <w:r w:rsidRPr="00E403AE">
        <w:rPr>
          <w:i/>
          <w:sz w:val="20"/>
          <w:szCs w:val="20"/>
        </w:rPr>
        <w:t>Komentář.</w:t>
      </w:r>
      <w:r>
        <w:rPr>
          <w:sz w:val="20"/>
          <w:szCs w:val="20"/>
        </w:rPr>
        <w:t xml:space="preserve"> 1. vydání. Praha: C. H. Beck, 2014, s. 2118. </w:t>
      </w:r>
    </w:p>
  </w:footnote>
  <w:footnote w:id="183">
    <w:p w14:paraId="6BAE5EF0" w14:textId="60AA2D0A" w:rsidR="00CF76F1" w:rsidRDefault="00CF76F1" w:rsidP="006E4657">
      <w:pPr>
        <w:pStyle w:val="Textpoznpodarou"/>
        <w:jc w:val="both"/>
      </w:pPr>
      <w:r>
        <w:rPr>
          <w:rStyle w:val="Znakapoznpodarou"/>
        </w:rPr>
        <w:footnoteRef/>
      </w:r>
      <w:r>
        <w:t xml:space="preserve"> </w:t>
      </w:r>
      <w:r>
        <w:rPr>
          <w:sz w:val="20"/>
          <w:szCs w:val="20"/>
        </w:rPr>
        <w:t xml:space="preserve">Sedláček in ROUČEK, SEDLÁČEK, s. 100. </w:t>
      </w:r>
    </w:p>
  </w:footnote>
  <w:footnote w:id="184">
    <w:p w14:paraId="7A5770DC" w14:textId="7227BC5B" w:rsidR="00CF76F1" w:rsidRDefault="00CF76F1" w:rsidP="007B02A0">
      <w:pPr>
        <w:pStyle w:val="Textpoznpodarou"/>
        <w:jc w:val="both"/>
      </w:pPr>
      <w:r>
        <w:rPr>
          <w:rStyle w:val="Znakapoznpodarou"/>
        </w:rPr>
        <w:footnoteRef/>
      </w:r>
      <w:r>
        <w:t xml:space="preserve"> </w:t>
      </w:r>
      <w:r>
        <w:rPr>
          <w:sz w:val="20"/>
          <w:szCs w:val="20"/>
        </w:rPr>
        <w:t xml:space="preserve">Rozsudek </w:t>
      </w:r>
      <w:r w:rsidRPr="005D3E3D">
        <w:rPr>
          <w:sz w:val="20"/>
          <w:szCs w:val="20"/>
        </w:rPr>
        <w:t>ze dne 19. 12. 2002, sp. zn. 30 Cdo 1251/2002</w:t>
      </w:r>
      <w:r>
        <w:rPr>
          <w:sz w:val="20"/>
          <w:szCs w:val="20"/>
        </w:rPr>
        <w:t>.</w:t>
      </w:r>
    </w:p>
  </w:footnote>
  <w:footnote w:id="185">
    <w:p w14:paraId="174652C0" w14:textId="543FD4D1" w:rsidR="00CF76F1" w:rsidRDefault="00CF76F1" w:rsidP="007B02A0">
      <w:pPr>
        <w:pStyle w:val="Textpoznpodarou"/>
        <w:jc w:val="both"/>
      </w:pPr>
      <w:r>
        <w:rPr>
          <w:rStyle w:val="Znakapoznpodarou"/>
        </w:rPr>
        <w:footnoteRef/>
      </w:r>
      <w:r>
        <w:t xml:space="preserve"> </w:t>
      </w:r>
      <w:r>
        <w:rPr>
          <w:sz w:val="20"/>
          <w:szCs w:val="20"/>
        </w:rPr>
        <w:t xml:space="preserve">V rozsudku </w:t>
      </w:r>
      <w:r w:rsidRPr="00CA1B8E">
        <w:rPr>
          <w:sz w:val="20"/>
          <w:szCs w:val="20"/>
        </w:rPr>
        <w:t>ze dne 30. 7. 2009, sp. zn. 29 Cdo 1830/2007, uveřejněném ve Sbírce soudních rozhodnutí a stanovisek pod č. 55/2010</w:t>
      </w:r>
      <w:r>
        <w:rPr>
          <w:sz w:val="20"/>
          <w:szCs w:val="20"/>
        </w:rPr>
        <w:t>.</w:t>
      </w:r>
    </w:p>
  </w:footnote>
  <w:footnote w:id="186">
    <w:p w14:paraId="7903F132" w14:textId="77777777" w:rsidR="00CF76F1" w:rsidRPr="00C13851" w:rsidRDefault="00CF76F1" w:rsidP="007B02A0">
      <w:pPr>
        <w:pStyle w:val="Textpoznpodarou"/>
        <w:rPr>
          <w:sz w:val="20"/>
          <w:szCs w:val="20"/>
        </w:rPr>
      </w:pPr>
      <w:r>
        <w:rPr>
          <w:rStyle w:val="Znakapoznpodarou"/>
        </w:rPr>
        <w:footnoteRef/>
      </w:r>
      <w:r>
        <w:t xml:space="preserve"> </w:t>
      </w:r>
      <w:r>
        <w:rPr>
          <w:sz w:val="20"/>
          <w:szCs w:val="20"/>
        </w:rPr>
        <w:t xml:space="preserve">Tamtéž, s. 756. </w:t>
      </w:r>
    </w:p>
  </w:footnote>
  <w:footnote w:id="187">
    <w:p w14:paraId="5A84BE79" w14:textId="059C6CCA" w:rsidR="00CF76F1" w:rsidRDefault="00CF76F1" w:rsidP="00CA1B8E">
      <w:pPr>
        <w:pStyle w:val="Textpoznpodarou"/>
        <w:jc w:val="both"/>
      </w:pPr>
      <w:r>
        <w:rPr>
          <w:rStyle w:val="Znakapoznpodarou"/>
        </w:rPr>
        <w:footnoteRef/>
      </w:r>
      <w:r>
        <w:t xml:space="preserve"> </w:t>
      </w:r>
      <w:r>
        <w:rPr>
          <w:sz w:val="20"/>
          <w:szCs w:val="20"/>
        </w:rPr>
        <w:t>Z</w:t>
      </w:r>
      <w:r w:rsidRPr="00CA1B8E">
        <w:rPr>
          <w:sz w:val="20"/>
          <w:szCs w:val="20"/>
        </w:rPr>
        <w:t>e dne 10. 10. 2002, sp. zn. 22 Cdo 490/2001</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D90"/>
    <w:multiLevelType w:val="hybridMultilevel"/>
    <w:tmpl w:val="D9EE06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1F7644"/>
    <w:multiLevelType w:val="hybridMultilevel"/>
    <w:tmpl w:val="8376B950"/>
    <w:lvl w:ilvl="0" w:tplc="AC20C76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B585201"/>
    <w:multiLevelType w:val="hybridMultilevel"/>
    <w:tmpl w:val="B094C982"/>
    <w:lvl w:ilvl="0" w:tplc="009CE2E2">
      <w:start w:val="1"/>
      <w:numFmt w:val="decimal"/>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0D4255A5"/>
    <w:multiLevelType w:val="hybridMultilevel"/>
    <w:tmpl w:val="C70E08DC"/>
    <w:lvl w:ilvl="0" w:tplc="04050019">
      <w:start w:val="1"/>
      <w:numFmt w:val="lowerLetter"/>
      <w:lvlText w:val="%1."/>
      <w:lvlJc w:val="left"/>
      <w:pPr>
        <w:ind w:left="1489" w:hanging="360"/>
      </w:pPr>
    </w:lvl>
    <w:lvl w:ilvl="1" w:tplc="04050019">
      <w:start w:val="1"/>
      <w:numFmt w:val="lowerLetter"/>
      <w:lvlText w:val="%2."/>
      <w:lvlJc w:val="left"/>
      <w:pPr>
        <w:ind w:left="2209" w:hanging="360"/>
      </w:pPr>
    </w:lvl>
    <w:lvl w:ilvl="2" w:tplc="0405001B" w:tentative="1">
      <w:start w:val="1"/>
      <w:numFmt w:val="lowerRoman"/>
      <w:lvlText w:val="%3."/>
      <w:lvlJc w:val="right"/>
      <w:pPr>
        <w:ind w:left="2929" w:hanging="180"/>
      </w:pPr>
    </w:lvl>
    <w:lvl w:ilvl="3" w:tplc="0405000F" w:tentative="1">
      <w:start w:val="1"/>
      <w:numFmt w:val="decimal"/>
      <w:lvlText w:val="%4."/>
      <w:lvlJc w:val="left"/>
      <w:pPr>
        <w:ind w:left="3649" w:hanging="360"/>
      </w:pPr>
    </w:lvl>
    <w:lvl w:ilvl="4" w:tplc="04050019" w:tentative="1">
      <w:start w:val="1"/>
      <w:numFmt w:val="lowerLetter"/>
      <w:lvlText w:val="%5."/>
      <w:lvlJc w:val="left"/>
      <w:pPr>
        <w:ind w:left="4369" w:hanging="360"/>
      </w:pPr>
    </w:lvl>
    <w:lvl w:ilvl="5" w:tplc="0405001B" w:tentative="1">
      <w:start w:val="1"/>
      <w:numFmt w:val="lowerRoman"/>
      <w:lvlText w:val="%6."/>
      <w:lvlJc w:val="right"/>
      <w:pPr>
        <w:ind w:left="5089" w:hanging="180"/>
      </w:pPr>
    </w:lvl>
    <w:lvl w:ilvl="6" w:tplc="0405000F" w:tentative="1">
      <w:start w:val="1"/>
      <w:numFmt w:val="decimal"/>
      <w:lvlText w:val="%7."/>
      <w:lvlJc w:val="left"/>
      <w:pPr>
        <w:ind w:left="5809" w:hanging="360"/>
      </w:pPr>
    </w:lvl>
    <w:lvl w:ilvl="7" w:tplc="04050019" w:tentative="1">
      <w:start w:val="1"/>
      <w:numFmt w:val="lowerLetter"/>
      <w:lvlText w:val="%8."/>
      <w:lvlJc w:val="left"/>
      <w:pPr>
        <w:ind w:left="6529" w:hanging="360"/>
      </w:pPr>
    </w:lvl>
    <w:lvl w:ilvl="8" w:tplc="0405001B" w:tentative="1">
      <w:start w:val="1"/>
      <w:numFmt w:val="lowerRoman"/>
      <w:lvlText w:val="%9."/>
      <w:lvlJc w:val="right"/>
      <w:pPr>
        <w:ind w:left="7249" w:hanging="180"/>
      </w:pPr>
    </w:lvl>
  </w:abstractNum>
  <w:abstractNum w:abstractNumId="4">
    <w:nsid w:val="1031575C"/>
    <w:multiLevelType w:val="hybridMultilevel"/>
    <w:tmpl w:val="27066794"/>
    <w:lvl w:ilvl="0" w:tplc="2C4EF552">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C713F7"/>
    <w:multiLevelType w:val="hybridMultilevel"/>
    <w:tmpl w:val="6C7680A4"/>
    <w:lvl w:ilvl="0" w:tplc="9656E21E">
      <w:start w:val="1"/>
      <w:numFmt w:val="lowerLetter"/>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EB52D02"/>
    <w:multiLevelType w:val="hybridMultilevel"/>
    <w:tmpl w:val="E266F8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DC6B78"/>
    <w:multiLevelType w:val="hybridMultilevel"/>
    <w:tmpl w:val="51A2255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E77AE"/>
    <w:multiLevelType w:val="hybridMultilevel"/>
    <w:tmpl w:val="322E74E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4A1C4B32"/>
    <w:multiLevelType w:val="hybridMultilevel"/>
    <w:tmpl w:val="F9C6E52E"/>
    <w:lvl w:ilvl="0" w:tplc="679AE0E6">
      <w:start w:val="1"/>
      <w:numFmt w:val="decimal"/>
      <w:lvlText w:val="%1."/>
      <w:lvlJc w:val="left"/>
      <w:pPr>
        <w:ind w:left="1060" w:hanging="360"/>
      </w:pPr>
      <w:rPr>
        <w:rFonts w:hint="default"/>
      </w:rPr>
    </w:lvl>
    <w:lvl w:ilvl="1" w:tplc="04050019">
      <w:start w:val="1"/>
      <w:numFmt w:val="lowerLetter"/>
      <w:lvlText w:val="%2."/>
      <w:lvlJc w:val="left"/>
      <w:pPr>
        <w:ind w:left="1780" w:hanging="360"/>
      </w:pPr>
    </w:lvl>
    <w:lvl w:ilvl="2" w:tplc="8230D220">
      <w:start w:val="1"/>
      <w:numFmt w:val="lowerLetter"/>
      <w:lvlText w:val="%3)"/>
      <w:lvlJc w:val="left"/>
      <w:pPr>
        <w:ind w:left="1069" w:hanging="360"/>
      </w:pPr>
      <w:rPr>
        <w:rFonts w:hint="default"/>
      </w:rPr>
    </w:lvl>
    <w:lvl w:ilvl="3" w:tplc="BB7E4950">
      <w:start w:val="3"/>
      <w:numFmt w:val="decimal"/>
      <w:lvlText w:val="%4"/>
      <w:lvlJc w:val="left"/>
      <w:pPr>
        <w:ind w:left="3220" w:hanging="360"/>
      </w:pPr>
      <w:rPr>
        <w:rFonts w:hint="default"/>
      </w:r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
    <w:nsid w:val="4C824A1A"/>
    <w:multiLevelType w:val="multilevel"/>
    <w:tmpl w:val="3C96DA08"/>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5056431E"/>
    <w:multiLevelType w:val="multilevel"/>
    <w:tmpl w:val="30A0DA4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4"/>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2">
    <w:nsid w:val="552650EE"/>
    <w:multiLevelType w:val="multilevel"/>
    <w:tmpl w:val="E140EE8A"/>
    <w:lvl w:ilvl="0">
      <w:start w:val="6"/>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nsid w:val="5B466743"/>
    <w:multiLevelType w:val="hybridMultilevel"/>
    <w:tmpl w:val="75F82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990A1E"/>
    <w:multiLevelType w:val="hybridMultilevel"/>
    <w:tmpl w:val="43BCD294"/>
    <w:lvl w:ilvl="0" w:tplc="05D2B1C4">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7BB072AF"/>
    <w:multiLevelType w:val="multilevel"/>
    <w:tmpl w:val="2AA8B6D4"/>
    <w:lvl w:ilvl="0">
      <w:start w:val="1"/>
      <w:numFmt w:val="decimal"/>
      <w:pStyle w:val="Nadpis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1"/>
  </w:num>
  <w:num w:numId="4">
    <w:abstractNumId w:val="6"/>
  </w:num>
  <w:num w:numId="5">
    <w:abstractNumId w:val="0"/>
  </w:num>
  <w:num w:numId="6">
    <w:abstractNumId w:val="15"/>
  </w:num>
  <w:num w:numId="7">
    <w:abstractNumId w:val="3"/>
  </w:num>
  <w:num w:numId="8">
    <w:abstractNumId w:val="8"/>
  </w:num>
  <w:num w:numId="9">
    <w:abstractNumId w:val="5"/>
  </w:num>
  <w:num w:numId="10">
    <w:abstractNumId w:val="1"/>
  </w:num>
  <w:num w:numId="11">
    <w:abstractNumId w:val="14"/>
  </w:num>
  <w:num w:numId="12">
    <w:abstractNumId w:val="11"/>
    <w:lvlOverride w:ilvl="0">
      <w:startOverride w:val="4"/>
    </w:lvlOverride>
    <w:lvlOverride w:ilvl="1">
      <w:startOverride w:val="7"/>
    </w:lvlOverride>
    <w:lvlOverride w:ilvl="2">
      <w:startOverride w:val="1357666528"/>
    </w:lvlOverride>
    <w:lvlOverride w:ilvl="3">
      <w:startOverride w:val="1357666560"/>
    </w:lvlOverride>
    <w:lvlOverride w:ilvl="4">
      <w:startOverride w:val="213187584"/>
    </w:lvlOverride>
    <w:lvlOverride w:ilvl="5">
      <w:startOverride w:val="1357666728"/>
    </w:lvlOverride>
    <w:lvlOverride w:ilvl="6">
      <w:startOverride w:val="1357666728"/>
    </w:lvlOverride>
    <w:lvlOverride w:ilvl="7">
      <w:startOverride w:val="1357666752"/>
    </w:lvlOverride>
    <w:lvlOverride w:ilvl="8">
      <w:startOverride w:val="1357666816"/>
    </w:lvlOverride>
  </w:num>
  <w:num w:numId="13">
    <w:abstractNumId w:val="7"/>
  </w:num>
  <w:num w:numId="14">
    <w:abstractNumId w:val="4"/>
  </w:num>
  <w:num w:numId="15">
    <w:abstractNumId w:val="13"/>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64"/>
    <w:rsid w:val="00000910"/>
    <w:rsid w:val="00000B73"/>
    <w:rsid w:val="00001922"/>
    <w:rsid w:val="00002299"/>
    <w:rsid w:val="00003398"/>
    <w:rsid w:val="0000586D"/>
    <w:rsid w:val="00005B9B"/>
    <w:rsid w:val="00006E5B"/>
    <w:rsid w:val="00007764"/>
    <w:rsid w:val="0001047D"/>
    <w:rsid w:val="000104B8"/>
    <w:rsid w:val="000112C7"/>
    <w:rsid w:val="000121DC"/>
    <w:rsid w:val="00013048"/>
    <w:rsid w:val="0001360D"/>
    <w:rsid w:val="00013E37"/>
    <w:rsid w:val="000143CC"/>
    <w:rsid w:val="00016484"/>
    <w:rsid w:val="00016565"/>
    <w:rsid w:val="000168B0"/>
    <w:rsid w:val="00017CA9"/>
    <w:rsid w:val="00020CBD"/>
    <w:rsid w:val="0002161B"/>
    <w:rsid w:val="00023740"/>
    <w:rsid w:val="00026D33"/>
    <w:rsid w:val="000278A9"/>
    <w:rsid w:val="00027DD1"/>
    <w:rsid w:val="00031139"/>
    <w:rsid w:val="0003229D"/>
    <w:rsid w:val="00032A74"/>
    <w:rsid w:val="00032F4C"/>
    <w:rsid w:val="00032F68"/>
    <w:rsid w:val="00033053"/>
    <w:rsid w:val="00034492"/>
    <w:rsid w:val="00034B81"/>
    <w:rsid w:val="0003631E"/>
    <w:rsid w:val="0003697B"/>
    <w:rsid w:val="00037B34"/>
    <w:rsid w:val="00037DAD"/>
    <w:rsid w:val="00040C5C"/>
    <w:rsid w:val="0004139E"/>
    <w:rsid w:val="000418EA"/>
    <w:rsid w:val="0004194E"/>
    <w:rsid w:val="00041A4A"/>
    <w:rsid w:val="00042C38"/>
    <w:rsid w:val="00042D94"/>
    <w:rsid w:val="00043155"/>
    <w:rsid w:val="0004440C"/>
    <w:rsid w:val="0004721F"/>
    <w:rsid w:val="000475FE"/>
    <w:rsid w:val="00047902"/>
    <w:rsid w:val="00050E9E"/>
    <w:rsid w:val="00052C38"/>
    <w:rsid w:val="00055710"/>
    <w:rsid w:val="00056A40"/>
    <w:rsid w:val="00060137"/>
    <w:rsid w:val="00062CFA"/>
    <w:rsid w:val="000637F1"/>
    <w:rsid w:val="000638FE"/>
    <w:rsid w:val="00064E0C"/>
    <w:rsid w:val="00066133"/>
    <w:rsid w:val="0006662F"/>
    <w:rsid w:val="000701F8"/>
    <w:rsid w:val="00070614"/>
    <w:rsid w:val="00071388"/>
    <w:rsid w:val="00071510"/>
    <w:rsid w:val="00072B08"/>
    <w:rsid w:val="00072E9A"/>
    <w:rsid w:val="00073570"/>
    <w:rsid w:val="00073B21"/>
    <w:rsid w:val="000764E0"/>
    <w:rsid w:val="000768DE"/>
    <w:rsid w:val="00076D48"/>
    <w:rsid w:val="00082466"/>
    <w:rsid w:val="00084E05"/>
    <w:rsid w:val="0008645F"/>
    <w:rsid w:val="000866FC"/>
    <w:rsid w:val="00090286"/>
    <w:rsid w:val="00092A28"/>
    <w:rsid w:val="00094B1F"/>
    <w:rsid w:val="000964A4"/>
    <w:rsid w:val="00096E67"/>
    <w:rsid w:val="0009732A"/>
    <w:rsid w:val="000975A4"/>
    <w:rsid w:val="0009767A"/>
    <w:rsid w:val="000A0896"/>
    <w:rsid w:val="000A0E67"/>
    <w:rsid w:val="000A2BD0"/>
    <w:rsid w:val="000A3095"/>
    <w:rsid w:val="000A42AC"/>
    <w:rsid w:val="000A4BAE"/>
    <w:rsid w:val="000A6A99"/>
    <w:rsid w:val="000A7209"/>
    <w:rsid w:val="000B04A7"/>
    <w:rsid w:val="000B06CA"/>
    <w:rsid w:val="000B0E4A"/>
    <w:rsid w:val="000B2815"/>
    <w:rsid w:val="000B5EA6"/>
    <w:rsid w:val="000B678C"/>
    <w:rsid w:val="000B72E6"/>
    <w:rsid w:val="000B7F1B"/>
    <w:rsid w:val="000C0315"/>
    <w:rsid w:val="000C1375"/>
    <w:rsid w:val="000C29DD"/>
    <w:rsid w:val="000C5EF6"/>
    <w:rsid w:val="000C7710"/>
    <w:rsid w:val="000C7BFE"/>
    <w:rsid w:val="000D0C08"/>
    <w:rsid w:val="000D2DAE"/>
    <w:rsid w:val="000D4E34"/>
    <w:rsid w:val="000D5C1E"/>
    <w:rsid w:val="000D6FB9"/>
    <w:rsid w:val="000D7E44"/>
    <w:rsid w:val="000E2A52"/>
    <w:rsid w:val="000E303B"/>
    <w:rsid w:val="000E3655"/>
    <w:rsid w:val="000E59B0"/>
    <w:rsid w:val="000E5F79"/>
    <w:rsid w:val="000E76B2"/>
    <w:rsid w:val="000F19CF"/>
    <w:rsid w:val="000F1C1E"/>
    <w:rsid w:val="000F2190"/>
    <w:rsid w:val="000F389C"/>
    <w:rsid w:val="000F4AE4"/>
    <w:rsid w:val="001008EB"/>
    <w:rsid w:val="001012C5"/>
    <w:rsid w:val="0010192A"/>
    <w:rsid w:val="00101D8C"/>
    <w:rsid w:val="001023A6"/>
    <w:rsid w:val="00102ABB"/>
    <w:rsid w:val="001037B6"/>
    <w:rsid w:val="00106085"/>
    <w:rsid w:val="00106D84"/>
    <w:rsid w:val="0010715B"/>
    <w:rsid w:val="0010762D"/>
    <w:rsid w:val="00110931"/>
    <w:rsid w:val="001110E3"/>
    <w:rsid w:val="00113E6B"/>
    <w:rsid w:val="00114A13"/>
    <w:rsid w:val="00115504"/>
    <w:rsid w:val="001165A1"/>
    <w:rsid w:val="00117384"/>
    <w:rsid w:val="00117DD8"/>
    <w:rsid w:val="0012145E"/>
    <w:rsid w:val="001214F4"/>
    <w:rsid w:val="001216BB"/>
    <w:rsid w:val="0012201E"/>
    <w:rsid w:val="0012229B"/>
    <w:rsid w:val="001231D6"/>
    <w:rsid w:val="00125D51"/>
    <w:rsid w:val="0012639F"/>
    <w:rsid w:val="001266A7"/>
    <w:rsid w:val="00126E14"/>
    <w:rsid w:val="00126F47"/>
    <w:rsid w:val="00127348"/>
    <w:rsid w:val="0013083C"/>
    <w:rsid w:val="0013179B"/>
    <w:rsid w:val="00131C56"/>
    <w:rsid w:val="00131E11"/>
    <w:rsid w:val="00135533"/>
    <w:rsid w:val="001367FE"/>
    <w:rsid w:val="0014145C"/>
    <w:rsid w:val="00143158"/>
    <w:rsid w:val="001440C8"/>
    <w:rsid w:val="00144A12"/>
    <w:rsid w:val="00145184"/>
    <w:rsid w:val="001457A4"/>
    <w:rsid w:val="00145AAB"/>
    <w:rsid w:val="00146B62"/>
    <w:rsid w:val="00146E87"/>
    <w:rsid w:val="00147003"/>
    <w:rsid w:val="001472AE"/>
    <w:rsid w:val="001474DB"/>
    <w:rsid w:val="0014783C"/>
    <w:rsid w:val="0014799E"/>
    <w:rsid w:val="00151D8D"/>
    <w:rsid w:val="00151EA2"/>
    <w:rsid w:val="0015405E"/>
    <w:rsid w:val="00154F00"/>
    <w:rsid w:val="001559D2"/>
    <w:rsid w:val="00157576"/>
    <w:rsid w:val="001604A9"/>
    <w:rsid w:val="00165491"/>
    <w:rsid w:val="00165C8C"/>
    <w:rsid w:val="00167189"/>
    <w:rsid w:val="00173296"/>
    <w:rsid w:val="00174B9E"/>
    <w:rsid w:val="00175B0B"/>
    <w:rsid w:val="001776DB"/>
    <w:rsid w:val="00177B4C"/>
    <w:rsid w:val="00182082"/>
    <w:rsid w:val="00182653"/>
    <w:rsid w:val="00182E5C"/>
    <w:rsid w:val="001840B9"/>
    <w:rsid w:val="0018422B"/>
    <w:rsid w:val="001843F4"/>
    <w:rsid w:val="00185699"/>
    <w:rsid w:val="0018584A"/>
    <w:rsid w:val="00185A5C"/>
    <w:rsid w:val="00185D74"/>
    <w:rsid w:val="00187049"/>
    <w:rsid w:val="001873B9"/>
    <w:rsid w:val="0018780A"/>
    <w:rsid w:val="00190029"/>
    <w:rsid w:val="00191CED"/>
    <w:rsid w:val="00191F3F"/>
    <w:rsid w:val="00192880"/>
    <w:rsid w:val="0019400E"/>
    <w:rsid w:val="001946BF"/>
    <w:rsid w:val="00194B00"/>
    <w:rsid w:val="00195190"/>
    <w:rsid w:val="00197560"/>
    <w:rsid w:val="001A0B7A"/>
    <w:rsid w:val="001A14BD"/>
    <w:rsid w:val="001A2426"/>
    <w:rsid w:val="001A27F7"/>
    <w:rsid w:val="001A3299"/>
    <w:rsid w:val="001A38FC"/>
    <w:rsid w:val="001A3C40"/>
    <w:rsid w:val="001A5E46"/>
    <w:rsid w:val="001A670C"/>
    <w:rsid w:val="001A79B5"/>
    <w:rsid w:val="001B043A"/>
    <w:rsid w:val="001B1CD1"/>
    <w:rsid w:val="001B1EA7"/>
    <w:rsid w:val="001B1F72"/>
    <w:rsid w:val="001B270F"/>
    <w:rsid w:val="001B369C"/>
    <w:rsid w:val="001B40EB"/>
    <w:rsid w:val="001B4592"/>
    <w:rsid w:val="001B691F"/>
    <w:rsid w:val="001B6A25"/>
    <w:rsid w:val="001B7DB3"/>
    <w:rsid w:val="001B7F76"/>
    <w:rsid w:val="001C1AFD"/>
    <w:rsid w:val="001C6B89"/>
    <w:rsid w:val="001D0388"/>
    <w:rsid w:val="001D09B7"/>
    <w:rsid w:val="001D0AD6"/>
    <w:rsid w:val="001D339F"/>
    <w:rsid w:val="001D394A"/>
    <w:rsid w:val="001D453C"/>
    <w:rsid w:val="001D51D2"/>
    <w:rsid w:val="001D73EC"/>
    <w:rsid w:val="001D780C"/>
    <w:rsid w:val="001E1B42"/>
    <w:rsid w:val="001E3048"/>
    <w:rsid w:val="001E3E9F"/>
    <w:rsid w:val="001E4940"/>
    <w:rsid w:val="001E4D47"/>
    <w:rsid w:val="001E5B55"/>
    <w:rsid w:val="001E6925"/>
    <w:rsid w:val="001E697F"/>
    <w:rsid w:val="001F0B40"/>
    <w:rsid w:val="001F2759"/>
    <w:rsid w:val="001F4295"/>
    <w:rsid w:val="001F4DFD"/>
    <w:rsid w:val="001F5C3E"/>
    <w:rsid w:val="001F6A32"/>
    <w:rsid w:val="001F7692"/>
    <w:rsid w:val="001F7947"/>
    <w:rsid w:val="00200178"/>
    <w:rsid w:val="002002AA"/>
    <w:rsid w:val="00200F39"/>
    <w:rsid w:val="00201111"/>
    <w:rsid w:val="00202C1B"/>
    <w:rsid w:val="00202F54"/>
    <w:rsid w:val="00204356"/>
    <w:rsid w:val="002054C5"/>
    <w:rsid w:val="002056FF"/>
    <w:rsid w:val="002076C4"/>
    <w:rsid w:val="002106B1"/>
    <w:rsid w:val="00212B39"/>
    <w:rsid w:val="00215445"/>
    <w:rsid w:val="0021546C"/>
    <w:rsid w:val="002154D3"/>
    <w:rsid w:val="00216336"/>
    <w:rsid w:val="00216533"/>
    <w:rsid w:val="002166FF"/>
    <w:rsid w:val="00216DCD"/>
    <w:rsid w:val="00220E05"/>
    <w:rsid w:val="00221325"/>
    <w:rsid w:val="002238DE"/>
    <w:rsid w:val="00223B5B"/>
    <w:rsid w:val="00226886"/>
    <w:rsid w:val="00230AB9"/>
    <w:rsid w:val="00231F77"/>
    <w:rsid w:val="00232B4E"/>
    <w:rsid w:val="00232CBA"/>
    <w:rsid w:val="00232E83"/>
    <w:rsid w:val="00236B89"/>
    <w:rsid w:val="00236CA3"/>
    <w:rsid w:val="00237633"/>
    <w:rsid w:val="0024127E"/>
    <w:rsid w:val="00241CEF"/>
    <w:rsid w:val="00242338"/>
    <w:rsid w:val="002423FC"/>
    <w:rsid w:val="00243FBF"/>
    <w:rsid w:val="00244E45"/>
    <w:rsid w:val="0024741C"/>
    <w:rsid w:val="0024772F"/>
    <w:rsid w:val="002523B7"/>
    <w:rsid w:val="002544A6"/>
    <w:rsid w:val="002577FE"/>
    <w:rsid w:val="00262010"/>
    <w:rsid w:val="00263282"/>
    <w:rsid w:val="00264128"/>
    <w:rsid w:val="00267295"/>
    <w:rsid w:val="002672A1"/>
    <w:rsid w:val="0026734F"/>
    <w:rsid w:val="00267482"/>
    <w:rsid w:val="00270691"/>
    <w:rsid w:val="00271BB5"/>
    <w:rsid w:val="0027344F"/>
    <w:rsid w:val="00273ABE"/>
    <w:rsid w:val="002745A6"/>
    <w:rsid w:val="00275DB1"/>
    <w:rsid w:val="00277577"/>
    <w:rsid w:val="00277AC5"/>
    <w:rsid w:val="002816DB"/>
    <w:rsid w:val="0028190D"/>
    <w:rsid w:val="00281C7D"/>
    <w:rsid w:val="00281CE2"/>
    <w:rsid w:val="002832E4"/>
    <w:rsid w:val="00284CA4"/>
    <w:rsid w:val="002857AF"/>
    <w:rsid w:val="00286794"/>
    <w:rsid w:val="00286BE7"/>
    <w:rsid w:val="00286E6A"/>
    <w:rsid w:val="00295113"/>
    <w:rsid w:val="00296CD1"/>
    <w:rsid w:val="00296EF2"/>
    <w:rsid w:val="002A0288"/>
    <w:rsid w:val="002A1BDA"/>
    <w:rsid w:val="002A2650"/>
    <w:rsid w:val="002A318A"/>
    <w:rsid w:val="002A40A4"/>
    <w:rsid w:val="002A42F3"/>
    <w:rsid w:val="002A7DE8"/>
    <w:rsid w:val="002B05C6"/>
    <w:rsid w:val="002B0980"/>
    <w:rsid w:val="002B0C8D"/>
    <w:rsid w:val="002B5B31"/>
    <w:rsid w:val="002B5CD8"/>
    <w:rsid w:val="002B7BBA"/>
    <w:rsid w:val="002C19CE"/>
    <w:rsid w:val="002C1DE2"/>
    <w:rsid w:val="002C2900"/>
    <w:rsid w:val="002C3FA8"/>
    <w:rsid w:val="002C4D3C"/>
    <w:rsid w:val="002C699F"/>
    <w:rsid w:val="002D1FCD"/>
    <w:rsid w:val="002D2BE2"/>
    <w:rsid w:val="002D3069"/>
    <w:rsid w:val="002D37AE"/>
    <w:rsid w:val="002D4364"/>
    <w:rsid w:val="002D475F"/>
    <w:rsid w:val="002D5AF6"/>
    <w:rsid w:val="002D6CAD"/>
    <w:rsid w:val="002E022B"/>
    <w:rsid w:val="002E0EC4"/>
    <w:rsid w:val="002E34CC"/>
    <w:rsid w:val="002E43E8"/>
    <w:rsid w:val="002E73CF"/>
    <w:rsid w:val="002F10E1"/>
    <w:rsid w:val="002F1572"/>
    <w:rsid w:val="002F395D"/>
    <w:rsid w:val="002F6B89"/>
    <w:rsid w:val="002F71DD"/>
    <w:rsid w:val="00301BEB"/>
    <w:rsid w:val="0030313E"/>
    <w:rsid w:val="003037C2"/>
    <w:rsid w:val="00304165"/>
    <w:rsid w:val="00306FB9"/>
    <w:rsid w:val="00307010"/>
    <w:rsid w:val="00307584"/>
    <w:rsid w:val="003077DE"/>
    <w:rsid w:val="00307DC7"/>
    <w:rsid w:val="003106CE"/>
    <w:rsid w:val="00311B85"/>
    <w:rsid w:val="00312671"/>
    <w:rsid w:val="00312A70"/>
    <w:rsid w:val="00312EBA"/>
    <w:rsid w:val="00313E67"/>
    <w:rsid w:val="00317EE2"/>
    <w:rsid w:val="00322ABE"/>
    <w:rsid w:val="003235B7"/>
    <w:rsid w:val="003246AA"/>
    <w:rsid w:val="003252FC"/>
    <w:rsid w:val="00325E79"/>
    <w:rsid w:val="003275AE"/>
    <w:rsid w:val="003312FD"/>
    <w:rsid w:val="003318A2"/>
    <w:rsid w:val="00331B3D"/>
    <w:rsid w:val="00331D37"/>
    <w:rsid w:val="00332807"/>
    <w:rsid w:val="00334B3B"/>
    <w:rsid w:val="0033551E"/>
    <w:rsid w:val="003360B4"/>
    <w:rsid w:val="00336145"/>
    <w:rsid w:val="00336359"/>
    <w:rsid w:val="00337DEC"/>
    <w:rsid w:val="003440B5"/>
    <w:rsid w:val="003458AC"/>
    <w:rsid w:val="003503A7"/>
    <w:rsid w:val="00350D71"/>
    <w:rsid w:val="003512C7"/>
    <w:rsid w:val="00352AA4"/>
    <w:rsid w:val="00352BE9"/>
    <w:rsid w:val="003538AA"/>
    <w:rsid w:val="003557EC"/>
    <w:rsid w:val="003568D3"/>
    <w:rsid w:val="003569A9"/>
    <w:rsid w:val="0035773F"/>
    <w:rsid w:val="00364739"/>
    <w:rsid w:val="00366276"/>
    <w:rsid w:val="00367C03"/>
    <w:rsid w:val="003702FD"/>
    <w:rsid w:val="00372EEF"/>
    <w:rsid w:val="00373072"/>
    <w:rsid w:val="00374201"/>
    <w:rsid w:val="003765E0"/>
    <w:rsid w:val="0037667B"/>
    <w:rsid w:val="00377B5C"/>
    <w:rsid w:val="00377F87"/>
    <w:rsid w:val="003801D8"/>
    <w:rsid w:val="00380250"/>
    <w:rsid w:val="00380C29"/>
    <w:rsid w:val="00380CDB"/>
    <w:rsid w:val="00381DF8"/>
    <w:rsid w:val="003841F2"/>
    <w:rsid w:val="00384E54"/>
    <w:rsid w:val="003870EC"/>
    <w:rsid w:val="003900B7"/>
    <w:rsid w:val="00390454"/>
    <w:rsid w:val="003908D2"/>
    <w:rsid w:val="00392C93"/>
    <w:rsid w:val="00393AEA"/>
    <w:rsid w:val="00393E2F"/>
    <w:rsid w:val="00395FA7"/>
    <w:rsid w:val="0039660D"/>
    <w:rsid w:val="0039733D"/>
    <w:rsid w:val="003A0724"/>
    <w:rsid w:val="003A14BF"/>
    <w:rsid w:val="003A1C28"/>
    <w:rsid w:val="003A2D1D"/>
    <w:rsid w:val="003A33CC"/>
    <w:rsid w:val="003A3426"/>
    <w:rsid w:val="003A3FA7"/>
    <w:rsid w:val="003A45C2"/>
    <w:rsid w:val="003A46D6"/>
    <w:rsid w:val="003A47D7"/>
    <w:rsid w:val="003A4918"/>
    <w:rsid w:val="003B04EB"/>
    <w:rsid w:val="003B1B04"/>
    <w:rsid w:val="003B374B"/>
    <w:rsid w:val="003B546B"/>
    <w:rsid w:val="003B54A1"/>
    <w:rsid w:val="003B6C40"/>
    <w:rsid w:val="003B7FD6"/>
    <w:rsid w:val="003C0008"/>
    <w:rsid w:val="003C0033"/>
    <w:rsid w:val="003C0B9E"/>
    <w:rsid w:val="003C0D4B"/>
    <w:rsid w:val="003C106E"/>
    <w:rsid w:val="003C10CC"/>
    <w:rsid w:val="003C1A81"/>
    <w:rsid w:val="003C1E9B"/>
    <w:rsid w:val="003C3EAF"/>
    <w:rsid w:val="003C51A4"/>
    <w:rsid w:val="003C5515"/>
    <w:rsid w:val="003C5542"/>
    <w:rsid w:val="003C5D65"/>
    <w:rsid w:val="003C65F6"/>
    <w:rsid w:val="003C799C"/>
    <w:rsid w:val="003D2076"/>
    <w:rsid w:val="003D2124"/>
    <w:rsid w:val="003D2485"/>
    <w:rsid w:val="003D30A0"/>
    <w:rsid w:val="003D570B"/>
    <w:rsid w:val="003D6187"/>
    <w:rsid w:val="003D66DB"/>
    <w:rsid w:val="003D7177"/>
    <w:rsid w:val="003E05C3"/>
    <w:rsid w:val="003E0740"/>
    <w:rsid w:val="003E13A8"/>
    <w:rsid w:val="003E2282"/>
    <w:rsid w:val="003E22C3"/>
    <w:rsid w:val="003E2D71"/>
    <w:rsid w:val="003E3638"/>
    <w:rsid w:val="003E53CF"/>
    <w:rsid w:val="003E5977"/>
    <w:rsid w:val="003F09E1"/>
    <w:rsid w:val="003F0B6E"/>
    <w:rsid w:val="003F0DFC"/>
    <w:rsid w:val="003F2045"/>
    <w:rsid w:val="003F2BD3"/>
    <w:rsid w:val="003F3402"/>
    <w:rsid w:val="003F40D3"/>
    <w:rsid w:val="003F444F"/>
    <w:rsid w:val="003F57A8"/>
    <w:rsid w:val="003F57E4"/>
    <w:rsid w:val="003F6063"/>
    <w:rsid w:val="004006C6"/>
    <w:rsid w:val="00401359"/>
    <w:rsid w:val="004024EF"/>
    <w:rsid w:val="0040261F"/>
    <w:rsid w:val="004026B0"/>
    <w:rsid w:val="004050F5"/>
    <w:rsid w:val="004111D9"/>
    <w:rsid w:val="00414BB4"/>
    <w:rsid w:val="00416B52"/>
    <w:rsid w:val="00416DAE"/>
    <w:rsid w:val="00417F06"/>
    <w:rsid w:val="00420571"/>
    <w:rsid w:val="0042522E"/>
    <w:rsid w:val="004301C0"/>
    <w:rsid w:val="00431C39"/>
    <w:rsid w:val="00431EA8"/>
    <w:rsid w:val="00435902"/>
    <w:rsid w:val="00437B4C"/>
    <w:rsid w:val="00437FF1"/>
    <w:rsid w:val="00440DC5"/>
    <w:rsid w:val="00441D17"/>
    <w:rsid w:val="0044334A"/>
    <w:rsid w:val="00443903"/>
    <w:rsid w:val="00445104"/>
    <w:rsid w:val="00445CA6"/>
    <w:rsid w:val="00446178"/>
    <w:rsid w:val="00447334"/>
    <w:rsid w:val="004475E7"/>
    <w:rsid w:val="004477FC"/>
    <w:rsid w:val="00450E2D"/>
    <w:rsid w:val="00452241"/>
    <w:rsid w:val="00453CD0"/>
    <w:rsid w:val="00453FAB"/>
    <w:rsid w:val="0045632B"/>
    <w:rsid w:val="00456D39"/>
    <w:rsid w:val="00456DC3"/>
    <w:rsid w:val="00462C7D"/>
    <w:rsid w:val="00465B3F"/>
    <w:rsid w:val="00466F68"/>
    <w:rsid w:val="004677DF"/>
    <w:rsid w:val="00471D56"/>
    <w:rsid w:val="00472B05"/>
    <w:rsid w:val="00472F7B"/>
    <w:rsid w:val="00473A0B"/>
    <w:rsid w:val="00481692"/>
    <w:rsid w:val="00482850"/>
    <w:rsid w:val="004851B8"/>
    <w:rsid w:val="004858FE"/>
    <w:rsid w:val="00490272"/>
    <w:rsid w:val="004917B4"/>
    <w:rsid w:val="0049182A"/>
    <w:rsid w:val="00492F3A"/>
    <w:rsid w:val="004935BE"/>
    <w:rsid w:val="00493656"/>
    <w:rsid w:val="0049526E"/>
    <w:rsid w:val="00495BC6"/>
    <w:rsid w:val="00495EE2"/>
    <w:rsid w:val="00496FF3"/>
    <w:rsid w:val="00497580"/>
    <w:rsid w:val="00497BB3"/>
    <w:rsid w:val="004A1A42"/>
    <w:rsid w:val="004A2C59"/>
    <w:rsid w:val="004A435C"/>
    <w:rsid w:val="004A5C97"/>
    <w:rsid w:val="004A6ADE"/>
    <w:rsid w:val="004A7C15"/>
    <w:rsid w:val="004A7DE6"/>
    <w:rsid w:val="004B03F3"/>
    <w:rsid w:val="004B0BBF"/>
    <w:rsid w:val="004B0DD1"/>
    <w:rsid w:val="004B1515"/>
    <w:rsid w:val="004B27A5"/>
    <w:rsid w:val="004B45AB"/>
    <w:rsid w:val="004B5170"/>
    <w:rsid w:val="004B5398"/>
    <w:rsid w:val="004B5567"/>
    <w:rsid w:val="004B6B4D"/>
    <w:rsid w:val="004B72C8"/>
    <w:rsid w:val="004C1382"/>
    <w:rsid w:val="004C1B6B"/>
    <w:rsid w:val="004C33FB"/>
    <w:rsid w:val="004C3458"/>
    <w:rsid w:val="004C4689"/>
    <w:rsid w:val="004C50E9"/>
    <w:rsid w:val="004C67AD"/>
    <w:rsid w:val="004D0ACE"/>
    <w:rsid w:val="004D2C4B"/>
    <w:rsid w:val="004D37F4"/>
    <w:rsid w:val="004D5E56"/>
    <w:rsid w:val="004D60A0"/>
    <w:rsid w:val="004D7C67"/>
    <w:rsid w:val="004E0F8B"/>
    <w:rsid w:val="004E150E"/>
    <w:rsid w:val="004E15DB"/>
    <w:rsid w:val="004E1F65"/>
    <w:rsid w:val="004E2D8B"/>
    <w:rsid w:val="004E417B"/>
    <w:rsid w:val="004E4359"/>
    <w:rsid w:val="004E4975"/>
    <w:rsid w:val="004E5905"/>
    <w:rsid w:val="004E59E1"/>
    <w:rsid w:val="004E61D7"/>
    <w:rsid w:val="004E7BA2"/>
    <w:rsid w:val="004F0D01"/>
    <w:rsid w:val="004F213D"/>
    <w:rsid w:val="004F26A7"/>
    <w:rsid w:val="004F3E72"/>
    <w:rsid w:val="004F44A1"/>
    <w:rsid w:val="004F4BE6"/>
    <w:rsid w:val="004F5AAC"/>
    <w:rsid w:val="004F5DA7"/>
    <w:rsid w:val="004F664B"/>
    <w:rsid w:val="00502CDA"/>
    <w:rsid w:val="00507886"/>
    <w:rsid w:val="00507C8A"/>
    <w:rsid w:val="005106E6"/>
    <w:rsid w:val="00511DA3"/>
    <w:rsid w:val="0051204E"/>
    <w:rsid w:val="00512D4B"/>
    <w:rsid w:val="00513EAD"/>
    <w:rsid w:val="0051422F"/>
    <w:rsid w:val="00514B7C"/>
    <w:rsid w:val="00514C15"/>
    <w:rsid w:val="00515DED"/>
    <w:rsid w:val="00516D5B"/>
    <w:rsid w:val="00517DC6"/>
    <w:rsid w:val="00522C02"/>
    <w:rsid w:val="005239C5"/>
    <w:rsid w:val="00523BAE"/>
    <w:rsid w:val="00524366"/>
    <w:rsid w:val="00524C1E"/>
    <w:rsid w:val="00525283"/>
    <w:rsid w:val="00526DCC"/>
    <w:rsid w:val="00527487"/>
    <w:rsid w:val="005311EA"/>
    <w:rsid w:val="005338B2"/>
    <w:rsid w:val="00533DEA"/>
    <w:rsid w:val="00533E03"/>
    <w:rsid w:val="00533FDA"/>
    <w:rsid w:val="005355B2"/>
    <w:rsid w:val="00535D5F"/>
    <w:rsid w:val="0053612B"/>
    <w:rsid w:val="00537146"/>
    <w:rsid w:val="00540F72"/>
    <w:rsid w:val="00541078"/>
    <w:rsid w:val="0054185E"/>
    <w:rsid w:val="0054190A"/>
    <w:rsid w:val="00541F99"/>
    <w:rsid w:val="00542C8F"/>
    <w:rsid w:val="005431A2"/>
    <w:rsid w:val="00544236"/>
    <w:rsid w:val="0054660A"/>
    <w:rsid w:val="00547588"/>
    <w:rsid w:val="0055086E"/>
    <w:rsid w:val="00551CF3"/>
    <w:rsid w:val="00552DDB"/>
    <w:rsid w:val="0055387C"/>
    <w:rsid w:val="00554B8A"/>
    <w:rsid w:val="00554EA6"/>
    <w:rsid w:val="00556E78"/>
    <w:rsid w:val="00557C33"/>
    <w:rsid w:val="00560922"/>
    <w:rsid w:val="00560AF3"/>
    <w:rsid w:val="005658C3"/>
    <w:rsid w:val="00572B0B"/>
    <w:rsid w:val="00573446"/>
    <w:rsid w:val="00573907"/>
    <w:rsid w:val="00574BE3"/>
    <w:rsid w:val="00574C6A"/>
    <w:rsid w:val="00575614"/>
    <w:rsid w:val="00577923"/>
    <w:rsid w:val="005819FD"/>
    <w:rsid w:val="00582563"/>
    <w:rsid w:val="005841C9"/>
    <w:rsid w:val="00584277"/>
    <w:rsid w:val="00585D79"/>
    <w:rsid w:val="0058757A"/>
    <w:rsid w:val="005903A5"/>
    <w:rsid w:val="005910F1"/>
    <w:rsid w:val="00591187"/>
    <w:rsid w:val="00593645"/>
    <w:rsid w:val="00593878"/>
    <w:rsid w:val="0059451A"/>
    <w:rsid w:val="005973B0"/>
    <w:rsid w:val="00597BF8"/>
    <w:rsid w:val="005A0159"/>
    <w:rsid w:val="005A0416"/>
    <w:rsid w:val="005A12EE"/>
    <w:rsid w:val="005A17EE"/>
    <w:rsid w:val="005A357E"/>
    <w:rsid w:val="005A3A0E"/>
    <w:rsid w:val="005A74D7"/>
    <w:rsid w:val="005B024F"/>
    <w:rsid w:val="005B0CE2"/>
    <w:rsid w:val="005B1CD2"/>
    <w:rsid w:val="005B43BF"/>
    <w:rsid w:val="005B5F19"/>
    <w:rsid w:val="005B67BF"/>
    <w:rsid w:val="005B7175"/>
    <w:rsid w:val="005C025C"/>
    <w:rsid w:val="005C0CC9"/>
    <w:rsid w:val="005C1653"/>
    <w:rsid w:val="005C2560"/>
    <w:rsid w:val="005C287E"/>
    <w:rsid w:val="005C48AB"/>
    <w:rsid w:val="005C5159"/>
    <w:rsid w:val="005C7A14"/>
    <w:rsid w:val="005C7E54"/>
    <w:rsid w:val="005D105E"/>
    <w:rsid w:val="005D1BBC"/>
    <w:rsid w:val="005D2BA5"/>
    <w:rsid w:val="005D3E3D"/>
    <w:rsid w:val="005D5462"/>
    <w:rsid w:val="005D5BC4"/>
    <w:rsid w:val="005D67A2"/>
    <w:rsid w:val="005D6E73"/>
    <w:rsid w:val="005D7636"/>
    <w:rsid w:val="005D7AEE"/>
    <w:rsid w:val="005E0F6A"/>
    <w:rsid w:val="005E0FA4"/>
    <w:rsid w:val="005E1F16"/>
    <w:rsid w:val="005E4709"/>
    <w:rsid w:val="005E4CE4"/>
    <w:rsid w:val="005E522D"/>
    <w:rsid w:val="005E7397"/>
    <w:rsid w:val="005E7437"/>
    <w:rsid w:val="005E7CC9"/>
    <w:rsid w:val="005F374C"/>
    <w:rsid w:val="005F3F97"/>
    <w:rsid w:val="005F466E"/>
    <w:rsid w:val="005F76FD"/>
    <w:rsid w:val="00600259"/>
    <w:rsid w:val="006017C6"/>
    <w:rsid w:val="00601CBC"/>
    <w:rsid w:val="00602F9D"/>
    <w:rsid w:val="00603F16"/>
    <w:rsid w:val="00605809"/>
    <w:rsid w:val="00605AD4"/>
    <w:rsid w:val="00606877"/>
    <w:rsid w:val="006107F9"/>
    <w:rsid w:val="00610D4D"/>
    <w:rsid w:val="0061135D"/>
    <w:rsid w:val="00612AFA"/>
    <w:rsid w:val="00612CEB"/>
    <w:rsid w:val="00616ABA"/>
    <w:rsid w:val="006201F7"/>
    <w:rsid w:val="0062060A"/>
    <w:rsid w:val="00620861"/>
    <w:rsid w:val="00622BA0"/>
    <w:rsid w:val="00624C89"/>
    <w:rsid w:val="0062575A"/>
    <w:rsid w:val="0062596D"/>
    <w:rsid w:val="006277AC"/>
    <w:rsid w:val="00630FAB"/>
    <w:rsid w:val="0063366E"/>
    <w:rsid w:val="006339DF"/>
    <w:rsid w:val="00633B42"/>
    <w:rsid w:val="00635B76"/>
    <w:rsid w:val="006376E8"/>
    <w:rsid w:val="0063795F"/>
    <w:rsid w:val="0064122D"/>
    <w:rsid w:val="00641ED6"/>
    <w:rsid w:val="0064212D"/>
    <w:rsid w:val="00643A6F"/>
    <w:rsid w:val="00644DBE"/>
    <w:rsid w:val="006458ED"/>
    <w:rsid w:val="00646E19"/>
    <w:rsid w:val="00647F28"/>
    <w:rsid w:val="00652009"/>
    <w:rsid w:val="006521C9"/>
    <w:rsid w:val="00652762"/>
    <w:rsid w:val="00653904"/>
    <w:rsid w:val="00654107"/>
    <w:rsid w:val="006545DD"/>
    <w:rsid w:val="006553AB"/>
    <w:rsid w:val="006564C2"/>
    <w:rsid w:val="00660E6A"/>
    <w:rsid w:val="00661181"/>
    <w:rsid w:val="00661D07"/>
    <w:rsid w:val="00662125"/>
    <w:rsid w:val="00662FB2"/>
    <w:rsid w:val="00663233"/>
    <w:rsid w:val="00663415"/>
    <w:rsid w:val="00664871"/>
    <w:rsid w:val="0066528A"/>
    <w:rsid w:val="0066545E"/>
    <w:rsid w:val="006654E2"/>
    <w:rsid w:val="0066585A"/>
    <w:rsid w:val="00666A8B"/>
    <w:rsid w:val="00666F12"/>
    <w:rsid w:val="00667DE9"/>
    <w:rsid w:val="00671CB6"/>
    <w:rsid w:val="006728FE"/>
    <w:rsid w:val="00675091"/>
    <w:rsid w:val="006755CA"/>
    <w:rsid w:val="00677BA4"/>
    <w:rsid w:val="00677E3F"/>
    <w:rsid w:val="006819D5"/>
    <w:rsid w:val="00684398"/>
    <w:rsid w:val="00684DFA"/>
    <w:rsid w:val="0068554A"/>
    <w:rsid w:val="00686367"/>
    <w:rsid w:val="00686F6B"/>
    <w:rsid w:val="006870A3"/>
    <w:rsid w:val="006871AD"/>
    <w:rsid w:val="006877B3"/>
    <w:rsid w:val="0069088F"/>
    <w:rsid w:val="00691294"/>
    <w:rsid w:val="00692492"/>
    <w:rsid w:val="00692A3B"/>
    <w:rsid w:val="00694EBD"/>
    <w:rsid w:val="00695913"/>
    <w:rsid w:val="006963B0"/>
    <w:rsid w:val="00697889"/>
    <w:rsid w:val="00697C1A"/>
    <w:rsid w:val="00697C7A"/>
    <w:rsid w:val="006A02D8"/>
    <w:rsid w:val="006A077E"/>
    <w:rsid w:val="006A1E7F"/>
    <w:rsid w:val="006A2B73"/>
    <w:rsid w:val="006A2FD7"/>
    <w:rsid w:val="006A3505"/>
    <w:rsid w:val="006A37E1"/>
    <w:rsid w:val="006A396D"/>
    <w:rsid w:val="006A503C"/>
    <w:rsid w:val="006A52AF"/>
    <w:rsid w:val="006B11E2"/>
    <w:rsid w:val="006B1496"/>
    <w:rsid w:val="006B179E"/>
    <w:rsid w:val="006B22F9"/>
    <w:rsid w:val="006B2E1F"/>
    <w:rsid w:val="006B3516"/>
    <w:rsid w:val="006B3B3C"/>
    <w:rsid w:val="006B452D"/>
    <w:rsid w:val="006B491C"/>
    <w:rsid w:val="006B5D6F"/>
    <w:rsid w:val="006B5D99"/>
    <w:rsid w:val="006B6BB8"/>
    <w:rsid w:val="006B6BF3"/>
    <w:rsid w:val="006C25C2"/>
    <w:rsid w:val="006C2E60"/>
    <w:rsid w:val="006C2EED"/>
    <w:rsid w:val="006C3398"/>
    <w:rsid w:val="006C3B75"/>
    <w:rsid w:val="006C4120"/>
    <w:rsid w:val="006C4637"/>
    <w:rsid w:val="006C5393"/>
    <w:rsid w:val="006C5935"/>
    <w:rsid w:val="006C5C42"/>
    <w:rsid w:val="006C6792"/>
    <w:rsid w:val="006C7579"/>
    <w:rsid w:val="006C7FA5"/>
    <w:rsid w:val="006D0B02"/>
    <w:rsid w:val="006D10CF"/>
    <w:rsid w:val="006D19C5"/>
    <w:rsid w:val="006D3C56"/>
    <w:rsid w:val="006D437D"/>
    <w:rsid w:val="006D483C"/>
    <w:rsid w:val="006D4FDE"/>
    <w:rsid w:val="006D7088"/>
    <w:rsid w:val="006D7F84"/>
    <w:rsid w:val="006E3919"/>
    <w:rsid w:val="006E4518"/>
    <w:rsid w:val="006E4657"/>
    <w:rsid w:val="006E50F5"/>
    <w:rsid w:val="006E669E"/>
    <w:rsid w:val="006E6905"/>
    <w:rsid w:val="006E7E09"/>
    <w:rsid w:val="006F0528"/>
    <w:rsid w:val="006F36F5"/>
    <w:rsid w:val="006F435E"/>
    <w:rsid w:val="006F6427"/>
    <w:rsid w:val="006F7277"/>
    <w:rsid w:val="006F7C17"/>
    <w:rsid w:val="00700A22"/>
    <w:rsid w:val="00700C1B"/>
    <w:rsid w:val="00702212"/>
    <w:rsid w:val="007033B6"/>
    <w:rsid w:val="0070565A"/>
    <w:rsid w:val="00705D2C"/>
    <w:rsid w:val="007067BD"/>
    <w:rsid w:val="0071159C"/>
    <w:rsid w:val="007128B6"/>
    <w:rsid w:val="00712A03"/>
    <w:rsid w:val="0071327D"/>
    <w:rsid w:val="00714BC6"/>
    <w:rsid w:val="00715B90"/>
    <w:rsid w:val="00716C9E"/>
    <w:rsid w:val="0072435B"/>
    <w:rsid w:val="007249C3"/>
    <w:rsid w:val="00726014"/>
    <w:rsid w:val="00727B7E"/>
    <w:rsid w:val="0073220D"/>
    <w:rsid w:val="0073452A"/>
    <w:rsid w:val="00734DC2"/>
    <w:rsid w:val="00737551"/>
    <w:rsid w:val="00740580"/>
    <w:rsid w:val="00741D49"/>
    <w:rsid w:val="0074256D"/>
    <w:rsid w:val="00742A8B"/>
    <w:rsid w:val="00742B63"/>
    <w:rsid w:val="007442E7"/>
    <w:rsid w:val="00744320"/>
    <w:rsid w:val="007443DE"/>
    <w:rsid w:val="0074449D"/>
    <w:rsid w:val="00744907"/>
    <w:rsid w:val="00744E29"/>
    <w:rsid w:val="00746295"/>
    <w:rsid w:val="00747068"/>
    <w:rsid w:val="00750A24"/>
    <w:rsid w:val="0075168D"/>
    <w:rsid w:val="0075270D"/>
    <w:rsid w:val="00752D2B"/>
    <w:rsid w:val="00753254"/>
    <w:rsid w:val="00754566"/>
    <w:rsid w:val="00754952"/>
    <w:rsid w:val="00756E37"/>
    <w:rsid w:val="00761878"/>
    <w:rsid w:val="00762B88"/>
    <w:rsid w:val="00762D31"/>
    <w:rsid w:val="007631E2"/>
    <w:rsid w:val="00763E86"/>
    <w:rsid w:val="0076401C"/>
    <w:rsid w:val="00764171"/>
    <w:rsid w:val="007641EE"/>
    <w:rsid w:val="007644BD"/>
    <w:rsid w:val="00766917"/>
    <w:rsid w:val="00767629"/>
    <w:rsid w:val="00767682"/>
    <w:rsid w:val="0076776C"/>
    <w:rsid w:val="007707D5"/>
    <w:rsid w:val="00775E65"/>
    <w:rsid w:val="0078010C"/>
    <w:rsid w:val="00782D28"/>
    <w:rsid w:val="00782D83"/>
    <w:rsid w:val="00783423"/>
    <w:rsid w:val="007854E3"/>
    <w:rsid w:val="007855C6"/>
    <w:rsid w:val="00785F19"/>
    <w:rsid w:val="00786CEB"/>
    <w:rsid w:val="00787B9F"/>
    <w:rsid w:val="007902A5"/>
    <w:rsid w:val="00791F04"/>
    <w:rsid w:val="00792070"/>
    <w:rsid w:val="00793010"/>
    <w:rsid w:val="007943F6"/>
    <w:rsid w:val="00794A85"/>
    <w:rsid w:val="00796B93"/>
    <w:rsid w:val="00797BF2"/>
    <w:rsid w:val="007A0408"/>
    <w:rsid w:val="007A1007"/>
    <w:rsid w:val="007A1A0A"/>
    <w:rsid w:val="007A2FFB"/>
    <w:rsid w:val="007A4864"/>
    <w:rsid w:val="007A4DE8"/>
    <w:rsid w:val="007A5000"/>
    <w:rsid w:val="007A5CB3"/>
    <w:rsid w:val="007A5DF3"/>
    <w:rsid w:val="007A6DD8"/>
    <w:rsid w:val="007B02A0"/>
    <w:rsid w:val="007B0F40"/>
    <w:rsid w:val="007B2AAC"/>
    <w:rsid w:val="007B3114"/>
    <w:rsid w:val="007B32A4"/>
    <w:rsid w:val="007B5042"/>
    <w:rsid w:val="007C0569"/>
    <w:rsid w:val="007C08CE"/>
    <w:rsid w:val="007C3801"/>
    <w:rsid w:val="007C38BB"/>
    <w:rsid w:val="007C4080"/>
    <w:rsid w:val="007C456E"/>
    <w:rsid w:val="007C48E9"/>
    <w:rsid w:val="007C4E6A"/>
    <w:rsid w:val="007C6E93"/>
    <w:rsid w:val="007D0DF9"/>
    <w:rsid w:val="007D33BB"/>
    <w:rsid w:val="007D5329"/>
    <w:rsid w:val="007D557F"/>
    <w:rsid w:val="007D6217"/>
    <w:rsid w:val="007D6D23"/>
    <w:rsid w:val="007D7051"/>
    <w:rsid w:val="007D7441"/>
    <w:rsid w:val="007E4CA7"/>
    <w:rsid w:val="007E4D8C"/>
    <w:rsid w:val="007F03B6"/>
    <w:rsid w:val="007F0A27"/>
    <w:rsid w:val="007F0B1A"/>
    <w:rsid w:val="007F12A5"/>
    <w:rsid w:val="007F15B5"/>
    <w:rsid w:val="007F1DEB"/>
    <w:rsid w:val="007F2186"/>
    <w:rsid w:val="007F4E6D"/>
    <w:rsid w:val="007F523C"/>
    <w:rsid w:val="008007ED"/>
    <w:rsid w:val="00801326"/>
    <w:rsid w:val="0080224A"/>
    <w:rsid w:val="008029A5"/>
    <w:rsid w:val="00802D52"/>
    <w:rsid w:val="008037F8"/>
    <w:rsid w:val="008105C0"/>
    <w:rsid w:val="00810701"/>
    <w:rsid w:val="00810AFB"/>
    <w:rsid w:val="008132A2"/>
    <w:rsid w:val="0081331D"/>
    <w:rsid w:val="008136AD"/>
    <w:rsid w:val="0081428E"/>
    <w:rsid w:val="0081579F"/>
    <w:rsid w:val="00816358"/>
    <w:rsid w:val="00820217"/>
    <w:rsid w:val="00820DAD"/>
    <w:rsid w:val="008216E7"/>
    <w:rsid w:val="00824F65"/>
    <w:rsid w:val="008255E7"/>
    <w:rsid w:val="00825805"/>
    <w:rsid w:val="00825FC9"/>
    <w:rsid w:val="00826C5B"/>
    <w:rsid w:val="0083037C"/>
    <w:rsid w:val="0083074A"/>
    <w:rsid w:val="00833EA1"/>
    <w:rsid w:val="00835B96"/>
    <w:rsid w:val="008406E4"/>
    <w:rsid w:val="00840C60"/>
    <w:rsid w:val="008412A6"/>
    <w:rsid w:val="00842435"/>
    <w:rsid w:val="00842A57"/>
    <w:rsid w:val="00843582"/>
    <w:rsid w:val="00843B28"/>
    <w:rsid w:val="00843EB0"/>
    <w:rsid w:val="008469D3"/>
    <w:rsid w:val="00846AE5"/>
    <w:rsid w:val="00850FEF"/>
    <w:rsid w:val="00851DB5"/>
    <w:rsid w:val="00851E7F"/>
    <w:rsid w:val="00852E12"/>
    <w:rsid w:val="008533EC"/>
    <w:rsid w:val="00855382"/>
    <w:rsid w:val="00861CBF"/>
    <w:rsid w:val="008648B8"/>
    <w:rsid w:val="0086721C"/>
    <w:rsid w:val="00867955"/>
    <w:rsid w:val="00870BBC"/>
    <w:rsid w:val="00873D34"/>
    <w:rsid w:val="00874021"/>
    <w:rsid w:val="00874860"/>
    <w:rsid w:val="00875F58"/>
    <w:rsid w:val="008777B5"/>
    <w:rsid w:val="00877D9A"/>
    <w:rsid w:val="00880640"/>
    <w:rsid w:val="0088243A"/>
    <w:rsid w:val="00882A65"/>
    <w:rsid w:val="0088406B"/>
    <w:rsid w:val="0088464A"/>
    <w:rsid w:val="00884C37"/>
    <w:rsid w:val="00885EB5"/>
    <w:rsid w:val="008876EC"/>
    <w:rsid w:val="00887A3D"/>
    <w:rsid w:val="0089096B"/>
    <w:rsid w:val="0089176F"/>
    <w:rsid w:val="008939D4"/>
    <w:rsid w:val="00894020"/>
    <w:rsid w:val="008947CD"/>
    <w:rsid w:val="0089519E"/>
    <w:rsid w:val="00895DFE"/>
    <w:rsid w:val="00896764"/>
    <w:rsid w:val="008A1224"/>
    <w:rsid w:val="008A133F"/>
    <w:rsid w:val="008A2CBD"/>
    <w:rsid w:val="008A3F4C"/>
    <w:rsid w:val="008A4387"/>
    <w:rsid w:val="008A4B56"/>
    <w:rsid w:val="008A4BD3"/>
    <w:rsid w:val="008A5E2B"/>
    <w:rsid w:val="008A6FA3"/>
    <w:rsid w:val="008B0165"/>
    <w:rsid w:val="008B051D"/>
    <w:rsid w:val="008B13FB"/>
    <w:rsid w:val="008B1D03"/>
    <w:rsid w:val="008B4C32"/>
    <w:rsid w:val="008C0380"/>
    <w:rsid w:val="008C101A"/>
    <w:rsid w:val="008C14DD"/>
    <w:rsid w:val="008C154F"/>
    <w:rsid w:val="008C371A"/>
    <w:rsid w:val="008C4BA2"/>
    <w:rsid w:val="008C6BBD"/>
    <w:rsid w:val="008D02F4"/>
    <w:rsid w:val="008D0678"/>
    <w:rsid w:val="008D1D96"/>
    <w:rsid w:val="008D7F37"/>
    <w:rsid w:val="008E13F4"/>
    <w:rsid w:val="008E25D7"/>
    <w:rsid w:val="008E288B"/>
    <w:rsid w:val="008E4328"/>
    <w:rsid w:val="008E45A3"/>
    <w:rsid w:val="008E4A75"/>
    <w:rsid w:val="008E5FCF"/>
    <w:rsid w:val="008E7710"/>
    <w:rsid w:val="008E7B49"/>
    <w:rsid w:val="008E7E90"/>
    <w:rsid w:val="008F0468"/>
    <w:rsid w:val="008F2E27"/>
    <w:rsid w:val="008F3386"/>
    <w:rsid w:val="008F469F"/>
    <w:rsid w:val="008F65E5"/>
    <w:rsid w:val="008F69D3"/>
    <w:rsid w:val="008F6A22"/>
    <w:rsid w:val="00900755"/>
    <w:rsid w:val="009007AD"/>
    <w:rsid w:val="00900C2E"/>
    <w:rsid w:val="00902074"/>
    <w:rsid w:val="0090234B"/>
    <w:rsid w:val="00902381"/>
    <w:rsid w:val="009032D3"/>
    <w:rsid w:val="00903695"/>
    <w:rsid w:val="00905003"/>
    <w:rsid w:val="00906CE5"/>
    <w:rsid w:val="009073AF"/>
    <w:rsid w:val="00911B9C"/>
    <w:rsid w:val="00912836"/>
    <w:rsid w:val="0091345A"/>
    <w:rsid w:val="0091419E"/>
    <w:rsid w:val="00915177"/>
    <w:rsid w:val="00915A7B"/>
    <w:rsid w:val="00915AA4"/>
    <w:rsid w:val="00915B71"/>
    <w:rsid w:val="009170BD"/>
    <w:rsid w:val="00921A20"/>
    <w:rsid w:val="00921D9D"/>
    <w:rsid w:val="00922687"/>
    <w:rsid w:val="009233E3"/>
    <w:rsid w:val="00923DE2"/>
    <w:rsid w:val="009273D9"/>
    <w:rsid w:val="0093345D"/>
    <w:rsid w:val="009336F8"/>
    <w:rsid w:val="00934FB4"/>
    <w:rsid w:val="00935E20"/>
    <w:rsid w:val="00935EA4"/>
    <w:rsid w:val="009373C7"/>
    <w:rsid w:val="00941288"/>
    <w:rsid w:val="00942882"/>
    <w:rsid w:val="00942A00"/>
    <w:rsid w:val="00943C20"/>
    <w:rsid w:val="00944315"/>
    <w:rsid w:val="009457A3"/>
    <w:rsid w:val="00945DAE"/>
    <w:rsid w:val="009460C0"/>
    <w:rsid w:val="00947983"/>
    <w:rsid w:val="00947B64"/>
    <w:rsid w:val="00947BD1"/>
    <w:rsid w:val="009518F0"/>
    <w:rsid w:val="009523DE"/>
    <w:rsid w:val="00952DB5"/>
    <w:rsid w:val="0095458F"/>
    <w:rsid w:val="0095571C"/>
    <w:rsid w:val="00956C95"/>
    <w:rsid w:val="00956E70"/>
    <w:rsid w:val="00957305"/>
    <w:rsid w:val="009579D4"/>
    <w:rsid w:val="00960302"/>
    <w:rsid w:val="00960736"/>
    <w:rsid w:val="0096214E"/>
    <w:rsid w:val="00962263"/>
    <w:rsid w:val="00962665"/>
    <w:rsid w:val="0096291D"/>
    <w:rsid w:val="0096314E"/>
    <w:rsid w:val="00963DD0"/>
    <w:rsid w:val="00964F8D"/>
    <w:rsid w:val="00966905"/>
    <w:rsid w:val="0097059B"/>
    <w:rsid w:val="00970EE8"/>
    <w:rsid w:val="00972872"/>
    <w:rsid w:val="009736FD"/>
    <w:rsid w:val="0097403E"/>
    <w:rsid w:val="009808DD"/>
    <w:rsid w:val="0098251C"/>
    <w:rsid w:val="009827A0"/>
    <w:rsid w:val="00982B45"/>
    <w:rsid w:val="00990AF8"/>
    <w:rsid w:val="00990C02"/>
    <w:rsid w:val="0099128A"/>
    <w:rsid w:val="00993E29"/>
    <w:rsid w:val="009978C9"/>
    <w:rsid w:val="009A06CB"/>
    <w:rsid w:val="009A072F"/>
    <w:rsid w:val="009A1495"/>
    <w:rsid w:val="009A1E05"/>
    <w:rsid w:val="009A431F"/>
    <w:rsid w:val="009A4637"/>
    <w:rsid w:val="009A489E"/>
    <w:rsid w:val="009A6FD4"/>
    <w:rsid w:val="009B024B"/>
    <w:rsid w:val="009B0700"/>
    <w:rsid w:val="009B0F35"/>
    <w:rsid w:val="009B47EE"/>
    <w:rsid w:val="009B5801"/>
    <w:rsid w:val="009B59FD"/>
    <w:rsid w:val="009B5C0B"/>
    <w:rsid w:val="009B6201"/>
    <w:rsid w:val="009B6E18"/>
    <w:rsid w:val="009B7F39"/>
    <w:rsid w:val="009C0977"/>
    <w:rsid w:val="009C1615"/>
    <w:rsid w:val="009C3B22"/>
    <w:rsid w:val="009C60D8"/>
    <w:rsid w:val="009C7230"/>
    <w:rsid w:val="009C75FA"/>
    <w:rsid w:val="009D1463"/>
    <w:rsid w:val="009D1570"/>
    <w:rsid w:val="009D157C"/>
    <w:rsid w:val="009D1A9C"/>
    <w:rsid w:val="009D3F76"/>
    <w:rsid w:val="009D6555"/>
    <w:rsid w:val="009D6976"/>
    <w:rsid w:val="009D6F2D"/>
    <w:rsid w:val="009D70E2"/>
    <w:rsid w:val="009E133C"/>
    <w:rsid w:val="009E141D"/>
    <w:rsid w:val="009E149F"/>
    <w:rsid w:val="009E1578"/>
    <w:rsid w:val="009E15B4"/>
    <w:rsid w:val="009E28AC"/>
    <w:rsid w:val="009E35A6"/>
    <w:rsid w:val="009E390A"/>
    <w:rsid w:val="009F0EC8"/>
    <w:rsid w:val="009F1652"/>
    <w:rsid w:val="009F2BF7"/>
    <w:rsid w:val="009F4DD3"/>
    <w:rsid w:val="009F59B9"/>
    <w:rsid w:val="009F7A2C"/>
    <w:rsid w:val="00A00668"/>
    <w:rsid w:val="00A01994"/>
    <w:rsid w:val="00A01EE4"/>
    <w:rsid w:val="00A03E0A"/>
    <w:rsid w:val="00A067DD"/>
    <w:rsid w:val="00A07DB8"/>
    <w:rsid w:val="00A07F5D"/>
    <w:rsid w:val="00A10BD0"/>
    <w:rsid w:val="00A12AA9"/>
    <w:rsid w:val="00A12C4E"/>
    <w:rsid w:val="00A134A0"/>
    <w:rsid w:val="00A15BB8"/>
    <w:rsid w:val="00A165E4"/>
    <w:rsid w:val="00A168B8"/>
    <w:rsid w:val="00A16CE8"/>
    <w:rsid w:val="00A17027"/>
    <w:rsid w:val="00A1774C"/>
    <w:rsid w:val="00A17A0C"/>
    <w:rsid w:val="00A20448"/>
    <w:rsid w:val="00A2079C"/>
    <w:rsid w:val="00A20AD0"/>
    <w:rsid w:val="00A24B46"/>
    <w:rsid w:val="00A24E8A"/>
    <w:rsid w:val="00A25701"/>
    <w:rsid w:val="00A25FF6"/>
    <w:rsid w:val="00A30C07"/>
    <w:rsid w:val="00A311CD"/>
    <w:rsid w:val="00A3224A"/>
    <w:rsid w:val="00A3232D"/>
    <w:rsid w:val="00A32704"/>
    <w:rsid w:val="00A32C75"/>
    <w:rsid w:val="00A33952"/>
    <w:rsid w:val="00A33C02"/>
    <w:rsid w:val="00A35F1A"/>
    <w:rsid w:val="00A43A31"/>
    <w:rsid w:val="00A43DA6"/>
    <w:rsid w:val="00A450C4"/>
    <w:rsid w:val="00A45BA7"/>
    <w:rsid w:val="00A50D4D"/>
    <w:rsid w:val="00A529A0"/>
    <w:rsid w:val="00A53217"/>
    <w:rsid w:val="00A5645B"/>
    <w:rsid w:val="00A60E4B"/>
    <w:rsid w:val="00A61AD5"/>
    <w:rsid w:val="00A61CEA"/>
    <w:rsid w:val="00A62C31"/>
    <w:rsid w:val="00A64ABE"/>
    <w:rsid w:val="00A65A7B"/>
    <w:rsid w:val="00A66830"/>
    <w:rsid w:val="00A66B59"/>
    <w:rsid w:val="00A66BF6"/>
    <w:rsid w:val="00A671E2"/>
    <w:rsid w:val="00A674AC"/>
    <w:rsid w:val="00A70AC8"/>
    <w:rsid w:val="00A72FE7"/>
    <w:rsid w:val="00A7343C"/>
    <w:rsid w:val="00A73863"/>
    <w:rsid w:val="00A73F8F"/>
    <w:rsid w:val="00A7483E"/>
    <w:rsid w:val="00A74A47"/>
    <w:rsid w:val="00A75A97"/>
    <w:rsid w:val="00A77497"/>
    <w:rsid w:val="00A77565"/>
    <w:rsid w:val="00A803C6"/>
    <w:rsid w:val="00A80F2C"/>
    <w:rsid w:val="00A8311B"/>
    <w:rsid w:val="00A84928"/>
    <w:rsid w:val="00A851C1"/>
    <w:rsid w:val="00A856E8"/>
    <w:rsid w:val="00A869B2"/>
    <w:rsid w:val="00A8705A"/>
    <w:rsid w:val="00A87E9A"/>
    <w:rsid w:val="00A926A3"/>
    <w:rsid w:val="00A9271F"/>
    <w:rsid w:val="00A94774"/>
    <w:rsid w:val="00A9586C"/>
    <w:rsid w:val="00A96291"/>
    <w:rsid w:val="00A962B8"/>
    <w:rsid w:val="00A962F0"/>
    <w:rsid w:val="00AA0FD8"/>
    <w:rsid w:val="00AA1AA9"/>
    <w:rsid w:val="00AA45B9"/>
    <w:rsid w:val="00AA5297"/>
    <w:rsid w:val="00AA6E9A"/>
    <w:rsid w:val="00AB11D6"/>
    <w:rsid w:val="00AB1D50"/>
    <w:rsid w:val="00AB2147"/>
    <w:rsid w:val="00AB6DBF"/>
    <w:rsid w:val="00AB716F"/>
    <w:rsid w:val="00AB79C5"/>
    <w:rsid w:val="00AC0275"/>
    <w:rsid w:val="00AC11C7"/>
    <w:rsid w:val="00AC1794"/>
    <w:rsid w:val="00AC1D23"/>
    <w:rsid w:val="00AC3113"/>
    <w:rsid w:val="00AC4A8F"/>
    <w:rsid w:val="00AC4C14"/>
    <w:rsid w:val="00AC50B7"/>
    <w:rsid w:val="00AC74AF"/>
    <w:rsid w:val="00AC7730"/>
    <w:rsid w:val="00AD041B"/>
    <w:rsid w:val="00AD0B61"/>
    <w:rsid w:val="00AD0DB7"/>
    <w:rsid w:val="00AD3E67"/>
    <w:rsid w:val="00AD506D"/>
    <w:rsid w:val="00AD5B29"/>
    <w:rsid w:val="00AD6724"/>
    <w:rsid w:val="00AD68D5"/>
    <w:rsid w:val="00AD6985"/>
    <w:rsid w:val="00AD7161"/>
    <w:rsid w:val="00AD716A"/>
    <w:rsid w:val="00AD7673"/>
    <w:rsid w:val="00AE1733"/>
    <w:rsid w:val="00AE189C"/>
    <w:rsid w:val="00AE3276"/>
    <w:rsid w:val="00AE4A32"/>
    <w:rsid w:val="00AE4BFD"/>
    <w:rsid w:val="00AE4DE1"/>
    <w:rsid w:val="00AE58DB"/>
    <w:rsid w:val="00AE5DEF"/>
    <w:rsid w:val="00AE754D"/>
    <w:rsid w:val="00AF02CE"/>
    <w:rsid w:val="00AF0799"/>
    <w:rsid w:val="00AF1C1C"/>
    <w:rsid w:val="00AF2E93"/>
    <w:rsid w:val="00AF3684"/>
    <w:rsid w:val="00B013AA"/>
    <w:rsid w:val="00B020DD"/>
    <w:rsid w:val="00B0211B"/>
    <w:rsid w:val="00B06F2B"/>
    <w:rsid w:val="00B11344"/>
    <w:rsid w:val="00B114B8"/>
    <w:rsid w:val="00B12143"/>
    <w:rsid w:val="00B126D9"/>
    <w:rsid w:val="00B14CF2"/>
    <w:rsid w:val="00B1599C"/>
    <w:rsid w:val="00B164CD"/>
    <w:rsid w:val="00B1679F"/>
    <w:rsid w:val="00B174CE"/>
    <w:rsid w:val="00B1765D"/>
    <w:rsid w:val="00B17877"/>
    <w:rsid w:val="00B20040"/>
    <w:rsid w:val="00B22144"/>
    <w:rsid w:val="00B2247E"/>
    <w:rsid w:val="00B23420"/>
    <w:rsid w:val="00B2507B"/>
    <w:rsid w:val="00B250AA"/>
    <w:rsid w:val="00B25191"/>
    <w:rsid w:val="00B309C1"/>
    <w:rsid w:val="00B30C29"/>
    <w:rsid w:val="00B31C37"/>
    <w:rsid w:val="00B3268A"/>
    <w:rsid w:val="00B35722"/>
    <w:rsid w:val="00B37226"/>
    <w:rsid w:val="00B4190F"/>
    <w:rsid w:val="00B42424"/>
    <w:rsid w:val="00B4274D"/>
    <w:rsid w:val="00B469F5"/>
    <w:rsid w:val="00B47939"/>
    <w:rsid w:val="00B5117A"/>
    <w:rsid w:val="00B523AA"/>
    <w:rsid w:val="00B528A2"/>
    <w:rsid w:val="00B53611"/>
    <w:rsid w:val="00B54896"/>
    <w:rsid w:val="00B56638"/>
    <w:rsid w:val="00B56A3E"/>
    <w:rsid w:val="00B57B88"/>
    <w:rsid w:val="00B57FBC"/>
    <w:rsid w:val="00B614CC"/>
    <w:rsid w:val="00B62476"/>
    <w:rsid w:val="00B62573"/>
    <w:rsid w:val="00B62DB0"/>
    <w:rsid w:val="00B63610"/>
    <w:rsid w:val="00B641B9"/>
    <w:rsid w:val="00B67018"/>
    <w:rsid w:val="00B67B47"/>
    <w:rsid w:val="00B7054C"/>
    <w:rsid w:val="00B7073C"/>
    <w:rsid w:val="00B7091A"/>
    <w:rsid w:val="00B70945"/>
    <w:rsid w:val="00B70E9E"/>
    <w:rsid w:val="00B717A2"/>
    <w:rsid w:val="00B71862"/>
    <w:rsid w:val="00B725EF"/>
    <w:rsid w:val="00B7423D"/>
    <w:rsid w:val="00B749E8"/>
    <w:rsid w:val="00B77763"/>
    <w:rsid w:val="00B77FB6"/>
    <w:rsid w:val="00B81697"/>
    <w:rsid w:val="00B81CBB"/>
    <w:rsid w:val="00B81D5F"/>
    <w:rsid w:val="00B8353A"/>
    <w:rsid w:val="00B83E0E"/>
    <w:rsid w:val="00B85FDE"/>
    <w:rsid w:val="00B87586"/>
    <w:rsid w:val="00B90565"/>
    <w:rsid w:val="00B92F9C"/>
    <w:rsid w:val="00B941E1"/>
    <w:rsid w:val="00B94788"/>
    <w:rsid w:val="00B95025"/>
    <w:rsid w:val="00B96BEB"/>
    <w:rsid w:val="00B976FF"/>
    <w:rsid w:val="00BA09C9"/>
    <w:rsid w:val="00BA1726"/>
    <w:rsid w:val="00BA2B1C"/>
    <w:rsid w:val="00BA3B24"/>
    <w:rsid w:val="00BA3D2E"/>
    <w:rsid w:val="00BA3F0B"/>
    <w:rsid w:val="00BA4969"/>
    <w:rsid w:val="00BA4B87"/>
    <w:rsid w:val="00BA5F0D"/>
    <w:rsid w:val="00BA6108"/>
    <w:rsid w:val="00BA669C"/>
    <w:rsid w:val="00BB0000"/>
    <w:rsid w:val="00BB0822"/>
    <w:rsid w:val="00BB170A"/>
    <w:rsid w:val="00BB2A47"/>
    <w:rsid w:val="00BB431D"/>
    <w:rsid w:val="00BB573B"/>
    <w:rsid w:val="00BC063C"/>
    <w:rsid w:val="00BC2C86"/>
    <w:rsid w:val="00BC2D8F"/>
    <w:rsid w:val="00BC3265"/>
    <w:rsid w:val="00BC5563"/>
    <w:rsid w:val="00BC606B"/>
    <w:rsid w:val="00BC6380"/>
    <w:rsid w:val="00BD1505"/>
    <w:rsid w:val="00BD166A"/>
    <w:rsid w:val="00BD18E3"/>
    <w:rsid w:val="00BD3068"/>
    <w:rsid w:val="00BD3F47"/>
    <w:rsid w:val="00BD79D8"/>
    <w:rsid w:val="00BD7BBA"/>
    <w:rsid w:val="00BE242F"/>
    <w:rsid w:val="00BE2A55"/>
    <w:rsid w:val="00BE3180"/>
    <w:rsid w:val="00BE365F"/>
    <w:rsid w:val="00BE4532"/>
    <w:rsid w:val="00BE4CBA"/>
    <w:rsid w:val="00BE5C19"/>
    <w:rsid w:val="00BE5C97"/>
    <w:rsid w:val="00BE6706"/>
    <w:rsid w:val="00BE76E0"/>
    <w:rsid w:val="00BF0636"/>
    <w:rsid w:val="00BF0ECA"/>
    <w:rsid w:val="00BF1761"/>
    <w:rsid w:val="00BF1AA8"/>
    <w:rsid w:val="00BF1DAD"/>
    <w:rsid w:val="00BF1F2E"/>
    <w:rsid w:val="00BF2897"/>
    <w:rsid w:val="00BF2CA8"/>
    <w:rsid w:val="00BF36BA"/>
    <w:rsid w:val="00BF468F"/>
    <w:rsid w:val="00BF4AE3"/>
    <w:rsid w:val="00BF4D88"/>
    <w:rsid w:val="00BF6694"/>
    <w:rsid w:val="00BF761A"/>
    <w:rsid w:val="00C00B91"/>
    <w:rsid w:val="00C01F75"/>
    <w:rsid w:val="00C02AF7"/>
    <w:rsid w:val="00C02D2B"/>
    <w:rsid w:val="00C03C17"/>
    <w:rsid w:val="00C040F7"/>
    <w:rsid w:val="00C04C79"/>
    <w:rsid w:val="00C0547C"/>
    <w:rsid w:val="00C05C53"/>
    <w:rsid w:val="00C05FB9"/>
    <w:rsid w:val="00C06541"/>
    <w:rsid w:val="00C07831"/>
    <w:rsid w:val="00C07CA4"/>
    <w:rsid w:val="00C134AC"/>
    <w:rsid w:val="00C13826"/>
    <w:rsid w:val="00C13851"/>
    <w:rsid w:val="00C149DC"/>
    <w:rsid w:val="00C1512B"/>
    <w:rsid w:val="00C167B5"/>
    <w:rsid w:val="00C170AA"/>
    <w:rsid w:val="00C20021"/>
    <w:rsid w:val="00C20FFE"/>
    <w:rsid w:val="00C2134D"/>
    <w:rsid w:val="00C2465A"/>
    <w:rsid w:val="00C26C73"/>
    <w:rsid w:val="00C27F7E"/>
    <w:rsid w:val="00C3261A"/>
    <w:rsid w:val="00C328FF"/>
    <w:rsid w:val="00C33735"/>
    <w:rsid w:val="00C343A7"/>
    <w:rsid w:val="00C34CFC"/>
    <w:rsid w:val="00C3508C"/>
    <w:rsid w:val="00C359B0"/>
    <w:rsid w:val="00C3600B"/>
    <w:rsid w:val="00C40075"/>
    <w:rsid w:val="00C4094B"/>
    <w:rsid w:val="00C40C32"/>
    <w:rsid w:val="00C40D70"/>
    <w:rsid w:val="00C417B8"/>
    <w:rsid w:val="00C41E17"/>
    <w:rsid w:val="00C4282D"/>
    <w:rsid w:val="00C4327D"/>
    <w:rsid w:val="00C43FE8"/>
    <w:rsid w:val="00C4498C"/>
    <w:rsid w:val="00C449BC"/>
    <w:rsid w:val="00C46BBC"/>
    <w:rsid w:val="00C47920"/>
    <w:rsid w:val="00C5061C"/>
    <w:rsid w:val="00C509B1"/>
    <w:rsid w:val="00C50E42"/>
    <w:rsid w:val="00C5259F"/>
    <w:rsid w:val="00C541CA"/>
    <w:rsid w:val="00C54645"/>
    <w:rsid w:val="00C54AB0"/>
    <w:rsid w:val="00C553AE"/>
    <w:rsid w:val="00C55BF1"/>
    <w:rsid w:val="00C57A43"/>
    <w:rsid w:val="00C57CC1"/>
    <w:rsid w:val="00C57EEF"/>
    <w:rsid w:val="00C61D5D"/>
    <w:rsid w:val="00C61EE3"/>
    <w:rsid w:val="00C63A8C"/>
    <w:rsid w:val="00C67B17"/>
    <w:rsid w:val="00C67EC9"/>
    <w:rsid w:val="00C70B99"/>
    <w:rsid w:val="00C71CA4"/>
    <w:rsid w:val="00C72240"/>
    <w:rsid w:val="00C743EF"/>
    <w:rsid w:val="00C75278"/>
    <w:rsid w:val="00C76D2D"/>
    <w:rsid w:val="00C77DEF"/>
    <w:rsid w:val="00C81284"/>
    <w:rsid w:val="00C818E0"/>
    <w:rsid w:val="00C90804"/>
    <w:rsid w:val="00C91924"/>
    <w:rsid w:val="00C91CAA"/>
    <w:rsid w:val="00C93DAC"/>
    <w:rsid w:val="00C94027"/>
    <w:rsid w:val="00C94233"/>
    <w:rsid w:val="00C94C95"/>
    <w:rsid w:val="00C96EAC"/>
    <w:rsid w:val="00C97943"/>
    <w:rsid w:val="00CA1880"/>
    <w:rsid w:val="00CA1B8E"/>
    <w:rsid w:val="00CA1B9B"/>
    <w:rsid w:val="00CA22CC"/>
    <w:rsid w:val="00CA337C"/>
    <w:rsid w:val="00CA68B8"/>
    <w:rsid w:val="00CA7692"/>
    <w:rsid w:val="00CB12D0"/>
    <w:rsid w:val="00CB4292"/>
    <w:rsid w:val="00CB654E"/>
    <w:rsid w:val="00CB7146"/>
    <w:rsid w:val="00CC238C"/>
    <w:rsid w:val="00CC2B17"/>
    <w:rsid w:val="00CC2CDE"/>
    <w:rsid w:val="00CC3AB5"/>
    <w:rsid w:val="00CC3F81"/>
    <w:rsid w:val="00CC45B1"/>
    <w:rsid w:val="00CC4954"/>
    <w:rsid w:val="00CC504E"/>
    <w:rsid w:val="00CC658C"/>
    <w:rsid w:val="00CC7754"/>
    <w:rsid w:val="00CC77F6"/>
    <w:rsid w:val="00CD0889"/>
    <w:rsid w:val="00CD14F7"/>
    <w:rsid w:val="00CD1A03"/>
    <w:rsid w:val="00CD2540"/>
    <w:rsid w:val="00CD26C6"/>
    <w:rsid w:val="00CD50E0"/>
    <w:rsid w:val="00CD76EC"/>
    <w:rsid w:val="00CE01E3"/>
    <w:rsid w:val="00CE2D11"/>
    <w:rsid w:val="00CE3CD1"/>
    <w:rsid w:val="00CE598C"/>
    <w:rsid w:val="00CF04AA"/>
    <w:rsid w:val="00CF0643"/>
    <w:rsid w:val="00CF0DB2"/>
    <w:rsid w:val="00CF105B"/>
    <w:rsid w:val="00CF149B"/>
    <w:rsid w:val="00CF210D"/>
    <w:rsid w:val="00CF21E0"/>
    <w:rsid w:val="00CF28E9"/>
    <w:rsid w:val="00CF2D09"/>
    <w:rsid w:val="00CF32BA"/>
    <w:rsid w:val="00CF5051"/>
    <w:rsid w:val="00CF526F"/>
    <w:rsid w:val="00CF5476"/>
    <w:rsid w:val="00CF76F1"/>
    <w:rsid w:val="00D02EA4"/>
    <w:rsid w:val="00D030EA"/>
    <w:rsid w:val="00D03898"/>
    <w:rsid w:val="00D0593B"/>
    <w:rsid w:val="00D07663"/>
    <w:rsid w:val="00D102B4"/>
    <w:rsid w:val="00D11550"/>
    <w:rsid w:val="00D130C3"/>
    <w:rsid w:val="00D14C80"/>
    <w:rsid w:val="00D14D9A"/>
    <w:rsid w:val="00D16286"/>
    <w:rsid w:val="00D170DF"/>
    <w:rsid w:val="00D20E6C"/>
    <w:rsid w:val="00D240D1"/>
    <w:rsid w:val="00D240D8"/>
    <w:rsid w:val="00D253DC"/>
    <w:rsid w:val="00D256C2"/>
    <w:rsid w:val="00D25F85"/>
    <w:rsid w:val="00D26E1C"/>
    <w:rsid w:val="00D270E4"/>
    <w:rsid w:val="00D2742A"/>
    <w:rsid w:val="00D3095A"/>
    <w:rsid w:val="00D30B1C"/>
    <w:rsid w:val="00D3254B"/>
    <w:rsid w:val="00D32607"/>
    <w:rsid w:val="00D327F2"/>
    <w:rsid w:val="00D32FF6"/>
    <w:rsid w:val="00D3367D"/>
    <w:rsid w:val="00D337E0"/>
    <w:rsid w:val="00D348C8"/>
    <w:rsid w:val="00D351CA"/>
    <w:rsid w:val="00D35686"/>
    <w:rsid w:val="00D35BD1"/>
    <w:rsid w:val="00D366D1"/>
    <w:rsid w:val="00D4153C"/>
    <w:rsid w:val="00D41BFA"/>
    <w:rsid w:val="00D426B4"/>
    <w:rsid w:val="00D45596"/>
    <w:rsid w:val="00D45F4A"/>
    <w:rsid w:val="00D4666E"/>
    <w:rsid w:val="00D46798"/>
    <w:rsid w:val="00D501F7"/>
    <w:rsid w:val="00D5090B"/>
    <w:rsid w:val="00D51EF3"/>
    <w:rsid w:val="00D5277D"/>
    <w:rsid w:val="00D53381"/>
    <w:rsid w:val="00D5433C"/>
    <w:rsid w:val="00D5587D"/>
    <w:rsid w:val="00D566C7"/>
    <w:rsid w:val="00D56FA9"/>
    <w:rsid w:val="00D623E1"/>
    <w:rsid w:val="00D6296F"/>
    <w:rsid w:val="00D63BCA"/>
    <w:rsid w:val="00D64A47"/>
    <w:rsid w:val="00D65550"/>
    <w:rsid w:val="00D65C98"/>
    <w:rsid w:val="00D66BAE"/>
    <w:rsid w:val="00D66ECE"/>
    <w:rsid w:val="00D671C9"/>
    <w:rsid w:val="00D67F6B"/>
    <w:rsid w:val="00D67F9B"/>
    <w:rsid w:val="00D70EAC"/>
    <w:rsid w:val="00D73ADC"/>
    <w:rsid w:val="00D73CC4"/>
    <w:rsid w:val="00D74B79"/>
    <w:rsid w:val="00D74CB4"/>
    <w:rsid w:val="00D75163"/>
    <w:rsid w:val="00D75751"/>
    <w:rsid w:val="00D7627E"/>
    <w:rsid w:val="00D76B33"/>
    <w:rsid w:val="00D76C73"/>
    <w:rsid w:val="00D76D0E"/>
    <w:rsid w:val="00D76F48"/>
    <w:rsid w:val="00D81F86"/>
    <w:rsid w:val="00D83959"/>
    <w:rsid w:val="00D8469C"/>
    <w:rsid w:val="00D848E1"/>
    <w:rsid w:val="00D859D8"/>
    <w:rsid w:val="00D85C7A"/>
    <w:rsid w:val="00D864F0"/>
    <w:rsid w:val="00D86C67"/>
    <w:rsid w:val="00D9053F"/>
    <w:rsid w:val="00D906DE"/>
    <w:rsid w:val="00D90EA8"/>
    <w:rsid w:val="00D92D56"/>
    <w:rsid w:val="00D9365D"/>
    <w:rsid w:val="00D946DC"/>
    <w:rsid w:val="00D9478E"/>
    <w:rsid w:val="00D9520A"/>
    <w:rsid w:val="00D96D89"/>
    <w:rsid w:val="00D96D8E"/>
    <w:rsid w:val="00DA2F9B"/>
    <w:rsid w:val="00DA31D3"/>
    <w:rsid w:val="00DA33F3"/>
    <w:rsid w:val="00DA4AF0"/>
    <w:rsid w:val="00DA7B7D"/>
    <w:rsid w:val="00DB0052"/>
    <w:rsid w:val="00DB0086"/>
    <w:rsid w:val="00DB1721"/>
    <w:rsid w:val="00DB3B12"/>
    <w:rsid w:val="00DB54BF"/>
    <w:rsid w:val="00DB606B"/>
    <w:rsid w:val="00DB7564"/>
    <w:rsid w:val="00DC01D4"/>
    <w:rsid w:val="00DC05FC"/>
    <w:rsid w:val="00DC0C74"/>
    <w:rsid w:val="00DC0FCA"/>
    <w:rsid w:val="00DC5B4E"/>
    <w:rsid w:val="00DC736D"/>
    <w:rsid w:val="00DC74A6"/>
    <w:rsid w:val="00DC7E3C"/>
    <w:rsid w:val="00DD0DD2"/>
    <w:rsid w:val="00DD146E"/>
    <w:rsid w:val="00DD19AC"/>
    <w:rsid w:val="00DD2F3B"/>
    <w:rsid w:val="00DD3023"/>
    <w:rsid w:val="00DD449A"/>
    <w:rsid w:val="00DD4590"/>
    <w:rsid w:val="00DD4A7D"/>
    <w:rsid w:val="00DD4FC3"/>
    <w:rsid w:val="00DD681A"/>
    <w:rsid w:val="00DE1227"/>
    <w:rsid w:val="00DE2697"/>
    <w:rsid w:val="00DE278E"/>
    <w:rsid w:val="00DE4209"/>
    <w:rsid w:val="00DE5D0A"/>
    <w:rsid w:val="00DE5F23"/>
    <w:rsid w:val="00DE6618"/>
    <w:rsid w:val="00DF123E"/>
    <w:rsid w:val="00DF1578"/>
    <w:rsid w:val="00DF2E34"/>
    <w:rsid w:val="00DF320A"/>
    <w:rsid w:val="00DF3360"/>
    <w:rsid w:val="00DF3E88"/>
    <w:rsid w:val="00DF453F"/>
    <w:rsid w:val="00DF4996"/>
    <w:rsid w:val="00DF6BC2"/>
    <w:rsid w:val="00DF7FFA"/>
    <w:rsid w:val="00E0042A"/>
    <w:rsid w:val="00E04ACE"/>
    <w:rsid w:val="00E0632F"/>
    <w:rsid w:val="00E10FBA"/>
    <w:rsid w:val="00E1159B"/>
    <w:rsid w:val="00E11CB8"/>
    <w:rsid w:val="00E123A7"/>
    <w:rsid w:val="00E12F6D"/>
    <w:rsid w:val="00E1341E"/>
    <w:rsid w:val="00E1402E"/>
    <w:rsid w:val="00E14FD7"/>
    <w:rsid w:val="00E16032"/>
    <w:rsid w:val="00E16C75"/>
    <w:rsid w:val="00E1792F"/>
    <w:rsid w:val="00E2046E"/>
    <w:rsid w:val="00E20CF1"/>
    <w:rsid w:val="00E21D44"/>
    <w:rsid w:val="00E22660"/>
    <w:rsid w:val="00E2437C"/>
    <w:rsid w:val="00E248DD"/>
    <w:rsid w:val="00E26166"/>
    <w:rsid w:val="00E30E00"/>
    <w:rsid w:val="00E310EC"/>
    <w:rsid w:val="00E3145B"/>
    <w:rsid w:val="00E326BE"/>
    <w:rsid w:val="00E32D80"/>
    <w:rsid w:val="00E34CA8"/>
    <w:rsid w:val="00E35627"/>
    <w:rsid w:val="00E360F8"/>
    <w:rsid w:val="00E36933"/>
    <w:rsid w:val="00E36E19"/>
    <w:rsid w:val="00E36EA4"/>
    <w:rsid w:val="00E37753"/>
    <w:rsid w:val="00E37815"/>
    <w:rsid w:val="00E403AE"/>
    <w:rsid w:val="00E41C65"/>
    <w:rsid w:val="00E426C5"/>
    <w:rsid w:val="00E46A71"/>
    <w:rsid w:val="00E516DA"/>
    <w:rsid w:val="00E535A4"/>
    <w:rsid w:val="00E53B74"/>
    <w:rsid w:val="00E56215"/>
    <w:rsid w:val="00E57BEA"/>
    <w:rsid w:val="00E57D15"/>
    <w:rsid w:val="00E57F77"/>
    <w:rsid w:val="00E6075A"/>
    <w:rsid w:val="00E61B9A"/>
    <w:rsid w:val="00E628A8"/>
    <w:rsid w:val="00E65001"/>
    <w:rsid w:val="00E65569"/>
    <w:rsid w:val="00E70145"/>
    <w:rsid w:val="00E70428"/>
    <w:rsid w:val="00E74B0F"/>
    <w:rsid w:val="00E74F5B"/>
    <w:rsid w:val="00E752E6"/>
    <w:rsid w:val="00E76430"/>
    <w:rsid w:val="00E76A73"/>
    <w:rsid w:val="00E77216"/>
    <w:rsid w:val="00E804A5"/>
    <w:rsid w:val="00E81879"/>
    <w:rsid w:val="00E81EDD"/>
    <w:rsid w:val="00E82B4D"/>
    <w:rsid w:val="00E82EDE"/>
    <w:rsid w:val="00E848E2"/>
    <w:rsid w:val="00E8637E"/>
    <w:rsid w:val="00E86FB3"/>
    <w:rsid w:val="00E878F7"/>
    <w:rsid w:val="00E8794B"/>
    <w:rsid w:val="00E90026"/>
    <w:rsid w:val="00E904FF"/>
    <w:rsid w:val="00E9051F"/>
    <w:rsid w:val="00E91C28"/>
    <w:rsid w:val="00E91E70"/>
    <w:rsid w:val="00E92D29"/>
    <w:rsid w:val="00E93C21"/>
    <w:rsid w:val="00E94991"/>
    <w:rsid w:val="00E9569C"/>
    <w:rsid w:val="00E96CA8"/>
    <w:rsid w:val="00E97CE5"/>
    <w:rsid w:val="00EA0F02"/>
    <w:rsid w:val="00EA2DF4"/>
    <w:rsid w:val="00EA5DD0"/>
    <w:rsid w:val="00EA6D51"/>
    <w:rsid w:val="00EA7CCA"/>
    <w:rsid w:val="00EB0AEE"/>
    <w:rsid w:val="00EB1539"/>
    <w:rsid w:val="00EB3D4F"/>
    <w:rsid w:val="00EB3FEE"/>
    <w:rsid w:val="00EB6629"/>
    <w:rsid w:val="00EC0E3E"/>
    <w:rsid w:val="00EC285D"/>
    <w:rsid w:val="00EC2956"/>
    <w:rsid w:val="00EC3AE4"/>
    <w:rsid w:val="00EC3E43"/>
    <w:rsid w:val="00EC57BE"/>
    <w:rsid w:val="00EC6DEA"/>
    <w:rsid w:val="00EC72BC"/>
    <w:rsid w:val="00EC773D"/>
    <w:rsid w:val="00EC7FA5"/>
    <w:rsid w:val="00ED0EBC"/>
    <w:rsid w:val="00ED3F35"/>
    <w:rsid w:val="00ED567E"/>
    <w:rsid w:val="00ED6AEC"/>
    <w:rsid w:val="00EE1522"/>
    <w:rsid w:val="00EE1873"/>
    <w:rsid w:val="00EE221A"/>
    <w:rsid w:val="00EE3095"/>
    <w:rsid w:val="00EE385F"/>
    <w:rsid w:val="00EE3ACC"/>
    <w:rsid w:val="00EE3BF1"/>
    <w:rsid w:val="00EE4254"/>
    <w:rsid w:val="00EE48F4"/>
    <w:rsid w:val="00EE54C1"/>
    <w:rsid w:val="00EE5F11"/>
    <w:rsid w:val="00EE696A"/>
    <w:rsid w:val="00EF0575"/>
    <w:rsid w:val="00EF0AC6"/>
    <w:rsid w:val="00EF0E56"/>
    <w:rsid w:val="00EF1657"/>
    <w:rsid w:val="00EF170A"/>
    <w:rsid w:val="00EF25E1"/>
    <w:rsid w:val="00EF3178"/>
    <w:rsid w:val="00EF5811"/>
    <w:rsid w:val="00EF623F"/>
    <w:rsid w:val="00EF7186"/>
    <w:rsid w:val="00EF7656"/>
    <w:rsid w:val="00F00AA9"/>
    <w:rsid w:val="00F00F73"/>
    <w:rsid w:val="00F026DA"/>
    <w:rsid w:val="00F029B8"/>
    <w:rsid w:val="00F039AE"/>
    <w:rsid w:val="00F05B95"/>
    <w:rsid w:val="00F0687D"/>
    <w:rsid w:val="00F079A3"/>
    <w:rsid w:val="00F07E04"/>
    <w:rsid w:val="00F07E98"/>
    <w:rsid w:val="00F105E6"/>
    <w:rsid w:val="00F11280"/>
    <w:rsid w:val="00F123F3"/>
    <w:rsid w:val="00F12D00"/>
    <w:rsid w:val="00F1316A"/>
    <w:rsid w:val="00F15A9F"/>
    <w:rsid w:val="00F1676D"/>
    <w:rsid w:val="00F171CD"/>
    <w:rsid w:val="00F17F91"/>
    <w:rsid w:val="00F20BCB"/>
    <w:rsid w:val="00F21369"/>
    <w:rsid w:val="00F23286"/>
    <w:rsid w:val="00F23DA1"/>
    <w:rsid w:val="00F24179"/>
    <w:rsid w:val="00F24BE0"/>
    <w:rsid w:val="00F256BE"/>
    <w:rsid w:val="00F2649F"/>
    <w:rsid w:val="00F279EC"/>
    <w:rsid w:val="00F27CBB"/>
    <w:rsid w:val="00F32517"/>
    <w:rsid w:val="00F328D6"/>
    <w:rsid w:val="00F32D24"/>
    <w:rsid w:val="00F346DF"/>
    <w:rsid w:val="00F34E19"/>
    <w:rsid w:val="00F36B05"/>
    <w:rsid w:val="00F36FF3"/>
    <w:rsid w:val="00F40945"/>
    <w:rsid w:val="00F412B4"/>
    <w:rsid w:val="00F43D2C"/>
    <w:rsid w:val="00F4451C"/>
    <w:rsid w:val="00F44AB5"/>
    <w:rsid w:val="00F44ADF"/>
    <w:rsid w:val="00F46C0E"/>
    <w:rsid w:val="00F50036"/>
    <w:rsid w:val="00F51A85"/>
    <w:rsid w:val="00F6046E"/>
    <w:rsid w:val="00F61367"/>
    <w:rsid w:val="00F61E67"/>
    <w:rsid w:val="00F6490E"/>
    <w:rsid w:val="00F67FAF"/>
    <w:rsid w:val="00F67FCC"/>
    <w:rsid w:val="00F711F1"/>
    <w:rsid w:val="00F72667"/>
    <w:rsid w:val="00F74856"/>
    <w:rsid w:val="00F74ACC"/>
    <w:rsid w:val="00F75FD8"/>
    <w:rsid w:val="00F760D1"/>
    <w:rsid w:val="00F81991"/>
    <w:rsid w:val="00F82416"/>
    <w:rsid w:val="00F82514"/>
    <w:rsid w:val="00F83E28"/>
    <w:rsid w:val="00F84482"/>
    <w:rsid w:val="00F848C5"/>
    <w:rsid w:val="00F853B6"/>
    <w:rsid w:val="00F855D5"/>
    <w:rsid w:val="00F87626"/>
    <w:rsid w:val="00F87845"/>
    <w:rsid w:val="00F9126D"/>
    <w:rsid w:val="00F959F5"/>
    <w:rsid w:val="00F95C73"/>
    <w:rsid w:val="00F9736F"/>
    <w:rsid w:val="00F974E1"/>
    <w:rsid w:val="00F97A51"/>
    <w:rsid w:val="00F97C1F"/>
    <w:rsid w:val="00FA0BF8"/>
    <w:rsid w:val="00FA4828"/>
    <w:rsid w:val="00FA4FB3"/>
    <w:rsid w:val="00FA6F64"/>
    <w:rsid w:val="00FA7805"/>
    <w:rsid w:val="00FA7F73"/>
    <w:rsid w:val="00FB0BC7"/>
    <w:rsid w:val="00FB1E42"/>
    <w:rsid w:val="00FB22A7"/>
    <w:rsid w:val="00FB3A9A"/>
    <w:rsid w:val="00FB500F"/>
    <w:rsid w:val="00FB6DFD"/>
    <w:rsid w:val="00FB77E2"/>
    <w:rsid w:val="00FB7B94"/>
    <w:rsid w:val="00FC1FB9"/>
    <w:rsid w:val="00FC2577"/>
    <w:rsid w:val="00FC38DD"/>
    <w:rsid w:val="00FC3B54"/>
    <w:rsid w:val="00FC3CF0"/>
    <w:rsid w:val="00FC40E9"/>
    <w:rsid w:val="00FC4563"/>
    <w:rsid w:val="00FC4CD2"/>
    <w:rsid w:val="00FC586A"/>
    <w:rsid w:val="00FC6408"/>
    <w:rsid w:val="00FC693E"/>
    <w:rsid w:val="00FC7B75"/>
    <w:rsid w:val="00FD0577"/>
    <w:rsid w:val="00FD17A2"/>
    <w:rsid w:val="00FD385F"/>
    <w:rsid w:val="00FD3F3C"/>
    <w:rsid w:val="00FD46C5"/>
    <w:rsid w:val="00FD53F2"/>
    <w:rsid w:val="00FD5C4D"/>
    <w:rsid w:val="00FD6B96"/>
    <w:rsid w:val="00FD6D4A"/>
    <w:rsid w:val="00FD75E1"/>
    <w:rsid w:val="00FD7FB7"/>
    <w:rsid w:val="00FE00D7"/>
    <w:rsid w:val="00FE022C"/>
    <w:rsid w:val="00FE0365"/>
    <w:rsid w:val="00FE0979"/>
    <w:rsid w:val="00FE0A45"/>
    <w:rsid w:val="00FE2951"/>
    <w:rsid w:val="00FE52D8"/>
    <w:rsid w:val="00FE5B7A"/>
    <w:rsid w:val="00FE5BC4"/>
    <w:rsid w:val="00FE5CA8"/>
    <w:rsid w:val="00FE6C5C"/>
    <w:rsid w:val="00FF0007"/>
    <w:rsid w:val="00FF0834"/>
    <w:rsid w:val="00FF0E23"/>
    <w:rsid w:val="00FF21A2"/>
    <w:rsid w:val="00FF289D"/>
    <w:rsid w:val="00FF2DDB"/>
    <w:rsid w:val="00FF3092"/>
    <w:rsid w:val="00FF3859"/>
    <w:rsid w:val="00FF3C5E"/>
    <w:rsid w:val="00FF6143"/>
    <w:rsid w:val="00FF696D"/>
    <w:rsid w:val="00FF77FE"/>
    <w:rsid w:val="00FF7CE6"/>
    <w:rsid w:val="00FF7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6E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47B64"/>
    <w:rPr>
      <w:rFonts w:ascii="Garamond" w:hAnsi="Garamond"/>
      <w:color w:val="000000" w:themeColor="text1"/>
    </w:rPr>
  </w:style>
  <w:style w:type="paragraph" w:styleId="Nadpis1">
    <w:name w:val="heading 1"/>
    <w:basedOn w:val="Normln"/>
    <w:next w:val="Normln"/>
    <w:link w:val="Nadpis1Char"/>
    <w:autoRedefine/>
    <w:uiPriority w:val="9"/>
    <w:qFormat/>
    <w:rsid w:val="00DF7FFA"/>
    <w:pPr>
      <w:keepNext/>
      <w:keepLines/>
      <w:spacing w:before="240" w:line="360" w:lineRule="auto"/>
      <w:ind w:left="72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785F19"/>
    <w:pPr>
      <w:keepNext/>
      <w:keepLines/>
      <w:numPr>
        <w:numId w:val="6"/>
      </w:numPr>
      <w:spacing w:before="4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8A133F"/>
    <w:pPr>
      <w:keepNext/>
      <w:keepLines/>
      <w:spacing w:before="40"/>
      <w:outlineLvl w:val="2"/>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7FFA"/>
    <w:rPr>
      <w:rFonts w:ascii="Garamond" w:eastAsiaTheme="majorEastAsia" w:hAnsi="Garamond" w:cstheme="majorBidi"/>
      <w:b/>
      <w:color w:val="000000" w:themeColor="text1"/>
      <w:sz w:val="32"/>
      <w:szCs w:val="32"/>
    </w:rPr>
  </w:style>
  <w:style w:type="character" w:customStyle="1" w:styleId="Nadpis2Char">
    <w:name w:val="Nadpis 2 Char"/>
    <w:basedOn w:val="Standardnpsmoodstavce"/>
    <w:link w:val="Nadpis2"/>
    <w:uiPriority w:val="9"/>
    <w:rsid w:val="00785F19"/>
    <w:rPr>
      <w:rFonts w:ascii="Garamond" w:eastAsiaTheme="majorEastAsia" w:hAnsi="Garamond" w:cstheme="majorBidi"/>
      <w:b/>
      <w:color w:val="000000" w:themeColor="text1"/>
      <w:sz w:val="28"/>
      <w:szCs w:val="26"/>
    </w:rPr>
  </w:style>
  <w:style w:type="paragraph" w:styleId="Normlnweb">
    <w:name w:val="Normal (Web)"/>
    <w:basedOn w:val="Normln"/>
    <w:uiPriority w:val="99"/>
    <w:unhideWhenUsed/>
    <w:rsid w:val="00947B64"/>
    <w:pPr>
      <w:spacing w:before="100" w:beforeAutospacing="1" w:after="100" w:afterAutospacing="1"/>
    </w:pPr>
    <w:rPr>
      <w:rFonts w:ascii="Times New Roman" w:hAnsi="Times New Roman" w:cs="Times New Roman"/>
      <w:lang w:eastAsia="cs-CZ"/>
    </w:rPr>
  </w:style>
  <w:style w:type="paragraph" w:styleId="Nadpisobsahu">
    <w:name w:val="TOC Heading"/>
    <w:basedOn w:val="Nadpis1"/>
    <w:next w:val="Normln"/>
    <w:uiPriority w:val="39"/>
    <w:unhideWhenUsed/>
    <w:qFormat/>
    <w:rsid w:val="00947B64"/>
    <w:pPr>
      <w:spacing w:before="480" w:line="276" w:lineRule="auto"/>
      <w:outlineLvl w:val="9"/>
    </w:pPr>
    <w:rPr>
      <w:b w:val="0"/>
      <w:bCs/>
      <w:sz w:val="28"/>
      <w:szCs w:val="28"/>
      <w:lang w:eastAsia="cs-CZ"/>
    </w:rPr>
  </w:style>
  <w:style w:type="paragraph" w:styleId="Obsah1">
    <w:name w:val="toc 1"/>
    <w:basedOn w:val="Normln"/>
    <w:next w:val="Normln"/>
    <w:autoRedefine/>
    <w:uiPriority w:val="39"/>
    <w:unhideWhenUsed/>
    <w:rsid w:val="0004440C"/>
    <w:pPr>
      <w:spacing w:before="120" w:line="360" w:lineRule="auto"/>
      <w:jc w:val="both"/>
    </w:pPr>
    <w:rPr>
      <w:b/>
      <w:bCs/>
      <w:szCs w:val="22"/>
    </w:rPr>
  </w:style>
  <w:style w:type="paragraph" w:styleId="Obsah2">
    <w:name w:val="toc 2"/>
    <w:basedOn w:val="Normln"/>
    <w:next w:val="Normln"/>
    <w:autoRedefine/>
    <w:uiPriority w:val="39"/>
    <w:unhideWhenUsed/>
    <w:rsid w:val="00620861"/>
    <w:pPr>
      <w:ind w:left="240"/>
    </w:pPr>
    <w:rPr>
      <w:szCs w:val="22"/>
    </w:rPr>
  </w:style>
  <w:style w:type="paragraph" w:styleId="Zpat">
    <w:name w:val="footer"/>
    <w:basedOn w:val="Normln"/>
    <w:link w:val="ZpatChar"/>
    <w:uiPriority w:val="99"/>
    <w:unhideWhenUsed/>
    <w:rsid w:val="00947B64"/>
    <w:pPr>
      <w:tabs>
        <w:tab w:val="center" w:pos="4536"/>
        <w:tab w:val="right" w:pos="9072"/>
      </w:tabs>
    </w:pPr>
  </w:style>
  <w:style w:type="character" w:customStyle="1" w:styleId="ZpatChar">
    <w:name w:val="Zápatí Char"/>
    <w:basedOn w:val="Standardnpsmoodstavce"/>
    <w:link w:val="Zpat"/>
    <w:uiPriority w:val="99"/>
    <w:rsid w:val="00947B64"/>
    <w:rPr>
      <w:rFonts w:ascii="Garamond" w:hAnsi="Garamond"/>
      <w:color w:val="000000" w:themeColor="text1"/>
    </w:rPr>
  </w:style>
  <w:style w:type="character" w:styleId="Hypertextovodkaz">
    <w:name w:val="Hyperlink"/>
    <w:basedOn w:val="Standardnpsmoodstavce"/>
    <w:uiPriority w:val="99"/>
    <w:unhideWhenUsed/>
    <w:rsid w:val="00947B64"/>
    <w:rPr>
      <w:color w:val="0563C1" w:themeColor="hyperlink"/>
      <w:u w:val="single"/>
    </w:rPr>
  </w:style>
  <w:style w:type="paragraph" w:styleId="Odstavecseseznamem">
    <w:name w:val="List Paragraph"/>
    <w:basedOn w:val="Normln"/>
    <w:uiPriority w:val="34"/>
    <w:qFormat/>
    <w:rsid w:val="00947B64"/>
    <w:pPr>
      <w:ind w:left="720"/>
      <w:contextualSpacing/>
    </w:pPr>
  </w:style>
  <w:style w:type="character" w:styleId="slostrnky">
    <w:name w:val="page number"/>
    <w:basedOn w:val="Standardnpsmoodstavce"/>
    <w:uiPriority w:val="99"/>
    <w:semiHidden/>
    <w:unhideWhenUsed/>
    <w:rsid w:val="00947B64"/>
  </w:style>
  <w:style w:type="paragraph" w:styleId="Textpoznpodarou">
    <w:name w:val="footnote text"/>
    <w:basedOn w:val="Normln"/>
    <w:link w:val="TextpoznpodarouChar"/>
    <w:uiPriority w:val="99"/>
    <w:unhideWhenUsed/>
    <w:rsid w:val="00947B64"/>
  </w:style>
  <w:style w:type="character" w:customStyle="1" w:styleId="TextpoznpodarouChar">
    <w:name w:val="Text pozn. pod čarou Char"/>
    <w:basedOn w:val="Standardnpsmoodstavce"/>
    <w:link w:val="Textpoznpodarou"/>
    <w:uiPriority w:val="99"/>
    <w:rsid w:val="00947B64"/>
    <w:rPr>
      <w:rFonts w:ascii="Garamond" w:hAnsi="Garamond"/>
      <w:color w:val="000000" w:themeColor="text1"/>
    </w:rPr>
  </w:style>
  <w:style w:type="character" w:styleId="Znakapoznpodarou">
    <w:name w:val="footnote reference"/>
    <w:basedOn w:val="Standardnpsmoodstavce"/>
    <w:uiPriority w:val="99"/>
    <w:unhideWhenUsed/>
    <w:rsid w:val="00947B64"/>
    <w:rPr>
      <w:vertAlign w:val="superscript"/>
    </w:rPr>
  </w:style>
  <w:style w:type="character" w:styleId="Sledovanodkaz">
    <w:name w:val="FollowedHyperlink"/>
    <w:basedOn w:val="Standardnpsmoodstavce"/>
    <w:uiPriority w:val="99"/>
    <w:semiHidden/>
    <w:unhideWhenUsed/>
    <w:rsid w:val="00947B64"/>
    <w:rPr>
      <w:color w:val="954F72" w:themeColor="followedHyperlink"/>
      <w:u w:val="single"/>
    </w:rPr>
  </w:style>
  <w:style w:type="character" w:customStyle="1" w:styleId="Znakypropoznmkupodarou">
    <w:name w:val="Znaky pro poznámku pod čarou"/>
    <w:rsid w:val="009518F0"/>
  </w:style>
  <w:style w:type="character" w:customStyle="1" w:styleId="Znakapoznpodarou2">
    <w:name w:val="Značka pozn. pod čarou2"/>
    <w:rsid w:val="009518F0"/>
    <w:rPr>
      <w:vertAlign w:val="superscript"/>
    </w:rPr>
  </w:style>
  <w:style w:type="paragraph" w:styleId="Zhlav">
    <w:name w:val="header"/>
    <w:basedOn w:val="Normln"/>
    <w:link w:val="ZhlavChar"/>
    <w:uiPriority w:val="99"/>
    <w:unhideWhenUsed/>
    <w:rsid w:val="00A66830"/>
    <w:pPr>
      <w:tabs>
        <w:tab w:val="center" w:pos="4536"/>
        <w:tab w:val="right" w:pos="9072"/>
      </w:tabs>
    </w:pPr>
  </w:style>
  <w:style w:type="character" w:customStyle="1" w:styleId="ZhlavChar">
    <w:name w:val="Záhlaví Char"/>
    <w:basedOn w:val="Standardnpsmoodstavce"/>
    <w:link w:val="Zhlav"/>
    <w:uiPriority w:val="99"/>
    <w:rsid w:val="00A66830"/>
    <w:rPr>
      <w:rFonts w:ascii="Garamond" w:hAnsi="Garamond"/>
      <w:color w:val="000000" w:themeColor="text1"/>
    </w:rPr>
  </w:style>
  <w:style w:type="character" w:customStyle="1" w:styleId="Nadpis3Char">
    <w:name w:val="Nadpis 3 Char"/>
    <w:basedOn w:val="Standardnpsmoodstavce"/>
    <w:link w:val="Nadpis3"/>
    <w:uiPriority w:val="9"/>
    <w:rsid w:val="008A133F"/>
    <w:rPr>
      <w:rFonts w:ascii="Garamond" w:eastAsiaTheme="majorEastAsia" w:hAnsi="Garamond" w:cstheme="majorBidi"/>
      <w:b/>
      <w:color w:val="000000" w:themeColor="text1"/>
    </w:rPr>
  </w:style>
  <w:style w:type="paragraph" w:styleId="Obsah3">
    <w:name w:val="toc 3"/>
    <w:basedOn w:val="Normln"/>
    <w:next w:val="Normln"/>
    <w:autoRedefine/>
    <w:uiPriority w:val="39"/>
    <w:unhideWhenUsed/>
    <w:rsid w:val="00620861"/>
    <w:pPr>
      <w:ind w:left="480"/>
    </w:pPr>
    <w:rPr>
      <w:iCs/>
      <w:szCs w:val="22"/>
    </w:rPr>
  </w:style>
  <w:style w:type="character" w:styleId="Siln">
    <w:name w:val="Strong"/>
    <w:basedOn w:val="Standardnpsmoodstavce"/>
    <w:uiPriority w:val="22"/>
    <w:qFormat/>
    <w:rsid w:val="00630FAB"/>
    <w:rPr>
      <w:b/>
      <w:bCs/>
    </w:rPr>
  </w:style>
  <w:style w:type="paragraph" w:styleId="Obsah4">
    <w:name w:val="toc 4"/>
    <w:basedOn w:val="Normln"/>
    <w:next w:val="Normln"/>
    <w:autoRedefine/>
    <w:uiPriority w:val="39"/>
    <w:unhideWhenUsed/>
    <w:rsid w:val="008029A5"/>
    <w:pPr>
      <w:ind w:left="720"/>
    </w:pPr>
    <w:rPr>
      <w:rFonts w:asciiTheme="minorHAnsi" w:hAnsiTheme="minorHAnsi"/>
      <w:sz w:val="18"/>
      <w:szCs w:val="18"/>
    </w:rPr>
  </w:style>
  <w:style w:type="paragraph" w:styleId="Obsah5">
    <w:name w:val="toc 5"/>
    <w:basedOn w:val="Normln"/>
    <w:next w:val="Normln"/>
    <w:autoRedefine/>
    <w:uiPriority w:val="39"/>
    <w:unhideWhenUsed/>
    <w:rsid w:val="008029A5"/>
    <w:pPr>
      <w:ind w:left="960"/>
    </w:pPr>
    <w:rPr>
      <w:rFonts w:asciiTheme="minorHAnsi" w:hAnsiTheme="minorHAnsi"/>
      <w:sz w:val="18"/>
      <w:szCs w:val="18"/>
    </w:rPr>
  </w:style>
  <w:style w:type="paragraph" w:styleId="Obsah6">
    <w:name w:val="toc 6"/>
    <w:basedOn w:val="Normln"/>
    <w:next w:val="Normln"/>
    <w:autoRedefine/>
    <w:uiPriority w:val="39"/>
    <w:unhideWhenUsed/>
    <w:rsid w:val="008029A5"/>
    <w:pPr>
      <w:ind w:left="1200"/>
    </w:pPr>
    <w:rPr>
      <w:rFonts w:asciiTheme="minorHAnsi" w:hAnsiTheme="minorHAnsi"/>
      <w:sz w:val="18"/>
      <w:szCs w:val="18"/>
    </w:rPr>
  </w:style>
  <w:style w:type="paragraph" w:styleId="Obsah7">
    <w:name w:val="toc 7"/>
    <w:basedOn w:val="Normln"/>
    <w:next w:val="Normln"/>
    <w:autoRedefine/>
    <w:uiPriority w:val="39"/>
    <w:unhideWhenUsed/>
    <w:rsid w:val="008029A5"/>
    <w:pPr>
      <w:ind w:left="1440"/>
    </w:pPr>
    <w:rPr>
      <w:rFonts w:asciiTheme="minorHAnsi" w:hAnsiTheme="minorHAnsi"/>
      <w:sz w:val="18"/>
      <w:szCs w:val="18"/>
    </w:rPr>
  </w:style>
  <w:style w:type="paragraph" w:styleId="Obsah8">
    <w:name w:val="toc 8"/>
    <w:basedOn w:val="Normln"/>
    <w:next w:val="Normln"/>
    <w:autoRedefine/>
    <w:uiPriority w:val="39"/>
    <w:unhideWhenUsed/>
    <w:rsid w:val="008029A5"/>
    <w:pPr>
      <w:ind w:left="1680"/>
    </w:pPr>
    <w:rPr>
      <w:rFonts w:asciiTheme="minorHAnsi" w:hAnsiTheme="minorHAnsi"/>
      <w:sz w:val="18"/>
      <w:szCs w:val="18"/>
    </w:rPr>
  </w:style>
  <w:style w:type="paragraph" w:styleId="Obsah9">
    <w:name w:val="toc 9"/>
    <w:basedOn w:val="Normln"/>
    <w:next w:val="Normln"/>
    <w:autoRedefine/>
    <w:uiPriority w:val="39"/>
    <w:unhideWhenUsed/>
    <w:rsid w:val="008029A5"/>
    <w:pPr>
      <w:ind w:left="1920"/>
    </w:pPr>
    <w:rPr>
      <w:rFonts w:asciiTheme="minorHAnsi" w:hAnsiTheme="minorHAnsi"/>
      <w:sz w:val="18"/>
      <w:szCs w:val="18"/>
    </w:rPr>
  </w:style>
  <w:style w:type="paragraph" w:customStyle="1" w:styleId="ak">
    <w:name w:val="ak"/>
    <w:basedOn w:val="Normln"/>
    <w:rsid w:val="00A1774C"/>
    <w:pPr>
      <w:spacing w:before="100" w:beforeAutospacing="1" w:after="100" w:afterAutospacing="1"/>
    </w:pPr>
    <w:rPr>
      <w:rFonts w:ascii="Times New Roman" w:hAnsi="Times New Roman" w:cs="Times New Roman"/>
      <w:color w:val="auto"/>
      <w:lang w:eastAsia="cs-CZ"/>
    </w:rPr>
  </w:style>
  <w:style w:type="character" w:customStyle="1" w:styleId="apple-converted-space">
    <w:name w:val="apple-converted-space"/>
    <w:basedOn w:val="Standardnpsmoodstavce"/>
    <w:rsid w:val="00A1774C"/>
  </w:style>
  <w:style w:type="paragraph" w:customStyle="1" w:styleId="l5">
    <w:name w:val="l5"/>
    <w:basedOn w:val="Normln"/>
    <w:rsid w:val="00E37753"/>
    <w:pPr>
      <w:spacing w:before="100" w:beforeAutospacing="1" w:after="100" w:afterAutospacing="1"/>
    </w:pPr>
    <w:rPr>
      <w:rFonts w:ascii="Times New Roman" w:hAnsi="Times New Roman" w:cs="Times New Roman"/>
      <w:color w:val="auto"/>
      <w:lang w:eastAsia="cs-CZ"/>
    </w:rPr>
  </w:style>
  <w:style w:type="paragraph" w:customStyle="1" w:styleId="l6">
    <w:name w:val="l6"/>
    <w:basedOn w:val="Normln"/>
    <w:rsid w:val="00E37753"/>
    <w:pPr>
      <w:spacing w:before="100" w:beforeAutospacing="1" w:after="100" w:afterAutospacing="1"/>
    </w:pPr>
    <w:rPr>
      <w:rFonts w:ascii="Times New Roman" w:hAnsi="Times New Roman" w:cs="Times New Roman"/>
      <w:color w:val="auto"/>
      <w:lang w:eastAsia="cs-CZ"/>
    </w:rPr>
  </w:style>
  <w:style w:type="character" w:styleId="PromnnHTML">
    <w:name w:val="HTML Variable"/>
    <w:basedOn w:val="Standardnpsmoodstavce"/>
    <w:uiPriority w:val="99"/>
    <w:semiHidden/>
    <w:unhideWhenUsed/>
    <w:rsid w:val="00E37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7947">
      <w:bodyDiv w:val="1"/>
      <w:marLeft w:val="0"/>
      <w:marRight w:val="0"/>
      <w:marTop w:val="0"/>
      <w:marBottom w:val="0"/>
      <w:divBdr>
        <w:top w:val="none" w:sz="0" w:space="0" w:color="auto"/>
        <w:left w:val="none" w:sz="0" w:space="0" w:color="auto"/>
        <w:bottom w:val="none" w:sz="0" w:space="0" w:color="auto"/>
        <w:right w:val="none" w:sz="0" w:space="0" w:color="auto"/>
      </w:divBdr>
      <w:divsChild>
        <w:div w:id="153689664">
          <w:marLeft w:val="0"/>
          <w:marRight w:val="0"/>
          <w:marTop w:val="0"/>
          <w:marBottom w:val="0"/>
          <w:divBdr>
            <w:top w:val="none" w:sz="0" w:space="0" w:color="auto"/>
            <w:left w:val="none" w:sz="0" w:space="0" w:color="auto"/>
            <w:bottom w:val="none" w:sz="0" w:space="0" w:color="auto"/>
            <w:right w:val="none" w:sz="0" w:space="0" w:color="auto"/>
          </w:divBdr>
          <w:divsChild>
            <w:div w:id="171840293">
              <w:marLeft w:val="0"/>
              <w:marRight w:val="0"/>
              <w:marTop w:val="0"/>
              <w:marBottom w:val="0"/>
              <w:divBdr>
                <w:top w:val="none" w:sz="0" w:space="0" w:color="auto"/>
                <w:left w:val="none" w:sz="0" w:space="0" w:color="auto"/>
                <w:bottom w:val="none" w:sz="0" w:space="0" w:color="auto"/>
                <w:right w:val="none" w:sz="0" w:space="0" w:color="auto"/>
              </w:divBdr>
              <w:divsChild>
                <w:div w:id="3387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076">
      <w:bodyDiv w:val="1"/>
      <w:marLeft w:val="0"/>
      <w:marRight w:val="0"/>
      <w:marTop w:val="0"/>
      <w:marBottom w:val="0"/>
      <w:divBdr>
        <w:top w:val="none" w:sz="0" w:space="0" w:color="auto"/>
        <w:left w:val="none" w:sz="0" w:space="0" w:color="auto"/>
        <w:bottom w:val="none" w:sz="0" w:space="0" w:color="auto"/>
        <w:right w:val="none" w:sz="0" w:space="0" w:color="auto"/>
      </w:divBdr>
    </w:div>
    <w:div w:id="145826159">
      <w:bodyDiv w:val="1"/>
      <w:marLeft w:val="0"/>
      <w:marRight w:val="0"/>
      <w:marTop w:val="0"/>
      <w:marBottom w:val="0"/>
      <w:divBdr>
        <w:top w:val="none" w:sz="0" w:space="0" w:color="auto"/>
        <w:left w:val="none" w:sz="0" w:space="0" w:color="auto"/>
        <w:bottom w:val="none" w:sz="0" w:space="0" w:color="auto"/>
        <w:right w:val="none" w:sz="0" w:space="0" w:color="auto"/>
      </w:divBdr>
    </w:div>
    <w:div w:id="159850400">
      <w:bodyDiv w:val="1"/>
      <w:marLeft w:val="0"/>
      <w:marRight w:val="0"/>
      <w:marTop w:val="0"/>
      <w:marBottom w:val="0"/>
      <w:divBdr>
        <w:top w:val="none" w:sz="0" w:space="0" w:color="auto"/>
        <w:left w:val="none" w:sz="0" w:space="0" w:color="auto"/>
        <w:bottom w:val="none" w:sz="0" w:space="0" w:color="auto"/>
        <w:right w:val="none" w:sz="0" w:space="0" w:color="auto"/>
      </w:divBdr>
    </w:div>
    <w:div w:id="211427074">
      <w:bodyDiv w:val="1"/>
      <w:marLeft w:val="0"/>
      <w:marRight w:val="0"/>
      <w:marTop w:val="0"/>
      <w:marBottom w:val="0"/>
      <w:divBdr>
        <w:top w:val="none" w:sz="0" w:space="0" w:color="auto"/>
        <w:left w:val="none" w:sz="0" w:space="0" w:color="auto"/>
        <w:bottom w:val="none" w:sz="0" w:space="0" w:color="auto"/>
        <w:right w:val="none" w:sz="0" w:space="0" w:color="auto"/>
      </w:divBdr>
    </w:div>
    <w:div w:id="212695831">
      <w:bodyDiv w:val="1"/>
      <w:marLeft w:val="0"/>
      <w:marRight w:val="0"/>
      <w:marTop w:val="0"/>
      <w:marBottom w:val="0"/>
      <w:divBdr>
        <w:top w:val="none" w:sz="0" w:space="0" w:color="auto"/>
        <w:left w:val="none" w:sz="0" w:space="0" w:color="auto"/>
        <w:bottom w:val="none" w:sz="0" w:space="0" w:color="auto"/>
        <w:right w:val="none" w:sz="0" w:space="0" w:color="auto"/>
      </w:divBdr>
    </w:div>
    <w:div w:id="268583887">
      <w:bodyDiv w:val="1"/>
      <w:marLeft w:val="0"/>
      <w:marRight w:val="0"/>
      <w:marTop w:val="0"/>
      <w:marBottom w:val="0"/>
      <w:divBdr>
        <w:top w:val="none" w:sz="0" w:space="0" w:color="auto"/>
        <w:left w:val="none" w:sz="0" w:space="0" w:color="auto"/>
        <w:bottom w:val="none" w:sz="0" w:space="0" w:color="auto"/>
        <w:right w:val="none" w:sz="0" w:space="0" w:color="auto"/>
      </w:divBdr>
    </w:div>
    <w:div w:id="292753521">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50224626">
      <w:bodyDiv w:val="1"/>
      <w:marLeft w:val="0"/>
      <w:marRight w:val="0"/>
      <w:marTop w:val="0"/>
      <w:marBottom w:val="0"/>
      <w:divBdr>
        <w:top w:val="none" w:sz="0" w:space="0" w:color="auto"/>
        <w:left w:val="none" w:sz="0" w:space="0" w:color="auto"/>
        <w:bottom w:val="none" w:sz="0" w:space="0" w:color="auto"/>
        <w:right w:val="none" w:sz="0" w:space="0" w:color="auto"/>
      </w:divBdr>
    </w:div>
    <w:div w:id="361899348">
      <w:bodyDiv w:val="1"/>
      <w:marLeft w:val="0"/>
      <w:marRight w:val="0"/>
      <w:marTop w:val="0"/>
      <w:marBottom w:val="0"/>
      <w:divBdr>
        <w:top w:val="none" w:sz="0" w:space="0" w:color="auto"/>
        <w:left w:val="none" w:sz="0" w:space="0" w:color="auto"/>
        <w:bottom w:val="none" w:sz="0" w:space="0" w:color="auto"/>
        <w:right w:val="none" w:sz="0" w:space="0" w:color="auto"/>
      </w:divBdr>
      <w:divsChild>
        <w:div w:id="287055534">
          <w:marLeft w:val="0"/>
          <w:marRight w:val="0"/>
          <w:marTop w:val="0"/>
          <w:marBottom w:val="0"/>
          <w:divBdr>
            <w:top w:val="none" w:sz="0" w:space="0" w:color="auto"/>
            <w:left w:val="none" w:sz="0" w:space="0" w:color="auto"/>
            <w:bottom w:val="none" w:sz="0" w:space="0" w:color="auto"/>
            <w:right w:val="none" w:sz="0" w:space="0" w:color="auto"/>
          </w:divBdr>
          <w:divsChild>
            <w:div w:id="1974363030">
              <w:marLeft w:val="0"/>
              <w:marRight w:val="0"/>
              <w:marTop w:val="0"/>
              <w:marBottom w:val="0"/>
              <w:divBdr>
                <w:top w:val="none" w:sz="0" w:space="0" w:color="auto"/>
                <w:left w:val="none" w:sz="0" w:space="0" w:color="auto"/>
                <w:bottom w:val="none" w:sz="0" w:space="0" w:color="auto"/>
                <w:right w:val="none" w:sz="0" w:space="0" w:color="auto"/>
              </w:divBdr>
              <w:divsChild>
                <w:div w:id="7223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6656">
      <w:bodyDiv w:val="1"/>
      <w:marLeft w:val="0"/>
      <w:marRight w:val="0"/>
      <w:marTop w:val="0"/>
      <w:marBottom w:val="0"/>
      <w:divBdr>
        <w:top w:val="none" w:sz="0" w:space="0" w:color="auto"/>
        <w:left w:val="none" w:sz="0" w:space="0" w:color="auto"/>
        <w:bottom w:val="none" w:sz="0" w:space="0" w:color="auto"/>
        <w:right w:val="none" w:sz="0" w:space="0" w:color="auto"/>
      </w:divBdr>
    </w:div>
    <w:div w:id="394594688">
      <w:bodyDiv w:val="1"/>
      <w:marLeft w:val="0"/>
      <w:marRight w:val="0"/>
      <w:marTop w:val="0"/>
      <w:marBottom w:val="0"/>
      <w:divBdr>
        <w:top w:val="none" w:sz="0" w:space="0" w:color="auto"/>
        <w:left w:val="none" w:sz="0" w:space="0" w:color="auto"/>
        <w:bottom w:val="none" w:sz="0" w:space="0" w:color="auto"/>
        <w:right w:val="none" w:sz="0" w:space="0" w:color="auto"/>
      </w:divBdr>
    </w:div>
    <w:div w:id="401025504">
      <w:bodyDiv w:val="1"/>
      <w:marLeft w:val="0"/>
      <w:marRight w:val="0"/>
      <w:marTop w:val="0"/>
      <w:marBottom w:val="0"/>
      <w:divBdr>
        <w:top w:val="none" w:sz="0" w:space="0" w:color="auto"/>
        <w:left w:val="none" w:sz="0" w:space="0" w:color="auto"/>
        <w:bottom w:val="none" w:sz="0" w:space="0" w:color="auto"/>
        <w:right w:val="none" w:sz="0" w:space="0" w:color="auto"/>
      </w:divBdr>
    </w:div>
    <w:div w:id="562522844">
      <w:bodyDiv w:val="1"/>
      <w:marLeft w:val="0"/>
      <w:marRight w:val="0"/>
      <w:marTop w:val="0"/>
      <w:marBottom w:val="0"/>
      <w:divBdr>
        <w:top w:val="none" w:sz="0" w:space="0" w:color="auto"/>
        <w:left w:val="none" w:sz="0" w:space="0" w:color="auto"/>
        <w:bottom w:val="none" w:sz="0" w:space="0" w:color="auto"/>
        <w:right w:val="none" w:sz="0" w:space="0" w:color="auto"/>
      </w:divBdr>
      <w:divsChild>
        <w:div w:id="1646427339">
          <w:marLeft w:val="0"/>
          <w:marRight w:val="0"/>
          <w:marTop w:val="0"/>
          <w:marBottom w:val="0"/>
          <w:divBdr>
            <w:top w:val="none" w:sz="0" w:space="0" w:color="auto"/>
            <w:left w:val="none" w:sz="0" w:space="0" w:color="auto"/>
            <w:bottom w:val="none" w:sz="0" w:space="0" w:color="auto"/>
            <w:right w:val="none" w:sz="0" w:space="0" w:color="auto"/>
          </w:divBdr>
        </w:div>
        <w:div w:id="495268653">
          <w:marLeft w:val="0"/>
          <w:marRight w:val="0"/>
          <w:marTop w:val="0"/>
          <w:marBottom w:val="0"/>
          <w:divBdr>
            <w:top w:val="none" w:sz="0" w:space="0" w:color="auto"/>
            <w:left w:val="none" w:sz="0" w:space="0" w:color="auto"/>
            <w:bottom w:val="none" w:sz="0" w:space="0" w:color="auto"/>
            <w:right w:val="none" w:sz="0" w:space="0" w:color="auto"/>
          </w:divBdr>
        </w:div>
        <w:div w:id="1234508472">
          <w:marLeft w:val="0"/>
          <w:marRight w:val="0"/>
          <w:marTop w:val="0"/>
          <w:marBottom w:val="0"/>
          <w:divBdr>
            <w:top w:val="none" w:sz="0" w:space="0" w:color="auto"/>
            <w:left w:val="none" w:sz="0" w:space="0" w:color="auto"/>
            <w:bottom w:val="none" w:sz="0" w:space="0" w:color="auto"/>
            <w:right w:val="none" w:sz="0" w:space="0" w:color="auto"/>
          </w:divBdr>
        </w:div>
      </w:divsChild>
    </w:div>
    <w:div w:id="578750877">
      <w:bodyDiv w:val="1"/>
      <w:marLeft w:val="0"/>
      <w:marRight w:val="0"/>
      <w:marTop w:val="0"/>
      <w:marBottom w:val="0"/>
      <w:divBdr>
        <w:top w:val="none" w:sz="0" w:space="0" w:color="auto"/>
        <w:left w:val="none" w:sz="0" w:space="0" w:color="auto"/>
        <w:bottom w:val="none" w:sz="0" w:space="0" w:color="auto"/>
        <w:right w:val="none" w:sz="0" w:space="0" w:color="auto"/>
      </w:divBdr>
    </w:div>
    <w:div w:id="586503396">
      <w:bodyDiv w:val="1"/>
      <w:marLeft w:val="0"/>
      <w:marRight w:val="0"/>
      <w:marTop w:val="0"/>
      <w:marBottom w:val="0"/>
      <w:divBdr>
        <w:top w:val="none" w:sz="0" w:space="0" w:color="auto"/>
        <w:left w:val="none" w:sz="0" w:space="0" w:color="auto"/>
        <w:bottom w:val="none" w:sz="0" w:space="0" w:color="auto"/>
        <w:right w:val="none" w:sz="0" w:space="0" w:color="auto"/>
      </w:divBdr>
    </w:div>
    <w:div w:id="590552190">
      <w:bodyDiv w:val="1"/>
      <w:marLeft w:val="0"/>
      <w:marRight w:val="0"/>
      <w:marTop w:val="0"/>
      <w:marBottom w:val="0"/>
      <w:divBdr>
        <w:top w:val="none" w:sz="0" w:space="0" w:color="auto"/>
        <w:left w:val="none" w:sz="0" w:space="0" w:color="auto"/>
        <w:bottom w:val="none" w:sz="0" w:space="0" w:color="auto"/>
        <w:right w:val="none" w:sz="0" w:space="0" w:color="auto"/>
      </w:divBdr>
    </w:div>
    <w:div w:id="599292653">
      <w:bodyDiv w:val="1"/>
      <w:marLeft w:val="0"/>
      <w:marRight w:val="0"/>
      <w:marTop w:val="0"/>
      <w:marBottom w:val="0"/>
      <w:divBdr>
        <w:top w:val="none" w:sz="0" w:space="0" w:color="auto"/>
        <w:left w:val="none" w:sz="0" w:space="0" w:color="auto"/>
        <w:bottom w:val="none" w:sz="0" w:space="0" w:color="auto"/>
        <w:right w:val="none" w:sz="0" w:space="0" w:color="auto"/>
      </w:divBdr>
    </w:div>
    <w:div w:id="688066095">
      <w:bodyDiv w:val="1"/>
      <w:marLeft w:val="0"/>
      <w:marRight w:val="0"/>
      <w:marTop w:val="0"/>
      <w:marBottom w:val="0"/>
      <w:divBdr>
        <w:top w:val="none" w:sz="0" w:space="0" w:color="auto"/>
        <w:left w:val="none" w:sz="0" w:space="0" w:color="auto"/>
        <w:bottom w:val="none" w:sz="0" w:space="0" w:color="auto"/>
        <w:right w:val="none" w:sz="0" w:space="0" w:color="auto"/>
      </w:divBdr>
    </w:div>
    <w:div w:id="690642892">
      <w:bodyDiv w:val="1"/>
      <w:marLeft w:val="0"/>
      <w:marRight w:val="0"/>
      <w:marTop w:val="0"/>
      <w:marBottom w:val="0"/>
      <w:divBdr>
        <w:top w:val="none" w:sz="0" w:space="0" w:color="auto"/>
        <w:left w:val="none" w:sz="0" w:space="0" w:color="auto"/>
        <w:bottom w:val="none" w:sz="0" w:space="0" w:color="auto"/>
        <w:right w:val="none" w:sz="0" w:space="0" w:color="auto"/>
      </w:divBdr>
    </w:div>
    <w:div w:id="725950048">
      <w:bodyDiv w:val="1"/>
      <w:marLeft w:val="0"/>
      <w:marRight w:val="0"/>
      <w:marTop w:val="0"/>
      <w:marBottom w:val="0"/>
      <w:divBdr>
        <w:top w:val="none" w:sz="0" w:space="0" w:color="auto"/>
        <w:left w:val="none" w:sz="0" w:space="0" w:color="auto"/>
        <w:bottom w:val="none" w:sz="0" w:space="0" w:color="auto"/>
        <w:right w:val="none" w:sz="0" w:space="0" w:color="auto"/>
      </w:divBdr>
    </w:div>
    <w:div w:id="839781610">
      <w:bodyDiv w:val="1"/>
      <w:marLeft w:val="0"/>
      <w:marRight w:val="0"/>
      <w:marTop w:val="0"/>
      <w:marBottom w:val="0"/>
      <w:divBdr>
        <w:top w:val="none" w:sz="0" w:space="0" w:color="auto"/>
        <w:left w:val="none" w:sz="0" w:space="0" w:color="auto"/>
        <w:bottom w:val="none" w:sz="0" w:space="0" w:color="auto"/>
        <w:right w:val="none" w:sz="0" w:space="0" w:color="auto"/>
      </w:divBdr>
    </w:div>
    <w:div w:id="854265825">
      <w:bodyDiv w:val="1"/>
      <w:marLeft w:val="0"/>
      <w:marRight w:val="0"/>
      <w:marTop w:val="0"/>
      <w:marBottom w:val="0"/>
      <w:divBdr>
        <w:top w:val="none" w:sz="0" w:space="0" w:color="auto"/>
        <w:left w:val="none" w:sz="0" w:space="0" w:color="auto"/>
        <w:bottom w:val="none" w:sz="0" w:space="0" w:color="auto"/>
        <w:right w:val="none" w:sz="0" w:space="0" w:color="auto"/>
      </w:divBdr>
    </w:div>
    <w:div w:id="856116156">
      <w:bodyDiv w:val="1"/>
      <w:marLeft w:val="0"/>
      <w:marRight w:val="0"/>
      <w:marTop w:val="0"/>
      <w:marBottom w:val="0"/>
      <w:divBdr>
        <w:top w:val="none" w:sz="0" w:space="0" w:color="auto"/>
        <w:left w:val="none" w:sz="0" w:space="0" w:color="auto"/>
        <w:bottom w:val="none" w:sz="0" w:space="0" w:color="auto"/>
        <w:right w:val="none" w:sz="0" w:space="0" w:color="auto"/>
      </w:divBdr>
    </w:div>
    <w:div w:id="949120003">
      <w:bodyDiv w:val="1"/>
      <w:marLeft w:val="0"/>
      <w:marRight w:val="0"/>
      <w:marTop w:val="0"/>
      <w:marBottom w:val="0"/>
      <w:divBdr>
        <w:top w:val="none" w:sz="0" w:space="0" w:color="auto"/>
        <w:left w:val="none" w:sz="0" w:space="0" w:color="auto"/>
        <w:bottom w:val="none" w:sz="0" w:space="0" w:color="auto"/>
        <w:right w:val="none" w:sz="0" w:space="0" w:color="auto"/>
      </w:divBdr>
    </w:div>
    <w:div w:id="997617250">
      <w:bodyDiv w:val="1"/>
      <w:marLeft w:val="0"/>
      <w:marRight w:val="0"/>
      <w:marTop w:val="0"/>
      <w:marBottom w:val="0"/>
      <w:divBdr>
        <w:top w:val="none" w:sz="0" w:space="0" w:color="auto"/>
        <w:left w:val="none" w:sz="0" w:space="0" w:color="auto"/>
        <w:bottom w:val="none" w:sz="0" w:space="0" w:color="auto"/>
        <w:right w:val="none" w:sz="0" w:space="0" w:color="auto"/>
      </w:divBdr>
    </w:div>
    <w:div w:id="1090541293">
      <w:bodyDiv w:val="1"/>
      <w:marLeft w:val="0"/>
      <w:marRight w:val="0"/>
      <w:marTop w:val="0"/>
      <w:marBottom w:val="0"/>
      <w:divBdr>
        <w:top w:val="none" w:sz="0" w:space="0" w:color="auto"/>
        <w:left w:val="none" w:sz="0" w:space="0" w:color="auto"/>
        <w:bottom w:val="none" w:sz="0" w:space="0" w:color="auto"/>
        <w:right w:val="none" w:sz="0" w:space="0" w:color="auto"/>
      </w:divBdr>
    </w:div>
    <w:div w:id="1093627090">
      <w:bodyDiv w:val="1"/>
      <w:marLeft w:val="0"/>
      <w:marRight w:val="0"/>
      <w:marTop w:val="0"/>
      <w:marBottom w:val="0"/>
      <w:divBdr>
        <w:top w:val="none" w:sz="0" w:space="0" w:color="auto"/>
        <w:left w:val="none" w:sz="0" w:space="0" w:color="auto"/>
        <w:bottom w:val="none" w:sz="0" w:space="0" w:color="auto"/>
        <w:right w:val="none" w:sz="0" w:space="0" w:color="auto"/>
      </w:divBdr>
    </w:div>
    <w:div w:id="1159494881">
      <w:bodyDiv w:val="1"/>
      <w:marLeft w:val="0"/>
      <w:marRight w:val="0"/>
      <w:marTop w:val="0"/>
      <w:marBottom w:val="0"/>
      <w:divBdr>
        <w:top w:val="none" w:sz="0" w:space="0" w:color="auto"/>
        <w:left w:val="none" w:sz="0" w:space="0" w:color="auto"/>
        <w:bottom w:val="none" w:sz="0" w:space="0" w:color="auto"/>
        <w:right w:val="none" w:sz="0" w:space="0" w:color="auto"/>
      </w:divBdr>
    </w:div>
    <w:div w:id="1162816987">
      <w:bodyDiv w:val="1"/>
      <w:marLeft w:val="0"/>
      <w:marRight w:val="0"/>
      <w:marTop w:val="0"/>
      <w:marBottom w:val="0"/>
      <w:divBdr>
        <w:top w:val="none" w:sz="0" w:space="0" w:color="auto"/>
        <w:left w:val="none" w:sz="0" w:space="0" w:color="auto"/>
        <w:bottom w:val="none" w:sz="0" w:space="0" w:color="auto"/>
        <w:right w:val="none" w:sz="0" w:space="0" w:color="auto"/>
      </w:divBdr>
    </w:div>
    <w:div w:id="1180925357">
      <w:bodyDiv w:val="1"/>
      <w:marLeft w:val="0"/>
      <w:marRight w:val="0"/>
      <w:marTop w:val="0"/>
      <w:marBottom w:val="0"/>
      <w:divBdr>
        <w:top w:val="none" w:sz="0" w:space="0" w:color="auto"/>
        <w:left w:val="none" w:sz="0" w:space="0" w:color="auto"/>
        <w:bottom w:val="none" w:sz="0" w:space="0" w:color="auto"/>
        <w:right w:val="none" w:sz="0" w:space="0" w:color="auto"/>
      </w:divBdr>
    </w:div>
    <w:div w:id="1240748576">
      <w:bodyDiv w:val="1"/>
      <w:marLeft w:val="0"/>
      <w:marRight w:val="0"/>
      <w:marTop w:val="0"/>
      <w:marBottom w:val="0"/>
      <w:divBdr>
        <w:top w:val="none" w:sz="0" w:space="0" w:color="auto"/>
        <w:left w:val="none" w:sz="0" w:space="0" w:color="auto"/>
        <w:bottom w:val="none" w:sz="0" w:space="0" w:color="auto"/>
        <w:right w:val="none" w:sz="0" w:space="0" w:color="auto"/>
      </w:divBdr>
    </w:div>
    <w:div w:id="1261915318">
      <w:bodyDiv w:val="1"/>
      <w:marLeft w:val="0"/>
      <w:marRight w:val="0"/>
      <w:marTop w:val="0"/>
      <w:marBottom w:val="0"/>
      <w:divBdr>
        <w:top w:val="none" w:sz="0" w:space="0" w:color="auto"/>
        <w:left w:val="none" w:sz="0" w:space="0" w:color="auto"/>
        <w:bottom w:val="none" w:sz="0" w:space="0" w:color="auto"/>
        <w:right w:val="none" w:sz="0" w:space="0" w:color="auto"/>
      </w:divBdr>
    </w:div>
    <w:div w:id="1281641491">
      <w:bodyDiv w:val="1"/>
      <w:marLeft w:val="0"/>
      <w:marRight w:val="0"/>
      <w:marTop w:val="0"/>
      <w:marBottom w:val="0"/>
      <w:divBdr>
        <w:top w:val="none" w:sz="0" w:space="0" w:color="auto"/>
        <w:left w:val="none" w:sz="0" w:space="0" w:color="auto"/>
        <w:bottom w:val="none" w:sz="0" w:space="0" w:color="auto"/>
        <w:right w:val="none" w:sz="0" w:space="0" w:color="auto"/>
      </w:divBdr>
    </w:div>
    <w:div w:id="1426925649">
      <w:bodyDiv w:val="1"/>
      <w:marLeft w:val="0"/>
      <w:marRight w:val="0"/>
      <w:marTop w:val="0"/>
      <w:marBottom w:val="0"/>
      <w:divBdr>
        <w:top w:val="none" w:sz="0" w:space="0" w:color="auto"/>
        <w:left w:val="none" w:sz="0" w:space="0" w:color="auto"/>
        <w:bottom w:val="none" w:sz="0" w:space="0" w:color="auto"/>
        <w:right w:val="none" w:sz="0" w:space="0" w:color="auto"/>
      </w:divBdr>
    </w:div>
    <w:div w:id="1454329311">
      <w:bodyDiv w:val="1"/>
      <w:marLeft w:val="0"/>
      <w:marRight w:val="0"/>
      <w:marTop w:val="0"/>
      <w:marBottom w:val="0"/>
      <w:divBdr>
        <w:top w:val="none" w:sz="0" w:space="0" w:color="auto"/>
        <w:left w:val="none" w:sz="0" w:space="0" w:color="auto"/>
        <w:bottom w:val="none" w:sz="0" w:space="0" w:color="auto"/>
        <w:right w:val="none" w:sz="0" w:space="0" w:color="auto"/>
      </w:divBdr>
    </w:div>
    <w:div w:id="1464618444">
      <w:bodyDiv w:val="1"/>
      <w:marLeft w:val="0"/>
      <w:marRight w:val="0"/>
      <w:marTop w:val="0"/>
      <w:marBottom w:val="0"/>
      <w:divBdr>
        <w:top w:val="none" w:sz="0" w:space="0" w:color="auto"/>
        <w:left w:val="none" w:sz="0" w:space="0" w:color="auto"/>
        <w:bottom w:val="none" w:sz="0" w:space="0" w:color="auto"/>
        <w:right w:val="none" w:sz="0" w:space="0" w:color="auto"/>
      </w:divBdr>
    </w:div>
    <w:div w:id="1489706044">
      <w:bodyDiv w:val="1"/>
      <w:marLeft w:val="0"/>
      <w:marRight w:val="0"/>
      <w:marTop w:val="0"/>
      <w:marBottom w:val="0"/>
      <w:divBdr>
        <w:top w:val="none" w:sz="0" w:space="0" w:color="auto"/>
        <w:left w:val="none" w:sz="0" w:space="0" w:color="auto"/>
        <w:bottom w:val="none" w:sz="0" w:space="0" w:color="auto"/>
        <w:right w:val="none" w:sz="0" w:space="0" w:color="auto"/>
      </w:divBdr>
    </w:div>
    <w:div w:id="1540701572">
      <w:bodyDiv w:val="1"/>
      <w:marLeft w:val="0"/>
      <w:marRight w:val="0"/>
      <w:marTop w:val="0"/>
      <w:marBottom w:val="0"/>
      <w:divBdr>
        <w:top w:val="none" w:sz="0" w:space="0" w:color="auto"/>
        <w:left w:val="none" w:sz="0" w:space="0" w:color="auto"/>
        <w:bottom w:val="none" w:sz="0" w:space="0" w:color="auto"/>
        <w:right w:val="none" w:sz="0" w:space="0" w:color="auto"/>
      </w:divBdr>
    </w:div>
    <w:div w:id="1548223489">
      <w:bodyDiv w:val="1"/>
      <w:marLeft w:val="0"/>
      <w:marRight w:val="0"/>
      <w:marTop w:val="0"/>
      <w:marBottom w:val="0"/>
      <w:divBdr>
        <w:top w:val="none" w:sz="0" w:space="0" w:color="auto"/>
        <w:left w:val="none" w:sz="0" w:space="0" w:color="auto"/>
        <w:bottom w:val="none" w:sz="0" w:space="0" w:color="auto"/>
        <w:right w:val="none" w:sz="0" w:space="0" w:color="auto"/>
      </w:divBdr>
    </w:div>
    <w:div w:id="1558973002">
      <w:bodyDiv w:val="1"/>
      <w:marLeft w:val="0"/>
      <w:marRight w:val="0"/>
      <w:marTop w:val="0"/>
      <w:marBottom w:val="0"/>
      <w:divBdr>
        <w:top w:val="none" w:sz="0" w:space="0" w:color="auto"/>
        <w:left w:val="none" w:sz="0" w:space="0" w:color="auto"/>
        <w:bottom w:val="none" w:sz="0" w:space="0" w:color="auto"/>
        <w:right w:val="none" w:sz="0" w:space="0" w:color="auto"/>
      </w:divBdr>
    </w:div>
    <w:div w:id="1560508438">
      <w:bodyDiv w:val="1"/>
      <w:marLeft w:val="0"/>
      <w:marRight w:val="0"/>
      <w:marTop w:val="0"/>
      <w:marBottom w:val="0"/>
      <w:divBdr>
        <w:top w:val="none" w:sz="0" w:space="0" w:color="auto"/>
        <w:left w:val="none" w:sz="0" w:space="0" w:color="auto"/>
        <w:bottom w:val="none" w:sz="0" w:space="0" w:color="auto"/>
        <w:right w:val="none" w:sz="0" w:space="0" w:color="auto"/>
      </w:divBdr>
    </w:div>
    <w:div w:id="1784839302">
      <w:bodyDiv w:val="1"/>
      <w:marLeft w:val="0"/>
      <w:marRight w:val="0"/>
      <w:marTop w:val="0"/>
      <w:marBottom w:val="0"/>
      <w:divBdr>
        <w:top w:val="none" w:sz="0" w:space="0" w:color="auto"/>
        <w:left w:val="none" w:sz="0" w:space="0" w:color="auto"/>
        <w:bottom w:val="none" w:sz="0" w:space="0" w:color="auto"/>
        <w:right w:val="none" w:sz="0" w:space="0" w:color="auto"/>
      </w:divBdr>
    </w:div>
    <w:div w:id="1786150085">
      <w:bodyDiv w:val="1"/>
      <w:marLeft w:val="0"/>
      <w:marRight w:val="0"/>
      <w:marTop w:val="0"/>
      <w:marBottom w:val="0"/>
      <w:divBdr>
        <w:top w:val="none" w:sz="0" w:space="0" w:color="auto"/>
        <w:left w:val="none" w:sz="0" w:space="0" w:color="auto"/>
        <w:bottom w:val="none" w:sz="0" w:space="0" w:color="auto"/>
        <w:right w:val="none" w:sz="0" w:space="0" w:color="auto"/>
      </w:divBdr>
    </w:div>
    <w:div w:id="1918588014">
      <w:bodyDiv w:val="1"/>
      <w:marLeft w:val="0"/>
      <w:marRight w:val="0"/>
      <w:marTop w:val="0"/>
      <w:marBottom w:val="0"/>
      <w:divBdr>
        <w:top w:val="none" w:sz="0" w:space="0" w:color="auto"/>
        <w:left w:val="none" w:sz="0" w:space="0" w:color="auto"/>
        <w:bottom w:val="none" w:sz="0" w:space="0" w:color="auto"/>
        <w:right w:val="none" w:sz="0" w:space="0" w:color="auto"/>
      </w:divBdr>
      <w:divsChild>
        <w:div w:id="1064910331">
          <w:marLeft w:val="0"/>
          <w:marRight w:val="0"/>
          <w:marTop w:val="0"/>
          <w:marBottom w:val="0"/>
          <w:divBdr>
            <w:top w:val="none" w:sz="0" w:space="0" w:color="auto"/>
            <w:left w:val="none" w:sz="0" w:space="0" w:color="auto"/>
            <w:bottom w:val="none" w:sz="0" w:space="0" w:color="auto"/>
            <w:right w:val="none" w:sz="0" w:space="0" w:color="auto"/>
          </w:divBdr>
          <w:divsChild>
            <w:div w:id="2078164091">
              <w:marLeft w:val="0"/>
              <w:marRight w:val="0"/>
              <w:marTop w:val="0"/>
              <w:marBottom w:val="0"/>
              <w:divBdr>
                <w:top w:val="none" w:sz="0" w:space="0" w:color="auto"/>
                <w:left w:val="none" w:sz="0" w:space="0" w:color="auto"/>
                <w:bottom w:val="none" w:sz="0" w:space="0" w:color="auto"/>
                <w:right w:val="none" w:sz="0" w:space="0" w:color="auto"/>
              </w:divBdr>
              <w:divsChild>
                <w:div w:id="2053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7932">
      <w:bodyDiv w:val="1"/>
      <w:marLeft w:val="0"/>
      <w:marRight w:val="0"/>
      <w:marTop w:val="0"/>
      <w:marBottom w:val="0"/>
      <w:divBdr>
        <w:top w:val="none" w:sz="0" w:space="0" w:color="auto"/>
        <w:left w:val="none" w:sz="0" w:space="0" w:color="auto"/>
        <w:bottom w:val="none" w:sz="0" w:space="0" w:color="auto"/>
        <w:right w:val="none" w:sz="0" w:space="0" w:color="auto"/>
      </w:divBdr>
      <w:divsChild>
        <w:div w:id="485123833">
          <w:marLeft w:val="0"/>
          <w:marRight w:val="0"/>
          <w:marTop w:val="0"/>
          <w:marBottom w:val="0"/>
          <w:divBdr>
            <w:top w:val="none" w:sz="0" w:space="0" w:color="auto"/>
            <w:left w:val="none" w:sz="0" w:space="0" w:color="auto"/>
            <w:bottom w:val="none" w:sz="0" w:space="0" w:color="auto"/>
            <w:right w:val="none" w:sz="0" w:space="0" w:color="auto"/>
          </w:divBdr>
          <w:divsChild>
            <w:div w:id="1217349831">
              <w:marLeft w:val="0"/>
              <w:marRight w:val="0"/>
              <w:marTop w:val="0"/>
              <w:marBottom w:val="0"/>
              <w:divBdr>
                <w:top w:val="none" w:sz="0" w:space="0" w:color="auto"/>
                <w:left w:val="none" w:sz="0" w:space="0" w:color="auto"/>
                <w:bottom w:val="none" w:sz="0" w:space="0" w:color="auto"/>
                <w:right w:val="none" w:sz="0" w:space="0" w:color="auto"/>
              </w:divBdr>
              <w:divsChild>
                <w:div w:id="1888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3459">
      <w:bodyDiv w:val="1"/>
      <w:marLeft w:val="0"/>
      <w:marRight w:val="0"/>
      <w:marTop w:val="0"/>
      <w:marBottom w:val="0"/>
      <w:divBdr>
        <w:top w:val="none" w:sz="0" w:space="0" w:color="auto"/>
        <w:left w:val="none" w:sz="0" w:space="0" w:color="auto"/>
        <w:bottom w:val="none" w:sz="0" w:space="0" w:color="auto"/>
        <w:right w:val="none" w:sz="0" w:space="0" w:color="auto"/>
      </w:divBdr>
    </w:div>
    <w:div w:id="2073656707">
      <w:bodyDiv w:val="1"/>
      <w:marLeft w:val="0"/>
      <w:marRight w:val="0"/>
      <w:marTop w:val="0"/>
      <w:marBottom w:val="0"/>
      <w:divBdr>
        <w:top w:val="none" w:sz="0" w:space="0" w:color="auto"/>
        <w:left w:val="none" w:sz="0" w:space="0" w:color="auto"/>
        <w:bottom w:val="none" w:sz="0" w:space="0" w:color="auto"/>
        <w:right w:val="none" w:sz="0" w:space="0" w:color="auto"/>
      </w:divBdr>
    </w:div>
    <w:div w:id="208517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jstor.org/stable/756032?seq=1" TargetMode="External"/><Relationship Id="rId12" Type="http://schemas.openxmlformats.org/officeDocument/2006/relationships/hyperlink" Target="http://obcanskyzakonik.justice.cz/index.php/home/zakony-a-stanoviska/legislativni-proc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documents.us/the-law-of-obligations-roman-foundations-of-the-civilian-tradition.html" TargetMode="External"/><Relationship Id="rId9" Type="http://schemas.openxmlformats.org/officeDocument/2006/relationships/hyperlink" Target="na%3c%20https://www.jstor.org/stable/41418836?seq=22" TargetMode="External"/><Relationship Id="rId10" Type="http://schemas.openxmlformats.org/officeDocument/2006/relationships/hyperlink" Target="https://books.google.cz/books?id=mn9Fh1_egi8C&amp;pg=PA129&amp;lpg=PA129&amp;dq=savigny+-+false+error&amp;source=bl&amp;ots=R1kaUqoBFi&amp;sig=fMe5EaBqWuXlHJHsK_MZDH5DC9A&amp;hl=cs&amp;sa=X&amp;ved=0ahUKEwjt35_C9-faAhXOxqQKHXmuCCQQ6AEIdTA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stor.org/stable/756032?seq=1" TargetMode="External"/><Relationship Id="rId4" Type="http://schemas.openxmlformats.org/officeDocument/2006/relationships/hyperlink" Target="https://www.jstor.org/stable/1109252?Search=yes&amp;resultItemClick=true&amp;searchText=corry&amp;searchText=montague&amp;searchUri=%2Faction%2FdoBasicSearch%3FQuery%3Dcorry%2Bmontague%26amp%3Bfilter%3D&amp;refreqid=search%3Ab4bae6ec2f4fa33fb96c055cd1d89baa&amp;seq=2" TargetMode="External"/><Relationship Id="rId5" Type="http://schemas.openxmlformats.org/officeDocument/2006/relationships/hyperlink" Target="https://books.google.cz/books?id=mn9Fh1_egi8C&amp;pg=PA129&amp;lpg=PA129&amp;dq=savigny+-+false+error&amp;source=bl&amp;ots=R1kaUqoBFi&amp;sig=fMe5EaBqWuXlHJHsK_MZDH5DC9A&amp;hl=cs&amp;sa=X&amp;ved=0ahUKEwjt35_C9-faAhXOxqQKHXmuCCQQ6AEIdTAJ" TargetMode="External"/><Relationship Id="rId6" Type="http://schemas.openxmlformats.org/officeDocument/2006/relationships/hyperlink" Target="https://vdocuments.us/the-law-of-obligations-roman-foundations-of-the-civilian-tradition.html" TargetMode="External"/><Relationship Id="rId7" Type="http://schemas.openxmlformats.org/officeDocument/2006/relationships/hyperlink" Target="http://obcanskyzakonik.justice.cz/index.php/home/zakony-a-stanoviska/legislativni-proces" TargetMode="External"/><Relationship Id="rId1" Type="http://schemas.openxmlformats.org/officeDocument/2006/relationships/hyperlink" Target="https://www.jstor.org/stable/41418836?seq=22%20-%20page_scan_tab_contents" TargetMode="External"/><Relationship Id="rId2" Type="http://schemas.openxmlformats.org/officeDocument/2006/relationships/hyperlink" Target="%3c%20https://www.jstor.org/stable/41418836?seq=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96AE5C-07B2-024D-A04B-741E8A4C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6189</TotalTime>
  <Pages>50</Pages>
  <Words>14098</Words>
  <Characters>83184</Characters>
  <Application>Microsoft Macintosh Word</Application>
  <DocSecurity>0</DocSecurity>
  <Lines>693</Lines>
  <Paragraphs>194</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97088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Skripcova Klara</dc:creator>
  <cp:keywords/>
  <dc:description/>
  <cp:lastModifiedBy>Skripcova Klara</cp:lastModifiedBy>
  <cp:revision>488</cp:revision>
  <cp:lastPrinted>2018-04-30T05:01:00Z</cp:lastPrinted>
  <dcterms:created xsi:type="dcterms:W3CDTF">2018-04-25T14:29:00Z</dcterms:created>
  <dcterms:modified xsi:type="dcterms:W3CDTF">2018-10-01T12:33:00Z</dcterms:modified>
</cp:coreProperties>
</file>